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00.xml" ContentType="application/vnd.openxmlformats-officedocument.wordprocessingml.footer+xml"/>
  <Override PartName="/word/footer101.xml" ContentType="application/vnd.openxmlformats-officedocument.wordprocessingml.footer+xml"/>
  <Override PartName="/word/footer102.xml" ContentType="application/vnd.openxmlformats-officedocument.wordprocessingml.footer+xml"/>
  <Override PartName="/word/footer103.xml" ContentType="application/vnd.openxmlformats-officedocument.wordprocessingml.footer+xml"/>
  <Override PartName="/word/footer104.xml" ContentType="application/vnd.openxmlformats-officedocument.wordprocessingml.footer+xml"/>
  <Override PartName="/word/footer105.xml" ContentType="application/vnd.openxmlformats-officedocument.wordprocessingml.footer+xml"/>
  <Override PartName="/word/footer106.xml" ContentType="application/vnd.openxmlformats-officedocument.wordprocessingml.footer+xml"/>
  <Override PartName="/word/footer107.xml" ContentType="application/vnd.openxmlformats-officedocument.wordprocessingml.footer+xml"/>
  <Override PartName="/word/footer108.xml" ContentType="application/vnd.openxmlformats-officedocument.wordprocessingml.footer+xml"/>
  <Override PartName="/word/footer109.xml" ContentType="application/vnd.openxmlformats-officedocument.wordprocessingml.footer+xml"/>
  <Override PartName="/word/footer11.xml" ContentType="application/vnd.openxmlformats-officedocument.wordprocessingml.footer+xml"/>
  <Override PartName="/word/footer110.xml" ContentType="application/vnd.openxmlformats-officedocument.wordprocessingml.footer+xml"/>
  <Override PartName="/word/footer111.xml" ContentType="application/vnd.openxmlformats-officedocument.wordprocessingml.footer+xml"/>
  <Override PartName="/word/footer112.xml" ContentType="application/vnd.openxmlformats-officedocument.wordprocessingml.footer+xml"/>
  <Override PartName="/word/footer113.xml" ContentType="application/vnd.openxmlformats-officedocument.wordprocessingml.footer+xml"/>
  <Override PartName="/word/footer114.xml" ContentType="application/vnd.openxmlformats-officedocument.wordprocessingml.footer+xml"/>
  <Override PartName="/word/footer115.xml" ContentType="application/vnd.openxmlformats-officedocument.wordprocessingml.footer+xml"/>
  <Override PartName="/word/footer116.xml" ContentType="application/vnd.openxmlformats-officedocument.wordprocessingml.footer+xml"/>
  <Override PartName="/word/footer117.xml" ContentType="application/vnd.openxmlformats-officedocument.wordprocessingml.footer+xml"/>
  <Override PartName="/word/footer118.xml" ContentType="application/vnd.openxmlformats-officedocument.wordprocessingml.footer+xml"/>
  <Override PartName="/word/footer119.xml" ContentType="application/vnd.openxmlformats-officedocument.wordprocessingml.footer+xml"/>
  <Override PartName="/word/footer12.xml" ContentType="application/vnd.openxmlformats-officedocument.wordprocessingml.footer+xml"/>
  <Override PartName="/word/footer120.xml" ContentType="application/vnd.openxmlformats-officedocument.wordprocessingml.footer+xml"/>
  <Override PartName="/word/footer121.xml" ContentType="application/vnd.openxmlformats-officedocument.wordprocessingml.footer+xml"/>
  <Override PartName="/word/footer122.xml" ContentType="application/vnd.openxmlformats-officedocument.wordprocessingml.footer+xml"/>
  <Override PartName="/word/footer123.xml" ContentType="application/vnd.openxmlformats-officedocument.wordprocessingml.footer+xml"/>
  <Override PartName="/word/footer124.xml" ContentType="application/vnd.openxmlformats-officedocument.wordprocessingml.footer+xml"/>
  <Override PartName="/word/footer125.xml" ContentType="application/vnd.openxmlformats-officedocument.wordprocessingml.footer+xml"/>
  <Override PartName="/word/footer126.xml" ContentType="application/vnd.openxmlformats-officedocument.wordprocessingml.footer+xml"/>
  <Override PartName="/word/footer127.xml" ContentType="application/vnd.openxmlformats-officedocument.wordprocessingml.footer+xml"/>
  <Override PartName="/word/footer128.xml" ContentType="application/vnd.openxmlformats-officedocument.wordprocessingml.footer+xml"/>
  <Override PartName="/word/footer129.xml" ContentType="application/vnd.openxmlformats-officedocument.wordprocessingml.footer+xml"/>
  <Override PartName="/word/footer13.xml" ContentType="application/vnd.openxmlformats-officedocument.wordprocessingml.footer+xml"/>
  <Override PartName="/word/footer130.xml" ContentType="application/vnd.openxmlformats-officedocument.wordprocessingml.footer+xml"/>
  <Override PartName="/word/footer131.xml" ContentType="application/vnd.openxmlformats-officedocument.wordprocessingml.footer+xml"/>
  <Override PartName="/word/footer132.xml" ContentType="application/vnd.openxmlformats-officedocument.wordprocessingml.footer+xml"/>
  <Override PartName="/word/footer133.xml" ContentType="application/vnd.openxmlformats-officedocument.wordprocessingml.footer+xml"/>
  <Override PartName="/word/footer134.xml" ContentType="application/vnd.openxmlformats-officedocument.wordprocessingml.footer+xml"/>
  <Override PartName="/word/footer135.xml" ContentType="application/vnd.openxmlformats-officedocument.wordprocessingml.footer+xml"/>
  <Override PartName="/word/footer136.xml" ContentType="application/vnd.openxmlformats-officedocument.wordprocessingml.footer+xml"/>
  <Override PartName="/word/footer137.xml" ContentType="application/vnd.openxmlformats-officedocument.wordprocessingml.footer+xml"/>
  <Override PartName="/word/footer138.xml" ContentType="application/vnd.openxmlformats-officedocument.wordprocessingml.footer+xml"/>
  <Override PartName="/word/footer139.xml" ContentType="application/vnd.openxmlformats-officedocument.wordprocessingml.footer+xml"/>
  <Override PartName="/word/footer14.xml" ContentType="application/vnd.openxmlformats-officedocument.wordprocessingml.footer+xml"/>
  <Override PartName="/word/footer140.xml" ContentType="application/vnd.openxmlformats-officedocument.wordprocessingml.footer+xml"/>
  <Override PartName="/word/footer141.xml" ContentType="application/vnd.openxmlformats-officedocument.wordprocessingml.footer+xml"/>
  <Override PartName="/word/footer142.xml" ContentType="application/vnd.openxmlformats-officedocument.wordprocessingml.footer+xml"/>
  <Override PartName="/word/footer143.xml" ContentType="application/vnd.openxmlformats-officedocument.wordprocessingml.footer+xml"/>
  <Override PartName="/word/footer144.xml" ContentType="application/vnd.openxmlformats-officedocument.wordprocessingml.footer+xml"/>
  <Override PartName="/word/footer145.xml" ContentType="application/vnd.openxmlformats-officedocument.wordprocessingml.footer+xml"/>
  <Override PartName="/word/footer146.xml" ContentType="application/vnd.openxmlformats-officedocument.wordprocessingml.footer+xml"/>
  <Override PartName="/word/footer147.xml" ContentType="application/vnd.openxmlformats-officedocument.wordprocessingml.footer+xml"/>
  <Override PartName="/word/footer148.xml" ContentType="application/vnd.openxmlformats-officedocument.wordprocessingml.footer+xml"/>
  <Override PartName="/word/footer149.xml" ContentType="application/vnd.openxmlformats-officedocument.wordprocessingml.footer+xml"/>
  <Override PartName="/word/footer15.xml" ContentType="application/vnd.openxmlformats-officedocument.wordprocessingml.footer+xml"/>
  <Override PartName="/word/footer150.xml" ContentType="application/vnd.openxmlformats-officedocument.wordprocessingml.footer+xml"/>
  <Override PartName="/word/footer151.xml" ContentType="application/vnd.openxmlformats-officedocument.wordprocessingml.footer+xml"/>
  <Override PartName="/word/footer152.xml" ContentType="application/vnd.openxmlformats-officedocument.wordprocessingml.footer+xml"/>
  <Override PartName="/word/footer153.xml" ContentType="application/vnd.openxmlformats-officedocument.wordprocessingml.footer+xml"/>
  <Override PartName="/word/footer154.xml" ContentType="application/vnd.openxmlformats-officedocument.wordprocessingml.footer+xml"/>
  <Override PartName="/word/footer155.xml" ContentType="application/vnd.openxmlformats-officedocument.wordprocessingml.footer+xml"/>
  <Override PartName="/word/footer156.xml" ContentType="application/vnd.openxmlformats-officedocument.wordprocessingml.footer+xml"/>
  <Override PartName="/word/footer157.xml" ContentType="application/vnd.openxmlformats-officedocument.wordprocessingml.footer+xml"/>
  <Override PartName="/word/footer158.xml" ContentType="application/vnd.openxmlformats-officedocument.wordprocessingml.footer+xml"/>
  <Override PartName="/word/footer159.xml" ContentType="application/vnd.openxmlformats-officedocument.wordprocessingml.footer+xml"/>
  <Override PartName="/word/footer16.xml" ContentType="application/vnd.openxmlformats-officedocument.wordprocessingml.footer+xml"/>
  <Override PartName="/word/footer160.xml" ContentType="application/vnd.openxmlformats-officedocument.wordprocessingml.footer+xml"/>
  <Override PartName="/word/footer161.xml" ContentType="application/vnd.openxmlformats-officedocument.wordprocessingml.footer+xml"/>
  <Override PartName="/word/footer162.xml" ContentType="application/vnd.openxmlformats-officedocument.wordprocessingml.footer+xml"/>
  <Override PartName="/word/footer163.xml" ContentType="application/vnd.openxmlformats-officedocument.wordprocessingml.footer+xml"/>
  <Override PartName="/word/footer164.xml" ContentType="application/vnd.openxmlformats-officedocument.wordprocessingml.footer+xml"/>
  <Override PartName="/word/footer165.xml" ContentType="application/vnd.openxmlformats-officedocument.wordprocessingml.footer+xml"/>
  <Override PartName="/word/footer166.xml" ContentType="application/vnd.openxmlformats-officedocument.wordprocessingml.footer+xml"/>
  <Override PartName="/word/footer167.xml" ContentType="application/vnd.openxmlformats-officedocument.wordprocessingml.footer+xml"/>
  <Override PartName="/word/footer168.xml" ContentType="application/vnd.openxmlformats-officedocument.wordprocessingml.footer+xml"/>
  <Override PartName="/word/footer169.xml" ContentType="application/vnd.openxmlformats-officedocument.wordprocessingml.footer+xml"/>
  <Override PartName="/word/footer17.xml" ContentType="application/vnd.openxmlformats-officedocument.wordprocessingml.footer+xml"/>
  <Override PartName="/word/footer170.xml" ContentType="application/vnd.openxmlformats-officedocument.wordprocessingml.footer+xml"/>
  <Override PartName="/word/footer171.xml" ContentType="application/vnd.openxmlformats-officedocument.wordprocessingml.footer+xml"/>
  <Override PartName="/word/footer172.xml" ContentType="application/vnd.openxmlformats-officedocument.wordprocessingml.footer+xml"/>
  <Override PartName="/word/footer173.xml" ContentType="application/vnd.openxmlformats-officedocument.wordprocessingml.footer+xml"/>
  <Override PartName="/word/footer174.xml" ContentType="application/vnd.openxmlformats-officedocument.wordprocessingml.footer+xml"/>
  <Override PartName="/word/footer175.xml" ContentType="application/vnd.openxmlformats-officedocument.wordprocessingml.footer+xml"/>
  <Override PartName="/word/footer176.xml" ContentType="application/vnd.openxmlformats-officedocument.wordprocessingml.footer+xml"/>
  <Override PartName="/word/footer177.xml" ContentType="application/vnd.openxmlformats-officedocument.wordprocessingml.footer+xml"/>
  <Override PartName="/word/footer178.xml" ContentType="application/vnd.openxmlformats-officedocument.wordprocessingml.footer+xml"/>
  <Override PartName="/word/footer179.xml" ContentType="application/vnd.openxmlformats-officedocument.wordprocessingml.footer+xml"/>
  <Override PartName="/word/footer18.xml" ContentType="application/vnd.openxmlformats-officedocument.wordprocessingml.footer+xml"/>
  <Override PartName="/word/footer180.xml" ContentType="application/vnd.openxmlformats-officedocument.wordprocessingml.footer+xml"/>
  <Override PartName="/word/footer181.xml" ContentType="application/vnd.openxmlformats-officedocument.wordprocessingml.footer+xml"/>
  <Override PartName="/word/footer182.xml" ContentType="application/vnd.openxmlformats-officedocument.wordprocessingml.footer+xml"/>
  <Override PartName="/word/footer183.xml" ContentType="application/vnd.openxmlformats-officedocument.wordprocessingml.footer+xml"/>
  <Override PartName="/word/footer184.xml" ContentType="application/vnd.openxmlformats-officedocument.wordprocessingml.footer+xml"/>
  <Override PartName="/word/footer185.xml" ContentType="application/vnd.openxmlformats-officedocument.wordprocessingml.footer+xml"/>
  <Override PartName="/word/footer186.xml" ContentType="application/vnd.openxmlformats-officedocument.wordprocessingml.footer+xml"/>
  <Override PartName="/word/footer187.xml" ContentType="application/vnd.openxmlformats-officedocument.wordprocessingml.footer+xml"/>
  <Override PartName="/word/footer188.xml" ContentType="application/vnd.openxmlformats-officedocument.wordprocessingml.footer+xml"/>
  <Override PartName="/word/footer189.xml" ContentType="application/vnd.openxmlformats-officedocument.wordprocessingml.footer+xml"/>
  <Override PartName="/word/footer19.xml" ContentType="application/vnd.openxmlformats-officedocument.wordprocessingml.footer+xml"/>
  <Override PartName="/word/footer190.xml" ContentType="application/vnd.openxmlformats-officedocument.wordprocessingml.footer+xml"/>
  <Override PartName="/word/footer191.xml" ContentType="application/vnd.openxmlformats-officedocument.wordprocessingml.footer+xml"/>
  <Override PartName="/word/footer192.xml" ContentType="application/vnd.openxmlformats-officedocument.wordprocessingml.footer+xml"/>
  <Override PartName="/word/footer193.xml" ContentType="application/vnd.openxmlformats-officedocument.wordprocessingml.footer+xml"/>
  <Override PartName="/word/footer194.xml" ContentType="application/vnd.openxmlformats-officedocument.wordprocessingml.footer+xml"/>
  <Override PartName="/word/footer195.xml" ContentType="application/vnd.openxmlformats-officedocument.wordprocessingml.footer+xml"/>
  <Override PartName="/word/footer196.xml" ContentType="application/vnd.openxmlformats-officedocument.wordprocessingml.footer+xml"/>
  <Override PartName="/word/footer197.xml" ContentType="application/vnd.openxmlformats-officedocument.wordprocessingml.footer+xml"/>
  <Override PartName="/word/footer198.xml" ContentType="application/vnd.openxmlformats-officedocument.wordprocessingml.footer+xml"/>
  <Override PartName="/word/footer19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00.xml" ContentType="application/vnd.openxmlformats-officedocument.wordprocessingml.footer+xml"/>
  <Override PartName="/word/footer201.xml" ContentType="application/vnd.openxmlformats-officedocument.wordprocessingml.footer+xml"/>
  <Override PartName="/word/footer202.xml" ContentType="application/vnd.openxmlformats-officedocument.wordprocessingml.footer+xml"/>
  <Override PartName="/word/footer203.xml" ContentType="application/vnd.openxmlformats-officedocument.wordprocessingml.footer+xml"/>
  <Override PartName="/word/footer204.xml" ContentType="application/vnd.openxmlformats-officedocument.wordprocessingml.footer+xml"/>
  <Override PartName="/word/footer205.xml" ContentType="application/vnd.openxmlformats-officedocument.wordprocessingml.footer+xml"/>
  <Override PartName="/word/footer206.xml" ContentType="application/vnd.openxmlformats-officedocument.wordprocessingml.footer+xml"/>
  <Override PartName="/word/footer207.xml" ContentType="application/vnd.openxmlformats-officedocument.wordprocessingml.footer+xml"/>
  <Override PartName="/word/footer208.xml" ContentType="application/vnd.openxmlformats-officedocument.wordprocessingml.footer+xml"/>
  <Override PartName="/word/footer209.xml" ContentType="application/vnd.openxmlformats-officedocument.wordprocessingml.footer+xml"/>
  <Override PartName="/word/footer21.xml" ContentType="application/vnd.openxmlformats-officedocument.wordprocessingml.footer+xml"/>
  <Override PartName="/word/footer210.xml" ContentType="application/vnd.openxmlformats-officedocument.wordprocessingml.footer+xml"/>
  <Override PartName="/word/footer211.xml" ContentType="application/vnd.openxmlformats-officedocument.wordprocessingml.footer+xml"/>
  <Override PartName="/word/footer212.xml" ContentType="application/vnd.openxmlformats-officedocument.wordprocessingml.footer+xml"/>
  <Override PartName="/word/footer213.xml" ContentType="application/vnd.openxmlformats-officedocument.wordprocessingml.footer+xml"/>
  <Override PartName="/word/footer214.xml" ContentType="application/vnd.openxmlformats-officedocument.wordprocessingml.footer+xml"/>
  <Override PartName="/word/footer215.xml" ContentType="application/vnd.openxmlformats-officedocument.wordprocessingml.footer+xml"/>
  <Override PartName="/word/footer216.xml" ContentType="application/vnd.openxmlformats-officedocument.wordprocessingml.footer+xml"/>
  <Override PartName="/word/footer217.xml" ContentType="application/vnd.openxmlformats-officedocument.wordprocessingml.footer+xml"/>
  <Override PartName="/word/footer218.xml" ContentType="application/vnd.openxmlformats-officedocument.wordprocessingml.footer+xml"/>
  <Override PartName="/word/footer219.xml" ContentType="application/vnd.openxmlformats-officedocument.wordprocessingml.footer+xml"/>
  <Override PartName="/word/footer22.xml" ContentType="application/vnd.openxmlformats-officedocument.wordprocessingml.footer+xml"/>
  <Override PartName="/word/footer220.xml" ContentType="application/vnd.openxmlformats-officedocument.wordprocessingml.footer+xml"/>
  <Override PartName="/word/footer221.xml" ContentType="application/vnd.openxmlformats-officedocument.wordprocessingml.footer+xml"/>
  <Override PartName="/word/footer222.xml" ContentType="application/vnd.openxmlformats-officedocument.wordprocessingml.footer+xml"/>
  <Override PartName="/word/footer223.xml" ContentType="application/vnd.openxmlformats-officedocument.wordprocessingml.footer+xml"/>
  <Override PartName="/word/footer224.xml" ContentType="application/vnd.openxmlformats-officedocument.wordprocessingml.footer+xml"/>
  <Override PartName="/word/footer225.xml" ContentType="application/vnd.openxmlformats-officedocument.wordprocessingml.footer+xml"/>
  <Override PartName="/word/footer226.xml" ContentType="application/vnd.openxmlformats-officedocument.wordprocessingml.footer+xml"/>
  <Override PartName="/word/footer227.xml" ContentType="application/vnd.openxmlformats-officedocument.wordprocessingml.footer+xml"/>
  <Override PartName="/word/footer228.xml" ContentType="application/vnd.openxmlformats-officedocument.wordprocessingml.footer+xml"/>
  <Override PartName="/word/footer229.xml" ContentType="application/vnd.openxmlformats-officedocument.wordprocessingml.footer+xml"/>
  <Override PartName="/word/footer23.xml" ContentType="application/vnd.openxmlformats-officedocument.wordprocessingml.footer+xml"/>
  <Override PartName="/word/footer230.xml" ContentType="application/vnd.openxmlformats-officedocument.wordprocessingml.footer+xml"/>
  <Override PartName="/word/footer231.xml" ContentType="application/vnd.openxmlformats-officedocument.wordprocessingml.footer+xml"/>
  <Override PartName="/word/footer232.xml" ContentType="application/vnd.openxmlformats-officedocument.wordprocessingml.footer+xml"/>
  <Override PartName="/word/footer233.xml" ContentType="application/vnd.openxmlformats-officedocument.wordprocessingml.footer+xml"/>
  <Override PartName="/word/footer234.xml" ContentType="application/vnd.openxmlformats-officedocument.wordprocessingml.footer+xml"/>
  <Override PartName="/word/footer235.xml" ContentType="application/vnd.openxmlformats-officedocument.wordprocessingml.footer+xml"/>
  <Override PartName="/word/footer236.xml" ContentType="application/vnd.openxmlformats-officedocument.wordprocessingml.footer+xml"/>
  <Override PartName="/word/footer237.xml" ContentType="application/vnd.openxmlformats-officedocument.wordprocessingml.footer+xml"/>
  <Override PartName="/word/footer238.xml" ContentType="application/vnd.openxmlformats-officedocument.wordprocessingml.footer+xml"/>
  <Override PartName="/word/footer239.xml" ContentType="application/vnd.openxmlformats-officedocument.wordprocessingml.footer+xml"/>
  <Override PartName="/word/footer24.xml" ContentType="application/vnd.openxmlformats-officedocument.wordprocessingml.footer+xml"/>
  <Override PartName="/word/footer240.xml" ContentType="application/vnd.openxmlformats-officedocument.wordprocessingml.footer+xml"/>
  <Override PartName="/word/footer241.xml" ContentType="application/vnd.openxmlformats-officedocument.wordprocessingml.footer+xml"/>
  <Override PartName="/word/footer242.xml" ContentType="application/vnd.openxmlformats-officedocument.wordprocessingml.footer+xml"/>
  <Override PartName="/word/footer243.xml" ContentType="application/vnd.openxmlformats-officedocument.wordprocessingml.footer+xml"/>
  <Override PartName="/word/footer244.xml" ContentType="application/vnd.openxmlformats-officedocument.wordprocessingml.footer+xml"/>
  <Override PartName="/word/footer245.xml" ContentType="application/vnd.openxmlformats-officedocument.wordprocessingml.footer+xml"/>
  <Override PartName="/word/footer246.xml" ContentType="application/vnd.openxmlformats-officedocument.wordprocessingml.footer+xml"/>
  <Override PartName="/word/footer247.xml" ContentType="application/vnd.openxmlformats-officedocument.wordprocessingml.footer+xml"/>
  <Override PartName="/word/footer248.xml" ContentType="application/vnd.openxmlformats-officedocument.wordprocessingml.footer+xml"/>
  <Override PartName="/word/footer249.xml" ContentType="application/vnd.openxmlformats-officedocument.wordprocessingml.footer+xml"/>
  <Override PartName="/word/footer25.xml" ContentType="application/vnd.openxmlformats-officedocument.wordprocessingml.footer+xml"/>
  <Override PartName="/word/footer250.xml" ContentType="application/vnd.openxmlformats-officedocument.wordprocessingml.footer+xml"/>
  <Override PartName="/word/footer251.xml" ContentType="application/vnd.openxmlformats-officedocument.wordprocessingml.footer+xml"/>
  <Override PartName="/word/footer252.xml" ContentType="application/vnd.openxmlformats-officedocument.wordprocessingml.footer+xml"/>
  <Override PartName="/word/footer253.xml" ContentType="application/vnd.openxmlformats-officedocument.wordprocessingml.footer+xml"/>
  <Override PartName="/word/footer254.xml" ContentType="application/vnd.openxmlformats-officedocument.wordprocessingml.footer+xml"/>
  <Override PartName="/word/footer255.xml" ContentType="application/vnd.openxmlformats-officedocument.wordprocessingml.footer+xml"/>
  <Override PartName="/word/footer256.xml" ContentType="application/vnd.openxmlformats-officedocument.wordprocessingml.footer+xml"/>
  <Override PartName="/word/footer257.xml" ContentType="application/vnd.openxmlformats-officedocument.wordprocessingml.footer+xml"/>
  <Override PartName="/word/footer258.xml" ContentType="application/vnd.openxmlformats-officedocument.wordprocessingml.footer+xml"/>
  <Override PartName="/word/footer259.xml" ContentType="application/vnd.openxmlformats-officedocument.wordprocessingml.footer+xml"/>
  <Override PartName="/word/footer26.xml" ContentType="application/vnd.openxmlformats-officedocument.wordprocessingml.footer+xml"/>
  <Override PartName="/word/footer260.xml" ContentType="application/vnd.openxmlformats-officedocument.wordprocessingml.footer+xml"/>
  <Override PartName="/word/footer261.xml" ContentType="application/vnd.openxmlformats-officedocument.wordprocessingml.footer+xml"/>
  <Override PartName="/word/footer262.xml" ContentType="application/vnd.openxmlformats-officedocument.wordprocessingml.footer+xml"/>
  <Override PartName="/word/footer263.xml" ContentType="application/vnd.openxmlformats-officedocument.wordprocessingml.footer+xml"/>
  <Override PartName="/word/footer264.xml" ContentType="application/vnd.openxmlformats-officedocument.wordprocessingml.footer+xml"/>
  <Override PartName="/word/footer265.xml" ContentType="application/vnd.openxmlformats-officedocument.wordprocessingml.footer+xml"/>
  <Override PartName="/word/footer266.xml" ContentType="application/vnd.openxmlformats-officedocument.wordprocessingml.footer+xml"/>
  <Override PartName="/word/footer267.xml" ContentType="application/vnd.openxmlformats-officedocument.wordprocessingml.footer+xml"/>
  <Override PartName="/word/footer268.xml" ContentType="application/vnd.openxmlformats-officedocument.wordprocessingml.footer+xml"/>
  <Override PartName="/word/footer269.xml" ContentType="application/vnd.openxmlformats-officedocument.wordprocessingml.footer+xml"/>
  <Override PartName="/word/footer27.xml" ContentType="application/vnd.openxmlformats-officedocument.wordprocessingml.footer+xml"/>
  <Override PartName="/word/footer270.xml" ContentType="application/vnd.openxmlformats-officedocument.wordprocessingml.footer+xml"/>
  <Override PartName="/word/footer271.xml" ContentType="application/vnd.openxmlformats-officedocument.wordprocessingml.footer+xml"/>
  <Override PartName="/word/footer272.xml" ContentType="application/vnd.openxmlformats-officedocument.wordprocessingml.footer+xml"/>
  <Override PartName="/word/footer273.xml" ContentType="application/vnd.openxmlformats-officedocument.wordprocessingml.footer+xml"/>
  <Override PartName="/word/footer274.xml" ContentType="application/vnd.openxmlformats-officedocument.wordprocessingml.footer+xml"/>
  <Override PartName="/word/footer275.xml" ContentType="application/vnd.openxmlformats-officedocument.wordprocessingml.footer+xml"/>
  <Override PartName="/word/footer276.xml" ContentType="application/vnd.openxmlformats-officedocument.wordprocessingml.footer+xml"/>
  <Override PartName="/word/footer277.xml" ContentType="application/vnd.openxmlformats-officedocument.wordprocessingml.footer+xml"/>
  <Override PartName="/word/footer278.xml" ContentType="application/vnd.openxmlformats-officedocument.wordprocessingml.footer+xml"/>
  <Override PartName="/word/footer279.xml" ContentType="application/vnd.openxmlformats-officedocument.wordprocessingml.footer+xml"/>
  <Override PartName="/word/footer28.xml" ContentType="application/vnd.openxmlformats-officedocument.wordprocessingml.footer+xml"/>
  <Override PartName="/word/footer280.xml" ContentType="application/vnd.openxmlformats-officedocument.wordprocessingml.footer+xml"/>
  <Override PartName="/word/footer281.xml" ContentType="application/vnd.openxmlformats-officedocument.wordprocessingml.footer+xml"/>
  <Override PartName="/word/footer282.xml" ContentType="application/vnd.openxmlformats-officedocument.wordprocessingml.footer+xml"/>
  <Override PartName="/word/footer283.xml" ContentType="application/vnd.openxmlformats-officedocument.wordprocessingml.footer+xml"/>
  <Override PartName="/word/footer284.xml" ContentType="application/vnd.openxmlformats-officedocument.wordprocessingml.footer+xml"/>
  <Override PartName="/word/footer285.xml" ContentType="application/vnd.openxmlformats-officedocument.wordprocessingml.footer+xml"/>
  <Override PartName="/word/footer286.xml" ContentType="application/vnd.openxmlformats-officedocument.wordprocessingml.footer+xml"/>
  <Override PartName="/word/footer287.xml" ContentType="application/vnd.openxmlformats-officedocument.wordprocessingml.footer+xml"/>
  <Override PartName="/word/footer288.xml" ContentType="application/vnd.openxmlformats-officedocument.wordprocessingml.footer+xml"/>
  <Override PartName="/word/footer289.xml" ContentType="application/vnd.openxmlformats-officedocument.wordprocessingml.footer+xml"/>
  <Override PartName="/word/footer29.xml" ContentType="application/vnd.openxmlformats-officedocument.wordprocessingml.footer+xml"/>
  <Override PartName="/word/footer290.xml" ContentType="application/vnd.openxmlformats-officedocument.wordprocessingml.footer+xml"/>
  <Override PartName="/word/footer291.xml" ContentType="application/vnd.openxmlformats-officedocument.wordprocessingml.footer+xml"/>
  <Override PartName="/word/footer292.xml" ContentType="application/vnd.openxmlformats-officedocument.wordprocessingml.footer+xml"/>
  <Override PartName="/word/footer293.xml" ContentType="application/vnd.openxmlformats-officedocument.wordprocessingml.footer+xml"/>
  <Override PartName="/word/footer294.xml" ContentType="application/vnd.openxmlformats-officedocument.wordprocessingml.footer+xml"/>
  <Override PartName="/word/footer295.xml" ContentType="application/vnd.openxmlformats-officedocument.wordprocessingml.footer+xml"/>
  <Override PartName="/word/footer296.xml" ContentType="application/vnd.openxmlformats-officedocument.wordprocessingml.footer+xml"/>
  <Override PartName="/word/footer297.xml" ContentType="application/vnd.openxmlformats-officedocument.wordprocessingml.footer+xml"/>
  <Override PartName="/word/footer298.xml" ContentType="application/vnd.openxmlformats-officedocument.wordprocessingml.footer+xml"/>
  <Override PartName="/word/footer29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00.xml" ContentType="application/vnd.openxmlformats-officedocument.wordprocessingml.footer+xml"/>
  <Override PartName="/word/footer301.xml" ContentType="application/vnd.openxmlformats-officedocument.wordprocessingml.footer+xml"/>
  <Override PartName="/word/footer302.xml" ContentType="application/vnd.openxmlformats-officedocument.wordprocessingml.footer+xml"/>
  <Override PartName="/word/footer303.xml" ContentType="application/vnd.openxmlformats-officedocument.wordprocessingml.footer+xml"/>
  <Override PartName="/word/footer304.xml" ContentType="application/vnd.openxmlformats-officedocument.wordprocessingml.footer+xml"/>
  <Override PartName="/word/footer305.xml" ContentType="application/vnd.openxmlformats-officedocument.wordprocessingml.footer+xml"/>
  <Override PartName="/word/footer306.xml" ContentType="application/vnd.openxmlformats-officedocument.wordprocessingml.footer+xml"/>
  <Override PartName="/word/footer307.xml" ContentType="application/vnd.openxmlformats-officedocument.wordprocessingml.footer+xml"/>
  <Override PartName="/word/footer308.xml" ContentType="application/vnd.openxmlformats-officedocument.wordprocessingml.footer+xml"/>
  <Override PartName="/word/footer309.xml" ContentType="application/vnd.openxmlformats-officedocument.wordprocessingml.footer+xml"/>
  <Override PartName="/word/footer31.xml" ContentType="application/vnd.openxmlformats-officedocument.wordprocessingml.footer+xml"/>
  <Override PartName="/word/footer310.xml" ContentType="application/vnd.openxmlformats-officedocument.wordprocessingml.footer+xml"/>
  <Override PartName="/word/footer311.xml" ContentType="application/vnd.openxmlformats-officedocument.wordprocessingml.footer+xml"/>
  <Override PartName="/word/footer312.xml" ContentType="application/vnd.openxmlformats-officedocument.wordprocessingml.footer+xml"/>
  <Override PartName="/word/footer313.xml" ContentType="application/vnd.openxmlformats-officedocument.wordprocessingml.footer+xml"/>
  <Override PartName="/word/footer314.xml" ContentType="application/vnd.openxmlformats-officedocument.wordprocessingml.footer+xml"/>
  <Override PartName="/word/footer315.xml" ContentType="application/vnd.openxmlformats-officedocument.wordprocessingml.footer+xml"/>
  <Override PartName="/word/footer316.xml" ContentType="application/vnd.openxmlformats-officedocument.wordprocessingml.footer+xml"/>
  <Override PartName="/word/footer317.xml" ContentType="application/vnd.openxmlformats-officedocument.wordprocessingml.footer+xml"/>
  <Override PartName="/word/footer318.xml" ContentType="application/vnd.openxmlformats-officedocument.wordprocessingml.footer+xml"/>
  <Override PartName="/word/footer319.xml" ContentType="application/vnd.openxmlformats-officedocument.wordprocessingml.footer+xml"/>
  <Override PartName="/word/footer32.xml" ContentType="application/vnd.openxmlformats-officedocument.wordprocessingml.footer+xml"/>
  <Override PartName="/word/footer320.xml" ContentType="application/vnd.openxmlformats-officedocument.wordprocessingml.footer+xml"/>
  <Override PartName="/word/footer321.xml" ContentType="application/vnd.openxmlformats-officedocument.wordprocessingml.footer+xml"/>
  <Override PartName="/word/footer322.xml" ContentType="application/vnd.openxmlformats-officedocument.wordprocessingml.footer+xml"/>
  <Override PartName="/word/footer323.xml" ContentType="application/vnd.openxmlformats-officedocument.wordprocessingml.footer+xml"/>
  <Override PartName="/word/footer324.xml" ContentType="application/vnd.openxmlformats-officedocument.wordprocessingml.footer+xml"/>
  <Override PartName="/word/footer325.xml" ContentType="application/vnd.openxmlformats-officedocument.wordprocessingml.footer+xml"/>
  <Override PartName="/word/footer326.xml" ContentType="application/vnd.openxmlformats-officedocument.wordprocessingml.footer+xml"/>
  <Override PartName="/word/footer327.xml" ContentType="application/vnd.openxmlformats-officedocument.wordprocessingml.footer+xml"/>
  <Override PartName="/word/footer328.xml" ContentType="application/vnd.openxmlformats-officedocument.wordprocessingml.footer+xml"/>
  <Override PartName="/word/footer329.xml" ContentType="application/vnd.openxmlformats-officedocument.wordprocessingml.footer+xml"/>
  <Override PartName="/word/footer33.xml" ContentType="application/vnd.openxmlformats-officedocument.wordprocessingml.footer+xml"/>
  <Override PartName="/word/footer330.xml" ContentType="application/vnd.openxmlformats-officedocument.wordprocessingml.footer+xml"/>
  <Override PartName="/word/footer331.xml" ContentType="application/vnd.openxmlformats-officedocument.wordprocessingml.footer+xml"/>
  <Override PartName="/word/footer332.xml" ContentType="application/vnd.openxmlformats-officedocument.wordprocessingml.footer+xml"/>
  <Override PartName="/word/footer333.xml" ContentType="application/vnd.openxmlformats-officedocument.wordprocessingml.footer+xml"/>
  <Override PartName="/word/footer334.xml" ContentType="application/vnd.openxmlformats-officedocument.wordprocessingml.footer+xml"/>
  <Override PartName="/word/footer335.xml" ContentType="application/vnd.openxmlformats-officedocument.wordprocessingml.footer+xml"/>
  <Override PartName="/word/footer336.xml" ContentType="application/vnd.openxmlformats-officedocument.wordprocessingml.footer+xml"/>
  <Override PartName="/word/footer337.xml" ContentType="application/vnd.openxmlformats-officedocument.wordprocessingml.footer+xml"/>
  <Override PartName="/word/footer338.xml" ContentType="application/vnd.openxmlformats-officedocument.wordprocessingml.footer+xml"/>
  <Override PartName="/word/footer339.xml" ContentType="application/vnd.openxmlformats-officedocument.wordprocessingml.footer+xml"/>
  <Override PartName="/word/footer34.xml" ContentType="application/vnd.openxmlformats-officedocument.wordprocessingml.footer+xml"/>
  <Override PartName="/word/footer340.xml" ContentType="application/vnd.openxmlformats-officedocument.wordprocessingml.footer+xml"/>
  <Override PartName="/word/footer341.xml" ContentType="application/vnd.openxmlformats-officedocument.wordprocessingml.footer+xml"/>
  <Override PartName="/word/footer342.xml" ContentType="application/vnd.openxmlformats-officedocument.wordprocessingml.footer+xml"/>
  <Override PartName="/word/footer343.xml" ContentType="application/vnd.openxmlformats-officedocument.wordprocessingml.footer+xml"/>
  <Override PartName="/word/footer344.xml" ContentType="application/vnd.openxmlformats-officedocument.wordprocessingml.footer+xml"/>
  <Override PartName="/word/footer345.xml" ContentType="application/vnd.openxmlformats-officedocument.wordprocessingml.footer+xml"/>
  <Override PartName="/word/footer346.xml" ContentType="application/vnd.openxmlformats-officedocument.wordprocessingml.footer+xml"/>
  <Override PartName="/word/footer347.xml" ContentType="application/vnd.openxmlformats-officedocument.wordprocessingml.footer+xml"/>
  <Override PartName="/word/footer348.xml" ContentType="application/vnd.openxmlformats-officedocument.wordprocessingml.footer+xml"/>
  <Override PartName="/word/footer349.xml" ContentType="application/vnd.openxmlformats-officedocument.wordprocessingml.footer+xml"/>
  <Override PartName="/word/footer35.xml" ContentType="application/vnd.openxmlformats-officedocument.wordprocessingml.footer+xml"/>
  <Override PartName="/word/footer350.xml" ContentType="application/vnd.openxmlformats-officedocument.wordprocessingml.footer+xml"/>
  <Override PartName="/word/footer351.xml" ContentType="application/vnd.openxmlformats-officedocument.wordprocessingml.footer+xml"/>
  <Override PartName="/word/footer352.xml" ContentType="application/vnd.openxmlformats-officedocument.wordprocessingml.footer+xml"/>
  <Override PartName="/word/footer353.xml" ContentType="application/vnd.openxmlformats-officedocument.wordprocessingml.footer+xml"/>
  <Override PartName="/word/footer354.xml" ContentType="application/vnd.openxmlformats-officedocument.wordprocessingml.footer+xml"/>
  <Override PartName="/word/footer355.xml" ContentType="application/vnd.openxmlformats-officedocument.wordprocessingml.footer+xml"/>
  <Override PartName="/word/footer356.xml" ContentType="application/vnd.openxmlformats-officedocument.wordprocessingml.footer+xml"/>
  <Override PartName="/word/footer357.xml" ContentType="application/vnd.openxmlformats-officedocument.wordprocessingml.footer+xml"/>
  <Override PartName="/word/footer358.xml" ContentType="application/vnd.openxmlformats-officedocument.wordprocessingml.footer+xml"/>
  <Override PartName="/word/footer359.xml" ContentType="application/vnd.openxmlformats-officedocument.wordprocessingml.footer+xml"/>
  <Override PartName="/word/footer36.xml" ContentType="application/vnd.openxmlformats-officedocument.wordprocessingml.footer+xml"/>
  <Override PartName="/word/footer360.xml" ContentType="application/vnd.openxmlformats-officedocument.wordprocessingml.footer+xml"/>
  <Override PartName="/word/footer361.xml" ContentType="application/vnd.openxmlformats-officedocument.wordprocessingml.footer+xml"/>
  <Override PartName="/word/footer362.xml" ContentType="application/vnd.openxmlformats-officedocument.wordprocessingml.footer+xml"/>
  <Override PartName="/word/footer363.xml" ContentType="application/vnd.openxmlformats-officedocument.wordprocessingml.footer+xml"/>
  <Override PartName="/word/footer364.xml" ContentType="application/vnd.openxmlformats-officedocument.wordprocessingml.footer+xml"/>
  <Override PartName="/word/footer365.xml" ContentType="application/vnd.openxmlformats-officedocument.wordprocessingml.footer+xml"/>
  <Override PartName="/word/footer366.xml" ContentType="application/vnd.openxmlformats-officedocument.wordprocessingml.footer+xml"/>
  <Override PartName="/word/footer367.xml" ContentType="application/vnd.openxmlformats-officedocument.wordprocessingml.footer+xml"/>
  <Override PartName="/word/footer368.xml" ContentType="application/vnd.openxmlformats-officedocument.wordprocessingml.footer+xml"/>
  <Override PartName="/word/footer369.xml" ContentType="application/vnd.openxmlformats-officedocument.wordprocessingml.footer+xml"/>
  <Override PartName="/word/footer37.xml" ContentType="application/vnd.openxmlformats-officedocument.wordprocessingml.footer+xml"/>
  <Override PartName="/word/footer370.xml" ContentType="application/vnd.openxmlformats-officedocument.wordprocessingml.footer+xml"/>
  <Override PartName="/word/footer371.xml" ContentType="application/vnd.openxmlformats-officedocument.wordprocessingml.footer+xml"/>
  <Override PartName="/word/footer372.xml" ContentType="application/vnd.openxmlformats-officedocument.wordprocessingml.footer+xml"/>
  <Override PartName="/word/footer373.xml" ContentType="application/vnd.openxmlformats-officedocument.wordprocessingml.footer+xml"/>
  <Override PartName="/word/footer374.xml" ContentType="application/vnd.openxmlformats-officedocument.wordprocessingml.footer+xml"/>
  <Override PartName="/word/footer375.xml" ContentType="application/vnd.openxmlformats-officedocument.wordprocessingml.footer+xml"/>
  <Override PartName="/word/footer376.xml" ContentType="application/vnd.openxmlformats-officedocument.wordprocessingml.footer+xml"/>
  <Override PartName="/word/footer377.xml" ContentType="application/vnd.openxmlformats-officedocument.wordprocessingml.footer+xml"/>
  <Override PartName="/word/footer378.xml" ContentType="application/vnd.openxmlformats-officedocument.wordprocessingml.footer+xml"/>
  <Override PartName="/word/footer379.xml" ContentType="application/vnd.openxmlformats-officedocument.wordprocessingml.footer+xml"/>
  <Override PartName="/word/footer38.xml" ContentType="application/vnd.openxmlformats-officedocument.wordprocessingml.footer+xml"/>
  <Override PartName="/word/footer380.xml" ContentType="application/vnd.openxmlformats-officedocument.wordprocessingml.footer+xml"/>
  <Override PartName="/word/footer381.xml" ContentType="application/vnd.openxmlformats-officedocument.wordprocessingml.footer+xml"/>
  <Override PartName="/word/footer382.xml" ContentType="application/vnd.openxmlformats-officedocument.wordprocessingml.footer+xml"/>
  <Override PartName="/word/footer383.xml" ContentType="application/vnd.openxmlformats-officedocument.wordprocessingml.footer+xml"/>
  <Override PartName="/word/footer384.xml" ContentType="application/vnd.openxmlformats-officedocument.wordprocessingml.footer+xml"/>
  <Override PartName="/word/footer385.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footer79.xml" ContentType="application/vnd.openxmlformats-officedocument.wordprocessingml.footer+xml"/>
  <Override PartName="/word/footer8.xml" ContentType="application/vnd.openxmlformats-officedocument.wordprocessingml.footer+xml"/>
  <Override PartName="/word/footer80.xml" ContentType="application/vnd.openxmlformats-officedocument.wordprocessingml.footer+xml"/>
  <Override PartName="/word/footer81.xml" ContentType="application/vnd.openxmlformats-officedocument.wordprocessingml.footer+xml"/>
  <Override PartName="/word/footer82.xml" ContentType="application/vnd.openxmlformats-officedocument.wordprocessingml.footer+xml"/>
  <Override PartName="/word/footer83.xml" ContentType="application/vnd.openxmlformats-officedocument.wordprocessingml.footer+xml"/>
  <Override PartName="/word/footer84.xml" ContentType="application/vnd.openxmlformats-officedocument.wordprocessingml.footer+xml"/>
  <Override PartName="/word/footer85.xml" ContentType="application/vnd.openxmlformats-officedocument.wordprocessingml.footer+xml"/>
  <Override PartName="/word/footer86.xml" ContentType="application/vnd.openxmlformats-officedocument.wordprocessingml.footer+xml"/>
  <Override PartName="/word/footer87.xml" ContentType="application/vnd.openxmlformats-officedocument.wordprocessingml.footer+xml"/>
  <Override PartName="/word/footer88.xml" ContentType="application/vnd.openxmlformats-officedocument.wordprocessingml.footer+xml"/>
  <Override PartName="/word/footer89.xml" ContentType="application/vnd.openxmlformats-officedocument.wordprocessingml.footer+xml"/>
  <Override PartName="/word/footer9.xml" ContentType="application/vnd.openxmlformats-officedocument.wordprocessingml.footer+xml"/>
  <Override PartName="/word/footer90.xml" ContentType="application/vnd.openxmlformats-officedocument.wordprocessingml.footer+xml"/>
  <Override PartName="/word/footer91.xml" ContentType="application/vnd.openxmlformats-officedocument.wordprocessingml.footer+xml"/>
  <Override PartName="/word/footer92.xml" ContentType="application/vnd.openxmlformats-officedocument.wordprocessingml.footer+xml"/>
  <Override PartName="/word/footer93.xml" ContentType="application/vnd.openxmlformats-officedocument.wordprocessingml.footer+xml"/>
  <Override PartName="/word/footer94.xml" ContentType="application/vnd.openxmlformats-officedocument.wordprocessingml.footer+xml"/>
  <Override PartName="/word/footer95.xml" ContentType="application/vnd.openxmlformats-officedocument.wordprocessingml.footer+xml"/>
  <Override PartName="/word/footer96.xml" ContentType="application/vnd.openxmlformats-officedocument.wordprocessingml.footer+xml"/>
  <Override PartName="/word/footer97.xml" ContentType="application/vnd.openxmlformats-officedocument.wordprocessingml.footer+xml"/>
  <Override PartName="/word/footer98.xml" ContentType="application/vnd.openxmlformats-officedocument.wordprocessingml.footer+xml"/>
  <Override PartName="/word/footer9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EBD019">
      <w:pPr>
        <w:spacing w:line="250" w:lineRule="auto"/>
        <w:rPr>
          <w:rFonts w:ascii="Arial"/>
          <w:sz w:val="21"/>
        </w:rPr>
      </w:pPr>
    </w:p>
    <w:p w14:paraId="3799E995">
      <w:pPr>
        <w:spacing w:line="250" w:lineRule="auto"/>
        <w:rPr>
          <w:rFonts w:ascii="Arial"/>
          <w:sz w:val="21"/>
        </w:rPr>
      </w:pPr>
    </w:p>
    <w:p w14:paraId="34E41C3C">
      <w:pPr>
        <w:spacing w:line="250" w:lineRule="auto"/>
        <w:rPr>
          <w:rFonts w:ascii="Arial"/>
          <w:sz w:val="21"/>
        </w:rPr>
      </w:pPr>
    </w:p>
    <w:p w14:paraId="732583D5">
      <w:pPr>
        <w:spacing w:line="250" w:lineRule="auto"/>
        <w:rPr>
          <w:rFonts w:ascii="Arial"/>
          <w:sz w:val="21"/>
        </w:rPr>
      </w:pPr>
    </w:p>
    <w:p w14:paraId="60B0505F">
      <w:pPr>
        <w:pStyle w:val="2"/>
        <w:tabs>
          <w:tab w:val="left" w:pos="182"/>
        </w:tabs>
        <w:spacing w:before="104" w:line="314" w:lineRule="auto"/>
        <w:ind w:left="23" w:firstLine="440"/>
        <w:jc w:val="both"/>
        <w:rPr>
          <w:rFonts w:ascii="黑体" w:hAnsi="黑体" w:eastAsia="黑体" w:cs="黑体"/>
          <w:sz w:val="32"/>
          <w:szCs w:val="32"/>
        </w:rPr>
      </w:pPr>
      <w:r>
        <w:rPr>
          <w:rFonts w:hint="eastAsia"/>
          <w:color w:val="2020F0"/>
          <w:spacing w:val="9"/>
          <w:sz w:val="32"/>
          <w:szCs w:val="32"/>
          <w:lang w:eastAsia="zh-CN"/>
        </w:rPr>
        <w:t>罗田县落梅河片区供水提升工程项目</w:t>
      </w:r>
      <w:r>
        <w:rPr>
          <w:sz w:val="32"/>
          <w:szCs w:val="32"/>
        </w:rPr>
        <w:tab/>
      </w:r>
      <w:r>
        <w:rPr>
          <w:spacing w:val="5"/>
          <w:sz w:val="32"/>
          <w:szCs w:val="32"/>
        </w:rPr>
        <w:t>(项目名称)</w:t>
      </w:r>
      <w:r>
        <w:rPr>
          <w:rFonts w:hint="eastAsia"/>
          <w:color w:val="2020F0"/>
          <w:spacing w:val="5"/>
          <w:sz w:val="32"/>
          <w:szCs w:val="32"/>
          <w:lang w:eastAsia="zh-CN"/>
        </w:rPr>
        <w:t>罗田县落梅河片区供水提升工程项目</w:t>
      </w:r>
      <w:r>
        <w:rPr>
          <w:spacing w:val="17"/>
          <w:sz w:val="32"/>
          <w:szCs w:val="32"/>
        </w:rPr>
        <w:t>(标段名称)</w:t>
      </w:r>
      <w:r>
        <w:rPr>
          <w:rFonts w:ascii="黑体" w:hAnsi="黑体" w:eastAsia="黑体" w:cs="黑体"/>
          <w:b/>
          <w:bCs/>
          <w:spacing w:val="17"/>
          <w:sz w:val="32"/>
          <w:szCs w:val="32"/>
        </w:rPr>
        <w:t>施工招标</w:t>
      </w:r>
    </w:p>
    <w:p w14:paraId="3D76D9AE">
      <w:pPr>
        <w:spacing w:line="268" w:lineRule="auto"/>
        <w:rPr>
          <w:rFonts w:ascii="Arial"/>
          <w:sz w:val="21"/>
        </w:rPr>
      </w:pPr>
    </w:p>
    <w:p w14:paraId="12022736">
      <w:pPr>
        <w:spacing w:line="268" w:lineRule="auto"/>
        <w:rPr>
          <w:rFonts w:ascii="Arial"/>
          <w:sz w:val="21"/>
        </w:rPr>
      </w:pPr>
    </w:p>
    <w:p w14:paraId="24D9AD72">
      <w:pPr>
        <w:spacing w:line="268" w:lineRule="auto"/>
        <w:rPr>
          <w:rFonts w:ascii="Arial"/>
          <w:sz w:val="21"/>
        </w:rPr>
      </w:pPr>
    </w:p>
    <w:p w14:paraId="0A9A99DD">
      <w:pPr>
        <w:spacing w:line="268" w:lineRule="auto"/>
        <w:rPr>
          <w:rFonts w:ascii="Arial"/>
          <w:sz w:val="21"/>
        </w:rPr>
      </w:pPr>
    </w:p>
    <w:p w14:paraId="15942AFF">
      <w:pPr>
        <w:spacing w:before="231" w:line="222" w:lineRule="auto"/>
        <w:ind w:left="2223"/>
        <w:rPr>
          <w:rFonts w:ascii="黑体" w:hAnsi="黑体" w:eastAsia="黑体" w:cs="黑体"/>
          <w:sz w:val="71"/>
          <w:szCs w:val="71"/>
        </w:rPr>
      </w:pPr>
      <w:r>
        <w:rPr>
          <w:rFonts w:ascii="黑体" w:hAnsi="黑体" w:eastAsia="黑体" w:cs="黑体"/>
          <w:b/>
          <w:bCs/>
          <w:spacing w:val="-27"/>
          <w:sz w:val="71"/>
          <w:szCs w:val="71"/>
        </w:rPr>
        <w:t>招</w:t>
      </w:r>
      <w:r>
        <w:rPr>
          <w:rFonts w:ascii="黑体" w:hAnsi="黑体" w:eastAsia="黑体" w:cs="黑体"/>
          <w:spacing w:val="27"/>
          <w:sz w:val="71"/>
          <w:szCs w:val="71"/>
        </w:rPr>
        <w:t xml:space="preserve"> </w:t>
      </w:r>
      <w:r>
        <w:rPr>
          <w:rFonts w:ascii="黑体" w:hAnsi="黑体" w:eastAsia="黑体" w:cs="黑体"/>
          <w:b/>
          <w:bCs/>
          <w:spacing w:val="-27"/>
          <w:sz w:val="71"/>
          <w:szCs w:val="71"/>
        </w:rPr>
        <w:t>标</w:t>
      </w:r>
      <w:r>
        <w:rPr>
          <w:rFonts w:ascii="黑体" w:hAnsi="黑体" w:eastAsia="黑体" w:cs="黑体"/>
          <w:spacing w:val="47"/>
          <w:sz w:val="71"/>
          <w:szCs w:val="71"/>
        </w:rPr>
        <w:t xml:space="preserve"> </w:t>
      </w:r>
      <w:r>
        <w:rPr>
          <w:rFonts w:ascii="黑体" w:hAnsi="黑体" w:eastAsia="黑体" w:cs="黑体"/>
          <w:b/>
          <w:bCs/>
          <w:spacing w:val="-27"/>
          <w:sz w:val="71"/>
          <w:szCs w:val="71"/>
        </w:rPr>
        <w:t>文</w:t>
      </w:r>
      <w:r>
        <w:rPr>
          <w:rFonts w:ascii="黑体" w:hAnsi="黑体" w:eastAsia="黑体" w:cs="黑体"/>
          <w:spacing w:val="33"/>
          <w:sz w:val="71"/>
          <w:szCs w:val="71"/>
        </w:rPr>
        <w:t xml:space="preserve"> </w:t>
      </w:r>
      <w:r>
        <w:rPr>
          <w:rFonts w:ascii="黑体" w:hAnsi="黑体" w:eastAsia="黑体" w:cs="黑体"/>
          <w:b/>
          <w:bCs/>
          <w:spacing w:val="-27"/>
          <w:sz w:val="71"/>
          <w:szCs w:val="71"/>
        </w:rPr>
        <w:t>件</w:t>
      </w:r>
    </w:p>
    <w:p w14:paraId="2E945B07">
      <w:pPr>
        <w:spacing w:line="335" w:lineRule="auto"/>
        <w:rPr>
          <w:rFonts w:ascii="Arial"/>
          <w:sz w:val="21"/>
        </w:rPr>
      </w:pPr>
    </w:p>
    <w:p w14:paraId="1A76A474">
      <w:pPr>
        <w:spacing w:line="335" w:lineRule="auto"/>
        <w:rPr>
          <w:rFonts w:ascii="Arial"/>
          <w:sz w:val="21"/>
        </w:rPr>
      </w:pPr>
    </w:p>
    <w:p w14:paraId="59860750">
      <w:pPr>
        <w:spacing w:before="82" w:line="221" w:lineRule="auto"/>
        <w:ind w:left="2697"/>
        <w:rPr>
          <w:rFonts w:hint="eastAsia" w:ascii="Arial" w:hAnsi="Arial" w:eastAsia="黑体" w:cs="Arial"/>
          <w:sz w:val="25"/>
          <w:szCs w:val="25"/>
          <w:lang w:eastAsia="zh-CN"/>
        </w:rPr>
      </w:pPr>
      <w:r>
        <w:rPr>
          <w:rFonts w:ascii="黑体" w:hAnsi="黑体" w:eastAsia="黑体" w:cs="黑体"/>
          <w:b/>
          <w:bCs/>
          <w:spacing w:val="-2"/>
          <w:sz w:val="25"/>
          <w:szCs w:val="25"/>
        </w:rPr>
        <w:t>招标编号：</w:t>
      </w:r>
      <w:r>
        <w:rPr>
          <w:rFonts w:ascii="黑体" w:hAnsi="黑体" w:eastAsia="黑体" w:cs="黑体"/>
          <w:spacing w:val="53"/>
          <w:sz w:val="25"/>
          <w:szCs w:val="25"/>
        </w:rPr>
        <w:t xml:space="preserve"> </w:t>
      </w:r>
      <w:r>
        <w:rPr>
          <w:rFonts w:hint="eastAsia" w:eastAsia="宋体" w:cs="Arial"/>
          <w:b/>
          <w:bCs/>
          <w:color w:val="2020F0"/>
          <w:spacing w:val="-2"/>
          <w:sz w:val="25"/>
          <w:szCs w:val="25"/>
          <w:lang w:eastAsia="zh-CN"/>
        </w:rPr>
        <w:t>HBLT-202606SL-004001001</w:t>
      </w:r>
    </w:p>
    <w:p w14:paraId="54DDC02A">
      <w:pPr>
        <w:spacing w:line="272" w:lineRule="auto"/>
        <w:rPr>
          <w:rFonts w:ascii="Arial"/>
          <w:sz w:val="21"/>
        </w:rPr>
      </w:pPr>
    </w:p>
    <w:p w14:paraId="5EAF2B82">
      <w:pPr>
        <w:spacing w:line="273" w:lineRule="auto"/>
        <w:rPr>
          <w:rFonts w:ascii="Arial"/>
          <w:sz w:val="21"/>
        </w:rPr>
      </w:pPr>
    </w:p>
    <w:p w14:paraId="56567C45">
      <w:pPr>
        <w:spacing w:line="273" w:lineRule="auto"/>
        <w:rPr>
          <w:rFonts w:ascii="Arial"/>
          <w:sz w:val="21"/>
        </w:rPr>
      </w:pPr>
    </w:p>
    <w:p w14:paraId="34E2BF6A">
      <w:pPr>
        <w:spacing w:line="273" w:lineRule="auto"/>
        <w:rPr>
          <w:rFonts w:ascii="Arial"/>
          <w:sz w:val="21"/>
        </w:rPr>
      </w:pPr>
    </w:p>
    <w:p w14:paraId="6716FE4E">
      <w:pPr>
        <w:spacing w:line="273" w:lineRule="auto"/>
        <w:rPr>
          <w:rFonts w:ascii="Arial"/>
          <w:sz w:val="21"/>
        </w:rPr>
      </w:pPr>
    </w:p>
    <w:p w14:paraId="532AE1B9">
      <w:pPr>
        <w:spacing w:line="273" w:lineRule="auto"/>
        <w:rPr>
          <w:rFonts w:ascii="Arial"/>
          <w:sz w:val="21"/>
        </w:rPr>
      </w:pPr>
    </w:p>
    <w:p w14:paraId="668DC470">
      <w:pPr>
        <w:spacing w:line="273" w:lineRule="auto"/>
        <w:rPr>
          <w:rFonts w:ascii="Arial"/>
          <w:sz w:val="21"/>
        </w:rPr>
      </w:pPr>
    </w:p>
    <w:p w14:paraId="5092BBD2">
      <w:pPr>
        <w:spacing w:line="273" w:lineRule="auto"/>
        <w:rPr>
          <w:rFonts w:ascii="Arial"/>
          <w:sz w:val="21"/>
        </w:rPr>
      </w:pPr>
    </w:p>
    <w:p w14:paraId="111E0B28">
      <w:pPr>
        <w:spacing w:line="273" w:lineRule="auto"/>
        <w:rPr>
          <w:rFonts w:ascii="Arial"/>
          <w:sz w:val="21"/>
        </w:rPr>
      </w:pPr>
    </w:p>
    <w:p w14:paraId="3D150EFC">
      <w:pPr>
        <w:spacing w:line="273" w:lineRule="auto"/>
        <w:rPr>
          <w:rFonts w:ascii="Arial"/>
          <w:sz w:val="21"/>
        </w:rPr>
      </w:pPr>
    </w:p>
    <w:p w14:paraId="61762EE1">
      <w:pPr>
        <w:spacing w:line="273" w:lineRule="auto"/>
        <w:rPr>
          <w:rFonts w:ascii="Arial"/>
          <w:sz w:val="21"/>
        </w:rPr>
      </w:pPr>
    </w:p>
    <w:p w14:paraId="2C6ED06F">
      <w:pPr>
        <w:spacing w:line="273" w:lineRule="auto"/>
        <w:rPr>
          <w:rFonts w:ascii="Arial"/>
          <w:sz w:val="21"/>
        </w:rPr>
      </w:pPr>
    </w:p>
    <w:p w14:paraId="3E6EF570">
      <w:pPr>
        <w:spacing w:line="273" w:lineRule="auto"/>
        <w:rPr>
          <w:rFonts w:ascii="Arial"/>
          <w:sz w:val="21"/>
        </w:rPr>
      </w:pPr>
    </w:p>
    <w:p w14:paraId="3F2C8480">
      <w:pPr>
        <w:spacing w:line="273" w:lineRule="auto"/>
        <w:rPr>
          <w:rFonts w:ascii="Arial"/>
          <w:sz w:val="21"/>
        </w:rPr>
      </w:pPr>
    </w:p>
    <w:p w14:paraId="4856DCB4">
      <w:pPr>
        <w:spacing w:line="273" w:lineRule="auto"/>
        <w:rPr>
          <w:rFonts w:ascii="Arial"/>
          <w:sz w:val="21"/>
        </w:rPr>
      </w:pPr>
    </w:p>
    <w:p w14:paraId="52EF3BA5">
      <w:pPr>
        <w:spacing w:before="104" w:line="221" w:lineRule="auto"/>
        <w:ind w:right="42"/>
        <w:jc w:val="both"/>
        <w:rPr>
          <w:rFonts w:ascii="黑体" w:hAnsi="黑体" w:eastAsia="黑体" w:cs="黑体"/>
          <w:sz w:val="32"/>
          <w:szCs w:val="32"/>
        </w:rPr>
      </w:pPr>
      <w:r>
        <w:rPr>
          <w:rFonts w:ascii="黑体" w:hAnsi="黑体" w:eastAsia="黑体" w:cs="黑体"/>
          <w:b/>
          <w:bCs/>
          <w:spacing w:val="-8"/>
          <w:sz w:val="32"/>
          <w:szCs w:val="32"/>
        </w:rPr>
        <w:t>招标人/招标代理机构：</w:t>
      </w:r>
      <w:r>
        <w:rPr>
          <w:rFonts w:ascii="黑体" w:hAnsi="黑体" w:eastAsia="黑体" w:cs="黑体"/>
          <w:b/>
          <w:bCs/>
          <w:color w:val="2030F0"/>
          <w:spacing w:val="-8"/>
          <w:sz w:val="32"/>
          <w:szCs w:val="32"/>
        </w:rPr>
        <w:t>罗田县正源项目管理有限公司</w:t>
      </w:r>
      <w:r>
        <w:rPr>
          <w:rFonts w:ascii="黑体" w:hAnsi="黑体" w:eastAsia="黑体" w:cs="黑体"/>
          <w:b/>
          <w:bCs/>
          <w:spacing w:val="-8"/>
          <w:sz w:val="32"/>
          <w:szCs w:val="32"/>
        </w:rPr>
        <w:t>(盖</w:t>
      </w:r>
    </w:p>
    <w:p w14:paraId="2265D7A4">
      <w:pPr>
        <w:spacing w:before="247" w:line="222" w:lineRule="auto"/>
        <w:ind w:left="8"/>
        <w:rPr>
          <w:rFonts w:ascii="黑体" w:hAnsi="黑体" w:eastAsia="黑体" w:cs="黑体"/>
          <w:sz w:val="32"/>
          <w:szCs w:val="32"/>
        </w:rPr>
      </w:pPr>
      <w:r>
        <w:rPr>
          <w:rFonts w:ascii="黑体" w:hAnsi="黑体" w:eastAsia="黑体" w:cs="黑体"/>
          <w:b/>
          <w:bCs/>
          <w:spacing w:val="-11"/>
          <w:sz w:val="32"/>
          <w:szCs w:val="32"/>
        </w:rPr>
        <w:t>章</w:t>
      </w:r>
      <w:r>
        <w:rPr>
          <w:rFonts w:ascii="黑体" w:hAnsi="黑体" w:eastAsia="黑体" w:cs="黑体"/>
          <w:spacing w:val="-72"/>
          <w:sz w:val="32"/>
          <w:szCs w:val="32"/>
        </w:rPr>
        <w:t xml:space="preserve"> </w:t>
      </w:r>
      <w:r>
        <w:rPr>
          <w:rFonts w:ascii="黑体" w:hAnsi="黑体" w:eastAsia="黑体" w:cs="黑体"/>
          <w:b/>
          <w:bCs/>
          <w:spacing w:val="-11"/>
          <w:sz w:val="32"/>
          <w:szCs w:val="32"/>
        </w:rPr>
        <w:t>)</w:t>
      </w:r>
    </w:p>
    <w:p w14:paraId="5839BF1D">
      <w:pPr>
        <w:spacing w:line="277" w:lineRule="auto"/>
        <w:rPr>
          <w:rFonts w:ascii="Arial"/>
          <w:sz w:val="21"/>
        </w:rPr>
      </w:pPr>
    </w:p>
    <w:p w14:paraId="3CE37EFF">
      <w:pPr>
        <w:pStyle w:val="2"/>
        <w:spacing w:before="81" w:line="233" w:lineRule="auto"/>
        <w:ind w:left="493"/>
      </w:pPr>
      <w:r>
        <w:rPr>
          <w:spacing w:val="-10"/>
          <w:position w:val="6"/>
        </w:rPr>
        <w:t>日      期</w:t>
      </w:r>
      <w:r>
        <w:rPr>
          <w:spacing w:val="23"/>
          <w:position w:val="6"/>
        </w:rPr>
        <w:t xml:space="preserve"> </w:t>
      </w:r>
      <w:r>
        <w:rPr>
          <w:spacing w:val="-10"/>
          <w:position w:val="6"/>
        </w:rPr>
        <w:t>：</w:t>
      </w:r>
      <w:r>
        <w:rPr>
          <w:color w:val="2030F0"/>
          <w:spacing w:val="-10"/>
          <w:position w:val="6"/>
        </w:rPr>
        <w:t>202</w:t>
      </w:r>
      <w:r>
        <w:rPr>
          <w:rFonts w:hint="eastAsia"/>
          <w:color w:val="2030F0"/>
          <w:spacing w:val="-10"/>
          <w:position w:val="6"/>
          <w:lang w:val="en-US" w:eastAsia="zh-CN"/>
        </w:rPr>
        <w:t>6</w:t>
      </w:r>
      <w:r>
        <w:rPr>
          <w:color w:val="2030F0"/>
          <w:spacing w:val="16"/>
          <w:position w:val="6"/>
        </w:rPr>
        <w:t xml:space="preserve"> </w:t>
      </w:r>
      <w:r>
        <w:rPr>
          <w:color w:val="2030A0"/>
          <w:spacing w:val="-10"/>
          <w:position w:val="-6"/>
        </w:rPr>
        <w:t>年</w:t>
      </w:r>
      <w:r>
        <w:rPr>
          <w:color w:val="2030A0"/>
          <w:spacing w:val="76"/>
          <w:position w:val="-6"/>
        </w:rPr>
        <w:t xml:space="preserve"> </w:t>
      </w:r>
      <w:r>
        <w:rPr>
          <w:rFonts w:hint="eastAsia"/>
          <w:color w:val="2030A0"/>
          <w:spacing w:val="-10"/>
          <w:position w:val="-6"/>
          <w:lang w:val="en-US" w:eastAsia="zh-CN"/>
        </w:rPr>
        <w:t xml:space="preserve">4 </w:t>
      </w:r>
      <w:r>
        <w:rPr>
          <w:color w:val="405060"/>
          <w:spacing w:val="-10"/>
          <w:position w:val="-6"/>
        </w:rPr>
        <w:t>月</w:t>
      </w:r>
      <w:r>
        <w:rPr>
          <w:color w:val="405060"/>
          <w:spacing w:val="7"/>
          <w:position w:val="-6"/>
        </w:rPr>
        <w:t xml:space="preserve"> </w:t>
      </w:r>
      <w:r>
        <w:rPr>
          <w:rFonts w:hint="eastAsia"/>
          <w:color w:val="405060"/>
          <w:spacing w:val="-10"/>
          <w:position w:val="-6"/>
          <w:lang w:val="en-US" w:eastAsia="zh-CN"/>
        </w:rPr>
        <w:t xml:space="preserve">28 </w:t>
      </w:r>
      <w:r>
        <w:rPr>
          <w:color w:val="4040C0"/>
          <w:spacing w:val="-10"/>
          <w:position w:val="-6"/>
        </w:rPr>
        <w:t>日</w:t>
      </w:r>
    </w:p>
    <w:p w14:paraId="78D4960F">
      <w:pPr>
        <w:spacing w:line="233" w:lineRule="auto"/>
        <w:sectPr>
          <w:footerReference r:id="rId5" w:type="default"/>
          <w:pgSz w:w="11910" w:h="16840"/>
          <w:pgMar w:top="1431" w:right="1739" w:bottom="1228" w:left="1786" w:header="0" w:footer="1006" w:gutter="0"/>
          <w:cols w:space="720" w:num="1"/>
        </w:sectPr>
      </w:pPr>
    </w:p>
    <w:sdt>
      <w:sdtPr>
        <w:rPr>
          <w:rFonts w:ascii="宋体" w:hAnsi="宋体" w:eastAsia="宋体" w:cs="宋体"/>
          <w:sz w:val="42"/>
          <w:szCs w:val="42"/>
        </w:rPr>
        <w:id w:val="147461956"/>
        <w:docPartObj>
          <w:docPartGallery w:val="Table of Contents"/>
          <w:docPartUnique/>
        </w:docPartObj>
      </w:sdtPr>
      <w:sdtEndPr>
        <w:rPr>
          <w:rFonts w:ascii="Times New Roman" w:hAnsi="Times New Roman" w:eastAsia="Times New Roman" w:cs="Times New Roman"/>
          <w:sz w:val="21"/>
          <w:szCs w:val="21"/>
        </w:rPr>
      </w:sdtEndPr>
      <w:sdtContent>
        <w:p w14:paraId="02DAC9B9">
          <w:pPr>
            <w:pStyle w:val="2"/>
            <w:spacing w:before="85" w:line="221" w:lineRule="auto"/>
            <w:ind w:left="3679"/>
            <w:rPr>
              <w:sz w:val="42"/>
              <w:szCs w:val="42"/>
            </w:rPr>
          </w:pPr>
          <w:r>
            <w:rPr>
              <w:b/>
              <w:bCs/>
              <w:spacing w:val="-53"/>
              <w:sz w:val="42"/>
              <w:szCs w:val="42"/>
            </w:rPr>
            <w:t>目</w:t>
          </w:r>
          <w:r>
            <w:rPr>
              <w:spacing w:val="5"/>
              <w:sz w:val="42"/>
              <w:szCs w:val="42"/>
            </w:rPr>
            <w:t xml:space="preserve">   </w:t>
          </w:r>
          <w:r>
            <w:rPr>
              <w:b/>
              <w:bCs/>
              <w:spacing w:val="-53"/>
              <w:sz w:val="42"/>
              <w:szCs w:val="42"/>
            </w:rPr>
            <w:t>录</w:t>
          </w:r>
        </w:p>
        <w:p w14:paraId="2E179BDE">
          <w:pPr>
            <w:spacing w:line="393" w:lineRule="auto"/>
            <w:rPr>
              <w:rFonts w:ascii="Arial"/>
              <w:sz w:val="21"/>
            </w:rPr>
          </w:pPr>
        </w:p>
        <w:p w14:paraId="476C4BA8">
          <w:pPr>
            <w:tabs>
              <w:tab w:val="right" w:leader="dot" w:pos="9070"/>
            </w:tabs>
            <w:spacing w:before="69" w:line="222" w:lineRule="auto"/>
            <w:ind w:left="6"/>
            <w:rPr>
              <w:rFonts w:ascii="Times New Roman" w:hAnsi="Times New Roman" w:eastAsia="Times New Roman" w:cs="Times New Roman"/>
              <w:sz w:val="21"/>
              <w:szCs w:val="21"/>
            </w:rPr>
          </w:pPr>
          <w:r>
            <w:fldChar w:fldCharType="begin"/>
          </w:r>
          <w:r>
            <w:instrText xml:space="preserve"> HYPERLINK \l "bookmark1" </w:instrText>
          </w:r>
          <w:r>
            <w:fldChar w:fldCharType="separate"/>
          </w:r>
          <w:r>
            <w:rPr>
              <w:rFonts w:ascii="黑体" w:hAnsi="黑体" w:eastAsia="黑体" w:cs="黑体"/>
              <w:b/>
              <w:bCs/>
              <w:spacing w:val="-5"/>
              <w:sz w:val="21"/>
              <w:szCs w:val="21"/>
            </w:rPr>
            <w:t>第一卷</w:t>
          </w:r>
          <w:r>
            <w:rPr>
              <w:rFonts w:ascii="黑体" w:hAnsi="黑体" w:eastAsia="黑体" w:cs="黑体"/>
              <w:spacing w:val="-80"/>
              <w:sz w:val="21"/>
              <w:szCs w:val="21"/>
            </w:rPr>
            <w:t xml:space="preserve"> </w:t>
          </w:r>
          <w:r>
            <w:rPr>
              <w:rFonts w:ascii="黑体" w:hAnsi="黑体" w:eastAsia="黑体" w:cs="黑体"/>
              <w:sz w:val="21"/>
              <w:szCs w:val="21"/>
            </w:rPr>
            <w:tab/>
          </w:r>
          <w:r>
            <w:rPr>
              <w:rFonts w:ascii="Times New Roman" w:hAnsi="Times New Roman" w:eastAsia="Times New Roman" w:cs="Times New Roman"/>
              <w:spacing w:val="-1"/>
              <w:sz w:val="21"/>
              <w:szCs w:val="21"/>
            </w:rPr>
            <w:t>7</w:t>
          </w:r>
          <w:r>
            <w:rPr>
              <w:rFonts w:ascii="Times New Roman" w:hAnsi="Times New Roman" w:eastAsia="Times New Roman" w:cs="Times New Roman"/>
              <w:spacing w:val="-1"/>
              <w:sz w:val="21"/>
              <w:szCs w:val="21"/>
            </w:rPr>
            <w:fldChar w:fldCharType="end"/>
          </w:r>
        </w:p>
        <w:p w14:paraId="59B3E10B">
          <w:pPr>
            <w:tabs>
              <w:tab w:val="right" w:leader="dot" w:pos="9047"/>
            </w:tabs>
            <w:spacing w:before="56" w:line="221" w:lineRule="auto"/>
            <w:ind w:left="6"/>
            <w:rPr>
              <w:rFonts w:ascii="Times New Roman" w:hAnsi="Times New Roman" w:eastAsia="Times New Roman" w:cs="Times New Roman"/>
              <w:sz w:val="21"/>
              <w:szCs w:val="21"/>
            </w:rPr>
          </w:pPr>
          <w:r>
            <w:fldChar w:fldCharType="begin"/>
          </w:r>
          <w:r>
            <w:instrText xml:space="preserve"> HYPERLINK \l "bookmark2" </w:instrText>
          </w:r>
          <w:r>
            <w:fldChar w:fldCharType="separate"/>
          </w:r>
          <w:r>
            <w:rPr>
              <w:rFonts w:ascii="黑体" w:hAnsi="黑体" w:eastAsia="黑体" w:cs="黑体"/>
              <w:b/>
              <w:bCs/>
              <w:spacing w:val="9"/>
              <w:sz w:val="21"/>
              <w:szCs w:val="21"/>
            </w:rPr>
            <w:t>第二章</w:t>
          </w:r>
          <w:r>
            <w:rPr>
              <w:rFonts w:ascii="黑体" w:hAnsi="黑体" w:eastAsia="黑体" w:cs="黑体"/>
              <w:spacing w:val="9"/>
              <w:sz w:val="21"/>
              <w:szCs w:val="21"/>
            </w:rPr>
            <w:t xml:space="preserve"> </w:t>
          </w:r>
          <w:r>
            <w:rPr>
              <w:rFonts w:ascii="黑体" w:hAnsi="黑体" w:eastAsia="黑体" w:cs="黑体"/>
              <w:b/>
              <w:bCs/>
              <w:spacing w:val="9"/>
              <w:sz w:val="21"/>
              <w:szCs w:val="21"/>
            </w:rPr>
            <w:t>投标人须知</w:t>
          </w:r>
          <w:r>
            <w:rPr>
              <w:rFonts w:ascii="黑体" w:hAnsi="黑体" w:eastAsia="黑体" w:cs="黑体"/>
              <w:spacing w:val="-83"/>
              <w:sz w:val="21"/>
              <w:szCs w:val="21"/>
            </w:rPr>
            <w:t xml:space="preserve"> </w:t>
          </w:r>
          <w:r>
            <w:rPr>
              <w:rFonts w:ascii="黑体" w:hAnsi="黑体" w:eastAsia="黑体" w:cs="黑体"/>
              <w:sz w:val="21"/>
              <w:szCs w:val="21"/>
            </w:rPr>
            <w:tab/>
          </w:r>
          <w:r>
            <w:rPr>
              <w:rFonts w:ascii="黑体" w:hAnsi="黑体" w:eastAsia="黑体" w:cs="黑体"/>
              <w:spacing w:val="-60"/>
              <w:sz w:val="21"/>
              <w:szCs w:val="21"/>
            </w:rPr>
            <w:t xml:space="preserve"> </w:t>
          </w:r>
          <w:r>
            <w:rPr>
              <w:rFonts w:ascii="Times New Roman" w:hAnsi="Times New Roman" w:eastAsia="Times New Roman" w:cs="Times New Roman"/>
              <w:spacing w:val="-7"/>
              <w:sz w:val="21"/>
              <w:szCs w:val="21"/>
            </w:rPr>
            <w:t>13</w:t>
          </w:r>
          <w:r>
            <w:rPr>
              <w:rFonts w:ascii="Times New Roman" w:hAnsi="Times New Roman" w:eastAsia="Times New Roman" w:cs="Times New Roman"/>
              <w:spacing w:val="-7"/>
              <w:sz w:val="21"/>
              <w:szCs w:val="21"/>
            </w:rPr>
            <w:fldChar w:fldCharType="end"/>
          </w:r>
        </w:p>
        <w:p w14:paraId="1DCBF2B3">
          <w:pPr>
            <w:pStyle w:val="2"/>
            <w:tabs>
              <w:tab w:val="right" w:leader="dot" w:pos="9047"/>
            </w:tabs>
            <w:spacing w:before="62" w:line="219" w:lineRule="auto"/>
            <w:ind w:left="413"/>
            <w:rPr>
              <w:rFonts w:ascii="Times New Roman" w:hAnsi="Times New Roman" w:eastAsia="Times New Roman" w:cs="Times New Roman"/>
              <w:sz w:val="21"/>
              <w:szCs w:val="21"/>
            </w:rPr>
          </w:pPr>
          <w:r>
            <w:fldChar w:fldCharType="begin"/>
          </w:r>
          <w:r>
            <w:instrText xml:space="preserve"> HYPERLINK \l "bookmark3" </w:instrText>
          </w:r>
          <w:r>
            <w:fldChar w:fldCharType="separate"/>
          </w:r>
          <w:r>
            <w:rPr>
              <w:spacing w:val="2"/>
              <w:sz w:val="21"/>
              <w:szCs w:val="21"/>
            </w:rPr>
            <w:t>投标人须知前附表</w:t>
          </w:r>
          <w:r>
            <w:rPr>
              <w:spacing w:val="-82"/>
              <w:sz w:val="21"/>
              <w:szCs w:val="21"/>
            </w:rPr>
            <w:t xml:space="preserve"> </w:t>
          </w:r>
          <w:r>
            <w:rPr>
              <w:sz w:val="21"/>
              <w:szCs w:val="21"/>
            </w:rPr>
            <w:tab/>
          </w:r>
          <w:r>
            <w:rPr>
              <w:spacing w:val="-71"/>
              <w:sz w:val="21"/>
              <w:szCs w:val="21"/>
            </w:rPr>
            <w:t xml:space="preserve"> </w:t>
          </w:r>
          <w:r>
            <w:rPr>
              <w:rFonts w:ascii="Times New Roman" w:hAnsi="Times New Roman" w:eastAsia="Times New Roman" w:cs="Times New Roman"/>
              <w:spacing w:val="-7"/>
              <w:sz w:val="21"/>
              <w:szCs w:val="21"/>
            </w:rPr>
            <w:t>13</w:t>
          </w:r>
          <w:r>
            <w:rPr>
              <w:rFonts w:ascii="Times New Roman" w:hAnsi="Times New Roman" w:eastAsia="Times New Roman" w:cs="Times New Roman"/>
              <w:spacing w:val="-7"/>
              <w:sz w:val="21"/>
              <w:szCs w:val="21"/>
            </w:rPr>
            <w:fldChar w:fldCharType="end"/>
          </w:r>
        </w:p>
        <w:p w14:paraId="6953C69F">
          <w:pPr>
            <w:pStyle w:val="2"/>
            <w:tabs>
              <w:tab w:val="right" w:leader="dot" w:pos="9069"/>
            </w:tabs>
            <w:spacing w:before="82" w:line="219" w:lineRule="auto"/>
            <w:ind w:left="413"/>
            <w:rPr>
              <w:rFonts w:ascii="Times New Roman" w:hAnsi="Times New Roman" w:eastAsia="Times New Roman" w:cs="Times New Roman"/>
              <w:sz w:val="21"/>
              <w:szCs w:val="21"/>
            </w:rPr>
          </w:pPr>
          <w:r>
            <w:fldChar w:fldCharType="begin"/>
          </w:r>
          <w:r>
            <w:instrText xml:space="preserve"> HYPERLINK \l "bookmark4" </w:instrText>
          </w:r>
          <w:r>
            <w:fldChar w:fldCharType="separate"/>
          </w:r>
          <w:r>
            <w:rPr>
              <w:spacing w:val="-2"/>
              <w:sz w:val="21"/>
              <w:szCs w:val="21"/>
            </w:rPr>
            <w:t>投标人须知正文部分</w:t>
          </w:r>
          <w:r>
            <w:rPr>
              <w:spacing w:val="-58"/>
              <w:sz w:val="21"/>
              <w:szCs w:val="21"/>
            </w:rPr>
            <w:t xml:space="preserve"> </w:t>
          </w:r>
          <w:r>
            <w:rPr>
              <w:sz w:val="21"/>
              <w:szCs w:val="21"/>
            </w:rPr>
            <w:tab/>
          </w:r>
          <w:r>
            <w:rPr>
              <w:spacing w:val="-61"/>
              <w:sz w:val="21"/>
              <w:szCs w:val="21"/>
            </w:rPr>
            <w:t xml:space="preserve"> </w:t>
          </w:r>
          <w:r>
            <w:rPr>
              <w:rFonts w:ascii="Times New Roman" w:hAnsi="Times New Roman" w:eastAsia="Times New Roman" w:cs="Times New Roman"/>
              <w:spacing w:val="-3"/>
              <w:sz w:val="21"/>
              <w:szCs w:val="21"/>
            </w:rPr>
            <w:t>22</w:t>
          </w:r>
          <w:r>
            <w:rPr>
              <w:rFonts w:ascii="Times New Roman" w:hAnsi="Times New Roman" w:eastAsia="Times New Roman" w:cs="Times New Roman"/>
              <w:spacing w:val="-3"/>
              <w:sz w:val="21"/>
              <w:szCs w:val="21"/>
            </w:rPr>
            <w:fldChar w:fldCharType="end"/>
          </w:r>
        </w:p>
        <w:p w14:paraId="3BC7E01F">
          <w:pPr>
            <w:pStyle w:val="2"/>
            <w:tabs>
              <w:tab w:val="right" w:leader="dot" w:pos="9069"/>
            </w:tabs>
            <w:spacing w:before="31" w:line="220" w:lineRule="auto"/>
            <w:ind w:left="413"/>
            <w:rPr>
              <w:rFonts w:ascii="Times New Roman" w:hAnsi="Times New Roman" w:eastAsia="Times New Roman" w:cs="Times New Roman"/>
              <w:sz w:val="21"/>
              <w:szCs w:val="21"/>
            </w:rPr>
          </w:pPr>
          <w:r>
            <w:fldChar w:fldCharType="begin"/>
          </w:r>
          <w:r>
            <w:instrText xml:space="preserve"> HYPERLINK \l "bookmark5" </w:instrText>
          </w:r>
          <w:r>
            <w:fldChar w:fldCharType="separate"/>
          </w:r>
          <w:r>
            <w:rPr>
              <w:rFonts w:ascii="Times New Roman" w:hAnsi="Times New Roman" w:eastAsia="Times New Roman" w:cs="Times New Roman"/>
              <w:spacing w:val="-4"/>
              <w:sz w:val="21"/>
              <w:szCs w:val="21"/>
            </w:rPr>
            <w:t>1.</w:t>
          </w:r>
          <w:r>
            <w:rPr>
              <w:rFonts w:ascii="Times New Roman" w:hAnsi="Times New Roman" w:eastAsia="Times New Roman" w:cs="Times New Roman"/>
              <w:spacing w:val="6"/>
              <w:sz w:val="21"/>
              <w:szCs w:val="21"/>
            </w:rPr>
            <w:t xml:space="preserve">   </w:t>
          </w:r>
          <w:r>
            <w:rPr>
              <w:spacing w:val="-4"/>
              <w:sz w:val="21"/>
              <w:szCs w:val="21"/>
            </w:rPr>
            <w:t>总则</w:t>
          </w:r>
          <w:r>
            <w:rPr>
              <w:spacing w:val="-94"/>
              <w:sz w:val="21"/>
              <w:szCs w:val="21"/>
            </w:rPr>
            <w:t xml:space="preserve"> </w:t>
          </w:r>
          <w:r>
            <w:rPr>
              <w:sz w:val="21"/>
              <w:szCs w:val="21"/>
            </w:rPr>
            <w:tab/>
          </w:r>
          <w:r>
            <w:rPr>
              <w:rFonts w:ascii="Times New Roman" w:hAnsi="Times New Roman" w:eastAsia="Times New Roman" w:cs="Times New Roman"/>
              <w:spacing w:val="1"/>
              <w:sz w:val="21"/>
              <w:szCs w:val="21"/>
            </w:rPr>
            <w:t>22</w:t>
          </w:r>
          <w:r>
            <w:rPr>
              <w:rFonts w:ascii="Times New Roman" w:hAnsi="Times New Roman" w:eastAsia="Times New Roman" w:cs="Times New Roman"/>
              <w:spacing w:val="1"/>
              <w:sz w:val="21"/>
              <w:szCs w:val="21"/>
            </w:rPr>
            <w:fldChar w:fldCharType="end"/>
          </w:r>
        </w:p>
        <w:p w14:paraId="038F0849">
          <w:pPr>
            <w:pStyle w:val="2"/>
            <w:tabs>
              <w:tab w:val="right" w:leader="dot" w:pos="8299"/>
            </w:tabs>
            <w:spacing w:before="79" w:line="219" w:lineRule="auto"/>
            <w:ind w:left="843"/>
            <w:rPr>
              <w:rFonts w:ascii="Times New Roman" w:hAnsi="Times New Roman" w:eastAsia="Times New Roman" w:cs="Times New Roman"/>
              <w:sz w:val="21"/>
              <w:szCs w:val="21"/>
            </w:rPr>
          </w:pPr>
          <w:r>
            <w:fldChar w:fldCharType="begin"/>
          </w:r>
          <w:r>
            <w:instrText xml:space="preserve"> HYPERLINK \l "bookmark6" </w:instrText>
          </w:r>
          <w:r>
            <w:fldChar w:fldCharType="separate"/>
          </w:r>
          <w:r>
            <w:rPr>
              <w:rFonts w:ascii="Times New Roman" w:hAnsi="Times New Roman" w:eastAsia="Times New Roman" w:cs="Times New Roman"/>
              <w:sz w:val="21"/>
              <w:szCs w:val="21"/>
            </w:rPr>
            <w:t xml:space="preserve">1.1   </w:t>
          </w:r>
          <w:r>
            <w:rPr>
              <w:sz w:val="21"/>
              <w:szCs w:val="21"/>
            </w:rPr>
            <w:t>项目概况</w:t>
          </w:r>
          <w:r>
            <w:rPr>
              <w:spacing w:val="-76"/>
              <w:sz w:val="21"/>
              <w:szCs w:val="21"/>
            </w:rPr>
            <w:t xml:space="preserve"> </w:t>
          </w:r>
          <w:r>
            <w:rPr>
              <w:sz w:val="21"/>
              <w:szCs w:val="21"/>
            </w:rPr>
            <w:tab/>
          </w:r>
          <w:r>
            <w:rPr>
              <w:rFonts w:ascii="Times New Roman" w:hAnsi="Times New Roman" w:eastAsia="Times New Roman" w:cs="Times New Roman"/>
              <w:spacing w:val="1"/>
              <w:sz w:val="21"/>
              <w:szCs w:val="21"/>
            </w:rPr>
            <w:t>22</w:t>
          </w:r>
          <w:r>
            <w:rPr>
              <w:rFonts w:ascii="Times New Roman" w:hAnsi="Times New Roman" w:eastAsia="Times New Roman" w:cs="Times New Roman"/>
              <w:spacing w:val="1"/>
              <w:sz w:val="21"/>
              <w:szCs w:val="21"/>
            </w:rPr>
            <w:fldChar w:fldCharType="end"/>
          </w:r>
        </w:p>
        <w:p w14:paraId="71AFFA40">
          <w:pPr>
            <w:pStyle w:val="2"/>
            <w:tabs>
              <w:tab w:val="right" w:leader="dot" w:pos="8299"/>
            </w:tabs>
            <w:spacing w:before="61" w:line="219" w:lineRule="auto"/>
            <w:ind w:left="843"/>
            <w:rPr>
              <w:rFonts w:ascii="Times New Roman" w:hAnsi="Times New Roman" w:eastAsia="Times New Roman" w:cs="Times New Roman"/>
              <w:sz w:val="21"/>
              <w:szCs w:val="21"/>
            </w:rPr>
          </w:pPr>
          <w:r>
            <w:fldChar w:fldCharType="begin"/>
          </w:r>
          <w:r>
            <w:instrText xml:space="preserve"> HYPERLINK \l "bookmark7" </w:instrText>
          </w:r>
          <w:r>
            <w:fldChar w:fldCharType="separate"/>
          </w:r>
          <w:r>
            <w:rPr>
              <w:rFonts w:ascii="Times New Roman" w:hAnsi="Times New Roman" w:eastAsia="Times New Roman" w:cs="Times New Roman"/>
              <w:spacing w:val="-2"/>
              <w:sz w:val="21"/>
              <w:szCs w:val="21"/>
            </w:rPr>
            <w:t>1.2</w:t>
          </w:r>
          <w:r>
            <w:rPr>
              <w:rFonts w:ascii="Times New Roman" w:hAnsi="Times New Roman" w:eastAsia="Times New Roman" w:cs="Times New Roman"/>
              <w:spacing w:val="10"/>
              <w:sz w:val="21"/>
              <w:szCs w:val="21"/>
            </w:rPr>
            <w:t xml:space="preserve">   </w:t>
          </w:r>
          <w:r>
            <w:rPr>
              <w:spacing w:val="-2"/>
              <w:sz w:val="21"/>
              <w:szCs w:val="21"/>
            </w:rPr>
            <w:t>资金来源和落实情况</w:t>
          </w:r>
          <w:r>
            <w:rPr>
              <w:spacing w:val="-82"/>
              <w:sz w:val="21"/>
              <w:szCs w:val="21"/>
            </w:rPr>
            <w:t xml:space="preserve"> </w:t>
          </w:r>
          <w:r>
            <w:rPr>
              <w:sz w:val="21"/>
              <w:szCs w:val="21"/>
            </w:rPr>
            <w:tab/>
          </w:r>
          <w:r>
            <w:rPr>
              <w:rFonts w:ascii="Times New Roman" w:hAnsi="Times New Roman" w:eastAsia="Times New Roman" w:cs="Times New Roman"/>
              <w:spacing w:val="1"/>
              <w:sz w:val="21"/>
              <w:szCs w:val="21"/>
            </w:rPr>
            <w:t>22</w:t>
          </w:r>
          <w:r>
            <w:rPr>
              <w:rFonts w:ascii="Times New Roman" w:hAnsi="Times New Roman" w:eastAsia="Times New Roman" w:cs="Times New Roman"/>
              <w:spacing w:val="1"/>
              <w:sz w:val="21"/>
              <w:szCs w:val="21"/>
            </w:rPr>
            <w:fldChar w:fldCharType="end"/>
          </w:r>
        </w:p>
        <w:p w14:paraId="23F7D47E">
          <w:pPr>
            <w:pStyle w:val="2"/>
            <w:tabs>
              <w:tab w:val="right" w:leader="dot" w:pos="8289"/>
            </w:tabs>
            <w:spacing w:before="62" w:line="220" w:lineRule="auto"/>
            <w:ind w:left="843"/>
            <w:rPr>
              <w:rFonts w:ascii="Times New Roman" w:hAnsi="Times New Roman" w:eastAsia="Times New Roman" w:cs="Times New Roman"/>
              <w:sz w:val="21"/>
              <w:szCs w:val="21"/>
            </w:rPr>
          </w:pPr>
          <w:r>
            <w:fldChar w:fldCharType="begin"/>
          </w:r>
          <w:r>
            <w:instrText xml:space="preserve"> HYPERLINK \l "bookmark8" </w:instrText>
          </w:r>
          <w:r>
            <w:fldChar w:fldCharType="separate"/>
          </w:r>
          <w:r>
            <w:rPr>
              <w:rFonts w:ascii="Times New Roman" w:hAnsi="Times New Roman" w:eastAsia="Times New Roman" w:cs="Times New Roman"/>
              <w:spacing w:val="-2"/>
              <w:sz w:val="21"/>
              <w:szCs w:val="21"/>
            </w:rPr>
            <w:t xml:space="preserve">1.3   </w:t>
          </w:r>
          <w:r>
            <w:rPr>
              <w:spacing w:val="-2"/>
              <w:sz w:val="21"/>
              <w:szCs w:val="21"/>
            </w:rPr>
            <w:t>招标范围、计划工期和质量要求</w:t>
          </w:r>
          <w:r>
            <w:rPr>
              <w:spacing w:val="34"/>
              <w:sz w:val="21"/>
              <w:szCs w:val="21"/>
            </w:rPr>
            <w:t xml:space="preserve"> </w:t>
          </w:r>
          <w:r>
            <w:rPr>
              <w:sz w:val="21"/>
              <w:szCs w:val="21"/>
            </w:rPr>
            <w:tab/>
          </w:r>
          <w:r>
            <w:rPr>
              <w:rFonts w:ascii="Times New Roman" w:hAnsi="Times New Roman" w:eastAsia="Times New Roman" w:cs="Times New Roman"/>
              <w:spacing w:val="9"/>
              <w:sz w:val="21"/>
              <w:szCs w:val="21"/>
            </w:rPr>
            <w:t>22</w:t>
          </w:r>
          <w:r>
            <w:rPr>
              <w:rFonts w:ascii="Times New Roman" w:hAnsi="Times New Roman" w:eastAsia="Times New Roman" w:cs="Times New Roman"/>
              <w:spacing w:val="9"/>
              <w:sz w:val="21"/>
              <w:szCs w:val="21"/>
            </w:rPr>
            <w:fldChar w:fldCharType="end"/>
          </w:r>
        </w:p>
        <w:p w14:paraId="73AFE026">
          <w:pPr>
            <w:pStyle w:val="2"/>
            <w:tabs>
              <w:tab w:val="right" w:leader="dot" w:pos="8309"/>
            </w:tabs>
            <w:spacing w:before="79" w:line="219" w:lineRule="auto"/>
            <w:ind w:left="843"/>
            <w:rPr>
              <w:rFonts w:ascii="Times New Roman" w:hAnsi="Times New Roman" w:eastAsia="Times New Roman" w:cs="Times New Roman"/>
              <w:sz w:val="21"/>
              <w:szCs w:val="21"/>
            </w:rPr>
          </w:pPr>
          <w:r>
            <w:fldChar w:fldCharType="begin"/>
          </w:r>
          <w:r>
            <w:instrText xml:space="preserve"> HYPERLINK \l "bookmark9" </w:instrText>
          </w:r>
          <w:r>
            <w:fldChar w:fldCharType="separate"/>
          </w:r>
          <w:r>
            <w:rPr>
              <w:rFonts w:ascii="Times New Roman" w:hAnsi="Times New Roman" w:eastAsia="Times New Roman" w:cs="Times New Roman"/>
              <w:spacing w:val="6"/>
              <w:sz w:val="21"/>
              <w:szCs w:val="21"/>
            </w:rPr>
            <w:t>1.4</w:t>
          </w:r>
          <w:r>
            <w:rPr>
              <w:rFonts w:ascii="Times New Roman" w:hAnsi="Times New Roman" w:eastAsia="Times New Roman" w:cs="Times New Roman"/>
              <w:spacing w:val="5"/>
              <w:sz w:val="21"/>
              <w:szCs w:val="21"/>
            </w:rPr>
            <w:t xml:space="preserve">   </w:t>
          </w:r>
          <w:r>
            <w:rPr>
              <w:spacing w:val="6"/>
              <w:sz w:val="21"/>
              <w:szCs w:val="21"/>
            </w:rPr>
            <w:t>投标人资格要求(适用于未进行资格预审的)</w:t>
          </w:r>
          <w:r>
            <w:rPr>
              <w:sz w:val="21"/>
              <w:szCs w:val="21"/>
            </w:rPr>
            <w:tab/>
          </w:r>
          <w:r>
            <w:rPr>
              <w:rFonts w:ascii="Times New Roman" w:hAnsi="Times New Roman" w:eastAsia="Times New Roman" w:cs="Times New Roman"/>
              <w:sz w:val="21"/>
              <w:szCs w:val="21"/>
            </w:rPr>
            <w:t>22</w:t>
          </w:r>
          <w:r>
            <w:rPr>
              <w:rFonts w:ascii="Times New Roman" w:hAnsi="Times New Roman" w:eastAsia="Times New Roman" w:cs="Times New Roman"/>
              <w:sz w:val="21"/>
              <w:szCs w:val="21"/>
            </w:rPr>
            <w:fldChar w:fldCharType="end"/>
          </w:r>
        </w:p>
        <w:p w14:paraId="0F81D793">
          <w:pPr>
            <w:pStyle w:val="2"/>
            <w:tabs>
              <w:tab w:val="right" w:leader="dot" w:pos="8309"/>
            </w:tabs>
            <w:spacing w:before="51" w:line="219" w:lineRule="auto"/>
            <w:ind w:left="843"/>
            <w:rPr>
              <w:rFonts w:ascii="Times New Roman" w:hAnsi="Times New Roman" w:eastAsia="Times New Roman" w:cs="Times New Roman"/>
              <w:sz w:val="21"/>
              <w:szCs w:val="21"/>
            </w:rPr>
          </w:pPr>
          <w:r>
            <w:fldChar w:fldCharType="begin"/>
          </w:r>
          <w:r>
            <w:instrText xml:space="preserve"> HYPERLINK \l "bookmark10" </w:instrText>
          </w:r>
          <w:r>
            <w:fldChar w:fldCharType="separate"/>
          </w:r>
          <w:r>
            <w:rPr>
              <w:rFonts w:ascii="Times New Roman" w:hAnsi="Times New Roman" w:eastAsia="Times New Roman" w:cs="Times New Roman"/>
              <w:spacing w:val="-3"/>
              <w:sz w:val="21"/>
              <w:szCs w:val="21"/>
            </w:rPr>
            <w:t>1.5</w:t>
          </w:r>
          <w:r>
            <w:rPr>
              <w:rFonts w:ascii="Times New Roman" w:hAnsi="Times New Roman" w:eastAsia="Times New Roman" w:cs="Times New Roman"/>
              <w:spacing w:val="6"/>
              <w:sz w:val="21"/>
              <w:szCs w:val="21"/>
            </w:rPr>
            <w:t xml:space="preserve">   </w:t>
          </w:r>
          <w:r>
            <w:rPr>
              <w:spacing w:val="-3"/>
              <w:sz w:val="21"/>
              <w:szCs w:val="21"/>
            </w:rPr>
            <w:t>费用承担</w:t>
          </w:r>
          <w:r>
            <w:rPr>
              <w:spacing w:val="-83"/>
              <w:sz w:val="21"/>
              <w:szCs w:val="21"/>
            </w:rPr>
            <w:t xml:space="preserve"> </w:t>
          </w:r>
          <w:r>
            <w:rPr>
              <w:sz w:val="21"/>
              <w:szCs w:val="21"/>
            </w:rPr>
            <w:tab/>
          </w:r>
          <w:r>
            <w:rPr>
              <w:rFonts w:ascii="Times New Roman" w:hAnsi="Times New Roman" w:eastAsia="Times New Roman" w:cs="Times New Roman"/>
              <w:spacing w:val="1"/>
              <w:sz w:val="21"/>
              <w:szCs w:val="21"/>
            </w:rPr>
            <w:t>23</w:t>
          </w:r>
          <w:r>
            <w:rPr>
              <w:rFonts w:ascii="Times New Roman" w:hAnsi="Times New Roman" w:eastAsia="Times New Roman" w:cs="Times New Roman"/>
              <w:spacing w:val="1"/>
              <w:sz w:val="21"/>
              <w:szCs w:val="21"/>
            </w:rPr>
            <w:fldChar w:fldCharType="end"/>
          </w:r>
        </w:p>
        <w:p w14:paraId="18DAD98D">
          <w:pPr>
            <w:pStyle w:val="2"/>
            <w:tabs>
              <w:tab w:val="right" w:leader="dot" w:pos="8289"/>
            </w:tabs>
            <w:spacing w:before="51" w:line="220" w:lineRule="auto"/>
            <w:ind w:left="843"/>
            <w:rPr>
              <w:rFonts w:ascii="Times New Roman" w:hAnsi="Times New Roman" w:eastAsia="Times New Roman" w:cs="Times New Roman"/>
              <w:sz w:val="21"/>
              <w:szCs w:val="21"/>
            </w:rPr>
          </w:pPr>
          <w:r>
            <w:fldChar w:fldCharType="begin"/>
          </w:r>
          <w:r>
            <w:instrText xml:space="preserve"> HYPERLINK \l "bookmark11" </w:instrText>
          </w:r>
          <w:r>
            <w:fldChar w:fldCharType="separate"/>
          </w:r>
          <w:r>
            <w:rPr>
              <w:rFonts w:ascii="Times New Roman" w:hAnsi="Times New Roman" w:eastAsia="Times New Roman" w:cs="Times New Roman"/>
              <w:sz w:val="21"/>
              <w:szCs w:val="21"/>
            </w:rPr>
            <w:t xml:space="preserve">1.6   </w:t>
          </w:r>
          <w:r>
            <w:rPr>
              <w:sz w:val="21"/>
              <w:szCs w:val="21"/>
            </w:rPr>
            <w:t>保密</w:t>
          </w:r>
          <w:r>
            <w:rPr>
              <w:spacing w:val="-86"/>
              <w:sz w:val="21"/>
              <w:szCs w:val="21"/>
            </w:rPr>
            <w:t xml:space="preserve"> </w:t>
          </w:r>
          <w:r>
            <w:rPr>
              <w:sz w:val="21"/>
              <w:szCs w:val="21"/>
            </w:rPr>
            <w:tab/>
          </w:r>
          <w:r>
            <w:rPr>
              <w:rFonts w:ascii="Times New Roman" w:hAnsi="Times New Roman" w:eastAsia="Times New Roman" w:cs="Times New Roman"/>
              <w:spacing w:val="1"/>
              <w:sz w:val="21"/>
              <w:szCs w:val="21"/>
            </w:rPr>
            <w:t>23</w:t>
          </w:r>
          <w:r>
            <w:rPr>
              <w:rFonts w:ascii="Times New Roman" w:hAnsi="Times New Roman" w:eastAsia="Times New Roman" w:cs="Times New Roman"/>
              <w:spacing w:val="1"/>
              <w:sz w:val="21"/>
              <w:szCs w:val="21"/>
            </w:rPr>
            <w:fldChar w:fldCharType="end"/>
          </w:r>
        </w:p>
        <w:p w14:paraId="08D25382">
          <w:pPr>
            <w:pStyle w:val="2"/>
            <w:tabs>
              <w:tab w:val="right" w:leader="dot" w:pos="8299"/>
            </w:tabs>
            <w:spacing w:before="79" w:line="219" w:lineRule="auto"/>
            <w:ind w:left="843"/>
            <w:rPr>
              <w:rFonts w:ascii="Times New Roman" w:hAnsi="Times New Roman" w:eastAsia="Times New Roman" w:cs="Times New Roman"/>
              <w:sz w:val="21"/>
              <w:szCs w:val="21"/>
            </w:rPr>
          </w:pPr>
          <w:r>
            <w:fldChar w:fldCharType="begin"/>
          </w:r>
          <w:r>
            <w:instrText xml:space="preserve"> HYPERLINK \l "bookmark12" </w:instrText>
          </w:r>
          <w:r>
            <w:fldChar w:fldCharType="separate"/>
          </w:r>
          <w:r>
            <w:rPr>
              <w:rFonts w:ascii="Times New Roman" w:hAnsi="Times New Roman" w:eastAsia="Times New Roman" w:cs="Times New Roman"/>
              <w:spacing w:val="-1"/>
              <w:sz w:val="21"/>
              <w:szCs w:val="21"/>
            </w:rPr>
            <w:t xml:space="preserve">1.7   </w:t>
          </w:r>
          <w:r>
            <w:rPr>
              <w:spacing w:val="-1"/>
              <w:sz w:val="21"/>
              <w:szCs w:val="21"/>
            </w:rPr>
            <w:t>语言文字</w:t>
          </w:r>
          <w:r>
            <w:rPr>
              <w:spacing w:val="-76"/>
              <w:sz w:val="21"/>
              <w:szCs w:val="21"/>
            </w:rPr>
            <w:t xml:space="preserve"> </w:t>
          </w:r>
          <w:r>
            <w:rPr>
              <w:sz w:val="21"/>
              <w:szCs w:val="21"/>
            </w:rPr>
            <w:tab/>
          </w:r>
          <w:r>
            <w:rPr>
              <w:rFonts w:ascii="Times New Roman" w:hAnsi="Times New Roman" w:eastAsia="Times New Roman" w:cs="Times New Roman"/>
              <w:spacing w:val="1"/>
              <w:sz w:val="21"/>
              <w:szCs w:val="21"/>
            </w:rPr>
            <w:t>24</w:t>
          </w:r>
          <w:r>
            <w:rPr>
              <w:rFonts w:ascii="Times New Roman" w:hAnsi="Times New Roman" w:eastAsia="Times New Roman" w:cs="Times New Roman"/>
              <w:spacing w:val="1"/>
              <w:sz w:val="21"/>
              <w:szCs w:val="21"/>
            </w:rPr>
            <w:fldChar w:fldCharType="end"/>
          </w:r>
        </w:p>
        <w:p w14:paraId="6070CE69">
          <w:pPr>
            <w:pStyle w:val="2"/>
            <w:tabs>
              <w:tab w:val="right" w:leader="dot" w:pos="8299"/>
            </w:tabs>
            <w:spacing w:before="62" w:line="220" w:lineRule="auto"/>
            <w:ind w:left="843"/>
            <w:rPr>
              <w:rFonts w:ascii="Times New Roman" w:hAnsi="Times New Roman" w:eastAsia="Times New Roman" w:cs="Times New Roman"/>
              <w:sz w:val="21"/>
              <w:szCs w:val="21"/>
            </w:rPr>
          </w:pPr>
          <w:r>
            <w:fldChar w:fldCharType="begin"/>
          </w:r>
          <w:r>
            <w:instrText xml:space="preserve"> HYPERLINK \l "bookmark13" </w:instrText>
          </w:r>
          <w:r>
            <w:fldChar w:fldCharType="separate"/>
          </w:r>
          <w:r>
            <w:rPr>
              <w:rFonts w:ascii="Times New Roman" w:hAnsi="Times New Roman" w:eastAsia="Times New Roman" w:cs="Times New Roman"/>
              <w:spacing w:val="-3"/>
              <w:sz w:val="21"/>
              <w:szCs w:val="21"/>
            </w:rPr>
            <w:t xml:space="preserve">1.8   </w:t>
          </w:r>
          <w:r>
            <w:rPr>
              <w:spacing w:val="-3"/>
              <w:sz w:val="21"/>
              <w:szCs w:val="21"/>
            </w:rPr>
            <w:t>计量单位</w:t>
          </w:r>
          <w:r>
            <w:rPr>
              <w:spacing w:val="34"/>
              <w:sz w:val="21"/>
              <w:szCs w:val="21"/>
            </w:rPr>
            <w:t xml:space="preserve"> </w:t>
          </w:r>
          <w:r>
            <w:rPr>
              <w:sz w:val="21"/>
              <w:szCs w:val="21"/>
            </w:rPr>
            <w:tab/>
          </w:r>
          <w:r>
            <w:rPr>
              <w:rFonts w:ascii="Times New Roman" w:hAnsi="Times New Roman" w:eastAsia="Times New Roman" w:cs="Times New Roman"/>
              <w:spacing w:val="10"/>
              <w:sz w:val="21"/>
              <w:szCs w:val="21"/>
            </w:rPr>
            <w:t>24</w:t>
          </w:r>
          <w:r>
            <w:rPr>
              <w:rFonts w:ascii="Times New Roman" w:hAnsi="Times New Roman" w:eastAsia="Times New Roman" w:cs="Times New Roman"/>
              <w:spacing w:val="10"/>
              <w:sz w:val="21"/>
              <w:szCs w:val="21"/>
            </w:rPr>
            <w:fldChar w:fldCharType="end"/>
          </w:r>
        </w:p>
        <w:p w14:paraId="358AA417">
          <w:pPr>
            <w:pStyle w:val="2"/>
            <w:tabs>
              <w:tab w:val="right" w:leader="dot" w:pos="8289"/>
            </w:tabs>
            <w:spacing w:before="59" w:line="219" w:lineRule="auto"/>
            <w:ind w:left="843"/>
            <w:rPr>
              <w:rFonts w:ascii="Times New Roman" w:hAnsi="Times New Roman" w:eastAsia="Times New Roman" w:cs="Times New Roman"/>
              <w:sz w:val="21"/>
              <w:szCs w:val="21"/>
            </w:rPr>
          </w:pPr>
          <w:r>
            <w:fldChar w:fldCharType="begin"/>
          </w:r>
          <w:r>
            <w:instrText xml:space="preserve"> HYPERLINK \l "bookmark14" </w:instrText>
          </w:r>
          <w:r>
            <w:fldChar w:fldCharType="separate"/>
          </w:r>
          <w:r>
            <w:rPr>
              <w:rFonts w:ascii="Times New Roman" w:hAnsi="Times New Roman" w:eastAsia="Times New Roman" w:cs="Times New Roman"/>
              <w:spacing w:val="1"/>
              <w:sz w:val="21"/>
              <w:szCs w:val="21"/>
            </w:rPr>
            <w:t xml:space="preserve">1.9   </w:t>
          </w:r>
          <w:r>
            <w:rPr>
              <w:spacing w:val="1"/>
              <w:sz w:val="21"/>
              <w:szCs w:val="21"/>
            </w:rPr>
            <w:t>踏勘现场</w:t>
          </w:r>
          <w:r>
            <w:rPr>
              <w:spacing w:val="-86"/>
              <w:sz w:val="21"/>
              <w:szCs w:val="21"/>
            </w:rPr>
            <w:t xml:space="preserve"> </w:t>
          </w:r>
          <w:r>
            <w:rPr>
              <w:sz w:val="21"/>
              <w:szCs w:val="21"/>
            </w:rPr>
            <w:tab/>
          </w:r>
          <w:r>
            <w:rPr>
              <w:spacing w:val="-11"/>
              <w:sz w:val="21"/>
              <w:szCs w:val="21"/>
            </w:rPr>
            <w:t xml:space="preserve"> </w:t>
          </w:r>
          <w:r>
            <w:rPr>
              <w:rFonts w:ascii="Times New Roman" w:hAnsi="Times New Roman" w:eastAsia="Times New Roman" w:cs="Times New Roman"/>
              <w:spacing w:val="-2"/>
              <w:sz w:val="21"/>
              <w:szCs w:val="21"/>
            </w:rPr>
            <w:t>24</w:t>
          </w:r>
          <w:r>
            <w:rPr>
              <w:rFonts w:ascii="Times New Roman" w:hAnsi="Times New Roman" w:eastAsia="Times New Roman" w:cs="Times New Roman"/>
              <w:spacing w:val="-2"/>
              <w:sz w:val="21"/>
              <w:szCs w:val="21"/>
            </w:rPr>
            <w:fldChar w:fldCharType="end"/>
          </w:r>
        </w:p>
        <w:p w14:paraId="4C32C89B">
          <w:pPr>
            <w:pStyle w:val="2"/>
            <w:tabs>
              <w:tab w:val="right" w:leader="dot" w:pos="8309"/>
            </w:tabs>
            <w:spacing w:before="59" w:line="219" w:lineRule="auto"/>
            <w:ind w:left="843"/>
            <w:rPr>
              <w:rFonts w:ascii="Times New Roman" w:hAnsi="Times New Roman" w:eastAsia="Times New Roman" w:cs="Times New Roman"/>
              <w:sz w:val="21"/>
              <w:szCs w:val="21"/>
            </w:rPr>
          </w:pPr>
          <w:r>
            <w:fldChar w:fldCharType="begin"/>
          </w:r>
          <w:r>
            <w:instrText xml:space="preserve"> HYPERLINK \l "bookmark15" </w:instrText>
          </w:r>
          <w:r>
            <w:fldChar w:fldCharType="separate"/>
          </w:r>
          <w:r>
            <w:rPr>
              <w:rFonts w:ascii="Times New Roman" w:hAnsi="Times New Roman" w:eastAsia="Times New Roman" w:cs="Times New Roman"/>
              <w:spacing w:val="-3"/>
              <w:sz w:val="21"/>
              <w:szCs w:val="21"/>
            </w:rPr>
            <w:t xml:space="preserve">1.10   </w:t>
          </w:r>
          <w:r>
            <w:rPr>
              <w:spacing w:val="-3"/>
              <w:sz w:val="21"/>
              <w:szCs w:val="21"/>
            </w:rPr>
            <w:t>投标预备会</w:t>
          </w:r>
          <w:r>
            <w:rPr>
              <w:spacing w:val="-56"/>
              <w:sz w:val="21"/>
              <w:szCs w:val="21"/>
            </w:rPr>
            <w:t xml:space="preserve"> </w:t>
          </w:r>
          <w:r>
            <w:rPr>
              <w:sz w:val="21"/>
              <w:szCs w:val="21"/>
            </w:rPr>
            <w:tab/>
          </w:r>
          <w:r>
            <w:rPr>
              <w:rFonts w:ascii="Times New Roman" w:hAnsi="Times New Roman" w:eastAsia="Times New Roman" w:cs="Times New Roman"/>
              <w:spacing w:val="10"/>
              <w:sz w:val="21"/>
              <w:szCs w:val="21"/>
            </w:rPr>
            <w:t>24</w:t>
          </w:r>
          <w:r>
            <w:rPr>
              <w:rFonts w:ascii="Times New Roman" w:hAnsi="Times New Roman" w:eastAsia="Times New Roman" w:cs="Times New Roman"/>
              <w:spacing w:val="10"/>
              <w:sz w:val="21"/>
              <w:szCs w:val="21"/>
            </w:rPr>
            <w:fldChar w:fldCharType="end"/>
          </w:r>
        </w:p>
        <w:p w14:paraId="29B4C052">
          <w:pPr>
            <w:pStyle w:val="2"/>
            <w:tabs>
              <w:tab w:val="right" w:leader="dot" w:pos="8299"/>
            </w:tabs>
            <w:spacing w:before="63" w:line="220" w:lineRule="auto"/>
            <w:ind w:left="843"/>
            <w:rPr>
              <w:rFonts w:ascii="Times New Roman" w:hAnsi="Times New Roman" w:eastAsia="Times New Roman" w:cs="Times New Roman"/>
              <w:sz w:val="21"/>
              <w:szCs w:val="21"/>
            </w:rPr>
          </w:pPr>
          <w:r>
            <w:fldChar w:fldCharType="begin"/>
          </w:r>
          <w:r>
            <w:instrText xml:space="preserve"> HYPERLINK \l "bookmark16" </w:instrText>
          </w:r>
          <w:r>
            <w:fldChar w:fldCharType="separate"/>
          </w:r>
          <w:r>
            <w:rPr>
              <w:rFonts w:ascii="Times New Roman" w:hAnsi="Times New Roman" w:eastAsia="Times New Roman" w:cs="Times New Roman"/>
              <w:spacing w:val="-3"/>
              <w:sz w:val="21"/>
              <w:szCs w:val="21"/>
            </w:rPr>
            <w:t>1.11</w:t>
          </w:r>
          <w:r>
            <w:rPr>
              <w:rFonts w:ascii="Times New Roman" w:hAnsi="Times New Roman" w:eastAsia="Times New Roman" w:cs="Times New Roman"/>
              <w:spacing w:val="7"/>
              <w:sz w:val="21"/>
              <w:szCs w:val="21"/>
            </w:rPr>
            <w:t xml:space="preserve">   </w:t>
          </w:r>
          <w:r>
            <w:rPr>
              <w:spacing w:val="-3"/>
              <w:sz w:val="21"/>
              <w:szCs w:val="21"/>
            </w:rPr>
            <w:t>分包</w:t>
          </w:r>
          <w:r>
            <w:rPr>
              <w:spacing w:val="-84"/>
              <w:sz w:val="21"/>
              <w:szCs w:val="21"/>
            </w:rPr>
            <w:t xml:space="preserve"> </w:t>
          </w:r>
          <w:r>
            <w:rPr>
              <w:sz w:val="21"/>
              <w:szCs w:val="21"/>
            </w:rPr>
            <w:tab/>
          </w:r>
          <w:r>
            <w:rPr>
              <w:rFonts w:ascii="Times New Roman" w:hAnsi="Times New Roman" w:eastAsia="Times New Roman" w:cs="Times New Roman"/>
              <w:spacing w:val="-1"/>
              <w:sz w:val="21"/>
              <w:szCs w:val="21"/>
            </w:rPr>
            <w:t>24</w:t>
          </w:r>
          <w:r>
            <w:rPr>
              <w:rFonts w:ascii="Times New Roman" w:hAnsi="Times New Roman" w:eastAsia="Times New Roman" w:cs="Times New Roman"/>
              <w:spacing w:val="-1"/>
              <w:sz w:val="21"/>
              <w:szCs w:val="21"/>
            </w:rPr>
            <w:fldChar w:fldCharType="end"/>
          </w:r>
        </w:p>
        <w:p w14:paraId="785AB2C0">
          <w:pPr>
            <w:pStyle w:val="2"/>
            <w:tabs>
              <w:tab w:val="right" w:leader="dot" w:pos="8309"/>
            </w:tabs>
            <w:spacing w:before="69" w:line="219" w:lineRule="auto"/>
            <w:ind w:left="843"/>
            <w:rPr>
              <w:rFonts w:ascii="Times New Roman" w:hAnsi="Times New Roman" w:eastAsia="Times New Roman" w:cs="Times New Roman"/>
              <w:sz w:val="21"/>
              <w:szCs w:val="21"/>
            </w:rPr>
          </w:pPr>
          <w:r>
            <w:fldChar w:fldCharType="begin"/>
          </w:r>
          <w:r>
            <w:instrText xml:space="preserve"> HYPERLINK \l "bookmark17" </w:instrText>
          </w:r>
          <w:r>
            <w:fldChar w:fldCharType="separate"/>
          </w:r>
          <w:r>
            <w:rPr>
              <w:rFonts w:ascii="Times New Roman" w:hAnsi="Times New Roman" w:eastAsia="Times New Roman" w:cs="Times New Roman"/>
              <w:spacing w:val="-6"/>
              <w:sz w:val="21"/>
              <w:szCs w:val="21"/>
            </w:rPr>
            <w:t>1.12</w:t>
          </w:r>
          <w:r>
            <w:rPr>
              <w:rFonts w:ascii="Times New Roman" w:hAnsi="Times New Roman" w:eastAsia="Times New Roman" w:cs="Times New Roman"/>
              <w:spacing w:val="7"/>
              <w:sz w:val="21"/>
              <w:szCs w:val="21"/>
            </w:rPr>
            <w:t xml:space="preserve">   </w:t>
          </w:r>
          <w:r>
            <w:rPr>
              <w:spacing w:val="-6"/>
              <w:sz w:val="21"/>
              <w:szCs w:val="21"/>
            </w:rPr>
            <w:t>偏离</w:t>
          </w:r>
          <w:r>
            <w:rPr>
              <w:spacing w:val="-86"/>
              <w:sz w:val="21"/>
              <w:szCs w:val="21"/>
            </w:rPr>
            <w:t xml:space="preserve"> </w:t>
          </w:r>
          <w:r>
            <w:rPr>
              <w:sz w:val="21"/>
              <w:szCs w:val="21"/>
            </w:rPr>
            <w:tab/>
          </w:r>
          <w:r>
            <w:rPr>
              <w:spacing w:val="-71"/>
              <w:sz w:val="21"/>
              <w:szCs w:val="21"/>
            </w:rPr>
            <w:t xml:space="preserve"> </w:t>
          </w:r>
          <w:r>
            <w:rPr>
              <w:rFonts w:ascii="Times New Roman" w:hAnsi="Times New Roman" w:eastAsia="Times New Roman" w:cs="Times New Roman"/>
              <w:spacing w:val="-2"/>
              <w:sz w:val="21"/>
              <w:szCs w:val="21"/>
            </w:rPr>
            <w:t>24</w:t>
          </w:r>
          <w:r>
            <w:rPr>
              <w:rFonts w:ascii="Times New Roman" w:hAnsi="Times New Roman" w:eastAsia="Times New Roman" w:cs="Times New Roman"/>
              <w:spacing w:val="-2"/>
              <w:sz w:val="21"/>
              <w:szCs w:val="21"/>
            </w:rPr>
            <w:fldChar w:fldCharType="end"/>
          </w:r>
        </w:p>
        <w:p w14:paraId="2F450D31">
          <w:pPr>
            <w:pStyle w:val="2"/>
            <w:tabs>
              <w:tab w:val="right" w:leader="dot" w:pos="9059"/>
            </w:tabs>
            <w:spacing w:before="51" w:line="219" w:lineRule="auto"/>
            <w:ind w:left="413"/>
            <w:rPr>
              <w:rFonts w:ascii="Times New Roman" w:hAnsi="Times New Roman" w:eastAsia="Times New Roman" w:cs="Times New Roman"/>
              <w:sz w:val="21"/>
              <w:szCs w:val="21"/>
            </w:rPr>
          </w:pPr>
          <w:r>
            <w:fldChar w:fldCharType="begin"/>
          </w:r>
          <w:r>
            <w:instrText xml:space="preserve"> HYPERLINK \l "bookmark18" </w:instrText>
          </w:r>
          <w:r>
            <w:fldChar w:fldCharType="separate"/>
          </w:r>
          <w:r>
            <w:rPr>
              <w:rFonts w:ascii="Times New Roman" w:hAnsi="Times New Roman" w:eastAsia="Times New Roman" w:cs="Times New Roman"/>
              <w:spacing w:val="-11"/>
              <w:sz w:val="21"/>
              <w:szCs w:val="21"/>
            </w:rPr>
            <w:t>2.</w:t>
          </w:r>
          <w:r>
            <w:rPr>
              <w:rFonts w:ascii="Times New Roman" w:hAnsi="Times New Roman" w:eastAsia="Times New Roman" w:cs="Times New Roman"/>
              <w:spacing w:val="3"/>
              <w:sz w:val="21"/>
              <w:szCs w:val="21"/>
            </w:rPr>
            <w:t xml:space="preserve">   </w:t>
          </w:r>
          <w:r>
            <w:rPr>
              <w:spacing w:val="-11"/>
              <w:sz w:val="21"/>
              <w:szCs w:val="21"/>
            </w:rPr>
            <w:t>招标文件</w:t>
          </w:r>
          <w:r>
            <w:rPr>
              <w:spacing w:val="25"/>
              <w:sz w:val="21"/>
              <w:szCs w:val="21"/>
            </w:rPr>
            <w:t xml:space="preserve"> </w:t>
          </w:r>
          <w:r>
            <w:rPr>
              <w:sz w:val="21"/>
              <w:szCs w:val="21"/>
            </w:rPr>
            <w:tab/>
          </w:r>
          <w:r>
            <w:rPr>
              <w:spacing w:val="-10"/>
              <w:sz w:val="21"/>
              <w:szCs w:val="21"/>
            </w:rPr>
            <w:t xml:space="preserve"> </w:t>
          </w:r>
          <w:r>
            <w:rPr>
              <w:rFonts w:ascii="Times New Roman" w:hAnsi="Times New Roman" w:eastAsia="Times New Roman" w:cs="Times New Roman"/>
              <w:spacing w:val="-2"/>
              <w:sz w:val="21"/>
              <w:szCs w:val="21"/>
            </w:rPr>
            <w:t>24</w:t>
          </w:r>
          <w:r>
            <w:rPr>
              <w:rFonts w:ascii="Times New Roman" w:hAnsi="Times New Roman" w:eastAsia="Times New Roman" w:cs="Times New Roman"/>
              <w:spacing w:val="-2"/>
              <w:sz w:val="21"/>
              <w:szCs w:val="21"/>
            </w:rPr>
            <w:fldChar w:fldCharType="end"/>
          </w:r>
        </w:p>
        <w:p w14:paraId="76A96FA9">
          <w:pPr>
            <w:pStyle w:val="2"/>
            <w:tabs>
              <w:tab w:val="right" w:leader="dot" w:pos="8299"/>
            </w:tabs>
            <w:spacing w:before="81" w:line="219" w:lineRule="auto"/>
            <w:ind w:left="843"/>
            <w:rPr>
              <w:rFonts w:ascii="Times New Roman" w:hAnsi="Times New Roman" w:eastAsia="Times New Roman" w:cs="Times New Roman"/>
              <w:sz w:val="21"/>
              <w:szCs w:val="21"/>
            </w:rPr>
          </w:pPr>
          <w:r>
            <w:fldChar w:fldCharType="begin"/>
          </w:r>
          <w:r>
            <w:instrText xml:space="preserve"> HYPERLINK \l "bookmark19" </w:instrText>
          </w:r>
          <w:r>
            <w:fldChar w:fldCharType="separate"/>
          </w:r>
          <w:r>
            <w:rPr>
              <w:rFonts w:ascii="Times New Roman" w:hAnsi="Times New Roman" w:eastAsia="Times New Roman" w:cs="Times New Roman"/>
              <w:spacing w:val="-4"/>
              <w:sz w:val="21"/>
              <w:szCs w:val="21"/>
            </w:rPr>
            <w:t xml:space="preserve">2.1   </w:t>
          </w:r>
          <w:r>
            <w:rPr>
              <w:spacing w:val="-4"/>
              <w:sz w:val="21"/>
              <w:szCs w:val="21"/>
            </w:rPr>
            <w:t>招标文件的组成</w:t>
          </w:r>
          <w:r>
            <w:rPr>
              <w:spacing w:val="36"/>
              <w:sz w:val="21"/>
              <w:szCs w:val="21"/>
            </w:rPr>
            <w:t xml:space="preserve"> </w:t>
          </w:r>
          <w:r>
            <w:rPr>
              <w:sz w:val="21"/>
              <w:szCs w:val="21"/>
            </w:rPr>
            <w:tab/>
          </w:r>
          <w:r>
            <w:rPr>
              <w:spacing w:val="-60"/>
              <w:sz w:val="21"/>
              <w:szCs w:val="21"/>
            </w:rPr>
            <w:t xml:space="preserve"> </w:t>
          </w:r>
          <w:r>
            <w:rPr>
              <w:rFonts w:ascii="Times New Roman" w:hAnsi="Times New Roman" w:eastAsia="Times New Roman" w:cs="Times New Roman"/>
              <w:spacing w:val="-2"/>
              <w:sz w:val="21"/>
              <w:szCs w:val="21"/>
            </w:rPr>
            <w:t>24</w:t>
          </w:r>
          <w:r>
            <w:rPr>
              <w:rFonts w:ascii="Times New Roman" w:hAnsi="Times New Roman" w:eastAsia="Times New Roman" w:cs="Times New Roman"/>
              <w:spacing w:val="-2"/>
              <w:sz w:val="21"/>
              <w:szCs w:val="21"/>
            </w:rPr>
            <w:fldChar w:fldCharType="end"/>
          </w:r>
        </w:p>
        <w:p w14:paraId="0F70C307">
          <w:pPr>
            <w:pStyle w:val="2"/>
            <w:tabs>
              <w:tab w:val="right" w:leader="dot" w:pos="8299"/>
            </w:tabs>
            <w:spacing w:before="51" w:line="219" w:lineRule="auto"/>
            <w:ind w:left="843"/>
            <w:rPr>
              <w:rFonts w:ascii="Times New Roman" w:hAnsi="Times New Roman" w:eastAsia="Times New Roman" w:cs="Times New Roman"/>
              <w:sz w:val="21"/>
              <w:szCs w:val="21"/>
            </w:rPr>
          </w:pPr>
          <w:r>
            <w:fldChar w:fldCharType="begin"/>
          </w:r>
          <w:r>
            <w:instrText xml:space="preserve"> HYPERLINK \l "bookmark20" </w:instrText>
          </w:r>
          <w:r>
            <w:fldChar w:fldCharType="separate"/>
          </w:r>
          <w:r>
            <w:rPr>
              <w:rFonts w:ascii="Times New Roman" w:hAnsi="Times New Roman" w:eastAsia="Times New Roman" w:cs="Times New Roman"/>
              <w:spacing w:val="-1"/>
              <w:sz w:val="21"/>
              <w:szCs w:val="21"/>
            </w:rPr>
            <w:t xml:space="preserve">2.2   </w:t>
          </w:r>
          <w:r>
            <w:rPr>
              <w:spacing w:val="-1"/>
              <w:sz w:val="21"/>
              <w:szCs w:val="21"/>
            </w:rPr>
            <w:t>招标文件的澄清</w:t>
          </w:r>
          <w:r>
            <w:rPr>
              <w:spacing w:val="17"/>
              <w:sz w:val="21"/>
              <w:szCs w:val="21"/>
            </w:rPr>
            <w:t xml:space="preserve"> </w:t>
          </w:r>
          <w:r>
            <w:rPr>
              <w:sz w:val="21"/>
              <w:szCs w:val="21"/>
            </w:rPr>
            <w:tab/>
          </w:r>
          <w:r>
            <w:rPr>
              <w:rFonts w:ascii="Times New Roman" w:hAnsi="Times New Roman" w:eastAsia="Times New Roman" w:cs="Times New Roman"/>
              <w:spacing w:val="10"/>
              <w:sz w:val="21"/>
              <w:szCs w:val="21"/>
            </w:rPr>
            <w:t>25</w:t>
          </w:r>
          <w:r>
            <w:rPr>
              <w:rFonts w:ascii="Times New Roman" w:hAnsi="Times New Roman" w:eastAsia="Times New Roman" w:cs="Times New Roman"/>
              <w:spacing w:val="10"/>
              <w:sz w:val="21"/>
              <w:szCs w:val="21"/>
            </w:rPr>
            <w:fldChar w:fldCharType="end"/>
          </w:r>
        </w:p>
        <w:p w14:paraId="3AAFBAFA">
          <w:pPr>
            <w:pStyle w:val="2"/>
            <w:tabs>
              <w:tab w:val="right" w:leader="dot" w:pos="8299"/>
            </w:tabs>
            <w:spacing w:before="61" w:line="219" w:lineRule="auto"/>
            <w:ind w:left="843"/>
            <w:rPr>
              <w:rFonts w:ascii="Times New Roman" w:hAnsi="Times New Roman" w:eastAsia="Times New Roman" w:cs="Times New Roman"/>
              <w:sz w:val="21"/>
              <w:szCs w:val="21"/>
            </w:rPr>
          </w:pPr>
          <w:r>
            <w:fldChar w:fldCharType="begin"/>
          </w:r>
          <w:r>
            <w:instrText xml:space="preserve"> HYPERLINK \l "bookmark21" </w:instrText>
          </w:r>
          <w:r>
            <w:fldChar w:fldCharType="separate"/>
          </w:r>
          <w:r>
            <w:rPr>
              <w:rFonts w:ascii="Times New Roman" w:hAnsi="Times New Roman" w:eastAsia="Times New Roman" w:cs="Times New Roman"/>
              <w:spacing w:val="1"/>
              <w:sz w:val="21"/>
              <w:szCs w:val="21"/>
            </w:rPr>
            <w:t>2.3</w:t>
          </w:r>
          <w:r>
            <w:rPr>
              <w:rFonts w:ascii="Times New Roman" w:hAnsi="Times New Roman" w:eastAsia="Times New Roman" w:cs="Times New Roman"/>
              <w:spacing w:val="25"/>
              <w:sz w:val="21"/>
              <w:szCs w:val="21"/>
            </w:rPr>
            <w:t xml:space="preserve">  </w:t>
          </w:r>
          <w:r>
            <w:rPr>
              <w:spacing w:val="1"/>
              <w:sz w:val="21"/>
              <w:szCs w:val="21"/>
            </w:rPr>
            <w:t>招标文件的修改</w:t>
          </w:r>
          <w:r>
            <w:rPr>
              <w:spacing w:val="-84"/>
              <w:sz w:val="21"/>
              <w:szCs w:val="21"/>
            </w:rPr>
            <w:t xml:space="preserve"> </w:t>
          </w:r>
          <w:r>
            <w:rPr>
              <w:sz w:val="21"/>
              <w:szCs w:val="21"/>
            </w:rPr>
            <w:tab/>
          </w:r>
          <w:r>
            <w:rPr>
              <w:rFonts w:ascii="Times New Roman" w:hAnsi="Times New Roman" w:eastAsia="Times New Roman" w:cs="Times New Roman"/>
              <w:spacing w:val="1"/>
              <w:sz w:val="21"/>
              <w:szCs w:val="21"/>
            </w:rPr>
            <w:t>25</w:t>
          </w:r>
          <w:r>
            <w:rPr>
              <w:rFonts w:ascii="Times New Roman" w:hAnsi="Times New Roman" w:eastAsia="Times New Roman" w:cs="Times New Roman"/>
              <w:spacing w:val="1"/>
              <w:sz w:val="21"/>
              <w:szCs w:val="21"/>
            </w:rPr>
            <w:fldChar w:fldCharType="end"/>
          </w:r>
        </w:p>
        <w:p w14:paraId="4B5FA762">
          <w:pPr>
            <w:pStyle w:val="2"/>
            <w:tabs>
              <w:tab w:val="right" w:leader="dot" w:pos="8299"/>
            </w:tabs>
            <w:spacing w:before="71" w:line="219" w:lineRule="auto"/>
            <w:ind w:left="843"/>
            <w:rPr>
              <w:rFonts w:ascii="Times New Roman" w:hAnsi="Times New Roman" w:eastAsia="Times New Roman" w:cs="Times New Roman"/>
              <w:sz w:val="21"/>
              <w:szCs w:val="21"/>
            </w:rPr>
          </w:pPr>
          <w:r>
            <w:fldChar w:fldCharType="begin"/>
          </w:r>
          <w:r>
            <w:instrText xml:space="preserve"> HYPERLINK \l "bookmark22" </w:instrText>
          </w:r>
          <w:r>
            <w:fldChar w:fldCharType="separate"/>
          </w:r>
          <w:r>
            <w:rPr>
              <w:rFonts w:ascii="Times New Roman" w:hAnsi="Times New Roman" w:eastAsia="Times New Roman" w:cs="Times New Roman"/>
              <w:spacing w:val="2"/>
              <w:sz w:val="21"/>
              <w:szCs w:val="21"/>
            </w:rPr>
            <w:t>2.4</w:t>
          </w:r>
          <w:r>
            <w:rPr>
              <w:rFonts w:ascii="Times New Roman" w:hAnsi="Times New Roman" w:eastAsia="Times New Roman" w:cs="Times New Roman"/>
              <w:spacing w:val="25"/>
              <w:w w:val="101"/>
              <w:sz w:val="21"/>
              <w:szCs w:val="21"/>
            </w:rPr>
            <w:t xml:space="preserve">  </w:t>
          </w:r>
          <w:r>
            <w:rPr>
              <w:spacing w:val="2"/>
              <w:sz w:val="21"/>
              <w:szCs w:val="21"/>
            </w:rPr>
            <w:t>招标文件的异议</w:t>
          </w:r>
          <w:r>
            <w:rPr>
              <w:spacing w:val="-85"/>
              <w:sz w:val="21"/>
              <w:szCs w:val="21"/>
            </w:rPr>
            <w:t xml:space="preserve"> </w:t>
          </w:r>
          <w:r>
            <w:rPr>
              <w:sz w:val="21"/>
              <w:szCs w:val="21"/>
            </w:rPr>
            <w:tab/>
          </w:r>
          <w:r>
            <w:rPr>
              <w:spacing w:val="-10"/>
              <w:sz w:val="21"/>
              <w:szCs w:val="21"/>
            </w:rPr>
            <w:t xml:space="preserve"> </w:t>
          </w:r>
          <w:r>
            <w:rPr>
              <w:rFonts w:ascii="Times New Roman" w:hAnsi="Times New Roman" w:eastAsia="Times New Roman" w:cs="Times New Roman"/>
              <w:spacing w:val="-2"/>
              <w:sz w:val="21"/>
              <w:szCs w:val="21"/>
            </w:rPr>
            <w:t>25</w:t>
          </w:r>
          <w:r>
            <w:rPr>
              <w:rFonts w:ascii="Times New Roman" w:hAnsi="Times New Roman" w:eastAsia="Times New Roman" w:cs="Times New Roman"/>
              <w:spacing w:val="-2"/>
              <w:sz w:val="21"/>
              <w:szCs w:val="21"/>
            </w:rPr>
            <w:fldChar w:fldCharType="end"/>
          </w:r>
        </w:p>
        <w:p w14:paraId="715352DE">
          <w:pPr>
            <w:pStyle w:val="2"/>
            <w:tabs>
              <w:tab w:val="right" w:leader="dot" w:pos="9059"/>
            </w:tabs>
            <w:spacing w:before="61" w:line="219" w:lineRule="auto"/>
            <w:ind w:left="413"/>
            <w:rPr>
              <w:rFonts w:ascii="Times New Roman" w:hAnsi="Times New Roman" w:eastAsia="Times New Roman" w:cs="Times New Roman"/>
              <w:sz w:val="21"/>
              <w:szCs w:val="21"/>
            </w:rPr>
          </w:pPr>
          <w:r>
            <w:fldChar w:fldCharType="begin"/>
          </w:r>
          <w:r>
            <w:instrText xml:space="preserve"> HYPERLINK \l "bookmark23" </w:instrText>
          </w:r>
          <w:r>
            <w:fldChar w:fldCharType="separate"/>
          </w:r>
          <w:r>
            <w:rPr>
              <w:rFonts w:ascii="Times New Roman" w:hAnsi="Times New Roman" w:eastAsia="Times New Roman" w:cs="Times New Roman"/>
              <w:spacing w:val="-12"/>
              <w:sz w:val="21"/>
              <w:szCs w:val="21"/>
            </w:rPr>
            <w:t>3.</w:t>
          </w:r>
          <w:r>
            <w:rPr>
              <w:rFonts w:ascii="Times New Roman" w:hAnsi="Times New Roman" w:eastAsia="Times New Roman" w:cs="Times New Roman"/>
              <w:spacing w:val="5"/>
              <w:sz w:val="21"/>
              <w:szCs w:val="21"/>
            </w:rPr>
            <w:t xml:space="preserve">   </w:t>
          </w:r>
          <w:r>
            <w:rPr>
              <w:spacing w:val="-12"/>
              <w:sz w:val="21"/>
              <w:szCs w:val="21"/>
            </w:rPr>
            <w:t>投标文件</w:t>
          </w:r>
          <w:r>
            <w:rPr>
              <w:spacing w:val="25"/>
              <w:sz w:val="21"/>
              <w:szCs w:val="21"/>
            </w:rPr>
            <w:t xml:space="preserve"> </w:t>
          </w:r>
          <w:r>
            <w:rPr>
              <w:sz w:val="21"/>
              <w:szCs w:val="21"/>
            </w:rPr>
            <w:tab/>
          </w:r>
          <w:r>
            <w:rPr>
              <w:spacing w:val="-10"/>
              <w:sz w:val="21"/>
              <w:szCs w:val="21"/>
            </w:rPr>
            <w:t xml:space="preserve"> </w:t>
          </w:r>
          <w:r>
            <w:rPr>
              <w:rFonts w:ascii="Times New Roman" w:hAnsi="Times New Roman" w:eastAsia="Times New Roman" w:cs="Times New Roman"/>
              <w:spacing w:val="-2"/>
              <w:sz w:val="21"/>
              <w:szCs w:val="21"/>
            </w:rPr>
            <w:t>26</w:t>
          </w:r>
          <w:r>
            <w:rPr>
              <w:rFonts w:ascii="Times New Roman" w:hAnsi="Times New Roman" w:eastAsia="Times New Roman" w:cs="Times New Roman"/>
              <w:spacing w:val="-2"/>
              <w:sz w:val="21"/>
              <w:szCs w:val="21"/>
            </w:rPr>
            <w:fldChar w:fldCharType="end"/>
          </w:r>
        </w:p>
        <w:p w14:paraId="59FA8E21">
          <w:pPr>
            <w:pStyle w:val="2"/>
            <w:tabs>
              <w:tab w:val="right" w:leader="dot" w:pos="8299"/>
            </w:tabs>
            <w:spacing w:before="71" w:line="219" w:lineRule="auto"/>
            <w:ind w:left="843"/>
            <w:rPr>
              <w:rFonts w:ascii="Times New Roman" w:hAnsi="Times New Roman" w:eastAsia="Times New Roman" w:cs="Times New Roman"/>
              <w:sz w:val="21"/>
              <w:szCs w:val="21"/>
            </w:rPr>
          </w:pPr>
          <w:r>
            <w:fldChar w:fldCharType="begin"/>
          </w:r>
          <w:r>
            <w:instrText xml:space="preserve"> HYPERLINK \l "bookmark24" </w:instrText>
          </w:r>
          <w:r>
            <w:fldChar w:fldCharType="separate"/>
          </w:r>
          <w:r>
            <w:rPr>
              <w:rFonts w:ascii="Times New Roman" w:hAnsi="Times New Roman" w:eastAsia="Times New Roman" w:cs="Times New Roman"/>
              <w:spacing w:val="-4"/>
              <w:sz w:val="21"/>
              <w:szCs w:val="21"/>
            </w:rPr>
            <w:t xml:space="preserve">3.1   </w:t>
          </w:r>
          <w:r>
            <w:rPr>
              <w:spacing w:val="-4"/>
              <w:sz w:val="21"/>
              <w:szCs w:val="21"/>
            </w:rPr>
            <w:t>投标文件的组成</w:t>
          </w:r>
          <w:r>
            <w:rPr>
              <w:spacing w:val="36"/>
              <w:sz w:val="21"/>
              <w:szCs w:val="21"/>
            </w:rPr>
            <w:t xml:space="preserve"> </w:t>
          </w:r>
          <w:r>
            <w:rPr>
              <w:sz w:val="21"/>
              <w:szCs w:val="21"/>
            </w:rPr>
            <w:tab/>
          </w:r>
          <w:r>
            <w:rPr>
              <w:spacing w:val="-60"/>
              <w:sz w:val="21"/>
              <w:szCs w:val="21"/>
            </w:rPr>
            <w:t xml:space="preserve"> </w:t>
          </w:r>
          <w:r>
            <w:rPr>
              <w:rFonts w:ascii="Times New Roman" w:hAnsi="Times New Roman" w:eastAsia="Times New Roman" w:cs="Times New Roman"/>
              <w:spacing w:val="-2"/>
              <w:sz w:val="21"/>
              <w:szCs w:val="21"/>
            </w:rPr>
            <w:t>26</w:t>
          </w:r>
          <w:r>
            <w:rPr>
              <w:rFonts w:ascii="Times New Roman" w:hAnsi="Times New Roman" w:eastAsia="Times New Roman" w:cs="Times New Roman"/>
              <w:spacing w:val="-2"/>
              <w:sz w:val="21"/>
              <w:szCs w:val="21"/>
            </w:rPr>
            <w:fldChar w:fldCharType="end"/>
          </w:r>
        </w:p>
        <w:p w14:paraId="5C15D27B">
          <w:pPr>
            <w:pStyle w:val="2"/>
            <w:tabs>
              <w:tab w:val="right" w:leader="dot" w:pos="8299"/>
            </w:tabs>
            <w:spacing w:before="49" w:line="218" w:lineRule="auto"/>
            <w:ind w:left="843"/>
            <w:rPr>
              <w:rFonts w:ascii="Times New Roman" w:hAnsi="Times New Roman" w:eastAsia="Times New Roman" w:cs="Times New Roman"/>
              <w:sz w:val="21"/>
              <w:szCs w:val="21"/>
            </w:rPr>
          </w:pPr>
          <w:r>
            <w:fldChar w:fldCharType="begin"/>
          </w:r>
          <w:r>
            <w:instrText xml:space="preserve"> HYPERLINK \l "bookmark25" </w:instrText>
          </w:r>
          <w:r>
            <w:fldChar w:fldCharType="separate"/>
          </w:r>
          <w:r>
            <w:rPr>
              <w:rFonts w:ascii="Times New Roman" w:hAnsi="Times New Roman" w:eastAsia="Times New Roman" w:cs="Times New Roman"/>
              <w:spacing w:val="-3"/>
              <w:sz w:val="21"/>
              <w:szCs w:val="21"/>
            </w:rPr>
            <w:t>3.2</w:t>
          </w:r>
          <w:r>
            <w:rPr>
              <w:rFonts w:ascii="Times New Roman" w:hAnsi="Times New Roman" w:eastAsia="Times New Roman" w:cs="Times New Roman"/>
              <w:spacing w:val="3"/>
              <w:sz w:val="21"/>
              <w:szCs w:val="21"/>
            </w:rPr>
            <w:t xml:space="preserve">   </w:t>
          </w:r>
          <w:r>
            <w:rPr>
              <w:spacing w:val="-3"/>
              <w:sz w:val="21"/>
              <w:szCs w:val="21"/>
            </w:rPr>
            <w:t>投标报价</w:t>
          </w:r>
          <w:r>
            <w:rPr>
              <w:spacing w:val="-74"/>
              <w:sz w:val="21"/>
              <w:szCs w:val="21"/>
            </w:rPr>
            <w:t xml:space="preserve"> </w:t>
          </w:r>
          <w:r>
            <w:rPr>
              <w:sz w:val="21"/>
              <w:szCs w:val="21"/>
            </w:rPr>
            <w:tab/>
          </w:r>
          <w:r>
            <w:rPr>
              <w:rFonts w:ascii="Times New Roman" w:hAnsi="Times New Roman" w:eastAsia="Times New Roman" w:cs="Times New Roman"/>
              <w:spacing w:val="1"/>
              <w:sz w:val="21"/>
              <w:szCs w:val="21"/>
            </w:rPr>
            <w:t>26</w:t>
          </w:r>
          <w:r>
            <w:rPr>
              <w:rFonts w:ascii="Times New Roman" w:hAnsi="Times New Roman" w:eastAsia="Times New Roman" w:cs="Times New Roman"/>
              <w:spacing w:val="1"/>
              <w:sz w:val="21"/>
              <w:szCs w:val="21"/>
            </w:rPr>
            <w:fldChar w:fldCharType="end"/>
          </w:r>
        </w:p>
        <w:p w14:paraId="69CED243">
          <w:pPr>
            <w:pStyle w:val="2"/>
            <w:tabs>
              <w:tab w:val="right" w:leader="dot" w:pos="8299"/>
            </w:tabs>
            <w:spacing w:before="54" w:line="220" w:lineRule="auto"/>
            <w:ind w:left="843"/>
            <w:rPr>
              <w:rFonts w:ascii="Times New Roman" w:hAnsi="Times New Roman" w:eastAsia="Times New Roman" w:cs="Times New Roman"/>
              <w:sz w:val="21"/>
              <w:szCs w:val="21"/>
            </w:rPr>
          </w:pPr>
          <w:r>
            <w:fldChar w:fldCharType="begin"/>
          </w:r>
          <w:r>
            <w:instrText xml:space="preserve"> HYPERLINK \l "bookmark26" </w:instrText>
          </w:r>
          <w:r>
            <w:fldChar w:fldCharType="separate"/>
          </w:r>
          <w:r>
            <w:rPr>
              <w:rFonts w:ascii="Times New Roman" w:hAnsi="Times New Roman" w:eastAsia="Times New Roman" w:cs="Times New Roman"/>
              <w:spacing w:val="1"/>
              <w:sz w:val="21"/>
              <w:szCs w:val="21"/>
            </w:rPr>
            <w:t>3.3</w:t>
          </w:r>
          <w:r>
            <w:rPr>
              <w:rFonts w:ascii="Times New Roman" w:hAnsi="Times New Roman" w:eastAsia="Times New Roman" w:cs="Times New Roman"/>
              <w:spacing w:val="28"/>
              <w:w w:val="101"/>
              <w:sz w:val="21"/>
              <w:szCs w:val="21"/>
            </w:rPr>
            <w:t xml:space="preserve">  </w:t>
          </w:r>
          <w:r>
            <w:rPr>
              <w:spacing w:val="1"/>
              <w:sz w:val="21"/>
              <w:szCs w:val="21"/>
            </w:rPr>
            <w:t>投标有效期</w:t>
          </w:r>
          <w:r>
            <w:rPr>
              <w:spacing w:val="-89"/>
              <w:sz w:val="21"/>
              <w:szCs w:val="21"/>
            </w:rPr>
            <w:t xml:space="preserve"> </w:t>
          </w:r>
          <w:r>
            <w:rPr>
              <w:sz w:val="21"/>
              <w:szCs w:val="21"/>
            </w:rPr>
            <w:tab/>
          </w:r>
          <w:r>
            <w:rPr>
              <w:rFonts w:ascii="Times New Roman" w:hAnsi="Times New Roman" w:eastAsia="Times New Roman" w:cs="Times New Roman"/>
              <w:spacing w:val="1"/>
              <w:sz w:val="21"/>
              <w:szCs w:val="21"/>
            </w:rPr>
            <w:t>27</w:t>
          </w:r>
          <w:r>
            <w:rPr>
              <w:rFonts w:ascii="Times New Roman" w:hAnsi="Times New Roman" w:eastAsia="Times New Roman" w:cs="Times New Roman"/>
              <w:spacing w:val="1"/>
              <w:sz w:val="21"/>
              <w:szCs w:val="21"/>
            </w:rPr>
            <w:fldChar w:fldCharType="end"/>
          </w:r>
        </w:p>
        <w:p w14:paraId="2AE5BB82">
          <w:pPr>
            <w:pStyle w:val="2"/>
            <w:tabs>
              <w:tab w:val="right" w:leader="dot" w:pos="8309"/>
            </w:tabs>
            <w:spacing w:before="80" w:line="220" w:lineRule="auto"/>
            <w:ind w:left="843"/>
            <w:rPr>
              <w:rFonts w:ascii="Times New Roman" w:hAnsi="Times New Roman" w:eastAsia="Times New Roman" w:cs="Times New Roman"/>
              <w:sz w:val="21"/>
              <w:szCs w:val="21"/>
            </w:rPr>
          </w:pPr>
          <w:r>
            <w:fldChar w:fldCharType="begin"/>
          </w:r>
          <w:r>
            <w:instrText xml:space="preserve"> HYPERLINK \l "bookmark27" </w:instrText>
          </w:r>
          <w:r>
            <w:fldChar w:fldCharType="separate"/>
          </w:r>
          <w:r>
            <w:rPr>
              <w:rFonts w:ascii="Times New Roman" w:hAnsi="Times New Roman" w:eastAsia="Times New Roman" w:cs="Times New Roman"/>
              <w:spacing w:val="-1"/>
              <w:sz w:val="21"/>
              <w:szCs w:val="21"/>
            </w:rPr>
            <w:t xml:space="preserve">3.4   </w:t>
          </w:r>
          <w:r>
            <w:rPr>
              <w:spacing w:val="-1"/>
              <w:sz w:val="21"/>
              <w:szCs w:val="21"/>
            </w:rPr>
            <w:t>投标保证金</w:t>
          </w:r>
          <w:r>
            <w:rPr>
              <w:spacing w:val="-65"/>
              <w:sz w:val="21"/>
              <w:szCs w:val="21"/>
            </w:rPr>
            <w:t xml:space="preserve"> </w:t>
          </w:r>
          <w:r>
            <w:rPr>
              <w:sz w:val="21"/>
              <w:szCs w:val="21"/>
            </w:rPr>
            <w:tab/>
          </w:r>
          <w:r>
            <w:rPr>
              <w:rFonts w:ascii="Times New Roman" w:hAnsi="Times New Roman" w:eastAsia="Times New Roman" w:cs="Times New Roman"/>
              <w:spacing w:val="1"/>
              <w:sz w:val="21"/>
              <w:szCs w:val="21"/>
            </w:rPr>
            <w:t>27</w:t>
          </w:r>
          <w:r>
            <w:rPr>
              <w:rFonts w:ascii="Times New Roman" w:hAnsi="Times New Roman" w:eastAsia="Times New Roman" w:cs="Times New Roman"/>
              <w:spacing w:val="1"/>
              <w:sz w:val="21"/>
              <w:szCs w:val="21"/>
            </w:rPr>
            <w:fldChar w:fldCharType="end"/>
          </w:r>
        </w:p>
        <w:p w14:paraId="70AF02F3">
          <w:pPr>
            <w:pStyle w:val="2"/>
            <w:tabs>
              <w:tab w:val="right" w:leader="dot" w:pos="8299"/>
            </w:tabs>
            <w:spacing w:before="59" w:line="219" w:lineRule="auto"/>
            <w:ind w:left="843"/>
            <w:rPr>
              <w:rFonts w:ascii="Times New Roman" w:hAnsi="Times New Roman" w:eastAsia="Times New Roman" w:cs="Times New Roman"/>
              <w:sz w:val="21"/>
              <w:szCs w:val="21"/>
            </w:rPr>
          </w:pPr>
          <w:r>
            <w:fldChar w:fldCharType="begin"/>
          </w:r>
          <w:r>
            <w:instrText xml:space="preserve"> HYPERLINK \l "bookmark28" </w:instrText>
          </w:r>
          <w:r>
            <w:fldChar w:fldCharType="separate"/>
          </w:r>
          <w:r>
            <w:rPr>
              <w:rFonts w:ascii="Times New Roman" w:hAnsi="Times New Roman" w:eastAsia="Times New Roman" w:cs="Times New Roman"/>
              <w:spacing w:val="7"/>
              <w:sz w:val="21"/>
              <w:szCs w:val="21"/>
            </w:rPr>
            <w:t xml:space="preserve">3.5   </w:t>
          </w:r>
          <w:r>
            <w:rPr>
              <w:spacing w:val="7"/>
              <w:sz w:val="21"/>
              <w:szCs w:val="21"/>
            </w:rPr>
            <w:t>资格审查资料(适用于未进行资格预审的)</w:t>
          </w:r>
          <w:r>
            <w:rPr>
              <w:sz w:val="21"/>
              <w:szCs w:val="21"/>
            </w:rPr>
            <w:tab/>
          </w:r>
          <w:r>
            <w:rPr>
              <w:rFonts w:ascii="Times New Roman" w:hAnsi="Times New Roman" w:eastAsia="Times New Roman" w:cs="Times New Roman"/>
              <w:spacing w:val="1"/>
              <w:sz w:val="21"/>
              <w:szCs w:val="21"/>
            </w:rPr>
            <w:t>27</w:t>
          </w:r>
          <w:r>
            <w:rPr>
              <w:rFonts w:ascii="Times New Roman" w:hAnsi="Times New Roman" w:eastAsia="Times New Roman" w:cs="Times New Roman"/>
              <w:spacing w:val="1"/>
              <w:sz w:val="21"/>
              <w:szCs w:val="21"/>
            </w:rPr>
            <w:fldChar w:fldCharType="end"/>
          </w:r>
        </w:p>
        <w:p w14:paraId="3BC7B550">
          <w:pPr>
            <w:pStyle w:val="2"/>
            <w:tabs>
              <w:tab w:val="right" w:leader="dot" w:pos="8309"/>
            </w:tabs>
            <w:spacing w:before="71" w:line="220" w:lineRule="auto"/>
            <w:ind w:left="843"/>
            <w:rPr>
              <w:rFonts w:ascii="Times New Roman" w:hAnsi="Times New Roman" w:eastAsia="Times New Roman" w:cs="Times New Roman"/>
              <w:sz w:val="21"/>
              <w:szCs w:val="21"/>
            </w:rPr>
          </w:pPr>
          <w:r>
            <w:fldChar w:fldCharType="begin"/>
          </w:r>
          <w:r>
            <w:instrText xml:space="preserve"> HYPERLINK \l "bookmark29" </w:instrText>
          </w:r>
          <w:r>
            <w:fldChar w:fldCharType="separate"/>
          </w:r>
          <w:r>
            <w:rPr>
              <w:rFonts w:ascii="Times New Roman" w:hAnsi="Times New Roman" w:eastAsia="Times New Roman" w:cs="Times New Roman"/>
              <w:spacing w:val="1"/>
              <w:sz w:val="21"/>
              <w:szCs w:val="21"/>
            </w:rPr>
            <w:t xml:space="preserve">3.6   </w:t>
          </w:r>
          <w:r>
            <w:rPr>
              <w:spacing w:val="1"/>
              <w:sz w:val="21"/>
              <w:szCs w:val="21"/>
            </w:rPr>
            <w:t>备选投标方案</w:t>
          </w:r>
          <w:r>
            <w:rPr>
              <w:spacing w:val="-78"/>
              <w:sz w:val="21"/>
              <w:szCs w:val="21"/>
            </w:rPr>
            <w:t xml:space="preserve"> </w:t>
          </w:r>
          <w:r>
            <w:rPr>
              <w:sz w:val="21"/>
              <w:szCs w:val="21"/>
            </w:rPr>
            <w:tab/>
          </w:r>
          <w:r>
            <w:rPr>
              <w:rFonts w:ascii="Times New Roman" w:hAnsi="Times New Roman" w:eastAsia="Times New Roman" w:cs="Times New Roman"/>
              <w:spacing w:val="1"/>
              <w:sz w:val="21"/>
              <w:szCs w:val="21"/>
            </w:rPr>
            <w:t>27</w:t>
          </w:r>
          <w:r>
            <w:rPr>
              <w:rFonts w:ascii="Times New Roman" w:hAnsi="Times New Roman" w:eastAsia="Times New Roman" w:cs="Times New Roman"/>
              <w:spacing w:val="1"/>
              <w:sz w:val="21"/>
              <w:szCs w:val="21"/>
            </w:rPr>
            <w:fldChar w:fldCharType="end"/>
          </w:r>
        </w:p>
        <w:p w14:paraId="3A9AF683">
          <w:pPr>
            <w:pStyle w:val="2"/>
            <w:tabs>
              <w:tab w:val="right" w:leader="dot" w:pos="8309"/>
            </w:tabs>
            <w:spacing w:before="50" w:line="219" w:lineRule="auto"/>
            <w:ind w:left="843"/>
            <w:rPr>
              <w:rFonts w:ascii="Times New Roman" w:hAnsi="Times New Roman" w:eastAsia="Times New Roman" w:cs="Times New Roman"/>
              <w:sz w:val="21"/>
              <w:szCs w:val="21"/>
            </w:rPr>
          </w:pPr>
          <w:r>
            <w:fldChar w:fldCharType="begin"/>
          </w:r>
          <w:r>
            <w:instrText xml:space="preserve"> HYPERLINK \l "bookmark30" </w:instrText>
          </w:r>
          <w:r>
            <w:fldChar w:fldCharType="separate"/>
          </w:r>
          <w:r>
            <w:rPr>
              <w:rFonts w:ascii="Times New Roman" w:hAnsi="Times New Roman" w:eastAsia="Times New Roman" w:cs="Times New Roman"/>
              <w:spacing w:val="1"/>
              <w:sz w:val="21"/>
              <w:szCs w:val="21"/>
            </w:rPr>
            <w:t xml:space="preserve">3.7   </w:t>
          </w:r>
          <w:r>
            <w:rPr>
              <w:spacing w:val="1"/>
              <w:sz w:val="21"/>
              <w:szCs w:val="21"/>
            </w:rPr>
            <w:t>投标文件的编制</w:t>
          </w:r>
          <w:r>
            <w:rPr>
              <w:spacing w:val="-89"/>
              <w:sz w:val="21"/>
              <w:szCs w:val="21"/>
            </w:rPr>
            <w:t xml:space="preserve"> </w:t>
          </w:r>
          <w:r>
            <w:rPr>
              <w:sz w:val="21"/>
              <w:szCs w:val="21"/>
            </w:rPr>
            <w:tab/>
          </w:r>
          <w:r>
            <w:rPr>
              <w:rFonts w:ascii="Times New Roman" w:hAnsi="Times New Roman" w:eastAsia="Times New Roman" w:cs="Times New Roman"/>
              <w:spacing w:val="1"/>
              <w:sz w:val="21"/>
              <w:szCs w:val="21"/>
            </w:rPr>
            <w:t>27</w:t>
          </w:r>
          <w:r>
            <w:rPr>
              <w:rFonts w:ascii="Times New Roman" w:hAnsi="Times New Roman" w:eastAsia="Times New Roman" w:cs="Times New Roman"/>
              <w:spacing w:val="1"/>
              <w:sz w:val="21"/>
              <w:szCs w:val="21"/>
            </w:rPr>
            <w:fldChar w:fldCharType="end"/>
          </w:r>
        </w:p>
        <w:p w14:paraId="004AA091">
          <w:pPr>
            <w:pStyle w:val="2"/>
            <w:tabs>
              <w:tab w:val="right" w:leader="dot" w:pos="9069"/>
            </w:tabs>
            <w:spacing w:before="51" w:line="220" w:lineRule="auto"/>
            <w:ind w:left="413"/>
            <w:rPr>
              <w:rFonts w:ascii="Times New Roman" w:hAnsi="Times New Roman" w:eastAsia="Times New Roman" w:cs="Times New Roman"/>
              <w:sz w:val="21"/>
              <w:szCs w:val="21"/>
            </w:rPr>
          </w:pPr>
          <w:r>
            <w:fldChar w:fldCharType="begin"/>
          </w:r>
          <w:r>
            <w:instrText xml:space="preserve"> HYPERLINK \l "bookmark31" </w:instrText>
          </w:r>
          <w:r>
            <w:fldChar w:fldCharType="separate"/>
          </w:r>
          <w:r>
            <w:rPr>
              <w:rFonts w:ascii="Times New Roman" w:hAnsi="Times New Roman" w:eastAsia="Times New Roman" w:cs="Times New Roman"/>
              <w:spacing w:val="-4"/>
              <w:sz w:val="21"/>
              <w:szCs w:val="21"/>
            </w:rPr>
            <w:t>4.</w:t>
          </w:r>
          <w:r>
            <w:rPr>
              <w:rFonts w:ascii="Times New Roman" w:hAnsi="Times New Roman" w:eastAsia="Times New Roman" w:cs="Times New Roman"/>
              <w:spacing w:val="3"/>
              <w:sz w:val="21"/>
              <w:szCs w:val="21"/>
            </w:rPr>
            <w:t xml:space="preserve">   </w:t>
          </w:r>
          <w:r>
            <w:rPr>
              <w:spacing w:val="-4"/>
              <w:sz w:val="21"/>
              <w:szCs w:val="21"/>
            </w:rPr>
            <w:t>投标</w:t>
          </w:r>
          <w:r>
            <w:rPr>
              <w:spacing w:val="-65"/>
              <w:sz w:val="21"/>
              <w:szCs w:val="21"/>
            </w:rPr>
            <w:t xml:space="preserve"> </w:t>
          </w:r>
          <w:r>
            <w:rPr>
              <w:sz w:val="21"/>
              <w:szCs w:val="21"/>
            </w:rPr>
            <w:tab/>
          </w:r>
          <w:r>
            <w:rPr>
              <w:rFonts w:ascii="Times New Roman" w:hAnsi="Times New Roman" w:eastAsia="Times New Roman" w:cs="Times New Roman"/>
              <w:spacing w:val="1"/>
              <w:sz w:val="21"/>
              <w:szCs w:val="21"/>
            </w:rPr>
            <w:t>29</w:t>
          </w:r>
          <w:r>
            <w:rPr>
              <w:rFonts w:ascii="Times New Roman" w:hAnsi="Times New Roman" w:eastAsia="Times New Roman" w:cs="Times New Roman"/>
              <w:spacing w:val="1"/>
              <w:sz w:val="21"/>
              <w:szCs w:val="21"/>
            </w:rPr>
            <w:fldChar w:fldCharType="end"/>
          </w:r>
        </w:p>
        <w:p w14:paraId="7A5C3F99">
          <w:pPr>
            <w:pStyle w:val="2"/>
            <w:tabs>
              <w:tab w:val="right" w:leader="dot" w:pos="8299"/>
            </w:tabs>
            <w:spacing w:before="79" w:line="219" w:lineRule="auto"/>
            <w:ind w:left="843"/>
            <w:rPr>
              <w:rFonts w:ascii="Times New Roman" w:hAnsi="Times New Roman" w:eastAsia="Times New Roman" w:cs="Times New Roman"/>
              <w:sz w:val="21"/>
              <w:szCs w:val="21"/>
            </w:rPr>
          </w:pPr>
          <w:r>
            <w:fldChar w:fldCharType="begin"/>
          </w:r>
          <w:r>
            <w:instrText xml:space="preserve"> HYPERLINK \l "bookmark32" </w:instrText>
          </w:r>
          <w:r>
            <w:fldChar w:fldCharType="separate"/>
          </w:r>
          <w:r>
            <w:rPr>
              <w:rFonts w:ascii="Times New Roman" w:hAnsi="Times New Roman" w:eastAsia="Times New Roman" w:cs="Times New Roman"/>
              <w:spacing w:val="-4"/>
              <w:sz w:val="21"/>
              <w:szCs w:val="21"/>
            </w:rPr>
            <w:t xml:space="preserve">4.1   </w:t>
          </w:r>
          <w:r>
            <w:rPr>
              <w:spacing w:val="-4"/>
              <w:sz w:val="21"/>
              <w:szCs w:val="21"/>
            </w:rPr>
            <w:t>投标文件的加密</w:t>
          </w:r>
          <w:r>
            <w:rPr>
              <w:spacing w:val="36"/>
              <w:sz w:val="21"/>
              <w:szCs w:val="21"/>
            </w:rPr>
            <w:t xml:space="preserve"> </w:t>
          </w:r>
          <w:r>
            <w:rPr>
              <w:sz w:val="21"/>
              <w:szCs w:val="21"/>
            </w:rPr>
            <w:tab/>
          </w:r>
          <w:r>
            <w:rPr>
              <w:spacing w:val="-60"/>
              <w:sz w:val="21"/>
              <w:szCs w:val="21"/>
            </w:rPr>
            <w:t xml:space="preserve"> </w:t>
          </w:r>
          <w:r>
            <w:rPr>
              <w:rFonts w:ascii="Times New Roman" w:hAnsi="Times New Roman" w:eastAsia="Times New Roman" w:cs="Times New Roman"/>
              <w:spacing w:val="-2"/>
              <w:sz w:val="21"/>
              <w:szCs w:val="21"/>
            </w:rPr>
            <w:t>29</w:t>
          </w:r>
          <w:r>
            <w:rPr>
              <w:rFonts w:ascii="Times New Roman" w:hAnsi="Times New Roman" w:eastAsia="Times New Roman" w:cs="Times New Roman"/>
              <w:spacing w:val="-2"/>
              <w:sz w:val="21"/>
              <w:szCs w:val="21"/>
            </w:rPr>
            <w:fldChar w:fldCharType="end"/>
          </w:r>
        </w:p>
        <w:p w14:paraId="358AF847">
          <w:pPr>
            <w:pStyle w:val="2"/>
            <w:tabs>
              <w:tab w:val="right" w:leader="dot" w:pos="8299"/>
            </w:tabs>
            <w:spacing w:before="71" w:line="219" w:lineRule="auto"/>
            <w:ind w:left="843"/>
            <w:rPr>
              <w:rFonts w:ascii="Times New Roman" w:hAnsi="Times New Roman" w:eastAsia="Times New Roman" w:cs="Times New Roman"/>
              <w:sz w:val="21"/>
              <w:szCs w:val="21"/>
            </w:rPr>
          </w:pPr>
          <w:r>
            <w:fldChar w:fldCharType="begin"/>
          </w:r>
          <w:r>
            <w:instrText xml:space="preserve"> HYPERLINK \l "bookmark33" </w:instrText>
          </w:r>
          <w:r>
            <w:fldChar w:fldCharType="separate"/>
          </w:r>
          <w:r>
            <w:rPr>
              <w:rFonts w:ascii="Times New Roman" w:hAnsi="Times New Roman" w:eastAsia="Times New Roman" w:cs="Times New Roman"/>
              <w:spacing w:val="-4"/>
              <w:sz w:val="21"/>
              <w:szCs w:val="21"/>
            </w:rPr>
            <w:t xml:space="preserve">4.2   </w:t>
          </w:r>
          <w:r>
            <w:rPr>
              <w:spacing w:val="-4"/>
              <w:sz w:val="21"/>
              <w:szCs w:val="21"/>
            </w:rPr>
            <w:t>投标文件的递交</w:t>
          </w:r>
          <w:r>
            <w:rPr>
              <w:spacing w:val="36"/>
              <w:sz w:val="21"/>
              <w:szCs w:val="21"/>
            </w:rPr>
            <w:t xml:space="preserve"> </w:t>
          </w:r>
          <w:r>
            <w:rPr>
              <w:sz w:val="21"/>
              <w:szCs w:val="21"/>
            </w:rPr>
            <w:tab/>
          </w:r>
          <w:r>
            <w:rPr>
              <w:spacing w:val="-60"/>
              <w:sz w:val="21"/>
              <w:szCs w:val="21"/>
            </w:rPr>
            <w:t xml:space="preserve"> </w:t>
          </w:r>
          <w:r>
            <w:rPr>
              <w:rFonts w:ascii="Times New Roman" w:hAnsi="Times New Roman" w:eastAsia="Times New Roman" w:cs="Times New Roman"/>
              <w:spacing w:val="-2"/>
              <w:sz w:val="21"/>
              <w:szCs w:val="21"/>
            </w:rPr>
            <w:t>29</w:t>
          </w:r>
          <w:r>
            <w:rPr>
              <w:rFonts w:ascii="Times New Roman" w:hAnsi="Times New Roman" w:eastAsia="Times New Roman" w:cs="Times New Roman"/>
              <w:spacing w:val="-2"/>
              <w:sz w:val="21"/>
              <w:szCs w:val="21"/>
            </w:rPr>
            <w:fldChar w:fldCharType="end"/>
          </w:r>
        </w:p>
        <w:p w14:paraId="6132BA6D">
          <w:pPr>
            <w:pStyle w:val="2"/>
            <w:tabs>
              <w:tab w:val="right" w:leader="dot" w:pos="8299"/>
            </w:tabs>
            <w:spacing w:before="61" w:line="219" w:lineRule="auto"/>
            <w:ind w:left="843"/>
            <w:rPr>
              <w:rFonts w:ascii="Times New Roman" w:hAnsi="Times New Roman" w:eastAsia="Times New Roman" w:cs="Times New Roman"/>
              <w:sz w:val="21"/>
              <w:szCs w:val="21"/>
            </w:rPr>
          </w:pPr>
          <w:r>
            <w:fldChar w:fldCharType="begin"/>
          </w:r>
          <w:r>
            <w:instrText xml:space="preserve"> HYPERLINK \l "bookmark34" </w:instrText>
          </w:r>
          <w:r>
            <w:fldChar w:fldCharType="separate"/>
          </w:r>
          <w:r>
            <w:rPr>
              <w:rFonts w:ascii="Times New Roman" w:hAnsi="Times New Roman" w:eastAsia="Times New Roman" w:cs="Times New Roman"/>
              <w:sz w:val="21"/>
              <w:szCs w:val="21"/>
            </w:rPr>
            <w:t xml:space="preserve">4.3   </w:t>
          </w:r>
          <w:r>
            <w:rPr>
              <w:sz w:val="21"/>
              <w:szCs w:val="21"/>
            </w:rPr>
            <w:t>投标文件的修改与撤回</w:t>
          </w:r>
          <w:r>
            <w:rPr>
              <w:spacing w:val="-86"/>
              <w:sz w:val="21"/>
              <w:szCs w:val="21"/>
            </w:rPr>
            <w:t xml:space="preserve"> </w:t>
          </w:r>
          <w:r>
            <w:rPr>
              <w:sz w:val="21"/>
              <w:szCs w:val="21"/>
            </w:rPr>
            <w:tab/>
          </w:r>
          <w:r>
            <w:rPr>
              <w:rFonts w:ascii="Times New Roman" w:hAnsi="Times New Roman" w:eastAsia="Times New Roman" w:cs="Times New Roman"/>
              <w:spacing w:val="1"/>
              <w:sz w:val="21"/>
              <w:szCs w:val="21"/>
            </w:rPr>
            <w:t>29</w:t>
          </w:r>
          <w:r>
            <w:rPr>
              <w:rFonts w:ascii="Times New Roman" w:hAnsi="Times New Roman" w:eastAsia="Times New Roman" w:cs="Times New Roman"/>
              <w:spacing w:val="1"/>
              <w:sz w:val="21"/>
              <w:szCs w:val="21"/>
            </w:rPr>
            <w:fldChar w:fldCharType="end"/>
          </w:r>
        </w:p>
        <w:p w14:paraId="3E4AA038">
          <w:pPr>
            <w:pStyle w:val="2"/>
            <w:tabs>
              <w:tab w:val="right" w:leader="dot" w:pos="9059"/>
            </w:tabs>
            <w:spacing w:before="52" w:line="220" w:lineRule="auto"/>
            <w:ind w:left="413"/>
            <w:rPr>
              <w:rFonts w:ascii="Times New Roman" w:hAnsi="Times New Roman" w:eastAsia="Times New Roman" w:cs="Times New Roman"/>
              <w:sz w:val="21"/>
              <w:szCs w:val="21"/>
            </w:rPr>
          </w:pPr>
          <w:r>
            <w:fldChar w:fldCharType="begin"/>
          </w:r>
          <w:r>
            <w:instrText xml:space="preserve"> HYPERLINK \l "bookmark35" </w:instrText>
          </w:r>
          <w:r>
            <w:fldChar w:fldCharType="separate"/>
          </w:r>
          <w:r>
            <w:rPr>
              <w:rFonts w:ascii="Times New Roman" w:hAnsi="Times New Roman" w:eastAsia="Times New Roman" w:cs="Times New Roman"/>
              <w:spacing w:val="-14"/>
              <w:sz w:val="21"/>
              <w:szCs w:val="21"/>
            </w:rPr>
            <w:t>5.</w:t>
          </w:r>
          <w:r>
            <w:rPr>
              <w:rFonts w:ascii="Times New Roman" w:hAnsi="Times New Roman" w:eastAsia="Times New Roman" w:cs="Times New Roman"/>
              <w:spacing w:val="5"/>
              <w:sz w:val="21"/>
              <w:szCs w:val="21"/>
            </w:rPr>
            <w:t xml:space="preserve">   </w:t>
          </w:r>
          <w:r>
            <w:rPr>
              <w:spacing w:val="-14"/>
              <w:sz w:val="21"/>
              <w:szCs w:val="21"/>
            </w:rPr>
            <w:t>开标</w:t>
          </w:r>
          <w:r>
            <w:rPr>
              <w:spacing w:val="20"/>
              <w:sz w:val="21"/>
              <w:szCs w:val="21"/>
            </w:rPr>
            <w:t xml:space="preserve"> </w:t>
          </w:r>
          <w:r>
            <w:rPr>
              <w:sz w:val="21"/>
              <w:szCs w:val="21"/>
            </w:rPr>
            <w:tab/>
          </w:r>
          <w:r>
            <w:rPr>
              <w:spacing w:val="-20"/>
              <w:sz w:val="21"/>
              <w:szCs w:val="21"/>
            </w:rPr>
            <w:t xml:space="preserve"> </w:t>
          </w:r>
          <w:r>
            <w:rPr>
              <w:rFonts w:ascii="Times New Roman" w:hAnsi="Times New Roman" w:eastAsia="Times New Roman" w:cs="Times New Roman"/>
              <w:spacing w:val="-2"/>
              <w:sz w:val="21"/>
              <w:szCs w:val="21"/>
            </w:rPr>
            <w:t>29</w:t>
          </w:r>
          <w:r>
            <w:rPr>
              <w:rFonts w:ascii="Times New Roman" w:hAnsi="Times New Roman" w:eastAsia="Times New Roman" w:cs="Times New Roman"/>
              <w:spacing w:val="-2"/>
              <w:sz w:val="21"/>
              <w:szCs w:val="21"/>
            </w:rPr>
            <w:fldChar w:fldCharType="end"/>
          </w:r>
        </w:p>
        <w:p w14:paraId="2548D8F3">
          <w:pPr>
            <w:pStyle w:val="2"/>
            <w:tabs>
              <w:tab w:val="right" w:leader="dot" w:pos="8299"/>
            </w:tabs>
            <w:spacing w:before="59" w:line="220" w:lineRule="auto"/>
            <w:ind w:left="843"/>
            <w:rPr>
              <w:rFonts w:ascii="Times New Roman" w:hAnsi="Times New Roman" w:eastAsia="Times New Roman" w:cs="Times New Roman"/>
              <w:sz w:val="21"/>
              <w:szCs w:val="21"/>
            </w:rPr>
          </w:pPr>
          <w:r>
            <w:fldChar w:fldCharType="begin"/>
          </w:r>
          <w:r>
            <w:instrText xml:space="preserve"> HYPERLINK \l "bookmark36" </w:instrText>
          </w:r>
          <w:r>
            <w:fldChar w:fldCharType="separate"/>
          </w:r>
          <w:r>
            <w:rPr>
              <w:rFonts w:ascii="Times New Roman" w:hAnsi="Times New Roman" w:eastAsia="Times New Roman" w:cs="Times New Roman"/>
              <w:spacing w:val="-5"/>
              <w:sz w:val="21"/>
              <w:szCs w:val="21"/>
            </w:rPr>
            <w:t xml:space="preserve">5.1   </w:t>
          </w:r>
          <w:r>
            <w:rPr>
              <w:spacing w:val="-5"/>
              <w:sz w:val="21"/>
              <w:szCs w:val="21"/>
            </w:rPr>
            <w:t>开标时间和地点</w:t>
          </w:r>
          <w:r>
            <w:rPr>
              <w:spacing w:val="39"/>
              <w:sz w:val="21"/>
              <w:szCs w:val="21"/>
            </w:rPr>
            <w:t xml:space="preserve"> </w:t>
          </w:r>
          <w:r>
            <w:rPr>
              <w:sz w:val="21"/>
              <w:szCs w:val="21"/>
            </w:rPr>
            <w:tab/>
          </w:r>
          <w:r>
            <w:rPr>
              <w:spacing w:val="-50"/>
              <w:sz w:val="21"/>
              <w:szCs w:val="21"/>
            </w:rPr>
            <w:t xml:space="preserve"> </w:t>
          </w:r>
          <w:r>
            <w:rPr>
              <w:rFonts w:ascii="Times New Roman" w:hAnsi="Times New Roman" w:eastAsia="Times New Roman" w:cs="Times New Roman"/>
              <w:spacing w:val="-2"/>
              <w:sz w:val="21"/>
              <w:szCs w:val="21"/>
            </w:rPr>
            <w:t>29</w:t>
          </w:r>
          <w:r>
            <w:rPr>
              <w:rFonts w:ascii="Times New Roman" w:hAnsi="Times New Roman" w:eastAsia="Times New Roman" w:cs="Times New Roman"/>
              <w:spacing w:val="-2"/>
              <w:sz w:val="21"/>
              <w:szCs w:val="21"/>
            </w:rPr>
            <w:fldChar w:fldCharType="end"/>
          </w:r>
        </w:p>
        <w:p w14:paraId="03568A91">
          <w:pPr>
            <w:pStyle w:val="2"/>
            <w:tabs>
              <w:tab w:val="right" w:leader="dot" w:pos="8299"/>
            </w:tabs>
            <w:spacing w:before="60" w:line="220" w:lineRule="auto"/>
            <w:ind w:left="843"/>
            <w:rPr>
              <w:rFonts w:ascii="Times New Roman" w:hAnsi="Times New Roman" w:eastAsia="Times New Roman" w:cs="Times New Roman"/>
              <w:sz w:val="21"/>
              <w:szCs w:val="21"/>
            </w:rPr>
          </w:pPr>
          <w:r>
            <w:fldChar w:fldCharType="begin"/>
          </w:r>
          <w:r>
            <w:instrText xml:space="preserve"> HYPERLINK \l "bookmark37" </w:instrText>
          </w:r>
          <w:r>
            <w:fldChar w:fldCharType="separate"/>
          </w:r>
          <w:r>
            <w:rPr>
              <w:rFonts w:ascii="Times New Roman" w:hAnsi="Times New Roman" w:eastAsia="Times New Roman" w:cs="Times New Roman"/>
              <w:spacing w:val="1"/>
              <w:sz w:val="21"/>
              <w:szCs w:val="21"/>
            </w:rPr>
            <w:t xml:space="preserve">5.2   </w:t>
          </w:r>
          <w:r>
            <w:rPr>
              <w:spacing w:val="1"/>
              <w:sz w:val="21"/>
              <w:szCs w:val="21"/>
            </w:rPr>
            <w:t>开标程序</w:t>
          </w:r>
          <w:r>
            <w:rPr>
              <w:spacing w:val="-86"/>
              <w:sz w:val="21"/>
              <w:szCs w:val="21"/>
            </w:rPr>
            <w:t xml:space="preserve"> </w:t>
          </w:r>
          <w:r>
            <w:rPr>
              <w:sz w:val="21"/>
              <w:szCs w:val="21"/>
            </w:rPr>
            <w:tab/>
          </w:r>
          <w:r>
            <w:rPr>
              <w:rFonts w:ascii="Times New Roman" w:hAnsi="Times New Roman" w:eastAsia="Times New Roman" w:cs="Times New Roman"/>
              <w:spacing w:val="1"/>
              <w:sz w:val="21"/>
              <w:szCs w:val="21"/>
            </w:rPr>
            <w:t>29</w:t>
          </w:r>
          <w:r>
            <w:rPr>
              <w:rFonts w:ascii="Times New Roman" w:hAnsi="Times New Roman" w:eastAsia="Times New Roman" w:cs="Times New Roman"/>
              <w:spacing w:val="1"/>
              <w:sz w:val="21"/>
              <w:szCs w:val="21"/>
            </w:rPr>
            <w:fldChar w:fldCharType="end"/>
          </w:r>
        </w:p>
        <w:p w14:paraId="75F9BA20">
          <w:pPr>
            <w:pStyle w:val="2"/>
            <w:tabs>
              <w:tab w:val="right" w:leader="dot" w:pos="8294"/>
            </w:tabs>
            <w:spacing w:before="79" w:line="219" w:lineRule="auto"/>
            <w:ind w:left="843"/>
            <w:rPr>
              <w:rFonts w:ascii="Times New Roman" w:hAnsi="Times New Roman" w:eastAsia="Times New Roman" w:cs="Times New Roman"/>
              <w:sz w:val="21"/>
              <w:szCs w:val="21"/>
            </w:rPr>
          </w:pPr>
          <w:r>
            <w:fldChar w:fldCharType="begin"/>
          </w:r>
          <w:r>
            <w:instrText xml:space="preserve"> HYPERLINK \l "bookmark38" </w:instrText>
          </w:r>
          <w:r>
            <w:fldChar w:fldCharType="separate"/>
          </w:r>
          <w:r>
            <w:rPr>
              <w:rFonts w:ascii="Times New Roman" w:hAnsi="Times New Roman" w:eastAsia="Times New Roman" w:cs="Times New Roman"/>
              <w:spacing w:val="1"/>
              <w:sz w:val="21"/>
              <w:szCs w:val="21"/>
            </w:rPr>
            <w:t>5.3</w:t>
          </w:r>
          <w:r>
            <w:rPr>
              <w:rFonts w:ascii="Times New Roman" w:hAnsi="Times New Roman" w:eastAsia="Times New Roman" w:cs="Times New Roman"/>
              <w:sz w:val="21"/>
              <w:szCs w:val="21"/>
            </w:rPr>
            <w:t xml:space="preserve">   </w:t>
          </w:r>
          <w:r>
            <w:rPr>
              <w:spacing w:val="1"/>
              <w:sz w:val="21"/>
              <w:szCs w:val="21"/>
            </w:rPr>
            <w:t>开标异议</w:t>
          </w:r>
          <w:r>
            <w:rPr>
              <w:spacing w:val="-83"/>
              <w:sz w:val="21"/>
              <w:szCs w:val="21"/>
            </w:rPr>
            <w:t xml:space="preserve"> </w:t>
          </w:r>
          <w:r>
            <w:rPr>
              <w:sz w:val="21"/>
              <w:szCs w:val="21"/>
            </w:rPr>
            <w:tab/>
          </w:r>
          <w:r>
            <w:rPr>
              <w:rFonts w:ascii="Times New Roman" w:hAnsi="Times New Roman" w:eastAsia="Times New Roman" w:cs="Times New Roman"/>
              <w:spacing w:val="-1"/>
              <w:sz w:val="21"/>
              <w:szCs w:val="21"/>
            </w:rPr>
            <w:t>30</w:t>
          </w:r>
          <w:r>
            <w:rPr>
              <w:rFonts w:ascii="Times New Roman" w:hAnsi="Times New Roman" w:eastAsia="Times New Roman" w:cs="Times New Roman"/>
              <w:spacing w:val="-1"/>
              <w:sz w:val="21"/>
              <w:szCs w:val="21"/>
            </w:rPr>
            <w:fldChar w:fldCharType="end"/>
          </w:r>
        </w:p>
        <w:p w14:paraId="12F40C31">
          <w:pPr>
            <w:pStyle w:val="2"/>
            <w:tabs>
              <w:tab w:val="right" w:leader="dot" w:pos="8294"/>
            </w:tabs>
            <w:spacing w:before="51" w:line="219" w:lineRule="auto"/>
            <w:ind w:left="843"/>
            <w:rPr>
              <w:rFonts w:ascii="Times New Roman" w:hAnsi="Times New Roman" w:eastAsia="Times New Roman" w:cs="Times New Roman"/>
              <w:sz w:val="21"/>
              <w:szCs w:val="21"/>
            </w:rPr>
          </w:pPr>
          <w:r>
            <w:fldChar w:fldCharType="begin"/>
          </w:r>
          <w:r>
            <w:instrText xml:space="preserve"> HYPERLINK \l "bookmark39" </w:instrText>
          </w:r>
          <w:r>
            <w:fldChar w:fldCharType="separate"/>
          </w:r>
          <w:r>
            <w:rPr>
              <w:rFonts w:ascii="Times New Roman" w:hAnsi="Times New Roman" w:eastAsia="Times New Roman" w:cs="Times New Roman"/>
              <w:sz w:val="21"/>
              <w:szCs w:val="21"/>
            </w:rPr>
            <w:t>5.4</w:t>
          </w:r>
          <w:r>
            <w:rPr>
              <w:rFonts w:ascii="Times New Roman" w:hAnsi="Times New Roman" w:eastAsia="Times New Roman" w:cs="Times New Roman"/>
              <w:spacing w:val="2"/>
              <w:sz w:val="21"/>
              <w:szCs w:val="21"/>
            </w:rPr>
            <w:t xml:space="preserve">   </w:t>
          </w:r>
          <w:r>
            <w:rPr>
              <w:sz w:val="21"/>
              <w:szCs w:val="21"/>
            </w:rPr>
            <w:t>特殊情况的处置</w:t>
          </w:r>
          <w:r>
            <w:rPr>
              <w:spacing w:val="-82"/>
              <w:sz w:val="21"/>
              <w:szCs w:val="21"/>
            </w:rPr>
            <w:t xml:space="preserve"> </w:t>
          </w:r>
          <w:r>
            <w:rPr>
              <w:sz w:val="21"/>
              <w:szCs w:val="21"/>
            </w:rPr>
            <w:tab/>
          </w:r>
          <w:r>
            <w:rPr>
              <w:rFonts w:ascii="Times New Roman" w:hAnsi="Times New Roman" w:eastAsia="Times New Roman" w:cs="Times New Roman"/>
              <w:spacing w:val="-1"/>
              <w:sz w:val="21"/>
              <w:szCs w:val="21"/>
            </w:rPr>
            <w:t>30</w:t>
          </w:r>
          <w:r>
            <w:rPr>
              <w:rFonts w:ascii="Times New Roman" w:hAnsi="Times New Roman" w:eastAsia="Times New Roman" w:cs="Times New Roman"/>
              <w:spacing w:val="-1"/>
              <w:sz w:val="21"/>
              <w:szCs w:val="21"/>
            </w:rPr>
            <w:fldChar w:fldCharType="end"/>
          </w:r>
        </w:p>
        <w:p w14:paraId="33BD62B3">
          <w:pPr>
            <w:pStyle w:val="2"/>
            <w:tabs>
              <w:tab w:val="right" w:leader="dot" w:pos="9064"/>
            </w:tabs>
            <w:spacing w:before="52" w:line="220" w:lineRule="auto"/>
            <w:ind w:left="413"/>
            <w:rPr>
              <w:rFonts w:ascii="Times New Roman" w:hAnsi="Times New Roman" w:eastAsia="Times New Roman" w:cs="Times New Roman"/>
              <w:sz w:val="21"/>
              <w:szCs w:val="21"/>
            </w:rPr>
          </w:pPr>
          <w:r>
            <w:fldChar w:fldCharType="begin"/>
          </w:r>
          <w:r>
            <w:instrText xml:space="preserve"> HYPERLINK \l "bookmark40" </w:instrText>
          </w:r>
          <w:r>
            <w:fldChar w:fldCharType="separate"/>
          </w:r>
          <w:r>
            <w:rPr>
              <w:rFonts w:ascii="Times New Roman" w:hAnsi="Times New Roman" w:eastAsia="Times New Roman" w:cs="Times New Roman"/>
              <w:spacing w:val="-16"/>
              <w:sz w:val="21"/>
              <w:szCs w:val="21"/>
            </w:rPr>
            <w:t>6.</w:t>
          </w:r>
          <w:r>
            <w:rPr>
              <w:rFonts w:ascii="Times New Roman" w:hAnsi="Times New Roman" w:eastAsia="Times New Roman" w:cs="Times New Roman"/>
              <w:spacing w:val="4"/>
              <w:sz w:val="21"/>
              <w:szCs w:val="21"/>
            </w:rPr>
            <w:t xml:space="preserve">   </w:t>
          </w:r>
          <w:r>
            <w:rPr>
              <w:spacing w:val="-16"/>
              <w:sz w:val="21"/>
              <w:szCs w:val="21"/>
            </w:rPr>
            <w:t>评标</w:t>
          </w:r>
          <w:r>
            <w:rPr>
              <w:spacing w:val="20"/>
              <w:sz w:val="21"/>
              <w:szCs w:val="21"/>
            </w:rPr>
            <w:t xml:space="preserve"> </w:t>
          </w:r>
          <w:r>
            <w:rPr>
              <w:sz w:val="21"/>
              <w:szCs w:val="21"/>
            </w:rPr>
            <w:tab/>
          </w:r>
          <w:r>
            <w:rPr>
              <w:rFonts w:ascii="Times New Roman" w:hAnsi="Times New Roman" w:eastAsia="Times New Roman" w:cs="Times New Roman"/>
              <w:spacing w:val="-1"/>
              <w:sz w:val="21"/>
              <w:szCs w:val="21"/>
            </w:rPr>
            <w:t>30</w:t>
          </w:r>
          <w:r>
            <w:rPr>
              <w:rFonts w:ascii="Times New Roman" w:hAnsi="Times New Roman" w:eastAsia="Times New Roman" w:cs="Times New Roman"/>
              <w:spacing w:val="-1"/>
              <w:sz w:val="21"/>
              <w:szCs w:val="21"/>
            </w:rPr>
            <w:fldChar w:fldCharType="end"/>
          </w:r>
        </w:p>
        <w:p w14:paraId="49B9C8BB">
          <w:pPr>
            <w:pStyle w:val="2"/>
            <w:tabs>
              <w:tab w:val="right" w:leader="dot" w:pos="8294"/>
            </w:tabs>
            <w:spacing w:before="77" w:line="219" w:lineRule="auto"/>
            <w:ind w:left="843"/>
            <w:rPr>
              <w:rFonts w:ascii="Times New Roman" w:hAnsi="Times New Roman" w:eastAsia="Times New Roman" w:cs="Times New Roman"/>
              <w:sz w:val="21"/>
              <w:szCs w:val="21"/>
            </w:rPr>
          </w:pPr>
          <w:r>
            <w:fldChar w:fldCharType="begin"/>
          </w:r>
          <w:r>
            <w:instrText xml:space="preserve"> HYPERLINK \l "bookmark41" </w:instrText>
          </w:r>
          <w:r>
            <w:fldChar w:fldCharType="separate"/>
          </w:r>
          <w:r>
            <w:rPr>
              <w:rFonts w:ascii="Times New Roman" w:hAnsi="Times New Roman" w:eastAsia="Times New Roman" w:cs="Times New Roman"/>
              <w:spacing w:val="-3"/>
              <w:sz w:val="21"/>
              <w:szCs w:val="21"/>
            </w:rPr>
            <w:t>6.1</w:t>
          </w:r>
          <w:r>
            <w:rPr>
              <w:rFonts w:ascii="Times New Roman" w:hAnsi="Times New Roman" w:eastAsia="Times New Roman" w:cs="Times New Roman"/>
              <w:spacing w:val="8"/>
              <w:sz w:val="21"/>
              <w:szCs w:val="21"/>
            </w:rPr>
            <w:t xml:space="preserve">   </w:t>
          </w:r>
          <w:r>
            <w:rPr>
              <w:spacing w:val="-3"/>
              <w:sz w:val="21"/>
              <w:szCs w:val="21"/>
            </w:rPr>
            <w:t>评标委员会</w:t>
          </w:r>
          <w:r>
            <w:rPr>
              <w:spacing w:val="-66"/>
              <w:sz w:val="21"/>
              <w:szCs w:val="21"/>
            </w:rPr>
            <w:t xml:space="preserve"> </w:t>
          </w:r>
          <w:r>
            <w:rPr>
              <w:sz w:val="21"/>
              <w:szCs w:val="21"/>
            </w:rPr>
            <w:tab/>
          </w:r>
          <w:r>
            <w:rPr>
              <w:spacing w:val="-11"/>
              <w:sz w:val="21"/>
              <w:szCs w:val="21"/>
            </w:rPr>
            <w:t xml:space="preserve"> </w:t>
          </w:r>
          <w:r>
            <w:rPr>
              <w:rFonts w:ascii="Times New Roman" w:hAnsi="Times New Roman" w:eastAsia="Times New Roman" w:cs="Times New Roman"/>
              <w:spacing w:val="-3"/>
              <w:sz w:val="21"/>
              <w:szCs w:val="21"/>
            </w:rPr>
            <w:t>30</w:t>
          </w:r>
          <w:r>
            <w:rPr>
              <w:rFonts w:ascii="Times New Roman" w:hAnsi="Times New Roman" w:eastAsia="Times New Roman" w:cs="Times New Roman"/>
              <w:spacing w:val="-3"/>
              <w:sz w:val="21"/>
              <w:szCs w:val="21"/>
            </w:rPr>
            <w:fldChar w:fldCharType="end"/>
          </w:r>
        </w:p>
      </w:sdtContent>
    </w:sdt>
    <w:p w14:paraId="3E7BB48E">
      <w:pPr>
        <w:spacing w:line="219" w:lineRule="auto"/>
        <w:rPr>
          <w:rFonts w:ascii="Times New Roman" w:hAnsi="Times New Roman" w:eastAsia="Times New Roman" w:cs="Times New Roman"/>
          <w:sz w:val="21"/>
          <w:szCs w:val="21"/>
        </w:rPr>
        <w:sectPr>
          <w:footerReference r:id="rId6" w:type="default"/>
          <w:pgSz w:w="11910" w:h="16840"/>
          <w:pgMar w:top="1431" w:right="1052" w:bottom="1201" w:left="1786" w:header="0" w:footer="1014" w:gutter="0"/>
          <w:cols w:space="720" w:num="1"/>
        </w:sectPr>
      </w:pPr>
    </w:p>
    <w:sdt>
      <w:sdtPr>
        <w:rPr>
          <w:rFonts w:ascii="Times New Roman" w:hAnsi="Times New Roman" w:eastAsia="Times New Roman" w:cs="Times New Roman"/>
          <w:sz w:val="20"/>
          <w:szCs w:val="20"/>
        </w:rPr>
        <w:id w:val="147457117"/>
        <w:docPartObj>
          <w:docPartGallery w:val="Table of Contents"/>
          <w:docPartUnique/>
        </w:docPartObj>
      </w:sdtPr>
      <w:sdtEndPr>
        <w:rPr>
          <w:rFonts w:ascii="Times New Roman" w:hAnsi="Times New Roman" w:eastAsia="Times New Roman" w:cs="Times New Roman"/>
          <w:sz w:val="20"/>
          <w:szCs w:val="20"/>
        </w:rPr>
      </w:sdtEndPr>
      <w:sdtContent>
        <w:p w14:paraId="22DFAC05">
          <w:pPr>
            <w:pStyle w:val="2"/>
            <w:tabs>
              <w:tab w:val="right" w:leader="dot" w:pos="8295"/>
            </w:tabs>
            <w:spacing w:before="67" w:line="220" w:lineRule="auto"/>
            <w:ind w:left="833"/>
            <w:rPr>
              <w:rFonts w:ascii="Times New Roman" w:hAnsi="Times New Roman" w:eastAsia="Times New Roman" w:cs="Times New Roman"/>
              <w:sz w:val="20"/>
              <w:szCs w:val="20"/>
            </w:rPr>
          </w:pPr>
          <w:r>
            <w:fldChar w:fldCharType="begin"/>
          </w:r>
          <w:r>
            <w:instrText xml:space="preserve"> HYPERLINK \l "bookmark42" </w:instrText>
          </w:r>
          <w:r>
            <w:fldChar w:fldCharType="separate"/>
          </w:r>
          <w:r>
            <w:rPr>
              <w:rFonts w:ascii="Times New Roman" w:hAnsi="Times New Roman" w:eastAsia="Times New Roman" w:cs="Times New Roman"/>
              <w:spacing w:val="5"/>
              <w:sz w:val="20"/>
              <w:szCs w:val="20"/>
            </w:rPr>
            <w:t>6.2</w:t>
          </w:r>
          <w:r>
            <w:rPr>
              <w:rFonts w:ascii="Times New Roman" w:hAnsi="Times New Roman" w:eastAsia="Times New Roman" w:cs="Times New Roman"/>
              <w:spacing w:val="14"/>
              <w:sz w:val="20"/>
              <w:szCs w:val="20"/>
            </w:rPr>
            <w:t xml:space="preserve">   </w:t>
          </w:r>
          <w:r>
            <w:rPr>
              <w:spacing w:val="5"/>
              <w:sz w:val="20"/>
              <w:szCs w:val="20"/>
            </w:rPr>
            <w:t>评标原则</w:t>
          </w:r>
          <w:r>
            <w:rPr>
              <w:spacing w:val="-88"/>
              <w:sz w:val="20"/>
              <w:szCs w:val="20"/>
            </w:rPr>
            <w:t xml:space="preserve"> </w:t>
          </w:r>
          <w:r>
            <w:rPr>
              <w:sz w:val="20"/>
              <w:szCs w:val="20"/>
            </w:rPr>
            <w:tab/>
          </w:r>
          <w:r>
            <w:rPr>
              <w:rFonts w:ascii="Times New Roman" w:hAnsi="Times New Roman" w:eastAsia="Times New Roman" w:cs="Times New Roman"/>
              <w:spacing w:val="-2"/>
              <w:sz w:val="20"/>
              <w:szCs w:val="20"/>
            </w:rPr>
            <w:t>31</w:t>
          </w:r>
          <w:r>
            <w:rPr>
              <w:rFonts w:ascii="Times New Roman" w:hAnsi="Times New Roman" w:eastAsia="Times New Roman" w:cs="Times New Roman"/>
              <w:spacing w:val="-2"/>
              <w:sz w:val="20"/>
              <w:szCs w:val="20"/>
            </w:rPr>
            <w:fldChar w:fldCharType="end"/>
          </w:r>
        </w:p>
        <w:p w14:paraId="5944C6A1">
          <w:pPr>
            <w:pStyle w:val="2"/>
            <w:tabs>
              <w:tab w:val="right" w:leader="dot" w:pos="8285"/>
            </w:tabs>
            <w:spacing w:before="71" w:line="220" w:lineRule="auto"/>
            <w:ind w:left="833"/>
            <w:rPr>
              <w:rFonts w:ascii="Times New Roman" w:hAnsi="Times New Roman" w:eastAsia="Times New Roman" w:cs="Times New Roman"/>
              <w:sz w:val="20"/>
              <w:szCs w:val="20"/>
            </w:rPr>
          </w:pPr>
          <w:r>
            <w:fldChar w:fldCharType="begin"/>
          </w:r>
          <w:r>
            <w:instrText xml:space="preserve"> HYPERLINK \l "bookmark43" </w:instrText>
          </w:r>
          <w:r>
            <w:fldChar w:fldCharType="separate"/>
          </w:r>
          <w:r>
            <w:rPr>
              <w:rFonts w:ascii="Times New Roman" w:hAnsi="Times New Roman" w:eastAsia="Times New Roman" w:cs="Times New Roman"/>
              <w:spacing w:val="3"/>
              <w:sz w:val="20"/>
              <w:szCs w:val="20"/>
            </w:rPr>
            <w:t>6.3</w:t>
          </w:r>
          <w:r>
            <w:rPr>
              <w:rFonts w:ascii="Times New Roman" w:hAnsi="Times New Roman" w:eastAsia="Times New Roman" w:cs="Times New Roman"/>
              <w:spacing w:val="13"/>
              <w:w w:val="101"/>
              <w:sz w:val="20"/>
              <w:szCs w:val="20"/>
            </w:rPr>
            <w:t xml:space="preserve">   </w:t>
          </w:r>
          <w:r>
            <w:rPr>
              <w:spacing w:val="3"/>
              <w:sz w:val="20"/>
              <w:szCs w:val="20"/>
            </w:rPr>
            <w:t>评标</w:t>
          </w:r>
          <w:r>
            <w:rPr>
              <w:spacing w:val="-77"/>
              <w:sz w:val="20"/>
              <w:szCs w:val="20"/>
            </w:rPr>
            <w:t xml:space="preserve"> </w:t>
          </w:r>
          <w:r>
            <w:rPr>
              <w:sz w:val="20"/>
              <w:szCs w:val="20"/>
            </w:rPr>
            <w:tab/>
          </w:r>
          <w:r>
            <w:rPr>
              <w:rFonts w:ascii="Times New Roman" w:hAnsi="Times New Roman" w:eastAsia="Times New Roman" w:cs="Times New Roman"/>
              <w:spacing w:val="-2"/>
              <w:sz w:val="20"/>
              <w:szCs w:val="20"/>
            </w:rPr>
            <w:t>31</w:t>
          </w:r>
          <w:r>
            <w:rPr>
              <w:rFonts w:ascii="Times New Roman" w:hAnsi="Times New Roman" w:eastAsia="Times New Roman" w:cs="Times New Roman"/>
              <w:spacing w:val="-2"/>
              <w:sz w:val="20"/>
              <w:szCs w:val="20"/>
            </w:rPr>
            <w:fldChar w:fldCharType="end"/>
          </w:r>
        </w:p>
        <w:p w14:paraId="49CDAE28">
          <w:pPr>
            <w:pStyle w:val="2"/>
            <w:tabs>
              <w:tab w:val="right" w:leader="dot" w:pos="8285"/>
            </w:tabs>
            <w:spacing w:before="71" w:line="220" w:lineRule="auto"/>
            <w:ind w:left="833"/>
            <w:rPr>
              <w:rFonts w:ascii="Times New Roman" w:hAnsi="Times New Roman" w:eastAsia="Times New Roman" w:cs="Times New Roman"/>
              <w:sz w:val="20"/>
              <w:szCs w:val="20"/>
            </w:rPr>
          </w:pPr>
          <w:r>
            <w:fldChar w:fldCharType="begin"/>
          </w:r>
          <w:r>
            <w:instrText xml:space="preserve"> HYPERLINK \l "bookmark44" </w:instrText>
          </w:r>
          <w:r>
            <w:fldChar w:fldCharType="separate"/>
          </w:r>
          <w:r>
            <w:rPr>
              <w:rFonts w:ascii="Times New Roman" w:hAnsi="Times New Roman" w:eastAsia="Times New Roman" w:cs="Times New Roman"/>
              <w:spacing w:val="7"/>
              <w:sz w:val="20"/>
              <w:szCs w:val="20"/>
            </w:rPr>
            <w:t>6.4</w:t>
          </w:r>
          <w:r>
            <w:rPr>
              <w:rFonts w:ascii="Times New Roman" w:hAnsi="Times New Roman" w:eastAsia="Times New Roman" w:cs="Times New Roman"/>
              <w:spacing w:val="11"/>
              <w:sz w:val="20"/>
              <w:szCs w:val="20"/>
            </w:rPr>
            <w:t xml:space="preserve">   </w:t>
          </w:r>
          <w:r>
            <w:rPr>
              <w:spacing w:val="7"/>
              <w:sz w:val="20"/>
              <w:szCs w:val="20"/>
            </w:rPr>
            <w:t>评标结果公示</w:t>
          </w:r>
          <w:r>
            <w:rPr>
              <w:spacing w:val="-77"/>
              <w:sz w:val="20"/>
              <w:szCs w:val="20"/>
            </w:rPr>
            <w:t xml:space="preserve"> </w:t>
          </w:r>
          <w:r>
            <w:rPr>
              <w:sz w:val="20"/>
              <w:szCs w:val="20"/>
            </w:rPr>
            <w:tab/>
          </w:r>
          <w:r>
            <w:rPr>
              <w:rFonts w:ascii="Times New Roman" w:hAnsi="Times New Roman" w:eastAsia="Times New Roman" w:cs="Times New Roman"/>
              <w:sz w:val="20"/>
              <w:szCs w:val="20"/>
            </w:rPr>
            <w:t>31</w:t>
          </w:r>
          <w:r>
            <w:rPr>
              <w:rFonts w:ascii="Times New Roman" w:hAnsi="Times New Roman" w:eastAsia="Times New Roman" w:cs="Times New Roman"/>
              <w:sz w:val="20"/>
              <w:szCs w:val="20"/>
            </w:rPr>
            <w:fldChar w:fldCharType="end"/>
          </w:r>
        </w:p>
        <w:p w14:paraId="0AB6FD1C">
          <w:pPr>
            <w:pStyle w:val="2"/>
            <w:tabs>
              <w:tab w:val="right" w:leader="dot" w:pos="8285"/>
            </w:tabs>
            <w:spacing w:before="61" w:line="219" w:lineRule="auto"/>
            <w:ind w:left="833"/>
            <w:rPr>
              <w:rFonts w:ascii="Times New Roman" w:hAnsi="Times New Roman" w:eastAsia="Times New Roman" w:cs="Times New Roman"/>
              <w:sz w:val="20"/>
              <w:szCs w:val="20"/>
            </w:rPr>
          </w:pPr>
          <w:r>
            <w:fldChar w:fldCharType="begin"/>
          </w:r>
          <w:r>
            <w:instrText xml:space="preserve"> HYPERLINK \l "bookmark45" </w:instrText>
          </w:r>
          <w:r>
            <w:fldChar w:fldCharType="separate"/>
          </w:r>
          <w:r>
            <w:rPr>
              <w:rFonts w:ascii="Times New Roman" w:hAnsi="Times New Roman" w:eastAsia="Times New Roman" w:cs="Times New Roman"/>
              <w:spacing w:val="16"/>
              <w:sz w:val="20"/>
              <w:szCs w:val="20"/>
            </w:rPr>
            <w:t>6.5</w:t>
          </w:r>
          <w:r>
            <w:rPr>
              <w:rFonts w:ascii="Times New Roman" w:hAnsi="Times New Roman" w:eastAsia="Times New Roman" w:cs="Times New Roman"/>
              <w:spacing w:val="4"/>
              <w:sz w:val="20"/>
              <w:szCs w:val="20"/>
            </w:rPr>
            <w:t xml:space="preserve">    </w:t>
          </w:r>
          <w:r>
            <w:rPr>
              <w:spacing w:val="16"/>
              <w:sz w:val="20"/>
              <w:szCs w:val="20"/>
            </w:rPr>
            <w:t>履约能力的审查(如有)</w:t>
          </w:r>
          <w:r>
            <w:rPr>
              <w:sz w:val="20"/>
              <w:szCs w:val="20"/>
            </w:rPr>
            <w:tab/>
          </w:r>
          <w:r>
            <w:rPr>
              <w:rFonts w:ascii="Times New Roman" w:hAnsi="Times New Roman" w:eastAsia="Times New Roman" w:cs="Times New Roman"/>
              <w:spacing w:val="-2"/>
              <w:sz w:val="20"/>
              <w:szCs w:val="20"/>
            </w:rPr>
            <w:t>31</w:t>
          </w:r>
          <w:r>
            <w:rPr>
              <w:rFonts w:ascii="Times New Roman" w:hAnsi="Times New Roman" w:eastAsia="Times New Roman" w:cs="Times New Roman"/>
              <w:spacing w:val="-2"/>
              <w:sz w:val="20"/>
              <w:szCs w:val="20"/>
            </w:rPr>
            <w:fldChar w:fldCharType="end"/>
          </w:r>
        </w:p>
        <w:p w14:paraId="5C16699E">
          <w:pPr>
            <w:pStyle w:val="2"/>
            <w:tabs>
              <w:tab w:val="right" w:leader="dot" w:pos="9065"/>
            </w:tabs>
            <w:spacing w:before="73" w:line="221" w:lineRule="auto"/>
            <w:ind w:left="423"/>
            <w:rPr>
              <w:rFonts w:ascii="Times New Roman" w:hAnsi="Times New Roman" w:eastAsia="Times New Roman" w:cs="Times New Roman"/>
              <w:sz w:val="20"/>
              <w:szCs w:val="20"/>
            </w:rPr>
          </w:pPr>
          <w:r>
            <w:fldChar w:fldCharType="begin"/>
          </w:r>
          <w:r>
            <w:instrText xml:space="preserve"> HYPERLINK \l "bookmark46" </w:instrText>
          </w:r>
          <w:r>
            <w:fldChar w:fldCharType="separate"/>
          </w:r>
          <w:r>
            <w:rPr>
              <w:rFonts w:ascii="Times New Roman" w:hAnsi="Times New Roman" w:eastAsia="Times New Roman" w:cs="Times New Roman"/>
              <w:spacing w:val="7"/>
              <w:sz w:val="20"/>
              <w:szCs w:val="20"/>
            </w:rPr>
            <w:t xml:space="preserve">7.   </w:t>
          </w:r>
          <w:r>
            <w:rPr>
              <w:spacing w:val="7"/>
              <w:sz w:val="20"/>
              <w:szCs w:val="20"/>
            </w:rPr>
            <w:t>合同授予</w:t>
          </w:r>
          <w:r>
            <w:rPr>
              <w:spacing w:val="-75"/>
              <w:sz w:val="20"/>
              <w:szCs w:val="20"/>
            </w:rPr>
            <w:t xml:space="preserve"> </w:t>
          </w:r>
          <w:r>
            <w:rPr>
              <w:sz w:val="20"/>
              <w:szCs w:val="20"/>
            </w:rPr>
            <w:tab/>
          </w:r>
          <w:r>
            <w:rPr>
              <w:spacing w:val="-17"/>
              <w:sz w:val="20"/>
              <w:szCs w:val="20"/>
            </w:rPr>
            <w:t xml:space="preserve"> </w:t>
          </w:r>
          <w:r>
            <w:rPr>
              <w:rFonts w:ascii="Times New Roman" w:hAnsi="Times New Roman" w:eastAsia="Times New Roman" w:cs="Times New Roman"/>
              <w:spacing w:val="-3"/>
              <w:sz w:val="20"/>
              <w:szCs w:val="20"/>
            </w:rPr>
            <w:t>31</w:t>
          </w:r>
          <w:r>
            <w:rPr>
              <w:rFonts w:ascii="Times New Roman" w:hAnsi="Times New Roman" w:eastAsia="Times New Roman" w:cs="Times New Roman"/>
              <w:spacing w:val="-3"/>
              <w:sz w:val="20"/>
              <w:szCs w:val="20"/>
            </w:rPr>
            <w:fldChar w:fldCharType="end"/>
          </w:r>
        </w:p>
        <w:p w14:paraId="1BBAB020">
          <w:pPr>
            <w:pStyle w:val="2"/>
            <w:tabs>
              <w:tab w:val="right" w:leader="dot" w:pos="8285"/>
            </w:tabs>
            <w:spacing w:before="90" w:line="220" w:lineRule="auto"/>
            <w:ind w:left="833"/>
            <w:rPr>
              <w:rFonts w:ascii="Times New Roman" w:hAnsi="Times New Roman" w:eastAsia="Times New Roman" w:cs="Times New Roman"/>
              <w:sz w:val="20"/>
              <w:szCs w:val="20"/>
            </w:rPr>
          </w:pPr>
          <w:r>
            <w:fldChar w:fldCharType="begin"/>
          </w:r>
          <w:r>
            <w:instrText xml:space="preserve"> HYPERLINK \l "bookmark47" </w:instrText>
          </w:r>
          <w:r>
            <w:fldChar w:fldCharType="separate"/>
          </w:r>
          <w:r>
            <w:rPr>
              <w:rFonts w:ascii="Times New Roman" w:hAnsi="Times New Roman" w:eastAsia="Times New Roman" w:cs="Times New Roman"/>
              <w:spacing w:val="5"/>
              <w:sz w:val="20"/>
              <w:szCs w:val="20"/>
            </w:rPr>
            <w:t>7.1</w:t>
          </w:r>
          <w:r>
            <w:rPr>
              <w:rFonts w:ascii="Times New Roman" w:hAnsi="Times New Roman" w:eastAsia="Times New Roman" w:cs="Times New Roman"/>
              <w:spacing w:val="13"/>
              <w:w w:val="101"/>
              <w:sz w:val="20"/>
              <w:szCs w:val="20"/>
            </w:rPr>
            <w:t xml:space="preserve">   </w:t>
          </w:r>
          <w:r>
            <w:rPr>
              <w:spacing w:val="5"/>
              <w:sz w:val="20"/>
              <w:szCs w:val="20"/>
            </w:rPr>
            <w:t>定标方式</w:t>
          </w:r>
          <w:r>
            <w:rPr>
              <w:spacing w:val="-87"/>
              <w:sz w:val="20"/>
              <w:szCs w:val="20"/>
            </w:rPr>
            <w:t xml:space="preserve"> </w:t>
          </w:r>
          <w:r>
            <w:rPr>
              <w:sz w:val="20"/>
              <w:szCs w:val="20"/>
            </w:rPr>
            <w:tab/>
          </w:r>
          <w:r>
            <w:rPr>
              <w:rFonts w:ascii="Times New Roman" w:hAnsi="Times New Roman" w:eastAsia="Times New Roman" w:cs="Times New Roman"/>
              <w:spacing w:val="-4"/>
              <w:sz w:val="20"/>
              <w:szCs w:val="20"/>
            </w:rPr>
            <w:t>31</w:t>
          </w:r>
          <w:r>
            <w:rPr>
              <w:rFonts w:ascii="Times New Roman" w:hAnsi="Times New Roman" w:eastAsia="Times New Roman" w:cs="Times New Roman"/>
              <w:spacing w:val="-4"/>
              <w:sz w:val="20"/>
              <w:szCs w:val="20"/>
            </w:rPr>
            <w:fldChar w:fldCharType="end"/>
          </w:r>
        </w:p>
        <w:p w14:paraId="5590A138">
          <w:pPr>
            <w:pStyle w:val="2"/>
            <w:tabs>
              <w:tab w:val="right" w:leader="dot" w:pos="8285"/>
            </w:tabs>
            <w:spacing w:before="72" w:line="220" w:lineRule="auto"/>
            <w:ind w:left="833"/>
            <w:rPr>
              <w:rFonts w:ascii="Times New Roman" w:hAnsi="Times New Roman" w:eastAsia="Times New Roman" w:cs="Times New Roman"/>
              <w:sz w:val="20"/>
              <w:szCs w:val="20"/>
            </w:rPr>
          </w:pPr>
          <w:r>
            <w:fldChar w:fldCharType="begin"/>
          </w:r>
          <w:r>
            <w:instrText xml:space="preserve"> HYPERLINK \l "bookmark48" </w:instrText>
          </w:r>
          <w:r>
            <w:fldChar w:fldCharType="separate"/>
          </w:r>
          <w:r>
            <w:rPr>
              <w:rFonts w:ascii="Times New Roman" w:hAnsi="Times New Roman" w:eastAsia="Times New Roman" w:cs="Times New Roman"/>
              <w:spacing w:val="4"/>
              <w:sz w:val="20"/>
              <w:szCs w:val="20"/>
            </w:rPr>
            <w:t>7.2</w:t>
          </w:r>
          <w:r>
            <w:rPr>
              <w:rFonts w:ascii="Times New Roman" w:hAnsi="Times New Roman" w:eastAsia="Times New Roman" w:cs="Times New Roman"/>
              <w:spacing w:val="15"/>
              <w:w w:val="101"/>
              <w:sz w:val="20"/>
              <w:szCs w:val="20"/>
            </w:rPr>
            <w:t xml:space="preserve">   </w:t>
          </w:r>
          <w:r>
            <w:rPr>
              <w:spacing w:val="4"/>
              <w:sz w:val="20"/>
              <w:szCs w:val="20"/>
            </w:rPr>
            <w:t>中标通知</w:t>
          </w:r>
          <w:r>
            <w:rPr>
              <w:sz w:val="20"/>
              <w:szCs w:val="20"/>
            </w:rPr>
            <w:tab/>
          </w:r>
          <w:r>
            <w:rPr>
              <w:rFonts w:ascii="Times New Roman" w:hAnsi="Times New Roman" w:eastAsia="Times New Roman" w:cs="Times New Roman"/>
              <w:spacing w:val="-2"/>
              <w:sz w:val="20"/>
              <w:szCs w:val="20"/>
            </w:rPr>
            <w:t>31</w:t>
          </w:r>
          <w:r>
            <w:rPr>
              <w:rFonts w:ascii="Times New Roman" w:hAnsi="Times New Roman" w:eastAsia="Times New Roman" w:cs="Times New Roman"/>
              <w:spacing w:val="-2"/>
              <w:sz w:val="20"/>
              <w:szCs w:val="20"/>
            </w:rPr>
            <w:fldChar w:fldCharType="end"/>
          </w:r>
        </w:p>
        <w:p w14:paraId="2167C664">
          <w:pPr>
            <w:pStyle w:val="2"/>
            <w:tabs>
              <w:tab w:val="right" w:leader="dot" w:pos="8285"/>
            </w:tabs>
            <w:spacing w:before="72" w:line="220" w:lineRule="auto"/>
            <w:ind w:left="833"/>
            <w:rPr>
              <w:rFonts w:ascii="Times New Roman" w:hAnsi="Times New Roman" w:eastAsia="Times New Roman" w:cs="Times New Roman"/>
              <w:sz w:val="20"/>
              <w:szCs w:val="20"/>
            </w:rPr>
          </w:pPr>
          <w:r>
            <w:fldChar w:fldCharType="begin"/>
          </w:r>
          <w:r>
            <w:instrText xml:space="preserve"> HYPERLINK \l "bookmark49" </w:instrText>
          </w:r>
          <w:r>
            <w:fldChar w:fldCharType="separate"/>
          </w:r>
          <w:r>
            <w:rPr>
              <w:rFonts w:ascii="Times New Roman" w:hAnsi="Times New Roman" w:eastAsia="Times New Roman" w:cs="Times New Roman"/>
              <w:spacing w:val="6"/>
              <w:sz w:val="20"/>
              <w:szCs w:val="20"/>
            </w:rPr>
            <w:t>7.3</w:t>
          </w:r>
          <w:r>
            <w:rPr>
              <w:rFonts w:ascii="Times New Roman" w:hAnsi="Times New Roman" w:eastAsia="Times New Roman" w:cs="Times New Roman"/>
              <w:spacing w:val="13"/>
              <w:sz w:val="20"/>
              <w:szCs w:val="20"/>
            </w:rPr>
            <w:t xml:space="preserve">   </w:t>
          </w:r>
          <w:r>
            <w:rPr>
              <w:spacing w:val="6"/>
              <w:sz w:val="20"/>
              <w:szCs w:val="20"/>
            </w:rPr>
            <w:t>履约保证金</w:t>
          </w:r>
          <w:r>
            <w:rPr>
              <w:spacing w:val="-88"/>
              <w:sz w:val="20"/>
              <w:szCs w:val="20"/>
            </w:rPr>
            <w:t xml:space="preserve"> </w:t>
          </w:r>
          <w:r>
            <w:rPr>
              <w:sz w:val="20"/>
              <w:szCs w:val="20"/>
            </w:rPr>
            <w:tab/>
          </w:r>
          <w:r>
            <w:rPr>
              <w:rFonts w:ascii="Times New Roman" w:hAnsi="Times New Roman" w:eastAsia="Times New Roman" w:cs="Times New Roman"/>
              <w:sz w:val="20"/>
              <w:szCs w:val="20"/>
            </w:rPr>
            <w:t>31</w:t>
          </w:r>
          <w:r>
            <w:rPr>
              <w:rFonts w:ascii="Times New Roman" w:hAnsi="Times New Roman" w:eastAsia="Times New Roman" w:cs="Times New Roman"/>
              <w:sz w:val="20"/>
              <w:szCs w:val="20"/>
            </w:rPr>
            <w:fldChar w:fldCharType="end"/>
          </w:r>
        </w:p>
        <w:p w14:paraId="218BF1B4">
          <w:pPr>
            <w:pStyle w:val="2"/>
            <w:tabs>
              <w:tab w:val="right" w:leader="dot" w:pos="8275"/>
            </w:tabs>
            <w:spacing w:before="63" w:line="221" w:lineRule="auto"/>
            <w:ind w:left="833"/>
            <w:rPr>
              <w:rFonts w:ascii="Times New Roman" w:hAnsi="Times New Roman" w:eastAsia="Times New Roman" w:cs="Times New Roman"/>
              <w:sz w:val="20"/>
              <w:szCs w:val="20"/>
            </w:rPr>
          </w:pPr>
          <w:r>
            <w:fldChar w:fldCharType="begin"/>
          </w:r>
          <w:r>
            <w:instrText xml:space="preserve"> HYPERLINK \l "bookmark50" </w:instrText>
          </w:r>
          <w:r>
            <w:fldChar w:fldCharType="separate"/>
          </w:r>
          <w:r>
            <w:rPr>
              <w:rFonts w:ascii="Times New Roman" w:hAnsi="Times New Roman" w:eastAsia="Times New Roman" w:cs="Times New Roman"/>
              <w:spacing w:val="7"/>
              <w:sz w:val="20"/>
              <w:szCs w:val="20"/>
            </w:rPr>
            <w:t>7.4</w:t>
          </w:r>
          <w:r>
            <w:rPr>
              <w:rFonts w:ascii="Times New Roman" w:hAnsi="Times New Roman" w:eastAsia="Times New Roman" w:cs="Times New Roman"/>
              <w:spacing w:val="9"/>
              <w:sz w:val="20"/>
              <w:szCs w:val="20"/>
            </w:rPr>
            <w:t xml:space="preserve">   </w:t>
          </w:r>
          <w:r>
            <w:rPr>
              <w:spacing w:val="7"/>
              <w:sz w:val="20"/>
              <w:szCs w:val="20"/>
            </w:rPr>
            <w:t>签订合同</w:t>
          </w:r>
          <w:r>
            <w:rPr>
              <w:sz w:val="20"/>
              <w:szCs w:val="20"/>
            </w:rPr>
            <w:tab/>
          </w:r>
          <w:r>
            <w:rPr>
              <w:rFonts w:ascii="Times New Roman" w:hAnsi="Times New Roman" w:eastAsia="Times New Roman" w:cs="Times New Roman"/>
              <w:spacing w:val="-4"/>
              <w:sz w:val="20"/>
              <w:szCs w:val="20"/>
            </w:rPr>
            <w:t>32</w:t>
          </w:r>
          <w:r>
            <w:rPr>
              <w:rFonts w:ascii="Times New Roman" w:hAnsi="Times New Roman" w:eastAsia="Times New Roman" w:cs="Times New Roman"/>
              <w:spacing w:val="-4"/>
              <w:sz w:val="20"/>
              <w:szCs w:val="20"/>
            </w:rPr>
            <w:fldChar w:fldCharType="end"/>
          </w:r>
        </w:p>
        <w:p w14:paraId="7CC81D0A">
          <w:pPr>
            <w:pStyle w:val="2"/>
            <w:tabs>
              <w:tab w:val="right" w:leader="dot" w:pos="9055"/>
            </w:tabs>
            <w:spacing w:before="69" w:line="220" w:lineRule="auto"/>
            <w:ind w:left="423"/>
            <w:rPr>
              <w:rFonts w:ascii="Times New Roman" w:hAnsi="Times New Roman" w:eastAsia="Times New Roman" w:cs="Times New Roman"/>
              <w:sz w:val="20"/>
              <w:szCs w:val="20"/>
            </w:rPr>
          </w:pPr>
          <w:r>
            <w:fldChar w:fldCharType="begin"/>
          </w:r>
          <w:r>
            <w:instrText xml:space="preserve"> HYPERLINK \l "bookmark51" </w:instrText>
          </w:r>
          <w:r>
            <w:fldChar w:fldCharType="separate"/>
          </w:r>
          <w:r>
            <w:rPr>
              <w:rFonts w:ascii="Times New Roman" w:hAnsi="Times New Roman" w:eastAsia="Times New Roman" w:cs="Times New Roman"/>
              <w:spacing w:val="9"/>
              <w:sz w:val="20"/>
              <w:szCs w:val="20"/>
            </w:rPr>
            <w:t xml:space="preserve">8.   </w:t>
          </w:r>
          <w:r>
            <w:rPr>
              <w:spacing w:val="9"/>
              <w:sz w:val="20"/>
              <w:szCs w:val="20"/>
            </w:rPr>
            <w:t>重新招标、不再招标和终止招标</w:t>
          </w:r>
          <w:r>
            <w:rPr>
              <w:spacing w:val="-72"/>
              <w:sz w:val="20"/>
              <w:szCs w:val="20"/>
            </w:rPr>
            <w:t xml:space="preserve"> </w:t>
          </w:r>
          <w:r>
            <w:rPr>
              <w:sz w:val="20"/>
              <w:szCs w:val="20"/>
            </w:rPr>
            <w:tab/>
          </w:r>
          <w:r>
            <w:rPr>
              <w:rFonts w:ascii="Times New Roman" w:hAnsi="Times New Roman" w:eastAsia="Times New Roman" w:cs="Times New Roman"/>
              <w:sz w:val="20"/>
              <w:szCs w:val="20"/>
            </w:rPr>
            <w:t>32</w:t>
          </w:r>
          <w:r>
            <w:rPr>
              <w:rFonts w:ascii="Times New Roman" w:hAnsi="Times New Roman" w:eastAsia="Times New Roman" w:cs="Times New Roman"/>
              <w:sz w:val="20"/>
              <w:szCs w:val="20"/>
            </w:rPr>
            <w:fldChar w:fldCharType="end"/>
          </w:r>
        </w:p>
        <w:p w14:paraId="768E1A87">
          <w:pPr>
            <w:pStyle w:val="2"/>
            <w:tabs>
              <w:tab w:val="right" w:leader="dot" w:pos="8275"/>
            </w:tabs>
            <w:spacing w:before="92" w:line="220" w:lineRule="auto"/>
            <w:ind w:left="833"/>
            <w:rPr>
              <w:rFonts w:ascii="Times New Roman" w:hAnsi="Times New Roman" w:eastAsia="Times New Roman" w:cs="Times New Roman"/>
              <w:sz w:val="20"/>
              <w:szCs w:val="20"/>
            </w:rPr>
          </w:pPr>
          <w:r>
            <w:fldChar w:fldCharType="begin"/>
          </w:r>
          <w:r>
            <w:instrText xml:space="preserve"> HYPERLINK \l "bookmark52" </w:instrText>
          </w:r>
          <w:r>
            <w:fldChar w:fldCharType="separate"/>
          </w:r>
          <w:r>
            <w:rPr>
              <w:rFonts w:ascii="Times New Roman" w:hAnsi="Times New Roman" w:eastAsia="Times New Roman" w:cs="Times New Roman"/>
              <w:spacing w:val="2"/>
              <w:sz w:val="20"/>
              <w:szCs w:val="20"/>
            </w:rPr>
            <w:t>8.1</w:t>
          </w:r>
          <w:r>
            <w:rPr>
              <w:rFonts w:ascii="Times New Roman" w:hAnsi="Times New Roman" w:eastAsia="Times New Roman" w:cs="Times New Roman"/>
              <w:sz w:val="20"/>
              <w:szCs w:val="20"/>
            </w:rPr>
            <w:t xml:space="preserve">    </w:t>
          </w:r>
          <w:r>
            <w:rPr>
              <w:spacing w:val="2"/>
              <w:sz w:val="20"/>
              <w:szCs w:val="20"/>
            </w:rPr>
            <w:t>重新招标</w:t>
          </w:r>
          <w:r>
            <w:rPr>
              <w:spacing w:val="-75"/>
              <w:sz w:val="20"/>
              <w:szCs w:val="20"/>
            </w:rPr>
            <w:t xml:space="preserve"> </w:t>
          </w:r>
          <w:r>
            <w:rPr>
              <w:sz w:val="20"/>
              <w:szCs w:val="20"/>
            </w:rPr>
            <w:tab/>
          </w:r>
          <w:r>
            <w:rPr>
              <w:rFonts w:ascii="Times New Roman" w:hAnsi="Times New Roman" w:eastAsia="Times New Roman" w:cs="Times New Roman"/>
              <w:sz w:val="20"/>
              <w:szCs w:val="20"/>
            </w:rPr>
            <w:t>32</w:t>
          </w:r>
          <w:r>
            <w:rPr>
              <w:rFonts w:ascii="Times New Roman" w:hAnsi="Times New Roman" w:eastAsia="Times New Roman" w:cs="Times New Roman"/>
              <w:sz w:val="20"/>
              <w:szCs w:val="20"/>
            </w:rPr>
            <w:fldChar w:fldCharType="end"/>
          </w:r>
        </w:p>
        <w:p w14:paraId="740E907A">
          <w:pPr>
            <w:pStyle w:val="2"/>
            <w:tabs>
              <w:tab w:val="right" w:leader="dot" w:pos="8275"/>
            </w:tabs>
            <w:spacing w:before="71" w:line="220" w:lineRule="auto"/>
            <w:ind w:left="833"/>
            <w:rPr>
              <w:rFonts w:ascii="Times New Roman" w:hAnsi="Times New Roman" w:eastAsia="Times New Roman" w:cs="Times New Roman"/>
              <w:sz w:val="20"/>
              <w:szCs w:val="20"/>
            </w:rPr>
          </w:pPr>
          <w:r>
            <w:fldChar w:fldCharType="begin"/>
          </w:r>
          <w:r>
            <w:instrText xml:space="preserve"> HYPERLINK \l "bookmark53" </w:instrText>
          </w:r>
          <w:r>
            <w:fldChar w:fldCharType="separate"/>
          </w:r>
          <w:r>
            <w:rPr>
              <w:rFonts w:ascii="Times New Roman" w:hAnsi="Times New Roman" w:eastAsia="Times New Roman" w:cs="Times New Roman"/>
              <w:spacing w:val="3"/>
              <w:sz w:val="20"/>
              <w:szCs w:val="20"/>
            </w:rPr>
            <w:t>8.2</w:t>
          </w:r>
          <w:r>
            <w:rPr>
              <w:rFonts w:ascii="Times New Roman" w:hAnsi="Times New Roman" w:eastAsia="Times New Roman" w:cs="Times New Roman"/>
              <w:spacing w:val="15"/>
              <w:sz w:val="20"/>
              <w:szCs w:val="20"/>
            </w:rPr>
            <w:t xml:space="preserve">   </w:t>
          </w:r>
          <w:r>
            <w:rPr>
              <w:spacing w:val="3"/>
              <w:sz w:val="20"/>
              <w:szCs w:val="20"/>
            </w:rPr>
            <w:t>不再招标</w:t>
          </w:r>
          <w:r>
            <w:rPr>
              <w:spacing w:val="-77"/>
              <w:sz w:val="20"/>
              <w:szCs w:val="20"/>
            </w:rPr>
            <w:t xml:space="preserve"> </w:t>
          </w:r>
          <w:r>
            <w:rPr>
              <w:sz w:val="20"/>
              <w:szCs w:val="20"/>
            </w:rPr>
            <w:tab/>
          </w:r>
          <w:r>
            <w:rPr>
              <w:rFonts w:ascii="Times New Roman" w:hAnsi="Times New Roman" w:eastAsia="Times New Roman" w:cs="Times New Roman"/>
              <w:sz w:val="20"/>
              <w:szCs w:val="20"/>
            </w:rPr>
            <w:t>32</w:t>
          </w:r>
          <w:r>
            <w:rPr>
              <w:rFonts w:ascii="Times New Roman" w:hAnsi="Times New Roman" w:eastAsia="Times New Roman" w:cs="Times New Roman"/>
              <w:sz w:val="20"/>
              <w:szCs w:val="20"/>
            </w:rPr>
            <w:fldChar w:fldCharType="end"/>
          </w:r>
        </w:p>
        <w:p w14:paraId="649FA466">
          <w:pPr>
            <w:pStyle w:val="2"/>
            <w:tabs>
              <w:tab w:val="right" w:leader="dot" w:pos="8275"/>
            </w:tabs>
            <w:spacing w:before="72" w:line="220" w:lineRule="auto"/>
            <w:ind w:left="833"/>
            <w:rPr>
              <w:rFonts w:ascii="Times New Roman" w:hAnsi="Times New Roman" w:eastAsia="Times New Roman" w:cs="Times New Roman"/>
              <w:sz w:val="20"/>
              <w:szCs w:val="20"/>
            </w:rPr>
          </w:pPr>
          <w:r>
            <w:fldChar w:fldCharType="begin"/>
          </w:r>
          <w:r>
            <w:instrText xml:space="preserve"> HYPERLINK \l "bookmark54" </w:instrText>
          </w:r>
          <w:r>
            <w:fldChar w:fldCharType="separate"/>
          </w:r>
          <w:r>
            <w:rPr>
              <w:rFonts w:ascii="Times New Roman" w:hAnsi="Times New Roman" w:eastAsia="Times New Roman" w:cs="Times New Roman"/>
              <w:spacing w:val="5"/>
              <w:sz w:val="20"/>
              <w:szCs w:val="20"/>
            </w:rPr>
            <w:t>8.3</w:t>
          </w:r>
          <w:r>
            <w:rPr>
              <w:rFonts w:ascii="Times New Roman" w:hAnsi="Times New Roman" w:eastAsia="Times New Roman" w:cs="Times New Roman"/>
              <w:spacing w:val="10"/>
              <w:sz w:val="20"/>
              <w:szCs w:val="20"/>
            </w:rPr>
            <w:t xml:space="preserve">   </w:t>
          </w:r>
          <w:r>
            <w:rPr>
              <w:spacing w:val="5"/>
              <w:sz w:val="20"/>
              <w:szCs w:val="20"/>
            </w:rPr>
            <w:t>终止招标</w:t>
          </w:r>
          <w:r>
            <w:rPr>
              <w:spacing w:val="-76"/>
              <w:sz w:val="20"/>
              <w:szCs w:val="20"/>
            </w:rPr>
            <w:t xml:space="preserve"> </w:t>
          </w:r>
          <w:r>
            <w:rPr>
              <w:sz w:val="20"/>
              <w:szCs w:val="20"/>
            </w:rPr>
            <w:tab/>
          </w:r>
          <w:r>
            <w:rPr>
              <w:rFonts w:ascii="Times New Roman" w:hAnsi="Times New Roman" w:eastAsia="Times New Roman" w:cs="Times New Roman"/>
              <w:sz w:val="20"/>
              <w:szCs w:val="20"/>
            </w:rPr>
            <w:t>32</w:t>
          </w:r>
          <w:r>
            <w:rPr>
              <w:rFonts w:ascii="Times New Roman" w:hAnsi="Times New Roman" w:eastAsia="Times New Roman" w:cs="Times New Roman"/>
              <w:sz w:val="20"/>
              <w:szCs w:val="20"/>
            </w:rPr>
            <w:fldChar w:fldCharType="end"/>
          </w:r>
        </w:p>
        <w:p w14:paraId="1022A098">
          <w:pPr>
            <w:pStyle w:val="2"/>
            <w:tabs>
              <w:tab w:val="right" w:leader="dot" w:pos="9055"/>
            </w:tabs>
            <w:spacing w:before="71" w:line="219" w:lineRule="auto"/>
            <w:ind w:left="423"/>
            <w:rPr>
              <w:rFonts w:ascii="Times New Roman" w:hAnsi="Times New Roman" w:eastAsia="Times New Roman" w:cs="Times New Roman"/>
              <w:sz w:val="20"/>
              <w:szCs w:val="20"/>
            </w:rPr>
          </w:pPr>
          <w:r>
            <w:fldChar w:fldCharType="begin"/>
          </w:r>
          <w:r>
            <w:instrText xml:space="preserve"> HYPERLINK \l "bookmark55" </w:instrText>
          </w:r>
          <w:r>
            <w:fldChar w:fldCharType="separate"/>
          </w:r>
          <w:r>
            <w:rPr>
              <w:rFonts w:ascii="Times New Roman" w:hAnsi="Times New Roman" w:eastAsia="Times New Roman" w:cs="Times New Roman"/>
              <w:spacing w:val="3"/>
              <w:sz w:val="20"/>
              <w:szCs w:val="20"/>
            </w:rPr>
            <w:t>9.</w:t>
          </w:r>
          <w:r>
            <w:rPr>
              <w:rFonts w:ascii="Times New Roman" w:hAnsi="Times New Roman" w:eastAsia="Times New Roman" w:cs="Times New Roman"/>
              <w:spacing w:val="9"/>
              <w:sz w:val="20"/>
              <w:szCs w:val="20"/>
            </w:rPr>
            <w:t xml:space="preserve">   </w:t>
          </w:r>
          <w:r>
            <w:rPr>
              <w:spacing w:val="3"/>
              <w:sz w:val="20"/>
              <w:szCs w:val="20"/>
            </w:rPr>
            <w:t>纪律和监督</w:t>
          </w:r>
          <w:r>
            <w:rPr>
              <w:spacing w:val="40"/>
              <w:sz w:val="20"/>
              <w:szCs w:val="20"/>
            </w:rPr>
            <w:t xml:space="preserve"> </w:t>
          </w:r>
          <w:r>
            <w:rPr>
              <w:sz w:val="20"/>
              <w:szCs w:val="20"/>
            </w:rPr>
            <w:tab/>
          </w:r>
          <w:r>
            <w:rPr>
              <w:rFonts w:ascii="Times New Roman" w:hAnsi="Times New Roman" w:eastAsia="Times New Roman" w:cs="Times New Roman"/>
              <w:sz w:val="20"/>
              <w:szCs w:val="20"/>
            </w:rPr>
            <w:t>32</w:t>
          </w:r>
          <w:r>
            <w:rPr>
              <w:rFonts w:ascii="Times New Roman" w:hAnsi="Times New Roman" w:eastAsia="Times New Roman" w:cs="Times New Roman"/>
              <w:sz w:val="20"/>
              <w:szCs w:val="20"/>
            </w:rPr>
            <w:fldChar w:fldCharType="end"/>
          </w:r>
        </w:p>
        <w:p w14:paraId="6EE26C6F">
          <w:pPr>
            <w:pStyle w:val="2"/>
            <w:tabs>
              <w:tab w:val="right" w:leader="dot" w:pos="8275"/>
            </w:tabs>
            <w:spacing w:before="63" w:line="219" w:lineRule="auto"/>
            <w:ind w:left="833"/>
            <w:rPr>
              <w:rFonts w:ascii="Times New Roman" w:hAnsi="Times New Roman" w:eastAsia="Times New Roman" w:cs="Times New Roman"/>
              <w:sz w:val="20"/>
              <w:szCs w:val="20"/>
            </w:rPr>
          </w:pPr>
          <w:r>
            <w:fldChar w:fldCharType="begin"/>
          </w:r>
          <w:r>
            <w:instrText xml:space="preserve"> HYPERLINK \l "bookmark56" </w:instrText>
          </w:r>
          <w:r>
            <w:fldChar w:fldCharType="separate"/>
          </w:r>
          <w:r>
            <w:rPr>
              <w:rFonts w:ascii="Times New Roman" w:hAnsi="Times New Roman" w:eastAsia="Times New Roman" w:cs="Times New Roman"/>
              <w:spacing w:val="3"/>
              <w:sz w:val="20"/>
              <w:szCs w:val="20"/>
            </w:rPr>
            <w:t>9.1</w:t>
          </w:r>
          <w:r>
            <w:rPr>
              <w:rFonts w:ascii="Times New Roman" w:hAnsi="Times New Roman" w:eastAsia="Times New Roman" w:cs="Times New Roman"/>
              <w:spacing w:val="11"/>
              <w:sz w:val="20"/>
              <w:szCs w:val="20"/>
            </w:rPr>
            <w:t xml:space="preserve">   </w:t>
          </w:r>
          <w:r>
            <w:rPr>
              <w:spacing w:val="3"/>
              <w:sz w:val="20"/>
              <w:szCs w:val="20"/>
            </w:rPr>
            <w:t>对招标人的纪律要求</w:t>
          </w:r>
          <w:r>
            <w:rPr>
              <w:spacing w:val="39"/>
              <w:sz w:val="20"/>
              <w:szCs w:val="20"/>
            </w:rPr>
            <w:t xml:space="preserve"> </w:t>
          </w:r>
          <w:r>
            <w:rPr>
              <w:sz w:val="20"/>
              <w:szCs w:val="20"/>
            </w:rPr>
            <w:tab/>
          </w:r>
          <w:r>
            <w:rPr>
              <w:spacing w:val="-37"/>
              <w:sz w:val="20"/>
              <w:szCs w:val="20"/>
            </w:rPr>
            <w:t xml:space="preserve"> </w:t>
          </w:r>
          <w:r>
            <w:rPr>
              <w:rFonts w:ascii="Times New Roman" w:hAnsi="Times New Roman" w:eastAsia="Times New Roman" w:cs="Times New Roman"/>
              <w:spacing w:val="-3"/>
              <w:sz w:val="20"/>
              <w:szCs w:val="20"/>
            </w:rPr>
            <w:t>32</w:t>
          </w:r>
          <w:r>
            <w:rPr>
              <w:rFonts w:ascii="Times New Roman" w:hAnsi="Times New Roman" w:eastAsia="Times New Roman" w:cs="Times New Roman"/>
              <w:spacing w:val="-3"/>
              <w:sz w:val="20"/>
              <w:szCs w:val="20"/>
            </w:rPr>
            <w:fldChar w:fldCharType="end"/>
          </w:r>
        </w:p>
        <w:p w14:paraId="540AB369">
          <w:pPr>
            <w:pStyle w:val="2"/>
            <w:tabs>
              <w:tab w:val="right" w:leader="dot" w:pos="8275"/>
            </w:tabs>
            <w:spacing w:before="93" w:line="219" w:lineRule="auto"/>
            <w:ind w:left="833"/>
            <w:rPr>
              <w:rFonts w:ascii="Times New Roman" w:hAnsi="Times New Roman" w:eastAsia="Times New Roman" w:cs="Times New Roman"/>
              <w:sz w:val="20"/>
              <w:szCs w:val="20"/>
            </w:rPr>
          </w:pPr>
          <w:r>
            <w:fldChar w:fldCharType="begin"/>
          </w:r>
          <w:r>
            <w:instrText xml:space="preserve"> HYPERLINK \l "bookmark57" </w:instrText>
          </w:r>
          <w:r>
            <w:fldChar w:fldCharType="separate"/>
          </w:r>
          <w:r>
            <w:rPr>
              <w:rFonts w:ascii="Times New Roman" w:hAnsi="Times New Roman" w:eastAsia="Times New Roman" w:cs="Times New Roman"/>
              <w:spacing w:val="6"/>
              <w:sz w:val="20"/>
              <w:szCs w:val="20"/>
            </w:rPr>
            <w:t>9.2</w:t>
          </w:r>
          <w:r>
            <w:rPr>
              <w:rFonts w:ascii="Times New Roman" w:hAnsi="Times New Roman" w:eastAsia="Times New Roman" w:cs="Times New Roman"/>
              <w:spacing w:val="15"/>
              <w:sz w:val="20"/>
              <w:szCs w:val="20"/>
            </w:rPr>
            <w:t xml:space="preserve">   </w:t>
          </w:r>
          <w:r>
            <w:rPr>
              <w:spacing w:val="6"/>
              <w:sz w:val="20"/>
              <w:szCs w:val="20"/>
            </w:rPr>
            <w:t>对投标人的纪律要求</w:t>
          </w:r>
          <w:r>
            <w:rPr>
              <w:spacing w:val="-78"/>
              <w:sz w:val="20"/>
              <w:szCs w:val="20"/>
            </w:rPr>
            <w:t xml:space="preserve"> </w:t>
          </w:r>
          <w:r>
            <w:rPr>
              <w:sz w:val="20"/>
              <w:szCs w:val="20"/>
            </w:rPr>
            <w:tab/>
          </w:r>
          <w:r>
            <w:rPr>
              <w:rFonts w:ascii="Times New Roman" w:hAnsi="Times New Roman" w:eastAsia="Times New Roman" w:cs="Times New Roman"/>
              <w:sz w:val="20"/>
              <w:szCs w:val="20"/>
            </w:rPr>
            <w:t>33</w:t>
          </w:r>
          <w:r>
            <w:rPr>
              <w:rFonts w:ascii="Times New Roman" w:hAnsi="Times New Roman" w:eastAsia="Times New Roman" w:cs="Times New Roman"/>
              <w:sz w:val="20"/>
              <w:szCs w:val="20"/>
            </w:rPr>
            <w:fldChar w:fldCharType="end"/>
          </w:r>
        </w:p>
        <w:p w14:paraId="3CCBEF05">
          <w:pPr>
            <w:pStyle w:val="2"/>
            <w:tabs>
              <w:tab w:val="right" w:leader="dot" w:pos="8275"/>
            </w:tabs>
            <w:spacing w:before="71" w:line="219" w:lineRule="auto"/>
            <w:ind w:left="833"/>
            <w:rPr>
              <w:rFonts w:ascii="Times New Roman" w:hAnsi="Times New Roman" w:eastAsia="Times New Roman" w:cs="Times New Roman"/>
              <w:sz w:val="20"/>
              <w:szCs w:val="20"/>
            </w:rPr>
          </w:pPr>
          <w:r>
            <w:fldChar w:fldCharType="begin"/>
          </w:r>
          <w:r>
            <w:instrText xml:space="preserve"> HYPERLINK \l "bookmark58" </w:instrText>
          </w:r>
          <w:r>
            <w:fldChar w:fldCharType="separate"/>
          </w:r>
          <w:r>
            <w:rPr>
              <w:rFonts w:ascii="Times New Roman" w:hAnsi="Times New Roman" w:eastAsia="Times New Roman" w:cs="Times New Roman"/>
              <w:spacing w:val="8"/>
              <w:sz w:val="20"/>
              <w:szCs w:val="20"/>
            </w:rPr>
            <w:t>9.3</w:t>
          </w:r>
          <w:r>
            <w:rPr>
              <w:rFonts w:ascii="Times New Roman" w:hAnsi="Times New Roman" w:eastAsia="Times New Roman" w:cs="Times New Roman"/>
              <w:spacing w:val="16"/>
              <w:w w:val="101"/>
              <w:sz w:val="20"/>
              <w:szCs w:val="20"/>
            </w:rPr>
            <w:t xml:space="preserve">   </w:t>
          </w:r>
          <w:r>
            <w:rPr>
              <w:spacing w:val="8"/>
              <w:sz w:val="20"/>
              <w:szCs w:val="20"/>
            </w:rPr>
            <w:t>对评标委员会成员的纪律要求</w:t>
          </w:r>
          <w:r>
            <w:rPr>
              <w:spacing w:val="-79"/>
              <w:sz w:val="20"/>
              <w:szCs w:val="20"/>
            </w:rPr>
            <w:t xml:space="preserve"> </w:t>
          </w:r>
          <w:r>
            <w:rPr>
              <w:sz w:val="20"/>
              <w:szCs w:val="20"/>
            </w:rPr>
            <w:tab/>
          </w:r>
          <w:r>
            <w:rPr>
              <w:spacing w:val="-27"/>
              <w:sz w:val="20"/>
              <w:szCs w:val="20"/>
            </w:rPr>
            <w:t xml:space="preserve"> </w:t>
          </w:r>
          <w:r>
            <w:rPr>
              <w:rFonts w:ascii="Times New Roman" w:hAnsi="Times New Roman" w:eastAsia="Times New Roman" w:cs="Times New Roman"/>
              <w:spacing w:val="-3"/>
              <w:sz w:val="20"/>
              <w:szCs w:val="20"/>
            </w:rPr>
            <w:t>33</w:t>
          </w:r>
          <w:r>
            <w:rPr>
              <w:rFonts w:ascii="Times New Roman" w:hAnsi="Times New Roman" w:eastAsia="Times New Roman" w:cs="Times New Roman"/>
              <w:spacing w:val="-3"/>
              <w:sz w:val="20"/>
              <w:szCs w:val="20"/>
            </w:rPr>
            <w:fldChar w:fldCharType="end"/>
          </w:r>
        </w:p>
        <w:p w14:paraId="54E8F385">
          <w:pPr>
            <w:pStyle w:val="2"/>
            <w:tabs>
              <w:tab w:val="right" w:leader="dot" w:pos="8275"/>
            </w:tabs>
            <w:spacing w:before="74" w:line="219" w:lineRule="auto"/>
            <w:ind w:left="833"/>
            <w:rPr>
              <w:rFonts w:ascii="Times New Roman" w:hAnsi="Times New Roman" w:eastAsia="Times New Roman" w:cs="Times New Roman"/>
              <w:sz w:val="20"/>
              <w:szCs w:val="20"/>
            </w:rPr>
          </w:pPr>
          <w:r>
            <w:fldChar w:fldCharType="begin"/>
          </w:r>
          <w:r>
            <w:instrText xml:space="preserve"> HYPERLINK \l "bookmark59" </w:instrText>
          </w:r>
          <w:r>
            <w:fldChar w:fldCharType="separate"/>
          </w:r>
          <w:r>
            <w:rPr>
              <w:rFonts w:ascii="Times New Roman" w:hAnsi="Times New Roman" w:eastAsia="Times New Roman" w:cs="Times New Roman"/>
              <w:spacing w:val="7"/>
              <w:sz w:val="20"/>
              <w:szCs w:val="20"/>
            </w:rPr>
            <w:t xml:space="preserve">9.4   </w:t>
          </w:r>
          <w:r>
            <w:rPr>
              <w:spacing w:val="7"/>
              <w:sz w:val="20"/>
              <w:szCs w:val="20"/>
            </w:rPr>
            <w:t>对与评标活动有关的工作人员的纪律要求</w:t>
          </w:r>
          <w:r>
            <w:rPr>
              <w:spacing w:val="50"/>
              <w:sz w:val="20"/>
              <w:szCs w:val="20"/>
            </w:rPr>
            <w:t xml:space="preserve"> </w:t>
          </w:r>
          <w:r>
            <w:rPr>
              <w:sz w:val="20"/>
              <w:szCs w:val="20"/>
            </w:rPr>
            <w:tab/>
          </w:r>
          <w:r>
            <w:rPr>
              <w:rFonts w:ascii="Times New Roman" w:hAnsi="Times New Roman" w:eastAsia="Times New Roman" w:cs="Times New Roman"/>
              <w:sz w:val="20"/>
              <w:szCs w:val="20"/>
            </w:rPr>
            <w:t>33</w:t>
          </w:r>
          <w:r>
            <w:rPr>
              <w:rFonts w:ascii="Times New Roman" w:hAnsi="Times New Roman" w:eastAsia="Times New Roman" w:cs="Times New Roman"/>
              <w:sz w:val="20"/>
              <w:szCs w:val="20"/>
            </w:rPr>
            <w:fldChar w:fldCharType="end"/>
          </w:r>
        </w:p>
        <w:p w14:paraId="040F98BB">
          <w:pPr>
            <w:pStyle w:val="2"/>
            <w:tabs>
              <w:tab w:val="right" w:leader="dot" w:pos="8275"/>
            </w:tabs>
            <w:spacing w:before="73" w:line="220" w:lineRule="auto"/>
            <w:ind w:left="833"/>
            <w:rPr>
              <w:rFonts w:ascii="Times New Roman" w:hAnsi="Times New Roman" w:eastAsia="Times New Roman" w:cs="Times New Roman"/>
              <w:sz w:val="20"/>
              <w:szCs w:val="20"/>
            </w:rPr>
          </w:pPr>
          <w:r>
            <w:fldChar w:fldCharType="begin"/>
          </w:r>
          <w:r>
            <w:instrText xml:space="preserve"> HYPERLINK \l "bookmark60" </w:instrText>
          </w:r>
          <w:r>
            <w:fldChar w:fldCharType="separate"/>
          </w:r>
          <w:r>
            <w:rPr>
              <w:rFonts w:ascii="Times New Roman" w:hAnsi="Times New Roman" w:eastAsia="Times New Roman" w:cs="Times New Roman"/>
              <w:spacing w:val="-6"/>
              <w:sz w:val="20"/>
              <w:szCs w:val="20"/>
            </w:rPr>
            <w:t>9.5</w:t>
          </w:r>
          <w:r>
            <w:rPr>
              <w:rFonts w:ascii="Times New Roman" w:hAnsi="Times New Roman" w:eastAsia="Times New Roman" w:cs="Times New Roman"/>
              <w:spacing w:val="13"/>
              <w:w w:val="101"/>
              <w:sz w:val="20"/>
              <w:szCs w:val="20"/>
            </w:rPr>
            <w:t xml:space="preserve">   </w:t>
          </w:r>
          <w:r>
            <w:rPr>
              <w:spacing w:val="-6"/>
              <w:sz w:val="20"/>
              <w:szCs w:val="20"/>
            </w:rPr>
            <w:t>投</w:t>
          </w:r>
          <w:r>
            <w:rPr>
              <w:spacing w:val="-43"/>
              <w:sz w:val="20"/>
              <w:szCs w:val="20"/>
            </w:rPr>
            <w:t xml:space="preserve"> </w:t>
          </w:r>
          <w:r>
            <w:rPr>
              <w:spacing w:val="-6"/>
              <w:sz w:val="20"/>
              <w:szCs w:val="20"/>
            </w:rPr>
            <w:t>诉</w:t>
          </w:r>
          <w:r>
            <w:rPr>
              <w:spacing w:val="-79"/>
              <w:sz w:val="20"/>
              <w:szCs w:val="20"/>
            </w:rPr>
            <w:t xml:space="preserve"> </w:t>
          </w:r>
          <w:r>
            <w:rPr>
              <w:sz w:val="20"/>
              <w:szCs w:val="20"/>
            </w:rPr>
            <w:tab/>
          </w:r>
          <w:r>
            <w:rPr>
              <w:rFonts w:ascii="Times New Roman" w:hAnsi="Times New Roman" w:eastAsia="Times New Roman" w:cs="Times New Roman"/>
              <w:sz w:val="20"/>
              <w:szCs w:val="20"/>
            </w:rPr>
            <w:t>33</w:t>
          </w:r>
          <w:r>
            <w:rPr>
              <w:rFonts w:ascii="Times New Roman" w:hAnsi="Times New Roman" w:eastAsia="Times New Roman" w:cs="Times New Roman"/>
              <w:sz w:val="20"/>
              <w:szCs w:val="20"/>
            </w:rPr>
            <w:fldChar w:fldCharType="end"/>
          </w:r>
        </w:p>
        <w:p w14:paraId="7DF736AB">
          <w:pPr>
            <w:pStyle w:val="2"/>
            <w:tabs>
              <w:tab w:val="right" w:leader="dot" w:pos="9055"/>
            </w:tabs>
            <w:spacing w:before="62" w:line="219" w:lineRule="auto"/>
            <w:ind w:left="423"/>
            <w:rPr>
              <w:rFonts w:ascii="Times New Roman" w:hAnsi="Times New Roman" w:eastAsia="Times New Roman" w:cs="Times New Roman"/>
              <w:sz w:val="20"/>
              <w:szCs w:val="20"/>
            </w:rPr>
          </w:pPr>
          <w:r>
            <w:fldChar w:fldCharType="begin"/>
          </w:r>
          <w:r>
            <w:instrText xml:space="preserve"> HYPERLINK \l "bookmark61" </w:instrText>
          </w:r>
          <w:r>
            <w:fldChar w:fldCharType="separate"/>
          </w:r>
          <w:r>
            <w:rPr>
              <w:rFonts w:ascii="Times New Roman" w:hAnsi="Times New Roman" w:eastAsia="Times New Roman" w:cs="Times New Roman"/>
              <w:spacing w:val="6"/>
              <w:sz w:val="20"/>
              <w:szCs w:val="20"/>
            </w:rPr>
            <w:t>10.</w:t>
          </w:r>
          <w:r>
            <w:rPr>
              <w:rFonts w:ascii="Times New Roman" w:hAnsi="Times New Roman" w:eastAsia="Times New Roman" w:cs="Times New Roman"/>
              <w:spacing w:val="12"/>
              <w:sz w:val="20"/>
              <w:szCs w:val="20"/>
            </w:rPr>
            <w:t xml:space="preserve">   </w:t>
          </w:r>
          <w:r>
            <w:rPr>
              <w:spacing w:val="6"/>
              <w:sz w:val="20"/>
              <w:szCs w:val="20"/>
            </w:rPr>
            <w:t>需要补充的其他内容</w:t>
          </w:r>
          <w:r>
            <w:rPr>
              <w:spacing w:val="-80"/>
              <w:sz w:val="20"/>
              <w:szCs w:val="20"/>
            </w:rPr>
            <w:t xml:space="preserve"> </w:t>
          </w:r>
          <w:r>
            <w:rPr>
              <w:sz w:val="20"/>
              <w:szCs w:val="20"/>
            </w:rPr>
            <w:tab/>
          </w:r>
          <w:r>
            <w:rPr>
              <w:rFonts w:ascii="Times New Roman" w:hAnsi="Times New Roman" w:eastAsia="Times New Roman" w:cs="Times New Roman"/>
              <w:sz w:val="20"/>
              <w:szCs w:val="20"/>
            </w:rPr>
            <w:t>33</w:t>
          </w:r>
          <w:r>
            <w:rPr>
              <w:rFonts w:ascii="Times New Roman" w:hAnsi="Times New Roman" w:eastAsia="Times New Roman" w:cs="Times New Roman"/>
              <w:sz w:val="20"/>
              <w:szCs w:val="20"/>
            </w:rPr>
            <w:fldChar w:fldCharType="end"/>
          </w:r>
        </w:p>
        <w:p w14:paraId="3A814CF2">
          <w:pPr>
            <w:pStyle w:val="2"/>
            <w:tabs>
              <w:tab w:val="right" w:leader="dot" w:pos="8275"/>
            </w:tabs>
            <w:spacing w:before="93" w:line="220" w:lineRule="auto"/>
            <w:ind w:left="833"/>
            <w:rPr>
              <w:rFonts w:ascii="Times New Roman" w:hAnsi="Times New Roman" w:eastAsia="Times New Roman" w:cs="Times New Roman"/>
              <w:sz w:val="20"/>
              <w:szCs w:val="20"/>
            </w:rPr>
          </w:pPr>
          <w:r>
            <w:fldChar w:fldCharType="begin"/>
          </w:r>
          <w:r>
            <w:instrText xml:space="preserve"> HYPERLINK \l "bookmark62" </w:instrText>
          </w:r>
          <w:r>
            <w:fldChar w:fldCharType="separate"/>
          </w:r>
          <w:r>
            <w:rPr>
              <w:rFonts w:ascii="Times New Roman" w:hAnsi="Times New Roman" w:eastAsia="Times New Roman" w:cs="Times New Roman"/>
              <w:spacing w:val="2"/>
              <w:sz w:val="20"/>
              <w:szCs w:val="20"/>
            </w:rPr>
            <w:t xml:space="preserve">10.1    </w:t>
          </w:r>
          <w:r>
            <w:rPr>
              <w:spacing w:val="2"/>
              <w:sz w:val="20"/>
              <w:szCs w:val="20"/>
            </w:rPr>
            <w:t>多标段投标</w:t>
          </w:r>
          <w:r>
            <w:rPr>
              <w:spacing w:val="-78"/>
              <w:sz w:val="20"/>
              <w:szCs w:val="20"/>
            </w:rPr>
            <w:t xml:space="preserve"> </w:t>
          </w:r>
          <w:r>
            <w:rPr>
              <w:sz w:val="20"/>
              <w:szCs w:val="20"/>
            </w:rPr>
            <w:tab/>
          </w:r>
          <w:r>
            <w:rPr>
              <w:spacing w:val="-27"/>
              <w:sz w:val="20"/>
              <w:szCs w:val="20"/>
            </w:rPr>
            <w:t xml:space="preserve"> </w:t>
          </w:r>
          <w:r>
            <w:rPr>
              <w:rFonts w:ascii="Times New Roman" w:hAnsi="Times New Roman" w:eastAsia="Times New Roman" w:cs="Times New Roman"/>
              <w:spacing w:val="-3"/>
              <w:sz w:val="20"/>
              <w:szCs w:val="20"/>
            </w:rPr>
            <w:t>33</w:t>
          </w:r>
          <w:r>
            <w:rPr>
              <w:rFonts w:ascii="Times New Roman" w:hAnsi="Times New Roman" w:eastAsia="Times New Roman" w:cs="Times New Roman"/>
              <w:spacing w:val="-3"/>
              <w:sz w:val="20"/>
              <w:szCs w:val="20"/>
            </w:rPr>
            <w:fldChar w:fldCharType="end"/>
          </w:r>
        </w:p>
        <w:p w14:paraId="0CE70184">
          <w:pPr>
            <w:pStyle w:val="2"/>
            <w:tabs>
              <w:tab w:val="right" w:leader="dot" w:pos="8265"/>
            </w:tabs>
            <w:spacing w:before="71" w:line="219" w:lineRule="auto"/>
            <w:ind w:left="833"/>
            <w:rPr>
              <w:rFonts w:ascii="Times New Roman" w:hAnsi="Times New Roman" w:eastAsia="Times New Roman" w:cs="Times New Roman"/>
              <w:sz w:val="20"/>
              <w:szCs w:val="20"/>
            </w:rPr>
          </w:pPr>
          <w:r>
            <w:fldChar w:fldCharType="begin"/>
          </w:r>
          <w:r>
            <w:instrText xml:space="preserve"> HYPERLINK \l "bookmark63" </w:instrText>
          </w:r>
          <w:r>
            <w:fldChar w:fldCharType="separate"/>
          </w:r>
          <w:r>
            <w:rPr>
              <w:rFonts w:ascii="Times New Roman" w:hAnsi="Times New Roman" w:eastAsia="Times New Roman" w:cs="Times New Roman"/>
              <w:spacing w:val="8"/>
              <w:sz w:val="20"/>
              <w:szCs w:val="20"/>
            </w:rPr>
            <w:t xml:space="preserve">10.2   </w:t>
          </w:r>
          <w:r>
            <w:rPr>
              <w:spacing w:val="8"/>
              <w:sz w:val="20"/>
              <w:szCs w:val="20"/>
            </w:rPr>
            <w:t>评标办法中的有关系数的取值和评分因素设置</w:t>
          </w:r>
          <w:r>
            <w:rPr>
              <w:spacing w:val="-67"/>
              <w:sz w:val="20"/>
              <w:szCs w:val="20"/>
            </w:rPr>
            <w:t xml:space="preserve"> </w:t>
          </w:r>
          <w:r>
            <w:rPr>
              <w:sz w:val="20"/>
              <w:szCs w:val="20"/>
            </w:rPr>
            <w:tab/>
          </w:r>
          <w:r>
            <w:rPr>
              <w:rFonts w:ascii="Times New Roman" w:hAnsi="Times New Roman" w:eastAsia="Times New Roman" w:cs="Times New Roman"/>
              <w:sz w:val="20"/>
              <w:szCs w:val="20"/>
            </w:rPr>
            <w:t>33</w:t>
          </w:r>
          <w:r>
            <w:rPr>
              <w:rFonts w:ascii="Times New Roman" w:hAnsi="Times New Roman" w:eastAsia="Times New Roman" w:cs="Times New Roman"/>
              <w:sz w:val="20"/>
              <w:szCs w:val="20"/>
            </w:rPr>
            <w:fldChar w:fldCharType="end"/>
          </w:r>
        </w:p>
        <w:p w14:paraId="0EAB4039">
          <w:pPr>
            <w:pStyle w:val="2"/>
            <w:tabs>
              <w:tab w:val="right" w:leader="dot" w:pos="8265"/>
            </w:tabs>
            <w:spacing w:before="73" w:line="219" w:lineRule="auto"/>
            <w:ind w:left="833"/>
            <w:rPr>
              <w:rFonts w:ascii="Times New Roman" w:hAnsi="Times New Roman" w:eastAsia="Times New Roman" w:cs="Times New Roman"/>
              <w:sz w:val="20"/>
              <w:szCs w:val="20"/>
            </w:rPr>
          </w:pPr>
          <w:r>
            <w:fldChar w:fldCharType="begin"/>
          </w:r>
          <w:r>
            <w:instrText xml:space="preserve"> HYPERLINK \l "bookmark64" </w:instrText>
          </w:r>
          <w:r>
            <w:fldChar w:fldCharType="separate"/>
          </w:r>
          <w:r>
            <w:rPr>
              <w:rFonts w:ascii="Times New Roman" w:hAnsi="Times New Roman" w:eastAsia="Times New Roman" w:cs="Times New Roman"/>
              <w:sz w:val="20"/>
              <w:szCs w:val="20"/>
            </w:rPr>
            <w:t>10.3</w:t>
          </w:r>
          <w:r>
            <w:rPr>
              <w:rFonts w:ascii="Times New Roman" w:hAnsi="Times New Roman" w:eastAsia="Times New Roman" w:cs="Times New Roman"/>
              <w:spacing w:val="10"/>
              <w:sz w:val="20"/>
              <w:szCs w:val="20"/>
            </w:rPr>
            <w:t xml:space="preserve">   </w:t>
          </w:r>
          <w:r>
            <w:rPr>
              <w:sz w:val="20"/>
              <w:szCs w:val="20"/>
            </w:rPr>
            <w:t>中标人的投标文件</w:t>
          </w:r>
          <w:r>
            <w:rPr>
              <w:spacing w:val="39"/>
              <w:sz w:val="20"/>
              <w:szCs w:val="20"/>
            </w:rPr>
            <w:t xml:space="preserve"> </w:t>
          </w:r>
          <w:r>
            <w:rPr>
              <w:sz w:val="20"/>
              <w:szCs w:val="20"/>
            </w:rPr>
            <w:tab/>
          </w:r>
          <w:r>
            <w:rPr>
              <w:rFonts w:ascii="Times New Roman" w:hAnsi="Times New Roman" w:eastAsia="Times New Roman" w:cs="Times New Roman"/>
              <w:spacing w:val="-4"/>
              <w:sz w:val="20"/>
              <w:szCs w:val="20"/>
            </w:rPr>
            <w:t>34</w:t>
          </w:r>
          <w:r>
            <w:rPr>
              <w:rFonts w:ascii="Times New Roman" w:hAnsi="Times New Roman" w:eastAsia="Times New Roman" w:cs="Times New Roman"/>
              <w:spacing w:val="-4"/>
              <w:sz w:val="20"/>
              <w:szCs w:val="20"/>
            </w:rPr>
            <w:fldChar w:fldCharType="end"/>
          </w:r>
        </w:p>
        <w:p w14:paraId="6B0789AE">
          <w:pPr>
            <w:pStyle w:val="2"/>
            <w:tabs>
              <w:tab w:val="right" w:leader="dot" w:pos="8275"/>
            </w:tabs>
            <w:spacing w:before="72" w:line="219" w:lineRule="auto"/>
            <w:ind w:left="833"/>
            <w:rPr>
              <w:rFonts w:ascii="Times New Roman" w:hAnsi="Times New Roman" w:eastAsia="Times New Roman" w:cs="Times New Roman"/>
              <w:sz w:val="20"/>
              <w:szCs w:val="20"/>
            </w:rPr>
          </w:pPr>
          <w:r>
            <w:fldChar w:fldCharType="begin"/>
          </w:r>
          <w:r>
            <w:instrText xml:space="preserve"> HYPERLINK \l "bookmark65" </w:instrText>
          </w:r>
          <w:r>
            <w:fldChar w:fldCharType="separate"/>
          </w:r>
          <w:r>
            <w:rPr>
              <w:rFonts w:ascii="Times New Roman" w:hAnsi="Times New Roman" w:eastAsia="Times New Roman" w:cs="Times New Roman"/>
              <w:spacing w:val="4"/>
              <w:sz w:val="20"/>
              <w:szCs w:val="20"/>
            </w:rPr>
            <w:t>10.4</w:t>
          </w:r>
          <w:r>
            <w:rPr>
              <w:rFonts w:ascii="Times New Roman" w:hAnsi="Times New Roman" w:eastAsia="Times New Roman" w:cs="Times New Roman"/>
              <w:spacing w:val="11"/>
              <w:sz w:val="20"/>
              <w:szCs w:val="20"/>
            </w:rPr>
            <w:t xml:space="preserve">   </w:t>
          </w:r>
          <w:r>
            <w:rPr>
              <w:spacing w:val="4"/>
              <w:sz w:val="20"/>
              <w:szCs w:val="20"/>
            </w:rPr>
            <w:t>知识产权</w:t>
          </w:r>
          <w:r>
            <w:rPr>
              <w:spacing w:val="-76"/>
              <w:sz w:val="20"/>
              <w:szCs w:val="20"/>
            </w:rPr>
            <w:t xml:space="preserve"> </w:t>
          </w:r>
          <w:r>
            <w:rPr>
              <w:sz w:val="20"/>
              <w:szCs w:val="20"/>
            </w:rPr>
            <w:tab/>
          </w:r>
          <w:r>
            <w:rPr>
              <w:spacing w:val="-17"/>
              <w:sz w:val="20"/>
              <w:szCs w:val="20"/>
            </w:rPr>
            <w:t xml:space="preserve"> </w:t>
          </w:r>
          <w:r>
            <w:rPr>
              <w:rFonts w:ascii="Times New Roman" w:hAnsi="Times New Roman" w:eastAsia="Times New Roman" w:cs="Times New Roman"/>
              <w:spacing w:val="-3"/>
              <w:sz w:val="20"/>
              <w:szCs w:val="20"/>
            </w:rPr>
            <w:t>34</w:t>
          </w:r>
          <w:r>
            <w:rPr>
              <w:rFonts w:ascii="Times New Roman" w:hAnsi="Times New Roman" w:eastAsia="Times New Roman" w:cs="Times New Roman"/>
              <w:spacing w:val="-3"/>
              <w:sz w:val="20"/>
              <w:szCs w:val="20"/>
            </w:rPr>
            <w:fldChar w:fldCharType="end"/>
          </w:r>
        </w:p>
        <w:p w14:paraId="3A00B44B">
          <w:pPr>
            <w:pStyle w:val="2"/>
            <w:tabs>
              <w:tab w:val="right" w:leader="dot" w:pos="8275"/>
            </w:tabs>
            <w:spacing w:before="84" w:line="220" w:lineRule="auto"/>
            <w:ind w:left="833"/>
            <w:rPr>
              <w:rFonts w:ascii="Times New Roman" w:hAnsi="Times New Roman" w:eastAsia="Times New Roman" w:cs="Times New Roman"/>
              <w:sz w:val="20"/>
              <w:szCs w:val="20"/>
            </w:rPr>
          </w:pPr>
          <w:r>
            <w:fldChar w:fldCharType="begin"/>
          </w:r>
          <w:r>
            <w:instrText xml:space="preserve"> HYPERLINK \l "bookmark66" </w:instrText>
          </w:r>
          <w:r>
            <w:fldChar w:fldCharType="separate"/>
          </w:r>
          <w:r>
            <w:rPr>
              <w:rFonts w:ascii="Times New Roman" w:hAnsi="Times New Roman" w:eastAsia="Times New Roman" w:cs="Times New Roman"/>
              <w:spacing w:val="-5"/>
              <w:sz w:val="20"/>
              <w:szCs w:val="20"/>
            </w:rPr>
            <w:t xml:space="preserve">10.5    </w:t>
          </w:r>
          <w:r>
            <w:rPr>
              <w:spacing w:val="-5"/>
              <w:sz w:val="20"/>
              <w:szCs w:val="20"/>
            </w:rPr>
            <w:t>同义词语</w:t>
          </w:r>
          <w:r>
            <w:rPr>
              <w:spacing w:val="49"/>
              <w:sz w:val="20"/>
              <w:szCs w:val="20"/>
            </w:rPr>
            <w:t xml:space="preserve"> </w:t>
          </w:r>
          <w:r>
            <w:rPr>
              <w:sz w:val="20"/>
              <w:szCs w:val="20"/>
            </w:rPr>
            <w:tab/>
          </w:r>
          <w:r>
            <w:rPr>
              <w:spacing w:val="-67"/>
              <w:sz w:val="20"/>
              <w:szCs w:val="20"/>
            </w:rPr>
            <w:t xml:space="preserve"> </w:t>
          </w:r>
          <w:r>
            <w:rPr>
              <w:rFonts w:ascii="Times New Roman" w:hAnsi="Times New Roman" w:eastAsia="Times New Roman" w:cs="Times New Roman"/>
              <w:spacing w:val="-3"/>
              <w:sz w:val="20"/>
              <w:szCs w:val="20"/>
            </w:rPr>
            <w:t>34</w:t>
          </w:r>
          <w:r>
            <w:rPr>
              <w:rFonts w:ascii="Times New Roman" w:hAnsi="Times New Roman" w:eastAsia="Times New Roman" w:cs="Times New Roman"/>
              <w:spacing w:val="-3"/>
              <w:sz w:val="20"/>
              <w:szCs w:val="20"/>
            </w:rPr>
            <w:fldChar w:fldCharType="end"/>
          </w:r>
        </w:p>
        <w:p w14:paraId="49D2D6F9">
          <w:pPr>
            <w:pStyle w:val="2"/>
            <w:tabs>
              <w:tab w:val="right" w:leader="dot" w:pos="8275"/>
            </w:tabs>
            <w:spacing w:before="71" w:line="219" w:lineRule="auto"/>
            <w:ind w:left="833"/>
            <w:rPr>
              <w:rFonts w:ascii="Times New Roman" w:hAnsi="Times New Roman" w:eastAsia="Times New Roman" w:cs="Times New Roman"/>
              <w:sz w:val="20"/>
              <w:szCs w:val="20"/>
            </w:rPr>
          </w:pPr>
          <w:r>
            <w:fldChar w:fldCharType="begin"/>
          </w:r>
          <w:r>
            <w:instrText xml:space="preserve"> HYPERLINK \l "bookmark67" </w:instrText>
          </w:r>
          <w:r>
            <w:fldChar w:fldCharType="separate"/>
          </w:r>
          <w:r>
            <w:rPr>
              <w:rFonts w:ascii="Times New Roman" w:hAnsi="Times New Roman" w:eastAsia="Times New Roman" w:cs="Times New Roman"/>
              <w:spacing w:val="-5"/>
              <w:sz w:val="20"/>
              <w:szCs w:val="20"/>
            </w:rPr>
            <w:t>10.6</w:t>
          </w:r>
          <w:r>
            <w:rPr>
              <w:rFonts w:ascii="Times New Roman" w:hAnsi="Times New Roman" w:eastAsia="Times New Roman" w:cs="Times New Roman"/>
              <w:spacing w:val="12"/>
              <w:sz w:val="20"/>
              <w:szCs w:val="20"/>
            </w:rPr>
            <w:t xml:space="preserve">   </w:t>
          </w:r>
          <w:r>
            <w:rPr>
              <w:spacing w:val="-5"/>
              <w:sz w:val="20"/>
              <w:szCs w:val="20"/>
            </w:rPr>
            <w:t>解释权</w:t>
          </w:r>
          <w:r>
            <w:rPr>
              <w:spacing w:val="28"/>
              <w:sz w:val="20"/>
              <w:szCs w:val="20"/>
            </w:rPr>
            <w:t xml:space="preserve"> </w:t>
          </w:r>
          <w:r>
            <w:rPr>
              <w:sz w:val="20"/>
              <w:szCs w:val="20"/>
            </w:rPr>
            <w:tab/>
          </w:r>
          <w:r>
            <w:rPr>
              <w:spacing w:val="-57"/>
              <w:sz w:val="20"/>
              <w:szCs w:val="20"/>
            </w:rPr>
            <w:t xml:space="preserve"> </w:t>
          </w:r>
          <w:r>
            <w:rPr>
              <w:rFonts w:ascii="Times New Roman" w:hAnsi="Times New Roman" w:eastAsia="Times New Roman" w:cs="Times New Roman"/>
              <w:spacing w:val="-3"/>
              <w:sz w:val="20"/>
              <w:szCs w:val="20"/>
            </w:rPr>
            <w:t>34</w:t>
          </w:r>
          <w:r>
            <w:rPr>
              <w:rFonts w:ascii="Times New Roman" w:hAnsi="Times New Roman" w:eastAsia="Times New Roman" w:cs="Times New Roman"/>
              <w:spacing w:val="-3"/>
              <w:sz w:val="20"/>
              <w:szCs w:val="20"/>
            </w:rPr>
            <w:fldChar w:fldCharType="end"/>
          </w:r>
        </w:p>
        <w:p w14:paraId="36D9CE88">
          <w:pPr>
            <w:pStyle w:val="2"/>
            <w:tabs>
              <w:tab w:val="right" w:leader="dot" w:pos="8265"/>
            </w:tabs>
            <w:spacing w:before="73" w:line="219" w:lineRule="auto"/>
            <w:ind w:left="833"/>
            <w:rPr>
              <w:rFonts w:ascii="Times New Roman" w:hAnsi="Times New Roman" w:eastAsia="Times New Roman" w:cs="Times New Roman"/>
              <w:sz w:val="20"/>
              <w:szCs w:val="20"/>
            </w:rPr>
          </w:pPr>
          <w:r>
            <w:fldChar w:fldCharType="begin"/>
          </w:r>
          <w:r>
            <w:instrText xml:space="preserve"> HYPERLINK \l "bookmark68" </w:instrText>
          </w:r>
          <w:r>
            <w:fldChar w:fldCharType="separate"/>
          </w:r>
          <w:r>
            <w:rPr>
              <w:rFonts w:ascii="Times New Roman" w:hAnsi="Times New Roman" w:eastAsia="Times New Roman" w:cs="Times New Roman"/>
              <w:spacing w:val="1"/>
              <w:sz w:val="20"/>
              <w:szCs w:val="20"/>
            </w:rPr>
            <w:t>10.7</w:t>
          </w:r>
          <w:r>
            <w:rPr>
              <w:rFonts w:ascii="Times New Roman" w:hAnsi="Times New Roman" w:eastAsia="Times New Roman" w:cs="Times New Roman"/>
              <w:spacing w:val="13"/>
              <w:sz w:val="20"/>
              <w:szCs w:val="20"/>
            </w:rPr>
            <w:t xml:space="preserve">   </w:t>
          </w:r>
          <w:r>
            <w:rPr>
              <w:spacing w:val="1"/>
              <w:sz w:val="20"/>
              <w:szCs w:val="20"/>
            </w:rPr>
            <w:t>交易平台信息服务费</w:t>
          </w:r>
          <w:r>
            <w:rPr>
              <w:spacing w:val="37"/>
              <w:sz w:val="20"/>
              <w:szCs w:val="20"/>
            </w:rPr>
            <w:t xml:space="preserve"> </w:t>
          </w:r>
          <w:r>
            <w:rPr>
              <w:sz w:val="20"/>
              <w:szCs w:val="20"/>
            </w:rPr>
            <w:tab/>
          </w:r>
          <w:r>
            <w:rPr>
              <w:rFonts w:ascii="Times New Roman" w:hAnsi="Times New Roman" w:eastAsia="Times New Roman" w:cs="Times New Roman"/>
              <w:sz w:val="20"/>
              <w:szCs w:val="20"/>
            </w:rPr>
            <w:t>34</w:t>
          </w:r>
          <w:r>
            <w:rPr>
              <w:rFonts w:ascii="Times New Roman" w:hAnsi="Times New Roman" w:eastAsia="Times New Roman" w:cs="Times New Roman"/>
              <w:sz w:val="20"/>
              <w:szCs w:val="20"/>
            </w:rPr>
            <w:fldChar w:fldCharType="end"/>
          </w:r>
        </w:p>
        <w:p w14:paraId="6DAF3F0D">
          <w:pPr>
            <w:pStyle w:val="2"/>
            <w:tabs>
              <w:tab w:val="right" w:leader="dot" w:pos="8265"/>
            </w:tabs>
            <w:spacing w:before="72" w:line="219" w:lineRule="auto"/>
            <w:ind w:left="833"/>
            <w:rPr>
              <w:rFonts w:ascii="Times New Roman" w:hAnsi="Times New Roman" w:eastAsia="Times New Roman" w:cs="Times New Roman"/>
              <w:sz w:val="20"/>
              <w:szCs w:val="20"/>
            </w:rPr>
          </w:pPr>
          <w:r>
            <w:fldChar w:fldCharType="begin"/>
          </w:r>
          <w:r>
            <w:instrText xml:space="preserve"> HYPERLINK \l "bookmark69" </w:instrText>
          </w:r>
          <w:r>
            <w:fldChar w:fldCharType="separate"/>
          </w:r>
          <w:r>
            <w:rPr>
              <w:rFonts w:ascii="Times New Roman" w:hAnsi="Times New Roman" w:eastAsia="Times New Roman" w:cs="Times New Roman"/>
              <w:spacing w:val="7"/>
              <w:sz w:val="20"/>
              <w:szCs w:val="20"/>
            </w:rPr>
            <w:t>10.8</w:t>
          </w:r>
          <w:r>
            <w:rPr>
              <w:rFonts w:ascii="Times New Roman" w:hAnsi="Times New Roman" w:eastAsia="Times New Roman" w:cs="Times New Roman"/>
              <w:spacing w:val="11"/>
              <w:sz w:val="20"/>
              <w:szCs w:val="20"/>
            </w:rPr>
            <w:t xml:space="preserve">   </w:t>
          </w:r>
          <w:r>
            <w:rPr>
              <w:spacing w:val="7"/>
              <w:sz w:val="20"/>
              <w:szCs w:val="20"/>
            </w:rPr>
            <w:t>招标代理服务费</w:t>
          </w:r>
          <w:r>
            <w:rPr>
              <w:spacing w:val="-81"/>
              <w:sz w:val="20"/>
              <w:szCs w:val="20"/>
            </w:rPr>
            <w:t xml:space="preserve"> </w:t>
          </w:r>
          <w:r>
            <w:rPr>
              <w:sz w:val="20"/>
              <w:szCs w:val="20"/>
            </w:rPr>
            <w:tab/>
          </w:r>
          <w:r>
            <w:rPr>
              <w:spacing w:val="-67"/>
              <w:sz w:val="20"/>
              <w:szCs w:val="20"/>
            </w:rPr>
            <w:t xml:space="preserve"> </w:t>
          </w:r>
          <w:r>
            <w:rPr>
              <w:rFonts w:ascii="Times New Roman" w:hAnsi="Times New Roman" w:eastAsia="Times New Roman" w:cs="Times New Roman"/>
              <w:spacing w:val="-3"/>
              <w:sz w:val="20"/>
              <w:szCs w:val="20"/>
            </w:rPr>
            <w:t>34</w:t>
          </w:r>
          <w:r>
            <w:rPr>
              <w:rFonts w:ascii="Times New Roman" w:hAnsi="Times New Roman" w:eastAsia="Times New Roman" w:cs="Times New Roman"/>
              <w:spacing w:val="-3"/>
              <w:sz w:val="20"/>
              <w:szCs w:val="20"/>
            </w:rPr>
            <w:fldChar w:fldCharType="end"/>
          </w:r>
        </w:p>
        <w:p w14:paraId="55E08367">
          <w:pPr>
            <w:pStyle w:val="2"/>
            <w:tabs>
              <w:tab w:val="right" w:leader="dot" w:pos="8265"/>
            </w:tabs>
            <w:spacing w:before="62" w:line="219" w:lineRule="auto"/>
            <w:ind w:left="833"/>
            <w:rPr>
              <w:rFonts w:ascii="Times New Roman" w:hAnsi="Times New Roman" w:eastAsia="Times New Roman" w:cs="Times New Roman"/>
              <w:sz w:val="20"/>
              <w:szCs w:val="20"/>
            </w:rPr>
          </w:pPr>
          <w:r>
            <w:fldChar w:fldCharType="begin"/>
          </w:r>
          <w:r>
            <w:instrText xml:space="preserve"> HYPERLINK \l "bookmark70" </w:instrText>
          </w:r>
          <w:r>
            <w:fldChar w:fldCharType="separate"/>
          </w:r>
          <w:r>
            <w:rPr>
              <w:rFonts w:ascii="Times New Roman" w:hAnsi="Times New Roman" w:eastAsia="Times New Roman" w:cs="Times New Roman"/>
              <w:spacing w:val="7"/>
              <w:sz w:val="20"/>
              <w:szCs w:val="20"/>
            </w:rPr>
            <w:t>10.9</w:t>
          </w:r>
          <w:r>
            <w:rPr>
              <w:rFonts w:ascii="Times New Roman" w:hAnsi="Times New Roman" w:eastAsia="Times New Roman" w:cs="Times New Roman"/>
              <w:spacing w:val="19"/>
              <w:w w:val="101"/>
              <w:sz w:val="20"/>
              <w:szCs w:val="20"/>
            </w:rPr>
            <w:t xml:space="preserve">  </w:t>
          </w:r>
          <w:r>
            <w:rPr>
              <w:spacing w:val="7"/>
              <w:sz w:val="20"/>
              <w:szCs w:val="20"/>
            </w:rPr>
            <w:t>政府采购合同融资政策</w:t>
          </w:r>
          <w:r>
            <w:rPr>
              <w:spacing w:val="-78"/>
              <w:sz w:val="20"/>
              <w:szCs w:val="20"/>
            </w:rPr>
            <w:t xml:space="preserve"> </w:t>
          </w:r>
          <w:r>
            <w:rPr>
              <w:sz w:val="20"/>
              <w:szCs w:val="20"/>
            </w:rPr>
            <w:tab/>
          </w:r>
          <w:r>
            <w:rPr>
              <w:spacing w:val="-47"/>
              <w:sz w:val="20"/>
              <w:szCs w:val="20"/>
            </w:rPr>
            <w:t xml:space="preserve"> </w:t>
          </w:r>
          <w:r>
            <w:rPr>
              <w:rFonts w:ascii="Times New Roman" w:hAnsi="Times New Roman" w:eastAsia="Times New Roman" w:cs="Times New Roman"/>
              <w:spacing w:val="-3"/>
              <w:sz w:val="20"/>
              <w:szCs w:val="20"/>
            </w:rPr>
            <w:t>34</w:t>
          </w:r>
          <w:r>
            <w:rPr>
              <w:rFonts w:ascii="Times New Roman" w:hAnsi="Times New Roman" w:eastAsia="Times New Roman" w:cs="Times New Roman"/>
              <w:spacing w:val="-3"/>
              <w:sz w:val="20"/>
              <w:szCs w:val="20"/>
            </w:rPr>
            <w:fldChar w:fldCharType="end"/>
          </w:r>
        </w:p>
        <w:p w14:paraId="39118F82">
          <w:pPr>
            <w:pStyle w:val="2"/>
            <w:tabs>
              <w:tab w:val="right" w:leader="dot" w:pos="8275"/>
            </w:tabs>
            <w:spacing w:before="74" w:line="219" w:lineRule="auto"/>
            <w:ind w:left="833"/>
            <w:rPr>
              <w:rFonts w:ascii="Times New Roman" w:hAnsi="Times New Roman" w:eastAsia="Times New Roman" w:cs="Times New Roman"/>
              <w:sz w:val="20"/>
              <w:szCs w:val="20"/>
            </w:rPr>
          </w:pPr>
          <w:r>
            <w:fldChar w:fldCharType="begin"/>
          </w:r>
          <w:r>
            <w:instrText xml:space="preserve"> HYPERLINK \l "bookmark71" </w:instrText>
          </w:r>
          <w:r>
            <w:fldChar w:fldCharType="separate"/>
          </w:r>
          <w:r>
            <w:rPr>
              <w:rFonts w:ascii="Times New Roman" w:hAnsi="Times New Roman" w:eastAsia="Times New Roman" w:cs="Times New Roman"/>
              <w:spacing w:val="6"/>
              <w:sz w:val="20"/>
              <w:szCs w:val="20"/>
            </w:rPr>
            <w:t>10.10</w:t>
          </w:r>
          <w:r>
            <w:rPr>
              <w:rFonts w:ascii="Times New Roman" w:hAnsi="Times New Roman" w:eastAsia="Times New Roman" w:cs="Times New Roman"/>
              <w:spacing w:val="16"/>
              <w:sz w:val="20"/>
              <w:szCs w:val="20"/>
            </w:rPr>
            <w:t xml:space="preserve">   </w:t>
          </w:r>
          <w:r>
            <w:rPr>
              <w:spacing w:val="6"/>
              <w:sz w:val="20"/>
              <w:szCs w:val="20"/>
            </w:rPr>
            <w:t>招标人补充的其他内容</w:t>
          </w:r>
          <w:r>
            <w:rPr>
              <w:spacing w:val="-79"/>
              <w:sz w:val="20"/>
              <w:szCs w:val="20"/>
            </w:rPr>
            <w:t xml:space="preserve"> </w:t>
          </w:r>
          <w:r>
            <w:rPr>
              <w:sz w:val="20"/>
              <w:szCs w:val="20"/>
            </w:rPr>
            <w:tab/>
          </w:r>
          <w:r>
            <w:rPr>
              <w:rFonts w:ascii="Times New Roman" w:hAnsi="Times New Roman" w:eastAsia="Times New Roman" w:cs="Times New Roman"/>
              <w:sz w:val="20"/>
              <w:szCs w:val="20"/>
            </w:rPr>
            <w:t>34</w:t>
          </w:r>
          <w:r>
            <w:rPr>
              <w:rFonts w:ascii="Times New Roman" w:hAnsi="Times New Roman" w:eastAsia="Times New Roman" w:cs="Times New Roman"/>
              <w:sz w:val="20"/>
              <w:szCs w:val="20"/>
            </w:rPr>
            <w:fldChar w:fldCharType="end"/>
          </w:r>
        </w:p>
        <w:p w14:paraId="2ECB8E20">
          <w:pPr>
            <w:pStyle w:val="2"/>
            <w:tabs>
              <w:tab w:val="right" w:leader="dot" w:pos="9055"/>
            </w:tabs>
            <w:spacing w:before="91" w:line="219" w:lineRule="auto"/>
            <w:ind w:left="423"/>
            <w:rPr>
              <w:rFonts w:ascii="Times New Roman" w:hAnsi="Times New Roman" w:eastAsia="Times New Roman" w:cs="Times New Roman"/>
              <w:sz w:val="20"/>
              <w:szCs w:val="20"/>
            </w:rPr>
          </w:pPr>
          <w:r>
            <w:fldChar w:fldCharType="begin"/>
          </w:r>
          <w:r>
            <w:instrText xml:space="preserve"> HYPERLINK \l "bookmark72" </w:instrText>
          </w:r>
          <w:r>
            <w:fldChar w:fldCharType="separate"/>
          </w:r>
          <w:r>
            <w:rPr>
              <w:spacing w:val="7"/>
              <w:sz w:val="20"/>
              <w:szCs w:val="20"/>
            </w:rPr>
            <w:t>附录一：投标人资质条件、能力和信誉</w:t>
          </w:r>
          <w:r>
            <w:rPr>
              <w:spacing w:val="59"/>
              <w:sz w:val="20"/>
              <w:szCs w:val="20"/>
            </w:rPr>
            <w:t xml:space="preserve"> </w:t>
          </w:r>
          <w:r>
            <w:rPr>
              <w:sz w:val="20"/>
              <w:szCs w:val="20"/>
            </w:rPr>
            <w:tab/>
          </w:r>
          <w:r>
            <w:rPr>
              <w:rFonts w:ascii="Times New Roman" w:hAnsi="Times New Roman" w:eastAsia="Times New Roman" w:cs="Times New Roman"/>
              <w:sz w:val="20"/>
              <w:szCs w:val="20"/>
            </w:rPr>
            <w:t>35</w:t>
          </w:r>
          <w:r>
            <w:rPr>
              <w:rFonts w:ascii="Times New Roman" w:hAnsi="Times New Roman" w:eastAsia="Times New Roman" w:cs="Times New Roman"/>
              <w:sz w:val="20"/>
              <w:szCs w:val="20"/>
            </w:rPr>
            <w:fldChar w:fldCharType="end"/>
          </w:r>
        </w:p>
        <w:p w14:paraId="4684CC72">
          <w:pPr>
            <w:pStyle w:val="2"/>
            <w:tabs>
              <w:tab w:val="right" w:leader="dot" w:pos="9045"/>
            </w:tabs>
            <w:spacing w:before="73" w:line="219" w:lineRule="auto"/>
            <w:ind w:left="423"/>
            <w:rPr>
              <w:rFonts w:ascii="Times New Roman" w:hAnsi="Times New Roman" w:eastAsia="Times New Roman" w:cs="Times New Roman"/>
              <w:sz w:val="20"/>
              <w:szCs w:val="20"/>
            </w:rPr>
          </w:pPr>
          <w:r>
            <w:fldChar w:fldCharType="begin"/>
          </w:r>
          <w:r>
            <w:instrText xml:space="preserve"> HYPERLINK \l "bookmark73" </w:instrText>
          </w:r>
          <w:r>
            <w:fldChar w:fldCharType="separate"/>
          </w:r>
          <w:r>
            <w:rPr>
              <w:spacing w:val="11"/>
              <w:sz w:val="20"/>
              <w:szCs w:val="20"/>
            </w:rPr>
            <w:t>附录二：政府采购工程预留工作及金额</w:t>
          </w:r>
          <w:r>
            <w:rPr>
              <w:spacing w:val="-78"/>
              <w:sz w:val="20"/>
              <w:szCs w:val="20"/>
            </w:rPr>
            <w:t xml:space="preserve"> </w:t>
          </w:r>
          <w:r>
            <w:rPr>
              <w:sz w:val="20"/>
              <w:szCs w:val="20"/>
            </w:rPr>
            <w:tab/>
          </w:r>
          <w:r>
            <w:rPr>
              <w:spacing w:val="-57"/>
              <w:sz w:val="20"/>
              <w:szCs w:val="20"/>
            </w:rPr>
            <w:t xml:space="preserve"> </w:t>
          </w:r>
          <w:r>
            <w:rPr>
              <w:rFonts w:ascii="Times New Roman" w:hAnsi="Times New Roman" w:eastAsia="Times New Roman" w:cs="Times New Roman"/>
              <w:spacing w:val="-3"/>
              <w:sz w:val="20"/>
              <w:szCs w:val="20"/>
            </w:rPr>
            <w:t>38</w:t>
          </w:r>
          <w:r>
            <w:rPr>
              <w:rFonts w:ascii="Times New Roman" w:hAnsi="Times New Roman" w:eastAsia="Times New Roman" w:cs="Times New Roman"/>
              <w:spacing w:val="-3"/>
              <w:sz w:val="20"/>
              <w:szCs w:val="20"/>
            </w:rPr>
            <w:fldChar w:fldCharType="end"/>
          </w:r>
        </w:p>
        <w:p w14:paraId="035BFBD4">
          <w:pPr>
            <w:pStyle w:val="2"/>
            <w:tabs>
              <w:tab w:val="right" w:leader="dot" w:pos="9045"/>
            </w:tabs>
            <w:spacing w:before="73" w:line="219" w:lineRule="auto"/>
            <w:ind w:left="423"/>
            <w:rPr>
              <w:rFonts w:ascii="Times New Roman" w:hAnsi="Times New Roman" w:eastAsia="Times New Roman" w:cs="Times New Roman"/>
              <w:sz w:val="20"/>
              <w:szCs w:val="20"/>
            </w:rPr>
          </w:pPr>
          <w:r>
            <w:fldChar w:fldCharType="begin"/>
          </w:r>
          <w:r>
            <w:instrText xml:space="preserve"> HYPERLINK \l "bookmark74" </w:instrText>
          </w:r>
          <w:r>
            <w:fldChar w:fldCharType="separate"/>
          </w:r>
          <w:r>
            <w:rPr>
              <w:spacing w:val="10"/>
              <w:sz w:val="20"/>
              <w:szCs w:val="20"/>
            </w:rPr>
            <w:t>附录三：政府采购工程适合小微企业承担的工作及金额</w:t>
          </w:r>
          <w:r>
            <w:rPr>
              <w:spacing w:val="-62"/>
              <w:sz w:val="20"/>
              <w:szCs w:val="20"/>
            </w:rPr>
            <w:t xml:space="preserve"> </w:t>
          </w:r>
          <w:r>
            <w:rPr>
              <w:sz w:val="20"/>
              <w:szCs w:val="20"/>
            </w:rPr>
            <w:tab/>
          </w:r>
          <w:r>
            <w:rPr>
              <w:rFonts w:ascii="Times New Roman" w:hAnsi="Times New Roman" w:eastAsia="Times New Roman" w:cs="Times New Roman"/>
              <w:sz w:val="20"/>
              <w:szCs w:val="20"/>
            </w:rPr>
            <w:t>39</w:t>
          </w:r>
          <w:r>
            <w:rPr>
              <w:rFonts w:ascii="Times New Roman" w:hAnsi="Times New Roman" w:eastAsia="Times New Roman" w:cs="Times New Roman"/>
              <w:sz w:val="20"/>
              <w:szCs w:val="20"/>
            </w:rPr>
            <w:fldChar w:fldCharType="end"/>
          </w:r>
        </w:p>
        <w:p w14:paraId="3C031EC6">
          <w:pPr>
            <w:pStyle w:val="2"/>
            <w:tabs>
              <w:tab w:val="right" w:leader="dot" w:pos="9070"/>
            </w:tabs>
            <w:spacing w:before="62" w:line="219" w:lineRule="auto"/>
            <w:ind w:left="423"/>
            <w:rPr>
              <w:rFonts w:ascii="Times New Roman" w:hAnsi="Times New Roman" w:eastAsia="Times New Roman" w:cs="Times New Roman"/>
              <w:sz w:val="20"/>
              <w:szCs w:val="20"/>
            </w:rPr>
          </w:pPr>
          <w:r>
            <w:fldChar w:fldCharType="begin"/>
          </w:r>
          <w:r>
            <w:instrText xml:space="preserve"> HYPERLINK \l "bookmark75" </w:instrText>
          </w:r>
          <w:r>
            <w:fldChar w:fldCharType="separate"/>
          </w:r>
          <w:r>
            <w:rPr>
              <w:spacing w:val="6"/>
              <w:sz w:val="20"/>
              <w:szCs w:val="20"/>
            </w:rPr>
            <w:t>附表一：招标文件澄清申请函</w:t>
          </w:r>
          <w:r>
            <w:rPr>
              <w:spacing w:val="70"/>
              <w:sz w:val="20"/>
              <w:szCs w:val="20"/>
            </w:rPr>
            <w:t xml:space="preserve"> </w:t>
          </w:r>
          <w:r>
            <w:rPr>
              <w:sz w:val="20"/>
              <w:szCs w:val="20"/>
            </w:rPr>
            <w:tab/>
          </w:r>
          <w:r>
            <w:rPr>
              <w:rFonts w:ascii="Times New Roman" w:hAnsi="Times New Roman" w:eastAsia="Times New Roman" w:cs="Times New Roman"/>
              <w:spacing w:val="9"/>
              <w:sz w:val="20"/>
              <w:szCs w:val="20"/>
            </w:rPr>
            <w:t>40</w:t>
          </w:r>
          <w:r>
            <w:rPr>
              <w:rFonts w:ascii="Times New Roman" w:hAnsi="Times New Roman" w:eastAsia="Times New Roman" w:cs="Times New Roman"/>
              <w:spacing w:val="9"/>
              <w:sz w:val="20"/>
              <w:szCs w:val="20"/>
            </w:rPr>
            <w:fldChar w:fldCharType="end"/>
          </w:r>
        </w:p>
        <w:p w14:paraId="42FF818D">
          <w:pPr>
            <w:pStyle w:val="2"/>
            <w:tabs>
              <w:tab w:val="right" w:leader="dot" w:pos="9070"/>
            </w:tabs>
            <w:spacing w:before="93" w:line="219" w:lineRule="auto"/>
            <w:ind w:left="423"/>
            <w:rPr>
              <w:rFonts w:ascii="Times New Roman" w:hAnsi="Times New Roman" w:eastAsia="Times New Roman" w:cs="Times New Roman"/>
              <w:sz w:val="20"/>
              <w:szCs w:val="20"/>
            </w:rPr>
          </w:pPr>
          <w:r>
            <w:fldChar w:fldCharType="begin"/>
          </w:r>
          <w:r>
            <w:instrText xml:space="preserve"> HYPERLINK \l "bookmark76" </w:instrText>
          </w:r>
          <w:r>
            <w:fldChar w:fldCharType="separate"/>
          </w:r>
          <w:r>
            <w:rPr>
              <w:spacing w:val="4"/>
              <w:sz w:val="20"/>
              <w:szCs w:val="20"/>
            </w:rPr>
            <w:t>附表二：招标文件文件澄清通知</w:t>
          </w:r>
          <w:r>
            <w:rPr>
              <w:spacing w:val="43"/>
              <w:sz w:val="20"/>
              <w:szCs w:val="20"/>
            </w:rPr>
            <w:t xml:space="preserve"> </w:t>
          </w:r>
          <w:r>
            <w:rPr>
              <w:sz w:val="20"/>
              <w:szCs w:val="20"/>
            </w:rPr>
            <w:tab/>
          </w:r>
          <w:r>
            <w:rPr>
              <w:spacing w:val="-28"/>
              <w:sz w:val="20"/>
              <w:szCs w:val="20"/>
            </w:rPr>
            <w:t xml:space="preserve"> </w:t>
          </w:r>
          <w:r>
            <w:rPr>
              <w:rFonts w:ascii="Times New Roman" w:hAnsi="Times New Roman" w:eastAsia="Times New Roman" w:cs="Times New Roman"/>
              <w:spacing w:val="-2"/>
              <w:sz w:val="20"/>
              <w:szCs w:val="20"/>
            </w:rPr>
            <w:t>41</w:t>
          </w:r>
          <w:r>
            <w:rPr>
              <w:rFonts w:ascii="Times New Roman" w:hAnsi="Times New Roman" w:eastAsia="Times New Roman" w:cs="Times New Roman"/>
              <w:spacing w:val="-2"/>
              <w:sz w:val="20"/>
              <w:szCs w:val="20"/>
            </w:rPr>
            <w:fldChar w:fldCharType="end"/>
          </w:r>
        </w:p>
        <w:p w14:paraId="0123E2EF">
          <w:pPr>
            <w:pStyle w:val="2"/>
            <w:tabs>
              <w:tab w:val="right" w:leader="dot" w:pos="9060"/>
            </w:tabs>
            <w:spacing w:before="73" w:line="219" w:lineRule="auto"/>
            <w:ind w:left="423"/>
            <w:rPr>
              <w:rFonts w:ascii="Times New Roman" w:hAnsi="Times New Roman" w:eastAsia="Times New Roman" w:cs="Times New Roman"/>
              <w:sz w:val="20"/>
              <w:szCs w:val="20"/>
            </w:rPr>
          </w:pPr>
          <w:r>
            <w:fldChar w:fldCharType="begin"/>
          </w:r>
          <w:r>
            <w:instrText xml:space="preserve"> HYPERLINK \l "bookmark77" </w:instrText>
          </w:r>
          <w:r>
            <w:fldChar w:fldCharType="separate"/>
          </w:r>
          <w:r>
            <w:rPr>
              <w:spacing w:val="5"/>
              <w:sz w:val="20"/>
              <w:szCs w:val="20"/>
            </w:rPr>
            <w:t>附表三：招标文件文件修改通知</w:t>
          </w:r>
          <w:r>
            <w:rPr>
              <w:spacing w:val="39"/>
              <w:sz w:val="20"/>
              <w:szCs w:val="20"/>
            </w:rPr>
            <w:t xml:space="preserve"> </w:t>
          </w:r>
          <w:r>
            <w:rPr>
              <w:sz w:val="20"/>
              <w:szCs w:val="20"/>
            </w:rPr>
            <w:tab/>
          </w:r>
          <w:r>
            <w:rPr>
              <w:spacing w:val="-48"/>
              <w:sz w:val="20"/>
              <w:szCs w:val="20"/>
            </w:rPr>
            <w:t xml:space="preserve"> </w:t>
          </w:r>
          <w:r>
            <w:rPr>
              <w:rFonts w:ascii="Times New Roman" w:hAnsi="Times New Roman" w:eastAsia="Times New Roman" w:cs="Times New Roman"/>
              <w:spacing w:val="-1"/>
              <w:sz w:val="20"/>
              <w:szCs w:val="20"/>
            </w:rPr>
            <w:t>42</w:t>
          </w:r>
          <w:r>
            <w:rPr>
              <w:rFonts w:ascii="Times New Roman" w:hAnsi="Times New Roman" w:eastAsia="Times New Roman" w:cs="Times New Roman"/>
              <w:spacing w:val="-1"/>
              <w:sz w:val="20"/>
              <w:szCs w:val="20"/>
            </w:rPr>
            <w:fldChar w:fldCharType="end"/>
          </w:r>
        </w:p>
        <w:p w14:paraId="789E4869">
          <w:pPr>
            <w:pStyle w:val="2"/>
            <w:tabs>
              <w:tab w:val="right" w:leader="dot" w:pos="9060"/>
            </w:tabs>
            <w:spacing w:before="73" w:line="219" w:lineRule="auto"/>
            <w:ind w:left="423"/>
            <w:rPr>
              <w:rFonts w:ascii="Times New Roman" w:hAnsi="Times New Roman" w:eastAsia="Times New Roman" w:cs="Times New Roman"/>
              <w:sz w:val="20"/>
              <w:szCs w:val="20"/>
            </w:rPr>
          </w:pPr>
          <w:r>
            <w:fldChar w:fldCharType="begin"/>
          </w:r>
          <w:r>
            <w:instrText xml:space="preserve"> HYPERLINK \l "bookmark78" </w:instrText>
          </w:r>
          <w:r>
            <w:fldChar w:fldCharType="separate"/>
          </w:r>
          <w:r>
            <w:rPr>
              <w:spacing w:val="11"/>
              <w:sz w:val="20"/>
              <w:szCs w:val="20"/>
            </w:rPr>
            <w:t>附表四：投标文件递交签收凭证</w:t>
          </w:r>
          <w:r>
            <w:rPr>
              <w:spacing w:val="-75"/>
              <w:sz w:val="20"/>
              <w:szCs w:val="20"/>
            </w:rPr>
            <w:t xml:space="preserve"> </w:t>
          </w:r>
          <w:r>
            <w:rPr>
              <w:sz w:val="20"/>
              <w:szCs w:val="20"/>
            </w:rPr>
            <w:tab/>
          </w:r>
          <w:r>
            <w:rPr>
              <w:spacing w:val="-18"/>
              <w:sz w:val="20"/>
              <w:szCs w:val="20"/>
            </w:rPr>
            <w:t xml:space="preserve"> </w:t>
          </w:r>
          <w:r>
            <w:rPr>
              <w:rFonts w:ascii="Times New Roman" w:hAnsi="Times New Roman" w:eastAsia="Times New Roman" w:cs="Times New Roman"/>
              <w:spacing w:val="-1"/>
              <w:sz w:val="20"/>
              <w:szCs w:val="20"/>
            </w:rPr>
            <w:t>43</w:t>
          </w:r>
          <w:r>
            <w:rPr>
              <w:rFonts w:ascii="Times New Roman" w:hAnsi="Times New Roman" w:eastAsia="Times New Roman" w:cs="Times New Roman"/>
              <w:spacing w:val="-1"/>
              <w:sz w:val="20"/>
              <w:szCs w:val="20"/>
            </w:rPr>
            <w:fldChar w:fldCharType="end"/>
          </w:r>
        </w:p>
        <w:p w14:paraId="235984C6">
          <w:pPr>
            <w:pStyle w:val="2"/>
            <w:tabs>
              <w:tab w:val="right" w:leader="dot" w:pos="9050"/>
            </w:tabs>
            <w:spacing w:before="72" w:line="219" w:lineRule="auto"/>
            <w:ind w:left="423"/>
            <w:rPr>
              <w:rFonts w:ascii="Times New Roman" w:hAnsi="Times New Roman" w:eastAsia="Times New Roman" w:cs="Times New Roman"/>
              <w:sz w:val="20"/>
              <w:szCs w:val="20"/>
            </w:rPr>
          </w:pPr>
          <w:r>
            <w:fldChar w:fldCharType="begin"/>
          </w:r>
          <w:r>
            <w:instrText xml:space="preserve"> HYPERLINK \l "bookmark79" </w:instrText>
          </w:r>
          <w:r>
            <w:fldChar w:fldCharType="separate"/>
          </w:r>
          <w:r>
            <w:rPr>
              <w:spacing w:val="12"/>
              <w:sz w:val="20"/>
              <w:szCs w:val="20"/>
            </w:rPr>
            <w:t>附表五：开标记录表</w:t>
          </w:r>
          <w:r>
            <w:rPr>
              <w:spacing w:val="-79"/>
              <w:sz w:val="20"/>
              <w:szCs w:val="20"/>
            </w:rPr>
            <w:t xml:space="preserve"> </w:t>
          </w:r>
          <w:r>
            <w:rPr>
              <w:sz w:val="20"/>
              <w:szCs w:val="20"/>
            </w:rPr>
            <w:tab/>
          </w:r>
          <w:r>
            <w:rPr>
              <w:rFonts w:ascii="Times New Roman" w:hAnsi="Times New Roman" w:eastAsia="Times New Roman" w:cs="Times New Roman"/>
              <w:spacing w:val="2"/>
              <w:sz w:val="20"/>
              <w:szCs w:val="20"/>
            </w:rPr>
            <w:t>44</w:t>
          </w:r>
          <w:r>
            <w:rPr>
              <w:rFonts w:ascii="Times New Roman" w:hAnsi="Times New Roman" w:eastAsia="Times New Roman" w:cs="Times New Roman"/>
              <w:spacing w:val="2"/>
              <w:sz w:val="20"/>
              <w:szCs w:val="20"/>
            </w:rPr>
            <w:fldChar w:fldCharType="end"/>
          </w:r>
        </w:p>
        <w:p w14:paraId="0D555DF3">
          <w:pPr>
            <w:pStyle w:val="2"/>
            <w:tabs>
              <w:tab w:val="right" w:leader="dot" w:pos="9060"/>
            </w:tabs>
            <w:spacing w:before="63" w:line="219" w:lineRule="auto"/>
            <w:ind w:left="423"/>
            <w:rPr>
              <w:rFonts w:ascii="Times New Roman" w:hAnsi="Times New Roman" w:eastAsia="Times New Roman" w:cs="Times New Roman"/>
              <w:sz w:val="20"/>
              <w:szCs w:val="20"/>
            </w:rPr>
          </w:pPr>
          <w:r>
            <w:fldChar w:fldCharType="begin"/>
          </w:r>
          <w:r>
            <w:instrText xml:space="preserve"> HYPERLINK \l "bookmark80" </w:instrText>
          </w:r>
          <w:r>
            <w:fldChar w:fldCharType="separate"/>
          </w:r>
          <w:r>
            <w:rPr>
              <w:spacing w:val="10"/>
              <w:sz w:val="20"/>
              <w:szCs w:val="20"/>
            </w:rPr>
            <w:t>附表六：投标文件问题澄清通知</w:t>
          </w:r>
          <w:r>
            <w:rPr>
              <w:spacing w:val="-82"/>
              <w:sz w:val="20"/>
              <w:szCs w:val="20"/>
            </w:rPr>
            <w:t xml:space="preserve"> </w:t>
          </w:r>
          <w:r>
            <w:rPr>
              <w:sz w:val="20"/>
              <w:szCs w:val="20"/>
            </w:rPr>
            <w:tab/>
          </w:r>
          <w:r>
            <w:rPr>
              <w:rFonts w:ascii="Times New Roman" w:hAnsi="Times New Roman" w:eastAsia="Times New Roman" w:cs="Times New Roman"/>
              <w:spacing w:val="2"/>
              <w:sz w:val="20"/>
              <w:szCs w:val="20"/>
            </w:rPr>
            <w:t>45</w:t>
          </w:r>
          <w:r>
            <w:rPr>
              <w:rFonts w:ascii="Times New Roman" w:hAnsi="Times New Roman" w:eastAsia="Times New Roman" w:cs="Times New Roman"/>
              <w:spacing w:val="2"/>
              <w:sz w:val="20"/>
              <w:szCs w:val="20"/>
            </w:rPr>
            <w:fldChar w:fldCharType="end"/>
          </w:r>
        </w:p>
        <w:p w14:paraId="538BD6AA">
          <w:pPr>
            <w:pStyle w:val="2"/>
            <w:tabs>
              <w:tab w:val="right" w:leader="dot" w:pos="9070"/>
            </w:tabs>
            <w:spacing w:before="93" w:line="219" w:lineRule="auto"/>
            <w:ind w:left="423"/>
            <w:rPr>
              <w:rFonts w:ascii="Times New Roman" w:hAnsi="Times New Roman" w:eastAsia="Times New Roman" w:cs="Times New Roman"/>
              <w:sz w:val="20"/>
              <w:szCs w:val="20"/>
            </w:rPr>
          </w:pPr>
          <w:r>
            <w:fldChar w:fldCharType="begin"/>
          </w:r>
          <w:r>
            <w:instrText xml:space="preserve"> HYPERLINK \l "bookmark81" </w:instrText>
          </w:r>
          <w:r>
            <w:fldChar w:fldCharType="separate"/>
          </w:r>
          <w:r>
            <w:rPr>
              <w:spacing w:val="8"/>
              <w:sz w:val="20"/>
              <w:szCs w:val="20"/>
            </w:rPr>
            <w:t>附表七：投标文件问题的澄清</w:t>
          </w:r>
          <w:r>
            <w:rPr>
              <w:spacing w:val="44"/>
              <w:sz w:val="20"/>
              <w:szCs w:val="20"/>
            </w:rPr>
            <w:t xml:space="preserve"> </w:t>
          </w:r>
          <w:r>
            <w:rPr>
              <w:sz w:val="20"/>
              <w:szCs w:val="20"/>
            </w:rPr>
            <w:tab/>
          </w:r>
          <w:r>
            <w:rPr>
              <w:rFonts w:ascii="Times New Roman" w:hAnsi="Times New Roman" w:eastAsia="Times New Roman" w:cs="Times New Roman"/>
              <w:spacing w:val="9"/>
              <w:sz w:val="20"/>
              <w:szCs w:val="20"/>
            </w:rPr>
            <w:t>46</w:t>
          </w:r>
          <w:r>
            <w:rPr>
              <w:rFonts w:ascii="Times New Roman" w:hAnsi="Times New Roman" w:eastAsia="Times New Roman" w:cs="Times New Roman"/>
              <w:spacing w:val="9"/>
              <w:sz w:val="20"/>
              <w:szCs w:val="20"/>
            </w:rPr>
            <w:fldChar w:fldCharType="end"/>
          </w:r>
        </w:p>
        <w:p w14:paraId="15CFB08E">
          <w:pPr>
            <w:pStyle w:val="2"/>
            <w:tabs>
              <w:tab w:val="right" w:leader="dot" w:pos="9070"/>
            </w:tabs>
            <w:spacing w:before="73" w:line="219" w:lineRule="auto"/>
            <w:ind w:left="423"/>
            <w:rPr>
              <w:rFonts w:ascii="Times New Roman" w:hAnsi="Times New Roman" w:eastAsia="Times New Roman" w:cs="Times New Roman"/>
              <w:sz w:val="20"/>
              <w:szCs w:val="20"/>
            </w:rPr>
          </w:pPr>
          <w:r>
            <w:fldChar w:fldCharType="begin"/>
          </w:r>
          <w:r>
            <w:instrText xml:space="preserve"> HYPERLINK \l "bookmark82" </w:instrText>
          </w:r>
          <w:r>
            <w:fldChar w:fldCharType="separate"/>
          </w:r>
          <w:r>
            <w:rPr>
              <w:spacing w:val="7"/>
              <w:sz w:val="20"/>
              <w:szCs w:val="20"/>
            </w:rPr>
            <w:t>附表八：中标通知书</w:t>
          </w:r>
          <w:r>
            <w:rPr>
              <w:spacing w:val="45"/>
              <w:sz w:val="20"/>
              <w:szCs w:val="20"/>
            </w:rPr>
            <w:t xml:space="preserve"> </w:t>
          </w:r>
          <w:r>
            <w:rPr>
              <w:sz w:val="20"/>
              <w:szCs w:val="20"/>
            </w:rPr>
            <w:tab/>
          </w:r>
          <w:r>
            <w:rPr>
              <w:spacing w:val="-38"/>
              <w:sz w:val="20"/>
              <w:szCs w:val="20"/>
            </w:rPr>
            <w:t xml:space="preserve"> </w:t>
          </w:r>
          <w:r>
            <w:rPr>
              <w:rFonts w:ascii="Times New Roman" w:hAnsi="Times New Roman" w:eastAsia="Times New Roman" w:cs="Times New Roman"/>
              <w:spacing w:val="-2"/>
              <w:sz w:val="20"/>
              <w:szCs w:val="20"/>
            </w:rPr>
            <w:t>47</w:t>
          </w:r>
          <w:r>
            <w:rPr>
              <w:rFonts w:ascii="Times New Roman" w:hAnsi="Times New Roman" w:eastAsia="Times New Roman" w:cs="Times New Roman"/>
              <w:spacing w:val="-2"/>
              <w:sz w:val="20"/>
              <w:szCs w:val="20"/>
            </w:rPr>
            <w:fldChar w:fldCharType="end"/>
          </w:r>
        </w:p>
        <w:p w14:paraId="061AC5B4">
          <w:pPr>
            <w:pStyle w:val="2"/>
            <w:tabs>
              <w:tab w:val="right" w:leader="dot" w:pos="9060"/>
            </w:tabs>
            <w:spacing w:before="72" w:line="219" w:lineRule="auto"/>
            <w:ind w:left="423"/>
            <w:rPr>
              <w:rFonts w:ascii="Times New Roman" w:hAnsi="Times New Roman" w:eastAsia="Times New Roman" w:cs="Times New Roman"/>
              <w:sz w:val="20"/>
              <w:szCs w:val="20"/>
            </w:rPr>
          </w:pPr>
          <w:r>
            <w:fldChar w:fldCharType="begin"/>
          </w:r>
          <w:r>
            <w:instrText xml:space="preserve"> HYPERLINK \l "bookmark83" </w:instrText>
          </w:r>
          <w:r>
            <w:fldChar w:fldCharType="separate"/>
          </w:r>
          <w:r>
            <w:rPr>
              <w:spacing w:val="10"/>
              <w:sz w:val="20"/>
              <w:szCs w:val="20"/>
            </w:rPr>
            <w:t>附表九：中标结果通知书</w:t>
          </w:r>
          <w:r>
            <w:rPr>
              <w:spacing w:val="-82"/>
              <w:sz w:val="20"/>
              <w:szCs w:val="20"/>
            </w:rPr>
            <w:t xml:space="preserve"> </w:t>
          </w:r>
          <w:r>
            <w:rPr>
              <w:sz w:val="20"/>
              <w:szCs w:val="20"/>
            </w:rPr>
            <w:tab/>
          </w:r>
          <w:r>
            <w:rPr>
              <w:rFonts w:ascii="Times New Roman" w:hAnsi="Times New Roman" w:eastAsia="Times New Roman" w:cs="Times New Roman"/>
              <w:spacing w:val="2"/>
              <w:sz w:val="20"/>
              <w:szCs w:val="20"/>
            </w:rPr>
            <w:t>48</w:t>
          </w:r>
          <w:r>
            <w:rPr>
              <w:rFonts w:ascii="Times New Roman" w:hAnsi="Times New Roman" w:eastAsia="Times New Roman" w:cs="Times New Roman"/>
              <w:spacing w:val="2"/>
              <w:sz w:val="20"/>
              <w:szCs w:val="20"/>
            </w:rPr>
            <w:fldChar w:fldCharType="end"/>
          </w:r>
        </w:p>
        <w:p w14:paraId="62826B9A">
          <w:pPr>
            <w:pStyle w:val="2"/>
            <w:tabs>
              <w:tab w:val="right" w:leader="dot" w:pos="9040"/>
            </w:tabs>
            <w:spacing w:before="73" w:line="219" w:lineRule="auto"/>
            <w:ind w:left="423"/>
            <w:rPr>
              <w:rFonts w:ascii="Times New Roman" w:hAnsi="Times New Roman" w:eastAsia="Times New Roman" w:cs="Times New Roman"/>
              <w:sz w:val="20"/>
              <w:szCs w:val="20"/>
            </w:rPr>
          </w:pPr>
          <w:r>
            <w:fldChar w:fldCharType="begin"/>
          </w:r>
          <w:r>
            <w:instrText xml:space="preserve"> HYPERLINK \l "bookmark84" </w:instrText>
          </w:r>
          <w:r>
            <w:fldChar w:fldCharType="separate"/>
          </w:r>
          <w:r>
            <w:rPr>
              <w:spacing w:val="11"/>
              <w:sz w:val="20"/>
              <w:szCs w:val="20"/>
            </w:rPr>
            <w:t>附表十：异议函</w:t>
          </w:r>
          <w:r>
            <w:rPr>
              <w:spacing w:val="-89"/>
              <w:sz w:val="20"/>
              <w:szCs w:val="20"/>
            </w:rPr>
            <w:t xml:space="preserve"> </w:t>
          </w:r>
          <w:r>
            <w:rPr>
              <w:sz w:val="20"/>
              <w:szCs w:val="20"/>
            </w:rPr>
            <w:tab/>
          </w:r>
          <w:r>
            <w:rPr>
              <w:rFonts w:ascii="Times New Roman" w:hAnsi="Times New Roman" w:eastAsia="Times New Roman" w:cs="Times New Roman"/>
              <w:spacing w:val="2"/>
              <w:sz w:val="20"/>
              <w:szCs w:val="20"/>
            </w:rPr>
            <w:t>49</w:t>
          </w:r>
          <w:r>
            <w:rPr>
              <w:rFonts w:ascii="Times New Roman" w:hAnsi="Times New Roman" w:eastAsia="Times New Roman" w:cs="Times New Roman"/>
              <w:spacing w:val="2"/>
              <w:sz w:val="20"/>
              <w:szCs w:val="20"/>
            </w:rPr>
            <w:fldChar w:fldCharType="end"/>
          </w:r>
        </w:p>
        <w:p w14:paraId="73FB7306">
          <w:pPr>
            <w:pStyle w:val="2"/>
            <w:tabs>
              <w:tab w:val="right" w:leader="dot" w:pos="9042"/>
            </w:tabs>
            <w:spacing w:before="63" w:line="219" w:lineRule="auto"/>
            <w:ind w:left="423"/>
            <w:rPr>
              <w:rFonts w:ascii="Times New Roman" w:hAnsi="Times New Roman" w:eastAsia="Times New Roman" w:cs="Times New Roman"/>
              <w:sz w:val="20"/>
              <w:szCs w:val="20"/>
            </w:rPr>
          </w:pPr>
          <w:r>
            <w:fldChar w:fldCharType="begin"/>
          </w:r>
          <w:r>
            <w:instrText xml:space="preserve"> HYPERLINK \l "bookmark85" </w:instrText>
          </w:r>
          <w:r>
            <w:fldChar w:fldCharType="separate"/>
          </w:r>
          <w:r>
            <w:rPr>
              <w:spacing w:val="2"/>
              <w:sz w:val="20"/>
              <w:szCs w:val="20"/>
            </w:rPr>
            <w:t>附表十一：异议答复函</w:t>
          </w:r>
          <w:r>
            <w:rPr>
              <w:spacing w:val="59"/>
              <w:sz w:val="20"/>
              <w:szCs w:val="20"/>
            </w:rPr>
            <w:t xml:space="preserve"> </w:t>
          </w:r>
          <w:r>
            <w:rPr>
              <w:sz w:val="20"/>
              <w:szCs w:val="20"/>
            </w:rPr>
            <w:tab/>
          </w:r>
          <w:r>
            <w:rPr>
              <w:spacing w:val="-28"/>
              <w:sz w:val="20"/>
              <w:szCs w:val="20"/>
            </w:rPr>
            <w:t xml:space="preserve"> </w:t>
          </w:r>
          <w:r>
            <w:rPr>
              <w:rFonts w:ascii="Times New Roman" w:hAnsi="Times New Roman" w:eastAsia="Times New Roman" w:cs="Times New Roman"/>
              <w:spacing w:val="-3"/>
              <w:sz w:val="20"/>
              <w:szCs w:val="20"/>
            </w:rPr>
            <w:t>50</w:t>
          </w:r>
          <w:r>
            <w:rPr>
              <w:rFonts w:ascii="Times New Roman" w:hAnsi="Times New Roman" w:eastAsia="Times New Roman" w:cs="Times New Roman"/>
              <w:spacing w:val="-3"/>
              <w:sz w:val="20"/>
              <w:szCs w:val="20"/>
            </w:rPr>
            <w:fldChar w:fldCharType="end"/>
          </w:r>
        </w:p>
      </w:sdtContent>
    </w:sdt>
    <w:p w14:paraId="27892336">
      <w:pPr>
        <w:spacing w:line="219" w:lineRule="auto"/>
        <w:rPr>
          <w:rFonts w:ascii="Times New Roman" w:hAnsi="Times New Roman" w:eastAsia="Times New Roman" w:cs="Times New Roman"/>
          <w:sz w:val="20"/>
          <w:szCs w:val="20"/>
        </w:rPr>
        <w:sectPr>
          <w:footerReference r:id="rId7" w:type="default"/>
          <w:pgSz w:w="11910" w:h="16840"/>
          <w:pgMar w:top="1431" w:right="1053" w:bottom="1204" w:left="1786" w:header="0" w:footer="1026" w:gutter="0"/>
          <w:cols w:space="720" w:num="1"/>
        </w:sectPr>
      </w:pPr>
    </w:p>
    <w:sdt>
      <w:sdtPr>
        <w:rPr>
          <w:rFonts w:ascii="宋体" w:hAnsi="宋体" w:eastAsia="宋体" w:cs="宋体"/>
          <w:sz w:val="21"/>
          <w:szCs w:val="21"/>
        </w:rPr>
        <w:id w:val="147482740"/>
        <w:docPartObj>
          <w:docPartGallery w:val="Table of Contents"/>
          <w:docPartUnique/>
        </w:docPartObj>
      </w:sdtPr>
      <w:sdtEndPr>
        <w:rPr>
          <w:rFonts w:ascii="Times New Roman" w:hAnsi="Times New Roman" w:eastAsia="Times New Roman" w:cs="Times New Roman"/>
          <w:sz w:val="21"/>
          <w:szCs w:val="21"/>
        </w:rPr>
      </w:sdtEndPr>
      <w:sdtContent>
        <w:p w14:paraId="5920C231">
          <w:pPr>
            <w:pStyle w:val="2"/>
            <w:tabs>
              <w:tab w:val="right" w:leader="dot" w:pos="9072"/>
            </w:tabs>
            <w:spacing w:before="55" w:line="218" w:lineRule="auto"/>
            <w:ind w:left="413"/>
            <w:rPr>
              <w:rFonts w:ascii="Times New Roman" w:hAnsi="Times New Roman" w:eastAsia="Times New Roman" w:cs="Times New Roman"/>
              <w:sz w:val="21"/>
              <w:szCs w:val="21"/>
            </w:rPr>
          </w:pPr>
          <w:r>
            <w:fldChar w:fldCharType="begin"/>
          </w:r>
          <w:r>
            <w:instrText xml:space="preserve"> HYPERLINK \l "bookmark86" </w:instrText>
          </w:r>
          <w:r>
            <w:fldChar w:fldCharType="separate"/>
          </w:r>
          <w:r>
            <w:rPr>
              <w:spacing w:val="-7"/>
              <w:sz w:val="21"/>
              <w:szCs w:val="21"/>
            </w:rPr>
            <w:t>附表十二：招标控制价明细</w:t>
          </w:r>
          <w:r>
            <w:rPr>
              <w:spacing w:val="37"/>
              <w:sz w:val="21"/>
              <w:szCs w:val="21"/>
            </w:rPr>
            <w:t xml:space="preserve"> </w:t>
          </w:r>
          <w:r>
            <w:rPr>
              <w:sz w:val="21"/>
              <w:szCs w:val="21"/>
            </w:rPr>
            <w:tab/>
          </w:r>
          <w:r>
            <w:rPr>
              <w:rFonts w:ascii="Times New Roman" w:hAnsi="Times New Roman" w:eastAsia="Times New Roman" w:cs="Times New Roman"/>
              <w:spacing w:val="7"/>
              <w:sz w:val="21"/>
              <w:szCs w:val="21"/>
            </w:rPr>
            <w:t>51</w:t>
          </w:r>
          <w:r>
            <w:rPr>
              <w:rFonts w:ascii="Times New Roman" w:hAnsi="Times New Roman" w:eastAsia="Times New Roman" w:cs="Times New Roman"/>
              <w:spacing w:val="7"/>
              <w:sz w:val="21"/>
              <w:szCs w:val="21"/>
            </w:rPr>
            <w:fldChar w:fldCharType="end"/>
          </w:r>
        </w:p>
        <w:p w14:paraId="5A3CB832">
          <w:pPr>
            <w:pStyle w:val="2"/>
            <w:tabs>
              <w:tab w:val="right" w:leader="dot" w:pos="9062"/>
            </w:tabs>
            <w:spacing w:before="62" w:line="219" w:lineRule="auto"/>
            <w:ind w:left="413"/>
            <w:rPr>
              <w:rFonts w:ascii="Times New Roman" w:hAnsi="Times New Roman" w:eastAsia="Times New Roman" w:cs="Times New Roman"/>
              <w:sz w:val="21"/>
              <w:szCs w:val="21"/>
            </w:rPr>
          </w:pPr>
          <w:r>
            <w:fldChar w:fldCharType="begin"/>
          </w:r>
          <w:r>
            <w:instrText xml:space="preserve"> HYPERLINK \l "bookmark87" </w:instrText>
          </w:r>
          <w:r>
            <w:fldChar w:fldCharType="separate"/>
          </w:r>
          <w:r>
            <w:rPr>
              <w:spacing w:val="-6"/>
              <w:sz w:val="21"/>
              <w:szCs w:val="21"/>
            </w:rPr>
            <w:t>附表十三：授权委托书</w:t>
          </w:r>
          <w:r>
            <w:rPr>
              <w:spacing w:val="34"/>
              <w:sz w:val="21"/>
              <w:szCs w:val="21"/>
            </w:rPr>
            <w:t xml:space="preserve"> </w:t>
          </w:r>
          <w:r>
            <w:rPr>
              <w:sz w:val="21"/>
              <w:szCs w:val="21"/>
            </w:rPr>
            <w:tab/>
          </w:r>
          <w:r>
            <w:rPr>
              <w:rFonts w:ascii="Times New Roman" w:hAnsi="Times New Roman" w:eastAsia="Times New Roman" w:cs="Times New Roman"/>
              <w:spacing w:val="-5"/>
              <w:sz w:val="21"/>
              <w:szCs w:val="21"/>
            </w:rPr>
            <w:t>52</w:t>
          </w:r>
          <w:r>
            <w:rPr>
              <w:rFonts w:ascii="Times New Roman" w:hAnsi="Times New Roman" w:eastAsia="Times New Roman" w:cs="Times New Roman"/>
              <w:spacing w:val="-5"/>
              <w:sz w:val="21"/>
              <w:szCs w:val="21"/>
            </w:rPr>
            <w:fldChar w:fldCharType="end"/>
          </w:r>
        </w:p>
        <w:p w14:paraId="48418E8E">
          <w:pPr>
            <w:tabs>
              <w:tab w:val="right" w:leader="dot" w:pos="9042"/>
            </w:tabs>
            <w:spacing w:before="57" w:line="221" w:lineRule="auto"/>
            <w:ind w:left="16"/>
            <w:rPr>
              <w:rFonts w:ascii="Times New Roman" w:hAnsi="Times New Roman" w:eastAsia="Times New Roman" w:cs="Times New Roman"/>
              <w:sz w:val="21"/>
              <w:szCs w:val="21"/>
            </w:rPr>
          </w:pPr>
          <w:r>
            <w:fldChar w:fldCharType="begin"/>
          </w:r>
          <w:r>
            <w:instrText xml:space="preserve"> HYPERLINK \l "bookmark88" </w:instrText>
          </w:r>
          <w:r>
            <w:fldChar w:fldCharType="separate"/>
          </w:r>
          <w:r>
            <w:rPr>
              <w:rFonts w:ascii="黑体" w:hAnsi="黑体" w:eastAsia="黑体" w:cs="黑体"/>
              <w:b/>
              <w:bCs/>
              <w:spacing w:val="6"/>
              <w:sz w:val="21"/>
              <w:szCs w:val="21"/>
            </w:rPr>
            <w:t>第三章</w:t>
          </w:r>
          <w:r>
            <w:rPr>
              <w:rFonts w:ascii="黑体" w:hAnsi="黑体" w:eastAsia="黑体" w:cs="黑体"/>
              <w:spacing w:val="6"/>
              <w:sz w:val="21"/>
              <w:szCs w:val="21"/>
            </w:rPr>
            <w:t xml:space="preserve"> </w:t>
          </w:r>
          <w:r>
            <w:rPr>
              <w:rFonts w:ascii="黑体" w:hAnsi="黑体" w:eastAsia="黑体" w:cs="黑体"/>
              <w:b/>
              <w:bCs/>
              <w:spacing w:val="6"/>
              <w:sz w:val="21"/>
              <w:szCs w:val="21"/>
            </w:rPr>
            <w:t>评标办法</w:t>
          </w:r>
          <w:r>
            <w:rPr>
              <w:rFonts w:ascii="黑体" w:hAnsi="黑体" w:eastAsia="黑体" w:cs="黑体"/>
              <w:spacing w:val="52"/>
              <w:sz w:val="21"/>
              <w:szCs w:val="21"/>
            </w:rPr>
            <w:t xml:space="preserve"> </w:t>
          </w:r>
          <w:r>
            <w:rPr>
              <w:rFonts w:ascii="黑体" w:hAnsi="黑体" w:eastAsia="黑体" w:cs="黑体"/>
              <w:sz w:val="21"/>
              <w:szCs w:val="21"/>
            </w:rPr>
            <w:tab/>
          </w:r>
          <w:r>
            <w:rPr>
              <w:rFonts w:ascii="Times New Roman" w:hAnsi="Times New Roman" w:eastAsia="Times New Roman" w:cs="Times New Roman"/>
              <w:spacing w:val="-1"/>
              <w:sz w:val="21"/>
              <w:szCs w:val="21"/>
            </w:rPr>
            <w:t>54</w:t>
          </w:r>
          <w:r>
            <w:rPr>
              <w:rFonts w:ascii="Times New Roman" w:hAnsi="Times New Roman" w:eastAsia="Times New Roman" w:cs="Times New Roman"/>
              <w:spacing w:val="-1"/>
              <w:sz w:val="21"/>
              <w:szCs w:val="21"/>
            </w:rPr>
            <w:fldChar w:fldCharType="end"/>
          </w:r>
        </w:p>
        <w:p w14:paraId="085E8EA5">
          <w:pPr>
            <w:pStyle w:val="2"/>
            <w:tabs>
              <w:tab w:val="right" w:leader="dot" w:pos="9042"/>
            </w:tabs>
            <w:spacing w:before="61" w:line="218" w:lineRule="auto"/>
            <w:ind w:left="413"/>
            <w:rPr>
              <w:rFonts w:ascii="Times New Roman" w:hAnsi="Times New Roman" w:eastAsia="Times New Roman" w:cs="Times New Roman"/>
              <w:sz w:val="21"/>
              <w:szCs w:val="21"/>
            </w:rPr>
          </w:pPr>
          <w:r>
            <w:fldChar w:fldCharType="begin"/>
          </w:r>
          <w:r>
            <w:instrText xml:space="preserve"> HYPERLINK \l "bookmark89" </w:instrText>
          </w:r>
          <w:r>
            <w:fldChar w:fldCharType="separate"/>
          </w:r>
          <w:r>
            <w:rPr>
              <w:spacing w:val="14"/>
              <w:sz w:val="21"/>
              <w:szCs w:val="21"/>
            </w:rPr>
            <w:t>评标办法前附表(办法四)(综合评估法)</w:t>
          </w:r>
          <w:r>
            <w:rPr>
              <w:sz w:val="21"/>
              <w:szCs w:val="21"/>
            </w:rPr>
            <w:tab/>
          </w:r>
          <w:r>
            <w:rPr>
              <w:rFonts w:ascii="Times New Roman" w:hAnsi="Times New Roman" w:eastAsia="Times New Roman" w:cs="Times New Roman"/>
              <w:spacing w:val="-2"/>
              <w:sz w:val="21"/>
              <w:szCs w:val="21"/>
            </w:rPr>
            <w:t>54</w:t>
          </w:r>
          <w:r>
            <w:rPr>
              <w:rFonts w:ascii="Times New Roman" w:hAnsi="Times New Roman" w:eastAsia="Times New Roman" w:cs="Times New Roman"/>
              <w:spacing w:val="-2"/>
              <w:sz w:val="21"/>
              <w:szCs w:val="21"/>
            </w:rPr>
            <w:fldChar w:fldCharType="end"/>
          </w:r>
        </w:p>
        <w:p w14:paraId="25BDAFF5">
          <w:pPr>
            <w:pStyle w:val="2"/>
            <w:tabs>
              <w:tab w:val="right" w:leader="dot" w:pos="9042"/>
            </w:tabs>
            <w:spacing w:before="54" w:line="219" w:lineRule="auto"/>
            <w:ind w:left="413"/>
            <w:rPr>
              <w:rFonts w:ascii="Times New Roman" w:hAnsi="Times New Roman" w:eastAsia="Times New Roman" w:cs="Times New Roman"/>
              <w:sz w:val="21"/>
              <w:szCs w:val="21"/>
            </w:rPr>
          </w:pPr>
          <w:r>
            <w:fldChar w:fldCharType="begin"/>
          </w:r>
          <w:r>
            <w:instrText xml:space="preserve"> HYPERLINK \l "bookmark90" </w:instrText>
          </w:r>
          <w:r>
            <w:fldChar w:fldCharType="separate"/>
          </w:r>
          <w:r>
            <w:rPr>
              <w:spacing w:val="-1"/>
              <w:sz w:val="21"/>
              <w:szCs w:val="21"/>
            </w:rPr>
            <w:t>评标办法正文部分</w:t>
          </w:r>
          <w:r>
            <w:rPr>
              <w:spacing w:val="-78"/>
              <w:sz w:val="21"/>
              <w:szCs w:val="21"/>
            </w:rPr>
            <w:t xml:space="preserve"> </w:t>
          </w:r>
          <w:r>
            <w:rPr>
              <w:sz w:val="21"/>
              <w:szCs w:val="21"/>
            </w:rPr>
            <w:tab/>
          </w:r>
          <w:r>
            <w:rPr>
              <w:spacing w:val="-72"/>
              <w:sz w:val="21"/>
              <w:szCs w:val="21"/>
            </w:rPr>
            <w:t xml:space="preserve"> </w:t>
          </w:r>
          <w:r>
            <w:rPr>
              <w:rFonts w:ascii="Times New Roman" w:hAnsi="Times New Roman" w:eastAsia="Times New Roman" w:cs="Times New Roman"/>
              <w:spacing w:val="-3"/>
              <w:sz w:val="21"/>
              <w:szCs w:val="21"/>
            </w:rPr>
            <w:t>59</w:t>
          </w:r>
          <w:r>
            <w:rPr>
              <w:rFonts w:ascii="Times New Roman" w:hAnsi="Times New Roman" w:eastAsia="Times New Roman" w:cs="Times New Roman"/>
              <w:spacing w:val="-3"/>
              <w:sz w:val="21"/>
              <w:szCs w:val="21"/>
            </w:rPr>
            <w:fldChar w:fldCharType="end"/>
          </w:r>
        </w:p>
        <w:p w14:paraId="5F537D44">
          <w:pPr>
            <w:pStyle w:val="2"/>
            <w:tabs>
              <w:tab w:val="right" w:leader="dot" w:pos="9042"/>
            </w:tabs>
            <w:spacing w:before="81" w:line="220" w:lineRule="auto"/>
            <w:ind w:left="413"/>
            <w:rPr>
              <w:rFonts w:ascii="Times New Roman" w:hAnsi="Times New Roman" w:eastAsia="Times New Roman" w:cs="Times New Roman"/>
              <w:sz w:val="21"/>
              <w:szCs w:val="21"/>
            </w:rPr>
          </w:pPr>
          <w:r>
            <w:fldChar w:fldCharType="begin"/>
          </w:r>
          <w:r>
            <w:instrText xml:space="preserve"> HYPERLINK \l "bookmark91" </w:instrText>
          </w:r>
          <w:r>
            <w:fldChar w:fldCharType="separate"/>
          </w:r>
          <w:r>
            <w:rPr>
              <w:rFonts w:ascii="Times New Roman" w:hAnsi="Times New Roman" w:eastAsia="Times New Roman" w:cs="Times New Roman"/>
              <w:spacing w:val="-14"/>
              <w:sz w:val="21"/>
              <w:szCs w:val="21"/>
            </w:rPr>
            <w:t>1.</w:t>
          </w:r>
          <w:r>
            <w:rPr>
              <w:rFonts w:ascii="Times New Roman" w:hAnsi="Times New Roman" w:eastAsia="Times New Roman" w:cs="Times New Roman"/>
              <w:spacing w:val="9"/>
              <w:sz w:val="21"/>
              <w:szCs w:val="21"/>
            </w:rPr>
            <w:t xml:space="preserve">   </w:t>
          </w:r>
          <w:r>
            <w:rPr>
              <w:spacing w:val="-14"/>
              <w:sz w:val="21"/>
              <w:szCs w:val="21"/>
            </w:rPr>
            <w:t>评标方法</w:t>
          </w:r>
          <w:r>
            <w:rPr>
              <w:spacing w:val="25"/>
              <w:sz w:val="21"/>
              <w:szCs w:val="21"/>
            </w:rPr>
            <w:t xml:space="preserve"> </w:t>
          </w:r>
          <w:r>
            <w:rPr>
              <w:sz w:val="21"/>
              <w:szCs w:val="21"/>
            </w:rPr>
            <w:tab/>
          </w:r>
          <w:r>
            <w:rPr>
              <w:spacing w:val="-21"/>
              <w:sz w:val="21"/>
              <w:szCs w:val="21"/>
            </w:rPr>
            <w:t xml:space="preserve"> </w:t>
          </w:r>
          <w:r>
            <w:rPr>
              <w:rFonts w:ascii="Times New Roman" w:hAnsi="Times New Roman" w:eastAsia="Times New Roman" w:cs="Times New Roman"/>
              <w:spacing w:val="-3"/>
              <w:sz w:val="21"/>
              <w:szCs w:val="21"/>
            </w:rPr>
            <w:t>59</w:t>
          </w:r>
          <w:r>
            <w:rPr>
              <w:rFonts w:ascii="Times New Roman" w:hAnsi="Times New Roman" w:eastAsia="Times New Roman" w:cs="Times New Roman"/>
              <w:spacing w:val="-3"/>
              <w:sz w:val="21"/>
              <w:szCs w:val="21"/>
            </w:rPr>
            <w:fldChar w:fldCharType="end"/>
          </w:r>
        </w:p>
        <w:p w14:paraId="38002F3D">
          <w:pPr>
            <w:pStyle w:val="2"/>
            <w:tabs>
              <w:tab w:val="right" w:leader="dot" w:pos="9054"/>
            </w:tabs>
            <w:spacing w:before="60" w:line="220" w:lineRule="auto"/>
            <w:ind w:left="413"/>
            <w:rPr>
              <w:rFonts w:ascii="Times New Roman" w:hAnsi="Times New Roman" w:eastAsia="Times New Roman" w:cs="Times New Roman"/>
              <w:sz w:val="21"/>
              <w:szCs w:val="21"/>
            </w:rPr>
          </w:pPr>
          <w:r>
            <w:fldChar w:fldCharType="begin"/>
          </w:r>
          <w:r>
            <w:instrText xml:space="preserve"> HYPERLINK \l "bookmark92" </w:instrText>
          </w:r>
          <w:r>
            <w:fldChar w:fldCharType="separate"/>
          </w:r>
          <w:r>
            <w:rPr>
              <w:rFonts w:ascii="Times New Roman" w:hAnsi="Times New Roman" w:eastAsia="Times New Roman" w:cs="Times New Roman"/>
              <w:spacing w:val="-10"/>
              <w:sz w:val="21"/>
              <w:szCs w:val="21"/>
            </w:rPr>
            <w:t>2.</w:t>
          </w:r>
          <w:r>
            <w:rPr>
              <w:rFonts w:ascii="Times New Roman" w:hAnsi="Times New Roman" w:eastAsia="Times New Roman" w:cs="Times New Roman"/>
              <w:spacing w:val="4"/>
              <w:sz w:val="21"/>
              <w:szCs w:val="21"/>
            </w:rPr>
            <w:t xml:space="preserve">   </w:t>
          </w:r>
          <w:r>
            <w:rPr>
              <w:spacing w:val="-10"/>
              <w:sz w:val="21"/>
              <w:szCs w:val="21"/>
            </w:rPr>
            <w:t>评审标准</w:t>
          </w:r>
          <w:r>
            <w:rPr>
              <w:spacing w:val="26"/>
              <w:sz w:val="21"/>
              <w:szCs w:val="21"/>
            </w:rPr>
            <w:t xml:space="preserve"> </w:t>
          </w:r>
          <w:r>
            <w:rPr>
              <w:sz w:val="21"/>
              <w:szCs w:val="21"/>
            </w:rPr>
            <w:tab/>
          </w:r>
          <w:r>
            <w:rPr>
              <w:spacing w:val="-20"/>
              <w:sz w:val="21"/>
              <w:szCs w:val="21"/>
            </w:rPr>
            <w:t xml:space="preserve"> </w:t>
          </w:r>
          <w:r>
            <w:rPr>
              <w:rFonts w:ascii="Times New Roman" w:hAnsi="Times New Roman" w:eastAsia="Times New Roman" w:cs="Times New Roman"/>
              <w:spacing w:val="-3"/>
              <w:sz w:val="21"/>
              <w:szCs w:val="21"/>
            </w:rPr>
            <w:t>60</w:t>
          </w:r>
          <w:r>
            <w:rPr>
              <w:rFonts w:ascii="Times New Roman" w:hAnsi="Times New Roman" w:eastAsia="Times New Roman" w:cs="Times New Roman"/>
              <w:spacing w:val="-3"/>
              <w:sz w:val="21"/>
              <w:szCs w:val="21"/>
            </w:rPr>
            <w:fldChar w:fldCharType="end"/>
          </w:r>
        </w:p>
        <w:p w14:paraId="6CB55B10">
          <w:pPr>
            <w:tabs>
              <w:tab w:val="right" w:leader="dot" w:pos="8284"/>
            </w:tabs>
            <w:spacing w:before="67" w:line="222" w:lineRule="auto"/>
            <w:ind w:left="823"/>
            <w:rPr>
              <w:rFonts w:ascii="Times New Roman" w:hAnsi="Times New Roman" w:eastAsia="Times New Roman" w:cs="Times New Roman"/>
              <w:sz w:val="21"/>
              <w:szCs w:val="21"/>
            </w:rPr>
          </w:pPr>
          <w:r>
            <w:fldChar w:fldCharType="begin"/>
          </w:r>
          <w:r>
            <w:instrText xml:space="preserve"> HYPERLINK \l "bookmark93" </w:instrText>
          </w:r>
          <w:r>
            <w:fldChar w:fldCharType="separate"/>
          </w:r>
          <w:r>
            <w:rPr>
              <w:rFonts w:ascii="Times New Roman" w:hAnsi="Times New Roman" w:eastAsia="Times New Roman" w:cs="Times New Roman"/>
              <w:spacing w:val="-2"/>
              <w:sz w:val="21"/>
              <w:szCs w:val="21"/>
            </w:rPr>
            <w:t>2.1</w:t>
          </w:r>
          <w:r>
            <w:rPr>
              <w:rFonts w:ascii="Times New Roman" w:hAnsi="Times New Roman" w:eastAsia="Times New Roman" w:cs="Times New Roman"/>
              <w:spacing w:val="6"/>
              <w:sz w:val="21"/>
              <w:szCs w:val="21"/>
            </w:rPr>
            <w:t xml:space="preserve">   </w:t>
          </w:r>
          <w:r>
            <w:rPr>
              <w:rFonts w:ascii="黑体" w:hAnsi="黑体" w:eastAsia="黑体" w:cs="黑体"/>
              <w:spacing w:val="-2"/>
              <w:sz w:val="21"/>
              <w:szCs w:val="21"/>
            </w:rPr>
            <w:t>初步评审标准</w:t>
          </w:r>
          <w:r>
            <w:rPr>
              <w:rFonts w:ascii="黑体" w:hAnsi="黑体" w:eastAsia="黑体" w:cs="黑体"/>
              <w:spacing w:val="-76"/>
              <w:sz w:val="21"/>
              <w:szCs w:val="21"/>
            </w:rPr>
            <w:t xml:space="preserve"> </w:t>
          </w:r>
          <w:r>
            <w:rPr>
              <w:rFonts w:ascii="黑体" w:hAnsi="黑体" w:eastAsia="黑体" w:cs="黑体"/>
              <w:sz w:val="21"/>
              <w:szCs w:val="21"/>
            </w:rPr>
            <w:tab/>
          </w:r>
          <w:r>
            <w:rPr>
              <w:rFonts w:ascii="Times New Roman" w:hAnsi="Times New Roman" w:eastAsia="Times New Roman" w:cs="Times New Roman"/>
              <w:spacing w:val="-1"/>
              <w:sz w:val="21"/>
              <w:szCs w:val="21"/>
            </w:rPr>
            <w:t>60</w:t>
          </w:r>
          <w:r>
            <w:rPr>
              <w:rFonts w:ascii="Times New Roman" w:hAnsi="Times New Roman" w:eastAsia="Times New Roman" w:cs="Times New Roman"/>
              <w:spacing w:val="-1"/>
              <w:sz w:val="21"/>
              <w:szCs w:val="21"/>
            </w:rPr>
            <w:fldChar w:fldCharType="end"/>
          </w:r>
        </w:p>
        <w:p w14:paraId="1788D2FA">
          <w:pPr>
            <w:tabs>
              <w:tab w:val="right" w:leader="dot" w:pos="8284"/>
            </w:tabs>
            <w:spacing w:before="48" w:line="222" w:lineRule="auto"/>
            <w:ind w:left="823"/>
            <w:rPr>
              <w:rFonts w:ascii="Times New Roman" w:hAnsi="Times New Roman" w:eastAsia="Times New Roman" w:cs="Times New Roman"/>
              <w:sz w:val="21"/>
              <w:szCs w:val="21"/>
            </w:rPr>
          </w:pPr>
          <w:r>
            <w:fldChar w:fldCharType="begin"/>
          </w:r>
          <w:r>
            <w:instrText xml:space="preserve"> HYPERLINK \l "bookmark94" </w:instrText>
          </w:r>
          <w:r>
            <w:fldChar w:fldCharType="separate"/>
          </w:r>
          <w:r>
            <w:rPr>
              <w:rFonts w:ascii="Times New Roman" w:hAnsi="Times New Roman" w:eastAsia="Times New Roman" w:cs="Times New Roman"/>
              <w:spacing w:val="-1"/>
              <w:sz w:val="21"/>
              <w:szCs w:val="21"/>
            </w:rPr>
            <w:t xml:space="preserve">2.2   </w:t>
          </w:r>
          <w:r>
            <w:rPr>
              <w:rFonts w:ascii="黑体" w:hAnsi="黑体" w:eastAsia="黑体" w:cs="黑体"/>
              <w:spacing w:val="-1"/>
              <w:sz w:val="21"/>
              <w:szCs w:val="21"/>
            </w:rPr>
            <w:t>分值构成与评分标准</w:t>
          </w:r>
          <w:r>
            <w:rPr>
              <w:rFonts w:ascii="黑体" w:hAnsi="黑体" w:eastAsia="黑体" w:cs="黑体"/>
              <w:spacing w:val="-71"/>
              <w:sz w:val="21"/>
              <w:szCs w:val="21"/>
            </w:rPr>
            <w:t xml:space="preserve"> </w:t>
          </w:r>
          <w:r>
            <w:rPr>
              <w:rFonts w:ascii="黑体" w:hAnsi="黑体" w:eastAsia="黑体" w:cs="黑体"/>
              <w:sz w:val="21"/>
              <w:szCs w:val="21"/>
            </w:rPr>
            <w:tab/>
          </w:r>
          <w:r>
            <w:rPr>
              <w:rFonts w:ascii="Times New Roman" w:hAnsi="Times New Roman" w:eastAsia="Times New Roman" w:cs="Times New Roman"/>
              <w:spacing w:val="-1"/>
              <w:sz w:val="21"/>
              <w:szCs w:val="21"/>
            </w:rPr>
            <w:t>60</w:t>
          </w:r>
          <w:r>
            <w:rPr>
              <w:rFonts w:ascii="Times New Roman" w:hAnsi="Times New Roman" w:eastAsia="Times New Roman" w:cs="Times New Roman"/>
              <w:spacing w:val="-1"/>
              <w:sz w:val="21"/>
              <w:szCs w:val="21"/>
            </w:rPr>
            <w:fldChar w:fldCharType="end"/>
          </w:r>
        </w:p>
        <w:p w14:paraId="3A3708A0">
          <w:pPr>
            <w:pStyle w:val="2"/>
            <w:tabs>
              <w:tab w:val="right" w:leader="dot" w:pos="9054"/>
            </w:tabs>
            <w:spacing w:before="49" w:line="220" w:lineRule="auto"/>
            <w:ind w:left="413"/>
            <w:rPr>
              <w:rFonts w:ascii="Times New Roman" w:hAnsi="Times New Roman" w:eastAsia="Times New Roman" w:cs="Times New Roman"/>
              <w:sz w:val="21"/>
              <w:szCs w:val="21"/>
            </w:rPr>
          </w:pPr>
          <w:r>
            <w:fldChar w:fldCharType="begin"/>
          </w:r>
          <w:r>
            <w:instrText xml:space="preserve"> HYPERLINK \l "bookmark95" </w:instrText>
          </w:r>
          <w:r>
            <w:fldChar w:fldCharType="separate"/>
          </w:r>
          <w:r>
            <w:rPr>
              <w:rFonts w:ascii="Times New Roman" w:hAnsi="Times New Roman" w:eastAsia="Times New Roman" w:cs="Times New Roman"/>
              <w:spacing w:val="2"/>
              <w:sz w:val="21"/>
              <w:szCs w:val="21"/>
            </w:rPr>
            <w:t>3.</w:t>
          </w:r>
          <w:r>
            <w:rPr>
              <w:rFonts w:ascii="Times New Roman" w:hAnsi="Times New Roman" w:eastAsia="Times New Roman" w:cs="Times New Roman"/>
              <w:spacing w:val="4"/>
              <w:sz w:val="21"/>
              <w:szCs w:val="21"/>
            </w:rPr>
            <w:t xml:space="preserve">   </w:t>
          </w:r>
          <w:r>
            <w:rPr>
              <w:spacing w:val="2"/>
              <w:sz w:val="21"/>
              <w:szCs w:val="21"/>
            </w:rPr>
            <w:t>评标程序</w:t>
          </w:r>
          <w:r>
            <w:rPr>
              <w:spacing w:val="-86"/>
              <w:sz w:val="21"/>
              <w:szCs w:val="21"/>
            </w:rPr>
            <w:t xml:space="preserve"> </w:t>
          </w:r>
          <w:r>
            <w:rPr>
              <w:sz w:val="21"/>
              <w:szCs w:val="21"/>
            </w:rPr>
            <w:tab/>
          </w:r>
          <w:r>
            <w:rPr>
              <w:rFonts w:ascii="Times New Roman" w:hAnsi="Times New Roman" w:eastAsia="Times New Roman" w:cs="Times New Roman"/>
              <w:spacing w:val="-1"/>
              <w:sz w:val="21"/>
              <w:szCs w:val="21"/>
            </w:rPr>
            <w:t>60</w:t>
          </w:r>
          <w:r>
            <w:rPr>
              <w:rFonts w:ascii="Times New Roman" w:hAnsi="Times New Roman" w:eastAsia="Times New Roman" w:cs="Times New Roman"/>
              <w:spacing w:val="-1"/>
              <w:sz w:val="21"/>
              <w:szCs w:val="21"/>
            </w:rPr>
            <w:fldChar w:fldCharType="end"/>
          </w:r>
        </w:p>
        <w:p w14:paraId="171D1FEF">
          <w:pPr>
            <w:tabs>
              <w:tab w:val="right" w:leader="dot" w:pos="8294"/>
            </w:tabs>
            <w:spacing w:before="78" w:line="222" w:lineRule="auto"/>
            <w:ind w:left="823"/>
            <w:rPr>
              <w:rFonts w:ascii="Times New Roman" w:hAnsi="Times New Roman" w:eastAsia="Times New Roman" w:cs="Times New Roman"/>
              <w:sz w:val="21"/>
              <w:szCs w:val="21"/>
            </w:rPr>
          </w:pPr>
          <w:r>
            <w:fldChar w:fldCharType="begin"/>
          </w:r>
          <w:r>
            <w:instrText xml:space="preserve"> HYPERLINK \l "bookmark96" </w:instrText>
          </w:r>
          <w:r>
            <w:fldChar w:fldCharType="separate"/>
          </w:r>
          <w:r>
            <w:rPr>
              <w:rFonts w:ascii="Times New Roman" w:hAnsi="Times New Roman" w:eastAsia="Times New Roman" w:cs="Times New Roman"/>
              <w:spacing w:val="-2"/>
              <w:sz w:val="21"/>
              <w:szCs w:val="21"/>
            </w:rPr>
            <w:t>3.1</w:t>
          </w:r>
          <w:r>
            <w:rPr>
              <w:rFonts w:ascii="Times New Roman" w:hAnsi="Times New Roman" w:eastAsia="Times New Roman" w:cs="Times New Roman"/>
              <w:spacing w:val="6"/>
              <w:sz w:val="21"/>
              <w:szCs w:val="21"/>
            </w:rPr>
            <w:t xml:space="preserve">   </w:t>
          </w:r>
          <w:r>
            <w:rPr>
              <w:rFonts w:ascii="黑体" w:hAnsi="黑体" w:eastAsia="黑体" w:cs="黑体"/>
              <w:spacing w:val="-2"/>
              <w:sz w:val="21"/>
              <w:szCs w:val="21"/>
            </w:rPr>
            <w:t xml:space="preserve">初步评审 </w:t>
          </w:r>
          <w:r>
            <w:rPr>
              <w:rFonts w:ascii="黑体" w:hAnsi="黑体" w:eastAsia="黑体" w:cs="黑体"/>
              <w:sz w:val="21"/>
              <w:szCs w:val="21"/>
            </w:rPr>
            <w:tab/>
          </w:r>
          <w:r>
            <w:rPr>
              <w:rFonts w:ascii="黑体" w:hAnsi="黑体" w:eastAsia="黑体" w:cs="黑体"/>
              <w:spacing w:val="-61"/>
              <w:sz w:val="21"/>
              <w:szCs w:val="21"/>
            </w:rPr>
            <w:t xml:space="preserve"> </w:t>
          </w:r>
          <w:r>
            <w:rPr>
              <w:rFonts w:ascii="Times New Roman" w:hAnsi="Times New Roman" w:eastAsia="Times New Roman" w:cs="Times New Roman"/>
              <w:spacing w:val="-3"/>
              <w:sz w:val="21"/>
              <w:szCs w:val="21"/>
            </w:rPr>
            <w:t>61</w:t>
          </w:r>
          <w:r>
            <w:rPr>
              <w:rFonts w:ascii="Times New Roman" w:hAnsi="Times New Roman" w:eastAsia="Times New Roman" w:cs="Times New Roman"/>
              <w:spacing w:val="-3"/>
              <w:sz w:val="21"/>
              <w:szCs w:val="21"/>
            </w:rPr>
            <w:fldChar w:fldCharType="end"/>
          </w:r>
        </w:p>
        <w:p w14:paraId="71D157DB">
          <w:pPr>
            <w:tabs>
              <w:tab w:val="right" w:leader="dot" w:pos="8284"/>
            </w:tabs>
            <w:spacing w:before="58" w:line="222" w:lineRule="auto"/>
            <w:ind w:left="823"/>
            <w:rPr>
              <w:rFonts w:ascii="Times New Roman" w:hAnsi="Times New Roman" w:eastAsia="Times New Roman" w:cs="Times New Roman"/>
              <w:sz w:val="21"/>
              <w:szCs w:val="21"/>
            </w:rPr>
          </w:pPr>
          <w:r>
            <w:fldChar w:fldCharType="begin"/>
          </w:r>
          <w:r>
            <w:instrText xml:space="preserve"> HYPERLINK \l "bookmark97" </w:instrText>
          </w:r>
          <w:r>
            <w:fldChar w:fldCharType="separate"/>
          </w:r>
          <w:r>
            <w:rPr>
              <w:rFonts w:ascii="Times New Roman" w:hAnsi="Times New Roman" w:eastAsia="Times New Roman" w:cs="Times New Roman"/>
              <w:spacing w:val="-6"/>
              <w:sz w:val="21"/>
              <w:szCs w:val="21"/>
            </w:rPr>
            <w:t>3.2</w:t>
          </w:r>
          <w:r>
            <w:rPr>
              <w:rFonts w:ascii="Times New Roman" w:hAnsi="Times New Roman" w:eastAsia="Times New Roman" w:cs="Times New Roman"/>
              <w:spacing w:val="6"/>
              <w:sz w:val="21"/>
              <w:szCs w:val="21"/>
            </w:rPr>
            <w:t xml:space="preserve">   </w:t>
          </w:r>
          <w:r>
            <w:rPr>
              <w:rFonts w:ascii="黑体" w:hAnsi="黑体" w:eastAsia="黑体" w:cs="黑体"/>
              <w:spacing w:val="-6"/>
              <w:sz w:val="21"/>
              <w:szCs w:val="21"/>
            </w:rPr>
            <w:t>详细评审</w:t>
          </w:r>
          <w:r>
            <w:rPr>
              <w:rFonts w:ascii="黑体" w:hAnsi="黑体" w:eastAsia="黑体" w:cs="黑体"/>
              <w:spacing w:val="18"/>
              <w:sz w:val="21"/>
              <w:szCs w:val="21"/>
            </w:rPr>
            <w:t xml:space="preserve"> </w:t>
          </w:r>
          <w:r>
            <w:rPr>
              <w:rFonts w:ascii="黑体" w:hAnsi="黑体" w:eastAsia="黑体" w:cs="黑体"/>
              <w:sz w:val="21"/>
              <w:szCs w:val="21"/>
            </w:rPr>
            <w:tab/>
          </w:r>
          <w:r>
            <w:rPr>
              <w:rFonts w:ascii="黑体" w:hAnsi="黑体" w:eastAsia="黑体" w:cs="黑体"/>
              <w:spacing w:val="-60"/>
              <w:sz w:val="21"/>
              <w:szCs w:val="21"/>
            </w:rPr>
            <w:t xml:space="preserve"> </w:t>
          </w:r>
          <w:r>
            <w:rPr>
              <w:rFonts w:ascii="Times New Roman" w:hAnsi="Times New Roman" w:eastAsia="Times New Roman" w:cs="Times New Roman"/>
              <w:spacing w:val="-3"/>
              <w:sz w:val="21"/>
              <w:szCs w:val="21"/>
            </w:rPr>
            <w:t>62</w:t>
          </w:r>
          <w:r>
            <w:rPr>
              <w:rFonts w:ascii="Times New Roman" w:hAnsi="Times New Roman" w:eastAsia="Times New Roman" w:cs="Times New Roman"/>
              <w:spacing w:val="-3"/>
              <w:sz w:val="21"/>
              <w:szCs w:val="21"/>
            </w:rPr>
            <w:fldChar w:fldCharType="end"/>
          </w:r>
        </w:p>
        <w:p w14:paraId="5DFCD9D0">
          <w:pPr>
            <w:tabs>
              <w:tab w:val="right" w:leader="dot" w:pos="8284"/>
            </w:tabs>
            <w:spacing w:before="57" w:line="222" w:lineRule="auto"/>
            <w:ind w:left="823"/>
            <w:rPr>
              <w:rFonts w:ascii="Times New Roman" w:hAnsi="Times New Roman" w:eastAsia="Times New Roman" w:cs="Times New Roman"/>
              <w:sz w:val="21"/>
              <w:szCs w:val="21"/>
            </w:rPr>
          </w:pPr>
          <w:r>
            <w:fldChar w:fldCharType="begin"/>
          </w:r>
          <w:r>
            <w:instrText xml:space="preserve"> HYPERLINK \l "bookmark98" </w:instrText>
          </w:r>
          <w:r>
            <w:fldChar w:fldCharType="separate"/>
          </w:r>
          <w:r>
            <w:rPr>
              <w:rFonts w:ascii="Times New Roman" w:hAnsi="Times New Roman" w:eastAsia="Times New Roman" w:cs="Times New Roman"/>
              <w:spacing w:val="2"/>
              <w:sz w:val="21"/>
              <w:szCs w:val="21"/>
            </w:rPr>
            <w:t xml:space="preserve">3.3   </w:t>
          </w:r>
          <w:r>
            <w:rPr>
              <w:rFonts w:ascii="黑体" w:hAnsi="黑体" w:eastAsia="黑体" w:cs="黑体"/>
              <w:spacing w:val="2"/>
              <w:sz w:val="21"/>
              <w:szCs w:val="21"/>
            </w:rPr>
            <w:t>投标文件的澄清和补正</w:t>
          </w:r>
          <w:r>
            <w:rPr>
              <w:rFonts w:ascii="黑体" w:hAnsi="黑体" w:eastAsia="黑体" w:cs="黑体"/>
              <w:spacing w:val="-88"/>
              <w:sz w:val="21"/>
              <w:szCs w:val="21"/>
            </w:rPr>
            <w:t xml:space="preserve"> </w:t>
          </w:r>
          <w:r>
            <w:rPr>
              <w:rFonts w:ascii="黑体" w:hAnsi="黑体" w:eastAsia="黑体" w:cs="黑体"/>
              <w:sz w:val="21"/>
              <w:szCs w:val="21"/>
            </w:rPr>
            <w:tab/>
          </w:r>
          <w:r>
            <w:rPr>
              <w:rFonts w:ascii="黑体" w:hAnsi="黑体" w:eastAsia="黑体" w:cs="黑体"/>
              <w:spacing w:val="-10"/>
              <w:sz w:val="21"/>
              <w:szCs w:val="21"/>
            </w:rPr>
            <w:t xml:space="preserve"> </w:t>
          </w:r>
          <w:r>
            <w:rPr>
              <w:rFonts w:ascii="Times New Roman" w:hAnsi="Times New Roman" w:eastAsia="Times New Roman" w:cs="Times New Roman"/>
              <w:spacing w:val="-3"/>
              <w:sz w:val="21"/>
              <w:szCs w:val="21"/>
            </w:rPr>
            <w:t>62</w:t>
          </w:r>
          <w:r>
            <w:rPr>
              <w:rFonts w:ascii="Times New Roman" w:hAnsi="Times New Roman" w:eastAsia="Times New Roman" w:cs="Times New Roman"/>
              <w:spacing w:val="-3"/>
              <w:sz w:val="21"/>
              <w:szCs w:val="21"/>
            </w:rPr>
            <w:fldChar w:fldCharType="end"/>
          </w:r>
        </w:p>
        <w:p w14:paraId="4FE00EA5">
          <w:pPr>
            <w:tabs>
              <w:tab w:val="right" w:leader="dot" w:pos="8284"/>
            </w:tabs>
            <w:spacing w:before="58" w:line="222" w:lineRule="auto"/>
            <w:ind w:left="823"/>
            <w:rPr>
              <w:rFonts w:ascii="Times New Roman" w:hAnsi="Times New Roman" w:eastAsia="Times New Roman" w:cs="Times New Roman"/>
              <w:sz w:val="21"/>
              <w:szCs w:val="21"/>
            </w:rPr>
          </w:pPr>
          <w:r>
            <w:fldChar w:fldCharType="begin"/>
          </w:r>
          <w:r>
            <w:instrText xml:space="preserve"> HYPERLINK \l "bookmark99" </w:instrText>
          </w:r>
          <w:r>
            <w:fldChar w:fldCharType="separate"/>
          </w:r>
          <w:r>
            <w:rPr>
              <w:rFonts w:ascii="Times New Roman" w:hAnsi="Times New Roman" w:eastAsia="Times New Roman" w:cs="Times New Roman"/>
              <w:spacing w:val="-3"/>
              <w:sz w:val="21"/>
              <w:szCs w:val="21"/>
            </w:rPr>
            <w:t>3.4</w:t>
          </w:r>
          <w:r>
            <w:rPr>
              <w:rFonts w:ascii="Times New Roman" w:hAnsi="Times New Roman" w:eastAsia="Times New Roman" w:cs="Times New Roman"/>
              <w:spacing w:val="7"/>
              <w:sz w:val="21"/>
              <w:szCs w:val="21"/>
            </w:rPr>
            <w:t xml:space="preserve">   </w:t>
          </w:r>
          <w:r>
            <w:rPr>
              <w:rFonts w:ascii="黑体" w:hAnsi="黑体" w:eastAsia="黑体" w:cs="黑体"/>
              <w:spacing w:val="-3"/>
              <w:sz w:val="21"/>
              <w:szCs w:val="21"/>
            </w:rPr>
            <w:t>评标结果</w:t>
          </w:r>
          <w:r>
            <w:rPr>
              <w:rFonts w:ascii="黑体" w:hAnsi="黑体" w:eastAsia="黑体" w:cs="黑体"/>
              <w:spacing w:val="-76"/>
              <w:sz w:val="21"/>
              <w:szCs w:val="21"/>
            </w:rPr>
            <w:t xml:space="preserve"> </w:t>
          </w:r>
          <w:r>
            <w:rPr>
              <w:rFonts w:ascii="黑体" w:hAnsi="黑体" w:eastAsia="黑体" w:cs="黑体"/>
              <w:sz w:val="21"/>
              <w:szCs w:val="21"/>
            </w:rPr>
            <w:tab/>
          </w:r>
          <w:r>
            <w:rPr>
              <w:rFonts w:ascii="Times New Roman" w:hAnsi="Times New Roman" w:eastAsia="Times New Roman" w:cs="Times New Roman"/>
              <w:spacing w:val="-1"/>
              <w:sz w:val="21"/>
              <w:szCs w:val="21"/>
            </w:rPr>
            <w:t>62</w:t>
          </w:r>
          <w:r>
            <w:rPr>
              <w:rFonts w:ascii="Times New Roman" w:hAnsi="Times New Roman" w:eastAsia="Times New Roman" w:cs="Times New Roman"/>
              <w:spacing w:val="-1"/>
              <w:sz w:val="21"/>
              <w:szCs w:val="21"/>
            </w:rPr>
            <w:fldChar w:fldCharType="end"/>
          </w:r>
        </w:p>
        <w:p w14:paraId="76BA1A08">
          <w:pPr>
            <w:pStyle w:val="2"/>
            <w:tabs>
              <w:tab w:val="right" w:leader="dot" w:pos="9054"/>
            </w:tabs>
            <w:spacing w:before="47" w:line="219" w:lineRule="auto"/>
            <w:ind w:left="413"/>
            <w:rPr>
              <w:rFonts w:ascii="Times New Roman" w:hAnsi="Times New Roman" w:eastAsia="Times New Roman" w:cs="Times New Roman"/>
              <w:sz w:val="21"/>
              <w:szCs w:val="21"/>
            </w:rPr>
          </w:pPr>
          <w:r>
            <w:fldChar w:fldCharType="begin"/>
          </w:r>
          <w:r>
            <w:instrText xml:space="preserve"> HYPERLINK \l "bookmark100" </w:instrText>
          </w:r>
          <w:r>
            <w:fldChar w:fldCharType="separate"/>
          </w:r>
          <w:r>
            <w:rPr>
              <w:spacing w:val="12"/>
              <w:sz w:val="21"/>
              <w:szCs w:val="21"/>
            </w:rPr>
            <w:t>附件</w:t>
          </w:r>
          <w:r>
            <w:rPr>
              <w:rFonts w:ascii="Times New Roman" w:hAnsi="Times New Roman" w:eastAsia="Times New Roman" w:cs="Times New Roman"/>
              <w:spacing w:val="12"/>
              <w:sz w:val="21"/>
              <w:szCs w:val="21"/>
            </w:rPr>
            <w:t>A</w:t>
          </w:r>
          <w:r>
            <w:rPr>
              <w:spacing w:val="12"/>
              <w:sz w:val="21"/>
              <w:szCs w:val="21"/>
            </w:rPr>
            <w:t>:评标详细程序</w:t>
          </w:r>
          <w:r>
            <w:rPr>
              <w:spacing w:val="-83"/>
              <w:sz w:val="21"/>
              <w:szCs w:val="21"/>
            </w:rPr>
            <w:t xml:space="preserve"> </w:t>
          </w:r>
          <w:r>
            <w:rPr>
              <w:sz w:val="21"/>
              <w:szCs w:val="21"/>
            </w:rPr>
            <w:tab/>
          </w:r>
          <w:r>
            <w:rPr>
              <w:spacing w:val="-20"/>
              <w:sz w:val="21"/>
              <w:szCs w:val="21"/>
            </w:rPr>
            <w:t xml:space="preserve"> </w:t>
          </w:r>
          <w:r>
            <w:rPr>
              <w:rFonts w:ascii="Times New Roman" w:hAnsi="Times New Roman" w:eastAsia="Times New Roman" w:cs="Times New Roman"/>
              <w:spacing w:val="-3"/>
              <w:sz w:val="21"/>
              <w:szCs w:val="21"/>
            </w:rPr>
            <w:t>63</w:t>
          </w:r>
          <w:r>
            <w:rPr>
              <w:rFonts w:ascii="Times New Roman" w:hAnsi="Times New Roman" w:eastAsia="Times New Roman" w:cs="Times New Roman"/>
              <w:spacing w:val="-3"/>
              <w:sz w:val="21"/>
              <w:szCs w:val="21"/>
            </w:rPr>
            <w:fldChar w:fldCharType="end"/>
          </w:r>
        </w:p>
        <w:p w14:paraId="28A570FD">
          <w:pPr>
            <w:tabs>
              <w:tab w:val="right" w:leader="dot" w:pos="8284"/>
            </w:tabs>
            <w:spacing w:before="81" w:line="222" w:lineRule="auto"/>
            <w:ind w:left="833"/>
            <w:rPr>
              <w:rFonts w:ascii="Times New Roman" w:hAnsi="Times New Roman" w:eastAsia="Times New Roman" w:cs="Times New Roman"/>
              <w:sz w:val="21"/>
              <w:szCs w:val="21"/>
            </w:rPr>
          </w:pPr>
          <w:r>
            <w:fldChar w:fldCharType="begin"/>
          </w:r>
          <w:r>
            <w:instrText xml:space="preserve"> HYPERLINK \l "bookmark101" </w:instrText>
          </w:r>
          <w:r>
            <w:fldChar w:fldCharType="separate"/>
          </w:r>
          <w:r>
            <w:rPr>
              <w:rFonts w:ascii="黑体" w:hAnsi="黑体" w:eastAsia="黑体" w:cs="黑体"/>
              <w:spacing w:val="5"/>
              <w:sz w:val="21"/>
              <w:szCs w:val="21"/>
            </w:rPr>
            <w:t>A0</w:t>
          </w:r>
          <w:r>
            <w:rPr>
              <w:rFonts w:ascii="黑体" w:hAnsi="黑体" w:eastAsia="黑体" w:cs="黑体"/>
              <w:spacing w:val="-61"/>
              <w:sz w:val="21"/>
              <w:szCs w:val="21"/>
            </w:rPr>
            <w:t xml:space="preserve"> </w:t>
          </w:r>
          <w:r>
            <w:rPr>
              <w:rFonts w:ascii="黑体" w:hAnsi="黑体" w:eastAsia="黑体" w:cs="黑体"/>
              <w:spacing w:val="5"/>
              <w:sz w:val="21"/>
              <w:szCs w:val="21"/>
            </w:rPr>
            <w:t>.总</w:t>
          </w:r>
          <w:r>
            <w:rPr>
              <w:rFonts w:ascii="黑体" w:hAnsi="黑体" w:eastAsia="黑体" w:cs="黑体"/>
              <w:spacing w:val="60"/>
              <w:sz w:val="21"/>
              <w:szCs w:val="21"/>
            </w:rPr>
            <w:t xml:space="preserve"> </w:t>
          </w:r>
          <w:r>
            <w:rPr>
              <w:rFonts w:ascii="黑体" w:hAnsi="黑体" w:eastAsia="黑体" w:cs="黑体"/>
              <w:spacing w:val="5"/>
              <w:sz w:val="21"/>
              <w:szCs w:val="21"/>
            </w:rPr>
            <w:t>则</w:t>
          </w:r>
          <w:r>
            <w:rPr>
              <w:rFonts w:ascii="黑体" w:hAnsi="黑体" w:eastAsia="黑体" w:cs="黑体"/>
              <w:sz w:val="21"/>
              <w:szCs w:val="21"/>
            </w:rPr>
            <w:tab/>
          </w:r>
          <w:r>
            <w:rPr>
              <w:rFonts w:ascii="Times New Roman" w:hAnsi="Times New Roman" w:eastAsia="Times New Roman" w:cs="Times New Roman"/>
              <w:spacing w:val="-2"/>
              <w:sz w:val="21"/>
              <w:szCs w:val="21"/>
            </w:rPr>
            <w:t>63</w:t>
          </w:r>
          <w:r>
            <w:rPr>
              <w:rFonts w:ascii="Times New Roman" w:hAnsi="Times New Roman" w:eastAsia="Times New Roman" w:cs="Times New Roman"/>
              <w:spacing w:val="-2"/>
              <w:sz w:val="21"/>
              <w:szCs w:val="21"/>
            </w:rPr>
            <w:fldChar w:fldCharType="end"/>
          </w:r>
        </w:p>
        <w:p w14:paraId="2E81178D">
          <w:pPr>
            <w:tabs>
              <w:tab w:val="right" w:leader="dot" w:pos="8284"/>
            </w:tabs>
            <w:spacing w:before="57" w:line="222" w:lineRule="auto"/>
            <w:ind w:left="823"/>
            <w:rPr>
              <w:rFonts w:ascii="Times New Roman" w:hAnsi="Times New Roman" w:eastAsia="Times New Roman" w:cs="Times New Roman"/>
              <w:sz w:val="21"/>
              <w:szCs w:val="21"/>
            </w:rPr>
          </w:pPr>
          <w:r>
            <w:fldChar w:fldCharType="begin"/>
          </w:r>
          <w:r>
            <w:instrText xml:space="preserve"> HYPERLINK \l "bookmark102" </w:instrText>
          </w:r>
          <w:r>
            <w:fldChar w:fldCharType="separate"/>
          </w:r>
          <w:r>
            <w:rPr>
              <w:rFonts w:ascii="Times New Roman" w:hAnsi="Times New Roman" w:eastAsia="Times New Roman" w:cs="Times New Roman"/>
              <w:spacing w:val="4"/>
              <w:sz w:val="21"/>
              <w:szCs w:val="21"/>
            </w:rPr>
            <w:t>A1.</w:t>
          </w:r>
          <w:r>
            <w:rPr>
              <w:rFonts w:ascii="黑体" w:hAnsi="黑体" w:eastAsia="黑体" w:cs="黑体"/>
              <w:spacing w:val="4"/>
              <w:sz w:val="21"/>
              <w:szCs w:val="21"/>
            </w:rPr>
            <w:t>基本程序</w:t>
          </w:r>
          <w:r>
            <w:rPr>
              <w:rFonts w:ascii="黑体" w:hAnsi="黑体" w:eastAsia="黑体" w:cs="黑体"/>
              <w:spacing w:val="-94"/>
              <w:sz w:val="21"/>
              <w:szCs w:val="21"/>
            </w:rPr>
            <w:t xml:space="preserve"> </w:t>
          </w:r>
          <w:r>
            <w:rPr>
              <w:rFonts w:ascii="黑体" w:hAnsi="黑体" w:eastAsia="黑体" w:cs="黑体"/>
              <w:sz w:val="21"/>
              <w:szCs w:val="21"/>
            </w:rPr>
            <w:tab/>
          </w:r>
          <w:r>
            <w:rPr>
              <w:rFonts w:ascii="Times New Roman" w:hAnsi="Times New Roman" w:eastAsia="Times New Roman" w:cs="Times New Roman"/>
              <w:spacing w:val="-2"/>
              <w:sz w:val="21"/>
              <w:szCs w:val="21"/>
            </w:rPr>
            <w:t>63</w:t>
          </w:r>
          <w:r>
            <w:rPr>
              <w:rFonts w:ascii="Times New Roman" w:hAnsi="Times New Roman" w:eastAsia="Times New Roman" w:cs="Times New Roman"/>
              <w:spacing w:val="-2"/>
              <w:sz w:val="21"/>
              <w:szCs w:val="21"/>
            </w:rPr>
            <w:fldChar w:fldCharType="end"/>
          </w:r>
        </w:p>
        <w:p w14:paraId="23844B11">
          <w:pPr>
            <w:tabs>
              <w:tab w:val="right" w:leader="dot" w:pos="8284"/>
            </w:tabs>
            <w:spacing w:before="58" w:line="222" w:lineRule="auto"/>
            <w:ind w:left="823"/>
            <w:rPr>
              <w:rFonts w:ascii="Times New Roman" w:hAnsi="Times New Roman" w:eastAsia="Times New Roman" w:cs="Times New Roman"/>
              <w:sz w:val="21"/>
              <w:szCs w:val="21"/>
            </w:rPr>
          </w:pPr>
          <w:r>
            <w:fldChar w:fldCharType="begin"/>
          </w:r>
          <w:r>
            <w:instrText xml:space="preserve"> HYPERLINK \l "bookmark103" </w:instrText>
          </w:r>
          <w:r>
            <w:fldChar w:fldCharType="separate"/>
          </w:r>
          <w:r>
            <w:rPr>
              <w:rFonts w:ascii="Times New Roman" w:hAnsi="Times New Roman" w:eastAsia="Times New Roman" w:cs="Times New Roman"/>
              <w:spacing w:val="2"/>
              <w:sz w:val="21"/>
              <w:szCs w:val="21"/>
            </w:rPr>
            <w:t>A2.</w:t>
          </w:r>
          <w:r>
            <w:rPr>
              <w:rFonts w:ascii="黑体" w:hAnsi="黑体" w:eastAsia="黑体" w:cs="黑体"/>
              <w:spacing w:val="2"/>
              <w:sz w:val="21"/>
              <w:szCs w:val="21"/>
            </w:rPr>
            <w:t>评标准备</w:t>
          </w:r>
          <w:r>
            <w:rPr>
              <w:rFonts w:ascii="黑体" w:hAnsi="黑体" w:eastAsia="黑体" w:cs="黑体"/>
              <w:spacing w:val="-80"/>
              <w:sz w:val="21"/>
              <w:szCs w:val="21"/>
            </w:rPr>
            <w:t xml:space="preserve"> </w:t>
          </w:r>
          <w:r>
            <w:rPr>
              <w:rFonts w:ascii="黑体" w:hAnsi="黑体" w:eastAsia="黑体" w:cs="黑体"/>
              <w:sz w:val="21"/>
              <w:szCs w:val="21"/>
            </w:rPr>
            <w:tab/>
          </w:r>
          <w:r>
            <w:rPr>
              <w:rFonts w:ascii="Times New Roman" w:hAnsi="Times New Roman" w:eastAsia="Times New Roman" w:cs="Times New Roman"/>
              <w:spacing w:val="-2"/>
              <w:sz w:val="21"/>
              <w:szCs w:val="21"/>
            </w:rPr>
            <w:t>63</w:t>
          </w:r>
          <w:r>
            <w:rPr>
              <w:rFonts w:ascii="Times New Roman" w:hAnsi="Times New Roman" w:eastAsia="Times New Roman" w:cs="Times New Roman"/>
              <w:spacing w:val="-2"/>
              <w:sz w:val="21"/>
              <w:szCs w:val="21"/>
            </w:rPr>
            <w:fldChar w:fldCharType="end"/>
          </w:r>
        </w:p>
        <w:p w14:paraId="0814565F">
          <w:pPr>
            <w:tabs>
              <w:tab w:val="right" w:leader="dot" w:pos="8284"/>
            </w:tabs>
            <w:spacing w:before="47" w:line="221" w:lineRule="auto"/>
            <w:ind w:left="823"/>
            <w:rPr>
              <w:rFonts w:ascii="Times New Roman" w:hAnsi="Times New Roman" w:eastAsia="Times New Roman" w:cs="Times New Roman"/>
              <w:sz w:val="21"/>
              <w:szCs w:val="21"/>
            </w:rPr>
          </w:pPr>
          <w:r>
            <w:fldChar w:fldCharType="begin"/>
          </w:r>
          <w:r>
            <w:instrText xml:space="preserve"> HYPERLINK \l "bookmark104" </w:instrText>
          </w:r>
          <w:r>
            <w:fldChar w:fldCharType="separate"/>
          </w:r>
          <w:r>
            <w:rPr>
              <w:rFonts w:ascii="Times New Roman" w:hAnsi="Times New Roman" w:eastAsia="Times New Roman" w:cs="Times New Roman"/>
              <w:spacing w:val="1"/>
              <w:sz w:val="21"/>
              <w:szCs w:val="21"/>
            </w:rPr>
            <w:t>A2.1</w:t>
          </w:r>
          <w:r>
            <w:rPr>
              <w:rFonts w:ascii="Times New Roman" w:hAnsi="Times New Roman" w:eastAsia="Times New Roman" w:cs="Times New Roman"/>
              <w:spacing w:val="36"/>
              <w:w w:val="101"/>
              <w:sz w:val="21"/>
              <w:szCs w:val="21"/>
            </w:rPr>
            <w:t xml:space="preserve"> </w:t>
          </w:r>
          <w:r>
            <w:rPr>
              <w:rFonts w:ascii="黑体" w:hAnsi="黑体" w:eastAsia="黑体" w:cs="黑体"/>
              <w:spacing w:val="1"/>
              <w:sz w:val="21"/>
              <w:szCs w:val="21"/>
            </w:rPr>
            <w:t>评标委员会成员签到</w:t>
          </w:r>
          <w:r>
            <w:rPr>
              <w:rFonts w:ascii="黑体" w:hAnsi="黑体" w:eastAsia="黑体" w:cs="黑体"/>
              <w:spacing w:val="-93"/>
              <w:sz w:val="21"/>
              <w:szCs w:val="21"/>
            </w:rPr>
            <w:t xml:space="preserve"> </w:t>
          </w:r>
          <w:r>
            <w:rPr>
              <w:rFonts w:ascii="黑体" w:hAnsi="黑体" w:eastAsia="黑体" w:cs="黑体"/>
              <w:sz w:val="21"/>
              <w:szCs w:val="21"/>
            </w:rPr>
            <w:tab/>
          </w:r>
          <w:r>
            <w:rPr>
              <w:rFonts w:ascii="黑体" w:hAnsi="黑体" w:eastAsia="黑体" w:cs="黑体"/>
              <w:spacing w:val="-70"/>
              <w:sz w:val="21"/>
              <w:szCs w:val="21"/>
            </w:rPr>
            <w:t xml:space="preserve"> </w:t>
          </w:r>
          <w:r>
            <w:rPr>
              <w:rFonts w:ascii="Times New Roman" w:hAnsi="Times New Roman" w:eastAsia="Times New Roman" w:cs="Times New Roman"/>
              <w:spacing w:val="-3"/>
              <w:sz w:val="21"/>
              <w:szCs w:val="21"/>
            </w:rPr>
            <w:t>63</w:t>
          </w:r>
          <w:r>
            <w:rPr>
              <w:rFonts w:ascii="Times New Roman" w:hAnsi="Times New Roman" w:eastAsia="Times New Roman" w:cs="Times New Roman"/>
              <w:spacing w:val="-3"/>
              <w:sz w:val="21"/>
              <w:szCs w:val="21"/>
            </w:rPr>
            <w:fldChar w:fldCharType="end"/>
          </w:r>
        </w:p>
        <w:p w14:paraId="6944C48B">
          <w:pPr>
            <w:tabs>
              <w:tab w:val="right" w:leader="dot" w:pos="8284"/>
            </w:tabs>
            <w:spacing w:before="58" w:line="221" w:lineRule="auto"/>
            <w:ind w:left="823"/>
            <w:rPr>
              <w:rFonts w:ascii="Times New Roman" w:hAnsi="Times New Roman" w:eastAsia="Times New Roman" w:cs="Times New Roman"/>
              <w:sz w:val="21"/>
              <w:szCs w:val="21"/>
            </w:rPr>
          </w:pPr>
          <w:r>
            <w:fldChar w:fldCharType="begin"/>
          </w:r>
          <w:r>
            <w:instrText xml:space="preserve"> HYPERLINK \l "bookmark105" </w:instrText>
          </w:r>
          <w:r>
            <w:fldChar w:fldCharType="separate"/>
          </w:r>
          <w:r>
            <w:rPr>
              <w:rFonts w:ascii="Times New Roman" w:hAnsi="Times New Roman" w:eastAsia="Times New Roman" w:cs="Times New Roman"/>
              <w:spacing w:val="3"/>
              <w:sz w:val="21"/>
              <w:szCs w:val="21"/>
            </w:rPr>
            <w:t>A2.2</w:t>
          </w:r>
          <w:r>
            <w:rPr>
              <w:rFonts w:ascii="Times New Roman" w:hAnsi="Times New Roman" w:eastAsia="Times New Roman" w:cs="Times New Roman"/>
              <w:spacing w:val="15"/>
              <w:sz w:val="21"/>
              <w:szCs w:val="21"/>
            </w:rPr>
            <w:t xml:space="preserve"> </w:t>
          </w:r>
          <w:r>
            <w:rPr>
              <w:rFonts w:ascii="黑体" w:hAnsi="黑体" w:eastAsia="黑体" w:cs="黑体"/>
              <w:spacing w:val="3"/>
              <w:sz w:val="21"/>
              <w:szCs w:val="21"/>
            </w:rPr>
            <w:t>评标委员会的分工</w:t>
          </w:r>
          <w:r>
            <w:rPr>
              <w:rFonts w:ascii="黑体" w:hAnsi="黑体" w:eastAsia="黑体" w:cs="黑体"/>
              <w:spacing w:val="-84"/>
              <w:sz w:val="21"/>
              <w:szCs w:val="21"/>
            </w:rPr>
            <w:t xml:space="preserve"> </w:t>
          </w:r>
          <w:r>
            <w:rPr>
              <w:rFonts w:ascii="黑体" w:hAnsi="黑体" w:eastAsia="黑体" w:cs="黑体"/>
              <w:sz w:val="21"/>
              <w:szCs w:val="21"/>
            </w:rPr>
            <w:tab/>
          </w:r>
          <w:r>
            <w:rPr>
              <w:rFonts w:ascii="Times New Roman" w:hAnsi="Times New Roman" w:eastAsia="Times New Roman" w:cs="Times New Roman"/>
              <w:spacing w:val="7"/>
              <w:sz w:val="21"/>
              <w:szCs w:val="21"/>
            </w:rPr>
            <w:t>63</w:t>
          </w:r>
          <w:r>
            <w:rPr>
              <w:rFonts w:ascii="Times New Roman" w:hAnsi="Times New Roman" w:eastAsia="Times New Roman" w:cs="Times New Roman"/>
              <w:spacing w:val="7"/>
              <w:sz w:val="21"/>
              <w:szCs w:val="21"/>
            </w:rPr>
            <w:fldChar w:fldCharType="end"/>
          </w:r>
        </w:p>
        <w:p w14:paraId="7D86F012">
          <w:pPr>
            <w:tabs>
              <w:tab w:val="right" w:leader="dot" w:pos="8284"/>
            </w:tabs>
            <w:spacing w:before="79" w:line="221" w:lineRule="auto"/>
            <w:ind w:left="823"/>
            <w:rPr>
              <w:rFonts w:ascii="Times New Roman" w:hAnsi="Times New Roman" w:eastAsia="Times New Roman" w:cs="Times New Roman"/>
              <w:sz w:val="21"/>
              <w:szCs w:val="21"/>
            </w:rPr>
          </w:pPr>
          <w:r>
            <w:fldChar w:fldCharType="begin"/>
          </w:r>
          <w:r>
            <w:instrText xml:space="preserve"> HYPERLINK \l "bookmark106" </w:instrText>
          </w:r>
          <w:r>
            <w:fldChar w:fldCharType="separate"/>
          </w:r>
          <w:r>
            <w:rPr>
              <w:rFonts w:ascii="Times New Roman" w:hAnsi="Times New Roman" w:eastAsia="Times New Roman" w:cs="Times New Roman"/>
              <w:spacing w:val="1"/>
              <w:sz w:val="21"/>
              <w:szCs w:val="21"/>
            </w:rPr>
            <w:t>A2.3</w:t>
          </w:r>
          <w:r>
            <w:rPr>
              <w:rFonts w:ascii="Times New Roman" w:hAnsi="Times New Roman" w:eastAsia="Times New Roman" w:cs="Times New Roman"/>
              <w:spacing w:val="30"/>
              <w:w w:val="101"/>
              <w:sz w:val="21"/>
              <w:szCs w:val="21"/>
            </w:rPr>
            <w:t xml:space="preserve"> </w:t>
          </w:r>
          <w:r>
            <w:rPr>
              <w:rFonts w:ascii="黑体" w:hAnsi="黑体" w:eastAsia="黑体" w:cs="黑体"/>
              <w:spacing w:val="1"/>
              <w:sz w:val="21"/>
              <w:szCs w:val="21"/>
            </w:rPr>
            <w:t>熟悉文件资料</w:t>
          </w:r>
          <w:r>
            <w:rPr>
              <w:rFonts w:ascii="黑体" w:hAnsi="黑体" w:eastAsia="黑体" w:cs="黑体"/>
              <w:spacing w:val="-84"/>
              <w:sz w:val="21"/>
              <w:szCs w:val="21"/>
            </w:rPr>
            <w:t xml:space="preserve"> </w:t>
          </w:r>
          <w:r>
            <w:rPr>
              <w:rFonts w:ascii="黑体" w:hAnsi="黑体" w:eastAsia="黑体" w:cs="黑体"/>
              <w:sz w:val="21"/>
              <w:szCs w:val="21"/>
            </w:rPr>
            <w:tab/>
          </w:r>
          <w:r>
            <w:rPr>
              <w:rFonts w:ascii="黑体" w:hAnsi="黑体" w:eastAsia="黑体" w:cs="黑体"/>
              <w:spacing w:val="-71"/>
              <w:sz w:val="21"/>
              <w:szCs w:val="21"/>
            </w:rPr>
            <w:t xml:space="preserve"> </w:t>
          </w:r>
          <w:r>
            <w:rPr>
              <w:rFonts w:ascii="Times New Roman" w:hAnsi="Times New Roman" w:eastAsia="Times New Roman" w:cs="Times New Roman"/>
              <w:spacing w:val="-3"/>
              <w:sz w:val="21"/>
              <w:szCs w:val="21"/>
            </w:rPr>
            <w:t>64</w:t>
          </w:r>
          <w:r>
            <w:rPr>
              <w:rFonts w:ascii="Times New Roman" w:hAnsi="Times New Roman" w:eastAsia="Times New Roman" w:cs="Times New Roman"/>
              <w:spacing w:val="-3"/>
              <w:sz w:val="21"/>
              <w:szCs w:val="21"/>
            </w:rPr>
            <w:fldChar w:fldCharType="end"/>
          </w:r>
        </w:p>
        <w:p w14:paraId="3DF39535">
          <w:pPr>
            <w:tabs>
              <w:tab w:val="right" w:leader="dot" w:pos="8284"/>
            </w:tabs>
            <w:spacing w:before="59" w:line="221" w:lineRule="auto"/>
            <w:ind w:left="823"/>
            <w:rPr>
              <w:rFonts w:ascii="Times New Roman" w:hAnsi="Times New Roman" w:eastAsia="Times New Roman" w:cs="Times New Roman"/>
              <w:sz w:val="21"/>
              <w:szCs w:val="21"/>
            </w:rPr>
          </w:pPr>
          <w:r>
            <w:fldChar w:fldCharType="begin"/>
          </w:r>
          <w:r>
            <w:instrText xml:space="preserve"> HYPERLINK \l "bookmark107" </w:instrText>
          </w:r>
          <w:r>
            <w:fldChar w:fldCharType="separate"/>
          </w:r>
          <w:r>
            <w:rPr>
              <w:rFonts w:ascii="Times New Roman" w:hAnsi="Times New Roman" w:eastAsia="Times New Roman" w:cs="Times New Roman"/>
              <w:spacing w:val="1"/>
              <w:sz w:val="21"/>
              <w:szCs w:val="21"/>
            </w:rPr>
            <w:t>A2.4</w:t>
          </w:r>
          <w:r>
            <w:rPr>
              <w:rFonts w:ascii="Times New Roman" w:hAnsi="Times New Roman" w:eastAsia="Times New Roman" w:cs="Times New Roman"/>
              <w:spacing w:val="35"/>
              <w:sz w:val="21"/>
              <w:szCs w:val="21"/>
            </w:rPr>
            <w:t xml:space="preserve"> </w:t>
          </w:r>
          <w:r>
            <w:rPr>
              <w:rFonts w:ascii="黑体" w:hAnsi="黑体" w:eastAsia="黑体" w:cs="黑体"/>
              <w:spacing w:val="1"/>
              <w:sz w:val="21"/>
              <w:szCs w:val="21"/>
            </w:rPr>
            <w:t>暗标编号(适用于对施工组织设计进行暗标评审的)</w:t>
          </w:r>
          <w:r>
            <w:rPr>
              <w:rFonts w:ascii="黑体" w:hAnsi="黑体" w:eastAsia="黑体" w:cs="黑体"/>
              <w:sz w:val="21"/>
              <w:szCs w:val="21"/>
            </w:rPr>
            <w:tab/>
          </w:r>
          <w:r>
            <w:rPr>
              <w:rFonts w:ascii="黑体" w:hAnsi="黑体" w:eastAsia="黑体" w:cs="黑体"/>
              <w:spacing w:val="-50"/>
              <w:sz w:val="21"/>
              <w:szCs w:val="21"/>
            </w:rPr>
            <w:t xml:space="preserve"> </w:t>
          </w:r>
          <w:r>
            <w:rPr>
              <w:rFonts w:ascii="Times New Roman" w:hAnsi="Times New Roman" w:eastAsia="Times New Roman" w:cs="Times New Roman"/>
              <w:spacing w:val="-3"/>
              <w:sz w:val="21"/>
              <w:szCs w:val="21"/>
            </w:rPr>
            <w:t>64</w:t>
          </w:r>
          <w:r>
            <w:rPr>
              <w:rFonts w:ascii="Times New Roman" w:hAnsi="Times New Roman" w:eastAsia="Times New Roman" w:cs="Times New Roman"/>
              <w:spacing w:val="-3"/>
              <w:sz w:val="21"/>
              <w:szCs w:val="21"/>
            </w:rPr>
            <w:fldChar w:fldCharType="end"/>
          </w:r>
        </w:p>
        <w:p w14:paraId="4095C369">
          <w:pPr>
            <w:tabs>
              <w:tab w:val="right" w:leader="dot" w:pos="8284"/>
            </w:tabs>
            <w:spacing w:before="58" w:line="221" w:lineRule="auto"/>
            <w:ind w:left="823"/>
            <w:rPr>
              <w:rFonts w:ascii="Times New Roman" w:hAnsi="Times New Roman" w:eastAsia="Times New Roman" w:cs="Times New Roman"/>
              <w:sz w:val="21"/>
              <w:szCs w:val="21"/>
            </w:rPr>
          </w:pPr>
          <w:r>
            <w:fldChar w:fldCharType="begin"/>
          </w:r>
          <w:r>
            <w:instrText xml:space="preserve"> HYPERLINK \l "bookmark108" </w:instrText>
          </w:r>
          <w:r>
            <w:fldChar w:fldCharType="separate"/>
          </w:r>
          <w:r>
            <w:rPr>
              <w:rFonts w:ascii="Times New Roman" w:hAnsi="Times New Roman" w:eastAsia="Times New Roman" w:cs="Times New Roman"/>
              <w:spacing w:val="2"/>
              <w:sz w:val="21"/>
              <w:szCs w:val="21"/>
            </w:rPr>
            <w:t>A2.5</w:t>
          </w:r>
          <w:r>
            <w:rPr>
              <w:rFonts w:ascii="Times New Roman" w:hAnsi="Times New Roman" w:eastAsia="Times New Roman" w:cs="Times New Roman"/>
              <w:spacing w:val="15"/>
              <w:sz w:val="21"/>
              <w:szCs w:val="21"/>
            </w:rPr>
            <w:t xml:space="preserve"> </w:t>
          </w:r>
          <w:r>
            <w:rPr>
              <w:rFonts w:ascii="黑体" w:hAnsi="黑体" w:eastAsia="黑体" w:cs="黑体"/>
              <w:spacing w:val="2"/>
              <w:sz w:val="21"/>
              <w:szCs w:val="21"/>
            </w:rPr>
            <w:t>对投标文件进行基础性数据分析和整</w:t>
          </w:r>
          <w:r>
            <w:rPr>
              <w:rFonts w:ascii="黑体" w:hAnsi="黑体" w:eastAsia="黑体" w:cs="黑体"/>
              <w:spacing w:val="1"/>
              <w:sz w:val="21"/>
              <w:szCs w:val="21"/>
            </w:rPr>
            <w:t>理工作(清标)</w:t>
          </w:r>
          <w:r>
            <w:rPr>
              <w:rFonts w:ascii="黑体" w:hAnsi="黑体" w:eastAsia="黑体" w:cs="黑体"/>
              <w:sz w:val="21"/>
              <w:szCs w:val="21"/>
            </w:rPr>
            <w:tab/>
          </w:r>
          <w:r>
            <w:rPr>
              <w:rFonts w:ascii="黑体" w:hAnsi="黑体" w:eastAsia="黑体" w:cs="黑体"/>
              <w:spacing w:val="-50"/>
              <w:sz w:val="21"/>
              <w:szCs w:val="21"/>
            </w:rPr>
            <w:t xml:space="preserve"> </w:t>
          </w:r>
          <w:r>
            <w:rPr>
              <w:rFonts w:ascii="Times New Roman" w:hAnsi="Times New Roman" w:eastAsia="Times New Roman" w:cs="Times New Roman"/>
              <w:spacing w:val="-3"/>
              <w:sz w:val="21"/>
              <w:szCs w:val="21"/>
            </w:rPr>
            <w:t>64</w:t>
          </w:r>
          <w:r>
            <w:rPr>
              <w:rFonts w:ascii="Times New Roman" w:hAnsi="Times New Roman" w:eastAsia="Times New Roman" w:cs="Times New Roman"/>
              <w:spacing w:val="-3"/>
              <w:sz w:val="21"/>
              <w:szCs w:val="21"/>
            </w:rPr>
            <w:fldChar w:fldCharType="end"/>
          </w:r>
        </w:p>
        <w:p w14:paraId="2A3D686E">
          <w:pPr>
            <w:tabs>
              <w:tab w:val="right" w:leader="dot" w:pos="8284"/>
            </w:tabs>
            <w:spacing w:before="59" w:line="222" w:lineRule="auto"/>
            <w:ind w:left="823"/>
            <w:rPr>
              <w:rFonts w:ascii="Times New Roman" w:hAnsi="Times New Roman" w:eastAsia="Times New Roman" w:cs="Times New Roman"/>
              <w:sz w:val="21"/>
              <w:szCs w:val="21"/>
            </w:rPr>
          </w:pPr>
          <w:r>
            <w:fldChar w:fldCharType="begin"/>
          </w:r>
          <w:r>
            <w:instrText xml:space="preserve"> HYPERLINK \l "bookmark109" </w:instrText>
          </w:r>
          <w:r>
            <w:fldChar w:fldCharType="separate"/>
          </w:r>
          <w:r>
            <w:rPr>
              <w:rFonts w:ascii="Times New Roman" w:hAnsi="Times New Roman" w:eastAsia="Times New Roman" w:cs="Times New Roman"/>
              <w:spacing w:val="6"/>
              <w:sz w:val="21"/>
              <w:szCs w:val="21"/>
            </w:rPr>
            <w:t>A3</w:t>
          </w:r>
          <w:r>
            <w:rPr>
              <w:rFonts w:ascii="黑体" w:hAnsi="黑体" w:eastAsia="黑体" w:cs="黑体"/>
              <w:spacing w:val="6"/>
              <w:sz w:val="21"/>
              <w:szCs w:val="21"/>
            </w:rPr>
            <w:t>初步评审</w:t>
          </w:r>
          <w:r>
            <w:rPr>
              <w:rFonts w:ascii="黑体" w:hAnsi="黑体" w:eastAsia="黑体" w:cs="黑体"/>
              <w:spacing w:val="-89"/>
              <w:sz w:val="21"/>
              <w:szCs w:val="21"/>
            </w:rPr>
            <w:t xml:space="preserve"> </w:t>
          </w:r>
          <w:r>
            <w:rPr>
              <w:rFonts w:ascii="黑体" w:hAnsi="黑体" w:eastAsia="黑体" w:cs="黑体"/>
              <w:sz w:val="21"/>
              <w:szCs w:val="21"/>
            </w:rPr>
            <w:tab/>
          </w:r>
          <w:r>
            <w:rPr>
              <w:rFonts w:ascii="黑体" w:hAnsi="黑体" w:eastAsia="黑体" w:cs="黑体"/>
              <w:spacing w:val="-60"/>
              <w:sz w:val="21"/>
              <w:szCs w:val="21"/>
            </w:rPr>
            <w:t xml:space="preserve"> </w:t>
          </w:r>
          <w:r>
            <w:rPr>
              <w:rFonts w:ascii="Times New Roman" w:hAnsi="Times New Roman" w:eastAsia="Times New Roman" w:cs="Times New Roman"/>
              <w:spacing w:val="-3"/>
              <w:sz w:val="21"/>
              <w:szCs w:val="21"/>
            </w:rPr>
            <w:t>65</w:t>
          </w:r>
          <w:r>
            <w:rPr>
              <w:rFonts w:ascii="Times New Roman" w:hAnsi="Times New Roman" w:eastAsia="Times New Roman" w:cs="Times New Roman"/>
              <w:spacing w:val="-3"/>
              <w:sz w:val="21"/>
              <w:szCs w:val="21"/>
            </w:rPr>
            <w:fldChar w:fldCharType="end"/>
          </w:r>
        </w:p>
        <w:p w14:paraId="725CCCF9">
          <w:pPr>
            <w:tabs>
              <w:tab w:val="right" w:leader="dot" w:pos="8284"/>
            </w:tabs>
            <w:spacing w:before="48" w:line="222" w:lineRule="auto"/>
            <w:ind w:left="823"/>
            <w:rPr>
              <w:rFonts w:ascii="Times New Roman" w:hAnsi="Times New Roman" w:eastAsia="Times New Roman" w:cs="Times New Roman"/>
              <w:sz w:val="21"/>
              <w:szCs w:val="21"/>
            </w:rPr>
          </w:pPr>
          <w:r>
            <w:fldChar w:fldCharType="begin"/>
          </w:r>
          <w:r>
            <w:instrText xml:space="preserve"> HYPERLINK \l "bookmark110" </w:instrText>
          </w:r>
          <w:r>
            <w:fldChar w:fldCharType="separate"/>
          </w:r>
          <w:r>
            <w:rPr>
              <w:rFonts w:ascii="Times New Roman" w:hAnsi="Times New Roman" w:eastAsia="Times New Roman" w:cs="Times New Roman"/>
              <w:spacing w:val="4"/>
              <w:sz w:val="21"/>
              <w:szCs w:val="21"/>
            </w:rPr>
            <w:t>A3.1</w:t>
          </w:r>
          <w:r>
            <w:rPr>
              <w:rFonts w:ascii="Times New Roman" w:hAnsi="Times New Roman" w:eastAsia="Times New Roman" w:cs="Times New Roman"/>
              <w:spacing w:val="15"/>
              <w:w w:val="101"/>
              <w:sz w:val="21"/>
              <w:szCs w:val="21"/>
            </w:rPr>
            <w:t xml:space="preserve"> </w:t>
          </w:r>
          <w:r>
            <w:rPr>
              <w:rFonts w:ascii="黑体" w:hAnsi="黑体" w:eastAsia="黑体" w:cs="黑体"/>
              <w:spacing w:val="4"/>
              <w:sz w:val="21"/>
              <w:szCs w:val="21"/>
            </w:rPr>
            <w:t>形式评审</w:t>
          </w:r>
          <w:r>
            <w:rPr>
              <w:rFonts w:ascii="黑体" w:hAnsi="黑体" w:eastAsia="黑体" w:cs="黑体"/>
              <w:spacing w:val="-91"/>
              <w:sz w:val="21"/>
              <w:szCs w:val="21"/>
            </w:rPr>
            <w:t xml:space="preserve"> </w:t>
          </w:r>
          <w:r>
            <w:rPr>
              <w:rFonts w:ascii="黑体" w:hAnsi="黑体" w:eastAsia="黑体" w:cs="黑体"/>
              <w:sz w:val="21"/>
              <w:szCs w:val="21"/>
            </w:rPr>
            <w:tab/>
          </w:r>
          <w:r>
            <w:rPr>
              <w:rFonts w:ascii="黑体" w:hAnsi="黑体" w:eastAsia="黑体" w:cs="黑体"/>
              <w:spacing w:val="-70"/>
              <w:sz w:val="21"/>
              <w:szCs w:val="21"/>
            </w:rPr>
            <w:t xml:space="preserve"> </w:t>
          </w:r>
          <w:r>
            <w:rPr>
              <w:rFonts w:ascii="Times New Roman" w:hAnsi="Times New Roman" w:eastAsia="Times New Roman" w:cs="Times New Roman"/>
              <w:spacing w:val="-3"/>
              <w:sz w:val="21"/>
              <w:szCs w:val="21"/>
            </w:rPr>
            <w:t>65</w:t>
          </w:r>
          <w:r>
            <w:rPr>
              <w:rFonts w:ascii="Times New Roman" w:hAnsi="Times New Roman" w:eastAsia="Times New Roman" w:cs="Times New Roman"/>
              <w:spacing w:val="-3"/>
              <w:sz w:val="21"/>
              <w:szCs w:val="21"/>
            </w:rPr>
            <w:fldChar w:fldCharType="end"/>
          </w:r>
        </w:p>
        <w:p w14:paraId="0AD33FD5">
          <w:pPr>
            <w:tabs>
              <w:tab w:val="right" w:leader="dot" w:pos="8284"/>
            </w:tabs>
            <w:spacing w:before="77" w:line="222" w:lineRule="auto"/>
            <w:ind w:left="823"/>
            <w:rPr>
              <w:rFonts w:ascii="Times New Roman" w:hAnsi="Times New Roman" w:eastAsia="Times New Roman" w:cs="Times New Roman"/>
              <w:sz w:val="21"/>
              <w:szCs w:val="21"/>
            </w:rPr>
          </w:pPr>
          <w:r>
            <w:fldChar w:fldCharType="begin"/>
          </w:r>
          <w:r>
            <w:instrText xml:space="preserve"> HYPERLINK \l "bookmark111" </w:instrText>
          </w:r>
          <w:r>
            <w:fldChar w:fldCharType="separate"/>
          </w:r>
          <w:r>
            <w:rPr>
              <w:rFonts w:ascii="Times New Roman" w:hAnsi="Times New Roman" w:eastAsia="Times New Roman" w:cs="Times New Roman"/>
              <w:sz w:val="21"/>
              <w:szCs w:val="21"/>
            </w:rPr>
            <w:t>A3.2</w:t>
          </w:r>
          <w:r>
            <w:rPr>
              <w:rFonts w:ascii="Times New Roman" w:hAnsi="Times New Roman" w:eastAsia="Times New Roman" w:cs="Times New Roman"/>
              <w:spacing w:val="27"/>
              <w:w w:val="101"/>
              <w:sz w:val="21"/>
              <w:szCs w:val="21"/>
            </w:rPr>
            <w:t xml:space="preserve"> </w:t>
          </w:r>
          <w:r>
            <w:rPr>
              <w:rFonts w:ascii="黑体" w:hAnsi="黑体" w:eastAsia="黑体" w:cs="黑体"/>
              <w:sz w:val="21"/>
              <w:szCs w:val="21"/>
            </w:rPr>
            <w:t>资格评审</w:t>
          </w:r>
          <w:r>
            <w:rPr>
              <w:rFonts w:ascii="黑体" w:hAnsi="黑体" w:eastAsia="黑体" w:cs="黑体"/>
              <w:spacing w:val="-91"/>
              <w:sz w:val="21"/>
              <w:szCs w:val="21"/>
            </w:rPr>
            <w:t xml:space="preserve"> </w:t>
          </w:r>
          <w:r>
            <w:rPr>
              <w:rFonts w:ascii="黑体" w:hAnsi="黑体" w:eastAsia="黑体" w:cs="黑体"/>
              <w:sz w:val="21"/>
              <w:szCs w:val="21"/>
            </w:rPr>
            <w:tab/>
          </w:r>
          <w:r>
            <w:rPr>
              <w:rFonts w:ascii="黑体" w:hAnsi="黑体" w:eastAsia="黑体" w:cs="黑体"/>
              <w:spacing w:val="-50"/>
              <w:sz w:val="21"/>
              <w:szCs w:val="21"/>
            </w:rPr>
            <w:t xml:space="preserve"> </w:t>
          </w:r>
          <w:r>
            <w:rPr>
              <w:rFonts w:ascii="Times New Roman" w:hAnsi="Times New Roman" w:eastAsia="Times New Roman" w:cs="Times New Roman"/>
              <w:spacing w:val="-3"/>
              <w:sz w:val="21"/>
              <w:szCs w:val="21"/>
            </w:rPr>
            <w:t>65</w:t>
          </w:r>
          <w:r>
            <w:rPr>
              <w:rFonts w:ascii="Times New Roman" w:hAnsi="Times New Roman" w:eastAsia="Times New Roman" w:cs="Times New Roman"/>
              <w:spacing w:val="-3"/>
              <w:sz w:val="21"/>
              <w:szCs w:val="21"/>
            </w:rPr>
            <w:fldChar w:fldCharType="end"/>
          </w:r>
        </w:p>
        <w:p w14:paraId="4CB93B5A">
          <w:pPr>
            <w:tabs>
              <w:tab w:val="right" w:leader="dot" w:pos="8284"/>
            </w:tabs>
            <w:spacing w:before="58" w:line="222" w:lineRule="auto"/>
            <w:ind w:left="823"/>
            <w:rPr>
              <w:rFonts w:ascii="Times New Roman" w:hAnsi="Times New Roman" w:eastAsia="Times New Roman" w:cs="Times New Roman"/>
              <w:sz w:val="21"/>
              <w:szCs w:val="21"/>
            </w:rPr>
          </w:pPr>
          <w:r>
            <w:fldChar w:fldCharType="begin"/>
          </w:r>
          <w:r>
            <w:instrText xml:space="preserve"> HYPERLINK \l "bookmark112" </w:instrText>
          </w:r>
          <w:r>
            <w:fldChar w:fldCharType="separate"/>
          </w:r>
          <w:r>
            <w:rPr>
              <w:rFonts w:ascii="Times New Roman" w:hAnsi="Times New Roman" w:eastAsia="Times New Roman" w:cs="Times New Roman"/>
              <w:spacing w:val="2"/>
              <w:sz w:val="21"/>
              <w:szCs w:val="21"/>
            </w:rPr>
            <w:t>A3.3</w:t>
          </w:r>
          <w:r>
            <w:rPr>
              <w:rFonts w:ascii="Times New Roman" w:hAnsi="Times New Roman" w:eastAsia="Times New Roman" w:cs="Times New Roman"/>
              <w:spacing w:val="29"/>
              <w:w w:val="101"/>
              <w:sz w:val="21"/>
              <w:szCs w:val="21"/>
            </w:rPr>
            <w:t xml:space="preserve"> </w:t>
          </w:r>
          <w:r>
            <w:rPr>
              <w:rFonts w:ascii="黑体" w:hAnsi="黑体" w:eastAsia="黑体" w:cs="黑体"/>
              <w:spacing w:val="2"/>
              <w:sz w:val="21"/>
              <w:szCs w:val="21"/>
            </w:rPr>
            <w:t>响应性评审</w:t>
          </w:r>
          <w:r>
            <w:rPr>
              <w:rFonts w:ascii="黑体" w:hAnsi="黑体" w:eastAsia="黑体" w:cs="黑体"/>
              <w:spacing w:val="-91"/>
              <w:sz w:val="21"/>
              <w:szCs w:val="21"/>
            </w:rPr>
            <w:t xml:space="preserve"> </w:t>
          </w:r>
          <w:r>
            <w:rPr>
              <w:rFonts w:ascii="黑体" w:hAnsi="黑体" w:eastAsia="黑体" w:cs="黑体"/>
              <w:sz w:val="21"/>
              <w:szCs w:val="21"/>
            </w:rPr>
            <w:tab/>
          </w:r>
          <w:r>
            <w:rPr>
              <w:rFonts w:ascii="黑体" w:hAnsi="黑体" w:eastAsia="黑体" w:cs="黑体"/>
              <w:spacing w:val="-71"/>
              <w:sz w:val="21"/>
              <w:szCs w:val="21"/>
            </w:rPr>
            <w:t xml:space="preserve"> </w:t>
          </w:r>
          <w:r>
            <w:rPr>
              <w:rFonts w:ascii="Times New Roman" w:hAnsi="Times New Roman" w:eastAsia="Times New Roman" w:cs="Times New Roman"/>
              <w:spacing w:val="-3"/>
              <w:sz w:val="21"/>
              <w:szCs w:val="21"/>
            </w:rPr>
            <w:t>65</w:t>
          </w:r>
          <w:r>
            <w:rPr>
              <w:rFonts w:ascii="Times New Roman" w:hAnsi="Times New Roman" w:eastAsia="Times New Roman" w:cs="Times New Roman"/>
              <w:spacing w:val="-3"/>
              <w:sz w:val="21"/>
              <w:szCs w:val="21"/>
            </w:rPr>
            <w:fldChar w:fldCharType="end"/>
          </w:r>
        </w:p>
        <w:p w14:paraId="0CD46A20">
          <w:pPr>
            <w:tabs>
              <w:tab w:val="right" w:leader="dot" w:pos="8284"/>
            </w:tabs>
            <w:spacing w:before="57" w:line="222" w:lineRule="auto"/>
            <w:ind w:left="823"/>
            <w:rPr>
              <w:rFonts w:ascii="Times New Roman" w:hAnsi="Times New Roman" w:eastAsia="Times New Roman" w:cs="Times New Roman"/>
              <w:sz w:val="21"/>
              <w:szCs w:val="21"/>
            </w:rPr>
          </w:pPr>
          <w:r>
            <w:fldChar w:fldCharType="begin"/>
          </w:r>
          <w:r>
            <w:instrText xml:space="preserve"> HYPERLINK \l "bookmark113" </w:instrText>
          </w:r>
          <w:r>
            <w:fldChar w:fldCharType="separate"/>
          </w:r>
          <w:r>
            <w:rPr>
              <w:rFonts w:ascii="Times New Roman" w:hAnsi="Times New Roman" w:eastAsia="Times New Roman" w:cs="Times New Roman"/>
              <w:spacing w:val="2"/>
              <w:sz w:val="21"/>
              <w:szCs w:val="21"/>
            </w:rPr>
            <w:t>A3.4</w:t>
          </w:r>
          <w:r>
            <w:rPr>
              <w:rFonts w:ascii="Times New Roman" w:hAnsi="Times New Roman" w:eastAsia="Times New Roman" w:cs="Times New Roman"/>
              <w:spacing w:val="23"/>
              <w:w w:val="101"/>
              <w:sz w:val="21"/>
              <w:szCs w:val="21"/>
            </w:rPr>
            <w:t xml:space="preserve"> </w:t>
          </w:r>
          <w:r>
            <w:rPr>
              <w:rFonts w:ascii="黑体" w:hAnsi="黑体" w:eastAsia="黑体" w:cs="黑体"/>
              <w:spacing w:val="2"/>
              <w:sz w:val="21"/>
              <w:szCs w:val="21"/>
            </w:rPr>
            <w:t>施工组织设计评审</w:t>
          </w:r>
          <w:r>
            <w:rPr>
              <w:rFonts w:ascii="黑体" w:hAnsi="黑体" w:eastAsia="黑体" w:cs="黑体"/>
              <w:spacing w:val="-91"/>
              <w:sz w:val="21"/>
              <w:szCs w:val="21"/>
            </w:rPr>
            <w:t xml:space="preserve"> </w:t>
          </w:r>
          <w:r>
            <w:rPr>
              <w:rFonts w:ascii="黑体" w:hAnsi="黑体" w:eastAsia="黑体" w:cs="黑体"/>
              <w:sz w:val="21"/>
              <w:szCs w:val="21"/>
            </w:rPr>
            <w:tab/>
          </w:r>
          <w:r>
            <w:rPr>
              <w:rFonts w:ascii="黑体" w:hAnsi="黑体" w:eastAsia="黑体" w:cs="黑体"/>
              <w:spacing w:val="-70"/>
              <w:sz w:val="21"/>
              <w:szCs w:val="21"/>
            </w:rPr>
            <w:t xml:space="preserve"> </w:t>
          </w:r>
          <w:r>
            <w:rPr>
              <w:rFonts w:ascii="Times New Roman" w:hAnsi="Times New Roman" w:eastAsia="Times New Roman" w:cs="Times New Roman"/>
              <w:spacing w:val="-3"/>
              <w:sz w:val="21"/>
              <w:szCs w:val="21"/>
            </w:rPr>
            <w:t>65</w:t>
          </w:r>
          <w:r>
            <w:rPr>
              <w:rFonts w:ascii="Times New Roman" w:hAnsi="Times New Roman" w:eastAsia="Times New Roman" w:cs="Times New Roman"/>
              <w:spacing w:val="-3"/>
              <w:sz w:val="21"/>
              <w:szCs w:val="21"/>
            </w:rPr>
            <w:fldChar w:fldCharType="end"/>
          </w:r>
        </w:p>
        <w:p w14:paraId="79EC1A23">
          <w:pPr>
            <w:tabs>
              <w:tab w:val="right" w:leader="dot" w:pos="8284"/>
            </w:tabs>
            <w:spacing w:before="48" w:line="222" w:lineRule="auto"/>
            <w:ind w:left="823"/>
            <w:rPr>
              <w:rFonts w:ascii="Times New Roman" w:hAnsi="Times New Roman" w:eastAsia="Times New Roman" w:cs="Times New Roman"/>
              <w:sz w:val="21"/>
              <w:szCs w:val="21"/>
            </w:rPr>
          </w:pPr>
          <w:r>
            <w:fldChar w:fldCharType="begin"/>
          </w:r>
          <w:r>
            <w:instrText xml:space="preserve"> HYPERLINK \l "bookmark114" </w:instrText>
          </w:r>
          <w:r>
            <w:fldChar w:fldCharType="separate"/>
          </w:r>
          <w:r>
            <w:rPr>
              <w:rFonts w:ascii="Times New Roman" w:hAnsi="Times New Roman" w:eastAsia="Times New Roman" w:cs="Times New Roman"/>
              <w:spacing w:val="2"/>
              <w:sz w:val="21"/>
              <w:szCs w:val="21"/>
            </w:rPr>
            <w:t>A3.5</w:t>
          </w:r>
          <w:r>
            <w:rPr>
              <w:rFonts w:ascii="Times New Roman" w:hAnsi="Times New Roman" w:eastAsia="Times New Roman" w:cs="Times New Roman"/>
              <w:spacing w:val="28"/>
              <w:w w:val="101"/>
              <w:sz w:val="21"/>
              <w:szCs w:val="21"/>
            </w:rPr>
            <w:t xml:space="preserve"> </w:t>
          </w:r>
          <w:r>
            <w:rPr>
              <w:rFonts w:ascii="黑体" w:hAnsi="黑体" w:eastAsia="黑体" w:cs="黑体"/>
              <w:spacing w:val="2"/>
              <w:sz w:val="21"/>
              <w:szCs w:val="21"/>
            </w:rPr>
            <w:t>算术错误修正</w:t>
          </w:r>
          <w:r>
            <w:rPr>
              <w:rFonts w:ascii="黑体" w:hAnsi="黑体" w:eastAsia="黑体" w:cs="黑体"/>
              <w:spacing w:val="-92"/>
              <w:sz w:val="21"/>
              <w:szCs w:val="21"/>
            </w:rPr>
            <w:t xml:space="preserve"> </w:t>
          </w:r>
          <w:r>
            <w:rPr>
              <w:rFonts w:ascii="黑体" w:hAnsi="黑体" w:eastAsia="黑体" w:cs="黑体"/>
              <w:sz w:val="21"/>
              <w:szCs w:val="21"/>
            </w:rPr>
            <w:tab/>
          </w:r>
          <w:r>
            <w:rPr>
              <w:rFonts w:ascii="黑体" w:hAnsi="黑体" w:eastAsia="黑体" w:cs="黑体"/>
              <w:spacing w:val="-71"/>
              <w:sz w:val="21"/>
              <w:szCs w:val="21"/>
            </w:rPr>
            <w:t xml:space="preserve"> </w:t>
          </w:r>
          <w:r>
            <w:rPr>
              <w:rFonts w:ascii="Times New Roman" w:hAnsi="Times New Roman" w:eastAsia="Times New Roman" w:cs="Times New Roman"/>
              <w:spacing w:val="-3"/>
              <w:sz w:val="21"/>
              <w:szCs w:val="21"/>
            </w:rPr>
            <w:t>65</w:t>
          </w:r>
          <w:r>
            <w:rPr>
              <w:rFonts w:ascii="Times New Roman" w:hAnsi="Times New Roman" w:eastAsia="Times New Roman" w:cs="Times New Roman"/>
              <w:spacing w:val="-3"/>
              <w:sz w:val="21"/>
              <w:szCs w:val="21"/>
            </w:rPr>
            <w:fldChar w:fldCharType="end"/>
          </w:r>
        </w:p>
        <w:p w14:paraId="2F107C2D">
          <w:pPr>
            <w:tabs>
              <w:tab w:val="right" w:leader="dot" w:pos="8284"/>
            </w:tabs>
            <w:spacing w:before="77" w:line="222" w:lineRule="auto"/>
            <w:ind w:left="823"/>
            <w:rPr>
              <w:rFonts w:ascii="Times New Roman" w:hAnsi="Times New Roman" w:eastAsia="Times New Roman" w:cs="Times New Roman"/>
              <w:sz w:val="21"/>
              <w:szCs w:val="21"/>
            </w:rPr>
          </w:pPr>
          <w:r>
            <w:fldChar w:fldCharType="begin"/>
          </w:r>
          <w:r>
            <w:instrText xml:space="preserve"> HYPERLINK \l "bookmark115" </w:instrText>
          </w:r>
          <w:r>
            <w:fldChar w:fldCharType="separate"/>
          </w:r>
          <w:r>
            <w:rPr>
              <w:rFonts w:ascii="Times New Roman" w:hAnsi="Times New Roman" w:eastAsia="Times New Roman" w:cs="Times New Roman"/>
              <w:spacing w:val="1"/>
              <w:sz w:val="21"/>
              <w:szCs w:val="21"/>
            </w:rPr>
            <w:t xml:space="preserve">A3.6  </w:t>
          </w:r>
          <w:r>
            <w:rPr>
              <w:rFonts w:ascii="黑体" w:hAnsi="黑体" w:eastAsia="黑体" w:cs="黑体"/>
              <w:spacing w:val="1"/>
              <w:sz w:val="21"/>
              <w:szCs w:val="21"/>
            </w:rPr>
            <w:t>判断投标报价是否低于成本</w:t>
          </w:r>
          <w:r>
            <w:rPr>
              <w:rFonts w:ascii="黑体" w:hAnsi="黑体" w:eastAsia="黑体" w:cs="黑体"/>
              <w:spacing w:val="-74"/>
              <w:sz w:val="21"/>
              <w:szCs w:val="21"/>
            </w:rPr>
            <w:t xml:space="preserve"> </w:t>
          </w:r>
          <w:r>
            <w:rPr>
              <w:rFonts w:ascii="黑体" w:hAnsi="黑体" w:eastAsia="黑体" w:cs="黑体"/>
              <w:sz w:val="21"/>
              <w:szCs w:val="21"/>
            </w:rPr>
            <w:tab/>
          </w:r>
          <w:r>
            <w:rPr>
              <w:rFonts w:ascii="Times New Roman" w:hAnsi="Times New Roman" w:eastAsia="Times New Roman" w:cs="Times New Roman"/>
              <w:spacing w:val="-4"/>
              <w:sz w:val="21"/>
              <w:szCs w:val="21"/>
            </w:rPr>
            <w:t>65</w:t>
          </w:r>
          <w:r>
            <w:rPr>
              <w:rFonts w:ascii="Times New Roman" w:hAnsi="Times New Roman" w:eastAsia="Times New Roman" w:cs="Times New Roman"/>
              <w:spacing w:val="-4"/>
              <w:sz w:val="21"/>
              <w:szCs w:val="21"/>
            </w:rPr>
            <w:fldChar w:fldCharType="end"/>
          </w:r>
        </w:p>
        <w:p w14:paraId="06FE147F">
          <w:pPr>
            <w:tabs>
              <w:tab w:val="right" w:leader="dot" w:pos="8284"/>
            </w:tabs>
            <w:spacing w:before="59" w:line="222" w:lineRule="auto"/>
            <w:ind w:left="823"/>
            <w:rPr>
              <w:rFonts w:ascii="Times New Roman" w:hAnsi="Times New Roman" w:eastAsia="Times New Roman" w:cs="Times New Roman"/>
              <w:sz w:val="21"/>
              <w:szCs w:val="21"/>
            </w:rPr>
          </w:pPr>
          <w:r>
            <w:fldChar w:fldCharType="begin"/>
          </w:r>
          <w:r>
            <w:instrText xml:space="preserve"> HYPERLINK \l "bookmark116" </w:instrText>
          </w:r>
          <w:r>
            <w:fldChar w:fldCharType="separate"/>
          </w:r>
          <w:r>
            <w:rPr>
              <w:rFonts w:ascii="Times New Roman" w:hAnsi="Times New Roman" w:eastAsia="Times New Roman" w:cs="Times New Roman"/>
              <w:spacing w:val="1"/>
              <w:sz w:val="21"/>
              <w:szCs w:val="21"/>
            </w:rPr>
            <w:t xml:space="preserve">A3.7  </w:t>
          </w:r>
          <w:r>
            <w:rPr>
              <w:rFonts w:ascii="黑体" w:hAnsi="黑体" w:eastAsia="黑体" w:cs="黑体"/>
              <w:spacing w:val="1"/>
              <w:sz w:val="21"/>
              <w:szCs w:val="21"/>
            </w:rPr>
            <w:t>判断投标是否为应当被否决</w:t>
          </w:r>
          <w:r>
            <w:rPr>
              <w:rFonts w:ascii="黑体" w:hAnsi="黑体" w:eastAsia="黑体" w:cs="黑体"/>
              <w:spacing w:val="-74"/>
              <w:sz w:val="21"/>
              <w:szCs w:val="21"/>
            </w:rPr>
            <w:t xml:space="preserve"> </w:t>
          </w:r>
          <w:r>
            <w:rPr>
              <w:rFonts w:ascii="黑体" w:hAnsi="黑体" w:eastAsia="黑体" w:cs="黑体"/>
              <w:sz w:val="21"/>
              <w:szCs w:val="21"/>
            </w:rPr>
            <w:tab/>
          </w:r>
          <w:r>
            <w:rPr>
              <w:rFonts w:ascii="Times New Roman" w:hAnsi="Times New Roman" w:eastAsia="Times New Roman" w:cs="Times New Roman"/>
              <w:spacing w:val="-4"/>
              <w:sz w:val="21"/>
              <w:szCs w:val="21"/>
            </w:rPr>
            <w:t>66</w:t>
          </w:r>
          <w:r>
            <w:rPr>
              <w:rFonts w:ascii="Times New Roman" w:hAnsi="Times New Roman" w:eastAsia="Times New Roman" w:cs="Times New Roman"/>
              <w:spacing w:val="-4"/>
              <w:sz w:val="21"/>
              <w:szCs w:val="21"/>
            </w:rPr>
            <w:fldChar w:fldCharType="end"/>
          </w:r>
        </w:p>
        <w:p w14:paraId="1E86127A">
          <w:pPr>
            <w:tabs>
              <w:tab w:val="right" w:leader="dot" w:pos="8284"/>
            </w:tabs>
            <w:spacing w:before="55" w:line="221" w:lineRule="auto"/>
            <w:ind w:left="823"/>
            <w:rPr>
              <w:rFonts w:ascii="Times New Roman" w:hAnsi="Times New Roman" w:eastAsia="Times New Roman" w:cs="Times New Roman"/>
              <w:sz w:val="21"/>
              <w:szCs w:val="21"/>
            </w:rPr>
          </w:pPr>
          <w:r>
            <w:fldChar w:fldCharType="begin"/>
          </w:r>
          <w:r>
            <w:instrText xml:space="preserve"> HYPERLINK \l "bookmark117" </w:instrText>
          </w:r>
          <w:r>
            <w:fldChar w:fldCharType="separate"/>
          </w:r>
          <w:r>
            <w:rPr>
              <w:rFonts w:ascii="Times New Roman" w:hAnsi="Times New Roman" w:eastAsia="Times New Roman" w:cs="Times New Roman"/>
              <w:spacing w:val="1"/>
              <w:sz w:val="21"/>
              <w:szCs w:val="21"/>
            </w:rPr>
            <w:t xml:space="preserve">A3.8  </w:t>
          </w:r>
          <w:r>
            <w:rPr>
              <w:rFonts w:ascii="黑体" w:hAnsi="黑体" w:eastAsia="黑体" w:cs="黑体"/>
              <w:spacing w:val="1"/>
              <w:sz w:val="21"/>
              <w:szCs w:val="21"/>
            </w:rPr>
            <w:t>澄清、说明或补正</w:t>
          </w:r>
          <w:r>
            <w:rPr>
              <w:rFonts w:ascii="黑体" w:hAnsi="黑体" w:eastAsia="黑体" w:cs="黑体"/>
              <w:spacing w:val="-80"/>
              <w:sz w:val="21"/>
              <w:szCs w:val="21"/>
            </w:rPr>
            <w:t xml:space="preserve"> </w:t>
          </w:r>
          <w:r>
            <w:rPr>
              <w:rFonts w:ascii="黑体" w:hAnsi="黑体" w:eastAsia="黑体" w:cs="黑体"/>
              <w:sz w:val="21"/>
              <w:szCs w:val="21"/>
            </w:rPr>
            <w:tab/>
          </w:r>
          <w:r>
            <w:rPr>
              <w:rFonts w:ascii="Times New Roman" w:hAnsi="Times New Roman" w:eastAsia="Times New Roman" w:cs="Times New Roman"/>
              <w:spacing w:val="-2"/>
              <w:sz w:val="21"/>
              <w:szCs w:val="21"/>
            </w:rPr>
            <w:t>66</w:t>
          </w:r>
          <w:r>
            <w:rPr>
              <w:rFonts w:ascii="Times New Roman" w:hAnsi="Times New Roman" w:eastAsia="Times New Roman" w:cs="Times New Roman"/>
              <w:spacing w:val="-2"/>
              <w:sz w:val="21"/>
              <w:szCs w:val="21"/>
            </w:rPr>
            <w:fldChar w:fldCharType="end"/>
          </w:r>
        </w:p>
        <w:p w14:paraId="1FA66B7D">
          <w:pPr>
            <w:tabs>
              <w:tab w:val="right" w:leader="dot" w:pos="8284"/>
            </w:tabs>
            <w:spacing w:before="60" w:line="222" w:lineRule="auto"/>
            <w:ind w:left="823"/>
            <w:rPr>
              <w:rFonts w:ascii="Times New Roman" w:hAnsi="Times New Roman" w:eastAsia="Times New Roman" w:cs="Times New Roman"/>
              <w:sz w:val="21"/>
              <w:szCs w:val="21"/>
            </w:rPr>
          </w:pPr>
          <w:r>
            <w:fldChar w:fldCharType="begin"/>
          </w:r>
          <w:r>
            <w:instrText xml:space="preserve"> HYPERLINK \l "bookmark118" </w:instrText>
          </w:r>
          <w:r>
            <w:fldChar w:fldCharType="separate"/>
          </w:r>
          <w:r>
            <w:rPr>
              <w:rFonts w:ascii="Times New Roman" w:hAnsi="Times New Roman" w:eastAsia="Times New Roman" w:cs="Times New Roman"/>
              <w:spacing w:val="-1"/>
              <w:sz w:val="21"/>
              <w:szCs w:val="21"/>
            </w:rPr>
            <w:t xml:space="preserve">A4.  </w:t>
          </w:r>
          <w:r>
            <w:rPr>
              <w:rFonts w:ascii="黑体" w:hAnsi="黑体" w:eastAsia="黑体" w:cs="黑体"/>
              <w:spacing w:val="-1"/>
              <w:sz w:val="21"/>
              <w:szCs w:val="21"/>
            </w:rPr>
            <w:t>详细评审</w:t>
          </w:r>
          <w:r>
            <w:rPr>
              <w:rFonts w:ascii="黑体" w:hAnsi="黑体" w:eastAsia="黑体" w:cs="黑体"/>
              <w:spacing w:val="28"/>
              <w:sz w:val="21"/>
              <w:szCs w:val="21"/>
            </w:rPr>
            <w:t xml:space="preserve"> </w:t>
          </w:r>
          <w:r>
            <w:rPr>
              <w:rFonts w:ascii="黑体" w:hAnsi="黑体" w:eastAsia="黑体" w:cs="黑体"/>
              <w:sz w:val="21"/>
              <w:szCs w:val="21"/>
            </w:rPr>
            <w:tab/>
          </w:r>
          <w:r>
            <w:rPr>
              <w:rFonts w:ascii="Times New Roman" w:hAnsi="Times New Roman" w:eastAsia="Times New Roman" w:cs="Times New Roman"/>
              <w:spacing w:val="7"/>
              <w:sz w:val="21"/>
              <w:szCs w:val="21"/>
            </w:rPr>
            <w:t>66</w:t>
          </w:r>
          <w:r>
            <w:rPr>
              <w:rFonts w:ascii="Times New Roman" w:hAnsi="Times New Roman" w:eastAsia="Times New Roman" w:cs="Times New Roman"/>
              <w:spacing w:val="7"/>
              <w:sz w:val="21"/>
              <w:szCs w:val="21"/>
            </w:rPr>
            <w:fldChar w:fldCharType="end"/>
          </w:r>
        </w:p>
        <w:p w14:paraId="23E66C8C">
          <w:pPr>
            <w:tabs>
              <w:tab w:val="right" w:leader="dot" w:pos="8284"/>
            </w:tabs>
            <w:spacing w:before="47" w:line="222" w:lineRule="auto"/>
            <w:ind w:left="823"/>
            <w:rPr>
              <w:rFonts w:ascii="Times New Roman" w:hAnsi="Times New Roman" w:eastAsia="Times New Roman" w:cs="Times New Roman"/>
              <w:sz w:val="21"/>
              <w:szCs w:val="21"/>
            </w:rPr>
          </w:pPr>
          <w:r>
            <w:fldChar w:fldCharType="begin"/>
          </w:r>
          <w:r>
            <w:instrText xml:space="preserve"> HYPERLINK \l "bookmark119" </w:instrText>
          </w:r>
          <w:r>
            <w:fldChar w:fldCharType="separate"/>
          </w:r>
          <w:r>
            <w:rPr>
              <w:rFonts w:ascii="Times New Roman" w:hAnsi="Times New Roman" w:eastAsia="Times New Roman" w:cs="Times New Roman"/>
              <w:spacing w:val="1"/>
              <w:sz w:val="21"/>
              <w:szCs w:val="21"/>
            </w:rPr>
            <w:t>A4.1</w:t>
          </w:r>
          <w:r>
            <w:rPr>
              <w:rFonts w:ascii="Times New Roman" w:hAnsi="Times New Roman" w:eastAsia="Times New Roman" w:cs="Times New Roman"/>
              <w:spacing w:val="34"/>
              <w:sz w:val="21"/>
              <w:szCs w:val="21"/>
            </w:rPr>
            <w:t xml:space="preserve"> </w:t>
          </w:r>
          <w:r>
            <w:rPr>
              <w:rFonts w:ascii="黑体" w:hAnsi="黑体" w:eastAsia="黑体" w:cs="黑体"/>
              <w:spacing w:val="1"/>
              <w:sz w:val="21"/>
              <w:szCs w:val="21"/>
            </w:rPr>
            <w:t>详细评审的程序</w:t>
          </w:r>
          <w:r>
            <w:rPr>
              <w:rFonts w:ascii="黑体" w:hAnsi="黑体" w:eastAsia="黑体" w:cs="黑体"/>
              <w:spacing w:val="-88"/>
              <w:sz w:val="21"/>
              <w:szCs w:val="21"/>
            </w:rPr>
            <w:t xml:space="preserve"> </w:t>
          </w:r>
          <w:r>
            <w:rPr>
              <w:rFonts w:ascii="黑体" w:hAnsi="黑体" w:eastAsia="黑体" w:cs="黑体"/>
              <w:sz w:val="21"/>
              <w:szCs w:val="21"/>
            </w:rPr>
            <w:tab/>
          </w:r>
          <w:r>
            <w:rPr>
              <w:rFonts w:ascii="黑体" w:hAnsi="黑体" w:eastAsia="黑体" w:cs="黑体"/>
              <w:spacing w:val="-70"/>
              <w:sz w:val="21"/>
              <w:szCs w:val="21"/>
            </w:rPr>
            <w:t xml:space="preserve"> </w:t>
          </w:r>
          <w:r>
            <w:rPr>
              <w:rFonts w:ascii="Times New Roman" w:hAnsi="Times New Roman" w:eastAsia="Times New Roman" w:cs="Times New Roman"/>
              <w:spacing w:val="-3"/>
              <w:sz w:val="21"/>
              <w:szCs w:val="21"/>
            </w:rPr>
            <w:t>66</w:t>
          </w:r>
          <w:r>
            <w:rPr>
              <w:rFonts w:ascii="Times New Roman" w:hAnsi="Times New Roman" w:eastAsia="Times New Roman" w:cs="Times New Roman"/>
              <w:spacing w:val="-3"/>
              <w:sz w:val="21"/>
              <w:szCs w:val="21"/>
            </w:rPr>
            <w:fldChar w:fldCharType="end"/>
          </w:r>
        </w:p>
        <w:p w14:paraId="0174DDFA">
          <w:pPr>
            <w:tabs>
              <w:tab w:val="right" w:leader="dot" w:pos="8284"/>
            </w:tabs>
            <w:spacing w:before="78" w:line="222" w:lineRule="auto"/>
            <w:ind w:left="823"/>
            <w:rPr>
              <w:rFonts w:ascii="Times New Roman" w:hAnsi="Times New Roman" w:eastAsia="Times New Roman" w:cs="Times New Roman"/>
              <w:sz w:val="21"/>
              <w:szCs w:val="21"/>
            </w:rPr>
          </w:pPr>
          <w:r>
            <w:fldChar w:fldCharType="begin"/>
          </w:r>
          <w:r>
            <w:instrText xml:space="preserve"> HYPERLINK \l "bookmark120" </w:instrText>
          </w:r>
          <w:r>
            <w:fldChar w:fldCharType="separate"/>
          </w:r>
          <w:r>
            <w:rPr>
              <w:rFonts w:ascii="Times New Roman" w:hAnsi="Times New Roman" w:eastAsia="Times New Roman" w:cs="Times New Roman"/>
              <w:spacing w:val="1"/>
              <w:sz w:val="21"/>
              <w:szCs w:val="21"/>
            </w:rPr>
            <w:t>A4.2</w:t>
          </w:r>
          <w:r>
            <w:rPr>
              <w:rFonts w:ascii="Times New Roman" w:hAnsi="Times New Roman" w:eastAsia="Times New Roman" w:cs="Times New Roman"/>
              <w:spacing w:val="26"/>
              <w:w w:val="101"/>
              <w:sz w:val="21"/>
              <w:szCs w:val="21"/>
            </w:rPr>
            <w:t xml:space="preserve"> </w:t>
          </w:r>
          <w:r>
            <w:rPr>
              <w:rFonts w:ascii="黑体" w:hAnsi="黑体" w:eastAsia="黑体" w:cs="黑体"/>
              <w:spacing w:val="1"/>
              <w:sz w:val="21"/>
              <w:szCs w:val="21"/>
            </w:rPr>
            <w:t>投标报价评审和评分</w:t>
          </w:r>
          <w:r>
            <w:rPr>
              <w:rFonts w:ascii="黑体" w:hAnsi="黑体" w:eastAsia="黑体" w:cs="黑体"/>
              <w:spacing w:val="-83"/>
              <w:sz w:val="21"/>
              <w:szCs w:val="21"/>
            </w:rPr>
            <w:t xml:space="preserve"> </w:t>
          </w:r>
          <w:r>
            <w:rPr>
              <w:rFonts w:ascii="黑体" w:hAnsi="黑体" w:eastAsia="黑体" w:cs="黑体"/>
              <w:sz w:val="21"/>
              <w:szCs w:val="21"/>
            </w:rPr>
            <w:tab/>
          </w:r>
          <w:r>
            <w:rPr>
              <w:rFonts w:ascii="黑体" w:hAnsi="黑体" w:eastAsia="黑体" w:cs="黑体"/>
              <w:spacing w:val="-70"/>
              <w:sz w:val="21"/>
              <w:szCs w:val="21"/>
            </w:rPr>
            <w:t xml:space="preserve"> </w:t>
          </w:r>
          <w:r>
            <w:rPr>
              <w:rFonts w:ascii="Times New Roman" w:hAnsi="Times New Roman" w:eastAsia="Times New Roman" w:cs="Times New Roman"/>
              <w:spacing w:val="-3"/>
              <w:sz w:val="21"/>
              <w:szCs w:val="21"/>
            </w:rPr>
            <w:t>66</w:t>
          </w:r>
          <w:r>
            <w:rPr>
              <w:rFonts w:ascii="Times New Roman" w:hAnsi="Times New Roman" w:eastAsia="Times New Roman" w:cs="Times New Roman"/>
              <w:spacing w:val="-3"/>
              <w:sz w:val="21"/>
              <w:szCs w:val="21"/>
            </w:rPr>
            <w:fldChar w:fldCharType="end"/>
          </w:r>
        </w:p>
        <w:p w14:paraId="2FADACDF">
          <w:pPr>
            <w:tabs>
              <w:tab w:val="right" w:leader="dot" w:pos="8294"/>
            </w:tabs>
            <w:spacing w:before="57" w:line="222" w:lineRule="auto"/>
            <w:ind w:left="823"/>
            <w:rPr>
              <w:rFonts w:ascii="Times New Roman" w:hAnsi="Times New Roman" w:eastAsia="Times New Roman" w:cs="Times New Roman"/>
              <w:sz w:val="21"/>
              <w:szCs w:val="21"/>
            </w:rPr>
          </w:pPr>
          <w:r>
            <w:fldChar w:fldCharType="begin"/>
          </w:r>
          <w:r>
            <w:instrText xml:space="preserve"> HYPERLINK \l "bookmark121" </w:instrText>
          </w:r>
          <w:r>
            <w:fldChar w:fldCharType="separate"/>
          </w:r>
          <w:r>
            <w:rPr>
              <w:rFonts w:ascii="Times New Roman" w:hAnsi="Times New Roman" w:eastAsia="Times New Roman" w:cs="Times New Roman"/>
              <w:spacing w:val="1"/>
              <w:sz w:val="21"/>
              <w:szCs w:val="21"/>
            </w:rPr>
            <w:t xml:space="preserve">A4.3  </w:t>
          </w:r>
          <w:r>
            <w:rPr>
              <w:rFonts w:ascii="黑体" w:hAnsi="黑体" w:eastAsia="黑体" w:cs="黑体"/>
              <w:spacing w:val="1"/>
              <w:sz w:val="21"/>
              <w:szCs w:val="21"/>
            </w:rPr>
            <w:t>施工组织设计评审和评分</w:t>
          </w:r>
          <w:r>
            <w:rPr>
              <w:rFonts w:ascii="黑体" w:hAnsi="黑体" w:eastAsia="黑体" w:cs="黑体"/>
              <w:spacing w:val="-73"/>
              <w:sz w:val="21"/>
              <w:szCs w:val="21"/>
            </w:rPr>
            <w:t xml:space="preserve"> </w:t>
          </w:r>
          <w:r>
            <w:rPr>
              <w:rFonts w:ascii="黑体" w:hAnsi="黑体" w:eastAsia="黑体" w:cs="黑体"/>
              <w:sz w:val="21"/>
              <w:szCs w:val="21"/>
            </w:rPr>
            <w:tab/>
          </w:r>
          <w:r>
            <w:rPr>
              <w:rFonts w:ascii="Times New Roman" w:hAnsi="Times New Roman" w:eastAsia="Times New Roman" w:cs="Times New Roman"/>
              <w:spacing w:val="-2"/>
              <w:sz w:val="21"/>
              <w:szCs w:val="21"/>
            </w:rPr>
            <w:t>67</w:t>
          </w:r>
          <w:r>
            <w:rPr>
              <w:rFonts w:ascii="Times New Roman" w:hAnsi="Times New Roman" w:eastAsia="Times New Roman" w:cs="Times New Roman"/>
              <w:spacing w:val="-2"/>
              <w:sz w:val="21"/>
              <w:szCs w:val="21"/>
            </w:rPr>
            <w:fldChar w:fldCharType="end"/>
          </w:r>
        </w:p>
        <w:p w14:paraId="3EAF4B0A">
          <w:pPr>
            <w:tabs>
              <w:tab w:val="right" w:leader="dot" w:pos="8294"/>
            </w:tabs>
            <w:spacing w:before="58" w:line="222" w:lineRule="auto"/>
            <w:ind w:left="823"/>
            <w:rPr>
              <w:rFonts w:ascii="Times New Roman" w:hAnsi="Times New Roman" w:eastAsia="Times New Roman" w:cs="Times New Roman"/>
              <w:sz w:val="21"/>
              <w:szCs w:val="21"/>
            </w:rPr>
          </w:pPr>
          <w:r>
            <w:fldChar w:fldCharType="begin"/>
          </w:r>
          <w:r>
            <w:instrText xml:space="preserve"> HYPERLINK \l "bookmark122" </w:instrText>
          </w:r>
          <w:r>
            <w:fldChar w:fldCharType="separate"/>
          </w:r>
          <w:r>
            <w:rPr>
              <w:rFonts w:ascii="Times New Roman" w:hAnsi="Times New Roman" w:eastAsia="Times New Roman" w:cs="Times New Roman"/>
              <w:spacing w:val="1"/>
              <w:sz w:val="21"/>
              <w:szCs w:val="21"/>
            </w:rPr>
            <w:t>A4.4</w:t>
          </w:r>
          <w:r>
            <w:rPr>
              <w:rFonts w:ascii="Times New Roman" w:hAnsi="Times New Roman" w:eastAsia="Times New Roman" w:cs="Times New Roman"/>
              <w:spacing w:val="24"/>
              <w:w w:val="101"/>
              <w:sz w:val="21"/>
              <w:szCs w:val="21"/>
            </w:rPr>
            <w:t xml:space="preserve"> </w:t>
          </w:r>
          <w:r>
            <w:rPr>
              <w:rFonts w:ascii="黑体" w:hAnsi="黑体" w:eastAsia="黑体" w:cs="黑体"/>
              <w:spacing w:val="1"/>
              <w:sz w:val="21"/>
              <w:szCs w:val="21"/>
            </w:rPr>
            <w:t>项目管理机构评审和评分</w:t>
          </w:r>
          <w:r>
            <w:rPr>
              <w:rFonts w:ascii="黑体" w:hAnsi="黑体" w:eastAsia="黑体" w:cs="黑体"/>
              <w:spacing w:val="-83"/>
              <w:sz w:val="21"/>
              <w:szCs w:val="21"/>
            </w:rPr>
            <w:t xml:space="preserve"> </w:t>
          </w:r>
          <w:r>
            <w:rPr>
              <w:rFonts w:ascii="黑体" w:hAnsi="黑体" w:eastAsia="黑体" w:cs="黑体"/>
              <w:sz w:val="21"/>
              <w:szCs w:val="21"/>
            </w:rPr>
            <w:tab/>
          </w:r>
          <w:r>
            <w:rPr>
              <w:rFonts w:ascii="黑体" w:hAnsi="黑体" w:eastAsia="黑体" w:cs="黑体"/>
              <w:spacing w:val="-61"/>
              <w:sz w:val="21"/>
              <w:szCs w:val="21"/>
            </w:rPr>
            <w:t xml:space="preserve"> </w:t>
          </w:r>
          <w:r>
            <w:rPr>
              <w:rFonts w:ascii="Times New Roman" w:hAnsi="Times New Roman" w:eastAsia="Times New Roman" w:cs="Times New Roman"/>
              <w:spacing w:val="-3"/>
              <w:sz w:val="21"/>
              <w:szCs w:val="21"/>
            </w:rPr>
            <w:t>67</w:t>
          </w:r>
          <w:r>
            <w:rPr>
              <w:rFonts w:ascii="Times New Roman" w:hAnsi="Times New Roman" w:eastAsia="Times New Roman" w:cs="Times New Roman"/>
              <w:spacing w:val="-3"/>
              <w:sz w:val="21"/>
              <w:szCs w:val="21"/>
            </w:rPr>
            <w:fldChar w:fldCharType="end"/>
          </w:r>
        </w:p>
        <w:p w14:paraId="4533CE41">
          <w:pPr>
            <w:tabs>
              <w:tab w:val="right" w:leader="dot" w:pos="8294"/>
            </w:tabs>
            <w:spacing w:before="57" w:line="222" w:lineRule="auto"/>
            <w:ind w:left="823"/>
            <w:rPr>
              <w:rFonts w:ascii="Times New Roman" w:hAnsi="Times New Roman" w:eastAsia="Times New Roman" w:cs="Times New Roman"/>
              <w:sz w:val="21"/>
              <w:szCs w:val="21"/>
            </w:rPr>
          </w:pPr>
          <w:r>
            <w:fldChar w:fldCharType="begin"/>
          </w:r>
          <w:r>
            <w:instrText xml:space="preserve"> HYPERLINK \l "bookmark123" </w:instrText>
          </w:r>
          <w:r>
            <w:fldChar w:fldCharType="separate"/>
          </w:r>
          <w:r>
            <w:rPr>
              <w:rFonts w:ascii="Times New Roman" w:hAnsi="Times New Roman" w:eastAsia="Times New Roman" w:cs="Times New Roman"/>
              <w:spacing w:val="1"/>
              <w:sz w:val="21"/>
              <w:szCs w:val="21"/>
            </w:rPr>
            <w:t xml:space="preserve">A4.5  </w:t>
          </w:r>
          <w:r>
            <w:rPr>
              <w:rFonts w:ascii="黑体" w:hAnsi="黑体" w:eastAsia="黑体" w:cs="黑体"/>
              <w:spacing w:val="1"/>
              <w:sz w:val="21"/>
              <w:szCs w:val="21"/>
            </w:rPr>
            <w:t>其他因素的评审和评分</w:t>
          </w:r>
          <w:r>
            <w:rPr>
              <w:rFonts w:ascii="黑体" w:hAnsi="黑体" w:eastAsia="黑体" w:cs="黑体"/>
              <w:spacing w:val="-72"/>
              <w:sz w:val="21"/>
              <w:szCs w:val="21"/>
            </w:rPr>
            <w:t xml:space="preserve"> </w:t>
          </w:r>
          <w:r>
            <w:rPr>
              <w:rFonts w:ascii="黑体" w:hAnsi="黑体" w:eastAsia="黑体" w:cs="黑体"/>
              <w:sz w:val="21"/>
              <w:szCs w:val="21"/>
            </w:rPr>
            <w:tab/>
          </w:r>
          <w:r>
            <w:rPr>
              <w:rFonts w:ascii="Times New Roman" w:hAnsi="Times New Roman" w:eastAsia="Times New Roman" w:cs="Times New Roman"/>
              <w:spacing w:val="-2"/>
              <w:sz w:val="21"/>
              <w:szCs w:val="21"/>
            </w:rPr>
            <w:t>67</w:t>
          </w:r>
          <w:r>
            <w:rPr>
              <w:rFonts w:ascii="Times New Roman" w:hAnsi="Times New Roman" w:eastAsia="Times New Roman" w:cs="Times New Roman"/>
              <w:spacing w:val="-2"/>
              <w:sz w:val="21"/>
              <w:szCs w:val="21"/>
            </w:rPr>
            <w:fldChar w:fldCharType="end"/>
          </w:r>
        </w:p>
        <w:p w14:paraId="3FA2B679">
          <w:pPr>
            <w:tabs>
              <w:tab w:val="right" w:leader="dot" w:pos="8294"/>
            </w:tabs>
            <w:spacing w:before="47" w:line="221" w:lineRule="auto"/>
            <w:ind w:left="823"/>
            <w:rPr>
              <w:rFonts w:ascii="Times New Roman" w:hAnsi="Times New Roman" w:eastAsia="Times New Roman" w:cs="Times New Roman"/>
              <w:sz w:val="21"/>
              <w:szCs w:val="21"/>
            </w:rPr>
          </w:pPr>
          <w:r>
            <w:fldChar w:fldCharType="begin"/>
          </w:r>
          <w:r>
            <w:instrText xml:space="preserve"> HYPERLINK \l "bookmark124" </w:instrText>
          </w:r>
          <w:r>
            <w:fldChar w:fldCharType="separate"/>
          </w:r>
          <w:r>
            <w:rPr>
              <w:rFonts w:ascii="Times New Roman" w:hAnsi="Times New Roman" w:eastAsia="Times New Roman" w:cs="Times New Roman"/>
              <w:spacing w:val="1"/>
              <w:sz w:val="21"/>
              <w:szCs w:val="21"/>
            </w:rPr>
            <w:t xml:space="preserve">A4.6  </w:t>
          </w:r>
          <w:r>
            <w:rPr>
              <w:rFonts w:ascii="黑体" w:hAnsi="黑体" w:eastAsia="黑体" w:cs="黑体"/>
              <w:spacing w:val="1"/>
              <w:sz w:val="21"/>
              <w:szCs w:val="21"/>
            </w:rPr>
            <w:t>澄清、说明或补正</w:t>
          </w:r>
          <w:r>
            <w:rPr>
              <w:rFonts w:ascii="黑体" w:hAnsi="黑体" w:eastAsia="黑体" w:cs="黑体"/>
              <w:spacing w:val="-80"/>
              <w:sz w:val="21"/>
              <w:szCs w:val="21"/>
            </w:rPr>
            <w:t xml:space="preserve"> </w:t>
          </w:r>
          <w:r>
            <w:rPr>
              <w:rFonts w:ascii="黑体" w:hAnsi="黑体" w:eastAsia="黑体" w:cs="黑体"/>
              <w:sz w:val="21"/>
              <w:szCs w:val="21"/>
            </w:rPr>
            <w:tab/>
          </w:r>
          <w:r>
            <w:rPr>
              <w:rFonts w:ascii="Times New Roman" w:hAnsi="Times New Roman" w:eastAsia="Times New Roman" w:cs="Times New Roman"/>
              <w:spacing w:val="2"/>
              <w:sz w:val="21"/>
              <w:szCs w:val="21"/>
            </w:rPr>
            <w:t>67</w:t>
          </w:r>
          <w:r>
            <w:rPr>
              <w:rFonts w:ascii="Times New Roman" w:hAnsi="Times New Roman" w:eastAsia="Times New Roman" w:cs="Times New Roman"/>
              <w:spacing w:val="2"/>
              <w:sz w:val="21"/>
              <w:szCs w:val="21"/>
            </w:rPr>
            <w:fldChar w:fldCharType="end"/>
          </w:r>
        </w:p>
        <w:p w14:paraId="2DDFB732">
          <w:pPr>
            <w:tabs>
              <w:tab w:val="right" w:leader="dot" w:pos="8294"/>
            </w:tabs>
            <w:spacing w:before="79" w:line="222" w:lineRule="auto"/>
            <w:ind w:left="823"/>
            <w:rPr>
              <w:rFonts w:ascii="Times New Roman" w:hAnsi="Times New Roman" w:eastAsia="Times New Roman" w:cs="Times New Roman"/>
              <w:sz w:val="21"/>
              <w:szCs w:val="21"/>
            </w:rPr>
          </w:pPr>
          <w:r>
            <w:fldChar w:fldCharType="begin"/>
          </w:r>
          <w:r>
            <w:instrText xml:space="preserve"> HYPERLINK \l "bookmark125" </w:instrText>
          </w:r>
          <w:r>
            <w:fldChar w:fldCharType="separate"/>
          </w:r>
          <w:r>
            <w:rPr>
              <w:rFonts w:ascii="Times New Roman" w:hAnsi="Times New Roman" w:eastAsia="Times New Roman" w:cs="Times New Roman"/>
              <w:spacing w:val="17"/>
              <w:sz w:val="21"/>
              <w:szCs w:val="21"/>
            </w:rPr>
            <w:t>A4.7</w:t>
          </w:r>
          <w:r>
            <w:rPr>
              <w:rFonts w:ascii="Times New Roman" w:hAnsi="Times New Roman" w:eastAsia="Times New Roman" w:cs="Times New Roman"/>
              <w:spacing w:val="2"/>
              <w:sz w:val="21"/>
              <w:szCs w:val="21"/>
            </w:rPr>
            <w:t xml:space="preserve">    </w:t>
          </w:r>
          <w:r>
            <w:rPr>
              <w:rFonts w:ascii="黑体" w:hAnsi="黑体" w:eastAsia="黑体" w:cs="黑体"/>
              <w:spacing w:val="17"/>
              <w:sz w:val="21"/>
              <w:szCs w:val="21"/>
            </w:rPr>
            <w:t>汇总评分(评审)结果</w:t>
          </w:r>
          <w:r>
            <w:rPr>
              <w:rFonts w:ascii="黑体" w:hAnsi="黑体" w:eastAsia="黑体" w:cs="黑体"/>
              <w:spacing w:val="-87"/>
              <w:sz w:val="21"/>
              <w:szCs w:val="21"/>
            </w:rPr>
            <w:t xml:space="preserve"> </w:t>
          </w:r>
          <w:r>
            <w:rPr>
              <w:rFonts w:ascii="黑体" w:hAnsi="黑体" w:eastAsia="黑体" w:cs="黑体"/>
              <w:sz w:val="21"/>
              <w:szCs w:val="21"/>
            </w:rPr>
            <w:tab/>
          </w:r>
          <w:r>
            <w:rPr>
              <w:rFonts w:ascii="Times New Roman" w:hAnsi="Times New Roman" w:eastAsia="Times New Roman" w:cs="Times New Roman"/>
              <w:spacing w:val="-1"/>
              <w:sz w:val="21"/>
              <w:szCs w:val="21"/>
            </w:rPr>
            <w:t>67</w:t>
          </w:r>
          <w:r>
            <w:rPr>
              <w:rFonts w:ascii="Times New Roman" w:hAnsi="Times New Roman" w:eastAsia="Times New Roman" w:cs="Times New Roman"/>
              <w:spacing w:val="-1"/>
              <w:sz w:val="21"/>
              <w:szCs w:val="21"/>
            </w:rPr>
            <w:fldChar w:fldCharType="end"/>
          </w:r>
        </w:p>
        <w:p w14:paraId="1F616853">
          <w:pPr>
            <w:tabs>
              <w:tab w:val="right" w:leader="dot" w:pos="8294"/>
            </w:tabs>
            <w:spacing w:before="58" w:line="222" w:lineRule="auto"/>
            <w:ind w:left="823"/>
            <w:rPr>
              <w:rFonts w:ascii="Times New Roman" w:hAnsi="Times New Roman" w:eastAsia="Times New Roman" w:cs="Times New Roman"/>
              <w:sz w:val="21"/>
              <w:szCs w:val="21"/>
            </w:rPr>
          </w:pPr>
          <w:r>
            <w:fldChar w:fldCharType="begin"/>
          </w:r>
          <w:r>
            <w:instrText xml:space="preserve"> HYPERLINK \l "bookmark126" </w:instrText>
          </w:r>
          <w:r>
            <w:fldChar w:fldCharType="separate"/>
          </w:r>
          <w:r>
            <w:rPr>
              <w:rFonts w:ascii="Times New Roman" w:hAnsi="Times New Roman" w:eastAsia="Times New Roman" w:cs="Times New Roman"/>
              <w:spacing w:val="1"/>
              <w:sz w:val="21"/>
              <w:szCs w:val="21"/>
            </w:rPr>
            <w:t xml:space="preserve">A5.    </w:t>
          </w:r>
          <w:r>
            <w:rPr>
              <w:rFonts w:ascii="黑体" w:hAnsi="黑体" w:eastAsia="黑体" w:cs="黑体"/>
              <w:spacing w:val="1"/>
              <w:sz w:val="21"/>
              <w:szCs w:val="21"/>
            </w:rPr>
            <w:t>推荐中标候选人或者直接确定中标人</w:t>
          </w:r>
          <w:r>
            <w:rPr>
              <w:rFonts w:ascii="黑体" w:hAnsi="黑体" w:eastAsia="黑体" w:cs="黑体"/>
              <w:spacing w:val="-69"/>
              <w:sz w:val="21"/>
              <w:szCs w:val="21"/>
            </w:rPr>
            <w:t xml:space="preserve"> </w:t>
          </w:r>
          <w:r>
            <w:rPr>
              <w:rFonts w:ascii="黑体" w:hAnsi="黑体" w:eastAsia="黑体" w:cs="黑体"/>
              <w:sz w:val="21"/>
              <w:szCs w:val="21"/>
            </w:rPr>
            <w:tab/>
          </w:r>
          <w:r>
            <w:rPr>
              <w:rFonts w:ascii="Times New Roman" w:hAnsi="Times New Roman" w:eastAsia="Times New Roman" w:cs="Times New Roman"/>
              <w:spacing w:val="-4"/>
              <w:sz w:val="21"/>
              <w:szCs w:val="21"/>
            </w:rPr>
            <w:t>67</w:t>
          </w:r>
          <w:r>
            <w:rPr>
              <w:rFonts w:ascii="Times New Roman" w:hAnsi="Times New Roman" w:eastAsia="Times New Roman" w:cs="Times New Roman"/>
              <w:spacing w:val="-4"/>
              <w:sz w:val="21"/>
              <w:szCs w:val="21"/>
            </w:rPr>
            <w:fldChar w:fldCharType="end"/>
          </w:r>
        </w:p>
        <w:p w14:paraId="396299B0">
          <w:pPr>
            <w:tabs>
              <w:tab w:val="right" w:leader="dot" w:pos="8294"/>
            </w:tabs>
            <w:spacing w:before="59" w:line="222" w:lineRule="auto"/>
            <w:ind w:left="823"/>
            <w:rPr>
              <w:rFonts w:ascii="Times New Roman" w:hAnsi="Times New Roman" w:eastAsia="Times New Roman" w:cs="Times New Roman"/>
              <w:sz w:val="21"/>
              <w:szCs w:val="21"/>
            </w:rPr>
          </w:pPr>
          <w:r>
            <w:fldChar w:fldCharType="begin"/>
          </w:r>
          <w:r>
            <w:instrText xml:space="preserve"> HYPERLINK \l "bookmark127" </w:instrText>
          </w:r>
          <w:r>
            <w:fldChar w:fldCharType="separate"/>
          </w:r>
          <w:r>
            <w:rPr>
              <w:rFonts w:ascii="Times New Roman" w:hAnsi="Times New Roman" w:eastAsia="Times New Roman" w:cs="Times New Roman"/>
              <w:spacing w:val="3"/>
              <w:sz w:val="21"/>
              <w:szCs w:val="21"/>
            </w:rPr>
            <w:t xml:space="preserve">A5.1    </w:t>
          </w:r>
          <w:r>
            <w:rPr>
              <w:rFonts w:ascii="黑体" w:hAnsi="黑体" w:eastAsia="黑体" w:cs="黑体"/>
              <w:spacing w:val="3"/>
              <w:sz w:val="21"/>
              <w:szCs w:val="21"/>
            </w:rPr>
            <w:t>推荐中标候选人</w:t>
          </w:r>
          <w:r>
            <w:rPr>
              <w:rFonts w:ascii="黑体" w:hAnsi="黑体" w:eastAsia="黑体" w:cs="黑体"/>
              <w:spacing w:val="-85"/>
              <w:sz w:val="21"/>
              <w:szCs w:val="21"/>
            </w:rPr>
            <w:t xml:space="preserve"> </w:t>
          </w:r>
          <w:r>
            <w:rPr>
              <w:rFonts w:ascii="黑体" w:hAnsi="黑体" w:eastAsia="黑体" w:cs="黑体"/>
              <w:sz w:val="21"/>
              <w:szCs w:val="21"/>
            </w:rPr>
            <w:tab/>
          </w:r>
          <w:r>
            <w:rPr>
              <w:rFonts w:ascii="黑体" w:hAnsi="黑体" w:eastAsia="黑体" w:cs="黑体"/>
              <w:spacing w:val="-11"/>
              <w:sz w:val="21"/>
              <w:szCs w:val="21"/>
            </w:rPr>
            <w:t xml:space="preserve"> </w:t>
          </w:r>
          <w:r>
            <w:rPr>
              <w:rFonts w:ascii="Times New Roman" w:hAnsi="Times New Roman" w:eastAsia="Times New Roman" w:cs="Times New Roman"/>
              <w:spacing w:val="-3"/>
              <w:sz w:val="21"/>
              <w:szCs w:val="21"/>
            </w:rPr>
            <w:t>67</w:t>
          </w:r>
          <w:r>
            <w:rPr>
              <w:rFonts w:ascii="Times New Roman" w:hAnsi="Times New Roman" w:eastAsia="Times New Roman" w:cs="Times New Roman"/>
              <w:spacing w:val="-3"/>
              <w:sz w:val="21"/>
              <w:szCs w:val="21"/>
            </w:rPr>
            <w:fldChar w:fldCharType="end"/>
          </w:r>
        </w:p>
        <w:p w14:paraId="779C58BF">
          <w:pPr>
            <w:tabs>
              <w:tab w:val="right" w:leader="dot" w:pos="8284"/>
            </w:tabs>
            <w:spacing w:before="56" w:line="222" w:lineRule="auto"/>
            <w:ind w:left="823"/>
            <w:rPr>
              <w:rFonts w:ascii="Times New Roman" w:hAnsi="Times New Roman" w:eastAsia="Times New Roman" w:cs="Times New Roman"/>
              <w:sz w:val="21"/>
              <w:szCs w:val="21"/>
            </w:rPr>
          </w:pPr>
          <w:r>
            <w:fldChar w:fldCharType="begin"/>
          </w:r>
          <w:r>
            <w:instrText xml:space="preserve"> HYPERLINK \l "bookmark128" </w:instrText>
          </w:r>
          <w:r>
            <w:fldChar w:fldCharType="separate"/>
          </w:r>
          <w:r>
            <w:rPr>
              <w:rFonts w:ascii="Times New Roman" w:hAnsi="Times New Roman" w:eastAsia="Times New Roman" w:cs="Times New Roman"/>
              <w:spacing w:val="2"/>
              <w:sz w:val="21"/>
              <w:szCs w:val="21"/>
            </w:rPr>
            <w:t>A5.2</w:t>
          </w:r>
          <w:r>
            <w:rPr>
              <w:rFonts w:ascii="Times New Roman" w:hAnsi="Times New Roman" w:eastAsia="Times New Roman" w:cs="Times New Roman"/>
              <w:spacing w:val="30"/>
              <w:sz w:val="21"/>
              <w:szCs w:val="21"/>
            </w:rPr>
            <w:t xml:space="preserve"> </w:t>
          </w:r>
          <w:r>
            <w:rPr>
              <w:rFonts w:ascii="黑体" w:hAnsi="黑体" w:eastAsia="黑体" w:cs="黑体"/>
              <w:spacing w:val="2"/>
              <w:sz w:val="21"/>
              <w:szCs w:val="21"/>
            </w:rPr>
            <w:t>直接确定中标人</w:t>
          </w:r>
          <w:r>
            <w:rPr>
              <w:rFonts w:ascii="黑体" w:hAnsi="黑体" w:eastAsia="黑体" w:cs="黑体"/>
              <w:spacing w:val="-85"/>
              <w:sz w:val="21"/>
              <w:szCs w:val="21"/>
            </w:rPr>
            <w:t xml:space="preserve"> </w:t>
          </w:r>
          <w:r>
            <w:rPr>
              <w:rFonts w:ascii="黑体" w:hAnsi="黑体" w:eastAsia="黑体" w:cs="黑体"/>
              <w:sz w:val="21"/>
              <w:szCs w:val="21"/>
            </w:rPr>
            <w:tab/>
          </w:r>
          <w:r>
            <w:rPr>
              <w:rFonts w:ascii="Times New Roman" w:hAnsi="Times New Roman" w:eastAsia="Times New Roman" w:cs="Times New Roman"/>
              <w:spacing w:val="7"/>
              <w:sz w:val="21"/>
              <w:szCs w:val="21"/>
            </w:rPr>
            <w:t>68</w:t>
          </w:r>
          <w:r>
            <w:rPr>
              <w:rFonts w:ascii="Times New Roman" w:hAnsi="Times New Roman" w:eastAsia="Times New Roman" w:cs="Times New Roman"/>
              <w:spacing w:val="7"/>
              <w:sz w:val="21"/>
              <w:szCs w:val="21"/>
            </w:rPr>
            <w:fldChar w:fldCharType="end"/>
          </w:r>
        </w:p>
        <w:p w14:paraId="1C299A78">
          <w:pPr>
            <w:tabs>
              <w:tab w:val="right" w:leader="dot" w:pos="8284"/>
            </w:tabs>
            <w:spacing w:before="47" w:line="221" w:lineRule="auto"/>
            <w:ind w:left="823"/>
            <w:rPr>
              <w:rFonts w:ascii="Times New Roman" w:hAnsi="Times New Roman" w:eastAsia="Times New Roman" w:cs="Times New Roman"/>
              <w:sz w:val="21"/>
              <w:szCs w:val="21"/>
            </w:rPr>
          </w:pPr>
          <w:r>
            <w:fldChar w:fldCharType="begin"/>
          </w:r>
          <w:r>
            <w:instrText xml:space="preserve"> HYPERLINK \l "bookmark129" </w:instrText>
          </w:r>
          <w:r>
            <w:fldChar w:fldCharType="separate"/>
          </w:r>
          <w:r>
            <w:rPr>
              <w:rFonts w:ascii="Times New Roman" w:hAnsi="Times New Roman" w:eastAsia="Times New Roman" w:cs="Times New Roman"/>
              <w:spacing w:val="1"/>
              <w:sz w:val="21"/>
              <w:szCs w:val="21"/>
            </w:rPr>
            <w:t>A5.3</w:t>
          </w:r>
          <w:r>
            <w:rPr>
              <w:rFonts w:ascii="Times New Roman" w:hAnsi="Times New Roman" w:eastAsia="Times New Roman" w:cs="Times New Roman"/>
              <w:spacing w:val="33"/>
              <w:w w:val="101"/>
              <w:sz w:val="21"/>
              <w:szCs w:val="21"/>
            </w:rPr>
            <w:t xml:space="preserve"> </w:t>
          </w:r>
          <w:r>
            <w:rPr>
              <w:rFonts w:ascii="黑体" w:hAnsi="黑体" w:eastAsia="黑体" w:cs="黑体"/>
              <w:spacing w:val="1"/>
              <w:sz w:val="21"/>
              <w:szCs w:val="21"/>
            </w:rPr>
            <w:t>编制评标报告</w:t>
          </w:r>
          <w:r>
            <w:rPr>
              <w:rFonts w:ascii="黑体" w:hAnsi="黑体" w:eastAsia="黑体" w:cs="黑体"/>
              <w:spacing w:val="-87"/>
              <w:sz w:val="21"/>
              <w:szCs w:val="21"/>
            </w:rPr>
            <w:t xml:space="preserve"> </w:t>
          </w:r>
          <w:r>
            <w:rPr>
              <w:rFonts w:ascii="黑体" w:hAnsi="黑体" w:eastAsia="黑体" w:cs="黑体"/>
              <w:sz w:val="21"/>
              <w:szCs w:val="21"/>
            </w:rPr>
            <w:tab/>
          </w:r>
          <w:r>
            <w:rPr>
              <w:rFonts w:ascii="黑体" w:hAnsi="黑体" w:eastAsia="黑体" w:cs="黑体"/>
              <w:spacing w:val="-71"/>
              <w:sz w:val="21"/>
              <w:szCs w:val="21"/>
            </w:rPr>
            <w:t xml:space="preserve"> </w:t>
          </w:r>
          <w:r>
            <w:rPr>
              <w:rFonts w:ascii="Times New Roman" w:hAnsi="Times New Roman" w:eastAsia="Times New Roman" w:cs="Times New Roman"/>
              <w:spacing w:val="-3"/>
              <w:sz w:val="21"/>
              <w:szCs w:val="21"/>
            </w:rPr>
            <w:t>68</w:t>
          </w:r>
          <w:r>
            <w:rPr>
              <w:rFonts w:ascii="Times New Roman" w:hAnsi="Times New Roman" w:eastAsia="Times New Roman" w:cs="Times New Roman"/>
              <w:spacing w:val="-3"/>
              <w:sz w:val="21"/>
              <w:szCs w:val="21"/>
            </w:rPr>
            <w:fldChar w:fldCharType="end"/>
          </w:r>
        </w:p>
      </w:sdtContent>
    </w:sdt>
    <w:p w14:paraId="0A72F777">
      <w:pPr>
        <w:spacing w:line="221" w:lineRule="auto"/>
        <w:rPr>
          <w:rFonts w:ascii="Times New Roman" w:hAnsi="Times New Roman" w:eastAsia="Times New Roman" w:cs="Times New Roman"/>
          <w:sz w:val="21"/>
          <w:szCs w:val="21"/>
        </w:rPr>
        <w:sectPr>
          <w:footerReference r:id="rId8" w:type="default"/>
          <w:pgSz w:w="11910" w:h="16840"/>
          <w:pgMar w:top="1431" w:right="1050" w:bottom="1204" w:left="1786" w:header="0" w:footer="1017" w:gutter="0"/>
          <w:cols w:space="720" w:num="1"/>
        </w:sectPr>
      </w:pPr>
    </w:p>
    <w:sdt>
      <w:sdtPr>
        <w:rPr>
          <w:rFonts w:ascii="Times New Roman" w:hAnsi="Times New Roman" w:eastAsia="Times New Roman" w:cs="Times New Roman"/>
          <w:sz w:val="21"/>
          <w:szCs w:val="21"/>
        </w:rPr>
        <w:id w:val="147456858"/>
        <w:docPartObj>
          <w:docPartGallery w:val="Table of Contents"/>
          <w:docPartUnique/>
        </w:docPartObj>
      </w:sdtPr>
      <w:sdtEndPr>
        <w:rPr>
          <w:rFonts w:ascii="Times New Roman" w:hAnsi="Times New Roman" w:eastAsia="Times New Roman" w:cs="Times New Roman"/>
          <w:sz w:val="21"/>
          <w:szCs w:val="21"/>
        </w:rPr>
      </w:sdtEndPr>
      <w:sdtContent>
        <w:p w14:paraId="6579DCAF">
          <w:pPr>
            <w:tabs>
              <w:tab w:val="right" w:leader="dot" w:pos="8284"/>
            </w:tabs>
            <w:spacing w:before="55" w:line="222" w:lineRule="auto"/>
            <w:ind w:left="833"/>
            <w:rPr>
              <w:rFonts w:ascii="Times New Roman" w:hAnsi="Times New Roman" w:eastAsia="Times New Roman" w:cs="Times New Roman"/>
              <w:sz w:val="21"/>
              <w:szCs w:val="21"/>
            </w:rPr>
          </w:pPr>
          <w:r>
            <w:fldChar w:fldCharType="begin"/>
          </w:r>
          <w:r>
            <w:instrText xml:space="preserve"> HYPERLINK \l "bookmark130" </w:instrText>
          </w:r>
          <w:r>
            <w:fldChar w:fldCharType="separate"/>
          </w:r>
          <w:r>
            <w:rPr>
              <w:rFonts w:ascii="Times New Roman" w:hAnsi="Times New Roman" w:eastAsia="Times New Roman" w:cs="Times New Roman"/>
              <w:spacing w:val="1"/>
              <w:sz w:val="21"/>
              <w:szCs w:val="21"/>
            </w:rPr>
            <w:t>A6.</w:t>
          </w:r>
          <w:r>
            <w:rPr>
              <w:rFonts w:ascii="Times New Roman" w:hAnsi="Times New Roman" w:eastAsia="Times New Roman" w:cs="Times New Roman"/>
              <w:spacing w:val="58"/>
              <w:sz w:val="21"/>
              <w:szCs w:val="21"/>
            </w:rPr>
            <w:t xml:space="preserve"> </w:t>
          </w:r>
          <w:r>
            <w:rPr>
              <w:rFonts w:ascii="黑体" w:hAnsi="黑体" w:eastAsia="黑体" w:cs="黑体"/>
              <w:spacing w:val="1"/>
              <w:sz w:val="21"/>
              <w:szCs w:val="21"/>
            </w:rPr>
            <w:t>特殊情况的处置程序</w:t>
          </w:r>
          <w:r>
            <w:rPr>
              <w:rFonts w:ascii="黑体" w:hAnsi="黑体" w:eastAsia="黑体" w:cs="黑体"/>
              <w:spacing w:val="-88"/>
              <w:sz w:val="21"/>
              <w:szCs w:val="21"/>
            </w:rPr>
            <w:t xml:space="preserve"> </w:t>
          </w:r>
          <w:r>
            <w:rPr>
              <w:rFonts w:ascii="黑体" w:hAnsi="黑体" w:eastAsia="黑体" w:cs="黑体"/>
              <w:sz w:val="21"/>
              <w:szCs w:val="21"/>
            </w:rPr>
            <w:tab/>
          </w:r>
          <w:r>
            <w:rPr>
              <w:rFonts w:ascii="Times New Roman" w:hAnsi="Times New Roman" w:eastAsia="Times New Roman" w:cs="Times New Roman"/>
              <w:spacing w:val="-1"/>
              <w:sz w:val="21"/>
              <w:szCs w:val="21"/>
            </w:rPr>
            <w:t>69</w:t>
          </w:r>
          <w:r>
            <w:rPr>
              <w:rFonts w:ascii="Times New Roman" w:hAnsi="Times New Roman" w:eastAsia="Times New Roman" w:cs="Times New Roman"/>
              <w:spacing w:val="-1"/>
              <w:sz w:val="21"/>
              <w:szCs w:val="21"/>
            </w:rPr>
            <w:fldChar w:fldCharType="end"/>
          </w:r>
        </w:p>
        <w:p w14:paraId="10F94883">
          <w:pPr>
            <w:tabs>
              <w:tab w:val="right" w:leader="dot" w:pos="8284"/>
            </w:tabs>
            <w:spacing w:before="57" w:line="222" w:lineRule="auto"/>
            <w:ind w:left="833"/>
            <w:rPr>
              <w:rFonts w:ascii="Times New Roman" w:hAnsi="Times New Roman" w:eastAsia="Times New Roman" w:cs="Times New Roman"/>
              <w:sz w:val="21"/>
              <w:szCs w:val="21"/>
            </w:rPr>
          </w:pPr>
          <w:r>
            <w:fldChar w:fldCharType="begin"/>
          </w:r>
          <w:r>
            <w:instrText xml:space="preserve"> HYPERLINK \l "bookmark131" </w:instrText>
          </w:r>
          <w:r>
            <w:fldChar w:fldCharType="separate"/>
          </w:r>
          <w:r>
            <w:rPr>
              <w:rFonts w:ascii="Times New Roman" w:hAnsi="Times New Roman" w:eastAsia="Times New Roman" w:cs="Times New Roman"/>
              <w:spacing w:val="1"/>
              <w:sz w:val="21"/>
              <w:szCs w:val="21"/>
            </w:rPr>
            <w:t xml:space="preserve">A6.1    </w:t>
          </w:r>
          <w:r>
            <w:rPr>
              <w:rFonts w:ascii="黑体" w:hAnsi="黑体" w:eastAsia="黑体" w:cs="黑体"/>
              <w:spacing w:val="1"/>
              <w:sz w:val="21"/>
              <w:szCs w:val="21"/>
            </w:rPr>
            <w:t>暗标评审的评审程序规定(适用于对施工组织设计进行暗标评审的)</w:t>
          </w:r>
          <w:r>
            <w:rPr>
              <w:rFonts w:ascii="黑体" w:hAnsi="黑体" w:eastAsia="黑体" w:cs="黑体"/>
              <w:sz w:val="21"/>
              <w:szCs w:val="21"/>
            </w:rPr>
            <w:tab/>
          </w:r>
          <w:r>
            <w:rPr>
              <w:rFonts w:ascii="Times New Roman" w:hAnsi="Times New Roman" w:eastAsia="Times New Roman" w:cs="Times New Roman"/>
              <w:spacing w:val="1"/>
              <w:sz w:val="21"/>
              <w:szCs w:val="21"/>
            </w:rPr>
            <w:t>69</w:t>
          </w:r>
          <w:r>
            <w:rPr>
              <w:rFonts w:ascii="Times New Roman" w:hAnsi="Times New Roman" w:eastAsia="Times New Roman" w:cs="Times New Roman"/>
              <w:spacing w:val="1"/>
              <w:sz w:val="21"/>
              <w:szCs w:val="21"/>
            </w:rPr>
            <w:fldChar w:fldCharType="end"/>
          </w:r>
        </w:p>
        <w:p w14:paraId="225A71DF">
          <w:pPr>
            <w:tabs>
              <w:tab w:val="right" w:leader="dot" w:pos="8284"/>
            </w:tabs>
            <w:spacing w:before="57" w:line="222" w:lineRule="auto"/>
            <w:ind w:left="833"/>
            <w:rPr>
              <w:rFonts w:ascii="Times New Roman" w:hAnsi="Times New Roman" w:eastAsia="Times New Roman" w:cs="Times New Roman"/>
              <w:sz w:val="21"/>
              <w:szCs w:val="21"/>
            </w:rPr>
          </w:pPr>
          <w:r>
            <w:fldChar w:fldCharType="begin"/>
          </w:r>
          <w:r>
            <w:instrText xml:space="preserve"> HYPERLINK \l "bookmark132" </w:instrText>
          </w:r>
          <w:r>
            <w:fldChar w:fldCharType="separate"/>
          </w:r>
          <w:r>
            <w:rPr>
              <w:rFonts w:ascii="Times New Roman" w:hAnsi="Times New Roman" w:eastAsia="Times New Roman" w:cs="Times New Roman"/>
              <w:spacing w:val="1"/>
              <w:sz w:val="21"/>
              <w:szCs w:val="21"/>
            </w:rPr>
            <w:t>A6.2</w:t>
          </w:r>
          <w:r>
            <w:rPr>
              <w:rFonts w:ascii="Times New Roman" w:hAnsi="Times New Roman" w:eastAsia="Times New Roman" w:cs="Times New Roman"/>
              <w:spacing w:val="30"/>
              <w:sz w:val="21"/>
              <w:szCs w:val="21"/>
            </w:rPr>
            <w:t xml:space="preserve"> </w:t>
          </w:r>
          <w:r>
            <w:rPr>
              <w:rFonts w:ascii="黑体" w:hAnsi="黑体" w:eastAsia="黑体" w:cs="黑体"/>
              <w:spacing w:val="1"/>
              <w:sz w:val="21"/>
              <w:szCs w:val="21"/>
            </w:rPr>
            <w:t>关于评标活动暂停</w:t>
          </w:r>
          <w:r>
            <w:rPr>
              <w:rFonts w:ascii="黑体" w:hAnsi="黑体" w:eastAsia="黑体" w:cs="黑体"/>
              <w:spacing w:val="-85"/>
              <w:sz w:val="21"/>
              <w:szCs w:val="21"/>
            </w:rPr>
            <w:t xml:space="preserve"> </w:t>
          </w:r>
          <w:r>
            <w:rPr>
              <w:rFonts w:ascii="黑体" w:hAnsi="黑体" w:eastAsia="黑体" w:cs="黑体"/>
              <w:sz w:val="21"/>
              <w:szCs w:val="21"/>
            </w:rPr>
            <w:tab/>
          </w:r>
          <w:r>
            <w:rPr>
              <w:rFonts w:ascii="Times New Roman" w:hAnsi="Times New Roman" w:eastAsia="Times New Roman" w:cs="Times New Roman"/>
              <w:spacing w:val="7"/>
              <w:sz w:val="21"/>
              <w:szCs w:val="21"/>
            </w:rPr>
            <w:t>69</w:t>
          </w:r>
          <w:r>
            <w:rPr>
              <w:rFonts w:ascii="Times New Roman" w:hAnsi="Times New Roman" w:eastAsia="Times New Roman" w:cs="Times New Roman"/>
              <w:spacing w:val="7"/>
              <w:sz w:val="21"/>
              <w:szCs w:val="21"/>
            </w:rPr>
            <w:fldChar w:fldCharType="end"/>
          </w:r>
        </w:p>
        <w:p w14:paraId="0ACDE9CF">
          <w:pPr>
            <w:tabs>
              <w:tab w:val="right" w:leader="dot" w:pos="8284"/>
            </w:tabs>
            <w:spacing w:before="47" w:line="221" w:lineRule="auto"/>
            <w:ind w:left="833"/>
            <w:rPr>
              <w:rFonts w:ascii="Times New Roman" w:hAnsi="Times New Roman" w:eastAsia="Times New Roman" w:cs="Times New Roman"/>
              <w:sz w:val="21"/>
              <w:szCs w:val="21"/>
            </w:rPr>
          </w:pPr>
          <w:r>
            <w:fldChar w:fldCharType="begin"/>
          </w:r>
          <w:r>
            <w:instrText xml:space="preserve"> HYPERLINK \l "bookmark133" </w:instrText>
          </w:r>
          <w:r>
            <w:fldChar w:fldCharType="separate"/>
          </w:r>
          <w:r>
            <w:rPr>
              <w:rFonts w:ascii="Times New Roman" w:hAnsi="Times New Roman" w:eastAsia="Times New Roman" w:cs="Times New Roman"/>
              <w:spacing w:val="-2"/>
              <w:sz w:val="21"/>
              <w:szCs w:val="21"/>
            </w:rPr>
            <w:t xml:space="preserve">A6.3    </w:t>
          </w:r>
          <w:r>
            <w:rPr>
              <w:rFonts w:ascii="黑体" w:hAnsi="黑体" w:eastAsia="黑体" w:cs="黑体"/>
              <w:spacing w:val="-2"/>
              <w:sz w:val="21"/>
              <w:szCs w:val="21"/>
            </w:rPr>
            <w:t>关于评标中途更换评标委员会成员</w:t>
          </w:r>
          <w:r>
            <w:rPr>
              <w:rFonts w:ascii="黑体" w:hAnsi="黑体" w:eastAsia="黑体" w:cs="黑体"/>
              <w:spacing w:val="45"/>
              <w:sz w:val="21"/>
              <w:szCs w:val="21"/>
            </w:rPr>
            <w:t xml:space="preserve"> </w:t>
          </w:r>
          <w:r>
            <w:rPr>
              <w:rFonts w:ascii="黑体" w:hAnsi="黑体" w:eastAsia="黑体" w:cs="黑体"/>
              <w:sz w:val="21"/>
              <w:szCs w:val="21"/>
            </w:rPr>
            <w:tab/>
          </w:r>
          <w:r>
            <w:rPr>
              <w:rFonts w:ascii="黑体" w:hAnsi="黑体" w:eastAsia="黑体" w:cs="黑体"/>
              <w:spacing w:val="-70"/>
              <w:sz w:val="21"/>
              <w:szCs w:val="21"/>
            </w:rPr>
            <w:t xml:space="preserve"> </w:t>
          </w:r>
          <w:r>
            <w:rPr>
              <w:rFonts w:ascii="Times New Roman" w:hAnsi="Times New Roman" w:eastAsia="Times New Roman" w:cs="Times New Roman"/>
              <w:spacing w:val="-3"/>
              <w:sz w:val="21"/>
              <w:szCs w:val="21"/>
            </w:rPr>
            <w:t>69</w:t>
          </w:r>
          <w:r>
            <w:rPr>
              <w:rFonts w:ascii="Times New Roman" w:hAnsi="Times New Roman" w:eastAsia="Times New Roman" w:cs="Times New Roman"/>
              <w:spacing w:val="-3"/>
              <w:sz w:val="21"/>
              <w:szCs w:val="21"/>
            </w:rPr>
            <w:fldChar w:fldCharType="end"/>
          </w:r>
        </w:p>
        <w:p w14:paraId="49659B98">
          <w:pPr>
            <w:tabs>
              <w:tab w:val="right" w:leader="dot" w:pos="8284"/>
            </w:tabs>
            <w:spacing w:before="59" w:line="222" w:lineRule="auto"/>
            <w:ind w:left="833"/>
            <w:rPr>
              <w:rFonts w:ascii="Times New Roman" w:hAnsi="Times New Roman" w:eastAsia="Times New Roman" w:cs="Times New Roman"/>
              <w:sz w:val="21"/>
              <w:szCs w:val="21"/>
            </w:rPr>
          </w:pPr>
          <w:r>
            <w:fldChar w:fldCharType="begin"/>
          </w:r>
          <w:r>
            <w:instrText xml:space="preserve"> HYPERLINK \l "bookmark134" </w:instrText>
          </w:r>
          <w:r>
            <w:fldChar w:fldCharType="separate"/>
          </w:r>
          <w:r>
            <w:rPr>
              <w:rFonts w:ascii="Times New Roman" w:hAnsi="Times New Roman" w:eastAsia="Times New Roman" w:cs="Times New Roman"/>
              <w:sz w:val="21"/>
              <w:szCs w:val="21"/>
            </w:rPr>
            <w:t xml:space="preserve">A6.4  </w:t>
          </w:r>
          <w:r>
            <w:rPr>
              <w:rFonts w:ascii="黑体" w:hAnsi="黑体" w:eastAsia="黑体" w:cs="黑体"/>
              <w:sz w:val="21"/>
              <w:szCs w:val="21"/>
            </w:rPr>
            <w:t>评标争议处理</w:t>
          </w:r>
          <w:r>
            <w:rPr>
              <w:rFonts w:ascii="黑体" w:hAnsi="黑体" w:eastAsia="黑体" w:cs="黑体"/>
              <w:spacing w:val="-66"/>
              <w:sz w:val="21"/>
              <w:szCs w:val="21"/>
            </w:rPr>
            <w:t xml:space="preserve"> </w:t>
          </w:r>
          <w:r>
            <w:rPr>
              <w:rFonts w:ascii="黑体" w:hAnsi="黑体" w:eastAsia="黑体" w:cs="黑体"/>
              <w:sz w:val="21"/>
              <w:szCs w:val="21"/>
            </w:rPr>
            <w:tab/>
          </w:r>
          <w:r>
            <w:rPr>
              <w:rFonts w:ascii="Times New Roman" w:hAnsi="Times New Roman" w:eastAsia="Times New Roman" w:cs="Times New Roman"/>
              <w:spacing w:val="-4"/>
              <w:sz w:val="21"/>
              <w:szCs w:val="21"/>
            </w:rPr>
            <w:t>69</w:t>
          </w:r>
          <w:r>
            <w:rPr>
              <w:rFonts w:ascii="Times New Roman" w:hAnsi="Times New Roman" w:eastAsia="Times New Roman" w:cs="Times New Roman"/>
              <w:spacing w:val="-4"/>
              <w:sz w:val="21"/>
              <w:szCs w:val="21"/>
            </w:rPr>
            <w:fldChar w:fldCharType="end"/>
          </w:r>
        </w:p>
        <w:p w14:paraId="34070B93">
          <w:pPr>
            <w:tabs>
              <w:tab w:val="right" w:leader="dot" w:pos="8284"/>
            </w:tabs>
            <w:spacing w:before="78" w:line="222" w:lineRule="auto"/>
            <w:ind w:left="833"/>
            <w:rPr>
              <w:rFonts w:ascii="Times New Roman" w:hAnsi="Times New Roman" w:eastAsia="Times New Roman" w:cs="Times New Roman"/>
              <w:sz w:val="21"/>
              <w:szCs w:val="21"/>
            </w:rPr>
          </w:pPr>
          <w:r>
            <w:fldChar w:fldCharType="begin"/>
          </w:r>
          <w:r>
            <w:instrText xml:space="preserve"> HYPERLINK \l "bookmark135" </w:instrText>
          </w:r>
          <w:r>
            <w:fldChar w:fldCharType="separate"/>
          </w:r>
          <w:r>
            <w:rPr>
              <w:rFonts w:ascii="Times New Roman" w:hAnsi="Times New Roman" w:eastAsia="Times New Roman" w:cs="Times New Roman"/>
              <w:spacing w:val="3"/>
              <w:sz w:val="21"/>
              <w:szCs w:val="21"/>
            </w:rPr>
            <w:t>A7.</w:t>
          </w:r>
          <w:r>
            <w:rPr>
              <w:rFonts w:ascii="黑体" w:hAnsi="黑体" w:eastAsia="黑体" w:cs="黑体"/>
              <w:spacing w:val="3"/>
              <w:sz w:val="21"/>
              <w:szCs w:val="21"/>
            </w:rPr>
            <w:t>补充条款</w:t>
          </w:r>
          <w:r>
            <w:rPr>
              <w:rFonts w:ascii="黑体" w:hAnsi="黑体" w:eastAsia="黑体" w:cs="黑体"/>
              <w:spacing w:val="-77"/>
              <w:sz w:val="21"/>
              <w:szCs w:val="21"/>
            </w:rPr>
            <w:t xml:space="preserve"> </w:t>
          </w:r>
          <w:r>
            <w:rPr>
              <w:rFonts w:ascii="黑体" w:hAnsi="黑体" w:eastAsia="黑体" w:cs="黑体"/>
              <w:sz w:val="21"/>
              <w:szCs w:val="21"/>
            </w:rPr>
            <w:tab/>
          </w:r>
          <w:r>
            <w:rPr>
              <w:rFonts w:ascii="Times New Roman" w:hAnsi="Times New Roman" w:eastAsia="Times New Roman" w:cs="Times New Roman"/>
              <w:spacing w:val="-1"/>
              <w:sz w:val="21"/>
              <w:szCs w:val="21"/>
            </w:rPr>
            <w:t>69</w:t>
          </w:r>
          <w:r>
            <w:rPr>
              <w:rFonts w:ascii="Times New Roman" w:hAnsi="Times New Roman" w:eastAsia="Times New Roman" w:cs="Times New Roman"/>
              <w:spacing w:val="-1"/>
              <w:sz w:val="21"/>
              <w:szCs w:val="21"/>
            </w:rPr>
            <w:fldChar w:fldCharType="end"/>
          </w:r>
        </w:p>
        <w:p w14:paraId="56CC7401">
          <w:pPr>
            <w:tabs>
              <w:tab w:val="right" w:leader="dot" w:pos="9065"/>
            </w:tabs>
            <w:spacing w:before="58" w:line="222" w:lineRule="auto"/>
            <w:ind w:left="433"/>
            <w:rPr>
              <w:rFonts w:ascii="Times New Roman" w:hAnsi="Times New Roman" w:eastAsia="Times New Roman" w:cs="Times New Roman"/>
              <w:sz w:val="21"/>
              <w:szCs w:val="21"/>
            </w:rPr>
          </w:pPr>
          <w:r>
            <w:fldChar w:fldCharType="begin"/>
          </w:r>
          <w:r>
            <w:instrText xml:space="preserve"> HYPERLINK \l "bookmark136" </w:instrText>
          </w:r>
          <w:r>
            <w:fldChar w:fldCharType="separate"/>
          </w:r>
          <w:r>
            <w:rPr>
              <w:rFonts w:ascii="黑体" w:hAnsi="黑体" w:eastAsia="黑体" w:cs="黑体"/>
              <w:spacing w:val="2"/>
              <w:sz w:val="21"/>
              <w:szCs w:val="21"/>
            </w:rPr>
            <w:t xml:space="preserve">附件 </w:t>
          </w:r>
          <w:r>
            <w:rPr>
              <w:rFonts w:ascii="Times New Roman" w:hAnsi="Times New Roman" w:eastAsia="Times New Roman" w:cs="Times New Roman"/>
              <w:spacing w:val="2"/>
              <w:sz w:val="21"/>
              <w:szCs w:val="21"/>
            </w:rPr>
            <w:t>B</w:t>
          </w:r>
          <w:r>
            <w:rPr>
              <w:rFonts w:ascii="黑体" w:hAnsi="黑体" w:eastAsia="黑体" w:cs="黑体"/>
              <w:spacing w:val="2"/>
              <w:sz w:val="21"/>
              <w:szCs w:val="21"/>
            </w:rPr>
            <w:t>:否决投标的条件</w:t>
          </w:r>
          <w:r>
            <w:rPr>
              <w:rFonts w:ascii="黑体" w:hAnsi="黑体" w:eastAsia="黑体" w:cs="黑体"/>
              <w:spacing w:val="-81"/>
              <w:sz w:val="21"/>
              <w:szCs w:val="21"/>
            </w:rPr>
            <w:t xml:space="preserve"> </w:t>
          </w:r>
          <w:r>
            <w:rPr>
              <w:rFonts w:ascii="黑体" w:hAnsi="黑体" w:eastAsia="黑体" w:cs="黑体"/>
              <w:sz w:val="21"/>
              <w:szCs w:val="21"/>
            </w:rPr>
            <w:tab/>
          </w:r>
          <w:r>
            <w:rPr>
              <w:rFonts w:ascii="黑体" w:hAnsi="黑体" w:eastAsia="黑体" w:cs="黑体"/>
              <w:spacing w:val="-31"/>
              <w:sz w:val="21"/>
              <w:szCs w:val="21"/>
            </w:rPr>
            <w:t xml:space="preserve"> </w:t>
          </w:r>
          <w:r>
            <w:rPr>
              <w:rFonts w:ascii="Times New Roman" w:hAnsi="Times New Roman" w:eastAsia="Times New Roman" w:cs="Times New Roman"/>
              <w:spacing w:val="-4"/>
              <w:sz w:val="21"/>
              <w:szCs w:val="21"/>
            </w:rPr>
            <w:t>70</w:t>
          </w:r>
          <w:r>
            <w:rPr>
              <w:rFonts w:ascii="Times New Roman" w:hAnsi="Times New Roman" w:eastAsia="Times New Roman" w:cs="Times New Roman"/>
              <w:spacing w:val="-4"/>
              <w:sz w:val="21"/>
              <w:szCs w:val="21"/>
            </w:rPr>
            <w:fldChar w:fldCharType="end"/>
          </w:r>
        </w:p>
        <w:p w14:paraId="5EA8FC87">
          <w:pPr>
            <w:tabs>
              <w:tab w:val="right" w:leader="dot" w:pos="8295"/>
            </w:tabs>
            <w:spacing w:before="56" w:line="222" w:lineRule="auto"/>
            <w:ind w:left="833"/>
            <w:rPr>
              <w:rFonts w:ascii="Times New Roman" w:hAnsi="Times New Roman" w:eastAsia="Times New Roman" w:cs="Times New Roman"/>
              <w:sz w:val="21"/>
              <w:szCs w:val="21"/>
            </w:rPr>
          </w:pPr>
          <w:r>
            <w:fldChar w:fldCharType="begin"/>
          </w:r>
          <w:r>
            <w:instrText xml:space="preserve"> HYPERLINK \l "bookmark137" </w:instrText>
          </w:r>
          <w:r>
            <w:fldChar w:fldCharType="separate"/>
          </w:r>
          <w:r>
            <w:rPr>
              <w:rFonts w:ascii="黑体" w:hAnsi="黑体" w:eastAsia="黑体" w:cs="黑体"/>
              <w:spacing w:val="3"/>
              <w:sz w:val="21"/>
              <w:szCs w:val="21"/>
            </w:rPr>
            <w:t>B0</w:t>
          </w:r>
          <w:r>
            <w:rPr>
              <w:rFonts w:ascii="黑体" w:hAnsi="黑体" w:eastAsia="黑体" w:cs="黑体"/>
              <w:spacing w:val="-60"/>
              <w:sz w:val="21"/>
              <w:szCs w:val="21"/>
            </w:rPr>
            <w:t xml:space="preserve"> </w:t>
          </w:r>
          <w:r>
            <w:rPr>
              <w:rFonts w:ascii="黑体" w:hAnsi="黑体" w:eastAsia="黑体" w:cs="黑体"/>
              <w:spacing w:val="3"/>
              <w:sz w:val="21"/>
              <w:szCs w:val="21"/>
            </w:rPr>
            <w:t>.总</w:t>
          </w:r>
          <w:r>
            <w:rPr>
              <w:rFonts w:ascii="黑体" w:hAnsi="黑体" w:eastAsia="黑体" w:cs="黑体"/>
              <w:spacing w:val="59"/>
              <w:sz w:val="21"/>
              <w:szCs w:val="21"/>
            </w:rPr>
            <w:t xml:space="preserve"> </w:t>
          </w:r>
          <w:r>
            <w:rPr>
              <w:rFonts w:ascii="黑体" w:hAnsi="黑体" w:eastAsia="黑体" w:cs="黑体"/>
              <w:spacing w:val="3"/>
              <w:sz w:val="21"/>
              <w:szCs w:val="21"/>
            </w:rPr>
            <w:t>则</w:t>
          </w:r>
          <w:r>
            <w:rPr>
              <w:rFonts w:ascii="黑体" w:hAnsi="黑体" w:eastAsia="黑体" w:cs="黑体"/>
              <w:spacing w:val="-95"/>
              <w:sz w:val="21"/>
              <w:szCs w:val="21"/>
            </w:rPr>
            <w:t xml:space="preserve"> </w:t>
          </w:r>
          <w:r>
            <w:rPr>
              <w:rFonts w:ascii="黑体" w:hAnsi="黑体" w:eastAsia="黑体" w:cs="黑体"/>
              <w:sz w:val="21"/>
              <w:szCs w:val="21"/>
            </w:rPr>
            <w:tab/>
          </w:r>
          <w:r>
            <w:rPr>
              <w:rFonts w:ascii="Times New Roman" w:hAnsi="Times New Roman" w:eastAsia="Times New Roman" w:cs="Times New Roman"/>
              <w:spacing w:val="2"/>
              <w:sz w:val="21"/>
              <w:szCs w:val="21"/>
            </w:rPr>
            <w:t>70</w:t>
          </w:r>
          <w:r>
            <w:rPr>
              <w:rFonts w:ascii="Times New Roman" w:hAnsi="Times New Roman" w:eastAsia="Times New Roman" w:cs="Times New Roman"/>
              <w:spacing w:val="2"/>
              <w:sz w:val="21"/>
              <w:szCs w:val="21"/>
            </w:rPr>
            <w:fldChar w:fldCharType="end"/>
          </w:r>
        </w:p>
        <w:p w14:paraId="47D760F8">
          <w:pPr>
            <w:tabs>
              <w:tab w:val="right" w:leader="dot" w:pos="8295"/>
            </w:tabs>
            <w:spacing w:before="49" w:line="222" w:lineRule="auto"/>
            <w:ind w:left="833"/>
            <w:rPr>
              <w:rFonts w:ascii="Times New Roman" w:hAnsi="Times New Roman" w:eastAsia="Times New Roman" w:cs="Times New Roman"/>
              <w:sz w:val="21"/>
              <w:szCs w:val="21"/>
            </w:rPr>
          </w:pPr>
          <w:r>
            <w:fldChar w:fldCharType="begin"/>
          </w:r>
          <w:r>
            <w:instrText xml:space="preserve"> HYPERLINK \l "bookmark138" </w:instrText>
          </w:r>
          <w:r>
            <w:fldChar w:fldCharType="separate"/>
          </w:r>
          <w:r>
            <w:rPr>
              <w:rFonts w:ascii="Times New Roman" w:hAnsi="Times New Roman" w:eastAsia="Times New Roman" w:cs="Times New Roman"/>
              <w:spacing w:val="1"/>
              <w:sz w:val="21"/>
              <w:szCs w:val="21"/>
            </w:rPr>
            <w:t>B1.</w:t>
          </w:r>
          <w:r>
            <w:rPr>
              <w:rFonts w:ascii="Times New Roman" w:hAnsi="Times New Roman" w:eastAsia="Times New Roman" w:cs="Times New Roman"/>
              <w:spacing w:val="13"/>
              <w:sz w:val="21"/>
              <w:szCs w:val="21"/>
            </w:rPr>
            <w:t xml:space="preserve">  </w:t>
          </w:r>
          <w:r>
            <w:rPr>
              <w:rFonts w:ascii="黑体" w:hAnsi="黑体" w:eastAsia="黑体" w:cs="黑体"/>
              <w:spacing w:val="1"/>
              <w:sz w:val="21"/>
              <w:szCs w:val="21"/>
            </w:rPr>
            <w:t>否决投标的条件</w:t>
          </w:r>
          <w:r>
            <w:rPr>
              <w:rFonts w:ascii="黑体" w:hAnsi="黑体" w:eastAsia="黑体" w:cs="黑体"/>
              <w:spacing w:val="-85"/>
              <w:sz w:val="21"/>
              <w:szCs w:val="21"/>
            </w:rPr>
            <w:t xml:space="preserve"> </w:t>
          </w:r>
          <w:r>
            <w:rPr>
              <w:rFonts w:ascii="黑体" w:hAnsi="黑体" w:eastAsia="黑体" w:cs="黑体"/>
              <w:sz w:val="21"/>
              <w:szCs w:val="21"/>
            </w:rPr>
            <w:tab/>
          </w:r>
          <w:r>
            <w:rPr>
              <w:rFonts w:ascii="Times New Roman" w:hAnsi="Times New Roman" w:eastAsia="Times New Roman" w:cs="Times New Roman"/>
              <w:spacing w:val="-1"/>
              <w:sz w:val="21"/>
              <w:szCs w:val="21"/>
            </w:rPr>
            <w:t>70</w:t>
          </w:r>
          <w:r>
            <w:rPr>
              <w:rFonts w:ascii="Times New Roman" w:hAnsi="Times New Roman" w:eastAsia="Times New Roman" w:cs="Times New Roman"/>
              <w:spacing w:val="-1"/>
              <w:sz w:val="21"/>
              <w:szCs w:val="21"/>
            </w:rPr>
            <w:fldChar w:fldCharType="end"/>
          </w:r>
        </w:p>
        <w:p w14:paraId="18D20164">
          <w:pPr>
            <w:tabs>
              <w:tab w:val="right" w:leader="dot" w:pos="9055"/>
            </w:tabs>
            <w:spacing w:before="58" w:line="223" w:lineRule="auto"/>
            <w:ind w:left="433"/>
            <w:rPr>
              <w:rFonts w:ascii="Times New Roman" w:hAnsi="Times New Roman" w:eastAsia="Times New Roman" w:cs="Times New Roman"/>
              <w:sz w:val="21"/>
              <w:szCs w:val="21"/>
            </w:rPr>
          </w:pPr>
          <w:r>
            <w:fldChar w:fldCharType="begin"/>
          </w:r>
          <w:r>
            <w:instrText xml:space="preserve"> HYPERLINK \l "bookmark139" </w:instrText>
          </w:r>
          <w:r>
            <w:fldChar w:fldCharType="separate"/>
          </w:r>
          <w:r>
            <w:rPr>
              <w:rFonts w:ascii="黑体" w:hAnsi="黑体" w:eastAsia="黑体" w:cs="黑体"/>
              <w:spacing w:val="13"/>
              <w:sz w:val="21"/>
              <w:szCs w:val="21"/>
            </w:rPr>
            <w:t>附件</w:t>
          </w:r>
          <w:r>
            <w:rPr>
              <w:rFonts w:ascii="Times New Roman" w:hAnsi="Times New Roman" w:eastAsia="Times New Roman" w:cs="Times New Roman"/>
              <w:spacing w:val="13"/>
              <w:sz w:val="21"/>
              <w:szCs w:val="21"/>
            </w:rPr>
            <w:t>C</w:t>
          </w:r>
          <w:r>
            <w:rPr>
              <w:rFonts w:ascii="黑体" w:hAnsi="黑体" w:eastAsia="黑体" w:cs="黑体"/>
              <w:spacing w:val="13"/>
              <w:sz w:val="21"/>
              <w:szCs w:val="21"/>
            </w:rPr>
            <w:t>:清标报告</w:t>
          </w:r>
          <w:r>
            <w:rPr>
              <w:rFonts w:ascii="黑体" w:hAnsi="黑体" w:eastAsia="黑体" w:cs="黑体"/>
              <w:spacing w:val="-86"/>
              <w:sz w:val="21"/>
              <w:szCs w:val="21"/>
            </w:rPr>
            <w:t xml:space="preserve"> </w:t>
          </w:r>
          <w:r>
            <w:rPr>
              <w:rFonts w:ascii="黑体" w:hAnsi="黑体" w:eastAsia="黑体" w:cs="黑体"/>
              <w:sz w:val="21"/>
              <w:szCs w:val="21"/>
            </w:rPr>
            <w:tab/>
          </w:r>
          <w:r>
            <w:rPr>
              <w:rFonts w:ascii="黑体" w:hAnsi="黑体" w:eastAsia="黑体" w:cs="黑体"/>
              <w:spacing w:val="-12"/>
              <w:sz w:val="21"/>
              <w:szCs w:val="21"/>
            </w:rPr>
            <w:t xml:space="preserve"> </w:t>
          </w:r>
          <w:r>
            <w:rPr>
              <w:rFonts w:ascii="Times New Roman" w:hAnsi="Times New Roman" w:eastAsia="Times New Roman" w:cs="Times New Roman"/>
              <w:spacing w:val="-2"/>
              <w:sz w:val="21"/>
              <w:szCs w:val="21"/>
            </w:rPr>
            <w:t>71</w:t>
          </w:r>
          <w:r>
            <w:rPr>
              <w:rFonts w:ascii="Times New Roman" w:hAnsi="Times New Roman" w:eastAsia="Times New Roman" w:cs="Times New Roman"/>
              <w:spacing w:val="-2"/>
              <w:sz w:val="21"/>
              <w:szCs w:val="21"/>
            </w:rPr>
            <w:fldChar w:fldCharType="end"/>
          </w:r>
        </w:p>
        <w:p w14:paraId="70633DF8">
          <w:pPr>
            <w:tabs>
              <w:tab w:val="right" w:leader="dot" w:pos="8305"/>
            </w:tabs>
            <w:spacing w:before="74" w:line="222" w:lineRule="auto"/>
            <w:ind w:left="833"/>
            <w:rPr>
              <w:rFonts w:ascii="Times New Roman" w:hAnsi="Times New Roman" w:eastAsia="Times New Roman" w:cs="Times New Roman"/>
              <w:sz w:val="21"/>
              <w:szCs w:val="21"/>
            </w:rPr>
          </w:pPr>
          <w:r>
            <w:fldChar w:fldCharType="begin"/>
          </w:r>
          <w:r>
            <w:instrText xml:space="preserve"> HYPERLINK \l "bookmark140" </w:instrText>
          </w:r>
          <w:r>
            <w:fldChar w:fldCharType="separate"/>
          </w:r>
          <w:r>
            <w:rPr>
              <w:rFonts w:ascii="黑体" w:hAnsi="黑体" w:eastAsia="黑体" w:cs="黑体"/>
              <w:sz w:val="21"/>
              <w:szCs w:val="21"/>
            </w:rPr>
            <w:t>CO</w:t>
          </w:r>
          <w:r>
            <w:rPr>
              <w:rFonts w:ascii="黑体" w:hAnsi="黑体" w:eastAsia="黑体" w:cs="黑体"/>
              <w:spacing w:val="20"/>
              <w:sz w:val="21"/>
              <w:szCs w:val="21"/>
            </w:rPr>
            <w:t>.总</w:t>
          </w:r>
          <w:r>
            <w:rPr>
              <w:rFonts w:ascii="黑体" w:hAnsi="黑体" w:eastAsia="黑体" w:cs="黑体"/>
              <w:spacing w:val="59"/>
              <w:sz w:val="21"/>
              <w:szCs w:val="21"/>
            </w:rPr>
            <w:t xml:space="preserve"> </w:t>
          </w:r>
          <w:r>
            <w:rPr>
              <w:rFonts w:ascii="黑体" w:hAnsi="黑体" w:eastAsia="黑体" w:cs="黑体"/>
              <w:spacing w:val="20"/>
              <w:sz w:val="21"/>
              <w:szCs w:val="21"/>
            </w:rPr>
            <w:t>则</w:t>
          </w:r>
          <w:r>
            <w:rPr>
              <w:rFonts w:ascii="黑体" w:hAnsi="黑体" w:eastAsia="黑体" w:cs="黑体"/>
              <w:spacing w:val="-95"/>
              <w:sz w:val="21"/>
              <w:szCs w:val="21"/>
            </w:rPr>
            <w:t xml:space="preserve"> </w:t>
          </w:r>
          <w:r>
            <w:rPr>
              <w:rFonts w:ascii="黑体" w:hAnsi="黑体" w:eastAsia="黑体" w:cs="黑体"/>
              <w:sz w:val="21"/>
              <w:szCs w:val="21"/>
            </w:rPr>
            <w:tab/>
          </w:r>
          <w:r>
            <w:rPr>
              <w:rFonts w:ascii="Times New Roman" w:hAnsi="Times New Roman" w:eastAsia="Times New Roman" w:cs="Times New Roman"/>
              <w:spacing w:val="7"/>
              <w:sz w:val="21"/>
              <w:szCs w:val="21"/>
            </w:rPr>
            <w:t>71</w:t>
          </w:r>
          <w:r>
            <w:rPr>
              <w:rFonts w:ascii="Times New Roman" w:hAnsi="Times New Roman" w:eastAsia="Times New Roman" w:cs="Times New Roman"/>
              <w:spacing w:val="7"/>
              <w:sz w:val="21"/>
              <w:szCs w:val="21"/>
            </w:rPr>
            <w:fldChar w:fldCharType="end"/>
          </w:r>
        </w:p>
        <w:p w14:paraId="55C837D3">
          <w:pPr>
            <w:tabs>
              <w:tab w:val="right" w:leader="dot" w:pos="8305"/>
            </w:tabs>
            <w:spacing w:before="58" w:line="222" w:lineRule="auto"/>
            <w:ind w:left="833"/>
            <w:rPr>
              <w:rFonts w:ascii="Times New Roman" w:hAnsi="Times New Roman" w:eastAsia="Times New Roman" w:cs="Times New Roman"/>
              <w:sz w:val="21"/>
              <w:szCs w:val="21"/>
            </w:rPr>
          </w:pPr>
          <w:r>
            <w:fldChar w:fldCharType="begin"/>
          </w:r>
          <w:r>
            <w:instrText xml:space="preserve"> HYPERLINK \l "bookmark141" </w:instrText>
          </w:r>
          <w:r>
            <w:fldChar w:fldCharType="separate"/>
          </w:r>
          <w:r>
            <w:rPr>
              <w:rFonts w:ascii="Times New Roman" w:hAnsi="Times New Roman" w:eastAsia="Times New Roman" w:cs="Times New Roman"/>
              <w:spacing w:val="6"/>
              <w:sz w:val="21"/>
              <w:szCs w:val="21"/>
            </w:rPr>
            <w:t>C1.</w:t>
          </w:r>
          <w:r>
            <w:rPr>
              <w:rFonts w:ascii="黑体" w:hAnsi="黑体" w:eastAsia="黑体" w:cs="黑体"/>
              <w:spacing w:val="6"/>
              <w:sz w:val="21"/>
              <w:szCs w:val="21"/>
            </w:rPr>
            <w:t>清标程序</w:t>
          </w:r>
          <w:r>
            <w:rPr>
              <w:rFonts w:ascii="黑体" w:hAnsi="黑体" w:eastAsia="黑体" w:cs="黑体"/>
              <w:spacing w:val="-86"/>
              <w:sz w:val="21"/>
              <w:szCs w:val="21"/>
            </w:rPr>
            <w:t xml:space="preserve"> </w:t>
          </w:r>
          <w:r>
            <w:rPr>
              <w:rFonts w:ascii="黑体" w:hAnsi="黑体" w:eastAsia="黑体" w:cs="黑体"/>
              <w:sz w:val="21"/>
              <w:szCs w:val="21"/>
            </w:rPr>
            <w:tab/>
          </w:r>
          <w:r>
            <w:rPr>
              <w:rFonts w:ascii="Times New Roman" w:hAnsi="Times New Roman" w:eastAsia="Times New Roman" w:cs="Times New Roman"/>
              <w:spacing w:val="-1"/>
              <w:sz w:val="21"/>
              <w:szCs w:val="21"/>
            </w:rPr>
            <w:t>71</w:t>
          </w:r>
          <w:r>
            <w:rPr>
              <w:rFonts w:ascii="Times New Roman" w:hAnsi="Times New Roman" w:eastAsia="Times New Roman" w:cs="Times New Roman"/>
              <w:spacing w:val="-1"/>
              <w:sz w:val="21"/>
              <w:szCs w:val="21"/>
            </w:rPr>
            <w:fldChar w:fldCharType="end"/>
          </w:r>
        </w:p>
        <w:p w14:paraId="341C753E">
          <w:pPr>
            <w:tabs>
              <w:tab w:val="right" w:leader="dot" w:pos="8305"/>
            </w:tabs>
            <w:spacing w:before="59" w:line="222" w:lineRule="auto"/>
            <w:ind w:left="833"/>
            <w:rPr>
              <w:rFonts w:ascii="Times New Roman" w:hAnsi="Times New Roman" w:eastAsia="Times New Roman" w:cs="Times New Roman"/>
              <w:sz w:val="21"/>
              <w:szCs w:val="21"/>
            </w:rPr>
          </w:pPr>
          <w:r>
            <w:fldChar w:fldCharType="begin"/>
          </w:r>
          <w:r>
            <w:instrText xml:space="preserve"> HYPERLINK \l "bookmark142" </w:instrText>
          </w:r>
          <w:r>
            <w:fldChar w:fldCharType="separate"/>
          </w:r>
          <w:r>
            <w:rPr>
              <w:rFonts w:ascii="Times New Roman" w:hAnsi="Times New Roman" w:eastAsia="Times New Roman" w:cs="Times New Roman"/>
              <w:spacing w:val="3"/>
              <w:sz w:val="21"/>
              <w:szCs w:val="21"/>
            </w:rPr>
            <w:t>C2.</w:t>
          </w:r>
          <w:r>
            <w:rPr>
              <w:rFonts w:ascii="黑体" w:hAnsi="黑体" w:eastAsia="黑体" w:cs="黑体"/>
              <w:spacing w:val="3"/>
              <w:sz w:val="21"/>
              <w:szCs w:val="21"/>
            </w:rPr>
            <w:t>清标内容</w:t>
          </w:r>
          <w:r>
            <w:rPr>
              <w:rFonts w:ascii="黑体" w:hAnsi="黑体" w:eastAsia="黑体" w:cs="黑体"/>
              <w:spacing w:val="-85"/>
              <w:sz w:val="21"/>
              <w:szCs w:val="21"/>
            </w:rPr>
            <w:t xml:space="preserve"> </w:t>
          </w:r>
          <w:r>
            <w:rPr>
              <w:rFonts w:ascii="黑体" w:hAnsi="黑体" w:eastAsia="黑体" w:cs="黑体"/>
              <w:sz w:val="21"/>
              <w:szCs w:val="21"/>
            </w:rPr>
            <w:tab/>
          </w:r>
          <w:r>
            <w:rPr>
              <w:rFonts w:ascii="Times New Roman" w:hAnsi="Times New Roman" w:eastAsia="Times New Roman" w:cs="Times New Roman"/>
              <w:spacing w:val="8"/>
              <w:sz w:val="21"/>
              <w:szCs w:val="21"/>
            </w:rPr>
            <w:t>71</w:t>
          </w:r>
          <w:r>
            <w:rPr>
              <w:rFonts w:ascii="Times New Roman" w:hAnsi="Times New Roman" w:eastAsia="Times New Roman" w:cs="Times New Roman"/>
              <w:spacing w:val="8"/>
              <w:sz w:val="21"/>
              <w:szCs w:val="21"/>
            </w:rPr>
            <w:fldChar w:fldCharType="end"/>
          </w:r>
        </w:p>
        <w:p w14:paraId="28F88F6F">
          <w:pPr>
            <w:tabs>
              <w:tab w:val="right" w:leader="dot" w:pos="8305"/>
            </w:tabs>
            <w:spacing w:before="56" w:line="222" w:lineRule="auto"/>
            <w:ind w:left="833"/>
            <w:rPr>
              <w:rFonts w:ascii="Times New Roman" w:hAnsi="Times New Roman" w:eastAsia="Times New Roman" w:cs="Times New Roman"/>
              <w:sz w:val="21"/>
              <w:szCs w:val="21"/>
            </w:rPr>
          </w:pPr>
          <w:r>
            <w:fldChar w:fldCharType="begin"/>
          </w:r>
          <w:r>
            <w:instrText xml:space="preserve"> HYPERLINK \l "bookmark143" </w:instrText>
          </w:r>
          <w:r>
            <w:fldChar w:fldCharType="separate"/>
          </w:r>
          <w:r>
            <w:rPr>
              <w:rFonts w:ascii="Times New Roman" w:hAnsi="Times New Roman" w:eastAsia="Times New Roman" w:cs="Times New Roman"/>
              <w:spacing w:val="-1"/>
              <w:sz w:val="21"/>
              <w:szCs w:val="21"/>
            </w:rPr>
            <w:t xml:space="preserve">C2.1  </w:t>
          </w:r>
          <w:r>
            <w:rPr>
              <w:rFonts w:ascii="黑体" w:hAnsi="黑体" w:eastAsia="黑体" w:cs="黑体"/>
              <w:spacing w:val="-1"/>
              <w:sz w:val="21"/>
              <w:szCs w:val="21"/>
            </w:rPr>
            <w:t>已标价工程量清单符合性检查</w:t>
          </w:r>
          <w:r>
            <w:rPr>
              <w:rFonts w:ascii="黑体" w:hAnsi="黑体" w:eastAsia="黑体" w:cs="黑体"/>
              <w:spacing w:val="-75"/>
              <w:sz w:val="21"/>
              <w:szCs w:val="21"/>
            </w:rPr>
            <w:t xml:space="preserve"> </w:t>
          </w:r>
          <w:r>
            <w:rPr>
              <w:rFonts w:ascii="黑体" w:hAnsi="黑体" w:eastAsia="黑体" w:cs="黑体"/>
              <w:sz w:val="21"/>
              <w:szCs w:val="21"/>
            </w:rPr>
            <w:tab/>
          </w:r>
          <w:r>
            <w:rPr>
              <w:rFonts w:ascii="黑体" w:hAnsi="黑体" w:eastAsia="黑体" w:cs="黑体"/>
              <w:spacing w:val="-51"/>
              <w:sz w:val="21"/>
              <w:szCs w:val="21"/>
            </w:rPr>
            <w:t xml:space="preserve"> </w:t>
          </w:r>
          <w:r>
            <w:rPr>
              <w:rFonts w:ascii="Times New Roman" w:hAnsi="Times New Roman" w:eastAsia="Times New Roman" w:cs="Times New Roman"/>
              <w:spacing w:val="-2"/>
              <w:sz w:val="21"/>
              <w:szCs w:val="21"/>
            </w:rPr>
            <w:t>71</w:t>
          </w:r>
          <w:r>
            <w:rPr>
              <w:rFonts w:ascii="Times New Roman" w:hAnsi="Times New Roman" w:eastAsia="Times New Roman" w:cs="Times New Roman"/>
              <w:spacing w:val="-2"/>
              <w:sz w:val="21"/>
              <w:szCs w:val="21"/>
            </w:rPr>
            <w:fldChar w:fldCharType="end"/>
          </w:r>
        </w:p>
        <w:p w14:paraId="35ACDDC4">
          <w:pPr>
            <w:tabs>
              <w:tab w:val="right" w:leader="dot" w:pos="8305"/>
            </w:tabs>
            <w:spacing w:before="67" w:line="222" w:lineRule="auto"/>
            <w:ind w:left="833"/>
            <w:rPr>
              <w:rFonts w:ascii="Times New Roman" w:hAnsi="Times New Roman" w:eastAsia="Times New Roman" w:cs="Times New Roman"/>
              <w:sz w:val="21"/>
              <w:szCs w:val="21"/>
            </w:rPr>
          </w:pPr>
          <w:r>
            <w:fldChar w:fldCharType="begin"/>
          </w:r>
          <w:r>
            <w:instrText xml:space="preserve"> HYPERLINK \l "bookmark144" </w:instrText>
          </w:r>
          <w:r>
            <w:fldChar w:fldCharType="separate"/>
          </w:r>
          <w:r>
            <w:rPr>
              <w:rFonts w:ascii="Times New Roman" w:hAnsi="Times New Roman" w:eastAsia="Times New Roman" w:cs="Times New Roman"/>
              <w:spacing w:val="1"/>
              <w:sz w:val="21"/>
              <w:szCs w:val="21"/>
            </w:rPr>
            <w:t>C2.2</w:t>
          </w:r>
          <w:r>
            <w:rPr>
              <w:rFonts w:ascii="Times New Roman" w:hAnsi="Times New Roman" w:eastAsia="Times New Roman" w:cs="Times New Roman"/>
              <w:spacing w:val="42"/>
              <w:sz w:val="21"/>
              <w:szCs w:val="21"/>
            </w:rPr>
            <w:t xml:space="preserve"> </w:t>
          </w:r>
          <w:r>
            <w:rPr>
              <w:rFonts w:ascii="黑体" w:hAnsi="黑体" w:eastAsia="黑体" w:cs="黑体"/>
              <w:spacing w:val="1"/>
              <w:sz w:val="21"/>
              <w:szCs w:val="21"/>
            </w:rPr>
            <w:t>已标价工程量清单算术错误修正</w:t>
          </w:r>
          <w:r>
            <w:rPr>
              <w:rFonts w:ascii="黑体" w:hAnsi="黑体" w:eastAsia="黑体" w:cs="黑体"/>
              <w:spacing w:val="-91"/>
              <w:sz w:val="21"/>
              <w:szCs w:val="21"/>
            </w:rPr>
            <w:t xml:space="preserve"> </w:t>
          </w:r>
          <w:r>
            <w:rPr>
              <w:rFonts w:ascii="黑体" w:hAnsi="黑体" w:eastAsia="黑体" w:cs="黑体"/>
              <w:sz w:val="21"/>
              <w:szCs w:val="21"/>
            </w:rPr>
            <w:tab/>
          </w:r>
          <w:r>
            <w:rPr>
              <w:rFonts w:ascii="黑体" w:hAnsi="黑体" w:eastAsia="黑体" w:cs="黑体"/>
              <w:spacing w:val="-62"/>
              <w:sz w:val="21"/>
              <w:szCs w:val="21"/>
            </w:rPr>
            <w:t xml:space="preserve"> </w:t>
          </w:r>
          <w:r>
            <w:rPr>
              <w:rFonts w:ascii="Times New Roman" w:hAnsi="Times New Roman" w:eastAsia="Times New Roman" w:cs="Times New Roman"/>
              <w:spacing w:val="-2"/>
              <w:sz w:val="21"/>
              <w:szCs w:val="21"/>
            </w:rPr>
            <w:t>72</w:t>
          </w:r>
          <w:r>
            <w:rPr>
              <w:rFonts w:ascii="Times New Roman" w:hAnsi="Times New Roman" w:eastAsia="Times New Roman" w:cs="Times New Roman"/>
              <w:spacing w:val="-2"/>
              <w:sz w:val="21"/>
              <w:szCs w:val="21"/>
            </w:rPr>
            <w:fldChar w:fldCharType="end"/>
          </w:r>
        </w:p>
        <w:p w14:paraId="49343280">
          <w:pPr>
            <w:tabs>
              <w:tab w:val="right" w:leader="dot" w:pos="8295"/>
            </w:tabs>
            <w:spacing w:before="58" w:line="222" w:lineRule="auto"/>
            <w:ind w:left="833"/>
            <w:rPr>
              <w:rFonts w:ascii="Times New Roman" w:hAnsi="Times New Roman" w:eastAsia="Times New Roman" w:cs="Times New Roman"/>
              <w:sz w:val="21"/>
              <w:szCs w:val="21"/>
            </w:rPr>
          </w:pPr>
          <w:r>
            <w:fldChar w:fldCharType="begin"/>
          </w:r>
          <w:r>
            <w:instrText xml:space="preserve"> HYPERLINK \l "bookmark145" </w:instrText>
          </w:r>
          <w:r>
            <w:fldChar w:fldCharType="separate"/>
          </w:r>
          <w:r>
            <w:rPr>
              <w:rFonts w:ascii="Times New Roman" w:hAnsi="Times New Roman" w:eastAsia="Times New Roman" w:cs="Times New Roman"/>
              <w:spacing w:val="1"/>
              <w:sz w:val="21"/>
              <w:szCs w:val="21"/>
            </w:rPr>
            <w:t>C2.3</w:t>
          </w:r>
          <w:r>
            <w:rPr>
              <w:rFonts w:ascii="Times New Roman" w:hAnsi="Times New Roman" w:eastAsia="Times New Roman" w:cs="Times New Roman"/>
              <w:spacing w:val="36"/>
              <w:sz w:val="21"/>
              <w:szCs w:val="21"/>
            </w:rPr>
            <w:t xml:space="preserve"> </w:t>
          </w:r>
          <w:r>
            <w:rPr>
              <w:rFonts w:ascii="黑体" w:hAnsi="黑体" w:eastAsia="黑体" w:cs="黑体"/>
              <w:spacing w:val="1"/>
              <w:sz w:val="21"/>
              <w:szCs w:val="21"/>
            </w:rPr>
            <w:t>已标价工程量清单偏差分析</w:t>
          </w:r>
          <w:r>
            <w:rPr>
              <w:rFonts w:ascii="黑体" w:hAnsi="黑体" w:eastAsia="黑体" w:cs="黑体"/>
              <w:spacing w:val="-84"/>
              <w:sz w:val="21"/>
              <w:szCs w:val="21"/>
            </w:rPr>
            <w:t xml:space="preserve"> </w:t>
          </w:r>
          <w:r>
            <w:rPr>
              <w:rFonts w:ascii="黑体" w:hAnsi="黑体" w:eastAsia="黑体" w:cs="黑体"/>
              <w:sz w:val="21"/>
              <w:szCs w:val="21"/>
            </w:rPr>
            <w:tab/>
          </w:r>
          <w:r>
            <w:rPr>
              <w:rFonts w:ascii="黑体" w:hAnsi="黑体" w:eastAsia="黑体" w:cs="黑体"/>
              <w:spacing w:val="-71"/>
              <w:sz w:val="21"/>
              <w:szCs w:val="21"/>
            </w:rPr>
            <w:t xml:space="preserve"> </w:t>
          </w:r>
          <w:r>
            <w:rPr>
              <w:rFonts w:ascii="Times New Roman" w:hAnsi="Times New Roman" w:eastAsia="Times New Roman" w:cs="Times New Roman"/>
              <w:spacing w:val="-2"/>
              <w:sz w:val="21"/>
              <w:szCs w:val="21"/>
            </w:rPr>
            <w:t>72</w:t>
          </w:r>
          <w:r>
            <w:rPr>
              <w:rFonts w:ascii="Times New Roman" w:hAnsi="Times New Roman" w:eastAsia="Times New Roman" w:cs="Times New Roman"/>
              <w:spacing w:val="-2"/>
              <w:sz w:val="21"/>
              <w:szCs w:val="21"/>
            </w:rPr>
            <w:fldChar w:fldCharType="end"/>
          </w:r>
        </w:p>
        <w:p w14:paraId="11F1ECF3">
          <w:pPr>
            <w:tabs>
              <w:tab w:val="right" w:leader="dot" w:pos="8295"/>
            </w:tabs>
            <w:spacing w:before="59" w:line="223" w:lineRule="auto"/>
            <w:ind w:left="833"/>
            <w:rPr>
              <w:rFonts w:ascii="Times New Roman" w:hAnsi="Times New Roman" w:eastAsia="Times New Roman" w:cs="Times New Roman"/>
              <w:sz w:val="21"/>
              <w:szCs w:val="21"/>
            </w:rPr>
          </w:pPr>
          <w:r>
            <w:fldChar w:fldCharType="begin"/>
          </w:r>
          <w:r>
            <w:instrText xml:space="preserve"> HYPERLINK \l "bookmark146" </w:instrText>
          </w:r>
          <w:r>
            <w:fldChar w:fldCharType="separate"/>
          </w:r>
          <w:r>
            <w:rPr>
              <w:rFonts w:ascii="Times New Roman" w:hAnsi="Times New Roman" w:eastAsia="Times New Roman" w:cs="Times New Roman"/>
              <w:spacing w:val="6"/>
              <w:sz w:val="21"/>
              <w:szCs w:val="21"/>
            </w:rPr>
            <w:t>C3.</w:t>
          </w:r>
          <w:r>
            <w:rPr>
              <w:rFonts w:ascii="黑体" w:hAnsi="黑体" w:eastAsia="黑体" w:cs="黑体"/>
              <w:spacing w:val="6"/>
              <w:sz w:val="21"/>
              <w:szCs w:val="21"/>
            </w:rPr>
            <w:t>清标报告</w:t>
          </w:r>
          <w:r>
            <w:rPr>
              <w:rFonts w:ascii="黑体" w:hAnsi="黑体" w:eastAsia="黑体" w:cs="黑体"/>
              <w:spacing w:val="-86"/>
              <w:sz w:val="21"/>
              <w:szCs w:val="21"/>
            </w:rPr>
            <w:t xml:space="preserve"> </w:t>
          </w:r>
          <w:r>
            <w:rPr>
              <w:rFonts w:ascii="黑体" w:hAnsi="黑体" w:eastAsia="黑体" w:cs="黑体"/>
              <w:sz w:val="21"/>
              <w:szCs w:val="21"/>
            </w:rPr>
            <w:tab/>
          </w:r>
          <w:r>
            <w:rPr>
              <w:rFonts w:ascii="Times New Roman" w:hAnsi="Times New Roman" w:eastAsia="Times New Roman" w:cs="Times New Roman"/>
              <w:spacing w:val="-4"/>
              <w:sz w:val="21"/>
              <w:szCs w:val="21"/>
            </w:rPr>
            <w:t>73</w:t>
          </w:r>
          <w:r>
            <w:rPr>
              <w:rFonts w:ascii="Times New Roman" w:hAnsi="Times New Roman" w:eastAsia="Times New Roman" w:cs="Times New Roman"/>
              <w:spacing w:val="-4"/>
              <w:sz w:val="21"/>
              <w:szCs w:val="21"/>
            </w:rPr>
            <w:fldChar w:fldCharType="end"/>
          </w:r>
        </w:p>
        <w:p w14:paraId="0A09302E">
          <w:pPr>
            <w:tabs>
              <w:tab w:val="right" w:leader="dot" w:pos="9055"/>
            </w:tabs>
            <w:spacing w:before="54" w:line="221" w:lineRule="auto"/>
            <w:ind w:left="433"/>
            <w:rPr>
              <w:rFonts w:ascii="Times New Roman" w:hAnsi="Times New Roman" w:eastAsia="Times New Roman" w:cs="Times New Roman"/>
              <w:sz w:val="21"/>
              <w:szCs w:val="21"/>
            </w:rPr>
          </w:pPr>
          <w:r>
            <w:fldChar w:fldCharType="begin"/>
          </w:r>
          <w:r>
            <w:instrText xml:space="preserve"> HYPERLINK \l "bookmark147" </w:instrText>
          </w:r>
          <w:r>
            <w:fldChar w:fldCharType="separate"/>
          </w:r>
          <w:r>
            <w:rPr>
              <w:rFonts w:ascii="黑体" w:hAnsi="黑体" w:eastAsia="黑体" w:cs="黑体"/>
              <w:spacing w:val="5"/>
              <w:sz w:val="21"/>
              <w:szCs w:val="21"/>
            </w:rPr>
            <w:t>附件</w:t>
          </w:r>
          <w:r>
            <w:rPr>
              <w:rFonts w:ascii="黑体" w:hAnsi="黑体" w:eastAsia="黑体" w:cs="黑体"/>
              <w:spacing w:val="-47"/>
              <w:sz w:val="21"/>
              <w:szCs w:val="21"/>
            </w:rPr>
            <w:t xml:space="preserve"> </w:t>
          </w:r>
          <w:r>
            <w:rPr>
              <w:rFonts w:ascii="Times New Roman" w:hAnsi="Times New Roman" w:eastAsia="Times New Roman" w:cs="Times New Roman"/>
              <w:spacing w:val="5"/>
              <w:sz w:val="21"/>
              <w:szCs w:val="21"/>
            </w:rPr>
            <w:t>D</w:t>
          </w:r>
          <w:r>
            <w:rPr>
              <w:rFonts w:ascii="黑体" w:hAnsi="黑体" w:eastAsia="黑体" w:cs="黑体"/>
              <w:spacing w:val="5"/>
              <w:sz w:val="21"/>
              <w:szCs w:val="21"/>
            </w:rPr>
            <w:t>:投标人成本评审办法</w:t>
          </w:r>
          <w:r>
            <w:rPr>
              <w:rFonts w:ascii="黑体" w:hAnsi="黑体" w:eastAsia="黑体" w:cs="黑体"/>
              <w:spacing w:val="-86"/>
              <w:sz w:val="21"/>
              <w:szCs w:val="21"/>
            </w:rPr>
            <w:t xml:space="preserve"> </w:t>
          </w:r>
          <w:r>
            <w:rPr>
              <w:rFonts w:ascii="黑体" w:hAnsi="黑体" w:eastAsia="黑体" w:cs="黑体"/>
              <w:sz w:val="21"/>
              <w:szCs w:val="21"/>
            </w:rPr>
            <w:tab/>
          </w:r>
          <w:r>
            <w:rPr>
              <w:rFonts w:ascii="黑体" w:hAnsi="黑体" w:eastAsia="黑体" w:cs="黑体"/>
              <w:spacing w:val="-42"/>
              <w:sz w:val="21"/>
              <w:szCs w:val="21"/>
            </w:rPr>
            <w:t xml:space="preserve"> </w:t>
          </w:r>
          <w:r>
            <w:rPr>
              <w:rFonts w:ascii="Times New Roman" w:hAnsi="Times New Roman" w:eastAsia="Times New Roman" w:cs="Times New Roman"/>
              <w:spacing w:val="-2"/>
              <w:sz w:val="21"/>
              <w:szCs w:val="21"/>
            </w:rPr>
            <w:t>74</w:t>
          </w:r>
          <w:r>
            <w:rPr>
              <w:rFonts w:ascii="Times New Roman" w:hAnsi="Times New Roman" w:eastAsia="Times New Roman" w:cs="Times New Roman"/>
              <w:spacing w:val="-2"/>
              <w:sz w:val="21"/>
              <w:szCs w:val="21"/>
            </w:rPr>
            <w:fldChar w:fldCharType="end"/>
          </w:r>
        </w:p>
        <w:p w14:paraId="1A86C184">
          <w:pPr>
            <w:tabs>
              <w:tab w:val="right" w:leader="dot" w:pos="8295"/>
            </w:tabs>
            <w:spacing w:before="49" w:line="222" w:lineRule="auto"/>
            <w:ind w:left="833"/>
            <w:rPr>
              <w:rFonts w:ascii="Times New Roman" w:hAnsi="Times New Roman" w:eastAsia="Times New Roman" w:cs="Times New Roman"/>
              <w:sz w:val="21"/>
              <w:szCs w:val="21"/>
            </w:rPr>
          </w:pPr>
          <w:r>
            <w:fldChar w:fldCharType="begin"/>
          </w:r>
          <w:r>
            <w:instrText xml:space="preserve"> HYPERLINK \l "bookmark148" </w:instrText>
          </w:r>
          <w:r>
            <w:fldChar w:fldCharType="separate"/>
          </w:r>
          <w:r>
            <w:rPr>
              <w:rFonts w:ascii="黑体" w:hAnsi="黑体" w:eastAsia="黑体" w:cs="黑体"/>
              <w:spacing w:val="4"/>
              <w:sz w:val="21"/>
              <w:szCs w:val="21"/>
            </w:rPr>
            <w:t>D0</w:t>
          </w:r>
          <w:r>
            <w:rPr>
              <w:rFonts w:ascii="黑体" w:hAnsi="黑体" w:eastAsia="黑体" w:cs="黑体"/>
              <w:spacing w:val="-59"/>
              <w:sz w:val="21"/>
              <w:szCs w:val="21"/>
            </w:rPr>
            <w:t xml:space="preserve"> </w:t>
          </w:r>
          <w:r>
            <w:rPr>
              <w:rFonts w:ascii="黑体" w:hAnsi="黑体" w:eastAsia="黑体" w:cs="黑体"/>
              <w:spacing w:val="4"/>
              <w:sz w:val="21"/>
              <w:szCs w:val="21"/>
            </w:rPr>
            <w:t>.总</w:t>
          </w:r>
          <w:r>
            <w:rPr>
              <w:rFonts w:ascii="黑体" w:hAnsi="黑体" w:eastAsia="黑体" w:cs="黑体"/>
              <w:spacing w:val="63"/>
              <w:sz w:val="21"/>
              <w:szCs w:val="21"/>
            </w:rPr>
            <w:t xml:space="preserve"> </w:t>
          </w:r>
          <w:r>
            <w:rPr>
              <w:rFonts w:ascii="黑体" w:hAnsi="黑体" w:eastAsia="黑体" w:cs="黑体"/>
              <w:spacing w:val="4"/>
              <w:sz w:val="21"/>
              <w:szCs w:val="21"/>
            </w:rPr>
            <w:t>则</w:t>
          </w:r>
          <w:r>
            <w:rPr>
              <w:rFonts w:ascii="黑体" w:hAnsi="黑体" w:eastAsia="黑体" w:cs="黑体"/>
              <w:spacing w:val="-95"/>
              <w:sz w:val="21"/>
              <w:szCs w:val="21"/>
            </w:rPr>
            <w:t xml:space="preserve"> </w:t>
          </w:r>
          <w:r>
            <w:rPr>
              <w:rFonts w:ascii="黑体" w:hAnsi="黑体" w:eastAsia="黑体" w:cs="黑体"/>
              <w:sz w:val="21"/>
              <w:szCs w:val="21"/>
            </w:rPr>
            <w:tab/>
          </w:r>
          <w:r>
            <w:rPr>
              <w:rFonts w:ascii="Times New Roman" w:hAnsi="Times New Roman" w:eastAsia="Times New Roman" w:cs="Times New Roman"/>
              <w:spacing w:val="-2"/>
              <w:sz w:val="21"/>
              <w:szCs w:val="21"/>
            </w:rPr>
            <w:t>74</w:t>
          </w:r>
          <w:r>
            <w:rPr>
              <w:rFonts w:ascii="Times New Roman" w:hAnsi="Times New Roman" w:eastAsia="Times New Roman" w:cs="Times New Roman"/>
              <w:spacing w:val="-2"/>
              <w:sz w:val="21"/>
              <w:szCs w:val="21"/>
            </w:rPr>
            <w:fldChar w:fldCharType="end"/>
          </w:r>
        </w:p>
        <w:p w14:paraId="251533E6">
          <w:pPr>
            <w:tabs>
              <w:tab w:val="right" w:leader="dot" w:pos="8295"/>
            </w:tabs>
            <w:spacing w:before="57" w:line="222" w:lineRule="auto"/>
            <w:ind w:left="833"/>
            <w:rPr>
              <w:rFonts w:ascii="Times New Roman" w:hAnsi="Times New Roman" w:eastAsia="Times New Roman" w:cs="Times New Roman"/>
              <w:sz w:val="21"/>
              <w:szCs w:val="21"/>
            </w:rPr>
          </w:pPr>
          <w:r>
            <w:fldChar w:fldCharType="begin"/>
          </w:r>
          <w:r>
            <w:instrText xml:space="preserve"> HYPERLINK \l "bookmark149" </w:instrText>
          </w:r>
          <w:r>
            <w:fldChar w:fldCharType="separate"/>
          </w:r>
          <w:r>
            <w:rPr>
              <w:rFonts w:ascii="Times New Roman" w:hAnsi="Times New Roman" w:eastAsia="Times New Roman" w:cs="Times New Roman"/>
              <w:spacing w:val="-3"/>
              <w:sz w:val="21"/>
              <w:szCs w:val="21"/>
            </w:rPr>
            <w:t>D1.</w:t>
          </w:r>
          <w:r>
            <w:rPr>
              <w:rFonts w:ascii="黑体" w:hAnsi="黑体" w:eastAsia="黑体" w:cs="黑体"/>
              <w:spacing w:val="-3"/>
              <w:sz w:val="21"/>
              <w:szCs w:val="21"/>
            </w:rPr>
            <w:t>启动成本评审工作的前提条件</w:t>
          </w:r>
          <w:r>
            <w:rPr>
              <w:rFonts w:ascii="黑体" w:hAnsi="黑体" w:eastAsia="黑体" w:cs="黑体"/>
              <w:spacing w:val="42"/>
              <w:sz w:val="21"/>
              <w:szCs w:val="21"/>
            </w:rPr>
            <w:t xml:space="preserve"> </w:t>
          </w:r>
          <w:r>
            <w:rPr>
              <w:rFonts w:ascii="黑体" w:hAnsi="黑体" w:eastAsia="黑体" w:cs="黑体"/>
              <w:sz w:val="21"/>
              <w:szCs w:val="21"/>
            </w:rPr>
            <w:tab/>
          </w:r>
          <w:r>
            <w:rPr>
              <w:rFonts w:ascii="Times New Roman" w:hAnsi="Times New Roman" w:eastAsia="Times New Roman" w:cs="Times New Roman"/>
              <w:spacing w:val="-1"/>
              <w:sz w:val="21"/>
              <w:szCs w:val="21"/>
            </w:rPr>
            <w:t>74</w:t>
          </w:r>
          <w:r>
            <w:rPr>
              <w:rFonts w:ascii="Times New Roman" w:hAnsi="Times New Roman" w:eastAsia="Times New Roman" w:cs="Times New Roman"/>
              <w:spacing w:val="-1"/>
              <w:sz w:val="21"/>
              <w:szCs w:val="21"/>
            </w:rPr>
            <w:fldChar w:fldCharType="end"/>
          </w:r>
        </w:p>
        <w:p w14:paraId="4CBF4CDF">
          <w:pPr>
            <w:tabs>
              <w:tab w:val="right" w:leader="dot" w:pos="8295"/>
            </w:tabs>
            <w:spacing w:before="78" w:line="222" w:lineRule="auto"/>
            <w:ind w:left="833"/>
            <w:rPr>
              <w:rFonts w:ascii="Times New Roman" w:hAnsi="Times New Roman" w:eastAsia="Times New Roman" w:cs="Times New Roman"/>
              <w:sz w:val="21"/>
              <w:szCs w:val="21"/>
            </w:rPr>
          </w:pPr>
          <w:r>
            <w:fldChar w:fldCharType="begin"/>
          </w:r>
          <w:r>
            <w:instrText xml:space="preserve"> HYPERLINK \l "bookmark150" </w:instrText>
          </w:r>
          <w:r>
            <w:fldChar w:fldCharType="separate"/>
          </w:r>
          <w:r>
            <w:rPr>
              <w:rFonts w:ascii="Times New Roman" w:hAnsi="Times New Roman" w:eastAsia="Times New Roman" w:cs="Times New Roman"/>
              <w:spacing w:val="-5"/>
              <w:sz w:val="21"/>
              <w:szCs w:val="21"/>
            </w:rPr>
            <w:t>D2.</w:t>
          </w:r>
          <w:r>
            <w:rPr>
              <w:rFonts w:ascii="Times New Roman" w:hAnsi="Times New Roman" w:eastAsia="Times New Roman" w:cs="Times New Roman"/>
              <w:spacing w:val="-10"/>
              <w:sz w:val="21"/>
              <w:szCs w:val="21"/>
            </w:rPr>
            <w:t xml:space="preserve"> </w:t>
          </w:r>
          <w:r>
            <w:rPr>
              <w:rFonts w:ascii="黑体" w:hAnsi="黑体" w:eastAsia="黑体" w:cs="黑体"/>
              <w:spacing w:val="-5"/>
              <w:sz w:val="21"/>
              <w:szCs w:val="21"/>
            </w:rPr>
            <w:t>评审的依据</w:t>
          </w:r>
          <w:r>
            <w:rPr>
              <w:rFonts w:ascii="黑体" w:hAnsi="黑体" w:eastAsia="黑体" w:cs="黑体"/>
              <w:spacing w:val="-68"/>
              <w:sz w:val="21"/>
              <w:szCs w:val="21"/>
            </w:rPr>
            <w:t xml:space="preserve"> </w:t>
          </w:r>
          <w:r>
            <w:rPr>
              <w:rFonts w:ascii="黑体" w:hAnsi="黑体" w:eastAsia="黑体" w:cs="黑体"/>
              <w:sz w:val="21"/>
              <w:szCs w:val="21"/>
            </w:rPr>
            <w:tab/>
          </w:r>
          <w:r>
            <w:rPr>
              <w:rFonts w:ascii="Times New Roman" w:hAnsi="Times New Roman" w:eastAsia="Times New Roman" w:cs="Times New Roman"/>
              <w:spacing w:val="-1"/>
              <w:sz w:val="21"/>
              <w:szCs w:val="21"/>
            </w:rPr>
            <w:t>74</w:t>
          </w:r>
          <w:r>
            <w:rPr>
              <w:rFonts w:ascii="Times New Roman" w:hAnsi="Times New Roman" w:eastAsia="Times New Roman" w:cs="Times New Roman"/>
              <w:spacing w:val="-1"/>
              <w:sz w:val="21"/>
              <w:szCs w:val="21"/>
            </w:rPr>
            <w:fldChar w:fldCharType="end"/>
          </w:r>
        </w:p>
        <w:p w14:paraId="04A2AB53">
          <w:pPr>
            <w:tabs>
              <w:tab w:val="right" w:leader="dot" w:pos="8295"/>
            </w:tabs>
            <w:spacing w:before="57" w:line="222" w:lineRule="auto"/>
            <w:ind w:left="833"/>
            <w:rPr>
              <w:rFonts w:ascii="Times New Roman" w:hAnsi="Times New Roman" w:eastAsia="Times New Roman" w:cs="Times New Roman"/>
              <w:sz w:val="21"/>
              <w:szCs w:val="21"/>
            </w:rPr>
          </w:pPr>
          <w:r>
            <w:fldChar w:fldCharType="begin"/>
          </w:r>
          <w:r>
            <w:instrText xml:space="preserve"> HYPERLINK \l "bookmark151" </w:instrText>
          </w:r>
          <w:r>
            <w:fldChar w:fldCharType="separate"/>
          </w:r>
          <w:r>
            <w:rPr>
              <w:rFonts w:ascii="Times New Roman" w:hAnsi="Times New Roman" w:eastAsia="Times New Roman" w:cs="Times New Roman"/>
              <w:sz w:val="21"/>
              <w:szCs w:val="21"/>
            </w:rPr>
            <w:t>D3.</w:t>
          </w:r>
          <w:r>
            <w:rPr>
              <w:rFonts w:ascii="黑体" w:hAnsi="黑体" w:eastAsia="黑体" w:cs="黑体"/>
              <w:sz w:val="21"/>
              <w:szCs w:val="21"/>
            </w:rPr>
            <w:t xml:space="preserve">对投标价格的合理性进行评审 </w:t>
          </w:r>
          <w:r>
            <w:rPr>
              <w:rFonts w:ascii="黑体" w:hAnsi="黑体" w:eastAsia="黑体" w:cs="黑体"/>
              <w:sz w:val="21"/>
              <w:szCs w:val="21"/>
            </w:rPr>
            <w:tab/>
          </w:r>
          <w:r>
            <w:rPr>
              <w:rFonts w:ascii="Times New Roman" w:hAnsi="Times New Roman" w:eastAsia="Times New Roman" w:cs="Times New Roman"/>
              <w:spacing w:val="-1"/>
              <w:sz w:val="21"/>
              <w:szCs w:val="21"/>
            </w:rPr>
            <w:t>75</w:t>
          </w:r>
          <w:r>
            <w:rPr>
              <w:rFonts w:ascii="Times New Roman" w:hAnsi="Times New Roman" w:eastAsia="Times New Roman" w:cs="Times New Roman"/>
              <w:spacing w:val="-1"/>
              <w:sz w:val="21"/>
              <w:szCs w:val="21"/>
            </w:rPr>
            <w:fldChar w:fldCharType="end"/>
          </w:r>
        </w:p>
        <w:p w14:paraId="124D18B3">
          <w:pPr>
            <w:tabs>
              <w:tab w:val="right" w:leader="dot" w:pos="8285"/>
            </w:tabs>
            <w:spacing w:before="57" w:line="221" w:lineRule="auto"/>
            <w:ind w:left="833"/>
            <w:rPr>
              <w:rFonts w:ascii="Times New Roman" w:hAnsi="Times New Roman" w:eastAsia="Times New Roman" w:cs="Times New Roman"/>
              <w:sz w:val="21"/>
              <w:szCs w:val="21"/>
            </w:rPr>
          </w:pPr>
          <w:r>
            <w:fldChar w:fldCharType="begin"/>
          </w:r>
          <w:r>
            <w:instrText xml:space="preserve"> HYPERLINK \l "bookmark152" </w:instrText>
          </w:r>
          <w:r>
            <w:fldChar w:fldCharType="separate"/>
          </w:r>
          <w:r>
            <w:rPr>
              <w:rFonts w:ascii="Times New Roman" w:hAnsi="Times New Roman" w:eastAsia="Times New Roman" w:cs="Times New Roman"/>
              <w:spacing w:val="4"/>
              <w:sz w:val="21"/>
              <w:szCs w:val="21"/>
            </w:rPr>
            <w:t>D4.</w:t>
          </w:r>
          <w:r>
            <w:rPr>
              <w:rFonts w:ascii="黑体" w:hAnsi="黑体" w:eastAsia="黑体" w:cs="黑体"/>
              <w:spacing w:val="4"/>
              <w:sz w:val="21"/>
              <w:szCs w:val="21"/>
            </w:rPr>
            <w:t>澄清、说明或补正</w:t>
          </w:r>
          <w:r>
            <w:rPr>
              <w:rFonts w:ascii="黑体" w:hAnsi="黑体" w:eastAsia="黑体" w:cs="黑体"/>
              <w:spacing w:val="-90"/>
              <w:sz w:val="21"/>
              <w:szCs w:val="21"/>
            </w:rPr>
            <w:t xml:space="preserve"> </w:t>
          </w:r>
          <w:r>
            <w:rPr>
              <w:rFonts w:ascii="黑体" w:hAnsi="黑体" w:eastAsia="黑体" w:cs="黑体"/>
              <w:sz w:val="21"/>
              <w:szCs w:val="21"/>
            </w:rPr>
            <w:tab/>
          </w:r>
          <w:r>
            <w:rPr>
              <w:rFonts w:ascii="Times New Roman" w:hAnsi="Times New Roman" w:eastAsia="Times New Roman" w:cs="Times New Roman"/>
              <w:spacing w:val="-1"/>
              <w:sz w:val="21"/>
              <w:szCs w:val="21"/>
            </w:rPr>
            <w:t>75</w:t>
          </w:r>
          <w:r>
            <w:rPr>
              <w:rFonts w:ascii="Times New Roman" w:hAnsi="Times New Roman" w:eastAsia="Times New Roman" w:cs="Times New Roman"/>
              <w:spacing w:val="-1"/>
              <w:sz w:val="21"/>
              <w:szCs w:val="21"/>
            </w:rPr>
            <w:fldChar w:fldCharType="end"/>
          </w:r>
        </w:p>
        <w:p w14:paraId="1971A6D3">
          <w:pPr>
            <w:tabs>
              <w:tab w:val="right" w:leader="dot" w:pos="8285"/>
            </w:tabs>
            <w:spacing w:before="49" w:line="222" w:lineRule="auto"/>
            <w:ind w:left="833"/>
            <w:rPr>
              <w:rFonts w:ascii="Times New Roman" w:hAnsi="Times New Roman" w:eastAsia="Times New Roman" w:cs="Times New Roman"/>
              <w:sz w:val="21"/>
              <w:szCs w:val="21"/>
            </w:rPr>
          </w:pPr>
          <w:r>
            <w:fldChar w:fldCharType="begin"/>
          </w:r>
          <w:r>
            <w:instrText xml:space="preserve"> HYPERLINK \l "bookmark153" </w:instrText>
          </w:r>
          <w:r>
            <w:fldChar w:fldCharType="separate"/>
          </w:r>
          <w:r>
            <w:rPr>
              <w:rFonts w:ascii="Times New Roman" w:hAnsi="Times New Roman" w:eastAsia="Times New Roman" w:cs="Times New Roman"/>
              <w:spacing w:val="1"/>
              <w:sz w:val="21"/>
              <w:szCs w:val="21"/>
            </w:rPr>
            <w:t>D5.</w:t>
          </w:r>
          <w:r>
            <w:rPr>
              <w:rFonts w:ascii="黑体" w:hAnsi="黑体" w:eastAsia="黑体" w:cs="黑体"/>
              <w:spacing w:val="1"/>
              <w:sz w:val="21"/>
              <w:szCs w:val="21"/>
            </w:rPr>
            <w:t>判断投标报价是否低于其成本</w:t>
          </w:r>
          <w:r>
            <w:rPr>
              <w:rFonts w:ascii="黑体" w:hAnsi="黑体" w:eastAsia="黑体" w:cs="黑体"/>
              <w:spacing w:val="-72"/>
              <w:sz w:val="21"/>
              <w:szCs w:val="21"/>
            </w:rPr>
            <w:t xml:space="preserve"> </w:t>
          </w:r>
          <w:r>
            <w:rPr>
              <w:rFonts w:ascii="黑体" w:hAnsi="黑体" w:eastAsia="黑体" w:cs="黑体"/>
              <w:sz w:val="21"/>
              <w:szCs w:val="21"/>
            </w:rPr>
            <w:tab/>
          </w:r>
          <w:r>
            <w:rPr>
              <w:rFonts w:ascii="Times New Roman" w:hAnsi="Times New Roman" w:eastAsia="Times New Roman" w:cs="Times New Roman"/>
              <w:spacing w:val="-1"/>
              <w:sz w:val="21"/>
              <w:szCs w:val="21"/>
            </w:rPr>
            <w:t>75</w:t>
          </w:r>
          <w:r>
            <w:rPr>
              <w:rFonts w:ascii="Times New Roman" w:hAnsi="Times New Roman" w:eastAsia="Times New Roman" w:cs="Times New Roman"/>
              <w:spacing w:val="-1"/>
              <w:sz w:val="21"/>
              <w:szCs w:val="21"/>
            </w:rPr>
            <w:fldChar w:fldCharType="end"/>
          </w:r>
        </w:p>
        <w:p w14:paraId="3AA7748F">
          <w:pPr>
            <w:tabs>
              <w:tab w:val="right" w:leader="dot" w:pos="8305"/>
            </w:tabs>
            <w:spacing w:before="67" w:line="221" w:lineRule="auto"/>
            <w:ind w:left="833"/>
            <w:rPr>
              <w:rFonts w:ascii="Times New Roman" w:hAnsi="Times New Roman" w:eastAsia="Times New Roman" w:cs="Times New Roman"/>
              <w:sz w:val="21"/>
              <w:szCs w:val="21"/>
            </w:rPr>
          </w:pPr>
          <w:r>
            <w:fldChar w:fldCharType="begin"/>
          </w:r>
          <w:r>
            <w:instrText xml:space="preserve"> HYPERLINK \l "bookmark154" </w:instrText>
          </w:r>
          <w:r>
            <w:fldChar w:fldCharType="separate"/>
          </w:r>
          <w:r>
            <w:rPr>
              <w:rFonts w:ascii="黑体" w:hAnsi="黑体" w:eastAsia="黑体" w:cs="黑体"/>
              <w:spacing w:val="8"/>
              <w:sz w:val="21"/>
              <w:szCs w:val="21"/>
            </w:rPr>
            <w:t>附表</w:t>
          </w:r>
          <w:r>
            <w:rPr>
              <w:rFonts w:ascii="Times New Roman" w:hAnsi="Times New Roman" w:eastAsia="Times New Roman" w:cs="Times New Roman"/>
              <w:spacing w:val="8"/>
              <w:sz w:val="21"/>
              <w:szCs w:val="21"/>
            </w:rPr>
            <w:t>A</w:t>
          </w:r>
          <w:r>
            <w:rPr>
              <w:rFonts w:ascii="黑体" w:hAnsi="黑体" w:eastAsia="黑体" w:cs="黑体"/>
              <w:spacing w:val="8"/>
              <w:sz w:val="21"/>
              <w:szCs w:val="21"/>
            </w:rPr>
            <w:t>-1:评标委员会签到表</w:t>
          </w:r>
          <w:r>
            <w:rPr>
              <w:rFonts w:ascii="黑体" w:hAnsi="黑体" w:eastAsia="黑体" w:cs="黑体"/>
              <w:spacing w:val="-75"/>
              <w:sz w:val="21"/>
              <w:szCs w:val="21"/>
            </w:rPr>
            <w:t xml:space="preserve"> </w:t>
          </w:r>
          <w:r>
            <w:rPr>
              <w:rFonts w:ascii="黑体" w:hAnsi="黑体" w:eastAsia="黑体" w:cs="黑体"/>
              <w:sz w:val="21"/>
              <w:szCs w:val="21"/>
            </w:rPr>
            <w:tab/>
          </w:r>
          <w:r>
            <w:rPr>
              <w:rFonts w:ascii="Times New Roman" w:hAnsi="Times New Roman" w:eastAsia="Times New Roman" w:cs="Times New Roman"/>
              <w:spacing w:val="-1"/>
              <w:sz w:val="21"/>
              <w:szCs w:val="21"/>
            </w:rPr>
            <w:t>77</w:t>
          </w:r>
          <w:r>
            <w:rPr>
              <w:rFonts w:ascii="Times New Roman" w:hAnsi="Times New Roman" w:eastAsia="Times New Roman" w:cs="Times New Roman"/>
              <w:spacing w:val="-1"/>
              <w:sz w:val="21"/>
              <w:szCs w:val="21"/>
            </w:rPr>
            <w:fldChar w:fldCharType="end"/>
          </w:r>
        </w:p>
        <w:p w14:paraId="22408E4B">
          <w:pPr>
            <w:tabs>
              <w:tab w:val="right" w:leader="dot" w:pos="8295"/>
            </w:tabs>
            <w:spacing w:before="69" w:line="221" w:lineRule="auto"/>
            <w:ind w:left="833"/>
            <w:rPr>
              <w:rFonts w:ascii="Times New Roman" w:hAnsi="Times New Roman" w:eastAsia="Times New Roman" w:cs="Times New Roman"/>
              <w:sz w:val="21"/>
              <w:szCs w:val="21"/>
            </w:rPr>
          </w:pPr>
          <w:r>
            <w:fldChar w:fldCharType="begin"/>
          </w:r>
          <w:r>
            <w:instrText xml:space="preserve"> HYPERLINK \l "bookmark155" </w:instrText>
          </w:r>
          <w:r>
            <w:fldChar w:fldCharType="separate"/>
          </w:r>
          <w:r>
            <w:rPr>
              <w:rFonts w:ascii="黑体" w:hAnsi="黑体" w:eastAsia="黑体" w:cs="黑体"/>
              <w:spacing w:val="1"/>
              <w:sz w:val="21"/>
              <w:szCs w:val="21"/>
            </w:rPr>
            <w:t xml:space="preserve">附表 </w:t>
          </w:r>
          <w:r>
            <w:rPr>
              <w:rFonts w:ascii="Times New Roman" w:hAnsi="Times New Roman" w:eastAsia="Times New Roman" w:cs="Times New Roman"/>
              <w:spacing w:val="1"/>
              <w:sz w:val="21"/>
              <w:szCs w:val="21"/>
            </w:rPr>
            <w:t>A</w:t>
          </w:r>
          <w:r>
            <w:rPr>
              <w:rFonts w:ascii="黑体" w:hAnsi="黑体" w:eastAsia="黑体" w:cs="黑体"/>
              <w:spacing w:val="1"/>
              <w:sz w:val="21"/>
              <w:szCs w:val="21"/>
            </w:rPr>
            <w:t>-2:评标专家声明书</w:t>
          </w:r>
          <w:r>
            <w:rPr>
              <w:rFonts w:ascii="黑体" w:hAnsi="黑体" w:eastAsia="黑体" w:cs="黑体"/>
              <w:spacing w:val="38"/>
              <w:sz w:val="21"/>
              <w:szCs w:val="21"/>
            </w:rPr>
            <w:t xml:space="preserve"> </w:t>
          </w:r>
          <w:r>
            <w:rPr>
              <w:rFonts w:ascii="黑体" w:hAnsi="黑体" w:eastAsia="黑体" w:cs="黑体"/>
              <w:sz w:val="21"/>
              <w:szCs w:val="21"/>
            </w:rPr>
            <w:tab/>
          </w:r>
          <w:r>
            <w:rPr>
              <w:rFonts w:ascii="黑体" w:hAnsi="黑体" w:eastAsia="黑体" w:cs="黑体"/>
              <w:spacing w:val="-62"/>
              <w:sz w:val="21"/>
              <w:szCs w:val="21"/>
            </w:rPr>
            <w:t xml:space="preserve"> </w:t>
          </w:r>
          <w:r>
            <w:rPr>
              <w:rFonts w:ascii="Times New Roman" w:hAnsi="Times New Roman" w:eastAsia="Times New Roman" w:cs="Times New Roman"/>
              <w:spacing w:val="-2"/>
              <w:sz w:val="21"/>
              <w:szCs w:val="21"/>
            </w:rPr>
            <w:t>78</w:t>
          </w:r>
          <w:r>
            <w:rPr>
              <w:rFonts w:ascii="Times New Roman" w:hAnsi="Times New Roman" w:eastAsia="Times New Roman" w:cs="Times New Roman"/>
              <w:spacing w:val="-2"/>
              <w:sz w:val="21"/>
              <w:szCs w:val="21"/>
            </w:rPr>
            <w:fldChar w:fldCharType="end"/>
          </w:r>
        </w:p>
        <w:p w14:paraId="025508CF">
          <w:pPr>
            <w:tabs>
              <w:tab w:val="right" w:leader="dot" w:pos="8295"/>
            </w:tabs>
            <w:spacing w:before="59" w:line="221" w:lineRule="auto"/>
            <w:ind w:left="833"/>
            <w:rPr>
              <w:rFonts w:ascii="Times New Roman" w:hAnsi="Times New Roman" w:eastAsia="Times New Roman" w:cs="Times New Roman"/>
              <w:sz w:val="21"/>
              <w:szCs w:val="21"/>
            </w:rPr>
          </w:pPr>
          <w:r>
            <w:fldChar w:fldCharType="begin"/>
          </w:r>
          <w:r>
            <w:instrText xml:space="preserve"> HYPERLINK \l "bookmark156" </w:instrText>
          </w:r>
          <w:r>
            <w:fldChar w:fldCharType="separate"/>
          </w:r>
          <w:r>
            <w:rPr>
              <w:rFonts w:ascii="黑体" w:hAnsi="黑体" w:eastAsia="黑体" w:cs="黑体"/>
              <w:spacing w:val="9"/>
              <w:sz w:val="21"/>
              <w:szCs w:val="21"/>
            </w:rPr>
            <w:t>附表</w:t>
          </w:r>
          <w:r>
            <w:rPr>
              <w:rFonts w:ascii="黑体" w:hAnsi="黑体" w:eastAsia="黑体" w:cs="黑体"/>
              <w:spacing w:val="-25"/>
              <w:sz w:val="21"/>
              <w:szCs w:val="21"/>
            </w:rPr>
            <w:t xml:space="preserve"> </w:t>
          </w:r>
          <w:r>
            <w:rPr>
              <w:rFonts w:ascii="Times New Roman" w:hAnsi="Times New Roman" w:eastAsia="Times New Roman" w:cs="Times New Roman"/>
              <w:spacing w:val="9"/>
              <w:sz w:val="21"/>
              <w:szCs w:val="21"/>
            </w:rPr>
            <w:t>A</w:t>
          </w:r>
          <w:r>
            <w:rPr>
              <w:rFonts w:ascii="黑体" w:hAnsi="黑体" w:eastAsia="黑体" w:cs="黑体"/>
              <w:spacing w:val="9"/>
              <w:sz w:val="21"/>
              <w:szCs w:val="21"/>
            </w:rPr>
            <w:t>-3:技术暗标编号确认表(适用于非计算机辅助评标)</w:t>
          </w:r>
          <w:r>
            <w:rPr>
              <w:rFonts w:ascii="黑体" w:hAnsi="黑体" w:eastAsia="黑体" w:cs="黑体"/>
              <w:sz w:val="21"/>
              <w:szCs w:val="21"/>
            </w:rPr>
            <w:tab/>
          </w:r>
          <w:r>
            <w:rPr>
              <w:rFonts w:ascii="Times New Roman" w:hAnsi="Times New Roman" w:eastAsia="Times New Roman" w:cs="Times New Roman"/>
              <w:spacing w:val="-4"/>
              <w:sz w:val="21"/>
              <w:szCs w:val="21"/>
            </w:rPr>
            <w:t>79</w:t>
          </w:r>
          <w:r>
            <w:rPr>
              <w:rFonts w:ascii="Times New Roman" w:hAnsi="Times New Roman" w:eastAsia="Times New Roman" w:cs="Times New Roman"/>
              <w:spacing w:val="-4"/>
              <w:sz w:val="21"/>
              <w:szCs w:val="21"/>
            </w:rPr>
            <w:fldChar w:fldCharType="end"/>
          </w:r>
        </w:p>
        <w:p w14:paraId="4EACCF8B">
          <w:pPr>
            <w:tabs>
              <w:tab w:val="right" w:leader="dot" w:pos="8270"/>
            </w:tabs>
            <w:spacing w:before="58" w:line="221" w:lineRule="auto"/>
            <w:ind w:left="833"/>
            <w:rPr>
              <w:rFonts w:ascii="Times New Roman" w:hAnsi="Times New Roman" w:eastAsia="Times New Roman" w:cs="Times New Roman"/>
              <w:sz w:val="21"/>
              <w:szCs w:val="21"/>
            </w:rPr>
          </w:pPr>
          <w:r>
            <w:fldChar w:fldCharType="begin"/>
          </w:r>
          <w:r>
            <w:instrText xml:space="preserve"> HYPERLINK \l "bookmark157" </w:instrText>
          </w:r>
          <w:r>
            <w:fldChar w:fldCharType="separate"/>
          </w:r>
          <w:r>
            <w:rPr>
              <w:rFonts w:ascii="黑体" w:hAnsi="黑体" w:eastAsia="黑体" w:cs="黑体"/>
              <w:spacing w:val="9"/>
              <w:sz w:val="21"/>
              <w:szCs w:val="21"/>
            </w:rPr>
            <w:t>附表</w:t>
          </w:r>
          <w:r>
            <w:rPr>
              <w:rFonts w:ascii="黑体" w:hAnsi="黑体" w:eastAsia="黑体" w:cs="黑体"/>
              <w:spacing w:val="-16"/>
              <w:sz w:val="21"/>
              <w:szCs w:val="21"/>
            </w:rPr>
            <w:t xml:space="preserve"> </w:t>
          </w:r>
          <w:r>
            <w:rPr>
              <w:rFonts w:ascii="Times New Roman" w:hAnsi="Times New Roman" w:eastAsia="Times New Roman" w:cs="Times New Roman"/>
              <w:spacing w:val="9"/>
              <w:sz w:val="21"/>
              <w:szCs w:val="21"/>
            </w:rPr>
            <w:t>A</w:t>
          </w:r>
          <w:r>
            <w:rPr>
              <w:rFonts w:ascii="黑体" w:hAnsi="黑体" w:eastAsia="黑体" w:cs="黑体"/>
              <w:spacing w:val="9"/>
              <w:sz w:val="21"/>
              <w:szCs w:val="21"/>
            </w:rPr>
            <w:t>-3:技术暗标编号确认表(适用于计算机辅助评标)</w:t>
          </w:r>
          <w:r>
            <w:rPr>
              <w:rFonts w:ascii="黑体" w:hAnsi="黑体" w:eastAsia="黑体" w:cs="黑体"/>
              <w:sz w:val="21"/>
              <w:szCs w:val="21"/>
            </w:rPr>
            <w:tab/>
          </w:r>
          <w:r>
            <w:rPr>
              <w:rFonts w:ascii="Times New Roman" w:hAnsi="Times New Roman" w:eastAsia="Times New Roman" w:cs="Times New Roman"/>
              <w:spacing w:val="-2"/>
              <w:sz w:val="21"/>
              <w:szCs w:val="21"/>
            </w:rPr>
            <w:t>80</w:t>
          </w:r>
          <w:r>
            <w:rPr>
              <w:rFonts w:ascii="Times New Roman" w:hAnsi="Times New Roman" w:eastAsia="Times New Roman" w:cs="Times New Roman"/>
              <w:spacing w:val="-2"/>
              <w:sz w:val="21"/>
              <w:szCs w:val="21"/>
            </w:rPr>
            <w:fldChar w:fldCharType="end"/>
          </w:r>
        </w:p>
        <w:p w14:paraId="54F94BDC">
          <w:pPr>
            <w:tabs>
              <w:tab w:val="right" w:leader="dot" w:pos="8270"/>
            </w:tabs>
            <w:spacing w:before="49" w:line="222" w:lineRule="auto"/>
            <w:ind w:left="833"/>
            <w:rPr>
              <w:rFonts w:ascii="Times New Roman" w:hAnsi="Times New Roman" w:eastAsia="Times New Roman" w:cs="Times New Roman"/>
              <w:sz w:val="21"/>
              <w:szCs w:val="21"/>
            </w:rPr>
          </w:pPr>
          <w:r>
            <w:fldChar w:fldCharType="begin"/>
          </w:r>
          <w:r>
            <w:instrText xml:space="preserve"> HYPERLINK \l "bookmark158" </w:instrText>
          </w:r>
          <w:r>
            <w:fldChar w:fldCharType="separate"/>
          </w:r>
          <w:r>
            <w:rPr>
              <w:rFonts w:ascii="黑体" w:hAnsi="黑体" w:eastAsia="黑体" w:cs="黑体"/>
              <w:spacing w:val="10"/>
              <w:sz w:val="21"/>
              <w:szCs w:val="21"/>
            </w:rPr>
            <w:t>附表</w:t>
          </w:r>
          <w:r>
            <w:rPr>
              <w:rFonts w:ascii="Times New Roman" w:hAnsi="Times New Roman" w:eastAsia="Times New Roman" w:cs="Times New Roman"/>
              <w:spacing w:val="10"/>
              <w:sz w:val="21"/>
              <w:szCs w:val="21"/>
            </w:rPr>
            <w:t>A</w:t>
          </w:r>
          <w:r>
            <w:rPr>
              <w:rFonts w:ascii="黑体" w:hAnsi="黑体" w:eastAsia="黑体" w:cs="黑体"/>
              <w:spacing w:val="10"/>
              <w:sz w:val="21"/>
              <w:szCs w:val="21"/>
            </w:rPr>
            <w:t>-4:形式评审记录表</w:t>
          </w:r>
          <w:r>
            <w:rPr>
              <w:rFonts w:ascii="黑体" w:hAnsi="黑体" w:eastAsia="黑体" w:cs="黑体"/>
              <w:spacing w:val="-83"/>
              <w:sz w:val="21"/>
              <w:szCs w:val="21"/>
            </w:rPr>
            <w:t xml:space="preserve"> </w:t>
          </w:r>
          <w:r>
            <w:rPr>
              <w:rFonts w:ascii="黑体" w:hAnsi="黑体" w:eastAsia="黑体" w:cs="黑体"/>
              <w:sz w:val="21"/>
              <w:szCs w:val="21"/>
            </w:rPr>
            <w:tab/>
          </w:r>
          <w:r>
            <w:rPr>
              <w:rFonts w:ascii="Times New Roman" w:hAnsi="Times New Roman" w:eastAsia="Times New Roman" w:cs="Times New Roman"/>
              <w:spacing w:val="-2"/>
              <w:sz w:val="21"/>
              <w:szCs w:val="21"/>
            </w:rPr>
            <w:t>81</w:t>
          </w:r>
          <w:r>
            <w:rPr>
              <w:rFonts w:ascii="Times New Roman" w:hAnsi="Times New Roman" w:eastAsia="Times New Roman" w:cs="Times New Roman"/>
              <w:spacing w:val="-2"/>
              <w:sz w:val="21"/>
              <w:szCs w:val="21"/>
            </w:rPr>
            <w:fldChar w:fldCharType="end"/>
          </w:r>
        </w:p>
        <w:p w14:paraId="33767325">
          <w:pPr>
            <w:tabs>
              <w:tab w:val="right" w:leader="dot" w:pos="8280"/>
            </w:tabs>
            <w:spacing w:before="78" w:line="222" w:lineRule="auto"/>
            <w:ind w:left="833"/>
            <w:rPr>
              <w:rFonts w:ascii="Times New Roman" w:hAnsi="Times New Roman" w:eastAsia="Times New Roman" w:cs="Times New Roman"/>
              <w:sz w:val="21"/>
              <w:szCs w:val="21"/>
            </w:rPr>
          </w:pPr>
          <w:r>
            <w:fldChar w:fldCharType="begin"/>
          </w:r>
          <w:r>
            <w:instrText xml:space="preserve"> HYPERLINK \l "bookmark159" </w:instrText>
          </w:r>
          <w:r>
            <w:fldChar w:fldCharType="separate"/>
          </w:r>
          <w:r>
            <w:rPr>
              <w:rFonts w:ascii="黑体" w:hAnsi="黑体" w:eastAsia="黑体" w:cs="黑体"/>
              <w:spacing w:val="6"/>
              <w:sz w:val="21"/>
              <w:szCs w:val="21"/>
            </w:rPr>
            <w:t>附表</w:t>
          </w:r>
          <w:r>
            <w:rPr>
              <w:rFonts w:ascii="黑体" w:hAnsi="黑体" w:eastAsia="黑体" w:cs="黑体"/>
              <w:spacing w:val="-53"/>
              <w:sz w:val="21"/>
              <w:szCs w:val="21"/>
            </w:rPr>
            <w:t xml:space="preserve"> </w:t>
          </w:r>
          <w:r>
            <w:rPr>
              <w:rFonts w:ascii="Times New Roman" w:hAnsi="Times New Roman" w:eastAsia="Times New Roman" w:cs="Times New Roman"/>
              <w:spacing w:val="6"/>
              <w:sz w:val="21"/>
              <w:szCs w:val="21"/>
            </w:rPr>
            <w:t>A</w:t>
          </w:r>
          <w:r>
            <w:rPr>
              <w:rFonts w:ascii="黑体" w:hAnsi="黑体" w:eastAsia="黑体" w:cs="黑体"/>
              <w:spacing w:val="6"/>
              <w:sz w:val="21"/>
              <w:szCs w:val="21"/>
            </w:rPr>
            <w:t>-5:资格评审记录表</w:t>
          </w:r>
          <w:r>
            <w:rPr>
              <w:rFonts w:ascii="黑体" w:hAnsi="黑体" w:eastAsia="黑体" w:cs="黑体"/>
              <w:spacing w:val="-83"/>
              <w:sz w:val="21"/>
              <w:szCs w:val="21"/>
            </w:rPr>
            <w:t xml:space="preserve"> </w:t>
          </w:r>
          <w:r>
            <w:rPr>
              <w:rFonts w:ascii="黑体" w:hAnsi="黑体" w:eastAsia="黑体" w:cs="黑体"/>
              <w:sz w:val="21"/>
              <w:szCs w:val="21"/>
            </w:rPr>
            <w:tab/>
          </w:r>
          <w:r>
            <w:rPr>
              <w:rFonts w:ascii="Times New Roman" w:hAnsi="Times New Roman" w:eastAsia="Times New Roman" w:cs="Times New Roman"/>
              <w:spacing w:val="-2"/>
              <w:sz w:val="21"/>
              <w:szCs w:val="21"/>
            </w:rPr>
            <w:t>82</w:t>
          </w:r>
          <w:r>
            <w:rPr>
              <w:rFonts w:ascii="Times New Roman" w:hAnsi="Times New Roman" w:eastAsia="Times New Roman" w:cs="Times New Roman"/>
              <w:spacing w:val="-2"/>
              <w:sz w:val="21"/>
              <w:szCs w:val="21"/>
            </w:rPr>
            <w:fldChar w:fldCharType="end"/>
          </w:r>
        </w:p>
        <w:p w14:paraId="6F118D8A">
          <w:pPr>
            <w:tabs>
              <w:tab w:val="right" w:leader="dot" w:pos="8280"/>
            </w:tabs>
            <w:spacing w:before="57" w:line="222" w:lineRule="auto"/>
            <w:ind w:left="833"/>
            <w:rPr>
              <w:rFonts w:ascii="Times New Roman" w:hAnsi="Times New Roman" w:eastAsia="Times New Roman" w:cs="Times New Roman"/>
              <w:sz w:val="21"/>
              <w:szCs w:val="21"/>
            </w:rPr>
          </w:pPr>
          <w:r>
            <w:fldChar w:fldCharType="begin"/>
          </w:r>
          <w:r>
            <w:instrText xml:space="preserve"> HYPERLINK \l "bookmark160" </w:instrText>
          </w:r>
          <w:r>
            <w:fldChar w:fldCharType="separate"/>
          </w:r>
          <w:r>
            <w:rPr>
              <w:rFonts w:ascii="黑体" w:hAnsi="黑体" w:eastAsia="黑体" w:cs="黑体"/>
              <w:spacing w:val="9"/>
              <w:sz w:val="21"/>
              <w:szCs w:val="21"/>
            </w:rPr>
            <w:t>附表</w:t>
          </w:r>
          <w:r>
            <w:rPr>
              <w:rFonts w:ascii="Times New Roman" w:hAnsi="Times New Roman" w:eastAsia="Times New Roman" w:cs="Times New Roman"/>
              <w:spacing w:val="9"/>
              <w:sz w:val="21"/>
              <w:szCs w:val="21"/>
            </w:rPr>
            <w:t>A</w:t>
          </w:r>
          <w:r>
            <w:rPr>
              <w:rFonts w:ascii="黑体" w:hAnsi="黑体" w:eastAsia="黑体" w:cs="黑体"/>
              <w:spacing w:val="9"/>
              <w:sz w:val="21"/>
              <w:szCs w:val="21"/>
            </w:rPr>
            <w:t>-6:响应性评审记录表</w:t>
          </w:r>
          <w:r>
            <w:rPr>
              <w:rFonts w:ascii="黑体" w:hAnsi="黑体" w:eastAsia="黑体" w:cs="黑体"/>
              <w:spacing w:val="-79"/>
              <w:sz w:val="21"/>
              <w:szCs w:val="21"/>
            </w:rPr>
            <w:t xml:space="preserve"> </w:t>
          </w:r>
          <w:r>
            <w:rPr>
              <w:rFonts w:ascii="黑体" w:hAnsi="黑体" w:eastAsia="黑体" w:cs="黑体"/>
              <w:sz w:val="21"/>
              <w:szCs w:val="21"/>
            </w:rPr>
            <w:tab/>
          </w:r>
          <w:r>
            <w:rPr>
              <w:rFonts w:ascii="Times New Roman" w:hAnsi="Times New Roman" w:eastAsia="Times New Roman" w:cs="Times New Roman"/>
              <w:spacing w:val="-2"/>
              <w:sz w:val="21"/>
              <w:szCs w:val="21"/>
            </w:rPr>
            <w:t>84</w:t>
          </w:r>
          <w:r>
            <w:rPr>
              <w:rFonts w:ascii="Times New Roman" w:hAnsi="Times New Roman" w:eastAsia="Times New Roman" w:cs="Times New Roman"/>
              <w:spacing w:val="-2"/>
              <w:sz w:val="21"/>
              <w:szCs w:val="21"/>
            </w:rPr>
            <w:fldChar w:fldCharType="end"/>
          </w:r>
        </w:p>
        <w:p w14:paraId="0B3BB8C3">
          <w:pPr>
            <w:tabs>
              <w:tab w:val="right" w:leader="dot" w:pos="8270"/>
            </w:tabs>
            <w:spacing w:before="58" w:line="222" w:lineRule="auto"/>
            <w:ind w:left="833"/>
            <w:rPr>
              <w:rFonts w:ascii="Times New Roman" w:hAnsi="Times New Roman" w:eastAsia="Times New Roman" w:cs="Times New Roman"/>
              <w:sz w:val="21"/>
              <w:szCs w:val="21"/>
            </w:rPr>
          </w:pPr>
          <w:r>
            <w:fldChar w:fldCharType="begin"/>
          </w:r>
          <w:r>
            <w:instrText xml:space="preserve"> HYPERLINK \l "bookmark161" </w:instrText>
          </w:r>
          <w:r>
            <w:fldChar w:fldCharType="separate"/>
          </w:r>
          <w:r>
            <w:rPr>
              <w:rFonts w:ascii="黑体" w:hAnsi="黑体" w:eastAsia="黑体" w:cs="黑体"/>
              <w:spacing w:val="12"/>
              <w:sz w:val="21"/>
              <w:szCs w:val="21"/>
            </w:rPr>
            <w:t>附表</w:t>
          </w:r>
          <w:r>
            <w:rPr>
              <w:rFonts w:ascii="Times New Roman" w:hAnsi="Times New Roman" w:eastAsia="Times New Roman" w:cs="Times New Roman"/>
              <w:spacing w:val="12"/>
              <w:sz w:val="21"/>
              <w:szCs w:val="21"/>
            </w:rPr>
            <w:t>A</w:t>
          </w:r>
          <w:r>
            <w:rPr>
              <w:rFonts w:ascii="黑体" w:hAnsi="黑体" w:eastAsia="黑体" w:cs="黑体"/>
              <w:spacing w:val="12"/>
              <w:sz w:val="21"/>
              <w:szCs w:val="21"/>
            </w:rPr>
            <w:t>-7:施工组织设计评审记录表(合格性)</w:t>
          </w:r>
          <w:r>
            <w:rPr>
              <w:rFonts w:ascii="黑体" w:hAnsi="黑体" w:eastAsia="黑体" w:cs="黑体"/>
              <w:sz w:val="21"/>
              <w:szCs w:val="21"/>
            </w:rPr>
            <w:tab/>
          </w:r>
          <w:r>
            <w:rPr>
              <w:rFonts w:ascii="Times New Roman" w:hAnsi="Times New Roman" w:eastAsia="Times New Roman" w:cs="Times New Roman"/>
              <w:spacing w:val="5"/>
              <w:sz w:val="21"/>
              <w:szCs w:val="21"/>
            </w:rPr>
            <w:t>87</w:t>
          </w:r>
          <w:r>
            <w:rPr>
              <w:rFonts w:ascii="Times New Roman" w:hAnsi="Times New Roman" w:eastAsia="Times New Roman" w:cs="Times New Roman"/>
              <w:spacing w:val="5"/>
              <w:sz w:val="21"/>
              <w:szCs w:val="21"/>
            </w:rPr>
            <w:fldChar w:fldCharType="end"/>
          </w:r>
        </w:p>
        <w:p w14:paraId="7C13AB28">
          <w:pPr>
            <w:tabs>
              <w:tab w:val="right" w:leader="dot" w:pos="8270"/>
            </w:tabs>
            <w:spacing w:before="57" w:line="222" w:lineRule="auto"/>
            <w:ind w:left="833"/>
            <w:rPr>
              <w:rFonts w:ascii="Times New Roman" w:hAnsi="Times New Roman" w:eastAsia="Times New Roman" w:cs="Times New Roman"/>
              <w:sz w:val="21"/>
              <w:szCs w:val="21"/>
            </w:rPr>
          </w:pPr>
          <w:r>
            <w:fldChar w:fldCharType="begin"/>
          </w:r>
          <w:r>
            <w:instrText xml:space="preserve"> HYPERLINK \l "bookmark162" </w:instrText>
          </w:r>
          <w:r>
            <w:fldChar w:fldCharType="separate"/>
          </w:r>
          <w:r>
            <w:rPr>
              <w:rFonts w:ascii="黑体" w:hAnsi="黑体" w:eastAsia="黑体" w:cs="黑体"/>
              <w:spacing w:val="8"/>
              <w:sz w:val="21"/>
              <w:szCs w:val="21"/>
            </w:rPr>
            <w:t>附表</w:t>
          </w:r>
          <w:r>
            <w:rPr>
              <w:rFonts w:ascii="Times New Roman" w:hAnsi="Times New Roman" w:eastAsia="Times New Roman" w:cs="Times New Roman"/>
              <w:spacing w:val="8"/>
              <w:sz w:val="21"/>
              <w:szCs w:val="21"/>
            </w:rPr>
            <w:t>A</w:t>
          </w:r>
          <w:r>
            <w:rPr>
              <w:rFonts w:ascii="黑体" w:hAnsi="黑体" w:eastAsia="黑体" w:cs="黑体"/>
              <w:spacing w:val="8"/>
              <w:sz w:val="21"/>
              <w:szCs w:val="21"/>
            </w:rPr>
            <w:t>-8:投标报价评分记录表</w:t>
          </w:r>
          <w:r>
            <w:rPr>
              <w:rFonts w:ascii="黑体" w:hAnsi="黑体" w:eastAsia="黑体" w:cs="黑体"/>
              <w:spacing w:val="-73"/>
              <w:sz w:val="21"/>
              <w:szCs w:val="21"/>
            </w:rPr>
            <w:t xml:space="preserve"> </w:t>
          </w:r>
          <w:r>
            <w:rPr>
              <w:rFonts w:ascii="黑体" w:hAnsi="黑体" w:eastAsia="黑体" w:cs="黑体"/>
              <w:sz w:val="21"/>
              <w:szCs w:val="21"/>
            </w:rPr>
            <w:tab/>
          </w:r>
          <w:r>
            <w:rPr>
              <w:rFonts w:ascii="Times New Roman" w:hAnsi="Times New Roman" w:eastAsia="Times New Roman" w:cs="Times New Roman"/>
              <w:spacing w:val="-2"/>
              <w:sz w:val="21"/>
              <w:szCs w:val="21"/>
            </w:rPr>
            <w:t>89</w:t>
          </w:r>
          <w:r>
            <w:rPr>
              <w:rFonts w:ascii="Times New Roman" w:hAnsi="Times New Roman" w:eastAsia="Times New Roman" w:cs="Times New Roman"/>
              <w:spacing w:val="-2"/>
              <w:sz w:val="21"/>
              <w:szCs w:val="21"/>
            </w:rPr>
            <w:fldChar w:fldCharType="end"/>
          </w:r>
        </w:p>
        <w:p w14:paraId="6D5BBE37">
          <w:pPr>
            <w:tabs>
              <w:tab w:val="right" w:leader="dot" w:pos="8275"/>
            </w:tabs>
            <w:spacing w:before="48" w:line="222" w:lineRule="auto"/>
            <w:ind w:left="833"/>
            <w:rPr>
              <w:rFonts w:ascii="Times New Roman" w:hAnsi="Times New Roman" w:eastAsia="Times New Roman" w:cs="Times New Roman"/>
              <w:sz w:val="21"/>
              <w:szCs w:val="21"/>
            </w:rPr>
          </w:pPr>
          <w:r>
            <w:fldChar w:fldCharType="begin"/>
          </w:r>
          <w:r>
            <w:instrText xml:space="preserve"> HYPERLINK \l "bookmark163" </w:instrText>
          </w:r>
          <w:r>
            <w:fldChar w:fldCharType="separate"/>
          </w:r>
          <w:r>
            <w:rPr>
              <w:rFonts w:ascii="黑体" w:hAnsi="黑体" w:eastAsia="黑体" w:cs="黑体"/>
              <w:spacing w:val="13"/>
              <w:sz w:val="21"/>
              <w:szCs w:val="21"/>
            </w:rPr>
            <w:t>附表</w:t>
          </w:r>
          <w:r>
            <w:rPr>
              <w:rFonts w:ascii="Times New Roman" w:hAnsi="Times New Roman" w:eastAsia="Times New Roman" w:cs="Times New Roman"/>
              <w:spacing w:val="13"/>
              <w:sz w:val="21"/>
              <w:szCs w:val="21"/>
            </w:rPr>
            <w:t>A</w:t>
          </w:r>
          <w:r>
            <w:rPr>
              <w:rFonts w:ascii="黑体" w:hAnsi="黑体" w:eastAsia="黑体" w:cs="黑体"/>
              <w:spacing w:val="13"/>
              <w:sz w:val="21"/>
              <w:szCs w:val="21"/>
            </w:rPr>
            <w:t>-9:施工组织设计评审记录表(评分)</w:t>
          </w:r>
          <w:r>
            <w:rPr>
              <w:rFonts w:ascii="黑体" w:hAnsi="黑体" w:eastAsia="黑体" w:cs="黑体"/>
              <w:sz w:val="21"/>
              <w:szCs w:val="21"/>
            </w:rPr>
            <w:tab/>
          </w:r>
          <w:r>
            <w:rPr>
              <w:rFonts w:ascii="Times New Roman" w:hAnsi="Times New Roman" w:eastAsia="Times New Roman" w:cs="Times New Roman"/>
              <w:spacing w:val="8"/>
              <w:sz w:val="21"/>
              <w:szCs w:val="21"/>
            </w:rPr>
            <w:t>90</w:t>
          </w:r>
          <w:r>
            <w:rPr>
              <w:rFonts w:ascii="Times New Roman" w:hAnsi="Times New Roman" w:eastAsia="Times New Roman" w:cs="Times New Roman"/>
              <w:spacing w:val="8"/>
              <w:sz w:val="21"/>
              <w:szCs w:val="21"/>
            </w:rPr>
            <w:fldChar w:fldCharType="end"/>
          </w:r>
        </w:p>
        <w:p w14:paraId="77865860">
          <w:pPr>
            <w:tabs>
              <w:tab w:val="right" w:leader="dot" w:pos="8295"/>
            </w:tabs>
            <w:spacing w:before="77" w:line="222" w:lineRule="auto"/>
            <w:ind w:left="833"/>
            <w:rPr>
              <w:rFonts w:ascii="Times New Roman" w:hAnsi="Times New Roman" w:eastAsia="Times New Roman" w:cs="Times New Roman"/>
              <w:sz w:val="21"/>
              <w:szCs w:val="21"/>
            </w:rPr>
          </w:pPr>
          <w:r>
            <w:fldChar w:fldCharType="begin"/>
          </w:r>
          <w:r>
            <w:instrText xml:space="preserve"> HYPERLINK \l "bookmark164" </w:instrText>
          </w:r>
          <w:r>
            <w:fldChar w:fldCharType="separate"/>
          </w:r>
          <w:r>
            <w:rPr>
              <w:rFonts w:ascii="黑体" w:hAnsi="黑体" w:eastAsia="黑体" w:cs="黑体"/>
              <w:spacing w:val="7"/>
              <w:sz w:val="21"/>
              <w:szCs w:val="21"/>
            </w:rPr>
            <w:t>附表</w:t>
          </w:r>
          <w:r>
            <w:rPr>
              <w:rFonts w:ascii="Times New Roman" w:hAnsi="Times New Roman" w:eastAsia="Times New Roman" w:cs="Times New Roman"/>
              <w:spacing w:val="7"/>
              <w:sz w:val="21"/>
              <w:szCs w:val="21"/>
            </w:rPr>
            <w:t>A</w:t>
          </w:r>
          <w:r>
            <w:rPr>
              <w:rFonts w:ascii="黑体" w:hAnsi="黑体" w:eastAsia="黑体" w:cs="黑体"/>
              <w:spacing w:val="7"/>
              <w:sz w:val="21"/>
              <w:szCs w:val="21"/>
            </w:rPr>
            <w:t>-10:项目管理机构评审记录表</w:t>
          </w:r>
          <w:r>
            <w:rPr>
              <w:rFonts w:ascii="黑体" w:hAnsi="黑体" w:eastAsia="黑体" w:cs="黑体"/>
              <w:spacing w:val="-84"/>
              <w:sz w:val="21"/>
              <w:szCs w:val="21"/>
            </w:rPr>
            <w:t xml:space="preserve"> </w:t>
          </w:r>
          <w:r>
            <w:rPr>
              <w:rFonts w:ascii="黑体" w:hAnsi="黑体" w:eastAsia="黑体" w:cs="黑体"/>
              <w:sz w:val="21"/>
              <w:szCs w:val="21"/>
            </w:rPr>
            <w:tab/>
          </w:r>
          <w:r>
            <w:rPr>
              <w:rFonts w:ascii="黑体" w:hAnsi="黑体" w:eastAsia="黑体" w:cs="黑体"/>
              <w:spacing w:val="-51"/>
              <w:sz w:val="21"/>
              <w:szCs w:val="21"/>
            </w:rPr>
            <w:t xml:space="preserve"> </w:t>
          </w:r>
          <w:r>
            <w:rPr>
              <w:rFonts w:ascii="Times New Roman" w:hAnsi="Times New Roman" w:eastAsia="Times New Roman" w:cs="Times New Roman"/>
              <w:spacing w:val="-3"/>
              <w:sz w:val="21"/>
              <w:szCs w:val="21"/>
            </w:rPr>
            <w:t>92</w:t>
          </w:r>
          <w:r>
            <w:rPr>
              <w:rFonts w:ascii="Times New Roman" w:hAnsi="Times New Roman" w:eastAsia="Times New Roman" w:cs="Times New Roman"/>
              <w:spacing w:val="-3"/>
              <w:sz w:val="21"/>
              <w:szCs w:val="21"/>
            </w:rPr>
            <w:fldChar w:fldCharType="end"/>
          </w:r>
        </w:p>
        <w:p w14:paraId="055D544B">
          <w:pPr>
            <w:tabs>
              <w:tab w:val="right" w:leader="dot" w:pos="8285"/>
            </w:tabs>
            <w:spacing w:before="58" w:line="222" w:lineRule="auto"/>
            <w:ind w:left="833"/>
            <w:rPr>
              <w:rFonts w:ascii="Times New Roman" w:hAnsi="Times New Roman" w:eastAsia="Times New Roman" w:cs="Times New Roman"/>
              <w:sz w:val="21"/>
              <w:szCs w:val="21"/>
            </w:rPr>
          </w:pPr>
          <w:r>
            <w:fldChar w:fldCharType="begin"/>
          </w:r>
          <w:r>
            <w:instrText xml:space="preserve"> HYPERLINK \l "bookmark165" </w:instrText>
          </w:r>
          <w:r>
            <w:fldChar w:fldCharType="separate"/>
          </w:r>
          <w:r>
            <w:rPr>
              <w:rFonts w:ascii="黑体" w:hAnsi="黑体" w:eastAsia="黑体" w:cs="黑体"/>
              <w:spacing w:val="7"/>
              <w:sz w:val="21"/>
              <w:szCs w:val="21"/>
            </w:rPr>
            <w:t>附表</w:t>
          </w:r>
          <w:r>
            <w:rPr>
              <w:rFonts w:ascii="Times New Roman" w:hAnsi="Times New Roman" w:eastAsia="Times New Roman" w:cs="Times New Roman"/>
              <w:spacing w:val="7"/>
              <w:sz w:val="21"/>
              <w:szCs w:val="21"/>
            </w:rPr>
            <w:t>A</w:t>
          </w:r>
          <w:r>
            <w:rPr>
              <w:rFonts w:ascii="黑体" w:hAnsi="黑体" w:eastAsia="黑体" w:cs="黑体"/>
              <w:spacing w:val="7"/>
              <w:sz w:val="21"/>
              <w:szCs w:val="21"/>
            </w:rPr>
            <w:t>-11:其他因素评审记录表</w:t>
          </w:r>
          <w:r>
            <w:rPr>
              <w:rFonts w:ascii="黑体" w:hAnsi="黑体" w:eastAsia="黑体" w:cs="黑体"/>
              <w:spacing w:val="-70"/>
              <w:sz w:val="21"/>
              <w:szCs w:val="21"/>
            </w:rPr>
            <w:t xml:space="preserve"> </w:t>
          </w:r>
          <w:r>
            <w:rPr>
              <w:rFonts w:ascii="黑体" w:hAnsi="黑体" w:eastAsia="黑体" w:cs="黑体"/>
              <w:sz w:val="21"/>
              <w:szCs w:val="21"/>
            </w:rPr>
            <w:tab/>
          </w:r>
          <w:r>
            <w:rPr>
              <w:rFonts w:ascii="黑体" w:hAnsi="黑体" w:eastAsia="黑体" w:cs="黑体"/>
              <w:spacing w:val="-60"/>
              <w:sz w:val="21"/>
              <w:szCs w:val="21"/>
            </w:rPr>
            <w:t xml:space="preserve"> </w:t>
          </w:r>
          <w:r>
            <w:rPr>
              <w:rFonts w:ascii="Times New Roman" w:hAnsi="Times New Roman" w:eastAsia="Times New Roman" w:cs="Times New Roman"/>
              <w:spacing w:val="-3"/>
              <w:sz w:val="21"/>
              <w:szCs w:val="21"/>
            </w:rPr>
            <w:t>93</w:t>
          </w:r>
          <w:r>
            <w:rPr>
              <w:rFonts w:ascii="Times New Roman" w:hAnsi="Times New Roman" w:eastAsia="Times New Roman" w:cs="Times New Roman"/>
              <w:spacing w:val="-3"/>
              <w:sz w:val="21"/>
              <w:szCs w:val="21"/>
            </w:rPr>
            <w:fldChar w:fldCharType="end"/>
          </w:r>
        </w:p>
        <w:p w14:paraId="022092EC">
          <w:pPr>
            <w:tabs>
              <w:tab w:val="right" w:leader="dot" w:pos="8275"/>
            </w:tabs>
            <w:spacing w:before="57" w:line="222" w:lineRule="auto"/>
            <w:ind w:left="833"/>
            <w:rPr>
              <w:rFonts w:ascii="Times New Roman" w:hAnsi="Times New Roman" w:eastAsia="Times New Roman" w:cs="Times New Roman"/>
              <w:sz w:val="21"/>
              <w:szCs w:val="21"/>
            </w:rPr>
          </w:pPr>
          <w:r>
            <w:fldChar w:fldCharType="begin"/>
          </w:r>
          <w:r>
            <w:instrText xml:space="preserve"> HYPERLINK \l "bookmark166" </w:instrText>
          </w:r>
          <w:r>
            <w:fldChar w:fldCharType="separate"/>
          </w:r>
          <w:r>
            <w:rPr>
              <w:rFonts w:ascii="黑体" w:hAnsi="黑体" w:eastAsia="黑体" w:cs="黑体"/>
              <w:spacing w:val="7"/>
              <w:sz w:val="21"/>
              <w:szCs w:val="21"/>
            </w:rPr>
            <w:t>附表</w:t>
          </w:r>
          <w:r>
            <w:rPr>
              <w:rFonts w:ascii="Times New Roman" w:hAnsi="Times New Roman" w:eastAsia="Times New Roman" w:cs="Times New Roman"/>
              <w:spacing w:val="7"/>
              <w:sz w:val="21"/>
              <w:szCs w:val="21"/>
            </w:rPr>
            <w:t>A</w:t>
          </w:r>
          <w:r>
            <w:rPr>
              <w:rFonts w:ascii="黑体" w:hAnsi="黑体" w:eastAsia="黑体" w:cs="黑体"/>
              <w:spacing w:val="7"/>
              <w:sz w:val="21"/>
              <w:szCs w:val="21"/>
            </w:rPr>
            <w:t>-12:详细评审评分汇总表</w:t>
          </w:r>
          <w:r>
            <w:rPr>
              <w:rFonts w:ascii="黑体" w:hAnsi="黑体" w:eastAsia="黑体" w:cs="黑体"/>
              <w:spacing w:val="-70"/>
              <w:sz w:val="21"/>
              <w:szCs w:val="21"/>
            </w:rPr>
            <w:t xml:space="preserve"> </w:t>
          </w:r>
          <w:r>
            <w:rPr>
              <w:rFonts w:ascii="黑体" w:hAnsi="黑体" w:eastAsia="黑体" w:cs="黑体"/>
              <w:sz w:val="21"/>
              <w:szCs w:val="21"/>
            </w:rPr>
            <w:tab/>
          </w:r>
          <w:r>
            <w:rPr>
              <w:rFonts w:ascii="黑体" w:hAnsi="黑体" w:eastAsia="黑体" w:cs="黑体"/>
              <w:spacing w:val="-70"/>
              <w:sz w:val="21"/>
              <w:szCs w:val="21"/>
            </w:rPr>
            <w:t xml:space="preserve"> </w:t>
          </w:r>
          <w:r>
            <w:rPr>
              <w:rFonts w:ascii="Times New Roman" w:hAnsi="Times New Roman" w:eastAsia="Times New Roman" w:cs="Times New Roman"/>
              <w:spacing w:val="-3"/>
              <w:sz w:val="21"/>
              <w:szCs w:val="21"/>
            </w:rPr>
            <w:t>94</w:t>
          </w:r>
          <w:r>
            <w:rPr>
              <w:rFonts w:ascii="Times New Roman" w:hAnsi="Times New Roman" w:eastAsia="Times New Roman" w:cs="Times New Roman"/>
              <w:spacing w:val="-3"/>
              <w:sz w:val="21"/>
              <w:szCs w:val="21"/>
            </w:rPr>
            <w:fldChar w:fldCharType="end"/>
          </w:r>
        </w:p>
        <w:p w14:paraId="301512C3">
          <w:pPr>
            <w:tabs>
              <w:tab w:val="right" w:leader="dot" w:pos="8275"/>
            </w:tabs>
            <w:spacing w:before="58" w:line="222" w:lineRule="auto"/>
            <w:ind w:left="833"/>
            <w:rPr>
              <w:rFonts w:ascii="Times New Roman" w:hAnsi="Times New Roman" w:eastAsia="Times New Roman" w:cs="Times New Roman"/>
              <w:sz w:val="21"/>
              <w:szCs w:val="21"/>
            </w:rPr>
          </w:pPr>
          <w:r>
            <w:fldChar w:fldCharType="begin"/>
          </w:r>
          <w:r>
            <w:instrText xml:space="preserve"> HYPERLINK \l "bookmark167" </w:instrText>
          </w:r>
          <w:r>
            <w:fldChar w:fldCharType="separate"/>
          </w:r>
          <w:r>
            <w:rPr>
              <w:rFonts w:ascii="黑体" w:hAnsi="黑体" w:eastAsia="黑体" w:cs="黑体"/>
              <w:spacing w:val="9"/>
              <w:sz w:val="21"/>
              <w:szCs w:val="21"/>
            </w:rPr>
            <w:t>附表</w:t>
          </w:r>
          <w:r>
            <w:rPr>
              <w:rFonts w:ascii="Times New Roman" w:hAnsi="Times New Roman" w:eastAsia="Times New Roman" w:cs="Times New Roman"/>
              <w:spacing w:val="9"/>
              <w:sz w:val="21"/>
              <w:szCs w:val="21"/>
            </w:rPr>
            <w:t>A</w:t>
          </w:r>
          <w:r>
            <w:rPr>
              <w:rFonts w:ascii="黑体" w:hAnsi="黑体" w:eastAsia="黑体" w:cs="黑体"/>
              <w:spacing w:val="9"/>
              <w:sz w:val="21"/>
              <w:szCs w:val="21"/>
            </w:rPr>
            <w:t>-13:评标结果汇总表</w:t>
          </w:r>
          <w:r>
            <w:rPr>
              <w:rFonts w:ascii="黑体" w:hAnsi="黑体" w:eastAsia="黑体" w:cs="黑体"/>
              <w:spacing w:val="-84"/>
              <w:sz w:val="21"/>
              <w:szCs w:val="21"/>
            </w:rPr>
            <w:t xml:space="preserve"> </w:t>
          </w:r>
          <w:r>
            <w:rPr>
              <w:rFonts w:ascii="黑体" w:hAnsi="黑体" w:eastAsia="黑体" w:cs="黑体"/>
              <w:sz w:val="21"/>
              <w:szCs w:val="21"/>
            </w:rPr>
            <w:tab/>
          </w:r>
          <w:r>
            <w:rPr>
              <w:rFonts w:ascii="黑体" w:hAnsi="黑体" w:eastAsia="黑体" w:cs="黑体"/>
              <w:spacing w:val="-71"/>
              <w:sz w:val="21"/>
              <w:szCs w:val="21"/>
            </w:rPr>
            <w:t xml:space="preserve"> </w:t>
          </w:r>
          <w:r>
            <w:rPr>
              <w:rFonts w:ascii="Times New Roman" w:hAnsi="Times New Roman" w:eastAsia="Times New Roman" w:cs="Times New Roman"/>
              <w:spacing w:val="-3"/>
              <w:sz w:val="21"/>
              <w:szCs w:val="21"/>
            </w:rPr>
            <w:t>95</w:t>
          </w:r>
          <w:r>
            <w:rPr>
              <w:rFonts w:ascii="Times New Roman" w:hAnsi="Times New Roman" w:eastAsia="Times New Roman" w:cs="Times New Roman"/>
              <w:spacing w:val="-3"/>
              <w:sz w:val="21"/>
              <w:szCs w:val="21"/>
            </w:rPr>
            <w:fldChar w:fldCharType="end"/>
          </w:r>
        </w:p>
        <w:p w14:paraId="7EDE0B8F">
          <w:pPr>
            <w:tabs>
              <w:tab w:val="right" w:leader="dot" w:pos="8275"/>
            </w:tabs>
            <w:spacing w:before="47" w:line="222" w:lineRule="auto"/>
            <w:ind w:left="833"/>
            <w:rPr>
              <w:rFonts w:ascii="Times New Roman" w:hAnsi="Times New Roman" w:eastAsia="Times New Roman" w:cs="Times New Roman"/>
              <w:sz w:val="21"/>
              <w:szCs w:val="21"/>
            </w:rPr>
          </w:pPr>
          <w:r>
            <w:fldChar w:fldCharType="begin"/>
          </w:r>
          <w:r>
            <w:instrText xml:space="preserve"> HYPERLINK \l "bookmark168" </w:instrText>
          </w:r>
          <w:r>
            <w:fldChar w:fldCharType="separate"/>
          </w:r>
          <w:r>
            <w:rPr>
              <w:rFonts w:ascii="黑体" w:hAnsi="黑体" w:eastAsia="黑体" w:cs="黑体"/>
              <w:spacing w:val="9"/>
              <w:sz w:val="21"/>
              <w:szCs w:val="21"/>
            </w:rPr>
            <w:t>附表</w:t>
          </w:r>
          <w:r>
            <w:rPr>
              <w:rFonts w:ascii="Times New Roman" w:hAnsi="Times New Roman" w:eastAsia="Times New Roman" w:cs="Times New Roman"/>
              <w:spacing w:val="9"/>
              <w:sz w:val="21"/>
              <w:szCs w:val="21"/>
            </w:rPr>
            <w:t>A</w:t>
          </w:r>
          <w:r>
            <w:rPr>
              <w:rFonts w:ascii="黑体" w:hAnsi="黑体" w:eastAsia="黑体" w:cs="黑体"/>
              <w:spacing w:val="9"/>
              <w:sz w:val="21"/>
              <w:szCs w:val="21"/>
            </w:rPr>
            <w:t>-13:评标结果汇总表</w:t>
          </w:r>
          <w:r>
            <w:rPr>
              <w:rFonts w:ascii="黑体" w:hAnsi="黑体" w:eastAsia="黑体" w:cs="黑体"/>
              <w:spacing w:val="-84"/>
              <w:sz w:val="21"/>
              <w:szCs w:val="21"/>
            </w:rPr>
            <w:t xml:space="preserve"> </w:t>
          </w:r>
          <w:r>
            <w:rPr>
              <w:rFonts w:ascii="黑体" w:hAnsi="黑体" w:eastAsia="黑体" w:cs="黑体"/>
              <w:sz w:val="21"/>
              <w:szCs w:val="21"/>
            </w:rPr>
            <w:tab/>
          </w:r>
          <w:r>
            <w:rPr>
              <w:rFonts w:ascii="黑体" w:hAnsi="黑体" w:eastAsia="黑体" w:cs="黑体"/>
              <w:spacing w:val="-71"/>
              <w:sz w:val="21"/>
              <w:szCs w:val="21"/>
            </w:rPr>
            <w:t xml:space="preserve"> </w:t>
          </w:r>
          <w:r>
            <w:rPr>
              <w:rFonts w:ascii="Times New Roman" w:hAnsi="Times New Roman" w:eastAsia="Times New Roman" w:cs="Times New Roman"/>
              <w:spacing w:val="-3"/>
              <w:sz w:val="21"/>
              <w:szCs w:val="21"/>
            </w:rPr>
            <w:t>96</w:t>
          </w:r>
          <w:r>
            <w:rPr>
              <w:rFonts w:ascii="Times New Roman" w:hAnsi="Times New Roman" w:eastAsia="Times New Roman" w:cs="Times New Roman"/>
              <w:spacing w:val="-3"/>
              <w:sz w:val="21"/>
              <w:szCs w:val="21"/>
            </w:rPr>
            <w:fldChar w:fldCharType="end"/>
          </w:r>
        </w:p>
        <w:p w14:paraId="78BD998D">
          <w:pPr>
            <w:tabs>
              <w:tab w:val="right" w:leader="dot" w:pos="8285"/>
            </w:tabs>
            <w:spacing w:before="77" w:line="221" w:lineRule="auto"/>
            <w:ind w:left="833"/>
            <w:rPr>
              <w:rFonts w:ascii="Times New Roman" w:hAnsi="Times New Roman" w:eastAsia="Times New Roman" w:cs="Times New Roman"/>
              <w:sz w:val="21"/>
              <w:szCs w:val="21"/>
            </w:rPr>
          </w:pPr>
          <w:r>
            <w:fldChar w:fldCharType="begin"/>
          </w:r>
          <w:r>
            <w:instrText xml:space="preserve"> HYPERLINK \l "bookmark169" </w:instrText>
          </w:r>
          <w:r>
            <w:fldChar w:fldCharType="separate"/>
          </w:r>
          <w:r>
            <w:rPr>
              <w:rFonts w:ascii="黑体" w:hAnsi="黑体" w:eastAsia="黑体" w:cs="黑体"/>
              <w:spacing w:val="8"/>
              <w:sz w:val="21"/>
              <w:szCs w:val="21"/>
            </w:rPr>
            <w:t>附表</w:t>
          </w:r>
          <w:r>
            <w:rPr>
              <w:rFonts w:ascii="Times New Roman" w:hAnsi="Times New Roman" w:eastAsia="Times New Roman" w:cs="Times New Roman"/>
              <w:spacing w:val="8"/>
              <w:sz w:val="21"/>
              <w:szCs w:val="21"/>
            </w:rPr>
            <w:t>A</w:t>
          </w:r>
          <w:r>
            <w:rPr>
              <w:rFonts w:ascii="黑体" w:hAnsi="黑体" w:eastAsia="黑体" w:cs="黑体"/>
              <w:spacing w:val="8"/>
              <w:sz w:val="21"/>
              <w:szCs w:val="21"/>
            </w:rPr>
            <w:t>-14:否决投标的情况说明表</w:t>
          </w:r>
          <w:r>
            <w:rPr>
              <w:rFonts w:ascii="黑体" w:hAnsi="黑体" w:eastAsia="黑体" w:cs="黑体"/>
              <w:spacing w:val="-84"/>
              <w:sz w:val="21"/>
              <w:szCs w:val="21"/>
            </w:rPr>
            <w:t xml:space="preserve"> </w:t>
          </w:r>
          <w:r>
            <w:rPr>
              <w:rFonts w:ascii="黑体" w:hAnsi="黑体" w:eastAsia="黑体" w:cs="黑体"/>
              <w:sz w:val="21"/>
              <w:szCs w:val="21"/>
            </w:rPr>
            <w:tab/>
          </w:r>
          <w:r>
            <w:rPr>
              <w:rFonts w:ascii="黑体" w:hAnsi="黑体" w:eastAsia="黑体" w:cs="黑体"/>
              <w:spacing w:val="-70"/>
              <w:sz w:val="21"/>
              <w:szCs w:val="21"/>
            </w:rPr>
            <w:t xml:space="preserve"> </w:t>
          </w:r>
          <w:r>
            <w:rPr>
              <w:rFonts w:ascii="Times New Roman" w:hAnsi="Times New Roman" w:eastAsia="Times New Roman" w:cs="Times New Roman"/>
              <w:spacing w:val="-3"/>
              <w:sz w:val="21"/>
              <w:szCs w:val="21"/>
            </w:rPr>
            <w:t>97</w:t>
          </w:r>
          <w:r>
            <w:rPr>
              <w:rFonts w:ascii="Times New Roman" w:hAnsi="Times New Roman" w:eastAsia="Times New Roman" w:cs="Times New Roman"/>
              <w:spacing w:val="-3"/>
              <w:sz w:val="21"/>
              <w:szCs w:val="21"/>
            </w:rPr>
            <w:fldChar w:fldCharType="end"/>
          </w:r>
        </w:p>
        <w:p w14:paraId="642E2374">
          <w:pPr>
            <w:tabs>
              <w:tab w:val="right" w:leader="dot" w:pos="8285"/>
            </w:tabs>
            <w:spacing w:before="59" w:line="222" w:lineRule="auto"/>
            <w:ind w:left="833"/>
            <w:rPr>
              <w:rFonts w:ascii="Times New Roman" w:hAnsi="Times New Roman" w:eastAsia="Times New Roman" w:cs="Times New Roman"/>
              <w:sz w:val="21"/>
              <w:szCs w:val="21"/>
            </w:rPr>
          </w:pPr>
          <w:r>
            <w:fldChar w:fldCharType="begin"/>
          </w:r>
          <w:r>
            <w:instrText xml:space="preserve"> HYPERLINK \l "bookmark170" </w:instrText>
          </w:r>
          <w:r>
            <w:fldChar w:fldCharType="separate"/>
          </w:r>
          <w:r>
            <w:rPr>
              <w:rFonts w:ascii="黑体" w:hAnsi="黑体" w:eastAsia="黑体" w:cs="黑体"/>
              <w:spacing w:val="8"/>
              <w:sz w:val="21"/>
              <w:szCs w:val="21"/>
            </w:rPr>
            <w:t>附表</w:t>
          </w:r>
          <w:r>
            <w:rPr>
              <w:rFonts w:ascii="Times New Roman" w:hAnsi="Times New Roman" w:eastAsia="Times New Roman" w:cs="Times New Roman"/>
              <w:spacing w:val="8"/>
              <w:sz w:val="21"/>
              <w:szCs w:val="21"/>
            </w:rPr>
            <w:t>D</w:t>
          </w:r>
          <w:r>
            <w:rPr>
              <w:rFonts w:ascii="黑体" w:hAnsi="黑体" w:eastAsia="黑体" w:cs="黑体"/>
              <w:spacing w:val="8"/>
              <w:sz w:val="21"/>
              <w:szCs w:val="21"/>
            </w:rPr>
            <w:t>-1:成本评审结论记录表</w:t>
          </w:r>
          <w:r>
            <w:rPr>
              <w:rFonts w:ascii="黑体" w:hAnsi="黑体" w:eastAsia="黑体" w:cs="黑体"/>
              <w:spacing w:val="-73"/>
              <w:sz w:val="21"/>
              <w:szCs w:val="21"/>
            </w:rPr>
            <w:t xml:space="preserve"> </w:t>
          </w:r>
          <w:r>
            <w:rPr>
              <w:rFonts w:ascii="黑体" w:hAnsi="黑体" w:eastAsia="黑体" w:cs="黑体"/>
              <w:sz w:val="21"/>
              <w:szCs w:val="21"/>
            </w:rPr>
            <w:tab/>
          </w:r>
          <w:r>
            <w:rPr>
              <w:rFonts w:ascii="Times New Roman" w:hAnsi="Times New Roman" w:eastAsia="Times New Roman" w:cs="Times New Roman"/>
              <w:spacing w:val="-1"/>
              <w:sz w:val="21"/>
              <w:szCs w:val="21"/>
            </w:rPr>
            <w:t>98</w:t>
          </w:r>
          <w:r>
            <w:rPr>
              <w:rFonts w:ascii="Times New Roman" w:hAnsi="Times New Roman" w:eastAsia="Times New Roman" w:cs="Times New Roman"/>
              <w:spacing w:val="-1"/>
              <w:sz w:val="21"/>
              <w:szCs w:val="21"/>
            </w:rPr>
            <w:fldChar w:fldCharType="end"/>
          </w:r>
        </w:p>
        <w:p w14:paraId="6AE40408">
          <w:pPr>
            <w:tabs>
              <w:tab w:val="right" w:leader="dot" w:pos="8275"/>
            </w:tabs>
            <w:spacing w:before="58" w:line="222" w:lineRule="auto"/>
            <w:ind w:left="833"/>
            <w:rPr>
              <w:rFonts w:ascii="Times New Roman" w:hAnsi="Times New Roman" w:eastAsia="Times New Roman" w:cs="Times New Roman"/>
              <w:sz w:val="21"/>
              <w:szCs w:val="21"/>
            </w:rPr>
          </w:pPr>
          <w:r>
            <w:fldChar w:fldCharType="begin"/>
          </w:r>
          <w:r>
            <w:instrText xml:space="preserve"> HYPERLINK \l "bookmark171" </w:instrText>
          </w:r>
          <w:r>
            <w:fldChar w:fldCharType="separate"/>
          </w:r>
          <w:r>
            <w:rPr>
              <w:rFonts w:ascii="黑体" w:hAnsi="黑体" w:eastAsia="黑体" w:cs="黑体"/>
              <w:spacing w:val="5"/>
              <w:sz w:val="21"/>
              <w:szCs w:val="21"/>
            </w:rPr>
            <w:t>附表</w:t>
          </w:r>
          <w:r>
            <w:rPr>
              <w:rFonts w:ascii="Times New Roman" w:hAnsi="Times New Roman" w:eastAsia="Times New Roman" w:cs="Times New Roman"/>
              <w:spacing w:val="5"/>
              <w:sz w:val="21"/>
              <w:szCs w:val="21"/>
            </w:rPr>
            <w:t>C</w:t>
          </w:r>
          <w:r>
            <w:rPr>
              <w:rFonts w:ascii="黑体" w:hAnsi="黑体" w:eastAsia="黑体" w:cs="黑体"/>
              <w:spacing w:val="5"/>
              <w:sz w:val="21"/>
              <w:szCs w:val="21"/>
            </w:rPr>
            <w:t>-1:清标报告-分部分项工程和单价措</w:t>
          </w:r>
          <w:r>
            <w:rPr>
              <w:rFonts w:ascii="黑体" w:hAnsi="黑体" w:eastAsia="黑体" w:cs="黑体"/>
              <w:spacing w:val="4"/>
              <w:sz w:val="21"/>
              <w:szCs w:val="21"/>
            </w:rPr>
            <w:t>施项目符合性检查</w:t>
          </w:r>
          <w:r>
            <w:rPr>
              <w:rFonts w:ascii="黑体" w:hAnsi="黑体" w:eastAsia="黑体" w:cs="黑体"/>
              <w:spacing w:val="-84"/>
              <w:sz w:val="21"/>
              <w:szCs w:val="21"/>
            </w:rPr>
            <w:t xml:space="preserve"> </w:t>
          </w:r>
          <w:r>
            <w:rPr>
              <w:rFonts w:ascii="黑体" w:hAnsi="黑体" w:eastAsia="黑体" w:cs="黑体"/>
              <w:sz w:val="21"/>
              <w:szCs w:val="21"/>
            </w:rPr>
            <w:tab/>
          </w:r>
          <w:r>
            <w:rPr>
              <w:rFonts w:ascii="黑体" w:hAnsi="黑体" w:eastAsia="黑体" w:cs="黑体"/>
              <w:spacing w:val="-70"/>
              <w:sz w:val="21"/>
              <w:szCs w:val="21"/>
            </w:rPr>
            <w:t xml:space="preserve"> </w:t>
          </w:r>
          <w:r>
            <w:rPr>
              <w:rFonts w:ascii="Times New Roman" w:hAnsi="Times New Roman" w:eastAsia="Times New Roman" w:cs="Times New Roman"/>
              <w:spacing w:val="-3"/>
              <w:sz w:val="21"/>
              <w:szCs w:val="21"/>
            </w:rPr>
            <w:t>99</w:t>
          </w:r>
          <w:r>
            <w:rPr>
              <w:rFonts w:ascii="Times New Roman" w:hAnsi="Times New Roman" w:eastAsia="Times New Roman" w:cs="Times New Roman"/>
              <w:spacing w:val="-3"/>
              <w:sz w:val="21"/>
              <w:szCs w:val="21"/>
            </w:rPr>
            <w:fldChar w:fldCharType="end"/>
          </w:r>
        </w:p>
        <w:p w14:paraId="0A7987DB">
          <w:pPr>
            <w:tabs>
              <w:tab w:val="right" w:leader="dot" w:pos="8282"/>
            </w:tabs>
            <w:spacing w:before="57" w:line="222" w:lineRule="auto"/>
            <w:ind w:left="833"/>
            <w:rPr>
              <w:rFonts w:ascii="Times New Roman" w:hAnsi="Times New Roman" w:eastAsia="Times New Roman" w:cs="Times New Roman"/>
              <w:sz w:val="21"/>
              <w:szCs w:val="21"/>
            </w:rPr>
          </w:pPr>
          <w:r>
            <w:fldChar w:fldCharType="begin"/>
          </w:r>
          <w:r>
            <w:instrText xml:space="preserve"> HYPERLINK \l "bookmark172" </w:instrText>
          </w:r>
          <w:r>
            <w:fldChar w:fldCharType="separate"/>
          </w:r>
          <w:r>
            <w:rPr>
              <w:rFonts w:ascii="黑体" w:hAnsi="黑体" w:eastAsia="黑体" w:cs="黑体"/>
              <w:spacing w:val="6"/>
              <w:sz w:val="21"/>
              <w:szCs w:val="21"/>
            </w:rPr>
            <w:t>附表</w:t>
          </w:r>
          <w:r>
            <w:rPr>
              <w:rFonts w:ascii="Times New Roman" w:hAnsi="Times New Roman" w:eastAsia="Times New Roman" w:cs="Times New Roman"/>
              <w:spacing w:val="6"/>
              <w:sz w:val="21"/>
              <w:szCs w:val="21"/>
            </w:rPr>
            <w:t>C</w:t>
          </w:r>
          <w:r>
            <w:rPr>
              <w:rFonts w:ascii="黑体" w:hAnsi="黑体" w:eastAsia="黑体" w:cs="黑体"/>
              <w:spacing w:val="6"/>
              <w:sz w:val="21"/>
              <w:szCs w:val="21"/>
            </w:rPr>
            <w:t>-2:清标报告-总价措施项目符合性检查</w:t>
          </w:r>
          <w:r>
            <w:rPr>
              <w:rFonts w:ascii="黑体" w:hAnsi="黑体" w:eastAsia="黑体" w:cs="黑体"/>
              <w:spacing w:val="-79"/>
              <w:sz w:val="21"/>
              <w:szCs w:val="21"/>
            </w:rPr>
            <w:t xml:space="preserve"> </w:t>
          </w:r>
          <w:r>
            <w:rPr>
              <w:rFonts w:ascii="黑体" w:hAnsi="黑体" w:eastAsia="黑体" w:cs="黑体"/>
              <w:sz w:val="21"/>
              <w:szCs w:val="21"/>
            </w:rPr>
            <w:tab/>
          </w:r>
          <w:r>
            <w:rPr>
              <w:rFonts w:ascii="Times New Roman" w:hAnsi="Times New Roman" w:eastAsia="Times New Roman" w:cs="Times New Roman"/>
              <w:spacing w:val="-4"/>
              <w:sz w:val="21"/>
              <w:szCs w:val="21"/>
            </w:rPr>
            <w:t>100</w:t>
          </w:r>
          <w:r>
            <w:rPr>
              <w:rFonts w:ascii="Times New Roman" w:hAnsi="Times New Roman" w:eastAsia="Times New Roman" w:cs="Times New Roman"/>
              <w:spacing w:val="-4"/>
              <w:sz w:val="21"/>
              <w:szCs w:val="21"/>
            </w:rPr>
            <w:fldChar w:fldCharType="end"/>
          </w:r>
        </w:p>
        <w:p w14:paraId="69D14C62">
          <w:pPr>
            <w:tabs>
              <w:tab w:val="right" w:leader="dot" w:pos="8282"/>
            </w:tabs>
            <w:spacing w:before="48" w:line="222" w:lineRule="auto"/>
            <w:ind w:left="833"/>
            <w:rPr>
              <w:rFonts w:ascii="Times New Roman" w:hAnsi="Times New Roman" w:eastAsia="Times New Roman" w:cs="Times New Roman"/>
              <w:sz w:val="21"/>
              <w:szCs w:val="21"/>
            </w:rPr>
          </w:pPr>
          <w:r>
            <w:fldChar w:fldCharType="begin"/>
          </w:r>
          <w:r>
            <w:instrText xml:space="preserve"> HYPERLINK \l "bookmark173" </w:instrText>
          </w:r>
          <w:r>
            <w:fldChar w:fldCharType="separate"/>
          </w:r>
          <w:r>
            <w:rPr>
              <w:rFonts w:ascii="黑体" w:hAnsi="黑体" w:eastAsia="黑体" w:cs="黑体"/>
              <w:spacing w:val="6"/>
              <w:sz w:val="21"/>
              <w:szCs w:val="21"/>
            </w:rPr>
            <w:t>附表</w:t>
          </w:r>
          <w:r>
            <w:rPr>
              <w:rFonts w:ascii="Times New Roman" w:hAnsi="Times New Roman" w:eastAsia="Times New Roman" w:cs="Times New Roman"/>
              <w:spacing w:val="6"/>
              <w:sz w:val="21"/>
              <w:szCs w:val="21"/>
            </w:rPr>
            <w:t>C</w:t>
          </w:r>
          <w:r>
            <w:rPr>
              <w:rFonts w:ascii="黑体" w:hAnsi="黑体" w:eastAsia="黑体" w:cs="黑体"/>
              <w:spacing w:val="6"/>
              <w:sz w:val="21"/>
              <w:szCs w:val="21"/>
            </w:rPr>
            <w:t>-3:清标报告-其他项目符合性检查</w:t>
          </w:r>
          <w:r>
            <w:rPr>
              <w:rFonts w:ascii="黑体" w:hAnsi="黑体" w:eastAsia="黑体" w:cs="黑体"/>
              <w:spacing w:val="-67"/>
              <w:sz w:val="21"/>
              <w:szCs w:val="21"/>
            </w:rPr>
            <w:t xml:space="preserve"> </w:t>
          </w:r>
          <w:r>
            <w:rPr>
              <w:rFonts w:ascii="黑体" w:hAnsi="黑体" w:eastAsia="黑体" w:cs="黑体"/>
              <w:sz w:val="21"/>
              <w:szCs w:val="21"/>
            </w:rPr>
            <w:tab/>
          </w:r>
          <w:r>
            <w:rPr>
              <w:rFonts w:ascii="Times New Roman" w:hAnsi="Times New Roman" w:eastAsia="Times New Roman" w:cs="Times New Roman"/>
              <w:spacing w:val="-4"/>
              <w:sz w:val="21"/>
              <w:szCs w:val="21"/>
            </w:rPr>
            <w:t>101</w:t>
          </w:r>
          <w:r>
            <w:rPr>
              <w:rFonts w:ascii="Times New Roman" w:hAnsi="Times New Roman" w:eastAsia="Times New Roman" w:cs="Times New Roman"/>
              <w:spacing w:val="-4"/>
              <w:sz w:val="21"/>
              <w:szCs w:val="21"/>
            </w:rPr>
            <w:fldChar w:fldCharType="end"/>
          </w:r>
        </w:p>
      </w:sdtContent>
    </w:sdt>
    <w:p w14:paraId="22560640">
      <w:pPr>
        <w:spacing w:line="222" w:lineRule="auto"/>
        <w:rPr>
          <w:rFonts w:ascii="Times New Roman" w:hAnsi="Times New Roman" w:eastAsia="Times New Roman" w:cs="Times New Roman"/>
          <w:sz w:val="21"/>
          <w:szCs w:val="21"/>
        </w:rPr>
        <w:sectPr>
          <w:footerReference r:id="rId9" w:type="default"/>
          <w:pgSz w:w="11910" w:h="16840"/>
          <w:pgMar w:top="1431" w:right="1057" w:bottom="1204" w:left="1786" w:header="0" w:footer="1017" w:gutter="0"/>
          <w:cols w:space="720" w:num="1"/>
        </w:sectPr>
      </w:pPr>
    </w:p>
    <w:sdt>
      <w:sdtPr>
        <w:rPr>
          <w:rFonts w:ascii="宋体" w:hAnsi="宋体" w:eastAsia="宋体" w:cs="宋体"/>
          <w:sz w:val="21"/>
          <w:szCs w:val="21"/>
        </w:rPr>
        <w:id w:val="147472699"/>
        <w:docPartObj>
          <w:docPartGallery w:val="Table of Contents"/>
          <w:docPartUnique/>
        </w:docPartObj>
      </w:sdtPr>
      <w:sdtEndPr>
        <w:rPr>
          <w:rFonts w:ascii="Times New Roman" w:hAnsi="Times New Roman" w:eastAsia="Times New Roman" w:cs="Times New Roman"/>
          <w:sz w:val="21"/>
          <w:szCs w:val="21"/>
        </w:rPr>
      </w:sdtEndPr>
      <w:sdtContent>
        <w:p w14:paraId="4D8B17DB">
          <w:pPr>
            <w:pStyle w:val="2"/>
            <w:tabs>
              <w:tab w:val="right" w:leader="dot" w:pos="8277"/>
            </w:tabs>
            <w:spacing w:before="45" w:line="218" w:lineRule="auto"/>
            <w:ind w:left="837"/>
            <w:rPr>
              <w:rFonts w:ascii="Times New Roman" w:hAnsi="Times New Roman" w:eastAsia="Times New Roman" w:cs="Times New Roman"/>
              <w:sz w:val="21"/>
              <w:szCs w:val="21"/>
            </w:rPr>
          </w:pPr>
          <w:r>
            <w:fldChar w:fldCharType="begin"/>
          </w:r>
          <w:r>
            <w:instrText xml:space="preserve"> HYPERLINK \l "bookmark174" </w:instrText>
          </w:r>
          <w:r>
            <w:fldChar w:fldCharType="separate"/>
          </w:r>
          <w:r>
            <w:rPr>
              <w:spacing w:val="6"/>
              <w:sz w:val="21"/>
              <w:szCs w:val="21"/>
            </w:rPr>
            <w:t>附表</w:t>
          </w:r>
          <w:r>
            <w:rPr>
              <w:rFonts w:ascii="Times New Roman" w:hAnsi="Times New Roman" w:eastAsia="Times New Roman" w:cs="Times New Roman"/>
              <w:spacing w:val="6"/>
              <w:sz w:val="21"/>
              <w:szCs w:val="21"/>
            </w:rPr>
            <w:t>C</w:t>
          </w:r>
          <w:r>
            <w:rPr>
              <w:spacing w:val="6"/>
              <w:sz w:val="21"/>
              <w:szCs w:val="21"/>
            </w:rPr>
            <w:t>-4:清标报告-规费、税金项目符合性检查</w:t>
          </w:r>
          <w:r>
            <w:rPr>
              <w:spacing w:val="-84"/>
              <w:sz w:val="21"/>
              <w:szCs w:val="21"/>
            </w:rPr>
            <w:t xml:space="preserve"> </w:t>
          </w:r>
          <w:r>
            <w:rPr>
              <w:sz w:val="21"/>
              <w:szCs w:val="21"/>
            </w:rPr>
            <w:tab/>
          </w:r>
          <w:r>
            <w:rPr>
              <w:rFonts w:ascii="Times New Roman" w:hAnsi="Times New Roman" w:eastAsia="Times New Roman" w:cs="Times New Roman"/>
              <w:spacing w:val="-4"/>
              <w:sz w:val="21"/>
              <w:szCs w:val="21"/>
            </w:rPr>
            <w:t>102</w:t>
          </w:r>
          <w:r>
            <w:rPr>
              <w:rFonts w:ascii="Times New Roman" w:hAnsi="Times New Roman" w:eastAsia="Times New Roman" w:cs="Times New Roman"/>
              <w:spacing w:val="-4"/>
              <w:sz w:val="21"/>
              <w:szCs w:val="21"/>
            </w:rPr>
            <w:fldChar w:fldCharType="end"/>
          </w:r>
        </w:p>
        <w:p w14:paraId="152328FC">
          <w:pPr>
            <w:pStyle w:val="2"/>
            <w:tabs>
              <w:tab w:val="right" w:leader="dot" w:pos="8287"/>
            </w:tabs>
            <w:spacing w:before="71" w:line="218" w:lineRule="auto"/>
            <w:ind w:left="837"/>
            <w:rPr>
              <w:rFonts w:ascii="Times New Roman" w:hAnsi="Times New Roman" w:eastAsia="Times New Roman" w:cs="Times New Roman"/>
              <w:sz w:val="21"/>
              <w:szCs w:val="21"/>
            </w:rPr>
          </w:pPr>
          <w:r>
            <w:fldChar w:fldCharType="begin"/>
          </w:r>
          <w:r>
            <w:instrText xml:space="preserve"> HYPERLINK \l "bookmark175" </w:instrText>
          </w:r>
          <w:r>
            <w:fldChar w:fldCharType="separate"/>
          </w:r>
          <w:r>
            <w:rPr>
              <w:spacing w:val="5"/>
              <w:sz w:val="21"/>
              <w:szCs w:val="21"/>
            </w:rPr>
            <w:t>附表</w:t>
          </w:r>
          <w:r>
            <w:rPr>
              <w:rFonts w:ascii="Times New Roman" w:hAnsi="Times New Roman" w:eastAsia="Times New Roman" w:cs="Times New Roman"/>
              <w:spacing w:val="5"/>
              <w:sz w:val="21"/>
              <w:szCs w:val="21"/>
            </w:rPr>
            <w:t>C</w:t>
          </w:r>
          <w:r>
            <w:rPr>
              <w:spacing w:val="5"/>
              <w:sz w:val="21"/>
              <w:szCs w:val="21"/>
            </w:rPr>
            <w:t>-5:清标报告-发包人提供材料和工程设备符合性检查</w:t>
          </w:r>
          <w:r>
            <w:rPr>
              <w:spacing w:val="-86"/>
              <w:sz w:val="21"/>
              <w:szCs w:val="21"/>
            </w:rPr>
            <w:t xml:space="preserve"> </w:t>
          </w:r>
          <w:r>
            <w:rPr>
              <w:sz w:val="21"/>
              <w:szCs w:val="21"/>
            </w:rPr>
            <w:tab/>
          </w:r>
          <w:r>
            <w:rPr>
              <w:rFonts w:ascii="Times New Roman" w:hAnsi="Times New Roman" w:eastAsia="Times New Roman" w:cs="Times New Roman"/>
              <w:spacing w:val="-4"/>
              <w:sz w:val="21"/>
              <w:szCs w:val="21"/>
            </w:rPr>
            <w:t>103</w:t>
          </w:r>
          <w:r>
            <w:rPr>
              <w:rFonts w:ascii="Times New Roman" w:hAnsi="Times New Roman" w:eastAsia="Times New Roman" w:cs="Times New Roman"/>
              <w:spacing w:val="-4"/>
              <w:sz w:val="21"/>
              <w:szCs w:val="21"/>
            </w:rPr>
            <w:fldChar w:fldCharType="end"/>
          </w:r>
        </w:p>
        <w:p w14:paraId="25B8A7FD">
          <w:pPr>
            <w:pStyle w:val="2"/>
            <w:tabs>
              <w:tab w:val="right" w:leader="dot" w:pos="8277"/>
            </w:tabs>
            <w:spacing w:before="62" w:line="218" w:lineRule="auto"/>
            <w:ind w:left="837"/>
            <w:rPr>
              <w:rFonts w:ascii="Times New Roman" w:hAnsi="Times New Roman" w:eastAsia="Times New Roman" w:cs="Times New Roman"/>
              <w:sz w:val="21"/>
              <w:szCs w:val="21"/>
            </w:rPr>
          </w:pPr>
          <w:r>
            <w:fldChar w:fldCharType="begin"/>
          </w:r>
          <w:r>
            <w:instrText xml:space="preserve"> HYPERLINK \l "bookmark176" </w:instrText>
          </w:r>
          <w:r>
            <w:fldChar w:fldCharType="separate"/>
          </w:r>
          <w:r>
            <w:rPr>
              <w:spacing w:val="8"/>
              <w:sz w:val="21"/>
              <w:szCs w:val="21"/>
            </w:rPr>
            <w:t>附表</w:t>
          </w:r>
          <w:r>
            <w:rPr>
              <w:rFonts w:ascii="Times New Roman" w:hAnsi="Times New Roman" w:eastAsia="Times New Roman" w:cs="Times New Roman"/>
              <w:spacing w:val="8"/>
              <w:sz w:val="21"/>
              <w:szCs w:val="21"/>
            </w:rPr>
            <w:t>C</w:t>
          </w:r>
          <w:r>
            <w:rPr>
              <w:spacing w:val="8"/>
              <w:sz w:val="21"/>
              <w:szCs w:val="21"/>
            </w:rPr>
            <w:t>-6:清标报告-算术错误检查</w:t>
          </w:r>
          <w:r>
            <w:rPr>
              <w:spacing w:val="-83"/>
              <w:sz w:val="21"/>
              <w:szCs w:val="21"/>
            </w:rPr>
            <w:t xml:space="preserve"> </w:t>
          </w:r>
          <w:r>
            <w:rPr>
              <w:sz w:val="21"/>
              <w:szCs w:val="21"/>
            </w:rPr>
            <w:tab/>
          </w:r>
          <w:r>
            <w:rPr>
              <w:rFonts w:ascii="Times New Roman" w:hAnsi="Times New Roman" w:eastAsia="Times New Roman" w:cs="Times New Roman"/>
              <w:spacing w:val="-4"/>
              <w:sz w:val="21"/>
              <w:szCs w:val="21"/>
            </w:rPr>
            <w:t>104</w:t>
          </w:r>
          <w:r>
            <w:rPr>
              <w:rFonts w:ascii="Times New Roman" w:hAnsi="Times New Roman" w:eastAsia="Times New Roman" w:cs="Times New Roman"/>
              <w:spacing w:val="-4"/>
              <w:sz w:val="21"/>
              <w:szCs w:val="21"/>
            </w:rPr>
            <w:fldChar w:fldCharType="end"/>
          </w:r>
        </w:p>
        <w:p w14:paraId="68DE0918">
          <w:pPr>
            <w:pStyle w:val="2"/>
            <w:tabs>
              <w:tab w:val="right" w:leader="dot" w:pos="8277"/>
            </w:tabs>
            <w:spacing w:before="52" w:line="218" w:lineRule="auto"/>
            <w:ind w:left="837"/>
            <w:rPr>
              <w:rFonts w:ascii="Times New Roman" w:hAnsi="Times New Roman" w:eastAsia="Times New Roman" w:cs="Times New Roman"/>
              <w:sz w:val="21"/>
              <w:szCs w:val="21"/>
            </w:rPr>
          </w:pPr>
          <w:r>
            <w:fldChar w:fldCharType="begin"/>
          </w:r>
          <w:r>
            <w:instrText xml:space="preserve"> HYPERLINK \l "bookmark177" </w:instrText>
          </w:r>
          <w:r>
            <w:fldChar w:fldCharType="separate"/>
          </w:r>
          <w:r>
            <w:rPr>
              <w:spacing w:val="6"/>
              <w:sz w:val="21"/>
              <w:szCs w:val="21"/>
            </w:rPr>
            <w:t>附表</w:t>
          </w:r>
          <w:r>
            <w:rPr>
              <w:rFonts w:ascii="Times New Roman" w:hAnsi="Times New Roman" w:eastAsia="Times New Roman" w:cs="Times New Roman"/>
              <w:spacing w:val="6"/>
              <w:sz w:val="21"/>
              <w:szCs w:val="21"/>
            </w:rPr>
            <w:t>C</w:t>
          </w:r>
          <w:r>
            <w:rPr>
              <w:spacing w:val="6"/>
              <w:sz w:val="21"/>
              <w:szCs w:val="21"/>
            </w:rPr>
            <w:t>-7:清标报告-算术错误分析及修正记录表</w:t>
          </w:r>
          <w:r>
            <w:rPr>
              <w:spacing w:val="-84"/>
              <w:sz w:val="21"/>
              <w:szCs w:val="21"/>
            </w:rPr>
            <w:t xml:space="preserve"> </w:t>
          </w:r>
          <w:r>
            <w:rPr>
              <w:sz w:val="21"/>
              <w:szCs w:val="21"/>
            </w:rPr>
            <w:tab/>
          </w:r>
          <w:r>
            <w:rPr>
              <w:rFonts w:ascii="Times New Roman" w:hAnsi="Times New Roman" w:eastAsia="Times New Roman" w:cs="Times New Roman"/>
              <w:spacing w:val="-4"/>
              <w:sz w:val="21"/>
              <w:szCs w:val="21"/>
            </w:rPr>
            <w:t>105</w:t>
          </w:r>
          <w:r>
            <w:rPr>
              <w:rFonts w:ascii="Times New Roman" w:hAnsi="Times New Roman" w:eastAsia="Times New Roman" w:cs="Times New Roman"/>
              <w:spacing w:val="-4"/>
              <w:sz w:val="21"/>
              <w:szCs w:val="21"/>
            </w:rPr>
            <w:fldChar w:fldCharType="end"/>
          </w:r>
        </w:p>
        <w:p w14:paraId="7DD8029C">
          <w:pPr>
            <w:pStyle w:val="2"/>
            <w:tabs>
              <w:tab w:val="right" w:leader="dot" w:pos="8287"/>
            </w:tabs>
            <w:spacing w:before="62" w:line="218" w:lineRule="auto"/>
            <w:ind w:left="837"/>
            <w:rPr>
              <w:rFonts w:ascii="Times New Roman" w:hAnsi="Times New Roman" w:eastAsia="Times New Roman" w:cs="Times New Roman"/>
              <w:sz w:val="21"/>
              <w:szCs w:val="21"/>
            </w:rPr>
          </w:pPr>
          <w:r>
            <w:fldChar w:fldCharType="begin"/>
          </w:r>
          <w:r>
            <w:instrText xml:space="preserve"> HYPERLINK \l "bookmark178" </w:instrText>
          </w:r>
          <w:r>
            <w:fldChar w:fldCharType="separate"/>
          </w:r>
          <w:r>
            <w:rPr>
              <w:spacing w:val="4"/>
              <w:sz w:val="21"/>
              <w:szCs w:val="21"/>
            </w:rPr>
            <w:t>附表</w:t>
          </w:r>
          <w:r>
            <w:rPr>
              <w:rFonts w:ascii="Times New Roman" w:hAnsi="Times New Roman" w:eastAsia="Times New Roman" w:cs="Times New Roman"/>
              <w:spacing w:val="4"/>
              <w:sz w:val="21"/>
              <w:szCs w:val="21"/>
            </w:rPr>
            <w:t>C</w:t>
          </w:r>
          <w:r>
            <w:rPr>
              <w:rFonts w:ascii="Times New Roman" w:hAnsi="Times New Roman" w:eastAsia="Times New Roman" w:cs="Times New Roman"/>
              <w:spacing w:val="-13"/>
              <w:sz w:val="21"/>
              <w:szCs w:val="21"/>
            </w:rPr>
            <w:t xml:space="preserve"> </w:t>
          </w:r>
          <w:r>
            <w:rPr>
              <w:spacing w:val="4"/>
              <w:sz w:val="21"/>
              <w:szCs w:val="21"/>
            </w:rPr>
            <w:t>-8:清标报告-算术错误修正后的已标价工程量清单</w:t>
          </w:r>
          <w:r>
            <w:rPr>
              <w:spacing w:val="-84"/>
              <w:sz w:val="21"/>
              <w:szCs w:val="21"/>
            </w:rPr>
            <w:t xml:space="preserve"> </w:t>
          </w:r>
          <w:r>
            <w:rPr>
              <w:sz w:val="21"/>
              <w:szCs w:val="21"/>
            </w:rPr>
            <w:tab/>
          </w:r>
          <w:r>
            <w:rPr>
              <w:rFonts w:ascii="Times New Roman" w:hAnsi="Times New Roman" w:eastAsia="Times New Roman" w:cs="Times New Roman"/>
              <w:spacing w:val="-4"/>
              <w:sz w:val="21"/>
              <w:szCs w:val="21"/>
            </w:rPr>
            <w:t>106</w:t>
          </w:r>
          <w:r>
            <w:rPr>
              <w:rFonts w:ascii="Times New Roman" w:hAnsi="Times New Roman" w:eastAsia="Times New Roman" w:cs="Times New Roman"/>
              <w:spacing w:val="-4"/>
              <w:sz w:val="21"/>
              <w:szCs w:val="21"/>
            </w:rPr>
            <w:fldChar w:fldCharType="end"/>
          </w:r>
        </w:p>
        <w:p w14:paraId="5B3761D1">
          <w:pPr>
            <w:pStyle w:val="2"/>
            <w:spacing w:before="71" w:line="218" w:lineRule="auto"/>
            <w:ind w:left="867"/>
            <w:rPr>
              <w:sz w:val="21"/>
              <w:szCs w:val="21"/>
            </w:rPr>
          </w:pPr>
          <w:r>
            <w:fldChar w:fldCharType="begin"/>
          </w:r>
          <w:r>
            <w:instrText xml:space="preserve"> HYPERLINK \l "bookmark179" </w:instrText>
          </w:r>
          <w:r>
            <w:fldChar w:fldCharType="separate"/>
          </w:r>
          <w:r>
            <w:rPr>
              <w:spacing w:val="5"/>
              <w:sz w:val="21"/>
              <w:szCs w:val="21"/>
            </w:rPr>
            <w:t>附表</w:t>
          </w:r>
          <w:r>
            <w:rPr>
              <w:rFonts w:ascii="Times New Roman" w:hAnsi="Times New Roman" w:eastAsia="Times New Roman" w:cs="Times New Roman"/>
              <w:spacing w:val="5"/>
              <w:sz w:val="21"/>
              <w:szCs w:val="21"/>
            </w:rPr>
            <w:t>C</w:t>
          </w:r>
          <w:r>
            <w:rPr>
              <w:spacing w:val="5"/>
              <w:sz w:val="21"/>
              <w:szCs w:val="21"/>
            </w:rPr>
            <w:t>-9:清标报告-分部分项工程和单价措施项目清</w:t>
          </w:r>
          <w:r>
            <w:rPr>
              <w:spacing w:val="4"/>
              <w:sz w:val="21"/>
              <w:szCs w:val="21"/>
            </w:rPr>
            <w:t>单综合单价分析记录表.107</w:t>
          </w:r>
          <w:r>
            <w:rPr>
              <w:spacing w:val="4"/>
              <w:sz w:val="21"/>
              <w:szCs w:val="21"/>
            </w:rPr>
            <w:fldChar w:fldCharType="end"/>
          </w:r>
        </w:p>
        <w:p w14:paraId="619914E7">
          <w:pPr>
            <w:pStyle w:val="2"/>
            <w:tabs>
              <w:tab w:val="right" w:leader="dot" w:pos="8277"/>
            </w:tabs>
            <w:spacing w:before="72" w:line="218" w:lineRule="auto"/>
            <w:ind w:left="837"/>
            <w:rPr>
              <w:rFonts w:ascii="Times New Roman" w:hAnsi="Times New Roman" w:eastAsia="Times New Roman" w:cs="Times New Roman"/>
              <w:sz w:val="21"/>
              <w:szCs w:val="21"/>
            </w:rPr>
          </w:pPr>
          <w:r>
            <w:fldChar w:fldCharType="begin"/>
          </w:r>
          <w:r>
            <w:instrText xml:space="preserve"> HYPERLINK \l "bookmark179" </w:instrText>
          </w:r>
          <w:r>
            <w:fldChar w:fldCharType="separate"/>
          </w:r>
          <w:r>
            <w:rPr>
              <w:spacing w:val="4"/>
              <w:sz w:val="21"/>
              <w:szCs w:val="21"/>
            </w:rPr>
            <w:t>附表</w:t>
          </w:r>
          <w:r>
            <w:rPr>
              <w:rFonts w:ascii="Times New Roman" w:hAnsi="Times New Roman" w:eastAsia="Times New Roman" w:cs="Times New Roman"/>
              <w:spacing w:val="4"/>
              <w:sz w:val="21"/>
              <w:szCs w:val="21"/>
            </w:rPr>
            <w:t>C</w:t>
          </w:r>
          <w:r>
            <w:rPr>
              <w:rFonts w:ascii="Times New Roman" w:hAnsi="Times New Roman" w:eastAsia="Times New Roman" w:cs="Times New Roman"/>
              <w:spacing w:val="-17"/>
              <w:sz w:val="21"/>
              <w:szCs w:val="21"/>
            </w:rPr>
            <w:t xml:space="preserve"> </w:t>
          </w:r>
          <w:r>
            <w:rPr>
              <w:spacing w:val="4"/>
              <w:sz w:val="21"/>
              <w:szCs w:val="21"/>
            </w:rPr>
            <w:t>-10:清标报告-总价措施项目清单价格分析记录表</w:t>
          </w:r>
          <w:r>
            <w:rPr>
              <w:spacing w:val="-85"/>
              <w:sz w:val="21"/>
              <w:szCs w:val="21"/>
            </w:rPr>
            <w:t xml:space="preserve"> </w:t>
          </w:r>
          <w:r>
            <w:rPr>
              <w:sz w:val="21"/>
              <w:szCs w:val="21"/>
            </w:rPr>
            <w:tab/>
          </w:r>
          <w:r>
            <w:rPr>
              <w:spacing w:val="-61"/>
              <w:sz w:val="21"/>
              <w:szCs w:val="21"/>
            </w:rPr>
            <w:t xml:space="preserve"> </w:t>
          </w:r>
          <w:r>
            <w:rPr>
              <w:rFonts w:ascii="Times New Roman" w:hAnsi="Times New Roman" w:eastAsia="Times New Roman" w:cs="Times New Roman"/>
              <w:spacing w:val="-6"/>
              <w:sz w:val="21"/>
              <w:szCs w:val="21"/>
            </w:rPr>
            <w:t>108</w:t>
          </w:r>
          <w:r>
            <w:rPr>
              <w:rFonts w:ascii="Times New Roman" w:hAnsi="Times New Roman" w:eastAsia="Times New Roman" w:cs="Times New Roman"/>
              <w:spacing w:val="-6"/>
              <w:sz w:val="21"/>
              <w:szCs w:val="21"/>
            </w:rPr>
            <w:fldChar w:fldCharType="end"/>
          </w:r>
        </w:p>
        <w:p w14:paraId="03359CFE">
          <w:pPr>
            <w:pStyle w:val="2"/>
            <w:tabs>
              <w:tab w:val="right" w:leader="dot" w:pos="8277"/>
            </w:tabs>
            <w:spacing w:before="62" w:line="218" w:lineRule="auto"/>
            <w:ind w:left="837"/>
            <w:rPr>
              <w:rFonts w:ascii="Times New Roman" w:hAnsi="Times New Roman" w:eastAsia="Times New Roman" w:cs="Times New Roman"/>
              <w:sz w:val="21"/>
              <w:szCs w:val="21"/>
            </w:rPr>
          </w:pPr>
          <w:r>
            <w:fldChar w:fldCharType="begin"/>
          </w:r>
          <w:r>
            <w:instrText xml:space="preserve"> HYPERLINK \l "bookmark180" </w:instrText>
          </w:r>
          <w:r>
            <w:fldChar w:fldCharType="separate"/>
          </w:r>
          <w:r>
            <w:rPr>
              <w:spacing w:val="5"/>
              <w:sz w:val="21"/>
              <w:szCs w:val="21"/>
            </w:rPr>
            <w:t>附表</w:t>
          </w:r>
          <w:r>
            <w:rPr>
              <w:rFonts w:ascii="Times New Roman" w:hAnsi="Times New Roman" w:eastAsia="Times New Roman" w:cs="Times New Roman"/>
              <w:spacing w:val="5"/>
              <w:sz w:val="21"/>
              <w:szCs w:val="21"/>
            </w:rPr>
            <w:t>C</w:t>
          </w:r>
          <w:r>
            <w:rPr>
              <w:spacing w:val="5"/>
              <w:sz w:val="21"/>
              <w:szCs w:val="21"/>
            </w:rPr>
            <w:t>-11:清标报告-其他项目清单价格分析记录表</w:t>
          </w:r>
          <w:r>
            <w:rPr>
              <w:spacing w:val="-66"/>
              <w:sz w:val="21"/>
              <w:szCs w:val="21"/>
            </w:rPr>
            <w:t xml:space="preserve"> </w:t>
          </w:r>
          <w:r>
            <w:rPr>
              <w:sz w:val="21"/>
              <w:szCs w:val="21"/>
            </w:rPr>
            <w:tab/>
          </w:r>
          <w:r>
            <w:rPr>
              <w:spacing w:val="-61"/>
              <w:sz w:val="21"/>
              <w:szCs w:val="21"/>
            </w:rPr>
            <w:t xml:space="preserve"> </w:t>
          </w:r>
          <w:r>
            <w:rPr>
              <w:rFonts w:ascii="Times New Roman" w:hAnsi="Times New Roman" w:eastAsia="Times New Roman" w:cs="Times New Roman"/>
              <w:spacing w:val="-6"/>
              <w:sz w:val="21"/>
              <w:szCs w:val="21"/>
            </w:rPr>
            <w:t>109</w:t>
          </w:r>
          <w:r>
            <w:rPr>
              <w:rFonts w:ascii="Times New Roman" w:hAnsi="Times New Roman" w:eastAsia="Times New Roman" w:cs="Times New Roman"/>
              <w:spacing w:val="-6"/>
              <w:sz w:val="21"/>
              <w:szCs w:val="21"/>
            </w:rPr>
            <w:fldChar w:fldCharType="end"/>
          </w:r>
        </w:p>
        <w:p w14:paraId="53A8C751">
          <w:pPr>
            <w:pStyle w:val="2"/>
            <w:tabs>
              <w:tab w:val="right" w:leader="dot" w:pos="8277"/>
            </w:tabs>
            <w:spacing w:before="52" w:line="218" w:lineRule="auto"/>
            <w:ind w:left="837"/>
            <w:rPr>
              <w:rFonts w:ascii="Times New Roman" w:hAnsi="Times New Roman" w:eastAsia="Times New Roman" w:cs="Times New Roman"/>
              <w:sz w:val="21"/>
              <w:szCs w:val="21"/>
            </w:rPr>
          </w:pPr>
          <w:r>
            <w:fldChar w:fldCharType="begin"/>
          </w:r>
          <w:r>
            <w:instrText xml:space="preserve"> HYPERLINK \l "bookmark181" </w:instrText>
          </w:r>
          <w:r>
            <w:fldChar w:fldCharType="separate"/>
          </w:r>
          <w:r>
            <w:rPr>
              <w:spacing w:val="5"/>
              <w:sz w:val="21"/>
              <w:szCs w:val="21"/>
            </w:rPr>
            <w:t>附表</w:t>
          </w:r>
          <w:r>
            <w:rPr>
              <w:rFonts w:ascii="Times New Roman" w:hAnsi="Times New Roman" w:eastAsia="Times New Roman" w:cs="Times New Roman"/>
              <w:spacing w:val="5"/>
              <w:sz w:val="21"/>
              <w:szCs w:val="21"/>
            </w:rPr>
            <w:t>C</w:t>
          </w:r>
          <w:r>
            <w:rPr>
              <w:spacing w:val="5"/>
              <w:sz w:val="21"/>
              <w:szCs w:val="21"/>
            </w:rPr>
            <w:t>-12:清标报告-建设项目总人工费分析记录表</w:t>
          </w:r>
          <w:r>
            <w:rPr>
              <w:spacing w:val="-66"/>
              <w:sz w:val="21"/>
              <w:szCs w:val="21"/>
            </w:rPr>
            <w:t xml:space="preserve"> </w:t>
          </w:r>
          <w:r>
            <w:rPr>
              <w:sz w:val="21"/>
              <w:szCs w:val="21"/>
            </w:rPr>
            <w:tab/>
          </w:r>
          <w:r>
            <w:rPr>
              <w:spacing w:val="-61"/>
              <w:sz w:val="21"/>
              <w:szCs w:val="21"/>
            </w:rPr>
            <w:t xml:space="preserve"> </w:t>
          </w:r>
          <w:r>
            <w:rPr>
              <w:rFonts w:ascii="Times New Roman" w:hAnsi="Times New Roman" w:eastAsia="Times New Roman" w:cs="Times New Roman"/>
              <w:spacing w:val="-6"/>
              <w:sz w:val="21"/>
              <w:szCs w:val="21"/>
            </w:rPr>
            <w:t>110</w:t>
          </w:r>
          <w:r>
            <w:rPr>
              <w:rFonts w:ascii="Times New Roman" w:hAnsi="Times New Roman" w:eastAsia="Times New Roman" w:cs="Times New Roman"/>
              <w:spacing w:val="-6"/>
              <w:sz w:val="21"/>
              <w:szCs w:val="21"/>
            </w:rPr>
            <w:fldChar w:fldCharType="end"/>
          </w:r>
        </w:p>
        <w:p w14:paraId="62E260B8">
          <w:pPr>
            <w:pStyle w:val="2"/>
            <w:tabs>
              <w:tab w:val="right" w:leader="dot" w:pos="8287"/>
            </w:tabs>
            <w:spacing w:before="62" w:line="218" w:lineRule="auto"/>
            <w:ind w:left="837"/>
            <w:rPr>
              <w:rFonts w:ascii="Times New Roman" w:hAnsi="Times New Roman" w:eastAsia="Times New Roman" w:cs="Times New Roman"/>
              <w:sz w:val="21"/>
              <w:szCs w:val="21"/>
            </w:rPr>
          </w:pPr>
          <w:r>
            <w:fldChar w:fldCharType="begin"/>
          </w:r>
          <w:r>
            <w:instrText xml:space="preserve"> HYPERLINK \l "bookmark182" </w:instrText>
          </w:r>
          <w:r>
            <w:fldChar w:fldCharType="separate"/>
          </w:r>
          <w:r>
            <w:rPr>
              <w:spacing w:val="5"/>
              <w:sz w:val="21"/>
              <w:szCs w:val="21"/>
            </w:rPr>
            <w:t>附表</w:t>
          </w:r>
          <w:r>
            <w:rPr>
              <w:rFonts w:ascii="Times New Roman" w:hAnsi="Times New Roman" w:eastAsia="Times New Roman" w:cs="Times New Roman"/>
              <w:spacing w:val="5"/>
              <w:sz w:val="21"/>
              <w:szCs w:val="21"/>
            </w:rPr>
            <w:t>C</w:t>
          </w:r>
          <w:r>
            <w:rPr>
              <w:spacing w:val="5"/>
              <w:sz w:val="21"/>
              <w:szCs w:val="21"/>
            </w:rPr>
            <w:t>-13:清标报告-单位工程投标报价分析记录表</w:t>
          </w:r>
          <w:r>
            <w:rPr>
              <w:spacing w:val="-66"/>
              <w:sz w:val="21"/>
              <w:szCs w:val="21"/>
            </w:rPr>
            <w:t xml:space="preserve"> </w:t>
          </w:r>
          <w:r>
            <w:rPr>
              <w:sz w:val="21"/>
              <w:szCs w:val="21"/>
            </w:rPr>
            <w:tab/>
          </w:r>
          <w:r>
            <w:rPr>
              <w:spacing w:val="-51"/>
              <w:sz w:val="21"/>
              <w:szCs w:val="21"/>
            </w:rPr>
            <w:t xml:space="preserve"> </w:t>
          </w:r>
          <w:r>
            <w:rPr>
              <w:rFonts w:ascii="Times New Roman" w:hAnsi="Times New Roman" w:eastAsia="Times New Roman" w:cs="Times New Roman"/>
              <w:spacing w:val="-6"/>
              <w:sz w:val="21"/>
              <w:szCs w:val="21"/>
            </w:rPr>
            <w:t>111</w:t>
          </w:r>
          <w:r>
            <w:rPr>
              <w:rFonts w:ascii="Times New Roman" w:hAnsi="Times New Roman" w:eastAsia="Times New Roman" w:cs="Times New Roman"/>
              <w:spacing w:val="-6"/>
              <w:sz w:val="21"/>
              <w:szCs w:val="21"/>
            </w:rPr>
            <w:fldChar w:fldCharType="end"/>
          </w:r>
        </w:p>
        <w:p w14:paraId="4983F17F">
          <w:pPr>
            <w:tabs>
              <w:tab w:val="right" w:leader="dot" w:pos="9047"/>
            </w:tabs>
            <w:spacing w:before="80" w:line="222" w:lineRule="auto"/>
            <w:rPr>
              <w:rFonts w:ascii="Times New Roman" w:hAnsi="Times New Roman" w:eastAsia="Times New Roman" w:cs="Times New Roman"/>
              <w:sz w:val="21"/>
              <w:szCs w:val="21"/>
            </w:rPr>
          </w:pPr>
          <w:r>
            <w:fldChar w:fldCharType="begin"/>
          </w:r>
          <w:r>
            <w:instrText xml:space="preserve"> HYPERLINK \l "bookmark183" </w:instrText>
          </w:r>
          <w:r>
            <w:fldChar w:fldCharType="separate"/>
          </w:r>
          <w:r>
            <w:rPr>
              <w:rFonts w:ascii="黑体" w:hAnsi="黑体" w:eastAsia="黑体" w:cs="黑体"/>
              <w:b/>
              <w:bCs/>
              <w:spacing w:val="5"/>
              <w:sz w:val="21"/>
              <w:szCs w:val="21"/>
            </w:rPr>
            <w:t>第五章</w:t>
          </w:r>
          <w:r>
            <w:rPr>
              <w:rFonts w:ascii="黑体" w:hAnsi="黑体" w:eastAsia="黑体" w:cs="黑体"/>
              <w:spacing w:val="5"/>
              <w:sz w:val="21"/>
              <w:szCs w:val="21"/>
            </w:rPr>
            <w:t xml:space="preserve"> </w:t>
          </w:r>
          <w:r>
            <w:rPr>
              <w:rFonts w:ascii="黑体" w:hAnsi="黑体" w:eastAsia="黑体" w:cs="黑体"/>
              <w:b/>
              <w:bCs/>
              <w:spacing w:val="5"/>
              <w:sz w:val="21"/>
              <w:szCs w:val="21"/>
            </w:rPr>
            <w:t>工程量清单</w:t>
          </w:r>
          <w:r>
            <w:rPr>
              <w:rFonts w:ascii="黑体" w:hAnsi="黑体" w:eastAsia="黑体" w:cs="黑体"/>
              <w:spacing w:val="53"/>
              <w:sz w:val="21"/>
              <w:szCs w:val="21"/>
            </w:rPr>
            <w:t xml:space="preserve"> </w:t>
          </w:r>
          <w:r>
            <w:rPr>
              <w:rFonts w:ascii="黑体" w:hAnsi="黑体" w:eastAsia="黑体" w:cs="黑体"/>
              <w:sz w:val="21"/>
              <w:szCs w:val="21"/>
            </w:rPr>
            <w:tab/>
          </w:r>
          <w:r>
            <w:rPr>
              <w:rFonts w:ascii="黑体" w:hAnsi="黑体" w:eastAsia="黑体" w:cs="黑体"/>
              <w:spacing w:val="-71"/>
              <w:sz w:val="21"/>
              <w:szCs w:val="21"/>
            </w:rPr>
            <w:t xml:space="preserve"> </w:t>
          </w:r>
          <w:r>
            <w:rPr>
              <w:rFonts w:ascii="Times New Roman" w:hAnsi="Times New Roman" w:eastAsia="Times New Roman" w:cs="Times New Roman"/>
              <w:spacing w:val="-1"/>
              <w:sz w:val="21"/>
              <w:szCs w:val="21"/>
            </w:rPr>
            <w:t>276</w:t>
          </w:r>
          <w:r>
            <w:rPr>
              <w:rFonts w:ascii="Times New Roman" w:hAnsi="Times New Roman" w:eastAsia="Times New Roman" w:cs="Times New Roman"/>
              <w:spacing w:val="-1"/>
              <w:sz w:val="21"/>
              <w:szCs w:val="21"/>
            </w:rPr>
            <w:fldChar w:fldCharType="end"/>
          </w:r>
        </w:p>
        <w:p w14:paraId="2A21D631">
          <w:pPr>
            <w:pStyle w:val="2"/>
            <w:tabs>
              <w:tab w:val="right" w:leader="dot" w:pos="9057"/>
            </w:tabs>
            <w:spacing w:before="62" w:line="219" w:lineRule="auto"/>
            <w:ind w:left="417"/>
            <w:rPr>
              <w:rFonts w:ascii="Times New Roman" w:hAnsi="Times New Roman" w:eastAsia="Times New Roman" w:cs="Times New Roman"/>
              <w:sz w:val="21"/>
              <w:szCs w:val="21"/>
            </w:rPr>
          </w:pPr>
          <w:r>
            <w:fldChar w:fldCharType="begin"/>
          </w:r>
          <w:r>
            <w:instrText xml:space="preserve"> HYPERLINK \l "bookmark184" </w:instrText>
          </w:r>
          <w:r>
            <w:fldChar w:fldCharType="separate"/>
          </w:r>
          <w:r>
            <w:rPr>
              <w:rFonts w:ascii="Times New Roman" w:hAnsi="Times New Roman" w:eastAsia="Times New Roman" w:cs="Times New Roman"/>
              <w:spacing w:val="-9"/>
              <w:sz w:val="21"/>
              <w:szCs w:val="21"/>
            </w:rPr>
            <w:t>1</w:t>
          </w:r>
          <w:r>
            <w:rPr>
              <w:rFonts w:ascii="Times New Roman" w:hAnsi="Times New Roman" w:eastAsia="Times New Roman" w:cs="Times New Roman"/>
              <w:spacing w:val="-23"/>
              <w:sz w:val="21"/>
              <w:szCs w:val="21"/>
            </w:rPr>
            <w:t xml:space="preserve"> </w:t>
          </w:r>
          <w:r>
            <w:rPr>
              <w:spacing w:val="-9"/>
              <w:sz w:val="21"/>
              <w:szCs w:val="21"/>
            </w:rPr>
            <w:t>、招标工程量清单说明</w:t>
          </w:r>
          <w:r>
            <w:rPr>
              <w:spacing w:val="28"/>
              <w:sz w:val="21"/>
              <w:szCs w:val="21"/>
            </w:rPr>
            <w:t xml:space="preserve"> </w:t>
          </w:r>
          <w:r>
            <w:rPr>
              <w:sz w:val="21"/>
              <w:szCs w:val="21"/>
            </w:rPr>
            <w:tab/>
          </w:r>
          <w:r>
            <w:rPr>
              <w:rFonts w:ascii="Times New Roman" w:hAnsi="Times New Roman" w:eastAsia="Times New Roman" w:cs="Times New Roman"/>
              <w:spacing w:val="-3"/>
              <w:sz w:val="21"/>
              <w:szCs w:val="21"/>
            </w:rPr>
            <w:t>277</w:t>
          </w:r>
          <w:r>
            <w:rPr>
              <w:rFonts w:ascii="Times New Roman" w:hAnsi="Times New Roman" w:eastAsia="Times New Roman" w:cs="Times New Roman"/>
              <w:spacing w:val="-3"/>
              <w:sz w:val="21"/>
              <w:szCs w:val="21"/>
            </w:rPr>
            <w:fldChar w:fldCharType="end"/>
          </w:r>
        </w:p>
        <w:p w14:paraId="7DF2918E">
          <w:pPr>
            <w:pStyle w:val="2"/>
            <w:tabs>
              <w:tab w:val="right" w:leader="dot" w:pos="9047"/>
            </w:tabs>
            <w:spacing w:before="59" w:line="218" w:lineRule="auto"/>
            <w:ind w:left="417"/>
            <w:rPr>
              <w:rFonts w:ascii="Times New Roman" w:hAnsi="Times New Roman" w:eastAsia="Times New Roman" w:cs="Times New Roman"/>
              <w:sz w:val="21"/>
              <w:szCs w:val="21"/>
            </w:rPr>
          </w:pPr>
          <w:r>
            <w:fldChar w:fldCharType="begin"/>
          </w:r>
          <w:r>
            <w:instrText xml:space="preserve"> HYPERLINK \l "bookmark185" </w:instrText>
          </w:r>
          <w:r>
            <w:fldChar w:fldCharType="separate"/>
          </w:r>
          <w:r>
            <w:rPr>
              <w:rFonts w:ascii="Times New Roman" w:hAnsi="Times New Roman" w:eastAsia="Times New Roman" w:cs="Times New Roman"/>
              <w:sz w:val="21"/>
              <w:szCs w:val="21"/>
            </w:rPr>
            <w:t>2</w:t>
          </w:r>
          <w:r>
            <w:rPr>
              <w:rFonts w:ascii="Times New Roman" w:hAnsi="Times New Roman" w:eastAsia="Times New Roman" w:cs="Times New Roman"/>
              <w:spacing w:val="-26"/>
              <w:sz w:val="21"/>
              <w:szCs w:val="21"/>
            </w:rPr>
            <w:t xml:space="preserve"> </w:t>
          </w:r>
          <w:r>
            <w:rPr>
              <w:sz w:val="21"/>
              <w:szCs w:val="21"/>
            </w:rPr>
            <w:t>、投标报价说明</w:t>
          </w:r>
          <w:r>
            <w:rPr>
              <w:spacing w:val="-98"/>
              <w:sz w:val="21"/>
              <w:szCs w:val="21"/>
            </w:rPr>
            <w:t xml:space="preserve"> </w:t>
          </w:r>
          <w:r>
            <w:rPr>
              <w:sz w:val="21"/>
              <w:szCs w:val="21"/>
            </w:rPr>
            <w:tab/>
          </w:r>
          <w:r>
            <w:rPr>
              <w:rFonts w:ascii="Times New Roman" w:hAnsi="Times New Roman" w:eastAsia="Times New Roman" w:cs="Times New Roman"/>
              <w:spacing w:val="3"/>
              <w:sz w:val="21"/>
              <w:szCs w:val="21"/>
            </w:rPr>
            <w:t>278</w:t>
          </w:r>
          <w:r>
            <w:rPr>
              <w:rFonts w:ascii="Times New Roman" w:hAnsi="Times New Roman" w:eastAsia="Times New Roman" w:cs="Times New Roman"/>
              <w:spacing w:val="3"/>
              <w:sz w:val="21"/>
              <w:szCs w:val="21"/>
            </w:rPr>
            <w:fldChar w:fldCharType="end"/>
          </w:r>
        </w:p>
        <w:p w14:paraId="1A2DA1E9">
          <w:pPr>
            <w:pStyle w:val="2"/>
            <w:tabs>
              <w:tab w:val="right" w:leader="dot" w:pos="9057"/>
            </w:tabs>
            <w:spacing w:before="53" w:line="219" w:lineRule="auto"/>
            <w:ind w:left="417"/>
            <w:rPr>
              <w:rFonts w:ascii="Times New Roman" w:hAnsi="Times New Roman" w:eastAsia="Times New Roman" w:cs="Times New Roman"/>
              <w:sz w:val="21"/>
              <w:szCs w:val="21"/>
            </w:rPr>
          </w:pPr>
          <w:r>
            <w:fldChar w:fldCharType="begin"/>
          </w:r>
          <w:r>
            <w:instrText xml:space="preserve"> HYPERLINK \l "bookmark186" </w:instrText>
          </w:r>
          <w:r>
            <w:fldChar w:fldCharType="separate"/>
          </w:r>
          <w:r>
            <w:rPr>
              <w:rFonts w:ascii="Times New Roman" w:hAnsi="Times New Roman" w:eastAsia="Times New Roman" w:cs="Times New Roman"/>
              <w:sz w:val="21"/>
              <w:szCs w:val="21"/>
            </w:rPr>
            <w:t>3</w:t>
          </w:r>
          <w:r>
            <w:rPr>
              <w:rFonts w:ascii="Times New Roman" w:hAnsi="Times New Roman" w:eastAsia="Times New Roman" w:cs="Times New Roman"/>
              <w:spacing w:val="-26"/>
              <w:sz w:val="21"/>
              <w:szCs w:val="21"/>
            </w:rPr>
            <w:t xml:space="preserve"> </w:t>
          </w:r>
          <w:r>
            <w:rPr>
              <w:sz w:val="21"/>
              <w:szCs w:val="21"/>
            </w:rPr>
            <w:t>、其他说明</w:t>
          </w:r>
          <w:r>
            <w:rPr>
              <w:spacing w:val="-98"/>
              <w:sz w:val="21"/>
              <w:szCs w:val="21"/>
            </w:rPr>
            <w:t xml:space="preserve"> </w:t>
          </w:r>
          <w:r>
            <w:rPr>
              <w:sz w:val="21"/>
              <w:szCs w:val="21"/>
            </w:rPr>
            <w:tab/>
          </w:r>
          <w:r>
            <w:rPr>
              <w:rFonts w:ascii="Times New Roman" w:hAnsi="Times New Roman" w:eastAsia="Times New Roman" w:cs="Times New Roman"/>
              <w:spacing w:val="6"/>
              <w:sz w:val="21"/>
              <w:szCs w:val="21"/>
            </w:rPr>
            <w:t>280</w:t>
          </w:r>
          <w:r>
            <w:rPr>
              <w:rFonts w:ascii="Times New Roman" w:hAnsi="Times New Roman" w:eastAsia="Times New Roman" w:cs="Times New Roman"/>
              <w:spacing w:val="6"/>
              <w:sz w:val="21"/>
              <w:szCs w:val="21"/>
            </w:rPr>
            <w:fldChar w:fldCharType="end"/>
          </w:r>
        </w:p>
        <w:p w14:paraId="7FAD0D8B">
          <w:pPr>
            <w:pStyle w:val="2"/>
            <w:tabs>
              <w:tab w:val="right" w:leader="dot" w:pos="9067"/>
            </w:tabs>
            <w:spacing w:before="59" w:line="218" w:lineRule="auto"/>
            <w:ind w:left="417"/>
            <w:rPr>
              <w:rFonts w:ascii="Times New Roman" w:hAnsi="Times New Roman" w:eastAsia="Times New Roman" w:cs="Times New Roman"/>
              <w:sz w:val="21"/>
              <w:szCs w:val="21"/>
            </w:rPr>
          </w:pPr>
          <w:r>
            <w:fldChar w:fldCharType="begin"/>
          </w:r>
          <w:r>
            <w:instrText xml:space="preserve"> HYPERLINK \l "bookmark187" </w:instrText>
          </w:r>
          <w:r>
            <w:fldChar w:fldCharType="separate"/>
          </w:r>
          <w:r>
            <w:rPr>
              <w:rFonts w:ascii="Times New Roman" w:hAnsi="Times New Roman" w:eastAsia="Times New Roman" w:cs="Times New Roman"/>
              <w:spacing w:val="1"/>
              <w:sz w:val="21"/>
              <w:szCs w:val="21"/>
            </w:rPr>
            <w:t>4</w:t>
          </w:r>
          <w:r>
            <w:rPr>
              <w:rFonts w:ascii="Times New Roman" w:hAnsi="Times New Roman" w:eastAsia="Times New Roman" w:cs="Times New Roman"/>
              <w:spacing w:val="-30"/>
              <w:sz w:val="21"/>
              <w:szCs w:val="21"/>
            </w:rPr>
            <w:t xml:space="preserve"> </w:t>
          </w:r>
          <w:r>
            <w:rPr>
              <w:spacing w:val="1"/>
              <w:sz w:val="21"/>
              <w:szCs w:val="21"/>
            </w:rPr>
            <w:t>、工程量清单与计价表</w:t>
          </w:r>
          <w:r>
            <w:rPr>
              <w:spacing w:val="-85"/>
              <w:sz w:val="21"/>
              <w:szCs w:val="21"/>
            </w:rPr>
            <w:t xml:space="preserve"> </w:t>
          </w:r>
          <w:r>
            <w:rPr>
              <w:sz w:val="21"/>
              <w:szCs w:val="21"/>
            </w:rPr>
            <w:tab/>
          </w:r>
          <w:r>
            <w:rPr>
              <w:rFonts w:ascii="Times New Roman" w:hAnsi="Times New Roman" w:eastAsia="Times New Roman" w:cs="Times New Roman"/>
              <w:spacing w:val="3"/>
              <w:sz w:val="21"/>
              <w:szCs w:val="21"/>
            </w:rPr>
            <w:t>282</w:t>
          </w:r>
          <w:r>
            <w:rPr>
              <w:rFonts w:ascii="Times New Roman" w:hAnsi="Times New Roman" w:eastAsia="Times New Roman" w:cs="Times New Roman"/>
              <w:spacing w:val="3"/>
              <w:sz w:val="21"/>
              <w:szCs w:val="21"/>
            </w:rPr>
            <w:fldChar w:fldCharType="end"/>
          </w:r>
        </w:p>
        <w:p w14:paraId="7F1C215E">
          <w:pPr>
            <w:pStyle w:val="2"/>
            <w:tabs>
              <w:tab w:val="right" w:leader="dot" w:pos="8297"/>
            </w:tabs>
            <w:spacing w:before="85" w:line="220" w:lineRule="auto"/>
            <w:ind w:left="837"/>
            <w:rPr>
              <w:rFonts w:ascii="Times New Roman" w:hAnsi="Times New Roman" w:eastAsia="Times New Roman" w:cs="Times New Roman"/>
              <w:sz w:val="21"/>
              <w:szCs w:val="21"/>
            </w:rPr>
          </w:pPr>
          <w:r>
            <w:fldChar w:fldCharType="begin"/>
          </w:r>
          <w:r>
            <w:instrText xml:space="preserve"> HYPERLINK \l "bookmark188" </w:instrText>
          </w:r>
          <w:r>
            <w:fldChar w:fldCharType="separate"/>
          </w:r>
          <w:r>
            <w:rPr>
              <w:rFonts w:ascii="Times New Roman" w:hAnsi="Times New Roman" w:eastAsia="Times New Roman" w:cs="Times New Roman"/>
              <w:spacing w:val="2"/>
              <w:sz w:val="21"/>
              <w:szCs w:val="21"/>
            </w:rPr>
            <w:t xml:space="preserve">4.1  </w:t>
          </w:r>
          <w:r>
            <w:rPr>
              <w:spacing w:val="2"/>
              <w:sz w:val="21"/>
              <w:szCs w:val="21"/>
            </w:rPr>
            <w:t>招标工程量清单封面</w:t>
          </w:r>
          <w:r>
            <w:rPr>
              <w:spacing w:val="-72"/>
              <w:sz w:val="21"/>
              <w:szCs w:val="21"/>
            </w:rPr>
            <w:t xml:space="preserve"> </w:t>
          </w:r>
          <w:r>
            <w:rPr>
              <w:sz w:val="21"/>
              <w:szCs w:val="21"/>
            </w:rPr>
            <w:tab/>
          </w:r>
          <w:r>
            <w:rPr>
              <w:rFonts w:ascii="Times New Roman" w:hAnsi="Times New Roman" w:eastAsia="Times New Roman" w:cs="Times New Roman"/>
              <w:spacing w:val="6"/>
              <w:sz w:val="21"/>
              <w:szCs w:val="21"/>
            </w:rPr>
            <w:t>283</w:t>
          </w:r>
          <w:r>
            <w:rPr>
              <w:rFonts w:ascii="Times New Roman" w:hAnsi="Times New Roman" w:eastAsia="Times New Roman" w:cs="Times New Roman"/>
              <w:spacing w:val="6"/>
              <w:sz w:val="21"/>
              <w:szCs w:val="21"/>
            </w:rPr>
            <w:fldChar w:fldCharType="end"/>
          </w:r>
        </w:p>
        <w:p w14:paraId="07DC94B0">
          <w:pPr>
            <w:pStyle w:val="2"/>
            <w:tabs>
              <w:tab w:val="right" w:leader="dot" w:pos="8287"/>
            </w:tabs>
            <w:spacing w:before="60" w:line="220" w:lineRule="auto"/>
            <w:ind w:left="837"/>
            <w:rPr>
              <w:rFonts w:ascii="Times New Roman" w:hAnsi="Times New Roman" w:eastAsia="Times New Roman" w:cs="Times New Roman"/>
              <w:sz w:val="21"/>
              <w:szCs w:val="21"/>
            </w:rPr>
          </w:pPr>
          <w:r>
            <w:fldChar w:fldCharType="begin"/>
          </w:r>
          <w:r>
            <w:instrText xml:space="preserve"> HYPERLINK \l "bookmark189" </w:instrText>
          </w:r>
          <w:r>
            <w:fldChar w:fldCharType="separate"/>
          </w:r>
          <w:r>
            <w:rPr>
              <w:rFonts w:ascii="Times New Roman" w:hAnsi="Times New Roman" w:eastAsia="Times New Roman" w:cs="Times New Roman"/>
              <w:spacing w:val="2"/>
              <w:sz w:val="21"/>
              <w:szCs w:val="21"/>
            </w:rPr>
            <w:t xml:space="preserve">4.2  </w:t>
          </w:r>
          <w:r>
            <w:rPr>
              <w:spacing w:val="2"/>
              <w:sz w:val="21"/>
              <w:szCs w:val="21"/>
            </w:rPr>
            <w:t>招标工程量清单扉页</w:t>
          </w:r>
          <w:r>
            <w:rPr>
              <w:sz w:val="21"/>
              <w:szCs w:val="21"/>
            </w:rPr>
            <w:tab/>
          </w:r>
          <w:r>
            <w:rPr>
              <w:spacing w:val="-71"/>
              <w:sz w:val="21"/>
              <w:szCs w:val="21"/>
            </w:rPr>
            <w:t xml:space="preserve"> </w:t>
          </w:r>
          <w:r>
            <w:rPr>
              <w:rFonts w:ascii="Times New Roman" w:hAnsi="Times New Roman" w:eastAsia="Times New Roman" w:cs="Times New Roman"/>
              <w:spacing w:val="-1"/>
              <w:sz w:val="21"/>
              <w:szCs w:val="21"/>
            </w:rPr>
            <w:t>284</w:t>
          </w:r>
          <w:r>
            <w:rPr>
              <w:rFonts w:ascii="Times New Roman" w:hAnsi="Times New Roman" w:eastAsia="Times New Roman" w:cs="Times New Roman"/>
              <w:spacing w:val="-1"/>
              <w:sz w:val="21"/>
              <w:szCs w:val="21"/>
            </w:rPr>
            <w:fldChar w:fldCharType="end"/>
          </w:r>
        </w:p>
        <w:p w14:paraId="05470706">
          <w:pPr>
            <w:pStyle w:val="2"/>
            <w:tabs>
              <w:tab w:val="right" w:leader="dot" w:pos="8287"/>
            </w:tabs>
            <w:spacing w:before="57" w:line="218" w:lineRule="auto"/>
            <w:ind w:left="837"/>
            <w:rPr>
              <w:rFonts w:ascii="Times New Roman" w:hAnsi="Times New Roman" w:eastAsia="Times New Roman" w:cs="Times New Roman"/>
              <w:sz w:val="21"/>
              <w:szCs w:val="21"/>
            </w:rPr>
          </w:pPr>
          <w:r>
            <w:fldChar w:fldCharType="begin"/>
          </w:r>
          <w:r>
            <w:instrText xml:space="preserve"> HYPERLINK \l "bookmark190" </w:instrText>
          </w:r>
          <w:r>
            <w:fldChar w:fldCharType="separate"/>
          </w:r>
          <w:r>
            <w:rPr>
              <w:rFonts w:ascii="Times New Roman" w:hAnsi="Times New Roman" w:eastAsia="Times New Roman" w:cs="Times New Roman"/>
              <w:spacing w:val="3"/>
              <w:sz w:val="21"/>
              <w:szCs w:val="21"/>
            </w:rPr>
            <w:t xml:space="preserve">4.3  </w:t>
          </w:r>
          <w:r>
            <w:rPr>
              <w:spacing w:val="3"/>
              <w:sz w:val="21"/>
              <w:szCs w:val="21"/>
            </w:rPr>
            <w:t>投标总价封面</w:t>
          </w:r>
          <w:r>
            <w:rPr>
              <w:spacing w:val="-77"/>
              <w:sz w:val="21"/>
              <w:szCs w:val="21"/>
            </w:rPr>
            <w:t xml:space="preserve"> </w:t>
          </w:r>
          <w:r>
            <w:rPr>
              <w:sz w:val="21"/>
              <w:szCs w:val="21"/>
            </w:rPr>
            <w:tab/>
          </w:r>
          <w:r>
            <w:rPr>
              <w:rFonts w:ascii="Times New Roman" w:hAnsi="Times New Roman" w:eastAsia="Times New Roman" w:cs="Times New Roman"/>
              <w:spacing w:val="3"/>
              <w:sz w:val="21"/>
              <w:szCs w:val="21"/>
            </w:rPr>
            <w:t>285</w:t>
          </w:r>
          <w:r>
            <w:rPr>
              <w:rFonts w:ascii="Times New Roman" w:hAnsi="Times New Roman" w:eastAsia="Times New Roman" w:cs="Times New Roman"/>
              <w:spacing w:val="3"/>
              <w:sz w:val="21"/>
              <w:szCs w:val="21"/>
            </w:rPr>
            <w:fldChar w:fldCharType="end"/>
          </w:r>
        </w:p>
        <w:p w14:paraId="3064015D">
          <w:pPr>
            <w:pStyle w:val="2"/>
            <w:tabs>
              <w:tab w:val="right" w:leader="dot" w:pos="8287"/>
            </w:tabs>
            <w:spacing w:before="52" w:line="218" w:lineRule="auto"/>
            <w:ind w:left="837"/>
            <w:rPr>
              <w:rFonts w:ascii="Times New Roman" w:hAnsi="Times New Roman" w:eastAsia="Times New Roman" w:cs="Times New Roman"/>
              <w:sz w:val="21"/>
              <w:szCs w:val="21"/>
            </w:rPr>
          </w:pPr>
          <w:r>
            <w:fldChar w:fldCharType="begin"/>
          </w:r>
          <w:r>
            <w:instrText xml:space="preserve"> HYPERLINK \l "bookmark191" </w:instrText>
          </w:r>
          <w:r>
            <w:fldChar w:fldCharType="separate"/>
          </w:r>
          <w:r>
            <w:rPr>
              <w:rFonts w:ascii="Times New Roman" w:hAnsi="Times New Roman" w:eastAsia="Times New Roman" w:cs="Times New Roman"/>
              <w:spacing w:val="3"/>
              <w:sz w:val="21"/>
              <w:szCs w:val="21"/>
            </w:rPr>
            <w:t xml:space="preserve">4.4  </w:t>
          </w:r>
          <w:r>
            <w:rPr>
              <w:spacing w:val="3"/>
              <w:sz w:val="21"/>
              <w:szCs w:val="21"/>
            </w:rPr>
            <w:t>投标总价扉页</w:t>
          </w:r>
          <w:r>
            <w:rPr>
              <w:spacing w:val="-87"/>
              <w:sz w:val="21"/>
              <w:szCs w:val="21"/>
            </w:rPr>
            <w:t xml:space="preserve"> </w:t>
          </w:r>
          <w:r>
            <w:rPr>
              <w:sz w:val="21"/>
              <w:szCs w:val="21"/>
            </w:rPr>
            <w:tab/>
          </w:r>
          <w:r>
            <w:rPr>
              <w:rFonts w:ascii="Times New Roman" w:hAnsi="Times New Roman" w:eastAsia="Times New Roman" w:cs="Times New Roman"/>
              <w:spacing w:val="6"/>
              <w:sz w:val="21"/>
              <w:szCs w:val="21"/>
            </w:rPr>
            <w:t>286</w:t>
          </w:r>
          <w:r>
            <w:rPr>
              <w:rFonts w:ascii="Times New Roman" w:hAnsi="Times New Roman" w:eastAsia="Times New Roman" w:cs="Times New Roman"/>
              <w:spacing w:val="6"/>
              <w:sz w:val="21"/>
              <w:szCs w:val="21"/>
            </w:rPr>
            <w:fldChar w:fldCharType="end"/>
          </w:r>
        </w:p>
        <w:p w14:paraId="099971F2">
          <w:pPr>
            <w:pStyle w:val="2"/>
            <w:tabs>
              <w:tab w:val="right" w:leader="dot" w:pos="8297"/>
            </w:tabs>
            <w:spacing w:before="74" w:line="219" w:lineRule="auto"/>
            <w:ind w:left="837"/>
            <w:rPr>
              <w:rFonts w:ascii="Times New Roman" w:hAnsi="Times New Roman" w:eastAsia="Times New Roman" w:cs="Times New Roman"/>
              <w:sz w:val="21"/>
              <w:szCs w:val="21"/>
            </w:rPr>
          </w:pPr>
          <w:r>
            <w:fldChar w:fldCharType="begin"/>
          </w:r>
          <w:r>
            <w:instrText xml:space="preserve"> HYPERLINK \l "bookmark192" </w:instrText>
          </w:r>
          <w:r>
            <w:fldChar w:fldCharType="separate"/>
          </w:r>
          <w:r>
            <w:rPr>
              <w:rFonts w:ascii="Times New Roman" w:hAnsi="Times New Roman" w:eastAsia="Times New Roman" w:cs="Times New Roman"/>
              <w:spacing w:val="3"/>
              <w:sz w:val="21"/>
              <w:szCs w:val="21"/>
            </w:rPr>
            <w:t>4.5</w:t>
          </w:r>
          <w:r>
            <w:rPr>
              <w:rFonts w:ascii="Times New Roman" w:hAnsi="Times New Roman" w:eastAsia="Times New Roman" w:cs="Times New Roman"/>
              <w:spacing w:val="10"/>
              <w:sz w:val="21"/>
              <w:szCs w:val="21"/>
            </w:rPr>
            <w:t xml:space="preserve">  </w:t>
          </w:r>
          <w:r>
            <w:rPr>
              <w:spacing w:val="3"/>
              <w:sz w:val="21"/>
              <w:szCs w:val="21"/>
            </w:rPr>
            <w:t>总说明表</w:t>
          </w:r>
          <w:r>
            <w:rPr>
              <w:spacing w:val="-95"/>
              <w:sz w:val="21"/>
              <w:szCs w:val="21"/>
            </w:rPr>
            <w:t xml:space="preserve"> </w:t>
          </w:r>
          <w:r>
            <w:rPr>
              <w:sz w:val="21"/>
              <w:szCs w:val="21"/>
            </w:rPr>
            <w:tab/>
          </w:r>
          <w:r>
            <w:rPr>
              <w:spacing w:val="-71"/>
              <w:sz w:val="21"/>
              <w:szCs w:val="21"/>
            </w:rPr>
            <w:t xml:space="preserve"> </w:t>
          </w:r>
          <w:r>
            <w:rPr>
              <w:rFonts w:ascii="Times New Roman" w:hAnsi="Times New Roman" w:eastAsia="Times New Roman" w:cs="Times New Roman"/>
              <w:spacing w:val="-1"/>
              <w:sz w:val="21"/>
              <w:szCs w:val="21"/>
            </w:rPr>
            <w:t>287</w:t>
          </w:r>
          <w:r>
            <w:rPr>
              <w:rFonts w:ascii="Times New Roman" w:hAnsi="Times New Roman" w:eastAsia="Times New Roman" w:cs="Times New Roman"/>
              <w:spacing w:val="-1"/>
              <w:sz w:val="21"/>
              <w:szCs w:val="21"/>
            </w:rPr>
            <w:fldChar w:fldCharType="end"/>
          </w:r>
        </w:p>
        <w:p w14:paraId="7DCF9294">
          <w:pPr>
            <w:pStyle w:val="2"/>
            <w:tabs>
              <w:tab w:val="right" w:leader="dot" w:pos="8287"/>
            </w:tabs>
            <w:spacing w:before="69" w:line="218" w:lineRule="auto"/>
            <w:ind w:left="837"/>
            <w:rPr>
              <w:rFonts w:ascii="Times New Roman" w:hAnsi="Times New Roman" w:eastAsia="Times New Roman" w:cs="Times New Roman"/>
              <w:sz w:val="21"/>
              <w:szCs w:val="21"/>
            </w:rPr>
          </w:pPr>
          <w:r>
            <w:fldChar w:fldCharType="begin"/>
          </w:r>
          <w:r>
            <w:instrText xml:space="preserve"> HYPERLINK \l "bookmark193" </w:instrText>
          </w:r>
          <w:r>
            <w:fldChar w:fldCharType="separate"/>
          </w:r>
          <w:r>
            <w:rPr>
              <w:rFonts w:ascii="Times New Roman" w:hAnsi="Times New Roman" w:eastAsia="Times New Roman" w:cs="Times New Roman"/>
              <w:spacing w:val="2"/>
              <w:sz w:val="21"/>
              <w:szCs w:val="21"/>
            </w:rPr>
            <w:t xml:space="preserve">4.6  </w:t>
          </w:r>
          <w:r>
            <w:rPr>
              <w:spacing w:val="2"/>
              <w:sz w:val="21"/>
              <w:szCs w:val="21"/>
            </w:rPr>
            <w:t>建设项目投标报价汇总表</w:t>
          </w:r>
          <w:r>
            <w:rPr>
              <w:spacing w:val="-76"/>
              <w:sz w:val="21"/>
              <w:szCs w:val="21"/>
            </w:rPr>
            <w:t xml:space="preserve"> </w:t>
          </w:r>
          <w:r>
            <w:rPr>
              <w:sz w:val="21"/>
              <w:szCs w:val="21"/>
            </w:rPr>
            <w:tab/>
          </w:r>
          <w:r>
            <w:rPr>
              <w:rFonts w:ascii="Times New Roman" w:hAnsi="Times New Roman" w:eastAsia="Times New Roman" w:cs="Times New Roman"/>
              <w:spacing w:val="3"/>
              <w:sz w:val="21"/>
              <w:szCs w:val="21"/>
            </w:rPr>
            <w:t>288</w:t>
          </w:r>
          <w:r>
            <w:rPr>
              <w:rFonts w:ascii="Times New Roman" w:hAnsi="Times New Roman" w:eastAsia="Times New Roman" w:cs="Times New Roman"/>
              <w:spacing w:val="3"/>
              <w:sz w:val="21"/>
              <w:szCs w:val="21"/>
            </w:rPr>
            <w:fldChar w:fldCharType="end"/>
          </w:r>
        </w:p>
        <w:p w14:paraId="5B087E1F">
          <w:pPr>
            <w:pStyle w:val="2"/>
            <w:tabs>
              <w:tab w:val="right" w:leader="dot" w:pos="8287"/>
            </w:tabs>
            <w:spacing w:before="62" w:line="218" w:lineRule="auto"/>
            <w:ind w:left="837"/>
            <w:rPr>
              <w:rFonts w:ascii="Times New Roman" w:hAnsi="Times New Roman" w:eastAsia="Times New Roman" w:cs="Times New Roman"/>
              <w:sz w:val="21"/>
              <w:szCs w:val="21"/>
            </w:rPr>
          </w:pPr>
          <w:r>
            <w:fldChar w:fldCharType="begin"/>
          </w:r>
          <w:r>
            <w:instrText xml:space="preserve"> HYPERLINK \l "bookmark194" </w:instrText>
          </w:r>
          <w:r>
            <w:fldChar w:fldCharType="separate"/>
          </w:r>
          <w:r>
            <w:rPr>
              <w:rFonts w:ascii="Times New Roman" w:hAnsi="Times New Roman" w:eastAsia="Times New Roman" w:cs="Times New Roman"/>
              <w:spacing w:val="2"/>
              <w:sz w:val="21"/>
              <w:szCs w:val="21"/>
            </w:rPr>
            <w:t xml:space="preserve">4.7  </w:t>
          </w:r>
          <w:r>
            <w:rPr>
              <w:spacing w:val="2"/>
              <w:sz w:val="21"/>
              <w:szCs w:val="21"/>
            </w:rPr>
            <w:t>单项工程投标报价汇总表</w:t>
          </w:r>
          <w:r>
            <w:rPr>
              <w:spacing w:val="-76"/>
              <w:sz w:val="21"/>
              <w:szCs w:val="21"/>
            </w:rPr>
            <w:t xml:space="preserve"> </w:t>
          </w:r>
          <w:r>
            <w:rPr>
              <w:sz w:val="21"/>
              <w:szCs w:val="21"/>
            </w:rPr>
            <w:tab/>
          </w:r>
          <w:r>
            <w:rPr>
              <w:rFonts w:ascii="Times New Roman" w:hAnsi="Times New Roman" w:eastAsia="Times New Roman" w:cs="Times New Roman"/>
              <w:spacing w:val="3"/>
              <w:sz w:val="21"/>
              <w:szCs w:val="21"/>
            </w:rPr>
            <w:t>289</w:t>
          </w:r>
          <w:r>
            <w:rPr>
              <w:rFonts w:ascii="Times New Roman" w:hAnsi="Times New Roman" w:eastAsia="Times New Roman" w:cs="Times New Roman"/>
              <w:spacing w:val="3"/>
              <w:sz w:val="21"/>
              <w:szCs w:val="21"/>
            </w:rPr>
            <w:fldChar w:fldCharType="end"/>
          </w:r>
        </w:p>
        <w:p w14:paraId="17F99A4E">
          <w:pPr>
            <w:pStyle w:val="2"/>
            <w:tabs>
              <w:tab w:val="right" w:leader="dot" w:pos="8287"/>
            </w:tabs>
            <w:spacing w:before="62" w:line="218" w:lineRule="auto"/>
            <w:ind w:left="837"/>
            <w:rPr>
              <w:rFonts w:ascii="Times New Roman" w:hAnsi="Times New Roman" w:eastAsia="Times New Roman" w:cs="Times New Roman"/>
              <w:sz w:val="21"/>
              <w:szCs w:val="21"/>
            </w:rPr>
          </w:pPr>
          <w:r>
            <w:fldChar w:fldCharType="begin"/>
          </w:r>
          <w:r>
            <w:instrText xml:space="preserve"> HYPERLINK \l "bookmark195" </w:instrText>
          </w:r>
          <w:r>
            <w:fldChar w:fldCharType="separate"/>
          </w:r>
          <w:r>
            <w:rPr>
              <w:rFonts w:ascii="Times New Roman" w:hAnsi="Times New Roman" w:eastAsia="Times New Roman" w:cs="Times New Roman"/>
              <w:spacing w:val="2"/>
              <w:sz w:val="21"/>
              <w:szCs w:val="21"/>
            </w:rPr>
            <w:t xml:space="preserve">4.8  </w:t>
          </w:r>
          <w:r>
            <w:rPr>
              <w:spacing w:val="2"/>
              <w:sz w:val="21"/>
              <w:szCs w:val="21"/>
            </w:rPr>
            <w:t>单位工程投标报价汇总表</w:t>
          </w:r>
          <w:r>
            <w:rPr>
              <w:spacing w:val="-76"/>
              <w:sz w:val="21"/>
              <w:szCs w:val="21"/>
            </w:rPr>
            <w:t xml:space="preserve"> </w:t>
          </w:r>
          <w:r>
            <w:rPr>
              <w:sz w:val="21"/>
              <w:szCs w:val="21"/>
            </w:rPr>
            <w:tab/>
          </w:r>
          <w:r>
            <w:rPr>
              <w:rFonts w:ascii="Times New Roman" w:hAnsi="Times New Roman" w:eastAsia="Times New Roman" w:cs="Times New Roman"/>
              <w:spacing w:val="3"/>
              <w:sz w:val="21"/>
              <w:szCs w:val="21"/>
            </w:rPr>
            <w:t>290</w:t>
          </w:r>
          <w:r>
            <w:rPr>
              <w:rFonts w:ascii="Times New Roman" w:hAnsi="Times New Roman" w:eastAsia="Times New Roman" w:cs="Times New Roman"/>
              <w:spacing w:val="3"/>
              <w:sz w:val="21"/>
              <w:szCs w:val="21"/>
            </w:rPr>
            <w:fldChar w:fldCharType="end"/>
          </w:r>
        </w:p>
        <w:p w14:paraId="6C76A605">
          <w:pPr>
            <w:pStyle w:val="2"/>
            <w:tabs>
              <w:tab w:val="right" w:leader="dot" w:pos="8287"/>
            </w:tabs>
            <w:spacing w:before="52" w:line="218" w:lineRule="auto"/>
            <w:ind w:left="837"/>
            <w:rPr>
              <w:rFonts w:ascii="Times New Roman" w:hAnsi="Times New Roman" w:eastAsia="Times New Roman" w:cs="Times New Roman"/>
              <w:sz w:val="21"/>
              <w:szCs w:val="21"/>
            </w:rPr>
          </w:pPr>
          <w:r>
            <w:fldChar w:fldCharType="begin"/>
          </w:r>
          <w:r>
            <w:instrText xml:space="preserve"> HYPERLINK \l "bookmark196" </w:instrText>
          </w:r>
          <w:r>
            <w:fldChar w:fldCharType="separate"/>
          </w:r>
          <w:r>
            <w:rPr>
              <w:rFonts w:ascii="Times New Roman" w:hAnsi="Times New Roman" w:eastAsia="Times New Roman" w:cs="Times New Roman"/>
              <w:spacing w:val="1"/>
              <w:sz w:val="21"/>
              <w:szCs w:val="21"/>
            </w:rPr>
            <w:t xml:space="preserve">4.9  </w:t>
          </w:r>
          <w:r>
            <w:rPr>
              <w:spacing w:val="1"/>
              <w:sz w:val="21"/>
              <w:szCs w:val="21"/>
            </w:rPr>
            <w:t>分部分项工程和单价措施项目清单与计价表</w:t>
          </w:r>
          <w:r>
            <w:rPr>
              <w:spacing w:val="-68"/>
              <w:sz w:val="21"/>
              <w:szCs w:val="21"/>
            </w:rPr>
            <w:t xml:space="preserve"> </w:t>
          </w:r>
          <w:r>
            <w:rPr>
              <w:sz w:val="21"/>
              <w:szCs w:val="21"/>
            </w:rPr>
            <w:tab/>
          </w:r>
          <w:r>
            <w:rPr>
              <w:rFonts w:ascii="Times New Roman" w:hAnsi="Times New Roman" w:eastAsia="Times New Roman" w:cs="Times New Roman"/>
              <w:spacing w:val="3"/>
              <w:sz w:val="21"/>
              <w:szCs w:val="21"/>
            </w:rPr>
            <w:t>292</w:t>
          </w:r>
          <w:r>
            <w:rPr>
              <w:rFonts w:ascii="Times New Roman" w:hAnsi="Times New Roman" w:eastAsia="Times New Roman" w:cs="Times New Roman"/>
              <w:spacing w:val="3"/>
              <w:sz w:val="21"/>
              <w:szCs w:val="21"/>
            </w:rPr>
            <w:fldChar w:fldCharType="end"/>
          </w:r>
        </w:p>
        <w:p w14:paraId="1B4A2075">
          <w:pPr>
            <w:pStyle w:val="2"/>
            <w:tabs>
              <w:tab w:val="right" w:leader="dot" w:pos="8297"/>
            </w:tabs>
            <w:spacing w:before="82" w:line="218" w:lineRule="auto"/>
            <w:ind w:left="837"/>
            <w:rPr>
              <w:rFonts w:ascii="Times New Roman" w:hAnsi="Times New Roman" w:eastAsia="Times New Roman" w:cs="Times New Roman"/>
              <w:sz w:val="21"/>
              <w:szCs w:val="21"/>
            </w:rPr>
          </w:pPr>
          <w:r>
            <w:fldChar w:fldCharType="begin"/>
          </w:r>
          <w:r>
            <w:instrText xml:space="preserve"> HYPERLINK \l "bookmark197" </w:instrText>
          </w:r>
          <w:r>
            <w:fldChar w:fldCharType="separate"/>
          </w:r>
          <w:r>
            <w:rPr>
              <w:rFonts w:ascii="Times New Roman" w:hAnsi="Times New Roman" w:eastAsia="Times New Roman" w:cs="Times New Roman"/>
              <w:spacing w:val="2"/>
              <w:sz w:val="21"/>
              <w:szCs w:val="21"/>
            </w:rPr>
            <w:t xml:space="preserve">4.10  </w:t>
          </w:r>
          <w:r>
            <w:rPr>
              <w:spacing w:val="2"/>
              <w:sz w:val="21"/>
              <w:szCs w:val="21"/>
            </w:rPr>
            <w:t>综合单价分析表</w:t>
          </w:r>
          <w:r>
            <w:rPr>
              <w:spacing w:val="-75"/>
              <w:sz w:val="21"/>
              <w:szCs w:val="21"/>
            </w:rPr>
            <w:t xml:space="preserve"> </w:t>
          </w:r>
          <w:r>
            <w:rPr>
              <w:sz w:val="21"/>
              <w:szCs w:val="21"/>
            </w:rPr>
            <w:tab/>
          </w:r>
          <w:r>
            <w:rPr>
              <w:rFonts w:ascii="Times New Roman" w:hAnsi="Times New Roman" w:eastAsia="Times New Roman" w:cs="Times New Roman"/>
              <w:sz w:val="21"/>
              <w:szCs w:val="21"/>
            </w:rPr>
            <w:t>293</w:t>
          </w:r>
          <w:r>
            <w:rPr>
              <w:rFonts w:ascii="Times New Roman" w:hAnsi="Times New Roman" w:eastAsia="Times New Roman" w:cs="Times New Roman"/>
              <w:sz w:val="21"/>
              <w:szCs w:val="21"/>
            </w:rPr>
            <w:fldChar w:fldCharType="end"/>
          </w:r>
        </w:p>
        <w:p w14:paraId="1B3AD760">
          <w:pPr>
            <w:pStyle w:val="2"/>
            <w:tabs>
              <w:tab w:val="right" w:leader="dot" w:pos="8287"/>
            </w:tabs>
            <w:spacing w:before="62" w:line="218" w:lineRule="auto"/>
            <w:ind w:left="837"/>
            <w:rPr>
              <w:rFonts w:ascii="Times New Roman" w:hAnsi="Times New Roman" w:eastAsia="Times New Roman" w:cs="Times New Roman"/>
              <w:sz w:val="21"/>
              <w:szCs w:val="21"/>
            </w:rPr>
          </w:pPr>
          <w:r>
            <w:fldChar w:fldCharType="begin"/>
          </w:r>
          <w:r>
            <w:instrText xml:space="preserve"> HYPERLINK \l "bookmark198" </w:instrText>
          </w:r>
          <w:r>
            <w:fldChar w:fldCharType="separate"/>
          </w:r>
          <w:r>
            <w:rPr>
              <w:rFonts w:ascii="Times New Roman" w:hAnsi="Times New Roman" w:eastAsia="Times New Roman" w:cs="Times New Roman"/>
              <w:spacing w:val="2"/>
              <w:sz w:val="21"/>
              <w:szCs w:val="21"/>
            </w:rPr>
            <w:t xml:space="preserve">4.11  </w:t>
          </w:r>
          <w:r>
            <w:rPr>
              <w:spacing w:val="2"/>
              <w:sz w:val="21"/>
              <w:szCs w:val="21"/>
            </w:rPr>
            <w:t>总价措施项目清单与计价表</w:t>
          </w:r>
          <w:r>
            <w:rPr>
              <w:spacing w:val="-95"/>
              <w:sz w:val="21"/>
              <w:szCs w:val="21"/>
            </w:rPr>
            <w:t xml:space="preserve"> </w:t>
          </w:r>
          <w:r>
            <w:rPr>
              <w:sz w:val="21"/>
              <w:szCs w:val="21"/>
            </w:rPr>
            <w:tab/>
          </w:r>
          <w:r>
            <w:rPr>
              <w:rFonts w:ascii="Times New Roman" w:hAnsi="Times New Roman" w:eastAsia="Times New Roman" w:cs="Times New Roman"/>
              <w:sz w:val="21"/>
              <w:szCs w:val="21"/>
            </w:rPr>
            <w:t>295</w:t>
          </w:r>
          <w:r>
            <w:rPr>
              <w:rFonts w:ascii="Times New Roman" w:hAnsi="Times New Roman" w:eastAsia="Times New Roman" w:cs="Times New Roman"/>
              <w:sz w:val="21"/>
              <w:szCs w:val="21"/>
            </w:rPr>
            <w:fldChar w:fldCharType="end"/>
          </w:r>
        </w:p>
        <w:p w14:paraId="29DFB5F3">
          <w:pPr>
            <w:pStyle w:val="2"/>
            <w:tabs>
              <w:tab w:val="right" w:leader="dot" w:pos="8287"/>
            </w:tabs>
            <w:spacing w:before="62" w:line="218" w:lineRule="auto"/>
            <w:ind w:left="837"/>
            <w:rPr>
              <w:rFonts w:ascii="Times New Roman" w:hAnsi="Times New Roman" w:eastAsia="Times New Roman" w:cs="Times New Roman"/>
              <w:sz w:val="21"/>
              <w:szCs w:val="21"/>
            </w:rPr>
          </w:pPr>
          <w:r>
            <w:fldChar w:fldCharType="begin"/>
          </w:r>
          <w:r>
            <w:instrText xml:space="preserve"> HYPERLINK \l "bookmark199" </w:instrText>
          </w:r>
          <w:r>
            <w:fldChar w:fldCharType="separate"/>
          </w:r>
          <w:r>
            <w:rPr>
              <w:rFonts w:ascii="Times New Roman" w:hAnsi="Times New Roman" w:eastAsia="Times New Roman" w:cs="Times New Roman"/>
              <w:spacing w:val="2"/>
              <w:sz w:val="21"/>
              <w:szCs w:val="21"/>
            </w:rPr>
            <w:t xml:space="preserve">4.12  </w:t>
          </w:r>
          <w:r>
            <w:rPr>
              <w:spacing w:val="2"/>
              <w:sz w:val="21"/>
              <w:szCs w:val="21"/>
            </w:rPr>
            <w:t>其他项目清单与计价汇总表</w:t>
          </w:r>
          <w:r>
            <w:rPr>
              <w:spacing w:val="-85"/>
              <w:sz w:val="21"/>
              <w:szCs w:val="21"/>
            </w:rPr>
            <w:t xml:space="preserve"> </w:t>
          </w:r>
          <w:r>
            <w:rPr>
              <w:sz w:val="21"/>
              <w:szCs w:val="21"/>
            </w:rPr>
            <w:tab/>
          </w:r>
          <w:r>
            <w:rPr>
              <w:rFonts w:ascii="Times New Roman" w:hAnsi="Times New Roman" w:eastAsia="Times New Roman" w:cs="Times New Roman"/>
              <w:sz w:val="21"/>
              <w:szCs w:val="21"/>
            </w:rPr>
            <w:t>296</w:t>
          </w:r>
          <w:r>
            <w:rPr>
              <w:rFonts w:ascii="Times New Roman" w:hAnsi="Times New Roman" w:eastAsia="Times New Roman" w:cs="Times New Roman"/>
              <w:sz w:val="21"/>
              <w:szCs w:val="21"/>
            </w:rPr>
            <w:fldChar w:fldCharType="end"/>
          </w:r>
        </w:p>
        <w:p w14:paraId="59C79A64">
          <w:pPr>
            <w:pStyle w:val="2"/>
            <w:tabs>
              <w:tab w:val="right" w:leader="dot" w:pos="8297"/>
            </w:tabs>
            <w:spacing w:before="64" w:line="219" w:lineRule="auto"/>
            <w:ind w:left="837"/>
            <w:rPr>
              <w:rFonts w:ascii="Times New Roman" w:hAnsi="Times New Roman" w:eastAsia="Times New Roman" w:cs="Times New Roman"/>
              <w:sz w:val="21"/>
              <w:szCs w:val="21"/>
            </w:rPr>
          </w:pPr>
          <w:r>
            <w:fldChar w:fldCharType="begin"/>
          </w:r>
          <w:r>
            <w:instrText xml:space="preserve"> HYPERLINK \l "bookmark200" </w:instrText>
          </w:r>
          <w:r>
            <w:fldChar w:fldCharType="separate"/>
          </w:r>
          <w:r>
            <w:rPr>
              <w:rFonts w:ascii="Times New Roman" w:hAnsi="Times New Roman" w:eastAsia="Times New Roman" w:cs="Times New Roman"/>
              <w:spacing w:val="1"/>
              <w:sz w:val="21"/>
              <w:szCs w:val="21"/>
            </w:rPr>
            <w:t xml:space="preserve">4.12-1   </w:t>
          </w:r>
          <w:r>
            <w:rPr>
              <w:spacing w:val="1"/>
              <w:sz w:val="21"/>
              <w:szCs w:val="21"/>
            </w:rPr>
            <w:t>暂列金额明细表</w:t>
          </w:r>
          <w:r>
            <w:rPr>
              <w:spacing w:val="-82"/>
              <w:sz w:val="21"/>
              <w:szCs w:val="21"/>
            </w:rPr>
            <w:t xml:space="preserve"> </w:t>
          </w:r>
          <w:r>
            <w:rPr>
              <w:sz w:val="21"/>
              <w:szCs w:val="21"/>
            </w:rPr>
            <w:tab/>
          </w:r>
          <w:r>
            <w:rPr>
              <w:rFonts w:ascii="Times New Roman" w:hAnsi="Times New Roman" w:eastAsia="Times New Roman" w:cs="Times New Roman"/>
              <w:sz w:val="21"/>
              <w:szCs w:val="21"/>
            </w:rPr>
            <w:t>297</w:t>
          </w:r>
          <w:r>
            <w:rPr>
              <w:rFonts w:ascii="Times New Roman" w:hAnsi="Times New Roman" w:eastAsia="Times New Roman" w:cs="Times New Roman"/>
              <w:sz w:val="21"/>
              <w:szCs w:val="21"/>
            </w:rPr>
            <w:fldChar w:fldCharType="end"/>
          </w:r>
        </w:p>
        <w:p w14:paraId="1DFEFBCF">
          <w:pPr>
            <w:pStyle w:val="2"/>
            <w:tabs>
              <w:tab w:val="right" w:leader="dot" w:pos="8287"/>
            </w:tabs>
            <w:spacing w:before="49" w:line="218" w:lineRule="auto"/>
            <w:ind w:left="837"/>
            <w:rPr>
              <w:rFonts w:ascii="Times New Roman" w:hAnsi="Times New Roman" w:eastAsia="Times New Roman" w:cs="Times New Roman"/>
              <w:sz w:val="21"/>
              <w:szCs w:val="21"/>
            </w:rPr>
          </w:pPr>
          <w:r>
            <w:fldChar w:fldCharType="begin"/>
          </w:r>
          <w:r>
            <w:instrText xml:space="preserve"> HYPERLINK \l "bookmark201" </w:instrText>
          </w:r>
          <w:r>
            <w:fldChar w:fldCharType="separate"/>
          </w:r>
          <w:r>
            <w:rPr>
              <w:rFonts w:ascii="Times New Roman" w:hAnsi="Times New Roman" w:eastAsia="Times New Roman" w:cs="Times New Roman"/>
              <w:spacing w:val="12"/>
              <w:sz w:val="21"/>
              <w:szCs w:val="21"/>
            </w:rPr>
            <w:t>4.12-2</w:t>
          </w:r>
          <w:r>
            <w:rPr>
              <w:rFonts w:ascii="Times New Roman" w:hAnsi="Times New Roman" w:eastAsia="Times New Roman" w:cs="Times New Roman"/>
              <w:spacing w:val="26"/>
              <w:w w:val="101"/>
              <w:sz w:val="21"/>
              <w:szCs w:val="21"/>
            </w:rPr>
            <w:t xml:space="preserve">  </w:t>
          </w:r>
          <w:r>
            <w:rPr>
              <w:spacing w:val="12"/>
              <w:sz w:val="21"/>
              <w:szCs w:val="21"/>
            </w:rPr>
            <w:t>材料(工程设备)暂估单价表</w:t>
          </w:r>
          <w:r>
            <w:rPr>
              <w:spacing w:val="-85"/>
              <w:sz w:val="21"/>
              <w:szCs w:val="21"/>
            </w:rPr>
            <w:t xml:space="preserve"> </w:t>
          </w:r>
          <w:r>
            <w:rPr>
              <w:sz w:val="21"/>
              <w:szCs w:val="21"/>
            </w:rPr>
            <w:tab/>
          </w:r>
          <w:r>
            <w:rPr>
              <w:rFonts w:ascii="Times New Roman" w:hAnsi="Times New Roman" w:eastAsia="Times New Roman" w:cs="Times New Roman"/>
              <w:spacing w:val="1"/>
              <w:sz w:val="21"/>
              <w:szCs w:val="21"/>
            </w:rPr>
            <w:t>298</w:t>
          </w:r>
          <w:r>
            <w:rPr>
              <w:rFonts w:ascii="Times New Roman" w:hAnsi="Times New Roman" w:eastAsia="Times New Roman" w:cs="Times New Roman"/>
              <w:spacing w:val="1"/>
              <w:sz w:val="21"/>
              <w:szCs w:val="21"/>
            </w:rPr>
            <w:fldChar w:fldCharType="end"/>
          </w:r>
        </w:p>
        <w:p w14:paraId="1749876B">
          <w:pPr>
            <w:pStyle w:val="2"/>
            <w:tabs>
              <w:tab w:val="right" w:leader="dot" w:pos="8287"/>
            </w:tabs>
            <w:spacing w:before="82" w:line="218" w:lineRule="auto"/>
            <w:ind w:left="837"/>
            <w:rPr>
              <w:rFonts w:ascii="Times New Roman" w:hAnsi="Times New Roman" w:eastAsia="Times New Roman" w:cs="Times New Roman"/>
              <w:sz w:val="21"/>
              <w:szCs w:val="21"/>
            </w:rPr>
          </w:pPr>
          <w:r>
            <w:fldChar w:fldCharType="begin"/>
          </w:r>
          <w:r>
            <w:instrText xml:space="preserve"> HYPERLINK \l "bookmark202" </w:instrText>
          </w:r>
          <w:r>
            <w:fldChar w:fldCharType="separate"/>
          </w:r>
          <w:r>
            <w:rPr>
              <w:rFonts w:ascii="Times New Roman" w:hAnsi="Times New Roman" w:eastAsia="Times New Roman" w:cs="Times New Roman"/>
              <w:spacing w:val="1"/>
              <w:sz w:val="21"/>
              <w:szCs w:val="21"/>
            </w:rPr>
            <w:t>4.12-3</w:t>
          </w:r>
          <w:r>
            <w:rPr>
              <w:rFonts w:ascii="Times New Roman" w:hAnsi="Times New Roman" w:eastAsia="Times New Roman" w:cs="Times New Roman"/>
              <w:spacing w:val="28"/>
              <w:w w:val="101"/>
              <w:sz w:val="21"/>
              <w:szCs w:val="21"/>
            </w:rPr>
            <w:t xml:space="preserve">  </w:t>
          </w:r>
          <w:r>
            <w:rPr>
              <w:spacing w:val="1"/>
              <w:sz w:val="21"/>
              <w:szCs w:val="21"/>
            </w:rPr>
            <w:t>专业工程暂估价表</w:t>
          </w:r>
          <w:r>
            <w:rPr>
              <w:spacing w:val="-95"/>
              <w:sz w:val="21"/>
              <w:szCs w:val="21"/>
            </w:rPr>
            <w:t xml:space="preserve"> </w:t>
          </w:r>
          <w:r>
            <w:rPr>
              <w:sz w:val="21"/>
              <w:szCs w:val="21"/>
            </w:rPr>
            <w:tab/>
          </w:r>
          <w:r>
            <w:rPr>
              <w:rFonts w:ascii="Times New Roman" w:hAnsi="Times New Roman" w:eastAsia="Times New Roman" w:cs="Times New Roman"/>
              <w:sz w:val="21"/>
              <w:szCs w:val="21"/>
            </w:rPr>
            <w:t>299</w:t>
          </w:r>
          <w:r>
            <w:rPr>
              <w:rFonts w:ascii="Times New Roman" w:hAnsi="Times New Roman" w:eastAsia="Times New Roman" w:cs="Times New Roman"/>
              <w:sz w:val="21"/>
              <w:szCs w:val="21"/>
            </w:rPr>
            <w:fldChar w:fldCharType="end"/>
          </w:r>
        </w:p>
        <w:p w14:paraId="04D5F4AB">
          <w:pPr>
            <w:pStyle w:val="2"/>
            <w:tabs>
              <w:tab w:val="right" w:leader="dot" w:pos="8282"/>
            </w:tabs>
            <w:spacing w:before="65" w:line="221" w:lineRule="auto"/>
            <w:ind w:left="837"/>
            <w:rPr>
              <w:rFonts w:ascii="Times New Roman" w:hAnsi="Times New Roman" w:eastAsia="Times New Roman" w:cs="Times New Roman"/>
              <w:sz w:val="21"/>
              <w:szCs w:val="21"/>
            </w:rPr>
          </w:pPr>
          <w:r>
            <w:fldChar w:fldCharType="begin"/>
          </w:r>
          <w:r>
            <w:instrText xml:space="preserve"> HYPERLINK \l "bookmark203" </w:instrText>
          </w:r>
          <w:r>
            <w:fldChar w:fldCharType="separate"/>
          </w:r>
          <w:r>
            <w:rPr>
              <w:rFonts w:ascii="Times New Roman" w:hAnsi="Times New Roman" w:eastAsia="Times New Roman" w:cs="Times New Roman"/>
              <w:spacing w:val="2"/>
              <w:sz w:val="21"/>
              <w:szCs w:val="21"/>
            </w:rPr>
            <w:t>4.12-4</w:t>
          </w:r>
          <w:r>
            <w:rPr>
              <w:rFonts w:ascii="Times New Roman" w:hAnsi="Times New Roman" w:eastAsia="Times New Roman" w:cs="Times New Roman"/>
              <w:spacing w:val="25"/>
              <w:w w:val="101"/>
              <w:sz w:val="21"/>
              <w:szCs w:val="21"/>
            </w:rPr>
            <w:t xml:space="preserve">  </w:t>
          </w:r>
          <w:r>
            <w:rPr>
              <w:spacing w:val="2"/>
              <w:sz w:val="21"/>
              <w:szCs w:val="21"/>
            </w:rPr>
            <w:t>计日工表</w:t>
          </w:r>
          <w:r>
            <w:rPr>
              <w:spacing w:val="-85"/>
              <w:sz w:val="21"/>
              <w:szCs w:val="21"/>
            </w:rPr>
            <w:t xml:space="preserve"> </w:t>
          </w:r>
          <w:r>
            <w:rPr>
              <w:sz w:val="21"/>
              <w:szCs w:val="21"/>
            </w:rPr>
            <w:tab/>
          </w:r>
          <w:r>
            <w:rPr>
              <w:rFonts w:ascii="Times New Roman" w:hAnsi="Times New Roman" w:eastAsia="Times New Roman" w:cs="Times New Roman"/>
              <w:spacing w:val="-1"/>
              <w:sz w:val="21"/>
              <w:szCs w:val="21"/>
            </w:rPr>
            <w:t>300</w:t>
          </w:r>
          <w:r>
            <w:rPr>
              <w:rFonts w:ascii="Times New Roman" w:hAnsi="Times New Roman" w:eastAsia="Times New Roman" w:cs="Times New Roman"/>
              <w:spacing w:val="-1"/>
              <w:sz w:val="21"/>
              <w:szCs w:val="21"/>
            </w:rPr>
            <w:fldChar w:fldCharType="end"/>
          </w:r>
        </w:p>
        <w:p w14:paraId="6F9933D2">
          <w:pPr>
            <w:pStyle w:val="2"/>
            <w:tabs>
              <w:tab w:val="right" w:leader="dot" w:pos="8302"/>
            </w:tabs>
            <w:spacing w:before="56" w:line="218" w:lineRule="auto"/>
            <w:ind w:left="837"/>
            <w:rPr>
              <w:rFonts w:ascii="Times New Roman" w:hAnsi="Times New Roman" w:eastAsia="Times New Roman" w:cs="Times New Roman"/>
              <w:sz w:val="21"/>
              <w:szCs w:val="21"/>
            </w:rPr>
          </w:pPr>
          <w:r>
            <w:fldChar w:fldCharType="begin"/>
          </w:r>
          <w:r>
            <w:instrText xml:space="preserve"> HYPERLINK \l "bookmark204" </w:instrText>
          </w:r>
          <w:r>
            <w:fldChar w:fldCharType="separate"/>
          </w:r>
          <w:r>
            <w:rPr>
              <w:rFonts w:ascii="Times New Roman" w:hAnsi="Times New Roman" w:eastAsia="Times New Roman" w:cs="Times New Roman"/>
              <w:spacing w:val="1"/>
              <w:sz w:val="21"/>
              <w:szCs w:val="21"/>
            </w:rPr>
            <w:t>4.12-5</w:t>
          </w:r>
          <w:r>
            <w:rPr>
              <w:rFonts w:ascii="Times New Roman" w:hAnsi="Times New Roman" w:eastAsia="Times New Roman" w:cs="Times New Roman"/>
              <w:spacing w:val="28"/>
              <w:sz w:val="21"/>
              <w:szCs w:val="21"/>
            </w:rPr>
            <w:t xml:space="preserve">  </w:t>
          </w:r>
          <w:r>
            <w:rPr>
              <w:spacing w:val="1"/>
              <w:sz w:val="21"/>
              <w:szCs w:val="21"/>
            </w:rPr>
            <w:t>总承包服务费计价表</w:t>
          </w:r>
          <w:r>
            <w:rPr>
              <w:spacing w:val="-85"/>
              <w:sz w:val="21"/>
              <w:szCs w:val="21"/>
            </w:rPr>
            <w:t xml:space="preserve"> </w:t>
          </w:r>
          <w:r>
            <w:rPr>
              <w:sz w:val="21"/>
              <w:szCs w:val="21"/>
            </w:rPr>
            <w:tab/>
          </w:r>
          <w:r>
            <w:rPr>
              <w:rFonts w:ascii="Times New Roman" w:hAnsi="Times New Roman" w:eastAsia="Times New Roman" w:cs="Times New Roman"/>
              <w:spacing w:val="-1"/>
              <w:sz w:val="21"/>
              <w:szCs w:val="21"/>
            </w:rPr>
            <w:t>301</w:t>
          </w:r>
          <w:r>
            <w:rPr>
              <w:rFonts w:ascii="Times New Roman" w:hAnsi="Times New Roman" w:eastAsia="Times New Roman" w:cs="Times New Roman"/>
              <w:spacing w:val="-1"/>
              <w:sz w:val="21"/>
              <w:szCs w:val="21"/>
            </w:rPr>
            <w:fldChar w:fldCharType="end"/>
          </w:r>
        </w:p>
        <w:p w14:paraId="1A48D03B">
          <w:pPr>
            <w:pStyle w:val="2"/>
            <w:tabs>
              <w:tab w:val="right" w:leader="dot" w:pos="8282"/>
            </w:tabs>
            <w:spacing w:before="62" w:line="218" w:lineRule="auto"/>
            <w:ind w:left="837"/>
            <w:rPr>
              <w:rFonts w:ascii="Times New Roman" w:hAnsi="Times New Roman" w:eastAsia="Times New Roman" w:cs="Times New Roman"/>
              <w:sz w:val="21"/>
              <w:szCs w:val="21"/>
            </w:rPr>
          </w:pPr>
          <w:r>
            <w:fldChar w:fldCharType="begin"/>
          </w:r>
          <w:r>
            <w:instrText xml:space="preserve"> HYPERLINK \l "bookmark205" </w:instrText>
          </w:r>
          <w:r>
            <w:fldChar w:fldCharType="separate"/>
          </w:r>
          <w:r>
            <w:rPr>
              <w:rFonts w:ascii="Times New Roman" w:hAnsi="Times New Roman" w:eastAsia="Times New Roman" w:cs="Times New Roman"/>
              <w:spacing w:val="2"/>
              <w:sz w:val="21"/>
              <w:szCs w:val="21"/>
            </w:rPr>
            <w:t xml:space="preserve">4.13  </w:t>
          </w:r>
          <w:r>
            <w:rPr>
              <w:spacing w:val="2"/>
              <w:sz w:val="21"/>
              <w:szCs w:val="21"/>
            </w:rPr>
            <w:t>规费、税金项目计价表</w:t>
          </w:r>
          <w:r>
            <w:rPr>
              <w:spacing w:val="-81"/>
              <w:sz w:val="21"/>
              <w:szCs w:val="21"/>
            </w:rPr>
            <w:t xml:space="preserve"> </w:t>
          </w:r>
          <w:r>
            <w:rPr>
              <w:sz w:val="21"/>
              <w:szCs w:val="21"/>
            </w:rPr>
            <w:tab/>
          </w:r>
          <w:r>
            <w:rPr>
              <w:rFonts w:ascii="Times New Roman" w:hAnsi="Times New Roman" w:eastAsia="Times New Roman" w:cs="Times New Roman"/>
              <w:spacing w:val="-1"/>
              <w:sz w:val="21"/>
              <w:szCs w:val="21"/>
            </w:rPr>
            <w:t>302</w:t>
          </w:r>
          <w:r>
            <w:rPr>
              <w:rFonts w:ascii="Times New Roman" w:hAnsi="Times New Roman" w:eastAsia="Times New Roman" w:cs="Times New Roman"/>
              <w:spacing w:val="-1"/>
              <w:sz w:val="21"/>
              <w:szCs w:val="21"/>
            </w:rPr>
            <w:fldChar w:fldCharType="end"/>
          </w:r>
        </w:p>
        <w:p w14:paraId="32029505">
          <w:pPr>
            <w:pStyle w:val="2"/>
            <w:tabs>
              <w:tab w:val="right" w:leader="dot" w:pos="8282"/>
            </w:tabs>
            <w:spacing w:before="52" w:line="219" w:lineRule="auto"/>
            <w:ind w:left="837"/>
            <w:rPr>
              <w:rFonts w:ascii="Times New Roman" w:hAnsi="Times New Roman" w:eastAsia="Times New Roman" w:cs="Times New Roman"/>
              <w:sz w:val="21"/>
              <w:szCs w:val="21"/>
            </w:rPr>
          </w:pPr>
          <w:r>
            <w:fldChar w:fldCharType="begin"/>
          </w:r>
          <w:r>
            <w:instrText xml:space="preserve"> HYPERLINK \l "bookmark206" </w:instrText>
          </w:r>
          <w:r>
            <w:fldChar w:fldCharType="separate"/>
          </w:r>
          <w:r>
            <w:rPr>
              <w:rFonts w:ascii="Times New Roman" w:hAnsi="Times New Roman" w:eastAsia="Times New Roman" w:cs="Times New Roman"/>
              <w:spacing w:val="1"/>
              <w:sz w:val="21"/>
              <w:szCs w:val="21"/>
            </w:rPr>
            <w:t xml:space="preserve">4.14  </w:t>
          </w:r>
          <w:r>
            <w:rPr>
              <w:spacing w:val="1"/>
              <w:sz w:val="21"/>
              <w:szCs w:val="21"/>
            </w:rPr>
            <w:t>发包人提供材料和工程设备一览表</w:t>
          </w:r>
          <w:r>
            <w:rPr>
              <w:spacing w:val="-70"/>
              <w:sz w:val="21"/>
              <w:szCs w:val="21"/>
            </w:rPr>
            <w:t xml:space="preserve"> </w:t>
          </w:r>
          <w:r>
            <w:rPr>
              <w:sz w:val="21"/>
              <w:szCs w:val="21"/>
            </w:rPr>
            <w:tab/>
          </w:r>
          <w:r>
            <w:rPr>
              <w:rFonts w:ascii="Times New Roman" w:hAnsi="Times New Roman" w:eastAsia="Times New Roman" w:cs="Times New Roman"/>
              <w:spacing w:val="-1"/>
              <w:sz w:val="21"/>
              <w:szCs w:val="21"/>
            </w:rPr>
            <w:t>303</w:t>
          </w:r>
          <w:r>
            <w:rPr>
              <w:rFonts w:ascii="Times New Roman" w:hAnsi="Times New Roman" w:eastAsia="Times New Roman" w:cs="Times New Roman"/>
              <w:spacing w:val="-1"/>
              <w:sz w:val="21"/>
              <w:szCs w:val="21"/>
            </w:rPr>
            <w:fldChar w:fldCharType="end"/>
          </w:r>
        </w:p>
        <w:p w14:paraId="08F55203">
          <w:pPr>
            <w:pStyle w:val="2"/>
            <w:spacing w:before="71" w:line="218" w:lineRule="auto"/>
            <w:ind w:left="847"/>
            <w:rPr>
              <w:sz w:val="21"/>
              <w:szCs w:val="21"/>
            </w:rPr>
          </w:pPr>
          <w:r>
            <w:fldChar w:fldCharType="begin"/>
          </w:r>
          <w:r>
            <w:instrText xml:space="preserve"> HYPERLINK \l "bookmark207" </w:instrText>
          </w:r>
          <w:r>
            <w:fldChar w:fldCharType="separate"/>
          </w:r>
          <w:r>
            <w:rPr>
              <w:rFonts w:ascii="Times New Roman" w:hAnsi="Times New Roman" w:eastAsia="Times New Roman" w:cs="Times New Roman"/>
              <w:spacing w:val="7"/>
              <w:sz w:val="21"/>
              <w:szCs w:val="21"/>
            </w:rPr>
            <w:t xml:space="preserve">4.15  </w:t>
          </w:r>
          <w:r>
            <w:rPr>
              <w:spacing w:val="7"/>
              <w:sz w:val="21"/>
              <w:szCs w:val="21"/>
            </w:rPr>
            <w:t>承包人提供主要材料和工程设备一览表(适用于造价信息差额调整法).</w:t>
          </w:r>
          <w:r>
            <w:rPr>
              <w:spacing w:val="6"/>
              <w:sz w:val="21"/>
              <w:szCs w:val="21"/>
            </w:rPr>
            <w:t>304</w:t>
          </w:r>
          <w:r>
            <w:rPr>
              <w:spacing w:val="6"/>
              <w:sz w:val="21"/>
              <w:szCs w:val="21"/>
            </w:rPr>
            <w:fldChar w:fldCharType="end"/>
          </w:r>
        </w:p>
        <w:p w14:paraId="5C9EBD3F">
          <w:pPr>
            <w:pStyle w:val="2"/>
            <w:spacing w:before="62" w:line="218" w:lineRule="auto"/>
            <w:ind w:left="847"/>
            <w:rPr>
              <w:sz w:val="21"/>
              <w:szCs w:val="21"/>
            </w:rPr>
          </w:pPr>
          <w:r>
            <w:fldChar w:fldCharType="begin"/>
          </w:r>
          <w:r>
            <w:instrText xml:space="preserve"> HYPERLINK \l "bookmark208" </w:instrText>
          </w:r>
          <w:r>
            <w:fldChar w:fldCharType="separate"/>
          </w:r>
          <w:r>
            <w:rPr>
              <w:rFonts w:ascii="Times New Roman" w:hAnsi="Times New Roman" w:eastAsia="Times New Roman" w:cs="Times New Roman"/>
              <w:spacing w:val="7"/>
              <w:sz w:val="21"/>
              <w:szCs w:val="21"/>
            </w:rPr>
            <w:t xml:space="preserve">4.16  </w:t>
          </w:r>
          <w:r>
            <w:rPr>
              <w:spacing w:val="7"/>
              <w:sz w:val="21"/>
              <w:szCs w:val="21"/>
            </w:rPr>
            <w:t>承包人提供主要材料和工程设备一览表(适用于价格指数差额调整法).305</w:t>
          </w:r>
          <w:r>
            <w:rPr>
              <w:spacing w:val="7"/>
              <w:sz w:val="21"/>
              <w:szCs w:val="21"/>
            </w:rPr>
            <w:fldChar w:fldCharType="end"/>
          </w:r>
        </w:p>
        <w:p w14:paraId="10A79FBA">
          <w:pPr>
            <w:tabs>
              <w:tab w:val="right" w:leader="dot" w:pos="9052"/>
            </w:tabs>
            <w:spacing w:before="69" w:line="222" w:lineRule="auto"/>
            <w:rPr>
              <w:rFonts w:ascii="Times New Roman" w:hAnsi="Times New Roman" w:eastAsia="Times New Roman" w:cs="Times New Roman"/>
              <w:sz w:val="21"/>
              <w:szCs w:val="21"/>
            </w:rPr>
          </w:pPr>
          <w:r>
            <w:fldChar w:fldCharType="begin"/>
          </w:r>
          <w:r>
            <w:instrText xml:space="preserve"> HYPERLINK \l "bookmark209" </w:instrText>
          </w:r>
          <w:r>
            <w:fldChar w:fldCharType="separate"/>
          </w:r>
          <w:r>
            <w:rPr>
              <w:rFonts w:ascii="黑体" w:hAnsi="黑体" w:eastAsia="黑体" w:cs="黑体"/>
              <w:b/>
              <w:bCs/>
              <w:spacing w:val="-5"/>
              <w:sz w:val="21"/>
              <w:szCs w:val="21"/>
            </w:rPr>
            <w:t>第二卷</w:t>
          </w:r>
          <w:r>
            <w:rPr>
              <w:rFonts w:ascii="黑体" w:hAnsi="黑体" w:eastAsia="黑体" w:cs="黑体"/>
              <w:spacing w:val="-90"/>
              <w:sz w:val="21"/>
              <w:szCs w:val="21"/>
            </w:rPr>
            <w:t xml:space="preserve"> </w:t>
          </w:r>
          <w:r>
            <w:rPr>
              <w:rFonts w:ascii="黑体" w:hAnsi="黑体" w:eastAsia="黑体" w:cs="黑体"/>
              <w:sz w:val="21"/>
              <w:szCs w:val="21"/>
            </w:rPr>
            <w:tab/>
          </w:r>
          <w:r>
            <w:rPr>
              <w:rFonts w:ascii="Times New Roman" w:hAnsi="Times New Roman" w:eastAsia="Times New Roman" w:cs="Times New Roman"/>
              <w:spacing w:val="-1"/>
              <w:sz w:val="21"/>
              <w:szCs w:val="21"/>
            </w:rPr>
            <w:t>306</w:t>
          </w:r>
          <w:r>
            <w:rPr>
              <w:rFonts w:ascii="Times New Roman" w:hAnsi="Times New Roman" w:eastAsia="Times New Roman" w:cs="Times New Roman"/>
              <w:spacing w:val="-1"/>
              <w:sz w:val="21"/>
              <w:szCs w:val="21"/>
            </w:rPr>
            <w:fldChar w:fldCharType="end"/>
          </w:r>
        </w:p>
        <w:p w14:paraId="07C540C6">
          <w:pPr>
            <w:tabs>
              <w:tab w:val="right" w:leader="dot" w:pos="9062"/>
            </w:tabs>
            <w:spacing w:before="58" w:line="222" w:lineRule="auto"/>
            <w:rPr>
              <w:rFonts w:ascii="Times New Roman" w:hAnsi="Times New Roman" w:eastAsia="Times New Roman" w:cs="Times New Roman"/>
              <w:sz w:val="21"/>
              <w:szCs w:val="21"/>
            </w:rPr>
          </w:pPr>
          <w:r>
            <w:fldChar w:fldCharType="begin"/>
          </w:r>
          <w:r>
            <w:instrText xml:space="preserve"> HYPERLINK \l "bookmark210" </w:instrText>
          </w:r>
          <w:r>
            <w:fldChar w:fldCharType="separate"/>
          </w:r>
          <w:r>
            <w:rPr>
              <w:rFonts w:ascii="黑体" w:hAnsi="黑体" w:eastAsia="黑体" w:cs="黑体"/>
              <w:b/>
              <w:bCs/>
              <w:spacing w:val="-11"/>
              <w:sz w:val="21"/>
              <w:szCs w:val="21"/>
            </w:rPr>
            <w:t>第六章</w:t>
          </w:r>
          <w:r>
            <w:rPr>
              <w:rFonts w:ascii="黑体" w:hAnsi="黑体" w:eastAsia="黑体" w:cs="黑体"/>
              <w:spacing w:val="59"/>
              <w:sz w:val="21"/>
              <w:szCs w:val="21"/>
            </w:rPr>
            <w:t xml:space="preserve"> </w:t>
          </w:r>
          <w:r>
            <w:rPr>
              <w:rFonts w:ascii="黑体" w:hAnsi="黑体" w:eastAsia="黑体" w:cs="黑体"/>
              <w:b/>
              <w:bCs/>
              <w:spacing w:val="-11"/>
              <w:sz w:val="21"/>
              <w:szCs w:val="21"/>
            </w:rPr>
            <w:t>图</w:t>
          </w:r>
          <w:r>
            <w:rPr>
              <w:rFonts w:ascii="黑体" w:hAnsi="黑体" w:eastAsia="黑体" w:cs="黑体"/>
              <w:spacing w:val="94"/>
              <w:sz w:val="21"/>
              <w:szCs w:val="21"/>
            </w:rPr>
            <w:t xml:space="preserve"> </w:t>
          </w:r>
          <w:r>
            <w:rPr>
              <w:rFonts w:ascii="黑体" w:hAnsi="黑体" w:eastAsia="黑体" w:cs="黑体"/>
              <w:b/>
              <w:bCs/>
              <w:spacing w:val="-11"/>
              <w:sz w:val="21"/>
              <w:szCs w:val="21"/>
            </w:rPr>
            <w:t>纸</w:t>
          </w:r>
          <w:r>
            <w:rPr>
              <w:rFonts w:ascii="黑体" w:hAnsi="黑体" w:eastAsia="黑体" w:cs="黑体"/>
              <w:spacing w:val="72"/>
              <w:sz w:val="21"/>
              <w:szCs w:val="21"/>
            </w:rPr>
            <w:t xml:space="preserve"> </w:t>
          </w:r>
          <w:r>
            <w:rPr>
              <w:rFonts w:ascii="黑体" w:hAnsi="黑体" w:eastAsia="黑体" w:cs="黑体"/>
              <w:sz w:val="21"/>
              <w:szCs w:val="21"/>
            </w:rPr>
            <w:tab/>
          </w:r>
          <w:r>
            <w:rPr>
              <w:rFonts w:ascii="黑体" w:hAnsi="黑体" w:eastAsia="黑体" w:cs="黑体"/>
              <w:spacing w:val="-11"/>
              <w:sz w:val="21"/>
              <w:szCs w:val="21"/>
            </w:rPr>
            <w:t xml:space="preserve"> </w:t>
          </w:r>
          <w:r>
            <w:rPr>
              <w:rFonts w:ascii="Times New Roman" w:hAnsi="Times New Roman" w:eastAsia="Times New Roman" w:cs="Times New Roman"/>
              <w:spacing w:val="-2"/>
              <w:sz w:val="21"/>
              <w:szCs w:val="21"/>
            </w:rPr>
            <w:t>307</w:t>
          </w:r>
          <w:r>
            <w:rPr>
              <w:rFonts w:ascii="Times New Roman" w:hAnsi="Times New Roman" w:eastAsia="Times New Roman" w:cs="Times New Roman"/>
              <w:spacing w:val="-2"/>
              <w:sz w:val="21"/>
              <w:szCs w:val="21"/>
            </w:rPr>
            <w:fldChar w:fldCharType="end"/>
          </w:r>
        </w:p>
        <w:p w14:paraId="062F53B6">
          <w:pPr>
            <w:pStyle w:val="2"/>
            <w:tabs>
              <w:tab w:val="right" w:leader="dot" w:pos="9042"/>
            </w:tabs>
            <w:spacing w:before="63" w:line="221" w:lineRule="auto"/>
            <w:ind w:left="417"/>
            <w:rPr>
              <w:rFonts w:ascii="Times New Roman" w:hAnsi="Times New Roman" w:eastAsia="Times New Roman" w:cs="Times New Roman"/>
              <w:sz w:val="21"/>
              <w:szCs w:val="21"/>
            </w:rPr>
          </w:pPr>
          <w:r>
            <w:fldChar w:fldCharType="begin"/>
          </w:r>
          <w:r>
            <w:instrText xml:space="preserve"> HYPERLINK \l "bookmark211" </w:instrText>
          </w:r>
          <w:r>
            <w:fldChar w:fldCharType="separate"/>
          </w:r>
          <w:r>
            <w:rPr>
              <w:rFonts w:ascii="Times New Roman" w:hAnsi="Times New Roman" w:eastAsia="Times New Roman" w:cs="Times New Roman"/>
              <w:spacing w:val="-5"/>
              <w:sz w:val="21"/>
              <w:szCs w:val="21"/>
            </w:rPr>
            <w:t>1.</w:t>
          </w:r>
          <w:r>
            <w:rPr>
              <w:rFonts w:ascii="Times New Roman" w:hAnsi="Times New Roman" w:eastAsia="Times New Roman" w:cs="Times New Roman"/>
              <w:spacing w:val="7"/>
              <w:sz w:val="21"/>
              <w:szCs w:val="21"/>
            </w:rPr>
            <w:t xml:space="preserve">   </w:t>
          </w:r>
          <w:r>
            <w:rPr>
              <w:spacing w:val="-5"/>
              <w:sz w:val="21"/>
              <w:szCs w:val="21"/>
            </w:rPr>
            <w:t>图纸目录</w:t>
          </w:r>
          <w:r>
            <w:rPr>
              <w:spacing w:val="-82"/>
              <w:sz w:val="21"/>
              <w:szCs w:val="21"/>
            </w:rPr>
            <w:t xml:space="preserve"> </w:t>
          </w:r>
          <w:r>
            <w:rPr>
              <w:sz w:val="21"/>
              <w:szCs w:val="21"/>
            </w:rPr>
            <w:tab/>
          </w:r>
          <w:r>
            <w:rPr>
              <w:spacing w:val="-71"/>
              <w:sz w:val="21"/>
              <w:szCs w:val="21"/>
            </w:rPr>
            <w:t xml:space="preserve"> </w:t>
          </w:r>
          <w:r>
            <w:rPr>
              <w:rFonts w:ascii="Times New Roman" w:hAnsi="Times New Roman" w:eastAsia="Times New Roman" w:cs="Times New Roman"/>
              <w:spacing w:val="-2"/>
              <w:sz w:val="21"/>
              <w:szCs w:val="21"/>
            </w:rPr>
            <w:t>308</w:t>
          </w:r>
          <w:r>
            <w:rPr>
              <w:rFonts w:ascii="Times New Roman" w:hAnsi="Times New Roman" w:eastAsia="Times New Roman" w:cs="Times New Roman"/>
              <w:spacing w:val="-2"/>
              <w:sz w:val="21"/>
              <w:szCs w:val="21"/>
            </w:rPr>
            <w:fldChar w:fldCharType="end"/>
          </w:r>
        </w:p>
        <w:p w14:paraId="14BBDAB3">
          <w:pPr>
            <w:pStyle w:val="2"/>
            <w:tabs>
              <w:tab w:val="right" w:leader="dot" w:pos="9042"/>
            </w:tabs>
            <w:spacing w:before="58" w:line="221" w:lineRule="auto"/>
            <w:ind w:left="417"/>
            <w:rPr>
              <w:rFonts w:ascii="Times New Roman" w:hAnsi="Times New Roman" w:eastAsia="Times New Roman" w:cs="Times New Roman"/>
              <w:sz w:val="21"/>
              <w:szCs w:val="21"/>
            </w:rPr>
          </w:pPr>
          <w:r>
            <w:fldChar w:fldCharType="begin"/>
          </w:r>
          <w:r>
            <w:instrText xml:space="preserve"> HYPERLINK \l "bookmark212" </w:instrText>
          </w:r>
          <w:r>
            <w:fldChar w:fldCharType="separate"/>
          </w:r>
          <w:r>
            <w:rPr>
              <w:spacing w:val="-14"/>
              <w:sz w:val="21"/>
              <w:szCs w:val="21"/>
            </w:rPr>
            <w:t>2</w:t>
          </w:r>
          <w:r>
            <w:rPr>
              <w:spacing w:val="-47"/>
              <w:sz w:val="21"/>
              <w:szCs w:val="21"/>
            </w:rPr>
            <w:t xml:space="preserve"> </w:t>
          </w:r>
          <w:r>
            <w:rPr>
              <w:spacing w:val="-14"/>
              <w:sz w:val="21"/>
              <w:szCs w:val="21"/>
            </w:rPr>
            <w:t>.</w:t>
          </w:r>
          <w:r>
            <w:rPr>
              <w:spacing w:val="-36"/>
              <w:sz w:val="21"/>
              <w:szCs w:val="21"/>
            </w:rPr>
            <w:t xml:space="preserve"> </w:t>
          </w:r>
          <w:r>
            <w:rPr>
              <w:spacing w:val="-14"/>
              <w:sz w:val="21"/>
              <w:szCs w:val="21"/>
            </w:rPr>
            <w:t>图  纸</w:t>
          </w:r>
          <w:r>
            <w:rPr>
              <w:spacing w:val="70"/>
              <w:sz w:val="21"/>
              <w:szCs w:val="21"/>
            </w:rPr>
            <w:t xml:space="preserve"> </w:t>
          </w:r>
          <w:r>
            <w:rPr>
              <w:sz w:val="21"/>
              <w:szCs w:val="21"/>
            </w:rPr>
            <w:tab/>
          </w:r>
          <w:r>
            <w:rPr>
              <w:rFonts w:ascii="Times New Roman" w:hAnsi="Times New Roman" w:eastAsia="Times New Roman" w:cs="Times New Roman"/>
              <w:spacing w:val="-1"/>
              <w:sz w:val="21"/>
              <w:szCs w:val="21"/>
            </w:rPr>
            <w:t>309</w:t>
          </w:r>
          <w:r>
            <w:rPr>
              <w:rFonts w:ascii="Times New Roman" w:hAnsi="Times New Roman" w:eastAsia="Times New Roman" w:cs="Times New Roman"/>
              <w:spacing w:val="-1"/>
              <w:sz w:val="21"/>
              <w:szCs w:val="21"/>
            </w:rPr>
            <w:fldChar w:fldCharType="end"/>
          </w:r>
        </w:p>
        <w:p w14:paraId="77E70F14">
          <w:pPr>
            <w:tabs>
              <w:tab w:val="right" w:leader="dot" w:pos="9052"/>
            </w:tabs>
            <w:spacing w:before="63" w:line="222" w:lineRule="auto"/>
            <w:rPr>
              <w:rFonts w:ascii="Times New Roman" w:hAnsi="Times New Roman" w:eastAsia="Times New Roman" w:cs="Times New Roman"/>
              <w:sz w:val="21"/>
              <w:szCs w:val="21"/>
            </w:rPr>
          </w:pPr>
          <w:r>
            <w:fldChar w:fldCharType="begin"/>
          </w:r>
          <w:r>
            <w:instrText xml:space="preserve"> HYPERLINK \l "bookmark213" </w:instrText>
          </w:r>
          <w:r>
            <w:fldChar w:fldCharType="separate"/>
          </w:r>
          <w:r>
            <w:rPr>
              <w:rFonts w:ascii="黑体" w:hAnsi="黑体" w:eastAsia="黑体" w:cs="黑体"/>
              <w:b/>
              <w:bCs/>
              <w:spacing w:val="-5"/>
              <w:sz w:val="21"/>
              <w:szCs w:val="21"/>
            </w:rPr>
            <w:t>第三卷</w:t>
          </w:r>
          <w:r>
            <w:rPr>
              <w:rFonts w:ascii="黑体" w:hAnsi="黑体" w:eastAsia="黑体" w:cs="黑体"/>
              <w:spacing w:val="-90"/>
              <w:sz w:val="21"/>
              <w:szCs w:val="21"/>
            </w:rPr>
            <w:t xml:space="preserve"> </w:t>
          </w:r>
          <w:r>
            <w:rPr>
              <w:rFonts w:ascii="黑体" w:hAnsi="黑体" w:eastAsia="黑体" w:cs="黑体"/>
              <w:sz w:val="21"/>
              <w:szCs w:val="21"/>
            </w:rPr>
            <w:tab/>
          </w:r>
          <w:r>
            <w:rPr>
              <w:rFonts w:ascii="Times New Roman" w:hAnsi="Times New Roman" w:eastAsia="Times New Roman" w:cs="Times New Roman"/>
              <w:spacing w:val="-1"/>
              <w:sz w:val="21"/>
              <w:szCs w:val="21"/>
            </w:rPr>
            <w:t>310</w:t>
          </w:r>
          <w:r>
            <w:rPr>
              <w:rFonts w:ascii="Times New Roman" w:hAnsi="Times New Roman" w:eastAsia="Times New Roman" w:cs="Times New Roman"/>
              <w:spacing w:val="-1"/>
              <w:sz w:val="21"/>
              <w:szCs w:val="21"/>
            </w:rPr>
            <w:fldChar w:fldCharType="end"/>
          </w:r>
        </w:p>
        <w:p w14:paraId="3F369032">
          <w:pPr>
            <w:tabs>
              <w:tab w:val="right" w:leader="dot" w:pos="9062"/>
            </w:tabs>
            <w:spacing w:before="58" w:line="222" w:lineRule="auto"/>
            <w:rPr>
              <w:rFonts w:ascii="Times New Roman" w:hAnsi="Times New Roman" w:eastAsia="Times New Roman" w:cs="Times New Roman"/>
              <w:sz w:val="21"/>
              <w:szCs w:val="21"/>
            </w:rPr>
          </w:pPr>
          <w:r>
            <w:fldChar w:fldCharType="begin"/>
          </w:r>
          <w:r>
            <w:instrText xml:space="preserve"> HYPERLINK \l "bookmark214" </w:instrText>
          </w:r>
          <w:r>
            <w:fldChar w:fldCharType="separate"/>
          </w:r>
          <w:r>
            <w:rPr>
              <w:rFonts w:ascii="黑体" w:hAnsi="黑体" w:eastAsia="黑体" w:cs="黑体"/>
              <w:b/>
              <w:bCs/>
              <w:spacing w:val="6"/>
              <w:sz w:val="21"/>
              <w:szCs w:val="21"/>
            </w:rPr>
            <w:t>第七章</w:t>
          </w:r>
          <w:r>
            <w:rPr>
              <w:rFonts w:ascii="黑体" w:hAnsi="黑体" w:eastAsia="黑体" w:cs="黑体"/>
              <w:spacing w:val="6"/>
              <w:sz w:val="21"/>
              <w:szCs w:val="21"/>
            </w:rPr>
            <w:t xml:space="preserve"> </w:t>
          </w:r>
          <w:r>
            <w:rPr>
              <w:rFonts w:ascii="黑体" w:hAnsi="黑体" w:eastAsia="黑体" w:cs="黑体"/>
              <w:b/>
              <w:bCs/>
              <w:spacing w:val="6"/>
              <w:sz w:val="21"/>
              <w:szCs w:val="21"/>
            </w:rPr>
            <w:t>技术标准和要求</w:t>
          </w:r>
          <w:r>
            <w:rPr>
              <w:rFonts w:ascii="黑体" w:hAnsi="黑体" w:eastAsia="黑体" w:cs="黑体"/>
              <w:spacing w:val="-82"/>
              <w:sz w:val="21"/>
              <w:szCs w:val="21"/>
            </w:rPr>
            <w:t xml:space="preserve"> </w:t>
          </w:r>
          <w:r>
            <w:rPr>
              <w:rFonts w:ascii="黑体" w:hAnsi="黑体" w:eastAsia="黑体" w:cs="黑体"/>
              <w:sz w:val="21"/>
              <w:szCs w:val="21"/>
            </w:rPr>
            <w:tab/>
          </w:r>
          <w:r>
            <w:rPr>
              <w:rFonts w:ascii="Times New Roman" w:hAnsi="Times New Roman" w:eastAsia="Times New Roman" w:cs="Times New Roman"/>
              <w:spacing w:val="-1"/>
              <w:sz w:val="21"/>
              <w:szCs w:val="21"/>
            </w:rPr>
            <w:t>311</w:t>
          </w:r>
          <w:r>
            <w:rPr>
              <w:rFonts w:ascii="Times New Roman" w:hAnsi="Times New Roman" w:eastAsia="Times New Roman" w:cs="Times New Roman"/>
              <w:spacing w:val="-1"/>
              <w:sz w:val="21"/>
              <w:szCs w:val="21"/>
            </w:rPr>
            <w:fldChar w:fldCharType="end"/>
          </w:r>
        </w:p>
        <w:p w14:paraId="035EDA7E">
          <w:pPr>
            <w:tabs>
              <w:tab w:val="right" w:leader="dot" w:pos="9042"/>
            </w:tabs>
            <w:spacing w:before="57" w:line="222" w:lineRule="auto"/>
            <w:rPr>
              <w:rFonts w:ascii="Times New Roman" w:hAnsi="Times New Roman" w:eastAsia="Times New Roman" w:cs="Times New Roman"/>
              <w:sz w:val="21"/>
              <w:szCs w:val="21"/>
            </w:rPr>
          </w:pPr>
          <w:r>
            <w:fldChar w:fldCharType="begin"/>
          </w:r>
          <w:r>
            <w:instrText xml:space="preserve"> HYPERLINK \l "bookmark215" </w:instrText>
          </w:r>
          <w:r>
            <w:fldChar w:fldCharType="separate"/>
          </w:r>
          <w:r>
            <w:rPr>
              <w:rFonts w:ascii="黑体" w:hAnsi="黑体" w:eastAsia="黑体" w:cs="黑体"/>
              <w:b/>
              <w:bCs/>
              <w:spacing w:val="-5"/>
              <w:sz w:val="21"/>
              <w:szCs w:val="21"/>
            </w:rPr>
            <w:t>第四卷</w:t>
          </w:r>
          <w:r>
            <w:rPr>
              <w:rFonts w:ascii="黑体" w:hAnsi="黑体" w:eastAsia="黑体" w:cs="黑体"/>
              <w:spacing w:val="-80"/>
              <w:sz w:val="21"/>
              <w:szCs w:val="21"/>
            </w:rPr>
            <w:t xml:space="preserve"> </w:t>
          </w:r>
          <w:r>
            <w:rPr>
              <w:rFonts w:ascii="黑体" w:hAnsi="黑体" w:eastAsia="黑体" w:cs="黑体"/>
              <w:sz w:val="21"/>
              <w:szCs w:val="21"/>
            </w:rPr>
            <w:tab/>
          </w:r>
          <w:r>
            <w:rPr>
              <w:rFonts w:ascii="Times New Roman" w:hAnsi="Times New Roman" w:eastAsia="Times New Roman" w:cs="Times New Roman"/>
              <w:spacing w:val="-1"/>
              <w:sz w:val="21"/>
              <w:szCs w:val="21"/>
            </w:rPr>
            <w:t>338</w:t>
          </w:r>
          <w:r>
            <w:rPr>
              <w:rFonts w:ascii="Times New Roman" w:hAnsi="Times New Roman" w:eastAsia="Times New Roman" w:cs="Times New Roman"/>
              <w:spacing w:val="-1"/>
              <w:sz w:val="21"/>
              <w:szCs w:val="21"/>
            </w:rPr>
            <w:fldChar w:fldCharType="end"/>
          </w:r>
        </w:p>
        <w:p w14:paraId="5408FBE3">
          <w:pPr>
            <w:tabs>
              <w:tab w:val="right" w:leader="dot" w:pos="9042"/>
            </w:tabs>
            <w:spacing w:before="48" w:line="222" w:lineRule="auto"/>
            <w:rPr>
              <w:rFonts w:ascii="Times New Roman" w:hAnsi="Times New Roman" w:eastAsia="Times New Roman" w:cs="Times New Roman"/>
              <w:sz w:val="21"/>
              <w:szCs w:val="21"/>
            </w:rPr>
          </w:pPr>
          <w:r>
            <w:fldChar w:fldCharType="begin"/>
          </w:r>
          <w:r>
            <w:instrText xml:space="preserve"> HYPERLINK \l "bookmark216" </w:instrText>
          </w:r>
          <w:r>
            <w:fldChar w:fldCharType="separate"/>
          </w:r>
          <w:r>
            <w:rPr>
              <w:rFonts w:ascii="黑体" w:hAnsi="黑体" w:eastAsia="黑体" w:cs="黑体"/>
              <w:b/>
              <w:bCs/>
              <w:spacing w:val="1"/>
              <w:sz w:val="21"/>
              <w:szCs w:val="21"/>
            </w:rPr>
            <w:t>第八章</w:t>
          </w:r>
          <w:r>
            <w:rPr>
              <w:rFonts w:ascii="黑体" w:hAnsi="黑体" w:eastAsia="黑体" w:cs="黑体"/>
              <w:spacing w:val="1"/>
              <w:sz w:val="21"/>
              <w:szCs w:val="21"/>
            </w:rPr>
            <w:t xml:space="preserve"> </w:t>
          </w:r>
          <w:r>
            <w:rPr>
              <w:rFonts w:ascii="黑体" w:hAnsi="黑体" w:eastAsia="黑体" w:cs="黑体"/>
              <w:b/>
              <w:bCs/>
              <w:spacing w:val="1"/>
              <w:sz w:val="21"/>
              <w:szCs w:val="21"/>
            </w:rPr>
            <w:t>投标文件格式</w:t>
          </w:r>
          <w:r>
            <w:rPr>
              <w:rFonts w:ascii="黑体" w:hAnsi="黑体" w:eastAsia="黑体" w:cs="黑体"/>
              <w:spacing w:val="46"/>
              <w:sz w:val="21"/>
              <w:szCs w:val="21"/>
            </w:rPr>
            <w:t xml:space="preserve"> </w:t>
          </w:r>
          <w:r>
            <w:rPr>
              <w:rFonts w:ascii="黑体" w:hAnsi="黑体" w:eastAsia="黑体" w:cs="黑体"/>
              <w:sz w:val="21"/>
              <w:szCs w:val="21"/>
            </w:rPr>
            <w:tab/>
          </w:r>
          <w:r>
            <w:rPr>
              <w:rFonts w:ascii="黑体" w:hAnsi="黑体" w:eastAsia="黑体" w:cs="黑体"/>
              <w:spacing w:val="-31"/>
              <w:sz w:val="21"/>
              <w:szCs w:val="21"/>
            </w:rPr>
            <w:t xml:space="preserve"> </w:t>
          </w:r>
          <w:r>
            <w:rPr>
              <w:rFonts w:ascii="Times New Roman" w:hAnsi="Times New Roman" w:eastAsia="Times New Roman" w:cs="Times New Roman"/>
              <w:spacing w:val="-2"/>
              <w:sz w:val="21"/>
              <w:szCs w:val="21"/>
            </w:rPr>
            <w:t>339</w:t>
          </w:r>
          <w:r>
            <w:rPr>
              <w:rFonts w:ascii="Times New Roman" w:hAnsi="Times New Roman" w:eastAsia="Times New Roman" w:cs="Times New Roman"/>
              <w:spacing w:val="-2"/>
              <w:sz w:val="21"/>
              <w:szCs w:val="21"/>
            </w:rPr>
            <w:fldChar w:fldCharType="end"/>
          </w:r>
        </w:p>
      </w:sdtContent>
    </w:sdt>
    <w:p w14:paraId="649268F1">
      <w:pPr>
        <w:spacing w:line="222" w:lineRule="auto"/>
        <w:rPr>
          <w:rFonts w:ascii="Times New Roman" w:hAnsi="Times New Roman" w:eastAsia="Times New Roman" w:cs="Times New Roman"/>
          <w:sz w:val="21"/>
          <w:szCs w:val="21"/>
        </w:rPr>
        <w:sectPr>
          <w:footerReference r:id="rId10" w:type="default"/>
          <w:pgSz w:w="11910" w:h="16840"/>
          <w:pgMar w:top="1431" w:right="1059" w:bottom="1204" w:left="1782" w:header="0" w:footer="1017" w:gutter="0"/>
          <w:cols w:space="720" w:num="1"/>
        </w:sectPr>
      </w:pPr>
    </w:p>
    <w:p w14:paraId="02A13CE3">
      <w:pPr>
        <w:spacing w:before="288" w:line="222" w:lineRule="auto"/>
        <w:ind w:left="3410"/>
        <w:outlineLvl w:val="0"/>
        <w:rPr>
          <w:rFonts w:ascii="黑体" w:hAnsi="黑体" w:eastAsia="黑体" w:cs="黑体"/>
          <w:sz w:val="47"/>
          <w:szCs w:val="47"/>
        </w:rPr>
      </w:pPr>
      <w:bookmarkStart w:id="0" w:name="bookmark1"/>
      <w:bookmarkEnd w:id="0"/>
      <w:bookmarkStart w:id="1" w:name="bookmark217"/>
      <w:bookmarkEnd w:id="1"/>
      <w:r>
        <w:rPr>
          <w:rFonts w:ascii="黑体" w:hAnsi="黑体" w:eastAsia="黑体" w:cs="黑体"/>
          <w:b/>
          <w:bCs/>
          <w:spacing w:val="-1"/>
          <w:sz w:val="47"/>
          <w:szCs w:val="47"/>
        </w:rPr>
        <w:t>第一卷</w:t>
      </w:r>
    </w:p>
    <w:p w14:paraId="2B1D57A9">
      <w:pPr>
        <w:spacing w:line="222" w:lineRule="auto"/>
        <w:rPr>
          <w:rFonts w:ascii="黑体" w:hAnsi="黑体" w:eastAsia="黑体" w:cs="黑体"/>
          <w:sz w:val="47"/>
          <w:szCs w:val="47"/>
        </w:rPr>
        <w:sectPr>
          <w:footerReference r:id="rId11" w:type="default"/>
          <w:pgSz w:w="11910" w:h="16840"/>
          <w:pgMar w:top="1431" w:right="1786" w:bottom="999" w:left="1786" w:header="0" w:footer="857" w:gutter="0"/>
          <w:cols w:space="720" w:num="1"/>
        </w:sectPr>
      </w:pPr>
    </w:p>
    <w:p w14:paraId="7B207322">
      <w:pPr>
        <w:spacing w:line="291" w:lineRule="auto"/>
        <w:rPr>
          <w:rFonts w:ascii="Arial"/>
          <w:sz w:val="21"/>
        </w:rPr>
      </w:pPr>
    </w:p>
    <w:p w14:paraId="1D99D951">
      <w:pPr>
        <w:spacing w:line="291" w:lineRule="auto"/>
        <w:rPr>
          <w:rFonts w:ascii="Arial"/>
          <w:sz w:val="21"/>
        </w:rPr>
      </w:pPr>
    </w:p>
    <w:p w14:paraId="7AC94B50">
      <w:pPr>
        <w:pStyle w:val="2"/>
        <w:spacing w:before="101" w:line="219" w:lineRule="auto"/>
        <w:ind w:left="494"/>
        <w:jc w:val="center"/>
        <w:rPr>
          <w:rFonts w:hint="eastAsia" w:eastAsia="宋体"/>
          <w:sz w:val="31"/>
          <w:szCs w:val="31"/>
          <w:lang w:eastAsia="zh-CN"/>
        </w:rPr>
      </w:pPr>
      <w:r>
        <w:rPr>
          <w:rFonts w:hint="eastAsia"/>
          <w:b/>
          <w:bCs/>
          <w:spacing w:val="12"/>
          <w:sz w:val="31"/>
          <w:szCs w:val="31"/>
          <w:lang w:eastAsia="zh-CN"/>
        </w:rPr>
        <w:t>罗田县落梅河片区供水提升工程项目</w:t>
      </w:r>
    </w:p>
    <w:p w14:paraId="39A34E6B">
      <w:pPr>
        <w:pStyle w:val="2"/>
        <w:spacing w:before="105" w:line="212" w:lineRule="auto"/>
        <w:ind w:left="1839"/>
        <w:rPr>
          <w:sz w:val="31"/>
          <w:szCs w:val="31"/>
        </w:rPr>
      </w:pPr>
      <w:r>
        <w:rPr>
          <w:rFonts w:ascii="Times New Roman" w:hAnsi="Times New Roman" w:eastAsia="Times New Roman" w:cs="Times New Roman"/>
          <w:b/>
          <w:bCs/>
          <w:spacing w:val="1"/>
          <w:sz w:val="31"/>
          <w:szCs w:val="31"/>
        </w:rPr>
        <w:t>(</w:t>
      </w:r>
      <w:r>
        <w:rPr>
          <w:rFonts w:hint="eastAsia" w:ascii="Times New Roman" w:hAnsi="Times New Roman" w:cs="Times New Roman"/>
          <w:b/>
          <w:bCs/>
          <w:sz w:val="31"/>
          <w:szCs w:val="31"/>
          <w:lang w:eastAsia="zh-CN"/>
        </w:rPr>
        <w:t>HBLT-202606SL-004001001</w:t>
      </w:r>
      <w:r>
        <w:rPr>
          <w:rFonts w:ascii="Times New Roman" w:hAnsi="Times New Roman" w:eastAsia="Times New Roman" w:cs="Times New Roman"/>
          <w:b/>
          <w:bCs/>
          <w:spacing w:val="1"/>
          <w:sz w:val="31"/>
          <w:szCs w:val="31"/>
        </w:rPr>
        <w:t>)</w:t>
      </w:r>
      <w:r>
        <w:rPr>
          <w:b/>
          <w:bCs/>
          <w:spacing w:val="1"/>
          <w:sz w:val="31"/>
          <w:szCs w:val="31"/>
        </w:rPr>
        <w:t>招标公告</w:t>
      </w:r>
    </w:p>
    <w:p w14:paraId="183773CE">
      <w:pPr>
        <w:pStyle w:val="2"/>
        <w:spacing w:before="170" w:line="219" w:lineRule="auto"/>
        <w:ind w:left="1814"/>
        <w:rPr>
          <w:rFonts w:hint="eastAsia" w:ascii="Times New Roman" w:hAnsi="Times New Roman" w:eastAsia="宋体" w:cs="Times New Roman"/>
          <w:sz w:val="31"/>
          <w:szCs w:val="31"/>
          <w:lang w:eastAsia="zh-CN"/>
        </w:rPr>
      </w:pPr>
      <w:r>
        <w:rPr>
          <w:b/>
          <w:bCs/>
          <w:spacing w:val="-2"/>
          <w:sz w:val="31"/>
          <w:szCs w:val="31"/>
        </w:rPr>
        <w:t>招标编号：</w:t>
      </w:r>
      <w:r>
        <w:rPr>
          <w:rFonts w:hint="eastAsia" w:ascii="Times New Roman" w:hAnsi="Times New Roman" w:cs="Times New Roman"/>
          <w:b/>
          <w:bCs/>
          <w:spacing w:val="-2"/>
          <w:sz w:val="31"/>
          <w:szCs w:val="31"/>
          <w:lang w:eastAsia="zh-CN"/>
        </w:rPr>
        <w:t>HBLT-202606SL-004001001</w:t>
      </w:r>
    </w:p>
    <w:p w14:paraId="11E5B36C">
      <w:pPr>
        <w:pStyle w:val="2"/>
        <w:spacing w:before="176" w:line="219" w:lineRule="auto"/>
        <w:rPr>
          <w:sz w:val="31"/>
          <w:szCs w:val="31"/>
        </w:rPr>
      </w:pPr>
      <w:r>
        <w:rPr>
          <w:spacing w:val="5"/>
          <w:sz w:val="31"/>
          <w:szCs w:val="31"/>
        </w:rPr>
        <w:t>1.招标条件</w:t>
      </w:r>
    </w:p>
    <w:p w14:paraId="375A14B2">
      <w:pPr>
        <w:pStyle w:val="2"/>
        <w:spacing w:before="151" w:line="280" w:lineRule="auto"/>
        <w:ind w:right="324" w:firstLine="1279"/>
        <w:rPr>
          <w:sz w:val="31"/>
          <w:szCs w:val="31"/>
        </w:rPr>
      </w:pPr>
      <w:r>
        <w:rPr>
          <w:spacing w:val="7"/>
          <w:sz w:val="31"/>
          <w:szCs w:val="31"/>
        </w:rPr>
        <w:t>本招标项目</w:t>
      </w:r>
      <w:r>
        <w:rPr>
          <w:rFonts w:hint="eastAsia"/>
          <w:spacing w:val="7"/>
          <w:sz w:val="31"/>
          <w:szCs w:val="31"/>
          <w:lang w:eastAsia="zh-CN"/>
        </w:rPr>
        <w:t>罗田县落梅河片区供水提升工程项目</w:t>
      </w:r>
      <w:r>
        <w:rPr>
          <w:spacing w:val="19"/>
          <w:sz w:val="31"/>
          <w:szCs w:val="31"/>
        </w:rPr>
        <w:t>已由罗田县发展和改革局</w:t>
      </w:r>
      <w:r>
        <w:rPr>
          <w:rFonts w:hint="eastAsia"/>
          <w:spacing w:val="19"/>
          <w:sz w:val="31"/>
          <w:szCs w:val="31"/>
          <w:lang w:val="en-US" w:eastAsia="zh-CN"/>
        </w:rPr>
        <w:t>备案</w:t>
      </w:r>
      <w:r>
        <w:rPr>
          <w:spacing w:val="7"/>
          <w:sz w:val="31"/>
          <w:szCs w:val="31"/>
        </w:rPr>
        <w:t>批准建设，项目业主为</w:t>
      </w:r>
      <w:r>
        <w:rPr>
          <w:rFonts w:hint="eastAsia"/>
          <w:spacing w:val="7"/>
          <w:sz w:val="31"/>
          <w:szCs w:val="31"/>
          <w:lang w:eastAsia="zh-CN"/>
        </w:rPr>
        <w:t>罗田县清源水务有限公司</w:t>
      </w:r>
      <w:r>
        <w:rPr>
          <w:sz w:val="31"/>
          <w:szCs w:val="31"/>
        </w:rPr>
        <w:t>，建设资金来自</w:t>
      </w:r>
      <w:r>
        <w:rPr>
          <w:rFonts w:hint="eastAsia"/>
          <w:sz w:val="31"/>
          <w:szCs w:val="31"/>
          <w:lang w:val="en-US" w:eastAsia="zh-CN"/>
        </w:rPr>
        <w:t>自筹资金</w:t>
      </w:r>
      <w:r>
        <w:rPr>
          <w:sz w:val="31"/>
          <w:szCs w:val="31"/>
        </w:rPr>
        <w:t>。项目出资比例为</w:t>
      </w:r>
      <w:r>
        <w:rPr>
          <w:spacing w:val="17"/>
          <w:sz w:val="31"/>
          <w:szCs w:val="31"/>
        </w:rPr>
        <w:t>:100.0%;招标人为</w:t>
      </w:r>
      <w:r>
        <w:rPr>
          <w:rFonts w:hint="eastAsia"/>
          <w:spacing w:val="17"/>
          <w:sz w:val="31"/>
          <w:szCs w:val="31"/>
          <w:lang w:eastAsia="zh-CN"/>
        </w:rPr>
        <w:t>罗田县清源水务有限公司</w:t>
      </w:r>
      <w:r>
        <w:rPr>
          <w:spacing w:val="16"/>
          <w:sz w:val="31"/>
          <w:szCs w:val="31"/>
        </w:rPr>
        <w:t>，招标代</w:t>
      </w:r>
      <w:r>
        <w:rPr>
          <w:spacing w:val="7"/>
          <w:sz w:val="31"/>
          <w:szCs w:val="31"/>
        </w:rPr>
        <w:t>理机构为罗田县正源项目管理有限公司。项目已具备招标</w:t>
      </w:r>
      <w:r>
        <w:rPr>
          <w:spacing w:val="6"/>
          <w:sz w:val="31"/>
          <w:szCs w:val="31"/>
        </w:rPr>
        <w:t>条件，</w:t>
      </w:r>
      <w:r>
        <w:rPr>
          <w:spacing w:val="1"/>
          <w:sz w:val="31"/>
          <w:szCs w:val="31"/>
        </w:rPr>
        <w:t>现对该项目进行公开招标。</w:t>
      </w:r>
    </w:p>
    <w:p w14:paraId="5322A11C">
      <w:pPr>
        <w:pStyle w:val="2"/>
        <w:spacing w:before="190" w:line="219" w:lineRule="auto"/>
        <w:rPr>
          <w:sz w:val="31"/>
          <w:szCs w:val="31"/>
        </w:rPr>
      </w:pPr>
      <w:r>
        <w:rPr>
          <w:spacing w:val="6"/>
          <w:sz w:val="31"/>
          <w:szCs w:val="31"/>
        </w:rPr>
        <w:t>2.项目概况与招标范围</w:t>
      </w:r>
    </w:p>
    <w:p w14:paraId="78587A66">
      <w:pPr>
        <w:pStyle w:val="2"/>
        <w:spacing w:before="152" w:line="219" w:lineRule="auto"/>
        <w:rPr>
          <w:sz w:val="31"/>
          <w:szCs w:val="31"/>
        </w:rPr>
      </w:pPr>
      <w:r>
        <w:rPr>
          <w:spacing w:val="15"/>
          <w:sz w:val="31"/>
          <w:szCs w:val="31"/>
        </w:rPr>
        <w:t>2.1项目概况</w:t>
      </w:r>
    </w:p>
    <w:p w14:paraId="2999BC0C">
      <w:pPr>
        <w:pStyle w:val="2"/>
        <w:spacing w:before="164" w:line="221" w:lineRule="auto"/>
        <w:rPr>
          <w:rFonts w:hint="default" w:eastAsia="宋体"/>
          <w:sz w:val="31"/>
          <w:szCs w:val="31"/>
          <w:lang w:val="en-US" w:eastAsia="zh-CN"/>
        </w:rPr>
      </w:pPr>
      <w:r>
        <w:rPr>
          <w:sz w:val="31"/>
          <w:szCs w:val="31"/>
        </w:rPr>
        <w:t>建设地点：</w:t>
      </w:r>
      <w:r>
        <w:rPr>
          <w:rFonts w:hint="eastAsia"/>
          <w:sz w:val="31"/>
          <w:szCs w:val="31"/>
          <w:lang w:val="en-US" w:eastAsia="zh-CN"/>
        </w:rPr>
        <w:t>罗田县胜利镇</w:t>
      </w:r>
    </w:p>
    <w:p w14:paraId="46984F32">
      <w:pPr>
        <w:pStyle w:val="2"/>
        <w:spacing w:before="97" w:line="219" w:lineRule="auto"/>
        <w:rPr>
          <w:rFonts w:hint="default"/>
          <w:sz w:val="31"/>
          <w:szCs w:val="31"/>
          <w:lang w:val="en-US"/>
        </w:rPr>
      </w:pPr>
      <w:r>
        <w:rPr>
          <w:spacing w:val="15"/>
          <w:sz w:val="31"/>
          <w:szCs w:val="31"/>
        </w:rPr>
        <w:t>建设规模：总投资</w:t>
      </w:r>
      <w:r>
        <w:rPr>
          <w:rFonts w:hint="eastAsia"/>
          <w:spacing w:val="15"/>
          <w:sz w:val="31"/>
          <w:szCs w:val="31"/>
          <w:lang w:val="en-US" w:eastAsia="zh-CN"/>
        </w:rPr>
        <w:t>529.69万元</w:t>
      </w:r>
    </w:p>
    <w:p w14:paraId="2637337D">
      <w:pPr>
        <w:pStyle w:val="2"/>
        <w:spacing w:before="113" w:line="220" w:lineRule="auto"/>
        <w:rPr>
          <w:sz w:val="31"/>
          <w:szCs w:val="31"/>
        </w:rPr>
      </w:pPr>
      <w:r>
        <w:rPr>
          <w:spacing w:val="6"/>
          <w:sz w:val="31"/>
          <w:szCs w:val="31"/>
        </w:rPr>
        <w:t>其他：/</w:t>
      </w:r>
    </w:p>
    <w:p w14:paraId="5FDD21EF">
      <w:pPr>
        <w:pStyle w:val="2"/>
        <w:spacing w:before="161" w:line="220" w:lineRule="auto"/>
        <w:rPr>
          <w:sz w:val="31"/>
          <w:szCs w:val="31"/>
        </w:rPr>
      </w:pPr>
      <w:r>
        <w:rPr>
          <w:spacing w:val="17"/>
          <w:sz w:val="31"/>
          <w:szCs w:val="31"/>
        </w:rPr>
        <w:t>2.2招标范围</w:t>
      </w:r>
    </w:p>
    <w:p w14:paraId="4FF2B2BC">
      <w:pPr>
        <w:pStyle w:val="2"/>
        <w:spacing w:before="1" w:line="218" w:lineRule="auto"/>
        <w:rPr>
          <w:rFonts w:hint="eastAsia"/>
          <w:spacing w:val="7"/>
          <w:sz w:val="31"/>
          <w:szCs w:val="31"/>
          <w:lang w:val="en-US" w:eastAsia="zh-CN"/>
        </w:rPr>
      </w:pPr>
      <w:r>
        <w:rPr>
          <w:spacing w:val="7"/>
          <w:sz w:val="31"/>
          <w:szCs w:val="31"/>
        </w:rPr>
        <w:t>招标范围：</w:t>
      </w:r>
      <w:r>
        <w:rPr>
          <w:rFonts w:hint="eastAsia"/>
          <w:spacing w:val="7"/>
          <w:sz w:val="31"/>
          <w:szCs w:val="31"/>
          <w:lang w:val="en-US" w:eastAsia="zh-CN"/>
        </w:rPr>
        <w:t>本项目为罗田县落梅河片区供水提升工程项目。主要建设内容为：取水工程、输水工程、净水工程、配水工程、厂区基础设施工程、供电系统工程等（详见清单及图纸）。</w:t>
      </w:r>
    </w:p>
    <w:p w14:paraId="6B80F539">
      <w:pPr>
        <w:pStyle w:val="2"/>
        <w:spacing w:before="1" w:line="218" w:lineRule="auto"/>
        <w:rPr>
          <w:sz w:val="31"/>
          <w:szCs w:val="31"/>
        </w:rPr>
      </w:pPr>
      <w:r>
        <w:rPr>
          <w:spacing w:val="5"/>
          <w:sz w:val="31"/>
          <w:szCs w:val="31"/>
        </w:rPr>
        <w:t>标段划分：本项目划分为一个标段</w:t>
      </w:r>
    </w:p>
    <w:p w14:paraId="0E9110F3">
      <w:pPr>
        <w:pStyle w:val="2"/>
        <w:spacing w:before="115" w:line="220" w:lineRule="auto"/>
        <w:rPr>
          <w:rFonts w:hint="default" w:eastAsia="宋体"/>
          <w:sz w:val="31"/>
          <w:szCs w:val="31"/>
          <w:lang w:val="en-US" w:eastAsia="zh-CN"/>
        </w:rPr>
      </w:pPr>
      <w:r>
        <w:rPr>
          <w:spacing w:val="12"/>
          <w:sz w:val="31"/>
          <w:szCs w:val="31"/>
        </w:rPr>
        <w:t>计划工期</w:t>
      </w:r>
      <w:r>
        <w:rPr>
          <w:rFonts w:hint="eastAsia"/>
          <w:spacing w:val="12"/>
          <w:sz w:val="31"/>
          <w:szCs w:val="31"/>
          <w:lang w:eastAsia="zh-CN"/>
        </w:rPr>
        <w:t>：</w:t>
      </w:r>
      <w:r>
        <w:rPr>
          <w:rFonts w:hint="eastAsia"/>
          <w:spacing w:val="12"/>
          <w:sz w:val="31"/>
          <w:szCs w:val="31"/>
          <w:lang w:val="en-US" w:eastAsia="zh-CN"/>
        </w:rPr>
        <w:t>365</w:t>
      </w:r>
      <w:r>
        <w:rPr>
          <w:spacing w:val="12"/>
          <w:sz w:val="31"/>
          <w:szCs w:val="31"/>
        </w:rPr>
        <w:t>日历天，计划开工日期202</w:t>
      </w:r>
      <w:r>
        <w:rPr>
          <w:rFonts w:hint="eastAsia"/>
          <w:spacing w:val="12"/>
          <w:sz w:val="31"/>
          <w:szCs w:val="31"/>
          <w:lang w:val="en-US" w:eastAsia="zh-CN"/>
        </w:rPr>
        <w:t>6</w:t>
      </w:r>
      <w:r>
        <w:rPr>
          <w:spacing w:val="12"/>
          <w:sz w:val="31"/>
          <w:szCs w:val="31"/>
        </w:rPr>
        <w:t>-</w:t>
      </w:r>
      <w:r>
        <w:rPr>
          <w:rFonts w:hint="eastAsia"/>
          <w:spacing w:val="12"/>
          <w:sz w:val="31"/>
          <w:szCs w:val="31"/>
          <w:lang w:val="en-US" w:eastAsia="zh-CN"/>
        </w:rPr>
        <w:t>8</w:t>
      </w:r>
      <w:r>
        <w:rPr>
          <w:spacing w:val="12"/>
          <w:sz w:val="31"/>
          <w:szCs w:val="31"/>
        </w:rPr>
        <w:t>-</w:t>
      </w:r>
      <w:r>
        <w:rPr>
          <w:rFonts w:hint="eastAsia"/>
          <w:spacing w:val="12"/>
          <w:sz w:val="31"/>
          <w:szCs w:val="31"/>
          <w:lang w:val="en-US" w:eastAsia="zh-CN"/>
        </w:rPr>
        <w:t>1</w:t>
      </w:r>
    </w:p>
    <w:p w14:paraId="1E867DF5">
      <w:pPr>
        <w:pStyle w:val="2"/>
        <w:spacing w:before="107" w:line="218" w:lineRule="auto"/>
        <w:rPr>
          <w:rFonts w:hint="default"/>
          <w:sz w:val="31"/>
          <w:szCs w:val="31"/>
          <w:lang w:val="en-US"/>
        </w:rPr>
      </w:pPr>
      <w:r>
        <w:rPr>
          <w:spacing w:val="11"/>
          <w:sz w:val="31"/>
          <w:szCs w:val="31"/>
        </w:rPr>
        <w:t>合同估算价：</w:t>
      </w:r>
      <w:r>
        <w:rPr>
          <w:rFonts w:hint="eastAsia"/>
          <w:spacing w:val="15"/>
          <w:sz w:val="31"/>
          <w:szCs w:val="31"/>
          <w:lang w:val="en-US" w:eastAsia="zh-CN"/>
        </w:rPr>
        <w:t>529.69万元</w:t>
      </w:r>
    </w:p>
    <w:p w14:paraId="1F8DB01C">
      <w:pPr>
        <w:pStyle w:val="2"/>
        <w:spacing w:before="168" w:line="220" w:lineRule="auto"/>
        <w:ind w:left="649"/>
        <w:rPr>
          <w:sz w:val="31"/>
          <w:szCs w:val="31"/>
        </w:rPr>
      </w:pPr>
      <w:r>
        <w:rPr>
          <w:spacing w:val="18"/>
          <w:sz w:val="31"/>
          <w:szCs w:val="31"/>
        </w:rPr>
        <w:t>2.3其他：/</w:t>
      </w:r>
    </w:p>
    <w:p w14:paraId="56AEC981">
      <w:pPr>
        <w:pStyle w:val="2"/>
        <w:spacing w:before="149" w:line="219" w:lineRule="auto"/>
        <w:rPr>
          <w:sz w:val="31"/>
          <w:szCs w:val="31"/>
        </w:rPr>
      </w:pPr>
      <w:r>
        <w:rPr>
          <w:spacing w:val="4"/>
          <w:sz w:val="31"/>
          <w:szCs w:val="31"/>
        </w:rPr>
        <w:t>3.投标人资格要求</w:t>
      </w:r>
    </w:p>
    <w:p w14:paraId="5B8F8906">
      <w:pPr>
        <w:spacing w:line="292" w:lineRule="auto"/>
        <w:rPr>
          <w:rFonts w:ascii="Arial"/>
          <w:sz w:val="21"/>
        </w:rPr>
      </w:pPr>
      <w:r>
        <w:rPr>
          <w:spacing w:val="9"/>
          <w:sz w:val="31"/>
          <w:szCs w:val="31"/>
        </w:rPr>
        <w:t>3.1本标段招标要求投标人须具备：</w:t>
      </w:r>
      <w:r>
        <w:rPr>
          <w:rFonts w:hint="eastAsia"/>
          <w:spacing w:val="9"/>
          <w:sz w:val="31"/>
          <w:szCs w:val="31"/>
          <w:lang w:val="en-US" w:eastAsia="zh-CN"/>
        </w:rPr>
        <w:tab/>
      </w:r>
      <w:r>
        <w:rPr>
          <w:spacing w:val="9"/>
          <w:sz w:val="31"/>
          <w:szCs w:val="31"/>
        </w:rPr>
        <w:t>1.投标人必须具有工商行政</w:t>
      </w:r>
      <w:r>
        <w:rPr>
          <w:spacing w:val="7"/>
          <w:sz w:val="31"/>
          <w:szCs w:val="31"/>
        </w:rPr>
        <w:t>主管部门核发的有效营业执照；2.投标人必须具有建设行政主管</w:t>
      </w:r>
    </w:p>
    <w:p w14:paraId="39A5C12A">
      <w:pPr>
        <w:pStyle w:val="2"/>
        <w:spacing w:before="101" w:line="219" w:lineRule="auto"/>
        <w:ind w:left="4"/>
        <w:rPr>
          <w:sz w:val="31"/>
          <w:szCs w:val="31"/>
        </w:rPr>
      </w:pPr>
      <w:r>
        <w:rPr>
          <w:b/>
          <w:bCs/>
          <w:spacing w:val="3"/>
          <w:sz w:val="31"/>
          <w:szCs w:val="31"/>
        </w:rPr>
        <w:t>部门核发的有效安全生产许可证；3.本次招标要求投标人须具备</w:t>
      </w:r>
    </w:p>
    <w:p w14:paraId="218B47FF">
      <w:pPr>
        <w:pStyle w:val="2"/>
        <w:spacing w:before="99" w:line="280" w:lineRule="auto"/>
        <w:ind w:right="26"/>
        <w:rPr>
          <w:rFonts w:hint="eastAsia" w:eastAsia="宋体"/>
          <w:sz w:val="31"/>
          <w:szCs w:val="31"/>
          <w:lang w:val="en-US" w:eastAsia="zh-CN"/>
        </w:rPr>
      </w:pPr>
      <w:r>
        <w:rPr>
          <w:rFonts w:hint="eastAsia"/>
          <w:spacing w:val="6"/>
          <w:sz w:val="31"/>
          <w:szCs w:val="31"/>
          <w:lang w:val="en-US" w:eastAsia="zh-CN"/>
        </w:rPr>
        <w:t>市政公用工程施工总承包三级及以上资质或水利水电施工总承包三级及以上资质</w:t>
      </w:r>
      <w:r>
        <w:rPr>
          <w:spacing w:val="7"/>
          <w:sz w:val="31"/>
          <w:szCs w:val="31"/>
        </w:rPr>
        <w:t>，并在人员、设备、资金等方面具有相应的施工能力。4.拟派的项目经理须具有</w:t>
      </w:r>
      <w:r>
        <w:rPr>
          <w:rFonts w:hint="eastAsia"/>
          <w:spacing w:val="7"/>
          <w:sz w:val="31"/>
          <w:szCs w:val="31"/>
          <w:lang w:val="en-US" w:eastAsia="zh-CN"/>
        </w:rPr>
        <w:t>市政或水利</w:t>
      </w:r>
      <w:r>
        <w:rPr>
          <w:rFonts w:hint="eastAsia"/>
          <w:spacing w:val="7"/>
          <w:sz w:val="31"/>
          <w:szCs w:val="31"/>
          <w:lang w:eastAsia="zh-CN"/>
        </w:rPr>
        <w:t>专业二级</w:t>
      </w:r>
      <w:r>
        <w:rPr>
          <w:rFonts w:hint="eastAsia"/>
          <w:spacing w:val="7"/>
          <w:sz w:val="31"/>
          <w:szCs w:val="31"/>
          <w:lang w:val="en-US" w:eastAsia="zh-CN"/>
        </w:rPr>
        <w:t>及以上</w:t>
      </w:r>
      <w:r>
        <w:rPr>
          <w:rFonts w:hint="eastAsia"/>
          <w:spacing w:val="7"/>
          <w:sz w:val="31"/>
          <w:szCs w:val="31"/>
        </w:rPr>
        <w:t>注册建造师执业资格</w:t>
      </w:r>
      <w:r>
        <w:rPr>
          <w:spacing w:val="7"/>
          <w:sz w:val="31"/>
          <w:szCs w:val="31"/>
        </w:rPr>
        <w:t>和有效的安全生产考核合格证书</w:t>
      </w:r>
      <w:r>
        <w:rPr>
          <w:rFonts w:ascii="Times New Roman" w:hAnsi="Times New Roman" w:eastAsia="Times New Roman" w:cs="Times New Roman"/>
          <w:spacing w:val="7"/>
          <w:sz w:val="31"/>
          <w:szCs w:val="31"/>
        </w:rPr>
        <w:t>(B</w:t>
      </w:r>
      <w:r>
        <w:rPr>
          <w:spacing w:val="7"/>
          <w:sz w:val="31"/>
          <w:szCs w:val="31"/>
        </w:rPr>
        <w:t>证),且未在其它在建项目担任项目经理。5.具有独立法人资格、具有</w:t>
      </w:r>
      <w:r>
        <w:rPr>
          <w:spacing w:val="-1"/>
          <w:sz w:val="31"/>
          <w:szCs w:val="31"/>
        </w:rPr>
        <w:t>独立订立合同的能力。</w:t>
      </w:r>
    </w:p>
    <w:p w14:paraId="3C0EF43C">
      <w:pPr>
        <w:pStyle w:val="2"/>
        <w:spacing w:before="20" w:line="219" w:lineRule="auto"/>
        <w:rPr>
          <w:rFonts w:hint="eastAsia"/>
          <w:spacing w:val="6"/>
          <w:sz w:val="31"/>
          <w:szCs w:val="31"/>
          <w:lang w:val="en-US" w:eastAsia="zh-CN"/>
        </w:rPr>
      </w:pPr>
      <w:r>
        <w:rPr>
          <w:spacing w:val="7"/>
          <w:sz w:val="31"/>
          <w:szCs w:val="31"/>
        </w:rPr>
        <w:t>3.2本标段</w:t>
      </w:r>
      <w:r>
        <w:rPr>
          <w:rFonts w:hint="eastAsia"/>
          <w:spacing w:val="7"/>
          <w:sz w:val="31"/>
          <w:szCs w:val="31"/>
          <w:lang w:val="en-US" w:eastAsia="zh-CN"/>
        </w:rPr>
        <w:t>不</w:t>
      </w:r>
      <w:r>
        <w:rPr>
          <w:spacing w:val="7"/>
          <w:sz w:val="31"/>
          <w:szCs w:val="31"/>
        </w:rPr>
        <w:t>接受联合体投标。</w:t>
      </w:r>
    </w:p>
    <w:p w14:paraId="62101D03">
      <w:pPr>
        <w:pStyle w:val="2"/>
        <w:spacing w:before="101" w:line="251" w:lineRule="auto"/>
        <w:ind w:right="33"/>
        <w:rPr>
          <w:sz w:val="31"/>
          <w:szCs w:val="31"/>
        </w:rPr>
      </w:pPr>
      <w:r>
        <w:rPr>
          <w:spacing w:val="17"/>
          <w:sz w:val="31"/>
          <w:szCs w:val="31"/>
        </w:rPr>
        <w:t>3.3各投标人均可就本招标项目上述标段中的1(具体数量)个标</w:t>
      </w:r>
      <w:r>
        <w:rPr>
          <w:spacing w:val="-5"/>
          <w:sz w:val="31"/>
          <w:szCs w:val="31"/>
        </w:rPr>
        <w:t>段投标。</w:t>
      </w:r>
    </w:p>
    <w:p w14:paraId="445CBC49">
      <w:pPr>
        <w:pStyle w:val="2"/>
        <w:spacing w:before="107" w:line="219" w:lineRule="auto"/>
        <w:rPr>
          <w:sz w:val="31"/>
          <w:szCs w:val="31"/>
        </w:rPr>
      </w:pPr>
      <w:r>
        <w:rPr>
          <w:spacing w:val="7"/>
          <w:sz w:val="31"/>
          <w:szCs w:val="31"/>
        </w:rPr>
        <w:t>3.4本次招标本项目不属于政府采购工程。</w:t>
      </w:r>
    </w:p>
    <w:p w14:paraId="53B39C4F">
      <w:pPr>
        <w:pStyle w:val="2"/>
        <w:spacing w:before="112" w:line="219" w:lineRule="auto"/>
        <w:rPr>
          <w:sz w:val="31"/>
          <w:szCs w:val="31"/>
        </w:rPr>
      </w:pPr>
      <w:r>
        <w:rPr>
          <w:spacing w:val="10"/>
          <w:sz w:val="31"/>
          <w:szCs w:val="31"/>
        </w:rPr>
        <w:t>3.5本项目属性：项目整体预留专门面向中小企业采购</w:t>
      </w:r>
    </w:p>
    <w:p w14:paraId="6BBAFBE7">
      <w:pPr>
        <w:pStyle w:val="2"/>
        <w:spacing w:before="96" w:line="221" w:lineRule="auto"/>
        <w:rPr>
          <w:sz w:val="31"/>
          <w:szCs w:val="31"/>
        </w:rPr>
      </w:pPr>
      <w:r>
        <w:rPr>
          <w:spacing w:val="13"/>
          <w:sz w:val="31"/>
          <w:szCs w:val="31"/>
        </w:rPr>
        <w:t>3.6其它要求：/</w:t>
      </w:r>
    </w:p>
    <w:p w14:paraId="2116E587">
      <w:pPr>
        <w:pStyle w:val="2"/>
        <w:spacing w:before="148" w:line="219" w:lineRule="auto"/>
        <w:rPr>
          <w:sz w:val="31"/>
          <w:szCs w:val="31"/>
        </w:rPr>
      </w:pPr>
      <w:r>
        <w:rPr>
          <w:spacing w:val="3"/>
          <w:sz w:val="31"/>
          <w:szCs w:val="31"/>
        </w:rPr>
        <w:t>4.招标文件的获取</w:t>
      </w:r>
    </w:p>
    <w:p w14:paraId="39B03AE0">
      <w:pPr>
        <w:pStyle w:val="2"/>
        <w:spacing w:before="178" w:line="250" w:lineRule="auto"/>
        <w:ind w:right="79"/>
        <w:rPr>
          <w:sz w:val="31"/>
          <w:szCs w:val="31"/>
        </w:rPr>
      </w:pPr>
      <w:r>
        <w:rPr>
          <w:spacing w:val="8"/>
          <w:sz w:val="31"/>
          <w:szCs w:val="31"/>
        </w:rPr>
        <w:t>4.1</w:t>
      </w:r>
      <w:r>
        <w:rPr>
          <w:spacing w:val="69"/>
          <w:sz w:val="31"/>
          <w:szCs w:val="31"/>
        </w:rPr>
        <w:t xml:space="preserve"> </w:t>
      </w:r>
      <w:r>
        <w:rPr>
          <w:spacing w:val="8"/>
          <w:sz w:val="31"/>
          <w:szCs w:val="31"/>
        </w:rPr>
        <w:t>凡有意参加投标者(若为联合体投标，指联合体所有成员),</w:t>
      </w:r>
      <w:r>
        <w:rPr>
          <w:sz w:val="31"/>
          <w:szCs w:val="31"/>
        </w:rPr>
        <w:t xml:space="preserve"> </w:t>
      </w:r>
      <w:r>
        <w:rPr>
          <w:spacing w:val="13"/>
          <w:sz w:val="31"/>
          <w:szCs w:val="31"/>
        </w:rPr>
        <w:t>应当在湖北省电子招投标交易平台(以下简称“电子交易平</w:t>
      </w:r>
    </w:p>
    <w:p w14:paraId="0E4171FD">
      <w:pPr>
        <w:pStyle w:val="2"/>
        <w:spacing w:before="97" w:line="261" w:lineRule="auto"/>
        <w:ind w:right="27"/>
        <w:rPr>
          <w:sz w:val="31"/>
          <w:szCs w:val="31"/>
        </w:rPr>
      </w:pPr>
      <w:r>
        <w:rPr>
          <w:spacing w:val="16"/>
          <w:sz w:val="31"/>
          <w:szCs w:val="31"/>
        </w:rPr>
        <w:t xml:space="preserve">台”,下同)(网址： </w:t>
      </w:r>
      <w:r>
        <w:fldChar w:fldCharType="begin"/>
      </w:r>
      <w:r>
        <w:instrText xml:space="preserve"> HYPERLINK "https://www.hbbidcloud.cn" </w:instrText>
      </w:r>
      <w:r>
        <w:fldChar w:fldCharType="separate"/>
      </w:r>
      <w:r>
        <w:rPr>
          <w:sz w:val="31"/>
          <w:szCs w:val="31"/>
        </w:rPr>
        <w:t>www</w:t>
      </w:r>
      <w:r>
        <w:rPr>
          <w:spacing w:val="16"/>
          <w:sz w:val="31"/>
          <w:szCs w:val="31"/>
        </w:rPr>
        <w:t>.</w:t>
      </w:r>
      <w:r>
        <w:rPr>
          <w:sz w:val="31"/>
          <w:szCs w:val="31"/>
        </w:rPr>
        <w:t>hbbidcloud</w:t>
      </w:r>
      <w:r>
        <w:rPr>
          <w:spacing w:val="16"/>
          <w:sz w:val="31"/>
          <w:szCs w:val="31"/>
        </w:rPr>
        <w:t>.</w:t>
      </w:r>
      <w:r>
        <w:rPr>
          <w:sz w:val="31"/>
          <w:szCs w:val="31"/>
        </w:rPr>
        <w:t>cn</w:t>
      </w:r>
      <w:r>
        <w:rPr>
          <w:sz w:val="31"/>
          <w:szCs w:val="31"/>
        </w:rPr>
        <w:fldChar w:fldCharType="end"/>
      </w:r>
      <w:r>
        <w:rPr>
          <w:spacing w:val="16"/>
          <w:sz w:val="31"/>
          <w:szCs w:val="31"/>
        </w:rPr>
        <w:t>)  进行注册登记，并</w:t>
      </w:r>
      <w:r>
        <w:rPr>
          <w:spacing w:val="18"/>
          <w:sz w:val="31"/>
          <w:szCs w:val="31"/>
        </w:rPr>
        <w:t xml:space="preserve"> </w:t>
      </w:r>
      <w:r>
        <w:rPr>
          <w:spacing w:val="19"/>
          <w:sz w:val="31"/>
          <w:szCs w:val="31"/>
        </w:rPr>
        <w:t>下载手机版</w:t>
      </w:r>
      <w:r>
        <w:rPr>
          <w:sz w:val="31"/>
          <w:szCs w:val="31"/>
        </w:rPr>
        <w:t>CA</w:t>
      </w:r>
      <w:r>
        <w:rPr>
          <w:spacing w:val="19"/>
          <w:sz w:val="31"/>
          <w:szCs w:val="31"/>
        </w:rPr>
        <w:t>(标证通)或办理</w:t>
      </w:r>
      <w:r>
        <w:rPr>
          <w:spacing w:val="-86"/>
          <w:sz w:val="31"/>
          <w:szCs w:val="31"/>
        </w:rPr>
        <w:t xml:space="preserve"> </w:t>
      </w:r>
      <w:r>
        <w:rPr>
          <w:sz w:val="31"/>
          <w:szCs w:val="31"/>
        </w:rPr>
        <w:t>CA</w:t>
      </w:r>
      <w:r>
        <w:rPr>
          <w:spacing w:val="-46"/>
          <w:sz w:val="31"/>
          <w:szCs w:val="31"/>
        </w:rPr>
        <w:t xml:space="preserve"> </w:t>
      </w:r>
      <w:r>
        <w:rPr>
          <w:spacing w:val="19"/>
          <w:sz w:val="31"/>
          <w:szCs w:val="31"/>
        </w:rPr>
        <w:t>数字证书(具体操作参见“电</w:t>
      </w:r>
      <w:r>
        <w:rPr>
          <w:sz w:val="31"/>
          <w:szCs w:val="31"/>
        </w:rPr>
        <w:t xml:space="preserve"> </w:t>
      </w:r>
      <w:r>
        <w:rPr>
          <w:spacing w:val="11"/>
          <w:sz w:val="31"/>
          <w:szCs w:val="31"/>
        </w:rPr>
        <w:t>子交易平台”—办事指南—交易主体注册登</w:t>
      </w:r>
      <w:r>
        <w:rPr>
          <w:spacing w:val="10"/>
          <w:sz w:val="31"/>
          <w:szCs w:val="31"/>
        </w:rPr>
        <w:t>记指南)。</w:t>
      </w:r>
    </w:p>
    <w:p w14:paraId="0D207B4F">
      <w:pPr>
        <w:pStyle w:val="2"/>
        <w:spacing w:before="90" w:line="268" w:lineRule="auto"/>
        <w:ind w:right="32"/>
        <w:rPr>
          <w:sz w:val="31"/>
          <w:szCs w:val="31"/>
        </w:rPr>
      </w:pPr>
      <w:r>
        <w:rPr>
          <w:spacing w:val="29"/>
          <w:sz w:val="31"/>
          <w:szCs w:val="31"/>
        </w:rPr>
        <w:t>4.2 完成注册登记后，请于202</w:t>
      </w:r>
      <w:r>
        <w:rPr>
          <w:rFonts w:hint="eastAsia"/>
          <w:spacing w:val="29"/>
          <w:sz w:val="31"/>
          <w:szCs w:val="31"/>
          <w:lang w:val="en-US" w:eastAsia="zh-CN"/>
        </w:rPr>
        <w:t>6</w:t>
      </w:r>
      <w:r>
        <w:rPr>
          <w:spacing w:val="29"/>
          <w:sz w:val="31"/>
          <w:szCs w:val="31"/>
        </w:rPr>
        <w:t>年</w:t>
      </w:r>
      <w:r>
        <w:rPr>
          <w:rFonts w:hint="eastAsia"/>
          <w:spacing w:val="29"/>
          <w:sz w:val="31"/>
          <w:szCs w:val="31"/>
          <w:lang w:val="en-US" w:eastAsia="zh-CN"/>
        </w:rPr>
        <w:t xml:space="preserve"> 6 </w:t>
      </w:r>
      <w:r>
        <w:rPr>
          <w:spacing w:val="29"/>
          <w:sz w:val="31"/>
          <w:szCs w:val="31"/>
        </w:rPr>
        <w:t>月</w:t>
      </w:r>
      <w:r>
        <w:rPr>
          <w:rFonts w:hint="eastAsia"/>
          <w:spacing w:val="29"/>
          <w:sz w:val="31"/>
          <w:szCs w:val="31"/>
          <w:lang w:val="en-US" w:eastAsia="zh-CN"/>
        </w:rPr>
        <w:t xml:space="preserve"> 26 </w:t>
      </w:r>
      <w:r>
        <w:rPr>
          <w:spacing w:val="29"/>
          <w:sz w:val="31"/>
          <w:szCs w:val="31"/>
        </w:rPr>
        <w:t>日至202</w:t>
      </w:r>
      <w:r>
        <w:rPr>
          <w:rFonts w:hint="eastAsia"/>
          <w:spacing w:val="29"/>
          <w:sz w:val="31"/>
          <w:szCs w:val="31"/>
          <w:lang w:val="en-US" w:eastAsia="zh-CN"/>
        </w:rPr>
        <w:t>6</w:t>
      </w:r>
      <w:r>
        <w:rPr>
          <w:spacing w:val="29"/>
          <w:sz w:val="31"/>
          <w:szCs w:val="31"/>
        </w:rPr>
        <w:t>年</w:t>
      </w:r>
      <w:r>
        <w:rPr>
          <w:rFonts w:hint="eastAsia"/>
          <w:spacing w:val="29"/>
          <w:sz w:val="31"/>
          <w:szCs w:val="31"/>
          <w:lang w:val="en-US" w:eastAsia="zh-CN"/>
        </w:rPr>
        <w:t xml:space="preserve"> 6</w:t>
      </w:r>
      <w:r>
        <w:rPr>
          <w:spacing w:val="29"/>
          <w:sz w:val="31"/>
          <w:szCs w:val="31"/>
        </w:rPr>
        <w:t>月</w:t>
      </w:r>
      <w:r>
        <w:rPr>
          <w:spacing w:val="2"/>
          <w:sz w:val="31"/>
          <w:szCs w:val="31"/>
        </w:rPr>
        <w:t xml:space="preserve"> </w:t>
      </w:r>
      <w:r>
        <w:rPr>
          <w:rFonts w:hint="eastAsia"/>
          <w:spacing w:val="2"/>
          <w:sz w:val="31"/>
          <w:szCs w:val="31"/>
          <w:lang w:val="en-US" w:eastAsia="zh-CN"/>
        </w:rPr>
        <w:t xml:space="preserve">30 </w:t>
      </w:r>
      <w:r>
        <w:rPr>
          <w:spacing w:val="35"/>
          <w:sz w:val="31"/>
          <w:szCs w:val="31"/>
        </w:rPr>
        <w:t>日24:00时止(北京时间、下同),通</w:t>
      </w:r>
      <w:r>
        <w:rPr>
          <w:spacing w:val="34"/>
          <w:sz w:val="31"/>
          <w:szCs w:val="31"/>
        </w:rPr>
        <w:t>过互联网使用手机版</w:t>
      </w:r>
      <w:r>
        <w:rPr>
          <w:sz w:val="31"/>
          <w:szCs w:val="31"/>
        </w:rPr>
        <w:t xml:space="preserve"> </w:t>
      </w:r>
      <w:r>
        <w:rPr>
          <w:rFonts w:ascii="Times New Roman" w:hAnsi="Times New Roman" w:eastAsia="Times New Roman" w:cs="Times New Roman"/>
          <w:sz w:val="31"/>
          <w:szCs w:val="31"/>
        </w:rPr>
        <w:t>CA</w:t>
      </w:r>
      <w:r>
        <w:rPr>
          <w:rFonts w:ascii="Times New Roman" w:hAnsi="Times New Roman" w:eastAsia="Times New Roman" w:cs="Times New Roman"/>
          <w:spacing w:val="58"/>
          <w:w w:val="101"/>
          <w:sz w:val="31"/>
          <w:szCs w:val="31"/>
        </w:rPr>
        <w:t xml:space="preserve"> </w:t>
      </w:r>
      <w:r>
        <w:rPr>
          <w:spacing w:val="16"/>
          <w:sz w:val="31"/>
          <w:szCs w:val="31"/>
        </w:rPr>
        <w:t>(标证通)或办理</w:t>
      </w:r>
      <w:r>
        <w:rPr>
          <w:rFonts w:ascii="Times New Roman" w:hAnsi="Times New Roman" w:eastAsia="Times New Roman" w:cs="Times New Roman"/>
          <w:sz w:val="31"/>
          <w:szCs w:val="31"/>
        </w:rPr>
        <w:t>CA</w:t>
      </w:r>
      <w:r>
        <w:rPr>
          <w:rFonts w:ascii="Times New Roman" w:hAnsi="Times New Roman" w:eastAsia="Times New Roman" w:cs="Times New Roman"/>
          <w:spacing w:val="-11"/>
          <w:sz w:val="31"/>
          <w:szCs w:val="31"/>
        </w:rPr>
        <w:t xml:space="preserve"> </w:t>
      </w:r>
      <w:r>
        <w:rPr>
          <w:spacing w:val="16"/>
          <w:sz w:val="31"/>
          <w:szCs w:val="31"/>
        </w:rPr>
        <w:t>数字证书登录“电子交易平台”,在所</w:t>
      </w:r>
      <w:r>
        <w:rPr>
          <w:sz w:val="31"/>
          <w:szCs w:val="31"/>
        </w:rPr>
        <w:t xml:space="preserve"> </w:t>
      </w:r>
      <w:r>
        <w:rPr>
          <w:spacing w:val="7"/>
          <w:sz w:val="31"/>
          <w:szCs w:val="31"/>
        </w:rPr>
        <w:t>投标段免费下载招标文件。联合体投标的，由联合体牵头人下载</w:t>
      </w:r>
      <w:r>
        <w:rPr>
          <w:spacing w:val="6"/>
          <w:sz w:val="31"/>
          <w:szCs w:val="31"/>
        </w:rPr>
        <w:t xml:space="preserve"> </w:t>
      </w:r>
      <w:r>
        <w:rPr>
          <w:spacing w:val="11"/>
          <w:sz w:val="31"/>
          <w:szCs w:val="31"/>
        </w:rPr>
        <w:t>招标文件(具体操作参见“电子交易平台”—办事指南一招标</w:t>
      </w:r>
      <w:r>
        <w:rPr>
          <w:spacing w:val="19"/>
          <w:sz w:val="31"/>
          <w:szCs w:val="31"/>
        </w:rPr>
        <w:t>(资审)文件下载指南)。未按规定从“电子交易平台”</w:t>
      </w:r>
      <w:r>
        <w:rPr>
          <w:spacing w:val="18"/>
          <w:sz w:val="31"/>
          <w:szCs w:val="31"/>
        </w:rPr>
        <w:t>下载招</w:t>
      </w:r>
      <w:r>
        <w:rPr>
          <w:sz w:val="31"/>
          <w:szCs w:val="31"/>
        </w:rPr>
        <w:t xml:space="preserve"> </w:t>
      </w:r>
      <w:r>
        <w:rPr>
          <w:spacing w:val="12"/>
          <w:sz w:val="31"/>
          <w:szCs w:val="31"/>
        </w:rPr>
        <w:t>标文件的，招标人  (“电子交易平台”)拒收其投标</w:t>
      </w:r>
      <w:r>
        <w:rPr>
          <w:spacing w:val="11"/>
          <w:sz w:val="31"/>
          <w:szCs w:val="31"/>
        </w:rPr>
        <w:t>文件。</w:t>
      </w:r>
    </w:p>
    <w:p w14:paraId="0CD6FB1A">
      <w:pPr>
        <w:pStyle w:val="2"/>
        <w:spacing w:before="192" w:line="219" w:lineRule="auto"/>
        <w:rPr>
          <w:sz w:val="31"/>
          <w:szCs w:val="31"/>
        </w:rPr>
      </w:pPr>
      <w:r>
        <w:rPr>
          <w:spacing w:val="3"/>
          <w:sz w:val="31"/>
          <w:szCs w:val="31"/>
        </w:rPr>
        <w:t>5.投标文件的递交</w:t>
      </w:r>
    </w:p>
    <w:p w14:paraId="3D4A5703">
      <w:pPr>
        <w:pStyle w:val="2"/>
        <w:spacing w:before="172" w:line="219" w:lineRule="auto"/>
        <w:rPr>
          <w:rFonts w:ascii="Arial"/>
          <w:sz w:val="21"/>
        </w:rPr>
      </w:pPr>
      <w:r>
        <w:rPr>
          <w:spacing w:val="32"/>
          <w:sz w:val="31"/>
          <w:szCs w:val="31"/>
        </w:rPr>
        <w:t>5.1 投标文件递交截止时间为：202</w:t>
      </w:r>
      <w:r>
        <w:rPr>
          <w:rFonts w:hint="eastAsia"/>
          <w:spacing w:val="32"/>
          <w:sz w:val="31"/>
          <w:szCs w:val="31"/>
          <w:lang w:val="en-US" w:eastAsia="zh-CN"/>
        </w:rPr>
        <w:t>6</w:t>
      </w:r>
      <w:r>
        <w:rPr>
          <w:spacing w:val="32"/>
          <w:sz w:val="31"/>
          <w:szCs w:val="31"/>
        </w:rPr>
        <w:t>年</w:t>
      </w:r>
      <w:r>
        <w:rPr>
          <w:rFonts w:hint="eastAsia"/>
          <w:spacing w:val="32"/>
          <w:sz w:val="31"/>
          <w:szCs w:val="31"/>
          <w:lang w:val="en-US" w:eastAsia="zh-CN"/>
        </w:rPr>
        <w:t xml:space="preserve"> 7 </w:t>
      </w:r>
      <w:r>
        <w:rPr>
          <w:spacing w:val="32"/>
          <w:sz w:val="31"/>
          <w:szCs w:val="31"/>
        </w:rPr>
        <w:t>月</w:t>
      </w:r>
      <w:r>
        <w:rPr>
          <w:rFonts w:hint="eastAsia"/>
          <w:spacing w:val="32"/>
          <w:sz w:val="31"/>
          <w:szCs w:val="31"/>
          <w:lang w:val="en-US" w:eastAsia="zh-CN"/>
        </w:rPr>
        <w:t xml:space="preserve"> 23 </w:t>
      </w:r>
      <w:r>
        <w:rPr>
          <w:spacing w:val="32"/>
          <w:sz w:val="31"/>
          <w:szCs w:val="31"/>
        </w:rPr>
        <w:t>日09时00分</w:t>
      </w:r>
    </w:p>
    <w:p w14:paraId="38CFF48A">
      <w:pPr>
        <w:pStyle w:val="2"/>
        <w:tabs>
          <w:tab w:val="left" w:pos="188"/>
        </w:tabs>
        <w:spacing w:before="101" w:line="280" w:lineRule="auto"/>
        <w:ind w:right="163"/>
        <w:rPr>
          <w:sz w:val="31"/>
          <w:szCs w:val="31"/>
        </w:rPr>
      </w:pPr>
      <w:r>
        <w:rPr>
          <w:rFonts w:ascii="Times New Roman" w:hAnsi="Times New Roman" w:eastAsia="Times New Roman" w:cs="Times New Roman"/>
          <w:spacing w:val="5"/>
          <w:sz w:val="31"/>
          <w:szCs w:val="31"/>
        </w:rPr>
        <w:t xml:space="preserve">5.2   </w:t>
      </w:r>
      <w:r>
        <w:rPr>
          <w:spacing w:val="5"/>
          <w:sz w:val="31"/>
          <w:szCs w:val="31"/>
        </w:rPr>
        <w:t>投标人应当在投标截止时间前，通</w:t>
      </w:r>
      <w:r>
        <w:rPr>
          <w:spacing w:val="4"/>
          <w:sz w:val="31"/>
          <w:szCs w:val="31"/>
        </w:rPr>
        <w:t>过互联网使用手机版</w:t>
      </w:r>
      <w:r>
        <w:rPr>
          <w:rFonts w:ascii="Times New Roman" w:hAnsi="Times New Roman" w:eastAsia="Times New Roman" w:cs="Times New Roman"/>
          <w:sz w:val="31"/>
          <w:szCs w:val="31"/>
        </w:rPr>
        <w:t xml:space="preserve">CA  </w:t>
      </w:r>
      <w:r>
        <w:rPr>
          <w:sz w:val="31"/>
          <w:szCs w:val="31"/>
        </w:rPr>
        <w:tab/>
      </w:r>
      <w:r>
        <w:rPr>
          <w:spacing w:val="15"/>
          <w:sz w:val="31"/>
          <w:szCs w:val="31"/>
        </w:rPr>
        <w:t>(标证通)或办理</w:t>
      </w:r>
      <w:r>
        <w:rPr>
          <w:spacing w:val="-85"/>
          <w:sz w:val="31"/>
          <w:szCs w:val="31"/>
        </w:rPr>
        <w:t xml:space="preserve"> </w:t>
      </w:r>
      <w:r>
        <w:rPr>
          <w:rFonts w:ascii="Times New Roman" w:hAnsi="Times New Roman" w:eastAsia="Times New Roman" w:cs="Times New Roman"/>
          <w:sz w:val="31"/>
          <w:szCs w:val="31"/>
        </w:rPr>
        <w:t>CA</w:t>
      </w:r>
      <w:r>
        <w:rPr>
          <w:rFonts w:ascii="Times New Roman" w:hAnsi="Times New Roman" w:eastAsia="Times New Roman" w:cs="Times New Roman"/>
          <w:spacing w:val="-11"/>
          <w:sz w:val="31"/>
          <w:szCs w:val="31"/>
        </w:rPr>
        <w:t xml:space="preserve"> </w:t>
      </w:r>
      <w:r>
        <w:rPr>
          <w:spacing w:val="15"/>
          <w:sz w:val="31"/>
          <w:szCs w:val="31"/>
        </w:rPr>
        <w:t>数字证书登录“电子交易平台”,选</w:t>
      </w:r>
      <w:r>
        <w:rPr>
          <w:spacing w:val="14"/>
          <w:sz w:val="31"/>
          <w:szCs w:val="31"/>
        </w:rPr>
        <w:t>择所</w:t>
      </w:r>
      <w:r>
        <w:rPr>
          <w:sz w:val="31"/>
          <w:szCs w:val="31"/>
        </w:rPr>
        <w:t xml:space="preserve"> </w:t>
      </w:r>
      <w:r>
        <w:rPr>
          <w:spacing w:val="7"/>
          <w:sz w:val="31"/>
          <w:szCs w:val="31"/>
        </w:rPr>
        <w:t>投标段将</w:t>
      </w:r>
      <w:r>
        <w:rPr>
          <w:b/>
          <w:bCs/>
          <w:spacing w:val="7"/>
          <w:sz w:val="31"/>
          <w:szCs w:val="31"/>
        </w:rPr>
        <w:t>加密的电子投标文件</w:t>
      </w:r>
      <w:r>
        <w:rPr>
          <w:spacing w:val="7"/>
          <w:sz w:val="31"/>
          <w:szCs w:val="31"/>
        </w:rPr>
        <w:t>上传。投标人完成投标文件上传</w:t>
      </w:r>
    </w:p>
    <w:p w14:paraId="27F6C3B3">
      <w:pPr>
        <w:pStyle w:val="2"/>
        <w:spacing w:before="1" w:line="281" w:lineRule="auto"/>
        <w:rPr>
          <w:sz w:val="31"/>
          <w:szCs w:val="31"/>
        </w:rPr>
      </w:pPr>
      <w:r>
        <w:rPr>
          <w:spacing w:val="8"/>
          <w:sz w:val="31"/>
          <w:szCs w:val="31"/>
        </w:rPr>
        <w:t>后，“电子交易平台”即时向投标人发出电子签</w:t>
      </w:r>
      <w:r>
        <w:rPr>
          <w:spacing w:val="7"/>
          <w:sz w:val="31"/>
          <w:szCs w:val="31"/>
        </w:rPr>
        <w:t>收凭证，递交时</w:t>
      </w:r>
      <w:r>
        <w:rPr>
          <w:sz w:val="31"/>
          <w:szCs w:val="31"/>
        </w:rPr>
        <w:t xml:space="preserve"> </w:t>
      </w:r>
      <w:r>
        <w:rPr>
          <w:spacing w:val="7"/>
          <w:sz w:val="31"/>
          <w:szCs w:val="31"/>
        </w:rPr>
        <w:t>间以电子签收凭证载明的传输完成时间为准。逾期未完成上传或</w:t>
      </w:r>
      <w:r>
        <w:rPr>
          <w:spacing w:val="17"/>
          <w:sz w:val="31"/>
          <w:szCs w:val="31"/>
        </w:rPr>
        <w:t xml:space="preserve"> </w:t>
      </w:r>
      <w:r>
        <w:rPr>
          <w:spacing w:val="19"/>
          <w:sz w:val="31"/>
          <w:szCs w:val="31"/>
        </w:rPr>
        <w:t>未加密的电子投标文件，招标人(“电子交易平台”)将拒收。</w:t>
      </w:r>
    </w:p>
    <w:p w14:paraId="4B0F7CB3">
      <w:pPr>
        <w:pStyle w:val="2"/>
        <w:spacing w:before="74" w:line="220" w:lineRule="auto"/>
        <w:rPr>
          <w:sz w:val="31"/>
          <w:szCs w:val="31"/>
        </w:rPr>
      </w:pPr>
      <w:r>
        <w:rPr>
          <w:spacing w:val="4"/>
          <w:sz w:val="31"/>
          <w:szCs w:val="31"/>
        </w:rPr>
        <w:t>6.投标相关事宜</w:t>
      </w:r>
    </w:p>
    <w:p w14:paraId="7120CAE2">
      <w:pPr>
        <w:pStyle w:val="2"/>
        <w:spacing w:before="146" w:line="294" w:lineRule="auto"/>
        <w:ind w:right="11" w:firstLine="1309"/>
        <w:rPr>
          <w:sz w:val="31"/>
          <w:szCs w:val="31"/>
        </w:rPr>
      </w:pPr>
      <w:r>
        <w:rPr>
          <w:spacing w:val="6"/>
          <w:sz w:val="31"/>
          <w:szCs w:val="31"/>
        </w:rPr>
        <w:t>本项目专门面向中小企业，参加投标的中小企业应</w:t>
      </w:r>
      <w:r>
        <w:rPr>
          <w:spacing w:val="5"/>
          <w:sz w:val="31"/>
          <w:szCs w:val="31"/>
        </w:rPr>
        <w:t>当提</w:t>
      </w:r>
      <w:r>
        <w:rPr>
          <w:spacing w:val="1"/>
          <w:sz w:val="31"/>
          <w:szCs w:val="31"/>
        </w:rPr>
        <w:t>供最新版《中小企业声明函》。</w:t>
      </w:r>
    </w:p>
    <w:p w14:paraId="49C33A97">
      <w:pPr>
        <w:pStyle w:val="2"/>
        <w:spacing w:before="45" w:line="219" w:lineRule="auto"/>
        <w:rPr>
          <w:sz w:val="31"/>
          <w:szCs w:val="31"/>
        </w:rPr>
      </w:pPr>
      <w:r>
        <w:rPr>
          <w:spacing w:val="5"/>
          <w:sz w:val="31"/>
          <w:szCs w:val="31"/>
        </w:rPr>
        <w:t>7.评标办法</w:t>
      </w:r>
    </w:p>
    <w:p w14:paraId="32A2A04E">
      <w:pPr>
        <w:pStyle w:val="2"/>
        <w:spacing w:before="131" w:line="219" w:lineRule="auto"/>
        <w:ind w:left="1309"/>
        <w:rPr>
          <w:sz w:val="31"/>
          <w:szCs w:val="31"/>
        </w:rPr>
      </w:pPr>
      <w:r>
        <w:rPr>
          <w:spacing w:val="7"/>
          <w:sz w:val="31"/>
          <w:szCs w:val="31"/>
        </w:rPr>
        <w:t>本标段招标评标办法采用“评定分离”方法实施招投</w:t>
      </w:r>
      <w:bookmarkStart w:id="325" w:name="_GoBack"/>
      <w:bookmarkEnd w:id="325"/>
    </w:p>
    <w:p w14:paraId="7E0BD831">
      <w:pPr>
        <w:pStyle w:val="2"/>
        <w:spacing w:before="112" w:line="289" w:lineRule="auto"/>
        <w:ind w:right="12"/>
        <w:rPr>
          <w:sz w:val="31"/>
          <w:szCs w:val="31"/>
        </w:rPr>
      </w:pPr>
      <w:r>
        <w:rPr>
          <w:spacing w:val="13"/>
          <w:sz w:val="31"/>
          <w:szCs w:val="31"/>
        </w:rPr>
        <w:t>标，评标办法采用综合评估法，定标方法采用投标表决法(票决</w:t>
      </w:r>
      <w:r>
        <w:rPr>
          <w:spacing w:val="29"/>
          <w:sz w:val="31"/>
          <w:szCs w:val="31"/>
        </w:rPr>
        <w:t>数量法)。</w:t>
      </w:r>
    </w:p>
    <w:p w14:paraId="02F7806D">
      <w:pPr>
        <w:pStyle w:val="2"/>
        <w:spacing w:before="38" w:line="218" w:lineRule="auto"/>
        <w:rPr>
          <w:sz w:val="31"/>
          <w:szCs w:val="31"/>
        </w:rPr>
      </w:pPr>
      <w:r>
        <w:rPr>
          <w:spacing w:val="6"/>
          <w:sz w:val="31"/>
          <w:szCs w:val="31"/>
        </w:rPr>
        <w:t>8.发布公告的媒介</w:t>
      </w:r>
    </w:p>
    <w:p w14:paraId="4D6B4BCC">
      <w:pPr>
        <w:pStyle w:val="2"/>
        <w:spacing w:before="156" w:line="293" w:lineRule="auto"/>
        <w:ind w:right="121" w:firstLine="1309"/>
        <w:rPr>
          <w:sz w:val="31"/>
          <w:szCs w:val="31"/>
        </w:rPr>
      </w:pPr>
      <w:r>
        <w:rPr>
          <w:spacing w:val="5"/>
          <w:sz w:val="31"/>
          <w:szCs w:val="31"/>
        </w:rPr>
        <w:t>本标段招标公告同时在湖北省公共资源交易电子服务</w:t>
      </w:r>
      <w:r>
        <w:rPr>
          <w:spacing w:val="4"/>
          <w:sz w:val="31"/>
          <w:szCs w:val="31"/>
        </w:rPr>
        <w:t xml:space="preserve">  系统(网址： </w:t>
      </w:r>
      <w:r>
        <w:fldChar w:fldCharType="begin"/>
      </w:r>
      <w:r>
        <w:instrText xml:space="preserve"> HYPERLINK "https://www.hbggzyfwpt.cn" </w:instrText>
      </w:r>
      <w:r>
        <w:fldChar w:fldCharType="separate"/>
      </w:r>
      <w:r>
        <w:rPr>
          <w:sz w:val="31"/>
          <w:szCs w:val="31"/>
        </w:rPr>
        <w:t>www</w:t>
      </w:r>
      <w:r>
        <w:rPr>
          <w:spacing w:val="4"/>
          <w:sz w:val="31"/>
          <w:szCs w:val="31"/>
        </w:rPr>
        <w:t>.</w:t>
      </w:r>
      <w:r>
        <w:rPr>
          <w:sz w:val="31"/>
          <w:szCs w:val="31"/>
        </w:rPr>
        <w:t>hbggzyfwpt</w:t>
      </w:r>
      <w:r>
        <w:rPr>
          <w:spacing w:val="4"/>
          <w:sz w:val="31"/>
          <w:szCs w:val="31"/>
        </w:rPr>
        <w:t>.</w:t>
      </w:r>
      <w:r>
        <w:rPr>
          <w:sz w:val="31"/>
          <w:szCs w:val="31"/>
        </w:rPr>
        <w:t>cn</w:t>
      </w:r>
      <w:r>
        <w:rPr>
          <w:sz w:val="31"/>
          <w:szCs w:val="31"/>
        </w:rPr>
        <w:fldChar w:fldCharType="end"/>
      </w:r>
      <w:r>
        <w:rPr>
          <w:spacing w:val="4"/>
          <w:sz w:val="31"/>
          <w:szCs w:val="31"/>
        </w:rPr>
        <w:t>)  (发布公告的媒介名称)上发</w:t>
      </w:r>
      <w:r>
        <w:rPr>
          <w:spacing w:val="2"/>
          <w:sz w:val="31"/>
          <w:szCs w:val="31"/>
        </w:rPr>
        <w:t xml:space="preserve"> </w:t>
      </w:r>
      <w:r>
        <w:rPr>
          <w:spacing w:val="-7"/>
          <w:sz w:val="31"/>
          <w:szCs w:val="31"/>
        </w:rPr>
        <w:t>布。</w:t>
      </w:r>
    </w:p>
    <w:p w14:paraId="36ECFCEB">
      <w:pPr>
        <w:spacing w:line="220" w:lineRule="auto"/>
        <w:rPr>
          <w:sz w:val="31"/>
          <w:szCs w:val="31"/>
        </w:rPr>
        <w:sectPr>
          <w:footerReference r:id="rId12" w:type="default"/>
          <w:pgSz w:w="11910" w:h="16840"/>
          <w:pgMar w:top="1431" w:right="1535" w:bottom="1004" w:left="1470" w:header="0" w:footer="869" w:gutter="0"/>
          <w:cols w:space="720" w:num="1"/>
        </w:sectPr>
      </w:pPr>
    </w:p>
    <w:p w14:paraId="261E73A4">
      <w:pPr>
        <w:spacing w:before="284" w:line="221" w:lineRule="auto"/>
        <w:jc w:val="center"/>
        <w:rPr>
          <w:rFonts w:ascii="黑体" w:hAnsi="黑体" w:eastAsia="黑体" w:cs="黑体"/>
          <w:sz w:val="32"/>
          <w:szCs w:val="32"/>
        </w:rPr>
      </w:pPr>
      <w:r>
        <w:rPr>
          <w:rFonts w:ascii="黑体" w:hAnsi="黑体" w:eastAsia="黑体" w:cs="黑体"/>
          <w:b/>
          <w:bCs/>
          <w:spacing w:val="-1"/>
          <w:sz w:val="32"/>
          <w:szCs w:val="32"/>
        </w:rPr>
        <w:t>第二章</w:t>
      </w:r>
      <w:r>
        <w:rPr>
          <w:rFonts w:ascii="黑体" w:hAnsi="黑体" w:eastAsia="黑体" w:cs="黑体"/>
          <w:spacing w:val="-1"/>
          <w:sz w:val="32"/>
          <w:szCs w:val="32"/>
        </w:rPr>
        <w:t xml:space="preserve">  </w:t>
      </w:r>
      <w:r>
        <w:rPr>
          <w:rFonts w:ascii="黑体" w:hAnsi="黑体" w:eastAsia="黑体" w:cs="黑体"/>
          <w:b/>
          <w:bCs/>
          <w:spacing w:val="-1"/>
          <w:sz w:val="32"/>
          <w:szCs w:val="32"/>
        </w:rPr>
        <w:t>投标人须知</w:t>
      </w:r>
    </w:p>
    <w:p w14:paraId="28840A4E">
      <w:pPr>
        <w:spacing w:line="221" w:lineRule="auto"/>
        <w:rPr>
          <w:rFonts w:ascii="黑体" w:hAnsi="黑体" w:eastAsia="黑体" w:cs="黑体"/>
          <w:sz w:val="32"/>
          <w:szCs w:val="32"/>
        </w:rPr>
        <w:sectPr>
          <w:footerReference r:id="rId13" w:type="default"/>
          <w:pgSz w:w="11910" w:h="16840"/>
          <w:pgMar w:top="1431" w:right="1786" w:bottom="999" w:left="1786" w:header="0" w:footer="855" w:gutter="0"/>
          <w:cols w:space="720" w:num="1"/>
        </w:sectPr>
      </w:pPr>
    </w:p>
    <w:p w14:paraId="50FF2669">
      <w:pPr>
        <w:spacing w:line="285" w:lineRule="auto"/>
        <w:rPr>
          <w:rFonts w:ascii="Arial"/>
          <w:sz w:val="21"/>
        </w:rPr>
      </w:pPr>
    </w:p>
    <w:p w14:paraId="4CC9994B">
      <w:pPr>
        <w:spacing w:before="107" w:line="221" w:lineRule="auto"/>
        <w:ind w:left="3019"/>
        <w:outlineLvl w:val="0"/>
        <w:rPr>
          <w:rFonts w:ascii="黑体" w:hAnsi="黑体" w:eastAsia="黑体" w:cs="黑体"/>
          <w:sz w:val="33"/>
          <w:szCs w:val="33"/>
        </w:rPr>
      </w:pPr>
      <w:bookmarkStart w:id="2" w:name="bookmark2"/>
      <w:bookmarkEnd w:id="2"/>
      <w:bookmarkStart w:id="3" w:name="bookmark218"/>
      <w:bookmarkEnd w:id="3"/>
      <w:r>
        <w:rPr>
          <w:rFonts w:ascii="黑体" w:hAnsi="黑体" w:eastAsia="黑体" w:cs="黑体"/>
          <w:b/>
          <w:bCs/>
          <w:spacing w:val="-8"/>
          <w:sz w:val="33"/>
          <w:szCs w:val="33"/>
        </w:rPr>
        <w:t>第二章</w:t>
      </w:r>
      <w:r>
        <w:rPr>
          <w:rFonts w:ascii="黑体" w:hAnsi="黑体" w:eastAsia="黑体" w:cs="黑体"/>
          <w:spacing w:val="-8"/>
          <w:sz w:val="33"/>
          <w:szCs w:val="33"/>
        </w:rPr>
        <w:t xml:space="preserve">  </w:t>
      </w:r>
      <w:r>
        <w:rPr>
          <w:rFonts w:ascii="黑体" w:hAnsi="黑体" w:eastAsia="黑体" w:cs="黑体"/>
          <w:b/>
          <w:bCs/>
          <w:spacing w:val="-8"/>
          <w:sz w:val="33"/>
          <w:szCs w:val="33"/>
        </w:rPr>
        <w:t>投标人须知</w:t>
      </w:r>
    </w:p>
    <w:p w14:paraId="4BC1AA75">
      <w:pPr>
        <w:spacing w:before="174" w:line="221" w:lineRule="auto"/>
        <w:ind w:left="3339"/>
        <w:outlineLvl w:val="1"/>
        <w:rPr>
          <w:rFonts w:ascii="黑体" w:hAnsi="黑体" w:eastAsia="黑体" w:cs="黑体"/>
          <w:sz w:val="29"/>
          <w:szCs w:val="29"/>
        </w:rPr>
      </w:pPr>
      <w:bookmarkStart w:id="4" w:name="bookmark3"/>
      <w:bookmarkEnd w:id="4"/>
      <w:r>
        <w:rPr>
          <w:rFonts w:ascii="黑体" w:hAnsi="黑体" w:eastAsia="黑体" w:cs="黑体"/>
          <w:b/>
          <w:bCs/>
          <w:spacing w:val="-5"/>
          <w:sz w:val="29"/>
          <w:szCs w:val="29"/>
        </w:rPr>
        <w:t>投标人须知前附表</w:t>
      </w:r>
    </w:p>
    <w:p w14:paraId="3BE150E6">
      <w:pPr>
        <w:spacing w:before="11"/>
      </w:pPr>
    </w:p>
    <w:tbl>
      <w:tblPr>
        <w:tblStyle w:val="5"/>
        <w:tblW w:w="841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64"/>
        <w:gridCol w:w="2267"/>
        <w:gridCol w:w="5279"/>
      </w:tblGrid>
      <w:tr w14:paraId="5F8BC9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4" w:hRule="atLeast"/>
        </w:trPr>
        <w:tc>
          <w:tcPr>
            <w:tcW w:w="864" w:type="dxa"/>
            <w:vAlign w:val="top"/>
          </w:tcPr>
          <w:p w14:paraId="5B0DA510">
            <w:pPr>
              <w:pStyle w:val="6"/>
              <w:spacing w:before="190" w:line="219" w:lineRule="auto"/>
              <w:ind w:left="107"/>
            </w:pPr>
            <w:r>
              <w:rPr>
                <w:b/>
                <w:bCs/>
                <w:spacing w:val="-5"/>
              </w:rPr>
              <w:t>条款号</w:t>
            </w:r>
          </w:p>
        </w:tc>
        <w:tc>
          <w:tcPr>
            <w:tcW w:w="2267" w:type="dxa"/>
            <w:vAlign w:val="top"/>
          </w:tcPr>
          <w:p w14:paraId="70989963">
            <w:pPr>
              <w:pStyle w:val="6"/>
              <w:spacing w:before="190" w:line="219" w:lineRule="auto"/>
              <w:ind w:left="383"/>
            </w:pPr>
            <w:r>
              <w:rPr>
                <w:b/>
                <w:bCs/>
                <w:spacing w:val="-10"/>
              </w:rPr>
              <w:t>条</w:t>
            </w:r>
            <w:r>
              <w:rPr>
                <w:spacing w:val="12"/>
              </w:rPr>
              <w:t xml:space="preserve">  </w:t>
            </w:r>
            <w:r>
              <w:rPr>
                <w:b/>
                <w:bCs/>
                <w:spacing w:val="-10"/>
              </w:rPr>
              <w:t>款</w:t>
            </w:r>
            <w:r>
              <w:rPr>
                <w:spacing w:val="12"/>
              </w:rPr>
              <w:t xml:space="preserve">  </w:t>
            </w:r>
            <w:r>
              <w:rPr>
                <w:b/>
                <w:bCs/>
                <w:spacing w:val="-10"/>
              </w:rPr>
              <w:t>名</w:t>
            </w:r>
            <w:r>
              <w:rPr>
                <w:spacing w:val="12"/>
              </w:rPr>
              <w:t xml:space="preserve">  </w:t>
            </w:r>
            <w:r>
              <w:rPr>
                <w:b/>
                <w:bCs/>
                <w:spacing w:val="-10"/>
              </w:rPr>
              <w:t>称</w:t>
            </w:r>
          </w:p>
        </w:tc>
        <w:tc>
          <w:tcPr>
            <w:tcW w:w="5279" w:type="dxa"/>
            <w:vAlign w:val="top"/>
          </w:tcPr>
          <w:p w14:paraId="4C2D7644">
            <w:pPr>
              <w:pStyle w:val="6"/>
              <w:spacing w:before="190" w:line="219" w:lineRule="auto"/>
              <w:ind w:left="1886"/>
            </w:pPr>
            <w:r>
              <w:rPr>
                <w:b/>
                <w:bCs/>
                <w:spacing w:val="-17"/>
              </w:rPr>
              <w:t>编</w:t>
            </w:r>
            <w:r>
              <w:rPr>
                <w:spacing w:val="18"/>
              </w:rPr>
              <w:t xml:space="preserve">  </w:t>
            </w:r>
            <w:r>
              <w:rPr>
                <w:b/>
                <w:bCs/>
                <w:spacing w:val="-17"/>
              </w:rPr>
              <w:t>列</w:t>
            </w:r>
            <w:r>
              <w:rPr>
                <w:spacing w:val="27"/>
              </w:rPr>
              <w:t xml:space="preserve">  </w:t>
            </w:r>
            <w:r>
              <w:rPr>
                <w:b/>
                <w:bCs/>
                <w:spacing w:val="-17"/>
              </w:rPr>
              <w:t>内</w:t>
            </w:r>
            <w:r>
              <w:rPr>
                <w:spacing w:val="16"/>
              </w:rPr>
              <w:t xml:space="preserve">  </w:t>
            </w:r>
            <w:r>
              <w:rPr>
                <w:b/>
                <w:bCs/>
                <w:spacing w:val="-17"/>
              </w:rPr>
              <w:t>容</w:t>
            </w:r>
          </w:p>
        </w:tc>
      </w:tr>
      <w:tr w14:paraId="2A479B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28" w:hRule="atLeast"/>
        </w:trPr>
        <w:tc>
          <w:tcPr>
            <w:tcW w:w="864" w:type="dxa"/>
            <w:vAlign w:val="top"/>
          </w:tcPr>
          <w:p w14:paraId="23BD556D">
            <w:pPr>
              <w:spacing w:line="252" w:lineRule="auto"/>
              <w:rPr>
                <w:rFonts w:ascii="Arial"/>
                <w:sz w:val="21"/>
              </w:rPr>
            </w:pPr>
          </w:p>
          <w:p w14:paraId="280F5BD3">
            <w:pPr>
              <w:spacing w:line="252" w:lineRule="auto"/>
              <w:rPr>
                <w:rFonts w:ascii="Arial"/>
                <w:sz w:val="21"/>
              </w:rPr>
            </w:pPr>
          </w:p>
          <w:p w14:paraId="3D2A35E4">
            <w:pPr>
              <w:spacing w:line="253" w:lineRule="auto"/>
              <w:rPr>
                <w:rFonts w:ascii="Arial"/>
                <w:sz w:val="21"/>
              </w:rPr>
            </w:pPr>
          </w:p>
          <w:p w14:paraId="0D3C75FB">
            <w:pPr>
              <w:pStyle w:val="6"/>
              <w:spacing w:before="68" w:line="239" w:lineRule="auto"/>
              <w:ind w:left="154"/>
            </w:pPr>
            <w:r>
              <w:rPr>
                <w:spacing w:val="-4"/>
              </w:rPr>
              <w:t>1.1.2</w:t>
            </w:r>
          </w:p>
        </w:tc>
        <w:tc>
          <w:tcPr>
            <w:tcW w:w="2267" w:type="dxa"/>
            <w:vAlign w:val="top"/>
          </w:tcPr>
          <w:p w14:paraId="378D1A93">
            <w:pPr>
              <w:spacing w:line="245" w:lineRule="auto"/>
              <w:rPr>
                <w:rFonts w:ascii="Arial"/>
                <w:sz w:val="21"/>
              </w:rPr>
            </w:pPr>
          </w:p>
          <w:p w14:paraId="59D8D268">
            <w:pPr>
              <w:spacing w:line="246" w:lineRule="auto"/>
              <w:rPr>
                <w:rFonts w:ascii="Arial"/>
                <w:sz w:val="21"/>
              </w:rPr>
            </w:pPr>
          </w:p>
          <w:p w14:paraId="6FD4331E">
            <w:pPr>
              <w:spacing w:line="246" w:lineRule="auto"/>
              <w:rPr>
                <w:rFonts w:ascii="Arial"/>
                <w:sz w:val="21"/>
              </w:rPr>
            </w:pPr>
          </w:p>
          <w:p w14:paraId="6B564A70">
            <w:pPr>
              <w:pStyle w:val="6"/>
              <w:spacing w:before="68" w:line="220" w:lineRule="auto"/>
              <w:ind w:left="100"/>
            </w:pPr>
            <w:r>
              <w:rPr>
                <w:spacing w:val="-3"/>
              </w:rPr>
              <w:t>招标人</w:t>
            </w:r>
          </w:p>
        </w:tc>
        <w:tc>
          <w:tcPr>
            <w:tcW w:w="5279" w:type="dxa"/>
            <w:vAlign w:val="top"/>
          </w:tcPr>
          <w:p w14:paraId="68331686">
            <w:pPr>
              <w:pStyle w:val="6"/>
              <w:spacing w:before="279" w:line="219" w:lineRule="auto"/>
              <w:ind w:left="124"/>
              <w:rPr>
                <w:rFonts w:hint="eastAsia" w:eastAsia="宋体"/>
                <w:lang w:eastAsia="zh-CN"/>
              </w:rPr>
            </w:pPr>
            <w:r>
              <w:rPr>
                <w:spacing w:val="1"/>
              </w:rPr>
              <w:t>名  称：</w:t>
            </w:r>
            <w:r>
              <w:rPr>
                <w:rFonts w:hint="eastAsia"/>
                <w:spacing w:val="1"/>
                <w:lang w:eastAsia="zh-CN"/>
              </w:rPr>
              <w:t>罗田县清源水务有限公司</w:t>
            </w:r>
          </w:p>
          <w:p w14:paraId="041FED94">
            <w:pPr>
              <w:pStyle w:val="6"/>
              <w:spacing w:before="10" w:line="219" w:lineRule="auto"/>
              <w:ind w:left="124"/>
            </w:pPr>
            <w:r>
              <w:rPr>
                <w:spacing w:val="-1"/>
              </w:rPr>
              <w:t>地  址：罗田县凤山镇</w:t>
            </w:r>
          </w:p>
          <w:p w14:paraId="36ADB3E5">
            <w:pPr>
              <w:pStyle w:val="6"/>
              <w:spacing w:line="219" w:lineRule="auto"/>
              <w:ind w:left="124"/>
              <w:rPr>
                <w:rFonts w:hint="eastAsia" w:eastAsia="宋体"/>
                <w:lang w:eastAsia="zh-CN"/>
              </w:rPr>
            </w:pPr>
            <w:r>
              <w:rPr>
                <w:spacing w:val="-2"/>
              </w:rPr>
              <w:t>联系人：</w:t>
            </w:r>
            <w:r>
              <w:rPr>
                <w:rFonts w:hint="eastAsia"/>
                <w:spacing w:val="-2"/>
                <w:lang w:val="en-US" w:eastAsia="zh-CN"/>
              </w:rPr>
              <w:t>樊政权</w:t>
            </w:r>
          </w:p>
          <w:p w14:paraId="298EBBC0">
            <w:pPr>
              <w:pStyle w:val="6"/>
              <w:spacing w:before="64" w:line="221" w:lineRule="auto"/>
              <w:ind w:left="124"/>
              <w:rPr>
                <w:rFonts w:hint="default" w:eastAsia="宋体"/>
                <w:lang w:val="en-US" w:eastAsia="zh-CN"/>
              </w:rPr>
            </w:pPr>
            <w:r>
              <w:rPr>
                <w:spacing w:val="-1"/>
              </w:rPr>
              <w:t>电</w:t>
            </w:r>
            <w:r>
              <w:rPr>
                <w:spacing w:val="8"/>
              </w:rPr>
              <w:t xml:space="preserve">   </w:t>
            </w:r>
            <w:r>
              <w:rPr>
                <w:spacing w:val="-1"/>
              </w:rPr>
              <w:t>话：</w:t>
            </w:r>
            <w:r>
              <w:rPr>
                <w:rFonts w:hint="eastAsia"/>
                <w:spacing w:val="-1"/>
                <w:lang w:val="en-US" w:eastAsia="zh-CN"/>
              </w:rPr>
              <w:t>13886430404</w:t>
            </w:r>
          </w:p>
          <w:p w14:paraId="0B4C0055">
            <w:pPr>
              <w:pStyle w:val="6"/>
              <w:spacing w:before="16" w:line="219" w:lineRule="auto"/>
              <w:ind w:left="124"/>
            </w:pPr>
            <w:r>
              <w:t>电子邮件：</w:t>
            </w:r>
            <w:r>
              <w:rPr>
                <w:color w:val="3040D0"/>
                <w:spacing w:val="-14"/>
                <w:position w:val="1"/>
              </w:rPr>
              <w:t>/</w:t>
            </w:r>
          </w:p>
        </w:tc>
      </w:tr>
      <w:tr w14:paraId="45764A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38" w:hRule="atLeast"/>
        </w:trPr>
        <w:tc>
          <w:tcPr>
            <w:tcW w:w="864" w:type="dxa"/>
            <w:vAlign w:val="top"/>
          </w:tcPr>
          <w:p w14:paraId="4BEF6292">
            <w:pPr>
              <w:spacing w:line="256" w:lineRule="auto"/>
              <w:rPr>
                <w:rFonts w:ascii="Arial"/>
                <w:sz w:val="21"/>
              </w:rPr>
            </w:pPr>
          </w:p>
          <w:p w14:paraId="461ABCB6">
            <w:pPr>
              <w:spacing w:line="256" w:lineRule="auto"/>
              <w:rPr>
                <w:rFonts w:ascii="Arial"/>
                <w:sz w:val="21"/>
              </w:rPr>
            </w:pPr>
          </w:p>
          <w:p w14:paraId="66D4C404">
            <w:pPr>
              <w:spacing w:line="257" w:lineRule="auto"/>
              <w:rPr>
                <w:rFonts w:ascii="Arial"/>
                <w:sz w:val="21"/>
              </w:rPr>
            </w:pPr>
          </w:p>
          <w:p w14:paraId="4E826C20">
            <w:pPr>
              <w:pStyle w:val="6"/>
              <w:spacing w:before="68" w:line="239" w:lineRule="auto"/>
              <w:ind w:left="154"/>
            </w:pPr>
            <w:r>
              <w:rPr>
                <w:spacing w:val="-4"/>
              </w:rPr>
              <w:t>1.1.3</w:t>
            </w:r>
          </w:p>
        </w:tc>
        <w:tc>
          <w:tcPr>
            <w:tcW w:w="2267" w:type="dxa"/>
            <w:vAlign w:val="top"/>
          </w:tcPr>
          <w:p w14:paraId="5084C166">
            <w:pPr>
              <w:spacing w:line="249" w:lineRule="auto"/>
              <w:rPr>
                <w:rFonts w:ascii="Arial"/>
                <w:sz w:val="21"/>
              </w:rPr>
            </w:pPr>
          </w:p>
          <w:p w14:paraId="3A902080">
            <w:pPr>
              <w:spacing w:line="249" w:lineRule="auto"/>
              <w:rPr>
                <w:rFonts w:ascii="Arial"/>
                <w:sz w:val="21"/>
              </w:rPr>
            </w:pPr>
          </w:p>
          <w:p w14:paraId="38D0CBE8">
            <w:pPr>
              <w:spacing w:line="249" w:lineRule="auto"/>
              <w:rPr>
                <w:rFonts w:ascii="Arial"/>
                <w:sz w:val="21"/>
              </w:rPr>
            </w:pPr>
          </w:p>
          <w:p w14:paraId="4D8E93A1">
            <w:pPr>
              <w:pStyle w:val="6"/>
              <w:spacing w:before="68" w:line="219" w:lineRule="auto"/>
              <w:ind w:left="100"/>
            </w:pPr>
            <w:r>
              <w:rPr>
                <w:spacing w:val="2"/>
              </w:rPr>
              <w:t>招标代理机构</w:t>
            </w:r>
          </w:p>
        </w:tc>
        <w:tc>
          <w:tcPr>
            <w:tcW w:w="5279" w:type="dxa"/>
            <w:vAlign w:val="top"/>
          </w:tcPr>
          <w:p w14:paraId="29DC172B">
            <w:pPr>
              <w:pStyle w:val="6"/>
              <w:spacing w:before="301" w:line="219" w:lineRule="auto"/>
              <w:ind w:left="124"/>
            </w:pPr>
            <w:r>
              <w:rPr>
                <w:spacing w:val="1"/>
              </w:rPr>
              <w:t>名   称：罗田县正源项目管理有限公司</w:t>
            </w:r>
          </w:p>
          <w:p w14:paraId="296075FE">
            <w:pPr>
              <w:pStyle w:val="6"/>
              <w:spacing w:line="219" w:lineRule="auto"/>
              <w:ind w:left="124"/>
            </w:pPr>
            <w:r>
              <w:t>地   址：罗田县凤山镇凤城二路</w:t>
            </w:r>
          </w:p>
          <w:p w14:paraId="34D64989">
            <w:pPr>
              <w:pStyle w:val="6"/>
              <w:spacing w:before="40" w:line="219" w:lineRule="auto"/>
              <w:ind w:left="124"/>
              <w:rPr>
                <w:rFonts w:hint="eastAsia" w:eastAsia="宋体"/>
                <w:lang w:val="en-US" w:eastAsia="zh-CN"/>
              </w:rPr>
            </w:pPr>
            <w:r>
              <w:rPr>
                <w:spacing w:val="-2"/>
              </w:rPr>
              <w:t>联系人：金</w:t>
            </w:r>
            <w:r>
              <w:rPr>
                <w:rFonts w:hint="eastAsia"/>
                <w:spacing w:val="-2"/>
                <w:lang w:val="en-US" w:eastAsia="zh-CN"/>
              </w:rPr>
              <w:t>展</w:t>
            </w:r>
          </w:p>
          <w:p w14:paraId="04AA8459">
            <w:pPr>
              <w:pStyle w:val="6"/>
              <w:spacing w:before="14" w:line="221" w:lineRule="auto"/>
              <w:ind w:left="124"/>
            </w:pPr>
            <w:r>
              <w:rPr>
                <w:spacing w:val="-1"/>
              </w:rPr>
              <w:t>电</w:t>
            </w:r>
            <w:r>
              <w:rPr>
                <w:spacing w:val="10"/>
              </w:rPr>
              <w:t xml:space="preserve">   </w:t>
            </w:r>
            <w:r>
              <w:rPr>
                <w:spacing w:val="-1"/>
              </w:rPr>
              <w:t>话：0713-5058155</w:t>
            </w:r>
          </w:p>
          <w:p w14:paraId="18D9E27E">
            <w:pPr>
              <w:pStyle w:val="6"/>
              <w:spacing w:before="15" w:line="285" w:lineRule="exact"/>
              <w:ind w:left="124"/>
            </w:pPr>
            <w:r>
              <w:rPr>
                <w:spacing w:val="-14"/>
                <w:position w:val="1"/>
              </w:rPr>
              <w:t>电子邮件：</w:t>
            </w:r>
            <w:r>
              <w:rPr>
                <w:color w:val="3040D0"/>
                <w:spacing w:val="-14"/>
                <w:position w:val="1"/>
              </w:rPr>
              <w:t>/</w:t>
            </w:r>
          </w:p>
        </w:tc>
      </w:tr>
      <w:tr w14:paraId="46CDF3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864" w:type="dxa"/>
            <w:vAlign w:val="top"/>
          </w:tcPr>
          <w:p w14:paraId="48DC3D68">
            <w:pPr>
              <w:pStyle w:val="6"/>
              <w:spacing w:before="154" w:line="239" w:lineRule="auto"/>
              <w:ind w:left="154"/>
            </w:pPr>
            <w:r>
              <w:rPr>
                <w:spacing w:val="-4"/>
              </w:rPr>
              <w:t>1.1.4</w:t>
            </w:r>
          </w:p>
        </w:tc>
        <w:tc>
          <w:tcPr>
            <w:tcW w:w="2267" w:type="dxa"/>
            <w:vAlign w:val="top"/>
          </w:tcPr>
          <w:p w14:paraId="1E025A4B">
            <w:pPr>
              <w:pStyle w:val="6"/>
              <w:spacing w:before="134" w:line="220" w:lineRule="auto"/>
              <w:ind w:left="100"/>
            </w:pPr>
            <w:r>
              <w:rPr>
                <w:spacing w:val="2"/>
              </w:rPr>
              <w:t>项目名称</w:t>
            </w:r>
          </w:p>
        </w:tc>
        <w:tc>
          <w:tcPr>
            <w:tcW w:w="5279" w:type="dxa"/>
            <w:vAlign w:val="top"/>
          </w:tcPr>
          <w:p w14:paraId="29BCD745">
            <w:pPr>
              <w:pStyle w:val="6"/>
              <w:spacing w:before="133" w:line="219" w:lineRule="auto"/>
              <w:ind w:left="124"/>
              <w:rPr>
                <w:rFonts w:hint="eastAsia" w:eastAsia="宋体"/>
                <w:lang w:eastAsia="zh-CN"/>
              </w:rPr>
            </w:pPr>
            <w:r>
              <w:rPr>
                <w:rFonts w:hint="eastAsia"/>
                <w:color w:val="2020F0"/>
                <w:spacing w:val="2"/>
                <w:lang w:eastAsia="zh-CN"/>
              </w:rPr>
              <w:t>罗田县落梅河片区供水提升工程项目</w:t>
            </w:r>
          </w:p>
        </w:tc>
      </w:tr>
      <w:tr w14:paraId="654FFA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864" w:type="dxa"/>
            <w:vAlign w:val="top"/>
          </w:tcPr>
          <w:p w14:paraId="38059AB7">
            <w:pPr>
              <w:pStyle w:val="6"/>
              <w:spacing w:before="145" w:line="239" w:lineRule="auto"/>
              <w:ind w:left="154"/>
            </w:pPr>
            <w:r>
              <w:rPr>
                <w:spacing w:val="-4"/>
              </w:rPr>
              <w:t>1.1.5</w:t>
            </w:r>
          </w:p>
        </w:tc>
        <w:tc>
          <w:tcPr>
            <w:tcW w:w="2267" w:type="dxa"/>
            <w:vAlign w:val="top"/>
          </w:tcPr>
          <w:p w14:paraId="75916DCD">
            <w:pPr>
              <w:pStyle w:val="6"/>
              <w:spacing w:before="125" w:line="221" w:lineRule="auto"/>
              <w:ind w:left="100"/>
            </w:pPr>
            <w:r>
              <w:rPr>
                <w:spacing w:val="4"/>
              </w:rPr>
              <w:t>建设地点</w:t>
            </w:r>
          </w:p>
        </w:tc>
        <w:tc>
          <w:tcPr>
            <w:tcW w:w="5279" w:type="dxa"/>
            <w:vAlign w:val="top"/>
          </w:tcPr>
          <w:p w14:paraId="7B81F3DD">
            <w:pPr>
              <w:pStyle w:val="6"/>
              <w:spacing w:before="128" w:line="223" w:lineRule="auto"/>
              <w:ind w:left="124"/>
              <w:rPr>
                <w:rFonts w:hint="default" w:eastAsia="宋体"/>
                <w:lang w:val="en-US" w:eastAsia="zh-CN"/>
              </w:rPr>
            </w:pPr>
            <w:r>
              <w:rPr>
                <w:rFonts w:hint="eastAsia"/>
                <w:color w:val="2020F0"/>
                <w:spacing w:val="-3"/>
                <w:lang w:eastAsia="zh-CN"/>
              </w:rPr>
              <w:t>罗田县</w:t>
            </w:r>
            <w:r>
              <w:rPr>
                <w:rFonts w:hint="eastAsia"/>
                <w:color w:val="2020F0"/>
                <w:spacing w:val="-3"/>
                <w:lang w:val="en-US" w:eastAsia="zh-CN"/>
              </w:rPr>
              <w:t>胜利镇</w:t>
            </w:r>
          </w:p>
        </w:tc>
      </w:tr>
      <w:tr w14:paraId="6100D2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864" w:type="dxa"/>
            <w:vAlign w:val="top"/>
          </w:tcPr>
          <w:p w14:paraId="4C2A5E7D">
            <w:pPr>
              <w:pStyle w:val="6"/>
              <w:spacing w:before="205" w:line="214" w:lineRule="auto"/>
              <w:ind w:left="154"/>
            </w:pPr>
            <w:r>
              <w:rPr>
                <w:spacing w:val="-4"/>
              </w:rPr>
              <w:t>1.1.6</w:t>
            </w:r>
          </w:p>
        </w:tc>
        <w:tc>
          <w:tcPr>
            <w:tcW w:w="2267" w:type="dxa"/>
            <w:vAlign w:val="top"/>
          </w:tcPr>
          <w:p w14:paraId="3122DAA2">
            <w:pPr>
              <w:pStyle w:val="6"/>
              <w:spacing w:before="175" w:line="221" w:lineRule="auto"/>
              <w:ind w:left="100"/>
            </w:pPr>
            <w:r>
              <w:rPr>
                <w:spacing w:val="3"/>
              </w:rPr>
              <w:t>设计人</w:t>
            </w:r>
          </w:p>
        </w:tc>
        <w:tc>
          <w:tcPr>
            <w:tcW w:w="5279" w:type="dxa"/>
            <w:vAlign w:val="top"/>
          </w:tcPr>
          <w:p w14:paraId="294175D2">
            <w:pPr>
              <w:pStyle w:val="6"/>
              <w:spacing w:before="140" w:line="224" w:lineRule="auto"/>
              <w:ind w:left="124"/>
            </w:pPr>
            <w:r>
              <w:rPr>
                <w:color w:val="3040F0"/>
              </w:rPr>
              <w:t>/</w:t>
            </w:r>
          </w:p>
        </w:tc>
      </w:tr>
      <w:tr w14:paraId="4ED057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864" w:type="dxa"/>
            <w:vAlign w:val="top"/>
          </w:tcPr>
          <w:p w14:paraId="7E725BFB">
            <w:pPr>
              <w:pStyle w:val="6"/>
              <w:spacing w:before="206" w:line="232" w:lineRule="auto"/>
              <w:ind w:left="154"/>
            </w:pPr>
            <w:r>
              <w:rPr>
                <w:spacing w:val="-4"/>
              </w:rPr>
              <w:t>1.1.7</w:t>
            </w:r>
          </w:p>
        </w:tc>
        <w:tc>
          <w:tcPr>
            <w:tcW w:w="2267" w:type="dxa"/>
            <w:vAlign w:val="top"/>
          </w:tcPr>
          <w:p w14:paraId="2FBCD5BB">
            <w:pPr>
              <w:pStyle w:val="6"/>
              <w:spacing w:before="188" w:line="222" w:lineRule="auto"/>
              <w:ind w:left="100"/>
            </w:pPr>
            <w:r>
              <w:rPr>
                <w:spacing w:val="-3"/>
              </w:rPr>
              <w:t>监理人</w:t>
            </w:r>
          </w:p>
        </w:tc>
        <w:tc>
          <w:tcPr>
            <w:tcW w:w="5279" w:type="dxa"/>
            <w:vAlign w:val="top"/>
          </w:tcPr>
          <w:p w14:paraId="3C1EAC55">
            <w:pPr>
              <w:pStyle w:val="6"/>
              <w:spacing w:before="151" w:line="224" w:lineRule="auto"/>
              <w:ind w:left="124"/>
            </w:pPr>
            <w:r>
              <w:rPr>
                <w:color w:val="3040F0"/>
              </w:rPr>
              <w:t>/</w:t>
            </w:r>
          </w:p>
        </w:tc>
      </w:tr>
      <w:tr w14:paraId="4F9A56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864" w:type="dxa"/>
            <w:vAlign w:val="top"/>
          </w:tcPr>
          <w:p w14:paraId="4F876FDD">
            <w:pPr>
              <w:pStyle w:val="6"/>
              <w:spacing w:before="196" w:line="213" w:lineRule="auto"/>
              <w:ind w:left="154"/>
            </w:pPr>
            <w:r>
              <w:rPr>
                <w:spacing w:val="-4"/>
              </w:rPr>
              <w:t>1.1.8</w:t>
            </w:r>
          </w:p>
        </w:tc>
        <w:tc>
          <w:tcPr>
            <w:tcW w:w="2267" w:type="dxa"/>
            <w:vAlign w:val="top"/>
          </w:tcPr>
          <w:p w14:paraId="2B3E6558">
            <w:pPr>
              <w:pStyle w:val="6"/>
              <w:spacing w:before="165" w:line="219" w:lineRule="auto"/>
              <w:ind w:left="100"/>
            </w:pPr>
            <w:r>
              <w:rPr>
                <w:spacing w:val="-2"/>
              </w:rPr>
              <w:t>代建人</w:t>
            </w:r>
          </w:p>
        </w:tc>
        <w:tc>
          <w:tcPr>
            <w:tcW w:w="5279" w:type="dxa"/>
            <w:vAlign w:val="top"/>
          </w:tcPr>
          <w:p w14:paraId="3C9AFEE8">
            <w:pPr>
              <w:pStyle w:val="6"/>
              <w:spacing w:before="125" w:line="219" w:lineRule="auto"/>
              <w:ind w:left="124"/>
              <w:rPr>
                <w:rFonts w:hint="eastAsia" w:eastAsia="宋体"/>
                <w:lang w:eastAsia="zh-CN"/>
              </w:rPr>
            </w:pPr>
            <w:r>
              <w:rPr>
                <w:rFonts w:hint="eastAsia"/>
                <w:color w:val="2020F0"/>
                <w:spacing w:val="2"/>
                <w:lang w:val="en-US" w:eastAsia="zh-CN"/>
              </w:rPr>
              <w:t>/</w:t>
            </w:r>
          </w:p>
        </w:tc>
      </w:tr>
      <w:tr w14:paraId="7A266C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864" w:type="dxa"/>
            <w:vAlign w:val="top"/>
          </w:tcPr>
          <w:p w14:paraId="6B5AF5C7">
            <w:pPr>
              <w:pStyle w:val="6"/>
              <w:spacing w:before="157" w:line="239" w:lineRule="auto"/>
              <w:ind w:left="154"/>
            </w:pPr>
            <w:r>
              <w:rPr>
                <w:spacing w:val="-4"/>
              </w:rPr>
              <w:t>1.2.1</w:t>
            </w:r>
          </w:p>
        </w:tc>
        <w:tc>
          <w:tcPr>
            <w:tcW w:w="2267" w:type="dxa"/>
            <w:vAlign w:val="top"/>
          </w:tcPr>
          <w:p w14:paraId="53940C2B">
            <w:pPr>
              <w:pStyle w:val="6"/>
              <w:spacing w:before="136" w:line="219" w:lineRule="auto"/>
              <w:ind w:left="100"/>
            </w:pPr>
            <w:r>
              <w:rPr>
                <w:spacing w:val="2"/>
              </w:rPr>
              <w:t>资金来源</w:t>
            </w:r>
          </w:p>
        </w:tc>
        <w:tc>
          <w:tcPr>
            <w:tcW w:w="5279" w:type="dxa"/>
            <w:vAlign w:val="top"/>
          </w:tcPr>
          <w:p w14:paraId="360DD0D3">
            <w:pPr>
              <w:pStyle w:val="6"/>
              <w:spacing w:before="136" w:line="219" w:lineRule="auto"/>
              <w:ind w:left="124"/>
              <w:rPr>
                <w:rFonts w:hint="default" w:eastAsia="宋体"/>
                <w:lang w:val="en-US" w:eastAsia="zh-CN"/>
              </w:rPr>
            </w:pPr>
            <w:r>
              <w:rPr>
                <w:rFonts w:hint="eastAsia"/>
                <w:lang w:val="en-US" w:eastAsia="zh-CN"/>
              </w:rPr>
              <w:t>自筹资金</w:t>
            </w:r>
          </w:p>
        </w:tc>
      </w:tr>
      <w:tr w14:paraId="3FAF82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864" w:type="dxa"/>
            <w:vAlign w:val="top"/>
          </w:tcPr>
          <w:p w14:paraId="6A67C65E">
            <w:pPr>
              <w:pStyle w:val="6"/>
              <w:spacing w:before="157" w:line="239" w:lineRule="auto"/>
              <w:ind w:left="154"/>
            </w:pPr>
            <w:r>
              <w:rPr>
                <w:spacing w:val="-4"/>
              </w:rPr>
              <w:t>1.2.2</w:t>
            </w:r>
          </w:p>
        </w:tc>
        <w:tc>
          <w:tcPr>
            <w:tcW w:w="2267" w:type="dxa"/>
            <w:vAlign w:val="top"/>
          </w:tcPr>
          <w:p w14:paraId="2C0608D9">
            <w:pPr>
              <w:pStyle w:val="6"/>
              <w:spacing w:before="137" w:line="221" w:lineRule="auto"/>
              <w:ind w:left="100"/>
            </w:pPr>
            <w:r>
              <w:rPr>
                <w:spacing w:val="4"/>
              </w:rPr>
              <w:t>出资比例</w:t>
            </w:r>
          </w:p>
        </w:tc>
        <w:tc>
          <w:tcPr>
            <w:tcW w:w="5279" w:type="dxa"/>
            <w:vAlign w:val="top"/>
          </w:tcPr>
          <w:p w14:paraId="565C4245">
            <w:pPr>
              <w:pStyle w:val="6"/>
              <w:spacing w:before="156"/>
              <w:ind w:left="124"/>
            </w:pPr>
            <w:r>
              <w:rPr>
                <w:color w:val="2020F0"/>
                <w:spacing w:val="-5"/>
              </w:rPr>
              <w:t>100%</w:t>
            </w:r>
          </w:p>
        </w:tc>
      </w:tr>
      <w:tr w14:paraId="2E6CD1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9" w:hRule="atLeast"/>
        </w:trPr>
        <w:tc>
          <w:tcPr>
            <w:tcW w:w="864" w:type="dxa"/>
            <w:vAlign w:val="top"/>
          </w:tcPr>
          <w:p w14:paraId="14FCDECD">
            <w:pPr>
              <w:pStyle w:val="6"/>
              <w:spacing w:before="147" w:line="239" w:lineRule="auto"/>
              <w:ind w:left="154"/>
            </w:pPr>
            <w:r>
              <w:rPr>
                <w:spacing w:val="-4"/>
              </w:rPr>
              <w:t>1.2.3</w:t>
            </w:r>
          </w:p>
        </w:tc>
        <w:tc>
          <w:tcPr>
            <w:tcW w:w="2267" w:type="dxa"/>
            <w:vAlign w:val="top"/>
          </w:tcPr>
          <w:p w14:paraId="5D1456D6">
            <w:pPr>
              <w:pStyle w:val="6"/>
              <w:spacing w:before="127" w:line="220" w:lineRule="auto"/>
              <w:ind w:left="100"/>
            </w:pPr>
            <w:r>
              <w:rPr>
                <w:spacing w:val="1"/>
              </w:rPr>
              <w:t>资金落实情况</w:t>
            </w:r>
          </w:p>
        </w:tc>
        <w:tc>
          <w:tcPr>
            <w:tcW w:w="5279" w:type="dxa"/>
            <w:vAlign w:val="top"/>
          </w:tcPr>
          <w:p w14:paraId="73F2E0E8">
            <w:pPr>
              <w:pStyle w:val="6"/>
              <w:spacing w:before="127" w:line="220" w:lineRule="auto"/>
              <w:ind w:left="124"/>
            </w:pPr>
            <w:r>
              <w:rPr>
                <w:color w:val="2020F0"/>
                <w:spacing w:val="3"/>
              </w:rPr>
              <w:t>已落实</w:t>
            </w:r>
          </w:p>
        </w:tc>
      </w:tr>
      <w:tr w14:paraId="24CCCA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99" w:hRule="atLeast"/>
        </w:trPr>
        <w:tc>
          <w:tcPr>
            <w:tcW w:w="864" w:type="dxa"/>
            <w:vAlign w:val="top"/>
          </w:tcPr>
          <w:p w14:paraId="08940F18">
            <w:pPr>
              <w:spacing w:line="407" w:lineRule="auto"/>
              <w:rPr>
                <w:rFonts w:ascii="Arial"/>
                <w:sz w:val="21"/>
              </w:rPr>
            </w:pPr>
          </w:p>
          <w:p w14:paraId="63B7FEA4">
            <w:pPr>
              <w:pStyle w:val="6"/>
              <w:spacing w:before="68" w:line="239" w:lineRule="auto"/>
              <w:ind w:left="154"/>
            </w:pPr>
            <w:r>
              <w:rPr>
                <w:spacing w:val="-4"/>
              </w:rPr>
              <w:t>1.2.4</w:t>
            </w:r>
          </w:p>
        </w:tc>
        <w:tc>
          <w:tcPr>
            <w:tcW w:w="2267" w:type="dxa"/>
            <w:vAlign w:val="top"/>
          </w:tcPr>
          <w:p w14:paraId="72A1CC1D">
            <w:pPr>
              <w:spacing w:line="387" w:lineRule="auto"/>
              <w:rPr>
                <w:rFonts w:ascii="Arial"/>
                <w:sz w:val="21"/>
              </w:rPr>
            </w:pPr>
          </w:p>
          <w:p w14:paraId="055AB9A2">
            <w:pPr>
              <w:pStyle w:val="6"/>
              <w:spacing w:before="68" w:line="220" w:lineRule="auto"/>
              <w:ind w:left="100"/>
            </w:pPr>
            <w:r>
              <w:rPr>
                <w:spacing w:val="5"/>
              </w:rPr>
              <w:t>项目性质</w:t>
            </w:r>
          </w:p>
        </w:tc>
        <w:tc>
          <w:tcPr>
            <w:tcW w:w="5279" w:type="dxa"/>
            <w:vAlign w:val="top"/>
          </w:tcPr>
          <w:p w14:paraId="0ECA95A7">
            <w:pPr>
              <w:pStyle w:val="6"/>
              <w:spacing w:before="36" w:line="219" w:lineRule="auto"/>
              <w:ind w:left="124"/>
            </w:pPr>
            <w:r>
              <w:rPr>
                <w:rFonts w:ascii="MS Gothic" w:hAnsi="MS Gothic" w:eastAsia="MS Gothic" w:cs="MS Gothic"/>
                <w:color w:val="2010F0"/>
                <w:sz w:val="22"/>
                <w:szCs w:val="22"/>
              </w:rPr>
              <w:t>☑</w:t>
            </w:r>
            <w:r>
              <w:rPr>
                <w:color w:val="3030E0"/>
                <w:spacing w:val="-1"/>
              </w:rPr>
              <w:t>本项目不属于政府采购工程，不执行政府采购政策。</w:t>
            </w:r>
          </w:p>
          <w:p w14:paraId="1818AFB7">
            <w:pPr>
              <w:pStyle w:val="6"/>
              <w:spacing w:before="40" w:line="219" w:lineRule="auto"/>
              <w:ind w:left="103"/>
            </w:pPr>
            <w:r>
              <w:rPr>
                <w:color w:val="2030F0"/>
              </w:rPr>
              <w:t>□本项目属于政府采购工程，执行支持中小企业发展政</w:t>
            </w:r>
          </w:p>
          <w:p w14:paraId="782ED6FC">
            <w:pPr>
              <w:pStyle w:val="6"/>
              <w:spacing w:before="12" w:line="220" w:lineRule="auto"/>
              <w:ind w:left="124"/>
            </w:pPr>
            <w:r>
              <w:rPr>
                <w:spacing w:val="2"/>
              </w:rPr>
              <w:t>策。</w:t>
            </w:r>
          </w:p>
          <w:p w14:paraId="236D7B47">
            <w:pPr>
              <w:pStyle w:val="6"/>
              <w:spacing w:before="28" w:line="195" w:lineRule="auto"/>
              <w:ind w:left="124"/>
            </w:pPr>
            <w:r>
              <w:rPr>
                <w:color w:val="2030F0"/>
                <w:spacing w:val="-1"/>
              </w:rPr>
              <w:t>采购标的对应的中小企业划型标准所属行业为建筑业。</w:t>
            </w:r>
          </w:p>
        </w:tc>
      </w:tr>
      <w:tr w14:paraId="2322DE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24" w:hRule="atLeast"/>
        </w:trPr>
        <w:tc>
          <w:tcPr>
            <w:tcW w:w="864" w:type="dxa"/>
            <w:vAlign w:val="top"/>
          </w:tcPr>
          <w:p w14:paraId="71746979">
            <w:pPr>
              <w:spacing w:line="418" w:lineRule="auto"/>
              <w:rPr>
                <w:rFonts w:ascii="Arial"/>
                <w:sz w:val="21"/>
              </w:rPr>
            </w:pPr>
          </w:p>
          <w:p w14:paraId="786EF39C">
            <w:pPr>
              <w:pStyle w:val="6"/>
              <w:spacing w:before="68" w:line="239" w:lineRule="auto"/>
              <w:ind w:left="154"/>
            </w:pPr>
            <w:r>
              <w:rPr>
                <w:spacing w:val="-4"/>
              </w:rPr>
              <w:t>1.3.1</w:t>
            </w:r>
          </w:p>
        </w:tc>
        <w:tc>
          <w:tcPr>
            <w:tcW w:w="2267" w:type="dxa"/>
            <w:vAlign w:val="top"/>
          </w:tcPr>
          <w:p w14:paraId="1BD786BB">
            <w:pPr>
              <w:spacing w:line="398" w:lineRule="auto"/>
              <w:rPr>
                <w:rFonts w:ascii="Arial"/>
                <w:sz w:val="21"/>
              </w:rPr>
            </w:pPr>
          </w:p>
          <w:p w14:paraId="1DE7AA41">
            <w:pPr>
              <w:pStyle w:val="6"/>
              <w:spacing w:before="68" w:line="220" w:lineRule="auto"/>
              <w:ind w:left="100"/>
            </w:pPr>
            <w:r>
              <w:rPr>
                <w:spacing w:val="4"/>
              </w:rPr>
              <w:t>招标范围</w:t>
            </w:r>
          </w:p>
        </w:tc>
        <w:tc>
          <w:tcPr>
            <w:tcW w:w="5279" w:type="dxa"/>
            <w:vAlign w:val="top"/>
          </w:tcPr>
          <w:p w14:paraId="4FD80480">
            <w:pPr>
              <w:pStyle w:val="6"/>
              <w:spacing w:before="125" w:line="219" w:lineRule="auto"/>
              <w:ind w:left="124"/>
              <w:rPr>
                <w:color w:val="2020F0"/>
                <w:spacing w:val="2"/>
              </w:rPr>
            </w:pPr>
            <w:r>
              <w:rPr>
                <w:rFonts w:hint="eastAsia"/>
                <w:color w:val="2020F0"/>
                <w:spacing w:val="2"/>
                <w:lang w:val="en-US" w:eastAsia="zh-CN"/>
              </w:rPr>
              <w:t>本项目为罗田县落梅河片区供水提升工程项目。主要建设内容为：取水工程、输水工程、净水工程、配水工程、厂区基础设施工程、供电系统工程等。</w:t>
            </w:r>
            <w:r>
              <w:rPr>
                <w:color w:val="2020F0"/>
                <w:spacing w:val="2"/>
              </w:rPr>
              <w:t>关于招标范围的详细说明见第七章“技术标准和要求”。</w:t>
            </w:r>
          </w:p>
        </w:tc>
      </w:tr>
    </w:tbl>
    <w:p w14:paraId="313E0981">
      <w:pPr>
        <w:rPr>
          <w:rFonts w:ascii="Arial"/>
          <w:sz w:val="21"/>
        </w:rPr>
      </w:pPr>
    </w:p>
    <w:p w14:paraId="3D78CF53">
      <w:pPr>
        <w:rPr>
          <w:rFonts w:ascii="Arial" w:hAnsi="Arial" w:eastAsia="Arial" w:cs="Arial"/>
          <w:sz w:val="21"/>
          <w:szCs w:val="21"/>
        </w:rPr>
        <w:sectPr>
          <w:footerReference r:id="rId14" w:type="default"/>
          <w:pgSz w:w="11910" w:h="16840"/>
          <w:pgMar w:top="1431" w:right="1786" w:bottom="1001" w:left="1445" w:header="0" w:footer="857" w:gutter="0"/>
          <w:cols w:space="720" w:num="1"/>
        </w:sectPr>
      </w:pPr>
    </w:p>
    <w:p w14:paraId="373846D9">
      <w:pPr>
        <w:spacing w:before="2"/>
      </w:pPr>
    </w:p>
    <w:tbl>
      <w:tblPr>
        <w:tblStyle w:val="5"/>
        <w:tblW w:w="843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4"/>
        <w:gridCol w:w="2277"/>
        <w:gridCol w:w="5303"/>
      </w:tblGrid>
      <w:tr w14:paraId="37D9A7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63" w:hRule="atLeast"/>
        </w:trPr>
        <w:tc>
          <w:tcPr>
            <w:tcW w:w="854" w:type="dxa"/>
            <w:vAlign w:val="top"/>
          </w:tcPr>
          <w:p w14:paraId="084D22F6">
            <w:pPr>
              <w:spacing w:line="306" w:lineRule="auto"/>
              <w:rPr>
                <w:rFonts w:ascii="Arial"/>
                <w:sz w:val="21"/>
              </w:rPr>
            </w:pPr>
          </w:p>
          <w:p w14:paraId="3EC94AA2">
            <w:pPr>
              <w:spacing w:line="306" w:lineRule="auto"/>
              <w:rPr>
                <w:rFonts w:ascii="Arial"/>
                <w:sz w:val="21"/>
              </w:rPr>
            </w:pPr>
          </w:p>
          <w:p w14:paraId="6D588566">
            <w:pPr>
              <w:spacing w:line="306" w:lineRule="auto"/>
              <w:rPr>
                <w:rFonts w:ascii="Arial"/>
                <w:sz w:val="21"/>
              </w:rPr>
            </w:pPr>
          </w:p>
          <w:p w14:paraId="6C186DD7">
            <w:pPr>
              <w:pStyle w:val="6"/>
              <w:spacing w:before="72" w:line="239" w:lineRule="auto"/>
              <w:ind w:left="144"/>
              <w:rPr>
                <w:sz w:val="22"/>
                <w:szCs w:val="22"/>
              </w:rPr>
            </w:pPr>
            <w:r>
              <w:rPr>
                <w:spacing w:val="-4"/>
                <w:sz w:val="22"/>
                <w:szCs w:val="22"/>
              </w:rPr>
              <w:t>1.3.2</w:t>
            </w:r>
          </w:p>
        </w:tc>
        <w:tc>
          <w:tcPr>
            <w:tcW w:w="2277" w:type="dxa"/>
            <w:vAlign w:val="top"/>
          </w:tcPr>
          <w:p w14:paraId="45D98156">
            <w:pPr>
              <w:spacing w:line="299" w:lineRule="auto"/>
              <w:rPr>
                <w:rFonts w:ascii="Arial"/>
                <w:sz w:val="21"/>
              </w:rPr>
            </w:pPr>
          </w:p>
          <w:p w14:paraId="717EDBB7">
            <w:pPr>
              <w:spacing w:line="299" w:lineRule="auto"/>
              <w:rPr>
                <w:rFonts w:ascii="Arial"/>
                <w:sz w:val="21"/>
              </w:rPr>
            </w:pPr>
          </w:p>
          <w:p w14:paraId="25C58ACE">
            <w:pPr>
              <w:spacing w:line="299" w:lineRule="auto"/>
              <w:rPr>
                <w:rFonts w:ascii="Arial"/>
                <w:sz w:val="21"/>
              </w:rPr>
            </w:pPr>
          </w:p>
          <w:p w14:paraId="77AD1C26">
            <w:pPr>
              <w:pStyle w:val="6"/>
              <w:spacing w:before="72" w:line="220" w:lineRule="auto"/>
              <w:ind w:left="110"/>
              <w:rPr>
                <w:sz w:val="22"/>
                <w:szCs w:val="22"/>
              </w:rPr>
            </w:pPr>
            <w:r>
              <w:rPr>
                <w:spacing w:val="3"/>
                <w:sz w:val="22"/>
                <w:szCs w:val="22"/>
              </w:rPr>
              <w:t>计划工期</w:t>
            </w:r>
          </w:p>
        </w:tc>
        <w:tc>
          <w:tcPr>
            <w:tcW w:w="5303" w:type="dxa"/>
            <w:vAlign w:val="top"/>
          </w:tcPr>
          <w:p w14:paraId="278144AF">
            <w:pPr>
              <w:spacing w:line="241" w:lineRule="auto"/>
              <w:rPr>
                <w:rFonts w:ascii="Arial"/>
                <w:sz w:val="21"/>
              </w:rPr>
            </w:pPr>
          </w:p>
          <w:p w14:paraId="7D17DC8B">
            <w:pPr>
              <w:pStyle w:val="6"/>
              <w:spacing w:before="72" w:line="220" w:lineRule="auto"/>
              <w:ind w:left="103"/>
              <w:rPr>
                <w:sz w:val="22"/>
                <w:szCs w:val="22"/>
              </w:rPr>
            </w:pPr>
            <w:r>
              <w:rPr>
                <w:spacing w:val="-1"/>
                <w:sz w:val="22"/>
                <w:szCs w:val="22"/>
              </w:rPr>
              <w:t>计划工期：</w:t>
            </w:r>
            <w:r>
              <w:rPr>
                <w:rFonts w:hint="eastAsia"/>
                <w:spacing w:val="-1"/>
                <w:sz w:val="22"/>
                <w:szCs w:val="22"/>
                <w:lang w:val="en-US" w:eastAsia="zh-CN"/>
              </w:rPr>
              <w:t>365</w:t>
            </w:r>
            <w:r>
              <w:rPr>
                <w:spacing w:val="-1"/>
                <w:sz w:val="22"/>
                <w:szCs w:val="22"/>
              </w:rPr>
              <w:t>日历天</w:t>
            </w:r>
          </w:p>
          <w:p w14:paraId="0F475827">
            <w:pPr>
              <w:pStyle w:val="6"/>
              <w:spacing w:before="28" w:line="217" w:lineRule="auto"/>
              <w:ind w:left="103"/>
              <w:rPr>
                <w:rFonts w:hint="eastAsia" w:eastAsia="宋体"/>
                <w:sz w:val="22"/>
                <w:szCs w:val="22"/>
                <w:lang w:val="en-US" w:eastAsia="zh-CN"/>
              </w:rPr>
            </w:pPr>
            <w:r>
              <w:rPr>
                <w:spacing w:val="-1"/>
                <w:sz w:val="22"/>
                <w:szCs w:val="22"/>
              </w:rPr>
              <w:t>计划开工日期：202</w:t>
            </w:r>
            <w:r>
              <w:rPr>
                <w:rFonts w:hint="eastAsia"/>
                <w:spacing w:val="-1"/>
                <w:sz w:val="22"/>
                <w:szCs w:val="22"/>
                <w:lang w:val="en-US" w:eastAsia="zh-CN"/>
              </w:rPr>
              <w:t>6</w:t>
            </w:r>
            <w:r>
              <w:rPr>
                <w:spacing w:val="-1"/>
                <w:sz w:val="22"/>
                <w:szCs w:val="22"/>
              </w:rPr>
              <w:t>-</w:t>
            </w:r>
            <w:r>
              <w:rPr>
                <w:rFonts w:hint="eastAsia"/>
                <w:spacing w:val="-1"/>
                <w:sz w:val="22"/>
                <w:szCs w:val="22"/>
                <w:lang w:val="en-US" w:eastAsia="zh-CN"/>
              </w:rPr>
              <w:t>8</w:t>
            </w:r>
            <w:r>
              <w:rPr>
                <w:spacing w:val="-1"/>
                <w:sz w:val="22"/>
                <w:szCs w:val="22"/>
              </w:rPr>
              <w:t>-</w:t>
            </w:r>
            <w:r>
              <w:rPr>
                <w:rFonts w:hint="eastAsia"/>
                <w:spacing w:val="-1"/>
                <w:sz w:val="22"/>
                <w:szCs w:val="22"/>
                <w:lang w:val="en-US" w:eastAsia="zh-CN"/>
              </w:rPr>
              <w:t>1</w:t>
            </w:r>
          </w:p>
          <w:p w14:paraId="2E2379C6">
            <w:pPr>
              <w:pStyle w:val="6"/>
              <w:spacing w:line="218" w:lineRule="auto"/>
              <w:ind w:left="103"/>
              <w:rPr>
                <w:rFonts w:hint="default" w:eastAsia="宋体"/>
                <w:sz w:val="22"/>
                <w:szCs w:val="22"/>
                <w:lang w:val="en-US" w:eastAsia="zh-CN"/>
              </w:rPr>
            </w:pPr>
            <w:r>
              <w:rPr>
                <w:spacing w:val="-1"/>
                <w:sz w:val="22"/>
                <w:szCs w:val="22"/>
              </w:rPr>
              <w:t>计划竣工日期：202</w:t>
            </w:r>
            <w:r>
              <w:rPr>
                <w:rFonts w:hint="eastAsia"/>
                <w:spacing w:val="-1"/>
                <w:sz w:val="22"/>
                <w:szCs w:val="22"/>
                <w:lang w:val="en-US" w:eastAsia="zh-CN"/>
              </w:rPr>
              <w:t>7</w:t>
            </w:r>
            <w:r>
              <w:rPr>
                <w:spacing w:val="-1"/>
                <w:sz w:val="22"/>
                <w:szCs w:val="22"/>
              </w:rPr>
              <w:t>-</w:t>
            </w:r>
            <w:r>
              <w:rPr>
                <w:rFonts w:hint="eastAsia"/>
                <w:spacing w:val="-1"/>
                <w:sz w:val="22"/>
                <w:szCs w:val="22"/>
                <w:lang w:val="en-US" w:eastAsia="zh-CN"/>
              </w:rPr>
              <w:t>8</w:t>
            </w:r>
            <w:r>
              <w:rPr>
                <w:spacing w:val="-1"/>
                <w:sz w:val="22"/>
                <w:szCs w:val="22"/>
              </w:rPr>
              <w:t>-</w:t>
            </w:r>
            <w:r>
              <w:rPr>
                <w:rFonts w:hint="eastAsia"/>
                <w:spacing w:val="-1"/>
                <w:sz w:val="22"/>
                <w:szCs w:val="22"/>
                <w:lang w:val="en-US" w:eastAsia="zh-CN"/>
              </w:rPr>
              <w:t>1</w:t>
            </w:r>
          </w:p>
          <w:p w14:paraId="508A5B9D">
            <w:pPr>
              <w:pStyle w:val="6"/>
              <w:spacing w:line="219" w:lineRule="auto"/>
              <w:ind w:left="103"/>
              <w:rPr>
                <w:sz w:val="22"/>
                <w:szCs w:val="22"/>
              </w:rPr>
            </w:pPr>
            <w:r>
              <w:rPr>
                <w:sz w:val="22"/>
                <w:szCs w:val="22"/>
              </w:rPr>
              <w:t>除上述总工期外，发包人还要求以下区段工</w:t>
            </w:r>
            <w:r>
              <w:rPr>
                <w:spacing w:val="-1"/>
                <w:sz w:val="22"/>
                <w:szCs w:val="22"/>
              </w:rPr>
              <w:t>期：</w:t>
            </w:r>
          </w:p>
          <w:p w14:paraId="1D625936">
            <w:pPr>
              <w:pStyle w:val="6"/>
              <w:spacing w:before="287" w:line="219" w:lineRule="auto"/>
              <w:ind w:left="103"/>
              <w:rPr>
                <w:sz w:val="22"/>
                <w:szCs w:val="22"/>
              </w:rPr>
            </w:pPr>
            <w:r>
              <w:rPr>
                <w:sz w:val="22"/>
                <w:szCs w:val="22"/>
              </w:rPr>
              <w:t>有关工期的详细要求见第七章“技术标准和要求</w:t>
            </w:r>
            <w:r>
              <w:rPr>
                <w:spacing w:val="-1"/>
                <w:sz w:val="22"/>
                <w:szCs w:val="22"/>
              </w:rPr>
              <w:t>”。</w:t>
            </w:r>
          </w:p>
        </w:tc>
      </w:tr>
      <w:tr w14:paraId="75097A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trPr>
        <w:tc>
          <w:tcPr>
            <w:tcW w:w="854" w:type="dxa"/>
            <w:vAlign w:val="top"/>
          </w:tcPr>
          <w:p w14:paraId="0633188C">
            <w:pPr>
              <w:spacing w:line="309" w:lineRule="auto"/>
              <w:rPr>
                <w:rFonts w:ascii="Arial"/>
                <w:sz w:val="21"/>
              </w:rPr>
            </w:pPr>
          </w:p>
          <w:p w14:paraId="450A761B">
            <w:pPr>
              <w:pStyle w:val="6"/>
              <w:spacing w:before="71" w:line="239" w:lineRule="auto"/>
              <w:ind w:left="144"/>
              <w:rPr>
                <w:sz w:val="22"/>
                <w:szCs w:val="22"/>
              </w:rPr>
            </w:pPr>
            <w:r>
              <w:rPr>
                <w:spacing w:val="-4"/>
                <w:sz w:val="22"/>
                <w:szCs w:val="22"/>
              </w:rPr>
              <w:t>1.3.3</w:t>
            </w:r>
          </w:p>
        </w:tc>
        <w:tc>
          <w:tcPr>
            <w:tcW w:w="2277" w:type="dxa"/>
            <w:vAlign w:val="top"/>
          </w:tcPr>
          <w:p w14:paraId="44658AFB">
            <w:pPr>
              <w:spacing w:line="288" w:lineRule="auto"/>
              <w:rPr>
                <w:rFonts w:ascii="Arial"/>
                <w:sz w:val="21"/>
              </w:rPr>
            </w:pPr>
          </w:p>
          <w:p w14:paraId="17A39AFE">
            <w:pPr>
              <w:pStyle w:val="6"/>
              <w:spacing w:before="71" w:line="220" w:lineRule="auto"/>
              <w:ind w:left="110"/>
              <w:rPr>
                <w:sz w:val="22"/>
                <w:szCs w:val="22"/>
              </w:rPr>
            </w:pPr>
            <w:r>
              <w:rPr>
                <w:spacing w:val="-2"/>
                <w:sz w:val="22"/>
                <w:szCs w:val="22"/>
              </w:rPr>
              <w:t>质量要求</w:t>
            </w:r>
          </w:p>
        </w:tc>
        <w:tc>
          <w:tcPr>
            <w:tcW w:w="5303" w:type="dxa"/>
            <w:vAlign w:val="top"/>
          </w:tcPr>
          <w:p w14:paraId="27B59947">
            <w:pPr>
              <w:pStyle w:val="6"/>
              <w:spacing w:before="101" w:line="220" w:lineRule="auto"/>
              <w:ind w:left="103"/>
              <w:rPr>
                <w:sz w:val="22"/>
                <w:szCs w:val="22"/>
              </w:rPr>
            </w:pPr>
            <w:r>
              <w:rPr>
                <w:spacing w:val="-1"/>
                <w:sz w:val="22"/>
                <w:szCs w:val="22"/>
              </w:rPr>
              <w:t>质量目标：</w:t>
            </w:r>
          </w:p>
          <w:p w14:paraId="7AD64588">
            <w:pPr>
              <w:pStyle w:val="6"/>
              <w:spacing w:before="17" w:line="219" w:lineRule="auto"/>
              <w:ind w:left="103"/>
              <w:rPr>
                <w:rFonts w:hint="eastAsia" w:eastAsia="宋体"/>
                <w:sz w:val="22"/>
                <w:szCs w:val="22"/>
                <w:lang w:eastAsia="zh-CN"/>
              </w:rPr>
            </w:pPr>
            <w:r>
              <w:rPr>
                <w:color w:val="2020F0"/>
                <w:spacing w:val="-1"/>
                <w:sz w:val="22"/>
                <w:szCs w:val="22"/>
              </w:rPr>
              <w:t>达到国家验收合格标准</w:t>
            </w:r>
            <w:r>
              <w:rPr>
                <w:rFonts w:hint="eastAsia"/>
                <w:color w:val="2020F0"/>
                <w:spacing w:val="-1"/>
                <w:sz w:val="22"/>
                <w:szCs w:val="22"/>
                <w:lang w:eastAsia="zh-CN"/>
              </w:rPr>
              <w:t>。</w:t>
            </w:r>
          </w:p>
          <w:p w14:paraId="11507120">
            <w:pPr>
              <w:pStyle w:val="6"/>
              <w:spacing w:before="27" w:line="209" w:lineRule="auto"/>
              <w:jc w:val="right"/>
              <w:rPr>
                <w:sz w:val="22"/>
                <w:szCs w:val="22"/>
              </w:rPr>
            </w:pPr>
            <w:r>
              <w:rPr>
                <w:spacing w:val="-13"/>
                <w:sz w:val="22"/>
                <w:szCs w:val="22"/>
              </w:rPr>
              <w:t>关于质量要求的详细说明见第七章“技术标准和要求”。</w:t>
            </w:r>
          </w:p>
        </w:tc>
      </w:tr>
      <w:tr w14:paraId="5869C9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7" w:hRule="atLeast"/>
        </w:trPr>
        <w:tc>
          <w:tcPr>
            <w:tcW w:w="854" w:type="dxa"/>
            <w:vAlign w:val="top"/>
          </w:tcPr>
          <w:p w14:paraId="55D2F63B">
            <w:pPr>
              <w:spacing w:line="268" w:lineRule="auto"/>
              <w:rPr>
                <w:rFonts w:ascii="Arial"/>
                <w:sz w:val="21"/>
              </w:rPr>
            </w:pPr>
          </w:p>
          <w:p w14:paraId="08C04BBE">
            <w:pPr>
              <w:spacing w:line="268" w:lineRule="auto"/>
              <w:rPr>
                <w:rFonts w:ascii="Arial"/>
                <w:sz w:val="21"/>
              </w:rPr>
            </w:pPr>
          </w:p>
          <w:p w14:paraId="3F361D22">
            <w:pPr>
              <w:spacing w:line="268" w:lineRule="auto"/>
              <w:rPr>
                <w:rFonts w:ascii="Arial"/>
                <w:sz w:val="21"/>
              </w:rPr>
            </w:pPr>
          </w:p>
          <w:p w14:paraId="4B1FD1D5">
            <w:pPr>
              <w:spacing w:line="269" w:lineRule="auto"/>
              <w:rPr>
                <w:rFonts w:ascii="Arial"/>
                <w:sz w:val="21"/>
              </w:rPr>
            </w:pPr>
          </w:p>
          <w:p w14:paraId="5672B7C3">
            <w:pPr>
              <w:spacing w:line="269" w:lineRule="auto"/>
              <w:rPr>
                <w:rFonts w:ascii="Arial"/>
                <w:sz w:val="21"/>
              </w:rPr>
            </w:pPr>
          </w:p>
          <w:p w14:paraId="29D961BC">
            <w:pPr>
              <w:spacing w:line="269" w:lineRule="auto"/>
              <w:rPr>
                <w:rFonts w:ascii="Arial"/>
                <w:sz w:val="21"/>
              </w:rPr>
            </w:pPr>
          </w:p>
          <w:p w14:paraId="48106F6C">
            <w:pPr>
              <w:spacing w:line="269" w:lineRule="auto"/>
              <w:rPr>
                <w:rFonts w:ascii="Arial"/>
                <w:sz w:val="21"/>
              </w:rPr>
            </w:pPr>
          </w:p>
          <w:p w14:paraId="5EEDD3E3">
            <w:pPr>
              <w:pStyle w:val="6"/>
              <w:spacing w:before="72" w:line="239" w:lineRule="auto"/>
              <w:ind w:left="144"/>
              <w:rPr>
                <w:sz w:val="22"/>
                <w:szCs w:val="22"/>
              </w:rPr>
            </w:pPr>
            <w:r>
              <w:rPr>
                <w:spacing w:val="-4"/>
                <w:sz w:val="22"/>
                <w:szCs w:val="22"/>
              </w:rPr>
              <w:t>1.3.4</w:t>
            </w:r>
          </w:p>
        </w:tc>
        <w:tc>
          <w:tcPr>
            <w:tcW w:w="2277" w:type="dxa"/>
            <w:vAlign w:val="top"/>
          </w:tcPr>
          <w:p w14:paraId="00CD4837">
            <w:pPr>
              <w:spacing w:line="265" w:lineRule="auto"/>
              <w:rPr>
                <w:rFonts w:ascii="Arial"/>
                <w:sz w:val="21"/>
              </w:rPr>
            </w:pPr>
          </w:p>
          <w:p w14:paraId="4EEA4723">
            <w:pPr>
              <w:spacing w:line="265" w:lineRule="auto"/>
              <w:rPr>
                <w:rFonts w:ascii="Arial"/>
                <w:sz w:val="21"/>
              </w:rPr>
            </w:pPr>
          </w:p>
          <w:p w14:paraId="66064011">
            <w:pPr>
              <w:spacing w:line="265" w:lineRule="auto"/>
              <w:rPr>
                <w:rFonts w:ascii="Arial"/>
                <w:sz w:val="21"/>
              </w:rPr>
            </w:pPr>
          </w:p>
          <w:p w14:paraId="145EDF1E">
            <w:pPr>
              <w:spacing w:line="265" w:lineRule="auto"/>
              <w:rPr>
                <w:rFonts w:ascii="Arial"/>
                <w:sz w:val="21"/>
              </w:rPr>
            </w:pPr>
          </w:p>
          <w:p w14:paraId="445D544C">
            <w:pPr>
              <w:spacing w:line="265" w:lineRule="auto"/>
              <w:rPr>
                <w:rFonts w:ascii="Arial"/>
                <w:sz w:val="21"/>
              </w:rPr>
            </w:pPr>
          </w:p>
          <w:p w14:paraId="38C24345">
            <w:pPr>
              <w:spacing w:line="266" w:lineRule="auto"/>
              <w:rPr>
                <w:rFonts w:ascii="Arial"/>
                <w:sz w:val="21"/>
              </w:rPr>
            </w:pPr>
          </w:p>
          <w:p w14:paraId="0C344D42">
            <w:pPr>
              <w:spacing w:line="266" w:lineRule="auto"/>
              <w:rPr>
                <w:rFonts w:ascii="Arial"/>
                <w:sz w:val="21"/>
              </w:rPr>
            </w:pPr>
          </w:p>
          <w:p w14:paraId="0A08E1BD">
            <w:pPr>
              <w:pStyle w:val="6"/>
              <w:spacing w:before="72" w:line="219" w:lineRule="auto"/>
              <w:ind w:left="110"/>
              <w:rPr>
                <w:sz w:val="22"/>
                <w:szCs w:val="22"/>
              </w:rPr>
            </w:pPr>
            <w:r>
              <w:rPr>
                <w:spacing w:val="-2"/>
                <w:sz w:val="22"/>
                <w:szCs w:val="22"/>
              </w:rPr>
              <w:t>政府采购政策</w:t>
            </w:r>
          </w:p>
        </w:tc>
        <w:tc>
          <w:tcPr>
            <w:tcW w:w="5303" w:type="dxa"/>
            <w:vAlign w:val="top"/>
          </w:tcPr>
          <w:p w14:paraId="6E352673">
            <w:pPr>
              <w:pStyle w:val="6"/>
              <w:spacing w:before="40" w:line="219" w:lineRule="auto"/>
              <w:jc w:val="right"/>
              <w:rPr>
                <w:sz w:val="22"/>
                <w:szCs w:val="22"/>
              </w:rPr>
            </w:pPr>
            <w:r>
              <w:rPr>
                <w:spacing w:val="-4"/>
                <w:sz w:val="22"/>
                <w:szCs w:val="22"/>
              </w:rPr>
              <w:t>根据相关规定，本项目采用以下方式支持中小企业发展</w:t>
            </w:r>
          </w:p>
          <w:p w14:paraId="5F2D47D6">
            <w:pPr>
              <w:pStyle w:val="6"/>
              <w:spacing w:before="29" w:line="219" w:lineRule="auto"/>
              <w:ind w:left="103"/>
              <w:rPr>
                <w:sz w:val="22"/>
                <w:szCs w:val="22"/>
              </w:rPr>
            </w:pPr>
            <w:r>
              <w:rPr>
                <w:rFonts w:ascii="MS Gothic" w:hAnsi="MS Gothic" w:eastAsia="MS Gothic" w:cs="MS Gothic"/>
                <w:color w:val="1020F0"/>
                <w:spacing w:val="-1"/>
                <w:sz w:val="22"/>
                <w:szCs w:val="22"/>
              </w:rPr>
              <w:t>☑</w:t>
            </w:r>
            <w:r>
              <w:rPr>
                <w:color w:val="1020F0"/>
                <w:spacing w:val="-1"/>
                <w:sz w:val="22"/>
                <w:szCs w:val="22"/>
              </w:rPr>
              <w:t>项目整体预留专门面向中小企业采购。</w:t>
            </w:r>
          </w:p>
          <w:p w14:paraId="419C8688">
            <w:pPr>
              <w:pStyle w:val="6"/>
              <w:spacing w:before="9" w:line="219" w:lineRule="auto"/>
              <w:ind w:left="103"/>
              <w:rPr>
                <w:sz w:val="22"/>
                <w:szCs w:val="22"/>
              </w:rPr>
            </w:pPr>
            <w:r>
              <w:rPr>
                <w:color w:val="2030F0"/>
                <w:spacing w:val="-1"/>
                <w:sz w:val="22"/>
                <w:szCs w:val="22"/>
              </w:rPr>
              <w:t>□项目整体预留专门面向小微企业采购。</w:t>
            </w:r>
          </w:p>
          <w:p w14:paraId="3D69D1D7">
            <w:pPr>
              <w:pStyle w:val="6"/>
              <w:spacing w:before="29" w:line="218" w:lineRule="auto"/>
              <w:jc w:val="right"/>
              <w:rPr>
                <w:sz w:val="22"/>
                <w:szCs w:val="22"/>
              </w:rPr>
            </w:pPr>
            <w:r>
              <w:rPr>
                <w:color w:val="2030F0"/>
                <w:spacing w:val="-4"/>
                <w:sz w:val="22"/>
                <w:szCs w:val="22"/>
              </w:rPr>
              <w:t>□项目部分预留专门面向中小企业采购，具体的政府采</w:t>
            </w:r>
          </w:p>
          <w:p w14:paraId="51ABD9CF">
            <w:pPr>
              <w:pStyle w:val="6"/>
              <w:spacing w:before="3" w:line="231" w:lineRule="auto"/>
              <w:ind w:left="103"/>
              <w:jc w:val="both"/>
              <w:rPr>
                <w:sz w:val="22"/>
                <w:szCs w:val="22"/>
              </w:rPr>
            </w:pPr>
            <w:r>
              <w:rPr>
                <w:spacing w:val="-4"/>
                <w:sz w:val="22"/>
                <w:szCs w:val="22"/>
              </w:rPr>
              <w:t>购特别资格要求详见第二章投标人须知附录一“投标人</w:t>
            </w:r>
            <w:r>
              <w:rPr>
                <w:spacing w:val="4"/>
                <w:sz w:val="22"/>
                <w:szCs w:val="22"/>
              </w:rPr>
              <w:t xml:space="preserve"> </w:t>
            </w:r>
            <w:r>
              <w:rPr>
                <w:spacing w:val="-14"/>
                <w:sz w:val="22"/>
                <w:szCs w:val="22"/>
              </w:rPr>
              <w:t>资质条</w:t>
            </w:r>
            <w:r>
              <w:rPr>
                <w:spacing w:val="-13"/>
                <w:sz w:val="22"/>
                <w:szCs w:val="22"/>
              </w:rPr>
              <w:t>件、能力和信誉”。部分预留的工作详见第二章</w:t>
            </w:r>
            <w:r>
              <w:rPr>
                <w:spacing w:val="-10"/>
                <w:sz w:val="22"/>
                <w:szCs w:val="22"/>
              </w:rPr>
              <w:t>投</w:t>
            </w:r>
            <w:r>
              <w:rPr>
                <w:spacing w:val="12"/>
                <w:sz w:val="22"/>
                <w:szCs w:val="22"/>
              </w:rPr>
              <w:t xml:space="preserve"> </w:t>
            </w:r>
            <w:r>
              <w:rPr>
                <w:sz w:val="22"/>
                <w:szCs w:val="22"/>
              </w:rPr>
              <w:t>标人须知附录二“政府采购工程预留工作及金额</w:t>
            </w:r>
            <w:r>
              <w:rPr>
                <w:spacing w:val="-1"/>
                <w:sz w:val="22"/>
                <w:szCs w:val="22"/>
              </w:rPr>
              <w:t>”。</w:t>
            </w:r>
          </w:p>
          <w:p w14:paraId="752F35FE">
            <w:pPr>
              <w:pStyle w:val="6"/>
              <w:spacing w:before="238" w:line="231" w:lineRule="auto"/>
              <w:ind w:left="103" w:firstLine="9"/>
              <w:jc w:val="both"/>
              <w:rPr>
                <w:sz w:val="22"/>
                <w:szCs w:val="22"/>
              </w:rPr>
            </w:pPr>
            <w:r>
              <w:rPr>
                <w:spacing w:val="-5"/>
                <w:sz w:val="22"/>
                <w:szCs w:val="22"/>
              </w:rPr>
              <w:t>根据相关规定，本项目未预留份额专门面向中小企业采</w:t>
            </w:r>
            <w:r>
              <w:rPr>
                <w:spacing w:val="15"/>
                <w:sz w:val="22"/>
                <w:szCs w:val="22"/>
              </w:rPr>
              <w:t xml:space="preserve"> </w:t>
            </w:r>
            <w:r>
              <w:rPr>
                <w:sz w:val="22"/>
                <w:szCs w:val="22"/>
              </w:rPr>
              <w:t>购，但对符合政府采购特别资格要求(详见第二章</w:t>
            </w:r>
            <w:r>
              <w:rPr>
                <w:spacing w:val="-1"/>
                <w:sz w:val="22"/>
                <w:szCs w:val="22"/>
              </w:rPr>
              <w:t>投标</w:t>
            </w:r>
            <w:r>
              <w:rPr>
                <w:sz w:val="22"/>
                <w:szCs w:val="22"/>
              </w:rPr>
              <w:t xml:space="preserve"> </w:t>
            </w:r>
            <w:r>
              <w:rPr>
                <w:spacing w:val="-8"/>
                <w:sz w:val="22"/>
                <w:szCs w:val="22"/>
              </w:rPr>
              <w:t>人须知附录一“投标人资质条件、能力和信</w:t>
            </w:r>
            <w:r>
              <w:rPr>
                <w:spacing w:val="-9"/>
                <w:sz w:val="22"/>
                <w:szCs w:val="22"/>
              </w:rPr>
              <w:t>誉”)且满足</w:t>
            </w:r>
            <w:r>
              <w:rPr>
                <w:sz w:val="22"/>
                <w:szCs w:val="22"/>
              </w:rPr>
              <w:t xml:space="preserve"> 一定条件的投标人(详见第三章评标办法“政府采购工</w:t>
            </w:r>
            <w:r>
              <w:rPr>
                <w:spacing w:val="18"/>
                <w:sz w:val="22"/>
                <w:szCs w:val="22"/>
              </w:rPr>
              <w:t xml:space="preserve"> </w:t>
            </w:r>
            <w:r>
              <w:rPr>
                <w:spacing w:val="-4"/>
                <w:sz w:val="22"/>
                <w:szCs w:val="22"/>
              </w:rPr>
              <w:t>程价格评审优惠”),在评标时享受价格扣除或增加价格</w:t>
            </w:r>
            <w:r>
              <w:rPr>
                <w:spacing w:val="5"/>
                <w:sz w:val="22"/>
                <w:szCs w:val="22"/>
              </w:rPr>
              <w:t xml:space="preserve"> </w:t>
            </w:r>
            <w:r>
              <w:rPr>
                <w:spacing w:val="-1"/>
                <w:sz w:val="22"/>
                <w:szCs w:val="22"/>
              </w:rPr>
              <w:t>分的优惠政策。</w:t>
            </w:r>
          </w:p>
        </w:tc>
      </w:tr>
      <w:tr w14:paraId="321718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78" w:hRule="atLeast"/>
        </w:trPr>
        <w:tc>
          <w:tcPr>
            <w:tcW w:w="854" w:type="dxa"/>
            <w:vAlign w:val="top"/>
          </w:tcPr>
          <w:p w14:paraId="24ECBE18">
            <w:pPr>
              <w:spacing w:line="269" w:lineRule="auto"/>
              <w:rPr>
                <w:rFonts w:ascii="Arial"/>
                <w:sz w:val="21"/>
              </w:rPr>
            </w:pPr>
          </w:p>
          <w:p w14:paraId="11DFBB77">
            <w:pPr>
              <w:spacing w:line="269" w:lineRule="auto"/>
              <w:rPr>
                <w:rFonts w:ascii="Arial"/>
                <w:sz w:val="21"/>
              </w:rPr>
            </w:pPr>
          </w:p>
          <w:p w14:paraId="4F0E708F">
            <w:pPr>
              <w:spacing w:line="270" w:lineRule="auto"/>
              <w:rPr>
                <w:rFonts w:ascii="Arial"/>
                <w:sz w:val="21"/>
              </w:rPr>
            </w:pPr>
          </w:p>
          <w:p w14:paraId="5D206BE7">
            <w:pPr>
              <w:spacing w:line="270" w:lineRule="auto"/>
              <w:rPr>
                <w:rFonts w:ascii="Arial"/>
                <w:sz w:val="21"/>
              </w:rPr>
            </w:pPr>
          </w:p>
          <w:p w14:paraId="7646F707">
            <w:pPr>
              <w:pStyle w:val="6"/>
              <w:spacing w:before="72" w:line="239" w:lineRule="auto"/>
              <w:ind w:left="144"/>
              <w:rPr>
                <w:sz w:val="22"/>
                <w:szCs w:val="22"/>
              </w:rPr>
            </w:pPr>
            <w:r>
              <w:rPr>
                <w:spacing w:val="-4"/>
                <w:sz w:val="22"/>
                <w:szCs w:val="22"/>
              </w:rPr>
              <w:t>1.4.1</w:t>
            </w:r>
          </w:p>
        </w:tc>
        <w:tc>
          <w:tcPr>
            <w:tcW w:w="2277" w:type="dxa"/>
            <w:vAlign w:val="top"/>
          </w:tcPr>
          <w:p w14:paraId="695E1714">
            <w:pPr>
              <w:spacing w:line="315" w:lineRule="auto"/>
              <w:rPr>
                <w:rFonts w:ascii="Arial"/>
                <w:sz w:val="21"/>
              </w:rPr>
            </w:pPr>
          </w:p>
          <w:p w14:paraId="40DDD6CC">
            <w:pPr>
              <w:spacing w:line="316" w:lineRule="auto"/>
              <w:rPr>
                <w:rFonts w:ascii="Arial"/>
                <w:sz w:val="21"/>
              </w:rPr>
            </w:pPr>
          </w:p>
          <w:p w14:paraId="32BB8D5F">
            <w:pPr>
              <w:spacing w:line="316" w:lineRule="auto"/>
              <w:rPr>
                <w:rFonts w:ascii="Arial"/>
                <w:sz w:val="21"/>
              </w:rPr>
            </w:pPr>
          </w:p>
          <w:p w14:paraId="421A4D3F">
            <w:pPr>
              <w:pStyle w:val="6"/>
              <w:spacing w:before="71" w:line="228" w:lineRule="auto"/>
              <w:ind w:left="110" w:right="286"/>
              <w:rPr>
                <w:sz w:val="22"/>
                <w:szCs w:val="22"/>
              </w:rPr>
            </w:pPr>
            <w:r>
              <w:rPr>
                <w:spacing w:val="13"/>
                <w:sz w:val="22"/>
                <w:szCs w:val="22"/>
              </w:rPr>
              <w:t>投标人资质条件、</w:t>
            </w:r>
            <w:r>
              <w:rPr>
                <w:spacing w:val="5"/>
                <w:sz w:val="22"/>
                <w:szCs w:val="22"/>
              </w:rPr>
              <w:t xml:space="preserve"> </w:t>
            </w:r>
            <w:r>
              <w:rPr>
                <w:spacing w:val="2"/>
                <w:sz w:val="22"/>
                <w:szCs w:val="22"/>
              </w:rPr>
              <w:t>能力和信誉</w:t>
            </w:r>
          </w:p>
        </w:tc>
        <w:tc>
          <w:tcPr>
            <w:tcW w:w="5303" w:type="dxa"/>
            <w:vAlign w:val="top"/>
          </w:tcPr>
          <w:p w14:paraId="430EB6C4">
            <w:pPr>
              <w:spacing w:line="267" w:lineRule="auto"/>
              <w:rPr>
                <w:rFonts w:ascii="Arial"/>
                <w:sz w:val="21"/>
              </w:rPr>
            </w:pPr>
          </w:p>
          <w:p w14:paraId="13BD39D8">
            <w:pPr>
              <w:pStyle w:val="6"/>
              <w:spacing w:before="72" w:line="202" w:lineRule="auto"/>
              <w:ind w:left="107"/>
              <w:rPr>
                <w:sz w:val="22"/>
                <w:szCs w:val="22"/>
              </w:rPr>
            </w:pPr>
            <w:r>
              <w:rPr>
                <w:b/>
                <w:bCs/>
                <w:sz w:val="22"/>
                <w:szCs w:val="22"/>
              </w:rPr>
              <w:t>资质条件：</w:t>
            </w:r>
            <w:r>
              <w:rPr>
                <w:sz w:val="22"/>
                <w:szCs w:val="22"/>
              </w:rPr>
              <w:t>见本章附录一</w:t>
            </w:r>
          </w:p>
          <w:p w14:paraId="11D98AFC">
            <w:pPr>
              <w:pStyle w:val="6"/>
              <w:spacing w:line="218" w:lineRule="auto"/>
              <w:ind w:left="107"/>
              <w:rPr>
                <w:sz w:val="22"/>
                <w:szCs w:val="22"/>
              </w:rPr>
            </w:pPr>
            <w:r>
              <w:rPr>
                <w:b/>
                <w:bCs/>
                <w:sz w:val="22"/>
                <w:szCs w:val="22"/>
              </w:rPr>
              <w:t>财务要求：</w:t>
            </w:r>
            <w:r>
              <w:rPr>
                <w:sz w:val="22"/>
                <w:szCs w:val="22"/>
              </w:rPr>
              <w:t>见本章附录一</w:t>
            </w:r>
          </w:p>
          <w:p w14:paraId="452314B5">
            <w:pPr>
              <w:pStyle w:val="6"/>
              <w:spacing w:before="39" w:line="232" w:lineRule="auto"/>
              <w:ind w:left="1243" w:hanging="1136"/>
              <w:rPr>
                <w:sz w:val="22"/>
                <w:szCs w:val="22"/>
              </w:rPr>
            </w:pPr>
            <w:r>
              <w:rPr>
                <w:b/>
                <w:bCs/>
                <w:spacing w:val="-5"/>
                <w:sz w:val="22"/>
                <w:szCs w:val="22"/>
              </w:rPr>
              <w:t>业绩要求：</w:t>
            </w:r>
            <w:r>
              <w:rPr>
                <w:spacing w:val="-5"/>
                <w:sz w:val="22"/>
                <w:szCs w:val="22"/>
              </w:rPr>
              <w:t>见本章附录一且与招标公告或投标邀请书要</w:t>
            </w:r>
            <w:r>
              <w:rPr>
                <w:spacing w:val="13"/>
                <w:sz w:val="22"/>
                <w:szCs w:val="22"/>
              </w:rPr>
              <w:t xml:space="preserve"> </w:t>
            </w:r>
            <w:r>
              <w:rPr>
                <w:spacing w:val="-4"/>
                <w:sz w:val="22"/>
                <w:szCs w:val="22"/>
              </w:rPr>
              <w:t>求一致</w:t>
            </w:r>
          </w:p>
          <w:p w14:paraId="3694EB51">
            <w:pPr>
              <w:pStyle w:val="6"/>
              <w:spacing w:before="5" w:line="219" w:lineRule="auto"/>
              <w:ind w:left="107"/>
              <w:rPr>
                <w:sz w:val="22"/>
                <w:szCs w:val="22"/>
              </w:rPr>
            </w:pPr>
            <w:r>
              <w:rPr>
                <w:b/>
                <w:bCs/>
                <w:sz w:val="22"/>
                <w:szCs w:val="22"/>
              </w:rPr>
              <w:t>信誉要求：</w:t>
            </w:r>
            <w:r>
              <w:rPr>
                <w:sz w:val="22"/>
                <w:szCs w:val="22"/>
              </w:rPr>
              <w:t>见本章附录一</w:t>
            </w:r>
          </w:p>
          <w:p w14:paraId="1C54E6C6">
            <w:pPr>
              <w:pStyle w:val="6"/>
              <w:spacing w:before="10" w:line="219" w:lineRule="auto"/>
              <w:ind w:left="107"/>
              <w:rPr>
                <w:sz w:val="22"/>
                <w:szCs w:val="22"/>
              </w:rPr>
            </w:pPr>
            <w:r>
              <w:rPr>
                <w:b/>
                <w:bCs/>
                <w:sz w:val="22"/>
                <w:szCs w:val="22"/>
              </w:rPr>
              <w:t>项目经理资格：</w:t>
            </w:r>
            <w:r>
              <w:rPr>
                <w:sz w:val="22"/>
                <w:szCs w:val="22"/>
              </w:rPr>
              <w:t>见本章附录一</w:t>
            </w:r>
          </w:p>
          <w:p w14:paraId="07FF1799">
            <w:pPr>
              <w:pStyle w:val="6"/>
              <w:spacing w:before="1" w:line="218" w:lineRule="auto"/>
              <w:ind w:left="107"/>
              <w:rPr>
                <w:sz w:val="22"/>
                <w:szCs w:val="22"/>
              </w:rPr>
            </w:pPr>
            <w:r>
              <w:rPr>
                <w:b/>
                <w:bCs/>
                <w:sz w:val="22"/>
                <w:szCs w:val="22"/>
              </w:rPr>
              <w:t>其他要求：</w:t>
            </w:r>
            <w:r>
              <w:rPr>
                <w:sz w:val="22"/>
                <w:szCs w:val="22"/>
              </w:rPr>
              <w:t>见本章附录一</w:t>
            </w:r>
          </w:p>
        </w:tc>
      </w:tr>
      <w:tr w14:paraId="142738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854" w:type="dxa"/>
            <w:vAlign w:val="top"/>
          </w:tcPr>
          <w:p w14:paraId="15425867">
            <w:pPr>
              <w:spacing w:line="254" w:lineRule="auto"/>
              <w:rPr>
                <w:rFonts w:ascii="Arial"/>
                <w:sz w:val="21"/>
              </w:rPr>
            </w:pPr>
          </w:p>
          <w:p w14:paraId="6C66C165">
            <w:pPr>
              <w:spacing w:line="254" w:lineRule="auto"/>
              <w:rPr>
                <w:rFonts w:ascii="Arial"/>
                <w:sz w:val="21"/>
              </w:rPr>
            </w:pPr>
          </w:p>
          <w:p w14:paraId="20C8FC80">
            <w:pPr>
              <w:spacing w:line="254" w:lineRule="auto"/>
              <w:rPr>
                <w:rFonts w:ascii="Arial"/>
                <w:sz w:val="21"/>
              </w:rPr>
            </w:pPr>
          </w:p>
          <w:p w14:paraId="5424431E">
            <w:pPr>
              <w:pStyle w:val="6"/>
              <w:spacing w:before="72" w:line="239" w:lineRule="auto"/>
              <w:ind w:left="144"/>
              <w:rPr>
                <w:sz w:val="22"/>
                <w:szCs w:val="22"/>
              </w:rPr>
            </w:pPr>
            <w:r>
              <w:rPr>
                <w:spacing w:val="-4"/>
                <w:sz w:val="22"/>
                <w:szCs w:val="22"/>
              </w:rPr>
              <w:t>1.4.2</w:t>
            </w:r>
          </w:p>
        </w:tc>
        <w:tc>
          <w:tcPr>
            <w:tcW w:w="2277" w:type="dxa"/>
            <w:vAlign w:val="top"/>
          </w:tcPr>
          <w:p w14:paraId="1A7E6D07">
            <w:pPr>
              <w:spacing w:line="247" w:lineRule="auto"/>
              <w:rPr>
                <w:rFonts w:ascii="Arial"/>
                <w:sz w:val="21"/>
              </w:rPr>
            </w:pPr>
          </w:p>
          <w:p w14:paraId="5B916369">
            <w:pPr>
              <w:spacing w:line="247" w:lineRule="auto"/>
              <w:rPr>
                <w:rFonts w:ascii="Arial"/>
                <w:sz w:val="21"/>
              </w:rPr>
            </w:pPr>
          </w:p>
          <w:p w14:paraId="2E7C664D">
            <w:pPr>
              <w:spacing w:line="247" w:lineRule="auto"/>
              <w:rPr>
                <w:rFonts w:ascii="Arial"/>
                <w:sz w:val="21"/>
              </w:rPr>
            </w:pPr>
          </w:p>
          <w:p w14:paraId="3425363D">
            <w:pPr>
              <w:pStyle w:val="6"/>
              <w:spacing w:before="72" w:line="220" w:lineRule="auto"/>
              <w:ind w:left="110"/>
              <w:rPr>
                <w:sz w:val="22"/>
                <w:szCs w:val="22"/>
              </w:rPr>
            </w:pPr>
            <w:r>
              <w:rPr>
                <w:sz w:val="22"/>
                <w:szCs w:val="22"/>
              </w:rPr>
              <w:t>是否接受联合体投标</w:t>
            </w:r>
          </w:p>
        </w:tc>
        <w:tc>
          <w:tcPr>
            <w:tcW w:w="5303" w:type="dxa"/>
            <w:vAlign w:val="top"/>
          </w:tcPr>
          <w:p w14:paraId="07C32F89">
            <w:pPr>
              <w:pStyle w:val="6"/>
              <w:spacing w:before="118" w:line="221" w:lineRule="auto"/>
              <w:ind w:left="103"/>
              <w:rPr>
                <w:sz w:val="22"/>
                <w:szCs w:val="22"/>
              </w:rPr>
            </w:pPr>
            <w:r>
              <w:rPr>
                <w:rFonts w:ascii="MS Gothic" w:hAnsi="MS Gothic" w:eastAsia="MS Gothic" w:cs="MS Gothic"/>
                <w:color w:val="2010F0"/>
                <w:sz w:val="22"/>
                <w:szCs w:val="22"/>
              </w:rPr>
              <w:t>☑</w:t>
            </w:r>
            <w:r>
              <w:rPr>
                <w:color w:val="2010F0"/>
                <w:sz w:val="22"/>
                <w:szCs w:val="22"/>
              </w:rPr>
              <w:t>不接受</w:t>
            </w:r>
          </w:p>
          <w:p w14:paraId="4189F0ED">
            <w:pPr>
              <w:pStyle w:val="6"/>
              <w:spacing w:before="96" w:line="221" w:lineRule="auto"/>
              <w:ind w:left="103"/>
              <w:rPr>
                <w:sz w:val="22"/>
                <w:szCs w:val="22"/>
              </w:rPr>
            </w:pPr>
            <w:r>
              <w:rPr>
                <w:color w:val="2020F0"/>
                <w:spacing w:val="3"/>
                <w:sz w:val="22"/>
                <w:szCs w:val="22"/>
              </w:rPr>
              <w:t>□接受</w:t>
            </w:r>
          </w:p>
          <w:p w14:paraId="1C748D46">
            <w:pPr>
              <w:pStyle w:val="6"/>
              <w:spacing w:before="5" w:line="219" w:lineRule="auto"/>
              <w:ind w:left="103"/>
              <w:rPr>
                <w:sz w:val="22"/>
                <w:szCs w:val="22"/>
              </w:rPr>
            </w:pPr>
            <w:r>
              <w:rPr>
                <w:sz w:val="22"/>
                <w:szCs w:val="22"/>
              </w:rPr>
              <w:t>应满足下列要求：</w:t>
            </w:r>
          </w:p>
          <w:p w14:paraId="3D2C2562">
            <w:pPr>
              <w:pStyle w:val="6"/>
              <w:spacing w:before="17" w:line="224" w:lineRule="auto"/>
              <w:ind w:left="103" w:firstLine="9"/>
              <w:jc w:val="both"/>
              <w:rPr>
                <w:rFonts w:hint="eastAsia" w:eastAsia="宋体"/>
                <w:sz w:val="22"/>
                <w:szCs w:val="22"/>
                <w:lang w:val="en-US" w:eastAsia="zh-CN"/>
              </w:rPr>
            </w:pPr>
          </w:p>
        </w:tc>
      </w:tr>
      <w:tr w14:paraId="374FD4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trPr>
        <w:tc>
          <w:tcPr>
            <w:tcW w:w="854" w:type="dxa"/>
            <w:vAlign w:val="top"/>
          </w:tcPr>
          <w:p w14:paraId="775373E6">
            <w:pPr>
              <w:pStyle w:val="6"/>
              <w:spacing w:before="239" w:line="239" w:lineRule="auto"/>
              <w:ind w:left="144"/>
              <w:rPr>
                <w:sz w:val="22"/>
                <w:szCs w:val="22"/>
              </w:rPr>
            </w:pPr>
            <w:r>
              <w:rPr>
                <w:spacing w:val="-4"/>
                <w:sz w:val="22"/>
                <w:szCs w:val="22"/>
              </w:rPr>
              <w:t>1.4.3</w:t>
            </w:r>
          </w:p>
        </w:tc>
        <w:tc>
          <w:tcPr>
            <w:tcW w:w="2277" w:type="dxa"/>
            <w:vAlign w:val="top"/>
          </w:tcPr>
          <w:p w14:paraId="21CA26D0">
            <w:pPr>
              <w:pStyle w:val="6"/>
              <w:spacing w:before="218" w:line="219" w:lineRule="auto"/>
              <w:ind w:left="110"/>
              <w:rPr>
                <w:sz w:val="22"/>
                <w:szCs w:val="22"/>
              </w:rPr>
            </w:pPr>
            <w:r>
              <w:rPr>
                <w:spacing w:val="1"/>
                <w:sz w:val="22"/>
                <w:szCs w:val="22"/>
              </w:rPr>
              <w:t>不得存在的其他情形</w:t>
            </w:r>
          </w:p>
        </w:tc>
        <w:tc>
          <w:tcPr>
            <w:tcW w:w="5303" w:type="dxa"/>
            <w:vAlign w:val="top"/>
          </w:tcPr>
          <w:p w14:paraId="77C02B5B">
            <w:pPr>
              <w:pStyle w:val="6"/>
              <w:spacing w:before="224" w:line="224" w:lineRule="auto"/>
              <w:ind w:left="103"/>
              <w:rPr>
                <w:sz w:val="22"/>
                <w:szCs w:val="22"/>
              </w:rPr>
            </w:pPr>
            <w:r>
              <w:rPr>
                <w:color w:val="3040E0"/>
                <w:sz w:val="22"/>
                <w:szCs w:val="22"/>
              </w:rPr>
              <w:t>/</w:t>
            </w:r>
          </w:p>
        </w:tc>
      </w:tr>
      <w:tr w14:paraId="1CB22B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74" w:hRule="atLeast"/>
        </w:trPr>
        <w:tc>
          <w:tcPr>
            <w:tcW w:w="854" w:type="dxa"/>
            <w:vAlign w:val="top"/>
          </w:tcPr>
          <w:p w14:paraId="3FD63BB3">
            <w:pPr>
              <w:spacing w:line="435" w:lineRule="auto"/>
              <w:rPr>
                <w:rFonts w:ascii="Arial"/>
                <w:sz w:val="21"/>
              </w:rPr>
            </w:pPr>
          </w:p>
          <w:p w14:paraId="645BF8B1">
            <w:pPr>
              <w:pStyle w:val="6"/>
              <w:spacing w:before="72" w:line="239" w:lineRule="auto"/>
              <w:ind w:left="144"/>
              <w:rPr>
                <w:sz w:val="22"/>
                <w:szCs w:val="22"/>
              </w:rPr>
            </w:pPr>
            <w:r>
              <w:rPr>
                <w:spacing w:val="-4"/>
                <w:sz w:val="22"/>
                <w:szCs w:val="22"/>
              </w:rPr>
              <w:t>1.9.1</w:t>
            </w:r>
          </w:p>
        </w:tc>
        <w:tc>
          <w:tcPr>
            <w:tcW w:w="2277" w:type="dxa"/>
            <w:vAlign w:val="top"/>
          </w:tcPr>
          <w:p w14:paraId="68C3F655">
            <w:pPr>
              <w:spacing w:line="414" w:lineRule="auto"/>
              <w:rPr>
                <w:rFonts w:ascii="Arial"/>
                <w:sz w:val="21"/>
              </w:rPr>
            </w:pPr>
          </w:p>
          <w:p w14:paraId="60CF5B04">
            <w:pPr>
              <w:pStyle w:val="6"/>
              <w:spacing w:before="71" w:line="219" w:lineRule="auto"/>
              <w:ind w:left="110"/>
              <w:rPr>
                <w:sz w:val="22"/>
                <w:szCs w:val="22"/>
              </w:rPr>
            </w:pPr>
            <w:r>
              <w:rPr>
                <w:spacing w:val="3"/>
                <w:sz w:val="22"/>
                <w:szCs w:val="22"/>
              </w:rPr>
              <w:t>踏勘现场</w:t>
            </w:r>
          </w:p>
        </w:tc>
        <w:tc>
          <w:tcPr>
            <w:tcW w:w="5303" w:type="dxa"/>
            <w:vAlign w:val="top"/>
          </w:tcPr>
          <w:p w14:paraId="7CDCE48D">
            <w:pPr>
              <w:pStyle w:val="6"/>
              <w:spacing w:before="31" w:line="222" w:lineRule="auto"/>
              <w:ind w:left="103"/>
              <w:rPr>
                <w:sz w:val="22"/>
                <w:szCs w:val="22"/>
              </w:rPr>
            </w:pPr>
            <w:r>
              <w:rPr>
                <w:rFonts w:ascii="MS Gothic" w:hAnsi="MS Gothic" w:eastAsia="MS Gothic" w:cs="MS Gothic"/>
                <w:color w:val="2020E0"/>
                <w:sz w:val="22"/>
                <w:szCs w:val="22"/>
              </w:rPr>
              <w:t>☑</w:t>
            </w:r>
            <w:r>
              <w:rPr>
                <w:color w:val="2020E0"/>
                <w:sz w:val="22"/>
                <w:szCs w:val="22"/>
              </w:rPr>
              <w:t>不组织</w:t>
            </w:r>
          </w:p>
          <w:p w14:paraId="2E104F5F">
            <w:pPr>
              <w:pStyle w:val="6"/>
              <w:spacing w:before="106" w:line="224" w:lineRule="auto"/>
              <w:ind w:left="103"/>
              <w:rPr>
                <w:sz w:val="22"/>
                <w:szCs w:val="22"/>
              </w:rPr>
            </w:pPr>
            <w:r>
              <w:rPr>
                <w:color w:val="3020F0"/>
                <w:spacing w:val="4"/>
                <w:sz w:val="22"/>
                <w:szCs w:val="22"/>
              </w:rPr>
              <w:t>□组织</w:t>
            </w:r>
          </w:p>
          <w:p w14:paraId="4A05F87B">
            <w:pPr>
              <w:pStyle w:val="6"/>
              <w:spacing w:before="8" w:line="218" w:lineRule="auto"/>
              <w:ind w:left="103"/>
              <w:rPr>
                <w:sz w:val="22"/>
                <w:szCs w:val="22"/>
              </w:rPr>
            </w:pPr>
            <w:r>
              <w:rPr>
                <w:spacing w:val="-1"/>
                <w:sz w:val="22"/>
                <w:szCs w:val="22"/>
              </w:rPr>
              <w:t>踏勘时间：</w:t>
            </w:r>
          </w:p>
          <w:p w14:paraId="6110D2BF">
            <w:pPr>
              <w:pStyle w:val="6"/>
              <w:spacing w:before="1" w:line="189" w:lineRule="auto"/>
              <w:ind w:left="103"/>
              <w:rPr>
                <w:sz w:val="22"/>
                <w:szCs w:val="22"/>
              </w:rPr>
            </w:pPr>
            <w:r>
              <w:rPr>
                <w:spacing w:val="-1"/>
                <w:sz w:val="22"/>
                <w:szCs w:val="22"/>
              </w:rPr>
              <w:t>踏勘集中地点：</w:t>
            </w:r>
          </w:p>
        </w:tc>
      </w:tr>
    </w:tbl>
    <w:p w14:paraId="2988016C">
      <w:pPr>
        <w:spacing w:before="2"/>
      </w:pPr>
    </w:p>
    <w:tbl>
      <w:tblPr>
        <w:tblStyle w:val="5"/>
        <w:tblW w:w="843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4"/>
        <w:gridCol w:w="2277"/>
        <w:gridCol w:w="5299"/>
      </w:tblGrid>
      <w:tr w14:paraId="5AC2B4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4" w:hRule="atLeast"/>
        </w:trPr>
        <w:tc>
          <w:tcPr>
            <w:tcW w:w="854" w:type="dxa"/>
            <w:vAlign w:val="top"/>
          </w:tcPr>
          <w:p w14:paraId="6B37A501">
            <w:pPr>
              <w:spacing w:line="473" w:lineRule="auto"/>
              <w:rPr>
                <w:rFonts w:ascii="Arial"/>
                <w:sz w:val="21"/>
              </w:rPr>
            </w:pPr>
          </w:p>
          <w:p w14:paraId="67333803">
            <w:pPr>
              <w:pStyle w:val="6"/>
              <w:spacing w:before="68" w:line="239" w:lineRule="auto"/>
              <w:ind w:left="104"/>
            </w:pPr>
            <w:r>
              <w:rPr>
                <w:spacing w:val="-4"/>
              </w:rPr>
              <w:t>1.10.1</w:t>
            </w:r>
          </w:p>
        </w:tc>
        <w:tc>
          <w:tcPr>
            <w:tcW w:w="2277" w:type="dxa"/>
            <w:vAlign w:val="top"/>
          </w:tcPr>
          <w:p w14:paraId="27D4CC16">
            <w:pPr>
              <w:spacing w:line="451" w:lineRule="auto"/>
              <w:rPr>
                <w:rFonts w:ascii="Arial"/>
                <w:sz w:val="21"/>
              </w:rPr>
            </w:pPr>
          </w:p>
          <w:p w14:paraId="519CB76A">
            <w:pPr>
              <w:pStyle w:val="6"/>
              <w:spacing w:before="68" w:line="219" w:lineRule="auto"/>
              <w:ind w:left="130"/>
            </w:pPr>
            <w:r>
              <w:rPr>
                <w:spacing w:val="-2"/>
              </w:rPr>
              <w:t>投标预备会</w:t>
            </w:r>
          </w:p>
        </w:tc>
        <w:tc>
          <w:tcPr>
            <w:tcW w:w="5299" w:type="dxa"/>
            <w:vAlign w:val="top"/>
          </w:tcPr>
          <w:p w14:paraId="049A1EF1">
            <w:pPr>
              <w:pStyle w:val="6"/>
              <w:spacing w:before="64" w:line="221" w:lineRule="auto"/>
              <w:ind w:left="114"/>
            </w:pPr>
            <w:r>
              <w:rPr>
                <w:rFonts w:ascii="MS Gothic" w:hAnsi="MS Gothic" w:eastAsia="MS Gothic" w:cs="MS Gothic"/>
                <w:color w:val="202070"/>
              </w:rPr>
              <w:t>☑</w:t>
            </w:r>
            <w:r>
              <w:rPr>
                <w:color w:val="202070"/>
              </w:rPr>
              <w:t>不召开</w:t>
            </w:r>
          </w:p>
          <w:p w14:paraId="185AA858">
            <w:pPr>
              <w:pStyle w:val="6"/>
              <w:spacing w:before="118" w:line="221" w:lineRule="auto"/>
              <w:ind w:left="114"/>
            </w:pPr>
            <w:r>
              <w:rPr>
                <w:color w:val="2020F0"/>
                <w:spacing w:val="2"/>
              </w:rPr>
              <w:t>□召开</w:t>
            </w:r>
          </w:p>
          <w:p w14:paraId="225602A2">
            <w:pPr>
              <w:pStyle w:val="6"/>
              <w:spacing w:before="18" w:line="221" w:lineRule="auto"/>
              <w:ind w:left="114"/>
            </w:pPr>
            <w:r>
              <w:t>召开时间：</w:t>
            </w:r>
          </w:p>
          <w:p w14:paraId="34F8737E">
            <w:pPr>
              <w:pStyle w:val="6"/>
              <w:spacing w:before="48" w:line="210" w:lineRule="auto"/>
              <w:ind w:left="114"/>
            </w:pPr>
            <w:r>
              <w:rPr>
                <w:spacing w:val="2"/>
              </w:rPr>
              <w:t>召开地点：/</w:t>
            </w:r>
          </w:p>
        </w:tc>
      </w:tr>
      <w:tr w14:paraId="06F948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854" w:type="dxa"/>
            <w:vAlign w:val="top"/>
          </w:tcPr>
          <w:p w14:paraId="2191F84A">
            <w:pPr>
              <w:pStyle w:val="6"/>
              <w:spacing w:before="190" w:line="239" w:lineRule="auto"/>
              <w:ind w:left="104"/>
            </w:pPr>
            <w:r>
              <w:rPr>
                <w:spacing w:val="-4"/>
              </w:rPr>
              <w:t>1.10.2</w:t>
            </w:r>
          </w:p>
        </w:tc>
        <w:tc>
          <w:tcPr>
            <w:tcW w:w="2277" w:type="dxa"/>
            <w:vAlign w:val="top"/>
          </w:tcPr>
          <w:p w14:paraId="10993A3C">
            <w:pPr>
              <w:pStyle w:val="6"/>
              <w:spacing w:before="30" w:line="224" w:lineRule="auto"/>
              <w:ind w:left="130" w:right="439"/>
            </w:pPr>
            <w:r>
              <w:rPr>
                <w:spacing w:val="2"/>
              </w:rPr>
              <w:t>投标人提出问题的</w:t>
            </w:r>
            <w:r>
              <w:t xml:space="preserve"> </w:t>
            </w:r>
            <w:r>
              <w:rPr>
                <w:spacing w:val="5"/>
              </w:rPr>
              <w:t>截止时间</w:t>
            </w:r>
          </w:p>
        </w:tc>
        <w:tc>
          <w:tcPr>
            <w:tcW w:w="5299" w:type="dxa"/>
            <w:vAlign w:val="top"/>
          </w:tcPr>
          <w:p w14:paraId="53A43B2A">
            <w:pPr>
              <w:pStyle w:val="6"/>
              <w:spacing w:before="168" w:line="219" w:lineRule="auto"/>
              <w:ind w:left="114"/>
            </w:pPr>
            <w:r>
              <w:rPr>
                <w:spacing w:val="1"/>
              </w:rPr>
              <w:t>召开投标预备会之日/日前</w:t>
            </w:r>
          </w:p>
        </w:tc>
      </w:tr>
      <w:tr w14:paraId="0B4383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78" w:hRule="atLeast"/>
        </w:trPr>
        <w:tc>
          <w:tcPr>
            <w:tcW w:w="854" w:type="dxa"/>
            <w:vAlign w:val="top"/>
          </w:tcPr>
          <w:p w14:paraId="48F90A02">
            <w:pPr>
              <w:spacing w:line="279" w:lineRule="auto"/>
              <w:rPr>
                <w:rFonts w:ascii="Arial"/>
                <w:sz w:val="21"/>
              </w:rPr>
            </w:pPr>
          </w:p>
          <w:p w14:paraId="3878A800">
            <w:pPr>
              <w:spacing w:line="279" w:lineRule="auto"/>
              <w:rPr>
                <w:rFonts w:ascii="Arial"/>
                <w:sz w:val="21"/>
              </w:rPr>
            </w:pPr>
          </w:p>
          <w:p w14:paraId="4F199630">
            <w:pPr>
              <w:spacing w:line="279" w:lineRule="auto"/>
              <w:rPr>
                <w:rFonts w:ascii="Arial"/>
                <w:sz w:val="21"/>
              </w:rPr>
            </w:pPr>
          </w:p>
          <w:p w14:paraId="660A472A">
            <w:pPr>
              <w:pStyle w:val="6"/>
              <w:spacing w:before="68" w:line="239" w:lineRule="auto"/>
              <w:ind w:left="204"/>
            </w:pPr>
            <w:r>
              <w:rPr>
                <w:spacing w:val="-5"/>
              </w:rPr>
              <w:t>1.11</w:t>
            </w:r>
          </w:p>
        </w:tc>
        <w:tc>
          <w:tcPr>
            <w:tcW w:w="2277" w:type="dxa"/>
            <w:vAlign w:val="top"/>
          </w:tcPr>
          <w:p w14:paraId="0EA3E40D">
            <w:pPr>
              <w:spacing w:line="272" w:lineRule="auto"/>
              <w:rPr>
                <w:rFonts w:ascii="Arial"/>
                <w:sz w:val="21"/>
              </w:rPr>
            </w:pPr>
          </w:p>
          <w:p w14:paraId="5A126CF3">
            <w:pPr>
              <w:spacing w:line="272" w:lineRule="auto"/>
              <w:rPr>
                <w:rFonts w:ascii="Arial"/>
                <w:sz w:val="21"/>
              </w:rPr>
            </w:pPr>
          </w:p>
          <w:p w14:paraId="4E31F47F">
            <w:pPr>
              <w:spacing w:line="273" w:lineRule="auto"/>
              <w:rPr>
                <w:rFonts w:ascii="Arial"/>
                <w:sz w:val="21"/>
              </w:rPr>
            </w:pPr>
          </w:p>
          <w:p w14:paraId="7BCABE32">
            <w:pPr>
              <w:pStyle w:val="6"/>
              <w:spacing w:before="68" w:line="220" w:lineRule="auto"/>
              <w:ind w:left="130"/>
            </w:pPr>
            <w:r>
              <w:rPr>
                <w:spacing w:val="-6"/>
              </w:rPr>
              <w:t>分</w:t>
            </w:r>
            <w:r>
              <w:rPr>
                <w:spacing w:val="34"/>
              </w:rPr>
              <w:t xml:space="preserve"> </w:t>
            </w:r>
            <w:r>
              <w:rPr>
                <w:spacing w:val="-6"/>
              </w:rPr>
              <w:t>包</w:t>
            </w:r>
          </w:p>
        </w:tc>
        <w:tc>
          <w:tcPr>
            <w:tcW w:w="5299" w:type="dxa"/>
            <w:vAlign w:val="top"/>
          </w:tcPr>
          <w:p w14:paraId="41513B2E">
            <w:pPr>
              <w:pStyle w:val="6"/>
              <w:spacing w:before="19" w:line="219" w:lineRule="auto"/>
              <w:ind w:left="114"/>
            </w:pPr>
            <w:r>
              <w:rPr>
                <w:color w:val="3020C0"/>
                <w:spacing w:val="2"/>
              </w:rPr>
              <w:t>□不允许</w:t>
            </w:r>
          </w:p>
          <w:p w14:paraId="0A4722A2">
            <w:pPr>
              <w:pStyle w:val="6"/>
              <w:spacing w:before="110" w:line="219" w:lineRule="auto"/>
              <w:ind w:left="114"/>
            </w:pPr>
            <w:r>
              <w:rPr>
                <w:rFonts w:ascii="MS Gothic" w:hAnsi="MS Gothic" w:eastAsia="MS Gothic" w:cs="MS Gothic"/>
                <w:color w:val="1020F0"/>
                <w:spacing w:val="-2"/>
              </w:rPr>
              <w:t>☑</w:t>
            </w:r>
            <w:r>
              <w:rPr>
                <w:color w:val="1020F0"/>
                <w:spacing w:val="-2"/>
              </w:rPr>
              <w:t>允许</w:t>
            </w:r>
          </w:p>
          <w:p w14:paraId="7F0AA1D9">
            <w:pPr>
              <w:pStyle w:val="6"/>
              <w:spacing w:before="39" w:line="219" w:lineRule="auto"/>
              <w:jc w:val="right"/>
            </w:pPr>
            <w:r>
              <w:rPr>
                <w:spacing w:val="-3"/>
              </w:rPr>
              <w:t>分包内容要求：符合法律法规允许的内容可以依法分包，</w:t>
            </w:r>
          </w:p>
          <w:p w14:paraId="3ABC12E5">
            <w:pPr>
              <w:pStyle w:val="6"/>
              <w:spacing w:before="12" w:line="219" w:lineRule="auto"/>
              <w:ind w:left="114"/>
            </w:pPr>
            <w:r>
              <w:rPr>
                <w:color w:val="2020F0"/>
                <w:spacing w:val="-1"/>
              </w:rPr>
              <w:t>但必须报发包人批准</w:t>
            </w:r>
          </w:p>
          <w:p w14:paraId="43510006">
            <w:pPr>
              <w:pStyle w:val="6"/>
              <w:spacing w:before="41" w:line="219" w:lineRule="auto"/>
              <w:ind w:left="114"/>
            </w:pPr>
            <w:r>
              <w:rPr>
                <w:spacing w:val="1"/>
              </w:rPr>
              <w:t>分包金额要求：合同中约定</w:t>
            </w:r>
          </w:p>
          <w:p w14:paraId="31EBDA80">
            <w:pPr>
              <w:pStyle w:val="6"/>
              <w:spacing w:before="21" w:line="219" w:lineRule="auto"/>
              <w:ind w:left="114"/>
            </w:pPr>
            <w:r>
              <w:rPr>
                <w:spacing w:val="-1"/>
              </w:rPr>
              <w:t>接受分包的第三人资质要求：具备相关行业主管部门颁</w:t>
            </w:r>
          </w:p>
          <w:p w14:paraId="0AAE885C">
            <w:pPr>
              <w:pStyle w:val="6"/>
              <w:spacing w:line="201" w:lineRule="auto"/>
              <w:ind w:left="114"/>
            </w:pPr>
            <w:r>
              <w:rPr>
                <w:color w:val="2020F0"/>
              </w:rPr>
              <w:t>发的专业承包资质并报发包人批准</w:t>
            </w:r>
          </w:p>
        </w:tc>
      </w:tr>
      <w:tr w14:paraId="188855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32" w:hRule="atLeast"/>
        </w:trPr>
        <w:tc>
          <w:tcPr>
            <w:tcW w:w="854" w:type="dxa"/>
            <w:vAlign w:val="top"/>
          </w:tcPr>
          <w:p w14:paraId="1CB1DF5A">
            <w:pPr>
              <w:spacing w:line="246" w:lineRule="auto"/>
              <w:rPr>
                <w:rFonts w:ascii="Arial"/>
                <w:sz w:val="21"/>
              </w:rPr>
            </w:pPr>
          </w:p>
          <w:p w14:paraId="184E2D4D">
            <w:pPr>
              <w:spacing w:line="246" w:lineRule="auto"/>
              <w:rPr>
                <w:rFonts w:ascii="Arial"/>
                <w:sz w:val="21"/>
              </w:rPr>
            </w:pPr>
          </w:p>
          <w:p w14:paraId="4E453A28">
            <w:pPr>
              <w:spacing w:line="247" w:lineRule="auto"/>
              <w:rPr>
                <w:rFonts w:ascii="Arial"/>
                <w:sz w:val="21"/>
              </w:rPr>
            </w:pPr>
          </w:p>
          <w:p w14:paraId="0218CF3B">
            <w:pPr>
              <w:pStyle w:val="6"/>
              <w:spacing w:before="68" w:line="239" w:lineRule="auto"/>
              <w:ind w:left="204"/>
            </w:pPr>
            <w:r>
              <w:rPr>
                <w:spacing w:val="-5"/>
              </w:rPr>
              <w:t>1.12</w:t>
            </w:r>
          </w:p>
        </w:tc>
        <w:tc>
          <w:tcPr>
            <w:tcW w:w="2277" w:type="dxa"/>
            <w:vAlign w:val="top"/>
          </w:tcPr>
          <w:p w14:paraId="4915D1C3">
            <w:pPr>
              <w:spacing w:line="359" w:lineRule="auto"/>
              <w:rPr>
                <w:rFonts w:ascii="Arial"/>
                <w:sz w:val="21"/>
              </w:rPr>
            </w:pPr>
          </w:p>
          <w:p w14:paraId="0FA61EAB">
            <w:pPr>
              <w:spacing w:line="360" w:lineRule="auto"/>
              <w:rPr>
                <w:rFonts w:ascii="Arial"/>
                <w:sz w:val="21"/>
              </w:rPr>
            </w:pPr>
          </w:p>
          <w:p w14:paraId="3D63F6EC">
            <w:pPr>
              <w:pStyle w:val="6"/>
              <w:spacing w:before="68" w:line="219" w:lineRule="auto"/>
              <w:ind w:left="130"/>
            </w:pPr>
            <w:r>
              <w:rPr>
                <w:spacing w:val="-5"/>
              </w:rPr>
              <w:t>偏</w:t>
            </w:r>
            <w:r>
              <w:rPr>
                <w:spacing w:val="37"/>
              </w:rPr>
              <w:t xml:space="preserve"> </w:t>
            </w:r>
            <w:r>
              <w:rPr>
                <w:spacing w:val="-5"/>
              </w:rPr>
              <w:t>离</w:t>
            </w:r>
          </w:p>
        </w:tc>
        <w:tc>
          <w:tcPr>
            <w:tcW w:w="5299" w:type="dxa"/>
            <w:vAlign w:val="top"/>
          </w:tcPr>
          <w:p w14:paraId="48454977">
            <w:pPr>
              <w:pStyle w:val="6"/>
              <w:spacing w:before="51" w:line="219" w:lineRule="auto"/>
              <w:ind w:left="114"/>
              <w:rPr>
                <w:rFonts w:ascii="Arial"/>
                <w:sz w:val="21"/>
              </w:rPr>
            </w:pPr>
            <w:r>
              <w:rPr>
                <w:rFonts w:ascii="MS Gothic" w:hAnsi="MS Gothic" w:eastAsia="MS Gothic" w:cs="MS Gothic"/>
                <w:color w:val="2020E0"/>
                <w:spacing w:val="-1"/>
              </w:rPr>
              <w:t>☑</w:t>
            </w:r>
            <w:r>
              <w:rPr>
                <w:color w:val="2020E0"/>
                <w:spacing w:val="-1"/>
              </w:rPr>
              <w:t>不允许，不允许偏离的范围：</w:t>
            </w:r>
          </w:p>
          <w:p w14:paraId="156A5458">
            <w:pPr>
              <w:pStyle w:val="6"/>
              <w:spacing w:before="68" w:line="219" w:lineRule="auto"/>
              <w:ind w:left="114"/>
            </w:pPr>
            <w:r>
              <w:rPr>
                <w:color w:val="2030F0"/>
              </w:rPr>
              <w:t>□允许，可偏离的项目和范围见第七章</w:t>
            </w:r>
          </w:p>
          <w:p w14:paraId="3B1F559E">
            <w:pPr>
              <w:pStyle w:val="6"/>
              <w:spacing w:before="42" w:line="219" w:lineRule="auto"/>
              <w:ind w:left="829"/>
            </w:pPr>
            <w:r>
              <w:rPr>
                <w:spacing w:val="14"/>
              </w:rPr>
              <w:t>“技术标准和要求”:</w:t>
            </w:r>
          </w:p>
          <w:p w14:paraId="7696161B">
            <w:pPr>
              <w:pStyle w:val="6"/>
              <w:spacing w:before="10" w:line="219" w:lineRule="auto"/>
              <w:ind w:left="964"/>
            </w:pPr>
            <w:r>
              <w:rPr>
                <w:spacing w:val="-1"/>
              </w:rPr>
              <w:t>允许偏离最高项数：</w:t>
            </w:r>
          </w:p>
          <w:p w14:paraId="3CB24356">
            <w:pPr>
              <w:pStyle w:val="6"/>
              <w:spacing w:before="10" w:line="218" w:lineRule="auto"/>
              <w:ind w:left="934"/>
            </w:pPr>
            <w:r>
              <w:rPr>
                <w:spacing w:val="-1"/>
              </w:rPr>
              <w:t>偏差调整方法：</w:t>
            </w:r>
          </w:p>
        </w:tc>
      </w:tr>
      <w:tr w14:paraId="6517CD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0" w:hRule="atLeast"/>
        </w:trPr>
        <w:tc>
          <w:tcPr>
            <w:tcW w:w="854" w:type="dxa"/>
            <w:vAlign w:val="top"/>
          </w:tcPr>
          <w:p w14:paraId="10ED2B90">
            <w:pPr>
              <w:pStyle w:val="6"/>
              <w:spacing w:before="183" w:line="239" w:lineRule="auto"/>
              <w:ind w:left="154"/>
            </w:pPr>
            <w:r>
              <w:rPr>
                <w:spacing w:val="-2"/>
              </w:rPr>
              <w:t>2.1.1</w:t>
            </w:r>
          </w:p>
        </w:tc>
        <w:tc>
          <w:tcPr>
            <w:tcW w:w="2277" w:type="dxa"/>
            <w:vAlign w:val="top"/>
          </w:tcPr>
          <w:p w14:paraId="5E22B8D1">
            <w:pPr>
              <w:pStyle w:val="6"/>
              <w:spacing w:before="33" w:line="214" w:lineRule="auto"/>
              <w:ind w:left="130" w:right="266" w:hanging="10"/>
            </w:pPr>
            <w:r>
              <w:rPr>
                <w:spacing w:val="-2"/>
              </w:rPr>
              <w:t>构成招标文件的其他</w:t>
            </w:r>
            <w:r>
              <w:rPr>
                <w:spacing w:val="6"/>
              </w:rPr>
              <w:t xml:space="preserve"> </w:t>
            </w:r>
            <w:r>
              <w:rPr>
                <w:spacing w:val="-3"/>
              </w:rPr>
              <w:t>材料</w:t>
            </w:r>
          </w:p>
        </w:tc>
        <w:tc>
          <w:tcPr>
            <w:tcW w:w="5299" w:type="dxa"/>
            <w:vAlign w:val="top"/>
          </w:tcPr>
          <w:p w14:paraId="137B7BD3">
            <w:pPr>
              <w:pStyle w:val="6"/>
              <w:spacing w:before="162" w:line="219" w:lineRule="auto"/>
              <w:ind w:left="114"/>
            </w:pPr>
            <w:r>
              <w:rPr>
                <w:color w:val="2030F0"/>
                <w:spacing w:val="-1"/>
              </w:rPr>
              <w:t>答疑、澄清、补充说明等与该项目相关内容</w:t>
            </w:r>
          </w:p>
        </w:tc>
      </w:tr>
      <w:tr w14:paraId="0A1D50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9" w:hRule="atLeast"/>
        </w:trPr>
        <w:tc>
          <w:tcPr>
            <w:tcW w:w="854" w:type="dxa"/>
            <w:vAlign w:val="top"/>
          </w:tcPr>
          <w:p w14:paraId="5449A2C6">
            <w:pPr>
              <w:pStyle w:val="6"/>
              <w:spacing w:before="283" w:line="213" w:lineRule="auto"/>
              <w:ind w:left="154"/>
            </w:pPr>
            <w:r>
              <w:rPr>
                <w:spacing w:val="-2"/>
              </w:rPr>
              <w:t>2.1.2</w:t>
            </w:r>
          </w:p>
          <w:p w14:paraId="4F801D2D">
            <w:pPr>
              <w:pStyle w:val="6"/>
              <w:spacing w:line="222" w:lineRule="auto"/>
              <w:ind w:left="254"/>
            </w:pPr>
            <w:r>
              <w:rPr>
                <w:spacing w:val="-11"/>
              </w:rPr>
              <w:t>(1)</w:t>
            </w:r>
          </w:p>
        </w:tc>
        <w:tc>
          <w:tcPr>
            <w:tcW w:w="2277" w:type="dxa"/>
            <w:vAlign w:val="top"/>
          </w:tcPr>
          <w:p w14:paraId="537ABC04">
            <w:pPr>
              <w:spacing w:line="321" w:lineRule="auto"/>
              <w:rPr>
                <w:rFonts w:ascii="Arial"/>
                <w:sz w:val="21"/>
              </w:rPr>
            </w:pPr>
          </w:p>
          <w:p w14:paraId="7BB93677">
            <w:pPr>
              <w:pStyle w:val="6"/>
              <w:spacing w:before="68" w:line="219" w:lineRule="auto"/>
              <w:ind w:left="130"/>
            </w:pPr>
            <w:r>
              <w:rPr>
                <w:spacing w:val="-1"/>
              </w:rPr>
              <w:t>本工程的计税方法</w:t>
            </w:r>
          </w:p>
        </w:tc>
        <w:tc>
          <w:tcPr>
            <w:tcW w:w="5299" w:type="dxa"/>
            <w:vAlign w:val="top"/>
          </w:tcPr>
          <w:p w14:paraId="423FBB83">
            <w:pPr>
              <w:pStyle w:val="6"/>
              <w:spacing w:before="23" w:line="220" w:lineRule="auto"/>
              <w:ind w:left="114"/>
            </w:pPr>
            <w:r>
              <w:rPr>
                <w:rFonts w:ascii="MS Gothic" w:hAnsi="MS Gothic" w:eastAsia="MS Gothic" w:cs="MS Gothic"/>
                <w:color w:val="2020D0"/>
              </w:rPr>
              <w:t>☑</w:t>
            </w:r>
            <w:r>
              <w:rPr>
                <w:color w:val="2020D0"/>
              </w:rPr>
              <w:t>一般计税方法</w:t>
            </w:r>
          </w:p>
          <w:p w14:paraId="0B02B6E8">
            <w:pPr>
              <w:pStyle w:val="6"/>
              <w:spacing w:before="87" w:line="219" w:lineRule="auto"/>
              <w:ind w:left="114"/>
            </w:pPr>
            <w:r>
              <w:rPr>
                <w:color w:val="2020F0"/>
                <w:spacing w:val="1"/>
              </w:rPr>
              <w:t>□简易计税方法</w:t>
            </w:r>
          </w:p>
          <w:p w14:paraId="5EEF5470">
            <w:pPr>
              <w:pStyle w:val="6"/>
              <w:spacing w:before="70" w:line="219" w:lineRule="auto"/>
              <w:jc w:val="right"/>
            </w:pPr>
            <w:r>
              <w:rPr>
                <w:spacing w:val="1"/>
              </w:rPr>
              <w:t>(清包工工程、甲供工程的建设工程适用简易计税方法)</w:t>
            </w:r>
          </w:p>
        </w:tc>
      </w:tr>
      <w:tr w14:paraId="300A0C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9" w:hRule="atLeast"/>
        </w:trPr>
        <w:tc>
          <w:tcPr>
            <w:tcW w:w="854" w:type="dxa"/>
            <w:vAlign w:val="top"/>
          </w:tcPr>
          <w:p w14:paraId="4E274050">
            <w:pPr>
              <w:pStyle w:val="6"/>
              <w:spacing w:before="104" w:line="231" w:lineRule="auto"/>
              <w:ind w:left="154"/>
            </w:pPr>
            <w:r>
              <w:rPr>
                <w:spacing w:val="-2"/>
              </w:rPr>
              <w:t>2.1.2</w:t>
            </w:r>
          </w:p>
          <w:p w14:paraId="1901EDAC">
            <w:pPr>
              <w:pStyle w:val="6"/>
              <w:spacing w:line="221" w:lineRule="auto"/>
              <w:ind w:left="254"/>
            </w:pPr>
            <w:r>
              <w:rPr>
                <w:spacing w:val="-11"/>
              </w:rPr>
              <w:t>(2)</w:t>
            </w:r>
          </w:p>
        </w:tc>
        <w:tc>
          <w:tcPr>
            <w:tcW w:w="2277" w:type="dxa"/>
            <w:vAlign w:val="top"/>
          </w:tcPr>
          <w:p w14:paraId="5D8B7266">
            <w:pPr>
              <w:pStyle w:val="6"/>
              <w:spacing w:before="211" w:line="218" w:lineRule="auto"/>
              <w:ind w:left="130"/>
            </w:pPr>
            <w:r>
              <w:rPr>
                <w:spacing w:val="-2"/>
              </w:rPr>
              <w:t>招标控制价</w:t>
            </w:r>
          </w:p>
        </w:tc>
        <w:tc>
          <w:tcPr>
            <w:tcW w:w="5299" w:type="dxa"/>
            <w:vAlign w:val="top"/>
          </w:tcPr>
          <w:p w14:paraId="12764431">
            <w:pPr>
              <w:pStyle w:val="6"/>
              <w:spacing w:before="41" w:line="218" w:lineRule="auto"/>
              <w:ind w:left="114"/>
              <w:rPr>
                <w:rFonts w:hint="default"/>
                <w:lang w:val="en-US"/>
              </w:rPr>
            </w:pPr>
            <w:r>
              <w:rPr>
                <w:spacing w:val="1"/>
              </w:rPr>
              <w:t>招标控制价总价为：</w:t>
            </w:r>
            <w:r>
              <w:rPr>
                <w:rFonts w:hint="eastAsia"/>
                <w:spacing w:val="1"/>
              </w:rPr>
              <w:t>529.69</w:t>
            </w:r>
            <w:r>
              <w:rPr>
                <w:rFonts w:hint="eastAsia"/>
                <w:spacing w:val="1"/>
                <w:lang w:val="en-US" w:eastAsia="zh-CN"/>
              </w:rPr>
              <w:t>万元</w:t>
            </w:r>
          </w:p>
          <w:p w14:paraId="21C22BF6">
            <w:pPr>
              <w:pStyle w:val="6"/>
              <w:spacing w:before="122" w:line="182" w:lineRule="auto"/>
              <w:ind w:left="114"/>
            </w:pPr>
            <w:r>
              <w:t>详见本须知附表十二：“招标控制价明细”。</w:t>
            </w:r>
          </w:p>
        </w:tc>
      </w:tr>
      <w:tr w14:paraId="57B0E7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39" w:hRule="atLeast"/>
        </w:trPr>
        <w:tc>
          <w:tcPr>
            <w:tcW w:w="854" w:type="dxa"/>
            <w:vAlign w:val="top"/>
          </w:tcPr>
          <w:p w14:paraId="74B8A2A5">
            <w:pPr>
              <w:pStyle w:val="6"/>
              <w:spacing w:before="295" w:line="239" w:lineRule="auto"/>
              <w:ind w:left="154"/>
            </w:pPr>
            <w:r>
              <w:rPr>
                <w:spacing w:val="-2"/>
              </w:rPr>
              <w:t>2.2.1</w:t>
            </w:r>
          </w:p>
        </w:tc>
        <w:tc>
          <w:tcPr>
            <w:tcW w:w="2277" w:type="dxa"/>
            <w:vAlign w:val="top"/>
          </w:tcPr>
          <w:p w14:paraId="660A112D">
            <w:pPr>
              <w:pStyle w:val="6"/>
              <w:spacing w:before="146" w:line="247" w:lineRule="auto"/>
              <w:ind w:left="130" w:right="266" w:hanging="10"/>
            </w:pPr>
            <w:r>
              <w:rPr>
                <w:spacing w:val="-2"/>
              </w:rPr>
              <w:t>投标人要求澄清招标</w:t>
            </w:r>
            <w:r>
              <w:rPr>
                <w:spacing w:val="6"/>
              </w:rPr>
              <w:t xml:space="preserve"> </w:t>
            </w:r>
            <w:r>
              <w:rPr>
                <w:spacing w:val="2"/>
              </w:rPr>
              <w:t>文件的截止时间</w:t>
            </w:r>
          </w:p>
        </w:tc>
        <w:tc>
          <w:tcPr>
            <w:tcW w:w="5299" w:type="dxa"/>
            <w:vAlign w:val="top"/>
          </w:tcPr>
          <w:p w14:paraId="4D62FFBD">
            <w:pPr>
              <w:pStyle w:val="6"/>
              <w:spacing w:before="274" w:line="219" w:lineRule="auto"/>
              <w:ind w:left="114"/>
            </w:pPr>
            <w:r>
              <w:rPr>
                <w:spacing w:val="-1"/>
              </w:rPr>
              <w:t>递交投标文件截止之日15日前</w:t>
            </w:r>
          </w:p>
        </w:tc>
      </w:tr>
      <w:tr w14:paraId="315680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854" w:type="dxa"/>
            <w:vAlign w:val="top"/>
          </w:tcPr>
          <w:p w14:paraId="114F6403">
            <w:pPr>
              <w:pStyle w:val="6"/>
              <w:spacing w:before="196" w:line="239" w:lineRule="auto"/>
              <w:ind w:left="154"/>
            </w:pPr>
            <w:r>
              <w:rPr>
                <w:spacing w:val="-2"/>
              </w:rPr>
              <w:t>3.1.1</w:t>
            </w:r>
          </w:p>
        </w:tc>
        <w:tc>
          <w:tcPr>
            <w:tcW w:w="2277" w:type="dxa"/>
            <w:vAlign w:val="top"/>
          </w:tcPr>
          <w:p w14:paraId="36135017">
            <w:pPr>
              <w:pStyle w:val="6"/>
              <w:spacing w:before="55" w:line="213" w:lineRule="auto"/>
              <w:ind w:left="130" w:right="266" w:hanging="10"/>
            </w:pPr>
            <w:r>
              <w:rPr>
                <w:spacing w:val="-2"/>
              </w:rPr>
              <w:t>构成投标文件的其他</w:t>
            </w:r>
            <w:r>
              <w:rPr>
                <w:spacing w:val="6"/>
              </w:rPr>
              <w:t xml:space="preserve"> </w:t>
            </w:r>
            <w:r>
              <w:rPr>
                <w:spacing w:val="-3"/>
              </w:rPr>
              <w:t>材料</w:t>
            </w:r>
          </w:p>
        </w:tc>
        <w:tc>
          <w:tcPr>
            <w:tcW w:w="5299" w:type="dxa"/>
            <w:vAlign w:val="top"/>
          </w:tcPr>
          <w:p w14:paraId="27E70E2B">
            <w:pPr>
              <w:pStyle w:val="6"/>
              <w:spacing w:before="181" w:line="224" w:lineRule="auto"/>
              <w:ind w:left="114"/>
            </w:pPr>
            <w:r>
              <w:rPr>
                <w:color w:val="3040F0"/>
              </w:rPr>
              <w:t>/</w:t>
            </w:r>
          </w:p>
        </w:tc>
      </w:tr>
      <w:tr w14:paraId="1BA226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854" w:type="dxa"/>
            <w:vAlign w:val="top"/>
          </w:tcPr>
          <w:p w14:paraId="4C10BAD7">
            <w:pPr>
              <w:pStyle w:val="6"/>
              <w:spacing w:before="146" w:line="239" w:lineRule="auto"/>
              <w:ind w:left="154"/>
            </w:pPr>
            <w:r>
              <w:rPr>
                <w:spacing w:val="-2"/>
              </w:rPr>
              <w:t>3.3.1</w:t>
            </w:r>
          </w:p>
        </w:tc>
        <w:tc>
          <w:tcPr>
            <w:tcW w:w="2277" w:type="dxa"/>
            <w:vAlign w:val="top"/>
          </w:tcPr>
          <w:p w14:paraId="0FDAF465">
            <w:pPr>
              <w:pStyle w:val="6"/>
              <w:spacing w:before="126" w:line="220" w:lineRule="auto"/>
              <w:ind w:left="130"/>
            </w:pPr>
            <w:r>
              <w:rPr>
                <w:spacing w:val="2"/>
              </w:rPr>
              <w:t>投标有效期</w:t>
            </w:r>
          </w:p>
        </w:tc>
        <w:tc>
          <w:tcPr>
            <w:tcW w:w="5299" w:type="dxa"/>
            <w:vAlign w:val="top"/>
          </w:tcPr>
          <w:p w14:paraId="1A004CD0">
            <w:pPr>
              <w:pStyle w:val="6"/>
              <w:spacing w:before="125" w:line="219" w:lineRule="auto"/>
              <w:ind w:left="114"/>
            </w:pPr>
            <w:r>
              <w:t>自投标截止之日起60日内有效</w:t>
            </w:r>
          </w:p>
        </w:tc>
      </w:tr>
      <w:tr w14:paraId="211EAB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22" w:hRule="atLeast"/>
        </w:trPr>
        <w:tc>
          <w:tcPr>
            <w:tcW w:w="854" w:type="dxa"/>
            <w:vAlign w:val="top"/>
          </w:tcPr>
          <w:p w14:paraId="398CFDEA">
            <w:pPr>
              <w:spacing w:line="251" w:lineRule="auto"/>
              <w:rPr>
                <w:rFonts w:ascii="Arial"/>
                <w:sz w:val="21"/>
              </w:rPr>
            </w:pPr>
          </w:p>
          <w:p w14:paraId="03B4C330">
            <w:pPr>
              <w:spacing w:line="251" w:lineRule="auto"/>
              <w:rPr>
                <w:rFonts w:ascii="Arial"/>
                <w:sz w:val="21"/>
              </w:rPr>
            </w:pPr>
          </w:p>
          <w:p w14:paraId="1E184633">
            <w:pPr>
              <w:spacing w:line="251" w:lineRule="auto"/>
              <w:rPr>
                <w:rFonts w:ascii="Arial"/>
                <w:sz w:val="21"/>
              </w:rPr>
            </w:pPr>
          </w:p>
          <w:p w14:paraId="17D0B6DF">
            <w:pPr>
              <w:spacing w:line="251" w:lineRule="auto"/>
              <w:rPr>
                <w:rFonts w:ascii="Arial"/>
                <w:sz w:val="21"/>
              </w:rPr>
            </w:pPr>
          </w:p>
          <w:p w14:paraId="01018BA6">
            <w:pPr>
              <w:spacing w:line="251" w:lineRule="auto"/>
              <w:rPr>
                <w:rFonts w:ascii="Arial"/>
                <w:sz w:val="21"/>
              </w:rPr>
            </w:pPr>
          </w:p>
          <w:p w14:paraId="4071571E">
            <w:pPr>
              <w:spacing w:line="251" w:lineRule="auto"/>
              <w:rPr>
                <w:rFonts w:ascii="Arial"/>
                <w:sz w:val="21"/>
              </w:rPr>
            </w:pPr>
          </w:p>
          <w:p w14:paraId="3D3A2E81">
            <w:pPr>
              <w:spacing w:line="251" w:lineRule="auto"/>
              <w:rPr>
                <w:rFonts w:ascii="Arial"/>
                <w:sz w:val="21"/>
              </w:rPr>
            </w:pPr>
          </w:p>
          <w:p w14:paraId="148E4248">
            <w:pPr>
              <w:pStyle w:val="6"/>
              <w:spacing w:before="68" w:line="239" w:lineRule="auto"/>
              <w:ind w:left="154"/>
            </w:pPr>
            <w:r>
              <w:rPr>
                <w:spacing w:val="-2"/>
              </w:rPr>
              <w:t>3.4.1</w:t>
            </w:r>
          </w:p>
        </w:tc>
        <w:tc>
          <w:tcPr>
            <w:tcW w:w="2277" w:type="dxa"/>
            <w:vAlign w:val="top"/>
          </w:tcPr>
          <w:p w14:paraId="418EF75E">
            <w:pPr>
              <w:spacing w:line="248" w:lineRule="auto"/>
              <w:rPr>
                <w:rFonts w:ascii="Arial"/>
                <w:sz w:val="21"/>
              </w:rPr>
            </w:pPr>
          </w:p>
          <w:p w14:paraId="0839F60D">
            <w:pPr>
              <w:spacing w:line="248" w:lineRule="auto"/>
              <w:rPr>
                <w:rFonts w:ascii="Arial"/>
                <w:sz w:val="21"/>
              </w:rPr>
            </w:pPr>
          </w:p>
          <w:p w14:paraId="08A92251">
            <w:pPr>
              <w:spacing w:line="248" w:lineRule="auto"/>
              <w:rPr>
                <w:rFonts w:ascii="Arial"/>
                <w:sz w:val="21"/>
              </w:rPr>
            </w:pPr>
          </w:p>
          <w:p w14:paraId="2A68E3B9">
            <w:pPr>
              <w:spacing w:line="248" w:lineRule="auto"/>
              <w:rPr>
                <w:rFonts w:ascii="Arial"/>
                <w:sz w:val="21"/>
              </w:rPr>
            </w:pPr>
          </w:p>
          <w:p w14:paraId="1FC363D1">
            <w:pPr>
              <w:spacing w:line="248" w:lineRule="auto"/>
              <w:rPr>
                <w:rFonts w:ascii="Arial"/>
                <w:sz w:val="21"/>
              </w:rPr>
            </w:pPr>
          </w:p>
          <w:p w14:paraId="07714A12">
            <w:pPr>
              <w:spacing w:line="248" w:lineRule="auto"/>
              <w:rPr>
                <w:rFonts w:ascii="Arial"/>
                <w:sz w:val="21"/>
              </w:rPr>
            </w:pPr>
          </w:p>
          <w:p w14:paraId="7307F6EF">
            <w:pPr>
              <w:spacing w:line="249" w:lineRule="auto"/>
              <w:rPr>
                <w:rFonts w:ascii="Arial"/>
                <w:sz w:val="21"/>
              </w:rPr>
            </w:pPr>
          </w:p>
          <w:p w14:paraId="7BA18A04">
            <w:pPr>
              <w:pStyle w:val="6"/>
              <w:spacing w:before="68" w:line="220" w:lineRule="auto"/>
              <w:ind w:left="130"/>
            </w:pPr>
            <w:r>
              <w:rPr>
                <w:spacing w:val="-2"/>
              </w:rPr>
              <w:t>投标保证金</w:t>
            </w:r>
          </w:p>
        </w:tc>
        <w:tc>
          <w:tcPr>
            <w:tcW w:w="5299" w:type="dxa"/>
            <w:vAlign w:val="top"/>
          </w:tcPr>
          <w:p w14:paraId="06C0F577">
            <w:pPr>
              <w:pStyle w:val="6"/>
              <w:spacing w:before="136" w:line="220" w:lineRule="auto"/>
              <w:ind w:left="114"/>
            </w:pPr>
            <w:r>
              <w:rPr>
                <w:rFonts w:ascii="MS Gothic" w:hAnsi="MS Gothic" w:eastAsia="MS Gothic" w:cs="MS Gothic"/>
                <w:color w:val="2010F0"/>
              </w:rPr>
              <w:t>☑</w:t>
            </w:r>
            <w:r>
              <w:rPr>
                <w:color w:val="2010F0"/>
              </w:rPr>
              <w:t>不提交</w:t>
            </w:r>
          </w:p>
          <w:p w14:paraId="54EC0A3F">
            <w:pPr>
              <w:pStyle w:val="6"/>
              <w:spacing w:before="179" w:line="220" w:lineRule="auto"/>
              <w:ind w:left="114"/>
            </w:pPr>
            <w:r>
              <w:rPr>
                <w:color w:val="3030F0"/>
                <w:spacing w:val="2"/>
              </w:rPr>
              <w:t>口提交</w:t>
            </w:r>
          </w:p>
          <w:p w14:paraId="00C82007">
            <w:pPr>
              <w:pStyle w:val="6"/>
              <w:spacing w:before="34" w:line="219" w:lineRule="auto"/>
              <w:ind w:left="124"/>
            </w:pPr>
            <w:r>
              <w:rPr>
                <w:spacing w:val="-1"/>
              </w:rPr>
              <w:t>1.递交截止时间(到账时间):</w:t>
            </w:r>
            <w:r>
              <w:rPr>
                <w:b/>
                <w:bCs/>
                <w:spacing w:val="-1"/>
              </w:rPr>
              <w:t>同本标段投标截止</w:t>
            </w:r>
            <w:r>
              <w:rPr>
                <w:b/>
                <w:bCs/>
                <w:spacing w:val="-2"/>
              </w:rPr>
              <w:t>时间。</w:t>
            </w:r>
          </w:p>
          <w:p w14:paraId="45989E27">
            <w:pPr>
              <w:pStyle w:val="6"/>
              <w:spacing w:before="25" w:line="219" w:lineRule="auto"/>
              <w:ind w:left="114"/>
            </w:pPr>
            <w:r>
              <w:rPr>
                <w:spacing w:val="2"/>
              </w:rPr>
              <w:t>2.金额：/</w:t>
            </w:r>
          </w:p>
          <w:p w14:paraId="06AF8BD3">
            <w:pPr>
              <w:pStyle w:val="6"/>
              <w:spacing w:before="41" w:line="220" w:lineRule="auto"/>
              <w:ind w:left="114"/>
            </w:pPr>
            <w:r>
              <w:t>3.形式：□现金口银行保函口保证保险口其他形式</w:t>
            </w:r>
          </w:p>
          <w:p w14:paraId="0D77B1B4">
            <w:pPr>
              <w:pStyle w:val="6"/>
              <w:spacing w:before="20" w:line="221" w:lineRule="auto"/>
              <w:ind w:left="114"/>
            </w:pPr>
            <w:r>
              <w:rPr>
                <w:spacing w:val="1"/>
              </w:rPr>
              <w:t>4.递交方式：</w:t>
            </w:r>
          </w:p>
          <w:p w14:paraId="2188C24B">
            <w:pPr>
              <w:pStyle w:val="6"/>
              <w:spacing w:before="17" w:line="219" w:lineRule="auto"/>
              <w:ind w:left="114"/>
            </w:pPr>
            <w:r>
              <w:rPr>
                <w:spacing w:val="1"/>
              </w:rPr>
              <w:t>1)采用现金方式</w:t>
            </w:r>
          </w:p>
          <w:p w14:paraId="44843B33">
            <w:pPr>
              <w:pStyle w:val="6"/>
              <w:spacing w:before="20" w:line="226" w:lineRule="auto"/>
              <w:ind w:left="114" w:right="114" w:firstLine="10"/>
            </w:pPr>
            <w:r>
              <w:t>1)必须从投标人的基本账户汇至招标人指定的账户及账</w:t>
            </w:r>
            <w:r>
              <w:rPr>
                <w:spacing w:val="9"/>
              </w:rPr>
              <w:t xml:space="preserve"> </w:t>
            </w:r>
            <w:r>
              <w:rPr>
                <w:spacing w:val="-7"/>
              </w:rPr>
              <w:t>号</w:t>
            </w:r>
            <w:r>
              <w:rPr>
                <w:spacing w:val="-57"/>
              </w:rPr>
              <w:t xml:space="preserve"> </w:t>
            </w:r>
            <w:r>
              <w:rPr>
                <w:spacing w:val="-7"/>
              </w:rPr>
              <w:t>。</w:t>
            </w:r>
          </w:p>
          <w:p w14:paraId="02B5DE3D">
            <w:pPr>
              <w:pStyle w:val="6"/>
              <w:spacing w:before="38" w:line="220" w:lineRule="auto"/>
              <w:ind w:left="114"/>
            </w:pPr>
            <w:r>
              <w:rPr>
                <w:spacing w:val="5"/>
              </w:rPr>
              <w:t>保证金账号：/;</w:t>
            </w:r>
          </w:p>
          <w:p w14:paraId="3E903CD8">
            <w:pPr>
              <w:pStyle w:val="6"/>
              <w:spacing w:before="30" w:line="220" w:lineRule="auto"/>
              <w:ind w:left="114"/>
            </w:pPr>
            <w:r>
              <w:rPr>
                <w:spacing w:val="6"/>
              </w:rPr>
              <w:t>账户名称：/;</w:t>
            </w:r>
          </w:p>
          <w:p w14:paraId="7DB9344C">
            <w:pPr>
              <w:pStyle w:val="6"/>
              <w:spacing w:before="29" w:line="220" w:lineRule="auto"/>
              <w:ind w:left="114"/>
            </w:pPr>
            <w:r>
              <w:rPr>
                <w:spacing w:val="6"/>
              </w:rPr>
              <w:t>开户银行：/;</w:t>
            </w:r>
          </w:p>
          <w:p w14:paraId="654104EC">
            <w:pPr>
              <w:pStyle w:val="6"/>
              <w:spacing w:before="1" w:line="198" w:lineRule="auto"/>
              <w:ind w:left="114"/>
            </w:pPr>
            <w:r>
              <w:rPr>
                <w:spacing w:val="-1"/>
              </w:rPr>
              <w:t>其他要求：/。</w:t>
            </w:r>
          </w:p>
        </w:tc>
      </w:tr>
    </w:tbl>
    <w:p w14:paraId="1D5A0A4E">
      <w:pPr>
        <w:spacing w:before="2"/>
      </w:pPr>
    </w:p>
    <w:tbl>
      <w:tblPr>
        <w:tblStyle w:val="5"/>
        <w:tblW w:w="842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64"/>
        <w:gridCol w:w="2257"/>
        <w:gridCol w:w="10"/>
        <w:gridCol w:w="5289"/>
      </w:tblGrid>
      <w:tr w14:paraId="0A14F6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31" w:hRule="atLeast"/>
        </w:trPr>
        <w:tc>
          <w:tcPr>
            <w:tcW w:w="864" w:type="dxa"/>
            <w:vAlign w:val="top"/>
          </w:tcPr>
          <w:p w14:paraId="6E088C90">
            <w:pPr>
              <w:rPr>
                <w:rFonts w:ascii="Arial"/>
                <w:sz w:val="21"/>
              </w:rPr>
            </w:pPr>
          </w:p>
        </w:tc>
        <w:tc>
          <w:tcPr>
            <w:tcW w:w="2267" w:type="dxa"/>
            <w:gridSpan w:val="2"/>
            <w:vAlign w:val="top"/>
          </w:tcPr>
          <w:p w14:paraId="29876F1C">
            <w:pPr>
              <w:rPr>
                <w:rFonts w:ascii="Arial"/>
                <w:sz w:val="21"/>
              </w:rPr>
            </w:pPr>
          </w:p>
        </w:tc>
        <w:tc>
          <w:tcPr>
            <w:tcW w:w="5289" w:type="dxa"/>
            <w:vAlign w:val="top"/>
          </w:tcPr>
          <w:p w14:paraId="09A4B402">
            <w:pPr>
              <w:pStyle w:val="6"/>
              <w:spacing w:before="53" w:line="235" w:lineRule="auto"/>
              <w:ind w:left="113" w:right="108" w:hanging="20"/>
            </w:pPr>
            <w:r>
              <w:t>2)基本账户信息将以投标人办理交易主体注册登记所填</w:t>
            </w:r>
            <w:r>
              <w:rPr>
                <w:spacing w:val="8"/>
              </w:rPr>
              <w:t xml:space="preserve"> </w:t>
            </w:r>
            <w:r>
              <w:t>基本账户信息为准，若投标人汇款账户与注册登记时的</w:t>
            </w:r>
            <w:r>
              <w:rPr>
                <w:spacing w:val="15"/>
              </w:rPr>
              <w:t xml:space="preserve"> </w:t>
            </w:r>
            <w:r>
              <w:t>基本账户信息不相符，由此造成投标保证金递交失败的</w:t>
            </w:r>
            <w:r>
              <w:rPr>
                <w:spacing w:val="15"/>
              </w:rPr>
              <w:t xml:space="preserve"> </w:t>
            </w:r>
            <w:r>
              <w:rPr>
                <w:spacing w:val="-1"/>
              </w:rPr>
              <w:t>责任由投标人自行承担。</w:t>
            </w:r>
          </w:p>
          <w:p w14:paraId="5D943973">
            <w:pPr>
              <w:pStyle w:val="6"/>
              <w:spacing w:before="11" w:line="220" w:lineRule="auto"/>
              <w:ind w:left="114"/>
            </w:pPr>
            <w:r>
              <w:t>3)投标保证金到账查询方法及其它要求：</w:t>
            </w:r>
            <w:r>
              <w:rPr>
                <w:spacing w:val="-1"/>
              </w:rPr>
              <w:t>/。</w:t>
            </w:r>
          </w:p>
          <w:p w14:paraId="227AA7B1">
            <w:pPr>
              <w:pStyle w:val="6"/>
              <w:spacing w:before="37" w:line="229" w:lineRule="auto"/>
              <w:ind w:left="114" w:right="125" w:firstLine="99"/>
            </w:pPr>
            <w:r>
              <w:t>(2)采用电子银行保函、电子担保保函、电子保险保单</w:t>
            </w:r>
            <w:r>
              <w:rPr>
                <w:spacing w:val="3"/>
              </w:rPr>
              <w:t xml:space="preserve"> 方式(以下简称保函、保单)</w:t>
            </w:r>
          </w:p>
          <w:p w14:paraId="423CB8D4">
            <w:pPr>
              <w:pStyle w:val="6"/>
              <w:spacing w:line="237" w:lineRule="auto"/>
              <w:ind w:left="114" w:right="103" w:firstLine="10"/>
            </w:pPr>
            <w:r>
              <w:t>1)投标人须及时登录“电子交易平台”选择所投标段按</w:t>
            </w:r>
            <w:r>
              <w:rPr>
                <w:spacing w:val="10"/>
              </w:rPr>
              <w:t xml:space="preserve"> </w:t>
            </w:r>
            <w:r>
              <w:rPr>
                <w:spacing w:val="-1"/>
              </w:rPr>
              <w:t>系统引导的程序申请电子保函或保单。</w:t>
            </w:r>
          </w:p>
          <w:p w14:paraId="1AC1E21D">
            <w:pPr>
              <w:pStyle w:val="6"/>
              <w:spacing w:before="11" w:line="234" w:lineRule="auto"/>
              <w:ind w:left="113" w:right="102" w:hanging="20"/>
            </w:pPr>
            <w:r>
              <w:rPr>
                <w:spacing w:val="1"/>
              </w:rPr>
              <w:t>2)投标人可在“电子交易平台”查询保函或保单是否申</w:t>
            </w:r>
            <w:r>
              <w:rPr>
                <w:spacing w:val="2"/>
              </w:rPr>
              <w:t xml:space="preserve"> </w:t>
            </w:r>
            <w:r>
              <w:rPr>
                <w:spacing w:val="1"/>
              </w:rPr>
              <w:t>请成功，开具成功后可下载电子保函或保单。电</w:t>
            </w:r>
            <w:r>
              <w:t xml:space="preserve">子保函 </w:t>
            </w:r>
            <w:r>
              <w:rPr>
                <w:spacing w:val="1"/>
              </w:rPr>
              <w:t>或保单应载明：保函或保单受益人(招标人)、标段名</w:t>
            </w:r>
          </w:p>
          <w:p w14:paraId="6ED06024">
            <w:pPr>
              <w:pStyle w:val="6"/>
              <w:spacing w:before="41" w:line="225" w:lineRule="auto"/>
              <w:ind w:left="114" w:right="132"/>
            </w:pPr>
            <w:r>
              <w:rPr>
                <w:spacing w:val="-1"/>
              </w:rPr>
              <w:t>称、标段编号、担保内容、担保金额、保函或保单有效</w:t>
            </w:r>
            <w:r>
              <w:rPr>
                <w:spacing w:val="15"/>
              </w:rPr>
              <w:t xml:space="preserve"> </w:t>
            </w:r>
            <w:r>
              <w:rPr>
                <w:spacing w:val="-1"/>
              </w:rPr>
              <w:t>期等信息，检查其内容符合招标文件的相关约定后，上</w:t>
            </w:r>
            <w:r>
              <w:rPr>
                <w:spacing w:val="12"/>
              </w:rPr>
              <w:t xml:space="preserve"> </w:t>
            </w:r>
            <w:r>
              <w:rPr>
                <w:spacing w:val="-1"/>
              </w:rPr>
              <w:t>传至投标文件的“投标保证金”栏目中。</w:t>
            </w:r>
          </w:p>
          <w:p w14:paraId="3D190E4F">
            <w:pPr>
              <w:pStyle w:val="6"/>
              <w:spacing w:before="41" w:line="228" w:lineRule="auto"/>
              <w:ind w:left="114" w:right="106"/>
            </w:pPr>
            <w:r>
              <w:t>3)开标后，电子交易平台将自动比对投标截止时间前收</w:t>
            </w:r>
            <w:r>
              <w:rPr>
                <w:spacing w:val="7"/>
              </w:rPr>
              <w:t xml:space="preserve"> </w:t>
            </w:r>
            <w:r>
              <w:t>到的电子保函或保单情况；评标时评标委员会可以直接</w:t>
            </w:r>
            <w:r>
              <w:rPr>
                <w:spacing w:val="17"/>
              </w:rPr>
              <w:t xml:space="preserve"> </w:t>
            </w:r>
            <w:r>
              <w:rPr>
                <w:spacing w:val="-1"/>
              </w:rPr>
              <w:t>在投标文件中查验电子保函或保单。</w:t>
            </w:r>
          </w:p>
        </w:tc>
      </w:tr>
      <w:tr w14:paraId="10D896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9" w:hRule="atLeast"/>
        </w:trPr>
        <w:tc>
          <w:tcPr>
            <w:tcW w:w="864" w:type="dxa"/>
            <w:vAlign w:val="top"/>
          </w:tcPr>
          <w:p w14:paraId="560304E9">
            <w:pPr>
              <w:spacing w:line="392" w:lineRule="auto"/>
              <w:rPr>
                <w:rFonts w:ascii="Arial"/>
                <w:sz w:val="21"/>
              </w:rPr>
            </w:pPr>
          </w:p>
          <w:p w14:paraId="166ED156">
            <w:pPr>
              <w:pStyle w:val="6"/>
              <w:spacing w:before="69" w:line="239" w:lineRule="auto"/>
              <w:ind w:left="154"/>
            </w:pPr>
            <w:r>
              <w:rPr>
                <w:spacing w:val="-2"/>
              </w:rPr>
              <w:t>3.4.3</w:t>
            </w:r>
          </w:p>
        </w:tc>
        <w:tc>
          <w:tcPr>
            <w:tcW w:w="2267" w:type="dxa"/>
            <w:gridSpan w:val="2"/>
            <w:vAlign w:val="top"/>
          </w:tcPr>
          <w:p w14:paraId="67CC0E31">
            <w:pPr>
              <w:pStyle w:val="6"/>
              <w:spacing w:before="232" w:line="295" w:lineRule="auto"/>
              <w:ind w:left="100" w:right="695"/>
            </w:pPr>
            <w:r>
              <w:rPr>
                <w:spacing w:val="-2"/>
              </w:rPr>
              <w:t>退还投标保证金</w:t>
            </w:r>
            <w:r>
              <w:rPr>
                <w:spacing w:val="3"/>
              </w:rPr>
              <w:t xml:space="preserve"> </w:t>
            </w:r>
            <w:r>
              <w:rPr>
                <w:spacing w:val="5"/>
              </w:rPr>
              <w:t>及利息</w:t>
            </w:r>
          </w:p>
        </w:tc>
        <w:tc>
          <w:tcPr>
            <w:tcW w:w="5289" w:type="dxa"/>
            <w:vAlign w:val="top"/>
          </w:tcPr>
          <w:p w14:paraId="7E74B275">
            <w:pPr>
              <w:pStyle w:val="6"/>
              <w:spacing w:before="23" w:line="220" w:lineRule="auto"/>
              <w:ind w:left="114"/>
            </w:pPr>
            <w:r>
              <w:rPr>
                <w:spacing w:val="-1"/>
              </w:rPr>
              <w:t>计息标准：</w:t>
            </w:r>
          </w:p>
          <w:p w14:paraId="06CA7F6D">
            <w:pPr>
              <w:pStyle w:val="6"/>
              <w:spacing w:before="20" w:line="221" w:lineRule="auto"/>
              <w:ind w:left="114"/>
            </w:pPr>
            <w:r>
              <w:rPr>
                <w:spacing w:val="-1"/>
              </w:rPr>
              <w:t>计息时间：</w:t>
            </w:r>
          </w:p>
          <w:p w14:paraId="28455F5E">
            <w:pPr>
              <w:pStyle w:val="6"/>
              <w:spacing w:before="27" w:line="219" w:lineRule="auto"/>
              <w:ind w:left="114"/>
            </w:pPr>
            <w:r>
              <w:rPr>
                <w:spacing w:val="-2"/>
              </w:rPr>
              <w:t>退还办法：/</w:t>
            </w:r>
          </w:p>
          <w:p w14:paraId="0A198ED2">
            <w:pPr>
              <w:pStyle w:val="6"/>
              <w:spacing w:before="17" w:line="202" w:lineRule="auto"/>
              <w:ind w:left="117"/>
            </w:pPr>
            <w:r>
              <w:rPr>
                <w:b/>
                <w:bCs/>
                <w:spacing w:val="-4"/>
              </w:rPr>
              <w:t>特别说明：</w:t>
            </w:r>
          </w:p>
        </w:tc>
      </w:tr>
      <w:tr w14:paraId="0D069D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49" w:hRule="atLeast"/>
        </w:trPr>
        <w:tc>
          <w:tcPr>
            <w:tcW w:w="864" w:type="dxa"/>
            <w:vAlign w:val="top"/>
          </w:tcPr>
          <w:p w14:paraId="243A8B4E">
            <w:pPr>
              <w:spacing w:line="373" w:lineRule="auto"/>
              <w:rPr>
                <w:rFonts w:ascii="Arial"/>
                <w:sz w:val="21"/>
              </w:rPr>
            </w:pPr>
          </w:p>
          <w:p w14:paraId="508822EC">
            <w:pPr>
              <w:pStyle w:val="6"/>
              <w:spacing w:before="69" w:line="239" w:lineRule="auto"/>
              <w:ind w:left="154"/>
            </w:pPr>
            <w:r>
              <w:rPr>
                <w:spacing w:val="-2"/>
              </w:rPr>
              <w:t>3.5.1</w:t>
            </w:r>
          </w:p>
        </w:tc>
        <w:tc>
          <w:tcPr>
            <w:tcW w:w="2267" w:type="dxa"/>
            <w:gridSpan w:val="2"/>
            <w:vAlign w:val="top"/>
          </w:tcPr>
          <w:p w14:paraId="231A0570">
            <w:pPr>
              <w:spacing w:line="353" w:lineRule="auto"/>
              <w:rPr>
                <w:rFonts w:ascii="Arial"/>
                <w:sz w:val="21"/>
              </w:rPr>
            </w:pPr>
          </w:p>
          <w:p w14:paraId="4FEDB07C">
            <w:pPr>
              <w:pStyle w:val="6"/>
              <w:spacing w:before="68" w:line="219" w:lineRule="auto"/>
              <w:ind w:left="100"/>
            </w:pPr>
            <w:r>
              <w:rPr>
                <w:spacing w:val="10"/>
              </w:rPr>
              <w:t>类似项目</w:t>
            </w:r>
          </w:p>
        </w:tc>
        <w:tc>
          <w:tcPr>
            <w:tcW w:w="5289" w:type="dxa"/>
            <w:vAlign w:val="top"/>
          </w:tcPr>
          <w:p w14:paraId="7E3109B3">
            <w:pPr>
              <w:pStyle w:val="6"/>
              <w:spacing w:before="53" w:line="219" w:lineRule="auto"/>
              <w:ind w:left="114"/>
            </w:pPr>
            <w:r>
              <w:rPr>
                <w:spacing w:val="-1"/>
              </w:rPr>
              <w:t>类似项目是指：</w:t>
            </w:r>
          </w:p>
          <w:p w14:paraId="0BCC6208">
            <w:pPr>
              <w:pStyle w:val="6"/>
              <w:spacing w:before="100" w:line="219" w:lineRule="auto"/>
              <w:ind w:left="114"/>
            </w:pPr>
            <w:r>
              <w:rPr>
                <w:color w:val="2030F0"/>
                <w:spacing w:val="-1"/>
              </w:rPr>
              <w:t>单项合同金额投资额不小于</w:t>
            </w:r>
            <w:r>
              <w:rPr>
                <w:rFonts w:hint="eastAsia"/>
                <w:color w:val="2030F0"/>
                <w:spacing w:val="-1"/>
                <w:lang w:val="en-US" w:eastAsia="zh-CN"/>
              </w:rPr>
              <w:t>400</w:t>
            </w:r>
            <w:r>
              <w:rPr>
                <w:color w:val="2030F0"/>
                <w:spacing w:val="-1"/>
              </w:rPr>
              <w:t>万元的</w:t>
            </w:r>
            <w:r>
              <w:rPr>
                <w:rFonts w:hint="eastAsia"/>
                <w:color w:val="2030F0"/>
                <w:spacing w:val="-1"/>
                <w:lang w:val="en-US" w:eastAsia="zh-CN"/>
              </w:rPr>
              <w:t>市政或水利水电工程</w:t>
            </w:r>
            <w:r>
              <w:rPr>
                <w:color w:val="2020F0"/>
                <w:spacing w:val="-1"/>
              </w:rPr>
              <w:t>施工项目</w:t>
            </w:r>
            <w:r>
              <w:rPr>
                <w:rFonts w:hint="eastAsia"/>
                <w:color w:val="2020F0"/>
                <w:spacing w:val="-1"/>
                <w:lang w:eastAsia="zh-CN"/>
              </w:rPr>
              <w:t>（</w:t>
            </w:r>
            <w:r>
              <w:rPr>
                <w:rFonts w:hint="eastAsia"/>
                <w:color w:val="2020F0"/>
                <w:spacing w:val="-1"/>
                <w:lang w:val="en-US" w:eastAsia="zh-CN"/>
              </w:rPr>
              <w:t>须提供施工合同和中标通知书，以合同签订时间为准</w:t>
            </w:r>
            <w:r>
              <w:rPr>
                <w:rFonts w:hint="eastAsia"/>
                <w:color w:val="2020F0"/>
                <w:spacing w:val="-1"/>
                <w:lang w:eastAsia="zh-CN"/>
              </w:rPr>
              <w:t>）</w:t>
            </w:r>
          </w:p>
        </w:tc>
      </w:tr>
      <w:tr w14:paraId="415FD1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9" w:hRule="atLeast"/>
        </w:trPr>
        <w:tc>
          <w:tcPr>
            <w:tcW w:w="864" w:type="dxa"/>
            <w:vAlign w:val="top"/>
          </w:tcPr>
          <w:p w14:paraId="53B5F9E9">
            <w:pPr>
              <w:spacing w:line="275" w:lineRule="auto"/>
              <w:rPr>
                <w:rFonts w:ascii="Arial"/>
                <w:sz w:val="21"/>
              </w:rPr>
            </w:pPr>
          </w:p>
          <w:p w14:paraId="2E4C8A70">
            <w:pPr>
              <w:pStyle w:val="6"/>
              <w:spacing w:before="68" w:line="239" w:lineRule="auto"/>
              <w:ind w:left="264"/>
            </w:pPr>
            <w:r>
              <w:rPr>
                <w:spacing w:val="-3"/>
              </w:rPr>
              <w:t>3.6</w:t>
            </w:r>
          </w:p>
        </w:tc>
        <w:tc>
          <w:tcPr>
            <w:tcW w:w="2267" w:type="dxa"/>
            <w:gridSpan w:val="2"/>
            <w:vAlign w:val="top"/>
          </w:tcPr>
          <w:p w14:paraId="20428A11">
            <w:pPr>
              <w:pStyle w:val="6"/>
              <w:spacing w:before="184" w:line="258" w:lineRule="auto"/>
              <w:ind w:left="100" w:right="885"/>
            </w:pPr>
            <w:r>
              <w:rPr>
                <w:spacing w:val="1"/>
              </w:rPr>
              <w:t>是否允许递交 备选投标方案</w:t>
            </w:r>
          </w:p>
        </w:tc>
        <w:tc>
          <w:tcPr>
            <w:tcW w:w="5289" w:type="dxa"/>
            <w:vAlign w:val="top"/>
          </w:tcPr>
          <w:p w14:paraId="3AA98D83">
            <w:pPr>
              <w:spacing w:line="255" w:lineRule="auto"/>
              <w:rPr>
                <w:rFonts w:ascii="Arial"/>
                <w:sz w:val="21"/>
              </w:rPr>
            </w:pPr>
          </w:p>
          <w:p w14:paraId="3F491F35">
            <w:pPr>
              <w:pStyle w:val="6"/>
              <w:spacing w:before="68" w:line="219" w:lineRule="auto"/>
              <w:ind w:left="114"/>
            </w:pPr>
            <w:r>
              <w:rPr>
                <w:spacing w:val="-3"/>
              </w:rPr>
              <w:t>不允许</w:t>
            </w:r>
          </w:p>
        </w:tc>
      </w:tr>
      <w:tr w14:paraId="0BA262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864" w:type="dxa"/>
            <w:vAlign w:val="top"/>
          </w:tcPr>
          <w:p w14:paraId="2B0B957C">
            <w:pPr>
              <w:pStyle w:val="6"/>
              <w:spacing w:before="156" w:line="239" w:lineRule="auto"/>
              <w:ind w:left="154"/>
            </w:pPr>
            <w:r>
              <w:rPr>
                <w:spacing w:val="-2"/>
              </w:rPr>
              <w:t>3.7.4</w:t>
            </w:r>
          </w:p>
        </w:tc>
        <w:tc>
          <w:tcPr>
            <w:tcW w:w="2267" w:type="dxa"/>
            <w:gridSpan w:val="2"/>
            <w:vAlign w:val="top"/>
          </w:tcPr>
          <w:p w14:paraId="786858E1">
            <w:pPr>
              <w:pStyle w:val="6"/>
              <w:spacing w:before="134" w:line="219" w:lineRule="auto"/>
              <w:jc w:val="right"/>
            </w:pPr>
            <w:r>
              <w:rPr>
                <w:spacing w:val="5"/>
              </w:rPr>
              <w:t>是否采用“技术暗标”</w:t>
            </w:r>
          </w:p>
        </w:tc>
        <w:tc>
          <w:tcPr>
            <w:tcW w:w="5289" w:type="dxa"/>
            <w:vAlign w:val="top"/>
          </w:tcPr>
          <w:p w14:paraId="074E48AC">
            <w:pPr>
              <w:pStyle w:val="6"/>
              <w:spacing w:before="134" w:line="219" w:lineRule="auto"/>
              <w:ind w:left="114"/>
            </w:pPr>
            <w:r>
              <w:rPr>
                <w:spacing w:val="12"/>
              </w:rPr>
              <w:t>采用</w:t>
            </w:r>
          </w:p>
        </w:tc>
      </w:tr>
      <w:tr w14:paraId="000C9B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0" w:hRule="atLeast"/>
        </w:trPr>
        <w:tc>
          <w:tcPr>
            <w:tcW w:w="864" w:type="dxa"/>
            <w:vAlign w:val="top"/>
          </w:tcPr>
          <w:p w14:paraId="7FE84296">
            <w:pPr>
              <w:pStyle w:val="6"/>
              <w:spacing w:before="246" w:line="239" w:lineRule="auto"/>
              <w:ind w:left="154"/>
            </w:pPr>
            <w:r>
              <w:rPr>
                <w:spacing w:val="-2"/>
              </w:rPr>
              <w:t>4.2.1</w:t>
            </w:r>
          </w:p>
        </w:tc>
        <w:tc>
          <w:tcPr>
            <w:tcW w:w="2267" w:type="dxa"/>
            <w:gridSpan w:val="2"/>
            <w:vAlign w:val="top"/>
          </w:tcPr>
          <w:p w14:paraId="5CACF616">
            <w:pPr>
              <w:pStyle w:val="6"/>
              <w:spacing w:before="226" w:line="220" w:lineRule="auto"/>
              <w:ind w:left="100"/>
            </w:pPr>
            <w:r>
              <w:rPr>
                <w:spacing w:val="3"/>
              </w:rPr>
              <w:t>投标截止时间</w:t>
            </w:r>
          </w:p>
        </w:tc>
        <w:tc>
          <w:tcPr>
            <w:tcW w:w="5289" w:type="dxa"/>
            <w:vAlign w:val="top"/>
          </w:tcPr>
          <w:p w14:paraId="26B6BC5B">
            <w:pPr>
              <w:pStyle w:val="6"/>
              <w:spacing w:before="246" w:line="239" w:lineRule="auto"/>
              <w:ind w:left="114"/>
              <w:rPr>
                <w:rFonts w:hint="default" w:eastAsia="宋体"/>
                <w:lang w:val="en-US" w:eastAsia="zh-CN"/>
              </w:rPr>
            </w:pPr>
            <w:r>
              <w:rPr>
                <w:rFonts w:hint="default" w:eastAsia="宋体"/>
                <w:lang w:val="en-US" w:eastAsia="zh-CN"/>
              </w:rPr>
              <w:t>202</w:t>
            </w:r>
            <w:r>
              <w:rPr>
                <w:rFonts w:hint="eastAsia"/>
                <w:lang w:val="en-US" w:eastAsia="zh-CN"/>
              </w:rPr>
              <w:t>6</w:t>
            </w:r>
            <w:r>
              <w:rPr>
                <w:rFonts w:hint="default" w:eastAsia="宋体"/>
                <w:lang w:val="en-US" w:eastAsia="zh-CN"/>
              </w:rPr>
              <w:t>年</w:t>
            </w:r>
            <w:r>
              <w:rPr>
                <w:rFonts w:hint="eastAsia"/>
                <w:lang w:val="en-US" w:eastAsia="zh-CN"/>
              </w:rPr>
              <w:t xml:space="preserve"> 7 </w:t>
            </w:r>
            <w:r>
              <w:rPr>
                <w:rFonts w:hint="default" w:eastAsia="宋体"/>
                <w:lang w:val="en-US" w:eastAsia="zh-CN"/>
              </w:rPr>
              <w:t>月</w:t>
            </w:r>
            <w:r>
              <w:rPr>
                <w:rFonts w:hint="eastAsia"/>
                <w:lang w:val="en-US" w:eastAsia="zh-CN"/>
              </w:rPr>
              <w:t xml:space="preserve"> 23 </w:t>
            </w:r>
            <w:r>
              <w:rPr>
                <w:rFonts w:hint="default" w:eastAsia="宋体"/>
                <w:lang w:val="en-US" w:eastAsia="zh-CN"/>
              </w:rPr>
              <w:t>日</w:t>
            </w:r>
            <w:r>
              <w:rPr>
                <w:rFonts w:hint="eastAsia"/>
                <w:lang w:val="en-US" w:eastAsia="zh-CN"/>
              </w:rPr>
              <w:t>9点</w:t>
            </w:r>
          </w:p>
        </w:tc>
      </w:tr>
      <w:tr w14:paraId="67C110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9" w:hRule="atLeast"/>
        </w:trPr>
        <w:tc>
          <w:tcPr>
            <w:tcW w:w="864" w:type="dxa"/>
            <w:vAlign w:val="top"/>
          </w:tcPr>
          <w:p w14:paraId="65944ED6">
            <w:pPr>
              <w:spacing w:line="346" w:lineRule="auto"/>
              <w:rPr>
                <w:rFonts w:ascii="Arial"/>
                <w:sz w:val="21"/>
              </w:rPr>
            </w:pPr>
          </w:p>
          <w:p w14:paraId="08CB8FA3">
            <w:pPr>
              <w:pStyle w:val="6"/>
              <w:spacing w:before="68" w:line="239" w:lineRule="auto"/>
              <w:ind w:left="154"/>
            </w:pPr>
            <w:r>
              <w:rPr>
                <w:spacing w:val="-2"/>
              </w:rPr>
              <w:t>4.2.3</w:t>
            </w:r>
          </w:p>
        </w:tc>
        <w:tc>
          <w:tcPr>
            <w:tcW w:w="2267" w:type="dxa"/>
            <w:gridSpan w:val="2"/>
            <w:vAlign w:val="top"/>
          </w:tcPr>
          <w:p w14:paraId="4A7F793A">
            <w:pPr>
              <w:spacing w:line="325" w:lineRule="auto"/>
              <w:rPr>
                <w:rFonts w:ascii="Arial"/>
                <w:sz w:val="21"/>
              </w:rPr>
            </w:pPr>
          </w:p>
          <w:p w14:paraId="1D5474D7">
            <w:pPr>
              <w:pStyle w:val="6"/>
              <w:spacing w:before="68" w:line="219" w:lineRule="auto"/>
              <w:ind w:left="100"/>
            </w:pPr>
            <w:r>
              <w:rPr>
                <w:spacing w:val="1"/>
              </w:rPr>
              <w:t>是否退还投标文件</w:t>
            </w:r>
          </w:p>
        </w:tc>
        <w:tc>
          <w:tcPr>
            <w:tcW w:w="5289" w:type="dxa"/>
            <w:vAlign w:val="top"/>
          </w:tcPr>
          <w:p w14:paraId="046B01F9">
            <w:pPr>
              <w:pStyle w:val="6"/>
              <w:spacing w:before="16" w:line="220" w:lineRule="auto"/>
              <w:ind w:left="114"/>
            </w:pPr>
            <w:r>
              <w:rPr>
                <w:rFonts w:ascii="MS Gothic" w:hAnsi="MS Gothic" w:eastAsia="MS Gothic" w:cs="MS Gothic"/>
                <w:color w:val="2030D0"/>
                <w:spacing w:val="-9"/>
              </w:rPr>
              <w:t>☑</w:t>
            </w:r>
            <w:r>
              <w:rPr>
                <w:color w:val="2030D0"/>
                <w:spacing w:val="-9"/>
              </w:rPr>
              <w:t>否</w:t>
            </w:r>
          </w:p>
          <w:p w14:paraId="36CFD969">
            <w:pPr>
              <w:pStyle w:val="6"/>
              <w:spacing w:before="92" w:line="223" w:lineRule="auto"/>
              <w:ind w:left="114"/>
            </w:pPr>
            <w:r>
              <w:rPr>
                <w:color w:val="3030F0"/>
                <w:spacing w:val="5"/>
              </w:rPr>
              <w:t>□是</w:t>
            </w:r>
          </w:p>
          <w:p w14:paraId="2DBED0B1">
            <w:pPr>
              <w:pStyle w:val="6"/>
              <w:spacing w:before="73" w:line="221" w:lineRule="auto"/>
              <w:ind w:left="114"/>
            </w:pPr>
            <w:r>
              <w:rPr>
                <w:spacing w:val="-2"/>
              </w:rPr>
              <w:t>退还安排：/</w:t>
            </w:r>
          </w:p>
        </w:tc>
      </w:tr>
      <w:tr w14:paraId="632706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9" w:hRule="atLeast"/>
        </w:trPr>
        <w:tc>
          <w:tcPr>
            <w:tcW w:w="864" w:type="dxa"/>
            <w:vAlign w:val="top"/>
          </w:tcPr>
          <w:p w14:paraId="69808452">
            <w:pPr>
              <w:spacing w:line="347" w:lineRule="auto"/>
              <w:rPr>
                <w:rFonts w:ascii="Arial"/>
                <w:sz w:val="21"/>
              </w:rPr>
            </w:pPr>
          </w:p>
          <w:p w14:paraId="1A36162E">
            <w:pPr>
              <w:pStyle w:val="6"/>
              <w:spacing w:before="68" w:line="239" w:lineRule="auto"/>
              <w:ind w:left="154"/>
            </w:pPr>
            <w:r>
              <w:rPr>
                <w:spacing w:val="-2"/>
              </w:rPr>
              <w:t>5.1.2</w:t>
            </w:r>
          </w:p>
        </w:tc>
        <w:tc>
          <w:tcPr>
            <w:tcW w:w="2267" w:type="dxa"/>
            <w:gridSpan w:val="2"/>
            <w:vAlign w:val="top"/>
          </w:tcPr>
          <w:p w14:paraId="4663915D">
            <w:pPr>
              <w:spacing w:line="327" w:lineRule="auto"/>
              <w:rPr>
                <w:rFonts w:ascii="Arial"/>
                <w:sz w:val="21"/>
              </w:rPr>
            </w:pPr>
          </w:p>
          <w:p w14:paraId="1A801D3F">
            <w:pPr>
              <w:pStyle w:val="6"/>
              <w:spacing w:before="68" w:line="220" w:lineRule="auto"/>
              <w:ind w:left="100"/>
            </w:pPr>
            <w:r>
              <w:rPr>
                <w:spacing w:val="3"/>
              </w:rPr>
              <w:t>组织开标地点</w:t>
            </w:r>
          </w:p>
        </w:tc>
        <w:tc>
          <w:tcPr>
            <w:tcW w:w="5289" w:type="dxa"/>
            <w:vAlign w:val="top"/>
          </w:tcPr>
          <w:p w14:paraId="32D05D4D">
            <w:pPr>
              <w:spacing w:line="326" w:lineRule="auto"/>
              <w:rPr>
                <w:rFonts w:ascii="Arial"/>
                <w:sz w:val="21"/>
              </w:rPr>
            </w:pPr>
          </w:p>
          <w:p w14:paraId="09951508">
            <w:pPr>
              <w:pStyle w:val="6"/>
              <w:spacing w:before="68" w:line="219" w:lineRule="auto"/>
              <w:ind w:left="114"/>
            </w:pPr>
            <w:r>
              <w:rPr>
                <w:color w:val="2020F0"/>
              </w:rPr>
              <w:t>罗田县公共资源交易中心五楼开标大厅</w:t>
            </w:r>
          </w:p>
        </w:tc>
      </w:tr>
      <w:tr w14:paraId="7ADEB2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4" w:hRule="atLeast"/>
        </w:trPr>
        <w:tc>
          <w:tcPr>
            <w:tcW w:w="864" w:type="dxa"/>
            <w:vAlign w:val="top"/>
          </w:tcPr>
          <w:p w14:paraId="7140F31C">
            <w:pPr>
              <w:pStyle w:val="6"/>
              <w:spacing w:before="308" w:line="213" w:lineRule="auto"/>
              <w:ind w:left="154"/>
            </w:pPr>
            <w:r>
              <w:rPr>
                <w:spacing w:val="-2"/>
              </w:rPr>
              <w:t>5.2.1</w:t>
            </w:r>
          </w:p>
          <w:p w14:paraId="332491BE">
            <w:pPr>
              <w:pStyle w:val="6"/>
              <w:spacing w:line="222" w:lineRule="auto"/>
              <w:ind w:left="264"/>
            </w:pPr>
            <w:r>
              <w:rPr>
                <w:spacing w:val="-11"/>
              </w:rPr>
              <w:t>(5)</w:t>
            </w:r>
          </w:p>
        </w:tc>
        <w:tc>
          <w:tcPr>
            <w:tcW w:w="2267" w:type="dxa"/>
            <w:gridSpan w:val="2"/>
            <w:vAlign w:val="top"/>
          </w:tcPr>
          <w:p w14:paraId="259551BB">
            <w:pPr>
              <w:spacing w:line="328" w:lineRule="auto"/>
              <w:rPr>
                <w:rFonts w:ascii="Arial"/>
                <w:sz w:val="21"/>
              </w:rPr>
            </w:pPr>
          </w:p>
          <w:p w14:paraId="3A18AFC2">
            <w:pPr>
              <w:pStyle w:val="6"/>
              <w:spacing w:before="68" w:line="220" w:lineRule="auto"/>
              <w:ind w:left="100"/>
            </w:pPr>
            <w:r>
              <w:rPr>
                <w:spacing w:val="5"/>
              </w:rPr>
              <w:t>解密时间</w:t>
            </w:r>
          </w:p>
        </w:tc>
        <w:tc>
          <w:tcPr>
            <w:tcW w:w="5289" w:type="dxa"/>
            <w:vAlign w:val="top"/>
          </w:tcPr>
          <w:p w14:paraId="4780E6FC">
            <w:pPr>
              <w:pStyle w:val="6"/>
              <w:spacing w:before="147" w:line="219" w:lineRule="auto"/>
              <w:ind w:left="114"/>
            </w:pPr>
            <w:r>
              <w:rPr>
                <w:spacing w:val="1"/>
              </w:rPr>
              <w:t>招标人发出解密提示后30分钟内</w:t>
            </w:r>
          </w:p>
          <w:p w14:paraId="2ACCEC67">
            <w:pPr>
              <w:pStyle w:val="6"/>
              <w:spacing w:before="28" w:line="241" w:lineRule="auto"/>
              <w:ind w:left="114" w:right="117" w:firstLine="109"/>
            </w:pPr>
            <w:r>
              <w:t>(招标人应充分考虑标段数和投标人数量，合理设置解</w:t>
            </w:r>
            <w:r>
              <w:rPr>
                <w:spacing w:val="1"/>
              </w:rPr>
              <w:t xml:space="preserve"> </w:t>
            </w:r>
            <w:r>
              <w:rPr>
                <w:spacing w:val="2"/>
              </w:rPr>
              <w:t>密时间，该时间不应少于20分钟)</w:t>
            </w:r>
          </w:p>
        </w:tc>
      </w:tr>
      <w:tr w14:paraId="5BD29E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04" w:hRule="atLeast"/>
        </w:trPr>
        <w:tc>
          <w:tcPr>
            <w:tcW w:w="864" w:type="dxa"/>
            <w:vAlign w:val="top"/>
          </w:tcPr>
          <w:p w14:paraId="13126557">
            <w:pPr>
              <w:spacing w:line="301" w:lineRule="auto"/>
              <w:rPr>
                <w:rFonts w:ascii="Arial"/>
                <w:sz w:val="21"/>
              </w:rPr>
            </w:pPr>
          </w:p>
          <w:p w14:paraId="6861D4BE">
            <w:pPr>
              <w:spacing w:line="301" w:lineRule="auto"/>
              <w:rPr>
                <w:rFonts w:ascii="Arial"/>
                <w:sz w:val="21"/>
              </w:rPr>
            </w:pPr>
          </w:p>
          <w:p w14:paraId="4D57EDEC">
            <w:pPr>
              <w:pStyle w:val="6"/>
              <w:spacing w:before="68" w:line="239" w:lineRule="auto"/>
              <w:ind w:left="154"/>
            </w:pPr>
            <w:r>
              <w:rPr>
                <w:spacing w:val="-2"/>
              </w:rPr>
              <w:t>6.1.1</w:t>
            </w:r>
          </w:p>
        </w:tc>
        <w:tc>
          <w:tcPr>
            <w:tcW w:w="2257" w:type="dxa"/>
            <w:vAlign w:val="top"/>
          </w:tcPr>
          <w:p w14:paraId="6418A9A5">
            <w:pPr>
              <w:spacing w:line="290" w:lineRule="auto"/>
              <w:rPr>
                <w:rFonts w:ascii="Arial"/>
                <w:sz w:val="21"/>
              </w:rPr>
            </w:pPr>
          </w:p>
          <w:p w14:paraId="285086D9">
            <w:pPr>
              <w:spacing w:line="290" w:lineRule="auto"/>
              <w:rPr>
                <w:rFonts w:ascii="Arial"/>
                <w:sz w:val="21"/>
              </w:rPr>
            </w:pPr>
          </w:p>
          <w:p w14:paraId="33CD0915">
            <w:pPr>
              <w:pStyle w:val="6"/>
              <w:spacing w:before="68" w:line="219" w:lineRule="auto"/>
              <w:ind w:left="90"/>
            </w:pPr>
            <w:r>
              <w:rPr>
                <w:spacing w:val="-1"/>
              </w:rPr>
              <w:t>评标委员会的组建</w:t>
            </w:r>
          </w:p>
        </w:tc>
        <w:tc>
          <w:tcPr>
            <w:tcW w:w="5299" w:type="dxa"/>
            <w:gridSpan w:val="2"/>
            <w:vAlign w:val="top"/>
          </w:tcPr>
          <w:p w14:paraId="19583E7E">
            <w:pPr>
              <w:pStyle w:val="6"/>
              <w:spacing w:before="252" w:line="242" w:lineRule="auto"/>
              <w:ind w:left="124" w:right="447"/>
            </w:pPr>
            <w:r>
              <w:rPr>
                <w:spacing w:val="-1"/>
              </w:rPr>
              <w:t>评标委员会构成：5人，其中招标人代表1人，专家4</w:t>
            </w:r>
            <w:r>
              <w:rPr>
                <w:spacing w:val="15"/>
              </w:rPr>
              <w:t xml:space="preserve"> </w:t>
            </w:r>
            <w:r>
              <w:rPr>
                <w:spacing w:val="-5"/>
              </w:rPr>
              <w:t>人</w:t>
            </w:r>
            <w:r>
              <w:rPr>
                <w:spacing w:val="58"/>
              </w:rPr>
              <w:t xml:space="preserve"> </w:t>
            </w:r>
            <w:r>
              <w:rPr>
                <w:spacing w:val="-5"/>
              </w:rPr>
              <w:t>；</w:t>
            </w:r>
          </w:p>
          <w:p w14:paraId="117DD920">
            <w:pPr>
              <w:pStyle w:val="6"/>
              <w:spacing w:line="219" w:lineRule="auto"/>
              <w:ind w:left="124"/>
            </w:pPr>
            <w:r>
              <w:rPr>
                <w:spacing w:val="-1"/>
              </w:rPr>
              <w:t>评标专家确定方式：从湖北省综合评标专家总库相应专</w:t>
            </w:r>
          </w:p>
          <w:p w14:paraId="4B72C462">
            <w:pPr>
              <w:pStyle w:val="6"/>
              <w:spacing w:before="29" w:line="219" w:lineRule="auto"/>
              <w:ind w:left="124"/>
            </w:pPr>
            <w:r>
              <w:rPr>
                <w:color w:val="2020F0"/>
                <w:spacing w:val="-1"/>
              </w:rPr>
              <w:t>业中随机抽取产生。</w:t>
            </w:r>
          </w:p>
        </w:tc>
      </w:tr>
      <w:tr w14:paraId="5B86B0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99" w:hRule="atLeast"/>
        </w:trPr>
        <w:tc>
          <w:tcPr>
            <w:tcW w:w="864" w:type="dxa"/>
            <w:vAlign w:val="top"/>
          </w:tcPr>
          <w:p w14:paraId="6DD08EA6">
            <w:pPr>
              <w:spacing w:line="249" w:lineRule="auto"/>
              <w:rPr>
                <w:rFonts w:ascii="Arial"/>
                <w:sz w:val="21"/>
              </w:rPr>
            </w:pPr>
          </w:p>
          <w:p w14:paraId="3BBF4823">
            <w:pPr>
              <w:spacing w:line="249" w:lineRule="auto"/>
              <w:rPr>
                <w:rFonts w:ascii="Arial"/>
                <w:sz w:val="21"/>
              </w:rPr>
            </w:pPr>
          </w:p>
          <w:p w14:paraId="11C73A0B">
            <w:pPr>
              <w:spacing w:line="249" w:lineRule="auto"/>
              <w:rPr>
                <w:rFonts w:ascii="Arial"/>
                <w:sz w:val="21"/>
              </w:rPr>
            </w:pPr>
          </w:p>
          <w:p w14:paraId="02D4AF24">
            <w:pPr>
              <w:pStyle w:val="6"/>
              <w:spacing w:before="68" w:line="239" w:lineRule="auto"/>
              <w:ind w:left="264"/>
            </w:pPr>
            <w:r>
              <w:rPr>
                <w:spacing w:val="-3"/>
              </w:rPr>
              <w:t>6.4</w:t>
            </w:r>
          </w:p>
        </w:tc>
        <w:tc>
          <w:tcPr>
            <w:tcW w:w="2257" w:type="dxa"/>
            <w:vAlign w:val="top"/>
          </w:tcPr>
          <w:p w14:paraId="57352157">
            <w:pPr>
              <w:spacing w:line="241" w:lineRule="auto"/>
              <w:rPr>
                <w:rFonts w:ascii="Arial"/>
                <w:sz w:val="21"/>
              </w:rPr>
            </w:pPr>
          </w:p>
          <w:p w14:paraId="25EE1EA2">
            <w:pPr>
              <w:spacing w:line="242" w:lineRule="auto"/>
              <w:rPr>
                <w:rFonts w:ascii="Arial"/>
                <w:sz w:val="21"/>
              </w:rPr>
            </w:pPr>
          </w:p>
          <w:p w14:paraId="44DE95EE">
            <w:pPr>
              <w:spacing w:line="242" w:lineRule="auto"/>
              <w:rPr>
                <w:rFonts w:ascii="Arial"/>
                <w:sz w:val="21"/>
              </w:rPr>
            </w:pPr>
          </w:p>
          <w:p w14:paraId="336658D1">
            <w:pPr>
              <w:pStyle w:val="6"/>
              <w:spacing w:before="68" w:line="219" w:lineRule="auto"/>
              <w:ind w:left="90"/>
            </w:pPr>
            <w:r>
              <w:rPr>
                <w:spacing w:val="-1"/>
              </w:rPr>
              <w:t>评标结果公示媒介</w:t>
            </w:r>
          </w:p>
        </w:tc>
        <w:tc>
          <w:tcPr>
            <w:tcW w:w="5299" w:type="dxa"/>
            <w:gridSpan w:val="2"/>
            <w:vAlign w:val="top"/>
          </w:tcPr>
          <w:p w14:paraId="40DEFEC1">
            <w:pPr>
              <w:pStyle w:val="6"/>
              <w:spacing w:before="280" w:line="237" w:lineRule="auto"/>
              <w:ind w:left="123" w:right="2632" w:hanging="10"/>
            </w:pPr>
            <w:r>
              <w:rPr>
                <w:color w:val="2020E0"/>
                <w:spacing w:val="1"/>
              </w:rPr>
              <w:t>湖北省电子招投标交易平台</w:t>
            </w:r>
            <w:r>
              <w:rPr>
                <w:color w:val="2020E0"/>
                <w:spacing w:val="9"/>
              </w:rPr>
              <w:t xml:space="preserve"> </w:t>
            </w:r>
            <w:r>
              <w:rPr>
                <w:color w:val="2020E0"/>
              </w:rPr>
              <w:t>网址：</w:t>
            </w:r>
            <w:r>
              <w:fldChar w:fldCharType="begin"/>
            </w:r>
            <w:r>
              <w:instrText xml:space="preserve"> HYPERLINK "https://www.hbbidcloud.cn" </w:instrText>
            </w:r>
            <w:r>
              <w:fldChar w:fldCharType="separate"/>
            </w:r>
            <w:r>
              <w:rPr>
                <w:color w:val="2020E0"/>
              </w:rPr>
              <w:t>www.hbbidcloud.cn</w:t>
            </w:r>
            <w:r>
              <w:rPr>
                <w:color w:val="2020E0"/>
              </w:rPr>
              <w:fldChar w:fldCharType="end"/>
            </w:r>
          </w:p>
          <w:p w14:paraId="3174ACB5">
            <w:pPr>
              <w:pStyle w:val="6"/>
              <w:spacing w:line="219" w:lineRule="auto"/>
              <w:ind w:left="124"/>
            </w:pPr>
            <w:r>
              <w:rPr>
                <w:color w:val="2030F0"/>
                <w:spacing w:val="-1"/>
              </w:rPr>
              <w:t>湖北省公共资源交易电子服务系统</w:t>
            </w:r>
          </w:p>
          <w:p w14:paraId="6A90FE51">
            <w:pPr>
              <w:pStyle w:val="6"/>
              <w:spacing w:before="14" w:line="279" w:lineRule="auto"/>
              <w:ind w:left="103" w:right="2758" w:firstLine="10"/>
            </w:pPr>
            <w:r>
              <w:rPr>
                <w:color w:val="3030E0"/>
              </w:rPr>
              <w:t>网址：</w:t>
            </w:r>
            <w:r>
              <w:fldChar w:fldCharType="begin"/>
            </w:r>
            <w:r>
              <w:instrText xml:space="preserve"> HYPERLINK "https://www.hbggzyfwpt.cn/" </w:instrText>
            </w:r>
            <w:r>
              <w:fldChar w:fldCharType="separate"/>
            </w:r>
            <w:r>
              <w:rPr>
                <w:color w:val="3030E0"/>
              </w:rPr>
              <w:t>www.hbggzyfwpt.cn</w:t>
            </w:r>
            <w:r>
              <w:rPr>
                <w:color w:val="3030E0"/>
              </w:rPr>
              <w:fldChar w:fldCharType="end"/>
            </w:r>
            <w:r>
              <w:rPr>
                <w:color w:val="3030E0"/>
              </w:rPr>
              <w:t xml:space="preserve"> </w:t>
            </w:r>
            <w:r>
              <w:fldChar w:fldCharType="begin"/>
            </w:r>
            <w:r>
              <w:instrText xml:space="preserve"> HYPERLINK "https://www.hbggzyfwpt.cn/" </w:instrText>
            </w:r>
            <w:r>
              <w:fldChar w:fldCharType="separate"/>
            </w:r>
            <w:r>
              <w:rPr>
                <w:color w:val="3030E0"/>
              </w:rPr>
              <w:t>/</w:t>
            </w:r>
            <w:r>
              <w:rPr>
                <w:color w:val="3030E0"/>
              </w:rPr>
              <w:fldChar w:fldCharType="end"/>
            </w:r>
          </w:p>
        </w:tc>
      </w:tr>
      <w:tr w14:paraId="4945E0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9" w:hRule="atLeast"/>
        </w:trPr>
        <w:tc>
          <w:tcPr>
            <w:tcW w:w="864" w:type="dxa"/>
            <w:vAlign w:val="top"/>
          </w:tcPr>
          <w:p w14:paraId="2676EF40">
            <w:pPr>
              <w:spacing w:line="331" w:lineRule="auto"/>
              <w:rPr>
                <w:rFonts w:ascii="Arial"/>
                <w:sz w:val="21"/>
              </w:rPr>
            </w:pPr>
          </w:p>
          <w:p w14:paraId="013F17C8">
            <w:pPr>
              <w:pStyle w:val="6"/>
              <w:spacing w:before="68" w:line="239" w:lineRule="auto"/>
              <w:ind w:left="264"/>
            </w:pPr>
            <w:r>
              <w:rPr>
                <w:spacing w:val="-3"/>
              </w:rPr>
              <w:t>7.1</w:t>
            </w:r>
          </w:p>
        </w:tc>
        <w:tc>
          <w:tcPr>
            <w:tcW w:w="2257" w:type="dxa"/>
            <w:vAlign w:val="top"/>
          </w:tcPr>
          <w:p w14:paraId="2EA6087D">
            <w:pPr>
              <w:pStyle w:val="6"/>
              <w:spacing w:before="250" w:line="232" w:lineRule="auto"/>
              <w:ind w:left="90" w:right="256"/>
            </w:pPr>
            <w:r>
              <w:rPr>
                <w:spacing w:val="1"/>
              </w:rPr>
              <w:t>是否授权评标委员会</w:t>
            </w:r>
            <w:r>
              <w:t xml:space="preserve"> </w:t>
            </w:r>
            <w:r>
              <w:rPr>
                <w:spacing w:val="-2"/>
              </w:rPr>
              <w:t>确定中标人</w:t>
            </w:r>
          </w:p>
        </w:tc>
        <w:tc>
          <w:tcPr>
            <w:tcW w:w="5299" w:type="dxa"/>
            <w:gridSpan w:val="2"/>
            <w:vAlign w:val="top"/>
          </w:tcPr>
          <w:p w14:paraId="6A7B618E">
            <w:pPr>
              <w:pStyle w:val="6"/>
              <w:spacing w:before="154" w:line="223" w:lineRule="auto"/>
              <w:ind w:left="113"/>
            </w:pPr>
            <w:r>
              <w:rPr>
                <w:color w:val="2020F0"/>
                <w:spacing w:val="5"/>
              </w:rPr>
              <w:t>□是</w:t>
            </w:r>
          </w:p>
          <w:p w14:paraId="79DB573F">
            <w:pPr>
              <w:pStyle w:val="6"/>
              <w:spacing w:before="91" w:line="219" w:lineRule="auto"/>
              <w:ind w:left="124"/>
            </w:pPr>
            <w:r>
              <w:rPr>
                <w:rFonts w:ascii="MS Gothic" w:hAnsi="MS Gothic" w:eastAsia="MS Gothic" w:cs="MS Gothic"/>
                <w:color w:val="2020F0"/>
              </w:rPr>
              <w:t>☑</w:t>
            </w:r>
            <w:r>
              <w:rPr>
                <w:color w:val="2020F0"/>
              </w:rPr>
              <w:t>否，推荐的中标候选人数：5</w:t>
            </w:r>
          </w:p>
        </w:tc>
      </w:tr>
      <w:tr w14:paraId="74ACD6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68" w:hRule="atLeast"/>
        </w:trPr>
        <w:tc>
          <w:tcPr>
            <w:tcW w:w="864" w:type="dxa"/>
            <w:vAlign w:val="top"/>
          </w:tcPr>
          <w:p w14:paraId="6F2C4492">
            <w:pPr>
              <w:spacing w:line="292" w:lineRule="auto"/>
              <w:rPr>
                <w:rFonts w:ascii="Arial"/>
                <w:sz w:val="21"/>
              </w:rPr>
            </w:pPr>
          </w:p>
          <w:p w14:paraId="2932B117">
            <w:pPr>
              <w:spacing w:line="293" w:lineRule="auto"/>
              <w:rPr>
                <w:rFonts w:ascii="Arial"/>
                <w:sz w:val="21"/>
              </w:rPr>
            </w:pPr>
          </w:p>
          <w:p w14:paraId="42BAB9A4">
            <w:pPr>
              <w:spacing w:line="293" w:lineRule="auto"/>
              <w:rPr>
                <w:rFonts w:ascii="Arial"/>
                <w:sz w:val="21"/>
              </w:rPr>
            </w:pPr>
          </w:p>
          <w:p w14:paraId="28D886D5">
            <w:pPr>
              <w:pStyle w:val="6"/>
              <w:spacing w:before="69" w:line="239" w:lineRule="auto"/>
              <w:ind w:left="154"/>
            </w:pPr>
            <w:r>
              <w:rPr>
                <w:spacing w:val="-3"/>
              </w:rPr>
              <w:t>7.3.1</w:t>
            </w:r>
          </w:p>
        </w:tc>
        <w:tc>
          <w:tcPr>
            <w:tcW w:w="2257" w:type="dxa"/>
            <w:vAlign w:val="top"/>
          </w:tcPr>
          <w:p w14:paraId="7A64A477">
            <w:pPr>
              <w:spacing w:line="286" w:lineRule="auto"/>
              <w:rPr>
                <w:rFonts w:ascii="Arial"/>
                <w:sz w:val="21"/>
              </w:rPr>
            </w:pPr>
          </w:p>
          <w:p w14:paraId="0024C2BF">
            <w:pPr>
              <w:spacing w:line="286" w:lineRule="auto"/>
              <w:rPr>
                <w:rFonts w:ascii="Arial"/>
                <w:sz w:val="21"/>
              </w:rPr>
            </w:pPr>
          </w:p>
          <w:p w14:paraId="19924CFE">
            <w:pPr>
              <w:spacing w:line="286" w:lineRule="auto"/>
              <w:rPr>
                <w:rFonts w:ascii="Arial"/>
                <w:sz w:val="21"/>
              </w:rPr>
            </w:pPr>
          </w:p>
          <w:p w14:paraId="0CA75DD3">
            <w:pPr>
              <w:pStyle w:val="6"/>
              <w:spacing w:before="69" w:line="220" w:lineRule="auto"/>
              <w:ind w:left="90"/>
            </w:pPr>
            <w:r>
              <w:rPr>
                <w:spacing w:val="1"/>
              </w:rPr>
              <w:t>履约保证金</w:t>
            </w:r>
          </w:p>
        </w:tc>
        <w:tc>
          <w:tcPr>
            <w:tcW w:w="5299" w:type="dxa"/>
            <w:gridSpan w:val="2"/>
            <w:vAlign w:val="top"/>
          </w:tcPr>
          <w:p w14:paraId="6CBA6C10">
            <w:pPr>
              <w:pStyle w:val="6"/>
              <w:spacing w:before="182" w:line="220" w:lineRule="auto"/>
              <w:ind w:left="124"/>
            </w:pPr>
            <w:r>
              <w:rPr>
                <w:rFonts w:ascii="MS Gothic" w:hAnsi="MS Gothic" w:eastAsia="MS Gothic" w:cs="MS Gothic"/>
                <w:color w:val="2020F0"/>
              </w:rPr>
              <w:t>☑</w:t>
            </w:r>
            <w:r>
              <w:rPr>
                <w:color w:val="2020F0"/>
              </w:rPr>
              <w:t>不提交</w:t>
            </w:r>
          </w:p>
          <w:p w14:paraId="472881DA">
            <w:pPr>
              <w:pStyle w:val="6"/>
              <w:spacing w:before="39" w:line="220" w:lineRule="auto"/>
              <w:ind w:left="124"/>
            </w:pPr>
            <w:r>
              <w:rPr>
                <w:color w:val="2020F0"/>
                <w:spacing w:val="-1"/>
              </w:rPr>
              <w:t>□提交，履约保证金的形式：</w:t>
            </w:r>
          </w:p>
          <w:p w14:paraId="335EF24A">
            <w:pPr>
              <w:pStyle w:val="6"/>
              <w:spacing w:before="59" w:line="220" w:lineRule="auto"/>
              <w:ind w:left="1023"/>
            </w:pPr>
            <w:r>
              <w:rPr>
                <w:color w:val="3040F0"/>
                <w:spacing w:val="2"/>
              </w:rPr>
              <w:t>□银行保函/</w:t>
            </w:r>
          </w:p>
          <w:p w14:paraId="7BE150AC">
            <w:pPr>
              <w:pStyle w:val="6"/>
              <w:spacing w:before="69" w:line="220" w:lineRule="auto"/>
              <w:ind w:left="1023"/>
            </w:pPr>
            <w:r>
              <w:rPr>
                <w:color w:val="3030F0"/>
                <w:spacing w:val="2"/>
              </w:rPr>
              <w:t>□保证保险/</w:t>
            </w:r>
          </w:p>
          <w:p w14:paraId="6EB77DFA">
            <w:pPr>
              <w:pStyle w:val="6"/>
              <w:spacing w:before="90" w:line="220" w:lineRule="auto"/>
              <w:ind w:left="1023"/>
            </w:pPr>
            <w:r>
              <w:rPr>
                <w:color w:val="3030E0"/>
                <w:spacing w:val="2"/>
              </w:rPr>
              <w:t>□其他形式/</w:t>
            </w:r>
          </w:p>
          <w:p w14:paraId="7CBC119A">
            <w:pPr>
              <w:pStyle w:val="6"/>
              <w:spacing w:before="87" w:line="218" w:lineRule="auto"/>
              <w:ind w:left="1023"/>
            </w:pPr>
            <w:r>
              <w:rPr>
                <w:spacing w:val="-1"/>
              </w:rPr>
              <w:t>履约保证金的金额：合同总价的/%</w:t>
            </w:r>
          </w:p>
        </w:tc>
      </w:tr>
      <w:tr w14:paraId="74E176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98" w:hRule="atLeast"/>
        </w:trPr>
        <w:tc>
          <w:tcPr>
            <w:tcW w:w="864" w:type="dxa"/>
            <w:vMerge w:val="restart"/>
            <w:tcBorders>
              <w:bottom w:val="nil"/>
            </w:tcBorders>
            <w:vAlign w:val="top"/>
          </w:tcPr>
          <w:p w14:paraId="3E3AF6B4">
            <w:pPr>
              <w:spacing w:line="257" w:lineRule="auto"/>
              <w:rPr>
                <w:rFonts w:ascii="Arial"/>
                <w:sz w:val="21"/>
              </w:rPr>
            </w:pPr>
          </w:p>
          <w:p w14:paraId="1A902C4A">
            <w:pPr>
              <w:spacing w:line="257" w:lineRule="auto"/>
              <w:rPr>
                <w:rFonts w:ascii="Arial"/>
                <w:sz w:val="21"/>
              </w:rPr>
            </w:pPr>
          </w:p>
          <w:p w14:paraId="15E14C5B">
            <w:pPr>
              <w:spacing w:line="257" w:lineRule="auto"/>
              <w:rPr>
                <w:rFonts w:ascii="Arial"/>
                <w:sz w:val="21"/>
              </w:rPr>
            </w:pPr>
          </w:p>
          <w:p w14:paraId="11C18DBE">
            <w:pPr>
              <w:spacing w:line="257" w:lineRule="auto"/>
              <w:rPr>
                <w:rFonts w:ascii="Arial"/>
                <w:sz w:val="21"/>
              </w:rPr>
            </w:pPr>
          </w:p>
          <w:p w14:paraId="160ABEC8">
            <w:pPr>
              <w:spacing w:line="257" w:lineRule="auto"/>
              <w:rPr>
                <w:rFonts w:ascii="Arial"/>
                <w:sz w:val="21"/>
              </w:rPr>
            </w:pPr>
          </w:p>
          <w:p w14:paraId="764EE8C4">
            <w:pPr>
              <w:spacing w:line="257" w:lineRule="auto"/>
              <w:rPr>
                <w:rFonts w:ascii="Arial"/>
                <w:sz w:val="21"/>
              </w:rPr>
            </w:pPr>
          </w:p>
          <w:p w14:paraId="00C52DA4">
            <w:pPr>
              <w:spacing w:line="257" w:lineRule="auto"/>
              <w:rPr>
                <w:rFonts w:ascii="Arial"/>
                <w:sz w:val="21"/>
              </w:rPr>
            </w:pPr>
          </w:p>
          <w:p w14:paraId="5BEF6957">
            <w:pPr>
              <w:spacing w:line="257" w:lineRule="auto"/>
              <w:rPr>
                <w:rFonts w:ascii="Arial"/>
                <w:sz w:val="21"/>
              </w:rPr>
            </w:pPr>
          </w:p>
          <w:p w14:paraId="69EF52F4">
            <w:pPr>
              <w:spacing w:line="257" w:lineRule="auto"/>
              <w:rPr>
                <w:rFonts w:ascii="Arial"/>
                <w:sz w:val="21"/>
              </w:rPr>
            </w:pPr>
          </w:p>
          <w:p w14:paraId="61119D67">
            <w:pPr>
              <w:spacing w:line="257" w:lineRule="auto"/>
              <w:rPr>
                <w:rFonts w:ascii="Arial"/>
                <w:sz w:val="21"/>
              </w:rPr>
            </w:pPr>
          </w:p>
          <w:p w14:paraId="078BE705">
            <w:pPr>
              <w:spacing w:line="258" w:lineRule="auto"/>
              <w:rPr>
                <w:rFonts w:ascii="Arial"/>
                <w:sz w:val="21"/>
              </w:rPr>
            </w:pPr>
          </w:p>
          <w:p w14:paraId="4DFBFA36">
            <w:pPr>
              <w:pStyle w:val="6"/>
              <w:spacing w:before="68" w:line="239" w:lineRule="auto"/>
              <w:ind w:left="264"/>
            </w:pPr>
            <w:r>
              <w:rPr>
                <w:spacing w:val="-3"/>
              </w:rPr>
              <w:t>9.5</w:t>
            </w:r>
          </w:p>
        </w:tc>
        <w:tc>
          <w:tcPr>
            <w:tcW w:w="2257" w:type="dxa"/>
            <w:vAlign w:val="top"/>
          </w:tcPr>
          <w:p w14:paraId="6F02CFF3">
            <w:pPr>
              <w:spacing w:line="276" w:lineRule="auto"/>
              <w:rPr>
                <w:rFonts w:ascii="Arial"/>
                <w:sz w:val="21"/>
              </w:rPr>
            </w:pPr>
          </w:p>
          <w:p w14:paraId="097882B5">
            <w:pPr>
              <w:spacing w:line="276" w:lineRule="auto"/>
              <w:rPr>
                <w:rFonts w:ascii="Arial"/>
                <w:sz w:val="21"/>
              </w:rPr>
            </w:pPr>
          </w:p>
          <w:p w14:paraId="416B6DBE">
            <w:pPr>
              <w:spacing w:line="276" w:lineRule="auto"/>
              <w:rPr>
                <w:rFonts w:ascii="Arial"/>
                <w:sz w:val="21"/>
              </w:rPr>
            </w:pPr>
          </w:p>
          <w:p w14:paraId="52116BC8">
            <w:pPr>
              <w:pStyle w:val="6"/>
              <w:spacing w:before="68" w:line="218" w:lineRule="auto"/>
              <w:ind w:left="90"/>
            </w:pPr>
            <w:r>
              <w:rPr>
                <w:spacing w:val="1"/>
              </w:rPr>
              <w:t>工程造价管理机构</w:t>
            </w:r>
          </w:p>
        </w:tc>
        <w:tc>
          <w:tcPr>
            <w:tcW w:w="5299" w:type="dxa"/>
            <w:gridSpan w:val="2"/>
            <w:vAlign w:val="top"/>
          </w:tcPr>
          <w:p w14:paraId="4D4C571A">
            <w:pPr>
              <w:pStyle w:val="6"/>
              <w:spacing w:before="153" w:line="219" w:lineRule="auto"/>
              <w:ind w:left="124"/>
            </w:pPr>
            <w:r>
              <w:rPr>
                <w:spacing w:val="-1"/>
              </w:rPr>
              <w:t>名   称：罗田县建设工程标准定额管理站</w:t>
            </w:r>
          </w:p>
          <w:p w14:paraId="6922E00F">
            <w:pPr>
              <w:pStyle w:val="6"/>
              <w:spacing w:before="150" w:line="219" w:lineRule="auto"/>
              <w:ind w:left="124"/>
            </w:pPr>
            <w:r>
              <w:rPr>
                <w:spacing w:val="-1"/>
              </w:rPr>
              <w:t>地   址：罗田县凤山镇</w:t>
            </w:r>
          </w:p>
          <w:p w14:paraId="0159474B">
            <w:pPr>
              <w:pStyle w:val="6"/>
              <w:spacing w:before="163" w:line="221" w:lineRule="auto"/>
              <w:ind w:left="124"/>
            </w:pPr>
            <w:r>
              <w:rPr>
                <w:spacing w:val="-7"/>
              </w:rPr>
              <w:t>电</w:t>
            </w:r>
            <w:r>
              <w:rPr>
                <w:spacing w:val="11"/>
              </w:rPr>
              <w:t xml:space="preserve">   </w:t>
            </w:r>
            <w:r>
              <w:rPr>
                <w:spacing w:val="-7"/>
              </w:rPr>
              <w:t>话：/</w:t>
            </w:r>
          </w:p>
          <w:p w14:paraId="5F573980">
            <w:pPr>
              <w:pStyle w:val="6"/>
              <w:spacing w:before="155" w:line="224" w:lineRule="auto"/>
              <w:ind w:left="134"/>
            </w:pPr>
            <w:r>
              <w:rPr>
                <w:spacing w:val="-28"/>
              </w:rPr>
              <w:t>传</w:t>
            </w:r>
            <w:r>
              <w:rPr>
                <w:spacing w:val="18"/>
              </w:rPr>
              <w:t xml:space="preserve">   </w:t>
            </w:r>
            <w:r>
              <w:rPr>
                <w:spacing w:val="-28"/>
              </w:rPr>
              <w:t>真：</w:t>
            </w:r>
            <w:r>
              <w:rPr>
                <w:color w:val="605080"/>
                <w:spacing w:val="-28"/>
              </w:rPr>
              <w:t>:/</w:t>
            </w:r>
          </w:p>
          <w:p w14:paraId="67993B76">
            <w:pPr>
              <w:pStyle w:val="6"/>
              <w:spacing w:before="126" w:line="206" w:lineRule="auto"/>
              <w:ind w:left="124"/>
            </w:pPr>
            <w:r>
              <w:t>邮政编码：438600</w:t>
            </w:r>
          </w:p>
        </w:tc>
      </w:tr>
      <w:tr w14:paraId="47A938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98" w:hRule="atLeast"/>
        </w:trPr>
        <w:tc>
          <w:tcPr>
            <w:tcW w:w="864" w:type="dxa"/>
            <w:vMerge w:val="continue"/>
            <w:tcBorders>
              <w:top w:val="nil"/>
              <w:bottom w:val="nil"/>
            </w:tcBorders>
            <w:vAlign w:val="top"/>
          </w:tcPr>
          <w:p w14:paraId="53873BF5">
            <w:pPr>
              <w:rPr>
                <w:rFonts w:ascii="Arial"/>
                <w:sz w:val="21"/>
              </w:rPr>
            </w:pPr>
          </w:p>
        </w:tc>
        <w:tc>
          <w:tcPr>
            <w:tcW w:w="2257" w:type="dxa"/>
            <w:vAlign w:val="top"/>
          </w:tcPr>
          <w:p w14:paraId="0AE9D9C7">
            <w:pPr>
              <w:spacing w:line="277" w:lineRule="auto"/>
              <w:rPr>
                <w:rFonts w:ascii="Arial"/>
                <w:sz w:val="21"/>
              </w:rPr>
            </w:pPr>
          </w:p>
          <w:p w14:paraId="1E65BFD9">
            <w:pPr>
              <w:spacing w:line="277" w:lineRule="auto"/>
              <w:rPr>
                <w:rFonts w:ascii="Arial"/>
                <w:sz w:val="21"/>
              </w:rPr>
            </w:pPr>
          </w:p>
          <w:p w14:paraId="1096C758">
            <w:pPr>
              <w:spacing w:line="278" w:lineRule="auto"/>
              <w:rPr>
                <w:rFonts w:ascii="Arial"/>
                <w:sz w:val="21"/>
              </w:rPr>
            </w:pPr>
          </w:p>
          <w:p w14:paraId="3F28B606">
            <w:pPr>
              <w:pStyle w:val="6"/>
              <w:spacing w:before="68" w:line="219" w:lineRule="auto"/>
              <w:ind w:left="90"/>
            </w:pPr>
            <w:r>
              <w:rPr>
                <w:spacing w:val="3"/>
              </w:rPr>
              <w:t>行政监督部门</w:t>
            </w:r>
          </w:p>
        </w:tc>
        <w:tc>
          <w:tcPr>
            <w:tcW w:w="5299" w:type="dxa"/>
            <w:gridSpan w:val="2"/>
            <w:vAlign w:val="top"/>
          </w:tcPr>
          <w:p w14:paraId="444642EB">
            <w:pPr>
              <w:pStyle w:val="6"/>
              <w:spacing w:before="178" w:line="233" w:lineRule="auto"/>
              <w:ind w:left="144"/>
            </w:pPr>
            <w:r>
              <w:rPr>
                <w:spacing w:val="-24"/>
                <w:w w:val="95"/>
              </w:rPr>
              <w:t>名</w:t>
            </w:r>
            <w:r>
              <w:rPr>
                <w:spacing w:val="19"/>
              </w:rPr>
              <w:t xml:space="preserve">   </w:t>
            </w:r>
            <w:r>
              <w:rPr>
                <w:spacing w:val="-24"/>
                <w:w w:val="95"/>
              </w:rPr>
              <w:t>称：</w:t>
            </w:r>
            <w:r>
              <w:rPr>
                <w:rFonts w:hint="eastAsia"/>
                <w:spacing w:val="-24"/>
                <w:w w:val="95"/>
              </w:rPr>
              <w:t>罗田县城乡和住房建设局</w:t>
            </w:r>
          </w:p>
          <w:p w14:paraId="1EABA126">
            <w:pPr>
              <w:pStyle w:val="6"/>
              <w:spacing w:before="122" w:line="229" w:lineRule="auto"/>
              <w:ind w:left="113"/>
            </w:pPr>
            <w:r>
              <w:rPr>
                <w:spacing w:val="-11"/>
              </w:rPr>
              <w:t>地</w:t>
            </w:r>
            <w:r>
              <w:rPr>
                <w:spacing w:val="18"/>
              </w:rPr>
              <w:t xml:space="preserve">   </w:t>
            </w:r>
            <w:r>
              <w:rPr>
                <w:spacing w:val="-11"/>
              </w:rPr>
              <w:t>址：</w:t>
            </w:r>
            <w:r>
              <w:rPr>
                <w:rFonts w:hint="eastAsia"/>
                <w:spacing w:val="-11"/>
              </w:rPr>
              <w:t>罗田县义水南路东62号</w:t>
            </w:r>
          </w:p>
          <w:p w14:paraId="3DB9A9E5">
            <w:pPr>
              <w:pStyle w:val="6"/>
              <w:spacing w:before="142" w:line="221" w:lineRule="auto"/>
              <w:ind w:left="124"/>
            </w:pPr>
            <w:r>
              <w:rPr>
                <w:spacing w:val="-7"/>
              </w:rPr>
              <w:t>电</w:t>
            </w:r>
            <w:r>
              <w:rPr>
                <w:spacing w:val="11"/>
              </w:rPr>
              <w:t xml:space="preserve">   </w:t>
            </w:r>
            <w:r>
              <w:rPr>
                <w:spacing w:val="-7"/>
              </w:rPr>
              <w:t>话：</w:t>
            </w:r>
            <w:r>
              <w:rPr>
                <w:rFonts w:hint="eastAsia"/>
                <w:spacing w:val="-7"/>
              </w:rPr>
              <w:t>0713-5103918</w:t>
            </w:r>
          </w:p>
          <w:p w14:paraId="0BB04949">
            <w:pPr>
              <w:pStyle w:val="6"/>
              <w:spacing w:before="134" w:line="219" w:lineRule="auto"/>
              <w:ind w:left="113"/>
              <w:rPr>
                <w:rFonts w:hint="eastAsia" w:eastAsia="宋体"/>
                <w:lang w:val="en-US" w:eastAsia="zh-CN"/>
              </w:rPr>
            </w:pPr>
            <w:r>
              <w:rPr>
                <w:spacing w:val="-6"/>
              </w:rPr>
              <w:t>传</w:t>
            </w:r>
            <w:r>
              <w:rPr>
                <w:spacing w:val="2"/>
              </w:rPr>
              <w:t xml:space="preserve">    </w:t>
            </w:r>
            <w:r>
              <w:rPr>
                <w:spacing w:val="-6"/>
              </w:rPr>
              <w:t>真</w:t>
            </w:r>
            <w:r>
              <w:rPr>
                <w:spacing w:val="-33"/>
              </w:rPr>
              <w:t xml:space="preserve"> </w:t>
            </w:r>
            <w:r>
              <w:rPr>
                <w:spacing w:val="-6"/>
              </w:rPr>
              <w:t>：</w:t>
            </w:r>
            <w:r>
              <w:rPr>
                <w:rFonts w:hint="eastAsia"/>
                <w:spacing w:val="-6"/>
                <w:lang w:val="en-US" w:eastAsia="zh-CN"/>
              </w:rPr>
              <w:t>/</w:t>
            </w:r>
          </w:p>
          <w:p w14:paraId="595DDEDF">
            <w:pPr>
              <w:pStyle w:val="6"/>
              <w:spacing w:before="171" w:line="187" w:lineRule="auto"/>
              <w:ind w:left="134"/>
            </w:pPr>
            <w:r>
              <w:rPr>
                <w:spacing w:val="-1"/>
              </w:rPr>
              <w:t>邮政编码：</w:t>
            </w:r>
            <w:r>
              <w:t>438600</w:t>
            </w:r>
          </w:p>
        </w:tc>
      </w:tr>
      <w:tr w14:paraId="5A8E0F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73" w:hRule="atLeast"/>
        </w:trPr>
        <w:tc>
          <w:tcPr>
            <w:tcW w:w="864" w:type="dxa"/>
            <w:vMerge w:val="continue"/>
            <w:tcBorders>
              <w:top w:val="nil"/>
            </w:tcBorders>
            <w:vAlign w:val="top"/>
          </w:tcPr>
          <w:p w14:paraId="445F1CD1">
            <w:pPr>
              <w:rPr>
                <w:rFonts w:ascii="Arial"/>
                <w:sz w:val="21"/>
              </w:rPr>
            </w:pPr>
          </w:p>
        </w:tc>
        <w:tc>
          <w:tcPr>
            <w:tcW w:w="2257" w:type="dxa"/>
            <w:vAlign w:val="top"/>
          </w:tcPr>
          <w:p w14:paraId="574D7E29">
            <w:pPr>
              <w:spacing w:line="241" w:lineRule="auto"/>
              <w:rPr>
                <w:rFonts w:ascii="Arial"/>
                <w:sz w:val="21"/>
              </w:rPr>
            </w:pPr>
          </w:p>
          <w:p w14:paraId="50169D32">
            <w:pPr>
              <w:spacing w:line="242" w:lineRule="auto"/>
              <w:rPr>
                <w:rFonts w:ascii="Arial"/>
                <w:sz w:val="21"/>
              </w:rPr>
            </w:pPr>
          </w:p>
          <w:p w14:paraId="11B4C493">
            <w:pPr>
              <w:spacing w:line="242" w:lineRule="auto"/>
              <w:rPr>
                <w:rFonts w:ascii="Arial"/>
                <w:sz w:val="21"/>
              </w:rPr>
            </w:pPr>
          </w:p>
          <w:p w14:paraId="3DD0A548">
            <w:pPr>
              <w:pStyle w:val="6"/>
              <w:spacing w:before="69" w:line="282" w:lineRule="auto"/>
              <w:ind w:left="90" w:right="874"/>
            </w:pPr>
            <w:r>
              <w:rPr>
                <w:spacing w:val="3"/>
              </w:rPr>
              <w:t>公共资源交易</w:t>
            </w:r>
            <w:r>
              <w:rPr>
                <w:spacing w:val="2"/>
              </w:rPr>
              <w:t xml:space="preserve"> 综合监管机构</w:t>
            </w:r>
          </w:p>
        </w:tc>
        <w:tc>
          <w:tcPr>
            <w:tcW w:w="5299" w:type="dxa"/>
            <w:gridSpan w:val="2"/>
            <w:vAlign w:val="top"/>
          </w:tcPr>
          <w:p w14:paraId="30A78B74">
            <w:pPr>
              <w:pStyle w:val="6"/>
              <w:spacing w:before="167" w:line="219" w:lineRule="auto"/>
              <w:ind w:left="144"/>
            </w:pPr>
            <w:r>
              <w:t>名   称：罗田县发展和改革局</w:t>
            </w:r>
          </w:p>
          <w:p w14:paraId="725C144F">
            <w:pPr>
              <w:pStyle w:val="6"/>
              <w:spacing w:before="160" w:line="219" w:lineRule="auto"/>
              <w:ind w:left="134"/>
            </w:pPr>
            <w:r>
              <w:rPr>
                <w:spacing w:val="-1"/>
              </w:rPr>
              <w:t>地   址：罗田县凤山镇</w:t>
            </w:r>
          </w:p>
          <w:p w14:paraId="76027867">
            <w:pPr>
              <w:pStyle w:val="6"/>
              <w:spacing w:before="133" w:line="221" w:lineRule="auto"/>
              <w:ind w:left="113"/>
            </w:pPr>
            <w:r>
              <w:t>电   话：0713-5052077</w:t>
            </w:r>
          </w:p>
          <w:p w14:paraId="51DD9242">
            <w:pPr>
              <w:pStyle w:val="6"/>
              <w:spacing w:before="135" w:line="239" w:lineRule="auto"/>
              <w:ind w:left="113"/>
            </w:pPr>
            <w:r>
              <w:rPr>
                <w:spacing w:val="-10"/>
              </w:rPr>
              <w:t>传</w:t>
            </w:r>
            <w:r>
              <w:rPr>
                <w:spacing w:val="18"/>
              </w:rPr>
              <w:t xml:space="preserve">   </w:t>
            </w:r>
            <w:r>
              <w:rPr>
                <w:spacing w:val="-10"/>
              </w:rPr>
              <w:t>真：</w:t>
            </w:r>
            <w:r>
              <w:rPr>
                <w:color w:val="4040D0"/>
                <w:spacing w:val="-10"/>
                <w:position w:val="-1"/>
              </w:rPr>
              <w:t>/</w:t>
            </w:r>
          </w:p>
          <w:p w14:paraId="17B5AAE3">
            <w:pPr>
              <w:pStyle w:val="6"/>
              <w:spacing w:before="128" w:line="181" w:lineRule="auto"/>
              <w:ind w:left="124"/>
            </w:pPr>
            <w:r>
              <w:t>邮政编码：438600</w:t>
            </w:r>
          </w:p>
        </w:tc>
      </w:tr>
    </w:tbl>
    <w:p w14:paraId="78BE8E8F">
      <w:pPr>
        <w:spacing w:before="12"/>
      </w:pPr>
    </w:p>
    <w:tbl>
      <w:tblPr>
        <w:tblStyle w:val="5"/>
        <w:tblW w:w="841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4"/>
        <w:gridCol w:w="2277"/>
        <w:gridCol w:w="5287"/>
      </w:tblGrid>
      <w:tr w14:paraId="2B3BCC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1" w:hRule="atLeast"/>
        </w:trPr>
        <w:tc>
          <w:tcPr>
            <w:tcW w:w="854" w:type="dxa"/>
            <w:vAlign w:val="top"/>
          </w:tcPr>
          <w:p w14:paraId="191A50BC">
            <w:pPr>
              <w:spacing w:line="255" w:lineRule="auto"/>
              <w:rPr>
                <w:rFonts w:ascii="Arial"/>
                <w:sz w:val="21"/>
              </w:rPr>
            </w:pPr>
          </w:p>
          <w:p w14:paraId="54B763CC">
            <w:pPr>
              <w:spacing w:line="255" w:lineRule="auto"/>
              <w:rPr>
                <w:rFonts w:ascii="Arial"/>
                <w:sz w:val="21"/>
              </w:rPr>
            </w:pPr>
          </w:p>
          <w:p w14:paraId="0AF60C63">
            <w:pPr>
              <w:spacing w:line="255" w:lineRule="auto"/>
              <w:rPr>
                <w:rFonts w:ascii="Arial"/>
                <w:sz w:val="21"/>
              </w:rPr>
            </w:pPr>
          </w:p>
          <w:p w14:paraId="62B8E1A2">
            <w:pPr>
              <w:spacing w:line="255" w:lineRule="auto"/>
              <w:rPr>
                <w:rFonts w:ascii="Arial"/>
                <w:sz w:val="21"/>
              </w:rPr>
            </w:pPr>
          </w:p>
          <w:p w14:paraId="0079ED0C">
            <w:pPr>
              <w:spacing w:line="255" w:lineRule="auto"/>
              <w:rPr>
                <w:rFonts w:ascii="Arial"/>
                <w:sz w:val="21"/>
              </w:rPr>
            </w:pPr>
          </w:p>
          <w:p w14:paraId="448AEFB3">
            <w:pPr>
              <w:spacing w:line="255" w:lineRule="auto"/>
              <w:rPr>
                <w:rFonts w:ascii="Arial"/>
                <w:sz w:val="21"/>
              </w:rPr>
            </w:pPr>
          </w:p>
          <w:p w14:paraId="62E5C241">
            <w:pPr>
              <w:spacing w:line="255" w:lineRule="auto"/>
              <w:rPr>
                <w:rFonts w:ascii="Arial"/>
                <w:sz w:val="21"/>
              </w:rPr>
            </w:pPr>
          </w:p>
          <w:p w14:paraId="4BB9B442">
            <w:pPr>
              <w:pStyle w:val="6"/>
              <w:spacing w:before="68" w:line="239" w:lineRule="auto"/>
              <w:ind w:left="204"/>
            </w:pPr>
            <w:r>
              <w:rPr>
                <w:spacing w:val="-5"/>
              </w:rPr>
              <w:t>10.1</w:t>
            </w:r>
          </w:p>
        </w:tc>
        <w:tc>
          <w:tcPr>
            <w:tcW w:w="2277" w:type="dxa"/>
            <w:vAlign w:val="top"/>
          </w:tcPr>
          <w:p w14:paraId="61B148E7">
            <w:pPr>
              <w:spacing w:line="252" w:lineRule="auto"/>
              <w:rPr>
                <w:rFonts w:ascii="Arial"/>
                <w:sz w:val="21"/>
              </w:rPr>
            </w:pPr>
          </w:p>
          <w:p w14:paraId="69A83F6D">
            <w:pPr>
              <w:spacing w:line="252" w:lineRule="auto"/>
              <w:rPr>
                <w:rFonts w:ascii="Arial"/>
                <w:sz w:val="21"/>
              </w:rPr>
            </w:pPr>
          </w:p>
          <w:p w14:paraId="0E029954">
            <w:pPr>
              <w:spacing w:line="252" w:lineRule="auto"/>
              <w:rPr>
                <w:rFonts w:ascii="Arial"/>
                <w:sz w:val="21"/>
              </w:rPr>
            </w:pPr>
          </w:p>
          <w:p w14:paraId="7A86A48F">
            <w:pPr>
              <w:spacing w:line="252" w:lineRule="auto"/>
              <w:rPr>
                <w:rFonts w:ascii="Arial"/>
                <w:sz w:val="21"/>
              </w:rPr>
            </w:pPr>
          </w:p>
          <w:p w14:paraId="6DD70285">
            <w:pPr>
              <w:spacing w:line="252" w:lineRule="auto"/>
              <w:rPr>
                <w:rFonts w:ascii="Arial"/>
                <w:sz w:val="21"/>
              </w:rPr>
            </w:pPr>
          </w:p>
          <w:p w14:paraId="3A9E41C5">
            <w:pPr>
              <w:spacing w:line="252" w:lineRule="auto"/>
              <w:rPr>
                <w:rFonts w:ascii="Arial"/>
                <w:sz w:val="21"/>
              </w:rPr>
            </w:pPr>
          </w:p>
          <w:p w14:paraId="2C4DDDDA">
            <w:pPr>
              <w:spacing w:line="253" w:lineRule="auto"/>
              <w:rPr>
                <w:rFonts w:ascii="Arial"/>
                <w:sz w:val="21"/>
              </w:rPr>
            </w:pPr>
          </w:p>
          <w:p w14:paraId="73F8B8E7">
            <w:pPr>
              <w:pStyle w:val="6"/>
              <w:spacing w:before="68" w:line="220" w:lineRule="auto"/>
              <w:ind w:left="140"/>
            </w:pPr>
            <w:r>
              <w:rPr>
                <w:spacing w:val="1"/>
              </w:rPr>
              <w:t>多标段投标</w:t>
            </w:r>
          </w:p>
        </w:tc>
        <w:tc>
          <w:tcPr>
            <w:tcW w:w="5287" w:type="dxa"/>
            <w:vAlign w:val="top"/>
          </w:tcPr>
          <w:p w14:paraId="000C7280">
            <w:pPr>
              <w:pStyle w:val="6"/>
              <w:spacing w:before="32"/>
              <w:ind w:left="113" w:right="38" w:hanging="10"/>
            </w:pPr>
            <w:r>
              <w:rPr>
                <w:spacing w:val="-1"/>
              </w:rPr>
              <w:t>投标人可同时对本次招标标段中的/个标段投标。招标人</w:t>
            </w:r>
            <w:r>
              <w:rPr>
                <w:spacing w:val="13"/>
              </w:rPr>
              <w:t xml:space="preserve"> </w:t>
            </w:r>
            <w:r>
              <w:rPr>
                <w:spacing w:val="-1"/>
              </w:rPr>
              <w:t>按下列原则选择中标人：</w:t>
            </w:r>
          </w:p>
          <w:p w14:paraId="4D40C2CF">
            <w:pPr>
              <w:pStyle w:val="6"/>
              <w:spacing w:before="15" w:line="219" w:lineRule="auto"/>
              <w:ind w:left="114"/>
            </w:pPr>
            <w:r>
              <w:rPr>
                <w:color w:val="2030E0"/>
                <w:spacing w:val="-1"/>
              </w:rPr>
              <w:t>□招标人按标段择优选择中标人。</w:t>
            </w:r>
          </w:p>
          <w:p w14:paraId="208ED1A3">
            <w:pPr>
              <w:pStyle w:val="6"/>
              <w:spacing w:before="120" w:line="219" w:lineRule="auto"/>
              <w:ind w:right="3"/>
              <w:jc w:val="right"/>
            </w:pPr>
            <w:r>
              <w:rPr>
                <w:color w:val="2030F0"/>
              </w:rPr>
              <w:t>□投标人最多只允许中标/个标段。如果同一投标人在多</w:t>
            </w:r>
          </w:p>
          <w:p w14:paraId="11F493F1">
            <w:pPr>
              <w:pStyle w:val="6"/>
              <w:spacing w:before="139" w:line="219" w:lineRule="auto"/>
              <w:ind w:left="114"/>
            </w:pPr>
            <w:r>
              <w:rPr>
                <w:spacing w:val="-1"/>
              </w:rPr>
              <w:t>个标段中均排序第一，推荐中标候选人顺序为：</w:t>
            </w:r>
          </w:p>
          <w:p w14:paraId="0DA10D95">
            <w:pPr>
              <w:pStyle w:val="6"/>
              <w:spacing w:before="170" w:line="219" w:lineRule="auto"/>
              <w:jc w:val="right"/>
            </w:pPr>
            <w:r>
              <w:rPr>
                <w:color w:val="3030F0"/>
              </w:rPr>
              <w:t>□按照标段顺序，投标人在前面标段被推荐为第一中</w:t>
            </w:r>
          </w:p>
          <w:p w14:paraId="644060F6">
            <w:pPr>
              <w:pStyle w:val="6"/>
              <w:spacing w:before="161" w:line="219" w:lineRule="auto"/>
              <w:jc w:val="right"/>
            </w:pPr>
            <w:r>
              <w:rPr>
                <w:spacing w:val="-3"/>
              </w:rPr>
              <w:t>标候选人后，所投其他标段将不再被推荐为中标候</w:t>
            </w:r>
            <w:r>
              <w:rPr>
                <w:spacing w:val="-4"/>
              </w:rPr>
              <w:t>选人。</w:t>
            </w:r>
          </w:p>
          <w:p w14:paraId="4FAE9671">
            <w:pPr>
              <w:pStyle w:val="6"/>
              <w:spacing w:before="151" w:line="218" w:lineRule="auto"/>
              <w:ind w:right="5"/>
              <w:jc w:val="right"/>
            </w:pPr>
            <w:r>
              <w:rPr>
                <w:color w:val="2030F0"/>
              </w:rPr>
              <w:t>□按照标段招标控制价从大到小的顺序，投标人在招</w:t>
            </w:r>
          </w:p>
          <w:p w14:paraId="371E66FD">
            <w:pPr>
              <w:pStyle w:val="6"/>
              <w:spacing w:before="152" w:line="218" w:lineRule="auto"/>
              <w:ind w:left="103"/>
            </w:pPr>
            <w:r>
              <w:rPr>
                <w:spacing w:val="-1"/>
              </w:rPr>
              <w:t>标控制价大的标段被推荐为第一中标候选人后，所投其</w:t>
            </w:r>
          </w:p>
          <w:p w14:paraId="0416EC2A">
            <w:pPr>
              <w:pStyle w:val="6"/>
              <w:spacing w:before="162" w:line="219" w:lineRule="auto"/>
              <w:ind w:left="114"/>
            </w:pPr>
            <w:r>
              <w:rPr>
                <w:spacing w:val="-1"/>
              </w:rPr>
              <w:t>他标段将不再被推荐为中标候选人。</w:t>
            </w:r>
          </w:p>
          <w:p w14:paraId="2F52C9C6">
            <w:pPr>
              <w:pStyle w:val="6"/>
              <w:spacing w:before="11" w:line="201" w:lineRule="auto"/>
              <w:ind w:left="423"/>
            </w:pPr>
            <w:r>
              <w:rPr>
                <w:rFonts w:ascii="MS Gothic" w:hAnsi="MS Gothic" w:eastAsia="MS Gothic" w:cs="MS Gothic"/>
                <w:color w:val="2030F0"/>
                <w:spacing w:val="-1"/>
              </w:rPr>
              <w:t>☑</w:t>
            </w:r>
            <w:r>
              <w:rPr>
                <w:color w:val="2030F0"/>
                <w:spacing w:val="-1"/>
              </w:rPr>
              <w:t>本项目不划分标段。</w:t>
            </w:r>
          </w:p>
        </w:tc>
      </w:tr>
      <w:tr w14:paraId="5203CE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854" w:type="dxa"/>
            <w:vAlign w:val="top"/>
          </w:tcPr>
          <w:p w14:paraId="79E78FC0">
            <w:pPr>
              <w:pStyle w:val="6"/>
              <w:spacing w:before="254" w:line="225" w:lineRule="auto"/>
              <w:ind w:left="104"/>
            </w:pPr>
            <w:r>
              <w:rPr>
                <w:spacing w:val="-4"/>
              </w:rPr>
              <w:t>10.2.1</w:t>
            </w:r>
          </w:p>
        </w:tc>
        <w:tc>
          <w:tcPr>
            <w:tcW w:w="2277" w:type="dxa"/>
            <w:vAlign w:val="top"/>
          </w:tcPr>
          <w:p w14:paraId="6BB350E8">
            <w:pPr>
              <w:pStyle w:val="6"/>
              <w:spacing w:before="200" w:line="218" w:lineRule="auto"/>
              <w:ind w:left="140"/>
            </w:pPr>
            <w:r>
              <w:rPr>
                <w:spacing w:val="-1"/>
              </w:rPr>
              <w:t>评标基准价下浮系数</w:t>
            </w:r>
          </w:p>
        </w:tc>
        <w:tc>
          <w:tcPr>
            <w:tcW w:w="5287" w:type="dxa"/>
            <w:vAlign w:val="top"/>
          </w:tcPr>
          <w:p w14:paraId="0F165BEA">
            <w:pPr>
              <w:pStyle w:val="6"/>
              <w:spacing w:before="212" w:line="219" w:lineRule="auto"/>
              <w:ind w:left="103"/>
            </w:pPr>
            <w:r>
              <w:rPr>
                <w:spacing w:val="-1"/>
              </w:rPr>
              <w:t>E的取值：3</w:t>
            </w:r>
          </w:p>
        </w:tc>
      </w:tr>
      <w:tr w14:paraId="7F81D0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9" w:hRule="atLeast"/>
        </w:trPr>
        <w:tc>
          <w:tcPr>
            <w:tcW w:w="854" w:type="dxa"/>
            <w:vAlign w:val="top"/>
          </w:tcPr>
          <w:p w14:paraId="4B292D05">
            <w:pPr>
              <w:spacing w:line="333" w:lineRule="auto"/>
              <w:rPr>
                <w:rFonts w:ascii="Arial"/>
                <w:sz w:val="21"/>
              </w:rPr>
            </w:pPr>
          </w:p>
          <w:p w14:paraId="222386A5">
            <w:pPr>
              <w:pStyle w:val="6"/>
              <w:spacing w:before="68" w:line="239" w:lineRule="auto"/>
              <w:ind w:left="104"/>
            </w:pPr>
            <w:r>
              <w:rPr>
                <w:spacing w:val="-4"/>
              </w:rPr>
              <w:t>10.2.2</w:t>
            </w:r>
          </w:p>
        </w:tc>
        <w:tc>
          <w:tcPr>
            <w:tcW w:w="2277" w:type="dxa"/>
            <w:vAlign w:val="top"/>
          </w:tcPr>
          <w:p w14:paraId="26782139">
            <w:pPr>
              <w:pStyle w:val="6"/>
              <w:spacing w:before="30" w:line="218" w:lineRule="auto"/>
              <w:ind w:left="140"/>
            </w:pPr>
            <w:r>
              <w:rPr>
                <w:spacing w:val="1"/>
              </w:rPr>
              <w:t>不平衡报价系数</w:t>
            </w:r>
          </w:p>
          <w:p w14:paraId="5D24BF33">
            <w:pPr>
              <w:pStyle w:val="6"/>
              <w:spacing w:before="42" w:line="210" w:lineRule="auto"/>
              <w:ind w:left="140" w:right="332"/>
            </w:pPr>
            <w:r>
              <w:t>(启动成本评审工作</w:t>
            </w:r>
            <w:r>
              <w:rPr>
                <w:spacing w:val="7"/>
              </w:rPr>
              <w:t xml:space="preserve"> </w:t>
            </w:r>
            <w:r>
              <w:rPr>
                <w:spacing w:val="6"/>
              </w:rPr>
              <w:t>的前提条件)</w:t>
            </w:r>
          </w:p>
        </w:tc>
        <w:tc>
          <w:tcPr>
            <w:tcW w:w="5287" w:type="dxa"/>
            <w:vAlign w:val="top"/>
          </w:tcPr>
          <w:p w14:paraId="4D4BFC00">
            <w:pPr>
              <w:spacing w:line="302" w:lineRule="auto"/>
              <w:rPr>
                <w:rFonts w:ascii="Arial"/>
                <w:sz w:val="21"/>
              </w:rPr>
            </w:pPr>
          </w:p>
          <w:p w14:paraId="598723F5">
            <w:pPr>
              <w:pStyle w:val="6"/>
              <w:spacing w:before="68" w:line="219" w:lineRule="auto"/>
              <w:ind w:left="103"/>
              <w:rPr>
                <w:rFonts w:hint="eastAsia" w:eastAsia="宋体"/>
                <w:lang w:val="en-US" w:eastAsia="zh-CN"/>
              </w:rPr>
            </w:pPr>
            <w:r>
              <w:rPr>
                <w:spacing w:val="-1"/>
              </w:rPr>
              <w:t>H的取值：9</w:t>
            </w:r>
            <w:r>
              <w:rPr>
                <w:rFonts w:hint="eastAsia"/>
                <w:spacing w:val="-1"/>
                <w:lang w:val="en-US" w:eastAsia="zh-CN"/>
              </w:rPr>
              <w:t>2</w:t>
            </w:r>
          </w:p>
        </w:tc>
      </w:tr>
      <w:tr w14:paraId="6B9C2F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854" w:type="dxa"/>
            <w:vAlign w:val="top"/>
          </w:tcPr>
          <w:p w14:paraId="7FA97026">
            <w:pPr>
              <w:pStyle w:val="6"/>
              <w:spacing w:before="244" w:line="233" w:lineRule="auto"/>
              <w:ind w:left="104"/>
            </w:pPr>
            <w:r>
              <w:rPr>
                <w:spacing w:val="-4"/>
              </w:rPr>
              <w:t>10.2.3</w:t>
            </w:r>
          </w:p>
        </w:tc>
        <w:tc>
          <w:tcPr>
            <w:tcW w:w="2277" w:type="dxa"/>
            <w:vAlign w:val="top"/>
          </w:tcPr>
          <w:p w14:paraId="7B138F5E">
            <w:pPr>
              <w:pStyle w:val="6"/>
              <w:spacing w:before="161" w:line="218" w:lineRule="auto"/>
              <w:ind w:left="140"/>
            </w:pPr>
            <w:r>
              <w:rPr>
                <w:spacing w:val="-2"/>
              </w:rPr>
              <w:t>期望合理价系数</w:t>
            </w:r>
          </w:p>
        </w:tc>
        <w:tc>
          <w:tcPr>
            <w:tcW w:w="5287" w:type="dxa"/>
            <w:vAlign w:val="top"/>
          </w:tcPr>
          <w:p w14:paraId="76ABFE35">
            <w:pPr>
              <w:pStyle w:val="6"/>
              <w:spacing w:before="223" w:line="219" w:lineRule="auto"/>
              <w:ind w:left="114"/>
            </w:pPr>
            <w:r>
              <w:rPr>
                <w:spacing w:val="-1"/>
              </w:rPr>
              <w:t>D的取值：/</w:t>
            </w:r>
          </w:p>
        </w:tc>
      </w:tr>
      <w:tr w14:paraId="16D587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854" w:type="dxa"/>
            <w:vAlign w:val="top"/>
          </w:tcPr>
          <w:p w14:paraId="1374EB34">
            <w:pPr>
              <w:pStyle w:val="6"/>
              <w:spacing w:before="273" w:line="233" w:lineRule="auto"/>
              <w:ind w:left="104"/>
            </w:pPr>
            <w:r>
              <w:rPr>
                <w:spacing w:val="-4"/>
              </w:rPr>
              <w:t>10.2.4</w:t>
            </w:r>
          </w:p>
        </w:tc>
        <w:tc>
          <w:tcPr>
            <w:tcW w:w="2277" w:type="dxa"/>
            <w:vAlign w:val="top"/>
          </w:tcPr>
          <w:p w14:paraId="1E5B577C">
            <w:pPr>
              <w:pStyle w:val="6"/>
              <w:spacing w:before="40" w:line="219" w:lineRule="auto"/>
              <w:ind w:left="140" w:right="147" w:hanging="30"/>
            </w:pPr>
            <w:r>
              <w:rPr>
                <w:spacing w:val="1"/>
              </w:rPr>
              <w:t>小微企业报价优惠(扣</w:t>
            </w:r>
            <w:r>
              <w:rPr>
                <w:spacing w:val="2"/>
              </w:rPr>
              <w:t xml:space="preserve"> </w:t>
            </w:r>
            <w:r>
              <w:rPr>
                <w:spacing w:val="1"/>
              </w:rPr>
              <w:t>除)系数</w:t>
            </w:r>
          </w:p>
        </w:tc>
        <w:tc>
          <w:tcPr>
            <w:tcW w:w="5287" w:type="dxa"/>
            <w:vAlign w:val="top"/>
          </w:tcPr>
          <w:p w14:paraId="2DEFD564">
            <w:pPr>
              <w:pStyle w:val="6"/>
              <w:spacing w:before="243" w:line="219" w:lineRule="auto"/>
              <w:ind w:left="103"/>
            </w:pPr>
            <w:r>
              <w:rPr>
                <w:spacing w:val="-1"/>
              </w:rPr>
              <w:t>P的取值：/</w:t>
            </w:r>
          </w:p>
        </w:tc>
      </w:tr>
      <w:tr w14:paraId="3BA1FF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9" w:hRule="atLeast"/>
        </w:trPr>
        <w:tc>
          <w:tcPr>
            <w:tcW w:w="854" w:type="dxa"/>
            <w:vAlign w:val="top"/>
          </w:tcPr>
          <w:p w14:paraId="4BB804A7">
            <w:pPr>
              <w:spacing w:line="335" w:lineRule="auto"/>
              <w:rPr>
                <w:rFonts w:ascii="Arial"/>
                <w:sz w:val="21"/>
              </w:rPr>
            </w:pPr>
          </w:p>
          <w:p w14:paraId="3E790BB3">
            <w:pPr>
              <w:pStyle w:val="6"/>
              <w:spacing w:before="68" w:line="239" w:lineRule="auto"/>
              <w:ind w:left="104"/>
            </w:pPr>
            <w:r>
              <w:rPr>
                <w:spacing w:val="-4"/>
              </w:rPr>
              <w:t>10.2.5</w:t>
            </w:r>
          </w:p>
        </w:tc>
        <w:tc>
          <w:tcPr>
            <w:tcW w:w="2277" w:type="dxa"/>
            <w:vAlign w:val="top"/>
          </w:tcPr>
          <w:p w14:paraId="39AC0F7B">
            <w:pPr>
              <w:pStyle w:val="6"/>
              <w:spacing w:before="45" w:line="218" w:lineRule="auto"/>
              <w:ind w:left="120" w:right="235"/>
              <w:jc w:val="both"/>
            </w:pPr>
            <w:r>
              <w:rPr>
                <w:spacing w:val="-1"/>
              </w:rPr>
              <w:t>满足条件的联合体或</w:t>
            </w:r>
            <w:r>
              <w:t xml:space="preserve"> </w:t>
            </w:r>
            <w:r>
              <w:rPr>
                <w:spacing w:val="2"/>
              </w:rPr>
              <w:t>者分包企业报价优惠</w:t>
            </w:r>
            <w:r>
              <w:rPr>
                <w:spacing w:val="1"/>
              </w:rPr>
              <w:t xml:space="preserve"> </w:t>
            </w:r>
            <w:r>
              <w:rPr>
                <w:spacing w:val="4"/>
              </w:rPr>
              <w:t>(扣除)系数</w:t>
            </w:r>
          </w:p>
        </w:tc>
        <w:tc>
          <w:tcPr>
            <w:tcW w:w="5287" w:type="dxa"/>
            <w:vAlign w:val="top"/>
          </w:tcPr>
          <w:p w14:paraId="0B13EA0F">
            <w:pPr>
              <w:spacing w:line="294" w:lineRule="auto"/>
              <w:rPr>
                <w:rFonts w:ascii="Arial"/>
                <w:sz w:val="21"/>
              </w:rPr>
            </w:pPr>
          </w:p>
          <w:p w14:paraId="73EC75BD">
            <w:pPr>
              <w:pStyle w:val="6"/>
              <w:spacing w:before="68" w:line="219" w:lineRule="auto"/>
              <w:ind w:left="114"/>
            </w:pPr>
            <w:r>
              <w:rPr>
                <w:spacing w:val="-1"/>
              </w:rPr>
              <w:t>Q的取值：/</w:t>
            </w:r>
          </w:p>
        </w:tc>
      </w:tr>
      <w:tr w14:paraId="56D817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854" w:type="dxa"/>
            <w:vAlign w:val="top"/>
          </w:tcPr>
          <w:p w14:paraId="6182413D">
            <w:pPr>
              <w:pStyle w:val="6"/>
              <w:spacing w:before="276" w:line="231" w:lineRule="auto"/>
              <w:ind w:left="204"/>
            </w:pPr>
            <w:r>
              <w:rPr>
                <w:spacing w:val="-5"/>
              </w:rPr>
              <w:t>10.3</w:t>
            </w:r>
          </w:p>
        </w:tc>
        <w:tc>
          <w:tcPr>
            <w:tcW w:w="2277" w:type="dxa"/>
            <w:vAlign w:val="top"/>
          </w:tcPr>
          <w:p w14:paraId="2BB5D403">
            <w:pPr>
              <w:pStyle w:val="6"/>
              <w:spacing w:before="56" w:line="212" w:lineRule="auto"/>
              <w:ind w:left="140" w:right="639"/>
            </w:pPr>
            <w:r>
              <w:rPr>
                <w:spacing w:val="2"/>
              </w:rPr>
              <w:t>中标后须提交的</w:t>
            </w:r>
            <w:r>
              <w:rPr>
                <w:spacing w:val="1"/>
              </w:rPr>
              <w:t xml:space="preserve"> </w:t>
            </w:r>
            <w:r>
              <w:rPr>
                <w:spacing w:val="-2"/>
              </w:rPr>
              <w:t>纸质投标文件</w:t>
            </w:r>
          </w:p>
        </w:tc>
        <w:tc>
          <w:tcPr>
            <w:tcW w:w="5287" w:type="dxa"/>
            <w:vAlign w:val="top"/>
          </w:tcPr>
          <w:p w14:paraId="744039EF">
            <w:pPr>
              <w:pStyle w:val="6"/>
              <w:spacing w:before="54" w:line="213" w:lineRule="auto"/>
              <w:ind w:left="114" w:right="236"/>
            </w:pPr>
            <w:r>
              <w:rPr>
                <w:spacing w:val="-1"/>
              </w:rPr>
              <w:t>份数：</w:t>
            </w:r>
            <w:r>
              <w:rPr>
                <w:rFonts w:hint="eastAsia"/>
                <w:spacing w:val="-1"/>
                <w:lang w:val="en-US" w:eastAsia="zh-CN"/>
              </w:rPr>
              <w:t>2</w:t>
            </w:r>
            <w:r>
              <w:rPr>
                <w:spacing w:val="-1"/>
              </w:rPr>
              <w:t>份，中标人提交的纸质投标文件应当与投标时</w:t>
            </w:r>
            <w:r>
              <w:rPr>
                <w:spacing w:val="14"/>
              </w:rPr>
              <w:t xml:space="preserve"> </w:t>
            </w:r>
            <w:r>
              <w:t>的电子投标文件内容一致。</w:t>
            </w:r>
          </w:p>
        </w:tc>
      </w:tr>
      <w:tr w14:paraId="31FB23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28" w:hRule="atLeast"/>
        </w:trPr>
        <w:tc>
          <w:tcPr>
            <w:tcW w:w="854" w:type="dxa"/>
            <w:vAlign w:val="top"/>
          </w:tcPr>
          <w:p w14:paraId="5A55DA03">
            <w:pPr>
              <w:spacing w:line="254" w:lineRule="auto"/>
              <w:rPr>
                <w:rFonts w:ascii="Arial"/>
                <w:sz w:val="21"/>
              </w:rPr>
            </w:pPr>
          </w:p>
          <w:p w14:paraId="4531F523">
            <w:pPr>
              <w:spacing w:line="255" w:lineRule="auto"/>
              <w:rPr>
                <w:rFonts w:ascii="Arial"/>
                <w:sz w:val="21"/>
              </w:rPr>
            </w:pPr>
          </w:p>
          <w:p w14:paraId="4D0D6D2A">
            <w:pPr>
              <w:spacing w:line="255" w:lineRule="auto"/>
              <w:rPr>
                <w:rFonts w:ascii="Arial"/>
                <w:sz w:val="21"/>
              </w:rPr>
            </w:pPr>
          </w:p>
          <w:p w14:paraId="11DB86E8">
            <w:pPr>
              <w:pStyle w:val="6"/>
              <w:spacing w:before="68" w:line="239" w:lineRule="auto"/>
              <w:ind w:left="204"/>
            </w:pPr>
            <w:r>
              <w:rPr>
                <w:spacing w:val="-5"/>
              </w:rPr>
              <w:t>10.4</w:t>
            </w:r>
          </w:p>
        </w:tc>
        <w:tc>
          <w:tcPr>
            <w:tcW w:w="2277" w:type="dxa"/>
            <w:vAlign w:val="top"/>
          </w:tcPr>
          <w:p w14:paraId="312BC986">
            <w:pPr>
              <w:spacing w:line="247" w:lineRule="auto"/>
              <w:rPr>
                <w:rFonts w:ascii="Arial"/>
                <w:sz w:val="21"/>
              </w:rPr>
            </w:pPr>
          </w:p>
          <w:p w14:paraId="01267078">
            <w:pPr>
              <w:spacing w:line="248" w:lineRule="auto"/>
              <w:rPr>
                <w:rFonts w:ascii="Arial"/>
                <w:sz w:val="21"/>
              </w:rPr>
            </w:pPr>
          </w:p>
          <w:p w14:paraId="0E48D9D7">
            <w:pPr>
              <w:spacing w:line="248" w:lineRule="auto"/>
              <w:rPr>
                <w:rFonts w:ascii="Arial"/>
                <w:sz w:val="21"/>
              </w:rPr>
            </w:pPr>
          </w:p>
          <w:p w14:paraId="27B1D07B">
            <w:pPr>
              <w:pStyle w:val="6"/>
              <w:spacing w:before="69" w:line="219" w:lineRule="auto"/>
              <w:ind w:left="140"/>
            </w:pPr>
            <w:r>
              <w:rPr>
                <w:spacing w:val="2"/>
              </w:rPr>
              <w:t>知识产权</w:t>
            </w:r>
          </w:p>
        </w:tc>
        <w:tc>
          <w:tcPr>
            <w:tcW w:w="5287" w:type="dxa"/>
            <w:vAlign w:val="top"/>
          </w:tcPr>
          <w:p w14:paraId="385456FA">
            <w:pPr>
              <w:pStyle w:val="6"/>
              <w:spacing w:before="286" w:line="238" w:lineRule="auto"/>
              <w:ind w:left="103" w:right="111"/>
              <w:jc w:val="both"/>
            </w:pPr>
            <w:r>
              <w:rPr>
                <w:spacing w:val="-1"/>
              </w:rPr>
              <w:t>构成本招标文件各个组成部分的文件，未经招标人书面</w:t>
            </w:r>
            <w:r>
              <w:rPr>
                <w:spacing w:val="12"/>
              </w:rPr>
              <w:t xml:space="preserve"> </w:t>
            </w:r>
            <w:r>
              <w:t>同意，投标人不得擅自复印和用于非本招标项目所需的</w:t>
            </w:r>
            <w:r>
              <w:rPr>
                <w:spacing w:val="15"/>
              </w:rPr>
              <w:t xml:space="preserve"> </w:t>
            </w:r>
            <w:r>
              <w:rPr>
                <w:spacing w:val="-1"/>
              </w:rPr>
              <w:t>其他目的。招标人全部或者部分使用未中标人投标文件</w:t>
            </w:r>
            <w:r>
              <w:rPr>
                <w:spacing w:val="13"/>
              </w:rPr>
              <w:t xml:space="preserve"> </w:t>
            </w:r>
            <w:r>
              <w:rPr>
                <w:spacing w:val="1"/>
              </w:rPr>
              <w:t>中的技术成果或技术方案时，需征得其书面同</w:t>
            </w:r>
            <w:r>
              <w:t>意，并不 得擅自复印或提供给第三人。</w:t>
            </w:r>
          </w:p>
        </w:tc>
      </w:tr>
      <w:tr w14:paraId="3B788C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4" w:hRule="atLeast"/>
        </w:trPr>
        <w:tc>
          <w:tcPr>
            <w:tcW w:w="854" w:type="dxa"/>
            <w:vAlign w:val="top"/>
          </w:tcPr>
          <w:p w14:paraId="6B6CC397">
            <w:pPr>
              <w:spacing w:line="408" w:lineRule="auto"/>
              <w:rPr>
                <w:rFonts w:ascii="Arial"/>
                <w:sz w:val="21"/>
              </w:rPr>
            </w:pPr>
          </w:p>
          <w:p w14:paraId="0DAB2FE0">
            <w:pPr>
              <w:pStyle w:val="6"/>
              <w:spacing w:before="68" w:line="239" w:lineRule="auto"/>
              <w:ind w:left="204"/>
            </w:pPr>
            <w:r>
              <w:rPr>
                <w:spacing w:val="-5"/>
              </w:rPr>
              <w:t>10.5</w:t>
            </w:r>
          </w:p>
        </w:tc>
        <w:tc>
          <w:tcPr>
            <w:tcW w:w="2277" w:type="dxa"/>
            <w:vAlign w:val="top"/>
          </w:tcPr>
          <w:p w14:paraId="5EEF6D0C">
            <w:pPr>
              <w:spacing w:line="388" w:lineRule="auto"/>
              <w:rPr>
                <w:rFonts w:ascii="Arial"/>
                <w:sz w:val="21"/>
              </w:rPr>
            </w:pPr>
          </w:p>
          <w:p w14:paraId="1122384E">
            <w:pPr>
              <w:pStyle w:val="6"/>
              <w:spacing w:before="68" w:line="220" w:lineRule="auto"/>
              <w:ind w:left="140"/>
            </w:pPr>
            <w:r>
              <w:rPr>
                <w:spacing w:val="2"/>
              </w:rPr>
              <w:t>同义词语</w:t>
            </w:r>
          </w:p>
        </w:tc>
        <w:tc>
          <w:tcPr>
            <w:tcW w:w="5287" w:type="dxa"/>
            <w:vAlign w:val="top"/>
          </w:tcPr>
          <w:p w14:paraId="5AFC835D">
            <w:pPr>
              <w:pStyle w:val="6"/>
              <w:spacing w:before="70" w:line="225" w:lineRule="auto"/>
              <w:ind w:left="112" w:hanging="9"/>
              <w:jc w:val="both"/>
            </w:pPr>
            <w:r>
              <w:rPr>
                <w:spacing w:val="-4"/>
              </w:rPr>
              <w:t>构成招标文件组成部分的“通用合同条款”、“专用合同</w:t>
            </w:r>
            <w:r>
              <w:rPr>
                <w:spacing w:val="18"/>
              </w:rPr>
              <w:t xml:space="preserve"> </w:t>
            </w:r>
            <w:r>
              <w:rPr>
                <w:spacing w:val="-4"/>
              </w:rPr>
              <w:t>条款”、“技术标准和要求”和“工程量清单”等章节中</w:t>
            </w:r>
            <w:r>
              <w:rPr>
                <w:spacing w:val="12"/>
              </w:rPr>
              <w:t xml:space="preserve"> </w:t>
            </w:r>
            <w:r>
              <w:rPr>
                <w:spacing w:val="-1"/>
              </w:rPr>
              <w:t>出现的措辞“发包人”和“承包人”,在招标投标阶段应</w:t>
            </w:r>
            <w:r>
              <w:rPr>
                <w:spacing w:val="18"/>
              </w:rPr>
              <w:t xml:space="preserve"> </w:t>
            </w:r>
            <w:r>
              <w:rPr>
                <w:spacing w:val="-1"/>
              </w:rPr>
              <w:t>当分别按“招标人”和“投标人”进行理解。</w:t>
            </w:r>
          </w:p>
        </w:tc>
      </w:tr>
    </w:tbl>
    <w:p w14:paraId="7251930D">
      <w:pPr>
        <w:rPr>
          <w:rFonts w:ascii="Arial"/>
          <w:sz w:val="21"/>
        </w:rPr>
      </w:pPr>
    </w:p>
    <w:p w14:paraId="0D972624">
      <w:pPr>
        <w:rPr>
          <w:rFonts w:ascii="Arial" w:hAnsi="Arial" w:eastAsia="Arial" w:cs="Arial"/>
          <w:sz w:val="21"/>
          <w:szCs w:val="21"/>
        </w:rPr>
        <w:sectPr>
          <w:footerReference r:id="rId15" w:type="default"/>
          <w:pgSz w:w="11910" w:h="16840"/>
          <w:pgMar w:top="1431" w:right="1786" w:bottom="1004" w:left="1445" w:header="0" w:footer="869" w:gutter="0"/>
          <w:cols w:space="720" w:num="1"/>
        </w:sectPr>
      </w:pPr>
    </w:p>
    <w:p w14:paraId="779D5DFE">
      <w:pPr>
        <w:spacing w:before="2"/>
      </w:pPr>
    </w:p>
    <w:tbl>
      <w:tblPr>
        <w:tblStyle w:val="5"/>
        <w:tblW w:w="843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4"/>
        <w:gridCol w:w="2277"/>
        <w:gridCol w:w="5299"/>
      </w:tblGrid>
      <w:tr w14:paraId="730319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42" w:hRule="atLeast"/>
        </w:trPr>
        <w:tc>
          <w:tcPr>
            <w:tcW w:w="854" w:type="dxa"/>
            <w:vAlign w:val="top"/>
          </w:tcPr>
          <w:p w14:paraId="5217456B">
            <w:pPr>
              <w:spacing w:line="252" w:lineRule="auto"/>
              <w:rPr>
                <w:rFonts w:ascii="Arial"/>
                <w:sz w:val="21"/>
              </w:rPr>
            </w:pPr>
          </w:p>
          <w:p w14:paraId="6661DF42">
            <w:pPr>
              <w:spacing w:line="252" w:lineRule="auto"/>
              <w:rPr>
                <w:rFonts w:ascii="Arial"/>
                <w:sz w:val="21"/>
              </w:rPr>
            </w:pPr>
          </w:p>
          <w:p w14:paraId="06CB5528">
            <w:pPr>
              <w:spacing w:line="253" w:lineRule="auto"/>
              <w:rPr>
                <w:rFonts w:ascii="Arial"/>
                <w:sz w:val="21"/>
              </w:rPr>
            </w:pPr>
          </w:p>
          <w:p w14:paraId="6259FE30">
            <w:pPr>
              <w:spacing w:line="253" w:lineRule="auto"/>
              <w:rPr>
                <w:rFonts w:ascii="Arial"/>
                <w:sz w:val="21"/>
              </w:rPr>
            </w:pPr>
          </w:p>
          <w:p w14:paraId="50C411F9">
            <w:pPr>
              <w:spacing w:line="253" w:lineRule="auto"/>
              <w:rPr>
                <w:rFonts w:ascii="Arial"/>
                <w:sz w:val="21"/>
              </w:rPr>
            </w:pPr>
          </w:p>
          <w:p w14:paraId="3A81C212">
            <w:pPr>
              <w:spacing w:line="253" w:lineRule="auto"/>
              <w:rPr>
                <w:rFonts w:ascii="Arial"/>
                <w:sz w:val="21"/>
              </w:rPr>
            </w:pPr>
          </w:p>
          <w:p w14:paraId="5856ADE3">
            <w:pPr>
              <w:pStyle w:val="6"/>
              <w:spacing w:before="69" w:line="239" w:lineRule="auto"/>
              <w:ind w:left="204"/>
            </w:pPr>
            <w:r>
              <w:rPr>
                <w:spacing w:val="-5"/>
              </w:rPr>
              <w:t>10.6</w:t>
            </w:r>
          </w:p>
        </w:tc>
        <w:tc>
          <w:tcPr>
            <w:tcW w:w="2277" w:type="dxa"/>
            <w:vAlign w:val="top"/>
          </w:tcPr>
          <w:p w14:paraId="7384CE72">
            <w:pPr>
              <w:spacing w:line="249" w:lineRule="auto"/>
              <w:rPr>
                <w:rFonts w:ascii="Arial"/>
                <w:sz w:val="21"/>
              </w:rPr>
            </w:pPr>
          </w:p>
          <w:p w14:paraId="04F33DAC">
            <w:pPr>
              <w:spacing w:line="249" w:lineRule="auto"/>
              <w:rPr>
                <w:rFonts w:ascii="Arial"/>
                <w:sz w:val="21"/>
              </w:rPr>
            </w:pPr>
          </w:p>
          <w:p w14:paraId="721CBB55">
            <w:pPr>
              <w:spacing w:line="249" w:lineRule="auto"/>
              <w:rPr>
                <w:rFonts w:ascii="Arial"/>
                <w:sz w:val="21"/>
              </w:rPr>
            </w:pPr>
          </w:p>
          <w:p w14:paraId="009B9B70">
            <w:pPr>
              <w:spacing w:line="249" w:lineRule="auto"/>
              <w:rPr>
                <w:rFonts w:ascii="Arial"/>
                <w:sz w:val="21"/>
              </w:rPr>
            </w:pPr>
          </w:p>
          <w:p w14:paraId="42F0F668">
            <w:pPr>
              <w:spacing w:line="250" w:lineRule="auto"/>
              <w:rPr>
                <w:rFonts w:ascii="Arial"/>
                <w:sz w:val="21"/>
              </w:rPr>
            </w:pPr>
          </w:p>
          <w:p w14:paraId="196D8D81">
            <w:pPr>
              <w:spacing w:line="250" w:lineRule="auto"/>
              <w:rPr>
                <w:rFonts w:ascii="Arial"/>
                <w:sz w:val="21"/>
              </w:rPr>
            </w:pPr>
          </w:p>
          <w:p w14:paraId="793923DE">
            <w:pPr>
              <w:pStyle w:val="6"/>
              <w:spacing w:before="68" w:line="219" w:lineRule="auto"/>
              <w:ind w:left="110"/>
            </w:pPr>
            <w:r>
              <w:rPr>
                <w:spacing w:val="-2"/>
              </w:rPr>
              <w:t>解释权</w:t>
            </w:r>
          </w:p>
        </w:tc>
        <w:tc>
          <w:tcPr>
            <w:tcW w:w="5299" w:type="dxa"/>
            <w:vAlign w:val="top"/>
          </w:tcPr>
          <w:p w14:paraId="2D421339">
            <w:pPr>
              <w:spacing w:line="290" w:lineRule="auto"/>
              <w:rPr>
                <w:rFonts w:ascii="Arial"/>
                <w:sz w:val="21"/>
              </w:rPr>
            </w:pPr>
          </w:p>
          <w:p w14:paraId="769C595D">
            <w:pPr>
              <w:pStyle w:val="6"/>
              <w:spacing w:before="68" w:line="239" w:lineRule="auto"/>
              <w:ind w:left="121" w:hanging="108"/>
            </w:pPr>
            <w:r>
              <w:rPr>
                <w:spacing w:val="1"/>
              </w:rPr>
              <w:t>构成本招标文件的各个组成文件应互为解释，互为说明；</w:t>
            </w:r>
            <w:r>
              <w:t xml:space="preserve"> </w:t>
            </w:r>
            <w:r>
              <w:rPr>
                <w:spacing w:val="-3"/>
              </w:rPr>
              <w:t>如有不明确或不一致，构成合同文件组成内容的，以合</w:t>
            </w:r>
            <w:r>
              <w:rPr>
                <w:spacing w:val="1"/>
              </w:rPr>
              <w:t xml:space="preserve">   </w:t>
            </w:r>
            <w:r>
              <w:rPr>
                <w:spacing w:val="-3"/>
              </w:rPr>
              <w:t>同文件约定内容为准，且以专用合同条款约定的合同文</w:t>
            </w:r>
            <w:r>
              <w:rPr>
                <w:spacing w:val="2"/>
              </w:rPr>
              <w:t xml:space="preserve">   </w:t>
            </w:r>
            <w:r>
              <w:rPr>
                <w:spacing w:val="-2"/>
              </w:rPr>
              <w:t>件优先顺序解释；除招标文件中有特别规定外</w:t>
            </w:r>
            <w:r>
              <w:rPr>
                <w:spacing w:val="-3"/>
              </w:rPr>
              <w:t>，仅适用</w:t>
            </w:r>
            <w:r>
              <w:t xml:space="preserve">  </w:t>
            </w:r>
            <w:r>
              <w:rPr>
                <w:spacing w:val="-3"/>
              </w:rPr>
              <w:t>于招标投标阶段的规定，按招标公告(投标邀请书)、投</w:t>
            </w:r>
            <w:r>
              <w:rPr>
                <w:spacing w:val="2"/>
              </w:rPr>
              <w:t xml:space="preserve">   </w:t>
            </w:r>
            <w:r>
              <w:rPr>
                <w:spacing w:val="1"/>
              </w:rPr>
              <w:t>标人须知、评标办法、投标文件格式的先后顺序解释；</w:t>
            </w:r>
            <w:r>
              <w:rPr>
                <w:spacing w:val="2"/>
              </w:rPr>
              <w:t xml:space="preserve">  </w:t>
            </w:r>
            <w:r>
              <w:rPr>
                <w:spacing w:val="-3"/>
              </w:rPr>
              <w:t>同一组成文件中就同一事项的规定或约定不一致的，以</w:t>
            </w:r>
            <w:r>
              <w:rPr>
                <w:spacing w:val="7"/>
              </w:rPr>
              <w:t xml:space="preserve">  </w:t>
            </w:r>
            <w:r>
              <w:rPr>
                <w:spacing w:val="-3"/>
              </w:rPr>
              <w:t>编排顺序在后者为准；同一组成文件不同版本之间有不</w:t>
            </w:r>
            <w:r>
              <w:rPr>
                <w:spacing w:val="2"/>
              </w:rPr>
              <w:t xml:space="preserve">   </w:t>
            </w:r>
            <w:r>
              <w:rPr>
                <w:spacing w:val="-3"/>
              </w:rPr>
              <w:t>一致的，以形成时间在后者为准。按本款前述规定仍不</w:t>
            </w:r>
            <w:r>
              <w:rPr>
                <w:spacing w:val="2"/>
              </w:rPr>
              <w:t xml:space="preserve">   </w:t>
            </w:r>
            <w:r>
              <w:rPr>
                <w:spacing w:val="-4"/>
              </w:rPr>
              <w:t>能形成结论的，由招标人负责解释。</w:t>
            </w:r>
          </w:p>
        </w:tc>
      </w:tr>
      <w:tr w14:paraId="150F76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9" w:hRule="atLeast"/>
        </w:trPr>
        <w:tc>
          <w:tcPr>
            <w:tcW w:w="854" w:type="dxa"/>
            <w:vAlign w:val="top"/>
          </w:tcPr>
          <w:p w14:paraId="267331A8">
            <w:pPr>
              <w:pStyle w:val="6"/>
              <w:spacing w:before="252" w:line="239" w:lineRule="auto"/>
              <w:ind w:left="204"/>
            </w:pPr>
            <w:r>
              <w:rPr>
                <w:spacing w:val="-5"/>
              </w:rPr>
              <w:t>10.7</w:t>
            </w:r>
          </w:p>
        </w:tc>
        <w:tc>
          <w:tcPr>
            <w:tcW w:w="2277" w:type="dxa"/>
            <w:vAlign w:val="top"/>
          </w:tcPr>
          <w:p w14:paraId="79F90D9C">
            <w:pPr>
              <w:pStyle w:val="6"/>
              <w:spacing w:before="231" w:line="219" w:lineRule="auto"/>
              <w:ind w:left="110"/>
            </w:pPr>
            <w:r>
              <w:rPr>
                <w:spacing w:val="1"/>
              </w:rPr>
              <w:t>交易平台信息服务费</w:t>
            </w:r>
          </w:p>
        </w:tc>
        <w:tc>
          <w:tcPr>
            <w:tcW w:w="5299" w:type="dxa"/>
            <w:vAlign w:val="top"/>
          </w:tcPr>
          <w:p w14:paraId="4346D855">
            <w:pPr>
              <w:rPr>
                <w:rFonts w:ascii="Arial"/>
                <w:sz w:val="21"/>
              </w:rPr>
            </w:pPr>
          </w:p>
        </w:tc>
      </w:tr>
      <w:tr w14:paraId="29BDE4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38" w:hRule="atLeast"/>
        </w:trPr>
        <w:tc>
          <w:tcPr>
            <w:tcW w:w="854" w:type="dxa"/>
            <w:vAlign w:val="top"/>
          </w:tcPr>
          <w:p w14:paraId="225CE6A3">
            <w:pPr>
              <w:spacing w:line="273" w:lineRule="auto"/>
              <w:rPr>
                <w:rFonts w:ascii="Arial"/>
                <w:sz w:val="21"/>
              </w:rPr>
            </w:pPr>
          </w:p>
          <w:p w14:paraId="45156E34">
            <w:pPr>
              <w:spacing w:line="273" w:lineRule="auto"/>
              <w:rPr>
                <w:rFonts w:ascii="Arial"/>
                <w:sz w:val="21"/>
              </w:rPr>
            </w:pPr>
          </w:p>
          <w:p w14:paraId="731E6231">
            <w:pPr>
              <w:spacing w:line="273" w:lineRule="auto"/>
              <w:rPr>
                <w:rFonts w:ascii="Arial"/>
                <w:sz w:val="21"/>
              </w:rPr>
            </w:pPr>
          </w:p>
          <w:p w14:paraId="4357B100">
            <w:pPr>
              <w:spacing w:line="273" w:lineRule="auto"/>
              <w:rPr>
                <w:rFonts w:ascii="Arial"/>
                <w:sz w:val="21"/>
              </w:rPr>
            </w:pPr>
          </w:p>
          <w:p w14:paraId="291083DF">
            <w:pPr>
              <w:spacing w:line="274" w:lineRule="auto"/>
              <w:rPr>
                <w:rFonts w:ascii="Arial"/>
                <w:sz w:val="21"/>
              </w:rPr>
            </w:pPr>
          </w:p>
          <w:p w14:paraId="13504457">
            <w:pPr>
              <w:pStyle w:val="6"/>
              <w:spacing w:before="68" w:line="239" w:lineRule="auto"/>
              <w:ind w:left="204"/>
            </w:pPr>
            <w:r>
              <w:rPr>
                <w:spacing w:val="-5"/>
              </w:rPr>
              <w:t>10.8</w:t>
            </w:r>
          </w:p>
        </w:tc>
        <w:tc>
          <w:tcPr>
            <w:tcW w:w="2277" w:type="dxa"/>
            <w:vAlign w:val="top"/>
          </w:tcPr>
          <w:p w14:paraId="7BC8F138">
            <w:pPr>
              <w:spacing w:line="269" w:lineRule="auto"/>
              <w:rPr>
                <w:rFonts w:ascii="Arial"/>
                <w:sz w:val="21"/>
              </w:rPr>
            </w:pPr>
          </w:p>
          <w:p w14:paraId="350B5865">
            <w:pPr>
              <w:spacing w:line="269" w:lineRule="auto"/>
              <w:rPr>
                <w:rFonts w:ascii="Arial"/>
                <w:sz w:val="21"/>
              </w:rPr>
            </w:pPr>
          </w:p>
          <w:p w14:paraId="537362CD">
            <w:pPr>
              <w:spacing w:line="269" w:lineRule="auto"/>
              <w:rPr>
                <w:rFonts w:ascii="Arial"/>
                <w:sz w:val="21"/>
              </w:rPr>
            </w:pPr>
          </w:p>
          <w:p w14:paraId="3086D7C5">
            <w:pPr>
              <w:spacing w:line="269" w:lineRule="auto"/>
              <w:rPr>
                <w:rFonts w:ascii="Arial"/>
                <w:sz w:val="21"/>
              </w:rPr>
            </w:pPr>
          </w:p>
          <w:p w14:paraId="063CBC0C">
            <w:pPr>
              <w:spacing w:line="270" w:lineRule="auto"/>
              <w:rPr>
                <w:rFonts w:ascii="Arial"/>
                <w:sz w:val="21"/>
              </w:rPr>
            </w:pPr>
          </w:p>
          <w:p w14:paraId="2237487F">
            <w:pPr>
              <w:pStyle w:val="6"/>
              <w:spacing w:before="68" w:line="219" w:lineRule="auto"/>
              <w:ind w:left="110"/>
            </w:pPr>
            <w:r>
              <w:rPr>
                <w:spacing w:val="1"/>
              </w:rPr>
              <w:t>招标代理服务费</w:t>
            </w:r>
          </w:p>
        </w:tc>
        <w:tc>
          <w:tcPr>
            <w:tcW w:w="5299" w:type="dxa"/>
            <w:vAlign w:val="top"/>
          </w:tcPr>
          <w:p w14:paraId="25812F0A">
            <w:pPr>
              <w:pStyle w:val="6"/>
              <w:spacing w:before="281" w:line="219" w:lineRule="auto"/>
              <w:ind w:left="114"/>
            </w:pPr>
            <w:r>
              <w:rPr>
                <w:color w:val="2030F0"/>
                <w:spacing w:val="-1"/>
              </w:rPr>
              <w:t>□本次招标没有招标代理服务费。</w:t>
            </w:r>
          </w:p>
          <w:p w14:paraId="1BC7341B">
            <w:pPr>
              <w:pStyle w:val="6"/>
              <w:spacing w:before="60" w:line="219" w:lineRule="auto"/>
              <w:ind w:left="127"/>
            </w:pPr>
            <w:r>
              <w:rPr>
                <w:rFonts w:ascii="MS Gothic" w:hAnsi="MS Gothic" w:eastAsia="MS Gothic" w:cs="MS Gothic"/>
                <w:b/>
                <w:bCs/>
                <w:color w:val="1020F0"/>
                <w:spacing w:val="-1"/>
              </w:rPr>
              <w:t>☑</w:t>
            </w:r>
            <w:r>
              <w:rPr>
                <w:color w:val="1020F0"/>
                <w:spacing w:val="-1"/>
              </w:rPr>
              <w:t>本次招标有招标代理服务费。根据招标人和招标代理</w:t>
            </w:r>
          </w:p>
          <w:p w14:paraId="3E6AE199">
            <w:pPr>
              <w:pStyle w:val="6"/>
              <w:spacing w:before="100" w:line="219" w:lineRule="auto"/>
              <w:ind w:left="103"/>
            </w:pPr>
            <w:r>
              <w:rPr>
                <w:spacing w:val="-1"/>
              </w:rPr>
              <w:t>机构委托代理合同的约定，本项目招标代理服务费：</w:t>
            </w:r>
          </w:p>
          <w:p w14:paraId="16B94839">
            <w:pPr>
              <w:pStyle w:val="6"/>
              <w:spacing w:before="82" w:line="219" w:lineRule="auto"/>
              <w:ind w:left="433"/>
            </w:pPr>
            <w:r>
              <w:rPr>
                <w:color w:val="2020E0"/>
                <w:spacing w:val="-1"/>
              </w:rPr>
              <w:t>□由招标人支付。</w:t>
            </w:r>
          </w:p>
          <w:p w14:paraId="4FE1EF34">
            <w:pPr>
              <w:pStyle w:val="6"/>
              <w:spacing w:before="81" w:line="219" w:lineRule="auto"/>
              <w:ind w:left="446"/>
            </w:pPr>
            <w:r>
              <w:rPr>
                <w:rFonts w:ascii="MS Gothic" w:hAnsi="MS Gothic" w:eastAsia="MS Gothic" w:cs="MS Gothic"/>
                <w:b/>
                <w:bCs/>
                <w:color w:val="1020F0"/>
                <w:spacing w:val="-2"/>
              </w:rPr>
              <w:t>☑</w:t>
            </w:r>
            <w:r>
              <w:rPr>
                <w:color w:val="1020F0"/>
                <w:spacing w:val="-2"/>
              </w:rPr>
              <w:t>由中标人支付。</w:t>
            </w:r>
          </w:p>
          <w:p w14:paraId="4C1E6168">
            <w:pPr>
              <w:pStyle w:val="6"/>
              <w:spacing w:before="61" w:line="219" w:lineRule="auto"/>
              <w:ind w:left="633"/>
            </w:pPr>
            <w:r>
              <w:rPr>
                <w:spacing w:val="-1"/>
              </w:rPr>
              <w:t>支付标准：参照湖北省住建厅《湖北省招标代理收</w:t>
            </w:r>
          </w:p>
          <w:p w14:paraId="0F7595D8">
            <w:pPr>
              <w:pStyle w:val="6"/>
              <w:spacing w:before="41" w:line="219" w:lineRule="auto"/>
              <w:ind w:right="19"/>
              <w:jc w:val="right"/>
            </w:pPr>
            <w:r>
              <w:rPr>
                <w:color w:val="2020F0"/>
                <w:spacing w:val="3"/>
              </w:rPr>
              <w:t>费参考标准(试行)》(鄂建文[2023]35号)的规定收取；</w:t>
            </w:r>
          </w:p>
          <w:p w14:paraId="7A2749BB">
            <w:pPr>
              <w:pStyle w:val="6"/>
              <w:spacing w:before="11" w:line="219" w:lineRule="auto"/>
              <w:ind w:left="633"/>
            </w:pPr>
            <w:r>
              <w:rPr>
                <w:spacing w:val="10"/>
              </w:rPr>
              <w:t>支付方式：对公转账；</w:t>
            </w:r>
          </w:p>
          <w:p w14:paraId="57DA06EE">
            <w:pPr>
              <w:pStyle w:val="6"/>
              <w:spacing w:before="19" w:line="219" w:lineRule="auto"/>
              <w:ind w:left="694"/>
            </w:pPr>
            <w:r>
              <w:t>支付时间：领取中标通知书时一次性付清。</w:t>
            </w:r>
          </w:p>
        </w:tc>
      </w:tr>
      <w:tr w14:paraId="6BE46B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8" w:hRule="atLeast"/>
        </w:trPr>
        <w:tc>
          <w:tcPr>
            <w:tcW w:w="854" w:type="dxa"/>
            <w:vAlign w:val="top"/>
          </w:tcPr>
          <w:p w14:paraId="453C4AF1">
            <w:pPr>
              <w:spacing w:line="271" w:lineRule="auto"/>
              <w:rPr>
                <w:rFonts w:ascii="Arial"/>
                <w:sz w:val="21"/>
              </w:rPr>
            </w:pPr>
          </w:p>
          <w:p w14:paraId="29D6F3D9">
            <w:pPr>
              <w:spacing w:line="271" w:lineRule="auto"/>
              <w:rPr>
                <w:rFonts w:ascii="Arial"/>
                <w:sz w:val="21"/>
              </w:rPr>
            </w:pPr>
          </w:p>
          <w:p w14:paraId="2F10F09D">
            <w:pPr>
              <w:spacing w:line="272" w:lineRule="auto"/>
              <w:rPr>
                <w:rFonts w:ascii="Arial"/>
                <w:sz w:val="21"/>
              </w:rPr>
            </w:pPr>
          </w:p>
          <w:p w14:paraId="712FD1FF">
            <w:pPr>
              <w:spacing w:line="272" w:lineRule="auto"/>
              <w:rPr>
                <w:rFonts w:ascii="Arial"/>
                <w:sz w:val="21"/>
              </w:rPr>
            </w:pPr>
          </w:p>
          <w:p w14:paraId="3345131F">
            <w:pPr>
              <w:spacing w:line="272" w:lineRule="auto"/>
              <w:rPr>
                <w:rFonts w:ascii="Arial"/>
                <w:sz w:val="21"/>
              </w:rPr>
            </w:pPr>
          </w:p>
          <w:p w14:paraId="65885BE7">
            <w:pPr>
              <w:pStyle w:val="6"/>
              <w:spacing w:before="69" w:line="239" w:lineRule="auto"/>
              <w:ind w:left="204"/>
            </w:pPr>
            <w:r>
              <w:rPr>
                <w:spacing w:val="-5"/>
              </w:rPr>
              <w:t>10.9</w:t>
            </w:r>
          </w:p>
        </w:tc>
        <w:tc>
          <w:tcPr>
            <w:tcW w:w="2277" w:type="dxa"/>
            <w:vAlign w:val="top"/>
          </w:tcPr>
          <w:p w14:paraId="2E64FCAC">
            <w:pPr>
              <w:spacing w:line="294" w:lineRule="auto"/>
              <w:rPr>
                <w:rFonts w:ascii="Arial"/>
                <w:sz w:val="21"/>
              </w:rPr>
            </w:pPr>
          </w:p>
          <w:p w14:paraId="3C1B4162">
            <w:pPr>
              <w:spacing w:line="294" w:lineRule="auto"/>
              <w:rPr>
                <w:rFonts w:ascii="Arial"/>
                <w:sz w:val="21"/>
              </w:rPr>
            </w:pPr>
          </w:p>
          <w:p w14:paraId="56A8F488">
            <w:pPr>
              <w:spacing w:line="294" w:lineRule="auto"/>
              <w:rPr>
                <w:rFonts w:ascii="Arial"/>
                <w:sz w:val="21"/>
              </w:rPr>
            </w:pPr>
          </w:p>
          <w:p w14:paraId="31A30C69">
            <w:pPr>
              <w:spacing w:line="295" w:lineRule="auto"/>
              <w:rPr>
                <w:rFonts w:ascii="Arial"/>
                <w:sz w:val="21"/>
              </w:rPr>
            </w:pPr>
          </w:p>
          <w:p w14:paraId="4867DD82">
            <w:pPr>
              <w:pStyle w:val="6"/>
              <w:spacing w:before="69" w:line="219" w:lineRule="auto"/>
              <w:ind w:left="110"/>
            </w:pPr>
            <w:r>
              <w:rPr>
                <w:spacing w:val="-2"/>
              </w:rPr>
              <w:t>政府采购</w:t>
            </w:r>
          </w:p>
          <w:p w14:paraId="5EF5B2BB">
            <w:pPr>
              <w:pStyle w:val="6"/>
              <w:spacing w:before="32" w:line="220" w:lineRule="auto"/>
              <w:ind w:left="110"/>
            </w:pPr>
            <w:r>
              <w:rPr>
                <w:spacing w:val="-2"/>
              </w:rPr>
              <w:t>合同融资政策</w:t>
            </w:r>
          </w:p>
        </w:tc>
        <w:tc>
          <w:tcPr>
            <w:tcW w:w="5299" w:type="dxa"/>
            <w:vAlign w:val="top"/>
          </w:tcPr>
          <w:p w14:paraId="42B12394">
            <w:pPr>
              <w:spacing w:line="262" w:lineRule="auto"/>
              <w:rPr>
                <w:rFonts w:ascii="Arial"/>
                <w:sz w:val="21"/>
              </w:rPr>
            </w:pPr>
          </w:p>
          <w:p w14:paraId="50516917">
            <w:pPr>
              <w:pStyle w:val="6"/>
              <w:spacing w:before="68" w:line="234" w:lineRule="auto"/>
              <w:ind w:left="124" w:right="96"/>
            </w:pPr>
            <w:r>
              <w:rPr>
                <w:spacing w:val="-1"/>
              </w:rPr>
              <w:t>政府采购合同融资(以下简称“政采贷”)指参与政府采</w:t>
            </w:r>
            <w:r>
              <w:rPr>
                <w:spacing w:val="16"/>
              </w:rPr>
              <w:t xml:space="preserve"> </w:t>
            </w:r>
            <w:r>
              <w:rPr>
                <w:spacing w:val="4"/>
              </w:rPr>
              <w:t>购活动的中小微企业，在获得政府采购中标(</w:t>
            </w:r>
            <w:r>
              <w:rPr>
                <w:spacing w:val="3"/>
              </w:rPr>
              <w:t>成交)通</w:t>
            </w:r>
            <w:r>
              <w:t xml:space="preserve">  </w:t>
            </w:r>
            <w:r>
              <w:rPr>
                <w:spacing w:val="1"/>
              </w:rPr>
              <w:t>知书后，即可向开展“政采贷”业务的金融机构提出申</w:t>
            </w:r>
            <w:r>
              <w:rPr>
                <w:spacing w:val="3"/>
              </w:rPr>
              <w:t xml:space="preserve"> </w:t>
            </w:r>
            <w:r>
              <w:rPr>
                <w:spacing w:val="4"/>
              </w:rPr>
              <w:t>请，金融机构依据政府采购中标(成交)通知</w:t>
            </w:r>
            <w:r>
              <w:rPr>
                <w:spacing w:val="3"/>
              </w:rPr>
              <w:t>书和政府</w:t>
            </w:r>
            <w:r>
              <w:t xml:space="preserve">  </w:t>
            </w:r>
            <w:r>
              <w:rPr>
                <w:spacing w:val="-1"/>
              </w:rPr>
              <w:t>采购合同，为中小微企业提供融资服务。</w:t>
            </w:r>
          </w:p>
          <w:p w14:paraId="3F06CD9F">
            <w:pPr>
              <w:pStyle w:val="6"/>
              <w:spacing w:before="11" w:line="239" w:lineRule="auto"/>
              <w:ind w:left="123" w:hanging="45"/>
            </w:pPr>
            <w:r>
              <w:rPr>
                <w:spacing w:val="-2"/>
              </w:rPr>
              <w:t>“政采贷”业务政策：《湖北省政府采购合同融资实施方</w:t>
            </w:r>
            <w:r>
              <w:rPr>
                <w:spacing w:val="9"/>
              </w:rPr>
              <w:t xml:space="preserve"> </w:t>
            </w:r>
            <w:r>
              <w:rPr>
                <w:spacing w:val="2"/>
              </w:rPr>
              <w:t>案》(鄂财采发[2020]5号)</w:t>
            </w:r>
          </w:p>
          <w:p w14:paraId="75535D1B">
            <w:pPr>
              <w:pStyle w:val="6"/>
              <w:spacing w:before="26" w:line="214" w:lineRule="auto"/>
              <w:ind w:left="202" w:right="212" w:hanging="84"/>
            </w:pPr>
            <w:r>
              <w:rPr>
                <w:spacing w:val="5"/>
              </w:rPr>
              <w:t>“政采贷”业务申请：湖北省政府采购合同融资平台</w:t>
            </w:r>
            <w:r>
              <w:rPr>
                <w:spacing w:val="11"/>
              </w:rPr>
              <w:t xml:space="preserve"> </w:t>
            </w:r>
            <w:r>
              <w:rPr>
                <w:spacing w:val="-1"/>
              </w:rPr>
              <w:t>(</w:t>
            </w:r>
            <w:r>
              <w:fldChar w:fldCharType="begin"/>
            </w:r>
            <w:r>
              <w:instrText xml:space="preserve"> HYPERLINK "https://czt.hubei.gov.cn/zcd/homepage)" </w:instrText>
            </w:r>
            <w:r>
              <w:fldChar w:fldCharType="separate"/>
            </w:r>
            <w:r>
              <w:rPr>
                <w:spacing w:val="-1"/>
              </w:rPr>
              <w:t>https://czt.hubei.gov.cn/zcd/h</w:t>
            </w:r>
            <w:r>
              <w:rPr>
                <w:spacing w:val="-2"/>
              </w:rPr>
              <w:t>omepage)</w:t>
            </w:r>
            <w:r>
              <w:rPr>
                <w:spacing w:val="-2"/>
              </w:rPr>
              <w:fldChar w:fldCharType="end"/>
            </w:r>
          </w:p>
        </w:tc>
      </w:tr>
      <w:tr w14:paraId="3D8677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3" w:hRule="atLeast"/>
        </w:trPr>
        <w:tc>
          <w:tcPr>
            <w:tcW w:w="854" w:type="dxa"/>
            <w:vAlign w:val="top"/>
          </w:tcPr>
          <w:p w14:paraId="5E34B638">
            <w:pPr>
              <w:spacing w:line="245" w:lineRule="auto"/>
              <w:rPr>
                <w:rFonts w:ascii="Arial"/>
                <w:sz w:val="21"/>
              </w:rPr>
            </w:pPr>
          </w:p>
          <w:p w14:paraId="15903180">
            <w:pPr>
              <w:spacing w:line="245" w:lineRule="auto"/>
              <w:rPr>
                <w:rFonts w:ascii="Arial"/>
                <w:sz w:val="21"/>
              </w:rPr>
            </w:pPr>
          </w:p>
          <w:p w14:paraId="248896AD">
            <w:pPr>
              <w:spacing w:line="245" w:lineRule="auto"/>
              <w:rPr>
                <w:rFonts w:ascii="Arial"/>
                <w:sz w:val="21"/>
              </w:rPr>
            </w:pPr>
          </w:p>
          <w:p w14:paraId="012E1DCC">
            <w:pPr>
              <w:spacing w:line="245" w:lineRule="auto"/>
              <w:rPr>
                <w:rFonts w:ascii="Arial"/>
                <w:sz w:val="21"/>
              </w:rPr>
            </w:pPr>
          </w:p>
          <w:p w14:paraId="28668063">
            <w:pPr>
              <w:spacing w:line="245" w:lineRule="auto"/>
              <w:rPr>
                <w:rFonts w:ascii="Arial"/>
                <w:sz w:val="21"/>
              </w:rPr>
            </w:pPr>
          </w:p>
          <w:p w14:paraId="1217F665">
            <w:pPr>
              <w:spacing w:line="245" w:lineRule="auto"/>
              <w:rPr>
                <w:rFonts w:ascii="Arial"/>
                <w:sz w:val="21"/>
              </w:rPr>
            </w:pPr>
          </w:p>
          <w:p w14:paraId="093DB13A">
            <w:pPr>
              <w:pStyle w:val="6"/>
              <w:spacing w:before="68" w:line="239" w:lineRule="auto"/>
              <w:ind w:left="154"/>
            </w:pPr>
            <w:r>
              <w:rPr>
                <w:spacing w:val="-4"/>
              </w:rPr>
              <w:t>10.10</w:t>
            </w:r>
          </w:p>
        </w:tc>
        <w:tc>
          <w:tcPr>
            <w:tcW w:w="2277" w:type="dxa"/>
            <w:vAlign w:val="top"/>
          </w:tcPr>
          <w:p w14:paraId="38FD9AEB">
            <w:pPr>
              <w:spacing w:line="266" w:lineRule="auto"/>
              <w:rPr>
                <w:rFonts w:ascii="Arial"/>
                <w:sz w:val="21"/>
              </w:rPr>
            </w:pPr>
          </w:p>
          <w:p w14:paraId="2DF40D9B">
            <w:pPr>
              <w:spacing w:line="266" w:lineRule="auto"/>
              <w:rPr>
                <w:rFonts w:ascii="Arial"/>
                <w:sz w:val="21"/>
              </w:rPr>
            </w:pPr>
          </w:p>
          <w:p w14:paraId="452B130D">
            <w:pPr>
              <w:spacing w:line="266" w:lineRule="auto"/>
              <w:rPr>
                <w:rFonts w:ascii="Arial"/>
                <w:sz w:val="21"/>
              </w:rPr>
            </w:pPr>
          </w:p>
          <w:p w14:paraId="111D23DD">
            <w:pPr>
              <w:spacing w:line="266" w:lineRule="auto"/>
              <w:rPr>
                <w:rFonts w:ascii="Arial"/>
                <w:sz w:val="21"/>
              </w:rPr>
            </w:pPr>
          </w:p>
          <w:p w14:paraId="52D984BC">
            <w:pPr>
              <w:spacing w:line="267" w:lineRule="auto"/>
              <w:rPr>
                <w:rFonts w:ascii="Arial"/>
                <w:sz w:val="21"/>
              </w:rPr>
            </w:pPr>
          </w:p>
          <w:p w14:paraId="5AD09DFB">
            <w:pPr>
              <w:pStyle w:val="6"/>
              <w:spacing w:before="68"/>
              <w:ind w:left="110" w:right="237"/>
            </w:pPr>
            <w:r>
              <w:rPr>
                <w:spacing w:val="3"/>
              </w:rPr>
              <w:t>招标人补充的其他内</w:t>
            </w:r>
            <w:r>
              <w:t xml:space="preserve"> 容</w:t>
            </w:r>
          </w:p>
        </w:tc>
        <w:tc>
          <w:tcPr>
            <w:tcW w:w="5299" w:type="dxa"/>
            <w:vAlign w:val="top"/>
          </w:tcPr>
          <w:p w14:paraId="6D3BA578">
            <w:pPr>
              <w:pStyle w:val="6"/>
              <w:spacing w:before="37" w:line="220" w:lineRule="auto"/>
              <w:ind w:left="114"/>
            </w:pPr>
            <w:r>
              <w:rPr>
                <w:color w:val="2020F0"/>
                <w:spacing w:val="-1"/>
              </w:rPr>
              <w:t>关于“评定分离”的规定：</w:t>
            </w:r>
          </w:p>
          <w:p w14:paraId="57E46304">
            <w:pPr>
              <w:pStyle w:val="6"/>
              <w:spacing w:before="37" w:line="219" w:lineRule="auto"/>
              <w:ind w:left="124"/>
            </w:pPr>
            <w:r>
              <w:rPr>
                <w:color w:val="2030F0"/>
              </w:rPr>
              <w:t>1.评标完成后，评标委员会应向招标人提交书面评标报</w:t>
            </w:r>
          </w:p>
          <w:p w14:paraId="753C03B6">
            <w:pPr>
              <w:pStyle w:val="6"/>
              <w:spacing w:before="20" w:line="218" w:lineRule="auto"/>
              <w:ind w:left="223"/>
            </w:pPr>
            <w:r>
              <w:rPr>
                <w:color w:val="2020F0"/>
              </w:rPr>
              <w:t>告，并向招标人推荐5家排名不分先后的定标候选人，</w:t>
            </w:r>
          </w:p>
          <w:p w14:paraId="71EC0A54">
            <w:pPr>
              <w:pStyle w:val="6"/>
              <w:spacing w:before="13" w:line="242" w:lineRule="auto"/>
              <w:ind w:left="114" w:right="117" w:firstLine="10"/>
            </w:pPr>
            <w:r>
              <w:rPr>
                <w:color w:val="2030F0"/>
              </w:rPr>
              <w:t>并对推荐的各定标候选人投标文件中的优点和存在的缺</w:t>
            </w:r>
            <w:r>
              <w:rPr>
                <w:color w:val="2030F0"/>
                <w:spacing w:val="6"/>
              </w:rPr>
              <w:t xml:space="preserve"> </w:t>
            </w:r>
            <w:r>
              <w:rPr>
                <w:color w:val="2030F0"/>
                <w:spacing w:val="5"/>
              </w:rPr>
              <w:t>陷、签订合同前应当注意的事项等提出意见；</w:t>
            </w:r>
          </w:p>
          <w:p w14:paraId="29ADB600">
            <w:pPr>
              <w:pStyle w:val="6"/>
              <w:spacing w:line="219" w:lineRule="auto"/>
              <w:ind w:left="124"/>
            </w:pPr>
            <w:r>
              <w:rPr>
                <w:color w:val="2020F0"/>
              </w:rPr>
              <w:t>2.若符合招标文件要求的定标候选人少于招标文件规定</w:t>
            </w:r>
          </w:p>
          <w:p w14:paraId="6ADDD15E">
            <w:pPr>
              <w:pStyle w:val="6"/>
              <w:spacing w:before="39" w:line="219" w:lineRule="auto"/>
              <w:ind w:left="173"/>
            </w:pPr>
            <w:r>
              <w:rPr>
                <w:color w:val="2020E0"/>
              </w:rPr>
              <w:t>的数量，但达到3家及以上时，评标委员会按实际数量</w:t>
            </w:r>
          </w:p>
          <w:p w14:paraId="4E4CCAF9">
            <w:pPr>
              <w:pStyle w:val="6"/>
              <w:spacing w:before="11" w:line="219" w:lineRule="auto"/>
              <w:ind w:left="173"/>
            </w:pPr>
            <w:r>
              <w:rPr>
                <w:color w:val="3030E0"/>
                <w:spacing w:val="-1"/>
              </w:rPr>
              <w:t>推荐；若符合招标文件要求的定标候选人数量不足3家</w:t>
            </w:r>
          </w:p>
          <w:p w14:paraId="002416F1">
            <w:pPr>
              <w:pStyle w:val="6"/>
              <w:spacing w:before="11" w:line="231" w:lineRule="auto"/>
              <w:ind w:left="103" w:right="107" w:firstLine="20"/>
              <w:jc w:val="both"/>
            </w:pPr>
            <w:r>
              <w:rPr>
                <w:color w:val="2020F0"/>
              </w:rPr>
              <w:t>时，由评标委员会作出是否具备竞争性判定，如具备竞</w:t>
            </w:r>
            <w:r>
              <w:rPr>
                <w:color w:val="2020F0"/>
                <w:spacing w:val="9"/>
              </w:rPr>
              <w:t xml:space="preserve"> </w:t>
            </w:r>
            <w:r>
              <w:rPr>
                <w:color w:val="2020F0"/>
                <w:spacing w:val="1"/>
              </w:rPr>
              <w:t>争性，可继续推荐定标候选人，否则，招标人应重新招</w:t>
            </w:r>
            <w:r>
              <w:rPr>
                <w:color w:val="2020F0"/>
                <w:spacing w:val="12"/>
              </w:rPr>
              <w:t xml:space="preserve"> </w:t>
            </w:r>
            <w:r>
              <w:rPr>
                <w:color w:val="2020F0"/>
                <w:spacing w:val="-5"/>
              </w:rPr>
              <w:t>标</w:t>
            </w:r>
            <w:r>
              <w:rPr>
                <w:color w:val="2020F0"/>
                <w:spacing w:val="58"/>
              </w:rPr>
              <w:t xml:space="preserve"> </w:t>
            </w:r>
            <w:r>
              <w:rPr>
                <w:color w:val="2020F0"/>
                <w:spacing w:val="-5"/>
              </w:rPr>
              <w:t>；</w:t>
            </w:r>
          </w:p>
          <w:p w14:paraId="6F18AC7C">
            <w:pPr>
              <w:pStyle w:val="6"/>
              <w:spacing w:before="31" w:line="183" w:lineRule="auto"/>
              <w:ind w:left="173"/>
            </w:pPr>
            <w:r>
              <w:rPr>
                <w:color w:val="3030E0"/>
              </w:rPr>
              <w:t>3.招标人在收到评标报告之日起3日内在湖北省电子招</w:t>
            </w:r>
          </w:p>
        </w:tc>
      </w:tr>
    </w:tbl>
    <w:p w14:paraId="06AE37AD">
      <w:pPr>
        <w:rPr>
          <w:rFonts w:ascii="Arial"/>
          <w:sz w:val="21"/>
        </w:rPr>
      </w:pPr>
    </w:p>
    <w:p w14:paraId="7626DACA">
      <w:pPr>
        <w:rPr>
          <w:rFonts w:ascii="Arial" w:hAnsi="Arial" w:eastAsia="Arial" w:cs="Arial"/>
          <w:sz w:val="21"/>
          <w:szCs w:val="21"/>
        </w:rPr>
        <w:sectPr>
          <w:footerReference r:id="rId16" w:type="default"/>
          <w:pgSz w:w="11910" w:h="16840"/>
          <w:pgMar w:top="1431" w:right="1786" w:bottom="1001" w:left="1435" w:header="0" w:footer="857" w:gutter="0"/>
          <w:cols w:space="720" w:num="1"/>
        </w:sectPr>
      </w:pPr>
    </w:p>
    <w:p w14:paraId="3FC906DF">
      <w:pPr>
        <w:spacing w:before="2"/>
      </w:pPr>
    </w:p>
    <w:tbl>
      <w:tblPr>
        <w:tblStyle w:val="5"/>
        <w:tblW w:w="843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64"/>
        <w:gridCol w:w="2277"/>
        <w:gridCol w:w="5298"/>
      </w:tblGrid>
      <w:tr w14:paraId="60C8E4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360" w:hRule="atLeast"/>
        </w:trPr>
        <w:tc>
          <w:tcPr>
            <w:tcW w:w="864" w:type="dxa"/>
            <w:vAlign w:val="top"/>
          </w:tcPr>
          <w:p w14:paraId="1BCF5EF8">
            <w:pPr>
              <w:rPr>
                <w:rFonts w:ascii="Arial"/>
                <w:sz w:val="21"/>
              </w:rPr>
            </w:pPr>
          </w:p>
        </w:tc>
        <w:tc>
          <w:tcPr>
            <w:tcW w:w="2277" w:type="dxa"/>
            <w:vAlign w:val="top"/>
          </w:tcPr>
          <w:p w14:paraId="39882451">
            <w:pPr>
              <w:rPr>
                <w:rFonts w:ascii="Arial"/>
                <w:sz w:val="21"/>
              </w:rPr>
            </w:pPr>
          </w:p>
        </w:tc>
        <w:tc>
          <w:tcPr>
            <w:tcW w:w="5298" w:type="dxa"/>
            <w:vAlign w:val="top"/>
          </w:tcPr>
          <w:p w14:paraId="765ECF36">
            <w:pPr>
              <w:pStyle w:val="6"/>
              <w:spacing w:before="55" w:line="237" w:lineRule="auto"/>
              <w:ind w:left="104" w:right="109" w:firstLine="69"/>
              <w:jc w:val="both"/>
            </w:pPr>
            <w:r>
              <w:rPr>
                <w:color w:val="2020F0"/>
                <w:spacing w:val="-1"/>
              </w:rPr>
              <w:t>投标交易平台公示评标结果，公示期不少于3日。投标</w:t>
            </w:r>
            <w:r>
              <w:rPr>
                <w:color w:val="2020F0"/>
                <w:spacing w:val="12"/>
              </w:rPr>
              <w:t xml:space="preserve"> </w:t>
            </w:r>
            <w:r>
              <w:rPr>
                <w:color w:val="2020F0"/>
              </w:rPr>
              <w:t>人或者其他利害关系人对评标结果(定标候选人)有异议</w:t>
            </w:r>
            <w:r>
              <w:rPr>
                <w:color w:val="2020F0"/>
                <w:spacing w:val="9"/>
              </w:rPr>
              <w:t xml:space="preserve"> </w:t>
            </w:r>
            <w:r>
              <w:rPr>
                <w:color w:val="2020F0"/>
                <w:spacing w:val="1"/>
              </w:rPr>
              <w:t>的，应当在评标结果公示期间提出。招标人应当自收到</w:t>
            </w:r>
            <w:r>
              <w:rPr>
                <w:color w:val="2020F0"/>
                <w:spacing w:val="9"/>
              </w:rPr>
              <w:t xml:space="preserve"> </w:t>
            </w:r>
            <w:r>
              <w:rPr>
                <w:color w:val="2020F0"/>
                <w:spacing w:val="7"/>
              </w:rPr>
              <w:t>异议之日起3日内作出答复；</w:t>
            </w:r>
          </w:p>
          <w:p w14:paraId="0DFDEB76">
            <w:pPr>
              <w:pStyle w:val="6"/>
              <w:spacing w:line="219" w:lineRule="auto"/>
              <w:ind w:left="124"/>
            </w:pPr>
            <w:r>
              <w:rPr>
                <w:color w:val="2020F0"/>
                <w:spacing w:val="-1"/>
              </w:rPr>
              <w:t>4.在评标结果公示期间，定标候选人放弃中标或被查实</w:t>
            </w:r>
          </w:p>
          <w:p w14:paraId="4C581792">
            <w:pPr>
              <w:pStyle w:val="6"/>
              <w:spacing w:before="39" w:line="231" w:lineRule="auto"/>
              <w:ind w:left="173" w:right="100" w:hanging="49"/>
            </w:pPr>
            <w:r>
              <w:rPr>
                <w:color w:val="2030F0"/>
                <w:spacing w:val="1"/>
              </w:rPr>
              <w:t>存在违法违规行为被取消定标候选人资格的，若剩</w:t>
            </w:r>
            <w:r>
              <w:rPr>
                <w:color w:val="2030F0"/>
              </w:rPr>
              <w:t>余中 标候选人大于或等于3家时，招标人应继续定标；若小</w:t>
            </w:r>
          </w:p>
          <w:p w14:paraId="1A14D001">
            <w:pPr>
              <w:pStyle w:val="6"/>
              <w:spacing w:before="26" w:line="220" w:lineRule="auto"/>
              <w:ind w:left="124"/>
            </w:pPr>
            <w:r>
              <w:rPr>
                <w:color w:val="2020F0"/>
              </w:rPr>
              <w:t>于3家时，招标人可以继续定标，也可以重新招</w:t>
            </w:r>
            <w:r>
              <w:rPr>
                <w:color w:val="2020F0"/>
                <w:spacing w:val="-1"/>
              </w:rPr>
              <w:t>标。</w:t>
            </w:r>
          </w:p>
          <w:p w14:paraId="4D9CE0EE">
            <w:pPr>
              <w:pStyle w:val="6"/>
              <w:spacing w:before="9" w:line="219" w:lineRule="auto"/>
              <w:ind w:left="173"/>
            </w:pPr>
            <w:r>
              <w:rPr>
                <w:color w:val="2030F0"/>
                <w:spacing w:val="-1"/>
              </w:rPr>
              <w:t>5.公示期结束后无异议的，招标人在5个工作日内召开</w:t>
            </w:r>
          </w:p>
          <w:p w14:paraId="1318321D">
            <w:pPr>
              <w:pStyle w:val="6"/>
              <w:spacing w:before="9" w:line="219" w:lineRule="auto"/>
              <w:ind w:left="114"/>
            </w:pPr>
            <w:r>
              <w:rPr>
                <w:color w:val="2020F0"/>
                <w:spacing w:val="-1"/>
              </w:rPr>
              <w:t>定标会确定中标人。</w:t>
            </w:r>
          </w:p>
          <w:p w14:paraId="314B2711">
            <w:pPr>
              <w:pStyle w:val="6"/>
              <w:spacing w:before="32" w:line="220" w:lineRule="auto"/>
              <w:ind w:left="114"/>
            </w:pPr>
            <w:r>
              <w:rPr>
                <w:color w:val="3030F0"/>
                <w:spacing w:val="1"/>
              </w:rPr>
              <w:t>二、定标准备</w:t>
            </w:r>
          </w:p>
          <w:p w14:paraId="028406DE">
            <w:pPr>
              <w:pStyle w:val="6"/>
              <w:spacing w:before="20" w:line="241" w:lineRule="auto"/>
              <w:ind w:left="124" w:right="115"/>
            </w:pPr>
            <w:r>
              <w:rPr>
                <w:color w:val="2030F0"/>
              </w:rPr>
              <w:t>1.清标及有关情况核查。招标人在定标前对评标委员会</w:t>
            </w:r>
            <w:r>
              <w:rPr>
                <w:color w:val="2030F0"/>
                <w:spacing w:val="7"/>
              </w:rPr>
              <w:t xml:space="preserve"> </w:t>
            </w:r>
            <w:r>
              <w:rPr>
                <w:color w:val="2030F0"/>
                <w:spacing w:val="-1"/>
              </w:rPr>
              <w:t>评标情况(客观评审部分)进行审查核实，对定标候选人</w:t>
            </w:r>
          </w:p>
          <w:p w14:paraId="2367BCAC">
            <w:pPr>
              <w:pStyle w:val="6"/>
              <w:spacing w:before="1" w:line="217" w:lineRule="auto"/>
              <w:ind w:left="124"/>
            </w:pPr>
            <w:r>
              <w:rPr>
                <w:color w:val="3030F0"/>
              </w:rPr>
              <w:t>实力、信誉、过往项目履约评价、履约能力，定标候选</w:t>
            </w:r>
          </w:p>
          <w:p w14:paraId="6D76513C">
            <w:pPr>
              <w:pStyle w:val="6"/>
              <w:spacing w:before="13" w:line="246" w:lineRule="auto"/>
              <w:ind w:left="124" w:right="109"/>
            </w:pPr>
            <w:r>
              <w:rPr>
                <w:color w:val="2020F0"/>
                <w:spacing w:val="-1"/>
              </w:rPr>
              <w:t>人和拟派项目负责人业绩、奖项真实性、准确性、一致</w:t>
            </w:r>
            <w:r>
              <w:rPr>
                <w:color w:val="2020F0"/>
                <w:spacing w:val="13"/>
              </w:rPr>
              <w:t xml:space="preserve"> </w:t>
            </w:r>
            <w:r>
              <w:rPr>
                <w:color w:val="2020F0"/>
              </w:rPr>
              <w:t>性，以及拟派项目负责人是否有在建项目等直接关系到</w:t>
            </w:r>
          </w:p>
          <w:p w14:paraId="5AAF02AA">
            <w:pPr>
              <w:pStyle w:val="6"/>
              <w:spacing w:before="1"/>
              <w:ind w:left="104" w:right="114" w:firstLine="20"/>
              <w:jc w:val="both"/>
            </w:pPr>
            <w:r>
              <w:rPr>
                <w:color w:val="2030F0"/>
                <w:spacing w:val="-1"/>
              </w:rPr>
              <w:t>标后能否良好履约的因素进行审查核实。定标委员会可</w:t>
            </w:r>
            <w:r>
              <w:rPr>
                <w:color w:val="2030F0"/>
                <w:spacing w:val="13"/>
              </w:rPr>
              <w:t xml:space="preserve"> </w:t>
            </w:r>
            <w:r>
              <w:rPr>
                <w:color w:val="2030F0"/>
                <w:spacing w:val="1"/>
              </w:rPr>
              <w:t>能会要求候选人拟派的工程总承包项目经理在定标会议</w:t>
            </w:r>
            <w:r>
              <w:rPr>
                <w:color w:val="2030F0"/>
                <w:spacing w:val="4"/>
              </w:rPr>
              <w:t xml:space="preserve"> </w:t>
            </w:r>
            <w:r>
              <w:rPr>
                <w:color w:val="2030F0"/>
                <w:spacing w:val="-1"/>
              </w:rPr>
              <w:t>现场进行答辩，具体要求详见定标要素。</w:t>
            </w:r>
          </w:p>
          <w:p w14:paraId="223A7E77">
            <w:pPr>
              <w:pStyle w:val="6"/>
              <w:spacing w:line="231" w:lineRule="auto"/>
              <w:ind w:left="114" w:firstLine="9"/>
            </w:pPr>
            <w:r>
              <w:rPr>
                <w:color w:val="2030F0"/>
                <w:spacing w:val="-1"/>
              </w:rPr>
              <w:t>2.建立定标成员库和组建定标委员会。罗田县人民政府</w:t>
            </w:r>
            <w:r>
              <w:rPr>
                <w:color w:val="2030F0"/>
                <w:spacing w:val="4"/>
              </w:rPr>
              <w:t xml:space="preserve">  </w:t>
            </w:r>
            <w:r>
              <w:rPr>
                <w:color w:val="2030F0"/>
                <w:spacing w:val="-7"/>
              </w:rPr>
              <w:t>关于印发《罗田县招标投标“评定分离”改革实施办法(试</w:t>
            </w:r>
          </w:p>
          <w:p w14:paraId="257D718D">
            <w:pPr>
              <w:pStyle w:val="6"/>
              <w:spacing w:before="25" w:line="219" w:lineRule="auto"/>
              <w:ind w:left="124"/>
            </w:pPr>
            <w:r>
              <w:rPr>
                <w:color w:val="2020F0"/>
              </w:rPr>
              <w:t>行)》的通知建立定标成员库、确定定标成</w:t>
            </w:r>
            <w:r>
              <w:rPr>
                <w:color w:val="2020F0"/>
                <w:spacing w:val="-1"/>
              </w:rPr>
              <w:t>员。</w:t>
            </w:r>
          </w:p>
          <w:p w14:paraId="61B986F6">
            <w:pPr>
              <w:pStyle w:val="6"/>
              <w:spacing w:before="42" w:line="220" w:lineRule="auto"/>
              <w:ind w:right="19"/>
              <w:jc w:val="right"/>
            </w:pPr>
            <w:r>
              <w:rPr>
                <w:color w:val="2020F0"/>
              </w:rPr>
              <w:t>3.成立定标监督小组。组建不少于3人的定标监督小</w:t>
            </w:r>
            <w:r>
              <w:rPr>
                <w:color w:val="2020F0"/>
                <w:spacing w:val="-1"/>
              </w:rPr>
              <w:t>组，</w:t>
            </w:r>
          </w:p>
          <w:p w14:paraId="1A11C450">
            <w:pPr>
              <w:pStyle w:val="6"/>
              <w:spacing w:before="18" w:line="219" w:lineRule="auto"/>
              <w:ind w:left="124"/>
            </w:pPr>
            <w:r>
              <w:rPr>
                <w:color w:val="2030F0"/>
                <w:spacing w:val="-1"/>
              </w:rPr>
              <w:t>对定标委员会的组建、定标过程及招标人在定标前对投</w:t>
            </w:r>
          </w:p>
          <w:p w14:paraId="34E3571D">
            <w:pPr>
              <w:pStyle w:val="6"/>
              <w:spacing w:line="247" w:lineRule="auto"/>
              <w:ind w:left="124" w:right="114"/>
            </w:pPr>
            <w:r>
              <w:rPr>
                <w:color w:val="2030F0"/>
                <w:spacing w:val="-1"/>
              </w:rPr>
              <w:t>标人的考察等进行全程监督，发现异常情况及时提醒并</w:t>
            </w:r>
            <w:r>
              <w:rPr>
                <w:color w:val="2030F0"/>
                <w:spacing w:val="13"/>
              </w:rPr>
              <w:t xml:space="preserve"> </w:t>
            </w:r>
            <w:r>
              <w:rPr>
                <w:color w:val="2030F0"/>
              </w:rPr>
              <w:t>纠正，但不得就评标、定标涉及的实质内容发表意见或</w:t>
            </w:r>
          </w:p>
          <w:p w14:paraId="4BE079EC">
            <w:pPr>
              <w:pStyle w:val="6"/>
              <w:spacing w:line="220" w:lineRule="auto"/>
              <w:ind w:left="114"/>
            </w:pPr>
            <w:r>
              <w:rPr>
                <w:color w:val="2020F0"/>
                <w:spacing w:val="-1"/>
              </w:rPr>
              <w:t>者参与评标、定标讨论。</w:t>
            </w:r>
          </w:p>
          <w:p w14:paraId="4F256B5D">
            <w:pPr>
              <w:pStyle w:val="6"/>
              <w:spacing w:before="8" w:line="219" w:lineRule="auto"/>
              <w:ind w:left="114"/>
            </w:pPr>
            <w:r>
              <w:rPr>
                <w:color w:val="3030F0"/>
                <w:spacing w:val="1"/>
              </w:rPr>
              <w:t>三、定标会程序</w:t>
            </w:r>
          </w:p>
          <w:p w14:paraId="39BB437E">
            <w:pPr>
              <w:pStyle w:val="6"/>
              <w:spacing w:before="31" w:line="219" w:lineRule="auto"/>
              <w:ind w:left="104"/>
            </w:pPr>
            <w:r>
              <w:rPr>
                <w:color w:val="2020F0"/>
                <w:spacing w:val="8"/>
              </w:rPr>
              <w:t>1.宣读定标会议会场纪律；</w:t>
            </w:r>
          </w:p>
          <w:p w14:paraId="6561B1DE">
            <w:pPr>
              <w:pStyle w:val="6"/>
              <w:spacing w:before="23" w:line="220" w:lineRule="auto"/>
              <w:ind w:left="104"/>
            </w:pPr>
            <w:r>
              <w:rPr>
                <w:color w:val="2020F0"/>
                <w:spacing w:val="5"/>
              </w:rPr>
              <w:t>2.定标成员和监督小组成员签订保密协议；</w:t>
            </w:r>
          </w:p>
          <w:p w14:paraId="7FA3D771">
            <w:pPr>
              <w:pStyle w:val="6"/>
              <w:spacing w:before="38" w:line="219" w:lineRule="auto"/>
              <w:ind w:left="114"/>
            </w:pPr>
            <w:r>
              <w:rPr>
                <w:color w:val="2020F0"/>
                <w:spacing w:val="4"/>
              </w:rPr>
              <w:t>3.代理机构工作人员介绍定标项目的基本情况；</w:t>
            </w:r>
          </w:p>
          <w:p w14:paraId="69FC575B">
            <w:pPr>
              <w:pStyle w:val="6"/>
              <w:spacing w:before="22" w:line="219" w:lineRule="auto"/>
              <w:ind w:left="114"/>
            </w:pPr>
            <w:r>
              <w:rPr>
                <w:color w:val="2020F0"/>
                <w:spacing w:val="6"/>
              </w:rPr>
              <w:t>4.定标成员按照定标标准进行定标；</w:t>
            </w:r>
          </w:p>
          <w:p w14:paraId="2A1CE494">
            <w:pPr>
              <w:pStyle w:val="6"/>
              <w:spacing w:before="1" w:line="219" w:lineRule="auto"/>
              <w:ind w:left="173"/>
            </w:pPr>
            <w:r>
              <w:rPr>
                <w:color w:val="2030F0"/>
              </w:rPr>
              <w:t>5.定标候选人项目经理或技术负责人进行现场答疑(如</w:t>
            </w:r>
          </w:p>
          <w:p w14:paraId="2EB12BE5">
            <w:pPr>
              <w:pStyle w:val="6"/>
              <w:spacing w:before="11" w:line="220" w:lineRule="auto"/>
              <w:ind w:left="93"/>
            </w:pPr>
            <w:r>
              <w:rPr>
                <w:color w:val="2020F0"/>
                <w:spacing w:val="14"/>
              </w:rPr>
              <w:t>有);</w:t>
            </w:r>
          </w:p>
          <w:p w14:paraId="09872771">
            <w:pPr>
              <w:pStyle w:val="6"/>
              <w:spacing w:before="48" w:line="218" w:lineRule="auto"/>
              <w:ind w:left="114"/>
            </w:pPr>
            <w:r>
              <w:rPr>
                <w:color w:val="2020F0"/>
                <w:spacing w:val="8"/>
              </w:rPr>
              <w:t>6.定标组长完成定标报告；</w:t>
            </w:r>
          </w:p>
          <w:p w14:paraId="06D99EAA">
            <w:pPr>
              <w:pStyle w:val="6"/>
              <w:spacing w:before="32" w:line="219" w:lineRule="auto"/>
              <w:ind w:left="114"/>
            </w:pPr>
            <w:r>
              <w:rPr>
                <w:color w:val="2020F0"/>
                <w:spacing w:val="-1"/>
              </w:rPr>
              <w:t>7.定标组长宣布定标结果。</w:t>
            </w:r>
          </w:p>
          <w:p w14:paraId="7D96F515">
            <w:pPr>
              <w:pStyle w:val="6"/>
              <w:spacing w:before="3" w:line="220" w:lineRule="auto"/>
              <w:ind w:left="114"/>
            </w:pPr>
            <w:r>
              <w:rPr>
                <w:color w:val="3020F0"/>
                <w:spacing w:val="1"/>
              </w:rPr>
              <w:t>四、定标方法</w:t>
            </w:r>
          </w:p>
          <w:p w14:paraId="6795558F">
            <w:pPr>
              <w:pStyle w:val="6"/>
              <w:spacing w:before="27" w:line="218" w:lineRule="auto"/>
              <w:ind w:left="13"/>
            </w:pPr>
            <w:r>
              <w:rPr>
                <w:color w:val="2020F0"/>
              </w:rPr>
              <w:t>□价格竞争法、</w:t>
            </w:r>
            <w:r>
              <w:rPr>
                <w:rFonts w:ascii="MS Gothic" w:hAnsi="MS Gothic" w:eastAsia="MS Gothic" w:cs="MS Gothic"/>
                <w:color w:val="2020F0"/>
              </w:rPr>
              <w:t>☑</w:t>
            </w:r>
            <w:r>
              <w:rPr>
                <w:color w:val="2020F0"/>
              </w:rPr>
              <w:t>投票表决法(票决数量法)、□集体议事</w:t>
            </w:r>
          </w:p>
          <w:p w14:paraId="1E826451">
            <w:pPr>
              <w:pStyle w:val="6"/>
              <w:spacing w:before="15" w:line="221" w:lineRule="auto"/>
              <w:ind w:left="93"/>
            </w:pPr>
            <w:r>
              <w:rPr>
                <w:color w:val="2030F0"/>
                <w:spacing w:val="-2"/>
              </w:rPr>
              <w:t>法。备注</w:t>
            </w:r>
          </w:p>
          <w:p w14:paraId="71CA583A">
            <w:pPr>
              <w:pStyle w:val="6"/>
              <w:spacing w:before="27" w:line="219" w:lineRule="auto"/>
              <w:ind w:right="19"/>
              <w:jc w:val="right"/>
            </w:pPr>
            <w:r>
              <w:rPr>
                <w:color w:val="2030F0"/>
                <w:spacing w:val="4"/>
              </w:rPr>
              <w:t>1.本项目招标文件中中标候选人均修正为定标候选人；</w:t>
            </w:r>
          </w:p>
          <w:p w14:paraId="7462D81E">
            <w:pPr>
              <w:pStyle w:val="6"/>
              <w:spacing w:before="31" w:line="233" w:lineRule="auto"/>
              <w:ind w:left="114" w:right="134" w:firstLine="10"/>
            </w:pPr>
            <w:r>
              <w:rPr>
                <w:color w:val="2020F0"/>
                <w:spacing w:val="-1"/>
              </w:rPr>
              <w:t>2.本项目招标文件中评标办法正文有关表述与前述条款</w:t>
            </w:r>
            <w:r>
              <w:rPr>
                <w:color w:val="2020F0"/>
                <w:spacing w:val="13"/>
              </w:rPr>
              <w:t xml:space="preserve"> </w:t>
            </w:r>
            <w:r>
              <w:rPr>
                <w:color w:val="2020F0"/>
                <w:spacing w:val="-1"/>
              </w:rPr>
              <w:t>不一致的以前述条款为准。</w:t>
            </w:r>
          </w:p>
          <w:p w14:paraId="0A5F9A05">
            <w:pPr>
              <w:pStyle w:val="6"/>
              <w:spacing w:before="21" w:line="219" w:lineRule="auto"/>
              <w:ind w:left="114"/>
            </w:pPr>
            <w:r>
              <w:rPr>
                <w:color w:val="2020F0"/>
                <w:spacing w:val="-1"/>
              </w:rPr>
              <w:t>定标因素主要内容：</w:t>
            </w:r>
          </w:p>
          <w:p w14:paraId="6F8A913F">
            <w:pPr>
              <w:pStyle w:val="6"/>
              <w:spacing w:before="21" w:line="219" w:lineRule="auto"/>
              <w:ind w:left="114"/>
            </w:pPr>
            <w:r>
              <w:rPr>
                <w:color w:val="4030F0"/>
                <w:spacing w:val="-1"/>
              </w:rPr>
              <w:t>一、定标要素</w:t>
            </w:r>
          </w:p>
          <w:p w14:paraId="42E089D4">
            <w:pPr>
              <w:pStyle w:val="6"/>
              <w:spacing w:before="26" w:line="233" w:lineRule="auto"/>
              <w:ind w:left="13" w:right="5" w:firstLine="50"/>
            </w:pPr>
            <w:r>
              <w:rPr>
                <w:color w:val="2030F0"/>
              </w:rPr>
              <w:t>定标委员会在定标时优先进行“择优”,无法“择优”情</w:t>
            </w:r>
            <w:r>
              <w:rPr>
                <w:color w:val="2030F0"/>
                <w:spacing w:val="14"/>
              </w:rPr>
              <w:t xml:space="preserve"> </w:t>
            </w:r>
            <w:r>
              <w:rPr>
                <w:color w:val="2030F0"/>
              </w:rPr>
              <w:t>况下可进行“比劣”。采用“择优”方式定标的可参考以</w:t>
            </w:r>
          </w:p>
          <w:p w14:paraId="3B35C84A">
            <w:pPr>
              <w:pStyle w:val="6"/>
              <w:spacing w:before="4" w:line="219" w:lineRule="auto"/>
              <w:ind w:left="124"/>
            </w:pPr>
            <w:r>
              <w:rPr>
                <w:color w:val="2020F0"/>
                <w:spacing w:val="-1"/>
              </w:rPr>
              <w:t>下定标要素：</w:t>
            </w:r>
          </w:p>
          <w:p w14:paraId="6C1B72D9">
            <w:pPr>
              <w:pStyle w:val="6"/>
              <w:spacing w:before="29" w:line="218" w:lineRule="auto"/>
              <w:ind w:left="63"/>
            </w:pPr>
            <w:r>
              <w:rPr>
                <w:color w:val="2020F0"/>
                <w:spacing w:val="1"/>
              </w:rPr>
              <w:t>1、投标报价：按照招标文件规定的报价竞争方法</w:t>
            </w:r>
            <w:r>
              <w:rPr>
                <w:color w:val="2020F0"/>
              </w:rPr>
              <w:t>，重点</w:t>
            </w:r>
          </w:p>
          <w:p w14:paraId="76B4BF75">
            <w:pPr>
              <w:pStyle w:val="6"/>
              <w:spacing w:before="22" w:line="183" w:lineRule="auto"/>
              <w:ind w:left="104"/>
            </w:pPr>
            <w:r>
              <w:rPr>
                <w:color w:val="2020E0"/>
                <w:spacing w:val="-1"/>
              </w:rPr>
              <w:t>关注报价合理性分析。</w:t>
            </w:r>
          </w:p>
        </w:tc>
      </w:tr>
    </w:tbl>
    <w:p w14:paraId="7739161D">
      <w:pPr>
        <w:rPr>
          <w:rFonts w:ascii="Arial"/>
          <w:sz w:val="21"/>
        </w:rPr>
      </w:pPr>
    </w:p>
    <w:p w14:paraId="7211A622">
      <w:pPr>
        <w:rPr>
          <w:rFonts w:ascii="Arial" w:hAnsi="Arial" w:eastAsia="Arial" w:cs="Arial"/>
          <w:sz w:val="21"/>
          <w:szCs w:val="21"/>
        </w:rPr>
        <w:sectPr>
          <w:footerReference r:id="rId17" w:type="default"/>
          <w:pgSz w:w="11910" w:h="16840"/>
          <w:pgMar w:top="1431" w:right="1786" w:bottom="1001" w:left="1435" w:header="0" w:footer="857" w:gutter="0"/>
          <w:cols w:space="720" w:num="1"/>
        </w:sectPr>
      </w:pPr>
    </w:p>
    <w:p w14:paraId="2A136E3C">
      <w:pPr>
        <w:spacing w:before="2"/>
      </w:pPr>
    </w:p>
    <w:tbl>
      <w:tblPr>
        <w:tblStyle w:val="5"/>
        <w:tblW w:w="843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64"/>
        <w:gridCol w:w="2267"/>
        <w:gridCol w:w="5299"/>
      </w:tblGrid>
      <w:tr w14:paraId="228028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990" w:hRule="atLeast"/>
        </w:trPr>
        <w:tc>
          <w:tcPr>
            <w:tcW w:w="864" w:type="dxa"/>
            <w:vAlign w:val="top"/>
          </w:tcPr>
          <w:p w14:paraId="7462C12A">
            <w:pPr>
              <w:rPr>
                <w:rFonts w:ascii="Arial"/>
                <w:sz w:val="21"/>
              </w:rPr>
            </w:pPr>
          </w:p>
        </w:tc>
        <w:tc>
          <w:tcPr>
            <w:tcW w:w="2267" w:type="dxa"/>
            <w:vAlign w:val="top"/>
          </w:tcPr>
          <w:p w14:paraId="70CEDD76">
            <w:pPr>
              <w:rPr>
                <w:rFonts w:ascii="Arial"/>
                <w:sz w:val="21"/>
              </w:rPr>
            </w:pPr>
          </w:p>
        </w:tc>
        <w:tc>
          <w:tcPr>
            <w:tcW w:w="5299" w:type="dxa"/>
            <w:vAlign w:val="top"/>
          </w:tcPr>
          <w:p w14:paraId="263A630C">
            <w:pPr>
              <w:pStyle w:val="6"/>
              <w:spacing w:before="42" w:line="219" w:lineRule="auto"/>
              <w:ind w:left="114"/>
            </w:pPr>
            <w:r>
              <w:rPr>
                <w:color w:val="3030F0"/>
                <w:spacing w:val="-1"/>
              </w:rPr>
              <w:t>2、企业实力(1-3年):企业综合情况(资质等级、科技</w:t>
            </w:r>
          </w:p>
          <w:p w14:paraId="0FA7A849">
            <w:pPr>
              <w:pStyle w:val="6"/>
              <w:spacing w:before="22" w:line="219" w:lineRule="auto"/>
              <w:ind w:left="124"/>
            </w:pPr>
            <w:r>
              <w:rPr>
                <w:color w:val="2030F0"/>
              </w:rPr>
              <w:t>创新等)、业绩和奖项(业绩、市级以上优质工程奖、安</w:t>
            </w:r>
          </w:p>
          <w:p w14:paraId="779609F7">
            <w:pPr>
              <w:pStyle w:val="6"/>
              <w:spacing w:before="20" w:line="219" w:lineRule="auto"/>
              <w:ind w:left="124"/>
            </w:pPr>
            <w:r>
              <w:rPr>
                <w:color w:val="2020F0"/>
              </w:rPr>
              <w:t>全文明工地)、财务状况(企业营业额、流动比率、资产</w:t>
            </w:r>
          </w:p>
          <w:p w14:paraId="14CB1D9A">
            <w:pPr>
              <w:pStyle w:val="6"/>
              <w:spacing w:before="39" w:line="203" w:lineRule="auto"/>
              <w:ind w:left="63"/>
            </w:pPr>
            <w:r>
              <w:rPr>
                <w:color w:val="3030F0"/>
                <w:spacing w:val="2"/>
              </w:rPr>
              <w:t>负债率、净资产、流动资金、本地纳税、项目资金保障)</w:t>
            </w:r>
          </w:p>
          <w:p w14:paraId="3A2DD668">
            <w:pPr>
              <w:pStyle w:val="6"/>
              <w:spacing w:line="219" w:lineRule="auto"/>
              <w:ind w:left="114"/>
            </w:pPr>
            <w:r>
              <w:rPr>
                <w:color w:val="2030F0"/>
                <w:spacing w:val="-2"/>
              </w:rPr>
              <w:t>等。</w:t>
            </w:r>
          </w:p>
          <w:p w14:paraId="6C822C7E">
            <w:pPr>
              <w:pStyle w:val="6"/>
              <w:spacing w:before="70" w:line="219" w:lineRule="auto"/>
              <w:ind w:left="223"/>
            </w:pPr>
            <w:r>
              <w:rPr>
                <w:color w:val="3030F0"/>
              </w:rPr>
              <w:t>3、企业信誉(1-3年):企业获得的荣誉和表彰表扬(县</w:t>
            </w:r>
          </w:p>
          <w:p w14:paraId="037100D4">
            <w:pPr>
              <w:pStyle w:val="6"/>
              <w:spacing w:before="10" w:line="242" w:lineRule="auto"/>
              <w:ind w:left="123" w:right="56" w:hanging="60"/>
            </w:pPr>
            <w:r>
              <w:rPr>
                <w:color w:val="2020F0"/>
                <w:spacing w:val="1"/>
              </w:rPr>
              <w:t>级以上政府、相关行政主管部门、行业协会颁发)</w:t>
            </w:r>
            <w:r>
              <w:rPr>
                <w:color w:val="2020F0"/>
              </w:rPr>
              <w:t xml:space="preserve">、履约 </w:t>
            </w:r>
            <w:r>
              <w:rPr>
                <w:color w:val="2020F0"/>
                <w:spacing w:val="-1"/>
              </w:rPr>
              <w:t>情况(过往履约记录、建设单位履约评价)等。</w:t>
            </w:r>
          </w:p>
          <w:p w14:paraId="46FE42C7">
            <w:pPr>
              <w:pStyle w:val="6"/>
              <w:spacing w:before="1" w:line="230" w:lineRule="auto"/>
              <w:ind w:left="62" w:hanging="49"/>
            </w:pPr>
            <w:r>
              <w:rPr>
                <w:color w:val="2020F0"/>
                <w:spacing w:val="1"/>
              </w:rPr>
              <w:t>4、项目机构：项目负责人履历(项目负责人业绩、荣</w:t>
            </w:r>
            <w:r>
              <w:rPr>
                <w:color w:val="2020F0"/>
              </w:rPr>
              <w:t xml:space="preserve">誉、 </w:t>
            </w:r>
            <w:r>
              <w:rPr>
                <w:color w:val="2020F0"/>
                <w:spacing w:val="-3"/>
              </w:rPr>
              <w:t>从业年限、职称以及在企业任职情况)、项目机构成员配</w:t>
            </w:r>
          </w:p>
          <w:p w14:paraId="38BCFF6C">
            <w:pPr>
              <w:pStyle w:val="6"/>
              <w:spacing w:before="37" w:line="219" w:lineRule="auto"/>
              <w:ind w:left="63"/>
            </w:pPr>
            <w:r>
              <w:rPr>
                <w:color w:val="2020F0"/>
                <w:spacing w:val="-1"/>
              </w:rPr>
              <w:t>置(专业配置齐全程度及合理性、技术负责人职称、从业</w:t>
            </w:r>
          </w:p>
          <w:p w14:paraId="67D6D4F7">
            <w:pPr>
              <w:pStyle w:val="6"/>
              <w:spacing w:line="231" w:lineRule="auto"/>
              <w:ind w:left="113" w:right="65" w:hanging="50"/>
            </w:pPr>
            <w:r>
              <w:rPr>
                <w:color w:val="2030F0"/>
              </w:rPr>
              <w:t>年限、项目管理人员的证书、职称)、质量安全管理措施</w:t>
            </w:r>
            <w:r>
              <w:rPr>
                <w:color w:val="2030F0"/>
                <w:spacing w:val="13"/>
              </w:rPr>
              <w:t xml:space="preserve"> </w:t>
            </w:r>
            <w:r>
              <w:rPr>
                <w:color w:val="2030F0"/>
                <w:spacing w:val="-2"/>
              </w:rPr>
              <w:t>等。</w:t>
            </w:r>
          </w:p>
          <w:p w14:paraId="66FEFF07">
            <w:pPr>
              <w:pStyle w:val="6"/>
              <w:spacing w:before="34" w:line="219" w:lineRule="auto"/>
              <w:ind w:left="173"/>
            </w:pPr>
            <w:r>
              <w:rPr>
                <w:color w:val="2040F0"/>
              </w:rPr>
              <w:t>(二)采用“比劣”方式定标的可以参考以</w:t>
            </w:r>
            <w:r>
              <w:rPr>
                <w:color w:val="2040F0"/>
                <w:spacing w:val="-1"/>
              </w:rPr>
              <w:t>下定标要素：</w:t>
            </w:r>
          </w:p>
          <w:p w14:paraId="60D98A63">
            <w:pPr>
              <w:pStyle w:val="6"/>
              <w:spacing w:before="2" w:line="238" w:lineRule="auto"/>
              <w:ind w:left="124" w:right="227" w:firstLine="99"/>
            </w:pPr>
            <w:r>
              <w:rPr>
                <w:color w:val="2020F0"/>
              </w:rPr>
              <w:t>1.质量安全事故(1-3年):企业发生过一般及以上工程</w:t>
            </w:r>
            <w:r>
              <w:rPr>
                <w:color w:val="2020F0"/>
                <w:spacing w:val="6"/>
              </w:rPr>
              <w:t xml:space="preserve"> </w:t>
            </w:r>
            <w:r>
              <w:rPr>
                <w:color w:val="2020F0"/>
                <w:spacing w:val="-1"/>
              </w:rPr>
              <w:t>质量、安全事故。</w:t>
            </w:r>
          </w:p>
          <w:p w14:paraId="25C96D1C">
            <w:pPr>
              <w:pStyle w:val="6"/>
              <w:spacing w:before="19" w:line="219" w:lineRule="auto"/>
              <w:ind w:left="223"/>
            </w:pPr>
            <w:r>
              <w:rPr>
                <w:color w:val="2030F0"/>
                <w:spacing w:val="-1"/>
              </w:rPr>
              <w:t>2.不良行为记录(1-3年):企业或其法定代表人、企业</w:t>
            </w:r>
          </w:p>
          <w:p w14:paraId="17BFC7A2">
            <w:pPr>
              <w:pStyle w:val="6"/>
              <w:spacing w:before="39" w:line="219" w:lineRule="auto"/>
              <w:ind w:left="124"/>
            </w:pPr>
            <w:r>
              <w:rPr>
                <w:color w:val="2020F0"/>
              </w:rPr>
              <w:t>主要负责人、拟派的项目负责人受到县级及以上行业主</w:t>
            </w:r>
          </w:p>
          <w:p w14:paraId="65D6D4A4">
            <w:pPr>
              <w:pStyle w:val="6"/>
              <w:spacing w:before="12" w:line="228" w:lineRule="auto"/>
              <w:ind w:left="124" w:right="113"/>
            </w:pPr>
            <w:r>
              <w:rPr>
                <w:color w:val="2020F0"/>
              </w:rPr>
              <w:t>管部门、政府采购管理部门或公共资源交易监督管理部</w:t>
            </w:r>
            <w:r>
              <w:rPr>
                <w:color w:val="2020F0"/>
                <w:spacing w:val="10"/>
              </w:rPr>
              <w:t xml:space="preserve"> </w:t>
            </w:r>
            <w:r>
              <w:rPr>
                <w:color w:val="2020F0"/>
              </w:rPr>
              <w:t>门通报批评、失信记录、行政处罚；企业受到建设单位</w:t>
            </w:r>
          </w:p>
          <w:p w14:paraId="618B2D45">
            <w:pPr>
              <w:pStyle w:val="6"/>
              <w:spacing w:before="1" w:line="217" w:lineRule="auto"/>
              <w:jc w:val="right"/>
            </w:pPr>
            <w:r>
              <w:rPr>
                <w:color w:val="2030F0"/>
                <w:spacing w:val="5"/>
              </w:rPr>
              <w:t>履约负面评价或被其纳入履约黑名单；在“信用中国”</w:t>
            </w:r>
          </w:p>
          <w:p w14:paraId="742648FE">
            <w:pPr>
              <w:pStyle w:val="6"/>
              <w:spacing w:before="45" w:line="237" w:lineRule="auto"/>
              <w:ind w:left="172" w:hanging="94"/>
            </w:pPr>
            <w:r>
              <w:rPr>
                <w:color w:val="2020F0"/>
                <w:spacing w:val="-2"/>
              </w:rPr>
              <w:t>“国家企业信用信息公示系统”“湖北省公共资源交易信</w:t>
            </w:r>
            <w:r>
              <w:rPr>
                <w:color w:val="2020F0"/>
                <w:spacing w:val="9"/>
              </w:rPr>
              <w:t xml:space="preserve"> </w:t>
            </w:r>
            <w:r>
              <w:rPr>
                <w:color w:val="2020F0"/>
                <w:spacing w:val="-1"/>
              </w:rPr>
              <w:t>用信息平台”等平台查询到企业失信行为或不良记录。</w:t>
            </w:r>
          </w:p>
          <w:p w14:paraId="622CB755">
            <w:pPr>
              <w:pStyle w:val="6"/>
              <w:spacing w:line="219" w:lineRule="auto"/>
              <w:ind w:left="223"/>
            </w:pPr>
            <w:r>
              <w:rPr>
                <w:color w:val="2030F0"/>
              </w:rPr>
              <w:t>3.违法违规行为(1-3年):企业存在围标串标、转包和</w:t>
            </w:r>
          </w:p>
          <w:p w14:paraId="07A5247C">
            <w:pPr>
              <w:pStyle w:val="6"/>
              <w:spacing w:before="20" w:line="241" w:lineRule="auto"/>
              <w:ind w:left="124" w:right="133"/>
            </w:pPr>
            <w:r>
              <w:rPr>
                <w:color w:val="2020F0"/>
                <w:spacing w:val="-1"/>
              </w:rPr>
              <w:t>违法分包、弄虚作假、以他人名义投标、出借资质等违</w:t>
            </w:r>
            <w:r>
              <w:rPr>
                <w:color w:val="2020F0"/>
                <w:spacing w:val="14"/>
              </w:rPr>
              <w:t xml:space="preserve"> </w:t>
            </w:r>
            <w:r>
              <w:rPr>
                <w:color w:val="2020F0"/>
                <w:spacing w:val="-1"/>
              </w:rPr>
              <w:t>法违规行为。</w:t>
            </w:r>
          </w:p>
          <w:p w14:paraId="4131A915">
            <w:pPr>
              <w:pStyle w:val="6"/>
              <w:spacing w:before="12" w:line="219" w:lineRule="auto"/>
              <w:ind w:left="124"/>
            </w:pPr>
            <w:r>
              <w:rPr>
                <w:color w:val="4030F0"/>
                <w:spacing w:val="-1"/>
              </w:rPr>
              <w:t>二、定标方法：</w:t>
            </w:r>
          </w:p>
          <w:p w14:paraId="537D626B">
            <w:pPr>
              <w:pStyle w:val="6"/>
              <w:spacing w:before="2" w:line="250" w:lineRule="auto"/>
              <w:ind w:left="173" w:right="80" w:hanging="49"/>
            </w:pPr>
            <w:r>
              <w:rPr>
                <w:color w:val="2030F0"/>
                <w:spacing w:val="1"/>
              </w:rPr>
              <w:t>定标方法：投票表决法(票决数量法)。定标委员会成员</w:t>
            </w:r>
            <w:r>
              <w:rPr>
                <w:color w:val="2030F0"/>
                <w:spacing w:val="2"/>
              </w:rPr>
              <w:t xml:space="preserve"> </w:t>
            </w:r>
            <w:r>
              <w:rPr>
                <w:color w:val="2030F0"/>
                <w:spacing w:val="-1"/>
              </w:rPr>
              <w:t>对定标候选人进行记名投票，得票最高的即为中标人。</w:t>
            </w:r>
          </w:p>
          <w:p w14:paraId="287E5A2A">
            <w:pPr>
              <w:pStyle w:val="6"/>
              <w:spacing w:before="2" w:line="232" w:lineRule="auto"/>
              <w:ind w:left="134" w:right="114" w:hanging="10"/>
            </w:pPr>
            <w:r>
              <w:rPr>
                <w:color w:val="2020F0"/>
              </w:rPr>
              <w:t>当最高得票相同时，对得票最高的中标候选人再次进行</w:t>
            </w:r>
            <w:r>
              <w:rPr>
                <w:color w:val="2020F0"/>
                <w:spacing w:val="9"/>
              </w:rPr>
              <w:t xml:space="preserve"> </w:t>
            </w:r>
            <w:r>
              <w:rPr>
                <w:color w:val="2020F0"/>
                <w:spacing w:val="-1"/>
              </w:rPr>
              <w:t>记名投票，直至选出中标人。</w:t>
            </w:r>
          </w:p>
          <w:p w14:paraId="642F35FA">
            <w:pPr>
              <w:pStyle w:val="6"/>
              <w:spacing w:before="1" w:line="219" w:lineRule="auto"/>
              <w:ind w:left="124"/>
            </w:pPr>
            <w:r>
              <w:rPr>
                <w:color w:val="2020F0"/>
                <w:spacing w:val="-1"/>
              </w:rPr>
              <w:t>投标承诺：</w:t>
            </w:r>
          </w:p>
          <w:p w14:paraId="55ECDE53">
            <w:pPr>
              <w:pStyle w:val="6"/>
              <w:spacing w:before="29" w:line="219" w:lineRule="auto"/>
              <w:ind w:left="223"/>
            </w:pPr>
            <w:r>
              <w:rPr>
                <w:color w:val="2020F0"/>
              </w:rPr>
              <w:t>1.投标人需承诺本项目必须于202</w:t>
            </w:r>
            <w:r>
              <w:rPr>
                <w:rFonts w:hint="eastAsia"/>
                <w:color w:val="2020F0"/>
                <w:lang w:val="en-US" w:eastAsia="zh-CN"/>
              </w:rPr>
              <w:t>7</w:t>
            </w:r>
            <w:r>
              <w:rPr>
                <w:color w:val="2020F0"/>
              </w:rPr>
              <w:t>年</w:t>
            </w:r>
            <w:r>
              <w:rPr>
                <w:rFonts w:hint="eastAsia"/>
                <w:color w:val="2020F0"/>
                <w:lang w:val="en-US" w:eastAsia="zh-CN"/>
              </w:rPr>
              <w:t>7</w:t>
            </w:r>
            <w:r>
              <w:rPr>
                <w:color w:val="2020F0"/>
              </w:rPr>
              <w:t>月</w:t>
            </w:r>
            <w:r>
              <w:rPr>
                <w:rFonts w:hint="eastAsia"/>
                <w:color w:val="2020F0"/>
                <w:lang w:val="en-US" w:eastAsia="zh-CN"/>
              </w:rPr>
              <w:t>20</w:t>
            </w:r>
            <w:r>
              <w:rPr>
                <w:color w:val="2020F0"/>
              </w:rPr>
              <w:t>日前完工，</w:t>
            </w:r>
          </w:p>
          <w:p w14:paraId="3AA412D9">
            <w:pPr>
              <w:pStyle w:val="6"/>
              <w:spacing w:before="23" w:line="219" w:lineRule="auto"/>
              <w:ind w:left="124"/>
            </w:pPr>
            <w:r>
              <w:rPr>
                <w:color w:val="2030F0"/>
              </w:rPr>
              <w:t>否则每延误一天自愿向招标人支付元/天的违约金(格式</w:t>
            </w:r>
          </w:p>
          <w:p w14:paraId="75287B8A">
            <w:pPr>
              <w:pStyle w:val="6"/>
              <w:spacing w:before="19" w:line="219" w:lineRule="auto"/>
              <w:ind w:left="134"/>
            </w:pPr>
            <w:r>
              <w:rPr>
                <w:color w:val="1020F0"/>
                <w:spacing w:val="-1"/>
              </w:rPr>
              <w:t>自拟)。</w:t>
            </w:r>
          </w:p>
          <w:p w14:paraId="4C8FD1E3">
            <w:pPr>
              <w:pStyle w:val="6"/>
              <w:spacing w:before="51" w:line="224" w:lineRule="auto"/>
              <w:ind w:left="114" w:right="409" w:firstLine="10"/>
            </w:pPr>
            <w:r>
              <w:rPr>
                <w:color w:val="2020F0"/>
                <w:spacing w:val="1"/>
              </w:rPr>
              <w:t>2.投标人要有对本项目周边关系协调的承诺(格式自</w:t>
            </w:r>
            <w:r>
              <w:rPr>
                <w:color w:val="2020F0"/>
                <w:spacing w:val="5"/>
              </w:rPr>
              <w:t xml:space="preserve"> </w:t>
            </w:r>
            <w:r>
              <w:rPr>
                <w:color w:val="2020F0"/>
                <w:spacing w:val="-1"/>
              </w:rPr>
              <w:t>拟)。</w:t>
            </w:r>
          </w:p>
          <w:p w14:paraId="4F15403B">
            <w:pPr>
              <w:pStyle w:val="6"/>
              <w:spacing w:before="12" w:line="219" w:lineRule="auto"/>
              <w:ind w:left="124"/>
            </w:pPr>
            <w:r>
              <w:rPr>
                <w:color w:val="2030F0"/>
                <w:spacing w:val="-1"/>
              </w:rPr>
              <w:t>3.投标人需承诺项目动工前为施工人员购买意外伤害保</w:t>
            </w:r>
          </w:p>
          <w:p w14:paraId="259B249F">
            <w:pPr>
              <w:pStyle w:val="6"/>
              <w:spacing w:before="39" w:line="219" w:lineRule="auto"/>
              <w:ind w:left="124"/>
            </w:pPr>
            <w:r>
              <w:rPr>
                <w:color w:val="2020F0"/>
                <w:spacing w:val="2"/>
              </w:rPr>
              <w:t>险，保证项目安全生产。(格式自拟)</w:t>
            </w:r>
          </w:p>
          <w:p w14:paraId="19C54B44">
            <w:pPr>
              <w:pStyle w:val="6"/>
              <w:spacing w:before="23" w:line="219" w:lineRule="auto"/>
              <w:ind w:left="124"/>
            </w:pPr>
            <w:r>
              <w:rPr>
                <w:color w:val="2030F0"/>
                <w:spacing w:val="-1"/>
              </w:rPr>
              <w:t>4.投标人需承诺在签订合同时，应出具由甲方认可接受</w:t>
            </w:r>
          </w:p>
          <w:p w14:paraId="465C6CEE">
            <w:pPr>
              <w:pStyle w:val="6"/>
              <w:spacing w:before="19" w:line="219" w:lineRule="auto"/>
              <w:ind w:left="124"/>
            </w:pPr>
            <w:r>
              <w:rPr>
                <w:color w:val="2020F0"/>
                <w:spacing w:val="-1"/>
              </w:rPr>
              <w:t>的金融机构出具的履约保函。</w:t>
            </w:r>
          </w:p>
          <w:p w14:paraId="4FA95743">
            <w:pPr>
              <w:pStyle w:val="6"/>
              <w:spacing w:before="22" w:line="219" w:lineRule="auto"/>
              <w:ind w:left="124"/>
            </w:pPr>
            <w:r>
              <w:rPr>
                <w:color w:val="2020F0"/>
              </w:rPr>
              <w:t>5.甲方有权在施工期间提出优化施工方案或调整减少工</w:t>
            </w:r>
          </w:p>
          <w:p w14:paraId="353637F3">
            <w:pPr>
              <w:pStyle w:val="6"/>
              <w:spacing w:before="21" w:line="219" w:lineRule="auto"/>
              <w:ind w:left="173"/>
            </w:pPr>
            <w:r>
              <w:rPr>
                <w:color w:val="2030F0"/>
                <w:spacing w:val="-1"/>
              </w:rPr>
              <w:t>程投资，投标人不得因工程投资减少提出异议和补偿。</w:t>
            </w:r>
          </w:p>
          <w:p w14:paraId="71E94AD6">
            <w:pPr>
              <w:pStyle w:val="6"/>
              <w:spacing w:before="1" w:line="199" w:lineRule="auto"/>
              <w:ind w:left="144"/>
            </w:pPr>
            <w:r>
              <w:rPr>
                <w:color w:val="2020F0"/>
                <w:spacing w:val="7"/>
              </w:rPr>
              <w:t>(格式自拟)</w:t>
            </w:r>
          </w:p>
        </w:tc>
      </w:tr>
    </w:tbl>
    <w:p w14:paraId="61534E9C">
      <w:pPr>
        <w:rPr>
          <w:rFonts w:ascii="Arial"/>
          <w:sz w:val="21"/>
        </w:rPr>
      </w:pPr>
    </w:p>
    <w:p w14:paraId="2B63656F">
      <w:pPr>
        <w:rPr>
          <w:rFonts w:ascii="Arial" w:hAnsi="Arial" w:eastAsia="Arial" w:cs="Arial"/>
          <w:sz w:val="21"/>
          <w:szCs w:val="21"/>
        </w:rPr>
        <w:sectPr>
          <w:footerReference r:id="rId18" w:type="default"/>
          <w:pgSz w:w="11910" w:h="16840"/>
          <w:pgMar w:top="1431" w:right="1786" w:bottom="1006" w:left="1435" w:header="0" w:footer="853" w:gutter="0"/>
          <w:cols w:space="720" w:num="1"/>
        </w:sectPr>
      </w:pPr>
    </w:p>
    <w:p w14:paraId="6A0B5A57">
      <w:pPr>
        <w:spacing w:line="356" w:lineRule="auto"/>
        <w:rPr>
          <w:rFonts w:ascii="Arial"/>
          <w:sz w:val="21"/>
        </w:rPr>
      </w:pPr>
    </w:p>
    <w:p w14:paraId="66FC68BD">
      <w:pPr>
        <w:spacing w:before="84" w:line="221" w:lineRule="auto"/>
        <w:ind w:left="3183"/>
        <w:outlineLvl w:val="1"/>
        <w:rPr>
          <w:rFonts w:ascii="黑体" w:hAnsi="黑体" w:eastAsia="黑体" w:cs="黑体"/>
          <w:sz w:val="26"/>
          <w:szCs w:val="26"/>
        </w:rPr>
      </w:pPr>
      <w:bookmarkStart w:id="5" w:name="bookmark4"/>
      <w:bookmarkEnd w:id="5"/>
      <w:bookmarkStart w:id="6" w:name="bookmark219"/>
      <w:bookmarkEnd w:id="6"/>
      <w:r>
        <w:rPr>
          <w:rFonts w:ascii="黑体" w:hAnsi="黑体" w:eastAsia="黑体" w:cs="黑体"/>
          <w:b/>
          <w:bCs/>
          <w:spacing w:val="20"/>
          <w:sz w:val="26"/>
          <w:szCs w:val="26"/>
        </w:rPr>
        <w:t>投标人须知正文部分</w:t>
      </w:r>
    </w:p>
    <w:p w14:paraId="7251C6BB">
      <w:pPr>
        <w:pStyle w:val="2"/>
        <w:spacing w:before="201" w:line="220" w:lineRule="auto"/>
        <w:ind w:left="3"/>
        <w:outlineLvl w:val="1"/>
        <w:rPr>
          <w:sz w:val="26"/>
          <w:szCs w:val="26"/>
        </w:rPr>
      </w:pPr>
      <w:bookmarkStart w:id="7" w:name="bookmark5"/>
      <w:bookmarkEnd w:id="7"/>
      <w:r>
        <w:rPr>
          <w:b/>
          <w:bCs/>
          <w:spacing w:val="-15"/>
          <w:sz w:val="26"/>
          <w:szCs w:val="26"/>
        </w:rPr>
        <w:t>1.</w:t>
      </w:r>
      <w:r>
        <w:rPr>
          <w:spacing w:val="-30"/>
          <w:sz w:val="26"/>
          <w:szCs w:val="26"/>
        </w:rPr>
        <w:t xml:space="preserve"> </w:t>
      </w:r>
      <w:r>
        <w:rPr>
          <w:b/>
          <w:bCs/>
          <w:spacing w:val="-15"/>
          <w:sz w:val="26"/>
          <w:szCs w:val="26"/>
        </w:rPr>
        <w:t>总</w:t>
      </w:r>
      <w:r>
        <w:rPr>
          <w:spacing w:val="-21"/>
          <w:sz w:val="26"/>
          <w:szCs w:val="26"/>
        </w:rPr>
        <w:t xml:space="preserve"> </w:t>
      </w:r>
      <w:r>
        <w:rPr>
          <w:b/>
          <w:bCs/>
          <w:spacing w:val="-15"/>
          <w:sz w:val="26"/>
          <w:szCs w:val="26"/>
        </w:rPr>
        <w:t>则</w:t>
      </w:r>
    </w:p>
    <w:p w14:paraId="1631A639">
      <w:pPr>
        <w:pStyle w:val="2"/>
        <w:spacing w:before="79" w:line="219" w:lineRule="auto"/>
        <w:ind w:left="413"/>
        <w:outlineLvl w:val="2"/>
        <w:rPr>
          <w:sz w:val="26"/>
          <w:szCs w:val="26"/>
        </w:rPr>
      </w:pPr>
      <w:bookmarkStart w:id="8" w:name="bookmark6"/>
      <w:bookmarkEnd w:id="8"/>
      <w:r>
        <w:rPr>
          <w:b/>
          <w:bCs/>
          <w:spacing w:val="6"/>
          <w:sz w:val="26"/>
          <w:szCs w:val="26"/>
        </w:rPr>
        <w:t>1.1项目概况</w:t>
      </w:r>
    </w:p>
    <w:p w14:paraId="4C2CF1B3">
      <w:pPr>
        <w:pStyle w:val="2"/>
        <w:spacing w:before="142" w:line="285" w:lineRule="auto"/>
        <w:ind w:firstLine="409"/>
        <w:rPr>
          <w:sz w:val="21"/>
          <w:szCs w:val="21"/>
        </w:rPr>
      </w:pPr>
      <w:r>
        <w:rPr>
          <w:sz w:val="21"/>
          <w:szCs w:val="21"/>
        </w:rPr>
        <w:t>1.1.1根据《中华人民共和国招标投标法》等有关法律、法规和规章的规定，本招标项目已具</w:t>
      </w:r>
      <w:r>
        <w:rPr>
          <w:spacing w:val="15"/>
          <w:sz w:val="21"/>
          <w:szCs w:val="21"/>
        </w:rPr>
        <w:t xml:space="preserve"> </w:t>
      </w:r>
      <w:r>
        <w:rPr>
          <w:spacing w:val="-3"/>
          <w:sz w:val="21"/>
          <w:szCs w:val="21"/>
        </w:rPr>
        <w:t>备招标条件，现对本标段施工进行招标。</w:t>
      </w:r>
    </w:p>
    <w:p w14:paraId="4221A1DD">
      <w:pPr>
        <w:pStyle w:val="2"/>
        <w:spacing w:before="161" w:line="219" w:lineRule="auto"/>
        <w:ind w:left="409"/>
        <w:rPr>
          <w:sz w:val="21"/>
          <w:szCs w:val="21"/>
        </w:rPr>
      </w:pPr>
      <w:r>
        <w:rPr>
          <w:spacing w:val="-1"/>
          <w:sz w:val="21"/>
          <w:szCs w:val="21"/>
        </w:rPr>
        <w:t>1.1.2 本招标项目招标人：见投标人须知前附表。</w:t>
      </w:r>
    </w:p>
    <w:p w14:paraId="0D2C0690">
      <w:pPr>
        <w:pStyle w:val="2"/>
        <w:spacing w:before="151" w:line="219" w:lineRule="auto"/>
        <w:ind w:left="409"/>
        <w:rPr>
          <w:sz w:val="21"/>
          <w:szCs w:val="21"/>
        </w:rPr>
      </w:pPr>
      <w:r>
        <w:rPr>
          <w:spacing w:val="3"/>
          <w:sz w:val="21"/>
          <w:szCs w:val="21"/>
        </w:rPr>
        <w:t>1.1.3本标段招标代理机构：见投标人</w:t>
      </w:r>
      <w:r>
        <w:rPr>
          <w:spacing w:val="2"/>
          <w:sz w:val="21"/>
          <w:szCs w:val="21"/>
        </w:rPr>
        <w:t>须知前附表。</w:t>
      </w:r>
    </w:p>
    <w:p w14:paraId="685DA640">
      <w:pPr>
        <w:pStyle w:val="2"/>
        <w:spacing w:before="131" w:line="219" w:lineRule="auto"/>
        <w:ind w:left="409"/>
        <w:rPr>
          <w:sz w:val="21"/>
          <w:szCs w:val="21"/>
        </w:rPr>
      </w:pPr>
      <w:r>
        <w:rPr>
          <w:spacing w:val="-1"/>
          <w:sz w:val="21"/>
          <w:szCs w:val="21"/>
        </w:rPr>
        <w:t>1.1.4 本招标项目名称：见投标人须知前附表。</w:t>
      </w:r>
    </w:p>
    <w:p w14:paraId="761C6A77">
      <w:pPr>
        <w:pStyle w:val="2"/>
        <w:spacing w:before="171" w:line="219" w:lineRule="auto"/>
        <w:ind w:left="409"/>
        <w:rPr>
          <w:sz w:val="21"/>
          <w:szCs w:val="21"/>
        </w:rPr>
      </w:pPr>
      <w:r>
        <w:rPr>
          <w:spacing w:val="-1"/>
          <w:sz w:val="21"/>
          <w:szCs w:val="21"/>
        </w:rPr>
        <w:t>1.1.5 本标段建设地点：见投标人须知前附表。</w:t>
      </w:r>
    </w:p>
    <w:p w14:paraId="55B7086A">
      <w:pPr>
        <w:pStyle w:val="2"/>
        <w:spacing w:before="141" w:line="219" w:lineRule="auto"/>
        <w:ind w:left="409"/>
        <w:rPr>
          <w:sz w:val="21"/>
          <w:szCs w:val="21"/>
        </w:rPr>
      </w:pPr>
      <w:r>
        <w:rPr>
          <w:spacing w:val="-2"/>
          <w:sz w:val="21"/>
          <w:szCs w:val="21"/>
        </w:rPr>
        <w:t>1.1.6 本标段设计人：见申请人须知前附表。</w:t>
      </w:r>
    </w:p>
    <w:p w14:paraId="3F2EB7B5">
      <w:pPr>
        <w:pStyle w:val="2"/>
        <w:spacing w:before="141" w:line="219" w:lineRule="auto"/>
        <w:ind w:left="409"/>
        <w:rPr>
          <w:sz w:val="21"/>
          <w:szCs w:val="21"/>
        </w:rPr>
      </w:pPr>
      <w:r>
        <w:rPr>
          <w:spacing w:val="-2"/>
          <w:sz w:val="21"/>
          <w:szCs w:val="21"/>
        </w:rPr>
        <w:t>1.1.7 本标段监理人：见申请人须知前附表。</w:t>
      </w:r>
    </w:p>
    <w:p w14:paraId="2ABAF7AD">
      <w:pPr>
        <w:pStyle w:val="2"/>
        <w:spacing w:before="171" w:line="219" w:lineRule="auto"/>
        <w:ind w:left="409"/>
        <w:rPr>
          <w:sz w:val="21"/>
          <w:szCs w:val="21"/>
        </w:rPr>
      </w:pPr>
      <w:r>
        <w:rPr>
          <w:spacing w:val="3"/>
          <w:sz w:val="21"/>
          <w:szCs w:val="21"/>
        </w:rPr>
        <w:t>1.1.8本标段代建人：见申请人须知前附表。</w:t>
      </w:r>
    </w:p>
    <w:p w14:paraId="2B61FB02">
      <w:pPr>
        <w:pStyle w:val="2"/>
        <w:spacing w:before="110" w:line="219" w:lineRule="auto"/>
        <w:ind w:left="413"/>
        <w:outlineLvl w:val="2"/>
        <w:rPr>
          <w:sz w:val="26"/>
          <w:szCs w:val="26"/>
        </w:rPr>
      </w:pPr>
      <w:bookmarkStart w:id="9" w:name="bookmark7"/>
      <w:bookmarkEnd w:id="9"/>
      <w:r>
        <w:rPr>
          <w:b/>
          <w:bCs/>
          <w:spacing w:val="-6"/>
          <w:sz w:val="26"/>
          <w:szCs w:val="26"/>
        </w:rPr>
        <w:t>1.2资金来源和落实情况</w:t>
      </w:r>
    </w:p>
    <w:p w14:paraId="0A22C303">
      <w:pPr>
        <w:pStyle w:val="2"/>
        <w:spacing w:before="112" w:line="219" w:lineRule="auto"/>
        <w:ind w:left="409"/>
        <w:rPr>
          <w:sz w:val="21"/>
          <w:szCs w:val="21"/>
        </w:rPr>
      </w:pPr>
      <w:r>
        <w:rPr>
          <w:spacing w:val="-2"/>
          <w:sz w:val="21"/>
          <w:szCs w:val="21"/>
        </w:rPr>
        <w:t>1.2.1 本招标项目的资金来源：见投标人须知前附表。</w:t>
      </w:r>
    </w:p>
    <w:p w14:paraId="3DBB64F6">
      <w:pPr>
        <w:pStyle w:val="2"/>
        <w:spacing w:before="171" w:line="219" w:lineRule="auto"/>
        <w:ind w:left="409"/>
        <w:rPr>
          <w:sz w:val="21"/>
          <w:szCs w:val="21"/>
        </w:rPr>
      </w:pPr>
      <w:r>
        <w:rPr>
          <w:spacing w:val="-2"/>
          <w:sz w:val="21"/>
          <w:szCs w:val="21"/>
        </w:rPr>
        <w:t>1.2.2 本招标项目的出资比例：见投标人须知前附表。</w:t>
      </w:r>
    </w:p>
    <w:p w14:paraId="64FCF749">
      <w:pPr>
        <w:pStyle w:val="2"/>
        <w:spacing w:before="161" w:line="219" w:lineRule="auto"/>
        <w:ind w:left="409"/>
        <w:rPr>
          <w:sz w:val="21"/>
          <w:szCs w:val="21"/>
        </w:rPr>
      </w:pPr>
      <w:r>
        <w:rPr>
          <w:spacing w:val="-1"/>
          <w:sz w:val="21"/>
          <w:szCs w:val="21"/>
        </w:rPr>
        <w:t>1.2.3 本招标项目的资金落实情况：见投标</w:t>
      </w:r>
      <w:r>
        <w:rPr>
          <w:spacing w:val="-2"/>
          <w:sz w:val="21"/>
          <w:szCs w:val="21"/>
        </w:rPr>
        <w:t>人须知前附表。</w:t>
      </w:r>
    </w:p>
    <w:p w14:paraId="247B91F7">
      <w:pPr>
        <w:pStyle w:val="2"/>
        <w:spacing w:before="141" w:line="219" w:lineRule="auto"/>
        <w:ind w:left="409"/>
        <w:rPr>
          <w:sz w:val="21"/>
          <w:szCs w:val="21"/>
        </w:rPr>
      </w:pPr>
      <w:r>
        <w:rPr>
          <w:spacing w:val="-3"/>
          <w:sz w:val="21"/>
          <w:szCs w:val="21"/>
        </w:rPr>
        <w:t>1.2.4 本招标项目性质：见投标人须知前附表。</w:t>
      </w:r>
    </w:p>
    <w:p w14:paraId="7DD9890E">
      <w:pPr>
        <w:pStyle w:val="2"/>
        <w:spacing w:before="111" w:line="220" w:lineRule="auto"/>
        <w:ind w:left="413"/>
        <w:outlineLvl w:val="2"/>
        <w:rPr>
          <w:sz w:val="26"/>
          <w:szCs w:val="26"/>
        </w:rPr>
      </w:pPr>
      <w:bookmarkStart w:id="10" w:name="bookmark8"/>
      <w:bookmarkEnd w:id="10"/>
      <w:r>
        <w:rPr>
          <w:b/>
          <w:bCs/>
          <w:spacing w:val="-10"/>
          <w:sz w:val="26"/>
          <w:szCs w:val="26"/>
        </w:rPr>
        <w:t>1.3招标范围、计划工期和质量要求</w:t>
      </w:r>
    </w:p>
    <w:p w14:paraId="0A0DC66A">
      <w:pPr>
        <w:pStyle w:val="2"/>
        <w:spacing w:before="140" w:line="219" w:lineRule="auto"/>
        <w:ind w:left="409"/>
        <w:rPr>
          <w:sz w:val="21"/>
          <w:szCs w:val="21"/>
        </w:rPr>
      </w:pPr>
      <w:r>
        <w:rPr>
          <w:spacing w:val="-2"/>
          <w:sz w:val="21"/>
          <w:szCs w:val="21"/>
        </w:rPr>
        <w:t>1.3.1 本次招标范围：见投标人须知前附表。</w:t>
      </w:r>
    </w:p>
    <w:p w14:paraId="7AAB7FCB">
      <w:pPr>
        <w:pStyle w:val="2"/>
        <w:spacing w:before="131" w:line="219" w:lineRule="auto"/>
        <w:ind w:left="409"/>
        <w:rPr>
          <w:sz w:val="21"/>
          <w:szCs w:val="21"/>
        </w:rPr>
      </w:pPr>
      <w:r>
        <w:rPr>
          <w:spacing w:val="-2"/>
          <w:sz w:val="21"/>
          <w:szCs w:val="21"/>
        </w:rPr>
        <w:t>1.3.2 本标段的计划工期：见投标人须知前附表。</w:t>
      </w:r>
    </w:p>
    <w:p w14:paraId="78E2A090">
      <w:pPr>
        <w:pStyle w:val="2"/>
        <w:spacing w:before="161" w:line="219" w:lineRule="auto"/>
        <w:ind w:left="409"/>
        <w:rPr>
          <w:sz w:val="21"/>
          <w:szCs w:val="21"/>
        </w:rPr>
      </w:pPr>
      <w:r>
        <w:rPr>
          <w:spacing w:val="-1"/>
          <w:sz w:val="21"/>
          <w:szCs w:val="21"/>
        </w:rPr>
        <w:t>1.3.3 本标段的质量要求：见投标人须知前附表。</w:t>
      </w:r>
    </w:p>
    <w:p w14:paraId="5C7B2432">
      <w:pPr>
        <w:pStyle w:val="2"/>
        <w:spacing w:before="151" w:line="219" w:lineRule="auto"/>
        <w:ind w:left="409"/>
        <w:rPr>
          <w:sz w:val="21"/>
          <w:szCs w:val="21"/>
        </w:rPr>
      </w:pPr>
      <w:r>
        <w:rPr>
          <w:spacing w:val="-1"/>
          <w:sz w:val="21"/>
          <w:szCs w:val="21"/>
        </w:rPr>
        <w:t>1.3.4 本标段执行的政府采购政策：见投标</w:t>
      </w:r>
      <w:r>
        <w:rPr>
          <w:spacing w:val="-2"/>
          <w:sz w:val="21"/>
          <w:szCs w:val="21"/>
        </w:rPr>
        <w:t>人须知前附表。</w:t>
      </w:r>
    </w:p>
    <w:p w14:paraId="4F1B4BDF">
      <w:pPr>
        <w:pStyle w:val="2"/>
        <w:spacing w:before="100" w:line="219" w:lineRule="auto"/>
        <w:ind w:left="413"/>
        <w:outlineLvl w:val="2"/>
        <w:rPr>
          <w:sz w:val="26"/>
          <w:szCs w:val="26"/>
        </w:rPr>
      </w:pPr>
      <w:bookmarkStart w:id="11" w:name="bookmark9"/>
      <w:bookmarkEnd w:id="11"/>
      <w:r>
        <w:rPr>
          <w:b/>
          <w:bCs/>
          <w:spacing w:val="-5"/>
          <w:sz w:val="26"/>
          <w:szCs w:val="26"/>
        </w:rPr>
        <w:t>1.4投标人资格要求(适用于未进行资格预审的)</w:t>
      </w:r>
    </w:p>
    <w:p w14:paraId="1278B689">
      <w:pPr>
        <w:pStyle w:val="2"/>
        <w:spacing w:before="142" w:line="219" w:lineRule="auto"/>
        <w:ind w:left="409"/>
        <w:rPr>
          <w:sz w:val="21"/>
          <w:szCs w:val="21"/>
        </w:rPr>
      </w:pPr>
      <w:r>
        <w:rPr>
          <w:spacing w:val="1"/>
          <w:sz w:val="21"/>
          <w:szCs w:val="21"/>
        </w:rPr>
        <w:t>1.4.1投标人应具备承担本标段施工的资质条件、能力和信</w:t>
      </w:r>
      <w:r>
        <w:rPr>
          <w:sz w:val="21"/>
          <w:szCs w:val="21"/>
        </w:rPr>
        <w:t>誉。</w:t>
      </w:r>
    </w:p>
    <w:p w14:paraId="4479068C">
      <w:pPr>
        <w:pStyle w:val="2"/>
        <w:spacing w:before="161" w:line="219" w:lineRule="auto"/>
        <w:ind w:left="820"/>
        <w:rPr>
          <w:sz w:val="21"/>
          <w:szCs w:val="21"/>
        </w:rPr>
      </w:pPr>
      <w:r>
        <w:rPr>
          <w:spacing w:val="3"/>
          <w:sz w:val="21"/>
          <w:szCs w:val="21"/>
        </w:rPr>
        <w:t>(1)资质条件：见投标人须知前附表；</w:t>
      </w:r>
    </w:p>
    <w:p w14:paraId="0C7289F9">
      <w:pPr>
        <w:pStyle w:val="2"/>
        <w:spacing w:before="141" w:line="219" w:lineRule="auto"/>
        <w:ind w:left="820"/>
        <w:rPr>
          <w:sz w:val="21"/>
          <w:szCs w:val="21"/>
        </w:rPr>
      </w:pPr>
      <w:r>
        <w:rPr>
          <w:spacing w:val="3"/>
          <w:sz w:val="21"/>
          <w:szCs w:val="21"/>
        </w:rPr>
        <w:t>(2)财务要求：见投标人须知前附表；</w:t>
      </w:r>
    </w:p>
    <w:p w14:paraId="53D14918">
      <w:pPr>
        <w:pStyle w:val="2"/>
        <w:spacing w:before="141" w:line="219" w:lineRule="auto"/>
        <w:ind w:left="820"/>
        <w:rPr>
          <w:sz w:val="21"/>
          <w:szCs w:val="21"/>
        </w:rPr>
      </w:pPr>
      <w:r>
        <w:rPr>
          <w:spacing w:val="3"/>
          <w:sz w:val="21"/>
          <w:szCs w:val="21"/>
        </w:rPr>
        <w:t>(3)业绩要求：见投标人须知前附表；</w:t>
      </w:r>
    </w:p>
    <w:p w14:paraId="23C750D2">
      <w:pPr>
        <w:pStyle w:val="2"/>
        <w:spacing w:before="161" w:line="219" w:lineRule="auto"/>
        <w:ind w:left="820"/>
        <w:rPr>
          <w:sz w:val="21"/>
          <w:szCs w:val="21"/>
        </w:rPr>
      </w:pPr>
      <w:r>
        <w:rPr>
          <w:spacing w:val="3"/>
          <w:sz w:val="21"/>
          <w:szCs w:val="21"/>
        </w:rPr>
        <w:t>(4)信誉要求：见投标人须知前附表；</w:t>
      </w:r>
    </w:p>
    <w:p w14:paraId="253F3F9F">
      <w:pPr>
        <w:pStyle w:val="2"/>
        <w:spacing w:before="150" w:line="219" w:lineRule="auto"/>
        <w:ind w:left="820"/>
        <w:rPr>
          <w:sz w:val="21"/>
          <w:szCs w:val="21"/>
        </w:rPr>
      </w:pPr>
      <w:r>
        <w:rPr>
          <w:spacing w:val="3"/>
          <w:sz w:val="21"/>
          <w:szCs w:val="21"/>
        </w:rPr>
        <w:t>(5)项目经理资格：见投标人须知前附表；</w:t>
      </w:r>
    </w:p>
    <w:p w14:paraId="4FFC44D0">
      <w:pPr>
        <w:pStyle w:val="2"/>
        <w:spacing w:before="151" w:line="219" w:lineRule="auto"/>
        <w:ind w:left="820"/>
        <w:rPr>
          <w:sz w:val="21"/>
          <w:szCs w:val="21"/>
        </w:rPr>
      </w:pPr>
      <w:r>
        <w:rPr>
          <w:spacing w:val="4"/>
          <w:sz w:val="21"/>
          <w:szCs w:val="21"/>
        </w:rPr>
        <w:t>(6)其他要求：见投标人须知前附表。</w:t>
      </w:r>
    </w:p>
    <w:p w14:paraId="172C5134">
      <w:pPr>
        <w:pStyle w:val="2"/>
        <w:spacing w:before="171" w:line="336" w:lineRule="auto"/>
        <w:ind w:right="41" w:firstLine="409"/>
        <w:rPr>
          <w:sz w:val="21"/>
          <w:szCs w:val="21"/>
        </w:rPr>
      </w:pPr>
      <w:r>
        <w:rPr>
          <w:spacing w:val="4"/>
          <w:sz w:val="21"/>
          <w:szCs w:val="21"/>
        </w:rPr>
        <w:t xml:space="preserve">1.4.2 投标人须知前附表规定接受联合体投标的，除应符合本章第1.4.1项和投标人须知前 </w:t>
      </w:r>
      <w:r>
        <w:rPr>
          <w:spacing w:val="-3"/>
          <w:sz w:val="21"/>
          <w:szCs w:val="21"/>
        </w:rPr>
        <w:t>附表的要求外，还应遵守以下规定：</w:t>
      </w:r>
    </w:p>
    <w:p w14:paraId="017C7971">
      <w:pPr>
        <w:pStyle w:val="2"/>
        <w:spacing w:before="6" w:line="219" w:lineRule="auto"/>
        <w:ind w:left="820"/>
        <w:rPr>
          <w:sz w:val="21"/>
          <w:szCs w:val="21"/>
        </w:rPr>
      </w:pPr>
      <w:r>
        <w:rPr>
          <w:spacing w:val="5"/>
          <w:sz w:val="21"/>
          <w:szCs w:val="21"/>
        </w:rPr>
        <w:t>(1)联合体各方应按招标文件提供的格式签订联合体协议书，明确联合体牵头人</w:t>
      </w:r>
      <w:r>
        <w:rPr>
          <w:spacing w:val="4"/>
          <w:sz w:val="21"/>
          <w:szCs w:val="21"/>
        </w:rPr>
        <w:t>和各方</w:t>
      </w:r>
    </w:p>
    <w:p w14:paraId="6BD0728A">
      <w:pPr>
        <w:spacing w:line="219" w:lineRule="auto"/>
        <w:rPr>
          <w:sz w:val="21"/>
          <w:szCs w:val="21"/>
        </w:rPr>
        <w:sectPr>
          <w:footerReference r:id="rId19" w:type="default"/>
          <w:pgSz w:w="11910" w:h="16840"/>
          <w:pgMar w:top="1431" w:right="1508" w:bottom="999" w:left="1470" w:header="0" w:footer="855" w:gutter="0"/>
          <w:cols w:space="720" w:num="1"/>
        </w:sectPr>
      </w:pPr>
    </w:p>
    <w:p w14:paraId="1C0C8A1E">
      <w:pPr>
        <w:spacing w:line="317" w:lineRule="auto"/>
        <w:rPr>
          <w:rFonts w:ascii="Arial"/>
          <w:sz w:val="21"/>
        </w:rPr>
      </w:pPr>
    </w:p>
    <w:p w14:paraId="2F8C33BB">
      <w:pPr>
        <w:pStyle w:val="2"/>
        <w:spacing w:before="68" w:line="219" w:lineRule="auto"/>
        <w:rPr>
          <w:sz w:val="21"/>
          <w:szCs w:val="21"/>
        </w:rPr>
      </w:pPr>
      <w:bookmarkStart w:id="12" w:name="bookmark220"/>
      <w:bookmarkEnd w:id="12"/>
      <w:r>
        <w:rPr>
          <w:spacing w:val="-10"/>
          <w:sz w:val="21"/>
          <w:szCs w:val="21"/>
        </w:rPr>
        <w:t>权利义务；</w:t>
      </w:r>
    </w:p>
    <w:p w14:paraId="0977FB36">
      <w:pPr>
        <w:pStyle w:val="2"/>
        <w:spacing w:before="160" w:line="219" w:lineRule="auto"/>
        <w:ind w:left="820"/>
        <w:rPr>
          <w:sz w:val="21"/>
          <w:szCs w:val="21"/>
        </w:rPr>
      </w:pPr>
      <w:r>
        <w:rPr>
          <w:spacing w:val="2"/>
          <w:sz w:val="21"/>
          <w:szCs w:val="21"/>
        </w:rPr>
        <w:t>(2)由同一专业的单位组成的联合体，按照资质等级较低的单位确定资质等级；</w:t>
      </w:r>
    </w:p>
    <w:p w14:paraId="45B802C8">
      <w:pPr>
        <w:pStyle w:val="2"/>
        <w:spacing w:before="150" w:line="219" w:lineRule="auto"/>
        <w:ind w:left="820"/>
        <w:rPr>
          <w:sz w:val="21"/>
          <w:szCs w:val="21"/>
        </w:rPr>
      </w:pPr>
      <w:r>
        <w:rPr>
          <w:spacing w:val="3"/>
          <w:sz w:val="21"/>
          <w:szCs w:val="21"/>
        </w:rPr>
        <w:t>(3)联合体各方不得再以自己名义单独或参加其他联合体在同</w:t>
      </w:r>
      <w:r>
        <w:rPr>
          <w:spacing w:val="2"/>
          <w:sz w:val="21"/>
          <w:szCs w:val="21"/>
        </w:rPr>
        <w:t>一标段中投标。</w:t>
      </w:r>
    </w:p>
    <w:p w14:paraId="5DF3DC05">
      <w:pPr>
        <w:pStyle w:val="2"/>
        <w:spacing w:before="151" w:line="219" w:lineRule="auto"/>
        <w:ind w:left="409"/>
        <w:rPr>
          <w:sz w:val="21"/>
          <w:szCs w:val="21"/>
        </w:rPr>
      </w:pPr>
      <w:r>
        <w:rPr>
          <w:spacing w:val="4"/>
          <w:sz w:val="21"/>
          <w:szCs w:val="21"/>
        </w:rPr>
        <w:t>1.4.3投标人不得存在下列情形之一：</w:t>
      </w:r>
    </w:p>
    <w:p w14:paraId="28430D41">
      <w:pPr>
        <w:pStyle w:val="2"/>
        <w:spacing w:before="159" w:line="219" w:lineRule="auto"/>
        <w:ind w:left="820"/>
        <w:rPr>
          <w:sz w:val="21"/>
          <w:szCs w:val="21"/>
        </w:rPr>
      </w:pPr>
      <w:r>
        <w:rPr>
          <w:spacing w:val="8"/>
          <w:sz w:val="21"/>
          <w:szCs w:val="21"/>
        </w:rPr>
        <w:t>(1)为招标人不具有独立法人资格的附属机构(单位);</w:t>
      </w:r>
    </w:p>
    <w:p w14:paraId="59143732">
      <w:pPr>
        <w:pStyle w:val="2"/>
        <w:spacing w:before="152" w:line="219" w:lineRule="auto"/>
        <w:ind w:left="820"/>
        <w:rPr>
          <w:sz w:val="21"/>
          <w:szCs w:val="21"/>
        </w:rPr>
      </w:pPr>
      <w:r>
        <w:rPr>
          <w:spacing w:val="2"/>
          <w:sz w:val="21"/>
          <w:szCs w:val="21"/>
        </w:rPr>
        <w:t>(2)与招标人存在利害关系且可能影响招标公正性；</w:t>
      </w:r>
    </w:p>
    <w:p w14:paraId="16B8561B">
      <w:pPr>
        <w:pStyle w:val="2"/>
        <w:spacing w:before="130" w:line="219" w:lineRule="auto"/>
        <w:ind w:left="820"/>
        <w:rPr>
          <w:sz w:val="21"/>
          <w:szCs w:val="21"/>
        </w:rPr>
      </w:pPr>
      <w:r>
        <w:rPr>
          <w:spacing w:val="2"/>
          <w:sz w:val="21"/>
          <w:szCs w:val="21"/>
        </w:rPr>
        <w:t>(3)与本标段的其他投标人为同一个单位负责人；</w:t>
      </w:r>
    </w:p>
    <w:p w14:paraId="50323332">
      <w:pPr>
        <w:pStyle w:val="2"/>
        <w:spacing w:before="161" w:line="219" w:lineRule="auto"/>
        <w:ind w:left="820"/>
        <w:rPr>
          <w:sz w:val="21"/>
          <w:szCs w:val="21"/>
        </w:rPr>
      </w:pPr>
      <w:r>
        <w:rPr>
          <w:spacing w:val="2"/>
          <w:sz w:val="21"/>
          <w:szCs w:val="21"/>
        </w:rPr>
        <w:t>(4)与本标段的其他投标人存在控股、管理关系；</w:t>
      </w:r>
    </w:p>
    <w:p w14:paraId="0DA316CD">
      <w:pPr>
        <w:pStyle w:val="2"/>
        <w:spacing w:before="161" w:line="219" w:lineRule="auto"/>
        <w:ind w:left="820"/>
        <w:rPr>
          <w:sz w:val="21"/>
          <w:szCs w:val="21"/>
        </w:rPr>
      </w:pPr>
      <w:r>
        <w:rPr>
          <w:spacing w:val="2"/>
          <w:sz w:val="21"/>
          <w:szCs w:val="21"/>
        </w:rPr>
        <w:t>(5)为本标段前期准备提供设计或咨询服务的；</w:t>
      </w:r>
    </w:p>
    <w:p w14:paraId="7268186A">
      <w:pPr>
        <w:pStyle w:val="2"/>
        <w:spacing w:before="140" w:line="219" w:lineRule="auto"/>
        <w:ind w:left="820"/>
        <w:rPr>
          <w:sz w:val="21"/>
          <w:szCs w:val="21"/>
        </w:rPr>
      </w:pPr>
      <w:r>
        <w:rPr>
          <w:spacing w:val="4"/>
          <w:sz w:val="21"/>
          <w:szCs w:val="21"/>
        </w:rPr>
        <w:t>(6)为本标段的监理人；</w:t>
      </w:r>
    </w:p>
    <w:p w14:paraId="1D9906DF">
      <w:pPr>
        <w:pStyle w:val="2"/>
        <w:spacing w:before="161" w:line="219" w:lineRule="auto"/>
        <w:ind w:left="820"/>
        <w:rPr>
          <w:sz w:val="21"/>
          <w:szCs w:val="21"/>
        </w:rPr>
      </w:pPr>
      <w:r>
        <w:rPr>
          <w:spacing w:val="4"/>
          <w:sz w:val="21"/>
          <w:szCs w:val="21"/>
        </w:rPr>
        <w:t>(7)为本标段的代建人；</w:t>
      </w:r>
    </w:p>
    <w:p w14:paraId="5F693B8F">
      <w:pPr>
        <w:pStyle w:val="2"/>
        <w:spacing w:before="141" w:line="219" w:lineRule="auto"/>
        <w:ind w:left="820"/>
        <w:rPr>
          <w:sz w:val="21"/>
          <w:szCs w:val="21"/>
        </w:rPr>
      </w:pPr>
      <w:r>
        <w:rPr>
          <w:spacing w:val="3"/>
          <w:sz w:val="21"/>
          <w:szCs w:val="21"/>
        </w:rPr>
        <w:t>(8)为本标段提供招标代理服务；</w:t>
      </w:r>
    </w:p>
    <w:p w14:paraId="7574C898">
      <w:pPr>
        <w:pStyle w:val="2"/>
        <w:spacing w:before="151" w:line="219" w:lineRule="auto"/>
        <w:ind w:left="820"/>
        <w:rPr>
          <w:sz w:val="21"/>
          <w:szCs w:val="21"/>
        </w:rPr>
      </w:pPr>
      <w:r>
        <w:rPr>
          <w:spacing w:val="2"/>
          <w:sz w:val="21"/>
          <w:szCs w:val="21"/>
        </w:rPr>
        <w:t>(9)与本标段的监理人或代建人或招标代理机构同为一个法定代表人；</w:t>
      </w:r>
    </w:p>
    <w:p w14:paraId="6E3620B1">
      <w:pPr>
        <w:pStyle w:val="2"/>
        <w:spacing w:before="151" w:line="219" w:lineRule="auto"/>
        <w:ind w:left="820"/>
        <w:rPr>
          <w:sz w:val="21"/>
          <w:szCs w:val="21"/>
        </w:rPr>
      </w:pPr>
      <w:r>
        <w:rPr>
          <w:spacing w:val="2"/>
          <w:sz w:val="21"/>
          <w:szCs w:val="21"/>
        </w:rPr>
        <w:t>(10)与本标段的监理人或代建人或招标代理机构相互控股或参股；</w:t>
      </w:r>
    </w:p>
    <w:p w14:paraId="257A5AB4">
      <w:pPr>
        <w:pStyle w:val="2"/>
        <w:spacing w:before="151" w:line="219" w:lineRule="auto"/>
        <w:ind w:left="820"/>
        <w:rPr>
          <w:sz w:val="21"/>
          <w:szCs w:val="21"/>
        </w:rPr>
      </w:pPr>
      <w:r>
        <w:rPr>
          <w:spacing w:val="2"/>
          <w:sz w:val="21"/>
          <w:szCs w:val="21"/>
        </w:rPr>
        <w:t>(11)与本标段的监理人或代建人或招标代理机构相互任职或工作；</w:t>
      </w:r>
    </w:p>
    <w:p w14:paraId="0D0F8CF0">
      <w:pPr>
        <w:pStyle w:val="2"/>
        <w:spacing w:before="152" w:line="281" w:lineRule="auto"/>
        <w:ind w:right="235" w:firstLine="820"/>
        <w:rPr>
          <w:sz w:val="21"/>
          <w:szCs w:val="21"/>
        </w:rPr>
      </w:pPr>
      <w:r>
        <w:rPr>
          <w:spacing w:val="5"/>
          <w:sz w:val="21"/>
          <w:szCs w:val="21"/>
        </w:rPr>
        <w:t>(12)被依法暂停或取消投标资格(指被本招标项目所在地县级及以上住房城</w:t>
      </w:r>
      <w:r>
        <w:rPr>
          <w:spacing w:val="4"/>
          <w:sz w:val="21"/>
          <w:szCs w:val="21"/>
        </w:rPr>
        <w:t>乡建设主管</w:t>
      </w:r>
      <w:r>
        <w:rPr>
          <w:sz w:val="21"/>
          <w:szCs w:val="21"/>
        </w:rPr>
        <w:t xml:space="preserve"> 部门或其他行政主管部门暂停或取消投标资格或禁止进入该区域建</w:t>
      </w:r>
      <w:r>
        <w:rPr>
          <w:spacing w:val="-1"/>
          <w:sz w:val="21"/>
          <w:szCs w:val="21"/>
        </w:rPr>
        <w:t>设市场且处于有效期内);</w:t>
      </w:r>
    </w:p>
    <w:p w14:paraId="786BD0F2">
      <w:pPr>
        <w:pStyle w:val="2"/>
        <w:spacing w:before="140" w:line="219" w:lineRule="auto"/>
        <w:ind w:left="820"/>
        <w:rPr>
          <w:sz w:val="21"/>
          <w:szCs w:val="21"/>
        </w:rPr>
      </w:pPr>
      <w:r>
        <w:rPr>
          <w:spacing w:val="2"/>
          <w:sz w:val="21"/>
          <w:szCs w:val="21"/>
        </w:rPr>
        <w:t>(13)被责令停产停业、暂扣或者吊销许可证、暂扣或者吊销执照；</w:t>
      </w:r>
    </w:p>
    <w:p w14:paraId="2D15DB33">
      <w:pPr>
        <w:pStyle w:val="2"/>
        <w:spacing w:before="140" w:line="218" w:lineRule="auto"/>
        <w:ind w:left="820"/>
        <w:rPr>
          <w:sz w:val="21"/>
          <w:szCs w:val="21"/>
        </w:rPr>
      </w:pPr>
      <w:r>
        <w:rPr>
          <w:spacing w:val="2"/>
          <w:sz w:val="21"/>
          <w:szCs w:val="21"/>
        </w:rPr>
        <w:t>(14)进入清算程序，或被宣告破产，或其他丧失履约能力的情形；</w:t>
      </w:r>
    </w:p>
    <w:p w14:paraId="3FF0CA3A">
      <w:pPr>
        <w:pStyle w:val="2"/>
        <w:spacing w:before="203" w:line="285" w:lineRule="auto"/>
        <w:ind w:right="239" w:firstLine="820"/>
        <w:rPr>
          <w:sz w:val="21"/>
          <w:szCs w:val="21"/>
        </w:rPr>
      </w:pPr>
      <w:r>
        <w:rPr>
          <w:spacing w:val="5"/>
          <w:sz w:val="21"/>
          <w:szCs w:val="21"/>
        </w:rPr>
        <w:t>(15)在最近三年内发生重大工程质量问题(以相关行业主管部门</w:t>
      </w:r>
      <w:r>
        <w:rPr>
          <w:spacing w:val="4"/>
          <w:sz w:val="21"/>
          <w:szCs w:val="21"/>
        </w:rPr>
        <w:t>的行政处罚决定或司法</w:t>
      </w:r>
      <w:r>
        <w:rPr>
          <w:sz w:val="21"/>
          <w:szCs w:val="21"/>
        </w:rPr>
        <w:t xml:space="preserve"> </w:t>
      </w:r>
      <w:r>
        <w:rPr>
          <w:spacing w:val="-1"/>
          <w:sz w:val="21"/>
          <w:szCs w:val="21"/>
        </w:rPr>
        <w:t>机关出具的有关法律文书为准);</w:t>
      </w:r>
    </w:p>
    <w:p w14:paraId="5367A83C">
      <w:pPr>
        <w:pStyle w:val="2"/>
        <w:spacing w:before="146" w:line="280" w:lineRule="auto"/>
        <w:ind w:right="237" w:firstLine="820"/>
        <w:rPr>
          <w:sz w:val="21"/>
          <w:szCs w:val="21"/>
        </w:rPr>
      </w:pPr>
      <w:r>
        <w:rPr>
          <w:spacing w:val="3"/>
          <w:sz w:val="21"/>
          <w:szCs w:val="21"/>
        </w:rPr>
        <w:t>(16)在“国家企业信用信息公示系统”(</w:t>
      </w:r>
      <w:r>
        <w:fldChar w:fldCharType="begin"/>
      </w:r>
      <w:r>
        <w:instrText xml:space="preserve"> HYPERLINK "https://www.gsxt.gov.cn" </w:instrText>
      </w:r>
      <w:r>
        <w:fldChar w:fldCharType="separate"/>
      </w:r>
      <w:r>
        <w:rPr>
          <w:sz w:val="21"/>
          <w:szCs w:val="21"/>
        </w:rPr>
        <w:t>www</w:t>
      </w:r>
      <w:r>
        <w:rPr>
          <w:spacing w:val="3"/>
          <w:sz w:val="21"/>
          <w:szCs w:val="21"/>
        </w:rPr>
        <w:t>.</w:t>
      </w:r>
      <w:r>
        <w:rPr>
          <w:sz w:val="21"/>
          <w:szCs w:val="21"/>
        </w:rPr>
        <w:t>gsxt</w:t>
      </w:r>
      <w:r>
        <w:rPr>
          <w:spacing w:val="3"/>
          <w:sz w:val="21"/>
          <w:szCs w:val="21"/>
        </w:rPr>
        <w:t>.</w:t>
      </w:r>
      <w:r>
        <w:rPr>
          <w:sz w:val="21"/>
          <w:szCs w:val="21"/>
        </w:rPr>
        <w:t>gov</w:t>
      </w:r>
      <w:r>
        <w:rPr>
          <w:spacing w:val="3"/>
          <w:sz w:val="21"/>
          <w:szCs w:val="21"/>
        </w:rPr>
        <w:t>.</w:t>
      </w:r>
      <w:r>
        <w:rPr>
          <w:sz w:val="21"/>
          <w:szCs w:val="21"/>
        </w:rPr>
        <w:t>cn</w:t>
      </w:r>
      <w:r>
        <w:rPr>
          <w:sz w:val="21"/>
          <w:szCs w:val="21"/>
        </w:rPr>
        <w:fldChar w:fldCharType="end"/>
      </w:r>
      <w:r>
        <w:rPr>
          <w:spacing w:val="3"/>
          <w:sz w:val="21"/>
          <w:szCs w:val="21"/>
        </w:rPr>
        <w:t>)</w:t>
      </w:r>
      <w:r>
        <w:rPr>
          <w:spacing w:val="43"/>
          <w:sz w:val="21"/>
          <w:szCs w:val="21"/>
        </w:rPr>
        <w:t xml:space="preserve">  </w:t>
      </w:r>
      <w:r>
        <w:rPr>
          <w:spacing w:val="3"/>
          <w:sz w:val="21"/>
          <w:szCs w:val="21"/>
        </w:rPr>
        <w:t>中被列入严重违法失信企</w:t>
      </w:r>
      <w:r>
        <w:rPr>
          <w:spacing w:val="1"/>
          <w:sz w:val="21"/>
          <w:szCs w:val="21"/>
        </w:rPr>
        <w:t xml:space="preserve"> </w:t>
      </w:r>
      <w:r>
        <w:rPr>
          <w:spacing w:val="-11"/>
          <w:sz w:val="21"/>
          <w:szCs w:val="21"/>
        </w:rPr>
        <w:t>业名单；</w:t>
      </w:r>
    </w:p>
    <w:p w14:paraId="59538C86">
      <w:pPr>
        <w:pStyle w:val="2"/>
        <w:spacing w:before="162" w:line="274" w:lineRule="auto"/>
        <w:ind w:left="99" w:firstLine="720"/>
        <w:rPr>
          <w:sz w:val="21"/>
          <w:szCs w:val="21"/>
        </w:rPr>
      </w:pPr>
      <w:r>
        <w:rPr>
          <w:spacing w:val="19"/>
          <w:sz w:val="21"/>
          <w:szCs w:val="21"/>
        </w:rPr>
        <w:t>(17)在“信用中国”网站 (</w:t>
      </w:r>
      <w:r>
        <w:fldChar w:fldCharType="begin"/>
      </w:r>
      <w:r>
        <w:instrText xml:space="preserve"> HYPERLINK "https://www.creditchina.gov.cn" </w:instrText>
      </w:r>
      <w:r>
        <w:fldChar w:fldCharType="separate"/>
      </w:r>
      <w:r>
        <w:rPr>
          <w:sz w:val="21"/>
          <w:szCs w:val="21"/>
        </w:rPr>
        <w:t>www</w:t>
      </w:r>
      <w:r>
        <w:rPr>
          <w:spacing w:val="19"/>
          <w:sz w:val="21"/>
          <w:szCs w:val="21"/>
        </w:rPr>
        <w:t>.</w:t>
      </w:r>
      <w:r>
        <w:rPr>
          <w:sz w:val="21"/>
          <w:szCs w:val="21"/>
        </w:rPr>
        <w:t>creditchina</w:t>
      </w:r>
      <w:r>
        <w:rPr>
          <w:spacing w:val="19"/>
          <w:sz w:val="21"/>
          <w:szCs w:val="21"/>
        </w:rPr>
        <w:t>.</w:t>
      </w:r>
      <w:r>
        <w:rPr>
          <w:sz w:val="21"/>
          <w:szCs w:val="21"/>
        </w:rPr>
        <w:t>gov</w:t>
      </w:r>
      <w:r>
        <w:rPr>
          <w:spacing w:val="19"/>
          <w:sz w:val="21"/>
          <w:szCs w:val="21"/>
        </w:rPr>
        <w:t>.</w:t>
      </w:r>
      <w:r>
        <w:rPr>
          <w:sz w:val="21"/>
          <w:szCs w:val="21"/>
        </w:rPr>
        <w:t>cn</w:t>
      </w:r>
      <w:r>
        <w:rPr>
          <w:sz w:val="21"/>
          <w:szCs w:val="21"/>
        </w:rPr>
        <w:fldChar w:fldCharType="end"/>
      </w:r>
      <w:r>
        <w:rPr>
          <w:spacing w:val="19"/>
          <w:sz w:val="21"/>
          <w:szCs w:val="21"/>
        </w:rPr>
        <w:t>)  或“中国执行信息公开网”</w:t>
      </w:r>
      <w:r>
        <w:rPr>
          <w:spacing w:val="13"/>
          <w:sz w:val="21"/>
          <w:szCs w:val="21"/>
        </w:rPr>
        <w:t xml:space="preserve"> </w:t>
      </w:r>
      <w:r>
        <w:rPr>
          <w:spacing w:val="-1"/>
          <w:sz w:val="21"/>
          <w:szCs w:val="21"/>
        </w:rPr>
        <w:t>(</w:t>
      </w:r>
      <w:r>
        <w:fldChar w:fldCharType="begin"/>
      </w:r>
      <w:r>
        <w:instrText xml:space="preserve"> HYPERLINK "http://zxgk.court.gov.cn/shixin/" </w:instrText>
      </w:r>
      <w:r>
        <w:fldChar w:fldCharType="separate"/>
      </w:r>
      <w:r>
        <w:rPr>
          <w:spacing w:val="-1"/>
          <w:sz w:val="21"/>
          <w:szCs w:val="21"/>
        </w:rPr>
        <w:t>http://zxgk.court.gov</w:t>
      </w:r>
      <w:r>
        <w:rPr>
          <w:spacing w:val="-2"/>
          <w:sz w:val="21"/>
          <w:szCs w:val="21"/>
        </w:rPr>
        <w:t>.cn/shixin/</w:t>
      </w:r>
      <w:r>
        <w:rPr>
          <w:spacing w:val="-2"/>
          <w:sz w:val="21"/>
          <w:szCs w:val="21"/>
        </w:rPr>
        <w:fldChar w:fldCharType="end"/>
      </w:r>
      <w:r>
        <w:rPr>
          <w:spacing w:val="-2"/>
          <w:sz w:val="21"/>
          <w:szCs w:val="21"/>
        </w:rPr>
        <w:t>)</w:t>
      </w:r>
      <w:r>
        <w:rPr>
          <w:spacing w:val="41"/>
          <w:sz w:val="21"/>
          <w:szCs w:val="21"/>
        </w:rPr>
        <w:t xml:space="preserve"> </w:t>
      </w:r>
      <w:r>
        <w:rPr>
          <w:spacing w:val="-2"/>
          <w:sz w:val="21"/>
          <w:szCs w:val="21"/>
        </w:rPr>
        <w:t>被列入失信被执行人名单；</w:t>
      </w:r>
    </w:p>
    <w:p w14:paraId="2096D199">
      <w:pPr>
        <w:pStyle w:val="2"/>
        <w:spacing w:before="163" w:line="219" w:lineRule="auto"/>
        <w:ind w:left="820"/>
        <w:rPr>
          <w:sz w:val="21"/>
          <w:szCs w:val="21"/>
        </w:rPr>
      </w:pPr>
      <w:r>
        <w:rPr>
          <w:spacing w:val="2"/>
          <w:sz w:val="21"/>
          <w:szCs w:val="21"/>
        </w:rPr>
        <w:t>(18)在近三年内投标人或其法定代表人、拟委任的项目经</w:t>
      </w:r>
      <w:r>
        <w:rPr>
          <w:spacing w:val="1"/>
          <w:sz w:val="21"/>
          <w:szCs w:val="21"/>
        </w:rPr>
        <w:t>理有行贿犯罪行为；</w:t>
      </w:r>
    </w:p>
    <w:p w14:paraId="0FF8CBEA">
      <w:pPr>
        <w:pStyle w:val="2"/>
        <w:spacing w:before="161" w:line="219" w:lineRule="auto"/>
        <w:ind w:left="820"/>
        <w:rPr>
          <w:sz w:val="21"/>
          <w:szCs w:val="21"/>
        </w:rPr>
      </w:pPr>
      <w:r>
        <w:rPr>
          <w:spacing w:val="3"/>
          <w:sz w:val="21"/>
          <w:szCs w:val="21"/>
        </w:rPr>
        <w:t>(19)法律法规或投标人须知前附表规定的其他情形。</w:t>
      </w:r>
    </w:p>
    <w:p w14:paraId="33DEB4CC">
      <w:pPr>
        <w:spacing w:before="80" w:line="222" w:lineRule="auto"/>
        <w:ind w:left="413"/>
        <w:outlineLvl w:val="2"/>
        <w:rPr>
          <w:rFonts w:ascii="黑体" w:hAnsi="黑体" w:eastAsia="黑体" w:cs="黑体"/>
          <w:sz w:val="25"/>
          <w:szCs w:val="25"/>
        </w:rPr>
      </w:pPr>
      <w:bookmarkStart w:id="13" w:name="bookmark10"/>
      <w:bookmarkEnd w:id="13"/>
      <w:r>
        <w:rPr>
          <w:rFonts w:ascii="黑体" w:hAnsi="黑体" w:eastAsia="黑体" w:cs="黑体"/>
          <w:b/>
          <w:bCs/>
          <w:spacing w:val="12"/>
          <w:sz w:val="25"/>
          <w:szCs w:val="25"/>
        </w:rPr>
        <w:t>1.5费用承担</w:t>
      </w:r>
    </w:p>
    <w:p w14:paraId="047F0719">
      <w:pPr>
        <w:pStyle w:val="2"/>
        <w:spacing w:before="172" w:line="220" w:lineRule="auto"/>
        <w:ind w:left="409"/>
        <w:rPr>
          <w:sz w:val="21"/>
          <w:szCs w:val="21"/>
        </w:rPr>
      </w:pPr>
      <w:r>
        <w:rPr>
          <w:spacing w:val="-2"/>
          <w:sz w:val="21"/>
          <w:szCs w:val="21"/>
        </w:rPr>
        <w:t>投标人准备和参加投标活动发生的费用自理。</w:t>
      </w:r>
    </w:p>
    <w:p w14:paraId="79240614">
      <w:pPr>
        <w:spacing w:before="115" w:line="221" w:lineRule="auto"/>
        <w:ind w:left="413"/>
        <w:outlineLvl w:val="2"/>
        <w:rPr>
          <w:rFonts w:ascii="黑体" w:hAnsi="黑体" w:eastAsia="黑体" w:cs="黑体"/>
          <w:sz w:val="25"/>
          <w:szCs w:val="25"/>
        </w:rPr>
      </w:pPr>
      <w:bookmarkStart w:id="14" w:name="bookmark11"/>
      <w:bookmarkEnd w:id="14"/>
      <w:r>
        <w:rPr>
          <w:rFonts w:ascii="黑体" w:hAnsi="黑体" w:eastAsia="黑体" w:cs="黑体"/>
          <w:b/>
          <w:bCs/>
          <w:spacing w:val="15"/>
          <w:sz w:val="25"/>
          <w:szCs w:val="25"/>
        </w:rPr>
        <w:t>1.6保密</w:t>
      </w:r>
    </w:p>
    <w:p w14:paraId="67D9001A">
      <w:pPr>
        <w:pStyle w:val="2"/>
        <w:spacing w:before="125" w:line="362" w:lineRule="auto"/>
        <w:ind w:right="222" w:firstLine="409"/>
        <w:rPr>
          <w:sz w:val="21"/>
          <w:szCs w:val="21"/>
        </w:rPr>
      </w:pPr>
      <w:r>
        <w:rPr>
          <w:spacing w:val="2"/>
          <w:sz w:val="21"/>
          <w:szCs w:val="21"/>
        </w:rPr>
        <w:t>参与招标投标活动的各方应对招标文件和投标文件中的商业和技术等秘密保密，违者应对由</w:t>
      </w:r>
      <w:r>
        <w:rPr>
          <w:spacing w:val="13"/>
          <w:sz w:val="21"/>
          <w:szCs w:val="21"/>
        </w:rPr>
        <w:t xml:space="preserve"> </w:t>
      </w:r>
      <w:r>
        <w:rPr>
          <w:spacing w:val="-3"/>
          <w:sz w:val="21"/>
          <w:szCs w:val="21"/>
        </w:rPr>
        <w:t>此造成的后果承担法律责任。</w:t>
      </w:r>
    </w:p>
    <w:p w14:paraId="4A8FFB81">
      <w:pPr>
        <w:spacing w:line="362" w:lineRule="auto"/>
        <w:rPr>
          <w:sz w:val="21"/>
          <w:szCs w:val="21"/>
        </w:rPr>
        <w:sectPr>
          <w:footerReference r:id="rId20" w:type="default"/>
          <w:pgSz w:w="11910" w:h="16840"/>
          <w:pgMar w:top="1431" w:right="1323" w:bottom="1001" w:left="1460" w:header="0" w:footer="857" w:gutter="0"/>
          <w:cols w:space="720" w:num="1"/>
        </w:sectPr>
      </w:pPr>
    </w:p>
    <w:p w14:paraId="627C9505">
      <w:pPr>
        <w:spacing w:line="270" w:lineRule="auto"/>
        <w:rPr>
          <w:rFonts w:ascii="Arial"/>
          <w:sz w:val="21"/>
        </w:rPr>
      </w:pPr>
    </w:p>
    <w:p w14:paraId="391A8FE4">
      <w:pPr>
        <w:spacing w:before="82" w:line="222" w:lineRule="auto"/>
        <w:ind w:left="433"/>
        <w:outlineLvl w:val="2"/>
        <w:rPr>
          <w:rFonts w:ascii="黑体" w:hAnsi="黑体" w:eastAsia="黑体" w:cs="黑体"/>
          <w:sz w:val="25"/>
          <w:szCs w:val="25"/>
        </w:rPr>
      </w:pPr>
      <w:bookmarkStart w:id="15" w:name="bookmark12"/>
      <w:bookmarkEnd w:id="15"/>
      <w:bookmarkStart w:id="16" w:name="bookmark221"/>
      <w:bookmarkEnd w:id="16"/>
      <w:r>
        <w:rPr>
          <w:rFonts w:ascii="黑体" w:hAnsi="黑体" w:eastAsia="黑体" w:cs="黑体"/>
          <w:b/>
          <w:bCs/>
          <w:spacing w:val="13"/>
          <w:sz w:val="25"/>
          <w:szCs w:val="25"/>
        </w:rPr>
        <w:t>1.7语言文字</w:t>
      </w:r>
    </w:p>
    <w:p w14:paraId="628E255C">
      <w:pPr>
        <w:pStyle w:val="2"/>
        <w:spacing w:before="161" w:line="219" w:lineRule="auto"/>
        <w:ind w:left="429"/>
        <w:rPr>
          <w:sz w:val="20"/>
          <w:szCs w:val="20"/>
        </w:rPr>
      </w:pPr>
      <w:r>
        <w:rPr>
          <w:spacing w:val="10"/>
          <w:sz w:val="20"/>
          <w:szCs w:val="20"/>
        </w:rPr>
        <w:t>除专用术语外，与招标投标有关的语言均使用中文。必要时专</w:t>
      </w:r>
      <w:r>
        <w:rPr>
          <w:spacing w:val="9"/>
          <w:sz w:val="20"/>
          <w:szCs w:val="20"/>
        </w:rPr>
        <w:t>用术语应附有中文注释。</w:t>
      </w:r>
    </w:p>
    <w:p w14:paraId="2A2BEEA8">
      <w:pPr>
        <w:spacing w:before="122" w:line="222" w:lineRule="auto"/>
        <w:ind w:left="433"/>
        <w:outlineLvl w:val="2"/>
        <w:rPr>
          <w:rFonts w:ascii="黑体" w:hAnsi="黑体" w:eastAsia="黑体" w:cs="黑体"/>
          <w:sz w:val="25"/>
          <w:szCs w:val="25"/>
        </w:rPr>
      </w:pPr>
      <w:bookmarkStart w:id="17" w:name="bookmark13"/>
      <w:bookmarkEnd w:id="17"/>
      <w:r>
        <w:rPr>
          <w:rFonts w:ascii="黑体" w:hAnsi="黑体" w:eastAsia="黑体" w:cs="黑体"/>
          <w:b/>
          <w:bCs/>
          <w:spacing w:val="13"/>
          <w:sz w:val="25"/>
          <w:szCs w:val="25"/>
        </w:rPr>
        <w:t>1.8计量单位</w:t>
      </w:r>
    </w:p>
    <w:p w14:paraId="2C8A9C42">
      <w:pPr>
        <w:pStyle w:val="2"/>
        <w:spacing w:before="129" w:line="219" w:lineRule="auto"/>
        <w:ind w:left="429"/>
        <w:rPr>
          <w:sz w:val="20"/>
          <w:szCs w:val="20"/>
        </w:rPr>
      </w:pPr>
      <w:r>
        <w:rPr>
          <w:spacing w:val="8"/>
          <w:sz w:val="20"/>
          <w:szCs w:val="20"/>
        </w:rPr>
        <w:t>所有计量均采用中华人民共和国法定计量单位。</w:t>
      </w:r>
    </w:p>
    <w:p w14:paraId="38BCBC26">
      <w:pPr>
        <w:spacing w:before="120" w:line="222" w:lineRule="auto"/>
        <w:ind w:left="433"/>
        <w:outlineLvl w:val="2"/>
        <w:rPr>
          <w:rFonts w:ascii="黑体" w:hAnsi="黑体" w:eastAsia="黑体" w:cs="黑体"/>
          <w:sz w:val="25"/>
          <w:szCs w:val="25"/>
        </w:rPr>
      </w:pPr>
      <w:bookmarkStart w:id="18" w:name="bookmark14"/>
      <w:bookmarkEnd w:id="18"/>
      <w:r>
        <w:rPr>
          <w:rFonts w:ascii="黑体" w:hAnsi="黑体" w:eastAsia="黑体" w:cs="黑体"/>
          <w:b/>
          <w:bCs/>
          <w:spacing w:val="13"/>
          <w:sz w:val="25"/>
          <w:szCs w:val="25"/>
        </w:rPr>
        <w:t>1.9踏勘现场</w:t>
      </w:r>
    </w:p>
    <w:p w14:paraId="50744CDE">
      <w:pPr>
        <w:pStyle w:val="2"/>
        <w:spacing w:before="140" w:line="295" w:lineRule="auto"/>
        <w:ind w:right="122" w:firstLine="429"/>
        <w:rPr>
          <w:sz w:val="20"/>
          <w:szCs w:val="20"/>
        </w:rPr>
      </w:pPr>
      <w:r>
        <w:rPr>
          <w:spacing w:val="10"/>
          <w:sz w:val="20"/>
          <w:szCs w:val="20"/>
        </w:rPr>
        <w:t>1.9.1</w:t>
      </w:r>
      <w:r>
        <w:rPr>
          <w:spacing w:val="36"/>
          <w:sz w:val="20"/>
          <w:szCs w:val="20"/>
        </w:rPr>
        <w:t xml:space="preserve"> </w:t>
      </w:r>
      <w:r>
        <w:rPr>
          <w:spacing w:val="10"/>
          <w:sz w:val="20"/>
          <w:szCs w:val="20"/>
        </w:rPr>
        <w:t>投标人须知前附表规定组织踏勘现场的，招标人按投标人须知前附表规定的时间、地</w:t>
      </w:r>
      <w:r>
        <w:rPr>
          <w:sz w:val="20"/>
          <w:szCs w:val="20"/>
        </w:rPr>
        <w:t xml:space="preserve"> </w:t>
      </w:r>
      <w:r>
        <w:rPr>
          <w:spacing w:val="7"/>
          <w:sz w:val="20"/>
          <w:szCs w:val="20"/>
        </w:rPr>
        <w:t>点组织投标人踏勘项目现场。</w:t>
      </w:r>
    </w:p>
    <w:p w14:paraId="128AE81A">
      <w:pPr>
        <w:pStyle w:val="2"/>
        <w:spacing w:before="173" w:line="219" w:lineRule="auto"/>
        <w:ind w:left="429"/>
        <w:rPr>
          <w:sz w:val="20"/>
          <w:szCs w:val="20"/>
        </w:rPr>
      </w:pPr>
      <w:r>
        <w:rPr>
          <w:spacing w:val="12"/>
          <w:sz w:val="20"/>
          <w:szCs w:val="20"/>
        </w:rPr>
        <w:t>1.9.2投标人踏勘现场发生的费用自理。</w:t>
      </w:r>
    </w:p>
    <w:p w14:paraId="54B3C61A">
      <w:pPr>
        <w:pStyle w:val="2"/>
        <w:spacing w:before="163" w:line="219" w:lineRule="auto"/>
        <w:ind w:left="429"/>
        <w:rPr>
          <w:sz w:val="20"/>
          <w:szCs w:val="20"/>
        </w:rPr>
      </w:pPr>
      <w:r>
        <w:rPr>
          <w:spacing w:val="8"/>
          <w:sz w:val="20"/>
          <w:szCs w:val="20"/>
        </w:rPr>
        <w:t>1.9.3</w:t>
      </w:r>
      <w:r>
        <w:rPr>
          <w:spacing w:val="52"/>
          <w:sz w:val="20"/>
          <w:szCs w:val="20"/>
        </w:rPr>
        <w:t xml:space="preserve"> </w:t>
      </w:r>
      <w:r>
        <w:rPr>
          <w:spacing w:val="8"/>
          <w:sz w:val="20"/>
          <w:szCs w:val="20"/>
        </w:rPr>
        <w:t>除招标人的原因外，投标人自行负责在踏勘现场中所发生的人员伤亡和财产损</w:t>
      </w:r>
      <w:r>
        <w:rPr>
          <w:spacing w:val="7"/>
          <w:sz w:val="20"/>
          <w:szCs w:val="20"/>
        </w:rPr>
        <w:t>失。</w:t>
      </w:r>
    </w:p>
    <w:p w14:paraId="194A9C4E">
      <w:pPr>
        <w:pStyle w:val="2"/>
        <w:spacing w:before="162" w:line="290" w:lineRule="auto"/>
        <w:ind w:right="89" w:firstLine="429"/>
        <w:rPr>
          <w:sz w:val="20"/>
          <w:szCs w:val="20"/>
        </w:rPr>
      </w:pPr>
      <w:r>
        <w:rPr>
          <w:spacing w:val="11"/>
          <w:sz w:val="20"/>
          <w:szCs w:val="20"/>
        </w:rPr>
        <w:t>1.9.4 招标人在踏勘现场中介绍的工程场地和相关的周边环境情况，供投标人在编制投标文</w:t>
      </w:r>
      <w:r>
        <w:rPr>
          <w:spacing w:val="17"/>
          <w:sz w:val="20"/>
          <w:szCs w:val="20"/>
        </w:rPr>
        <w:t xml:space="preserve"> </w:t>
      </w:r>
      <w:r>
        <w:rPr>
          <w:spacing w:val="9"/>
          <w:sz w:val="20"/>
          <w:szCs w:val="20"/>
        </w:rPr>
        <w:t>件时参考，招标人不对投标人据此作出的判断和决策负责。</w:t>
      </w:r>
    </w:p>
    <w:p w14:paraId="0FD75666">
      <w:pPr>
        <w:spacing w:before="119" w:line="222" w:lineRule="auto"/>
        <w:ind w:left="433"/>
        <w:outlineLvl w:val="2"/>
        <w:rPr>
          <w:rFonts w:ascii="黑体" w:hAnsi="黑体" w:eastAsia="黑体" w:cs="黑体"/>
          <w:sz w:val="25"/>
          <w:szCs w:val="25"/>
        </w:rPr>
      </w:pPr>
      <w:bookmarkStart w:id="19" w:name="bookmark15"/>
      <w:bookmarkEnd w:id="19"/>
      <w:r>
        <w:rPr>
          <w:rFonts w:ascii="黑体" w:hAnsi="黑体" w:eastAsia="黑体" w:cs="黑体"/>
          <w:b/>
          <w:bCs/>
          <w:spacing w:val="8"/>
          <w:sz w:val="25"/>
          <w:szCs w:val="25"/>
        </w:rPr>
        <w:t>1.10投标预备会</w:t>
      </w:r>
    </w:p>
    <w:p w14:paraId="1A66564C">
      <w:pPr>
        <w:pStyle w:val="2"/>
        <w:spacing w:before="124" w:line="307" w:lineRule="auto"/>
        <w:ind w:right="113" w:firstLine="429"/>
        <w:rPr>
          <w:sz w:val="20"/>
          <w:szCs w:val="20"/>
        </w:rPr>
      </w:pPr>
      <w:r>
        <w:rPr>
          <w:rFonts w:ascii="黑体" w:hAnsi="黑体" w:eastAsia="黑体" w:cs="黑体"/>
          <w:spacing w:val="11"/>
          <w:sz w:val="20"/>
          <w:szCs w:val="20"/>
        </w:rPr>
        <w:t>1.10.1投标人须知前附表规定召开投标预备会的，招标人按投标人须知前</w:t>
      </w:r>
      <w:r>
        <w:rPr>
          <w:rFonts w:ascii="黑体" w:hAnsi="黑体" w:eastAsia="黑体" w:cs="黑体"/>
          <w:spacing w:val="10"/>
          <w:sz w:val="20"/>
          <w:szCs w:val="20"/>
        </w:rPr>
        <w:t>附表规定的时间和</w:t>
      </w:r>
      <w:r>
        <w:rPr>
          <w:rFonts w:ascii="黑体" w:hAnsi="黑体" w:eastAsia="黑体" w:cs="黑体"/>
          <w:sz w:val="20"/>
          <w:szCs w:val="20"/>
        </w:rPr>
        <w:t xml:space="preserve"> </w:t>
      </w:r>
      <w:r>
        <w:rPr>
          <w:spacing w:val="8"/>
          <w:sz w:val="20"/>
          <w:szCs w:val="20"/>
        </w:rPr>
        <w:t>地点召开投标预备会，澄清投标人提出的问题。</w:t>
      </w:r>
    </w:p>
    <w:p w14:paraId="6E3A2D11">
      <w:pPr>
        <w:pStyle w:val="2"/>
        <w:spacing w:before="153" w:line="289" w:lineRule="auto"/>
        <w:ind w:right="34" w:firstLine="429"/>
        <w:rPr>
          <w:sz w:val="20"/>
          <w:szCs w:val="20"/>
        </w:rPr>
      </w:pPr>
      <w:r>
        <w:rPr>
          <w:rFonts w:ascii="Times New Roman" w:hAnsi="Times New Roman" w:eastAsia="Times New Roman" w:cs="Times New Roman"/>
          <w:spacing w:val="5"/>
          <w:sz w:val="20"/>
          <w:szCs w:val="20"/>
        </w:rPr>
        <w:t xml:space="preserve">1.10.2    </w:t>
      </w:r>
      <w:r>
        <w:rPr>
          <w:rFonts w:ascii="黑体" w:hAnsi="黑体" w:eastAsia="黑体" w:cs="黑体"/>
          <w:spacing w:val="5"/>
          <w:sz w:val="20"/>
          <w:szCs w:val="20"/>
        </w:rPr>
        <w:t>在投标人须知前附表规定的时间前，投标人应使用</w:t>
      </w:r>
      <w:r>
        <w:rPr>
          <w:rFonts w:ascii="Times New Roman" w:hAnsi="Times New Roman" w:eastAsia="Times New Roman" w:cs="Times New Roman"/>
          <w:sz w:val="20"/>
          <w:szCs w:val="20"/>
        </w:rPr>
        <w:t>CA</w:t>
      </w:r>
      <w:r>
        <w:rPr>
          <w:rFonts w:ascii="Times New Roman" w:hAnsi="Times New Roman" w:eastAsia="Times New Roman" w:cs="Times New Roman"/>
          <w:spacing w:val="-12"/>
          <w:sz w:val="20"/>
          <w:szCs w:val="20"/>
        </w:rPr>
        <w:t xml:space="preserve"> </w:t>
      </w:r>
      <w:r>
        <w:rPr>
          <w:rFonts w:ascii="黑体" w:hAnsi="黑体" w:eastAsia="黑体" w:cs="黑体"/>
          <w:spacing w:val="5"/>
          <w:sz w:val="20"/>
          <w:szCs w:val="20"/>
        </w:rPr>
        <w:t>数字证书登录“电</w:t>
      </w:r>
      <w:r>
        <w:rPr>
          <w:rFonts w:ascii="黑体" w:hAnsi="黑体" w:eastAsia="黑体" w:cs="黑体"/>
          <w:spacing w:val="4"/>
          <w:sz w:val="20"/>
          <w:szCs w:val="20"/>
        </w:rPr>
        <w:t>子交易平台”,</w:t>
      </w:r>
      <w:r>
        <w:rPr>
          <w:rFonts w:ascii="黑体" w:hAnsi="黑体" w:eastAsia="黑体" w:cs="黑体"/>
          <w:sz w:val="20"/>
          <w:szCs w:val="20"/>
        </w:rPr>
        <w:t xml:space="preserve"> </w:t>
      </w:r>
      <w:r>
        <w:rPr>
          <w:spacing w:val="10"/>
          <w:sz w:val="20"/>
          <w:szCs w:val="20"/>
        </w:rPr>
        <w:t>在“投标答疑”菜单以书面形式将提出的问题送达招标人，以</w:t>
      </w:r>
      <w:r>
        <w:rPr>
          <w:spacing w:val="9"/>
          <w:sz w:val="20"/>
          <w:szCs w:val="20"/>
        </w:rPr>
        <w:t>便招标人在会议期间澄清。</w:t>
      </w:r>
    </w:p>
    <w:p w14:paraId="76220BA8">
      <w:pPr>
        <w:pStyle w:val="2"/>
        <w:spacing w:before="165" w:line="322" w:lineRule="auto"/>
        <w:ind w:firstLine="429"/>
        <w:rPr>
          <w:sz w:val="20"/>
          <w:szCs w:val="20"/>
        </w:rPr>
      </w:pPr>
      <w:r>
        <w:rPr>
          <w:spacing w:val="7"/>
          <w:sz w:val="20"/>
          <w:szCs w:val="20"/>
        </w:rPr>
        <w:t>1.10.3</w:t>
      </w:r>
      <w:r>
        <w:rPr>
          <w:spacing w:val="57"/>
          <w:sz w:val="20"/>
          <w:szCs w:val="20"/>
        </w:rPr>
        <w:t xml:space="preserve"> </w:t>
      </w:r>
      <w:r>
        <w:rPr>
          <w:rFonts w:ascii="黑体" w:hAnsi="黑体" w:eastAsia="黑体" w:cs="黑体"/>
          <w:spacing w:val="7"/>
          <w:sz w:val="20"/>
          <w:szCs w:val="20"/>
        </w:rPr>
        <w:t>投标预备会后，招标人在本章第2.2.2项规定的时间内，将对投标人所提问题的澄清，</w:t>
      </w:r>
      <w:r>
        <w:rPr>
          <w:rFonts w:ascii="黑体" w:hAnsi="黑体" w:eastAsia="黑体" w:cs="黑体"/>
          <w:sz w:val="20"/>
          <w:szCs w:val="20"/>
        </w:rPr>
        <w:t xml:space="preserve"> </w:t>
      </w:r>
      <w:r>
        <w:rPr>
          <w:spacing w:val="12"/>
          <w:sz w:val="20"/>
          <w:szCs w:val="20"/>
        </w:rPr>
        <w:t>以书面形式通过“电子交易平台”通知所有下载招标文</w:t>
      </w:r>
      <w:r>
        <w:rPr>
          <w:spacing w:val="11"/>
          <w:sz w:val="20"/>
          <w:szCs w:val="20"/>
        </w:rPr>
        <w:t>件的投标人。该澄清内容为招标文件的组</w:t>
      </w:r>
      <w:r>
        <w:rPr>
          <w:sz w:val="20"/>
          <w:szCs w:val="20"/>
        </w:rPr>
        <w:t xml:space="preserve">  </w:t>
      </w:r>
      <w:r>
        <w:rPr>
          <w:spacing w:val="2"/>
          <w:sz w:val="20"/>
          <w:szCs w:val="20"/>
        </w:rPr>
        <w:t>成部分。</w:t>
      </w:r>
    </w:p>
    <w:p w14:paraId="174DFAB9">
      <w:pPr>
        <w:spacing w:before="121" w:line="222" w:lineRule="auto"/>
        <w:ind w:left="433"/>
        <w:outlineLvl w:val="2"/>
        <w:rPr>
          <w:rFonts w:ascii="黑体" w:hAnsi="黑体" w:eastAsia="黑体" w:cs="黑体"/>
          <w:sz w:val="25"/>
          <w:szCs w:val="25"/>
        </w:rPr>
      </w:pPr>
      <w:bookmarkStart w:id="20" w:name="bookmark16"/>
      <w:bookmarkEnd w:id="20"/>
      <w:r>
        <w:rPr>
          <w:rFonts w:ascii="黑体" w:hAnsi="黑体" w:eastAsia="黑体" w:cs="黑体"/>
          <w:b/>
          <w:bCs/>
          <w:spacing w:val="15"/>
          <w:sz w:val="25"/>
          <w:szCs w:val="25"/>
        </w:rPr>
        <w:t>1.11分包</w:t>
      </w:r>
    </w:p>
    <w:p w14:paraId="1EF8DCA2">
      <w:pPr>
        <w:pStyle w:val="2"/>
        <w:spacing w:before="171" w:line="336" w:lineRule="auto"/>
        <w:ind w:right="64" w:firstLine="599"/>
        <w:rPr>
          <w:sz w:val="20"/>
          <w:szCs w:val="20"/>
        </w:rPr>
      </w:pPr>
      <w:r>
        <w:rPr>
          <w:spacing w:val="9"/>
          <w:sz w:val="20"/>
          <w:szCs w:val="20"/>
        </w:rPr>
        <w:t>投标人拟在中标后将中标项目的部分非主体、非关键性</w:t>
      </w:r>
      <w:r>
        <w:rPr>
          <w:spacing w:val="8"/>
          <w:sz w:val="20"/>
          <w:szCs w:val="20"/>
        </w:rPr>
        <w:t>工作进行分包的，应符合投标人须知</w:t>
      </w:r>
      <w:r>
        <w:rPr>
          <w:sz w:val="20"/>
          <w:szCs w:val="20"/>
        </w:rPr>
        <w:t xml:space="preserve"> </w:t>
      </w:r>
      <w:r>
        <w:rPr>
          <w:spacing w:val="9"/>
          <w:sz w:val="20"/>
          <w:szCs w:val="20"/>
        </w:rPr>
        <w:t>前附表规定的分包内容、分包金额和接受分包的第三人资质要求等限制性条件。</w:t>
      </w:r>
    </w:p>
    <w:p w14:paraId="0EE96DFD">
      <w:pPr>
        <w:spacing w:before="1" w:line="222" w:lineRule="auto"/>
        <w:ind w:left="433"/>
        <w:outlineLvl w:val="2"/>
        <w:rPr>
          <w:rFonts w:ascii="黑体" w:hAnsi="黑体" w:eastAsia="黑体" w:cs="黑体"/>
          <w:sz w:val="25"/>
          <w:szCs w:val="25"/>
        </w:rPr>
      </w:pPr>
      <w:bookmarkStart w:id="21" w:name="bookmark17"/>
      <w:bookmarkEnd w:id="21"/>
      <w:r>
        <w:rPr>
          <w:rFonts w:ascii="黑体" w:hAnsi="黑体" w:eastAsia="黑体" w:cs="黑体"/>
          <w:b/>
          <w:bCs/>
          <w:spacing w:val="14"/>
          <w:sz w:val="25"/>
          <w:szCs w:val="25"/>
        </w:rPr>
        <w:t>1.12偏离</w:t>
      </w:r>
    </w:p>
    <w:p w14:paraId="0160CB6D">
      <w:pPr>
        <w:pStyle w:val="2"/>
        <w:spacing w:before="150" w:line="369" w:lineRule="auto"/>
        <w:ind w:right="68" w:firstLine="369"/>
        <w:rPr>
          <w:sz w:val="20"/>
          <w:szCs w:val="20"/>
        </w:rPr>
      </w:pPr>
      <w:r>
        <w:rPr>
          <w:spacing w:val="9"/>
          <w:sz w:val="20"/>
          <w:szCs w:val="20"/>
        </w:rPr>
        <w:t>投标人须知前附表允许投标文件偏离招标文件某些要求的，偏离应当符合招标文件规定的偏离</w:t>
      </w:r>
      <w:r>
        <w:rPr>
          <w:spacing w:val="2"/>
          <w:sz w:val="20"/>
          <w:szCs w:val="20"/>
        </w:rPr>
        <w:t xml:space="preserve"> </w:t>
      </w:r>
      <w:r>
        <w:rPr>
          <w:spacing w:val="3"/>
          <w:sz w:val="20"/>
          <w:szCs w:val="20"/>
        </w:rPr>
        <w:t>范围和幅度。</w:t>
      </w:r>
    </w:p>
    <w:p w14:paraId="7F04C5D1">
      <w:pPr>
        <w:pStyle w:val="2"/>
        <w:spacing w:before="1" w:line="221" w:lineRule="auto"/>
        <w:ind w:left="4"/>
        <w:outlineLvl w:val="1"/>
        <w:rPr>
          <w:rFonts w:ascii="黑体" w:hAnsi="黑体" w:eastAsia="黑体" w:cs="黑体"/>
          <w:sz w:val="30"/>
          <w:szCs w:val="30"/>
        </w:rPr>
      </w:pPr>
      <w:bookmarkStart w:id="22" w:name="bookmark18"/>
      <w:bookmarkEnd w:id="22"/>
      <w:r>
        <w:rPr>
          <w:b/>
          <w:bCs/>
          <w:spacing w:val="2"/>
          <w:sz w:val="30"/>
          <w:szCs w:val="30"/>
        </w:rPr>
        <w:t>2.</w:t>
      </w:r>
      <w:r>
        <w:rPr>
          <w:rFonts w:ascii="黑体" w:hAnsi="黑体" w:eastAsia="黑体" w:cs="黑体"/>
          <w:b/>
          <w:bCs/>
          <w:spacing w:val="2"/>
          <w:sz w:val="30"/>
          <w:szCs w:val="30"/>
        </w:rPr>
        <w:t>招标文件</w:t>
      </w:r>
    </w:p>
    <w:p w14:paraId="532F8800">
      <w:pPr>
        <w:spacing w:before="88" w:line="222" w:lineRule="auto"/>
        <w:ind w:left="433"/>
        <w:outlineLvl w:val="2"/>
        <w:rPr>
          <w:rFonts w:ascii="黑体" w:hAnsi="黑体" w:eastAsia="黑体" w:cs="黑体"/>
          <w:sz w:val="25"/>
          <w:szCs w:val="25"/>
        </w:rPr>
      </w:pPr>
      <w:bookmarkStart w:id="23" w:name="bookmark19"/>
      <w:bookmarkEnd w:id="23"/>
      <w:r>
        <w:rPr>
          <w:rFonts w:ascii="黑体" w:hAnsi="黑体" w:eastAsia="黑体" w:cs="黑体"/>
          <w:b/>
          <w:bCs/>
          <w:spacing w:val="8"/>
          <w:sz w:val="25"/>
          <w:szCs w:val="25"/>
        </w:rPr>
        <w:t>2.1招标文件的组成</w:t>
      </w:r>
    </w:p>
    <w:p w14:paraId="592840DF">
      <w:pPr>
        <w:pStyle w:val="2"/>
        <w:spacing w:before="141" w:line="219" w:lineRule="auto"/>
        <w:ind w:left="429"/>
        <w:rPr>
          <w:sz w:val="20"/>
          <w:szCs w:val="20"/>
        </w:rPr>
      </w:pPr>
      <w:r>
        <w:rPr>
          <w:spacing w:val="10"/>
          <w:sz w:val="20"/>
          <w:szCs w:val="20"/>
        </w:rPr>
        <w:t>2.1.1本招标文件包括：</w:t>
      </w:r>
    </w:p>
    <w:p w14:paraId="195717DC">
      <w:pPr>
        <w:pStyle w:val="2"/>
        <w:spacing w:before="172" w:line="218" w:lineRule="auto"/>
        <w:ind w:left="429"/>
        <w:rPr>
          <w:sz w:val="20"/>
          <w:szCs w:val="20"/>
        </w:rPr>
      </w:pPr>
      <w:r>
        <w:rPr>
          <w:spacing w:val="22"/>
          <w:sz w:val="20"/>
          <w:szCs w:val="20"/>
        </w:rPr>
        <w:t>(1)招标公告(或投标邀请书);</w:t>
      </w:r>
    </w:p>
    <w:p w14:paraId="440916D5">
      <w:pPr>
        <w:pStyle w:val="2"/>
        <w:spacing w:before="166" w:line="220" w:lineRule="auto"/>
        <w:ind w:left="429"/>
        <w:rPr>
          <w:sz w:val="20"/>
          <w:szCs w:val="20"/>
        </w:rPr>
      </w:pPr>
      <w:r>
        <w:rPr>
          <w:spacing w:val="15"/>
          <w:sz w:val="20"/>
          <w:szCs w:val="20"/>
        </w:rPr>
        <w:t>(2)投标人须知；</w:t>
      </w:r>
    </w:p>
    <w:p w14:paraId="15524529">
      <w:pPr>
        <w:pStyle w:val="2"/>
        <w:spacing w:before="152" w:line="219" w:lineRule="auto"/>
        <w:ind w:left="429"/>
        <w:rPr>
          <w:sz w:val="20"/>
          <w:szCs w:val="20"/>
        </w:rPr>
      </w:pPr>
      <w:r>
        <w:rPr>
          <w:spacing w:val="17"/>
          <w:sz w:val="20"/>
          <w:szCs w:val="20"/>
        </w:rPr>
        <w:t>(3)评标办法；</w:t>
      </w:r>
    </w:p>
    <w:p w14:paraId="7D41ABB6">
      <w:pPr>
        <w:pStyle w:val="2"/>
        <w:spacing w:before="172" w:line="219" w:lineRule="auto"/>
        <w:ind w:left="429"/>
        <w:rPr>
          <w:sz w:val="20"/>
          <w:szCs w:val="20"/>
        </w:rPr>
      </w:pPr>
      <w:r>
        <w:rPr>
          <w:spacing w:val="14"/>
          <w:sz w:val="20"/>
          <w:szCs w:val="20"/>
        </w:rPr>
        <w:t>(4)合同条款及格式；</w:t>
      </w:r>
    </w:p>
    <w:p w14:paraId="053F95CC">
      <w:pPr>
        <w:pStyle w:val="2"/>
        <w:spacing w:before="164" w:line="220" w:lineRule="auto"/>
        <w:ind w:left="429"/>
        <w:rPr>
          <w:sz w:val="20"/>
          <w:szCs w:val="20"/>
        </w:rPr>
      </w:pPr>
      <w:r>
        <w:rPr>
          <w:spacing w:val="15"/>
          <w:sz w:val="20"/>
          <w:szCs w:val="20"/>
        </w:rPr>
        <w:t>(5)工程量清单；</w:t>
      </w:r>
    </w:p>
    <w:p w14:paraId="18BC131F">
      <w:pPr>
        <w:spacing w:line="220" w:lineRule="auto"/>
        <w:rPr>
          <w:sz w:val="20"/>
          <w:szCs w:val="20"/>
        </w:rPr>
        <w:sectPr>
          <w:footerReference r:id="rId21" w:type="default"/>
          <w:pgSz w:w="11910" w:h="16840"/>
          <w:pgMar w:top="1431" w:right="1449" w:bottom="1027" w:left="1450" w:header="0" w:footer="846" w:gutter="0"/>
          <w:cols w:space="720" w:num="1"/>
        </w:sectPr>
      </w:pPr>
    </w:p>
    <w:p w14:paraId="5AF7F62B">
      <w:pPr>
        <w:spacing w:line="328" w:lineRule="auto"/>
        <w:rPr>
          <w:rFonts w:ascii="Arial"/>
          <w:sz w:val="21"/>
        </w:rPr>
      </w:pPr>
    </w:p>
    <w:p w14:paraId="23627467">
      <w:pPr>
        <w:pStyle w:val="2"/>
        <w:spacing w:before="68" w:line="221" w:lineRule="auto"/>
        <w:ind w:left="409"/>
        <w:rPr>
          <w:sz w:val="21"/>
          <w:szCs w:val="21"/>
        </w:rPr>
      </w:pPr>
      <w:bookmarkStart w:id="24" w:name="bookmark222"/>
      <w:bookmarkEnd w:id="24"/>
      <w:r>
        <w:rPr>
          <w:spacing w:val="11"/>
          <w:sz w:val="21"/>
          <w:szCs w:val="21"/>
        </w:rPr>
        <w:t>(6)图纸；</w:t>
      </w:r>
    </w:p>
    <w:p w14:paraId="182DD2E0">
      <w:pPr>
        <w:pStyle w:val="2"/>
        <w:spacing w:before="137" w:line="219" w:lineRule="auto"/>
        <w:ind w:left="409"/>
        <w:rPr>
          <w:sz w:val="21"/>
          <w:szCs w:val="21"/>
        </w:rPr>
      </w:pPr>
      <w:r>
        <w:rPr>
          <w:spacing w:val="7"/>
          <w:sz w:val="21"/>
          <w:szCs w:val="21"/>
        </w:rPr>
        <w:t>(7)技术标准和要求；</w:t>
      </w:r>
    </w:p>
    <w:p w14:paraId="2C1FE9ED">
      <w:pPr>
        <w:pStyle w:val="2"/>
        <w:spacing w:before="160" w:line="219" w:lineRule="auto"/>
        <w:ind w:left="409"/>
        <w:rPr>
          <w:sz w:val="21"/>
          <w:szCs w:val="21"/>
        </w:rPr>
      </w:pPr>
      <w:r>
        <w:rPr>
          <w:spacing w:val="5"/>
          <w:sz w:val="21"/>
          <w:szCs w:val="21"/>
        </w:rPr>
        <w:t>(8)投标文件格式；</w:t>
      </w:r>
    </w:p>
    <w:p w14:paraId="7F5FC1D0">
      <w:pPr>
        <w:pStyle w:val="2"/>
        <w:spacing w:before="149" w:line="219" w:lineRule="auto"/>
        <w:ind w:left="409"/>
        <w:rPr>
          <w:sz w:val="21"/>
          <w:szCs w:val="21"/>
        </w:rPr>
      </w:pPr>
      <w:r>
        <w:rPr>
          <w:spacing w:val="4"/>
          <w:sz w:val="21"/>
          <w:szCs w:val="21"/>
        </w:rPr>
        <w:t>(9)投标人须知前附表规定的其他材料。</w:t>
      </w:r>
    </w:p>
    <w:p w14:paraId="78E04A8A">
      <w:pPr>
        <w:pStyle w:val="2"/>
        <w:spacing w:before="171" w:line="338" w:lineRule="auto"/>
        <w:ind w:right="97" w:firstLine="409"/>
        <w:rPr>
          <w:sz w:val="21"/>
          <w:szCs w:val="21"/>
        </w:rPr>
      </w:pPr>
      <w:r>
        <w:rPr>
          <w:spacing w:val="7"/>
          <w:sz w:val="21"/>
          <w:szCs w:val="21"/>
        </w:rPr>
        <w:t>根据本章第1.10款、第2.2款和第2.3款对招标文件所作的澄清</w:t>
      </w:r>
      <w:r>
        <w:rPr>
          <w:spacing w:val="6"/>
          <w:sz w:val="21"/>
          <w:szCs w:val="21"/>
        </w:rPr>
        <w:t>、修改，构成招标文件的组</w:t>
      </w:r>
      <w:r>
        <w:rPr>
          <w:sz w:val="21"/>
          <w:szCs w:val="21"/>
        </w:rPr>
        <w:t xml:space="preserve"> </w:t>
      </w:r>
      <w:r>
        <w:rPr>
          <w:spacing w:val="-8"/>
          <w:sz w:val="21"/>
          <w:szCs w:val="21"/>
        </w:rPr>
        <w:t>成部分。</w:t>
      </w:r>
    </w:p>
    <w:p w14:paraId="4F7677D8">
      <w:pPr>
        <w:pStyle w:val="2"/>
        <w:spacing w:before="1" w:line="217" w:lineRule="auto"/>
        <w:ind w:left="409"/>
        <w:rPr>
          <w:sz w:val="21"/>
          <w:szCs w:val="21"/>
        </w:rPr>
      </w:pPr>
      <w:r>
        <w:rPr>
          <w:spacing w:val="10"/>
          <w:sz w:val="21"/>
          <w:szCs w:val="21"/>
        </w:rPr>
        <w:t>2.1.2招标控制价</w:t>
      </w:r>
    </w:p>
    <w:p w14:paraId="610AA4F7">
      <w:pPr>
        <w:pStyle w:val="2"/>
        <w:spacing w:before="163" w:line="219" w:lineRule="auto"/>
        <w:ind w:left="539"/>
        <w:rPr>
          <w:sz w:val="21"/>
          <w:szCs w:val="21"/>
        </w:rPr>
      </w:pPr>
      <w:r>
        <w:rPr>
          <w:spacing w:val="3"/>
          <w:sz w:val="21"/>
          <w:szCs w:val="21"/>
        </w:rPr>
        <w:t>(1)本工程的计税方法见投标人须知前附表。</w:t>
      </w:r>
    </w:p>
    <w:p w14:paraId="0F088665">
      <w:pPr>
        <w:pStyle w:val="2"/>
        <w:spacing w:before="171" w:line="277" w:lineRule="auto"/>
        <w:ind w:right="93" w:firstLine="539"/>
        <w:rPr>
          <w:sz w:val="21"/>
          <w:szCs w:val="21"/>
        </w:rPr>
      </w:pPr>
      <w:r>
        <w:rPr>
          <w:spacing w:val="2"/>
          <w:sz w:val="21"/>
          <w:szCs w:val="21"/>
        </w:rPr>
        <w:t>(2)招标人将设置招标控制价，招标控制价总价见投</w:t>
      </w:r>
      <w:r>
        <w:rPr>
          <w:spacing w:val="1"/>
          <w:sz w:val="21"/>
          <w:szCs w:val="21"/>
        </w:rPr>
        <w:t>标人须知前附表，招标控制价明细应随</w:t>
      </w:r>
      <w:r>
        <w:rPr>
          <w:sz w:val="21"/>
          <w:szCs w:val="21"/>
        </w:rPr>
        <w:t xml:space="preserve"> </w:t>
      </w:r>
      <w:r>
        <w:rPr>
          <w:spacing w:val="-2"/>
          <w:sz w:val="21"/>
          <w:szCs w:val="21"/>
        </w:rPr>
        <w:t>招标文件发给所有下载招标文件的投标人。</w:t>
      </w:r>
    </w:p>
    <w:p w14:paraId="1604EB3A">
      <w:pPr>
        <w:pStyle w:val="2"/>
        <w:spacing w:before="144" w:line="326" w:lineRule="auto"/>
        <w:ind w:right="85" w:firstLine="539"/>
        <w:rPr>
          <w:sz w:val="21"/>
          <w:szCs w:val="21"/>
        </w:rPr>
      </w:pPr>
      <w:r>
        <w:rPr>
          <w:spacing w:val="3"/>
          <w:sz w:val="21"/>
          <w:szCs w:val="21"/>
        </w:rPr>
        <w:t>(3)招标控制价按照《建设工程工程量清单计价规范》</w:t>
      </w:r>
      <w:r>
        <w:rPr>
          <w:rFonts w:ascii="Times New Roman" w:hAnsi="Times New Roman" w:eastAsia="Times New Roman" w:cs="Times New Roman"/>
          <w:spacing w:val="3"/>
          <w:sz w:val="21"/>
          <w:szCs w:val="21"/>
        </w:rPr>
        <w:t>(</w:t>
      </w:r>
      <w:r>
        <w:rPr>
          <w:rFonts w:ascii="Times New Roman" w:hAnsi="Times New Roman" w:eastAsia="Times New Roman" w:cs="Times New Roman"/>
          <w:sz w:val="21"/>
          <w:szCs w:val="21"/>
        </w:rPr>
        <w:t>GB</w:t>
      </w:r>
      <w:r>
        <w:rPr>
          <w:rFonts w:ascii="Times New Roman" w:hAnsi="Times New Roman" w:eastAsia="Times New Roman" w:cs="Times New Roman"/>
          <w:spacing w:val="3"/>
          <w:sz w:val="21"/>
          <w:szCs w:val="21"/>
        </w:rPr>
        <w:t>50500-2013)</w:t>
      </w:r>
      <w:r>
        <w:rPr>
          <w:rFonts w:ascii="Times New Roman" w:hAnsi="Times New Roman" w:eastAsia="Times New Roman" w:cs="Times New Roman"/>
          <w:spacing w:val="28"/>
          <w:sz w:val="21"/>
          <w:szCs w:val="21"/>
        </w:rPr>
        <w:t xml:space="preserve">  </w:t>
      </w:r>
      <w:r>
        <w:rPr>
          <w:spacing w:val="3"/>
          <w:sz w:val="21"/>
          <w:szCs w:val="21"/>
        </w:rPr>
        <w:t>和配套的工程量计</w:t>
      </w:r>
      <w:r>
        <w:rPr>
          <w:sz w:val="21"/>
          <w:szCs w:val="21"/>
        </w:rPr>
        <w:t xml:space="preserve"> 算规范</w:t>
      </w:r>
      <w:r>
        <w:rPr>
          <w:spacing w:val="-52"/>
          <w:sz w:val="21"/>
          <w:szCs w:val="21"/>
        </w:rPr>
        <w:t xml:space="preserve"> </w:t>
      </w:r>
      <w:r>
        <w:rPr>
          <w:rFonts w:ascii="Times New Roman" w:hAnsi="Times New Roman" w:eastAsia="Times New Roman" w:cs="Times New Roman"/>
          <w:sz w:val="21"/>
          <w:szCs w:val="21"/>
        </w:rPr>
        <w:t>(GB50854-2013</w:t>
      </w:r>
      <w:r>
        <w:rPr>
          <w:sz w:val="21"/>
          <w:szCs w:val="21"/>
        </w:rPr>
        <w:t>～</w:t>
      </w:r>
      <w:r>
        <w:rPr>
          <w:rFonts w:ascii="Times New Roman" w:hAnsi="Times New Roman" w:eastAsia="Times New Roman" w:cs="Times New Roman"/>
          <w:sz w:val="21"/>
          <w:szCs w:val="21"/>
        </w:rPr>
        <w:t>GB50862-2013)</w:t>
      </w:r>
      <w:r>
        <w:rPr>
          <w:rFonts w:ascii="Times New Roman" w:hAnsi="Times New Roman" w:eastAsia="Times New Roman" w:cs="Times New Roman"/>
          <w:spacing w:val="-30"/>
          <w:sz w:val="21"/>
          <w:szCs w:val="21"/>
        </w:rPr>
        <w:t xml:space="preserve"> </w:t>
      </w:r>
      <w:r>
        <w:rPr>
          <w:sz w:val="21"/>
          <w:szCs w:val="21"/>
        </w:rPr>
        <w:t>、</w:t>
      </w:r>
      <w:r>
        <w:rPr>
          <w:spacing w:val="-19"/>
          <w:sz w:val="21"/>
          <w:szCs w:val="21"/>
        </w:rPr>
        <w:t xml:space="preserve"> </w:t>
      </w:r>
      <w:r>
        <w:rPr>
          <w:sz w:val="21"/>
          <w:szCs w:val="21"/>
        </w:rPr>
        <w:t>鄂建文[2013]39号《关于执行&lt;房屋建筑与装饰工程工 程量计算规范&gt;</w:t>
      </w:r>
      <w:r>
        <w:rPr>
          <w:rFonts w:ascii="Times New Roman" w:hAnsi="Times New Roman" w:eastAsia="Times New Roman" w:cs="Times New Roman"/>
          <w:sz w:val="21"/>
          <w:szCs w:val="21"/>
        </w:rPr>
        <w:t>(GB50584-2013)</w:t>
      </w:r>
      <w:r>
        <w:rPr>
          <w:rFonts w:ascii="Times New Roman" w:hAnsi="Times New Roman" w:eastAsia="Times New Roman" w:cs="Times New Roman"/>
          <w:spacing w:val="55"/>
          <w:sz w:val="21"/>
          <w:szCs w:val="21"/>
        </w:rPr>
        <w:t xml:space="preserve"> </w:t>
      </w:r>
      <w:r>
        <w:rPr>
          <w:sz w:val="21"/>
          <w:szCs w:val="21"/>
        </w:rPr>
        <w:t xml:space="preserve">等9项工程量计算规范有关问题的通知》、鄂建办[2018]27号《关 </w:t>
      </w:r>
      <w:r>
        <w:rPr>
          <w:spacing w:val="9"/>
          <w:sz w:val="21"/>
          <w:szCs w:val="21"/>
        </w:rPr>
        <w:t>于发布&lt;湖北省房屋建筑与装饰工程消耗量定额及全费用基价表&gt;等8项定额的通知》、鄂建办</w:t>
      </w:r>
      <w:r>
        <w:rPr>
          <w:spacing w:val="18"/>
          <w:sz w:val="21"/>
          <w:szCs w:val="21"/>
        </w:rPr>
        <w:t xml:space="preserve"> </w:t>
      </w:r>
      <w:r>
        <w:rPr>
          <w:spacing w:val="2"/>
          <w:sz w:val="21"/>
          <w:szCs w:val="21"/>
        </w:rPr>
        <w:t>〔2019〕93号《关于调整湖北省建设工程计价依据的通知》的规定进行编制，具体内容依据</w:t>
      </w:r>
      <w:r>
        <w:rPr>
          <w:spacing w:val="1"/>
          <w:sz w:val="21"/>
          <w:szCs w:val="21"/>
        </w:rPr>
        <w:t>第五</w:t>
      </w:r>
      <w:r>
        <w:rPr>
          <w:sz w:val="21"/>
          <w:szCs w:val="21"/>
        </w:rPr>
        <w:t xml:space="preserve"> </w:t>
      </w:r>
      <w:r>
        <w:rPr>
          <w:spacing w:val="-3"/>
          <w:sz w:val="21"/>
          <w:szCs w:val="21"/>
        </w:rPr>
        <w:t>章工程量清单的说明。</w:t>
      </w:r>
    </w:p>
    <w:p w14:paraId="20AACF7C">
      <w:pPr>
        <w:pStyle w:val="2"/>
        <w:spacing w:before="160" w:line="219" w:lineRule="auto"/>
        <w:ind w:left="413"/>
        <w:outlineLvl w:val="2"/>
      </w:pPr>
      <w:bookmarkStart w:id="25" w:name="bookmark20"/>
      <w:bookmarkEnd w:id="25"/>
      <w:r>
        <w:rPr>
          <w:b/>
          <w:bCs/>
          <w:spacing w:val="7"/>
        </w:rPr>
        <w:t>2.2招标文件的澄清</w:t>
      </w:r>
    </w:p>
    <w:p w14:paraId="1B7C251C">
      <w:pPr>
        <w:pStyle w:val="2"/>
        <w:spacing w:before="134" w:line="306" w:lineRule="auto"/>
        <w:ind w:right="72" w:firstLine="409"/>
        <w:rPr>
          <w:sz w:val="21"/>
          <w:szCs w:val="21"/>
        </w:rPr>
      </w:pPr>
      <w:r>
        <w:rPr>
          <w:sz w:val="21"/>
          <w:szCs w:val="21"/>
        </w:rPr>
        <w:t>2.2.1投标人应仔细阅读和检查招标文件的全部内容。如发现缺页</w:t>
      </w:r>
      <w:r>
        <w:rPr>
          <w:spacing w:val="-1"/>
          <w:sz w:val="21"/>
          <w:szCs w:val="21"/>
        </w:rPr>
        <w:t>或附件不全，应及时向招标</w:t>
      </w:r>
      <w:r>
        <w:rPr>
          <w:sz w:val="21"/>
          <w:szCs w:val="21"/>
        </w:rPr>
        <w:t xml:space="preserve"> 人提出，以便补齐。如有疑问，应在投标人须知前附表规定的时间前，使用</w:t>
      </w:r>
      <w:r>
        <w:rPr>
          <w:spacing w:val="-56"/>
          <w:sz w:val="21"/>
          <w:szCs w:val="21"/>
        </w:rPr>
        <w:t xml:space="preserve"> </w:t>
      </w:r>
      <w:r>
        <w:rPr>
          <w:sz w:val="21"/>
          <w:szCs w:val="21"/>
        </w:rPr>
        <w:t>CA</w:t>
      </w:r>
      <w:r>
        <w:rPr>
          <w:spacing w:val="-48"/>
          <w:sz w:val="21"/>
          <w:szCs w:val="21"/>
        </w:rPr>
        <w:t xml:space="preserve"> </w:t>
      </w:r>
      <w:r>
        <w:rPr>
          <w:sz w:val="21"/>
          <w:szCs w:val="21"/>
        </w:rPr>
        <w:t>数字证</w:t>
      </w:r>
      <w:r>
        <w:rPr>
          <w:spacing w:val="-1"/>
          <w:sz w:val="21"/>
          <w:szCs w:val="21"/>
        </w:rPr>
        <w:t>书登录“电</w:t>
      </w:r>
      <w:r>
        <w:rPr>
          <w:sz w:val="21"/>
          <w:szCs w:val="21"/>
        </w:rPr>
        <w:t xml:space="preserve"> </w:t>
      </w:r>
      <w:r>
        <w:rPr>
          <w:spacing w:val="-1"/>
          <w:sz w:val="21"/>
          <w:szCs w:val="21"/>
        </w:rPr>
        <w:t>子交易平台”,在“投标答疑”菜单以书面形式要求招标人对招标文件予</w:t>
      </w:r>
      <w:r>
        <w:rPr>
          <w:spacing w:val="-2"/>
          <w:sz w:val="21"/>
          <w:szCs w:val="21"/>
        </w:rPr>
        <w:t>以澄清。</w:t>
      </w:r>
    </w:p>
    <w:p w14:paraId="3912CD59">
      <w:pPr>
        <w:pStyle w:val="2"/>
        <w:spacing w:before="176" w:line="302" w:lineRule="auto"/>
        <w:ind w:right="88" w:firstLine="409"/>
        <w:rPr>
          <w:sz w:val="21"/>
          <w:szCs w:val="21"/>
        </w:rPr>
      </w:pPr>
      <w:r>
        <w:rPr>
          <w:spacing w:val="2"/>
          <w:sz w:val="21"/>
          <w:szCs w:val="21"/>
        </w:rPr>
        <w:t>2.2.2 招标人对招标文件的澄清通过“电子交易平台”以书面形式发给所有下载招标文件的</w:t>
      </w:r>
      <w:r>
        <w:rPr>
          <w:spacing w:val="9"/>
          <w:sz w:val="21"/>
          <w:szCs w:val="21"/>
        </w:rPr>
        <w:t xml:space="preserve"> </w:t>
      </w:r>
      <w:r>
        <w:rPr>
          <w:spacing w:val="4"/>
          <w:sz w:val="21"/>
          <w:szCs w:val="21"/>
        </w:rPr>
        <w:t>投标人，但不指明澄清问题的来源。如果澄清通知发出的时间距投标人须知前附表第4.2.1项规</w:t>
      </w:r>
      <w:r>
        <w:rPr>
          <w:spacing w:val="6"/>
          <w:sz w:val="21"/>
          <w:szCs w:val="21"/>
        </w:rPr>
        <w:t xml:space="preserve"> </w:t>
      </w:r>
      <w:r>
        <w:rPr>
          <w:spacing w:val="3"/>
          <w:sz w:val="21"/>
          <w:szCs w:val="21"/>
        </w:rPr>
        <w:t>定的投标截止时间不足15日，并且澄清的内容影响投标文件编制</w:t>
      </w:r>
      <w:r>
        <w:rPr>
          <w:spacing w:val="2"/>
          <w:sz w:val="21"/>
          <w:szCs w:val="21"/>
        </w:rPr>
        <w:t>的，相应延长投标截止时间。</w:t>
      </w:r>
    </w:p>
    <w:p w14:paraId="789CF014">
      <w:pPr>
        <w:pStyle w:val="2"/>
        <w:spacing w:before="149" w:line="286" w:lineRule="auto"/>
        <w:ind w:right="88" w:firstLine="409"/>
        <w:rPr>
          <w:sz w:val="21"/>
          <w:szCs w:val="21"/>
        </w:rPr>
      </w:pPr>
      <w:r>
        <w:rPr>
          <w:sz w:val="21"/>
          <w:szCs w:val="21"/>
        </w:rPr>
        <w:t>2.2.3投标人应</w:t>
      </w:r>
      <w:r>
        <w:rPr>
          <w:b/>
          <w:bCs/>
          <w:sz w:val="21"/>
          <w:szCs w:val="21"/>
        </w:rPr>
        <w:t>实时关注</w:t>
      </w:r>
      <w:r>
        <w:rPr>
          <w:sz w:val="21"/>
          <w:szCs w:val="21"/>
        </w:rPr>
        <w:t>“电子交易平台”上发出</w:t>
      </w:r>
      <w:r>
        <w:rPr>
          <w:spacing w:val="-1"/>
          <w:sz w:val="21"/>
          <w:szCs w:val="21"/>
        </w:rPr>
        <w:t>的澄清通知，因投标人自身原因未及时获知</w:t>
      </w:r>
      <w:r>
        <w:rPr>
          <w:sz w:val="21"/>
          <w:szCs w:val="21"/>
        </w:rPr>
        <w:t xml:space="preserve"> </w:t>
      </w:r>
      <w:r>
        <w:rPr>
          <w:spacing w:val="-2"/>
          <w:sz w:val="21"/>
          <w:szCs w:val="21"/>
        </w:rPr>
        <w:t>澄清内容而导致的任何后果将由投标人自行承担。</w:t>
      </w:r>
    </w:p>
    <w:p w14:paraId="1386018D">
      <w:pPr>
        <w:pStyle w:val="2"/>
        <w:spacing w:before="119" w:line="219" w:lineRule="auto"/>
        <w:ind w:left="413"/>
        <w:outlineLvl w:val="2"/>
      </w:pPr>
      <w:bookmarkStart w:id="26" w:name="bookmark21"/>
      <w:bookmarkEnd w:id="26"/>
      <w:r>
        <w:rPr>
          <w:b/>
          <w:bCs/>
          <w:spacing w:val="7"/>
        </w:rPr>
        <w:t>2.3招标文件的修改</w:t>
      </w:r>
    </w:p>
    <w:p w14:paraId="5FBEEB84">
      <w:pPr>
        <w:pStyle w:val="2"/>
        <w:spacing w:before="154" w:line="302" w:lineRule="auto"/>
        <w:ind w:right="93" w:firstLine="409"/>
        <w:rPr>
          <w:sz w:val="21"/>
          <w:szCs w:val="21"/>
        </w:rPr>
      </w:pPr>
      <w:r>
        <w:rPr>
          <w:spacing w:val="2"/>
          <w:sz w:val="21"/>
          <w:szCs w:val="21"/>
        </w:rPr>
        <w:t>2.3.1 招标人可以书面形式修改招标文件，并通过“电子交易平台”通知所有已下载招标文</w:t>
      </w:r>
      <w:r>
        <w:rPr>
          <w:spacing w:val="4"/>
          <w:sz w:val="21"/>
          <w:szCs w:val="21"/>
        </w:rPr>
        <w:t xml:space="preserve"> 件的投标人。如果修改通知发出的时间距投标人须知前附表第4.2.1项规定的投标截止时间不足</w:t>
      </w:r>
      <w:r>
        <w:rPr>
          <w:spacing w:val="7"/>
          <w:sz w:val="21"/>
          <w:szCs w:val="21"/>
        </w:rPr>
        <w:t xml:space="preserve"> </w:t>
      </w:r>
      <w:r>
        <w:rPr>
          <w:spacing w:val="1"/>
          <w:sz w:val="21"/>
          <w:szCs w:val="21"/>
        </w:rPr>
        <w:t>15日，并且修改的内容影响投标文件编制的，相应延长投标截止时间。</w:t>
      </w:r>
    </w:p>
    <w:p w14:paraId="5D87979A">
      <w:pPr>
        <w:pStyle w:val="2"/>
        <w:spacing w:before="149" w:line="282" w:lineRule="auto"/>
        <w:ind w:right="88" w:firstLine="409"/>
        <w:rPr>
          <w:sz w:val="21"/>
          <w:szCs w:val="21"/>
        </w:rPr>
      </w:pPr>
      <w:r>
        <w:rPr>
          <w:sz w:val="21"/>
          <w:szCs w:val="21"/>
        </w:rPr>
        <w:t>2.3.2投标人应</w:t>
      </w:r>
      <w:r>
        <w:rPr>
          <w:b/>
          <w:bCs/>
          <w:sz w:val="21"/>
          <w:szCs w:val="21"/>
        </w:rPr>
        <w:t>实时关注</w:t>
      </w:r>
      <w:r>
        <w:rPr>
          <w:sz w:val="21"/>
          <w:szCs w:val="21"/>
        </w:rPr>
        <w:t>“电子交易平台”上发出</w:t>
      </w:r>
      <w:r>
        <w:rPr>
          <w:spacing w:val="-1"/>
          <w:sz w:val="21"/>
          <w:szCs w:val="21"/>
        </w:rPr>
        <w:t>的修改通知，因投标人自身原因未及时获知</w:t>
      </w:r>
      <w:r>
        <w:rPr>
          <w:sz w:val="21"/>
          <w:szCs w:val="21"/>
        </w:rPr>
        <w:t xml:space="preserve"> </w:t>
      </w:r>
      <w:r>
        <w:rPr>
          <w:spacing w:val="-2"/>
          <w:sz w:val="21"/>
          <w:szCs w:val="21"/>
        </w:rPr>
        <w:t>修改内容而导致的任何后果将由投标人自行承担。</w:t>
      </w:r>
    </w:p>
    <w:p w14:paraId="470CEC28">
      <w:pPr>
        <w:pStyle w:val="2"/>
        <w:spacing w:before="118" w:line="219" w:lineRule="auto"/>
        <w:ind w:left="413"/>
        <w:outlineLvl w:val="2"/>
      </w:pPr>
      <w:bookmarkStart w:id="27" w:name="bookmark22"/>
      <w:bookmarkEnd w:id="27"/>
      <w:r>
        <w:rPr>
          <w:b/>
          <w:bCs/>
          <w:spacing w:val="7"/>
        </w:rPr>
        <w:t>2.4招标文件的异议</w:t>
      </w:r>
    </w:p>
    <w:p w14:paraId="7EFFC02C">
      <w:pPr>
        <w:pStyle w:val="2"/>
        <w:spacing w:before="156" w:line="219" w:lineRule="auto"/>
        <w:jc w:val="right"/>
        <w:rPr>
          <w:sz w:val="21"/>
          <w:szCs w:val="21"/>
        </w:rPr>
      </w:pPr>
      <w:r>
        <w:rPr>
          <w:spacing w:val="2"/>
          <w:sz w:val="21"/>
          <w:szCs w:val="21"/>
        </w:rPr>
        <w:t>2.4.1投标人或者其他利害关系人对招标文件(包括对招标文件澄清和修改</w:t>
      </w:r>
      <w:r>
        <w:rPr>
          <w:spacing w:val="1"/>
          <w:sz w:val="21"/>
          <w:szCs w:val="21"/>
        </w:rPr>
        <w:t>的内容)有异议的，</w:t>
      </w:r>
    </w:p>
    <w:p w14:paraId="7615FC1E">
      <w:pPr>
        <w:spacing w:line="219" w:lineRule="auto"/>
        <w:rPr>
          <w:sz w:val="21"/>
          <w:szCs w:val="21"/>
        </w:rPr>
        <w:sectPr>
          <w:footerReference r:id="rId22" w:type="default"/>
          <w:pgSz w:w="11910" w:h="16840"/>
          <w:pgMar w:top="1431" w:right="1454" w:bottom="1001" w:left="1460" w:header="0" w:footer="857" w:gutter="0"/>
          <w:cols w:space="720" w:num="1"/>
        </w:sectPr>
      </w:pPr>
    </w:p>
    <w:p w14:paraId="06E66CB7">
      <w:pPr>
        <w:spacing w:line="324" w:lineRule="auto"/>
        <w:rPr>
          <w:rFonts w:ascii="Arial"/>
          <w:sz w:val="21"/>
        </w:rPr>
      </w:pPr>
    </w:p>
    <w:p w14:paraId="6B850ECE">
      <w:pPr>
        <w:pStyle w:val="2"/>
        <w:spacing w:before="69" w:line="352" w:lineRule="auto"/>
        <w:ind w:right="60"/>
        <w:jc w:val="both"/>
        <w:rPr>
          <w:sz w:val="21"/>
          <w:szCs w:val="21"/>
        </w:rPr>
      </w:pPr>
      <w:r>
        <w:rPr>
          <w:spacing w:val="5"/>
          <w:sz w:val="21"/>
          <w:szCs w:val="21"/>
        </w:rPr>
        <w:t>应当在投标人须知前附表第4.2.1项规定的投</w:t>
      </w:r>
      <w:r>
        <w:rPr>
          <w:spacing w:val="4"/>
          <w:sz w:val="21"/>
          <w:szCs w:val="21"/>
        </w:rPr>
        <w:t>标截止时间10日前提出。招标人自收到异议之日起</w:t>
      </w:r>
      <w:r>
        <w:rPr>
          <w:sz w:val="21"/>
          <w:szCs w:val="21"/>
        </w:rPr>
        <w:t xml:space="preserve"> 3日内作出答复；作出答复前，招标人将暂停招标投标活动。逾期</w:t>
      </w:r>
      <w:r>
        <w:rPr>
          <w:spacing w:val="-1"/>
          <w:sz w:val="21"/>
          <w:szCs w:val="21"/>
        </w:rPr>
        <w:t>提出的，招标人可不予受理。异</w:t>
      </w:r>
      <w:r>
        <w:rPr>
          <w:sz w:val="21"/>
          <w:szCs w:val="21"/>
        </w:rPr>
        <w:t xml:space="preserve"> 议与答复应通过“电子交易平台”在“异议与答复”菜单以书</w:t>
      </w:r>
      <w:r>
        <w:rPr>
          <w:spacing w:val="-1"/>
          <w:sz w:val="21"/>
          <w:szCs w:val="21"/>
        </w:rPr>
        <w:t>面形式进行。</w:t>
      </w:r>
    </w:p>
    <w:p w14:paraId="5E75EB47">
      <w:pPr>
        <w:pStyle w:val="2"/>
        <w:spacing w:before="2" w:line="355" w:lineRule="auto"/>
        <w:ind w:right="53" w:firstLine="429"/>
        <w:rPr>
          <w:sz w:val="21"/>
          <w:szCs w:val="21"/>
        </w:rPr>
      </w:pPr>
      <w:r>
        <w:rPr>
          <w:spacing w:val="2"/>
          <w:sz w:val="21"/>
          <w:szCs w:val="21"/>
        </w:rPr>
        <w:t>本处所称异议是指投标人或者其他利害关系人认为招标文件的内容违反法律、法规、规章的</w:t>
      </w:r>
      <w:r>
        <w:rPr>
          <w:spacing w:val="15"/>
          <w:sz w:val="21"/>
          <w:szCs w:val="21"/>
        </w:rPr>
        <w:t xml:space="preserve"> </w:t>
      </w:r>
      <w:r>
        <w:rPr>
          <w:sz w:val="21"/>
          <w:szCs w:val="21"/>
        </w:rPr>
        <w:t>强制性规定，违反公开、公平、公正和诚实信用原则，影响投标人投标而向招标</w:t>
      </w:r>
      <w:r>
        <w:rPr>
          <w:spacing w:val="-1"/>
          <w:sz w:val="21"/>
          <w:szCs w:val="21"/>
        </w:rPr>
        <w:t>人提出的质疑。</w:t>
      </w:r>
    </w:p>
    <w:p w14:paraId="6E6FC54C">
      <w:pPr>
        <w:pStyle w:val="2"/>
        <w:spacing w:line="218" w:lineRule="auto"/>
        <w:ind w:left="419"/>
        <w:rPr>
          <w:sz w:val="21"/>
          <w:szCs w:val="21"/>
        </w:rPr>
      </w:pPr>
      <w:r>
        <w:rPr>
          <w:spacing w:val="2"/>
          <w:sz w:val="21"/>
          <w:szCs w:val="21"/>
        </w:rPr>
        <w:t>2.4.2招标人对异议的答复构成对招标文件澄清或者修改的，招标人将按照本章第2.2款、第</w:t>
      </w:r>
    </w:p>
    <w:p w14:paraId="30633978">
      <w:pPr>
        <w:pStyle w:val="2"/>
        <w:spacing w:before="132" w:line="219" w:lineRule="auto"/>
        <w:rPr>
          <w:sz w:val="21"/>
          <w:szCs w:val="21"/>
        </w:rPr>
      </w:pPr>
      <w:r>
        <w:rPr>
          <w:spacing w:val="5"/>
          <w:sz w:val="21"/>
          <w:szCs w:val="21"/>
        </w:rPr>
        <w:t>2.3款规定办理。</w:t>
      </w:r>
    </w:p>
    <w:p w14:paraId="417D400C">
      <w:pPr>
        <w:pStyle w:val="2"/>
        <w:spacing w:before="180" w:line="219" w:lineRule="auto"/>
        <w:ind w:left="4"/>
        <w:outlineLvl w:val="1"/>
        <w:rPr>
          <w:sz w:val="30"/>
          <w:szCs w:val="30"/>
        </w:rPr>
      </w:pPr>
      <w:bookmarkStart w:id="28" w:name="bookmark23"/>
      <w:bookmarkEnd w:id="28"/>
      <w:bookmarkStart w:id="29" w:name="bookmark223"/>
      <w:bookmarkEnd w:id="29"/>
      <w:r>
        <w:rPr>
          <w:b/>
          <w:bCs/>
          <w:spacing w:val="1"/>
          <w:sz w:val="30"/>
          <w:szCs w:val="30"/>
        </w:rPr>
        <w:t>3.投标文件</w:t>
      </w:r>
    </w:p>
    <w:p w14:paraId="547A41CF">
      <w:pPr>
        <w:pStyle w:val="2"/>
        <w:spacing w:before="82" w:line="219" w:lineRule="auto"/>
        <w:ind w:left="433"/>
        <w:outlineLvl w:val="2"/>
        <w:rPr>
          <w:sz w:val="26"/>
          <w:szCs w:val="26"/>
        </w:rPr>
      </w:pPr>
      <w:bookmarkStart w:id="30" w:name="bookmark24"/>
      <w:bookmarkEnd w:id="30"/>
      <w:r>
        <w:rPr>
          <w:b/>
          <w:bCs/>
          <w:spacing w:val="-1"/>
          <w:sz w:val="26"/>
          <w:szCs w:val="26"/>
        </w:rPr>
        <w:t>3.1投标文件的组成</w:t>
      </w:r>
    </w:p>
    <w:p w14:paraId="249F755A">
      <w:pPr>
        <w:pStyle w:val="2"/>
        <w:spacing w:before="134" w:line="219" w:lineRule="auto"/>
        <w:ind w:left="429"/>
        <w:rPr>
          <w:sz w:val="21"/>
          <w:szCs w:val="21"/>
        </w:rPr>
      </w:pPr>
      <w:r>
        <w:rPr>
          <w:sz w:val="21"/>
          <w:szCs w:val="21"/>
        </w:rPr>
        <w:t>3.1.1投标文件应包括下列内容：</w:t>
      </w:r>
    </w:p>
    <w:p w14:paraId="7C2E5305">
      <w:pPr>
        <w:pStyle w:val="2"/>
        <w:spacing w:before="159" w:line="219" w:lineRule="auto"/>
        <w:ind w:left="429"/>
        <w:rPr>
          <w:sz w:val="21"/>
          <w:szCs w:val="21"/>
        </w:rPr>
      </w:pPr>
      <w:r>
        <w:rPr>
          <w:spacing w:val="4"/>
          <w:sz w:val="21"/>
          <w:szCs w:val="21"/>
        </w:rPr>
        <w:t>(1)投标函及投标函附录；</w:t>
      </w:r>
    </w:p>
    <w:p w14:paraId="379F0EB5">
      <w:pPr>
        <w:pStyle w:val="2"/>
        <w:spacing w:before="132" w:line="219" w:lineRule="auto"/>
        <w:ind w:left="429"/>
        <w:rPr>
          <w:sz w:val="21"/>
          <w:szCs w:val="21"/>
        </w:rPr>
      </w:pPr>
      <w:r>
        <w:rPr>
          <w:spacing w:val="4"/>
          <w:sz w:val="21"/>
          <w:szCs w:val="21"/>
        </w:rPr>
        <w:t>(2)法定代表人身份证明；</w:t>
      </w:r>
    </w:p>
    <w:p w14:paraId="1B9578A9">
      <w:pPr>
        <w:pStyle w:val="2"/>
        <w:spacing w:before="172" w:line="220" w:lineRule="auto"/>
        <w:ind w:left="429"/>
        <w:rPr>
          <w:sz w:val="21"/>
          <w:szCs w:val="21"/>
        </w:rPr>
      </w:pPr>
      <w:r>
        <w:rPr>
          <w:spacing w:val="7"/>
          <w:sz w:val="21"/>
          <w:szCs w:val="21"/>
        </w:rPr>
        <w:t>(3)投标保证金；</w:t>
      </w:r>
    </w:p>
    <w:p w14:paraId="3139A41F">
      <w:pPr>
        <w:pStyle w:val="2"/>
        <w:spacing w:before="138" w:line="219" w:lineRule="auto"/>
        <w:ind w:left="429"/>
        <w:rPr>
          <w:sz w:val="21"/>
          <w:szCs w:val="21"/>
        </w:rPr>
      </w:pPr>
      <w:r>
        <w:rPr>
          <w:spacing w:val="7"/>
          <w:sz w:val="21"/>
          <w:szCs w:val="21"/>
        </w:rPr>
        <w:t>(4)联合体协议书；</w:t>
      </w:r>
    </w:p>
    <w:p w14:paraId="73AF2831">
      <w:pPr>
        <w:pStyle w:val="2"/>
        <w:spacing w:before="151" w:line="219" w:lineRule="auto"/>
        <w:ind w:left="429"/>
        <w:rPr>
          <w:sz w:val="21"/>
          <w:szCs w:val="21"/>
        </w:rPr>
      </w:pPr>
      <w:r>
        <w:rPr>
          <w:spacing w:val="9"/>
          <w:sz w:val="21"/>
          <w:szCs w:val="21"/>
        </w:rPr>
        <w:t>(5)拟分包项目情况表(适用于非政府采购工程);</w:t>
      </w:r>
    </w:p>
    <w:p w14:paraId="6E732D6B">
      <w:pPr>
        <w:pStyle w:val="2"/>
        <w:spacing w:before="160" w:line="219" w:lineRule="auto"/>
        <w:ind w:left="429"/>
        <w:rPr>
          <w:sz w:val="21"/>
          <w:szCs w:val="21"/>
        </w:rPr>
      </w:pPr>
      <w:r>
        <w:rPr>
          <w:spacing w:val="10"/>
          <w:sz w:val="21"/>
          <w:szCs w:val="21"/>
        </w:rPr>
        <w:t>(5)分包意向协议书(适用于政府采购工程);</w:t>
      </w:r>
    </w:p>
    <w:p w14:paraId="67E4F3AC">
      <w:pPr>
        <w:pStyle w:val="2"/>
        <w:spacing w:before="161" w:line="219" w:lineRule="auto"/>
        <w:ind w:left="429"/>
        <w:rPr>
          <w:sz w:val="21"/>
          <w:szCs w:val="21"/>
        </w:rPr>
      </w:pPr>
      <w:r>
        <w:rPr>
          <w:spacing w:val="10"/>
          <w:sz w:val="21"/>
          <w:szCs w:val="21"/>
        </w:rPr>
        <w:t>(6)中小企业声明函(适用于政府采购工程);</w:t>
      </w:r>
    </w:p>
    <w:p w14:paraId="7254C377">
      <w:pPr>
        <w:pStyle w:val="2"/>
        <w:spacing w:before="121" w:line="219" w:lineRule="auto"/>
        <w:ind w:left="429"/>
        <w:rPr>
          <w:sz w:val="21"/>
          <w:szCs w:val="21"/>
        </w:rPr>
      </w:pPr>
      <w:r>
        <w:rPr>
          <w:spacing w:val="7"/>
          <w:sz w:val="21"/>
          <w:szCs w:val="21"/>
        </w:rPr>
        <w:t>(7)项目管理机构；</w:t>
      </w:r>
    </w:p>
    <w:p w14:paraId="34653975">
      <w:pPr>
        <w:pStyle w:val="2"/>
        <w:spacing w:before="163" w:line="219" w:lineRule="auto"/>
        <w:ind w:left="429"/>
        <w:rPr>
          <w:sz w:val="21"/>
          <w:szCs w:val="21"/>
        </w:rPr>
      </w:pPr>
      <w:r>
        <w:rPr>
          <w:spacing w:val="7"/>
          <w:sz w:val="21"/>
          <w:szCs w:val="21"/>
        </w:rPr>
        <w:t>(8)资格审查资料；</w:t>
      </w:r>
    </w:p>
    <w:p w14:paraId="230E3D18">
      <w:pPr>
        <w:pStyle w:val="2"/>
        <w:spacing w:before="168" w:line="218" w:lineRule="auto"/>
        <w:ind w:left="429"/>
        <w:rPr>
          <w:sz w:val="21"/>
          <w:szCs w:val="21"/>
        </w:rPr>
      </w:pPr>
      <w:r>
        <w:rPr>
          <w:spacing w:val="4"/>
          <w:sz w:val="21"/>
          <w:szCs w:val="21"/>
        </w:rPr>
        <w:t>(9)已标价工程量清单；</w:t>
      </w:r>
    </w:p>
    <w:p w14:paraId="1F69A385">
      <w:pPr>
        <w:pStyle w:val="2"/>
        <w:spacing w:before="146" w:line="221" w:lineRule="auto"/>
        <w:ind w:left="429"/>
        <w:rPr>
          <w:sz w:val="21"/>
          <w:szCs w:val="21"/>
        </w:rPr>
      </w:pPr>
      <w:r>
        <w:rPr>
          <w:spacing w:val="6"/>
          <w:sz w:val="21"/>
          <w:szCs w:val="21"/>
        </w:rPr>
        <w:t>(10)施工组织设计；</w:t>
      </w:r>
    </w:p>
    <w:p w14:paraId="17D39F7F">
      <w:pPr>
        <w:pStyle w:val="2"/>
        <w:spacing w:before="136" w:line="219" w:lineRule="auto"/>
        <w:ind w:left="429"/>
        <w:rPr>
          <w:sz w:val="21"/>
          <w:szCs w:val="21"/>
        </w:rPr>
      </w:pPr>
      <w:r>
        <w:rPr>
          <w:spacing w:val="4"/>
          <w:sz w:val="21"/>
          <w:szCs w:val="21"/>
        </w:rPr>
        <w:t>(11)投标人须知前附表规定的其他材料。</w:t>
      </w:r>
    </w:p>
    <w:p w14:paraId="38CA3CA5">
      <w:pPr>
        <w:pStyle w:val="2"/>
        <w:spacing w:before="150" w:line="333" w:lineRule="auto"/>
        <w:ind w:firstLine="369"/>
        <w:rPr>
          <w:sz w:val="21"/>
          <w:szCs w:val="21"/>
        </w:rPr>
      </w:pPr>
      <w:r>
        <w:rPr>
          <w:sz w:val="21"/>
          <w:szCs w:val="21"/>
        </w:rPr>
        <w:t>3.1.2 投标人须知前附表规定不接受联合体投标的，或投标人没有组成联合体的，投标文</w:t>
      </w:r>
      <w:r>
        <w:rPr>
          <w:spacing w:val="-1"/>
          <w:sz w:val="21"/>
          <w:szCs w:val="21"/>
        </w:rPr>
        <w:t>件不</w:t>
      </w:r>
      <w:r>
        <w:rPr>
          <w:sz w:val="21"/>
          <w:szCs w:val="21"/>
        </w:rPr>
        <w:t xml:space="preserve"> </w:t>
      </w:r>
      <w:r>
        <w:rPr>
          <w:spacing w:val="10"/>
          <w:sz w:val="21"/>
          <w:szCs w:val="21"/>
        </w:rPr>
        <w:t>包括本章第3.1.1(3)目所指的联合体协议书。</w:t>
      </w:r>
    </w:p>
    <w:p w14:paraId="0FE770CD">
      <w:pPr>
        <w:pStyle w:val="2"/>
        <w:spacing w:before="2" w:line="217" w:lineRule="auto"/>
        <w:ind w:left="423"/>
        <w:outlineLvl w:val="2"/>
        <w:rPr>
          <w:sz w:val="26"/>
          <w:szCs w:val="26"/>
        </w:rPr>
      </w:pPr>
      <w:bookmarkStart w:id="31" w:name="bookmark25"/>
      <w:bookmarkEnd w:id="31"/>
      <w:r>
        <w:rPr>
          <w:b/>
          <w:bCs/>
          <w:spacing w:val="6"/>
          <w:sz w:val="26"/>
          <w:szCs w:val="26"/>
        </w:rPr>
        <w:t>3.2投标报价</w:t>
      </w:r>
    </w:p>
    <w:p w14:paraId="5446876A">
      <w:pPr>
        <w:pStyle w:val="2"/>
        <w:spacing w:before="157" w:line="281" w:lineRule="auto"/>
        <w:ind w:right="70" w:firstLine="429"/>
        <w:rPr>
          <w:sz w:val="21"/>
          <w:szCs w:val="21"/>
        </w:rPr>
      </w:pPr>
      <w:r>
        <w:rPr>
          <w:spacing w:val="6"/>
          <w:sz w:val="21"/>
          <w:szCs w:val="21"/>
        </w:rPr>
        <w:t>3.2.1 投标人应按第五章“工程量清单”的要求填写相应表格，并按本章第2.1.2(1)目约</w:t>
      </w:r>
      <w:r>
        <w:rPr>
          <w:spacing w:val="11"/>
          <w:sz w:val="21"/>
          <w:szCs w:val="21"/>
        </w:rPr>
        <w:t xml:space="preserve"> </w:t>
      </w:r>
      <w:r>
        <w:rPr>
          <w:spacing w:val="-2"/>
          <w:sz w:val="21"/>
          <w:szCs w:val="21"/>
        </w:rPr>
        <w:t>定的计税方法计税。未按约定的计税方法计税的，其投标将被否决。</w:t>
      </w:r>
    </w:p>
    <w:p w14:paraId="1CA8F01C">
      <w:pPr>
        <w:pStyle w:val="2"/>
        <w:spacing w:before="128" w:line="313" w:lineRule="auto"/>
        <w:ind w:right="83" w:firstLine="429"/>
        <w:rPr>
          <w:sz w:val="21"/>
          <w:szCs w:val="21"/>
        </w:rPr>
      </w:pPr>
      <w:r>
        <w:rPr>
          <w:spacing w:val="10"/>
          <w:sz w:val="21"/>
          <w:szCs w:val="21"/>
        </w:rPr>
        <w:t>3.2.2 投标人经复核认为招标人公布的招标控制价未按本章第2.1.2(1)目、第2.</w:t>
      </w:r>
      <w:r>
        <w:rPr>
          <w:spacing w:val="9"/>
          <w:sz w:val="21"/>
          <w:szCs w:val="21"/>
        </w:rPr>
        <w:t>1.2(3)</w:t>
      </w:r>
      <w:r>
        <w:rPr>
          <w:sz w:val="21"/>
          <w:szCs w:val="21"/>
        </w:rPr>
        <w:t xml:space="preserve"> </w:t>
      </w:r>
      <w:r>
        <w:rPr>
          <w:spacing w:val="4"/>
          <w:sz w:val="21"/>
          <w:szCs w:val="21"/>
        </w:rPr>
        <w:t>目的规定编制，可按本章第2.4款的规定向招标人提出异议。对异议的答复仍</w:t>
      </w:r>
      <w:r>
        <w:rPr>
          <w:spacing w:val="3"/>
          <w:sz w:val="21"/>
          <w:szCs w:val="21"/>
        </w:rPr>
        <w:t>持有异议，可按本</w:t>
      </w:r>
      <w:r>
        <w:rPr>
          <w:sz w:val="21"/>
          <w:szCs w:val="21"/>
        </w:rPr>
        <w:t xml:space="preserve"> </w:t>
      </w:r>
      <w:r>
        <w:rPr>
          <w:spacing w:val="3"/>
          <w:sz w:val="21"/>
          <w:szCs w:val="21"/>
        </w:rPr>
        <w:t>章第9.5款的规定在投标截止时间前，向有关行政监督部门和工程</w:t>
      </w:r>
      <w:r>
        <w:rPr>
          <w:spacing w:val="2"/>
          <w:sz w:val="21"/>
          <w:szCs w:val="21"/>
        </w:rPr>
        <w:t>造价管理机构投诉。</w:t>
      </w:r>
    </w:p>
    <w:p w14:paraId="40890620">
      <w:pPr>
        <w:pStyle w:val="2"/>
        <w:spacing w:before="132" w:line="218" w:lineRule="auto"/>
        <w:ind w:left="429"/>
        <w:rPr>
          <w:sz w:val="21"/>
          <w:szCs w:val="21"/>
        </w:rPr>
      </w:pPr>
      <w:r>
        <w:rPr>
          <w:spacing w:val="2"/>
          <w:sz w:val="21"/>
          <w:szCs w:val="21"/>
        </w:rPr>
        <w:t>3.2.3 投标人在投标截止时间前修改投标函中的投标总报价，应同时修改第五章“工程量清</w:t>
      </w:r>
    </w:p>
    <w:p w14:paraId="1A126632">
      <w:pPr>
        <w:pStyle w:val="2"/>
        <w:spacing w:before="182" w:line="218" w:lineRule="auto"/>
        <w:rPr>
          <w:sz w:val="21"/>
          <w:szCs w:val="21"/>
        </w:rPr>
      </w:pPr>
      <w:r>
        <w:rPr>
          <w:spacing w:val="3"/>
          <w:sz w:val="21"/>
          <w:szCs w:val="21"/>
        </w:rPr>
        <w:t>单”中的相应报价。此修改须符合本章第4.3款的有关要求。</w:t>
      </w:r>
    </w:p>
    <w:p w14:paraId="385759CC">
      <w:pPr>
        <w:pStyle w:val="2"/>
        <w:spacing w:before="132" w:line="218" w:lineRule="auto"/>
        <w:ind w:left="419"/>
        <w:rPr>
          <w:sz w:val="21"/>
          <w:szCs w:val="21"/>
        </w:rPr>
      </w:pPr>
      <w:r>
        <w:rPr>
          <w:sz w:val="21"/>
          <w:szCs w:val="21"/>
        </w:rPr>
        <w:t>3.2.4投标人投标函中的大写报价或算术错误修正后的投标总</w:t>
      </w:r>
      <w:r>
        <w:rPr>
          <w:spacing w:val="-1"/>
          <w:sz w:val="21"/>
          <w:szCs w:val="21"/>
        </w:rPr>
        <w:t>报价大于招标控制价总价的，其</w:t>
      </w:r>
    </w:p>
    <w:p w14:paraId="67073716">
      <w:pPr>
        <w:spacing w:line="218" w:lineRule="auto"/>
        <w:rPr>
          <w:sz w:val="21"/>
          <w:szCs w:val="21"/>
        </w:rPr>
        <w:sectPr>
          <w:footerReference r:id="rId23" w:type="default"/>
          <w:pgSz w:w="11910" w:h="16840"/>
          <w:pgMar w:top="1431" w:right="1480" w:bottom="1001" w:left="1450" w:header="0" w:footer="857" w:gutter="0"/>
          <w:cols w:space="720" w:num="1"/>
        </w:sectPr>
      </w:pPr>
    </w:p>
    <w:p w14:paraId="799D3976">
      <w:pPr>
        <w:spacing w:line="329" w:lineRule="auto"/>
        <w:rPr>
          <w:rFonts w:ascii="Arial"/>
          <w:sz w:val="21"/>
        </w:rPr>
      </w:pPr>
    </w:p>
    <w:p w14:paraId="32DDCE98">
      <w:pPr>
        <w:pStyle w:val="2"/>
        <w:spacing w:before="65" w:line="219" w:lineRule="auto"/>
        <w:rPr>
          <w:sz w:val="20"/>
          <w:szCs w:val="20"/>
        </w:rPr>
      </w:pPr>
      <w:r>
        <w:rPr>
          <w:spacing w:val="5"/>
          <w:sz w:val="20"/>
          <w:szCs w:val="20"/>
        </w:rPr>
        <w:t>投标将被否决。</w:t>
      </w:r>
    </w:p>
    <w:p w14:paraId="52A2AE4F">
      <w:pPr>
        <w:pStyle w:val="2"/>
        <w:spacing w:before="131" w:line="220" w:lineRule="auto"/>
        <w:ind w:left="403"/>
        <w:outlineLvl w:val="2"/>
      </w:pPr>
      <w:bookmarkStart w:id="32" w:name="bookmark224"/>
      <w:bookmarkEnd w:id="32"/>
      <w:bookmarkStart w:id="33" w:name="bookmark26"/>
      <w:bookmarkEnd w:id="33"/>
      <w:r>
        <w:rPr>
          <w:b/>
          <w:bCs/>
          <w:spacing w:val="14"/>
        </w:rPr>
        <w:t>3.3投标有效期</w:t>
      </w:r>
    </w:p>
    <w:p w14:paraId="5BD17638">
      <w:pPr>
        <w:pStyle w:val="2"/>
        <w:spacing w:before="141" w:line="219" w:lineRule="auto"/>
        <w:ind w:left="399"/>
        <w:rPr>
          <w:sz w:val="20"/>
          <w:szCs w:val="20"/>
        </w:rPr>
      </w:pPr>
      <w:r>
        <w:rPr>
          <w:spacing w:val="9"/>
          <w:sz w:val="20"/>
          <w:szCs w:val="20"/>
        </w:rPr>
        <w:t>3.3.1</w:t>
      </w:r>
      <w:r>
        <w:rPr>
          <w:spacing w:val="52"/>
          <w:sz w:val="20"/>
          <w:szCs w:val="20"/>
        </w:rPr>
        <w:t xml:space="preserve"> </w:t>
      </w:r>
      <w:r>
        <w:rPr>
          <w:spacing w:val="9"/>
          <w:sz w:val="20"/>
          <w:szCs w:val="20"/>
        </w:rPr>
        <w:t>在投标人须知前附表规定的投标有效</w:t>
      </w:r>
      <w:r>
        <w:rPr>
          <w:spacing w:val="8"/>
          <w:sz w:val="20"/>
          <w:szCs w:val="20"/>
        </w:rPr>
        <w:t>期内，投标人不得要求撤销或修改其投标文件。</w:t>
      </w:r>
    </w:p>
    <w:p w14:paraId="1D7F0FE9">
      <w:pPr>
        <w:pStyle w:val="2"/>
        <w:spacing w:before="163" w:line="357" w:lineRule="auto"/>
        <w:ind w:right="18" w:firstLine="399"/>
        <w:jc w:val="both"/>
        <w:rPr>
          <w:sz w:val="20"/>
          <w:szCs w:val="20"/>
        </w:rPr>
      </w:pPr>
      <w:r>
        <w:rPr>
          <w:spacing w:val="9"/>
          <w:sz w:val="20"/>
          <w:szCs w:val="20"/>
        </w:rPr>
        <w:t>3.3.2出现特殊情况需要延长投标有效期的，招标人以书面形式通知所有投标人延长投标有效</w:t>
      </w:r>
      <w:r>
        <w:rPr>
          <w:spacing w:val="10"/>
          <w:sz w:val="20"/>
          <w:szCs w:val="20"/>
        </w:rPr>
        <w:t xml:space="preserve"> </w:t>
      </w:r>
      <w:r>
        <w:rPr>
          <w:spacing w:val="12"/>
          <w:sz w:val="20"/>
          <w:szCs w:val="20"/>
        </w:rPr>
        <w:t>期。投标人同意延长的，应相应延长其投标保证金的有效期，但不得要求或被允</w:t>
      </w:r>
      <w:r>
        <w:rPr>
          <w:spacing w:val="11"/>
          <w:sz w:val="20"/>
          <w:szCs w:val="20"/>
        </w:rPr>
        <w:t>许修改或撤销其</w:t>
      </w:r>
      <w:r>
        <w:rPr>
          <w:sz w:val="20"/>
          <w:szCs w:val="20"/>
        </w:rPr>
        <w:t xml:space="preserve"> </w:t>
      </w:r>
      <w:r>
        <w:rPr>
          <w:spacing w:val="9"/>
          <w:sz w:val="20"/>
          <w:szCs w:val="20"/>
        </w:rPr>
        <w:t>投标文件；投标人拒绝延长的，其投标失效，但投标人有权收回其投标保证金。</w:t>
      </w:r>
    </w:p>
    <w:p w14:paraId="000B7F02">
      <w:pPr>
        <w:pStyle w:val="2"/>
        <w:spacing w:line="220" w:lineRule="auto"/>
        <w:ind w:left="403"/>
        <w:outlineLvl w:val="2"/>
      </w:pPr>
      <w:bookmarkStart w:id="34" w:name="bookmark27"/>
      <w:bookmarkEnd w:id="34"/>
      <w:r>
        <w:rPr>
          <w:b/>
          <w:bCs/>
          <w:spacing w:val="13"/>
        </w:rPr>
        <w:t>3.4投标保证金</w:t>
      </w:r>
    </w:p>
    <w:p w14:paraId="4D05AAB1">
      <w:pPr>
        <w:pStyle w:val="2"/>
        <w:spacing w:before="132" w:line="319" w:lineRule="auto"/>
        <w:ind w:right="11" w:firstLine="399"/>
        <w:rPr>
          <w:sz w:val="20"/>
          <w:szCs w:val="20"/>
        </w:rPr>
      </w:pPr>
      <w:r>
        <w:rPr>
          <w:spacing w:val="9"/>
          <w:sz w:val="20"/>
          <w:szCs w:val="20"/>
        </w:rPr>
        <w:t>3.4.1投标人须知前附表规定提交投标保证金的，投标人在递交投标文件的同时，应按投标人</w:t>
      </w:r>
      <w:r>
        <w:rPr>
          <w:spacing w:val="10"/>
          <w:sz w:val="20"/>
          <w:szCs w:val="20"/>
        </w:rPr>
        <w:t xml:space="preserve"> </w:t>
      </w:r>
      <w:r>
        <w:rPr>
          <w:spacing w:val="12"/>
          <w:sz w:val="20"/>
          <w:szCs w:val="20"/>
        </w:rPr>
        <w:t>须知前附表规定的形式、金额、递交截止时间、递交方式提交投标保证金，并作为其投标文件的</w:t>
      </w:r>
      <w:r>
        <w:rPr>
          <w:sz w:val="20"/>
          <w:szCs w:val="20"/>
        </w:rPr>
        <w:t xml:space="preserve"> </w:t>
      </w:r>
      <w:r>
        <w:rPr>
          <w:spacing w:val="10"/>
          <w:sz w:val="20"/>
          <w:szCs w:val="20"/>
        </w:rPr>
        <w:t>组成部分。联合体投标的，其投标保证金由牵头人递交，并应符合</w:t>
      </w:r>
      <w:r>
        <w:rPr>
          <w:spacing w:val="9"/>
          <w:sz w:val="20"/>
          <w:szCs w:val="20"/>
        </w:rPr>
        <w:t>投标人须知前附表的规定。</w:t>
      </w:r>
    </w:p>
    <w:p w14:paraId="0F0F211E">
      <w:pPr>
        <w:pStyle w:val="2"/>
        <w:spacing w:before="183" w:line="219" w:lineRule="auto"/>
        <w:ind w:left="399"/>
        <w:rPr>
          <w:sz w:val="20"/>
          <w:szCs w:val="20"/>
        </w:rPr>
      </w:pPr>
      <w:r>
        <w:rPr>
          <w:spacing w:val="14"/>
          <w:sz w:val="20"/>
          <w:szCs w:val="20"/>
        </w:rPr>
        <w:t>3.4.2投标人不按本章第3.4.1项要求提交投标</w:t>
      </w:r>
      <w:r>
        <w:rPr>
          <w:spacing w:val="13"/>
          <w:sz w:val="20"/>
          <w:szCs w:val="20"/>
        </w:rPr>
        <w:t>保证金的，其投标将被否决。</w:t>
      </w:r>
    </w:p>
    <w:p w14:paraId="2D0692E4">
      <w:pPr>
        <w:pStyle w:val="2"/>
        <w:spacing w:before="143" w:line="325" w:lineRule="auto"/>
        <w:ind w:right="19" w:firstLine="399"/>
        <w:rPr>
          <w:sz w:val="20"/>
          <w:szCs w:val="20"/>
        </w:rPr>
      </w:pPr>
      <w:r>
        <w:rPr>
          <w:spacing w:val="16"/>
          <w:sz w:val="20"/>
          <w:szCs w:val="20"/>
        </w:rPr>
        <w:t>3.4.3招标人最迟在与中标人签订合同后5日内，向未中标的投标人和中标人退还投标保证</w:t>
      </w:r>
      <w:r>
        <w:rPr>
          <w:spacing w:val="5"/>
          <w:sz w:val="20"/>
          <w:szCs w:val="20"/>
        </w:rPr>
        <w:t xml:space="preserve"> </w:t>
      </w:r>
      <w:r>
        <w:rPr>
          <w:spacing w:val="12"/>
          <w:sz w:val="20"/>
          <w:szCs w:val="20"/>
        </w:rPr>
        <w:t>金。招标人同时退还投标保证金的银行同期存款利息。投标保证金及利息的计息</w:t>
      </w:r>
      <w:r>
        <w:rPr>
          <w:spacing w:val="11"/>
          <w:sz w:val="20"/>
          <w:szCs w:val="20"/>
        </w:rPr>
        <w:t>标准和退还方式</w:t>
      </w:r>
      <w:r>
        <w:rPr>
          <w:sz w:val="20"/>
          <w:szCs w:val="20"/>
        </w:rPr>
        <w:t xml:space="preserve"> </w:t>
      </w:r>
      <w:r>
        <w:rPr>
          <w:spacing w:val="6"/>
          <w:sz w:val="20"/>
          <w:szCs w:val="20"/>
        </w:rPr>
        <w:t>见投标人须知前附表。</w:t>
      </w:r>
    </w:p>
    <w:p w14:paraId="037B4FF9">
      <w:pPr>
        <w:pStyle w:val="2"/>
        <w:spacing w:before="165" w:line="219" w:lineRule="auto"/>
        <w:ind w:left="399"/>
        <w:rPr>
          <w:sz w:val="20"/>
          <w:szCs w:val="20"/>
        </w:rPr>
      </w:pPr>
      <w:r>
        <w:rPr>
          <w:spacing w:val="6"/>
          <w:sz w:val="20"/>
          <w:szCs w:val="20"/>
        </w:rPr>
        <w:t>3.4.4</w:t>
      </w:r>
      <w:r>
        <w:rPr>
          <w:spacing w:val="52"/>
          <w:sz w:val="20"/>
          <w:szCs w:val="20"/>
        </w:rPr>
        <w:t xml:space="preserve"> </w:t>
      </w:r>
      <w:r>
        <w:rPr>
          <w:spacing w:val="6"/>
          <w:sz w:val="20"/>
          <w:szCs w:val="20"/>
        </w:rPr>
        <w:t>有下列情形之一的，投标保证金将不予</w:t>
      </w:r>
      <w:r>
        <w:rPr>
          <w:spacing w:val="5"/>
          <w:sz w:val="20"/>
          <w:szCs w:val="20"/>
        </w:rPr>
        <w:t>退还：</w:t>
      </w:r>
    </w:p>
    <w:p w14:paraId="468438E5">
      <w:pPr>
        <w:pStyle w:val="2"/>
        <w:spacing w:before="142" w:line="219" w:lineRule="auto"/>
        <w:ind w:left="820"/>
        <w:rPr>
          <w:sz w:val="20"/>
          <w:szCs w:val="20"/>
        </w:rPr>
      </w:pPr>
      <w:r>
        <w:rPr>
          <w:spacing w:val="12"/>
          <w:sz w:val="20"/>
          <w:szCs w:val="20"/>
        </w:rPr>
        <w:t>(1)投标人在规定的投标有效期内撤销或修改</w:t>
      </w:r>
      <w:r>
        <w:rPr>
          <w:spacing w:val="11"/>
          <w:sz w:val="20"/>
          <w:szCs w:val="20"/>
        </w:rPr>
        <w:t>其投标文件；</w:t>
      </w:r>
    </w:p>
    <w:p w14:paraId="2BBF2B7B">
      <w:pPr>
        <w:pStyle w:val="2"/>
        <w:spacing w:before="162" w:line="219" w:lineRule="auto"/>
        <w:ind w:right="18"/>
        <w:jc w:val="right"/>
        <w:rPr>
          <w:sz w:val="20"/>
          <w:szCs w:val="20"/>
        </w:rPr>
      </w:pPr>
      <w:r>
        <w:rPr>
          <w:spacing w:val="15"/>
          <w:sz w:val="20"/>
          <w:szCs w:val="20"/>
        </w:rPr>
        <w:t>(2)中标人在收到中标通知书后，无正当理由</w:t>
      </w:r>
      <w:r>
        <w:rPr>
          <w:spacing w:val="14"/>
          <w:sz w:val="20"/>
          <w:szCs w:val="20"/>
        </w:rPr>
        <w:t>拒签合同、在签订合同时向招标人提出附</w:t>
      </w:r>
    </w:p>
    <w:p w14:paraId="7A540B05">
      <w:pPr>
        <w:pStyle w:val="2"/>
        <w:spacing w:before="184" w:line="219" w:lineRule="auto"/>
        <w:rPr>
          <w:sz w:val="20"/>
          <w:szCs w:val="20"/>
        </w:rPr>
      </w:pPr>
      <w:r>
        <w:rPr>
          <w:spacing w:val="8"/>
          <w:sz w:val="20"/>
          <w:szCs w:val="20"/>
        </w:rPr>
        <w:t>加条件或未按招标文件规定提交履约保证金。</w:t>
      </w:r>
    </w:p>
    <w:p w14:paraId="45DED720">
      <w:pPr>
        <w:pStyle w:val="2"/>
        <w:spacing w:before="111" w:line="219" w:lineRule="auto"/>
        <w:ind w:left="403"/>
        <w:outlineLvl w:val="2"/>
      </w:pPr>
      <w:bookmarkStart w:id="35" w:name="bookmark28"/>
      <w:bookmarkEnd w:id="35"/>
      <w:r>
        <w:rPr>
          <w:b/>
          <w:bCs/>
          <w:spacing w:val="3"/>
        </w:rPr>
        <w:t>3.5资格审查资料(适用于未进行资格预审的)</w:t>
      </w:r>
    </w:p>
    <w:p w14:paraId="08AAFE66">
      <w:pPr>
        <w:pStyle w:val="2"/>
        <w:spacing w:before="154" w:line="362" w:lineRule="auto"/>
        <w:ind w:right="36" w:firstLine="399"/>
        <w:rPr>
          <w:sz w:val="20"/>
          <w:szCs w:val="20"/>
        </w:rPr>
      </w:pPr>
      <w:r>
        <w:rPr>
          <w:spacing w:val="9"/>
          <w:sz w:val="20"/>
          <w:szCs w:val="20"/>
        </w:rPr>
        <w:t>3.5.1投标人应按招标文件第八章“投标文件格式”中规定的表格内容填写资</w:t>
      </w:r>
      <w:r>
        <w:rPr>
          <w:spacing w:val="8"/>
          <w:sz w:val="20"/>
          <w:szCs w:val="20"/>
        </w:rPr>
        <w:t>格审查表，并按</w:t>
      </w:r>
      <w:r>
        <w:rPr>
          <w:sz w:val="20"/>
          <w:szCs w:val="20"/>
        </w:rPr>
        <w:t xml:space="preserve"> </w:t>
      </w:r>
      <w:r>
        <w:rPr>
          <w:spacing w:val="9"/>
          <w:sz w:val="20"/>
          <w:szCs w:val="20"/>
        </w:rPr>
        <w:t>各资格审查表的具体要求提供相关证件及证明材料。</w:t>
      </w:r>
    </w:p>
    <w:p w14:paraId="2F379ACE">
      <w:pPr>
        <w:pStyle w:val="2"/>
        <w:spacing w:before="5" w:line="219" w:lineRule="auto"/>
        <w:ind w:left="399"/>
        <w:rPr>
          <w:sz w:val="20"/>
          <w:szCs w:val="20"/>
        </w:rPr>
      </w:pPr>
      <w:r>
        <w:rPr>
          <w:spacing w:val="8"/>
          <w:sz w:val="20"/>
          <w:szCs w:val="20"/>
        </w:rPr>
        <w:t>本招标文件中“类似项目”的定义见投标人须知前附表。</w:t>
      </w:r>
    </w:p>
    <w:p w14:paraId="75FC9A0A">
      <w:pPr>
        <w:pStyle w:val="2"/>
        <w:spacing w:before="174" w:line="346" w:lineRule="auto"/>
        <w:ind w:right="12" w:firstLine="399"/>
        <w:rPr>
          <w:sz w:val="20"/>
          <w:szCs w:val="20"/>
        </w:rPr>
      </w:pPr>
      <w:r>
        <w:rPr>
          <w:spacing w:val="13"/>
          <w:sz w:val="20"/>
          <w:szCs w:val="20"/>
        </w:rPr>
        <w:t>3.5.2投标人须知前附表第1.4.2项规定接受联合体投标的，本章第3.5.1</w:t>
      </w:r>
      <w:r>
        <w:rPr>
          <w:spacing w:val="12"/>
          <w:sz w:val="20"/>
          <w:szCs w:val="20"/>
        </w:rPr>
        <w:t>项规定的表格和资</w:t>
      </w:r>
      <w:r>
        <w:rPr>
          <w:sz w:val="20"/>
          <w:szCs w:val="20"/>
        </w:rPr>
        <w:t xml:space="preserve"> </w:t>
      </w:r>
      <w:r>
        <w:rPr>
          <w:spacing w:val="7"/>
          <w:sz w:val="20"/>
          <w:szCs w:val="20"/>
        </w:rPr>
        <w:t>料应包括联合体各方相关情况。</w:t>
      </w:r>
    </w:p>
    <w:p w14:paraId="3EBEEE90">
      <w:pPr>
        <w:pStyle w:val="2"/>
        <w:spacing w:line="220" w:lineRule="auto"/>
        <w:ind w:left="403"/>
        <w:outlineLvl w:val="2"/>
      </w:pPr>
      <w:bookmarkStart w:id="36" w:name="bookmark29"/>
      <w:bookmarkEnd w:id="36"/>
      <w:r>
        <w:rPr>
          <w:b/>
          <w:bCs/>
          <w:spacing w:val="10"/>
        </w:rPr>
        <w:t>3.6备选投标方案</w:t>
      </w:r>
    </w:p>
    <w:p w14:paraId="7BCC2700">
      <w:pPr>
        <w:pStyle w:val="2"/>
        <w:spacing w:before="134" w:line="364" w:lineRule="auto"/>
        <w:ind w:right="9" w:firstLine="399"/>
        <w:jc w:val="both"/>
        <w:rPr>
          <w:sz w:val="20"/>
          <w:szCs w:val="20"/>
        </w:rPr>
      </w:pPr>
      <w:r>
        <w:rPr>
          <w:spacing w:val="12"/>
          <w:sz w:val="20"/>
          <w:szCs w:val="20"/>
        </w:rPr>
        <w:t>除投标人须知前附表另有规定外，投标人不得递交备选投标方案。允许投标人递交备</w:t>
      </w:r>
      <w:r>
        <w:rPr>
          <w:spacing w:val="11"/>
          <w:sz w:val="20"/>
          <w:szCs w:val="20"/>
        </w:rPr>
        <w:t>选投标</w:t>
      </w:r>
      <w:r>
        <w:rPr>
          <w:sz w:val="20"/>
          <w:szCs w:val="20"/>
        </w:rPr>
        <w:t xml:space="preserve"> </w:t>
      </w:r>
      <w:r>
        <w:rPr>
          <w:spacing w:val="12"/>
          <w:sz w:val="20"/>
          <w:szCs w:val="20"/>
        </w:rPr>
        <w:t>方案的，只有中标人所递交的备选投标方案方可予以考虑。评标委员会认为中标</w:t>
      </w:r>
      <w:r>
        <w:rPr>
          <w:spacing w:val="11"/>
          <w:sz w:val="20"/>
          <w:szCs w:val="20"/>
        </w:rPr>
        <w:t>候选人的备选投</w:t>
      </w:r>
      <w:r>
        <w:rPr>
          <w:sz w:val="20"/>
          <w:szCs w:val="20"/>
        </w:rPr>
        <w:t xml:space="preserve"> </w:t>
      </w:r>
      <w:r>
        <w:rPr>
          <w:spacing w:val="12"/>
          <w:sz w:val="20"/>
          <w:szCs w:val="20"/>
        </w:rPr>
        <w:t>标方案优于其按照招标文件要求编制的投标方案的，该中标候选人被确定中标人后，招标人可以</w:t>
      </w:r>
      <w:r>
        <w:rPr>
          <w:spacing w:val="3"/>
          <w:sz w:val="20"/>
          <w:szCs w:val="20"/>
        </w:rPr>
        <w:t xml:space="preserve"> </w:t>
      </w:r>
      <w:r>
        <w:rPr>
          <w:spacing w:val="6"/>
          <w:sz w:val="20"/>
          <w:szCs w:val="20"/>
        </w:rPr>
        <w:t>接受该备选投标方案。</w:t>
      </w:r>
    </w:p>
    <w:p w14:paraId="44B9AB11">
      <w:pPr>
        <w:pStyle w:val="2"/>
        <w:spacing w:line="219" w:lineRule="auto"/>
        <w:ind w:left="403"/>
        <w:outlineLvl w:val="2"/>
      </w:pPr>
      <w:bookmarkStart w:id="37" w:name="bookmark30"/>
      <w:bookmarkEnd w:id="37"/>
      <w:r>
        <w:rPr>
          <w:b/>
          <w:bCs/>
          <w:spacing w:val="8"/>
        </w:rPr>
        <w:t>3.7投标文件的编制</w:t>
      </w:r>
    </w:p>
    <w:p w14:paraId="07A285E6">
      <w:pPr>
        <w:pStyle w:val="2"/>
        <w:spacing w:before="125" w:line="380" w:lineRule="auto"/>
        <w:ind w:firstLine="399"/>
        <w:jc w:val="both"/>
        <w:rPr>
          <w:sz w:val="20"/>
          <w:szCs w:val="20"/>
        </w:rPr>
      </w:pPr>
      <w:r>
        <w:rPr>
          <w:spacing w:val="10"/>
          <w:sz w:val="20"/>
          <w:szCs w:val="20"/>
        </w:rPr>
        <w:t>3.7.1投标文件应按第八章“投标文件格式”进行编写，如有</w:t>
      </w:r>
      <w:r>
        <w:rPr>
          <w:spacing w:val="9"/>
          <w:sz w:val="20"/>
          <w:szCs w:val="20"/>
        </w:rPr>
        <w:t>必要，可以增加附页，作为投标</w:t>
      </w:r>
      <w:r>
        <w:rPr>
          <w:sz w:val="20"/>
          <w:szCs w:val="20"/>
        </w:rPr>
        <w:t xml:space="preserve"> </w:t>
      </w:r>
      <w:r>
        <w:rPr>
          <w:spacing w:val="12"/>
          <w:sz w:val="20"/>
          <w:szCs w:val="20"/>
        </w:rPr>
        <w:t>文件的组成部分。其中，投标函附录在满足招标文件实质性要求的基础上，可以</w:t>
      </w:r>
      <w:r>
        <w:rPr>
          <w:spacing w:val="11"/>
          <w:sz w:val="20"/>
          <w:szCs w:val="20"/>
        </w:rPr>
        <w:t>提出比招标文件</w:t>
      </w:r>
      <w:r>
        <w:rPr>
          <w:sz w:val="20"/>
          <w:szCs w:val="20"/>
        </w:rPr>
        <w:t xml:space="preserve"> </w:t>
      </w:r>
      <w:r>
        <w:rPr>
          <w:spacing w:val="7"/>
          <w:sz w:val="20"/>
          <w:szCs w:val="20"/>
        </w:rPr>
        <w:t>要求更有利于招标人的承诺。</w:t>
      </w:r>
    </w:p>
    <w:p w14:paraId="69EBAA9C">
      <w:pPr>
        <w:spacing w:line="380" w:lineRule="auto"/>
        <w:rPr>
          <w:sz w:val="20"/>
          <w:szCs w:val="20"/>
        </w:rPr>
        <w:sectPr>
          <w:footerReference r:id="rId24" w:type="default"/>
          <w:pgSz w:w="11910" w:h="16840"/>
          <w:pgMar w:top="1431" w:right="1522" w:bottom="1001" w:left="1470" w:header="0" w:footer="857" w:gutter="0"/>
          <w:cols w:space="720" w:num="1"/>
        </w:sectPr>
      </w:pPr>
    </w:p>
    <w:p w14:paraId="27A6D7EA">
      <w:pPr>
        <w:spacing w:line="327" w:lineRule="auto"/>
        <w:rPr>
          <w:rFonts w:ascii="Arial"/>
          <w:sz w:val="21"/>
        </w:rPr>
      </w:pPr>
    </w:p>
    <w:p w14:paraId="078C9EF0">
      <w:pPr>
        <w:pStyle w:val="2"/>
        <w:spacing w:before="69" w:line="285" w:lineRule="auto"/>
        <w:ind w:right="97" w:firstLine="429"/>
        <w:rPr>
          <w:sz w:val="21"/>
          <w:szCs w:val="21"/>
        </w:rPr>
      </w:pPr>
      <w:r>
        <w:rPr>
          <w:spacing w:val="2"/>
          <w:sz w:val="21"/>
          <w:szCs w:val="21"/>
        </w:rPr>
        <w:t>3.7.2 投标文件应当对招标文件有关工期、投标有效期、质量要求、技术标准和要求、招标</w:t>
      </w:r>
      <w:r>
        <w:rPr>
          <w:sz w:val="21"/>
          <w:szCs w:val="21"/>
        </w:rPr>
        <w:t xml:space="preserve"> </w:t>
      </w:r>
      <w:r>
        <w:rPr>
          <w:spacing w:val="-4"/>
          <w:sz w:val="21"/>
          <w:szCs w:val="21"/>
        </w:rPr>
        <w:t>范围等实质性内容作出响应。</w:t>
      </w:r>
    </w:p>
    <w:p w14:paraId="49C382DE">
      <w:pPr>
        <w:pStyle w:val="2"/>
        <w:spacing w:before="160" w:line="219" w:lineRule="auto"/>
        <w:ind w:left="429"/>
        <w:rPr>
          <w:sz w:val="21"/>
          <w:szCs w:val="21"/>
        </w:rPr>
      </w:pPr>
      <w:r>
        <w:rPr>
          <w:spacing w:val="9"/>
          <w:sz w:val="21"/>
          <w:szCs w:val="21"/>
        </w:rPr>
        <w:t>3.7.3电子投标文件制作</w:t>
      </w:r>
    </w:p>
    <w:p w14:paraId="5B0B0227">
      <w:pPr>
        <w:pStyle w:val="2"/>
        <w:spacing w:before="140" w:line="287" w:lineRule="auto"/>
        <w:ind w:right="75" w:firstLine="529"/>
        <w:rPr>
          <w:sz w:val="21"/>
          <w:szCs w:val="21"/>
        </w:rPr>
      </w:pPr>
      <w:r>
        <w:rPr>
          <w:spacing w:val="3"/>
          <w:sz w:val="21"/>
          <w:szCs w:val="21"/>
        </w:rPr>
        <w:t>(1)电子投标文件由投标人使用“电子交易平台”提供的“电子投标</w:t>
      </w:r>
      <w:r>
        <w:rPr>
          <w:spacing w:val="2"/>
          <w:sz w:val="21"/>
          <w:szCs w:val="21"/>
        </w:rPr>
        <w:t>文件制作软件”制作生</w:t>
      </w:r>
      <w:r>
        <w:rPr>
          <w:sz w:val="21"/>
          <w:szCs w:val="21"/>
        </w:rPr>
        <w:t xml:space="preserve"> </w:t>
      </w:r>
      <w:r>
        <w:rPr>
          <w:spacing w:val="-11"/>
          <w:sz w:val="21"/>
          <w:szCs w:val="21"/>
        </w:rPr>
        <w:t>成。</w:t>
      </w:r>
    </w:p>
    <w:p w14:paraId="6CCB2A83">
      <w:pPr>
        <w:pStyle w:val="2"/>
        <w:spacing w:before="157" w:line="219" w:lineRule="auto"/>
        <w:ind w:left="529"/>
        <w:rPr>
          <w:sz w:val="21"/>
          <w:szCs w:val="21"/>
        </w:rPr>
      </w:pPr>
      <w:r>
        <w:rPr>
          <w:spacing w:val="3"/>
          <w:sz w:val="21"/>
          <w:szCs w:val="21"/>
        </w:rPr>
        <w:t>(2)投标人在编制电子投标文件时应当建立分级目录，并按照标签</w:t>
      </w:r>
      <w:r>
        <w:rPr>
          <w:spacing w:val="2"/>
          <w:sz w:val="21"/>
          <w:szCs w:val="21"/>
        </w:rPr>
        <w:t>提示导入相关内容。</w:t>
      </w:r>
    </w:p>
    <w:p w14:paraId="2416A9D3">
      <w:pPr>
        <w:pStyle w:val="2"/>
        <w:spacing w:before="116" w:line="315" w:lineRule="auto"/>
        <w:ind w:right="78" w:firstLine="529"/>
        <w:rPr>
          <w:sz w:val="21"/>
          <w:szCs w:val="21"/>
        </w:rPr>
      </w:pPr>
      <w:r>
        <w:rPr>
          <w:spacing w:val="-1"/>
          <w:sz w:val="21"/>
          <w:szCs w:val="21"/>
        </w:rPr>
        <w:t>(3)电子投标文件中的证明资料均为“扫描件”,应从“电子交易平台”交易主体</w:t>
      </w:r>
      <w:r>
        <w:rPr>
          <w:spacing w:val="-2"/>
          <w:sz w:val="21"/>
          <w:szCs w:val="21"/>
        </w:rPr>
        <w:t>诚信库中选</w:t>
      </w:r>
      <w:r>
        <w:rPr>
          <w:sz w:val="21"/>
          <w:szCs w:val="21"/>
        </w:rPr>
        <w:t xml:space="preserve"> 择，交易主体诚信库中没有的“扫描件”,应以附件形式直接导入，未标示“扫描件”的证明资料</w:t>
      </w:r>
      <w:r>
        <w:rPr>
          <w:spacing w:val="10"/>
          <w:sz w:val="21"/>
          <w:szCs w:val="21"/>
        </w:rPr>
        <w:t xml:space="preserve"> </w:t>
      </w:r>
      <w:r>
        <w:rPr>
          <w:spacing w:val="-4"/>
          <w:sz w:val="21"/>
          <w:szCs w:val="21"/>
        </w:rPr>
        <w:t>均应直接制作生成。</w:t>
      </w:r>
    </w:p>
    <w:p w14:paraId="37D5AD5C">
      <w:pPr>
        <w:pStyle w:val="2"/>
        <w:spacing w:before="147" w:line="319" w:lineRule="auto"/>
        <w:ind w:right="108" w:firstLine="529"/>
        <w:rPr>
          <w:sz w:val="21"/>
          <w:szCs w:val="21"/>
        </w:rPr>
      </w:pPr>
      <w:r>
        <w:rPr>
          <w:spacing w:val="2"/>
          <w:sz w:val="21"/>
          <w:szCs w:val="21"/>
        </w:rPr>
        <w:t>(4)电子投标文件中的已标价工程量清单数据文件应符合《湖北省建设</w:t>
      </w:r>
      <w:r>
        <w:rPr>
          <w:spacing w:val="1"/>
          <w:sz w:val="21"/>
          <w:szCs w:val="21"/>
        </w:rPr>
        <w:t>工程造价应用软件数</w:t>
      </w:r>
      <w:r>
        <w:rPr>
          <w:sz w:val="21"/>
          <w:szCs w:val="21"/>
        </w:rPr>
        <w:t xml:space="preserve"> </w:t>
      </w:r>
      <w:r>
        <w:rPr>
          <w:spacing w:val="4"/>
          <w:sz w:val="21"/>
          <w:szCs w:val="21"/>
        </w:rPr>
        <w:t>据交换规范》和《关于增加湖北省建设工程造价数据接口内容的通知》(鄂建标函[2018]6号)的</w:t>
      </w:r>
      <w:r>
        <w:rPr>
          <w:spacing w:val="6"/>
          <w:sz w:val="21"/>
          <w:szCs w:val="21"/>
        </w:rPr>
        <w:t xml:space="preserve"> </w:t>
      </w:r>
      <w:r>
        <w:rPr>
          <w:spacing w:val="-9"/>
          <w:sz w:val="21"/>
          <w:szCs w:val="21"/>
        </w:rPr>
        <w:t>要求，采用</w:t>
      </w:r>
      <w:r>
        <w:rPr>
          <w:spacing w:val="-48"/>
          <w:sz w:val="21"/>
          <w:szCs w:val="21"/>
        </w:rPr>
        <w:t xml:space="preserve"> </w:t>
      </w:r>
      <w:r>
        <w:rPr>
          <w:rFonts w:ascii="Times New Roman" w:hAnsi="Times New Roman" w:eastAsia="Times New Roman" w:cs="Times New Roman"/>
          <w:spacing w:val="-9"/>
          <w:sz w:val="21"/>
          <w:szCs w:val="21"/>
        </w:rPr>
        <w:t xml:space="preserve">XML </w:t>
      </w:r>
      <w:r>
        <w:rPr>
          <w:spacing w:val="-9"/>
          <w:sz w:val="21"/>
          <w:szCs w:val="21"/>
        </w:rPr>
        <w:t>格式。电子投标文件中只能包含一个</w:t>
      </w:r>
      <w:r>
        <w:rPr>
          <w:rFonts w:ascii="Times New Roman" w:hAnsi="Times New Roman" w:eastAsia="Times New Roman" w:cs="Times New Roman"/>
          <w:spacing w:val="-9"/>
          <w:sz w:val="21"/>
          <w:szCs w:val="21"/>
        </w:rPr>
        <w:t>XML</w:t>
      </w:r>
      <w:r>
        <w:rPr>
          <w:rFonts w:ascii="Times New Roman" w:hAnsi="Times New Roman" w:eastAsia="Times New Roman" w:cs="Times New Roman"/>
          <w:spacing w:val="14"/>
          <w:w w:val="101"/>
          <w:sz w:val="21"/>
          <w:szCs w:val="21"/>
        </w:rPr>
        <w:t xml:space="preserve"> </w:t>
      </w:r>
      <w:r>
        <w:rPr>
          <w:spacing w:val="-9"/>
          <w:sz w:val="21"/>
          <w:szCs w:val="21"/>
        </w:rPr>
        <w:t>或</w:t>
      </w:r>
      <w:r>
        <w:rPr>
          <w:spacing w:val="-54"/>
          <w:sz w:val="21"/>
          <w:szCs w:val="21"/>
        </w:rPr>
        <w:t xml:space="preserve"> </w:t>
      </w:r>
      <w:r>
        <w:rPr>
          <w:rFonts w:ascii="Times New Roman" w:hAnsi="Times New Roman" w:eastAsia="Times New Roman" w:cs="Times New Roman"/>
          <w:spacing w:val="-9"/>
          <w:sz w:val="21"/>
          <w:szCs w:val="21"/>
        </w:rPr>
        <w:t>HBTB</w:t>
      </w:r>
      <w:r>
        <w:rPr>
          <w:rFonts w:ascii="Times New Roman" w:hAnsi="Times New Roman" w:eastAsia="Times New Roman" w:cs="Times New Roman"/>
          <w:spacing w:val="-12"/>
          <w:sz w:val="21"/>
          <w:szCs w:val="21"/>
        </w:rPr>
        <w:t xml:space="preserve"> </w:t>
      </w:r>
      <w:r>
        <w:rPr>
          <w:spacing w:val="-9"/>
          <w:sz w:val="21"/>
          <w:szCs w:val="21"/>
        </w:rPr>
        <w:t>文件，多个专业分别编制时，应</w:t>
      </w:r>
      <w:r>
        <w:rPr>
          <w:sz w:val="21"/>
          <w:szCs w:val="21"/>
        </w:rPr>
        <w:t xml:space="preserve"> </w:t>
      </w:r>
      <w:r>
        <w:rPr>
          <w:spacing w:val="-2"/>
          <w:sz w:val="21"/>
          <w:szCs w:val="21"/>
        </w:rPr>
        <w:t>汇总合并为一个</w:t>
      </w:r>
      <w:r>
        <w:rPr>
          <w:spacing w:val="-50"/>
          <w:sz w:val="21"/>
          <w:szCs w:val="21"/>
        </w:rPr>
        <w:t xml:space="preserve"> </w:t>
      </w:r>
      <w:r>
        <w:rPr>
          <w:spacing w:val="-2"/>
          <w:sz w:val="21"/>
          <w:szCs w:val="21"/>
        </w:rPr>
        <w:t>XML</w:t>
      </w:r>
      <w:r>
        <w:rPr>
          <w:spacing w:val="-45"/>
          <w:sz w:val="21"/>
          <w:szCs w:val="21"/>
        </w:rPr>
        <w:t xml:space="preserve"> </w:t>
      </w:r>
      <w:r>
        <w:rPr>
          <w:spacing w:val="-2"/>
          <w:sz w:val="21"/>
          <w:szCs w:val="21"/>
        </w:rPr>
        <w:t>或</w:t>
      </w:r>
      <w:r>
        <w:rPr>
          <w:spacing w:val="-44"/>
          <w:sz w:val="21"/>
          <w:szCs w:val="21"/>
        </w:rPr>
        <w:t xml:space="preserve"> </w:t>
      </w:r>
      <w:r>
        <w:rPr>
          <w:spacing w:val="-2"/>
          <w:sz w:val="21"/>
          <w:szCs w:val="21"/>
        </w:rPr>
        <w:t>HBTB</w:t>
      </w:r>
      <w:r>
        <w:rPr>
          <w:spacing w:val="-32"/>
          <w:sz w:val="21"/>
          <w:szCs w:val="21"/>
        </w:rPr>
        <w:t xml:space="preserve"> </w:t>
      </w:r>
      <w:r>
        <w:rPr>
          <w:spacing w:val="-2"/>
          <w:sz w:val="21"/>
          <w:szCs w:val="21"/>
        </w:rPr>
        <w:t>文件导入。</w:t>
      </w:r>
    </w:p>
    <w:p w14:paraId="577EDDBB">
      <w:pPr>
        <w:pStyle w:val="2"/>
        <w:spacing w:before="160" w:line="325" w:lineRule="auto"/>
        <w:ind w:right="75" w:firstLine="529"/>
        <w:rPr>
          <w:sz w:val="21"/>
          <w:szCs w:val="21"/>
        </w:rPr>
      </w:pPr>
      <w:r>
        <w:rPr>
          <w:spacing w:val="1"/>
          <w:sz w:val="21"/>
          <w:szCs w:val="21"/>
        </w:rPr>
        <w:t>(5)第八章投标文件投标函要求“盖单位章”的地方，投标人应使用</w:t>
      </w:r>
      <w:r>
        <w:rPr>
          <w:spacing w:val="-40"/>
          <w:sz w:val="21"/>
          <w:szCs w:val="21"/>
        </w:rPr>
        <w:t xml:space="preserve"> </w:t>
      </w:r>
      <w:r>
        <w:rPr>
          <w:rFonts w:ascii="Times New Roman" w:hAnsi="Times New Roman" w:eastAsia="Times New Roman" w:cs="Times New Roman"/>
          <w:sz w:val="21"/>
          <w:szCs w:val="21"/>
        </w:rPr>
        <w:t>CA</w:t>
      </w:r>
      <w:r>
        <w:rPr>
          <w:rFonts w:ascii="Times New Roman" w:hAnsi="Times New Roman" w:eastAsia="Times New Roman" w:cs="Times New Roman"/>
          <w:spacing w:val="45"/>
          <w:w w:val="101"/>
          <w:sz w:val="21"/>
          <w:szCs w:val="21"/>
        </w:rPr>
        <w:t xml:space="preserve"> </w:t>
      </w:r>
      <w:r>
        <w:rPr>
          <w:spacing w:val="1"/>
          <w:sz w:val="21"/>
          <w:szCs w:val="21"/>
        </w:rPr>
        <w:t>数字证书加盖投标</w:t>
      </w:r>
      <w:r>
        <w:rPr>
          <w:sz w:val="21"/>
          <w:szCs w:val="21"/>
        </w:rPr>
        <w:t xml:space="preserve"> 人的单位电子印章；要求“签字”的地方，投标人应使用</w:t>
      </w:r>
      <w:r>
        <w:rPr>
          <w:spacing w:val="-1"/>
          <w:sz w:val="21"/>
          <w:szCs w:val="21"/>
        </w:rPr>
        <w:t>CA</w:t>
      </w:r>
      <w:r>
        <w:rPr>
          <w:spacing w:val="31"/>
          <w:sz w:val="21"/>
          <w:szCs w:val="21"/>
        </w:rPr>
        <w:t xml:space="preserve"> </w:t>
      </w:r>
      <w:r>
        <w:rPr>
          <w:spacing w:val="-1"/>
          <w:sz w:val="21"/>
          <w:szCs w:val="21"/>
        </w:rPr>
        <w:t>数字证书加盖法定代表人的个人电子</w:t>
      </w:r>
      <w:r>
        <w:rPr>
          <w:sz w:val="21"/>
          <w:szCs w:val="21"/>
        </w:rPr>
        <w:t xml:space="preserve"> </w:t>
      </w:r>
      <w:r>
        <w:rPr>
          <w:spacing w:val="2"/>
          <w:sz w:val="21"/>
          <w:szCs w:val="21"/>
        </w:rPr>
        <w:t>印章或电子签名章。联合体投标的，投标文件由联合体牵头人按上述规定在要求“盖单位章”的</w:t>
      </w:r>
      <w:r>
        <w:rPr>
          <w:spacing w:val="1"/>
          <w:sz w:val="21"/>
          <w:szCs w:val="21"/>
        </w:rPr>
        <w:t xml:space="preserve"> </w:t>
      </w:r>
      <w:r>
        <w:rPr>
          <w:spacing w:val="2"/>
          <w:sz w:val="21"/>
          <w:szCs w:val="21"/>
        </w:rPr>
        <w:t>地方加盖联合体牵头人单位电子印章；在要求“签字”的地方加盖联合体牵头人</w:t>
      </w:r>
      <w:r>
        <w:rPr>
          <w:spacing w:val="1"/>
          <w:sz w:val="21"/>
          <w:szCs w:val="21"/>
        </w:rPr>
        <w:t>法定代表人的个</w:t>
      </w:r>
      <w:r>
        <w:rPr>
          <w:sz w:val="21"/>
          <w:szCs w:val="21"/>
        </w:rPr>
        <w:t xml:space="preserve"> </w:t>
      </w:r>
      <w:r>
        <w:rPr>
          <w:spacing w:val="-2"/>
          <w:sz w:val="21"/>
          <w:szCs w:val="21"/>
        </w:rPr>
        <w:t>人电子印章或电子签名章。招标文件有特别说明的除外。</w:t>
      </w:r>
    </w:p>
    <w:p w14:paraId="346D6D43">
      <w:pPr>
        <w:pStyle w:val="2"/>
        <w:spacing w:before="151" w:line="272" w:lineRule="auto"/>
        <w:ind w:right="114" w:firstLine="529"/>
        <w:rPr>
          <w:sz w:val="21"/>
          <w:szCs w:val="21"/>
        </w:rPr>
      </w:pPr>
      <w:r>
        <w:rPr>
          <w:spacing w:val="5"/>
          <w:sz w:val="21"/>
          <w:szCs w:val="21"/>
        </w:rPr>
        <w:t>(6)电子投标文件制作完成后，将生成一</w:t>
      </w:r>
      <w:r>
        <w:rPr>
          <w:spacing w:val="4"/>
          <w:sz w:val="21"/>
          <w:szCs w:val="21"/>
        </w:rPr>
        <w:t>份加密的电子投标文件(后缀名为.</w:t>
      </w:r>
      <w:r>
        <w:rPr>
          <w:sz w:val="21"/>
          <w:szCs w:val="21"/>
        </w:rPr>
        <w:t>HBSTF</w:t>
      </w:r>
      <w:r>
        <w:rPr>
          <w:spacing w:val="4"/>
          <w:sz w:val="21"/>
          <w:szCs w:val="21"/>
        </w:rPr>
        <w:t>) 和一份</w:t>
      </w:r>
      <w:r>
        <w:rPr>
          <w:sz w:val="21"/>
          <w:szCs w:val="21"/>
        </w:rPr>
        <w:t xml:space="preserve"> </w:t>
      </w:r>
      <w:r>
        <w:rPr>
          <w:spacing w:val="-2"/>
          <w:sz w:val="21"/>
          <w:szCs w:val="21"/>
        </w:rPr>
        <w:t>不加密的电子投标文件(后缀名为.</w:t>
      </w:r>
      <w:r>
        <w:rPr>
          <w:rFonts w:ascii="Times New Roman" w:hAnsi="Times New Roman" w:eastAsia="Times New Roman" w:cs="Times New Roman"/>
          <w:spacing w:val="-2"/>
          <w:sz w:val="21"/>
          <w:szCs w:val="21"/>
        </w:rPr>
        <w:t>NHBSTF)</w:t>
      </w:r>
      <w:r>
        <w:rPr>
          <w:spacing w:val="-2"/>
          <w:sz w:val="21"/>
          <w:szCs w:val="21"/>
        </w:rPr>
        <w:t>。</w:t>
      </w:r>
    </w:p>
    <w:p w14:paraId="01A523DC">
      <w:pPr>
        <w:pStyle w:val="2"/>
        <w:spacing w:before="193" w:line="219" w:lineRule="auto"/>
        <w:ind w:left="529"/>
        <w:rPr>
          <w:sz w:val="21"/>
          <w:szCs w:val="21"/>
        </w:rPr>
      </w:pPr>
      <w:r>
        <w:rPr>
          <w:spacing w:val="2"/>
          <w:sz w:val="21"/>
          <w:szCs w:val="21"/>
        </w:rPr>
        <w:t>(7)电子投标文件制作的具体方法详见“电子投标文件制作软件”中的帮助文档。</w:t>
      </w:r>
    </w:p>
    <w:p w14:paraId="253F111C">
      <w:pPr>
        <w:pStyle w:val="2"/>
        <w:spacing w:before="170" w:line="347" w:lineRule="auto"/>
        <w:ind w:right="93" w:firstLine="429"/>
        <w:rPr>
          <w:sz w:val="21"/>
          <w:szCs w:val="21"/>
        </w:rPr>
      </w:pPr>
      <w:r>
        <w:rPr>
          <w:spacing w:val="5"/>
          <w:sz w:val="21"/>
          <w:szCs w:val="21"/>
        </w:rPr>
        <w:t>3.7.4投标人须知前附表规定“施工组织设计”采用无标</w:t>
      </w:r>
      <w:r>
        <w:rPr>
          <w:spacing w:val="4"/>
          <w:sz w:val="21"/>
          <w:szCs w:val="21"/>
        </w:rPr>
        <w:t>识“技术暗标”时，则“施工组织</w:t>
      </w:r>
      <w:r>
        <w:rPr>
          <w:sz w:val="21"/>
          <w:szCs w:val="21"/>
        </w:rPr>
        <w:t xml:space="preserve"> </w:t>
      </w:r>
      <w:r>
        <w:rPr>
          <w:spacing w:val="2"/>
          <w:sz w:val="21"/>
          <w:szCs w:val="21"/>
        </w:rPr>
        <w:t>设计”按本章第3.7.3项制作电子投标文件时应满足下列要求：</w:t>
      </w:r>
    </w:p>
    <w:p w14:paraId="495A2738">
      <w:pPr>
        <w:pStyle w:val="2"/>
        <w:spacing w:line="290" w:lineRule="auto"/>
        <w:ind w:right="110" w:firstLine="529"/>
        <w:rPr>
          <w:sz w:val="21"/>
          <w:szCs w:val="21"/>
        </w:rPr>
      </w:pPr>
      <w:r>
        <w:rPr>
          <w:spacing w:val="7"/>
          <w:sz w:val="21"/>
          <w:szCs w:val="21"/>
        </w:rPr>
        <w:t>(1)封面设置要求：采用</w:t>
      </w:r>
      <w:r>
        <w:rPr>
          <w:spacing w:val="-35"/>
          <w:sz w:val="21"/>
          <w:szCs w:val="21"/>
        </w:rPr>
        <w:t xml:space="preserve"> </w:t>
      </w:r>
      <w:r>
        <w:rPr>
          <w:rFonts w:ascii="Times New Roman" w:hAnsi="Times New Roman" w:eastAsia="Times New Roman" w:cs="Times New Roman"/>
          <w:spacing w:val="7"/>
          <w:sz w:val="21"/>
          <w:szCs w:val="21"/>
        </w:rPr>
        <w:t xml:space="preserve">A4 </w:t>
      </w:r>
      <w:r>
        <w:rPr>
          <w:spacing w:val="7"/>
          <w:sz w:val="21"/>
          <w:szCs w:val="21"/>
        </w:rPr>
        <w:t>规格白色底色，写明“</w:t>
      </w:r>
      <w:r>
        <w:rPr>
          <w:spacing w:val="3"/>
          <w:sz w:val="21"/>
          <w:szCs w:val="21"/>
          <w:u w:val="single" w:color="auto"/>
        </w:rPr>
        <w:t xml:space="preserve">     </w:t>
      </w:r>
      <w:r>
        <w:rPr>
          <w:spacing w:val="-14"/>
          <w:sz w:val="21"/>
          <w:szCs w:val="21"/>
        </w:rPr>
        <w:t xml:space="preserve"> </w:t>
      </w:r>
      <w:r>
        <w:rPr>
          <w:spacing w:val="7"/>
          <w:sz w:val="21"/>
          <w:szCs w:val="21"/>
        </w:rPr>
        <w:t>(项目名称)</w:t>
      </w:r>
      <w:r>
        <w:rPr>
          <w:spacing w:val="-71"/>
          <w:sz w:val="21"/>
          <w:szCs w:val="21"/>
        </w:rPr>
        <w:t xml:space="preserve"> </w:t>
      </w:r>
      <w:r>
        <w:rPr>
          <w:spacing w:val="7"/>
          <w:sz w:val="21"/>
          <w:szCs w:val="21"/>
          <w:u w:val="single" w:color="auto"/>
        </w:rPr>
        <w:t xml:space="preserve">   </w:t>
      </w:r>
      <w:r>
        <w:rPr>
          <w:spacing w:val="7"/>
          <w:sz w:val="21"/>
          <w:szCs w:val="21"/>
        </w:rPr>
        <w:t xml:space="preserve"> (标段名称)施</w:t>
      </w:r>
      <w:r>
        <w:rPr>
          <w:sz w:val="21"/>
          <w:szCs w:val="21"/>
        </w:rPr>
        <w:t xml:space="preserve"> </w:t>
      </w:r>
      <w:r>
        <w:rPr>
          <w:spacing w:val="-3"/>
          <w:sz w:val="21"/>
          <w:szCs w:val="21"/>
        </w:rPr>
        <w:t>工组织设计”字样，文字为黑色二号宋体，可加粗；</w:t>
      </w:r>
    </w:p>
    <w:p w14:paraId="248D0718">
      <w:pPr>
        <w:pStyle w:val="2"/>
        <w:spacing w:before="181" w:line="303" w:lineRule="auto"/>
        <w:ind w:right="93" w:firstLine="529"/>
        <w:rPr>
          <w:sz w:val="21"/>
          <w:szCs w:val="21"/>
        </w:rPr>
      </w:pPr>
      <w:r>
        <w:rPr>
          <w:spacing w:val="3"/>
          <w:sz w:val="21"/>
          <w:szCs w:val="21"/>
        </w:rPr>
        <w:t>(2)  目录、正文标题(包括章、节、条、款、项)、正文要求：采用</w:t>
      </w:r>
      <w:r>
        <w:rPr>
          <w:spacing w:val="-31"/>
          <w:sz w:val="21"/>
          <w:szCs w:val="21"/>
        </w:rPr>
        <w:t xml:space="preserve"> </w:t>
      </w:r>
      <w:r>
        <w:rPr>
          <w:rFonts w:ascii="Times New Roman" w:hAnsi="Times New Roman" w:eastAsia="Times New Roman" w:cs="Times New Roman"/>
          <w:spacing w:val="3"/>
          <w:sz w:val="21"/>
          <w:szCs w:val="21"/>
        </w:rPr>
        <w:t xml:space="preserve">A4 </w:t>
      </w:r>
      <w:r>
        <w:rPr>
          <w:spacing w:val="3"/>
          <w:sz w:val="21"/>
          <w:szCs w:val="21"/>
        </w:rPr>
        <w:t>规格白色底色，文</w:t>
      </w:r>
      <w:r>
        <w:rPr>
          <w:sz w:val="21"/>
          <w:szCs w:val="21"/>
        </w:rPr>
        <w:t xml:space="preserve"> </w:t>
      </w:r>
      <w:r>
        <w:rPr>
          <w:spacing w:val="-4"/>
          <w:sz w:val="21"/>
          <w:szCs w:val="21"/>
        </w:rPr>
        <w:t>字为黑色小四号宋体，标题可加粗；</w:t>
      </w:r>
    </w:p>
    <w:p w14:paraId="3F5F43B5">
      <w:pPr>
        <w:pStyle w:val="2"/>
        <w:spacing w:before="170" w:line="294" w:lineRule="auto"/>
        <w:ind w:right="77" w:firstLine="529"/>
        <w:rPr>
          <w:sz w:val="21"/>
          <w:szCs w:val="21"/>
        </w:rPr>
      </w:pPr>
      <w:r>
        <w:rPr>
          <w:spacing w:val="3"/>
          <w:sz w:val="21"/>
          <w:szCs w:val="21"/>
        </w:rPr>
        <w:t xml:space="preserve">(3)  图表要求：图表应尽可能采用A4 </w:t>
      </w:r>
      <w:r>
        <w:rPr>
          <w:spacing w:val="2"/>
          <w:sz w:val="21"/>
          <w:szCs w:val="21"/>
        </w:rPr>
        <w:t>规格白色底色，对于比较大的图表可使用A3 规格白</w:t>
      </w:r>
      <w:r>
        <w:rPr>
          <w:sz w:val="21"/>
          <w:szCs w:val="21"/>
        </w:rPr>
        <w:t xml:space="preserve"> </w:t>
      </w:r>
      <w:r>
        <w:rPr>
          <w:spacing w:val="-3"/>
          <w:sz w:val="21"/>
          <w:szCs w:val="21"/>
        </w:rPr>
        <w:t>色底色。图表中的文字采用黑色，字体、字号不限；</w:t>
      </w:r>
    </w:p>
    <w:p w14:paraId="7D6A850E">
      <w:pPr>
        <w:pStyle w:val="2"/>
        <w:spacing w:before="171" w:line="294" w:lineRule="auto"/>
        <w:ind w:right="95" w:firstLine="529"/>
        <w:rPr>
          <w:sz w:val="21"/>
          <w:szCs w:val="21"/>
        </w:rPr>
      </w:pPr>
      <w:r>
        <w:rPr>
          <w:spacing w:val="7"/>
          <w:sz w:val="21"/>
          <w:szCs w:val="21"/>
        </w:rPr>
        <w:t>(4)  页眉和页脚(包括页码)设置要求：不允许出现页眉，且页脚只准出现页码，页码格</w:t>
      </w:r>
      <w:r>
        <w:rPr>
          <w:spacing w:val="9"/>
          <w:sz w:val="21"/>
          <w:szCs w:val="21"/>
        </w:rPr>
        <w:t xml:space="preserve"> </w:t>
      </w:r>
      <w:r>
        <w:rPr>
          <w:spacing w:val="-2"/>
          <w:sz w:val="21"/>
          <w:szCs w:val="21"/>
        </w:rPr>
        <w:t>式采用阿拉伯数字格式，字体为五号宋体，设在页脚居中位置，页码应当连续；</w:t>
      </w:r>
    </w:p>
    <w:p w14:paraId="5A732360">
      <w:pPr>
        <w:pStyle w:val="2"/>
        <w:spacing w:before="173" w:line="294" w:lineRule="auto"/>
        <w:ind w:firstLine="529"/>
        <w:rPr>
          <w:sz w:val="21"/>
          <w:szCs w:val="21"/>
        </w:rPr>
      </w:pPr>
      <w:r>
        <w:rPr>
          <w:spacing w:val="5"/>
          <w:sz w:val="21"/>
          <w:szCs w:val="21"/>
        </w:rPr>
        <w:t>(5)任何情况下，施工组织设计中不得出现投标人的名</w:t>
      </w:r>
      <w:r>
        <w:rPr>
          <w:spacing w:val="4"/>
          <w:sz w:val="21"/>
          <w:szCs w:val="21"/>
        </w:rPr>
        <w:t>称和其它可识别投标人身份的字符、</w:t>
      </w:r>
      <w:r>
        <w:rPr>
          <w:sz w:val="21"/>
          <w:szCs w:val="21"/>
        </w:rPr>
        <w:t xml:space="preserve"> </w:t>
      </w:r>
      <w:r>
        <w:rPr>
          <w:spacing w:val="-4"/>
          <w:sz w:val="21"/>
          <w:szCs w:val="21"/>
        </w:rPr>
        <w:t>徽标、人员名称等。</w:t>
      </w:r>
    </w:p>
    <w:p w14:paraId="52071578">
      <w:pPr>
        <w:spacing w:line="294" w:lineRule="auto"/>
        <w:rPr>
          <w:sz w:val="21"/>
          <w:szCs w:val="21"/>
        </w:rPr>
        <w:sectPr>
          <w:footerReference r:id="rId25" w:type="default"/>
          <w:pgSz w:w="11910" w:h="16840"/>
          <w:pgMar w:top="1431" w:right="1444" w:bottom="1001" w:left="1450" w:header="0" w:footer="857" w:gutter="0"/>
          <w:cols w:space="720" w:num="1"/>
        </w:sectPr>
      </w:pPr>
    </w:p>
    <w:p w14:paraId="5BE3FF83">
      <w:pPr>
        <w:pStyle w:val="2"/>
        <w:spacing w:before="307" w:line="222" w:lineRule="auto"/>
        <w:ind w:left="4"/>
        <w:outlineLvl w:val="1"/>
        <w:rPr>
          <w:rFonts w:ascii="黑体" w:hAnsi="黑体" w:eastAsia="黑体" w:cs="黑体"/>
          <w:sz w:val="31"/>
          <w:szCs w:val="31"/>
        </w:rPr>
      </w:pPr>
      <w:bookmarkStart w:id="38" w:name="bookmark225"/>
      <w:bookmarkEnd w:id="38"/>
      <w:bookmarkStart w:id="39" w:name="bookmark31"/>
      <w:bookmarkEnd w:id="39"/>
      <w:r>
        <w:rPr>
          <w:b/>
          <w:bCs/>
          <w:spacing w:val="3"/>
          <w:sz w:val="31"/>
          <w:szCs w:val="31"/>
        </w:rPr>
        <w:t>4.</w:t>
      </w:r>
      <w:r>
        <w:rPr>
          <w:rFonts w:ascii="黑体" w:hAnsi="黑体" w:eastAsia="黑体" w:cs="黑体"/>
          <w:b/>
          <w:bCs/>
          <w:spacing w:val="3"/>
          <w:sz w:val="31"/>
          <w:szCs w:val="31"/>
        </w:rPr>
        <w:t>投标</w:t>
      </w:r>
    </w:p>
    <w:p w14:paraId="4355CA46">
      <w:pPr>
        <w:spacing w:before="93" w:line="221" w:lineRule="auto"/>
        <w:ind w:left="423"/>
        <w:outlineLvl w:val="2"/>
        <w:rPr>
          <w:rFonts w:ascii="黑体" w:hAnsi="黑体" w:eastAsia="黑体" w:cs="黑体"/>
          <w:sz w:val="25"/>
          <w:szCs w:val="25"/>
        </w:rPr>
      </w:pPr>
      <w:bookmarkStart w:id="40" w:name="bookmark32"/>
      <w:bookmarkEnd w:id="40"/>
      <w:r>
        <w:rPr>
          <w:rFonts w:ascii="黑体" w:hAnsi="黑体" w:eastAsia="黑体" w:cs="黑体"/>
          <w:b/>
          <w:bCs/>
          <w:spacing w:val="6"/>
          <w:sz w:val="25"/>
          <w:szCs w:val="25"/>
        </w:rPr>
        <w:t>4.1投标文件的加密</w:t>
      </w:r>
    </w:p>
    <w:p w14:paraId="238D2273">
      <w:pPr>
        <w:pStyle w:val="2"/>
        <w:spacing w:before="132" w:line="334" w:lineRule="auto"/>
        <w:ind w:left="3" w:right="96" w:firstLine="416"/>
        <w:rPr>
          <w:sz w:val="21"/>
          <w:szCs w:val="21"/>
        </w:rPr>
      </w:pPr>
      <w:r>
        <w:rPr>
          <w:spacing w:val="4"/>
          <w:sz w:val="21"/>
          <w:szCs w:val="21"/>
        </w:rPr>
        <w:t>投标人应当按照本章第3.7.3项要求制作电子投标文件，并在投标时上传</w:t>
      </w:r>
      <w:r>
        <w:rPr>
          <w:b/>
          <w:bCs/>
          <w:spacing w:val="4"/>
          <w:sz w:val="21"/>
          <w:szCs w:val="21"/>
        </w:rPr>
        <w:t>加密的电</w:t>
      </w:r>
      <w:r>
        <w:rPr>
          <w:b/>
          <w:bCs/>
          <w:spacing w:val="3"/>
          <w:sz w:val="21"/>
          <w:szCs w:val="21"/>
        </w:rPr>
        <w:t>子投标文</w:t>
      </w:r>
      <w:r>
        <w:rPr>
          <w:sz w:val="21"/>
          <w:szCs w:val="21"/>
        </w:rPr>
        <w:t xml:space="preserve"> </w:t>
      </w:r>
      <w:r>
        <w:rPr>
          <w:b/>
          <w:bCs/>
          <w:spacing w:val="-3"/>
          <w:sz w:val="21"/>
          <w:szCs w:val="21"/>
        </w:rPr>
        <w:t>件</w:t>
      </w:r>
      <w:r>
        <w:rPr>
          <w:spacing w:val="-10"/>
          <w:sz w:val="21"/>
          <w:szCs w:val="21"/>
        </w:rPr>
        <w:t xml:space="preserve"> </w:t>
      </w:r>
      <w:r>
        <w:rPr>
          <w:b/>
          <w:bCs/>
          <w:spacing w:val="-3"/>
          <w:sz w:val="21"/>
          <w:szCs w:val="21"/>
        </w:rPr>
        <w:t>，</w:t>
      </w:r>
      <w:r>
        <w:rPr>
          <w:spacing w:val="-3"/>
          <w:sz w:val="21"/>
          <w:szCs w:val="21"/>
        </w:rPr>
        <w:t>未加密的电子投标文件，招标人(“电子交易平台”)将拒收并提示。</w:t>
      </w:r>
    </w:p>
    <w:p w14:paraId="75C29043">
      <w:pPr>
        <w:spacing w:line="221" w:lineRule="auto"/>
        <w:ind w:left="423"/>
        <w:outlineLvl w:val="2"/>
        <w:rPr>
          <w:rFonts w:ascii="黑体" w:hAnsi="黑体" w:eastAsia="黑体" w:cs="黑体"/>
          <w:sz w:val="25"/>
          <w:szCs w:val="25"/>
        </w:rPr>
      </w:pPr>
      <w:bookmarkStart w:id="41" w:name="bookmark33"/>
      <w:bookmarkEnd w:id="41"/>
      <w:r>
        <w:rPr>
          <w:rFonts w:ascii="黑体" w:hAnsi="黑体" w:eastAsia="黑体" w:cs="黑体"/>
          <w:b/>
          <w:bCs/>
          <w:spacing w:val="6"/>
          <w:sz w:val="25"/>
          <w:szCs w:val="25"/>
        </w:rPr>
        <w:t>4.2投标文件的递交</w:t>
      </w:r>
    </w:p>
    <w:p w14:paraId="5C4F87E7">
      <w:pPr>
        <w:pStyle w:val="2"/>
        <w:spacing w:before="141" w:line="219" w:lineRule="auto"/>
        <w:ind w:left="419"/>
        <w:rPr>
          <w:sz w:val="21"/>
          <w:szCs w:val="21"/>
        </w:rPr>
      </w:pPr>
      <w:r>
        <w:rPr>
          <w:spacing w:val="5"/>
          <w:sz w:val="21"/>
          <w:szCs w:val="21"/>
        </w:rPr>
        <w:t>4.2.1 投标人递交投标文件的截止时间(投标截止时间):见投标人须知前附表。</w:t>
      </w:r>
    </w:p>
    <w:p w14:paraId="504ADDF4">
      <w:pPr>
        <w:pStyle w:val="2"/>
        <w:spacing w:before="127" w:line="326" w:lineRule="auto"/>
        <w:ind w:right="83" w:firstLine="419"/>
        <w:rPr>
          <w:sz w:val="21"/>
          <w:szCs w:val="21"/>
        </w:rPr>
      </w:pPr>
      <w:r>
        <w:rPr>
          <w:rFonts w:ascii="Times New Roman" w:hAnsi="Times New Roman" w:eastAsia="Times New Roman" w:cs="Times New Roman"/>
          <w:spacing w:val="-2"/>
          <w:sz w:val="21"/>
          <w:szCs w:val="21"/>
        </w:rPr>
        <w:t>4.2.2</w:t>
      </w:r>
      <w:r>
        <w:rPr>
          <w:rFonts w:ascii="Times New Roman" w:hAnsi="Times New Roman" w:eastAsia="Times New Roman" w:cs="Times New Roman"/>
          <w:spacing w:val="17"/>
          <w:sz w:val="21"/>
          <w:szCs w:val="21"/>
        </w:rPr>
        <w:t xml:space="preserve">   </w:t>
      </w:r>
      <w:r>
        <w:rPr>
          <w:spacing w:val="-2"/>
          <w:sz w:val="21"/>
          <w:szCs w:val="21"/>
        </w:rPr>
        <w:t>投标人应当在投标截止时间前，通过互联网使用</w:t>
      </w:r>
      <w:r>
        <w:rPr>
          <w:spacing w:val="-60"/>
          <w:sz w:val="21"/>
          <w:szCs w:val="21"/>
        </w:rPr>
        <w:t xml:space="preserve"> </w:t>
      </w:r>
      <w:r>
        <w:rPr>
          <w:rFonts w:ascii="Times New Roman" w:hAnsi="Times New Roman" w:eastAsia="Times New Roman" w:cs="Times New Roman"/>
          <w:spacing w:val="-2"/>
          <w:sz w:val="21"/>
          <w:szCs w:val="21"/>
        </w:rPr>
        <w:t>CA</w:t>
      </w:r>
      <w:r>
        <w:rPr>
          <w:rFonts w:ascii="Times New Roman" w:hAnsi="Times New Roman" w:eastAsia="Times New Roman" w:cs="Times New Roman"/>
          <w:spacing w:val="26"/>
          <w:sz w:val="21"/>
          <w:szCs w:val="21"/>
        </w:rPr>
        <w:t xml:space="preserve"> </w:t>
      </w:r>
      <w:r>
        <w:rPr>
          <w:spacing w:val="-2"/>
          <w:sz w:val="21"/>
          <w:szCs w:val="21"/>
        </w:rPr>
        <w:t>数字证书登录“电子交易平台”,</w:t>
      </w:r>
      <w:r>
        <w:rPr>
          <w:sz w:val="21"/>
          <w:szCs w:val="21"/>
        </w:rPr>
        <w:t xml:space="preserve"> </w:t>
      </w:r>
      <w:r>
        <w:rPr>
          <w:spacing w:val="-3"/>
          <w:sz w:val="21"/>
          <w:szCs w:val="21"/>
        </w:rPr>
        <w:t>选择所投标段将</w:t>
      </w:r>
      <w:r>
        <w:rPr>
          <w:b/>
          <w:bCs/>
          <w:spacing w:val="-3"/>
          <w:sz w:val="21"/>
          <w:szCs w:val="21"/>
        </w:rPr>
        <w:t>加密的电子投标文件</w:t>
      </w:r>
      <w:r>
        <w:rPr>
          <w:spacing w:val="-3"/>
          <w:sz w:val="21"/>
          <w:szCs w:val="21"/>
        </w:rPr>
        <w:t>上传。投标人完成投标文件上传后，</w:t>
      </w:r>
      <w:r>
        <w:rPr>
          <w:spacing w:val="-4"/>
          <w:sz w:val="21"/>
          <w:szCs w:val="21"/>
        </w:rPr>
        <w:t>“电子交易平台”即时向</w:t>
      </w:r>
      <w:r>
        <w:rPr>
          <w:sz w:val="21"/>
          <w:szCs w:val="21"/>
        </w:rPr>
        <w:t xml:space="preserve"> </w:t>
      </w:r>
      <w:r>
        <w:rPr>
          <w:spacing w:val="2"/>
          <w:sz w:val="21"/>
          <w:szCs w:val="21"/>
        </w:rPr>
        <w:t>投标人发出电子签收凭证，递交时间以电子签收凭证载明的传输完成时间为准</w:t>
      </w:r>
      <w:r>
        <w:rPr>
          <w:spacing w:val="1"/>
          <w:sz w:val="21"/>
          <w:szCs w:val="21"/>
        </w:rPr>
        <w:t>。投标人应充分考</w:t>
      </w:r>
      <w:r>
        <w:rPr>
          <w:sz w:val="21"/>
          <w:szCs w:val="21"/>
        </w:rPr>
        <w:t xml:space="preserve"> </w:t>
      </w:r>
      <w:r>
        <w:rPr>
          <w:spacing w:val="2"/>
          <w:sz w:val="21"/>
          <w:szCs w:val="21"/>
        </w:rPr>
        <w:t>虑上传文件时的不可预见因素，投标文件未在投标截止时间前完成上传的，视</w:t>
      </w:r>
      <w:r>
        <w:rPr>
          <w:spacing w:val="1"/>
          <w:sz w:val="21"/>
          <w:szCs w:val="21"/>
        </w:rPr>
        <w:t>为逾期送达，招标</w:t>
      </w:r>
      <w:r>
        <w:rPr>
          <w:sz w:val="21"/>
          <w:szCs w:val="21"/>
        </w:rPr>
        <w:t xml:space="preserve"> </w:t>
      </w:r>
      <w:r>
        <w:rPr>
          <w:spacing w:val="-3"/>
          <w:sz w:val="21"/>
          <w:szCs w:val="21"/>
        </w:rPr>
        <w:t>人(“电子交易平台”)将拒收。</w:t>
      </w:r>
    </w:p>
    <w:p w14:paraId="78A290AB">
      <w:pPr>
        <w:pStyle w:val="2"/>
        <w:spacing w:before="169" w:line="219" w:lineRule="auto"/>
        <w:ind w:left="419"/>
        <w:rPr>
          <w:sz w:val="21"/>
          <w:szCs w:val="21"/>
        </w:rPr>
      </w:pPr>
      <w:r>
        <w:rPr>
          <w:sz w:val="21"/>
          <w:szCs w:val="21"/>
        </w:rPr>
        <w:t>4.2.3 除投标人须知前附表另有规定外，投标人所递交的投标文</w:t>
      </w:r>
      <w:r>
        <w:rPr>
          <w:spacing w:val="-1"/>
          <w:sz w:val="21"/>
          <w:szCs w:val="21"/>
        </w:rPr>
        <w:t>件不予退还。</w:t>
      </w:r>
    </w:p>
    <w:p w14:paraId="55F8D0FC">
      <w:pPr>
        <w:spacing w:before="109" w:line="222" w:lineRule="auto"/>
        <w:ind w:left="423"/>
        <w:outlineLvl w:val="2"/>
        <w:rPr>
          <w:rFonts w:ascii="黑体" w:hAnsi="黑体" w:eastAsia="黑体" w:cs="黑体"/>
          <w:sz w:val="25"/>
          <w:szCs w:val="25"/>
        </w:rPr>
      </w:pPr>
      <w:bookmarkStart w:id="42" w:name="bookmark34"/>
      <w:bookmarkEnd w:id="42"/>
      <w:r>
        <w:rPr>
          <w:rFonts w:ascii="黑体" w:hAnsi="黑体" w:eastAsia="黑体" w:cs="黑体"/>
          <w:b/>
          <w:bCs/>
          <w:spacing w:val="1"/>
          <w:sz w:val="25"/>
          <w:szCs w:val="25"/>
        </w:rPr>
        <w:t>4.3投标文件的修改与撤回</w:t>
      </w:r>
    </w:p>
    <w:p w14:paraId="02000F08">
      <w:pPr>
        <w:pStyle w:val="2"/>
        <w:spacing w:before="141" w:line="219" w:lineRule="auto"/>
        <w:jc w:val="right"/>
        <w:rPr>
          <w:sz w:val="21"/>
          <w:szCs w:val="21"/>
        </w:rPr>
      </w:pPr>
      <w:r>
        <w:rPr>
          <w:spacing w:val="2"/>
          <w:sz w:val="21"/>
          <w:szCs w:val="21"/>
        </w:rPr>
        <w:t>4.3.1 在本章第4.2.1项规定的投标截</w:t>
      </w:r>
      <w:r>
        <w:rPr>
          <w:spacing w:val="1"/>
          <w:sz w:val="21"/>
          <w:szCs w:val="21"/>
        </w:rPr>
        <w:t>止时间前，投标人可以修改或撤回已递交的投标文件。</w:t>
      </w:r>
    </w:p>
    <w:p w14:paraId="7CF037F7">
      <w:pPr>
        <w:pStyle w:val="2"/>
        <w:spacing w:before="153" w:line="219" w:lineRule="auto"/>
        <w:ind w:left="419"/>
        <w:rPr>
          <w:sz w:val="21"/>
          <w:szCs w:val="21"/>
        </w:rPr>
      </w:pPr>
      <w:r>
        <w:rPr>
          <w:sz w:val="21"/>
          <w:szCs w:val="21"/>
        </w:rPr>
        <w:t>4.3.2 投标人撤回投标文件的，在“</w:t>
      </w:r>
      <w:r>
        <w:rPr>
          <w:spacing w:val="-1"/>
          <w:sz w:val="21"/>
          <w:szCs w:val="21"/>
        </w:rPr>
        <w:t>电子交易平台”直接进行撤回操作。</w:t>
      </w:r>
    </w:p>
    <w:p w14:paraId="4CE82D1B">
      <w:pPr>
        <w:pStyle w:val="2"/>
        <w:spacing w:before="129" w:line="294" w:lineRule="auto"/>
        <w:ind w:right="79" w:firstLine="419"/>
        <w:rPr>
          <w:sz w:val="21"/>
          <w:szCs w:val="21"/>
        </w:rPr>
      </w:pPr>
      <w:r>
        <w:rPr>
          <w:spacing w:val="7"/>
          <w:sz w:val="21"/>
          <w:szCs w:val="21"/>
        </w:rPr>
        <w:t>4.3.3投标人修改投标文件的，应当先按本章第4.3.</w:t>
      </w:r>
      <w:r>
        <w:rPr>
          <w:spacing w:val="6"/>
          <w:sz w:val="21"/>
          <w:szCs w:val="21"/>
        </w:rPr>
        <w:t>2项的规定撤回投标文件，再使用“电</w:t>
      </w:r>
      <w:r>
        <w:rPr>
          <w:sz w:val="21"/>
          <w:szCs w:val="21"/>
        </w:rPr>
        <w:t xml:space="preserve"> </w:t>
      </w:r>
      <w:r>
        <w:rPr>
          <w:spacing w:val="2"/>
          <w:sz w:val="21"/>
          <w:szCs w:val="21"/>
        </w:rPr>
        <w:t>子投标文件制作软件”制作成完整的投标文件，并按照本章第3条、第4条规定进行编制和递交。</w:t>
      </w:r>
    </w:p>
    <w:p w14:paraId="2BFD409B">
      <w:pPr>
        <w:pStyle w:val="2"/>
        <w:spacing w:before="156" w:line="224" w:lineRule="auto"/>
        <w:ind w:left="4"/>
        <w:outlineLvl w:val="1"/>
        <w:rPr>
          <w:rFonts w:ascii="黑体" w:hAnsi="黑体" w:eastAsia="黑体" w:cs="黑体"/>
          <w:sz w:val="31"/>
          <w:szCs w:val="31"/>
        </w:rPr>
      </w:pPr>
      <w:bookmarkStart w:id="43" w:name="bookmark35"/>
      <w:bookmarkEnd w:id="43"/>
      <w:r>
        <w:rPr>
          <w:b/>
          <w:bCs/>
          <w:spacing w:val="2"/>
          <w:sz w:val="31"/>
          <w:szCs w:val="31"/>
        </w:rPr>
        <w:t>5.</w:t>
      </w:r>
      <w:r>
        <w:rPr>
          <w:rFonts w:ascii="黑体" w:hAnsi="黑体" w:eastAsia="黑体" w:cs="黑体"/>
          <w:b/>
          <w:bCs/>
          <w:spacing w:val="2"/>
          <w:sz w:val="31"/>
          <w:szCs w:val="31"/>
        </w:rPr>
        <w:t>开标</w:t>
      </w:r>
    </w:p>
    <w:p w14:paraId="2E3B5EA3">
      <w:pPr>
        <w:spacing w:before="79" w:line="223" w:lineRule="auto"/>
        <w:ind w:left="423"/>
        <w:outlineLvl w:val="2"/>
        <w:rPr>
          <w:rFonts w:ascii="黑体" w:hAnsi="黑体" w:eastAsia="黑体" w:cs="黑体"/>
          <w:sz w:val="25"/>
          <w:szCs w:val="25"/>
        </w:rPr>
      </w:pPr>
      <w:bookmarkStart w:id="44" w:name="bookmark36"/>
      <w:bookmarkEnd w:id="44"/>
      <w:r>
        <w:rPr>
          <w:rFonts w:ascii="黑体" w:hAnsi="黑体" w:eastAsia="黑体" w:cs="黑体"/>
          <w:b/>
          <w:bCs/>
          <w:spacing w:val="6"/>
          <w:sz w:val="25"/>
          <w:szCs w:val="25"/>
        </w:rPr>
        <w:t>5.1开标时间和地点</w:t>
      </w:r>
    </w:p>
    <w:p w14:paraId="7B364A3A">
      <w:pPr>
        <w:pStyle w:val="2"/>
        <w:spacing w:before="158" w:line="272" w:lineRule="auto"/>
        <w:ind w:right="92" w:firstLine="419"/>
        <w:rPr>
          <w:sz w:val="21"/>
          <w:szCs w:val="21"/>
        </w:rPr>
      </w:pPr>
      <w:r>
        <w:rPr>
          <w:spacing w:val="9"/>
          <w:sz w:val="21"/>
          <w:szCs w:val="21"/>
        </w:rPr>
        <w:t>5.1.1 招标人在本章第4.2.1项规定的投标截止时间(开标时间)在“</w:t>
      </w:r>
      <w:r>
        <w:rPr>
          <w:spacing w:val="8"/>
          <w:sz w:val="21"/>
          <w:szCs w:val="21"/>
        </w:rPr>
        <w:t>电子交易平台”上公</w:t>
      </w:r>
      <w:r>
        <w:rPr>
          <w:sz w:val="21"/>
          <w:szCs w:val="21"/>
        </w:rPr>
        <w:t xml:space="preserve"> 开进行开标，所有投标人均</w:t>
      </w:r>
      <w:r>
        <w:rPr>
          <w:b/>
          <w:bCs/>
          <w:sz w:val="21"/>
          <w:szCs w:val="21"/>
        </w:rPr>
        <w:t>应当准时在线参加开标。</w:t>
      </w:r>
    </w:p>
    <w:p w14:paraId="66C8FC0A">
      <w:pPr>
        <w:pStyle w:val="2"/>
        <w:spacing w:before="173" w:line="302" w:lineRule="auto"/>
        <w:ind w:right="95" w:firstLine="419"/>
        <w:rPr>
          <w:sz w:val="21"/>
          <w:szCs w:val="21"/>
        </w:rPr>
      </w:pPr>
      <w:r>
        <w:rPr>
          <w:spacing w:val="4"/>
          <w:sz w:val="21"/>
          <w:szCs w:val="21"/>
        </w:rPr>
        <w:t>5.1.2招标人通过互联网在投标人须知前附表规定的地点组织开标，并在投标截止时间30分</w:t>
      </w:r>
      <w:r>
        <w:rPr>
          <w:spacing w:val="11"/>
          <w:sz w:val="21"/>
          <w:szCs w:val="21"/>
        </w:rPr>
        <w:t xml:space="preserve"> </w:t>
      </w:r>
      <w:r>
        <w:rPr>
          <w:sz w:val="21"/>
          <w:szCs w:val="21"/>
        </w:rPr>
        <w:t>钟前，使用</w:t>
      </w:r>
      <w:r>
        <w:rPr>
          <w:spacing w:val="-26"/>
          <w:sz w:val="21"/>
          <w:szCs w:val="21"/>
        </w:rPr>
        <w:t xml:space="preserve"> </w:t>
      </w:r>
      <w:r>
        <w:rPr>
          <w:sz w:val="21"/>
          <w:szCs w:val="21"/>
        </w:rPr>
        <w:t xml:space="preserve">CA 数字证书登录“电子交易平台”,进入“开标大厅”选择相应标段作在线开标的准 </w:t>
      </w:r>
      <w:r>
        <w:rPr>
          <w:spacing w:val="-8"/>
          <w:sz w:val="21"/>
          <w:szCs w:val="21"/>
        </w:rPr>
        <w:t>备工作。</w:t>
      </w:r>
    </w:p>
    <w:p w14:paraId="319F6CA1">
      <w:pPr>
        <w:pStyle w:val="2"/>
        <w:spacing w:before="154" w:line="303" w:lineRule="auto"/>
        <w:ind w:right="55" w:firstLine="419"/>
        <w:rPr>
          <w:sz w:val="21"/>
          <w:szCs w:val="21"/>
        </w:rPr>
      </w:pPr>
      <w:r>
        <w:rPr>
          <w:spacing w:val="2"/>
          <w:sz w:val="21"/>
          <w:szCs w:val="21"/>
        </w:rPr>
        <w:t>5.1.3 投标人应当在能够保证设施设备可靠、互联网畅通的</w:t>
      </w:r>
      <w:r>
        <w:rPr>
          <w:b/>
          <w:bCs/>
          <w:spacing w:val="2"/>
          <w:sz w:val="21"/>
          <w:szCs w:val="21"/>
        </w:rPr>
        <w:t>任意</w:t>
      </w:r>
      <w:r>
        <w:rPr>
          <w:b/>
          <w:bCs/>
          <w:spacing w:val="1"/>
          <w:sz w:val="21"/>
          <w:szCs w:val="21"/>
        </w:rPr>
        <w:t>地点，</w:t>
      </w:r>
      <w:r>
        <w:rPr>
          <w:spacing w:val="1"/>
          <w:sz w:val="21"/>
          <w:szCs w:val="21"/>
        </w:rPr>
        <w:t>通过互联网在线参加</w:t>
      </w:r>
      <w:r>
        <w:rPr>
          <w:sz w:val="21"/>
          <w:szCs w:val="21"/>
        </w:rPr>
        <w:t xml:space="preserve"> </w:t>
      </w:r>
      <w:r>
        <w:rPr>
          <w:spacing w:val="-1"/>
          <w:sz w:val="21"/>
          <w:szCs w:val="21"/>
        </w:rPr>
        <w:t>开标。在投标截止时间前，</w:t>
      </w:r>
      <w:r>
        <w:rPr>
          <w:b/>
          <w:bCs/>
          <w:spacing w:val="-1"/>
          <w:sz w:val="21"/>
          <w:szCs w:val="21"/>
        </w:rPr>
        <w:t>使用加密其投标文件的</w:t>
      </w:r>
      <w:r>
        <w:rPr>
          <w:spacing w:val="-35"/>
          <w:sz w:val="21"/>
          <w:szCs w:val="21"/>
        </w:rPr>
        <w:t xml:space="preserve"> </w:t>
      </w:r>
      <w:r>
        <w:rPr>
          <w:rFonts w:ascii="Times New Roman" w:hAnsi="Times New Roman" w:eastAsia="Times New Roman" w:cs="Times New Roman"/>
          <w:b/>
          <w:bCs/>
          <w:spacing w:val="-1"/>
          <w:sz w:val="21"/>
          <w:szCs w:val="21"/>
        </w:rPr>
        <w:t>CA</w:t>
      </w:r>
      <w:r>
        <w:rPr>
          <w:rFonts w:ascii="Times New Roman" w:hAnsi="Times New Roman" w:eastAsia="Times New Roman" w:cs="Times New Roman"/>
          <w:b/>
          <w:bCs/>
          <w:spacing w:val="19"/>
          <w:sz w:val="21"/>
          <w:szCs w:val="21"/>
        </w:rPr>
        <w:t xml:space="preserve"> </w:t>
      </w:r>
      <w:r>
        <w:rPr>
          <w:b/>
          <w:bCs/>
          <w:spacing w:val="-1"/>
          <w:sz w:val="21"/>
          <w:szCs w:val="21"/>
        </w:rPr>
        <w:t>数字证书</w:t>
      </w:r>
      <w:r>
        <w:rPr>
          <w:spacing w:val="-1"/>
          <w:sz w:val="21"/>
          <w:szCs w:val="21"/>
        </w:rPr>
        <w:t>登录“电子交易平台”,进入“开</w:t>
      </w:r>
      <w:r>
        <w:rPr>
          <w:sz w:val="21"/>
          <w:szCs w:val="21"/>
        </w:rPr>
        <w:t xml:space="preserve"> 标大厅”选择所投标段进行签到，并实时在线关注招标</w:t>
      </w:r>
      <w:r>
        <w:rPr>
          <w:spacing w:val="-1"/>
          <w:sz w:val="21"/>
          <w:szCs w:val="21"/>
        </w:rPr>
        <w:t>人的操作情况。</w:t>
      </w:r>
    </w:p>
    <w:p w14:paraId="055375A3">
      <w:pPr>
        <w:spacing w:before="137" w:line="222" w:lineRule="auto"/>
        <w:ind w:left="423"/>
        <w:outlineLvl w:val="2"/>
        <w:rPr>
          <w:rFonts w:ascii="黑体" w:hAnsi="黑体" w:eastAsia="黑体" w:cs="黑体"/>
          <w:sz w:val="25"/>
          <w:szCs w:val="25"/>
        </w:rPr>
      </w:pPr>
      <w:bookmarkStart w:id="45" w:name="bookmark37"/>
      <w:bookmarkEnd w:id="45"/>
      <w:r>
        <w:rPr>
          <w:rFonts w:ascii="黑体" w:hAnsi="黑体" w:eastAsia="黑体" w:cs="黑体"/>
          <w:b/>
          <w:bCs/>
          <w:spacing w:val="16"/>
          <w:sz w:val="25"/>
          <w:szCs w:val="25"/>
        </w:rPr>
        <w:t>5.2开标程序</w:t>
      </w:r>
    </w:p>
    <w:p w14:paraId="43F0E769">
      <w:pPr>
        <w:pStyle w:val="2"/>
        <w:spacing w:before="144" w:line="219" w:lineRule="auto"/>
        <w:ind w:left="419"/>
        <w:rPr>
          <w:sz w:val="21"/>
          <w:szCs w:val="21"/>
        </w:rPr>
      </w:pPr>
      <w:r>
        <w:rPr>
          <w:spacing w:val="-1"/>
          <w:sz w:val="21"/>
          <w:szCs w:val="21"/>
        </w:rPr>
        <w:t>5.2.1 主持人按下列程序在“电子交易平台”的“开标大厅”进行在线开标：</w:t>
      </w:r>
    </w:p>
    <w:p w14:paraId="51CF2BEE">
      <w:pPr>
        <w:pStyle w:val="2"/>
        <w:spacing w:before="139" w:line="219" w:lineRule="auto"/>
        <w:ind w:left="529"/>
        <w:rPr>
          <w:sz w:val="21"/>
          <w:szCs w:val="21"/>
        </w:rPr>
      </w:pPr>
      <w:r>
        <w:rPr>
          <w:spacing w:val="6"/>
          <w:sz w:val="21"/>
          <w:szCs w:val="21"/>
        </w:rPr>
        <w:t>(1)宣布开标纪律；</w:t>
      </w:r>
    </w:p>
    <w:p w14:paraId="61D44391">
      <w:pPr>
        <w:pStyle w:val="2"/>
        <w:spacing w:before="151" w:line="219" w:lineRule="auto"/>
        <w:ind w:left="529"/>
        <w:rPr>
          <w:sz w:val="21"/>
          <w:szCs w:val="21"/>
        </w:rPr>
      </w:pPr>
      <w:r>
        <w:rPr>
          <w:spacing w:val="2"/>
          <w:sz w:val="21"/>
          <w:szCs w:val="21"/>
        </w:rPr>
        <w:t>(2)公布主持人、招标人代表、监标人等有关人员姓名；</w:t>
      </w:r>
    </w:p>
    <w:p w14:paraId="0E9E280A">
      <w:pPr>
        <w:pStyle w:val="2"/>
        <w:spacing w:before="161" w:line="219" w:lineRule="auto"/>
        <w:ind w:left="529"/>
        <w:rPr>
          <w:sz w:val="21"/>
          <w:szCs w:val="21"/>
        </w:rPr>
      </w:pPr>
      <w:r>
        <w:rPr>
          <w:spacing w:val="3"/>
          <w:sz w:val="21"/>
          <w:szCs w:val="21"/>
        </w:rPr>
        <w:t>(3)公布在投标截止时间前投标文件的递交情况；</w:t>
      </w:r>
    </w:p>
    <w:p w14:paraId="196E7CDE">
      <w:pPr>
        <w:pStyle w:val="2"/>
        <w:spacing w:before="141" w:line="219" w:lineRule="auto"/>
        <w:ind w:left="529"/>
        <w:rPr>
          <w:sz w:val="21"/>
          <w:szCs w:val="21"/>
        </w:rPr>
      </w:pPr>
      <w:r>
        <w:rPr>
          <w:spacing w:val="4"/>
          <w:sz w:val="21"/>
          <w:szCs w:val="21"/>
        </w:rPr>
        <w:t>(4)公布投标保证金递交情况；</w:t>
      </w:r>
    </w:p>
    <w:p w14:paraId="3FA259A8">
      <w:pPr>
        <w:spacing w:line="219" w:lineRule="auto"/>
        <w:rPr>
          <w:sz w:val="21"/>
          <w:szCs w:val="21"/>
        </w:rPr>
        <w:sectPr>
          <w:footerReference r:id="rId26" w:type="default"/>
          <w:pgSz w:w="11910" w:h="16840"/>
          <w:pgMar w:top="1431" w:right="1465" w:bottom="1001" w:left="1450" w:header="0" w:footer="857" w:gutter="0"/>
          <w:cols w:space="720" w:num="1"/>
        </w:sectPr>
      </w:pPr>
    </w:p>
    <w:p w14:paraId="194C8DB1">
      <w:pPr>
        <w:spacing w:line="325" w:lineRule="auto"/>
        <w:rPr>
          <w:rFonts w:ascii="Arial"/>
          <w:sz w:val="21"/>
        </w:rPr>
      </w:pPr>
    </w:p>
    <w:p w14:paraId="7D41222B">
      <w:pPr>
        <w:pStyle w:val="2"/>
        <w:spacing w:before="68" w:line="219" w:lineRule="auto"/>
        <w:ind w:left="529"/>
        <w:rPr>
          <w:sz w:val="21"/>
          <w:szCs w:val="21"/>
        </w:rPr>
      </w:pPr>
      <w:bookmarkStart w:id="46" w:name="bookmark226"/>
      <w:bookmarkEnd w:id="46"/>
      <w:r>
        <w:rPr>
          <w:spacing w:val="2"/>
          <w:sz w:val="21"/>
          <w:szCs w:val="21"/>
        </w:rPr>
        <w:t>(5)投标人根据提示在投标人须知前附表规定的时间内解密投标文件；</w:t>
      </w:r>
    </w:p>
    <w:p w14:paraId="382C76F9">
      <w:pPr>
        <w:pStyle w:val="2"/>
        <w:spacing w:before="162" w:line="219" w:lineRule="auto"/>
        <w:ind w:left="529"/>
        <w:rPr>
          <w:sz w:val="21"/>
          <w:szCs w:val="21"/>
        </w:rPr>
      </w:pPr>
      <w:r>
        <w:rPr>
          <w:spacing w:val="4"/>
          <w:sz w:val="21"/>
          <w:szCs w:val="21"/>
        </w:rPr>
        <w:t>(6)读取已解密的投标文件的内容；</w:t>
      </w:r>
    </w:p>
    <w:p w14:paraId="157CD0C6">
      <w:pPr>
        <w:pStyle w:val="2"/>
        <w:spacing w:before="128" w:line="291" w:lineRule="auto"/>
        <w:ind w:right="51" w:firstLine="529"/>
        <w:rPr>
          <w:sz w:val="21"/>
          <w:szCs w:val="21"/>
        </w:rPr>
      </w:pPr>
      <w:r>
        <w:rPr>
          <w:spacing w:val="3"/>
          <w:sz w:val="21"/>
          <w:szCs w:val="21"/>
        </w:rPr>
        <w:t>(7)公布投标人名称、标段名称、投标保证金的递交情况、投标报</w:t>
      </w:r>
      <w:r>
        <w:rPr>
          <w:spacing w:val="2"/>
          <w:sz w:val="21"/>
          <w:szCs w:val="21"/>
        </w:rPr>
        <w:t>价、项目经理姓名及其他</w:t>
      </w:r>
      <w:r>
        <w:rPr>
          <w:sz w:val="21"/>
          <w:szCs w:val="21"/>
        </w:rPr>
        <w:t xml:space="preserve"> </w:t>
      </w:r>
      <w:r>
        <w:rPr>
          <w:spacing w:val="-7"/>
          <w:sz w:val="21"/>
          <w:szCs w:val="21"/>
        </w:rPr>
        <w:t>内容，并生成开标记录；</w:t>
      </w:r>
    </w:p>
    <w:p w14:paraId="223AB420">
      <w:pPr>
        <w:pStyle w:val="2"/>
        <w:spacing w:before="160" w:line="219" w:lineRule="auto"/>
        <w:ind w:left="529"/>
        <w:rPr>
          <w:sz w:val="21"/>
          <w:szCs w:val="21"/>
        </w:rPr>
      </w:pPr>
      <w:r>
        <w:rPr>
          <w:spacing w:val="11"/>
          <w:sz w:val="21"/>
          <w:szCs w:val="21"/>
        </w:rPr>
        <w:t>(8)开标结束。</w:t>
      </w:r>
    </w:p>
    <w:p w14:paraId="1068186B">
      <w:pPr>
        <w:pStyle w:val="2"/>
        <w:spacing w:before="148" w:line="340" w:lineRule="auto"/>
        <w:ind w:right="70" w:firstLine="419"/>
        <w:jc w:val="both"/>
        <w:rPr>
          <w:sz w:val="21"/>
          <w:szCs w:val="21"/>
        </w:rPr>
      </w:pPr>
      <w:r>
        <w:rPr>
          <w:spacing w:val="6"/>
          <w:sz w:val="21"/>
          <w:szCs w:val="21"/>
        </w:rPr>
        <w:t>5.2.2 在本章第5.2.1(5)目规定的时间内，非因“电子交易平台”原因造成投标文件未解</w:t>
      </w:r>
      <w:r>
        <w:rPr>
          <w:spacing w:val="10"/>
          <w:sz w:val="21"/>
          <w:szCs w:val="21"/>
        </w:rPr>
        <w:t xml:space="preserve"> </w:t>
      </w:r>
      <w:r>
        <w:rPr>
          <w:spacing w:val="2"/>
          <w:sz w:val="21"/>
          <w:szCs w:val="21"/>
        </w:rPr>
        <w:t>密的，视为投标人撤回投标文件。已解密的投标文件少于三个的，招标失败；已解密的投标文件</w:t>
      </w:r>
      <w:r>
        <w:rPr>
          <w:spacing w:val="14"/>
          <w:sz w:val="21"/>
          <w:szCs w:val="21"/>
        </w:rPr>
        <w:t xml:space="preserve"> </w:t>
      </w:r>
      <w:r>
        <w:rPr>
          <w:spacing w:val="-3"/>
          <w:sz w:val="21"/>
          <w:szCs w:val="21"/>
        </w:rPr>
        <w:t>不少于三个，开标继续进行。</w:t>
      </w:r>
    </w:p>
    <w:p w14:paraId="348EA177">
      <w:pPr>
        <w:pStyle w:val="2"/>
        <w:spacing w:line="219" w:lineRule="auto"/>
        <w:ind w:left="423"/>
        <w:outlineLvl w:val="2"/>
      </w:pPr>
      <w:bookmarkStart w:id="47" w:name="bookmark38"/>
      <w:bookmarkEnd w:id="47"/>
      <w:r>
        <w:rPr>
          <w:b/>
          <w:bCs/>
          <w:spacing w:val="15"/>
        </w:rPr>
        <w:t>5.3开标异议</w:t>
      </w:r>
    </w:p>
    <w:p w14:paraId="18EC3DD3">
      <w:pPr>
        <w:pStyle w:val="2"/>
        <w:spacing w:before="135" w:line="347" w:lineRule="auto"/>
        <w:ind w:right="77" w:firstLine="419"/>
        <w:rPr>
          <w:sz w:val="21"/>
          <w:szCs w:val="21"/>
        </w:rPr>
      </w:pPr>
      <w:r>
        <w:rPr>
          <w:sz w:val="21"/>
          <w:szCs w:val="21"/>
        </w:rPr>
        <w:t>5.3.1投标人对开标有异议的，应当在开标过程中提出；招标</w:t>
      </w:r>
      <w:r>
        <w:rPr>
          <w:spacing w:val="-1"/>
          <w:sz w:val="21"/>
          <w:szCs w:val="21"/>
        </w:rPr>
        <w:t>人当场对异议作出答复，并记入</w:t>
      </w:r>
      <w:r>
        <w:rPr>
          <w:sz w:val="21"/>
          <w:szCs w:val="21"/>
        </w:rPr>
        <w:t xml:space="preserve"> </w:t>
      </w:r>
      <w:r>
        <w:rPr>
          <w:spacing w:val="3"/>
          <w:sz w:val="21"/>
          <w:szCs w:val="21"/>
        </w:rPr>
        <w:t>开标记录。异议与答复应通过“开标大厅”在</w:t>
      </w:r>
      <w:r>
        <w:rPr>
          <w:spacing w:val="2"/>
          <w:sz w:val="21"/>
          <w:szCs w:val="21"/>
        </w:rPr>
        <w:t>“异议与答复”菜单以书面形式进行。</w:t>
      </w:r>
    </w:p>
    <w:p w14:paraId="2A5E8951">
      <w:pPr>
        <w:pStyle w:val="2"/>
        <w:spacing w:before="1" w:line="360" w:lineRule="auto"/>
        <w:ind w:right="89" w:firstLine="419"/>
        <w:rPr>
          <w:sz w:val="21"/>
          <w:szCs w:val="21"/>
        </w:rPr>
      </w:pPr>
      <w:r>
        <w:rPr>
          <w:spacing w:val="2"/>
          <w:sz w:val="21"/>
          <w:szCs w:val="21"/>
        </w:rPr>
        <w:t>本处所称异议是指投标人在开标过程中对投标文件提交、投标截止时间、开标程序、开</w:t>
      </w:r>
      <w:r>
        <w:rPr>
          <w:spacing w:val="1"/>
          <w:sz w:val="21"/>
          <w:szCs w:val="21"/>
        </w:rPr>
        <w:t>标记</w:t>
      </w:r>
      <w:r>
        <w:rPr>
          <w:sz w:val="21"/>
          <w:szCs w:val="21"/>
        </w:rPr>
        <w:t xml:space="preserve"> </w:t>
      </w:r>
      <w:r>
        <w:rPr>
          <w:spacing w:val="-1"/>
          <w:sz w:val="21"/>
          <w:szCs w:val="21"/>
        </w:rPr>
        <w:t>录以及投标人和招标人或者投标人相互之间存在利益冲突的情形等提</w:t>
      </w:r>
      <w:r>
        <w:rPr>
          <w:spacing w:val="-2"/>
          <w:sz w:val="21"/>
          <w:szCs w:val="21"/>
        </w:rPr>
        <w:t>出的质疑。</w:t>
      </w:r>
    </w:p>
    <w:p w14:paraId="009F468A">
      <w:pPr>
        <w:pStyle w:val="2"/>
        <w:spacing w:before="1" w:line="333" w:lineRule="auto"/>
        <w:ind w:right="90" w:firstLine="419"/>
        <w:rPr>
          <w:sz w:val="21"/>
          <w:szCs w:val="21"/>
        </w:rPr>
      </w:pPr>
      <w:r>
        <w:rPr>
          <w:spacing w:val="2"/>
          <w:sz w:val="21"/>
          <w:szCs w:val="21"/>
        </w:rPr>
        <w:t>5.3.2 投标人异议成立的，招标人将及时采取纠正措施，或者提交评标委</w:t>
      </w:r>
      <w:r>
        <w:rPr>
          <w:spacing w:val="1"/>
          <w:sz w:val="21"/>
          <w:szCs w:val="21"/>
        </w:rPr>
        <w:t>员会评审确认；投</w:t>
      </w:r>
      <w:r>
        <w:rPr>
          <w:sz w:val="21"/>
          <w:szCs w:val="21"/>
        </w:rPr>
        <w:t xml:space="preserve"> </w:t>
      </w:r>
      <w:r>
        <w:rPr>
          <w:spacing w:val="-2"/>
          <w:sz w:val="21"/>
          <w:szCs w:val="21"/>
        </w:rPr>
        <w:t>标人异议不成立的，招标人将当场给予解释说明。</w:t>
      </w:r>
    </w:p>
    <w:p w14:paraId="431E7337">
      <w:pPr>
        <w:pStyle w:val="2"/>
        <w:spacing w:before="1" w:line="219" w:lineRule="auto"/>
        <w:ind w:left="423"/>
        <w:outlineLvl w:val="2"/>
      </w:pPr>
      <w:bookmarkStart w:id="48" w:name="bookmark39"/>
      <w:bookmarkEnd w:id="48"/>
      <w:r>
        <w:rPr>
          <w:b/>
          <w:bCs/>
          <w:spacing w:val="8"/>
        </w:rPr>
        <w:t>5.4特殊情况的处置</w:t>
      </w:r>
    </w:p>
    <w:p w14:paraId="058D575D">
      <w:pPr>
        <w:pStyle w:val="2"/>
        <w:spacing w:before="125" w:line="294" w:lineRule="auto"/>
        <w:ind w:firstLine="419"/>
        <w:rPr>
          <w:sz w:val="21"/>
          <w:szCs w:val="21"/>
        </w:rPr>
      </w:pPr>
      <w:r>
        <w:rPr>
          <w:sz w:val="21"/>
          <w:szCs w:val="21"/>
        </w:rPr>
        <w:t>5.4.1因“电子交易平台”系统故障导致无法投标的，交易中</w:t>
      </w:r>
      <w:r>
        <w:rPr>
          <w:spacing w:val="-1"/>
          <w:sz w:val="21"/>
          <w:szCs w:val="21"/>
        </w:rPr>
        <w:t>心及时通知招标人，招标人视情</w:t>
      </w:r>
      <w:r>
        <w:rPr>
          <w:sz w:val="21"/>
          <w:szCs w:val="21"/>
        </w:rPr>
        <w:t xml:space="preserve"> </w:t>
      </w:r>
      <w:r>
        <w:rPr>
          <w:spacing w:val="-1"/>
          <w:sz w:val="21"/>
          <w:szCs w:val="21"/>
        </w:rPr>
        <w:t>况决定是否顺延投标截止时间。因投标人自身原因导致无法完成投标的，由投标人自行承担后果。</w:t>
      </w:r>
    </w:p>
    <w:p w14:paraId="6C2570F2">
      <w:pPr>
        <w:pStyle w:val="2"/>
        <w:spacing w:before="140" w:line="291" w:lineRule="auto"/>
        <w:ind w:right="89" w:firstLine="419"/>
        <w:rPr>
          <w:sz w:val="21"/>
          <w:szCs w:val="21"/>
        </w:rPr>
      </w:pPr>
      <w:r>
        <w:rPr>
          <w:spacing w:val="2"/>
          <w:sz w:val="21"/>
          <w:szCs w:val="21"/>
        </w:rPr>
        <w:t>5.4.2 因“电子交易平台”系统故障导致无法正常开标的，招标人将暂停</w:t>
      </w:r>
      <w:r>
        <w:rPr>
          <w:spacing w:val="1"/>
          <w:sz w:val="21"/>
          <w:szCs w:val="21"/>
        </w:rPr>
        <w:t>开标，待系统恢复</w:t>
      </w:r>
      <w:r>
        <w:rPr>
          <w:sz w:val="21"/>
          <w:szCs w:val="21"/>
        </w:rPr>
        <w:t xml:space="preserve"> </w:t>
      </w:r>
      <w:r>
        <w:rPr>
          <w:spacing w:val="-5"/>
          <w:sz w:val="21"/>
          <w:szCs w:val="21"/>
        </w:rPr>
        <w:t>正常后继续开标。</w:t>
      </w:r>
    </w:p>
    <w:p w14:paraId="2FEDCE50">
      <w:pPr>
        <w:pStyle w:val="2"/>
        <w:spacing w:before="139" w:line="219" w:lineRule="auto"/>
        <w:ind w:left="419"/>
        <w:rPr>
          <w:sz w:val="21"/>
          <w:szCs w:val="21"/>
        </w:rPr>
      </w:pPr>
      <w:r>
        <w:rPr>
          <w:spacing w:val="3"/>
          <w:sz w:val="21"/>
          <w:szCs w:val="21"/>
        </w:rPr>
        <w:t>5.4.3“电子交易平台”系统故障是指下列情形：</w:t>
      </w:r>
    </w:p>
    <w:p w14:paraId="077B3625">
      <w:pPr>
        <w:pStyle w:val="2"/>
        <w:spacing w:before="151" w:line="219" w:lineRule="auto"/>
        <w:ind w:left="529"/>
        <w:rPr>
          <w:sz w:val="21"/>
          <w:szCs w:val="21"/>
        </w:rPr>
      </w:pPr>
      <w:r>
        <w:rPr>
          <w:spacing w:val="2"/>
          <w:sz w:val="21"/>
          <w:szCs w:val="21"/>
        </w:rPr>
        <w:t>(1)系统服务器发生故障，无法访问或无法使用系统；</w:t>
      </w:r>
    </w:p>
    <w:p w14:paraId="24C8A7D9">
      <w:pPr>
        <w:pStyle w:val="2"/>
        <w:spacing w:before="161" w:line="219" w:lineRule="auto"/>
        <w:ind w:left="529"/>
        <w:rPr>
          <w:sz w:val="21"/>
          <w:szCs w:val="21"/>
        </w:rPr>
      </w:pPr>
      <w:r>
        <w:rPr>
          <w:spacing w:val="3"/>
          <w:sz w:val="21"/>
          <w:szCs w:val="21"/>
        </w:rPr>
        <w:t>(2)系统的软件或数据库出现错误，不能进行正常操作；</w:t>
      </w:r>
    </w:p>
    <w:p w14:paraId="6818C286">
      <w:pPr>
        <w:pStyle w:val="2"/>
        <w:spacing w:before="161" w:line="220" w:lineRule="auto"/>
        <w:ind w:left="529"/>
        <w:rPr>
          <w:sz w:val="21"/>
          <w:szCs w:val="21"/>
        </w:rPr>
      </w:pPr>
      <w:r>
        <w:rPr>
          <w:spacing w:val="3"/>
          <w:sz w:val="21"/>
          <w:szCs w:val="21"/>
        </w:rPr>
        <w:t>(3)系统发现有安全漏洞，有潜在的泄密危险；</w:t>
      </w:r>
    </w:p>
    <w:p w14:paraId="30CEBD07">
      <w:pPr>
        <w:pStyle w:val="2"/>
        <w:spacing w:before="120" w:line="219" w:lineRule="auto"/>
        <w:ind w:left="529"/>
        <w:rPr>
          <w:sz w:val="21"/>
          <w:szCs w:val="21"/>
        </w:rPr>
      </w:pPr>
      <w:r>
        <w:rPr>
          <w:spacing w:val="6"/>
          <w:sz w:val="21"/>
          <w:szCs w:val="21"/>
        </w:rPr>
        <w:t>(4)出现断电、断网事故；</w:t>
      </w:r>
    </w:p>
    <w:p w14:paraId="26F93EB9">
      <w:pPr>
        <w:pStyle w:val="2"/>
        <w:spacing w:before="161" w:line="220" w:lineRule="auto"/>
        <w:ind w:left="529"/>
        <w:rPr>
          <w:sz w:val="21"/>
          <w:szCs w:val="21"/>
        </w:rPr>
      </w:pPr>
      <w:r>
        <w:rPr>
          <w:spacing w:val="3"/>
          <w:sz w:val="21"/>
          <w:szCs w:val="21"/>
        </w:rPr>
        <w:t>(5)其他无法保证招投标过程正常进行的情形。</w:t>
      </w:r>
    </w:p>
    <w:p w14:paraId="203E5BCF">
      <w:pPr>
        <w:spacing w:line="346" w:lineRule="auto"/>
        <w:rPr>
          <w:rFonts w:ascii="Arial"/>
          <w:sz w:val="21"/>
        </w:rPr>
      </w:pPr>
    </w:p>
    <w:p w14:paraId="427E1F0D">
      <w:pPr>
        <w:pStyle w:val="2"/>
        <w:spacing w:before="102" w:line="220" w:lineRule="auto"/>
        <w:ind w:left="4"/>
        <w:outlineLvl w:val="1"/>
        <w:rPr>
          <w:sz w:val="31"/>
          <w:szCs w:val="31"/>
        </w:rPr>
      </w:pPr>
      <w:bookmarkStart w:id="49" w:name="bookmark40"/>
      <w:bookmarkEnd w:id="49"/>
      <w:r>
        <w:rPr>
          <w:b/>
          <w:bCs/>
          <w:spacing w:val="2"/>
          <w:sz w:val="31"/>
          <w:szCs w:val="31"/>
        </w:rPr>
        <w:t>6.评标</w:t>
      </w:r>
    </w:p>
    <w:p w14:paraId="5CA1E314">
      <w:pPr>
        <w:pStyle w:val="2"/>
        <w:spacing w:before="76" w:line="219" w:lineRule="auto"/>
        <w:ind w:left="423"/>
        <w:outlineLvl w:val="2"/>
      </w:pPr>
      <w:bookmarkStart w:id="50" w:name="bookmark41"/>
      <w:bookmarkEnd w:id="50"/>
      <w:r>
        <w:rPr>
          <w:b/>
          <w:bCs/>
          <w:spacing w:val="13"/>
        </w:rPr>
        <w:t>6.1评标委员会</w:t>
      </w:r>
    </w:p>
    <w:p w14:paraId="25172E68">
      <w:pPr>
        <w:pStyle w:val="2"/>
        <w:spacing w:before="127" w:line="307" w:lineRule="auto"/>
        <w:ind w:right="72" w:firstLine="419"/>
        <w:rPr>
          <w:sz w:val="21"/>
          <w:szCs w:val="21"/>
        </w:rPr>
      </w:pPr>
      <w:r>
        <w:rPr>
          <w:spacing w:val="5"/>
          <w:sz w:val="21"/>
          <w:szCs w:val="21"/>
        </w:rPr>
        <w:t>6.1.1评标由招标人依法组建的评标委员会负责。评标委员会由招标人</w:t>
      </w:r>
      <w:r>
        <w:rPr>
          <w:spacing w:val="4"/>
          <w:sz w:val="21"/>
          <w:szCs w:val="21"/>
        </w:rPr>
        <w:t>或其委托的招标代理</w:t>
      </w:r>
      <w:r>
        <w:rPr>
          <w:sz w:val="21"/>
          <w:szCs w:val="21"/>
        </w:rPr>
        <w:t xml:space="preserve"> </w:t>
      </w:r>
      <w:r>
        <w:rPr>
          <w:spacing w:val="2"/>
          <w:sz w:val="21"/>
          <w:szCs w:val="21"/>
        </w:rPr>
        <w:t>机构熟悉相关业务的代表，以及有关技术、经济等方面的专家组成。评标委员会</w:t>
      </w:r>
      <w:r>
        <w:rPr>
          <w:spacing w:val="1"/>
          <w:sz w:val="21"/>
          <w:szCs w:val="21"/>
        </w:rPr>
        <w:t>成员人数以及技</w:t>
      </w:r>
      <w:r>
        <w:rPr>
          <w:sz w:val="21"/>
          <w:szCs w:val="21"/>
        </w:rPr>
        <w:t xml:space="preserve"> </w:t>
      </w:r>
      <w:r>
        <w:rPr>
          <w:spacing w:val="-2"/>
          <w:sz w:val="21"/>
          <w:szCs w:val="21"/>
        </w:rPr>
        <w:t>术、经济等方面专家的确定方式见投标人须知前附表。</w:t>
      </w:r>
    </w:p>
    <w:p w14:paraId="3DF24208">
      <w:pPr>
        <w:pStyle w:val="2"/>
        <w:spacing w:before="171" w:line="219" w:lineRule="auto"/>
        <w:ind w:left="419"/>
        <w:rPr>
          <w:sz w:val="21"/>
          <w:szCs w:val="21"/>
        </w:rPr>
      </w:pPr>
      <w:r>
        <w:rPr>
          <w:spacing w:val="-1"/>
          <w:sz w:val="21"/>
          <w:szCs w:val="21"/>
        </w:rPr>
        <w:t>6.1.2 评标委员会成员有下列情形之一的，应当回避：</w:t>
      </w:r>
    </w:p>
    <w:p w14:paraId="27536CE4">
      <w:pPr>
        <w:spacing w:line="219" w:lineRule="auto"/>
        <w:rPr>
          <w:sz w:val="21"/>
          <w:szCs w:val="21"/>
        </w:rPr>
        <w:sectPr>
          <w:footerReference r:id="rId27" w:type="default"/>
          <w:pgSz w:w="11910" w:h="16840"/>
          <w:pgMar w:top="1431" w:right="1470" w:bottom="1001" w:left="1450" w:header="0" w:footer="857" w:gutter="0"/>
          <w:cols w:space="720" w:num="1"/>
        </w:sectPr>
      </w:pPr>
    </w:p>
    <w:p w14:paraId="71D7442C">
      <w:pPr>
        <w:spacing w:line="339" w:lineRule="auto"/>
        <w:rPr>
          <w:rFonts w:ascii="Arial"/>
          <w:sz w:val="21"/>
        </w:rPr>
      </w:pPr>
    </w:p>
    <w:p w14:paraId="2C7BCB69">
      <w:pPr>
        <w:pStyle w:val="2"/>
        <w:spacing w:before="65" w:line="219" w:lineRule="auto"/>
        <w:ind w:left="540"/>
        <w:rPr>
          <w:sz w:val="20"/>
          <w:szCs w:val="20"/>
        </w:rPr>
      </w:pPr>
      <w:r>
        <w:rPr>
          <w:spacing w:val="12"/>
          <w:sz w:val="20"/>
          <w:szCs w:val="20"/>
        </w:rPr>
        <w:t>(1)投标人或投标人的主要负责人的近亲属；</w:t>
      </w:r>
    </w:p>
    <w:p w14:paraId="3EBB2E60">
      <w:pPr>
        <w:pStyle w:val="2"/>
        <w:spacing w:before="162" w:line="219" w:lineRule="auto"/>
        <w:ind w:left="540"/>
        <w:rPr>
          <w:sz w:val="20"/>
          <w:szCs w:val="20"/>
        </w:rPr>
      </w:pPr>
      <w:r>
        <w:rPr>
          <w:spacing w:val="12"/>
          <w:sz w:val="20"/>
          <w:szCs w:val="20"/>
        </w:rPr>
        <w:t>(2)项目主管部门或者行政监督部门的人员；</w:t>
      </w:r>
    </w:p>
    <w:p w14:paraId="1F0090E9">
      <w:pPr>
        <w:pStyle w:val="2"/>
        <w:spacing w:before="163" w:line="220" w:lineRule="auto"/>
        <w:ind w:left="540"/>
        <w:rPr>
          <w:sz w:val="20"/>
          <w:szCs w:val="20"/>
        </w:rPr>
      </w:pPr>
      <w:r>
        <w:rPr>
          <w:spacing w:val="12"/>
          <w:sz w:val="20"/>
          <w:szCs w:val="20"/>
        </w:rPr>
        <w:t>(3)与投标人有经济利益关系或其他利害关系，可</w:t>
      </w:r>
      <w:r>
        <w:rPr>
          <w:spacing w:val="11"/>
          <w:sz w:val="20"/>
          <w:szCs w:val="20"/>
        </w:rPr>
        <w:t>能影响对投标公正评审的；</w:t>
      </w:r>
    </w:p>
    <w:p w14:paraId="38D3F51E">
      <w:pPr>
        <w:pStyle w:val="2"/>
        <w:spacing w:before="172" w:line="292" w:lineRule="auto"/>
        <w:ind w:left="10" w:right="77" w:firstLine="529"/>
        <w:rPr>
          <w:sz w:val="20"/>
          <w:szCs w:val="20"/>
        </w:rPr>
      </w:pPr>
      <w:r>
        <w:rPr>
          <w:spacing w:val="12"/>
          <w:sz w:val="20"/>
          <w:szCs w:val="20"/>
        </w:rPr>
        <w:t>(4)曾因在招标、评标以及其他与招标投标有关活动中从事</w:t>
      </w:r>
      <w:r>
        <w:rPr>
          <w:spacing w:val="11"/>
          <w:sz w:val="20"/>
          <w:szCs w:val="20"/>
        </w:rPr>
        <w:t>违法行为而受过行政处罚或刑事</w:t>
      </w:r>
      <w:r>
        <w:rPr>
          <w:sz w:val="20"/>
          <w:szCs w:val="20"/>
        </w:rPr>
        <w:t xml:space="preserve"> </w:t>
      </w:r>
      <w:r>
        <w:rPr>
          <w:spacing w:val="2"/>
          <w:sz w:val="20"/>
          <w:szCs w:val="20"/>
        </w:rPr>
        <w:t>处罚的。</w:t>
      </w:r>
    </w:p>
    <w:p w14:paraId="2B588CF7">
      <w:pPr>
        <w:spacing w:before="123" w:line="222" w:lineRule="auto"/>
        <w:ind w:left="423"/>
        <w:outlineLvl w:val="2"/>
        <w:rPr>
          <w:rFonts w:ascii="黑体" w:hAnsi="黑体" w:eastAsia="黑体" w:cs="黑体"/>
          <w:sz w:val="25"/>
          <w:szCs w:val="25"/>
        </w:rPr>
      </w:pPr>
      <w:bookmarkStart w:id="51" w:name="bookmark42"/>
      <w:bookmarkEnd w:id="51"/>
      <w:bookmarkStart w:id="52" w:name="bookmark227"/>
      <w:bookmarkEnd w:id="52"/>
      <w:r>
        <w:rPr>
          <w:rFonts w:ascii="黑体" w:hAnsi="黑体" w:eastAsia="黑体" w:cs="黑体"/>
          <w:b/>
          <w:bCs/>
          <w:spacing w:val="16"/>
          <w:sz w:val="25"/>
          <w:szCs w:val="25"/>
        </w:rPr>
        <w:t>6.2评标原则</w:t>
      </w:r>
    </w:p>
    <w:p w14:paraId="5EC6EF81">
      <w:pPr>
        <w:pStyle w:val="2"/>
        <w:spacing w:before="121" w:line="219" w:lineRule="auto"/>
        <w:ind w:left="420"/>
        <w:rPr>
          <w:sz w:val="20"/>
          <w:szCs w:val="20"/>
        </w:rPr>
      </w:pPr>
      <w:r>
        <w:rPr>
          <w:spacing w:val="8"/>
          <w:sz w:val="20"/>
          <w:szCs w:val="20"/>
        </w:rPr>
        <w:t>评标活动遵循公平、公正、科学和择优的原则。</w:t>
      </w:r>
    </w:p>
    <w:p w14:paraId="4C95ED69">
      <w:pPr>
        <w:spacing w:before="131" w:line="222" w:lineRule="auto"/>
        <w:ind w:left="423"/>
        <w:outlineLvl w:val="2"/>
        <w:rPr>
          <w:rFonts w:ascii="黑体" w:hAnsi="黑体" w:eastAsia="黑体" w:cs="黑体"/>
          <w:sz w:val="25"/>
          <w:szCs w:val="25"/>
        </w:rPr>
      </w:pPr>
      <w:bookmarkStart w:id="53" w:name="bookmark43"/>
      <w:bookmarkEnd w:id="53"/>
      <w:r>
        <w:rPr>
          <w:rFonts w:ascii="黑体" w:hAnsi="黑体" w:eastAsia="黑体" w:cs="黑体"/>
          <w:b/>
          <w:bCs/>
          <w:spacing w:val="10"/>
          <w:sz w:val="25"/>
          <w:szCs w:val="25"/>
        </w:rPr>
        <w:t>6</w:t>
      </w:r>
      <w:r>
        <w:rPr>
          <w:rFonts w:ascii="黑体" w:hAnsi="黑体" w:eastAsia="黑体" w:cs="黑体"/>
          <w:spacing w:val="-74"/>
          <w:sz w:val="25"/>
          <w:szCs w:val="25"/>
        </w:rPr>
        <w:t xml:space="preserve"> </w:t>
      </w:r>
      <w:r>
        <w:rPr>
          <w:rFonts w:ascii="黑体" w:hAnsi="黑体" w:eastAsia="黑体" w:cs="黑体"/>
          <w:b/>
          <w:bCs/>
          <w:spacing w:val="10"/>
          <w:sz w:val="25"/>
          <w:szCs w:val="25"/>
        </w:rPr>
        <w:t>.3评标</w:t>
      </w:r>
    </w:p>
    <w:p w14:paraId="1B639F30">
      <w:pPr>
        <w:pStyle w:val="2"/>
        <w:spacing w:before="161" w:line="341" w:lineRule="auto"/>
        <w:ind w:left="10" w:right="98" w:firstLine="409"/>
        <w:rPr>
          <w:sz w:val="20"/>
          <w:szCs w:val="20"/>
        </w:rPr>
      </w:pPr>
      <w:r>
        <w:rPr>
          <w:spacing w:val="12"/>
          <w:sz w:val="20"/>
          <w:szCs w:val="20"/>
        </w:rPr>
        <w:t>评标委员会按照第三章“评标办法”规定的方法、评审因素、标准和程序对投标文件</w:t>
      </w:r>
      <w:r>
        <w:rPr>
          <w:spacing w:val="11"/>
          <w:sz w:val="20"/>
          <w:szCs w:val="20"/>
        </w:rPr>
        <w:t>进行评</w:t>
      </w:r>
      <w:r>
        <w:rPr>
          <w:sz w:val="20"/>
          <w:szCs w:val="20"/>
        </w:rPr>
        <w:t xml:space="preserve"> </w:t>
      </w:r>
      <w:r>
        <w:rPr>
          <w:spacing w:val="9"/>
          <w:sz w:val="20"/>
          <w:szCs w:val="20"/>
        </w:rPr>
        <w:t>审。第三章“评标办法”没有规定的方法、评审因素和标准，不作为评标依据。</w:t>
      </w:r>
    </w:p>
    <w:p w14:paraId="5579279B">
      <w:pPr>
        <w:spacing w:before="1" w:line="221" w:lineRule="auto"/>
        <w:ind w:left="423"/>
        <w:outlineLvl w:val="2"/>
        <w:rPr>
          <w:rFonts w:ascii="黑体" w:hAnsi="黑体" w:eastAsia="黑体" w:cs="黑体"/>
          <w:sz w:val="25"/>
          <w:szCs w:val="25"/>
        </w:rPr>
      </w:pPr>
      <w:bookmarkStart w:id="54" w:name="bookmark44"/>
      <w:bookmarkEnd w:id="54"/>
      <w:r>
        <w:rPr>
          <w:rFonts w:ascii="黑体" w:hAnsi="黑体" w:eastAsia="黑体" w:cs="黑体"/>
          <w:b/>
          <w:bCs/>
          <w:spacing w:val="11"/>
          <w:sz w:val="25"/>
          <w:szCs w:val="25"/>
        </w:rPr>
        <w:t>6.4评标结果公示</w:t>
      </w:r>
    </w:p>
    <w:p w14:paraId="63B6FECA">
      <w:pPr>
        <w:pStyle w:val="2"/>
        <w:spacing w:before="140" w:line="374" w:lineRule="auto"/>
        <w:ind w:left="10" w:right="96" w:firstLine="409"/>
        <w:rPr>
          <w:sz w:val="20"/>
          <w:szCs w:val="20"/>
        </w:rPr>
      </w:pPr>
      <w:r>
        <w:rPr>
          <w:spacing w:val="15"/>
          <w:sz w:val="20"/>
          <w:szCs w:val="20"/>
        </w:rPr>
        <w:t>招标人将自收到评标报告之日起3日内，在</w:t>
      </w:r>
      <w:r>
        <w:rPr>
          <w:spacing w:val="14"/>
          <w:sz w:val="20"/>
          <w:szCs w:val="20"/>
        </w:rPr>
        <w:t>投标人须知前附表规定的媒介公示中标候选人。</w:t>
      </w:r>
      <w:r>
        <w:rPr>
          <w:sz w:val="20"/>
          <w:szCs w:val="20"/>
        </w:rPr>
        <w:t xml:space="preserve"> </w:t>
      </w:r>
      <w:r>
        <w:rPr>
          <w:spacing w:val="17"/>
          <w:sz w:val="20"/>
          <w:szCs w:val="20"/>
        </w:rPr>
        <w:t>公示期不少于3日。</w:t>
      </w:r>
    </w:p>
    <w:p w14:paraId="0EF653BD">
      <w:pPr>
        <w:pStyle w:val="2"/>
        <w:spacing w:before="12" w:line="353" w:lineRule="auto"/>
        <w:ind w:left="10" w:right="73" w:firstLine="409"/>
        <w:jc w:val="both"/>
        <w:rPr>
          <w:sz w:val="20"/>
          <w:szCs w:val="20"/>
        </w:rPr>
      </w:pPr>
      <w:r>
        <w:rPr>
          <w:spacing w:val="13"/>
          <w:sz w:val="20"/>
          <w:szCs w:val="20"/>
        </w:rPr>
        <w:t>投标人或者其他利害关系人对评标结果有异议的，</w:t>
      </w:r>
      <w:r>
        <w:rPr>
          <w:spacing w:val="12"/>
          <w:sz w:val="20"/>
          <w:szCs w:val="20"/>
        </w:rPr>
        <w:t>应当在评标结果公示期间提出。招标人自</w:t>
      </w:r>
      <w:r>
        <w:rPr>
          <w:sz w:val="20"/>
          <w:szCs w:val="20"/>
        </w:rPr>
        <w:t xml:space="preserve"> </w:t>
      </w:r>
      <w:r>
        <w:rPr>
          <w:spacing w:val="15"/>
          <w:sz w:val="20"/>
          <w:szCs w:val="20"/>
        </w:rPr>
        <w:t>收到异议之日起3日内作出答复；作出答复前</w:t>
      </w:r>
      <w:r>
        <w:rPr>
          <w:spacing w:val="14"/>
          <w:sz w:val="20"/>
          <w:szCs w:val="20"/>
        </w:rPr>
        <w:t>，暂停招标投标活动。异议与答复应当通过“电子</w:t>
      </w:r>
      <w:r>
        <w:rPr>
          <w:sz w:val="20"/>
          <w:szCs w:val="20"/>
        </w:rPr>
        <w:t xml:space="preserve"> </w:t>
      </w:r>
      <w:r>
        <w:rPr>
          <w:spacing w:val="8"/>
          <w:sz w:val="20"/>
          <w:szCs w:val="20"/>
        </w:rPr>
        <w:t>交易平台”在“异议与答复”菜单以书面形式进行。</w:t>
      </w:r>
    </w:p>
    <w:p w14:paraId="5CC8C19D">
      <w:pPr>
        <w:spacing w:before="1" w:line="221" w:lineRule="auto"/>
        <w:ind w:left="423"/>
        <w:outlineLvl w:val="2"/>
        <w:rPr>
          <w:rFonts w:ascii="黑体" w:hAnsi="黑体" w:eastAsia="黑体" w:cs="黑体"/>
          <w:sz w:val="25"/>
          <w:szCs w:val="25"/>
        </w:rPr>
      </w:pPr>
      <w:bookmarkStart w:id="55" w:name="bookmark45"/>
      <w:bookmarkEnd w:id="55"/>
      <w:r>
        <w:rPr>
          <w:rFonts w:ascii="黑体" w:hAnsi="黑体" w:eastAsia="黑体" w:cs="黑体"/>
          <w:b/>
          <w:bCs/>
          <w:spacing w:val="14"/>
          <w:sz w:val="25"/>
          <w:szCs w:val="25"/>
        </w:rPr>
        <w:t>6.5履约能力的审查(如有)</w:t>
      </w:r>
    </w:p>
    <w:p w14:paraId="796A9C8F">
      <w:pPr>
        <w:pStyle w:val="2"/>
        <w:spacing w:before="152" w:line="362" w:lineRule="auto"/>
        <w:ind w:left="10" w:right="93" w:firstLine="409"/>
        <w:jc w:val="both"/>
        <w:rPr>
          <w:sz w:val="20"/>
          <w:szCs w:val="20"/>
        </w:rPr>
      </w:pPr>
      <w:r>
        <w:rPr>
          <w:spacing w:val="12"/>
          <w:sz w:val="20"/>
          <w:szCs w:val="20"/>
        </w:rPr>
        <w:t>如果中标候选人的经营、财务状况发生较大变化或者存在违法行为，招标人认为可能</w:t>
      </w:r>
      <w:r>
        <w:rPr>
          <w:spacing w:val="11"/>
          <w:sz w:val="20"/>
          <w:szCs w:val="20"/>
        </w:rPr>
        <w:t>影响其</w:t>
      </w:r>
      <w:r>
        <w:rPr>
          <w:sz w:val="20"/>
          <w:szCs w:val="20"/>
        </w:rPr>
        <w:t xml:space="preserve"> </w:t>
      </w:r>
      <w:r>
        <w:rPr>
          <w:spacing w:val="12"/>
          <w:sz w:val="20"/>
          <w:szCs w:val="20"/>
        </w:rPr>
        <w:t>履约能力的，将在发出中标通知书前报请行政监督部门后，召集原评</w:t>
      </w:r>
      <w:r>
        <w:rPr>
          <w:spacing w:val="11"/>
          <w:sz w:val="20"/>
          <w:szCs w:val="20"/>
        </w:rPr>
        <w:t>标委员会按照招标文件规定</w:t>
      </w:r>
      <w:r>
        <w:rPr>
          <w:sz w:val="20"/>
          <w:szCs w:val="20"/>
        </w:rPr>
        <w:t xml:space="preserve"> </w:t>
      </w:r>
      <w:r>
        <w:rPr>
          <w:spacing w:val="7"/>
          <w:sz w:val="20"/>
          <w:szCs w:val="20"/>
        </w:rPr>
        <w:t>的标准和方法审查确认。</w:t>
      </w:r>
    </w:p>
    <w:p w14:paraId="7B424B33">
      <w:pPr>
        <w:pStyle w:val="2"/>
        <w:spacing w:before="24" w:line="222" w:lineRule="auto"/>
        <w:ind w:left="14"/>
        <w:outlineLvl w:val="1"/>
        <w:rPr>
          <w:rFonts w:ascii="黑体" w:hAnsi="黑体" w:eastAsia="黑体" w:cs="黑体"/>
          <w:sz w:val="30"/>
          <w:szCs w:val="30"/>
        </w:rPr>
      </w:pPr>
      <w:bookmarkStart w:id="56" w:name="bookmark46"/>
      <w:bookmarkEnd w:id="56"/>
      <w:r>
        <w:rPr>
          <w:b/>
          <w:bCs/>
          <w:spacing w:val="1"/>
          <w:sz w:val="30"/>
          <w:szCs w:val="30"/>
        </w:rPr>
        <w:t>7.</w:t>
      </w:r>
      <w:r>
        <w:rPr>
          <w:rFonts w:ascii="黑体" w:hAnsi="黑体" w:eastAsia="黑体" w:cs="黑体"/>
          <w:b/>
          <w:bCs/>
          <w:spacing w:val="1"/>
          <w:sz w:val="30"/>
          <w:szCs w:val="30"/>
        </w:rPr>
        <w:t>合同授予</w:t>
      </w:r>
    </w:p>
    <w:p w14:paraId="347B4F31">
      <w:pPr>
        <w:spacing w:before="85" w:line="221" w:lineRule="auto"/>
        <w:ind w:left="423"/>
        <w:outlineLvl w:val="2"/>
        <w:rPr>
          <w:rFonts w:ascii="黑体" w:hAnsi="黑体" w:eastAsia="黑体" w:cs="黑体"/>
          <w:sz w:val="25"/>
          <w:szCs w:val="25"/>
        </w:rPr>
      </w:pPr>
      <w:bookmarkStart w:id="57" w:name="bookmark47"/>
      <w:bookmarkEnd w:id="57"/>
      <w:r>
        <w:rPr>
          <w:rFonts w:ascii="黑体" w:hAnsi="黑体" w:eastAsia="黑体" w:cs="黑体"/>
          <w:b/>
          <w:bCs/>
          <w:spacing w:val="14"/>
          <w:sz w:val="25"/>
          <w:szCs w:val="25"/>
        </w:rPr>
        <w:t>7.1定标方式</w:t>
      </w:r>
    </w:p>
    <w:p w14:paraId="63D38E00">
      <w:pPr>
        <w:pStyle w:val="2"/>
        <w:spacing w:before="164" w:line="341" w:lineRule="auto"/>
        <w:ind w:left="10" w:right="98" w:firstLine="409"/>
        <w:rPr>
          <w:sz w:val="20"/>
          <w:szCs w:val="20"/>
        </w:rPr>
      </w:pPr>
      <w:r>
        <w:rPr>
          <w:spacing w:val="12"/>
          <w:sz w:val="20"/>
          <w:szCs w:val="20"/>
        </w:rPr>
        <w:t>除投标人须知前附表规定评标委员会直接确定中标人外，招标人依据评标委员会推荐</w:t>
      </w:r>
      <w:r>
        <w:rPr>
          <w:spacing w:val="11"/>
          <w:sz w:val="20"/>
          <w:szCs w:val="20"/>
        </w:rPr>
        <w:t>的中标</w:t>
      </w:r>
      <w:r>
        <w:rPr>
          <w:sz w:val="20"/>
          <w:szCs w:val="20"/>
        </w:rPr>
        <w:t xml:space="preserve"> </w:t>
      </w:r>
      <w:r>
        <w:rPr>
          <w:spacing w:val="9"/>
          <w:sz w:val="20"/>
          <w:szCs w:val="20"/>
        </w:rPr>
        <w:t>候选人确定中标人，评标委员会推荐中标候选人的人数见投标人须知前附表。</w:t>
      </w:r>
    </w:p>
    <w:p w14:paraId="40FD901D">
      <w:pPr>
        <w:spacing w:line="222" w:lineRule="auto"/>
        <w:ind w:left="423"/>
        <w:outlineLvl w:val="2"/>
        <w:rPr>
          <w:rFonts w:ascii="黑体" w:hAnsi="黑体" w:eastAsia="黑体" w:cs="黑体"/>
          <w:sz w:val="25"/>
          <w:szCs w:val="25"/>
        </w:rPr>
      </w:pPr>
      <w:bookmarkStart w:id="58" w:name="bookmark48"/>
      <w:bookmarkEnd w:id="58"/>
      <w:r>
        <w:rPr>
          <w:rFonts w:ascii="黑体" w:hAnsi="黑体" w:eastAsia="黑体" w:cs="黑体"/>
          <w:b/>
          <w:bCs/>
          <w:spacing w:val="15"/>
          <w:sz w:val="25"/>
          <w:szCs w:val="25"/>
        </w:rPr>
        <w:t>7.2中标通知</w:t>
      </w:r>
    </w:p>
    <w:p w14:paraId="14E69CDB">
      <w:pPr>
        <w:pStyle w:val="2"/>
        <w:spacing w:before="160" w:line="353" w:lineRule="auto"/>
        <w:ind w:left="10" w:firstLine="409"/>
        <w:rPr>
          <w:sz w:val="20"/>
          <w:szCs w:val="20"/>
        </w:rPr>
      </w:pPr>
      <w:r>
        <w:rPr>
          <w:spacing w:val="17"/>
          <w:sz w:val="20"/>
          <w:szCs w:val="20"/>
        </w:rPr>
        <w:t>评标结果公示期满后，在本章第3.3款规定</w:t>
      </w:r>
      <w:r>
        <w:rPr>
          <w:spacing w:val="16"/>
          <w:sz w:val="20"/>
          <w:szCs w:val="20"/>
        </w:rPr>
        <w:t>的投标有效期内，招标人通过“电子交易平台”</w:t>
      </w:r>
      <w:r>
        <w:rPr>
          <w:sz w:val="20"/>
          <w:szCs w:val="20"/>
        </w:rPr>
        <w:t xml:space="preserve"> </w:t>
      </w:r>
      <w:r>
        <w:rPr>
          <w:spacing w:val="9"/>
          <w:sz w:val="20"/>
          <w:szCs w:val="20"/>
        </w:rPr>
        <w:t>以书面形式向中标人发出中标通知书，同时将中标结果通知未</w:t>
      </w:r>
      <w:r>
        <w:rPr>
          <w:spacing w:val="8"/>
          <w:sz w:val="20"/>
          <w:szCs w:val="20"/>
        </w:rPr>
        <w:t>中标的投标人。</w:t>
      </w:r>
    </w:p>
    <w:p w14:paraId="3CC47E82">
      <w:pPr>
        <w:pStyle w:val="2"/>
        <w:spacing w:before="5" w:line="355" w:lineRule="auto"/>
        <w:ind w:left="10" w:right="94" w:firstLine="409"/>
        <w:rPr>
          <w:sz w:val="20"/>
          <w:szCs w:val="20"/>
        </w:rPr>
      </w:pPr>
      <w:r>
        <w:rPr>
          <w:spacing w:val="14"/>
          <w:sz w:val="20"/>
          <w:szCs w:val="20"/>
        </w:rPr>
        <w:t>中标通知书发出的同时，招标人将在投标人须知前附表第6.4款规定的媒介发布中标结果公</w:t>
      </w:r>
      <w:r>
        <w:rPr>
          <w:spacing w:val="7"/>
          <w:sz w:val="20"/>
          <w:szCs w:val="20"/>
        </w:rPr>
        <w:t xml:space="preserve"> </w:t>
      </w:r>
      <w:r>
        <w:rPr>
          <w:sz w:val="20"/>
          <w:szCs w:val="20"/>
        </w:rPr>
        <w:t>示。</w:t>
      </w:r>
    </w:p>
    <w:p w14:paraId="404AF8BA">
      <w:pPr>
        <w:spacing w:before="1" w:line="221" w:lineRule="auto"/>
        <w:ind w:left="423"/>
        <w:outlineLvl w:val="2"/>
        <w:rPr>
          <w:rFonts w:ascii="黑体" w:hAnsi="黑体" w:eastAsia="黑体" w:cs="黑体"/>
          <w:sz w:val="25"/>
          <w:szCs w:val="25"/>
        </w:rPr>
      </w:pPr>
      <w:bookmarkStart w:id="59" w:name="bookmark49"/>
      <w:bookmarkEnd w:id="59"/>
      <w:r>
        <w:rPr>
          <w:rFonts w:ascii="黑体" w:hAnsi="黑体" w:eastAsia="黑体" w:cs="黑体"/>
          <w:b/>
          <w:bCs/>
          <w:spacing w:val="13"/>
          <w:sz w:val="25"/>
          <w:szCs w:val="25"/>
        </w:rPr>
        <w:t>7.3履约保证金</w:t>
      </w:r>
    </w:p>
    <w:p w14:paraId="7AD2AA19">
      <w:pPr>
        <w:pStyle w:val="2"/>
        <w:spacing w:before="152" w:line="361" w:lineRule="auto"/>
        <w:ind w:right="70" w:firstLine="420"/>
        <w:jc w:val="both"/>
        <w:rPr>
          <w:sz w:val="20"/>
          <w:szCs w:val="20"/>
        </w:rPr>
      </w:pPr>
      <w:r>
        <w:rPr>
          <w:spacing w:val="9"/>
          <w:sz w:val="20"/>
          <w:szCs w:val="20"/>
        </w:rPr>
        <w:t>7.3.1在签订合同前，中标人应按投标人须知前附表规定的金额、担保形式和招标文</w:t>
      </w:r>
      <w:r>
        <w:rPr>
          <w:spacing w:val="8"/>
          <w:sz w:val="20"/>
          <w:szCs w:val="20"/>
        </w:rPr>
        <w:t>件第四章</w:t>
      </w:r>
      <w:r>
        <w:rPr>
          <w:sz w:val="20"/>
          <w:szCs w:val="20"/>
        </w:rPr>
        <w:t xml:space="preserve"> </w:t>
      </w:r>
      <w:r>
        <w:rPr>
          <w:spacing w:val="13"/>
          <w:sz w:val="20"/>
          <w:szCs w:val="20"/>
        </w:rPr>
        <w:t>“合同条款及格式”规定的履约保证金格式或者</w:t>
      </w:r>
      <w:r>
        <w:rPr>
          <w:spacing w:val="12"/>
          <w:sz w:val="20"/>
          <w:szCs w:val="20"/>
        </w:rPr>
        <w:t>事先经过招标人书面认可的履约保证金格式向招</w:t>
      </w:r>
      <w:r>
        <w:rPr>
          <w:sz w:val="20"/>
          <w:szCs w:val="20"/>
        </w:rPr>
        <w:t xml:space="preserve"> </w:t>
      </w:r>
      <w:r>
        <w:rPr>
          <w:spacing w:val="13"/>
          <w:sz w:val="20"/>
          <w:szCs w:val="20"/>
        </w:rPr>
        <w:t>标人提交履约担保。联合体中标的，其履约保</w:t>
      </w:r>
      <w:r>
        <w:rPr>
          <w:spacing w:val="12"/>
          <w:sz w:val="20"/>
          <w:szCs w:val="20"/>
        </w:rPr>
        <w:t>证金由牵头人递交，并应符合投标人须知前附表的</w:t>
      </w:r>
    </w:p>
    <w:p w14:paraId="14EF9B79">
      <w:pPr>
        <w:spacing w:line="361" w:lineRule="auto"/>
        <w:rPr>
          <w:sz w:val="20"/>
          <w:szCs w:val="20"/>
        </w:rPr>
        <w:sectPr>
          <w:footerReference r:id="rId28" w:type="default"/>
          <w:pgSz w:w="11910" w:h="16840"/>
          <w:pgMar w:top="1431" w:right="1473" w:bottom="1029" w:left="1439" w:header="0" w:footer="849" w:gutter="0"/>
          <w:cols w:space="720" w:num="1"/>
        </w:sectPr>
      </w:pPr>
    </w:p>
    <w:p w14:paraId="46602810">
      <w:pPr>
        <w:spacing w:line="330" w:lineRule="auto"/>
        <w:rPr>
          <w:rFonts w:ascii="Arial"/>
          <w:sz w:val="21"/>
        </w:rPr>
      </w:pPr>
    </w:p>
    <w:p w14:paraId="33D111FE">
      <w:pPr>
        <w:pStyle w:val="2"/>
        <w:spacing w:before="65" w:line="220" w:lineRule="auto"/>
        <w:rPr>
          <w:sz w:val="20"/>
          <w:szCs w:val="20"/>
        </w:rPr>
      </w:pPr>
      <w:r>
        <w:rPr>
          <w:spacing w:val="3"/>
          <w:sz w:val="20"/>
          <w:szCs w:val="20"/>
        </w:rPr>
        <w:t>规定。</w:t>
      </w:r>
    </w:p>
    <w:p w14:paraId="69B80748">
      <w:pPr>
        <w:pStyle w:val="2"/>
        <w:spacing w:before="170" w:line="346" w:lineRule="auto"/>
        <w:ind w:right="92" w:firstLine="429"/>
        <w:rPr>
          <w:sz w:val="20"/>
          <w:szCs w:val="20"/>
        </w:rPr>
      </w:pPr>
      <w:r>
        <w:rPr>
          <w:spacing w:val="13"/>
          <w:sz w:val="20"/>
          <w:szCs w:val="20"/>
        </w:rPr>
        <w:t xml:space="preserve">7.3.2 </w:t>
      </w:r>
      <w:r>
        <w:rPr>
          <w:rFonts w:ascii="黑体" w:hAnsi="黑体" w:eastAsia="黑体" w:cs="黑体"/>
          <w:spacing w:val="13"/>
          <w:sz w:val="20"/>
          <w:szCs w:val="20"/>
        </w:rPr>
        <w:t>中标人不能按本章第7.3.1项要求提交履</w:t>
      </w:r>
      <w:r>
        <w:rPr>
          <w:rFonts w:ascii="黑体" w:hAnsi="黑体" w:eastAsia="黑体" w:cs="黑体"/>
          <w:spacing w:val="12"/>
          <w:sz w:val="20"/>
          <w:szCs w:val="20"/>
        </w:rPr>
        <w:t>约保证金的，视为放弃中标，其投标保证金</w:t>
      </w:r>
      <w:r>
        <w:rPr>
          <w:rFonts w:ascii="黑体" w:hAnsi="黑体" w:eastAsia="黑体" w:cs="黑体"/>
          <w:sz w:val="20"/>
          <w:szCs w:val="20"/>
        </w:rPr>
        <w:t xml:space="preserve"> </w:t>
      </w:r>
      <w:r>
        <w:rPr>
          <w:spacing w:val="10"/>
          <w:sz w:val="20"/>
          <w:szCs w:val="20"/>
        </w:rPr>
        <w:t>不予退还，给招标人造成的损失超过投标保证金数额的，中标人还应当对超过部分予以赔偿。</w:t>
      </w:r>
    </w:p>
    <w:p w14:paraId="5640BE29">
      <w:pPr>
        <w:spacing w:line="223" w:lineRule="auto"/>
        <w:ind w:left="433"/>
        <w:outlineLvl w:val="2"/>
        <w:rPr>
          <w:rFonts w:ascii="黑体" w:hAnsi="黑体" w:eastAsia="黑体" w:cs="黑体"/>
          <w:sz w:val="25"/>
          <w:szCs w:val="25"/>
        </w:rPr>
      </w:pPr>
      <w:bookmarkStart w:id="60" w:name="bookmark228"/>
      <w:bookmarkEnd w:id="60"/>
      <w:bookmarkStart w:id="61" w:name="bookmark50"/>
      <w:bookmarkEnd w:id="61"/>
      <w:r>
        <w:rPr>
          <w:rFonts w:ascii="黑体" w:hAnsi="黑体" w:eastAsia="黑体" w:cs="黑体"/>
          <w:b/>
          <w:bCs/>
          <w:spacing w:val="15"/>
          <w:sz w:val="25"/>
          <w:szCs w:val="25"/>
        </w:rPr>
        <w:t>7.4签订合同</w:t>
      </w:r>
    </w:p>
    <w:p w14:paraId="58AAE9F8">
      <w:pPr>
        <w:pStyle w:val="2"/>
        <w:spacing w:before="149" w:line="327" w:lineRule="auto"/>
        <w:ind w:right="89" w:firstLine="429"/>
        <w:rPr>
          <w:sz w:val="20"/>
          <w:szCs w:val="20"/>
        </w:rPr>
      </w:pPr>
      <w:r>
        <w:rPr>
          <w:rFonts w:ascii="黑体" w:hAnsi="黑体" w:eastAsia="黑体" w:cs="黑体"/>
          <w:spacing w:val="13"/>
          <w:sz w:val="20"/>
          <w:szCs w:val="20"/>
        </w:rPr>
        <w:t>7.4.1招标人和中标人应当在投标有效期内并自中标通知书发出之日起30日内，根据招标文</w:t>
      </w:r>
      <w:r>
        <w:rPr>
          <w:rFonts w:ascii="黑体" w:hAnsi="黑体" w:eastAsia="黑体" w:cs="黑体"/>
          <w:spacing w:val="10"/>
          <w:sz w:val="20"/>
          <w:szCs w:val="20"/>
        </w:rPr>
        <w:t xml:space="preserve"> </w:t>
      </w:r>
      <w:r>
        <w:rPr>
          <w:spacing w:val="17"/>
          <w:sz w:val="20"/>
          <w:szCs w:val="20"/>
        </w:rPr>
        <w:t>件和中标人的投标文件(以经评标委员会评审的文件版</w:t>
      </w:r>
      <w:r>
        <w:rPr>
          <w:spacing w:val="16"/>
          <w:sz w:val="20"/>
          <w:szCs w:val="20"/>
        </w:rPr>
        <w:t>本为准)订立书面合同。中标人无正当理</w:t>
      </w:r>
      <w:r>
        <w:rPr>
          <w:sz w:val="20"/>
          <w:szCs w:val="20"/>
        </w:rPr>
        <w:t xml:space="preserve"> </w:t>
      </w:r>
      <w:r>
        <w:rPr>
          <w:spacing w:val="12"/>
          <w:sz w:val="20"/>
          <w:szCs w:val="20"/>
        </w:rPr>
        <w:t>由拒签合同或在签订合同时向招标人提出附加条件的，招标人取消其中标资格，其投标</w:t>
      </w:r>
      <w:r>
        <w:rPr>
          <w:spacing w:val="11"/>
          <w:sz w:val="20"/>
          <w:szCs w:val="20"/>
        </w:rPr>
        <w:t>保证金不</w:t>
      </w:r>
      <w:r>
        <w:rPr>
          <w:sz w:val="20"/>
          <w:szCs w:val="20"/>
        </w:rPr>
        <w:t xml:space="preserve"> </w:t>
      </w:r>
      <w:r>
        <w:rPr>
          <w:spacing w:val="9"/>
          <w:sz w:val="20"/>
          <w:szCs w:val="20"/>
        </w:rPr>
        <w:t>予退还；给招标人造成的损失超过投标保证金数额的，中标人还应当对超过部分予以赔偿。</w:t>
      </w:r>
    </w:p>
    <w:p w14:paraId="3C456AF6">
      <w:pPr>
        <w:pStyle w:val="2"/>
        <w:spacing w:before="182" w:line="294" w:lineRule="auto"/>
        <w:ind w:right="20" w:firstLine="429"/>
        <w:rPr>
          <w:sz w:val="20"/>
          <w:szCs w:val="20"/>
        </w:rPr>
      </w:pPr>
      <w:r>
        <w:rPr>
          <w:spacing w:val="7"/>
          <w:sz w:val="20"/>
          <w:szCs w:val="20"/>
        </w:rPr>
        <w:t>7.4.2</w:t>
      </w:r>
      <w:r>
        <w:rPr>
          <w:spacing w:val="38"/>
          <w:sz w:val="20"/>
          <w:szCs w:val="20"/>
        </w:rPr>
        <w:t xml:space="preserve"> </w:t>
      </w:r>
      <w:r>
        <w:rPr>
          <w:rFonts w:ascii="黑体" w:hAnsi="黑体" w:eastAsia="黑体" w:cs="黑体"/>
          <w:spacing w:val="7"/>
          <w:sz w:val="20"/>
          <w:szCs w:val="20"/>
        </w:rPr>
        <w:t>发出中标通知书后，招标人无正当理由拒签合同的，招标人向中标人退还投标保证金；</w:t>
      </w:r>
      <w:r>
        <w:rPr>
          <w:rFonts w:ascii="黑体" w:hAnsi="黑体" w:eastAsia="黑体" w:cs="黑体"/>
          <w:sz w:val="20"/>
          <w:szCs w:val="20"/>
        </w:rPr>
        <w:t xml:space="preserve"> </w:t>
      </w:r>
      <w:r>
        <w:rPr>
          <w:spacing w:val="8"/>
          <w:sz w:val="20"/>
          <w:szCs w:val="20"/>
        </w:rPr>
        <w:t>给中标人造成损失的，还应当赔偿损失。</w:t>
      </w:r>
    </w:p>
    <w:p w14:paraId="59A8A078">
      <w:pPr>
        <w:spacing w:before="171" w:line="222" w:lineRule="auto"/>
        <w:ind w:left="429"/>
        <w:rPr>
          <w:rFonts w:ascii="黑体" w:hAnsi="黑体" w:eastAsia="黑体" w:cs="黑体"/>
          <w:sz w:val="20"/>
          <w:szCs w:val="20"/>
        </w:rPr>
      </w:pPr>
      <w:r>
        <w:rPr>
          <w:rFonts w:ascii="黑体" w:hAnsi="黑体" w:eastAsia="黑体" w:cs="黑体"/>
          <w:spacing w:val="11"/>
          <w:sz w:val="20"/>
          <w:szCs w:val="20"/>
        </w:rPr>
        <w:t>7.4.3签约合同价的确定原则如下：</w:t>
      </w:r>
    </w:p>
    <w:p w14:paraId="1C5526A1">
      <w:pPr>
        <w:pStyle w:val="2"/>
        <w:spacing w:before="140" w:line="374" w:lineRule="auto"/>
        <w:ind w:right="90" w:firstLine="429"/>
        <w:rPr>
          <w:sz w:val="20"/>
          <w:szCs w:val="20"/>
        </w:rPr>
      </w:pPr>
      <w:r>
        <w:rPr>
          <w:spacing w:val="12"/>
          <w:sz w:val="20"/>
          <w:szCs w:val="20"/>
        </w:rPr>
        <w:t>开标时投标函中大写投标总价应为签约合同价。按照第三章“评</w:t>
      </w:r>
      <w:r>
        <w:rPr>
          <w:spacing w:val="11"/>
          <w:sz w:val="20"/>
          <w:szCs w:val="20"/>
        </w:rPr>
        <w:t>标办法”的规定，如投标报</w:t>
      </w:r>
      <w:r>
        <w:rPr>
          <w:sz w:val="20"/>
          <w:szCs w:val="20"/>
        </w:rPr>
        <w:t xml:space="preserve"> </w:t>
      </w:r>
      <w:r>
        <w:rPr>
          <w:spacing w:val="10"/>
          <w:sz w:val="20"/>
          <w:szCs w:val="20"/>
        </w:rPr>
        <w:t>价有算术错误的，修正的价格经投标人书面确认后，以修正后</w:t>
      </w:r>
      <w:r>
        <w:rPr>
          <w:spacing w:val="9"/>
          <w:sz w:val="20"/>
          <w:szCs w:val="20"/>
        </w:rPr>
        <w:t>的投标总价为签约合同价。</w:t>
      </w:r>
    </w:p>
    <w:p w14:paraId="6117371C">
      <w:pPr>
        <w:pStyle w:val="2"/>
        <w:spacing w:before="1" w:line="212" w:lineRule="auto"/>
        <w:ind w:left="429"/>
        <w:rPr>
          <w:rFonts w:ascii="黑体" w:hAnsi="黑体" w:eastAsia="黑体" w:cs="黑体"/>
          <w:sz w:val="20"/>
          <w:szCs w:val="20"/>
        </w:rPr>
      </w:pPr>
      <w:r>
        <w:rPr>
          <w:spacing w:val="11"/>
          <w:sz w:val="20"/>
          <w:szCs w:val="20"/>
        </w:rPr>
        <w:t>7.4.4</w:t>
      </w:r>
      <w:r>
        <w:rPr>
          <w:spacing w:val="42"/>
          <w:sz w:val="20"/>
          <w:szCs w:val="20"/>
        </w:rPr>
        <w:t xml:space="preserve"> </w:t>
      </w:r>
      <w:r>
        <w:rPr>
          <w:rFonts w:ascii="黑体" w:hAnsi="黑体" w:eastAsia="黑体" w:cs="黑体"/>
          <w:spacing w:val="11"/>
          <w:sz w:val="20"/>
          <w:szCs w:val="20"/>
        </w:rPr>
        <w:t>中标人应当在合同签订后15日内，登录“电子</w:t>
      </w:r>
      <w:r>
        <w:rPr>
          <w:rFonts w:ascii="黑体" w:hAnsi="黑体" w:eastAsia="黑体" w:cs="黑体"/>
          <w:spacing w:val="10"/>
          <w:sz w:val="20"/>
          <w:szCs w:val="20"/>
        </w:rPr>
        <w:t>交易平台”提交电子合同文件归档。</w:t>
      </w:r>
    </w:p>
    <w:p w14:paraId="486BCB43">
      <w:pPr>
        <w:pStyle w:val="2"/>
        <w:spacing w:before="197" w:line="221" w:lineRule="auto"/>
        <w:ind w:left="4"/>
        <w:outlineLvl w:val="1"/>
        <w:rPr>
          <w:rFonts w:ascii="黑体" w:hAnsi="黑体" w:eastAsia="黑体" w:cs="黑体"/>
          <w:sz w:val="29"/>
          <w:szCs w:val="29"/>
        </w:rPr>
      </w:pPr>
      <w:bookmarkStart w:id="62" w:name="bookmark51"/>
      <w:bookmarkEnd w:id="62"/>
      <w:r>
        <w:rPr>
          <w:b/>
          <w:bCs/>
          <w:spacing w:val="-10"/>
          <w:sz w:val="29"/>
          <w:szCs w:val="29"/>
        </w:rPr>
        <w:t>8.</w:t>
      </w:r>
      <w:r>
        <w:rPr>
          <w:spacing w:val="-68"/>
          <w:sz w:val="29"/>
          <w:szCs w:val="29"/>
        </w:rPr>
        <w:t xml:space="preserve"> </w:t>
      </w:r>
      <w:r>
        <w:rPr>
          <w:rFonts w:ascii="黑体" w:hAnsi="黑体" w:eastAsia="黑体" w:cs="黑体"/>
          <w:b/>
          <w:bCs/>
          <w:spacing w:val="-10"/>
          <w:sz w:val="29"/>
          <w:szCs w:val="29"/>
        </w:rPr>
        <w:t>重新招标、不再招标和终止招标</w:t>
      </w:r>
    </w:p>
    <w:p w14:paraId="6582FD14">
      <w:pPr>
        <w:spacing w:before="82" w:line="221" w:lineRule="auto"/>
        <w:ind w:left="423"/>
        <w:outlineLvl w:val="2"/>
        <w:rPr>
          <w:rFonts w:ascii="黑体" w:hAnsi="黑体" w:eastAsia="黑体" w:cs="黑体"/>
          <w:sz w:val="25"/>
          <w:szCs w:val="25"/>
        </w:rPr>
      </w:pPr>
      <w:bookmarkStart w:id="63" w:name="bookmark52"/>
      <w:bookmarkEnd w:id="63"/>
      <w:r>
        <w:rPr>
          <w:rFonts w:ascii="黑体" w:hAnsi="黑体" w:eastAsia="黑体" w:cs="黑体"/>
          <w:b/>
          <w:bCs/>
          <w:spacing w:val="15"/>
          <w:sz w:val="25"/>
          <w:szCs w:val="25"/>
        </w:rPr>
        <w:t>8.1重新招标</w:t>
      </w:r>
    </w:p>
    <w:p w14:paraId="42253DB6">
      <w:pPr>
        <w:pStyle w:val="2"/>
        <w:spacing w:before="144" w:line="219" w:lineRule="auto"/>
        <w:ind w:left="429"/>
        <w:rPr>
          <w:sz w:val="20"/>
          <w:szCs w:val="20"/>
        </w:rPr>
      </w:pPr>
      <w:r>
        <w:rPr>
          <w:spacing w:val="7"/>
          <w:sz w:val="20"/>
          <w:szCs w:val="20"/>
        </w:rPr>
        <w:t>有下列情形之一的，招标人将重新招标：</w:t>
      </w:r>
    </w:p>
    <w:p w14:paraId="1A2AE0D0">
      <w:pPr>
        <w:pStyle w:val="2"/>
        <w:spacing w:before="153" w:line="219" w:lineRule="auto"/>
        <w:ind w:left="429"/>
        <w:rPr>
          <w:sz w:val="20"/>
          <w:szCs w:val="20"/>
        </w:rPr>
      </w:pPr>
      <w:r>
        <w:rPr>
          <w:spacing w:val="18"/>
          <w:sz w:val="20"/>
          <w:szCs w:val="20"/>
        </w:rPr>
        <w:t>(1)投标截止时间止，投标人少于3个的；</w:t>
      </w:r>
    </w:p>
    <w:p w14:paraId="37460FAD">
      <w:pPr>
        <w:pStyle w:val="2"/>
        <w:spacing w:before="172" w:line="219" w:lineRule="auto"/>
        <w:ind w:left="429"/>
        <w:rPr>
          <w:sz w:val="20"/>
          <w:szCs w:val="20"/>
        </w:rPr>
      </w:pPr>
      <w:r>
        <w:rPr>
          <w:spacing w:val="13"/>
          <w:sz w:val="20"/>
          <w:szCs w:val="20"/>
        </w:rPr>
        <w:t>(2)经评标委员会评审后否决所有投标的；</w:t>
      </w:r>
    </w:p>
    <w:p w14:paraId="0D3BBD7D">
      <w:pPr>
        <w:pStyle w:val="2"/>
        <w:spacing w:before="174" w:line="219" w:lineRule="auto"/>
        <w:ind w:left="429"/>
        <w:rPr>
          <w:sz w:val="20"/>
          <w:szCs w:val="20"/>
        </w:rPr>
      </w:pPr>
      <w:r>
        <w:rPr>
          <w:spacing w:val="11"/>
          <w:sz w:val="20"/>
          <w:szCs w:val="20"/>
        </w:rPr>
        <w:t>(3)第一中标候选人或所有中标候选人均未与招标人签订合同的；</w:t>
      </w:r>
    </w:p>
    <w:p w14:paraId="561C5DD9">
      <w:pPr>
        <w:pStyle w:val="2"/>
        <w:spacing w:before="143" w:line="219" w:lineRule="auto"/>
        <w:ind w:left="429"/>
        <w:rPr>
          <w:sz w:val="20"/>
          <w:szCs w:val="20"/>
        </w:rPr>
      </w:pPr>
      <w:r>
        <w:rPr>
          <w:spacing w:val="14"/>
          <w:sz w:val="20"/>
          <w:szCs w:val="20"/>
        </w:rPr>
        <w:t>(4)法律、法规规定的其他情形。</w:t>
      </w:r>
    </w:p>
    <w:p w14:paraId="32A68BBB">
      <w:pPr>
        <w:spacing w:before="139" w:line="222" w:lineRule="auto"/>
        <w:ind w:left="423"/>
        <w:outlineLvl w:val="2"/>
        <w:rPr>
          <w:rFonts w:ascii="黑体" w:hAnsi="黑体" w:eastAsia="黑体" w:cs="黑体"/>
          <w:sz w:val="25"/>
          <w:szCs w:val="25"/>
        </w:rPr>
      </w:pPr>
      <w:bookmarkStart w:id="64" w:name="bookmark53"/>
      <w:bookmarkEnd w:id="64"/>
      <w:r>
        <w:rPr>
          <w:rFonts w:ascii="黑体" w:hAnsi="黑体" w:eastAsia="黑体" w:cs="黑体"/>
          <w:b/>
          <w:bCs/>
          <w:spacing w:val="15"/>
          <w:sz w:val="25"/>
          <w:szCs w:val="25"/>
        </w:rPr>
        <w:t>8.2不再招标</w:t>
      </w:r>
    </w:p>
    <w:p w14:paraId="198C8991">
      <w:pPr>
        <w:pStyle w:val="2"/>
        <w:spacing w:before="153" w:line="341" w:lineRule="auto"/>
        <w:ind w:firstLine="429"/>
        <w:rPr>
          <w:sz w:val="20"/>
          <w:szCs w:val="20"/>
        </w:rPr>
      </w:pPr>
      <w:r>
        <w:rPr>
          <w:spacing w:val="11"/>
          <w:sz w:val="20"/>
          <w:szCs w:val="20"/>
        </w:rPr>
        <w:t>重新招标后投标人仍少于3个或者所有投标被否决的，属于必须审批或核准的工程建设项目，</w:t>
      </w:r>
      <w:r>
        <w:rPr>
          <w:spacing w:val="8"/>
          <w:sz w:val="20"/>
          <w:szCs w:val="20"/>
        </w:rPr>
        <w:t xml:space="preserve"> 经原审批或核准部门批准后不再进行招标。</w:t>
      </w:r>
    </w:p>
    <w:p w14:paraId="7E75BDA2">
      <w:pPr>
        <w:spacing w:line="223" w:lineRule="auto"/>
        <w:ind w:left="423"/>
        <w:outlineLvl w:val="2"/>
        <w:rPr>
          <w:rFonts w:ascii="黑体" w:hAnsi="黑体" w:eastAsia="黑体" w:cs="黑体"/>
          <w:sz w:val="25"/>
          <w:szCs w:val="25"/>
        </w:rPr>
      </w:pPr>
      <w:bookmarkStart w:id="65" w:name="bookmark54"/>
      <w:bookmarkEnd w:id="65"/>
      <w:r>
        <w:rPr>
          <w:rFonts w:ascii="黑体" w:hAnsi="黑体" w:eastAsia="黑体" w:cs="黑体"/>
          <w:b/>
          <w:bCs/>
          <w:spacing w:val="15"/>
          <w:sz w:val="25"/>
          <w:szCs w:val="25"/>
        </w:rPr>
        <w:t>8.3终止招标</w:t>
      </w:r>
    </w:p>
    <w:p w14:paraId="71020F90">
      <w:pPr>
        <w:pStyle w:val="2"/>
        <w:spacing w:before="158" w:line="362" w:lineRule="auto"/>
        <w:ind w:right="86" w:firstLine="429"/>
        <w:jc w:val="both"/>
        <w:rPr>
          <w:sz w:val="20"/>
          <w:szCs w:val="20"/>
        </w:rPr>
      </w:pPr>
      <w:r>
        <w:rPr>
          <w:spacing w:val="12"/>
          <w:sz w:val="20"/>
          <w:szCs w:val="20"/>
        </w:rPr>
        <w:t>因不可抗力等原因，招标人终止招标的，将通过“电子交易平台”及时发</w:t>
      </w:r>
      <w:r>
        <w:rPr>
          <w:spacing w:val="11"/>
          <w:sz w:val="20"/>
          <w:szCs w:val="20"/>
        </w:rPr>
        <w:t>布公告，或者以书</w:t>
      </w:r>
      <w:r>
        <w:rPr>
          <w:sz w:val="20"/>
          <w:szCs w:val="20"/>
        </w:rPr>
        <w:t xml:space="preserve"> </w:t>
      </w:r>
      <w:r>
        <w:rPr>
          <w:spacing w:val="12"/>
          <w:sz w:val="20"/>
          <w:szCs w:val="20"/>
        </w:rPr>
        <w:t>面形式通知被邀请的或者已经获取招标文件的潜在投标人。已经发出招标文件或</w:t>
      </w:r>
      <w:r>
        <w:rPr>
          <w:spacing w:val="11"/>
          <w:sz w:val="20"/>
          <w:szCs w:val="20"/>
        </w:rPr>
        <w:t>者已经收取投标</w:t>
      </w:r>
      <w:r>
        <w:rPr>
          <w:sz w:val="20"/>
          <w:szCs w:val="20"/>
        </w:rPr>
        <w:t xml:space="preserve"> </w:t>
      </w:r>
      <w:r>
        <w:rPr>
          <w:spacing w:val="12"/>
          <w:sz w:val="20"/>
          <w:szCs w:val="20"/>
        </w:rPr>
        <w:t>保证金的，招标人将及时退还所收取的招标文件的费用，以及所收取的投标保证</w:t>
      </w:r>
      <w:r>
        <w:rPr>
          <w:spacing w:val="11"/>
          <w:sz w:val="20"/>
          <w:szCs w:val="20"/>
        </w:rPr>
        <w:t>金及银行同期存</w:t>
      </w:r>
      <w:r>
        <w:rPr>
          <w:sz w:val="20"/>
          <w:szCs w:val="20"/>
        </w:rPr>
        <w:t xml:space="preserve"> </w:t>
      </w:r>
      <w:r>
        <w:rPr>
          <w:spacing w:val="4"/>
          <w:sz w:val="20"/>
          <w:szCs w:val="20"/>
        </w:rPr>
        <w:t>款利息。</w:t>
      </w:r>
    </w:p>
    <w:p w14:paraId="2611159B">
      <w:pPr>
        <w:pStyle w:val="2"/>
        <w:spacing w:before="39" w:line="221" w:lineRule="auto"/>
        <w:ind w:left="4"/>
        <w:outlineLvl w:val="1"/>
        <w:rPr>
          <w:rFonts w:ascii="黑体" w:hAnsi="黑体" w:eastAsia="黑体" w:cs="黑体"/>
          <w:sz w:val="29"/>
          <w:szCs w:val="29"/>
        </w:rPr>
      </w:pPr>
      <w:bookmarkStart w:id="66" w:name="bookmark55"/>
      <w:bookmarkEnd w:id="66"/>
      <w:r>
        <w:rPr>
          <w:b/>
          <w:bCs/>
          <w:spacing w:val="-5"/>
          <w:sz w:val="29"/>
          <w:szCs w:val="29"/>
        </w:rPr>
        <w:t>9.</w:t>
      </w:r>
      <w:r>
        <w:rPr>
          <w:spacing w:val="-79"/>
          <w:sz w:val="29"/>
          <w:szCs w:val="29"/>
        </w:rPr>
        <w:t xml:space="preserve"> </w:t>
      </w:r>
      <w:r>
        <w:rPr>
          <w:rFonts w:ascii="黑体" w:hAnsi="黑体" w:eastAsia="黑体" w:cs="黑体"/>
          <w:b/>
          <w:bCs/>
          <w:spacing w:val="-5"/>
          <w:sz w:val="29"/>
          <w:szCs w:val="29"/>
        </w:rPr>
        <w:t>纪律和监督</w:t>
      </w:r>
    </w:p>
    <w:p w14:paraId="6362EFA9">
      <w:pPr>
        <w:pStyle w:val="2"/>
        <w:spacing w:before="104" w:line="222" w:lineRule="auto"/>
        <w:ind w:left="433"/>
        <w:outlineLvl w:val="2"/>
        <w:rPr>
          <w:rFonts w:ascii="黑体" w:hAnsi="黑体" w:eastAsia="黑体" w:cs="黑体"/>
        </w:rPr>
      </w:pPr>
      <w:bookmarkStart w:id="67" w:name="bookmark56"/>
      <w:bookmarkEnd w:id="67"/>
      <w:r>
        <w:rPr>
          <w:b/>
          <w:bCs/>
          <w:spacing w:val="-4"/>
        </w:rPr>
        <w:t>9.1</w:t>
      </w:r>
      <w:r>
        <w:rPr>
          <w:spacing w:val="-4"/>
        </w:rPr>
        <w:t xml:space="preserve"> </w:t>
      </w:r>
      <w:r>
        <w:rPr>
          <w:rFonts w:ascii="黑体" w:hAnsi="黑体" w:eastAsia="黑体" w:cs="黑体"/>
          <w:b/>
          <w:bCs/>
          <w:spacing w:val="-4"/>
        </w:rPr>
        <w:t>对招标人的纪律要求</w:t>
      </w:r>
    </w:p>
    <w:p w14:paraId="095059BF">
      <w:pPr>
        <w:pStyle w:val="2"/>
        <w:spacing w:before="132" w:line="370" w:lineRule="auto"/>
        <w:ind w:right="100" w:firstLine="429"/>
        <w:rPr>
          <w:sz w:val="20"/>
          <w:szCs w:val="20"/>
        </w:rPr>
      </w:pPr>
      <w:r>
        <w:rPr>
          <w:spacing w:val="12"/>
          <w:sz w:val="20"/>
          <w:szCs w:val="20"/>
        </w:rPr>
        <w:t>招标人不得泄漏招标投标活动中应当保密的</w:t>
      </w:r>
      <w:r>
        <w:rPr>
          <w:spacing w:val="11"/>
          <w:sz w:val="20"/>
          <w:szCs w:val="20"/>
        </w:rPr>
        <w:t>情况和资料，不得与投标人串通损害国家利益、</w:t>
      </w:r>
      <w:r>
        <w:rPr>
          <w:sz w:val="20"/>
          <w:szCs w:val="20"/>
        </w:rPr>
        <w:t xml:space="preserve"> </w:t>
      </w:r>
      <w:r>
        <w:rPr>
          <w:spacing w:val="7"/>
          <w:sz w:val="20"/>
          <w:szCs w:val="20"/>
        </w:rPr>
        <w:t>社会公共利益或者他人合法权益。</w:t>
      </w:r>
    </w:p>
    <w:p w14:paraId="4A3727DF">
      <w:pPr>
        <w:spacing w:line="370" w:lineRule="auto"/>
        <w:rPr>
          <w:sz w:val="20"/>
          <w:szCs w:val="20"/>
        </w:rPr>
        <w:sectPr>
          <w:footerReference r:id="rId29" w:type="default"/>
          <w:pgSz w:w="11910" w:h="16840"/>
          <w:pgMar w:top="1431" w:right="1469" w:bottom="1029" w:left="1450" w:header="0" w:footer="849" w:gutter="0"/>
          <w:cols w:space="720" w:num="1"/>
        </w:sectPr>
      </w:pPr>
    </w:p>
    <w:p w14:paraId="31E189EE">
      <w:pPr>
        <w:spacing w:line="272" w:lineRule="auto"/>
        <w:rPr>
          <w:rFonts w:ascii="Arial"/>
          <w:sz w:val="21"/>
        </w:rPr>
      </w:pPr>
    </w:p>
    <w:p w14:paraId="5EEE7885">
      <w:pPr>
        <w:spacing w:before="81" w:line="222" w:lineRule="auto"/>
        <w:ind w:left="408"/>
        <w:outlineLvl w:val="2"/>
        <w:rPr>
          <w:rFonts w:ascii="黑体" w:hAnsi="黑体" w:eastAsia="黑体" w:cs="黑体"/>
          <w:sz w:val="25"/>
          <w:szCs w:val="25"/>
        </w:rPr>
      </w:pPr>
      <w:bookmarkStart w:id="68" w:name="bookmark229"/>
      <w:bookmarkEnd w:id="68"/>
      <w:bookmarkStart w:id="69" w:name="bookmark57"/>
      <w:bookmarkEnd w:id="69"/>
      <w:r>
        <w:rPr>
          <w:rFonts w:ascii="黑体" w:hAnsi="黑体" w:eastAsia="黑体" w:cs="黑体"/>
          <w:b/>
          <w:bCs/>
          <w:spacing w:val="5"/>
          <w:sz w:val="25"/>
          <w:szCs w:val="25"/>
        </w:rPr>
        <w:t>9.2对投标人的纪律要求</w:t>
      </w:r>
    </w:p>
    <w:p w14:paraId="67BC9BA3">
      <w:pPr>
        <w:pStyle w:val="2"/>
        <w:spacing w:before="160" w:line="336" w:lineRule="auto"/>
        <w:ind w:left="5" w:right="89" w:firstLine="399"/>
        <w:jc w:val="both"/>
        <w:rPr>
          <w:sz w:val="21"/>
          <w:szCs w:val="21"/>
        </w:rPr>
      </w:pPr>
      <w:r>
        <w:rPr>
          <w:spacing w:val="2"/>
          <w:sz w:val="21"/>
          <w:szCs w:val="21"/>
        </w:rPr>
        <w:t>投标人不得相互串通投标或者与招标人串通投标，不得向招标人或者评标委员会成员</w:t>
      </w:r>
      <w:r>
        <w:rPr>
          <w:spacing w:val="1"/>
          <w:sz w:val="21"/>
          <w:szCs w:val="21"/>
        </w:rPr>
        <w:t>行贿谋</w:t>
      </w:r>
      <w:r>
        <w:rPr>
          <w:sz w:val="21"/>
          <w:szCs w:val="21"/>
        </w:rPr>
        <w:t xml:space="preserve"> </w:t>
      </w:r>
      <w:r>
        <w:rPr>
          <w:spacing w:val="2"/>
          <w:sz w:val="21"/>
          <w:szCs w:val="21"/>
        </w:rPr>
        <w:t>取中标，不得以他人名义投标或者以其他方式弄</w:t>
      </w:r>
      <w:r>
        <w:rPr>
          <w:spacing w:val="1"/>
          <w:sz w:val="21"/>
          <w:szCs w:val="21"/>
        </w:rPr>
        <w:t>虚作假骗取中标；投标人不得以任何方式干扰、</w:t>
      </w:r>
      <w:r>
        <w:rPr>
          <w:sz w:val="21"/>
          <w:szCs w:val="21"/>
        </w:rPr>
        <w:t xml:space="preserve"> </w:t>
      </w:r>
      <w:r>
        <w:rPr>
          <w:spacing w:val="-5"/>
          <w:sz w:val="21"/>
          <w:szCs w:val="21"/>
        </w:rPr>
        <w:t>影响评标工作。</w:t>
      </w:r>
    </w:p>
    <w:p w14:paraId="0CBEB432">
      <w:pPr>
        <w:spacing w:before="1" w:line="220" w:lineRule="auto"/>
        <w:ind w:left="408"/>
        <w:outlineLvl w:val="2"/>
        <w:rPr>
          <w:rFonts w:ascii="黑体" w:hAnsi="黑体" w:eastAsia="黑体" w:cs="黑体"/>
          <w:sz w:val="25"/>
          <w:szCs w:val="25"/>
        </w:rPr>
      </w:pPr>
      <w:bookmarkStart w:id="70" w:name="bookmark58"/>
      <w:bookmarkEnd w:id="70"/>
      <w:r>
        <w:rPr>
          <w:rFonts w:ascii="黑体" w:hAnsi="黑体" w:eastAsia="黑体" w:cs="黑体"/>
          <w:b/>
          <w:bCs/>
          <w:spacing w:val="-1"/>
          <w:sz w:val="25"/>
          <w:szCs w:val="25"/>
        </w:rPr>
        <w:t>9.3对评标委员会成员的纪律要求</w:t>
      </w:r>
    </w:p>
    <w:p w14:paraId="57ED7A80">
      <w:pPr>
        <w:pStyle w:val="2"/>
        <w:spacing w:before="130" w:line="348" w:lineRule="auto"/>
        <w:ind w:left="5" w:firstLine="399"/>
        <w:jc w:val="both"/>
        <w:rPr>
          <w:sz w:val="21"/>
          <w:szCs w:val="21"/>
        </w:rPr>
      </w:pPr>
      <w:r>
        <w:rPr>
          <w:spacing w:val="2"/>
          <w:sz w:val="21"/>
          <w:szCs w:val="21"/>
        </w:rPr>
        <w:t>评标委员会成员不得与任何投标人或者与招标结果有利害关系的人进行私下接触，不得</w:t>
      </w:r>
      <w:r>
        <w:rPr>
          <w:spacing w:val="1"/>
          <w:sz w:val="21"/>
          <w:szCs w:val="21"/>
        </w:rPr>
        <w:t>收受</w:t>
      </w:r>
      <w:r>
        <w:rPr>
          <w:sz w:val="21"/>
          <w:szCs w:val="21"/>
        </w:rPr>
        <w:t xml:space="preserve">  </w:t>
      </w:r>
      <w:r>
        <w:rPr>
          <w:spacing w:val="2"/>
          <w:sz w:val="21"/>
          <w:szCs w:val="21"/>
        </w:rPr>
        <w:t>投标人、中介人、其他利害关系人的财物或者其他好处，不得向他人透漏对投标文件的评</w:t>
      </w:r>
      <w:r>
        <w:rPr>
          <w:spacing w:val="1"/>
          <w:sz w:val="21"/>
          <w:szCs w:val="21"/>
        </w:rPr>
        <w:t>审和比</w:t>
      </w:r>
      <w:r>
        <w:rPr>
          <w:sz w:val="21"/>
          <w:szCs w:val="21"/>
        </w:rPr>
        <w:t xml:space="preserve"> </w:t>
      </w:r>
      <w:r>
        <w:rPr>
          <w:spacing w:val="2"/>
          <w:sz w:val="21"/>
          <w:szCs w:val="21"/>
        </w:rPr>
        <w:t>较、中标候选人的推荐情况以及评标有关的其他情况。在评</w:t>
      </w:r>
      <w:r>
        <w:rPr>
          <w:spacing w:val="1"/>
          <w:sz w:val="21"/>
          <w:szCs w:val="21"/>
        </w:rPr>
        <w:t>标活动中，评标委员会成员不得应当</w:t>
      </w:r>
      <w:r>
        <w:rPr>
          <w:sz w:val="21"/>
          <w:szCs w:val="21"/>
        </w:rPr>
        <w:t xml:space="preserve"> </w:t>
      </w:r>
      <w:r>
        <w:rPr>
          <w:spacing w:val="-1"/>
          <w:sz w:val="21"/>
          <w:szCs w:val="21"/>
        </w:rPr>
        <w:t>回避而不回避，不得擅离职守，影响评标程序正常进行，不得向招</w:t>
      </w:r>
      <w:r>
        <w:rPr>
          <w:spacing w:val="-2"/>
          <w:sz w:val="21"/>
          <w:szCs w:val="21"/>
        </w:rPr>
        <w:t>标人征询其确定中标人的意向，</w:t>
      </w:r>
      <w:r>
        <w:rPr>
          <w:sz w:val="21"/>
          <w:szCs w:val="21"/>
        </w:rPr>
        <w:t xml:space="preserve"> </w:t>
      </w:r>
      <w:r>
        <w:rPr>
          <w:spacing w:val="2"/>
          <w:sz w:val="21"/>
          <w:szCs w:val="21"/>
        </w:rPr>
        <w:t>不得接受任何单位或者个人明示或者暗示提出的倾向或者排斥特定投标人的要求</w:t>
      </w:r>
      <w:r>
        <w:rPr>
          <w:spacing w:val="1"/>
          <w:sz w:val="21"/>
          <w:szCs w:val="21"/>
        </w:rPr>
        <w:t>，不得对依法应</w:t>
      </w:r>
      <w:r>
        <w:rPr>
          <w:sz w:val="21"/>
          <w:szCs w:val="21"/>
        </w:rPr>
        <w:t xml:space="preserve"> </w:t>
      </w:r>
      <w:r>
        <w:rPr>
          <w:spacing w:val="2"/>
          <w:sz w:val="21"/>
          <w:szCs w:val="21"/>
        </w:rPr>
        <w:t>当否决的投标不提出否决意见，不得暗示或者诱导投标人作出澄清、说明或者接</w:t>
      </w:r>
      <w:r>
        <w:rPr>
          <w:spacing w:val="1"/>
          <w:sz w:val="21"/>
          <w:szCs w:val="21"/>
        </w:rPr>
        <w:t>受投标人主动提</w:t>
      </w:r>
      <w:r>
        <w:rPr>
          <w:sz w:val="21"/>
          <w:szCs w:val="21"/>
        </w:rPr>
        <w:t xml:space="preserve"> </w:t>
      </w:r>
      <w:r>
        <w:rPr>
          <w:spacing w:val="-1"/>
          <w:sz w:val="21"/>
          <w:szCs w:val="21"/>
        </w:rPr>
        <w:t>出的澄清、说明；不得使用第三章“评标办法”没有规定的评审因素和标准进行评标。</w:t>
      </w:r>
    </w:p>
    <w:p w14:paraId="20FE783D">
      <w:pPr>
        <w:spacing w:before="1" w:line="220" w:lineRule="auto"/>
        <w:ind w:left="408"/>
        <w:outlineLvl w:val="2"/>
        <w:rPr>
          <w:rFonts w:ascii="黑体" w:hAnsi="黑体" w:eastAsia="黑体" w:cs="黑体"/>
          <w:sz w:val="25"/>
          <w:szCs w:val="25"/>
        </w:rPr>
      </w:pPr>
      <w:bookmarkStart w:id="71" w:name="bookmark59"/>
      <w:bookmarkEnd w:id="71"/>
      <w:r>
        <w:rPr>
          <w:rFonts w:ascii="黑体" w:hAnsi="黑体" w:eastAsia="黑体" w:cs="黑体"/>
          <w:b/>
          <w:bCs/>
          <w:spacing w:val="-3"/>
          <w:sz w:val="25"/>
          <w:szCs w:val="25"/>
        </w:rPr>
        <w:t>9.4对与评标活动有关的工作人员的纪律要求</w:t>
      </w:r>
    </w:p>
    <w:p w14:paraId="47B55D46">
      <w:pPr>
        <w:pStyle w:val="2"/>
        <w:spacing w:before="132" w:line="342" w:lineRule="auto"/>
        <w:ind w:left="5" w:right="93" w:firstLine="399"/>
        <w:jc w:val="both"/>
        <w:rPr>
          <w:sz w:val="21"/>
          <w:szCs w:val="21"/>
        </w:rPr>
      </w:pPr>
      <w:r>
        <w:rPr>
          <w:spacing w:val="2"/>
          <w:sz w:val="21"/>
          <w:szCs w:val="21"/>
        </w:rPr>
        <w:t>与评标活动有关的工作人员不得收受他人的财物或者其他好处，不得向他人透漏对投</w:t>
      </w:r>
      <w:r>
        <w:rPr>
          <w:spacing w:val="1"/>
          <w:sz w:val="21"/>
          <w:szCs w:val="21"/>
        </w:rPr>
        <w:t>标文件</w:t>
      </w:r>
      <w:r>
        <w:rPr>
          <w:sz w:val="21"/>
          <w:szCs w:val="21"/>
        </w:rPr>
        <w:t xml:space="preserve"> </w:t>
      </w:r>
      <w:r>
        <w:rPr>
          <w:spacing w:val="1"/>
          <w:sz w:val="21"/>
          <w:szCs w:val="21"/>
        </w:rPr>
        <w:t>的评审和比较、中标候选人的推荐情况以及评标有关的其他情况。在评标活动中，与评标活动有</w:t>
      </w:r>
      <w:r>
        <w:rPr>
          <w:spacing w:val="17"/>
          <w:sz w:val="21"/>
          <w:szCs w:val="21"/>
        </w:rPr>
        <w:t xml:space="preserve"> </w:t>
      </w:r>
      <w:r>
        <w:rPr>
          <w:spacing w:val="-2"/>
          <w:sz w:val="21"/>
          <w:szCs w:val="21"/>
        </w:rPr>
        <w:t>关的工作人员不得擅离职守，影响评标程序正常进行。</w:t>
      </w:r>
    </w:p>
    <w:p w14:paraId="0030E0FA">
      <w:pPr>
        <w:spacing w:line="220" w:lineRule="auto"/>
        <w:ind w:left="408"/>
        <w:outlineLvl w:val="2"/>
        <w:rPr>
          <w:rFonts w:ascii="黑体" w:hAnsi="黑体" w:eastAsia="黑体" w:cs="黑体"/>
          <w:sz w:val="25"/>
          <w:szCs w:val="25"/>
        </w:rPr>
      </w:pPr>
      <w:bookmarkStart w:id="72" w:name="bookmark60"/>
      <w:bookmarkEnd w:id="72"/>
      <w:r>
        <w:rPr>
          <w:rFonts w:ascii="黑体" w:hAnsi="黑体" w:eastAsia="黑体" w:cs="黑体"/>
          <w:b/>
          <w:bCs/>
          <w:spacing w:val="11"/>
          <w:sz w:val="25"/>
          <w:szCs w:val="25"/>
        </w:rPr>
        <w:t>9</w:t>
      </w:r>
      <w:r>
        <w:rPr>
          <w:rFonts w:ascii="黑体" w:hAnsi="黑体" w:eastAsia="黑体" w:cs="黑体"/>
          <w:spacing w:val="-74"/>
          <w:sz w:val="25"/>
          <w:szCs w:val="25"/>
        </w:rPr>
        <w:t xml:space="preserve"> </w:t>
      </w:r>
      <w:r>
        <w:rPr>
          <w:rFonts w:ascii="黑体" w:hAnsi="黑体" w:eastAsia="黑体" w:cs="黑体"/>
          <w:b/>
          <w:bCs/>
          <w:spacing w:val="11"/>
          <w:sz w:val="25"/>
          <w:szCs w:val="25"/>
        </w:rPr>
        <w:t>.5投诉</w:t>
      </w:r>
    </w:p>
    <w:p w14:paraId="1058374B">
      <w:pPr>
        <w:pStyle w:val="2"/>
        <w:spacing w:before="146" w:line="219" w:lineRule="auto"/>
        <w:ind w:left="405"/>
        <w:rPr>
          <w:sz w:val="21"/>
          <w:szCs w:val="21"/>
        </w:rPr>
      </w:pPr>
      <w:r>
        <w:rPr>
          <w:sz w:val="21"/>
          <w:szCs w:val="21"/>
        </w:rPr>
        <w:t>本次招标投标活动及其相关当事人应当接受有关行政监督部门依法实施的监督。</w:t>
      </w:r>
    </w:p>
    <w:p w14:paraId="1D521219">
      <w:pPr>
        <w:pStyle w:val="2"/>
        <w:spacing w:before="160" w:line="336" w:lineRule="auto"/>
        <w:ind w:left="5" w:right="86" w:firstLine="399"/>
        <w:rPr>
          <w:sz w:val="21"/>
          <w:szCs w:val="21"/>
        </w:rPr>
      </w:pPr>
      <w:r>
        <w:rPr>
          <w:spacing w:val="2"/>
          <w:sz w:val="21"/>
          <w:szCs w:val="21"/>
        </w:rPr>
        <w:t>依据《中华人民共和国招标投标法实施条例》第四条第三款的规定，财政部门依法对实行招</w:t>
      </w:r>
      <w:r>
        <w:rPr>
          <w:spacing w:val="6"/>
          <w:sz w:val="21"/>
          <w:szCs w:val="21"/>
        </w:rPr>
        <w:t xml:space="preserve"> </w:t>
      </w:r>
      <w:r>
        <w:rPr>
          <w:spacing w:val="-1"/>
          <w:sz w:val="21"/>
          <w:szCs w:val="21"/>
        </w:rPr>
        <w:t>标投标的政府采购工程建设项目的政府采购政</w:t>
      </w:r>
      <w:r>
        <w:rPr>
          <w:spacing w:val="-2"/>
          <w:sz w:val="21"/>
          <w:szCs w:val="21"/>
        </w:rPr>
        <w:t>策执行情况实施监督。</w:t>
      </w:r>
    </w:p>
    <w:p w14:paraId="59B43557">
      <w:pPr>
        <w:pStyle w:val="2"/>
        <w:spacing w:before="26" w:line="344" w:lineRule="auto"/>
        <w:ind w:left="5" w:right="72" w:firstLine="399"/>
        <w:rPr>
          <w:sz w:val="21"/>
          <w:szCs w:val="21"/>
        </w:rPr>
      </w:pPr>
      <w:r>
        <w:rPr>
          <w:spacing w:val="2"/>
          <w:sz w:val="21"/>
          <w:szCs w:val="21"/>
        </w:rPr>
        <w:t>投标人和其他利害关系人认为本次招标活动违反法律、法规和规章规定的，有权自知道</w:t>
      </w:r>
      <w:r>
        <w:rPr>
          <w:spacing w:val="1"/>
          <w:sz w:val="21"/>
          <w:szCs w:val="21"/>
        </w:rPr>
        <w:t>或者</w:t>
      </w:r>
      <w:r>
        <w:rPr>
          <w:sz w:val="21"/>
          <w:szCs w:val="21"/>
        </w:rPr>
        <w:t xml:space="preserve"> </w:t>
      </w:r>
      <w:r>
        <w:rPr>
          <w:spacing w:val="4"/>
          <w:sz w:val="21"/>
          <w:szCs w:val="21"/>
        </w:rPr>
        <w:t>应当知道之日起10 日内向有关行政监督部门投诉，其中对招标文件的内容(包</w:t>
      </w:r>
      <w:r>
        <w:rPr>
          <w:spacing w:val="3"/>
          <w:sz w:val="21"/>
          <w:szCs w:val="21"/>
        </w:rPr>
        <w:t>括招标控制价)、</w:t>
      </w:r>
      <w:r>
        <w:rPr>
          <w:sz w:val="21"/>
          <w:szCs w:val="21"/>
        </w:rPr>
        <w:t xml:space="preserve"> </w:t>
      </w:r>
      <w:r>
        <w:rPr>
          <w:spacing w:val="11"/>
          <w:sz w:val="21"/>
          <w:szCs w:val="21"/>
        </w:rPr>
        <w:t>开标、评标结果进行投诉的，应当按本章第2.4款、第3.2.2</w:t>
      </w:r>
      <w:r>
        <w:rPr>
          <w:spacing w:val="10"/>
          <w:sz w:val="21"/>
          <w:szCs w:val="21"/>
        </w:rPr>
        <w:t>项、第5.3款、第6.4款的规定先</w:t>
      </w:r>
      <w:r>
        <w:rPr>
          <w:sz w:val="21"/>
          <w:szCs w:val="21"/>
        </w:rPr>
        <w:t xml:space="preserve"> </w:t>
      </w:r>
      <w:r>
        <w:rPr>
          <w:spacing w:val="1"/>
          <w:sz w:val="21"/>
          <w:szCs w:val="21"/>
        </w:rPr>
        <w:t>向招标人提出异议后，方可向有关行政监督部门投诉，异议答复期不计算在规定的投诉时效期限</w:t>
      </w:r>
      <w:r>
        <w:rPr>
          <w:spacing w:val="18"/>
          <w:sz w:val="21"/>
          <w:szCs w:val="21"/>
        </w:rPr>
        <w:t xml:space="preserve"> </w:t>
      </w:r>
      <w:r>
        <w:rPr>
          <w:spacing w:val="-9"/>
          <w:sz w:val="21"/>
          <w:szCs w:val="21"/>
        </w:rPr>
        <w:t>内。</w:t>
      </w:r>
    </w:p>
    <w:p w14:paraId="20CA15A6">
      <w:pPr>
        <w:pStyle w:val="2"/>
        <w:spacing w:before="36" w:line="355" w:lineRule="auto"/>
        <w:ind w:right="74" w:firstLine="405"/>
        <w:rPr>
          <w:sz w:val="21"/>
          <w:szCs w:val="21"/>
        </w:rPr>
      </w:pPr>
      <w:r>
        <w:rPr>
          <w:spacing w:val="14"/>
          <w:sz w:val="21"/>
          <w:szCs w:val="21"/>
        </w:rPr>
        <w:t>投标人和其他利害关系人的投诉应按照《工程建设项目</w:t>
      </w:r>
      <w:r>
        <w:rPr>
          <w:spacing w:val="13"/>
          <w:sz w:val="21"/>
          <w:szCs w:val="21"/>
        </w:rPr>
        <w:t>招标投标活动投诉处理办法》或</w:t>
      </w:r>
      <w:r>
        <w:rPr>
          <w:sz w:val="21"/>
          <w:szCs w:val="21"/>
        </w:rPr>
        <w:t xml:space="preserve"> </w:t>
      </w:r>
      <w:r>
        <w:rPr>
          <w:spacing w:val="13"/>
          <w:sz w:val="21"/>
          <w:szCs w:val="21"/>
        </w:rPr>
        <w:t>《湖北省公共资源招标投标投诉处理办法》的规定进行。</w:t>
      </w:r>
    </w:p>
    <w:p w14:paraId="3F62093D">
      <w:pPr>
        <w:pStyle w:val="2"/>
        <w:spacing w:before="1" w:line="217" w:lineRule="auto"/>
        <w:ind w:left="405"/>
        <w:rPr>
          <w:sz w:val="21"/>
          <w:szCs w:val="21"/>
        </w:rPr>
      </w:pPr>
      <w:r>
        <w:rPr>
          <w:spacing w:val="-1"/>
          <w:sz w:val="21"/>
          <w:szCs w:val="21"/>
        </w:rPr>
        <w:t>有关行政监督部门和工程造价管理机构的联系方式见投标人须知前附表。</w:t>
      </w:r>
    </w:p>
    <w:p w14:paraId="0DF99DB6">
      <w:pPr>
        <w:pStyle w:val="2"/>
        <w:spacing w:before="183" w:line="222" w:lineRule="auto"/>
        <w:ind w:left="9"/>
        <w:outlineLvl w:val="1"/>
        <w:rPr>
          <w:rFonts w:ascii="黑体" w:hAnsi="黑体" w:eastAsia="黑体" w:cs="黑体"/>
          <w:sz w:val="29"/>
          <w:szCs w:val="29"/>
        </w:rPr>
      </w:pPr>
      <w:bookmarkStart w:id="73" w:name="bookmark61"/>
      <w:bookmarkEnd w:id="73"/>
      <w:r>
        <w:rPr>
          <w:b/>
          <w:bCs/>
          <w:spacing w:val="-4"/>
          <w:sz w:val="29"/>
          <w:szCs w:val="29"/>
        </w:rPr>
        <w:t>10.</w:t>
      </w:r>
      <w:r>
        <w:rPr>
          <w:rFonts w:ascii="黑体" w:hAnsi="黑体" w:eastAsia="黑体" w:cs="黑体"/>
          <w:b/>
          <w:bCs/>
          <w:spacing w:val="-4"/>
          <w:sz w:val="29"/>
          <w:szCs w:val="29"/>
        </w:rPr>
        <w:t>需要补充的其他内容</w:t>
      </w:r>
    </w:p>
    <w:p w14:paraId="1034C8B4">
      <w:pPr>
        <w:spacing w:before="78" w:line="222" w:lineRule="auto"/>
        <w:ind w:left="408"/>
        <w:outlineLvl w:val="2"/>
        <w:rPr>
          <w:rFonts w:ascii="黑体" w:hAnsi="黑体" w:eastAsia="黑体" w:cs="黑体"/>
          <w:sz w:val="25"/>
          <w:szCs w:val="25"/>
        </w:rPr>
      </w:pPr>
      <w:bookmarkStart w:id="74" w:name="bookmark62"/>
      <w:bookmarkEnd w:id="74"/>
      <w:r>
        <w:rPr>
          <w:rFonts w:ascii="黑体" w:hAnsi="黑体" w:eastAsia="黑体" w:cs="黑体"/>
          <w:b/>
          <w:bCs/>
          <w:spacing w:val="8"/>
          <w:sz w:val="25"/>
          <w:szCs w:val="25"/>
        </w:rPr>
        <w:t>10.1多标段投标</w:t>
      </w:r>
    </w:p>
    <w:p w14:paraId="2EB7166C">
      <w:pPr>
        <w:pStyle w:val="2"/>
        <w:spacing w:before="132" w:line="219" w:lineRule="auto"/>
        <w:ind w:left="405"/>
        <w:rPr>
          <w:sz w:val="21"/>
          <w:szCs w:val="21"/>
        </w:rPr>
      </w:pPr>
      <w:r>
        <w:rPr>
          <w:spacing w:val="-3"/>
          <w:sz w:val="21"/>
          <w:szCs w:val="21"/>
        </w:rPr>
        <w:t>多标段投标规定：见投标人须知前附表。</w:t>
      </w:r>
    </w:p>
    <w:p w14:paraId="7A36DD67">
      <w:pPr>
        <w:spacing w:before="138" w:line="221" w:lineRule="auto"/>
        <w:ind w:left="408"/>
        <w:outlineLvl w:val="2"/>
        <w:rPr>
          <w:rFonts w:ascii="黑体" w:hAnsi="黑体" w:eastAsia="黑体" w:cs="黑体"/>
          <w:sz w:val="25"/>
          <w:szCs w:val="25"/>
        </w:rPr>
      </w:pPr>
      <w:bookmarkStart w:id="75" w:name="bookmark63"/>
      <w:bookmarkEnd w:id="75"/>
      <w:r>
        <w:rPr>
          <w:rFonts w:ascii="黑体" w:hAnsi="黑体" w:eastAsia="黑体" w:cs="黑体"/>
          <w:b/>
          <w:bCs/>
          <w:spacing w:val="-4"/>
          <w:sz w:val="25"/>
          <w:szCs w:val="25"/>
        </w:rPr>
        <w:t>10.2评标办法中的有关系数的取值和评分因素设置</w:t>
      </w:r>
    </w:p>
    <w:p w14:paraId="1CD40F8E">
      <w:pPr>
        <w:pStyle w:val="2"/>
        <w:spacing w:before="123" w:line="218" w:lineRule="auto"/>
        <w:ind w:left="405"/>
        <w:rPr>
          <w:sz w:val="21"/>
          <w:szCs w:val="21"/>
        </w:rPr>
      </w:pPr>
      <w:r>
        <w:rPr>
          <w:rFonts w:ascii="Times New Roman" w:hAnsi="Times New Roman" w:eastAsia="Times New Roman" w:cs="Times New Roman"/>
          <w:spacing w:val="-1"/>
          <w:sz w:val="21"/>
          <w:szCs w:val="21"/>
        </w:rPr>
        <w:t xml:space="preserve">10.2.1    </w:t>
      </w:r>
      <w:r>
        <w:rPr>
          <w:spacing w:val="-1"/>
          <w:sz w:val="21"/>
          <w:szCs w:val="21"/>
        </w:rPr>
        <w:t>第三章评标办法前附表中“评标基准价下浮系数”</w:t>
      </w:r>
      <w:r>
        <w:rPr>
          <w:rFonts w:ascii="Times New Roman" w:hAnsi="Times New Roman" w:eastAsia="Times New Roman" w:cs="Times New Roman"/>
          <w:spacing w:val="-1"/>
          <w:sz w:val="21"/>
          <w:szCs w:val="21"/>
        </w:rPr>
        <w:t xml:space="preserve">E </w:t>
      </w:r>
      <w:r>
        <w:rPr>
          <w:spacing w:val="-1"/>
          <w:sz w:val="21"/>
          <w:szCs w:val="21"/>
        </w:rPr>
        <w:t>的取值：见投标人须知前附表。</w:t>
      </w:r>
    </w:p>
    <w:p w14:paraId="4D3B9460">
      <w:pPr>
        <w:spacing w:line="218" w:lineRule="auto"/>
        <w:rPr>
          <w:sz w:val="21"/>
          <w:szCs w:val="21"/>
        </w:rPr>
        <w:sectPr>
          <w:footerReference r:id="rId30" w:type="default"/>
          <w:pgSz w:w="11910" w:h="16840"/>
          <w:pgMar w:top="1431" w:right="1465" w:bottom="1008" w:left="1464" w:header="0" w:footer="855" w:gutter="0"/>
          <w:cols w:space="720" w:num="1"/>
        </w:sectPr>
      </w:pPr>
    </w:p>
    <w:p w14:paraId="179CBC56">
      <w:pPr>
        <w:spacing w:line="348" w:lineRule="auto"/>
        <w:rPr>
          <w:rFonts w:ascii="Arial"/>
          <w:sz w:val="21"/>
        </w:rPr>
      </w:pPr>
    </w:p>
    <w:p w14:paraId="74BF35A3">
      <w:pPr>
        <w:pStyle w:val="2"/>
        <w:spacing w:before="65" w:line="294" w:lineRule="auto"/>
        <w:ind w:right="149" w:firstLine="419"/>
        <w:rPr>
          <w:sz w:val="20"/>
          <w:szCs w:val="20"/>
        </w:rPr>
      </w:pPr>
      <w:bookmarkStart w:id="76" w:name="bookmark230"/>
      <w:bookmarkEnd w:id="76"/>
      <w:r>
        <w:rPr>
          <w:rFonts w:ascii="Times New Roman" w:hAnsi="Times New Roman" w:eastAsia="Times New Roman" w:cs="Times New Roman"/>
          <w:spacing w:val="8"/>
          <w:sz w:val="20"/>
          <w:szCs w:val="20"/>
        </w:rPr>
        <w:t xml:space="preserve">10.2.2    </w:t>
      </w:r>
      <w:r>
        <w:rPr>
          <w:spacing w:val="8"/>
          <w:sz w:val="20"/>
          <w:szCs w:val="20"/>
        </w:rPr>
        <w:t>第三章评标办法前附表中“不平衡报价系数”以</w:t>
      </w:r>
      <w:r>
        <w:rPr>
          <w:spacing w:val="7"/>
          <w:sz w:val="20"/>
          <w:szCs w:val="20"/>
        </w:rPr>
        <w:t>及评标办法附件</w:t>
      </w:r>
      <w:r>
        <w:rPr>
          <w:spacing w:val="-49"/>
          <w:sz w:val="20"/>
          <w:szCs w:val="20"/>
        </w:rPr>
        <w:t xml:space="preserve"> </w:t>
      </w:r>
      <w:r>
        <w:rPr>
          <w:rFonts w:ascii="Times New Roman" w:hAnsi="Times New Roman" w:eastAsia="Times New Roman" w:cs="Times New Roman"/>
          <w:spacing w:val="7"/>
          <w:sz w:val="20"/>
          <w:szCs w:val="20"/>
        </w:rPr>
        <w:t>D</w:t>
      </w:r>
      <w:r>
        <w:rPr>
          <w:spacing w:val="7"/>
          <w:sz w:val="20"/>
          <w:szCs w:val="20"/>
        </w:rPr>
        <w:t>“投标人成本评审</w:t>
      </w:r>
      <w:r>
        <w:rPr>
          <w:sz w:val="20"/>
          <w:szCs w:val="20"/>
        </w:rPr>
        <w:t xml:space="preserve"> </w:t>
      </w:r>
      <w:r>
        <w:rPr>
          <w:spacing w:val="9"/>
          <w:sz w:val="20"/>
          <w:szCs w:val="20"/>
        </w:rPr>
        <w:t>办法”中“启动成本评审工作的前提条件”H</w:t>
      </w:r>
      <w:r>
        <w:rPr>
          <w:spacing w:val="-26"/>
          <w:sz w:val="20"/>
          <w:szCs w:val="20"/>
        </w:rPr>
        <w:t xml:space="preserve"> </w:t>
      </w:r>
      <w:r>
        <w:rPr>
          <w:spacing w:val="9"/>
          <w:sz w:val="20"/>
          <w:szCs w:val="20"/>
        </w:rPr>
        <w:t>的取值</w:t>
      </w:r>
      <w:r>
        <w:rPr>
          <w:spacing w:val="8"/>
          <w:sz w:val="20"/>
          <w:szCs w:val="20"/>
        </w:rPr>
        <w:t>：见投标人须知前附表。</w:t>
      </w:r>
    </w:p>
    <w:p w14:paraId="0233D9AD">
      <w:pPr>
        <w:pStyle w:val="2"/>
        <w:spacing w:before="152" w:line="295" w:lineRule="auto"/>
        <w:ind w:right="92" w:firstLine="419"/>
        <w:rPr>
          <w:sz w:val="20"/>
          <w:szCs w:val="20"/>
        </w:rPr>
      </w:pPr>
      <w:r>
        <w:rPr>
          <w:spacing w:val="11"/>
          <w:sz w:val="20"/>
          <w:szCs w:val="20"/>
        </w:rPr>
        <w:t>10.2.3第三章评标办法前附表中“期望合理价系数”</w:t>
      </w:r>
      <w:r>
        <w:rPr>
          <w:rFonts w:ascii="Times New Roman" w:hAnsi="Times New Roman" w:eastAsia="Times New Roman" w:cs="Times New Roman"/>
          <w:spacing w:val="11"/>
          <w:sz w:val="20"/>
          <w:szCs w:val="20"/>
        </w:rPr>
        <w:t>D</w:t>
      </w:r>
      <w:r>
        <w:rPr>
          <w:spacing w:val="11"/>
          <w:sz w:val="20"/>
          <w:szCs w:val="20"/>
        </w:rPr>
        <w:t>的</w:t>
      </w:r>
      <w:r>
        <w:rPr>
          <w:spacing w:val="10"/>
          <w:sz w:val="20"/>
          <w:szCs w:val="20"/>
        </w:rPr>
        <w:t>取值：见投标人须知前附表。(适用</w:t>
      </w:r>
      <w:r>
        <w:rPr>
          <w:sz w:val="20"/>
          <w:szCs w:val="20"/>
        </w:rPr>
        <w:t xml:space="preserve"> </w:t>
      </w:r>
      <w:r>
        <w:rPr>
          <w:spacing w:val="16"/>
          <w:sz w:val="20"/>
          <w:szCs w:val="20"/>
        </w:rPr>
        <w:t>于办法八)</w:t>
      </w:r>
    </w:p>
    <w:p w14:paraId="1E85D426">
      <w:pPr>
        <w:pStyle w:val="2"/>
        <w:spacing w:before="181" w:line="285" w:lineRule="auto"/>
        <w:ind w:right="126" w:firstLine="419"/>
        <w:rPr>
          <w:sz w:val="20"/>
          <w:szCs w:val="20"/>
        </w:rPr>
      </w:pPr>
      <w:r>
        <w:rPr>
          <w:spacing w:val="15"/>
          <w:sz w:val="20"/>
          <w:szCs w:val="20"/>
        </w:rPr>
        <w:t>10.2.4第三章评标办法前附表中“小微企业报价优惠(扣除)系数”</w:t>
      </w:r>
      <w:r>
        <w:rPr>
          <w:spacing w:val="-37"/>
          <w:sz w:val="20"/>
          <w:szCs w:val="20"/>
        </w:rPr>
        <w:t xml:space="preserve"> </w:t>
      </w:r>
      <w:r>
        <w:rPr>
          <w:rFonts w:ascii="Times New Roman" w:hAnsi="Times New Roman" w:eastAsia="Times New Roman" w:cs="Times New Roman"/>
          <w:spacing w:val="15"/>
          <w:sz w:val="20"/>
          <w:szCs w:val="20"/>
        </w:rPr>
        <w:t xml:space="preserve">P </w:t>
      </w:r>
      <w:r>
        <w:rPr>
          <w:spacing w:val="15"/>
          <w:sz w:val="20"/>
          <w:szCs w:val="20"/>
        </w:rPr>
        <w:t>的取值</w:t>
      </w:r>
      <w:r>
        <w:rPr>
          <w:spacing w:val="14"/>
          <w:sz w:val="20"/>
          <w:szCs w:val="20"/>
        </w:rPr>
        <w:t>：见投标人须</w:t>
      </w:r>
      <w:r>
        <w:rPr>
          <w:sz w:val="20"/>
          <w:szCs w:val="20"/>
        </w:rPr>
        <w:t xml:space="preserve"> </w:t>
      </w:r>
      <w:r>
        <w:rPr>
          <w:spacing w:val="3"/>
          <w:sz w:val="20"/>
          <w:szCs w:val="20"/>
        </w:rPr>
        <w:t>知前附表。</w:t>
      </w:r>
    </w:p>
    <w:p w14:paraId="02243E29">
      <w:pPr>
        <w:pStyle w:val="2"/>
        <w:spacing w:before="152" w:line="287" w:lineRule="auto"/>
        <w:ind w:firstLine="419"/>
        <w:rPr>
          <w:sz w:val="20"/>
          <w:szCs w:val="20"/>
        </w:rPr>
      </w:pPr>
      <w:r>
        <w:rPr>
          <w:spacing w:val="15"/>
          <w:sz w:val="20"/>
          <w:szCs w:val="20"/>
        </w:rPr>
        <w:t>10.2.5</w:t>
      </w:r>
      <w:r>
        <w:rPr>
          <w:spacing w:val="60"/>
          <w:sz w:val="20"/>
          <w:szCs w:val="20"/>
        </w:rPr>
        <w:t xml:space="preserve"> </w:t>
      </w:r>
      <w:r>
        <w:rPr>
          <w:spacing w:val="15"/>
          <w:sz w:val="20"/>
          <w:szCs w:val="20"/>
        </w:rPr>
        <w:t>第三章评标办法前附表中“满足条件的联合体或者分包企业报价优惠(扣除)系数”</w:t>
      </w:r>
      <w:r>
        <w:rPr>
          <w:sz w:val="20"/>
          <w:szCs w:val="20"/>
        </w:rPr>
        <w:t xml:space="preserve"> </w:t>
      </w:r>
      <w:r>
        <w:rPr>
          <w:rFonts w:ascii="Times New Roman" w:hAnsi="Times New Roman" w:eastAsia="Times New Roman" w:cs="Times New Roman"/>
          <w:spacing w:val="9"/>
          <w:sz w:val="20"/>
          <w:szCs w:val="20"/>
        </w:rPr>
        <w:t>Q</w:t>
      </w:r>
      <w:r>
        <w:rPr>
          <w:spacing w:val="9"/>
          <w:sz w:val="20"/>
          <w:szCs w:val="20"/>
        </w:rPr>
        <w:t>的取值：见投标人须知前附表。</w:t>
      </w:r>
    </w:p>
    <w:p w14:paraId="73986798">
      <w:pPr>
        <w:spacing w:before="146" w:line="222" w:lineRule="auto"/>
        <w:ind w:left="423"/>
        <w:outlineLvl w:val="2"/>
        <w:rPr>
          <w:rFonts w:ascii="黑体" w:hAnsi="黑体" w:eastAsia="黑体" w:cs="黑体"/>
          <w:sz w:val="25"/>
          <w:szCs w:val="25"/>
        </w:rPr>
      </w:pPr>
      <w:bookmarkStart w:id="77" w:name="bookmark64"/>
      <w:bookmarkEnd w:id="77"/>
      <w:r>
        <w:rPr>
          <w:rFonts w:ascii="黑体" w:hAnsi="黑体" w:eastAsia="黑体" w:cs="黑体"/>
          <w:b/>
          <w:bCs/>
          <w:spacing w:val="3"/>
          <w:sz w:val="25"/>
          <w:szCs w:val="25"/>
        </w:rPr>
        <w:t>10.3中标人的投标文件</w:t>
      </w:r>
    </w:p>
    <w:p w14:paraId="5BBDECA6">
      <w:pPr>
        <w:pStyle w:val="2"/>
        <w:spacing w:before="31" w:line="219" w:lineRule="auto"/>
        <w:ind w:left="419"/>
        <w:rPr>
          <w:sz w:val="20"/>
          <w:szCs w:val="20"/>
        </w:rPr>
      </w:pPr>
      <w:r>
        <w:rPr>
          <w:spacing w:val="9"/>
          <w:sz w:val="20"/>
          <w:szCs w:val="20"/>
        </w:rPr>
        <w:t>中标人在签订合同前须向招标人另行提交的纸质投标文件份数：见投标人须知前附表。</w:t>
      </w:r>
    </w:p>
    <w:p w14:paraId="31ADAA47">
      <w:pPr>
        <w:spacing w:before="252" w:line="222" w:lineRule="auto"/>
        <w:ind w:left="423"/>
        <w:outlineLvl w:val="2"/>
        <w:rPr>
          <w:rFonts w:ascii="黑体" w:hAnsi="黑体" w:eastAsia="黑体" w:cs="黑体"/>
          <w:sz w:val="25"/>
          <w:szCs w:val="25"/>
        </w:rPr>
      </w:pPr>
      <w:bookmarkStart w:id="78" w:name="bookmark65"/>
      <w:bookmarkEnd w:id="78"/>
      <w:r>
        <w:rPr>
          <w:rFonts w:ascii="黑体" w:hAnsi="黑体" w:eastAsia="黑体" w:cs="黑体"/>
          <w:b/>
          <w:bCs/>
          <w:spacing w:val="10"/>
          <w:sz w:val="25"/>
          <w:szCs w:val="25"/>
        </w:rPr>
        <w:t>10.4知识产权</w:t>
      </w:r>
    </w:p>
    <w:p w14:paraId="20AD8F1C">
      <w:pPr>
        <w:pStyle w:val="2"/>
        <w:spacing w:before="120" w:line="219" w:lineRule="auto"/>
        <w:ind w:left="419"/>
        <w:rPr>
          <w:sz w:val="20"/>
          <w:szCs w:val="20"/>
        </w:rPr>
      </w:pPr>
      <w:r>
        <w:rPr>
          <w:spacing w:val="8"/>
          <w:sz w:val="20"/>
          <w:szCs w:val="20"/>
        </w:rPr>
        <w:t>有关知识产权的规定：见投标人须知前附表。</w:t>
      </w:r>
    </w:p>
    <w:p w14:paraId="1EA4BDBB">
      <w:pPr>
        <w:spacing w:before="133" w:line="222" w:lineRule="auto"/>
        <w:ind w:left="423"/>
        <w:outlineLvl w:val="2"/>
        <w:rPr>
          <w:rFonts w:ascii="黑体" w:hAnsi="黑体" w:eastAsia="黑体" w:cs="黑体"/>
          <w:sz w:val="25"/>
          <w:szCs w:val="25"/>
        </w:rPr>
      </w:pPr>
      <w:bookmarkStart w:id="79" w:name="bookmark66"/>
      <w:bookmarkEnd w:id="79"/>
      <w:r>
        <w:rPr>
          <w:rFonts w:ascii="黑体" w:hAnsi="黑体" w:eastAsia="黑体" w:cs="黑体"/>
          <w:b/>
          <w:bCs/>
          <w:spacing w:val="10"/>
          <w:sz w:val="25"/>
          <w:szCs w:val="25"/>
        </w:rPr>
        <w:t>10.5同义词语</w:t>
      </w:r>
    </w:p>
    <w:p w14:paraId="103CFCC2">
      <w:pPr>
        <w:pStyle w:val="2"/>
        <w:spacing w:before="149" w:line="219" w:lineRule="auto"/>
        <w:ind w:left="419"/>
        <w:rPr>
          <w:sz w:val="20"/>
          <w:szCs w:val="20"/>
        </w:rPr>
      </w:pPr>
      <w:r>
        <w:rPr>
          <w:spacing w:val="8"/>
          <w:sz w:val="20"/>
          <w:szCs w:val="20"/>
        </w:rPr>
        <w:t>本招标文件的同义词语：见投标人须知前附表。</w:t>
      </w:r>
    </w:p>
    <w:p w14:paraId="32B916C8">
      <w:pPr>
        <w:spacing w:before="113" w:line="222" w:lineRule="auto"/>
        <w:ind w:left="423"/>
        <w:outlineLvl w:val="2"/>
        <w:rPr>
          <w:rFonts w:ascii="黑体" w:hAnsi="黑体" w:eastAsia="黑体" w:cs="黑体"/>
          <w:sz w:val="25"/>
          <w:szCs w:val="25"/>
        </w:rPr>
      </w:pPr>
      <w:bookmarkStart w:id="80" w:name="bookmark67"/>
      <w:bookmarkEnd w:id="80"/>
      <w:r>
        <w:rPr>
          <w:rFonts w:ascii="黑体" w:hAnsi="黑体" w:eastAsia="黑体" w:cs="黑体"/>
          <w:b/>
          <w:bCs/>
          <w:spacing w:val="13"/>
          <w:sz w:val="25"/>
          <w:szCs w:val="25"/>
        </w:rPr>
        <w:t>10.6解释权</w:t>
      </w:r>
    </w:p>
    <w:p w14:paraId="0B3AA7D1">
      <w:pPr>
        <w:pStyle w:val="2"/>
        <w:spacing w:before="149" w:line="219" w:lineRule="auto"/>
        <w:ind w:left="419"/>
        <w:rPr>
          <w:sz w:val="20"/>
          <w:szCs w:val="20"/>
        </w:rPr>
      </w:pPr>
      <w:r>
        <w:rPr>
          <w:spacing w:val="8"/>
          <w:sz w:val="20"/>
          <w:szCs w:val="20"/>
        </w:rPr>
        <w:t>有关招标文件的解释权：见投标人须知前附表。</w:t>
      </w:r>
    </w:p>
    <w:p w14:paraId="03FF7A63">
      <w:pPr>
        <w:spacing w:before="121" w:line="221" w:lineRule="auto"/>
        <w:ind w:left="423"/>
        <w:outlineLvl w:val="2"/>
        <w:rPr>
          <w:rFonts w:ascii="黑体" w:hAnsi="黑体" w:eastAsia="黑体" w:cs="黑体"/>
          <w:sz w:val="25"/>
          <w:szCs w:val="25"/>
        </w:rPr>
      </w:pPr>
      <w:bookmarkStart w:id="81" w:name="bookmark68"/>
      <w:bookmarkEnd w:id="81"/>
      <w:r>
        <w:rPr>
          <w:rFonts w:ascii="黑体" w:hAnsi="黑体" w:eastAsia="黑体" w:cs="黑体"/>
          <w:b/>
          <w:bCs/>
          <w:spacing w:val="2"/>
          <w:sz w:val="25"/>
          <w:szCs w:val="25"/>
        </w:rPr>
        <w:t>10.7交易平台信息服务费</w:t>
      </w:r>
    </w:p>
    <w:p w14:paraId="0EBB28FB">
      <w:pPr>
        <w:pStyle w:val="2"/>
        <w:spacing w:before="33" w:line="219" w:lineRule="auto"/>
        <w:ind w:left="419"/>
        <w:rPr>
          <w:sz w:val="20"/>
          <w:szCs w:val="20"/>
        </w:rPr>
      </w:pPr>
      <w:r>
        <w:rPr>
          <w:spacing w:val="8"/>
          <w:sz w:val="20"/>
          <w:szCs w:val="20"/>
        </w:rPr>
        <w:t>交易平台信息服务费缴费规定：见投标人须知前附表。</w:t>
      </w:r>
    </w:p>
    <w:p w14:paraId="45E42F0B">
      <w:pPr>
        <w:spacing w:before="230" w:line="221" w:lineRule="auto"/>
        <w:ind w:left="423"/>
        <w:outlineLvl w:val="2"/>
        <w:rPr>
          <w:rFonts w:ascii="黑体" w:hAnsi="黑体" w:eastAsia="黑体" w:cs="黑体"/>
          <w:sz w:val="25"/>
          <w:szCs w:val="25"/>
        </w:rPr>
      </w:pPr>
      <w:bookmarkStart w:id="82" w:name="bookmark69"/>
      <w:bookmarkEnd w:id="82"/>
      <w:r>
        <w:rPr>
          <w:rFonts w:ascii="黑体" w:hAnsi="黑体" w:eastAsia="黑体" w:cs="黑体"/>
          <w:b/>
          <w:bCs/>
          <w:spacing w:val="5"/>
          <w:sz w:val="25"/>
          <w:szCs w:val="25"/>
        </w:rPr>
        <w:t>10.8招标代理服务费</w:t>
      </w:r>
    </w:p>
    <w:p w14:paraId="4079FA8C">
      <w:pPr>
        <w:pStyle w:val="2"/>
        <w:spacing w:before="33" w:line="219" w:lineRule="auto"/>
        <w:ind w:left="419"/>
        <w:rPr>
          <w:sz w:val="20"/>
          <w:szCs w:val="20"/>
        </w:rPr>
      </w:pPr>
      <w:r>
        <w:rPr>
          <w:spacing w:val="8"/>
          <w:sz w:val="20"/>
          <w:szCs w:val="20"/>
        </w:rPr>
        <w:t>招标代理服务费收取约定：见投标人须知前附表。</w:t>
      </w:r>
    </w:p>
    <w:p w14:paraId="54EE14E6">
      <w:pPr>
        <w:spacing w:before="231" w:line="222" w:lineRule="auto"/>
        <w:ind w:left="423"/>
        <w:outlineLvl w:val="2"/>
        <w:rPr>
          <w:rFonts w:ascii="黑体" w:hAnsi="黑体" w:eastAsia="黑体" w:cs="黑体"/>
          <w:sz w:val="25"/>
          <w:szCs w:val="25"/>
        </w:rPr>
      </w:pPr>
      <w:bookmarkStart w:id="83" w:name="bookmark70"/>
      <w:bookmarkEnd w:id="83"/>
      <w:r>
        <w:rPr>
          <w:rFonts w:ascii="黑体" w:hAnsi="黑体" w:eastAsia="黑体" w:cs="黑体"/>
          <w:b/>
          <w:bCs/>
          <w:spacing w:val="-3"/>
          <w:sz w:val="25"/>
          <w:szCs w:val="25"/>
        </w:rPr>
        <w:t>10.9政府采购合同融资政策</w:t>
      </w:r>
    </w:p>
    <w:p w14:paraId="21C8DFDF">
      <w:pPr>
        <w:pStyle w:val="2"/>
        <w:spacing w:before="51" w:line="219" w:lineRule="auto"/>
        <w:ind w:left="419"/>
        <w:rPr>
          <w:sz w:val="20"/>
          <w:szCs w:val="20"/>
        </w:rPr>
      </w:pPr>
      <w:r>
        <w:rPr>
          <w:spacing w:val="8"/>
          <w:sz w:val="20"/>
          <w:szCs w:val="20"/>
        </w:rPr>
        <w:t>政府采购合同融资政策：见投标人须知前附表。</w:t>
      </w:r>
    </w:p>
    <w:p w14:paraId="57B98DC3">
      <w:pPr>
        <w:spacing w:before="233" w:line="222" w:lineRule="auto"/>
        <w:ind w:left="423"/>
        <w:outlineLvl w:val="2"/>
        <w:rPr>
          <w:rFonts w:ascii="黑体" w:hAnsi="黑体" w:eastAsia="黑体" w:cs="黑体"/>
          <w:sz w:val="25"/>
          <w:szCs w:val="25"/>
        </w:rPr>
      </w:pPr>
      <w:bookmarkStart w:id="84" w:name="bookmark71"/>
      <w:bookmarkEnd w:id="84"/>
      <w:r>
        <w:rPr>
          <w:rFonts w:ascii="黑体" w:hAnsi="黑体" w:eastAsia="黑体" w:cs="黑体"/>
          <w:b/>
          <w:bCs/>
          <w:sz w:val="25"/>
          <w:szCs w:val="25"/>
        </w:rPr>
        <w:t>10.10招标人补充的其他内容</w:t>
      </w:r>
    </w:p>
    <w:p w14:paraId="67B3D77D">
      <w:pPr>
        <w:pStyle w:val="2"/>
        <w:spacing w:before="149" w:line="219" w:lineRule="auto"/>
        <w:ind w:left="419"/>
        <w:rPr>
          <w:sz w:val="20"/>
          <w:szCs w:val="20"/>
        </w:rPr>
      </w:pPr>
      <w:r>
        <w:rPr>
          <w:spacing w:val="8"/>
          <w:sz w:val="20"/>
          <w:szCs w:val="20"/>
        </w:rPr>
        <w:t>招标人补充的其他内容：见投标人须知前附表。</w:t>
      </w:r>
    </w:p>
    <w:p w14:paraId="3B933554">
      <w:pPr>
        <w:spacing w:line="219" w:lineRule="auto"/>
        <w:rPr>
          <w:sz w:val="20"/>
          <w:szCs w:val="20"/>
        </w:rPr>
        <w:sectPr>
          <w:footerReference r:id="rId31" w:type="default"/>
          <w:pgSz w:w="11910" w:h="16840"/>
          <w:pgMar w:top="1431" w:right="1423" w:bottom="1008" w:left="1460" w:header="0" w:footer="855" w:gutter="0"/>
          <w:cols w:space="720" w:num="1"/>
        </w:sectPr>
      </w:pPr>
    </w:p>
    <w:p w14:paraId="790475B8">
      <w:pPr>
        <w:spacing w:line="351" w:lineRule="auto"/>
        <w:rPr>
          <w:rFonts w:ascii="Arial"/>
          <w:sz w:val="21"/>
        </w:rPr>
      </w:pPr>
    </w:p>
    <w:p w14:paraId="40ECDB9A">
      <w:pPr>
        <w:spacing w:before="91" w:line="222" w:lineRule="auto"/>
        <w:ind w:left="158"/>
        <w:outlineLvl w:val="1"/>
        <w:rPr>
          <w:rFonts w:ascii="黑体" w:hAnsi="黑体" w:eastAsia="黑体" w:cs="黑体"/>
          <w:sz w:val="28"/>
          <w:szCs w:val="28"/>
        </w:rPr>
      </w:pPr>
      <w:bookmarkStart w:id="85" w:name="bookmark231"/>
      <w:bookmarkEnd w:id="85"/>
      <w:bookmarkStart w:id="86" w:name="bookmark72"/>
      <w:bookmarkEnd w:id="86"/>
      <w:r>
        <w:rPr>
          <w:rFonts w:ascii="黑体" w:hAnsi="黑体" w:eastAsia="黑体" w:cs="黑体"/>
          <w:b/>
          <w:bCs/>
          <w:spacing w:val="-3"/>
          <w:sz w:val="28"/>
          <w:szCs w:val="28"/>
        </w:rPr>
        <w:t>附录一：投标人资质条件、能力和信誉</w:t>
      </w:r>
    </w:p>
    <w:p w14:paraId="033DD5EC">
      <w:pPr>
        <w:pStyle w:val="2"/>
        <w:spacing w:before="126" w:line="286" w:lineRule="auto"/>
        <w:ind w:left="135" w:firstLine="10"/>
        <w:rPr>
          <w:sz w:val="22"/>
          <w:szCs w:val="22"/>
        </w:rPr>
      </w:pPr>
      <w:r>
        <w:rPr>
          <w:rFonts w:hint="eastAsia"/>
          <w:color w:val="2020F0"/>
          <w:spacing w:val="6"/>
          <w:sz w:val="21"/>
          <w:szCs w:val="21"/>
          <w:lang w:eastAsia="zh-CN"/>
        </w:rPr>
        <w:t>罗田县落梅河片区供水提升工程项目</w:t>
      </w:r>
      <w:r>
        <w:rPr>
          <w:spacing w:val="6"/>
          <w:sz w:val="21"/>
          <w:szCs w:val="21"/>
        </w:rPr>
        <w:t>(项目名称)</w:t>
      </w:r>
      <w:r>
        <w:rPr>
          <w:rFonts w:hint="eastAsia"/>
          <w:color w:val="2020F0"/>
          <w:spacing w:val="6"/>
          <w:sz w:val="21"/>
          <w:szCs w:val="21"/>
          <w:lang w:eastAsia="zh-CN"/>
        </w:rPr>
        <w:t>罗田县落梅河片区供水提升工程项目</w:t>
      </w:r>
      <w:r>
        <w:rPr>
          <w:spacing w:val="2"/>
          <w:sz w:val="22"/>
          <w:szCs w:val="22"/>
        </w:rPr>
        <w:t>(标段名称)</w:t>
      </w:r>
    </w:p>
    <w:tbl>
      <w:tblPr>
        <w:tblStyle w:val="5"/>
        <w:tblW w:w="873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54"/>
        <w:gridCol w:w="709"/>
        <w:gridCol w:w="1089"/>
        <w:gridCol w:w="4665"/>
        <w:gridCol w:w="729"/>
        <w:gridCol w:w="884"/>
      </w:tblGrid>
      <w:tr w14:paraId="7EFD44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654" w:type="dxa"/>
            <w:vAlign w:val="top"/>
          </w:tcPr>
          <w:p w14:paraId="7BCC48B9">
            <w:pPr>
              <w:pStyle w:val="6"/>
              <w:spacing w:before="173" w:line="212" w:lineRule="auto"/>
              <w:ind w:left="105"/>
            </w:pPr>
            <w:r>
              <w:rPr>
                <w:spacing w:val="-6"/>
              </w:rPr>
              <w:t>项 目</w:t>
            </w:r>
          </w:p>
        </w:tc>
        <w:tc>
          <w:tcPr>
            <w:tcW w:w="7192" w:type="dxa"/>
            <w:gridSpan w:val="4"/>
            <w:vAlign w:val="top"/>
          </w:tcPr>
          <w:p w14:paraId="7F31B157">
            <w:pPr>
              <w:pStyle w:val="6"/>
              <w:spacing w:before="164" w:line="220" w:lineRule="auto"/>
              <w:ind w:left="3380"/>
            </w:pPr>
            <w:r>
              <w:rPr>
                <w:spacing w:val="-3"/>
              </w:rPr>
              <w:t>要求</w:t>
            </w:r>
          </w:p>
        </w:tc>
        <w:tc>
          <w:tcPr>
            <w:tcW w:w="884" w:type="dxa"/>
            <w:vAlign w:val="top"/>
          </w:tcPr>
          <w:p w14:paraId="7F264734">
            <w:pPr>
              <w:pStyle w:val="6"/>
              <w:spacing w:before="164" w:line="220" w:lineRule="auto"/>
              <w:ind w:left="228"/>
            </w:pPr>
            <w:r>
              <w:rPr>
                <w:spacing w:val="5"/>
              </w:rPr>
              <w:t>备注</w:t>
            </w:r>
          </w:p>
        </w:tc>
      </w:tr>
      <w:tr w14:paraId="181F17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9" w:hRule="atLeast"/>
        </w:trPr>
        <w:tc>
          <w:tcPr>
            <w:tcW w:w="654" w:type="dxa"/>
            <w:vAlign w:val="top"/>
          </w:tcPr>
          <w:p w14:paraId="63CCF662">
            <w:pPr>
              <w:pStyle w:val="6"/>
              <w:spacing w:before="298" w:line="343" w:lineRule="auto"/>
              <w:ind w:left="105" w:right="95"/>
            </w:pPr>
            <w:r>
              <w:rPr>
                <w:spacing w:val="11"/>
              </w:rPr>
              <w:t>资质</w:t>
            </w:r>
            <w:r>
              <w:t xml:space="preserve"> </w:t>
            </w:r>
            <w:r>
              <w:rPr>
                <w:spacing w:val="-3"/>
              </w:rPr>
              <w:t>条件</w:t>
            </w:r>
          </w:p>
        </w:tc>
        <w:tc>
          <w:tcPr>
            <w:tcW w:w="7192" w:type="dxa"/>
            <w:gridSpan w:val="4"/>
            <w:vAlign w:val="top"/>
          </w:tcPr>
          <w:p w14:paraId="1D91229D">
            <w:pPr>
              <w:pStyle w:val="6"/>
              <w:spacing w:before="20" w:line="242" w:lineRule="auto"/>
              <w:ind w:right="54"/>
            </w:pPr>
            <w:r>
              <w:rPr>
                <w:spacing w:val="-5"/>
              </w:rPr>
              <w:t>具备主管部门颁发的有效的</w:t>
            </w:r>
            <w:r>
              <w:rPr>
                <w:rFonts w:hint="eastAsia"/>
                <w:spacing w:val="-5"/>
                <w:lang w:eastAsia="zh-CN"/>
              </w:rPr>
              <w:t>市政公用工程施工总承包三级</w:t>
            </w:r>
            <w:r>
              <w:rPr>
                <w:rFonts w:hint="eastAsia"/>
                <w:spacing w:val="-5"/>
              </w:rPr>
              <w:t>及以上资质</w:t>
            </w:r>
            <w:r>
              <w:rPr>
                <w:rFonts w:hint="eastAsia"/>
                <w:spacing w:val="-5"/>
                <w:lang w:val="en-US" w:eastAsia="zh-CN"/>
              </w:rPr>
              <w:t>或</w:t>
            </w:r>
            <w:r>
              <w:rPr>
                <w:rFonts w:hint="eastAsia"/>
                <w:spacing w:val="-5"/>
                <w:lang w:eastAsia="zh-CN"/>
              </w:rPr>
              <w:t>水利水电施工总承包三级及以上资质</w:t>
            </w:r>
            <w:r>
              <w:rPr>
                <w:color w:val="2020F0"/>
              </w:rPr>
              <w:t>，具备有效的安全生产许</w:t>
            </w:r>
            <w:r>
              <w:rPr>
                <w:color w:val="2020F0"/>
                <w:spacing w:val="-1"/>
              </w:rPr>
              <w:t>可证，具备市场监督管</w:t>
            </w:r>
            <w:r>
              <w:t>理部门核发的有效企业法人营业执照。</w:t>
            </w:r>
          </w:p>
        </w:tc>
        <w:tc>
          <w:tcPr>
            <w:tcW w:w="884" w:type="dxa"/>
            <w:vAlign w:val="top"/>
          </w:tcPr>
          <w:p w14:paraId="34CF20F0">
            <w:pPr>
              <w:rPr>
                <w:rFonts w:ascii="Arial"/>
                <w:sz w:val="21"/>
              </w:rPr>
            </w:pPr>
          </w:p>
        </w:tc>
      </w:tr>
      <w:tr w14:paraId="571A13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9" w:hRule="atLeast"/>
        </w:trPr>
        <w:tc>
          <w:tcPr>
            <w:tcW w:w="654" w:type="dxa"/>
            <w:vAlign w:val="top"/>
          </w:tcPr>
          <w:p w14:paraId="6CB36FDD">
            <w:pPr>
              <w:pStyle w:val="6"/>
              <w:spacing w:before="189" w:line="219" w:lineRule="auto"/>
              <w:ind w:left="105"/>
            </w:pPr>
            <w:r>
              <w:rPr>
                <w:spacing w:val="-3"/>
              </w:rPr>
              <w:t>财务</w:t>
            </w:r>
          </w:p>
          <w:p w14:paraId="125BDB08">
            <w:pPr>
              <w:pStyle w:val="6"/>
              <w:spacing w:before="181" w:line="221" w:lineRule="auto"/>
              <w:ind w:left="105"/>
            </w:pPr>
            <w:r>
              <w:rPr>
                <w:spacing w:val="-3"/>
              </w:rPr>
              <w:t>要求</w:t>
            </w:r>
          </w:p>
        </w:tc>
        <w:tc>
          <w:tcPr>
            <w:tcW w:w="7192" w:type="dxa"/>
            <w:gridSpan w:val="4"/>
            <w:vAlign w:val="top"/>
          </w:tcPr>
          <w:p w14:paraId="0885ECA2">
            <w:pPr>
              <w:pStyle w:val="6"/>
              <w:spacing w:before="189" w:line="219" w:lineRule="auto"/>
              <w:ind w:left="191"/>
            </w:pPr>
            <w:r>
              <w:rPr>
                <w:spacing w:val="-1"/>
              </w:rPr>
              <w:t>1.投标人近三年平均利润大于0元。</w:t>
            </w:r>
          </w:p>
          <w:p w14:paraId="23FAEAB9">
            <w:pPr>
              <w:pStyle w:val="6"/>
              <w:spacing w:before="190" w:line="219" w:lineRule="auto"/>
              <w:ind w:left="191"/>
            </w:pPr>
            <w:r>
              <w:t>2.投标人用于投标项目(标段)的流动资金不应少于0万元。</w:t>
            </w:r>
          </w:p>
        </w:tc>
        <w:tc>
          <w:tcPr>
            <w:tcW w:w="884" w:type="dxa"/>
            <w:vAlign w:val="top"/>
          </w:tcPr>
          <w:p w14:paraId="0E530FB7">
            <w:pPr>
              <w:rPr>
                <w:rFonts w:hint="default" w:ascii="Arial" w:eastAsia="宋体"/>
                <w:sz w:val="21"/>
                <w:lang w:val="en-US" w:eastAsia="zh-CN"/>
              </w:rPr>
            </w:pPr>
          </w:p>
        </w:tc>
      </w:tr>
      <w:tr w14:paraId="0D0DA8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9" w:hRule="atLeast"/>
        </w:trPr>
        <w:tc>
          <w:tcPr>
            <w:tcW w:w="654" w:type="dxa"/>
            <w:vAlign w:val="top"/>
          </w:tcPr>
          <w:p w14:paraId="61483CFD">
            <w:pPr>
              <w:pStyle w:val="6"/>
              <w:spacing w:before="171" w:line="220" w:lineRule="auto"/>
              <w:ind w:left="105"/>
            </w:pPr>
            <w:r>
              <w:rPr>
                <w:spacing w:val="-2"/>
              </w:rPr>
              <w:t>业绩</w:t>
            </w:r>
          </w:p>
          <w:p w14:paraId="4D9EB8C0">
            <w:pPr>
              <w:pStyle w:val="6"/>
              <w:spacing w:before="210" w:line="199" w:lineRule="auto"/>
              <w:ind w:left="105"/>
            </w:pPr>
            <w:r>
              <w:rPr>
                <w:spacing w:val="-3"/>
              </w:rPr>
              <w:t>要求</w:t>
            </w:r>
          </w:p>
        </w:tc>
        <w:tc>
          <w:tcPr>
            <w:tcW w:w="7192" w:type="dxa"/>
            <w:gridSpan w:val="4"/>
            <w:vAlign w:val="top"/>
          </w:tcPr>
          <w:p w14:paraId="0319C2A5">
            <w:pPr>
              <w:spacing w:line="350" w:lineRule="auto"/>
              <w:rPr>
                <w:rFonts w:ascii="Arial"/>
                <w:sz w:val="21"/>
              </w:rPr>
            </w:pPr>
          </w:p>
          <w:p w14:paraId="71D37AEA">
            <w:pPr>
              <w:pStyle w:val="6"/>
              <w:spacing w:before="68" w:line="219" w:lineRule="auto"/>
              <w:ind w:left="191"/>
            </w:pPr>
            <w:r>
              <w:t>投标人近五年完成过1项/的业绩。</w:t>
            </w:r>
          </w:p>
        </w:tc>
        <w:tc>
          <w:tcPr>
            <w:tcW w:w="884" w:type="dxa"/>
            <w:vAlign w:val="top"/>
          </w:tcPr>
          <w:p w14:paraId="77A60C64">
            <w:pPr>
              <w:pStyle w:val="6"/>
              <w:spacing w:before="160" w:line="307" w:lineRule="auto"/>
              <w:ind w:left="228" w:right="132" w:hanging="109"/>
            </w:pPr>
            <w:r>
              <w:rPr>
                <w:color w:val="2020F0"/>
                <w:spacing w:val="-3"/>
              </w:rPr>
              <w:t>业绩无要求</w:t>
            </w:r>
          </w:p>
        </w:tc>
      </w:tr>
      <w:tr w14:paraId="1D6FCF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76" w:hRule="atLeast"/>
        </w:trPr>
        <w:tc>
          <w:tcPr>
            <w:tcW w:w="654" w:type="dxa"/>
            <w:vAlign w:val="top"/>
          </w:tcPr>
          <w:p w14:paraId="4E41E84B">
            <w:pPr>
              <w:rPr>
                <w:rFonts w:ascii="Arial"/>
                <w:sz w:val="21"/>
              </w:rPr>
            </w:pPr>
          </w:p>
          <w:p w14:paraId="18F7C3AD">
            <w:pPr>
              <w:rPr>
                <w:rFonts w:ascii="Arial"/>
                <w:sz w:val="21"/>
              </w:rPr>
            </w:pPr>
          </w:p>
          <w:p w14:paraId="5D8F100F">
            <w:pPr>
              <w:rPr>
                <w:rFonts w:ascii="Arial"/>
                <w:sz w:val="21"/>
              </w:rPr>
            </w:pPr>
          </w:p>
          <w:p w14:paraId="0B0640DA">
            <w:pPr>
              <w:rPr>
                <w:rFonts w:ascii="Arial"/>
                <w:sz w:val="21"/>
              </w:rPr>
            </w:pPr>
          </w:p>
          <w:p w14:paraId="3B640E2C">
            <w:pPr>
              <w:rPr>
                <w:rFonts w:ascii="Arial"/>
                <w:sz w:val="21"/>
              </w:rPr>
            </w:pPr>
          </w:p>
          <w:p w14:paraId="66D529C9">
            <w:pPr>
              <w:rPr>
                <w:rFonts w:ascii="Arial"/>
                <w:sz w:val="21"/>
              </w:rPr>
            </w:pPr>
          </w:p>
          <w:p w14:paraId="1519739C">
            <w:pPr>
              <w:rPr>
                <w:rFonts w:ascii="Arial"/>
                <w:sz w:val="21"/>
              </w:rPr>
            </w:pPr>
          </w:p>
          <w:p w14:paraId="4A0C6A71">
            <w:pPr>
              <w:rPr>
                <w:rFonts w:ascii="Arial"/>
                <w:sz w:val="21"/>
              </w:rPr>
            </w:pPr>
          </w:p>
          <w:p w14:paraId="00D5C9E4">
            <w:pPr>
              <w:pStyle w:val="6"/>
              <w:spacing w:before="68" w:line="219" w:lineRule="auto"/>
              <w:ind w:left="105"/>
            </w:pPr>
            <w:r>
              <w:rPr>
                <w:spacing w:val="-3"/>
              </w:rPr>
              <w:t>信誉</w:t>
            </w:r>
          </w:p>
          <w:p w14:paraId="68D40BE0">
            <w:pPr>
              <w:pStyle w:val="6"/>
              <w:spacing w:before="183" w:line="221" w:lineRule="auto"/>
              <w:ind w:left="105"/>
            </w:pPr>
            <w:r>
              <w:rPr>
                <w:spacing w:val="-3"/>
              </w:rPr>
              <w:t>要求</w:t>
            </w:r>
          </w:p>
        </w:tc>
        <w:tc>
          <w:tcPr>
            <w:tcW w:w="7192" w:type="dxa"/>
            <w:gridSpan w:val="4"/>
            <w:vAlign w:val="top"/>
          </w:tcPr>
          <w:p w14:paraId="499454AB">
            <w:pPr>
              <w:pStyle w:val="6"/>
              <w:spacing w:before="170" w:line="219" w:lineRule="auto"/>
              <w:ind w:left="191"/>
            </w:pPr>
            <w:r>
              <w:rPr>
                <w:spacing w:val="6"/>
              </w:rPr>
              <w:t>1.没有被依法暂停或取消投标资格；</w:t>
            </w:r>
          </w:p>
          <w:p w14:paraId="0151BAFA">
            <w:pPr>
              <w:pStyle w:val="6"/>
              <w:spacing w:before="140" w:line="219" w:lineRule="auto"/>
              <w:ind w:left="90"/>
            </w:pPr>
            <w:r>
              <w:rPr>
                <w:spacing w:val="3"/>
              </w:rPr>
              <w:t>2.没有被责令停产停业、暂扣或者吊销许可证、暂扣或者吊销执照；</w:t>
            </w:r>
          </w:p>
          <w:p w14:paraId="654DB340">
            <w:pPr>
              <w:pStyle w:val="6"/>
              <w:spacing w:before="140" w:line="218" w:lineRule="auto"/>
              <w:ind w:left="90"/>
            </w:pPr>
            <w:r>
              <w:rPr>
                <w:spacing w:val="3"/>
              </w:rPr>
              <w:t>3.没有进入清算程序，或被宣告破产，或其他丧失履约能力的情形；</w:t>
            </w:r>
          </w:p>
          <w:p w14:paraId="1E282D9D">
            <w:pPr>
              <w:pStyle w:val="6"/>
              <w:spacing w:before="173" w:line="219" w:lineRule="auto"/>
              <w:ind w:left="191"/>
            </w:pPr>
            <w:r>
              <w:rPr>
                <w:spacing w:val="5"/>
              </w:rPr>
              <w:t>4.在最近三年内没有发生重大工程质量问题；</w:t>
            </w:r>
          </w:p>
          <w:p w14:paraId="75DD48AC">
            <w:pPr>
              <w:pStyle w:val="6"/>
              <w:spacing w:before="114" w:line="293" w:lineRule="auto"/>
              <w:ind w:left="191" w:right="152"/>
            </w:pPr>
            <w:r>
              <w:t>5.在“国家企业信用信息公示系统”(</w:t>
            </w:r>
            <w:r>
              <w:fldChar w:fldCharType="begin"/>
            </w:r>
            <w:r>
              <w:instrText xml:space="preserve"> HYPERLINK "https://www.gsxt.gov.cn" </w:instrText>
            </w:r>
            <w:r>
              <w:fldChar w:fldCharType="separate"/>
            </w:r>
            <w:r>
              <w:t>www.gsxt.gov.cn</w:t>
            </w:r>
            <w:r>
              <w:fldChar w:fldCharType="end"/>
            </w:r>
            <w:r>
              <w:t>)没有被列入严重违</w:t>
            </w:r>
            <w:r>
              <w:rPr>
                <w:spacing w:val="12"/>
              </w:rPr>
              <w:t xml:space="preserve"> </w:t>
            </w:r>
            <w:r>
              <w:rPr>
                <w:spacing w:val="13"/>
              </w:rPr>
              <w:t>法失信企业名单；</w:t>
            </w:r>
          </w:p>
          <w:p w14:paraId="7C7144D5">
            <w:pPr>
              <w:pStyle w:val="6"/>
              <w:spacing w:before="144" w:line="278" w:lineRule="auto"/>
              <w:ind w:left="191"/>
            </w:pPr>
            <w:r>
              <w:rPr>
                <w:spacing w:val="-3"/>
              </w:rPr>
              <w:t>6.在“信用中国”网站(</w:t>
            </w:r>
            <w:r>
              <w:fldChar w:fldCharType="begin"/>
            </w:r>
            <w:r>
              <w:instrText xml:space="preserve"> HYPERLINK "https://www.creditchina.gov.cn" </w:instrText>
            </w:r>
            <w:r>
              <w:fldChar w:fldCharType="separate"/>
            </w:r>
            <w:r>
              <w:rPr>
                <w:spacing w:val="-3"/>
              </w:rPr>
              <w:t>www.creditchina.gov.cn</w:t>
            </w:r>
            <w:r>
              <w:rPr>
                <w:spacing w:val="-3"/>
              </w:rPr>
              <w:fldChar w:fldCharType="end"/>
            </w:r>
            <w:r>
              <w:rPr>
                <w:spacing w:val="-3"/>
              </w:rPr>
              <w:t>)或“</w:t>
            </w:r>
            <w:r>
              <w:rPr>
                <w:spacing w:val="-4"/>
              </w:rPr>
              <w:t>中国执行信息公开网”</w:t>
            </w:r>
            <w:r>
              <w:t xml:space="preserve"> </w:t>
            </w:r>
            <w:r>
              <w:rPr>
                <w:spacing w:val="-1"/>
              </w:rPr>
              <w:t>(</w:t>
            </w:r>
            <w:r>
              <w:fldChar w:fldCharType="begin"/>
            </w:r>
            <w:r>
              <w:instrText xml:space="preserve"> HYPERLINK "http://zxgk.court.gov.cn/shixin/" </w:instrText>
            </w:r>
            <w:r>
              <w:fldChar w:fldCharType="separate"/>
            </w:r>
            <w:r>
              <w:rPr>
                <w:spacing w:val="-1"/>
              </w:rPr>
              <w:t>http://zxgk.court.</w:t>
            </w:r>
            <w:r>
              <w:rPr>
                <w:spacing w:val="-2"/>
              </w:rPr>
              <w:t>gov.cn/shixin/</w:t>
            </w:r>
            <w:r>
              <w:rPr>
                <w:spacing w:val="-2"/>
              </w:rPr>
              <w:fldChar w:fldCharType="end"/>
            </w:r>
            <w:r>
              <w:rPr>
                <w:spacing w:val="-2"/>
              </w:rPr>
              <w:t>)没有被列入失信被执行人名单；</w:t>
            </w:r>
          </w:p>
          <w:p w14:paraId="3051C5BE">
            <w:pPr>
              <w:pStyle w:val="6"/>
              <w:spacing w:before="182" w:line="219" w:lineRule="auto"/>
              <w:jc w:val="right"/>
            </w:pPr>
            <w:r>
              <w:rPr>
                <w:spacing w:val="-2"/>
              </w:rPr>
              <w:t>7.在近三年内投标人或其法定代表人、拟委任的项目经理没有行贿犯罪行为；</w:t>
            </w:r>
          </w:p>
          <w:p w14:paraId="3148D9B2">
            <w:pPr>
              <w:pStyle w:val="6"/>
              <w:spacing w:before="181" w:line="297" w:lineRule="auto"/>
              <w:ind w:left="90" w:right="152" w:firstLine="100"/>
            </w:pPr>
            <w:r>
              <w:t>8.不存在法律法规或投标人须知前附表第1.4.3(19)目规定的不得存在的其</w:t>
            </w:r>
            <w:r>
              <w:rPr>
                <w:spacing w:val="12"/>
              </w:rPr>
              <w:t xml:space="preserve"> </w:t>
            </w:r>
            <w:r>
              <w:rPr>
                <w:spacing w:val="-1"/>
              </w:rPr>
              <w:t>他情形。</w:t>
            </w:r>
          </w:p>
        </w:tc>
        <w:tc>
          <w:tcPr>
            <w:tcW w:w="884" w:type="dxa"/>
            <w:vAlign w:val="top"/>
          </w:tcPr>
          <w:p w14:paraId="4C62DA78">
            <w:pPr>
              <w:rPr>
                <w:rFonts w:ascii="Arial"/>
                <w:sz w:val="21"/>
              </w:rPr>
            </w:pPr>
          </w:p>
        </w:tc>
      </w:tr>
      <w:tr w14:paraId="2FA7CE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654" w:type="dxa"/>
            <w:vAlign w:val="top"/>
          </w:tcPr>
          <w:p w14:paraId="6A5ACC75">
            <w:pPr>
              <w:rPr>
                <w:rFonts w:ascii="Arial"/>
                <w:sz w:val="21"/>
              </w:rPr>
            </w:pPr>
          </w:p>
        </w:tc>
        <w:tc>
          <w:tcPr>
            <w:tcW w:w="1798" w:type="dxa"/>
            <w:gridSpan w:val="2"/>
            <w:vAlign w:val="top"/>
          </w:tcPr>
          <w:p w14:paraId="5EAD3709">
            <w:pPr>
              <w:pStyle w:val="6"/>
              <w:spacing w:before="226" w:line="220" w:lineRule="auto"/>
              <w:ind w:left="680"/>
            </w:pPr>
            <w:r>
              <w:rPr>
                <w:spacing w:val="4"/>
              </w:rPr>
              <w:t>岗位</w:t>
            </w:r>
          </w:p>
        </w:tc>
        <w:tc>
          <w:tcPr>
            <w:tcW w:w="4665" w:type="dxa"/>
            <w:vAlign w:val="top"/>
          </w:tcPr>
          <w:p w14:paraId="4A02D937">
            <w:pPr>
              <w:pStyle w:val="6"/>
              <w:spacing w:before="235" w:line="219" w:lineRule="auto"/>
              <w:ind w:left="1933"/>
            </w:pPr>
            <w:r>
              <w:rPr>
                <w:spacing w:val="2"/>
              </w:rPr>
              <w:t>资格要求</w:t>
            </w:r>
          </w:p>
        </w:tc>
        <w:tc>
          <w:tcPr>
            <w:tcW w:w="729" w:type="dxa"/>
            <w:vAlign w:val="top"/>
          </w:tcPr>
          <w:p w14:paraId="285116CC">
            <w:pPr>
              <w:pStyle w:val="6"/>
              <w:spacing w:before="235" w:line="219" w:lineRule="auto"/>
              <w:ind w:left="147"/>
            </w:pPr>
            <w:r>
              <w:rPr>
                <w:spacing w:val="-3"/>
              </w:rPr>
              <w:t>数量</w:t>
            </w:r>
          </w:p>
        </w:tc>
        <w:tc>
          <w:tcPr>
            <w:tcW w:w="884" w:type="dxa"/>
            <w:vAlign w:val="top"/>
          </w:tcPr>
          <w:p w14:paraId="5608787F">
            <w:pPr>
              <w:rPr>
                <w:rFonts w:ascii="Arial"/>
                <w:sz w:val="21"/>
              </w:rPr>
            </w:pPr>
          </w:p>
        </w:tc>
      </w:tr>
      <w:tr w14:paraId="77FD9F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59" w:hRule="atLeast"/>
        </w:trPr>
        <w:tc>
          <w:tcPr>
            <w:tcW w:w="654" w:type="dxa"/>
            <w:vAlign w:val="top"/>
          </w:tcPr>
          <w:p w14:paraId="2C8B522A">
            <w:pPr>
              <w:pStyle w:val="6"/>
              <w:spacing w:before="205" w:line="335" w:lineRule="auto"/>
              <w:ind w:left="105" w:right="78"/>
              <w:jc w:val="both"/>
            </w:pPr>
            <w:r>
              <w:rPr>
                <w:spacing w:val="-30"/>
              </w:rPr>
              <w:t>项</w:t>
            </w:r>
            <w:r>
              <w:rPr>
                <w:spacing w:val="-6"/>
              </w:rPr>
              <w:t xml:space="preserve"> </w:t>
            </w:r>
            <w:r>
              <w:rPr>
                <w:spacing w:val="-30"/>
              </w:rPr>
              <w:t>目</w:t>
            </w:r>
            <w:r>
              <w:t xml:space="preserve"> </w:t>
            </w:r>
            <w:r>
              <w:rPr>
                <w:spacing w:val="-5"/>
              </w:rPr>
              <w:t>经理</w:t>
            </w:r>
            <w:r>
              <w:t xml:space="preserve"> </w:t>
            </w:r>
            <w:r>
              <w:rPr>
                <w:spacing w:val="4"/>
              </w:rPr>
              <w:t>资格</w:t>
            </w:r>
          </w:p>
        </w:tc>
        <w:tc>
          <w:tcPr>
            <w:tcW w:w="1798" w:type="dxa"/>
            <w:gridSpan w:val="2"/>
            <w:vAlign w:val="top"/>
          </w:tcPr>
          <w:p w14:paraId="45C99E4E">
            <w:pPr>
              <w:spacing w:line="376" w:lineRule="auto"/>
              <w:rPr>
                <w:rFonts w:ascii="Arial"/>
                <w:sz w:val="21"/>
              </w:rPr>
            </w:pPr>
          </w:p>
          <w:p w14:paraId="66C2A687">
            <w:pPr>
              <w:pStyle w:val="6"/>
              <w:spacing w:before="69" w:line="315" w:lineRule="auto"/>
              <w:ind w:left="680" w:right="646"/>
            </w:pPr>
            <w:r>
              <w:rPr>
                <w:spacing w:val="-30"/>
              </w:rPr>
              <w:t>项</w:t>
            </w:r>
            <w:r>
              <w:rPr>
                <w:spacing w:val="-5"/>
              </w:rPr>
              <w:t xml:space="preserve"> </w:t>
            </w:r>
            <w:r>
              <w:rPr>
                <w:spacing w:val="-30"/>
              </w:rPr>
              <w:t>目</w:t>
            </w:r>
            <w:r>
              <w:t xml:space="preserve"> </w:t>
            </w:r>
            <w:r>
              <w:rPr>
                <w:spacing w:val="-3"/>
              </w:rPr>
              <w:t>经理</w:t>
            </w:r>
          </w:p>
        </w:tc>
        <w:tc>
          <w:tcPr>
            <w:tcW w:w="4665" w:type="dxa"/>
            <w:vAlign w:val="top"/>
          </w:tcPr>
          <w:p w14:paraId="4F11C066">
            <w:pPr>
              <w:pStyle w:val="6"/>
              <w:spacing w:before="39" w:line="219" w:lineRule="auto"/>
              <w:ind w:left="132"/>
            </w:pPr>
            <w:r>
              <w:rPr>
                <w:spacing w:val="-4"/>
              </w:rPr>
              <w:t>具备</w:t>
            </w:r>
            <w:r>
              <w:rPr>
                <w:rFonts w:hint="eastAsia"/>
                <w:spacing w:val="-4"/>
              </w:rPr>
              <w:t>拟派的项目经理须具备</w:t>
            </w:r>
            <w:r>
              <w:rPr>
                <w:rFonts w:hint="eastAsia"/>
                <w:spacing w:val="-4"/>
                <w:lang w:val="en-US" w:eastAsia="zh-CN"/>
              </w:rPr>
              <w:t>市政或水利</w:t>
            </w:r>
            <w:r>
              <w:rPr>
                <w:rFonts w:hint="eastAsia"/>
                <w:spacing w:val="-4"/>
              </w:rPr>
              <w:t>专业二级</w:t>
            </w:r>
            <w:r>
              <w:rPr>
                <w:rFonts w:hint="eastAsia"/>
                <w:spacing w:val="-4"/>
                <w:lang w:val="en-US" w:eastAsia="zh-CN"/>
              </w:rPr>
              <w:t>及以上</w:t>
            </w:r>
            <w:r>
              <w:rPr>
                <w:rFonts w:hint="eastAsia"/>
                <w:spacing w:val="-4"/>
              </w:rPr>
              <w:t>注册建造师执业资格</w:t>
            </w:r>
            <w:r>
              <w:rPr>
                <w:color w:val="2030F0"/>
                <w:spacing w:val="-1"/>
              </w:rPr>
              <w:t>和有效的安全生产考核合格证书(B</w:t>
            </w:r>
            <w:r>
              <w:rPr>
                <w:spacing w:val="-1"/>
              </w:rPr>
              <w:t>证),且未担任其他在施建设工程项目的项目经</w:t>
            </w:r>
            <w:r>
              <w:rPr>
                <w:spacing w:val="-2"/>
              </w:rPr>
              <w:t>理。</w:t>
            </w:r>
          </w:p>
        </w:tc>
        <w:tc>
          <w:tcPr>
            <w:tcW w:w="729" w:type="dxa"/>
            <w:vAlign w:val="top"/>
          </w:tcPr>
          <w:p w14:paraId="337BE80C">
            <w:pPr>
              <w:spacing w:line="258" w:lineRule="auto"/>
              <w:rPr>
                <w:rFonts w:ascii="Arial"/>
                <w:sz w:val="21"/>
              </w:rPr>
            </w:pPr>
          </w:p>
          <w:p w14:paraId="4DAD1823">
            <w:pPr>
              <w:spacing w:line="259" w:lineRule="auto"/>
              <w:rPr>
                <w:rFonts w:ascii="Arial"/>
                <w:sz w:val="21"/>
              </w:rPr>
            </w:pPr>
          </w:p>
          <w:p w14:paraId="04E1886B">
            <w:pPr>
              <w:pStyle w:val="6"/>
              <w:spacing w:before="68" w:line="222" w:lineRule="auto"/>
              <w:ind w:left="198"/>
            </w:pPr>
            <w:r>
              <w:rPr>
                <w:spacing w:val="7"/>
              </w:rPr>
              <w:t>1人</w:t>
            </w:r>
          </w:p>
        </w:tc>
        <w:tc>
          <w:tcPr>
            <w:tcW w:w="884" w:type="dxa"/>
            <w:vAlign w:val="top"/>
          </w:tcPr>
          <w:p w14:paraId="514857AC">
            <w:pPr>
              <w:rPr>
                <w:rFonts w:ascii="Arial"/>
                <w:sz w:val="21"/>
              </w:rPr>
            </w:pPr>
          </w:p>
        </w:tc>
      </w:tr>
      <w:tr w14:paraId="0A3F87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94" w:hRule="atLeast"/>
        </w:trPr>
        <w:tc>
          <w:tcPr>
            <w:tcW w:w="654" w:type="dxa"/>
            <w:vMerge w:val="restart"/>
            <w:tcBorders>
              <w:bottom w:val="nil"/>
            </w:tcBorders>
            <w:vAlign w:val="top"/>
          </w:tcPr>
          <w:p w14:paraId="0E642A7E">
            <w:pPr>
              <w:spacing w:line="261" w:lineRule="auto"/>
              <w:rPr>
                <w:rFonts w:ascii="Arial"/>
                <w:sz w:val="21"/>
              </w:rPr>
            </w:pPr>
          </w:p>
          <w:p w14:paraId="701A2CA4">
            <w:pPr>
              <w:spacing w:line="261" w:lineRule="auto"/>
              <w:rPr>
                <w:rFonts w:ascii="Arial"/>
                <w:sz w:val="21"/>
              </w:rPr>
            </w:pPr>
          </w:p>
          <w:p w14:paraId="0C4B2501">
            <w:pPr>
              <w:spacing w:line="262" w:lineRule="auto"/>
              <w:rPr>
                <w:rFonts w:ascii="Arial"/>
                <w:sz w:val="21"/>
              </w:rPr>
            </w:pPr>
          </w:p>
          <w:p w14:paraId="56E82360">
            <w:pPr>
              <w:pStyle w:val="6"/>
              <w:spacing w:before="68" w:line="220" w:lineRule="auto"/>
              <w:ind w:left="105"/>
            </w:pPr>
            <w:r>
              <w:rPr>
                <w:spacing w:val="-3"/>
              </w:rPr>
              <w:t>其他</w:t>
            </w:r>
          </w:p>
          <w:p w14:paraId="2927A9F5">
            <w:pPr>
              <w:pStyle w:val="6"/>
              <w:spacing w:before="190" w:line="221" w:lineRule="auto"/>
              <w:ind w:left="105"/>
            </w:pPr>
            <w:r>
              <w:rPr>
                <w:spacing w:val="-3"/>
              </w:rPr>
              <w:t>要求</w:t>
            </w:r>
          </w:p>
        </w:tc>
        <w:tc>
          <w:tcPr>
            <w:tcW w:w="709" w:type="dxa"/>
            <w:vMerge w:val="restart"/>
            <w:tcBorders>
              <w:bottom w:val="nil"/>
            </w:tcBorders>
            <w:vAlign w:val="top"/>
          </w:tcPr>
          <w:p w14:paraId="1207B253">
            <w:pPr>
              <w:spacing w:line="319" w:lineRule="auto"/>
              <w:rPr>
                <w:rFonts w:ascii="Arial"/>
                <w:sz w:val="21"/>
              </w:rPr>
            </w:pPr>
          </w:p>
          <w:p w14:paraId="44EE8143">
            <w:pPr>
              <w:pStyle w:val="6"/>
              <w:spacing w:before="68" w:line="392" w:lineRule="auto"/>
              <w:ind w:left="130" w:right="107"/>
              <w:jc w:val="both"/>
            </w:pPr>
            <w:r>
              <w:rPr>
                <w:spacing w:val="-30"/>
              </w:rPr>
              <w:t>项</w:t>
            </w:r>
            <w:r>
              <w:rPr>
                <w:spacing w:val="-5"/>
              </w:rPr>
              <w:t xml:space="preserve"> </w:t>
            </w:r>
            <w:r>
              <w:rPr>
                <w:spacing w:val="-30"/>
              </w:rPr>
              <w:t>目</w:t>
            </w:r>
            <w:r>
              <w:t xml:space="preserve"> </w:t>
            </w:r>
            <w:r>
              <w:rPr>
                <w:spacing w:val="3"/>
              </w:rPr>
              <w:t>管理</w:t>
            </w:r>
            <w:r>
              <w:t xml:space="preserve"> </w:t>
            </w:r>
            <w:r>
              <w:rPr>
                <w:spacing w:val="6"/>
              </w:rPr>
              <w:t>机构</w:t>
            </w:r>
            <w:r>
              <w:t xml:space="preserve"> </w:t>
            </w:r>
            <w:r>
              <w:rPr>
                <w:spacing w:val="-3"/>
              </w:rPr>
              <w:t>其他</w:t>
            </w:r>
          </w:p>
        </w:tc>
        <w:tc>
          <w:tcPr>
            <w:tcW w:w="1089" w:type="dxa"/>
            <w:vAlign w:val="center"/>
          </w:tcPr>
          <w:p w14:paraId="42DD08C0">
            <w:pPr>
              <w:pStyle w:val="6"/>
              <w:spacing w:before="69" w:line="284" w:lineRule="auto"/>
              <w:ind w:right="117"/>
              <w:jc w:val="both"/>
            </w:pPr>
            <w:r>
              <w:rPr>
                <w:spacing w:val="2"/>
              </w:rPr>
              <w:t>项目技术</w:t>
            </w:r>
            <w:r>
              <w:t xml:space="preserve"> </w:t>
            </w:r>
            <w:r>
              <w:rPr>
                <w:spacing w:val="3"/>
              </w:rPr>
              <w:t>负责人</w:t>
            </w:r>
          </w:p>
        </w:tc>
        <w:tc>
          <w:tcPr>
            <w:tcW w:w="4665" w:type="dxa"/>
            <w:vAlign w:val="center"/>
          </w:tcPr>
          <w:p w14:paraId="25406010">
            <w:pPr>
              <w:pStyle w:val="6"/>
              <w:spacing w:before="68" w:line="274" w:lineRule="auto"/>
              <w:ind w:right="120"/>
              <w:jc w:val="both"/>
            </w:pPr>
            <w:r>
              <w:rPr>
                <w:color w:val="2020F0"/>
              </w:rPr>
              <w:t>具备</w:t>
            </w:r>
            <w:r>
              <w:rPr>
                <w:rFonts w:hint="eastAsia"/>
                <w:color w:val="2020F0"/>
                <w:lang w:val="en-US" w:eastAsia="zh-CN"/>
              </w:rPr>
              <w:t>相关</w:t>
            </w:r>
            <w:r>
              <w:rPr>
                <w:color w:val="2020F0"/>
              </w:rPr>
              <w:t>专业中级及以上职称，1年以上主管施工技术经验。</w:t>
            </w:r>
          </w:p>
        </w:tc>
        <w:tc>
          <w:tcPr>
            <w:tcW w:w="729" w:type="dxa"/>
            <w:vAlign w:val="top"/>
          </w:tcPr>
          <w:p w14:paraId="40F905C1">
            <w:pPr>
              <w:spacing w:line="478" w:lineRule="auto"/>
              <w:rPr>
                <w:rFonts w:ascii="Arial"/>
                <w:sz w:val="21"/>
              </w:rPr>
            </w:pPr>
          </w:p>
          <w:p w14:paraId="40E349A7">
            <w:pPr>
              <w:pStyle w:val="6"/>
              <w:spacing w:before="69" w:line="222" w:lineRule="auto"/>
              <w:ind w:left="198"/>
            </w:pPr>
            <w:r>
              <w:rPr>
                <w:color w:val="2020F0"/>
                <w:spacing w:val="7"/>
              </w:rPr>
              <w:t>1人</w:t>
            </w:r>
          </w:p>
        </w:tc>
        <w:tc>
          <w:tcPr>
            <w:tcW w:w="884" w:type="dxa"/>
            <w:vAlign w:val="top"/>
          </w:tcPr>
          <w:p w14:paraId="25B0B117">
            <w:pPr>
              <w:rPr>
                <w:rFonts w:ascii="Arial"/>
                <w:sz w:val="21"/>
              </w:rPr>
            </w:pPr>
          </w:p>
        </w:tc>
      </w:tr>
      <w:tr w14:paraId="3E06A1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9" w:hRule="atLeast"/>
        </w:trPr>
        <w:tc>
          <w:tcPr>
            <w:tcW w:w="654" w:type="dxa"/>
            <w:vMerge w:val="continue"/>
            <w:tcBorders>
              <w:top w:val="nil"/>
              <w:bottom w:val="nil"/>
            </w:tcBorders>
            <w:vAlign w:val="top"/>
          </w:tcPr>
          <w:p w14:paraId="335A9752">
            <w:pPr>
              <w:rPr>
                <w:rFonts w:ascii="Arial"/>
                <w:sz w:val="21"/>
              </w:rPr>
            </w:pPr>
          </w:p>
        </w:tc>
        <w:tc>
          <w:tcPr>
            <w:tcW w:w="709" w:type="dxa"/>
            <w:vMerge w:val="continue"/>
            <w:tcBorders>
              <w:top w:val="nil"/>
              <w:bottom w:val="nil"/>
            </w:tcBorders>
            <w:vAlign w:val="top"/>
          </w:tcPr>
          <w:p w14:paraId="220BFF43">
            <w:pPr>
              <w:rPr>
                <w:rFonts w:ascii="Arial"/>
                <w:sz w:val="21"/>
              </w:rPr>
            </w:pPr>
          </w:p>
        </w:tc>
        <w:tc>
          <w:tcPr>
            <w:tcW w:w="1089" w:type="dxa"/>
            <w:vAlign w:val="top"/>
          </w:tcPr>
          <w:p w14:paraId="7236D40C">
            <w:pPr>
              <w:pStyle w:val="6"/>
              <w:spacing w:before="117" w:line="219" w:lineRule="auto"/>
              <w:ind w:left="112"/>
            </w:pPr>
            <w:r>
              <w:rPr>
                <w:spacing w:val="-2"/>
              </w:rPr>
              <w:t>施工管理</w:t>
            </w:r>
          </w:p>
        </w:tc>
        <w:tc>
          <w:tcPr>
            <w:tcW w:w="4665" w:type="dxa"/>
            <w:vAlign w:val="top"/>
          </w:tcPr>
          <w:p w14:paraId="723DBCCE">
            <w:pPr>
              <w:pStyle w:val="6"/>
              <w:spacing w:before="116" w:line="219" w:lineRule="auto"/>
              <w:ind w:left="113"/>
            </w:pPr>
            <w:r>
              <w:rPr>
                <w:color w:val="2020F0"/>
                <w:spacing w:val="-1"/>
              </w:rPr>
              <w:t>持有相关专业施工员岗位培训考核合格证书。</w:t>
            </w:r>
          </w:p>
        </w:tc>
        <w:tc>
          <w:tcPr>
            <w:tcW w:w="729" w:type="dxa"/>
            <w:vAlign w:val="top"/>
          </w:tcPr>
          <w:p w14:paraId="482A1A7C">
            <w:pPr>
              <w:pStyle w:val="6"/>
              <w:spacing w:before="190" w:line="201" w:lineRule="auto"/>
              <w:ind w:left="198"/>
            </w:pPr>
            <w:r>
              <w:rPr>
                <w:color w:val="3030E0"/>
                <w:spacing w:val="7"/>
              </w:rPr>
              <w:t>1人</w:t>
            </w:r>
          </w:p>
        </w:tc>
        <w:tc>
          <w:tcPr>
            <w:tcW w:w="884" w:type="dxa"/>
            <w:vAlign w:val="top"/>
          </w:tcPr>
          <w:p w14:paraId="60321939">
            <w:pPr>
              <w:rPr>
                <w:rFonts w:ascii="Arial"/>
                <w:sz w:val="21"/>
              </w:rPr>
            </w:pPr>
          </w:p>
        </w:tc>
      </w:tr>
      <w:tr w14:paraId="48FB44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5" w:hRule="atLeast"/>
        </w:trPr>
        <w:tc>
          <w:tcPr>
            <w:tcW w:w="654" w:type="dxa"/>
            <w:vMerge w:val="continue"/>
            <w:tcBorders>
              <w:top w:val="nil"/>
            </w:tcBorders>
            <w:vAlign w:val="top"/>
          </w:tcPr>
          <w:p w14:paraId="17F0817D">
            <w:pPr>
              <w:rPr>
                <w:rFonts w:ascii="Arial"/>
                <w:sz w:val="21"/>
              </w:rPr>
            </w:pPr>
          </w:p>
        </w:tc>
        <w:tc>
          <w:tcPr>
            <w:tcW w:w="709" w:type="dxa"/>
            <w:vMerge w:val="continue"/>
            <w:tcBorders>
              <w:top w:val="nil"/>
            </w:tcBorders>
            <w:vAlign w:val="top"/>
          </w:tcPr>
          <w:p w14:paraId="74D91882">
            <w:pPr>
              <w:rPr>
                <w:rFonts w:ascii="Arial"/>
                <w:sz w:val="21"/>
              </w:rPr>
            </w:pPr>
          </w:p>
        </w:tc>
        <w:tc>
          <w:tcPr>
            <w:tcW w:w="1089" w:type="dxa"/>
            <w:vAlign w:val="top"/>
          </w:tcPr>
          <w:p w14:paraId="33C45CFD">
            <w:pPr>
              <w:pStyle w:val="6"/>
              <w:spacing w:before="208" w:line="208" w:lineRule="auto"/>
              <w:ind w:left="112"/>
            </w:pPr>
            <w:r>
              <w:rPr>
                <w:spacing w:val="-2"/>
              </w:rPr>
              <w:t>质量管理</w:t>
            </w:r>
          </w:p>
        </w:tc>
        <w:tc>
          <w:tcPr>
            <w:tcW w:w="4665" w:type="dxa"/>
            <w:vAlign w:val="top"/>
          </w:tcPr>
          <w:p w14:paraId="5F391133">
            <w:pPr>
              <w:pStyle w:val="6"/>
              <w:spacing w:before="177" w:line="219" w:lineRule="auto"/>
              <w:ind w:left="123"/>
            </w:pPr>
            <w:r>
              <w:rPr>
                <w:color w:val="2020F0"/>
                <w:spacing w:val="-1"/>
              </w:rPr>
              <w:t>持有相关专业质量员岗位培训考核合格证书。</w:t>
            </w:r>
          </w:p>
        </w:tc>
        <w:tc>
          <w:tcPr>
            <w:tcW w:w="729" w:type="dxa"/>
            <w:vAlign w:val="top"/>
          </w:tcPr>
          <w:p w14:paraId="0E671986">
            <w:pPr>
              <w:pStyle w:val="6"/>
              <w:spacing w:before="211" w:line="205" w:lineRule="auto"/>
              <w:ind w:left="198"/>
            </w:pPr>
            <w:r>
              <w:rPr>
                <w:color w:val="3030D0"/>
                <w:spacing w:val="7"/>
              </w:rPr>
              <w:t>1人</w:t>
            </w:r>
          </w:p>
        </w:tc>
        <w:tc>
          <w:tcPr>
            <w:tcW w:w="884" w:type="dxa"/>
            <w:vAlign w:val="top"/>
          </w:tcPr>
          <w:p w14:paraId="3497CA24">
            <w:pPr>
              <w:rPr>
                <w:rFonts w:ascii="Arial"/>
                <w:sz w:val="21"/>
              </w:rPr>
            </w:pPr>
          </w:p>
        </w:tc>
      </w:tr>
    </w:tbl>
    <w:p w14:paraId="2B8DA36D">
      <w:pPr>
        <w:rPr>
          <w:rFonts w:ascii="Arial"/>
          <w:sz w:val="21"/>
        </w:rPr>
      </w:pPr>
    </w:p>
    <w:p w14:paraId="0F518AF4">
      <w:pPr>
        <w:rPr>
          <w:rFonts w:ascii="Arial" w:hAnsi="Arial" w:eastAsia="Arial" w:cs="Arial"/>
          <w:sz w:val="21"/>
          <w:szCs w:val="21"/>
        </w:rPr>
        <w:sectPr>
          <w:footerReference r:id="rId32" w:type="default"/>
          <w:pgSz w:w="11910" w:h="16840"/>
          <w:pgMar w:top="1431" w:right="1559" w:bottom="1001" w:left="1334" w:header="0" w:footer="857" w:gutter="0"/>
          <w:cols w:space="720" w:num="1"/>
        </w:sectPr>
      </w:pPr>
    </w:p>
    <w:p w14:paraId="1D524092">
      <w:pPr>
        <w:spacing w:before="12"/>
      </w:pPr>
    </w:p>
    <w:tbl>
      <w:tblPr>
        <w:tblStyle w:val="5"/>
        <w:tblW w:w="873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54"/>
        <w:gridCol w:w="719"/>
        <w:gridCol w:w="1069"/>
        <w:gridCol w:w="4675"/>
        <w:gridCol w:w="729"/>
        <w:gridCol w:w="884"/>
      </w:tblGrid>
      <w:tr w14:paraId="793CDF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4" w:hRule="atLeast"/>
        </w:trPr>
        <w:tc>
          <w:tcPr>
            <w:tcW w:w="654" w:type="dxa"/>
            <w:vMerge w:val="restart"/>
            <w:tcBorders>
              <w:bottom w:val="nil"/>
            </w:tcBorders>
            <w:vAlign w:val="top"/>
          </w:tcPr>
          <w:p w14:paraId="6548AC5B">
            <w:pPr>
              <w:rPr>
                <w:rFonts w:ascii="Arial"/>
                <w:sz w:val="21"/>
              </w:rPr>
            </w:pPr>
          </w:p>
        </w:tc>
        <w:tc>
          <w:tcPr>
            <w:tcW w:w="719" w:type="dxa"/>
            <w:vMerge w:val="restart"/>
            <w:tcBorders>
              <w:bottom w:val="nil"/>
            </w:tcBorders>
            <w:vAlign w:val="top"/>
          </w:tcPr>
          <w:p w14:paraId="50AF3321">
            <w:pPr>
              <w:pStyle w:val="6"/>
              <w:spacing w:before="176" w:line="222" w:lineRule="auto"/>
              <w:ind w:left="140"/>
            </w:pPr>
            <w:r>
              <w:rPr>
                <w:spacing w:val="5"/>
              </w:rPr>
              <w:t>主要</w:t>
            </w:r>
          </w:p>
          <w:p w14:paraId="0E895151">
            <w:pPr>
              <w:pStyle w:val="6"/>
              <w:spacing w:before="175" w:line="221" w:lineRule="auto"/>
              <w:ind w:left="140"/>
            </w:pPr>
            <w:r>
              <w:rPr>
                <w:spacing w:val="14"/>
              </w:rPr>
              <w:t>人员</w:t>
            </w:r>
          </w:p>
        </w:tc>
        <w:tc>
          <w:tcPr>
            <w:tcW w:w="1069" w:type="dxa"/>
            <w:vAlign w:val="top"/>
          </w:tcPr>
          <w:p w14:paraId="73D94DF5">
            <w:pPr>
              <w:pStyle w:val="6"/>
              <w:spacing w:before="182" w:line="212" w:lineRule="auto"/>
              <w:ind w:left="121"/>
            </w:pPr>
            <w:r>
              <w:rPr>
                <w:spacing w:val="-3"/>
              </w:rPr>
              <w:t>安全管理</w:t>
            </w:r>
          </w:p>
        </w:tc>
        <w:tc>
          <w:tcPr>
            <w:tcW w:w="4675" w:type="dxa"/>
            <w:vAlign w:val="top"/>
          </w:tcPr>
          <w:p w14:paraId="59A03666">
            <w:pPr>
              <w:pStyle w:val="6"/>
              <w:spacing w:before="112" w:line="219" w:lineRule="auto"/>
              <w:ind w:left="113"/>
            </w:pPr>
            <w:r>
              <w:rPr>
                <w:color w:val="2020F0"/>
                <w:spacing w:val="-1"/>
              </w:rPr>
              <w:t>持有有效的安全生产考核合格证书(C证)。</w:t>
            </w:r>
          </w:p>
        </w:tc>
        <w:tc>
          <w:tcPr>
            <w:tcW w:w="729" w:type="dxa"/>
            <w:vAlign w:val="top"/>
          </w:tcPr>
          <w:p w14:paraId="54F99E21">
            <w:pPr>
              <w:pStyle w:val="6"/>
              <w:spacing w:before="177" w:line="217" w:lineRule="auto"/>
              <w:ind w:left="177"/>
            </w:pPr>
            <w:r>
              <w:rPr>
                <w:color w:val="3030E0"/>
                <w:spacing w:val="2"/>
              </w:rPr>
              <w:t>1人</w:t>
            </w:r>
          </w:p>
        </w:tc>
        <w:tc>
          <w:tcPr>
            <w:tcW w:w="884" w:type="dxa"/>
            <w:vAlign w:val="top"/>
          </w:tcPr>
          <w:p w14:paraId="05790F46">
            <w:pPr>
              <w:rPr>
                <w:rFonts w:ascii="Arial"/>
                <w:sz w:val="21"/>
              </w:rPr>
            </w:pPr>
          </w:p>
        </w:tc>
      </w:tr>
      <w:tr w14:paraId="50533C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654" w:type="dxa"/>
            <w:vMerge w:val="continue"/>
            <w:tcBorders>
              <w:top w:val="nil"/>
              <w:bottom w:val="nil"/>
            </w:tcBorders>
            <w:vAlign w:val="top"/>
          </w:tcPr>
          <w:p w14:paraId="2A704DA5">
            <w:pPr>
              <w:rPr>
                <w:rFonts w:ascii="Arial"/>
                <w:sz w:val="21"/>
              </w:rPr>
            </w:pPr>
          </w:p>
        </w:tc>
        <w:tc>
          <w:tcPr>
            <w:tcW w:w="719" w:type="dxa"/>
            <w:vMerge w:val="continue"/>
            <w:tcBorders>
              <w:top w:val="nil"/>
              <w:bottom w:val="nil"/>
            </w:tcBorders>
            <w:vAlign w:val="top"/>
          </w:tcPr>
          <w:p w14:paraId="639E1A67">
            <w:pPr>
              <w:rPr>
                <w:rFonts w:ascii="Arial"/>
                <w:sz w:val="21"/>
              </w:rPr>
            </w:pPr>
          </w:p>
        </w:tc>
        <w:tc>
          <w:tcPr>
            <w:tcW w:w="1069" w:type="dxa"/>
            <w:vAlign w:val="top"/>
          </w:tcPr>
          <w:p w14:paraId="05FAC0F2">
            <w:pPr>
              <w:rPr>
                <w:rFonts w:ascii="Arial"/>
                <w:sz w:val="21"/>
              </w:rPr>
            </w:pPr>
          </w:p>
        </w:tc>
        <w:tc>
          <w:tcPr>
            <w:tcW w:w="4675" w:type="dxa"/>
            <w:vAlign w:val="top"/>
          </w:tcPr>
          <w:p w14:paraId="64E47358">
            <w:pPr>
              <w:rPr>
                <w:rFonts w:ascii="Arial"/>
                <w:sz w:val="21"/>
              </w:rPr>
            </w:pPr>
          </w:p>
        </w:tc>
        <w:tc>
          <w:tcPr>
            <w:tcW w:w="729" w:type="dxa"/>
            <w:vAlign w:val="top"/>
          </w:tcPr>
          <w:p w14:paraId="0A98A10B">
            <w:pPr>
              <w:rPr>
                <w:rFonts w:ascii="Arial"/>
                <w:sz w:val="21"/>
              </w:rPr>
            </w:pPr>
          </w:p>
        </w:tc>
        <w:tc>
          <w:tcPr>
            <w:tcW w:w="884" w:type="dxa"/>
            <w:vAlign w:val="top"/>
          </w:tcPr>
          <w:p w14:paraId="3856DE5A">
            <w:pPr>
              <w:rPr>
                <w:rFonts w:ascii="Arial"/>
                <w:sz w:val="21"/>
              </w:rPr>
            </w:pPr>
          </w:p>
        </w:tc>
      </w:tr>
      <w:tr w14:paraId="2F8430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654" w:type="dxa"/>
            <w:vMerge w:val="continue"/>
            <w:tcBorders>
              <w:top w:val="nil"/>
              <w:bottom w:val="nil"/>
            </w:tcBorders>
            <w:vAlign w:val="top"/>
          </w:tcPr>
          <w:p w14:paraId="03962997">
            <w:pPr>
              <w:rPr>
                <w:rFonts w:ascii="Arial"/>
                <w:sz w:val="21"/>
              </w:rPr>
            </w:pPr>
          </w:p>
        </w:tc>
        <w:tc>
          <w:tcPr>
            <w:tcW w:w="719" w:type="dxa"/>
            <w:vMerge w:val="continue"/>
            <w:tcBorders>
              <w:top w:val="nil"/>
              <w:bottom w:val="nil"/>
            </w:tcBorders>
            <w:vAlign w:val="top"/>
          </w:tcPr>
          <w:p w14:paraId="6CC67534">
            <w:pPr>
              <w:rPr>
                <w:rFonts w:ascii="Arial"/>
                <w:sz w:val="21"/>
              </w:rPr>
            </w:pPr>
          </w:p>
        </w:tc>
        <w:tc>
          <w:tcPr>
            <w:tcW w:w="1069" w:type="dxa"/>
            <w:vAlign w:val="top"/>
          </w:tcPr>
          <w:p w14:paraId="74DFF3A0">
            <w:pPr>
              <w:rPr>
                <w:rFonts w:ascii="Arial"/>
                <w:sz w:val="21"/>
              </w:rPr>
            </w:pPr>
          </w:p>
        </w:tc>
        <w:tc>
          <w:tcPr>
            <w:tcW w:w="4675" w:type="dxa"/>
            <w:vAlign w:val="top"/>
          </w:tcPr>
          <w:p w14:paraId="1469CF6D">
            <w:pPr>
              <w:rPr>
                <w:rFonts w:ascii="Arial"/>
                <w:sz w:val="21"/>
              </w:rPr>
            </w:pPr>
          </w:p>
        </w:tc>
        <w:tc>
          <w:tcPr>
            <w:tcW w:w="729" w:type="dxa"/>
            <w:vAlign w:val="top"/>
          </w:tcPr>
          <w:p w14:paraId="7AAB1026">
            <w:pPr>
              <w:rPr>
                <w:rFonts w:ascii="Arial"/>
                <w:sz w:val="21"/>
              </w:rPr>
            </w:pPr>
          </w:p>
        </w:tc>
        <w:tc>
          <w:tcPr>
            <w:tcW w:w="884" w:type="dxa"/>
            <w:vAlign w:val="top"/>
          </w:tcPr>
          <w:p w14:paraId="52038FA4">
            <w:pPr>
              <w:rPr>
                <w:rFonts w:ascii="Arial"/>
                <w:sz w:val="21"/>
              </w:rPr>
            </w:pPr>
          </w:p>
        </w:tc>
      </w:tr>
      <w:tr w14:paraId="1CBEE7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654" w:type="dxa"/>
            <w:vMerge w:val="continue"/>
            <w:tcBorders>
              <w:top w:val="nil"/>
              <w:bottom w:val="nil"/>
            </w:tcBorders>
            <w:vAlign w:val="top"/>
          </w:tcPr>
          <w:p w14:paraId="21B03808">
            <w:pPr>
              <w:rPr>
                <w:rFonts w:ascii="Arial"/>
                <w:sz w:val="21"/>
              </w:rPr>
            </w:pPr>
          </w:p>
        </w:tc>
        <w:tc>
          <w:tcPr>
            <w:tcW w:w="719" w:type="dxa"/>
            <w:vMerge w:val="continue"/>
            <w:tcBorders>
              <w:top w:val="nil"/>
            </w:tcBorders>
            <w:vAlign w:val="top"/>
          </w:tcPr>
          <w:p w14:paraId="0220CE2C">
            <w:pPr>
              <w:rPr>
                <w:rFonts w:ascii="Arial"/>
                <w:sz w:val="21"/>
              </w:rPr>
            </w:pPr>
          </w:p>
        </w:tc>
        <w:tc>
          <w:tcPr>
            <w:tcW w:w="1069" w:type="dxa"/>
            <w:vAlign w:val="top"/>
          </w:tcPr>
          <w:p w14:paraId="76EC2716">
            <w:pPr>
              <w:rPr>
                <w:rFonts w:ascii="Arial"/>
                <w:sz w:val="21"/>
              </w:rPr>
            </w:pPr>
          </w:p>
        </w:tc>
        <w:tc>
          <w:tcPr>
            <w:tcW w:w="4675" w:type="dxa"/>
            <w:vAlign w:val="top"/>
          </w:tcPr>
          <w:p w14:paraId="5F984327">
            <w:pPr>
              <w:rPr>
                <w:rFonts w:ascii="Arial"/>
                <w:sz w:val="21"/>
              </w:rPr>
            </w:pPr>
          </w:p>
        </w:tc>
        <w:tc>
          <w:tcPr>
            <w:tcW w:w="729" w:type="dxa"/>
            <w:vAlign w:val="top"/>
          </w:tcPr>
          <w:p w14:paraId="686EF2F1">
            <w:pPr>
              <w:rPr>
                <w:rFonts w:ascii="Arial"/>
                <w:sz w:val="21"/>
              </w:rPr>
            </w:pPr>
          </w:p>
        </w:tc>
        <w:tc>
          <w:tcPr>
            <w:tcW w:w="884" w:type="dxa"/>
            <w:vAlign w:val="top"/>
          </w:tcPr>
          <w:p w14:paraId="548D9EEB">
            <w:pPr>
              <w:rPr>
                <w:rFonts w:ascii="Arial"/>
                <w:sz w:val="21"/>
              </w:rPr>
            </w:pPr>
          </w:p>
        </w:tc>
      </w:tr>
      <w:tr w14:paraId="6AC625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9" w:hRule="atLeast"/>
        </w:trPr>
        <w:tc>
          <w:tcPr>
            <w:tcW w:w="654" w:type="dxa"/>
            <w:vMerge w:val="continue"/>
            <w:tcBorders>
              <w:top w:val="nil"/>
              <w:bottom w:val="nil"/>
            </w:tcBorders>
            <w:vAlign w:val="top"/>
          </w:tcPr>
          <w:p w14:paraId="3B92883C">
            <w:pPr>
              <w:rPr>
                <w:rFonts w:ascii="Arial"/>
                <w:sz w:val="21"/>
              </w:rPr>
            </w:pPr>
          </w:p>
        </w:tc>
        <w:tc>
          <w:tcPr>
            <w:tcW w:w="1788" w:type="dxa"/>
            <w:gridSpan w:val="2"/>
            <w:vAlign w:val="top"/>
          </w:tcPr>
          <w:p w14:paraId="118A05C3">
            <w:pPr>
              <w:pStyle w:val="6"/>
              <w:spacing w:before="249" w:line="286" w:lineRule="auto"/>
              <w:ind w:left="460" w:right="253" w:hanging="209"/>
            </w:pPr>
            <w:r>
              <w:rPr>
                <w:spacing w:val="2"/>
              </w:rPr>
              <w:t>项目管理机构</w:t>
            </w:r>
            <w:r>
              <w:t xml:space="preserve"> </w:t>
            </w:r>
            <w:r>
              <w:rPr>
                <w:spacing w:val="7"/>
              </w:rPr>
              <w:t>主要人员</w:t>
            </w:r>
          </w:p>
        </w:tc>
        <w:tc>
          <w:tcPr>
            <w:tcW w:w="5404" w:type="dxa"/>
            <w:gridSpan w:val="2"/>
            <w:vAlign w:val="top"/>
          </w:tcPr>
          <w:p w14:paraId="26078036">
            <w:pPr>
              <w:pStyle w:val="6"/>
              <w:spacing w:before="99" w:line="219" w:lineRule="auto"/>
              <w:ind w:left="132"/>
            </w:pPr>
            <w:r>
              <w:rPr>
                <w:color w:val="2020F0"/>
                <w:spacing w:val="-1"/>
              </w:rPr>
              <w:t>1.项目管理机构主要人员不得本项目中相互兼职。</w:t>
            </w:r>
          </w:p>
          <w:p w14:paraId="5AA4AE5D">
            <w:pPr>
              <w:pStyle w:val="6"/>
              <w:spacing w:before="71" w:line="219" w:lineRule="auto"/>
              <w:ind w:left="93"/>
            </w:pPr>
            <w:r>
              <w:rPr>
                <w:color w:val="2020F0"/>
                <w:spacing w:val="-1"/>
              </w:rPr>
              <w:t>2.均应当在投标人处注册执业或岗位登记，且社会保险</w:t>
            </w:r>
          </w:p>
          <w:p w14:paraId="1DC44BD0">
            <w:pPr>
              <w:pStyle w:val="6"/>
              <w:spacing w:before="72" w:line="183" w:lineRule="auto"/>
              <w:ind w:left="132"/>
            </w:pPr>
            <w:r>
              <w:rPr>
                <w:color w:val="3020F0"/>
                <w:spacing w:val="-1"/>
              </w:rPr>
              <w:t>缴费单位应是投标人。</w:t>
            </w:r>
          </w:p>
        </w:tc>
        <w:tc>
          <w:tcPr>
            <w:tcW w:w="884" w:type="dxa"/>
            <w:vAlign w:val="top"/>
          </w:tcPr>
          <w:p w14:paraId="35A5617F">
            <w:pPr>
              <w:rPr>
                <w:rFonts w:ascii="Arial"/>
                <w:sz w:val="21"/>
              </w:rPr>
            </w:pPr>
          </w:p>
        </w:tc>
      </w:tr>
      <w:tr w14:paraId="65DF87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9" w:hRule="atLeast"/>
        </w:trPr>
        <w:tc>
          <w:tcPr>
            <w:tcW w:w="654" w:type="dxa"/>
            <w:vMerge w:val="continue"/>
            <w:tcBorders>
              <w:top w:val="nil"/>
              <w:bottom w:val="nil"/>
            </w:tcBorders>
            <w:vAlign w:val="top"/>
          </w:tcPr>
          <w:p w14:paraId="7C27AEDE">
            <w:pPr>
              <w:rPr>
                <w:rFonts w:ascii="Arial"/>
                <w:sz w:val="21"/>
              </w:rPr>
            </w:pPr>
          </w:p>
        </w:tc>
        <w:tc>
          <w:tcPr>
            <w:tcW w:w="1788" w:type="dxa"/>
            <w:gridSpan w:val="2"/>
            <w:vAlign w:val="top"/>
          </w:tcPr>
          <w:p w14:paraId="70AB1F28">
            <w:pPr>
              <w:pStyle w:val="6"/>
              <w:spacing w:before="90" w:line="219" w:lineRule="auto"/>
              <w:ind w:left="360"/>
            </w:pPr>
            <w:r>
              <w:rPr>
                <w:spacing w:val="-2"/>
              </w:rPr>
              <w:t>主要施工机</w:t>
            </w:r>
          </w:p>
          <w:p w14:paraId="0F508FEE">
            <w:pPr>
              <w:pStyle w:val="6"/>
              <w:spacing w:before="81" w:line="183" w:lineRule="auto"/>
              <w:ind w:left="360"/>
            </w:pPr>
            <w:r>
              <w:rPr>
                <w:spacing w:val="-2"/>
              </w:rPr>
              <w:t>械设备要求</w:t>
            </w:r>
          </w:p>
        </w:tc>
        <w:tc>
          <w:tcPr>
            <w:tcW w:w="5404" w:type="dxa"/>
            <w:gridSpan w:val="2"/>
            <w:vAlign w:val="top"/>
          </w:tcPr>
          <w:p w14:paraId="63190456">
            <w:pPr>
              <w:rPr>
                <w:rFonts w:ascii="Arial"/>
                <w:sz w:val="21"/>
              </w:rPr>
            </w:pPr>
          </w:p>
        </w:tc>
        <w:tc>
          <w:tcPr>
            <w:tcW w:w="884" w:type="dxa"/>
            <w:vAlign w:val="top"/>
          </w:tcPr>
          <w:p w14:paraId="5FC18533">
            <w:pPr>
              <w:rPr>
                <w:rFonts w:ascii="Arial"/>
                <w:sz w:val="21"/>
              </w:rPr>
            </w:pPr>
          </w:p>
        </w:tc>
      </w:tr>
      <w:tr w14:paraId="09AF5B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9" w:hRule="atLeast"/>
        </w:trPr>
        <w:tc>
          <w:tcPr>
            <w:tcW w:w="654" w:type="dxa"/>
            <w:vMerge w:val="continue"/>
            <w:tcBorders>
              <w:top w:val="nil"/>
              <w:bottom w:val="nil"/>
            </w:tcBorders>
            <w:vAlign w:val="top"/>
          </w:tcPr>
          <w:p w14:paraId="744D9B70">
            <w:pPr>
              <w:rPr>
                <w:rFonts w:ascii="Arial"/>
                <w:sz w:val="21"/>
              </w:rPr>
            </w:pPr>
          </w:p>
        </w:tc>
        <w:tc>
          <w:tcPr>
            <w:tcW w:w="1788" w:type="dxa"/>
            <w:gridSpan w:val="2"/>
            <w:vAlign w:val="top"/>
          </w:tcPr>
          <w:p w14:paraId="367FCE49">
            <w:pPr>
              <w:pStyle w:val="6"/>
              <w:spacing w:before="93" w:line="231" w:lineRule="auto"/>
              <w:ind w:left="460" w:right="377" w:hanging="100"/>
            </w:pPr>
            <w:r>
              <w:rPr>
                <w:spacing w:val="-3"/>
              </w:rPr>
              <w:t>建筑业企业</w:t>
            </w:r>
            <w:r>
              <w:rPr>
                <w:spacing w:val="3"/>
              </w:rPr>
              <w:t xml:space="preserve"> </w:t>
            </w:r>
            <w:r>
              <w:rPr>
                <w:spacing w:val="-2"/>
              </w:rPr>
              <w:t>信息登记</w:t>
            </w:r>
          </w:p>
        </w:tc>
        <w:tc>
          <w:tcPr>
            <w:tcW w:w="5404" w:type="dxa"/>
            <w:gridSpan w:val="2"/>
            <w:vAlign w:val="top"/>
          </w:tcPr>
          <w:p w14:paraId="620C8360">
            <w:pPr>
              <w:pStyle w:val="6"/>
              <w:spacing w:before="92" w:line="219" w:lineRule="auto"/>
              <w:ind w:right="1"/>
              <w:jc w:val="right"/>
            </w:pPr>
            <w:r>
              <w:rPr>
                <w:color w:val="2030F0"/>
              </w:rPr>
              <w:t>投标人应当在《湖北省建筑市场监督与诚信一体化工作平</w:t>
            </w:r>
          </w:p>
          <w:p w14:paraId="3E23C960">
            <w:pPr>
              <w:pStyle w:val="6"/>
              <w:spacing w:before="70" w:line="182" w:lineRule="auto"/>
              <w:ind w:left="132"/>
            </w:pPr>
            <w:r>
              <w:rPr>
                <w:color w:val="2020F0"/>
                <w:spacing w:val="-1"/>
              </w:rPr>
              <w:t>台》进行企业基本信息和人员信息登记。</w:t>
            </w:r>
          </w:p>
        </w:tc>
        <w:tc>
          <w:tcPr>
            <w:tcW w:w="884" w:type="dxa"/>
            <w:vAlign w:val="top"/>
          </w:tcPr>
          <w:p w14:paraId="53567119">
            <w:pPr>
              <w:rPr>
                <w:rFonts w:ascii="Arial"/>
                <w:sz w:val="21"/>
              </w:rPr>
            </w:pPr>
          </w:p>
        </w:tc>
      </w:tr>
      <w:tr w14:paraId="43B620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39" w:hRule="atLeast"/>
        </w:trPr>
        <w:tc>
          <w:tcPr>
            <w:tcW w:w="654" w:type="dxa"/>
            <w:vMerge w:val="continue"/>
            <w:tcBorders>
              <w:top w:val="nil"/>
            </w:tcBorders>
            <w:vAlign w:val="top"/>
          </w:tcPr>
          <w:p w14:paraId="774A2C79">
            <w:pPr>
              <w:rPr>
                <w:rFonts w:ascii="Arial"/>
                <w:sz w:val="21"/>
              </w:rPr>
            </w:pPr>
          </w:p>
        </w:tc>
        <w:tc>
          <w:tcPr>
            <w:tcW w:w="1788" w:type="dxa"/>
            <w:gridSpan w:val="2"/>
            <w:vAlign w:val="top"/>
          </w:tcPr>
          <w:p w14:paraId="1A6F7351">
            <w:pPr>
              <w:spacing w:line="254" w:lineRule="auto"/>
              <w:rPr>
                <w:rFonts w:ascii="Arial"/>
                <w:sz w:val="21"/>
              </w:rPr>
            </w:pPr>
          </w:p>
          <w:p w14:paraId="0AC7A5EE">
            <w:pPr>
              <w:spacing w:line="254" w:lineRule="auto"/>
              <w:rPr>
                <w:rFonts w:ascii="Arial"/>
                <w:sz w:val="21"/>
              </w:rPr>
            </w:pPr>
          </w:p>
          <w:p w14:paraId="31691735">
            <w:pPr>
              <w:spacing w:line="255" w:lineRule="auto"/>
              <w:rPr>
                <w:rFonts w:ascii="Arial"/>
                <w:sz w:val="21"/>
              </w:rPr>
            </w:pPr>
          </w:p>
          <w:p w14:paraId="7C6236EE">
            <w:pPr>
              <w:spacing w:line="255" w:lineRule="auto"/>
              <w:rPr>
                <w:rFonts w:ascii="Arial"/>
                <w:sz w:val="21"/>
              </w:rPr>
            </w:pPr>
          </w:p>
          <w:p w14:paraId="39A0E8A4">
            <w:pPr>
              <w:spacing w:line="255" w:lineRule="auto"/>
              <w:rPr>
                <w:rFonts w:ascii="Arial"/>
                <w:sz w:val="21"/>
              </w:rPr>
            </w:pPr>
          </w:p>
          <w:p w14:paraId="53BA397C">
            <w:pPr>
              <w:spacing w:line="255" w:lineRule="auto"/>
              <w:rPr>
                <w:rFonts w:ascii="Arial"/>
                <w:sz w:val="21"/>
              </w:rPr>
            </w:pPr>
          </w:p>
          <w:p w14:paraId="5C4653E3">
            <w:pPr>
              <w:spacing w:line="255" w:lineRule="auto"/>
              <w:rPr>
                <w:rFonts w:ascii="Arial"/>
                <w:sz w:val="21"/>
              </w:rPr>
            </w:pPr>
          </w:p>
          <w:p w14:paraId="5D8A1CBE">
            <w:pPr>
              <w:spacing w:line="255" w:lineRule="auto"/>
              <w:rPr>
                <w:rFonts w:ascii="Arial"/>
                <w:sz w:val="21"/>
              </w:rPr>
            </w:pPr>
          </w:p>
          <w:p w14:paraId="47C09525">
            <w:pPr>
              <w:spacing w:line="255" w:lineRule="auto"/>
              <w:rPr>
                <w:rFonts w:ascii="Arial"/>
                <w:sz w:val="21"/>
              </w:rPr>
            </w:pPr>
          </w:p>
          <w:p w14:paraId="051A74B2">
            <w:pPr>
              <w:spacing w:line="255" w:lineRule="auto"/>
              <w:rPr>
                <w:rFonts w:ascii="Arial"/>
                <w:sz w:val="21"/>
              </w:rPr>
            </w:pPr>
          </w:p>
          <w:p w14:paraId="35336CDD">
            <w:pPr>
              <w:pStyle w:val="6"/>
              <w:spacing w:before="68" w:line="219" w:lineRule="auto"/>
              <w:ind w:left="461"/>
            </w:pPr>
            <w:r>
              <w:rPr>
                <w:spacing w:val="-2"/>
              </w:rPr>
              <w:t>政府采购</w:t>
            </w:r>
          </w:p>
          <w:p w14:paraId="6F299B30">
            <w:pPr>
              <w:pStyle w:val="6"/>
              <w:spacing w:before="82" w:line="219" w:lineRule="auto"/>
              <w:ind w:left="251"/>
            </w:pPr>
            <w:r>
              <w:rPr>
                <w:spacing w:val="-2"/>
              </w:rPr>
              <w:t>特别资格要求</w:t>
            </w:r>
          </w:p>
        </w:tc>
        <w:tc>
          <w:tcPr>
            <w:tcW w:w="5404" w:type="dxa"/>
            <w:gridSpan w:val="2"/>
            <w:vAlign w:val="top"/>
          </w:tcPr>
          <w:p w14:paraId="6406BD36">
            <w:pPr>
              <w:pStyle w:val="6"/>
              <w:spacing w:before="92" w:line="219" w:lineRule="auto"/>
              <w:ind w:left="132"/>
            </w:pPr>
            <w:r>
              <w:rPr>
                <w:rFonts w:ascii="MS Gothic" w:hAnsi="MS Gothic" w:eastAsia="MS Gothic" w:cs="MS Gothic"/>
                <w:color w:val="2020E0"/>
                <w:spacing w:val="-1"/>
              </w:rPr>
              <w:t>☑</w:t>
            </w:r>
            <w:r>
              <w:rPr>
                <w:color w:val="2020E0"/>
                <w:spacing w:val="-1"/>
              </w:rPr>
              <w:t>采购项目整体预留专门面向中小企业采购。</w:t>
            </w:r>
          </w:p>
          <w:p w14:paraId="19E74104">
            <w:pPr>
              <w:pStyle w:val="6"/>
              <w:spacing w:before="60" w:line="219" w:lineRule="auto"/>
              <w:ind w:left="132"/>
            </w:pPr>
            <w:r>
              <w:rPr>
                <w:color w:val="2020F0"/>
                <w:spacing w:val="-1"/>
              </w:rPr>
              <w:t>□采购项目整体预留专门面向小微企业采购。</w:t>
            </w:r>
          </w:p>
          <w:p w14:paraId="7667E9FB">
            <w:pPr>
              <w:pStyle w:val="6"/>
              <w:spacing w:before="80" w:line="219" w:lineRule="auto"/>
              <w:ind w:left="132"/>
            </w:pPr>
            <w:r>
              <w:rPr>
                <w:color w:val="2020F0"/>
                <w:spacing w:val="-1"/>
              </w:rPr>
              <w:t>□采购项目部分预留专门面向中小企业采购。</w:t>
            </w:r>
          </w:p>
          <w:p w14:paraId="41C90EE9">
            <w:pPr>
              <w:pStyle w:val="6"/>
              <w:spacing w:before="72" w:line="274" w:lineRule="auto"/>
              <w:ind w:left="142" w:right="20" w:hanging="10"/>
            </w:pPr>
            <w:r>
              <w:rPr>
                <w:spacing w:val="-1"/>
              </w:rPr>
              <w:t>要求大企业与中小企业组成联合体的形式参加投标，且联</w:t>
            </w:r>
            <w:r>
              <w:rPr>
                <w:spacing w:val="14"/>
              </w:rPr>
              <w:t xml:space="preserve"> </w:t>
            </w:r>
            <w:r>
              <w:t>合体中中小企业承担的部分达到项目合同总金额的/%以</w:t>
            </w:r>
          </w:p>
          <w:p w14:paraId="1D9B8574">
            <w:pPr>
              <w:pStyle w:val="6"/>
              <w:spacing w:before="17" w:line="278" w:lineRule="auto"/>
              <w:ind w:left="132" w:firstLine="9"/>
            </w:pPr>
            <w:r>
              <w:t xml:space="preserve">上，其中小微企业承担的比例不低于/%。组成联合体的中 </w:t>
            </w:r>
            <w:r>
              <w:rPr>
                <w:spacing w:val="-1"/>
              </w:rPr>
              <w:t>小企业与联合体内其他企业之间不得存在直接控股、管理</w:t>
            </w:r>
            <w:r>
              <w:rPr>
                <w:spacing w:val="9"/>
              </w:rPr>
              <w:t xml:space="preserve"> </w:t>
            </w:r>
            <w:r>
              <w:rPr>
                <w:spacing w:val="1"/>
              </w:rPr>
              <w:t>关系。(前述比例由招标人根据项目的具体情况约定)</w:t>
            </w:r>
          </w:p>
          <w:p w14:paraId="1A880C91">
            <w:pPr>
              <w:pStyle w:val="6"/>
              <w:spacing w:before="9" w:line="219" w:lineRule="auto"/>
              <w:ind w:left="132"/>
            </w:pPr>
            <w:r>
              <w:rPr>
                <w:color w:val="3020F0"/>
                <w:spacing w:val="-1"/>
              </w:rPr>
              <w:t>□采购项目部分预留专门面向中小企业采购。</w:t>
            </w:r>
          </w:p>
          <w:p w14:paraId="5E9BD48B">
            <w:pPr>
              <w:pStyle w:val="6"/>
              <w:spacing w:before="72" w:line="280" w:lineRule="auto"/>
              <w:ind w:left="132" w:hanging="9"/>
              <w:jc w:val="both"/>
            </w:pPr>
            <w:r>
              <w:rPr>
                <w:spacing w:val="-1"/>
              </w:rPr>
              <w:t>要求大企业向中小企业分包的形式参加投标，且接受分包</w:t>
            </w:r>
            <w:r>
              <w:rPr>
                <w:spacing w:val="6"/>
              </w:rPr>
              <w:t xml:space="preserve"> </w:t>
            </w:r>
            <w:r>
              <w:t>的中小企业承担的部分达到项目合同总金额的/%以上，其</w:t>
            </w:r>
            <w:r>
              <w:rPr>
                <w:spacing w:val="10"/>
              </w:rPr>
              <w:t xml:space="preserve"> </w:t>
            </w:r>
            <w:r>
              <w:t>中接受分包的小微企业承担的比例不低于/%。接受分包合</w:t>
            </w:r>
            <w:r>
              <w:rPr>
                <w:spacing w:val="10"/>
              </w:rPr>
              <w:t xml:space="preserve"> </w:t>
            </w:r>
            <w:r>
              <w:t>同的中小企业与分包企业之间不得存在直接控股、管理关</w:t>
            </w:r>
            <w:r>
              <w:rPr>
                <w:spacing w:val="1"/>
              </w:rPr>
              <w:t xml:space="preserve"> 系。(前述比例由招标人根据项目的具体情况约定)</w:t>
            </w:r>
          </w:p>
          <w:p w14:paraId="529E7958">
            <w:pPr>
              <w:pStyle w:val="6"/>
              <w:spacing w:before="7" w:line="219" w:lineRule="auto"/>
              <w:ind w:left="132"/>
            </w:pPr>
            <w:r>
              <w:rPr>
                <w:color w:val="2020F0"/>
                <w:spacing w:val="-1"/>
              </w:rPr>
              <w:t>□采购项目未预留份额专门面向中小企业采购。</w:t>
            </w:r>
          </w:p>
          <w:p w14:paraId="36FC67EE">
            <w:pPr>
              <w:pStyle w:val="6"/>
              <w:spacing w:before="62" w:line="219" w:lineRule="auto"/>
              <w:ind w:left="132"/>
            </w:pPr>
            <w:r>
              <w:rPr>
                <w:color w:val="2030F0"/>
                <w:spacing w:val="-1"/>
              </w:rPr>
              <w:t>□不接受口接受大中型企业与小微企业组成联合体。</w:t>
            </w:r>
          </w:p>
          <w:p w14:paraId="16654E4C">
            <w:pPr>
              <w:pStyle w:val="6"/>
              <w:spacing w:before="71" w:line="219" w:lineRule="auto"/>
              <w:ind w:left="132"/>
            </w:pPr>
            <w:r>
              <w:rPr>
                <w:color w:val="2040F0"/>
              </w:rPr>
              <w:t>□不允许口允许大中型企业向一家或者多家小微企业分</w:t>
            </w:r>
          </w:p>
          <w:p w14:paraId="1BF1FE8E">
            <w:pPr>
              <w:pStyle w:val="6"/>
              <w:spacing w:before="38" w:line="209" w:lineRule="auto"/>
              <w:ind w:left="132"/>
            </w:pPr>
            <w:r>
              <w:rPr>
                <w:spacing w:val="-2"/>
              </w:rPr>
              <w:t>包。</w:t>
            </w:r>
          </w:p>
        </w:tc>
        <w:tc>
          <w:tcPr>
            <w:tcW w:w="884" w:type="dxa"/>
            <w:vAlign w:val="top"/>
          </w:tcPr>
          <w:p w14:paraId="39E9BF6C">
            <w:pPr>
              <w:rPr>
                <w:rFonts w:ascii="Arial"/>
                <w:sz w:val="21"/>
              </w:rPr>
            </w:pPr>
          </w:p>
        </w:tc>
      </w:tr>
    </w:tbl>
    <w:p w14:paraId="3787BC41">
      <w:pPr>
        <w:pStyle w:val="2"/>
        <w:spacing w:before="47" w:line="236" w:lineRule="auto"/>
        <w:ind w:left="744" w:hanging="619"/>
        <w:rPr>
          <w:sz w:val="21"/>
          <w:szCs w:val="21"/>
        </w:rPr>
      </w:pPr>
      <w:r>
        <w:rPr>
          <w:spacing w:val="-6"/>
          <w:sz w:val="22"/>
          <w:szCs w:val="22"/>
        </w:rPr>
        <w:t>备注：1.“类似项目”是指与招标项目在建设规模、结构形式、</w:t>
      </w:r>
      <w:r>
        <w:rPr>
          <w:spacing w:val="-7"/>
          <w:sz w:val="22"/>
          <w:szCs w:val="22"/>
        </w:rPr>
        <w:t>使用功能、复杂难易程度相同或</w:t>
      </w:r>
      <w:r>
        <w:rPr>
          <w:sz w:val="22"/>
          <w:szCs w:val="22"/>
        </w:rPr>
        <w:t xml:space="preserve"> </w:t>
      </w:r>
      <w:r>
        <w:rPr>
          <w:spacing w:val="5"/>
          <w:sz w:val="21"/>
          <w:szCs w:val="21"/>
        </w:rPr>
        <w:t>相近的项目。招标人在招标文件中应准确、简洁的工程特征指标予</w:t>
      </w:r>
      <w:r>
        <w:rPr>
          <w:spacing w:val="4"/>
          <w:sz w:val="21"/>
          <w:szCs w:val="21"/>
        </w:rPr>
        <w:t>以定义(如房屋建筑工</w:t>
      </w:r>
      <w:r>
        <w:rPr>
          <w:sz w:val="21"/>
          <w:szCs w:val="21"/>
        </w:rPr>
        <w:t xml:space="preserve">  程使用面积、高度、跨度、其他工程特征指标定义，市政工程使用跨度、长</w:t>
      </w:r>
      <w:r>
        <w:rPr>
          <w:spacing w:val="-1"/>
          <w:sz w:val="21"/>
          <w:szCs w:val="21"/>
        </w:rPr>
        <w:t>度、截面面积、</w:t>
      </w:r>
      <w:r>
        <w:rPr>
          <w:sz w:val="21"/>
          <w:szCs w:val="21"/>
        </w:rPr>
        <w:t xml:space="preserve"> </w:t>
      </w:r>
      <w:r>
        <w:rPr>
          <w:spacing w:val="3"/>
          <w:sz w:val="21"/>
          <w:szCs w:val="21"/>
        </w:rPr>
        <w:t>合同金额、其他工程特征指标定义，或参照《建筑业企业资质标准》(</w:t>
      </w:r>
      <w:r>
        <w:rPr>
          <w:spacing w:val="2"/>
          <w:sz w:val="21"/>
          <w:szCs w:val="21"/>
        </w:rPr>
        <w:t>建市[2014]159号)</w:t>
      </w:r>
      <w:r>
        <w:rPr>
          <w:sz w:val="21"/>
          <w:szCs w:val="21"/>
        </w:rPr>
        <w:t xml:space="preserve">  </w:t>
      </w:r>
      <w:r>
        <w:rPr>
          <w:spacing w:val="2"/>
          <w:sz w:val="21"/>
          <w:szCs w:val="21"/>
        </w:rPr>
        <w:t>及其他配套文件规定的工程业绩标准结合招标项目实际的工程特征指标定义),且方</w:t>
      </w:r>
      <w:r>
        <w:rPr>
          <w:spacing w:val="1"/>
          <w:sz w:val="21"/>
          <w:szCs w:val="21"/>
        </w:rPr>
        <w:t>便投标</w:t>
      </w:r>
      <w:r>
        <w:rPr>
          <w:sz w:val="21"/>
          <w:szCs w:val="21"/>
        </w:rPr>
        <w:t xml:space="preserve">  </w:t>
      </w:r>
      <w:r>
        <w:rPr>
          <w:spacing w:val="13"/>
          <w:sz w:val="21"/>
          <w:szCs w:val="21"/>
        </w:rPr>
        <w:t>人使用中标通知书(如有)、合同协议书、施工许可证(如有)、工程接</w:t>
      </w:r>
      <w:r>
        <w:rPr>
          <w:spacing w:val="12"/>
          <w:sz w:val="21"/>
          <w:szCs w:val="21"/>
        </w:rPr>
        <w:t>收证书或工程竣</w:t>
      </w:r>
      <w:r>
        <w:rPr>
          <w:sz w:val="21"/>
          <w:szCs w:val="21"/>
        </w:rPr>
        <w:t xml:space="preserve">  </w:t>
      </w:r>
      <w:r>
        <w:rPr>
          <w:spacing w:val="3"/>
          <w:sz w:val="21"/>
          <w:szCs w:val="21"/>
        </w:rPr>
        <w:t>工验收证书(工程竣工验收备案证)及其他证明材料证实。“</w:t>
      </w:r>
      <w:r>
        <w:rPr>
          <w:spacing w:val="2"/>
          <w:sz w:val="21"/>
          <w:szCs w:val="21"/>
        </w:rPr>
        <w:t>类似项目”的定义中不含“近</w:t>
      </w:r>
      <w:r>
        <w:rPr>
          <w:sz w:val="21"/>
          <w:szCs w:val="21"/>
        </w:rPr>
        <w:t xml:space="preserve">  </w:t>
      </w:r>
      <w:r>
        <w:rPr>
          <w:spacing w:val="3"/>
          <w:sz w:val="21"/>
          <w:szCs w:val="21"/>
        </w:rPr>
        <w:t>5年”“近3年”等时间限制条件。</w:t>
      </w:r>
    </w:p>
    <w:p w14:paraId="5FD1D2D2">
      <w:pPr>
        <w:pStyle w:val="2"/>
        <w:spacing w:before="15" w:line="228" w:lineRule="auto"/>
        <w:ind w:left="744" w:right="97"/>
        <w:rPr>
          <w:sz w:val="21"/>
          <w:szCs w:val="21"/>
        </w:rPr>
      </w:pPr>
      <w:r>
        <w:rPr>
          <w:spacing w:val="12"/>
          <w:sz w:val="21"/>
          <w:szCs w:val="21"/>
        </w:rPr>
        <w:t>2. “投标人用于投标项目(标段)的流动资金”:一般而言，在有正常的预付款和工程</w:t>
      </w:r>
      <w:r>
        <w:rPr>
          <w:spacing w:val="16"/>
          <w:sz w:val="21"/>
          <w:szCs w:val="21"/>
        </w:rPr>
        <w:t xml:space="preserve"> </w:t>
      </w:r>
      <w:r>
        <w:rPr>
          <w:spacing w:val="1"/>
          <w:sz w:val="21"/>
          <w:szCs w:val="21"/>
        </w:rPr>
        <w:t>款支付的情况下，承包人仍需要投入合同总价/T</w:t>
      </w:r>
      <w:r>
        <w:rPr>
          <w:spacing w:val="-34"/>
          <w:sz w:val="21"/>
          <w:szCs w:val="21"/>
        </w:rPr>
        <w:t xml:space="preserve"> </w:t>
      </w:r>
      <w:r>
        <w:rPr>
          <w:spacing w:val="1"/>
          <w:sz w:val="21"/>
          <w:szCs w:val="21"/>
        </w:rPr>
        <w:t>的10-15%左右的流动资金</w:t>
      </w:r>
      <w:r>
        <w:rPr>
          <w:sz w:val="21"/>
          <w:szCs w:val="21"/>
        </w:rPr>
        <w:t xml:space="preserve">用于项目周转性 </w:t>
      </w:r>
      <w:r>
        <w:rPr>
          <w:spacing w:val="4"/>
          <w:sz w:val="21"/>
          <w:szCs w:val="21"/>
        </w:rPr>
        <w:t>生产。招标人宜根据项目情况合理设置投标人用于投标项目(标段)的流动资金数额。</w:t>
      </w:r>
      <w:r>
        <w:rPr>
          <w:spacing w:val="-20"/>
          <w:sz w:val="21"/>
          <w:szCs w:val="21"/>
        </w:rPr>
        <w:t xml:space="preserve"> </w:t>
      </w:r>
      <w:r>
        <w:rPr>
          <w:rFonts w:ascii="Times New Roman" w:hAnsi="Times New Roman" w:eastAsia="Times New Roman" w:cs="Times New Roman"/>
          <w:spacing w:val="4"/>
          <w:sz w:val="21"/>
          <w:szCs w:val="21"/>
        </w:rPr>
        <w:t>T=</w:t>
      </w:r>
      <w:r>
        <w:rPr>
          <w:rFonts w:ascii="Times New Roman" w:hAnsi="Times New Roman" w:eastAsia="Times New Roman" w:cs="Times New Roman"/>
          <w:sz w:val="21"/>
          <w:szCs w:val="21"/>
        </w:rPr>
        <w:t xml:space="preserve">  </w:t>
      </w:r>
      <w:r>
        <w:rPr>
          <w:spacing w:val="24"/>
          <w:sz w:val="21"/>
          <w:szCs w:val="21"/>
        </w:rPr>
        <w:t>(标段)计划工期(年)=(标段)计划工期(日历天)/365。</w:t>
      </w:r>
      <w:r>
        <w:rPr>
          <w:spacing w:val="23"/>
          <w:sz w:val="21"/>
          <w:szCs w:val="21"/>
        </w:rPr>
        <w:t>当</w:t>
      </w:r>
      <w:r>
        <w:rPr>
          <w:rFonts w:ascii="Times New Roman" w:hAnsi="Times New Roman" w:eastAsia="Times New Roman" w:cs="Times New Roman"/>
          <w:spacing w:val="23"/>
          <w:sz w:val="21"/>
          <w:szCs w:val="21"/>
        </w:rPr>
        <w:t>T&lt;1,T</w:t>
      </w:r>
      <w:r>
        <w:rPr>
          <w:rFonts w:ascii="Times New Roman" w:hAnsi="Times New Roman" w:eastAsia="Times New Roman" w:cs="Times New Roman"/>
          <w:spacing w:val="5"/>
          <w:sz w:val="21"/>
          <w:szCs w:val="21"/>
        </w:rPr>
        <w:t xml:space="preserve">   </w:t>
      </w:r>
      <w:r>
        <w:rPr>
          <w:spacing w:val="23"/>
          <w:sz w:val="21"/>
          <w:szCs w:val="21"/>
        </w:rPr>
        <w:t>取1。</w:t>
      </w:r>
    </w:p>
    <w:p w14:paraId="10C49387">
      <w:pPr>
        <w:pStyle w:val="2"/>
        <w:spacing w:before="62" w:line="219" w:lineRule="auto"/>
        <w:jc w:val="right"/>
        <w:rPr>
          <w:sz w:val="21"/>
          <w:szCs w:val="21"/>
        </w:rPr>
      </w:pPr>
      <w:r>
        <w:rPr>
          <w:sz w:val="21"/>
          <w:szCs w:val="21"/>
        </w:rPr>
        <w:t>3.建筑工程相关专业职称包括：土木工程、工民建、结构、建筑施工、建筑工</w:t>
      </w:r>
      <w:r>
        <w:rPr>
          <w:spacing w:val="-1"/>
          <w:sz w:val="21"/>
          <w:szCs w:val="21"/>
        </w:rPr>
        <w:t>程、给排水、</w:t>
      </w:r>
    </w:p>
    <w:p w14:paraId="23BFAB75">
      <w:pPr>
        <w:spacing w:line="219" w:lineRule="auto"/>
        <w:rPr>
          <w:sz w:val="21"/>
          <w:szCs w:val="21"/>
        </w:rPr>
        <w:sectPr>
          <w:footerReference r:id="rId33" w:type="default"/>
          <w:pgSz w:w="11910" w:h="16840"/>
          <w:pgMar w:top="1431" w:right="1424" w:bottom="1001" w:left="1344" w:header="0" w:footer="857" w:gutter="0"/>
          <w:cols w:space="720" w:num="1"/>
        </w:sectPr>
      </w:pPr>
    </w:p>
    <w:p w14:paraId="3CCDCC4E">
      <w:pPr>
        <w:pStyle w:val="2"/>
        <w:spacing w:before="294" w:line="219" w:lineRule="auto"/>
        <w:ind w:left="296"/>
        <w:rPr>
          <w:sz w:val="21"/>
          <w:szCs w:val="21"/>
        </w:rPr>
      </w:pPr>
      <w:r>
        <w:rPr>
          <w:b/>
          <w:bCs/>
          <w:sz w:val="21"/>
          <w:szCs w:val="21"/>
        </w:rPr>
        <w:t>暖通、电气等专业职称。市政工程相关专业职称包括道路与桥</w:t>
      </w:r>
      <w:r>
        <w:rPr>
          <w:b/>
          <w:bCs/>
          <w:spacing w:val="-1"/>
          <w:sz w:val="21"/>
          <w:szCs w:val="21"/>
        </w:rPr>
        <w:t>梁、给排水、土木工程、工</w:t>
      </w:r>
    </w:p>
    <w:p w14:paraId="1249E632">
      <w:pPr>
        <w:pStyle w:val="2"/>
        <w:spacing w:before="32" w:line="219" w:lineRule="auto"/>
        <w:ind w:left="293"/>
        <w:rPr>
          <w:sz w:val="21"/>
          <w:szCs w:val="21"/>
        </w:rPr>
      </w:pPr>
      <w:r>
        <w:rPr>
          <w:spacing w:val="-1"/>
          <w:sz w:val="21"/>
          <w:szCs w:val="21"/>
        </w:rPr>
        <w:t>民建、结构、建筑施工、建筑工程、机电、燃气等专业职称。</w:t>
      </w:r>
    </w:p>
    <w:p w14:paraId="62228E88">
      <w:pPr>
        <w:pStyle w:val="2"/>
        <w:spacing w:before="5" w:line="235" w:lineRule="auto"/>
        <w:ind w:left="293"/>
        <w:rPr>
          <w:sz w:val="21"/>
          <w:szCs w:val="21"/>
        </w:rPr>
      </w:pPr>
      <w:r>
        <w:rPr>
          <w:spacing w:val="1"/>
          <w:sz w:val="21"/>
          <w:szCs w:val="21"/>
        </w:rPr>
        <w:t>4. 招标人在设置“项目管理机构其他主要人员”时，可按上</w:t>
      </w:r>
      <w:r>
        <w:rPr>
          <w:sz w:val="21"/>
          <w:szCs w:val="21"/>
        </w:rPr>
        <w:t xml:space="preserve">述表格只要求“项目技术负责 </w:t>
      </w:r>
      <w:r>
        <w:rPr>
          <w:spacing w:val="2"/>
          <w:sz w:val="21"/>
          <w:szCs w:val="21"/>
        </w:rPr>
        <w:t>人、施工管理、质量管理、安全管理”等关键岗位和人员数量，其他施工现场管理人员可</w:t>
      </w:r>
      <w:r>
        <w:rPr>
          <w:sz w:val="21"/>
          <w:szCs w:val="21"/>
        </w:rPr>
        <w:t xml:space="preserve"> </w:t>
      </w:r>
      <w:r>
        <w:rPr>
          <w:spacing w:val="2"/>
          <w:sz w:val="21"/>
          <w:szCs w:val="21"/>
        </w:rPr>
        <w:t>由投标人根据施工现场管理的需要自行配置；招标人也可以根据项目实际需要，参照《建</w:t>
      </w:r>
      <w:r>
        <w:rPr>
          <w:sz w:val="21"/>
          <w:szCs w:val="21"/>
        </w:rPr>
        <w:t xml:space="preserve"> </w:t>
      </w:r>
      <w:r>
        <w:rPr>
          <w:spacing w:val="9"/>
          <w:sz w:val="21"/>
          <w:szCs w:val="21"/>
        </w:rPr>
        <w:t>筑业企业资质标准》(建市〔2014〕159号)相应总承包(专业承包)资质标准中对施工现</w:t>
      </w:r>
      <w:r>
        <w:rPr>
          <w:spacing w:val="5"/>
          <w:sz w:val="21"/>
          <w:szCs w:val="21"/>
        </w:rPr>
        <w:t xml:space="preserve"> </w:t>
      </w:r>
      <w:r>
        <w:rPr>
          <w:spacing w:val="2"/>
          <w:sz w:val="21"/>
          <w:szCs w:val="21"/>
        </w:rPr>
        <w:t>场管理人员的要求设置岗位，提出人员数量要求。其中安全管理的人员数量应按《建筑施</w:t>
      </w:r>
      <w:r>
        <w:rPr>
          <w:spacing w:val="1"/>
          <w:sz w:val="21"/>
          <w:szCs w:val="21"/>
        </w:rPr>
        <w:t xml:space="preserve"> </w:t>
      </w:r>
      <w:r>
        <w:rPr>
          <w:spacing w:val="2"/>
          <w:sz w:val="21"/>
          <w:szCs w:val="21"/>
        </w:rPr>
        <w:t>工企业安全生产管理机构设置及专职安全生产管理人员配备办法》(建质〔2008〕91号)第</w:t>
      </w:r>
      <w:r>
        <w:rPr>
          <w:spacing w:val="16"/>
          <w:sz w:val="21"/>
          <w:szCs w:val="21"/>
        </w:rPr>
        <w:t xml:space="preserve"> </w:t>
      </w:r>
      <w:r>
        <w:rPr>
          <w:spacing w:val="-4"/>
          <w:sz w:val="21"/>
          <w:szCs w:val="21"/>
        </w:rPr>
        <w:t>十三条的规定设置。根据《建筑与市政工程施工现场专业人员职业标准》(</w:t>
      </w:r>
      <w:r>
        <w:rPr>
          <w:spacing w:val="-5"/>
          <w:sz w:val="21"/>
          <w:szCs w:val="21"/>
        </w:rPr>
        <w:t>JGJ/T250-2011),</w:t>
      </w:r>
      <w:r>
        <w:rPr>
          <w:sz w:val="21"/>
          <w:szCs w:val="21"/>
        </w:rPr>
        <w:t xml:space="preserve">  </w:t>
      </w:r>
      <w:r>
        <w:rPr>
          <w:spacing w:val="1"/>
          <w:sz w:val="21"/>
          <w:szCs w:val="21"/>
        </w:rPr>
        <w:t>八大员为施工员、质量员、安全员、标准员、材料员、机械员、劳务员、资料员。其中，</w:t>
      </w:r>
      <w:r>
        <w:rPr>
          <w:spacing w:val="14"/>
          <w:sz w:val="21"/>
          <w:szCs w:val="21"/>
        </w:rPr>
        <w:t xml:space="preserve"> </w:t>
      </w:r>
      <w:r>
        <w:rPr>
          <w:sz w:val="21"/>
          <w:szCs w:val="21"/>
        </w:rPr>
        <w:t>施工员、质量员可分为土建施工、装饰装修、设备安装和市政工</w:t>
      </w:r>
      <w:r>
        <w:rPr>
          <w:spacing w:val="-1"/>
          <w:sz w:val="21"/>
          <w:szCs w:val="21"/>
        </w:rPr>
        <w:t>程四个子专业。</w:t>
      </w:r>
    </w:p>
    <w:p w14:paraId="6D005478">
      <w:pPr>
        <w:pStyle w:val="2"/>
        <w:spacing w:before="43" w:line="233" w:lineRule="auto"/>
        <w:ind w:left="293" w:right="19"/>
        <w:rPr>
          <w:sz w:val="21"/>
          <w:szCs w:val="21"/>
        </w:rPr>
      </w:pPr>
      <w:r>
        <w:rPr>
          <w:spacing w:val="-4"/>
          <w:sz w:val="21"/>
          <w:szCs w:val="21"/>
        </w:rPr>
        <w:t>5. 根据湖北省住房和城乡建设厅《关于推动全省建</w:t>
      </w:r>
      <w:r>
        <w:rPr>
          <w:spacing w:val="-5"/>
          <w:sz w:val="21"/>
          <w:szCs w:val="21"/>
        </w:rPr>
        <w:t>筑市场统一开放的通知》(鄂建文〔2015)</w:t>
      </w:r>
      <w:r>
        <w:rPr>
          <w:sz w:val="21"/>
          <w:szCs w:val="21"/>
        </w:rPr>
        <w:t xml:space="preserve"> 83号)的规定，“省内外建筑企业在各市州区域流动，统一实行一</w:t>
      </w:r>
      <w:r>
        <w:rPr>
          <w:spacing w:val="-1"/>
          <w:sz w:val="21"/>
          <w:szCs w:val="21"/>
        </w:rPr>
        <w:t>体化平台登记管理”。申</w:t>
      </w:r>
      <w:r>
        <w:rPr>
          <w:sz w:val="21"/>
          <w:szCs w:val="21"/>
        </w:rPr>
        <w:t xml:space="preserve"> </w:t>
      </w:r>
      <w:r>
        <w:rPr>
          <w:spacing w:val="-12"/>
          <w:sz w:val="21"/>
          <w:szCs w:val="21"/>
        </w:rPr>
        <w:t>请 人</w:t>
      </w:r>
      <w:r>
        <w:rPr>
          <w:spacing w:val="-23"/>
          <w:sz w:val="21"/>
          <w:szCs w:val="21"/>
        </w:rPr>
        <w:t xml:space="preserve"> </w:t>
      </w:r>
      <w:r>
        <w:rPr>
          <w:spacing w:val="-12"/>
          <w:sz w:val="21"/>
          <w:szCs w:val="21"/>
        </w:rPr>
        <w:t>应 当</w:t>
      </w:r>
      <w:r>
        <w:rPr>
          <w:spacing w:val="-25"/>
          <w:sz w:val="21"/>
          <w:szCs w:val="21"/>
        </w:rPr>
        <w:t xml:space="preserve"> </w:t>
      </w:r>
      <w:r>
        <w:rPr>
          <w:spacing w:val="-12"/>
          <w:sz w:val="21"/>
          <w:szCs w:val="21"/>
        </w:rPr>
        <w:t>在</w:t>
      </w:r>
      <w:r>
        <w:rPr>
          <w:spacing w:val="-31"/>
          <w:sz w:val="21"/>
          <w:szCs w:val="21"/>
        </w:rPr>
        <w:t xml:space="preserve"> </w:t>
      </w:r>
      <w:r>
        <w:rPr>
          <w:spacing w:val="-12"/>
          <w:sz w:val="21"/>
          <w:szCs w:val="21"/>
        </w:rPr>
        <w:t>《 湖 北</w:t>
      </w:r>
      <w:r>
        <w:rPr>
          <w:spacing w:val="-21"/>
          <w:sz w:val="21"/>
          <w:szCs w:val="21"/>
        </w:rPr>
        <w:t xml:space="preserve"> </w:t>
      </w:r>
      <w:r>
        <w:rPr>
          <w:spacing w:val="-12"/>
          <w:sz w:val="21"/>
          <w:szCs w:val="21"/>
        </w:rPr>
        <w:t>省</w:t>
      </w:r>
      <w:r>
        <w:rPr>
          <w:spacing w:val="-21"/>
          <w:sz w:val="21"/>
          <w:szCs w:val="21"/>
        </w:rPr>
        <w:t xml:space="preserve"> </w:t>
      </w:r>
      <w:r>
        <w:rPr>
          <w:spacing w:val="-12"/>
          <w:sz w:val="21"/>
          <w:szCs w:val="21"/>
        </w:rPr>
        <w:t>建</w:t>
      </w:r>
      <w:r>
        <w:rPr>
          <w:spacing w:val="-22"/>
          <w:sz w:val="21"/>
          <w:szCs w:val="21"/>
        </w:rPr>
        <w:t xml:space="preserve"> </w:t>
      </w:r>
      <w:r>
        <w:rPr>
          <w:spacing w:val="-12"/>
          <w:sz w:val="21"/>
          <w:szCs w:val="21"/>
        </w:rPr>
        <w:t>筑</w:t>
      </w:r>
      <w:r>
        <w:rPr>
          <w:spacing w:val="-17"/>
          <w:sz w:val="21"/>
          <w:szCs w:val="21"/>
        </w:rPr>
        <w:t xml:space="preserve"> </w:t>
      </w:r>
      <w:r>
        <w:rPr>
          <w:spacing w:val="-12"/>
          <w:sz w:val="21"/>
          <w:szCs w:val="21"/>
        </w:rPr>
        <w:t>市</w:t>
      </w:r>
      <w:r>
        <w:rPr>
          <w:spacing w:val="-25"/>
          <w:sz w:val="21"/>
          <w:szCs w:val="21"/>
        </w:rPr>
        <w:t xml:space="preserve"> </w:t>
      </w:r>
      <w:r>
        <w:rPr>
          <w:spacing w:val="-12"/>
          <w:sz w:val="21"/>
          <w:szCs w:val="21"/>
        </w:rPr>
        <w:t>场</w:t>
      </w:r>
      <w:r>
        <w:rPr>
          <w:spacing w:val="-23"/>
          <w:sz w:val="21"/>
          <w:szCs w:val="21"/>
        </w:rPr>
        <w:t xml:space="preserve"> </w:t>
      </w:r>
      <w:r>
        <w:rPr>
          <w:spacing w:val="-12"/>
          <w:sz w:val="21"/>
          <w:szCs w:val="21"/>
        </w:rPr>
        <w:t>监</w:t>
      </w:r>
      <w:r>
        <w:rPr>
          <w:spacing w:val="-19"/>
          <w:sz w:val="21"/>
          <w:szCs w:val="21"/>
        </w:rPr>
        <w:t xml:space="preserve"> </w:t>
      </w:r>
      <w:r>
        <w:rPr>
          <w:spacing w:val="-12"/>
          <w:sz w:val="21"/>
          <w:szCs w:val="21"/>
        </w:rPr>
        <w:t>督</w:t>
      </w:r>
      <w:r>
        <w:rPr>
          <w:spacing w:val="-19"/>
          <w:sz w:val="21"/>
          <w:szCs w:val="21"/>
        </w:rPr>
        <w:t xml:space="preserve"> </w:t>
      </w:r>
      <w:r>
        <w:rPr>
          <w:spacing w:val="-12"/>
          <w:sz w:val="21"/>
          <w:szCs w:val="21"/>
        </w:rPr>
        <w:t>与</w:t>
      </w:r>
      <w:r>
        <w:rPr>
          <w:spacing w:val="-25"/>
          <w:sz w:val="21"/>
          <w:szCs w:val="21"/>
        </w:rPr>
        <w:t xml:space="preserve"> </w:t>
      </w:r>
      <w:r>
        <w:rPr>
          <w:spacing w:val="-12"/>
          <w:sz w:val="21"/>
          <w:szCs w:val="21"/>
        </w:rPr>
        <w:t>诚</w:t>
      </w:r>
      <w:r>
        <w:rPr>
          <w:spacing w:val="-23"/>
          <w:sz w:val="21"/>
          <w:szCs w:val="21"/>
        </w:rPr>
        <w:t xml:space="preserve"> </w:t>
      </w:r>
      <w:r>
        <w:rPr>
          <w:spacing w:val="-12"/>
          <w:sz w:val="21"/>
          <w:szCs w:val="21"/>
        </w:rPr>
        <w:t>信</w:t>
      </w:r>
      <w:r>
        <w:rPr>
          <w:spacing w:val="-20"/>
          <w:sz w:val="21"/>
          <w:szCs w:val="21"/>
        </w:rPr>
        <w:t xml:space="preserve"> </w:t>
      </w:r>
      <w:r>
        <w:rPr>
          <w:spacing w:val="-12"/>
          <w:sz w:val="21"/>
          <w:szCs w:val="21"/>
        </w:rPr>
        <w:t>一</w:t>
      </w:r>
      <w:r>
        <w:rPr>
          <w:spacing w:val="-24"/>
          <w:sz w:val="21"/>
          <w:szCs w:val="21"/>
        </w:rPr>
        <w:t xml:space="preserve"> </w:t>
      </w:r>
      <w:r>
        <w:rPr>
          <w:spacing w:val="-12"/>
          <w:sz w:val="21"/>
          <w:szCs w:val="21"/>
        </w:rPr>
        <w:t>体</w:t>
      </w:r>
      <w:r>
        <w:rPr>
          <w:spacing w:val="-23"/>
          <w:sz w:val="21"/>
          <w:szCs w:val="21"/>
        </w:rPr>
        <w:t xml:space="preserve"> </w:t>
      </w:r>
      <w:r>
        <w:rPr>
          <w:spacing w:val="-12"/>
          <w:sz w:val="21"/>
          <w:szCs w:val="21"/>
        </w:rPr>
        <w:t>化</w:t>
      </w:r>
      <w:r>
        <w:rPr>
          <w:spacing w:val="-21"/>
          <w:sz w:val="21"/>
          <w:szCs w:val="21"/>
        </w:rPr>
        <w:t xml:space="preserve"> </w:t>
      </w:r>
      <w:r>
        <w:rPr>
          <w:spacing w:val="-12"/>
          <w:sz w:val="21"/>
          <w:szCs w:val="21"/>
        </w:rPr>
        <w:t>工</w:t>
      </w:r>
      <w:r>
        <w:rPr>
          <w:spacing w:val="-22"/>
          <w:sz w:val="21"/>
          <w:szCs w:val="21"/>
        </w:rPr>
        <w:t xml:space="preserve"> </w:t>
      </w:r>
      <w:r>
        <w:rPr>
          <w:spacing w:val="-12"/>
          <w:sz w:val="21"/>
          <w:szCs w:val="21"/>
        </w:rPr>
        <w:t>作</w:t>
      </w:r>
      <w:r>
        <w:rPr>
          <w:spacing w:val="-25"/>
          <w:sz w:val="21"/>
          <w:szCs w:val="21"/>
        </w:rPr>
        <w:t xml:space="preserve"> </w:t>
      </w:r>
      <w:r>
        <w:rPr>
          <w:spacing w:val="-12"/>
          <w:sz w:val="21"/>
          <w:szCs w:val="21"/>
        </w:rPr>
        <w:t xml:space="preserve">平 台 </w:t>
      </w:r>
      <w:r>
        <w:rPr>
          <w:spacing w:val="-13"/>
          <w:sz w:val="21"/>
          <w:szCs w:val="21"/>
        </w:rPr>
        <w:t>》 ( 网 址</w:t>
      </w:r>
      <w:r>
        <w:rPr>
          <w:spacing w:val="-31"/>
          <w:sz w:val="21"/>
          <w:szCs w:val="21"/>
        </w:rPr>
        <w:t xml:space="preserve"> </w:t>
      </w:r>
      <w:r>
        <w:rPr>
          <w:spacing w:val="-13"/>
          <w:sz w:val="21"/>
          <w:szCs w:val="21"/>
        </w:rPr>
        <w:t>：</w:t>
      </w:r>
      <w:r>
        <w:rPr>
          <w:sz w:val="21"/>
          <w:szCs w:val="21"/>
        </w:rPr>
        <w:t xml:space="preserve"> </w:t>
      </w:r>
      <w:r>
        <w:fldChar w:fldCharType="begin"/>
      </w:r>
      <w:r>
        <w:instrText xml:space="preserve"> HYPERLINK "http://jg.hbcic.net.cn/web/" </w:instrText>
      </w:r>
      <w:r>
        <w:fldChar w:fldCharType="separate"/>
      </w:r>
      <w:r>
        <w:rPr>
          <w:rFonts w:ascii="Times New Roman" w:hAnsi="Times New Roman" w:eastAsia="Times New Roman" w:cs="Times New Roman"/>
          <w:sz w:val="21"/>
          <w:szCs w:val="21"/>
        </w:rPr>
        <w:t>http://jg.hbcic.net.cn/web/</w:t>
      </w:r>
      <w:r>
        <w:rPr>
          <w:rFonts w:ascii="Times New Roman" w:hAnsi="Times New Roman" w:eastAsia="Times New Roman" w:cs="Times New Roman"/>
          <w:sz w:val="21"/>
          <w:szCs w:val="21"/>
        </w:rPr>
        <w:fldChar w:fldCharType="end"/>
      </w:r>
      <w:r>
        <w:rPr>
          <w:rFonts w:ascii="Times New Roman" w:hAnsi="Times New Roman" w:eastAsia="Times New Roman" w:cs="Times New Roman"/>
          <w:sz w:val="21"/>
          <w:szCs w:val="21"/>
        </w:rPr>
        <w:t xml:space="preserve">)              </w:t>
      </w:r>
      <w:r>
        <w:rPr>
          <w:sz w:val="21"/>
          <w:szCs w:val="21"/>
        </w:rPr>
        <w:t>进行企业基本信息和人员信息登记。不具备建筑业企业资</w:t>
      </w:r>
      <w:r>
        <w:rPr>
          <w:spacing w:val="18"/>
          <w:sz w:val="21"/>
          <w:szCs w:val="21"/>
        </w:rPr>
        <w:t xml:space="preserve"> </w:t>
      </w:r>
      <w:r>
        <w:rPr>
          <w:spacing w:val="-1"/>
          <w:sz w:val="21"/>
          <w:szCs w:val="21"/>
        </w:rPr>
        <w:t>质证书的企业无需在该一体化平台登记。</w:t>
      </w:r>
    </w:p>
    <w:p w14:paraId="3BCAF2AE">
      <w:pPr>
        <w:pStyle w:val="2"/>
        <w:spacing w:before="51" w:line="236" w:lineRule="auto"/>
        <w:ind w:left="293" w:right="48"/>
        <w:rPr>
          <w:sz w:val="21"/>
          <w:szCs w:val="21"/>
        </w:rPr>
      </w:pPr>
      <w:r>
        <w:rPr>
          <w:spacing w:val="2"/>
          <w:sz w:val="21"/>
          <w:szCs w:val="21"/>
        </w:rPr>
        <w:t>6.政府采购工程是指国家机关、事业单位、团体组织使用财政性资金采购建设工程</w:t>
      </w:r>
      <w:r>
        <w:rPr>
          <w:spacing w:val="1"/>
          <w:sz w:val="21"/>
          <w:szCs w:val="21"/>
        </w:rPr>
        <w:t>。财政</w:t>
      </w:r>
      <w:r>
        <w:rPr>
          <w:sz w:val="21"/>
          <w:szCs w:val="21"/>
        </w:rPr>
        <w:t xml:space="preserve"> </w:t>
      </w:r>
      <w:r>
        <w:rPr>
          <w:spacing w:val="2"/>
          <w:sz w:val="21"/>
          <w:szCs w:val="21"/>
        </w:rPr>
        <w:t>性资金是指纳入预算管理的资金。以财政性资金作为还款来源的借贷资金，视同财政性资</w:t>
      </w:r>
      <w:r>
        <w:rPr>
          <w:spacing w:val="6"/>
          <w:sz w:val="21"/>
          <w:szCs w:val="21"/>
        </w:rPr>
        <w:t xml:space="preserve"> </w:t>
      </w:r>
      <w:r>
        <w:rPr>
          <w:spacing w:val="-11"/>
          <w:sz w:val="21"/>
          <w:szCs w:val="21"/>
        </w:rPr>
        <w:t>金。</w:t>
      </w:r>
    </w:p>
    <w:p w14:paraId="1DAE41F0">
      <w:pPr>
        <w:pStyle w:val="2"/>
        <w:spacing w:before="15" w:line="239" w:lineRule="auto"/>
        <w:ind w:left="293" w:right="54"/>
        <w:rPr>
          <w:sz w:val="21"/>
          <w:szCs w:val="21"/>
        </w:rPr>
      </w:pPr>
      <w:r>
        <w:rPr>
          <w:spacing w:val="2"/>
          <w:sz w:val="21"/>
          <w:szCs w:val="21"/>
        </w:rPr>
        <w:t>本招标文件所称中、小、微企业，是指在中华人民共和国境内依法设立，依据《中小</w:t>
      </w:r>
      <w:r>
        <w:rPr>
          <w:spacing w:val="1"/>
          <w:sz w:val="21"/>
          <w:szCs w:val="21"/>
        </w:rPr>
        <w:t>企业</w:t>
      </w:r>
      <w:r>
        <w:rPr>
          <w:sz w:val="21"/>
          <w:szCs w:val="21"/>
        </w:rPr>
        <w:t xml:space="preserve"> </w:t>
      </w:r>
      <w:r>
        <w:rPr>
          <w:spacing w:val="4"/>
          <w:sz w:val="21"/>
          <w:szCs w:val="21"/>
        </w:rPr>
        <w:t>划型标准规定》(工信部联企业[2011]300号)确定的中型企业、小型企业和微型企业，但</w:t>
      </w:r>
      <w:r>
        <w:rPr>
          <w:spacing w:val="7"/>
          <w:sz w:val="21"/>
          <w:szCs w:val="21"/>
        </w:rPr>
        <w:t xml:space="preserve"> </w:t>
      </w:r>
      <w:r>
        <w:rPr>
          <w:spacing w:val="-1"/>
          <w:sz w:val="21"/>
          <w:szCs w:val="21"/>
        </w:rPr>
        <w:t>与大企业的负责人为同一人，或者与大企业存在直接控股、管理关系的除外。</w:t>
      </w:r>
    </w:p>
    <w:p w14:paraId="295759C9">
      <w:pPr>
        <w:pStyle w:val="2"/>
        <w:spacing w:before="10" w:line="237" w:lineRule="auto"/>
        <w:ind w:left="293" w:right="47"/>
        <w:rPr>
          <w:sz w:val="21"/>
          <w:szCs w:val="21"/>
        </w:rPr>
      </w:pPr>
      <w:r>
        <w:rPr>
          <w:spacing w:val="5"/>
          <w:sz w:val="21"/>
          <w:szCs w:val="21"/>
        </w:rPr>
        <w:t>预留份额专门面向中小企业采购的项目中(包括整体预留专门面向</w:t>
      </w:r>
      <w:r>
        <w:rPr>
          <w:spacing w:val="4"/>
          <w:sz w:val="21"/>
          <w:szCs w:val="21"/>
        </w:rPr>
        <w:t>中小企业、整体预留专</w:t>
      </w:r>
      <w:r>
        <w:rPr>
          <w:sz w:val="21"/>
          <w:szCs w:val="21"/>
        </w:rPr>
        <w:t xml:space="preserve"> </w:t>
      </w:r>
      <w:r>
        <w:rPr>
          <w:spacing w:val="2"/>
          <w:sz w:val="21"/>
          <w:szCs w:val="21"/>
        </w:rPr>
        <w:t>门面向小微企业、部分预留专门面向中小企业),部分预留专门面向中小企</w:t>
      </w:r>
      <w:r>
        <w:rPr>
          <w:spacing w:val="1"/>
          <w:sz w:val="21"/>
          <w:szCs w:val="21"/>
        </w:rPr>
        <w:t>业采购的项目，</w:t>
      </w:r>
      <w:r>
        <w:rPr>
          <w:sz w:val="21"/>
          <w:szCs w:val="21"/>
        </w:rPr>
        <w:t xml:space="preserve"> </w:t>
      </w:r>
      <w:r>
        <w:rPr>
          <w:spacing w:val="2"/>
          <w:sz w:val="21"/>
          <w:szCs w:val="21"/>
        </w:rPr>
        <w:t>招标人要明确预留的工作和金额。招标人要求大企业与中小企业组成联合体形式或者要求</w:t>
      </w:r>
      <w:r>
        <w:rPr>
          <w:sz w:val="21"/>
          <w:szCs w:val="21"/>
        </w:rPr>
        <w:t xml:space="preserve"> </w:t>
      </w:r>
      <w:r>
        <w:rPr>
          <w:spacing w:val="2"/>
          <w:sz w:val="21"/>
          <w:szCs w:val="21"/>
        </w:rPr>
        <w:t>大企业向中小企业分包的形式参加投标的，应当明确联合协议或者分包意向协议中中小企</w:t>
      </w:r>
      <w:r>
        <w:rPr>
          <w:sz w:val="21"/>
          <w:szCs w:val="21"/>
        </w:rPr>
        <w:t xml:space="preserve"> </w:t>
      </w:r>
      <w:r>
        <w:rPr>
          <w:spacing w:val="2"/>
          <w:sz w:val="21"/>
          <w:szCs w:val="21"/>
        </w:rPr>
        <w:t>业合同金额应当达到的比例，并作为投标人资格条件。联合体各方均为中小企业的，联合</w:t>
      </w:r>
      <w:r>
        <w:rPr>
          <w:sz w:val="21"/>
          <w:szCs w:val="21"/>
        </w:rPr>
        <w:t xml:space="preserve"> </w:t>
      </w:r>
      <w:r>
        <w:rPr>
          <w:spacing w:val="2"/>
          <w:sz w:val="21"/>
          <w:szCs w:val="21"/>
        </w:rPr>
        <w:t>体视同中小企业；联合体各方均为小微企业的，联合体视同小微企业。招标人要求以联合</w:t>
      </w:r>
      <w:r>
        <w:rPr>
          <w:sz w:val="21"/>
          <w:szCs w:val="21"/>
        </w:rPr>
        <w:t xml:space="preserve"> </w:t>
      </w:r>
      <w:r>
        <w:rPr>
          <w:spacing w:val="2"/>
          <w:sz w:val="21"/>
          <w:szCs w:val="21"/>
        </w:rPr>
        <w:t>体形式参加或者合同分包的，小微企业可以独立参加投标，无须以联合体的形式参加或进</w:t>
      </w:r>
      <w:r>
        <w:rPr>
          <w:sz w:val="21"/>
          <w:szCs w:val="21"/>
        </w:rPr>
        <w:t xml:space="preserve"> </w:t>
      </w:r>
      <w:r>
        <w:rPr>
          <w:spacing w:val="2"/>
          <w:sz w:val="21"/>
          <w:szCs w:val="21"/>
        </w:rPr>
        <w:t>行合同分包。该类项目因落实了政府采购预留份额支持中小企业发展政策，在评标时，小</w:t>
      </w:r>
      <w:r>
        <w:rPr>
          <w:spacing w:val="8"/>
          <w:sz w:val="21"/>
          <w:szCs w:val="21"/>
        </w:rPr>
        <w:t xml:space="preserve"> </w:t>
      </w:r>
      <w:r>
        <w:rPr>
          <w:spacing w:val="-1"/>
          <w:sz w:val="21"/>
          <w:szCs w:val="21"/>
        </w:rPr>
        <w:t>微企业不享受价格扣除或增加价格分的优惠政策。</w:t>
      </w:r>
    </w:p>
    <w:p w14:paraId="6FF09C03">
      <w:pPr>
        <w:pStyle w:val="2"/>
        <w:spacing w:before="19" w:line="238" w:lineRule="auto"/>
        <w:ind w:left="293" w:right="37"/>
        <w:rPr>
          <w:sz w:val="21"/>
          <w:szCs w:val="21"/>
        </w:rPr>
      </w:pPr>
      <w:r>
        <w:rPr>
          <w:spacing w:val="2"/>
          <w:sz w:val="21"/>
          <w:szCs w:val="21"/>
        </w:rPr>
        <w:t>未预留份额专门面向中小企业采购的项目，对小微企业，对接受大中型企业与小微企</w:t>
      </w:r>
      <w:r>
        <w:rPr>
          <w:spacing w:val="1"/>
          <w:sz w:val="21"/>
          <w:szCs w:val="21"/>
        </w:rPr>
        <w:t>业组</w:t>
      </w:r>
      <w:r>
        <w:rPr>
          <w:sz w:val="21"/>
          <w:szCs w:val="21"/>
        </w:rPr>
        <w:t xml:space="preserve"> </w:t>
      </w:r>
      <w:r>
        <w:rPr>
          <w:spacing w:val="2"/>
          <w:sz w:val="21"/>
          <w:szCs w:val="21"/>
        </w:rPr>
        <w:t>成联合体或者允许大中型企业向一家或者多家小微企业分包的项目，对于联合协议或者分</w:t>
      </w:r>
      <w:r>
        <w:rPr>
          <w:sz w:val="21"/>
          <w:szCs w:val="21"/>
        </w:rPr>
        <w:t xml:space="preserve"> 包意向协议约定小微企业的合同份额占到项目合同总金额30%以上的</w:t>
      </w:r>
      <w:r>
        <w:rPr>
          <w:spacing w:val="-1"/>
          <w:sz w:val="21"/>
          <w:szCs w:val="21"/>
        </w:rPr>
        <w:t>，对小微企业、对大中</w:t>
      </w:r>
      <w:r>
        <w:rPr>
          <w:sz w:val="21"/>
          <w:szCs w:val="21"/>
        </w:rPr>
        <w:t xml:space="preserve"> </w:t>
      </w:r>
      <w:r>
        <w:rPr>
          <w:spacing w:val="2"/>
          <w:sz w:val="21"/>
          <w:szCs w:val="21"/>
        </w:rPr>
        <w:t>型企业与小微企业组成的联合体或者向一家或者多家小微企业分包的大中型企业，在评标</w:t>
      </w:r>
      <w:r>
        <w:rPr>
          <w:sz w:val="21"/>
          <w:szCs w:val="21"/>
        </w:rPr>
        <w:t xml:space="preserve"> </w:t>
      </w:r>
      <w:r>
        <w:rPr>
          <w:spacing w:val="2"/>
          <w:sz w:val="21"/>
          <w:szCs w:val="21"/>
        </w:rPr>
        <w:t>时享受价格扣除或增加价格分的优惠政策。组成联合体或者接受分包的小微企业与联合体</w:t>
      </w:r>
      <w:r>
        <w:rPr>
          <w:sz w:val="21"/>
          <w:szCs w:val="21"/>
        </w:rPr>
        <w:t xml:space="preserve"> </w:t>
      </w:r>
      <w:r>
        <w:rPr>
          <w:spacing w:val="-1"/>
          <w:sz w:val="21"/>
          <w:szCs w:val="21"/>
        </w:rPr>
        <w:t>内其他企业、分包企业之间存在直接控股、管理关系的不享受评标优惠。</w:t>
      </w:r>
    </w:p>
    <w:p w14:paraId="51DEB6AE">
      <w:pPr>
        <w:pStyle w:val="2"/>
        <w:spacing w:before="3" w:line="229" w:lineRule="auto"/>
        <w:ind w:left="293" w:right="52"/>
        <w:rPr>
          <w:sz w:val="21"/>
          <w:szCs w:val="21"/>
        </w:rPr>
      </w:pPr>
      <w:r>
        <w:rPr>
          <w:spacing w:val="2"/>
          <w:sz w:val="21"/>
          <w:szCs w:val="21"/>
        </w:rPr>
        <w:t xml:space="preserve">享受扶持政策获得政府采购合同的，小微企业不得将合同分包给大中型企业，中型企业不 </w:t>
      </w:r>
      <w:r>
        <w:rPr>
          <w:spacing w:val="-4"/>
          <w:sz w:val="21"/>
          <w:szCs w:val="21"/>
        </w:rPr>
        <w:t>得将合同分包给大型企业。</w:t>
      </w:r>
    </w:p>
    <w:p w14:paraId="3E8A2D68">
      <w:pPr>
        <w:pStyle w:val="2"/>
        <w:spacing w:before="1" w:line="265" w:lineRule="auto"/>
        <w:ind w:left="293" w:right="31"/>
        <w:rPr>
          <w:sz w:val="21"/>
          <w:szCs w:val="21"/>
        </w:rPr>
      </w:pPr>
      <w:r>
        <w:rPr>
          <w:spacing w:val="-2"/>
          <w:sz w:val="21"/>
          <w:szCs w:val="21"/>
        </w:rPr>
        <w:t>具体的政策依据详见《政府采购促进中小企业发展管</w:t>
      </w:r>
      <w:r>
        <w:rPr>
          <w:spacing w:val="-3"/>
          <w:sz w:val="21"/>
          <w:szCs w:val="21"/>
        </w:rPr>
        <w:t>理办法》(财库〔2020〕46号)、《关于</w:t>
      </w:r>
      <w:r>
        <w:rPr>
          <w:sz w:val="21"/>
          <w:szCs w:val="21"/>
        </w:rPr>
        <w:t xml:space="preserve"> </w:t>
      </w:r>
      <w:r>
        <w:rPr>
          <w:spacing w:val="1"/>
          <w:sz w:val="21"/>
          <w:szCs w:val="21"/>
        </w:rPr>
        <w:t>进一步加大政府采购支持中小企业力度的通知》(财库〔2022〕19号)。</w:t>
      </w:r>
    </w:p>
    <w:p w14:paraId="0B536D92">
      <w:pPr>
        <w:spacing w:line="265" w:lineRule="auto"/>
        <w:rPr>
          <w:sz w:val="21"/>
          <w:szCs w:val="21"/>
        </w:rPr>
        <w:sectPr>
          <w:footerReference r:id="rId34" w:type="default"/>
          <w:pgSz w:w="11910" w:h="16840"/>
          <w:pgMar w:top="1431" w:right="1505" w:bottom="1008" w:left="1786" w:header="0" w:footer="855" w:gutter="0"/>
          <w:cols w:space="720" w:num="1"/>
        </w:sectPr>
      </w:pPr>
    </w:p>
    <w:p w14:paraId="30401B05">
      <w:pPr>
        <w:spacing w:line="351" w:lineRule="auto"/>
        <w:rPr>
          <w:rFonts w:ascii="Arial"/>
          <w:sz w:val="21"/>
        </w:rPr>
      </w:pPr>
    </w:p>
    <w:p w14:paraId="03B46B38">
      <w:pPr>
        <w:spacing w:before="91" w:line="222" w:lineRule="auto"/>
        <w:ind w:left="13"/>
        <w:outlineLvl w:val="1"/>
        <w:rPr>
          <w:rFonts w:ascii="黑体" w:hAnsi="黑体" w:eastAsia="黑体" w:cs="黑体"/>
          <w:sz w:val="28"/>
          <w:szCs w:val="28"/>
        </w:rPr>
      </w:pPr>
      <w:bookmarkStart w:id="87" w:name="bookmark232"/>
      <w:bookmarkEnd w:id="87"/>
      <w:bookmarkStart w:id="88" w:name="bookmark73"/>
      <w:bookmarkEnd w:id="88"/>
      <w:r>
        <w:rPr>
          <w:rFonts w:ascii="黑体" w:hAnsi="黑体" w:eastAsia="黑体" w:cs="黑体"/>
          <w:b/>
          <w:bCs/>
          <w:spacing w:val="-1"/>
          <w:sz w:val="28"/>
          <w:szCs w:val="28"/>
        </w:rPr>
        <w:t>附录二：政府采购工程预留工作及金额</w:t>
      </w:r>
    </w:p>
    <w:p w14:paraId="1C7D50A7">
      <w:pPr>
        <w:spacing w:before="21"/>
      </w:pPr>
    </w:p>
    <w:tbl>
      <w:tblPr>
        <w:tblStyle w:val="5"/>
        <w:tblW w:w="8499" w:type="dxa"/>
        <w:tblInd w:w="1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4"/>
        <w:gridCol w:w="3196"/>
        <w:gridCol w:w="1438"/>
        <w:gridCol w:w="1328"/>
        <w:gridCol w:w="1803"/>
      </w:tblGrid>
      <w:tr w14:paraId="01EE58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atLeast"/>
        </w:trPr>
        <w:tc>
          <w:tcPr>
            <w:tcW w:w="734" w:type="dxa"/>
            <w:vAlign w:val="top"/>
          </w:tcPr>
          <w:p w14:paraId="7E91BC5B">
            <w:pPr>
              <w:pStyle w:val="6"/>
              <w:spacing w:before="304" w:line="221" w:lineRule="auto"/>
              <w:ind w:left="144"/>
            </w:pPr>
            <w:r>
              <w:rPr>
                <w:spacing w:val="6"/>
              </w:rPr>
              <w:t>序号</w:t>
            </w:r>
          </w:p>
        </w:tc>
        <w:tc>
          <w:tcPr>
            <w:tcW w:w="3196" w:type="dxa"/>
            <w:vAlign w:val="top"/>
          </w:tcPr>
          <w:p w14:paraId="7E08C201">
            <w:pPr>
              <w:pStyle w:val="6"/>
              <w:spacing w:before="303" w:line="219" w:lineRule="auto"/>
              <w:ind w:left="750"/>
            </w:pPr>
            <w:r>
              <w:rPr>
                <w:spacing w:val="1"/>
              </w:rPr>
              <w:t>预留工作内容名称</w:t>
            </w:r>
          </w:p>
        </w:tc>
        <w:tc>
          <w:tcPr>
            <w:tcW w:w="1438" w:type="dxa"/>
            <w:vAlign w:val="top"/>
          </w:tcPr>
          <w:p w14:paraId="642079B0">
            <w:pPr>
              <w:pStyle w:val="6"/>
              <w:spacing w:before="34" w:line="220" w:lineRule="auto"/>
              <w:ind w:left="294"/>
            </w:pPr>
            <w:r>
              <w:rPr>
                <w:spacing w:val="3"/>
              </w:rPr>
              <w:t>预留工作</w:t>
            </w:r>
          </w:p>
          <w:p w14:paraId="6E71D4F1">
            <w:pPr>
              <w:pStyle w:val="6"/>
              <w:spacing w:before="17" w:line="218" w:lineRule="auto"/>
              <w:ind w:left="185"/>
            </w:pPr>
            <w:r>
              <w:rPr>
                <w:spacing w:val="-2"/>
              </w:rPr>
              <w:t>合同估算价</w:t>
            </w:r>
          </w:p>
          <w:p w14:paraId="42A7AA7C">
            <w:pPr>
              <w:pStyle w:val="6"/>
              <w:spacing w:before="24" w:line="201" w:lineRule="auto"/>
              <w:ind w:left="395"/>
            </w:pPr>
            <w:r>
              <w:rPr>
                <w:spacing w:val="11"/>
              </w:rPr>
              <w:t>(万元)</w:t>
            </w:r>
          </w:p>
        </w:tc>
        <w:tc>
          <w:tcPr>
            <w:tcW w:w="1328" w:type="dxa"/>
            <w:vAlign w:val="top"/>
          </w:tcPr>
          <w:p w14:paraId="047D81B0">
            <w:pPr>
              <w:pStyle w:val="6"/>
              <w:spacing w:before="21" w:line="218" w:lineRule="auto"/>
              <w:ind w:left="137"/>
            </w:pPr>
            <w:r>
              <w:rPr>
                <w:spacing w:val="-2"/>
              </w:rPr>
              <w:t>预留合同估</w:t>
            </w:r>
          </w:p>
          <w:p w14:paraId="31B09995">
            <w:pPr>
              <w:pStyle w:val="6"/>
              <w:spacing w:before="31" w:line="218" w:lineRule="auto"/>
              <w:ind w:left="236"/>
            </w:pPr>
            <w:r>
              <w:rPr>
                <w:spacing w:val="3"/>
              </w:rPr>
              <w:t>算价占比</w:t>
            </w:r>
          </w:p>
          <w:p w14:paraId="596CFC9A">
            <w:pPr>
              <w:pStyle w:val="6"/>
              <w:spacing w:before="26" w:line="199" w:lineRule="auto"/>
              <w:ind w:left="496"/>
            </w:pPr>
            <w:r>
              <w:rPr>
                <w:spacing w:val="-11"/>
              </w:rPr>
              <w:t>(%)</w:t>
            </w:r>
          </w:p>
        </w:tc>
        <w:tc>
          <w:tcPr>
            <w:tcW w:w="1803" w:type="dxa"/>
            <w:vAlign w:val="top"/>
          </w:tcPr>
          <w:p w14:paraId="240F8D9A">
            <w:pPr>
              <w:pStyle w:val="6"/>
              <w:spacing w:before="304" w:line="221" w:lineRule="auto"/>
              <w:ind w:left="728"/>
            </w:pPr>
            <w:r>
              <w:rPr>
                <w:spacing w:val="5"/>
              </w:rPr>
              <w:t>备注</w:t>
            </w:r>
          </w:p>
        </w:tc>
      </w:tr>
      <w:tr w14:paraId="4C20FA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734" w:type="dxa"/>
            <w:vAlign w:val="top"/>
          </w:tcPr>
          <w:p w14:paraId="3CDF479F">
            <w:pPr>
              <w:pStyle w:val="6"/>
              <w:spacing w:before="141" w:line="241" w:lineRule="auto"/>
              <w:ind w:left="305"/>
            </w:pPr>
            <w:r>
              <w:t>1</w:t>
            </w:r>
          </w:p>
        </w:tc>
        <w:tc>
          <w:tcPr>
            <w:tcW w:w="3196" w:type="dxa"/>
            <w:vAlign w:val="top"/>
          </w:tcPr>
          <w:p w14:paraId="1918E2E2">
            <w:pPr>
              <w:rPr>
                <w:rFonts w:ascii="Arial"/>
                <w:sz w:val="21"/>
              </w:rPr>
            </w:pPr>
          </w:p>
        </w:tc>
        <w:tc>
          <w:tcPr>
            <w:tcW w:w="1438" w:type="dxa"/>
            <w:vAlign w:val="top"/>
          </w:tcPr>
          <w:p w14:paraId="6027F8D4">
            <w:pPr>
              <w:rPr>
                <w:rFonts w:ascii="Arial"/>
                <w:sz w:val="21"/>
              </w:rPr>
            </w:pPr>
          </w:p>
        </w:tc>
        <w:tc>
          <w:tcPr>
            <w:tcW w:w="1328" w:type="dxa"/>
            <w:vAlign w:val="top"/>
          </w:tcPr>
          <w:p w14:paraId="1060CC08">
            <w:pPr>
              <w:rPr>
                <w:rFonts w:ascii="Arial"/>
                <w:sz w:val="21"/>
              </w:rPr>
            </w:pPr>
          </w:p>
        </w:tc>
        <w:tc>
          <w:tcPr>
            <w:tcW w:w="1803" w:type="dxa"/>
            <w:vAlign w:val="top"/>
          </w:tcPr>
          <w:p w14:paraId="1BCA44A0">
            <w:pPr>
              <w:rPr>
                <w:rFonts w:ascii="Arial"/>
                <w:sz w:val="21"/>
              </w:rPr>
            </w:pPr>
          </w:p>
        </w:tc>
      </w:tr>
      <w:tr w14:paraId="5CB32D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734" w:type="dxa"/>
            <w:vAlign w:val="top"/>
          </w:tcPr>
          <w:p w14:paraId="19808991">
            <w:pPr>
              <w:pStyle w:val="6"/>
              <w:spacing w:before="152" w:line="241" w:lineRule="auto"/>
              <w:ind w:left="305"/>
            </w:pPr>
            <w:r>
              <w:t>2</w:t>
            </w:r>
          </w:p>
        </w:tc>
        <w:tc>
          <w:tcPr>
            <w:tcW w:w="3196" w:type="dxa"/>
            <w:vAlign w:val="top"/>
          </w:tcPr>
          <w:p w14:paraId="3C4F2D0C">
            <w:pPr>
              <w:rPr>
                <w:rFonts w:ascii="Arial"/>
                <w:sz w:val="21"/>
              </w:rPr>
            </w:pPr>
          </w:p>
        </w:tc>
        <w:tc>
          <w:tcPr>
            <w:tcW w:w="1438" w:type="dxa"/>
            <w:vAlign w:val="top"/>
          </w:tcPr>
          <w:p w14:paraId="469E1EAA">
            <w:pPr>
              <w:rPr>
                <w:rFonts w:ascii="Arial"/>
                <w:sz w:val="21"/>
              </w:rPr>
            </w:pPr>
          </w:p>
        </w:tc>
        <w:tc>
          <w:tcPr>
            <w:tcW w:w="1328" w:type="dxa"/>
            <w:vAlign w:val="top"/>
          </w:tcPr>
          <w:p w14:paraId="5E644F37">
            <w:pPr>
              <w:rPr>
                <w:rFonts w:ascii="Arial"/>
                <w:sz w:val="21"/>
              </w:rPr>
            </w:pPr>
          </w:p>
        </w:tc>
        <w:tc>
          <w:tcPr>
            <w:tcW w:w="1803" w:type="dxa"/>
            <w:vAlign w:val="top"/>
          </w:tcPr>
          <w:p w14:paraId="2FC9D977">
            <w:pPr>
              <w:rPr>
                <w:rFonts w:ascii="Arial"/>
                <w:sz w:val="21"/>
              </w:rPr>
            </w:pPr>
          </w:p>
        </w:tc>
      </w:tr>
      <w:tr w14:paraId="2A6F8D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734" w:type="dxa"/>
            <w:vAlign w:val="top"/>
          </w:tcPr>
          <w:p w14:paraId="1A259745">
            <w:pPr>
              <w:pStyle w:val="6"/>
              <w:spacing w:before="142"/>
              <w:ind w:left="305"/>
            </w:pPr>
            <w:r>
              <w:t>3</w:t>
            </w:r>
          </w:p>
        </w:tc>
        <w:tc>
          <w:tcPr>
            <w:tcW w:w="3196" w:type="dxa"/>
            <w:vAlign w:val="top"/>
          </w:tcPr>
          <w:p w14:paraId="5D10607B">
            <w:pPr>
              <w:rPr>
                <w:rFonts w:ascii="Arial"/>
                <w:sz w:val="21"/>
              </w:rPr>
            </w:pPr>
          </w:p>
        </w:tc>
        <w:tc>
          <w:tcPr>
            <w:tcW w:w="1438" w:type="dxa"/>
            <w:vAlign w:val="top"/>
          </w:tcPr>
          <w:p w14:paraId="278F3F82">
            <w:pPr>
              <w:rPr>
                <w:rFonts w:ascii="Arial"/>
                <w:sz w:val="21"/>
              </w:rPr>
            </w:pPr>
          </w:p>
        </w:tc>
        <w:tc>
          <w:tcPr>
            <w:tcW w:w="1328" w:type="dxa"/>
            <w:vAlign w:val="top"/>
          </w:tcPr>
          <w:p w14:paraId="7BAAD5D8">
            <w:pPr>
              <w:rPr>
                <w:rFonts w:ascii="Arial"/>
                <w:sz w:val="21"/>
              </w:rPr>
            </w:pPr>
          </w:p>
        </w:tc>
        <w:tc>
          <w:tcPr>
            <w:tcW w:w="1803" w:type="dxa"/>
            <w:vAlign w:val="top"/>
          </w:tcPr>
          <w:p w14:paraId="24A78260">
            <w:pPr>
              <w:rPr>
                <w:rFonts w:ascii="Arial"/>
                <w:sz w:val="21"/>
              </w:rPr>
            </w:pPr>
          </w:p>
        </w:tc>
      </w:tr>
      <w:tr w14:paraId="53B2AB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734" w:type="dxa"/>
            <w:vAlign w:val="top"/>
          </w:tcPr>
          <w:p w14:paraId="4624F10A">
            <w:pPr>
              <w:pStyle w:val="6"/>
              <w:spacing w:before="154" w:line="241" w:lineRule="auto"/>
              <w:ind w:left="305"/>
            </w:pPr>
            <w:r>
              <w:t>4</w:t>
            </w:r>
          </w:p>
        </w:tc>
        <w:tc>
          <w:tcPr>
            <w:tcW w:w="3196" w:type="dxa"/>
            <w:vAlign w:val="top"/>
          </w:tcPr>
          <w:p w14:paraId="5F074B14">
            <w:pPr>
              <w:rPr>
                <w:rFonts w:ascii="Arial"/>
                <w:sz w:val="21"/>
              </w:rPr>
            </w:pPr>
          </w:p>
        </w:tc>
        <w:tc>
          <w:tcPr>
            <w:tcW w:w="1438" w:type="dxa"/>
            <w:vAlign w:val="top"/>
          </w:tcPr>
          <w:p w14:paraId="092276E9">
            <w:pPr>
              <w:rPr>
                <w:rFonts w:ascii="Arial"/>
                <w:sz w:val="21"/>
              </w:rPr>
            </w:pPr>
          </w:p>
        </w:tc>
        <w:tc>
          <w:tcPr>
            <w:tcW w:w="1328" w:type="dxa"/>
            <w:vAlign w:val="top"/>
          </w:tcPr>
          <w:p w14:paraId="2AFCB1A8">
            <w:pPr>
              <w:rPr>
                <w:rFonts w:ascii="Arial"/>
                <w:sz w:val="21"/>
              </w:rPr>
            </w:pPr>
          </w:p>
        </w:tc>
        <w:tc>
          <w:tcPr>
            <w:tcW w:w="1803" w:type="dxa"/>
            <w:vAlign w:val="top"/>
          </w:tcPr>
          <w:p w14:paraId="5CECCFCC">
            <w:pPr>
              <w:rPr>
                <w:rFonts w:ascii="Arial"/>
                <w:sz w:val="21"/>
              </w:rPr>
            </w:pPr>
          </w:p>
        </w:tc>
      </w:tr>
      <w:tr w14:paraId="1D8DAA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734" w:type="dxa"/>
            <w:vAlign w:val="top"/>
          </w:tcPr>
          <w:p w14:paraId="3EDF326B">
            <w:pPr>
              <w:pStyle w:val="6"/>
              <w:spacing w:before="145"/>
              <w:ind w:left="305"/>
            </w:pPr>
            <w:r>
              <w:t>5</w:t>
            </w:r>
          </w:p>
        </w:tc>
        <w:tc>
          <w:tcPr>
            <w:tcW w:w="3196" w:type="dxa"/>
            <w:vAlign w:val="top"/>
          </w:tcPr>
          <w:p w14:paraId="68888EC5">
            <w:pPr>
              <w:rPr>
                <w:rFonts w:ascii="Arial"/>
                <w:sz w:val="21"/>
              </w:rPr>
            </w:pPr>
          </w:p>
        </w:tc>
        <w:tc>
          <w:tcPr>
            <w:tcW w:w="1438" w:type="dxa"/>
            <w:vAlign w:val="top"/>
          </w:tcPr>
          <w:p w14:paraId="64E1FB7B">
            <w:pPr>
              <w:rPr>
                <w:rFonts w:ascii="Arial"/>
                <w:sz w:val="21"/>
              </w:rPr>
            </w:pPr>
          </w:p>
        </w:tc>
        <w:tc>
          <w:tcPr>
            <w:tcW w:w="1328" w:type="dxa"/>
            <w:vAlign w:val="top"/>
          </w:tcPr>
          <w:p w14:paraId="38D778E7">
            <w:pPr>
              <w:rPr>
                <w:rFonts w:ascii="Arial"/>
                <w:sz w:val="21"/>
              </w:rPr>
            </w:pPr>
          </w:p>
        </w:tc>
        <w:tc>
          <w:tcPr>
            <w:tcW w:w="1803" w:type="dxa"/>
            <w:vAlign w:val="top"/>
          </w:tcPr>
          <w:p w14:paraId="5D04D403">
            <w:pPr>
              <w:rPr>
                <w:rFonts w:ascii="Arial"/>
                <w:sz w:val="21"/>
              </w:rPr>
            </w:pPr>
          </w:p>
        </w:tc>
      </w:tr>
      <w:tr w14:paraId="49519F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734" w:type="dxa"/>
            <w:vAlign w:val="top"/>
          </w:tcPr>
          <w:p w14:paraId="7CF2D26E">
            <w:pPr>
              <w:pStyle w:val="6"/>
              <w:spacing w:before="146"/>
              <w:ind w:left="305"/>
            </w:pPr>
            <w:r>
              <w:t>6</w:t>
            </w:r>
          </w:p>
        </w:tc>
        <w:tc>
          <w:tcPr>
            <w:tcW w:w="3196" w:type="dxa"/>
            <w:vAlign w:val="top"/>
          </w:tcPr>
          <w:p w14:paraId="5BA7944A">
            <w:pPr>
              <w:rPr>
                <w:rFonts w:ascii="Arial"/>
                <w:sz w:val="21"/>
              </w:rPr>
            </w:pPr>
          </w:p>
        </w:tc>
        <w:tc>
          <w:tcPr>
            <w:tcW w:w="1438" w:type="dxa"/>
            <w:vAlign w:val="top"/>
          </w:tcPr>
          <w:p w14:paraId="5CA70DB5">
            <w:pPr>
              <w:rPr>
                <w:rFonts w:ascii="Arial"/>
                <w:sz w:val="21"/>
              </w:rPr>
            </w:pPr>
          </w:p>
        </w:tc>
        <w:tc>
          <w:tcPr>
            <w:tcW w:w="1328" w:type="dxa"/>
            <w:vAlign w:val="top"/>
          </w:tcPr>
          <w:p w14:paraId="0E86F614">
            <w:pPr>
              <w:rPr>
                <w:rFonts w:ascii="Arial"/>
                <w:sz w:val="21"/>
              </w:rPr>
            </w:pPr>
          </w:p>
        </w:tc>
        <w:tc>
          <w:tcPr>
            <w:tcW w:w="1803" w:type="dxa"/>
            <w:vAlign w:val="top"/>
          </w:tcPr>
          <w:p w14:paraId="397EDA0E">
            <w:pPr>
              <w:rPr>
                <w:rFonts w:ascii="Arial"/>
                <w:sz w:val="21"/>
              </w:rPr>
            </w:pPr>
          </w:p>
        </w:tc>
      </w:tr>
      <w:tr w14:paraId="21CDEB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8" w:hRule="atLeast"/>
        </w:trPr>
        <w:tc>
          <w:tcPr>
            <w:tcW w:w="734" w:type="dxa"/>
            <w:vAlign w:val="top"/>
          </w:tcPr>
          <w:p w14:paraId="65CA34A7">
            <w:pPr>
              <w:rPr>
                <w:rFonts w:ascii="Arial"/>
                <w:sz w:val="21"/>
              </w:rPr>
            </w:pPr>
          </w:p>
        </w:tc>
        <w:tc>
          <w:tcPr>
            <w:tcW w:w="3196" w:type="dxa"/>
            <w:vAlign w:val="top"/>
          </w:tcPr>
          <w:p w14:paraId="786D3FEC">
            <w:pPr>
              <w:pStyle w:val="6"/>
              <w:spacing w:before="137" w:line="221" w:lineRule="auto"/>
              <w:ind w:left="1380"/>
            </w:pPr>
            <w:r>
              <w:rPr>
                <w:spacing w:val="-3"/>
              </w:rPr>
              <w:t>合计</w:t>
            </w:r>
          </w:p>
        </w:tc>
        <w:tc>
          <w:tcPr>
            <w:tcW w:w="1438" w:type="dxa"/>
            <w:vAlign w:val="top"/>
          </w:tcPr>
          <w:p w14:paraId="7D8029CC">
            <w:pPr>
              <w:rPr>
                <w:rFonts w:ascii="Arial"/>
                <w:sz w:val="21"/>
              </w:rPr>
            </w:pPr>
          </w:p>
        </w:tc>
        <w:tc>
          <w:tcPr>
            <w:tcW w:w="1328" w:type="dxa"/>
            <w:vAlign w:val="top"/>
          </w:tcPr>
          <w:p w14:paraId="5F5226B0">
            <w:pPr>
              <w:rPr>
                <w:rFonts w:ascii="Arial"/>
                <w:sz w:val="21"/>
              </w:rPr>
            </w:pPr>
          </w:p>
        </w:tc>
        <w:tc>
          <w:tcPr>
            <w:tcW w:w="1803" w:type="dxa"/>
            <w:vAlign w:val="top"/>
          </w:tcPr>
          <w:p w14:paraId="3FFBBDCA">
            <w:pPr>
              <w:rPr>
                <w:rFonts w:ascii="Arial"/>
                <w:sz w:val="21"/>
              </w:rPr>
            </w:pPr>
          </w:p>
        </w:tc>
      </w:tr>
      <w:tr w14:paraId="0731D3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4" w:hRule="atLeast"/>
        </w:trPr>
        <w:tc>
          <w:tcPr>
            <w:tcW w:w="734" w:type="dxa"/>
            <w:vAlign w:val="top"/>
          </w:tcPr>
          <w:p w14:paraId="6BA41D7D">
            <w:pPr>
              <w:rPr>
                <w:rFonts w:ascii="Arial"/>
                <w:sz w:val="21"/>
              </w:rPr>
            </w:pPr>
          </w:p>
        </w:tc>
        <w:tc>
          <w:tcPr>
            <w:tcW w:w="3196" w:type="dxa"/>
            <w:vAlign w:val="top"/>
          </w:tcPr>
          <w:p w14:paraId="122ACAC1">
            <w:pPr>
              <w:pStyle w:val="6"/>
              <w:spacing w:before="126" w:line="218" w:lineRule="auto"/>
              <w:ind w:left="431"/>
            </w:pPr>
            <w:r>
              <w:rPr>
                <w:spacing w:val="3"/>
              </w:rPr>
              <w:t>本项目合同估算价(万元)</w:t>
            </w:r>
          </w:p>
        </w:tc>
        <w:tc>
          <w:tcPr>
            <w:tcW w:w="2766" w:type="dxa"/>
            <w:gridSpan w:val="2"/>
            <w:vAlign w:val="top"/>
          </w:tcPr>
          <w:p w14:paraId="39EE9A6B">
            <w:pPr>
              <w:rPr>
                <w:rFonts w:ascii="Arial"/>
                <w:sz w:val="21"/>
              </w:rPr>
            </w:pPr>
          </w:p>
        </w:tc>
        <w:tc>
          <w:tcPr>
            <w:tcW w:w="1803" w:type="dxa"/>
            <w:vAlign w:val="top"/>
          </w:tcPr>
          <w:p w14:paraId="1C6C3D36">
            <w:pPr>
              <w:rPr>
                <w:rFonts w:ascii="Arial"/>
                <w:sz w:val="21"/>
              </w:rPr>
            </w:pPr>
          </w:p>
        </w:tc>
      </w:tr>
    </w:tbl>
    <w:p w14:paraId="168CE6CE">
      <w:pPr>
        <w:spacing w:line="371" w:lineRule="auto"/>
        <w:rPr>
          <w:rFonts w:ascii="Arial"/>
          <w:sz w:val="21"/>
        </w:rPr>
      </w:pPr>
    </w:p>
    <w:p w14:paraId="1C003A29">
      <w:pPr>
        <w:pStyle w:val="2"/>
        <w:spacing w:before="68" w:line="238" w:lineRule="auto"/>
        <w:ind w:left="929" w:hanging="929"/>
        <w:rPr>
          <w:sz w:val="21"/>
          <w:szCs w:val="21"/>
        </w:rPr>
      </w:pPr>
      <w:r>
        <w:rPr>
          <w:spacing w:val="2"/>
          <w:sz w:val="21"/>
          <w:szCs w:val="21"/>
        </w:rPr>
        <w:t>备注：1.政府采购工程采用部分预留专门面向中小企业的，招标人应当明确预留工作、预</w:t>
      </w:r>
      <w:r>
        <w:rPr>
          <w:spacing w:val="1"/>
          <w:sz w:val="21"/>
          <w:szCs w:val="21"/>
        </w:rPr>
        <w:t>留工作</w:t>
      </w:r>
      <w:r>
        <w:rPr>
          <w:sz w:val="21"/>
          <w:szCs w:val="21"/>
        </w:rPr>
        <w:t xml:space="preserve"> </w:t>
      </w:r>
      <w:r>
        <w:rPr>
          <w:spacing w:val="-1"/>
          <w:sz w:val="21"/>
          <w:szCs w:val="21"/>
        </w:rPr>
        <w:t>合同估算价及预留合同估算价与项目合同估算价的占比。</w:t>
      </w:r>
    </w:p>
    <w:p w14:paraId="2DBB1461">
      <w:pPr>
        <w:pStyle w:val="2"/>
        <w:spacing w:before="1" w:line="234" w:lineRule="auto"/>
        <w:ind w:left="929" w:hanging="330"/>
        <w:rPr>
          <w:sz w:val="21"/>
          <w:szCs w:val="21"/>
        </w:rPr>
      </w:pPr>
      <w:r>
        <w:rPr>
          <w:sz w:val="21"/>
          <w:szCs w:val="21"/>
        </w:rPr>
        <w:t>2. 招标人部分预留专门面向中小企业时，应根据项目</w:t>
      </w:r>
      <w:r>
        <w:rPr>
          <w:spacing w:val="-1"/>
          <w:sz w:val="21"/>
          <w:szCs w:val="21"/>
        </w:rPr>
        <w:t>的实际情况，结合《建筑法》《招标</w:t>
      </w:r>
      <w:r>
        <w:rPr>
          <w:sz w:val="21"/>
          <w:szCs w:val="21"/>
        </w:rPr>
        <w:t xml:space="preserve"> </w:t>
      </w:r>
      <w:r>
        <w:rPr>
          <w:spacing w:val="-6"/>
          <w:sz w:val="21"/>
          <w:szCs w:val="21"/>
        </w:rPr>
        <w:t>投标法》《建筑业企业资质标准》《政府采购促进中小企业发展管理办法》的相关规定，</w:t>
      </w:r>
      <w:r>
        <w:rPr>
          <w:spacing w:val="16"/>
          <w:sz w:val="21"/>
          <w:szCs w:val="21"/>
        </w:rPr>
        <w:t xml:space="preserve"> </w:t>
      </w:r>
      <w:r>
        <w:rPr>
          <w:sz w:val="21"/>
          <w:szCs w:val="21"/>
        </w:rPr>
        <w:t>合理设置政府采购特别资格要求，充分考虑预留工作与要求以</w:t>
      </w:r>
      <w:r>
        <w:rPr>
          <w:spacing w:val="-1"/>
          <w:sz w:val="21"/>
          <w:szCs w:val="21"/>
        </w:rPr>
        <w:t>联合体形式参加或者要求</w:t>
      </w:r>
      <w:r>
        <w:rPr>
          <w:sz w:val="21"/>
          <w:szCs w:val="21"/>
        </w:rPr>
        <w:t xml:space="preserve"> 进行合同分包的适配性，以及联合协议或者分包意向协议中中小企业</w:t>
      </w:r>
      <w:r>
        <w:rPr>
          <w:spacing w:val="-1"/>
          <w:sz w:val="21"/>
          <w:szCs w:val="21"/>
        </w:rPr>
        <w:t>合同金额应当达到</w:t>
      </w:r>
      <w:r>
        <w:rPr>
          <w:sz w:val="21"/>
          <w:szCs w:val="21"/>
        </w:rPr>
        <w:t xml:space="preserve"> </w:t>
      </w:r>
      <w:r>
        <w:rPr>
          <w:spacing w:val="-3"/>
          <w:sz w:val="21"/>
          <w:szCs w:val="21"/>
        </w:rPr>
        <w:t>的比例的适配性。</w:t>
      </w:r>
    </w:p>
    <w:p w14:paraId="63E44AEC">
      <w:pPr>
        <w:pStyle w:val="2"/>
        <w:spacing w:before="16" w:line="233" w:lineRule="auto"/>
        <w:ind w:left="838" w:right="2" w:hanging="239"/>
        <w:rPr>
          <w:sz w:val="21"/>
          <w:szCs w:val="21"/>
        </w:rPr>
      </w:pPr>
      <w:r>
        <w:rPr>
          <w:sz w:val="21"/>
          <w:szCs w:val="21"/>
        </w:rPr>
        <w:t>3. 预留工作中包含专业工程暂估价的，则在备注栏中标注采用工程招标或政府采购方式专</w:t>
      </w:r>
      <w:r>
        <w:rPr>
          <w:spacing w:val="5"/>
          <w:sz w:val="21"/>
          <w:szCs w:val="21"/>
        </w:rPr>
        <w:t xml:space="preserve"> </w:t>
      </w:r>
      <w:r>
        <w:rPr>
          <w:spacing w:val="15"/>
          <w:sz w:val="21"/>
          <w:szCs w:val="21"/>
        </w:rPr>
        <w:t>门面向中小(小微)企业。</w:t>
      </w:r>
    </w:p>
    <w:p w14:paraId="0BEE8BB9">
      <w:pPr>
        <w:spacing w:line="233" w:lineRule="auto"/>
        <w:rPr>
          <w:sz w:val="21"/>
          <w:szCs w:val="21"/>
        </w:rPr>
        <w:sectPr>
          <w:footerReference r:id="rId35" w:type="default"/>
          <w:pgSz w:w="11910" w:h="16840"/>
          <w:pgMar w:top="1431" w:right="1525" w:bottom="1001" w:left="1480" w:header="0" w:footer="857" w:gutter="0"/>
          <w:cols w:space="720" w:num="1"/>
        </w:sectPr>
      </w:pPr>
    </w:p>
    <w:p w14:paraId="0C52E9A2">
      <w:pPr>
        <w:spacing w:line="351" w:lineRule="auto"/>
        <w:rPr>
          <w:rFonts w:ascii="Arial"/>
          <w:sz w:val="21"/>
        </w:rPr>
      </w:pPr>
    </w:p>
    <w:p w14:paraId="187D9A19">
      <w:pPr>
        <w:spacing w:before="91" w:line="222" w:lineRule="auto"/>
        <w:ind w:left="4"/>
        <w:outlineLvl w:val="1"/>
        <w:rPr>
          <w:rFonts w:ascii="黑体" w:hAnsi="黑体" w:eastAsia="黑体" w:cs="黑体"/>
          <w:sz w:val="28"/>
          <w:szCs w:val="28"/>
        </w:rPr>
      </w:pPr>
      <w:bookmarkStart w:id="89" w:name="bookmark233"/>
      <w:bookmarkEnd w:id="89"/>
      <w:bookmarkStart w:id="90" w:name="bookmark74"/>
      <w:bookmarkEnd w:id="90"/>
      <w:r>
        <w:rPr>
          <w:rFonts w:ascii="黑体" w:hAnsi="黑体" w:eastAsia="黑体" w:cs="黑体"/>
          <w:b/>
          <w:bCs/>
          <w:spacing w:val="-2"/>
          <w:sz w:val="28"/>
          <w:szCs w:val="28"/>
        </w:rPr>
        <w:t>附录三：政府采购工程适合小微企业承担的工作及金额</w:t>
      </w:r>
    </w:p>
    <w:p w14:paraId="403FE31D">
      <w:pPr>
        <w:spacing w:before="21"/>
      </w:pPr>
    </w:p>
    <w:tbl>
      <w:tblPr>
        <w:tblStyle w:val="5"/>
        <w:tblW w:w="8499" w:type="dxa"/>
        <w:tblInd w:w="1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4"/>
        <w:gridCol w:w="3196"/>
        <w:gridCol w:w="1438"/>
        <w:gridCol w:w="1328"/>
        <w:gridCol w:w="1803"/>
      </w:tblGrid>
      <w:tr w14:paraId="2EFD26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atLeast"/>
        </w:trPr>
        <w:tc>
          <w:tcPr>
            <w:tcW w:w="734" w:type="dxa"/>
            <w:vAlign w:val="top"/>
          </w:tcPr>
          <w:p w14:paraId="71C6B713">
            <w:pPr>
              <w:pStyle w:val="6"/>
              <w:spacing w:before="305" w:line="221" w:lineRule="auto"/>
              <w:ind w:left="134"/>
              <w:rPr>
                <w:sz w:val="22"/>
                <w:szCs w:val="22"/>
              </w:rPr>
            </w:pPr>
            <w:r>
              <w:rPr>
                <w:spacing w:val="6"/>
                <w:sz w:val="22"/>
                <w:szCs w:val="22"/>
              </w:rPr>
              <w:t>序号</w:t>
            </w:r>
          </w:p>
        </w:tc>
        <w:tc>
          <w:tcPr>
            <w:tcW w:w="3196" w:type="dxa"/>
            <w:vAlign w:val="top"/>
          </w:tcPr>
          <w:p w14:paraId="62F93164">
            <w:pPr>
              <w:pStyle w:val="6"/>
              <w:spacing w:before="304" w:line="219" w:lineRule="auto"/>
              <w:ind w:left="711"/>
              <w:rPr>
                <w:sz w:val="22"/>
                <w:szCs w:val="22"/>
              </w:rPr>
            </w:pPr>
            <w:r>
              <w:rPr>
                <w:spacing w:val="-1"/>
                <w:sz w:val="22"/>
                <w:szCs w:val="22"/>
              </w:rPr>
              <w:t>适合工作内容名称</w:t>
            </w:r>
          </w:p>
        </w:tc>
        <w:tc>
          <w:tcPr>
            <w:tcW w:w="1438" w:type="dxa"/>
            <w:vAlign w:val="top"/>
          </w:tcPr>
          <w:p w14:paraId="3FFC8661">
            <w:pPr>
              <w:pStyle w:val="6"/>
              <w:spacing w:before="34" w:line="220" w:lineRule="auto"/>
              <w:ind w:left="274"/>
              <w:rPr>
                <w:sz w:val="22"/>
                <w:szCs w:val="22"/>
              </w:rPr>
            </w:pPr>
            <w:r>
              <w:rPr>
                <w:spacing w:val="3"/>
                <w:sz w:val="22"/>
                <w:szCs w:val="22"/>
              </w:rPr>
              <w:t>适合工作</w:t>
            </w:r>
          </w:p>
          <w:p w14:paraId="09DFB815">
            <w:pPr>
              <w:pStyle w:val="6"/>
              <w:spacing w:before="5" w:line="218" w:lineRule="auto"/>
              <w:ind w:left="165"/>
              <w:rPr>
                <w:sz w:val="22"/>
                <w:szCs w:val="22"/>
              </w:rPr>
            </w:pPr>
            <w:r>
              <w:rPr>
                <w:spacing w:val="-2"/>
                <w:sz w:val="22"/>
                <w:szCs w:val="22"/>
              </w:rPr>
              <w:t>合同估算价</w:t>
            </w:r>
          </w:p>
          <w:p w14:paraId="77CBE4C8">
            <w:pPr>
              <w:pStyle w:val="6"/>
              <w:spacing w:before="12" w:line="192" w:lineRule="auto"/>
              <w:ind w:left="384"/>
              <w:rPr>
                <w:sz w:val="22"/>
                <w:szCs w:val="22"/>
              </w:rPr>
            </w:pPr>
            <w:r>
              <w:rPr>
                <w:spacing w:val="12"/>
                <w:sz w:val="22"/>
                <w:szCs w:val="22"/>
              </w:rPr>
              <w:t>(万元)</w:t>
            </w:r>
          </w:p>
        </w:tc>
        <w:tc>
          <w:tcPr>
            <w:tcW w:w="1328" w:type="dxa"/>
            <w:vAlign w:val="top"/>
          </w:tcPr>
          <w:p w14:paraId="12DB2591">
            <w:pPr>
              <w:pStyle w:val="6"/>
              <w:spacing w:before="24" w:line="220" w:lineRule="auto"/>
              <w:ind w:left="107"/>
              <w:rPr>
                <w:sz w:val="22"/>
                <w:szCs w:val="22"/>
              </w:rPr>
            </w:pPr>
            <w:r>
              <w:rPr>
                <w:spacing w:val="-2"/>
                <w:sz w:val="22"/>
                <w:szCs w:val="22"/>
              </w:rPr>
              <w:t>适合工作合</w:t>
            </w:r>
          </w:p>
          <w:p w14:paraId="45784DC1">
            <w:pPr>
              <w:pStyle w:val="6"/>
              <w:spacing w:before="15" w:line="218" w:lineRule="auto"/>
              <w:ind w:left="107"/>
              <w:rPr>
                <w:sz w:val="22"/>
                <w:szCs w:val="22"/>
              </w:rPr>
            </w:pPr>
            <w:r>
              <w:rPr>
                <w:spacing w:val="3"/>
                <w:sz w:val="22"/>
                <w:szCs w:val="22"/>
              </w:rPr>
              <w:t>同估算价占</w:t>
            </w:r>
          </w:p>
          <w:p w14:paraId="16964D40">
            <w:pPr>
              <w:pStyle w:val="6"/>
              <w:spacing w:before="15" w:line="189" w:lineRule="auto"/>
              <w:ind w:left="387"/>
              <w:rPr>
                <w:sz w:val="22"/>
                <w:szCs w:val="22"/>
              </w:rPr>
            </w:pPr>
            <w:r>
              <w:rPr>
                <w:spacing w:val="12"/>
                <w:sz w:val="22"/>
                <w:szCs w:val="22"/>
              </w:rPr>
              <w:t>比(%)</w:t>
            </w:r>
          </w:p>
        </w:tc>
        <w:tc>
          <w:tcPr>
            <w:tcW w:w="1803" w:type="dxa"/>
            <w:vAlign w:val="top"/>
          </w:tcPr>
          <w:p w14:paraId="7B18095F">
            <w:pPr>
              <w:pStyle w:val="6"/>
              <w:spacing w:before="305" w:line="221" w:lineRule="auto"/>
              <w:ind w:left="728"/>
              <w:rPr>
                <w:sz w:val="22"/>
                <w:szCs w:val="22"/>
              </w:rPr>
            </w:pPr>
            <w:r>
              <w:rPr>
                <w:spacing w:val="5"/>
                <w:sz w:val="22"/>
                <w:szCs w:val="22"/>
              </w:rPr>
              <w:t>备注</w:t>
            </w:r>
          </w:p>
        </w:tc>
      </w:tr>
      <w:tr w14:paraId="5FE963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734" w:type="dxa"/>
            <w:vAlign w:val="top"/>
          </w:tcPr>
          <w:p w14:paraId="6FB93C6D">
            <w:pPr>
              <w:pStyle w:val="6"/>
              <w:spacing w:before="142" w:line="241" w:lineRule="auto"/>
              <w:ind w:left="305"/>
              <w:rPr>
                <w:sz w:val="22"/>
                <w:szCs w:val="22"/>
              </w:rPr>
            </w:pPr>
            <w:r>
              <w:rPr>
                <w:sz w:val="22"/>
                <w:szCs w:val="22"/>
              </w:rPr>
              <w:t>1</w:t>
            </w:r>
          </w:p>
        </w:tc>
        <w:tc>
          <w:tcPr>
            <w:tcW w:w="3196" w:type="dxa"/>
            <w:vAlign w:val="top"/>
          </w:tcPr>
          <w:p w14:paraId="2BBE04BC">
            <w:pPr>
              <w:rPr>
                <w:rFonts w:ascii="Arial"/>
                <w:sz w:val="21"/>
              </w:rPr>
            </w:pPr>
          </w:p>
        </w:tc>
        <w:tc>
          <w:tcPr>
            <w:tcW w:w="1438" w:type="dxa"/>
            <w:vAlign w:val="top"/>
          </w:tcPr>
          <w:p w14:paraId="5CB4C6DB">
            <w:pPr>
              <w:rPr>
                <w:rFonts w:ascii="Arial"/>
                <w:sz w:val="21"/>
              </w:rPr>
            </w:pPr>
          </w:p>
        </w:tc>
        <w:tc>
          <w:tcPr>
            <w:tcW w:w="1328" w:type="dxa"/>
            <w:vAlign w:val="top"/>
          </w:tcPr>
          <w:p w14:paraId="3B689DFA">
            <w:pPr>
              <w:rPr>
                <w:rFonts w:ascii="Arial"/>
                <w:sz w:val="21"/>
              </w:rPr>
            </w:pPr>
          </w:p>
        </w:tc>
        <w:tc>
          <w:tcPr>
            <w:tcW w:w="1803" w:type="dxa"/>
            <w:vAlign w:val="top"/>
          </w:tcPr>
          <w:p w14:paraId="31BA3D55">
            <w:pPr>
              <w:rPr>
                <w:rFonts w:ascii="Arial"/>
                <w:sz w:val="21"/>
              </w:rPr>
            </w:pPr>
          </w:p>
        </w:tc>
      </w:tr>
      <w:tr w14:paraId="37EE96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734" w:type="dxa"/>
            <w:vAlign w:val="top"/>
          </w:tcPr>
          <w:p w14:paraId="17F921CB">
            <w:pPr>
              <w:pStyle w:val="6"/>
              <w:spacing w:before="143" w:line="241" w:lineRule="auto"/>
              <w:ind w:left="305"/>
              <w:rPr>
                <w:sz w:val="22"/>
                <w:szCs w:val="22"/>
              </w:rPr>
            </w:pPr>
            <w:r>
              <w:rPr>
                <w:sz w:val="22"/>
                <w:szCs w:val="22"/>
              </w:rPr>
              <w:t>2</w:t>
            </w:r>
          </w:p>
        </w:tc>
        <w:tc>
          <w:tcPr>
            <w:tcW w:w="3196" w:type="dxa"/>
            <w:vAlign w:val="top"/>
          </w:tcPr>
          <w:p w14:paraId="5347A8BC">
            <w:pPr>
              <w:rPr>
                <w:rFonts w:ascii="Arial"/>
                <w:sz w:val="21"/>
              </w:rPr>
            </w:pPr>
          </w:p>
        </w:tc>
        <w:tc>
          <w:tcPr>
            <w:tcW w:w="1438" w:type="dxa"/>
            <w:vAlign w:val="top"/>
          </w:tcPr>
          <w:p w14:paraId="40864B0B">
            <w:pPr>
              <w:rPr>
                <w:rFonts w:ascii="Arial"/>
                <w:sz w:val="21"/>
              </w:rPr>
            </w:pPr>
          </w:p>
        </w:tc>
        <w:tc>
          <w:tcPr>
            <w:tcW w:w="1328" w:type="dxa"/>
            <w:vAlign w:val="top"/>
          </w:tcPr>
          <w:p w14:paraId="291606DC">
            <w:pPr>
              <w:rPr>
                <w:rFonts w:ascii="Arial"/>
                <w:sz w:val="21"/>
              </w:rPr>
            </w:pPr>
          </w:p>
        </w:tc>
        <w:tc>
          <w:tcPr>
            <w:tcW w:w="1803" w:type="dxa"/>
            <w:vAlign w:val="top"/>
          </w:tcPr>
          <w:p w14:paraId="470C9813">
            <w:pPr>
              <w:rPr>
                <w:rFonts w:ascii="Arial"/>
                <w:sz w:val="21"/>
              </w:rPr>
            </w:pPr>
          </w:p>
        </w:tc>
      </w:tr>
      <w:tr w14:paraId="11BCF7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734" w:type="dxa"/>
            <w:vAlign w:val="top"/>
          </w:tcPr>
          <w:p w14:paraId="39859A32">
            <w:pPr>
              <w:pStyle w:val="6"/>
              <w:spacing w:before="144"/>
              <w:ind w:left="305"/>
              <w:rPr>
                <w:sz w:val="22"/>
                <w:szCs w:val="22"/>
              </w:rPr>
            </w:pPr>
            <w:r>
              <w:rPr>
                <w:sz w:val="22"/>
                <w:szCs w:val="22"/>
              </w:rPr>
              <w:t>3</w:t>
            </w:r>
          </w:p>
        </w:tc>
        <w:tc>
          <w:tcPr>
            <w:tcW w:w="3196" w:type="dxa"/>
            <w:vAlign w:val="top"/>
          </w:tcPr>
          <w:p w14:paraId="276F4E47">
            <w:pPr>
              <w:rPr>
                <w:rFonts w:ascii="Arial"/>
                <w:sz w:val="21"/>
              </w:rPr>
            </w:pPr>
          </w:p>
        </w:tc>
        <w:tc>
          <w:tcPr>
            <w:tcW w:w="1438" w:type="dxa"/>
            <w:vAlign w:val="top"/>
          </w:tcPr>
          <w:p w14:paraId="3A7A2D90">
            <w:pPr>
              <w:rPr>
                <w:rFonts w:ascii="Arial"/>
                <w:sz w:val="21"/>
              </w:rPr>
            </w:pPr>
          </w:p>
        </w:tc>
        <w:tc>
          <w:tcPr>
            <w:tcW w:w="1328" w:type="dxa"/>
            <w:vAlign w:val="top"/>
          </w:tcPr>
          <w:p w14:paraId="0F661692">
            <w:pPr>
              <w:rPr>
                <w:rFonts w:ascii="Arial"/>
                <w:sz w:val="21"/>
              </w:rPr>
            </w:pPr>
          </w:p>
        </w:tc>
        <w:tc>
          <w:tcPr>
            <w:tcW w:w="1803" w:type="dxa"/>
            <w:vAlign w:val="top"/>
          </w:tcPr>
          <w:p w14:paraId="77EFE76D">
            <w:pPr>
              <w:rPr>
                <w:rFonts w:ascii="Arial"/>
                <w:sz w:val="21"/>
              </w:rPr>
            </w:pPr>
          </w:p>
        </w:tc>
      </w:tr>
      <w:tr w14:paraId="43940D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734" w:type="dxa"/>
            <w:vAlign w:val="top"/>
          </w:tcPr>
          <w:p w14:paraId="3AB20D2F">
            <w:pPr>
              <w:pStyle w:val="6"/>
              <w:spacing w:before="145" w:line="241" w:lineRule="auto"/>
              <w:ind w:left="305"/>
              <w:rPr>
                <w:sz w:val="22"/>
                <w:szCs w:val="22"/>
              </w:rPr>
            </w:pPr>
            <w:r>
              <w:rPr>
                <w:sz w:val="22"/>
                <w:szCs w:val="22"/>
              </w:rPr>
              <w:t>4</w:t>
            </w:r>
          </w:p>
        </w:tc>
        <w:tc>
          <w:tcPr>
            <w:tcW w:w="3196" w:type="dxa"/>
            <w:vAlign w:val="top"/>
          </w:tcPr>
          <w:p w14:paraId="26C42FEF">
            <w:pPr>
              <w:rPr>
                <w:rFonts w:ascii="Arial"/>
                <w:sz w:val="21"/>
              </w:rPr>
            </w:pPr>
          </w:p>
        </w:tc>
        <w:tc>
          <w:tcPr>
            <w:tcW w:w="1438" w:type="dxa"/>
            <w:vAlign w:val="top"/>
          </w:tcPr>
          <w:p w14:paraId="4F668B1E">
            <w:pPr>
              <w:rPr>
                <w:rFonts w:ascii="Arial"/>
                <w:sz w:val="21"/>
              </w:rPr>
            </w:pPr>
          </w:p>
        </w:tc>
        <w:tc>
          <w:tcPr>
            <w:tcW w:w="1328" w:type="dxa"/>
            <w:vAlign w:val="top"/>
          </w:tcPr>
          <w:p w14:paraId="73B1452E">
            <w:pPr>
              <w:rPr>
                <w:rFonts w:ascii="Arial"/>
                <w:sz w:val="21"/>
              </w:rPr>
            </w:pPr>
          </w:p>
        </w:tc>
        <w:tc>
          <w:tcPr>
            <w:tcW w:w="1803" w:type="dxa"/>
            <w:vAlign w:val="top"/>
          </w:tcPr>
          <w:p w14:paraId="172FEF86">
            <w:pPr>
              <w:rPr>
                <w:rFonts w:ascii="Arial"/>
                <w:sz w:val="21"/>
              </w:rPr>
            </w:pPr>
          </w:p>
        </w:tc>
      </w:tr>
      <w:tr w14:paraId="47BE00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734" w:type="dxa"/>
            <w:vAlign w:val="top"/>
          </w:tcPr>
          <w:p w14:paraId="36FA4CEE">
            <w:pPr>
              <w:pStyle w:val="6"/>
              <w:spacing w:before="146"/>
              <w:ind w:left="305"/>
              <w:rPr>
                <w:sz w:val="22"/>
                <w:szCs w:val="22"/>
              </w:rPr>
            </w:pPr>
            <w:r>
              <w:rPr>
                <w:sz w:val="22"/>
                <w:szCs w:val="22"/>
              </w:rPr>
              <w:t>5</w:t>
            </w:r>
          </w:p>
        </w:tc>
        <w:tc>
          <w:tcPr>
            <w:tcW w:w="3196" w:type="dxa"/>
            <w:vAlign w:val="top"/>
          </w:tcPr>
          <w:p w14:paraId="41FC6D07">
            <w:pPr>
              <w:rPr>
                <w:rFonts w:ascii="Arial"/>
                <w:sz w:val="21"/>
              </w:rPr>
            </w:pPr>
          </w:p>
        </w:tc>
        <w:tc>
          <w:tcPr>
            <w:tcW w:w="1438" w:type="dxa"/>
            <w:vAlign w:val="top"/>
          </w:tcPr>
          <w:p w14:paraId="62F258F7">
            <w:pPr>
              <w:rPr>
                <w:rFonts w:ascii="Arial"/>
                <w:sz w:val="21"/>
              </w:rPr>
            </w:pPr>
          </w:p>
        </w:tc>
        <w:tc>
          <w:tcPr>
            <w:tcW w:w="1328" w:type="dxa"/>
            <w:vAlign w:val="top"/>
          </w:tcPr>
          <w:p w14:paraId="3F0EA778">
            <w:pPr>
              <w:rPr>
                <w:rFonts w:ascii="Arial"/>
                <w:sz w:val="21"/>
              </w:rPr>
            </w:pPr>
          </w:p>
        </w:tc>
        <w:tc>
          <w:tcPr>
            <w:tcW w:w="1803" w:type="dxa"/>
            <w:vAlign w:val="top"/>
          </w:tcPr>
          <w:p w14:paraId="71A70836">
            <w:pPr>
              <w:rPr>
                <w:rFonts w:ascii="Arial"/>
                <w:sz w:val="21"/>
              </w:rPr>
            </w:pPr>
          </w:p>
        </w:tc>
      </w:tr>
      <w:tr w14:paraId="52EC39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734" w:type="dxa"/>
            <w:vAlign w:val="top"/>
          </w:tcPr>
          <w:p w14:paraId="31EFE5B6">
            <w:pPr>
              <w:pStyle w:val="6"/>
              <w:spacing w:before="147"/>
              <w:ind w:left="305"/>
              <w:rPr>
                <w:sz w:val="22"/>
                <w:szCs w:val="22"/>
              </w:rPr>
            </w:pPr>
            <w:r>
              <w:rPr>
                <w:sz w:val="22"/>
                <w:szCs w:val="22"/>
              </w:rPr>
              <w:t>6</w:t>
            </w:r>
          </w:p>
        </w:tc>
        <w:tc>
          <w:tcPr>
            <w:tcW w:w="3196" w:type="dxa"/>
            <w:vAlign w:val="top"/>
          </w:tcPr>
          <w:p w14:paraId="00A7E36C">
            <w:pPr>
              <w:rPr>
                <w:rFonts w:ascii="Arial"/>
                <w:sz w:val="21"/>
              </w:rPr>
            </w:pPr>
          </w:p>
        </w:tc>
        <w:tc>
          <w:tcPr>
            <w:tcW w:w="1438" w:type="dxa"/>
            <w:vAlign w:val="top"/>
          </w:tcPr>
          <w:p w14:paraId="5AB641E7">
            <w:pPr>
              <w:rPr>
                <w:rFonts w:ascii="Arial"/>
                <w:sz w:val="21"/>
              </w:rPr>
            </w:pPr>
          </w:p>
        </w:tc>
        <w:tc>
          <w:tcPr>
            <w:tcW w:w="1328" w:type="dxa"/>
            <w:vAlign w:val="top"/>
          </w:tcPr>
          <w:p w14:paraId="42BC4F58">
            <w:pPr>
              <w:rPr>
                <w:rFonts w:ascii="Arial"/>
                <w:sz w:val="21"/>
              </w:rPr>
            </w:pPr>
          </w:p>
        </w:tc>
        <w:tc>
          <w:tcPr>
            <w:tcW w:w="1803" w:type="dxa"/>
            <w:vAlign w:val="top"/>
          </w:tcPr>
          <w:p w14:paraId="6DD6DFED">
            <w:pPr>
              <w:rPr>
                <w:rFonts w:ascii="Arial"/>
                <w:sz w:val="21"/>
              </w:rPr>
            </w:pPr>
          </w:p>
        </w:tc>
      </w:tr>
      <w:tr w14:paraId="5A56DA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8" w:hRule="atLeast"/>
        </w:trPr>
        <w:tc>
          <w:tcPr>
            <w:tcW w:w="734" w:type="dxa"/>
            <w:vAlign w:val="top"/>
          </w:tcPr>
          <w:p w14:paraId="10B01137">
            <w:pPr>
              <w:rPr>
                <w:rFonts w:ascii="Arial"/>
                <w:sz w:val="21"/>
              </w:rPr>
            </w:pPr>
          </w:p>
        </w:tc>
        <w:tc>
          <w:tcPr>
            <w:tcW w:w="3196" w:type="dxa"/>
            <w:vAlign w:val="top"/>
          </w:tcPr>
          <w:p w14:paraId="6DE1AFD3">
            <w:pPr>
              <w:pStyle w:val="6"/>
              <w:spacing w:before="138" w:line="221" w:lineRule="auto"/>
              <w:ind w:left="1370"/>
              <w:rPr>
                <w:sz w:val="22"/>
                <w:szCs w:val="22"/>
              </w:rPr>
            </w:pPr>
            <w:r>
              <w:rPr>
                <w:spacing w:val="-3"/>
                <w:sz w:val="22"/>
                <w:szCs w:val="22"/>
              </w:rPr>
              <w:t>合计</w:t>
            </w:r>
          </w:p>
        </w:tc>
        <w:tc>
          <w:tcPr>
            <w:tcW w:w="1438" w:type="dxa"/>
            <w:vAlign w:val="top"/>
          </w:tcPr>
          <w:p w14:paraId="7C22292D">
            <w:pPr>
              <w:rPr>
                <w:rFonts w:ascii="Arial"/>
                <w:sz w:val="21"/>
              </w:rPr>
            </w:pPr>
          </w:p>
        </w:tc>
        <w:tc>
          <w:tcPr>
            <w:tcW w:w="1328" w:type="dxa"/>
            <w:vAlign w:val="top"/>
          </w:tcPr>
          <w:p w14:paraId="31AC74C9">
            <w:pPr>
              <w:rPr>
                <w:rFonts w:ascii="Arial"/>
                <w:sz w:val="21"/>
              </w:rPr>
            </w:pPr>
          </w:p>
        </w:tc>
        <w:tc>
          <w:tcPr>
            <w:tcW w:w="1803" w:type="dxa"/>
            <w:vAlign w:val="top"/>
          </w:tcPr>
          <w:p w14:paraId="24CEEE29">
            <w:pPr>
              <w:rPr>
                <w:rFonts w:ascii="Arial"/>
                <w:sz w:val="21"/>
              </w:rPr>
            </w:pPr>
          </w:p>
        </w:tc>
      </w:tr>
      <w:tr w14:paraId="046F96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4" w:hRule="atLeast"/>
        </w:trPr>
        <w:tc>
          <w:tcPr>
            <w:tcW w:w="734" w:type="dxa"/>
            <w:vAlign w:val="top"/>
          </w:tcPr>
          <w:p w14:paraId="5EEC8318">
            <w:pPr>
              <w:rPr>
                <w:rFonts w:ascii="Arial"/>
                <w:sz w:val="21"/>
              </w:rPr>
            </w:pPr>
          </w:p>
        </w:tc>
        <w:tc>
          <w:tcPr>
            <w:tcW w:w="3196" w:type="dxa"/>
            <w:vAlign w:val="top"/>
          </w:tcPr>
          <w:p w14:paraId="5268F193">
            <w:pPr>
              <w:pStyle w:val="6"/>
              <w:spacing w:before="117" w:line="218" w:lineRule="auto"/>
              <w:ind w:left="381"/>
              <w:rPr>
                <w:sz w:val="22"/>
                <w:szCs w:val="22"/>
              </w:rPr>
            </w:pPr>
            <w:r>
              <w:rPr>
                <w:spacing w:val="4"/>
                <w:sz w:val="22"/>
                <w:szCs w:val="22"/>
              </w:rPr>
              <w:t>本项目合同估算价(万元)</w:t>
            </w:r>
          </w:p>
        </w:tc>
        <w:tc>
          <w:tcPr>
            <w:tcW w:w="2766" w:type="dxa"/>
            <w:gridSpan w:val="2"/>
            <w:vAlign w:val="top"/>
          </w:tcPr>
          <w:p w14:paraId="04174D60">
            <w:pPr>
              <w:rPr>
                <w:rFonts w:ascii="Arial"/>
                <w:sz w:val="21"/>
              </w:rPr>
            </w:pPr>
          </w:p>
        </w:tc>
        <w:tc>
          <w:tcPr>
            <w:tcW w:w="1803" w:type="dxa"/>
            <w:vAlign w:val="top"/>
          </w:tcPr>
          <w:p w14:paraId="678B5EF8">
            <w:pPr>
              <w:rPr>
                <w:rFonts w:ascii="Arial"/>
                <w:sz w:val="21"/>
              </w:rPr>
            </w:pPr>
          </w:p>
        </w:tc>
      </w:tr>
    </w:tbl>
    <w:p w14:paraId="12CCBA7E">
      <w:pPr>
        <w:spacing w:line="350" w:lineRule="auto"/>
        <w:rPr>
          <w:rFonts w:ascii="Arial"/>
          <w:sz w:val="21"/>
        </w:rPr>
      </w:pPr>
    </w:p>
    <w:p w14:paraId="0B9989C1">
      <w:pPr>
        <w:pStyle w:val="2"/>
        <w:spacing w:before="68" w:line="246" w:lineRule="auto"/>
        <w:ind w:left="919" w:hanging="919"/>
        <w:rPr>
          <w:sz w:val="18"/>
          <w:szCs w:val="18"/>
        </w:rPr>
      </w:pPr>
      <w:r>
        <w:rPr>
          <w:spacing w:val="2"/>
          <w:sz w:val="21"/>
          <w:szCs w:val="21"/>
        </w:rPr>
        <w:t>备注：1.政府采购工程未预留份额面向中小企业采购的，如果招标人接受大中型企业与小微企业</w:t>
      </w:r>
      <w:r>
        <w:rPr>
          <w:sz w:val="21"/>
          <w:szCs w:val="21"/>
        </w:rPr>
        <w:t xml:space="preserve"> 组成联合体或允许大中型企业向一家或者多家小微企业分包</w:t>
      </w:r>
      <w:r>
        <w:rPr>
          <w:spacing w:val="-1"/>
          <w:sz w:val="21"/>
          <w:szCs w:val="21"/>
        </w:rPr>
        <w:t>，招标人宜明确适合联合体</w:t>
      </w:r>
      <w:r>
        <w:rPr>
          <w:sz w:val="21"/>
          <w:szCs w:val="21"/>
        </w:rPr>
        <w:t xml:space="preserve"> </w:t>
      </w:r>
      <w:r>
        <w:rPr>
          <w:spacing w:val="-1"/>
          <w:sz w:val="21"/>
          <w:szCs w:val="21"/>
        </w:rPr>
        <w:t>中的小微企业或适合接受分包的小微企业承担的工作、适合工作的合同估算价及适合工</w:t>
      </w:r>
      <w:r>
        <w:rPr>
          <w:spacing w:val="9"/>
          <w:sz w:val="21"/>
          <w:szCs w:val="21"/>
        </w:rPr>
        <w:t xml:space="preserve"> </w:t>
      </w:r>
      <w:r>
        <w:rPr>
          <w:sz w:val="21"/>
          <w:szCs w:val="21"/>
        </w:rPr>
        <w:t>作的合同估算价与项目合同估算价的占比，以供投标人组建联</w:t>
      </w:r>
      <w:r>
        <w:rPr>
          <w:spacing w:val="-1"/>
          <w:sz w:val="21"/>
          <w:szCs w:val="21"/>
        </w:rPr>
        <w:t>合体或签订分包意向协议</w:t>
      </w:r>
      <w:r>
        <w:rPr>
          <w:sz w:val="21"/>
          <w:szCs w:val="21"/>
        </w:rPr>
        <w:t xml:space="preserve"> </w:t>
      </w:r>
      <w:r>
        <w:rPr>
          <w:spacing w:val="18"/>
          <w:sz w:val="18"/>
          <w:szCs w:val="18"/>
        </w:rPr>
        <w:t>时参考</w:t>
      </w:r>
      <w:r>
        <w:rPr>
          <w:spacing w:val="-47"/>
          <w:sz w:val="18"/>
          <w:szCs w:val="18"/>
        </w:rPr>
        <w:t xml:space="preserve"> </w:t>
      </w:r>
      <w:r>
        <w:rPr>
          <w:spacing w:val="18"/>
          <w:sz w:val="18"/>
          <w:szCs w:val="18"/>
        </w:rPr>
        <w:t>。</w:t>
      </w:r>
    </w:p>
    <w:p w14:paraId="6CF70F5F">
      <w:pPr>
        <w:pStyle w:val="2"/>
        <w:spacing w:before="12" w:line="249" w:lineRule="auto"/>
        <w:ind w:left="919" w:right="25" w:hanging="320"/>
        <w:rPr>
          <w:sz w:val="21"/>
          <w:szCs w:val="21"/>
        </w:rPr>
      </w:pPr>
      <w:r>
        <w:rPr>
          <w:sz w:val="21"/>
          <w:szCs w:val="21"/>
        </w:rPr>
        <w:t>2. 适合工作中包含专业工程暂估价的，则在备注栏中标</w:t>
      </w:r>
      <w:r>
        <w:rPr>
          <w:spacing w:val="-1"/>
          <w:sz w:val="21"/>
          <w:szCs w:val="21"/>
        </w:rPr>
        <w:t>注采用工程招标或政府采购方式专</w:t>
      </w:r>
      <w:r>
        <w:rPr>
          <w:sz w:val="21"/>
          <w:szCs w:val="21"/>
        </w:rPr>
        <w:t xml:space="preserve"> </w:t>
      </w:r>
      <w:r>
        <w:rPr>
          <w:spacing w:val="14"/>
          <w:sz w:val="21"/>
          <w:szCs w:val="21"/>
        </w:rPr>
        <w:t>门面向中小(小微)企业。</w:t>
      </w:r>
    </w:p>
    <w:p w14:paraId="58C12A07">
      <w:pPr>
        <w:spacing w:line="249" w:lineRule="auto"/>
        <w:rPr>
          <w:sz w:val="21"/>
          <w:szCs w:val="21"/>
        </w:rPr>
        <w:sectPr>
          <w:footerReference r:id="rId36" w:type="default"/>
          <w:pgSz w:w="11910" w:h="16840"/>
          <w:pgMar w:top="1431" w:right="1522" w:bottom="1001" w:left="1480" w:header="0" w:footer="857" w:gutter="0"/>
          <w:cols w:space="720" w:num="1"/>
        </w:sectPr>
      </w:pPr>
    </w:p>
    <w:p w14:paraId="6AFF6B06">
      <w:pPr>
        <w:spacing w:line="260" w:lineRule="auto"/>
        <w:rPr>
          <w:rFonts w:ascii="Arial"/>
          <w:sz w:val="21"/>
        </w:rPr>
      </w:pPr>
    </w:p>
    <w:p w14:paraId="721E4213">
      <w:pPr>
        <w:spacing w:line="260" w:lineRule="auto"/>
        <w:rPr>
          <w:rFonts w:ascii="Arial"/>
          <w:sz w:val="21"/>
        </w:rPr>
      </w:pPr>
    </w:p>
    <w:p w14:paraId="2FD31A54">
      <w:pPr>
        <w:spacing w:before="61" w:line="222" w:lineRule="auto"/>
        <w:ind w:left="10"/>
        <w:outlineLvl w:val="1"/>
        <w:rPr>
          <w:rFonts w:ascii="黑体" w:hAnsi="黑体" w:eastAsia="黑体" w:cs="黑体"/>
          <w:sz w:val="19"/>
          <w:szCs w:val="19"/>
        </w:rPr>
      </w:pPr>
      <w:bookmarkStart w:id="91" w:name="bookmark75"/>
      <w:bookmarkEnd w:id="91"/>
      <w:r>
        <w:rPr>
          <w:rFonts w:ascii="黑体" w:hAnsi="黑体" w:eastAsia="黑体" w:cs="黑体"/>
          <w:spacing w:val="-10"/>
          <w:sz w:val="19"/>
          <w:szCs w:val="19"/>
        </w:rPr>
        <w:t>附</w:t>
      </w:r>
      <w:r>
        <w:rPr>
          <w:rFonts w:ascii="黑体" w:hAnsi="黑体" w:eastAsia="黑体" w:cs="黑体"/>
          <w:spacing w:val="-20"/>
          <w:sz w:val="19"/>
          <w:szCs w:val="19"/>
        </w:rPr>
        <w:t xml:space="preserve"> </w:t>
      </w:r>
      <w:r>
        <w:rPr>
          <w:rFonts w:ascii="黑体" w:hAnsi="黑体" w:eastAsia="黑体" w:cs="黑体"/>
          <w:spacing w:val="-10"/>
          <w:sz w:val="19"/>
          <w:szCs w:val="19"/>
        </w:rPr>
        <w:t>表</w:t>
      </w:r>
      <w:r>
        <w:rPr>
          <w:rFonts w:ascii="黑体" w:hAnsi="黑体" w:eastAsia="黑体" w:cs="黑体"/>
          <w:spacing w:val="-28"/>
          <w:sz w:val="19"/>
          <w:szCs w:val="19"/>
        </w:rPr>
        <w:t xml:space="preserve"> </w:t>
      </w:r>
      <w:r>
        <w:rPr>
          <w:rFonts w:ascii="黑体" w:hAnsi="黑体" w:eastAsia="黑体" w:cs="黑体"/>
          <w:spacing w:val="-10"/>
          <w:sz w:val="19"/>
          <w:szCs w:val="19"/>
        </w:rPr>
        <w:t>一</w:t>
      </w:r>
      <w:r>
        <w:rPr>
          <w:rFonts w:ascii="黑体" w:hAnsi="黑体" w:eastAsia="黑体" w:cs="黑体"/>
          <w:spacing w:val="-38"/>
          <w:sz w:val="19"/>
          <w:szCs w:val="19"/>
        </w:rPr>
        <w:t xml:space="preserve"> </w:t>
      </w:r>
      <w:r>
        <w:rPr>
          <w:rFonts w:ascii="黑体" w:hAnsi="黑体" w:eastAsia="黑体" w:cs="黑体"/>
          <w:spacing w:val="-10"/>
          <w:sz w:val="19"/>
          <w:szCs w:val="19"/>
        </w:rPr>
        <w:t>：</w:t>
      </w:r>
      <w:r>
        <w:rPr>
          <w:rFonts w:ascii="黑体" w:hAnsi="黑体" w:eastAsia="黑体" w:cs="黑体"/>
          <w:spacing w:val="-32"/>
          <w:sz w:val="19"/>
          <w:szCs w:val="19"/>
        </w:rPr>
        <w:t xml:space="preserve"> </w:t>
      </w:r>
      <w:r>
        <w:rPr>
          <w:rFonts w:ascii="黑体" w:hAnsi="黑体" w:eastAsia="黑体" w:cs="黑体"/>
          <w:spacing w:val="-10"/>
          <w:sz w:val="19"/>
          <w:szCs w:val="19"/>
        </w:rPr>
        <w:t>招</w:t>
      </w:r>
      <w:r>
        <w:rPr>
          <w:rFonts w:ascii="黑体" w:hAnsi="黑体" w:eastAsia="黑体" w:cs="黑体"/>
          <w:spacing w:val="-34"/>
          <w:sz w:val="19"/>
          <w:szCs w:val="19"/>
        </w:rPr>
        <w:t xml:space="preserve"> </w:t>
      </w:r>
      <w:r>
        <w:rPr>
          <w:rFonts w:ascii="黑体" w:hAnsi="黑体" w:eastAsia="黑体" w:cs="黑体"/>
          <w:spacing w:val="-10"/>
          <w:sz w:val="19"/>
          <w:szCs w:val="19"/>
        </w:rPr>
        <w:t>标</w:t>
      </w:r>
      <w:r>
        <w:rPr>
          <w:rFonts w:ascii="黑体" w:hAnsi="黑体" w:eastAsia="黑体" w:cs="黑体"/>
          <w:spacing w:val="-29"/>
          <w:sz w:val="19"/>
          <w:szCs w:val="19"/>
        </w:rPr>
        <w:t xml:space="preserve"> </w:t>
      </w:r>
      <w:r>
        <w:rPr>
          <w:rFonts w:ascii="黑体" w:hAnsi="黑体" w:eastAsia="黑体" w:cs="黑体"/>
          <w:spacing w:val="-10"/>
          <w:sz w:val="19"/>
          <w:szCs w:val="19"/>
        </w:rPr>
        <w:t>文</w:t>
      </w:r>
      <w:r>
        <w:rPr>
          <w:rFonts w:ascii="黑体" w:hAnsi="黑体" w:eastAsia="黑体" w:cs="黑体"/>
          <w:spacing w:val="-33"/>
          <w:sz w:val="19"/>
          <w:szCs w:val="19"/>
        </w:rPr>
        <w:t xml:space="preserve"> </w:t>
      </w:r>
      <w:r>
        <w:rPr>
          <w:rFonts w:ascii="黑体" w:hAnsi="黑体" w:eastAsia="黑体" w:cs="黑体"/>
          <w:spacing w:val="-10"/>
          <w:sz w:val="19"/>
          <w:szCs w:val="19"/>
        </w:rPr>
        <w:t>件</w:t>
      </w:r>
      <w:r>
        <w:rPr>
          <w:rFonts w:ascii="黑体" w:hAnsi="黑体" w:eastAsia="黑体" w:cs="黑体"/>
          <w:spacing w:val="-29"/>
          <w:sz w:val="19"/>
          <w:szCs w:val="19"/>
        </w:rPr>
        <w:t xml:space="preserve"> </w:t>
      </w:r>
      <w:r>
        <w:rPr>
          <w:rFonts w:ascii="黑体" w:hAnsi="黑体" w:eastAsia="黑体" w:cs="黑体"/>
          <w:spacing w:val="-10"/>
          <w:sz w:val="19"/>
          <w:szCs w:val="19"/>
        </w:rPr>
        <w:t>澄</w:t>
      </w:r>
      <w:r>
        <w:rPr>
          <w:rFonts w:ascii="黑体" w:hAnsi="黑体" w:eastAsia="黑体" w:cs="黑体"/>
          <w:spacing w:val="-29"/>
          <w:sz w:val="19"/>
          <w:szCs w:val="19"/>
        </w:rPr>
        <w:t xml:space="preserve"> </w:t>
      </w:r>
      <w:r>
        <w:rPr>
          <w:rFonts w:ascii="黑体" w:hAnsi="黑体" w:eastAsia="黑体" w:cs="黑体"/>
          <w:spacing w:val="-10"/>
          <w:sz w:val="19"/>
          <w:szCs w:val="19"/>
        </w:rPr>
        <w:t>清 申</w:t>
      </w:r>
      <w:r>
        <w:rPr>
          <w:rFonts w:ascii="黑体" w:hAnsi="黑体" w:eastAsia="黑体" w:cs="黑体"/>
          <w:spacing w:val="-30"/>
          <w:sz w:val="19"/>
          <w:szCs w:val="19"/>
        </w:rPr>
        <w:t xml:space="preserve"> </w:t>
      </w:r>
      <w:r>
        <w:rPr>
          <w:rFonts w:ascii="黑体" w:hAnsi="黑体" w:eastAsia="黑体" w:cs="黑体"/>
          <w:spacing w:val="-10"/>
          <w:sz w:val="19"/>
          <w:szCs w:val="19"/>
        </w:rPr>
        <w:t>请</w:t>
      </w:r>
      <w:r>
        <w:rPr>
          <w:rFonts w:ascii="黑体" w:hAnsi="黑体" w:eastAsia="黑体" w:cs="黑体"/>
          <w:spacing w:val="-18"/>
          <w:sz w:val="19"/>
          <w:szCs w:val="19"/>
        </w:rPr>
        <w:t xml:space="preserve"> </w:t>
      </w:r>
      <w:r>
        <w:rPr>
          <w:rFonts w:ascii="黑体" w:hAnsi="黑体" w:eastAsia="黑体" w:cs="黑体"/>
          <w:spacing w:val="-10"/>
          <w:sz w:val="19"/>
          <w:szCs w:val="19"/>
        </w:rPr>
        <w:t>函</w:t>
      </w:r>
    </w:p>
    <w:p w14:paraId="5EABF112">
      <w:pPr>
        <w:spacing w:line="282" w:lineRule="auto"/>
        <w:rPr>
          <w:rFonts w:ascii="Arial"/>
          <w:sz w:val="21"/>
        </w:rPr>
      </w:pPr>
    </w:p>
    <w:p w14:paraId="39865ADD">
      <w:pPr>
        <w:spacing w:line="282" w:lineRule="auto"/>
        <w:rPr>
          <w:rFonts w:ascii="Arial"/>
          <w:sz w:val="21"/>
        </w:rPr>
      </w:pPr>
    </w:p>
    <w:p w14:paraId="4CE50CF6">
      <w:pPr>
        <w:spacing w:line="282" w:lineRule="auto"/>
        <w:rPr>
          <w:rFonts w:ascii="Arial"/>
          <w:sz w:val="21"/>
        </w:rPr>
      </w:pPr>
    </w:p>
    <w:p w14:paraId="447AA770">
      <w:pPr>
        <w:spacing w:line="283" w:lineRule="auto"/>
        <w:rPr>
          <w:rFonts w:ascii="Arial"/>
          <w:sz w:val="21"/>
        </w:rPr>
      </w:pPr>
    </w:p>
    <w:p w14:paraId="384C6426">
      <w:pPr>
        <w:spacing w:before="88" w:line="222" w:lineRule="auto"/>
        <w:ind w:left="3179"/>
        <w:rPr>
          <w:rFonts w:ascii="黑体" w:hAnsi="黑体" w:eastAsia="黑体" w:cs="黑体"/>
          <w:sz w:val="27"/>
          <w:szCs w:val="27"/>
        </w:rPr>
      </w:pPr>
      <w:bookmarkStart w:id="92" w:name="bookmark234"/>
      <w:bookmarkEnd w:id="92"/>
      <w:r>
        <w:rPr>
          <w:rFonts w:ascii="黑体" w:hAnsi="黑体" w:eastAsia="黑体" w:cs="黑体"/>
          <w:spacing w:val="14"/>
          <w:sz w:val="27"/>
          <w:szCs w:val="27"/>
        </w:rPr>
        <w:t>招标文件澄清申请函</w:t>
      </w:r>
    </w:p>
    <w:p w14:paraId="6B2A394C">
      <w:pPr>
        <w:spacing w:line="259" w:lineRule="auto"/>
        <w:rPr>
          <w:rFonts w:ascii="Arial"/>
          <w:sz w:val="21"/>
        </w:rPr>
      </w:pPr>
    </w:p>
    <w:p w14:paraId="2FF47D8D">
      <w:pPr>
        <w:spacing w:line="259" w:lineRule="auto"/>
        <w:rPr>
          <w:rFonts w:ascii="Arial"/>
          <w:sz w:val="21"/>
        </w:rPr>
      </w:pPr>
    </w:p>
    <w:p w14:paraId="363D89D0">
      <w:pPr>
        <w:pStyle w:val="2"/>
        <w:spacing w:before="62" w:line="219" w:lineRule="auto"/>
        <w:ind w:left="6189"/>
        <w:rPr>
          <w:sz w:val="19"/>
          <w:szCs w:val="19"/>
        </w:rPr>
      </w:pPr>
      <w:r>
        <w:rPr>
          <w:spacing w:val="2"/>
          <w:sz w:val="19"/>
          <w:szCs w:val="19"/>
        </w:rPr>
        <w:t>编号</w:t>
      </w:r>
      <w:r>
        <w:rPr>
          <w:spacing w:val="-27"/>
          <w:sz w:val="19"/>
          <w:szCs w:val="19"/>
        </w:rPr>
        <w:t xml:space="preserve"> </w:t>
      </w:r>
      <w:r>
        <w:rPr>
          <w:spacing w:val="2"/>
          <w:sz w:val="19"/>
          <w:szCs w:val="19"/>
        </w:rPr>
        <w:t>：</w:t>
      </w:r>
      <w:r>
        <w:rPr>
          <w:spacing w:val="2"/>
          <w:sz w:val="19"/>
          <w:szCs w:val="19"/>
          <w:u w:val="single" w:color="auto"/>
        </w:rPr>
        <w:t xml:space="preserve">            </w:t>
      </w:r>
    </w:p>
    <w:p w14:paraId="52499942">
      <w:pPr>
        <w:spacing w:line="470" w:lineRule="auto"/>
        <w:rPr>
          <w:rFonts w:ascii="Arial"/>
          <w:sz w:val="21"/>
        </w:rPr>
      </w:pPr>
    </w:p>
    <w:p w14:paraId="15024A7D">
      <w:pPr>
        <w:pStyle w:val="2"/>
        <w:tabs>
          <w:tab w:val="left" w:pos="3270"/>
        </w:tabs>
        <w:spacing w:before="62" w:line="220" w:lineRule="auto"/>
        <w:rPr>
          <w:sz w:val="19"/>
          <w:szCs w:val="19"/>
        </w:rPr>
      </w:pPr>
      <w:r>
        <w:rPr>
          <w:sz w:val="19"/>
          <w:szCs w:val="19"/>
          <w:u w:val="single" w:color="auto"/>
        </w:rPr>
        <w:tab/>
      </w:r>
      <w:r>
        <w:rPr>
          <w:spacing w:val="-69"/>
          <w:sz w:val="19"/>
          <w:szCs w:val="19"/>
        </w:rPr>
        <w:t xml:space="preserve"> </w:t>
      </w:r>
      <w:r>
        <w:rPr>
          <w:spacing w:val="12"/>
          <w:sz w:val="19"/>
          <w:szCs w:val="19"/>
        </w:rPr>
        <w:t>(招标人名称):</w:t>
      </w:r>
    </w:p>
    <w:p w14:paraId="0EE92768">
      <w:pPr>
        <w:spacing w:line="268" w:lineRule="auto"/>
        <w:rPr>
          <w:rFonts w:ascii="Arial"/>
          <w:sz w:val="21"/>
        </w:rPr>
      </w:pPr>
    </w:p>
    <w:p w14:paraId="4141DE6F">
      <w:pPr>
        <w:pStyle w:val="2"/>
        <w:spacing w:before="62" w:line="549" w:lineRule="auto"/>
        <w:ind w:left="29" w:firstLine="390"/>
        <w:rPr>
          <w:sz w:val="19"/>
          <w:szCs w:val="19"/>
        </w:rPr>
      </w:pPr>
      <w:r>
        <w:rPr>
          <w:spacing w:val="21"/>
          <w:sz w:val="19"/>
          <w:szCs w:val="19"/>
        </w:rPr>
        <w:t>经过仔细阅读</w:t>
      </w:r>
      <w:r>
        <w:rPr>
          <w:spacing w:val="1"/>
          <w:sz w:val="19"/>
          <w:szCs w:val="19"/>
          <w:u w:val="single" w:color="auto"/>
        </w:rPr>
        <w:t xml:space="preserve">             </w:t>
      </w:r>
      <w:r>
        <w:rPr>
          <w:spacing w:val="21"/>
          <w:sz w:val="19"/>
          <w:szCs w:val="19"/>
        </w:rPr>
        <w:t>_</w:t>
      </w:r>
      <w:r>
        <w:rPr>
          <w:spacing w:val="-31"/>
          <w:sz w:val="19"/>
          <w:szCs w:val="19"/>
        </w:rPr>
        <w:t xml:space="preserve"> </w:t>
      </w:r>
      <w:r>
        <w:rPr>
          <w:spacing w:val="21"/>
          <w:sz w:val="19"/>
          <w:szCs w:val="19"/>
        </w:rPr>
        <w:t>(项目名称)</w:t>
      </w:r>
      <w:r>
        <w:rPr>
          <w:spacing w:val="6"/>
          <w:sz w:val="19"/>
          <w:szCs w:val="19"/>
          <w:u w:val="single" w:color="auto"/>
        </w:rPr>
        <w:t xml:space="preserve">      </w:t>
      </w:r>
      <w:r>
        <w:rPr>
          <w:spacing w:val="-12"/>
          <w:sz w:val="19"/>
          <w:szCs w:val="19"/>
        </w:rPr>
        <w:t xml:space="preserve"> </w:t>
      </w:r>
      <w:r>
        <w:rPr>
          <w:spacing w:val="21"/>
          <w:sz w:val="19"/>
          <w:szCs w:val="19"/>
        </w:rPr>
        <w:t>(标段名称)施</w:t>
      </w:r>
      <w:r>
        <w:rPr>
          <w:spacing w:val="20"/>
          <w:sz w:val="19"/>
          <w:szCs w:val="19"/>
        </w:rPr>
        <w:t>工招标文件后，我方申请对以</w:t>
      </w:r>
      <w:r>
        <w:rPr>
          <w:sz w:val="19"/>
          <w:szCs w:val="19"/>
        </w:rPr>
        <w:t xml:space="preserve"> </w:t>
      </w:r>
      <w:r>
        <w:rPr>
          <w:spacing w:val="11"/>
          <w:sz w:val="19"/>
          <w:szCs w:val="19"/>
        </w:rPr>
        <w:t>下问题予以澄清：</w:t>
      </w:r>
    </w:p>
    <w:p w14:paraId="3189B692">
      <w:pPr>
        <w:pStyle w:val="2"/>
        <w:spacing w:before="1" w:line="238" w:lineRule="auto"/>
        <w:ind w:left="319"/>
        <w:rPr>
          <w:sz w:val="19"/>
          <w:szCs w:val="19"/>
        </w:rPr>
      </w:pPr>
      <w:r>
        <w:rPr>
          <w:spacing w:val="-6"/>
          <w:sz w:val="19"/>
          <w:szCs w:val="19"/>
        </w:rPr>
        <w:t>1.……</w:t>
      </w:r>
    </w:p>
    <w:p w14:paraId="09BBC39D">
      <w:pPr>
        <w:spacing w:line="250" w:lineRule="auto"/>
        <w:rPr>
          <w:rFonts w:ascii="Arial"/>
          <w:sz w:val="21"/>
        </w:rPr>
      </w:pPr>
    </w:p>
    <w:p w14:paraId="700E2970">
      <w:pPr>
        <w:pStyle w:val="2"/>
        <w:spacing w:before="62" w:line="239" w:lineRule="auto"/>
        <w:ind w:left="309"/>
        <w:rPr>
          <w:sz w:val="19"/>
          <w:szCs w:val="19"/>
        </w:rPr>
      </w:pPr>
      <w:r>
        <w:rPr>
          <w:spacing w:val="-3"/>
          <w:sz w:val="19"/>
          <w:szCs w:val="19"/>
        </w:rPr>
        <w:t>2.……</w:t>
      </w:r>
    </w:p>
    <w:p w14:paraId="78BF193C">
      <w:pPr>
        <w:spacing w:line="375" w:lineRule="auto"/>
        <w:rPr>
          <w:rFonts w:ascii="Arial"/>
          <w:sz w:val="21"/>
        </w:rPr>
      </w:pPr>
    </w:p>
    <w:p w14:paraId="7E63D4AD">
      <w:pPr>
        <w:spacing w:line="50" w:lineRule="exact"/>
        <w:ind w:firstLine="429"/>
      </w:pPr>
      <w:r>
        <w:rPr>
          <w:position w:val="-1"/>
        </w:rPr>
        <w:drawing>
          <wp:inline distT="0" distB="0" distL="0" distR="0">
            <wp:extent cx="260350" cy="31750"/>
            <wp:effectExtent l="0" t="0" r="0" b="0"/>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409"/>
                    <a:stretch>
                      <a:fillRect/>
                    </a:stretch>
                  </pic:blipFill>
                  <pic:spPr>
                    <a:xfrm>
                      <a:off x="0" y="0"/>
                      <a:ext cx="260388" cy="31759"/>
                    </a:xfrm>
                    <a:prstGeom prst="rect">
                      <a:avLst/>
                    </a:prstGeom>
                  </pic:spPr>
                </pic:pic>
              </a:graphicData>
            </a:graphic>
          </wp:inline>
        </w:drawing>
      </w:r>
    </w:p>
    <w:p w14:paraId="2ED71BFD">
      <w:pPr>
        <w:spacing w:line="345" w:lineRule="auto"/>
        <w:rPr>
          <w:rFonts w:ascii="Arial"/>
          <w:sz w:val="21"/>
        </w:rPr>
      </w:pPr>
    </w:p>
    <w:p w14:paraId="2874C405">
      <w:pPr>
        <w:spacing w:line="345" w:lineRule="auto"/>
        <w:rPr>
          <w:rFonts w:ascii="Arial"/>
          <w:sz w:val="21"/>
        </w:rPr>
      </w:pPr>
    </w:p>
    <w:p w14:paraId="29C5237A">
      <w:pPr>
        <w:spacing w:before="63" w:line="236" w:lineRule="auto"/>
        <w:ind w:left="5019"/>
        <w:rPr>
          <w:rFonts w:ascii="黑体" w:hAnsi="黑体" w:eastAsia="黑体" w:cs="黑体"/>
          <w:sz w:val="19"/>
          <w:szCs w:val="19"/>
        </w:rPr>
      </w:pPr>
      <w:r>
        <w:rPr>
          <w:rFonts w:ascii="黑体" w:hAnsi="黑体" w:eastAsia="黑体" w:cs="黑体"/>
          <w:spacing w:val="16"/>
          <w:sz w:val="19"/>
          <w:szCs w:val="19"/>
        </w:rPr>
        <w:t>投标人：</w:t>
      </w:r>
      <w:r>
        <w:rPr>
          <w:rFonts w:ascii="黑体" w:hAnsi="黑体" w:eastAsia="黑体" w:cs="黑体"/>
          <w:spacing w:val="3"/>
          <w:sz w:val="19"/>
          <w:szCs w:val="19"/>
          <w:u w:val="single" w:color="auto"/>
        </w:rPr>
        <w:t xml:space="preserve">                  </w:t>
      </w:r>
      <w:r>
        <w:rPr>
          <w:rFonts w:ascii="黑体" w:hAnsi="黑体" w:eastAsia="黑体" w:cs="黑体"/>
          <w:spacing w:val="95"/>
          <w:sz w:val="19"/>
          <w:szCs w:val="19"/>
        </w:rPr>
        <w:t xml:space="preserve"> </w:t>
      </w:r>
      <w:r>
        <w:rPr>
          <w:rFonts w:ascii="黑体" w:hAnsi="黑体" w:eastAsia="黑体" w:cs="黑体"/>
          <w:spacing w:val="16"/>
          <w:sz w:val="19"/>
          <w:szCs w:val="19"/>
        </w:rPr>
        <w:t>(盖单位章)</w:t>
      </w:r>
    </w:p>
    <w:p w14:paraId="6E42D87E">
      <w:pPr>
        <w:spacing w:line="465" w:lineRule="auto"/>
        <w:rPr>
          <w:rFonts w:ascii="Arial"/>
          <w:sz w:val="21"/>
        </w:rPr>
      </w:pPr>
    </w:p>
    <w:p w14:paraId="1C130EB4">
      <w:pPr>
        <w:tabs>
          <w:tab w:val="left" w:pos="6829"/>
        </w:tabs>
        <w:spacing w:before="63" w:line="231" w:lineRule="auto"/>
        <w:ind w:left="5889"/>
        <w:rPr>
          <w:rFonts w:ascii="黑体" w:hAnsi="黑体" w:eastAsia="黑体" w:cs="黑体"/>
          <w:sz w:val="19"/>
          <w:szCs w:val="19"/>
        </w:rPr>
      </w:pPr>
      <w:r>
        <w:rPr>
          <w:rFonts w:ascii="黑体" w:hAnsi="黑体" w:eastAsia="黑体" w:cs="黑体"/>
          <w:position w:val="-1"/>
          <w:sz w:val="19"/>
          <w:szCs w:val="19"/>
          <w:u w:val="single" w:color="auto"/>
        </w:rPr>
        <w:tab/>
      </w:r>
      <w:r>
        <w:rPr>
          <w:rFonts w:ascii="黑体" w:hAnsi="黑体" w:eastAsia="黑体" w:cs="黑体"/>
          <w:spacing w:val="-5"/>
          <w:position w:val="-1"/>
          <w:sz w:val="19"/>
          <w:szCs w:val="19"/>
        </w:rPr>
        <w:t>年</w:t>
      </w:r>
      <w:r>
        <w:rPr>
          <w:rFonts w:ascii="黑体" w:hAnsi="黑体" w:eastAsia="黑体" w:cs="黑体"/>
          <w:spacing w:val="-70"/>
          <w:position w:val="-1"/>
          <w:sz w:val="19"/>
          <w:szCs w:val="19"/>
        </w:rPr>
        <w:t xml:space="preserve"> </w:t>
      </w:r>
      <w:r>
        <w:rPr>
          <w:rFonts w:ascii="黑体" w:hAnsi="黑体" w:eastAsia="黑体" w:cs="黑体"/>
          <w:spacing w:val="22"/>
          <w:position w:val="-1"/>
          <w:sz w:val="19"/>
          <w:szCs w:val="19"/>
          <w:u w:val="single" w:color="auto"/>
        </w:rPr>
        <w:t xml:space="preserve">    </w:t>
      </w:r>
      <w:r>
        <w:rPr>
          <w:rFonts w:ascii="黑体" w:hAnsi="黑体" w:eastAsia="黑体" w:cs="黑体"/>
          <w:spacing w:val="-5"/>
          <w:sz w:val="19"/>
          <w:szCs w:val="19"/>
        </w:rPr>
        <w:t>月</w:t>
      </w:r>
      <w:r>
        <w:rPr>
          <w:rFonts w:ascii="黑体" w:hAnsi="黑体" w:eastAsia="黑体" w:cs="黑体"/>
          <w:spacing w:val="-5"/>
          <w:sz w:val="19"/>
          <w:szCs w:val="19"/>
          <w:u w:val="single" w:color="auto"/>
        </w:rPr>
        <w:t xml:space="preserve">     </w:t>
      </w:r>
      <w:r>
        <w:rPr>
          <w:rFonts w:ascii="黑体" w:hAnsi="黑体" w:eastAsia="黑体" w:cs="黑体"/>
          <w:spacing w:val="-5"/>
          <w:position w:val="1"/>
          <w:sz w:val="19"/>
          <w:szCs w:val="19"/>
        </w:rPr>
        <w:t>日</w:t>
      </w:r>
    </w:p>
    <w:p w14:paraId="15A84529">
      <w:pPr>
        <w:spacing w:line="264" w:lineRule="auto"/>
        <w:rPr>
          <w:rFonts w:ascii="Arial"/>
          <w:sz w:val="21"/>
        </w:rPr>
      </w:pPr>
    </w:p>
    <w:p w14:paraId="38A543BA">
      <w:pPr>
        <w:spacing w:line="264" w:lineRule="auto"/>
        <w:rPr>
          <w:rFonts w:ascii="Arial"/>
          <w:sz w:val="21"/>
        </w:rPr>
      </w:pPr>
    </w:p>
    <w:p w14:paraId="01B47923">
      <w:pPr>
        <w:spacing w:line="264" w:lineRule="auto"/>
        <w:rPr>
          <w:rFonts w:ascii="Arial"/>
          <w:sz w:val="21"/>
        </w:rPr>
      </w:pPr>
    </w:p>
    <w:p w14:paraId="634F759B">
      <w:pPr>
        <w:pStyle w:val="2"/>
        <w:spacing w:before="61" w:line="219" w:lineRule="auto"/>
        <w:ind w:left="20"/>
        <w:rPr>
          <w:sz w:val="19"/>
          <w:szCs w:val="19"/>
        </w:rPr>
      </w:pPr>
      <w:r>
        <w:rPr>
          <w:spacing w:val="19"/>
          <w:sz w:val="19"/>
          <w:szCs w:val="19"/>
        </w:rPr>
        <w:t>备注：投标人要求招标人澄清招标文件有关问题时，适用于本格式。</w:t>
      </w:r>
    </w:p>
    <w:p w14:paraId="04BC5B01">
      <w:pPr>
        <w:spacing w:line="219" w:lineRule="auto"/>
        <w:rPr>
          <w:sz w:val="19"/>
          <w:szCs w:val="19"/>
        </w:rPr>
        <w:sectPr>
          <w:footerReference r:id="rId37" w:type="default"/>
          <w:pgSz w:w="11910" w:h="16840"/>
          <w:pgMar w:top="1431" w:right="1552" w:bottom="1053" w:left="1460" w:header="0" w:footer="806" w:gutter="0"/>
          <w:cols w:space="720" w:num="1"/>
        </w:sectPr>
      </w:pPr>
    </w:p>
    <w:p w14:paraId="02CFF641">
      <w:pPr>
        <w:spacing w:line="253" w:lineRule="auto"/>
        <w:rPr>
          <w:rFonts w:ascii="Arial"/>
          <w:sz w:val="21"/>
        </w:rPr>
      </w:pPr>
    </w:p>
    <w:p w14:paraId="5694E7E5">
      <w:pPr>
        <w:spacing w:line="254" w:lineRule="auto"/>
        <w:rPr>
          <w:rFonts w:ascii="Arial"/>
          <w:sz w:val="21"/>
        </w:rPr>
      </w:pPr>
    </w:p>
    <w:p w14:paraId="0DB32C53">
      <w:pPr>
        <w:spacing w:before="65" w:line="222" w:lineRule="auto"/>
        <w:ind w:left="20"/>
        <w:outlineLvl w:val="1"/>
        <w:rPr>
          <w:rFonts w:ascii="黑体" w:hAnsi="黑体" w:eastAsia="黑体" w:cs="黑体"/>
          <w:sz w:val="20"/>
          <w:szCs w:val="20"/>
        </w:rPr>
      </w:pPr>
      <w:bookmarkStart w:id="93" w:name="bookmark76"/>
      <w:bookmarkEnd w:id="93"/>
      <w:r>
        <w:rPr>
          <w:rFonts w:ascii="黑体" w:hAnsi="黑体" w:eastAsia="黑体" w:cs="黑体"/>
          <w:spacing w:val="41"/>
          <w:sz w:val="20"/>
          <w:szCs w:val="20"/>
        </w:rPr>
        <w:t>附表二：招标文件文件澄清通知</w:t>
      </w:r>
    </w:p>
    <w:p w14:paraId="78D9C873">
      <w:pPr>
        <w:spacing w:line="259" w:lineRule="auto"/>
        <w:rPr>
          <w:rFonts w:ascii="Arial"/>
          <w:sz w:val="21"/>
        </w:rPr>
      </w:pPr>
    </w:p>
    <w:p w14:paraId="61D39451">
      <w:pPr>
        <w:spacing w:line="259" w:lineRule="auto"/>
        <w:rPr>
          <w:rFonts w:ascii="Arial"/>
          <w:sz w:val="21"/>
        </w:rPr>
      </w:pPr>
    </w:p>
    <w:p w14:paraId="5D5215FA">
      <w:pPr>
        <w:spacing w:line="259" w:lineRule="auto"/>
        <w:rPr>
          <w:rFonts w:ascii="Arial"/>
          <w:sz w:val="21"/>
        </w:rPr>
      </w:pPr>
    </w:p>
    <w:p w14:paraId="4A8E0C01">
      <w:pPr>
        <w:spacing w:line="260" w:lineRule="auto"/>
        <w:rPr>
          <w:rFonts w:ascii="Arial"/>
          <w:sz w:val="21"/>
        </w:rPr>
      </w:pPr>
    </w:p>
    <w:p w14:paraId="54B15A69">
      <w:pPr>
        <w:spacing w:before="88" w:line="222" w:lineRule="auto"/>
        <w:ind w:left="3319"/>
        <w:rPr>
          <w:rFonts w:ascii="黑体" w:hAnsi="黑体" w:eastAsia="黑体" w:cs="黑体"/>
          <w:sz w:val="27"/>
          <w:szCs w:val="27"/>
        </w:rPr>
      </w:pPr>
      <w:bookmarkStart w:id="94" w:name="bookmark235"/>
      <w:bookmarkEnd w:id="94"/>
      <w:r>
        <w:rPr>
          <w:rFonts w:ascii="黑体" w:hAnsi="黑体" w:eastAsia="黑体" w:cs="黑体"/>
          <w:spacing w:val="16"/>
          <w:sz w:val="27"/>
          <w:szCs w:val="27"/>
        </w:rPr>
        <w:t>招标文件澄清通知</w:t>
      </w:r>
    </w:p>
    <w:p w14:paraId="2B8DBAEC">
      <w:pPr>
        <w:spacing w:line="253" w:lineRule="auto"/>
        <w:rPr>
          <w:rFonts w:ascii="Arial"/>
          <w:sz w:val="21"/>
        </w:rPr>
      </w:pPr>
    </w:p>
    <w:p w14:paraId="5FCD7418">
      <w:pPr>
        <w:spacing w:line="253" w:lineRule="auto"/>
        <w:rPr>
          <w:rFonts w:ascii="Arial"/>
          <w:sz w:val="21"/>
        </w:rPr>
      </w:pPr>
    </w:p>
    <w:p w14:paraId="6774D6B0">
      <w:pPr>
        <w:pStyle w:val="2"/>
        <w:spacing w:before="65" w:line="219" w:lineRule="auto"/>
        <w:ind w:left="5999"/>
        <w:rPr>
          <w:sz w:val="20"/>
          <w:szCs w:val="20"/>
        </w:rPr>
      </w:pPr>
      <w:r>
        <w:rPr>
          <w:sz w:val="20"/>
          <w:szCs w:val="20"/>
        </w:rPr>
        <w:t>编号：</w:t>
      </w:r>
      <w:r>
        <w:rPr>
          <w:spacing w:val="-70"/>
          <w:sz w:val="20"/>
          <w:szCs w:val="20"/>
        </w:rPr>
        <w:t xml:space="preserve"> </w:t>
      </w:r>
      <w:r>
        <w:rPr>
          <w:sz w:val="20"/>
          <w:szCs w:val="20"/>
          <w:u w:val="single" w:color="auto"/>
        </w:rPr>
        <w:t xml:space="preserve">             </w:t>
      </w:r>
    </w:p>
    <w:p w14:paraId="4D2010A9">
      <w:pPr>
        <w:spacing w:line="455" w:lineRule="auto"/>
        <w:rPr>
          <w:rFonts w:ascii="Arial"/>
          <w:sz w:val="21"/>
        </w:rPr>
      </w:pPr>
    </w:p>
    <w:p w14:paraId="604CBE9D">
      <w:pPr>
        <w:pStyle w:val="2"/>
        <w:spacing w:before="65" w:line="220" w:lineRule="auto"/>
        <w:rPr>
          <w:sz w:val="20"/>
          <w:szCs w:val="20"/>
        </w:rPr>
      </w:pPr>
      <w:r>
        <w:rPr>
          <w:spacing w:val="1"/>
          <w:sz w:val="20"/>
          <w:szCs w:val="20"/>
        </w:rPr>
        <w:t>各投标人：</w:t>
      </w:r>
    </w:p>
    <w:p w14:paraId="067F60FF">
      <w:pPr>
        <w:spacing w:line="254" w:lineRule="auto"/>
        <w:rPr>
          <w:rFonts w:ascii="Arial"/>
          <w:sz w:val="21"/>
        </w:rPr>
      </w:pPr>
    </w:p>
    <w:p w14:paraId="3B7F0882">
      <w:pPr>
        <w:pStyle w:val="2"/>
        <w:spacing w:before="65" w:line="227" w:lineRule="auto"/>
        <w:ind w:left="439"/>
        <w:rPr>
          <w:sz w:val="20"/>
          <w:szCs w:val="20"/>
        </w:rPr>
      </w:pPr>
      <w:r>
        <w:rPr>
          <w:spacing w:val="12"/>
          <w:position w:val="-1"/>
          <w:sz w:val="20"/>
          <w:szCs w:val="20"/>
        </w:rPr>
        <w:t>经研究，对</w:t>
      </w:r>
      <w:r>
        <w:rPr>
          <w:spacing w:val="-89"/>
          <w:position w:val="-1"/>
          <w:sz w:val="20"/>
          <w:szCs w:val="20"/>
        </w:rPr>
        <w:t xml:space="preserve"> </w:t>
      </w:r>
      <w:r>
        <w:rPr>
          <w:spacing w:val="4"/>
          <w:position w:val="-1"/>
          <w:sz w:val="20"/>
          <w:szCs w:val="20"/>
          <w:u w:val="single" w:color="auto"/>
        </w:rPr>
        <w:t xml:space="preserve">              </w:t>
      </w:r>
      <w:r>
        <w:rPr>
          <w:spacing w:val="12"/>
          <w:position w:val="-1"/>
          <w:sz w:val="20"/>
          <w:szCs w:val="20"/>
        </w:rPr>
        <w:t>(项目名称)</w:t>
      </w:r>
      <w:r>
        <w:rPr>
          <w:spacing w:val="3"/>
          <w:position w:val="-1"/>
          <w:sz w:val="20"/>
          <w:szCs w:val="20"/>
          <w:u w:val="single" w:color="auto"/>
        </w:rPr>
        <w:t xml:space="preserve">       </w:t>
      </w:r>
      <w:r>
        <w:rPr>
          <w:spacing w:val="12"/>
          <w:position w:val="-1"/>
          <w:sz w:val="20"/>
          <w:szCs w:val="20"/>
        </w:rPr>
        <w:t xml:space="preserve"> </w:t>
      </w:r>
      <w:r>
        <w:rPr>
          <w:spacing w:val="12"/>
          <w:sz w:val="20"/>
          <w:szCs w:val="20"/>
        </w:rPr>
        <w:t>(标段名称)施工</w:t>
      </w:r>
      <w:r>
        <w:rPr>
          <w:spacing w:val="11"/>
          <w:sz w:val="20"/>
          <w:szCs w:val="20"/>
        </w:rPr>
        <w:t>招标文件，作如下澄清：</w:t>
      </w:r>
    </w:p>
    <w:p w14:paraId="458B22B4">
      <w:pPr>
        <w:spacing w:line="257" w:lineRule="auto"/>
        <w:rPr>
          <w:rFonts w:ascii="Arial"/>
          <w:sz w:val="21"/>
        </w:rPr>
      </w:pPr>
    </w:p>
    <w:p w14:paraId="2828A4A8">
      <w:pPr>
        <w:pStyle w:val="2"/>
        <w:spacing w:before="65" w:line="239" w:lineRule="auto"/>
        <w:ind w:left="439"/>
        <w:rPr>
          <w:sz w:val="20"/>
          <w:szCs w:val="20"/>
        </w:rPr>
      </w:pPr>
      <w:r>
        <w:rPr>
          <w:spacing w:val="-6"/>
          <w:sz w:val="20"/>
          <w:szCs w:val="20"/>
        </w:rPr>
        <w:t>1.……</w:t>
      </w:r>
    </w:p>
    <w:p w14:paraId="53E74CFC">
      <w:pPr>
        <w:pStyle w:val="2"/>
        <w:spacing w:before="291" w:line="239" w:lineRule="auto"/>
        <w:ind w:left="429"/>
        <w:rPr>
          <w:sz w:val="20"/>
          <w:szCs w:val="20"/>
        </w:rPr>
      </w:pPr>
      <w:r>
        <w:rPr>
          <w:spacing w:val="-3"/>
          <w:sz w:val="20"/>
          <w:szCs w:val="20"/>
        </w:rPr>
        <w:t>2.……</w:t>
      </w:r>
    </w:p>
    <w:p w14:paraId="243CBECC">
      <w:pPr>
        <w:spacing w:line="360" w:lineRule="auto"/>
        <w:rPr>
          <w:rFonts w:ascii="Arial"/>
          <w:sz w:val="21"/>
        </w:rPr>
      </w:pPr>
    </w:p>
    <w:p w14:paraId="5D0F28EA">
      <w:pPr>
        <w:spacing w:before="1" w:line="50" w:lineRule="exact"/>
        <w:ind w:firstLine="439"/>
      </w:pPr>
      <w:r>
        <w:rPr>
          <w:position w:val="-1"/>
        </w:rPr>
        <w:drawing>
          <wp:inline distT="0" distB="0" distL="0" distR="0">
            <wp:extent cx="260350" cy="31750"/>
            <wp:effectExtent l="0" t="0" r="0" b="0"/>
            <wp:docPr id="6" name="IM 6"/>
            <wp:cNvGraphicFramePr/>
            <a:graphic xmlns:a="http://schemas.openxmlformats.org/drawingml/2006/main">
              <a:graphicData uri="http://schemas.openxmlformats.org/drawingml/2006/picture">
                <pic:pic xmlns:pic="http://schemas.openxmlformats.org/drawingml/2006/picture">
                  <pic:nvPicPr>
                    <pic:cNvPr id="6" name="IM 6"/>
                    <pic:cNvPicPr/>
                  </pic:nvPicPr>
                  <pic:blipFill>
                    <a:blip r:embed="rId410"/>
                    <a:stretch>
                      <a:fillRect/>
                    </a:stretch>
                  </pic:blipFill>
                  <pic:spPr>
                    <a:xfrm>
                      <a:off x="0" y="0"/>
                      <a:ext cx="260388" cy="31759"/>
                    </a:xfrm>
                    <a:prstGeom prst="rect">
                      <a:avLst/>
                    </a:prstGeom>
                  </pic:spPr>
                </pic:pic>
              </a:graphicData>
            </a:graphic>
          </wp:inline>
        </w:drawing>
      </w:r>
    </w:p>
    <w:p w14:paraId="755423EB">
      <w:pPr>
        <w:spacing w:line="244" w:lineRule="auto"/>
        <w:rPr>
          <w:rFonts w:ascii="Arial"/>
          <w:sz w:val="21"/>
        </w:rPr>
      </w:pPr>
    </w:p>
    <w:p w14:paraId="1CFCA10B">
      <w:pPr>
        <w:spacing w:line="245" w:lineRule="auto"/>
        <w:rPr>
          <w:rFonts w:ascii="Arial"/>
          <w:sz w:val="21"/>
        </w:rPr>
      </w:pPr>
    </w:p>
    <w:p w14:paraId="4B382C6F">
      <w:pPr>
        <w:spacing w:line="245" w:lineRule="auto"/>
        <w:rPr>
          <w:rFonts w:ascii="Arial"/>
          <w:sz w:val="21"/>
        </w:rPr>
      </w:pPr>
    </w:p>
    <w:p w14:paraId="06CFD375">
      <w:pPr>
        <w:spacing w:line="245" w:lineRule="auto"/>
        <w:rPr>
          <w:rFonts w:ascii="Arial"/>
          <w:sz w:val="21"/>
        </w:rPr>
      </w:pPr>
    </w:p>
    <w:p w14:paraId="28D8F140">
      <w:pPr>
        <w:spacing w:line="245" w:lineRule="auto"/>
        <w:rPr>
          <w:rFonts w:ascii="Arial"/>
          <w:sz w:val="21"/>
        </w:rPr>
      </w:pPr>
    </w:p>
    <w:p w14:paraId="1027E24E">
      <w:pPr>
        <w:spacing w:before="65" w:line="233" w:lineRule="auto"/>
        <w:ind w:left="4809"/>
        <w:rPr>
          <w:rFonts w:ascii="黑体" w:hAnsi="黑体" w:eastAsia="黑体" w:cs="黑体"/>
          <w:sz w:val="20"/>
          <w:szCs w:val="20"/>
        </w:rPr>
      </w:pPr>
      <w:r>
        <w:rPr>
          <w:rFonts w:ascii="黑体" w:hAnsi="黑体" w:eastAsia="黑体" w:cs="黑体"/>
          <w:spacing w:val="9"/>
          <w:sz w:val="20"/>
          <w:szCs w:val="20"/>
        </w:rPr>
        <w:t>招标人：</w:t>
      </w:r>
      <w:r>
        <w:rPr>
          <w:rFonts w:ascii="黑体" w:hAnsi="黑体" w:eastAsia="黑体" w:cs="黑体"/>
          <w:spacing w:val="-44"/>
          <w:sz w:val="20"/>
          <w:szCs w:val="20"/>
        </w:rPr>
        <w:t xml:space="preserve"> </w:t>
      </w:r>
      <w:r>
        <w:rPr>
          <w:rFonts w:ascii="黑体" w:hAnsi="黑体" w:eastAsia="黑体" w:cs="黑体"/>
          <w:sz w:val="20"/>
          <w:szCs w:val="20"/>
          <w:u w:val="single" w:color="auto"/>
        </w:rPr>
        <w:t xml:space="preserve">                   </w:t>
      </w:r>
      <w:r>
        <w:rPr>
          <w:rFonts w:ascii="黑体" w:hAnsi="黑体" w:eastAsia="黑体" w:cs="黑体"/>
          <w:spacing w:val="90"/>
          <w:sz w:val="20"/>
          <w:szCs w:val="20"/>
        </w:rPr>
        <w:t xml:space="preserve"> </w:t>
      </w:r>
      <w:r>
        <w:rPr>
          <w:rFonts w:ascii="黑体" w:hAnsi="黑体" w:eastAsia="黑体" w:cs="黑体"/>
          <w:spacing w:val="9"/>
          <w:sz w:val="20"/>
          <w:szCs w:val="20"/>
        </w:rPr>
        <w:t>(盖单位章)</w:t>
      </w:r>
    </w:p>
    <w:p w14:paraId="5CF0FA99">
      <w:pPr>
        <w:spacing w:line="472" w:lineRule="auto"/>
        <w:rPr>
          <w:rFonts w:ascii="Arial"/>
          <w:sz w:val="21"/>
        </w:rPr>
      </w:pPr>
    </w:p>
    <w:p w14:paraId="2E7B684C">
      <w:pPr>
        <w:tabs>
          <w:tab w:val="left" w:pos="6849"/>
        </w:tabs>
        <w:spacing w:before="66" w:line="201" w:lineRule="auto"/>
        <w:ind w:left="5899"/>
        <w:rPr>
          <w:rFonts w:ascii="黑体" w:hAnsi="黑体" w:eastAsia="黑体" w:cs="黑体"/>
          <w:sz w:val="20"/>
          <w:szCs w:val="20"/>
        </w:rPr>
      </w:pPr>
      <w:r>
        <w:rPr>
          <w:rFonts w:ascii="黑体" w:hAnsi="黑体" w:eastAsia="黑体" w:cs="黑体"/>
          <w:sz w:val="20"/>
          <w:szCs w:val="20"/>
          <w:u w:val="single" w:color="auto"/>
        </w:rPr>
        <w:tab/>
      </w:r>
      <w:r>
        <w:rPr>
          <w:rFonts w:ascii="黑体" w:hAnsi="黑体" w:eastAsia="黑体" w:cs="黑体"/>
          <w:spacing w:val="-90"/>
          <w:sz w:val="20"/>
          <w:szCs w:val="20"/>
        </w:rPr>
        <w:t xml:space="preserve"> </w:t>
      </w:r>
      <w:r>
        <w:rPr>
          <w:rFonts w:ascii="黑体" w:hAnsi="黑体" w:eastAsia="黑体" w:cs="黑体"/>
          <w:spacing w:val="-13"/>
          <w:sz w:val="20"/>
          <w:szCs w:val="20"/>
        </w:rPr>
        <w:t>年_</w:t>
      </w:r>
      <w:r>
        <w:rPr>
          <w:rFonts w:ascii="黑体" w:hAnsi="黑体" w:eastAsia="黑体" w:cs="黑体"/>
          <w:spacing w:val="29"/>
          <w:sz w:val="20"/>
          <w:szCs w:val="20"/>
        </w:rPr>
        <w:t xml:space="preserve">   </w:t>
      </w:r>
      <w:r>
        <w:rPr>
          <w:rFonts w:ascii="黑体" w:hAnsi="黑体" w:eastAsia="黑体" w:cs="黑体"/>
          <w:spacing w:val="-13"/>
          <w:position w:val="1"/>
          <w:sz w:val="20"/>
          <w:szCs w:val="20"/>
        </w:rPr>
        <w:t>月</w:t>
      </w:r>
      <w:r>
        <w:rPr>
          <w:rFonts w:ascii="黑体" w:hAnsi="黑体" w:eastAsia="黑体" w:cs="黑体"/>
          <w:spacing w:val="6"/>
          <w:sz w:val="20"/>
          <w:szCs w:val="20"/>
          <w:u w:val="single" w:color="auto"/>
        </w:rPr>
        <w:t xml:space="preserve">    </w:t>
      </w:r>
      <w:r>
        <w:rPr>
          <w:rFonts w:ascii="黑体" w:hAnsi="黑体" w:eastAsia="黑体" w:cs="黑体"/>
          <w:spacing w:val="-13"/>
          <w:sz w:val="20"/>
          <w:szCs w:val="20"/>
          <w:u w:val="single" w:color="auto"/>
        </w:rPr>
        <w:t>日</w:t>
      </w:r>
    </w:p>
    <w:p w14:paraId="7805BF59">
      <w:pPr>
        <w:spacing w:line="10" w:lineRule="exact"/>
        <w:ind w:left="7029"/>
      </w:pPr>
      <w:r>
        <w:drawing>
          <wp:inline distT="0" distB="0" distL="0" distR="0">
            <wp:extent cx="316865" cy="6350"/>
            <wp:effectExtent l="0" t="0" r="0" b="0"/>
            <wp:docPr id="8" name="IM 8"/>
            <wp:cNvGraphicFramePr/>
            <a:graphic xmlns:a="http://schemas.openxmlformats.org/drawingml/2006/main">
              <a:graphicData uri="http://schemas.openxmlformats.org/drawingml/2006/picture">
                <pic:pic xmlns:pic="http://schemas.openxmlformats.org/drawingml/2006/picture">
                  <pic:nvPicPr>
                    <pic:cNvPr id="8" name="IM 8"/>
                    <pic:cNvPicPr/>
                  </pic:nvPicPr>
                  <pic:blipFill>
                    <a:blip r:embed="rId411"/>
                    <a:stretch>
                      <a:fillRect/>
                    </a:stretch>
                  </pic:blipFill>
                  <pic:spPr>
                    <a:xfrm>
                      <a:off x="0" y="0"/>
                      <a:ext cx="317487" cy="6350"/>
                    </a:xfrm>
                    <a:prstGeom prst="rect">
                      <a:avLst/>
                    </a:prstGeom>
                  </pic:spPr>
                </pic:pic>
              </a:graphicData>
            </a:graphic>
          </wp:inline>
        </w:drawing>
      </w:r>
    </w:p>
    <w:p w14:paraId="40AF0BB6">
      <w:pPr>
        <w:spacing w:line="269" w:lineRule="auto"/>
        <w:rPr>
          <w:rFonts w:ascii="Arial"/>
          <w:sz w:val="21"/>
        </w:rPr>
      </w:pPr>
    </w:p>
    <w:p w14:paraId="7624E0E8">
      <w:pPr>
        <w:spacing w:line="269" w:lineRule="auto"/>
        <w:rPr>
          <w:rFonts w:ascii="Arial"/>
          <w:sz w:val="21"/>
        </w:rPr>
      </w:pPr>
    </w:p>
    <w:p w14:paraId="0505BDDA">
      <w:pPr>
        <w:spacing w:line="270" w:lineRule="auto"/>
        <w:rPr>
          <w:rFonts w:ascii="Arial"/>
          <w:sz w:val="21"/>
        </w:rPr>
      </w:pPr>
    </w:p>
    <w:p w14:paraId="440C7208">
      <w:pPr>
        <w:pStyle w:val="2"/>
        <w:spacing w:before="66" w:line="219" w:lineRule="auto"/>
        <w:jc w:val="right"/>
        <w:rPr>
          <w:sz w:val="20"/>
          <w:szCs w:val="20"/>
        </w:rPr>
      </w:pPr>
      <w:r>
        <w:rPr>
          <w:spacing w:val="13"/>
          <w:sz w:val="20"/>
          <w:szCs w:val="20"/>
        </w:rPr>
        <w:t>备注：招标人对招标文件有关问题澄清时，适用本</w:t>
      </w:r>
      <w:r>
        <w:rPr>
          <w:spacing w:val="12"/>
          <w:sz w:val="20"/>
          <w:szCs w:val="20"/>
        </w:rPr>
        <w:t>格式。招标人可根据需要将附表二与附表三内</w:t>
      </w:r>
    </w:p>
    <w:p w14:paraId="38607859">
      <w:pPr>
        <w:spacing w:line="257" w:lineRule="auto"/>
        <w:rPr>
          <w:rFonts w:ascii="Arial"/>
          <w:sz w:val="21"/>
        </w:rPr>
      </w:pPr>
    </w:p>
    <w:p w14:paraId="25591DB3">
      <w:pPr>
        <w:pStyle w:val="2"/>
        <w:spacing w:before="66" w:line="219" w:lineRule="auto"/>
        <w:ind w:left="639"/>
        <w:rPr>
          <w:sz w:val="20"/>
          <w:szCs w:val="20"/>
        </w:rPr>
      </w:pPr>
      <w:r>
        <w:rPr>
          <w:spacing w:val="5"/>
          <w:sz w:val="20"/>
          <w:szCs w:val="20"/>
        </w:rPr>
        <w:t>容合并发出。</w:t>
      </w:r>
    </w:p>
    <w:p w14:paraId="6585AD75">
      <w:pPr>
        <w:spacing w:line="219" w:lineRule="auto"/>
        <w:rPr>
          <w:sz w:val="20"/>
          <w:szCs w:val="20"/>
        </w:rPr>
        <w:sectPr>
          <w:footerReference r:id="rId38" w:type="default"/>
          <w:pgSz w:w="11910" w:h="16840"/>
          <w:pgMar w:top="1431" w:right="1512" w:bottom="1061" w:left="1450" w:header="0" w:footer="800" w:gutter="0"/>
          <w:cols w:space="720" w:num="1"/>
        </w:sectPr>
      </w:pPr>
    </w:p>
    <w:p w14:paraId="161BED6F">
      <w:pPr>
        <w:spacing w:line="247" w:lineRule="auto"/>
        <w:rPr>
          <w:rFonts w:ascii="Arial"/>
          <w:sz w:val="21"/>
        </w:rPr>
      </w:pPr>
    </w:p>
    <w:p w14:paraId="0A88D0E2">
      <w:pPr>
        <w:spacing w:line="247" w:lineRule="auto"/>
        <w:rPr>
          <w:rFonts w:ascii="Arial"/>
          <w:sz w:val="21"/>
        </w:rPr>
      </w:pPr>
    </w:p>
    <w:p w14:paraId="7602D541">
      <w:pPr>
        <w:spacing w:before="68" w:line="222" w:lineRule="auto"/>
        <w:ind w:left="20"/>
        <w:outlineLvl w:val="1"/>
        <w:rPr>
          <w:rFonts w:ascii="黑体" w:hAnsi="黑体" w:eastAsia="黑体" w:cs="黑体"/>
          <w:sz w:val="21"/>
          <w:szCs w:val="21"/>
        </w:rPr>
      </w:pPr>
      <w:bookmarkStart w:id="95" w:name="bookmark77"/>
      <w:bookmarkEnd w:id="95"/>
      <w:r>
        <w:rPr>
          <w:rFonts w:ascii="黑体" w:hAnsi="黑体" w:eastAsia="黑体" w:cs="黑体"/>
          <w:spacing w:val="28"/>
          <w:sz w:val="21"/>
          <w:szCs w:val="21"/>
        </w:rPr>
        <w:t>附表三：招标文件文件修改通知</w:t>
      </w:r>
    </w:p>
    <w:p w14:paraId="319CB6E9">
      <w:pPr>
        <w:spacing w:line="258" w:lineRule="auto"/>
        <w:rPr>
          <w:rFonts w:ascii="Arial"/>
          <w:sz w:val="21"/>
        </w:rPr>
      </w:pPr>
    </w:p>
    <w:p w14:paraId="4A5ADCF1">
      <w:pPr>
        <w:spacing w:line="259" w:lineRule="auto"/>
        <w:rPr>
          <w:rFonts w:ascii="Arial"/>
          <w:sz w:val="21"/>
        </w:rPr>
      </w:pPr>
    </w:p>
    <w:p w14:paraId="33FB6951">
      <w:pPr>
        <w:spacing w:line="259" w:lineRule="auto"/>
        <w:rPr>
          <w:rFonts w:ascii="Arial"/>
          <w:sz w:val="21"/>
        </w:rPr>
      </w:pPr>
    </w:p>
    <w:p w14:paraId="79941C15">
      <w:pPr>
        <w:spacing w:line="259" w:lineRule="auto"/>
        <w:rPr>
          <w:rFonts w:ascii="Arial"/>
          <w:sz w:val="21"/>
        </w:rPr>
      </w:pPr>
    </w:p>
    <w:p w14:paraId="117114EC">
      <w:pPr>
        <w:spacing w:before="88" w:line="222" w:lineRule="auto"/>
        <w:ind w:left="3309"/>
        <w:rPr>
          <w:rFonts w:ascii="黑体" w:hAnsi="黑体" w:eastAsia="黑体" w:cs="黑体"/>
          <w:sz w:val="27"/>
          <w:szCs w:val="27"/>
        </w:rPr>
      </w:pPr>
      <w:bookmarkStart w:id="96" w:name="bookmark236"/>
      <w:bookmarkEnd w:id="96"/>
      <w:r>
        <w:rPr>
          <w:rFonts w:ascii="黑体" w:hAnsi="黑体" w:eastAsia="黑体" w:cs="黑体"/>
          <w:spacing w:val="16"/>
          <w:sz w:val="27"/>
          <w:szCs w:val="27"/>
        </w:rPr>
        <w:t>招标文件修改通知</w:t>
      </w:r>
    </w:p>
    <w:p w14:paraId="53FEC33B">
      <w:pPr>
        <w:spacing w:line="253" w:lineRule="auto"/>
        <w:rPr>
          <w:rFonts w:ascii="Arial"/>
          <w:sz w:val="21"/>
        </w:rPr>
      </w:pPr>
    </w:p>
    <w:p w14:paraId="27002563">
      <w:pPr>
        <w:spacing w:line="254" w:lineRule="auto"/>
        <w:rPr>
          <w:rFonts w:ascii="Arial"/>
          <w:sz w:val="21"/>
        </w:rPr>
      </w:pPr>
    </w:p>
    <w:p w14:paraId="0A2DE05C">
      <w:pPr>
        <w:spacing w:line="254" w:lineRule="auto"/>
        <w:rPr>
          <w:rFonts w:ascii="Arial"/>
          <w:sz w:val="21"/>
        </w:rPr>
      </w:pPr>
    </w:p>
    <w:p w14:paraId="7EF2691D">
      <w:pPr>
        <w:pStyle w:val="2"/>
        <w:spacing w:before="69" w:line="219" w:lineRule="auto"/>
        <w:ind w:left="5980"/>
        <w:rPr>
          <w:sz w:val="21"/>
          <w:szCs w:val="21"/>
        </w:rPr>
      </w:pPr>
      <w:r>
        <w:rPr>
          <w:spacing w:val="1"/>
          <w:sz w:val="21"/>
          <w:szCs w:val="21"/>
        </w:rPr>
        <w:t>编号：</w:t>
      </w:r>
      <w:r>
        <w:rPr>
          <w:spacing w:val="1"/>
          <w:sz w:val="21"/>
          <w:szCs w:val="21"/>
          <w:u w:val="single" w:color="auto"/>
        </w:rPr>
        <w:t xml:space="preserve">            </w:t>
      </w:r>
    </w:p>
    <w:p w14:paraId="5CFEDC57">
      <w:pPr>
        <w:spacing w:line="450" w:lineRule="auto"/>
        <w:rPr>
          <w:rFonts w:ascii="Arial"/>
          <w:sz w:val="21"/>
        </w:rPr>
      </w:pPr>
    </w:p>
    <w:p w14:paraId="385FBD0C">
      <w:pPr>
        <w:pStyle w:val="2"/>
        <w:spacing w:before="68" w:line="220" w:lineRule="auto"/>
        <w:rPr>
          <w:sz w:val="21"/>
          <w:szCs w:val="21"/>
        </w:rPr>
      </w:pPr>
      <w:r>
        <w:rPr>
          <w:spacing w:val="-6"/>
          <w:sz w:val="21"/>
          <w:szCs w:val="21"/>
        </w:rPr>
        <w:t>各投标人：</w:t>
      </w:r>
    </w:p>
    <w:p w14:paraId="0E4DFCC9">
      <w:pPr>
        <w:pStyle w:val="2"/>
        <w:spacing w:before="308" w:line="221" w:lineRule="auto"/>
        <w:ind w:left="429"/>
        <w:rPr>
          <w:sz w:val="21"/>
          <w:szCs w:val="21"/>
        </w:rPr>
      </w:pPr>
      <w:r>
        <w:rPr>
          <w:spacing w:val="-3"/>
          <w:sz w:val="21"/>
          <w:szCs w:val="21"/>
        </w:rPr>
        <w:t>经研究，对</w:t>
      </w:r>
      <w:r>
        <w:rPr>
          <w:spacing w:val="-83"/>
          <w:sz w:val="21"/>
          <w:szCs w:val="21"/>
        </w:rPr>
        <w:t xml:space="preserve"> </w:t>
      </w:r>
      <w:r>
        <w:rPr>
          <w:spacing w:val="1"/>
          <w:sz w:val="21"/>
          <w:szCs w:val="21"/>
          <w:u w:val="single" w:color="auto"/>
        </w:rPr>
        <w:t xml:space="preserve">             </w:t>
      </w:r>
      <w:r>
        <w:rPr>
          <w:spacing w:val="-93"/>
          <w:sz w:val="21"/>
          <w:szCs w:val="21"/>
        </w:rPr>
        <w:t xml:space="preserve"> </w:t>
      </w:r>
      <w:r>
        <w:rPr>
          <w:spacing w:val="-3"/>
          <w:sz w:val="21"/>
          <w:szCs w:val="21"/>
        </w:rPr>
        <w:t>(项目名称)_</w:t>
      </w:r>
      <w:r>
        <w:rPr>
          <w:spacing w:val="-85"/>
          <w:sz w:val="21"/>
          <w:szCs w:val="21"/>
        </w:rPr>
        <w:t xml:space="preserve"> </w:t>
      </w:r>
      <w:r>
        <w:rPr>
          <w:sz w:val="21"/>
          <w:szCs w:val="21"/>
          <w:u w:val="single" w:color="auto"/>
        </w:rPr>
        <w:t xml:space="preserve">       </w:t>
      </w:r>
      <w:r>
        <w:rPr>
          <w:spacing w:val="90"/>
          <w:sz w:val="21"/>
          <w:szCs w:val="21"/>
        </w:rPr>
        <w:t xml:space="preserve"> </w:t>
      </w:r>
      <w:r>
        <w:rPr>
          <w:spacing w:val="-3"/>
          <w:sz w:val="21"/>
          <w:szCs w:val="21"/>
        </w:rPr>
        <w:t>(标段名称)施工招标文件，作如下修改：</w:t>
      </w:r>
    </w:p>
    <w:p w14:paraId="0E84210A">
      <w:pPr>
        <w:spacing w:line="249" w:lineRule="auto"/>
        <w:rPr>
          <w:rFonts w:ascii="Arial"/>
          <w:sz w:val="21"/>
        </w:rPr>
      </w:pPr>
    </w:p>
    <w:p w14:paraId="1463D6C8">
      <w:pPr>
        <w:pStyle w:val="2"/>
        <w:spacing w:before="69" w:line="239" w:lineRule="auto"/>
        <w:ind w:left="429"/>
        <w:rPr>
          <w:sz w:val="21"/>
          <w:szCs w:val="21"/>
        </w:rPr>
      </w:pPr>
      <w:r>
        <w:rPr>
          <w:spacing w:val="-6"/>
          <w:sz w:val="21"/>
          <w:szCs w:val="21"/>
        </w:rPr>
        <w:t>1.……</w:t>
      </w:r>
    </w:p>
    <w:p w14:paraId="62F45C8C">
      <w:pPr>
        <w:pStyle w:val="2"/>
        <w:spacing w:before="278" w:line="239" w:lineRule="auto"/>
        <w:ind w:left="419"/>
        <w:rPr>
          <w:sz w:val="21"/>
          <w:szCs w:val="21"/>
        </w:rPr>
      </w:pPr>
      <w:r>
        <w:rPr>
          <w:spacing w:val="-3"/>
          <w:sz w:val="21"/>
          <w:szCs w:val="21"/>
        </w:rPr>
        <w:t>2.……</w:t>
      </w:r>
    </w:p>
    <w:p w14:paraId="4521D1FA">
      <w:pPr>
        <w:spacing w:line="356" w:lineRule="auto"/>
        <w:rPr>
          <w:rFonts w:ascii="Arial"/>
          <w:sz w:val="21"/>
        </w:rPr>
      </w:pPr>
    </w:p>
    <w:p w14:paraId="13F49BAB">
      <w:pPr>
        <w:spacing w:before="1" w:line="50" w:lineRule="exact"/>
        <w:ind w:firstLine="429"/>
      </w:pPr>
      <w:r>
        <w:rPr>
          <w:position w:val="-1"/>
        </w:rPr>
        <w:drawing>
          <wp:inline distT="0" distB="0" distL="0" distR="0">
            <wp:extent cx="260350" cy="31750"/>
            <wp:effectExtent l="0" t="0" r="0" b="0"/>
            <wp:docPr id="10" name="IM 10"/>
            <wp:cNvGraphicFramePr/>
            <a:graphic xmlns:a="http://schemas.openxmlformats.org/drawingml/2006/main">
              <a:graphicData uri="http://schemas.openxmlformats.org/drawingml/2006/picture">
                <pic:pic xmlns:pic="http://schemas.openxmlformats.org/drawingml/2006/picture">
                  <pic:nvPicPr>
                    <pic:cNvPr id="10" name="IM 10"/>
                    <pic:cNvPicPr/>
                  </pic:nvPicPr>
                  <pic:blipFill>
                    <a:blip r:embed="rId412"/>
                    <a:stretch>
                      <a:fillRect/>
                    </a:stretch>
                  </pic:blipFill>
                  <pic:spPr>
                    <a:xfrm>
                      <a:off x="0" y="0"/>
                      <a:ext cx="260388" cy="31759"/>
                    </a:xfrm>
                    <a:prstGeom prst="rect">
                      <a:avLst/>
                    </a:prstGeom>
                  </pic:spPr>
                </pic:pic>
              </a:graphicData>
            </a:graphic>
          </wp:inline>
        </w:drawing>
      </w:r>
    </w:p>
    <w:p w14:paraId="49C0DFAC">
      <w:pPr>
        <w:spacing w:line="242" w:lineRule="auto"/>
        <w:rPr>
          <w:rFonts w:ascii="Arial"/>
          <w:sz w:val="21"/>
        </w:rPr>
      </w:pPr>
    </w:p>
    <w:p w14:paraId="5B52D579">
      <w:pPr>
        <w:spacing w:line="242" w:lineRule="auto"/>
        <w:rPr>
          <w:rFonts w:ascii="Arial"/>
          <w:sz w:val="21"/>
        </w:rPr>
      </w:pPr>
    </w:p>
    <w:p w14:paraId="2A77DF62">
      <w:pPr>
        <w:spacing w:line="242" w:lineRule="auto"/>
        <w:rPr>
          <w:rFonts w:ascii="Arial"/>
          <w:sz w:val="21"/>
        </w:rPr>
      </w:pPr>
    </w:p>
    <w:p w14:paraId="0802F296">
      <w:pPr>
        <w:spacing w:line="243" w:lineRule="auto"/>
        <w:rPr>
          <w:rFonts w:ascii="Arial"/>
          <w:sz w:val="21"/>
        </w:rPr>
      </w:pPr>
    </w:p>
    <w:p w14:paraId="0BF63DA5">
      <w:pPr>
        <w:spacing w:line="243" w:lineRule="auto"/>
        <w:rPr>
          <w:rFonts w:ascii="Arial"/>
          <w:sz w:val="21"/>
        </w:rPr>
      </w:pPr>
    </w:p>
    <w:p w14:paraId="33C3A3C4">
      <w:pPr>
        <w:spacing w:before="69" w:line="232" w:lineRule="auto"/>
        <w:jc w:val="right"/>
        <w:rPr>
          <w:rFonts w:ascii="黑体" w:hAnsi="黑体" w:eastAsia="黑体" w:cs="黑体"/>
          <w:sz w:val="21"/>
          <w:szCs w:val="21"/>
        </w:rPr>
      </w:pPr>
      <w:r>
        <w:rPr>
          <w:rFonts w:ascii="黑体" w:hAnsi="黑体" w:eastAsia="黑体" w:cs="黑体"/>
          <w:spacing w:val="5"/>
          <w:sz w:val="21"/>
          <w:szCs w:val="21"/>
        </w:rPr>
        <w:t>招标人：</w:t>
      </w:r>
      <w:r>
        <w:rPr>
          <w:rFonts w:ascii="黑体" w:hAnsi="黑体" w:eastAsia="黑体" w:cs="黑体"/>
          <w:spacing w:val="1"/>
          <w:sz w:val="21"/>
          <w:szCs w:val="21"/>
          <w:u w:val="single" w:color="auto"/>
        </w:rPr>
        <w:t xml:space="preserve">                  </w:t>
      </w:r>
      <w:r>
        <w:rPr>
          <w:rFonts w:ascii="黑体" w:hAnsi="黑体" w:eastAsia="黑体" w:cs="黑体"/>
          <w:spacing w:val="85"/>
          <w:sz w:val="21"/>
          <w:szCs w:val="21"/>
        </w:rPr>
        <w:t xml:space="preserve"> </w:t>
      </w:r>
      <w:r>
        <w:rPr>
          <w:rFonts w:ascii="黑体" w:hAnsi="黑体" w:eastAsia="黑体" w:cs="黑体"/>
          <w:spacing w:val="5"/>
          <w:sz w:val="21"/>
          <w:szCs w:val="21"/>
        </w:rPr>
        <w:t>(盖单位章)</w:t>
      </w:r>
    </w:p>
    <w:p w14:paraId="625C12A0">
      <w:pPr>
        <w:spacing w:line="457" w:lineRule="auto"/>
        <w:rPr>
          <w:rFonts w:ascii="Arial"/>
          <w:sz w:val="21"/>
        </w:rPr>
      </w:pPr>
    </w:p>
    <w:p w14:paraId="59C562C6">
      <w:pPr>
        <w:tabs>
          <w:tab w:val="left" w:pos="6729"/>
        </w:tabs>
        <w:spacing w:before="69" w:line="233" w:lineRule="auto"/>
        <w:ind w:left="5779"/>
        <w:rPr>
          <w:rFonts w:ascii="黑体" w:hAnsi="黑体" w:eastAsia="黑体" w:cs="黑体"/>
          <w:sz w:val="21"/>
          <w:szCs w:val="21"/>
        </w:rPr>
      </w:pPr>
      <w:r>
        <w:rPr>
          <w:rFonts w:ascii="黑体" w:hAnsi="黑体" w:eastAsia="黑体" w:cs="黑体"/>
          <w:sz w:val="21"/>
          <w:szCs w:val="21"/>
          <w:u w:val="single" w:color="auto"/>
        </w:rPr>
        <w:tab/>
      </w:r>
      <w:r>
        <w:rPr>
          <w:rFonts w:ascii="黑体" w:hAnsi="黑体" w:eastAsia="黑体" w:cs="黑体"/>
          <w:spacing w:val="-24"/>
          <w:sz w:val="21"/>
          <w:szCs w:val="21"/>
        </w:rPr>
        <w:t>年</w:t>
      </w:r>
      <w:r>
        <w:rPr>
          <w:rFonts w:ascii="黑体" w:hAnsi="黑体" w:eastAsia="黑体" w:cs="黑体"/>
          <w:spacing w:val="15"/>
          <w:sz w:val="21"/>
          <w:szCs w:val="21"/>
          <w:u w:val="single" w:color="auto"/>
        </w:rPr>
        <w:t xml:space="preserve">    </w:t>
      </w:r>
      <w:r>
        <w:rPr>
          <w:rFonts w:ascii="黑体" w:hAnsi="黑体" w:eastAsia="黑体" w:cs="黑体"/>
          <w:spacing w:val="-95"/>
          <w:sz w:val="21"/>
          <w:szCs w:val="21"/>
        </w:rPr>
        <w:t xml:space="preserve"> </w:t>
      </w:r>
      <w:r>
        <w:rPr>
          <w:rFonts w:ascii="黑体" w:hAnsi="黑体" w:eastAsia="黑体" w:cs="黑体"/>
          <w:spacing w:val="-24"/>
          <w:sz w:val="21"/>
          <w:szCs w:val="21"/>
        </w:rPr>
        <w:t>月</w:t>
      </w:r>
      <w:r>
        <w:rPr>
          <w:rFonts w:ascii="黑体" w:hAnsi="黑体" w:eastAsia="黑体" w:cs="黑体"/>
          <w:spacing w:val="5"/>
          <w:position w:val="-1"/>
          <w:sz w:val="21"/>
          <w:szCs w:val="21"/>
          <w:u w:val="single" w:color="auto"/>
        </w:rPr>
        <w:t xml:space="preserve">    </w:t>
      </w:r>
      <w:r>
        <w:rPr>
          <w:rFonts w:ascii="黑体" w:hAnsi="黑体" w:eastAsia="黑体" w:cs="黑体"/>
          <w:spacing w:val="-24"/>
          <w:position w:val="-1"/>
          <w:sz w:val="21"/>
          <w:szCs w:val="21"/>
          <w:u w:val="single" w:color="auto"/>
        </w:rPr>
        <w:t>日</w:t>
      </w:r>
    </w:p>
    <w:p w14:paraId="74E0C773">
      <w:pPr>
        <w:spacing w:line="479" w:lineRule="auto"/>
        <w:rPr>
          <w:rFonts w:ascii="Arial"/>
          <w:sz w:val="21"/>
        </w:rPr>
      </w:pPr>
    </w:p>
    <w:p w14:paraId="71710BB0">
      <w:pPr>
        <w:pStyle w:val="2"/>
        <w:spacing w:before="69" w:line="219" w:lineRule="auto"/>
        <w:ind w:left="39"/>
        <w:rPr>
          <w:sz w:val="21"/>
          <w:szCs w:val="21"/>
        </w:rPr>
      </w:pPr>
      <w:r>
        <w:rPr>
          <w:spacing w:val="-2"/>
          <w:sz w:val="21"/>
          <w:szCs w:val="21"/>
        </w:rPr>
        <w:t>备注：招标人对招标文件有关问题修改时，适用本格式。</w:t>
      </w:r>
    </w:p>
    <w:p w14:paraId="01F9CD6D">
      <w:pPr>
        <w:spacing w:line="219" w:lineRule="auto"/>
        <w:rPr>
          <w:sz w:val="21"/>
          <w:szCs w:val="21"/>
        </w:rPr>
        <w:sectPr>
          <w:footerReference r:id="rId39" w:type="default"/>
          <w:pgSz w:w="11910" w:h="16840"/>
          <w:pgMar w:top="1431" w:right="1610" w:bottom="1070" w:left="1460" w:header="0" w:footer="796" w:gutter="0"/>
          <w:cols w:space="720" w:num="1"/>
        </w:sectPr>
      </w:pPr>
    </w:p>
    <w:p w14:paraId="12F1AB5B">
      <w:pPr>
        <w:spacing w:line="452" w:lineRule="auto"/>
        <w:rPr>
          <w:rFonts w:ascii="Arial"/>
          <w:sz w:val="21"/>
        </w:rPr>
      </w:pPr>
    </w:p>
    <w:p w14:paraId="18FC11DF">
      <w:pPr>
        <w:spacing w:before="78" w:line="221" w:lineRule="auto"/>
        <w:ind w:left="138"/>
        <w:outlineLvl w:val="1"/>
        <w:rPr>
          <w:rFonts w:ascii="黑体" w:hAnsi="黑体" w:eastAsia="黑体" w:cs="黑体"/>
          <w:sz w:val="24"/>
          <w:szCs w:val="24"/>
        </w:rPr>
      </w:pPr>
      <w:bookmarkStart w:id="97" w:name="bookmark78"/>
      <w:bookmarkEnd w:id="97"/>
      <w:r>
        <w:rPr>
          <w:rFonts w:ascii="黑体" w:hAnsi="黑体" w:eastAsia="黑体" w:cs="黑体"/>
          <w:b/>
          <w:bCs/>
          <w:spacing w:val="-5"/>
          <w:sz w:val="24"/>
          <w:szCs w:val="24"/>
        </w:rPr>
        <w:t>附表四：投标文件递交签收凭证</w:t>
      </w:r>
    </w:p>
    <w:p w14:paraId="22C2C63C">
      <w:pPr>
        <w:spacing w:line="250" w:lineRule="auto"/>
        <w:rPr>
          <w:rFonts w:ascii="Arial"/>
          <w:sz w:val="21"/>
        </w:rPr>
      </w:pPr>
    </w:p>
    <w:p w14:paraId="395057DD">
      <w:pPr>
        <w:spacing w:line="251" w:lineRule="auto"/>
        <w:rPr>
          <w:rFonts w:ascii="Arial"/>
          <w:sz w:val="21"/>
        </w:rPr>
      </w:pPr>
    </w:p>
    <w:p w14:paraId="043882B3">
      <w:pPr>
        <w:spacing w:line="251" w:lineRule="auto"/>
        <w:rPr>
          <w:rFonts w:ascii="Arial"/>
          <w:sz w:val="21"/>
        </w:rPr>
      </w:pPr>
    </w:p>
    <w:p w14:paraId="4FB71E24">
      <w:pPr>
        <w:spacing w:line="251" w:lineRule="auto"/>
        <w:rPr>
          <w:rFonts w:ascii="Arial"/>
          <w:sz w:val="21"/>
        </w:rPr>
      </w:pPr>
    </w:p>
    <w:p w14:paraId="3DD68056">
      <w:pPr>
        <w:spacing w:before="94" w:line="221" w:lineRule="auto"/>
        <w:ind w:left="3139"/>
        <w:rPr>
          <w:rFonts w:ascii="黑体" w:hAnsi="黑体" w:eastAsia="黑体" w:cs="黑体"/>
          <w:sz w:val="29"/>
          <w:szCs w:val="29"/>
        </w:rPr>
      </w:pPr>
      <w:bookmarkStart w:id="98" w:name="bookmark237"/>
      <w:bookmarkEnd w:id="98"/>
      <w:r>
        <w:rPr>
          <w:rFonts w:ascii="黑体" w:hAnsi="黑体" w:eastAsia="黑体" w:cs="黑体"/>
          <w:b/>
          <w:bCs/>
          <w:spacing w:val="-8"/>
          <w:sz w:val="29"/>
          <w:szCs w:val="29"/>
        </w:rPr>
        <w:t>投标文件递交签收凭证</w:t>
      </w:r>
    </w:p>
    <w:p w14:paraId="6C1A35CB">
      <w:pPr>
        <w:spacing w:line="247" w:lineRule="auto"/>
        <w:rPr>
          <w:rFonts w:ascii="Arial"/>
          <w:sz w:val="21"/>
        </w:rPr>
      </w:pPr>
    </w:p>
    <w:p w14:paraId="0696E78D">
      <w:pPr>
        <w:spacing w:line="247" w:lineRule="auto"/>
        <w:rPr>
          <w:rFonts w:ascii="Arial"/>
          <w:sz w:val="21"/>
        </w:rPr>
      </w:pPr>
    </w:p>
    <w:p w14:paraId="7872BCFF">
      <w:pPr>
        <w:pStyle w:val="2"/>
        <w:spacing w:before="68" w:line="208" w:lineRule="auto"/>
        <w:ind w:left="6505"/>
        <w:rPr>
          <w:sz w:val="21"/>
          <w:szCs w:val="21"/>
        </w:rPr>
      </w:pPr>
      <w:r>
        <w:rPr>
          <w:spacing w:val="-2"/>
          <w:sz w:val="21"/>
          <w:szCs w:val="21"/>
        </w:rPr>
        <w:t>编号：</w:t>
      </w:r>
    </w:p>
    <w:tbl>
      <w:tblPr>
        <w:tblStyle w:val="5"/>
        <w:tblW w:w="851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132"/>
        <w:gridCol w:w="6387"/>
      </w:tblGrid>
      <w:tr w14:paraId="02E4D7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3" w:hRule="atLeast"/>
        </w:trPr>
        <w:tc>
          <w:tcPr>
            <w:tcW w:w="2132" w:type="dxa"/>
            <w:vAlign w:val="top"/>
          </w:tcPr>
          <w:p w14:paraId="14DC2043">
            <w:pPr>
              <w:pStyle w:val="6"/>
              <w:spacing w:before="234" w:line="220" w:lineRule="auto"/>
              <w:ind w:left="615"/>
              <w:rPr>
                <w:sz w:val="22"/>
                <w:szCs w:val="22"/>
              </w:rPr>
            </w:pPr>
            <w:r>
              <w:rPr>
                <w:spacing w:val="2"/>
                <w:sz w:val="22"/>
                <w:szCs w:val="22"/>
              </w:rPr>
              <w:t>工程名称</w:t>
            </w:r>
          </w:p>
        </w:tc>
        <w:tc>
          <w:tcPr>
            <w:tcW w:w="6387" w:type="dxa"/>
            <w:vAlign w:val="top"/>
          </w:tcPr>
          <w:p w14:paraId="1412EC5D">
            <w:pPr>
              <w:pStyle w:val="6"/>
              <w:spacing w:before="225" w:line="209" w:lineRule="auto"/>
              <w:ind w:left="1693"/>
            </w:pPr>
            <w:r>
              <w:rPr>
                <w:position w:val="-1"/>
                <w:sz w:val="22"/>
                <w:szCs w:val="22"/>
              </w:rPr>
              <w:t>(项目名称)</w:t>
            </w:r>
            <w:r>
              <w:rPr>
                <w:spacing w:val="-99"/>
                <w:position w:val="-1"/>
                <w:sz w:val="22"/>
                <w:szCs w:val="22"/>
              </w:rPr>
              <w:t xml:space="preserve"> </w:t>
            </w:r>
            <w:r>
              <w:rPr>
                <w:spacing w:val="2"/>
                <w:position w:val="-1"/>
                <w:sz w:val="22"/>
                <w:szCs w:val="22"/>
                <w:u w:val="single" w:color="auto"/>
              </w:rPr>
              <w:t xml:space="preserve">       </w:t>
            </w:r>
            <w:r>
              <w:rPr>
                <w:spacing w:val="-51"/>
                <w:position w:val="-1"/>
                <w:sz w:val="22"/>
                <w:szCs w:val="22"/>
              </w:rPr>
              <w:t xml:space="preserve"> </w:t>
            </w:r>
            <w:r>
              <w:rPr>
                <w:position w:val="1"/>
              </w:rPr>
              <w:t>(标段名称)</w:t>
            </w:r>
          </w:p>
          <w:p w14:paraId="05306AC3">
            <w:pPr>
              <w:spacing w:line="10" w:lineRule="exact"/>
              <w:ind w:left="2902"/>
            </w:pPr>
            <w:r>
              <w:drawing>
                <wp:inline distT="0" distB="0" distL="0" distR="0">
                  <wp:extent cx="469900" cy="6350"/>
                  <wp:effectExtent l="0" t="0" r="0" b="0"/>
                  <wp:docPr id="12" name="IM 12"/>
                  <wp:cNvGraphicFramePr/>
                  <a:graphic xmlns:a="http://schemas.openxmlformats.org/drawingml/2006/main">
                    <a:graphicData uri="http://schemas.openxmlformats.org/drawingml/2006/picture">
                      <pic:pic xmlns:pic="http://schemas.openxmlformats.org/drawingml/2006/picture">
                        <pic:nvPicPr>
                          <pic:cNvPr id="12" name="IM 12"/>
                          <pic:cNvPicPr/>
                        </pic:nvPicPr>
                        <pic:blipFill>
                          <a:blip r:embed="rId413"/>
                          <a:stretch>
                            <a:fillRect/>
                          </a:stretch>
                        </pic:blipFill>
                        <pic:spPr>
                          <a:xfrm>
                            <a:off x="0" y="0"/>
                            <a:ext cx="469955" cy="6984"/>
                          </a:xfrm>
                          <a:prstGeom prst="rect">
                            <a:avLst/>
                          </a:prstGeom>
                        </pic:spPr>
                      </pic:pic>
                    </a:graphicData>
                  </a:graphic>
                </wp:inline>
              </w:drawing>
            </w:r>
          </w:p>
        </w:tc>
      </w:tr>
      <w:tr w14:paraId="4B9FA5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atLeast"/>
        </w:trPr>
        <w:tc>
          <w:tcPr>
            <w:tcW w:w="2132" w:type="dxa"/>
            <w:vAlign w:val="top"/>
          </w:tcPr>
          <w:p w14:paraId="4FAAFC0F">
            <w:pPr>
              <w:pStyle w:val="6"/>
              <w:spacing w:before="231" w:line="220" w:lineRule="auto"/>
              <w:ind w:left="724"/>
              <w:rPr>
                <w:sz w:val="22"/>
                <w:szCs w:val="22"/>
              </w:rPr>
            </w:pPr>
            <w:r>
              <w:rPr>
                <w:spacing w:val="-3"/>
                <w:sz w:val="22"/>
                <w:szCs w:val="22"/>
              </w:rPr>
              <w:t>招标人</w:t>
            </w:r>
          </w:p>
        </w:tc>
        <w:tc>
          <w:tcPr>
            <w:tcW w:w="6387" w:type="dxa"/>
            <w:vAlign w:val="top"/>
          </w:tcPr>
          <w:p w14:paraId="055C78FE">
            <w:pPr>
              <w:rPr>
                <w:rFonts w:ascii="Arial"/>
                <w:sz w:val="21"/>
              </w:rPr>
            </w:pPr>
          </w:p>
        </w:tc>
      </w:tr>
      <w:tr w14:paraId="0A1F96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8" w:hRule="atLeast"/>
        </w:trPr>
        <w:tc>
          <w:tcPr>
            <w:tcW w:w="2132" w:type="dxa"/>
            <w:vAlign w:val="top"/>
          </w:tcPr>
          <w:p w14:paraId="759C488D">
            <w:pPr>
              <w:pStyle w:val="6"/>
              <w:spacing w:before="230" w:line="219" w:lineRule="auto"/>
              <w:ind w:left="394"/>
              <w:rPr>
                <w:sz w:val="22"/>
                <w:szCs w:val="22"/>
              </w:rPr>
            </w:pPr>
            <w:r>
              <w:rPr>
                <w:spacing w:val="2"/>
                <w:sz w:val="22"/>
                <w:szCs w:val="22"/>
              </w:rPr>
              <w:t>招标代理机构</w:t>
            </w:r>
          </w:p>
        </w:tc>
        <w:tc>
          <w:tcPr>
            <w:tcW w:w="6387" w:type="dxa"/>
            <w:vAlign w:val="top"/>
          </w:tcPr>
          <w:p w14:paraId="5CAA5584">
            <w:pPr>
              <w:rPr>
                <w:rFonts w:ascii="Arial"/>
                <w:sz w:val="21"/>
              </w:rPr>
            </w:pPr>
          </w:p>
        </w:tc>
      </w:tr>
      <w:tr w14:paraId="6144A8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atLeast"/>
        </w:trPr>
        <w:tc>
          <w:tcPr>
            <w:tcW w:w="2132" w:type="dxa"/>
            <w:vAlign w:val="top"/>
          </w:tcPr>
          <w:p w14:paraId="41CB3714">
            <w:pPr>
              <w:pStyle w:val="6"/>
              <w:spacing w:before="234" w:line="220" w:lineRule="auto"/>
              <w:ind w:left="724"/>
              <w:rPr>
                <w:sz w:val="22"/>
                <w:szCs w:val="22"/>
              </w:rPr>
            </w:pPr>
            <w:r>
              <w:rPr>
                <w:spacing w:val="3"/>
                <w:sz w:val="22"/>
                <w:szCs w:val="22"/>
              </w:rPr>
              <w:t>投标人</w:t>
            </w:r>
          </w:p>
        </w:tc>
        <w:tc>
          <w:tcPr>
            <w:tcW w:w="6387" w:type="dxa"/>
            <w:vAlign w:val="top"/>
          </w:tcPr>
          <w:p w14:paraId="41E9F65A">
            <w:pPr>
              <w:rPr>
                <w:rFonts w:ascii="Arial"/>
                <w:sz w:val="21"/>
              </w:rPr>
            </w:pPr>
          </w:p>
        </w:tc>
      </w:tr>
      <w:tr w14:paraId="152005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8" w:hRule="atLeast"/>
        </w:trPr>
        <w:tc>
          <w:tcPr>
            <w:tcW w:w="2132" w:type="dxa"/>
            <w:vAlign w:val="top"/>
          </w:tcPr>
          <w:p w14:paraId="7AADD365">
            <w:pPr>
              <w:pStyle w:val="6"/>
              <w:spacing w:before="235" w:line="219" w:lineRule="auto"/>
              <w:ind w:left="174"/>
              <w:rPr>
                <w:sz w:val="22"/>
                <w:szCs w:val="22"/>
              </w:rPr>
            </w:pPr>
            <w:r>
              <w:rPr>
                <w:spacing w:val="2"/>
                <w:sz w:val="22"/>
                <w:szCs w:val="22"/>
              </w:rPr>
              <w:t>投标文件递交时间</w:t>
            </w:r>
          </w:p>
        </w:tc>
        <w:tc>
          <w:tcPr>
            <w:tcW w:w="6387" w:type="dxa"/>
            <w:vAlign w:val="top"/>
          </w:tcPr>
          <w:p w14:paraId="0FB22672">
            <w:pPr>
              <w:pStyle w:val="6"/>
              <w:tabs>
                <w:tab w:val="left" w:pos="1041"/>
              </w:tabs>
              <w:spacing w:before="227" w:line="219" w:lineRule="auto"/>
              <w:ind w:left="93"/>
              <w:rPr>
                <w:sz w:val="22"/>
                <w:szCs w:val="22"/>
              </w:rPr>
            </w:pPr>
            <w:r>
              <w:rPr>
                <w:sz w:val="22"/>
                <w:szCs w:val="22"/>
                <w:u w:val="single" w:color="auto"/>
              </w:rPr>
              <w:tab/>
            </w:r>
            <w:r>
              <w:rPr>
                <w:spacing w:val="-12"/>
                <w:sz w:val="22"/>
                <w:szCs w:val="22"/>
              </w:rPr>
              <w:t>年</w:t>
            </w:r>
            <w:r>
              <w:rPr>
                <w:spacing w:val="-70"/>
                <w:sz w:val="22"/>
                <w:szCs w:val="22"/>
              </w:rPr>
              <w:t xml:space="preserve"> </w:t>
            </w:r>
            <w:r>
              <w:rPr>
                <w:spacing w:val="20"/>
                <w:sz w:val="22"/>
                <w:szCs w:val="22"/>
                <w:u w:val="single" w:color="auto"/>
              </w:rPr>
              <w:t xml:space="preserve">   </w:t>
            </w:r>
            <w:r>
              <w:rPr>
                <w:spacing w:val="-12"/>
                <w:sz w:val="22"/>
                <w:szCs w:val="22"/>
              </w:rPr>
              <w:t>月</w:t>
            </w:r>
            <w:r>
              <w:rPr>
                <w:spacing w:val="-35"/>
                <w:sz w:val="22"/>
                <w:szCs w:val="22"/>
              </w:rPr>
              <w:t xml:space="preserve"> </w:t>
            </w:r>
            <w:r>
              <w:rPr>
                <w:spacing w:val="-12"/>
                <w:sz w:val="22"/>
                <w:szCs w:val="22"/>
                <w:u w:val="dotted" w:color="auto"/>
              </w:rPr>
              <w:t xml:space="preserve"> 日</w:t>
            </w:r>
            <w:r>
              <w:rPr>
                <w:spacing w:val="-12"/>
                <w:sz w:val="22"/>
                <w:szCs w:val="22"/>
                <w:u w:val="single" w:color="auto"/>
              </w:rPr>
              <w:t xml:space="preserve">      </w:t>
            </w:r>
            <w:r>
              <w:rPr>
                <w:spacing w:val="-12"/>
                <w:sz w:val="22"/>
                <w:szCs w:val="22"/>
              </w:rPr>
              <w:t>时</w:t>
            </w:r>
            <w:r>
              <w:rPr>
                <w:spacing w:val="-51"/>
                <w:sz w:val="22"/>
                <w:szCs w:val="22"/>
              </w:rPr>
              <w:t xml:space="preserve"> </w:t>
            </w:r>
            <w:r>
              <w:rPr>
                <w:spacing w:val="19"/>
                <w:sz w:val="22"/>
                <w:szCs w:val="22"/>
                <w:u w:val="single" w:color="auto"/>
              </w:rPr>
              <w:t xml:space="preserve">   </w:t>
            </w:r>
            <w:r>
              <w:rPr>
                <w:spacing w:val="-12"/>
                <w:sz w:val="22"/>
                <w:szCs w:val="22"/>
              </w:rPr>
              <w:t>分</w:t>
            </w:r>
          </w:p>
        </w:tc>
      </w:tr>
      <w:tr w14:paraId="4133F5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3" w:hRule="atLeast"/>
        </w:trPr>
        <w:tc>
          <w:tcPr>
            <w:tcW w:w="2132" w:type="dxa"/>
            <w:vAlign w:val="top"/>
          </w:tcPr>
          <w:p w14:paraId="17E2B827">
            <w:pPr>
              <w:pStyle w:val="6"/>
              <w:spacing w:before="237" w:line="219" w:lineRule="auto"/>
              <w:ind w:left="174"/>
              <w:rPr>
                <w:sz w:val="22"/>
                <w:szCs w:val="22"/>
              </w:rPr>
            </w:pPr>
            <w:r>
              <w:rPr>
                <w:spacing w:val="1"/>
                <w:sz w:val="22"/>
                <w:szCs w:val="22"/>
              </w:rPr>
              <w:t>投标文件是否加密</w:t>
            </w:r>
          </w:p>
        </w:tc>
        <w:tc>
          <w:tcPr>
            <w:tcW w:w="6387" w:type="dxa"/>
            <w:vAlign w:val="top"/>
          </w:tcPr>
          <w:p w14:paraId="31D4FB05">
            <w:pPr>
              <w:rPr>
                <w:rFonts w:ascii="Arial"/>
                <w:sz w:val="21"/>
              </w:rPr>
            </w:pPr>
          </w:p>
        </w:tc>
      </w:tr>
    </w:tbl>
    <w:p w14:paraId="7381D546">
      <w:pPr>
        <w:rPr>
          <w:rFonts w:ascii="Arial"/>
          <w:sz w:val="21"/>
        </w:rPr>
      </w:pPr>
    </w:p>
    <w:p w14:paraId="1B5C31C8">
      <w:pPr>
        <w:rPr>
          <w:rFonts w:ascii="Arial" w:hAnsi="Arial" w:eastAsia="Arial" w:cs="Arial"/>
          <w:sz w:val="21"/>
          <w:szCs w:val="21"/>
        </w:rPr>
        <w:sectPr>
          <w:footerReference r:id="rId40" w:type="default"/>
          <w:pgSz w:w="11910" w:h="16840"/>
          <w:pgMar w:top="1431" w:right="1786" w:bottom="1008" w:left="1355" w:header="0" w:footer="855" w:gutter="0"/>
          <w:cols w:space="720" w:num="1"/>
        </w:sectPr>
      </w:pPr>
    </w:p>
    <w:p w14:paraId="1CCB3716">
      <w:pPr>
        <w:spacing w:line="475" w:lineRule="auto"/>
        <w:rPr>
          <w:rFonts w:ascii="Arial"/>
          <w:sz w:val="21"/>
        </w:rPr>
      </w:pPr>
    </w:p>
    <w:p w14:paraId="397694D9">
      <w:pPr>
        <w:spacing w:before="75" w:line="222" w:lineRule="auto"/>
        <w:ind w:left="68"/>
        <w:outlineLvl w:val="1"/>
        <w:rPr>
          <w:rFonts w:ascii="黑体" w:hAnsi="黑体" w:eastAsia="黑体" w:cs="黑体"/>
          <w:sz w:val="23"/>
          <w:szCs w:val="23"/>
        </w:rPr>
      </w:pPr>
      <w:bookmarkStart w:id="99" w:name="bookmark238"/>
      <w:bookmarkEnd w:id="99"/>
      <w:bookmarkStart w:id="100" w:name="bookmark79"/>
      <w:bookmarkEnd w:id="100"/>
      <w:r>
        <w:rPr>
          <w:rFonts w:ascii="黑体" w:hAnsi="黑体" w:eastAsia="黑体" w:cs="黑体"/>
          <w:b/>
          <w:bCs/>
          <w:spacing w:val="5"/>
          <w:sz w:val="23"/>
          <w:szCs w:val="23"/>
        </w:rPr>
        <w:t>附表五：开标记录表</w:t>
      </w:r>
    </w:p>
    <w:p w14:paraId="5B9C5AAC">
      <w:pPr>
        <w:spacing w:line="365" w:lineRule="auto"/>
        <w:rPr>
          <w:rFonts w:ascii="Arial"/>
          <w:sz w:val="21"/>
        </w:rPr>
      </w:pPr>
    </w:p>
    <w:p w14:paraId="13879C20">
      <w:pPr>
        <w:tabs>
          <w:tab w:val="left" w:pos="1453"/>
        </w:tabs>
        <w:spacing w:before="91" w:line="222" w:lineRule="auto"/>
        <w:ind w:left="35"/>
        <w:rPr>
          <w:rFonts w:ascii="黑体" w:hAnsi="黑体" w:eastAsia="黑体" w:cs="黑体"/>
          <w:sz w:val="28"/>
          <w:szCs w:val="28"/>
        </w:rPr>
      </w:pPr>
      <w:r>
        <w:rPr>
          <w:rFonts w:ascii="黑体" w:hAnsi="黑体" w:eastAsia="黑体" w:cs="黑体"/>
          <w:sz w:val="28"/>
          <w:szCs w:val="28"/>
          <w:u w:val="single" w:color="auto"/>
        </w:rPr>
        <w:tab/>
      </w:r>
      <w:r>
        <w:rPr>
          <w:rFonts w:ascii="黑体" w:hAnsi="黑体" w:eastAsia="黑体" w:cs="黑体"/>
          <w:spacing w:val="-10"/>
          <w:sz w:val="28"/>
          <w:szCs w:val="28"/>
        </w:rPr>
        <w:t xml:space="preserve"> </w:t>
      </w:r>
      <w:r>
        <w:rPr>
          <w:rFonts w:ascii="黑体" w:hAnsi="黑体" w:eastAsia="黑体" w:cs="黑体"/>
          <w:spacing w:val="13"/>
          <w:sz w:val="28"/>
          <w:szCs w:val="28"/>
        </w:rPr>
        <w:t>(项目名称)</w:t>
      </w:r>
      <w:r>
        <w:rPr>
          <w:rFonts w:ascii="黑体" w:hAnsi="黑体" w:eastAsia="黑体" w:cs="黑体"/>
          <w:spacing w:val="-67"/>
          <w:sz w:val="28"/>
          <w:szCs w:val="28"/>
        </w:rPr>
        <w:t xml:space="preserve"> </w:t>
      </w:r>
      <w:r>
        <w:rPr>
          <w:rFonts w:ascii="黑体" w:hAnsi="黑体" w:eastAsia="黑体" w:cs="黑体"/>
          <w:spacing w:val="3"/>
          <w:sz w:val="28"/>
          <w:szCs w:val="28"/>
          <w:u w:val="single" w:color="auto"/>
        </w:rPr>
        <w:t xml:space="preserve">      </w:t>
      </w:r>
      <w:r>
        <w:rPr>
          <w:rFonts w:ascii="黑体" w:hAnsi="黑体" w:eastAsia="黑体" w:cs="黑体"/>
          <w:spacing w:val="-18"/>
          <w:sz w:val="28"/>
          <w:szCs w:val="28"/>
        </w:rPr>
        <w:t xml:space="preserve"> </w:t>
      </w:r>
      <w:r>
        <w:rPr>
          <w:rFonts w:ascii="黑体" w:hAnsi="黑体" w:eastAsia="黑体" w:cs="黑体"/>
          <w:spacing w:val="13"/>
          <w:sz w:val="28"/>
          <w:szCs w:val="28"/>
        </w:rPr>
        <w:t>(标段名称)施工开标记录表</w:t>
      </w:r>
    </w:p>
    <w:p w14:paraId="4CD2F194">
      <w:pPr>
        <w:spacing w:line="321" w:lineRule="auto"/>
        <w:rPr>
          <w:rFonts w:ascii="Arial"/>
          <w:sz w:val="21"/>
        </w:rPr>
      </w:pPr>
    </w:p>
    <w:p w14:paraId="6E6A8ACD">
      <w:pPr>
        <w:spacing w:before="62" w:line="222" w:lineRule="auto"/>
        <w:ind w:left="65"/>
        <w:rPr>
          <w:rFonts w:ascii="黑体" w:hAnsi="黑体" w:eastAsia="黑体" w:cs="黑体"/>
          <w:sz w:val="19"/>
          <w:szCs w:val="19"/>
        </w:rPr>
      </w:pPr>
      <w:r>
        <w:rPr>
          <w:rFonts w:ascii="黑体" w:hAnsi="黑体" w:eastAsia="黑体" w:cs="黑体"/>
          <w:spacing w:val="-8"/>
          <w:sz w:val="19"/>
          <w:szCs w:val="19"/>
        </w:rPr>
        <w:t>开</w:t>
      </w:r>
      <w:r>
        <w:rPr>
          <w:rFonts w:ascii="黑体" w:hAnsi="黑体" w:eastAsia="黑体" w:cs="黑体"/>
          <w:spacing w:val="29"/>
          <w:sz w:val="19"/>
          <w:szCs w:val="19"/>
        </w:rPr>
        <w:t xml:space="preserve"> </w:t>
      </w:r>
      <w:r>
        <w:rPr>
          <w:rFonts w:ascii="黑体" w:hAnsi="黑体" w:eastAsia="黑体" w:cs="黑体"/>
          <w:spacing w:val="-8"/>
          <w:sz w:val="19"/>
          <w:szCs w:val="19"/>
        </w:rPr>
        <w:t>标</w:t>
      </w:r>
      <w:r>
        <w:rPr>
          <w:rFonts w:ascii="黑体" w:hAnsi="黑体" w:eastAsia="黑体" w:cs="黑体"/>
          <w:spacing w:val="34"/>
          <w:w w:val="101"/>
          <w:sz w:val="19"/>
          <w:szCs w:val="19"/>
        </w:rPr>
        <w:t xml:space="preserve"> </w:t>
      </w:r>
      <w:r>
        <w:rPr>
          <w:rFonts w:ascii="黑体" w:hAnsi="黑体" w:eastAsia="黑体" w:cs="黑体"/>
          <w:spacing w:val="-8"/>
          <w:sz w:val="19"/>
          <w:szCs w:val="19"/>
        </w:rPr>
        <w:t>时</w:t>
      </w:r>
      <w:r>
        <w:rPr>
          <w:rFonts w:ascii="黑体" w:hAnsi="黑体" w:eastAsia="黑体" w:cs="黑体"/>
          <w:spacing w:val="18"/>
          <w:sz w:val="19"/>
          <w:szCs w:val="19"/>
        </w:rPr>
        <w:t xml:space="preserve">   </w:t>
      </w:r>
      <w:r>
        <w:rPr>
          <w:rFonts w:ascii="黑体" w:hAnsi="黑体" w:eastAsia="黑体" w:cs="黑体"/>
          <w:spacing w:val="-8"/>
          <w:sz w:val="19"/>
          <w:szCs w:val="19"/>
        </w:rPr>
        <w:t>间</w:t>
      </w:r>
      <w:r>
        <w:rPr>
          <w:rFonts w:ascii="黑体" w:hAnsi="黑体" w:eastAsia="黑体" w:cs="黑体"/>
          <w:spacing w:val="22"/>
          <w:sz w:val="19"/>
          <w:szCs w:val="19"/>
        </w:rPr>
        <w:t xml:space="preserve"> </w:t>
      </w:r>
      <w:r>
        <w:rPr>
          <w:rFonts w:ascii="黑体" w:hAnsi="黑体" w:eastAsia="黑体" w:cs="黑体"/>
          <w:spacing w:val="-8"/>
          <w:sz w:val="19"/>
          <w:szCs w:val="19"/>
        </w:rPr>
        <w:t>：</w:t>
      </w:r>
      <w:r>
        <w:rPr>
          <w:rFonts w:ascii="黑体" w:hAnsi="黑体" w:eastAsia="黑体" w:cs="黑体"/>
          <w:spacing w:val="65"/>
          <w:sz w:val="19"/>
          <w:szCs w:val="19"/>
        </w:rPr>
        <w:t xml:space="preserve"> </w:t>
      </w:r>
      <w:r>
        <w:rPr>
          <w:rFonts w:ascii="黑体" w:hAnsi="黑体" w:eastAsia="黑体" w:cs="黑体"/>
          <w:spacing w:val="5"/>
          <w:sz w:val="19"/>
          <w:szCs w:val="19"/>
          <w:u w:val="single" w:color="auto"/>
        </w:rPr>
        <w:t xml:space="preserve">               </w:t>
      </w:r>
      <w:r>
        <w:rPr>
          <w:rFonts w:ascii="黑体" w:hAnsi="黑体" w:eastAsia="黑体" w:cs="黑体"/>
          <w:spacing w:val="-85"/>
          <w:sz w:val="19"/>
          <w:szCs w:val="19"/>
        </w:rPr>
        <w:t xml:space="preserve"> </w:t>
      </w:r>
      <w:r>
        <w:rPr>
          <w:rFonts w:ascii="黑体" w:hAnsi="黑体" w:eastAsia="黑体" w:cs="黑体"/>
          <w:spacing w:val="-8"/>
          <w:sz w:val="19"/>
          <w:szCs w:val="19"/>
        </w:rPr>
        <w:t>年</w:t>
      </w:r>
      <w:r>
        <w:rPr>
          <w:rFonts w:ascii="黑体" w:hAnsi="黑体" w:eastAsia="黑体" w:cs="黑体"/>
          <w:spacing w:val="53"/>
          <w:sz w:val="19"/>
          <w:szCs w:val="19"/>
        </w:rPr>
        <w:t xml:space="preserve"> </w:t>
      </w:r>
      <w:r>
        <w:rPr>
          <w:rFonts w:ascii="黑体" w:hAnsi="黑体" w:eastAsia="黑体" w:cs="黑体"/>
          <w:sz w:val="19"/>
          <w:szCs w:val="19"/>
          <w:u w:val="single" w:color="auto"/>
        </w:rPr>
        <w:t xml:space="preserve">           </w:t>
      </w:r>
      <w:r>
        <w:rPr>
          <w:rFonts w:ascii="黑体" w:hAnsi="黑体" w:eastAsia="黑体" w:cs="黑体"/>
          <w:spacing w:val="-8"/>
          <w:sz w:val="19"/>
          <w:szCs w:val="19"/>
        </w:rPr>
        <w:t>月</w:t>
      </w:r>
      <w:r>
        <w:rPr>
          <w:rFonts w:ascii="黑体" w:hAnsi="黑体" w:eastAsia="黑体" w:cs="黑体"/>
          <w:spacing w:val="52"/>
          <w:sz w:val="19"/>
          <w:szCs w:val="19"/>
        </w:rPr>
        <w:t xml:space="preserve"> </w:t>
      </w:r>
      <w:r>
        <w:rPr>
          <w:rFonts w:ascii="黑体" w:hAnsi="黑体" w:eastAsia="黑体" w:cs="黑体"/>
          <w:sz w:val="19"/>
          <w:szCs w:val="19"/>
          <w:u w:val="single" w:color="auto"/>
        </w:rPr>
        <w:t xml:space="preserve">           </w:t>
      </w:r>
      <w:r>
        <w:rPr>
          <w:rFonts w:ascii="黑体" w:hAnsi="黑体" w:eastAsia="黑体" w:cs="黑体"/>
          <w:spacing w:val="-8"/>
          <w:sz w:val="19"/>
          <w:szCs w:val="19"/>
        </w:rPr>
        <w:t>日</w:t>
      </w:r>
      <w:r>
        <w:rPr>
          <w:rFonts w:ascii="黑体" w:hAnsi="黑体" w:eastAsia="黑体" w:cs="黑体"/>
          <w:spacing w:val="67"/>
          <w:w w:val="101"/>
          <w:sz w:val="19"/>
          <w:szCs w:val="19"/>
        </w:rPr>
        <w:t xml:space="preserve"> </w:t>
      </w:r>
      <w:r>
        <w:rPr>
          <w:rFonts w:ascii="黑体" w:hAnsi="黑体" w:eastAsia="黑体" w:cs="黑体"/>
          <w:spacing w:val="-8"/>
          <w:sz w:val="19"/>
          <w:szCs w:val="19"/>
          <w:u w:val="single" w:color="auto"/>
        </w:rPr>
        <w:t xml:space="preserve">           </w:t>
      </w:r>
      <w:r>
        <w:rPr>
          <w:rFonts w:ascii="黑体" w:hAnsi="黑体" w:eastAsia="黑体" w:cs="黑体"/>
          <w:spacing w:val="-8"/>
          <w:sz w:val="19"/>
          <w:szCs w:val="19"/>
        </w:rPr>
        <w:t xml:space="preserve">时  </w:t>
      </w:r>
      <w:r>
        <w:rPr>
          <w:rFonts w:ascii="黑体" w:hAnsi="黑体" w:eastAsia="黑体" w:cs="黑体"/>
          <w:spacing w:val="8"/>
          <w:sz w:val="19"/>
          <w:szCs w:val="19"/>
          <w:u w:val="single" w:color="auto"/>
        </w:rPr>
        <w:t xml:space="preserve">          </w:t>
      </w:r>
      <w:r>
        <w:rPr>
          <w:rFonts w:ascii="黑体" w:hAnsi="黑体" w:eastAsia="黑体" w:cs="黑体"/>
          <w:spacing w:val="-8"/>
          <w:sz w:val="19"/>
          <w:szCs w:val="19"/>
        </w:rPr>
        <w:t>分</w:t>
      </w:r>
    </w:p>
    <w:p w14:paraId="2CF33EE7">
      <w:pPr>
        <w:pStyle w:val="2"/>
        <w:spacing w:before="158" w:line="220" w:lineRule="auto"/>
        <w:ind w:left="55"/>
        <w:rPr>
          <w:sz w:val="21"/>
          <w:szCs w:val="21"/>
        </w:rPr>
      </w:pPr>
      <w:r>
        <w:rPr>
          <w:spacing w:val="-1"/>
          <w:sz w:val="21"/>
          <w:szCs w:val="21"/>
        </w:rPr>
        <w:t>开标地点：</w:t>
      </w:r>
    </w:p>
    <w:p w14:paraId="71F6B126">
      <w:pPr>
        <w:spacing w:line="56" w:lineRule="auto"/>
        <w:rPr>
          <w:rFonts w:ascii="Arial"/>
          <w:sz w:val="2"/>
        </w:rPr>
      </w:pPr>
    </w:p>
    <w:tbl>
      <w:tblPr>
        <w:tblStyle w:val="5"/>
        <w:tblW w:w="90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5"/>
        <w:gridCol w:w="1608"/>
        <w:gridCol w:w="529"/>
        <w:gridCol w:w="909"/>
        <w:gridCol w:w="719"/>
        <w:gridCol w:w="709"/>
        <w:gridCol w:w="549"/>
        <w:gridCol w:w="1259"/>
        <w:gridCol w:w="889"/>
        <w:gridCol w:w="559"/>
        <w:gridCol w:w="904"/>
      </w:tblGrid>
      <w:tr w14:paraId="442FCE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5" w:hRule="atLeast"/>
        </w:trPr>
        <w:tc>
          <w:tcPr>
            <w:tcW w:w="425" w:type="dxa"/>
            <w:vMerge w:val="restart"/>
            <w:tcBorders>
              <w:bottom w:val="nil"/>
            </w:tcBorders>
            <w:textDirection w:val="tbRlV"/>
            <w:vAlign w:val="top"/>
          </w:tcPr>
          <w:p w14:paraId="50183D46">
            <w:pPr>
              <w:pStyle w:val="6"/>
              <w:spacing w:before="102" w:line="199" w:lineRule="auto"/>
              <w:ind w:left="184"/>
            </w:pPr>
            <w:r>
              <w:t>序号</w:t>
            </w:r>
          </w:p>
        </w:tc>
        <w:tc>
          <w:tcPr>
            <w:tcW w:w="1608" w:type="dxa"/>
            <w:vMerge w:val="restart"/>
            <w:tcBorders>
              <w:bottom w:val="nil"/>
            </w:tcBorders>
            <w:vAlign w:val="top"/>
          </w:tcPr>
          <w:p w14:paraId="332CD121">
            <w:pPr>
              <w:pStyle w:val="6"/>
              <w:spacing w:before="304" w:line="220" w:lineRule="auto"/>
              <w:ind w:left="299"/>
            </w:pPr>
            <w:r>
              <w:rPr>
                <w:spacing w:val="2"/>
              </w:rPr>
              <w:t>投标人名称</w:t>
            </w:r>
          </w:p>
        </w:tc>
        <w:tc>
          <w:tcPr>
            <w:tcW w:w="529" w:type="dxa"/>
            <w:vMerge w:val="restart"/>
            <w:tcBorders>
              <w:bottom w:val="nil"/>
            </w:tcBorders>
            <w:vAlign w:val="top"/>
          </w:tcPr>
          <w:p w14:paraId="7512E0A4">
            <w:pPr>
              <w:pStyle w:val="6"/>
              <w:spacing w:before="34" w:line="220" w:lineRule="auto"/>
              <w:ind w:left="41"/>
            </w:pPr>
            <w:r>
              <w:rPr>
                <w:spacing w:val="-3"/>
              </w:rPr>
              <w:t>投标</w:t>
            </w:r>
          </w:p>
          <w:p w14:paraId="5C35E3F5">
            <w:pPr>
              <w:pStyle w:val="6"/>
              <w:spacing w:before="18" w:line="220" w:lineRule="auto"/>
              <w:ind w:left="151" w:right="66" w:hanging="110"/>
            </w:pPr>
            <w:r>
              <w:rPr>
                <w:spacing w:val="-5"/>
              </w:rPr>
              <w:t>保证</w:t>
            </w:r>
            <w:r>
              <w:t xml:space="preserve"> 金</w:t>
            </w:r>
          </w:p>
        </w:tc>
        <w:tc>
          <w:tcPr>
            <w:tcW w:w="909" w:type="dxa"/>
            <w:vMerge w:val="restart"/>
            <w:tcBorders>
              <w:bottom w:val="nil"/>
            </w:tcBorders>
            <w:vAlign w:val="top"/>
          </w:tcPr>
          <w:p w14:paraId="7286CAB2">
            <w:pPr>
              <w:pStyle w:val="6"/>
              <w:spacing w:before="171" w:line="218" w:lineRule="auto"/>
              <w:ind w:left="22"/>
            </w:pPr>
            <w:r>
              <w:rPr>
                <w:spacing w:val="-3"/>
              </w:rPr>
              <w:t>投标报价</w:t>
            </w:r>
          </w:p>
          <w:p w14:paraId="58917FBA">
            <w:pPr>
              <w:pStyle w:val="6"/>
              <w:spacing w:before="14" w:line="220" w:lineRule="auto"/>
              <w:ind w:left="232"/>
            </w:pPr>
            <w:r>
              <w:rPr>
                <w:spacing w:val="15"/>
              </w:rPr>
              <w:t>(元)</w:t>
            </w:r>
          </w:p>
        </w:tc>
        <w:tc>
          <w:tcPr>
            <w:tcW w:w="719" w:type="dxa"/>
            <w:vMerge w:val="restart"/>
            <w:tcBorders>
              <w:bottom w:val="nil"/>
            </w:tcBorders>
            <w:vAlign w:val="top"/>
          </w:tcPr>
          <w:p w14:paraId="1C6848E5">
            <w:pPr>
              <w:pStyle w:val="6"/>
              <w:spacing w:before="32" w:line="226" w:lineRule="auto"/>
              <w:ind w:left="84" w:right="81" w:firstLine="59"/>
              <w:jc w:val="right"/>
            </w:pPr>
            <w:r>
              <w:rPr>
                <w:spacing w:val="6"/>
              </w:rPr>
              <w:t>工期</w:t>
            </w:r>
            <w:r>
              <w:t xml:space="preserve"> </w:t>
            </w:r>
            <w:r>
              <w:rPr>
                <w:spacing w:val="6"/>
              </w:rPr>
              <w:t>(日历</w:t>
            </w:r>
            <w:r>
              <w:t xml:space="preserve"> </w:t>
            </w:r>
            <w:r>
              <w:rPr>
                <w:spacing w:val="-7"/>
              </w:rPr>
              <w:t>天</w:t>
            </w:r>
            <w:r>
              <w:rPr>
                <w:spacing w:val="-42"/>
              </w:rPr>
              <w:t xml:space="preserve"> </w:t>
            </w:r>
            <w:r>
              <w:rPr>
                <w:spacing w:val="-7"/>
              </w:rPr>
              <w:t>)</w:t>
            </w:r>
          </w:p>
        </w:tc>
        <w:tc>
          <w:tcPr>
            <w:tcW w:w="709" w:type="dxa"/>
            <w:vMerge w:val="restart"/>
            <w:tcBorders>
              <w:bottom w:val="nil"/>
            </w:tcBorders>
            <w:vAlign w:val="top"/>
          </w:tcPr>
          <w:p w14:paraId="1DD5558C">
            <w:pPr>
              <w:pStyle w:val="6"/>
              <w:spacing w:before="174" w:line="231" w:lineRule="auto"/>
              <w:ind w:left="242" w:hanging="208"/>
            </w:pPr>
            <w:r>
              <w:rPr>
                <w:spacing w:val="11"/>
              </w:rPr>
              <w:t>质量目</w:t>
            </w:r>
            <w:r>
              <w:t xml:space="preserve"> 标</w:t>
            </w:r>
          </w:p>
        </w:tc>
        <w:tc>
          <w:tcPr>
            <w:tcW w:w="2697" w:type="dxa"/>
            <w:gridSpan w:val="3"/>
            <w:vAlign w:val="top"/>
          </w:tcPr>
          <w:p w14:paraId="5BA6F09D">
            <w:pPr>
              <w:pStyle w:val="6"/>
              <w:spacing w:before="34" w:line="194" w:lineRule="auto"/>
              <w:ind w:left="935"/>
            </w:pPr>
            <w:r>
              <w:rPr>
                <w:spacing w:val="-3"/>
              </w:rPr>
              <w:t>项目经理</w:t>
            </w:r>
          </w:p>
        </w:tc>
        <w:tc>
          <w:tcPr>
            <w:tcW w:w="559" w:type="dxa"/>
            <w:vMerge w:val="restart"/>
            <w:tcBorders>
              <w:bottom w:val="nil"/>
            </w:tcBorders>
            <w:vAlign w:val="top"/>
          </w:tcPr>
          <w:p w14:paraId="5C030FE7">
            <w:pPr>
              <w:pStyle w:val="6"/>
              <w:spacing w:before="32" w:line="226" w:lineRule="auto"/>
              <w:ind w:left="68" w:right="67"/>
            </w:pPr>
            <w:r>
              <w:rPr>
                <w:spacing w:val="-6"/>
              </w:rPr>
              <w:t>投标</w:t>
            </w:r>
            <w:r>
              <w:t xml:space="preserve"> </w:t>
            </w:r>
            <w:r>
              <w:rPr>
                <w:spacing w:val="37"/>
                <w:w w:val="125"/>
              </w:rPr>
              <w:t>人</w:t>
            </w:r>
            <w:r>
              <w:t xml:space="preserve">  </w:t>
            </w:r>
            <w:r>
              <w:rPr>
                <w:spacing w:val="-4"/>
              </w:rPr>
              <w:t>代表</w:t>
            </w:r>
          </w:p>
        </w:tc>
        <w:tc>
          <w:tcPr>
            <w:tcW w:w="904" w:type="dxa"/>
            <w:vMerge w:val="restart"/>
            <w:tcBorders>
              <w:bottom w:val="nil"/>
            </w:tcBorders>
            <w:vAlign w:val="top"/>
          </w:tcPr>
          <w:p w14:paraId="79C99A88">
            <w:pPr>
              <w:pStyle w:val="6"/>
              <w:spacing w:before="175" w:line="232" w:lineRule="auto"/>
              <w:ind w:left="338" w:right="121" w:hanging="209"/>
            </w:pPr>
            <w:r>
              <w:rPr>
                <w:spacing w:val="4"/>
              </w:rPr>
              <w:t>联系电</w:t>
            </w:r>
            <w:r>
              <w:t xml:space="preserve"> 话</w:t>
            </w:r>
          </w:p>
        </w:tc>
      </w:tr>
      <w:tr w14:paraId="423D24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9" w:hRule="atLeast"/>
        </w:trPr>
        <w:tc>
          <w:tcPr>
            <w:tcW w:w="425" w:type="dxa"/>
            <w:vMerge w:val="continue"/>
            <w:tcBorders>
              <w:top w:val="nil"/>
            </w:tcBorders>
            <w:textDirection w:val="tbRlV"/>
            <w:vAlign w:val="top"/>
          </w:tcPr>
          <w:p w14:paraId="117291C4">
            <w:pPr>
              <w:rPr>
                <w:rFonts w:ascii="Arial"/>
                <w:sz w:val="21"/>
              </w:rPr>
            </w:pPr>
          </w:p>
        </w:tc>
        <w:tc>
          <w:tcPr>
            <w:tcW w:w="1608" w:type="dxa"/>
            <w:vMerge w:val="continue"/>
            <w:tcBorders>
              <w:top w:val="nil"/>
            </w:tcBorders>
            <w:vAlign w:val="top"/>
          </w:tcPr>
          <w:p w14:paraId="5339F501">
            <w:pPr>
              <w:rPr>
                <w:rFonts w:ascii="Arial"/>
                <w:sz w:val="21"/>
              </w:rPr>
            </w:pPr>
          </w:p>
        </w:tc>
        <w:tc>
          <w:tcPr>
            <w:tcW w:w="529" w:type="dxa"/>
            <w:vMerge w:val="continue"/>
            <w:tcBorders>
              <w:top w:val="nil"/>
            </w:tcBorders>
            <w:vAlign w:val="top"/>
          </w:tcPr>
          <w:p w14:paraId="0ACC8C35">
            <w:pPr>
              <w:rPr>
                <w:rFonts w:ascii="Arial"/>
                <w:sz w:val="21"/>
              </w:rPr>
            </w:pPr>
          </w:p>
        </w:tc>
        <w:tc>
          <w:tcPr>
            <w:tcW w:w="909" w:type="dxa"/>
            <w:vMerge w:val="continue"/>
            <w:tcBorders>
              <w:top w:val="nil"/>
            </w:tcBorders>
            <w:vAlign w:val="top"/>
          </w:tcPr>
          <w:p w14:paraId="0C6A884B">
            <w:pPr>
              <w:rPr>
                <w:rFonts w:ascii="Arial"/>
                <w:sz w:val="21"/>
              </w:rPr>
            </w:pPr>
          </w:p>
        </w:tc>
        <w:tc>
          <w:tcPr>
            <w:tcW w:w="719" w:type="dxa"/>
            <w:vMerge w:val="continue"/>
            <w:tcBorders>
              <w:top w:val="nil"/>
            </w:tcBorders>
            <w:vAlign w:val="top"/>
          </w:tcPr>
          <w:p w14:paraId="3EC78586">
            <w:pPr>
              <w:rPr>
                <w:rFonts w:ascii="Arial"/>
                <w:sz w:val="21"/>
              </w:rPr>
            </w:pPr>
          </w:p>
        </w:tc>
        <w:tc>
          <w:tcPr>
            <w:tcW w:w="709" w:type="dxa"/>
            <w:vMerge w:val="continue"/>
            <w:tcBorders>
              <w:top w:val="nil"/>
            </w:tcBorders>
            <w:vAlign w:val="top"/>
          </w:tcPr>
          <w:p w14:paraId="7948AF57">
            <w:pPr>
              <w:rPr>
                <w:rFonts w:ascii="Arial"/>
                <w:sz w:val="21"/>
              </w:rPr>
            </w:pPr>
          </w:p>
        </w:tc>
        <w:tc>
          <w:tcPr>
            <w:tcW w:w="549" w:type="dxa"/>
            <w:vAlign w:val="top"/>
          </w:tcPr>
          <w:p w14:paraId="41683FCE">
            <w:pPr>
              <w:pStyle w:val="6"/>
              <w:spacing w:before="168" w:line="219" w:lineRule="auto"/>
              <w:ind w:left="65"/>
            </w:pPr>
            <w:r>
              <w:rPr>
                <w:spacing w:val="13"/>
              </w:rPr>
              <w:t>姓名</w:t>
            </w:r>
          </w:p>
        </w:tc>
        <w:tc>
          <w:tcPr>
            <w:tcW w:w="1259" w:type="dxa"/>
            <w:vAlign w:val="top"/>
          </w:tcPr>
          <w:p w14:paraId="07C8CCBF">
            <w:pPr>
              <w:pStyle w:val="6"/>
              <w:spacing w:before="167" w:line="219" w:lineRule="auto"/>
              <w:ind w:left="216"/>
            </w:pPr>
            <w:r>
              <w:rPr>
                <w:spacing w:val="-2"/>
              </w:rPr>
              <w:t>证书名称</w:t>
            </w:r>
          </w:p>
        </w:tc>
        <w:tc>
          <w:tcPr>
            <w:tcW w:w="889" w:type="dxa"/>
            <w:vAlign w:val="top"/>
          </w:tcPr>
          <w:p w14:paraId="6AC01014">
            <w:pPr>
              <w:pStyle w:val="6"/>
              <w:spacing w:before="28" w:line="220" w:lineRule="auto"/>
              <w:ind w:left="357" w:right="55" w:hanging="180"/>
            </w:pPr>
            <w:r>
              <w:rPr>
                <w:spacing w:val="5"/>
              </w:rPr>
              <w:t>证书编</w:t>
            </w:r>
            <w:r>
              <w:t xml:space="preserve"> 号</w:t>
            </w:r>
          </w:p>
        </w:tc>
        <w:tc>
          <w:tcPr>
            <w:tcW w:w="559" w:type="dxa"/>
            <w:vMerge w:val="continue"/>
            <w:tcBorders>
              <w:top w:val="nil"/>
            </w:tcBorders>
            <w:vAlign w:val="top"/>
          </w:tcPr>
          <w:p w14:paraId="020940CA">
            <w:pPr>
              <w:rPr>
                <w:rFonts w:ascii="Arial"/>
                <w:sz w:val="21"/>
              </w:rPr>
            </w:pPr>
          </w:p>
        </w:tc>
        <w:tc>
          <w:tcPr>
            <w:tcW w:w="904" w:type="dxa"/>
            <w:vMerge w:val="continue"/>
            <w:tcBorders>
              <w:top w:val="nil"/>
            </w:tcBorders>
            <w:vAlign w:val="top"/>
          </w:tcPr>
          <w:p w14:paraId="70DC571A">
            <w:pPr>
              <w:rPr>
                <w:rFonts w:ascii="Arial"/>
                <w:sz w:val="21"/>
              </w:rPr>
            </w:pPr>
          </w:p>
        </w:tc>
      </w:tr>
      <w:tr w14:paraId="1AC690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425" w:type="dxa"/>
            <w:vAlign w:val="top"/>
          </w:tcPr>
          <w:p w14:paraId="0097B319">
            <w:pPr>
              <w:rPr>
                <w:rFonts w:ascii="Arial"/>
                <w:sz w:val="21"/>
              </w:rPr>
            </w:pPr>
          </w:p>
        </w:tc>
        <w:tc>
          <w:tcPr>
            <w:tcW w:w="1608" w:type="dxa"/>
            <w:vAlign w:val="top"/>
          </w:tcPr>
          <w:p w14:paraId="7D3FA931">
            <w:pPr>
              <w:rPr>
                <w:rFonts w:ascii="Arial"/>
                <w:sz w:val="21"/>
              </w:rPr>
            </w:pPr>
          </w:p>
        </w:tc>
        <w:tc>
          <w:tcPr>
            <w:tcW w:w="529" w:type="dxa"/>
            <w:vAlign w:val="top"/>
          </w:tcPr>
          <w:p w14:paraId="5733A5B3">
            <w:pPr>
              <w:rPr>
                <w:rFonts w:ascii="Arial"/>
                <w:sz w:val="21"/>
              </w:rPr>
            </w:pPr>
          </w:p>
        </w:tc>
        <w:tc>
          <w:tcPr>
            <w:tcW w:w="909" w:type="dxa"/>
            <w:vAlign w:val="top"/>
          </w:tcPr>
          <w:p w14:paraId="388C856F">
            <w:pPr>
              <w:rPr>
                <w:rFonts w:ascii="Arial"/>
                <w:sz w:val="21"/>
              </w:rPr>
            </w:pPr>
          </w:p>
        </w:tc>
        <w:tc>
          <w:tcPr>
            <w:tcW w:w="719" w:type="dxa"/>
            <w:vAlign w:val="top"/>
          </w:tcPr>
          <w:p w14:paraId="579B4A3E">
            <w:pPr>
              <w:rPr>
                <w:rFonts w:ascii="Arial"/>
                <w:sz w:val="21"/>
              </w:rPr>
            </w:pPr>
          </w:p>
        </w:tc>
        <w:tc>
          <w:tcPr>
            <w:tcW w:w="709" w:type="dxa"/>
            <w:vAlign w:val="top"/>
          </w:tcPr>
          <w:p w14:paraId="2FFCD0C1">
            <w:pPr>
              <w:rPr>
                <w:rFonts w:ascii="Arial"/>
                <w:sz w:val="21"/>
              </w:rPr>
            </w:pPr>
          </w:p>
        </w:tc>
        <w:tc>
          <w:tcPr>
            <w:tcW w:w="549" w:type="dxa"/>
            <w:vAlign w:val="top"/>
          </w:tcPr>
          <w:p w14:paraId="7D53A5EC">
            <w:pPr>
              <w:rPr>
                <w:rFonts w:ascii="Arial"/>
                <w:sz w:val="21"/>
              </w:rPr>
            </w:pPr>
          </w:p>
        </w:tc>
        <w:tc>
          <w:tcPr>
            <w:tcW w:w="1259" w:type="dxa"/>
            <w:vAlign w:val="top"/>
          </w:tcPr>
          <w:p w14:paraId="583CCB8B">
            <w:pPr>
              <w:rPr>
                <w:rFonts w:ascii="Arial"/>
                <w:sz w:val="21"/>
              </w:rPr>
            </w:pPr>
          </w:p>
        </w:tc>
        <w:tc>
          <w:tcPr>
            <w:tcW w:w="889" w:type="dxa"/>
            <w:vAlign w:val="top"/>
          </w:tcPr>
          <w:p w14:paraId="65E99B76">
            <w:pPr>
              <w:rPr>
                <w:rFonts w:ascii="Arial"/>
                <w:sz w:val="21"/>
              </w:rPr>
            </w:pPr>
          </w:p>
        </w:tc>
        <w:tc>
          <w:tcPr>
            <w:tcW w:w="559" w:type="dxa"/>
            <w:vAlign w:val="top"/>
          </w:tcPr>
          <w:p w14:paraId="020F4511">
            <w:pPr>
              <w:rPr>
                <w:rFonts w:ascii="Arial"/>
                <w:sz w:val="21"/>
              </w:rPr>
            </w:pPr>
          </w:p>
        </w:tc>
        <w:tc>
          <w:tcPr>
            <w:tcW w:w="904" w:type="dxa"/>
            <w:vAlign w:val="top"/>
          </w:tcPr>
          <w:p w14:paraId="307BDCB2">
            <w:pPr>
              <w:rPr>
                <w:rFonts w:ascii="Arial"/>
                <w:sz w:val="21"/>
              </w:rPr>
            </w:pPr>
          </w:p>
        </w:tc>
      </w:tr>
      <w:tr w14:paraId="4125A1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9" w:hRule="atLeast"/>
        </w:trPr>
        <w:tc>
          <w:tcPr>
            <w:tcW w:w="425" w:type="dxa"/>
            <w:vAlign w:val="top"/>
          </w:tcPr>
          <w:p w14:paraId="4F56E16A">
            <w:pPr>
              <w:rPr>
                <w:rFonts w:ascii="Arial"/>
                <w:sz w:val="21"/>
              </w:rPr>
            </w:pPr>
          </w:p>
        </w:tc>
        <w:tc>
          <w:tcPr>
            <w:tcW w:w="1608" w:type="dxa"/>
            <w:vAlign w:val="top"/>
          </w:tcPr>
          <w:p w14:paraId="7523DBD9">
            <w:pPr>
              <w:rPr>
                <w:rFonts w:ascii="Arial"/>
                <w:sz w:val="21"/>
              </w:rPr>
            </w:pPr>
          </w:p>
        </w:tc>
        <w:tc>
          <w:tcPr>
            <w:tcW w:w="529" w:type="dxa"/>
            <w:vAlign w:val="top"/>
          </w:tcPr>
          <w:p w14:paraId="4FA169D4">
            <w:pPr>
              <w:rPr>
                <w:rFonts w:ascii="Arial"/>
                <w:sz w:val="21"/>
              </w:rPr>
            </w:pPr>
          </w:p>
        </w:tc>
        <w:tc>
          <w:tcPr>
            <w:tcW w:w="909" w:type="dxa"/>
            <w:vAlign w:val="top"/>
          </w:tcPr>
          <w:p w14:paraId="45C8D2C4">
            <w:pPr>
              <w:rPr>
                <w:rFonts w:ascii="Arial"/>
                <w:sz w:val="21"/>
              </w:rPr>
            </w:pPr>
          </w:p>
        </w:tc>
        <w:tc>
          <w:tcPr>
            <w:tcW w:w="719" w:type="dxa"/>
            <w:vAlign w:val="top"/>
          </w:tcPr>
          <w:p w14:paraId="7D43B0A4">
            <w:pPr>
              <w:rPr>
                <w:rFonts w:ascii="Arial"/>
                <w:sz w:val="21"/>
              </w:rPr>
            </w:pPr>
          </w:p>
        </w:tc>
        <w:tc>
          <w:tcPr>
            <w:tcW w:w="709" w:type="dxa"/>
            <w:vAlign w:val="top"/>
          </w:tcPr>
          <w:p w14:paraId="5F709AE4">
            <w:pPr>
              <w:rPr>
                <w:rFonts w:ascii="Arial"/>
                <w:sz w:val="21"/>
              </w:rPr>
            </w:pPr>
          </w:p>
        </w:tc>
        <w:tc>
          <w:tcPr>
            <w:tcW w:w="549" w:type="dxa"/>
            <w:vAlign w:val="top"/>
          </w:tcPr>
          <w:p w14:paraId="294B649B">
            <w:pPr>
              <w:rPr>
                <w:rFonts w:ascii="Arial"/>
                <w:sz w:val="21"/>
              </w:rPr>
            </w:pPr>
          </w:p>
        </w:tc>
        <w:tc>
          <w:tcPr>
            <w:tcW w:w="1259" w:type="dxa"/>
            <w:vAlign w:val="top"/>
          </w:tcPr>
          <w:p w14:paraId="09F762DF">
            <w:pPr>
              <w:rPr>
                <w:rFonts w:ascii="Arial"/>
                <w:sz w:val="21"/>
              </w:rPr>
            </w:pPr>
          </w:p>
        </w:tc>
        <w:tc>
          <w:tcPr>
            <w:tcW w:w="889" w:type="dxa"/>
            <w:vAlign w:val="top"/>
          </w:tcPr>
          <w:p w14:paraId="74199C49">
            <w:pPr>
              <w:rPr>
                <w:rFonts w:ascii="Arial"/>
                <w:sz w:val="21"/>
              </w:rPr>
            </w:pPr>
          </w:p>
        </w:tc>
        <w:tc>
          <w:tcPr>
            <w:tcW w:w="559" w:type="dxa"/>
            <w:vAlign w:val="top"/>
          </w:tcPr>
          <w:p w14:paraId="5636091E">
            <w:pPr>
              <w:rPr>
                <w:rFonts w:ascii="Arial"/>
                <w:sz w:val="21"/>
              </w:rPr>
            </w:pPr>
          </w:p>
        </w:tc>
        <w:tc>
          <w:tcPr>
            <w:tcW w:w="904" w:type="dxa"/>
            <w:vAlign w:val="top"/>
          </w:tcPr>
          <w:p w14:paraId="21CB724D">
            <w:pPr>
              <w:rPr>
                <w:rFonts w:ascii="Arial"/>
                <w:sz w:val="21"/>
              </w:rPr>
            </w:pPr>
          </w:p>
        </w:tc>
      </w:tr>
      <w:tr w14:paraId="3AD23A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09" w:hRule="atLeast"/>
        </w:trPr>
        <w:tc>
          <w:tcPr>
            <w:tcW w:w="425" w:type="dxa"/>
            <w:vAlign w:val="top"/>
          </w:tcPr>
          <w:p w14:paraId="1575F4A7">
            <w:pPr>
              <w:rPr>
                <w:rFonts w:ascii="Arial"/>
                <w:sz w:val="21"/>
              </w:rPr>
            </w:pPr>
          </w:p>
        </w:tc>
        <w:tc>
          <w:tcPr>
            <w:tcW w:w="1608" w:type="dxa"/>
            <w:vAlign w:val="top"/>
          </w:tcPr>
          <w:p w14:paraId="24360114">
            <w:pPr>
              <w:rPr>
                <w:rFonts w:ascii="Arial"/>
                <w:sz w:val="21"/>
              </w:rPr>
            </w:pPr>
          </w:p>
        </w:tc>
        <w:tc>
          <w:tcPr>
            <w:tcW w:w="529" w:type="dxa"/>
            <w:vAlign w:val="top"/>
          </w:tcPr>
          <w:p w14:paraId="7206AA0D">
            <w:pPr>
              <w:rPr>
                <w:rFonts w:ascii="Arial"/>
                <w:sz w:val="21"/>
              </w:rPr>
            </w:pPr>
          </w:p>
        </w:tc>
        <w:tc>
          <w:tcPr>
            <w:tcW w:w="909" w:type="dxa"/>
            <w:vAlign w:val="top"/>
          </w:tcPr>
          <w:p w14:paraId="2FED96B5">
            <w:pPr>
              <w:rPr>
                <w:rFonts w:ascii="Arial"/>
                <w:sz w:val="21"/>
              </w:rPr>
            </w:pPr>
          </w:p>
        </w:tc>
        <w:tc>
          <w:tcPr>
            <w:tcW w:w="719" w:type="dxa"/>
            <w:vAlign w:val="top"/>
          </w:tcPr>
          <w:p w14:paraId="01698AC7">
            <w:pPr>
              <w:rPr>
                <w:rFonts w:ascii="Arial"/>
                <w:sz w:val="21"/>
              </w:rPr>
            </w:pPr>
          </w:p>
        </w:tc>
        <w:tc>
          <w:tcPr>
            <w:tcW w:w="709" w:type="dxa"/>
            <w:vAlign w:val="top"/>
          </w:tcPr>
          <w:p w14:paraId="504C0E5B">
            <w:pPr>
              <w:rPr>
                <w:rFonts w:ascii="Arial"/>
                <w:sz w:val="21"/>
              </w:rPr>
            </w:pPr>
          </w:p>
        </w:tc>
        <w:tc>
          <w:tcPr>
            <w:tcW w:w="549" w:type="dxa"/>
            <w:vAlign w:val="top"/>
          </w:tcPr>
          <w:p w14:paraId="0DC73171">
            <w:pPr>
              <w:rPr>
                <w:rFonts w:ascii="Arial"/>
                <w:sz w:val="21"/>
              </w:rPr>
            </w:pPr>
          </w:p>
        </w:tc>
        <w:tc>
          <w:tcPr>
            <w:tcW w:w="1259" w:type="dxa"/>
            <w:vAlign w:val="top"/>
          </w:tcPr>
          <w:p w14:paraId="276E6335">
            <w:pPr>
              <w:rPr>
                <w:rFonts w:ascii="Arial"/>
                <w:sz w:val="21"/>
              </w:rPr>
            </w:pPr>
          </w:p>
        </w:tc>
        <w:tc>
          <w:tcPr>
            <w:tcW w:w="889" w:type="dxa"/>
            <w:vAlign w:val="top"/>
          </w:tcPr>
          <w:p w14:paraId="63D78908">
            <w:pPr>
              <w:rPr>
                <w:rFonts w:ascii="Arial"/>
                <w:sz w:val="21"/>
              </w:rPr>
            </w:pPr>
          </w:p>
        </w:tc>
        <w:tc>
          <w:tcPr>
            <w:tcW w:w="559" w:type="dxa"/>
            <w:vAlign w:val="top"/>
          </w:tcPr>
          <w:p w14:paraId="5483844A">
            <w:pPr>
              <w:rPr>
                <w:rFonts w:ascii="Arial"/>
                <w:sz w:val="21"/>
              </w:rPr>
            </w:pPr>
          </w:p>
        </w:tc>
        <w:tc>
          <w:tcPr>
            <w:tcW w:w="904" w:type="dxa"/>
            <w:vAlign w:val="top"/>
          </w:tcPr>
          <w:p w14:paraId="00D947B1">
            <w:pPr>
              <w:rPr>
                <w:rFonts w:ascii="Arial"/>
                <w:sz w:val="21"/>
              </w:rPr>
            </w:pPr>
          </w:p>
        </w:tc>
      </w:tr>
      <w:tr w14:paraId="506313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425" w:type="dxa"/>
            <w:vAlign w:val="top"/>
          </w:tcPr>
          <w:p w14:paraId="5B996454">
            <w:pPr>
              <w:rPr>
                <w:rFonts w:ascii="Arial"/>
                <w:sz w:val="21"/>
              </w:rPr>
            </w:pPr>
          </w:p>
        </w:tc>
        <w:tc>
          <w:tcPr>
            <w:tcW w:w="1608" w:type="dxa"/>
            <w:vAlign w:val="top"/>
          </w:tcPr>
          <w:p w14:paraId="03818DCE">
            <w:pPr>
              <w:rPr>
                <w:rFonts w:ascii="Arial"/>
                <w:sz w:val="21"/>
              </w:rPr>
            </w:pPr>
          </w:p>
        </w:tc>
        <w:tc>
          <w:tcPr>
            <w:tcW w:w="529" w:type="dxa"/>
            <w:vAlign w:val="top"/>
          </w:tcPr>
          <w:p w14:paraId="332331C4">
            <w:pPr>
              <w:rPr>
                <w:rFonts w:ascii="Arial"/>
                <w:sz w:val="21"/>
              </w:rPr>
            </w:pPr>
          </w:p>
        </w:tc>
        <w:tc>
          <w:tcPr>
            <w:tcW w:w="909" w:type="dxa"/>
            <w:vAlign w:val="top"/>
          </w:tcPr>
          <w:p w14:paraId="1BC8CD11">
            <w:pPr>
              <w:rPr>
                <w:rFonts w:ascii="Arial"/>
                <w:sz w:val="21"/>
              </w:rPr>
            </w:pPr>
          </w:p>
        </w:tc>
        <w:tc>
          <w:tcPr>
            <w:tcW w:w="719" w:type="dxa"/>
            <w:vAlign w:val="top"/>
          </w:tcPr>
          <w:p w14:paraId="602D3EE8">
            <w:pPr>
              <w:rPr>
                <w:rFonts w:ascii="Arial"/>
                <w:sz w:val="21"/>
              </w:rPr>
            </w:pPr>
          </w:p>
        </w:tc>
        <w:tc>
          <w:tcPr>
            <w:tcW w:w="709" w:type="dxa"/>
            <w:vAlign w:val="top"/>
          </w:tcPr>
          <w:p w14:paraId="2FEADCD7">
            <w:pPr>
              <w:rPr>
                <w:rFonts w:ascii="Arial"/>
                <w:sz w:val="21"/>
              </w:rPr>
            </w:pPr>
          </w:p>
        </w:tc>
        <w:tc>
          <w:tcPr>
            <w:tcW w:w="549" w:type="dxa"/>
            <w:vAlign w:val="top"/>
          </w:tcPr>
          <w:p w14:paraId="5C37B6D7">
            <w:pPr>
              <w:rPr>
                <w:rFonts w:ascii="Arial"/>
                <w:sz w:val="21"/>
              </w:rPr>
            </w:pPr>
          </w:p>
        </w:tc>
        <w:tc>
          <w:tcPr>
            <w:tcW w:w="1259" w:type="dxa"/>
            <w:vAlign w:val="top"/>
          </w:tcPr>
          <w:p w14:paraId="5A170CB8">
            <w:pPr>
              <w:rPr>
                <w:rFonts w:ascii="Arial"/>
                <w:sz w:val="21"/>
              </w:rPr>
            </w:pPr>
          </w:p>
        </w:tc>
        <w:tc>
          <w:tcPr>
            <w:tcW w:w="889" w:type="dxa"/>
            <w:vAlign w:val="top"/>
          </w:tcPr>
          <w:p w14:paraId="346A3A0D">
            <w:pPr>
              <w:rPr>
                <w:rFonts w:ascii="Arial"/>
                <w:sz w:val="21"/>
              </w:rPr>
            </w:pPr>
          </w:p>
        </w:tc>
        <w:tc>
          <w:tcPr>
            <w:tcW w:w="559" w:type="dxa"/>
            <w:vAlign w:val="top"/>
          </w:tcPr>
          <w:p w14:paraId="5BD609AC">
            <w:pPr>
              <w:rPr>
                <w:rFonts w:ascii="Arial"/>
                <w:sz w:val="21"/>
              </w:rPr>
            </w:pPr>
          </w:p>
        </w:tc>
        <w:tc>
          <w:tcPr>
            <w:tcW w:w="904" w:type="dxa"/>
            <w:vAlign w:val="top"/>
          </w:tcPr>
          <w:p w14:paraId="76E3CCD4">
            <w:pPr>
              <w:rPr>
                <w:rFonts w:ascii="Arial"/>
                <w:sz w:val="21"/>
              </w:rPr>
            </w:pPr>
          </w:p>
        </w:tc>
      </w:tr>
      <w:tr w14:paraId="0DAB69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trPr>
        <w:tc>
          <w:tcPr>
            <w:tcW w:w="425" w:type="dxa"/>
            <w:vAlign w:val="top"/>
          </w:tcPr>
          <w:p w14:paraId="1961D412">
            <w:pPr>
              <w:rPr>
                <w:rFonts w:ascii="Arial"/>
                <w:sz w:val="21"/>
              </w:rPr>
            </w:pPr>
          </w:p>
        </w:tc>
        <w:tc>
          <w:tcPr>
            <w:tcW w:w="1608" w:type="dxa"/>
            <w:vAlign w:val="top"/>
          </w:tcPr>
          <w:p w14:paraId="7F1022C9">
            <w:pPr>
              <w:rPr>
                <w:rFonts w:ascii="Arial"/>
                <w:sz w:val="21"/>
              </w:rPr>
            </w:pPr>
          </w:p>
        </w:tc>
        <w:tc>
          <w:tcPr>
            <w:tcW w:w="529" w:type="dxa"/>
            <w:vAlign w:val="top"/>
          </w:tcPr>
          <w:p w14:paraId="678B0843">
            <w:pPr>
              <w:rPr>
                <w:rFonts w:ascii="Arial"/>
                <w:sz w:val="21"/>
              </w:rPr>
            </w:pPr>
          </w:p>
        </w:tc>
        <w:tc>
          <w:tcPr>
            <w:tcW w:w="909" w:type="dxa"/>
            <w:vAlign w:val="top"/>
          </w:tcPr>
          <w:p w14:paraId="251954A8">
            <w:pPr>
              <w:rPr>
                <w:rFonts w:ascii="Arial"/>
                <w:sz w:val="21"/>
              </w:rPr>
            </w:pPr>
          </w:p>
        </w:tc>
        <w:tc>
          <w:tcPr>
            <w:tcW w:w="719" w:type="dxa"/>
            <w:vAlign w:val="top"/>
          </w:tcPr>
          <w:p w14:paraId="0D0C70FA">
            <w:pPr>
              <w:rPr>
                <w:rFonts w:ascii="Arial"/>
                <w:sz w:val="21"/>
              </w:rPr>
            </w:pPr>
          </w:p>
        </w:tc>
        <w:tc>
          <w:tcPr>
            <w:tcW w:w="709" w:type="dxa"/>
            <w:vAlign w:val="top"/>
          </w:tcPr>
          <w:p w14:paraId="3FFECD84">
            <w:pPr>
              <w:rPr>
                <w:rFonts w:ascii="Arial"/>
                <w:sz w:val="21"/>
              </w:rPr>
            </w:pPr>
          </w:p>
        </w:tc>
        <w:tc>
          <w:tcPr>
            <w:tcW w:w="549" w:type="dxa"/>
            <w:vAlign w:val="top"/>
          </w:tcPr>
          <w:p w14:paraId="2C3E8257">
            <w:pPr>
              <w:rPr>
                <w:rFonts w:ascii="Arial"/>
                <w:sz w:val="21"/>
              </w:rPr>
            </w:pPr>
          </w:p>
        </w:tc>
        <w:tc>
          <w:tcPr>
            <w:tcW w:w="1259" w:type="dxa"/>
            <w:vAlign w:val="top"/>
          </w:tcPr>
          <w:p w14:paraId="7BC95465">
            <w:pPr>
              <w:rPr>
                <w:rFonts w:ascii="Arial"/>
                <w:sz w:val="21"/>
              </w:rPr>
            </w:pPr>
          </w:p>
        </w:tc>
        <w:tc>
          <w:tcPr>
            <w:tcW w:w="889" w:type="dxa"/>
            <w:vAlign w:val="top"/>
          </w:tcPr>
          <w:p w14:paraId="2ED04062">
            <w:pPr>
              <w:rPr>
                <w:rFonts w:ascii="Arial"/>
                <w:sz w:val="21"/>
              </w:rPr>
            </w:pPr>
          </w:p>
        </w:tc>
        <w:tc>
          <w:tcPr>
            <w:tcW w:w="559" w:type="dxa"/>
            <w:vAlign w:val="top"/>
          </w:tcPr>
          <w:p w14:paraId="02CF9B14">
            <w:pPr>
              <w:rPr>
                <w:rFonts w:ascii="Arial"/>
                <w:sz w:val="21"/>
              </w:rPr>
            </w:pPr>
          </w:p>
        </w:tc>
        <w:tc>
          <w:tcPr>
            <w:tcW w:w="904" w:type="dxa"/>
            <w:vAlign w:val="top"/>
          </w:tcPr>
          <w:p w14:paraId="71190712">
            <w:pPr>
              <w:rPr>
                <w:rFonts w:ascii="Arial"/>
                <w:sz w:val="21"/>
              </w:rPr>
            </w:pPr>
          </w:p>
        </w:tc>
      </w:tr>
      <w:tr w14:paraId="388ABB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9" w:hRule="atLeast"/>
        </w:trPr>
        <w:tc>
          <w:tcPr>
            <w:tcW w:w="425" w:type="dxa"/>
            <w:vAlign w:val="top"/>
          </w:tcPr>
          <w:p w14:paraId="1E319AFA">
            <w:pPr>
              <w:rPr>
                <w:rFonts w:ascii="Arial"/>
                <w:sz w:val="21"/>
              </w:rPr>
            </w:pPr>
          </w:p>
        </w:tc>
        <w:tc>
          <w:tcPr>
            <w:tcW w:w="1608" w:type="dxa"/>
            <w:vAlign w:val="top"/>
          </w:tcPr>
          <w:p w14:paraId="52A0DCDC">
            <w:pPr>
              <w:rPr>
                <w:rFonts w:ascii="Arial"/>
                <w:sz w:val="21"/>
              </w:rPr>
            </w:pPr>
          </w:p>
        </w:tc>
        <w:tc>
          <w:tcPr>
            <w:tcW w:w="529" w:type="dxa"/>
            <w:vAlign w:val="top"/>
          </w:tcPr>
          <w:p w14:paraId="22896C33">
            <w:pPr>
              <w:rPr>
                <w:rFonts w:ascii="Arial"/>
                <w:sz w:val="21"/>
              </w:rPr>
            </w:pPr>
          </w:p>
        </w:tc>
        <w:tc>
          <w:tcPr>
            <w:tcW w:w="909" w:type="dxa"/>
            <w:vAlign w:val="top"/>
          </w:tcPr>
          <w:p w14:paraId="3381149C">
            <w:pPr>
              <w:rPr>
                <w:rFonts w:ascii="Arial"/>
                <w:sz w:val="21"/>
              </w:rPr>
            </w:pPr>
          </w:p>
        </w:tc>
        <w:tc>
          <w:tcPr>
            <w:tcW w:w="719" w:type="dxa"/>
            <w:vAlign w:val="top"/>
          </w:tcPr>
          <w:p w14:paraId="76F86397">
            <w:pPr>
              <w:rPr>
                <w:rFonts w:ascii="Arial"/>
                <w:sz w:val="21"/>
              </w:rPr>
            </w:pPr>
          </w:p>
        </w:tc>
        <w:tc>
          <w:tcPr>
            <w:tcW w:w="709" w:type="dxa"/>
            <w:vAlign w:val="top"/>
          </w:tcPr>
          <w:p w14:paraId="3CB28333">
            <w:pPr>
              <w:rPr>
                <w:rFonts w:ascii="Arial"/>
                <w:sz w:val="21"/>
              </w:rPr>
            </w:pPr>
          </w:p>
        </w:tc>
        <w:tc>
          <w:tcPr>
            <w:tcW w:w="549" w:type="dxa"/>
            <w:vAlign w:val="top"/>
          </w:tcPr>
          <w:p w14:paraId="6B868282">
            <w:pPr>
              <w:rPr>
                <w:rFonts w:ascii="Arial"/>
                <w:sz w:val="21"/>
              </w:rPr>
            </w:pPr>
          </w:p>
        </w:tc>
        <w:tc>
          <w:tcPr>
            <w:tcW w:w="1259" w:type="dxa"/>
            <w:vAlign w:val="top"/>
          </w:tcPr>
          <w:p w14:paraId="6A944825">
            <w:pPr>
              <w:rPr>
                <w:rFonts w:ascii="Arial"/>
                <w:sz w:val="21"/>
              </w:rPr>
            </w:pPr>
          </w:p>
        </w:tc>
        <w:tc>
          <w:tcPr>
            <w:tcW w:w="889" w:type="dxa"/>
            <w:vAlign w:val="top"/>
          </w:tcPr>
          <w:p w14:paraId="1F006E15">
            <w:pPr>
              <w:rPr>
                <w:rFonts w:ascii="Arial"/>
                <w:sz w:val="21"/>
              </w:rPr>
            </w:pPr>
          </w:p>
        </w:tc>
        <w:tc>
          <w:tcPr>
            <w:tcW w:w="559" w:type="dxa"/>
            <w:vAlign w:val="top"/>
          </w:tcPr>
          <w:p w14:paraId="23472876">
            <w:pPr>
              <w:rPr>
                <w:rFonts w:ascii="Arial"/>
                <w:sz w:val="21"/>
              </w:rPr>
            </w:pPr>
          </w:p>
        </w:tc>
        <w:tc>
          <w:tcPr>
            <w:tcW w:w="904" w:type="dxa"/>
            <w:vAlign w:val="top"/>
          </w:tcPr>
          <w:p w14:paraId="6F5EDB49">
            <w:pPr>
              <w:rPr>
                <w:rFonts w:ascii="Arial"/>
                <w:sz w:val="21"/>
              </w:rPr>
            </w:pPr>
          </w:p>
        </w:tc>
      </w:tr>
      <w:tr w14:paraId="2674F5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09" w:hRule="atLeast"/>
        </w:trPr>
        <w:tc>
          <w:tcPr>
            <w:tcW w:w="425" w:type="dxa"/>
            <w:vAlign w:val="top"/>
          </w:tcPr>
          <w:p w14:paraId="5F124FC5">
            <w:pPr>
              <w:rPr>
                <w:rFonts w:ascii="Arial"/>
                <w:sz w:val="21"/>
              </w:rPr>
            </w:pPr>
          </w:p>
        </w:tc>
        <w:tc>
          <w:tcPr>
            <w:tcW w:w="1608" w:type="dxa"/>
            <w:vAlign w:val="top"/>
          </w:tcPr>
          <w:p w14:paraId="16F94D79">
            <w:pPr>
              <w:rPr>
                <w:rFonts w:ascii="Arial"/>
                <w:sz w:val="21"/>
              </w:rPr>
            </w:pPr>
          </w:p>
        </w:tc>
        <w:tc>
          <w:tcPr>
            <w:tcW w:w="529" w:type="dxa"/>
            <w:vAlign w:val="top"/>
          </w:tcPr>
          <w:p w14:paraId="7AAF6D82">
            <w:pPr>
              <w:rPr>
                <w:rFonts w:ascii="Arial"/>
                <w:sz w:val="21"/>
              </w:rPr>
            </w:pPr>
          </w:p>
        </w:tc>
        <w:tc>
          <w:tcPr>
            <w:tcW w:w="909" w:type="dxa"/>
            <w:vAlign w:val="top"/>
          </w:tcPr>
          <w:p w14:paraId="7D72751E">
            <w:pPr>
              <w:rPr>
                <w:rFonts w:ascii="Arial"/>
                <w:sz w:val="21"/>
              </w:rPr>
            </w:pPr>
          </w:p>
        </w:tc>
        <w:tc>
          <w:tcPr>
            <w:tcW w:w="719" w:type="dxa"/>
            <w:vAlign w:val="top"/>
          </w:tcPr>
          <w:p w14:paraId="2D57C1B6">
            <w:pPr>
              <w:rPr>
                <w:rFonts w:ascii="Arial"/>
                <w:sz w:val="21"/>
              </w:rPr>
            </w:pPr>
          </w:p>
        </w:tc>
        <w:tc>
          <w:tcPr>
            <w:tcW w:w="709" w:type="dxa"/>
            <w:vAlign w:val="top"/>
          </w:tcPr>
          <w:p w14:paraId="437EF451">
            <w:pPr>
              <w:rPr>
                <w:rFonts w:ascii="Arial"/>
                <w:sz w:val="21"/>
              </w:rPr>
            </w:pPr>
          </w:p>
        </w:tc>
        <w:tc>
          <w:tcPr>
            <w:tcW w:w="549" w:type="dxa"/>
            <w:vAlign w:val="top"/>
          </w:tcPr>
          <w:p w14:paraId="0D688E9E">
            <w:pPr>
              <w:rPr>
                <w:rFonts w:ascii="Arial"/>
                <w:sz w:val="21"/>
              </w:rPr>
            </w:pPr>
          </w:p>
        </w:tc>
        <w:tc>
          <w:tcPr>
            <w:tcW w:w="1259" w:type="dxa"/>
            <w:vAlign w:val="top"/>
          </w:tcPr>
          <w:p w14:paraId="3AA6928A">
            <w:pPr>
              <w:rPr>
                <w:rFonts w:ascii="Arial"/>
                <w:sz w:val="21"/>
              </w:rPr>
            </w:pPr>
          </w:p>
        </w:tc>
        <w:tc>
          <w:tcPr>
            <w:tcW w:w="889" w:type="dxa"/>
            <w:vAlign w:val="top"/>
          </w:tcPr>
          <w:p w14:paraId="35171BDC">
            <w:pPr>
              <w:rPr>
                <w:rFonts w:ascii="Arial"/>
                <w:sz w:val="21"/>
              </w:rPr>
            </w:pPr>
          </w:p>
        </w:tc>
        <w:tc>
          <w:tcPr>
            <w:tcW w:w="559" w:type="dxa"/>
            <w:vAlign w:val="top"/>
          </w:tcPr>
          <w:p w14:paraId="44FCC048">
            <w:pPr>
              <w:rPr>
                <w:rFonts w:ascii="Arial"/>
                <w:sz w:val="21"/>
              </w:rPr>
            </w:pPr>
          </w:p>
        </w:tc>
        <w:tc>
          <w:tcPr>
            <w:tcW w:w="904" w:type="dxa"/>
            <w:vAlign w:val="top"/>
          </w:tcPr>
          <w:p w14:paraId="513071B5">
            <w:pPr>
              <w:rPr>
                <w:rFonts w:ascii="Arial"/>
                <w:sz w:val="21"/>
              </w:rPr>
            </w:pPr>
          </w:p>
        </w:tc>
      </w:tr>
      <w:tr w14:paraId="6CFE9C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19" w:hRule="atLeast"/>
        </w:trPr>
        <w:tc>
          <w:tcPr>
            <w:tcW w:w="425" w:type="dxa"/>
            <w:vAlign w:val="top"/>
          </w:tcPr>
          <w:p w14:paraId="7762D1EE">
            <w:pPr>
              <w:rPr>
                <w:rFonts w:ascii="Arial"/>
                <w:sz w:val="21"/>
              </w:rPr>
            </w:pPr>
          </w:p>
        </w:tc>
        <w:tc>
          <w:tcPr>
            <w:tcW w:w="1608" w:type="dxa"/>
            <w:vAlign w:val="top"/>
          </w:tcPr>
          <w:p w14:paraId="7ACECE25">
            <w:pPr>
              <w:rPr>
                <w:rFonts w:ascii="Arial"/>
                <w:sz w:val="21"/>
              </w:rPr>
            </w:pPr>
          </w:p>
        </w:tc>
        <w:tc>
          <w:tcPr>
            <w:tcW w:w="529" w:type="dxa"/>
            <w:vAlign w:val="top"/>
          </w:tcPr>
          <w:p w14:paraId="5B694B49">
            <w:pPr>
              <w:rPr>
                <w:rFonts w:ascii="Arial"/>
                <w:sz w:val="21"/>
              </w:rPr>
            </w:pPr>
          </w:p>
        </w:tc>
        <w:tc>
          <w:tcPr>
            <w:tcW w:w="909" w:type="dxa"/>
            <w:vAlign w:val="top"/>
          </w:tcPr>
          <w:p w14:paraId="54DB98B9">
            <w:pPr>
              <w:rPr>
                <w:rFonts w:ascii="Arial"/>
                <w:sz w:val="21"/>
              </w:rPr>
            </w:pPr>
          </w:p>
        </w:tc>
        <w:tc>
          <w:tcPr>
            <w:tcW w:w="719" w:type="dxa"/>
            <w:vAlign w:val="top"/>
          </w:tcPr>
          <w:p w14:paraId="415EC595">
            <w:pPr>
              <w:rPr>
                <w:rFonts w:ascii="Arial"/>
                <w:sz w:val="21"/>
              </w:rPr>
            </w:pPr>
          </w:p>
        </w:tc>
        <w:tc>
          <w:tcPr>
            <w:tcW w:w="709" w:type="dxa"/>
            <w:vAlign w:val="top"/>
          </w:tcPr>
          <w:p w14:paraId="6B303D8B">
            <w:pPr>
              <w:rPr>
                <w:rFonts w:ascii="Arial"/>
                <w:sz w:val="21"/>
              </w:rPr>
            </w:pPr>
          </w:p>
        </w:tc>
        <w:tc>
          <w:tcPr>
            <w:tcW w:w="549" w:type="dxa"/>
            <w:vAlign w:val="top"/>
          </w:tcPr>
          <w:p w14:paraId="5359F03D">
            <w:pPr>
              <w:rPr>
                <w:rFonts w:ascii="Arial"/>
                <w:sz w:val="21"/>
              </w:rPr>
            </w:pPr>
          </w:p>
        </w:tc>
        <w:tc>
          <w:tcPr>
            <w:tcW w:w="1259" w:type="dxa"/>
            <w:vAlign w:val="top"/>
          </w:tcPr>
          <w:p w14:paraId="20B272D2">
            <w:pPr>
              <w:rPr>
                <w:rFonts w:ascii="Arial"/>
                <w:sz w:val="21"/>
              </w:rPr>
            </w:pPr>
          </w:p>
        </w:tc>
        <w:tc>
          <w:tcPr>
            <w:tcW w:w="889" w:type="dxa"/>
            <w:vAlign w:val="top"/>
          </w:tcPr>
          <w:p w14:paraId="2EC06A73">
            <w:pPr>
              <w:rPr>
                <w:rFonts w:ascii="Arial"/>
                <w:sz w:val="21"/>
              </w:rPr>
            </w:pPr>
          </w:p>
        </w:tc>
        <w:tc>
          <w:tcPr>
            <w:tcW w:w="559" w:type="dxa"/>
            <w:vAlign w:val="top"/>
          </w:tcPr>
          <w:p w14:paraId="330AC8D2">
            <w:pPr>
              <w:rPr>
                <w:rFonts w:ascii="Arial"/>
                <w:sz w:val="21"/>
              </w:rPr>
            </w:pPr>
          </w:p>
        </w:tc>
        <w:tc>
          <w:tcPr>
            <w:tcW w:w="904" w:type="dxa"/>
            <w:vAlign w:val="top"/>
          </w:tcPr>
          <w:p w14:paraId="76A4781E">
            <w:pPr>
              <w:rPr>
                <w:rFonts w:ascii="Arial"/>
                <w:sz w:val="21"/>
              </w:rPr>
            </w:pPr>
          </w:p>
        </w:tc>
      </w:tr>
      <w:tr w14:paraId="6527DC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2033" w:type="dxa"/>
            <w:gridSpan w:val="2"/>
            <w:vAlign w:val="top"/>
          </w:tcPr>
          <w:p w14:paraId="047D63A0">
            <w:pPr>
              <w:pStyle w:val="6"/>
              <w:spacing w:before="185" w:line="218" w:lineRule="auto"/>
              <w:ind w:left="65"/>
            </w:pPr>
            <w:r>
              <w:rPr>
                <w:spacing w:val="4"/>
              </w:rPr>
              <w:t>招标控制价总价(元)</w:t>
            </w:r>
          </w:p>
        </w:tc>
        <w:tc>
          <w:tcPr>
            <w:tcW w:w="7026" w:type="dxa"/>
            <w:gridSpan w:val="9"/>
            <w:vAlign w:val="top"/>
          </w:tcPr>
          <w:p w14:paraId="389EADFB">
            <w:pPr>
              <w:rPr>
                <w:rFonts w:ascii="Arial"/>
                <w:sz w:val="21"/>
              </w:rPr>
            </w:pPr>
          </w:p>
        </w:tc>
      </w:tr>
      <w:tr w14:paraId="63C51B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84" w:hRule="atLeast"/>
        </w:trPr>
        <w:tc>
          <w:tcPr>
            <w:tcW w:w="2033" w:type="dxa"/>
            <w:gridSpan w:val="2"/>
            <w:vAlign w:val="top"/>
          </w:tcPr>
          <w:p w14:paraId="3650925E">
            <w:pPr>
              <w:pStyle w:val="6"/>
              <w:spacing w:before="139" w:line="279" w:lineRule="auto"/>
              <w:ind w:left="694" w:right="76" w:hanging="629"/>
            </w:pPr>
            <w:r>
              <w:rPr>
                <w:spacing w:val="-2"/>
              </w:rPr>
              <w:t>开标过程需记录的其</w:t>
            </w:r>
            <w:r>
              <w:rPr>
                <w:spacing w:val="7"/>
              </w:rPr>
              <w:t xml:space="preserve"> </w:t>
            </w:r>
            <w:r>
              <w:rPr>
                <w:spacing w:val="4"/>
              </w:rPr>
              <w:t>他事项</w:t>
            </w:r>
          </w:p>
        </w:tc>
        <w:tc>
          <w:tcPr>
            <w:tcW w:w="7026" w:type="dxa"/>
            <w:gridSpan w:val="9"/>
            <w:vAlign w:val="top"/>
          </w:tcPr>
          <w:p w14:paraId="0067E3FC">
            <w:pPr>
              <w:rPr>
                <w:rFonts w:ascii="Arial"/>
                <w:sz w:val="21"/>
              </w:rPr>
            </w:pPr>
          </w:p>
        </w:tc>
      </w:tr>
    </w:tbl>
    <w:p w14:paraId="686645F7">
      <w:pPr>
        <w:pStyle w:val="2"/>
        <w:spacing w:before="162" w:line="216" w:lineRule="auto"/>
        <w:ind w:left="65"/>
        <w:rPr>
          <w:sz w:val="19"/>
          <w:szCs w:val="19"/>
        </w:rPr>
      </w:pPr>
      <w:r>
        <w:rPr>
          <w:spacing w:val="2"/>
          <w:position w:val="2"/>
          <w:sz w:val="19"/>
          <w:szCs w:val="19"/>
        </w:rPr>
        <w:t>主持人：</w:t>
      </w:r>
      <w:r>
        <w:rPr>
          <w:spacing w:val="-29"/>
          <w:position w:val="2"/>
          <w:sz w:val="19"/>
          <w:szCs w:val="19"/>
        </w:rPr>
        <w:t xml:space="preserve"> </w:t>
      </w:r>
      <w:r>
        <w:rPr>
          <w:spacing w:val="4"/>
          <w:position w:val="2"/>
          <w:sz w:val="19"/>
          <w:szCs w:val="19"/>
          <w:u w:val="single" w:color="auto"/>
        </w:rPr>
        <w:t xml:space="preserve">                  </w:t>
      </w:r>
      <w:r>
        <w:rPr>
          <w:spacing w:val="-87"/>
          <w:position w:val="2"/>
          <w:sz w:val="19"/>
          <w:szCs w:val="19"/>
        </w:rPr>
        <w:t xml:space="preserve"> </w:t>
      </w:r>
      <w:r>
        <w:rPr>
          <w:spacing w:val="2"/>
          <w:position w:val="-1"/>
          <w:sz w:val="19"/>
          <w:szCs w:val="19"/>
        </w:rPr>
        <w:t>_招标人代表：</w:t>
      </w:r>
      <w:r>
        <w:rPr>
          <w:spacing w:val="-72"/>
          <w:position w:val="-1"/>
          <w:sz w:val="19"/>
          <w:szCs w:val="19"/>
        </w:rPr>
        <w:t xml:space="preserve"> </w:t>
      </w:r>
      <w:r>
        <w:rPr>
          <w:spacing w:val="4"/>
          <w:position w:val="-1"/>
          <w:sz w:val="19"/>
          <w:szCs w:val="19"/>
          <w:u w:val="single" w:color="auto"/>
        </w:rPr>
        <w:t xml:space="preserve">                 </w:t>
      </w:r>
      <w:r>
        <w:rPr>
          <w:spacing w:val="2"/>
          <w:sz w:val="19"/>
          <w:szCs w:val="19"/>
        </w:rPr>
        <w:t>监标人：</w:t>
      </w:r>
      <w:r>
        <w:rPr>
          <w:spacing w:val="-64"/>
          <w:sz w:val="19"/>
          <w:szCs w:val="19"/>
        </w:rPr>
        <w:t xml:space="preserve"> </w:t>
      </w:r>
      <w:r>
        <w:rPr>
          <w:sz w:val="19"/>
          <w:szCs w:val="19"/>
          <w:u w:val="single" w:color="auto"/>
        </w:rPr>
        <w:t xml:space="preserve">                  </w:t>
      </w:r>
    </w:p>
    <w:p w14:paraId="0C102CEF">
      <w:pPr>
        <w:spacing w:line="216" w:lineRule="auto"/>
        <w:rPr>
          <w:sz w:val="19"/>
          <w:szCs w:val="19"/>
        </w:rPr>
        <w:sectPr>
          <w:footerReference r:id="rId41" w:type="default"/>
          <w:pgSz w:w="11910" w:h="16840"/>
          <w:pgMar w:top="1431" w:right="1435" w:bottom="1020" w:left="1405" w:header="0" w:footer="848" w:gutter="0"/>
          <w:cols w:space="720" w:num="1"/>
        </w:sectPr>
      </w:pPr>
    </w:p>
    <w:p w14:paraId="193A0C93">
      <w:pPr>
        <w:spacing w:line="250" w:lineRule="auto"/>
        <w:rPr>
          <w:rFonts w:ascii="Arial"/>
          <w:sz w:val="21"/>
        </w:rPr>
      </w:pPr>
    </w:p>
    <w:p w14:paraId="0EDE3B50">
      <w:pPr>
        <w:spacing w:line="251" w:lineRule="auto"/>
        <w:rPr>
          <w:rFonts w:ascii="Arial"/>
          <w:sz w:val="21"/>
        </w:rPr>
      </w:pPr>
    </w:p>
    <w:p w14:paraId="091B6CC3">
      <w:pPr>
        <w:spacing w:before="68" w:line="222" w:lineRule="auto"/>
        <w:ind w:left="33"/>
        <w:outlineLvl w:val="1"/>
        <w:rPr>
          <w:rFonts w:ascii="黑体" w:hAnsi="黑体" w:eastAsia="黑体" w:cs="黑体"/>
          <w:sz w:val="21"/>
          <w:szCs w:val="21"/>
        </w:rPr>
      </w:pPr>
      <w:bookmarkStart w:id="101" w:name="bookmark80"/>
      <w:bookmarkEnd w:id="101"/>
      <w:r>
        <w:rPr>
          <w:rFonts w:ascii="黑体" w:hAnsi="黑体" w:eastAsia="黑体" w:cs="黑体"/>
          <w:b/>
          <w:bCs/>
          <w:spacing w:val="27"/>
          <w:sz w:val="21"/>
          <w:szCs w:val="21"/>
        </w:rPr>
        <w:t>附表六：投标文件问题澄清通知</w:t>
      </w:r>
    </w:p>
    <w:p w14:paraId="686E02DE">
      <w:pPr>
        <w:spacing w:line="290" w:lineRule="auto"/>
        <w:rPr>
          <w:rFonts w:ascii="Arial"/>
          <w:sz w:val="21"/>
        </w:rPr>
      </w:pPr>
    </w:p>
    <w:p w14:paraId="5D129300">
      <w:pPr>
        <w:spacing w:line="291" w:lineRule="auto"/>
        <w:rPr>
          <w:rFonts w:ascii="Arial"/>
          <w:sz w:val="21"/>
        </w:rPr>
      </w:pPr>
    </w:p>
    <w:p w14:paraId="725BC318">
      <w:pPr>
        <w:spacing w:line="291" w:lineRule="auto"/>
        <w:rPr>
          <w:rFonts w:ascii="Arial"/>
          <w:sz w:val="21"/>
        </w:rPr>
      </w:pPr>
    </w:p>
    <w:p w14:paraId="09D9C566">
      <w:pPr>
        <w:spacing w:before="91" w:line="222" w:lineRule="auto"/>
        <w:ind w:left="3043"/>
        <w:rPr>
          <w:rFonts w:ascii="黑体" w:hAnsi="黑体" w:eastAsia="黑体" w:cs="黑体"/>
          <w:sz w:val="28"/>
          <w:szCs w:val="28"/>
        </w:rPr>
      </w:pPr>
      <w:bookmarkStart w:id="102" w:name="bookmark239"/>
      <w:bookmarkEnd w:id="102"/>
      <w:r>
        <w:rPr>
          <w:rFonts w:ascii="黑体" w:hAnsi="黑体" w:eastAsia="黑体" w:cs="黑体"/>
          <w:b/>
          <w:bCs/>
          <w:spacing w:val="1"/>
          <w:sz w:val="28"/>
          <w:szCs w:val="28"/>
        </w:rPr>
        <w:t>投标文件问题澄清通知</w:t>
      </w:r>
    </w:p>
    <w:p w14:paraId="390EB6F6">
      <w:pPr>
        <w:spacing w:line="347" w:lineRule="auto"/>
        <w:rPr>
          <w:rFonts w:ascii="Arial"/>
          <w:sz w:val="21"/>
        </w:rPr>
      </w:pPr>
    </w:p>
    <w:p w14:paraId="21B2AF13">
      <w:pPr>
        <w:pStyle w:val="2"/>
        <w:spacing w:before="55" w:line="219" w:lineRule="auto"/>
        <w:ind w:left="5389"/>
        <w:rPr>
          <w:sz w:val="17"/>
          <w:szCs w:val="17"/>
        </w:rPr>
      </w:pPr>
      <w:r>
        <w:rPr>
          <w:spacing w:val="-12"/>
          <w:sz w:val="17"/>
          <w:szCs w:val="17"/>
        </w:rPr>
        <w:t>编</w:t>
      </w:r>
      <w:r>
        <w:rPr>
          <w:spacing w:val="-23"/>
          <w:sz w:val="17"/>
          <w:szCs w:val="17"/>
        </w:rPr>
        <w:t xml:space="preserve"> </w:t>
      </w:r>
      <w:r>
        <w:rPr>
          <w:spacing w:val="-12"/>
          <w:sz w:val="17"/>
          <w:szCs w:val="17"/>
        </w:rPr>
        <w:t>号 ：</w:t>
      </w:r>
      <w:r>
        <w:rPr>
          <w:sz w:val="17"/>
          <w:szCs w:val="17"/>
          <w:u w:val="single" w:color="auto"/>
        </w:rPr>
        <w:t xml:space="preserve">                       </w:t>
      </w:r>
    </w:p>
    <w:p w14:paraId="01EFD3D7">
      <w:pPr>
        <w:pStyle w:val="2"/>
        <w:tabs>
          <w:tab w:val="left" w:pos="2888"/>
        </w:tabs>
        <w:spacing w:before="250" w:line="220" w:lineRule="auto"/>
        <w:rPr>
          <w:sz w:val="20"/>
          <w:szCs w:val="20"/>
        </w:rPr>
      </w:pPr>
      <w:r>
        <w:rPr>
          <w:sz w:val="20"/>
          <w:szCs w:val="20"/>
          <w:u w:val="single" w:color="auto"/>
        </w:rPr>
        <w:tab/>
      </w:r>
      <w:r>
        <w:rPr>
          <w:spacing w:val="-14"/>
          <w:sz w:val="20"/>
          <w:szCs w:val="20"/>
        </w:rPr>
        <w:t xml:space="preserve"> </w:t>
      </w:r>
      <w:r>
        <w:rPr>
          <w:spacing w:val="8"/>
          <w:sz w:val="20"/>
          <w:szCs w:val="20"/>
        </w:rPr>
        <w:t>(投标人名称):</w:t>
      </w:r>
    </w:p>
    <w:p w14:paraId="5C9B3B59">
      <w:pPr>
        <w:spacing w:line="430" w:lineRule="auto"/>
        <w:rPr>
          <w:rFonts w:ascii="Arial"/>
          <w:sz w:val="21"/>
        </w:rPr>
      </w:pPr>
    </w:p>
    <w:p w14:paraId="50C5BC1F">
      <w:pPr>
        <w:pStyle w:val="2"/>
        <w:tabs>
          <w:tab w:val="left" w:pos="1948"/>
        </w:tabs>
        <w:spacing w:before="68" w:line="415" w:lineRule="auto"/>
        <w:ind w:left="30" w:firstLine="499"/>
        <w:rPr>
          <w:sz w:val="21"/>
          <w:szCs w:val="21"/>
        </w:rPr>
      </w:pPr>
      <w:r>
        <w:rPr>
          <w:sz w:val="21"/>
          <w:szCs w:val="21"/>
          <w:u w:val="single" w:color="auto"/>
        </w:rPr>
        <w:tab/>
      </w:r>
      <w:r>
        <w:rPr>
          <w:spacing w:val="-26"/>
          <w:sz w:val="21"/>
          <w:szCs w:val="21"/>
        </w:rPr>
        <w:t xml:space="preserve"> </w:t>
      </w:r>
      <w:r>
        <w:rPr>
          <w:spacing w:val="7"/>
          <w:sz w:val="21"/>
          <w:szCs w:val="21"/>
        </w:rPr>
        <w:t>(项目名称)</w:t>
      </w:r>
      <w:r>
        <w:rPr>
          <w:spacing w:val="-51"/>
          <w:sz w:val="21"/>
          <w:szCs w:val="21"/>
        </w:rPr>
        <w:t xml:space="preserve"> </w:t>
      </w:r>
      <w:r>
        <w:rPr>
          <w:spacing w:val="2"/>
          <w:sz w:val="21"/>
          <w:szCs w:val="21"/>
          <w:u w:val="single" w:color="auto"/>
        </w:rPr>
        <w:t xml:space="preserve">        </w:t>
      </w:r>
      <w:r>
        <w:rPr>
          <w:spacing w:val="7"/>
          <w:sz w:val="21"/>
          <w:szCs w:val="21"/>
        </w:rPr>
        <w:t xml:space="preserve"> (标段名称)施工招标的评标委员会，对你方的投标</w:t>
      </w:r>
      <w:r>
        <w:rPr>
          <w:spacing w:val="1"/>
          <w:sz w:val="21"/>
          <w:szCs w:val="21"/>
        </w:rPr>
        <w:t xml:space="preserve">   </w:t>
      </w:r>
      <w:r>
        <w:rPr>
          <w:spacing w:val="2"/>
          <w:sz w:val="21"/>
          <w:szCs w:val="21"/>
        </w:rPr>
        <w:t>文件进行了仔细的审查，现需你方对下列问题以书面形式予以澄清、说明或者补正，并</w:t>
      </w:r>
      <w:r>
        <w:rPr>
          <w:spacing w:val="1"/>
          <w:sz w:val="21"/>
          <w:szCs w:val="21"/>
        </w:rPr>
        <w:t>将投标文</w:t>
      </w:r>
      <w:r>
        <w:rPr>
          <w:sz w:val="21"/>
          <w:szCs w:val="21"/>
        </w:rPr>
        <w:t xml:space="preserve">   </w:t>
      </w:r>
      <w:r>
        <w:rPr>
          <w:spacing w:val="-4"/>
          <w:sz w:val="21"/>
          <w:szCs w:val="21"/>
        </w:rPr>
        <w:t>件的澄清、说明或者补正于</w:t>
      </w:r>
      <w:r>
        <w:rPr>
          <w:spacing w:val="-87"/>
          <w:sz w:val="21"/>
          <w:szCs w:val="21"/>
        </w:rPr>
        <w:t xml:space="preserve"> </w:t>
      </w:r>
      <w:r>
        <w:rPr>
          <w:spacing w:val="11"/>
          <w:sz w:val="21"/>
          <w:szCs w:val="21"/>
          <w:u w:val="single" w:color="auto"/>
        </w:rPr>
        <w:t xml:space="preserve">     </w:t>
      </w:r>
      <w:r>
        <w:rPr>
          <w:spacing w:val="-85"/>
          <w:sz w:val="21"/>
          <w:szCs w:val="21"/>
        </w:rPr>
        <w:t xml:space="preserve"> </w:t>
      </w:r>
      <w:r>
        <w:rPr>
          <w:spacing w:val="-4"/>
          <w:sz w:val="21"/>
          <w:szCs w:val="21"/>
        </w:rPr>
        <w:t>年</w:t>
      </w:r>
      <w:r>
        <w:rPr>
          <w:spacing w:val="-93"/>
          <w:sz w:val="21"/>
          <w:szCs w:val="21"/>
        </w:rPr>
        <w:t xml:space="preserve"> </w:t>
      </w:r>
      <w:r>
        <w:rPr>
          <w:spacing w:val="21"/>
          <w:sz w:val="21"/>
          <w:szCs w:val="21"/>
          <w:u w:val="single" w:color="auto"/>
        </w:rPr>
        <w:t xml:space="preserve">   </w:t>
      </w:r>
      <w:r>
        <w:rPr>
          <w:spacing w:val="-83"/>
          <w:sz w:val="21"/>
          <w:szCs w:val="21"/>
        </w:rPr>
        <w:t xml:space="preserve"> </w:t>
      </w:r>
      <w:r>
        <w:rPr>
          <w:spacing w:val="-4"/>
          <w:sz w:val="21"/>
          <w:szCs w:val="21"/>
        </w:rPr>
        <w:t>月</w:t>
      </w:r>
      <w:r>
        <w:rPr>
          <w:spacing w:val="18"/>
          <w:sz w:val="21"/>
          <w:szCs w:val="21"/>
          <w:u w:val="single" w:color="auto"/>
        </w:rPr>
        <w:t xml:space="preserve">    </w:t>
      </w:r>
      <w:r>
        <w:rPr>
          <w:spacing w:val="-4"/>
          <w:sz w:val="21"/>
          <w:szCs w:val="21"/>
          <w:u w:val="single" w:color="auto"/>
        </w:rPr>
        <w:t xml:space="preserve">日  </w:t>
      </w:r>
      <w:r>
        <w:rPr>
          <w:spacing w:val="-82"/>
          <w:sz w:val="21"/>
          <w:szCs w:val="21"/>
        </w:rPr>
        <w:t xml:space="preserve"> </w:t>
      </w:r>
      <w:r>
        <w:rPr>
          <w:spacing w:val="-4"/>
          <w:sz w:val="21"/>
          <w:szCs w:val="21"/>
        </w:rPr>
        <w:t>时前，通过“电子交易平台”“投标文件澄清”</w:t>
      </w:r>
      <w:r>
        <w:rPr>
          <w:sz w:val="21"/>
          <w:szCs w:val="21"/>
        </w:rPr>
        <w:t xml:space="preserve"> </w:t>
      </w:r>
      <w:r>
        <w:rPr>
          <w:spacing w:val="-3"/>
          <w:sz w:val="21"/>
          <w:szCs w:val="21"/>
        </w:rPr>
        <w:t>菜单提交给本评标委员会。</w:t>
      </w:r>
    </w:p>
    <w:p w14:paraId="7E9740E0">
      <w:pPr>
        <w:pStyle w:val="2"/>
        <w:spacing w:line="235" w:lineRule="auto"/>
        <w:ind w:left="449"/>
        <w:rPr>
          <w:sz w:val="21"/>
          <w:szCs w:val="21"/>
        </w:rPr>
      </w:pPr>
      <w:r>
        <w:rPr>
          <w:spacing w:val="-2"/>
          <w:sz w:val="21"/>
          <w:szCs w:val="21"/>
        </w:rPr>
        <w:t>1、......</w:t>
      </w:r>
    </w:p>
    <w:p w14:paraId="60963122">
      <w:pPr>
        <w:pStyle w:val="2"/>
        <w:spacing w:before="183" w:line="235" w:lineRule="auto"/>
        <w:ind w:left="429"/>
        <w:rPr>
          <w:sz w:val="21"/>
          <w:szCs w:val="21"/>
        </w:rPr>
      </w:pPr>
      <w:r>
        <w:rPr>
          <w:sz w:val="21"/>
          <w:szCs w:val="21"/>
        </w:rPr>
        <w:t>2、......</w:t>
      </w:r>
    </w:p>
    <w:p w14:paraId="486369AD">
      <w:pPr>
        <w:spacing w:line="304" w:lineRule="auto"/>
        <w:rPr>
          <w:rFonts w:ascii="Arial"/>
          <w:sz w:val="21"/>
        </w:rPr>
      </w:pPr>
    </w:p>
    <w:p w14:paraId="488D7621">
      <w:pPr>
        <w:spacing w:line="50" w:lineRule="exact"/>
        <w:ind w:firstLine="550"/>
      </w:pPr>
      <w:r>
        <w:rPr>
          <w:position w:val="-1"/>
        </w:rPr>
        <w:drawing>
          <wp:inline distT="0" distB="0" distL="0" distR="0">
            <wp:extent cx="374015" cy="31750"/>
            <wp:effectExtent l="0" t="0" r="0" b="0"/>
            <wp:docPr id="14" name="IM 14"/>
            <wp:cNvGraphicFramePr/>
            <a:graphic xmlns:a="http://schemas.openxmlformats.org/drawingml/2006/main">
              <a:graphicData uri="http://schemas.openxmlformats.org/drawingml/2006/picture">
                <pic:pic xmlns:pic="http://schemas.openxmlformats.org/drawingml/2006/picture">
                  <pic:nvPicPr>
                    <pic:cNvPr id="14" name="IM 14"/>
                    <pic:cNvPicPr/>
                  </pic:nvPicPr>
                  <pic:blipFill>
                    <a:blip r:embed="rId414"/>
                    <a:stretch>
                      <a:fillRect/>
                    </a:stretch>
                  </pic:blipFill>
                  <pic:spPr>
                    <a:xfrm>
                      <a:off x="0" y="0"/>
                      <a:ext cx="374587" cy="31759"/>
                    </a:xfrm>
                    <a:prstGeom prst="rect">
                      <a:avLst/>
                    </a:prstGeom>
                  </pic:spPr>
                </pic:pic>
              </a:graphicData>
            </a:graphic>
          </wp:inline>
        </w:drawing>
      </w:r>
    </w:p>
    <w:p w14:paraId="66687A4D">
      <w:pPr>
        <w:spacing w:line="475" w:lineRule="auto"/>
        <w:rPr>
          <w:rFonts w:ascii="Arial"/>
          <w:sz w:val="21"/>
        </w:rPr>
      </w:pPr>
    </w:p>
    <w:p w14:paraId="7929670E">
      <w:pPr>
        <w:pStyle w:val="2"/>
        <w:tabs>
          <w:tab w:val="left" w:pos="3688"/>
        </w:tabs>
        <w:spacing w:before="69" w:line="433" w:lineRule="auto"/>
        <w:ind w:left="1079" w:right="435" w:firstLine="1660"/>
        <w:rPr>
          <w:sz w:val="21"/>
          <w:szCs w:val="21"/>
        </w:rPr>
      </w:pPr>
      <w:r>
        <w:rPr>
          <w:sz w:val="21"/>
          <w:szCs w:val="21"/>
          <w:u w:val="single" w:color="auto"/>
        </w:rPr>
        <w:tab/>
      </w:r>
      <w:r>
        <w:rPr>
          <w:spacing w:val="11"/>
          <w:sz w:val="21"/>
          <w:szCs w:val="21"/>
        </w:rPr>
        <w:t xml:space="preserve"> </w:t>
      </w:r>
      <w:r>
        <w:rPr>
          <w:spacing w:val="8"/>
          <w:sz w:val="21"/>
          <w:szCs w:val="21"/>
        </w:rPr>
        <w:t>(项目名称)</w:t>
      </w:r>
      <w:r>
        <w:rPr>
          <w:spacing w:val="-41"/>
          <w:sz w:val="21"/>
          <w:szCs w:val="21"/>
        </w:rPr>
        <w:t xml:space="preserve"> </w:t>
      </w:r>
      <w:r>
        <w:rPr>
          <w:spacing w:val="1"/>
          <w:sz w:val="21"/>
          <w:szCs w:val="21"/>
          <w:u w:val="single" w:color="auto"/>
        </w:rPr>
        <w:t xml:space="preserve">      </w:t>
      </w:r>
      <w:r>
        <w:rPr>
          <w:spacing w:val="-11"/>
          <w:sz w:val="21"/>
          <w:szCs w:val="21"/>
        </w:rPr>
        <w:t xml:space="preserve"> </w:t>
      </w:r>
      <w:r>
        <w:rPr>
          <w:spacing w:val="8"/>
          <w:sz w:val="21"/>
          <w:szCs w:val="21"/>
        </w:rPr>
        <w:t>(标段名称)施工招标评标委员会</w:t>
      </w:r>
      <w:r>
        <w:rPr>
          <w:sz w:val="21"/>
          <w:szCs w:val="21"/>
        </w:rPr>
        <w:t xml:space="preserve"> (经评标委员会授权的招标人代表签字或招标人盖单位章):</w:t>
      </w:r>
      <w:r>
        <w:rPr>
          <w:spacing w:val="-21"/>
          <w:sz w:val="21"/>
          <w:szCs w:val="21"/>
        </w:rPr>
        <w:t xml:space="preserve"> </w:t>
      </w:r>
      <w:r>
        <w:rPr>
          <w:sz w:val="21"/>
          <w:szCs w:val="21"/>
          <w:u w:val="single" w:color="auto"/>
        </w:rPr>
        <w:t xml:space="preserve">                </w:t>
      </w:r>
    </w:p>
    <w:p w14:paraId="4935A0A9">
      <w:pPr>
        <w:spacing w:line="381" w:lineRule="auto"/>
        <w:rPr>
          <w:rFonts w:ascii="Arial"/>
          <w:sz w:val="21"/>
        </w:rPr>
      </w:pPr>
    </w:p>
    <w:p w14:paraId="40CAD6BD">
      <w:pPr>
        <w:tabs>
          <w:tab w:val="left" w:pos="6219"/>
        </w:tabs>
        <w:spacing w:before="75" w:line="224" w:lineRule="auto"/>
        <w:ind w:left="5599"/>
        <w:rPr>
          <w:rFonts w:ascii="黑体" w:hAnsi="黑体" w:eastAsia="黑体" w:cs="黑体"/>
          <w:sz w:val="21"/>
          <w:szCs w:val="21"/>
        </w:rPr>
      </w:pPr>
      <w:r>
        <w:rPr>
          <w:rFonts w:ascii="黑体" w:hAnsi="黑体" w:eastAsia="黑体" w:cs="黑体"/>
          <w:sz w:val="23"/>
          <w:szCs w:val="23"/>
          <w:u w:val="single" w:color="auto"/>
        </w:rPr>
        <w:tab/>
      </w:r>
      <w:r>
        <w:rPr>
          <w:rFonts w:ascii="黑体" w:hAnsi="黑体" w:eastAsia="黑体" w:cs="黑体"/>
          <w:spacing w:val="-34"/>
          <w:w w:val="91"/>
          <w:sz w:val="23"/>
          <w:szCs w:val="23"/>
        </w:rPr>
        <w:t>年</w:t>
      </w:r>
      <w:r>
        <w:rPr>
          <w:rFonts w:ascii="黑体" w:hAnsi="黑体" w:eastAsia="黑体" w:cs="黑体"/>
          <w:spacing w:val="2"/>
          <w:sz w:val="22"/>
          <w:szCs w:val="22"/>
          <w:u w:val="single" w:color="auto"/>
        </w:rPr>
        <w:t xml:space="preserve">       </w:t>
      </w:r>
      <w:r>
        <w:rPr>
          <w:rFonts w:ascii="黑体" w:hAnsi="黑体" w:eastAsia="黑体" w:cs="黑体"/>
          <w:spacing w:val="-34"/>
          <w:w w:val="91"/>
          <w:sz w:val="22"/>
          <w:szCs w:val="22"/>
          <w:u w:val="single" w:color="auto"/>
        </w:rPr>
        <w:t>月</w:t>
      </w:r>
      <w:r>
        <w:rPr>
          <w:rFonts w:ascii="黑体" w:hAnsi="黑体" w:eastAsia="黑体" w:cs="黑体"/>
          <w:spacing w:val="9"/>
          <w:sz w:val="22"/>
          <w:szCs w:val="22"/>
          <w:u w:val="single" w:color="auto"/>
        </w:rPr>
        <w:t xml:space="preserve">       </w:t>
      </w:r>
      <w:r>
        <w:rPr>
          <w:rFonts w:ascii="黑体" w:hAnsi="黑体" w:eastAsia="黑体" w:cs="黑体"/>
          <w:spacing w:val="-86"/>
          <w:sz w:val="22"/>
          <w:szCs w:val="22"/>
        </w:rPr>
        <w:t xml:space="preserve"> </w:t>
      </w:r>
      <w:r>
        <w:rPr>
          <w:rFonts w:ascii="黑体" w:hAnsi="黑体" w:eastAsia="黑体" w:cs="黑体"/>
          <w:spacing w:val="-34"/>
          <w:w w:val="91"/>
          <w:position w:val="1"/>
          <w:sz w:val="21"/>
          <w:szCs w:val="21"/>
        </w:rPr>
        <w:t>日</w:t>
      </w:r>
    </w:p>
    <w:p w14:paraId="46AF9ABD">
      <w:pPr>
        <w:spacing w:line="224" w:lineRule="auto"/>
        <w:rPr>
          <w:rFonts w:ascii="黑体" w:hAnsi="黑体" w:eastAsia="黑体" w:cs="黑体"/>
          <w:sz w:val="21"/>
          <w:szCs w:val="21"/>
        </w:rPr>
        <w:sectPr>
          <w:footerReference r:id="rId42" w:type="default"/>
          <w:pgSz w:w="11910" w:h="16840"/>
          <w:pgMar w:top="1431" w:right="1275" w:bottom="1008" w:left="1440" w:header="0" w:footer="855" w:gutter="0"/>
          <w:cols w:space="720" w:num="1"/>
        </w:sectPr>
      </w:pPr>
    </w:p>
    <w:p w14:paraId="62CDF8EB">
      <w:pPr>
        <w:spacing w:line="252" w:lineRule="auto"/>
        <w:rPr>
          <w:rFonts w:ascii="Arial"/>
          <w:sz w:val="21"/>
        </w:rPr>
      </w:pPr>
    </w:p>
    <w:p w14:paraId="5A9CCF99">
      <w:pPr>
        <w:spacing w:line="252" w:lineRule="auto"/>
        <w:rPr>
          <w:rFonts w:ascii="Arial"/>
          <w:sz w:val="21"/>
        </w:rPr>
      </w:pPr>
    </w:p>
    <w:p w14:paraId="0301483D">
      <w:pPr>
        <w:spacing w:before="65" w:line="222" w:lineRule="auto"/>
        <w:outlineLvl w:val="1"/>
        <w:rPr>
          <w:rFonts w:ascii="黑体" w:hAnsi="黑体" w:eastAsia="黑体" w:cs="黑体"/>
          <w:sz w:val="20"/>
          <w:szCs w:val="20"/>
        </w:rPr>
      </w:pPr>
      <w:bookmarkStart w:id="103" w:name="bookmark81"/>
      <w:bookmarkEnd w:id="103"/>
      <w:r>
        <w:rPr>
          <w:rFonts w:ascii="黑体" w:hAnsi="黑体" w:eastAsia="黑体" w:cs="黑体"/>
          <w:b/>
          <w:bCs/>
          <w:spacing w:val="35"/>
          <w:sz w:val="20"/>
          <w:szCs w:val="20"/>
        </w:rPr>
        <w:t>附表七：投标文件问题的澄清</w:t>
      </w:r>
    </w:p>
    <w:p w14:paraId="02A9BAFC">
      <w:pPr>
        <w:spacing w:line="255" w:lineRule="auto"/>
        <w:rPr>
          <w:rFonts w:ascii="Arial"/>
          <w:sz w:val="21"/>
        </w:rPr>
      </w:pPr>
    </w:p>
    <w:p w14:paraId="374A1C8B">
      <w:pPr>
        <w:spacing w:line="256" w:lineRule="auto"/>
        <w:rPr>
          <w:rFonts w:ascii="Arial"/>
          <w:sz w:val="21"/>
        </w:rPr>
      </w:pPr>
    </w:p>
    <w:p w14:paraId="1B70C07C">
      <w:pPr>
        <w:spacing w:line="256" w:lineRule="auto"/>
        <w:rPr>
          <w:rFonts w:ascii="Arial"/>
          <w:sz w:val="21"/>
        </w:rPr>
      </w:pPr>
    </w:p>
    <w:p w14:paraId="435D23C4">
      <w:pPr>
        <w:spacing w:line="256" w:lineRule="auto"/>
        <w:rPr>
          <w:rFonts w:ascii="Arial"/>
          <w:sz w:val="21"/>
        </w:rPr>
      </w:pPr>
    </w:p>
    <w:p w14:paraId="73A6457D">
      <w:pPr>
        <w:spacing w:before="91" w:line="221" w:lineRule="auto"/>
        <w:ind w:left="2291"/>
        <w:rPr>
          <w:rFonts w:ascii="黑体" w:hAnsi="黑体" w:eastAsia="黑体" w:cs="黑体"/>
          <w:sz w:val="28"/>
          <w:szCs w:val="28"/>
        </w:rPr>
      </w:pPr>
      <w:bookmarkStart w:id="104" w:name="bookmark240"/>
      <w:bookmarkEnd w:id="104"/>
      <w:r>
        <w:rPr>
          <w:rFonts w:ascii="黑体" w:hAnsi="黑体" w:eastAsia="黑体" w:cs="黑体"/>
          <w:b/>
          <w:bCs/>
          <w:spacing w:val="-1"/>
          <w:sz w:val="28"/>
          <w:szCs w:val="28"/>
        </w:rPr>
        <w:t>投标文件问题的澄清、说明或补正</w:t>
      </w:r>
    </w:p>
    <w:p w14:paraId="5F92D578">
      <w:pPr>
        <w:spacing w:line="321" w:lineRule="auto"/>
        <w:rPr>
          <w:rFonts w:ascii="Arial"/>
          <w:sz w:val="21"/>
        </w:rPr>
      </w:pPr>
    </w:p>
    <w:p w14:paraId="11B1DC10">
      <w:pPr>
        <w:pStyle w:val="2"/>
        <w:spacing w:before="65" w:line="219" w:lineRule="auto"/>
        <w:ind w:left="5327"/>
        <w:rPr>
          <w:sz w:val="20"/>
          <w:szCs w:val="20"/>
        </w:rPr>
      </w:pPr>
      <w:r>
        <w:rPr>
          <w:spacing w:val="-3"/>
          <w:sz w:val="20"/>
          <w:szCs w:val="20"/>
        </w:rPr>
        <w:t>编号：</w:t>
      </w:r>
      <w:r>
        <w:rPr>
          <w:spacing w:val="-3"/>
          <w:sz w:val="20"/>
          <w:szCs w:val="20"/>
          <w:u w:val="single" w:color="auto"/>
        </w:rPr>
        <w:t xml:space="preserve">                    </w:t>
      </w:r>
    </w:p>
    <w:p w14:paraId="0E046ACE">
      <w:pPr>
        <w:pStyle w:val="2"/>
        <w:tabs>
          <w:tab w:val="left" w:pos="1456"/>
        </w:tabs>
        <w:spacing w:before="251" w:line="219" w:lineRule="auto"/>
        <w:ind w:left="147"/>
        <w:rPr>
          <w:sz w:val="20"/>
          <w:szCs w:val="20"/>
        </w:rPr>
      </w:pPr>
      <w:r>
        <w:rPr>
          <w:sz w:val="20"/>
          <w:szCs w:val="20"/>
          <w:u w:val="single" w:color="auto"/>
        </w:rPr>
        <w:tab/>
      </w:r>
      <w:r>
        <w:rPr>
          <w:spacing w:val="17"/>
          <w:sz w:val="20"/>
          <w:szCs w:val="20"/>
        </w:rPr>
        <w:t xml:space="preserve"> </w:t>
      </w:r>
      <w:r>
        <w:rPr>
          <w:spacing w:val="13"/>
          <w:sz w:val="20"/>
          <w:szCs w:val="20"/>
        </w:rPr>
        <w:t>(项目名称)</w:t>
      </w:r>
      <w:r>
        <w:rPr>
          <w:spacing w:val="-44"/>
          <w:sz w:val="20"/>
          <w:szCs w:val="20"/>
        </w:rPr>
        <w:t xml:space="preserve"> </w:t>
      </w:r>
      <w:r>
        <w:rPr>
          <w:spacing w:val="6"/>
          <w:sz w:val="20"/>
          <w:szCs w:val="20"/>
          <w:u w:val="single" w:color="auto"/>
        </w:rPr>
        <w:t xml:space="preserve">      </w:t>
      </w:r>
      <w:r>
        <w:rPr>
          <w:spacing w:val="-16"/>
          <w:sz w:val="20"/>
          <w:szCs w:val="20"/>
        </w:rPr>
        <w:t xml:space="preserve"> </w:t>
      </w:r>
      <w:r>
        <w:rPr>
          <w:spacing w:val="13"/>
          <w:sz w:val="20"/>
          <w:szCs w:val="20"/>
        </w:rPr>
        <w:t>(标段名称)施工招标评标委员会：</w:t>
      </w:r>
    </w:p>
    <w:p w14:paraId="70EA97CA">
      <w:pPr>
        <w:pStyle w:val="2"/>
        <w:spacing w:before="254" w:line="219" w:lineRule="auto"/>
        <w:ind w:left="367"/>
        <w:rPr>
          <w:sz w:val="20"/>
          <w:szCs w:val="20"/>
        </w:rPr>
      </w:pPr>
      <w:r>
        <w:rPr>
          <w:spacing w:val="11"/>
          <w:sz w:val="20"/>
          <w:szCs w:val="20"/>
        </w:rPr>
        <w:t>投标文件问题澄清通知(编号：</w:t>
      </w:r>
      <w:r>
        <w:rPr>
          <w:spacing w:val="-63"/>
          <w:sz w:val="20"/>
          <w:szCs w:val="20"/>
        </w:rPr>
        <w:t xml:space="preserve"> </w:t>
      </w:r>
      <w:r>
        <w:rPr>
          <w:spacing w:val="5"/>
          <w:sz w:val="20"/>
          <w:szCs w:val="20"/>
          <w:u w:val="single" w:color="auto"/>
        </w:rPr>
        <w:t xml:space="preserve">       </w:t>
      </w:r>
      <w:r>
        <w:rPr>
          <w:spacing w:val="-85"/>
          <w:sz w:val="20"/>
          <w:szCs w:val="20"/>
        </w:rPr>
        <w:t xml:space="preserve"> </w:t>
      </w:r>
      <w:r>
        <w:rPr>
          <w:spacing w:val="11"/>
          <w:sz w:val="20"/>
          <w:szCs w:val="20"/>
        </w:rPr>
        <w:t>)已收悉，现澄清、说明或者补正如下：</w:t>
      </w:r>
    </w:p>
    <w:p w14:paraId="5ECF7304">
      <w:pPr>
        <w:spacing w:before="254" w:line="188" w:lineRule="auto"/>
        <w:ind w:left="367"/>
        <w:rPr>
          <w:rFonts w:ascii="Times New Roman" w:hAnsi="Times New Roman" w:eastAsia="Times New Roman" w:cs="Times New Roman"/>
          <w:sz w:val="20"/>
          <w:szCs w:val="20"/>
        </w:rPr>
      </w:pPr>
      <w:r>
        <w:rPr>
          <w:rFonts w:ascii="Times New Roman" w:hAnsi="Times New Roman" w:eastAsia="Times New Roman" w:cs="Times New Roman"/>
          <w:spacing w:val="-8"/>
          <w:sz w:val="20"/>
          <w:szCs w:val="20"/>
        </w:rPr>
        <w:t>1.</w:t>
      </w:r>
    </w:p>
    <w:p w14:paraId="33F2B72C">
      <w:pPr>
        <w:rPr>
          <w:rFonts w:ascii="Arial"/>
          <w:sz w:val="21"/>
        </w:rPr>
      </w:pPr>
    </w:p>
    <w:p w14:paraId="0811B6FA">
      <w:pPr>
        <w:spacing w:before="58" w:line="188" w:lineRule="auto"/>
        <w:ind w:left="367"/>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w:t>
      </w:r>
    </w:p>
    <w:p w14:paraId="263C567D">
      <w:pPr>
        <w:spacing w:line="268" w:lineRule="auto"/>
        <w:rPr>
          <w:rFonts w:ascii="Arial"/>
          <w:sz w:val="21"/>
        </w:rPr>
      </w:pPr>
    </w:p>
    <w:p w14:paraId="446A311A">
      <w:pPr>
        <w:spacing w:line="268" w:lineRule="auto"/>
        <w:rPr>
          <w:rFonts w:ascii="Arial"/>
          <w:sz w:val="21"/>
        </w:rPr>
      </w:pPr>
    </w:p>
    <w:p w14:paraId="29C13072">
      <w:pPr>
        <w:spacing w:line="268" w:lineRule="auto"/>
        <w:rPr>
          <w:rFonts w:ascii="Arial"/>
          <w:sz w:val="21"/>
        </w:rPr>
      </w:pPr>
    </w:p>
    <w:p w14:paraId="11851AB3">
      <w:pPr>
        <w:spacing w:before="1" w:line="50" w:lineRule="exact"/>
        <w:ind w:firstLine="397"/>
      </w:pPr>
      <w:r>
        <w:rPr>
          <w:position w:val="-1"/>
        </w:rPr>
        <w:drawing>
          <wp:inline distT="0" distB="0" distL="0" distR="0">
            <wp:extent cx="254000" cy="31750"/>
            <wp:effectExtent l="0" t="0" r="0" b="0"/>
            <wp:docPr id="16" name="IM 16"/>
            <wp:cNvGraphicFramePr/>
            <a:graphic xmlns:a="http://schemas.openxmlformats.org/drawingml/2006/main">
              <a:graphicData uri="http://schemas.openxmlformats.org/drawingml/2006/picture">
                <pic:pic xmlns:pic="http://schemas.openxmlformats.org/drawingml/2006/picture">
                  <pic:nvPicPr>
                    <pic:cNvPr id="16" name="IM 16"/>
                    <pic:cNvPicPr/>
                  </pic:nvPicPr>
                  <pic:blipFill>
                    <a:blip r:embed="rId415"/>
                    <a:stretch>
                      <a:fillRect/>
                    </a:stretch>
                  </pic:blipFill>
                  <pic:spPr>
                    <a:xfrm>
                      <a:off x="0" y="0"/>
                      <a:ext cx="254036" cy="31759"/>
                    </a:xfrm>
                    <a:prstGeom prst="rect">
                      <a:avLst/>
                    </a:prstGeom>
                  </pic:spPr>
                </pic:pic>
              </a:graphicData>
            </a:graphic>
          </wp:inline>
        </w:drawing>
      </w:r>
    </w:p>
    <w:p w14:paraId="0B6D1CE1">
      <w:pPr>
        <w:rPr>
          <w:rFonts w:ascii="Arial"/>
          <w:sz w:val="21"/>
        </w:rPr>
      </w:pPr>
    </w:p>
    <w:p w14:paraId="776D420D">
      <w:pPr>
        <w:rPr>
          <w:rFonts w:ascii="Arial"/>
          <w:sz w:val="21"/>
        </w:rPr>
      </w:pPr>
    </w:p>
    <w:p w14:paraId="393C900A">
      <w:pPr>
        <w:rPr>
          <w:rFonts w:ascii="Arial"/>
          <w:sz w:val="21"/>
        </w:rPr>
      </w:pPr>
    </w:p>
    <w:p w14:paraId="198C1E9D">
      <w:pPr>
        <w:rPr>
          <w:rFonts w:ascii="Arial"/>
          <w:sz w:val="21"/>
        </w:rPr>
      </w:pPr>
    </w:p>
    <w:p w14:paraId="4EFF09A8">
      <w:pPr>
        <w:rPr>
          <w:rFonts w:ascii="Arial"/>
          <w:sz w:val="21"/>
        </w:rPr>
      </w:pPr>
    </w:p>
    <w:p w14:paraId="593EDBE2">
      <w:pPr>
        <w:rPr>
          <w:rFonts w:ascii="Arial"/>
          <w:sz w:val="21"/>
        </w:rPr>
      </w:pPr>
    </w:p>
    <w:p w14:paraId="6FDAA6DE">
      <w:pPr>
        <w:spacing w:line="241" w:lineRule="auto"/>
        <w:rPr>
          <w:rFonts w:ascii="Arial"/>
          <w:sz w:val="21"/>
        </w:rPr>
      </w:pPr>
    </w:p>
    <w:p w14:paraId="76AB6895">
      <w:pPr>
        <w:spacing w:line="241" w:lineRule="auto"/>
        <w:rPr>
          <w:rFonts w:ascii="Arial"/>
          <w:sz w:val="21"/>
        </w:rPr>
      </w:pPr>
    </w:p>
    <w:p w14:paraId="4F552C2C">
      <w:pPr>
        <w:pStyle w:val="2"/>
        <w:spacing w:before="65" w:line="226" w:lineRule="auto"/>
        <w:jc w:val="right"/>
        <w:rPr>
          <w:sz w:val="20"/>
          <w:szCs w:val="20"/>
        </w:rPr>
      </w:pPr>
      <w:r>
        <w:rPr>
          <w:spacing w:val="6"/>
          <w:sz w:val="20"/>
          <w:szCs w:val="20"/>
        </w:rPr>
        <w:t>投标人：</w:t>
      </w:r>
      <w:r>
        <w:rPr>
          <w:spacing w:val="-42"/>
          <w:sz w:val="20"/>
          <w:szCs w:val="20"/>
        </w:rPr>
        <w:t xml:space="preserve"> </w:t>
      </w:r>
      <w:r>
        <w:rPr>
          <w:spacing w:val="6"/>
          <w:sz w:val="20"/>
          <w:szCs w:val="20"/>
          <w:u w:val="single" w:color="auto"/>
        </w:rPr>
        <w:t xml:space="preserve">                            </w:t>
      </w:r>
      <w:r>
        <w:rPr>
          <w:spacing w:val="6"/>
          <w:sz w:val="20"/>
          <w:szCs w:val="20"/>
        </w:rPr>
        <w:t xml:space="preserve"> (盖单位章)</w:t>
      </w:r>
    </w:p>
    <w:p w14:paraId="2C46A120">
      <w:pPr>
        <w:spacing w:line="286" w:lineRule="auto"/>
        <w:rPr>
          <w:rFonts w:ascii="Arial"/>
          <w:sz w:val="21"/>
        </w:rPr>
      </w:pPr>
    </w:p>
    <w:p w14:paraId="10D1907C">
      <w:pPr>
        <w:pStyle w:val="2"/>
        <w:spacing w:before="66" w:line="229" w:lineRule="auto"/>
        <w:jc w:val="right"/>
        <w:rPr>
          <w:sz w:val="20"/>
          <w:szCs w:val="20"/>
        </w:rPr>
      </w:pPr>
      <w:r>
        <w:rPr>
          <w:spacing w:val="6"/>
          <w:position w:val="-1"/>
          <w:sz w:val="20"/>
          <w:szCs w:val="20"/>
        </w:rPr>
        <w:t>法定代表人：</w:t>
      </w:r>
      <w:r>
        <w:rPr>
          <w:spacing w:val="-50"/>
          <w:position w:val="-1"/>
          <w:sz w:val="20"/>
          <w:szCs w:val="20"/>
        </w:rPr>
        <w:t xml:space="preserve"> </w:t>
      </w:r>
      <w:r>
        <w:rPr>
          <w:spacing w:val="6"/>
          <w:position w:val="-1"/>
          <w:sz w:val="20"/>
          <w:szCs w:val="20"/>
          <w:u w:val="single" w:color="auto"/>
        </w:rPr>
        <w:t xml:space="preserve">                            </w:t>
      </w:r>
      <w:r>
        <w:rPr>
          <w:spacing w:val="6"/>
          <w:position w:val="-1"/>
          <w:sz w:val="20"/>
          <w:szCs w:val="20"/>
        </w:rPr>
        <w:t xml:space="preserve"> </w:t>
      </w:r>
      <w:r>
        <w:rPr>
          <w:spacing w:val="6"/>
          <w:position w:val="1"/>
          <w:sz w:val="20"/>
          <w:szCs w:val="20"/>
        </w:rPr>
        <w:t>(签</w:t>
      </w:r>
      <w:r>
        <w:rPr>
          <w:spacing w:val="5"/>
          <w:position w:val="1"/>
          <w:sz w:val="20"/>
          <w:szCs w:val="20"/>
        </w:rPr>
        <w:t>字)</w:t>
      </w:r>
    </w:p>
    <w:p w14:paraId="3141A9D5">
      <w:pPr>
        <w:spacing w:line="267" w:lineRule="auto"/>
        <w:rPr>
          <w:rFonts w:ascii="Arial"/>
          <w:sz w:val="21"/>
        </w:rPr>
      </w:pPr>
    </w:p>
    <w:p w14:paraId="2236EB8C">
      <w:pPr>
        <w:tabs>
          <w:tab w:val="left" w:pos="6367"/>
        </w:tabs>
        <w:spacing w:before="65" w:line="241" w:lineRule="auto"/>
        <w:ind w:left="5747"/>
        <w:rPr>
          <w:rFonts w:ascii="黑体" w:hAnsi="黑体" w:eastAsia="黑体" w:cs="黑体"/>
          <w:sz w:val="19"/>
          <w:szCs w:val="19"/>
        </w:rPr>
      </w:pPr>
      <w:r>
        <w:rPr>
          <w:rFonts w:ascii="黑体" w:hAnsi="黑体" w:eastAsia="黑体" w:cs="黑体"/>
          <w:position w:val="-1"/>
          <w:sz w:val="20"/>
          <w:szCs w:val="20"/>
          <w:u w:val="single" w:color="auto"/>
        </w:rPr>
        <w:tab/>
      </w:r>
      <w:r>
        <w:rPr>
          <w:rFonts w:ascii="黑体" w:hAnsi="黑体" w:eastAsia="黑体" w:cs="黑体"/>
          <w:spacing w:val="-16"/>
          <w:position w:val="-1"/>
          <w:sz w:val="20"/>
          <w:szCs w:val="20"/>
        </w:rPr>
        <w:t>年</w:t>
      </w:r>
      <w:r>
        <w:rPr>
          <w:rFonts w:ascii="黑体" w:hAnsi="黑体" w:eastAsia="黑体" w:cs="黑体"/>
          <w:spacing w:val="15"/>
          <w:position w:val="-1"/>
          <w:sz w:val="20"/>
          <w:szCs w:val="20"/>
          <w:u w:val="single" w:color="auto"/>
        </w:rPr>
        <w:t xml:space="preserve">     </w:t>
      </w:r>
      <w:r>
        <w:rPr>
          <w:rFonts w:ascii="黑体" w:hAnsi="黑体" w:eastAsia="黑体" w:cs="黑体"/>
          <w:spacing w:val="-16"/>
          <w:sz w:val="20"/>
          <w:szCs w:val="20"/>
        </w:rPr>
        <w:t>月</w:t>
      </w:r>
      <w:r>
        <w:rPr>
          <w:rFonts w:ascii="黑体" w:hAnsi="黑体" w:eastAsia="黑体" w:cs="黑体"/>
          <w:spacing w:val="-88"/>
          <w:sz w:val="20"/>
          <w:szCs w:val="20"/>
        </w:rPr>
        <w:t xml:space="preserve"> </w:t>
      </w:r>
      <w:r>
        <w:rPr>
          <w:rFonts w:ascii="黑体" w:hAnsi="黑体" w:eastAsia="黑体" w:cs="黑体"/>
          <w:spacing w:val="14"/>
          <w:sz w:val="20"/>
          <w:szCs w:val="20"/>
          <w:u w:val="single" w:color="auto"/>
        </w:rPr>
        <w:t xml:space="preserve">     </w:t>
      </w:r>
      <w:r>
        <w:rPr>
          <w:rFonts w:ascii="黑体" w:hAnsi="黑体" w:eastAsia="黑体" w:cs="黑体"/>
          <w:spacing w:val="-16"/>
          <w:position w:val="1"/>
          <w:sz w:val="19"/>
          <w:szCs w:val="19"/>
        </w:rPr>
        <w:t>日</w:t>
      </w:r>
    </w:p>
    <w:p w14:paraId="0873B38A">
      <w:pPr>
        <w:spacing w:line="241" w:lineRule="auto"/>
        <w:rPr>
          <w:rFonts w:ascii="黑体" w:hAnsi="黑体" w:eastAsia="黑体" w:cs="黑体"/>
          <w:sz w:val="19"/>
          <w:szCs w:val="19"/>
        </w:rPr>
        <w:sectPr>
          <w:footerReference r:id="rId43" w:type="default"/>
          <w:pgSz w:w="11910" w:h="16840"/>
          <w:pgMar w:top="1431" w:right="1706" w:bottom="1029" w:left="1502" w:header="0" w:footer="849" w:gutter="0"/>
          <w:cols w:space="720" w:num="1"/>
        </w:sectPr>
      </w:pPr>
    </w:p>
    <w:p w14:paraId="1F0D0477">
      <w:pPr>
        <w:spacing w:line="252" w:lineRule="auto"/>
        <w:rPr>
          <w:rFonts w:ascii="Arial"/>
          <w:sz w:val="21"/>
        </w:rPr>
      </w:pPr>
    </w:p>
    <w:p w14:paraId="22986DC9">
      <w:pPr>
        <w:spacing w:line="253" w:lineRule="auto"/>
        <w:rPr>
          <w:rFonts w:ascii="Arial"/>
          <w:sz w:val="21"/>
        </w:rPr>
      </w:pPr>
    </w:p>
    <w:p w14:paraId="17E889B8">
      <w:pPr>
        <w:spacing w:before="65" w:line="222" w:lineRule="auto"/>
        <w:ind w:left="2"/>
        <w:outlineLvl w:val="1"/>
        <w:rPr>
          <w:rFonts w:ascii="黑体" w:hAnsi="黑体" w:eastAsia="黑体" w:cs="黑体"/>
          <w:sz w:val="20"/>
          <w:szCs w:val="20"/>
        </w:rPr>
      </w:pPr>
      <w:bookmarkStart w:id="105" w:name="bookmark82"/>
      <w:bookmarkEnd w:id="105"/>
      <w:r>
        <w:rPr>
          <w:rFonts w:ascii="黑体" w:hAnsi="黑体" w:eastAsia="黑体" w:cs="黑体"/>
          <w:b/>
          <w:bCs/>
          <w:spacing w:val="25"/>
          <w:sz w:val="20"/>
          <w:szCs w:val="20"/>
        </w:rPr>
        <w:t>附表八</w:t>
      </w:r>
      <w:r>
        <w:rPr>
          <w:rFonts w:ascii="黑体" w:hAnsi="黑体" w:eastAsia="黑体" w:cs="黑体"/>
          <w:spacing w:val="-48"/>
          <w:sz w:val="20"/>
          <w:szCs w:val="20"/>
        </w:rPr>
        <w:t xml:space="preserve"> </w:t>
      </w:r>
      <w:r>
        <w:rPr>
          <w:rFonts w:ascii="黑体" w:hAnsi="黑体" w:eastAsia="黑体" w:cs="黑体"/>
          <w:b/>
          <w:bCs/>
          <w:spacing w:val="25"/>
          <w:sz w:val="20"/>
          <w:szCs w:val="20"/>
        </w:rPr>
        <w:t>：</w:t>
      </w:r>
      <w:r>
        <w:rPr>
          <w:rFonts w:ascii="黑体" w:hAnsi="黑体" w:eastAsia="黑体" w:cs="黑体"/>
          <w:spacing w:val="-30"/>
          <w:sz w:val="20"/>
          <w:szCs w:val="20"/>
        </w:rPr>
        <w:t xml:space="preserve"> </w:t>
      </w:r>
      <w:r>
        <w:rPr>
          <w:rFonts w:ascii="黑体" w:hAnsi="黑体" w:eastAsia="黑体" w:cs="黑体"/>
          <w:b/>
          <w:bCs/>
          <w:spacing w:val="25"/>
          <w:sz w:val="20"/>
          <w:szCs w:val="20"/>
        </w:rPr>
        <w:t>中标通知书</w:t>
      </w:r>
    </w:p>
    <w:p w14:paraId="61113482">
      <w:pPr>
        <w:spacing w:line="247" w:lineRule="auto"/>
        <w:rPr>
          <w:rFonts w:ascii="Arial"/>
          <w:sz w:val="21"/>
        </w:rPr>
      </w:pPr>
    </w:p>
    <w:p w14:paraId="6BFC31EB">
      <w:pPr>
        <w:spacing w:line="247" w:lineRule="auto"/>
        <w:rPr>
          <w:rFonts w:ascii="Arial"/>
          <w:sz w:val="21"/>
        </w:rPr>
      </w:pPr>
    </w:p>
    <w:p w14:paraId="6308DD11">
      <w:pPr>
        <w:spacing w:before="94" w:line="222" w:lineRule="auto"/>
        <w:ind w:left="3754"/>
        <w:rPr>
          <w:rFonts w:ascii="黑体" w:hAnsi="黑体" w:eastAsia="黑体" w:cs="黑体"/>
          <w:sz w:val="29"/>
          <w:szCs w:val="29"/>
        </w:rPr>
      </w:pPr>
      <w:bookmarkStart w:id="106" w:name="bookmark241"/>
      <w:bookmarkEnd w:id="106"/>
      <w:r>
        <w:rPr>
          <w:rFonts w:ascii="黑体" w:hAnsi="黑体" w:eastAsia="黑体" w:cs="黑体"/>
          <w:b/>
          <w:bCs/>
          <w:spacing w:val="-4"/>
          <w:sz w:val="29"/>
          <w:szCs w:val="29"/>
        </w:rPr>
        <w:t>中标通知书</w:t>
      </w:r>
    </w:p>
    <w:p w14:paraId="22B9127D">
      <w:pPr>
        <w:spacing w:line="402" w:lineRule="auto"/>
        <w:rPr>
          <w:rFonts w:ascii="Arial"/>
          <w:sz w:val="21"/>
        </w:rPr>
      </w:pPr>
    </w:p>
    <w:p w14:paraId="4D372D78">
      <w:pPr>
        <w:spacing w:before="65" w:line="222" w:lineRule="auto"/>
        <w:ind w:left="5929"/>
        <w:rPr>
          <w:rFonts w:ascii="仿宋" w:hAnsi="仿宋" w:eastAsia="仿宋" w:cs="仿宋"/>
          <w:sz w:val="20"/>
          <w:szCs w:val="20"/>
        </w:rPr>
      </w:pPr>
      <w:r>
        <w:rPr>
          <w:rFonts w:ascii="仿宋" w:hAnsi="仿宋" w:eastAsia="仿宋" w:cs="仿宋"/>
          <w:sz w:val="20"/>
          <w:szCs w:val="20"/>
        </w:rPr>
        <w:t>招标编号：</w:t>
      </w:r>
      <w:r>
        <w:rPr>
          <w:rFonts w:ascii="仿宋" w:hAnsi="仿宋" w:eastAsia="仿宋" w:cs="仿宋"/>
          <w:spacing w:val="-61"/>
          <w:sz w:val="20"/>
          <w:szCs w:val="20"/>
        </w:rPr>
        <w:t xml:space="preserve"> </w:t>
      </w:r>
      <w:r>
        <w:rPr>
          <w:rFonts w:ascii="仿宋" w:hAnsi="仿宋" w:eastAsia="仿宋" w:cs="仿宋"/>
          <w:sz w:val="20"/>
          <w:szCs w:val="20"/>
          <w:u w:val="single" w:color="auto"/>
        </w:rPr>
        <w:t xml:space="preserve">               </w:t>
      </w:r>
    </w:p>
    <w:p w14:paraId="0985D7B9">
      <w:pPr>
        <w:spacing w:line="413" w:lineRule="auto"/>
        <w:rPr>
          <w:rFonts w:ascii="Arial"/>
          <w:sz w:val="21"/>
        </w:rPr>
      </w:pPr>
    </w:p>
    <w:p w14:paraId="6D2C5F4F">
      <w:pPr>
        <w:pStyle w:val="2"/>
        <w:tabs>
          <w:tab w:val="left" w:pos="1618"/>
        </w:tabs>
        <w:spacing w:before="66" w:line="220" w:lineRule="auto"/>
        <w:rPr>
          <w:sz w:val="20"/>
          <w:szCs w:val="20"/>
        </w:rPr>
      </w:pPr>
      <w:r>
        <w:rPr>
          <w:sz w:val="20"/>
          <w:szCs w:val="20"/>
          <w:u w:val="single" w:color="auto"/>
        </w:rPr>
        <w:tab/>
      </w:r>
      <w:r>
        <w:rPr>
          <w:spacing w:val="-14"/>
          <w:sz w:val="20"/>
          <w:szCs w:val="20"/>
        </w:rPr>
        <w:t xml:space="preserve"> </w:t>
      </w:r>
      <w:r>
        <w:rPr>
          <w:spacing w:val="8"/>
          <w:sz w:val="20"/>
          <w:szCs w:val="20"/>
        </w:rPr>
        <w:t>(中标人名称):</w:t>
      </w:r>
    </w:p>
    <w:p w14:paraId="059FA0AE">
      <w:pPr>
        <w:spacing w:line="443" w:lineRule="auto"/>
        <w:rPr>
          <w:rFonts w:ascii="Arial"/>
          <w:sz w:val="21"/>
        </w:rPr>
      </w:pPr>
    </w:p>
    <w:p w14:paraId="56F5B962">
      <w:pPr>
        <w:pStyle w:val="2"/>
        <w:spacing w:before="66" w:line="442" w:lineRule="auto"/>
        <w:ind w:right="156" w:firstLine="429"/>
        <w:rPr>
          <w:sz w:val="20"/>
          <w:szCs w:val="20"/>
        </w:rPr>
      </w:pPr>
      <w:r>
        <w:rPr>
          <w:spacing w:val="3"/>
          <w:sz w:val="20"/>
          <w:szCs w:val="20"/>
        </w:rPr>
        <w:t>你方于</w:t>
      </w:r>
      <w:r>
        <w:rPr>
          <w:spacing w:val="6"/>
          <w:sz w:val="20"/>
          <w:szCs w:val="20"/>
          <w:u w:val="single" w:color="auto"/>
        </w:rPr>
        <w:t xml:space="preserve">              </w:t>
      </w:r>
      <w:r>
        <w:rPr>
          <w:spacing w:val="43"/>
          <w:sz w:val="20"/>
          <w:szCs w:val="20"/>
        </w:rPr>
        <w:t xml:space="preserve"> </w:t>
      </w:r>
      <w:r>
        <w:rPr>
          <w:spacing w:val="3"/>
          <w:sz w:val="20"/>
          <w:szCs w:val="20"/>
        </w:rPr>
        <w:t>(投标日期)所递交的</w:t>
      </w:r>
      <w:r>
        <w:rPr>
          <w:spacing w:val="3"/>
          <w:sz w:val="20"/>
          <w:szCs w:val="20"/>
          <w:u w:val="single" w:color="auto"/>
        </w:rPr>
        <w:t xml:space="preserve">          </w:t>
      </w:r>
      <w:r>
        <w:rPr>
          <w:spacing w:val="3"/>
          <w:sz w:val="20"/>
          <w:szCs w:val="20"/>
        </w:rPr>
        <w:t xml:space="preserve"> (</w:t>
      </w:r>
      <w:r>
        <w:rPr>
          <w:spacing w:val="-36"/>
          <w:sz w:val="20"/>
          <w:szCs w:val="20"/>
        </w:rPr>
        <w:t xml:space="preserve"> </w:t>
      </w:r>
      <w:r>
        <w:rPr>
          <w:spacing w:val="3"/>
          <w:sz w:val="20"/>
          <w:szCs w:val="20"/>
        </w:rPr>
        <w:t>项 目</w:t>
      </w:r>
      <w:r>
        <w:rPr>
          <w:spacing w:val="-36"/>
          <w:sz w:val="20"/>
          <w:szCs w:val="20"/>
        </w:rPr>
        <w:t xml:space="preserve"> </w:t>
      </w:r>
      <w:r>
        <w:rPr>
          <w:spacing w:val="3"/>
          <w:sz w:val="20"/>
          <w:szCs w:val="20"/>
        </w:rPr>
        <w:t>名</w:t>
      </w:r>
      <w:r>
        <w:rPr>
          <w:spacing w:val="-40"/>
          <w:sz w:val="20"/>
          <w:szCs w:val="20"/>
        </w:rPr>
        <w:t xml:space="preserve"> </w:t>
      </w:r>
      <w:r>
        <w:rPr>
          <w:spacing w:val="3"/>
          <w:sz w:val="20"/>
          <w:szCs w:val="20"/>
        </w:rPr>
        <w:t>称</w:t>
      </w:r>
      <w:r>
        <w:rPr>
          <w:spacing w:val="-38"/>
          <w:sz w:val="20"/>
          <w:szCs w:val="20"/>
        </w:rPr>
        <w:t xml:space="preserve"> </w:t>
      </w:r>
      <w:r>
        <w:rPr>
          <w:spacing w:val="3"/>
          <w:sz w:val="20"/>
          <w:szCs w:val="20"/>
        </w:rPr>
        <w:t>)</w:t>
      </w:r>
      <w:r>
        <w:rPr>
          <w:spacing w:val="3"/>
          <w:sz w:val="20"/>
          <w:szCs w:val="20"/>
          <w:u w:val="single" w:color="auto"/>
        </w:rPr>
        <w:t xml:space="preserve">       </w:t>
      </w:r>
      <w:r>
        <w:rPr>
          <w:spacing w:val="3"/>
          <w:sz w:val="20"/>
          <w:szCs w:val="20"/>
        </w:rPr>
        <w:t xml:space="preserve"> (标段名称)</w:t>
      </w:r>
      <w:r>
        <w:rPr>
          <w:sz w:val="20"/>
          <w:szCs w:val="20"/>
        </w:rPr>
        <w:t xml:space="preserve"> </w:t>
      </w:r>
      <w:r>
        <w:rPr>
          <w:spacing w:val="8"/>
          <w:sz w:val="20"/>
          <w:szCs w:val="20"/>
        </w:rPr>
        <w:t>施工投标文件已被我方接受，被确定为中标人。</w:t>
      </w:r>
    </w:p>
    <w:p w14:paraId="2C1EDB8E">
      <w:pPr>
        <w:pStyle w:val="2"/>
        <w:spacing w:before="1" w:line="217" w:lineRule="auto"/>
        <w:ind w:left="429"/>
        <w:rPr>
          <w:sz w:val="20"/>
          <w:szCs w:val="20"/>
        </w:rPr>
      </w:pPr>
      <w:r>
        <w:rPr>
          <w:spacing w:val="-1"/>
          <w:sz w:val="20"/>
          <w:szCs w:val="20"/>
        </w:rPr>
        <w:t>中标价：</w:t>
      </w:r>
      <w:r>
        <w:rPr>
          <w:spacing w:val="-50"/>
          <w:sz w:val="20"/>
          <w:szCs w:val="20"/>
        </w:rPr>
        <w:t xml:space="preserve"> </w:t>
      </w:r>
      <w:r>
        <w:rPr>
          <w:spacing w:val="1"/>
          <w:sz w:val="20"/>
          <w:szCs w:val="20"/>
          <w:u w:val="single" w:color="auto"/>
        </w:rPr>
        <w:t xml:space="preserve">                          </w:t>
      </w:r>
      <w:r>
        <w:rPr>
          <w:spacing w:val="-67"/>
          <w:sz w:val="20"/>
          <w:szCs w:val="20"/>
        </w:rPr>
        <w:t xml:space="preserve"> </w:t>
      </w:r>
      <w:r>
        <w:rPr>
          <w:spacing w:val="-1"/>
          <w:sz w:val="20"/>
          <w:szCs w:val="20"/>
        </w:rPr>
        <w:t>元。</w:t>
      </w:r>
    </w:p>
    <w:p w14:paraId="487E9746">
      <w:pPr>
        <w:pStyle w:val="2"/>
        <w:spacing w:before="236" w:line="220" w:lineRule="auto"/>
        <w:ind w:left="429"/>
        <w:rPr>
          <w:sz w:val="20"/>
          <w:szCs w:val="20"/>
        </w:rPr>
      </w:pPr>
      <w:r>
        <w:rPr>
          <w:spacing w:val="2"/>
          <w:sz w:val="20"/>
          <w:szCs w:val="20"/>
        </w:rPr>
        <w:t>工  期：</w:t>
      </w:r>
      <w:r>
        <w:rPr>
          <w:spacing w:val="-60"/>
          <w:sz w:val="20"/>
          <w:szCs w:val="20"/>
        </w:rPr>
        <w:t xml:space="preserve"> </w:t>
      </w:r>
      <w:r>
        <w:rPr>
          <w:sz w:val="20"/>
          <w:szCs w:val="20"/>
          <w:u w:val="single" w:color="auto"/>
        </w:rPr>
        <w:t xml:space="preserve">                      </w:t>
      </w:r>
      <w:r>
        <w:rPr>
          <w:spacing w:val="-70"/>
          <w:sz w:val="20"/>
          <w:szCs w:val="20"/>
        </w:rPr>
        <w:t xml:space="preserve"> </w:t>
      </w:r>
      <w:r>
        <w:rPr>
          <w:spacing w:val="2"/>
          <w:sz w:val="20"/>
          <w:szCs w:val="20"/>
        </w:rPr>
        <w:t>日历天。</w:t>
      </w:r>
    </w:p>
    <w:p w14:paraId="0729C860">
      <w:pPr>
        <w:pStyle w:val="2"/>
        <w:spacing w:before="232" w:line="220" w:lineRule="auto"/>
        <w:ind w:left="429"/>
        <w:rPr>
          <w:sz w:val="20"/>
          <w:szCs w:val="20"/>
        </w:rPr>
      </w:pPr>
      <w:r>
        <w:rPr>
          <w:spacing w:val="-3"/>
          <w:sz w:val="20"/>
          <w:szCs w:val="20"/>
        </w:rPr>
        <w:t>工程质量：</w:t>
      </w:r>
      <w:r>
        <w:rPr>
          <w:spacing w:val="-3"/>
          <w:sz w:val="20"/>
          <w:szCs w:val="20"/>
          <w:u w:val="single" w:color="auto"/>
        </w:rPr>
        <w:t xml:space="preserve">                            </w:t>
      </w:r>
      <w:r>
        <w:rPr>
          <w:spacing w:val="-70"/>
          <w:sz w:val="20"/>
          <w:szCs w:val="20"/>
        </w:rPr>
        <w:t xml:space="preserve"> </w:t>
      </w:r>
      <w:r>
        <w:rPr>
          <w:spacing w:val="-3"/>
          <w:sz w:val="20"/>
          <w:szCs w:val="20"/>
        </w:rPr>
        <w:t>◎</w:t>
      </w:r>
    </w:p>
    <w:p w14:paraId="1D41A79C">
      <w:pPr>
        <w:pStyle w:val="2"/>
        <w:spacing w:before="231" w:line="219" w:lineRule="auto"/>
        <w:ind w:left="429"/>
        <w:rPr>
          <w:sz w:val="20"/>
          <w:szCs w:val="20"/>
        </w:rPr>
      </w:pPr>
      <w:r>
        <w:rPr>
          <w:sz w:val="20"/>
          <w:szCs w:val="20"/>
        </w:rPr>
        <w:t>项目经理：</w:t>
      </w:r>
      <w:r>
        <w:rPr>
          <w:spacing w:val="-32"/>
          <w:sz w:val="20"/>
          <w:szCs w:val="20"/>
        </w:rPr>
        <w:t xml:space="preserve"> </w:t>
      </w:r>
      <w:r>
        <w:rPr>
          <w:spacing w:val="5"/>
          <w:sz w:val="20"/>
          <w:szCs w:val="20"/>
          <w:u w:val="single" w:color="auto"/>
        </w:rPr>
        <w:t xml:space="preserve">               </w:t>
      </w:r>
      <w:r>
        <w:rPr>
          <w:sz w:val="20"/>
          <w:szCs w:val="20"/>
        </w:rPr>
        <w:t xml:space="preserve"> (姓名)。</w:t>
      </w:r>
    </w:p>
    <w:p w14:paraId="628CBE00">
      <w:pPr>
        <w:spacing w:line="241" w:lineRule="auto"/>
        <w:rPr>
          <w:rFonts w:ascii="Arial"/>
          <w:sz w:val="21"/>
        </w:rPr>
      </w:pPr>
    </w:p>
    <w:p w14:paraId="6C7437C1">
      <w:pPr>
        <w:spacing w:line="242" w:lineRule="auto"/>
        <w:rPr>
          <w:rFonts w:ascii="Arial"/>
          <w:sz w:val="21"/>
        </w:rPr>
      </w:pPr>
    </w:p>
    <w:p w14:paraId="793207B3">
      <w:pPr>
        <w:pStyle w:val="2"/>
        <w:spacing w:before="66" w:line="442" w:lineRule="auto"/>
        <w:ind w:firstLine="429"/>
        <w:rPr>
          <w:sz w:val="20"/>
          <w:szCs w:val="20"/>
        </w:rPr>
      </w:pPr>
      <w:r>
        <w:rPr>
          <w:spacing w:val="9"/>
          <w:sz w:val="20"/>
          <w:szCs w:val="20"/>
        </w:rPr>
        <w:t>请你方在接到本通知书后的</w:t>
      </w:r>
      <w:r>
        <w:rPr>
          <w:spacing w:val="-70"/>
          <w:sz w:val="20"/>
          <w:szCs w:val="20"/>
        </w:rPr>
        <w:t xml:space="preserve"> </w:t>
      </w:r>
      <w:r>
        <w:rPr>
          <w:spacing w:val="6"/>
          <w:sz w:val="20"/>
          <w:szCs w:val="20"/>
          <w:u w:val="single" w:color="auto"/>
        </w:rPr>
        <w:t xml:space="preserve">      </w:t>
      </w:r>
      <w:r>
        <w:rPr>
          <w:spacing w:val="-76"/>
          <w:sz w:val="20"/>
          <w:szCs w:val="20"/>
        </w:rPr>
        <w:t xml:space="preserve"> </w:t>
      </w:r>
      <w:r>
        <w:rPr>
          <w:spacing w:val="9"/>
          <w:sz w:val="20"/>
          <w:szCs w:val="20"/>
        </w:rPr>
        <w:t>日内到</w:t>
      </w:r>
      <w:r>
        <w:rPr>
          <w:sz w:val="20"/>
          <w:szCs w:val="20"/>
          <w:u w:val="single" w:color="auto"/>
        </w:rPr>
        <w:t xml:space="preserve">                           </w:t>
      </w:r>
      <w:r>
        <w:rPr>
          <w:spacing w:val="-38"/>
          <w:sz w:val="20"/>
          <w:szCs w:val="20"/>
        </w:rPr>
        <w:t xml:space="preserve"> </w:t>
      </w:r>
      <w:r>
        <w:rPr>
          <w:spacing w:val="9"/>
          <w:sz w:val="20"/>
          <w:szCs w:val="20"/>
        </w:rPr>
        <w:t>(指定地点)与我方签</w:t>
      </w:r>
      <w:r>
        <w:rPr>
          <w:sz w:val="20"/>
          <w:szCs w:val="20"/>
        </w:rPr>
        <w:t xml:space="preserve">  </w:t>
      </w:r>
      <w:r>
        <w:rPr>
          <w:spacing w:val="11"/>
          <w:sz w:val="20"/>
          <w:szCs w:val="20"/>
        </w:rPr>
        <w:t>订施工承包合同，在此之前按招标文件第二章“投标人须知”第7.3款规定向我方提交履约担保。</w:t>
      </w:r>
    </w:p>
    <w:p w14:paraId="15E323D6">
      <w:pPr>
        <w:pStyle w:val="2"/>
        <w:spacing w:line="216" w:lineRule="auto"/>
        <w:ind w:left="429"/>
        <w:rPr>
          <w:sz w:val="20"/>
          <w:szCs w:val="20"/>
        </w:rPr>
      </w:pPr>
      <w:r>
        <w:rPr>
          <w:spacing w:val="15"/>
          <w:sz w:val="20"/>
          <w:szCs w:val="20"/>
        </w:rPr>
        <w:t>随附的投标文件澄清、说明、补正事项纪要(如果有),是本中标通知书的组成部分。</w:t>
      </w:r>
    </w:p>
    <w:p w14:paraId="284B56DC">
      <w:pPr>
        <w:pStyle w:val="2"/>
        <w:spacing w:before="249" w:line="219" w:lineRule="auto"/>
        <w:ind w:left="429"/>
        <w:rPr>
          <w:sz w:val="20"/>
          <w:szCs w:val="20"/>
        </w:rPr>
      </w:pPr>
      <w:r>
        <w:rPr>
          <w:spacing w:val="2"/>
          <w:sz w:val="20"/>
          <w:szCs w:val="20"/>
        </w:rPr>
        <w:t>特此通知。</w:t>
      </w:r>
    </w:p>
    <w:p w14:paraId="7DD31994">
      <w:pPr>
        <w:pStyle w:val="2"/>
        <w:spacing w:before="242" w:line="219" w:lineRule="auto"/>
        <w:ind w:left="429"/>
        <w:rPr>
          <w:sz w:val="20"/>
          <w:szCs w:val="20"/>
        </w:rPr>
      </w:pPr>
      <w:r>
        <w:rPr>
          <w:spacing w:val="10"/>
          <w:sz w:val="20"/>
          <w:szCs w:val="20"/>
        </w:rPr>
        <w:t>附：澄清、说明、补正事项纪要</w:t>
      </w:r>
    </w:p>
    <w:p w14:paraId="45A38F47">
      <w:pPr>
        <w:spacing w:line="248" w:lineRule="auto"/>
        <w:rPr>
          <w:rFonts w:ascii="Arial"/>
          <w:sz w:val="21"/>
        </w:rPr>
      </w:pPr>
    </w:p>
    <w:p w14:paraId="0439E911">
      <w:pPr>
        <w:spacing w:line="248" w:lineRule="auto"/>
        <w:rPr>
          <w:rFonts w:ascii="Arial"/>
          <w:sz w:val="21"/>
        </w:rPr>
      </w:pPr>
    </w:p>
    <w:p w14:paraId="2C0FA8E3">
      <w:pPr>
        <w:spacing w:line="248" w:lineRule="auto"/>
        <w:rPr>
          <w:rFonts w:ascii="Arial"/>
          <w:sz w:val="21"/>
        </w:rPr>
      </w:pPr>
    </w:p>
    <w:p w14:paraId="7210FCC3">
      <w:pPr>
        <w:spacing w:line="248" w:lineRule="auto"/>
        <w:rPr>
          <w:rFonts w:ascii="Arial"/>
          <w:sz w:val="21"/>
        </w:rPr>
      </w:pPr>
    </w:p>
    <w:p w14:paraId="3F6D042D">
      <w:pPr>
        <w:pStyle w:val="2"/>
        <w:spacing w:before="65" w:line="229" w:lineRule="auto"/>
        <w:ind w:left="4819"/>
        <w:rPr>
          <w:sz w:val="20"/>
          <w:szCs w:val="20"/>
        </w:rPr>
      </w:pPr>
      <w:r>
        <w:rPr>
          <w:spacing w:val="6"/>
          <w:sz w:val="20"/>
          <w:szCs w:val="20"/>
        </w:rPr>
        <w:t>招标人：</w:t>
      </w:r>
      <w:r>
        <w:rPr>
          <w:spacing w:val="-42"/>
          <w:sz w:val="20"/>
          <w:szCs w:val="20"/>
        </w:rPr>
        <w:t xml:space="preserve"> </w:t>
      </w:r>
      <w:r>
        <w:rPr>
          <w:spacing w:val="6"/>
          <w:sz w:val="20"/>
          <w:szCs w:val="20"/>
          <w:u w:val="single" w:color="auto"/>
        </w:rPr>
        <w:t xml:space="preserve">                  </w:t>
      </w:r>
      <w:r>
        <w:rPr>
          <w:spacing w:val="6"/>
          <w:sz w:val="20"/>
          <w:szCs w:val="20"/>
        </w:rPr>
        <w:t xml:space="preserve"> (盖单位章)</w:t>
      </w:r>
    </w:p>
    <w:p w14:paraId="7B2FCB4D">
      <w:pPr>
        <w:pStyle w:val="2"/>
        <w:tabs>
          <w:tab w:val="left" w:pos="7029"/>
        </w:tabs>
        <w:spacing w:before="211" w:line="377" w:lineRule="auto"/>
        <w:ind w:left="6179" w:right="244" w:hanging="1360"/>
        <w:rPr>
          <w:rFonts w:ascii="黑体" w:hAnsi="黑体" w:eastAsia="黑体" w:cs="黑体"/>
          <w:sz w:val="19"/>
          <w:szCs w:val="19"/>
        </w:rPr>
      </w:pPr>
      <w:r>
        <w:rPr>
          <w:spacing w:val="4"/>
          <w:sz w:val="20"/>
          <w:szCs w:val="20"/>
        </w:rPr>
        <w:t>法定代表人：</w:t>
      </w:r>
      <w:r>
        <w:rPr>
          <w:spacing w:val="-40"/>
          <w:sz w:val="20"/>
          <w:szCs w:val="20"/>
        </w:rPr>
        <w:t xml:space="preserve"> </w:t>
      </w:r>
      <w:r>
        <w:rPr>
          <w:sz w:val="20"/>
          <w:szCs w:val="20"/>
          <w:u w:val="single" w:color="auto"/>
        </w:rPr>
        <w:t xml:space="preserve">                   </w:t>
      </w:r>
      <w:r>
        <w:rPr>
          <w:spacing w:val="4"/>
          <w:sz w:val="20"/>
          <w:szCs w:val="20"/>
        </w:rPr>
        <w:t xml:space="preserve"> </w:t>
      </w:r>
      <w:r>
        <w:rPr>
          <w:spacing w:val="4"/>
          <w:position w:val="1"/>
          <w:sz w:val="21"/>
          <w:szCs w:val="21"/>
        </w:rPr>
        <w:t>(签字)</w:t>
      </w:r>
      <w:r>
        <w:rPr>
          <w:position w:val="1"/>
          <w:sz w:val="21"/>
          <w:szCs w:val="21"/>
        </w:rPr>
        <w:t xml:space="preserve"> </w:t>
      </w:r>
      <w:r>
        <w:rPr>
          <w:sz w:val="24"/>
          <w:szCs w:val="24"/>
          <w:u w:val="single" w:color="auto"/>
        </w:rPr>
        <w:tab/>
      </w:r>
      <w:r>
        <w:rPr>
          <w:spacing w:val="-36"/>
          <w:w w:val="99"/>
          <w:sz w:val="24"/>
          <w:szCs w:val="24"/>
        </w:rPr>
        <w:t>年</w:t>
      </w:r>
      <w:r>
        <w:rPr>
          <w:spacing w:val="20"/>
          <w:sz w:val="24"/>
          <w:szCs w:val="24"/>
          <w:u w:val="single" w:color="auto"/>
        </w:rPr>
        <w:t xml:space="preserve">    </w:t>
      </w:r>
      <w:r>
        <w:rPr>
          <w:spacing w:val="-36"/>
          <w:w w:val="99"/>
          <w:sz w:val="24"/>
          <w:szCs w:val="24"/>
        </w:rPr>
        <w:t>月</w:t>
      </w:r>
      <w:r>
        <w:rPr>
          <w:spacing w:val="28"/>
          <w:sz w:val="24"/>
          <w:szCs w:val="24"/>
          <w:u w:val="single" w:color="auto"/>
        </w:rPr>
        <w:t xml:space="preserve">    </w:t>
      </w:r>
      <w:r>
        <w:rPr>
          <w:rFonts w:ascii="黑体" w:hAnsi="黑体" w:eastAsia="黑体" w:cs="黑体"/>
          <w:spacing w:val="-36"/>
          <w:w w:val="99"/>
          <w:sz w:val="19"/>
          <w:szCs w:val="19"/>
        </w:rPr>
        <w:t>日</w:t>
      </w:r>
    </w:p>
    <w:p w14:paraId="362323AE">
      <w:pPr>
        <w:spacing w:line="455" w:lineRule="auto"/>
        <w:rPr>
          <w:rFonts w:ascii="Arial"/>
          <w:sz w:val="21"/>
        </w:rPr>
      </w:pPr>
    </w:p>
    <w:p w14:paraId="7D571F7F">
      <w:pPr>
        <w:pStyle w:val="2"/>
        <w:spacing w:before="66" w:line="219" w:lineRule="auto"/>
        <w:rPr>
          <w:sz w:val="20"/>
          <w:szCs w:val="20"/>
        </w:rPr>
      </w:pPr>
      <w:r>
        <w:rPr>
          <w:spacing w:val="9"/>
          <w:sz w:val="20"/>
          <w:szCs w:val="20"/>
        </w:rPr>
        <w:t>备注：行政主管部门对中标通知书有备案管理程序的，从其</w:t>
      </w:r>
      <w:r>
        <w:rPr>
          <w:spacing w:val="8"/>
          <w:sz w:val="20"/>
          <w:szCs w:val="20"/>
        </w:rPr>
        <w:t>规定。</w:t>
      </w:r>
    </w:p>
    <w:p w14:paraId="166AAF5B">
      <w:pPr>
        <w:spacing w:line="219" w:lineRule="auto"/>
        <w:rPr>
          <w:sz w:val="20"/>
          <w:szCs w:val="20"/>
        </w:rPr>
        <w:sectPr>
          <w:footerReference r:id="rId44" w:type="default"/>
          <w:pgSz w:w="11910" w:h="16840"/>
          <w:pgMar w:top="1431" w:right="1459" w:bottom="1029" w:left="1450" w:header="0" w:footer="849" w:gutter="0"/>
          <w:cols w:space="720" w:num="1"/>
        </w:sectPr>
      </w:pPr>
    </w:p>
    <w:p w14:paraId="166DDDE3">
      <w:pPr>
        <w:spacing w:line="254" w:lineRule="auto"/>
        <w:rPr>
          <w:rFonts w:ascii="Arial"/>
          <w:sz w:val="21"/>
        </w:rPr>
      </w:pPr>
    </w:p>
    <w:p w14:paraId="233BE44A">
      <w:pPr>
        <w:spacing w:line="254" w:lineRule="auto"/>
        <w:rPr>
          <w:rFonts w:ascii="Arial"/>
          <w:sz w:val="21"/>
        </w:rPr>
      </w:pPr>
    </w:p>
    <w:p w14:paraId="67393A2C">
      <w:pPr>
        <w:spacing w:before="65" w:line="222" w:lineRule="auto"/>
        <w:ind w:left="20"/>
        <w:outlineLvl w:val="1"/>
        <w:rPr>
          <w:rFonts w:ascii="黑体" w:hAnsi="黑体" w:eastAsia="黑体" w:cs="黑体"/>
          <w:sz w:val="20"/>
          <w:szCs w:val="20"/>
        </w:rPr>
      </w:pPr>
      <w:bookmarkStart w:id="107" w:name="bookmark83"/>
      <w:bookmarkEnd w:id="107"/>
      <w:r>
        <w:rPr>
          <w:rFonts w:ascii="黑体" w:hAnsi="黑体" w:eastAsia="黑体" w:cs="黑体"/>
          <w:spacing w:val="39"/>
          <w:sz w:val="20"/>
          <w:szCs w:val="20"/>
        </w:rPr>
        <w:t>附表九：中标结果通知书</w:t>
      </w:r>
    </w:p>
    <w:p w14:paraId="330B16B7">
      <w:pPr>
        <w:spacing w:line="259" w:lineRule="auto"/>
        <w:rPr>
          <w:rFonts w:ascii="Arial"/>
          <w:sz w:val="21"/>
        </w:rPr>
      </w:pPr>
    </w:p>
    <w:p w14:paraId="3FA70E46">
      <w:pPr>
        <w:spacing w:line="259" w:lineRule="auto"/>
        <w:rPr>
          <w:rFonts w:ascii="Arial"/>
          <w:sz w:val="21"/>
        </w:rPr>
      </w:pPr>
    </w:p>
    <w:p w14:paraId="5ECEF9D2">
      <w:pPr>
        <w:spacing w:before="91" w:line="222" w:lineRule="auto"/>
        <w:ind w:left="3459"/>
        <w:rPr>
          <w:rFonts w:ascii="黑体" w:hAnsi="黑体" w:eastAsia="黑体" w:cs="黑体"/>
          <w:sz w:val="28"/>
          <w:szCs w:val="28"/>
        </w:rPr>
      </w:pPr>
      <w:bookmarkStart w:id="108" w:name="bookmark242"/>
      <w:bookmarkEnd w:id="108"/>
      <w:r>
        <w:rPr>
          <w:rFonts w:ascii="黑体" w:hAnsi="黑体" w:eastAsia="黑体" w:cs="黑体"/>
          <w:spacing w:val="5"/>
          <w:sz w:val="28"/>
          <w:szCs w:val="28"/>
        </w:rPr>
        <w:t>中标结果通知书</w:t>
      </w:r>
    </w:p>
    <w:p w14:paraId="6771CCB5">
      <w:pPr>
        <w:spacing w:line="383" w:lineRule="auto"/>
        <w:rPr>
          <w:rFonts w:ascii="Arial"/>
          <w:sz w:val="21"/>
        </w:rPr>
      </w:pPr>
    </w:p>
    <w:p w14:paraId="5B88476A">
      <w:pPr>
        <w:pStyle w:val="2"/>
        <w:tabs>
          <w:tab w:val="left" w:pos="2328"/>
        </w:tabs>
        <w:spacing w:before="65" w:line="220" w:lineRule="auto"/>
        <w:ind w:left="10"/>
        <w:rPr>
          <w:sz w:val="20"/>
          <w:szCs w:val="20"/>
        </w:rPr>
      </w:pPr>
      <w:r>
        <w:rPr>
          <w:sz w:val="20"/>
          <w:szCs w:val="20"/>
          <w:u w:val="single" w:color="auto"/>
        </w:rPr>
        <w:tab/>
      </w:r>
      <w:r>
        <w:rPr>
          <w:spacing w:val="-2"/>
          <w:sz w:val="20"/>
          <w:szCs w:val="20"/>
        </w:rPr>
        <w:t xml:space="preserve"> </w:t>
      </w:r>
      <w:r>
        <w:rPr>
          <w:spacing w:val="8"/>
          <w:sz w:val="20"/>
          <w:szCs w:val="20"/>
        </w:rPr>
        <w:t>(未中标人名称):</w:t>
      </w:r>
    </w:p>
    <w:p w14:paraId="25E1B219">
      <w:pPr>
        <w:spacing w:line="466" w:lineRule="auto"/>
        <w:rPr>
          <w:rFonts w:ascii="Arial"/>
          <w:sz w:val="21"/>
        </w:rPr>
      </w:pPr>
    </w:p>
    <w:p w14:paraId="41D5FDC9">
      <w:pPr>
        <w:pStyle w:val="2"/>
        <w:spacing w:before="65" w:line="439" w:lineRule="auto"/>
        <w:ind w:firstLine="429"/>
        <w:jc w:val="both"/>
        <w:rPr>
          <w:sz w:val="20"/>
          <w:szCs w:val="20"/>
        </w:rPr>
      </w:pPr>
      <w:r>
        <w:drawing>
          <wp:anchor distT="0" distB="0" distL="0" distR="0" simplePos="0" relativeHeight="251665408" behindDoc="1" locked="0" layoutInCell="1" allowOverlap="1">
            <wp:simplePos x="0" y="0"/>
            <wp:positionH relativeFrom="column">
              <wp:posOffset>3295015</wp:posOffset>
            </wp:positionH>
            <wp:positionV relativeFrom="paragraph">
              <wp:posOffset>172720</wp:posOffset>
            </wp:positionV>
            <wp:extent cx="1562100" cy="6350"/>
            <wp:effectExtent l="0" t="0" r="0" b="0"/>
            <wp:wrapNone/>
            <wp:docPr id="18" name="IM 18"/>
            <wp:cNvGraphicFramePr/>
            <a:graphic xmlns:a="http://schemas.openxmlformats.org/drawingml/2006/main">
              <a:graphicData uri="http://schemas.openxmlformats.org/drawingml/2006/picture">
                <pic:pic xmlns:pic="http://schemas.openxmlformats.org/drawingml/2006/picture">
                  <pic:nvPicPr>
                    <pic:cNvPr id="18" name="IM 18"/>
                    <pic:cNvPicPr/>
                  </pic:nvPicPr>
                  <pic:blipFill>
                    <a:blip r:embed="rId416"/>
                    <a:stretch>
                      <a:fillRect/>
                    </a:stretch>
                  </pic:blipFill>
                  <pic:spPr>
                    <a:xfrm>
                      <a:off x="0" y="0"/>
                      <a:ext cx="1562106" cy="6350"/>
                    </a:xfrm>
                    <a:prstGeom prst="rect">
                      <a:avLst/>
                    </a:prstGeom>
                  </pic:spPr>
                </pic:pic>
              </a:graphicData>
            </a:graphic>
          </wp:anchor>
        </w:drawing>
      </w:r>
      <w:r>
        <w:rPr>
          <w:spacing w:val="13"/>
          <w:sz w:val="20"/>
          <w:szCs w:val="20"/>
        </w:rPr>
        <w:t>我方已接受</w:t>
      </w:r>
      <w:r>
        <w:rPr>
          <w:spacing w:val="13"/>
          <w:sz w:val="20"/>
          <w:szCs w:val="20"/>
          <w:u w:val="single" w:color="auto"/>
        </w:rPr>
        <w:t xml:space="preserve">                   </w:t>
      </w:r>
      <w:r>
        <w:rPr>
          <w:spacing w:val="-40"/>
          <w:sz w:val="20"/>
          <w:szCs w:val="20"/>
        </w:rPr>
        <w:t xml:space="preserve"> </w:t>
      </w:r>
      <w:r>
        <w:rPr>
          <w:spacing w:val="13"/>
          <w:sz w:val="20"/>
          <w:szCs w:val="20"/>
        </w:rPr>
        <w:t xml:space="preserve">(中标人名称)于            </w:t>
      </w:r>
      <w:r>
        <w:rPr>
          <w:spacing w:val="13"/>
          <w:sz w:val="20"/>
          <w:szCs w:val="20"/>
          <w:u w:val="single" w:color="auto"/>
        </w:rPr>
        <w:t xml:space="preserve">   </w:t>
      </w:r>
      <w:r>
        <w:rPr>
          <w:spacing w:val="12"/>
          <w:sz w:val="20"/>
          <w:szCs w:val="20"/>
          <w:u w:val="single" w:color="auto"/>
        </w:rPr>
        <w:t xml:space="preserve">       </w:t>
      </w:r>
      <w:r>
        <w:rPr>
          <w:spacing w:val="-15"/>
          <w:sz w:val="20"/>
          <w:szCs w:val="20"/>
        </w:rPr>
        <w:t xml:space="preserve"> </w:t>
      </w:r>
      <w:r>
        <w:rPr>
          <w:spacing w:val="12"/>
          <w:sz w:val="20"/>
          <w:szCs w:val="20"/>
        </w:rPr>
        <w:t>(投标日期)</w:t>
      </w:r>
      <w:r>
        <w:rPr>
          <w:sz w:val="20"/>
          <w:szCs w:val="20"/>
        </w:rPr>
        <w:t xml:space="preserve">  </w:t>
      </w:r>
      <w:r>
        <w:rPr>
          <w:spacing w:val="15"/>
          <w:sz w:val="20"/>
          <w:szCs w:val="20"/>
        </w:rPr>
        <w:t>所递交的</w:t>
      </w:r>
      <w:r>
        <w:rPr>
          <w:spacing w:val="15"/>
          <w:sz w:val="20"/>
          <w:szCs w:val="20"/>
          <w:u w:val="single" w:color="auto"/>
        </w:rPr>
        <w:t xml:space="preserve">          </w:t>
      </w:r>
      <w:r>
        <w:rPr>
          <w:spacing w:val="15"/>
          <w:sz w:val="20"/>
          <w:szCs w:val="20"/>
        </w:rPr>
        <w:t xml:space="preserve"> (项目名称)</w:t>
      </w:r>
      <w:r>
        <w:rPr>
          <w:spacing w:val="2"/>
          <w:sz w:val="20"/>
          <w:szCs w:val="20"/>
          <w:u w:val="single" w:color="auto"/>
        </w:rPr>
        <w:t xml:space="preserve">       </w:t>
      </w:r>
      <w:r>
        <w:rPr>
          <w:spacing w:val="-27"/>
          <w:sz w:val="20"/>
          <w:szCs w:val="20"/>
        </w:rPr>
        <w:t xml:space="preserve"> </w:t>
      </w:r>
      <w:r>
        <w:rPr>
          <w:spacing w:val="15"/>
          <w:sz w:val="20"/>
          <w:szCs w:val="20"/>
        </w:rPr>
        <w:t>(标段名称)施工投标文件，确定</w:t>
      </w:r>
      <w:r>
        <w:rPr>
          <w:spacing w:val="15"/>
          <w:sz w:val="20"/>
          <w:szCs w:val="20"/>
          <w:u w:val="single" w:color="auto"/>
        </w:rPr>
        <w:t xml:space="preserve">         </w:t>
      </w:r>
      <w:r>
        <w:rPr>
          <w:spacing w:val="15"/>
          <w:sz w:val="20"/>
          <w:szCs w:val="20"/>
        </w:rPr>
        <w:t xml:space="preserve"> (中标人</w:t>
      </w:r>
      <w:r>
        <w:rPr>
          <w:sz w:val="20"/>
          <w:szCs w:val="20"/>
        </w:rPr>
        <w:t xml:space="preserve"> </w:t>
      </w:r>
      <w:r>
        <w:rPr>
          <w:spacing w:val="18"/>
          <w:sz w:val="20"/>
          <w:szCs w:val="20"/>
        </w:rPr>
        <w:t>名称)为中标人。</w:t>
      </w:r>
    </w:p>
    <w:p w14:paraId="25FC9790">
      <w:pPr>
        <w:pStyle w:val="2"/>
        <w:spacing w:before="280" w:line="219" w:lineRule="auto"/>
        <w:ind w:left="429"/>
        <w:rPr>
          <w:sz w:val="20"/>
          <w:szCs w:val="20"/>
        </w:rPr>
      </w:pPr>
      <w:r>
        <w:rPr>
          <w:spacing w:val="9"/>
          <w:sz w:val="20"/>
          <w:szCs w:val="20"/>
        </w:rPr>
        <w:t>感谢你单位对我方工作的大力支持!</w:t>
      </w:r>
    </w:p>
    <w:p w14:paraId="2FF0F088">
      <w:pPr>
        <w:spacing w:line="249" w:lineRule="auto"/>
        <w:rPr>
          <w:rFonts w:ascii="Arial"/>
          <w:sz w:val="21"/>
        </w:rPr>
      </w:pPr>
    </w:p>
    <w:p w14:paraId="721777AD">
      <w:pPr>
        <w:spacing w:line="250" w:lineRule="auto"/>
        <w:rPr>
          <w:rFonts w:ascii="Arial"/>
          <w:sz w:val="21"/>
        </w:rPr>
      </w:pPr>
    </w:p>
    <w:p w14:paraId="037F6935">
      <w:pPr>
        <w:spacing w:line="250" w:lineRule="auto"/>
        <w:rPr>
          <w:rFonts w:ascii="Arial"/>
          <w:sz w:val="21"/>
        </w:rPr>
      </w:pPr>
    </w:p>
    <w:p w14:paraId="2FAE9418">
      <w:pPr>
        <w:spacing w:line="250" w:lineRule="auto"/>
        <w:rPr>
          <w:rFonts w:ascii="Arial"/>
          <w:sz w:val="21"/>
        </w:rPr>
      </w:pPr>
    </w:p>
    <w:p w14:paraId="7A69A909">
      <w:pPr>
        <w:spacing w:line="250" w:lineRule="auto"/>
        <w:rPr>
          <w:rFonts w:ascii="Arial"/>
          <w:sz w:val="21"/>
        </w:rPr>
      </w:pPr>
    </w:p>
    <w:p w14:paraId="298DCBE0">
      <w:pPr>
        <w:pStyle w:val="2"/>
        <w:spacing w:before="66" w:line="227" w:lineRule="auto"/>
        <w:ind w:left="5129"/>
        <w:rPr>
          <w:sz w:val="20"/>
          <w:szCs w:val="20"/>
        </w:rPr>
      </w:pPr>
      <w:r>
        <w:rPr>
          <w:spacing w:val="9"/>
          <w:sz w:val="20"/>
          <w:szCs w:val="20"/>
        </w:rPr>
        <w:t>招标人：</w:t>
      </w:r>
      <w:r>
        <w:rPr>
          <w:spacing w:val="-78"/>
          <w:sz w:val="20"/>
          <w:szCs w:val="20"/>
        </w:rPr>
        <w:t xml:space="preserve"> </w:t>
      </w:r>
      <w:r>
        <w:rPr>
          <w:spacing w:val="1"/>
          <w:sz w:val="20"/>
          <w:szCs w:val="20"/>
          <w:u w:val="single" w:color="auto"/>
        </w:rPr>
        <w:t xml:space="preserve">                </w:t>
      </w:r>
      <w:r>
        <w:rPr>
          <w:spacing w:val="-26"/>
          <w:sz w:val="20"/>
          <w:szCs w:val="20"/>
        </w:rPr>
        <w:t xml:space="preserve"> </w:t>
      </w:r>
      <w:r>
        <w:rPr>
          <w:spacing w:val="9"/>
          <w:sz w:val="20"/>
          <w:szCs w:val="20"/>
        </w:rPr>
        <w:t>(盖单位章)</w:t>
      </w:r>
    </w:p>
    <w:p w14:paraId="27B0DF57">
      <w:pPr>
        <w:pStyle w:val="2"/>
        <w:tabs>
          <w:tab w:val="left" w:pos="6599"/>
        </w:tabs>
        <w:spacing w:before="233" w:line="442" w:lineRule="auto"/>
        <w:ind w:left="5868" w:right="204" w:hanging="739"/>
        <w:rPr>
          <w:sz w:val="20"/>
          <w:szCs w:val="20"/>
        </w:rPr>
      </w:pPr>
      <w:r>
        <w:rPr>
          <w:spacing w:val="7"/>
          <w:sz w:val="20"/>
          <w:szCs w:val="20"/>
        </w:rPr>
        <w:t>法定代表人：</w:t>
      </w:r>
      <w:r>
        <w:rPr>
          <w:spacing w:val="-68"/>
          <w:sz w:val="20"/>
          <w:szCs w:val="20"/>
        </w:rPr>
        <w:t xml:space="preserve"> </w:t>
      </w:r>
      <w:r>
        <w:rPr>
          <w:spacing w:val="2"/>
          <w:sz w:val="20"/>
          <w:szCs w:val="20"/>
          <w:u w:val="single" w:color="auto"/>
        </w:rPr>
        <w:t xml:space="preserve">               </w:t>
      </w:r>
      <w:r>
        <w:rPr>
          <w:spacing w:val="70"/>
          <w:sz w:val="20"/>
          <w:szCs w:val="20"/>
        </w:rPr>
        <w:t xml:space="preserve"> </w:t>
      </w:r>
      <w:r>
        <w:rPr>
          <w:spacing w:val="7"/>
          <w:sz w:val="20"/>
          <w:szCs w:val="20"/>
        </w:rPr>
        <w:t>(签字)</w:t>
      </w:r>
      <w:r>
        <w:rPr>
          <w:sz w:val="20"/>
          <w:szCs w:val="20"/>
        </w:rPr>
        <w:t xml:space="preserve"> </w:t>
      </w:r>
      <w:r>
        <w:rPr>
          <w:position w:val="-1"/>
          <w:sz w:val="20"/>
          <w:szCs w:val="20"/>
          <w:u w:val="single" w:color="auto"/>
        </w:rPr>
        <w:tab/>
      </w:r>
      <w:r>
        <w:rPr>
          <w:spacing w:val="-5"/>
          <w:w w:val="63"/>
          <w:position w:val="-1"/>
          <w:sz w:val="20"/>
          <w:szCs w:val="20"/>
        </w:rPr>
        <w:t>年_</w:t>
      </w:r>
      <w:r>
        <w:rPr>
          <w:spacing w:val="4"/>
          <w:position w:val="-1"/>
          <w:sz w:val="20"/>
          <w:szCs w:val="20"/>
          <w:u w:val="single" w:color="auto"/>
        </w:rPr>
        <w:t xml:space="preserve">       </w:t>
      </w:r>
      <w:r>
        <w:rPr>
          <w:spacing w:val="-5"/>
          <w:w w:val="63"/>
          <w:sz w:val="20"/>
          <w:szCs w:val="20"/>
        </w:rPr>
        <w:t>_月_</w:t>
      </w:r>
      <w:r>
        <w:rPr>
          <w:spacing w:val="-89"/>
          <w:sz w:val="20"/>
          <w:szCs w:val="20"/>
        </w:rPr>
        <w:t xml:space="preserve"> </w:t>
      </w:r>
      <w:r>
        <w:rPr>
          <w:spacing w:val="5"/>
          <w:sz w:val="20"/>
          <w:szCs w:val="20"/>
          <w:u w:val="single" w:color="auto"/>
        </w:rPr>
        <w:t xml:space="preserve">       </w:t>
      </w:r>
      <w:r>
        <w:rPr>
          <w:spacing w:val="-85"/>
          <w:sz w:val="20"/>
          <w:szCs w:val="20"/>
        </w:rPr>
        <w:t xml:space="preserve"> </w:t>
      </w:r>
      <w:r>
        <w:rPr>
          <w:spacing w:val="4"/>
          <w:position w:val="1"/>
          <w:sz w:val="20"/>
          <w:szCs w:val="20"/>
        </w:rPr>
        <w:t>日</w:t>
      </w:r>
    </w:p>
    <w:p w14:paraId="2387086F">
      <w:pPr>
        <w:spacing w:line="442" w:lineRule="auto"/>
        <w:rPr>
          <w:sz w:val="20"/>
          <w:szCs w:val="20"/>
        </w:rPr>
        <w:sectPr>
          <w:footerReference r:id="rId45" w:type="default"/>
          <w:pgSz w:w="11910" w:h="16840"/>
          <w:pgMar w:top="1431" w:right="1511" w:bottom="1061" w:left="1460" w:header="0" w:footer="802" w:gutter="0"/>
          <w:cols w:space="720" w:num="1"/>
        </w:sectPr>
      </w:pPr>
    </w:p>
    <w:p w14:paraId="5E7CE4D6">
      <w:pPr>
        <w:spacing w:line="439" w:lineRule="auto"/>
        <w:rPr>
          <w:rFonts w:ascii="Arial"/>
          <w:sz w:val="21"/>
        </w:rPr>
      </w:pPr>
    </w:p>
    <w:p w14:paraId="3E7C137A">
      <w:pPr>
        <w:spacing w:before="81" w:line="222" w:lineRule="auto"/>
        <w:ind w:left="3"/>
        <w:outlineLvl w:val="1"/>
        <w:rPr>
          <w:rFonts w:ascii="黑体" w:hAnsi="黑体" w:eastAsia="黑体" w:cs="黑体"/>
          <w:sz w:val="25"/>
          <w:szCs w:val="25"/>
        </w:rPr>
      </w:pPr>
      <w:bookmarkStart w:id="109" w:name="bookmark84"/>
      <w:bookmarkEnd w:id="109"/>
      <w:bookmarkStart w:id="110" w:name="bookmark243"/>
      <w:bookmarkEnd w:id="110"/>
      <w:r>
        <w:rPr>
          <w:rFonts w:ascii="黑体" w:hAnsi="黑体" w:eastAsia="黑体" w:cs="黑体"/>
          <w:b/>
          <w:bCs/>
          <w:spacing w:val="-13"/>
          <w:sz w:val="25"/>
          <w:szCs w:val="25"/>
        </w:rPr>
        <w:t>附表十：异议函</w:t>
      </w:r>
    </w:p>
    <w:p w14:paraId="5B2BC79E">
      <w:pPr>
        <w:spacing w:line="247" w:lineRule="auto"/>
        <w:rPr>
          <w:rFonts w:ascii="Arial"/>
          <w:sz w:val="21"/>
        </w:rPr>
      </w:pPr>
    </w:p>
    <w:p w14:paraId="1654E5CA">
      <w:pPr>
        <w:spacing w:line="247" w:lineRule="auto"/>
        <w:rPr>
          <w:rFonts w:ascii="Arial"/>
          <w:sz w:val="21"/>
        </w:rPr>
      </w:pPr>
    </w:p>
    <w:p w14:paraId="665ECEF3">
      <w:pPr>
        <w:spacing w:line="247" w:lineRule="auto"/>
        <w:rPr>
          <w:rFonts w:ascii="Arial"/>
          <w:sz w:val="21"/>
        </w:rPr>
      </w:pPr>
    </w:p>
    <w:p w14:paraId="5BA6FE88">
      <w:pPr>
        <w:spacing w:line="248" w:lineRule="auto"/>
        <w:rPr>
          <w:rFonts w:ascii="Arial"/>
          <w:sz w:val="21"/>
        </w:rPr>
      </w:pPr>
    </w:p>
    <w:p w14:paraId="42543E13">
      <w:pPr>
        <w:spacing w:before="95" w:line="222" w:lineRule="auto"/>
        <w:ind w:left="4024"/>
        <w:rPr>
          <w:rFonts w:ascii="黑体" w:hAnsi="黑体" w:eastAsia="黑体" w:cs="黑体"/>
          <w:sz w:val="29"/>
          <w:szCs w:val="29"/>
        </w:rPr>
      </w:pPr>
      <w:r>
        <w:rPr>
          <w:rFonts w:ascii="黑体" w:hAnsi="黑体" w:eastAsia="黑体" w:cs="黑体"/>
          <w:b/>
          <w:bCs/>
          <w:spacing w:val="4"/>
          <w:sz w:val="29"/>
          <w:szCs w:val="29"/>
        </w:rPr>
        <w:t>异议函</w:t>
      </w:r>
    </w:p>
    <w:p w14:paraId="13199E9D">
      <w:pPr>
        <w:spacing w:line="262" w:lineRule="auto"/>
        <w:rPr>
          <w:rFonts w:ascii="Arial"/>
          <w:sz w:val="21"/>
        </w:rPr>
      </w:pPr>
    </w:p>
    <w:p w14:paraId="263F8F3D">
      <w:pPr>
        <w:spacing w:line="263" w:lineRule="auto"/>
        <w:rPr>
          <w:rFonts w:ascii="Arial"/>
          <w:sz w:val="21"/>
        </w:rPr>
      </w:pPr>
    </w:p>
    <w:p w14:paraId="2E49C33A">
      <w:pPr>
        <w:pStyle w:val="2"/>
        <w:spacing w:before="65" w:line="219" w:lineRule="auto"/>
        <w:ind w:left="6949"/>
        <w:rPr>
          <w:sz w:val="20"/>
          <w:szCs w:val="20"/>
        </w:rPr>
      </w:pPr>
      <w:r>
        <w:rPr>
          <w:spacing w:val="-37"/>
          <w:sz w:val="20"/>
          <w:szCs w:val="20"/>
        </w:rPr>
        <w:t>编号：:</w:t>
      </w:r>
      <w:r>
        <w:rPr>
          <w:sz w:val="20"/>
          <w:szCs w:val="20"/>
          <w:u w:val="single" w:color="auto"/>
        </w:rPr>
        <w:t xml:space="preserve">              </w:t>
      </w:r>
    </w:p>
    <w:p w14:paraId="3A5B0C3F">
      <w:pPr>
        <w:pStyle w:val="2"/>
        <w:tabs>
          <w:tab w:val="left" w:pos="1998"/>
        </w:tabs>
        <w:spacing w:before="163" w:line="220" w:lineRule="auto"/>
        <w:rPr>
          <w:sz w:val="20"/>
          <w:szCs w:val="20"/>
        </w:rPr>
      </w:pPr>
      <w:r>
        <w:rPr>
          <w:sz w:val="20"/>
          <w:szCs w:val="20"/>
          <w:u w:val="single" w:color="auto"/>
        </w:rPr>
        <w:tab/>
      </w:r>
      <w:r>
        <w:rPr>
          <w:spacing w:val="-90"/>
          <w:sz w:val="20"/>
          <w:szCs w:val="20"/>
        </w:rPr>
        <w:t xml:space="preserve"> </w:t>
      </w:r>
      <w:r>
        <w:rPr>
          <w:spacing w:val="5"/>
          <w:sz w:val="20"/>
          <w:szCs w:val="20"/>
        </w:rPr>
        <w:t>(招标人名称):</w:t>
      </w:r>
    </w:p>
    <w:p w14:paraId="51AB2FB0">
      <w:pPr>
        <w:pStyle w:val="2"/>
        <w:spacing w:before="150" w:line="358" w:lineRule="auto"/>
        <w:ind w:firstLine="439"/>
        <w:rPr>
          <w:sz w:val="20"/>
          <w:szCs w:val="20"/>
        </w:rPr>
      </w:pPr>
      <w:r>
        <w:rPr>
          <w:spacing w:val="20"/>
          <w:sz w:val="20"/>
          <w:szCs w:val="20"/>
        </w:rPr>
        <w:t>我方已研究(看到)你方发出的</w:t>
      </w:r>
      <w:r>
        <w:rPr>
          <w:spacing w:val="-87"/>
          <w:sz w:val="20"/>
          <w:szCs w:val="20"/>
        </w:rPr>
        <w:t xml:space="preserve"> </w:t>
      </w:r>
      <w:r>
        <w:rPr>
          <w:sz w:val="20"/>
          <w:szCs w:val="20"/>
          <w:u w:val="single" w:color="auto"/>
        </w:rPr>
        <w:t xml:space="preserve">                    </w:t>
      </w:r>
      <w:r>
        <w:rPr>
          <w:spacing w:val="70"/>
          <w:sz w:val="20"/>
          <w:szCs w:val="20"/>
        </w:rPr>
        <w:t xml:space="preserve"> </w:t>
      </w:r>
      <w:r>
        <w:rPr>
          <w:spacing w:val="20"/>
          <w:sz w:val="20"/>
          <w:szCs w:val="20"/>
        </w:rPr>
        <w:t>(项目名称)</w:t>
      </w:r>
      <w:r>
        <w:rPr>
          <w:spacing w:val="-53"/>
          <w:sz w:val="20"/>
          <w:szCs w:val="20"/>
        </w:rPr>
        <w:t xml:space="preserve"> </w:t>
      </w:r>
      <w:r>
        <w:rPr>
          <w:spacing w:val="6"/>
          <w:sz w:val="20"/>
          <w:szCs w:val="20"/>
          <w:u w:val="single" w:color="auto"/>
        </w:rPr>
        <w:t xml:space="preserve">      </w:t>
      </w:r>
      <w:r>
        <w:rPr>
          <w:spacing w:val="-16"/>
          <w:sz w:val="20"/>
          <w:szCs w:val="20"/>
        </w:rPr>
        <w:t xml:space="preserve"> </w:t>
      </w:r>
      <w:r>
        <w:rPr>
          <w:spacing w:val="20"/>
          <w:sz w:val="20"/>
          <w:szCs w:val="20"/>
        </w:rPr>
        <w:t>(标段名称)施工</w:t>
      </w:r>
      <w:r>
        <w:rPr>
          <w:sz w:val="20"/>
          <w:szCs w:val="20"/>
        </w:rPr>
        <w:t xml:space="preserve"> </w:t>
      </w:r>
      <w:r>
        <w:rPr>
          <w:spacing w:val="15"/>
          <w:sz w:val="20"/>
          <w:szCs w:val="20"/>
        </w:rPr>
        <w:t>招标文件(或评标结果公示),现对下列问题提出异议，请予以解释：</w:t>
      </w:r>
    </w:p>
    <w:p w14:paraId="7685359F">
      <w:pPr>
        <w:pStyle w:val="2"/>
        <w:spacing w:before="55" w:line="239" w:lineRule="auto"/>
        <w:ind w:left="869"/>
        <w:rPr>
          <w:sz w:val="20"/>
          <w:szCs w:val="20"/>
        </w:rPr>
      </w:pPr>
      <w:r>
        <w:rPr>
          <w:spacing w:val="-6"/>
          <w:sz w:val="20"/>
          <w:szCs w:val="20"/>
        </w:rPr>
        <w:t>1.……</w:t>
      </w:r>
    </w:p>
    <w:p w14:paraId="005C614B">
      <w:pPr>
        <w:pStyle w:val="2"/>
        <w:spacing w:before="98" w:line="239" w:lineRule="auto"/>
        <w:ind w:left="850"/>
      </w:pPr>
      <w:r>
        <w:rPr>
          <w:spacing w:val="-19"/>
        </w:rPr>
        <w:t>2.……</w:t>
      </w:r>
    </w:p>
    <w:p w14:paraId="1E9D74E9">
      <w:pPr>
        <w:spacing w:line="460" w:lineRule="auto"/>
        <w:rPr>
          <w:rFonts w:ascii="Arial"/>
          <w:sz w:val="21"/>
        </w:rPr>
      </w:pPr>
    </w:p>
    <w:p w14:paraId="2F185450">
      <w:pPr>
        <w:pStyle w:val="2"/>
        <w:spacing w:before="65" w:line="219" w:lineRule="auto"/>
        <w:ind w:left="3589"/>
        <w:rPr>
          <w:sz w:val="20"/>
          <w:szCs w:val="20"/>
        </w:rPr>
      </w:pPr>
      <w:r>
        <w:rPr>
          <w:spacing w:val="1"/>
          <w:sz w:val="20"/>
          <w:szCs w:val="20"/>
        </w:rPr>
        <w:t>投标人或利害关系人：</w:t>
      </w:r>
      <w:r>
        <w:rPr>
          <w:spacing w:val="-94"/>
          <w:sz w:val="20"/>
          <w:szCs w:val="20"/>
        </w:rPr>
        <w:t xml:space="preserve"> </w:t>
      </w:r>
      <w:r>
        <w:rPr>
          <w:spacing w:val="5"/>
          <w:sz w:val="20"/>
          <w:szCs w:val="20"/>
          <w:u w:val="single" w:color="auto"/>
        </w:rPr>
        <w:t xml:space="preserve">                 </w:t>
      </w:r>
      <w:r>
        <w:rPr>
          <w:spacing w:val="-65"/>
          <w:sz w:val="20"/>
          <w:szCs w:val="20"/>
        </w:rPr>
        <w:t xml:space="preserve"> </w:t>
      </w:r>
      <w:r>
        <w:rPr>
          <w:spacing w:val="1"/>
          <w:sz w:val="20"/>
          <w:szCs w:val="20"/>
        </w:rPr>
        <w:t>(盖单位章)</w:t>
      </w:r>
    </w:p>
    <w:p w14:paraId="4D9CE4A3">
      <w:pPr>
        <w:pStyle w:val="2"/>
        <w:tabs>
          <w:tab w:val="left" w:pos="6859"/>
        </w:tabs>
        <w:spacing w:before="184" w:line="380" w:lineRule="auto"/>
        <w:ind w:left="5799" w:right="503" w:hanging="2210"/>
        <w:rPr>
          <w:sz w:val="20"/>
          <w:szCs w:val="20"/>
        </w:rPr>
      </w:pPr>
      <w:r>
        <w:rPr>
          <w:spacing w:val="6"/>
          <w:sz w:val="20"/>
          <w:szCs w:val="20"/>
        </w:rPr>
        <w:t>法定代表人：</w:t>
      </w:r>
      <w:r>
        <w:rPr>
          <w:spacing w:val="2"/>
          <w:sz w:val="20"/>
          <w:szCs w:val="20"/>
          <w:u w:val="single" w:color="auto"/>
        </w:rPr>
        <w:t xml:space="preserve">                      </w:t>
      </w:r>
      <w:r>
        <w:rPr>
          <w:spacing w:val="1"/>
          <w:sz w:val="20"/>
          <w:szCs w:val="20"/>
          <w:u w:val="single" w:color="auto"/>
        </w:rPr>
        <w:t xml:space="preserve">       </w:t>
      </w:r>
      <w:r>
        <w:rPr>
          <w:spacing w:val="-69"/>
          <w:sz w:val="20"/>
          <w:szCs w:val="20"/>
        </w:rPr>
        <w:t xml:space="preserve"> </w:t>
      </w:r>
      <w:r>
        <w:rPr>
          <w:spacing w:val="6"/>
          <w:sz w:val="20"/>
          <w:szCs w:val="20"/>
        </w:rPr>
        <w:t>(签字)</w:t>
      </w:r>
      <w:r>
        <w:rPr>
          <w:sz w:val="20"/>
          <w:szCs w:val="20"/>
        </w:rPr>
        <w:t xml:space="preserve"> </w:t>
      </w:r>
      <w:r>
        <w:rPr>
          <w:sz w:val="20"/>
          <w:szCs w:val="20"/>
          <w:u w:val="single" w:color="auto"/>
        </w:rPr>
        <w:tab/>
      </w:r>
      <w:r>
        <w:rPr>
          <w:spacing w:val="-69"/>
          <w:sz w:val="20"/>
          <w:szCs w:val="20"/>
        </w:rPr>
        <w:t xml:space="preserve"> </w:t>
      </w:r>
      <w:r>
        <w:rPr>
          <w:spacing w:val="-24"/>
          <w:sz w:val="20"/>
          <w:szCs w:val="20"/>
        </w:rPr>
        <w:t>年</w:t>
      </w:r>
      <w:r>
        <w:rPr>
          <w:spacing w:val="-24"/>
          <w:sz w:val="20"/>
          <w:szCs w:val="20"/>
          <w:u w:val="single" w:color="auto"/>
        </w:rPr>
        <w:t xml:space="preserve">      </w:t>
      </w:r>
      <w:r>
        <w:rPr>
          <w:spacing w:val="-80"/>
          <w:sz w:val="20"/>
          <w:szCs w:val="20"/>
        </w:rPr>
        <w:t xml:space="preserve"> </w:t>
      </w:r>
      <w:r>
        <w:rPr>
          <w:spacing w:val="-24"/>
          <w:sz w:val="20"/>
          <w:szCs w:val="20"/>
        </w:rPr>
        <w:t>_月</w:t>
      </w:r>
      <w:r>
        <w:rPr>
          <w:spacing w:val="-24"/>
          <w:sz w:val="20"/>
          <w:szCs w:val="20"/>
          <w:u w:val="single" w:color="auto"/>
        </w:rPr>
        <w:t xml:space="preserve">      </w:t>
      </w:r>
      <w:r>
        <w:rPr>
          <w:spacing w:val="-80"/>
          <w:sz w:val="20"/>
          <w:szCs w:val="20"/>
        </w:rPr>
        <w:t xml:space="preserve"> </w:t>
      </w:r>
      <w:r>
        <w:rPr>
          <w:spacing w:val="-24"/>
          <w:sz w:val="20"/>
          <w:szCs w:val="20"/>
        </w:rPr>
        <w:t>日</w:t>
      </w:r>
    </w:p>
    <w:p w14:paraId="722D5E53">
      <w:pPr>
        <w:pStyle w:val="2"/>
        <w:spacing w:before="255" w:line="252" w:lineRule="auto"/>
        <w:ind w:left="639" w:right="61" w:hanging="639"/>
        <w:rPr>
          <w:sz w:val="20"/>
          <w:szCs w:val="20"/>
        </w:rPr>
      </w:pPr>
      <w:r>
        <w:rPr>
          <w:spacing w:val="12"/>
          <w:sz w:val="20"/>
          <w:szCs w:val="20"/>
        </w:rPr>
        <w:t>备注：投标人或利害关系人对招标文件的内容或对评标结果</w:t>
      </w:r>
      <w:r>
        <w:rPr>
          <w:spacing w:val="11"/>
          <w:sz w:val="20"/>
          <w:szCs w:val="20"/>
        </w:rPr>
        <w:t>有异议，要求招标人解释的，适用本</w:t>
      </w:r>
      <w:r>
        <w:rPr>
          <w:sz w:val="20"/>
          <w:szCs w:val="20"/>
        </w:rPr>
        <w:t xml:space="preserve"> 格式。</w:t>
      </w:r>
    </w:p>
    <w:p w14:paraId="5112FE9D">
      <w:pPr>
        <w:spacing w:line="252" w:lineRule="auto"/>
        <w:rPr>
          <w:sz w:val="20"/>
          <w:szCs w:val="20"/>
        </w:rPr>
        <w:sectPr>
          <w:footerReference r:id="rId46" w:type="default"/>
          <w:pgSz w:w="11910" w:h="16840"/>
          <w:pgMar w:top="1431" w:right="1508" w:bottom="1029" w:left="1450" w:header="0" w:footer="849" w:gutter="0"/>
          <w:cols w:space="720" w:num="1"/>
        </w:sectPr>
      </w:pPr>
    </w:p>
    <w:p w14:paraId="0ABECAF3">
      <w:pPr>
        <w:spacing w:line="245" w:lineRule="auto"/>
        <w:rPr>
          <w:rFonts w:ascii="Arial"/>
          <w:sz w:val="21"/>
        </w:rPr>
      </w:pPr>
    </w:p>
    <w:p w14:paraId="041BC7DD">
      <w:pPr>
        <w:spacing w:line="246" w:lineRule="auto"/>
        <w:rPr>
          <w:rFonts w:ascii="Arial"/>
          <w:sz w:val="21"/>
        </w:rPr>
      </w:pPr>
    </w:p>
    <w:p w14:paraId="5044B229">
      <w:pPr>
        <w:spacing w:before="68" w:line="222" w:lineRule="auto"/>
        <w:ind w:left="3"/>
        <w:outlineLvl w:val="1"/>
        <w:rPr>
          <w:rFonts w:ascii="黑体" w:hAnsi="黑体" w:eastAsia="黑体" w:cs="黑体"/>
          <w:sz w:val="21"/>
          <w:szCs w:val="21"/>
        </w:rPr>
      </w:pPr>
      <w:bookmarkStart w:id="111" w:name="bookmark85"/>
      <w:bookmarkEnd w:id="111"/>
      <w:r>
        <w:rPr>
          <w:rFonts w:ascii="黑体" w:hAnsi="黑体" w:eastAsia="黑体" w:cs="黑体"/>
          <w:b/>
          <w:bCs/>
          <w:spacing w:val="12"/>
          <w:sz w:val="21"/>
          <w:szCs w:val="21"/>
        </w:rPr>
        <w:t>附表十</w:t>
      </w:r>
      <w:r>
        <w:rPr>
          <w:rFonts w:ascii="黑体" w:hAnsi="黑体" w:eastAsia="黑体" w:cs="黑体"/>
          <w:spacing w:val="-58"/>
          <w:sz w:val="21"/>
          <w:szCs w:val="21"/>
        </w:rPr>
        <w:t xml:space="preserve"> </w:t>
      </w:r>
      <w:r>
        <w:rPr>
          <w:rFonts w:ascii="黑体" w:hAnsi="黑体" w:eastAsia="黑体" w:cs="黑体"/>
          <w:b/>
          <w:bCs/>
          <w:spacing w:val="12"/>
          <w:sz w:val="21"/>
          <w:szCs w:val="21"/>
        </w:rPr>
        <w:t>一</w:t>
      </w:r>
      <w:r>
        <w:rPr>
          <w:rFonts w:ascii="黑体" w:hAnsi="黑体" w:eastAsia="黑体" w:cs="黑体"/>
          <w:spacing w:val="-32"/>
          <w:sz w:val="21"/>
          <w:szCs w:val="21"/>
        </w:rPr>
        <w:t xml:space="preserve"> </w:t>
      </w:r>
      <w:r>
        <w:rPr>
          <w:rFonts w:ascii="黑体" w:hAnsi="黑体" w:eastAsia="黑体" w:cs="黑体"/>
          <w:b/>
          <w:bCs/>
          <w:spacing w:val="12"/>
          <w:sz w:val="21"/>
          <w:szCs w:val="21"/>
        </w:rPr>
        <w:t>：异议答复函</w:t>
      </w:r>
    </w:p>
    <w:p w14:paraId="6C1A2D50">
      <w:pPr>
        <w:spacing w:line="249" w:lineRule="auto"/>
        <w:rPr>
          <w:rFonts w:ascii="Arial"/>
          <w:sz w:val="21"/>
        </w:rPr>
      </w:pPr>
    </w:p>
    <w:p w14:paraId="4E7945C5">
      <w:pPr>
        <w:spacing w:line="249" w:lineRule="auto"/>
        <w:rPr>
          <w:rFonts w:ascii="Arial"/>
          <w:sz w:val="21"/>
        </w:rPr>
      </w:pPr>
    </w:p>
    <w:p w14:paraId="3E1717AC">
      <w:pPr>
        <w:spacing w:line="250" w:lineRule="auto"/>
        <w:rPr>
          <w:rFonts w:ascii="Arial"/>
          <w:sz w:val="21"/>
        </w:rPr>
      </w:pPr>
    </w:p>
    <w:p w14:paraId="59C851B9">
      <w:pPr>
        <w:spacing w:line="250" w:lineRule="auto"/>
        <w:rPr>
          <w:rFonts w:ascii="Arial"/>
          <w:sz w:val="21"/>
        </w:rPr>
      </w:pPr>
    </w:p>
    <w:p w14:paraId="6B388C74">
      <w:pPr>
        <w:spacing w:before="95" w:line="222" w:lineRule="auto"/>
        <w:ind w:left="3744"/>
        <w:rPr>
          <w:rFonts w:ascii="黑体" w:hAnsi="黑体" w:eastAsia="黑体" w:cs="黑体"/>
          <w:sz w:val="29"/>
          <w:szCs w:val="29"/>
        </w:rPr>
      </w:pPr>
      <w:bookmarkStart w:id="112" w:name="bookmark244"/>
      <w:bookmarkEnd w:id="112"/>
      <w:r>
        <w:rPr>
          <w:rFonts w:ascii="黑体" w:hAnsi="黑体" w:eastAsia="黑体" w:cs="黑体"/>
          <w:b/>
          <w:bCs/>
          <w:spacing w:val="-3"/>
          <w:sz w:val="29"/>
          <w:szCs w:val="29"/>
        </w:rPr>
        <w:t>异议答复函</w:t>
      </w:r>
    </w:p>
    <w:p w14:paraId="3DF10C80">
      <w:pPr>
        <w:spacing w:line="243" w:lineRule="auto"/>
        <w:rPr>
          <w:rFonts w:ascii="Arial"/>
          <w:sz w:val="21"/>
        </w:rPr>
      </w:pPr>
    </w:p>
    <w:p w14:paraId="35A12104">
      <w:pPr>
        <w:spacing w:line="244" w:lineRule="auto"/>
        <w:rPr>
          <w:rFonts w:ascii="Arial"/>
          <w:sz w:val="21"/>
        </w:rPr>
      </w:pPr>
    </w:p>
    <w:p w14:paraId="2924D41B">
      <w:pPr>
        <w:pStyle w:val="2"/>
        <w:spacing w:before="74" w:line="219" w:lineRule="auto"/>
        <w:ind w:left="6520"/>
        <w:rPr>
          <w:sz w:val="23"/>
          <w:szCs w:val="23"/>
        </w:rPr>
      </w:pPr>
      <w:r>
        <w:rPr>
          <w:spacing w:val="-21"/>
          <w:sz w:val="23"/>
          <w:szCs w:val="23"/>
        </w:rPr>
        <w:t>编号：</w:t>
      </w:r>
      <w:r>
        <w:rPr>
          <w:sz w:val="23"/>
          <w:szCs w:val="23"/>
          <w:u w:val="single" w:color="auto"/>
        </w:rPr>
        <w:t xml:space="preserve">            </w:t>
      </w:r>
    </w:p>
    <w:p w14:paraId="57A0E179">
      <w:pPr>
        <w:pStyle w:val="2"/>
        <w:tabs>
          <w:tab w:val="left" w:pos="1998"/>
        </w:tabs>
        <w:spacing w:before="146" w:line="220" w:lineRule="auto"/>
        <w:rPr>
          <w:sz w:val="21"/>
          <w:szCs w:val="21"/>
        </w:rPr>
      </w:pPr>
      <w:r>
        <w:rPr>
          <w:sz w:val="21"/>
          <w:szCs w:val="21"/>
          <w:u w:val="single" w:color="auto"/>
        </w:rPr>
        <w:tab/>
      </w:r>
      <w:r>
        <w:rPr>
          <w:spacing w:val="-83"/>
          <w:sz w:val="21"/>
          <w:szCs w:val="21"/>
        </w:rPr>
        <w:t xml:space="preserve"> </w:t>
      </w:r>
      <w:r>
        <w:rPr>
          <w:spacing w:val="-4"/>
          <w:sz w:val="21"/>
          <w:szCs w:val="21"/>
        </w:rPr>
        <w:t>(投标人或利害关系人名称):</w:t>
      </w:r>
    </w:p>
    <w:p w14:paraId="06112662">
      <w:pPr>
        <w:pStyle w:val="2"/>
        <w:spacing w:before="148" w:line="354" w:lineRule="auto"/>
        <w:ind w:right="37" w:firstLine="409"/>
        <w:rPr>
          <w:sz w:val="21"/>
          <w:szCs w:val="21"/>
        </w:rPr>
      </w:pPr>
      <w:r>
        <w:rPr>
          <w:spacing w:val="9"/>
          <w:sz w:val="21"/>
          <w:szCs w:val="21"/>
        </w:rPr>
        <w:t>你方提出的有关</w:t>
      </w:r>
      <w:r>
        <w:rPr>
          <w:spacing w:val="-76"/>
          <w:sz w:val="21"/>
          <w:szCs w:val="21"/>
        </w:rPr>
        <w:t xml:space="preserve"> </w:t>
      </w:r>
      <w:r>
        <w:rPr>
          <w:spacing w:val="1"/>
          <w:sz w:val="21"/>
          <w:szCs w:val="21"/>
          <w:u w:val="single" w:color="auto"/>
        </w:rPr>
        <w:t xml:space="preserve">                 </w:t>
      </w:r>
      <w:r>
        <w:rPr>
          <w:spacing w:val="-77"/>
          <w:sz w:val="21"/>
          <w:szCs w:val="21"/>
        </w:rPr>
        <w:t xml:space="preserve"> </w:t>
      </w:r>
      <w:r>
        <w:rPr>
          <w:spacing w:val="9"/>
          <w:sz w:val="21"/>
          <w:szCs w:val="21"/>
        </w:rPr>
        <w:t>(项目名称)</w:t>
      </w:r>
      <w:r>
        <w:rPr>
          <w:spacing w:val="13"/>
          <w:sz w:val="21"/>
          <w:szCs w:val="21"/>
          <w:u w:val="single" w:color="auto"/>
        </w:rPr>
        <w:t xml:space="preserve">        </w:t>
      </w:r>
      <w:r>
        <w:rPr>
          <w:spacing w:val="-15"/>
          <w:sz w:val="21"/>
          <w:szCs w:val="21"/>
        </w:rPr>
        <w:t xml:space="preserve"> </w:t>
      </w:r>
      <w:r>
        <w:rPr>
          <w:spacing w:val="9"/>
          <w:sz w:val="21"/>
          <w:szCs w:val="21"/>
        </w:rPr>
        <w:t>(标段名称)施工招标文件</w:t>
      </w:r>
      <w:r>
        <w:rPr>
          <w:spacing w:val="8"/>
          <w:sz w:val="21"/>
          <w:szCs w:val="21"/>
        </w:rPr>
        <w:t>(或评</w:t>
      </w:r>
      <w:r>
        <w:rPr>
          <w:sz w:val="21"/>
          <w:szCs w:val="21"/>
        </w:rPr>
        <w:t xml:space="preserve"> </w:t>
      </w:r>
      <w:r>
        <w:rPr>
          <w:spacing w:val="3"/>
          <w:sz w:val="21"/>
          <w:szCs w:val="21"/>
        </w:rPr>
        <w:t>标结果公示)的异议已收悉，现答复如下：</w:t>
      </w:r>
    </w:p>
    <w:p w14:paraId="0F79EDB4">
      <w:pPr>
        <w:pStyle w:val="2"/>
        <w:spacing w:before="17" w:line="239" w:lineRule="auto"/>
        <w:ind w:left="409"/>
        <w:rPr>
          <w:sz w:val="21"/>
          <w:szCs w:val="21"/>
        </w:rPr>
      </w:pPr>
      <w:r>
        <w:rPr>
          <w:spacing w:val="-6"/>
          <w:sz w:val="21"/>
          <w:szCs w:val="21"/>
        </w:rPr>
        <w:t>1.……</w:t>
      </w:r>
    </w:p>
    <w:p w14:paraId="64D9450F">
      <w:pPr>
        <w:pStyle w:val="2"/>
        <w:spacing w:before="128" w:line="239" w:lineRule="auto"/>
        <w:ind w:left="409"/>
        <w:rPr>
          <w:sz w:val="21"/>
          <w:szCs w:val="21"/>
        </w:rPr>
      </w:pPr>
      <w:r>
        <w:rPr>
          <w:spacing w:val="-3"/>
          <w:sz w:val="21"/>
          <w:szCs w:val="21"/>
        </w:rPr>
        <w:t>2.……</w:t>
      </w:r>
    </w:p>
    <w:p w14:paraId="069BA7A7">
      <w:pPr>
        <w:pStyle w:val="2"/>
        <w:spacing w:before="242" w:line="21" w:lineRule="exact"/>
        <w:ind w:left="409"/>
        <w:rPr>
          <w:sz w:val="5"/>
          <w:szCs w:val="5"/>
        </w:rPr>
      </w:pPr>
      <w:r>
        <w:rPr>
          <w:spacing w:val="-1"/>
          <w:sz w:val="5"/>
          <w:szCs w:val="5"/>
        </w:rPr>
        <w:t>..</w:t>
      </w:r>
    </w:p>
    <w:p w14:paraId="5631D0D6">
      <w:pPr>
        <w:spacing w:line="257" w:lineRule="auto"/>
        <w:rPr>
          <w:rFonts w:ascii="Arial"/>
          <w:sz w:val="21"/>
        </w:rPr>
      </w:pPr>
    </w:p>
    <w:p w14:paraId="7A9DD4D2">
      <w:pPr>
        <w:spacing w:line="257" w:lineRule="auto"/>
        <w:rPr>
          <w:rFonts w:ascii="Arial"/>
          <w:sz w:val="21"/>
        </w:rPr>
      </w:pPr>
    </w:p>
    <w:p w14:paraId="5A785F07">
      <w:pPr>
        <w:spacing w:line="257" w:lineRule="auto"/>
        <w:rPr>
          <w:rFonts w:ascii="Arial"/>
          <w:sz w:val="21"/>
        </w:rPr>
      </w:pPr>
    </w:p>
    <w:p w14:paraId="035C7ECB">
      <w:pPr>
        <w:spacing w:line="257" w:lineRule="auto"/>
        <w:rPr>
          <w:rFonts w:ascii="Arial"/>
          <w:sz w:val="21"/>
        </w:rPr>
      </w:pPr>
    </w:p>
    <w:p w14:paraId="76ACBE9A">
      <w:pPr>
        <w:pStyle w:val="2"/>
        <w:spacing w:before="68" w:line="219" w:lineRule="auto"/>
        <w:jc w:val="right"/>
        <w:rPr>
          <w:sz w:val="21"/>
          <w:szCs w:val="21"/>
        </w:rPr>
      </w:pPr>
      <w:r>
        <w:rPr>
          <w:spacing w:val="6"/>
          <w:sz w:val="21"/>
          <w:szCs w:val="21"/>
        </w:rPr>
        <w:t>招标人(招标委托人):</w:t>
      </w:r>
      <w:r>
        <w:rPr>
          <w:spacing w:val="32"/>
          <w:sz w:val="21"/>
          <w:szCs w:val="21"/>
        </w:rPr>
        <w:t xml:space="preserve"> </w:t>
      </w:r>
      <w:r>
        <w:rPr>
          <w:spacing w:val="5"/>
          <w:sz w:val="21"/>
          <w:szCs w:val="21"/>
          <w:u w:val="single" w:color="auto"/>
        </w:rPr>
        <w:t xml:space="preserve">         </w:t>
      </w:r>
      <w:r>
        <w:rPr>
          <w:spacing w:val="45"/>
          <w:sz w:val="21"/>
          <w:szCs w:val="21"/>
        </w:rPr>
        <w:t xml:space="preserve"> </w:t>
      </w:r>
      <w:r>
        <w:rPr>
          <w:spacing w:val="6"/>
          <w:sz w:val="21"/>
          <w:szCs w:val="21"/>
        </w:rPr>
        <w:t>(盖单位章)</w:t>
      </w:r>
    </w:p>
    <w:p w14:paraId="7E102EE7">
      <w:pPr>
        <w:spacing w:line="361" w:lineRule="auto"/>
        <w:rPr>
          <w:rFonts w:ascii="Arial"/>
          <w:sz w:val="21"/>
        </w:rPr>
      </w:pPr>
    </w:p>
    <w:p w14:paraId="78C8E613">
      <w:pPr>
        <w:pStyle w:val="2"/>
        <w:tabs>
          <w:tab w:val="left" w:pos="6629"/>
        </w:tabs>
        <w:spacing w:before="70" w:line="219" w:lineRule="auto"/>
        <w:ind w:left="5680"/>
        <w:rPr>
          <w:sz w:val="21"/>
          <w:szCs w:val="21"/>
        </w:rPr>
      </w:pPr>
      <w:r>
        <w:rPr>
          <w:sz w:val="21"/>
          <w:szCs w:val="21"/>
          <w:u w:val="single" w:color="auto"/>
        </w:rPr>
        <w:tab/>
      </w:r>
      <w:r>
        <w:rPr>
          <w:spacing w:val="-18"/>
          <w:sz w:val="21"/>
          <w:szCs w:val="21"/>
        </w:rPr>
        <w:t>年</w:t>
      </w:r>
      <w:r>
        <w:rPr>
          <w:spacing w:val="6"/>
          <w:sz w:val="21"/>
          <w:szCs w:val="21"/>
          <w:u w:val="single" w:color="auto"/>
        </w:rPr>
        <w:t xml:space="preserve">     </w:t>
      </w:r>
      <w:r>
        <w:rPr>
          <w:spacing w:val="-18"/>
          <w:sz w:val="21"/>
          <w:szCs w:val="21"/>
        </w:rPr>
        <w:t>月</w:t>
      </w:r>
      <w:r>
        <w:rPr>
          <w:spacing w:val="-97"/>
          <w:sz w:val="21"/>
          <w:szCs w:val="21"/>
        </w:rPr>
        <w:t xml:space="preserve"> </w:t>
      </w:r>
      <w:r>
        <w:rPr>
          <w:spacing w:val="13"/>
          <w:sz w:val="21"/>
          <w:szCs w:val="21"/>
          <w:u w:val="single" w:color="auto"/>
        </w:rPr>
        <w:t xml:space="preserve">     </w:t>
      </w:r>
      <w:r>
        <w:rPr>
          <w:spacing w:val="-18"/>
          <w:sz w:val="21"/>
          <w:szCs w:val="21"/>
        </w:rPr>
        <w:t>日</w:t>
      </w:r>
    </w:p>
    <w:p w14:paraId="07E9A0D7">
      <w:pPr>
        <w:spacing w:line="219" w:lineRule="auto"/>
        <w:rPr>
          <w:sz w:val="21"/>
          <w:szCs w:val="21"/>
        </w:rPr>
        <w:sectPr>
          <w:footerReference r:id="rId47" w:type="default"/>
          <w:pgSz w:w="11910" w:h="16840"/>
          <w:pgMar w:top="1431" w:right="1503" w:bottom="1001" w:left="1460" w:header="0" w:footer="857" w:gutter="0"/>
          <w:cols w:space="720" w:num="1"/>
        </w:sectPr>
      </w:pPr>
    </w:p>
    <w:p w14:paraId="238FFFD9">
      <w:pPr>
        <w:spacing w:line="452" w:lineRule="auto"/>
        <w:rPr>
          <w:rFonts w:ascii="Arial"/>
          <w:sz w:val="21"/>
        </w:rPr>
      </w:pPr>
    </w:p>
    <w:p w14:paraId="2A18D077">
      <w:pPr>
        <w:spacing w:before="78" w:line="221" w:lineRule="auto"/>
        <w:ind w:left="33"/>
        <w:outlineLvl w:val="1"/>
        <w:rPr>
          <w:rFonts w:ascii="黑体" w:hAnsi="黑体" w:eastAsia="黑体" w:cs="黑体"/>
          <w:sz w:val="24"/>
          <w:szCs w:val="24"/>
        </w:rPr>
      </w:pPr>
      <w:bookmarkStart w:id="113" w:name="bookmark86"/>
      <w:bookmarkEnd w:id="113"/>
      <w:r>
        <w:rPr>
          <w:rFonts w:ascii="黑体" w:hAnsi="黑体" w:eastAsia="黑体" w:cs="黑体"/>
          <w:b/>
          <w:bCs/>
          <w:spacing w:val="-3"/>
          <w:sz w:val="24"/>
          <w:szCs w:val="24"/>
        </w:rPr>
        <w:t>附表十二：招标控制价明细</w:t>
      </w:r>
    </w:p>
    <w:p w14:paraId="4E0CF629">
      <w:pPr>
        <w:spacing w:line="243" w:lineRule="auto"/>
        <w:rPr>
          <w:rFonts w:ascii="Arial"/>
          <w:sz w:val="21"/>
        </w:rPr>
      </w:pPr>
    </w:p>
    <w:p w14:paraId="3BF227A8">
      <w:pPr>
        <w:spacing w:line="243" w:lineRule="auto"/>
        <w:rPr>
          <w:rFonts w:ascii="Arial"/>
          <w:sz w:val="21"/>
        </w:rPr>
      </w:pPr>
    </w:p>
    <w:p w14:paraId="2F574B01">
      <w:pPr>
        <w:spacing w:before="94" w:line="221" w:lineRule="auto"/>
        <w:ind w:left="3464"/>
        <w:rPr>
          <w:rFonts w:ascii="黑体" w:hAnsi="黑体" w:eastAsia="黑体" w:cs="黑体"/>
          <w:sz w:val="29"/>
          <w:szCs w:val="29"/>
        </w:rPr>
      </w:pPr>
      <w:bookmarkStart w:id="114" w:name="bookmark245"/>
      <w:bookmarkEnd w:id="114"/>
      <w:r>
        <w:rPr>
          <w:rFonts w:ascii="黑体" w:hAnsi="黑体" w:eastAsia="黑体" w:cs="黑体"/>
          <w:b/>
          <w:bCs/>
          <w:spacing w:val="-5"/>
          <w:sz w:val="29"/>
          <w:szCs w:val="29"/>
        </w:rPr>
        <w:t>招标控制价明细</w:t>
      </w:r>
    </w:p>
    <w:p w14:paraId="1E7528EA">
      <w:pPr>
        <w:pStyle w:val="2"/>
        <w:spacing w:before="295" w:line="372" w:lineRule="auto"/>
        <w:ind w:firstLine="440"/>
        <w:jc w:val="both"/>
        <w:rPr>
          <w:sz w:val="20"/>
          <w:szCs w:val="20"/>
        </w:rPr>
      </w:pPr>
      <w:r>
        <w:rPr>
          <w:spacing w:val="13"/>
          <w:sz w:val="20"/>
          <w:szCs w:val="20"/>
        </w:rPr>
        <w:t>根据住房和城乡建设部令第16号《建筑工程施工发包与承包计价管理办法》第八条的规定：</w:t>
      </w:r>
      <w:r>
        <w:rPr>
          <w:spacing w:val="5"/>
          <w:sz w:val="20"/>
          <w:szCs w:val="20"/>
        </w:rPr>
        <w:t xml:space="preserve"> </w:t>
      </w:r>
      <w:r>
        <w:rPr>
          <w:spacing w:val="12"/>
          <w:sz w:val="20"/>
          <w:szCs w:val="20"/>
        </w:rPr>
        <w:t>“招标人设有最高投标限价的，应当在招标时公布最高投标限价的总价，以及各单位工程的分部</w:t>
      </w:r>
      <w:r>
        <w:rPr>
          <w:spacing w:val="6"/>
          <w:sz w:val="20"/>
          <w:szCs w:val="20"/>
        </w:rPr>
        <w:t xml:space="preserve"> </w:t>
      </w:r>
      <w:r>
        <w:rPr>
          <w:spacing w:val="10"/>
          <w:sz w:val="20"/>
          <w:szCs w:val="20"/>
        </w:rPr>
        <w:t>分项工程费、措施项目费、其他项目费、规费和税金。”</w:t>
      </w:r>
    </w:p>
    <w:p w14:paraId="1A10261E">
      <w:pPr>
        <w:pStyle w:val="2"/>
        <w:spacing w:line="378" w:lineRule="auto"/>
        <w:ind w:left="30" w:right="41" w:firstLine="409"/>
        <w:rPr>
          <w:sz w:val="20"/>
          <w:szCs w:val="20"/>
        </w:rPr>
      </w:pPr>
      <w:r>
        <w:rPr>
          <w:spacing w:val="4"/>
          <w:sz w:val="20"/>
          <w:szCs w:val="20"/>
        </w:rPr>
        <w:t>根据中华人民共和国国家标准《建设工程工程量清单计价规范》(</w:t>
      </w:r>
      <w:r>
        <w:rPr>
          <w:sz w:val="20"/>
          <w:szCs w:val="20"/>
        </w:rPr>
        <w:t>GB</w:t>
      </w:r>
      <w:r>
        <w:rPr>
          <w:spacing w:val="4"/>
          <w:sz w:val="20"/>
          <w:szCs w:val="20"/>
        </w:rPr>
        <w:t>50500-2013)  第5</w:t>
      </w:r>
      <w:r>
        <w:rPr>
          <w:spacing w:val="-37"/>
          <w:sz w:val="20"/>
          <w:szCs w:val="20"/>
        </w:rPr>
        <w:t xml:space="preserve"> </w:t>
      </w:r>
      <w:r>
        <w:rPr>
          <w:spacing w:val="4"/>
          <w:sz w:val="20"/>
          <w:szCs w:val="20"/>
        </w:rPr>
        <w:t>.</w:t>
      </w:r>
      <w:r>
        <w:rPr>
          <w:spacing w:val="-47"/>
          <w:sz w:val="20"/>
          <w:szCs w:val="20"/>
        </w:rPr>
        <w:t xml:space="preserve"> </w:t>
      </w:r>
      <w:r>
        <w:rPr>
          <w:spacing w:val="4"/>
          <w:sz w:val="20"/>
          <w:szCs w:val="20"/>
        </w:rPr>
        <w:t>1</w:t>
      </w:r>
      <w:r>
        <w:rPr>
          <w:spacing w:val="-55"/>
          <w:sz w:val="20"/>
          <w:szCs w:val="20"/>
        </w:rPr>
        <w:t xml:space="preserve"> </w:t>
      </w:r>
      <w:r>
        <w:rPr>
          <w:spacing w:val="4"/>
          <w:sz w:val="20"/>
          <w:szCs w:val="20"/>
        </w:rPr>
        <w:t>.</w:t>
      </w:r>
      <w:r>
        <w:rPr>
          <w:spacing w:val="-60"/>
          <w:sz w:val="20"/>
          <w:szCs w:val="20"/>
        </w:rPr>
        <w:t xml:space="preserve"> </w:t>
      </w:r>
      <w:r>
        <w:rPr>
          <w:spacing w:val="4"/>
          <w:sz w:val="20"/>
          <w:szCs w:val="20"/>
        </w:rPr>
        <w:t>6款</w:t>
      </w:r>
      <w:r>
        <w:rPr>
          <w:sz w:val="20"/>
          <w:szCs w:val="20"/>
        </w:rPr>
        <w:t xml:space="preserve"> </w:t>
      </w:r>
      <w:r>
        <w:rPr>
          <w:spacing w:val="1"/>
          <w:sz w:val="20"/>
          <w:szCs w:val="20"/>
        </w:rPr>
        <w:t>规定：“招标人应当在发布招标文件时公布招标控制价”。</w:t>
      </w:r>
    </w:p>
    <w:p w14:paraId="59265F05">
      <w:pPr>
        <w:pStyle w:val="2"/>
        <w:spacing w:line="217" w:lineRule="auto"/>
        <w:ind w:left="440"/>
        <w:rPr>
          <w:sz w:val="20"/>
          <w:szCs w:val="20"/>
        </w:rPr>
      </w:pPr>
      <w:r>
        <w:rPr>
          <w:spacing w:val="7"/>
          <w:sz w:val="20"/>
          <w:szCs w:val="20"/>
        </w:rPr>
        <w:t>本招标项目招标控制价应公布的资料为：</w:t>
      </w:r>
    </w:p>
    <w:p w14:paraId="5CC24C98">
      <w:pPr>
        <w:pStyle w:val="2"/>
        <w:spacing w:before="194" w:line="218" w:lineRule="auto"/>
        <w:ind w:left="440"/>
        <w:rPr>
          <w:sz w:val="20"/>
          <w:szCs w:val="20"/>
        </w:rPr>
      </w:pPr>
      <w:r>
        <w:rPr>
          <w:spacing w:val="4"/>
          <w:sz w:val="20"/>
          <w:szCs w:val="20"/>
        </w:rPr>
        <w:t>1.招标控制价封面；</w:t>
      </w:r>
    </w:p>
    <w:p w14:paraId="4E53000A">
      <w:pPr>
        <w:pStyle w:val="2"/>
        <w:spacing w:before="164" w:line="218" w:lineRule="auto"/>
        <w:ind w:left="440"/>
        <w:rPr>
          <w:sz w:val="20"/>
          <w:szCs w:val="20"/>
        </w:rPr>
      </w:pPr>
      <w:r>
        <w:rPr>
          <w:spacing w:val="5"/>
          <w:sz w:val="20"/>
          <w:szCs w:val="20"/>
        </w:rPr>
        <w:t>2.招标控制价封面扉页；</w:t>
      </w:r>
    </w:p>
    <w:p w14:paraId="1B0FF251">
      <w:pPr>
        <w:pStyle w:val="2"/>
        <w:spacing w:before="174" w:line="218" w:lineRule="auto"/>
        <w:ind w:left="440"/>
        <w:rPr>
          <w:sz w:val="20"/>
          <w:szCs w:val="20"/>
        </w:rPr>
      </w:pPr>
      <w:r>
        <w:rPr>
          <w:spacing w:val="4"/>
          <w:sz w:val="20"/>
          <w:szCs w:val="20"/>
        </w:rPr>
        <w:t>3.工程计价总说明；</w:t>
      </w:r>
    </w:p>
    <w:p w14:paraId="47BB794D">
      <w:pPr>
        <w:pStyle w:val="2"/>
        <w:spacing w:before="154" w:line="218" w:lineRule="auto"/>
        <w:ind w:left="440"/>
        <w:rPr>
          <w:sz w:val="20"/>
          <w:szCs w:val="20"/>
        </w:rPr>
      </w:pPr>
      <w:r>
        <w:rPr>
          <w:spacing w:val="6"/>
          <w:sz w:val="20"/>
          <w:szCs w:val="20"/>
        </w:rPr>
        <w:t>4.建设项目招标控制价汇总表；</w:t>
      </w:r>
    </w:p>
    <w:p w14:paraId="59D0B4F2">
      <w:pPr>
        <w:pStyle w:val="2"/>
        <w:spacing w:before="184" w:line="218" w:lineRule="auto"/>
        <w:ind w:left="440"/>
        <w:rPr>
          <w:sz w:val="20"/>
          <w:szCs w:val="20"/>
        </w:rPr>
      </w:pPr>
      <w:r>
        <w:rPr>
          <w:spacing w:val="6"/>
          <w:sz w:val="20"/>
          <w:szCs w:val="20"/>
        </w:rPr>
        <w:t>5.单项工程招标控制价汇总表；</w:t>
      </w:r>
    </w:p>
    <w:p w14:paraId="2BAF0898">
      <w:pPr>
        <w:pStyle w:val="2"/>
        <w:spacing w:before="183" w:line="218" w:lineRule="auto"/>
        <w:ind w:left="440"/>
        <w:rPr>
          <w:sz w:val="20"/>
          <w:szCs w:val="20"/>
        </w:rPr>
      </w:pPr>
      <w:r>
        <w:rPr>
          <w:spacing w:val="6"/>
          <w:sz w:val="20"/>
          <w:szCs w:val="20"/>
        </w:rPr>
        <w:t>6.单位工程招标控制价汇总表；</w:t>
      </w:r>
    </w:p>
    <w:p w14:paraId="125B0575">
      <w:pPr>
        <w:pStyle w:val="2"/>
        <w:spacing w:before="164" w:line="218" w:lineRule="auto"/>
        <w:ind w:left="440"/>
        <w:rPr>
          <w:sz w:val="20"/>
          <w:szCs w:val="20"/>
        </w:rPr>
      </w:pPr>
      <w:r>
        <w:rPr>
          <w:spacing w:val="7"/>
          <w:sz w:val="20"/>
          <w:szCs w:val="20"/>
        </w:rPr>
        <w:t>7.分部分项工程和单价措施项目清单与计价表；</w:t>
      </w:r>
    </w:p>
    <w:p w14:paraId="5C29626F">
      <w:pPr>
        <w:pStyle w:val="2"/>
        <w:spacing w:before="164" w:line="218" w:lineRule="auto"/>
        <w:ind w:left="440"/>
        <w:rPr>
          <w:sz w:val="20"/>
          <w:szCs w:val="20"/>
        </w:rPr>
      </w:pPr>
      <w:r>
        <w:rPr>
          <w:spacing w:val="6"/>
          <w:sz w:val="20"/>
          <w:szCs w:val="20"/>
        </w:rPr>
        <w:t>8.总价措施项目清单与计价表；</w:t>
      </w:r>
    </w:p>
    <w:p w14:paraId="7B35D5A7">
      <w:pPr>
        <w:pStyle w:val="2"/>
        <w:spacing w:before="194" w:line="218" w:lineRule="auto"/>
        <w:ind w:left="440"/>
        <w:rPr>
          <w:sz w:val="20"/>
          <w:szCs w:val="20"/>
        </w:rPr>
      </w:pPr>
      <w:r>
        <w:rPr>
          <w:spacing w:val="6"/>
          <w:sz w:val="20"/>
          <w:szCs w:val="20"/>
        </w:rPr>
        <w:t>9.其它项目清单与计价汇总表；</w:t>
      </w:r>
    </w:p>
    <w:p w14:paraId="32D9D8B5">
      <w:pPr>
        <w:pStyle w:val="2"/>
        <w:spacing w:before="156" w:line="219" w:lineRule="auto"/>
        <w:ind w:left="650"/>
        <w:rPr>
          <w:sz w:val="20"/>
          <w:szCs w:val="20"/>
        </w:rPr>
      </w:pPr>
      <w:r>
        <w:rPr>
          <w:spacing w:val="21"/>
          <w:sz w:val="20"/>
          <w:szCs w:val="20"/>
        </w:rPr>
        <w:t>1)暂列金额明细表</w:t>
      </w:r>
    </w:p>
    <w:p w14:paraId="25036220">
      <w:pPr>
        <w:pStyle w:val="2"/>
        <w:spacing w:before="180" w:line="218" w:lineRule="auto"/>
        <w:ind w:left="650"/>
        <w:rPr>
          <w:sz w:val="20"/>
          <w:szCs w:val="20"/>
        </w:rPr>
      </w:pPr>
      <w:r>
        <w:rPr>
          <w:spacing w:val="29"/>
          <w:sz w:val="20"/>
          <w:szCs w:val="20"/>
        </w:rPr>
        <w:t>2)材料(工程设备)暂估单价表</w:t>
      </w:r>
    </w:p>
    <w:p w14:paraId="66943D18">
      <w:pPr>
        <w:pStyle w:val="2"/>
        <w:spacing w:before="174" w:line="218" w:lineRule="auto"/>
        <w:ind w:left="650"/>
        <w:rPr>
          <w:sz w:val="20"/>
          <w:szCs w:val="20"/>
        </w:rPr>
      </w:pPr>
      <w:r>
        <w:rPr>
          <w:spacing w:val="19"/>
          <w:sz w:val="20"/>
          <w:szCs w:val="20"/>
        </w:rPr>
        <w:t>3)专业工程暂估价表</w:t>
      </w:r>
    </w:p>
    <w:p w14:paraId="1128F770">
      <w:pPr>
        <w:pStyle w:val="2"/>
        <w:spacing w:before="157" w:line="221" w:lineRule="auto"/>
        <w:ind w:left="650"/>
        <w:rPr>
          <w:sz w:val="20"/>
          <w:szCs w:val="20"/>
        </w:rPr>
      </w:pPr>
      <w:r>
        <w:rPr>
          <w:spacing w:val="26"/>
          <w:sz w:val="20"/>
          <w:szCs w:val="20"/>
        </w:rPr>
        <w:t>4)计日工表</w:t>
      </w:r>
    </w:p>
    <w:p w14:paraId="4F11A2E0">
      <w:pPr>
        <w:pStyle w:val="2"/>
        <w:spacing w:before="188" w:line="218" w:lineRule="auto"/>
        <w:ind w:left="440"/>
        <w:rPr>
          <w:sz w:val="20"/>
          <w:szCs w:val="20"/>
        </w:rPr>
      </w:pPr>
      <w:r>
        <w:rPr>
          <w:spacing w:val="5"/>
          <w:sz w:val="20"/>
          <w:szCs w:val="20"/>
        </w:rPr>
        <w:t>10.规费和税金项目计价表。</w:t>
      </w:r>
    </w:p>
    <w:p w14:paraId="0A2FE5B0">
      <w:pPr>
        <w:pStyle w:val="2"/>
        <w:spacing w:before="164" w:line="219" w:lineRule="auto"/>
        <w:ind w:left="440"/>
        <w:rPr>
          <w:sz w:val="20"/>
          <w:szCs w:val="20"/>
        </w:rPr>
      </w:pPr>
      <w:r>
        <w:rPr>
          <w:spacing w:val="9"/>
          <w:sz w:val="20"/>
          <w:szCs w:val="20"/>
        </w:rPr>
        <w:t>11.发包人提供材料和工程设备一览表</w:t>
      </w:r>
    </w:p>
    <w:p w14:paraId="713591F6">
      <w:pPr>
        <w:spacing w:line="364" w:lineRule="auto"/>
        <w:rPr>
          <w:rFonts w:ascii="Arial"/>
          <w:sz w:val="21"/>
        </w:rPr>
      </w:pPr>
    </w:p>
    <w:p w14:paraId="7648A234">
      <w:pPr>
        <w:pStyle w:val="2"/>
        <w:spacing w:before="66" w:line="218" w:lineRule="auto"/>
        <w:ind w:left="440"/>
        <w:rPr>
          <w:sz w:val="20"/>
          <w:szCs w:val="20"/>
        </w:rPr>
      </w:pPr>
      <w:r>
        <w:rPr>
          <w:spacing w:val="9"/>
          <w:sz w:val="20"/>
          <w:szCs w:val="20"/>
        </w:rPr>
        <w:t>附：招标控制价明细</w:t>
      </w:r>
    </w:p>
    <w:p w14:paraId="74EE2DC7">
      <w:pPr>
        <w:spacing w:line="267" w:lineRule="auto"/>
        <w:rPr>
          <w:rFonts w:ascii="Arial"/>
          <w:sz w:val="21"/>
        </w:rPr>
      </w:pPr>
    </w:p>
    <w:p w14:paraId="4A2E9F8E">
      <w:pPr>
        <w:spacing w:line="268" w:lineRule="auto"/>
        <w:rPr>
          <w:rFonts w:ascii="Arial"/>
          <w:sz w:val="21"/>
        </w:rPr>
      </w:pPr>
    </w:p>
    <w:p w14:paraId="01941D40">
      <w:pPr>
        <w:pStyle w:val="2"/>
        <w:spacing w:before="66" w:line="218" w:lineRule="auto"/>
        <w:ind w:left="30"/>
        <w:rPr>
          <w:sz w:val="20"/>
          <w:szCs w:val="20"/>
        </w:rPr>
      </w:pPr>
      <w:r>
        <w:rPr>
          <w:spacing w:val="9"/>
          <w:sz w:val="20"/>
          <w:szCs w:val="20"/>
        </w:rPr>
        <w:t>备注：1. “招标控制价明细”与“招标控制价文件”</w:t>
      </w:r>
      <w:r>
        <w:rPr>
          <w:spacing w:val="8"/>
          <w:sz w:val="20"/>
          <w:szCs w:val="20"/>
        </w:rPr>
        <w:t>相比，缺少“综合单价分析表”。招标人应</w:t>
      </w:r>
    </w:p>
    <w:p w14:paraId="3ED9122A">
      <w:pPr>
        <w:pStyle w:val="2"/>
        <w:spacing w:before="23" w:line="218" w:lineRule="auto"/>
        <w:ind w:left="650"/>
        <w:rPr>
          <w:sz w:val="20"/>
          <w:szCs w:val="20"/>
        </w:rPr>
      </w:pPr>
      <w:r>
        <w:rPr>
          <w:spacing w:val="9"/>
          <w:sz w:val="20"/>
          <w:szCs w:val="20"/>
        </w:rPr>
        <w:t>当将“招标控制价明细”随招标文件或招标文件澄清修改文件一起发布，供投标人查询。</w:t>
      </w:r>
    </w:p>
    <w:p w14:paraId="6BA9533F">
      <w:pPr>
        <w:pStyle w:val="2"/>
        <w:spacing w:before="24" w:line="249" w:lineRule="auto"/>
        <w:ind w:left="640" w:right="52" w:firstLine="9"/>
        <w:jc w:val="both"/>
        <w:rPr>
          <w:sz w:val="20"/>
          <w:szCs w:val="20"/>
        </w:rPr>
      </w:pPr>
      <w:r>
        <w:rPr>
          <w:spacing w:val="11"/>
          <w:sz w:val="20"/>
          <w:szCs w:val="20"/>
        </w:rPr>
        <w:t>2. “招标控制价文件”是指招标人根据本章投标人须知第2.1.2项的</w:t>
      </w:r>
      <w:r>
        <w:rPr>
          <w:spacing w:val="10"/>
          <w:sz w:val="20"/>
          <w:szCs w:val="20"/>
        </w:rPr>
        <w:t>规定，采用符合《湖</w:t>
      </w:r>
      <w:r>
        <w:rPr>
          <w:sz w:val="20"/>
          <w:szCs w:val="20"/>
        </w:rPr>
        <w:t xml:space="preserve"> </w:t>
      </w:r>
      <w:r>
        <w:rPr>
          <w:spacing w:val="12"/>
          <w:sz w:val="20"/>
          <w:szCs w:val="20"/>
        </w:rPr>
        <w:t>北省建设工程造价应用软件数据交换规范》和《关于增加湖北省建设工程造价数据接口内</w:t>
      </w:r>
      <w:r>
        <w:rPr>
          <w:spacing w:val="18"/>
          <w:sz w:val="20"/>
          <w:szCs w:val="20"/>
        </w:rPr>
        <w:t xml:space="preserve"> </w:t>
      </w:r>
      <w:r>
        <w:rPr>
          <w:spacing w:val="13"/>
          <w:sz w:val="20"/>
          <w:szCs w:val="20"/>
        </w:rPr>
        <w:t>容的通知》(鄂建标函[2018]6号)要求的计价软件编制的完整的招标控制价。招标人应在</w:t>
      </w:r>
      <w:r>
        <w:rPr>
          <w:spacing w:val="10"/>
          <w:sz w:val="20"/>
          <w:szCs w:val="20"/>
        </w:rPr>
        <w:t xml:space="preserve"> </w:t>
      </w:r>
      <w:r>
        <w:rPr>
          <w:spacing w:val="1"/>
          <w:sz w:val="20"/>
          <w:szCs w:val="20"/>
        </w:rPr>
        <w:t>“电子交易平台”“招标控制价备案”菜单上传完整的“招标控制价文件”(后</w:t>
      </w:r>
      <w:r>
        <w:rPr>
          <w:sz w:val="20"/>
          <w:szCs w:val="20"/>
        </w:rPr>
        <w:t>缀名为.</w:t>
      </w:r>
      <w:r>
        <w:rPr>
          <w:rFonts w:ascii="Times New Roman" w:hAnsi="Times New Roman" w:eastAsia="Times New Roman" w:cs="Times New Roman"/>
          <w:sz w:val="20"/>
          <w:szCs w:val="20"/>
        </w:rPr>
        <w:t xml:space="preserve">HBKJ),  </w:t>
      </w:r>
      <w:r>
        <w:rPr>
          <w:spacing w:val="9"/>
          <w:sz w:val="20"/>
          <w:szCs w:val="20"/>
        </w:rPr>
        <w:t>以方便在评标阶段与投标人的已标价工程量清单进行对比和偏差分析。</w:t>
      </w:r>
    </w:p>
    <w:p w14:paraId="2998AC37">
      <w:pPr>
        <w:spacing w:line="249" w:lineRule="auto"/>
        <w:rPr>
          <w:sz w:val="20"/>
          <w:szCs w:val="20"/>
        </w:rPr>
        <w:sectPr>
          <w:footerReference r:id="rId48" w:type="default"/>
          <w:pgSz w:w="11910" w:h="16840"/>
          <w:pgMar w:top="1431" w:right="1490" w:bottom="1008" w:left="1439" w:header="0" w:footer="855" w:gutter="0"/>
          <w:cols w:space="720" w:num="1"/>
        </w:sectPr>
      </w:pPr>
    </w:p>
    <w:p w14:paraId="037E11B0">
      <w:pPr>
        <w:spacing w:line="467" w:lineRule="auto"/>
        <w:rPr>
          <w:rFonts w:ascii="Arial"/>
          <w:sz w:val="21"/>
        </w:rPr>
      </w:pPr>
    </w:p>
    <w:p w14:paraId="11881DC6">
      <w:pPr>
        <w:spacing w:before="74" w:line="222" w:lineRule="auto"/>
        <w:ind w:left="3"/>
        <w:outlineLvl w:val="1"/>
        <w:rPr>
          <w:rFonts w:ascii="黑体" w:hAnsi="黑体" w:eastAsia="黑体" w:cs="黑体"/>
          <w:sz w:val="23"/>
          <w:szCs w:val="23"/>
        </w:rPr>
      </w:pPr>
      <w:bookmarkStart w:id="115" w:name="bookmark87"/>
      <w:bookmarkEnd w:id="115"/>
      <w:r>
        <w:rPr>
          <w:rFonts w:ascii="黑体" w:hAnsi="黑体" w:eastAsia="黑体" w:cs="黑体"/>
          <w:b/>
          <w:bCs/>
          <w:spacing w:val="8"/>
          <w:sz w:val="23"/>
          <w:szCs w:val="23"/>
        </w:rPr>
        <w:t>附表十三：授权委托书</w:t>
      </w:r>
    </w:p>
    <w:p w14:paraId="75CBD2CE">
      <w:pPr>
        <w:spacing w:line="248" w:lineRule="auto"/>
        <w:rPr>
          <w:rFonts w:ascii="Arial"/>
          <w:sz w:val="21"/>
        </w:rPr>
      </w:pPr>
    </w:p>
    <w:p w14:paraId="76A78726">
      <w:pPr>
        <w:spacing w:line="248" w:lineRule="auto"/>
        <w:rPr>
          <w:rFonts w:ascii="Arial"/>
          <w:sz w:val="21"/>
        </w:rPr>
      </w:pPr>
    </w:p>
    <w:p w14:paraId="1A8838A8">
      <w:pPr>
        <w:spacing w:line="249" w:lineRule="auto"/>
        <w:rPr>
          <w:rFonts w:ascii="Arial"/>
          <w:sz w:val="21"/>
        </w:rPr>
      </w:pPr>
    </w:p>
    <w:p w14:paraId="40FBC53C">
      <w:pPr>
        <w:spacing w:line="249" w:lineRule="auto"/>
        <w:rPr>
          <w:rFonts w:ascii="Arial"/>
          <w:sz w:val="21"/>
        </w:rPr>
      </w:pPr>
    </w:p>
    <w:p w14:paraId="6DAA342F">
      <w:pPr>
        <w:spacing w:before="94" w:line="222" w:lineRule="auto"/>
        <w:ind w:left="3754"/>
        <w:rPr>
          <w:rFonts w:ascii="黑体" w:hAnsi="黑体" w:eastAsia="黑体" w:cs="黑体"/>
          <w:sz w:val="29"/>
          <w:szCs w:val="29"/>
        </w:rPr>
      </w:pPr>
      <w:bookmarkStart w:id="116" w:name="bookmark246"/>
      <w:bookmarkEnd w:id="116"/>
      <w:r>
        <w:rPr>
          <w:rFonts w:ascii="黑体" w:hAnsi="黑体" w:eastAsia="黑体" w:cs="黑体"/>
          <w:b/>
          <w:bCs/>
          <w:spacing w:val="-5"/>
          <w:sz w:val="29"/>
          <w:szCs w:val="29"/>
        </w:rPr>
        <w:t>授权委托书</w:t>
      </w:r>
    </w:p>
    <w:p w14:paraId="5BF8BDA6">
      <w:pPr>
        <w:spacing w:line="350" w:lineRule="auto"/>
        <w:rPr>
          <w:rFonts w:ascii="Arial"/>
          <w:sz w:val="21"/>
        </w:rPr>
      </w:pPr>
    </w:p>
    <w:p w14:paraId="48546570">
      <w:pPr>
        <w:spacing w:line="351" w:lineRule="auto"/>
        <w:rPr>
          <w:rFonts w:ascii="Arial"/>
          <w:sz w:val="21"/>
        </w:rPr>
      </w:pPr>
    </w:p>
    <w:p w14:paraId="733F09C2">
      <w:pPr>
        <w:pStyle w:val="2"/>
        <w:spacing w:before="65" w:line="454" w:lineRule="auto"/>
        <w:ind w:firstLine="419"/>
        <w:jc w:val="both"/>
        <w:rPr>
          <w:sz w:val="20"/>
          <w:szCs w:val="20"/>
        </w:rPr>
      </w:pPr>
      <w:r>
        <w:rPr>
          <w:spacing w:val="4"/>
          <w:sz w:val="20"/>
          <w:szCs w:val="20"/>
        </w:rPr>
        <w:t>本人</w:t>
      </w:r>
      <w:r>
        <w:rPr>
          <w:spacing w:val="-92"/>
          <w:sz w:val="20"/>
          <w:szCs w:val="20"/>
        </w:rPr>
        <w:t xml:space="preserve"> </w:t>
      </w:r>
      <w:r>
        <w:rPr>
          <w:spacing w:val="20"/>
          <w:sz w:val="20"/>
          <w:szCs w:val="20"/>
          <w:u w:val="single" w:color="auto"/>
        </w:rPr>
        <w:t xml:space="preserve">     </w:t>
      </w:r>
      <w:r>
        <w:rPr>
          <w:spacing w:val="-30"/>
          <w:sz w:val="20"/>
          <w:szCs w:val="20"/>
        </w:rPr>
        <w:t xml:space="preserve"> </w:t>
      </w:r>
      <w:r>
        <w:rPr>
          <w:spacing w:val="4"/>
          <w:sz w:val="20"/>
          <w:szCs w:val="20"/>
        </w:rPr>
        <w:t>(</w:t>
      </w:r>
      <w:r>
        <w:rPr>
          <w:spacing w:val="-37"/>
          <w:sz w:val="20"/>
          <w:szCs w:val="20"/>
        </w:rPr>
        <w:t xml:space="preserve"> </w:t>
      </w:r>
      <w:r>
        <w:rPr>
          <w:spacing w:val="4"/>
          <w:sz w:val="20"/>
          <w:szCs w:val="20"/>
        </w:rPr>
        <w:t>姓</w:t>
      </w:r>
      <w:r>
        <w:rPr>
          <w:spacing w:val="-34"/>
          <w:sz w:val="20"/>
          <w:szCs w:val="20"/>
        </w:rPr>
        <w:t xml:space="preserve"> </w:t>
      </w:r>
      <w:r>
        <w:rPr>
          <w:spacing w:val="4"/>
          <w:sz w:val="20"/>
          <w:szCs w:val="20"/>
        </w:rPr>
        <w:t>名</w:t>
      </w:r>
      <w:r>
        <w:rPr>
          <w:spacing w:val="-36"/>
          <w:sz w:val="20"/>
          <w:szCs w:val="20"/>
        </w:rPr>
        <w:t xml:space="preserve"> </w:t>
      </w:r>
      <w:r>
        <w:rPr>
          <w:spacing w:val="4"/>
          <w:sz w:val="20"/>
          <w:szCs w:val="20"/>
        </w:rPr>
        <w:t>)</w:t>
      </w:r>
      <w:r>
        <w:rPr>
          <w:spacing w:val="-33"/>
          <w:sz w:val="20"/>
          <w:szCs w:val="20"/>
        </w:rPr>
        <w:t xml:space="preserve"> </w:t>
      </w:r>
      <w:r>
        <w:rPr>
          <w:spacing w:val="4"/>
          <w:sz w:val="20"/>
          <w:szCs w:val="20"/>
        </w:rPr>
        <w:t>系</w:t>
      </w:r>
      <w:r>
        <w:rPr>
          <w:spacing w:val="-99"/>
          <w:sz w:val="20"/>
          <w:szCs w:val="20"/>
        </w:rPr>
        <w:t xml:space="preserve"> </w:t>
      </w:r>
      <w:r>
        <w:rPr>
          <w:spacing w:val="7"/>
          <w:sz w:val="20"/>
          <w:szCs w:val="20"/>
          <w:u w:val="single" w:color="auto"/>
        </w:rPr>
        <w:t xml:space="preserve">         </w:t>
      </w:r>
      <w:r>
        <w:rPr>
          <w:spacing w:val="-23"/>
          <w:sz w:val="20"/>
          <w:szCs w:val="20"/>
        </w:rPr>
        <w:t xml:space="preserve"> </w:t>
      </w:r>
      <w:r>
        <w:rPr>
          <w:spacing w:val="4"/>
          <w:sz w:val="20"/>
          <w:szCs w:val="20"/>
        </w:rPr>
        <w:t>(投标人名称)的法定代表人，现委托</w:t>
      </w:r>
      <w:r>
        <w:rPr>
          <w:spacing w:val="-88"/>
          <w:sz w:val="20"/>
          <w:szCs w:val="20"/>
        </w:rPr>
        <w:t xml:space="preserve"> </w:t>
      </w:r>
      <w:r>
        <w:rPr>
          <w:spacing w:val="4"/>
          <w:sz w:val="20"/>
          <w:szCs w:val="20"/>
          <w:u w:val="single" w:color="auto"/>
        </w:rPr>
        <w:t xml:space="preserve">      </w:t>
      </w:r>
      <w:r>
        <w:rPr>
          <w:spacing w:val="4"/>
          <w:sz w:val="20"/>
          <w:szCs w:val="20"/>
        </w:rPr>
        <w:t xml:space="preserve"> (</w:t>
      </w:r>
      <w:r>
        <w:rPr>
          <w:spacing w:val="-46"/>
          <w:sz w:val="20"/>
          <w:szCs w:val="20"/>
        </w:rPr>
        <w:t xml:space="preserve"> </w:t>
      </w:r>
      <w:r>
        <w:rPr>
          <w:spacing w:val="4"/>
          <w:sz w:val="20"/>
          <w:szCs w:val="20"/>
        </w:rPr>
        <w:t>姓</w:t>
      </w:r>
      <w:r>
        <w:rPr>
          <w:spacing w:val="-43"/>
          <w:sz w:val="20"/>
          <w:szCs w:val="20"/>
        </w:rPr>
        <w:t xml:space="preserve"> </w:t>
      </w:r>
      <w:r>
        <w:rPr>
          <w:spacing w:val="4"/>
          <w:sz w:val="20"/>
          <w:szCs w:val="20"/>
        </w:rPr>
        <w:t>名</w:t>
      </w:r>
      <w:r>
        <w:rPr>
          <w:spacing w:val="-46"/>
          <w:sz w:val="20"/>
          <w:szCs w:val="20"/>
        </w:rPr>
        <w:t xml:space="preserve"> </w:t>
      </w:r>
      <w:r>
        <w:rPr>
          <w:spacing w:val="4"/>
          <w:sz w:val="20"/>
          <w:szCs w:val="20"/>
        </w:rPr>
        <w:t>)</w:t>
      </w:r>
      <w:r>
        <w:rPr>
          <w:spacing w:val="-43"/>
          <w:sz w:val="20"/>
          <w:szCs w:val="20"/>
        </w:rPr>
        <w:t xml:space="preserve"> </w:t>
      </w:r>
      <w:r>
        <w:rPr>
          <w:spacing w:val="4"/>
          <w:sz w:val="20"/>
          <w:szCs w:val="20"/>
        </w:rPr>
        <w:t>为</w:t>
      </w:r>
      <w:r>
        <w:rPr>
          <w:spacing w:val="-45"/>
          <w:sz w:val="20"/>
          <w:szCs w:val="20"/>
        </w:rPr>
        <w:t xml:space="preserve"> </w:t>
      </w:r>
      <w:r>
        <w:rPr>
          <w:spacing w:val="4"/>
          <w:sz w:val="20"/>
          <w:szCs w:val="20"/>
        </w:rPr>
        <w:t>我</w:t>
      </w:r>
      <w:r>
        <w:rPr>
          <w:sz w:val="20"/>
          <w:szCs w:val="20"/>
        </w:rPr>
        <w:t xml:space="preserve"> 方代理人。代理人根据授权，以我方名义签署、澄清、说明、补正、递交、撤回</w:t>
      </w:r>
      <w:r>
        <w:rPr>
          <w:spacing w:val="-1"/>
          <w:sz w:val="20"/>
          <w:szCs w:val="20"/>
        </w:rPr>
        <w:t>、修改</w:t>
      </w:r>
      <w:r>
        <w:rPr>
          <w:spacing w:val="-82"/>
          <w:sz w:val="20"/>
          <w:szCs w:val="20"/>
        </w:rPr>
        <w:t xml:space="preserve"> </w:t>
      </w:r>
      <w:r>
        <w:rPr>
          <w:spacing w:val="-1"/>
          <w:sz w:val="20"/>
          <w:szCs w:val="20"/>
          <w:u w:val="single" w:color="auto"/>
        </w:rPr>
        <w:t xml:space="preserve">         </w:t>
      </w:r>
      <w:r>
        <w:rPr>
          <w:spacing w:val="-1"/>
          <w:sz w:val="20"/>
          <w:szCs w:val="20"/>
        </w:rPr>
        <w:t>(</w:t>
      </w:r>
      <w:r>
        <w:rPr>
          <w:spacing w:val="37"/>
          <w:sz w:val="20"/>
          <w:szCs w:val="20"/>
        </w:rPr>
        <w:t xml:space="preserve"> </w:t>
      </w:r>
      <w:r>
        <w:rPr>
          <w:spacing w:val="-1"/>
          <w:sz w:val="20"/>
          <w:szCs w:val="20"/>
        </w:rPr>
        <w:t>项</w:t>
      </w:r>
      <w:r>
        <w:rPr>
          <w:sz w:val="20"/>
          <w:szCs w:val="20"/>
        </w:rPr>
        <w:t xml:space="preserve"> </w:t>
      </w:r>
      <w:r>
        <w:rPr>
          <w:spacing w:val="11"/>
          <w:sz w:val="20"/>
          <w:szCs w:val="20"/>
        </w:rPr>
        <w:t>目</w:t>
      </w:r>
      <w:r>
        <w:rPr>
          <w:spacing w:val="-20"/>
          <w:sz w:val="20"/>
          <w:szCs w:val="20"/>
        </w:rPr>
        <w:t xml:space="preserve"> </w:t>
      </w:r>
      <w:r>
        <w:rPr>
          <w:spacing w:val="11"/>
          <w:sz w:val="20"/>
          <w:szCs w:val="20"/>
        </w:rPr>
        <w:t>名</w:t>
      </w:r>
      <w:r>
        <w:rPr>
          <w:spacing w:val="-30"/>
          <w:sz w:val="20"/>
          <w:szCs w:val="20"/>
        </w:rPr>
        <w:t xml:space="preserve"> </w:t>
      </w:r>
      <w:r>
        <w:rPr>
          <w:spacing w:val="11"/>
          <w:sz w:val="20"/>
          <w:szCs w:val="20"/>
        </w:rPr>
        <w:t>称</w:t>
      </w:r>
      <w:r>
        <w:rPr>
          <w:spacing w:val="-28"/>
          <w:sz w:val="20"/>
          <w:szCs w:val="20"/>
        </w:rPr>
        <w:t xml:space="preserve"> </w:t>
      </w:r>
      <w:r>
        <w:rPr>
          <w:spacing w:val="11"/>
          <w:sz w:val="20"/>
          <w:szCs w:val="20"/>
        </w:rPr>
        <w:t>)</w:t>
      </w:r>
      <w:r>
        <w:rPr>
          <w:spacing w:val="11"/>
          <w:sz w:val="20"/>
          <w:szCs w:val="20"/>
          <w:u w:val="single" w:color="auto"/>
        </w:rPr>
        <w:t xml:space="preserve">        </w:t>
      </w:r>
      <w:r>
        <w:rPr>
          <w:spacing w:val="10"/>
          <w:sz w:val="20"/>
          <w:szCs w:val="20"/>
        </w:rPr>
        <w:t xml:space="preserve"> </w:t>
      </w:r>
      <w:r>
        <w:rPr>
          <w:spacing w:val="11"/>
          <w:sz w:val="20"/>
          <w:szCs w:val="20"/>
        </w:rPr>
        <w:t>(标段名称)施工投标文件、签订合同和处理有关事宜，其法律后果由我方承</w:t>
      </w:r>
      <w:r>
        <w:rPr>
          <w:sz w:val="20"/>
          <w:szCs w:val="20"/>
        </w:rPr>
        <w:t xml:space="preserve"> 担。</w:t>
      </w:r>
    </w:p>
    <w:p w14:paraId="643DE309">
      <w:pPr>
        <w:pStyle w:val="2"/>
        <w:spacing w:before="144" w:line="220" w:lineRule="auto"/>
        <w:ind w:left="419"/>
        <w:rPr>
          <w:sz w:val="20"/>
          <w:szCs w:val="20"/>
        </w:rPr>
      </w:pPr>
      <w:r>
        <w:rPr>
          <w:spacing w:val="1"/>
          <w:sz w:val="20"/>
          <w:szCs w:val="20"/>
        </w:rPr>
        <w:t>委托期限：</w:t>
      </w:r>
      <w:r>
        <w:rPr>
          <w:spacing w:val="1"/>
          <w:sz w:val="20"/>
          <w:szCs w:val="20"/>
          <w:u w:val="single" w:color="auto"/>
        </w:rPr>
        <w:t xml:space="preserve">                                                             </w:t>
      </w:r>
    </w:p>
    <w:p w14:paraId="4E8288B6">
      <w:pPr>
        <w:spacing w:line="351" w:lineRule="auto"/>
        <w:rPr>
          <w:rFonts w:ascii="Arial"/>
          <w:sz w:val="21"/>
        </w:rPr>
      </w:pPr>
    </w:p>
    <w:p w14:paraId="16280FB6">
      <w:pPr>
        <w:tabs>
          <w:tab w:val="left" w:pos="7489"/>
        </w:tabs>
        <w:spacing w:before="21" w:line="188" w:lineRule="auto"/>
        <w:ind w:left="1489"/>
        <w:rPr>
          <w:rFonts w:ascii="Times New Roman" w:hAnsi="Times New Roman" w:eastAsia="Times New Roman" w:cs="Times New Roman"/>
          <w:sz w:val="7"/>
          <w:szCs w:val="7"/>
        </w:rPr>
      </w:pPr>
      <w:r>
        <w:rPr>
          <w:rFonts w:ascii="Times New Roman" w:hAnsi="Times New Roman" w:eastAsia="Times New Roman" w:cs="Times New Roman"/>
          <w:sz w:val="7"/>
          <w:szCs w:val="7"/>
          <w:u w:val="single" w:color="auto"/>
        </w:rPr>
        <w:tab/>
      </w:r>
      <w:r>
        <w:rPr>
          <w:rFonts w:ascii="Times New Roman" w:hAnsi="Times New Roman" w:eastAsia="Times New Roman" w:cs="Times New Roman"/>
          <w:spacing w:val="-7"/>
          <w:sz w:val="7"/>
          <w:szCs w:val="7"/>
        </w:rPr>
        <w:t xml:space="preserve"> </w:t>
      </w:r>
      <w:r>
        <w:rPr>
          <w:rFonts w:ascii="Times New Roman" w:hAnsi="Times New Roman" w:eastAsia="Times New Roman" w:cs="Times New Roman"/>
          <w:sz w:val="7"/>
          <w:szCs w:val="7"/>
        </w:rPr>
        <w:t>0</w:t>
      </w:r>
    </w:p>
    <w:p w14:paraId="3BDC2E0E">
      <w:pPr>
        <w:spacing w:line="247" w:lineRule="auto"/>
        <w:rPr>
          <w:rFonts w:ascii="Arial"/>
          <w:sz w:val="21"/>
        </w:rPr>
      </w:pPr>
    </w:p>
    <w:p w14:paraId="36C85977">
      <w:pPr>
        <w:spacing w:line="248" w:lineRule="auto"/>
        <w:rPr>
          <w:rFonts w:ascii="Arial"/>
          <w:sz w:val="21"/>
        </w:rPr>
      </w:pPr>
    </w:p>
    <w:p w14:paraId="01DA9AC0">
      <w:pPr>
        <w:pStyle w:val="2"/>
        <w:spacing w:before="66" w:line="219" w:lineRule="auto"/>
        <w:ind w:left="419"/>
        <w:rPr>
          <w:sz w:val="20"/>
          <w:szCs w:val="20"/>
        </w:rPr>
      </w:pPr>
      <w:r>
        <w:rPr>
          <w:spacing w:val="8"/>
          <w:sz w:val="20"/>
          <w:szCs w:val="20"/>
        </w:rPr>
        <w:t>代理人无转委托权。</w:t>
      </w:r>
    </w:p>
    <w:p w14:paraId="34411429">
      <w:pPr>
        <w:spacing w:line="433" w:lineRule="auto"/>
        <w:rPr>
          <w:rFonts w:ascii="Arial"/>
          <w:sz w:val="21"/>
        </w:rPr>
      </w:pPr>
    </w:p>
    <w:p w14:paraId="16196831">
      <w:pPr>
        <w:pStyle w:val="2"/>
        <w:spacing w:before="66" w:line="219" w:lineRule="auto"/>
        <w:ind w:left="419"/>
        <w:rPr>
          <w:sz w:val="20"/>
          <w:szCs w:val="20"/>
        </w:rPr>
      </w:pPr>
      <w:r>
        <w:rPr>
          <w:spacing w:val="10"/>
          <w:sz w:val="20"/>
          <w:szCs w:val="20"/>
        </w:rPr>
        <w:t>附：法定代表人身份证明</w:t>
      </w:r>
    </w:p>
    <w:p w14:paraId="7F13ACAF">
      <w:pPr>
        <w:spacing w:line="300" w:lineRule="auto"/>
        <w:rPr>
          <w:rFonts w:ascii="Arial"/>
          <w:sz w:val="21"/>
        </w:rPr>
      </w:pPr>
    </w:p>
    <w:p w14:paraId="3B68548F">
      <w:pPr>
        <w:spacing w:line="301" w:lineRule="auto"/>
        <w:rPr>
          <w:rFonts w:ascii="Arial"/>
          <w:sz w:val="21"/>
        </w:rPr>
      </w:pPr>
    </w:p>
    <w:p w14:paraId="6DF13BEA">
      <w:pPr>
        <w:spacing w:line="301" w:lineRule="auto"/>
        <w:rPr>
          <w:rFonts w:ascii="Arial"/>
          <w:sz w:val="21"/>
        </w:rPr>
      </w:pPr>
    </w:p>
    <w:p w14:paraId="24EE71CC">
      <w:pPr>
        <w:pStyle w:val="2"/>
        <w:spacing w:before="65" w:line="219" w:lineRule="auto"/>
        <w:ind w:left="3589"/>
        <w:rPr>
          <w:sz w:val="20"/>
          <w:szCs w:val="20"/>
        </w:rPr>
      </w:pPr>
      <w:r>
        <w:rPr>
          <w:spacing w:val="4"/>
          <w:sz w:val="20"/>
          <w:szCs w:val="20"/>
        </w:rPr>
        <w:t>投</w:t>
      </w:r>
      <w:r>
        <w:rPr>
          <w:spacing w:val="18"/>
          <w:sz w:val="20"/>
          <w:szCs w:val="20"/>
        </w:rPr>
        <w:t xml:space="preserve">  </w:t>
      </w:r>
      <w:r>
        <w:rPr>
          <w:spacing w:val="4"/>
          <w:sz w:val="20"/>
          <w:szCs w:val="20"/>
        </w:rPr>
        <w:t>标  人 ：</w:t>
      </w:r>
      <w:r>
        <w:rPr>
          <w:spacing w:val="4"/>
          <w:sz w:val="20"/>
          <w:szCs w:val="20"/>
          <w:u w:val="single" w:color="auto"/>
        </w:rPr>
        <w:t xml:space="preserve">                        </w:t>
      </w:r>
      <w:r>
        <w:rPr>
          <w:spacing w:val="4"/>
          <w:sz w:val="20"/>
          <w:szCs w:val="20"/>
        </w:rPr>
        <w:t xml:space="preserve"> </w:t>
      </w:r>
      <w:r>
        <w:rPr>
          <w:spacing w:val="3"/>
          <w:sz w:val="20"/>
          <w:szCs w:val="20"/>
        </w:rPr>
        <w:t>(盖单位章)</w:t>
      </w:r>
    </w:p>
    <w:p w14:paraId="35F23CD1">
      <w:pPr>
        <w:spacing w:line="366" w:lineRule="auto"/>
        <w:rPr>
          <w:rFonts w:ascii="Arial"/>
          <w:sz w:val="21"/>
        </w:rPr>
      </w:pPr>
    </w:p>
    <w:p w14:paraId="0D568721">
      <w:pPr>
        <w:pStyle w:val="2"/>
        <w:spacing w:before="66" w:line="219" w:lineRule="auto"/>
        <w:ind w:left="3589"/>
        <w:rPr>
          <w:sz w:val="20"/>
          <w:szCs w:val="20"/>
        </w:rPr>
      </w:pPr>
      <w:r>
        <w:rPr>
          <w:spacing w:val="2"/>
          <w:sz w:val="20"/>
          <w:szCs w:val="20"/>
        </w:rPr>
        <w:t>法定代表人：</w:t>
      </w:r>
      <w:r>
        <w:rPr>
          <w:spacing w:val="2"/>
          <w:sz w:val="20"/>
          <w:szCs w:val="20"/>
          <w:u w:val="single" w:color="auto"/>
        </w:rPr>
        <w:t xml:space="preserve">                          </w:t>
      </w:r>
      <w:r>
        <w:rPr>
          <w:spacing w:val="1"/>
          <w:sz w:val="20"/>
          <w:szCs w:val="20"/>
          <w:u w:val="single" w:color="auto"/>
        </w:rPr>
        <w:t xml:space="preserve">    </w:t>
      </w:r>
      <w:r>
        <w:rPr>
          <w:spacing w:val="10"/>
          <w:sz w:val="20"/>
          <w:szCs w:val="20"/>
        </w:rPr>
        <w:t xml:space="preserve"> </w:t>
      </w:r>
      <w:r>
        <w:rPr>
          <w:spacing w:val="1"/>
          <w:sz w:val="20"/>
          <w:szCs w:val="20"/>
        </w:rPr>
        <w:t>(签字)</w:t>
      </w:r>
    </w:p>
    <w:p w14:paraId="429721AA">
      <w:pPr>
        <w:spacing w:line="365" w:lineRule="auto"/>
        <w:rPr>
          <w:rFonts w:ascii="Arial"/>
          <w:sz w:val="21"/>
        </w:rPr>
      </w:pPr>
    </w:p>
    <w:p w14:paraId="7D39B8BF">
      <w:pPr>
        <w:pStyle w:val="2"/>
        <w:spacing w:before="65" w:line="219" w:lineRule="auto"/>
        <w:ind w:left="3589"/>
        <w:rPr>
          <w:sz w:val="20"/>
          <w:szCs w:val="20"/>
        </w:rPr>
      </w:pPr>
      <w:r>
        <w:rPr>
          <w:sz w:val="20"/>
          <w:szCs w:val="20"/>
        </w:rPr>
        <w:t>身份证号码：</w:t>
      </w:r>
      <w:r>
        <w:rPr>
          <w:spacing w:val="-50"/>
          <w:sz w:val="20"/>
          <w:szCs w:val="20"/>
        </w:rPr>
        <w:t xml:space="preserve"> </w:t>
      </w:r>
      <w:r>
        <w:rPr>
          <w:sz w:val="20"/>
          <w:szCs w:val="20"/>
          <w:u w:val="single" w:color="auto"/>
        </w:rPr>
        <w:t xml:space="preserve">                                     </w:t>
      </w:r>
    </w:p>
    <w:p w14:paraId="53C26627">
      <w:pPr>
        <w:spacing w:line="365" w:lineRule="auto"/>
        <w:rPr>
          <w:rFonts w:ascii="Arial"/>
          <w:sz w:val="21"/>
        </w:rPr>
      </w:pPr>
    </w:p>
    <w:p w14:paraId="6FD8E27B">
      <w:pPr>
        <w:pStyle w:val="2"/>
        <w:spacing w:before="66" w:line="219" w:lineRule="auto"/>
        <w:ind w:left="3589"/>
        <w:rPr>
          <w:sz w:val="20"/>
          <w:szCs w:val="20"/>
        </w:rPr>
      </w:pPr>
      <w:r>
        <w:rPr>
          <w:spacing w:val="2"/>
          <w:sz w:val="20"/>
          <w:szCs w:val="20"/>
        </w:rPr>
        <w:t>委托代理人：</w:t>
      </w:r>
      <w:r>
        <w:rPr>
          <w:spacing w:val="2"/>
          <w:sz w:val="20"/>
          <w:szCs w:val="20"/>
          <w:u w:val="single" w:color="auto"/>
        </w:rPr>
        <w:t xml:space="preserve">                          </w:t>
      </w:r>
      <w:r>
        <w:rPr>
          <w:spacing w:val="1"/>
          <w:sz w:val="20"/>
          <w:szCs w:val="20"/>
          <w:u w:val="single" w:color="auto"/>
        </w:rPr>
        <w:t xml:space="preserve">    </w:t>
      </w:r>
      <w:r>
        <w:rPr>
          <w:spacing w:val="10"/>
          <w:sz w:val="20"/>
          <w:szCs w:val="20"/>
        </w:rPr>
        <w:t xml:space="preserve"> </w:t>
      </w:r>
      <w:r>
        <w:rPr>
          <w:spacing w:val="1"/>
          <w:sz w:val="20"/>
          <w:szCs w:val="20"/>
        </w:rPr>
        <w:t>(签字)</w:t>
      </w:r>
    </w:p>
    <w:p w14:paraId="05EBBE82">
      <w:pPr>
        <w:spacing w:line="365" w:lineRule="auto"/>
        <w:rPr>
          <w:rFonts w:ascii="Arial"/>
          <w:sz w:val="21"/>
        </w:rPr>
      </w:pPr>
    </w:p>
    <w:p w14:paraId="528593E7">
      <w:pPr>
        <w:pStyle w:val="2"/>
        <w:spacing w:before="65" w:line="219" w:lineRule="auto"/>
        <w:ind w:left="3589"/>
        <w:rPr>
          <w:sz w:val="20"/>
          <w:szCs w:val="20"/>
        </w:rPr>
      </w:pPr>
      <w:r>
        <w:rPr>
          <w:sz w:val="20"/>
          <w:szCs w:val="20"/>
        </w:rPr>
        <w:t>身份证号码：</w:t>
      </w:r>
      <w:r>
        <w:rPr>
          <w:spacing w:val="-70"/>
          <w:sz w:val="20"/>
          <w:szCs w:val="20"/>
        </w:rPr>
        <w:t xml:space="preserve"> </w:t>
      </w:r>
      <w:r>
        <w:rPr>
          <w:sz w:val="20"/>
          <w:szCs w:val="20"/>
          <w:u w:val="single" w:color="auto"/>
        </w:rPr>
        <w:t xml:space="preserve">                                     </w:t>
      </w:r>
    </w:p>
    <w:p w14:paraId="0CEF2B5E">
      <w:pPr>
        <w:spacing w:line="385" w:lineRule="auto"/>
        <w:rPr>
          <w:rFonts w:ascii="Arial"/>
          <w:sz w:val="21"/>
        </w:rPr>
      </w:pPr>
    </w:p>
    <w:p w14:paraId="782ED6B6">
      <w:pPr>
        <w:pStyle w:val="2"/>
        <w:tabs>
          <w:tab w:val="left" w:pos="5679"/>
        </w:tabs>
        <w:spacing w:before="66" w:line="219" w:lineRule="auto"/>
        <w:ind w:left="4839"/>
        <w:rPr>
          <w:sz w:val="20"/>
          <w:szCs w:val="20"/>
        </w:rPr>
      </w:pPr>
      <w:r>
        <w:rPr>
          <w:sz w:val="20"/>
          <w:szCs w:val="20"/>
          <w:u w:val="single" w:color="auto"/>
        </w:rPr>
        <w:tab/>
      </w:r>
      <w:r>
        <w:rPr>
          <w:spacing w:val="-24"/>
          <w:sz w:val="20"/>
          <w:szCs w:val="20"/>
          <w:u w:val="single" w:color="auto"/>
        </w:rPr>
        <w:t xml:space="preserve">年            </w:t>
      </w:r>
      <w:r>
        <w:rPr>
          <w:spacing w:val="-83"/>
          <w:sz w:val="20"/>
          <w:szCs w:val="20"/>
        </w:rPr>
        <w:t xml:space="preserve"> </w:t>
      </w:r>
      <w:r>
        <w:rPr>
          <w:spacing w:val="-24"/>
          <w:sz w:val="20"/>
          <w:szCs w:val="20"/>
        </w:rPr>
        <w:t>月</w:t>
      </w:r>
      <w:r>
        <w:rPr>
          <w:spacing w:val="-98"/>
          <w:sz w:val="20"/>
          <w:szCs w:val="20"/>
        </w:rPr>
        <w:t xml:space="preserve"> </w:t>
      </w:r>
      <w:r>
        <w:rPr>
          <w:spacing w:val="6"/>
          <w:sz w:val="20"/>
          <w:szCs w:val="20"/>
          <w:u w:val="single" w:color="auto"/>
        </w:rPr>
        <w:t xml:space="preserve">        </w:t>
      </w:r>
      <w:r>
        <w:rPr>
          <w:spacing w:val="-68"/>
          <w:sz w:val="20"/>
          <w:szCs w:val="20"/>
        </w:rPr>
        <w:t xml:space="preserve"> </w:t>
      </w:r>
      <w:r>
        <w:rPr>
          <w:spacing w:val="-24"/>
          <w:sz w:val="20"/>
          <w:szCs w:val="20"/>
        </w:rPr>
        <w:t>日</w:t>
      </w:r>
    </w:p>
    <w:p w14:paraId="529E8937">
      <w:pPr>
        <w:spacing w:line="219" w:lineRule="auto"/>
        <w:rPr>
          <w:sz w:val="20"/>
          <w:szCs w:val="20"/>
        </w:rPr>
        <w:sectPr>
          <w:footerReference r:id="rId49" w:type="default"/>
          <w:pgSz w:w="11910" w:h="16840"/>
          <w:pgMar w:top="1431" w:right="1517" w:bottom="1029" w:left="1450" w:header="0" w:footer="849" w:gutter="0"/>
          <w:cols w:space="720" w:num="1"/>
        </w:sectPr>
      </w:pPr>
    </w:p>
    <w:p w14:paraId="7ECD4CB1">
      <w:pPr>
        <w:spacing w:before="314" w:line="221" w:lineRule="auto"/>
        <w:ind w:left="2837"/>
        <w:rPr>
          <w:rFonts w:ascii="黑体" w:hAnsi="黑体" w:eastAsia="黑体" w:cs="黑体"/>
          <w:sz w:val="32"/>
          <w:szCs w:val="32"/>
        </w:rPr>
      </w:pPr>
      <w:r>
        <w:rPr>
          <w:rFonts w:ascii="黑体" w:hAnsi="黑体" w:eastAsia="黑体" w:cs="黑体"/>
          <w:b/>
          <w:bCs/>
          <w:spacing w:val="-2"/>
          <w:sz w:val="32"/>
          <w:szCs w:val="32"/>
        </w:rPr>
        <w:t>第三章</w:t>
      </w:r>
      <w:r>
        <w:rPr>
          <w:rFonts w:ascii="黑体" w:hAnsi="黑体" w:eastAsia="黑体" w:cs="黑体"/>
          <w:spacing w:val="-2"/>
          <w:sz w:val="32"/>
          <w:szCs w:val="32"/>
        </w:rPr>
        <w:t xml:space="preserve">  </w:t>
      </w:r>
      <w:r>
        <w:rPr>
          <w:rFonts w:ascii="黑体" w:hAnsi="黑体" w:eastAsia="黑体" w:cs="黑体"/>
          <w:b/>
          <w:bCs/>
          <w:spacing w:val="-2"/>
          <w:sz w:val="32"/>
          <w:szCs w:val="32"/>
        </w:rPr>
        <w:t>评标办法</w:t>
      </w:r>
    </w:p>
    <w:p w14:paraId="14DA3DDD">
      <w:pPr>
        <w:spacing w:line="221" w:lineRule="auto"/>
        <w:rPr>
          <w:rFonts w:ascii="黑体" w:hAnsi="黑体" w:eastAsia="黑体" w:cs="黑体"/>
          <w:sz w:val="32"/>
          <w:szCs w:val="32"/>
        </w:rPr>
        <w:sectPr>
          <w:footerReference r:id="rId50" w:type="default"/>
          <w:pgSz w:w="11910" w:h="16840"/>
          <w:pgMar w:top="1431" w:right="1786" w:bottom="1008" w:left="1786" w:header="0" w:footer="855" w:gutter="0"/>
          <w:cols w:space="720" w:num="1"/>
        </w:sectPr>
      </w:pPr>
    </w:p>
    <w:p w14:paraId="46CE6105">
      <w:pPr>
        <w:spacing w:line="285" w:lineRule="auto"/>
        <w:rPr>
          <w:rFonts w:ascii="Arial"/>
          <w:sz w:val="21"/>
        </w:rPr>
      </w:pPr>
    </w:p>
    <w:p w14:paraId="26AEBD86">
      <w:pPr>
        <w:spacing w:before="107" w:line="221" w:lineRule="auto"/>
        <w:ind w:left="3159"/>
        <w:outlineLvl w:val="0"/>
        <w:rPr>
          <w:rFonts w:ascii="Arial"/>
          <w:sz w:val="21"/>
        </w:rPr>
      </w:pPr>
      <w:bookmarkStart w:id="117" w:name="bookmark88"/>
      <w:bookmarkEnd w:id="117"/>
      <w:bookmarkStart w:id="118" w:name="bookmark247"/>
      <w:bookmarkEnd w:id="118"/>
      <w:r>
        <w:rPr>
          <w:rFonts w:ascii="黑体" w:hAnsi="黑体" w:eastAsia="黑体" w:cs="黑体"/>
          <w:b/>
          <w:bCs/>
          <w:spacing w:val="-9"/>
          <w:sz w:val="33"/>
          <w:szCs w:val="33"/>
        </w:rPr>
        <w:t>第三章</w:t>
      </w:r>
      <w:r>
        <w:rPr>
          <w:rFonts w:ascii="黑体" w:hAnsi="黑体" w:eastAsia="黑体" w:cs="黑体"/>
          <w:spacing w:val="-9"/>
          <w:sz w:val="33"/>
          <w:szCs w:val="33"/>
        </w:rPr>
        <w:t xml:space="preserve">  </w:t>
      </w:r>
      <w:r>
        <w:rPr>
          <w:rFonts w:ascii="黑体" w:hAnsi="黑体" w:eastAsia="黑体" w:cs="黑体"/>
          <w:b/>
          <w:bCs/>
          <w:spacing w:val="-9"/>
          <w:sz w:val="33"/>
          <w:szCs w:val="33"/>
        </w:rPr>
        <w:t>评标办法</w:t>
      </w:r>
    </w:p>
    <w:p w14:paraId="15FEA104">
      <w:pPr>
        <w:spacing w:line="258" w:lineRule="auto"/>
        <w:rPr>
          <w:rFonts w:ascii="Arial"/>
          <w:sz w:val="21"/>
        </w:rPr>
      </w:pPr>
    </w:p>
    <w:p w14:paraId="7AA6BA54">
      <w:pPr>
        <w:spacing w:line="258" w:lineRule="auto"/>
        <w:rPr>
          <w:rFonts w:ascii="Arial"/>
          <w:sz w:val="21"/>
        </w:rPr>
      </w:pPr>
    </w:p>
    <w:p w14:paraId="417A678A">
      <w:pPr>
        <w:spacing w:before="95" w:line="221" w:lineRule="auto"/>
        <w:ind w:left="29"/>
        <w:outlineLvl w:val="1"/>
        <w:rPr>
          <w:rFonts w:ascii="黑体" w:hAnsi="黑体" w:eastAsia="黑体" w:cs="黑体"/>
          <w:sz w:val="29"/>
          <w:szCs w:val="29"/>
        </w:rPr>
      </w:pPr>
      <w:bookmarkStart w:id="119" w:name="bookmark89"/>
      <w:bookmarkEnd w:id="119"/>
      <w:r>
        <w:rPr>
          <w:rFonts w:ascii="黑体" w:hAnsi="黑体" w:eastAsia="黑体" w:cs="黑体"/>
          <w:b/>
          <w:bCs/>
          <w:spacing w:val="7"/>
          <w:sz w:val="29"/>
          <w:szCs w:val="29"/>
        </w:rPr>
        <w:t>评标办法前附表(办法四)(综合评估法)</w:t>
      </w:r>
    </w:p>
    <w:p w14:paraId="55DBE52B">
      <w:pPr>
        <w:spacing w:before="141"/>
      </w:pPr>
    </w:p>
    <w:tbl>
      <w:tblPr>
        <w:tblStyle w:val="5"/>
        <w:tblW w:w="916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4"/>
        <w:gridCol w:w="1069"/>
        <w:gridCol w:w="2347"/>
        <w:gridCol w:w="5019"/>
      </w:tblGrid>
      <w:tr w14:paraId="4BD4A9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4" w:hRule="atLeast"/>
        </w:trPr>
        <w:tc>
          <w:tcPr>
            <w:tcW w:w="1803" w:type="dxa"/>
            <w:gridSpan w:val="2"/>
            <w:vAlign w:val="top"/>
          </w:tcPr>
          <w:p w14:paraId="39874230">
            <w:pPr>
              <w:pStyle w:val="6"/>
              <w:spacing w:before="130" w:line="219" w:lineRule="auto"/>
              <w:ind w:left="548"/>
            </w:pPr>
            <w:r>
              <w:rPr>
                <w:b/>
                <w:bCs/>
                <w:spacing w:val="-5"/>
              </w:rPr>
              <w:t>条款号</w:t>
            </w:r>
          </w:p>
        </w:tc>
        <w:tc>
          <w:tcPr>
            <w:tcW w:w="2347" w:type="dxa"/>
            <w:vAlign w:val="top"/>
          </w:tcPr>
          <w:p w14:paraId="245617AB">
            <w:pPr>
              <w:pStyle w:val="6"/>
              <w:spacing w:before="130" w:line="219" w:lineRule="auto"/>
              <w:ind w:left="704"/>
            </w:pPr>
            <w:r>
              <w:rPr>
                <w:b/>
                <w:bCs/>
                <w:spacing w:val="-4"/>
              </w:rPr>
              <w:t>评审因素</w:t>
            </w:r>
          </w:p>
        </w:tc>
        <w:tc>
          <w:tcPr>
            <w:tcW w:w="5019" w:type="dxa"/>
            <w:vAlign w:val="top"/>
          </w:tcPr>
          <w:p w14:paraId="41CBBE58">
            <w:pPr>
              <w:pStyle w:val="6"/>
              <w:spacing w:before="131" w:line="220" w:lineRule="auto"/>
              <w:ind w:left="2057"/>
            </w:pPr>
            <w:r>
              <w:rPr>
                <w:b/>
                <w:bCs/>
                <w:spacing w:val="-4"/>
              </w:rPr>
              <w:t>评审标准</w:t>
            </w:r>
          </w:p>
        </w:tc>
      </w:tr>
      <w:tr w14:paraId="50633B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9" w:hRule="atLeast"/>
        </w:trPr>
        <w:tc>
          <w:tcPr>
            <w:tcW w:w="734" w:type="dxa"/>
            <w:vMerge w:val="restart"/>
            <w:tcBorders>
              <w:bottom w:val="nil"/>
            </w:tcBorders>
            <w:vAlign w:val="top"/>
          </w:tcPr>
          <w:p w14:paraId="67A49CB4">
            <w:pPr>
              <w:spacing w:line="247" w:lineRule="auto"/>
              <w:rPr>
                <w:rFonts w:ascii="Arial"/>
                <w:sz w:val="21"/>
              </w:rPr>
            </w:pPr>
          </w:p>
          <w:p w14:paraId="29E2A72B">
            <w:pPr>
              <w:spacing w:line="247" w:lineRule="auto"/>
              <w:rPr>
                <w:rFonts w:ascii="Arial"/>
                <w:sz w:val="21"/>
              </w:rPr>
            </w:pPr>
          </w:p>
          <w:p w14:paraId="29627233">
            <w:pPr>
              <w:spacing w:line="247" w:lineRule="auto"/>
              <w:rPr>
                <w:rFonts w:ascii="Arial"/>
                <w:sz w:val="21"/>
              </w:rPr>
            </w:pPr>
          </w:p>
          <w:p w14:paraId="664A7510">
            <w:pPr>
              <w:spacing w:line="247" w:lineRule="auto"/>
              <w:rPr>
                <w:rFonts w:ascii="Arial"/>
                <w:sz w:val="21"/>
              </w:rPr>
            </w:pPr>
          </w:p>
          <w:p w14:paraId="65893411">
            <w:pPr>
              <w:spacing w:line="247" w:lineRule="auto"/>
              <w:rPr>
                <w:rFonts w:ascii="Arial"/>
                <w:sz w:val="21"/>
              </w:rPr>
            </w:pPr>
          </w:p>
          <w:p w14:paraId="0990F2B2">
            <w:pPr>
              <w:spacing w:line="248" w:lineRule="auto"/>
              <w:rPr>
                <w:rFonts w:ascii="Arial"/>
                <w:sz w:val="21"/>
              </w:rPr>
            </w:pPr>
          </w:p>
          <w:p w14:paraId="3D3D8296">
            <w:pPr>
              <w:spacing w:line="248" w:lineRule="auto"/>
              <w:rPr>
                <w:rFonts w:ascii="Arial"/>
                <w:sz w:val="21"/>
              </w:rPr>
            </w:pPr>
          </w:p>
          <w:p w14:paraId="01F49A68">
            <w:pPr>
              <w:pStyle w:val="6"/>
              <w:spacing w:before="68" w:line="239" w:lineRule="auto"/>
              <w:ind w:left="94"/>
            </w:pPr>
            <w:r>
              <w:rPr>
                <w:spacing w:val="-2"/>
              </w:rPr>
              <w:t>2.1.1</w:t>
            </w:r>
          </w:p>
        </w:tc>
        <w:tc>
          <w:tcPr>
            <w:tcW w:w="1069" w:type="dxa"/>
            <w:vMerge w:val="restart"/>
            <w:tcBorders>
              <w:bottom w:val="nil"/>
            </w:tcBorders>
            <w:vAlign w:val="top"/>
          </w:tcPr>
          <w:p w14:paraId="6B7A6CB0">
            <w:pPr>
              <w:spacing w:line="284" w:lineRule="auto"/>
              <w:rPr>
                <w:rFonts w:ascii="Arial"/>
                <w:sz w:val="21"/>
              </w:rPr>
            </w:pPr>
          </w:p>
          <w:p w14:paraId="64A7A328">
            <w:pPr>
              <w:spacing w:line="285" w:lineRule="auto"/>
              <w:rPr>
                <w:rFonts w:ascii="Arial"/>
                <w:sz w:val="21"/>
              </w:rPr>
            </w:pPr>
          </w:p>
          <w:p w14:paraId="411B4E02">
            <w:pPr>
              <w:spacing w:line="285" w:lineRule="auto"/>
              <w:rPr>
                <w:rFonts w:ascii="Arial"/>
                <w:sz w:val="21"/>
              </w:rPr>
            </w:pPr>
          </w:p>
          <w:p w14:paraId="7D2299D9">
            <w:pPr>
              <w:spacing w:line="285" w:lineRule="auto"/>
              <w:rPr>
                <w:rFonts w:ascii="Arial"/>
                <w:sz w:val="21"/>
              </w:rPr>
            </w:pPr>
          </w:p>
          <w:p w14:paraId="12A54BB7">
            <w:pPr>
              <w:spacing w:line="285" w:lineRule="auto"/>
              <w:rPr>
                <w:rFonts w:ascii="Arial"/>
                <w:sz w:val="21"/>
              </w:rPr>
            </w:pPr>
          </w:p>
          <w:p w14:paraId="00C8EC86">
            <w:pPr>
              <w:pStyle w:val="6"/>
              <w:spacing w:before="68" w:line="243" w:lineRule="auto"/>
              <w:ind w:left="310" w:right="310"/>
              <w:jc w:val="both"/>
            </w:pPr>
            <w:r>
              <w:rPr>
                <w:spacing w:val="-6"/>
              </w:rPr>
              <w:t>形式</w:t>
            </w:r>
            <w:r>
              <w:t xml:space="preserve"> </w:t>
            </w:r>
            <w:r>
              <w:rPr>
                <w:spacing w:val="9"/>
              </w:rPr>
              <w:t>评审</w:t>
            </w:r>
            <w:r>
              <w:t xml:space="preserve"> </w:t>
            </w:r>
            <w:r>
              <w:rPr>
                <w:spacing w:val="-3"/>
              </w:rPr>
              <w:t>标准</w:t>
            </w:r>
          </w:p>
        </w:tc>
        <w:tc>
          <w:tcPr>
            <w:tcW w:w="2347" w:type="dxa"/>
            <w:vAlign w:val="top"/>
          </w:tcPr>
          <w:p w14:paraId="0AB4362C">
            <w:pPr>
              <w:pStyle w:val="6"/>
              <w:spacing w:before="119" w:line="219" w:lineRule="auto"/>
              <w:ind w:left="112"/>
            </w:pPr>
            <w:r>
              <w:rPr>
                <w:spacing w:val="-3"/>
              </w:rPr>
              <w:t>投标文件</w:t>
            </w:r>
          </w:p>
        </w:tc>
        <w:tc>
          <w:tcPr>
            <w:tcW w:w="5019" w:type="dxa"/>
            <w:vAlign w:val="top"/>
          </w:tcPr>
          <w:p w14:paraId="081C4076">
            <w:pPr>
              <w:pStyle w:val="6"/>
              <w:spacing w:before="119" w:line="219" w:lineRule="auto"/>
              <w:ind w:left="104"/>
            </w:pPr>
            <w:r>
              <w:rPr>
                <w:spacing w:val="-2"/>
              </w:rPr>
              <w:t>投标文件能正常打开</w:t>
            </w:r>
          </w:p>
        </w:tc>
      </w:tr>
      <w:tr w14:paraId="64E6D0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734" w:type="dxa"/>
            <w:vMerge w:val="continue"/>
            <w:tcBorders>
              <w:top w:val="nil"/>
              <w:bottom w:val="nil"/>
            </w:tcBorders>
            <w:vAlign w:val="top"/>
          </w:tcPr>
          <w:p w14:paraId="1780D10F">
            <w:pPr>
              <w:rPr>
                <w:rFonts w:ascii="Arial"/>
                <w:sz w:val="21"/>
              </w:rPr>
            </w:pPr>
          </w:p>
        </w:tc>
        <w:tc>
          <w:tcPr>
            <w:tcW w:w="1069" w:type="dxa"/>
            <w:vMerge w:val="continue"/>
            <w:tcBorders>
              <w:top w:val="nil"/>
              <w:bottom w:val="nil"/>
            </w:tcBorders>
            <w:vAlign w:val="top"/>
          </w:tcPr>
          <w:p w14:paraId="2EC02B31">
            <w:pPr>
              <w:rPr>
                <w:rFonts w:ascii="Arial"/>
                <w:sz w:val="21"/>
              </w:rPr>
            </w:pPr>
          </w:p>
        </w:tc>
        <w:tc>
          <w:tcPr>
            <w:tcW w:w="2347" w:type="dxa"/>
            <w:vAlign w:val="top"/>
          </w:tcPr>
          <w:p w14:paraId="034E8C34">
            <w:pPr>
              <w:pStyle w:val="6"/>
              <w:spacing w:before="121" w:line="220" w:lineRule="auto"/>
              <w:ind w:left="112"/>
            </w:pPr>
            <w:r>
              <w:rPr>
                <w:spacing w:val="2"/>
              </w:rPr>
              <w:t>投标人名称</w:t>
            </w:r>
          </w:p>
        </w:tc>
        <w:tc>
          <w:tcPr>
            <w:tcW w:w="5019" w:type="dxa"/>
            <w:vAlign w:val="top"/>
          </w:tcPr>
          <w:p w14:paraId="39095DBD">
            <w:pPr>
              <w:pStyle w:val="6"/>
              <w:spacing w:before="119" w:line="219" w:lineRule="auto"/>
              <w:ind w:left="104"/>
            </w:pPr>
            <w:r>
              <w:t>与营业执照、资质证书、安全生产许可证一致</w:t>
            </w:r>
          </w:p>
        </w:tc>
      </w:tr>
      <w:tr w14:paraId="13705B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734" w:type="dxa"/>
            <w:vMerge w:val="continue"/>
            <w:tcBorders>
              <w:top w:val="nil"/>
              <w:bottom w:val="nil"/>
            </w:tcBorders>
            <w:vAlign w:val="top"/>
          </w:tcPr>
          <w:p w14:paraId="389D0EF0">
            <w:pPr>
              <w:rPr>
                <w:rFonts w:ascii="Arial"/>
                <w:sz w:val="21"/>
              </w:rPr>
            </w:pPr>
          </w:p>
        </w:tc>
        <w:tc>
          <w:tcPr>
            <w:tcW w:w="1069" w:type="dxa"/>
            <w:vMerge w:val="continue"/>
            <w:tcBorders>
              <w:top w:val="nil"/>
              <w:bottom w:val="nil"/>
            </w:tcBorders>
            <w:vAlign w:val="top"/>
          </w:tcPr>
          <w:p w14:paraId="2732BFDD">
            <w:pPr>
              <w:rPr>
                <w:rFonts w:ascii="Arial"/>
                <w:sz w:val="21"/>
              </w:rPr>
            </w:pPr>
          </w:p>
        </w:tc>
        <w:tc>
          <w:tcPr>
            <w:tcW w:w="2347" w:type="dxa"/>
            <w:vAlign w:val="top"/>
          </w:tcPr>
          <w:p w14:paraId="4646E873">
            <w:pPr>
              <w:pStyle w:val="6"/>
              <w:spacing w:before="130" w:line="219" w:lineRule="auto"/>
              <w:ind w:left="112"/>
            </w:pPr>
            <w:r>
              <w:rPr>
                <w:spacing w:val="1"/>
              </w:rPr>
              <w:t>投标文件签字盖章</w:t>
            </w:r>
          </w:p>
        </w:tc>
        <w:tc>
          <w:tcPr>
            <w:tcW w:w="5019" w:type="dxa"/>
            <w:vAlign w:val="top"/>
          </w:tcPr>
          <w:p w14:paraId="70AC9F32">
            <w:pPr>
              <w:pStyle w:val="6"/>
              <w:spacing w:before="130" w:line="219" w:lineRule="auto"/>
              <w:ind w:left="104"/>
            </w:pPr>
            <w:r>
              <w:t>符合第二章“投标人须知”第3.7.3(5)目规定</w:t>
            </w:r>
          </w:p>
        </w:tc>
      </w:tr>
      <w:tr w14:paraId="2A8469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734" w:type="dxa"/>
            <w:vMerge w:val="continue"/>
            <w:tcBorders>
              <w:top w:val="nil"/>
              <w:bottom w:val="nil"/>
            </w:tcBorders>
            <w:vAlign w:val="top"/>
          </w:tcPr>
          <w:p w14:paraId="22E8BFD5">
            <w:pPr>
              <w:rPr>
                <w:rFonts w:ascii="Arial"/>
                <w:sz w:val="21"/>
              </w:rPr>
            </w:pPr>
          </w:p>
        </w:tc>
        <w:tc>
          <w:tcPr>
            <w:tcW w:w="1069" w:type="dxa"/>
            <w:vMerge w:val="continue"/>
            <w:tcBorders>
              <w:top w:val="nil"/>
              <w:bottom w:val="nil"/>
            </w:tcBorders>
            <w:vAlign w:val="top"/>
          </w:tcPr>
          <w:p w14:paraId="66B1AA1F">
            <w:pPr>
              <w:rPr>
                <w:rFonts w:ascii="Arial"/>
                <w:sz w:val="21"/>
              </w:rPr>
            </w:pPr>
          </w:p>
        </w:tc>
        <w:tc>
          <w:tcPr>
            <w:tcW w:w="2347" w:type="dxa"/>
            <w:vAlign w:val="top"/>
          </w:tcPr>
          <w:p w14:paraId="14E4CE0D">
            <w:pPr>
              <w:pStyle w:val="6"/>
              <w:spacing w:before="171" w:line="219" w:lineRule="auto"/>
              <w:ind w:left="112"/>
            </w:pPr>
            <w:r>
              <w:rPr>
                <w:spacing w:val="1"/>
              </w:rPr>
              <w:t>投标文件格式、内容</w:t>
            </w:r>
          </w:p>
        </w:tc>
        <w:tc>
          <w:tcPr>
            <w:tcW w:w="5019" w:type="dxa"/>
            <w:vAlign w:val="top"/>
          </w:tcPr>
          <w:p w14:paraId="1E53C0B1">
            <w:pPr>
              <w:pStyle w:val="6"/>
              <w:spacing w:before="31" w:line="223" w:lineRule="auto"/>
              <w:ind w:left="104" w:right="73" w:firstLine="10"/>
            </w:pPr>
            <w:r>
              <w:rPr>
                <w:spacing w:val="-1"/>
              </w:rPr>
              <w:t>符合第八章“投标文件格式”的要求，实质性内容齐</w:t>
            </w:r>
            <w:r>
              <w:rPr>
                <w:spacing w:val="12"/>
              </w:rPr>
              <w:t xml:space="preserve"> </w:t>
            </w:r>
            <w:r>
              <w:rPr>
                <w:spacing w:val="-1"/>
              </w:rPr>
              <w:t>全、关键字迹清晰可辨</w:t>
            </w:r>
          </w:p>
        </w:tc>
      </w:tr>
      <w:tr w14:paraId="76760A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734" w:type="dxa"/>
            <w:vMerge w:val="continue"/>
            <w:tcBorders>
              <w:top w:val="nil"/>
              <w:bottom w:val="nil"/>
            </w:tcBorders>
            <w:vAlign w:val="top"/>
          </w:tcPr>
          <w:p w14:paraId="004EB434">
            <w:pPr>
              <w:rPr>
                <w:rFonts w:ascii="Arial"/>
                <w:sz w:val="21"/>
              </w:rPr>
            </w:pPr>
          </w:p>
        </w:tc>
        <w:tc>
          <w:tcPr>
            <w:tcW w:w="1069" w:type="dxa"/>
            <w:vMerge w:val="continue"/>
            <w:tcBorders>
              <w:top w:val="nil"/>
              <w:bottom w:val="nil"/>
            </w:tcBorders>
            <w:vAlign w:val="top"/>
          </w:tcPr>
          <w:p w14:paraId="3B18C504">
            <w:pPr>
              <w:rPr>
                <w:rFonts w:ascii="Arial"/>
                <w:sz w:val="21"/>
              </w:rPr>
            </w:pPr>
          </w:p>
        </w:tc>
        <w:tc>
          <w:tcPr>
            <w:tcW w:w="2347" w:type="dxa"/>
            <w:vAlign w:val="top"/>
          </w:tcPr>
          <w:p w14:paraId="42F55356">
            <w:pPr>
              <w:pStyle w:val="6"/>
              <w:spacing w:before="123" w:line="220" w:lineRule="auto"/>
              <w:ind w:left="112"/>
            </w:pPr>
            <w:r>
              <w:rPr>
                <w:spacing w:val="4"/>
              </w:rPr>
              <w:t>联合体投标人(如有)</w:t>
            </w:r>
          </w:p>
        </w:tc>
        <w:tc>
          <w:tcPr>
            <w:tcW w:w="5019" w:type="dxa"/>
            <w:vAlign w:val="top"/>
          </w:tcPr>
          <w:p w14:paraId="74EF8587">
            <w:pPr>
              <w:pStyle w:val="6"/>
              <w:spacing w:before="121" w:line="219" w:lineRule="auto"/>
              <w:ind w:left="104"/>
            </w:pPr>
            <w:r>
              <w:rPr>
                <w:spacing w:val="-1"/>
              </w:rPr>
              <w:t>提交联合体协议书，并明确联合体牵头人</w:t>
            </w:r>
          </w:p>
        </w:tc>
      </w:tr>
      <w:tr w14:paraId="5EF34F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734" w:type="dxa"/>
            <w:vMerge w:val="continue"/>
            <w:tcBorders>
              <w:top w:val="nil"/>
              <w:bottom w:val="nil"/>
            </w:tcBorders>
            <w:vAlign w:val="top"/>
          </w:tcPr>
          <w:p w14:paraId="683DCA56">
            <w:pPr>
              <w:rPr>
                <w:rFonts w:ascii="Arial"/>
                <w:sz w:val="21"/>
              </w:rPr>
            </w:pPr>
          </w:p>
        </w:tc>
        <w:tc>
          <w:tcPr>
            <w:tcW w:w="1069" w:type="dxa"/>
            <w:vMerge w:val="continue"/>
            <w:tcBorders>
              <w:top w:val="nil"/>
              <w:bottom w:val="nil"/>
            </w:tcBorders>
            <w:vAlign w:val="top"/>
          </w:tcPr>
          <w:p w14:paraId="3BF9F32D">
            <w:pPr>
              <w:rPr>
                <w:rFonts w:ascii="Arial"/>
                <w:sz w:val="21"/>
              </w:rPr>
            </w:pPr>
          </w:p>
        </w:tc>
        <w:tc>
          <w:tcPr>
            <w:tcW w:w="2347" w:type="dxa"/>
            <w:vAlign w:val="top"/>
          </w:tcPr>
          <w:p w14:paraId="3FB7A930">
            <w:pPr>
              <w:pStyle w:val="6"/>
              <w:spacing w:before="120" w:line="218" w:lineRule="auto"/>
              <w:ind w:left="112"/>
            </w:pPr>
            <w:r>
              <w:rPr>
                <w:spacing w:val="1"/>
              </w:rPr>
              <w:t>报价唯一</w:t>
            </w:r>
          </w:p>
        </w:tc>
        <w:tc>
          <w:tcPr>
            <w:tcW w:w="5019" w:type="dxa"/>
            <w:vAlign w:val="top"/>
          </w:tcPr>
          <w:p w14:paraId="10B9849B">
            <w:pPr>
              <w:pStyle w:val="6"/>
              <w:spacing w:before="120" w:line="218" w:lineRule="auto"/>
              <w:ind w:left="104"/>
            </w:pPr>
            <w:r>
              <w:rPr>
                <w:spacing w:val="2"/>
              </w:rPr>
              <w:t>只能有一个有效报价(指投标函中的大写报价)</w:t>
            </w:r>
          </w:p>
        </w:tc>
      </w:tr>
      <w:tr w14:paraId="252129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734" w:type="dxa"/>
            <w:vMerge w:val="continue"/>
            <w:tcBorders>
              <w:top w:val="nil"/>
              <w:bottom w:val="nil"/>
            </w:tcBorders>
            <w:vAlign w:val="top"/>
          </w:tcPr>
          <w:p w14:paraId="744BF9E2">
            <w:pPr>
              <w:rPr>
                <w:rFonts w:ascii="Arial"/>
                <w:sz w:val="21"/>
              </w:rPr>
            </w:pPr>
          </w:p>
        </w:tc>
        <w:tc>
          <w:tcPr>
            <w:tcW w:w="1069" w:type="dxa"/>
            <w:vMerge w:val="continue"/>
            <w:tcBorders>
              <w:top w:val="nil"/>
              <w:bottom w:val="nil"/>
            </w:tcBorders>
            <w:vAlign w:val="top"/>
          </w:tcPr>
          <w:p w14:paraId="6C4E5614">
            <w:pPr>
              <w:rPr>
                <w:rFonts w:ascii="Arial"/>
                <w:sz w:val="21"/>
              </w:rPr>
            </w:pPr>
          </w:p>
        </w:tc>
        <w:tc>
          <w:tcPr>
            <w:tcW w:w="2347" w:type="dxa"/>
            <w:vAlign w:val="top"/>
          </w:tcPr>
          <w:p w14:paraId="6BC9770C">
            <w:pPr>
              <w:pStyle w:val="6"/>
              <w:spacing w:before="204" w:line="220" w:lineRule="auto"/>
              <w:ind w:left="112"/>
            </w:pPr>
            <w:r>
              <w:rPr>
                <w:spacing w:val="1"/>
              </w:rPr>
              <w:t>多标段投标</w:t>
            </w:r>
          </w:p>
        </w:tc>
        <w:tc>
          <w:tcPr>
            <w:tcW w:w="5019" w:type="dxa"/>
            <w:vAlign w:val="top"/>
          </w:tcPr>
          <w:p w14:paraId="6EC1FD4B">
            <w:pPr>
              <w:pStyle w:val="6"/>
              <w:spacing w:before="192" w:line="219" w:lineRule="auto"/>
              <w:ind w:left="104"/>
            </w:pPr>
            <w:r>
              <w:t>符合第二章“投标人须知”第10.1款规定</w:t>
            </w:r>
          </w:p>
        </w:tc>
      </w:tr>
      <w:tr w14:paraId="4F0DAB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9" w:hRule="atLeast"/>
        </w:trPr>
        <w:tc>
          <w:tcPr>
            <w:tcW w:w="734" w:type="dxa"/>
            <w:vMerge w:val="continue"/>
            <w:tcBorders>
              <w:top w:val="nil"/>
            </w:tcBorders>
            <w:vAlign w:val="top"/>
          </w:tcPr>
          <w:p w14:paraId="3000C5E5">
            <w:pPr>
              <w:rPr>
                <w:rFonts w:ascii="Arial"/>
                <w:sz w:val="21"/>
              </w:rPr>
            </w:pPr>
          </w:p>
        </w:tc>
        <w:tc>
          <w:tcPr>
            <w:tcW w:w="1069" w:type="dxa"/>
            <w:vMerge w:val="continue"/>
            <w:tcBorders>
              <w:top w:val="nil"/>
            </w:tcBorders>
            <w:vAlign w:val="top"/>
          </w:tcPr>
          <w:p w14:paraId="437B8582">
            <w:pPr>
              <w:rPr>
                <w:rFonts w:ascii="Arial"/>
                <w:sz w:val="21"/>
              </w:rPr>
            </w:pPr>
          </w:p>
        </w:tc>
        <w:tc>
          <w:tcPr>
            <w:tcW w:w="2347" w:type="dxa"/>
            <w:vAlign w:val="top"/>
          </w:tcPr>
          <w:p w14:paraId="3E2CB2E2">
            <w:pPr>
              <w:pStyle w:val="6"/>
              <w:spacing w:before="123" w:line="219" w:lineRule="auto"/>
              <w:ind w:left="7"/>
            </w:pPr>
            <w:r>
              <w:rPr>
                <w:spacing w:val="51"/>
              </w:rPr>
              <w:t>“技术暗标”</w:t>
            </w:r>
          </w:p>
        </w:tc>
        <w:tc>
          <w:tcPr>
            <w:tcW w:w="5019" w:type="dxa"/>
            <w:vAlign w:val="top"/>
          </w:tcPr>
          <w:p w14:paraId="2BB7FF8B">
            <w:pPr>
              <w:pStyle w:val="6"/>
              <w:spacing w:before="122" w:line="219" w:lineRule="auto"/>
              <w:ind w:left="104"/>
            </w:pPr>
            <w:r>
              <w:t>符合第二章“投标人须知”第3.7.4(5)目规定</w:t>
            </w:r>
          </w:p>
        </w:tc>
      </w:tr>
      <w:tr w14:paraId="2D9DD1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734" w:type="dxa"/>
            <w:vMerge w:val="restart"/>
            <w:tcBorders>
              <w:bottom w:val="nil"/>
            </w:tcBorders>
            <w:vAlign w:val="top"/>
          </w:tcPr>
          <w:p w14:paraId="5900F6EF">
            <w:pPr>
              <w:spacing w:line="244" w:lineRule="auto"/>
              <w:rPr>
                <w:rFonts w:ascii="Arial"/>
                <w:sz w:val="21"/>
              </w:rPr>
            </w:pPr>
          </w:p>
          <w:p w14:paraId="4E53243E">
            <w:pPr>
              <w:spacing w:line="244" w:lineRule="auto"/>
              <w:rPr>
                <w:rFonts w:ascii="Arial"/>
                <w:sz w:val="21"/>
              </w:rPr>
            </w:pPr>
          </w:p>
          <w:p w14:paraId="627DFFAF">
            <w:pPr>
              <w:spacing w:line="245" w:lineRule="auto"/>
              <w:rPr>
                <w:rFonts w:ascii="Arial"/>
                <w:sz w:val="21"/>
              </w:rPr>
            </w:pPr>
          </w:p>
          <w:p w14:paraId="489C4E4E">
            <w:pPr>
              <w:spacing w:line="245" w:lineRule="auto"/>
              <w:rPr>
                <w:rFonts w:ascii="Arial"/>
                <w:sz w:val="21"/>
              </w:rPr>
            </w:pPr>
          </w:p>
          <w:p w14:paraId="551CF310">
            <w:pPr>
              <w:spacing w:line="245" w:lineRule="auto"/>
              <w:rPr>
                <w:rFonts w:ascii="Arial"/>
                <w:sz w:val="21"/>
              </w:rPr>
            </w:pPr>
          </w:p>
          <w:p w14:paraId="5D78127D">
            <w:pPr>
              <w:spacing w:line="245" w:lineRule="auto"/>
              <w:rPr>
                <w:rFonts w:ascii="Arial"/>
                <w:sz w:val="21"/>
              </w:rPr>
            </w:pPr>
          </w:p>
          <w:p w14:paraId="4AF5A017">
            <w:pPr>
              <w:spacing w:line="245" w:lineRule="auto"/>
              <w:rPr>
                <w:rFonts w:ascii="Arial"/>
                <w:sz w:val="21"/>
              </w:rPr>
            </w:pPr>
          </w:p>
          <w:p w14:paraId="1FB3318F">
            <w:pPr>
              <w:spacing w:line="245" w:lineRule="auto"/>
              <w:rPr>
                <w:rFonts w:ascii="Arial"/>
                <w:sz w:val="21"/>
              </w:rPr>
            </w:pPr>
          </w:p>
          <w:p w14:paraId="184E557C">
            <w:pPr>
              <w:spacing w:line="245" w:lineRule="auto"/>
              <w:rPr>
                <w:rFonts w:ascii="Arial"/>
                <w:sz w:val="21"/>
              </w:rPr>
            </w:pPr>
          </w:p>
          <w:p w14:paraId="3B287C1B">
            <w:pPr>
              <w:pStyle w:val="6"/>
              <w:spacing w:before="68" w:line="239" w:lineRule="auto"/>
              <w:ind w:left="94"/>
            </w:pPr>
            <w:r>
              <w:rPr>
                <w:spacing w:val="-2"/>
              </w:rPr>
              <w:t>2.1.2</w:t>
            </w:r>
          </w:p>
        </w:tc>
        <w:tc>
          <w:tcPr>
            <w:tcW w:w="1069" w:type="dxa"/>
            <w:vMerge w:val="restart"/>
            <w:tcBorders>
              <w:bottom w:val="nil"/>
            </w:tcBorders>
            <w:vAlign w:val="top"/>
          </w:tcPr>
          <w:p w14:paraId="4C1FEDB0">
            <w:pPr>
              <w:spacing w:line="254" w:lineRule="auto"/>
              <w:rPr>
                <w:rFonts w:ascii="Arial"/>
                <w:sz w:val="21"/>
              </w:rPr>
            </w:pPr>
          </w:p>
          <w:p w14:paraId="527DB9CC">
            <w:pPr>
              <w:spacing w:line="254" w:lineRule="auto"/>
              <w:rPr>
                <w:rFonts w:ascii="Arial"/>
                <w:sz w:val="21"/>
              </w:rPr>
            </w:pPr>
          </w:p>
          <w:p w14:paraId="1AD90856">
            <w:pPr>
              <w:spacing w:line="255" w:lineRule="auto"/>
              <w:rPr>
                <w:rFonts w:ascii="Arial"/>
                <w:sz w:val="21"/>
              </w:rPr>
            </w:pPr>
          </w:p>
          <w:p w14:paraId="3129914A">
            <w:pPr>
              <w:spacing w:line="255" w:lineRule="auto"/>
              <w:rPr>
                <w:rFonts w:ascii="Arial"/>
                <w:sz w:val="21"/>
              </w:rPr>
            </w:pPr>
          </w:p>
          <w:p w14:paraId="30C1456D">
            <w:pPr>
              <w:spacing w:line="255" w:lineRule="auto"/>
              <w:rPr>
                <w:rFonts w:ascii="Arial"/>
                <w:sz w:val="21"/>
              </w:rPr>
            </w:pPr>
          </w:p>
          <w:p w14:paraId="2940D749">
            <w:pPr>
              <w:spacing w:line="255" w:lineRule="auto"/>
              <w:rPr>
                <w:rFonts w:ascii="Arial"/>
                <w:sz w:val="21"/>
              </w:rPr>
            </w:pPr>
          </w:p>
          <w:p w14:paraId="10E7BC03">
            <w:pPr>
              <w:spacing w:line="255" w:lineRule="auto"/>
              <w:rPr>
                <w:rFonts w:ascii="Arial"/>
                <w:sz w:val="21"/>
              </w:rPr>
            </w:pPr>
          </w:p>
          <w:p w14:paraId="46F6171E">
            <w:pPr>
              <w:pStyle w:val="6"/>
              <w:spacing w:before="69" w:line="242" w:lineRule="auto"/>
              <w:ind w:left="210" w:right="172" w:firstLine="100"/>
            </w:pPr>
            <w:r>
              <w:rPr>
                <w:spacing w:val="4"/>
              </w:rPr>
              <w:t>资格</w:t>
            </w:r>
            <w:r>
              <w:t xml:space="preserve">  </w:t>
            </w:r>
            <w:r>
              <w:rPr>
                <w:spacing w:val="25"/>
                <w:w w:val="116"/>
              </w:rPr>
              <w:t>评审</w:t>
            </w:r>
            <w:r>
              <w:t xml:space="preserve">  </w:t>
            </w:r>
            <w:r>
              <w:rPr>
                <w:spacing w:val="45"/>
              </w:rPr>
              <w:t>标准</w:t>
            </w:r>
            <w:r>
              <w:t xml:space="preserve">  </w:t>
            </w:r>
            <w:r>
              <w:rPr>
                <w:spacing w:val="11"/>
              </w:rPr>
              <w:t>(后审)</w:t>
            </w:r>
          </w:p>
        </w:tc>
        <w:tc>
          <w:tcPr>
            <w:tcW w:w="2347" w:type="dxa"/>
            <w:vAlign w:val="top"/>
          </w:tcPr>
          <w:p w14:paraId="12A3CF44">
            <w:pPr>
              <w:pStyle w:val="6"/>
              <w:spacing w:before="134" w:line="219" w:lineRule="auto"/>
              <w:ind w:left="112"/>
            </w:pPr>
            <w:r>
              <w:rPr>
                <w:spacing w:val="4"/>
              </w:rPr>
              <w:t>营业执照</w:t>
            </w:r>
          </w:p>
        </w:tc>
        <w:tc>
          <w:tcPr>
            <w:tcW w:w="5019" w:type="dxa"/>
            <w:vAlign w:val="top"/>
          </w:tcPr>
          <w:p w14:paraId="2D5DE11A">
            <w:pPr>
              <w:pStyle w:val="6"/>
              <w:spacing w:before="134" w:line="219" w:lineRule="auto"/>
              <w:ind w:left="104"/>
            </w:pPr>
            <w:r>
              <w:rPr>
                <w:spacing w:val="1"/>
              </w:rPr>
              <w:t>具备有效的营业执照</w:t>
            </w:r>
          </w:p>
        </w:tc>
      </w:tr>
      <w:tr w14:paraId="24FD79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734" w:type="dxa"/>
            <w:vMerge w:val="continue"/>
            <w:tcBorders>
              <w:top w:val="nil"/>
              <w:bottom w:val="nil"/>
            </w:tcBorders>
            <w:vAlign w:val="top"/>
          </w:tcPr>
          <w:p w14:paraId="34975311">
            <w:pPr>
              <w:rPr>
                <w:rFonts w:ascii="Arial"/>
                <w:sz w:val="21"/>
              </w:rPr>
            </w:pPr>
          </w:p>
        </w:tc>
        <w:tc>
          <w:tcPr>
            <w:tcW w:w="1069" w:type="dxa"/>
            <w:vMerge w:val="continue"/>
            <w:tcBorders>
              <w:top w:val="nil"/>
              <w:bottom w:val="nil"/>
            </w:tcBorders>
            <w:vAlign w:val="top"/>
          </w:tcPr>
          <w:p w14:paraId="696C65AE">
            <w:pPr>
              <w:rPr>
                <w:rFonts w:ascii="Arial"/>
                <w:sz w:val="21"/>
              </w:rPr>
            </w:pPr>
          </w:p>
        </w:tc>
        <w:tc>
          <w:tcPr>
            <w:tcW w:w="2347" w:type="dxa"/>
            <w:vAlign w:val="top"/>
          </w:tcPr>
          <w:p w14:paraId="4FC830E6">
            <w:pPr>
              <w:pStyle w:val="6"/>
              <w:spacing w:before="125" w:line="219" w:lineRule="auto"/>
              <w:ind w:left="112"/>
            </w:pPr>
            <w:r>
              <w:rPr>
                <w:spacing w:val="1"/>
              </w:rPr>
              <w:t>安全生产许可证</w:t>
            </w:r>
          </w:p>
        </w:tc>
        <w:tc>
          <w:tcPr>
            <w:tcW w:w="5019" w:type="dxa"/>
            <w:vAlign w:val="top"/>
          </w:tcPr>
          <w:p w14:paraId="1DF3996A">
            <w:pPr>
              <w:pStyle w:val="6"/>
              <w:spacing w:before="125" w:line="219" w:lineRule="auto"/>
              <w:ind w:left="104"/>
            </w:pPr>
            <w:r>
              <w:t>具备有效的安全生产许可证</w:t>
            </w:r>
          </w:p>
        </w:tc>
      </w:tr>
      <w:tr w14:paraId="163696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734" w:type="dxa"/>
            <w:vMerge w:val="continue"/>
            <w:tcBorders>
              <w:top w:val="nil"/>
              <w:bottom w:val="nil"/>
            </w:tcBorders>
            <w:vAlign w:val="top"/>
          </w:tcPr>
          <w:p w14:paraId="1E11E629">
            <w:pPr>
              <w:rPr>
                <w:rFonts w:ascii="Arial"/>
                <w:sz w:val="21"/>
              </w:rPr>
            </w:pPr>
          </w:p>
        </w:tc>
        <w:tc>
          <w:tcPr>
            <w:tcW w:w="1069" w:type="dxa"/>
            <w:vMerge w:val="continue"/>
            <w:tcBorders>
              <w:top w:val="nil"/>
              <w:bottom w:val="nil"/>
            </w:tcBorders>
            <w:vAlign w:val="top"/>
          </w:tcPr>
          <w:p w14:paraId="5CEF1E07">
            <w:pPr>
              <w:rPr>
                <w:rFonts w:ascii="Arial"/>
                <w:sz w:val="21"/>
              </w:rPr>
            </w:pPr>
          </w:p>
        </w:tc>
        <w:tc>
          <w:tcPr>
            <w:tcW w:w="2347" w:type="dxa"/>
            <w:vAlign w:val="top"/>
          </w:tcPr>
          <w:p w14:paraId="7671285B">
            <w:pPr>
              <w:pStyle w:val="6"/>
              <w:spacing w:before="135" w:line="219" w:lineRule="auto"/>
              <w:ind w:left="112"/>
            </w:pPr>
            <w:r>
              <w:rPr>
                <w:spacing w:val="3"/>
              </w:rPr>
              <w:t>资质等级</w:t>
            </w:r>
          </w:p>
        </w:tc>
        <w:tc>
          <w:tcPr>
            <w:tcW w:w="5019" w:type="dxa"/>
            <w:vAlign w:val="top"/>
          </w:tcPr>
          <w:p w14:paraId="0475DBED">
            <w:pPr>
              <w:pStyle w:val="6"/>
              <w:spacing w:before="134" w:line="219" w:lineRule="auto"/>
              <w:ind w:left="104"/>
            </w:pPr>
            <w:r>
              <w:rPr>
                <w:spacing w:val="1"/>
              </w:rPr>
              <w:t>符合第二章“投标人须知”第1.4.1项规定</w:t>
            </w:r>
          </w:p>
        </w:tc>
      </w:tr>
      <w:tr w14:paraId="204302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734" w:type="dxa"/>
            <w:vMerge w:val="continue"/>
            <w:tcBorders>
              <w:top w:val="nil"/>
              <w:bottom w:val="nil"/>
            </w:tcBorders>
            <w:vAlign w:val="top"/>
          </w:tcPr>
          <w:p w14:paraId="12714D82">
            <w:pPr>
              <w:rPr>
                <w:rFonts w:ascii="Arial"/>
                <w:sz w:val="21"/>
              </w:rPr>
            </w:pPr>
          </w:p>
        </w:tc>
        <w:tc>
          <w:tcPr>
            <w:tcW w:w="1069" w:type="dxa"/>
            <w:vMerge w:val="continue"/>
            <w:tcBorders>
              <w:top w:val="nil"/>
              <w:bottom w:val="nil"/>
            </w:tcBorders>
            <w:vAlign w:val="top"/>
          </w:tcPr>
          <w:p w14:paraId="4B326ED8">
            <w:pPr>
              <w:rPr>
                <w:rFonts w:ascii="Arial"/>
                <w:sz w:val="21"/>
              </w:rPr>
            </w:pPr>
          </w:p>
        </w:tc>
        <w:tc>
          <w:tcPr>
            <w:tcW w:w="2347" w:type="dxa"/>
            <w:vAlign w:val="top"/>
          </w:tcPr>
          <w:p w14:paraId="3A3FE660">
            <w:pPr>
              <w:pStyle w:val="6"/>
              <w:spacing w:before="125" w:line="219" w:lineRule="auto"/>
              <w:ind w:left="112"/>
            </w:pPr>
            <w:r>
              <w:rPr>
                <w:spacing w:val="-2"/>
              </w:rPr>
              <w:t>财务状况</w:t>
            </w:r>
          </w:p>
        </w:tc>
        <w:tc>
          <w:tcPr>
            <w:tcW w:w="5019" w:type="dxa"/>
            <w:vAlign w:val="top"/>
          </w:tcPr>
          <w:p w14:paraId="6B6E2EA6">
            <w:pPr>
              <w:pStyle w:val="6"/>
              <w:spacing w:before="124" w:line="219" w:lineRule="auto"/>
              <w:ind w:left="104"/>
            </w:pPr>
            <w:r>
              <w:rPr>
                <w:spacing w:val="1"/>
              </w:rPr>
              <w:t>符合第二章“投标人须知”第1.4.1项规定</w:t>
            </w:r>
          </w:p>
        </w:tc>
      </w:tr>
      <w:tr w14:paraId="3BABF0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734" w:type="dxa"/>
            <w:vMerge w:val="continue"/>
            <w:tcBorders>
              <w:top w:val="nil"/>
              <w:bottom w:val="nil"/>
            </w:tcBorders>
            <w:vAlign w:val="top"/>
          </w:tcPr>
          <w:p w14:paraId="5A197EDB">
            <w:pPr>
              <w:rPr>
                <w:rFonts w:ascii="Arial"/>
                <w:sz w:val="21"/>
              </w:rPr>
            </w:pPr>
          </w:p>
        </w:tc>
        <w:tc>
          <w:tcPr>
            <w:tcW w:w="1069" w:type="dxa"/>
            <w:vMerge w:val="continue"/>
            <w:tcBorders>
              <w:top w:val="nil"/>
              <w:bottom w:val="nil"/>
            </w:tcBorders>
            <w:vAlign w:val="top"/>
          </w:tcPr>
          <w:p w14:paraId="7658B4B4">
            <w:pPr>
              <w:rPr>
                <w:rFonts w:ascii="Arial"/>
                <w:sz w:val="21"/>
              </w:rPr>
            </w:pPr>
          </w:p>
        </w:tc>
        <w:tc>
          <w:tcPr>
            <w:tcW w:w="2347" w:type="dxa"/>
            <w:vAlign w:val="top"/>
          </w:tcPr>
          <w:p w14:paraId="1751981E">
            <w:pPr>
              <w:pStyle w:val="6"/>
              <w:spacing w:before="126" w:line="219" w:lineRule="auto"/>
              <w:ind w:left="112"/>
            </w:pPr>
            <w:r>
              <w:rPr>
                <w:spacing w:val="-2"/>
              </w:rPr>
              <w:t>类似项目业绩</w:t>
            </w:r>
          </w:p>
        </w:tc>
        <w:tc>
          <w:tcPr>
            <w:tcW w:w="5019" w:type="dxa"/>
            <w:vAlign w:val="top"/>
          </w:tcPr>
          <w:p w14:paraId="204D07EE">
            <w:pPr>
              <w:pStyle w:val="6"/>
              <w:spacing w:before="125" w:line="219" w:lineRule="auto"/>
              <w:ind w:left="104"/>
            </w:pPr>
            <w:r>
              <w:rPr>
                <w:spacing w:val="1"/>
              </w:rPr>
              <w:t>符合第二章“投标人须知”第1.4.1项规定</w:t>
            </w:r>
          </w:p>
        </w:tc>
      </w:tr>
      <w:tr w14:paraId="2C3F17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734" w:type="dxa"/>
            <w:vMerge w:val="continue"/>
            <w:tcBorders>
              <w:top w:val="nil"/>
              <w:bottom w:val="nil"/>
            </w:tcBorders>
            <w:vAlign w:val="top"/>
          </w:tcPr>
          <w:p w14:paraId="3E34EBE7">
            <w:pPr>
              <w:rPr>
                <w:rFonts w:ascii="Arial"/>
                <w:sz w:val="21"/>
              </w:rPr>
            </w:pPr>
          </w:p>
        </w:tc>
        <w:tc>
          <w:tcPr>
            <w:tcW w:w="1069" w:type="dxa"/>
            <w:vMerge w:val="continue"/>
            <w:tcBorders>
              <w:top w:val="nil"/>
              <w:bottom w:val="nil"/>
            </w:tcBorders>
            <w:vAlign w:val="top"/>
          </w:tcPr>
          <w:p w14:paraId="30D21DBA">
            <w:pPr>
              <w:rPr>
                <w:rFonts w:ascii="Arial"/>
                <w:sz w:val="21"/>
              </w:rPr>
            </w:pPr>
          </w:p>
        </w:tc>
        <w:tc>
          <w:tcPr>
            <w:tcW w:w="2347" w:type="dxa"/>
            <w:vAlign w:val="top"/>
          </w:tcPr>
          <w:p w14:paraId="48C7D3E8">
            <w:pPr>
              <w:pStyle w:val="6"/>
              <w:spacing w:before="135" w:line="219" w:lineRule="auto"/>
              <w:ind w:left="112"/>
            </w:pPr>
            <w:r>
              <w:rPr>
                <w:spacing w:val="-3"/>
              </w:rPr>
              <w:t>信誉</w:t>
            </w:r>
          </w:p>
        </w:tc>
        <w:tc>
          <w:tcPr>
            <w:tcW w:w="5019" w:type="dxa"/>
            <w:vAlign w:val="top"/>
          </w:tcPr>
          <w:p w14:paraId="3508D329">
            <w:pPr>
              <w:pStyle w:val="6"/>
              <w:spacing w:before="135" w:line="219" w:lineRule="auto"/>
              <w:ind w:left="104"/>
            </w:pPr>
            <w:r>
              <w:rPr>
                <w:spacing w:val="1"/>
              </w:rPr>
              <w:t>符合第二章“投标人须知”第1.4.1项规定</w:t>
            </w:r>
          </w:p>
        </w:tc>
      </w:tr>
      <w:tr w14:paraId="5EE2EC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734" w:type="dxa"/>
            <w:vMerge w:val="continue"/>
            <w:tcBorders>
              <w:top w:val="nil"/>
              <w:bottom w:val="nil"/>
            </w:tcBorders>
            <w:vAlign w:val="top"/>
          </w:tcPr>
          <w:p w14:paraId="26034912">
            <w:pPr>
              <w:rPr>
                <w:rFonts w:ascii="Arial"/>
                <w:sz w:val="21"/>
              </w:rPr>
            </w:pPr>
          </w:p>
        </w:tc>
        <w:tc>
          <w:tcPr>
            <w:tcW w:w="1069" w:type="dxa"/>
            <w:vMerge w:val="continue"/>
            <w:tcBorders>
              <w:top w:val="nil"/>
              <w:bottom w:val="nil"/>
            </w:tcBorders>
            <w:vAlign w:val="top"/>
          </w:tcPr>
          <w:p w14:paraId="583DD8D3">
            <w:pPr>
              <w:rPr>
                <w:rFonts w:ascii="Arial"/>
                <w:sz w:val="21"/>
              </w:rPr>
            </w:pPr>
          </w:p>
        </w:tc>
        <w:tc>
          <w:tcPr>
            <w:tcW w:w="2347" w:type="dxa"/>
            <w:vAlign w:val="top"/>
          </w:tcPr>
          <w:p w14:paraId="298A0AE7">
            <w:pPr>
              <w:pStyle w:val="6"/>
              <w:spacing w:before="126" w:line="219" w:lineRule="auto"/>
              <w:ind w:left="112"/>
            </w:pPr>
            <w:r>
              <w:rPr>
                <w:spacing w:val="1"/>
              </w:rPr>
              <w:t>项目经理资格</w:t>
            </w:r>
          </w:p>
        </w:tc>
        <w:tc>
          <w:tcPr>
            <w:tcW w:w="5019" w:type="dxa"/>
            <w:vAlign w:val="top"/>
          </w:tcPr>
          <w:p w14:paraId="7F765AC1">
            <w:pPr>
              <w:pStyle w:val="6"/>
              <w:spacing w:before="125" w:line="219" w:lineRule="auto"/>
              <w:ind w:left="104"/>
            </w:pPr>
            <w:r>
              <w:rPr>
                <w:spacing w:val="1"/>
              </w:rPr>
              <w:t>符合第二章“投标人须知”第1.4.1项规定</w:t>
            </w:r>
          </w:p>
        </w:tc>
      </w:tr>
      <w:tr w14:paraId="7D7159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734" w:type="dxa"/>
            <w:vMerge w:val="continue"/>
            <w:tcBorders>
              <w:top w:val="nil"/>
              <w:bottom w:val="nil"/>
            </w:tcBorders>
            <w:vAlign w:val="top"/>
          </w:tcPr>
          <w:p w14:paraId="76E1BA69">
            <w:pPr>
              <w:rPr>
                <w:rFonts w:ascii="Arial"/>
                <w:sz w:val="21"/>
              </w:rPr>
            </w:pPr>
          </w:p>
        </w:tc>
        <w:tc>
          <w:tcPr>
            <w:tcW w:w="1069" w:type="dxa"/>
            <w:vMerge w:val="continue"/>
            <w:tcBorders>
              <w:top w:val="nil"/>
              <w:bottom w:val="nil"/>
            </w:tcBorders>
            <w:vAlign w:val="top"/>
          </w:tcPr>
          <w:p w14:paraId="1462FA07">
            <w:pPr>
              <w:rPr>
                <w:rFonts w:ascii="Arial"/>
                <w:sz w:val="21"/>
              </w:rPr>
            </w:pPr>
          </w:p>
        </w:tc>
        <w:tc>
          <w:tcPr>
            <w:tcW w:w="2347" w:type="dxa"/>
            <w:vAlign w:val="top"/>
          </w:tcPr>
          <w:p w14:paraId="307CECA1">
            <w:pPr>
              <w:pStyle w:val="6"/>
              <w:spacing w:before="137" w:line="220" w:lineRule="auto"/>
              <w:ind w:left="112"/>
            </w:pPr>
            <w:r>
              <w:rPr>
                <w:spacing w:val="-2"/>
              </w:rPr>
              <w:t>其他要求</w:t>
            </w:r>
          </w:p>
        </w:tc>
        <w:tc>
          <w:tcPr>
            <w:tcW w:w="5019" w:type="dxa"/>
            <w:vAlign w:val="top"/>
          </w:tcPr>
          <w:p w14:paraId="13BE68B9">
            <w:pPr>
              <w:pStyle w:val="6"/>
              <w:spacing w:before="135" w:line="219" w:lineRule="auto"/>
              <w:ind w:left="104"/>
            </w:pPr>
            <w:r>
              <w:rPr>
                <w:spacing w:val="1"/>
              </w:rPr>
              <w:t>符合第二章“投标人须知”第1.4.1项规定</w:t>
            </w:r>
          </w:p>
        </w:tc>
      </w:tr>
      <w:tr w14:paraId="378679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734" w:type="dxa"/>
            <w:vMerge w:val="continue"/>
            <w:tcBorders>
              <w:top w:val="nil"/>
              <w:bottom w:val="nil"/>
            </w:tcBorders>
            <w:vAlign w:val="top"/>
          </w:tcPr>
          <w:p w14:paraId="2C717E30">
            <w:pPr>
              <w:rPr>
                <w:rFonts w:ascii="Arial"/>
                <w:sz w:val="21"/>
              </w:rPr>
            </w:pPr>
          </w:p>
        </w:tc>
        <w:tc>
          <w:tcPr>
            <w:tcW w:w="1069" w:type="dxa"/>
            <w:vMerge w:val="continue"/>
            <w:tcBorders>
              <w:top w:val="nil"/>
              <w:bottom w:val="nil"/>
            </w:tcBorders>
            <w:vAlign w:val="top"/>
          </w:tcPr>
          <w:p w14:paraId="131CE119">
            <w:pPr>
              <w:rPr>
                <w:rFonts w:ascii="Arial"/>
                <w:sz w:val="21"/>
              </w:rPr>
            </w:pPr>
          </w:p>
        </w:tc>
        <w:tc>
          <w:tcPr>
            <w:tcW w:w="2347" w:type="dxa"/>
            <w:vAlign w:val="top"/>
          </w:tcPr>
          <w:p w14:paraId="0A3619E2">
            <w:pPr>
              <w:pStyle w:val="6"/>
              <w:spacing w:before="128" w:line="220" w:lineRule="auto"/>
              <w:ind w:left="112"/>
            </w:pPr>
            <w:r>
              <w:rPr>
                <w:spacing w:val="4"/>
              </w:rPr>
              <w:t>联合体投标人(如有)</w:t>
            </w:r>
          </w:p>
        </w:tc>
        <w:tc>
          <w:tcPr>
            <w:tcW w:w="5019" w:type="dxa"/>
            <w:vAlign w:val="top"/>
          </w:tcPr>
          <w:p w14:paraId="4E86CA2B">
            <w:pPr>
              <w:pStyle w:val="6"/>
              <w:spacing w:before="126" w:line="219" w:lineRule="auto"/>
              <w:ind w:left="104"/>
            </w:pPr>
            <w:r>
              <w:rPr>
                <w:spacing w:val="1"/>
              </w:rPr>
              <w:t>符合第二章“投标人须知”第1.4.2项</w:t>
            </w:r>
            <w:r>
              <w:t>规定</w:t>
            </w:r>
          </w:p>
        </w:tc>
      </w:tr>
      <w:tr w14:paraId="40AAFA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4" w:hRule="atLeast"/>
        </w:trPr>
        <w:tc>
          <w:tcPr>
            <w:tcW w:w="734" w:type="dxa"/>
            <w:vMerge w:val="continue"/>
            <w:tcBorders>
              <w:top w:val="nil"/>
            </w:tcBorders>
            <w:vAlign w:val="top"/>
          </w:tcPr>
          <w:p w14:paraId="74349346">
            <w:pPr>
              <w:rPr>
                <w:rFonts w:ascii="Arial"/>
                <w:sz w:val="21"/>
              </w:rPr>
            </w:pPr>
          </w:p>
        </w:tc>
        <w:tc>
          <w:tcPr>
            <w:tcW w:w="1069" w:type="dxa"/>
            <w:vMerge w:val="continue"/>
            <w:tcBorders>
              <w:top w:val="nil"/>
            </w:tcBorders>
            <w:vAlign w:val="top"/>
          </w:tcPr>
          <w:p w14:paraId="7681E40A">
            <w:pPr>
              <w:rPr>
                <w:rFonts w:ascii="Arial"/>
                <w:sz w:val="21"/>
              </w:rPr>
            </w:pPr>
          </w:p>
        </w:tc>
        <w:tc>
          <w:tcPr>
            <w:tcW w:w="2347" w:type="dxa"/>
            <w:vAlign w:val="top"/>
          </w:tcPr>
          <w:p w14:paraId="35FE55C4">
            <w:pPr>
              <w:pStyle w:val="6"/>
              <w:spacing w:before="228" w:line="219" w:lineRule="auto"/>
              <w:ind w:left="102"/>
            </w:pPr>
            <w:r>
              <w:t>不存在禁止投标的情形</w:t>
            </w:r>
          </w:p>
        </w:tc>
        <w:tc>
          <w:tcPr>
            <w:tcW w:w="5019" w:type="dxa"/>
            <w:vAlign w:val="top"/>
          </w:tcPr>
          <w:p w14:paraId="05955DC2">
            <w:pPr>
              <w:pStyle w:val="6"/>
              <w:spacing w:before="16" w:line="223" w:lineRule="auto"/>
              <w:ind w:left="104" w:right="200" w:hanging="10"/>
            </w:pPr>
            <w:r>
              <w:rPr>
                <w:spacing w:val="-1"/>
              </w:rPr>
              <w:t>不存在第二章“投标人须知”第1.4.3项规定的任何</w:t>
            </w:r>
            <w:r>
              <w:rPr>
                <w:spacing w:val="12"/>
              </w:rPr>
              <w:t xml:space="preserve"> </w:t>
            </w:r>
            <w:r>
              <w:rPr>
                <w:spacing w:val="2"/>
              </w:rPr>
              <w:t>一种情形</w:t>
            </w:r>
          </w:p>
        </w:tc>
      </w:tr>
    </w:tbl>
    <w:p w14:paraId="65C214CD">
      <w:pPr>
        <w:rPr>
          <w:rFonts w:ascii="Arial"/>
          <w:sz w:val="21"/>
        </w:rPr>
      </w:pPr>
    </w:p>
    <w:p w14:paraId="6F7FABA7">
      <w:pPr>
        <w:rPr>
          <w:rFonts w:ascii="Arial" w:hAnsi="Arial" w:eastAsia="Arial" w:cs="Arial"/>
          <w:sz w:val="21"/>
          <w:szCs w:val="21"/>
        </w:rPr>
        <w:sectPr>
          <w:footerReference r:id="rId51" w:type="default"/>
          <w:pgSz w:w="11910" w:h="16840"/>
          <w:pgMar w:top="1431" w:right="1284" w:bottom="1008" w:left="1445" w:header="0" w:footer="855" w:gutter="0"/>
          <w:cols w:space="720" w:num="1"/>
        </w:sectPr>
      </w:pPr>
    </w:p>
    <w:p w14:paraId="6B6C9724">
      <w:pPr>
        <w:spacing w:before="12"/>
      </w:pPr>
    </w:p>
    <w:tbl>
      <w:tblPr>
        <w:tblStyle w:val="5"/>
        <w:tblW w:w="918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4"/>
        <w:gridCol w:w="1069"/>
        <w:gridCol w:w="2337"/>
        <w:gridCol w:w="5047"/>
      </w:tblGrid>
      <w:tr w14:paraId="6068C2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trPr>
        <w:tc>
          <w:tcPr>
            <w:tcW w:w="734" w:type="dxa"/>
            <w:vMerge w:val="restart"/>
            <w:tcBorders>
              <w:bottom w:val="nil"/>
            </w:tcBorders>
            <w:vAlign w:val="top"/>
          </w:tcPr>
          <w:p w14:paraId="30EF8C7D">
            <w:pPr>
              <w:spacing w:line="244" w:lineRule="auto"/>
              <w:rPr>
                <w:rFonts w:ascii="Arial"/>
                <w:sz w:val="21"/>
              </w:rPr>
            </w:pPr>
          </w:p>
          <w:p w14:paraId="019DCB26">
            <w:pPr>
              <w:spacing w:line="244" w:lineRule="auto"/>
              <w:rPr>
                <w:rFonts w:ascii="Arial"/>
                <w:sz w:val="21"/>
              </w:rPr>
            </w:pPr>
          </w:p>
          <w:p w14:paraId="3AB60F23">
            <w:pPr>
              <w:spacing w:line="244" w:lineRule="auto"/>
              <w:rPr>
                <w:rFonts w:ascii="Arial"/>
                <w:sz w:val="21"/>
              </w:rPr>
            </w:pPr>
          </w:p>
          <w:p w14:paraId="35DDC010">
            <w:pPr>
              <w:spacing w:line="244" w:lineRule="auto"/>
              <w:rPr>
                <w:rFonts w:ascii="Arial"/>
                <w:sz w:val="21"/>
              </w:rPr>
            </w:pPr>
          </w:p>
          <w:p w14:paraId="44DA4C7A">
            <w:pPr>
              <w:spacing w:line="245" w:lineRule="auto"/>
              <w:rPr>
                <w:rFonts w:ascii="Arial"/>
                <w:sz w:val="21"/>
              </w:rPr>
            </w:pPr>
          </w:p>
          <w:p w14:paraId="6C5F686B">
            <w:pPr>
              <w:spacing w:line="245" w:lineRule="auto"/>
              <w:rPr>
                <w:rFonts w:ascii="Arial"/>
                <w:sz w:val="21"/>
              </w:rPr>
            </w:pPr>
          </w:p>
          <w:p w14:paraId="3792A696">
            <w:pPr>
              <w:spacing w:line="245" w:lineRule="auto"/>
              <w:rPr>
                <w:rFonts w:ascii="Arial"/>
                <w:sz w:val="21"/>
              </w:rPr>
            </w:pPr>
          </w:p>
          <w:p w14:paraId="1A2A130B">
            <w:pPr>
              <w:spacing w:line="245" w:lineRule="auto"/>
              <w:rPr>
                <w:rFonts w:ascii="Arial"/>
                <w:sz w:val="21"/>
              </w:rPr>
            </w:pPr>
          </w:p>
          <w:p w14:paraId="611F73E4">
            <w:pPr>
              <w:spacing w:line="245" w:lineRule="auto"/>
              <w:rPr>
                <w:rFonts w:ascii="Arial"/>
                <w:sz w:val="21"/>
              </w:rPr>
            </w:pPr>
          </w:p>
          <w:p w14:paraId="6F67EEF4">
            <w:pPr>
              <w:spacing w:line="245" w:lineRule="auto"/>
              <w:rPr>
                <w:rFonts w:ascii="Arial"/>
                <w:sz w:val="21"/>
              </w:rPr>
            </w:pPr>
          </w:p>
          <w:p w14:paraId="5DBFD7B3">
            <w:pPr>
              <w:spacing w:line="245" w:lineRule="auto"/>
              <w:rPr>
                <w:rFonts w:ascii="Arial"/>
                <w:sz w:val="21"/>
              </w:rPr>
            </w:pPr>
          </w:p>
          <w:p w14:paraId="3ADA5515">
            <w:pPr>
              <w:spacing w:line="245" w:lineRule="auto"/>
              <w:rPr>
                <w:rFonts w:ascii="Arial"/>
                <w:sz w:val="21"/>
              </w:rPr>
            </w:pPr>
          </w:p>
          <w:p w14:paraId="29B3A399">
            <w:pPr>
              <w:spacing w:line="245" w:lineRule="auto"/>
              <w:rPr>
                <w:rFonts w:ascii="Arial"/>
                <w:sz w:val="21"/>
              </w:rPr>
            </w:pPr>
          </w:p>
          <w:p w14:paraId="136490DF">
            <w:pPr>
              <w:spacing w:line="245" w:lineRule="auto"/>
              <w:rPr>
                <w:rFonts w:ascii="Arial"/>
                <w:sz w:val="21"/>
              </w:rPr>
            </w:pPr>
          </w:p>
          <w:p w14:paraId="48950192">
            <w:pPr>
              <w:spacing w:line="245" w:lineRule="auto"/>
              <w:rPr>
                <w:rFonts w:ascii="Arial"/>
                <w:sz w:val="21"/>
              </w:rPr>
            </w:pPr>
          </w:p>
          <w:p w14:paraId="63AD08DB">
            <w:pPr>
              <w:spacing w:line="245" w:lineRule="auto"/>
              <w:rPr>
                <w:rFonts w:ascii="Arial"/>
                <w:sz w:val="21"/>
              </w:rPr>
            </w:pPr>
          </w:p>
          <w:p w14:paraId="3EB63F79">
            <w:pPr>
              <w:spacing w:line="245" w:lineRule="auto"/>
              <w:rPr>
                <w:rFonts w:ascii="Arial"/>
                <w:sz w:val="21"/>
              </w:rPr>
            </w:pPr>
          </w:p>
          <w:p w14:paraId="21A5D093">
            <w:pPr>
              <w:spacing w:line="245" w:lineRule="auto"/>
              <w:rPr>
                <w:rFonts w:ascii="Arial"/>
                <w:sz w:val="21"/>
              </w:rPr>
            </w:pPr>
          </w:p>
          <w:p w14:paraId="69B3B48A">
            <w:pPr>
              <w:pStyle w:val="6"/>
              <w:spacing w:before="72" w:line="239" w:lineRule="auto"/>
              <w:ind w:left="94"/>
              <w:rPr>
                <w:sz w:val="22"/>
                <w:szCs w:val="22"/>
              </w:rPr>
            </w:pPr>
            <w:r>
              <w:rPr>
                <w:spacing w:val="-2"/>
                <w:sz w:val="22"/>
                <w:szCs w:val="22"/>
              </w:rPr>
              <w:t>2.1.3</w:t>
            </w:r>
          </w:p>
        </w:tc>
        <w:tc>
          <w:tcPr>
            <w:tcW w:w="1069" w:type="dxa"/>
            <w:vMerge w:val="restart"/>
            <w:tcBorders>
              <w:bottom w:val="nil"/>
            </w:tcBorders>
            <w:vAlign w:val="top"/>
          </w:tcPr>
          <w:p w14:paraId="26BB6441">
            <w:pPr>
              <w:spacing w:line="251" w:lineRule="auto"/>
              <w:rPr>
                <w:rFonts w:ascii="Arial"/>
                <w:sz w:val="21"/>
              </w:rPr>
            </w:pPr>
          </w:p>
          <w:p w14:paraId="02057355">
            <w:pPr>
              <w:spacing w:line="251" w:lineRule="auto"/>
              <w:rPr>
                <w:rFonts w:ascii="Arial"/>
                <w:sz w:val="21"/>
              </w:rPr>
            </w:pPr>
          </w:p>
          <w:p w14:paraId="1B41B95F">
            <w:pPr>
              <w:spacing w:line="251" w:lineRule="auto"/>
              <w:rPr>
                <w:rFonts w:ascii="Arial"/>
                <w:sz w:val="21"/>
              </w:rPr>
            </w:pPr>
          </w:p>
          <w:p w14:paraId="44F9D031">
            <w:pPr>
              <w:spacing w:line="251" w:lineRule="auto"/>
              <w:rPr>
                <w:rFonts w:ascii="Arial"/>
                <w:sz w:val="21"/>
              </w:rPr>
            </w:pPr>
          </w:p>
          <w:p w14:paraId="410AE206">
            <w:pPr>
              <w:spacing w:line="251" w:lineRule="auto"/>
              <w:rPr>
                <w:rFonts w:ascii="Arial"/>
                <w:sz w:val="21"/>
              </w:rPr>
            </w:pPr>
          </w:p>
          <w:p w14:paraId="18C00CD0">
            <w:pPr>
              <w:spacing w:line="251" w:lineRule="auto"/>
              <w:rPr>
                <w:rFonts w:ascii="Arial"/>
                <w:sz w:val="21"/>
              </w:rPr>
            </w:pPr>
          </w:p>
          <w:p w14:paraId="2F075D1F">
            <w:pPr>
              <w:spacing w:line="251" w:lineRule="auto"/>
              <w:rPr>
                <w:rFonts w:ascii="Arial"/>
                <w:sz w:val="21"/>
              </w:rPr>
            </w:pPr>
          </w:p>
          <w:p w14:paraId="5D8FDFDB">
            <w:pPr>
              <w:spacing w:line="251" w:lineRule="auto"/>
              <w:rPr>
                <w:rFonts w:ascii="Arial"/>
                <w:sz w:val="21"/>
              </w:rPr>
            </w:pPr>
          </w:p>
          <w:p w14:paraId="65C84254">
            <w:pPr>
              <w:spacing w:line="251" w:lineRule="auto"/>
              <w:rPr>
                <w:rFonts w:ascii="Arial"/>
                <w:sz w:val="21"/>
              </w:rPr>
            </w:pPr>
          </w:p>
          <w:p w14:paraId="3AE0450A">
            <w:pPr>
              <w:spacing w:line="251" w:lineRule="auto"/>
              <w:rPr>
                <w:rFonts w:ascii="Arial"/>
                <w:sz w:val="21"/>
              </w:rPr>
            </w:pPr>
          </w:p>
          <w:p w14:paraId="4CF8296F">
            <w:pPr>
              <w:spacing w:line="251" w:lineRule="auto"/>
              <w:rPr>
                <w:rFonts w:ascii="Arial"/>
                <w:sz w:val="21"/>
              </w:rPr>
            </w:pPr>
          </w:p>
          <w:p w14:paraId="53B55592">
            <w:pPr>
              <w:spacing w:line="251" w:lineRule="auto"/>
              <w:rPr>
                <w:rFonts w:ascii="Arial"/>
                <w:sz w:val="21"/>
              </w:rPr>
            </w:pPr>
          </w:p>
          <w:p w14:paraId="0162AE7A">
            <w:pPr>
              <w:spacing w:line="251" w:lineRule="auto"/>
              <w:rPr>
                <w:rFonts w:ascii="Arial"/>
                <w:sz w:val="21"/>
              </w:rPr>
            </w:pPr>
          </w:p>
          <w:p w14:paraId="5965C1C2">
            <w:pPr>
              <w:spacing w:line="251" w:lineRule="auto"/>
              <w:rPr>
                <w:rFonts w:ascii="Arial"/>
                <w:sz w:val="21"/>
              </w:rPr>
            </w:pPr>
          </w:p>
          <w:p w14:paraId="49544F7B">
            <w:pPr>
              <w:spacing w:line="251" w:lineRule="auto"/>
              <w:rPr>
                <w:rFonts w:ascii="Arial"/>
                <w:sz w:val="21"/>
              </w:rPr>
            </w:pPr>
          </w:p>
          <w:p w14:paraId="5BA86FFD">
            <w:pPr>
              <w:spacing w:line="251" w:lineRule="auto"/>
              <w:rPr>
                <w:rFonts w:ascii="Arial"/>
                <w:sz w:val="21"/>
              </w:rPr>
            </w:pPr>
          </w:p>
          <w:p w14:paraId="4D2511ED">
            <w:pPr>
              <w:spacing w:line="252" w:lineRule="auto"/>
              <w:rPr>
                <w:rFonts w:ascii="Arial"/>
                <w:sz w:val="21"/>
              </w:rPr>
            </w:pPr>
          </w:p>
          <w:p w14:paraId="4209BEE0">
            <w:pPr>
              <w:pStyle w:val="6"/>
              <w:spacing w:before="71" w:line="228" w:lineRule="auto"/>
              <w:ind w:left="111" w:right="59"/>
              <w:rPr>
                <w:sz w:val="22"/>
                <w:szCs w:val="22"/>
              </w:rPr>
            </w:pPr>
            <w:r>
              <w:rPr>
                <w:spacing w:val="-14"/>
                <w:sz w:val="22"/>
                <w:szCs w:val="22"/>
              </w:rPr>
              <w:t>响</w:t>
            </w:r>
            <w:r>
              <w:rPr>
                <w:spacing w:val="24"/>
                <w:sz w:val="22"/>
                <w:szCs w:val="22"/>
              </w:rPr>
              <w:t xml:space="preserve"> </w:t>
            </w:r>
            <w:r>
              <w:rPr>
                <w:spacing w:val="-14"/>
                <w:sz w:val="22"/>
                <w:szCs w:val="22"/>
              </w:rPr>
              <w:t>应</w:t>
            </w:r>
            <w:r>
              <w:rPr>
                <w:spacing w:val="25"/>
                <w:sz w:val="22"/>
                <w:szCs w:val="22"/>
              </w:rPr>
              <w:t xml:space="preserve"> </w:t>
            </w:r>
            <w:r>
              <w:rPr>
                <w:spacing w:val="-14"/>
                <w:sz w:val="22"/>
                <w:szCs w:val="22"/>
              </w:rPr>
              <w:t>性</w:t>
            </w:r>
            <w:r>
              <w:rPr>
                <w:sz w:val="22"/>
                <w:szCs w:val="22"/>
              </w:rPr>
              <w:t xml:space="preserve"> </w:t>
            </w:r>
            <w:r>
              <w:rPr>
                <w:spacing w:val="-2"/>
                <w:sz w:val="22"/>
                <w:szCs w:val="22"/>
              </w:rPr>
              <w:t>评审标准</w:t>
            </w:r>
          </w:p>
        </w:tc>
        <w:tc>
          <w:tcPr>
            <w:tcW w:w="2337" w:type="dxa"/>
            <w:vAlign w:val="top"/>
          </w:tcPr>
          <w:p w14:paraId="1390D496">
            <w:pPr>
              <w:pStyle w:val="6"/>
              <w:spacing w:before="124" w:line="219" w:lineRule="auto"/>
              <w:ind w:left="92"/>
              <w:rPr>
                <w:sz w:val="22"/>
                <w:szCs w:val="22"/>
              </w:rPr>
            </w:pPr>
            <w:r>
              <w:rPr>
                <w:spacing w:val="2"/>
                <w:sz w:val="22"/>
                <w:szCs w:val="22"/>
              </w:rPr>
              <w:t>投标内容</w:t>
            </w:r>
          </w:p>
        </w:tc>
        <w:tc>
          <w:tcPr>
            <w:tcW w:w="5047" w:type="dxa"/>
            <w:vAlign w:val="top"/>
          </w:tcPr>
          <w:p w14:paraId="49A6169F">
            <w:pPr>
              <w:pStyle w:val="6"/>
              <w:spacing w:before="122" w:line="219" w:lineRule="auto"/>
              <w:ind w:left="104"/>
              <w:rPr>
                <w:sz w:val="22"/>
                <w:szCs w:val="22"/>
              </w:rPr>
            </w:pPr>
            <w:r>
              <w:rPr>
                <w:spacing w:val="1"/>
                <w:sz w:val="22"/>
                <w:szCs w:val="22"/>
              </w:rPr>
              <w:t>符合第二章“投标人须知”第1.3.1项</w:t>
            </w:r>
            <w:r>
              <w:rPr>
                <w:sz w:val="22"/>
                <w:szCs w:val="22"/>
              </w:rPr>
              <w:t>规定</w:t>
            </w:r>
          </w:p>
        </w:tc>
      </w:tr>
      <w:tr w14:paraId="014D5F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734" w:type="dxa"/>
            <w:vMerge w:val="continue"/>
            <w:tcBorders>
              <w:top w:val="nil"/>
              <w:bottom w:val="nil"/>
            </w:tcBorders>
            <w:vAlign w:val="top"/>
          </w:tcPr>
          <w:p w14:paraId="4A912EF1">
            <w:pPr>
              <w:rPr>
                <w:rFonts w:ascii="Arial"/>
                <w:sz w:val="21"/>
              </w:rPr>
            </w:pPr>
          </w:p>
        </w:tc>
        <w:tc>
          <w:tcPr>
            <w:tcW w:w="1069" w:type="dxa"/>
            <w:vMerge w:val="continue"/>
            <w:tcBorders>
              <w:top w:val="nil"/>
              <w:bottom w:val="nil"/>
            </w:tcBorders>
            <w:vAlign w:val="top"/>
          </w:tcPr>
          <w:p w14:paraId="0515413B">
            <w:pPr>
              <w:rPr>
                <w:rFonts w:ascii="Arial"/>
                <w:sz w:val="21"/>
              </w:rPr>
            </w:pPr>
          </w:p>
        </w:tc>
        <w:tc>
          <w:tcPr>
            <w:tcW w:w="2337" w:type="dxa"/>
            <w:vAlign w:val="top"/>
          </w:tcPr>
          <w:p w14:paraId="5C002631">
            <w:pPr>
              <w:pStyle w:val="6"/>
              <w:spacing w:before="119" w:line="220" w:lineRule="auto"/>
              <w:ind w:left="92"/>
              <w:rPr>
                <w:sz w:val="22"/>
                <w:szCs w:val="22"/>
              </w:rPr>
            </w:pPr>
            <w:r>
              <w:rPr>
                <w:spacing w:val="7"/>
                <w:sz w:val="22"/>
                <w:szCs w:val="22"/>
              </w:rPr>
              <w:t>工期</w:t>
            </w:r>
          </w:p>
        </w:tc>
        <w:tc>
          <w:tcPr>
            <w:tcW w:w="5047" w:type="dxa"/>
            <w:vAlign w:val="top"/>
          </w:tcPr>
          <w:p w14:paraId="5799D9FF">
            <w:pPr>
              <w:pStyle w:val="6"/>
              <w:spacing w:before="117" w:line="219" w:lineRule="auto"/>
              <w:ind w:left="104"/>
              <w:rPr>
                <w:sz w:val="22"/>
                <w:szCs w:val="22"/>
              </w:rPr>
            </w:pPr>
            <w:r>
              <w:rPr>
                <w:sz w:val="22"/>
                <w:szCs w:val="22"/>
              </w:rPr>
              <w:t>符合第二章“投标人须知”第1.3.2项规定</w:t>
            </w:r>
          </w:p>
        </w:tc>
      </w:tr>
      <w:tr w14:paraId="701EB6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99" w:hRule="atLeast"/>
        </w:trPr>
        <w:tc>
          <w:tcPr>
            <w:tcW w:w="734" w:type="dxa"/>
            <w:vMerge w:val="continue"/>
            <w:tcBorders>
              <w:top w:val="nil"/>
              <w:bottom w:val="nil"/>
            </w:tcBorders>
            <w:vAlign w:val="top"/>
          </w:tcPr>
          <w:p w14:paraId="3F4D35C0">
            <w:pPr>
              <w:rPr>
                <w:rFonts w:ascii="Arial"/>
                <w:sz w:val="21"/>
              </w:rPr>
            </w:pPr>
          </w:p>
        </w:tc>
        <w:tc>
          <w:tcPr>
            <w:tcW w:w="1069" w:type="dxa"/>
            <w:vMerge w:val="continue"/>
            <w:tcBorders>
              <w:top w:val="nil"/>
              <w:bottom w:val="nil"/>
            </w:tcBorders>
            <w:vAlign w:val="top"/>
          </w:tcPr>
          <w:p w14:paraId="7A037B97">
            <w:pPr>
              <w:rPr>
                <w:rFonts w:ascii="Arial"/>
                <w:sz w:val="21"/>
              </w:rPr>
            </w:pPr>
          </w:p>
        </w:tc>
        <w:tc>
          <w:tcPr>
            <w:tcW w:w="2337" w:type="dxa"/>
            <w:vAlign w:val="top"/>
          </w:tcPr>
          <w:p w14:paraId="67BA871B">
            <w:pPr>
              <w:spacing w:line="366" w:lineRule="auto"/>
              <w:rPr>
                <w:rFonts w:ascii="Arial"/>
                <w:sz w:val="21"/>
              </w:rPr>
            </w:pPr>
          </w:p>
          <w:p w14:paraId="0651F0FB">
            <w:pPr>
              <w:pStyle w:val="6"/>
              <w:spacing w:before="72" w:line="220" w:lineRule="auto"/>
              <w:ind w:left="92"/>
              <w:rPr>
                <w:sz w:val="22"/>
                <w:szCs w:val="22"/>
              </w:rPr>
            </w:pPr>
            <w:r>
              <w:rPr>
                <w:spacing w:val="-3"/>
                <w:sz w:val="22"/>
                <w:szCs w:val="22"/>
              </w:rPr>
              <w:t>工程质量</w:t>
            </w:r>
          </w:p>
        </w:tc>
        <w:tc>
          <w:tcPr>
            <w:tcW w:w="5047" w:type="dxa"/>
            <w:vAlign w:val="top"/>
          </w:tcPr>
          <w:p w14:paraId="10927C51">
            <w:pPr>
              <w:pStyle w:val="6"/>
              <w:spacing w:before="28" w:line="219" w:lineRule="auto"/>
              <w:ind w:left="104"/>
              <w:rPr>
                <w:sz w:val="22"/>
                <w:szCs w:val="22"/>
              </w:rPr>
            </w:pPr>
            <w:r>
              <w:rPr>
                <w:sz w:val="22"/>
                <w:szCs w:val="22"/>
              </w:rPr>
              <w:t>符合第二章“投标人须知”第1.3.3项规定</w:t>
            </w:r>
          </w:p>
          <w:p w14:paraId="160C2888">
            <w:pPr>
              <w:pStyle w:val="6"/>
              <w:spacing w:before="9" w:line="221" w:lineRule="auto"/>
              <w:ind w:left="104" w:firstLine="109"/>
              <w:rPr>
                <w:sz w:val="22"/>
                <w:szCs w:val="22"/>
              </w:rPr>
            </w:pPr>
            <w:r>
              <w:rPr>
                <w:spacing w:val="-6"/>
                <w:sz w:val="22"/>
                <w:szCs w:val="22"/>
              </w:rPr>
              <w:t>(投标文件中载明的质量标准、质量奖项必须达到招</w:t>
            </w:r>
            <w:r>
              <w:rPr>
                <w:spacing w:val="9"/>
                <w:sz w:val="22"/>
                <w:szCs w:val="22"/>
              </w:rPr>
              <w:t xml:space="preserve"> </w:t>
            </w:r>
            <w:r>
              <w:rPr>
                <w:spacing w:val="-6"/>
                <w:sz w:val="22"/>
                <w:szCs w:val="22"/>
              </w:rPr>
              <w:t>标文件规定的质量标准、质量奖项，不能以质量奖项</w:t>
            </w:r>
            <w:r>
              <w:rPr>
                <w:spacing w:val="4"/>
                <w:sz w:val="22"/>
                <w:szCs w:val="22"/>
              </w:rPr>
              <w:t xml:space="preserve"> </w:t>
            </w:r>
            <w:r>
              <w:rPr>
                <w:spacing w:val="6"/>
                <w:sz w:val="22"/>
                <w:szCs w:val="22"/>
              </w:rPr>
              <w:t>代替质量标准)</w:t>
            </w:r>
          </w:p>
        </w:tc>
      </w:tr>
      <w:tr w14:paraId="0136C0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9" w:hRule="atLeast"/>
        </w:trPr>
        <w:tc>
          <w:tcPr>
            <w:tcW w:w="734" w:type="dxa"/>
            <w:vMerge w:val="continue"/>
            <w:tcBorders>
              <w:top w:val="nil"/>
              <w:bottom w:val="nil"/>
            </w:tcBorders>
            <w:vAlign w:val="top"/>
          </w:tcPr>
          <w:p w14:paraId="61310961">
            <w:pPr>
              <w:rPr>
                <w:rFonts w:ascii="Arial"/>
                <w:sz w:val="21"/>
              </w:rPr>
            </w:pPr>
          </w:p>
        </w:tc>
        <w:tc>
          <w:tcPr>
            <w:tcW w:w="1069" w:type="dxa"/>
            <w:vMerge w:val="continue"/>
            <w:tcBorders>
              <w:top w:val="nil"/>
              <w:bottom w:val="nil"/>
            </w:tcBorders>
            <w:vAlign w:val="top"/>
          </w:tcPr>
          <w:p w14:paraId="74A1531C">
            <w:pPr>
              <w:rPr>
                <w:rFonts w:ascii="Arial"/>
                <w:sz w:val="21"/>
              </w:rPr>
            </w:pPr>
          </w:p>
        </w:tc>
        <w:tc>
          <w:tcPr>
            <w:tcW w:w="2337" w:type="dxa"/>
            <w:vAlign w:val="top"/>
          </w:tcPr>
          <w:p w14:paraId="4A1BFE0F">
            <w:pPr>
              <w:pStyle w:val="6"/>
              <w:spacing w:before="111" w:line="220" w:lineRule="auto"/>
              <w:ind w:left="92"/>
              <w:rPr>
                <w:sz w:val="22"/>
                <w:szCs w:val="22"/>
              </w:rPr>
            </w:pPr>
            <w:r>
              <w:rPr>
                <w:spacing w:val="2"/>
                <w:sz w:val="22"/>
                <w:szCs w:val="22"/>
              </w:rPr>
              <w:t>投标有效期</w:t>
            </w:r>
          </w:p>
        </w:tc>
        <w:tc>
          <w:tcPr>
            <w:tcW w:w="5047" w:type="dxa"/>
            <w:vAlign w:val="top"/>
          </w:tcPr>
          <w:p w14:paraId="175D09A7">
            <w:pPr>
              <w:pStyle w:val="6"/>
              <w:spacing w:before="109" w:line="219" w:lineRule="auto"/>
              <w:ind w:left="104"/>
              <w:rPr>
                <w:sz w:val="22"/>
                <w:szCs w:val="22"/>
              </w:rPr>
            </w:pPr>
            <w:r>
              <w:rPr>
                <w:spacing w:val="1"/>
                <w:sz w:val="22"/>
                <w:szCs w:val="22"/>
              </w:rPr>
              <w:t>符合第二章“投标人须知”第3.3.1项</w:t>
            </w:r>
            <w:r>
              <w:rPr>
                <w:sz w:val="22"/>
                <w:szCs w:val="22"/>
              </w:rPr>
              <w:t>规定</w:t>
            </w:r>
          </w:p>
        </w:tc>
      </w:tr>
      <w:tr w14:paraId="11158F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48" w:hRule="atLeast"/>
        </w:trPr>
        <w:tc>
          <w:tcPr>
            <w:tcW w:w="734" w:type="dxa"/>
            <w:vMerge w:val="continue"/>
            <w:tcBorders>
              <w:top w:val="nil"/>
              <w:bottom w:val="nil"/>
            </w:tcBorders>
            <w:vAlign w:val="top"/>
          </w:tcPr>
          <w:p w14:paraId="0B57D9CC">
            <w:pPr>
              <w:rPr>
                <w:rFonts w:ascii="Arial"/>
                <w:sz w:val="21"/>
              </w:rPr>
            </w:pPr>
          </w:p>
        </w:tc>
        <w:tc>
          <w:tcPr>
            <w:tcW w:w="1069" w:type="dxa"/>
            <w:vMerge w:val="continue"/>
            <w:tcBorders>
              <w:top w:val="nil"/>
              <w:bottom w:val="nil"/>
            </w:tcBorders>
            <w:vAlign w:val="top"/>
          </w:tcPr>
          <w:p w14:paraId="3349B9B4">
            <w:pPr>
              <w:rPr>
                <w:rFonts w:ascii="Arial"/>
                <w:sz w:val="21"/>
              </w:rPr>
            </w:pPr>
          </w:p>
        </w:tc>
        <w:tc>
          <w:tcPr>
            <w:tcW w:w="2337" w:type="dxa"/>
            <w:vAlign w:val="top"/>
          </w:tcPr>
          <w:p w14:paraId="4DA776DE">
            <w:pPr>
              <w:spacing w:line="323" w:lineRule="auto"/>
              <w:rPr>
                <w:rFonts w:ascii="Arial"/>
                <w:sz w:val="21"/>
              </w:rPr>
            </w:pPr>
          </w:p>
          <w:p w14:paraId="7E2CCCFE">
            <w:pPr>
              <w:spacing w:line="324" w:lineRule="auto"/>
              <w:rPr>
                <w:rFonts w:ascii="Arial"/>
                <w:sz w:val="21"/>
              </w:rPr>
            </w:pPr>
          </w:p>
          <w:p w14:paraId="374E2CDE">
            <w:pPr>
              <w:pStyle w:val="6"/>
              <w:spacing w:before="71" w:line="220" w:lineRule="auto"/>
              <w:ind w:left="92"/>
              <w:rPr>
                <w:sz w:val="22"/>
                <w:szCs w:val="22"/>
              </w:rPr>
            </w:pPr>
            <w:r>
              <w:rPr>
                <w:spacing w:val="1"/>
                <w:sz w:val="22"/>
                <w:szCs w:val="22"/>
              </w:rPr>
              <w:t>投标保证金</w:t>
            </w:r>
          </w:p>
        </w:tc>
        <w:tc>
          <w:tcPr>
            <w:tcW w:w="5047" w:type="dxa"/>
            <w:vAlign w:val="top"/>
          </w:tcPr>
          <w:p w14:paraId="2591778F">
            <w:pPr>
              <w:pStyle w:val="6"/>
              <w:spacing w:before="50" w:line="219" w:lineRule="auto"/>
              <w:ind w:left="104"/>
              <w:rPr>
                <w:sz w:val="22"/>
                <w:szCs w:val="22"/>
              </w:rPr>
            </w:pPr>
            <w:r>
              <w:rPr>
                <w:spacing w:val="1"/>
                <w:sz w:val="22"/>
                <w:szCs w:val="22"/>
              </w:rPr>
              <w:t>符合第二章“投标人须知”第3.4.1项</w:t>
            </w:r>
            <w:r>
              <w:rPr>
                <w:sz w:val="22"/>
                <w:szCs w:val="22"/>
              </w:rPr>
              <w:t>规定</w:t>
            </w:r>
          </w:p>
          <w:p w14:paraId="1CAA476E">
            <w:pPr>
              <w:pStyle w:val="6"/>
              <w:spacing w:before="3" w:line="222" w:lineRule="auto"/>
              <w:ind w:left="104" w:firstLine="109"/>
              <w:rPr>
                <w:sz w:val="22"/>
                <w:szCs w:val="22"/>
              </w:rPr>
            </w:pPr>
            <w:r>
              <w:rPr>
                <w:sz w:val="22"/>
                <w:szCs w:val="22"/>
              </w:rPr>
              <w:t>(投标保证金符合要求是指投标保证金的形式</w:t>
            </w:r>
            <w:r>
              <w:rPr>
                <w:spacing w:val="-1"/>
                <w:sz w:val="22"/>
                <w:szCs w:val="22"/>
              </w:rPr>
              <w:t>、金</w:t>
            </w:r>
            <w:r>
              <w:rPr>
                <w:sz w:val="22"/>
                <w:szCs w:val="22"/>
              </w:rPr>
              <w:t xml:space="preserve">  </w:t>
            </w:r>
            <w:r>
              <w:rPr>
                <w:spacing w:val="-6"/>
                <w:sz w:val="22"/>
                <w:szCs w:val="22"/>
              </w:rPr>
              <w:t>额、递交截止时间、递交方式符合招标文件规定；以</w:t>
            </w:r>
            <w:r>
              <w:rPr>
                <w:spacing w:val="5"/>
                <w:sz w:val="22"/>
                <w:szCs w:val="22"/>
              </w:rPr>
              <w:t xml:space="preserve"> </w:t>
            </w:r>
            <w:r>
              <w:rPr>
                <w:spacing w:val="-6"/>
                <w:sz w:val="22"/>
                <w:szCs w:val="22"/>
              </w:rPr>
              <w:t>现金、支票方式提交的应从投标人基本账户转出，即</w:t>
            </w:r>
            <w:r>
              <w:rPr>
                <w:spacing w:val="9"/>
                <w:sz w:val="22"/>
                <w:szCs w:val="22"/>
              </w:rPr>
              <w:t xml:space="preserve"> </w:t>
            </w:r>
            <w:r>
              <w:rPr>
                <w:sz w:val="22"/>
                <w:szCs w:val="22"/>
              </w:rPr>
              <w:t>投标人汇款凭证的账户号与其基本账户开户许</w:t>
            </w:r>
            <w:r>
              <w:rPr>
                <w:spacing w:val="-1"/>
                <w:sz w:val="22"/>
                <w:szCs w:val="22"/>
              </w:rPr>
              <w:t>可证</w:t>
            </w:r>
            <w:r>
              <w:rPr>
                <w:sz w:val="22"/>
                <w:szCs w:val="22"/>
              </w:rPr>
              <w:t xml:space="preserve">  </w:t>
            </w:r>
            <w:r>
              <w:rPr>
                <w:spacing w:val="6"/>
                <w:sz w:val="22"/>
                <w:szCs w:val="22"/>
              </w:rPr>
              <w:t>的账户号一致)</w:t>
            </w:r>
          </w:p>
        </w:tc>
      </w:tr>
      <w:tr w14:paraId="53F743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9" w:hRule="atLeast"/>
        </w:trPr>
        <w:tc>
          <w:tcPr>
            <w:tcW w:w="734" w:type="dxa"/>
            <w:vMerge w:val="continue"/>
            <w:tcBorders>
              <w:top w:val="nil"/>
              <w:bottom w:val="nil"/>
            </w:tcBorders>
            <w:vAlign w:val="top"/>
          </w:tcPr>
          <w:p w14:paraId="09B946D9">
            <w:pPr>
              <w:rPr>
                <w:rFonts w:ascii="Arial"/>
                <w:sz w:val="21"/>
              </w:rPr>
            </w:pPr>
          </w:p>
        </w:tc>
        <w:tc>
          <w:tcPr>
            <w:tcW w:w="1069" w:type="dxa"/>
            <w:vMerge w:val="continue"/>
            <w:tcBorders>
              <w:top w:val="nil"/>
              <w:bottom w:val="nil"/>
            </w:tcBorders>
            <w:vAlign w:val="top"/>
          </w:tcPr>
          <w:p w14:paraId="6BFCD238">
            <w:pPr>
              <w:rPr>
                <w:rFonts w:ascii="Arial"/>
                <w:sz w:val="21"/>
              </w:rPr>
            </w:pPr>
          </w:p>
        </w:tc>
        <w:tc>
          <w:tcPr>
            <w:tcW w:w="2337" w:type="dxa"/>
            <w:vAlign w:val="top"/>
          </w:tcPr>
          <w:p w14:paraId="05418BDA">
            <w:pPr>
              <w:spacing w:line="271" w:lineRule="auto"/>
              <w:rPr>
                <w:rFonts w:ascii="Arial"/>
                <w:sz w:val="21"/>
              </w:rPr>
            </w:pPr>
          </w:p>
          <w:p w14:paraId="3884E147">
            <w:pPr>
              <w:pStyle w:val="6"/>
              <w:spacing w:before="71" w:line="219" w:lineRule="auto"/>
              <w:ind w:left="92"/>
              <w:rPr>
                <w:sz w:val="22"/>
                <w:szCs w:val="22"/>
              </w:rPr>
            </w:pPr>
            <w:r>
              <w:rPr>
                <w:spacing w:val="-2"/>
                <w:sz w:val="22"/>
                <w:szCs w:val="22"/>
              </w:rPr>
              <w:t>权利义务</w:t>
            </w:r>
          </w:p>
        </w:tc>
        <w:tc>
          <w:tcPr>
            <w:tcW w:w="5047" w:type="dxa"/>
            <w:vAlign w:val="top"/>
          </w:tcPr>
          <w:p w14:paraId="556AECEF">
            <w:pPr>
              <w:pStyle w:val="6"/>
              <w:spacing w:before="212" w:line="215" w:lineRule="auto"/>
              <w:ind w:left="104" w:right="2" w:firstLine="10"/>
              <w:rPr>
                <w:sz w:val="22"/>
                <w:szCs w:val="22"/>
              </w:rPr>
            </w:pPr>
            <w:r>
              <w:rPr>
                <w:spacing w:val="-6"/>
                <w:sz w:val="22"/>
                <w:szCs w:val="22"/>
              </w:rPr>
              <w:t>投标函附录中的相关承诺符合或优于第四章</w:t>
            </w:r>
            <w:r>
              <w:rPr>
                <w:spacing w:val="-7"/>
                <w:sz w:val="22"/>
                <w:szCs w:val="22"/>
              </w:rPr>
              <w:t>“合同条</w:t>
            </w:r>
            <w:r>
              <w:rPr>
                <w:sz w:val="22"/>
                <w:szCs w:val="22"/>
              </w:rPr>
              <w:t xml:space="preserve"> </w:t>
            </w:r>
            <w:r>
              <w:rPr>
                <w:spacing w:val="1"/>
                <w:sz w:val="22"/>
                <w:szCs w:val="22"/>
              </w:rPr>
              <w:t>款及格式”的相关规定</w:t>
            </w:r>
          </w:p>
        </w:tc>
      </w:tr>
      <w:tr w14:paraId="3D991F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734" w:type="dxa"/>
            <w:vMerge w:val="continue"/>
            <w:tcBorders>
              <w:top w:val="nil"/>
              <w:bottom w:val="nil"/>
            </w:tcBorders>
            <w:vAlign w:val="top"/>
          </w:tcPr>
          <w:p w14:paraId="5F788C4F">
            <w:pPr>
              <w:rPr>
                <w:rFonts w:ascii="Arial"/>
                <w:sz w:val="21"/>
              </w:rPr>
            </w:pPr>
          </w:p>
        </w:tc>
        <w:tc>
          <w:tcPr>
            <w:tcW w:w="1069" w:type="dxa"/>
            <w:vMerge w:val="continue"/>
            <w:tcBorders>
              <w:top w:val="nil"/>
              <w:bottom w:val="nil"/>
            </w:tcBorders>
            <w:vAlign w:val="top"/>
          </w:tcPr>
          <w:p w14:paraId="2895FE1D">
            <w:pPr>
              <w:rPr>
                <w:rFonts w:ascii="Arial"/>
                <w:sz w:val="21"/>
              </w:rPr>
            </w:pPr>
          </w:p>
        </w:tc>
        <w:tc>
          <w:tcPr>
            <w:tcW w:w="2337" w:type="dxa"/>
            <w:vAlign w:val="top"/>
          </w:tcPr>
          <w:p w14:paraId="6DD4D5F7">
            <w:pPr>
              <w:pStyle w:val="6"/>
              <w:spacing w:before="145" w:line="219" w:lineRule="auto"/>
              <w:ind w:left="92"/>
              <w:rPr>
                <w:sz w:val="22"/>
                <w:szCs w:val="22"/>
              </w:rPr>
            </w:pPr>
            <w:r>
              <w:rPr>
                <w:spacing w:val="-2"/>
                <w:sz w:val="22"/>
                <w:szCs w:val="22"/>
              </w:rPr>
              <w:t>技术标准和要求</w:t>
            </w:r>
          </w:p>
        </w:tc>
        <w:tc>
          <w:tcPr>
            <w:tcW w:w="5047" w:type="dxa"/>
            <w:vAlign w:val="top"/>
          </w:tcPr>
          <w:p w14:paraId="69534FF6">
            <w:pPr>
              <w:pStyle w:val="6"/>
              <w:spacing w:before="143" w:line="219" w:lineRule="auto"/>
              <w:ind w:left="104"/>
              <w:rPr>
                <w:sz w:val="22"/>
                <w:szCs w:val="22"/>
              </w:rPr>
            </w:pPr>
            <w:r>
              <w:rPr>
                <w:sz w:val="22"/>
                <w:szCs w:val="22"/>
              </w:rPr>
              <w:t>符合第七章“技术标准和要求”规定</w:t>
            </w:r>
          </w:p>
        </w:tc>
      </w:tr>
      <w:tr w14:paraId="02C664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atLeast"/>
        </w:trPr>
        <w:tc>
          <w:tcPr>
            <w:tcW w:w="734" w:type="dxa"/>
            <w:vMerge w:val="continue"/>
            <w:tcBorders>
              <w:top w:val="nil"/>
              <w:bottom w:val="nil"/>
            </w:tcBorders>
            <w:vAlign w:val="top"/>
          </w:tcPr>
          <w:p w14:paraId="042DF564">
            <w:pPr>
              <w:rPr>
                <w:rFonts w:ascii="Arial"/>
                <w:sz w:val="21"/>
              </w:rPr>
            </w:pPr>
          </w:p>
        </w:tc>
        <w:tc>
          <w:tcPr>
            <w:tcW w:w="1069" w:type="dxa"/>
            <w:vMerge w:val="continue"/>
            <w:tcBorders>
              <w:top w:val="nil"/>
              <w:bottom w:val="nil"/>
            </w:tcBorders>
            <w:vAlign w:val="top"/>
          </w:tcPr>
          <w:p w14:paraId="67CFE67C">
            <w:pPr>
              <w:rPr>
                <w:rFonts w:ascii="Arial"/>
                <w:sz w:val="21"/>
              </w:rPr>
            </w:pPr>
          </w:p>
        </w:tc>
        <w:tc>
          <w:tcPr>
            <w:tcW w:w="2337" w:type="dxa"/>
            <w:vAlign w:val="top"/>
          </w:tcPr>
          <w:p w14:paraId="55758B21">
            <w:pPr>
              <w:pStyle w:val="6"/>
              <w:spacing w:before="156" w:line="220" w:lineRule="auto"/>
              <w:ind w:left="92"/>
              <w:rPr>
                <w:sz w:val="22"/>
                <w:szCs w:val="22"/>
              </w:rPr>
            </w:pPr>
            <w:r>
              <w:rPr>
                <w:spacing w:val="4"/>
                <w:sz w:val="22"/>
                <w:szCs w:val="22"/>
              </w:rPr>
              <w:t>分包计划</w:t>
            </w:r>
          </w:p>
        </w:tc>
        <w:tc>
          <w:tcPr>
            <w:tcW w:w="5047" w:type="dxa"/>
            <w:vAlign w:val="top"/>
          </w:tcPr>
          <w:p w14:paraId="24FD1513">
            <w:pPr>
              <w:pStyle w:val="6"/>
              <w:spacing w:before="154" w:line="219" w:lineRule="auto"/>
              <w:ind w:left="104"/>
              <w:rPr>
                <w:sz w:val="22"/>
                <w:szCs w:val="22"/>
              </w:rPr>
            </w:pPr>
            <w:r>
              <w:rPr>
                <w:sz w:val="22"/>
                <w:szCs w:val="22"/>
              </w:rPr>
              <w:t>符合第二章“投标人须知”第1.11款规定</w:t>
            </w:r>
          </w:p>
        </w:tc>
      </w:tr>
      <w:tr w14:paraId="2EDF1E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9" w:hRule="atLeast"/>
        </w:trPr>
        <w:tc>
          <w:tcPr>
            <w:tcW w:w="734" w:type="dxa"/>
            <w:vMerge w:val="continue"/>
            <w:tcBorders>
              <w:top w:val="nil"/>
              <w:bottom w:val="nil"/>
            </w:tcBorders>
            <w:vAlign w:val="top"/>
          </w:tcPr>
          <w:p w14:paraId="79028802">
            <w:pPr>
              <w:rPr>
                <w:rFonts w:ascii="Arial"/>
                <w:sz w:val="21"/>
              </w:rPr>
            </w:pPr>
          </w:p>
        </w:tc>
        <w:tc>
          <w:tcPr>
            <w:tcW w:w="1069" w:type="dxa"/>
            <w:vMerge w:val="continue"/>
            <w:tcBorders>
              <w:top w:val="nil"/>
              <w:bottom w:val="nil"/>
            </w:tcBorders>
            <w:vAlign w:val="top"/>
          </w:tcPr>
          <w:p w14:paraId="35F5E7A4">
            <w:pPr>
              <w:rPr>
                <w:rFonts w:ascii="Arial"/>
                <w:sz w:val="21"/>
              </w:rPr>
            </w:pPr>
          </w:p>
        </w:tc>
        <w:tc>
          <w:tcPr>
            <w:tcW w:w="2337" w:type="dxa"/>
            <w:vAlign w:val="top"/>
          </w:tcPr>
          <w:p w14:paraId="791CEBEA">
            <w:pPr>
              <w:spacing w:line="254" w:lineRule="auto"/>
              <w:rPr>
                <w:rFonts w:ascii="Arial"/>
                <w:sz w:val="21"/>
              </w:rPr>
            </w:pPr>
          </w:p>
          <w:p w14:paraId="50A158EA">
            <w:pPr>
              <w:pStyle w:val="6"/>
              <w:spacing w:before="71" w:line="219" w:lineRule="auto"/>
              <w:ind w:left="92"/>
              <w:rPr>
                <w:sz w:val="22"/>
                <w:szCs w:val="22"/>
              </w:rPr>
            </w:pPr>
            <w:r>
              <w:rPr>
                <w:spacing w:val="2"/>
                <w:sz w:val="22"/>
                <w:szCs w:val="22"/>
              </w:rPr>
              <w:t>算术错误修正</w:t>
            </w:r>
          </w:p>
        </w:tc>
        <w:tc>
          <w:tcPr>
            <w:tcW w:w="5047" w:type="dxa"/>
            <w:vAlign w:val="top"/>
          </w:tcPr>
          <w:p w14:paraId="06252542">
            <w:pPr>
              <w:pStyle w:val="6"/>
              <w:spacing w:before="145" w:line="218" w:lineRule="auto"/>
              <w:ind w:left="104"/>
              <w:rPr>
                <w:sz w:val="22"/>
                <w:szCs w:val="22"/>
              </w:rPr>
            </w:pPr>
            <w:r>
              <w:rPr>
                <w:sz w:val="22"/>
                <w:szCs w:val="22"/>
              </w:rPr>
              <w:t>1)投标人接受算术错误修正后的报价</w:t>
            </w:r>
          </w:p>
          <w:p w14:paraId="7C7A03A0">
            <w:pPr>
              <w:pStyle w:val="6"/>
              <w:spacing w:before="130" w:line="218" w:lineRule="auto"/>
              <w:ind w:left="104"/>
              <w:rPr>
                <w:sz w:val="22"/>
                <w:szCs w:val="22"/>
              </w:rPr>
            </w:pPr>
            <w:r>
              <w:rPr>
                <w:spacing w:val="-1"/>
                <w:sz w:val="22"/>
                <w:szCs w:val="22"/>
              </w:rPr>
              <w:t>2)修正后的报价与投标报价相比偏差率不超过±1%</w:t>
            </w:r>
          </w:p>
        </w:tc>
      </w:tr>
      <w:tr w14:paraId="154321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43" w:hRule="atLeast"/>
        </w:trPr>
        <w:tc>
          <w:tcPr>
            <w:tcW w:w="734" w:type="dxa"/>
            <w:vMerge w:val="continue"/>
            <w:tcBorders>
              <w:top w:val="nil"/>
            </w:tcBorders>
            <w:vAlign w:val="top"/>
          </w:tcPr>
          <w:p w14:paraId="3F38700F">
            <w:pPr>
              <w:rPr>
                <w:rFonts w:ascii="Arial"/>
                <w:sz w:val="21"/>
              </w:rPr>
            </w:pPr>
          </w:p>
        </w:tc>
        <w:tc>
          <w:tcPr>
            <w:tcW w:w="1069" w:type="dxa"/>
            <w:vMerge w:val="continue"/>
            <w:tcBorders>
              <w:top w:val="nil"/>
            </w:tcBorders>
            <w:vAlign w:val="top"/>
          </w:tcPr>
          <w:p w14:paraId="76039F9D">
            <w:pPr>
              <w:rPr>
                <w:rFonts w:ascii="Arial"/>
                <w:sz w:val="21"/>
              </w:rPr>
            </w:pPr>
          </w:p>
        </w:tc>
        <w:tc>
          <w:tcPr>
            <w:tcW w:w="2337" w:type="dxa"/>
            <w:vAlign w:val="top"/>
          </w:tcPr>
          <w:p w14:paraId="673FC902">
            <w:pPr>
              <w:spacing w:line="312" w:lineRule="auto"/>
              <w:rPr>
                <w:rFonts w:ascii="Arial"/>
                <w:sz w:val="21"/>
              </w:rPr>
            </w:pPr>
          </w:p>
          <w:p w14:paraId="601FDC02">
            <w:pPr>
              <w:spacing w:line="313" w:lineRule="auto"/>
              <w:rPr>
                <w:rFonts w:ascii="Arial"/>
                <w:sz w:val="21"/>
              </w:rPr>
            </w:pPr>
          </w:p>
          <w:p w14:paraId="287AAC45">
            <w:pPr>
              <w:spacing w:line="313" w:lineRule="auto"/>
              <w:rPr>
                <w:rFonts w:ascii="Arial"/>
                <w:sz w:val="21"/>
              </w:rPr>
            </w:pPr>
          </w:p>
          <w:p w14:paraId="40E52A7F">
            <w:pPr>
              <w:pStyle w:val="6"/>
              <w:spacing w:before="72" w:line="218" w:lineRule="auto"/>
              <w:ind w:left="92"/>
              <w:rPr>
                <w:sz w:val="22"/>
                <w:szCs w:val="22"/>
              </w:rPr>
            </w:pPr>
            <w:r>
              <w:rPr>
                <w:spacing w:val="2"/>
                <w:sz w:val="22"/>
                <w:szCs w:val="22"/>
              </w:rPr>
              <w:t>投标价格</w:t>
            </w:r>
          </w:p>
        </w:tc>
        <w:tc>
          <w:tcPr>
            <w:tcW w:w="5047" w:type="dxa"/>
            <w:vAlign w:val="top"/>
          </w:tcPr>
          <w:p w14:paraId="5A480E47">
            <w:pPr>
              <w:pStyle w:val="6"/>
              <w:spacing w:before="206" w:line="222" w:lineRule="auto"/>
              <w:ind w:left="104" w:right="82"/>
              <w:rPr>
                <w:sz w:val="22"/>
                <w:szCs w:val="22"/>
              </w:rPr>
            </w:pPr>
            <w:r>
              <w:rPr>
                <w:sz w:val="22"/>
                <w:szCs w:val="22"/>
              </w:rPr>
              <w:t>1)投标函中的大写报价与已标价工程量清单中的投</w:t>
            </w:r>
            <w:r>
              <w:rPr>
                <w:spacing w:val="8"/>
                <w:sz w:val="22"/>
                <w:szCs w:val="22"/>
              </w:rPr>
              <w:t xml:space="preserve"> </w:t>
            </w:r>
            <w:r>
              <w:rPr>
                <w:spacing w:val="-2"/>
                <w:sz w:val="22"/>
                <w:szCs w:val="22"/>
              </w:rPr>
              <w:t>标总价一致</w:t>
            </w:r>
          </w:p>
          <w:p w14:paraId="2DE1EDA3">
            <w:pPr>
              <w:pStyle w:val="6"/>
              <w:spacing w:before="20" w:line="222" w:lineRule="auto"/>
              <w:ind w:left="104" w:right="83" w:hanging="10"/>
              <w:rPr>
                <w:sz w:val="22"/>
                <w:szCs w:val="22"/>
              </w:rPr>
            </w:pPr>
            <w:r>
              <w:rPr>
                <w:sz w:val="22"/>
                <w:szCs w:val="22"/>
              </w:rPr>
              <w:t>2)投标函中的大写报价不大于本标段招标控制价总</w:t>
            </w:r>
            <w:r>
              <w:rPr>
                <w:spacing w:val="17"/>
                <w:sz w:val="22"/>
                <w:szCs w:val="22"/>
              </w:rPr>
              <w:t xml:space="preserve"> </w:t>
            </w:r>
            <w:r>
              <w:rPr>
                <w:sz w:val="22"/>
                <w:szCs w:val="22"/>
              </w:rPr>
              <w:t>价</w:t>
            </w:r>
          </w:p>
          <w:p w14:paraId="2264C773">
            <w:pPr>
              <w:pStyle w:val="6"/>
              <w:spacing w:before="11" w:line="226" w:lineRule="auto"/>
              <w:ind w:left="104" w:right="83"/>
              <w:rPr>
                <w:sz w:val="22"/>
                <w:szCs w:val="22"/>
              </w:rPr>
            </w:pPr>
            <w:r>
              <w:rPr>
                <w:sz w:val="22"/>
                <w:szCs w:val="22"/>
              </w:rPr>
              <w:t>3)算术错误修正后的投标总报价不大于本标段招标</w:t>
            </w:r>
            <w:r>
              <w:rPr>
                <w:spacing w:val="7"/>
                <w:sz w:val="22"/>
                <w:szCs w:val="22"/>
              </w:rPr>
              <w:t xml:space="preserve"> </w:t>
            </w:r>
            <w:r>
              <w:rPr>
                <w:spacing w:val="-2"/>
                <w:sz w:val="22"/>
                <w:szCs w:val="22"/>
              </w:rPr>
              <w:t>控制价总价</w:t>
            </w:r>
          </w:p>
          <w:p w14:paraId="76F88739">
            <w:pPr>
              <w:pStyle w:val="6"/>
              <w:spacing w:before="20" w:line="218" w:lineRule="auto"/>
              <w:ind w:left="104"/>
              <w:rPr>
                <w:sz w:val="22"/>
                <w:szCs w:val="22"/>
              </w:rPr>
            </w:pPr>
            <w:r>
              <w:rPr>
                <w:spacing w:val="-1"/>
                <w:sz w:val="22"/>
                <w:szCs w:val="22"/>
              </w:rPr>
              <w:t>4)投标报价不低于其成本</w:t>
            </w:r>
          </w:p>
        </w:tc>
      </w:tr>
    </w:tbl>
    <w:p w14:paraId="52EFC405">
      <w:pPr>
        <w:rPr>
          <w:rFonts w:ascii="Arial"/>
          <w:sz w:val="21"/>
        </w:rPr>
      </w:pPr>
    </w:p>
    <w:p w14:paraId="2D7E43DF">
      <w:pPr>
        <w:rPr>
          <w:rFonts w:ascii="Arial" w:hAnsi="Arial" w:eastAsia="Arial" w:cs="Arial"/>
          <w:sz w:val="21"/>
          <w:szCs w:val="21"/>
        </w:rPr>
        <w:sectPr>
          <w:footerReference r:id="rId52" w:type="default"/>
          <w:pgSz w:w="11910" w:h="16840"/>
          <w:pgMar w:top="1431" w:right="1267" w:bottom="999" w:left="1445" w:header="0" w:footer="857" w:gutter="0"/>
          <w:cols w:space="720" w:num="1"/>
        </w:sectPr>
      </w:pPr>
    </w:p>
    <w:p w14:paraId="5C90A3DE">
      <w:pPr>
        <w:spacing w:before="2"/>
      </w:pPr>
    </w:p>
    <w:tbl>
      <w:tblPr>
        <w:tblStyle w:val="5"/>
        <w:tblW w:w="918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44"/>
        <w:gridCol w:w="1059"/>
        <w:gridCol w:w="2087"/>
        <w:gridCol w:w="260"/>
        <w:gridCol w:w="489"/>
        <w:gridCol w:w="4550"/>
      </w:tblGrid>
      <w:tr w14:paraId="1EF7DD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31" w:hRule="atLeast"/>
        </w:trPr>
        <w:tc>
          <w:tcPr>
            <w:tcW w:w="744" w:type="dxa"/>
            <w:vAlign w:val="top"/>
          </w:tcPr>
          <w:p w14:paraId="63062645">
            <w:pPr>
              <w:rPr>
                <w:rFonts w:ascii="Arial"/>
                <w:sz w:val="21"/>
              </w:rPr>
            </w:pPr>
          </w:p>
        </w:tc>
        <w:tc>
          <w:tcPr>
            <w:tcW w:w="1059" w:type="dxa"/>
            <w:vAlign w:val="top"/>
          </w:tcPr>
          <w:p w14:paraId="6DF6D69D">
            <w:pPr>
              <w:rPr>
                <w:rFonts w:ascii="Arial"/>
                <w:sz w:val="21"/>
              </w:rPr>
            </w:pPr>
          </w:p>
        </w:tc>
        <w:tc>
          <w:tcPr>
            <w:tcW w:w="2347" w:type="dxa"/>
            <w:gridSpan w:val="2"/>
            <w:vAlign w:val="top"/>
          </w:tcPr>
          <w:p w14:paraId="06C06BDD">
            <w:pPr>
              <w:spacing w:line="253" w:lineRule="auto"/>
              <w:rPr>
                <w:rFonts w:ascii="Arial"/>
                <w:sz w:val="21"/>
              </w:rPr>
            </w:pPr>
          </w:p>
          <w:p w14:paraId="08EB783A">
            <w:pPr>
              <w:spacing w:line="253" w:lineRule="auto"/>
              <w:rPr>
                <w:rFonts w:ascii="Arial"/>
                <w:sz w:val="21"/>
              </w:rPr>
            </w:pPr>
          </w:p>
          <w:p w14:paraId="3823BF73">
            <w:pPr>
              <w:spacing w:line="253" w:lineRule="auto"/>
              <w:rPr>
                <w:rFonts w:ascii="Arial"/>
                <w:sz w:val="21"/>
              </w:rPr>
            </w:pPr>
          </w:p>
          <w:p w14:paraId="4F75E158">
            <w:pPr>
              <w:spacing w:line="253" w:lineRule="auto"/>
              <w:rPr>
                <w:rFonts w:ascii="Arial"/>
                <w:sz w:val="21"/>
              </w:rPr>
            </w:pPr>
          </w:p>
          <w:p w14:paraId="2F0F7867">
            <w:pPr>
              <w:spacing w:line="253" w:lineRule="auto"/>
              <w:rPr>
                <w:rFonts w:ascii="Arial"/>
                <w:sz w:val="21"/>
              </w:rPr>
            </w:pPr>
          </w:p>
          <w:p w14:paraId="28E48BDF">
            <w:pPr>
              <w:spacing w:line="253" w:lineRule="auto"/>
              <w:rPr>
                <w:rFonts w:ascii="Arial"/>
                <w:sz w:val="21"/>
              </w:rPr>
            </w:pPr>
          </w:p>
          <w:p w14:paraId="1F8BF8EB">
            <w:pPr>
              <w:spacing w:line="253" w:lineRule="auto"/>
              <w:rPr>
                <w:rFonts w:ascii="Arial"/>
                <w:sz w:val="21"/>
              </w:rPr>
            </w:pPr>
          </w:p>
          <w:p w14:paraId="776F6098">
            <w:pPr>
              <w:spacing w:line="254" w:lineRule="auto"/>
              <w:rPr>
                <w:rFonts w:ascii="Arial"/>
                <w:sz w:val="21"/>
              </w:rPr>
            </w:pPr>
          </w:p>
          <w:p w14:paraId="274EBB2A">
            <w:pPr>
              <w:spacing w:line="254" w:lineRule="auto"/>
              <w:rPr>
                <w:rFonts w:ascii="Arial"/>
                <w:sz w:val="21"/>
              </w:rPr>
            </w:pPr>
          </w:p>
          <w:p w14:paraId="7CD601E7">
            <w:pPr>
              <w:pStyle w:val="6"/>
              <w:spacing w:before="68" w:line="218" w:lineRule="auto"/>
              <w:ind w:left="122"/>
            </w:pPr>
            <w:r>
              <w:rPr>
                <w:spacing w:val="1"/>
              </w:rPr>
              <w:t>已标价工程量清单</w:t>
            </w:r>
          </w:p>
        </w:tc>
        <w:tc>
          <w:tcPr>
            <w:tcW w:w="5039" w:type="dxa"/>
            <w:gridSpan w:val="2"/>
            <w:vAlign w:val="top"/>
          </w:tcPr>
          <w:p w14:paraId="55EADEDF">
            <w:pPr>
              <w:pStyle w:val="6"/>
              <w:spacing w:before="172" w:line="242" w:lineRule="auto"/>
              <w:ind w:left="114" w:right="196" w:firstLine="90"/>
            </w:pPr>
            <w:r>
              <w:t>1)已标价工程量清单项目编码顺序与第五章“工程</w:t>
            </w:r>
            <w:r>
              <w:rPr>
                <w:spacing w:val="6"/>
              </w:rPr>
              <w:t xml:space="preserve"> </w:t>
            </w:r>
            <w:r>
              <w:rPr>
                <w:spacing w:val="7"/>
              </w:rPr>
              <w:t>量清单”给出的项目编码顺序一致；</w:t>
            </w:r>
          </w:p>
          <w:p w14:paraId="3ECF2FB7">
            <w:pPr>
              <w:pStyle w:val="6"/>
              <w:spacing w:before="10" w:line="232" w:lineRule="auto"/>
              <w:ind w:left="94" w:right="92" w:firstLine="110"/>
            </w:pPr>
            <w:r>
              <w:rPr>
                <w:spacing w:val="-1"/>
              </w:rPr>
              <w:t>2)已标价工程量清单符合第五章“工程量清单”给</w:t>
            </w:r>
            <w:r>
              <w:rPr>
                <w:spacing w:val="5"/>
              </w:rPr>
              <w:t xml:space="preserve">  </w:t>
            </w:r>
            <w:r>
              <w:t>出的项目编码、项目名称、项目特征、计量单位和工</w:t>
            </w:r>
            <w:r>
              <w:rPr>
                <w:spacing w:val="10"/>
              </w:rPr>
              <w:t xml:space="preserve"> </w:t>
            </w:r>
            <w:r>
              <w:rPr>
                <w:spacing w:val="1"/>
              </w:rPr>
              <w:t>程</w:t>
            </w:r>
            <w:r>
              <w:rPr>
                <w:spacing w:val="-16"/>
              </w:rPr>
              <w:t xml:space="preserve"> </w:t>
            </w:r>
            <w:r>
              <w:rPr>
                <w:spacing w:val="1"/>
              </w:rPr>
              <w:t>量</w:t>
            </w:r>
            <w:r>
              <w:rPr>
                <w:spacing w:val="-24"/>
              </w:rPr>
              <w:t xml:space="preserve"> </w:t>
            </w:r>
            <w:r>
              <w:rPr>
                <w:spacing w:val="1"/>
              </w:rPr>
              <w:t>；</w:t>
            </w:r>
          </w:p>
          <w:p w14:paraId="6FC423F4">
            <w:pPr>
              <w:pStyle w:val="6"/>
              <w:spacing w:before="37" w:line="219" w:lineRule="auto"/>
              <w:jc w:val="right"/>
            </w:pPr>
            <w:r>
              <w:rPr>
                <w:spacing w:val="4"/>
              </w:rPr>
              <w:t>3)暂列金额符合第五章“工程量清单”列出的金额；</w:t>
            </w:r>
          </w:p>
          <w:p w14:paraId="0DFA8510">
            <w:pPr>
              <w:pStyle w:val="6"/>
              <w:spacing w:before="19" w:line="225" w:lineRule="auto"/>
              <w:ind w:left="124" w:right="178" w:firstLine="80"/>
            </w:pPr>
            <w:r>
              <w:rPr>
                <w:spacing w:val="1"/>
              </w:rPr>
              <w:t xml:space="preserve">4)专业工程暂估价符合第五章“工程量清单”列出 </w:t>
            </w:r>
            <w:r>
              <w:rPr>
                <w:spacing w:val="23"/>
              </w:rPr>
              <w:t>的金额</w:t>
            </w:r>
            <w:r>
              <w:rPr>
                <w:spacing w:val="-44"/>
              </w:rPr>
              <w:t xml:space="preserve"> </w:t>
            </w:r>
            <w:r>
              <w:rPr>
                <w:spacing w:val="23"/>
              </w:rPr>
              <w:t>；</w:t>
            </w:r>
          </w:p>
          <w:p w14:paraId="19604F0D">
            <w:pPr>
              <w:pStyle w:val="6"/>
              <w:spacing w:before="39" w:line="223" w:lineRule="auto"/>
              <w:ind w:left="134" w:right="503" w:hanging="30"/>
            </w:pPr>
            <w:r>
              <w:t>5)材料(工程设备)暂估价符合第五章“工程量清</w:t>
            </w:r>
            <w:r>
              <w:rPr>
                <w:spacing w:val="9"/>
              </w:rPr>
              <w:t xml:space="preserve"> </w:t>
            </w:r>
            <w:r>
              <w:rPr>
                <w:spacing w:val="7"/>
              </w:rPr>
              <w:t>单”列出的单价并计入综合单价；</w:t>
            </w:r>
          </w:p>
          <w:p w14:paraId="1CDBE643">
            <w:pPr>
              <w:pStyle w:val="6"/>
              <w:spacing w:before="24" w:line="237" w:lineRule="auto"/>
              <w:ind w:left="124" w:right="299" w:hanging="10"/>
            </w:pPr>
            <w:r>
              <w:rPr>
                <w:spacing w:val="-1"/>
              </w:rPr>
              <w:t>6)安全文明施工费、规费和税金等不可竞争费用，</w:t>
            </w:r>
            <w:r>
              <w:rPr>
                <w:spacing w:val="16"/>
              </w:rPr>
              <w:t xml:space="preserve"> </w:t>
            </w:r>
            <w:r>
              <w:rPr>
                <w:spacing w:val="10"/>
              </w:rPr>
              <w:t>按照规定的标准计取；</w:t>
            </w:r>
          </w:p>
          <w:p w14:paraId="701065D2">
            <w:pPr>
              <w:pStyle w:val="6"/>
              <w:spacing w:before="1" w:line="219" w:lineRule="auto"/>
              <w:ind w:left="124"/>
            </w:pPr>
            <w:r>
              <w:rPr>
                <w:spacing w:val="6"/>
              </w:rPr>
              <w:t>7)计税方法符合招标文件的约定；</w:t>
            </w:r>
          </w:p>
          <w:p w14:paraId="5BDF4318">
            <w:pPr>
              <w:pStyle w:val="6"/>
              <w:spacing w:before="28" w:line="237" w:lineRule="auto"/>
              <w:ind w:left="114" w:right="49" w:firstLine="30"/>
            </w:pPr>
            <w:r>
              <w:t>8)已标价工程量清单项目未填报的项目不超过三项，</w:t>
            </w:r>
            <w:r>
              <w:rPr>
                <w:spacing w:val="3"/>
              </w:rPr>
              <w:t xml:space="preserve"> </w:t>
            </w:r>
            <w:r>
              <w:rPr>
                <w:spacing w:val="2"/>
              </w:rPr>
              <w:t>或不超过三项未填报的项目的费用合计(按招标控制</w:t>
            </w:r>
            <w:r>
              <w:rPr>
                <w:spacing w:val="3"/>
              </w:rPr>
              <w:t xml:space="preserve">  </w:t>
            </w:r>
            <w:r>
              <w:rPr>
                <w:spacing w:val="-1"/>
              </w:rPr>
              <w:t>价相应项目的费用合计计算)不超过其投标总报价</w:t>
            </w:r>
          </w:p>
          <w:p w14:paraId="7142C7E6">
            <w:pPr>
              <w:pStyle w:val="6"/>
              <w:spacing w:before="32" w:line="218" w:lineRule="auto"/>
              <w:ind w:left="224"/>
            </w:pPr>
            <w:r>
              <w:t>(修正后的投标总报价，如有)的±1%</w:t>
            </w:r>
          </w:p>
        </w:tc>
      </w:tr>
      <w:tr w14:paraId="5623EC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39" w:hRule="atLeast"/>
        </w:trPr>
        <w:tc>
          <w:tcPr>
            <w:tcW w:w="1803" w:type="dxa"/>
            <w:gridSpan w:val="2"/>
            <w:vAlign w:val="top"/>
          </w:tcPr>
          <w:p w14:paraId="0AC6B9B5">
            <w:pPr>
              <w:spacing w:line="310" w:lineRule="auto"/>
              <w:rPr>
                <w:rFonts w:ascii="Arial"/>
                <w:sz w:val="21"/>
              </w:rPr>
            </w:pPr>
          </w:p>
          <w:p w14:paraId="10DEC611">
            <w:pPr>
              <w:spacing w:line="311" w:lineRule="auto"/>
              <w:rPr>
                <w:rFonts w:ascii="Arial"/>
                <w:sz w:val="21"/>
              </w:rPr>
            </w:pPr>
          </w:p>
          <w:p w14:paraId="1A224FB4">
            <w:pPr>
              <w:pStyle w:val="6"/>
              <w:spacing w:before="68" w:line="239" w:lineRule="auto"/>
              <w:ind w:left="624"/>
            </w:pPr>
            <w:r>
              <w:rPr>
                <w:spacing w:val="-2"/>
              </w:rPr>
              <w:t>3.2.2</w:t>
            </w:r>
          </w:p>
        </w:tc>
        <w:tc>
          <w:tcPr>
            <w:tcW w:w="7386" w:type="dxa"/>
            <w:gridSpan w:val="4"/>
            <w:vAlign w:val="top"/>
          </w:tcPr>
          <w:p w14:paraId="0CD69EE1">
            <w:pPr>
              <w:spacing w:line="243" w:lineRule="auto"/>
              <w:rPr>
                <w:rFonts w:ascii="Arial"/>
                <w:sz w:val="21"/>
              </w:rPr>
            </w:pPr>
          </w:p>
          <w:p w14:paraId="418B5623">
            <w:pPr>
              <w:pStyle w:val="6"/>
              <w:spacing w:before="68" w:line="219" w:lineRule="auto"/>
              <w:ind w:left="221"/>
            </w:pPr>
            <w:r>
              <w:rPr>
                <w:spacing w:val="-1"/>
              </w:rPr>
              <w:t>投标人不得存在的其他情形：</w:t>
            </w:r>
          </w:p>
          <w:p w14:paraId="578A8B78">
            <w:pPr>
              <w:pStyle w:val="6"/>
              <w:spacing w:before="179" w:line="219" w:lineRule="auto"/>
              <w:ind w:left="221"/>
            </w:pPr>
            <w:r>
              <w:rPr>
                <w:spacing w:val="4"/>
              </w:rPr>
              <w:t>(1)不按评标委员会要求澄清、说明或补正；</w:t>
            </w:r>
          </w:p>
          <w:p w14:paraId="1BFAD756">
            <w:pPr>
              <w:pStyle w:val="6"/>
              <w:spacing w:before="171" w:line="219" w:lineRule="auto"/>
              <w:ind w:left="221"/>
            </w:pPr>
            <w:r>
              <w:t>(2)有串通投标、弄虚作假、行贿或有其他违法行</w:t>
            </w:r>
            <w:r>
              <w:rPr>
                <w:spacing w:val="-1"/>
              </w:rPr>
              <w:t>为。</w:t>
            </w:r>
          </w:p>
        </w:tc>
      </w:tr>
      <w:tr w14:paraId="63487F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1803" w:type="dxa"/>
            <w:gridSpan w:val="2"/>
            <w:vAlign w:val="top"/>
          </w:tcPr>
          <w:p w14:paraId="429BA4BB">
            <w:pPr>
              <w:pStyle w:val="6"/>
              <w:spacing w:before="120" w:line="219" w:lineRule="auto"/>
              <w:ind w:left="578"/>
            </w:pPr>
            <w:r>
              <w:rPr>
                <w:b/>
                <w:bCs/>
                <w:spacing w:val="-5"/>
              </w:rPr>
              <w:t>条款号</w:t>
            </w:r>
          </w:p>
        </w:tc>
        <w:tc>
          <w:tcPr>
            <w:tcW w:w="2087" w:type="dxa"/>
            <w:vAlign w:val="top"/>
          </w:tcPr>
          <w:p w14:paraId="1B141931">
            <w:pPr>
              <w:pStyle w:val="6"/>
              <w:spacing w:before="120" w:line="219" w:lineRule="auto"/>
              <w:ind w:left="594"/>
            </w:pPr>
            <w:r>
              <w:rPr>
                <w:b/>
                <w:bCs/>
                <w:spacing w:val="-5"/>
              </w:rPr>
              <w:t>条款内容</w:t>
            </w:r>
          </w:p>
        </w:tc>
        <w:tc>
          <w:tcPr>
            <w:tcW w:w="5299" w:type="dxa"/>
            <w:gridSpan w:val="3"/>
            <w:vAlign w:val="top"/>
          </w:tcPr>
          <w:p w14:paraId="5582BA91">
            <w:pPr>
              <w:pStyle w:val="6"/>
              <w:spacing w:before="120" w:line="219" w:lineRule="auto"/>
              <w:ind w:left="2227"/>
            </w:pPr>
            <w:r>
              <w:rPr>
                <w:b/>
                <w:bCs/>
                <w:spacing w:val="-5"/>
              </w:rPr>
              <w:t>编列内容</w:t>
            </w:r>
          </w:p>
        </w:tc>
      </w:tr>
      <w:tr w14:paraId="28F306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atLeast"/>
        </w:trPr>
        <w:tc>
          <w:tcPr>
            <w:tcW w:w="1803" w:type="dxa"/>
            <w:gridSpan w:val="2"/>
            <w:vAlign w:val="top"/>
          </w:tcPr>
          <w:p w14:paraId="55A4CC6C">
            <w:pPr>
              <w:spacing w:line="276" w:lineRule="auto"/>
              <w:rPr>
                <w:rFonts w:ascii="Arial"/>
                <w:sz w:val="21"/>
              </w:rPr>
            </w:pPr>
          </w:p>
          <w:p w14:paraId="73DB634A">
            <w:pPr>
              <w:spacing w:line="276" w:lineRule="auto"/>
              <w:rPr>
                <w:rFonts w:ascii="Arial"/>
                <w:sz w:val="21"/>
              </w:rPr>
            </w:pPr>
          </w:p>
          <w:p w14:paraId="02B6AB9A">
            <w:pPr>
              <w:pStyle w:val="6"/>
              <w:spacing w:before="69" w:line="239" w:lineRule="auto"/>
              <w:ind w:left="624"/>
            </w:pPr>
            <w:r>
              <w:rPr>
                <w:spacing w:val="-2"/>
              </w:rPr>
              <w:t>2.2.1</w:t>
            </w:r>
          </w:p>
        </w:tc>
        <w:tc>
          <w:tcPr>
            <w:tcW w:w="2087" w:type="dxa"/>
            <w:vAlign w:val="top"/>
          </w:tcPr>
          <w:p w14:paraId="5E9255A6">
            <w:pPr>
              <w:spacing w:line="323" w:lineRule="auto"/>
              <w:rPr>
                <w:rFonts w:ascii="Arial"/>
                <w:sz w:val="21"/>
              </w:rPr>
            </w:pPr>
          </w:p>
          <w:p w14:paraId="6AF61E5B">
            <w:pPr>
              <w:pStyle w:val="6"/>
              <w:spacing w:before="68" w:line="219" w:lineRule="auto"/>
              <w:ind w:left="81"/>
            </w:pPr>
            <w:r>
              <w:rPr>
                <w:spacing w:val="2"/>
              </w:rPr>
              <w:t>分值构成</w:t>
            </w:r>
          </w:p>
          <w:p w14:paraId="3A491074">
            <w:pPr>
              <w:pStyle w:val="6"/>
              <w:spacing w:before="21" w:line="220" w:lineRule="auto"/>
              <w:ind w:left="81"/>
            </w:pPr>
            <w:r>
              <w:rPr>
                <w:spacing w:val="5"/>
              </w:rPr>
              <w:t>(总分103.5分)</w:t>
            </w:r>
          </w:p>
        </w:tc>
        <w:tc>
          <w:tcPr>
            <w:tcW w:w="5299" w:type="dxa"/>
            <w:gridSpan w:val="3"/>
            <w:vAlign w:val="top"/>
          </w:tcPr>
          <w:p w14:paraId="29749695">
            <w:pPr>
              <w:pStyle w:val="6"/>
              <w:spacing w:before="131" w:line="218" w:lineRule="auto"/>
              <w:ind w:left="124"/>
            </w:pPr>
            <w:r>
              <w:rPr>
                <w:spacing w:val="-1"/>
              </w:rPr>
              <w:t>投标报价：   73.5分</w:t>
            </w:r>
          </w:p>
          <w:p w14:paraId="0C09FD57">
            <w:pPr>
              <w:pStyle w:val="6"/>
              <w:spacing w:before="14" w:line="220" w:lineRule="auto"/>
              <w:ind w:left="104"/>
            </w:pPr>
            <w:r>
              <w:rPr>
                <w:spacing w:val="-1"/>
              </w:rPr>
              <w:t>施工组织设计：16分</w:t>
            </w:r>
          </w:p>
          <w:p w14:paraId="427E17F8">
            <w:pPr>
              <w:pStyle w:val="6"/>
              <w:spacing w:before="17" w:line="219" w:lineRule="auto"/>
              <w:ind w:left="104"/>
            </w:pPr>
            <w:r>
              <w:rPr>
                <w:spacing w:val="-1"/>
              </w:rPr>
              <w:t>项目管理机构：  6分</w:t>
            </w:r>
          </w:p>
          <w:p w14:paraId="754887F7">
            <w:pPr>
              <w:pStyle w:val="6"/>
              <w:spacing w:before="12" w:line="219" w:lineRule="auto"/>
              <w:ind w:left="124"/>
            </w:pPr>
            <w:r>
              <w:rPr>
                <w:spacing w:val="-1"/>
              </w:rPr>
              <w:t>其他评分因素：  8分</w:t>
            </w:r>
          </w:p>
        </w:tc>
      </w:tr>
      <w:tr w14:paraId="3C068E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atLeast"/>
        </w:trPr>
        <w:tc>
          <w:tcPr>
            <w:tcW w:w="1803" w:type="dxa"/>
            <w:gridSpan w:val="2"/>
            <w:vAlign w:val="top"/>
          </w:tcPr>
          <w:p w14:paraId="7177EA3B">
            <w:pPr>
              <w:spacing w:line="315" w:lineRule="auto"/>
              <w:rPr>
                <w:rFonts w:ascii="Arial"/>
                <w:sz w:val="21"/>
              </w:rPr>
            </w:pPr>
          </w:p>
          <w:p w14:paraId="32BAB824">
            <w:pPr>
              <w:pStyle w:val="6"/>
              <w:spacing w:before="68" w:line="239" w:lineRule="auto"/>
              <w:ind w:left="624"/>
            </w:pPr>
            <w:r>
              <w:rPr>
                <w:spacing w:val="-2"/>
              </w:rPr>
              <w:t>2.2.2</w:t>
            </w:r>
          </w:p>
          <w:p w14:paraId="65A09743">
            <w:pPr>
              <w:pStyle w:val="6"/>
              <w:spacing w:before="150" w:line="222" w:lineRule="auto"/>
              <w:ind w:left="734"/>
            </w:pPr>
            <w:r>
              <w:rPr>
                <w:spacing w:val="-11"/>
              </w:rPr>
              <w:t>(1)</w:t>
            </w:r>
          </w:p>
        </w:tc>
        <w:tc>
          <w:tcPr>
            <w:tcW w:w="2087" w:type="dxa"/>
            <w:vAlign w:val="top"/>
          </w:tcPr>
          <w:p w14:paraId="6D6A5D0C">
            <w:pPr>
              <w:spacing w:line="451" w:lineRule="auto"/>
              <w:rPr>
                <w:rFonts w:ascii="Arial"/>
                <w:sz w:val="21"/>
              </w:rPr>
            </w:pPr>
          </w:p>
          <w:p w14:paraId="53AA24ED">
            <w:pPr>
              <w:pStyle w:val="6"/>
              <w:spacing w:before="69" w:line="218" w:lineRule="auto"/>
              <w:ind w:left="81"/>
            </w:pPr>
            <w:r>
              <w:rPr>
                <w:spacing w:val="-1"/>
              </w:rPr>
              <w:t>评标价确定方法</w:t>
            </w:r>
          </w:p>
        </w:tc>
        <w:tc>
          <w:tcPr>
            <w:tcW w:w="5299" w:type="dxa"/>
            <w:gridSpan w:val="3"/>
            <w:vAlign w:val="top"/>
          </w:tcPr>
          <w:p w14:paraId="4D819D18">
            <w:pPr>
              <w:pStyle w:val="6"/>
              <w:spacing w:before="242" w:line="218" w:lineRule="auto"/>
              <w:ind w:left="224"/>
            </w:pPr>
            <w:r>
              <w:rPr>
                <w:spacing w:val="-1"/>
              </w:rPr>
              <w:t>评标价=投标函大写投标报价(经投标人书面确认的算</w:t>
            </w:r>
          </w:p>
          <w:p w14:paraId="47E8D425">
            <w:pPr>
              <w:pStyle w:val="6"/>
              <w:spacing w:before="31" w:line="248" w:lineRule="auto"/>
              <w:ind w:left="124" w:right="272" w:firstLine="149"/>
            </w:pPr>
            <w:r>
              <w:t>术错误修正后的投标总报价)-(暂列金额+税金)-(专</w:t>
            </w:r>
            <w:r>
              <w:rPr>
                <w:spacing w:val="15"/>
              </w:rPr>
              <w:t xml:space="preserve"> </w:t>
            </w:r>
            <w:r>
              <w:rPr>
                <w:spacing w:val="4"/>
              </w:rPr>
              <w:t>业工程暂估价+税金)</w:t>
            </w:r>
          </w:p>
        </w:tc>
      </w:tr>
      <w:tr w14:paraId="6D8273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28" w:hRule="atLeast"/>
        </w:trPr>
        <w:tc>
          <w:tcPr>
            <w:tcW w:w="1803" w:type="dxa"/>
            <w:gridSpan w:val="2"/>
            <w:vAlign w:val="top"/>
          </w:tcPr>
          <w:p w14:paraId="463903B5">
            <w:pPr>
              <w:spacing w:line="356" w:lineRule="auto"/>
              <w:rPr>
                <w:rFonts w:ascii="Arial"/>
                <w:sz w:val="21"/>
              </w:rPr>
            </w:pPr>
          </w:p>
          <w:p w14:paraId="3DB06352">
            <w:pPr>
              <w:spacing w:line="357" w:lineRule="auto"/>
              <w:rPr>
                <w:rFonts w:ascii="Arial"/>
                <w:sz w:val="21"/>
              </w:rPr>
            </w:pPr>
          </w:p>
          <w:p w14:paraId="65C6F951">
            <w:pPr>
              <w:pStyle w:val="6"/>
              <w:spacing w:before="68" w:line="239" w:lineRule="auto"/>
              <w:ind w:left="624"/>
            </w:pPr>
            <w:r>
              <w:rPr>
                <w:spacing w:val="-2"/>
              </w:rPr>
              <w:t>2.2.2</w:t>
            </w:r>
          </w:p>
          <w:p w14:paraId="4D980DF9">
            <w:pPr>
              <w:pStyle w:val="6"/>
              <w:spacing w:before="160" w:line="222" w:lineRule="auto"/>
              <w:ind w:left="734"/>
            </w:pPr>
            <w:r>
              <w:rPr>
                <w:spacing w:val="-11"/>
              </w:rPr>
              <w:t>(2)</w:t>
            </w:r>
          </w:p>
        </w:tc>
        <w:tc>
          <w:tcPr>
            <w:tcW w:w="2087" w:type="dxa"/>
            <w:vAlign w:val="top"/>
          </w:tcPr>
          <w:p w14:paraId="55C862D8">
            <w:pPr>
              <w:spacing w:line="345" w:lineRule="auto"/>
              <w:rPr>
                <w:rFonts w:ascii="Arial"/>
                <w:sz w:val="21"/>
              </w:rPr>
            </w:pPr>
          </w:p>
          <w:p w14:paraId="42665F8C">
            <w:pPr>
              <w:spacing w:line="345" w:lineRule="auto"/>
              <w:rPr>
                <w:rFonts w:ascii="Arial"/>
                <w:sz w:val="21"/>
              </w:rPr>
            </w:pPr>
          </w:p>
          <w:p w14:paraId="2D7E426F">
            <w:pPr>
              <w:pStyle w:val="6"/>
              <w:spacing w:before="69" w:line="241" w:lineRule="auto"/>
              <w:ind w:left="81" w:right="282" w:firstLine="40"/>
            </w:pPr>
            <w:r>
              <w:rPr>
                <w:spacing w:val="-1"/>
              </w:rPr>
              <w:t>评标基准价计算方</w:t>
            </w:r>
            <w:r>
              <w:t xml:space="preserve"> 法</w:t>
            </w:r>
          </w:p>
        </w:tc>
        <w:tc>
          <w:tcPr>
            <w:tcW w:w="5299" w:type="dxa"/>
            <w:gridSpan w:val="3"/>
            <w:vAlign w:val="top"/>
          </w:tcPr>
          <w:p w14:paraId="5BFB2D68">
            <w:pPr>
              <w:pStyle w:val="6"/>
              <w:spacing w:before="105" w:line="237" w:lineRule="auto"/>
              <w:ind w:left="124" w:right="166" w:firstLine="50"/>
            </w:pPr>
            <w:r>
              <w:t>所有有效投标的评标价去掉六分之一(不能整除的按小</w:t>
            </w:r>
            <w:r>
              <w:rPr>
                <w:spacing w:val="11"/>
              </w:rPr>
              <w:t xml:space="preserve"> </w:t>
            </w:r>
            <w:r>
              <w:rPr>
                <w:spacing w:val="2"/>
              </w:rPr>
              <w:t>数前整数取整，不足六家报价则不去掉)的最低价和相</w:t>
            </w:r>
            <w:r>
              <w:rPr>
                <w:spacing w:val="13"/>
              </w:rPr>
              <w:t xml:space="preserve"> </w:t>
            </w:r>
            <w:r>
              <w:t>同数量的最高价后的算术平均值下浮E%,作为评标基</w:t>
            </w:r>
          </w:p>
          <w:p w14:paraId="1BFD5A02">
            <w:pPr>
              <w:pStyle w:val="6"/>
              <w:spacing w:before="1" w:line="217" w:lineRule="auto"/>
              <w:ind w:left="114"/>
            </w:pPr>
            <w:r>
              <w:rPr>
                <w:spacing w:val="-2"/>
              </w:rPr>
              <w:t>准价。</w:t>
            </w:r>
          </w:p>
          <w:p w14:paraId="42E22FEC">
            <w:pPr>
              <w:pStyle w:val="6"/>
              <w:spacing w:before="20" w:line="236" w:lineRule="auto"/>
              <w:ind w:left="104" w:right="162" w:firstLine="70"/>
              <w:jc w:val="both"/>
            </w:pPr>
            <w:r>
              <w:t>E:为评标基准价下浮系数，范围为1-3</w:t>
            </w:r>
            <w:r>
              <w:rPr>
                <w:spacing w:val="-1"/>
              </w:rPr>
              <w:t>的整数，由招标</w:t>
            </w:r>
            <w:r>
              <w:t xml:space="preserve"> 人确定。</w:t>
            </w:r>
            <w:r>
              <w:rPr>
                <w:spacing w:val="-20"/>
              </w:rPr>
              <w:t xml:space="preserve"> </w:t>
            </w:r>
            <w:r>
              <w:t xml:space="preserve">E的取值见第二章投标人须知前附表第10.2.1 </w:t>
            </w:r>
            <w:r>
              <w:rPr>
                <w:spacing w:val="-2"/>
              </w:rPr>
              <w:t>项。</w:t>
            </w:r>
          </w:p>
        </w:tc>
      </w:tr>
      <w:tr w14:paraId="706001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9" w:hRule="atLeast"/>
        </w:trPr>
        <w:tc>
          <w:tcPr>
            <w:tcW w:w="1803" w:type="dxa"/>
            <w:gridSpan w:val="2"/>
            <w:vAlign w:val="top"/>
          </w:tcPr>
          <w:p w14:paraId="52720380">
            <w:pPr>
              <w:spacing w:line="338" w:lineRule="auto"/>
              <w:rPr>
                <w:rFonts w:ascii="Arial"/>
                <w:sz w:val="21"/>
              </w:rPr>
            </w:pPr>
          </w:p>
          <w:p w14:paraId="082E05C6">
            <w:pPr>
              <w:pStyle w:val="6"/>
              <w:spacing w:before="68" w:line="239" w:lineRule="auto"/>
              <w:ind w:left="624"/>
            </w:pPr>
            <w:r>
              <w:rPr>
                <w:spacing w:val="-2"/>
              </w:rPr>
              <w:t>2.2.3</w:t>
            </w:r>
          </w:p>
        </w:tc>
        <w:tc>
          <w:tcPr>
            <w:tcW w:w="2087" w:type="dxa"/>
            <w:vAlign w:val="top"/>
          </w:tcPr>
          <w:p w14:paraId="152D751C">
            <w:pPr>
              <w:pStyle w:val="6"/>
              <w:spacing w:before="176" w:line="223" w:lineRule="auto"/>
              <w:ind w:left="81" w:right="305"/>
            </w:pPr>
            <w:r>
              <w:rPr>
                <w:spacing w:val="1"/>
              </w:rPr>
              <w:t>投标报价的偏差率</w:t>
            </w:r>
            <w:r>
              <w:t xml:space="preserve"> </w:t>
            </w:r>
            <w:r>
              <w:rPr>
                <w:spacing w:val="-2"/>
              </w:rPr>
              <w:t>计算公式</w:t>
            </w:r>
          </w:p>
        </w:tc>
        <w:tc>
          <w:tcPr>
            <w:tcW w:w="5299" w:type="dxa"/>
            <w:gridSpan w:val="3"/>
            <w:vAlign w:val="top"/>
          </w:tcPr>
          <w:p w14:paraId="2B0D96F0">
            <w:pPr>
              <w:pStyle w:val="6"/>
              <w:spacing w:before="175" w:line="230" w:lineRule="auto"/>
              <w:ind w:left="104" w:right="187" w:firstLine="70"/>
            </w:pPr>
            <w:r>
              <w:rPr>
                <w:spacing w:val="-1"/>
              </w:rPr>
              <w:t>偏差率=100%×(投标人评标价一评标基准价)÷评标基</w:t>
            </w:r>
            <w:r>
              <w:rPr>
                <w:spacing w:val="17"/>
              </w:rPr>
              <w:t xml:space="preserve"> </w:t>
            </w:r>
            <w:r>
              <w:rPr>
                <w:spacing w:val="-3"/>
              </w:rPr>
              <w:t>准价</w:t>
            </w:r>
          </w:p>
        </w:tc>
      </w:tr>
      <w:tr w14:paraId="75143A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1803" w:type="dxa"/>
            <w:gridSpan w:val="2"/>
            <w:vAlign w:val="top"/>
          </w:tcPr>
          <w:p w14:paraId="1D842557">
            <w:pPr>
              <w:pStyle w:val="6"/>
              <w:spacing w:before="175" w:line="219" w:lineRule="auto"/>
              <w:ind w:left="578"/>
            </w:pPr>
            <w:r>
              <w:rPr>
                <w:b/>
                <w:bCs/>
                <w:spacing w:val="-5"/>
              </w:rPr>
              <w:t>条款号</w:t>
            </w:r>
          </w:p>
        </w:tc>
        <w:tc>
          <w:tcPr>
            <w:tcW w:w="2087" w:type="dxa"/>
            <w:vAlign w:val="top"/>
          </w:tcPr>
          <w:p w14:paraId="31F204BC">
            <w:pPr>
              <w:pStyle w:val="6"/>
              <w:spacing w:before="175" w:line="219" w:lineRule="auto"/>
              <w:ind w:left="594"/>
            </w:pPr>
            <w:r>
              <w:rPr>
                <w:b/>
                <w:bCs/>
                <w:spacing w:val="-4"/>
              </w:rPr>
              <w:t>评分因素</w:t>
            </w:r>
          </w:p>
        </w:tc>
        <w:tc>
          <w:tcPr>
            <w:tcW w:w="749" w:type="dxa"/>
            <w:gridSpan w:val="2"/>
            <w:vAlign w:val="top"/>
          </w:tcPr>
          <w:p w14:paraId="3E0AE8B7">
            <w:pPr>
              <w:pStyle w:val="6"/>
              <w:spacing w:before="45" w:line="215" w:lineRule="auto"/>
              <w:ind w:left="266" w:right="170" w:hanging="109"/>
            </w:pPr>
            <w:r>
              <w:rPr>
                <w:b/>
                <w:bCs/>
                <w:spacing w:val="-7"/>
              </w:rPr>
              <w:t>标准</w:t>
            </w:r>
            <w:r>
              <w:t xml:space="preserve"> </w:t>
            </w:r>
            <w:r>
              <w:rPr>
                <w:b/>
                <w:bCs/>
                <w:spacing w:val="-3"/>
              </w:rPr>
              <w:t>分</w:t>
            </w:r>
          </w:p>
        </w:tc>
        <w:tc>
          <w:tcPr>
            <w:tcW w:w="4550" w:type="dxa"/>
            <w:vAlign w:val="top"/>
          </w:tcPr>
          <w:p w14:paraId="5AD72E03">
            <w:pPr>
              <w:pStyle w:val="6"/>
              <w:spacing w:before="176" w:line="220" w:lineRule="auto"/>
              <w:ind w:left="1828"/>
            </w:pPr>
            <w:r>
              <w:rPr>
                <w:b/>
                <w:bCs/>
                <w:spacing w:val="-4"/>
              </w:rPr>
              <w:t>评分标准</w:t>
            </w:r>
          </w:p>
        </w:tc>
      </w:tr>
    </w:tbl>
    <w:p w14:paraId="49E20E86">
      <w:pPr>
        <w:rPr>
          <w:rFonts w:ascii="Arial"/>
          <w:sz w:val="21"/>
        </w:rPr>
      </w:pPr>
    </w:p>
    <w:p w14:paraId="775C82E3">
      <w:pPr>
        <w:rPr>
          <w:rFonts w:ascii="Arial" w:hAnsi="Arial" w:eastAsia="Arial" w:cs="Arial"/>
          <w:sz w:val="21"/>
          <w:szCs w:val="21"/>
        </w:rPr>
        <w:sectPr>
          <w:footerReference r:id="rId53" w:type="default"/>
          <w:pgSz w:w="11910" w:h="16840"/>
          <w:pgMar w:top="1431" w:right="1274" w:bottom="1001" w:left="1435" w:header="0" w:footer="857" w:gutter="0"/>
          <w:cols w:space="720" w:num="1"/>
        </w:sectPr>
      </w:pPr>
    </w:p>
    <w:p w14:paraId="1E5ED800">
      <w:pPr>
        <w:spacing w:before="2"/>
      </w:pPr>
    </w:p>
    <w:tbl>
      <w:tblPr>
        <w:tblStyle w:val="5"/>
        <w:tblW w:w="919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54"/>
        <w:gridCol w:w="1069"/>
        <w:gridCol w:w="2067"/>
        <w:gridCol w:w="749"/>
        <w:gridCol w:w="4553"/>
      </w:tblGrid>
      <w:tr w14:paraId="3F25E4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3" w:hRule="atLeast"/>
        </w:trPr>
        <w:tc>
          <w:tcPr>
            <w:tcW w:w="754" w:type="dxa"/>
            <w:vMerge w:val="restart"/>
            <w:tcBorders>
              <w:bottom w:val="nil"/>
            </w:tcBorders>
            <w:vAlign w:val="top"/>
          </w:tcPr>
          <w:p w14:paraId="2A9D9BA0">
            <w:pPr>
              <w:spacing w:line="244" w:lineRule="auto"/>
              <w:rPr>
                <w:rFonts w:ascii="Arial"/>
                <w:sz w:val="21"/>
              </w:rPr>
            </w:pPr>
          </w:p>
          <w:p w14:paraId="0C828607">
            <w:pPr>
              <w:spacing w:line="244" w:lineRule="auto"/>
              <w:rPr>
                <w:rFonts w:ascii="Arial"/>
                <w:sz w:val="21"/>
              </w:rPr>
            </w:pPr>
          </w:p>
          <w:p w14:paraId="068E16B4">
            <w:pPr>
              <w:spacing w:line="244" w:lineRule="auto"/>
              <w:rPr>
                <w:rFonts w:ascii="Arial"/>
                <w:sz w:val="21"/>
              </w:rPr>
            </w:pPr>
          </w:p>
          <w:p w14:paraId="2CE83DCE">
            <w:pPr>
              <w:spacing w:line="244" w:lineRule="auto"/>
              <w:rPr>
                <w:rFonts w:ascii="Arial"/>
                <w:sz w:val="21"/>
              </w:rPr>
            </w:pPr>
          </w:p>
          <w:p w14:paraId="713F9928">
            <w:pPr>
              <w:spacing w:line="244" w:lineRule="auto"/>
              <w:rPr>
                <w:rFonts w:ascii="Arial"/>
                <w:sz w:val="21"/>
              </w:rPr>
            </w:pPr>
          </w:p>
          <w:p w14:paraId="5B22085B">
            <w:pPr>
              <w:spacing w:line="244" w:lineRule="auto"/>
              <w:rPr>
                <w:rFonts w:ascii="Arial"/>
                <w:sz w:val="21"/>
              </w:rPr>
            </w:pPr>
          </w:p>
          <w:p w14:paraId="7C5656D4">
            <w:pPr>
              <w:spacing w:line="244" w:lineRule="auto"/>
              <w:rPr>
                <w:rFonts w:ascii="Arial"/>
                <w:sz w:val="21"/>
              </w:rPr>
            </w:pPr>
          </w:p>
          <w:p w14:paraId="778A83E2">
            <w:pPr>
              <w:spacing w:line="244" w:lineRule="auto"/>
              <w:rPr>
                <w:rFonts w:ascii="Arial"/>
                <w:sz w:val="21"/>
              </w:rPr>
            </w:pPr>
          </w:p>
          <w:p w14:paraId="0B2D67C9">
            <w:pPr>
              <w:spacing w:line="244" w:lineRule="auto"/>
              <w:rPr>
                <w:rFonts w:ascii="Arial"/>
                <w:sz w:val="21"/>
              </w:rPr>
            </w:pPr>
          </w:p>
          <w:p w14:paraId="5EF0D208">
            <w:pPr>
              <w:spacing w:line="244" w:lineRule="auto"/>
              <w:rPr>
                <w:rFonts w:ascii="Arial"/>
                <w:sz w:val="21"/>
              </w:rPr>
            </w:pPr>
          </w:p>
          <w:p w14:paraId="7B0CA305">
            <w:pPr>
              <w:spacing w:line="244" w:lineRule="auto"/>
              <w:rPr>
                <w:rFonts w:ascii="Arial"/>
                <w:sz w:val="21"/>
              </w:rPr>
            </w:pPr>
          </w:p>
          <w:p w14:paraId="45C04480">
            <w:pPr>
              <w:spacing w:line="244" w:lineRule="auto"/>
              <w:rPr>
                <w:rFonts w:ascii="Arial"/>
                <w:sz w:val="21"/>
              </w:rPr>
            </w:pPr>
          </w:p>
          <w:p w14:paraId="5D5A3737">
            <w:pPr>
              <w:spacing w:line="244" w:lineRule="auto"/>
              <w:rPr>
                <w:rFonts w:ascii="Arial"/>
                <w:sz w:val="21"/>
              </w:rPr>
            </w:pPr>
          </w:p>
          <w:p w14:paraId="4C967AAB">
            <w:pPr>
              <w:spacing w:line="244" w:lineRule="auto"/>
              <w:rPr>
                <w:rFonts w:ascii="Arial"/>
                <w:sz w:val="21"/>
              </w:rPr>
            </w:pPr>
          </w:p>
          <w:p w14:paraId="629634B5">
            <w:pPr>
              <w:spacing w:line="244" w:lineRule="auto"/>
              <w:rPr>
                <w:rFonts w:ascii="Arial"/>
                <w:sz w:val="21"/>
              </w:rPr>
            </w:pPr>
          </w:p>
          <w:p w14:paraId="6AD91EEC">
            <w:pPr>
              <w:spacing w:line="245" w:lineRule="auto"/>
              <w:rPr>
                <w:rFonts w:ascii="Arial"/>
                <w:sz w:val="21"/>
              </w:rPr>
            </w:pPr>
          </w:p>
          <w:p w14:paraId="6ED8521F">
            <w:pPr>
              <w:spacing w:line="245" w:lineRule="auto"/>
              <w:rPr>
                <w:rFonts w:ascii="Arial"/>
                <w:sz w:val="21"/>
              </w:rPr>
            </w:pPr>
          </w:p>
          <w:p w14:paraId="75606746">
            <w:pPr>
              <w:spacing w:line="245" w:lineRule="auto"/>
              <w:rPr>
                <w:rFonts w:ascii="Arial"/>
                <w:sz w:val="21"/>
              </w:rPr>
            </w:pPr>
          </w:p>
          <w:p w14:paraId="40DC74AD">
            <w:pPr>
              <w:spacing w:line="245" w:lineRule="auto"/>
              <w:rPr>
                <w:rFonts w:ascii="Arial"/>
                <w:sz w:val="21"/>
              </w:rPr>
            </w:pPr>
          </w:p>
          <w:p w14:paraId="3060BCFC">
            <w:pPr>
              <w:spacing w:line="245" w:lineRule="auto"/>
              <w:rPr>
                <w:rFonts w:ascii="Arial"/>
                <w:sz w:val="21"/>
              </w:rPr>
            </w:pPr>
          </w:p>
          <w:p w14:paraId="067D5368">
            <w:pPr>
              <w:spacing w:line="245" w:lineRule="auto"/>
              <w:rPr>
                <w:rFonts w:ascii="Arial"/>
                <w:sz w:val="21"/>
              </w:rPr>
            </w:pPr>
          </w:p>
          <w:p w14:paraId="1F185BE5">
            <w:pPr>
              <w:spacing w:line="245" w:lineRule="auto"/>
              <w:rPr>
                <w:rFonts w:ascii="Arial"/>
                <w:sz w:val="21"/>
              </w:rPr>
            </w:pPr>
          </w:p>
          <w:p w14:paraId="3BA1FC6A">
            <w:pPr>
              <w:spacing w:line="245" w:lineRule="auto"/>
              <w:rPr>
                <w:rFonts w:ascii="Arial"/>
                <w:sz w:val="21"/>
              </w:rPr>
            </w:pPr>
          </w:p>
          <w:p w14:paraId="6ADF7883">
            <w:pPr>
              <w:spacing w:line="245" w:lineRule="auto"/>
              <w:rPr>
                <w:rFonts w:ascii="Arial"/>
                <w:sz w:val="21"/>
              </w:rPr>
            </w:pPr>
          </w:p>
          <w:p w14:paraId="030F09E1">
            <w:pPr>
              <w:spacing w:line="245" w:lineRule="auto"/>
              <w:rPr>
                <w:rFonts w:ascii="Arial"/>
                <w:sz w:val="21"/>
              </w:rPr>
            </w:pPr>
          </w:p>
          <w:p w14:paraId="4972D90E">
            <w:pPr>
              <w:spacing w:line="245" w:lineRule="auto"/>
              <w:rPr>
                <w:rFonts w:ascii="Arial"/>
                <w:sz w:val="21"/>
              </w:rPr>
            </w:pPr>
          </w:p>
          <w:p w14:paraId="35190AFD">
            <w:pPr>
              <w:pStyle w:val="6"/>
              <w:spacing w:before="71" w:line="239" w:lineRule="auto"/>
              <w:ind w:left="94"/>
              <w:rPr>
                <w:sz w:val="22"/>
                <w:szCs w:val="22"/>
              </w:rPr>
            </w:pPr>
            <w:r>
              <w:rPr>
                <w:spacing w:val="-2"/>
                <w:sz w:val="22"/>
                <w:szCs w:val="22"/>
              </w:rPr>
              <w:t>2.2.4</w:t>
            </w:r>
          </w:p>
          <w:p w14:paraId="2097A862">
            <w:pPr>
              <w:pStyle w:val="6"/>
              <w:spacing w:before="137" w:line="222" w:lineRule="auto"/>
              <w:ind w:left="204"/>
              <w:rPr>
                <w:sz w:val="22"/>
                <w:szCs w:val="22"/>
              </w:rPr>
            </w:pPr>
            <w:r>
              <w:rPr>
                <w:spacing w:val="-11"/>
                <w:sz w:val="22"/>
                <w:szCs w:val="22"/>
              </w:rPr>
              <w:t>(1)</w:t>
            </w:r>
          </w:p>
        </w:tc>
        <w:tc>
          <w:tcPr>
            <w:tcW w:w="1069" w:type="dxa"/>
            <w:vMerge w:val="restart"/>
            <w:tcBorders>
              <w:bottom w:val="nil"/>
            </w:tcBorders>
            <w:vAlign w:val="top"/>
          </w:tcPr>
          <w:p w14:paraId="340A9C46">
            <w:pPr>
              <w:spacing w:line="244" w:lineRule="auto"/>
              <w:rPr>
                <w:rFonts w:ascii="Arial"/>
                <w:sz w:val="21"/>
              </w:rPr>
            </w:pPr>
          </w:p>
          <w:p w14:paraId="23C46657">
            <w:pPr>
              <w:spacing w:line="244" w:lineRule="auto"/>
              <w:rPr>
                <w:rFonts w:ascii="Arial"/>
                <w:sz w:val="21"/>
              </w:rPr>
            </w:pPr>
          </w:p>
          <w:p w14:paraId="368329A4">
            <w:pPr>
              <w:spacing w:line="244" w:lineRule="auto"/>
              <w:rPr>
                <w:rFonts w:ascii="Arial"/>
                <w:sz w:val="21"/>
              </w:rPr>
            </w:pPr>
          </w:p>
          <w:p w14:paraId="19D12CD9">
            <w:pPr>
              <w:spacing w:line="244" w:lineRule="auto"/>
              <w:rPr>
                <w:rFonts w:ascii="Arial"/>
                <w:sz w:val="21"/>
              </w:rPr>
            </w:pPr>
          </w:p>
          <w:p w14:paraId="38538947">
            <w:pPr>
              <w:spacing w:line="244" w:lineRule="auto"/>
              <w:rPr>
                <w:rFonts w:ascii="Arial"/>
                <w:sz w:val="21"/>
              </w:rPr>
            </w:pPr>
          </w:p>
          <w:p w14:paraId="3AEB3089">
            <w:pPr>
              <w:spacing w:line="244" w:lineRule="auto"/>
              <w:rPr>
                <w:rFonts w:ascii="Arial"/>
                <w:sz w:val="21"/>
              </w:rPr>
            </w:pPr>
          </w:p>
          <w:p w14:paraId="36EB0C30">
            <w:pPr>
              <w:spacing w:line="244" w:lineRule="auto"/>
              <w:rPr>
                <w:rFonts w:ascii="Arial"/>
                <w:sz w:val="21"/>
              </w:rPr>
            </w:pPr>
          </w:p>
          <w:p w14:paraId="220DB617">
            <w:pPr>
              <w:spacing w:line="244" w:lineRule="auto"/>
              <w:rPr>
                <w:rFonts w:ascii="Arial"/>
                <w:sz w:val="21"/>
              </w:rPr>
            </w:pPr>
          </w:p>
          <w:p w14:paraId="5632BC61">
            <w:pPr>
              <w:spacing w:line="244" w:lineRule="auto"/>
              <w:rPr>
                <w:rFonts w:ascii="Arial"/>
                <w:sz w:val="21"/>
              </w:rPr>
            </w:pPr>
          </w:p>
          <w:p w14:paraId="2411D739">
            <w:pPr>
              <w:spacing w:line="244" w:lineRule="auto"/>
              <w:rPr>
                <w:rFonts w:ascii="Arial"/>
                <w:sz w:val="21"/>
              </w:rPr>
            </w:pPr>
          </w:p>
          <w:p w14:paraId="72F33823">
            <w:pPr>
              <w:spacing w:line="244" w:lineRule="auto"/>
              <w:rPr>
                <w:rFonts w:ascii="Arial"/>
                <w:sz w:val="21"/>
              </w:rPr>
            </w:pPr>
          </w:p>
          <w:p w14:paraId="77F23A1A">
            <w:pPr>
              <w:spacing w:line="244" w:lineRule="auto"/>
              <w:rPr>
                <w:rFonts w:ascii="Arial"/>
                <w:sz w:val="21"/>
              </w:rPr>
            </w:pPr>
          </w:p>
          <w:p w14:paraId="44D53189">
            <w:pPr>
              <w:spacing w:line="244" w:lineRule="auto"/>
              <w:rPr>
                <w:rFonts w:ascii="Arial"/>
                <w:sz w:val="21"/>
              </w:rPr>
            </w:pPr>
          </w:p>
          <w:p w14:paraId="7F82221B">
            <w:pPr>
              <w:spacing w:line="244" w:lineRule="auto"/>
              <w:rPr>
                <w:rFonts w:ascii="Arial"/>
                <w:sz w:val="21"/>
              </w:rPr>
            </w:pPr>
          </w:p>
          <w:p w14:paraId="4EE90AFA">
            <w:pPr>
              <w:spacing w:line="244" w:lineRule="auto"/>
              <w:rPr>
                <w:rFonts w:ascii="Arial"/>
                <w:sz w:val="21"/>
              </w:rPr>
            </w:pPr>
          </w:p>
          <w:p w14:paraId="0D3BFADD">
            <w:pPr>
              <w:spacing w:line="244" w:lineRule="auto"/>
              <w:rPr>
                <w:rFonts w:ascii="Arial"/>
                <w:sz w:val="21"/>
              </w:rPr>
            </w:pPr>
          </w:p>
          <w:p w14:paraId="3611AC3B">
            <w:pPr>
              <w:spacing w:line="244" w:lineRule="auto"/>
              <w:rPr>
                <w:rFonts w:ascii="Arial"/>
                <w:sz w:val="21"/>
              </w:rPr>
            </w:pPr>
          </w:p>
          <w:p w14:paraId="63996BD3">
            <w:pPr>
              <w:spacing w:line="244" w:lineRule="auto"/>
              <w:rPr>
                <w:rFonts w:ascii="Arial"/>
                <w:sz w:val="21"/>
              </w:rPr>
            </w:pPr>
          </w:p>
          <w:p w14:paraId="5F315405">
            <w:pPr>
              <w:spacing w:line="244" w:lineRule="auto"/>
              <w:rPr>
                <w:rFonts w:ascii="Arial"/>
                <w:sz w:val="21"/>
              </w:rPr>
            </w:pPr>
          </w:p>
          <w:p w14:paraId="7F63FDDD">
            <w:pPr>
              <w:spacing w:line="245" w:lineRule="auto"/>
              <w:rPr>
                <w:rFonts w:ascii="Arial"/>
                <w:sz w:val="21"/>
              </w:rPr>
            </w:pPr>
          </w:p>
          <w:p w14:paraId="39609AED">
            <w:pPr>
              <w:spacing w:line="245" w:lineRule="auto"/>
              <w:rPr>
                <w:rFonts w:ascii="Arial"/>
                <w:sz w:val="21"/>
              </w:rPr>
            </w:pPr>
          </w:p>
          <w:p w14:paraId="7F4F7DC9">
            <w:pPr>
              <w:spacing w:line="245" w:lineRule="auto"/>
              <w:rPr>
                <w:rFonts w:ascii="Arial"/>
                <w:sz w:val="21"/>
              </w:rPr>
            </w:pPr>
          </w:p>
          <w:p w14:paraId="795A1973">
            <w:pPr>
              <w:spacing w:line="245" w:lineRule="auto"/>
              <w:rPr>
                <w:rFonts w:ascii="Arial"/>
                <w:sz w:val="21"/>
              </w:rPr>
            </w:pPr>
          </w:p>
          <w:p w14:paraId="1A8E89DC">
            <w:pPr>
              <w:spacing w:line="245" w:lineRule="auto"/>
              <w:rPr>
                <w:rFonts w:ascii="Arial"/>
                <w:sz w:val="21"/>
              </w:rPr>
            </w:pPr>
          </w:p>
          <w:p w14:paraId="39579E4C">
            <w:pPr>
              <w:spacing w:line="245" w:lineRule="auto"/>
              <w:rPr>
                <w:rFonts w:ascii="Arial"/>
                <w:sz w:val="21"/>
              </w:rPr>
            </w:pPr>
          </w:p>
          <w:p w14:paraId="483BE4E7">
            <w:pPr>
              <w:spacing w:line="245" w:lineRule="auto"/>
              <w:rPr>
                <w:rFonts w:ascii="Arial"/>
                <w:sz w:val="21"/>
              </w:rPr>
            </w:pPr>
          </w:p>
          <w:p w14:paraId="51D7A5A6">
            <w:pPr>
              <w:pStyle w:val="6"/>
              <w:spacing w:before="72" w:line="218" w:lineRule="auto"/>
              <w:ind w:left="81"/>
              <w:rPr>
                <w:sz w:val="22"/>
                <w:szCs w:val="22"/>
              </w:rPr>
            </w:pPr>
            <w:r>
              <w:rPr>
                <w:spacing w:val="2"/>
                <w:sz w:val="22"/>
                <w:szCs w:val="22"/>
              </w:rPr>
              <w:t>投标报价</w:t>
            </w:r>
          </w:p>
          <w:p w14:paraId="1EB80396">
            <w:pPr>
              <w:pStyle w:val="6"/>
              <w:spacing w:before="22" w:line="220" w:lineRule="auto"/>
              <w:ind w:left="81"/>
              <w:rPr>
                <w:sz w:val="22"/>
                <w:szCs w:val="22"/>
              </w:rPr>
            </w:pPr>
            <w:r>
              <w:rPr>
                <w:spacing w:val="-2"/>
                <w:sz w:val="22"/>
                <w:szCs w:val="22"/>
              </w:rPr>
              <w:t>评分标准</w:t>
            </w:r>
          </w:p>
        </w:tc>
        <w:tc>
          <w:tcPr>
            <w:tcW w:w="2067" w:type="dxa"/>
            <w:vAlign w:val="top"/>
          </w:tcPr>
          <w:p w14:paraId="15D72B15">
            <w:pPr>
              <w:spacing w:line="270" w:lineRule="auto"/>
              <w:rPr>
                <w:rFonts w:ascii="Arial"/>
                <w:sz w:val="21"/>
              </w:rPr>
            </w:pPr>
          </w:p>
          <w:p w14:paraId="7B52EEA7">
            <w:pPr>
              <w:spacing w:line="271" w:lineRule="auto"/>
              <w:rPr>
                <w:rFonts w:ascii="Arial"/>
                <w:sz w:val="21"/>
              </w:rPr>
            </w:pPr>
          </w:p>
          <w:p w14:paraId="662DC159">
            <w:pPr>
              <w:spacing w:line="271" w:lineRule="auto"/>
              <w:rPr>
                <w:rFonts w:ascii="Arial"/>
                <w:sz w:val="21"/>
              </w:rPr>
            </w:pPr>
          </w:p>
          <w:p w14:paraId="35F28368">
            <w:pPr>
              <w:spacing w:line="271" w:lineRule="auto"/>
              <w:rPr>
                <w:rFonts w:ascii="Arial"/>
                <w:sz w:val="21"/>
              </w:rPr>
            </w:pPr>
          </w:p>
          <w:p w14:paraId="76E1E264">
            <w:pPr>
              <w:pStyle w:val="6"/>
              <w:spacing w:before="72" w:line="218" w:lineRule="auto"/>
              <w:ind w:left="92"/>
              <w:rPr>
                <w:sz w:val="22"/>
                <w:szCs w:val="22"/>
              </w:rPr>
            </w:pPr>
            <w:r>
              <w:rPr>
                <w:spacing w:val="-1"/>
                <w:sz w:val="22"/>
                <w:szCs w:val="22"/>
              </w:rPr>
              <w:t>计算投标报价得分</w:t>
            </w:r>
          </w:p>
        </w:tc>
        <w:tc>
          <w:tcPr>
            <w:tcW w:w="749" w:type="dxa"/>
            <w:vAlign w:val="top"/>
          </w:tcPr>
          <w:p w14:paraId="56C16D8D">
            <w:pPr>
              <w:spacing w:line="271" w:lineRule="auto"/>
              <w:rPr>
                <w:rFonts w:ascii="Arial"/>
                <w:sz w:val="21"/>
              </w:rPr>
            </w:pPr>
          </w:p>
          <w:p w14:paraId="4E754D72">
            <w:pPr>
              <w:spacing w:line="271" w:lineRule="auto"/>
              <w:rPr>
                <w:rFonts w:ascii="Arial"/>
                <w:sz w:val="21"/>
              </w:rPr>
            </w:pPr>
          </w:p>
          <w:p w14:paraId="110869E3">
            <w:pPr>
              <w:spacing w:line="272" w:lineRule="auto"/>
              <w:rPr>
                <w:rFonts w:ascii="Arial"/>
                <w:sz w:val="21"/>
              </w:rPr>
            </w:pPr>
          </w:p>
          <w:p w14:paraId="490B46A2">
            <w:pPr>
              <w:spacing w:line="272" w:lineRule="auto"/>
              <w:rPr>
                <w:rFonts w:ascii="Arial"/>
                <w:sz w:val="21"/>
              </w:rPr>
            </w:pPr>
          </w:p>
          <w:p w14:paraId="6A4CFDC6">
            <w:pPr>
              <w:pStyle w:val="6"/>
              <w:spacing w:before="72" w:line="220" w:lineRule="auto"/>
              <w:ind w:left="114"/>
              <w:rPr>
                <w:sz w:val="22"/>
                <w:szCs w:val="22"/>
              </w:rPr>
            </w:pPr>
            <w:r>
              <w:rPr>
                <w:spacing w:val="3"/>
                <w:sz w:val="22"/>
                <w:szCs w:val="22"/>
              </w:rPr>
              <w:t>70分</w:t>
            </w:r>
          </w:p>
        </w:tc>
        <w:tc>
          <w:tcPr>
            <w:tcW w:w="4553" w:type="dxa"/>
            <w:vAlign w:val="top"/>
          </w:tcPr>
          <w:p w14:paraId="7562B346">
            <w:pPr>
              <w:pStyle w:val="6"/>
              <w:spacing w:before="102" w:line="218" w:lineRule="auto"/>
              <w:ind w:left="85"/>
              <w:rPr>
                <w:sz w:val="22"/>
                <w:szCs w:val="22"/>
              </w:rPr>
            </w:pPr>
            <w:r>
              <w:rPr>
                <w:spacing w:val="-1"/>
                <w:sz w:val="22"/>
                <w:szCs w:val="22"/>
              </w:rPr>
              <w:t>F=70-(投标人评标价-评标基准价)÷评</w:t>
            </w:r>
          </w:p>
          <w:p w14:paraId="56FB5EA3">
            <w:pPr>
              <w:pStyle w:val="6"/>
              <w:spacing w:before="99" w:line="295" w:lineRule="auto"/>
              <w:ind w:left="85" w:right="567" w:firstLine="30"/>
              <w:rPr>
                <w:sz w:val="22"/>
                <w:szCs w:val="22"/>
              </w:rPr>
            </w:pPr>
            <w:r>
              <w:rPr>
                <w:spacing w:val="1"/>
                <w:sz w:val="22"/>
                <w:szCs w:val="22"/>
              </w:rPr>
              <w:t>标基准价×100×3</w:t>
            </w:r>
            <w:r>
              <w:rPr>
                <w:spacing w:val="25"/>
                <w:sz w:val="22"/>
                <w:szCs w:val="22"/>
              </w:rPr>
              <w:t xml:space="preserve">    </w:t>
            </w:r>
            <w:r>
              <w:rPr>
                <w:spacing w:val="1"/>
                <w:position w:val="1"/>
                <w:sz w:val="22"/>
                <w:szCs w:val="22"/>
              </w:rPr>
              <w:t>(评标价&gt;基准价</w:t>
            </w:r>
            <w:r>
              <w:rPr>
                <w:position w:val="1"/>
                <w:sz w:val="22"/>
                <w:szCs w:val="22"/>
              </w:rPr>
              <w:t xml:space="preserve"> </w:t>
            </w:r>
            <w:r>
              <w:rPr>
                <w:spacing w:val="-10"/>
                <w:sz w:val="22"/>
                <w:szCs w:val="22"/>
              </w:rPr>
              <w:t>时</w:t>
            </w:r>
            <w:r>
              <w:rPr>
                <w:spacing w:val="-34"/>
                <w:sz w:val="22"/>
                <w:szCs w:val="22"/>
              </w:rPr>
              <w:t xml:space="preserve"> </w:t>
            </w:r>
            <w:r>
              <w:rPr>
                <w:spacing w:val="-10"/>
                <w:sz w:val="22"/>
                <w:szCs w:val="22"/>
              </w:rPr>
              <w:t>)</w:t>
            </w:r>
          </w:p>
          <w:p w14:paraId="5634704E">
            <w:pPr>
              <w:pStyle w:val="6"/>
              <w:spacing w:before="17" w:line="218" w:lineRule="auto"/>
              <w:ind w:left="85"/>
              <w:rPr>
                <w:sz w:val="22"/>
                <w:szCs w:val="22"/>
              </w:rPr>
            </w:pPr>
            <w:r>
              <w:rPr>
                <w:spacing w:val="-1"/>
                <w:sz w:val="22"/>
                <w:szCs w:val="22"/>
              </w:rPr>
              <w:t>F=70-(评标基准价-投标人评标价)÷评</w:t>
            </w:r>
          </w:p>
          <w:p w14:paraId="2CD6AF11">
            <w:pPr>
              <w:pStyle w:val="6"/>
              <w:spacing w:before="120" w:line="287" w:lineRule="auto"/>
              <w:ind w:left="75" w:right="427" w:firstLine="50"/>
              <w:rPr>
                <w:sz w:val="22"/>
                <w:szCs w:val="22"/>
              </w:rPr>
            </w:pPr>
            <w:r>
              <w:rPr>
                <w:spacing w:val="1"/>
                <w:sz w:val="22"/>
                <w:szCs w:val="22"/>
              </w:rPr>
              <w:t>标基准价×100×2     (评标价≤基准价</w:t>
            </w:r>
            <w:r>
              <w:rPr>
                <w:spacing w:val="5"/>
                <w:sz w:val="22"/>
                <w:szCs w:val="22"/>
              </w:rPr>
              <w:t xml:space="preserve"> </w:t>
            </w:r>
            <w:r>
              <w:rPr>
                <w:spacing w:val="-10"/>
                <w:sz w:val="22"/>
                <w:szCs w:val="22"/>
              </w:rPr>
              <w:t>时</w:t>
            </w:r>
            <w:r>
              <w:rPr>
                <w:spacing w:val="-34"/>
                <w:sz w:val="22"/>
                <w:szCs w:val="22"/>
              </w:rPr>
              <w:t xml:space="preserve"> </w:t>
            </w:r>
            <w:r>
              <w:rPr>
                <w:spacing w:val="-10"/>
                <w:sz w:val="22"/>
                <w:szCs w:val="22"/>
              </w:rPr>
              <w:t>)</w:t>
            </w:r>
          </w:p>
          <w:p w14:paraId="114662C1">
            <w:pPr>
              <w:pStyle w:val="6"/>
              <w:spacing w:before="38" w:line="200" w:lineRule="auto"/>
              <w:ind w:left="115"/>
              <w:rPr>
                <w:sz w:val="22"/>
                <w:szCs w:val="22"/>
              </w:rPr>
            </w:pPr>
            <w:r>
              <w:rPr>
                <w:sz w:val="22"/>
                <w:szCs w:val="22"/>
              </w:rPr>
              <w:t>其中：F≥0。</w:t>
            </w:r>
          </w:p>
        </w:tc>
      </w:tr>
      <w:tr w14:paraId="4E7AA0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56" w:hRule="atLeast"/>
        </w:trPr>
        <w:tc>
          <w:tcPr>
            <w:tcW w:w="754" w:type="dxa"/>
            <w:vMerge w:val="continue"/>
            <w:tcBorders>
              <w:top w:val="nil"/>
              <w:bottom w:val="nil"/>
            </w:tcBorders>
            <w:vAlign w:val="top"/>
          </w:tcPr>
          <w:p w14:paraId="3FEB6235">
            <w:pPr>
              <w:rPr>
                <w:rFonts w:ascii="Arial"/>
                <w:sz w:val="21"/>
              </w:rPr>
            </w:pPr>
          </w:p>
        </w:tc>
        <w:tc>
          <w:tcPr>
            <w:tcW w:w="1069" w:type="dxa"/>
            <w:vMerge w:val="continue"/>
            <w:tcBorders>
              <w:top w:val="nil"/>
              <w:bottom w:val="nil"/>
            </w:tcBorders>
            <w:vAlign w:val="top"/>
          </w:tcPr>
          <w:p w14:paraId="5577DF30">
            <w:pPr>
              <w:rPr>
                <w:rFonts w:ascii="Arial"/>
                <w:sz w:val="21"/>
              </w:rPr>
            </w:pPr>
          </w:p>
        </w:tc>
        <w:tc>
          <w:tcPr>
            <w:tcW w:w="2067" w:type="dxa"/>
            <w:vAlign w:val="top"/>
          </w:tcPr>
          <w:p w14:paraId="7909364B">
            <w:pPr>
              <w:spacing w:line="248" w:lineRule="auto"/>
              <w:rPr>
                <w:rFonts w:ascii="Arial"/>
                <w:sz w:val="21"/>
              </w:rPr>
            </w:pPr>
          </w:p>
          <w:p w14:paraId="79D912CA">
            <w:pPr>
              <w:spacing w:line="248" w:lineRule="auto"/>
              <w:rPr>
                <w:rFonts w:ascii="Arial"/>
                <w:sz w:val="21"/>
              </w:rPr>
            </w:pPr>
          </w:p>
          <w:p w14:paraId="4F9E7236">
            <w:pPr>
              <w:spacing w:line="248" w:lineRule="auto"/>
              <w:rPr>
                <w:rFonts w:ascii="Arial"/>
                <w:sz w:val="21"/>
              </w:rPr>
            </w:pPr>
          </w:p>
          <w:p w14:paraId="7E6D091D">
            <w:pPr>
              <w:spacing w:line="248" w:lineRule="auto"/>
              <w:rPr>
                <w:rFonts w:ascii="Arial"/>
                <w:sz w:val="21"/>
              </w:rPr>
            </w:pPr>
          </w:p>
          <w:p w14:paraId="1726A0B8">
            <w:pPr>
              <w:spacing w:line="248" w:lineRule="auto"/>
              <w:rPr>
                <w:rFonts w:ascii="Arial"/>
                <w:sz w:val="21"/>
              </w:rPr>
            </w:pPr>
          </w:p>
          <w:p w14:paraId="20DEE9A6">
            <w:pPr>
              <w:spacing w:line="248" w:lineRule="auto"/>
              <w:rPr>
                <w:rFonts w:ascii="Arial"/>
                <w:sz w:val="21"/>
              </w:rPr>
            </w:pPr>
          </w:p>
          <w:p w14:paraId="24F40388">
            <w:pPr>
              <w:spacing w:line="248" w:lineRule="auto"/>
              <w:rPr>
                <w:rFonts w:ascii="Arial"/>
                <w:sz w:val="21"/>
              </w:rPr>
            </w:pPr>
          </w:p>
          <w:p w14:paraId="49D5B3D0">
            <w:pPr>
              <w:spacing w:line="248" w:lineRule="auto"/>
              <w:rPr>
                <w:rFonts w:ascii="Arial"/>
                <w:sz w:val="21"/>
              </w:rPr>
            </w:pPr>
          </w:p>
          <w:p w14:paraId="7D0D3965">
            <w:pPr>
              <w:spacing w:line="249" w:lineRule="auto"/>
              <w:rPr>
                <w:rFonts w:ascii="Arial"/>
                <w:sz w:val="21"/>
              </w:rPr>
            </w:pPr>
          </w:p>
          <w:p w14:paraId="18A17C96">
            <w:pPr>
              <w:pStyle w:val="6"/>
              <w:spacing w:before="72" w:line="218" w:lineRule="auto"/>
              <w:ind w:left="92"/>
              <w:rPr>
                <w:sz w:val="22"/>
                <w:szCs w:val="22"/>
              </w:rPr>
            </w:pPr>
            <w:r>
              <w:rPr>
                <w:spacing w:val="1"/>
                <w:sz w:val="22"/>
                <w:szCs w:val="22"/>
              </w:rPr>
              <w:t>不平衡报价扣分</w:t>
            </w:r>
          </w:p>
        </w:tc>
        <w:tc>
          <w:tcPr>
            <w:tcW w:w="749" w:type="dxa"/>
            <w:vAlign w:val="top"/>
          </w:tcPr>
          <w:p w14:paraId="7F47349B">
            <w:pPr>
              <w:rPr>
                <w:rFonts w:ascii="Arial"/>
                <w:sz w:val="21"/>
              </w:rPr>
            </w:pPr>
          </w:p>
        </w:tc>
        <w:tc>
          <w:tcPr>
            <w:tcW w:w="4553" w:type="dxa"/>
            <w:vAlign w:val="top"/>
          </w:tcPr>
          <w:p w14:paraId="0062DF09">
            <w:pPr>
              <w:pStyle w:val="6"/>
              <w:spacing w:before="90" w:line="306" w:lineRule="auto"/>
              <w:ind w:left="215" w:right="449" w:hanging="89"/>
              <w:rPr>
                <w:sz w:val="22"/>
                <w:szCs w:val="22"/>
              </w:rPr>
            </w:pPr>
            <w:r>
              <w:rPr>
                <w:spacing w:val="5"/>
                <w:sz w:val="22"/>
                <w:szCs w:val="22"/>
              </w:rPr>
              <w:t>〔单位工程投标报价-(暂列金额+税金)-</w:t>
            </w:r>
            <w:r>
              <w:rPr>
                <w:spacing w:val="16"/>
                <w:sz w:val="22"/>
                <w:szCs w:val="22"/>
              </w:rPr>
              <w:t xml:space="preserve"> </w:t>
            </w:r>
            <w:r>
              <w:rPr>
                <w:spacing w:val="2"/>
                <w:sz w:val="22"/>
                <w:szCs w:val="22"/>
              </w:rPr>
              <w:t>(专业工程暂估价+税金)〕低于(不含)</w:t>
            </w:r>
          </w:p>
          <w:p w14:paraId="10077809">
            <w:pPr>
              <w:pStyle w:val="6"/>
              <w:tabs>
                <w:tab w:val="left" w:pos="246"/>
              </w:tabs>
              <w:spacing w:before="2" w:line="302" w:lineRule="auto"/>
              <w:ind w:left="95" w:right="27" w:firstLine="30"/>
              <w:rPr>
                <w:sz w:val="22"/>
                <w:szCs w:val="22"/>
              </w:rPr>
            </w:pPr>
            <w:r>
              <w:rPr>
                <w:spacing w:val="7"/>
                <w:sz w:val="22"/>
                <w:szCs w:val="22"/>
              </w:rPr>
              <w:t>〔单位工程招标控制价-(暂列金额+税金)</w:t>
            </w:r>
            <w:r>
              <w:rPr>
                <w:spacing w:val="5"/>
                <w:sz w:val="22"/>
                <w:szCs w:val="22"/>
              </w:rPr>
              <w:t xml:space="preserve">   </w:t>
            </w:r>
            <w:r>
              <w:rPr>
                <w:sz w:val="22"/>
                <w:szCs w:val="22"/>
              </w:rPr>
              <w:tab/>
            </w:r>
            <w:r>
              <w:rPr>
                <w:spacing w:val="21"/>
                <w:sz w:val="22"/>
                <w:szCs w:val="22"/>
              </w:rPr>
              <w:t xml:space="preserve">(专业工程暂估价+税金)) </w:t>
            </w:r>
            <w:r>
              <w:rPr>
                <w:spacing w:val="38"/>
                <w:sz w:val="22"/>
                <w:szCs w:val="22"/>
                <w:u w:val="single" w:color="auto"/>
              </w:rPr>
              <w:t xml:space="preserve"> </w:t>
            </w:r>
            <w:r>
              <w:rPr>
                <w:spacing w:val="21"/>
                <w:sz w:val="22"/>
                <w:szCs w:val="22"/>
                <w:u w:val="single" w:color="auto"/>
              </w:rPr>
              <w:t>H%</w:t>
            </w:r>
            <w:r>
              <w:rPr>
                <w:spacing w:val="33"/>
                <w:sz w:val="22"/>
                <w:szCs w:val="22"/>
                <w:u w:val="single" w:color="auto"/>
              </w:rPr>
              <w:t xml:space="preserve">  </w:t>
            </w:r>
            <w:r>
              <w:rPr>
                <w:spacing w:val="21"/>
                <w:sz w:val="22"/>
                <w:szCs w:val="22"/>
              </w:rPr>
              <w:t>的</w:t>
            </w:r>
            <w:r>
              <w:rPr>
                <w:spacing w:val="23"/>
                <w:sz w:val="22"/>
                <w:szCs w:val="22"/>
              </w:rPr>
              <w:t xml:space="preserve">  </w:t>
            </w:r>
            <w:r>
              <w:rPr>
                <w:spacing w:val="21"/>
                <w:sz w:val="22"/>
                <w:szCs w:val="22"/>
              </w:rPr>
              <w:t>，</w:t>
            </w:r>
            <w:r>
              <w:rPr>
                <w:sz w:val="22"/>
                <w:szCs w:val="22"/>
              </w:rPr>
              <w:t xml:space="preserve"> 视为不平衡报价，每发现一项，扣5分，</w:t>
            </w:r>
          </w:p>
          <w:p w14:paraId="090EB4CB">
            <w:pPr>
              <w:pStyle w:val="6"/>
              <w:spacing w:line="220" w:lineRule="auto"/>
              <w:ind w:left="95"/>
              <w:rPr>
                <w:sz w:val="22"/>
                <w:szCs w:val="22"/>
              </w:rPr>
            </w:pPr>
            <w:r>
              <w:rPr>
                <w:sz w:val="22"/>
                <w:szCs w:val="22"/>
              </w:rPr>
              <w:t>该项计分公式为：</w:t>
            </w:r>
          </w:p>
          <w:p w14:paraId="1C500BCA">
            <w:pPr>
              <w:pStyle w:val="6"/>
              <w:spacing w:before="97" w:line="219" w:lineRule="auto"/>
              <w:ind w:left="435"/>
              <w:rPr>
                <w:sz w:val="22"/>
                <w:szCs w:val="22"/>
              </w:rPr>
            </w:pPr>
            <w:r>
              <w:rPr>
                <w:spacing w:val="-1"/>
                <w:sz w:val="22"/>
                <w:szCs w:val="22"/>
              </w:rPr>
              <w:t>K=k</w:t>
            </w:r>
            <w:r>
              <w:rPr>
                <w:rFonts w:ascii="Calibri" w:hAnsi="Calibri" w:eastAsia="Calibri" w:cs="Calibri"/>
                <w:spacing w:val="-1"/>
                <w:sz w:val="22"/>
                <w:szCs w:val="22"/>
              </w:rPr>
              <w:t>₁</w:t>
            </w:r>
            <w:r>
              <w:rPr>
                <w:spacing w:val="-1"/>
                <w:sz w:val="22"/>
                <w:szCs w:val="22"/>
              </w:rPr>
              <w:t>+k</w:t>
            </w:r>
            <w:r>
              <w:rPr>
                <w:rFonts w:ascii="Calibri" w:hAnsi="Calibri" w:eastAsia="Calibri" w:cs="Calibri"/>
                <w:spacing w:val="-1"/>
                <w:sz w:val="22"/>
                <w:szCs w:val="22"/>
              </w:rPr>
              <w:t>₂</w:t>
            </w:r>
            <w:r>
              <w:rPr>
                <w:spacing w:val="-1"/>
                <w:sz w:val="22"/>
                <w:szCs w:val="22"/>
              </w:rPr>
              <w:t>+…+k</w:t>
            </w:r>
          </w:p>
          <w:p w14:paraId="3D1D1073">
            <w:pPr>
              <w:pStyle w:val="6"/>
              <w:spacing w:before="89" w:line="220" w:lineRule="auto"/>
              <w:ind w:left="455"/>
              <w:rPr>
                <w:sz w:val="22"/>
                <w:szCs w:val="22"/>
              </w:rPr>
            </w:pPr>
            <w:r>
              <w:rPr>
                <w:spacing w:val="5"/>
                <w:sz w:val="22"/>
                <w:szCs w:val="22"/>
              </w:rPr>
              <w:t>其中：</w:t>
            </w:r>
            <w:r>
              <w:rPr>
                <w:spacing w:val="-52"/>
                <w:sz w:val="22"/>
                <w:szCs w:val="22"/>
              </w:rPr>
              <w:t xml:space="preserve"> </w:t>
            </w:r>
            <w:r>
              <w:rPr>
                <w:spacing w:val="5"/>
                <w:sz w:val="22"/>
                <w:szCs w:val="22"/>
              </w:rPr>
              <w:t>K为扣分合计；</w:t>
            </w:r>
          </w:p>
          <w:p w14:paraId="0DD1DC83">
            <w:pPr>
              <w:pStyle w:val="6"/>
              <w:spacing w:before="87" w:line="219" w:lineRule="auto"/>
              <w:ind w:left="1046"/>
              <w:rPr>
                <w:sz w:val="22"/>
                <w:szCs w:val="22"/>
              </w:rPr>
            </w:pPr>
            <w:r>
              <w:rPr>
                <w:spacing w:val="12"/>
                <w:sz w:val="22"/>
                <w:szCs w:val="22"/>
              </w:rPr>
              <w:t>k为单次扣分分值；</w:t>
            </w:r>
          </w:p>
          <w:p w14:paraId="4DE40184">
            <w:pPr>
              <w:pStyle w:val="6"/>
              <w:spacing w:before="119" w:line="219" w:lineRule="auto"/>
              <w:ind w:left="1056"/>
              <w:rPr>
                <w:sz w:val="22"/>
                <w:szCs w:val="22"/>
              </w:rPr>
            </w:pPr>
            <w:r>
              <w:rPr>
                <w:spacing w:val="15"/>
                <w:sz w:val="22"/>
                <w:szCs w:val="22"/>
              </w:rPr>
              <w:t>n为扣分次数；</w:t>
            </w:r>
          </w:p>
          <w:p w14:paraId="598F42C3">
            <w:pPr>
              <w:pStyle w:val="6"/>
              <w:spacing w:before="86" w:line="277" w:lineRule="auto"/>
              <w:ind w:left="125" w:right="420" w:firstLine="920"/>
              <w:rPr>
                <w:sz w:val="22"/>
                <w:szCs w:val="22"/>
              </w:rPr>
            </w:pPr>
            <w:r>
              <w:rPr>
                <w:spacing w:val="-1"/>
                <w:sz w:val="22"/>
                <w:szCs w:val="22"/>
              </w:rPr>
              <w:t>H为不平衡报价系数。H的取值见</w:t>
            </w:r>
            <w:r>
              <w:rPr>
                <w:spacing w:val="10"/>
                <w:sz w:val="22"/>
                <w:szCs w:val="22"/>
              </w:rPr>
              <w:t xml:space="preserve"> </w:t>
            </w:r>
            <w:r>
              <w:rPr>
                <w:sz w:val="22"/>
                <w:szCs w:val="22"/>
              </w:rPr>
              <w:t>第二章投标人须知前附表第10.2.2项。</w:t>
            </w:r>
          </w:p>
          <w:p w14:paraId="2678DBAE">
            <w:pPr>
              <w:pStyle w:val="6"/>
              <w:spacing w:before="1" w:line="208" w:lineRule="auto"/>
              <w:ind w:left="115" w:firstLine="9"/>
              <w:rPr>
                <w:sz w:val="22"/>
                <w:szCs w:val="22"/>
              </w:rPr>
            </w:pPr>
            <w:r>
              <w:rPr>
                <w:spacing w:val="-10"/>
                <w:sz w:val="22"/>
                <w:szCs w:val="22"/>
              </w:rPr>
              <w:t>单位工程投标报价如有算术性错误修正，以修正</w:t>
            </w:r>
            <w:r>
              <w:rPr>
                <w:spacing w:val="6"/>
                <w:sz w:val="22"/>
                <w:szCs w:val="22"/>
              </w:rPr>
              <w:t xml:space="preserve"> </w:t>
            </w:r>
            <w:r>
              <w:rPr>
                <w:spacing w:val="-1"/>
                <w:sz w:val="22"/>
                <w:szCs w:val="22"/>
              </w:rPr>
              <w:t>后的单位工程投标报价计算。</w:t>
            </w:r>
          </w:p>
        </w:tc>
      </w:tr>
      <w:tr w14:paraId="7E75DE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9" w:hRule="atLeast"/>
        </w:trPr>
        <w:tc>
          <w:tcPr>
            <w:tcW w:w="754" w:type="dxa"/>
            <w:vMerge w:val="continue"/>
            <w:tcBorders>
              <w:top w:val="nil"/>
              <w:bottom w:val="nil"/>
            </w:tcBorders>
            <w:vAlign w:val="top"/>
          </w:tcPr>
          <w:p w14:paraId="35BFC6F9">
            <w:pPr>
              <w:rPr>
                <w:rFonts w:ascii="Arial"/>
                <w:sz w:val="21"/>
              </w:rPr>
            </w:pPr>
          </w:p>
        </w:tc>
        <w:tc>
          <w:tcPr>
            <w:tcW w:w="1069" w:type="dxa"/>
            <w:vMerge w:val="continue"/>
            <w:tcBorders>
              <w:top w:val="nil"/>
              <w:bottom w:val="nil"/>
            </w:tcBorders>
            <w:vAlign w:val="top"/>
          </w:tcPr>
          <w:p w14:paraId="0C86D2A9">
            <w:pPr>
              <w:rPr>
                <w:rFonts w:ascii="Arial"/>
                <w:sz w:val="21"/>
              </w:rPr>
            </w:pPr>
          </w:p>
        </w:tc>
        <w:tc>
          <w:tcPr>
            <w:tcW w:w="2067" w:type="dxa"/>
            <w:vAlign w:val="top"/>
          </w:tcPr>
          <w:p w14:paraId="0A37C228">
            <w:pPr>
              <w:pStyle w:val="6"/>
              <w:spacing w:before="143" w:line="218" w:lineRule="auto"/>
              <w:ind w:left="92"/>
              <w:rPr>
                <w:sz w:val="22"/>
                <w:szCs w:val="22"/>
              </w:rPr>
            </w:pPr>
            <w:r>
              <w:rPr>
                <w:spacing w:val="1"/>
                <w:sz w:val="22"/>
                <w:szCs w:val="22"/>
              </w:rPr>
              <w:t>投标报价得分</w:t>
            </w:r>
          </w:p>
        </w:tc>
        <w:tc>
          <w:tcPr>
            <w:tcW w:w="749" w:type="dxa"/>
            <w:vAlign w:val="top"/>
          </w:tcPr>
          <w:p w14:paraId="3C2F2791">
            <w:pPr>
              <w:rPr>
                <w:rFonts w:ascii="Arial"/>
                <w:sz w:val="21"/>
              </w:rPr>
            </w:pPr>
          </w:p>
        </w:tc>
        <w:tc>
          <w:tcPr>
            <w:tcW w:w="4553" w:type="dxa"/>
            <w:vAlign w:val="top"/>
          </w:tcPr>
          <w:p w14:paraId="42E11438">
            <w:pPr>
              <w:pStyle w:val="6"/>
              <w:spacing w:before="175" w:line="220" w:lineRule="auto"/>
              <w:ind w:left="85"/>
              <w:rPr>
                <w:sz w:val="22"/>
                <w:szCs w:val="22"/>
              </w:rPr>
            </w:pPr>
            <w:r>
              <w:rPr>
                <w:position w:val="-1"/>
                <w:sz w:val="22"/>
                <w:szCs w:val="22"/>
              </w:rPr>
              <w:t>M=F-K</w:t>
            </w:r>
            <w:r>
              <w:rPr>
                <w:spacing w:val="4"/>
                <w:position w:val="-1"/>
                <w:sz w:val="22"/>
                <w:szCs w:val="22"/>
              </w:rPr>
              <w:t xml:space="preserve">         </w:t>
            </w:r>
            <w:r>
              <w:rPr>
                <w:sz w:val="22"/>
                <w:szCs w:val="22"/>
              </w:rPr>
              <w:t>其中：M≥0。</w:t>
            </w:r>
          </w:p>
        </w:tc>
      </w:tr>
      <w:tr w14:paraId="2F195B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1" w:hRule="atLeast"/>
        </w:trPr>
        <w:tc>
          <w:tcPr>
            <w:tcW w:w="754" w:type="dxa"/>
            <w:vMerge w:val="continue"/>
            <w:tcBorders>
              <w:top w:val="nil"/>
            </w:tcBorders>
            <w:vAlign w:val="top"/>
          </w:tcPr>
          <w:p w14:paraId="116D483A">
            <w:pPr>
              <w:rPr>
                <w:rFonts w:ascii="Arial"/>
                <w:sz w:val="21"/>
              </w:rPr>
            </w:pPr>
          </w:p>
        </w:tc>
        <w:tc>
          <w:tcPr>
            <w:tcW w:w="1069" w:type="dxa"/>
            <w:vMerge w:val="continue"/>
            <w:tcBorders>
              <w:top w:val="nil"/>
            </w:tcBorders>
            <w:vAlign w:val="top"/>
          </w:tcPr>
          <w:p w14:paraId="68811B3F">
            <w:pPr>
              <w:rPr>
                <w:rFonts w:ascii="Arial"/>
                <w:sz w:val="21"/>
              </w:rPr>
            </w:pPr>
          </w:p>
        </w:tc>
        <w:tc>
          <w:tcPr>
            <w:tcW w:w="2067" w:type="dxa"/>
            <w:vAlign w:val="top"/>
          </w:tcPr>
          <w:p w14:paraId="1A173BC1">
            <w:pPr>
              <w:spacing w:line="248" w:lineRule="auto"/>
              <w:rPr>
                <w:rFonts w:ascii="Arial"/>
                <w:sz w:val="21"/>
              </w:rPr>
            </w:pPr>
          </w:p>
          <w:p w14:paraId="66833463">
            <w:pPr>
              <w:spacing w:line="248" w:lineRule="auto"/>
              <w:rPr>
                <w:rFonts w:ascii="Arial"/>
                <w:sz w:val="21"/>
              </w:rPr>
            </w:pPr>
          </w:p>
          <w:p w14:paraId="35E0019E">
            <w:pPr>
              <w:spacing w:line="248" w:lineRule="auto"/>
              <w:rPr>
                <w:rFonts w:ascii="Arial"/>
                <w:sz w:val="21"/>
              </w:rPr>
            </w:pPr>
          </w:p>
          <w:p w14:paraId="00A21523">
            <w:pPr>
              <w:spacing w:line="249" w:lineRule="auto"/>
              <w:rPr>
                <w:rFonts w:ascii="Arial"/>
                <w:sz w:val="21"/>
              </w:rPr>
            </w:pPr>
          </w:p>
          <w:p w14:paraId="55B4EE67">
            <w:pPr>
              <w:spacing w:line="249" w:lineRule="auto"/>
              <w:rPr>
                <w:rFonts w:ascii="Arial"/>
                <w:sz w:val="21"/>
              </w:rPr>
            </w:pPr>
          </w:p>
          <w:p w14:paraId="6A2756E6">
            <w:pPr>
              <w:spacing w:line="249" w:lineRule="auto"/>
              <w:rPr>
                <w:rFonts w:ascii="Arial"/>
                <w:sz w:val="21"/>
              </w:rPr>
            </w:pPr>
          </w:p>
          <w:p w14:paraId="139C27DD">
            <w:pPr>
              <w:spacing w:line="249" w:lineRule="auto"/>
              <w:rPr>
                <w:rFonts w:ascii="Arial"/>
                <w:sz w:val="21"/>
              </w:rPr>
            </w:pPr>
          </w:p>
          <w:p w14:paraId="6B65EFEC">
            <w:pPr>
              <w:spacing w:line="249" w:lineRule="auto"/>
              <w:rPr>
                <w:rFonts w:ascii="Arial"/>
                <w:sz w:val="21"/>
              </w:rPr>
            </w:pPr>
          </w:p>
          <w:p w14:paraId="1BA3BB09">
            <w:pPr>
              <w:spacing w:line="249" w:lineRule="auto"/>
              <w:rPr>
                <w:rFonts w:ascii="Arial"/>
                <w:sz w:val="21"/>
              </w:rPr>
            </w:pPr>
          </w:p>
          <w:p w14:paraId="384B1B85">
            <w:pPr>
              <w:spacing w:line="249" w:lineRule="auto"/>
              <w:rPr>
                <w:rFonts w:ascii="Arial"/>
                <w:sz w:val="21"/>
              </w:rPr>
            </w:pPr>
          </w:p>
          <w:p w14:paraId="2B124E94">
            <w:pPr>
              <w:spacing w:line="249" w:lineRule="auto"/>
              <w:rPr>
                <w:rFonts w:ascii="Arial"/>
                <w:sz w:val="21"/>
              </w:rPr>
            </w:pPr>
          </w:p>
          <w:p w14:paraId="2489D415">
            <w:pPr>
              <w:spacing w:line="249" w:lineRule="auto"/>
              <w:rPr>
                <w:rFonts w:ascii="Arial"/>
                <w:sz w:val="21"/>
              </w:rPr>
            </w:pPr>
          </w:p>
          <w:p w14:paraId="34CBA12D">
            <w:pPr>
              <w:spacing w:line="249" w:lineRule="auto"/>
              <w:rPr>
                <w:rFonts w:ascii="Arial"/>
                <w:sz w:val="21"/>
              </w:rPr>
            </w:pPr>
          </w:p>
          <w:p w14:paraId="42DAEA33">
            <w:pPr>
              <w:pStyle w:val="6"/>
              <w:spacing w:before="71" w:line="227" w:lineRule="auto"/>
              <w:ind w:left="92" w:right="623"/>
              <w:rPr>
                <w:sz w:val="22"/>
                <w:szCs w:val="22"/>
              </w:rPr>
            </w:pPr>
            <w:r>
              <w:rPr>
                <w:spacing w:val="-2"/>
                <w:sz w:val="22"/>
                <w:szCs w:val="22"/>
              </w:rPr>
              <w:t>政府采购工程</w:t>
            </w:r>
            <w:r>
              <w:rPr>
                <w:spacing w:val="3"/>
                <w:sz w:val="22"/>
                <w:szCs w:val="22"/>
              </w:rPr>
              <w:t xml:space="preserve"> 价格评审优惠</w:t>
            </w:r>
          </w:p>
        </w:tc>
        <w:tc>
          <w:tcPr>
            <w:tcW w:w="749" w:type="dxa"/>
            <w:vAlign w:val="top"/>
          </w:tcPr>
          <w:p w14:paraId="7A98D51C">
            <w:pPr>
              <w:rPr>
                <w:rFonts w:ascii="Arial"/>
                <w:sz w:val="21"/>
              </w:rPr>
            </w:pPr>
          </w:p>
        </w:tc>
        <w:tc>
          <w:tcPr>
            <w:tcW w:w="4553" w:type="dxa"/>
            <w:vAlign w:val="top"/>
          </w:tcPr>
          <w:p w14:paraId="4AE3C724">
            <w:pPr>
              <w:pStyle w:val="6"/>
              <w:spacing w:before="54" w:line="219" w:lineRule="auto"/>
              <w:ind w:left="105"/>
              <w:rPr>
                <w:sz w:val="22"/>
                <w:szCs w:val="22"/>
              </w:rPr>
            </w:pPr>
            <w:r>
              <w:rPr>
                <w:sz w:val="22"/>
                <w:szCs w:val="22"/>
              </w:rPr>
              <w:t>对项目未预留份额专门面向中小企业采购的</w:t>
            </w:r>
          </w:p>
          <w:p w14:paraId="66299A44">
            <w:pPr>
              <w:pStyle w:val="6"/>
              <w:spacing w:before="9" w:line="227" w:lineRule="auto"/>
              <w:ind w:left="115" w:firstLine="9"/>
              <w:rPr>
                <w:sz w:val="22"/>
                <w:szCs w:val="22"/>
              </w:rPr>
            </w:pPr>
            <w:r>
              <w:rPr>
                <w:spacing w:val="-10"/>
                <w:sz w:val="22"/>
                <w:szCs w:val="22"/>
              </w:rPr>
              <w:t>1.如投标人属于小微企业的，评标时在其投标报</w:t>
            </w:r>
            <w:r>
              <w:rPr>
                <w:spacing w:val="16"/>
                <w:sz w:val="22"/>
                <w:szCs w:val="22"/>
              </w:rPr>
              <w:t xml:space="preserve"> </w:t>
            </w:r>
            <w:r>
              <w:rPr>
                <w:sz w:val="22"/>
                <w:szCs w:val="22"/>
                <w:u w:val="single" w:color="auto"/>
              </w:rPr>
              <w:t>价得分的基础上增加P%</w:t>
            </w:r>
            <w:r>
              <w:rPr>
                <w:sz w:val="22"/>
                <w:szCs w:val="22"/>
              </w:rPr>
              <w:t>作为其投标报价最</w:t>
            </w:r>
          </w:p>
          <w:p w14:paraId="1B9E9EEB">
            <w:pPr>
              <w:pStyle w:val="6"/>
              <w:spacing w:line="219" w:lineRule="auto"/>
              <w:ind w:left="85"/>
              <w:rPr>
                <w:sz w:val="22"/>
                <w:szCs w:val="22"/>
              </w:rPr>
            </w:pPr>
            <w:r>
              <w:rPr>
                <w:spacing w:val="-1"/>
                <w:sz w:val="22"/>
                <w:szCs w:val="22"/>
              </w:rPr>
              <w:t>终得分。</w:t>
            </w:r>
          </w:p>
          <w:p w14:paraId="13BE4EDB">
            <w:pPr>
              <w:pStyle w:val="6"/>
              <w:spacing w:before="9" w:line="220" w:lineRule="auto"/>
              <w:ind w:left="526"/>
              <w:rPr>
                <w:sz w:val="22"/>
                <w:szCs w:val="22"/>
              </w:rPr>
            </w:pPr>
            <w:r>
              <w:rPr>
                <w:spacing w:val="4"/>
                <w:sz w:val="22"/>
                <w:szCs w:val="22"/>
              </w:rPr>
              <w:t>即S=M×(1+P%)</w:t>
            </w:r>
          </w:p>
          <w:p w14:paraId="286D10A7">
            <w:pPr>
              <w:pStyle w:val="6"/>
              <w:spacing w:before="4" w:line="230" w:lineRule="auto"/>
              <w:ind w:left="115" w:firstLine="389"/>
              <w:rPr>
                <w:sz w:val="22"/>
                <w:szCs w:val="22"/>
              </w:rPr>
            </w:pPr>
            <w:r>
              <w:rPr>
                <w:spacing w:val="-1"/>
                <w:sz w:val="22"/>
                <w:szCs w:val="22"/>
              </w:rPr>
              <w:t>P:为小微企业报价优惠系数，范围为3-5</w:t>
            </w:r>
            <w:r>
              <w:rPr>
                <w:spacing w:val="6"/>
                <w:sz w:val="22"/>
                <w:szCs w:val="22"/>
              </w:rPr>
              <w:t xml:space="preserve">  </w:t>
            </w:r>
            <w:r>
              <w:rPr>
                <w:spacing w:val="-4"/>
                <w:sz w:val="22"/>
                <w:szCs w:val="22"/>
              </w:rPr>
              <w:t>的整数，由招标人确定。P的取值见第二章投标</w:t>
            </w:r>
            <w:r>
              <w:rPr>
                <w:sz w:val="22"/>
                <w:szCs w:val="22"/>
              </w:rPr>
              <w:t xml:space="preserve"> 人须知前附表第10.2.4项。</w:t>
            </w:r>
          </w:p>
          <w:p w14:paraId="270DF109">
            <w:pPr>
              <w:pStyle w:val="6"/>
              <w:spacing w:before="1" w:line="228" w:lineRule="auto"/>
              <w:ind w:left="115" w:firstLine="409"/>
              <w:rPr>
                <w:sz w:val="22"/>
                <w:szCs w:val="22"/>
              </w:rPr>
            </w:pPr>
            <w:r>
              <w:rPr>
                <w:spacing w:val="-9"/>
                <w:sz w:val="22"/>
                <w:szCs w:val="22"/>
              </w:rPr>
              <w:t>如招标人接受联合体，联合体各方均为小微</w:t>
            </w:r>
            <w:r>
              <w:rPr>
                <w:spacing w:val="7"/>
                <w:sz w:val="22"/>
                <w:szCs w:val="22"/>
              </w:rPr>
              <w:t xml:space="preserve"> </w:t>
            </w:r>
            <w:r>
              <w:rPr>
                <w:spacing w:val="-1"/>
                <w:sz w:val="22"/>
                <w:szCs w:val="22"/>
              </w:rPr>
              <w:t>企业的，联合体视同小微企业。</w:t>
            </w:r>
          </w:p>
          <w:p w14:paraId="37197B09">
            <w:pPr>
              <w:pStyle w:val="6"/>
              <w:spacing w:before="299" w:line="223" w:lineRule="auto"/>
              <w:ind w:left="85"/>
              <w:jc w:val="both"/>
              <w:rPr>
                <w:sz w:val="22"/>
                <w:szCs w:val="22"/>
              </w:rPr>
            </w:pPr>
            <w:r>
              <w:rPr>
                <w:spacing w:val="-1"/>
                <w:sz w:val="22"/>
                <w:szCs w:val="22"/>
              </w:rPr>
              <w:t>2.如招标人接受大中型企业与小微企业组</w:t>
            </w:r>
            <w:r>
              <w:rPr>
                <w:spacing w:val="-2"/>
                <w:sz w:val="22"/>
                <w:szCs w:val="22"/>
              </w:rPr>
              <w:t>成联</w:t>
            </w:r>
            <w:r>
              <w:rPr>
                <w:sz w:val="22"/>
                <w:szCs w:val="22"/>
              </w:rPr>
              <w:t xml:space="preserve"> </w:t>
            </w:r>
            <w:r>
              <w:rPr>
                <w:spacing w:val="-1"/>
                <w:sz w:val="22"/>
                <w:szCs w:val="22"/>
              </w:rPr>
              <w:t>合体或者允许大中型企业向一家或者多家小微</w:t>
            </w:r>
            <w:r>
              <w:rPr>
                <w:spacing w:val="18"/>
                <w:sz w:val="22"/>
                <w:szCs w:val="22"/>
              </w:rPr>
              <w:t xml:space="preserve"> </w:t>
            </w:r>
            <w:r>
              <w:rPr>
                <w:spacing w:val="-8"/>
                <w:sz w:val="22"/>
                <w:szCs w:val="22"/>
              </w:rPr>
              <w:t>企业分包的采购项目，对于联合协议或者分包意</w:t>
            </w:r>
            <w:r>
              <w:rPr>
                <w:sz w:val="22"/>
                <w:szCs w:val="22"/>
              </w:rPr>
              <w:t xml:space="preserve"> </w:t>
            </w:r>
            <w:r>
              <w:rPr>
                <w:spacing w:val="1"/>
                <w:sz w:val="22"/>
                <w:szCs w:val="22"/>
              </w:rPr>
              <w:t>向协议约定小微企业的合同份额占到合同总金</w:t>
            </w:r>
            <w:r>
              <w:rPr>
                <w:spacing w:val="7"/>
                <w:sz w:val="22"/>
                <w:szCs w:val="22"/>
              </w:rPr>
              <w:t xml:space="preserve"> </w:t>
            </w:r>
            <w:r>
              <w:rPr>
                <w:spacing w:val="-3"/>
                <w:sz w:val="22"/>
                <w:szCs w:val="22"/>
              </w:rPr>
              <w:t>额30%以上的，评标时在其报价得分的基础上增</w:t>
            </w:r>
            <w:r>
              <w:rPr>
                <w:spacing w:val="12"/>
                <w:sz w:val="22"/>
                <w:szCs w:val="22"/>
              </w:rPr>
              <w:t xml:space="preserve"> </w:t>
            </w:r>
            <w:r>
              <w:rPr>
                <w:spacing w:val="-1"/>
                <w:sz w:val="22"/>
                <w:szCs w:val="22"/>
              </w:rPr>
              <w:t>加</w:t>
            </w:r>
            <w:r>
              <w:rPr>
                <w:spacing w:val="-1"/>
                <w:sz w:val="22"/>
                <w:szCs w:val="22"/>
                <w:u w:val="single" w:color="auto"/>
              </w:rPr>
              <w:t>Q%</w:t>
            </w:r>
            <w:r>
              <w:rPr>
                <w:spacing w:val="-1"/>
                <w:sz w:val="22"/>
                <w:szCs w:val="22"/>
              </w:rPr>
              <w:t>作为其投标报价最终得分。</w:t>
            </w:r>
          </w:p>
          <w:p w14:paraId="369B4FA1">
            <w:pPr>
              <w:pStyle w:val="6"/>
              <w:spacing w:before="23" w:line="220" w:lineRule="auto"/>
              <w:ind w:left="526"/>
              <w:rPr>
                <w:sz w:val="22"/>
                <w:szCs w:val="22"/>
              </w:rPr>
            </w:pPr>
            <w:r>
              <w:rPr>
                <w:spacing w:val="4"/>
                <w:sz w:val="22"/>
                <w:szCs w:val="22"/>
              </w:rPr>
              <w:t>即S=M×(1+Q%)</w:t>
            </w:r>
          </w:p>
          <w:p w14:paraId="6C545034">
            <w:pPr>
              <w:pStyle w:val="6"/>
              <w:spacing w:before="6" w:line="204" w:lineRule="auto"/>
              <w:ind w:left="115" w:firstLine="392"/>
              <w:rPr>
                <w:sz w:val="22"/>
                <w:szCs w:val="22"/>
              </w:rPr>
            </w:pPr>
            <w:r>
              <w:rPr>
                <w:spacing w:val="-5"/>
                <w:sz w:val="22"/>
                <w:szCs w:val="22"/>
              </w:rPr>
              <w:t>Q:为满足条件的联合体或者分包企业报价</w:t>
            </w:r>
            <w:r>
              <w:rPr>
                <w:spacing w:val="7"/>
                <w:sz w:val="22"/>
                <w:szCs w:val="22"/>
              </w:rPr>
              <w:t xml:space="preserve">  </w:t>
            </w:r>
            <w:r>
              <w:rPr>
                <w:spacing w:val="-4"/>
                <w:sz w:val="22"/>
                <w:szCs w:val="22"/>
              </w:rPr>
              <w:t>优惠系数，范围为1-2的整数，由招标人确定。</w:t>
            </w:r>
          </w:p>
        </w:tc>
      </w:tr>
    </w:tbl>
    <w:p w14:paraId="4144484A">
      <w:pPr>
        <w:rPr>
          <w:rFonts w:ascii="Arial"/>
          <w:sz w:val="21"/>
        </w:rPr>
      </w:pPr>
    </w:p>
    <w:p w14:paraId="3B318425">
      <w:pPr>
        <w:rPr>
          <w:rFonts w:ascii="Arial" w:hAnsi="Arial" w:eastAsia="Arial" w:cs="Arial"/>
          <w:sz w:val="21"/>
          <w:szCs w:val="21"/>
        </w:rPr>
        <w:sectPr>
          <w:footerReference r:id="rId54" w:type="default"/>
          <w:pgSz w:w="11910" w:h="16840"/>
          <w:pgMar w:top="1431" w:right="1272" w:bottom="999" w:left="1435" w:header="0" w:footer="857" w:gutter="0"/>
          <w:cols w:space="720" w:num="1"/>
        </w:sectPr>
      </w:pPr>
    </w:p>
    <w:p w14:paraId="185649D2">
      <w:pPr>
        <w:spacing w:before="2"/>
      </w:pPr>
    </w:p>
    <w:tbl>
      <w:tblPr>
        <w:tblStyle w:val="5"/>
        <w:tblW w:w="918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54"/>
        <w:gridCol w:w="1069"/>
        <w:gridCol w:w="2067"/>
        <w:gridCol w:w="729"/>
        <w:gridCol w:w="4570"/>
      </w:tblGrid>
      <w:tr w14:paraId="645774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54" w:hRule="atLeast"/>
        </w:trPr>
        <w:tc>
          <w:tcPr>
            <w:tcW w:w="754" w:type="dxa"/>
            <w:vMerge w:val="restart"/>
            <w:tcBorders>
              <w:bottom w:val="nil"/>
            </w:tcBorders>
            <w:vAlign w:val="top"/>
          </w:tcPr>
          <w:p w14:paraId="4B419A66">
            <w:pPr>
              <w:rPr>
                <w:rFonts w:ascii="Arial"/>
                <w:sz w:val="21"/>
              </w:rPr>
            </w:pPr>
          </w:p>
        </w:tc>
        <w:tc>
          <w:tcPr>
            <w:tcW w:w="1069" w:type="dxa"/>
            <w:vMerge w:val="restart"/>
            <w:tcBorders>
              <w:bottom w:val="nil"/>
            </w:tcBorders>
            <w:vAlign w:val="top"/>
          </w:tcPr>
          <w:p w14:paraId="021D4414">
            <w:pPr>
              <w:rPr>
                <w:rFonts w:ascii="Arial"/>
                <w:sz w:val="21"/>
              </w:rPr>
            </w:pPr>
          </w:p>
        </w:tc>
        <w:tc>
          <w:tcPr>
            <w:tcW w:w="2067" w:type="dxa"/>
            <w:vAlign w:val="top"/>
          </w:tcPr>
          <w:p w14:paraId="1C460EED">
            <w:pPr>
              <w:rPr>
                <w:rFonts w:ascii="Arial"/>
                <w:sz w:val="21"/>
              </w:rPr>
            </w:pPr>
          </w:p>
        </w:tc>
        <w:tc>
          <w:tcPr>
            <w:tcW w:w="729" w:type="dxa"/>
            <w:vAlign w:val="top"/>
          </w:tcPr>
          <w:p w14:paraId="71C53EDF">
            <w:pPr>
              <w:rPr>
                <w:rFonts w:ascii="Arial"/>
                <w:sz w:val="21"/>
              </w:rPr>
            </w:pPr>
          </w:p>
        </w:tc>
        <w:tc>
          <w:tcPr>
            <w:tcW w:w="4570" w:type="dxa"/>
            <w:vAlign w:val="top"/>
          </w:tcPr>
          <w:p w14:paraId="02402E08">
            <w:pPr>
              <w:pStyle w:val="6"/>
              <w:spacing w:before="33" w:line="232" w:lineRule="auto"/>
              <w:ind w:left="125" w:right="355" w:hanging="10"/>
            </w:pPr>
            <w:r>
              <w:rPr>
                <w:spacing w:val="-1"/>
              </w:rPr>
              <w:t>Q的取值见第二章投标人须知前附表第10.2.5</w:t>
            </w:r>
            <w:r>
              <w:rPr>
                <w:spacing w:val="15"/>
              </w:rPr>
              <w:t xml:space="preserve"> </w:t>
            </w:r>
            <w:r>
              <w:rPr>
                <w:spacing w:val="-2"/>
              </w:rPr>
              <w:t>项。</w:t>
            </w:r>
          </w:p>
          <w:p w14:paraId="361F9EB8">
            <w:pPr>
              <w:spacing w:line="242" w:lineRule="auto"/>
              <w:rPr>
                <w:rFonts w:ascii="Arial"/>
                <w:sz w:val="21"/>
              </w:rPr>
            </w:pPr>
          </w:p>
          <w:p w14:paraId="53776082">
            <w:pPr>
              <w:pStyle w:val="6"/>
              <w:spacing w:before="69" w:line="219" w:lineRule="auto"/>
              <w:ind w:left="115"/>
            </w:pPr>
            <w:r>
              <w:t>3.组成联合体或者接受分包的小微企业与联合</w:t>
            </w:r>
          </w:p>
          <w:p w14:paraId="39527DEC">
            <w:pPr>
              <w:pStyle w:val="6"/>
              <w:spacing w:before="11" w:line="224" w:lineRule="auto"/>
              <w:ind w:left="125" w:right="12" w:firstLine="20"/>
            </w:pPr>
            <w:r>
              <w:rPr>
                <w:spacing w:val="-1"/>
              </w:rPr>
              <w:t>体内其他企业、分包企业之间存在直接控股、管</w:t>
            </w:r>
            <w:r>
              <w:rPr>
                <w:spacing w:val="11"/>
              </w:rPr>
              <w:t xml:space="preserve"> </w:t>
            </w:r>
            <w:r>
              <w:rPr>
                <w:spacing w:val="-1"/>
              </w:rPr>
              <w:t>理关系的，不享受价格评审优惠政策。</w:t>
            </w:r>
          </w:p>
        </w:tc>
      </w:tr>
      <w:tr w14:paraId="234434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754" w:type="dxa"/>
            <w:vMerge w:val="continue"/>
            <w:tcBorders>
              <w:top w:val="nil"/>
            </w:tcBorders>
            <w:vAlign w:val="top"/>
          </w:tcPr>
          <w:p w14:paraId="017188C0">
            <w:pPr>
              <w:rPr>
                <w:rFonts w:ascii="Arial"/>
                <w:sz w:val="21"/>
              </w:rPr>
            </w:pPr>
          </w:p>
        </w:tc>
        <w:tc>
          <w:tcPr>
            <w:tcW w:w="1069" w:type="dxa"/>
            <w:vMerge w:val="continue"/>
            <w:tcBorders>
              <w:top w:val="nil"/>
            </w:tcBorders>
            <w:vAlign w:val="top"/>
          </w:tcPr>
          <w:p w14:paraId="79FE00D9">
            <w:pPr>
              <w:rPr>
                <w:rFonts w:ascii="Arial"/>
                <w:sz w:val="21"/>
              </w:rPr>
            </w:pPr>
          </w:p>
        </w:tc>
        <w:tc>
          <w:tcPr>
            <w:tcW w:w="2067" w:type="dxa"/>
            <w:vAlign w:val="top"/>
          </w:tcPr>
          <w:p w14:paraId="6148898A">
            <w:pPr>
              <w:pStyle w:val="6"/>
              <w:spacing w:before="127" w:line="218" w:lineRule="auto"/>
              <w:ind w:left="102"/>
            </w:pPr>
            <w:r>
              <w:rPr>
                <w:spacing w:val="-2"/>
              </w:rPr>
              <w:t>投标报价最终得分</w:t>
            </w:r>
          </w:p>
        </w:tc>
        <w:tc>
          <w:tcPr>
            <w:tcW w:w="729" w:type="dxa"/>
            <w:vAlign w:val="top"/>
          </w:tcPr>
          <w:p w14:paraId="15B1151A">
            <w:pPr>
              <w:rPr>
                <w:rFonts w:ascii="Arial"/>
                <w:sz w:val="21"/>
              </w:rPr>
            </w:pPr>
          </w:p>
        </w:tc>
        <w:tc>
          <w:tcPr>
            <w:tcW w:w="4570" w:type="dxa"/>
            <w:vAlign w:val="top"/>
          </w:tcPr>
          <w:p w14:paraId="0F929358">
            <w:pPr>
              <w:pStyle w:val="6"/>
              <w:spacing w:before="133" w:line="222" w:lineRule="auto"/>
              <w:ind w:left="125"/>
            </w:pPr>
            <w:r>
              <w:rPr>
                <w:spacing w:val="2"/>
              </w:rPr>
              <w:t>S=M×(1+P%)或S=M×(1+Q%)</w:t>
            </w:r>
          </w:p>
        </w:tc>
      </w:tr>
      <w:tr w14:paraId="5BB4B4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9" w:hRule="atLeast"/>
        </w:trPr>
        <w:tc>
          <w:tcPr>
            <w:tcW w:w="754" w:type="dxa"/>
            <w:vAlign w:val="top"/>
          </w:tcPr>
          <w:p w14:paraId="38848834">
            <w:pPr>
              <w:rPr>
                <w:rFonts w:ascii="Arial"/>
                <w:sz w:val="21"/>
              </w:rPr>
            </w:pPr>
          </w:p>
        </w:tc>
        <w:tc>
          <w:tcPr>
            <w:tcW w:w="8435" w:type="dxa"/>
            <w:gridSpan w:val="4"/>
            <w:vAlign w:val="top"/>
          </w:tcPr>
          <w:p w14:paraId="3B9D17DA">
            <w:pPr>
              <w:pStyle w:val="6"/>
              <w:spacing w:before="199" w:line="233" w:lineRule="auto"/>
              <w:ind w:left="120" w:right="322" w:firstLine="10"/>
            </w:pPr>
            <w:r>
              <w:t>通过初步评审的有效投标多于9家时，评标委员会选择投标报价得</w:t>
            </w:r>
            <w:r>
              <w:rPr>
                <w:spacing w:val="-1"/>
              </w:rPr>
              <w:t>分高的前9名的有效投</w:t>
            </w:r>
            <w:r>
              <w:t xml:space="preserve"> 标进行后续详细评审，其他有效投标不再进</w:t>
            </w:r>
            <w:r>
              <w:rPr>
                <w:spacing w:val="-1"/>
              </w:rPr>
              <w:t>行详细评审。</w:t>
            </w:r>
          </w:p>
        </w:tc>
      </w:tr>
      <w:tr w14:paraId="1CC4B6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754" w:type="dxa"/>
            <w:vMerge w:val="restart"/>
            <w:tcBorders>
              <w:bottom w:val="nil"/>
            </w:tcBorders>
            <w:vAlign w:val="top"/>
          </w:tcPr>
          <w:p w14:paraId="2850FF3A">
            <w:pPr>
              <w:spacing w:line="249" w:lineRule="auto"/>
              <w:rPr>
                <w:rFonts w:ascii="Arial"/>
                <w:sz w:val="21"/>
              </w:rPr>
            </w:pPr>
          </w:p>
          <w:p w14:paraId="7F68BA2E">
            <w:pPr>
              <w:spacing w:line="249" w:lineRule="auto"/>
              <w:rPr>
                <w:rFonts w:ascii="Arial"/>
                <w:sz w:val="21"/>
              </w:rPr>
            </w:pPr>
          </w:p>
          <w:p w14:paraId="4C946BF4">
            <w:pPr>
              <w:spacing w:line="249" w:lineRule="auto"/>
              <w:rPr>
                <w:rFonts w:ascii="Arial"/>
                <w:sz w:val="21"/>
              </w:rPr>
            </w:pPr>
          </w:p>
          <w:p w14:paraId="0F093BEC">
            <w:pPr>
              <w:spacing w:line="249" w:lineRule="auto"/>
              <w:rPr>
                <w:rFonts w:ascii="Arial"/>
                <w:sz w:val="21"/>
              </w:rPr>
            </w:pPr>
          </w:p>
          <w:p w14:paraId="76992BBA">
            <w:pPr>
              <w:spacing w:line="250" w:lineRule="auto"/>
              <w:rPr>
                <w:rFonts w:ascii="Arial"/>
                <w:sz w:val="21"/>
              </w:rPr>
            </w:pPr>
          </w:p>
          <w:p w14:paraId="1C73273B">
            <w:pPr>
              <w:spacing w:line="250" w:lineRule="auto"/>
              <w:rPr>
                <w:rFonts w:ascii="Arial"/>
                <w:sz w:val="21"/>
              </w:rPr>
            </w:pPr>
          </w:p>
          <w:p w14:paraId="4ACCA117">
            <w:pPr>
              <w:spacing w:line="250" w:lineRule="auto"/>
              <w:rPr>
                <w:rFonts w:ascii="Arial"/>
                <w:sz w:val="21"/>
              </w:rPr>
            </w:pPr>
          </w:p>
          <w:p w14:paraId="39893500">
            <w:pPr>
              <w:spacing w:line="250" w:lineRule="auto"/>
              <w:rPr>
                <w:rFonts w:ascii="Arial"/>
                <w:sz w:val="21"/>
              </w:rPr>
            </w:pPr>
          </w:p>
          <w:p w14:paraId="0CA139DC">
            <w:pPr>
              <w:spacing w:line="250" w:lineRule="auto"/>
              <w:rPr>
                <w:rFonts w:ascii="Arial"/>
                <w:sz w:val="21"/>
              </w:rPr>
            </w:pPr>
          </w:p>
          <w:p w14:paraId="1F387B8E">
            <w:pPr>
              <w:spacing w:line="250" w:lineRule="auto"/>
              <w:rPr>
                <w:rFonts w:ascii="Arial"/>
                <w:sz w:val="21"/>
              </w:rPr>
            </w:pPr>
          </w:p>
          <w:p w14:paraId="187C7D20">
            <w:pPr>
              <w:spacing w:line="250" w:lineRule="auto"/>
              <w:rPr>
                <w:rFonts w:ascii="Arial"/>
                <w:sz w:val="21"/>
              </w:rPr>
            </w:pPr>
          </w:p>
          <w:p w14:paraId="4BBC69B4">
            <w:pPr>
              <w:spacing w:line="250" w:lineRule="auto"/>
              <w:rPr>
                <w:rFonts w:ascii="Arial"/>
                <w:sz w:val="21"/>
              </w:rPr>
            </w:pPr>
          </w:p>
          <w:p w14:paraId="047A7596">
            <w:pPr>
              <w:spacing w:line="250" w:lineRule="auto"/>
              <w:rPr>
                <w:rFonts w:ascii="Arial"/>
                <w:sz w:val="21"/>
              </w:rPr>
            </w:pPr>
          </w:p>
          <w:p w14:paraId="17A6DB34">
            <w:pPr>
              <w:spacing w:line="250" w:lineRule="auto"/>
              <w:rPr>
                <w:rFonts w:ascii="Arial"/>
                <w:sz w:val="21"/>
              </w:rPr>
            </w:pPr>
          </w:p>
          <w:p w14:paraId="76FAB774">
            <w:pPr>
              <w:spacing w:line="250" w:lineRule="auto"/>
              <w:rPr>
                <w:rFonts w:ascii="Arial"/>
                <w:sz w:val="21"/>
              </w:rPr>
            </w:pPr>
          </w:p>
          <w:p w14:paraId="73D4CF06">
            <w:pPr>
              <w:spacing w:line="250" w:lineRule="auto"/>
              <w:rPr>
                <w:rFonts w:ascii="Arial"/>
                <w:sz w:val="21"/>
              </w:rPr>
            </w:pPr>
          </w:p>
          <w:p w14:paraId="5F024033">
            <w:pPr>
              <w:spacing w:line="250" w:lineRule="auto"/>
              <w:rPr>
                <w:rFonts w:ascii="Arial"/>
                <w:sz w:val="21"/>
              </w:rPr>
            </w:pPr>
          </w:p>
          <w:p w14:paraId="2A70AB1D">
            <w:pPr>
              <w:spacing w:line="250" w:lineRule="auto"/>
              <w:rPr>
                <w:rFonts w:ascii="Arial"/>
                <w:sz w:val="21"/>
              </w:rPr>
            </w:pPr>
          </w:p>
          <w:p w14:paraId="3F1673F8">
            <w:pPr>
              <w:pStyle w:val="6"/>
              <w:spacing w:before="68" w:line="239" w:lineRule="auto"/>
              <w:ind w:left="104"/>
            </w:pPr>
            <w:r>
              <w:rPr>
                <w:spacing w:val="-2"/>
              </w:rPr>
              <w:t>2.2.4</w:t>
            </w:r>
          </w:p>
          <w:p w14:paraId="5D9F3EEB">
            <w:pPr>
              <w:pStyle w:val="6"/>
              <w:spacing w:before="140" w:line="222" w:lineRule="auto"/>
              <w:ind w:left="204"/>
            </w:pPr>
            <w:r>
              <w:rPr>
                <w:spacing w:val="-11"/>
              </w:rPr>
              <w:t>(2)</w:t>
            </w:r>
          </w:p>
        </w:tc>
        <w:tc>
          <w:tcPr>
            <w:tcW w:w="1069" w:type="dxa"/>
            <w:vMerge w:val="restart"/>
            <w:tcBorders>
              <w:bottom w:val="nil"/>
            </w:tcBorders>
            <w:vAlign w:val="top"/>
          </w:tcPr>
          <w:p w14:paraId="0EAB5931">
            <w:pPr>
              <w:spacing w:line="247" w:lineRule="auto"/>
              <w:rPr>
                <w:rFonts w:ascii="Arial"/>
                <w:sz w:val="21"/>
              </w:rPr>
            </w:pPr>
          </w:p>
          <w:p w14:paraId="070A7C9B">
            <w:pPr>
              <w:spacing w:line="247" w:lineRule="auto"/>
              <w:rPr>
                <w:rFonts w:ascii="Arial"/>
                <w:sz w:val="21"/>
              </w:rPr>
            </w:pPr>
          </w:p>
          <w:p w14:paraId="059E5BD5">
            <w:pPr>
              <w:spacing w:line="247" w:lineRule="auto"/>
              <w:rPr>
                <w:rFonts w:ascii="Arial"/>
                <w:sz w:val="21"/>
              </w:rPr>
            </w:pPr>
          </w:p>
          <w:p w14:paraId="1905FAA8">
            <w:pPr>
              <w:spacing w:line="247" w:lineRule="auto"/>
              <w:rPr>
                <w:rFonts w:ascii="Arial"/>
                <w:sz w:val="21"/>
              </w:rPr>
            </w:pPr>
          </w:p>
          <w:p w14:paraId="723A59DA">
            <w:pPr>
              <w:spacing w:line="247" w:lineRule="auto"/>
              <w:rPr>
                <w:rFonts w:ascii="Arial"/>
                <w:sz w:val="21"/>
              </w:rPr>
            </w:pPr>
          </w:p>
          <w:p w14:paraId="686CFAAC">
            <w:pPr>
              <w:spacing w:line="247" w:lineRule="auto"/>
              <w:rPr>
                <w:rFonts w:ascii="Arial"/>
                <w:sz w:val="21"/>
              </w:rPr>
            </w:pPr>
          </w:p>
          <w:p w14:paraId="18BB0779">
            <w:pPr>
              <w:spacing w:line="248" w:lineRule="auto"/>
              <w:rPr>
                <w:rFonts w:ascii="Arial"/>
                <w:sz w:val="21"/>
              </w:rPr>
            </w:pPr>
          </w:p>
          <w:p w14:paraId="392C6BDE">
            <w:pPr>
              <w:spacing w:line="248" w:lineRule="auto"/>
              <w:rPr>
                <w:rFonts w:ascii="Arial"/>
                <w:sz w:val="21"/>
              </w:rPr>
            </w:pPr>
          </w:p>
          <w:p w14:paraId="3E580B5F">
            <w:pPr>
              <w:spacing w:line="248" w:lineRule="auto"/>
              <w:rPr>
                <w:rFonts w:ascii="Arial"/>
                <w:sz w:val="21"/>
              </w:rPr>
            </w:pPr>
          </w:p>
          <w:p w14:paraId="7653C187">
            <w:pPr>
              <w:spacing w:line="248" w:lineRule="auto"/>
              <w:rPr>
                <w:rFonts w:ascii="Arial"/>
                <w:sz w:val="21"/>
              </w:rPr>
            </w:pPr>
          </w:p>
          <w:p w14:paraId="5191BFDF">
            <w:pPr>
              <w:spacing w:line="248" w:lineRule="auto"/>
              <w:rPr>
                <w:rFonts w:ascii="Arial"/>
                <w:sz w:val="21"/>
              </w:rPr>
            </w:pPr>
          </w:p>
          <w:p w14:paraId="18AC4F4B">
            <w:pPr>
              <w:spacing w:line="248" w:lineRule="auto"/>
              <w:rPr>
                <w:rFonts w:ascii="Arial"/>
                <w:sz w:val="21"/>
              </w:rPr>
            </w:pPr>
          </w:p>
          <w:p w14:paraId="3989C4CA">
            <w:pPr>
              <w:spacing w:line="248" w:lineRule="auto"/>
              <w:rPr>
                <w:rFonts w:ascii="Arial"/>
                <w:sz w:val="21"/>
              </w:rPr>
            </w:pPr>
          </w:p>
          <w:p w14:paraId="434998F4">
            <w:pPr>
              <w:spacing w:line="248" w:lineRule="auto"/>
              <w:rPr>
                <w:rFonts w:ascii="Arial"/>
                <w:sz w:val="21"/>
              </w:rPr>
            </w:pPr>
          </w:p>
          <w:p w14:paraId="52D4AA55">
            <w:pPr>
              <w:spacing w:line="248" w:lineRule="auto"/>
              <w:rPr>
                <w:rFonts w:ascii="Arial"/>
                <w:sz w:val="21"/>
              </w:rPr>
            </w:pPr>
          </w:p>
          <w:p w14:paraId="4679E2CC">
            <w:pPr>
              <w:spacing w:line="248" w:lineRule="auto"/>
              <w:rPr>
                <w:rFonts w:ascii="Arial"/>
                <w:sz w:val="21"/>
              </w:rPr>
            </w:pPr>
          </w:p>
          <w:p w14:paraId="6EAD02D1">
            <w:pPr>
              <w:spacing w:line="248" w:lineRule="auto"/>
              <w:rPr>
                <w:rFonts w:ascii="Arial"/>
                <w:sz w:val="21"/>
              </w:rPr>
            </w:pPr>
          </w:p>
          <w:p w14:paraId="2CD742D2">
            <w:pPr>
              <w:pStyle w:val="6"/>
              <w:spacing w:before="69" w:line="222" w:lineRule="auto"/>
              <w:ind w:left="101"/>
            </w:pPr>
            <w:r>
              <w:rPr>
                <w:spacing w:val="-2"/>
              </w:rPr>
              <w:t>施工组织</w:t>
            </w:r>
          </w:p>
          <w:p w14:paraId="2B8DF44E">
            <w:pPr>
              <w:pStyle w:val="6"/>
              <w:spacing w:before="14"/>
              <w:ind w:left="210" w:right="109" w:hanging="109"/>
            </w:pPr>
            <w:r>
              <w:rPr>
                <w:spacing w:val="2"/>
              </w:rPr>
              <w:t>设计评分</w:t>
            </w:r>
            <w:r>
              <w:t xml:space="preserve"> </w:t>
            </w:r>
            <w:r>
              <w:rPr>
                <w:spacing w:val="-5"/>
              </w:rPr>
              <w:t>标</w:t>
            </w:r>
            <w:r>
              <w:rPr>
                <w:spacing w:val="4"/>
              </w:rPr>
              <w:t xml:space="preserve">  </w:t>
            </w:r>
            <w:r>
              <w:rPr>
                <w:spacing w:val="-5"/>
              </w:rPr>
              <w:t>准</w:t>
            </w:r>
          </w:p>
        </w:tc>
        <w:tc>
          <w:tcPr>
            <w:tcW w:w="2067" w:type="dxa"/>
            <w:vMerge w:val="restart"/>
            <w:tcBorders>
              <w:bottom w:val="nil"/>
            </w:tcBorders>
            <w:vAlign w:val="top"/>
          </w:tcPr>
          <w:p w14:paraId="37573DEB">
            <w:pPr>
              <w:spacing w:line="381" w:lineRule="auto"/>
              <w:rPr>
                <w:rFonts w:ascii="Arial"/>
                <w:sz w:val="21"/>
              </w:rPr>
            </w:pPr>
          </w:p>
          <w:p w14:paraId="777FC9BE">
            <w:pPr>
              <w:pStyle w:val="6"/>
              <w:spacing w:before="68" w:line="219" w:lineRule="auto"/>
              <w:ind w:left="102"/>
            </w:pPr>
            <w:r>
              <w:rPr>
                <w:spacing w:val="-3"/>
              </w:rPr>
              <w:t>工程概况</w:t>
            </w:r>
          </w:p>
        </w:tc>
        <w:tc>
          <w:tcPr>
            <w:tcW w:w="729" w:type="dxa"/>
            <w:vMerge w:val="restart"/>
            <w:tcBorders>
              <w:bottom w:val="nil"/>
            </w:tcBorders>
            <w:vAlign w:val="top"/>
          </w:tcPr>
          <w:p w14:paraId="2A438BF6">
            <w:pPr>
              <w:spacing w:line="381" w:lineRule="auto"/>
              <w:rPr>
                <w:rFonts w:ascii="Arial"/>
                <w:sz w:val="21"/>
              </w:rPr>
            </w:pPr>
          </w:p>
          <w:p w14:paraId="5CFEF41E">
            <w:pPr>
              <w:pStyle w:val="6"/>
              <w:spacing w:before="68" w:line="220" w:lineRule="auto"/>
              <w:ind w:left="74"/>
            </w:pPr>
            <w:r>
              <w:rPr>
                <w:spacing w:val="7"/>
              </w:rPr>
              <w:t>1分</w:t>
            </w:r>
          </w:p>
        </w:tc>
        <w:tc>
          <w:tcPr>
            <w:tcW w:w="4570" w:type="dxa"/>
            <w:vAlign w:val="top"/>
          </w:tcPr>
          <w:p w14:paraId="72DBC465">
            <w:pPr>
              <w:pStyle w:val="6"/>
              <w:spacing w:before="52" w:line="229" w:lineRule="auto"/>
              <w:ind w:left="125"/>
            </w:pPr>
            <w:r>
              <w:t xml:space="preserve">描述准确、清晰                      </w:t>
            </w:r>
            <w:r>
              <w:rPr>
                <w:position w:val="1"/>
              </w:rPr>
              <w:t>1分</w:t>
            </w:r>
          </w:p>
        </w:tc>
      </w:tr>
      <w:tr w14:paraId="260371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754" w:type="dxa"/>
            <w:vMerge w:val="continue"/>
            <w:tcBorders>
              <w:top w:val="nil"/>
              <w:bottom w:val="nil"/>
            </w:tcBorders>
            <w:vAlign w:val="top"/>
          </w:tcPr>
          <w:p w14:paraId="6A34069F">
            <w:pPr>
              <w:rPr>
                <w:rFonts w:ascii="Arial"/>
                <w:sz w:val="21"/>
              </w:rPr>
            </w:pPr>
          </w:p>
        </w:tc>
        <w:tc>
          <w:tcPr>
            <w:tcW w:w="1069" w:type="dxa"/>
            <w:vMerge w:val="continue"/>
            <w:tcBorders>
              <w:top w:val="nil"/>
              <w:bottom w:val="nil"/>
            </w:tcBorders>
            <w:vAlign w:val="top"/>
          </w:tcPr>
          <w:p w14:paraId="69576E37">
            <w:pPr>
              <w:rPr>
                <w:rFonts w:ascii="Arial"/>
                <w:sz w:val="21"/>
              </w:rPr>
            </w:pPr>
          </w:p>
        </w:tc>
        <w:tc>
          <w:tcPr>
            <w:tcW w:w="2067" w:type="dxa"/>
            <w:vMerge w:val="continue"/>
            <w:tcBorders>
              <w:top w:val="nil"/>
              <w:bottom w:val="nil"/>
            </w:tcBorders>
            <w:vAlign w:val="top"/>
          </w:tcPr>
          <w:p w14:paraId="63635111">
            <w:pPr>
              <w:rPr>
                <w:rFonts w:ascii="Arial"/>
                <w:sz w:val="21"/>
              </w:rPr>
            </w:pPr>
          </w:p>
        </w:tc>
        <w:tc>
          <w:tcPr>
            <w:tcW w:w="729" w:type="dxa"/>
            <w:vMerge w:val="continue"/>
            <w:tcBorders>
              <w:top w:val="nil"/>
              <w:bottom w:val="nil"/>
            </w:tcBorders>
            <w:vAlign w:val="top"/>
          </w:tcPr>
          <w:p w14:paraId="78D79ADF">
            <w:pPr>
              <w:rPr>
                <w:rFonts w:ascii="Arial"/>
                <w:sz w:val="21"/>
              </w:rPr>
            </w:pPr>
          </w:p>
        </w:tc>
        <w:tc>
          <w:tcPr>
            <w:tcW w:w="4570" w:type="dxa"/>
            <w:vAlign w:val="top"/>
          </w:tcPr>
          <w:p w14:paraId="1BF04FD1">
            <w:pPr>
              <w:pStyle w:val="6"/>
              <w:spacing w:before="70" w:line="220" w:lineRule="auto"/>
              <w:ind w:left="125"/>
            </w:pPr>
            <w:r>
              <w:t>描述基本准确</w:t>
            </w:r>
            <w:r>
              <w:rPr>
                <w:spacing w:val="4"/>
              </w:rPr>
              <w:t xml:space="preserve">                 </w:t>
            </w:r>
            <w:r>
              <w:t>0.9-0.8分</w:t>
            </w:r>
          </w:p>
        </w:tc>
      </w:tr>
      <w:tr w14:paraId="439302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754" w:type="dxa"/>
            <w:vMerge w:val="continue"/>
            <w:tcBorders>
              <w:top w:val="nil"/>
              <w:bottom w:val="nil"/>
            </w:tcBorders>
            <w:vAlign w:val="top"/>
          </w:tcPr>
          <w:p w14:paraId="2310DDD0">
            <w:pPr>
              <w:rPr>
                <w:rFonts w:ascii="Arial"/>
                <w:sz w:val="21"/>
              </w:rPr>
            </w:pPr>
          </w:p>
        </w:tc>
        <w:tc>
          <w:tcPr>
            <w:tcW w:w="1069" w:type="dxa"/>
            <w:vMerge w:val="continue"/>
            <w:tcBorders>
              <w:top w:val="nil"/>
              <w:bottom w:val="nil"/>
            </w:tcBorders>
            <w:vAlign w:val="top"/>
          </w:tcPr>
          <w:p w14:paraId="4E0D2929">
            <w:pPr>
              <w:rPr>
                <w:rFonts w:ascii="Arial"/>
                <w:sz w:val="21"/>
              </w:rPr>
            </w:pPr>
          </w:p>
        </w:tc>
        <w:tc>
          <w:tcPr>
            <w:tcW w:w="2067" w:type="dxa"/>
            <w:vMerge w:val="continue"/>
            <w:tcBorders>
              <w:top w:val="nil"/>
            </w:tcBorders>
            <w:vAlign w:val="top"/>
          </w:tcPr>
          <w:p w14:paraId="449620B1">
            <w:pPr>
              <w:rPr>
                <w:rFonts w:ascii="Arial"/>
                <w:sz w:val="21"/>
              </w:rPr>
            </w:pPr>
          </w:p>
        </w:tc>
        <w:tc>
          <w:tcPr>
            <w:tcW w:w="729" w:type="dxa"/>
            <w:vMerge w:val="continue"/>
            <w:tcBorders>
              <w:top w:val="nil"/>
            </w:tcBorders>
            <w:vAlign w:val="top"/>
          </w:tcPr>
          <w:p w14:paraId="5F6B723C">
            <w:pPr>
              <w:rPr>
                <w:rFonts w:ascii="Arial"/>
                <w:sz w:val="21"/>
              </w:rPr>
            </w:pPr>
          </w:p>
        </w:tc>
        <w:tc>
          <w:tcPr>
            <w:tcW w:w="4570" w:type="dxa"/>
            <w:vAlign w:val="top"/>
          </w:tcPr>
          <w:p w14:paraId="25890FA3">
            <w:pPr>
              <w:pStyle w:val="6"/>
              <w:spacing w:before="92" w:line="220" w:lineRule="auto"/>
              <w:ind w:left="125"/>
            </w:pPr>
            <w:r>
              <w:t>描述不准确</w:t>
            </w:r>
            <w:r>
              <w:rPr>
                <w:spacing w:val="2"/>
              </w:rPr>
              <w:t xml:space="preserve">                         </w:t>
            </w:r>
            <w:r>
              <w:t>0</w:t>
            </w:r>
            <w:r>
              <w:rPr>
                <w:spacing w:val="53"/>
              </w:rPr>
              <w:t xml:space="preserve"> </w:t>
            </w:r>
            <w:r>
              <w:t>分</w:t>
            </w:r>
          </w:p>
        </w:tc>
      </w:tr>
      <w:tr w14:paraId="6D03DF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754" w:type="dxa"/>
            <w:vMerge w:val="continue"/>
            <w:tcBorders>
              <w:top w:val="nil"/>
              <w:bottom w:val="nil"/>
            </w:tcBorders>
            <w:vAlign w:val="top"/>
          </w:tcPr>
          <w:p w14:paraId="399BD697">
            <w:pPr>
              <w:rPr>
                <w:rFonts w:ascii="Arial"/>
                <w:sz w:val="21"/>
              </w:rPr>
            </w:pPr>
          </w:p>
        </w:tc>
        <w:tc>
          <w:tcPr>
            <w:tcW w:w="1069" w:type="dxa"/>
            <w:vMerge w:val="continue"/>
            <w:tcBorders>
              <w:top w:val="nil"/>
              <w:bottom w:val="nil"/>
            </w:tcBorders>
            <w:vAlign w:val="top"/>
          </w:tcPr>
          <w:p w14:paraId="467DFD90">
            <w:pPr>
              <w:rPr>
                <w:rFonts w:ascii="Arial"/>
                <w:sz w:val="21"/>
              </w:rPr>
            </w:pPr>
          </w:p>
        </w:tc>
        <w:tc>
          <w:tcPr>
            <w:tcW w:w="2067" w:type="dxa"/>
            <w:vMerge w:val="restart"/>
            <w:tcBorders>
              <w:bottom w:val="nil"/>
            </w:tcBorders>
            <w:vAlign w:val="top"/>
          </w:tcPr>
          <w:p w14:paraId="5B46BCC6">
            <w:pPr>
              <w:spacing w:line="382" w:lineRule="auto"/>
              <w:rPr>
                <w:rFonts w:ascii="Arial"/>
                <w:sz w:val="21"/>
              </w:rPr>
            </w:pPr>
          </w:p>
          <w:p w14:paraId="39D270FB">
            <w:pPr>
              <w:pStyle w:val="6"/>
              <w:spacing w:before="68" w:line="219" w:lineRule="auto"/>
              <w:ind w:left="102"/>
            </w:pPr>
            <w:r>
              <w:rPr>
                <w:spacing w:val="-2"/>
              </w:rPr>
              <w:t>施工部署</w:t>
            </w:r>
          </w:p>
        </w:tc>
        <w:tc>
          <w:tcPr>
            <w:tcW w:w="729" w:type="dxa"/>
            <w:vMerge w:val="restart"/>
            <w:tcBorders>
              <w:bottom w:val="nil"/>
            </w:tcBorders>
            <w:vAlign w:val="top"/>
          </w:tcPr>
          <w:p w14:paraId="0DF6495A">
            <w:pPr>
              <w:spacing w:line="382" w:lineRule="auto"/>
              <w:rPr>
                <w:rFonts w:ascii="Arial"/>
                <w:sz w:val="21"/>
              </w:rPr>
            </w:pPr>
          </w:p>
          <w:p w14:paraId="64EFFDFE">
            <w:pPr>
              <w:pStyle w:val="6"/>
              <w:spacing w:before="69" w:line="220" w:lineRule="auto"/>
              <w:ind w:left="74"/>
            </w:pPr>
            <w:r>
              <w:rPr>
                <w:spacing w:val="7"/>
              </w:rPr>
              <w:t>1分</w:t>
            </w:r>
          </w:p>
        </w:tc>
        <w:tc>
          <w:tcPr>
            <w:tcW w:w="4570" w:type="dxa"/>
            <w:vAlign w:val="top"/>
          </w:tcPr>
          <w:p w14:paraId="07C0CA88">
            <w:pPr>
              <w:pStyle w:val="6"/>
              <w:spacing w:before="71" w:line="229" w:lineRule="auto"/>
              <w:ind w:left="125"/>
            </w:pPr>
            <w:r>
              <w:t>科学、合理、针对性强                1分</w:t>
            </w:r>
          </w:p>
        </w:tc>
      </w:tr>
      <w:tr w14:paraId="05C7D1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754" w:type="dxa"/>
            <w:vMerge w:val="continue"/>
            <w:tcBorders>
              <w:top w:val="nil"/>
              <w:bottom w:val="nil"/>
            </w:tcBorders>
            <w:vAlign w:val="top"/>
          </w:tcPr>
          <w:p w14:paraId="49677996">
            <w:pPr>
              <w:rPr>
                <w:rFonts w:ascii="Arial"/>
                <w:sz w:val="21"/>
              </w:rPr>
            </w:pPr>
          </w:p>
        </w:tc>
        <w:tc>
          <w:tcPr>
            <w:tcW w:w="1069" w:type="dxa"/>
            <w:vMerge w:val="continue"/>
            <w:tcBorders>
              <w:top w:val="nil"/>
              <w:bottom w:val="nil"/>
            </w:tcBorders>
            <w:vAlign w:val="top"/>
          </w:tcPr>
          <w:p w14:paraId="241D84BD">
            <w:pPr>
              <w:rPr>
                <w:rFonts w:ascii="Arial"/>
                <w:sz w:val="21"/>
              </w:rPr>
            </w:pPr>
          </w:p>
        </w:tc>
        <w:tc>
          <w:tcPr>
            <w:tcW w:w="2067" w:type="dxa"/>
            <w:vMerge w:val="continue"/>
            <w:tcBorders>
              <w:top w:val="nil"/>
              <w:bottom w:val="nil"/>
            </w:tcBorders>
            <w:vAlign w:val="top"/>
          </w:tcPr>
          <w:p w14:paraId="624FE939">
            <w:pPr>
              <w:rPr>
                <w:rFonts w:ascii="Arial"/>
                <w:sz w:val="21"/>
              </w:rPr>
            </w:pPr>
          </w:p>
        </w:tc>
        <w:tc>
          <w:tcPr>
            <w:tcW w:w="729" w:type="dxa"/>
            <w:vMerge w:val="continue"/>
            <w:tcBorders>
              <w:top w:val="nil"/>
              <w:bottom w:val="nil"/>
            </w:tcBorders>
            <w:vAlign w:val="top"/>
          </w:tcPr>
          <w:p w14:paraId="56BE96CF">
            <w:pPr>
              <w:rPr>
                <w:rFonts w:ascii="Arial"/>
                <w:sz w:val="21"/>
              </w:rPr>
            </w:pPr>
          </w:p>
        </w:tc>
        <w:tc>
          <w:tcPr>
            <w:tcW w:w="4570" w:type="dxa"/>
            <w:vAlign w:val="top"/>
          </w:tcPr>
          <w:p w14:paraId="52CE4D06">
            <w:pPr>
              <w:pStyle w:val="6"/>
              <w:spacing w:before="73" w:line="220" w:lineRule="auto"/>
              <w:ind w:left="125"/>
            </w:pPr>
            <w:r>
              <w:rPr>
                <w:spacing w:val="-1"/>
              </w:rPr>
              <w:t>合理、可行</w:t>
            </w:r>
            <w:r>
              <w:rPr>
                <w:spacing w:val="4"/>
              </w:rPr>
              <w:t xml:space="preserve">                   </w:t>
            </w:r>
            <w:r>
              <w:rPr>
                <w:spacing w:val="-1"/>
              </w:rPr>
              <w:t>0.9-0.8分</w:t>
            </w:r>
          </w:p>
        </w:tc>
      </w:tr>
      <w:tr w14:paraId="69AE7D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754" w:type="dxa"/>
            <w:vMerge w:val="continue"/>
            <w:tcBorders>
              <w:top w:val="nil"/>
              <w:bottom w:val="nil"/>
            </w:tcBorders>
            <w:vAlign w:val="top"/>
          </w:tcPr>
          <w:p w14:paraId="62C99C5F">
            <w:pPr>
              <w:rPr>
                <w:rFonts w:ascii="Arial"/>
                <w:sz w:val="21"/>
              </w:rPr>
            </w:pPr>
          </w:p>
        </w:tc>
        <w:tc>
          <w:tcPr>
            <w:tcW w:w="1069" w:type="dxa"/>
            <w:vMerge w:val="continue"/>
            <w:tcBorders>
              <w:top w:val="nil"/>
              <w:bottom w:val="nil"/>
            </w:tcBorders>
            <w:vAlign w:val="top"/>
          </w:tcPr>
          <w:p w14:paraId="1D27ACAC">
            <w:pPr>
              <w:rPr>
                <w:rFonts w:ascii="Arial"/>
                <w:sz w:val="21"/>
              </w:rPr>
            </w:pPr>
          </w:p>
        </w:tc>
        <w:tc>
          <w:tcPr>
            <w:tcW w:w="2067" w:type="dxa"/>
            <w:vMerge w:val="continue"/>
            <w:tcBorders>
              <w:top w:val="nil"/>
            </w:tcBorders>
            <w:vAlign w:val="top"/>
          </w:tcPr>
          <w:p w14:paraId="0632E2B2">
            <w:pPr>
              <w:rPr>
                <w:rFonts w:ascii="Arial"/>
                <w:sz w:val="21"/>
              </w:rPr>
            </w:pPr>
          </w:p>
        </w:tc>
        <w:tc>
          <w:tcPr>
            <w:tcW w:w="729" w:type="dxa"/>
            <w:vMerge w:val="continue"/>
            <w:tcBorders>
              <w:top w:val="nil"/>
            </w:tcBorders>
            <w:vAlign w:val="top"/>
          </w:tcPr>
          <w:p w14:paraId="4710FC10">
            <w:pPr>
              <w:rPr>
                <w:rFonts w:ascii="Arial"/>
                <w:sz w:val="21"/>
              </w:rPr>
            </w:pPr>
          </w:p>
        </w:tc>
        <w:tc>
          <w:tcPr>
            <w:tcW w:w="4570" w:type="dxa"/>
            <w:vAlign w:val="top"/>
          </w:tcPr>
          <w:p w14:paraId="16D9EA66">
            <w:pPr>
              <w:pStyle w:val="6"/>
              <w:spacing w:before="92" w:line="226" w:lineRule="auto"/>
              <w:ind w:left="125"/>
            </w:pPr>
            <w:r>
              <w:t>不可行，不能满足工程需要</w:t>
            </w:r>
            <w:r>
              <w:rPr>
                <w:spacing w:val="5"/>
              </w:rPr>
              <w:t xml:space="preserve">           </w:t>
            </w:r>
            <w:r>
              <w:rPr>
                <w:position w:val="1"/>
              </w:rPr>
              <w:t>0</w:t>
            </w:r>
            <w:r>
              <w:rPr>
                <w:spacing w:val="58"/>
                <w:position w:val="1"/>
              </w:rPr>
              <w:t xml:space="preserve"> </w:t>
            </w:r>
            <w:r>
              <w:rPr>
                <w:position w:val="1"/>
              </w:rPr>
              <w:t>分</w:t>
            </w:r>
          </w:p>
        </w:tc>
      </w:tr>
      <w:tr w14:paraId="0810A1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754" w:type="dxa"/>
            <w:vMerge w:val="continue"/>
            <w:tcBorders>
              <w:top w:val="nil"/>
              <w:bottom w:val="nil"/>
            </w:tcBorders>
            <w:vAlign w:val="top"/>
          </w:tcPr>
          <w:p w14:paraId="30C92AE9">
            <w:pPr>
              <w:rPr>
                <w:rFonts w:ascii="Arial"/>
                <w:sz w:val="21"/>
              </w:rPr>
            </w:pPr>
          </w:p>
        </w:tc>
        <w:tc>
          <w:tcPr>
            <w:tcW w:w="1069" w:type="dxa"/>
            <w:vMerge w:val="continue"/>
            <w:tcBorders>
              <w:top w:val="nil"/>
              <w:bottom w:val="nil"/>
            </w:tcBorders>
            <w:vAlign w:val="top"/>
          </w:tcPr>
          <w:p w14:paraId="10F815D3">
            <w:pPr>
              <w:rPr>
                <w:rFonts w:ascii="Arial"/>
                <w:sz w:val="21"/>
              </w:rPr>
            </w:pPr>
          </w:p>
        </w:tc>
        <w:tc>
          <w:tcPr>
            <w:tcW w:w="2067" w:type="dxa"/>
            <w:vMerge w:val="restart"/>
            <w:tcBorders>
              <w:bottom w:val="nil"/>
            </w:tcBorders>
            <w:vAlign w:val="top"/>
          </w:tcPr>
          <w:p w14:paraId="731C1627">
            <w:pPr>
              <w:spacing w:line="285" w:lineRule="auto"/>
              <w:rPr>
                <w:rFonts w:ascii="Arial"/>
                <w:sz w:val="21"/>
              </w:rPr>
            </w:pPr>
          </w:p>
          <w:p w14:paraId="124273A7">
            <w:pPr>
              <w:spacing w:line="286" w:lineRule="auto"/>
              <w:rPr>
                <w:rFonts w:ascii="Arial"/>
                <w:sz w:val="21"/>
              </w:rPr>
            </w:pPr>
          </w:p>
          <w:p w14:paraId="2B023DA3">
            <w:pPr>
              <w:pStyle w:val="6"/>
              <w:spacing w:before="68" w:line="220" w:lineRule="auto"/>
              <w:ind w:left="102"/>
            </w:pPr>
            <w:r>
              <w:rPr>
                <w:spacing w:val="2"/>
              </w:rPr>
              <w:t>施工进度计划</w:t>
            </w:r>
          </w:p>
        </w:tc>
        <w:tc>
          <w:tcPr>
            <w:tcW w:w="729" w:type="dxa"/>
            <w:vMerge w:val="restart"/>
            <w:tcBorders>
              <w:bottom w:val="nil"/>
            </w:tcBorders>
            <w:vAlign w:val="top"/>
          </w:tcPr>
          <w:p w14:paraId="0CA1F093">
            <w:pPr>
              <w:spacing w:line="285" w:lineRule="auto"/>
              <w:rPr>
                <w:rFonts w:ascii="Arial"/>
                <w:sz w:val="21"/>
              </w:rPr>
            </w:pPr>
          </w:p>
          <w:p w14:paraId="59E75529">
            <w:pPr>
              <w:spacing w:line="286" w:lineRule="auto"/>
              <w:rPr>
                <w:rFonts w:ascii="Arial"/>
                <w:sz w:val="21"/>
              </w:rPr>
            </w:pPr>
          </w:p>
          <w:p w14:paraId="6A1ED72B">
            <w:pPr>
              <w:pStyle w:val="6"/>
              <w:spacing w:before="68" w:line="220" w:lineRule="auto"/>
              <w:ind w:left="74"/>
            </w:pPr>
            <w:r>
              <w:rPr>
                <w:spacing w:val="-6"/>
              </w:rPr>
              <w:t>2</w:t>
            </w:r>
            <w:r>
              <w:rPr>
                <w:spacing w:val="50"/>
              </w:rPr>
              <w:t xml:space="preserve"> </w:t>
            </w:r>
            <w:r>
              <w:rPr>
                <w:spacing w:val="-6"/>
              </w:rPr>
              <w:t>分</w:t>
            </w:r>
          </w:p>
        </w:tc>
        <w:tc>
          <w:tcPr>
            <w:tcW w:w="4570" w:type="dxa"/>
            <w:vAlign w:val="top"/>
          </w:tcPr>
          <w:p w14:paraId="671179BF">
            <w:pPr>
              <w:pStyle w:val="6"/>
              <w:spacing w:before="71" w:line="230" w:lineRule="auto"/>
              <w:ind w:left="125"/>
            </w:pPr>
            <w:r>
              <w:rPr>
                <w:spacing w:val="-1"/>
              </w:rPr>
              <w:t xml:space="preserve">科学、合理、针对性强            </w:t>
            </w:r>
            <w:r>
              <w:rPr>
                <w:spacing w:val="-1"/>
                <w:position w:val="-1"/>
              </w:rPr>
              <w:t>2-1.9分</w:t>
            </w:r>
          </w:p>
        </w:tc>
      </w:tr>
      <w:tr w14:paraId="6FAC45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54" w:type="dxa"/>
            <w:vMerge w:val="continue"/>
            <w:tcBorders>
              <w:top w:val="nil"/>
              <w:bottom w:val="nil"/>
            </w:tcBorders>
            <w:vAlign w:val="top"/>
          </w:tcPr>
          <w:p w14:paraId="328459E4">
            <w:pPr>
              <w:rPr>
                <w:rFonts w:ascii="Arial"/>
                <w:sz w:val="21"/>
              </w:rPr>
            </w:pPr>
          </w:p>
        </w:tc>
        <w:tc>
          <w:tcPr>
            <w:tcW w:w="1069" w:type="dxa"/>
            <w:vMerge w:val="continue"/>
            <w:tcBorders>
              <w:top w:val="nil"/>
              <w:bottom w:val="nil"/>
            </w:tcBorders>
            <w:vAlign w:val="top"/>
          </w:tcPr>
          <w:p w14:paraId="77BC5D51">
            <w:pPr>
              <w:rPr>
                <w:rFonts w:ascii="Arial"/>
                <w:sz w:val="21"/>
              </w:rPr>
            </w:pPr>
          </w:p>
        </w:tc>
        <w:tc>
          <w:tcPr>
            <w:tcW w:w="2067" w:type="dxa"/>
            <w:vMerge w:val="continue"/>
            <w:tcBorders>
              <w:top w:val="nil"/>
              <w:bottom w:val="nil"/>
            </w:tcBorders>
            <w:vAlign w:val="top"/>
          </w:tcPr>
          <w:p w14:paraId="39684EED">
            <w:pPr>
              <w:rPr>
                <w:rFonts w:ascii="Arial"/>
                <w:sz w:val="21"/>
              </w:rPr>
            </w:pPr>
          </w:p>
        </w:tc>
        <w:tc>
          <w:tcPr>
            <w:tcW w:w="729" w:type="dxa"/>
            <w:vMerge w:val="continue"/>
            <w:tcBorders>
              <w:top w:val="nil"/>
              <w:bottom w:val="nil"/>
            </w:tcBorders>
            <w:vAlign w:val="top"/>
          </w:tcPr>
          <w:p w14:paraId="4B1A738B">
            <w:pPr>
              <w:rPr>
                <w:rFonts w:ascii="Arial"/>
                <w:sz w:val="21"/>
              </w:rPr>
            </w:pPr>
          </w:p>
        </w:tc>
        <w:tc>
          <w:tcPr>
            <w:tcW w:w="4570" w:type="dxa"/>
            <w:vAlign w:val="top"/>
          </w:tcPr>
          <w:p w14:paraId="0B61C618">
            <w:pPr>
              <w:pStyle w:val="6"/>
              <w:spacing w:before="74" w:line="220" w:lineRule="auto"/>
              <w:ind w:left="125"/>
            </w:pPr>
            <w:r>
              <w:t>合理、可行、                  1.8-1.6分</w:t>
            </w:r>
          </w:p>
        </w:tc>
      </w:tr>
      <w:tr w14:paraId="2145B0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754" w:type="dxa"/>
            <w:vMerge w:val="continue"/>
            <w:tcBorders>
              <w:top w:val="nil"/>
              <w:bottom w:val="nil"/>
            </w:tcBorders>
            <w:vAlign w:val="top"/>
          </w:tcPr>
          <w:p w14:paraId="5793C3B0">
            <w:pPr>
              <w:rPr>
                <w:rFonts w:ascii="Arial"/>
                <w:sz w:val="21"/>
              </w:rPr>
            </w:pPr>
          </w:p>
        </w:tc>
        <w:tc>
          <w:tcPr>
            <w:tcW w:w="1069" w:type="dxa"/>
            <w:vMerge w:val="continue"/>
            <w:tcBorders>
              <w:top w:val="nil"/>
              <w:bottom w:val="nil"/>
            </w:tcBorders>
            <w:vAlign w:val="top"/>
          </w:tcPr>
          <w:p w14:paraId="4AF012F3">
            <w:pPr>
              <w:rPr>
                <w:rFonts w:ascii="Arial"/>
                <w:sz w:val="21"/>
              </w:rPr>
            </w:pPr>
          </w:p>
        </w:tc>
        <w:tc>
          <w:tcPr>
            <w:tcW w:w="2067" w:type="dxa"/>
            <w:vMerge w:val="continue"/>
            <w:tcBorders>
              <w:top w:val="nil"/>
              <w:bottom w:val="nil"/>
            </w:tcBorders>
            <w:vAlign w:val="top"/>
          </w:tcPr>
          <w:p w14:paraId="7CDFF0ED">
            <w:pPr>
              <w:rPr>
                <w:rFonts w:ascii="Arial"/>
                <w:sz w:val="21"/>
              </w:rPr>
            </w:pPr>
          </w:p>
        </w:tc>
        <w:tc>
          <w:tcPr>
            <w:tcW w:w="729" w:type="dxa"/>
            <w:vMerge w:val="continue"/>
            <w:tcBorders>
              <w:top w:val="nil"/>
              <w:bottom w:val="nil"/>
            </w:tcBorders>
            <w:vAlign w:val="top"/>
          </w:tcPr>
          <w:p w14:paraId="5A1E8C1B">
            <w:pPr>
              <w:rPr>
                <w:rFonts w:ascii="Arial"/>
                <w:sz w:val="21"/>
              </w:rPr>
            </w:pPr>
          </w:p>
        </w:tc>
        <w:tc>
          <w:tcPr>
            <w:tcW w:w="4570" w:type="dxa"/>
            <w:vAlign w:val="top"/>
          </w:tcPr>
          <w:p w14:paraId="19055C8E">
            <w:pPr>
              <w:pStyle w:val="6"/>
              <w:spacing w:before="62" w:line="230" w:lineRule="auto"/>
              <w:ind w:left="125"/>
            </w:pPr>
            <w:r>
              <w:rPr>
                <w:position w:val="1"/>
              </w:rPr>
              <w:t xml:space="preserve">欠合理，基本可行              </w:t>
            </w:r>
            <w:r>
              <w:rPr>
                <w:position w:val="-2"/>
              </w:rPr>
              <w:t>1.5-1.4分</w:t>
            </w:r>
          </w:p>
        </w:tc>
      </w:tr>
      <w:tr w14:paraId="0DFE0D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0" w:hRule="atLeast"/>
        </w:trPr>
        <w:tc>
          <w:tcPr>
            <w:tcW w:w="754" w:type="dxa"/>
            <w:vMerge w:val="continue"/>
            <w:tcBorders>
              <w:top w:val="nil"/>
              <w:bottom w:val="nil"/>
            </w:tcBorders>
            <w:vAlign w:val="top"/>
          </w:tcPr>
          <w:p w14:paraId="47762AD8">
            <w:pPr>
              <w:rPr>
                <w:rFonts w:ascii="Arial"/>
                <w:sz w:val="21"/>
              </w:rPr>
            </w:pPr>
          </w:p>
        </w:tc>
        <w:tc>
          <w:tcPr>
            <w:tcW w:w="1069" w:type="dxa"/>
            <w:vMerge w:val="continue"/>
            <w:tcBorders>
              <w:top w:val="nil"/>
              <w:bottom w:val="nil"/>
            </w:tcBorders>
            <w:vAlign w:val="top"/>
          </w:tcPr>
          <w:p w14:paraId="22308A70">
            <w:pPr>
              <w:rPr>
                <w:rFonts w:ascii="Arial"/>
                <w:sz w:val="21"/>
              </w:rPr>
            </w:pPr>
          </w:p>
        </w:tc>
        <w:tc>
          <w:tcPr>
            <w:tcW w:w="2067" w:type="dxa"/>
            <w:vMerge w:val="continue"/>
            <w:tcBorders>
              <w:top w:val="nil"/>
            </w:tcBorders>
            <w:vAlign w:val="top"/>
          </w:tcPr>
          <w:p w14:paraId="5845E0A6">
            <w:pPr>
              <w:rPr>
                <w:rFonts w:ascii="Arial"/>
                <w:sz w:val="21"/>
              </w:rPr>
            </w:pPr>
          </w:p>
        </w:tc>
        <w:tc>
          <w:tcPr>
            <w:tcW w:w="729" w:type="dxa"/>
            <w:vMerge w:val="continue"/>
            <w:tcBorders>
              <w:top w:val="nil"/>
            </w:tcBorders>
            <w:vAlign w:val="top"/>
          </w:tcPr>
          <w:p w14:paraId="71E3F643">
            <w:pPr>
              <w:rPr>
                <w:rFonts w:ascii="Arial"/>
                <w:sz w:val="21"/>
              </w:rPr>
            </w:pPr>
          </w:p>
        </w:tc>
        <w:tc>
          <w:tcPr>
            <w:tcW w:w="4570" w:type="dxa"/>
            <w:vAlign w:val="top"/>
          </w:tcPr>
          <w:p w14:paraId="4662D500">
            <w:pPr>
              <w:pStyle w:val="6"/>
              <w:spacing w:before="64" w:line="227" w:lineRule="auto"/>
              <w:ind w:left="125"/>
            </w:pPr>
            <w:r>
              <w:rPr>
                <w:spacing w:val="-1"/>
              </w:rPr>
              <w:t>不可行，不能满足招标文件要求</w:t>
            </w:r>
            <w:r>
              <w:rPr>
                <w:spacing w:val="10"/>
              </w:rPr>
              <w:t xml:space="preserve">       </w:t>
            </w:r>
            <w:r>
              <w:rPr>
                <w:spacing w:val="-1"/>
                <w:position w:val="1"/>
              </w:rPr>
              <w:t>0</w:t>
            </w:r>
            <w:r>
              <w:rPr>
                <w:spacing w:val="49"/>
                <w:position w:val="1"/>
              </w:rPr>
              <w:t xml:space="preserve"> </w:t>
            </w:r>
            <w:r>
              <w:rPr>
                <w:spacing w:val="-1"/>
                <w:position w:val="1"/>
              </w:rPr>
              <w:t>分</w:t>
            </w:r>
          </w:p>
        </w:tc>
      </w:tr>
      <w:tr w14:paraId="6C10DD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54" w:type="dxa"/>
            <w:vMerge w:val="continue"/>
            <w:tcBorders>
              <w:top w:val="nil"/>
              <w:bottom w:val="nil"/>
            </w:tcBorders>
            <w:vAlign w:val="top"/>
          </w:tcPr>
          <w:p w14:paraId="495C4D14">
            <w:pPr>
              <w:rPr>
                <w:rFonts w:ascii="Arial"/>
                <w:sz w:val="21"/>
              </w:rPr>
            </w:pPr>
          </w:p>
        </w:tc>
        <w:tc>
          <w:tcPr>
            <w:tcW w:w="1069" w:type="dxa"/>
            <w:vMerge w:val="continue"/>
            <w:tcBorders>
              <w:top w:val="nil"/>
              <w:bottom w:val="nil"/>
            </w:tcBorders>
            <w:vAlign w:val="top"/>
          </w:tcPr>
          <w:p w14:paraId="36EFEE12">
            <w:pPr>
              <w:rPr>
                <w:rFonts w:ascii="Arial"/>
                <w:sz w:val="21"/>
              </w:rPr>
            </w:pPr>
          </w:p>
        </w:tc>
        <w:tc>
          <w:tcPr>
            <w:tcW w:w="2067" w:type="dxa"/>
            <w:vMerge w:val="restart"/>
            <w:tcBorders>
              <w:bottom w:val="nil"/>
            </w:tcBorders>
            <w:vAlign w:val="top"/>
          </w:tcPr>
          <w:p w14:paraId="4E4DD96F">
            <w:pPr>
              <w:spacing w:line="424" w:lineRule="auto"/>
              <w:rPr>
                <w:rFonts w:ascii="Arial"/>
                <w:sz w:val="21"/>
              </w:rPr>
            </w:pPr>
          </w:p>
          <w:p w14:paraId="186D4C63">
            <w:pPr>
              <w:pStyle w:val="6"/>
              <w:spacing w:before="68" w:line="221" w:lineRule="auto"/>
              <w:ind w:left="102"/>
            </w:pPr>
            <w:r>
              <w:rPr>
                <w:spacing w:val="3"/>
              </w:rPr>
              <w:t>施工准备与</w:t>
            </w:r>
          </w:p>
          <w:p w14:paraId="2446E371">
            <w:pPr>
              <w:pStyle w:val="6"/>
              <w:spacing w:before="18" w:line="221" w:lineRule="auto"/>
              <w:ind w:left="102"/>
            </w:pPr>
            <w:r>
              <w:rPr>
                <w:spacing w:val="2"/>
              </w:rPr>
              <w:t>资源配置计划</w:t>
            </w:r>
          </w:p>
        </w:tc>
        <w:tc>
          <w:tcPr>
            <w:tcW w:w="729" w:type="dxa"/>
            <w:vMerge w:val="restart"/>
            <w:tcBorders>
              <w:bottom w:val="nil"/>
            </w:tcBorders>
            <w:vAlign w:val="top"/>
          </w:tcPr>
          <w:p w14:paraId="24A696A7">
            <w:pPr>
              <w:spacing w:line="281" w:lineRule="auto"/>
              <w:rPr>
                <w:rFonts w:ascii="Arial"/>
                <w:sz w:val="21"/>
              </w:rPr>
            </w:pPr>
          </w:p>
          <w:p w14:paraId="38025909">
            <w:pPr>
              <w:spacing w:line="281" w:lineRule="auto"/>
              <w:rPr>
                <w:rFonts w:ascii="Arial"/>
                <w:sz w:val="21"/>
              </w:rPr>
            </w:pPr>
          </w:p>
          <w:p w14:paraId="32D47337">
            <w:pPr>
              <w:pStyle w:val="6"/>
              <w:spacing w:before="68" w:line="220" w:lineRule="auto"/>
              <w:ind w:left="74"/>
            </w:pPr>
            <w:r>
              <w:rPr>
                <w:spacing w:val="7"/>
              </w:rPr>
              <w:t>2分</w:t>
            </w:r>
          </w:p>
        </w:tc>
        <w:tc>
          <w:tcPr>
            <w:tcW w:w="4570" w:type="dxa"/>
            <w:vAlign w:val="top"/>
          </w:tcPr>
          <w:p w14:paraId="1A44A88E">
            <w:pPr>
              <w:pStyle w:val="6"/>
              <w:spacing w:before="73" w:line="220" w:lineRule="auto"/>
              <w:ind w:left="125"/>
            </w:pPr>
            <w:r>
              <w:t>内容完备，合理、针对性强</w:t>
            </w:r>
            <w:r>
              <w:rPr>
                <w:spacing w:val="12"/>
              </w:rPr>
              <w:t xml:space="preserve">       </w:t>
            </w:r>
            <w:r>
              <w:t>2-1.9分</w:t>
            </w:r>
          </w:p>
        </w:tc>
      </w:tr>
      <w:tr w14:paraId="211435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754" w:type="dxa"/>
            <w:vMerge w:val="continue"/>
            <w:tcBorders>
              <w:top w:val="nil"/>
              <w:bottom w:val="nil"/>
            </w:tcBorders>
            <w:vAlign w:val="top"/>
          </w:tcPr>
          <w:p w14:paraId="2AC0BA61">
            <w:pPr>
              <w:rPr>
                <w:rFonts w:ascii="Arial"/>
                <w:sz w:val="21"/>
              </w:rPr>
            </w:pPr>
          </w:p>
        </w:tc>
        <w:tc>
          <w:tcPr>
            <w:tcW w:w="1069" w:type="dxa"/>
            <w:vMerge w:val="continue"/>
            <w:tcBorders>
              <w:top w:val="nil"/>
              <w:bottom w:val="nil"/>
            </w:tcBorders>
            <w:vAlign w:val="top"/>
          </w:tcPr>
          <w:p w14:paraId="4AB6405C">
            <w:pPr>
              <w:rPr>
                <w:rFonts w:ascii="Arial"/>
                <w:sz w:val="21"/>
              </w:rPr>
            </w:pPr>
          </w:p>
        </w:tc>
        <w:tc>
          <w:tcPr>
            <w:tcW w:w="2067" w:type="dxa"/>
            <w:vMerge w:val="continue"/>
            <w:tcBorders>
              <w:top w:val="nil"/>
              <w:bottom w:val="nil"/>
            </w:tcBorders>
            <w:vAlign w:val="top"/>
          </w:tcPr>
          <w:p w14:paraId="45925F67">
            <w:pPr>
              <w:rPr>
                <w:rFonts w:ascii="Arial"/>
                <w:sz w:val="21"/>
              </w:rPr>
            </w:pPr>
          </w:p>
        </w:tc>
        <w:tc>
          <w:tcPr>
            <w:tcW w:w="729" w:type="dxa"/>
            <w:vMerge w:val="continue"/>
            <w:tcBorders>
              <w:top w:val="nil"/>
              <w:bottom w:val="nil"/>
            </w:tcBorders>
            <w:vAlign w:val="top"/>
          </w:tcPr>
          <w:p w14:paraId="19827021">
            <w:pPr>
              <w:rPr>
                <w:rFonts w:ascii="Arial"/>
                <w:sz w:val="21"/>
              </w:rPr>
            </w:pPr>
          </w:p>
        </w:tc>
        <w:tc>
          <w:tcPr>
            <w:tcW w:w="4570" w:type="dxa"/>
            <w:vAlign w:val="top"/>
          </w:tcPr>
          <w:p w14:paraId="0709CDD5">
            <w:pPr>
              <w:pStyle w:val="6"/>
              <w:spacing w:before="83" w:line="220" w:lineRule="auto"/>
              <w:ind w:left="125"/>
            </w:pPr>
            <w:r>
              <w:rPr>
                <w:spacing w:val="1"/>
              </w:rPr>
              <w:t>内容完备，可行</w:t>
            </w:r>
            <w:r>
              <w:t xml:space="preserve">                </w:t>
            </w:r>
            <w:r>
              <w:rPr>
                <w:spacing w:val="1"/>
              </w:rPr>
              <w:t>1.8-1.6分</w:t>
            </w:r>
          </w:p>
        </w:tc>
      </w:tr>
      <w:tr w14:paraId="10F3AA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754" w:type="dxa"/>
            <w:vMerge w:val="continue"/>
            <w:tcBorders>
              <w:top w:val="nil"/>
              <w:bottom w:val="nil"/>
            </w:tcBorders>
            <w:vAlign w:val="top"/>
          </w:tcPr>
          <w:p w14:paraId="2F5B558E">
            <w:pPr>
              <w:rPr>
                <w:rFonts w:ascii="Arial"/>
                <w:sz w:val="21"/>
              </w:rPr>
            </w:pPr>
          </w:p>
        </w:tc>
        <w:tc>
          <w:tcPr>
            <w:tcW w:w="1069" w:type="dxa"/>
            <w:vMerge w:val="continue"/>
            <w:tcBorders>
              <w:top w:val="nil"/>
              <w:bottom w:val="nil"/>
            </w:tcBorders>
            <w:vAlign w:val="top"/>
          </w:tcPr>
          <w:p w14:paraId="2CA227CA">
            <w:pPr>
              <w:rPr>
                <w:rFonts w:ascii="Arial"/>
                <w:sz w:val="21"/>
              </w:rPr>
            </w:pPr>
          </w:p>
        </w:tc>
        <w:tc>
          <w:tcPr>
            <w:tcW w:w="2067" w:type="dxa"/>
            <w:vMerge w:val="continue"/>
            <w:tcBorders>
              <w:top w:val="nil"/>
              <w:bottom w:val="nil"/>
            </w:tcBorders>
            <w:vAlign w:val="top"/>
          </w:tcPr>
          <w:p w14:paraId="6FDD73DA">
            <w:pPr>
              <w:rPr>
                <w:rFonts w:ascii="Arial"/>
                <w:sz w:val="21"/>
              </w:rPr>
            </w:pPr>
          </w:p>
        </w:tc>
        <w:tc>
          <w:tcPr>
            <w:tcW w:w="729" w:type="dxa"/>
            <w:vMerge w:val="continue"/>
            <w:tcBorders>
              <w:top w:val="nil"/>
              <w:bottom w:val="nil"/>
            </w:tcBorders>
            <w:vAlign w:val="top"/>
          </w:tcPr>
          <w:p w14:paraId="4B86D365">
            <w:pPr>
              <w:rPr>
                <w:rFonts w:ascii="Arial"/>
                <w:sz w:val="21"/>
              </w:rPr>
            </w:pPr>
          </w:p>
        </w:tc>
        <w:tc>
          <w:tcPr>
            <w:tcW w:w="4570" w:type="dxa"/>
            <w:vAlign w:val="top"/>
          </w:tcPr>
          <w:p w14:paraId="62381ED9">
            <w:pPr>
              <w:pStyle w:val="6"/>
              <w:spacing w:before="64" w:line="221" w:lineRule="auto"/>
              <w:ind w:left="125"/>
            </w:pPr>
            <w:r>
              <w:rPr>
                <w:position w:val="1"/>
              </w:rPr>
              <w:t>内容欠完备，基本可行</w:t>
            </w:r>
            <w:r>
              <w:rPr>
                <w:spacing w:val="12"/>
                <w:position w:val="1"/>
              </w:rPr>
              <w:t xml:space="preserve">         </w:t>
            </w:r>
            <w:r>
              <w:rPr>
                <w:position w:val="-2"/>
              </w:rPr>
              <w:t>1.5-1.4分</w:t>
            </w:r>
          </w:p>
        </w:tc>
      </w:tr>
      <w:tr w14:paraId="03B5A1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754" w:type="dxa"/>
            <w:vMerge w:val="continue"/>
            <w:tcBorders>
              <w:top w:val="nil"/>
              <w:bottom w:val="nil"/>
            </w:tcBorders>
            <w:vAlign w:val="top"/>
          </w:tcPr>
          <w:p w14:paraId="7178E709">
            <w:pPr>
              <w:rPr>
                <w:rFonts w:ascii="Arial"/>
                <w:sz w:val="21"/>
              </w:rPr>
            </w:pPr>
          </w:p>
        </w:tc>
        <w:tc>
          <w:tcPr>
            <w:tcW w:w="1069" w:type="dxa"/>
            <w:vMerge w:val="continue"/>
            <w:tcBorders>
              <w:top w:val="nil"/>
              <w:bottom w:val="nil"/>
            </w:tcBorders>
            <w:vAlign w:val="top"/>
          </w:tcPr>
          <w:p w14:paraId="0699685B">
            <w:pPr>
              <w:rPr>
                <w:rFonts w:ascii="Arial"/>
                <w:sz w:val="21"/>
              </w:rPr>
            </w:pPr>
          </w:p>
        </w:tc>
        <w:tc>
          <w:tcPr>
            <w:tcW w:w="2067" w:type="dxa"/>
            <w:vMerge w:val="continue"/>
            <w:tcBorders>
              <w:top w:val="nil"/>
            </w:tcBorders>
            <w:vAlign w:val="top"/>
          </w:tcPr>
          <w:p w14:paraId="2375FDA2">
            <w:pPr>
              <w:rPr>
                <w:rFonts w:ascii="Arial"/>
                <w:sz w:val="21"/>
              </w:rPr>
            </w:pPr>
          </w:p>
        </w:tc>
        <w:tc>
          <w:tcPr>
            <w:tcW w:w="729" w:type="dxa"/>
            <w:vMerge w:val="continue"/>
            <w:tcBorders>
              <w:top w:val="nil"/>
            </w:tcBorders>
            <w:vAlign w:val="top"/>
          </w:tcPr>
          <w:p w14:paraId="0E1FD45A">
            <w:pPr>
              <w:rPr>
                <w:rFonts w:ascii="Arial"/>
                <w:sz w:val="21"/>
              </w:rPr>
            </w:pPr>
          </w:p>
        </w:tc>
        <w:tc>
          <w:tcPr>
            <w:tcW w:w="4570" w:type="dxa"/>
            <w:vAlign w:val="top"/>
          </w:tcPr>
          <w:p w14:paraId="2CCE03F4">
            <w:pPr>
              <w:pStyle w:val="6"/>
              <w:spacing w:before="65" w:line="220" w:lineRule="auto"/>
              <w:ind w:left="125"/>
            </w:pPr>
            <w:r>
              <w:t>不可行</w:t>
            </w:r>
            <w:r>
              <w:rPr>
                <w:spacing w:val="2"/>
              </w:rPr>
              <w:t xml:space="preserve">                             </w:t>
            </w:r>
            <w:r>
              <w:t>0</w:t>
            </w:r>
            <w:r>
              <w:rPr>
                <w:spacing w:val="55"/>
              </w:rPr>
              <w:t xml:space="preserve"> </w:t>
            </w:r>
            <w:r>
              <w:t>分</w:t>
            </w:r>
          </w:p>
        </w:tc>
      </w:tr>
      <w:tr w14:paraId="22B040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754" w:type="dxa"/>
            <w:vMerge w:val="continue"/>
            <w:tcBorders>
              <w:top w:val="nil"/>
              <w:bottom w:val="nil"/>
            </w:tcBorders>
            <w:vAlign w:val="top"/>
          </w:tcPr>
          <w:p w14:paraId="61025253">
            <w:pPr>
              <w:rPr>
                <w:rFonts w:ascii="Arial"/>
                <w:sz w:val="21"/>
              </w:rPr>
            </w:pPr>
          </w:p>
        </w:tc>
        <w:tc>
          <w:tcPr>
            <w:tcW w:w="1069" w:type="dxa"/>
            <w:vMerge w:val="continue"/>
            <w:tcBorders>
              <w:top w:val="nil"/>
              <w:bottom w:val="nil"/>
            </w:tcBorders>
            <w:vAlign w:val="top"/>
          </w:tcPr>
          <w:p w14:paraId="708DB606">
            <w:pPr>
              <w:rPr>
                <w:rFonts w:ascii="Arial"/>
                <w:sz w:val="21"/>
              </w:rPr>
            </w:pPr>
          </w:p>
        </w:tc>
        <w:tc>
          <w:tcPr>
            <w:tcW w:w="2067" w:type="dxa"/>
            <w:vMerge w:val="restart"/>
            <w:tcBorders>
              <w:bottom w:val="nil"/>
            </w:tcBorders>
            <w:vAlign w:val="top"/>
          </w:tcPr>
          <w:p w14:paraId="51A939C2">
            <w:pPr>
              <w:spacing w:line="286" w:lineRule="auto"/>
              <w:rPr>
                <w:rFonts w:ascii="Arial"/>
                <w:sz w:val="21"/>
              </w:rPr>
            </w:pPr>
          </w:p>
          <w:p w14:paraId="1E8E07BC">
            <w:pPr>
              <w:spacing w:line="287" w:lineRule="auto"/>
              <w:rPr>
                <w:rFonts w:ascii="Arial"/>
                <w:sz w:val="21"/>
              </w:rPr>
            </w:pPr>
          </w:p>
          <w:p w14:paraId="1FD43BD3">
            <w:pPr>
              <w:pStyle w:val="6"/>
              <w:spacing w:before="68" w:line="220" w:lineRule="auto"/>
              <w:ind w:left="102"/>
            </w:pPr>
            <w:r>
              <w:rPr>
                <w:spacing w:val="1"/>
              </w:rPr>
              <w:t>主要施工方案</w:t>
            </w:r>
          </w:p>
        </w:tc>
        <w:tc>
          <w:tcPr>
            <w:tcW w:w="729" w:type="dxa"/>
            <w:vMerge w:val="restart"/>
            <w:tcBorders>
              <w:bottom w:val="nil"/>
            </w:tcBorders>
            <w:vAlign w:val="top"/>
          </w:tcPr>
          <w:p w14:paraId="5868E1C9">
            <w:pPr>
              <w:spacing w:line="286" w:lineRule="auto"/>
              <w:rPr>
                <w:rFonts w:ascii="Arial"/>
                <w:sz w:val="21"/>
              </w:rPr>
            </w:pPr>
          </w:p>
          <w:p w14:paraId="4E9F9926">
            <w:pPr>
              <w:spacing w:line="287" w:lineRule="auto"/>
              <w:rPr>
                <w:rFonts w:ascii="Arial"/>
                <w:sz w:val="21"/>
              </w:rPr>
            </w:pPr>
          </w:p>
          <w:p w14:paraId="386C465A">
            <w:pPr>
              <w:pStyle w:val="6"/>
              <w:spacing w:before="68" w:line="220" w:lineRule="auto"/>
              <w:ind w:left="74"/>
            </w:pPr>
            <w:r>
              <w:rPr>
                <w:spacing w:val="7"/>
              </w:rPr>
              <w:t>5分</w:t>
            </w:r>
          </w:p>
        </w:tc>
        <w:tc>
          <w:tcPr>
            <w:tcW w:w="4570" w:type="dxa"/>
            <w:vAlign w:val="top"/>
          </w:tcPr>
          <w:p w14:paraId="73E9AA2F">
            <w:pPr>
              <w:pStyle w:val="6"/>
              <w:spacing w:before="83" w:line="220" w:lineRule="auto"/>
              <w:ind w:left="125"/>
            </w:pPr>
            <w:r>
              <w:rPr>
                <w:spacing w:val="-1"/>
              </w:rPr>
              <w:t>科学、合理、针对性强</w:t>
            </w:r>
            <w:r>
              <w:rPr>
                <w:spacing w:val="8"/>
              </w:rPr>
              <w:t xml:space="preserve">           </w:t>
            </w:r>
            <w:r>
              <w:rPr>
                <w:spacing w:val="-1"/>
              </w:rPr>
              <w:t>5-4.6分</w:t>
            </w:r>
          </w:p>
        </w:tc>
      </w:tr>
      <w:tr w14:paraId="58B400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754" w:type="dxa"/>
            <w:vMerge w:val="continue"/>
            <w:tcBorders>
              <w:top w:val="nil"/>
              <w:bottom w:val="nil"/>
            </w:tcBorders>
            <w:vAlign w:val="top"/>
          </w:tcPr>
          <w:p w14:paraId="39EDBB8C">
            <w:pPr>
              <w:rPr>
                <w:rFonts w:ascii="Arial"/>
                <w:sz w:val="21"/>
              </w:rPr>
            </w:pPr>
          </w:p>
        </w:tc>
        <w:tc>
          <w:tcPr>
            <w:tcW w:w="1069" w:type="dxa"/>
            <w:vMerge w:val="continue"/>
            <w:tcBorders>
              <w:top w:val="nil"/>
              <w:bottom w:val="nil"/>
            </w:tcBorders>
            <w:vAlign w:val="top"/>
          </w:tcPr>
          <w:p w14:paraId="2868A6E1">
            <w:pPr>
              <w:rPr>
                <w:rFonts w:ascii="Arial"/>
                <w:sz w:val="21"/>
              </w:rPr>
            </w:pPr>
          </w:p>
        </w:tc>
        <w:tc>
          <w:tcPr>
            <w:tcW w:w="2067" w:type="dxa"/>
            <w:vMerge w:val="continue"/>
            <w:tcBorders>
              <w:top w:val="nil"/>
              <w:bottom w:val="nil"/>
            </w:tcBorders>
            <w:vAlign w:val="top"/>
          </w:tcPr>
          <w:p w14:paraId="1AD4D4EE">
            <w:pPr>
              <w:rPr>
                <w:rFonts w:ascii="Arial"/>
                <w:sz w:val="21"/>
              </w:rPr>
            </w:pPr>
          </w:p>
        </w:tc>
        <w:tc>
          <w:tcPr>
            <w:tcW w:w="729" w:type="dxa"/>
            <w:vMerge w:val="continue"/>
            <w:tcBorders>
              <w:top w:val="nil"/>
              <w:bottom w:val="nil"/>
            </w:tcBorders>
            <w:vAlign w:val="top"/>
          </w:tcPr>
          <w:p w14:paraId="5877BCFE">
            <w:pPr>
              <w:rPr>
                <w:rFonts w:ascii="Arial"/>
                <w:sz w:val="21"/>
              </w:rPr>
            </w:pPr>
          </w:p>
        </w:tc>
        <w:tc>
          <w:tcPr>
            <w:tcW w:w="4570" w:type="dxa"/>
            <w:vAlign w:val="top"/>
          </w:tcPr>
          <w:p w14:paraId="38B40089">
            <w:pPr>
              <w:pStyle w:val="6"/>
              <w:spacing w:before="65" w:line="229" w:lineRule="auto"/>
              <w:ind w:left="125"/>
            </w:pPr>
            <w:r>
              <w:rPr>
                <w:spacing w:val="-1"/>
              </w:rPr>
              <w:t xml:space="preserve">合理、可行                      </w:t>
            </w:r>
            <w:r>
              <w:rPr>
                <w:spacing w:val="-1"/>
                <w:position w:val="-1"/>
              </w:rPr>
              <w:t>4.5-4分</w:t>
            </w:r>
          </w:p>
        </w:tc>
      </w:tr>
      <w:tr w14:paraId="59CF2E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754" w:type="dxa"/>
            <w:vMerge w:val="continue"/>
            <w:tcBorders>
              <w:top w:val="nil"/>
              <w:bottom w:val="nil"/>
            </w:tcBorders>
            <w:vAlign w:val="top"/>
          </w:tcPr>
          <w:p w14:paraId="03F3EA7B">
            <w:pPr>
              <w:rPr>
                <w:rFonts w:ascii="Arial"/>
                <w:sz w:val="21"/>
              </w:rPr>
            </w:pPr>
          </w:p>
        </w:tc>
        <w:tc>
          <w:tcPr>
            <w:tcW w:w="1069" w:type="dxa"/>
            <w:vMerge w:val="continue"/>
            <w:tcBorders>
              <w:top w:val="nil"/>
              <w:bottom w:val="nil"/>
            </w:tcBorders>
            <w:vAlign w:val="top"/>
          </w:tcPr>
          <w:p w14:paraId="3A765E13">
            <w:pPr>
              <w:rPr>
                <w:rFonts w:ascii="Arial"/>
                <w:sz w:val="21"/>
              </w:rPr>
            </w:pPr>
          </w:p>
        </w:tc>
        <w:tc>
          <w:tcPr>
            <w:tcW w:w="2067" w:type="dxa"/>
            <w:vMerge w:val="continue"/>
            <w:tcBorders>
              <w:top w:val="nil"/>
              <w:bottom w:val="nil"/>
            </w:tcBorders>
            <w:vAlign w:val="top"/>
          </w:tcPr>
          <w:p w14:paraId="0D2F65F9">
            <w:pPr>
              <w:rPr>
                <w:rFonts w:ascii="Arial"/>
                <w:sz w:val="21"/>
              </w:rPr>
            </w:pPr>
          </w:p>
        </w:tc>
        <w:tc>
          <w:tcPr>
            <w:tcW w:w="729" w:type="dxa"/>
            <w:vMerge w:val="continue"/>
            <w:tcBorders>
              <w:top w:val="nil"/>
              <w:bottom w:val="nil"/>
            </w:tcBorders>
            <w:vAlign w:val="top"/>
          </w:tcPr>
          <w:p w14:paraId="13A33037">
            <w:pPr>
              <w:rPr>
                <w:rFonts w:ascii="Arial"/>
                <w:sz w:val="21"/>
              </w:rPr>
            </w:pPr>
          </w:p>
        </w:tc>
        <w:tc>
          <w:tcPr>
            <w:tcW w:w="4570" w:type="dxa"/>
            <w:vAlign w:val="top"/>
          </w:tcPr>
          <w:p w14:paraId="59225E7B">
            <w:pPr>
              <w:pStyle w:val="6"/>
              <w:spacing w:before="74" w:line="220" w:lineRule="auto"/>
              <w:ind w:left="125"/>
            </w:pPr>
            <w:r>
              <w:t>欠合理，基本可行              3.</w:t>
            </w:r>
            <w:r>
              <w:rPr>
                <w:spacing w:val="-1"/>
              </w:rPr>
              <w:t>9-3.5分</w:t>
            </w:r>
          </w:p>
        </w:tc>
      </w:tr>
      <w:tr w14:paraId="70F879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754" w:type="dxa"/>
            <w:vMerge w:val="continue"/>
            <w:tcBorders>
              <w:top w:val="nil"/>
              <w:bottom w:val="nil"/>
            </w:tcBorders>
            <w:vAlign w:val="top"/>
          </w:tcPr>
          <w:p w14:paraId="0A36E407">
            <w:pPr>
              <w:rPr>
                <w:rFonts w:ascii="Arial"/>
                <w:sz w:val="21"/>
              </w:rPr>
            </w:pPr>
          </w:p>
        </w:tc>
        <w:tc>
          <w:tcPr>
            <w:tcW w:w="1069" w:type="dxa"/>
            <w:vMerge w:val="continue"/>
            <w:tcBorders>
              <w:top w:val="nil"/>
              <w:bottom w:val="nil"/>
            </w:tcBorders>
            <w:vAlign w:val="top"/>
          </w:tcPr>
          <w:p w14:paraId="2F4B7893">
            <w:pPr>
              <w:rPr>
                <w:rFonts w:ascii="Arial"/>
                <w:sz w:val="21"/>
              </w:rPr>
            </w:pPr>
          </w:p>
        </w:tc>
        <w:tc>
          <w:tcPr>
            <w:tcW w:w="2067" w:type="dxa"/>
            <w:vMerge w:val="continue"/>
            <w:tcBorders>
              <w:top w:val="nil"/>
            </w:tcBorders>
            <w:vAlign w:val="top"/>
          </w:tcPr>
          <w:p w14:paraId="2C4A483D">
            <w:pPr>
              <w:rPr>
                <w:rFonts w:ascii="Arial"/>
                <w:sz w:val="21"/>
              </w:rPr>
            </w:pPr>
          </w:p>
        </w:tc>
        <w:tc>
          <w:tcPr>
            <w:tcW w:w="729" w:type="dxa"/>
            <w:vMerge w:val="continue"/>
            <w:tcBorders>
              <w:top w:val="nil"/>
            </w:tcBorders>
            <w:vAlign w:val="top"/>
          </w:tcPr>
          <w:p w14:paraId="24A08F38">
            <w:pPr>
              <w:rPr>
                <w:rFonts w:ascii="Arial"/>
                <w:sz w:val="21"/>
              </w:rPr>
            </w:pPr>
          </w:p>
        </w:tc>
        <w:tc>
          <w:tcPr>
            <w:tcW w:w="4570" w:type="dxa"/>
            <w:vAlign w:val="top"/>
          </w:tcPr>
          <w:p w14:paraId="70FDF9F7">
            <w:pPr>
              <w:pStyle w:val="6"/>
              <w:spacing w:before="86" w:line="227" w:lineRule="auto"/>
              <w:ind w:left="125"/>
            </w:pPr>
            <w:r>
              <w:t>不可行，不能满足工程需要</w:t>
            </w:r>
            <w:r>
              <w:rPr>
                <w:spacing w:val="5"/>
              </w:rPr>
              <w:t xml:space="preserve">           </w:t>
            </w:r>
            <w:r>
              <w:t>0</w:t>
            </w:r>
            <w:r>
              <w:rPr>
                <w:spacing w:val="58"/>
              </w:rPr>
              <w:t xml:space="preserve"> </w:t>
            </w:r>
            <w:r>
              <w:t>分</w:t>
            </w:r>
          </w:p>
        </w:tc>
      </w:tr>
      <w:tr w14:paraId="4E6E47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54" w:type="dxa"/>
            <w:vMerge w:val="continue"/>
            <w:tcBorders>
              <w:top w:val="nil"/>
              <w:bottom w:val="nil"/>
            </w:tcBorders>
            <w:vAlign w:val="top"/>
          </w:tcPr>
          <w:p w14:paraId="76D1EAEA">
            <w:pPr>
              <w:rPr>
                <w:rFonts w:ascii="Arial"/>
                <w:sz w:val="21"/>
              </w:rPr>
            </w:pPr>
          </w:p>
        </w:tc>
        <w:tc>
          <w:tcPr>
            <w:tcW w:w="1069" w:type="dxa"/>
            <w:vMerge w:val="continue"/>
            <w:tcBorders>
              <w:top w:val="nil"/>
              <w:bottom w:val="nil"/>
            </w:tcBorders>
            <w:vAlign w:val="top"/>
          </w:tcPr>
          <w:p w14:paraId="724D6812">
            <w:pPr>
              <w:rPr>
                <w:rFonts w:ascii="Arial"/>
                <w:sz w:val="21"/>
              </w:rPr>
            </w:pPr>
          </w:p>
        </w:tc>
        <w:tc>
          <w:tcPr>
            <w:tcW w:w="2067" w:type="dxa"/>
            <w:vMerge w:val="restart"/>
            <w:tcBorders>
              <w:bottom w:val="nil"/>
            </w:tcBorders>
            <w:vAlign w:val="top"/>
          </w:tcPr>
          <w:p w14:paraId="708539A4">
            <w:pPr>
              <w:spacing w:line="281" w:lineRule="auto"/>
              <w:rPr>
                <w:rFonts w:ascii="Arial"/>
                <w:sz w:val="21"/>
              </w:rPr>
            </w:pPr>
          </w:p>
          <w:p w14:paraId="383F684E">
            <w:pPr>
              <w:spacing w:line="282" w:lineRule="auto"/>
              <w:rPr>
                <w:rFonts w:ascii="Arial"/>
                <w:sz w:val="21"/>
              </w:rPr>
            </w:pPr>
          </w:p>
          <w:p w14:paraId="161A53DD">
            <w:pPr>
              <w:pStyle w:val="6"/>
              <w:spacing w:before="68" w:line="219" w:lineRule="auto"/>
              <w:ind w:left="102"/>
            </w:pPr>
            <w:r>
              <w:rPr>
                <w:spacing w:val="-1"/>
              </w:rPr>
              <w:t>施工现场平面布置</w:t>
            </w:r>
          </w:p>
        </w:tc>
        <w:tc>
          <w:tcPr>
            <w:tcW w:w="729" w:type="dxa"/>
            <w:vMerge w:val="restart"/>
            <w:tcBorders>
              <w:bottom w:val="nil"/>
            </w:tcBorders>
            <w:vAlign w:val="top"/>
          </w:tcPr>
          <w:p w14:paraId="669895C4">
            <w:pPr>
              <w:spacing w:line="282" w:lineRule="auto"/>
              <w:rPr>
                <w:rFonts w:ascii="Arial"/>
                <w:sz w:val="21"/>
              </w:rPr>
            </w:pPr>
          </w:p>
          <w:p w14:paraId="0E3553E0">
            <w:pPr>
              <w:spacing w:line="283" w:lineRule="auto"/>
              <w:rPr>
                <w:rFonts w:ascii="Arial"/>
                <w:sz w:val="21"/>
              </w:rPr>
            </w:pPr>
          </w:p>
          <w:p w14:paraId="2AB3D8BA">
            <w:pPr>
              <w:pStyle w:val="6"/>
              <w:spacing w:before="68" w:line="220" w:lineRule="auto"/>
              <w:ind w:left="74"/>
            </w:pPr>
            <w:r>
              <w:rPr>
                <w:spacing w:val="-6"/>
              </w:rPr>
              <w:t>2</w:t>
            </w:r>
            <w:r>
              <w:rPr>
                <w:spacing w:val="50"/>
              </w:rPr>
              <w:t xml:space="preserve"> </w:t>
            </w:r>
            <w:r>
              <w:rPr>
                <w:spacing w:val="-6"/>
              </w:rPr>
              <w:t>分</w:t>
            </w:r>
          </w:p>
        </w:tc>
        <w:tc>
          <w:tcPr>
            <w:tcW w:w="4570" w:type="dxa"/>
            <w:vAlign w:val="top"/>
          </w:tcPr>
          <w:p w14:paraId="02F36410">
            <w:pPr>
              <w:pStyle w:val="6"/>
              <w:spacing w:before="75" w:line="220" w:lineRule="auto"/>
              <w:ind w:left="125"/>
            </w:pPr>
            <w:r>
              <w:rPr>
                <w:spacing w:val="-1"/>
              </w:rPr>
              <w:t>现场布置合理                    2-1.9分</w:t>
            </w:r>
          </w:p>
        </w:tc>
      </w:tr>
      <w:tr w14:paraId="4F6BF1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754" w:type="dxa"/>
            <w:vMerge w:val="continue"/>
            <w:tcBorders>
              <w:top w:val="nil"/>
              <w:bottom w:val="nil"/>
            </w:tcBorders>
            <w:vAlign w:val="top"/>
          </w:tcPr>
          <w:p w14:paraId="4E201132">
            <w:pPr>
              <w:rPr>
                <w:rFonts w:ascii="Arial"/>
                <w:sz w:val="21"/>
              </w:rPr>
            </w:pPr>
          </w:p>
        </w:tc>
        <w:tc>
          <w:tcPr>
            <w:tcW w:w="1069" w:type="dxa"/>
            <w:vMerge w:val="continue"/>
            <w:tcBorders>
              <w:top w:val="nil"/>
              <w:bottom w:val="nil"/>
            </w:tcBorders>
            <w:vAlign w:val="top"/>
          </w:tcPr>
          <w:p w14:paraId="6B20C799">
            <w:pPr>
              <w:rPr>
                <w:rFonts w:ascii="Arial"/>
                <w:sz w:val="21"/>
              </w:rPr>
            </w:pPr>
          </w:p>
        </w:tc>
        <w:tc>
          <w:tcPr>
            <w:tcW w:w="2067" w:type="dxa"/>
            <w:vMerge w:val="continue"/>
            <w:tcBorders>
              <w:top w:val="nil"/>
              <w:bottom w:val="nil"/>
            </w:tcBorders>
            <w:vAlign w:val="top"/>
          </w:tcPr>
          <w:p w14:paraId="57EE226A">
            <w:pPr>
              <w:rPr>
                <w:rFonts w:ascii="Arial"/>
                <w:sz w:val="21"/>
              </w:rPr>
            </w:pPr>
          </w:p>
        </w:tc>
        <w:tc>
          <w:tcPr>
            <w:tcW w:w="729" w:type="dxa"/>
            <w:vMerge w:val="continue"/>
            <w:tcBorders>
              <w:top w:val="nil"/>
              <w:bottom w:val="nil"/>
            </w:tcBorders>
            <w:vAlign w:val="top"/>
          </w:tcPr>
          <w:p w14:paraId="0680E970">
            <w:pPr>
              <w:rPr>
                <w:rFonts w:ascii="Arial"/>
                <w:sz w:val="21"/>
              </w:rPr>
            </w:pPr>
          </w:p>
        </w:tc>
        <w:tc>
          <w:tcPr>
            <w:tcW w:w="4570" w:type="dxa"/>
            <w:vAlign w:val="top"/>
          </w:tcPr>
          <w:p w14:paraId="68FBD209">
            <w:pPr>
              <w:pStyle w:val="6"/>
              <w:spacing w:before="86" w:line="230" w:lineRule="auto"/>
              <w:ind w:left="125"/>
            </w:pPr>
            <w:r>
              <w:rPr>
                <w:spacing w:val="1"/>
              </w:rPr>
              <w:t>现场布置可行</w:t>
            </w:r>
            <w:r>
              <w:rPr>
                <w:spacing w:val="5"/>
              </w:rPr>
              <w:t xml:space="preserve">                 </w:t>
            </w:r>
            <w:r>
              <w:rPr>
                <w:spacing w:val="1"/>
                <w:position w:val="-1"/>
              </w:rPr>
              <w:t>1.8-1.6分</w:t>
            </w:r>
          </w:p>
        </w:tc>
      </w:tr>
      <w:tr w14:paraId="187816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0" w:hRule="atLeast"/>
        </w:trPr>
        <w:tc>
          <w:tcPr>
            <w:tcW w:w="754" w:type="dxa"/>
            <w:vMerge w:val="continue"/>
            <w:tcBorders>
              <w:top w:val="nil"/>
              <w:bottom w:val="nil"/>
            </w:tcBorders>
            <w:vAlign w:val="top"/>
          </w:tcPr>
          <w:p w14:paraId="596A1EE6">
            <w:pPr>
              <w:rPr>
                <w:rFonts w:ascii="Arial"/>
                <w:sz w:val="21"/>
              </w:rPr>
            </w:pPr>
          </w:p>
        </w:tc>
        <w:tc>
          <w:tcPr>
            <w:tcW w:w="1069" w:type="dxa"/>
            <w:vMerge w:val="continue"/>
            <w:tcBorders>
              <w:top w:val="nil"/>
              <w:bottom w:val="nil"/>
            </w:tcBorders>
            <w:vAlign w:val="top"/>
          </w:tcPr>
          <w:p w14:paraId="3DA87901">
            <w:pPr>
              <w:rPr>
                <w:rFonts w:ascii="Arial"/>
                <w:sz w:val="21"/>
              </w:rPr>
            </w:pPr>
          </w:p>
        </w:tc>
        <w:tc>
          <w:tcPr>
            <w:tcW w:w="2067" w:type="dxa"/>
            <w:vMerge w:val="continue"/>
            <w:tcBorders>
              <w:top w:val="nil"/>
              <w:bottom w:val="nil"/>
            </w:tcBorders>
            <w:vAlign w:val="top"/>
          </w:tcPr>
          <w:p w14:paraId="7980949A">
            <w:pPr>
              <w:rPr>
                <w:rFonts w:ascii="Arial"/>
                <w:sz w:val="21"/>
              </w:rPr>
            </w:pPr>
          </w:p>
        </w:tc>
        <w:tc>
          <w:tcPr>
            <w:tcW w:w="729" w:type="dxa"/>
            <w:vMerge w:val="continue"/>
            <w:tcBorders>
              <w:top w:val="nil"/>
              <w:bottom w:val="nil"/>
            </w:tcBorders>
            <w:vAlign w:val="top"/>
          </w:tcPr>
          <w:p w14:paraId="6BC5013A">
            <w:pPr>
              <w:rPr>
                <w:rFonts w:ascii="Arial"/>
                <w:sz w:val="21"/>
              </w:rPr>
            </w:pPr>
          </w:p>
        </w:tc>
        <w:tc>
          <w:tcPr>
            <w:tcW w:w="4570" w:type="dxa"/>
            <w:vAlign w:val="top"/>
          </w:tcPr>
          <w:p w14:paraId="6486AF49">
            <w:pPr>
              <w:pStyle w:val="6"/>
              <w:spacing w:before="86" w:line="220" w:lineRule="auto"/>
              <w:ind w:left="125"/>
            </w:pPr>
            <w:r>
              <w:rPr>
                <w:spacing w:val="1"/>
              </w:rPr>
              <w:t>现场布置基本可行</w:t>
            </w:r>
            <w:r>
              <w:t xml:space="preserve">              </w:t>
            </w:r>
            <w:r>
              <w:rPr>
                <w:spacing w:val="1"/>
              </w:rPr>
              <w:t>1.5-1.4分</w:t>
            </w:r>
          </w:p>
        </w:tc>
      </w:tr>
      <w:tr w14:paraId="4ABF23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54" w:type="dxa"/>
            <w:vMerge w:val="continue"/>
            <w:tcBorders>
              <w:top w:val="nil"/>
              <w:bottom w:val="nil"/>
            </w:tcBorders>
            <w:vAlign w:val="top"/>
          </w:tcPr>
          <w:p w14:paraId="12254D9C">
            <w:pPr>
              <w:rPr>
                <w:rFonts w:ascii="Arial"/>
                <w:sz w:val="21"/>
              </w:rPr>
            </w:pPr>
          </w:p>
        </w:tc>
        <w:tc>
          <w:tcPr>
            <w:tcW w:w="1069" w:type="dxa"/>
            <w:vMerge w:val="continue"/>
            <w:tcBorders>
              <w:top w:val="nil"/>
              <w:bottom w:val="nil"/>
            </w:tcBorders>
            <w:vAlign w:val="top"/>
          </w:tcPr>
          <w:p w14:paraId="2C09A1D0">
            <w:pPr>
              <w:rPr>
                <w:rFonts w:ascii="Arial"/>
                <w:sz w:val="21"/>
              </w:rPr>
            </w:pPr>
          </w:p>
        </w:tc>
        <w:tc>
          <w:tcPr>
            <w:tcW w:w="2067" w:type="dxa"/>
            <w:vMerge w:val="continue"/>
            <w:tcBorders>
              <w:top w:val="nil"/>
            </w:tcBorders>
            <w:vAlign w:val="top"/>
          </w:tcPr>
          <w:p w14:paraId="23833530">
            <w:pPr>
              <w:rPr>
                <w:rFonts w:ascii="Arial"/>
                <w:sz w:val="21"/>
              </w:rPr>
            </w:pPr>
          </w:p>
        </w:tc>
        <w:tc>
          <w:tcPr>
            <w:tcW w:w="729" w:type="dxa"/>
            <w:vMerge w:val="continue"/>
            <w:tcBorders>
              <w:top w:val="nil"/>
            </w:tcBorders>
            <w:vAlign w:val="top"/>
          </w:tcPr>
          <w:p w14:paraId="6F67BA6F">
            <w:pPr>
              <w:rPr>
                <w:rFonts w:ascii="Arial"/>
                <w:sz w:val="21"/>
              </w:rPr>
            </w:pPr>
          </w:p>
        </w:tc>
        <w:tc>
          <w:tcPr>
            <w:tcW w:w="4570" w:type="dxa"/>
            <w:vAlign w:val="top"/>
          </w:tcPr>
          <w:p w14:paraId="1C8B83B9">
            <w:pPr>
              <w:pStyle w:val="6"/>
              <w:spacing w:before="68" w:line="226" w:lineRule="auto"/>
              <w:ind w:left="125"/>
            </w:pPr>
            <w:r>
              <w:t>现场布置不可行</w:t>
            </w:r>
            <w:r>
              <w:rPr>
                <w:spacing w:val="3"/>
              </w:rPr>
              <w:t xml:space="preserve">                     </w:t>
            </w:r>
            <w:r>
              <w:t>0</w:t>
            </w:r>
            <w:r>
              <w:rPr>
                <w:spacing w:val="50"/>
              </w:rPr>
              <w:t xml:space="preserve"> </w:t>
            </w:r>
            <w:r>
              <w:t>分</w:t>
            </w:r>
          </w:p>
        </w:tc>
      </w:tr>
      <w:tr w14:paraId="55BEE7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754" w:type="dxa"/>
            <w:vMerge w:val="continue"/>
            <w:tcBorders>
              <w:top w:val="nil"/>
              <w:bottom w:val="nil"/>
            </w:tcBorders>
            <w:vAlign w:val="top"/>
          </w:tcPr>
          <w:p w14:paraId="3A71D615">
            <w:pPr>
              <w:rPr>
                <w:rFonts w:ascii="Arial"/>
                <w:sz w:val="21"/>
              </w:rPr>
            </w:pPr>
          </w:p>
        </w:tc>
        <w:tc>
          <w:tcPr>
            <w:tcW w:w="1069" w:type="dxa"/>
            <w:vMerge w:val="continue"/>
            <w:tcBorders>
              <w:top w:val="nil"/>
              <w:bottom w:val="nil"/>
            </w:tcBorders>
            <w:vAlign w:val="top"/>
          </w:tcPr>
          <w:p w14:paraId="61044DDF">
            <w:pPr>
              <w:rPr>
                <w:rFonts w:ascii="Arial"/>
                <w:sz w:val="21"/>
              </w:rPr>
            </w:pPr>
          </w:p>
        </w:tc>
        <w:tc>
          <w:tcPr>
            <w:tcW w:w="2067" w:type="dxa"/>
            <w:vMerge w:val="restart"/>
            <w:tcBorders>
              <w:bottom w:val="nil"/>
            </w:tcBorders>
            <w:vAlign w:val="top"/>
          </w:tcPr>
          <w:p w14:paraId="230DC057">
            <w:pPr>
              <w:spacing w:line="283" w:lineRule="auto"/>
              <w:rPr>
                <w:rFonts w:ascii="Arial"/>
                <w:sz w:val="21"/>
              </w:rPr>
            </w:pPr>
          </w:p>
          <w:p w14:paraId="62A0C40E">
            <w:pPr>
              <w:spacing w:line="283" w:lineRule="auto"/>
              <w:rPr>
                <w:rFonts w:ascii="Arial"/>
                <w:sz w:val="21"/>
              </w:rPr>
            </w:pPr>
          </w:p>
          <w:p w14:paraId="0DF528F6">
            <w:pPr>
              <w:pStyle w:val="6"/>
              <w:spacing w:before="68" w:line="219" w:lineRule="auto"/>
              <w:ind w:left="102"/>
            </w:pPr>
            <w:r>
              <w:rPr>
                <w:spacing w:val="1"/>
              </w:rPr>
              <w:t>主要施工管理计划</w:t>
            </w:r>
          </w:p>
        </w:tc>
        <w:tc>
          <w:tcPr>
            <w:tcW w:w="729" w:type="dxa"/>
            <w:vMerge w:val="restart"/>
            <w:tcBorders>
              <w:bottom w:val="nil"/>
            </w:tcBorders>
            <w:vAlign w:val="top"/>
          </w:tcPr>
          <w:p w14:paraId="580C8B45">
            <w:pPr>
              <w:spacing w:line="283" w:lineRule="auto"/>
              <w:rPr>
                <w:rFonts w:ascii="Arial"/>
                <w:sz w:val="21"/>
              </w:rPr>
            </w:pPr>
          </w:p>
          <w:p w14:paraId="4B8285D1">
            <w:pPr>
              <w:spacing w:line="283" w:lineRule="auto"/>
              <w:rPr>
                <w:rFonts w:ascii="Arial"/>
                <w:sz w:val="21"/>
              </w:rPr>
            </w:pPr>
          </w:p>
          <w:p w14:paraId="1EBCE341">
            <w:pPr>
              <w:pStyle w:val="6"/>
              <w:spacing w:before="68" w:line="220" w:lineRule="auto"/>
              <w:ind w:left="74"/>
            </w:pPr>
            <w:r>
              <w:rPr>
                <w:spacing w:val="7"/>
              </w:rPr>
              <w:t>3分</w:t>
            </w:r>
          </w:p>
        </w:tc>
        <w:tc>
          <w:tcPr>
            <w:tcW w:w="4570" w:type="dxa"/>
            <w:vAlign w:val="top"/>
          </w:tcPr>
          <w:p w14:paraId="466DF5EF">
            <w:pPr>
              <w:pStyle w:val="6"/>
              <w:spacing w:before="107" w:line="220" w:lineRule="auto"/>
              <w:ind w:left="125"/>
            </w:pPr>
            <w:r>
              <w:t>内容完备，合理、针对性强</w:t>
            </w:r>
            <w:r>
              <w:rPr>
                <w:spacing w:val="12"/>
              </w:rPr>
              <w:t xml:space="preserve">       </w:t>
            </w:r>
            <w:r>
              <w:t>3-2.8分</w:t>
            </w:r>
          </w:p>
        </w:tc>
      </w:tr>
      <w:tr w14:paraId="4F90AD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754" w:type="dxa"/>
            <w:vMerge w:val="continue"/>
            <w:tcBorders>
              <w:top w:val="nil"/>
              <w:bottom w:val="nil"/>
            </w:tcBorders>
            <w:vAlign w:val="top"/>
          </w:tcPr>
          <w:p w14:paraId="789A425B">
            <w:pPr>
              <w:rPr>
                <w:rFonts w:ascii="Arial"/>
                <w:sz w:val="21"/>
              </w:rPr>
            </w:pPr>
          </w:p>
        </w:tc>
        <w:tc>
          <w:tcPr>
            <w:tcW w:w="1069" w:type="dxa"/>
            <w:vMerge w:val="continue"/>
            <w:tcBorders>
              <w:top w:val="nil"/>
              <w:bottom w:val="nil"/>
            </w:tcBorders>
            <w:vAlign w:val="top"/>
          </w:tcPr>
          <w:p w14:paraId="48CB948E">
            <w:pPr>
              <w:rPr>
                <w:rFonts w:ascii="Arial"/>
                <w:sz w:val="21"/>
              </w:rPr>
            </w:pPr>
          </w:p>
        </w:tc>
        <w:tc>
          <w:tcPr>
            <w:tcW w:w="2067" w:type="dxa"/>
            <w:vMerge w:val="continue"/>
            <w:tcBorders>
              <w:top w:val="nil"/>
              <w:bottom w:val="nil"/>
            </w:tcBorders>
            <w:vAlign w:val="top"/>
          </w:tcPr>
          <w:p w14:paraId="1B99B654">
            <w:pPr>
              <w:rPr>
                <w:rFonts w:ascii="Arial"/>
                <w:sz w:val="21"/>
              </w:rPr>
            </w:pPr>
          </w:p>
        </w:tc>
        <w:tc>
          <w:tcPr>
            <w:tcW w:w="729" w:type="dxa"/>
            <w:vMerge w:val="continue"/>
            <w:tcBorders>
              <w:top w:val="nil"/>
              <w:bottom w:val="nil"/>
            </w:tcBorders>
            <w:vAlign w:val="top"/>
          </w:tcPr>
          <w:p w14:paraId="187D6951">
            <w:pPr>
              <w:rPr>
                <w:rFonts w:ascii="Arial"/>
                <w:sz w:val="21"/>
              </w:rPr>
            </w:pPr>
          </w:p>
        </w:tc>
        <w:tc>
          <w:tcPr>
            <w:tcW w:w="4570" w:type="dxa"/>
            <w:vAlign w:val="top"/>
          </w:tcPr>
          <w:p w14:paraId="0677C15C">
            <w:pPr>
              <w:pStyle w:val="6"/>
              <w:spacing w:before="97" w:line="220" w:lineRule="auto"/>
              <w:ind w:left="125"/>
            </w:pPr>
            <w:r>
              <w:t>内容完备，可行</w:t>
            </w:r>
            <w:r>
              <w:rPr>
                <w:spacing w:val="4"/>
              </w:rPr>
              <w:t xml:space="preserve">               </w:t>
            </w:r>
            <w:r>
              <w:t>2.7-2.4分</w:t>
            </w:r>
          </w:p>
        </w:tc>
      </w:tr>
      <w:tr w14:paraId="703DB3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754" w:type="dxa"/>
            <w:vMerge w:val="continue"/>
            <w:tcBorders>
              <w:top w:val="nil"/>
              <w:bottom w:val="nil"/>
            </w:tcBorders>
            <w:vAlign w:val="top"/>
          </w:tcPr>
          <w:p w14:paraId="63575A62">
            <w:pPr>
              <w:rPr>
                <w:rFonts w:ascii="Arial"/>
                <w:sz w:val="21"/>
              </w:rPr>
            </w:pPr>
          </w:p>
        </w:tc>
        <w:tc>
          <w:tcPr>
            <w:tcW w:w="1069" w:type="dxa"/>
            <w:vMerge w:val="continue"/>
            <w:tcBorders>
              <w:top w:val="nil"/>
              <w:bottom w:val="nil"/>
            </w:tcBorders>
            <w:vAlign w:val="top"/>
          </w:tcPr>
          <w:p w14:paraId="5530C0ED">
            <w:pPr>
              <w:rPr>
                <w:rFonts w:ascii="Arial"/>
                <w:sz w:val="21"/>
              </w:rPr>
            </w:pPr>
          </w:p>
        </w:tc>
        <w:tc>
          <w:tcPr>
            <w:tcW w:w="2067" w:type="dxa"/>
            <w:vMerge w:val="continue"/>
            <w:tcBorders>
              <w:top w:val="nil"/>
              <w:bottom w:val="nil"/>
            </w:tcBorders>
            <w:vAlign w:val="top"/>
          </w:tcPr>
          <w:p w14:paraId="7E76CC45">
            <w:pPr>
              <w:rPr>
                <w:rFonts w:ascii="Arial"/>
                <w:sz w:val="21"/>
              </w:rPr>
            </w:pPr>
          </w:p>
        </w:tc>
        <w:tc>
          <w:tcPr>
            <w:tcW w:w="729" w:type="dxa"/>
            <w:vMerge w:val="continue"/>
            <w:tcBorders>
              <w:top w:val="nil"/>
              <w:bottom w:val="nil"/>
            </w:tcBorders>
            <w:vAlign w:val="top"/>
          </w:tcPr>
          <w:p w14:paraId="40E88745">
            <w:pPr>
              <w:rPr>
                <w:rFonts w:ascii="Arial"/>
                <w:sz w:val="21"/>
              </w:rPr>
            </w:pPr>
          </w:p>
        </w:tc>
        <w:tc>
          <w:tcPr>
            <w:tcW w:w="4570" w:type="dxa"/>
            <w:vAlign w:val="top"/>
          </w:tcPr>
          <w:p w14:paraId="0FA1907F">
            <w:pPr>
              <w:pStyle w:val="6"/>
              <w:spacing w:before="67" w:line="220" w:lineRule="auto"/>
              <w:ind w:left="125"/>
            </w:pPr>
            <w:r>
              <w:t>内容欠完备，基本可行</w:t>
            </w:r>
            <w:r>
              <w:rPr>
                <w:spacing w:val="9"/>
              </w:rPr>
              <w:t xml:space="preserve">         </w:t>
            </w:r>
            <w:r>
              <w:t>2.3-2.1分</w:t>
            </w:r>
          </w:p>
        </w:tc>
      </w:tr>
      <w:tr w14:paraId="00AF81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5" w:hRule="atLeast"/>
        </w:trPr>
        <w:tc>
          <w:tcPr>
            <w:tcW w:w="754" w:type="dxa"/>
            <w:vMerge w:val="continue"/>
            <w:tcBorders>
              <w:top w:val="nil"/>
            </w:tcBorders>
            <w:vAlign w:val="top"/>
          </w:tcPr>
          <w:p w14:paraId="58209DAF">
            <w:pPr>
              <w:rPr>
                <w:rFonts w:ascii="Arial"/>
                <w:sz w:val="21"/>
              </w:rPr>
            </w:pPr>
          </w:p>
        </w:tc>
        <w:tc>
          <w:tcPr>
            <w:tcW w:w="1069" w:type="dxa"/>
            <w:vMerge w:val="continue"/>
            <w:tcBorders>
              <w:top w:val="nil"/>
            </w:tcBorders>
            <w:vAlign w:val="top"/>
          </w:tcPr>
          <w:p w14:paraId="22E9AA5E">
            <w:pPr>
              <w:rPr>
                <w:rFonts w:ascii="Arial"/>
                <w:sz w:val="21"/>
              </w:rPr>
            </w:pPr>
          </w:p>
        </w:tc>
        <w:tc>
          <w:tcPr>
            <w:tcW w:w="2067" w:type="dxa"/>
            <w:vMerge w:val="continue"/>
            <w:tcBorders>
              <w:top w:val="nil"/>
            </w:tcBorders>
            <w:vAlign w:val="top"/>
          </w:tcPr>
          <w:p w14:paraId="172E9CCE">
            <w:pPr>
              <w:rPr>
                <w:rFonts w:ascii="Arial"/>
                <w:sz w:val="21"/>
              </w:rPr>
            </w:pPr>
          </w:p>
        </w:tc>
        <w:tc>
          <w:tcPr>
            <w:tcW w:w="729" w:type="dxa"/>
            <w:vMerge w:val="continue"/>
            <w:tcBorders>
              <w:top w:val="nil"/>
            </w:tcBorders>
            <w:vAlign w:val="top"/>
          </w:tcPr>
          <w:p w14:paraId="655DAA29">
            <w:pPr>
              <w:rPr>
                <w:rFonts w:ascii="Arial"/>
                <w:sz w:val="21"/>
              </w:rPr>
            </w:pPr>
          </w:p>
        </w:tc>
        <w:tc>
          <w:tcPr>
            <w:tcW w:w="4570" w:type="dxa"/>
            <w:vAlign w:val="top"/>
          </w:tcPr>
          <w:p w14:paraId="4E8ECF3D">
            <w:pPr>
              <w:pStyle w:val="6"/>
              <w:spacing w:before="99" w:line="225" w:lineRule="auto"/>
              <w:ind w:left="125"/>
            </w:pPr>
            <w:r>
              <w:rPr>
                <w:spacing w:val="1"/>
              </w:rPr>
              <w:t>不可行</w:t>
            </w:r>
            <w:r>
              <w:rPr>
                <w:spacing w:val="2"/>
              </w:rPr>
              <w:t xml:space="preserve">                             </w:t>
            </w:r>
            <w:r>
              <w:rPr>
                <w:spacing w:val="1"/>
              </w:rPr>
              <w:t>0分</w:t>
            </w:r>
          </w:p>
        </w:tc>
      </w:tr>
    </w:tbl>
    <w:p w14:paraId="54E9F3FF">
      <w:pPr>
        <w:rPr>
          <w:rFonts w:ascii="Arial"/>
          <w:sz w:val="21"/>
        </w:rPr>
      </w:pPr>
    </w:p>
    <w:p w14:paraId="3F6331AA">
      <w:pPr>
        <w:rPr>
          <w:rFonts w:ascii="Arial" w:hAnsi="Arial" w:eastAsia="Arial" w:cs="Arial"/>
          <w:sz w:val="21"/>
          <w:szCs w:val="21"/>
        </w:rPr>
        <w:sectPr>
          <w:footerReference r:id="rId55" w:type="default"/>
          <w:pgSz w:w="11910" w:h="16840"/>
          <w:pgMar w:top="1431" w:right="1274" w:bottom="1001" w:left="1435" w:header="0" w:footer="857" w:gutter="0"/>
          <w:cols w:space="720" w:num="1"/>
        </w:sectPr>
      </w:pPr>
    </w:p>
    <w:p w14:paraId="5650334B">
      <w:pPr>
        <w:spacing w:before="12"/>
      </w:pPr>
    </w:p>
    <w:tbl>
      <w:tblPr>
        <w:tblStyle w:val="5"/>
        <w:tblW w:w="917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4"/>
        <w:gridCol w:w="1069"/>
        <w:gridCol w:w="1438"/>
        <w:gridCol w:w="639"/>
        <w:gridCol w:w="739"/>
        <w:gridCol w:w="4560"/>
      </w:tblGrid>
      <w:tr w14:paraId="74DBCE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03" w:hRule="atLeast"/>
        </w:trPr>
        <w:tc>
          <w:tcPr>
            <w:tcW w:w="734" w:type="dxa"/>
            <w:vMerge w:val="restart"/>
            <w:tcBorders>
              <w:bottom w:val="nil"/>
            </w:tcBorders>
            <w:vAlign w:val="top"/>
          </w:tcPr>
          <w:p w14:paraId="37FB20D4">
            <w:pPr>
              <w:spacing w:line="258" w:lineRule="auto"/>
              <w:rPr>
                <w:rFonts w:ascii="Arial"/>
                <w:sz w:val="21"/>
              </w:rPr>
            </w:pPr>
          </w:p>
          <w:p w14:paraId="007FC8E8">
            <w:pPr>
              <w:spacing w:line="259" w:lineRule="auto"/>
              <w:rPr>
                <w:rFonts w:ascii="Arial"/>
                <w:sz w:val="21"/>
              </w:rPr>
            </w:pPr>
          </w:p>
          <w:p w14:paraId="13E1B117">
            <w:pPr>
              <w:spacing w:line="259" w:lineRule="auto"/>
              <w:rPr>
                <w:rFonts w:ascii="Arial"/>
                <w:sz w:val="21"/>
              </w:rPr>
            </w:pPr>
          </w:p>
          <w:p w14:paraId="491AEE17">
            <w:pPr>
              <w:spacing w:line="259" w:lineRule="auto"/>
              <w:rPr>
                <w:rFonts w:ascii="Arial"/>
                <w:sz w:val="21"/>
              </w:rPr>
            </w:pPr>
          </w:p>
          <w:p w14:paraId="7E490B77">
            <w:pPr>
              <w:spacing w:line="259" w:lineRule="auto"/>
              <w:rPr>
                <w:rFonts w:ascii="Arial"/>
                <w:sz w:val="21"/>
              </w:rPr>
            </w:pPr>
          </w:p>
          <w:p w14:paraId="14B632EB">
            <w:pPr>
              <w:spacing w:line="259" w:lineRule="auto"/>
              <w:rPr>
                <w:rFonts w:ascii="Arial"/>
                <w:sz w:val="21"/>
              </w:rPr>
            </w:pPr>
          </w:p>
          <w:p w14:paraId="39C1BC15">
            <w:pPr>
              <w:spacing w:line="259" w:lineRule="auto"/>
              <w:rPr>
                <w:rFonts w:ascii="Arial"/>
                <w:sz w:val="21"/>
              </w:rPr>
            </w:pPr>
          </w:p>
          <w:p w14:paraId="103A9BF9">
            <w:pPr>
              <w:spacing w:line="259" w:lineRule="auto"/>
              <w:rPr>
                <w:rFonts w:ascii="Arial"/>
                <w:sz w:val="21"/>
              </w:rPr>
            </w:pPr>
          </w:p>
          <w:p w14:paraId="186110FC">
            <w:pPr>
              <w:pStyle w:val="6"/>
              <w:spacing w:before="71" w:line="239" w:lineRule="auto"/>
              <w:ind w:left="84"/>
              <w:rPr>
                <w:sz w:val="22"/>
                <w:szCs w:val="22"/>
              </w:rPr>
            </w:pPr>
            <w:r>
              <w:rPr>
                <w:spacing w:val="-2"/>
                <w:sz w:val="22"/>
                <w:szCs w:val="22"/>
              </w:rPr>
              <w:t>2.2.4</w:t>
            </w:r>
          </w:p>
          <w:p w14:paraId="45A9366E">
            <w:pPr>
              <w:pStyle w:val="6"/>
              <w:spacing w:before="107" w:line="222" w:lineRule="auto"/>
              <w:ind w:left="194"/>
              <w:rPr>
                <w:sz w:val="22"/>
                <w:szCs w:val="22"/>
              </w:rPr>
            </w:pPr>
            <w:r>
              <w:rPr>
                <w:spacing w:val="-11"/>
                <w:sz w:val="22"/>
                <w:szCs w:val="22"/>
              </w:rPr>
              <w:t>(3)</w:t>
            </w:r>
          </w:p>
        </w:tc>
        <w:tc>
          <w:tcPr>
            <w:tcW w:w="1069" w:type="dxa"/>
            <w:vMerge w:val="restart"/>
            <w:tcBorders>
              <w:bottom w:val="nil"/>
            </w:tcBorders>
            <w:vAlign w:val="top"/>
          </w:tcPr>
          <w:p w14:paraId="701E21C8">
            <w:pPr>
              <w:spacing w:line="272" w:lineRule="auto"/>
              <w:rPr>
                <w:rFonts w:ascii="Arial"/>
                <w:sz w:val="21"/>
              </w:rPr>
            </w:pPr>
          </w:p>
          <w:p w14:paraId="77A20676">
            <w:pPr>
              <w:spacing w:line="273" w:lineRule="auto"/>
              <w:rPr>
                <w:rFonts w:ascii="Arial"/>
                <w:sz w:val="21"/>
              </w:rPr>
            </w:pPr>
          </w:p>
          <w:p w14:paraId="674D6929">
            <w:pPr>
              <w:spacing w:line="273" w:lineRule="auto"/>
              <w:rPr>
                <w:rFonts w:ascii="Arial"/>
                <w:sz w:val="21"/>
              </w:rPr>
            </w:pPr>
          </w:p>
          <w:p w14:paraId="4B0DEE19">
            <w:pPr>
              <w:spacing w:line="273" w:lineRule="auto"/>
              <w:rPr>
                <w:rFonts w:ascii="Arial"/>
                <w:sz w:val="21"/>
              </w:rPr>
            </w:pPr>
          </w:p>
          <w:p w14:paraId="634EB992">
            <w:pPr>
              <w:spacing w:line="273" w:lineRule="auto"/>
              <w:rPr>
                <w:rFonts w:ascii="Arial"/>
                <w:sz w:val="21"/>
              </w:rPr>
            </w:pPr>
          </w:p>
          <w:p w14:paraId="50AAEAFB">
            <w:pPr>
              <w:spacing w:line="273" w:lineRule="auto"/>
              <w:rPr>
                <w:rFonts w:ascii="Arial"/>
                <w:sz w:val="21"/>
              </w:rPr>
            </w:pPr>
          </w:p>
          <w:p w14:paraId="33A40235">
            <w:pPr>
              <w:spacing w:line="273" w:lineRule="auto"/>
              <w:rPr>
                <w:rFonts w:ascii="Arial"/>
                <w:sz w:val="21"/>
              </w:rPr>
            </w:pPr>
          </w:p>
          <w:p w14:paraId="3B4D346A">
            <w:pPr>
              <w:pStyle w:val="6"/>
              <w:spacing w:before="72" w:line="219" w:lineRule="auto"/>
              <w:ind w:left="81"/>
              <w:rPr>
                <w:sz w:val="22"/>
                <w:szCs w:val="22"/>
              </w:rPr>
            </w:pPr>
            <w:r>
              <w:rPr>
                <w:spacing w:val="-3"/>
                <w:sz w:val="22"/>
                <w:szCs w:val="22"/>
              </w:rPr>
              <w:t>项目管理</w:t>
            </w:r>
          </w:p>
          <w:p w14:paraId="225ED80A">
            <w:pPr>
              <w:pStyle w:val="6"/>
              <w:spacing w:before="28" w:line="230" w:lineRule="auto"/>
              <w:ind w:left="190" w:right="105" w:hanging="109"/>
              <w:rPr>
                <w:sz w:val="22"/>
                <w:szCs w:val="22"/>
              </w:rPr>
            </w:pPr>
            <w:r>
              <w:rPr>
                <w:spacing w:val="-2"/>
                <w:sz w:val="22"/>
                <w:szCs w:val="22"/>
              </w:rPr>
              <w:t>机构评分</w:t>
            </w:r>
            <w:r>
              <w:rPr>
                <w:sz w:val="22"/>
                <w:szCs w:val="22"/>
              </w:rPr>
              <w:t xml:space="preserve"> </w:t>
            </w:r>
            <w:r>
              <w:rPr>
                <w:spacing w:val="-5"/>
                <w:sz w:val="22"/>
                <w:szCs w:val="22"/>
              </w:rPr>
              <w:t>标</w:t>
            </w:r>
            <w:r>
              <w:rPr>
                <w:spacing w:val="5"/>
                <w:sz w:val="22"/>
                <w:szCs w:val="22"/>
              </w:rPr>
              <w:t xml:space="preserve">  </w:t>
            </w:r>
            <w:r>
              <w:rPr>
                <w:spacing w:val="-5"/>
                <w:sz w:val="22"/>
                <w:szCs w:val="22"/>
              </w:rPr>
              <w:t>准</w:t>
            </w:r>
          </w:p>
        </w:tc>
        <w:tc>
          <w:tcPr>
            <w:tcW w:w="1438" w:type="dxa"/>
            <w:vMerge w:val="restart"/>
            <w:tcBorders>
              <w:bottom w:val="nil"/>
            </w:tcBorders>
            <w:vAlign w:val="top"/>
          </w:tcPr>
          <w:p w14:paraId="4B8CE4D2">
            <w:pPr>
              <w:spacing w:line="299" w:lineRule="auto"/>
              <w:rPr>
                <w:rFonts w:ascii="Arial"/>
                <w:sz w:val="21"/>
              </w:rPr>
            </w:pPr>
          </w:p>
          <w:p w14:paraId="0CA55157">
            <w:pPr>
              <w:spacing w:line="300" w:lineRule="auto"/>
              <w:rPr>
                <w:rFonts w:ascii="Arial"/>
                <w:sz w:val="21"/>
              </w:rPr>
            </w:pPr>
          </w:p>
          <w:p w14:paraId="64D6E1C5">
            <w:pPr>
              <w:pStyle w:val="6"/>
              <w:spacing w:before="72" w:line="220" w:lineRule="auto"/>
              <w:ind w:left="102"/>
              <w:rPr>
                <w:sz w:val="22"/>
                <w:szCs w:val="22"/>
              </w:rPr>
            </w:pPr>
            <w:r>
              <w:rPr>
                <w:spacing w:val="-3"/>
                <w:sz w:val="22"/>
                <w:szCs w:val="22"/>
              </w:rPr>
              <w:t>项目经理</w:t>
            </w:r>
          </w:p>
          <w:p w14:paraId="6636540B">
            <w:pPr>
              <w:pStyle w:val="6"/>
              <w:spacing w:before="7" w:line="219" w:lineRule="auto"/>
              <w:ind w:left="102"/>
              <w:rPr>
                <w:sz w:val="22"/>
                <w:szCs w:val="22"/>
              </w:rPr>
            </w:pPr>
            <w:r>
              <w:rPr>
                <w:spacing w:val="1"/>
                <w:sz w:val="22"/>
                <w:szCs w:val="22"/>
              </w:rPr>
              <w:t>资格与业绩</w:t>
            </w:r>
          </w:p>
        </w:tc>
        <w:tc>
          <w:tcPr>
            <w:tcW w:w="639" w:type="dxa"/>
            <w:vAlign w:val="top"/>
          </w:tcPr>
          <w:p w14:paraId="0D16640E">
            <w:pPr>
              <w:spacing w:line="323" w:lineRule="auto"/>
              <w:rPr>
                <w:rFonts w:ascii="Arial"/>
                <w:sz w:val="21"/>
              </w:rPr>
            </w:pPr>
          </w:p>
          <w:p w14:paraId="73771A04">
            <w:pPr>
              <w:pStyle w:val="6"/>
              <w:spacing w:before="71" w:line="221" w:lineRule="auto"/>
              <w:ind w:left="93"/>
              <w:rPr>
                <w:sz w:val="22"/>
                <w:szCs w:val="22"/>
              </w:rPr>
            </w:pPr>
            <w:bookmarkStart w:id="120" w:name="bookmark248"/>
            <w:bookmarkEnd w:id="120"/>
            <w:r>
              <w:rPr>
                <w:spacing w:val="5"/>
                <w:sz w:val="22"/>
                <w:szCs w:val="22"/>
              </w:rPr>
              <w:t>职称</w:t>
            </w:r>
          </w:p>
        </w:tc>
        <w:tc>
          <w:tcPr>
            <w:tcW w:w="739" w:type="dxa"/>
            <w:vAlign w:val="top"/>
          </w:tcPr>
          <w:p w14:paraId="46C609AA">
            <w:pPr>
              <w:spacing w:line="321" w:lineRule="auto"/>
              <w:rPr>
                <w:rFonts w:ascii="Arial"/>
                <w:sz w:val="21"/>
              </w:rPr>
            </w:pPr>
          </w:p>
          <w:p w14:paraId="0A8F8F98">
            <w:pPr>
              <w:pStyle w:val="6"/>
              <w:spacing w:before="71" w:line="220" w:lineRule="auto"/>
              <w:ind w:left="195"/>
              <w:rPr>
                <w:sz w:val="22"/>
                <w:szCs w:val="22"/>
              </w:rPr>
            </w:pPr>
            <w:r>
              <w:rPr>
                <w:spacing w:val="4"/>
                <w:sz w:val="22"/>
                <w:szCs w:val="22"/>
              </w:rPr>
              <w:t>1分</w:t>
            </w:r>
          </w:p>
        </w:tc>
        <w:tc>
          <w:tcPr>
            <w:tcW w:w="4560" w:type="dxa"/>
            <w:vAlign w:val="top"/>
          </w:tcPr>
          <w:p w14:paraId="24D37610">
            <w:pPr>
              <w:pStyle w:val="6"/>
              <w:spacing w:before="153" w:line="220" w:lineRule="auto"/>
              <w:ind w:left="135"/>
              <w:rPr>
                <w:sz w:val="22"/>
                <w:szCs w:val="22"/>
              </w:rPr>
            </w:pPr>
            <w:r>
              <w:rPr>
                <w:spacing w:val="3"/>
                <w:sz w:val="22"/>
                <w:szCs w:val="22"/>
              </w:rPr>
              <w:t>相关专业中级及以上职称(工程师)</w:t>
            </w:r>
            <w:r>
              <w:rPr>
                <w:spacing w:val="21"/>
                <w:sz w:val="22"/>
                <w:szCs w:val="22"/>
              </w:rPr>
              <w:t xml:space="preserve">   </w:t>
            </w:r>
            <w:r>
              <w:rPr>
                <w:spacing w:val="3"/>
                <w:sz w:val="22"/>
                <w:szCs w:val="22"/>
              </w:rPr>
              <w:t>1分</w:t>
            </w:r>
          </w:p>
          <w:p w14:paraId="29F2EED6">
            <w:pPr>
              <w:pStyle w:val="6"/>
              <w:spacing w:before="7" w:line="202" w:lineRule="auto"/>
              <w:ind w:left="125"/>
              <w:rPr>
                <w:sz w:val="22"/>
                <w:szCs w:val="22"/>
              </w:rPr>
            </w:pPr>
            <w:r>
              <w:rPr>
                <w:spacing w:val="2"/>
                <w:sz w:val="22"/>
                <w:szCs w:val="22"/>
              </w:rPr>
              <w:t>相关专业初级职称(助理工程师)</w:t>
            </w:r>
            <w:r>
              <w:rPr>
                <w:spacing w:val="48"/>
                <w:sz w:val="22"/>
                <w:szCs w:val="22"/>
              </w:rPr>
              <w:t xml:space="preserve">  </w:t>
            </w:r>
            <w:r>
              <w:rPr>
                <w:spacing w:val="2"/>
                <w:sz w:val="22"/>
                <w:szCs w:val="22"/>
              </w:rPr>
              <w:t>0.8分</w:t>
            </w:r>
          </w:p>
          <w:p w14:paraId="0985D7DD">
            <w:pPr>
              <w:pStyle w:val="6"/>
              <w:spacing w:line="228" w:lineRule="auto"/>
              <w:ind w:left="95"/>
              <w:rPr>
                <w:sz w:val="22"/>
                <w:szCs w:val="22"/>
              </w:rPr>
            </w:pPr>
            <w:r>
              <w:rPr>
                <w:spacing w:val="-4"/>
                <w:sz w:val="22"/>
                <w:szCs w:val="22"/>
              </w:rPr>
              <w:t>其他</w:t>
            </w:r>
            <w:r>
              <w:rPr>
                <w:spacing w:val="1"/>
                <w:sz w:val="22"/>
                <w:szCs w:val="22"/>
              </w:rPr>
              <w:t xml:space="preserve">                              </w:t>
            </w:r>
            <w:r>
              <w:rPr>
                <w:spacing w:val="-4"/>
                <w:sz w:val="22"/>
                <w:szCs w:val="22"/>
              </w:rPr>
              <w:t>0分</w:t>
            </w:r>
          </w:p>
        </w:tc>
      </w:tr>
      <w:tr w14:paraId="0455F2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9" w:hRule="atLeast"/>
        </w:trPr>
        <w:tc>
          <w:tcPr>
            <w:tcW w:w="734" w:type="dxa"/>
            <w:vMerge w:val="continue"/>
            <w:tcBorders>
              <w:top w:val="nil"/>
              <w:bottom w:val="nil"/>
            </w:tcBorders>
            <w:vAlign w:val="top"/>
          </w:tcPr>
          <w:p w14:paraId="7B98512C">
            <w:pPr>
              <w:rPr>
                <w:rFonts w:ascii="Arial"/>
                <w:sz w:val="21"/>
              </w:rPr>
            </w:pPr>
          </w:p>
        </w:tc>
        <w:tc>
          <w:tcPr>
            <w:tcW w:w="1069" w:type="dxa"/>
            <w:vMerge w:val="continue"/>
            <w:tcBorders>
              <w:top w:val="nil"/>
              <w:bottom w:val="nil"/>
            </w:tcBorders>
            <w:vAlign w:val="top"/>
          </w:tcPr>
          <w:p w14:paraId="272C81E3">
            <w:pPr>
              <w:rPr>
                <w:rFonts w:ascii="Arial"/>
                <w:sz w:val="21"/>
              </w:rPr>
            </w:pPr>
          </w:p>
        </w:tc>
        <w:tc>
          <w:tcPr>
            <w:tcW w:w="1438" w:type="dxa"/>
            <w:vMerge w:val="continue"/>
            <w:tcBorders>
              <w:top w:val="nil"/>
            </w:tcBorders>
            <w:vAlign w:val="top"/>
          </w:tcPr>
          <w:p w14:paraId="2C1E772C">
            <w:pPr>
              <w:rPr>
                <w:rFonts w:ascii="Arial"/>
                <w:sz w:val="21"/>
              </w:rPr>
            </w:pPr>
          </w:p>
        </w:tc>
        <w:tc>
          <w:tcPr>
            <w:tcW w:w="639" w:type="dxa"/>
            <w:vAlign w:val="top"/>
          </w:tcPr>
          <w:p w14:paraId="1D4D27B2">
            <w:pPr>
              <w:pStyle w:val="6"/>
              <w:spacing w:before="29" w:line="218" w:lineRule="auto"/>
              <w:ind w:left="93" w:right="52"/>
              <w:jc w:val="both"/>
              <w:rPr>
                <w:sz w:val="22"/>
                <w:szCs w:val="22"/>
              </w:rPr>
            </w:pPr>
            <w:r>
              <w:rPr>
                <w:spacing w:val="-5"/>
                <w:sz w:val="22"/>
                <w:szCs w:val="22"/>
              </w:rPr>
              <w:t>类似</w:t>
            </w:r>
            <w:r>
              <w:rPr>
                <w:sz w:val="22"/>
                <w:szCs w:val="22"/>
              </w:rPr>
              <w:t xml:space="preserve"> </w:t>
            </w:r>
            <w:r>
              <w:rPr>
                <w:spacing w:val="-32"/>
                <w:sz w:val="22"/>
                <w:szCs w:val="22"/>
              </w:rPr>
              <w:t>项</w:t>
            </w:r>
            <w:r>
              <w:rPr>
                <w:spacing w:val="-5"/>
                <w:sz w:val="22"/>
                <w:szCs w:val="22"/>
              </w:rPr>
              <w:t xml:space="preserve"> </w:t>
            </w:r>
            <w:r>
              <w:rPr>
                <w:spacing w:val="-32"/>
                <w:sz w:val="22"/>
                <w:szCs w:val="22"/>
              </w:rPr>
              <w:t>目</w:t>
            </w:r>
            <w:r>
              <w:rPr>
                <w:sz w:val="22"/>
                <w:szCs w:val="22"/>
              </w:rPr>
              <w:t xml:space="preserve"> </w:t>
            </w:r>
            <w:r>
              <w:rPr>
                <w:spacing w:val="-2"/>
                <w:sz w:val="22"/>
                <w:szCs w:val="22"/>
              </w:rPr>
              <w:t>业绩</w:t>
            </w:r>
          </w:p>
        </w:tc>
        <w:tc>
          <w:tcPr>
            <w:tcW w:w="739" w:type="dxa"/>
            <w:vAlign w:val="top"/>
          </w:tcPr>
          <w:p w14:paraId="1A7B7FB9">
            <w:pPr>
              <w:pStyle w:val="6"/>
              <w:spacing w:before="301" w:line="220" w:lineRule="auto"/>
              <w:ind w:left="195"/>
              <w:rPr>
                <w:sz w:val="22"/>
                <w:szCs w:val="22"/>
              </w:rPr>
            </w:pPr>
            <w:r>
              <w:rPr>
                <w:spacing w:val="4"/>
                <w:sz w:val="22"/>
                <w:szCs w:val="22"/>
              </w:rPr>
              <w:t>1分</w:t>
            </w:r>
          </w:p>
        </w:tc>
        <w:tc>
          <w:tcPr>
            <w:tcW w:w="4560" w:type="dxa"/>
            <w:vAlign w:val="top"/>
          </w:tcPr>
          <w:p w14:paraId="336E331C">
            <w:pPr>
              <w:pStyle w:val="6"/>
              <w:spacing w:before="301" w:line="219" w:lineRule="auto"/>
              <w:ind w:left="145"/>
              <w:rPr>
                <w:sz w:val="22"/>
                <w:szCs w:val="22"/>
              </w:rPr>
            </w:pPr>
            <w:r>
              <w:rPr>
                <w:spacing w:val="1"/>
                <w:sz w:val="22"/>
                <w:szCs w:val="22"/>
              </w:rPr>
              <w:t>以项目经理身份主持过1个类似项目   1分</w:t>
            </w:r>
          </w:p>
        </w:tc>
      </w:tr>
      <w:tr w14:paraId="59C6DD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9" w:hRule="atLeast"/>
        </w:trPr>
        <w:tc>
          <w:tcPr>
            <w:tcW w:w="734" w:type="dxa"/>
            <w:vMerge w:val="continue"/>
            <w:tcBorders>
              <w:top w:val="nil"/>
              <w:bottom w:val="nil"/>
            </w:tcBorders>
            <w:vAlign w:val="top"/>
          </w:tcPr>
          <w:p w14:paraId="2615375A">
            <w:pPr>
              <w:rPr>
                <w:rFonts w:ascii="Arial"/>
                <w:sz w:val="21"/>
              </w:rPr>
            </w:pPr>
          </w:p>
        </w:tc>
        <w:tc>
          <w:tcPr>
            <w:tcW w:w="1069" w:type="dxa"/>
            <w:vMerge w:val="continue"/>
            <w:tcBorders>
              <w:top w:val="nil"/>
              <w:bottom w:val="nil"/>
            </w:tcBorders>
            <w:vAlign w:val="top"/>
          </w:tcPr>
          <w:p w14:paraId="630AF1D5">
            <w:pPr>
              <w:rPr>
                <w:rFonts w:ascii="Arial"/>
                <w:sz w:val="21"/>
              </w:rPr>
            </w:pPr>
          </w:p>
        </w:tc>
        <w:tc>
          <w:tcPr>
            <w:tcW w:w="1438" w:type="dxa"/>
            <w:vMerge w:val="restart"/>
            <w:tcBorders>
              <w:bottom w:val="nil"/>
            </w:tcBorders>
            <w:vAlign w:val="top"/>
          </w:tcPr>
          <w:p w14:paraId="500B5593">
            <w:pPr>
              <w:spacing w:line="318" w:lineRule="auto"/>
              <w:rPr>
                <w:rFonts w:ascii="Arial"/>
                <w:sz w:val="21"/>
              </w:rPr>
            </w:pPr>
          </w:p>
          <w:p w14:paraId="61EA912F">
            <w:pPr>
              <w:spacing w:line="318" w:lineRule="auto"/>
              <w:rPr>
                <w:rFonts w:ascii="Arial"/>
                <w:sz w:val="21"/>
              </w:rPr>
            </w:pPr>
          </w:p>
          <w:p w14:paraId="0775EB00">
            <w:pPr>
              <w:pStyle w:val="6"/>
              <w:spacing w:before="72" w:line="219" w:lineRule="auto"/>
              <w:ind w:left="102"/>
              <w:rPr>
                <w:sz w:val="22"/>
                <w:szCs w:val="22"/>
              </w:rPr>
            </w:pPr>
            <w:r>
              <w:rPr>
                <w:spacing w:val="-2"/>
                <w:sz w:val="22"/>
                <w:szCs w:val="22"/>
              </w:rPr>
              <w:t>技术负责人</w:t>
            </w:r>
          </w:p>
          <w:p w14:paraId="016CAA97">
            <w:pPr>
              <w:pStyle w:val="6"/>
              <w:spacing w:before="18" w:line="219" w:lineRule="auto"/>
              <w:ind w:left="102"/>
              <w:rPr>
                <w:sz w:val="22"/>
                <w:szCs w:val="22"/>
              </w:rPr>
            </w:pPr>
            <w:r>
              <w:rPr>
                <w:spacing w:val="1"/>
                <w:sz w:val="22"/>
                <w:szCs w:val="22"/>
              </w:rPr>
              <w:t>资格与业绩</w:t>
            </w:r>
          </w:p>
        </w:tc>
        <w:tc>
          <w:tcPr>
            <w:tcW w:w="639" w:type="dxa"/>
            <w:vAlign w:val="top"/>
          </w:tcPr>
          <w:p w14:paraId="569D560F">
            <w:pPr>
              <w:pStyle w:val="6"/>
              <w:spacing w:before="304" w:line="221" w:lineRule="auto"/>
              <w:ind w:left="93"/>
              <w:rPr>
                <w:sz w:val="22"/>
                <w:szCs w:val="22"/>
              </w:rPr>
            </w:pPr>
            <w:r>
              <w:rPr>
                <w:spacing w:val="5"/>
                <w:sz w:val="22"/>
                <w:szCs w:val="22"/>
              </w:rPr>
              <w:t>职称</w:t>
            </w:r>
          </w:p>
        </w:tc>
        <w:tc>
          <w:tcPr>
            <w:tcW w:w="739" w:type="dxa"/>
            <w:vAlign w:val="top"/>
          </w:tcPr>
          <w:p w14:paraId="258E3F2E">
            <w:pPr>
              <w:pStyle w:val="6"/>
              <w:spacing w:before="302" w:line="220" w:lineRule="auto"/>
              <w:ind w:left="195"/>
              <w:rPr>
                <w:sz w:val="22"/>
                <w:szCs w:val="22"/>
              </w:rPr>
            </w:pPr>
            <w:r>
              <w:rPr>
                <w:spacing w:val="4"/>
                <w:sz w:val="22"/>
                <w:szCs w:val="22"/>
              </w:rPr>
              <w:t>1分</w:t>
            </w:r>
          </w:p>
        </w:tc>
        <w:tc>
          <w:tcPr>
            <w:tcW w:w="4560" w:type="dxa"/>
            <w:vAlign w:val="top"/>
          </w:tcPr>
          <w:p w14:paraId="7D4C845A">
            <w:pPr>
              <w:pStyle w:val="6"/>
              <w:spacing w:before="52" w:line="193" w:lineRule="auto"/>
              <w:ind w:left="135"/>
              <w:rPr>
                <w:sz w:val="22"/>
                <w:szCs w:val="22"/>
              </w:rPr>
            </w:pPr>
            <w:r>
              <w:rPr>
                <w:spacing w:val="3"/>
                <w:sz w:val="22"/>
                <w:szCs w:val="22"/>
              </w:rPr>
              <w:t>相关专业中级及以上职称(工程师)</w:t>
            </w:r>
            <w:r>
              <w:rPr>
                <w:spacing w:val="21"/>
                <w:sz w:val="22"/>
                <w:szCs w:val="22"/>
              </w:rPr>
              <w:t xml:space="preserve">   </w:t>
            </w:r>
            <w:r>
              <w:rPr>
                <w:spacing w:val="3"/>
                <w:position w:val="2"/>
                <w:sz w:val="22"/>
                <w:szCs w:val="22"/>
              </w:rPr>
              <w:t>1分</w:t>
            </w:r>
          </w:p>
          <w:p w14:paraId="2F49CE7B">
            <w:pPr>
              <w:pStyle w:val="6"/>
              <w:spacing w:line="209" w:lineRule="auto"/>
              <w:ind w:left="125"/>
              <w:rPr>
                <w:sz w:val="22"/>
                <w:szCs w:val="22"/>
              </w:rPr>
            </w:pPr>
            <w:r>
              <w:rPr>
                <w:spacing w:val="2"/>
                <w:sz w:val="22"/>
                <w:szCs w:val="22"/>
              </w:rPr>
              <w:t>相关专业初级职称(助理工程师)</w:t>
            </w:r>
            <w:r>
              <w:rPr>
                <w:spacing w:val="18"/>
                <w:sz w:val="22"/>
                <w:szCs w:val="22"/>
              </w:rPr>
              <w:t xml:space="preserve">   </w:t>
            </w:r>
            <w:r>
              <w:rPr>
                <w:spacing w:val="2"/>
                <w:position w:val="1"/>
                <w:sz w:val="22"/>
                <w:szCs w:val="22"/>
              </w:rPr>
              <w:t>0.8分</w:t>
            </w:r>
          </w:p>
          <w:p w14:paraId="03697347">
            <w:pPr>
              <w:pStyle w:val="6"/>
              <w:spacing w:before="1" w:line="189" w:lineRule="auto"/>
              <w:ind w:left="95"/>
              <w:rPr>
                <w:sz w:val="22"/>
                <w:szCs w:val="22"/>
              </w:rPr>
            </w:pPr>
            <w:r>
              <w:rPr>
                <w:spacing w:val="-4"/>
                <w:position w:val="1"/>
                <w:sz w:val="22"/>
                <w:szCs w:val="22"/>
              </w:rPr>
              <w:t>其他</w:t>
            </w:r>
            <w:r>
              <w:rPr>
                <w:spacing w:val="1"/>
                <w:position w:val="1"/>
                <w:sz w:val="22"/>
                <w:szCs w:val="22"/>
              </w:rPr>
              <w:t xml:space="preserve">                              </w:t>
            </w:r>
            <w:r>
              <w:rPr>
                <w:spacing w:val="-4"/>
                <w:position w:val="-1"/>
                <w:sz w:val="22"/>
                <w:szCs w:val="22"/>
              </w:rPr>
              <w:t>0分</w:t>
            </w:r>
          </w:p>
        </w:tc>
      </w:tr>
      <w:tr w14:paraId="287434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8" w:hRule="atLeast"/>
        </w:trPr>
        <w:tc>
          <w:tcPr>
            <w:tcW w:w="734" w:type="dxa"/>
            <w:vMerge w:val="continue"/>
            <w:tcBorders>
              <w:top w:val="nil"/>
              <w:bottom w:val="nil"/>
            </w:tcBorders>
            <w:vAlign w:val="top"/>
          </w:tcPr>
          <w:p w14:paraId="3134CA4A">
            <w:pPr>
              <w:rPr>
                <w:rFonts w:ascii="Arial"/>
                <w:sz w:val="21"/>
              </w:rPr>
            </w:pPr>
          </w:p>
        </w:tc>
        <w:tc>
          <w:tcPr>
            <w:tcW w:w="1069" w:type="dxa"/>
            <w:vMerge w:val="continue"/>
            <w:tcBorders>
              <w:top w:val="nil"/>
              <w:bottom w:val="nil"/>
            </w:tcBorders>
            <w:vAlign w:val="top"/>
          </w:tcPr>
          <w:p w14:paraId="401DA0B0">
            <w:pPr>
              <w:rPr>
                <w:rFonts w:ascii="Arial"/>
                <w:sz w:val="21"/>
              </w:rPr>
            </w:pPr>
          </w:p>
        </w:tc>
        <w:tc>
          <w:tcPr>
            <w:tcW w:w="1438" w:type="dxa"/>
            <w:vMerge w:val="continue"/>
            <w:tcBorders>
              <w:top w:val="nil"/>
            </w:tcBorders>
            <w:vAlign w:val="top"/>
          </w:tcPr>
          <w:p w14:paraId="6D84FB42">
            <w:pPr>
              <w:rPr>
                <w:rFonts w:ascii="Arial"/>
                <w:sz w:val="21"/>
              </w:rPr>
            </w:pPr>
          </w:p>
        </w:tc>
        <w:tc>
          <w:tcPr>
            <w:tcW w:w="639" w:type="dxa"/>
            <w:vAlign w:val="top"/>
          </w:tcPr>
          <w:p w14:paraId="2AC2D74A">
            <w:pPr>
              <w:pStyle w:val="6"/>
              <w:spacing w:before="14" w:line="226" w:lineRule="auto"/>
              <w:ind w:left="93" w:right="80"/>
              <w:jc w:val="both"/>
              <w:rPr>
                <w:sz w:val="22"/>
                <w:szCs w:val="22"/>
              </w:rPr>
            </w:pPr>
            <w:r>
              <w:rPr>
                <w:spacing w:val="5"/>
                <w:sz w:val="22"/>
                <w:szCs w:val="22"/>
              </w:rPr>
              <w:t>从事</w:t>
            </w:r>
            <w:r>
              <w:rPr>
                <w:sz w:val="22"/>
                <w:szCs w:val="22"/>
              </w:rPr>
              <w:t xml:space="preserve"> </w:t>
            </w:r>
            <w:r>
              <w:rPr>
                <w:spacing w:val="-5"/>
                <w:sz w:val="22"/>
                <w:szCs w:val="22"/>
              </w:rPr>
              <w:t>专业</w:t>
            </w:r>
            <w:r>
              <w:rPr>
                <w:sz w:val="22"/>
                <w:szCs w:val="22"/>
              </w:rPr>
              <w:t xml:space="preserve"> </w:t>
            </w:r>
            <w:r>
              <w:rPr>
                <w:spacing w:val="7"/>
                <w:sz w:val="22"/>
                <w:szCs w:val="22"/>
              </w:rPr>
              <w:t>工作</w:t>
            </w:r>
          </w:p>
          <w:p w14:paraId="0525313D">
            <w:pPr>
              <w:pStyle w:val="6"/>
              <w:spacing w:line="205" w:lineRule="auto"/>
              <w:ind w:left="93"/>
              <w:rPr>
                <w:sz w:val="22"/>
                <w:szCs w:val="22"/>
              </w:rPr>
            </w:pPr>
            <w:r>
              <w:rPr>
                <w:spacing w:val="6"/>
                <w:sz w:val="22"/>
                <w:szCs w:val="22"/>
              </w:rPr>
              <w:t>年限</w:t>
            </w:r>
          </w:p>
        </w:tc>
        <w:tc>
          <w:tcPr>
            <w:tcW w:w="739" w:type="dxa"/>
            <w:vAlign w:val="top"/>
          </w:tcPr>
          <w:p w14:paraId="7F426E49">
            <w:pPr>
              <w:spacing w:line="360" w:lineRule="auto"/>
              <w:rPr>
                <w:rFonts w:ascii="Arial"/>
                <w:sz w:val="21"/>
              </w:rPr>
            </w:pPr>
          </w:p>
          <w:p w14:paraId="2FEAB304">
            <w:pPr>
              <w:pStyle w:val="6"/>
              <w:spacing w:before="71" w:line="220" w:lineRule="auto"/>
              <w:ind w:left="195"/>
              <w:rPr>
                <w:sz w:val="22"/>
                <w:szCs w:val="22"/>
              </w:rPr>
            </w:pPr>
            <w:r>
              <w:rPr>
                <w:spacing w:val="4"/>
                <w:sz w:val="22"/>
                <w:szCs w:val="22"/>
              </w:rPr>
              <w:t>1分</w:t>
            </w:r>
          </w:p>
        </w:tc>
        <w:tc>
          <w:tcPr>
            <w:tcW w:w="4560" w:type="dxa"/>
            <w:vAlign w:val="top"/>
          </w:tcPr>
          <w:p w14:paraId="12423C30">
            <w:pPr>
              <w:pStyle w:val="6"/>
              <w:spacing w:before="13" w:line="227" w:lineRule="auto"/>
              <w:ind w:left="125"/>
              <w:rPr>
                <w:sz w:val="22"/>
                <w:szCs w:val="22"/>
              </w:rPr>
            </w:pPr>
            <w:r>
              <w:rPr>
                <w:spacing w:val="2"/>
                <w:sz w:val="22"/>
                <w:szCs w:val="22"/>
              </w:rPr>
              <w:t>10年及以上</w:t>
            </w:r>
            <w:r>
              <w:rPr>
                <w:spacing w:val="4"/>
                <w:sz w:val="22"/>
                <w:szCs w:val="22"/>
              </w:rPr>
              <w:t xml:space="preserve">                       </w:t>
            </w:r>
            <w:r>
              <w:rPr>
                <w:spacing w:val="2"/>
                <w:sz w:val="22"/>
                <w:szCs w:val="22"/>
              </w:rPr>
              <w:t>1分</w:t>
            </w:r>
          </w:p>
          <w:p w14:paraId="41E84F31">
            <w:pPr>
              <w:pStyle w:val="6"/>
              <w:spacing w:before="28" w:line="218" w:lineRule="auto"/>
              <w:ind w:left="95"/>
              <w:rPr>
                <w:sz w:val="22"/>
                <w:szCs w:val="22"/>
              </w:rPr>
            </w:pPr>
            <w:r>
              <w:rPr>
                <w:spacing w:val="1"/>
                <w:sz w:val="22"/>
                <w:szCs w:val="22"/>
              </w:rPr>
              <w:t>5年-9年                         0.8分</w:t>
            </w:r>
          </w:p>
          <w:p w14:paraId="3C17AE8E">
            <w:pPr>
              <w:pStyle w:val="6"/>
              <w:spacing w:line="220" w:lineRule="auto"/>
              <w:ind w:left="95"/>
              <w:rPr>
                <w:sz w:val="22"/>
                <w:szCs w:val="22"/>
              </w:rPr>
            </w:pPr>
            <w:r>
              <w:rPr>
                <w:spacing w:val="-2"/>
                <w:sz w:val="22"/>
                <w:szCs w:val="22"/>
              </w:rPr>
              <w:t>4年-2年</w:t>
            </w:r>
            <w:r>
              <w:rPr>
                <w:spacing w:val="2"/>
                <w:sz w:val="22"/>
                <w:szCs w:val="22"/>
              </w:rPr>
              <w:t xml:space="preserve">                         </w:t>
            </w:r>
            <w:r>
              <w:rPr>
                <w:spacing w:val="-2"/>
                <w:sz w:val="22"/>
                <w:szCs w:val="22"/>
              </w:rPr>
              <w:t>0.6分</w:t>
            </w:r>
          </w:p>
          <w:p w14:paraId="60AFA3B7">
            <w:pPr>
              <w:pStyle w:val="6"/>
              <w:spacing w:before="7" w:line="189" w:lineRule="auto"/>
              <w:ind w:left="95"/>
              <w:rPr>
                <w:sz w:val="22"/>
                <w:szCs w:val="22"/>
              </w:rPr>
            </w:pPr>
            <w:r>
              <w:rPr>
                <w:sz w:val="22"/>
                <w:szCs w:val="22"/>
              </w:rPr>
              <w:t>不足2年                           0分</w:t>
            </w:r>
          </w:p>
        </w:tc>
      </w:tr>
      <w:tr w14:paraId="22A6A2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9" w:hRule="atLeast"/>
        </w:trPr>
        <w:tc>
          <w:tcPr>
            <w:tcW w:w="734" w:type="dxa"/>
            <w:vMerge w:val="continue"/>
            <w:tcBorders>
              <w:top w:val="nil"/>
            </w:tcBorders>
            <w:vAlign w:val="top"/>
          </w:tcPr>
          <w:p w14:paraId="57126D91">
            <w:pPr>
              <w:rPr>
                <w:rFonts w:ascii="Arial"/>
                <w:sz w:val="21"/>
              </w:rPr>
            </w:pPr>
          </w:p>
        </w:tc>
        <w:tc>
          <w:tcPr>
            <w:tcW w:w="1069" w:type="dxa"/>
            <w:vMerge w:val="continue"/>
            <w:tcBorders>
              <w:top w:val="nil"/>
            </w:tcBorders>
            <w:vAlign w:val="top"/>
          </w:tcPr>
          <w:p w14:paraId="33DBAFCB">
            <w:pPr>
              <w:rPr>
                <w:rFonts w:ascii="Arial"/>
                <w:sz w:val="21"/>
              </w:rPr>
            </w:pPr>
          </w:p>
        </w:tc>
        <w:tc>
          <w:tcPr>
            <w:tcW w:w="2077" w:type="dxa"/>
            <w:gridSpan w:val="2"/>
            <w:vAlign w:val="top"/>
          </w:tcPr>
          <w:p w14:paraId="41FB52E7">
            <w:pPr>
              <w:spacing w:line="322" w:lineRule="auto"/>
              <w:rPr>
                <w:rFonts w:ascii="Arial"/>
                <w:sz w:val="21"/>
              </w:rPr>
            </w:pPr>
          </w:p>
          <w:p w14:paraId="04E8CB92">
            <w:pPr>
              <w:pStyle w:val="6"/>
              <w:spacing w:before="71" w:line="220" w:lineRule="auto"/>
              <w:ind w:left="102"/>
              <w:rPr>
                <w:sz w:val="22"/>
                <w:szCs w:val="22"/>
              </w:rPr>
            </w:pPr>
            <w:r>
              <w:rPr>
                <w:spacing w:val="5"/>
                <w:sz w:val="22"/>
                <w:szCs w:val="22"/>
              </w:rPr>
              <w:t>其他主要人员</w:t>
            </w:r>
          </w:p>
        </w:tc>
        <w:tc>
          <w:tcPr>
            <w:tcW w:w="739" w:type="dxa"/>
            <w:vAlign w:val="top"/>
          </w:tcPr>
          <w:p w14:paraId="3B718C87">
            <w:pPr>
              <w:spacing w:line="322" w:lineRule="auto"/>
              <w:rPr>
                <w:rFonts w:ascii="Arial"/>
                <w:sz w:val="21"/>
              </w:rPr>
            </w:pPr>
          </w:p>
          <w:p w14:paraId="72627A0C">
            <w:pPr>
              <w:pStyle w:val="6"/>
              <w:spacing w:before="71" w:line="220" w:lineRule="auto"/>
              <w:ind w:left="195"/>
              <w:rPr>
                <w:sz w:val="22"/>
                <w:szCs w:val="22"/>
              </w:rPr>
            </w:pPr>
            <w:r>
              <w:rPr>
                <w:spacing w:val="4"/>
                <w:sz w:val="22"/>
                <w:szCs w:val="22"/>
              </w:rPr>
              <w:t>2分</w:t>
            </w:r>
          </w:p>
        </w:tc>
        <w:tc>
          <w:tcPr>
            <w:tcW w:w="4560" w:type="dxa"/>
            <w:vAlign w:val="top"/>
          </w:tcPr>
          <w:p w14:paraId="3AFE052D">
            <w:pPr>
              <w:pStyle w:val="6"/>
              <w:spacing w:before="114" w:line="231" w:lineRule="auto"/>
              <w:ind w:left="125" w:right="304" w:firstLine="10"/>
              <w:rPr>
                <w:sz w:val="22"/>
                <w:szCs w:val="22"/>
              </w:rPr>
            </w:pPr>
            <w:r>
              <w:rPr>
                <w:spacing w:val="1"/>
                <w:sz w:val="22"/>
                <w:szCs w:val="22"/>
              </w:rPr>
              <w:t>人员配备合理，满足需要</w:t>
            </w:r>
            <w:r>
              <w:rPr>
                <w:spacing w:val="9"/>
                <w:sz w:val="22"/>
                <w:szCs w:val="22"/>
              </w:rPr>
              <w:t xml:space="preserve">           </w:t>
            </w:r>
            <w:r>
              <w:rPr>
                <w:spacing w:val="1"/>
                <w:position w:val="-1"/>
                <w:sz w:val="22"/>
                <w:szCs w:val="22"/>
              </w:rPr>
              <w:t>2分</w:t>
            </w:r>
            <w:r>
              <w:rPr>
                <w:spacing w:val="6"/>
                <w:position w:val="-1"/>
                <w:sz w:val="22"/>
                <w:szCs w:val="22"/>
              </w:rPr>
              <w:t xml:space="preserve"> </w:t>
            </w:r>
            <w:r>
              <w:rPr>
                <w:spacing w:val="2"/>
                <w:sz w:val="22"/>
                <w:szCs w:val="22"/>
              </w:rPr>
              <w:t>人员配备基本合理，基本满足需要  1.6分</w:t>
            </w:r>
          </w:p>
          <w:p w14:paraId="6F94BD95">
            <w:pPr>
              <w:pStyle w:val="6"/>
              <w:spacing w:before="1" w:line="229" w:lineRule="auto"/>
              <w:ind w:left="125"/>
              <w:rPr>
                <w:sz w:val="22"/>
                <w:szCs w:val="22"/>
              </w:rPr>
            </w:pPr>
            <w:r>
              <w:rPr>
                <w:spacing w:val="-1"/>
                <w:sz w:val="22"/>
                <w:szCs w:val="22"/>
              </w:rPr>
              <w:t xml:space="preserve">人员配备不合理                    </w:t>
            </w:r>
            <w:r>
              <w:rPr>
                <w:spacing w:val="-1"/>
                <w:position w:val="1"/>
                <w:sz w:val="22"/>
                <w:szCs w:val="22"/>
              </w:rPr>
              <w:t>0分</w:t>
            </w:r>
          </w:p>
        </w:tc>
      </w:tr>
      <w:tr w14:paraId="0E9DB1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9" w:hRule="atLeast"/>
        </w:trPr>
        <w:tc>
          <w:tcPr>
            <w:tcW w:w="734" w:type="dxa"/>
            <w:vMerge w:val="restart"/>
            <w:tcBorders>
              <w:bottom w:val="nil"/>
            </w:tcBorders>
            <w:vAlign w:val="top"/>
          </w:tcPr>
          <w:p w14:paraId="10D71FAC">
            <w:pPr>
              <w:spacing w:line="289" w:lineRule="auto"/>
              <w:rPr>
                <w:rFonts w:ascii="Arial"/>
                <w:sz w:val="21"/>
              </w:rPr>
            </w:pPr>
          </w:p>
          <w:p w14:paraId="203F4E1E">
            <w:pPr>
              <w:spacing w:line="290" w:lineRule="auto"/>
              <w:rPr>
                <w:rFonts w:ascii="Arial"/>
                <w:sz w:val="21"/>
              </w:rPr>
            </w:pPr>
          </w:p>
          <w:p w14:paraId="5100D716">
            <w:pPr>
              <w:spacing w:line="290" w:lineRule="auto"/>
              <w:rPr>
                <w:rFonts w:ascii="Arial"/>
                <w:sz w:val="21"/>
              </w:rPr>
            </w:pPr>
          </w:p>
          <w:p w14:paraId="2F98AE76">
            <w:pPr>
              <w:spacing w:line="290" w:lineRule="auto"/>
              <w:rPr>
                <w:rFonts w:ascii="Arial"/>
                <w:sz w:val="21"/>
              </w:rPr>
            </w:pPr>
          </w:p>
          <w:p w14:paraId="5FD033FB">
            <w:pPr>
              <w:pStyle w:val="6"/>
              <w:spacing w:before="71" w:line="239" w:lineRule="auto"/>
              <w:ind w:left="84"/>
              <w:rPr>
                <w:sz w:val="22"/>
                <w:szCs w:val="22"/>
              </w:rPr>
            </w:pPr>
            <w:r>
              <w:rPr>
                <w:spacing w:val="-2"/>
                <w:sz w:val="22"/>
                <w:szCs w:val="22"/>
              </w:rPr>
              <w:t>2.2.4</w:t>
            </w:r>
          </w:p>
          <w:p w14:paraId="4F1FE7F6">
            <w:pPr>
              <w:pStyle w:val="6"/>
              <w:spacing w:before="107" w:line="222" w:lineRule="auto"/>
              <w:ind w:left="194"/>
              <w:rPr>
                <w:sz w:val="22"/>
                <w:szCs w:val="22"/>
              </w:rPr>
            </w:pPr>
            <w:r>
              <w:rPr>
                <w:spacing w:val="-11"/>
                <w:sz w:val="22"/>
                <w:szCs w:val="22"/>
              </w:rPr>
              <w:t>(4)</w:t>
            </w:r>
          </w:p>
        </w:tc>
        <w:tc>
          <w:tcPr>
            <w:tcW w:w="1069" w:type="dxa"/>
            <w:vMerge w:val="restart"/>
            <w:tcBorders>
              <w:bottom w:val="nil"/>
            </w:tcBorders>
            <w:vAlign w:val="top"/>
          </w:tcPr>
          <w:p w14:paraId="4755A2A6">
            <w:pPr>
              <w:spacing w:line="284" w:lineRule="auto"/>
              <w:rPr>
                <w:rFonts w:ascii="Arial"/>
                <w:sz w:val="21"/>
              </w:rPr>
            </w:pPr>
          </w:p>
          <w:p w14:paraId="68E06D19">
            <w:pPr>
              <w:spacing w:line="284" w:lineRule="auto"/>
              <w:rPr>
                <w:rFonts w:ascii="Arial"/>
                <w:sz w:val="21"/>
              </w:rPr>
            </w:pPr>
          </w:p>
          <w:p w14:paraId="2AFF0D71">
            <w:pPr>
              <w:spacing w:line="284" w:lineRule="auto"/>
              <w:rPr>
                <w:rFonts w:ascii="Arial"/>
                <w:sz w:val="21"/>
              </w:rPr>
            </w:pPr>
          </w:p>
          <w:p w14:paraId="26D19223">
            <w:pPr>
              <w:spacing w:line="285" w:lineRule="auto"/>
              <w:rPr>
                <w:rFonts w:ascii="Arial"/>
                <w:sz w:val="21"/>
              </w:rPr>
            </w:pPr>
          </w:p>
          <w:p w14:paraId="177846E9">
            <w:pPr>
              <w:pStyle w:val="6"/>
              <w:spacing w:before="72" w:line="219" w:lineRule="auto"/>
              <w:ind w:left="81"/>
              <w:rPr>
                <w:sz w:val="22"/>
                <w:szCs w:val="22"/>
              </w:rPr>
            </w:pPr>
            <w:r>
              <w:rPr>
                <w:spacing w:val="-2"/>
                <w:sz w:val="22"/>
                <w:szCs w:val="22"/>
              </w:rPr>
              <w:t>其他因素</w:t>
            </w:r>
          </w:p>
          <w:p w14:paraId="37FB6F3B">
            <w:pPr>
              <w:pStyle w:val="6"/>
              <w:spacing w:before="9" w:line="220" w:lineRule="auto"/>
              <w:ind w:left="81"/>
              <w:rPr>
                <w:sz w:val="22"/>
                <w:szCs w:val="22"/>
              </w:rPr>
            </w:pPr>
            <w:r>
              <w:rPr>
                <w:spacing w:val="-2"/>
                <w:sz w:val="22"/>
                <w:szCs w:val="22"/>
              </w:rPr>
              <w:t>评分标准</w:t>
            </w:r>
          </w:p>
        </w:tc>
        <w:tc>
          <w:tcPr>
            <w:tcW w:w="2077" w:type="dxa"/>
            <w:gridSpan w:val="2"/>
            <w:vAlign w:val="top"/>
          </w:tcPr>
          <w:p w14:paraId="0184037D">
            <w:pPr>
              <w:spacing w:line="312" w:lineRule="auto"/>
              <w:rPr>
                <w:rFonts w:ascii="Arial"/>
                <w:sz w:val="21"/>
              </w:rPr>
            </w:pPr>
          </w:p>
          <w:p w14:paraId="440AFC36">
            <w:pPr>
              <w:pStyle w:val="6"/>
              <w:spacing w:before="72" w:line="219" w:lineRule="auto"/>
              <w:ind w:left="102"/>
              <w:rPr>
                <w:sz w:val="22"/>
                <w:szCs w:val="22"/>
              </w:rPr>
            </w:pPr>
            <w:r>
              <w:rPr>
                <w:spacing w:val="-2"/>
                <w:sz w:val="22"/>
                <w:szCs w:val="22"/>
              </w:rPr>
              <w:t>类似项目业绩</w:t>
            </w:r>
          </w:p>
        </w:tc>
        <w:tc>
          <w:tcPr>
            <w:tcW w:w="739" w:type="dxa"/>
            <w:vAlign w:val="top"/>
          </w:tcPr>
          <w:p w14:paraId="442A0721">
            <w:pPr>
              <w:spacing w:line="313" w:lineRule="auto"/>
              <w:rPr>
                <w:rFonts w:ascii="Arial"/>
                <w:sz w:val="21"/>
              </w:rPr>
            </w:pPr>
          </w:p>
          <w:p w14:paraId="23F79A0D">
            <w:pPr>
              <w:pStyle w:val="6"/>
              <w:spacing w:before="71" w:line="220" w:lineRule="auto"/>
              <w:ind w:left="195"/>
              <w:rPr>
                <w:sz w:val="22"/>
                <w:szCs w:val="22"/>
              </w:rPr>
            </w:pPr>
            <w:r>
              <w:rPr>
                <w:spacing w:val="4"/>
                <w:sz w:val="22"/>
                <w:szCs w:val="22"/>
              </w:rPr>
              <w:t>5分</w:t>
            </w:r>
          </w:p>
        </w:tc>
        <w:tc>
          <w:tcPr>
            <w:tcW w:w="4560" w:type="dxa"/>
            <w:vAlign w:val="top"/>
          </w:tcPr>
          <w:p w14:paraId="6B8BC5E3">
            <w:pPr>
              <w:pStyle w:val="6"/>
              <w:spacing w:before="115" w:line="220" w:lineRule="auto"/>
              <w:ind w:left="125"/>
              <w:rPr>
                <w:sz w:val="22"/>
                <w:szCs w:val="22"/>
              </w:rPr>
            </w:pPr>
            <w:r>
              <w:rPr>
                <w:sz w:val="22"/>
                <w:szCs w:val="22"/>
              </w:rPr>
              <w:t>近5年有1个类似项目业绩</w:t>
            </w:r>
            <w:r>
              <w:rPr>
                <w:spacing w:val="9"/>
                <w:sz w:val="22"/>
                <w:szCs w:val="22"/>
              </w:rPr>
              <w:t xml:space="preserve">           </w:t>
            </w:r>
            <w:r>
              <w:rPr>
                <w:sz w:val="22"/>
                <w:szCs w:val="22"/>
              </w:rPr>
              <w:t>2分</w:t>
            </w:r>
          </w:p>
          <w:p w14:paraId="54C8ABAC">
            <w:pPr>
              <w:pStyle w:val="6"/>
              <w:spacing w:before="28" w:line="226" w:lineRule="auto"/>
              <w:ind w:left="105"/>
              <w:rPr>
                <w:sz w:val="22"/>
                <w:szCs w:val="22"/>
              </w:rPr>
            </w:pPr>
            <w:r>
              <w:rPr>
                <w:spacing w:val="1"/>
                <w:sz w:val="22"/>
                <w:szCs w:val="22"/>
              </w:rPr>
              <w:t>近5年有2个类似项目业绩          3.5分</w:t>
            </w:r>
          </w:p>
          <w:p w14:paraId="5C455D6E">
            <w:pPr>
              <w:pStyle w:val="6"/>
              <w:spacing w:line="220" w:lineRule="auto"/>
              <w:ind w:left="115"/>
              <w:rPr>
                <w:sz w:val="22"/>
                <w:szCs w:val="22"/>
              </w:rPr>
            </w:pPr>
            <w:r>
              <w:rPr>
                <w:sz w:val="22"/>
                <w:szCs w:val="22"/>
              </w:rPr>
              <w:t>近5年有3个类似项目业绩</w:t>
            </w:r>
            <w:r>
              <w:rPr>
                <w:spacing w:val="3"/>
                <w:sz w:val="22"/>
                <w:szCs w:val="22"/>
              </w:rPr>
              <w:t xml:space="preserve">            </w:t>
            </w:r>
            <w:r>
              <w:rPr>
                <w:sz w:val="22"/>
                <w:szCs w:val="22"/>
              </w:rPr>
              <w:t>5分</w:t>
            </w:r>
          </w:p>
        </w:tc>
      </w:tr>
      <w:tr w14:paraId="6EF5B2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13" w:hRule="atLeast"/>
        </w:trPr>
        <w:tc>
          <w:tcPr>
            <w:tcW w:w="734" w:type="dxa"/>
            <w:vMerge w:val="continue"/>
            <w:tcBorders>
              <w:top w:val="nil"/>
            </w:tcBorders>
            <w:vAlign w:val="top"/>
          </w:tcPr>
          <w:p w14:paraId="4BD23D71">
            <w:pPr>
              <w:rPr>
                <w:rFonts w:ascii="Arial"/>
                <w:sz w:val="21"/>
              </w:rPr>
            </w:pPr>
          </w:p>
        </w:tc>
        <w:tc>
          <w:tcPr>
            <w:tcW w:w="1069" w:type="dxa"/>
            <w:vMerge w:val="continue"/>
            <w:tcBorders>
              <w:top w:val="nil"/>
            </w:tcBorders>
            <w:vAlign w:val="top"/>
          </w:tcPr>
          <w:p w14:paraId="23C6C454">
            <w:pPr>
              <w:rPr>
                <w:rFonts w:ascii="Arial"/>
                <w:sz w:val="21"/>
              </w:rPr>
            </w:pPr>
          </w:p>
        </w:tc>
        <w:tc>
          <w:tcPr>
            <w:tcW w:w="2077" w:type="dxa"/>
            <w:gridSpan w:val="2"/>
            <w:vAlign w:val="top"/>
          </w:tcPr>
          <w:p w14:paraId="5E3524FE">
            <w:pPr>
              <w:spacing w:line="260" w:lineRule="auto"/>
              <w:rPr>
                <w:rFonts w:ascii="Arial"/>
                <w:sz w:val="21"/>
              </w:rPr>
            </w:pPr>
          </w:p>
          <w:p w14:paraId="6DA2CBF4">
            <w:pPr>
              <w:spacing w:line="260" w:lineRule="auto"/>
              <w:rPr>
                <w:rFonts w:ascii="Arial"/>
                <w:sz w:val="21"/>
              </w:rPr>
            </w:pPr>
          </w:p>
          <w:p w14:paraId="4960D5C2">
            <w:pPr>
              <w:spacing w:line="261" w:lineRule="auto"/>
              <w:rPr>
                <w:rFonts w:ascii="Arial"/>
                <w:sz w:val="21"/>
              </w:rPr>
            </w:pPr>
          </w:p>
          <w:p w14:paraId="7B303B4B">
            <w:pPr>
              <w:pStyle w:val="6"/>
              <w:spacing w:before="72" w:line="221" w:lineRule="auto"/>
              <w:ind w:left="102"/>
              <w:rPr>
                <w:sz w:val="22"/>
                <w:szCs w:val="22"/>
              </w:rPr>
            </w:pPr>
            <w:r>
              <w:rPr>
                <w:spacing w:val="5"/>
                <w:sz w:val="22"/>
                <w:szCs w:val="22"/>
              </w:rPr>
              <w:t>认证体系</w:t>
            </w:r>
          </w:p>
        </w:tc>
        <w:tc>
          <w:tcPr>
            <w:tcW w:w="739" w:type="dxa"/>
            <w:vAlign w:val="top"/>
          </w:tcPr>
          <w:p w14:paraId="67912B88">
            <w:pPr>
              <w:spacing w:line="260" w:lineRule="auto"/>
              <w:rPr>
                <w:rFonts w:ascii="Arial"/>
                <w:sz w:val="21"/>
              </w:rPr>
            </w:pPr>
          </w:p>
          <w:p w14:paraId="189B4FC9">
            <w:pPr>
              <w:spacing w:line="260" w:lineRule="auto"/>
              <w:rPr>
                <w:rFonts w:ascii="Arial"/>
                <w:sz w:val="21"/>
              </w:rPr>
            </w:pPr>
          </w:p>
          <w:p w14:paraId="50CF5AAD">
            <w:pPr>
              <w:spacing w:line="261" w:lineRule="auto"/>
              <w:rPr>
                <w:rFonts w:ascii="Arial"/>
                <w:sz w:val="21"/>
              </w:rPr>
            </w:pPr>
          </w:p>
          <w:p w14:paraId="432C70B8">
            <w:pPr>
              <w:pStyle w:val="6"/>
              <w:spacing w:before="71" w:line="220" w:lineRule="auto"/>
              <w:ind w:left="195"/>
              <w:rPr>
                <w:sz w:val="22"/>
                <w:szCs w:val="22"/>
              </w:rPr>
            </w:pPr>
            <w:r>
              <w:rPr>
                <w:spacing w:val="4"/>
                <w:sz w:val="22"/>
                <w:szCs w:val="22"/>
              </w:rPr>
              <w:t>3分</w:t>
            </w:r>
          </w:p>
        </w:tc>
        <w:tc>
          <w:tcPr>
            <w:tcW w:w="4560" w:type="dxa"/>
            <w:vAlign w:val="top"/>
          </w:tcPr>
          <w:p w14:paraId="1FA91B49">
            <w:pPr>
              <w:pStyle w:val="6"/>
              <w:spacing w:before="55" w:line="227" w:lineRule="auto"/>
              <w:ind w:left="135" w:right="234" w:hanging="10"/>
              <w:rPr>
                <w:sz w:val="22"/>
                <w:szCs w:val="22"/>
              </w:rPr>
            </w:pPr>
            <w:r>
              <w:rPr>
                <w:sz w:val="22"/>
                <w:szCs w:val="22"/>
              </w:rPr>
              <w:t>具有有效的ISO9001(GB/T19001)质量管理体</w:t>
            </w:r>
            <w:r>
              <w:rPr>
                <w:spacing w:val="8"/>
                <w:sz w:val="22"/>
                <w:szCs w:val="22"/>
              </w:rPr>
              <w:t xml:space="preserve"> </w:t>
            </w:r>
            <w:r>
              <w:rPr>
                <w:spacing w:val="12"/>
                <w:sz w:val="22"/>
                <w:szCs w:val="22"/>
              </w:rPr>
              <w:t>系认证证书，1分；</w:t>
            </w:r>
          </w:p>
          <w:p w14:paraId="28A97788">
            <w:pPr>
              <w:pStyle w:val="6"/>
              <w:spacing w:before="1" w:line="227" w:lineRule="auto"/>
              <w:ind w:left="135" w:right="124" w:hanging="10"/>
              <w:rPr>
                <w:sz w:val="22"/>
                <w:szCs w:val="22"/>
              </w:rPr>
            </w:pPr>
            <w:r>
              <w:rPr>
                <w:sz w:val="22"/>
                <w:szCs w:val="22"/>
              </w:rPr>
              <w:t>具有有效的ISO14001(GB/T24001)环境管理体</w:t>
            </w:r>
            <w:r>
              <w:rPr>
                <w:spacing w:val="8"/>
                <w:sz w:val="22"/>
                <w:szCs w:val="22"/>
              </w:rPr>
              <w:t xml:space="preserve"> </w:t>
            </w:r>
            <w:r>
              <w:rPr>
                <w:spacing w:val="12"/>
                <w:sz w:val="22"/>
                <w:szCs w:val="22"/>
              </w:rPr>
              <w:t>系认证证书，1分；</w:t>
            </w:r>
          </w:p>
          <w:p w14:paraId="624A0321">
            <w:pPr>
              <w:pStyle w:val="6"/>
              <w:spacing w:before="9" w:line="211" w:lineRule="auto"/>
              <w:ind w:left="105" w:firstLine="19"/>
              <w:rPr>
                <w:sz w:val="22"/>
                <w:szCs w:val="22"/>
              </w:rPr>
            </w:pPr>
            <w:r>
              <w:rPr>
                <w:spacing w:val="36"/>
                <w:sz w:val="22"/>
                <w:szCs w:val="22"/>
              </w:rPr>
              <w:t>具有有效的</w:t>
            </w:r>
            <w:r>
              <w:rPr>
                <w:sz w:val="22"/>
                <w:szCs w:val="22"/>
              </w:rPr>
              <w:t>ISO</w:t>
            </w:r>
            <w:r>
              <w:rPr>
                <w:spacing w:val="36"/>
                <w:sz w:val="22"/>
                <w:szCs w:val="22"/>
              </w:rPr>
              <w:t>45001或</w:t>
            </w:r>
            <w:r>
              <w:rPr>
                <w:spacing w:val="51"/>
                <w:sz w:val="22"/>
                <w:szCs w:val="22"/>
              </w:rPr>
              <w:t xml:space="preserve">  </w:t>
            </w:r>
            <w:r>
              <w:rPr>
                <w:sz w:val="22"/>
                <w:szCs w:val="22"/>
              </w:rPr>
              <w:t>OH</w:t>
            </w:r>
            <w:r>
              <w:rPr>
                <w:spacing w:val="-68"/>
                <w:sz w:val="22"/>
                <w:szCs w:val="22"/>
              </w:rPr>
              <w:t xml:space="preserve"> </w:t>
            </w:r>
            <w:r>
              <w:rPr>
                <w:sz w:val="22"/>
                <w:szCs w:val="22"/>
              </w:rPr>
              <w:t>SAS</w:t>
            </w:r>
            <w:r>
              <w:rPr>
                <w:spacing w:val="36"/>
                <w:sz w:val="22"/>
                <w:szCs w:val="22"/>
              </w:rPr>
              <w:t>18001</w:t>
            </w:r>
            <w:r>
              <w:rPr>
                <w:sz w:val="22"/>
                <w:szCs w:val="22"/>
              </w:rPr>
              <w:t xml:space="preserve">  </w:t>
            </w:r>
            <w:r>
              <w:rPr>
                <w:spacing w:val="-3"/>
                <w:sz w:val="22"/>
                <w:szCs w:val="22"/>
              </w:rPr>
              <w:t>(GB/T28001)职业健康安全管理体系认证证书，</w:t>
            </w:r>
            <w:r>
              <w:rPr>
                <w:spacing w:val="11"/>
                <w:sz w:val="22"/>
                <w:szCs w:val="22"/>
              </w:rPr>
              <w:t xml:space="preserve"> </w:t>
            </w:r>
            <w:r>
              <w:rPr>
                <w:spacing w:val="-3"/>
                <w:sz w:val="22"/>
                <w:szCs w:val="22"/>
              </w:rPr>
              <w:t>1分。</w:t>
            </w:r>
          </w:p>
        </w:tc>
      </w:tr>
    </w:tbl>
    <w:p w14:paraId="176E64AF">
      <w:pPr>
        <w:spacing w:line="260" w:lineRule="auto"/>
        <w:rPr>
          <w:rFonts w:ascii="Arial"/>
          <w:sz w:val="21"/>
        </w:rPr>
      </w:pPr>
    </w:p>
    <w:p w14:paraId="21516445">
      <w:pPr>
        <w:spacing w:line="260" w:lineRule="auto"/>
        <w:rPr>
          <w:rFonts w:ascii="Arial"/>
          <w:sz w:val="21"/>
        </w:rPr>
      </w:pPr>
    </w:p>
    <w:p w14:paraId="165E568E">
      <w:pPr>
        <w:pStyle w:val="2"/>
        <w:spacing w:before="68" w:line="218" w:lineRule="auto"/>
        <w:ind w:left="25"/>
        <w:rPr>
          <w:sz w:val="21"/>
          <w:szCs w:val="21"/>
        </w:rPr>
      </w:pPr>
      <w:r>
        <w:rPr>
          <w:spacing w:val="9"/>
          <w:sz w:val="21"/>
          <w:szCs w:val="21"/>
        </w:rPr>
        <w:t>备注：1.采用资格后审时，评标基准价下</w:t>
      </w:r>
      <w:r>
        <w:rPr>
          <w:spacing w:val="8"/>
          <w:sz w:val="21"/>
          <w:szCs w:val="21"/>
        </w:rPr>
        <w:t>浮系数</w:t>
      </w:r>
      <w:r>
        <w:rPr>
          <w:rFonts w:ascii="Times New Roman" w:hAnsi="Times New Roman" w:eastAsia="Times New Roman" w:cs="Times New Roman"/>
          <w:spacing w:val="8"/>
          <w:sz w:val="21"/>
          <w:szCs w:val="21"/>
        </w:rPr>
        <w:t xml:space="preserve">E </w:t>
      </w:r>
      <w:r>
        <w:rPr>
          <w:spacing w:val="8"/>
          <w:sz w:val="21"/>
          <w:szCs w:val="21"/>
        </w:rPr>
        <w:t>宜取1或2的整数，避免投标人报价过低。</w:t>
      </w:r>
    </w:p>
    <w:p w14:paraId="5422C197">
      <w:pPr>
        <w:pStyle w:val="2"/>
        <w:spacing w:line="239" w:lineRule="auto"/>
        <w:ind w:left="854" w:right="235" w:hanging="210"/>
        <w:rPr>
          <w:sz w:val="21"/>
          <w:szCs w:val="21"/>
        </w:rPr>
      </w:pPr>
      <w:r>
        <w:rPr>
          <w:spacing w:val="3"/>
          <w:sz w:val="21"/>
          <w:szCs w:val="21"/>
        </w:rPr>
        <w:t xml:space="preserve">2. </w:t>
      </w:r>
      <w:r>
        <w:rPr>
          <w:rFonts w:ascii="黑体" w:hAnsi="黑体" w:eastAsia="黑体" w:cs="黑体"/>
          <w:spacing w:val="3"/>
          <w:sz w:val="21"/>
          <w:szCs w:val="21"/>
        </w:rPr>
        <w:t>根据《关于建立部分专业技术类职业资格与职称对应关系的通</w:t>
      </w:r>
      <w:r>
        <w:rPr>
          <w:rFonts w:ascii="黑体" w:hAnsi="黑体" w:eastAsia="黑体" w:cs="黑体"/>
          <w:spacing w:val="2"/>
          <w:sz w:val="21"/>
          <w:szCs w:val="21"/>
        </w:rPr>
        <w:t>知(鄂人社发〔2018〕30</w:t>
      </w:r>
      <w:r>
        <w:rPr>
          <w:rFonts w:ascii="黑体" w:hAnsi="黑体" w:eastAsia="黑体" w:cs="黑体"/>
          <w:sz w:val="21"/>
          <w:szCs w:val="21"/>
        </w:rPr>
        <w:t xml:space="preserve"> </w:t>
      </w:r>
      <w:r>
        <w:rPr>
          <w:sz w:val="21"/>
          <w:szCs w:val="21"/>
        </w:rPr>
        <w:t>号)》造价工程师、一级注册建筑师、一级建造师、一</w:t>
      </w:r>
      <w:r>
        <w:rPr>
          <w:spacing w:val="-1"/>
          <w:sz w:val="21"/>
          <w:szCs w:val="21"/>
        </w:rPr>
        <w:t>级注册结构工程师、其他勘察设计</w:t>
      </w:r>
      <w:r>
        <w:rPr>
          <w:sz w:val="21"/>
          <w:szCs w:val="21"/>
        </w:rPr>
        <w:t xml:space="preserve"> </w:t>
      </w:r>
      <w:r>
        <w:rPr>
          <w:spacing w:val="2"/>
          <w:sz w:val="21"/>
          <w:szCs w:val="21"/>
        </w:rPr>
        <w:t>注册工程师等，其职业资格直接对应相应系列的中级职称。二级注册建筑师、二级建造</w:t>
      </w:r>
      <w:r>
        <w:rPr>
          <w:spacing w:val="11"/>
          <w:sz w:val="21"/>
          <w:szCs w:val="21"/>
        </w:rPr>
        <w:t xml:space="preserve"> </w:t>
      </w:r>
      <w:r>
        <w:rPr>
          <w:spacing w:val="-1"/>
          <w:sz w:val="21"/>
          <w:szCs w:val="21"/>
        </w:rPr>
        <w:t>师、二级注册结构工程师等，其职业资格直接对应相应系列的初级职称。</w:t>
      </w:r>
    </w:p>
    <w:p w14:paraId="27CB9004">
      <w:pPr>
        <w:spacing w:line="252" w:lineRule="auto"/>
        <w:rPr>
          <w:rFonts w:ascii="Arial"/>
          <w:sz w:val="21"/>
        </w:rPr>
      </w:pPr>
    </w:p>
    <w:p w14:paraId="3A31D276">
      <w:pPr>
        <w:spacing w:line="252" w:lineRule="auto"/>
        <w:rPr>
          <w:rFonts w:ascii="Arial"/>
          <w:sz w:val="21"/>
        </w:rPr>
      </w:pPr>
    </w:p>
    <w:p w14:paraId="7AABDFA5">
      <w:pPr>
        <w:spacing w:line="252" w:lineRule="auto"/>
        <w:rPr>
          <w:rFonts w:ascii="Arial"/>
          <w:sz w:val="21"/>
        </w:rPr>
      </w:pPr>
    </w:p>
    <w:p w14:paraId="4AB75539">
      <w:pPr>
        <w:spacing w:line="252" w:lineRule="auto"/>
        <w:rPr>
          <w:rFonts w:ascii="Arial"/>
          <w:sz w:val="21"/>
        </w:rPr>
      </w:pPr>
    </w:p>
    <w:p w14:paraId="12E04080">
      <w:pPr>
        <w:spacing w:line="252" w:lineRule="auto"/>
        <w:rPr>
          <w:rFonts w:ascii="Arial"/>
          <w:sz w:val="21"/>
        </w:rPr>
      </w:pPr>
    </w:p>
    <w:p w14:paraId="3949BC03">
      <w:pPr>
        <w:spacing w:line="252" w:lineRule="auto"/>
        <w:rPr>
          <w:rFonts w:ascii="Arial"/>
          <w:sz w:val="21"/>
        </w:rPr>
      </w:pPr>
    </w:p>
    <w:p w14:paraId="368542E3">
      <w:pPr>
        <w:spacing w:line="252" w:lineRule="auto"/>
        <w:rPr>
          <w:rFonts w:ascii="Arial"/>
          <w:sz w:val="21"/>
        </w:rPr>
      </w:pPr>
    </w:p>
    <w:p w14:paraId="137D3BFB">
      <w:pPr>
        <w:spacing w:line="253" w:lineRule="auto"/>
        <w:rPr>
          <w:rFonts w:ascii="Arial"/>
          <w:sz w:val="21"/>
        </w:rPr>
      </w:pPr>
    </w:p>
    <w:p w14:paraId="2A5F154C">
      <w:pPr>
        <w:spacing w:line="253" w:lineRule="auto"/>
        <w:rPr>
          <w:rFonts w:ascii="Arial"/>
          <w:sz w:val="21"/>
        </w:rPr>
      </w:pPr>
    </w:p>
    <w:p w14:paraId="1825DCBF">
      <w:pPr>
        <w:spacing w:line="253" w:lineRule="auto"/>
        <w:rPr>
          <w:rFonts w:ascii="Arial"/>
          <w:sz w:val="21"/>
        </w:rPr>
      </w:pPr>
    </w:p>
    <w:p w14:paraId="152CB672">
      <w:pPr>
        <w:spacing w:line="253" w:lineRule="auto"/>
        <w:rPr>
          <w:rFonts w:ascii="Arial"/>
          <w:sz w:val="21"/>
        </w:rPr>
      </w:pPr>
    </w:p>
    <w:p w14:paraId="6263DA7F">
      <w:pPr>
        <w:spacing w:line="253" w:lineRule="auto"/>
        <w:rPr>
          <w:rFonts w:ascii="Arial"/>
          <w:sz w:val="21"/>
        </w:rPr>
      </w:pPr>
    </w:p>
    <w:p w14:paraId="7C62ADE2">
      <w:pPr>
        <w:spacing w:line="253" w:lineRule="auto"/>
        <w:rPr>
          <w:rFonts w:ascii="Arial"/>
          <w:sz w:val="21"/>
        </w:rPr>
      </w:pPr>
    </w:p>
    <w:p w14:paraId="72DBCCCA">
      <w:pPr>
        <w:spacing w:line="253" w:lineRule="auto"/>
        <w:rPr>
          <w:rFonts w:ascii="Arial"/>
          <w:sz w:val="21"/>
        </w:rPr>
      </w:pPr>
    </w:p>
    <w:p w14:paraId="7F3C111A">
      <w:pPr>
        <w:spacing w:line="253" w:lineRule="auto"/>
        <w:rPr>
          <w:rFonts w:ascii="Arial"/>
          <w:sz w:val="21"/>
        </w:rPr>
      </w:pPr>
    </w:p>
    <w:p w14:paraId="7F949E5C">
      <w:pPr>
        <w:spacing w:line="253" w:lineRule="auto"/>
        <w:rPr>
          <w:rFonts w:ascii="Arial"/>
          <w:sz w:val="21"/>
        </w:rPr>
      </w:pPr>
    </w:p>
    <w:p w14:paraId="42C2C3C4">
      <w:pPr>
        <w:spacing w:line="253" w:lineRule="auto"/>
        <w:rPr>
          <w:rFonts w:ascii="Arial"/>
          <w:sz w:val="21"/>
        </w:rPr>
      </w:pPr>
    </w:p>
    <w:p w14:paraId="431F9E9D">
      <w:pPr>
        <w:spacing w:before="94" w:line="221" w:lineRule="auto"/>
        <w:ind w:left="29"/>
        <w:outlineLvl w:val="1"/>
        <w:rPr>
          <w:rFonts w:ascii="黑体" w:hAnsi="黑体" w:eastAsia="黑体" w:cs="黑体"/>
          <w:sz w:val="29"/>
          <w:szCs w:val="29"/>
        </w:rPr>
      </w:pPr>
      <w:bookmarkStart w:id="121" w:name="bookmark90"/>
      <w:bookmarkEnd w:id="121"/>
      <w:r>
        <w:rPr>
          <w:rFonts w:ascii="黑体" w:hAnsi="黑体" w:eastAsia="黑体" w:cs="黑体"/>
          <w:b/>
          <w:bCs/>
          <w:spacing w:val="-5"/>
          <w:sz w:val="29"/>
          <w:szCs w:val="29"/>
        </w:rPr>
        <w:t>评标办法正文部分</w:t>
      </w:r>
    </w:p>
    <w:p w14:paraId="2EE2CE55">
      <w:pPr>
        <w:pStyle w:val="2"/>
        <w:spacing w:before="132" w:line="221" w:lineRule="auto"/>
        <w:ind w:left="29"/>
        <w:outlineLvl w:val="1"/>
        <w:rPr>
          <w:rFonts w:ascii="黑体" w:hAnsi="黑体" w:eastAsia="黑体" w:cs="黑体"/>
          <w:sz w:val="29"/>
          <w:szCs w:val="29"/>
        </w:rPr>
      </w:pPr>
      <w:bookmarkStart w:id="122" w:name="bookmark91"/>
      <w:bookmarkEnd w:id="122"/>
      <w:r>
        <w:rPr>
          <w:b/>
          <w:bCs/>
          <w:spacing w:val="-10"/>
          <w:sz w:val="29"/>
          <w:szCs w:val="29"/>
        </w:rPr>
        <w:t>1.</w:t>
      </w:r>
      <w:r>
        <w:rPr>
          <w:spacing w:val="-82"/>
          <w:sz w:val="29"/>
          <w:szCs w:val="29"/>
        </w:rPr>
        <w:t xml:space="preserve"> </w:t>
      </w:r>
      <w:r>
        <w:rPr>
          <w:rFonts w:ascii="黑体" w:hAnsi="黑体" w:eastAsia="黑体" w:cs="黑体"/>
          <w:b/>
          <w:bCs/>
          <w:spacing w:val="-10"/>
          <w:sz w:val="29"/>
          <w:szCs w:val="29"/>
        </w:rPr>
        <w:t>评标方法</w:t>
      </w:r>
    </w:p>
    <w:p w14:paraId="2E201BF9">
      <w:pPr>
        <w:spacing w:line="316" w:lineRule="auto"/>
        <w:rPr>
          <w:rFonts w:ascii="Arial"/>
          <w:sz w:val="21"/>
        </w:rPr>
      </w:pPr>
    </w:p>
    <w:p w14:paraId="0A7609F5">
      <w:pPr>
        <w:pStyle w:val="2"/>
        <w:spacing w:before="69" w:line="352" w:lineRule="auto"/>
        <w:ind w:firstLine="419"/>
        <w:jc w:val="both"/>
        <w:rPr>
          <w:sz w:val="21"/>
          <w:szCs w:val="21"/>
        </w:rPr>
      </w:pPr>
      <w:bookmarkStart w:id="123" w:name="bookmark249"/>
      <w:bookmarkEnd w:id="123"/>
      <w:r>
        <w:rPr>
          <w:sz w:val="21"/>
          <w:szCs w:val="21"/>
        </w:rPr>
        <w:t>本次评标采用综合评估法(合理低价法)。评标委员会对满</w:t>
      </w:r>
      <w:r>
        <w:rPr>
          <w:spacing w:val="-1"/>
          <w:sz w:val="21"/>
          <w:szCs w:val="21"/>
        </w:rPr>
        <w:t>足招标文件实质性要求的投标文件，</w:t>
      </w:r>
      <w:r>
        <w:rPr>
          <w:sz w:val="21"/>
          <w:szCs w:val="21"/>
        </w:rPr>
        <w:t xml:space="preserve"> </w:t>
      </w:r>
      <w:r>
        <w:rPr>
          <w:spacing w:val="3"/>
          <w:sz w:val="21"/>
          <w:szCs w:val="21"/>
        </w:rPr>
        <w:t>按照本章第2.2</w:t>
      </w:r>
      <w:r>
        <w:rPr>
          <w:spacing w:val="-18"/>
          <w:sz w:val="21"/>
          <w:szCs w:val="21"/>
        </w:rPr>
        <w:t xml:space="preserve"> </w:t>
      </w:r>
      <w:r>
        <w:rPr>
          <w:spacing w:val="3"/>
          <w:sz w:val="21"/>
          <w:szCs w:val="21"/>
        </w:rPr>
        <w:t>款规定的评分标准进行打分，并按得分由高到低顺序推荐中标候选</w:t>
      </w:r>
      <w:r>
        <w:rPr>
          <w:spacing w:val="2"/>
          <w:sz w:val="21"/>
          <w:szCs w:val="21"/>
        </w:rPr>
        <w:t>人，或根据招</w:t>
      </w:r>
      <w:r>
        <w:rPr>
          <w:sz w:val="21"/>
          <w:szCs w:val="21"/>
        </w:rPr>
        <w:t xml:space="preserve">  </w:t>
      </w:r>
      <w:r>
        <w:rPr>
          <w:spacing w:val="2"/>
          <w:sz w:val="21"/>
          <w:szCs w:val="21"/>
        </w:rPr>
        <w:t>标人授权直接确定中标人，但投标报价低于其成本的除外。综合评分相等时，以投标报价低的优</w:t>
      </w:r>
      <w:r>
        <w:rPr>
          <w:spacing w:val="7"/>
          <w:sz w:val="21"/>
          <w:szCs w:val="21"/>
        </w:rPr>
        <w:t xml:space="preserve">  </w:t>
      </w:r>
      <w:r>
        <w:rPr>
          <w:spacing w:val="1"/>
          <w:sz w:val="21"/>
          <w:szCs w:val="21"/>
        </w:rPr>
        <w:t>先；投标报价也相等的，由招标人自行确定</w:t>
      </w:r>
      <w:r>
        <w:rPr>
          <w:sz w:val="21"/>
          <w:szCs w:val="21"/>
        </w:rPr>
        <w:t>。(适用于办法一、二、三、四、五、六、七)</w:t>
      </w:r>
    </w:p>
    <w:p w14:paraId="64FF8E47">
      <w:pPr>
        <w:pStyle w:val="2"/>
        <w:spacing w:before="5" w:line="353" w:lineRule="auto"/>
        <w:ind w:right="91" w:firstLine="419"/>
        <w:jc w:val="both"/>
        <w:rPr>
          <w:sz w:val="21"/>
          <w:szCs w:val="21"/>
        </w:rPr>
      </w:pPr>
      <w:r>
        <w:rPr>
          <w:spacing w:val="3"/>
          <w:sz w:val="21"/>
          <w:szCs w:val="21"/>
        </w:rPr>
        <w:t>本次评标采用合理低价法。评标委员会对满足招标文</w:t>
      </w:r>
      <w:r>
        <w:rPr>
          <w:spacing w:val="2"/>
          <w:sz w:val="21"/>
          <w:szCs w:val="21"/>
        </w:rPr>
        <w:t>件实质性要求的投标文件，按照本章第</w:t>
      </w:r>
      <w:r>
        <w:rPr>
          <w:sz w:val="21"/>
          <w:szCs w:val="21"/>
        </w:rPr>
        <w:t xml:space="preserve"> </w:t>
      </w:r>
      <w:r>
        <w:rPr>
          <w:rFonts w:ascii="黑体" w:hAnsi="黑体" w:eastAsia="黑体" w:cs="黑体"/>
          <w:sz w:val="21"/>
          <w:szCs w:val="21"/>
        </w:rPr>
        <w:t>2.2款规定的评分标准进行评审，并按有效评标价由低到高的顺序推荐中标候选</w:t>
      </w:r>
      <w:r>
        <w:rPr>
          <w:rFonts w:ascii="黑体" w:hAnsi="黑体" w:eastAsia="黑体" w:cs="黑体"/>
          <w:spacing w:val="-1"/>
          <w:sz w:val="21"/>
          <w:szCs w:val="21"/>
        </w:rPr>
        <w:t>人，或根据招标人</w:t>
      </w:r>
      <w:r>
        <w:rPr>
          <w:rFonts w:ascii="黑体" w:hAnsi="黑体" w:eastAsia="黑体" w:cs="黑体"/>
          <w:sz w:val="21"/>
          <w:szCs w:val="21"/>
        </w:rPr>
        <w:t xml:space="preserve"> </w:t>
      </w:r>
      <w:r>
        <w:rPr>
          <w:spacing w:val="-5"/>
          <w:sz w:val="21"/>
          <w:szCs w:val="21"/>
        </w:rPr>
        <w:t>授权直接确定中标人，但投标报价低于其成本的除外。有效评标价相等时，由招标人自行确定。(适</w:t>
      </w:r>
      <w:r>
        <w:rPr>
          <w:spacing w:val="1"/>
          <w:sz w:val="21"/>
          <w:szCs w:val="21"/>
        </w:rPr>
        <w:t xml:space="preserve"> </w:t>
      </w:r>
      <w:r>
        <w:rPr>
          <w:spacing w:val="6"/>
          <w:sz w:val="21"/>
          <w:szCs w:val="21"/>
        </w:rPr>
        <w:t>用于办法八)</w:t>
      </w:r>
    </w:p>
    <w:p w14:paraId="66F4C8F5">
      <w:pPr>
        <w:pStyle w:val="2"/>
        <w:spacing w:before="34" w:line="222" w:lineRule="auto"/>
        <w:ind w:left="4"/>
        <w:outlineLvl w:val="1"/>
        <w:rPr>
          <w:rFonts w:ascii="黑体" w:hAnsi="黑体" w:eastAsia="黑体" w:cs="黑体"/>
          <w:sz w:val="29"/>
          <w:szCs w:val="29"/>
        </w:rPr>
      </w:pPr>
      <w:bookmarkStart w:id="124" w:name="bookmark92"/>
      <w:bookmarkEnd w:id="124"/>
      <w:r>
        <w:rPr>
          <w:b/>
          <w:bCs/>
          <w:spacing w:val="-3"/>
          <w:sz w:val="29"/>
          <w:szCs w:val="29"/>
        </w:rPr>
        <w:t>2.</w:t>
      </w:r>
      <w:r>
        <w:rPr>
          <w:spacing w:val="-79"/>
          <w:sz w:val="29"/>
          <w:szCs w:val="29"/>
        </w:rPr>
        <w:t xml:space="preserve"> </w:t>
      </w:r>
      <w:r>
        <w:rPr>
          <w:rFonts w:ascii="黑体" w:hAnsi="黑体" w:eastAsia="黑体" w:cs="黑体"/>
          <w:b/>
          <w:bCs/>
          <w:spacing w:val="-3"/>
          <w:sz w:val="29"/>
          <w:szCs w:val="29"/>
        </w:rPr>
        <w:t>评审标准</w:t>
      </w:r>
    </w:p>
    <w:p w14:paraId="18979CD6">
      <w:pPr>
        <w:spacing w:before="80" w:line="222" w:lineRule="auto"/>
        <w:ind w:left="423"/>
        <w:outlineLvl w:val="2"/>
        <w:rPr>
          <w:rFonts w:ascii="黑体" w:hAnsi="黑体" w:eastAsia="黑体" w:cs="黑体"/>
          <w:sz w:val="25"/>
          <w:szCs w:val="25"/>
        </w:rPr>
      </w:pPr>
      <w:bookmarkStart w:id="125" w:name="bookmark93"/>
      <w:bookmarkEnd w:id="125"/>
      <w:r>
        <w:rPr>
          <w:rFonts w:ascii="黑体" w:hAnsi="黑体" w:eastAsia="黑体" w:cs="黑体"/>
          <w:b/>
          <w:bCs/>
          <w:spacing w:val="10"/>
          <w:sz w:val="25"/>
          <w:szCs w:val="25"/>
        </w:rPr>
        <w:t>2.1初步评审标准</w:t>
      </w:r>
    </w:p>
    <w:p w14:paraId="7BE5D53F">
      <w:pPr>
        <w:pStyle w:val="2"/>
        <w:spacing w:before="130" w:line="221" w:lineRule="auto"/>
        <w:ind w:left="419"/>
        <w:rPr>
          <w:rFonts w:ascii="黑体" w:hAnsi="黑体" w:eastAsia="黑体" w:cs="黑体"/>
          <w:sz w:val="21"/>
          <w:szCs w:val="21"/>
        </w:rPr>
      </w:pPr>
      <w:r>
        <w:rPr>
          <w:spacing w:val="-1"/>
          <w:sz w:val="21"/>
          <w:szCs w:val="21"/>
        </w:rPr>
        <w:t xml:space="preserve">2.1.1 </w:t>
      </w:r>
      <w:r>
        <w:rPr>
          <w:rFonts w:ascii="黑体" w:hAnsi="黑体" w:eastAsia="黑体" w:cs="黑体"/>
          <w:spacing w:val="-1"/>
          <w:sz w:val="21"/>
          <w:szCs w:val="21"/>
        </w:rPr>
        <w:t>形式评审标准：见评标办法前附表。</w:t>
      </w:r>
    </w:p>
    <w:p w14:paraId="782C1242">
      <w:pPr>
        <w:pStyle w:val="2"/>
        <w:spacing w:before="148" w:line="221" w:lineRule="auto"/>
        <w:ind w:left="419"/>
        <w:rPr>
          <w:rFonts w:ascii="黑体" w:hAnsi="黑体" w:eastAsia="黑体" w:cs="黑体"/>
          <w:sz w:val="21"/>
          <w:szCs w:val="21"/>
        </w:rPr>
      </w:pPr>
      <w:r>
        <w:rPr>
          <w:spacing w:val="-3"/>
          <w:sz w:val="21"/>
          <w:szCs w:val="21"/>
        </w:rPr>
        <w:t>2.1.2</w:t>
      </w:r>
      <w:r>
        <w:rPr>
          <w:spacing w:val="42"/>
          <w:sz w:val="21"/>
          <w:szCs w:val="21"/>
        </w:rPr>
        <w:t xml:space="preserve"> </w:t>
      </w:r>
      <w:r>
        <w:rPr>
          <w:rFonts w:ascii="黑体" w:hAnsi="黑体" w:eastAsia="黑体" w:cs="黑体"/>
          <w:spacing w:val="-3"/>
          <w:sz w:val="21"/>
          <w:szCs w:val="21"/>
        </w:rPr>
        <w:t>资格评审标准：见评标办法前附表。</w:t>
      </w:r>
    </w:p>
    <w:p w14:paraId="188C642C">
      <w:pPr>
        <w:pStyle w:val="2"/>
        <w:spacing w:before="149" w:line="221" w:lineRule="auto"/>
        <w:ind w:left="419"/>
        <w:rPr>
          <w:rFonts w:ascii="黑体" w:hAnsi="黑体" w:eastAsia="黑体" w:cs="黑体"/>
          <w:sz w:val="21"/>
          <w:szCs w:val="21"/>
        </w:rPr>
      </w:pPr>
      <w:r>
        <w:rPr>
          <w:spacing w:val="-1"/>
          <w:sz w:val="21"/>
          <w:szCs w:val="21"/>
        </w:rPr>
        <w:t xml:space="preserve">2.1.3 </w:t>
      </w:r>
      <w:r>
        <w:rPr>
          <w:rFonts w:ascii="黑体" w:hAnsi="黑体" w:eastAsia="黑体" w:cs="黑体"/>
          <w:spacing w:val="-1"/>
          <w:sz w:val="21"/>
          <w:szCs w:val="21"/>
        </w:rPr>
        <w:t>响应性评审标准：见评标办法前附表。</w:t>
      </w:r>
    </w:p>
    <w:p w14:paraId="29990544">
      <w:pPr>
        <w:pStyle w:val="2"/>
        <w:spacing w:before="159" w:line="221" w:lineRule="auto"/>
        <w:ind w:left="419"/>
        <w:rPr>
          <w:rFonts w:ascii="黑体" w:hAnsi="黑体" w:eastAsia="黑体" w:cs="黑体"/>
          <w:sz w:val="21"/>
          <w:szCs w:val="21"/>
        </w:rPr>
      </w:pPr>
      <w:r>
        <w:rPr>
          <w:spacing w:val="2"/>
          <w:sz w:val="21"/>
          <w:szCs w:val="21"/>
        </w:rPr>
        <w:t xml:space="preserve">2.1.4 </w:t>
      </w:r>
      <w:r>
        <w:rPr>
          <w:rFonts w:ascii="黑体" w:hAnsi="黑体" w:eastAsia="黑体" w:cs="黑体"/>
          <w:spacing w:val="2"/>
          <w:sz w:val="21"/>
          <w:szCs w:val="21"/>
        </w:rPr>
        <w:t>施工组织设计评审标准：见评标办法前附表。(适用</w:t>
      </w:r>
      <w:r>
        <w:rPr>
          <w:rFonts w:ascii="黑体" w:hAnsi="黑体" w:eastAsia="黑体" w:cs="黑体"/>
          <w:spacing w:val="1"/>
          <w:sz w:val="21"/>
          <w:szCs w:val="21"/>
        </w:rPr>
        <w:t>于办法五、六、七、八)</w:t>
      </w:r>
    </w:p>
    <w:p w14:paraId="7EE7552A">
      <w:pPr>
        <w:spacing w:before="107" w:line="222" w:lineRule="auto"/>
        <w:ind w:left="423"/>
        <w:outlineLvl w:val="2"/>
        <w:rPr>
          <w:rFonts w:ascii="黑体" w:hAnsi="黑体" w:eastAsia="黑体" w:cs="黑体"/>
          <w:sz w:val="25"/>
          <w:szCs w:val="25"/>
        </w:rPr>
      </w:pPr>
      <w:bookmarkStart w:id="126" w:name="bookmark94"/>
      <w:bookmarkEnd w:id="126"/>
      <w:r>
        <w:rPr>
          <w:rFonts w:ascii="黑体" w:hAnsi="黑体" w:eastAsia="黑体" w:cs="黑体"/>
          <w:b/>
          <w:bCs/>
          <w:spacing w:val="4"/>
          <w:sz w:val="25"/>
          <w:szCs w:val="25"/>
        </w:rPr>
        <w:t>2.2分值构成与评分标准</w:t>
      </w:r>
    </w:p>
    <w:p w14:paraId="44E54E31">
      <w:pPr>
        <w:pStyle w:val="2"/>
        <w:spacing w:before="130" w:line="222" w:lineRule="auto"/>
        <w:ind w:left="422"/>
        <w:rPr>
          <w:rFonts w:ascii="黑体" w:hAnsi="黑体" w:eastAsia="黑体" w:cs="黑体"/>
          <w:sz w:val="21"/>
          <w:szCs w:val="21"/>
        </w:rPr>
      </w:pPr>
      <w:r>
        <w:rPr>
          <w:b/>
          <w:bCs/>
          <w:spacing w:val="-5"/>
          <w:sz w:val="21"/>
          <w:szCs w:val="21"/>
        </w:rPr>
        <w:t>2.2.1</w:t>
      </w:r>
      <w:r>
        <w:rPr>
          <w:spacing w:val="24"/>
          <w:sz w:val="21"/>
          <w:szCs w:val="21"/>
        </w:rPr>
        <w:t xml:space="preserve"> </w:t>
      </w:r>
      <w:r>
        <w:rPr>
          <w:rFonts w:ascii="黑体" w:hAnsi="黑体" w:eastAsia="黑体" w:cs="黑体"/>
          <w:b/>
          <w:bCs/>
          <w:spacing w:val="-5"/>
          <w:sz w:val="21"/>
          <w:szCs w:val="21"/>
        </w:rPr>
        <w:t>分值构成</w:t>
      </w:r>
    </w:p>
    <w:p w14:paraId="0E322503">
      <w:pPr>
        <w:pStyle w:val="2"/>
        <w:spacing w:before="158" w:line="218" w:lineRule="auto"/>
        <w:ind w:left="830"/>
        <w:rPr>
          <w:sz w:val="21"/>
          <w:szCs w:val="21"/>
        </w:rPr>
      </w:pPr>
      <w:r>
        <w:rPr>
          <w:spacing w:val="4"/>
          <w:sz w:val="21"/>
          <w:szCs w:val="21"/>
        </w:rPr>
        <w:t>(1)投标报价：见评标办法前附表；</w:t>
      </w:r>
    </w:p>
    <w:p w14:paraId="72A92938">
      <w:pPr>
        <w:pStyle w:val="2"/>
        <w:spacing w:before="143" w:line="219" w:lineRule="auto"/>
        <w:ind w:left="830"/>
        <w:rPr>
          <w:sz w:val="21"/>
          <w:szCs w:val="21"/>
        </w:rPr>
      </w:pPr>
      <w:r>
        <w:rPr>
          <w:spacing w:val="3"/>
          <w:sz w:val="21"/>
          <w:szCs w:val="21"/>
        </w:rPr>
        <w:t>(2)施工组织设计：见评标办法前附表；(适用于办法一、二、三、四)</w:t>
      </w:r>
    </w:p>
    <w:p w14:paraId="094FA07F">
      <w:pPr>
        <w:pStyle w:val="2"/>
        <w:spacing w:before="151" w:line="219" w:lineRule="auto"/>
        <w:ind w:left="830"/>
        <w:rPr>
          <w:sz w:val="21"/>
          <w:szCs w:val="21"/>
        </w:rPr>
      </w:pPr>
      <w:r>
        <w:rPr>
          <w:spacing w:val="4"/>
          <w:sz w:val="21"/>
          <w:szCs w:val="21"/>
        </w:rPr>
        <w:t>(3)项目管理机构：见评标办法前附表；</w:t>
      </w:r>
    </w:p>
    <w:p w14:paraId="7ADFD6AC">
      <w:pPr>
        <w:pStyle w:val="2"/>
        <w:spacing w:before="160" w:line="219" w:lineRule="auto"/>
        <w:ind w:left="830"/>
        <w:rPr>
          <w:sz w:val="21"/>
          <w:szCs w:val="21"/>
        </w:rPr>
      </w:pPr>
      <w:r>
        <w:rPr>
          <w:spacing w:val="4"/>
          <w:sz w:val="21"/>
          <w:szCs w:val="21"/>
        </w:rPr>
        <w:t>(4)其他评分因素：见评标办法前附表。</w:t>
      </w:r>
    </w:p>
    <w:p w14:paraId="4250FEC4">
      <w:pPr>
        <w:pStyle w:val="2"/>
        <w:spacing w:before="138" w:line="222" w:lineRule="auto"/>
        <w:ind w:left="422"/>
        <w:rPr>
          <w:rFonts w:ascii="黑体" w:hAnsi="黑体" w:eastAsia="黑体" w:cs="黑体"/>
          <w:sz w:val="21"/>
          <w:szCs w:val="21"/>
        </w:rPr>
      </w:pPr>
      <w:r>
        <w:rPr>
          <w:b/>
          <w:bCs/>
          <w:spacing w:val="-3"/>
          <w:sz w:val="21"/>
          <w:szCs w:val="21"/>
        </w:rPr>
        <w:t>2.2.2</w:t>
      </w:r>
      <w:r>
        <w:rPr>
          <w:spacing w:val="-3"/>
          <w:sz w:val="21"/>
          <w:szCs w:val="21"/>
        </w:rPr>
        <w:t xml:space="preserve"> </w:t>
      </w:r>
      <w:r>
        <w:rPr>
          <w:rFonts w:ascii="黑体" w:hAnsi="黑体" w:eastAsia="黑体" w:cs="黑体"/>
          <w:b/>
          <w:bCs/>
          <w:spacing w:val="-3"/>
          <w:sz w:val="21"/>
          <w:szCs w:val="21"/>
        </w:rPr>
        <w:t>评标基准价计算</w:t>
      </w:r>
    </w:p>
    <w:p w14:paraId="297E6629">
      <w:pPr>
        <w:pStyle w:val="2"/>
        <w:spacing w:before="160" w:line="218" w:lineRule="auto"/>
        <w:ind w:left="949"/>
        <w:rPr>
          <w:sz w:val="21"/>
          <w:szCs w:val="21"/>
        </w:rPr>
      </w:pPr>
      <w:r>
        <w:rPr>
          <w:spacing w:val="2"/>
          <w:sz w:val="21"/>
          <w:szCs w:val="21"/>
        </w:rPr>
        <w:t>(1)评标价确定方法：见评标办法前附表；</w:t>
      </w:r>
    </w:p>
    <w:p w14:paraId="18B4C22F">
      <w:pPr>
        <w:pStyle w:val="2"/>
        <w:spacing w:before="152" w:line="218" w:lineRule="auto"/>
        <w:ind w:left="949"/>
        <w:rPr>
          <w:sz w:val="21"/>
          <w:szCs w:val="21"/>
        </w:rPr>
      </w:pPr>
      <w:r>
        <w:rPr>
          <w:spacing w:val="4"/>
          <w:sz w:val="21"/>
          <w:szCs w:val="21"/>
        </w:rPr>
        <w:t>(2)评标基准价计算方法：见评标办法前附表。</w:t>
      </w:r>
    </w:p>
    <w:p w14:paraId="0B9AE9D0">
      <w:pPr>
        <w:pStyle w:val="2"/>
        <w:spacing w:before="142" w:line="218" w:lineRule="auto"/>
        <w:ind w:left="949"/>
        <w:rPr>
          <w:sz w:val="21"/>
          <w:szCs w:val="21"/>
        </w:rPr>
      </w:pPr>
      <w:r>
        <w:rPr>
          <w:spacing w:val="5"/>
          <w:sz w:val="21"/>
          <w:szCs w:val="21"/>
        </w:rPr>
        <w:t>(3)期望合理价的确定：见评标办法前附表。(适用于办法八)</w:t>
      </w:r>
    </w:p>
    <w:p w14:paraId="21A35337">
      <w:pPr>
        <w:pStyle w:val="2"/>
        <w:spacing w:before="150" w:line="222" w:lineRule="auto"/>
        <w:ind w:left="422"/>
        <w:rPr>
          <w:rFonts w:ascii="黑体" w:hAnsi="黑体" w:eastAsia="黑体" w:cs="黑体"/>
          <w:sz w:val="21"/>
          <w:szCs w:val="21"/>
        </w:rPr>
      </w:pPr>
      <w:r>
        <w:rPr>
          <w:b/>
          <w:bCs/>
          <w:spacing w:val="-3"/>
          <w:sz w:val="21"/>
          <w:szCs w:val="21"/>
        </w:rPr>
        <w:t>2.2.3</w:t>
      </w:r>
      <w:r>
        <w:rPr>
          <w:spacing w:val="-3"/>
          <w:sz w:val="21"/>
          <w:szCs w:val="21"/>
        </w:rPr>
        <w:t xml:space="preserve"> </w:t>
      </w:r>
      <w:r>
        <w:rPr>
          <w:rFonts w:ascii="黑体" w:hAnsi="黑体" w:eastAsia="黑体" w:cs="黑体"/>
          <w:b/>
          <w:bCs/>
          <w:spacing w:val="-3"/>
          <w:sz w:val="21"/>
          <w:szCs w:val="21"/>
        </w:rPr>
        <w:t>投标报价的偏差率计算</w:t>
      </w:r>
    </w:p>
    <w:p w14:paraId="25D12FE2">
      <w:pPr>
        <w:pStyle w:val="2"/>
        <w:spacing w:before="160" w:line="218" w:lineRule="auto"/>
        <w:ind w:left="830"/>
        <w:rPr>
          <w:sz w:val="21"/>
          <w:szCs w:val="21"/>
        </w:rPr>
      </w:pPr>
      <w:r>
        <w:rPr>
          <w:spacing w:val="-2"/>
          <w:sz w:val="21"/>
          <w:szCs w:val="21"/>
        </w:rPr>
        <w:t>投标报价的偏差率计算公式：见评标办法前附表。</w:t>
      </w:r>
    </w:p>
    <w:p w14:paraId="496CB725">
      <w:pPr>
        <w:pStyle w:val="2"/>
        <w:spacing w:before="139" w:line="222" w:lineRule="auto"/>
        <w:ind w:left="422"/>
        <w:rPr>
          <w:rFonts w:ascii="黑体" w:hAnsi="黑体" w:eastAsia="黑体" w:cs="黑体"/>
          <w:sz w:val="21"/>
          <w:szCs w:val="21"/>
        </w:rPr>
      </w:pPr>
      <w:r>
        <w:rPr>
          <w:b/>
          <w:bCs/>
          <w:spacing w:val="-1"/>
          <w:sz w:val="21"/>
          <w:szCs w:val="21"/>
        </w:rPr>
        <w:t>2.2.4</w:t>
      </w:r>
      <w:r>
        <w:rPr>
          <w:spacing w:val="-1"/>
          <w:sz w:val="21"/>
          <w:szCs w:val="21"/>
        </w:rPr>
        <w:t xml:space="preserve"> </w:t>
      </w:r>
      <w:r>
        <w:rPr>
          <w:rFonts w:ascii="黑体" w:hAnsi="黑体" w:eastAsia="黑体" w:cs="黑体"/>
          <w:b/>
          <w:bCs/>
          <w:spacing w:val="-1"/>
          <w:sz w:val="21"/>
          <w:szCs w:val="21"/>
        </w:rPr>
        <w:t>评分标准</w:t>
      </w:r>
    </w:p>
    <w:p w14:paraId="35FD0FA6">
      <w:pPr>
        <w:pStyle w:val="2"/>
        <w:spacing w:before="150" w:line="218" w:lineRule="auto"/>
        <w:ind w:left="830"/>
        <w:rPr>
          <w:sz w:val="21"/>
          <w:szCs w:val="21"/>
        </w:rPr>
      </w:pPr>
      <w:r>
        <w:rPr>
          <w:spacing w:val="12"/>
          <w:sz w:val="21"/>
          <w:szCs w:val="21"/>
        </w:rPr>
        <w:t>(1)投标报价评分(审)标准：见评标办法前附表；</w:t>
      </w:r>
    </w:p>
    <w:p w14:paraId="0D770652">
      <w:pPr>
        <w:pStyle w:val="2"/>
        <w:spacing w:before="163" w:line="219" w:lineRule="auto"/>
        <w:ind w:left="830"/>
        <w:rPr>
          <w:sz w:val="21"/>
          <w:szCs w:val="21"/>
        </w:rPr>
      </w:pPr>
      <w:r>
        <w:rPr>
          <w:spacing w:val="3"/>
          <w:sz w:val="21"/>
          <w:szCs w:val="21"/>
        </w:rPr>
        <w:t>(2)施工组织设计评分标准：见评标办法前附表；(适用于办法一、二、三、四)</w:t>
      </w:r>
    </w:p>
    <w:p w14:paraId="5B38FC08">
      <w:pPr>
        <w:pStyle w:val="2"/>
        <w:spacing w:before="141" w:line="219" w:lineRule="auto"/>
        <w:ind w:left="830"/>
        <w:rPr>
          <w:sz w:val="21"/>
          <w:szCs w:val="21"/>
        </w:rPr>
      </w:pPr>
      <w:r>
        <w:rPr>
          <w:spacing w:val="3"/>
          <w:sz w:val="21"/>
          <w:szCs w:val="21"/>
        </w:rPr>
        <w:t>(3)项目管理机构评分标准：见评标办法前附表；</w:t>
      </w:r>
    </w:p>
    <w:p w14:paraId="09B6E676">
      <w:pPr>
        <w:pStyle w:val="2"/>
        <w:spacing w:before="161" w:line="219" w:lineRule="auto"/>
        <w:ind w:left="830"/>
        <w:rPr>
          <w:sz w:val="21"/>
          <w:szCs w:val="21"/>
        </w:rPr>
      </w:pPr>
      <w:r>
        <w:rPr>
          <w:spacing w:val="4"/>
          <w:sz w:val="21"/>
          <w:szCs w:val="21"/>
        </w:rPr>
        <w:t>(4)其他因素评分标准：见评标办法前附表。</w:t>
      </w:r>
    </w:p>
    <w:p w14:paraId="7B8081B6">
      <w:pPr>
        <w:pStyle w:val="2"/>
        <w:spacing w:before="189" w:line="222" w:lineRule="auto"/>
        <w:ind w:left="4"/>
        <w:outlineLvl w:val="1"/>
        <w:rPr>
          <w:rFonts w:ascii="黑体" w:hAnsi="黑体" w:eastAsia="黑体" w:cs="黑体"/>
          <w:sz w:val="29"/>
          <w:szCs w:val="29"/>
        </w:rPr>
      </w:pPr>
      <w:bookmarkStart w:id="127" w:name="bookmark95"/>
      <w:bookmarkEnd w:id="127"/>
      <w:r>
        <w:rPr>
          <w:b/>
          <w:bCs/>
          <w:spacing w:val="-3"/>
          <w:sz w:val="29"/>
          <w:szCs w:val="29"/>
        </w:rPr>
        <w:t>3.</w:t>
      </w:r>
      <w:r>
        <w:rPr>
          <w:spacing w:val="-77"/>
          <w:sz w:val="29"/>
          <w:szCs w:val="29"/>
        </w:rPr>
        <w:t xml:space="preserve"> </w:t>
      </w:r>
      <w:r>
        <w:rPr>
          <w:rFonts w:ascii="黑体" w:hAnsi="黑体" w:eastAsia="黑体" w:cs="黑体"/>
          <w:b/>
          <w:bCs/>
          <w:spacing w:val="-3"/>
          <w:sz w:val="29"/>
          <w:szCs w:val="29"/>
        </w:rPr>
        <w:t>评标程序</w:t>
      </w:r>
    </w:p>
    <w:p w14:paraId="5543149C">
      <w:pPr>
        <w:spacing w:line="222" w:lineRule="auto"/>
        <w:rPr>
          <w:rFonts w:ascii="黑体" w:hAnsi="黑体" w:eastAsia="黑体" w:cs="黑体"/>
          <w:sz w:val="29"/>
          <w:szCs w:val="29"/>
        </w:rPr>
        <w:sectPr>
          <w:footerReference r:id="rId56" w:type="default"/>
          <w:pgSz w:w="11910" w:h="16840"/>
          <w:pgMar w:top="1431" w:right="1444" w:bottom="1001" w:left="1450" w:header="0" w:footer="857" w:gutter="0"/>
          <w:cols w:space="720" w:num="1"/>
        </w:sectPr>
      </w:pPr>
    </w:p>
    <w:p w14:paraId="72D33117">
      <w:pPr>
        <w:spacing w:line="272" w:lineRule="auto"/>
        <w:rPr>
          <w:rFonts w:ascii="Arial"/>
          <w:sz w:val="21"/>
        </w:rPr>
      </w:pPr>
    </w:p>
    <w:p w14:paraId="7F6140E5">
      <w:pPr>
        <w:pStyle w:val="2"/>
        <w:spacing w:before="81" w:line="219" w:lineRule="auto"/>
        <w:ind w:left="403"/>
        <w:outlineLvl w:val="2"/>
      </w:pPr>
      <w:bookmarkStart w:id="128" w:name="bookmark96"/>
      <w:bookmarkEnd w:id="128"/>
      <w:bookmarkStart w:id="129" w:name="bookmark250"/>
      <w:bookmarkEnd w:id="129"/>
      <w:r>
        <w:rPr>
          <w:b/>
          <w:bCs/>
          <w:spacing w:val="8"/>
        </w:rPr>
        <w:t>3.</w:t>
      </w:r>
      <w:r>
        <w:rPr>
          <w:spacing w:val="-72"/>
        </w:rPr>
        <w:t xml:space="preserve"> </w:t>
      </w:r>
      <w:r>
        <w:rPr>
          <w:b/>
          <w:bCs/>
          <w:spacing w:val="8"/>
        </w:rPr>
        <w:t>1初步评审</w:t>
      </w:r>
    </w:p>
    <w:p w14:paraId="36B84A41">
      <w:pPr>
        <w:pStyle w:val="2"/>
        <w:spacing w:before="155" w:line="301" w:lineRule="auto"/>
        <w:ind w:right="93" w:firstLine="399"/>
        <w:rPr>
          <w:sz w:val="21"/>
          <w:szCs w:val="21"/>
        </w:rPr>
      </w:pPr>
      <w:r>
        <w:rPr>
          <w:spacing w:val="4"/>
          <w:sz w:val="21"/>
          <w:szCs w:val="21"/>
        </w:rPr>
        <w:t>3.1.1 评标委员会可以要求投标人提交第二章“投标人须知”第3.5.1项规定的有关证明和</w:t>
      </w:r>
      <w:r>
        <w:rPr>
          <w:spacing w:val="1"/>
          <w:sz w:val="21"/>
          <w:szCs w:val="21"/>
        </w:rPr>
        <w:t xml:space="preserve"> </w:t>
      </w:r>
      <w:r>
        <w:rPr>
          <w:spacing w:val="4"/>
          <w:sz w:val="21"/>
          <w:szCs w:val="21"/>
        </w:rPr>
        <w:t>证件的原件，以便核验。评标委员会依据本章第2.1款规定的标准对投标文件进行初步评审。有</w:t>
      </w:r>
      <w:r>
        <w:rPr>
          <w:spacing w:val="2"/>
          <w:sz w:val="21"/>
          <w:szCs w:val="21"/>
        </w:rPr>
        <w:t xml:space="preserve"> </w:t>
      </w:r>
      <w:r>
        <w:rPr>
          <w:spacing w:val="-2"/>
          <w:sz w:val="21"/>
          <w:szCs w:val="21"/>
        </w:rPr>
        <w:t>一项不符合评审标准的，评标委员会应当否决其投标。</w:t>
      </w:r>
    </w:p>
    <w:p w14:paraId="74C616CC">
      <w:pPr>
        <w:pStyle w:val="2"/>
        <w:spacing w:before="170" w:line="219" w:lineRule="auto"/>
        <w:ind w:left="399"/>
        <w:rPr>
          <w:sz w:val="21"/>
          <w:szCs w:val="21"/>
        </w:rPr>
      </w:pPr>
      <w:r>
        <w:rPr>
          <w:spacing w:val="-1"/>
          <w:sz w:val="21"/>
          <w:szCs w:val="21"/>
        </w:rPr>
        <w:t>3.1.2 投标人有以下情形之一的，评标委员会应当否决其投标：</w:t>
      </w:r>
    </w:p>
    <w:p w14:paraId="380D375E">
      <w:pPr>
        <w:pStyle w:val="2"/>
        <w:spacing w:before="141" w:line="219" w:lineRule="auto"/>
        <w:ind w:left="519"/>
        <w:rPr>
          <w:sz w:val="21"/>
          <w:szCs w:val="21"/>
        </w:rPr>
      </w:pPr>
      <w:r>
        <w:rPr>
          <w:spacing w:val="4"/>
          <w:sz w:val="21"/>
          <w:szCs w:val="21"/>
        </w:rPr>
        <w:t>(1)不按评标委员会要求澄清、说明或补正。</w:t>
      </w:r>
    </w:p>
    <w:p w14:paraId="3FEEDBF2">
      <w:pPr>
        <w:pStyle w:val="2"/>
        <w:spacing w:before="151" w:line="219" w:lineRule="auto"/>
        <w:ind w:left="519"/>
        <w:rPr>
          <w:sz w:val="21"/>
          <w:szCs w:val="21"/>
        </w:rPr>
      </w:pPr>
      <w:r>
        <w:rPr>
          <w:spacing w:val="2"/>
          <w:sz w:val="21"/>
          <w:szCs w:val="21"/>
        </w:rPr>
        <w:t>(2)有串通投标、弄虚作假、行贿或有其他违法行为；</w:t>
      </w:r>
    </w:p>
    <w:p w14:paraId="62973AAC">
      <w:pPr>
        <w:pStyle w:val="2"/>
        <w:spacing w:before="163" w:line="220" w:lineRule="auto"/>
        <w:ind w:left="719"/>
        <w:rPr>
          <w:sz w:val="21"/>
          <w:szCs w:val="21"/>
        </w:rPr>
      </w:pPr>
      <w:r>
        <w:rPr>
          <w:spacing w:val="2"/>
          <w:sz w:val="21"/>
          <w:szCs w:val="21"/>
        </w:rPr>
        <w:t>1)有下列情形之一的，视为投标人相互串通投标：</w:t>
      </w:r>
    </w:p>
    <w:p w14:paraId="70C1E1F6">
      <w:pPr>
        <w:pStyle w:val="2"/>
        <w:spacing w:before="136" w:line="217" w:lineRule="auto"/>
        <w:ind w:left="989"/>
        <w:rPr>
          <w:sz w:val="21"/>
          <w:szCs w:val="21"/>
        </w:rPr>
      </w:pPr>
      <w:r>
        <w:rPr>
          <w:spacing w:val="2"/>
          <w:sz w:val="21"/>
          <w:szCs w:val="21"/>
        </w:rPr>
        <w:t>①不同投标人的投标文件由同一单位或者个人编制；</w:t>
      </w:r>
    </w:p>
    <w:p w14:paraId="420E48FB">
      <w:pPr>
        <w:pStyle w:val="2"/>
        <w:spacing w:before="154" w:line="217" w:lineRule="auto"/>
        <w:ind w:left="989"/>
        <w:rPr>
          <w:sz w:val="21"/>
          <w:szCs w:val="21"/>
        </w:rPr>
      </w:pPr>
      <w:r>
        <w:rPr>
          <w:spacing w:val="3"/>
          <w:sz w:val="21"/>
          <w:szCs w:val="21"/>
        </w:rPr>
        <w:t>②不同投标人委托同一单位或者个人办理投标事宜；</w:t>
      </w:r>
    </w:p>
    <w:p w14:paraId="371DC145">
      <w:pPr>
        <w:pStyle w:val="2"/>
        <w:spacing w:before="163" w:line="217" w:lineRule="auto"/>
        <w:ind w:left="989"/>
        <w:rPr>
          <w:sz w:val="21"/>
          <w:szCs w:val="21"/>
        </w:rPr>
      </w:pPr>
      <w:r>
        <w:rPr>
          <w:spacing w:val="2"/>
          <w:sz w:val="21"/>
          <w:szCs w:val="21"/>
        </w:rPr>
        <w:t>③不同投标人的投标文件载明的项目管理成员</w:t>
      </w:r>
      <w:r>
        <w:rPr>
          <w:spacing w:val="1"/>
          <w:sz w:val="21"/>
          <w:szCs w:val="21"/>
        </w:rPr>
        <w:t>为同一人；</w:t>
      </w:r>
    </w:p>
    <w:p w14:paraId="57656171">
      <w:pPr>
        <w:pStyle w:val="2"/>
        <w:spacing w:before="153" w:line="217" w:lineRule="auto"/>
        <w:ind w:left="989"/>
        <w:rPr>
          <w:sz w:val="21"/>
          <w:szCs w:val="21"/>
        </w:rPr>
      </w:pPr>
      <w:r>
        <w:rPr>
          <w:spacing w:val="3"/>
          <w:sz w:val="21"/>
          <w:szCs w:val="21"/>
        </w:rPr>
        <w:t>④不同投标人的投标文件异常一致或者投标报价呈规律性差异；</w:t>
      </w:r>
    </w:p>
    <w:p w14:paraId="2BD1E21E">
      <w:pPr>
        <w:pStyle w:val="2"/>
        <w:spacing w:before="153" w:line="217" w:lineRule="auto"/>
        <w:ind w:left="989"/>
        <w:rPr>
          <w:sz w:val="21"/>
          <w:szCs w:val="21"/>
        </w:rPr>
      </w:pPr>
      <w:r>
        <w:rPr>
          <w:spacing w:val="4"/>
          <w:sz w:val="21"/>
          <w:szCs w:val="21"/>
        </w:rPr>
        <w:t>⑤不同投标人的投标文件相互混装；</w:t>
      </w:r>
    </w:p>
    <w:p w14:paraId="1EC3AD07">
      <w:pPr>
        <w:pStyle w:val="2"/>
        <w:spacing w:before="143" w:line="217" w:lineRule="auto"/>
        <w:ind w:left="989"/>
        <w:rPr>
          <w:sz w:val="21"/>
          <w:szCs w:val="21"/>
        </w:rPr>
      </w:pPr>
      <w:r>
        <w:rPr>
          <w:spacing w:val="3"/>
          <w:sz w:val="21"/>
          <w:szCs w:val="21"/>
        </w:rPr>
        <w:t>⑥不同投标人的投标保证金从同一单位或者</w:t>
      </w:r>
      <w:r>
        <w:rPr>
          <w:spacing w:val="2"/>
          <w:sz w:val="21"/>
          <w:szCs w:val="21"/>
        </w:rPr>
        <w:t>个人的账户转出；</w:t>
      </w:r>
    </w:p>
    <w:p w14:paraId="6998FBBA">
      <w:pPr>
        <w:pStyle w:val="2"/>
        <w:spacing w:before="163" w:line="217" w:lineRule="auto"/>
        <w:ind w:left="989"/>
        <w:rPr>
          <w:sz w:val="21"/>
          <w:szCs w:val="21"/>
        </w:rPr>
      </w:pPr>
      <w:r>
        <w:rPr>
          <w:spacing w:val="-5"/>
          <w:sz w:val="21"/>
          <w:szCs w:val="21"/>
        </w:rPr>
        <w:t>⑦不同投标人的投标文件存在“文件创建标识码”</w:t>
      </w:r>
      <w:r>
        <w:rPr>
          <w:spacing w:val="-6"/>
          <w:sz w:val="21"/>
          <w:szCs w:val="21"/>
        </w:rPr>
        <w:t>、“文件制作机器码”一致等情形。</w:t>
      </w:r>
    </w:p>
    <w:p w14:paraId="54A0EFA7">
      <w:pPr>
        <w:pStyle w:val="2"/>
        <w:spacing w:before="135" w:line="219" w:lineRule="auto"/>
        <w:ind w:left="719"/>
        <w:rPr>
          <w:sz w:val="21"/>
          <w:szCs w:val="21"/>
        </w:rPr>
      </w:pPr>
      <w:r>
        <w:rPr>
          <w:spacing w:val="4"/>
          <w:sz w:val="21"/>
          <w:szCs w:val="21"/>
        </w:rPr>
        <w:t>2)有下列情形之一的，属于弄虚作假行为：</w:t>
      </w:r>
    </w:p>
    <w:p w14:paraId="31A0A707">
      <w:pPr>
        <w:pStyle w:val="2"/>
        <w:spacing w:before="159" w:line="217" w:lineRule="auto"/>
        <w:jc w:val="right"/>
        <w:rPr>
          <w:sz w:val="21"/>
          <w:szCs w:val="21"/>
        </w:rPr>
      </w:pPr>
      <w:r>
        <w:rPr>
          <w:sz w:val="21"/>
          <w:szCs w:val="21"/>
        </w:rPr>
        <w:t>①使用通过受让或者租借等方式获取的资格、资质证书投标的，即以他人名义投标的。</w:t>
      </w:r>
    </w:p>
    <w:p w14:paraId="05ACCB39">
      <w:pPr>
        <w:pStyle w:val="2"/>
        <w:spacing w:before="164" w:line="217" w:lineRule="auto"/>
        <w:ind w:left="989"/>
        <w:rPr>
          <w:sz w:val="21"/>
          <w:szCs w:val="21"/>
        </w:rPr>
      </w:pPr>
      <w:r>
        <w:rPr>
          <w:spacing w:val="5"/>
          <w:sz w:val="21"/>
          <w:szCs w:val="21"/>
        </w:rPr>
        <w:t>②使用伪造、变造的许可证件；</w:t>
      </w:r>
    </w:p>
    <w:p w14:paraId="1559DE63">
      <w:pPr>
        <w:pStyle w:val="2"/>
        <w:spacing w:before="153" w:line="217" w:lineRule="auto"/>
        <w:ind w:left="989"/>
        <w:rPr>
          <w:sz w:val="21"/>
          <w:szCs w:val="21"/>
        </w:rPr>
      </w:pPr>
      <w:r>
        <w:rPr>
          <w:spacing w:val="4"/>
          <w:sz w:val="21"/>
          <w:szCs w:val="21"/>
        </w:rPr>
        <w:t>③提供虚假的财务状况或者业绩；</w:t>
      </w:r>
    </w:p>
    <w:p w14:paraId="3F955B4E">
      <w:pPr>
        <w:pStyle w:val="2"/>
        <w:spacing w:before="143" w:line="217" w:lineRule="auto"/>
        <w:ind w:left="989"/>
        <w:rPr>
          <w:sz w:val="21"/>
          <w:szCs w:val="21"/>
        </w:rPr>
      </w:pPr>
      <w:r>
        <w:rPr>
          <w:spacing w:val="2"/>
          <w:sz w:val="21"/>
          <w:szCs w:val="21"/>
        </w:rPr>
        <w:t>④提供虚假的项目负责人或者主要技术人员简历、劳动关系证明；</w:t>
      </w:r>
    </w:p>
    <w:p w14:paraId="2C42563A">
      <w:pPr>
        <w:pStyle w:val="2"/>
        <w:spacing w:before="163" w:line="217" w:lineRule="auto"/>
        <w:ind w:left="989"/>
        <w:rPr>
          <w:sz w:val="21"/>
          <w:szCs w:val="21"/>
        </w:rPr>
      </w:pPr>
      <w:r>
        <w:rPr>
          <w:spacing w:val="6"/>
          <w:sz w:val="21"/>
          <w:szCs w:val="21"/>
        </w:rPr>
        <w:t>⑤提供虚假的信用状况；</w:t>
      </w:r>
    </w:p>
    <w:p w14:paraId="6244262A">
      <w:pPr>
        <w:pStyle w:val="2"/>
        <w:spacing w:before="153" w:line="217" w:lineRule="auto"/>
        <w:ind w:left="989"/>
        <w:rPr>
          <w:sz w:val="21"/>
          <w:szCs w:val="21"/>
        </w:rPr>
      </w:pPr>
      <w:r>
        <w:rPr>
          <w:spacing w:val="8"/>
          <w:sz w:val="21"/>
          <w:szCs w:val="21"/>
        </w:rPr>
        <w:t>⑥其他弄虚作假的行为。</w:t>
      </w:r>
    </w:p>
    <w:p w14:paraId="03F51D44">
      <w:pPr>
        <w:pStyle w:val="2"/>
        <w:spacing w:before="136" w:line="317" w:lineRule="auto"/>
        <w:ind w:right="92" w:firstLine="399"/>
        <w:rPr>
          <w:sz w:val="21"/>
          <w:szCs w:val="21"/>
        </w:rPr>
      </w:pPr>
      <w:r>
        <w:rPr>
          <w:sz w:val="21"/>
          <w:szCs w:val="21"/>
        </w:rPr>
        <w:t>3.1.3投标报价有算术错误的，评标委员会按以下原则对投标</w:t>
      </w:r>
      <w:r>
        <w:rPr>
          <w:spacing w:val="-1"/>
          <w:sz w:val="21"/>
          <w:szCs w:val="21"/>
        </w:rPr>
        <w:t>报价进行修正，修正的价格经投</w:t>
      </w:r>
      <w:r>
        <w:rPr>
          <w:sz w:val="21"/>
          <w:szCs w:val="21"/>
        </w:rPr>
        <w:t xml:space="preserve"> </w:t>
      </w:r>
      <w:r>
        <w:rPr>
          <w:spacing w:val="2"/>
          <w:sz w:val="21"/>
          <w:szCs w:val="21"/>
        </w:rPr>
        <w:t>标人书面确认后具有约束力。投标人不接受修正价格的，或者修</w:t>
      </w:r>
      <w:r>
        <w:rPr>
          <w:spacing w:val="1"/>
          <w:sz w:val="21"/>
          <w:szCs w:val="21"/>
        </w:rPr>
        <w:t>正后的价格与投标报价相比偏差</w:t>
      </w:r>
      <w:r>
        <w:rPr>
          <w:sz w:val="21"/>
          <w:szCs w:val="21"/>
        </w:rPr>
        <w:t xml:space="preserve"> </w:t>
      </w:r>
      <w:r>
        <w:rPr>
          <w:spacing w:val="8"/>
          <w:sz w:val="21"/>
          <w:szCs w:val="21"/>
        </w:rPr>
        <w:t>率((修正后的价格-投标报价)÷投标报价×100%)在±1%以上的，或者修正后的投标报价超过</w:t>
      </w:r>
      <w:r>
        <w:rPr>
          <w:spacing w:val="14"/>
          <w:sz w:val="21"/>
          <w:szCs w:val="21"/>
        </w:rPr>
        <w:t xml:space="preserve"> </w:t>
      </w:r>
      <w:r>
        <w:rPr>
          <w:spacing w:val="8"/>
          <w:sz w:val="21"/>
          <w:szCs w:val="21"/>
        </w:rPr>
        <w:t>招标控制价的(如有),评标委员会应当否决其</w:t>
      </w:r>
      <w:r>
        <w:rPr>
          <w:spacing w:val="7"/>
          <w:sz w:val="21"/>
          <w:szCs w:val="21"/>
        </w:rPr>
        <w:t>投标。</w:t>
      </w:r>
    </w:p>
    <w:p w14:paraId="5E14F017">
      <w:pPr>
        <w:pStyle w:val="2"/>
        <w:spacing w:before="188" w:line="219" w:lineRule="auto"/>
        <w:ind w:left="839"/>
        <w:rPr>
          <w:sz w:val="21"/>
          <w:szCs w:val="21"/>
        </w:rPr>
      </w:pPr>
      <w:r>
        <w:rPr>
          <w:spacing w:val="2"/>
          <w:sz w:val="21"/>
          <w:szCs w:val="21"/>
        </w:rPr>
        <w:t>(1)投标文件中的大写金额与小写金额不一致的，以大写金额为准；</w:t>
      </w:r>
    </w:p>
    <w:p w14:paraId="6BE2C073">
      <w:pPr>
        <w:pStyle w:val="2"/>
        <w:spacing w:before="139" w:line="286" w:lineRule="auto"/>
        <w:ind w:right="95" w:firstLine="830"/>
        <w:rPr>
          <w:sz w:val="21"/>
          <w:szCs w:val="21"/>
        </w:rPr>
      </w:pPr>
      <w:r>
        <w:rPr>
          <w:spacing w:val="5"/>
          <w:sz w:val="21"/>
          <w:szCs w:val="21"/>
        </w:rPr>
        <w:t>(2)总价金额与依据单价计算出的结果不一致的，以单价金</w:t>
      </w:r>
      <w:r>
        <w:rPr>
          <w:spacing w:val="4"/>
          <w:sz w:val="21"/>
          <w:szCs w:val="21"/>
        </w:rPr>
        <w:t>额为准修正总价，但单价金</w:t>
      </w:r>
      <w:r>
        <w:rPr>
          <w:sz w:val="21"/>
          <w:szCs w:val="21"/>
        </w:rPr>
        <w:t xml:space="preserve"> </w:t>
      </w:r>
      <w:r>
        <w:rPr>
          <w:spacing w:val="-3"/>
          <w:sz w:val="21"/>
          <w:szCs w:val="21"/>
        </w:rPr>
        <w:t>额小数点有明显错误的除外。</w:t>
      </w:r>
    </w:p>
    <w:p w14:paraId="25FD11B1">
      <w:pPr>
        <w:pStyle w:val="2"/>
        <w:spacing w:before="157" w:line="312" w:lineRule="auto"/>
        <w:ind w:right="41" w:firstLine="719"/>
        <w:rPr>
          <w:sz w:val="21"/>
          <w:szCs w:val="21"/>
        </w:rPr>
      </w:pPr>
      <w:r>
        <w:rPr>
          <w:spacing w:val="3"/>
          <w:sz w:val="21"/>
          <w:szCs w:val="21"/>
        </w:rPr>
        <w:t>3.1.4评标委员会发现投标人的报价明显低于其他投标报价，或者在设有招标控制价时明</w:t>
      </w:r>
      <w:r>
        <w:rPr>
          <w:spacing w:val="14"/>
          <w:sz w:val="21"/>
          <w:szCs w:val="21"/>
        </w:rPr>
        <w:t xml:space="preserve"> </w:t>
      </w:r>
      <w:r>
        <w:rPr>
          <w:spacing w:val="2"/>
          <w:sz w:val="21"/>
          <w:szCs w:val="21"/>
        </w:rPr>
        <w:t>显低于招标控制价，使得其投标报价可能低于其个别成本</w:t>
      </w:r>
      <w:r>
        <w:rPr>
          <w:spacing w:val="1"/>
          <w:sz w:val="21"/>
          <w:szCs w:val="21"/>
        </w:rPr>
        <w:t>的，应当要求该投标人作出书面说明并</w:t>
      </w:r>
      <w:r>
        <w:rPr>
          <w:sz w:val="21"/>
          <w:szCs w:val="21"/>
        </w:rPr>
        <w:t xml:space="preserve"> </w:t>
      </w:r>
      <w:r>
        <w:rPr>
          <w:spacing w:val="2"/>
          <w:sz w:val="21"/>
          <w:szCs w:val="21"/>
        </w:rPr>
        <w:t>提供相应的证明材料。投标人不能合理说明或者不能提供相应证明材料的，由评标委员会认定该</w:t>
      </w:r>
      <w:r>
        <w:rPr>
          <w:spacing w:val="6"/>
          <w:sz w:val="21"/>
          <w:szCs w:val="21"/>
        </w:rPr>
        <w:t xml:space="preserve"> </w:t>
      </w:r>
      <w:r>
        <w:rPr>
          <w:spacing w:val="-3"/>
          <w:sz w:val="21"/>
          <w:szCs w:val="21"/>
        </w:rPr>
        <w:t>投标人以低于成本报价竞标，否决其投标。</w:t>
      </w:r>
    </w:p>
    <w:p w14:paraId="212109E8">
      <w:pPr>
        <w:spacing w:line="312" w:lineRule="auto"/>
        <w:rPr>
          <w:sz w:val="21"/>
          <w:szCs w:val="21"/>
        </w:rPr>
        <w:sectPr>
          <w:footerReference r:id="rId57" w:type="default"/>
          <w:pgSz w:w="11910" w:h="16840"/>
          <w:pgMar w:top="1431" w:right="1455" w:bottom="1008" w:left="1470" w:header="0" w:footer="855" w:gutter="0"/>
          <w:cols w:space="720" w:num="1"/>
        </w:sectPr>
      </w:pPr>
    </w:p>
    <w:p w14:paraId="2E5D77F1">
      <w:pPr>
        <w:spacing w:line="326" w:lineRule="auto"/>
        <w:rPr>
          <w:rFonts w:ascii="Arial"/>
          <w:sz w:val="21"/>
        </w:rPr>
      </w:pPr>
    </w:p>
    <w:p w14:paraId="5A8EDA1C">
      <w:pPr>
        <w:pStyle w:val="2"/>
        <w:spacing w:before="69" w:line="338" w:lineRule="auto"/>
        <w:ind w:left="15" w:right="66" w:firstLine="709"/>
        <w:rPr>
          <w:sz w:val="21"/>
          <w:szCs w:val="21"/>
        </w:rPr>
      </w:pPr>
      <w:r>
        <w:rPr>
          <w:spacing w:val="1"/>
          <w:sz w:val="21"/>
          <w:szCs w:val="21"/>
        </w:rPr>
        <w:t>3.1.5 评标委员会否决不合格投标后，因有效投标不足</w:t>
      </w:r>
      <w:r>
        <w:rPr>
          <w:sz w:val="21"/>
          <w:szCs w:val="21"/>
        </w:rPr>
        <w:t xml:space="preserve">三个使得投标明显缺乏竞争的，评 </w:t>
      </w:r>
      <w:r>
        <w:rPr>
          <w:spacing w:val="-3"/>
          <w:sz w:val="21"/>
          <w:szCs w:val="21"/>
        </w:rPr>
        <w:t>标委员会可以否决全部投标。</w:t>
      </w:r>
    </w:p>
    <w:p w14:paraId="50A1783A">
      <w:pPr>
        <w:pStyle w:val="2"/>
        <w:spacing w:line="220" w:lineRule="auto"/>
        <w:ind w:left="418"/>
        <w:outlineLvl w:val="2"/>
      </w:pPr>
      <w:bookmarkStart w:id="130" w:name="bookmark97"/>
      <w:bookmarkEnd w:id="130"/>
      <w:bookmarkStart w:id="131" w:name="bookmark251"/>
      <w:bookmarkEnd w:id="131"/>
      <w:r>
        <w:rPr>
          <w:b/>
          <w:bCs/>
          <w:spacing w:val="15"/>
        </w:rPr>
        <w:t>3.2详细评审</w:t>
      </w:r>
    </w:p>
    <w:p w14:paraId="7211AE60">
      <w:pPr>
        <w:pStyle w:val="2"/>
        <w:spacing w:before="131" w:line="219" w:lineRule="auto"/>
        <w:ind w:left="415"/>
        <w:rPr>
          <w:sz w:val="21"/>
          <w:szCs w:val="21"/>
        </w:rPr>
      </w:pPr>
      <w:r>
        <w:rPr>
          <w:spacing w:val="-1"/>
          <w:sz w:val="21"/>
          <w:szCs w:val="21"/>
        </w:rPr>
        <w:t>3.2.1 评标委员会对通过了初步评审的投标文件进行详细评审。</w:t>
      </w:r>
    </w:p>
    <w:p w14:paraId="61DFCF1B">
      <w:pPr>
        <w:pStyle w:val="2"/>
        <w:spacing w:before="160" w:line="218" w:lineRule="auto"/>
        <w:jc w:val="right"/>
        <w:rPr>
          <w:sz w:val="21"/>
          <w:szCs w:val="21"/>
        </w:rPr>
      </w:pPr>
      <w:r>
        <w:rPr>
          <w:spacing w:val="2"/>
          <w:sz w:val="21"/>
          <w:szCs w:val="21"/>
        </w:rPr>
        <w:t>3.2.2 评标委员会按本章第2.2款规定的量化因素和分值进行打分，并计算出综合评估得分。</w:t>
      </w:r>
    </w:p>
    <w:p w14:paraId="6FD07DE1">
      <w:pPr>
        <w:pStyle w:val="2"/>
        <w:spacing w:before="140" w:line="212" w:lineRule="auto"/>
        <w:ind w:left="845"/>
        <w:rPr>
          <w:rFonts w:ascii="Times New Roman" w:hAnsi="Times New Roman" w:eastAsia="Times New Roman" w:cs="Times New Roman"/>
          <w:sz w:val="21"/>
          <w:szCs w:val="21"/>
        </w:rPr>
      </w:pPr>
      <w:r>
        <w:rPr>
          <w:spacing w:val="11"/>
          <w:sz w:val="21"/>
          <w:szCs w:val="21"/>
        </w:rPr>
        <w:t>(1)按本章第2.2.4(1)目规定的评审因素和分值对投标报价计</w:t>
      </w:r>
      <w:r>
        <w:rPr>
          <w:spacing w:val="10"/>
          <w:sz w:val="21"/>
          <w:szCs w:val="21"/>
        </w:rPr>
        <w:t>算出得分</w:t>
      </w:r>
      <w:r>
        <w:rPr>
          <w:rFonts w:ascii="Times New Roman" w:hAnsi="Times New Roman" w:eastAsia="Times New Roman" w:cs="Times New Roman"/>
          <w:spacing w:val="10"/>
          <w:sz w:val="21"/>
          <w:szCs w:val="21"/>
        </w:rPr>
        <w:t>A;</w:t>
      </w:r>
    </w:p>
    <w:p w14:paraId="0E5B8251">
      <w:pPr>
        <w:pStyle w:val="2"/>
        <w:spacing w:before="138" w:line="212" w:lineRule="auto"/>
        <w:ind w:left="845"/>
        <w:rPr>
          <w:rFonts w:ascii="Times New Roman" w:hAnsi="Times New Roman" w:eastAsia="Times New Roman" w:cs="Times New Roman"/>
          <w:sz w:val="21"/>
          <w:szCs w:val="21"/>
        </w:rPr>
      </w:pPr>
      <w:r>
        <w:rPr>
          <w:spacing w:val="11"/>
          <w:sz w:val="21"/>
          <w:szCs w:val="21"/>
        </w:rPr>
        <w:t>(2)按本章第2.2.4(2)目规定的评审</w:t>
      </w:r>
      <w:r>
        <w:rPr>
          <w:spacing w:val="10"/>
          <w:sz w:val="21"/>
          <w:szCs w:val="21"/>
        </w:rPr>
        <w:t>因素和分值对施工组织设计计算出得分</w:t>
      </w:r>
      <w:r>
        <w:rPr>
          <w:rFonts w:ascii="Times New Roman" w:hAnsi="Times New Roman" w:eastAsia="Times New Roman" w:cs="Times New Roman"/>
          <w:spacing w:val="10"/>
          <w:sz w:val="21"/>
          <w:szCs w:val="21"/>
        </w:rPr>
        <w:t>B;</w:t>
      </w:r>
    </w:p>
    <w:p w14:paraId="7E11E1FE">
      <w:pPr>
        <w:pStyle w:val="2"/>
        <w:spacing w:before="169" w:line="212" w:lineRule="auto"/>
        <w:ind w:left="845"/>
        <w:rPr>
          <w:rFonts w:ascii="Times New Roman" w:hAnsi="Times New Roman" w:eastAsia="Times New Roman" w:cs="Times New Roman"/>
          <w:sz w:val="21"/>
          <w:szCs w:val="21"/>
        </w:rPr>
      </w:pPr>
      <w:r>
        <w:rPr>
          <w:spacing w:val="10"/>
          <w:sz w:val="21"/>
          <w:szCs w:val="21"/>
        </w:rPr>
        <w:t>(3)按本章第2.2.4(3)目规定的评审因素和分值对项目管理机构计算出得分</w:t>
      </w:r>
      <w:r>
        <w:rPr>
          <w:rFonts w:ascii="Times New Roman" w:hAnsi="Times New Roman" w:eastAsia="Times New Roman" w:cs="Times New Roman"/>
          <w:spacing w:val="10"/>
          <w:sz w:val="21"/>
          <w:szCs w:val="21"/>
        </w:rPr>
        <w:t>C;</w:t>
      </w:r>
    </w:p>
    <w:p w14:paraId="410A89AD">
      <w:pPr>
        <w:pStyle w:val="2"/>
        <w:spacing w:before="181" w:line="219" w:lineRule="auto"/>
        <w:ind w:left="845"/>
        <w:rPr>
          <w:sz w:val="21"/>
          <w:szCs w:val="21"/>
        </w:rPr>
      </w:pPr>
      <w:r>
        <w:rPr>
          <w:spacing w:val="11"/>
          <w:sz w:val="21"/>
          <w:szCs w:val="21"/>
        </w:rPr>
        <w:t>(4)按本章第2.2.4(4)目规定的评审因素和分值对其他部</w:t>
      </w:r>
      <w:r>
        <w:rPr>
          <w:spacing w:val="10"/>
          <w:sz w:val="21"/>
          <w:szCs w:val="21"/>
        </w:rPr>
        <w:t>分计算出得分</w:t>
      </w:r>
      <w:r>
        <w:rPr>
          <w:rFonts w:ascii="Times New Roman" w:hAnsi="Times New Roman" w:eastAsia="Times New Roman" w:cs="Times New Roman"/>
          <w:spacing w:val="10"/>
          <w:sz w:val="21"/>
          <w:szCs w:val="21"/>
        </w:rPr>
        <w:t>D</w:t>
      </w:r>
      <w:r>
        <w:rPr>
          <w:spacing w:val="10"/>
          <w:sz w:val="21"/>
          <w:szCs w:val="21"/>
        </w:rPr>
        <w:t>。</w:t>
      </w:r>
    </w:p>
    <w:p w14:paraId="34AFB9D3">
      <w:pPr>
        <w:pStyle w:val="2"/>
        <w:spacing w:before="141" w:line="289" w:lineRule="auto"/>
        <w:ind w:left="15" w:right="96" w:firstLine="399"/>
        <w:rPr>
          <w:sz w:val="21"/>
          <w:szCs w:val="21"/>
        </w:rPr>
      </w:pPr>
      <w:r>
        <w:rPr>
          <w:spacing w:val="5"/>
          <w:sz w:val="21"/>
          <w:szCs w:val="21"/>
        </w:rPr>
        <w:t>3.2.2 评标委员会按本章第2.2款规定的量化因素</w:t>
      </w:r>
      <w:r>
        <w:rPr>
          <w:spacing w:val="4"/>
          <w:sz w:val="21"/>
          <w:szCs w:val="21"/>
        </w:rPr>
        <w:t>和评审标准对投标报价评审，确人有效评</w:t>
      </w:r>
      <w:r>
        <w:rPr>
          <w:sz w:val="21"/>
          <w:szCs w:val="21"/>
        </w:rPr>
        <w:t xml:space="preserve"> </w:t>
      </w:r>
      <w:r>
        <w:rPr>
          <w:spacing w:val="2"/>
          <w:sz w:val="21"/>
          <w:szCs w:val="21"/>
        </w:rPr>
        <w:t>标价。(适用于办法八)</w:t>
      </w:r>
    </w:p>
    <w:p w14:paraId="6330DD0F">
      <w:pPr>
        <w:pStyle w:val="2"/>
        <w:spacing w:before="144" w:line="219" w:lineRule="auto"/>
        <w:ind w:left="415"/>
        <w:rPr>
          <w:sz w:val="21"/>
          <w:szCs w:val="21"/>
        </w:rPr>
      </w:pPr>
      <w:r>
        <w:rPr>
          <w:spacing w:val="-4"/>
          <w:sz w:val="21"/>
          <w:szCs w:val="21"/>
        </w:rPr>
        <w:t>3.2.3 评分分值计算保留小数点后两位，小数点后第三位“四舍五入”。</w:t>
      </w:r>
    </w:p>
    <w:p w14:paraId="5E49A9B4">
      <w:pPr>
        <w:pStyle w:val="2"/>
        <w:spacing w:before="141" w:line="219" w:lineRule="auto"/>
        <w:ind w:left="415"/>
        <w:rPr>
          <w:sz w:val="21"/>
          <w:szCs w:val="21"/>
        </w:rPr>
      </w:pPr>
      <w:r>
        <w:rPr>
          <w:rFonts w:ascii="Times New Roman" w:hAnsi="Times New Roman" w:eastAsia="Times New Roman" w:cs="Times New Roman"/>
          <w:spacing w:val="-8"/>
          <w:sz w:val="21"/>
          <w:szCs w:val="21"/>
        </w:rPr>
        <w:t xml:space="preserve">3.2.4    </w:t>
      </w:r>
      <w:r>
        <w:rPr>
          <w:spacing w:val="-8"/>
          <w:sz w:val="21"/>
          <w:szCs w:val="21"/>
        </w:rPr>
        <w:t>投标人得分=</w:t>
      </w:r>
      <w:r>
        <w:rPr>
          <w:rFonts w:ascii="Times New Roman" w:hAnsi="Times New Roman" w:eastAsia="Times New Roman" w:cs="Times New Roman"/>
          <w:spacing w:val="-8"/>
          <w:sz w:val="21"/>
          <w:szCs w:val="21"/>
        </w:rPr>
        <w:t>A+B+C</w:t>
      </w:r>
      <w:r>
        <w:rPr>
          <w:rFonts w:ascii="Times New Roman" w:hAnsi="Times New Roman" w:eastAsia="Times New Roman" w:cs="Times New Roman"/>
          <w:spacing w:val="-9"/>
          <w:sz w:val="21"/>
          <w:szCs w:val="21"/>
        </w:rPr>
        <w:t>+D</w:t>
      </w:r>
      <w:r>
        <w:rPr>
          <w:spacing w:val="-9"/>
          <w:sz w:val="21"/>
          <w:szCs w:val="21"/>
        </w:rPr>
        <w:t>。</w:t>
      </w:r>
    </w:p>
    <w:p w14:paraId="23ADB1FE">
      <w:pPr>
        <w:pStyle w:val="2"/>
        <w:spacing w:before="169" w:line="286" w:lineRule="auto"/>
        <w:ind w:left="15" w:right="107" w:firstLine="399"/>
        <w:rPr>
          <w:sz w:val="21"/>
          <w:szCs w:val="21"/>
        </w:rPr>
      </w:pPr>
      <w:r>
        <w:rPr>
          <w:spacing w:val="2"/>
          <w:sz w:val="21"/>
          <w:szCs w:val="21"/>
        </w:rPr>
        <w:t>3.2.5 各投标人最终得分的确定办法为：所有评标委员会成员的综合评分去掉一个最高分和</w:t>
      </w:r>
      <w:r>
        <w:rPr>
          <w:sz w:val="21"/>
          <w:szCs w:val="21"/>
        </w:rPr>
        <w:t xml:space="preserve"> </w:t>
      </w:r>
      <w:r>
        <w:rPr>
          <w:spacing w:val="-3"/>
          <w:sz w:val="21"/>
          <w:szCs w:val="21"/>
        </w:rPr>
        <w:t>一个最低分之后的算术平均值。</w:t>
      </w:r>
    </w:p>
    <w:p w14:paraId="41E412A6">
      <w:pPr>
        <w:pStyle w:val="2"/>
        <w:spacing w:before="109" w:line="219" w:lineRule="auto"/>
        <w:ind w:left="418"/>
        <w:outlineLvl w:val="2"/>
      </w:pPr>
      <w:bookmarkStart w:id="132" w:name="bookmark98"/>
      <w:bookmarkEnd w:id="132"/>
      <w:r>
        <w:rPr>
          <w:b/>
          <w:bCs/>
          <w:spacing w:val="3"/>
        </w:rPr>
        <w:t>3.3投标文件的澄清和补正</w:t>
      </w:r>
    </w:p>
    <w:p w14:paraId="2C18EDE8">
      <w:pPr>
        <w:pStyle w:val="2"/>
        <w:spacing w:before="125" w:line="313" w:lineRule="auto"/>
        <w:ind w:left="15" w:right="102" w:firstLine="399"/>
        <w:rPr>
          <w:sz w:val="21"/>
          <w:szCs w:val="21"/>
        </w:rPr>
      </w:pPr>
      <w:r>
        <w:rPr>
          <w:sz w:val="21"/>
          <w:szCs w:val="21"/>
        </w:rPr>
        <w:t>3.3.1在评标过程中，评标委员会可以书面形式要求投标人对</w:t>
      </w:r>
      <w:r>
        <w:rPr>
          <w:spacing w:val="-1"/>
          <w:sz w:val="21"/>
          <w:szCs w:val="21"/>
        </w:rPr>
        <w:t>投标文件中含义不明确、对同类</w:t>
      </w:r>
      <w:r>
        <w:rPr>
          <w:sz w:val="21"/>
          <w:szCs w:val="21"/>
        </w:rPr>
        <w:t xml:space="preserve"> </w:t>
      </w:r>
      <w:r>
        <w:rPr>
          <w:spacing w:val="2"/>
          <w:sz w:val="21"/>
          <w:szCs w:val="21"/>
        </w:rPr>
        <w:t>问题表述不一致或者有明显文字和计算错误的内容</w:t>
      </w:r>
      <w:r>
        <w:rPr>
          <w:spacing w:val="1"/>
          <w:sz w:val="21"/>
          <w:szCs w:val="21"/>
        </w:rPr>
        <w:t>作必要的澄清、说明或补正。澄清、说明或补</w:t>
      </w:r>
      <w:r>
        <w:rPr>
          <w:sz w:val="21"/>
          <w:szCs w:val="21"/>
        </w:rPr>
        <w:t xml:space="preserve"> </w:t>
      </w:r>
      <w:r>
        <w:rPr>
          <w:spacing w:val="-1"/>
          <w:sz w:val="21"/>
          <w:szCs w:val="21"/>
        </w:rPr>
        <w:t>正应以书面方式进行。评标委员会不接受投标人主动提出的澄</w:t>
      </w:r>
      <w:r>
        <w:rPr>
          <w:spacing w:val="-2"/>
          <w:sz w:val="21"/>
          <w:szCs w:val="21"/>
        </w:rPr>
        <w:t>清、说明或补正。</w:t>
      </w:r>
    </w:p>
    <w:p w14:paraId="5679D3B1">
      <w:pPr>
        <w:pStyle w:val="2"/>
        <w:spacing w:before="152" w:line="289" w:lineRule="auto"/>
        <w:ind w:left="15" w:right="115" w:firstLine="399"/>
        <w:rPr>
          <w:sz w:val="21"/>
          <w:szCs w:val="21"/>
        </w:rPr>
      </w:pPr>
      <w:r>
        <w:rPr>
          <w:spacing w:val="4"/>
          <w:sz w:val="21"/>
          <w:szCs w:val="21"/>
        </w:rPr>
        <w:t>3.3.2 澄清、说明和补正不得超出投标文件的范围且不得改变投标文件的实质性内容(算术</w:t>
      </w:r>
      <w:r>
        <w:rPr>
          <w:spacing w:val="11"/>
          <w:sz w:val="21"/>
          <w:szCs w:val="21"/>
        </w:rPr>
        <w:t xml:space="preserve"> </w:t>
      </w:r>
      <w:r>
        <w:rPr>
          <w:spacing w:val="-1"/>
          <w:sz w:val="21"/>
          <w:szCs w:val="21"/>
        </w:rPr>
        <w:t>错误修正的除外)。投标人的书面澄清、说明和补正属于投标文件的组</w:t>
      </w:r>
      <w:r>
        <w:rPr>
          <w:spacing w:val="-2"/>
          <w:sz w:val="21"/>
          <w:szCs w:val="21"/>
        </w:rPr>
        <w:t>成部分。</w:t>
      </w:r>
    </w:p>
    <w:p w14:paraId="7D9AD362">
      <w:pPr>
        <w:pStyle w:val="2"/>
        <w:spacing w:before="122" w:line="294" w:lineRule="auto"/>
        <w:ind w:left="15" w:right="19" w:firstLine="399"/>
        <w:rPr>
          <w:sz w:val="21"/>
          <w:szCs w:val="21"/>
        </w:rPr>
      </w:pPr>
      <w:r>
        <w:rPr>
          <w:spacing w:val="-1"/>
          <w:sz w:val="21"/>
          <w:szCs w:val="21"/>
        </w:rPr>
        <w:t>3.3.3 评标委员会对投标人提交的澄清、说明或补正有疑问的，可以要求投标人进一步澄清、</w:t>
      </w:r>
      <w:r>
        <w:rPr>
          <w:spacing w:val="8"/>
          <w:sz w:val="21"/>
          <w:szCs w:val="21"/>
        </w:rPr>
        <w:t xml:space="preserve"> </w:t>
      </w:r>
      <w:r>
        <w:rPr>
          <w:spacing w:val="-3"/>
          <w:sz w:val="21"/>
          <w:szCs w:val="21"/>
        </w:rPr>
        <w:t>说明或补正，直至满足评标委员会的要求。</w:t>
      </w:r>
    </w:p>
    <w:p w14:paraId="5CF95148">
      <w:pPr>
        <w:pStyle w:val="2"/>
        <w:spacing w:before="160" w:line="281" w:lineRule="auto"/>
        <w:ind w:right="102" w:firstLine="415"/>
        <w:rPr>
          <w:sz w:val="21"/>
          <w:szCs w:val="21"/>
        </w:rPr>
      </w:pPr>
      <w:r>
        <w:rPr>
          <w:sz w:val="21"/>
          <w:szCs w:val="21"/>
        </w:rPr>
        <w:t>3.3.4评标委员会要求投标人对投标文件问题澄清的通知，以</w:t>
      </w:r>
      <w:r>
        <w:rPr>
          <w:spacing w:val="-1"/>
          <w:sz w:val="21"/>
          <w:szCs w:val="21"/>
        </w:rPr>
        <w:t>及投标人对投标文件的澄清通过</w:t>
      </w:r>
      <w:r>
        <w:rPr>
          <w:sz w:val="21"/>
          <w:szCs w:val="21"/>
        </w:rPr>
        <w:t xml:space="preserve"> </w:t>
      </w:r>
      <w:r>
        <w:rPr>
          <w:spacing w:val="-4"/>
          <w:sz w:val="21"/>
          <w:szCs w:val="21"/>
        </w:rPr>
        <w:t>“电子交易平台”“投标文件澄清”菜单以书面形式进行。</w:t>
      </w:r>
    </w:p>
    <w:p w14:paraId="47E038D3">
      <w:pPr>
        <w:pStyle w:val="2"/>
        <w:spacing w:before="121" w:line="220" w:lineRule="auto"/>
        <w:ind w:left="418"/>
        <w:outlineLvl w:val="2"/>
      </w:pPr>
      <w:bookmarkStart w:id="133" w:name="bookmark99"/>
      <w:bookmarkEnd w:id="133"/>
      <w:r>
        <w:rPr>
          <w:b/>
          <w:bCs/>
          <w:spacing w:val="14"/>
        </w:rPr>
        <w:t>3.4评标结果</w:t>
      </w:r>
    </w:p>
    <w:p w14:paraId="2D3CDCAC">
      <w:pPr>
        <w:pStyle w:val="2"/>
        <w:spacing w:before="144" w:line="301" w:lineRule="auto"/>
        <w:ind w:left="15" w:right="116" w:firstLine="399"/>
        <w:rPr>
          <w:sz w:val="21"/>
          <w:szCs w:val="21"/>
        </w:rPr>
      </w:pPr>
      <w:r>
        <w:rPr>
          <w:spacing w:val="2"/>
          <w:sz w:val="21"/>
          <w:szCs w:val="21"/>
        </w:rPr>
        <w:t>3.4.1除第二章“投标人须知”前附表第7.1款授权直接确定中标人</w:t>
      </w:r>
      <w:r>
        <w:rPr>
          <w:spacing w:val="1"/>
          <w:sz w:val="21"/>
          <w:szCs w:val="21"/>
        </w:rPr>
        <w:t>外，评标委员会按照得分</w:t>
      </w:r>
      <w:r>
        <w:rPr>
          <w:sz w:val="21"/>
          <w:szCs w:val="21"/>
        </w:rPr>
        <w:t xml:space="preserve"> </w:t>
      </w:r>
      <w:r>
        <w:rPr>
          <w:spacing w:val="6"/>
          <w:sz w:val="21"/>
          <w:szCs w:val="21"/>
        </w:rPr>
        <w:t>由高到低的顺序(适用于办法一、二、三、四、五、六、七)或按照有效评标价由低到高的顺序</w:t>
      </w:r>
      <w:r>
        <w:rPr>
          <w:spacing w:val="7"/>
          <w:sz w:val="21"/>
          <w:szCs w:val="21"/>
        </w:rPr>
        <w:t xml:space="preserve"> </w:t>
      </w:r>
      <w:r>
        <w:rPr>
          <w:spacing w:val="11"/>
          <w:sz w:val="21"/>
          <w:szCs w:val="21"/>
        </w:rPr>
        <w:t>(适用于办法八)推荐中标候选人。</w:t>
      </w:r>
    </w:p>
    <w:p w14:paraId="3F2FED47">
      <w:pPr>
        <w:pStyle w:val="2"/>
        <w:spacing w:before="172" w:line="276" w:lineRule="auto"/>
        <w:ind w:left="15" w:right="102" w:firstLine="399"/>
        <w:rPr>
          <w:sz w:val="21"/>
          <w:szCs w:val="21"/>
        </w:rPr>
      </w:pPr>
      <w:r>
        <w:rPr>
          <w:sz w:val="21"/>
          <w:szCs w:val="21"/>
        </w:rPr>
        <w:t>3.4.2招标文件允许多标段投标、多标段中标的，各标段中标</w:t>
      </w:r>
      <w:r>
        <w:rPr>
          <w:spacing w:val="-1"/>
          <w:sz w:val="21"/>
          <w:szCs w:val="21"/>
        </w:rPr>
        <w:t>候选人的推荐按第二章“投标人</w:t>
      </w:r>
      <w:r>
        <w:rPr>
          <w:sz w:val="21"/>
          <w:szCs w:val="21"/>
        </w:rPr>
        <w:t xml:space="preserve"> </w:t>
      </w:r>
      <w:r>
        <w:rPr>
          <w:spacing w:val="5"/>
          <w:sz w:val="21"/>
          <w:szCs w:val="21"/>
        </w:rPr>
        <w:t>须知”第10.1款规定执行，对某些标段由此产生的空缺由排序在后的投标人依次替补。</w:t>
      </w:r>
    </w:p>
    <w:p w14:paraId="5915253C">
      <w:pPr>
        <w:pStyle w:val="2"/>
        <w:spacing w:before="151" w:line="218" w:lineRule="auto"/>
        <w:ind w:left="415"/>
        <w:rPr>
          <w:sz w:val="21"/>
          <w:szCs w:val="21"/>
        </w:rPr>
      </w:pPr>
      <w:r>
        <w:rPr>
          <w:spacing w:val="3"/>
          <w:sz w:val="21"/>
          <w:szCs w:val="21"/>
        </w:rPr>
        <w:t>3.4.3评标委员会完成评标后，应当向招标人提交书面评标报告。</w:t>
      </w:r>
    </w:p>
    <w:p w14:paraId="3DAFE9E2">
      <w:pPr>
        <w:spacing w:line="218" w:lineRule="auto"/>
        <w:rPr>
          <w:sz w:val="21"/>
          <w:szCs w:val="21"/>
        </w:rPr>
        <w:sectPr>
          <w:footerReference r:id="rId58" w:type="default"/>
          <w:pgSz w:w="11910" w:h="16840"/>
          <w:pgMar w:top="1431" w:right="1444" w:bottom="1001" w:left="1454" w:header="0" w:footer="857" w:gutter="0"/>
          <w:cols w:space="720" w:num="1"/>
        </w:sectPr>
      </w:pPr>
    </w:p>
    <w:p w14:paraId="0A280442">
      <w:pPr>
        <w:spacing w:line="255" w:lineRule="auto"/>
        <w:rPr>
          <w:rFonts w:ascii="Arial"/>
          <w:sz w:val="21"/>
        </w:rPr>
      </w:pPr>
    </w:p>
    <w:p w14:paraId="336584AB">
      <w:pPr>
        <w:spacing w:line="256" w:lineRule="auto"/>
        <w:rPr>
          <w:rFonts w:ascii="Arial"/>
          <w:sz w:val="21"/>
        </w:rPr>
      </w:pPr>
    </w:p>
    <w:p w14:paraId="37294C93">
      <w:pPr>
        <w:spacing w:before="68" w:line="222" w:lineRule="auto"/>
        <w:ind w:left="3"/>
        <w:outlineLvl w:val="1"/>
        <w:rPr>
          <w:rFonts w:ascii="黑体" w:hAnsi="黑体" w:eastAsia="黑体" w:cs="黑体"/>
          <w:sz w:val="21"/>
          <w:szCs w:val="21"/>
        </w:rPr>
      </w:pPr>
      <w:bookmarkStart w:id="134" w:name="bookmark100"/>
      <w:bookmarkEnd w:id="134"/>
      <w:r>
        <w:rPr>
          <w:rFonts w:ascii="黑体" w:hAnsi="黑体" w:eastAsia="黑体" w:cs="黑体"/>
          <w:b/>
          <w:bCs/>
          <w:spacing w:val="15"/>
          <w:sz w:val="21"/>
          <w:szCs w:val="21"/>
        </w:rPr>
        <w:t>附</w:t>
      </w:r>
      <w:r>
        <w:rPr>
          <w:rFonts w:ascii="黑体" w:hAnsi="黑体" w:eastAsia="黑体" w:cs="黑体"/>
          <w:spacing w:val="-35"/>
          <w:sz w:val="21"/>
          <w:szCs w:val="21"/>
        </w:rPr>
        <w:t xml:space="preserve"> </w:t>
      </w:r>
      <w:r>
        <w:rPr>
          <w:rFonts w:ascii="黑体" w:hAnsi="黑体" w:eastAsia="黑体" w:cs="黑体"/>
          <w:b/>
          <w:bCs/>
          <w:spacing w:val="15"/>
          <w:sz w:val="21"/>
          <w:szCs w:val="21"/>
        </w:rPr>
        <w:t>件</w:t>
      </w:r>
      <w:r>
        <w:rPr>
          <w:rFonts w:ascii="黑体" w:hAnsi="黑体" w:eastAsia="黑体" w:cs="黑体"/>
          <w:spacing w:val="-62"/>
          <w:sz w:val="21"/>
          <w:szCs w:val="21"/>
        </w:rPr>
        <w:t xml:space="preserve"> </w:t>
      </w:r>
      <w:r>
        <w:rPr>
          <w:rFonts w:ascii="Times New Roman" w:hAnsi="Times New Roman" w:eastAsia="Times New Roman" w:cs="Times New Roman"/>
          <w:b/>
          <w:bCs/>
          <w:spacing w:val="15"/>
          <w:sz w:val="21"/>
          <w:szCs w:val="21"/>
        </w:rPr>
        <w:t>A:</w:t>
      </w:r>
      <w:r>
        <w:rPr>
          <w:rFonts w:ascii="Times New Roman" w:hAnsi="Times New Roman" w:eastAsia="Times New Roman" w:cs="Times New Roman"/>
          <w:b/>
          <w:bCs/>
          <w:spacing w:val="19"/>
          <w:sz w:val="21"/>
          <w:szCs w:val="21"/>
        </w:rPr>
        <w:t xml:space="preserve">  </w:t>
      </w:r>
      <w:r>
        <w:rPr>
          <w:rFonts w:ascii="黑体" w:hAnsi="黑体" w:eastAsia="黑体" w:cs="黑体"/>
          <w:b/>
          <w:bCs/>
          <w:spacing w:val="15"/>
          <w:sz w:val="21"/>
          <w:szCs w:val="21"/>
        </w:rPr>
        <w:t>评标详细程序</w:t>
      </w:r>
    </w:p>
    <w:p w14:paraId="64543476">
      <w:pPr>
        <w:spacing w:line="312" w:lineRule="auto"/>
        <w:rPr>
          <w:rFonts w:ascii="Arial"/>
          <w:sz w:val="21"/>
        </w:rPr>
      </w:pPr>
    </w:p>
    <w:p w14:paraId="0CE9E9DC">
      <w:pPr>
        <w:spacing w:before="95" w:line="222" w:lineRule="auto"/>
        <w:ind w:left="3614"/>
        <w:rPr>
          <w:rFonts w:ascii="黑体" w:hAnsi="黑体" w:eastAsia="黑体" w:cs="黑体"/>
          <w:sz w:val="29"/>
          <w:szCs w:val="29"/>
        </w:rPr>
      </w:pPr>
      <w:bookmarkStart w:id="135" w:name="bookmark252"/>
      <w:bookmarkEnd w:id="135"/>
      <w:r>
        <w:rPr>
          <w:rFonts w:ascii="黑体" w:hAnsi="黑体" w:eastAsia="黑体" w:cs="黑体"/>
          <w:b/>
          <w:bCs/>
          <w:spacing w:val="-5"/>
          <w:sz w:val="29"/>
          <w:szCs w:val="29"/>
        </w:rPr>
        <w:t>评标详细程序</w:t>
      </w:r>
    </w:p>
    <w:p w14:paraId="7ADE6526">
      <w:pPr>
        <w:spacing w:before="119" w:line="222" w:lineRule="auto"/>
        <w:ind w:left="419"/>
        <w:outlineLvl w:val="2"/>
        <w:rPr>
          <w:rFonts w:ascii="黑体" w:hAnsi="黑体" w:eastAsia="黑体" w:cs="黑体"/>
          <w:sz w:val="21"/>
          <w:szCs w:val="21"/>
        </w:rPr>
      </w:pPr>
      <w:bookmarkStart w:id="136" w:name="bookmark101"/>
      <w:bookmarkEnd w:id="136"/>
      <w:r>
        <w:rPr>
          <w:rFonts w:ascii="Times New Roman" w:hAnsi="Times New Roman" w:eastAsia="Times New Roman" w:cs="Times New Roman"/>
          <w:b/>
          <w:bCs/>
          <w:spacing w:val="-4"/>
          <w:sz w:val="21"/>
          <w:szCs w:val="21"/>
        </w:rPr>
        <w:t>A0.</w:t>
      </w:r>
      <w:r>
        <w:rPr>
          <w:rFonts w:ascii="Times New Roman" w:hAnsi="Times New Roman" w:eastAsia="Times New Roman" w:cs="Times New Roman"/>
          <w:b/>
          <w:bCs/>
          <w:spacing w:val="5"/>
          <w:sz w:val="21"/>
          <w:szCs w:val="21"/>
        </w:rPr>
        <w:t xml:space="preserve">  </w:t>
      </w:r>
      <w:r>
        <w:rPr>
          <w:rFonts w:ascii="黑体" w:hAnsi="黑体" w:eastAsia="黑体" w:cs="黑体"/>
          <w:b/>
          <w:bCs/>
          <w:spacing w:val="-4"/>
          <w:sz w:val="21"/>
          <w:szCs w:val="21"/>
        </w:rPr>
        <w:t>总</w:t>
      </w:r>
      <w:r>
        <w:rPr>
          <w:rFonts w:ascii="黑体" w:hAnsi="黑体" w:eastAsia="黑体" w:cs="黑体"/>
          <w:spacing w:val="21"/>
          <w:sz w:val="21"/>
          <w:szCs w:val="21"/>
        </w:rPr>
        <w:t xml:space="preserve">  </w:t>
      </w:r>
      <w:r>
        <w:rPr>
          <w:rFonts w:ascii="黑体" w:hAnsi="黑体" w:eastAsia="黑体" w:cs="黑体"/>
          <w:b/>
          <w:bCs/>
          <w:spacing w:val="-4"/>
          <w:sz w:val="21"/>
          <w:szCs w:val="21"/>
        </w:rPr>
        <w:t>则</w:t>
      </w:r>
    </w:p>
    <w:p w14:paraId="379DC762">
      <w:pPr>
        <w:pStyle w:val="2"/>
        <w:spacing w:before="161" w:line="359" w:lineRule="auto"/>
        <w:ind w:right="43" w:firstLine="419"/>
        <w:rPr>
          <w:sz w:val="21"/>
          <w:szCs w:val="21"/>
        </w:rPr>
      </w:pPr>
      <w:r>
        <w:rPr>
          <w:spacing w:val="4"/>
          <w:sz w:val="21"/>
          <w:szCs w:val="21"/>
        </w:rPr>
        <w:t>本附件是本章“评标办法”的组成部分，是对本章第3条所规定的评标程序的进一些细化，</w:t>
      </w:r>
      <w:r>
        <w:rPr>
          <w:spacing w:val="9"/>
          <w:sz w:val="21"/>
          <w:szCs w:val="21"/>
        </w:rPr>
        <w:t xml:space="preserve"> </w:t>
      </w:r>
      <w:r>
        <w:rPr>
          <w:spacing w:val="-1"/>
          <w:sz w:val="21"/>
          <w:szCs w:val="21"/>
        </w:rPr>
        <w:t>评标委员会应当按照本附件所规定的详细程序开展</w:t>
      </w:r>
      <w:r>
        <w:rPr>
          <w:spacing w:val="-2"/>
          <w:sz w:val="21"/>
          <w:szCs w:val="21"/>
        </w:rPr>
        <w:t>并完成评标工作。</w:t>
      </w:r>
    </w:p>
    <w:p w14:paraId="71B1B281">
      <w:pPr>
        <w:spacing w:line="221" w:lineRule="auto"/>
        <w:ind w:left="419"/>
        <w:outlineLvl w:val="2"/>
        <w:rPr>
          <w:rFonts w:ascii="黑体" w:hAnsi="黑体" w:eastAsia="黑体" w:cs="黑体"/>
          <w:sz w:val="21"/>
          <w:szCs w:val="21"/>
        </w:rPr>
      </w:pPr>
      <w:bookmarkStart w:id="137" w:name="bookmark102"/>
      <w:bookmarkEnd w:id="137"/>
      <w:r>
        <w:rPr>
          <w:rFonts w:ascii="Times New Roman" w:hAnsi="Times New Roman" w:eastAsia="Times New Roman" w:cs="Times New Roman"/>
          <w:b/>
          <w:bCs/>
          <w:spacing w:val="16"/>
          <w:sz w:val="21"/>
          <w:szCs w:val="21"/>
        </w:rPr>
        <w:t>A1.</w:t>
      </w:r>
      <w:r>
        <w:rPr>
          <w:rFonts w:ascii="Times New Roman" w:hAnsi="Times New Roman" w:eastAsia="Times New Roman" w:cs="Times New Roman"/>
          <w:b/>
          <w:bCs/>
          <w:spacing w:val="2"/>
          <w:sz w:val="21"/>
          <w:szCs w:val="21"/>
        </w:rPr>
        <w:t xml:space="preserve">  </w:t>
      </w:r>
      <w:r>
        <w:rPr>
          <w:rFonts w:ascii="黑体" w:hAnsi="黑体" w:eastAsia="黑体" w:cs="黑体"/>
          <w:b/>
          <w:bCs/>
          <w:spacing w:val="16"/>
          <w:sz w:val="21"/>
          <w:szCs w:val="21"/>
        </w:rPr>
        <w:t>基本程序</w:t>
      </w:r>
    </w:p>
    <w:p w14:paraId="56E12EAD">
      <w:pPr>
        <w:pStyle w:val="2"/>
        <w:spacing w:before="192" w:line="219" w:lineRule="auto"/>
        <w:ind w:left="419"/>
        <w:rPr>
          <w:sz w:val="21"/>
          <w:szCs w:val="21"/>
        </w:rPr>
      </w:pPr>
      <w:r>
        <w:rPr>
          <w:spacing w:val="-4"/>
          <w:sz w:val="21"/>
          <w:szCs w:val="21"/>
        </w:rPr>
        <w:t>评标活动将按以下五个步骤进行：</w:t>
      </w:r>
    </w:p>
    <w:p w14:paraId="534BDAD6">
      <w:pPr>
        <w:pStyle w:val="2"/>
        <w:spacing w:before="231" w:line="220" w:lineRule="auto"/>
        <w:ind w:left="539"/>
        <w:rPr>
          <w:sz w:val="21"/>
          <w:szCs w:val="21"/>
        </w:rPr>
      </w:pPr>
      <w:r>
        <w:rPr>
          <w:spacing w:val="8"/>
          <w:sz w:val="21"/>
          <w:szCs w:val="21"/>
        </w:rPr>
        <w:t>(1)评标准备；</w:t>
      </w:r>
    </w:p>
    <w:p w14:paraId="66102B5A">
      <w:pPr>
        <w:pStyle w:val="2"/>
        <w:spacing w:before="240" w:line="219" w:lineRule="auto"/>
        <w:ind w:left="539"/>
        <w:rPr>
          <w:sz w:val="21"/>
          <w:szCs w:val="21"/>
        </w:rPr>
      </w:pPr>
      <w:r>
        <w:rPr>
          <w:spacing w:val="8"/>
          <w:sz w:val="21"/>
          <w:szCs w:val="21"/>
        </w:rPr>
        <w:t>(2)初步评审；</w:t>
      </w:r>
    </w:p>
    <w:p w14:paraId="16906423">
      <w:pPr>
        <w:pStyle w:val="2"/>
        <w:spacing w:before="251" w:line="220" w:lineRule="auto"/>
        <w:ind w:left="539"/>
        <w:rPr>
          <w:sz w:val="21"/>
          <w:szCs w:val="21"/>
        </w:rPr>
      </w:pPr>
      <w:r>
        <w:rPr>
          <w:spacing w:val="8"/>
          <w:sz w:val="21"/>
          <w:szCs w:val="21"/>
        </w:rPr>
        <w:t>(3)详细评审；</w:t>
      </w:r>
    </w:p>
    <w:p w14:paraId="030DD0BD">
      <w:pPr>
        <w:pStyle w:val="2"/>
        <w:spacing w:before="229" w:line="219" w:lineRule="auto"/>
        <w:ind w:left="539"/>
        <w:rPr>
          <w:sz w:val="21"/>
          <w:szCs w:val="21"/>
        </w:rPr>
      </w:pPr>
      <w:r>
        <w:rPr>
          <w:spacing w:val="4"/>
          <w:sz w:val="21"/>
          <w:szCs w:val="21"/>
        </w:rPr>
        <w:t>(4)澄清、说明或补正；</w:t>
      </w:r>
    </w:p>
    <w:p w14:paraId="3DB0FCA5">
      <w:pPr>
        <w:pStyle w:val="2"/>
        <w:spacing w:before="229" w:line="218" w:lineRule="auto"/>
        <w:ind w:left="539"/>
        <w:rPr>
          <w:sz w:val="21"/>
          <w:szCs w:val="21"/>
        </w:rPr>
      </w:pPr>
      <w:r>
        <w:rPr>
          <w:spacing w:val="3"/>
          <w:sz w:val="21"/>
          <w:szCs w:val="21"/>
        </w:rPr>
        <w:t>(5)推荐中标候选人或者直接确定中标人及提交评标报告。</w:t>
      </w:r>
    </w:p>
    <w:p w14:paraId="74159B11">
      <w:pPr>
        <w:spacing w:before="250" w:line="222" w:lineRule="auto"/>
        <w:ind w:left="419"/>
        <w:outlineLvl w:val="2"/>
        <w:rPr>
          <w:rFonts w:ascii="黑体" w:hAnsi="黑体" w:eastAsia="黑体" w:cs="黑体"/>
          <w:sz w:val="21"/>
          <w:szCs w:val="21"/>
        </w:rPr>
      </w:pPr>
      <w:bookmarkStart w:id="138" w:name="bookmark103"/>
      <w:bookmarkEnd w:id="138"/>
      <w:r>
        <w:rPr>
          <w:rFonts w:ascii="Times New Roman" w:hAnsi="Times New Roman" w:eastAsia="Times New Roman" w:cs="Times New Roman"/>
          <w:b/>
          <w:bCs/>
          <w:spacing w:val="-5"/>
          <w:sz w:val="21"/>
          <w:szCs w:val="21"/>
        </w:rPr>
        <w:t>A2.</w:t>
      </w:r>
      <w:r>
        <w:rPr>
          <w:rFonts w:ascii="Times New Roman" w:hAnsi="Times New Roman" w:eastAsia="Times New Roman" w:cs="Times New Roman"/>
          <w:b/>
          <w:bCs/>
          <w:spacing w:val="36"/>
          <w:sz w:val="21"/>
          <w:szCs w:val="21"/>
        </w:rPr>
        <w:t xml:space="preserve"> </w:t>
      </w:r>
      <w:r>
        <w:rPr>
          <w:rFonts w:ascii="黑体" w:hAnsi="黑体" w:eastAsia="黑体" w:cs="黑体"/>
          <w:b/>
          <w:bCs/>
          <w:spacing w:val="-5"/>
          <w:sz w:val="21"/>
          <w:szCs w:val="21"/>
        </w:rPr>
        <w:t>评</w:t>
      </w:r>
      <w:r>
        <w:rPr>
          <w:rFonts w:ascii="黑体" w:hAnsi="黑体" w:eastAsia="黑体" w:cs="黑体"/>
          <w:spacing w:val="-52"/>
          <w:sz w:val="21"/>
          <w:szCs w:val="21"/>
        </w:rPr>
        <w:t xml:space="preserve"> </w:t>
      </w:r>
      <w:r>
        <w:rPr>
          <w:rFonts w:ascii="黑体" w:hAnsi="黑体" w:eastAsia="黑体" w:cs="黑体"/>
          <w:b/>
          <w:bCs/>
          <w:spacing w:val="-5"/>
          <w:sz w:val="21"/>
          <w:szCs w:val="21"/>
        </w:rPr>
        <w:t>标</w:t>
      </w:r>
      <w:r>
        <w:rPr>
          <w:rFonts w:ascii="黑体" w:hAnsi="黑体" w:eastAsia="黑体" w:cs="黑体"/>
          <w:spacing w:val="-46"/>
          <w:sz w:val="21"/>
          <w:szCs w:val="21"/>
        </w:rPr>
        <w:t xml:space="preserve"> </w:t>
      </w:r>
      <w:r>
        <w:rPr>
          <w:rFonts w:ascii="黑体" w:hAnsi="黑体" w:eastAsia="黑体" w:cs="黑体"/>
          <w:b/>
          <w:bCs/>
          <w:spacing w:val="-5"/>
          <w:sz w:val="21"/>
          <w:szCs w:val="21"/>
        </w:rPr>
        <w:t>准</w:t>
      </w:r>
      <w:r>
        <w:rPr>
          <w:rFonts w:ascii="黑体" w:hAnsi="黑体" w:eastAsia="黑体" w:cs="黑体"/>
          <w:spacing w:val="-47"/>
          <w:sz w:val="21"/>
          <w:szCs w:val="21"/>
        </w:rPr>
        <w:t xml:space="preserve"> </w:t>
      </w:r>
      <w:r>
        <w:rPr>
          <w:rFonts w:ascii="黑体" w:hAnsi="黑体" w:eastAsia="黑体" w:cs="黑体"/>
          <w:b/>
          <w:bCs/>
          <w:spacing w:val="-5"/>
          <w:sz w:val="21"/>
          <w:szCs w:val="21"/>
        </w:rPr>
        <w:t>备</w:t>
      </w:r>
    </w:p>
    <w:p w14:paraId="4BACCB9D">
      <w:pPr>
        <w:spacing w:before="146" w:line="221" w:lineRule="auto"/>
        <w:ind w:left="419"/>
        <w:outlineLvl w:val="2"/>
        <w:rPr>
          <w:rFonts w:ascii="黑体" w:hAnsi="黑体" w:eastAsia="黑体" w:cs="黑体"/>
          <w:sz w:val="21"/>
          <w:szCs w:val="21"/>
        </w:rPr>
      </w:pPr>
      <w:bookmarkStart w:id="139" w:name="bookmark104"/>
      <w:bookmarkEnd w:id="139"/>
      <w:r>
        <w:rPr>
          <w:rFonts w:ascii="Times New Roman" w:hAnsi="Times New Roman" w:eastAsia="Times New Roman" w:cs="Times New Roman"/>
          <w:b/>
          <w:bCs/>
          <w:spacing w:val="-2"/>
          <w:sz w:val="21"/>
          <w:szCs w:val="21"/>
        </w:rPr>
        <w:t xml:space="preserve">A2.1 </w:t>
      </w:r>
      <w:r>
        <w:rPr>
          <w:rFonts w:ascii="黑体" w:hAnsi="黑体" w:eastAsia="黑体" w:cs="黑体"/>
          <w:b/>
          <w:bCs/>
          <w:spacing w:val="-2"/>
          <w:sz w:val="21"/>
          <w:szCs w:val="21"/>
        </w:rPr>
        <w:t>评标委员会成员签到</w:t>
      </w:r>
    </w:p>
    <w:p w14:paraId="2C47B34B">
      <w:pPr>
        <w:pStyle w:val="2"/>
        <w:spacing w:before="150" w:line="219" w:lineRule="auto"/>
        <w:ind w:right="22"/>
        <w:jc w:val="right"/>
        <w:rPr>
          <w:sz w:val="21"/>
          <w:szCs w:val="21"/>
        </w:rPr>
      </w:pPr>
      <w:r>
        <w:rPr>
          <w:spacing w:val="2"/>
          <w:sz w:val="21"/>
          <w:szCs w:val="21"/>
        </w:rPr>
        <w:t>评标委员会成员到达评标现场时应在签到表上签到以证明其出席。评标委员会签到表见</w:t>
      </w:r>
      <w:r>
        <w:rPr>
          <w:b/>
          <w:bCs/>
          <w:spacing w:val="2"/>
          <w:sz w:val="21"/>
          <w:szCs w:val="21"/>
        </w:rPr>
        <w:t>附表</w:t>
      </w:r>
    </w:p>
    <w:p w14:paraId="5F4FD54F">
      <w:pPr>
        <w:pStyle w:val="2"/>
        <w:spacing w:before="219" w:line="180" w:lineRule="auto"/>
        <w:rPr>
          <w:sz w:val="21"/>
          <w:szCs w:val="21"/>
        </w:rPr>
      </w:pPr>
      <w:r>
        <w:rPr>
          <w:rFonts w:ascii="Times New Roman" w:hAnsi="Times New Roman" w:eastAsia="Times New Roman" w:cs="Times New Roman"/>
          <w:b/>
          <w:bCs/>
          <w:spacing w:val="-1"/>
          <w:sz w:val="21"/>
          <w:szCs w:val="21"/>
        </w:rPr>
        <w:t>A-1</w:t>
      </w:r>
      <w:r>
        <w:rPr>
          <w:b/>
          <w:bCs/>
          <w:spacing w:val="-1"/>
          <w:sz w:val="21"/>
          <w:szCs w:val="21"/>
        </w:rPr>
        <w:t>。</w:t>
      </w:r>
    </w:p>
    <w:p w14:paraId="40442873">
      <w:pPr>
        <w:pStyle w:val="2"/>
        <w:spacing w:before="188" w:line="360" w:lineRule="auto"/>
        <w:ind w:right="7" w:firstLine="419"/>
        <w:jc w:val="both"/>
        <w:rPr>
          <w:sz w:val="21"/>
          <w:szCs w:val="21"/>
        </w:rPr>
      </w:pPr>
      <w:r>
        <w:rPr>
          <w:sz w:val="21"/>
          <w:szCs w:val="21"/>
        </w:rPr>
        <w:t>评标委员会成员在评标前，应当使用</w:t>
      </w:r>
      <w:r>
        <w:rPr>
          <w:b/>
          <w:bCs/>
          <w:sz w:val="21"/>
          <w:szCs w:val="21"/>
        </w:rPr>
        <w:t>附表</w:t>
      </w:r>
      <w:r>
        <w:rPr>
          <w:spacing w:val="-51"/>
          <w:sz w:val="21"/>
          <w:szCs w:val="21"/>
        </w:rPr>
        <w:t xml:space="preserve"> </w:t>
      </w:r>
      <w:r>
        <w:rPr>
          <w:rFonts w:ascii="Times New Roman" w:hAnsi="Times New Roman" w:eastAsia="Times New Roman" w:cs="Times New Roman"/>
          <w:b/>
          <w:bCs/>
          <w:sz w:val="21"/>
          <w:szCs w:val="21"/>
        </w:rPr>
        <w:t>A-2</w:t>
      </w:r>
      <w:r>
        <w:rPr>
          <w:rFonts w:ascii="Times New Roman" w:hAnsi="Times New Roman" w:eastAsia="Times New Roman" w:cs="Times New Roman"/>
          <w:b/>
          <w:bCs/>
          <w:spacing w:val="15"/>
          <w:sz w:val="21"/>
          <w:szCs w:val="21"/>
        </w:rPr>
        <w:t xml:space="preserve">  </w:t>
      </w:r>
      <w:r>
        <w:rPr>
          <w:sz w:val="21"/>
          <w:szCs w:val="21"/>
        </w:rPr>
        <w:t xml:space="preserve">签署评标专家声明书。声明本人不存在法律法 </w:t>
      </w:r>
      <w:r>
        <w:rPr>
          <w:spacing w:val="2"/>
          <w:sz w:val="21"/>
          <w:szCs w:val="21"/>
        </w:rPr>
        <w:t>规定的应当回避情形，保证遵守有关评标管理规定以及评标纪律，客观、公正地进行评标，并接</w:t>
      </w:r>
      <w:r>
        <w:rPr>
          <w:spacing w:val="3"/>
          <w:sz w:val="21"/>
          <w:szCs w:val="21"/>
        </w:rPr>
        <w:t xml:space="preserve"> </w:t>
      </w:r>
      <w:r>
        <w:rPr>
          <w:spacing w:val="-4"/>
          <w:sz w:val="21"/>
          <w:szCs w:val="21"/>
        </w:rPr>
        <w:t>受招投标监管部门的监督。</w:t>
      </w:r>
    </w:p>
    <w:p w14:paraId="049096E6">
      <w:pPr>
        <w:spacing w:before="1" w:line="220" w:lineRule="auto"/>
        <w:ind w:left="419"/>
        <w:outlineLvl w:val="2"/>
        <w:rPr>
          <w:rFonts w:ascii="黑体" w:hAnsi="黑体" w:eastAsia="黑体" w:cs="黑体"/>
          <w:sz w:val="21"/>
          <w:szCs w:val="21"/>
        </w:rPr>
      </w:pPr>
      <w:bookmarkStart w:id="140" w:name="bookmark105"/>
      <w:bookmarkEnd w:id="140"/>
      <w:r>
        <w:rPr>
          <w:rFonts w:ascii="Times New Roman" w:hAnsi="Times New Roman" w:eastAsia="Times New Roman" w:cs="Times New Roman"/>
          <w:b/>
          <w:bCs/>
          <w:sz w:val="21"/>
          <w:szCs w:val="21"/>
        </w:rPr>
        <w:t xml:space="preserve">A2.2 </w:t>
      </w:r>
      <w:r>
        <w:rPr>
          <w:rFonts w:ascii="黑体" w:hAnsi="黑体" w:eastAsia="黑体" w:cs="黑体"/>
          <w:b/>
          <w:bCs/>
          <w:sz w:val="21"/>
          <w:szCs w:val="21"/>
        </w:rPr>
        <w:t>评标委员会的分工</w:t>
      </w:r>
    </w:p>
    <w:p w14:paraId="421E2752">
      <w:pPr>
        <w:pStyle w:val="2"/>
        <w:spacing w:before="203" w:line="362" w:lineRule="auto"/>
        <w:ind w:right="19" w:firstLine="419"/>
        <w:rPr>
          <w:sz w:val="21"/>
          <w:szCs w:val="21"/>
        </w:rPr>
      </w:pPr>
      <w:r>
        <w:rPr>
          <w:rFonts w:ascii="Times New Roman" w:hAnsi="Times New Roman" w:eastAsia="Times New Roman" w:cs="Times New Roman"/>
          <w:sz w:val="21"/>
          <w:szCs w:val="21"/>
        </w:rPr>
        <w:t xml:space="preserve">A2.2.1  </w:t>
      </w:r>
      <w:r>
        <w:rPr>
          <w:sz w:val="21"/>
          <w:szCs w:val="21"/>
        </w:rPr>
        <w:t>评标委员会首先推选一名评标委员会主任。招标人也可以直接指定评标委员会主任。</w:t>
      </w:r>
      <w:r>
        <w:rPr>
          <w:spacing w:val="17"/>
          <w:sz w:val="21"/>
          <w:szCs w:val="21"/>
        </w:rPr>
        <w:t xml:space="preserve"> </w:t>
      </w:r>
      <w:r>
        <w:rPr>
          <w:spacing w:val="2"/>
          <w:sz w:val="21"/>
          <w:szCs w:val="21"/>
        </w:rPr>
        <w:t>如招标人指定的评标委员会主任是招标人的代表，则该成员应当具备招标工程相关专业中级以上</w:t>
      </w:r>
      <w:r>
        <w:rPr>
          <w:spacing w:val="4"/>
          <w:sz w:val="21"/>
          <w:szCs w:val="21"/>
        </w:rPr>
        <w:t xml:space="preserve"> </w:t>
      </w:r>
      <w:r>
        <w:rPr>
          <w:spacing w:val="2"/>
          <w:sz w:val="21"/>
          <w:szCs w:val="21"/>
        </w:rPr>
        <w:t>技术职称，熟悉有关招标投标的法律法规，并熟悉招标项目的情况。评标委员会主任负责评标活</w:t>
      </w:r>
      <w:r>
        <w:rPr>
          <w:spacing w:val="3"/>
          <w:sz w:val="21"/>
          <w:szCs w:val="21"/>
        </w:rPr>
        <w:t xml:space="preserve"> </w:t>
      </w:r>
      <w:r>
        <w:rPr>
          <w:spacing w:val="-5"/>
          <w:sz w:val="21"/>
          <w:szCs w:val="21"/>
        </w:rPr>
        <w:t>动的组织工作。</w:t>
      </w:r>
    </w:p>
    <w:p w14:paraId="0A62539E">
      <w:pPr>
        <w:pStyle w:val="2"/>
        <w:spacing w:before="12" w:line="374" w:lineRule="auto"/>
        <w:ind w:right="17" w:firstLine="419"/>
        <w:rPr>
          <w:sz w:val="21"/>
          <w:szCs w:val="21"/>
        </w:rPr>
      </w:pPr>
      <w:r>
        <w:rPr>
          <w:rFonts w:ascii="Times New Roman" w:hAnsi="Times New Roman" w:eastAsia="Times New Roman" w:cs="Times New Roman"/>
          <w:sz w:val="21"/>
          <w:szCs w:val="21"/>
        </w:rPr>
        <w:t xml:space="preserve">A2.2.2   </w:t>
      </w:r>
      <w:r>
        <w:rPr>
          <w:sz w:val="21"/>
          <w:szCs w:val="21"/>
        </w:rPr>
        <w:t>评标委员会主任除履行自己作为评标委员会成员独立评标的职责</w:t>
      </w:r>
      <w:r>
        <w:rPr>
          <w:spacing w:val="-1"/>
          <w:sz w:val="21"/>
          <w:szCs w:val="21"/>
        </w:rPr>
        <w:t>外，主要负责以下工</w:t>
      </w:r>
      <w:r>
        <w:rPr>
          <w:sz w:val="21"/>
          <w:szCs w:val="21"/>
        </w:rPr>
        <w:t xml:space="preserve"> </w:t>
      </w:r>
      <w:r>
        <w:rPr>
          <w:spacing w:val="-9"/>
          <w:sz w:val="21"/>
          <w:szCs w:val="21"/>
        </w:rPr>
        <w:t>作：</w:t>
      </w:r>
    </w:p>
    <w:p w14:paraId="477A03D0">
      <w:pPr>
        <w:pStyle w:val="2"/>
        <w:spacing w:line="218" w:lineRule="auto"/>
        <w:ind w:left="539"/>
        <w:rPr>
          <w:sz w:val="21"/>
          <w:szCs w:val="21"/>
        </w:rPr>
      </w:pPr>
      <w:r>
        <w:rPr>
          <w:spacing w:val="6"/>
          <w:sz w:val="21"/>
          <w:szCs w:val="21"/>
        </w:rPr>
        <w:t>(1)组织评标委员会成员学习招标文件中载明的评标标准和方法；</w:t>
      </w:r>
    </w:p>
    <w:p w14:paraId="36C81E92">
      <w:pPr>
        <w:pStyle w:val="2"/>
        <w:spacing w:before="201" w:line="219" w:lineRule="auto"/>
        <w:ind w:left="539"/>
        <w:rPr>
          <w:sz w:val="21"/>
          <w:szCs w:val="21"/>
        </w:rPr>
      </w:pPr>
      <w:r>
        <w:rPr>
          <w:spacing w:val="-3"/>
          <w:sz w:val="21"/>
          <w:szCs w:val="21"/>
        </w:rPr>
        <w:t>(2)</w:t>
      </w:r>
      <w:r>
        <w:rPr>
          <w:spacing w:val="41"/>
          <w:sz w:val="21"/>
          <w:szCs w:val="21"/>
        </w:rPr>
        <w:t xml:space="preserve">  </w:t>
      </w:r>
      <w:r>
        <w:rPr>
          <w:spacing w:val="-3"/>
          <w:sz w:val="21"/>
          <w:szCs w:val="21"/>
        </w:rPr>
        <w:t>提醒招标人做好评标准备工作，包括提供所需的评标基础资料，</w:t>
      </w:r>
    </w:p>
    <w:p w14:paraId="63A2F165">
      <w:pPr>
        <w:pStyle w:val="2"/>
        <w:spacing w:before="171" w:line="299" w:lineRule="auto"/>
        <w:ind w:firstLine="539"/>
        <w:rPr>
          <w:sz w:val="21"/>
          <w:szCs w:val="21"/>
        </w:rPr>
      </w:pPr>
      <w:r>
        <w:rPr>
          <w:spacing w:val="1"/>
          <w:sz w:val="21"/>
          <w:szCs w:val="21"/>
        </w:rPr>
        <w:t>(3)</w:t>
      </w:r>
      <w:r>
        <w:rPr>
          <w:spacing w:val="30"/>
          <w:sz w:val="21"/>
          <w:szCs w:val="21"/>
        </w:rPr>
        <w:t xml:space="preserve">  </w:t>
      </w:r>
      <w:r>
        <w:rPr>
          <w:spacing w:val="1"/>
          <w:sz w:val="21"/>
          <w:szCs w:val="21"/>
        </w:rPr>
        <w:t>汇总各评标委员会成员认为需要投标人澄清、说明或者补正的问题</w:t>
      </w:r>
      <w:r>
        <w:rPr>
          <w:sz w:val="21"/>
          <w:szCs w:val="21"/>
        </w:rPr>
        <w:t xml:space="preserve">，组织评标委员会 </w:t>
      </w:r>
      <w:r>
        <w:rPr>
          <w:spacing w:val="-3"/>
          <w:sz w:val="21"/>
          <w:szCs w:val="21"/>
        </w:rPr>
        <w:t>对投标人质询并对投标人的答复进行评审；</w:t>
      </w:r>
    </w:p>
    <w:p w14:paraId="60D96B0B">
      <w:pPr>
        <w:spacing w:line="299" w:lineRule="auto"/>
        <w:rPr>
          <w:sz w:val="21"/>
          <w:szCs w:val="21"/>
        </w:rPr>
        <w:sectPr>
          <w:footerReference r:id="rId59" w:type="default"/>
          <w:pgSz w:w="11910" w:h="16840"/>
          <w:pgMar w:top="1431" w:right="1541" w:bottom="1001" w:left="1440" w:header="0" w:footer="857" w:gutter="0"/>
          <w:cols w:space="720" w:num="1"/>
        </w:sectPr>
      </w:pPr>
    </w:p>
    <w:p w14:paraId="456C9B54">
      <w:pPr>
        <w:spacing w:line="345" w:lineRule="auto"/>
        <w:rPr>
          <w:rFonts w:ascii="Arial"/>
          <w:sz w:val="21"/>
        </w:rPr>
      </w:pPr>
    </w:p>
    <w:p w14:paraId="1446F809">
      <w:pPr>
        <w:pStyle w:val="2"/>
        <w:spacing w:before="68" w:line="219" w:lineRule="auto"/>
        <w:ind w:left="529"/>
        <w:rPr>
          <w:sz w:val="21"/>
          <w:szCs w:val="21"/>
        </w:rPr>
      </w:pPr>
      <w:bookmarkStart w:id="141" w:name="bookmark253"/>
      <w:bookmarkEnd w:id="141"/>
      <w:r>
        <w:rPr>
          <w:spacing w:val="9"/>
          <w:sz w:val="21"/>
          <w:szCs w:val="21"/>
        </w:rPr>
        <w:t>(4)对出现较大争议的事项进行书面记录；</w:t>
      </w:r>
    </w:p>
    <w:p w14:paraId="017F5345">
      <w:pPr>
        <w:pStyle w:val="2"/>
        <w:spacing w:before="192" w:line="219" w:lineRule="auto"/>
        <w:ind w:left="529"/>
        <w:rPr>
          <w:sz w:val="21"/>
          <w:szCs w:val="21"/>
        </w:rPr>
      </w:pPr>
      <w:r>
        <w:rPr>
          <w:spacing w:val="-5"/>
          <w:sz w:val="21"/>
          <w:szCs w:val="21"/>
        </w:rPr>
        <w:t>(5)</w:t>
      </w:r>
      <w:r>
        <w:rPr>
          <w:spacing w:val="38"/>
          <w:sz w:val="21"/>
          <w:szCs w:val="21"/>
        </w:rPr>
        <w:t xml:space="preserve">  </w:t>
      </w:r>
      <w:r>
        <w:rPr>
          <w:spacing w:val="-5"/>
          <w:sz w:val="21"/>
          <w:szCs w:val="21"/>
        </w:rPr>
        <w:t>查验评标用表格和评标记录的完整性及有效性；</w:t>
      </w:r>
    </w:p>
    <w:p w14:paraId="0EF043B6">
      <w:pPr>
        <w:pStyle w:val="2"/>
        <w:spacing w:before="191" w:line="220" w:lineRule="auto"/>
        <w:ind w:left="529"/>
        <w:rPr>
          <w:sz w:val="21"/>
          <w:szCs w:val="21"/>
        </w:rPr>
      </w:pPr>
      <w:r>
        <w:rPr>
          <w:spacing w:val="-5"/>
          <w:sz w:val="21"/>
          <w:szCs w:val="21"/>
        </w:rPr>
        <w:t>(6)</w:t>
      </w:r>
      <w:r>
        <w:rPr>
          <w:spacing w:val="33"/>
          <w:sz w:val="21"/>
          <w:szCs w:val="21"/>
        </w:rPr>
        <w:t xml:space="preserve">  </w:t>
      </w:r>
      <w:r>
        <w:rPr>
          <w:spacing w:val="-5"/>
          <w:sz w:val="21"/>
          <w:szCs w:val="21"/>
        </w:rPr>
        <w:t>组织对评标结论进行复核确认；</w:t>
      </w:r>
    </w:p>
    <w:p w14:paraId="564971AD">
      <w:pPr>
        <w:pStyle w:val="2"/>
        <w:spacing w:before="157" w:line="218" w:lineRule="auto"/>
        <w:ind w:left="529"/>
        <w:rPr>
          <w:sz w:val="21"/>
          <w:szCs w:val="21"/>
        </w:rPr>
      </w:pPr>
      <w:r>
        <w:rPr>
          <w:spacing w:val="9"/>
          <w:sz w:val="21"/>
          <w:szCs w:val="21"/>
        </w:rPr>
        <w:t>(7)组织编写评标报告，推荐中标候选人。</w:t>
      </w:r>
    </w:p>
    <w:p w14:paraId="49B140E5">
      <w:pPr>
        <w:pStyle w:val="2"/>
        <w:spacing w:before="163" w:line="363" w:lineRule="auto"/>
        <w:ind w:right="95" w:firstLine="419"/>
        <w:rPr>
          <w:sz w:val="21"/>
          <w:szCs w:val="21"/>
        </w:rPr>
      </w:pPr>
      <w:r>
        <w:rPr>
          <w:rFonts w:ascii="Times New Roman" w:hAnsi="Times New Roman" w:eastAsia="Times New Roman" w:cs="Times New Roman"/>
          <w:sz w:val="21"/>
          <w:szCs w:val="21"/>
        </w:rPr>
        <w:t>A2.2.3</w:t>
      </w:r>
      <w:r>
        <w:rPr>
          <w:rFonts w:ascii="Times New Roman" w:hAnsi="Times New Roman" w:eastAsia="Times New Roman" w:cs="Times New Roman"/>
          <w:spacing w:val="26"/>
          <w:sz w:val="21"/>
          <w:szCs w:val="21"/>
        </w:rPr>
        <w:t xml:space="preserve">  </w:t>
      </w:r>
      <w:r>
        <w:rPr>
          <w:sz w:val="21"/>
          <w:szCs w:val="21"/>
        </w:rPr>
        <w:t xml:space="preserve">评标委员会主任在与其他评标委员会成员商议的基础上可以将评标委员会划分为技术 </w:t>
      </w:r>
      <w:r>
        <w:rPr>
          <w:spacing w:val="-6"/>
          <w:sz w:val="21"/>
          <w:szCs w:val="21"/>
        </w:rPr>
        <w:t>组和商务组。</w:t>
      </w:r>
    </w:p>
    <w:p w14:paraId="60DE4CAB">
      <w:pPr>
        <w:pStyle w:val="2"/>
        <w:spacing w:before="1" w:line="220" w:lineRule="auto"/>
        <w:ind w:left="422"/>
        <w:outlineLvl w:val="2"/>
        <w:rPr>
          <w:rFonts w:ascii="黑体" w:hAnsi="黑体" w:eastAsia="黑体" w:cs="黑体"/>
          <w:sz w:val="21"/>
          <w:szCs w:val="21"/>
        </w:rPr>
      </w:pPr>
      <w:bookmarkStart w:id="142" w:name="bookmark106"/>
      <w:bookmarkEnd w:id="142"/>
      <w:r>
        <w:rPr>
          <w:b/>
          <w:bCs/>
          <w:spacing w:val="-3"/>
          <w:sz w:val="21"/>
          <w:szCs w:val="21"/>
        </w:rPr>
        <w:t>A2.3</w:t>
      </w:r>
      <w:r>
        <w:rPr>
          <w:spacing w:val="-34"/>
          <w:sz w:val="21"/>
          <w:szCs w:val="21"/>
        </w:rPr>
        <w:t xml:space="preserve"> </w:t>
      </w:r>
      <w:r>
        <w:rPr>
          <w:rFonts w:ascii="黑体" w:hAnsi="黑体" w:eastAsia="黑体" w:cs="黑体"/>
          <w:b/>
          <w:bCs/>
          <w:spacing w:val="-3"/>
          <w:sz w:val="21"/>
          <w:szCs w:val="21"/>
        </w:rPr>
        <w:t>熟悉文件资料</w:t>
      </w:r>
    </w:p>
    <w:p w14:paraId="385AEEF5">
      <w:pPr>
        <w:pStyle w:val="2"/>
        <w:spacing w:before="193" w:line="361" w:lineRule="auto"/>
        <w:ind w:right="87" w:firstLine="419"/>
        <w:jc w:val="both"/>
        <w:rPr>
          <w:sz w:val="21"/>
          <w:szCs w:val="21"/>
        </w:rPr>
      </w:pPr>
      <w:r>
        <w:rPr>
          <w:rFonts w:ascii="Times New Roman" w:hAnsi="Times New Roman" w:eastAsia="Times New Roman" w:cs="Times New Roman"/>
          <w:spacing w:val="1"/>
          <w:sz w:val="21"/>
          <w:szCs w:val="21"/>
        </w:rPr>
        <w:t>A2.3.1</w:t>
      </w:r>
      <w:r>
        <w:rPr>
          <w:rFonts w:ascii="Times New Roman" w:hAnsi="Times New Roman" w:eastAsia="Times New Roman" w:cs="Times New Roman"/>
          <w:spacing w:val="17"/>
          <w:w w:val="101"/>
          <w:sz w:val="21"/>
          <w:szCs w:val="21"/>
        </w:rPr>
        <w:t xml:space="preserve">  </w:t>
      </w:r>
      <w:r>
        <w:rPr>
          <w:spacing w:val="1"/>
          <w:sz w:val="21"/>
          <w:szCs w:val="21"/>
        </w:rPr>
        <w:t>评标委员会主任应组织评标委员会成员认</w:t>
      </w:r>
      <w:r>
        <w:rPr>
          <w:sz w:val="21"/>
          <w:szCs w:val="21"/>
        </w:rPr>
        <w:t xml:space="preserve">真研究招标文件，了解和熟悉招标目的、招 </w:t>
      </w:r>
      <w:r>
        <w:rPr>
          <w:spacing w:val="2"/>
          <w:sz w:val="21"/>
          <w:szCs w:val="21"/>
        </w:rPr>
        <w:t>标范围、主要合同条件、技术标准和要求、质量标准和工期要求，掌握评标标准和</w:t>
      </w:r>
      <w:r>
        <w:rPr>
          <w:spacing w:val="1"/>
          <w:sz w:val="21"/>
          <w:szCs w:val="21"/>
        </w:rPr>
        <w:t>方法，熟悉本</w:t>
      </w:r>
      <w:r>
        <w:rPr>
          <w:sz w:val="21"/>
          <w:szCs w:val="21"/>
        </w:rPr>
        <w:t xml:space="preserve"> </w:t>
      </w:r>
      <w:r>
        <w:rPr>
          <w:spacing w:val="2"/>
          <w:sz w:val="21"/>
          <w:szCs w:val="21"/>
        </w:rPr>
        <w:t>章及附件中包括的评标表格的使用，如果本章及附件所附的表格不能满足评标所需时，评标委员</w:t>
      </w:r>
      <w:r>
        <w:rPr>
          <w:spacing w:val="13"/>
          <w:sz w:val="21"/>
          <w:szCs w:val="21"/>
        </w:rPr>
        <w:t xml:space="preserve"> </w:t>
      </w:r>
      <w:r>
        <w:rPr>
          <w:spacing w:val="2"/>
          <w:sz w:val="21"/>
          <w:szCs w:val="21"/>
        </w:rPr>
        <w:t>会应补充编制评标所需的表格，尤其是用于详细分析计算的表格。未在招标文件中规定的标准和</w:t>
      </w:r>
      <w:r>
        <w:rPr>
          <w:spacing w:val="1"/>
          <w:sz w:val="21"/>
          <w:szCs w:val="21"/>
        </w:rPr>
        <w:t xml:space="preserve"> </w:t>
      </w:r>
      <w:r>
        <w:rPr>
          <w:spacing w:val="-4"/>
          <w:sz w:val="21"/>
          <w:szCs w:val="21"/>
        </w:rPr>
        <w:t>方法不得作为评标的依据。</w:t>
      </w:r>
    </w:p>
    <w:p w14:paraId="33D1F5B0">
      <w:pPr>
        <w:pStyle w:val="2"/>
        <w:spacing w:before="36" w:line="219" w:lineRule="auto"/>
        <w:ind w:left="419"/>
        <w:rPr>
          <w:sz w:val="21"/>
          <w:szCs w:val="21"/>
        </w:rPr>
      </w:pPr>
      <w:r>
        <w:rPr>
          <w:rFonts w:ascii="Times New Roman" w:hAnsi="Times New Roman" w:eastAsia="Times New Roman" w:cs="Times New Roman"/>
          <w:sz w:val="21"/>
          <w:szCs w:val="21"/>
        </w:rPr>
        <w:t xml:space="preserve">A2.3.2     </w:t>
      </w:r>
      <w:r>
        <w:rPr>
          <w:sz w:val="21"/>
          <w:szCs w:val="21"/>
        </w:rPr>
        <w:t>招标人或招标代理机构应向评标委员会提供评标所需的信息和数据，包括：</w:t>
      </w:r>
    </w:p>
    <w:p w14:paraId="7B5DAE3F">
      <w:pPr>
        <w:pStyle w:val="2"/>
        <w:spacing w:before="182" w:line="219" w:lineRule="auto"/>
        <w:ind w:left="529"/>
        <w:rPr>
          <w:sz w:val="21"/>
          <w:szCs w:val="21"/>
        </w:rPr>
      </w:pPr>
      <w:r>
        <w:rPr>
          <w:spacing w:val="2"/>
          <w:sz w:val="21"/>
          <w:szCs w:val="21"/>
        </w:rPr>
        <w:t>(1)经招投标监管部门备案的招标文件及其澄清、修改文件；</w:t>
      </w:r>
    </w:p>
    <w:p w14:paraId="04E829D4">
      <w:pPr>
        <w:pStyle w:val="2"/>
        <w:spacing w:before="179" w:line="219" w:lineRule="auto"/>
        <w:ind w:left="529"/>
        <w:rPr>
          <w:sz w:val="21"/>
          <w:szCs w:val="21"/>
        </w:rPr>
      </w:pPr>
      <w:r>
        <w:rPr>
          <w:spacing w:val="3"/>
          <w:sz w:val="21"/>
          <w:szCs w:val="21"/>
        </w:rPr>
        <w:t>(2)未在开标会上当场拒绝的各投标文件；</w:t>
      </w:r>
    </w:p>
    <w:p w14:paraId="0C3D6E92">
      <w:pPr>
        <w:pStyle w:val="2"/>
        <w:spacing w:before="183" w:line="220" w:lineRule="auto"/>
        <w:ind w:left="529"/>
        <w:rPr>
          <w:sz w:val="21"/>
          <w:szCs w:val="21"/>
        </w:rPr>
      </w:pPr>
      <w:r>
        <w:rPr>
          <w:spacing w:val="7"/>
          <w:sz w:val="21"/>
          <w:szCs w:val="21"/>
        </w:rPr>
        <w:t>(3)开标记录表；</w:t>
      </w:r>
    </w:p>
    <w:p w14:paraId="55366DEB">
      <w:pPr>
        <w:pStyle w:val="2"/>
        <w:spacing w:before="197" w:line="291" w:lineRule="auto"/>
        <w:ind w:right="62" w:firstLine="529"/>
        <w:rPr>
          <w:sz w:val="21"/>
          <w:szCs w:val="21"/>
        </w:rPr>
      </w:pPr>
      <w:r>
        <w:rPr>
          <w:spacing w:val="6"/>
          <w:sz w:val="21"/>
          <w:szCs w:val="21"/>
        </w:rPr>
        <w:t>(4)招标控制价、工程所在地工程造价管理部门颁布的工</w:t>
      </w:r>
      <w:r>
        <w:rPr>
          <w:spacing w:val="5"/>
          <w:sz w:val="21"/>
          <w:szCs w:val="21"/>
        </w:rPr>
        <w:t>程造价信息、定额(如作为计价依</w:t>
      </w:r>
      <w:r>
        <w:rPr>
          <w:sz w:val="21"/>
          <w:szCs w:val="21"/>
        </w:rPr>
        <w:t xml:space="preserve"> </w:t>
      </w:r>
      <w:r>
        <w:rPr>
          <w:spacing w:val="-2"/>
          <w:sz w:val="21"/>
          <w:szCs w:val="21"/>
        </w:rPr>
        <w:t>据时);</w:t>
      </w:r>
    </w:p>
    <w:p w14:paraId="5CB2F19A">
      <w:pPr>
        <w:pStyle w:val="2"/>
        <w:spacing w:before="190" w:line="219" w:lineRule="auto"/>
        <w:ind w:left="529"/>
        <w:rPr>
          <w:sz w:val="21"/>
          <w:szCs w:val="21"/>
        </w:rPr>
      </w:pPr>
      <w:r>
        <w:rPr>
          <w:spacing w:val="8"/>
          <w:sz w:val="21"/>
          <w:szCs w:val="21"/>
        </w:rPr>
        <w:t>(5)评标表格；</w:t>
      </w:r>
    </w:p>
    <w:p w14:paraId="1B2A9360">
      <w:pPr>
        <w:pStyle w:val="2"/>
        <w:spacing w:before="170" w:line="299" w:lineRule="auto"/>
        <w:ind w:right="66" w:firstLine="529"/>
        <w:rPr>
          <w:sz w:val="21"/>
          <w:szCs w:val="21"/>
        </w:rPr>
      </w:pPr>
      <w:r>
        <w:rPr>
          <w:spacing w:val="3"/>
          <w:sz w:val="21"/>
          <w:szCs w:val="21"/>
        </w:rPr>
        <w:t>(6)有关的法律、法规、规章、国家标准以及招标人或评标委员会认为必要的其他信息和数</w:t>
      </w:r>
      <w:r>
        <w:rPr>
          <w:sz w:val="21"/>
          <w:szCs w:val="21"/>
        </w:rPr>
        <w:t xml:space="preserve"> </w:t>
      </w:r>
      <w:r>
        <w:rPr>
          <w:spacing w:val="-10"/>
          <w:sz w:val="21"/>
          <w:szCs w:val="21"/>
        </w:rPr>
        <w:t>据。</w:t>
      </w:r>
    </w:p>
    <w:p w14:paraId="713546C4">
      <w:pPr>
        <w:pStyle w:val="2"/>
        <w:spacing w:before="146" w:line="221" w:lineRule="auto"/>
        <w:ind w:left="422"/>
        <w:outlineLvl w:val="2"/>
        <w:rPr>
          <w:rFonts w:ascii="黑体" w:hAnsi="黑体" w:eastAsia="黑体" w:cs="黑体"/>
          <w:sz w:val="21"/>
          <w:szCs w:val="21"/>
        </w:rPr>
      </w:pPr>
      <w:bookmarkStart w:id="143" w:name="bookmark107"/>
      <w:bookmarkEnd w:id="143"/>
      <w:r>
        <w:rPr>
          <w:b/>
          <w:bCs/>
          <w:spacing w:val="-2"/>
          <w:sz w:val="21"/>
          <w:szCs w:val="21"/>
        </w:rPr>
        <w:t>A2.4</w:t>
      </w:r>
      <w:r>
        <w:rPr>
          <w:spacing w:val="-28"/>
          <w:sz w:val="21"/>
          <w:szCs w:val="21"/>
        </w:rPr>
        <w:t xml:space="preserve"> </w:t>
      </w:r>
      <w:r>
        <w:rPr>
          <w:rFonts w:ascii="黑体" w:hAnsi="黑体" w:eastAsia="黑体" w:cs="黑体"/>
          <w:b/>
          <w:bCs/>
          <w:spacing w:val="-2"/>
          <w:sz w:val="21"/>
          <w:szCs w:val="21"/>
        </w:rPr>
        <w:t>暗标编号(适用于对施工组织设计进行暗标评审的)</w:t>
      </w:r>
    </w:p>
    <w:p w14:paraId="6EC77160">
      <w:pPr>
        <w:pStyle w:val="2"/>
        <w:spacing w:before="165" w:line="352" w:lineRule="auto"/>
        <w:ind w:firstLine="419"/>
        <w:jc w:val="both"/>
        <w:rPr>
          <w:sz w:val="21"/>
          <w:szCs w:val="21"/>
        </w:rPr>
      </w:pPr>
      <w:r>
        <w:rPr>
          <w:spacing w:val="7"/>
          <w:sz w:val="21"/>
          <w:szCs w:val="21"/>
        </w:rPr>
        <w:t>第二章“投标人须知”前附表第10.3款要求对施工组织设计采用“暗标”评审方式且第八</w:t>
      </w:r>
      <w:r>
        <w:rPr>
          <w:spacing w:val="1"/>
          <w:sz w:val="21"/>
          <w:szCs w:val="21"/>
        </w:rPr>
        <w:t xml:space="preserve">  </w:t>
      </w:r>
      <w:r>
        <w:rPr>
          <w:spacing w:val="2"/>
          <w:sz w:val="21"/>
          <w:szCs w:val="21"/>
        </w:rPr>
        <w:t>章“投标文件格式”中对施工组织设计的编制有暗标要求，则在评标工作开始前，招标人将</w:t>
      </w:r>
      <w:r>
        <w:rPr>
          <w:spacing w:val="1"/>
          <w:sz w:val="21"/>
          <w:szCs w:val="21"/>
        </w:rPr>
        <w:t>指定</w:t>
      </w:r>
      <w:r>
        <w:rPr>
          <w:sz w:val="21"/>
          <w:szCs w:val="21"/>
        </w:rPr>
        <w:t xml:space="preserve">  </w:t>
      </w:r>
      <w:r>
        <w:rPr>
          <w:spacing w:val="-2"/>
          <w:sz w:val="21"/>
          <w:szCs w:val="21"/>
        </w:rPr>
        <w:t>专人负责编制投标文件暗标编码，并就暗标编码与投标人的对应关系使用</w:t>
      </w:r>
      <w:r>
        <w:rPr>
          <w:b/>
          <w:bCs/>
          <w:spacing w:val="-2"/>
          <w:sz w:val="21"/>
          <w:szCs w:val="21"/>
        </w:rPr>
        <w:t>附表</w:t>
      </w:r>
      <w:r>
        <w:rPr>
          <w:spacing w:val="-20"/>
          <w:sz w:val="21"/>
          <w:szCs w:val="21"/>
        </w:rPr>
        <w:t xml:space="preserve"> </w:t>
      </w:r>
      <w:r>
        <w:rPr>
          <w:rFonts w:ascii="Times New Roman" w:hAnsi="Times New Roman" w:eastAsia="Times New Roman" w:cs="Times New Roman"/>
          <w:b/>
          <w:bCs/>
          <w:spacing w:val="-2"/>
          <w:sz w:val="21"/>
          <w:szCs w:val="21"/>
        </w:rPr>
        <w:t>A-3</w:t>
      </w:r>
      <w:r>
        <w:rPr>
          <w:rFonts w:ascii="Times New Roman" w:hAnsi="Times New Roman" w:eastAsia="Times New Roman" w:cs="Times New Roman"/>
          <w:b/>
          <w:bCs/>
          <w:spacing w:val="23"/>
          <w:sz w:val="21"/>
          <w:szCs w:val="21"/>
        </w:rPr>
        <w:t xml:space="preserve"> </w:t>
      </w:r>
      <w:r>
        <w:rPr>
          <w:spacing w:val="-2"/>
          <w:sz w:val="21"/>
          <w:szCs w:val="21"/>
        </w:rPr>
        <w:t>做好暗标记录。</w:t>
      </w:r>
      <w:r>
        <w:rPr>
          <w:sz w:val="21"/>
          <w:szCs w:val="21"/>
        </w:rPr>
        <w:t xml:space="preserve"> </w:t>
      </w:r>
      <w:r>
        <w:rPr>
          <w:spacing w:val="2"/>
          <w:sz w:val="21"/>
          <w:szCs w:val="21"/>
        </w:rPr>
        <w:t>暗标编码按随机方式编制。在评标委员会全体成员均完成暗标部分评审并对评审结果进行汇总和</w:t>
      </w:r>
      <w:r>
        <w:rPr>
          <w:sz w:val="21"/>
          <w:szCs w:val="21"/>
        </w:rPr>
        <w:t xml:space="preserve">  </w:t>
      </w:r>
      <w:r>
        <w:rPr>
          <w:spacing w:val="-1"/>
          <w:sz w:val="21"/>
          <w:szCs w:val="21"/>
        </w:rPr>
        <w:t>签字确认后，招标人方可向评标委员会公布暗标记录。暗标记录公布前必须妥善保管并予以保密。</w:t>
      </w:r>
    </w:p>
    <w:p w14:paraId="57CAE2B2">
      <w:pPr>
        <w:spacing w:before="12" w:line="221" w:lineRule="auto"/>
        <w:ind w:left="419"/>
        <w:outlineLvl w:val="2"/>
        <w:rPr>
          <w:rFonts w:ascii="黑体" w:hAnsi="黑体" w:eastAsia="黑体" w:cs="黑体"/>
          <w:sz w:val="21"/>
          <w:szCs w:val="21"/>
        </w:rPr>
      </w:pPr>
      <w:bookmarkStart w:id="144" w:name="bookmark108"/>
      <w:bookmarkEnd w:id="144"/>
      <w:r>
        <w:rPr>
          <w:rFonts w:ascii="Times New Roman" w:hAnsi="Times New Roman" w:eastAsia="Times New Roman" w:cs="Times New Roman"/>
          <w:b/>
          <w:bCs/>
          <w:spacing w:val="-2"/>
          <w:sz w:val="21"/>
          <w:szCs w:val="21"/>
        </w:rPr>
        <w:t>A2.5</w:t>
      </w:r>
      <w:r>
        <w:rPr>
          <w:rFonts w:ascii="Times New Roman" w:hAnsi="Times New Roman" w:eastAsia="Times New Roman" w:cs="Times New Roman"/>
          <w:b/>
          <w:bCs/>
          <w:spacing w:val="42"/>
          <w:w w:val="101"/>
          <w:sz w:val="21"/>
          <w:szCs w:val="21"/>
        </w:rPr>
        <w:t xml:space="preserve"> </w:t>
      </w:r>
      <w:r>
        <w:rPr>
          <w:rFonts w:ascii="黑体" w:hAnsi="黑体" w:eastAsia="黑体" w:cs="黑体"/>
          <w:b/>
          <w:bCs/>
          <w:spacing w:val="-2"/>
          <w:sz w:val="21"/>
          <w:szCs w:val="21"/>
        </w:rPr>
        <w:t>对投标文件进行基础性数据分析和整理工作(清标)</w:t>
      </w:r>
    </w:p>
    <w:p w14:paraId="313ED024">
      <w:pPr>
        <w:pStyle w:val="2"/>
        <w:spacing w:before="132" w:line="361" w:lineRule="auto"/>
        <w:ind w:right="96" w:firstLine="419"/>
        <w:jc w:val="both"/>
        <w:rPr>
          <w:sz w:val="21"/>
          <w:szCs w:val="21"/>
        </w:rPr>
      </w:pPr>
      <w:r>
        <w:rPr>
          <w:rFonts w:ascii="Times New Roman" w:hAnsi="Times New Roman" w:eastAsia="Times New Roman" w:cs="Times New Roman"/>
          <w:spacing w:val="1"/>
          <w:sz w:val="21"/>
          <w:szCs w:val="21"/>
        </w:rPr>
        <w:t xml:space="preserve">A2.5.1  </w:t>
      </w:r>
      <w:r>
        <w:rPr>
          <w:spacing w:val="1"/>
          <w:sz w:val="21"/>
          <w:szCs w:val="21"/>
        </w:rPr>
        <w:t>在不改变投标人投标文件实质性内容的前提下，评标委员会应当借助计算机辅助评标</w:t>
      </w:r>
      <w:r>
        <w:rPr>
          <w:spacing w:val="5"/>
          <w:sz w:val="21"/>
          <w:szCs w:val="21"/>
        </w:rPr>
        <w:t xml:space="preserve"> </w:t>
      </w:r>
      <w:r>
        <w:rPr>
          <w:spacing w:val="4"/>
          <w:sz w:val="21"/>
          <w:szCs w:val="21"/>
        </w:rPr>
        <w:t>系统对投标文件进行基础性数据分析和整理(本章中简称为“清标”),从而发现并提取其中可能</w:t>
      </w:r>
      <w:r>
        <w:rPr>
          <w:spacing w:val="12"/>
          <w:sz w:val="21"/>
          <w:szCs w:val="21"/>
        </w:rPr>
        <w:t xml:space="preserve"> </w:t>
      </w:r>
      <w:r>
        <w:rPr>
          <w:spacing w:val="2"/>
          <w:sz w:val="21"/>
          <w:szCs w:val="21"/>
        </w:rPr>
        <w:t>存在的对招标范围理解的偏差、投标报价的算术错误、错漏项、投标报价构成不合</w:t>
      </w:r>
      <w:r>
        <w:rPr>
          <w:spacing w:val="1"/>
          <w:sz w:val="21"/>
          <w:szCs w:val="21"/>
        </w:rPr>
        <w:t>理、不平衡报</w:t>
      </w:r>
      <w:r>
        <w:rPr>
          <w:sz w:val="21"/>
          <w:szCs w:val="21"/>
        </w:rPr>
        <w:t xml:space="preserve"> </w:t>
      </w:r>
      <w:r>
        <w:rPr>
          <w:spacing w:val="2"/>
          <w:sz w:val="21"/>
          <w:szCs w:val="21"/>
        </w:rPr>
        <w:t>价等存在明显异常的问题，并就这些问题整理形成清标报告。评标委员会对清标成果审议后，决</w:t>
      </w:r>
    </w:p>
    <w:p w14:paraId="498D5565">
      <w:pPr>
        <w:spacing w:line="361" w:lineRule="auto"/>
        <w:rPr>
          <w:sz w:val="21"/>
          <w:szCs w:val="21"/>
        </w:rPr>
        <w:sectPr>
          <w:footerReference r:id="rId60" w:type="default"/>
          <w:pgSz w:w="11910" w:h="16840"/>
          <w:pgMar w:top="1431" w:right="1445" w:bottom="1008" w:left="1450" w:header="0" w:footer="855" w:gutter="0"/>
          <w:cols w:space="720" w:num="1"/>
        </w:sectPr>
      </w:pPr>
    </w:p>
    <w:p w14:paraId="61658FDA">
      <w:pPr>
        <w:spacing w:line="336" w:lineRule="auto"/>
        <w:rPr>
          <w:rFonts w:ascii="Arial"/>
          <w:sz w:val="21"/>
        </w:rPr>
      </w:pPr>
    </w:p>
    <w:p w14:paraId="2DBE3E90">
      <w:pPr>
        <w:pStyle w:val="2"/>
        <w:spacing w:before="68" w:line="369" w:lineRule="auto"/>
        <w:ind w:right="5"/>
        <w:rPr>
          <w:sz w:val="21"/>
          <w:szCs w:val="21"/>
        </w:rPr>
      </w:pPr>
      <w:bookmarkStart w:id="145" w:name="bookmark254"/>
      <w:bookmarkEnd w:id="145"/>
      <w:r>
        <w:rPr>
          <w:spacing w:val="2"/>
          <w:sz w:val="21"/>
          <w:szCs w:val="21"/>
        </w:rPr>
        <w:t>定需要投标人进行书面澄清、说明或补正的，通过“电子交易平台”向投标人发出投标文件澄清</w:t>
      </w:r>
      <w:r>
        <w:rPr>
          <w:spacing w:val="5"/>
          <w:sz w:val="21"/>
          <w:szCs w:val="21"/>
        </w:rPr>
        <w:t xml:space="preserve"> </w:t>
      </w:r>
      <w:r>
        <w:rPr>
          <w:spacing w:val="-4"/>
          <w:sz w:val="21"/>
          <w:szCs w:val="21"/>
        </w:rPr>
        <w:t>通知。《投标文件澄清通知》采用投标人须知附表六所提供的格式。</w:t>
      </w:r>
    </w:p>
    <w:p w14:paraId="09D4E9B6">
      <w:pPr>
        <w:pStyle w:val="2"/>
        <w:spacing w:before="1" w:line="333" w:lineRule="auto"/>
        <w:ind w:firstLine="409"/>
        <w:jc w:val="both"/>
        <w:rPr>
          <w:sz w:val="21"/>
          <w:szCs w:val="21"/>
        </w:rPr>
      </w:pPr>
      <w:r>
        <w:rPr>
          <w:rFonts w:ascii="Times New Roman" w:hAnsi="Times New Roman" w:eastAsia="Times New Roman" w:cs="Times New Roman"/>
          <w:spacing w:val="1"/>
          <w:sz w:val="21"/>
          <w:szCs w:val="21"/>
        </w:rPr>
        <w:t>A2.5.2</w:t>
      </w:r>
      <w:r>
        <w:rPr>
          <w:rFonts w:ascii="Times New Roman" w:hAnsi="Times New Roman" w:eastAsia="Times New Roman" w:cs="Times New Roman"/>
          <w:spacing w:val="17"/>
          <w:sz w:val="21"/>
          <w:szCs w:val="21"/>
        </w:rPr>
        <w:t xml:space="preserve">  </w:t>
      </w:r>
      <w:r>
        <w:rPr>
          <w:spacing w:val="1"/>
          <w:sz w:val="21"/>
          <w:szCs w:val="21"/>
        </w:rPr>
        <w:t>投标人接到评标委员会发出的投标文件澄</w:t>
      </w:r>
      <w:r>
        <w:rPr>
          <w:sz w:val="21"/>
          <w:szCs w:val="21"/>
        </w:rPr>
        <w:t>清通知后，应按评标委员会的要求在规定的</w:t>
      </w:r>
      <w:r>
        <w:rPr>
          <w:spacing w:val="1"/>
          <w:sz w:val="21"/>
          <w:szCs w:val="21"/>
        </w:rPr>
        <w:t xml:space="preserve"> </w:t>
      </w:r>
      <w:r>
        <w:rPr>
          <w:spacing w:val="-7"/>
          <w:sz w:val="21"/>
          <w:szCs w:val="21"/>
        </w:rPr>
        <w:t>时间内，通过“电子交易平台”“投标文件澄清”菜单提交投</w:t>
      </w:r>
      <w:r>
        <w:rPr>
          <w:spacing w:val="-8"/>
          <w:sz w:val="21"/>
          <w:szCs w:val="21"/>
        </w:rPr>
        <w:t>标文件的澄清和相关资料(如有)。《投</w:t>
      </w:r>
      <w:r>
        <w:rPr>
          <w:sz w:val="21"/>
          <w:szCs w:val="21"/>
        </w:rPr>
        <w:t xml:space="preserve"> </w:t>
      </w:r>
      <w:r>
        <w:rPr>
          <w:spacing w:val="-2"/>
          <w:sz w:val="21"/>
          <w:szCs w:val="21"/>
        </w:rPr>
        <w:t>标文件的澄清》采用投标人须知附表七所提供的格式。</w:t>
      </w:r>
    </w:p>
    <w:p w14:paraId="675DD780">
      <w:pPr>
        <w:spacing w:line="221" w:lineRule="auto"/>
        <w:ind w:left="409"/>
        <w:outlineLvl w:val="2"/>
        <w:rPr>
          <w:rFonts w:ascii="黑体" w:hAnsi="黑体" w:eastAsia="黑体" w:cs="黑体"/>
          <w:sz w:val="25"/>
          <w:szCs w:val="25"/>
        </w:rPr>
      </w:pPr>
      <w:bookmarkStart w:id="146" w:name="bookmark109"/>
      <w:bookmarkEnd w:id="146"/>
      <w:r>
        <w:rPr>
          <w:rFonts w:ascii="Times New Roman" w:hAnsi="Times New Roman" w:eastAsia="Times New Roman" w:cs="Times New Roman"/>
          <w:b/>
          <w:bCs/>
          <w:spacing w:val="-1"/>
          <w:sz w:val="25"/>
          <w:szCs w:val="25"/>
        </w:rPr>
        <w:t>A3</w:t>
      </w:r>
      <w:r>
        <w:rPr>
          <w:rFonts w:ascii="黑体" w:hAnsi="黑体" w:eastAsia="黑体" w:cs="黑体"/>
          <w:b/>
          <w:bCs/>
          <w:spacing w:val="-1"/>
          <w:sz w:val="25"/>
          <w:szCs w:val="25"/>
        </w:rPr>
        <w:t>初步评审</w:t>
      </w:r>
    </w:p>
    <w:p w14:paraId="421A75E4">
      <w:pPr>
        <w:spacing w:before="138" w:line="222" w:lineRule="auto"/>
        <w:ind w:left="409"/>
        <w:outlineLvl w:val="2"/>
        <w:rPr>
          <w:rFonts w:ascii="黑体" w:hAnsi="黑体" w:eastAsia="黑体" w:cs="黑体"/>
          <w:sz w:val="21"/>
          <w:szCs w:val="21"/>
        </w:rPr>
      </w:pPr>
      <w:bookmarkStart w:id="147" w:name="bookmark110"/>
      <w:bookmarkEnd w:id="147"/>
      <w:r>
        <w:rPr>
          <w:rFonts w:ascii="Times New Roman" w:hAnsi="Times New Roman" w:eastAsia="Times New Roman" w:cs="Times New Roman"/>
          <w:b/>
          <w:bCs/>
          <w:spacing w:val="-3"/>
          <w:sz w:val="21"/>
          <w:szCs w:val="21"/>
        </w:rPr>
        <w:t>A3.1</w:t>
      </w:r>
      <w:r>
        <w:rPr>
          <w:rFonts w:ascii="Times New Roman" w:hAnsi="Times New Roman" w:eastAsia="Times New Roman" w:cs="Times New Roman"/>
          <w:b/>
          <w:bCs/>
          <w:spacing w:val="23"/>
          <w:sz w:val="21"/>
          <w:szCs w:val="21"/>
        </w:rPr>
        <w:t xml:space="preserve"> </w:t>
      </w:r>
      <w:r>
        <w:rPr>
          <w:rFonts w:ascii="黑体" w:hAnsi="黑体" w:eastAsia="黑体" w:cs="黑体"/>
          <w:b/>
          <w:bCs/>
          <w:spacing w:val="-3"/>
          <w:sz w:val="21"/>
          <w:szCs w:val="21"/>
        </w:rPr>
        <w:t>形式评审</w:t>
      </w:r>
    </w:p>
    <w:p w14:paraId="36D964FD">
      <w:pPr>
        <w:pStyle w:val="2"/>
        <w:spacing w:before="181" w:line="337" w:lineRule="auto"/>
        <w:ind w:right="6" w:firstLine="409"/>
        <w:rPr>
          <w:sz w:val="21"/>
          <w:szCs w:val="21"/>
        </w:rPr>
      </w:pPr>
      <w:r>
        <w:rPr>
          <w:spacing w:val="3"/>
          <w:sz w:val="21"/>
          <w:szCs w:val="21"/>
        </w:rPr>
        <w:t>评标委员会根据评标办法前附表中规定的评</w:t>
      </w:r>
      <w:r>
        <w:rPr>
          <w:spacing w:val="2"/>
          <w:sz w:val="21"/>
          <w:szCs w:val="21"/>
        </w:rPr>
        <w:t>审因素和评审标准，对投标人的投标文件进行形</w:t>
      </w:r>
      <w:r>
        <w:rPr>
          <w:sz w:val="21"/>
          <w:szCs w:val="21"/>
        </w:rPr>
        <w:t xml:space="preserve"> </w:t>
      </w:r>
      <w:r>
        <w:rPr>
          <w:spacing w:val="-1"/>
          <w:sz w:val="21"/>
          <w:szCs w:val="21"/>
        </w:rPr>
        <w:t>式评审，并使用</w:t>
      </w:r>
      <w:r>
        <w:rPr>
          <w:b/>
          <w:bCs/>
          <w:spacing w:val="-1"/>
          <w:sz w:val="21"/>
          <w:szCs w:val="21"/>
        </w:rPr>
        <w:t>附</w:t>
      </w:r>
      <w:r>
        <w:rPr>
          <w:spacing w:val="-34"/>
          <w:sz w:val="21"/>
          <w:szCs w:val="21"/>
        </w:rPr>
        <w:t xml:space="preserve"> </w:t>
      </w:r>
      <w:r>
        <w:rPr>
          <w:b/>
          <w:bCs/>
          <w:spacing w:val="-1"/>
          <w:sz w:val="21"/>
          <w:szCs w:val="21"/>
        </w:rPr>
        <w:t>表</w:t>
      </w:r>
      <w:r>
        <w:rPr>
          <w:rFonts w:ascii="Times New Roman" w:hAnsi="Times New Roman" w:eastAsia="Times New Roman" w:cs="Times New Roman"/>
          <w:b/>
          <w:bCs/>
          <w:spacing w:val="-1"/>
          <w:sz w:val="21"/>
          <w:szCs w:val="21"/>
        </w:rPr>
        <w:t xml:space="preserve">A-4 </w:t>
      </w:r>
      <w:r>
        <w:rPr>
          <w:spacing w:val="-1"/>
          <w:sz w:val="21"/>
          <w:szCs w:val="21"/>
        </w:rPr>
        <w:t>记录评审结果。</w:t>
      </w:r>
    </w:p>
    <w:p w14:paraId="13E50E81">
      <w:pPr>
        <w:spacing w:before="1" w:line="221" w:lineRule="auto"/>
        <w:ind w:left="409"/>
        <w:outlineLvl w:val="2"/>
        <w:rPr>
          <w:rFonts w:ascii="黑体" w:hAnsi="黑体" w:eastAsia="黑体" w:cs="黑体"/>
          <w:sz w:val="21"/>
          <w:szCs w:val="21"/>
        </w:rPr>
      </w:pPr>
      <w:bookmarkStart w:id="148" w:name="bookmark111"/>
      <w:bookmarkEnd w:id="148"/>
      <w:r>
        <w:rPr>
          <w:rFonts w:ascii="Times New Roman" w:hAnsi="Times New Roman" w:eastAsia="Times New Roman" w:cs="Times New Roman"/>
          <w:spacing w:val="-3"/>
          <w:sz w:val="21"/>
          <w:szCs w:val="21"/>
        </w:rPr>
        <w:t>A3.2</w:t>
      </w:r>
      <w:r>
        <w:rPr>
          <w:rFonts w:ascii="Times New Roman" w:hAnsi="Times New Roman" w:eastAsia="Times New Roman" w:cs="Times New Roman"/>
          <w:spacing w:val="28"/>
          <w:w w:val="101"/>
          <w:sz w:val="21"/>
          <w:szCs w:val="21"/>
        </w:rPr>
        <w:t xml:space="preserve"> </w:t>
      </w:r>
      <w:r>
        <w:rPr>
          <w:rFonts w:ascii="黑体" w:hAnsi="黑体" w:eastAsia="黑体" w:cs="黑体"/>
          <w:b/>
          <w:bCs/>
          <w:spacing w:val="-3"/>
          <w:sz w:val="21"/>
          <w:szCs w:val="21"/>
        </w:rPr>
        <w:t>资格评审</w:t>
      </w:r>
    </w:p>
    <w:p w14:paraId="49CD566E">
      <w:pPr>
        <w:pStyle w:val="2"/>
        <w:spacing w:before="160" w:line="355" w:lineRule="auto"/>
        <w:ind w:right="31" w:firstLine="409"/>
        <w:rPr>
          <w:sz w:val="21"/>
          <w:szCs w:val="21"/>
        </w:rPr>
      </w:pPr>
      <w:r>
        <w:rPr>
          <w:spacing w:val="2"/>
          <w:sz w:val="21"/>
          <w:szCs w:val="21"/>
        </w:rPr>
        <w:t>评标委员会根据评标办法前附表中规定的评审因素和评审标准，对投标人的投</w:t>
      </w:r>
      <w:r>
        <w:rPr>
          <w:spacing w:val="1"/>
          <w:sz w:val="21"/>
          <w:szCs w:val="21"/>
        </w:rPr>
        <w:t>标文件进行资</w:t>
      </w:r>
      <w:r>
        <w:rPr>
          <w:sz w:val="21"/>
          <w:szCs w:val="21"/>
        </w:rPr>
        <w:t xml:space="preserve"> 格评审，并使用</w:t>
      </w:r>
      <w:r>
        <w:rPr>
          <w:b/>
          <w:bCs/>
          <w:sz w:val="21"/>
          <w:szCs w:val="21"/>
        </w:rPr>
        <w:t>附</w:t>
      </w:r>
      <w:r>
        <w:rPr>
          <w:spacing w:val="-40"/>
          <w:sz w:val="21"/>
          <w:szCs w:val="21"/>
        </w:rPr>
        <w:t xml:space="preserve"> </w:t>
      </w:r>
      <w:r>
        <w:rPr>
          <w:b/>
          <w:bCs/>
          <w:sz w:val="21"/>
          <w:szCs w:val="21"/>
        </w:rPr>
        <w:t>表A-5</w:t>
      </w:r>
      <w:r>
        <w:rPr>
          <w:spacing w:val="-22"/>
          <w:sz w:val="21"/>
          <w:szCs w:val="21"/>
        </w:rPr>
        <w:t xml:space="preserve"> </w:t>
      </w:r>
      <w:r>
        <w:rPr>
          <w:sz w:val="21"/>
          <w:szCs w:val="21"/>
        </w:rPr>
        <w:t>记录评审结果。(适用于未进行资格预审的)</w:t>
      </w:r>
    </w:p>
    <w:p w14:paraId="6BA69BAC">
      <w:pPr>
        <w:pStyle w:val="2"/>
        <w:spacing w:before="1" w:line="221" w:lineRule="auto"/>
        <w:ind w:left="409"/>
        <w:outlineLvl w:val="2"/>
        <w:rPr>
          <w:rFonts w:ascii="黑体" w:hAnsi="黑体" w:eastAsia="黑体" w:cs="黑体"/>
          <w:sz w:val="21"/>
          <w:szCs w:val="21"/>
        </w:rPr>
      </w:pPr>
      <w:bookmarkStart w:id="149" w:name="bookmark112"/>
      <w:bookmarkEnd w:id="149"/>
      <w:r>
        <w:rPr>
          <w:spacing w:val="-5"/>
          <w:sz w:val="21"/>
          <w:szCs w:val="21"/>
        </w:rPr>
        <w:t>A3.</w:t>
      </w:r>
      <w:r>
        <w:rPr>
          <w:b/>
          <w:bCs/>
          <w:spacing w:val="-5"/>
          <w:sz w:val="21"/>
          <w:szCs w:val="21"/>
        </w:rPr>
        <w:t>3</w:t>
      </w:r>
      <w:r>
        <w:rPr>
          <w:spacing w:val="-15"/>
          <w:sz w:val="21"/>
          <w:szCs w:val="21"/>
        </w:rPr>
        <w:t xml:space="preserve"> </w:t>
      </w:r>
      <w:r>
        <w:rPr>
          <w:rFonts w:ascii="黑体" w:hAnsi="黑体" w:eastAsia="黑体" w:cs="黑体"/>
          <w:b/>
          <w:bCs/>
          <w:spacing w:val="-5"/>
          <w:sz w:val="21"/>
          <w:szCs w:val="21"/>
        </w:rPr>
        <w:t>响应性评审</w:t>
      </w:r>
    </w:p>
    <w:p w14:paraId="725460A7">
      <w:pPr>
        <w:pStyle w:val="2"/>
        <w:spacing w:before="181" w:line="377" w:lineRule="auto"/>
        <w:ind w:right="7" w:firstLine="409"/>
        <w:rPr>
          <w:sz w:val="21"/>
          <w:szCs w:val="21"/>
        </w:rPr>
      </w:pPr>
      <w:r>
        <w:rPr>
          <w:rFonts w:ascii="Times New Roman" w:hAnsi="Times New Roman" w:eastAsia="Times New Roman" w:cs="Times New Roman"/>
          <w:sz w:val="21"/>
          <w:szCs w:val="21"/>
        </w:rPr>
        <w:t>A3.3.1</w:t>
      </w:r>
      <w:r>
        <w:rPr>
          <w:rFonts w:ascii="Times New Roman" w:hAnsi="Times New Roman" w:eastAsia="Times New Roman" w:cs="Times New Roman"/>
          <w:spacing w:val="25"/>
          <w:w w:val="101"/>
          <w:sz w:val="21"/>
          <w:szCs w:val="21"/>
        </w:rPr>
        <w:t xml:space="preserve">  </w:t>
      </w:r>
      <w:r>
        <w:rPr>
          <w:sz w:val="21"/>
          <w:szCs w:val="21"/>
        </w:rPr>
        <w:t xml:space="preserve">评标委员会根据评标办法前附表中规定的评审因素和评审标准，对投标人的投标文件 </w:t>
      </w:r>
      <w:r>
        <w:rPr>
          <w:spacing w:val="-1"/>
          <w:sz w:val="21"/>
          <w:szCs w:val="21"/>
        </w:rPr>
        <w:t>进行响应性评审，并使用</w:t>
      </w:r>
      <w:r>
        <w:rPr>
          <w:b/>
          <w:bCs/>
          <w:spacing w:val="-1"/>
          <w:sz w:val="21"/>
          <w:szCs w:val="21"/>
        </w:rPr>
        <w:t>附</w:t>
      </w:r>
      <w:r>
        <w:rPr>
          <w:spacing w:val="-38"/>
          <w:sz w:val="21"/>
          <w:szCs w:val="21"/>
        </w:rPr>
        <w:t xml:space="preserve"> </w:t>
      </w:r>
      <w:r>
        <w:rPr>
          <w:b/>
          <w:bCs/>
          <w:spacing w:val="-1"/>
          <w:sz w:val="21"/>
          <w:szCs w:val="21"/>
        </w:rPr>
        <w:t>表A-6</w:t>
      </w:r>
      <w:r>
        <w:rPr>
          <w:spacing w:val="-41"/>
          <w:sz w:val="21"/>
          <w:szCs w:val="21"/>
        </w:rPr>
        <w:t xml:space="preserve"> </w:t>
      </w:r>
      <w:r>
        <w:rPr>
          <w:spacing w:val="-1"/>
          <w:sz w:val="21"/>
          <w:szCs w:val="21"/>
        </w:rPr>
        <w:t>记录评审结果。</w:t>
      </w:r>
    </w:p>
    <w:p w14:paraId="147D0F70">
      <w:pPr>
        <w:pStyle w:val="2"/>
        <w:spacing w:before="10" w:line="367" w:lineRule="auto"/>
        <w:ind w:right="4" w:firstLine="409"/>
        <w:jc w:val="both"/>
        <w:rPr>
          <w:sz w:val="21"/>
          <w:szCs w:val="21"/>
        </w:rPr>
      </w:pPr>
      <w:r>
        <w:rPr>
          <w:rFonts w:ascii="Times New Roman" w:hAnsi="Times New Roman" w:eastAsia="Times New Roman" w:cs="Times New Roman"/>
          <w:sz w:val="21"/>
          <w:szCs w:val="21"/>
        </w:rPr>
        <w:t>A3.3.2</w:t>
      </w:r>
      <w:r>
        <w:rPr>
          <w:rFonts w:ascii="Times New Roman" w:hAnsi="Times New Roman" w:eastAsia="Times New Roman" w:cs="Times New Roman"/>
          <w:spacing w:val="25"/>
          <w:w w:val="101"/>
          <w:sz w:val="21"/>
          <w:szCs w:val="21"/>
        </w:rPr>
        <w:t xml:space="preserve">  </w:t>
      </w:r>
      <w:r>
        <w:rPr>
          <w:sz w:val="21"/>
          <w:szCs w:val="21"/>
        </w:rPr>
        <w:t xml:space="preserve">投标人投标价格不得超出(不含等于)按照第二章“投标人须知”前附表载明的招标控 </w:t>
      </w:r>
      <w:r>
        <w:rPr>
          <w:spacing w:val="5"/>
          <w:sz w:val="21"/>
          <w:szCs w:val="21"/>
        </w:rPr>
        <w:t>制价总价(投标人投标价格是指投标函中的大写报价或经投标</w:t>
      </w:r>
      <w:r>
        <w:rPr>
          <w:spacing w:val="4"/>
          <w:sz w:val="21"/>
          <w:szCs w:val="21"/>
        </w:rPr>
        <w:t>人确认的算术错误修正后的价格不</w:t>
      </w:r>
      <w:r>
        <w:rPr>
          <w:sz w:val="21"/>
          <w:szCs w:val="21"/>
        </w:rPr>
        <w:t xml:space="preserve"> </w:t>
      </w:r>
      <w:r>
        <w:rPr>
          <w:spacing w:val="2"/>
          <w:sz w:val="21"/>
          <w:szCs w:val="21"/>
        </w:rPr>
        <w:t xml:space="preserve">超过本项目招标控制价总价),凡投标人的投标价格超出招标控制价总价的，该投标人的投标文件 </w:t>
      </w:r>
      <w:r>
        <w:rPr>
          <w:spacing w:val="-4"/>
          <w:sz w:val="21"/>
          <w:szCs w:val="21"/>
        </w:rPr>
        <w:t>不能通过响应性评审。</w:t>
      </w:r>
    </w:p>
    <w:p w14:paraId="6DCB9C68">
      <w:pPr>
        <w:pStyle w:val="2"/>
        <w:spacing w:line="221" w:lineRule="auto"/>
        <w:ind w:left="409"/>
        <w:outlineLvl w:val="2"/>
        <w:rPr>
          <w:rFonts w:ascii="黑体" w:hAnsi="黑体" w:eastAsia="黑体" w:cs="黑体"/>
          <w:sz w:val="21"/>
          <w:szCs w:val="21"/>
        </w:rPr>
      </w:pPr>
      <w:bookmarkStart w:id="150" w:name="bookmark113"/>
      <w:bookmarkEnd w:id="150"/>
      <w:r>
        <w:rPr>
          <w:spacing w:val="-3"/>
          <w:sz w:val="21"/>
          <w:szCs w:val="21"/>
        </w:rPr>
        <w:t>A3</w:t>
      </w:r>
      <w:r>
        <w:rPr>
          <w:rFonts w:ascii="黑体" w:hAnsi="黑体" w:eastAsia="黑体" w:cs="黑体"/>
          <w:b/>
          <w:bCs/>
          <w:spacing w:val="-3"/>
          <w:sz w:val="21"/>
          <w:szCs w:val="21"/>
        </w:rPr>
        <w:t>.4</w:t>
      </w:r>
      <w:r>
        <w:rPr>
          <w:rFonts w:ascii="黑体" w:hAnsi="黑体" w:eastAsia="黑体" w:cs="黑体"/>
          <w:spacing w:val="-35"/>
          <w:sz w:val="21"/>
          <w:szCs w:val="21"/>
        </w:rPr>
        <w:t xml:space="preserve"> </w:t>
      </w:r>
      <w:r>
        <w:rPr>
          <w:rFonts w:ascii="黑体" w:hAnsi="黑体" w:eastAsia="黑体" w:cs="黑体"/>
          <w:b/>
          <w:bCs/>
          <w:spacing w:val="-3"/>
          <w:sz w:val="21"/>
          <w:szCs w:val="21"/>
        </w:rPr>
        <w:t>施工组织设计评审</w:t>
      </w:r>
    </w:p>
    <w:p w14:paraId="5F4F943B">
      <w:pPr>
        <w:pStyle w:val="2"/>
        <w:spacing w:before="180" w:line="364" w:lineRule="auto"/>
        <w:ind w:right="4" w:firstLine="409"/>
        <w:rPr>
          <w:sz w:val="21"/>
          <w:szCs w:val="21"/>
        </w:rPr>
      </w:pPr>
      <w:r>
        <w:rPr>
          <w:spacing w:val="3"/>
          <w:sz w:val="21"/>
          <w:szCs w:val="21"/>
        </w:rPr>
        <w:t>评标委员会根据评标办法前附表中规定的评审</w:t>
      </w:r>
      <w:r>
        <w:rPr>
          <w:spacing w:val="2"/>
          <w:sz w:val="21"/>
          <w:szCs w:val="21"/>
        </w:rPr>
        <w:t>因素和评审标准，对投标人的投标文件的施工</w:t>
      </w:r>
      <w:r>
        <w:rPr>
          <w:sz w:val="21"/>
          <w:szCs w:val="21"/>
        </w:rPr>
        <w:t xml:space="preserve"> </w:t>
      </w:r>
      <w:r>
        <w:rPr>
          <w:spacing w:val="2"/>
          <w:sz w:val="21"/>
          <w:szCs w:val="21"/>
        </w:rPr>
        <w:t>组织设计进行合格性评审，并使用</w:t>
      </w:r>
      <w:r>
        <w:rPr>
          <w:b/>
          <w:bCs/>
          <w:spacing w:val="2"/>
          <w:sz w:val="21"/>
          <w:szCs w:val="21"/>
        </w:rPr>
        <w:t>附表</w:t>
      </w:r>
      <w:r>
        <w:rPr>
          <w:spacing w:val="-58"/>
          <w:sz w:val="21"/>
          <w:szCs w:val="21"/>
        </w:rPr>
        <w:t xml:space="preserve"> </w:t>
      </w:r>
      <w:r>
        <w:rPr>
          <w:rFonts w:ascii="Times New Roman" w:hAnsi="Times New Roman" w:eastAsia="Times New Roman" w:cs="Times New Roman"/>
          <w:b/>
          <w:bCs/>
          <w:spacing w:val="2"/>
          <w:sz w:val="21"/>
          <w:szCs w:val="21"/>
        </w:rPr>
        <w:t xml:space="preserve">A-7 </w:t>
      </w:r>
      <w:r>
        <w:rPr>
          <w:spacing w:val="2"/>
          <w:sz w:val="21"/>
          <w:szCs w:val="21"/>
        </w:rPr>
        <w:t>记录评审结果。(适用于办法五、六、七、八)</w:t>
      </w:r>
    </w:p>
    <w:p w14:paraId="5676CA0A">
      <w:pPr>
        <w:pStyle w:val="2"/>
        <w:spacing w:before="1" w:line="221" w:lineRule="auto"/>
        <w:ind w:left="412"/>
        <w:outlineLvl w:val="2"/>
        <w:rPr>
          <w:rFonts w:ascii="黑体" w:hAnsi="黑体" w:eastAsia="黑体" w:cs="黑体"/>
          <w:sz w:val="21"/>
          <w:szCs w:val="21"/>
        </w:rPr>
      </w:pPr>
      <w:bookmarkStart w:id="151" w:name="bookmark114"/>
      <w:bookmarkEnd w:id="151"/>
      <w:r>
        <w:rPr>
          <w:b/>
          <w:bCs/>
          <w:spacing w:val="-4"/>
          <w:sz w:val="21"/>
          <w:szCs w:val="21"/>
        </w:rPr>
        <w:t>A3.5</w:t>
      </w:r>
      <w:r>
        <w:rPr>
          <w:spacing w:val="-35"/>
          <w:sz w:val="21"/>
          <w:szCs w:val="21"/>
        </w:rPr>
        <w:t xml:space="preserve"> </w:t>
      </w:r>
      <w:r>
        <w:rPr>
          <w:rFonts w:ascii="黑体" w:hAnsi="黑体" w:eastAsia="黑体" w:cs="黑体"/>
          <w:b/>
          <w:bCs/>
          <w:spacing w:val="-4"/>
          <w:sz w:val="21"/>
          <w:szCs w:val="21"/>
        </w:rPr>
        <w:t>算术错误修正</w:t>
      </w:r>
    </w:p>
    <w:p w14:paraId="7277FC18">
      <w:pPr>
        <w:pStyle w:val="2"/>
        <w:spacing w:before="200" w:line="369" w:lineRule="auto"/>
        <w:ind w:right="2" w:firstLine="409"/>
        <w:jc w:val="both"/>
        <w:rPr>
          <w:sz w:val="21"/>
          <w:szCs w:val="21"/>
        </w:rPr>
      </w:pPr>
      <w:r>
        <w:rPr>
          <w:spacing w:val="2"/>
          <w:sz w:val="21"/>
          <w:szCs w:val="21"/>
        </w:rPr>
        <w:t>评标委员会依据本章中规定的相关原则对投标报价中存在的算术</w:t>
      </w:r>
      <w:r>
        <w:rPr>
          <w:spacing w:val="1"/>
          <w:sz w:val="21"/>
          <w:szCs w:val="21"/>
        </w:rPr>
        <w:t>错误进行修正，修正的价格</w:t>
      </w:r>
      <w:r>
        <w:rPr>
          <w:sz w:val="21"/>
          <w:szCs w:val="21"/>
        </w:rPr>
        <w:t xml:space="preserve"> </w:t>
      </w:r>
      <w:r>
        <w:rPr>
          <w:spacing w:val="2"/>
          <w:sz w:val="21"/>
          <w:szCs w:val="21"/>
        </w:rPr>
        <w:t>经投标人书面确认后具有约束力。投标人不接受修正价格的，或者修正后的价格与投标报价相比</w:t>
      </w:r>
      <w:r>
        <w:rPr>
          <w:spacing w:val="7"/>
          <w:sz w:val="21"/>
          <w:szCs w:val="21"/>
        </w:rPr>
        <w:t xml:space="preserve"> </w:t>
      </w:r>
      <w:r>
        <w:rPr>
          <w:spacing w:val="5"/>
          <w:sz w:val="21"/>
          <w:szCs w:val="21"/>
        </w:rPr>
        <w:t>偏差在±1%以上的，或者修正后的投标价格超过</w:t>
      </w:r>
      <w:r>
        <w:rPr>
          <w:spacing w:val="4"/>
          <w:sz w:val="21"/>
          <w:szCs w:val="21"/>
        </w:rPr>
        <w:t>招标控制价总价的(如有),其投标应当被否决。</w:t>
      </w:r>
    </w:p>
    <w:p w14:paraId="7CCFA3F8">
      <w:pPr>
        <w:pStyle w:val="2"/>
        <w:spacing w:before="18" w:line="218" w:lineRule="auto"/>
        <w:ind w:left="409"/>
        <w:rPr>
          <w:sz w:val="21"/>
          <w:szCs w:val="21"/>
        </w:rPr>
      </w:pPr>
      <w:r>
        <w:rPr>
          <w:spacing w:val="-2"/>
          <w:sz w:val="21"/>
          <w:szCs w:val="21"/>
        </w:rPr>
        <w:t>算术错误修正用清标报告</w:t>
      </w:r>
      <w:r>
        <w:rPr>
          <w:b/>
          <w:bCs/>
          <w:spacing w:val="-2"/>
          <w:sz w:val="21"/>
          <w:szCs w:val="21"/>
        </w:rPr>
        <w:t>附</w:t>
      </w:r>
      <w:r>
        <w:rPr>
          <w:spacing w:val="-35"/>
          <w:sz w:val="21"/>
          <w:szCs w:val="21"/>
        </w:rPr>
        <w:t xml:space="preserve"> </w:t>
      </w:r>
      <w:r>
        <w:rPr>
          <w:b/>
          <w:bCs/>
          <w:spacing w:val="-2"/>
          <w:sz w:val="21"/>
          <w:szCs w:val="21"/>
        </w:rPr>
        <w:t>表</w:t>
      </w:r>
      <w:r>
        <w:rPr>
          <w:rFonts w:ascii="Times New Roman" w:hAnsi="Times New Roman" w:eastAsia="Times New Roman" w:cs="Times New Roman"/>
          <w:b/>
          <w:bCs/>
          <w:spacing w:val="-2"/>
          <w:sz w:val="21"/>
          <w:szCs w:val="21"/>
        </w:rPr>
        <w:t>C-8</w:t>
      </w:r>
      <w:r>
        <w:rPr>
          <w:rFonts w:ascii="Times New Roman" w:hAnsi="Times New Roman" w:eastAsia="Times New Roman" w:cs="Times New Roman"/>
          <w:b/>
          <w:bCs/>
          <w:spacing w:val="-29"/>
          <w:sz w:val="21"/>
          <w:szCs w:val="21"/>
        </w:rPr>
        <w:t xml:space="preserve"> </w:t>
      </w:r>
      <w:r>
        <w:rPr>
          <w:b/>
          <w:bCs/>
          <w:spacing w:val="-2"/>
          <w:sz w:val="21"/>
          <w:szCs w:val="21"/>
        </w:rPr>
        <w:t>、附</w:t>
      </w:r>
      <w:r>
        <w:rPr>
          <w:spacing w:val="-39"/>
          <w:sz w:val="21"/>
          <w:szCs w:val="21"/>
        </w:rPr>
        <w:t xml:space="preserve"> </w:t>
      </w:r>
      <w:r>
        <w:rPr>
          <w:b/>
          <w:bCs/>
          <w:spacing w:val="-2"/>
          <w:sz w:val="21"/>
          <w:szCs w:val="21"/>
        </w:rPr>
        <w:t>表</w:t>
      </w:r>
      <w:r>
        <w:rPr>
          <w:rFonts w:ascii="Times New Roman" w:hAnsi="Times New Roman" w:eastAsia="Times New Roman" w:cs="Times New Roman"/>
          <w:b/>
          <w:bCs/>
          <w:spacing w:val="-2"/>
          <w:sz w:val="21"/>
          <w:szCs w:val="21"/>
        </w:rPr>
        <w:t xml:space="preserve">C-9 </w:t>
      </w:r>
      <w:r>
        <w:rPr>
          <w:spacing w:val="-2"/>
          <w:sz w:val="21"/>
          <w:szCs w:val="21"/>
        </w:rPr>
        <w:t>记录评审结果。</w:t>
      </w:r>
    </w:p>
    <w:p w14:paraId="20526895">
      <w:pPr>
        <w:pStyle w:val="2"/>
        <w:spacing w:before="152" w:line="222" w:lineRule="auto"/>
        <w:ind w:left="409"/>
        <w:outlineLvl w:val="2"/>
        <w:rPr>
          <w:rFonts w:ascii="黑体" w:hAnsi="黑体" w:eastAsia="黑体" w:cs="黑体"/>
          <w:sz w:val="21"/>
          <w:szCs w:val="21"/>
        </w:rPr>
      </w:pPr>
      <w:bookmarkStart w:id="152" w:name="bookmark115"/>
      <w:bookmarkEnd w:id="152"/>
      <w:r>
        <w:rPr>
          <w:spacing w:val="-2"/>
          <w:sz w:val="21"/>
          <w:szCs w:val="21"/>
        </w:rPr>
        <w:t xml:space="preserve">A3.6 </w:t>
      </w:r>
      <w:r>
        <w:rPr>
          <w:rFonts w:ascii="黑体" w:hAnsi="黑体" w:eastAsia="黑体" w:cs="黑体"/>
          <w:b/>
          <w:bCs/>
          <w:spacing w:val="-2"/>
          <w:sz w:val="21"/>
          <w:szCs w:val="21"/>
        </w:rPr>
        <w:t>判断投标报价是否低于成本</w:t>
      </w:r>
    </w:p>
    <w:p w14:paraId="4B913377">
      <w:pPr>
        <w:pStyle w:val="2"/>
        <w:spacing w:before="180" w:line="387" w:lineRule="auto"/>
        <w:ind w:right="5" w:firstLine="409"/>
        <w:jc w:val="both"/>
        <w:rPr>
          <w:sz w:val="21"/>
          <w:szCs w:val="21"/>
        </w:rPr>
      </w:pPr>
      <w:r>
        <w:rPr>
          <w:spacing w:val="5"/>
          <w:sz w:val="21"/>
          <w:szCs w:val="21"/>
        </w:rPr>
        <w:t>根据本章第3.1.4项的规定，评标委员会根据本章附件</w:t>
      </w:r>
      <w:r>
        <w:rPr>
          <w:spacing w:val="-44"/>
          <w:sz w:val="21"/>
          <w:szCs w:val="21"/>
        </w:rPr>
        <w:t xml:space="preserve"> </w:t>
      </w:r>
      <w:r>
        <w:rPr>
          <w:rFonts w:ascii="Times New Roman" w:hAnsi="Times New Roman" w:eastAsia="Times New Roman" w:cs="Times New Roman"/>
          <w:spacing w:val="5"/>
          <w:sz w:val="21"/>
          <w:szCs w:val="21"/>
        </w:rPr>
        <w:t>D</w:t>
      </w:r>
      <w:r>
        <w:rPr>
          <w:spacing w:val="5"/>
          <w:sz w:val="21"/>
          <w:szCs w:val="21"/>
        </w:rPr>
        <w:t>中规定的程</w:t>
      </w:r>
      <w:r>
        <w:rPr>
          <w:spacing w:val="4"/>
          <w:sz w:val="21"/>
          <w:szCs w:val="21"/>
        </w:rPr>
        <w:t>序、标准和方法，判断</w:t>
      </w:r>
      <w:r>
        <w:rPr>
          <w:sz w:val="21"/>
          <w:szCs w:val="21"/>
        </w:rPr>
        <w:t xml:space="preserve"> </w:t>
      </w:r>
      <w:r>
        <w:rPr>
          <w:spacing w:val="2"/>
          <w:sz w:val="21"/>
          <w:szCs w:val="21"/>
        </w:rPr>
        <w:t>投标报价是否低于其成本。评标委员会认定投标人以低于成本竞标的，其投标应当被否决。并使</w:t>
      </w:r>
      <w:r>
        <w:rPr>
          <w:spacing w:val="5"/>
          <w:sz w:val="21"/>
          <w:szCs w:val="21"/>
        </w:rPr>
        <w:t xml:space="preserve"> </w:t>
      </w:r>
      <w:r>
        <w:rPr>
          <w:b/>
          <w:bCs/>
          <w:spacing w:val="-4"/>
          <w:sz w:val="21"/>
          <w:szCs w:val="21"/>
        </w:rPr>
        <w:t>用附表</w:t>
      </w:r>
      <w:r>
        <w:rPr>
          <w:spacing w:val="-44"/>
          <w:sz w:val="21"/>
          <w:szCs w:val="21"/>
        </w:rPr>
        <w:t xml:space="preserve"> </w:t>
      </w:r>
      <w:r>
        <w:rPr>
          <w:b/>
          <w:bCs/>
          <w:spacing w:val="-4"/>
          <w:sz w:val="21"/>
          <w:szCs w:val="21"/>
        </w:rPr>
        <w:t>D-1</w:t>
      </w:r>
      <w:r>
        <w:rPr>
          <w:spacing w:val="-4"/>
          <w:sz w:val="21"/>
          <w:szCs w:val="21"/>
        </w:rPr>
        <w:t xml:space="preserve"> 记录评审结果</w:t>
      </w:r>
    </w:p>
    <w:p w14:paraId="3B0A6643">
      <w:pPr>
        <w:spacing w:line="387" w:lineRule="auto"/>
        <w:rPr>
          <w:sz w:val="21"/>
          <w:szCs w:val="21"/>
        </w:rPr>
        <w:sectPr>
          <w:footerReference r:id="rId61" w:type="default"/>
          <w:pgSz w:w="11910" w:h="16840"/>
          <w:pgMar w:top="1431" w:right="1533" w:bottom="1001" w:left="1460" w:header="0" w:footer="857" w:gutter="0"/>
          <w:cols w:space="720" w:num="1"/>
        </w:sectPr>
      </w:pPr>
    </w:p>
    <w:p w14:paraId="594C8A30">
      <w:pPr>
        <w:spacing w:line="324" w:lineRule="auto"/>
        <w:rPr>
          <w:rFonts w:ascii="Arial"/>
          <w:sz w:val="21"/>
        </w:rPr>
      </w:pPr>
    </w:p>
    <w:p w14:paraId="6A85DC1C">
      <w:pPr>
        <w:pStyle w:val="2"/>
        <w:spacing w:before="68" w:line="222" w:lineRule="auto"/>
        <w:ind w:left="409"/>
        <w:outlineLvl w:val="2"/>
        <w:rPr>
          <w:rFonts w:ascii="黑体" w:hAnsi="黑体" w:eastAsia="黑体" w:cs="黑体"/>
          <w:sz w:val="21"/>
          <w:szCs w:val="21"/>
        </w:rPr>
      </w:pPr>
      <w:bookmarkStart w:id="153" w:name="bookmark116"/>
      <w:bookmarkEnd w:id="153"/>
      <w:bookmarkStart w:id="154" w:name="bookmark255"/>
      <w:bookmarkEnd w:id="154"/>
      <w:r>
        <w:rPr>
          <w:spacing w:val="-2"/>
          <w:sz w:val="21"/>
          <w:szCs w:val="21"/>
        </w:rPr>
        <w:t xml:space="preserve">A3.7 </w:t>
      </w:r>
      <w:r>
        <w:rPr>
          <w:rFonts w:ascii="黑体" w:hAnsi="黑体" w:eastAsia="黑体" w:cs="黑体"/>
          <w:b/>
          <w:bCs/>
          <w:spacing w:val="-2"/>
          <w:sz w:val="21"/>
          <w:szCs w:val="21"/>
        </w:rPr>
        <w:t>判断投标是否为应当被否决</w:t>
      </w:r>
    </w:p>
    <w:p w14:paraId="59C4F13E">
      <w:pPr>
        <w:pStyle w:val="2"/>
        <w:spacing w:before="179" w:line="368" w:lineRule="auto"/>
        <w:ind w:firstLine="409"/>
        <w:rPr>
          <w:sz w:val="21"/>
          <w:szCs w:val="21"/>
        </w:rPr>
      </w:pPr>
      <w:r>
        <w:rPr>
          <w:rFonts w:ascii="Times New Roman" w:hAnsi="Times New Roman" w:eastAsia="Times New Roman" w:cs="Times New Roman"/>
          <w:spacing w:val="7"/>
          <w:sz w:val="21"/>
          <w:szCs w:val="21"/>
        </w:rPr>
        <w:t xml:space="preserve">A3.7.1   </w:t>
      </w:r>
      <w:r>
        <w:rPr>
          <w:spacing w:val="7"/>
          <w:sz w:val="21"/>
          <w:szCs w:val="21"/>
        </w:rPr>
        <w:t>判断投标人的投标是否应当被否决的全部条件(包括本章第3.1.2项、第3.1.</w:t>
      </w:r>
      <w:r>
        <w:rPr>
          <w:spacing w:val="6"/>
          <w:sz w:val="21"/>
          <w:szCs w:val="21"/>
        </w:rPr>
        <w:t>3项中</w:t>
      </w:r>
      <w:r>
        <w:rPr>
          <w:sz w:val="21"/>
          <w:szCs w:val="21"/>
        </w:rPr>
        <w:t xml:space="preserve"> </w:t>
      </w:r>
      <w:r>
        <w:rPr>
          <w:spacing w:val="3"/>
          <w:sz w:val="21"/>
          <w:szCs w:val="21"/>
        </w:rPr>
        <w:t>规定的条件),在本章前附表中集中列示。并使用</w:t>
      </w:r>
      <w:r>
        <w:rPr>
          <w:b/>
          <w:bCs/>
          <w:spacing w:val="3"/>
          <w:sz w:val="21"/>
          <w:szCs w:val="21"/>
        </w:rPr>
        <w:t>附</w:t>
      </w:r>
      <w:r>
        <w:rPr>
          <w:spacing w:val="-32"/>
          <w:sz w:val="21"/>
          <w:szCs w:val="21"/>
        </w:rPr>
        <w:t xml:space="preserve"> </w:t>
      </w:r>
      <w:r>
        <w:rPr>
          <w:b/>
          <w:bCs/>
          <w:spacing w:val="3"/>
          <w:sz w:val="21"/>
          <w:szCs w:val="21"/>
        </w:rPr>
        <w:t>表</w:t>
      </w:r>
      <w:r>
        <w:rPr>
          <w:rFonts w:ascii="Times New Roman" w:hAnsi="Times New Roman" w:eastAsia="Times New Roman" w:cs="Times New Roman"/>
          <w:b/>
          <w:bCs/>
          <w:spacing w:val="3"/>
          <w:sz w:val="21"/>
          <w:szCs w:val="21"/>
        </w:rPr>
        <w:t>A-14</w:t>
      </w:r>
      <w:r>
        <w:rPr>
          <w:rFonts w:ascii="Times New Roman" w:hAnsi="Times New Roman" w:eastAsia="Times New Roman" w:cs="Times New Roman"/>
          <w:b/>
          <w:bCs/>
          <w:spacing w:val="18"/>
          <w:sz w:val="21"/>
          <w:szCs w:val="21"/>
        </w:rPr>
        <w:t xml:space="preserve"> </w:t>
      </w:r>
      <w:r>
        <w:rPr>
          <w:spacing w:val="3"/>
          <w:sz w:val="21"/>
          <w:szCs w:val="21"/>
        </w:rPr>
        <w:t>记录评审结果。</w:t>
      </w:r>
    </w:p>
    <w:p w14:paraId="7B82B7A5">
      <w:pPr>
        <w:pStyle w:val="2"/>
        <w:spacing w:before="2" w:line="387" w:lineRule="auto"/>
        <w:ind w:right="21" w:firstLine="409"/>
        <w:jc w:val="both"/>
        <w:rPr>
          <w:sz w:val="21"/>
          <w:szCs w:val="21"/>
        </w:rPr>
      </w:pPr>
      <w:r>
        <w:rPr>
          <w:rFonts w:ascii="Times New Roman" w:hAnsi="Times New Roman" w:eastAsia="Times New Roman" w:cs="Times New Roman"/>
          <w:spacing w:val="1"/>
          <w:sz w:val="21"/>
          <w:szCs w:val="21"/>
        </w:rPr>
        <w:t xml:space="preserve">A3.7.2  </w:t>
      </w:r>
      <w:r>
        <w:rPr>
          <w:spacing w:val="1"/>
          <w:sz w:val="21"/>
          <w:szCs w:val="21"/>
        </w:rPr>
        <w:t>本章</w:t>
      </w:r>
      <w:r>
        <w:rPr>
          <w:b/>
          <w:bCs/>
          <w:spacing w:val="1"/>
          <w:sz w:val="21"/>
          <w:szCs w:val="21"/>
        </w:rPr>
        <w:t>附件</w:t>
      </w:r>
      <w:r>
        <w:rPr>
          <w:spacing w:val="-61"/>
          <w:sz w:val="21"/>
          <w:szCs w:val="21"/>
        </w:rPr>
        <w:t xml:space="preserve"> </w:t>
      </w:r>
      <w:r>
        <w:rPr>
          <w:rFonts w:ascii="Times New Roman" w:hAnsi="Times New Roman" w:eastAsia="Times New Roman" w:cs="Times New Roman"/>
          <w:b/>
          <w:bCs/>
          <w:spacing w:val="1"/>
          <w:sz w:val="21"/>
          <w:szCs w:val="21"/>
        </w:rPr>
        <w:t xml:space="preserve">B </w:t>
      </w:r>
      <w:r>
        <w:rPr>
          <w:spacing w:val="1"/>
          <w:sz w:val="21"/>
          <w:szCs w:val="21"/>
        </w:rPr>
        <w:t>集中列示的否决投标的条件不应与第二章“</w:t>
      </w:r>
      <w:r>
        <w:rPr>
          <w:sz w:val="21"/>
          <w:szCs w:val="21"/>
        </w:rPr>
        <w:t xml:space="preserve">投标人须知”和本章前附表和 </w:t>
      </w:r>
      <w:r>
        <w:rPr>
          <w:spacing w:val="2"/>
          <w:sz w:val="21"/>
          <w:szCs w:val="21"/>
        </w:rPr>
        <w:t>正文部分包括的否决投标的条件抵触，如果出现相互矛盾</w:t>
      </w:r>
      <w:r>
        <w:rPr>
          <w:spacing w:val="1"/>
          <w:sz w:val="21"/>
          <w:szCs w:val="21"/>
        </w:rPr>
        <w:t>的情况，以本章前附表和正文部分的规</w:t>
      </w:r>
      <w:r>
        <w:rPr>
          <w:sz w:val="21"/>
          <w:szCs w:val="21"/>
        </w:rPr>
        <w:t xml:space="preserve"> </w:t>
      </w:r>
      <w:r>
        <w:rPr>
          <w:spacing w:val="-9"/>
          <w:sz w:val="21"/>
          <w:szCs w:val="21"/>
        </w:rPr>
        <w:t>定为准。</w:t>
      </w:r>
    </w:p>
    <w:p w14:paraId="215F5F4B">
      <w:pPr>
        <w:pStyle w:val="2"/>
        <w:spacing w:line="363" w:lineRule="auto"/>
        <w:ind w:right="40" w:firstLine="409"/>
        <w:rPr>
          <w:sz w:val="21"/>
          <w:szCs w:val="21"/>
        </w:rPr>
      </w:pPr>
      <w:r>
        <w:rPr>
          <w:rFonts w:ascii="Times New Roman" w:hAnsi="Times New Roman" w:eastAsia="Times New Roman" w:cs="Times New Roman"/>
          <w:sz w:val="21"/>
          <w:szCs w:val="21"/>
        </w:rPr>
        <w:t>A3.7.3</w:t>
      </w:r>
      <w:r>
        <w:rPr>
          <w:rFonts w:ascii="Times New Roman" w:hAnsi="Times New Roman" w:eastAsia="Times New Roman" w:cs="Times New Roman"/>
          <w:spacing w:val="22"/>
          <w:sz w:val="21"/>
          <w:szCs w:val="21"/>
        </w:rPr>
        <w:t xml:space="preserve">  </w:t>
      </w:r>
      <w:r>
        <w:rPr>
          <w:sz w:val="21"/>
          <w:szCs w:val="21"/>
        </w:rPr>
        <w:t>评标委员会在评标(包括初步评审和详细评审)过程中，依据本章前附表和正文部分中</w:t>
      </w:r>
      <w:r>
        <w:rPr>
          <w:spacing w:val="1"/>
          <w:sz w:val="21"/>
          <w:szCs w:val="21"/>
        </w:rPr>
        <w:t xml:space="preserve"> </w:t>
      </w:r>
      <w:r>
        <w:rPr>
          <w:sz w:val="21"/>
          <w:szCs w:val="21"/>
        </w:rPr>
        <w:t>规定的否决投标的条件判断投标人的投标是否为</w:t>
      </w:r>
      <w:r>
        <w:rPr>
          <w:spacing w:val="-1"/>
          <w:sz w:val="21"/>
          <w:szCs w:val="21"/>
        </w:rPr>
        <w:t>应当被否决。</w:t>
      </w:r>
    </w:p>
    <w:p w14:paraId="1127460D">
      <w:pPr>
        <w:pStyle w:val="2"/>
        <w:spacing w:line="220" w:lineRule="auto"/>
        <w:ind w:left="409"/>
        <w:outlineLvl w:val="2"/>
        <w:rPr>
          <w:rFonts w:ascii="黑体" w:hAnsi="黑体" w:eastAsia="黑体" w:cs="黑体"/>
          <w:sz w:val="21"/>
          <w:szCs w:val="21"/>
        </w:rPr>
      </w:pPr>
      <w:bookmarkStart w:id="155" w:name="bookmark117"/>
      <w:bookmarkEnd w:id="155"/>
      <w:r>
        <w:rPr>
          <w:sz w:val="21"/>
          <w:szCs w:val="21"/>
        </w:rPr>
        <w:t xml:space="preserve">A3.8 </w:t>
      </w:r>
      <w:r>
        <w:rPr>
          <w:rFonts w:ascii="黑体" w:hAnsi="黑体" w:eastAsia="黑体" w:cs="黑体"/>
          <w:b/>
          <w:bCs/>
          <w:sz w:val="21"/>
          <w:szCs w:val="21"/>
        </w:rPr>
        <w:t>澄清、说明或补正</w:t>
      </w:r>
    </w:p>
    <w:p w14:paraId="130351F9">
      <w:pPr>
        <w:pStyle w:val="2"/>
        <w:spacing w:before="160" w:line="371" w:lineRule="auto"/>
        <w:ind w:right="22" w:firstLine="409"/>
        <w:jc w:val="both"/>
        <w:rPr>
          <w:sz w:val="21"/>
          <w:szCs w:val="21"/>
        </w:rPr>
      </w:pPr>
      <w:r>
        <w:rPr>
          <w:spacing w:val="2"/>
          <w:sz w:val="21"/>
          <w:szCs w:val="21"/>
        </w:rPr>
        <w:t>在初步评审过程中，评标委员会应当就投标文件中含义不明确、对同类问题表述不一致或者</w:t>
      </w:r>
      <w:r>
        <w:rPr>
          <w:sz w:val="21"/>
          <w:szCs w:val="21"/>
        </w:rPr>
        <w:t xml:space="preserve"> </w:t>
      </w:r>
      <w:r>
        <w:rPr>
          <w:spacing w:val="2"/>
          <w:sz w:val="21"/>
          <w:szCs w:val="21"/>
        </w:rPr>
        <w:t>有明显文字和计算错误的内容要求投标人进行澄清、说明或者补正。投标人对此</w:t>
      </w:r>
      <w:r>
        <w:rPr>
          <w:spacing w:val="1"/>
          <w:sz w:val="21"/>
          <w:szCs w:val="21"/>
        </w:rPr>
        <w:t>以书面形式予以</w:t>
      </w:r>
      <w:r>
        <w:rPr>
          <w:sz w:val="21"/>
          <w:szCs w:val="21"/>
        </w:rPr>
        <w:t xml:space="preserve"> 澄清、说明或者补正。澄清、说明或补正根据本章第3.3款的规定执行。《</w:t>
      </w:r>
      <w:r>
        <w:rPr>
          <w:spacing w:val="-1"/>
          <w:sz w:val="21"/>
          <w:szCs w:val="21"/>
        </w:rPr>
        <w:t>投标文件澄清通知》及</w:t>
      </w:r>
      <w:r>
        <w:rPr>
          <w:sz w:val="21"/>
          <w:szCs w:val="21"/>
        </w:rPr>
        <w:t xml:space="preserve"> </w:t>
      </w:r>
      <w:r>
        <w:rPr>
          <w:spacing w:val="2"/>
          <w:sz w:val="21"/>
          <w:szCs w:val="21"/>
        </w:rPr>
        <w:t>《投标文件的澄清》采用投标人须知附表六与投标人须知附表七所提供的格式，并通过“电子交</w:t>
      </w:r>
      <w:r>
        <w:rPr>
          <w:spacing w:val="15"/>
          <w:sz w:val="21"/>
          <w:szCs w:val="21"/>
        </w:rPr>
        <w:t xml:space="preserve"> </w:t>
      </w:r>
      <w:r>
        <w:rPr>
          <w:spacing w:val="-7"/>
          <w:sz w:val="21"/>
          <w:szCs w:val="21"/>
        </w:rPr>
        <w:t>易平台”“投标文件澄清”菜单以书面形式进行。</w:t>
      </w:r>
    </w:p>
    <w:p w14:paraId="19A374CF">
      <w:pPr>
        <w:spacing w:before="1" w:line="221" w:lineRule="auto"/>
        <w:ind w:left="409"/>
        <w:outlineLvl w:val="2"/>
        <w:rPr>
          <w:rFonts w:ascii="黑体" w:hAnsi="黑体" w:eastAsia="黑体" w:cs="黑体"/>
          <w:sz w:val="25"/>
          <w:szCs w:val="25"/>
        </w:rPr>
      </w:pPr>
      <w:bookmarkStart w:id="156" w:name="bookmark118"/>
      <w:bookmarkEnd w:id="156"/>
      <w:r>
        <w:rPr>
          <w:rFonts w:ascii="Times New Roman" w:hAnsi="Times New Roman" w:eastAsia="Times New Roman" w:cs="Times New Roman"/>
          <w:b/>
          <w:bCs/>
          <w:spacing w:val="-3"/>
          <w:sz w:val="25"/>
          <w:szCs w:val="25"/>
        </w:rPr>
        <w:t>A4.</w:t>
      </w:r>
      <w:r>
        <w:rPr>
          <w:rFonts w:ascii="Times New Roman" w:hAnsi="Times New Roman" w:eastAsia="Times New Roman" w:cs="Times New Roman"/>
          <w:b/>
          <w:bCs/>
          <w:spacing w:val="16"/>
          <w:w w:val="101"/>
          <w:sz w:val="25"/>
          <w:szCs w:val="25"/>
        </w:rPr>
        <w:t xml:space="preserve">  </w:t>
      </w:r>
      <w:r>
        <w:rPr>
          <w:rFonts w:ascii="黑体" w:hAnsi="黑体" w:eastAsia="黑体" w:cs="黑体"/>
          <w:b/>
          <w:bCs/>
          <w:spacing w:val="-3"/>
          <w:sz w:val="25"/>
          <w:szCs w:val="25"/>
        </w:rPr>
        <w:t>详细评审</w:t>
      </w:r>
    </w:p>
    <w:p w14:paraId="4A1E4122">
      <w:pPr>
        <w:pStyle w:val="2"/>
        <w:spacing w:before="163" w:line="219" w:lineRule="auto"/>
        <w:ind w:left="409"/>
        <w:rPr>
          <w:sz w:val="21"/>
          <w:szCs w:val="21"/>
        </w:rPr>
      </w:pPr>
      <w:r>
        <w:rPr>
          <w:spacing w:val="-1"/>
          <w:sz w:val="21"/>
          <w:szCs w:val="21"/>
        </w:rPr>
        <w:t>只有通过了初步评审、被判定为合格的投标方可进入详细评审。</w:t>
      </w:r>
    </w:p>
    <w:p w14:paraId="27AB85E0">
      <w:pPr>
        <w:spacing w:before="147" w:line="222" w:lineRule="auto"/>
        <w:ind w:left="409"/>
        <w:outlineLvl w:val="2"/>
        <w:rPr>
          <w:rFonts w:ascii="黑体" w:hAnsi="黑体" w:eastAsia="黑体" w:cs="黑体"/>
          <w:sz w:val="21"/>
          <w:szCs w:val="21"/>
        </w:rPr>
      </w:pPr>
      <w:bookmarkStart w:id="157" w:name="bookmark119"/>
      <w:bookmarkEnd w:id="157"/>
      <w:r>
        <w:rPr>
          <w:rFonts w:ascii="Times New Roman" w:hAnsi="Times New Roman" w:eastAsia="Times New Roman" w:cs="Times New Roman"/>
          <w:b/>
          <w:bCs/>
          <w:spacing w:val="-1"/>
          <w:sz w:val="21"/>
          <w:szCs w:val="21"/>
        </w:rPr>
        <w:t>A4.1</w:t>
      </w:r>
      <w:r>
        <w:rPr>
          <w:rFonts w:ascii="Times New Roman" w:hAnsi="Times New Roman" w:eastAsia="Times New Roman" w:cs="Times New Roman"/>
          <w:b/>
          <w:bCs/>
          <w:spacing w:val="27"/>
          <w:w w:val="101"/>
          <w:sz w:val="21"/>
          <w:szCs w:val="21"/>
        </w:rPr>
        <w:t xml:space="preserve"> </w:t>
      </w:r>
      <w:r>
        <w:rPr>
          <w:rFonts w:ascii="黑体" w:hAnsi="黑体" w:eastAsia="黑体" w:cs="黑体"/>
          <w:b/>
          <w:bCs/>
          <w:spacing w:val="-1"/>
          <w:sz w:val="21"/>
          <w:szCs w:val="21"/>
        </w:rPr>
        <w:t>详细评审的程序</w:t>
      </w:r>
    </w:p>
    <w:p w14:paraId="557EB6FE">
      <w:pPr>
        <w:pStyle w:val="2"/>
        <w:spacing w:before="180" w:line="219" w:lineRule="auto"/>
        <w:ind w:left="409"/>
        <w:rPr>
          <w:sz w:val="21"/>
          <w:szCs w:val="21"/>
        </w:rPr>
      </w:pPr>
      <w:r>
        <w:rPr>
          <w:spacing w:val="7"/>
          <w:sz w:val="21"/>
          <w:szCs w:val="21"/>
        </w:rPr>
        <w:t>评标委员会按照本章第3.2款中规定的程序进行详细评审：</w:t>
      </w:r>
    </w:p>
    <w:p w14:paraId="25B0005E">
      <w:pPr>
        <w:pStyle w:val="2"/>
        <w:spacing w:before="170" w:line="218" w:lineRule="auto"/>
        <w:ind w:left="899"/>
        <w:rPr>
          <w:sz w:val="21"/>
          <w:szCs w:val="21"/>
        </w:rPr>
      </w:pPr>
      <w:r>
        <w:rPr>
          <w:sz w:val="21"/>
          <w:szCs w:val="21"/>
        </w:rPr>
        <w:t>(1)投标报价评审和评分；</w:t>
      </w:r>
    </w:p>
    <w:p w14:paraId="61B64613">
      <w:pPr>
        <w:pStyle w:val="2"/>
        <w:spacing w:before="195" w:line="220" w:lineRule="auto"/>
        <w:ind w:left="899"/>
        <w:rPr>
          <w:sz w:val="21"/>
          <w:szCs w:val="21"/>
        </w:rPr>
      </w:pPr>
      <w:r>
        <w:rPr>
          <w:spacing w:val="2"/>
          <w:sz w:val="21"/>
          <w:szCs w:val="21"/>
        </w:rPr>
        <w:t>(2)施工组织设计评审和评分；</w:t>
      </w:r>
    </w:p>
    <w:p w14:paraId="1DB258B8">
      <w:pPr>
        <w:pStyle w:val="2"/>
        <w:spacing w:before="168" w:line="219" w:lineRule="auto"/>
        <w:ind w:left="899"/>
        <w:rPr>
          <w:sz w:val="21"/>
          <w:szCs w:val="21"/>
        </w:rPr>
      </w:pPr>
      <w:r>
        <w:rPr>
          <w:sz w:val="21"/>
          <w:szCs w:val="21"/>
        </w:rPr>
        <w:t>(3)项目管理机构评审和评分；</w:t>
      </w:r>
    </w:p>
    <w:p w14:paraId="17740E39">
      <w:pPr>
        <w:pStyle w:val="2"/>
        <w:spacing w:before="182" w:line="219" w:lineRule="auto"/>
        <w:ind w:left="929"/>
        <w:rPr>
          <w:sz w:val="21"/>
          <w:szCs w:val="21"/>
        </w:rPr>
      </w:pPr>
      <w:r>
        <w:rPr>
          <w:spacing w:val="2"/>
          <w:sz w:val="21"/>
          <w:szCs w:val="21"/>
        </w:rPr>
        <w:t>(4)其他因素评审和评分；</w:t>
      </w:r>
    </w:p>
    <w:p w14:paraId="150E7001">
      <w:pPr>
        <w:pStyle w:val="2"/>
        <w:spacing w:before="191" w:line="220" w:lineRule="auto"/>
        <w:ind w:left="939"/>
        <w:rPr>
          <w:sz w:val="21"/>
          <w:szCs w:val="21"/>
        </w:rPr>
      </w:pPr>
      <w:r>
        <w:rPr>
          <w:spacing w:val="5"/>
          <w:sz w:val="21"/>
          <w:szCs w:val="21"/>
        </w:rPr>
        <w:t>(5)汇总评分结果。</w:t>
      </w:r>
    </w:p>
    <w:p w14:paraId="161EA384">
      <w:pPr>
        <w:spacing w:before="145" w:line="222" w:lineRule="auto"/>
        <w:ind w:left="409"/>
        <w:outlineLvl w:val="2"/>
        <w:rPr>
          <w:rFonts w:ascii="黑体" w:hAnsi="黑体" w:eastAsia="黑体" w:cs="黑体"/>
          <w:sz w:val="21"/>
          <w:szCs w:val="21"/>
        </w:rPr>
      </w:pPr>
      <w:bookmarkStart w:id="158" w:name="bookmark120"/>
      <w:bookmarkEnd w:id="158"/>
      <w:r>
        <w:rPr>
          <w:rFonts w:ascii="Times New Roman" w:hAnsi="Times New Roman" w:eastAsia="Times New Roman" w:cs="Times New Roman"/>
          <w:b/>
          <w:bCs/>
          <w:spacing w:val="-3"/>
          <w:sz w:val="21"/>
          <w:szCs w:val="21"/>
        </w:rPr>
        <w:t>A4.2</w:t>
      </w:r>
      <w:r>
        <w:rPr>
          <w:rFonts w:ascii="Times New Roman" w:hAnsi="Times New Roman" w:eastAsia="Times New Roman" w:cs="Times New Roman"/>
          <w:b/>
          <w:bCs/>
          <w:spacing w:val="38"/>
          <w:w w:val="101"/>
          <w:sz w:val="21"/>
          <w:szCs w:val="21"/>
        </w:rPr>
        <w:t xml:space="preserve"> </w:t>
      </w:r>
      <w:r>
        <w:rPr>
          <w:rFonts w:ascii="黑体" w:hAnsi="黑体" w:eastAsia="黑体" w:cs="黑体"/>
          <w:b/>
          <w:bCs/>
          <w:spacing w:val="-3"/>
          <w:sz w:val="21"/>
          <w:szCs w:val="21"/>
        </w:rPr>
        <w:t>投标报价评审和评分</w:t>
      </w:r>
    </w:p>
    <w:p w14:paraId="7EBBD589">
      <w:pPr>
        <w:pStyle w:val="2"/>
        <w:spacing w:before="170" w:line="218" w:lineRule="auto"/>
        <w:ind w:left="409"/>
        <w:rPr>
          <w:sz w:val="21"/>
          <w:szCs w:val="21"/>
        </w:rPr>
      </w:pPr>
      <w:r>
        <w:rPr>
          <w:rFonts w:ascii="Times New Roman" w:hAnsi="Times New Roman" w:eastAsia="Times New Roman" w:cs="Times New Roman"/>
          <w:sz w:val="21"/>
          <w:szCs w:val="21"/>
        </w:rPr>
        <w:t xml:space="preserve">A4.2.1  </w:t>
      </w:r>
      <w:r>
        <w:rPr>
          <w:sz w:val="21"/>
          <w:szCs w:val="21"/>
        </w:rPr>
        <w:t>按照评标办法前附表中规定的方法计算各投标人的“评标价”。</w:t>
      </w:r>
    </w:p>
    <w:p w14:paraId="2ACF8E57">
      <w:pPr>
        <w:pStyle w:val="2"/>
        <w:spacing w:before="182" w:line="218" w:lineRule="auto"/>
        <w:ind w:left="409"/>
        <w:rPr>
          <w:sz w:val="21"/>
          <w:szCs w:val="21"/>
        </w:rPr>
      </w:pPr>
      <w:r>
        <w:rPr>
          <w:rFonts w:ascii="Times New Roman" w:hAnsi="Times New Roman" w:eastAsia="Times New Roman" w:cs="Times New Roman"/>
          <w:spacing w:val="-3"/>
          <w:sz w:val="21"/>
          <w:szCs w:val="21"/>
        </w:rPr>
        <w:t xml:space="preserve">A4.2.2  </w:t>
      </w:r>
      <w:r>
        <w:rPr>
          <w:spacing w:val="-3"/>
          <w:sz w:val="21"/>
          <w:szCs w:val="21"/>
        </w:rPr>
        <w:t>按照评标办法前附表中规定的方法计算“评标基准价”。</w:t>
      </w:r>
    </w:p>
    <w:p w14:paraId="468B0B07">
      <w:pPr>
        <w:pStyle w:val="2"/>
        <w:spacing w:before="232" w:line="218" w:lineRule="auto"/>
        <w:ind w:left="409"/>
        <w:rPr>
          <w:sz w:val="21"/>
          <w:szCs w:val="21"/>
        </w:rPr>
      </w:pPr>
      <w:r>
        <w:rPr>
          <w:rFonts w:ascii="Times New Roman" w:hAnsi="Times New Roman" w:eastAsia="Times New Roman" w:cs="Times New Roman"/>
          <w:spacing w:val="2"/>
          <w:sz w:val="21"/>
          <w:szCs w:val="21"/>
        </w:rPr>
        <w:t xml:space="preserve">A4.2.3  </w:t>
      </w:r>
      <w:r>
        <w:rPr>
          <w:spacing w:val="2"/>
          <w:sz w:val="21"/>
          <w:szCs w:val="21"/>
        </w:rPr>
        <w:t>按照评标办法前附表中规定的方法，计算期望</w:t>
      </w:r>
      <w:r>
        <w:rPr>
          <w:spacing w:val="1"/>
          <w:sz w:val="21"/>
          <w:szCs w:val="21"/>
        </w:rPr>
        <w:t>合理价。(适用于办法八)</w:t>
      </w:r>
    </w:p>
    <w:p w14:paraId="2FED2378">
      <w:pPr>
        <w:pStyle w:val="2"/>
        <w:spacing w:before="231" w:line="373" w:lineRule="auto"/>
        <w:ind w:right="11" w:firstLine="409"/>
        <w:rPr>
          <w:sz w:val="21"/>
          <w:szCs w:val="21"/>
        </w:rPr>
      </w:pPr>
      <w:r>
        <w:rPr>
          <w:rFonts w:ascii="Times New Roman" w:hAnsi="Times New Roman" w:eastAsia="Times New Roman" w:cs="Times New Roman"/>
          <w:spacing w:val="1"/>
          <w:sz w:val="21"/>
          <w:szCs w:val="21"/>
        </w:rPr>
        <w:t xml:space="preserve">A4.2.4   </w:t>
      </w:r>
      <w:r>
        <w:rPr>
          <w:spacing w:val="1"/>
          <w:sz w:val="21"/>
          <w:szCs w:val="21"/>
        </w:rPr>
        <w:t>按照评标办法前附表中规定</w:t>
      </w:r>
      <w:r>
        <w:rPr>
          <w:sz w:val="21"/>
          <w:szCs w:val="21"/>
        </w:rPr>
        <w:t xml:space="preserve">的方法，计算各个已通过了初步评审的投标报价的“偏差 </w:t>
      </w:r>
      <w:r>
        <w:rPr>
          <w:spacing w:val="-28"/>
          <w:sz w:val="21"/>
          <w:szCs w:val="21"/>
        </w:rPr>
        <w:t>率”。</w:t>
      </w:r>
    </w:p>
    <w:p w14:paraId="71195017">
      <w:pPr>
        <w:pStyle w:val="2"/>
        <w:spacing w:before="53" w:line="395" w:lineRule="auto"/>
        <w:ind w:right="12" w:firstLine="409"/>
        <w:rPr>
          <w:sz w:val="21"/>
          <w:szCs w:val="21"/>
        </w:rPr>
      </w:pPr>
      <w:r>
        <w:rPr>
          <w:rFonts w:ascii="Times New Roman" w:hAnsi="Times New Roman" w:eastAsia="Times New Roman" w:cs="Times New Roman"/>
          <w:spacing w:val="1"/>
          <w:sz w:val="21"/>
          <w:szCs w:val="21"/>
        </w:rPr>
        <w:t>A4.2.5</w:t>
      </w:r>
      <w:r>
        <w:rPr>
          <w:rFonts w:ascii="Times New Roman" w:hAnsi="Times New Roman" w:eastAsia="Times New Roman" w:cs="Times New Roman"/>
          <w:spacing w:val="17"/>
          <w:w w:val="101"/>
          <w:sz w:val="21"/>
          <w:szCs w:val="21"/>
        </w:rPr>
        <w:t xml:space="preserve">  </w:t>
      </w:r>
      <w:r>
        <w:rPr>
          <w:spacing w:val="1"/>
          <w:sz w:val="21"/>
          <w:szCs w:val="21"/>
        </w:rPr>
        <w:t>按照评标办法前附表中规定的评分标准，对照投标报价的偏差率，分别</w:t>
      </w:r>
      <w:r>
        <w:rPr>
          <w:sz w:val="21"/>
          <w:szCs w:val="21"/>
        </w:rPr>
        <w:t xml:space="preserve">对各个投标报 </w:t>
      </w:r>
      <w:r>
        <w:rPr>
          <w:spacing w:val="1"/>
          <w:sz w:val="21"/>
          <w:szCs w:val="21"/>
        </w:rPr>
        <w:t>价进行评分，使用</w:t>
      </w:r>
      <w:r>
        <w:rPr>
          <w:b/>
          <w:bCs/>
          <w:spacing w:val="1"/>
          <w:sz w:val="21"/>
          <w:szCs w:val="21"/>
        </w:rPr>
        <w:t>附</w:t>
      </w:r>
      <w:r>
        <w:rPr>
          <w:spacing w:val="-31"/>
          <w:sz w:val="21"/>
          <w:szCs w:val="21"/>
        </w:rPr>
        <w:t xml:space="preserve"> </w:t>
      </w:r>
      <w:r>
        <w:rPr>
          <w:b/>
          <w:bCs/>
          <w:spacing w:val="1"/>
          <w:sz w:val="21"/>
          <w:szCs w:val="21"/>
        </w:rPr>
        <w:t>表</w:t>
      </w:r>
      <w:r>
        <w:rPr>
          <w:rFonts w:ascii="Times New Roman" w:hAnsi="Times New Roman" w:eastAsia="Times New Roman" w:cs="Times New Roman"/>
          <w:b/>
          <w:bCs/>
          <w:spacing w:val="1"/>
          <w:sz w:val="21"/>
          <w:szCs w:val="21"/>
        </w:rPr>
        <w:t xml:space="preserve">A-8 </w:t>
      </w:r>
      <w:r>
        <w:rPr>
          <w:spacing w:val="1"/>
          <w:sz w:val="21"/>
          <w:szCs w:val="21"/>
        </w:rPr>
        <w:t>记录对投标报价的评分结果，投标报价的得分记录为</w:t>
      </w:r>
      <w:r>
        <w:rPr>
          <w:rFonts w:ascii="Times New Roman" w:hAnsi="Times New Roman" w:eastAsia="Times New Roman" w:cs="Times New Roman"/>
          <w:spacing w:val="1"/>
          <w:sz w:val="21"/>
          <w:szCs w:val="21"/>
        </w:rPr>
        <w:t>A</w:t>
      </w:r>
      <w:r>
        <w:rPr>
          <w:spacing w:val="1"/>
          <w:sz w:val="21"/>
          <w:szCs w:val="21"/>
        </w:rPr>
        <w:t>。</w:t>
      </w:r>
    </w:p>
    <w:p w14:paraId="62943985">
      <w:pPr>
        <w:spacing w:line="395" w:lineRule="auto"/>
        <w:rPr>
          <w:sz w:val="21"/>
          <w:szCs w:val="21"/>
        </w:rPr>
        <w:sectPr>
          <w:footerReference r:id="rId62" w:type="default"/>
          <w:pgSz w:w="11910" w:h="16840"/>
          <w:pgMar w:top="1431" w:right="1517" w:bottom="1001" w:left="1450" w:header="0" w:footer="857" w:gutter="0"/>
          <w:cols w:space="720" w:num="1"/>
        </w:sectPr>
      </w:pPr>
    </w:p>
    <w:p w14:paraId="296CF1B7">
      <w:pPr>
        <w:spacing w:line="333" w:lineRule="auto"/>
        <w:rPr>
          <w:rFonts w:ascii="Arial"/>
          <w:sz w:val="21"/>
        </w:rPr>
      </w:pPr>
    </w:p>
    <w:p w14:paraId="4C7C6A3F">
      <w:pPr>
        <w:pStyle w:val="2"/>
        <w:spacing w:before="68" w:line="378" w:lineRule="auto"/>
        <w:ind w:left="119" w:firstLine="300"/>
        <w:rPr>
          <w:sz w:val="21"/>
          <w:szCs w:val="21"/>
        </w:rPr>
      </w:pPr>
      <w:r>
        <w:rPr>
          <w:rFonts w:ascii="Times New Roman" w:hAnsi="Times New Roman" w:eastAsia="Times New Roman" w:cs="Times New Roman"/>
          <w:spacing w:val="1"/>
          <w:sz w:val="21"/>
          <w:szCs w:val="21"/>
        </w:rPr>
        <w:t xml:space="preserve">A4.2.5  </w:t>
      </w:r>
      <w:r>
        <w:rPr>
          <w:spacing w:val="1"/>
          <w:sz w:val="21"/>
          <w:szCs w:val="21"/>
        </w:rPr>
        <w:t>按照评标办法前附表中规定的评审标准，使用</w:t>
      </w:r>
      <w:r>
        <w:rPr>
          <w:b/>
          <w:bCs/>
          <w:spacing w:val="1"/>
          <w:sz w:val="21"/>
          <w:szCs w:val="21"/>
        </w:rPr>
        <w:t>附表</w:t>
      </w:r>
      <w:r>
        <w:rPr>
          <w:rFonts w:ascii="Times New Roman" w:hAnsi="Times New Roman" w:eastAsia="Times New Roman" w:cs="Times New Roman"/>
          <w:b/>
          <w:bCs/>
          <w:spacing w:val="1"/>
          <w:sz w:val="21"/>
          <w:szCs w:val="21"/>
        </w:rPr>
        <w:t xml:space="preserve">A-13  </w:t>
      </w:r>
      <w:r>
        <w:rPr>
          <w:spacing w:val="1"/>
          <w:sz w:val="21"/>
          <w:szCs w:val="21"/>
        </w:rPr>
        <w:t>记录对投标报价的评审结果。</w:t>
      </w:r>
      <w:r>
        <w:rPr>
          <w:spacing w:val="7"/>
          <w:sz w:val="21"/>
          <w:szCs w:val="21"/>
        </w:rPr>
        <w:t xml:space="preserve"> </w:t>
      </w:r>
      <w:r>
        <w:rPr>
          <w:spacing w:val="5"/>
          <w:sz w:val="21"/>
          <w:szCs w:val="21"/>
        </w:rPr>
        <w:t>(适用于办法八)</w:t>
      </w:r>
    </w:p>
    <w:p w14:paraId="603142C1">
      <w:pPr>
        <w:spacing w:line="221" w:lineRule="auto"/>
        <w:ind w:left="419"/>
        <w:outlineLvl w:val="2"/>
        <w:rPr>
          <w:rFonts w:ascii="黑体" w:hAnsi="黑体" w:eastAsia="黑体" w:cs="黑体"/>
          <w:sz w:val="21"/>
          <w:szCs w:val="21"/>
        </w:rPr>
      </w:pPr>
      <w:bookmarkStart w:id="159" w:name="bookmark121"/>
      <w:bookmarkEnd w:id="159"/>
      <w:bookmarkStart w:id="160" w:name="bookmark256"/>
      <w:bookmarkEnd w:id="160"/>
      <w:r>
        <w:rPr>
          <w:rFonts w:ascii="Times New Roman" w:hAnsi="Times New Roman" w:eastAsia="Times New Roman" w:cs="Times New Roman"/>
          <w:b/>
          <w:bCs/>
          <w:spacing w:val="-1"/>
          <w:sz w:val="21"/>
          <w:szCs w:val="21"/>
        </w:rPr>
        <w:t xml:space="preserve">A4.3  </w:t>
      </w:r>
      <w:r>
        <w:rPr>
          <w:rFonts w:ascii="黑体" w:hAnsi="黑体" w:eastAsia="黑体" w:cs="黑体"/>
          <w:b/>
          <w:bCs/>
          <w:spacing w:val="-1"/>
          <w:sz w:val="21"/>
          <w:szCs w:val="21"/>
        </w:rPr>
        <w:t>施工组织设计评审和评分</w:t>
      </w:r>
    </w:p>
    <w:p w14:paraId="536A28AA">
      <w:pPr>
        <w:pStyle w:val="2"/>
        <w:spacing w:before="179" w:line="363" w:lineRule="auto"/>
        <w:ind w:right="136" w:firstLine="419"/>
        <w:jc w:val="both"/>
        <w:rPr>
          <w:sz w:val="21"/>
          <w:szCs w:val="21"/>
        </w:rPr>
      </w:pPr>
      <w:r>
        <w:rPr>
          <w:spacing w:val="2"/>
          <w:sz w:val="21"/>
          <w:szCs w:val="21"/>
        </w:rPr>
        <w:t>按照评标办法前附表中规定的分值设定、各项评分因素、评分标准，对施工组织设计进行评</w:t>
      </w:r>
      <w:r>
        <w:rPr>
          <w:spacing w:val="7"/>
          <w:sz w:val="21"/>
          <w:szCs w:val="21"/>
        </w:rPr>
        <w:t xml:space="preserve"> </w:t>
      </w:r>
      <w:r>
        <w:rPr>
          <w:spacing w:val="-2"/>
          <w:sz w:val="21"/>
          <w:szCs w:val="21"/>
        </w:rPr>
        <w:t>审和评分，并使用</w:t>
      </w:r>
      <w:r>
        <w:rPr>
          <w:b/>
          <w:bCs/>
          <w:spacing w:val="-2"/>
          <w:sz w:val="21"/>
          <w:szCs w:val="21"/>
        </w:rPr>
        <w:t>附表</w:t>
      </w:r>
      <w:r>
        <w:rPr>
          <w:spacing w:val="-50"/>
          <w:sz w:val="21"/>
          <w:szCs w:val="21"/>
        </w:rPr>
        <w:t xml:space="preserve"> </w:t>
      </w:r>
      <w:r>
        <w:rPr>
          <w:rFonts w:ascii="Times New Roman" w:hAnsi="Times New Roman" w:eastAsia="Times New Roman" w:cs="Times New Roman"/>
          <w:b/>
          <w:bCs/>
          <w:spacing w:val="-2"/>
          <w:sz w:val="21"/>
          <w:szCs w:val="21"/>
        </w:rPr>
        <w:t>A-9</w:t>
      </w:r>
      <w:r>
        <w:rPr>
          <w:rFonts w:ascii="Times New Roman" w:hAnsi="Times New Roman" w:eastAsia="Times New Roman" w:cs="Times New Roman"/>
          <w:b/>
          <w:bCs/>
          <w:spacing w:val="42"/>
          <w:w w:val="101"/>
          <w:sz w:val="21"/>
          <w:szCs w:val="21"/>
        </w:rPr>
        <w:t xml:space="preserve"> </w:t>
      </w:r>
      <w:r>
        <w:rPr>
          <w:spacing w:val="-2"/>
          <w:sz w:val="21"/>
          <w:szCs w:val="21"/>
        </w:rPr>
        <w:t>记录对施工组织设计的评分结果，施工组织设计的得分记录为</w:t>
      </w:r>
      <w:r>
        <w:rPr>
          <w:rFonts w:ascii="Times New Roman" w:hAnsi="Times New Roman" w:eastAsia="Times New Roman" w:cs="Times New Roman"/>
          <w:b/>
          <w:bCs/>
          <w:spacing w:val="-2"/>
          <w:sz w:val="21"/>
          <w:szCs w:val="21"/>
        </w:rPr>
        <w:t>B</w:t>
      </w:r>
      <w:r>
        <w:rPr>
          <w:b/>
          <w:bCs/>
          <w:spacing w:val="-2"/>
          <w:sz w:val="21"/>
          <w:szCs w:val="21"/>
        </w:rPr>
        <w:t>。</w:t>
      </w:r>
      <w:r>
        <w:rPr>
          <w:spacing w:val="-2"/>
          <w:sz w:val="21"/>
          <w:szCs w:val="21"/>
        </w:rPr>
        <w:t>(</w:t>
      </w:r>
      <w:r>
        <w:rPr>
          <w:spacing w:val="-29"/>
          <w:sz w:val="21"/>
          <w:szCs w:val="21"/>
        </w:rPr>
        <w:t xml:space="preserve"> </w:t>
      </w:r>
      <w:r>
        <w:rPr>
          <w:spacing w:val="-2"/>
          <w:sz w:val="21"/>
          <w:szCs w:val="21"/>
        </w:rPr>
        <w:t>适</w:t>
      </w:r>
      <w:r>
        <w:rPr>
          <w:sz w:val="21"/>
          <w:szCs w:val="21"/>
        </w:rPr>
        <w:t xml:space="preserve"> 用于办法一、二、三、四)</w:t>
      </w:r>
    </w:p>
    <w:p w14:paraId="0F7DF055">
      <w:pPr>
        <w:spacing w:line="221" w:lineRule="auto"/>
        <w:ind w:left="419"/>
        <w:outlineLvl w:val="2"/>
        <w:rPr>
          <w:rFonts w:ascii="黑体" w:hAnsi="黑体" w:eastAsia="黑体" w:cs="黑体"/>
          <w:sz w:val="21"/>
          <w:szCs w:val="21"/>
        </w:rPr>
      </w:pPr>
      <w:bookmarkStart w:id="161" w:name="bookmark122"/>
      <w:bookmarkEnd w:id="161"/>
      <w:r>
        <w:rPr>
          <w:rFonts w:ascii="Times New Roman" w:hAnsi="Times New Roman" w:eastAsia="Times New Roman" w:cs="Times New Roman"/>
          <w:b/>
          <w:bCs/>
          <w:spacing w:val="-3"/>
          <w:sz w:val="21"/>
          <w:szCs w:val="21"/>
        </w:rPr>
        <w:t>A4.4</w:t>
      </w:r>
      <w:r>
        <w:rPr>
          <w:rFonts w:ascii="Times New Roman" w:hAnsi="Times New Roman" w:eastAsia="Times New Roman" w:cs="Times New Roman"/>
          <w:b/>
          <w:bCs/>
          <w:spacing w:val="28"/>
          <w:w w:val="101"/>
          <w:sz w:val="21"/>
          <w:szCs w:val="21"/>
        </w:rPr>
        <w:t xml:space="preserve"> </w:t>
      </w:r>
      <w:r>
        <w:rPr>
          <w:rFonts w:ascii="黑体" w:hAnsi="黑体" w:eastAsia="黑体" w:cs="黑体"/>
          <w:b/>
          <w:bCs/>
          <w:spacing w:val="-3"/>
          <w:sz w:val="21"/>
          <w:szCs w:val="21"/>
        </w:rPr>
        <w:t>项目管理机构评审和评分</w:t>
      </w:r>
    </w:p>
    <w:p w14:paraId="722329B8">
      <w:pPr>
        <w:pStyle w:val="2"/>
        <w:spacing w:before="211" w:line="350" w:lineRule="auto"/>
        <w:ind w:right="136" w:firstLine="419"/>
        <w:rPr>
          <w:sz w:val="21"/>
          <w:szCs w:val="21"/>
        </w:rPr>
      </w:pPr>
      <w:r>
        <w:rPr>
          <w:spacing w:val="2"/>
          <w:sz w:val="21"/>
          <w:szCs w:val="21"/>
        </w:rPr>
        <w:t>按照评标办法前附表中规定的分值设定、各项评分因素、评分标准，对项目管理机构进行评</w:t>
      </w:r>
      <w:r>
        <w:rPr>
          <w:spacing w:val="7"/>
          <w:sz w:val="21"/>
          <w:szCs w:val="21"/>
        </w:rPr>
        <w:t xml:space="preserve"> </w:t>
      </w:r>
      <w:r>
        <w:rPr>
          <w:sz w:val="21"/>
          <w:szCs w:val="21"/>
        </w:rPr>
        <w:t>审和评分，并使用</w:t>
      </w:r>
      <w:r>
        <w:rPr>
          <w:b/>
          <w:bCs/>
          <w:sz w:val="21"/>
          <w:szCs w:val="21"/>
        </w:rPr>
        <w:t>附</w:t>
      </w:r>
      <w:r>
        <w:rPr>
          <w:spacing w:val="-36"/>
          <w:sz w:val="21"/>
          <w:szCs w:val="21"/>
        </w:rPr>
        <w:t xml:space="preserve"> </w:t>
      </w:r>
      <w:r>
        <w:rPr>
          <w:b/>
          <w:bCs/>
          <w:sz w:val="21"/>
          <w:szCs w:val="21"/>
        </w:rPr>
        <w:t>表</w:t>
      </w:r>
      <w:r>
        <w:rPr>
          <w:spacing w:val="-62"/>
          <w:sz w:val="21"/>
          <w:szCs w:val="21"/>
        </w:rPr>
        <w:t xml:space="preserve"> </w:t>
      </w:r>
      <w:r>
        <w:rPr>
          <w:rFonts w:ascii="Times New Roman" w:hAnsi="Times New Roman" w:eastAsia="Times New Roman" w:cs="Times New Roman"/>
          <w:b/>
          <w:bCs/>
          <w:sz w:val="21"/>
          <w:szCs w:val="21"/>
        </w:rPr>
        <w:t xml:space="preserve">A-10 </w:t>
      </w:r>
      <w:r>
        <w:rPr>
          <w:sz w:val="21"/>
          <w:szCs w:val="21"/>
        </w:rPr>
        <w:t>记录对项目管理机构的评分结果，项目管理机构的得分记录为</w:t>
      </w:r>
      <w:r>
        <w:rPr>
          <w:rFonts w:ascii="Times New Roman" w:hAnsi="Times New Roman" w:eastAsia="Times New Roman" w:cs="Times New Roman"/>
          <w:sz w:val="21"/>
          <w:szCs w:val="21"/>
        </w:rPr>
        <w:t>C</w:t>
      </w:r>
      <w:r>
        <w:rPr>
          <w:sz w:val="21"/>
          <w:szCs w:val="21"/>
        </w:rPr>
        <w:t>。</w:t>
      </w:r>
    </w:p>
    <w:p w14:paraId="6F82819D">
      <w:pPr>
        <w:pStyle w:val="2"/>
        <w:spacing w:before="1" w:line="221" w:lineRule="auto"/>
        <w:ind w:left="422"/>
        <w:outlineLvl w:val="2"/>
        <w:rPr>
          <w:rFonts w:ascii="黑体" w:hAnsi="黑体" w:eastAsia="黑体" w:cs="黑体"/>
          <w:sz w:val="21"/>
          <w:szCs w:val="21"/>
        </w:rPr>
      </w:pPr>
      <w:bookmarkStart w:id="162" w:name="bookmark123"/>
      <w:bookmarkEnd w:id="162"/>
      <w:r>
        <w:rPr>
          <w:b/>
          <w:bCs/>
          <w:spacing w:val="-3"/>
          <w:sz w:val="21"/>
          <w:szCs w:val="21"/>
        </w:rPr>
        <w:t>A4.5</w:t>
      </w:r>
      <w:r>
        <w:rPr>
          <w:spacing w:val="-3"/>
          <w:sz w:val="21"/>
          <w:szCs w:val="21"/>
        </w:rPr>
        <w:t xml:space="preserve"> </w:t>
      </w:r>
      <w:r>
        <w:rPr>
          <w:rFonts w:ascii="黑体" w:hAnsi="黑体" w:eastAsia="黑体" w:cs="黑体"/>
          <w:b/>
          <w:bCs/>
          <w:spacing w:val="-3"/>
          <w:sz w:val="21"/>
          <w:szCs w:val="21"/>
        </w:rPr>
        <w:t>其他因素的评审和评分</w:t>
      </w:r>
    </w:p>
    <w:p w14:paraId="5F980725">
      <w:pPr>
        <w:pStyle w:val="2"/>
        <w:spacing w:before="220" w:line="368" w:lineRule="auto"/>
        <w:ind w:right="128" w:firstLine="419"/>
        <w:rPr>
          <w:sz w:val="21"/>
          <w:szCs w:val="21"/>
        </w:rPr>
      </w:pPr>
      <w:r>
        <w:rPr>
          <w:sz w:val="21"/>
          <w:szCs w:val="21"/>
        </w:rPr>
        <w:t>根据评标办法前附表中规定的分值设定、各项评分因素和相应的评分标</w:t>
      </w:r>
      <w:r>
        <w:rPr>
          <w:spacing w:val="-1"/>
          <w:sz w:val="21"/>
          <w:szCs w:val="21"/>
        </w:rPr>
        <w:t>准，对其他因素(如果</w:t>
      </w:r>
      <w:r>
        <w:rPr>
          <w:sz w:val="21"/>
          <w:szCs w:val="21"/>
        </w:rPr>
        <w:t xml:space="preserve"> 有)进行评审和评分，并使用</w:t>
      </w:r>
      <w:r>
        <w:rPr>
          <w:b/>
          <w:bCs/>
          <w:sz w:val="21"/>
          <w:szCs w:val="21"/>
        </w:rPr>
        <w:t>附表</w:t>
      </w:r>
      <w:r>
        <w:rPr>
          <w:spacing w:val="-41"/>
          <w:sz w:val="21"/>
          <w:szCs w:val="21"/>
        </w:rPr>
        <w:t xml:space="preserve"> </w:t>
      </w:r>
      <w:r>
        <w:rPr>
          <w:b/>
          <w:bCs/>
          <w:sz w:val="21"/>
          <w:szCs w:val="21"/>
        </w:rPr>
        <w:t>A-11</w:t>
      </w:r>
      <w:r>
        <w:rPr>
          <w:spacing w:val="-27"/>
          <w:sz w:val="21"/>
          <w:szCs w:val="21"/>
        </w:rPr>
        <w:t xml:space="preserve"> </w:t>
      </w:r>
      <w:r>
        <w:rPr>
          <w:sz w:val="21"/>
          <w:szCs w:val="21"/>
        </w:rPr>
        <w:t>记录对其他因素的评分结果，其他因素的得分记录为D。</w:t>
      </w:r>
    </w:p>
    <w:p w14:paraId="63F09609">
      <w:pPr>
        <w:pStyle w:val="2"/>
        <w:spacing w:before="1" w:line="220" w:lineRule="auto"/>
        <w:ind w:left="419"/>
        <w:outlineLvl w:val="2"/>
        <w:rPr>
          <w:rFonts w:ascii="黑体" w:hAnsi="黑体" w:eastAsia="黑体" w:cs="黑体"/>
          <w:sz w:val="21"/>
          <w:szCs w:val="21"/>
        </w:rPr>
      </w:pPr>
      <w:bookmarkStart w:id="163" w:name="bookmark124"/>
      <w:bookmarkEnd w:id="163"/>
      <w:r>
        <w:rPr>
          <w:spacing w:val="-2"/>
          <w:sz w:val="21"/>
          <w:szCs w:val="21"/>
        </w:rPr>
        <w:t xml:space="preserve">A4.6 </w:t>
      </w:r>
      <w:r>
        <w:rPr>
          <w:rFonts w:ascii="黑体" w:hAnsi="黑体" w:eastAsia="黑体" w:cs="黑体"/>
          <w:b/>
          <w:bCs/>
          <w:spacing w:val="-2"/>
          <w:sz w:val="21"/>
          <w:szCs w:val="21"/>
        </w:rPr>
        <w:t>澄清、说明或补正</w:t>
      </w:r>
    </w:p>
    <w:p w14:paraId="388A7E0C">
      <w:pPr>
        <w:pStyle w:val="2"/>
        <w:spacing w:before="142" w:line="360" w:lineRule="auto"/>
        <w:ind w:right="125" w:firstLine="419"/>
        <w:jc w:val="both"/>
        <w:rPr>
          <w:sz w:val="21"/>
          <w:szCs w:val="21"/>
        </w:rPr>
      </w:pPr>
      <w:r>
        <w:rPr>
          <w:spacing w:val="2"/>
          <w:sz w:val="21"/>
          <w:szCs w:val="21"/>
        </w:rPr>
        <w:t>在详细评审过程中，评标委员会应当就投标文件中含义不明确、对同类问题表述不一致或者</w:t>
      </w:r>
      <w:r>
        <w:rPr>
          <w:spacing w:val="9"/>
          <w:sz w:val="21"/>
          <w:szCs w:val="21"/>
        </w:rPr>
        <w:t xml:space="preserve"> </w:t>
      </w:r>
      <w:r>
        <w:rPr>
          <w:spacing w:val="2"/>
          <w:sz w:val="21"/>
          <w:szCs w:val="21"/>
        </w:rPr>
        <w:t>有明显文字和计算错误的内容要求投标人进行澄清、说明或者补正。投标人对此以书面形式予以</w:t>
      </w:r>
      <w:r>
        <w:rPr>
          <w:spacing w:val="14"/>
          <w:sz w:val="21"/>
          <w:szCs w:val="21"/>
        </w:rPr>
        <w:t xml:space="preserve"> </w:t>
      </w:r>
      <w:r>
        <w:rPr>
          <w:sz w:val="21"/>
          <w:szCs w:val="21"/>
        </w:rPr>
        <w:t>澄清、说明或者补正。澄清、说明或补正根据本章第3.3款的规定执行。《</w:t>
      </w:r>
      <w:r>
        <w:rPr>
          <w:spacing w:val="-1"/>
          <w:sz w:val="21"/>
          <w:szCs w:val="21"/>
        </w:rPr>
        <w:t>投标文件澄清通知》及</w:t>
      </w:r>
      <w:r>
        <w:rPr>
          <w:sz w:val="21"/>
          <w:szCs w:val="21"/>
        </w:rPr>
        <w:t xml:space="preserve"> </w:t>
      </w:r>
      <w:r>
        <w:rPr>
          <w:spacing w:val="2"/>
          <w:sz w:val="21"/>
          <w:szCs w:val="21"/>
        </w:rPr>
        <w:t>《投标文件的澄清》采用投标人须知附表七与投标人须知附表八所提供的格式，并通</w:t>
      </w:r>
      <w:r>
        <w:rPr>
          <w:spacing w:val="1"/>
          <w:sz w:val="21"/>
          <w:szCs w:val="21"/>
        </w:rPr>
        <w:t>过“电子交</w:t>
      </w:r>
      <w:r>
        <w:rPr>
          <w:sz w:val="21"/>
          <w:szCs w:val="21"/>
        </w:rPr>
        <w:t xml:space="preserve"> </w:t>
      </w:r>
      <w:r>
        <w:rPr>
          <w:spacing w:val="-7"/>
          <w:sz w:val="21"/>
          <w:szCs w:val="21"/>
        </w:rPr>
        <w:t>易平台”“投标文件澄清”菜单以书面形式进行。</w:t>
      </w:r>
    </w:p>
    <w:p w14:paraId="6BBC3045">
      <w:pPr>
        <w:pStyle w:val="2"/>
        <w:spacing w:line="221" w:lineRule="auto"/>
        <w:ind w:left="419"/>
        <w:outlineLvl w:val="2"/>
        <w:rPr>
          <w:rFonts w:ascii="黑体" w:hAnsi="黑体" w:eastAsia="黑体" w:cs="黑体"/>
          <w:sz w:val="21"/>
          <w:szCs w:val="21"/>
        </w:rPr>
      </w:pPr>
      <w:bookmarkStart w:id="164" w:name="bookmark125"/>
      <w:bookmarkEnd w:id="164"/>
      <w:r>
        <w:rPr>
          <w:rFonts w:ascii="Times New Roman" w:hAnsi="Times New Roman" w:eastAsia="Times New Roman" w:cs="Times New Roman"/>
          <w:b/>
          <w:bCs/>
          <w:spacing w:val="13"/>
          <w:sz w:val="21"/>
          <w:szCs w:val="21"/>
        </w:rPr>
        <w:t>A4.7</w:t>
      </w:r>
      <w:r>
        <w:rPr>
          <w:rFonts w:ascii="Times New Roman" w:hAnsi="Times New Roman" w:eastAsia="Times New Roman" w:cs="Times New Roman"/>
          <w:b/>
          <w:bCs/>
          <w:spacing w:val="2"/>
          <w:sz w:val="21"/>
          <w:szCs w:val="21"/>
        </w:rPr>
        <w:t xml:space="preserve">    </w:t>
      </w:r>
      <w:r>
        <w:rPr>
          <w:b/>
          <w:bCs/>
          <w:spacing w:val="13"/>
          <w:sz w:val="21"/>
          <w:szCs w:val="21"/>
        </w:rPr>
        <w:t>汇</w:t>
      </w:r>
      <w:r>
        <w:rPr>
          <w:rFonts w:ascii="黑体" w:hAnsi="黑体" w:eastAsia="黑体" w:cs="黑体"/>
          <w:b/>
          <w:bCs/>
          <w:spacing w:val="13"/>
          <w:sz w:val="21"/>
          <w:szCs w:val="21"/>
        </w:rPr>
        <w:t>总评分(评审)结果</w:t>
      </w:r>
    </w:p>
    <w:p w14:paraId="5954D897">
      <w:pPr>
        <w:pStyle w:val="2"/>
        <w:spacing w:before="178" w:line="390" w:lineRule="auto"/>
        <w:ind w:right="134" w:firstLine="419"/>
        <w:jc w:val="both"/>
        <w:rPr>
          <w:sz w:val="21"/>
          <w:szCs w:val="21"/>
        </w:rPr>
      </w:pPr>
      <w:r>
        <w:rPr>
          <w:sz w:val="21"/>
          <w:szCs w:val="21"/>
        </w:rPr>
        <w:t>评标委员会成员应按</w:t>
      </w:r>
      <w:r>
        <w:rPr>
          <w:b/>
          <w:bCs/>
          <w:sz w:val="21"/>
          <w:szCs w:val="21"/>
        </w:rPr>
        <w:t>照附表</w:t>
      </w:r>
      <w:r>
        <w:rPr>
          <w:spacing w:val="-20"/>
          <w:sz w:val="21"/>
          <w:szCs w:val="21"/>
        </w:rPr>
        <w:t xml:space="preserve"> </w:t>
      </w:r>
      <w:r>
        <w:rPr>
          <w:rFonts w:ascii="Times New Roman" w:hAnsi="Times New Roman" w:eastAsia="Times New Roman" w:cs="Times New Roman"/>
          <w:b/>
          <w:bCs/>
          <w:sz w:val="21"/>
          <w:szCs w:val="21"/>
        </w:rPr>
        <w:t>A-12</w:t>
      </w:r>
      <w:r>
        <w:rPr>
          <w:rFonts w:ascii="Times New Roman" w:hAnsi="Times New Roman" w:eastAsia="Times New Roman" w:cs="Times New Roman"/>
          <w:b/>
          <w:bCs/>
          <w:spacing w:val="37"/>
          <w:w w:val="101"/>
          <w:sz w:val="21"/>
          <w:szCs w:val="21"/>
        </w:rPr>
        <w:t xml:space="preserve"> </w:t>
      </w:r>
      <w:r>
        <w:rPr>
          <w:sz w:val="21"/>
          <w:szCs w:val="21"/>
        </w:rPr>
        <w:t>的格式填写详细评审评分汇总表。按照</w:t>
      </w:r>
      <w:r>
        <w:rPr>
          <w:b/>
          <w:bCs/>
          <w:sz w:val="21"/>
          <w:szCs w:val="21"/>
        </w:rPr>
        <w:t>附表</w:t>
      </w:r>
      <w:r>
        <w:rPr>
          <w:rFonts w:ascii="Times New Roman" w:hAnsi="Times New Roman" w:eastAsia="Times New Roman" w:cs="Times New Roman"/>
          <w:b/>
          <w:bCs/>
          <w:sz w:val="21"/>
          <w:szCs w:val="21"/>
        </w:rPr>
        <w:t>A-13</w:t>
      </w:r>
      <w:r>
        <w:rPr>
          <w:rFonts w:ascii="Times New Roman" w:hAnsi="Times New Roman" w:eastAsia="Times New Roman" w:cs="Times New Roman"/>
          <w:b/>
          <w:bCs/>
          <w:spacing w:val="38"/>
          <w:sz w:val="21"/>
          <w:szCs w:val="21"/>
        </w:rPr>
        <w:t xml:space="preserve"> </w:t>
      </w:r>
      <w:r>
        <w:rPr>
          <w:sz w:val="21"/>
          <w:szCs w:val="21"/>
        </w:rPr>
        <w:t xml:space="preserve">的格式汇 </w:t>
      </w:r>
      <w:r>
        <w:rPr>
          <w:spacing w:val="2"/>
          <w:sz w:val="21"/>
          <w:szCs w:val="21"/>
        </w:rPr>
        <w:t>总各个评标委员会成员的详细评审评分结果，并按照详细评审最终得分由高至低的次序对投标人</w:t>
      </w:r>
      <w:r>
        <w:rPr>
          <w:spacing w:val="3"/>
          <w:sz w:val="21"/>
          <w:szCs w:val="21"/>
        </w:rPr>
        <w:t xml:space="preserve"> </w:t>
      </w:r>
      <w:r>
        <w:rPr>
          <w:spacing w:val="-1"/>
          <w:sz w:val="21"/>
          <w:szCs w:val="21"/>
        </w:rPr>
        <w:t>进行排序。(适用于办法一、二、三、四、五、六、七)</w:t>
      </w:r>
    </w:p>
    <w:p w14:paraId="1F7CBAF6">
      <w:pPr>
        <w:pStyle w:val="2"/>
        <w:spacing w:before="9" w:line="348" w:lineRule="auto"/>
        <w:ind w:right="128" w:firstLine="419"/>
        <w:rPr>
          <w:sz w:val="21"/>
          <w:szCs w:val="21"/>
        </w:rPr>
      </w:pPr>
      <w:r>
        <w:rPr>
          <w:sz w:val="21"/>
          <w:szCs w:val="21"/>
        </w:rPr>
        <w:t>评标委员会应按照</w:t>
      </w:r>
      <w:r>
        <w:rPr>
          <w:b/>
          <w:bCs/>
          <w:sz w:val="21"/>
          <w:szCs w:val="21"/>
        </w:rPr>
        <w:t>附表</w:t>
      </w:r>
      <w:r>
        <w:rPr>
          <w:rFonts w:ascii="Times New Roman" w:hAnsi="Times New Roman" w:eastAsia="Times New Roman" w:cs="Times New Roman"/>
          <w:b/>
          <w:bCs/>
          <w:sz w:val="21"/>
          <w:szCs w:val="21"/>
        </w:rPr>
        <w:t>A-13</w:t>
      </w:r>
      <w:r>
        <w:rPr>
          <w:rFonts w:ascii="Times New Roman" w:hAnsi="Times New Roman" w:eastAsia="Times New Roman" w:cs="Times New Roman"/>
          <w:b/>
          <w:bCs/>
          <w:spacing w:val="26"/>
          <w:w w:val="101"/>
          <w:sz w:val="21"/>
          <w:szCs w:val="21"/>
        </w:rPr>
        <w:t xml:space="preserve"> </w:t>
      </w:r>
      <w:r>
        <w:rPr>
          <w:sz w:val="21"/>
          <w:szCs w:val="21"/>
        </w:rPr>
        <w:t xml:space="preserve">的格式记录对投标报价的评审结果，并按有效评标价由低到高的 </w:t>
      </w:r>
      <w:r>
        <w:rPr>
          <w:spacing w:val="1"/>
          <w:sz w:val="21"/>
          <w:szCs w:val="21"/>
        </w:rPr>
        <w:t>顺序对投标人进行排序。(适用于办法八)</w:t>
      </w:r>
    </w:p>
    <w:p w14:paraId="3F763E51">
      <w:pPr>
        <w:spacing w:before="1" w:line="221" w:lineRule="auto"/>
        <w:ind w:left="419"/>
        <w:outlineLvl w:val="2"/>
        <w:rPr>
          <w:rFonts w:ascii="黑体" w:hAnsi="黑体" w:eastAsia="黑体" w:cs="黑体"/>
          <w:sz w:val="25"/>
          <w:szCs w:val="25"/>
        </w:rPr>
      </w:pPr>
      <w:bookmarkStart w:id="165" w:name="bookmark126"/>
      <w:bookmarkEnd w:id="165"/>
      <w:r>
        <w:rPr>
          <w:rFonts w:ascii="Times New Roman" w:hAnsi="Times New Roman" w:eastAsia="Times New Roman" w:cs="Times New Roman"/>
          <w:b/>
          <w:bCs/>
          <w:spacing w:val="-5"/>
          <w:sz w:val="25"/>
          <w:szCs w:val="25"/>
        </w:rPr>
        <w:t xml:space="preserve">A5.    </w:t>
      </w:r>
      <w:r>
        <w:rPr>
          <w:rFonts w:ascii="黑体" w:hAnsi="黑体" w:eastAsia="黑体" w:cs="黑体"/>
          <w:b/>
          <w:bCs/>
          <w:spacing w:val="-5"/>
          <w:sz w:val="25"/>
          <w:szCs w:val="25"/>
        </w:rPr>
        <w:t>推荐中标候选人或者直接确定</w:t>
      </w:r>
      <w:r>
        <w:rPr>
          <w:rFonts w:ascii="黑体" w:hAnsi="黑体" w:eastAsia="黑体" w:cs="黑体"/>
          <w:b/>
          <w:bCs/>
          <w:spacing w:val="-6"/>
          <w:sz w:val="25"/>
          <w:szCs w:val="25"/>
        </w:rPr>
        <w:t>中标人</w:t>
      </w:r>
    </w:p>
    <w:p w14:paraId="265E93F7">
      <w:pPr>
        <w:spacing w:before="139" w:line="222" w:lineRule="auto"/>
        <w:ind w:left="419"/>
        <w:outlineLvl w:val="2"/>
        <w:rPr>
          <w:rFonts w:ascii="黑体" w:hAnsi="黑体" w:eastAsia="黑体" w:cs="黑体"/>
          <w:sz w:val="21"/>
          <w:szCs w:val="21"/>
        </w:rPr>
      </w:pPr>
      <w:bookmarkStart w:id="166" w:name="bookmark127"/>
      <w:bookmarkEnd w:id="166"/>
      <w:r>
        <w:rPr>
          <w:rFonts w:ascii="Times New Roman" w:hAnsi="Times New Roman" w:eastAsia="Times New Roman" w:cs="Times New Roman"/>
          <w:b/>
          <w:bCs/>
          <w:spacing w:val="-2"/>
          <w:sz w:val="21"/>
          <w:szCs w:val="21"/>
        </w:rPr>
        <w:t xml:space="preserve">A5.1    </w:t>
      </w:r>
      <w:r>
        <w:rPr>
          <w:rFonts w:ascii="黑体" w:hAnsi="黑体" w:eastAsia="黑体" w:cs="黑体"/>
          <w:b/>
          <w:bCs/>
          <w:spacing w:val="-2"/>
          <w:sz w:val="21"/>
          <w:szCs w:val="21"/>
        </w:rPr>
        <w:t>推荐中标候选人</w:t>
      </w:r>
    </w:p>
    <w:p w14:paraId="50F7A061">
      <w:pPr>
        <w:pStyle w:val="2"/>
        <w:spacing w:before="191" w:line="382" w:lineRule="auto"/>
        <w:ind w:right="95" w:firstLine="419"/>
        <w:rPr>
          <w:sz w:val="21"/>
          <w:szCs w:val="21"/>
        </w:rPr>
      </w:pPr>
      <w:r>
        <w:rPr>
          <w:rFonts w:ascii="Times New Roman" w:hAnsi="Times New Roman" w:eastAsia="Times New Roman" w:cs="Times New Roman"/>
          <w:spacing w:val="5"/>
          <w:sz w:val="21"/>
          <w:szCs w:val="21"/>
        </w:rPr>
        <w:t xml:space="preserve">A5.1.1     </w:t>
      </w:r>
      <w:r>
        <w:rPr>
          <w:spacing w:val="5"/>
          <w:sz w:val="21"/>
          <w:szCs w:val="21"/>
        </w:rPr>
        <w:t>除第二章“投标人须知”前附表第7.1款授权直接确定中标人外，评标委员会在推</w:t>
      </w:r>
      <w:r>
        <w:rPr>
          <w:sz w:val="21"/>
          <w:szCs w:val="21"/>
        </w:rPr>
        <w:t xml:space="preserve"> </w:t>
      </w:r>
      <w:r>
        <w:rPr>
          <w:spacing w:val="-4"/>
          <w:sz w:val="21"/>
          <w:szCs w:val="21"/>
        </w:rPr>
        <w:t>荐中标候选人时，应遵照以下原则：</w:t>
      </w:r>
    </w:p>
    <w:p w14:paraId="40837E77">
      <w:pPr>
        <w:pStyle w:val="2"/>
        <w:spacing w:before="3" w:line="396" w:lineRule="auto"/>
        <w:ind w:left="938" w:right="100" w:hanging="519"/>
        <w:jc w:val="right"/>
        <w:rPr>
          <w:sz w:val="21"/>
          <w:szCs w:val="21"/>
        </w:rPr>
      </w:pPr>
      <w:r>
        <w:rPr>
          <w:spacing w:val="2"/>
          <w:sz w:val="21"/>
          <w:szCs w:val="21"/>
        </w:rPr>
        <w:t>(1)  评标委员会按照最终得分由高至低的次序排列(适用于办法一、二、三、四、五、六、</w:t>
      </w:r>
      <w:r>
        <w:rPr>
          <w:spacing w:val="7"/>
          <w:sz w:val="21"/>
          <w:szCs w:val="21"/>
        </w:rPr>
        <w:t xml:space="preserve"> </w:t>
      </w:r>
      <w:r>
        <w:rPr>
          <w:spacing w:val="10"/>
          <w:sz w:val="21"/>
          <w:szCs w:val="21"/>
        </w:rPr>
        <w:t>七)或按有效评标价由低到高的次序排列(适用于办法八),并根据第二章“投标人须</w:t>
      </w:r>
      <w:r>
        <w:rPr>
          <w:sz w:val="21"/>
          <w:szCs w:val="21"/>
        </w:rPr>
        <w:t xml:space="preserve"> </w:t>
      </w:r>
      <w:r>
        <w:rPr>
          <w:spacing w:val="3"/>
          <w:sz w:val="21"/>
          <w:szCs w:val="21"/>
        </w:rPr>
        <w:t>知”前附表第7.1款规定的中标候选人数量，将排序在前的投标人推荐为中标候选人。</w:t>
      </w:r>
    </w:p>
    <w:p w14:paraId="670714CD">
      <w:pPr>
        <w:spacing w:line="396" w:lineRule="auto"/>
        <w:rPr>
          <w:sz w:val="21"/>
          <w:szCs w:val="21"/>
        </w:rPr>
        <w:sectPr>
          <w:footerReference r:id="rId63" w:type="default"/>
          <w:pgSz w:w="11910" w:h="16840"/>
          <w:pgMar w:top="1431" w:right="1414" w:bottom="1001" w:left="1450" w:header="0" w:footer="857" w:gutter="0"/>
          <w:cols w:space="720" w:num="1"/>
        </w:sectPr>
      </w:pPr>
    </w:p>
    <w:p w14:paraId="30E899BF">
      <w:pPr>
        <w:spacing w:line="354" w:lineRule="auto"/>
        <w:rPr>
          <w:rFonts w:ascii="Arial"/>
          <w:sz w:val="21"/>
        </w:rPr>
      </w:pPr>
    </w:p>
    <w:p w14:paraId="0C542A33">
      <w:pPr>
        <w:pStyle w:val="2"/>
        <w:spacing w:before="69" w:line="396" w:lineRule="auto"/>
        <w:ind w:left="919"/>
        <w:rPr>
          <w:sz w:val="21"/>
          <w:szCs w:val="21"/>
        </w:rPr>
      </w:pPr>
      <w:bookmarkStart w:id="167" w:name="bookmark257"/>
      <w:bookmarkEnd w:id="167"/>
      <w:r>
        <w:rPr>
          <w:sz w:val="21"/>
          <w:szCs w:val="21"/>
        </w:rPr>
        <w:t>招标文件允许多标段投标、多标段中标的，各标段中标候选人</w:t>
      </w:r>
      <w:r>
        <w:rPr>
          <w:spacing w:val="-1"/>
          <w:sz w:val="21"/>
          <w:szCs w:val="21"/>
        </w:rPr>
        <w:t>的推荐按第二章“投标人</w:t>
      </w:r>
      <w:r>
        <w:rPr>
          <w:sz w:val="21"/>
          <w:szCs w:val="21"/>
        </w:rPr>
        <w:t xml:space="preserve"> </w:t>
      </w:r>
      <w:r>
        <w:rPr>
          <w:spacing w:val="2"/>
          <w:sz w:val="21"/>
          <w:szCs w:val="21"/>
        </w:rPr>
        <w:t>须知”第10.1款规定执行，对某些标段由此产生的空缺由排序在后的投</w:t>
      </w:r>
      <w:r>
        <w:rPr>
          <w:spacing w:val="1"/>
          <w:sz w:val="21"/>
          <w:szCs w:val="21"/>
        </w:rPr>
        <w:t>标人依次替补。</w:t>
      </w:r>
    </w:p>
    <w:p w14:paraId="49862809">
      <w:pPr>
        <w:pStyle w:val="2"/>
        <w:spacing w:before="3" w:line="397" w:lineRule="auto"/>
        <w:ind w:left="918" w:right="65" w:hanging="519"/>
        <w:rPr>
          <w:sz w:val="16"/>
          <w:szCs w:val="16"/>
        </w:rPr>
      </w:pPr>
      <w:r>
        <w:rPr>
          <w:spacing w:val="-5"/>
          <w:sz w:val="21"/>
          <w:szCs w:val="21"/>
        </w:rPr>
        <w:t>(2)  如果评标委员会根据本章的规定否决有关投标后</w:t>
      </w:r>
      <w:r>
        <w:rPr>
          <w:spacing w:val="-6"/>
          <w:sz w:val="21"/>
          <w:szCs w:val="21"/>
        </w:rPr>
        <w:t>，有效投标不足三个，且少于第二章“投</w:t>
      </w:r>
      <w:r>
        <w:rPr>
          <w:sz w:val="21"/>
          <w:szCs w:val="21"/>
        </w:rPr>
        <w:t xml:space="preserve"> </w:t>
      </w:r>
      <w:r>
        <w:rPr>
          <w:spacing w:val="3"/>
          <w:sz w:val="21"/>
          <w:szCs w:val="21"/>
        </w:rPr>
        <w:t>标人须知”前附表第7.1款规定的中标候选人数量的，则评标委员会可以将所</w:t>
      </w:r>
      <w:r>
        <w:rPr>
          <w:spacing w:val="2"/>
          <w:sz w:val="21"/>
          <w:szCs w:val="21"/>
        </w:rPr>
        <w:t>有有效投</w:t>
      </w:r>
      <w:r>
        <w:rPr>
          <w:sz w:val="21"/>
          <w:szCs w:val="21"/>
        </w:rPr>
        <w:t xml:space="preserve"> </w:t>
      </w:r>
      <w:r>
        <w:rPr>
          <w:spacing w:val="5"/>
          <w:sz w:val="21"/>
          <w:szCs w:val="21"/>
        </w:rPr>
        <w:t>标按最终得分由高至低的次序(适用于办法一、二、三、四、五、六、七)或按有效评</w:t>
      </w:r>
      <w:r>
        <w:rPr>
          <w:spacing w:val="18"/>
          <w:sz w:val="21"/>
          <w:szCs w:val="21"/>
        </w:rPr>
        <w:t xml:space="preserve"> </w:t>
      </w:r>
      <w:r>
        <w:rPr>
          <w:spacing w:val="6"/>
          <w:sz w:val="21"/>
          <w:szCs w:val="21"/>
        </w:rPr>
        <w:t>标价由低到高的次序(适用于办法八)作为中标候选人向招标</w:t>
      </w:r>
      <w:r>
        <w:rPr>
          <w:spacing w:val="5"/>
          <w:sz w:val="21"/>
          <w:szCs w:val="21"/>
        </w:rPr>
        <w:t>人推荐。如果因有效投标</w:t>
      </w:r>
      <w:r>
        <w:rPr>
          <w:sz w:val="21"/>
          <w:szCs w:val="21"/>
        </w:rPr>
        <w:t xml:space="preserve"> 不足三个使得投标明显缺乏竞争的，评标委员会可以否决</w:t>
      </w:r>
      <w:r>
        <w:rPr>
          <w:spacing w:val="-1"/>
          <w:sz w:val="21"/>
          <w:szCs w:val="21"/>
        </w:rPr>
        <w:t>所有投标，并建议招标人重新</w:t>
      </w:r>
      <w:r>
        <w:rPr>
          <w:sz w:val="21"/>
          <w:szCs w:val="21"/>
        </w:rPr>
        <w:t xml:space="preserve"> </w:t>
      </w:r>
      <w:r>
        <w:rPr>
          <w:spacing w:val="-5"/>
          <w:sz w:val="16"/>
          <w:szCs w:val="16"/>
        </w:rPr>
        <w:t>招 标</w:t>
      </w:r>
      <w:r>
        <w:rPr>
          <w:spacing w:val="-8"/>
          <w:sz w:val="16"/>
          <w:szCs w:val="16"/>
        </w:rPr>
        <w:t xml:space="preserve"> </w:t>
      </w:r>
      <w:r>
        <w:rPr>
          <w:spacing w:val="-5"/>
          <w:sz w:val="16"/>
          <w:szCs w:val="16"/>
        </w:rPr>
        <w:t>。</w:t>
      </w:r>
    </w:p>
    <w:p w14:paraId="0B6FC33F">
      <w:pPr>
        <w:pStyle w:val="2"/>
        <w:spacing w:before="43" w:line="219" w:lineRule="auto"/>
        <w:ind w:left="399"/>
        <w:rPr>
          <w:sz w:val="21"/>
          <w:szCs w:val="21"/>
        </w:rPr>
      </w:pPr>
      <w:r>
        <w:rPr>
          <w:rFonts w:ascii="Times New Roman" w:hAnsi="Times New Roman" w:eastAsia="Times New Roman" w:cs="Times New Roman"/>
          <w:spacing w:val="1"/>
          <w:sz w:val="21"/>
          <w:szCs w:val="21"/>
        </w:rPr>
        <w:t xml:space="preserve">A5.2.2     </w:t>
      </w:r>
      <w:r>
        <w:rPr>
          <w:spacing w:val="1"/>
          <w:sz w:val="21"/>
          <w:szCs w:val="21"/>
        </w:rPr>
        <w:t>投标人数量少于三</w:t>
      </w:r>
      <w:r>
        <w:rPr>
          <w:sz w:val="21"/>
          <w:szCs w:val="21"/>
        </w:rPr>
        <w:t>个或者所有投标被否决的，招标人应当依法重新招标。</w:t>
      </w:r>
    </w:p>
    <w:p w14:paraId="6ED046B9">
      <w:pPr>
        <w:spacing w:before="147" w:line="222" w:lineRule="auto"/>
        <w:ind w:left="399"/>
        <w:outlineLvl w:val="2"/>
        <w:rPr>
          <w:rFonts w:ascii="黑体" w:hAnsi="黑体" w:eastAsia="黑体" w:cs="黑体"/>
          <w:sz w:val="21"/>
          <w:szCs w:val="21"/>
        </w:rPr>
      </w:pPr>
      <w:bookmarkStart w:id="168" w:name="bookmark128"/>
      <w:bookmarkEnd w:id="168"/>
      <w:r>
        <w:rPr>
          <w:rFonts w:ascii="Times New Roman" w:hAnsi="Times New Roman" w:eastAsia="Times New Roman" w:cs="Times New Roman"/>
          <w:b/>
          <w:bCs/>
          <w:spacing w:val="-3"/>
          <w:sz w:val="21"/>
          <w:szCs w:val="21"/>
        </w:rPr>
        <w:t>A5.2</w:t>
      </w:r>
      <w:r>
        <w:rPr>
          <w:rFonts w:ascii="Times New Roman" w:hAnsi="Times New Roman" w:eastAsia="Times New Roman" w:cs="Times New Roman"/>
          <w:b/>
          <w:bCs/>
          <w:spacing w:val="33"/>
          <w:w w:val="101"/>
          <w:sz w:val="21"/>
          <w:szCs w:val="21"/>
        </w:rPr>
        <w:t xml:space="preserve"> </w:t>
      </w:r>
      <w:r>
        <w:rPr>
          <w:rFonts w:ascii="黑体" w:hAnsi="黑体" w:eastAsia="黑体" w:cs="黑体"/>
          <w:b/>
          <w:bCs/>
          <w:spacing w:val="-3"/>
          <w:sz w:val="21"/>
          <w:szCs w:val="21"/>
        </w:rPr>
        <w:t>直接确定中标人</w:t>
      </w:r>
    </w:p>
    <w:p w14:paraId="2A024463">
      <w:pPr>
        <w:pStyle w:val="2"/>
        <w:spacing w:before="201" w:line="371" w:lineRule="auto"/>
        <w:ind w:right="95" w:firstLine="399"/>
        <w:jc w:val="both"/>
        <w:rPr>
          <w:sz w:val="21"/>
          <w:szCs w:val="21"/>
        </w:rPr>
      </w:pPr>
      <w:r>
        <w:rPr>
          <w:spacing w:val="2"/>
          <w:sz w:val="21"/>
          <w:szCs w:val="21"/>
        </w:rPr>
        <w:t>第二章“投标人须知”前附表授权评标委员会直接确定中标人的，评标委员会按照最终</w:t>
      </w:r>
      <w:r>
        <w:rPr>
          <w:spacing w:val="1"/>
          <w:sz w:val="21"/>
          <w:szCs w:val="21"/>
        </w:rPr>
        <w:t>得分</w:t>
      </w:r>
      <w:r>
        <w:rPr>
          <w:sz w:val="21"/>
          <w:szCs w:val="21"/>
        </w:rPr>
        <w:t xml:space="preserve"> </w:t>
      </w:r>
      <w:r>
        <w:rPr>
          <w:spacing w:val="6"/>
          <w:sz w:val="21"/>
          <w:szCs w:val="21"/>
        </w:rPr>
        <w:t xml:space="preserve">由高至低的次序排列(适用于办法一、二、三、四、五、六、七)或按有效评标价由低到高的次 </w:t>
      </w:r>
      <w:r>
        <w:rPr>
          <w:spacing w:val="8"/>
          <w:sz w:val="21"/>
          <w:szCs w:val="21"/>
        </w:rPr>
        <w:t>序排列(适用于办法八),并依法确定中标人。</w:t>
      </w:r>
    </w:p>
    <w:p w14:paraId="249AF0AD">
      <w:pPr>
        <w:spacing w:before="1" w:line="220" w:lineRule="auto"/>
        <w:ind w:left="399"/>
        <w:outlineLvl w:val="2"/>
        <w:rPr>
          <w:rFonts w:ascii="黑体" w:hAnsi="黑体" w:eastAsia="黑体" w:cs="黑体"/>
          <w:sz w:val="21"/>
          <w:szCs w:val="21"/>
        </w:rPr>
      </w:pPr>
      <w:bookmarkStart w:id="169" w:name="bookmark129"/>
      <w:bookmarkEnd w:id="169"/>
      <w:r>
        <w:rPr>
          <w:rFonts w:ascii="Times New Roman" w:hAnsi="Times New Roman" w:eastAsia="Times New Roman" w:cs="Times New Roman"/>
          <w:b/>
          <w:bCs/>
          <w:spacing w:val="-3"/>
          <w:sz w:val="21"/>
          <w:szCs w:val="21"/>
        </w:rPr>
        <w:t>A5.3</w:t>
      </w:r>
      <w:r>
        <w:rPr>
          <w:rFonts w:ascii="Times New Roman" w:hAnsi="Times New Roman" w:eastAsia="Times New Roman" w:cs="Times New Roman"/>
          <w:b/>
          <w:bCs/>
          <w:spacing w:val="36"/>
          <w:w w:val="101"/>
          <w:sz w:val="21"/>
          <w:szCs w:val="21"/>
        </w:rPr>
        <w:t xml:space="preserve"> </w:t>
      </w:r>
      <w:r>
        <w:rPr>
          <w:rFonts w:ascii="黑体" w:hAnsi="黑体" w:eastAsia="黑体" w:cs="黑体"/>
          <w:b/>
          <w:bCs/>
          <w:spacing w:val="-3"/>
          <w:sz w:val="21"/>
          <w:szCs w:val="21"/>
        </w:rPr>
        <w:t>编制评标报告</w:t>
      </w:r>
    </w:p>
    <w:p w14:paraId="73F12C60">
      <w:pPr>
        <w:pStyle w:val="2"/>
        <w:spacing w:before="211" w:line="371" w:lineRule="auto"/>
        <w:ind w:right="96" w:firstLine="399"/>
        <w:rPr>
          <w:sz w:val="21"/>
          <w:szCs w:val="21"/>
        </w:rPr>
      </w:pPr>
      <w:r>
        <w:rPr>
          <w:spacing w:val="4"/>
          <w:sz w:val="21"/>
          <w:szCs w:val="21"/>
        </w:rPr>
        <w:t>评标委员会根据本章第3.4.2项的规定向招标人提交评标报告。评标报告应当由全体评标委</w:t>
      </w:r>
      <w:r>
        <w:rPr>
          <w:spacing w:val="14"/>
          <w:sz w:val="21"/>
          <w:szCs w:val="21"/>
        </w:rPr>
        <w:t xml:space="preserve"> </w:t>
      </w:r>
      <w:r>
        <w:rPr>
          <w:spacing w:val="-1"/>
          <w:sz w:val="21"/>
          <w:szCs w:val="21"/>
        </w:rPr>
        <w:t>员会成员签字，并于评标结束时抄送有关行政监督部门。评标报告应当包括以下内容：</w:t>
      </w:r>
    </w:p>
    <w:p w14:paraId="5148E092">
      <w:pPr>
        <w:pStyle w:val="2"/>
        <w:spacing w:before="97" w:line="219" w:lineRule="auto"/>
        <w:ind w:left="509"/>
        <w:rPr>
          <w:sz w:val="21"/>
          <w:szCs w:val="21"/>
        </w:rPr>
      </w:pPr>
      <w:r>
        <w:rPr>
          <w:spacing w:val="5"/>
          <w:sz w:val="21"/>
          <w:szCs w:val="21"/>
        </w:rPr>
        <w:t>(1)基本情况和数据表；</w:t>
      </w:r>
    </w:p>
    <w:p w14:paraId="31C25F70">
      <w:pPr>
        <w:pStyle w:val="2"/>
        <w:spacing w:before="271" w:line="219" w:lineRule="auto"/>
        <w:ind w:left="509"/>
        <w:rPr>
          <w:sz w:val="21"/>
          <w:szCs w:val="21"/>
        </w:rPr>
      </w:pPr>
      <w:r>
        <w:rPr>
          <w:spacing w:val="5"/>
          <w:sz w:val="21"/>
          <w:szCs w:val="21"/>
        </w:rPr>
        <w:t>(2)评标委员会成员名单；</w:t>
      </w:r>
    </w:p>
    <w:p w14:paraId="47E48DB9">
      <w:pPr>
        <w:pStyle w:val="2"/>
        <w:spacing w:before="253" w:line="220" w:lineRule="auto"/>
        <w:ind w:left="509"/>
        <w:rPr>
          <w:sz w:val="21"/>
          <w:szCs w:val="21"/>
        </w:rPr>
      </w:pPr>
      <w:r>
        <w:rPr>
          <w:spacing w:val="10"/>
          <w:sz w:val="21"/>
          <w:szCs w:val="21"/>
        </w:rPr>
        <w:t>(3)开标记录；</w:t>
      </w:r>
    </w:p>
    <w:p w14:paraId="1673CAD1">
      <w:pPr>
        <w:pStyle w:val="2"/>
        <w:spacing w:before="279" w:line="219" w:lineRule="auto"/>
        <w:ind w:left="509"/>
        <w:rPr>
          <w:sz w:val="21"/>
          <w:szCs w:val="21"/>
        </w:rPr>
      </w:pPr>
      <w:r>
        <w:rPr>
          <w:spacing w:val="5"/>
          <w:sz w:val="21"/>
          <w:szCs w:val="21"/>
        </w:rPr>
        <w:t>(4)符合要求的投标一览表；</w:t>
      </w:r>
    </w:p>
    <w:p w14:paraId="3D2D0279">
      <w:pPr>
        <w:pStyle w:val="2"/>
        <w:spacing w:before="241" w:line="219" w:lineRule="auto"/>
        <w:ind w:left="509"/>
        <w:rPr>
          <w:sz w:val="21"/>
          <w:szCs w:val="21"/>
        </w:rPr>
      </w:pPr>
      <w:r>
        <w:rPr>
          <w:spacing w:val="5"/>
          <w:sz w:val="21"/>
          <w:szCs w:val="21"/>
        </w:rPr>
        <w:t>(5)被否决投标的情况说明；</w:t>
      </w:r>
    </w:p>
    <w:p w14:paraId="046E067D">
      <w:pPr>
        <w:pStyle w:val="2"/>
        <w:spacing w:before="281" w:line="219" w:lineRule="auto"/>
        <w:ind w:left="509"/>
        <w:rPr>
          <w:sz w:val="21"/>
          <w:szCs w:val="21"/>
        </w:rPr>
      </w:pPr>
      <w:r>
        <w:rPr>
          <w:spacing w:val="4"/>
          <w:sz w:val="21"/>
          <w:szCs w:val="21"/>
        </w:rPr>
        <w:t>(6)评标标准、评标方法或者评标因素一览表；</w:t>
      </w:r>
    </w:p>
    <w:p w14:paraId="44D3DB1F">
      <w:pPr>
        <w:pStyle w:val="2"/>
        <w:spacing w:before="269" w:line="304" w:lineRule="auto"/>
        <w:ind w:right="95" w:firstLine="509"/>
        <w:rPr>
          <w:sz w:val="21"/>
          <w:szCs w:val="21"/>
        </w:rPr>
      </w:pPr>
      <w:r>
        <w:rPr>
          <w:spacing w:val="4"/>
          <w:sz w:val="21"/>
          <w:szCs w:val="21"/>
        </w:rPr>
        <w:t>(7)经评审的价格一览表(包括评标委员会在评标过程中所形成的所有记载评标结果、结论</w:t>
      </w:r>
      <w:r>
        <w:rPr>
          <w:spacing w:val="14"/>
          <w:sz w:val="21"/>
          <w:szCs w:val="21"/>
        </w:rPr>
        <w:t xml:space="preserve"> </w:t>
      </w:r>
      <w:r>
        <w:rPr>
          <w:spacing w:val="-2"/>
          <w:sz w:val="21"/>
          <w:szCs w:val="21"/>
        </w:rPr>
        <w:t>的表格、说明、记录等文件);</w:t>
      </w:r>
    </w:p>
    <w:p w14:paraId="60AC01DF">
      <w:pPr>
        <w:pStyle w:val="2"/>
        <w:spacing w:before="261" w:line="220" w:lineRule="auto"/>
        <w:ind w:left="509"/>
        <w:rPr>
          <w:sz w:val="21"/>
          <w:szCs w:val="21"/>
        </w:rPr>
      </w:pPr>
      <w:r>
        <w:rPr>
          <w:spacing w:val="5"/>
          <w:sz w:val="21"/>
          <w:szCs w:val="21"/>
        </w:rPr>
        <w:t>(8)经评审的投标人排序；</w:t>
      </w:r>
    </w:p>
    <w:p w14:paraId="17F8F18D">
      <w:pPr>
        <w:pStyle w:val="2"/>
        <w:spacing w:before="257" w:line="322" w:lineRule="auto"/>
        <w:ind w:right="81" w:firstLine="509"/>
        <w:rPr>
          <w:sz w:val="21"/>
          <w:szCs w:val="21"/>
        </w:rPr>
      </w:pPr>
      <w:r>
        <w:rPr>
          <w:spacing w:val="5"/>
          <w:sz w:val="21"/>
          <w:szCs w:val="21"/>
        </w:rPr>
        <w:t>(9)推荐的中标候选人名单(如果第二章“投标人须知”前附</w:t>
      </w:r>
      <w:r>
        <w:rPr>
          <w:spacing w:val="4"/>
          <w:sz w:val="21"/>
          <w:szCs w:val="21"/>
        </w:rPr>
        <w:t>表授权评标委员会直接确定中</w:t>
      </w:r>
      <w:r>
        <w:rPr>
          <w:sz w:val="21"/>
          <w:szCs w:val="21"/>
        </w:rPr>
        <w:t xml:space="preserve"> </w:t>
      </w:r>
      <w:r>
        <w:rPr>
          <w:spacing w:val="-2"/>
          <w:sz w:val="21"/>
          <w:szCs w:val="21"/>
        </w:rPr>
        <w:t>标人，则为“确定的中标人”)与签订合同前要处理的</w:t>
      </w:r>
      <w:r>
        <w:rPr>
          <w:spacing w:val="-3"/>
          <w:sz w:val="21"/>
          <w:szCs w:val="21"/>
        </w:rPr>
        <w:t>事宜；</w:t>
      </w:r>
    </w:p>
    <w:p w14:paraId="5783AFB1">
      <w:pPr>
        <w:pStyle w:val="2"/>
        <w:spacing w:before="230" w:line="219" w:lineRule="auto"/>
        <w:ind w:left="509"/>
        <w:rPr>
          <w:sz w:val="21"/>
          <w:szCs w:val="21"/>
        </w:rPr>
      </w:pPr>
      <w:r>
        <w:rPr>
          <w:spacing w:val="5"/>
          <w:sz w:val="21"/>
          <w:szCs w:val="21"/>
        </w:rPr>
        <w:t>(10)澄清、说明、补正事项纪要。</w:t>
      </w:r>
    </w:p>
    <w:p w14:paraId="74D912D2">
      <w:pPr>
        <w:spacing w:line="219" w:lineRule="auto"/>
        <w:rPr>
          <w:sz w:val="21"/>
          <w:szCs w:val="21"/>
        </w:rPr>
        <w:sectPr>
          <w:footerReference r:id="rId64" w:type="default"/>
          <w:pgSz w:w="11910" w:h="16840"/>
          <w:pgMar w:top="1431" w:right="1465" w:bottom="1001" w:left="1470" w:header="0" w:footer="857" w:gutter="0"/>
          <w:cols w:space="720" w:num="1"/>
        </w:sectPr>
      </w:pPr>
    </w:p>
    <w:p w14:paraId="71D71A4E">
      <w:pPr>
        <w:spacing w:line="270" w:lineRule="auto"/>
        <w:rPr>
          <w:rFonts w:ascii="Arial"/>
          <w:sz w:val="21"/>
        </w:rPr>
      </w:pPr>
    </w:p>
    <w:p w14:paraId="080BEAFB">
      <w:pPr>
        <w:pStyle w:val="2"/>
        <w:spacing w:before="82" w:line="222" w:lineRule="auto"/>
        <w:ind w:left="413"/>
        <w:outlineLvl w:val="2"/>
        <w:rPr>
          <w:rFonts w:ascii="黑体" w:hAnsi="黑体" w:eastAsia="黑体" w:cs="黑体"/>
        </w:rPr>
      </w:pPr>
      <w:bookmarkStart w:id="170" w:name="bookmark258"/>
      <w:bookmarkEnd w:id="170"/>
      <w:bookmarkStart w:id="171" w:name="bookmark130"/>
      <w:bookmarkEnd w:id="171"/>
      <w:r>
        <w:rPr>
          <w:b/>
          <w:bCs/>
          <w:spacing w:val="-7"/>
        </w:rPr>
        <w:t>A6.</w:t>
      </w:r>
      <w:r>
        <w:rPr>
          <w:spacing w:val="35"/>
        </w:rPr>
        <w:t xml:space="preserve"> </w:t>
      </w:r>
      <w:r>
        <w:rPr>
          <w:rFonts w:ascii="黑体" w:hAnsi="黑体" w:eastAsia="黑体" w:cs="黑体"/>
          <w:b/>
          <w:bCs/>
          <w:spacing w:val="-7"/>
        </w:rPr>
        <w:t>特殊情况的处置程序</w:t>
      </w:r>
    </w:p>
    <w:p w14:paraId="48401D1A">
      <w:pPr>
        <w:spacing w:before="138" w:line="222" w:lineRule="auto"/>
        <w:ind w:left="409"/>
        <w:outlineLvl w:val="2"/>
        <w:rPr>
          <w:rFonts w:ascii="黑体" w:hAnsi="黑体" w:eastAsia="黑体" w:cs="黑体"/>
          <w:sz w:val="21"/>
          <w:szCs w:val="21"/>
        </w:rPr>
      </w:pPr>
      <w:bookmarkStart w:id="172" w:name="bookmark131"/>
      <w:bookmarkEnd w:id="172"/>
      <w:r>
        <w:rPr>
          <w:rFonts w:ascii="Times New Roman" w:hAnsi="Times New Roman" w:eastAsia="Times New Roman" w:cs="Times New Roman"/>
          <w:spacing w:val="-2"/>
          <w:sz w:val="21"/>
          <w:szCs w:val="21"/>
        </w:rPr>
        <w:t>A6</w:t>
      </w:r>
      <w:r>
        <w:rPr>
          <w:rFonts w:ascii="Times New Roman" w:hAnsi="Times New Roman" w:eastAsia="Times New Roman" w:cs="Times New Roman"/>
          <w:b/>
          <w:bCs/>
          <w:spacing w:val="-2"/>
          <w:sz w:val="21"/>
          <w:szCs w:val="21"/>
        </w:rPr>
        <w:t xml:space="preserve">.1     </w:t>
      </w:r>
      <w:r>
        <w:rPr>
          <w:rFonts w:ascii="黑体" w:hAnsi="黑体" w:eastAsia="黑体" w:cs="黑体"/>
          <w:b/>
          <w:bCs/>
          <w:spacing w:val="-2"/>
          <w:sz w:val="21"/>
          <w:szCs w:val="21"/>
        </w:rPr>
        <w:t>暗标评审的评审程序规定(适用于对施工组织设计进行暗标评审的)</w:t>
      </w:r>
    </w:p>
    <w:p w14:paraId="27870EE8">
      <w:pPr>
        <w:pStyle w:val="2"/>
        <w:spacing w:before="191" w:line="388" w:lineRule="auto"/>
        <w:ind w:right="22" w:firstLine="409"/>
        <w:jc w:val="both"/>
        <w:rPr>
          <w:sz w:val="21"/>
          <w:szCs w:val="21"/>
        </w:rPr>
      </w:pPr>
      <w:r>
        <w:rPr>
          <w:spacing w:val="5"/>
          <w:sz w:val="21"/>
          <w:szCs w:val="21"/>
        </w:rPr>
        <w:t>如果第二章“投标人须知”前附表第3.7.4项要求</w:t>
      </w:r>
      <w:r>
        <w:rPr>
          <w:spacing w:val="4"/>
          <w:sz w:val="21"/>
          <w:szCs w:val="21"/>
        </w:rPr>
        <w:t>对施工组织设计采用“暗标”方式，则评</w:t>
      </w:r>
      <w:r>
        <w:rPr>
          <w:sz w:val="21"/>
          <w:szCs w:val="21"/>
        </w:rPr>
        <w:t xml:space="preserve"> </w:t>
      </w:r>
      <w:r>
        <w:rPr>
          <w:spacing w:val="2"/>
          <w:sz w:val="21"/>
          <w:szCs w:val="21"/>
        </w:rPr>
        <w:t>标委员会需将施工组织设计(暗标)的形式评审在初步评审阶段完成；如果施工</w:t>
      </w:r>
      <w:r>
        <w:rPr>
          <w:spacing w:val="1"/>
          <w:sz w:val="21"/>
          <w:szCs w:val="21"/>
        </w:rPr>
        <w:t>组织设计只进行合</w:t>
      </w:r>
      <w:r>
        <w:rPr>
          <w:sz w:val="21"/>
          <w:szCs w:val="21"/>
        </w:rPr>
        <w:t xml:space="preserve"> </w:t>
      </w:r>
      <w:r>
        <w:rPr>
          <w:spacing w:val="2"/>
          <w:sz w:val="21"/>
          <w:szCs w:val="21"/>
        </w:rPr>
        <w:t>格性审查的，也应在初步评审阶段完成。所有被否决的投标，在上述评审完成后再公开其暗标编</w:t>
      </w:r>
      <w:r>
        <w:rPr>
          <w:sz w:val="21"/>
          <w:szCs w:val="21"/>
        </w:rPr>
        <w:t xml:space="preserve"> </w:t>
      </w:r>
      <w:r>
        <w:rPr>
          <w:spacing w:val="-1"/>
          <w:sz w:val="21"/>
          <w:szCs w:val="21"/>
        </w:rPr>
        <w:t>码与投标人名称之间的对应关系。被否决的投标不再进入详细评审阶段。</w:t>
      </w:r>
    </w:p>
    <w:p w14:paraId="684BB173">
      <w:pPr>
        <w:pStyle w:val="2"/>
        <w:spacing w:before="5" w:line="374" w:lineRule="auto"/>
        <w:ind w:right="21" w:firstLine="409"/>
        <w:jc w:val="both"/>
        <w:rPr>
          <w:sz w:val="21"/>
          <w:szCs w:val="21"/>
        </w:rPr>
      </w:pPr>
      <w:r>
        <w:rPr>
          <w:spacing w:val="2"/>
          <w:sz w:val="21"/>
          <w:szCs w:val="21"/>
        </w:rPr>
        <w:t>如果施工组织设计是详细评审阶段的评审内容，电子交易平台应采取措施，在投标报价、施</w:t>
      </w:r>
      <w:r>
        <w:rPr>
          <w:spacing w:val="8"/>
          <w:sz w:val="21"/>
          <w:szCs w:val="21"/>
        </w:rPr>
        <w:t xml:space="preserve"> </w:t>
      </w:r>
      <w:r>
        <w:rPr>
          <w:spacing w:val="2"/>
          <w:sz w:val="21"/>
          <w:szCs w:val="21"/>
        </w:rPr>
        <w:t>工组织设计、项目管理机构、其他因素的评审完成后，再公开相应暗标编码与投标人名称之间的</w:t>
      </w:r>
      <w:r>
        <w:rPr>
          <w:spacing w:val="1"/>
          <w:sz w:val="21"/>
          <w:szCs w:val="21"/>
        </w:rPr>
        <w:t xml:space="preserve"> </w:t>
      </w:r>
      <w:r>
        <w:rPr>
          <w:spacing w:val="-7"/>
          <w:sz w:val="21"/>
          <w:szCs w:val="21"/>
        </w:rPr>
        <w:t>对应关系。</w:t>
      </w:r>
    </w:p>
    <w:p w14:paraId="0162FCA6">
      <w:pPr>
        <w:spacing w:line="221" w:lineRule="auto"/>
        <w:ind w:left="409"/>
        <w:outlineLvl w:val="2"/>
        <w:rPr>
          <w:rFonts w:ascii="黑体" w:hAnsi="黑体" w:eastAsia="黑体" w:cs="黑体"/>
          <w:sz w:val="21"/>
          <w:szCs w:val="21"/>
        </w:rPr>
      </w:pPr>
      <w:bookmarkStart w:id="173" w:name="bookmark132"/>
      <w:bookmarkEnd w:id="173"/>
      <w:r>
        <w:rPr>
          <w:rFonts w:ascii="Times New Roman" w:hAnsi="Times New Roman" w:eastAsia="Times New Roman" w:cs="Times New Roman"/>
          <w:b/>
          <w:bCs/>
          <w:spacing w:val="-2"/>
          <w:sz w:val="21"/>
          <w:szCs w:val="21"/>
        </w:rPr>
        <w:t>A6.2</w:t>
      </w:r>
      <w:r>
        <w:rPr>
          <w:rFonts w:ascii="Times New Roman" w:hAnsi="Times New Roman" w:eastAsia="Times New Roman" w:cs="Times New Roman"/>
          <w:b/>
          <w:bCs/>
          <w:spacing w:val="35"/>
          <w:w w:val="101"/>
          <w:sz w:val="21"/>
          <w:szCs w:val="21"/>
        </w:rPr>
        <w:t xml:space="preserve"> </w:t>
      </w:r>
      <w:r>
        <w:rPr>
          <w:rFonts w:ascii="黑体" w:hAnsi="黑体" w:eastAsia="黑体" w:cs="黑体"/>
          <w:b/>
          <w:bCs/>
          <w:spacing w:val="-2"/>
          <w:sz w:val="21"/>
          <w:szCs w:val="21"/>
        </w:rPr>
        <w:t>关于评标活动暂停</w:t>
      </w:r>
    </w:p>
    <w:p w14:paraId="01B3F55D">
      <w:pPr>
        <w:pStyle w:val="2"/>
        <w:spacing w:before="201" w:line="389" w:lineRule="auto"/>
        <w:ind w:right="44" w:firstLine="409"/>
        <w:rPr>
          <w:sz w:val="21"/>
          <w:szCs w:val="21"/>
        </w:rPr>
      </w:pPr>
      <w:r>
        <w:rPr>
          <w:rFonts w:ascii="Times New Roman" w:hAnsi="Times New Roman" w:eastAsia="Times New Roman" w:cs="Times New Roman"/>
          <w:sz w:val="21"/>
          <w:szCs w:val="21"/>
        </w:rPr>
        <w:t>A6.2.1</w:t>
      </w:r>
      <w:r>
        <w:rPr>
          <w:rFonts w:ascii="Times New Roman" w:hAnsi="Times New Roman" w:eastAsia="Times New Roman" w:cs="Times New Roman"/>
          <w:spacing w:val="18"/>
          <w:sz w:val="21"/>
          <w:szCs w:val="21"/>
        </w:rPr>
        <w:t xml:space="preserve">  </w:t>
      </w:r>
      <w:r>
        <w:rPr>
          <w:sz w:val="21"/>
          <w:szCs w:val="21"/>
        </w:rPr>
        <w:t>评标委员会应当执行连续评标的原则，按评标办法中规定的</w:t>
      </w:r>
      <w:r>
        <w:rPr>
          <w:spacing w:val="-1"/>
          <w:sz w:val="21"/>
          <w:szCs w:val="21"/>
        </w:rPr>
        <w:t>程序、内容、方法、标准</w:t>
      </w:r>
      <w:r>
        <w:rPr>
          <w:sz w:val="21"/>
          <w:szCs w:val="21"/>
        </w:rPr>
        <w:t xml:space="preserve"> 完成全部评标工作。只有发生不可抗力导致评标工作无法继续时，评标活动方可暂停。</w:t>
      </w:r>
    </w:p>
    <w:p w14:paraId="146B99FA">
      <w:pPr>
        <w:pStyle w:val="2"/>
        <w:spacing w:before="44" w:line="363" w:lineRule="auto"/>
        <w:ind w:right="20" w:firstLine="409"/>
        <w:rPr>
          <w:sz w:val="21"/>
          <w:szCs w:val="21"/>
        </w:rPr>
      </w:pPr>
      <w:r>
        <w:rPr>
          <w:rFonts w:ascii="Times New Roman" w:hAnsi="Times New Roman" w:eastAsia="Times New Roman" w:cs="Times New Roman"/>
          <w:sz w:val="21"/>
          <w:szCs w:val="21"/>
        </w:rPr>
        <w:t>A6.2.2</w:t>
      </w:r>
      <w:r>
        <w:rPr>
          <w:rFonts w:ascii="Times New Roman" w:hAnsi="Times New Roman" w:eastAsia="Times New Roman" w:cs="Times New Roman"/>
          <w:spacing w:val="24"/>
          <w:sz w:val="21"/>
          <w:szCs w:val="21"/>
        </w:rPr>
        <w:t xml:space="preserve">  </w:t>
      </w:r>
      <w:r>
        <w:rPr>
          <w:sz w:val="21"/>
          <w:szCs w:val="21"/>
        </w:rPr>
        <w:t xml:space="preserve">发生评标暂停情况时，评标委员会应当封存全部投标文件和评标记录，待不可抗力的 </w:t>
      </w:r>
      <w:r>
        <w:rPr>
          <w:spacing w:val="-1"/>
          <w:sz w:val="21"/>
          <w:szCs w:val="21"/>
        </w:rPr>
        <w:t>影响结束且具备继续评标的条件时，由原评标委员会继续评标。</w:t>
      </w:r>
    </w:p>
    <w:p w14:paraId="47544F0B">
      <w:pPr>
        <w:pStyle w:val="2"/>
        <w:spacing w:before="1" w:line="220" w:lineRule="auto"/>
        <w:ind w:left="409"/>
        <w:outlineLvl w:val="2"/>
        <w:rPr>
          <w:rFonts w:ascii="黑体" w:hAnsi="黑体" w:eastAsia="黑体" w:cs="黑体"/>
          <w:sz w:val="21"/>
          <w:szCs w:val="21"/>
        </w:rPr>
      </w:pPr>
      <w:bookmarkStart w:id="174" w:name="bookmark133"/>
      <w:bookmarkEnd w:id="174"/>
      <w:r>
        <w:rPr>
          <w:rFonts w:ascii="Times New Roman" w:hAnsi="Times New Roman" w:eastAsia="Times New Roman" w:cs="Times New Roman"/>
          <w:spacing w:val="-5"/>
          <w:sz w:val="21"/>
          <w:szCs w:val="21"/>
        </w:rPr>
        <w:t>A</w:t>
      </w:r>
      <w:r>
        <w:rPr>
          <w:rFonts w:ascii="Times New Roman" w:hAnsi="Times New Roman" w:eastAsia="Times New Roman" w:cs="Times New Roman"/>
          <w:b/>
          <w:bCs/>
          <w:spacing w:val="-5"/>
          <w:sz w:val="21"/>
          <w:szCs w:val="21"/>
        </w:rPr>
        <w:t>6.3</w:t>
      </w:r>
      <w:r>
        <w:rPr>
          <w:rFonts w:ascii="Times New Roman" w:hAnsi="Times New Roman" w:eastAsia="Times New Roman" w:cs="Times New Roman"/>
          <w:b/>
          <w:bCs/>
          <w:spacing w:val="7"/>
          <w:sz w:val="21"/>
          <w:szCs w:val="21"/>
        </w:rPr>
        <w:t xml:space="preserve">     </w:t>
      </w:r>
      <w:r>
        <w:rPr>
          <w:b/>
          <w:bCs/>
          <w:spacing w:val="-5"/>
          <w:sz w:val="21"/>
          <w:szCs w:val="21"/>
        </w:rPr>
        <w:t>关</w:t>
      </w:r>
      <w:r>
        <w:rPr>
          <w:rFonts w:ascii="黑体" w:hAnsi="黑体" w:eastAsia="黑体" w:cs="黑体"/>
          <w:b/>
          <w:bCs/>
          <w:spacing w:val="-5"/>
          <w:sz w:val="21"/>
          <w:szCs w:val="21"/>
        </w:rPr>
        <w:t>于评标中途更换评标委员会成员</w:t>
      </w:r>
    </w:p>
    <w:p w14:paraId="458F0426">
      <w:pPr>
        <w:pStyle w:val="2"/>
        <w:spacing w:before="182" w:line="219" w:lineRule="auto"/>
        <w:ind w:left="409"/>
        <w:rPr>
          <w:sz w:val="21"/>
          <w:szCs w:val="21"/>
        </w:rPr>
      </w:pPr>
      <w:r>
        <w:rPr>
          <w:rFonts w:ascii="Times New Roman" w:hAnsi="Times New Roman" w:eastAsia="Times New Roman" w:cs="Times New Roman"/>
          <w:sz w:val="21"/>
          <w:szCs w:val="21"/>
        </w:rPr>
        <w:t xml:space="preserve">A6.3.1     </w:t>
      </w:r>
      <w:r>
        <w:rPr>
          <w:sz w:val="21"/>
          <w:szCs w:val="21"/>
        </w:rPr>
        <w:t>除非发生下列情况之一，评标委员会成员不得在评标中途更换：</w:t>
      </w:r>
    </w:p>
    <w:p w14:paraId="5EDCBDAD">
      <w:pPr>
        <w:pStyle w:val="2"/>
        <w:spacing w:before="223" w:line="219" w:lineRule="auto"/>
        <w:ind w:left="409"/>
        <w:rPr>
          <w:sz w:val="21"/>
          <w:szCs w:val="21"/>
        </w:rPr>
      </w:pPr>
      <w:r>
        <w:rPr>
          <w:spacing w:val="2"/>
          <w:sz w:val="21"/>
          <w:szCs w:val="21"/>
        </w:rPr>
        <w:t>(1)因不可抗拒的客观原因，不能到场或需在评标中途退出</w:t>
      </w:r>
      <w:r>
        <w:rPr>
          <w:spacing w:val="1"/>
          <w:sz w:val="21"/>
          <w:szCs w:val="21"/>
        </w:rPr>
        <w:t>评标活动。</w:t>
      </w:r>
    </w:p>
    <w:p w14:paraId="4F432739">
      <w:pPr>
        <w:pStyle w:val="2"/>
        <w:spacing w:before="179" w:line="219" w:lineRule="auto"/>
        <w:ind w:left="409"/>
        <w:rPr>
          <w:sz w:val="21"/>
          <w:szCs w:val="21"/>
        </w:rPr>
      </w:pPr>
      <w:r>
        <w:rPr>
          <w:spacing w:val="2"/>
          <w:sz w:val="21"/>
          <w:szCs w:val="21"/>
        </w:rPr>
        <w:t>(2)根据法律法规规定，某个或某几个评标委员会成员需要回避。</w:t>
      </w:r>
    </w:p>
    <w:p w14:paraId="2721388A">
      <w:pPr>
        <w:pStyle w:val="2"/>
        <w:spacing w:before="172" w:line="372" w:lineRule="auto"/>
        <w:ind w:right="28" w:firstLine="409"/>
        <w:rPr>
          <w:sz w:val="21"/>
          <w:szCs w:val="21"/>
        </w:rPr>
      </w:pPr>
      <w:r>
        <w:rPr>
          <w:rFonts w:ascii="Times New Roman" w:hAnsi="Times New Roman" w:eastAsia="Times New Roman" w:cs="Times New Roman"/>
          <w:spacing w:val="1"/>
          <w:sz w:val="21"/>
          <w:szCs w:val="21"/>
        </w:rPr>
        <w:t xml:space="preserve">A6.3.2  </w:t>
      </w:r>
      <w:r>
        <w:rPr>
          <w:spacing w:val="1"/>
          <w:sz w:val="21"/>
          <w:szCs w:val="21"/>
        </w:rPr>
        <w:t>退出评标的评标委员会成员，其已完成的评标行为无效。由招标人根据本招</w:t>
      </w:r>
      <w:r>
        <w:rPr>
          <w:sz w:val="21"/>
          <w:szCs w:val="21"/>
        </w:rPr>
        <w:t xml:space="preserve">标文件规 </w:t>
      </w:r>
      <w:r>
        <w:rPr>
          <w:spacing w:val="-2"/>
          <w:sz w:val="21"/>
          <w:szCs w:val="21"/>
        </w:rPr>
        <w:t>定的评标委员会成员生产方式另行确定替代者进行评标。</w:t>
      </w:r>
    </w:p>
    <w:p w14:paraId="7B12E726">
      <w:pPr>
        <w:spacing w:before="1" w:line="221" w:lineRule="auto"/>
        <w:ind w:left="409"/>
        <w:outlineLvl w:val="2"/>
        <w:rPr>
          <w:rFonts w:ascii="黑体" w:hAnsi="黑体" w:eastAsia="黑体" w:cs="黑体"/>
          <w:sz w:val="21"/>
          <w:szCs w:val="21"/>
        </w:rPr>
      </w:pPr>
      <w:bookmarkStart w:id="175" w:name="bookmark134"/>
      <w:bookmarkEnd w:id="175"/>
      <w:r>
        <w:rPr>
          <w:rFonts w:ascii="Times New Roman" w:hAnsi="Times New Roman" w:eastAsia="Times New Roman" w:cs="Times New Roman"/>
          <w:spacing w:val="-5"/>
          <w:sz w:val="21"/>
          <w:szCs w:val="21"/>
        </w:rPr>
        <w:t>A</w:t>
      </w:r>
      <w:r>
        <w:rPr>
          <w:rFonts w:ascii="Times New Roman" w:hAnsi="Times New Roman" w:eastAsia="Times New Roman" w:cs="Times New Roman"/>
          <w:b/>
          <w:bCs/>
          <w:spacing w:val="-5"/>
          <w:sz w:val="21"/>
          <w:szCs w:val="21"/>
        </w:rPr>
        <w:t xml:space="preserve">6.4   </w:t>
      </w:r>
      <w:r>
        <w:rPr>
          <w:rFonts w:ascii="黑体" w:hAnsi="黑体" w:eastAsia="黑体" w:cs="黑体"/>
          <w:b/>
          <w:bCs/>
          <w:spacing w:val="-5"/>
          <w:sz w:val="21"/>
          <w:szCs w:val="21"/>
        </w:rPr>
        <w:t>评标争议处理</w:t>
      </w:r>
    </w:p>
    <w:p w14:paraId="2D9D16AB">
      <w:pPr>
        <w:pStyle w:val="2"/>
        <w:spacing w:before="181" w:line="219" w:lineRule="auto"/>
        <w:ind w:left="519"/>
        <w:rPr>
          <w:sz w:val="21"/>
          <w:szCs w:val="21"/>
        </w:rPr>
      </w:pPr>
      <w:r>
        <w:rPr>
          <w:rFonts w:ascii="Times New Roman" w:hAnsi="Times New Roman" w:eastAsia="Times New Roman" w:cs="Times New Roman"/>
          <w:sz w:val="21"/>
          <w:szCs w:val="21"/>
        </w:rPr>
        <w:t xml:space="preserve">A6.4.1   </w:t>
      </w:r>
      <w:r>
        <w:rPr>
          <w:sz w:val="21"/>
          <w:szCs w:val="21"/>
        </w:rPr>
        <w:t>评标委员会全体成员应独立评审，对所提出的评审意见承担个人责任。</w:t>
      </w:r>
    </w:p>
    <w:p w14:paraId="11F41C62">
      <w:pPr>
        <w:pStyle w:val="2"/>
        <w:spacing w:before="180" w:line="380" w:lineRule="auto"/>
        <w:ind w:firstLine="519"/>
        <w:rPr>
          <w:sz w:val="21"/>
          <w:szCs w:val="21"/>
        </w:rPr>
      </w:pPr>
      <w:r>
        <w:rPr>
          <w:rFonts w:ascii="Times New Roman" w:hAnsi="Times New Roman" w:eastAsia="Times New Roman" w:cs="Times New Roman"/>
          <w:spacing w:val="-1"/>
          <w:sz w:val="21"/>
          <w:szCs w:val="21"/>
        </w:rPr>
        <w:t xml:space="preserve">A6.4.2  </w:t>
      </w:r>
      <w:r>
        <w:rPr>
          <w:spacing w:val="-1"/>
          <w:sz w:val="21"/>
          <w:szCs w:val="21"/>
        </w:rPr>
        <w:t>在任何评标环节中，需评标委员会就某项定性的评审结论做出表决的，由评</w:t>
      </w:r>
      <w:r>
        <w:rPr>
          <w:spacing w:val="-2"/>
          <w:sz w:val="21"/>
          <w:szCs w:val="21"/>
        </w:rPr>
        <w:t>标委员会</w:t>
      </w:r>
      <w:r>
        <w:rPr>
          <w:sz w:val="21"/>
          <w:szCs w:val="21"/>
        </w:rPr>
        <w:t xml:space="preserve"> </w:t>
      </w:r>
      <w:r>
        <w:rPr>
          <w:spacing w:val="3"/>
          <w:sz w:val="21"/>
          <w:szCs w:val="21"/>
        </w:rPr>
        <w:t>全体成员按照少数服从多数的原则，以记名投票方</w:t>
      </w:r>
      <w:r>
        <w:rPr>
          <w:spacing w:val="2"/>
          <w:sz w:val="21"/>
          <w:szCs w:val="21"/>
        </w:rPr>
        <w:t>式表决。表决不得违背法律、法规、规章和招</w:t>
      </w:r>
      <w:r>
        <w:rPr>
          <w:sz w:val="21"/>
          <w:szCs w:val="21"/>
        </w:rPr>
        <w:t xml:space="preserve"> </w:t>
      </w:r>
      <w:r>
        <w:rPr>
          <w:spacing w:val="-5"/>
          <w:sz w:val="21"/>
          <w:szCs w:val="21"/>
        </w:rPr>
        <w:t>标文件的规定。</w:t>
      </w:r>
    </w:p>
    <w:p w14:paraId="2CA8E64E">
      <w:pPr>
        <w:pStyle w:val="2"/>
        <w:spacing w:before="14" w:line="360" w:lineRule="auto"/>
        <w:ind w:right="29" w:firstLine="519"/>
        <w:jc w:val="both"/>
        <w:rPr>
          <w:sz w:val="21"/>
          <w:szCs w:val="21"/>
        </w:rPr>
      </w:pPr>
      <w:r>
        <w:rPr>
          <w:rFonts w:ascii="Times New Roman" w:hAnsi="Times New Roman" w:eastAsia="Times New Roman" w:cs="Times New Roman"/>
          <w:spacing w:val="2"/>
          <w:sz w:val="21"/>
          <w:szCs w:val="21"/>
        </w:rPr>
        <w:t xml:space="preserve">A6.4.3   </w:t>
      </w:r>
      <w:r>
        <w:rPr>
          <w:spacing w:val="2"/>
          <w:sz w:val="21"/>
          <w:szCs w:val="21"/>
        </w:rPr>
        <w:t>评标委员会成员对书面决议或评审结论持有异议的，可以书面阐述其不同意</w:t>
      </w:r>
      <w:r>
        <w:rPr>
          <w:spacing w:val="1"/>
          <w:sz w:val="21"/>
          <w:szCs w:val="21"/>
        </w:rPr>
        <w:t>见和理</w:t>
      </w:r>
      <w:r>
        <w:rPr>
          <w:sz w:val="21"/>
          <w:szCs w:val="21"/>
        </w:rPr>
        <w:t xml:space="preserve"> </w:t>
      </w:r>
      <w:r>
        <w:rPr>
          <w:spacing w:val="2"/>
          <w:sz w:val="21"/>
          <w:szCs w:val="21"/>
        </w:rPr>
        <w:t>由。拒绝在书面决议或评标报告上签名，且不陈述其不同意见和理由的，视为</w:t>
      </w:r>
      <w:r>
        <w:rPr>
          <w:spacing w:val="1"/>
          <w:sz w:val="21"/>
          <w:szCs w:val="21"/>
        </w:rPr>
        <w:t>同意书面决议或评</w:t>
      </w:r>
      <w:r>
        <w:rPr>
          <w:sz w:val="21"/>
          <w:szCs w:val="21"/>
        </w:rPr>
        <w:t xml:space="preserve"> </w:t>
      </w:r>
      <w:r>
        <w:rPr>
          <w:spacing w:val="-1"/>
          <w:sz w:val="21"/>
          <w:szCs w:val="21"/>
        </w:rPr>
        <w:t>标结论，评标委员会应当对此在评标报告中做出书面说明。</w:t>
      </w:r>
    </w:p>
    <w:p w14:paraId="62389C21">
      <w:pPr>
        <w:spacing w:before="1" w:line="222" w:lineRule="auto"/>
        <w:ind w:left="409"/>
        <w:outlineLvl w:val="2"/>
        <w:rPr>
          <w:rFonts w:ascii="黑体" w:hAnsi="黑体" w:eastAsia="黑体" w:cs="黑体"/>
          <w:sz w:val="25"/>
          <w:szCs w:val="25"/>
        </w:rPr>
      </w:pPr>
      <w:bookmarkStart w:id="176" w:name="bookmark135"/>
      <w:bookmarkEnd w:id="176"/>
      <w:r>
        <w:rPr>
          <w:rFonts w:ascii="Times New Roman" w:hAnsi="Times New Roman" w:eastAsia="Times New Roman" w:cs="Times New Roman"/>
          <w:b/>
          <w:bCs/>
          <w:spacing w:val="-3"/>
          <w:sz w:val="25"/>
          <w:szCs w:val="25"/>
        </w:rPr>
        <w:t>A7.</w:t>
      </w:r>
      <w:r>
        <w:rPr>
          <w:rFonts w:ascii="Times New Roman" w:hAnsi="Times New Roman" w:eastAsia="Times New Roman" w:cs="Times New Roman"/>
          <w:b/>
          <w:bCs/>
          <w:spacing w:val="-34"/>
          <w:sz w:val="25"/>
          <w:szCs w:val="25"/>
        </w:rPr>
        <w:t xml:space="preserve"> </w:t>
      </w:r>
      <w:r>
        <w:rPr>
          <w:rFonts w:ascii="黑体" w:hAnsi="黑体" w:eastAsia="黑体" w:cs="黑体"/>
          <w:b/>
          <w:bCs/>
          <w:spacing w:val="-3"/>
          <w:sz w:val="25"/>
          <w:szCs w:val="25"/>
        </w:rPr>
        <w:t>补充条款</w:t>
      </w:r>
    </w:p>
    <w:p w14:paraId="018D6A9E">
      <w:pPr>
        <w:spacing w:line="260" w:lineRule="auto"/>
        <w:rPr>
          <w:rFonts w:ascii="Arial"/>
          <w:sz w:val="21"/>
        </w:rPr>
      </w:pPr>
    </w:p>
    <w:p w14:paraId="5D8C533E">
      <w:pPr>
        <w:spacing w:before="1" w:line="50" w:lineRule="exact"/>
        <w:ind w:firstLine="439"/>
      </w:pPr>
      <w:r>
        <w:rPr>
          <w:position w:val="-1"/>
        </w:rPr>
        <w:drawing>
          <wp:inline distT="0" distB="0" distL="0" distR="0">
            <wp:extent cx="260350" cy="31750"/>
            <wp:effectExtent l="0" t="0" r="0" b="0"/>
            <wp:docPr id="20" name="IM 20"/>
            <wp:cNvGraphicFramePr/>
            <a:graphic xmlns:a="http://schemas.openxmlformats.org/drawingml/2006/main">
              <a:graphicData uri="http://schemas.openxmlformats.org/drawingml/2006/picture">
                <pic:pic xmlns:pic="http://schemas.openxmlformats.org/drawingml/2006/picture">
                  <pic:nvPicPr>
                    <pic:cNvPr id="20" name="IM 20"/>
                    <pic:cNvPicPr/>
                  </pic:nvPicPr>
                  <pic:blipFill>
                    <a:blip r:embed="rId417"/>
                    <a:stretch>
                      <a:fillRect/>
                    </a:stretch>
                  </pic:blipFill>
                  <pic:spPr>
                    <a:xfrm>
                      <a:off x="0" y="0"/>
                      <a:ext cx="260388" cy="31759"/>
                    </a:xfrm>
                    <a:prstGeom prst="rect">
                      <a:avLst/>
                    </a:prstGeom>
                  </pic:spPr>
                </pic:pic>
              </a:graphicData>
            </a:graphic>
          </wp:inline>
        </w:drawing>
      </w:r>
    </w:p>
    <w:p w14:paraId="7EFC18AA">
      <w:pPr>
        <w:spacing w:line="50" w:lineRule="exact"/>
        <w:sectPr>
          <w:footerReference r:id="rId65" w:type="default"/>
          <w:pgSz w:w="11910" w:h="16840"/>
          <w:pgMar w:top="1431" w:right="1532" w:bottom="1001" w:left="1450" w:header="0" w:footer="857" w:gutter="0"/>
          <w:cols w:space="720" w:num="1"/>
        </w:sectPr>
      </w:pPr>
    </w:p>
    <w:p w14:paraId="025B5850">
      <w:pPr>
        <w:rPr>
          <w:rFonts w:ascii="Arial"/>
          <w:sz w:val="21"/>
        </w:rPr>
      </w:pPr>
    </w:p>
    <w:p w14:paraId="566C1496">
      <w:pPr>
        <w:rPr>
          <w:rFonts w:ascii="Arial"/>
          <w:sz w:val="21"/>
        </w:rPr>
      </w:pPr>
    </w:p>
    <w:p w14:paraId="3DDEFB03">
      <w:pPr>
        <w:pStyle w:val="2"/>
        <w:spacing w:before="71" w:line="222" w:lineRule="auto"/>
        <w:ind w:left="3"/>
        <w:outlineLvl w:val="1"/>
        <w:rPr>
          <w:rFonts w:ascii="黑体" w:hAnsi="黑体" w:eastAsia="黑体" w:cs="黑体"/>
          <w:sz w:val="22"/>
          <w:szCs w:val="22"/>
        </w:rPr>
      </w:pPr>
      <w:bookmarkStart w:id="177" w:name="bookmark136"/>
      <w:bookmarkEnd w:id="177"/>
      <w:r>
        <w:rPr>
          <w:rFonts w:ascii="黑体" w:hAnsi="黑体" w:eastAsia="黑体" w:cs="黑体"/>
          <w:b/>
          <w:bCs/>
          <w:spacing w:val="7"/>
          <w:sz w:val="22"/>
          <w:szCs w:val="22"/>
        </w:rPr>
        <w:t>附</w:t>
      </w:r>
      <w:r>
        <w:rPr>
          <w:rFonts w:ascii="黑体" w:hAnsi="黑体" w:eastAsia="黑体" w:cs="黑体"/>
          <w:spacing w:val="-39"/>
          <w:sz w:val="22"/>
          <w:szCs w:val="22"/>
        </w:rPr>
        <w:t xml:space="preserve"> </w:t>
      </w:r>
      <w:r>
        <w:rPr>
          <w:rFonts w:ascii="黑体" w:hAnsi="黑体" w:eastAsia="黑体" w:cs="黑体"/>
          <w:b/>
          <w:bCs/>
          <w:spacing w:val="7"/>
          <w:sz w:val="22"/>
          <w:szCs w:val="22"/>
        </w:rPr>
        <w:t>件</w:t>
      </w:r>
      <w:r>
        <w:rPr>
          <w:rFonts w:ascii="黑体" w:hAnsi="黑体" w:eastAsia="黑体" w:cs="黑体"/>
          <w:spacing w:val="-54"/>
          <w:sz w:val="22"/>
          <w:szCs w:val="22"/>
        </w:rPr>
        <w:t xml:space="preserve"> </w:t>
      </w:r>
      <w:r>
        <w:rPr>
          <w:b/>
          <w:bCs/>
          <w:spacing w:val="7"/>
          <w:sz w:val="22"/>
          <w:szCs w:val="22"/>
        </w:rPr>
        <w:t>B:</w:t>
      </w:r>
      <w:r>
        <w:rPr>
          <w:spacing w:val="33"/>
          <w:sz w:val="22"/>
          <w:szCs w:val="22"/>
        </w:rPr>
        <w:t xml:space="preserve"> </w:t>
      </w:r>
      <w:r>
        <w:rPr>
          <w:rFonts w:ascii="黑体" w:hAnsi="黑体" w:eastAsia="黑体" w:cs="黑体"/>
          <w:b/>
          <w:bCs/>
          <w:spacing w:val="7"/>
          <w:sz w:val="22"/>
          <w:szCs w:val="22"/>
        </w:rPr>
        <w:t>否决投标的条件</w:t>
      </w:r>
    </w:p>
    <w:p w14:paraId="424B1285">
      <w:pPr>
        <w:spacing w:line="331" w:lineRule="auto"/>
        <w:rPr>
          <w:rFonts w:ascii="Arial"/>
          <w:sz w:val="21"/>
        </w:rPr>
      </w:pPr>
    </w:p>
    <w:p w14:paraId="4E4AD117">
      <w:pPr>
        <w:spacing w:before="94" w:line="222" w:lineRule="auto"/>
        <w:ind w:left="3454"/>
        <w:rPr>
          <w:rFonts w:ascii="黑体" w:hAnsi="黑体" w:eastAsia="黑体" w:cs="黑体"/>
          <w:sz w:val="29"/>
          <w:szCs w:val="29"/>
        </w:rPr>
      </w:pPr>
      <w:bookmarkStart w:id="178" w:name="bookmark259"/>
      <w:bookmarkEnd w:id="178"/>
      <w:r>
        <w:rPr>
          <w:rFonts w:ascii="黑体" w:hAnsi="黑体" w:eastAsia="黑体" w:cs="黑体"/>
          <w:b/>
          <w:bCs/>
          <w:spacing w:val="-5"/>
          <w:sz w:val="29"/>
          <w:szCs w:val="29"/>
        </w:rPr>
        <w:t>否决投标的条件</w:t>
      </w:r>
    </w:p>
    <w:p w14:paraId="1365B139">
      <w:pPr>
        <w:pStyle w:val="2"/>
        <w:spacing w:before="107" w:line="222" w:lineRule="auto"/>
        <w:ind w:left="403"/>
        <w:outlineLvl w:val="2"/>
        <w:rPr>
          <w:rFonts w:ascii="黑体" w:hAnsi="黑体" w:eastAsia="黑体" w:cs="黑体"/>
          <w:sz w:val="22"/>
          <w:szCs w:val="22"/>
        </w:rPr>
      </w:pPr>
      <w:bookmarkStart w:id="179" w:name="bookmark137"/>
      <w:bookmarkEnd w:id="179"/>
      <w:r>
        <w:rPr>
          <w:b/>
          <w:bCs/>
          <w:spacing w:val="-6"/>
          <w:sz w:val="22"/>
          <w:szCs w:val="22"/>
        </w:rPr>
        <w:t>B0.</w:t>
      </w:r>
      <w:r>
        <w:rPr>
          <w:spacing w:val="-16"/>
          <w:sz w:val="22"/>
          <w:szCs w:val="22"/>
        </w:rPr>
        <w:t xml:space="preserve"> </w:t>
      </w:r>
      <w:r>
        <w:rPr>
          <w:rFonts w:ascii="黑体" w:hAnsi="黑体" w:eastAsia="黑体" w:cs="黑体"/>
          <w:b/>
          <w:bCs/>
          <w:spacing w:val="-6"/>
          <w:sz w:val="22"/>
          <w:szCs w:val="22"/>
        </w:rPr>
        <w:t>总</w:t>
      </w:r>
      <w:r>
        <w:rPr>
          <w:rFonts w:ascii="黑体" w:hAnsi="黑体" w:eastAsia="黑体" w:cs="黑体"/>
          <w:spacing w:val="11"/>
          <w:sz w:val="22"/>
          <w:szCs w:val="22"/>
        </w:rPr>
        <w:t xml:space="preserve">  </w:t>
      </w:r>
      <w:r>
        <w:rPr>
          <w:rFonts w:ascii="黑体" w:hAnsi="黑体" w:eastAsia="黑体" w:cs="黑体"/>
          <w:b/>
          <w:bCs/>
          <w:spacing w:val="-6"/>
          <w:sz w:val="22"/>
          <w:szCs w:val="22"/>
        </w:rPr>
        <w:t>则</w:t>
      </w:r>
    </w:p>
    <w:p w14:paraId="38212944">
      <w:pPr>
        <w:pStyle w:val="2"/>
        <w:spacing w:before="150" w:line="357" w:lineRule="auto"/>
        <w:ind w:right="44" w:firstLine="399"/>
        <w:jc w:val="both"/>
        <w:rPr>
          <w:sz w:val="22"/>
          <w:szCs w:val="22"/>
        </w:rPr>
      </w:pPr>
      <w:r>
        <w:rPr>
          <w:spacing w:val="-8"/>
          <w:sz w:val="22"/>
          <w:szCs w:val="22"/>
        </w:rPr>
        <w:t>本附件所集中列示的否决投标的条件，是本章“评标办法”的组成部分，是对第二章“投标</w:t>
      </w:r>
      <w:r>
        <w:rPr>
          <w:spacing w:val="7"/>
          <w:sz w:val="22"/>
          <w:szCs w:val="22"/>
        </w:rPr>
        <w:t xml:space="preserve"> </w:t>
      </w:r>
      <w:r>
        <w:rPr>
          <w:spacing w:val="-8"/>
          <w:sz w:val="22"/>
          <w:szCs w:val="22"/>
        </w:rPr>
        <w:t>人须知”和本章正文部分所规定的否决投标的条件的总结和</w:t>
      </w:r>
      <w:r>
        <w:rPr>
          <w:spacing w:val="-9"/>
          <w:sz w:val="22"/>
          <w:szCs w:val="22"/>
        </w:rPr>
        <w:t>补充，如果出现不一致的情况，以本</w:t>
      </w:r>
      <w:r>
        <w:rPr>
          <w:sz w:val="22"/>
          <w:szCs w:val="22"/>
        </w:rPr>
        <w:t xml:space="preserve"> </w:t>
      </w:r>
      <w:r>
        <w:rPr>
          <w:spacing w:val="-12"/>
          <w:sz w:val="22"/>
          <w:szCs w:val="22"/>
        </w:rPr>
        <w:t>章前附表和正文部分的规定为准。</w:t>
      </w:r>
    </w:p>
    <w:p w14:paraId="319E817A">
      <w:pPr>
        <w:spacing w:line="222" w:lineRule="auto"/>
        <w:ind w:left="399"/>
        <w:outlineLvl w:val="2"/>
        <w:rPr>
          <w:rFonts w:ascii="黑体" w:hAnsi="黑体" w:eastAsia="黑体" w:cs="黑体"/>
          <w:sz w:val="22"/>
          <w:szCs w:val="22"/>
        </w:rPr>
      </w:pPr>
      <w:bookmarkStart w:id="180" w:name="bookmark138"/>
      <w:bookmarkEnd w:id="180"/>
      <w:r>
        <w:rPr>
          <w:rFonts w:ascii="Times New Roman" w:hAnsi="Times New Roman" w:eastAsia="Times New Roman" w:cs="Times New Roman"/>
          <w:b/>
          <w:bCs/>
          <w:spacing w:val="20"/>
          <w:sz w:val="22"/>
          <w:szCs w:val="22"/>
        </w:rPr>
        <w:t>B1.</w:t>
      </w:r>
      <w:r>
        <w:rPr>
          <w:rFonts w:ascii="Times New Roman" w:hAnsi="Times New Roman" w:eastAsia="Times New Roman" w:cs="Times New Roman"/>
          <w:b/>
          <w:bCs/>
          <w:spacing w:val="1"/>
          <w:sz w:val="22"/>
          <w:szCs w:val="22"/>
        </w:rPr>
        <w:t xml:space="preserve">   </w:t>
      </w:r>
      <w:r>
        <w:rPr>
          <w:rFonts w:ascii="黑体" w:hAnsi="黑体" w:eastAsia="黑体" w:cs="黑体"/>
          <w:b/>
          <w:bCs/>
          <w:spacing w:val="20"/>
          <w:sz w:val="22"/>
          <w:szCs w:val="22"/>
        </w:rPr>
        <w:t>否决投标的条件</w:t>
      </w:r>
    </w:p>
    <w:p w14:paraId="6A8836BF">
      <w:pPr>
        <w:pStyle w:val="2"/>
        <w:spacing w:before="157" w:line="219" w:lineRule="auto"/>
        <w:ind w:left="399"/>
        <w:rPr>
          <w:sz w:val="22"/>
          <w:szCs w:val="22"/>
        </w:rPr>
      </w:pPr>
      <w:r>
        <w:rPr>
          <w:spacing w:val="-11"/>
          <w:sz w:val="22"/>
          <w:szCs w:val="22"/>
        </w:rPr>
        <w:t>投标人或其投标文件有下列情形之一的，评标委员会应当否决其投标：</w:t>
      </w:r>
    </w:p>
    <w:p w14:paraId="4C5D432A">
      <w:pPr>
        <w:pStyle w:val="2"/>
        <w:spacing w:before="169" w:line="363" w:lineRule="auto"/>
        <w:ind w:firstLine="399"/>
        <w:rPr>
          <w:sz w:val="22"/>
          <w:szCs w:val="22"/>
        </w:rPr>
      </w:pPr>
      <w:r>
        <w:rPr>
          <w:rFonts w:ascii="Times New Roman" w:hAnsi="Times New Roman" w:eastAsia="Times New Roman" w:cs="Times New Roman"/>
          <w:spacing w:val="-5"/>
          <w:sz w:val="22"/>
          <w:szCs w:val="22"/>
        </w:rPr>
        <w:t xml:space="preserve">B1.1    </w:t>
      </w:r>
      <w:r>
        <w:rPr>
          <w:spacing w:val="-5"/>
          <w:sz w:val="22"/>
          <w:szCs w:val="22"/>
        </w:rPr>
        <w:t>在形式评审、资格评审(适用于未进行资格</w:t>
      </w:r>
      <w:r>
        <w:rPr>
          <w:spacing w:val="-6"/>
          <w:sz w:val="22"/>
          <w:szCs w:val="22"/>
        </w:rPr>
        <w:t>预审的)、响应性评审中，评标委员会认定</w:t>
      </w:r>
      <w:r>
        <w:rPr>
          <w:sz w:val="22"/>
          <w:szCs w:val="22"/>
        </w:rPr>
        <w:t xml:space="preserve"> </w:t>
      </w:r>
      <w:r>
        <w:rPr>
          <w:spacing w:val="-10"/>
          <w:sz w:val="22"/>
          <w:szCs w:val="22"/>
        </w:rPr>
        <w:t>投标人的投标文件不符合评标办法前附表中规定的任何一项评审标准的。</w:t>
      </w:r>
    </w:p>
    <w:p w14:paraId="374729D3">
      <w:pPr>
        <w:pStyle w:val="2"/>
        <w:spacing w:before="5" w:line="219" w:lineRule="auto"/>
        <w:ind w:left="399"/>
        <w:rPr>
          <w:sz w:val="22"/>
          <w:szCs w:val="22"/>
        </w:rPr>
      </w:pPr>
      <w:r>
        <w:rPr>
          <w:rFonts w:ascii="Times New Roman" w:hAnsi="Times New Roman" w:eastAsia="Times New Roman" w:cs="Times New Roman"/>
          <w:spacing w:val="-7"/>
          <w:sz w:val="22"/>
          <w:szCs w:val="22"/>
        </w:rPr>
        <w:t xml:space="preserve">B1.2    </w:t>
      </w:r>
      <w:r>
        <w:rPr>
          <w:spacing w:val="-7"/>
          <w:sz w:val="22"/>
          <w:szCs w:val="22"/>
        </w:rPr>
        <w:t>不按评标委员会要求澄清、说明或补正的。</w:t>
      </w:r>
    </w:p>
    <w:p w14:paraId="61441F93">
      <w:pPr>
        <w:pStyle w:val="2"/>
        <w:spacing w:before="159" w:line="219" w:lineRule="auto"/>
        <w:ind w:left="399"/>
        <w:rPr>
          <w:sz w:val="22"/>
          <w:szCs w:val="22"/>
        </w:rPr>
      </w:pPr>
      <w:r>
        <w:rPr>
          <w:rFonts w:ascii="Times New Roman" w:hAnsi="Times New Roman" w:eastAsia="Times New Roman" w:cs="Times New Roman"/>
          <w:spacing w:val="-8"/>
          <w:sz w:val="22"/>
          <w:szCs w:val="22"/>
        </w:rPr>
        <w:t xml:space="preserve">B1.3    </w:t>
      </w:r>
      <w:r>
        <w:rPr>
          <w:spacing w:val="-8"/>
          <w:sz w:val="22"/>
          <w:szCs w:val="22"/>
        </w:rPr>
        <w:t>有串通投标、弄虚作假、行贿或有其他违法行为的。</w:t>
      </w:r>
    </w:p>
    <w:p w14:paraId="77F756D2">
      <w:pPr>
        <w:spacing w:line="249" w:lineRule="auto"/>
        <w:rPr>
          <w:rFonts w:ascii="Arial"/>
          <w:sz w:val="21"/>
        </w:rPr>
      </w:pPr>
    </w:p>
    <w:p w14:paraId="1046B6C8">
      <w:pPr>
        <w:spacing w:before="1" w:line="50" w:lineRule="exact"/>
        <w:ind w:firstLine="429"/>
      </w:pPr>
      <w:r>
        <w:rPr>
          <w:position w:val="-1"/>
        </w:rPr>
        <w:drawing>
          <wp:inline distT="0" distB="0" distL="0" distR="0">
            <wp:extent cx="260350" cy="31750"/>
            <wp:effectExtent l="0" t="0" r="0" b="0"/>
            <wp:docPr id="22" name="IM 22"/>
            <wp:cNvGraphicFramePr/>
            <a:graphic xmlns:a="http://schemas.openxmlformats.org/drawingml/2006/main">
              <a:graphicData uri="http://schemas.openxmlformats.org/drawingml/2006/picture">
                <pic:pic xmlns:pic="http://schemas.openxmlformats.org/drawingml/2006/picture">
                  <pic:nvPicPr>
                    <pic:cNvPr id="22" name="IM 22"/>
                    <pic:cNvPicPr/>
                  </pic:nvPicPr>
                  <pic:blipFill>
                    <a:blip r:embed="rId418"/>
                    <a:stretch>
                      <a:fillRect/>
                    </a:stretch>
                  </pic:blipFill>
                  <pic:spPr>
                    <a:xfrm>
                      <a:off x="0" y="0"/>
                      <a:ext cx="260388" cy="31759"/>
                    </a:xfrm>
                    <a:prstGeom prst="rect">
                      <a:avLst/>
                    </a:prstGeom>
                  </pic:spPr>
                </pic:pic>
              </a:graphicData>
            </a:graphic>
          </wp:inline>
        </w:drawing>
      </w:r>
    </w:p>
    <w:p w14:paraId="6F523AA7">
      <w:pPr>
        <w:spacing w:line="50" w:lineRule="exact"/>
        <w:sectPr>
          <w:footerReference r:id="rId66" w:type="default"/>
          <w:pgSz w:w="11910" w:h="16840"/>
          <w:pgMar w:top="1431" w:right="1515" w:bottom="1001" w:left="1460" w:header="0" w:footer="857" w:gutter="0"/>
          <w:cols w:space="720" w:num="1"/>
        </w:sectPr>
      </w:pPr>
    </w:p>
    <w:p w14:paraId="3FAD944D">
      <w:pPr>
        <w:spacing w:line="454" w:lineRule="auto"/>
        <w:rPr>
          <w:rFonts w:ascii="Arial"/>
          <w:sz w:val="21"/>
        </w:rPr>
      </w:pPr>
    </w:p>
    <w:p w14:paraId="03B17072">
      <w:pPr>
        <w:pStyle w:val="2"/>
        <w:spacing w:before="78" w:line="223" w:lineRule="auto"/>
        <w:ind w:left="3"/>
        <w:outlineLvl w:val="1"/>
        <w:rPr>
          <w:rFonts w:ascii="黑体" w:hAnsi="黑体" w:eastAsia="黑体" w:cs="黑体"/>
          <w:sz w:val="24"/>
          <w:szCs w:val="24"/>
        </w:rPr>
      </w:pPr>
      <w:bookmarkStart w:id="181" w:name="bookmark139"/>
      <w:bookmarkEnd w:id="181"/>
      <w:r>
        <w:rPr>
          <w:rFonts w:ascii="黑体" w:hAnsi="黑体" w:eastAsia="黑体" w:cs="黑体"/>
          <w:b/>
          <w:bCs/>
          <w:spacing w:val="2"/>
          <w:sz w:val="24"/>
          <w:szCs w:val="24"/>
        </w:rPr>
        <w:t>附件</w:t>
      </w:r>
      <w:r>
        <w:rPr>
          <w:b/>
          <w:bCs/>
          <w:spacing w:val="2"/>
          <w:sz w:val="24"/>
          <w:szCs w:val="24"/>
        </w:rPr>
        <w:t>C:</w:t>
      </w:r>
      <w:r>
        <w:rPr>
          <w:spacing w:val="2"/>
          <w:sz w:val="24"/>
          <w:szCs w:val="24"/>
        </w:rPr>
        <w:t xml:space="preserve"> </w:t>
      </w:r>
      <w:r>
        <w:rPr>
          <w:rFonts w:ascii="黑体" w:hAnsi="黑体" w:eastAsia="黑体" w:cs="黑体"/>
          <w:b/>
          <w:bCs/>
          <w:spacing w:val="2"/>
          <w:sz w:val="24"/>
          <w:szCs w:val="24"/>
        </w:rPr>
        <w:t>清标报告</w:t>
      </w:r>
    </w:p>
    <w:p w14:paraId="4FF3523B">
      <w:pPr>
        <w:spacing w:line="375" w:lineRule="auto"/>
        <w:rPr>
          <w:rFonts w:ascii="Arial"/>
          <w:sz w:val="21"/>
        </w:rPr>
      </w:pPr>
    </w:p>
    <w:p w14:paraId="770B11F4">
      <w:pPr>
        <w:spacing w:before="94" w:line="223" w:lineRule="auto"/>
        <w:ind w:left="3854"/>
        <w:rPr>
          <w:rFonts w:ascii="黑体" w:hAnsi="黑体" w:eastAsia="黑体" w:cs="黑体"/>
          <w:sz w:val="29"/>
          <w:szCs w:val="29"/>
        </w:rPr>
      </w:pPr>
      <w:bookmarkStart w:id="182" w:name="bookmark260"/>
      <w:bookmarkEnd w:id="182"/>
      <w:r>
        <w:rPr>
          <w:rFonts w:ascii="黑体" w:hAnsi="黑体" w:eastAsia="黑体" w:cs="黑体"/>
          <w:b/>
          <w:bCs/>
          <w:spacing w:val="1"/>
          <w:sz w:val="29"/>
          <w:szCs w:val="29"/>
        </w:rPr>
        <w:t>清标报告</w:t>
      </w:r>
    </w:p>
    <w:p w14:paraId="5CD5D2E4">
      <w:pPr>
        <w:spacing w:line="465" w:lineRule="auto"/>
        <w:rPr>
          <w:rFonts w:ascii="Arial"/>
          <w:sz w:val="21"/>
        </w:rPr>
      </w:pPr>
    </w:p>
    <w:p w14:paraId="15F716F4">
      <w:pPr>
        <w:pStyle w:val="2"/>
        <w:spacing w:before="78" w:line="222" w:lineRule="auto"/>
        <w:ind w:left="413"/>
        <w:outlineLvl w:val="2"/>
        <w:rPr>
          <w:rFonts w:ascii="黑体" w:hAnsi="黑体" w:eastAsia="黑体" w:cs="黑体"/>
          <w:sz w:val="24"/>
          <w:szCs w:val="24"/>
        </w:rPr>
      </w:pPr>
      <w:bookmarkStart w:id="183" w:name="bookmark140"/>
      <w:bookmarkEnd w:id="183"/>
      <w:r>
        <w:rPr>
          <w:b/>
          <w:bCs/>
          <w:spacing w:val="-6"/>
          <w:sz w:val="24"/>
          <w:szCs w:val="24"/>
        </w:rPr>
        <w:t>CO.</w:t>
      </w:r>
      <w:r>
        <w:rPr>
          <w:spacing w:val="-57"/>
          <w:sz w:val="24"/>
          <w:szCs w:val="24"/>
        </w:rPr>
        <w:t xml:space="preserve"> </w:t>
      </w:r>
      <w:r>
        <w:rPr>
          <w:rFonts w:ascii="黑体" w:hAnsi="黑体" w:eastAsia="黑体" w:cs="黑体"/>
          <w:b/>
          <w:bCs/>
          <w:spacing w:val="-6"/>
          <w:sz w:val="24"/>
          <w:szCs w:val="24"/>
        </w:rPr>
        <w:t>总</w:t>
      </w:r>
      <w:r>
        <w:rPr>
          <w:rFonts w:ascii="黑体" w:hAnsi="黑体" w:eastAsia="黑体" w:cs="黑体"/>
          <w:spacing w:val="-6"/>
          <w:sz w:val="24"/>
          <w:szCs w:val="24"/>
        </w:rPr>
        <w:t xml:space="preserve">  </w:t>
      </w:r>
      <w:r>
        <w:rPr>
          <w:rFonts w:ascii="黑体" w:hAnsi="黑体" w:eastAsia="黑体" w:cs="黑体"/>
          <w:b/>
          <w:bCs/>
          <w:spacing w:val="-6"/>
          <w:sz w:val="24"/>
          <w:szCs w:val="24"/>
        </w:rPr>
        <w:t>则</w:t>
      </w:r>
    </w:p>
    <w:p w14:paraId="01FF0557">
      <w:pPr>
        <w:pStyle w:val="2"/>
        <w:spacing w:before="164" w:line="345" w:lineRule="auto"/>
        <w:ind w:right="91" w:firstLine="409"/>
        <w:rPr>
          <w:sz w:val="20"/>
          <w:szCs w:val="20"/>
        </w:rPr>
      </w:pPr>
      <w:r>
        <w:rPr>
          <w:spacing w:val="12"/>
          <w:sz w:val="20"/>
          <w:szCs w:val="20"/>
        </w:rPr>
        <w:t>本附件是本章“评标办法”的组成部分，评标委员会在评标准备和初步评审阶段对投</w:t>
      </w:r>
      <w:r>
        <w:rPr>
          <w:spacing w:val="11"/>
          <w:sz w:val="20"/>
          <w:szCs w:val="20"/>
        </w:rPr>
        <w:t>标文件</w:t>
      </w:r>
      <w:r>
        <w:rPr>
          <w:sz w:val="20"/>
          <w:szCs w:val="20"/>
        </w:rPr>
        <w:t xml:space="preserve"> </w:t>
      </w:r>
      <w:r>
        <w:rPr>
          <w:spacing w:val="9"/>
          <w:sz w:val="20"/>
          <w:szCs w:val="20"/>
        </w:rPr>
        <w:t>进行基础性数据分析和整理工作(清标)时，适用本附件所规定的办法。</w:t>
      </w:r>
    </w:p>
    <w:p w14:paraId="6C66415D">
      <w:pPr>
        <w:spacing w:line="221" w:lineRule="auto"/>
        <w:ind w:left="409"/>
        <w:outlineLvl w:val="2"/>
        <w:rPr>
          <w:rFonts w:ascii="黑体" w:hAnsi="黑体" w:eastAsia="黑体" w:cs="黑体"/>
          <w:sz w:val="24"/>
          <w:szCs w:val="24"/>
        </w:rPr>
      </w:pPr>
      <w:bookmarkStart w:id="184" w:name="bookmark141"/>
      <w:bookmarkEnd w:id="184"/>
      <w:r>
        <w:rPr>
          <w:rFonts w:ascii="Times New Roman" w:hAnsi="Times New Roman" w:eastAsia="Times New Roman" w:cs="Times New Roman"/>
          <w:b/>
          <w:bCs/>
          <w:spacing w:val="-1"/>
          <w:sz w:val="24"/>
          <w:szCs w:val="24"/>
        </w:rPr>
        <w:t>C1.</w:t>
      </w:r>
      <w:r>
        <w:rPr>
          <w:rFonts w:ascii="Times New Roman" w:hAnsi="Times New Roman" w:eastAsia="Times New Roman" w:cs="Times New Roman"/>
          <w:b/>
          <w:bCs/>
          <w:spacing w:val="-6"/>
          <w:sz w:val="24"/>
          <w:szCs w:val="24"/>
        </w:rPr>
        <w:t xml:space="preserve"> </w:t>
      </w:r>
      <w:r>
        <w:rPr>
          <w:rFonts w:ascii="黑体" w:hAnsi="黑体" w:eastAsia="黑体" w:cs="黑体"/>
          <w:b/>
          <w:bCs/>
          <w:spacing w:val="-1"/>
          <w:sz w:val="24"/>
          <w:szCs w:val="24"/>
        </w:rPr>
        <w:t>清标程序</w:t>
      </w:r>
    </w:p>
    <w:p w14:paraId="1BB46F4A">
      <w:pPr>
        <w:pStyle w:val="2"/>
        <w:spacing w:before="183" w:line="397" w:lineRule="auto"/>
        <w:ind w:right="84" w:firstLine="409"/>
        <w:rPr>
          <w:sz w:val="20"/>
          <w:szCs w:val="20"/>
        </w:rPr>
      </w:pPr>
      <w:r>
        <w:rPr>
          <w:spacing w:val="12"/>
          <w:sz w:val="20"/>
          <w:szCs w:val="20"/>
        </w:rPr>
        <w:t>投标人的投标文件在本章“评标办法”规定的“初步评审”阶段，不存在应当否决的情形的</w:t>
      </w:r>
      <w:r>
        <w:rPr>
          <w:spacing w:val="4"/>
          <w:sz w:val="20"/>
          <w:szCs w:val="20"/>
        </w:rPr>
        <w:t xml:space="preserve"> </w:t>
      </w:r>
      <w:r>
        <w:rPr>
          <w:spacing w:val="7"/>
          <w:sz w:val="20"/>
          <w:szCs w:val="20"/>
        </w:rPr>
        <w:t>投标应当进入清标程序。清标程序包括：</w:t>
      </w:r>
    </w:p>
    <w:p w14:paraId="6CF0AECC">
      <w:pPr>
        <w:pStyle w:val="2"/>
        <w:spacing w:before="1" w:line="217" w:lineRule="auto"/>
        <w:ind w:left="409"/>
        <w:rPr>
          <w:sz w:val="20"/>
          <w:szCs w:val="20"/>
        </w:rPr>
      </w:pPr>
      <w:r>
        <w:rPr>
          <w:spacing w:val="6"/>
          <w:sz w:val="20"/>
          <w:szCs w:val="20"/>
        </w:rPr>
        <w:t>C1.1 已标价工程量清单符合性检查</w:t>
      </w:r>
    </w:p>
    <w:p w14:paraId="638242D7">
      <w:pPr>
        <w:pStyle w:val="2"/>
        <w:spacing w:before="174" w:line="218" w:lineRule="auto"/>
        <w:ind w:left="409"/>
        <w:rPr>
          <w:sz w:val="20"/>
          <w:szCs w:val="20"/>
        </w:rPr>
      </w:pPr>
      <w:r>
        <w:rPr>
          <w:spacing w:val="7"/>
          <w:sz w:val="20"/>
          <w:szCs w:val="20"/>
        </w:rPr>
        <w:t>C1.2</w:t>
      </w:r>
      <w:r>
        <w:rPr>
          <w:spacing w:val="-6"/>
          <w:sz w:val="20"/>
          <w:szCs w:val="20"/>
        </w:rPr>
        <w:t xml:space="preserve"> </w:t>
      </w:r>
      <w:r>
        <w:rPr>
          <w:spacing w:val="7"/>
          <w:sz w:val="20"/>
          <w:szCs w:val="20"/>
        </w:rPr>
        <w:t>已标价工程量清单算术错误修正</w:t>
      </w:r>
    </w:p>
    <w:p w14:paraId="2ACFE792">
      <w:pPr>
        <w:pStyle w:val="2"/>
        <w:spacing w:before="154" w:line="218" w:lineRule="auto"/>
        <w:ind w:left="409"/>
        <w:rPr>
          <w:sz w:val="20"/>
          <w:szCs w:val="20"/>
        </w:rPr>
      </w:pPr>
      <w:r>
        <w:rPr>
          <w:spacing w:val="12"/>
          <w:sz w:val="20"/>
          <w:szCs w:val="20"/>
        </w:rPr>
        <w:t>C1.3已标价工程量清单合理性分析</w:t>
      </w:r>
    </w:p>
    <w:p w14:paraId="2B192430">
      <w:pPr>
        <w:spacing w:before="133" w:line="222" w:lineRule="auto"/>
        <w:ind w:left="409"/>
        <w:outlineLvl w:val="2"/>
        <w:rPr>
          <w:rFonts w:ascii="黑体" w:hAnsi="黑体" w:eastAsia="黑体" w:cs="黑体"/>
          <w:sz w:val="24"/>
          <w:szCs w:val="24"/>
        </w:rPr>
      </w:pPr>
      <w:bookmarkStart w:id="185" w:name="bookmark142"/>
      <w:bookmarkEnd w:id="185"/>
      <w:r>
        <w:rPr>
          <w:rFonts w:ascii="Times New Roman" w:hAnsi="Times New Roman" w:eastAsia="Times New Roman" w:cs="Times New Roman"/>
          <w:b/>
          <w:bCs/>
          <w:spacing w:val="-2"/>
          <w:sz w:val="24"/>
          <w:szCs w:val="24"/>
        </w:rPr>
        <w:t xml:space="preserve">C2. </w:t>
      </w:r>
      <w:r>
        <w:rPr>
          <w:rFonts w:ascii="黑体" w:hAnsi="黑体" w:eastAsia="黑体" w:cs="黑体"/>
          <w:b/>
          <w:bCs/>
          <w:spacing w:val="-2"/>
          <w:sz w:val="24"/>
          <w:szCs w:val="24"/>
        </w:rPr>
        <w:t>清标内容</w:t>
      </w:r>
    </w:p>
    <w:p w14:paraId="1001DD17">
      <w:pPr>
        <w:pStyle w:val="2"/>
        <w:spacing w:before="151" w:line="369" w:lineRule="auto"/>
        <w:ind w:right="92" w:firstLine="409"/>
        <w:jc w:val="both"/>
        <w:rPr>
          <w:sz w:val="20"/>
          <w:szCs w:val="20"/>
        </w:rPr>
      </w:pPr>
      <w:r>
        <w:rPr>
          <w:spacing w:val="12"/>
          <w:sz w:val="20"/>
          <w:szCs w:val="20"/>
        </w:rPr>
        <w:t>评标委员会在不改变投标人投标文件实质性内容的前提下，对投标文件已标价工程量</w:t>
      </w:r>
      <w:r>
        <w:rPr>
          <w:spacing w:val="11"/>
          <w:sz w:val="20"/>
          <w:szCs w:val="20"/>
        </w:rPr>
        <w:t>清单进</w:t>
      </w:r>
      <w:r>
        <w:rPr>
          <w:sz w:val="20"/>
          <w:szCs w:val="20"/>
        </w:rPr>
        <w:t xml:space="preserve"> </w:t>
      </w:r>
      <w:r>
        <w:rPr>
          <w:spacing w:val="12"/>
          <w:sz w:val="20"/>
          <w:szCs w:val="20"/>
        </w:rPr>
        <w:t>行符合性检查、算术错误修正，对其报价进行合理性分</w:t>
      </w:r>
      <w:r>
        <w:rPr>
          <w:spacing w:val="11"/>
          <w:sz w:val="20"/>
          <w:szCs w:val="20"/>
        </w:rPr>
        <w:t>析，并形成清标报告。清标报告应当包括</w:t>
      </w:r>
      <w:r>
        <w:rPr>
          <w:sz w:val="20"/>
          <w:szCs w:val="20"/>
        </w:rPr>
        <w:t xml:space="preserve"> </w:t>
      </w:r>
      <w:r>
        <w:rPr>
          <w:spacing w:val="-4"/>
          <w:sz w:val="20"/>
          <w:szCs w:val="20"/>
        </w:rPr>
        <w:t>以下内容：</w:t>
      </w:r>
    </w:p>
    <w:p w14:paraId="4F1099F3">
      <w:pPr>
        <w:pStyle w:val="2"/>
        <w:spacing w:line="221" w:lineRule="auto"/>
        <w:ind w:left="830"/>
        <w:outlineLvl w:val="2"/>
        <w:rPr>
          <w:rFonts w:ascii="黑体" w:hAnsi="黑体" w:eastAsia="黑体" w:cs="黑体"/>
          <w:sz w:val="20"/>
          <w:szCs w:val="20"/>
        </w:rPr>
      </w:pPr>
      <w:bookmarkStart w:id="186" w:name="bookmark143"/>
      <w:bookmarkEnd w:id="186"/>
      <w:r>
        <w:rPr>
          <w:spacing w:val="6"/>
          <w:sz w:val="20"/>
          <w:szCs w:val="20"/>
        </w:rPr>
        <w:t>C2</w:t>
      </w:r>
      <w:r>
        <w:rPr>
          <w:rFonts w:ascii="黑体" w:hAnsi="黑体" w:eastAsia="黑体" w:cs="黑体"/>
          <w:b/>
          <w:bCs/>
          <w:spacing w:val="6"/>
          <w:sz w:val="20"/>
          <w:szCs w:val="20"/>
        </w:rPr>
        <w:t>.1</w:t>
      </w:r>
      <w:r>
        <w:rPr>
          <w:rFonts w:ascii="黑体" w:hAnsi="黑体" w:eastAsia="黑体" w:cs="黑体"/>
          <w:spacing w:val="-9"/>
          <w:sz w:val="20"/>
          <w:szCs w:val="20"/>
        </w:rPr>
        <w:t xml:space="preserve"> </w:t>
      </w:r>
      <w:r>
        <w:rPr>
          <w:rFonts w:ascii="黑体" w:hAnsi="黑体" w:eastAsia="黑体" w:cs="黑体"/>
          <w:b/>
          <w:bCs/>
          <w:spacing w:val="6"/>
          <w:sz w:val="20"/>
          <w:szCs w:val="20"/>
        </w:rPr>
        <w:t>已标价工程量清单符合性检查</w:t>
      </w:r>
    </w:p>
    <w:p w14:paraId="05109807">
      <w:pPr>
        <w:pStyle w:val="2"/>
        <w:spacing w:before="162" w:line="372" w:lineRule="auto"/>
        <w:ind w:right="110" w:firstLine="409"/>
        <w:rPr>
          <w:sz w:val="20"/>
          <w:szCs w:val="20"/>
        </w:rPr>
      </w:pPr>
      <w:r>
        <w:rPr>
          <w:spacing w:val="12"/>
          <w:sz w:val="20"/>
          <w:szCs w:val="20"/>
        </w:rPr>
        <w:t>已标价工程量清单符合性检查主要是检查各</w:t>
      </w:r>
      <w:r>
        <w:rPr>
          <w:spacing w:val="11"/>
          <w:sz w:val="20"/>
          <w:szCs w:val="20"/>
        </w:rPr>
        <w:t>投标人编制的已标价工程量清单编制的规范性。</w:t>
      </w:r>
      <w:r>
        <w:rPr>
          <w:sz w:val="20"/>
          <w:szCs w:val="20"/>
        </w:rPr>
        <w:t xml:space="preserve"> </w:t>
      </w:r>
      <w:r>
        <w:rPr>
          <w:spacing w:val="5"/>
          <w:sz w:val="20"/>
          <w:szCs w:val="20"/>
        </w:rPr>
        <w:t>并用使用附表</w:t>
      </w:r>
      <w:r>
        <w:rPr>
          <w:spacing w:val="-47"/>
          <w:sz w:val="20"/>
          <w:szCs w:val="20"/>
        </w:rPr>
        <w:t xml:space="preserve"> </w:t>
      </w:r>
      <w:r>
        <w:rPr>
          <w:rFonts w:ascii="Times New Roman" w:hAnsi="Times New Roman" w:eastAsia="Times New Roman" w:cs="Times New Roman"/>
          <w:spacing w:val="5"/>
          <w:sz w:val="20"/>
          <w:szCs w:val="20"/>
        </w:rPr>
        <w:t>C-1</w:t>
      </w:r>
      <w:r>
        <w:rPr>
          <w:rFonts w:ascii="Times New Roman" w:hAnsi="Times New Roman" w:eastAsia="Times New Roman" w:cs="Times New Roman"/>
          <w:spacing w:val="47"/>
          <w:w w:val="101"/>
          <w:sz w:val="20"/>
          <w:szCs w:val="20"/>
        </w:rPr>
        <w:t xml:space="preserve"> </w:t>
      </w:r>
      <w:r>
        <w:rPr>
          <w:spacing w:val="5"/>
          <w:sz w:val="20"/>
          <w:szCs w:val="20"/>
        </w:rPr>
        <w:t>至附表</w:t>
      </w:r>
      <w:r>
        <w:rPr>
          <w:spacing w:val="-60"/>
          <w:sz w:val="20"/>
          <w:szCs w:val="20"/>
        </w:rPr>
        <w:t xml:space="preserve"> </w:t>
      </w:r>
      <w:r>
        <w:rPr>
          <w:rFonts w:ascii="Times New Roman" w:hAnsi="Times New Roman" w:eastAsia="Times New Roman" w:cs="Times New Roman"/>
          <w:spacing w:val="5"/>
          <w:sz w:val="20"/>
          <w:szCs w:val="20"/>
        </w:rPr>
        <w:t>C-6</w:t>
      </w:r>
      <w:r>
        <w:rPr>
          <w:rFonts w:ascii="Times New Roman" w:hAnsi="Times New Roman" w:eastAsia="Times New Roman" w:cs="Times New Roman"/>
          <w:spacing w:val="38"/>
          <w:sz w:val="20"/>
          <w:szCs w:val="20"/>
        </w:rPr>
        <w:t xml:space="preserve"> </w:t>
      </w:r>
      <w:r>
        <w:rPr>
          <w:spacing w:val="5"/>
          <w:sz w:val="20"/>
          <w:szCs w:val="20"/>
        </w:rPr>
        <w:t>记录检查结果。</w:t>
      </w:r>
    </w:p>
    <w:p w14:paraId="7C29F946">
      <w:pPr>
        <w:pStyle w:val="2"/>
        <w:spacing w:before="14" w:line="218" w:lineRule="auto"/>
        <w:ind w:left="409"/>
        <w:rPr>
          <w:sz w:val="20"/>
          <w:szCs w:val="20"/>
        </w:rPr>
      </w:pPr>
      <w:r>
        <w:rPr>
          <w:rFonts w:ascii="Times New Roman" w:hAnsi="Times New Roman" w:eastAsia="Times New Roman" w:cs="Times New Roman"/>
          <w:spacing w:val="6"/>
          <w:sz w:val="20"/>
          <w:szCs w:val="20"/>
        </w:rPr>
        <w:t>C2.1.1</w:t>
      </w:r>
      <w:r>
        <w:rPr>
          <w:rFonts w:ascii="Times New Roman" w:hAnsi="Times New Roman" w:eastAsia="Times New Roman" w:cs="Times New Roman"/>
          <w:spacing w:val="27"/>
          <w:w w:val="101"/>
          <w:sz w:val="20"/>
          <w:szCs w:val="20"/>
        </w:rPr>
        <w:t xml:space="preserve">  </w:t>
      </w:r>
      <w:r>
        <w:rPr>
          <w:spacing w:val="6"/>
          <w:sz w:val="20"/>
          <w:szCs w:val="20"/>
        </w:rPr>
        <w:t>分部分项工程和单价措施项目符合性检查：</w:t>
      </w:r>
    </w:p>
    <w:p w14:paraId="4436B23D">
      <w:pPr>
        <w:pStyle w:val="2"/>
        <w:spacing w:before="165" w:line="369" w:lineRule="auto"/>
        <w:ind w:right="51" w:firstLine="409"/>
        <w:rPr>
          <w:sz w:val="20"/>
          <w:szCs w:val="20"/>
        </w:rPr>
      </w:pPr>
      <w:r>
        <w:rPr>
          <w:spacing w:val="18"/>
          <w:sz w:val="20"/>
          <w:szCs w:val="20"/>
        </w:rPr>
        <w:t>即检查各投标人已标价的工程量清单中分部分项工程和单价措施项目是否存</w:t>
      </w:r>
      <w:r>
        <w:rPr>
          <w:spacing w:val="17"/>
          <w:sz w:val="20"/>
          <w:szCs w:val="20"/>
        </w:rPr>
        <w:t>在项目编码错</w:t>
      </w:r>
      <w:r>
        <w:rPr>
          <w:sz w:val="20"/>
          <w:szCs w:val="20"/>
        </w:rPr>
        <w:t xml:space="preserve"> </w:t>
      </w:r>
      <w:r>
        <w:rPr>
          <w:spacing w:val="11"/>
          <w:sz w:val="20"/>
          <w:szCs w:val="20"/>
        </w:rPr>
        <w:t>误、项目名称错误、项目特征描述错误、计量单位错误、工程量错误，是否存在未填报的项目、</w:t>
      </w:r>
      <w:r>
        <w:rPr>
          <w:spacing w:val="7"/>
          <w:sz w:val="20"/>
          <w:szCs w:val="20"/>
        </w:rPr>
        <w:t xml:space="preserve"> </w:t>
      </w:r>
      <w:r>
        <w:rPr>
          <w:spacing w:val="17"/>
          <w:sz w:val="20"/>
          <w:szCs w:val="20"/>
        </w:rPr>
        <w:t>是否存多填报的项目，已标价清单中相应材料、设备材料设备与材料(工程设备)暂估或发包人</w:t>
      </w:r>
      <w:r>
        <w:rPr>
          <w:spacing w:val="13"/>
          <w:sz w:val="20"/>
          <w:szCs w:val="20"/>
        </w:rPr>
        <w:t xml:space="preserve"> </w:t>
      </w:r>
      <w:r>
        <w:rPr>
          <w:spacing w:val="8"/>
          <w:sz w:val="20"/>
          <w:szCs w:val="20"/>
        </w:rPr>
        <w:t>提供材料和工程设备单价是否一致。</w:t>
      </w:r>
    </w:p>
    <w:p w14:paraId="7BD17D9E">
      <w:pPr>
        <w:pStyle w:val="2"/>
        <w:spacing w:before="1" w:line="217" w:lineRule="auto"/>
        <w:ind w:left="409"/>
        <w:rPr>
          <w:sz w:val="20"/>
          <w:szCs w:val="20"/>
        </w:rPr>
      </w:pPr>
      <w:r>
        <w:rPr>
          <w:spacing w:val="3"/>
          <w:sz w:val="20"/>
          <w:szCs w:val="20"/>
        </w:rPr>
        <w:t>C2.1.2 总价措施项目符合性检查：</w:t>
      </w:r>
    </w:p>
    <w:p w14:paraId="6F3DA4A8">
      <w:pPr>
        <w:pStyle w:val="2"/>
        <w:spacing w:before="153" w:line="384" w:lineRule="auto"/>
        <w:ind w:firstLine="409"/>
        <w:rPr>
          <w:sz w:val="20"/>
          <w:szCs w:val="20"/>
        </w:rPr>
      </w:pPr>
      <w:r>
        <w:rPr>
          <w:spacing w:val="9"/>
          <w:sz w:val="20"/>
          <w:szCs w:val="20"/>
        </w:rPr>
        <w:t>即检查各投标人已标价的工程量清单中总价措施项目是否存在项目编码错误、项目名称错误、</w:t>
      </w:r>
      <w:r>
        <w:rPr>
          <w:sz w:val="20"/>
          <w:szCs w:val="20"/>
        </w:rPr>
        <w:t xml:space="preserve"> </w:t>
      </w:r>
      <w:r>
        <w:rPr>
          <w:spacing w:val="9"/>
          <w:sz w:val="20"/>
          <w:szCs w:val="20"/>
        </w:rPr>
        <w:t>计算基础错误、安全文明施工费的取费费率是否存在错误。</w:t>
      </w:r>
    </w:p>
    <w:p w14:paraId="2151622A">
      <w:pPr>
        <w:pStyle w:val="2"/>
        <w:spacing w:before="1" w:line="219" w:lineRule="auto"/>
        <w:ind w:left="409"/>
        <w:rPr>
          <w:sz w:val="20"/>
          <w:szCs w:val="20"/>
        </w:rPr>
      </w:pPr>
      <w:r>
        <w:rPr>
          <w:spacing w:val="5"/>
          <w:sz w:val="20"/>
          <w:szCs w:val="20"/>
        </w:rPr>
        <w:t>C2.1.3 其他项目符合性检查</w:t>
      </w:r>
    </w:p>
    <w:p w14:paraId="4C1F44BD">
      <w:pPr>
        <w:pStyle w:val="2"/>
        <w:spacing w:before="151" w:line="218" w:lineRule="auto"/>
        <w:ind w:left="409"/>
        <w:rPr>
          <w:sz w:val="20"/>
          <w:szCs w:val="20"/>
        </w:rPr>
      </w:pPr>
      <w:r>
        <w:rPr>
          <w:spacing w:val="9"/>
          <w:sz w:val="20"/>
          <w:szCs w:val="20"/>
        </w:rPr>
        <w:t>即检查各投标人已标价的工程量清单中其他项目是否存在项目名称错误、金额错误。包括：</w:t>
      </w:r>
    </w:p>
    <w:p w14:paraId="4BD3A17F">
      <w:pPr>
        <w:pStyle w:val="2"/>
        <w:spacing w:before="166" w:line="371" w:lineRule="auto"/>
        <w:ind w:firstLine="409"/>
        <w:rPr>
          <w:sz w:val="20"/>
          <w:szCs w:val="20"/>
        </w:rPr>
      </w:pPr>
      <w:r>
        <w:rPr>
          <w:spacing w:val="9"/>
          <w:sz w:val="20"/>
          <w:szCs w:val="20"/>
        </w:rPr>
        <w:t>检查暂列金是否存在项目名称错误、计量单位错误、暂定金额错误、是否存在未填报的项目、</w:t>
      </w:r>
      <w:r>
        <w:rPr>
          <w:sz w:val="20"/>
          <w:szCs w:val="20"/>
        </w:rPr>
        <w:t xml:space="preserve"> </w:t>
      </w:r>
      <w:r>
        <w:rPr>
          <w:spacing w:val="7"/>
          <w:sz w:val="20"/>
          <w:szCs w:val="20"/>
        </w:rPr>
        <w:t>是否存多填报的项目。</w:t>
      </w:r>
    </w:p>
    <w:p w14:paraId="6DBBAD5F">
      <w:pPr>
        <w:pStyle w:val="2"/>
        <w:spacing w:before="4" w:line="218" w:lineRule="auto"/>
        <w:ind w:left="409"/>
        <w:rPr>
          <w:sz w:val="20"/>
          <w:szCs w:val="20"/>
        </w:rPr>
      </w:pPr>
      <w:r>
        <w:rPr>
          <w:spacing w:val="22"/>
          <w:sz w:val="20"/>
          <w:szCs w:val="20"/>
        </w:rPr>
        <w:t>检查材料(工程设备)暂估是否存在材料(</w:t>
      </w:r>
      <w:r>
        <w:rPr>
          <w:spacing w:val="21"/>
          <w:sz w:val="20"/>
          <w:szCs w:val="20"/>
        </w:rPr>
        <w:t>设备)名称、规格、型号错误、计量单位错误、</w:t>
      </w:r>
    </w:p>
    <w:p w14:paraId="6B10C8D3">
      <w:pPr>
        <w:spacing w:line="218" w:lineRule="auto"/>
        <w:rPr>
          <w:sz w:val="20"/>
          <w:szCs w:val="20"/>
        </w:rPr>
        <w:sectPr>
          <w:footerReference r:id="rId67" w:type="default"/>
          <w:pgSz w:w="11910" w:h="16840"/>
          <w:pgMar w:top="1431" w:right="1469" w:bottom="1029" w:left="1460" w:header="0" w:footer="849" w:gutter="0"/>
          <w:cols w:space="720" w:num="1"/>
        </w:sectPr>
      </w:pPr>
    </w:p>
    <w:p w14:paraId="0AE29645">
      <w:pPr>
        <w:spacing w:line="335" w:lineRule="auto"/>
        <w:rPr>
          <w:rFonts w:ascii="Arial"/>
          <w:sz w:val="21"/>
        </w:rPr>
      </w:pPr>
    </w:p>
    <w:p w14:paraId="194FFAF0">
      <w:pPr>
        <w:pStyle w:val="2"/>
        <w:spacing w:before="68" w:line="218" w:lineRule="auto"/>
        <w:rPr>
          <w:sz w:val="21"/>
          <w:szCs w:val="21"/>
        </w:rPr>
      </w:pPr>
      <w:bookmarkStart w:id="187" w:name="bookmark261"/>
      <w:bookmarkEnd w:id="187"/>
      <w:r>
        <w:rPr>
          <w:spacing w:val="-1"/>
          <w:sz w:val="21"/>
          <w:szCs w:val="21"/>
        </w:rPr>
        <w:t>数量错误、暂估单价错误、是否存在未填报的项目、是否存多填报的项目。</w:t>
      </w:r>
    </w:p>
    <w:p w14:paraId="791F141B">
      <w:pPr>
        <w:pStyle w:val="2"/>
        <w:spacing w:before="161" w:line="348" w:lineRule="auto"/>
        <w:ind w:right="95" w:firstLine="409"/>
        <w:rPr>
          <w:sz w:val="21"/>
          <w:szCs w:val="21"/>
        </w:rPr>
      </w:pPr>
      <w:r>
        <w:rPr>
          <w:spacing w:val="2"/>
          <w:sz w:val="21"/>
          <w:szCs w:val="21"/>
        </w:rPr>
        <w:t>检查专业工程暂估是否存在工程名称错误、工程内容错误、暂估金额错误，是否存在未填报</w:t>
      </w:r>
      <w:r>
        <w:rPr>
          <w:spacing w:val="9"/>
          <w:sz w:val="21"/>
          <w:szCs w:val="21"/>
        </w:rPr>
        <w:t xml:space="preserve"> </w:t>
      </w:r>
      <w:r>
        <w:rPr>
          <w:spacing w:val="-2"/>
          <w:sz w:val="21"/>
          <w:szCs w:val="21"/>
        </w:rPr>
        <w:t>的项目、是否存多填报的项目。</w:t>
      </w:r>
    </w:p>
    <w:p w14:paraId="008982B8">
      <w:pPr>
        <w:pStyle w:val="2"/>
        <w:spacing w:before="2" w:line="350" w:lineRule="auto"/>
        <w:ind w:right="95" w:firstLine="409"/>
        <w:rPr>
          <w:sz w:val="21"/>
          <w:szCs w:val="21"/>
        </w:rPr>
      </w:pPr>
      <w:r>
        <w:rPr>
          <w:spacing w:val="2"/>
          <w:sz w:val="21"/>
          <w:szCs w:val="21"/>
        </w:rPr>
        <w:t>检查计日工是否存在项目名称错误、暂定数量错误，是否存在未填报的项目、是否存多填报</w:t>
      </w:r>
      <w:r>
        <w:rPr>
          <w:spacing w:val="9"/>
          <w:sz w:val="21"/>
          <w:szCs w:val="21"/>
        </w:rPr>
        <w:t xml:space="preserve"> </w:t>
      </w:r>
      <w:r>
        <w:rPr>
          <w:spacing w:val="-5"/>
          <w:sz w:val="21"/>
          <w:szCs w:val="21"/>
        </w:rPr>
        <w:t>的项目。</w:t>
      </w:r>
    </w:p>
    <w:p w14:paraId="07082273">
      <w:pPr>
        <w:pStyle w:val="2"/>
        <w:spacing w:before="1" w:line="365" w:lineRule="auto"/>
        <w:ind w:right="93" w:firstLine="409"/>
        <w:rPr>
          <w:sz w:val="21"/>
          <w:szCs w:val="21"/>
        </w:rPr>
      </w:pPr>
      <w:r>
        <w:rPr>
          <w:spacing w:val="2"/>
          <w:sz w:val="21"/>
          <w:szCs w:val="21"/>
        </w:rPr>
        <w:t>检查总承包服务费是否存工程名称错误、项目价值错误、服务内容错误、计算基础错误、在</w:t>
      </w:r>
      <w:r>
        <w:rPr>
          <w:spacing w:val="10"/>
          <w:sz w:val="21"/>
          <w:szCs w:val="21"/>
        </w:rPr>
        <w:t xml:space="preserve"> </w:t>
      </w:r>
      <w:r>
        <w:rPr>
          <w:spacing w:val="-2"/>
          <w:sz w:val="21"/>
          <w:szCs w:val="21"/>
        </w:rPr>
        <w:t>是否存在未填报的项目、是否存多填报的项目。</w:t>
      </w:r>
    </w:p>
    <w:p w14:paraId="7B1C7F6C">
      <w:pPr>
        <w:pStyle w:val="2"/>
        <w:spacing w:line="219" w:lineRule="auto"/>
        <w:ind w:left="409"/>
        <w:rPr>
          <w:sz w:val="21"/>
          <w:szCs w:val="21"/>
        </w:rPr>
      </w:pPr>
      <w:r>
        <w:rPr>
          <w:spacing w:val="-1"/>
          <w:sz w:val="21"/>
          <w:szCs w:val="21"/>
        </w:rPr>
        <w:t>C2.1.4</w:t>
      </w:r>
      <w:r>
        <w:rPr>
          <w:spacing w:val="-37"/>
          <w:sz w:val="21"/>
          <w:szCs w:val="21"/>
        </w:rPr>
        <w:t xml:space="preserve"> </w:t>
      </w:r>
      <w:r>
        <w:rPr>
          <w:spacing w:val="-1"/>
          <w:sz w:val="21"/>
          <w:szCs w:val="21"/>
        </w:rPr>
        <w:t>规费、税金项目符合性检查</w:t>
      </w:r>
    </w:p>
    <w:p w14:paraId="359E78A0">
      <w:pPr>
        <w:pStyle w:val="2"/>
        <w:spacing w:before="128" w:line="358" w:lineRule="auto"/>
        <w:ind w:firstLine="409"/>
        <w:rPr>
          <w:sz w:val="21"/>
          <w:szCs w:val="21"/>
        </w:rPr>
      </w:pPr>
      <w:r>
        <w:rPr>
          <w:spacing w:val="1"/>
          <w:sz w:val="21"/>
          <w:szCs w:val="21"/>
        </w:rPr>
        <w:t>即检查各投标人已标价的工程量清单中规费、税金项目是否存在项目名称错误、计税方法错</w:t>
      </w:r>
      <w:r>
        <w:rPr>
          <w:spacing w:val="8"/>
          <w:sz w:val="21"/>
          <w:szCs w:val="21"/>
        </w:rPr>
        <w:t xml:space="preserve">  </w:t>
      </w:r>
      <w:r>
        <w:rPr>
          <w:spacing w:val="6"/>
          <w:sz w:val="21"/>
          <w:szCs w:val="21"/>
        </w:rPr>
        <w:t>误、计算基础错误、计算基数错误、费率(%)错误。(税金定义见第五章工程量清单第3.1.8项，</w:t>
      </w:r>
      <w:r>
        <w:rPr>
          <w:spacing w:val="2"/>
          <w:sz w:val="21"/>
          <w:szCs w:val="21"/>
        </w:rPr>
        <w:t xml:space="preserve"> </w:t>
      </w:r>
      <w:r>
        <w:rPr>
          <w:spacing w:val="10"/>
          <w:sz w:val="21"/>
          <w:szCs w:val="21"/>
        </w:rPr>
        <w:t>下同)</w:t>
      </w:r>
    </w:p>
    <w:p w14:paraId="23227A41">
      <w:pPr>
        <w:pStyle w:val="2"/>
        <w:spacing w:line="218" w:lineRule="auto"/>
        <w:ind w:left="409"/>
        <w:rPr>
          <w:sz w:val="21"/>
          <w:szCs w:val="21"/>
        </w:rPr>
      </w:pPr>
      <w:r>
        <w:rPr>
          <w:sz w:val="21"/>
          <w:szCs w:val="21"/>
        </w:rPr>
        <w:t>C2.1.5</w:t>
      </w:r>
      <w:r>
        <w:rPr>
          <w:spacing w:val="-26"/>
          <w:sz w:val="21"/>
          <w:szCs w:val="21"/>
        </w:rPr>
        <w:t xml:space="preserve"> </w:t>
      </w:r>
      <w:r>
        <w:rPr>
          <w:sz w:val="21"/>
          <w:szCs w:val="21"/>
        </w:rPr>
        <w:t>发包人提供材料和工程设备符合性检查</w:t>
      </w:r>
    </w:p>
    <w:p w14:paraId="3B531E81">
      <w:pPr>
        <w:pStyle w:val="2"/>
        <w:spacing w:before="161" w:line="344" w:lineRule="auto"/>
        <w:ind w:right="59" w:firstLine="409"/>
        <w:rPr>
          <w:sz w:val="21"/>
          <w:szCs w:val="21"/>
        </w:rPr>
      </w:pPr>
      <w:r>
        <w:rPr>
          <w:spacing w:val="3"/>
          <w:sz w:val="21"/>
          <w:szCs w:val="21"/>
        </w:rPr>
        <w:t>即检查各投标人已标价的工程量清单中发包人提供材料和工程设备是否存在材料(工程设备)</w:t>
      </w:r>
      <w:r>
        <w:rPr>
          <w:spacing w:val="1"/>
          <w:sz w:val="21"/>
          <w:szCs w:val="21"/>
        </w:rPr>
        <w:t xml:space="preserve"> </w:t>
      </w:r>
      <w:r>
        <w:rPr>
          <w:spacing w:val="-1"/>
          <w:sz w:val="21"/>
          <w:szCs w:val="21"/>
        </w:rPr>
        <w:t>名称、规格、型号错误、单位错误、数量错误、单价错误。</w:t>
      </w:r>
    </w:p>
    <w:p w14:paraId="6902A64C">
      <w:pPr>
        <w:pStyle w:val="2"/>
        <w:spacing w:before="29" w:line="219" w:lineRule="auto"/>
        <w:ind w:left="409"/>
        <w:rPr>
          <w:sz w:val="21"/>
          <w:szCs w:val="21"/>
        </w:rPr>
      </w:pPr>
      <w:r>
        <w:rPr>
          <w:spacing w:val="1"/>
          <w:sz w:val="21"/>
          <w:szCs w:val="21"/>
        </w:rPr>
        <w:t>C2.1.6</w:t>
      </w:r>
      <w:r>
        <w:rPr>
          <w:spacing w:val="-38"/>
          <w:sz w:val="21"/>
          <w:szCs w:val="21"/>
        </w:rPr>
        <w:t xml:space="preserve"> </w:t>
      </w:r>
      <w:r>
        <w:rPr>
          <w:spacing w:val="1"/>
          <w:sz w:val="21"/>
          <w:szCs w:val="21"/>
        </w:rPr>
        <w:t>算术错误检查</w:t>
      </w:r>
    </w:p>
    <w:p w14:paraId="0755A8B8">
      <w:pPr>
        <w:pStyle w:val="2"/>
        <w:spacing w:before="129" w:line="218" w:lineRule="auto"/>
        <w:ind w:left="529"/>
        <w:rPr>
          <w:sz w:val="21"/>
          <w:szCs w:val="21"/>
        </w:rPr>
      </w:pPr>
      <w:r>
        <w:rPr>
          <w:sz w:val="21"/>
          <w:szCs w:val="21"/>
        </w:rPr>
        <w:t>即检查各投标人已标价的工程量清单相应表格中是</w:t>
      </w:r>
      <w:r>
        <w:rPr>
          <w:spacing w:val="-1"/>
          <w:sz w:val="21"/>
          <w:szCs w:val="21"/>
        </w:rPr>
        <w:t>否存在算术错误，并标示错误类型。</w:t>
      </w:r>
    </w:p>
    <w:p w14:paraId="76BD0152">
      <w:pPr>
        <w:pStyle w:val="2"/>
        <w:spacing w:before="150" w:line="222" w:lineRule="auto"/>
        <w:ind w:left="843"/>
        <w:outlineLvl w:val="2"/>
        <w:rPr>
          <w:rFonts w:ascii="黑体" w:hAnsi="黑体" w:eastAsia="黑体" w:cs="黑体"/>
          <w:sz w:val="21"/>
          <w:szCs w:val="21"/>
        </w:rPr>
      </w:pPr>
      <w:bookmarkStart w:id="188" w:name="bookmark144"/>
      <w:bookmarkEnd w:id="188"/>
      <w:r>
        <w:rPr>
          <w:b/>
          <w:bCs/>
          <w:spacing w:val="-2"/>
          <w:sz w:val="21"/>
          <w:szCs w:val="21"/>
        </w:rPr>
        <w:t>C2.2</w:t>
      </w:r>
      <w:r>
        <w:rPr>
          <w:spacing w:val="-29"/>
          <w:sz w:val="21"/>
          <w:szCs w:val="21"/>
        </w:rPr>
        <w:t xml:space="preserve"> </w:t>
      </w:r>
      <w:r>
        <w:rPr>
          <w:rFonts w:ascii="黑体" w:hAnsi="黑体" w:eastAsia="黑体" w:cs="黑体"/>
          <w:b/>
          <w:bCs/>
          <w:spacing w:val="-2"/>
          <w:sz w:val="21"/>
          <w:szCs w:val="21"/>
        </w:rPr>
        <w:t>已标价工程量清单算术错误修正</w:t>
      </w:r>
    </w:p>
    <w:p w14:paraId="55753164">
      <w:pPr>
        <w:pStyle w:val="2"/>
        <w:spacing w:before="169" w:line="349" w:lineRule="auto"/>
        <w:ind w:firstLine="409"/>
        <w:jc w:val="both"/>
        <w:rPr>
          <w:sz w:val="21"/>
          <w:szCs w:val="21"/>
        </w:rPr>
      </w:pPr>
      <w:r>
        <w:rPr>
          <w:sz w:val="21"/>
          <w:szCs w:val="21"/>
        </w:rPr>
        <w:t>评标委员会对已标价工程量清单中存在算术错误和错误类型进行逐项分析，根</w:t>
      </w:r>
      <w:r>
        <w:rPr>
          <w:spacing w:val="-1"/>
          <w:sz w:val="21"/>
          <w:szCs w:val="21"/>
        </w:rPr>
        <w:t>据本章第3.1.3</w:t>
      </w:r>
      <w:r>
        <w:rPr>
          <w:sz w:val="21"/>
          <w:szCs w:val="21"/>
        </w:rPr>
        <w:t xml:space="preserve">  </w:t>
      </w:r>
      <w:r>
        <w:rPr>
          <w:spacing w:val="-2"/>
          <w:sz w:val="21"/>
          <w:szCs w:val="21"/>
        </w:rPr>
        <w:t>项规定的原则，对投标报价中的算术错误进行修正，按附表</w:t>
      </w:r>
      <w:r>
        <w:rPr>
          <w:rFonts w:ascii="Times New Roman" w:hAnsi="Times New Roman" w:eastAsia="Times New Roman" w:cs="Times New Roman"/>
          <w:spacing w:val="-2"/>
          <w:sz w:val="21"/>
          <w:szCs w:val="21"/>
        </w:rPr>
        <w:t>C-7</w:t>
      </w:r>
      <w:r>
        <w:rPr>
          <w:rFonts w:ascii="Times New Roman" w:hAnsi="Times New Roman" w:eastAsia="Times New Roman" w:cs="Times New Roman"/>
          <w:spacing w:val="-29"/>
          <w:sz w:val="21"/>
          <w:szCs w:val="21"/>
        </w:rPr>
        <w:t xml:space="preserve"> </w:t>
      </w:r>
      <w:r>
        <w:rPr>
          <w:spacing w:val="-3"/>
          <w:sz w:val="21"/>
          <w:szCs w:val="21"/>
        </w:rPr>
        <w:t>、</w:t>
      </w:r>
      <w:r>
        <w:rPr>
          <w:rFonts w:ascii="Times New Roman" w:hAnsi="Times New Roman" w:eastAsia="Times New Roman" w:cs="Times New Roman"/>
          <w:spacing w:val="-3"/>
          <w:sz w:val="21"/>
          <w:szCs w:val="21"/>
        </w:rPr>
        <w:t xml:space="preserve">C-8 </w:t>
      </w:r>
      <w:r>
        <w:rPr>
          <w:spacing w:val="-3"/>
          <w:sz w:val="21"/>
          <w:szCs w:val="21"/>
        </w:rPr>
        <w:t>的格式记录分析和修正结果。</w:t>
      </w:r>
      <w:r>
        <w:rPr>
          <w:sz w:val="21"/>
          <w:szCs w:val="21"/>
        </w:rPr>
        <w:t xml:space="preserve"> 并按修正后的价格修正投标人已标价工程量清单相应表格，并计算其修正后</w:t>
      </w:r>
      <w:r>
        <w:rPr>
          <w:spacing w:val="-1"/>
          <w:sz w:val="21"/>
          <w:szCs w:val="21"/>
        </w:rPr>
        <w:t>的投标报价。</w:t>
      </w:r>
    </w:p>
    <w:p w14:paraId="23572A7E">
      <w:pPr>
        <w:pStyle w:val="2"/>
        <w:spacing w:before="1" w:line="217" w:lineRule="auto"/>
        <w:ind w:left="409"/>
        <w:rPr>
          <w:sz w:val="21"/>
          <w:szCs w:val="21"/>
        </w:rPr>
      </w:pPr>
      <w:r>
        <w:rPr>
          <w:spacing w:val="1"/>
          <w:sz w:val="21"/>
          <w:szCs w:val="21"/>
        </w:rPr>
        <w:t>修正后的投标报价应按本章第A2.5</w:t>
      </w:r>
      <w:r>
        <w:rPr>
          <w:spacing w:val="-32"/>
          <w:sz w:val="21"/>
          <w:szCs w:val="21"/>
        </w:rPr>
        <w:t xml:space="preserve"> </w:t>
      </w:r>
      <w:r>
        <w:rPr>
          <w:spacing w:val="1"/>
          <w:sz w:val="21"/>
          <w:szCs w:val="21"/>
        </w:rPr>
        <w:t>款的澄清程序和第</w:t>
      </w:r>
      <w:r>
        <w:rPr>
          <w:spacing w:val="-59"/>
          <w:sz w:val="21"/>
          <w:szCs w:val="21"/>
        </w:rPr>
        <w:t xml:space="preserve"> </w:t>
      </w:r>
      <w:r>
        <w:rPr>
          <w:spacing w:val="1"/>
          <w:sz w:val="21"/>
          <w:szCs w:val="21"/>
        </w:rPr>
        <w:t>A3.5</w:t>
      </w:r>
      <w:r>
        <w:rPr>
          <w:spacing w:val="-43"/>
          <w:sz w:val="21"/>
          <w:szCs w:val="21"/>
        </w:rPr>
        <w:t xml:space="preserve"> </w:t>
      </w:r>
      <w:r>
        <w:rPr>
          <w:spacing w:val="1"/>
          <w:sz w:val="21"/>
          <w:szCs w:val="21"/>
        </w:rPr>
        <w:t>款的要求通知投标人书面确认。</w:t>
      </w:r>
    </w:p>
    <w:p w14:paraId="28E855EC">
      <w:pPr>
        <w:pStyle w:val="2"/>
        <w:spacing w:before="149" w:line="222" w:lineRule="auto"/>
        <w:ind w:left="843"/>
        <w:outlineLvl w:val="2"/>
        <w:rPr>
          <w:rFonts w:ascii="黑体" w:hAnsi="黑体" w:eastAsia="黑体" w:cs="黑体"/>
          <w:sz w:val="21"/>
          <w:szCs w:val="21"/>
        </w:rPr>
      </w:pPr>
      <w:bookmarkStart w:id="189" w:name="bookmark145"/>
      <w:bookmarkEnd w:id="189"/>
      <w:r>
        <w:rPr>
          <w:b/>
          <w:bCs/>
          <w:spacing w:val="-3"/>
          <w:sz w:val="21"/>
          <w:szCs w:val="21"/>
        </w:rPr>
        <w:t>C2.3</w:t>
      </w:r>
      <w:r>
        <w:rPr>
          <w:spacing w:val="-22"/>
          <w:sz w:val="21"/>
          <w:szCs w:val="21"/>
        </w:rPr>
        <w:t xml:space="preserve"> </w:t>
      </w:r>
      <w:r>
        <w:rPr>
          <w:rFonts w:ascii="黑体" w:hAnsi="黑体" w:eastAsia="黑体" w:cs="黑体"/>
          <w:b/>
          <w:bCs/>
          <w:spacing w:val="-3"/>
          <w:sz w:val="21"/>
          <w:szCs w:val="21"/>
        </w:rPr>
        <w:t>已标价工程量清单偏差分析</w:t>
      </w:r>
    </w:p>
    <w:p w14:paraId="647968D7">
      <w:pPr>
        <w:pStyle w:val="2"/>
        <w:spacing w:before="169" w:line="349" w:lineRule="auto"/>
        <w:ind w:right="94" w:firstLine="409"/>
        <w:jc w:val="both"/>
        <w:rPr>
          <w:sz w:val="21"/>
          <w:szCs w:val="21"/>
        </w:rPr>
      </w:pPr>
      <w:r>
        <w:rPr>
          <w:sz w:val="21"/>
          <w:szCs w:val="21"/>
        </w:rPr>
        <w:t>根据本章第</w:t>
      </w:r>
      <w:r>
        <w:rPr>
          <w:rFonts w:ascii="Times New Roman" w:hAnsi="Times New Roman" w:eastAsia="Times New Roman" w:cs="Times New Roman"/>
          <w:sz w:val="21"/>
          <w:szCs w:val="21"/>
        </w:rPr>
        <w:t>A3.5</w:t>
      </w:r>
      <w:r>
        <w:rPr>
          <w:rFonts w:ascii="Times New Roman" w:hAnsi="Times New Roman" w:eastAsia="Times New Roman" w:cs="Times New Roman"/>
          <w:spacing w:val="43"/>
          <w:sz w:val="21"/>
          <w:szCs w:val="21"/>
        </w:rPr>
        <w:t xml:space="preserve"> </w:t>
      </w:r>
      <w:r>
        <w:rPr>
          <w:sz w:val="21"/>
          <w:szCs w:val="21"/>
        </w:rPr>
        <w:t xml:space="preserve">款完成各投标人已标价工程量清单算术错误修正后，以算术错误修正后的已 </w:t>
      </w:r>
      <w:r>
        <w:rPr>
          <w:spacing w:val="-1"/>
          <w:sz w:val="21"/>
          <w:szCs w:val="21"/>
        </w:rPr>
        <w:t>标价工程量清单为基础，对各投标人已标价工程量清单综合单价进行</w:t>
      </w:r>
      <w:r>
        <w:rPr>
          <w:spacing w:val="-2"/>
          <w:sz w:val="21"/>
          <w:szCs w:val="21"/>
        </w:rPr>
        <w:t>偏差分析。并用使用附表C-9</w:t>
      </w:r>
      <w:r>
        <w:rPr>
          <w:sz w:val="21"/>
          <w:szCs w:val="21"/>
        </w:rPr>
        <w:t xml:space="preserve"> 至附表</w:t>
      </w:r>
      <w:r>
        <w:rPr>
          <w:rFonts w:ascii="Times New Roman" w:hAnsi="Times New Roman" w:eastAsia="Times New Roman" w:cs="Times New Roman"/>
          <w:sz w:val="21"/>
          <w:szCs w:val="21"/>
        </w:rPr>
        <w:t>C-13</w:t>
      </w:r>
      <w:r>
        <w:rPr>
          <w:rFonts w:ascii="Times New Roman" w:hAnsi="Times New Roman" w:eastAsia="Times New Roman" w:cs="Times New Roman"/>
          <w:spacing w:val="34"/>
          <w:sz w:val="21"/>
          <w:szCs w:val="21"/>
        </w:rPr>
        <w:t xml:space="preserve"> </w:t>
      </w:r>
      <w:r>
        <w:rPr>
          <w:sz w:val="21"/>
          <w:szCs w:val="21"/>
        </w:rPr>
        <w:t>记录结果。</w:t>
      </w:r>
    </w:p>
    <w:p w14:paraId="0C78706F">
      <w:pPr>
        <w:pStyle w:val="2"/>
        <w:spacing w:before="1" w:line="217" w:lineRule="auto"/>
        <w:ind w:left="409"/>
        <w:rPr>
          <w:sz w:val="21"/>
          <w:szCs w:val="21"/>
        </w:rPr>
      </w:pPr>
      <w:r>
        <w:rPr>
          <w:spacing w:val="4"/>
          <w:sz w:val="21"/>
          <w:szCs w:val="21"/>
        </w:rPr>
        <w:t>1)分部分项工程和单价措施项目清单价格分析记录表</w:t>
      </w:r>
    </w:p>
    <w:p w14:paraId="57CAD457">
      <w:pPr>
        <w:pStyle w:val="2"/>
        <w:spacing w:before="150" w:line="353" w:lineRule="auto"/>
        <w:ind w:right="67" w:firstLine="409"/>
        <w:rPr>
          <w:sz w:val="21"/>
          <w:szCs w:val="21"/>
        </w:rPr>
      </w:pPr>
      <w:r>
        <w:rPr>
          <w:spacing w:val="2"/>
          <w:sz w:val="21"/>
          <w:szCs w:val="21"/>
        </w:rPr>
        <w:t>投标人已标价工程量清单的分部分项工程和单价措施项目与招标控制价相应项目对比，综合</w:t>
      </w:r>
      <w:r>
        <w:rPr>
          <w:spacing w:val="8"/>
          <w:sz w:val="21"/>
          <w:szCs w:val="21"/>
        </w:rPr>
        <w:t xml:space="preserve"> </w:t>
      </w:r>
      <w:r>
        <w:rPr>
          <w:spacing w:val="2"/>
          <w:sz w:val="21"/>
          <w:szCs w:val="21"/>
        </w:rPr>
        <w:t>单价高于招标控制价相应项目10%以上或低于招标控制价相应项目(房建、安装、仿古、桥梁、隧</w:t>
      </w:r>
      <w:r>
        <w:rPr>
          <w:spacing w:val="18"/>
          <w:sz w:val="21"/>
          <w:szCs w:val="21"/>
        </w:rPr>
        <w:t xml:space="preserve"> </w:t>
      </w:r>
      <w:r>
        <w:rPr>
          <w:spacing w:val="9"/>
          <w:sz w:val="21"/>
          <w:szCs w:val="21"/>
        </w:rPr>
        <w:t>道20%;装饰、园林25%以上；市政(不含桥梁、隧道)、单独土石</w:t>
      </w:r>
      <w:r>
        <w:rPr>
          <w:spacing w:val="8"/>
          <w:sz w:val="21"/>
          <w:szCs w:val="21"/>
        </w:rPr>
        <w:t>方、绿化低于招标控制价相应</w:t>
      </w:r>
      <w:r>
        <w:rPr>
          <w:sz w:val="21"/>
          <w:szCs w:val="21"/>
        </w:rPr>
        <w:t xml:space="preserve"> </w:t>
      </w:r>
      <w:r>
        <w:rPr>
          <w:spacing w:val="6"/>
          <w:sz w:val="21"/>
          <w:szCs w:val="21"/>
        </w:rPr>
        <w:t>项目35%以上);或者主要材料单价高于招标控制价相应材料单价10%以上或低于招标控制价相应</w:t>
      </w:r>
      <w:r>
        <w:rPr>
          <w:spacing w:val="18"/>
          <w:sz w:val="21"/>
          <w:szCs w:val="21"/>
        </w:rPr>
        <w:t xml:space="preserve"> </w:t>
      </w:r>
      <w:r>
        <w:rPr>
          <w:spacing w:val="2"/>
          <w:sz w:val="21"/>
          <w:szCs w:val="21"/>
        </w:rPr>
        <w:t>材料单价25%以上，其中钢材、沥青、砼或水泥材料单价低于招标控制价相应材料单价10%以上，</w:t>
      </w:r>
      <w:r>
        <w:rPr>
          <w:spacing w:val="14"/>
          <w:sz w:val="21"/>
          <w:szCs w:val="21"/>
        </w:rPr>
        <w:t xml:space="preserve"> </w:t>
      </w:r>
      <w:r>
        <w:rPr>
          <w:spacing w:val="2"/>
          <w:sz w:val="21"/>
          <w:szCs w:val="21"/>
        </w:rPr>
        <w:t>予以记录。综合单价的企业管理费和利润小于等于0;或者所报的主要材料消耗</w:t>
      </w:r>
      <w:r>
        <w:rPr>
          <w:spacing w:val="1"/>
          <w:sz w:val="21"/>
          <w:szCs w:val="21"/>
        </w:rPr>
        <w:t>量低于工程量清单</w:t>
      </w:r>
      <w:r>
        <w:rPr>
          <w:sz w:val="21"/>
          <w:szCs w:val="21"/>
        </w:rPr>
        <w:t xml:space="preserve"> </w:t>
      </w:r>
      <w:r>
        <w:rPr>
          <w:spacing w:val="-4"/>
          <w:sz w:val="21"/>
          <w:szCs w:val="21"/>
        </w:rPr>
        <w:t>实体量的，予以记录。</w:t>
      </w:r>
    </w:p>
    <w:p w14:paraId="377FAEF2">
      <w:pPr>
        <w:spacing w:line="353" w:lineRule="auto"/>
        <w:rPr>
          <w:sz w:val="21"/>
          <w:szCs w:val="21"/>
        </w:rPr>
        <w:sectPr>
          <w:footerReference r:id="rId68" w:type="default"/>
          <w:pgSz w:w="11910" w:h="16840"/>
          <w:pgMar w:top="1431" w:right="1454" w:bottom="1001" w:left="1460" w:header="0" w:footer="857" w:gutter="0"/>
          <w:cols w:space="720" w:num="1"/>
        </w:sectPr>
      </w:pPr>
    </w:p>
    <w:p w14:paraId="4121AC24">
      <w:pPr>
        <w:spacing w:line="335" w:lineRule="auto"/>
        <w:rPr>
          <w:rFonts w:ascii="Arial"/>
          <w:sz w:val="21"/>
        </w:rPr>
      </w:pPr>
    </w:p>
    <w:p w14:paraId="02A3FEC4">
      <w:pPr>
        <w:pStyle w:val="2"/>
        <w:spacing w:before="68" w:line="218" w:lineRule="auto"/>
        <w:ind w:left="409"/>
        <w:rPr>
          <w:sz w:val="21"/>
          <w:szCs w:val="21"/>
        </w:rPr>
      </w:pPr>
      <w:bookmarkStart w:id="190" w:name="bookmark262"/>
      <w:bookmarkEnd w:id="190"/>
      <w:r>
        <w:rPr>
          <w:spacing w:val="7"/>
          <w:sz w:val="21"/>
          <w:szCs w:val="21"/>
        </w:rPr>
        <w:t>2)总价措施项目清单价格分析记录表</w:t>
      </w:r>
    </w:p>
    <w:p w14:paraId="6182230A">
      <w:pPr>
        <w:pStyle w:val="2"/>
        <w:spacing w:before="160" w:line="353" w:lineRule="auto"/>
        <w:ind w:right="3" w:firstLine="409"/>
        <w:rPr>
          <w:sz w:val="21"/>
          <w:szCs w:val="21"/>
        </w:rPr>
      </w:pPr>
      <w:r>
        <w:rPr>
          <w:spacing w:val="2"/>
          <w:sz w:val="21"/>
          <w:szCs w:val="21"/>
        </w:rPr>
        <w:t>投标人已标价工程量清单的单位工程的总价措施项目费与招标控制价</w:t>
      </w:r>
      <w:r>
        <w:rPr>
          <w:spacing w:val="1"/>
          <w:sz w:val="21"/>
          <w:szCs w:val="21"/>
        </w:rPr>
        <w:t>相应单位工程的总价措</w:t>
      </w:r>
      <w:r>
        <w:rPr>
          <w:sz w:val="21"/>
          <w:szCs w:val="21"/>
        </w:rPr>
        <w:t xml:space="preserve"> 施项目费对比，其总价措施项目费高于招标控制价的总价措施项目费20%以上</w:t>
      </w:r>
      <w:r>
        <w:rPr>
          <w:spacing w:val="-1"/>
          <w:sz w:val="21"/>
          <w:szCs w:val="21"/>
        </w:rPr>
        <w:t>或低于招标控制价的</w:t>
      </w:r>
      <w:r>
        <w:rPr>
          <w:sz w:val="21"/>
          <w:szCs w:val="21"/>
        </w:rPr>
        <w:t xml:space="preserve"> </w:t>
      </w:r>
      <w:r>
        <w:rPr>
          <w:spacing w:val="1"/>
          <w:sz w:val="21"/>
          <w:szCs w:val="21"/>
        </w:rPr>
        <w:t>总价措施项目费40%以上，予以记录。</w:t>
      </w:r>
    </w:p>
    <w:p w14:paraId="081D2853">
      <w:pPr>
        <w:pStyle w:val="2"/>
        <w:spacing w:before="16" w:line="218" w:lineRule="auto"/>
        <w:ind w:left="409"/>
        <w:rPr>
          <w:sz w:val="21"/>
          <w:szCs w:val="21"/>
        </w:rPr>
      </w:pPr>
      <w:r>
        <w:rPr>
          <w:spacing w:val="6"/>
          <w:sz w:val="21"/>
          <w:szCs w:val="21"/>
        </w:rPr>
        <w:t>3)其他项目清单价格分析记录表</w:t>
      </w:r>
    </w:p>
    <w:p w14:paraId="4A847C53">
      <w:pPr>
        <w:pStyle w:val="2"/>
        <w:spacing w:before="119" w:line="367" w:lineRule="auto"/>
        <w:ind w:right="26" w:firstLine="409"/>
        <w:rPr>
          <w:sz w:val="21"/>
          <w:szCs w:val="21"/>
        </w:rPr>
      </w:pPr>
      <w:r>
        <w:rPr>
          <w:spacing w:val="2"/>
          <w:sz w:val="21"/>
          <w:szCs w:val="21"/>
        </w:rPr>
        <w:t xml:space="preserve">投标人已标价工程量清单的单位工程其他项目清单中计日工的企业管理费和利润小于等于0, </w:t>
      </w:r>
      <w:r>
        <w:rPr>
          <w:spacing w:val="-5"/>
          <w:sz w:val="21"/>
          <w:szCs w:val="21"/>
        </w:rPr>
        <w:t>予以记录。</w:t>
      </w:r>
    </w:p>
    <w:p w14:paraId="509D7A97">
      <w:pPr>
        <w:pStyle w:val="2"/>
        <w:spacing w:line="220" w:lineRule="auto"/>
        <w:ind w:left="409"/>
        <w:rPr>
          <w:sz w:val="21"/>
          <w:szCs w:val="21"/>
        </w:rPr>
      </w:pPr>
      <w:r>
        <w:rPr>
          <w:spacing w:val="6"/>
          <w:sz w:val="21"/>
          <w:szCs w:val="21"/>
        </w:rPr>
        <w:t>4)建设项目总人工费分析记录表</w:t>
      </w:r>
    </w:p>
    <w:p w14:paraId="76AE944F">
      <w:pPr>
        <w:pStyle w:val="2"/>
        <w:spacing w:before="127" w:line="356" w:lineRule="auto"/>
        <w:ind w:right="18" w:firstLine="409"/>
        <w:rPr>
          <w:sz w:val="21"/>
          <w:szCs w:val="21"/>
        </w:rPr>
      </w:pPr>
      <w:r>
        <w:rPr>
          <w:spacing w:val="2"/>
          <w:sz w:val="21"/>
          <w:szCs w:val="21"/>
        </w:rPr>
        <w:t>投标人已标价工程量清单的建设项目的总人工费与招标控制价的总人工费对比，其总人工费</w:t>
      </w:r>
      <w:r>
        <w:rPr>
          <w:spacing w:val="12"/>
          <w:sz w:val="21"/>
          <w:szCs w:val="21"/>
        </w:rPr>
        <w:t xml:space="preserve"> </w:t>
      </w:r>
      <w:r>
        <w:rPr>
          <w:spacing w:val="3"/>
          <w:sz w:val="21"/>
          <w:szCs w:val="21"/>
        </w:rPr>
        <w:t>高于招标控制价总人工费15%以上或低于招标控制</w:t>
      </w:r>
      <w:r>
        <w:rPr>
          <w:spacing w:val="2"/>
          <w:sz w:val="21"/>
          <w:szCs w:val="21"/>
        </w:rPr>
        <w:t>价的总人工费30%以上，予以记录。</w:t>
      </w:r>
    </w:p>
    <w:p w14:paraId="1E7286BD">
      <w:pPr>
        <w:pStyle w:val="2"/>
        <w:spacing w:before="1" w:line="217" w:lineRule="auto"/>
        <w:ind w:left="409"/>
        <w:rPr>
          <w:sz w:val="21"/>
          <w:szCs w:val="21"/>
        </w:rPr>
      </w:pPr>
      <w:r>
        <w:rPr>
          <w:spacing w:val="6"/>
          <w:sz w:val="21"/>
          <w:szCs w:val="21"/>
        </w:rPr>
        <w:t>5)单位工程投标报价分析记录表</w:t>
      </w:r>
    </w:p>
    <w:p w14:paraId="0FE1B183">
      <w:pPr>
        <w:pStyle w:val="2"/>
        <w:spacing w:before="153" w:line="343" w:lineRule="auto"/>
        <w:ind w:right="22" w:firstLine="409"/>
        <w:rPr>
          <w:sz w:val="21"/>
          <w:szCs w:val="21"/>
        </w:rPr>
      </w:pPr>
      <w:r>
        <w:rPr>
          <w:spacing w:val="8"/>
          <w:sz w:val="21"/>
          <w:szCs w:val="21"/>
        </w:rPr>
        <w:t>投标人已标价工程量清单的单位工程的投标报价合价与招</w:t>
      </w:r>
      <w:r>
        <w:rPr>
          <w:spacing w:val="7"/>
          <w:sz w:val="21"/>
          <w:szCs w:val="21"/>
        </w:rPr>
        <w:t>标控制价相应单位工程的合价对</w:t>
      </w:r>
      <w:r>
        <w:rPr>
          <w:sz w:val="21"/>
          <w:szCs w:val="21"/>
        </w:rPr>
        <w:t xml:space="preserve"> 比，其单位工程的投标报价合价高于招标控制价相应单位工程的合价</w:t>
      </w:r>
      <w:r>
        <w:rPr>
          <w:spacing w:val="-1"/>
          <w:sz w:val="21"/>
          <w:szCs w:val="21"/>
        </w:rPr>
        <w:t>的，予以记录。</w:t>
      </w:r>
    </w:p>
    <w:p w14:paraId="4E4E144F">
      <w:pPr>
        <w:spacing w:line="223" w:lineRule="auto"/>
        <w:ind w:left="409"/>
        <w:outlineLvl w:val="2"/>
        <w:rPr>
          <w:rFonts w:ascii="黑体" w:hAnsi="黑体" w:eastAsia="黑体" w:cs="黑体"/>
          <w:sz w:val="25"/>
          <w:szCs w:val="25"/>
        </w:rPr>
      </w:pPr>
      <w:bookmarkStart w:id="191" w:name="bookmark146"/>
      <w:bookmarkEnd w:id="191"/>
      <w:r>
        <w:rPr>
          <w:rFonts w:ascii="Times New Roman" w:hAnsi="Times New Roman" w:eastAsia="Times New Roman" w:cs="Times New Roman"/>
          <w:b/>
          <w:bCs/>
          <w:spacing w:val="-5"/>
          <w:sz w:val="25"/>
          <w:szCs w:val="25"/>
        </w:rPr>
        <w:t>C3.</w:t>
      </w:r>
      <w:r>
        <w:rPr>
          <w:rFonts w:ascii="Times New Roman" w:hAnsi="Times New Roman" w:eastAsia="Times New Roman" w:cs="Times New Roman"/>
          <w:b/>
          <w:bCs/>
          <w:spacing w:val="-23"/>
          <w:sz w:val="25"/>
          <w:szCs w:val="25"/>
        </w:rPr>
        <w:t xml:space="preserve"> </w:t>
      </w:r>
      <w:r>
        <w:rPr>
          <w:rFonts w:ascii="黑体" w:hAnsi="黑体" w:eastAsia="黑体" w:cs="黑体"/>
          <w:b/>
          <w:bCs/>
          <w:spacing w:val="-5"/>
          <w:sz w:val="25"/>
          <w:szCs w:val="25"/>
        </w:rPr>
        <w:t>清标报告</w:t>
      </w:r>
    </w:p>
    <w:p w14:paraId="0B4DB8EB">
      <w:pPr>
        <w:pStyle w:val="2"/>
        <w:spacing w:before="146" w:line="390" w:lineRule="auto"/>
        <w:ind w:firstLine="409"/>
        <w:jc w:val="both"/>
        <w:rPr>
          <w:sz w:val="21"/>
          <w:szCs w:val="21"/>
        </w:rPr>
      </w:pPr>
      <w:r>
        <w:rPr>
          <w:spacing w:val="1"/>
          <w:sz w:val="21"/>
          <w:szCs w:val="21"/>
        </w:rPr>
        <w:t>评标委员会按本附件第</w:t>
      </w:r>
      <w:r>
        <w:rPr>
          <w:rFonts w:ascii="Times New Roman" w:hAnsi="Times New Roman" w:eastAsia="Times New Roman" w:cs="Times New Roman"/>
          <w:spacing w:val="1"/>
          <w:sz w:val="21"/>
          <w:szCs w:val="21"/>
        </w:rPr>
        <w:t>C2.2</w:t>
      </w:r>
      <w:r>
        <w:rPr>
          <w:rFonts w:ascii="Times New Roman" w:hAnsi="Times New Roman" w:eastAsia="Times New Roman" w:cs="Times New Roman"/>
          <w:spacing w:val="33"/>
          <w:sz w:val="21"/>
          <w:szCs w:val="21"/>
        </w:rPr>
        <w:t xml:space="preserve"> </w:t>
      </w:r>
      <w:r>
        <w:rPr>
          <w:spacing w:val="1"/>
          <w:sz w:val="21"/>
          <w:szCs w:val="21"/>
        </w:rPr>
        <w:t>款对投标文件进行基础性数据分析和整理工作形成的清标成果文</w:t>
      </w:r>
      <w:r>
        <w:rPr>
          <w:sz w:val="21"/>
          <w:szCs w:val="21"/>
        </w:rPr>
        <w:t xml:space="preserve"> 件为清标报告的内容。评标委员会根据本章附件</w:t>
      </w:r>
      <w:r>
        <w:rPr>
          <w:spacing w:val="-20"/>
          <w:sz w:val="21"/>
          <w:szCs w:val="21"/>
        </w:rPr>
        <w:t xml:space="preserve"> </w:t>
      </w:r>
      <w:r>
        <w:rPr>
          <w:rFonts w:ascii="Times New Roman" w:hAnsi="Times New Roman" w:eastAsia="Times New Roman" w:cs="Times New Roman"/>
          <w:sz w:val="21"/>
          <w:szCs w:val="21"/>
        </w:rPr>
        <w:t xml:space="preserve">A </w:t>
      </w:r>
      <w:r>
        <w:rPr>
          <w:sz w:val="21"/>
          <w:szCs w:val="21"/>
        </w:rPr>
        <w:t xml:space="preserve">评标详细程序和本章评标办法的规定，结合清 </w:t>
      </w:r>
      <w:r>
        <w:rPr>
          <w:spacing w:val="-1"/>
          <w:sz w:val="21"/>
          <w:szCs w:val="21"/>
        </w:rPr>
        <w:t>标成果完成初步评审、详细评审、推荐中标候选人或者直接确定中标人。</w:t>
      </w:r>
    </w:p>
    <w:p w14:paraId="2602D2EE">
      <w:pPr>
        <w:pStyle w:val="2"/>
        <w:spacing w:before="1" w:line="217" w:lineRule="auto"/>
        <w:ind w:left="409"/>
        <w:rPr>
          <w:sz w:val="21"/>
          <w:szCs w:val="21"/>
        </w:rPr>
      </w:pPr>
      <w:r>
        <w:rPr>
          <w:spacing w:val="-1"/>
          <w:sz w:val="21"/>
          <w:szCs w:val="21"/>
        </w:rPr>
        <w:t>清标报告是评标报告的组成部分。</w:t>
      </w:r>
    </w:p>
    <w:p w14:paraId="387E8661">
      <w:pPr>
        <w:spacing w:line="217" w:lineRule="auto"/>
        <w:rPr>
          <w:sz w:val="21"/>
          <w:szCs w:val="21"/>
        </w:rPr>
        <w:sectPr>
          <w:footerReference r:id="rId69" w:type="default"/>
          <w:pgSz w:w="11910" w:h="16840"/>
          <w:pgMar w:top="1431" w:right="1528" w:bottom="1001" w:left="1460" w:header="0" w:footer="857" w:gutter="0"/>
          <w:cols w:space="720" w:num="1"/>
        </w:sectPr>
      </w:pPr>
    </w:p>
    <w:p w14:paraId="1D390ADF">
      <w:pPr>
        <w:spacing w:line="439" w:lineRule="auto"/>
        <w:rPr>
          <w:rFonts w:ascii="Arial"/>
          <w:sz w:val="21"/>
        </w:rPr>
      </w:pPr>
    </w:p>
    <w:p w14:paraId="65EF4706">
      <w:pPr>
        <w:pStyle w:val="2"/>
        <w:spacing w:before="81" w:line="221" w:lineRule="auto"/>
        <w:ind w:left="3"/>
        <w:outlineLvl w:val="1"/>
        <w:rPr>
          <w:rFonts w:ascii="黑体" w:hAnsi="黑体" w:eastAsia="黑体" w:cs="黑体"/>
        </w:rPr>
      </w:pPr>
      <w:bookmarkStart w:id="192" w:name="bookmark147"/>
      <w:bookmarkEnd w:id="192"/>
      <w:bookmarkStart w:id="193" w:name="bookmark263"/>
      <w:bookmarkEnd w:id="193"/>
      <w:r>
        <w:rPr>
          <w:rFonts w:ascii="黑体" w:hAnsi="黑体" w:eastAsia="黑体" w:cs="黑体"/>
          <w:b/>
          <w:bCs/>
          <w:spacing w:val="-7"/>
        </w:rPr>
        <w:t>附件</w:t>
      </w:r>
      <w:r>
        <w:rPr>
          <w:b/>
          <w:bCs/>
          <w:spacing w:val="-7"/>
        </w:rPr>
        <w:t>D:</w:t>
      </w:r>
      <w:r>
        <w:rPr>
          <w:spacing w:val="-7"/>
        </w:rPr>
        <w:t xml:space="preserve"> </w:t>
      </w:r>
      <w:r>
        <w:rPr>
          <w:rFonts w:ascii="黑体" w:hAnsi="黑体" w:eastAsia="黑体" w:cs="黑体"/>
          <w:b/>
          <w:bCs/>
          <w:spacing w:val="-7"/>
        </w:rPr>
        <w:t>投标人成本评审办法</w:t>
      </w:r>
    </w:p>
    <w:p w14:paraId="1EC6D63C">
      <w:pPr>
        <w:spacing w:line="384" w:lineRule="auto"/>
        <w:rPr>
          <w:rFonts w:ascii="Arial"/>
          <w:sz w:val="21"/>
        </w:rPr>
      </w:pPr>
    </w:p>
    <w:p w14:paraId="324A32FE">
      <w:pPr>
        <w:spacing w:before="95" w:line="221" w:lineRule="auto"/>
        <w:ind w:left="3184"/>
        <w:rPr>
          <w:rFonts w:ascii="黑体" w:hAnsi="黑体" w:eastAsia="黑体" w:cs="黑体"/>
          <w:sz w:val="29"/>
          <w:szCs w:val="29"/>
        </w:rPr>
      </w:pPr>
      <w:r>
        <w:rPr>
          <w:rFonts w:ascii="黑体" w:hAnsi="黑体" w:eastAsia="黑体" w:cs="黑体"/>
          <w:b/>
          <w:bCs/>
          <w:spacing w:val="-7"/>
          <w:sz w:val="29"/>
          <w:szCs w:val="29"/>
        </w:rPr>
        <w:t>投标人成本评审办法</w:t>
      </w:r>
    </w:p>
    <w:p w14:paraId="1123B8AC">
      <w:pPr>
        <w:spacing w:line="311" w:lineRule="auto"/>
        <w:rPr>
          <w:rFonts w:ascii="Arial"/>
          <w:sz w:val="21"/>
        </w:rPr>
      </w:pPr>
    </w:p>
    <w:p w14:paraId="211039D2">
      <w:pPr>
        <w:spacing w:line="312" w:lineRule="auto"/>
        <w:rPr>
          <w:rFonts w:ascii="Arial"/>
          <w:sz w:val="21"/>
        </w:rPr>
      </w:pPr>
    </w:p>
    <w:p w14:paraId="01C1DEE2">
      <w:pPr>
        <w:spacing w:line="312" w:lineRule="auto"/>
        <w:rPr>
          <w:rFonts w:ascii="Arial"/>
          <w:sz w:val="21"/>
        </w:rPr>
      </w:pPr>
    </w:p>
    <w:p w14:paraId="559037A2">
      <w:pPr>
        <w:pStyle w:val="2"/>
        <w:spacing w:before="82" w:line="222" w:lineRule="auto"/>
        <w:ind w:left="413"/>
        <w:outlineLvl w:val="2"/>
        <w:rPr>
          <w:rFonts w:ascii="黑体" w:hAnsi="黑体" w:eastAsia="黑体" w:cs="黑体"/>
        </w:rPr>
      </w:pPr>
      <w:bookmarkStart w:id="194" w:name="bookmark148"/>
      <w:bookmarkEnd w:id="194"/>
      <w:r>
        <w:rPr>
          <w:b/>
          <w:bCs/>
          <w:spacing w:val="1"/>
        </w:rPr>
        <w:t>D0.</w:t>
      </w:r>
      <w:r>
        <w:rPr>
          <w:rFonts w:ascii="黑体" w:hAnsi="黑体" w:eastAsia="黑体" w:cs="黑体"/>
          <w:b/>
          <w:bCs/>
          <w:spacing w:val="1"/>
        </w:rPr>
        <w:t>总</w:t>
      </w:r>
      <w:r>
        <w:rPr>
          <w:rFonts w:ascii="黑体" w:hAnsi="黑体" w:eastAsia="黑体" w:cs="黑体"/>
          <w:spacing w:val="106"/>
        </w:rPr>
        <w:t xml:space="preserve"> </w:t>
      </w:r>
      <w:r>
        <w:rPr>
          <w:rFonts w:ascii="黑体" w:hAnsi="黑体" w:eastAsia="黑体" w:cs="黑体"/>
          <w:b/>
          <w:bCs/>
          <w:spacing w:val="1"/>
        </w:rPr>
        <w:t>则</w:t>
      </w:r>
    </w:p>
    <w:p w14:paraId="50A79C8C">
      <w:pPr>
        <w:pStyle w:val="2"/>
        <w:spacing w:before="160" w:line="360" w:lineRule="auto"/>
        <w:ind w:right="50" w:firstLine="409"/>
        <w:rPr>
          <w:sz w:val="21"/>
          <w:szCs w:val="21"/>
        </w:rPr>
      </w:pPr>
      <w:r>
        <w:rPr>
          <w:spacing w:val="4"/>
          <w:sz w:val="21"/>
          <w:szCs w:val="21"/>
        </w:rPr>
        <w:t>本附件是本章“评标办法”的组成部分，评标委员会按照本章第3.1.4项的规定，对投标人</w:t>
      </w:r>
      <w:r>
        <w:rPr>
          <w:spacing w:val="14"/>
          <w:sz w:val="21"/>
          <w:szCs w:val="21"/>
        </w:rPr>
        <w:t xml:space="preserve"> </w:t>
      </w:r>
      <w:r>
        <w:rPr>
          <w:spacing w:val="-1"/>
          <w:sz w:val="21"/>
          <w:szCs w:val="21"/>
        </w:rPr>
        <w:t>投标报价是否低于其成本进行评审和判断时，适用本附件所规定的办法。</w:t>
      </w:r>
    </w:p>
    <w:p w14:paraId="7951E874">
      <w:pPr>
        <w:spacing w:line="221" w:lineRule="auto"/>
        <w:ind w:left="409"/>
        <w:outlineLvl w:val="2"/>
        <w:rPr>
          <w:rFonts w:ascii="黑体" w:hAnsi="黑体" w:eastAsia="黑体" w:cs="黑体"/>
          <w:sz w:val="25"/>
          <w:szCs w:val="25"/>
        </w:rPr>
      </w:pPr>
      <w:bookmarkStart w:id="195" w:name="bookmark149"/>
      <w:bookmarkEnd w:id="195"/>
      <w:r>
        <w:rPr>
          <w:rFonts w:ascii="Times New Roman" w:hAnsi="Times New Roman" w:eastAsia="Times New Roman" w:cs="Times New Roman"/>
          <w:b/>
          <w:bCs/>
          <w:spacing w:val="-9"/>
          <w:sz w:val="25"/>
          <w:szCs w:val="25"/>
        </w:rPr>
        <w:t>D1.</w:t>
      </w:r>
      <w:r>
        <w:rPr>
          <w:rFonts w:ascii="Times New Roman" w:hAnsi="Times New Roman" w:eastAsia="Times New Roman" w:cs="Times New Roman"/>
          <w:b/>
          <w:bCs/>
          <w:spacing w:val="-16"/>
          <w:sz w:val="25"/>
          <w:szCs w:val="25"/>
        </w:rPr>
        <w:t xml:space="preserve"> </w:t>
      </w:r>
      <w:r>
        <w:rPr>
          <w:rFonts w:ascii="黑体" w:hAnsi="黑体" w:eastAsia="黑体" w:cs="黑体"/>
          <w:b/>
          <w:bCs/>
          <w:spacing w:val="-9"/>
          <w:sz w:val="25"/>
          <w:szCs w:val="25"/>
        </w:rPr>
        <w:t>启动成本评审工作的前提条件</w:t>
      </w:r>
    </w:p>
    <w:p w14:paraId="5878F6A1">
      <w:pPr>
        <w:pStyle w:val="2"/>
        <w:spacing w:before="192" w:line="361" w:lineRule="auto"/>
        <w:ind w:right="49" w:firstLine="409"/>
        <w:rPr>
          <w:sz w:val="21"/>
          <w:szCs w:val="21"/>
        </w:rPr>
      </w:pPr>
      <w:r>
        <w:rPr>
          <w:spacing w:val="2"/>
          <w:sz w:val="21"/>
          <w:szCs w:val="21"/>
        </w:rPr>
        <w:t>在满足下列两项条件的前提下，评标委员会应当启动并进行本办法所规定的评审，以判</w:t>
      </w:r>
      <w:r>
        <w:rPr>
          <w:spacing w:val="1"/>
          <w:sz w:val="21"/>
          <w:szCs w:val="21"/>
        </w:rPr>
        <w:t>别投</w:t>
      </w:r>
      <w:r>
        <w:rPr>
          <w:sz w:val="21"/>
          <w:szCs w:val="21"/>
        </w:rPr>
        <w:t xml:space="preserve"> </w:t>
      </w:r>
      <w:r>
        <w:rPr>
          <w:spacing w:val="-2"/>
          <w:sz w:val="21"/>
          <w:szCs w:val="21"/>
        </w:rPr>
        <w:t>标人的投标报价是否低于其成本：</w:t>
      </w:r>
    </w:p>
    <w:p w14:paraId="4DC47F48">
      <w:pPr>
        <w:pStyle w:val="2"/>
        <w:spacing w:before="28" w:line="400" w:lineRule="auto"/>
        <w:ind w:right="49" w:firstLine="409"/>
        <w:rPr>
          <w:sz w:val="21"/>
          <w:szCs w:val="21"/>
        </w:rPr>
      </w:pPr>
      <w:r>
        <w:rPr>
          <w:rFonts w:ascii="Times New Roman" w:hAnsi="Times New Roman" w:eastAsia="Times New Roman" w:cs="Times New Roman"/>
          <w:sz w:val="21"/>
          <w:szCs w:val="21"/>
        </w:rPr>
        <w:t>C1.1</w:t>
      </w:r>
      <w:r>
        <w:rPr>
          <w:rFonts w:ascii="Times New Roman" w:hAnsi="Times New Roman" w:eastAsia="Times New Roman" w:cs="Times New Roman"/>
          <w:spacing w:val="43"/>
          <w:w w:val="101"/>
          <w:sz w:val="21"/>
          <w:szCs w:val="21"/>
        </w:rPr>
        <w:t xml:space="preserve"> </w:t>
      </w:r>
      <w:r>
        <w:rPr>
          <w:sz w:val="21"/>
          <w:szCs w:val="21"/>
        </w:rPr>
        <w:t xml:space="preserve">投标人的投标文件在本章“评标办法”规定的“初步评审”阶段，不存在应当否决的情 </w:t>
      </w:r>
      <w:r>
        <w:rPr>
          <w:spacing w:val="-9"/>
          <w:sz w:val="21"/>
          <w:szCs w:val="21"/>
        </w:rPr>
        <w:t>形；</w:t>
      </w:r>
    </w:p>
    <w:p w14:paraId="751B5E17">
      <w:pPr>
        <w:pStyle w:val="2"/>
        <w:spacing w:before="1" w:line="378" w:lineRule="auto"/>
        <w:ind w:right="41" w:firstLine="409"/>
        <w:rPr>
          <w:sz w:val="21"/>
          <w:szCs w:val="21"/>
        </w:rPr>
      </w:pPr>
      <w:r>
        <w:rPr>
          <w:rFonts w:ascii="Times New Roman" w:hAnsi="Times New Roman" w:eastAsia="Times New Roman" w:cs="Times New Roman"/>
          <w:spacing w:val="15"/>
          <w:sz w:val="21"/>
          <w:szCs w:val="21"/>
        </w:rPr>
        <w:t>C1.2</w:t>
      </w:r>
      <w:r>
        <w:rPr>
          <w:rFonts w:ascii="Times New Roman" w:hAnsi="Times New Roman" w:eastAsia="Times New Roman" w:cs="Times New Roman"/>
          <w:spacing w:val="43"/>
          <w:sz w:val="21"/>
          <w:szCs w:val="21"/>
        </w:rPr>
        <w:t xml:space="preserve"> </w:t>
      </w:r>
      <w:r>
        <w:rPr>
          <w:spacing w:val="15"/>
          <w:sz w:val="21"/>
          <w:szCs w:val="21"/>
        </w:rPr>
        <w:t>投标人的投标总报价一(暂列金额+税金)一(专业工程暂估价+税金)</w:t>
      </w:r>
      <w:r>
        <w:rPr>
          <w:spacing w:val="14"/>
          <w:sz w:val="21"/>
          <w:szCs w:val="21"/>
        </w:rPr>
        <w:t>低于(不含)招</w:t>
      </w:r>
      <w:r>
        <w:rPr>
          <w:sz w:val="21"/>
          <w:szCs w:val="21"/>
        </w:rPr>
        <w:t xml:space="preserve"> </w:t>
      </w:r>
      <w:r>
        <w:rPr>
          <w:spacing w:val="12"/>
          <w:sz w:val="21"/>
          <w:szCs w:val="21"/>
        </w:rPr>
        <w:t xml:space="preserve">标控制价总价一(暂列金额+税金)-(专业工程暂估价+税金) </w:t>
      </w:r>
      <w:r>
        <w:rPr>
          <w:rFonts w:ascii="Times New Roman" w:hAnsi="Times New Roman" w:eastAsia="Times New Roman" w:cs="Times New Roman"/>
          <w:spacing w:val="12"/>
          <w:sz w:val="21"/>
          <w:szCs w:val="21"/>
          <w:u w:val="single" w:color="auto"/>
        </w:rPr>
        <w:t xml:space="preserve">     </w:t>
      </w:r>
      <w:r>
        <w:rPr>
          <w:rFonts w:ascii="Times New Roman" w:hAnsi="Times New Roman" w:eastAsia="Times New Roman" w:cs="Times New Roman"/>
          <w:spacing w:val="11"/>
          <w:sz w:val="21"/>
          <w:szCs w:val="21"/>
          <w:u w:val="single" w:color="auto"/>
        </w:rPr>
        <w:t xml:space="preserve">H%     </w:t>
      </w:r>
      <w:r>
        <w:rPr>
          <w:rFonts w:ascii="Times New Roman" w:hAnsi="Times New Roman" w:eastAsia="Times New Roman" w:cs="Times New Roman"/>
          <w:spacing w:val="-42"/>
          <w:sz w:val="21"/>
          <w:szCs w:val="21"/>
        </w:rPr>
        <w:t xml:space="preserve"> </w:t>
      </w:r>
      <w:r>
        <w:rPr>
          <w:spacing w:val="11"/>
          <w:sz w:val="21"/>
          <w:szCs w:val="21"/>
        </w:rPr>
        <w:t>的。</w:t>
      </w:r>
    </w:p>
    <w:p w14:paraId="529167A6">
      <w:pPr>
        <w:pStyle w:val="2"/>
        <w:spacing w:before="1" w:line="350" w:lineRule="auto"/>
        <w:ind w:firstLine="409"/>
        <w:rPr>
          <w:sz w:val="21"/>
          <w:szCs w:val="21"/>
        </w:rPr>
      </w:pPr>
      <w:r>
        <w:rPr>
          <w:spacing w:val="3"/>
          <w:sz w:val="21"/>
          <w:szCs w:val="21"/>
        </w:rPr>
        <w:t>招标人根据招标项目具体情况宜选择75-80中的具体数值作为</w:t>
      </w:r>
      <w:r>
        <w:rPr>
          <w:rFonts w:ascii="Times New Roman" w:hAnsi="Times New Roman" w:eastAsia="Times New Roman" w:cs="Times New Roman"/>
          <w:spacing w:val="3"/>
          <w:sz w:val="21"/>
          <w:szCs w:val="21"/>
        </w:rPr>
        <w:t>H</w:t>
      </w:r>
      <w:r>
        <w:rPr>
          <w:spacing w:val="3"/>
          <w:sz w:val="21"/>
          <w:szCs w:val="21"/>
        </w:rPr>
        <w:t>的取值，</w:t>
      </w:r>
      <w:r>
        <w:rPr>
          <w:rFonts w:ascii="Times New Roman" w:hAnsi="Times New Roman" w:eastAsia="Times New Roman" w:cs="Times New Roman"/>
          <w:spacing w:val="3"/>
          <w:sz w:val="21"/>
          <w:szCs w:val="21"/>
        </w:rPr>
        <w:t>H</w:t>
      </w:r>
      <w:r>
        <w:rPr>
          <w:spacing w:val="3"/>
          <w:sz w:val="21"/>
          <w:szCs w:val="21"/>
        </w:rPr>
        <w:t>的取值见第二章投</w:t>
      </w:r>
      <w:r>
        <w:rPr>
          <w:spacing w:val="10"/>
          <w:sz w:val="21"/>
          <w:szCs w:val="21"/>
        </w:rPr>
        <w:t xml:space="preserve"> </w:t>
      </w:r>
      <w:r>
        <w:rPr>
          <w:spacing w:val="6"/>
          <w:sz w:val="21"/>
          <w:szCs w:val="21"/>
        </w:rPr>
        <w:t>标人须知前附表第10.2.2项。</w:t>
      </w:r>
    </w:p>
    <w:p w14:paraId="303BC1D6">
      <w:pPr>
        <w:pStyle w:val="2"/>
        <w:spacing w:before="1" w:line="221" w:lineRule="auto"/>
        <w:ind w:left="413"/>
        <w:outlineLvl w:val="2"/>
        <w:rPr>
          <w:rFonts w:ascii="黑体" w:hAnsi="黑体" w:eastAsia="黑体" w:cs="黑体"/>
        </w:rPr>
      </w:pPr>
      <w:bookmarkStart w:id="196" w:name="bookmark150"/>
      <w:bookmarkEnd w:id="196"/>
      <w:r>
        <w:rPr>
          <w:b/>
          <w:bCs/>
          <w:spacing w:val="-5"/>
        </w:rPr>
        <w:t>D2.</w:t>
      </w:r>
      <w:r>
        <w:rPr>
          <w:rFonts w:ascii="黑体" w:hAnsi="黑体" w:eastAsia="黑体" w:cs="黑体"/>
          <w:b/>
          <w:bCs/>
          <w:spacing w:val="-5"/>
        </w:rPr>
        <w:t>评审的依据</w:t>
      </w:r>
    </w:p>
    <w:p w14:paraId="00CE1487">
      <w:pPr>
        <w:pStyle w:val="2"/>
        <w:spacing w:before="191" w:line="218" w:lineRule="auto"/>
        <w:ind w:left="409"/>
        <w:rPr>
          <w:sz w:val="21"/>
          <w:szCs w:val="21"/>
        </w:rPr>
      </w:pPr>
      <w:r>
        <w:rPr>
          <w:spacing w:val="-1"/>
          <w:sz w:val="21"/>
          <w:szCs w:val="21"/>
        </w:rPr>
        <w:t>评标委员会判断投标人的投标报价是否低于其成本，所参考的评审依据包</w:t>
      </w:r>
      <w:r>
        <w:rPr>
          <w:spacing w:val="-2"/>
          <w:sz w:val="21"/>
          <w:szCs w:val="21"/>
        </w:rPr>
        <w:t>括：</w:t>
      </w:r>
    </w:p>
    <w:p w14:paraId="46EEB50D">
      <w:pPr>
        <w:pStyle w:val="2"/>
        <w:spacing w:before="184" w:line="219" w:lineRule="auto"/>
        <w:ind w:left="529"/>
        <w:rPr>
          <w:sz w:val="21"/>
          <w:szCs w:val="21"/>
        </w:rPr>
      </w:pPr>
      <w:r>
        <w:rPr>
          <w:spacing w:val="-5"/>
          <w:sz w:val="21"/>
          <w:szCs w:val="21"/>
        </w:rPr>
        <w:t>(1)</w:t>
      </w:r>
      <w:r>
        <w:rPr>
          <w:spacing w:val="12"/>
          <w:sz w:val="21"/>
          <w:szCs w:val="21"/>
        </w:rPr>
        <w:t xml:space="preserve">   </w:t>
      </w:r>
      <w:r>
        <w:rPr>
          <w:spacing w:val="-5"/>
          <w:sz w:val="21"/>
          <w:szCs w:val="21"/>
        </w:rPr>
        <w:t>招标文件及招标工程量清单；</w:t>
      </w:r>
    </w:p>
    <w:p w14:paraId="30B87AB4">
      <w:pPr>
        <w:pStyle w:val="2"/>
        <w:spacing w:before="199" w:line="218" w:lineRule="auto"/>
        <w:ind w:left="529"/>
        <w:rPr>
          <w:sz w:val="21"/>
          <w:szCs w:val="21"/>
        </w:rPr>
      </w:pPr>
      <w:r>
        <w:rPr>
          <w:spacing w:val="-9"/>
          <w:sz w:val="21"/>
          <w:szCs w:val="21"/>
        </w:rPr>
        <w:t>(2)</w:t>
      </w:r>
      <w:r>
        <w:rPr>
          <w:spacing w:val="13"/>
          <w:sz w:val="21"/>
          <w:szCs w:val="21"/>
        </w:rPr>
        <w:t xml:space="preserve">   </w:t>
      </w:r>
      <w:r>
        <w:rPr>
          <w:spacing w:val="-9"/>
          <w:sz w:val="21"/>
          <w:szCs w:val="21"/>
        </w:rPr>
        <w:t>招标控制价；</w:t>
      </w:r>
    </w:p>
    <w:p w14:paraId="569CA053">
      <w:pPr>
        <w:pStyle w:val="2"/>
        <w:spacing w:before="175" w:line="221" w:lineRule="auto"/>
        <w:ind w:left="529"/>
        <w:rPr>
          <w:sz w:val="21"/>
          <w:szCs w:val="21"/>
        </w:rPr>
      </w:pPr>
      <w:r>
        <w:rPr>
          <w:spacing w:val="-7"/>
          <w:sz w:val="21"/>
          <w:szCs w:val="21"/>
        </w:rPr>
        <w:t>(3)</w:t>
      </w:r>
      <w:r>
        <w:rPr>
          <w:spacing w:val="12"/>
          <w:sz w:val="21"/>
          <w:szCs w:val="21"/>
        </w:rPr>
        <w:t xml:space="preserve">   </w:t>
      </w:r>
      <w:r>
        <w:rPr>
          <w:spacing w:val="-7"/>
          <w:sz w:val="21"/>
          <w:szCs w:val="21"/>
        </w:rPr>
        <w:t>施工组织设计；</w:t>
      </w:r>
    </w:p>
    <w:p w14:paraId="37B64C09">
      <w:pPr>
        <w:pStyle w:val="2"/>
        <w:spacing w:before="186" w:line="218" w:lineRule="auto"/>
        <w:ind w:left="529"/>
        <w:rPr>
          <w:sz w:val="21"/>
          <w:szCs w:val="21"/>
        </w:rPr>
      </w:pPr>
      <w:r>
        <w:rPr>
          <w:spacing w:val="3"/>
          <w:sz w:val="21"/>
          <w:szCs w:val="21"/>
        </w:rPr>
        <w:t>(4)   投标人已标价的工程量清单或经算术错误修正后的已标价的工程量清单(如果有);</w:t>
      </w:r>
    </w:p>
    <w:p w14:paraId="59409209">
      <w:pPr>
        <w:pStyle w:val="2"/>
        <w:spacing w:before="202" w:line="218" w:lineRule="auto"/>
        <w:ind w:left="529"/>
        <w:rPr>
          <w:sz w:val="21"/>
          <w:szCs w:val="21"/>
        </w:rPr>
      </w:pPr>
      <w:r>
        <w:rPr>
          <w:spacing w:val="4"/>
          <w:sz w:val="21"/>
          <w:szCs w:val="21"/>
        </w:rPr>
        <w:t>(5)   工程所在地工程造价管理部门颁布的工程造价</w:t>
      </w:r>
      <w:r>
        <w:rPr>
          <w:spacing w:val="3"/>
          <w:sz w:val="21"/>
          <w:szCs w:val="21"/>
        </w:rPr>
        <w:t>信息(如果有);</w:t>
      </w:r>
    </w:p>
    <w:p w14:paraId="005A0F68">
      <w:pPr>
        <w:pStyle w:val="2"/>
        <w:spacing w:before="202" w:line="218" w:lineRule="auto"/>
        <w:ind w:left="529"/>
        <w:rPr>
          <w:sz w:val="21"/>
          <w:szCs w:val="21"/>
        </w:rPr>
      </w:pPr>
      <w:r>
        <w:rPr>
          <w:spacing w:val="-6"/>
          <w:sz w:val="21"/>
          <w:szCs w:val="21"/>
        </w:rPr>
        <w:t>(6)</w:t>
      </w:r>
      <w:r>
        <w:rPr>
          <w:spacing w:val="15"/>
          <w:sz w:val="21"/>
          <w:szCs w:val="21"/>
        </w:rPr>
        <w:t xml:space="preserve">   </w:t>
      </w:r>
      <w:r>
        <w:rPr>
          <w:spacing w:val="-6"/>
          <w:sz w:val="21"/>
          <w:szCs w:val="21"/>
        </w:rPr>
        <w:t>工程所在地市场价格水平；</w:t>
      </w:r>
    </w:p>
    <w:p w14:paraId="2670C0DD">
      <w:pPr>
        <w:pStyle w:val="2"/>
        <w:spacing w:before="172" w:line="218" w:lineRule="auto"/>
        <w:ind w:left="529"/>
        <w:rPr>
          <w:sz w:val="21"/>
          <w:szCs w:val="21"/>
        </w:rPr>
      </w:pPr>
      <w:r>
        <w:rPr>
          <w:spacing w:val="-1"/>
          <w:sz w:val="21"/>
          <w:szCs w:val="21"/>
        </w:rPr>
        <w:t>(7)   工程所在地工程造价管理部门颁布的定额或投标人企业</w:t>
      </w:r>
      <w:r>
        <w:rPr>
          <w:spacing w:val="-2"/>
          <w:sz w:val="21"/>
          <w:szCs w:val="21"/>
        </w:rPr>
        <w:t>定额；</w:t>
      </w:r>
    </w:p>
    <w:p w14:paraId="4D146231">
      <w:pPr>
        <w:pStyle w:val="2"/>
        <w:spacing w:before="214" w:line="219" w:lineRule="auto"/>
        <w:ind w:left="529"/>
        <w:rPr>
          <w:sz w:val="21"/>
          <w:szCs w:val="21"/>
        </w:rPr>
      </w:pPr>
      <w:r>
        <w:rPr>
          <w:spacing w:val="-5"/>
          <w:sz w:val="21"/>
          <w:szCs w:val="21"/>
        </w:rPr>
        <w:t>(8)</w:t>
      </w:r>
      <w:r>
        <w:rPr>
          <w:spacing w:val="13"/>
          <w:sz w:val="21"/>
          <w:szCs w:val="21"/>
        </w:rPr>
        <w:t xml:space="preserve">   </w:t>
      </w:r>
      <w:r>
        <w:rPr>
          <w:spacing w:val="-5"/>
          <w:sz w:val="21"/>
          <w:szCs w:val="21"/>
        </w:rPr>
        <w:t>经审计的企业近三年财务报表；</w:t>
      </w:r>
    </w:p>
    <w:p w14:paraId="2F79C255">
      <w:pPr>
        <w:pStyle w:val="2"/>
        <w:spacing w:before="199" w:line="219" w:lineRule="auto"/>
        <w:ind w:left="529"/>
        <w:rPr>
          <w:sz w:val="21"/>
          <w:szCs w:val="21"/>
        </w:rPr>
      </w:pPr>
      <w:r>
        <w:rPr>
          <w:spacing w:val="-6"/>
          <w:sz w:val="21"/>
          <w:szCs w:val="21"/>
        </w:rPr>
        <w:t>(9)</w:t>
      </w:r>
      <w:r>
        <w:rPr>
          <w:spacing w:val="15"/>
          <w:sz w:val="21"/>
          <w:szCs w:val="21"/>
        </w:rPr>
        <w:t xml:space="preserve">   </w:t>
      </w:r>
      <w:r>
        <w:rPr>
          <w:spacing w:val="-6"/>
          <w:sz w:val="21"/>
          <w:szCs w:val="21"/>
        </w:rPr>
        <w:t>投标人所附其他证明资料；</w:t>
      </w:r>
    </w:p>
    <w:p w14:paraId="57745719">
      <w:pPr>
        <w:pStyle w:val="2"/>
        <w:spacing w:before="161" w:line="219" w:lineRule="auto"/>
        <w:ind w:left="529"/>
        <w:rPr>
          <w:sz w:val="21"/>
          <w:szCs w:val="21"/>
        </w:rPr>
      </w:pPr>
      <w:r>
        <w:rPr>
          <w:spacing w:val="-3"/>
          <w:sz w:val="21"/>
          <w:szCs w:val="21"/>
        </w:rPr>
        <w:t>(10)</w:t>
      </w:r>
      <w:r>
        <w:rPr>
          <w:spacing w:val="34"/>
          <w:sz w:val="21"/>
          <w:szCs w:val="21"/>
        </w:rPr>
        <w:t xml:space="preserve">  </w:t>
      </w:r>
      <w:r>
        <w:rPr>
          <w:spacing w:val="-3"/>
          <w:sz w:val="21"/>
          <w:szCs w:val="21"/>
        </w:rPr>
        <w:t>法律法规允许的和招标文件规定的参考依据等。</w:t>
      </w:r>
    </w:p>
    <w:p w14:paraId="2B0628A6">
      <w:pPr>
        <w:spacing w:line="219" w:lineRule="auto"/>
        <w:rPr>
          <w:sz w:val="21"/>
          <w:szCs w:val="21"/>
        </w:rPr>
        <w:sectPr>
          <w:footerReference r:id="rId70" w:type="default"/>
          <w:pgSz w:w="11910" w:h="16840"/>
          <w:pgMar w:top="1431" w:right="1520" w:bottom="1008" w:left="1450" w:header="0" w:footer="855" w:gutter="0"/>
          <w:cols w:space="720" w:num="1"/>
        </w:sectPr>
      </w:pPr>
    </w:p>
    <w:p w14:paraId="7874C4BB">
      <w:pPr>
        <w:spacing w:line="270" w:lineRule="auto"/>
        <w:rPr>
          <w:rFonts w:ascii="Arial"/>
          <w:sz w:val="21"/>
        </w:rPr>
      </w:pPr>
    </w:p>
    <w:p w14:paraId="5EE2F0B8">
      <w:pPr>
        <w:spacing w:before="82" w:line="222" w:lineRule="auto"/>
        <w:ind w:left="409"/>
        <w:outlineLvl w:val="2"/>
        <w:rPr>
          <w:rFonts w:ascii="黑体" w:hAnsi="黑体" w:eastAsia="黑体" w:cs="黑体"/>
          <w:sz w:val="25"/>
          <w:szCs w:val="25"/>
        </w:rPr>
      </w:pPr>
      <w:bookmarkStart w:id="197" w:name="bookmark151"/>
      <w:bookmarkEnd w:id="197"/>
      <w:bookmarkStart w:id="198" w:name="bookmark264"/>
      <w:bookmarkEnd w:id="198"/>
      <w:r>
        <w:rPr>
          <w:rFonts w:ascii="Times New Roman" w:hAnsi="Times New Roman" w:eastAsia="Times New Roman" w:cs="Times New Roman"/>
          <w:b/>
          <w:bCs/>
          <w:spacing w:val="-8"/>
          <w:sz w:val="25"/>
          <w:szCs w:val="25"/>
        </w:rPr>
        <w:t>D3.</w:t>
      </w:r>
      <w:r>
        <w:rPr>
          <w:rFonts w:ascii="Times New Roman" w:hAnsi="Times New Roman" w:eastAsia="Times New Roman" w:cs="Times New Roman"/>
          <w:b/>
          <w:bCs/>
          <w:spacing w:val="-27"/>
          <w:sz w:val="25"/>
          <w:szCs w:val="25"/>
        </w:rPr>
        <w:t xml:space="preserve"> </w:t>
      </w:r>
      <w:r>
        <w:rPr>
          <w:rFonts w:ascii="黑体" w:hAnsi="黑体" w:eastAsia="黑体" w:cs="黑体"/>
          <w:b/>
          <w:bCs/>
          <w:spacing w:val="-8"/>
          <w:sz w:val="25"/>
          <w:szCs w:val="25"/>
        </w:rPr>
        <w:t>对投标价格的合理性进行评审</w:t>
      </w:r>
    </w:p>
    <w:p w14:paraId="38F51960">
      <w:pPr>
        <w:pStyle w:val="2"/>
        <w:spacing w:before="180" w:line="381" w:lineRule="auto"/>
        <w:ind w:firstLine="409"/>
        <w:jc w:val="both"/>
        <w:rPr>
          <w:sz w:val="21"/>
          <w:szCs w:val="21"/>
        </w:rPr>
      </w:pPr>
      <w:r>
        <w:rPr>
          <w:spacing w:val="-1"/>
          <w:sz w:val="21"/>
          <w:szCs w:val="21"/>
        </w:rPr>
        <w:t>评标委员会结合清标成果，对各个投标价格和影响投标价</w:t>
      </w:r>
      <w:r>
        <w:rPr>
          <w:spacing w:val="-2"/>
          <w:sz w:val="21"/>
          <w:szCs w:val="21"/>
        </w:rPr>
        <w:t>格合理性的以下因素逐一进行分析：</w:t>
      </w:r>
      <w:r>
        <w:rPr>
          <w:sz w:val="21"/>
          <w:szCs w:val="21"/>
        </w:rPr>
        <w:t xml:space="preserve"> 当出现下列情况时，应当按本章</w:t>
      </w:r>
      <w:r>
        <w:rPr>
          <w:rFonts w:ascii="Times New Roman" w:hAnsi="Times New Roman" w:eastAsia="Times New Roman" w:cs="Times New Roman"/>
          <w:sz w:val="21"/>
          <w:szCs w:val="21"/>
        </w:rPr>
        <w:t>A3.7</w:t>
      </w:r>
      <w:r>
        <w:rPr>
          <w:rFonts w:ascii="Times New Roman" w:hAnsi="Times New Roman" w:eastAsia="Times New Roman" w:cs="Times New Roman"/>
          <w:spacing w:val="25"/>
          <w:sz w:val="21"/>
          <w:szCs w:val="21"/>
        </w:rPr>
        <w:t xml:space="preserve"> </w:t>
      </w:r>
      <w:r>
        <w:rPr>
          <w:sz w:val="21"/>
          <w:szCs w:val="21"/>
        </w:rPr>
        <w:t>款的程序，要求该投标人作出书面说明并提供相应的证</w:t>
      </w:r>
      <w:r>
        <w:rPr>
          <w:spacing w:val="-1"/>
          <w:sz w:val="21"/>
          <w:szCs w:val="21"/>
        </w:rPr>
        <w:t>明材</w:t>
      </w:r>
      <w:r>
        <w:rPr>
          <w:sz w:val="21"/>
          <w:szCs w:val="21"/>
        </w:rPr>
        <w:t xml:space="preserve"> </w:t>
      </w:r>
      <w:r>
        <w:rPr>
          <w:spacing w:val="-10"/>
          <w:sz w:val="21"/>
          <w:szCs w:val="21"/>
        </w:rPr>
        <w:t>料。</w:t>
      </w:r>
    </w:p>
    <w:p w14:paraId="6611BAC8">
      <w:pPr>
        <w:pStyle w:val="2"/>
        <w:spacing w:before="1" w:line="217" w:lineRule="auto"/>
        <w:ind w:left="409"/>
        <w:rPr>
          <w:sz w:val="21"/>
          <w:szCs w:val="21"/>
        </w:rPr>
      </w:pPr>
      <w:r>
        <w:rPr>
          <w:spacing w:val="5"/>
          <w:sz w:val="21"/>
          <w:szCs w:val="21"/>
        </w:rPr>
        <w:t>1)分部分项工程和单价措施项目清单价格</w:t>
      </w:r>
    </w:p>
    <w:p w14:paraId="71BD198B">
      <w:pPr>
        <w:pStyle w:val="2"/>
        <w:tabs>
          <w:tab w:val="left" w:pos="108"/>
        </w:tabs>
        <w:spacing w:before="184" w:line="382" w:lineRule="auto"/>
        <w:ind w:right="20" w:firstLine="409"/>
        <w:rPr>
          <w:sz w:val="21"/>
          <w:szCs w:val="21"/>
        </w:rPr>
      </w:pPr>
      <w:r>
        <w:rPr>
          <w:sz w:val="21"/>
          <w:szCs w:val="21"/>
        </w:rPr>
        <w:t>投标人已标价工程量清单的分部分项工程和单价措施项目与招标控制价相应项目对比，</w:t>
      </w:r>
      <w:r>
        <w:rPr>
          <w:spacing w:val="-27"/>
          <w:sz w:val="21"/>
          <w:szCs w:val="21"/>
        </w:rPr>
        <w:t xml:space="preserve"> </w:t>
      </w:r>
      <w:r>
        <w:rPr>
          <w:sz w:val="21"/>
          <w:szCs w:val="21"/>
        </w:rPr>
        <w:t xml:space="preserve">综合 </w:t>
      </w:r>
      <w:r>
        <w:rPr>
          <w:spacing w:val="7"/>
          <w:sz w:val="21"/>
          <w:szCs w:val="21"/>
        </w:rPr>
        <w:t>单价低于招标控制价相应项目(房建、安装、仿古、桥梁、隧道20%;装饰、园林2</w:t>
      </w:r>
      <w:r>
        <w:rPr>
          <w:spacing w:val="6"/>
          <w:sz w:val="21"/>
          <w:szCs w:val="21"/>
        </w:rPr>
        <w:t>5%以上；市政</w:t>
      </w:r>
      <w:r>
        <w:rPr>
          <w:sz w:val="21"/>
          <w:szCs w:val="21"/>
        </w:rPr>
        <w:t xml:space="preserve"> </w:t>
      </w:r>
      <w:r>
        <w:rPr>
          <w:sz w:val="21"/>
          <w:szCs w:val="21"/>
        </w:rPr>
        <w:tab/>
      </w:r>
      <w:r>
        <w:rPr>
          <w:spacing w:val="3"/>
          <w:sz w:val="21"/>
          <w:szCs w:val="21"/>
        </w:rPr>
        <w:t>(不含桥梁、隧道)、单独土石方、绿化低于招标控制价相应项</w:t>
      </w:r>
      <w:r>
        <w:rPr>
          <w:spacing w:val="2"/>
          <w:sz w:val="21"/>
          <w:szCs w:val="21"/>
        </w:rPr>
        <w:t>目35%以上);或者主要材料单价低</w:t>
      </w:r>
      <w:r>
        <w:rPr>
          <w:sz w:val="21"/>
          <w:szCs w:val="21"/>
        </w:rPr>
        <w:t xml:space="preserve"> </w:t>
      </w:r>
      <w:r>
        <w:rPr>
          <w:spacing w:val="-1"/>
          <w:sz w:val="21"/>
          <w:szCs w:val="21"/>
        </w:rPr>
        <w:t>于招标控制价相应材料单价25%以上，其中钢材、沥青、砼或水泥材料单价低于招标控制价相应材</w:t>
      </w:r>
      <w:r>
        <w:rPr>
          <w:spacing w:val="5"/>
          <w:sz w:val="21"/>
          <w:szCs w:val="21"/>
        </w:rPr>
        <w:t xml:space="preserve"> 料单价10%以上。综合单价的企业管理费和利润小于等</w:t>
      </w:r>
      <w:r>
        <w:rPr>
          <w:spacing w:val="4"/>
          <w:sz w:val="21"/>
          <w:szCs w:val="21"/>
        </w:rPr>
        <w:t>于0;或者所报的主要材料消耗量低于工程</w:t>
      </w:r>
      <w:r>
        <w:rPr>
          <w:sz w:val="21"/>
          <w:szCs w:val="21"/>
        </w:rPr>
        <w:t xml:space="preserve"> </w:t>
      </w:r>
      <w:r>
        <w:rPr>
          <w:spacing w:val="-5"/>
          <w:sz w:val="21"/>
          <w:szCs w:val="21"/>
        </w:rPr>
        <w:t>量清单实体量。</w:t>
      </w:r>
    </w:p>
    <w:p w14:paraId="04189FBD">
      <w:pPr>
        <w:pStyle w:val="2"/>
        <w:spacing w:before="1" w:line="217" w:lineRule="auto"/>
        <w:ind w:left="409"/>
        <w:rPr>
          <w:sz w:val="21"/>
          <w:szCs w:val="21"/>
        </w:rPr>
      </w:pPr>
      <w:r>
        <w:rPr>
          <w:spacing w:val="9"/>
          <w:sz w:val="21"/>
          <w:szCs w:val="21"/>
        </w:rPr>
        <w:t>2)总价措施项目清单价格</w:t>
      </w:r>
    </w:p>
    <w:p w14:paraId="0C36B9EC">
      <w:pPr>
        <w:pStyle w:val="2"/>
        <w:spacing w:before="192" w:line="369" w:lineRule="auto"/>
        <w:ind w:right="73" w:firstLine="409"/>
        <w:rPr>
          <w:sz w:val="21"/>
          <w:szCs w:val="21"/>
        </w:rPr>
      </w:pPr>
      <w:r>
        <w:rPr>
          <w:spacing w:val="2"/>
          <w:sz w:val="21"/>
          <w:szCs w:val="21"/>
        </w:rPr>
        <w:t>投标人已标价工程量清单的单位工程的总价措施项目费与招标控制价相应单位工程的总价措</w:t>
      </w:r>
      <w:r>
        <w:rPr>
          <w:sz w:val="21"/>
          <w:szCs w:val="21"/>
        </w:rPr>
        <w:t xml:space="preserve"> </w:t>
      </w:r>
      <w:r>
        <w:rPr>
          <w:spacing w:val="1"/>
          <w:sz w:val="21"/>
          <w:szCs w:val="21"/>
        </w:rPr>
        <w:t>施项目费对比，其总价措施项目费低于招标控制价的总价措施项目费40%以上。</w:t>
      </w:r>
    </w:p>
    <w:p w14:paraId="206B72EA">
      <w:pPr>
        <w:pStyle w:val="2"/>
        <w:spacing w:before="1" w:line="217" w:lineRule="auto"/>
        <w:ind w:left="409"/>
        <w:rPr>
          <w:sz w:val="21"/>
          <w:szCs w:val="21"/>
        </w:rPr>
      </w:pPr>
      <w:r>
        <w:rPr>
          <w:spacing w:val="9"/>
          <w:sz w:val="21"/>
          <w:szCs w:val="21"/>
        </w:rPr>
        <w:t>3)其他项目清单价格</w:t>
      </w:r>
    </w:p>
    <w:p w14:paraId="2D17B0EB">
      <w:pPr>
        <w:pStyle w:val="2"/>
        <w:spacing w:before="192" w:line="218" w:lineRule="auto"/>
        <w:ind w:right="9"/>
        <w:jc w:val="right"/>
        <w:rPr>
          <w:sz w:val="21"/>
          <w:szCs w:val="21"/>
        </w:rPr>
      </w:pPr>
      <w:r>
        <w:rPr>
          <w:spacing w:val="1"/>
          <w:sz w:val="21"/>
          <w:szCs w:val="21"/>
        </w:rPr>
        <w:t>投标人已标价工程量清单的单位工程其他项目清单中计日工的企业管理费和利润小于等</w:t>
      </w:r>
      <w:r>
        <w:rPr>
          <w:sz w:val="21"/>
          <w:szCs w:val="21"/>
        </w:rPr>
        <w:t>于0。</w:t>
      </w:r>
    </w:p>
    <w:p w14:paraId="7D8DFD53">
      <w:pPr>
        <w:pStyle w:val="2"/>
        <w:spacing w:before="155" w:line="220" w:lineRule="auto"/>
        <w:ind w:left="409"/>
        <w:rPr>
          <w:sz w:val="21"/>
          <w:szCs w:val="21"/>
        </w:rPr>
      </w:pPr>
      <w:r>
        <w:rPr>
          <w:spacing w:val="10"/>
          <w:sz w:val="21"/>
          <w:szCs w:val="21"/>
        </w:rPr>
        <w:t>4)建设项目总人工费</w:t>
      </w:r>
    </w:p>
    <w:p w14:paraId="5A8BC162">
      <w:pPr>
        <w:pStyle w:val="2"/>
        <w:spacing w:before="197" w:line="383" w:lineRule="auto"/>
        <w:ind w:right="71" w:firstLine="409"/>
        <w:rPr>
          <w:sz w:val="21"/>
          <w:szCs w:val="21"/>
        </w:rPr>
      </w:pPr>
      <w:r>
        <w:rPr>
          <w:spacing w:val="2"/>
          <w:sz w:val="21"/>
          <w:szCs w:val="21"/>
        </w:rPr>
        <w:t>投标人已标价工程量清单的建设项目的总人工费与招标控制价的总人工费对比，其总人工费</w:t>
      </w:r>
      <w:r>
        <w:rPr>
          <w:spacing w:val="1"/>
          <w:sz w:val="21"/>
          <w:szCs w:val="21"/>
        </w:rPr>
        <w:t xml:space="preserve"> </w:t>
      </w:r>
      <w:r>
        <w:rPr>
          <w:spacing w:val="2"/>
          <w:sz w:val="21"/>
          <w:szCs w:val="21"/>
        </w:rPr>
        <w:t>低于招标控制价总人工费的30%以上。</w:t>
      </w:r>
    </w:p>
    <w:p w14:paraId="05D275DB">
      <w:pPr>
        <w:pStyle w:val="2"/>
        <w:spacing w:before="1" w:line="219" w:lineRule="auto"/>
        <w:ind w:left="409"/>
        <w:rPr>
          <w:sz w:val="21"/>
          <w:szCs w:val="21"/>
        </w:rPr>
      </w:pPr>
      <w:r>
        <w:rPr>
          <w:spacing w:val="11"/>
          <w:sz w:val="21"/>
          <w:szCs w:val="21"/>
        </w:rPr>
        <w:t>5)未填报的项目费用</w:t>
      </w:r>
    </w:p>
    <w:p w14:paraId="31012EF7">
      <w:pPr>
        <w:pStyle w:val="2"/>
        <w:spacing w:before="106" w:line="221" w:lineRule="auto"/>
        <w:ind w:left="413"/>
        <w:outlineLvl w:val="2"/>
        <w:rPr>
          <w:rFonts w:ascii="黑体" w:hAnsi="黑体" w:eastAsia="黑体" w:cs="黑体"/>
        </w:rPr>
      </w:pPr>
      <w:bookmarkStart w:id="199" w:name="bookmark152"/>
      <w:bookmarkEnd w:id="199"/>
      <w:r>
        <w:rPr>
          <w:b/>
          <w:bCs/>
          <w:spacing w:val="-5"/>
        </w:rPr>
        <w:t>D4.</w:t>
      </w:r>
      <w:r>
        <w:rPr>
          <w:rFonts w:ascii="黑体" w:hAnsi="黑体" w:eastAsia="黑体" w:cs="黑体"/>
          <w:b/>
          <w:bCs/>
          <w:spacing w:val="-5"/>
        </w:rPr>
        <w:t>澄清、说明或补正</w:t>
      </w:r>
    </w:p>
    <w:p w14:paraId="1B81C97F">
      <w:pPr>
        <w:pStyle w:val="2"/>
        <w:spacing w:before="184" w:line="351" w:lineRule="auto"/>
        <w:ind w:right="28" w:firstLine="409"/>
        <w:rPr>
          <w:sz w:val="21"/>
          <w:szCs w:val="21"/>
        </w:rPr>
      </w:pPr>
      <w:r>
        <w:rPr>
          <w:spacing w:val="2"/>
          <w:sz w:val="21"/>
          <w:szCs w:val="21"/>
        </w:rPr>
        <w:t>评标委员会汇总对投标报价的疑问，按</w:t>
      </w:r>
      <w:r>
        <w:rPr>
          <w:rFonts w:ascii="Times New Roman" w:hAnsi="Times New Roman" w:eastAsia="Times New Roman" w:cs="Times New Roman"/>
          <w:spacing w:val="2"/>
          <w:sz w:val="21"/>
          <w:szCs w:val="21"/>
        </w:rPr>
        <w:t>A3.</w:t>
      </w:r>
      <w:r>
        <w:rPr>
          <w:rFonts w:ascii="Times New Roman" w:hAnsi="Times New Roman" w:eastAsia="Times New Roman" w:cs="Times New Roman"/>
          <w:spacing w:val="1"/>
          <w:sz w:val="21"/>
          <w:szCs w:val="21"/>
        </w:rPr>
        <w:t>7</w:t>
      </w:r>
      <w:r>
        <w:rPr>
          <w:rFonts w:ascii="Times New Roman" w:hAnsi="Times New Roman" w:eastAsia="Times New Roman" w:cs="Times New Roman"/>
          <w:spacing w:val="15"/>
          <w:w w:val="101"/>
          <w:sz w:val="21"/>
          <w:szCs w:val="21"/>
        </w:rPr>
        <w:t xml:space="preserve"> </w:t>
      </w:r>
      <w:r>
        <w:rPr>
          <w:spacing w:val="1"/>
          <w:sz w:val="21"/>
          <w:szCs w:val="21"/>
        </w:rPr>
        <w:t>款的程序启动“澄清、说明或补正”程序，发出</w:t>
      </w:r>
      <w:r>
        <w:rPr>
          <w:sz w:val="21"/>
          <w:szCs w:val="21"/>
        </w:rPr>
        <w:t xml:space="preserve"> </w:t>
      </w:r>
      <w:r>
        <w:rPr>
          <w:spacing w:val="-1"/>
          <w:sz w:val="21"/>
          <w:szCs w:val="21"/>
        </w:rPr>
        <w:t>投标文件澄清通知，要求投标人进行澄清和说明并提交有关证明材料。</w:t>
      </w:r>
    </w:p>
    <w:p w14:paraId="645A52E7">
      <w:pPr>
        <w:spacing w:line="221" w:lineRule="auto"/>
        <w:ind w:left="409"/>
        <w:outlineLvl w:val="2"/>
        <w:rPr>
          <w:rFonts w:ascii="黑体" w:hAnsi="黑体" w:eastAsia="黑体" w:cs="黑体"/>
          <w:sz w:val="25"/>
          <w:szCs w:val="25"/>
        </w:rPr>
      </w:pPr>
      <w:bookmarkStart w:id="200" w:name="bookmark153"/>
      <w:bookmarkEnd w:id="200"/>
      <w:r>
        <w:rPr>
          <w:rFonts w:ascii="Times New Roman" w:hAnsi="Times New Roman" w:eastAsia="Times New Roman" w:cs="Times New Roman"/>
          <w:b/>
          <w:bCs/>
          <w:spacing w:val="-8"/>
          <w:sz w:val="25"/>
          <w:szCs w:val="25"/>
        </w:rPr>
        <w:t>D5.</w:t>
      </w:r>
      <w:r>
        <w:rPr>
          <w:rFonts w:ascii="Times New Roman" w:hAnsi="Times New Roman" w:eastAsia="Times New Roman" w:cs="Times New Roman"/>
          <w:b/>
          <w:bCs/>
          <w:spacing w:val="-32"/>
          <w:sz w:val="25"/>
          <w:szCs w:val="25"/>
        </w:rPr>
        <w:t xml:space="preserve"> </w:t>
      </w:r>
      <w:r>
        <w:rPr>
          <w:rFonts w:ascii="黑体" w:hAnsi="黑体" w:eastAsia="黑体" w:cs="黑体"/>
          <w:b/>
          <w:bCs/>
          <w:spacing w:val="-8"/>
          <w:sz w:val="25"/>
          <w:szCs w:val="25"/>
        </w:rPr>
        <w:t>判断投标报价是否低于其成本</w:t>
      </w:r>
    </w:p>
    <w:p w14:paraId="6F9F315A">
      <w:pPr>
        <w:pStyle w:val="2"/>
        <w:spacing w:before="171" w:line="392" w:lineRule="auto"/>
        <w:ind w:right="72" w:firstLine="409"/>
        <w:rPr>
          <w:sz w:val="21"/>
          <w:szCs w:val="21"/>
        </w:rPr>
      </w:pPr>
      <w:r>
        <w:rPr>
          <w:spacing w:val="2"/>
          <w:sz w:val="21"/>
          <w:szCs w:val="21"/>
        </w:rPr>
        <w:t>评标委员会根据投标人澄清和说明并提交的有关证明材料，判断投标人的投标报价是否低于</w:t>
      </w:r>
      <w:r>
        <w:rPr>
          <w:spacing w:val="1"/>
          <w:sz w:val="21"/>
          <w:szCs w:val="21"/>
        </w:rPr>
        <w:t xml:space="preserve"> </w:t>
      </w:r>
      <w:r>
        <w:rPr>
          <w:spacing w:val="-2"/>
          <w:sz w:val="21"/>
          <w:szCs w:val="21"/>
        </w:rPr>
        <w:t>其成本。使用</w:t>
      </w:r>
      <w:r>
        <w:rPr>
          <w:b/>
          <w:bCs/>
          <w:spacing w:val="-2"/>
          <w:sz w:val="21"/>
          <w:szCs w:val="21"/>
        </w:rPr>
        <w:t>附</w:t>
      </w:r>
      <w:r>
        <w:rPr>
          <w:spacing w:val="-42"/>
          <w:sz w:val="21"/>
          <w:szCs w:val="21"/>
        </w:rPr>
        <w:t xml:space="preserve"> </w:t>
      </w:r>
      <w:r>
        <w:rPr>
          <w:b/>
          <w:bCs/>
          <w:spacing w:val="-2"/>
          <w:sz w:val="21"/>
          <w:szCs w:val="21"/>
        </w:rPr>
        <w:t>表D-1</w:t>
      </w:r>
      <w:r>
        <w:rPr>
          <w:spacing w:val="-19"/>
          <w:sz w:val="21"/>
          <w:szCs w:val="21"/>
        </w:rPr>
        <w:t xml:space="preserve"> </w:t>
      </w:r>
      <w:r>
        <w:rPr>
          <w:spacing w:val="-2"/>
          <w:sz w:val="21"/>
          <w:szCs w:val="21"/>
        </w:rPr>
        <w:t>记录记录评审结果。</w:t>
      </w:r>
    </w:p>
    <w:p w14:paraId="490E6104">
      <w:pPr>
        <w:pStyle w:val="2"/>
        <w:spacing w:before="1" w:line="377" w:lineRule="auto"/>
        <w:ind w:right="75" w:firstLine="409"/>
        <w:rPr>
          <w:sz w:val="21"/>
          <w:szCs w:val="21"/>
        </w:rPr>
      </w:pPr>
      <w:r>
        <w:rPr>
          <w:spacing w:val="2"/>
          <w:sz w:val="21"/>
          <w:szCs w:val="21"/>
        </w:rPr>
        <w:t>如投标人能合理说明或者提供相应证明材料，充分说明低于上述各项定量指标为合理</w:t>
      </w:r>
      <w:r>
        <w:rPr>
          <w:spacing w:val="1"/>
          <w:sz w:val="21"/>
          <w:szCs w:val="21"/>
        </w:rPr>
        <w:t>的，并</w:t>
      </w:r>
      <w:r>
        <w:rPr>
          <w:sz w:val="21"/>
          <w:szCs w:val="21"/>
        </w:rPr>
        <w:t xml:space="preserve"> </w:t>
      </w:r>
      <w:r>
        <w:rPr>
          <w:spacing w:val="-2"/>
          <w:sz w:val="21"/>
          <w:szCs w:val="21"/>
        </w:rPr>
        <w:t>经过评标委员会确认，可视为未低于成本报价。</w:t>
      </w:r>
    </w:p>
    <w:p w14:paraId="465B8301">
      <w:pPr>
        <w:pStyle w:val="2"/>
        <w:spacing w:before="1" w:line="370" w:lineRule="auto"/>
        <w:ind w:right="45" w:firstLine="529"/>
        <w:jc w:val="both"/>
        <w:rPr>
          <w:sz w:val="21"/>
          <w:szCs w:val="21"/>
        </w:rPr>
      </w:pPr>
      <w:r>
        <w:rPr>
          <w:spacing w:val="7"/>
          <w:sz w:val="21"/>
          <w:szCs w:val="21"/>
        </w:rPr>
        <w:t>(1)提供该投标人在近三年中已完成一个类似工程(结构特征和规模相似)的投标报价、分</w:t>
      </w:r>
      <w:r>
        <w:rPr>
          <w:spacing w:val="15"/>
          <w:sz w:val="21"/>
          <w:szCs w:val="21"/>
        </w:rPr>
        <w:t xml:space="preserve"> </w:t>
      </w:r>
      <w:r>
        <w:rPr>
          <w:spacing w:val="2"/>
          <w:sz w:val="21"/>
          <w:szCs w:val="21"/>
        </w:rPr>
        <w:t>部分项工程项目报价，考虑价格变化因素后，与本次投标报价情况近似，同时应由有资质的工程</w:t>
      </w:r>
      <w:r>
        <w:rPr>
          <w:spacing w:val="12"/>
          <w:sz w:val="21"/>
          <w:szCs w:val="21"/>
        </w:rPr>
        <w:t xml:space="preserve"> </w:t>
      </w:r>
      <w:r>
        <w:rPr>
          <w:spacing w:val="2"/>
          <w:sz w:val="21"/>
          <w:szCs w:val="21"/>
        </w:rPr>
        <w:t>造价咨询单位对该工程结算价出具审价报告，表明该投标人已按投标报价及合同约定圆满完成了</w:t>
      </w:r>
    </w:p>
    <w:p w14:paraId="00BA359A">
      <w:pPr>
        <w:spacing w:line="370" w:lineRule="auto"/>
        <w:rPr>
          <w:sz w:val="21"/>
          <w:szCs w:val="21"/>
        </w:rPr>
        <w:sectPr>
          <w:footerReference r:id="rId71" w:type="default"/>
          <w:pgSz w:w="11910" w:h="16840"/>
          <w:pgMar w:top="1431" w:right="1485" w:bottom="999" w:left="1460" w:header="0" w:footer="857" w:gutter="0"/>
          <w:cols w:space="720" w:num="1"/>
        </w:sectPr>
      </w:pPr>
    </w:p>
    <w:p w14:paraId="04AFE40B">
      <w:pPr>
        <w:spacing w:line="356" w:lineRule="auto"/>
        <w:rPr>
          <w:rFonts w:ascii="Arial"/>
          <w:sz w:val="21"/>
        </w:rPr>
      </w:pPr>
    </w:p>
    <w:p w14:paraId="625B390A">
      <w:pPr>
        <w:pStyle w:val="2"/>
        <w:spacing w:before="69" w:line="219" w:lineRule="auto"/>
        <w:rPr>
          <w:sz w:val="21"/>
          <w:szCs w:val="21"/>
        </w:rPr>
      </w:pPr>
      <w:r>
        <w:rPr>
          <w:spacing w:val="-2"/>
          <w:sz w:val="21"/>
          <w:szCs w:val="21"/>
        </w:rPr>
        <w:t>工程施工，并未发生投标人原因而增加的费用。</w:t>
      </w:r>
    </w:p>
    <w:p w14:paraId="2B46C707">
      <w:pPr>
        <w:pStyle w:val="2"/>
        <w:spacing w:before="170" w:line="373" w:lineRule="auto"/>
        <w:ind w:right="47" w:firstLine="509"/>
        <w:rPr>
          <w:sz w:val="21"/>
          <w:szCs w:val="21"/>
        </w:rPr>
      </w:pPr>
      <w:r>
        <w:rPr>
          <w:spacing w:val="2"/>
          <w:sz w:val="21"/>
          <w:szCs w:val="21"/>
        </w:rPr>
        <w:t>(2)能提供该投标人由于使用经省级及以上行业管理部门确认的新技术、新工艺或先进管理</w:t>
      </w:r>
      <w:r>
        <w:rPr>
          <w:sz w:val="21"/>
          <w:szCs w:val="21"/>
        </w:rPr>
        <w:t xml:space="preserve"> </w:t>
      </w:r>
      <w:r>
        <w:rPr>
          <w:spacing w:val="-3"/>
          <w:sz w:val="21"/>
          <w:szCs w:val="21"/>
        </w:rPr>
        <w:t>办法，从而降低工程成本的相关材料。</w:t>
      </w:r>
    </w:p>
    <w:p w14:paraId="519843B2">
      <w:pPr>
        <w:pStyle w:val="2"/>
        <w:spacing w:line="311" w:lineRule="auto"/>
        <w:ind w:firstLine="509"/>
        <w:rPr>
          <w:sz w:val="21"/>
          <w:szCs w:val="21"/>
        </w:rPr>
      </w:pPr>
      <w:r>
        <w:rPr>
          <w:spacing w:val="3"/>
          <w:sz w:val="21"/>
          <w:szCs w:val="21"/>
        </w:rPr>
        <w:t>(3)能提供货物采购合同、发票等可信的证据，以证明其采购到的材料、设备单价低于规定</w:t>
      </w:r>
      <w:r>
        <w:rPr>
          <w:spacing w:val="5"/>
          <w:sz w:val="21"/>
          <w:szCs w:val="21"/>
        </w:rPr>
        <w:t xml:space="preserve"> </w:t>
      </w:r>
      <w:r>
        <w:rPr>
          <w:spacing w:val="-7"/>
          <w:sz w:val="21"/>
          <w:szCs w:val="21"/>
        </w:rPr>
        <w:t>的。</w:t>
      </w:r>
    </w:p>
    <w:p w14:paraId="372E1840">
      <w:pPr>
        <w:pStyle w:val="2"/>
        <w:spacing w:before="172" w:line="218" w:lineRule="auto"/>
        <w:ind w:left="509"/>
        <w:rPr>
          <w:sz w:val="21"/>
          <w:szCs w:val="21"/>
        </w:rPr>
      </w:pPr>
      <w:r>
        <w:rPr>
          <w:spacing w:val="3"/>
          <w:sz w:val="21"/>
          <w:szCs w:val="21"/>
        </w:rPr>
        <w:t>(4)能提供其他有关降低该投标人工程成本的分析报告和</w:t>
      </w:r>
      <w:r>
        <w:rPr>
          <w:spacing w:val="2"/>
          <w:sz w:val="21"/>
          <w:szCs w:val="21"/>
        </w:rPr>
        <w:t>证据材料。</w:t>
      </w:r>
    </w:p>
    <w:p w14:paraId="58998F26">
      <w:pPr>
        <w:pStyle w:val="2"/>
        <w:spacing w:before="204" w:line="352" w:lineRule="auto"/>
        <w:ind w:right="25" w:firstLine="509"/>
        <w:rPr>
          <w:sz w:val="21"/>
          <w:szCs w:val="21"/>
        </w:rPr>
      </w:pPr>
      <w:r>
        <w:rPr>
          <w:spacing w:val="2"/>
          <w:sz w:val="21"/>
          <w:szCs w:val="21"/>
        </w:rPr>
        <w:t>(5)在本章评标办法前附表允许未填报项目的项数范围内，对未填报的项目，以招标控制价</w:t>
      </w:r>
      <w:r>
        <w:rPr>
          <w:sz w:val="21"/>
          <w:szCs w:val="21"/>
        </w:rPr>
        <w:t xml:space="preserve"> </w:t>
      </w:r>
      <w:r>
        <w:rPr>
          <w:spacing w:val="2"/>
          <w:sz w:val="21"/>
          <w:szCs w:val="21"/>
        </w:rPr>
        <w:t>相应项目价格代替未填报的项目计算其未填报的费用合计。如未填报的费用合</w:t>
      </w:r>
      <w:r>
        <w:rPr>
          <w:spacing w:val="1"/>
          <w:sz w:val="21"/>
          <w:szCs w:val="21"/>
        </w:rPr>
        <w:t>计不超过其投标总</w:t>
      </w:r>
      <w:r>
        <w:rPr>
          <w:sz w:val="21"/>
          <w:szCs w:val="21"/>
        </w:rPr>
        <w:t xml:space="preserve"> </w:t>
      </w:r>
      <w:r>
        <w:rPr>
          <w:spacing w:val="9"/>
          <w:sz w:val="21"/>
          <w:szCs w:val="21"/>
        </w:rPr>
        <w:t>报价(修正后的投标总报价，如有)的±1%,由投标人澄清未填报的项目包括在其已标价工程量</w:t>
      </w:r>
      <w:r>
        <w:rPr>
          <w:spacing w:val="15"/>
          <w:sz w:val="21"/>
          <w:szCs w:val="21"/>
        </w:rPr>
        <w:t xml:space="preserve"> </w:t>
      </w:r>
      <w:r>
        <w:rPr>
          <w:spacing w:val="2"/>
          <w:sz w:val="21"/>
          <w:szCs w:val="21"/>
        </w:rPr>
        <w:t>清单的哪个项目中，或承诺如中标后将无条件实施该未填</w:t>
      </w:r>
      <w:r>
        <w:rPr>
          <w:spacing w:val="1"/>
          <w:sz w:val="21"/>
          <w:szCs w:val="21"/>
        </w:rPr>
        <w:t>报的项目。如未填报的费用合计超过其</w:t>
      </w:r>
      <w:r>
        <w:rPr>
          <w:sz w:val="21"/>
          <w:szCs w:val="21"/>
        </w:rPr>
        <w:t xml:space="preserve"> </w:t>
      </w:r>
      <w:r>
        <w:rPr>
          <w:spacing w:val="9"/>
          <w:sz w:val="21"/>
          <w:szCs w:val="21"/>
        </w:rPr>
        <w:t>投标总报价(修正后的投标总报价，如有)</w:t>
      </w:r>
      <w:r>
        <w:rPr>
          <w:spacing w:val="8"/>
          <w:sz w:val="21"/>
          <w:szCs w:val="21"/>
        </w:rPr>
        <w:t>的±1%,评标委员会否决其投标。</w:t>
      </w:r>
    </w:p>
    <w:p w14:paraId="01201027">
      <w:pPr>
        <w:pStyle w:val="2"/>
        <w:spacing w:before="187" w:line="396" w:lineRule="auto"/>
        <w:ind w:right="36" w:firstLine="429"/>
        <w:jc w:val="both"/>
        <w:rPr>
          <w:sz w:val="21"/>
          <w:szCs w:val="21"/>
        </w:rPr>
      </w:pPr>
      <w:r>
        <w:rPr>
          <w:spacing w:val="2"/>
          <w:sz w:val="21"/>
          <w:szCs w:val="21"/>
        </w:rPr>
        <w:t>评标委员会不接受投标人以自有机械闲置、自有材料等不计</w:t>
      </w:r>
      <w:r>
        <w:rPr>
          <w:spacing w:val="1"/>
          <w:sz w:val="21"/>
          <w:szCs w:val="21"/>
        </w:rPr>
        <w:t>成本为由进行投标报价的澄清和</w:t>
      </w:r>
      <w:r>
        <w:rPr>
          <w:sz w:val="21"/>
          <w:szCs w:val="21"/>
        </w:rPr>
        <w:t xml:space="preserve"> </w:t>
      </w:r>
      <w:r>
        <w:rPr>
          <w:spacing w:val="2"/>
          <w:sz w:val="21"/>
          <w:szCs w:val="21"/>
        </w:rPr>
        <w:t>说明。投标人不能合理说明或者不能提供相应证明材料的，只要任意一个需</w:t>
      </w:r>
      <w:r>
        <w:rPr>
          <w:spacing w:val="1"/>
          <w:sz w:val="21"/>
          <w:szCs w:val="21"/>
        </w:rPr>
        <w:t>投标人澄清、说明的</w:t>
      </w:r>
      <w:r>
        <w:rPr>
          <w:sz w:val="21"/>
          <w:szCs w:val="21"/>
        </w:rPr>
        <w:t xml:space="preserve"> 疑问不能令评标委员会认可，由评标委员会认定该投标人以低于成本报价竞标</w:t>
      </w:r>
      <w:r>
        <w:rPr>
          <w:spacing w:val="-1"/>
          <w:sz w:val="21"/>
          <w:szCs w:val="21"/>
        </w:rPr>
        <w:t>，否决其投标。</w:t>
      </w:r>
    </w:p>
    <w:p w14:paraId="30F4EFF5">
      <w:pPr>
        <w:spacing w:line="396" w:lineRule="auto"/>
        <w:rPr>
          <w:sz w:val="21"/>
          <w:szCs w:val="21"/>
        </w:rPr>
        <w:sectPr>
          <w:footerReference r:id="rId72" w:type="default"/>
          <w:pgSz w:w="11910" w:h="16840"/>
          <w:pgMar w:top="1431" w:right="1505" w:bottom="1001" w:left="1470" w:header="0" w:footer="857" w:gutter="0"/>
          <w:cols w:space="720" w:num="1"/>
        </w:sectPr>
      </w:pPr>
    </w:p>
    <w:p w14:paraId="379CFB3A">
      <w:pPr>
        <w:spacing w:line="263" w:lineRule="auto"/>
        <w:rPr>
          <w:rFonts w:ascii="Arial"/>
          <w:sz w:val="21"/>
        </w:rPr>
      </w:pPr>
    </w:p>
    <w:p w14:paraId="19D29ABD">
      <w:pPr>
        <w:spacing w:line="264" w:lineRule="auto"/>
        <w:rPr>
          <w:rFonts w:ascii="Arial"/>
          <w:sz w:val="21"/>
        </w:rPr>
      </w:pPr>
    </w:p>
    <w:p w14:paraId="6B1E94FB">
      <w:pPr>
        <w:spacing w:before="81" w:line="221" w:lineRule="auto"/>
        <w:ind w:left="558"/>
        <w:outlineLvl w:val="2"/>
        <w:rPr>
          <w:rFonts w:ascii="黑体" w:hAnsi="黑体" w:eastAsia="黑体" w:cs="黑体"/>
          <w:sz w:val="25"/>
          <w:szCs w:val="25"/>
        </w:rPr>
      </w:pPr>
      <w:bookmarkStart w:id="201" w:name="bookmark154"/>
      <w:bookmarkEnd w:id="201"/>
      <w:bookmarkStart w:id="202" w:name="bookmark265"/>
      <w:bookmarkEnd w:id="202"/>
      <w:r>
        <w:rPr>
          <w:rFonts w:ascii="黑体" w:hAnsi="黑体" w:eastAsia="黑体" w:cs="黑体"/>
          <w:b/>
          <w:bCs/>
          <w:spacing w:val="-4"/>
          <w:sz w:val="25"/>
          <w:szCs w:val="25"/>
        </w:rPr>
        <w:t>附表</w:t>
      </w:r>
      <w:r>
        <w:rPr>
          <w:rFonts w:ascii="Times New Roman" w:hAnsi="Times New Roman" w:eastAsia="Times New Roman" w:cs="Times New Roman"/>
          <w:b/>
          <w:bCs/>
          <w:spacing w:val="-4"/>
          <w:sz w:val="25"/>
          <w:szCs w:val="25"/>
        </w:rPr>
        <w:t>A-1:</w:t>
      </w:r>
      <w:r>
        <w:rPr>
          <w:rFonts w:ascii="Times New Roman" w:hAnsi="Times New Roman" w:eastAsia="Times New Roman" w:cs="Times New Roman"/>
          <w:b/>
          <w:bCs/>
          <w:spacing w:val="20"/>
          <w:w w:val="101"/>
          <w:sz w:val="25"/>
          <w:szCs w:val="25"/>
        </w:rPr>
        <w:t xml:space="preserve">  </w:t>
      </w:r>
      <w:r>
        <w:rPr>
          <w:rFonts w:ascii="黑体" w:hAnsi="黑体" w:eastAsia="黑体" w:cs="黑体"/>
          <w:b/>
          <w:bCs/>
          <w:spacing w:val="-4"/>
          <w:sz w:val="25"/>
          <w:szCs w:val="25"/>
        </w:rPr>
        <w:t>评标委员会签到表</w:t>
      </w:r>
    </w:p>
    <w:p w14:paraId="19A3616E">
      <w:pPr>
        <w:spacing w:line="255" w:lineRule="auto"/>
        <w:rPr>
          <w:rFonts w:ascii="Arial"/>
          <w:sz w:val="21"/>
        </w:rPr>
      </w:pPr>
    </w:p>
    <w:p w14:paraId="60F456B5">
      <w:pPr>
        <w:spacing w:before="94" w:line="221" w:lineRule="auto"/>
        <w:ind w:left="5759"/>
        <w:rPr>
          <w:rFonts w:ascii="黑体" w:hAnsi="黑体" w:eastAsia="黑体" w:cs="黑体"/>
          <w:sz w:val="29"/>
          <w:szCs w:val="29"/>
        </w:rPr>
      </w:pPr>
      <w:r>
        <w:rPr>
          <w:rFonts w:ascii="黑体" w:hAnsi="黑体" w:eastAsia="黑体" w:cs="黑体"/>
          <w:b/>
          <w:bCs/>
          <w:spacing w:val="-8"/>
          <w:sz w:val="29"/>
          <w:szCs w:val="29"/>
        </w:rPr>
        <w:t>评标委员会签到表</w:t>
      </w:r>
    </w:p>
    <w:p w14:paraId="5FBA0B08">
      <w:pPr>
        <w:spacing w:line="445" w:lineRule="auto"/>
        <w:rPr>
          <w:rFonts w:ascii="Arial"/>
          <w:sz w:val="21"/>
        </w:rPr>
      </w:pPr>
    </w:p>
    <w:p w14:paraId="30D1EC88">
      <w:pPr>
        <w:pStyle w:val="2"/>
        <w:spacing w:before="68" w:line="230" w:lineRule="auto"/>
        <w:ind w:left="114"/>
        <w:rPr>
          <w:sz w:val="19"/>
          <w:szCs w:val="19"/>
        </w:rPr>
      </w:pPr>
      <w:r>
        <w:rPr>
          <w:spacing w:val="5"/>
          <w:sz w:val="19"/>
          <w:szCs w:val="19"/>
        </w:rPr>
        <w:t>工程名称：_</w:t>
      </w:r>
      <w:r>
        <w:rPr>
          <w:spacing w:val="-85"/>
          <w:sz w:val="19"/>
          <w:szCs w:val="19"/>
        </w:rPr>
        <w:t xml:space="preserve"> </w:t>
      </w:r>
      <w:r>
        <w:rPr>
          <w:sz w:val="19"/>
          <w:szCs w:val="19"/>
          <w:u w:val="single" w:color="auto"/>
        </w:rPr>
        <w:t xml:space="preserve">           </w:t>
      </w:r>
      <w:r>
        <w:rPr>
          <w:spacing w:val="-70"/>
          <w:sz w:val="19"/>
          <w:szCs w:val="19"/>
        </w:rPr>
        <w:t xml:space="preserve"> </w:t>
      </w:r>
      <w:r>
        <w:rPr>
          <w:spacing w:val="5"/>
          <w:position w:val="1"/>
          <w:sz w:val="21"/>
          <w:szCs w:val="21"/>
        </w:rPr>
        <w:t>(项目名称)</w:t>
      </w:r>
      <w:r>
        <w:rPr>
          <w:spacing w:val="1"/>
          <w:position w:val="1"/>
          <w:sz w:val="21"/>
          <w:szCs w:val="21"/>
          <w:u w:val="single" w:color="auto"/>
        </w:rPr>
        <w:t xml:space="preserve">       </w:t>
      </w:r>
      <w:r>
        <w:rPr>
          <w:spacing w:val="67"/>
          <w:position w:val="1"/>
          <w:sz w:val="21"/>
          <w:szCs w:val="21"/>
        </w:rPr>
        <w:t xml:space="preserve"> </w:t>
      </w:r>
      <w:r>
        <w:rPr>
          <w:spacing w:val="5"/>
          <w:position w:val="-2"/>
          <w:sz w:val="19"/>
          <w:szCs w:val="19"/>
        </w:rPr>
        <w:t xml:space="preserve">(标段名称)                      </w:t>
      </w:r>
      <w:r>
        <w:rPr>
          <w:spacing w:val="4"/>
          <w:position w:val="-2"/>
          <w:sz w:val="19"/>
          <w:szCs w:val="19"/>
        </w:rPr>
        <w:t xml:space="preserve">                      </w:t>
      </w:r>
      <w:r>
        <w:rPr>
          <w:spacing w:val="4"/>
          <w:sz w:val="19"/>
          <w:szCs w:val="19"/>
        </w:rPr>
        <w:t xml:space="preserve">评标时间：           </w:t>
      </w:r>
      <w:r>
        <w:rPr>
          <w:spacing w:val="4"/>
          <w:position w:val="1"/>
          <w:sz w:val="19"/>
          <w:szCs w:val="19"/>
        </w:rPr>
        <w:t>年     月    日</w:t>
      </w:r>
    </w:p>
    <w:p w14:paraId="73E767DE">
      <w:pPr>
        <w:spacing w:line="200" w:lineRule="exact"/>
      </w:pPr>
    </w:p>
    <w:tbl>
      <w:tblPr>
        <w:tblStyle w:val="5"/>
        <w:tblW w:w="1375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74"/>
        <w:gridCol w:w="3418"/>
        <w:gridCol w:w="2298"/>
        <w:gridCol w:w="2288"/>
        <w:gridCol w:w="2289"/>
        <w:gridCol w:w="2283"/>
      </w:tblGrid>
      <w:tr w14:paraId="444EAD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3" w:hRule="atLeast"/>
        </w:trPr>
        <w:tc>
          <w:tcPr>
            <w:tcW w:w="1174" w:type="dxa"/>
            <w:vAlign w:val="top"/>
          </w:tcPr>
          <w:p w14:paraId="4287CB8F">
            <w:pPr>
              <w:pStyle w:val="6"/>
              <w:spacing w:before="184" w:line="221" w:lineRule="auto"/>
              <w:ind w:left="364"/>
            </w:pPr>
            <w:r>
              <w:rPr>
                <w:spacing w:val="6"/>
              </w:rPr>
              <w:t>序号</w:t>
            </w:r>
          </w:p>
        </w:tc>
        <w:tc>
          <w:tcPr>
            <w:tcW w:w="3418" w:type="dxa"/>
            <w:vAlign w:val="top"/>
          </w:tcPr>
          <w:p w14:paraId="3D673319">
            <w:pPr>
              <w:pStyle w:val="6"/>
              <w:spacing w:before="183" w:line="219" w:lineRule="auto"/>
              <w:ind w:left="1490"/>
            </w:pPr>
            <w:r>
              <w:rPr>
                <w:spacing w:val="13"/>
              </w:rPr>
              <w:t>姓名</w:t>
            </w:r>
          </w:p>
        </w:tc>
        <w:tc>
          <w:tcPr>
            <w:tcW w:w="2298" w:type="dxa"/>
            <w:vAlign w:val="top"/>
          </w:tcPr>
          <w:p w14:paraId="159E57F3">
            <w:pPr>
              <w:pStyle w:val="6"/>
              <w:spacing w:before="186" w:line="221" w:lineRule="auto"/>
              <w:ind w:left="933"/>
            </w:pPr>
            <w:r>
              <w:rPr>
                <w:spacing w:val="-3"/>
              </w:rPr>
              <w:t>职称</w:t>
            </w:r>
          </w:p>
        </w:tc>
        <w:tc>
          <w:tcPr>
            <w:tcW w:w="2288" w:type="dxa"/>
            <w:vAlign w:val="top"/>
          </w:tcPr>
          <w:p w14:paraId="120BB3C8">
            <w:pPr>
              <w:pStyle w:val="6"/>
              <w:spacing w:before="184" w:line="220" w:lineRule="auto"/>
              <w:ind w:left="735"/>
            </w:pPr>
            <w:r>
              <w:rPr>
                <w:spacing w:val="-3"/>
              </w:rPr>
              <w:t>工作单位</w:t>
            </w:r>
          </w:p>
        </w:tc>
        <w:tc>
          <w:tcPr>
            <w:tcW w:w="2289" w:type="dxa"/>
            <w:vAlign w:val="top"/>
          </w:tcPr>
          <w:p w14:paraId="5513AEAE">
            <w:pPr>
              <w:pStyle w:val="6"/>
              <w:spacing w:before="183" w:line="219" w:lineRule="auto"/>
              <w:ind w:left="416"/>
            </w:pPr>
            <w:r>
              <w:rPr>
                <w:spacing w:val="1"/>
              </w:rPr>
              <w:t>专家身份证证号</w:t>
            </w:r>
          </w:p>
        </w:tc>
        <w:tc>
          <w:tcPr>
            <w:tcW w:w="2283" w:type="dxa"/>
            <w:vAlign w:val="top"/>
          </w:tcPr>
          <w:p w14:paraId="34D20B9E">
            <w:pPr>
              <w:pStyle w:val="6"/>
              <w:spacing w:before="184" w:line="220" w:lineRule="auto"/>
              <w:ind w:left="738"/>
            </w:pPr>
            <w:r>
              <w:rPr>
                <w:spacing w:val="5"/>
              </w:rPr>
              <w:t>签到时间</w:t>
            </w:r>
          </w:p>
        </w:tc>
      </w:tr>
      <w:tr w14:paraId="3C1A84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1174" w:type="dxa"/>
            <w:vAlign w:val="top"/>
          </w:tcPr>
          <w:p w14:paraId="3AA1A555">
            <w:pPr>
              <w:pStyle w:val="6"/>
              <w:spacing w:before="201" w:line="241" w:lineRule="auto"/>
              <w:ind w:left="524"/>
            </w:pPr>
            <w:r>
              <w:t>1</w:t>
            </w:r>
          </w:p>
        </w:tc>
        <w:tc>
          <w:tcPr>
            <w:tcW w:w="3418" w:type="dxa"/>
            <w:vAlign w:val="top"/>
          </w:tcPr>
          <w:p w14:paraId="109B313B">
            <w:pPr>
              <w:rPr>
                <w:rFonts w:ascii="Arial"/>
                <w:sz w:val="21"/>
              </w:rPr>
            </w:pPr>
          </w:p>
        </w:tc>
        <w:tc>
          <w:tcPr>
            <w:tcW w:w="2298" w:type="dxa"/>
            <w:vAlign w:val="top"/>
          </w:tcPr>
          <w:p w14:paraId="233EDC3C">
            <w:pPr>
              <w:rPr>
                <w:rFonts w:ascii="Arial"/>
                <w:sz w:val="21"/>
              </w:rPr>
            </w:pPr>
          </w:p>
        </w:tc>
        <w:tc>
          <w:tcPr>
            <w:tcW w:w="2288" w:type="dxa"/>
            <w:vAlign w:val="top"/>
          </w:tcPr>
          <w:p w14:paraId="51098116">
            <w:pPr>
              <w:rPr>
                <w:rFonts w:ascii="Arial"/>
                <w:sz w:val="21"/>
              </w:rPr>
            </w:pPr>
          </w:p>
        </w:tc>
        <w:tc>
          <w:tcPr>
            <w:tcW w:w="2289" w:type="dxa"/>
            <w:vAlign w:val="top"/>
          </w:tcPr>
          <w:p w14:paraId="63CAD422">
            <w:pPr>
              <w:rPr>
                <w:rFonts w:ascii="Arial"/>
                <w:sz w:val="21"/>
              </w:rPr>
            </w:pPr>
          </w:p>
        </w:tc>
        <w:tc>
          <w:tcPr>
            <w:tcW w:w="2283" w:type="dxa"/>
            <w:vAlign w:val="top"/>
          </w:tcPr>
          <w:p w14:paraId="389C93BB">
            <w:pPr>
              <w:rPr>
                <w:rFonts w:ascii="Arial"/>
                <w:sz w:val="21"/>
              </w:rPr>
            </w:pPr>
          </w:p>
        </w:tc>
      </w:tr>
      <w:tr w14:paraId="717B15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1174" w:type="dxa"/>
            <w:vAlign w:val="top"/>
          </w:tcPr>
          <w:p w14:paraId="5FD89BFE">
            <w:pPr>
              <w:pStyle w:val="6"/>
              <w:spacing w:before="202" w:line="241" w:lineRule="auto"/>
              <w:ind w:left="524"/>
            </w:pPr>
            <w:r>
              <w:t>2</w:t>
            </w:r>
          </w:p>
        </w:tc>
        <w:tc>
          <w:tcPr>
            <w:tcW w:w="3418" w:type="dxa"/>
            <w:vAlign w:val="top"/>
          </w:tcPr>
          <w:p w14:paraId="6F07B595">
            <w:pPr>
              <w:rPr>
                <w:rFonts w:ascii="Arial"/>
                <w:sz w:val="21"/>
              </w:rPr>
            </w:pPr>
          </w:p>
        </w:tc>
        <w:tc>
          <w:tcPr>
            <w:tcW w:w="2298" w:type="dxa"/>
            <w:vAlign w:val="top"/>
          </w:tcPr>
          <w:p w14:paraId="20DE2496">
            <w:pPr>
              <w:rPr>
                <w:rFonts w:ascii="Arial"/>
                <w:sz w:val="21"/>
              </w:rPr>
            </w:pPr>
          </w:p>
        </w:tc>
        <w:tc>
          <w:tcPr>
            <w:tcW w:w="2288" w:type="dxa"/>
            <w:vAlign w:val="top"/>
          </w:tcPr>
          <w:p w14:paraId="73CA2A2F">
            <w:pPr>
              <w:rPr>
                <w:rFonts w:ascii="Arial"/>
                <w:sz w:val="21"/>
              </w:rPr>
            </w:pPr>
          </w:p>
        </w:tc>
        <w:tc>
          <w:tcPr>
            <w:tcW w:w="2289" w:type="dxa"/>
            <w:vAlign w:val="top"/>
          </w:tcPr>
          <w:p w14:paraId="1C5466F2">
            <w:pPr>
              <w:rPr>
                <w:rFonts w:ascii="Arial"/>
                <w:sz w:val="21"/>
              </w:rPr>
            </w:pPr>
          </w:p>
        </w:tc>
        <w:tc>
          <w:tcPr>
            <w:tcW w:w="2283" w:type="dxa"/>
            <w:vAlign w:val="top"/>
          </w:tcPr>
          <w:p w14:paraId="40013E1C">
            <w:pPr>
              <w:rPr>
                <w:rFonts w:ascii="Arial"/>
                <w:sz w:val="21"/>
              </w:rPr>
            </w:pPr>
          </w:p>
        </w:tc>
      </w:tr>
      <w:tr w14:paraId="02B7E0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9" w:hRule="atLeast"/>
        </w:trPr>
        <w:tc>
          <w:tcPr>
            <w:tcW w:w="1174" w:type="dxa"/>
            <w:vAlign w:val="top"/>
          </w:tcPr>
          <w:p w14:paraId="47BB6AA7">
            <w:pPr>
              <w:pStyle w:val="6"/>
              <w:spacing w:before="193"/>
              <w:ind w:left="524"/>
            </w:pPr>
            <w:r>
              <w:t>3</w:t>
            </w:r>
          </w:p>
        </w:tc>
        <w:tc>
          <w:tcPr>
            <w:tcW w:w="3418" w:type="dxa"/>
            <w:vAlign w:val="top"/>
          </w:tcPr>
          <w:p w14:paraId="78E8C34B">
            <w:pPr>
              <w:rPr>
                <w:rFonts w:ascii="Arial"/>
                <w:sz w:val="21"/>
              </w:rPr>
            </w:pPr>
          </w:p>
        </w:tc>
        <w:tc>
          <w:tcPr>
            <w:tcW w:w="2298" w:type="dxa"/>
            <w:vAlign w:val="top"/>
          </w:tcPr>
          <w:p w14:paraId="427D6C61">
            <w:pPr>
              <w:rPr>
                <w:rFonts w:ascii="Arial"/>
                <w:sz w:val="21"/>
              </w:rPr>
            </w:pPr>
          </w:p>
        </w:tc>
        <w:tc>
          <w:tcPr>
            <w:tcW w:w="2288" w:type="dxa"/>
            <w:vAlign w:val="top"/>
          </w:tcPr>
          <w:p w14:paraId="1D6006A4">
            <w:pPr>
              <w:rPr>
                <w:rFonts w:ascii="Arial"/>
                <w:sz w:val="21"/>
              </w:rPr>
            </w:pPr>
          </w:p>
        </w:tc>
        <w:tc>
          <w:tcPr>
            <w:tcW w:w="2289" w:type="dxa"/>
            <w:vAlign w:val="top"/>
          </w:tcPr>
          <w:p w14:paraId="10B11791">
            <w:pPr>
              <w:rPr>
                <w:rFonts w:ascii="Arial"/>
                <w:sz w:val="21"/>
              </w:rPr>
            </w:pPr>
          </w:p>
        </w:tc>
        <w:tc>
          <w:tcPr>
            <w:tcW w:w="2283" w:type="dxa"/>
            <w:vAlign w:val="top"/>
          </w:tcPr>
          <w:p w14:paraId="25A17B2B">
            <w:pPr>
              <w:rPr>
                <w:rFonts w:ascii="Arial"/>
                <w:sz w:val="21"/>
              </w:rPr>
            </w:pPr>
          </w:p>
        </w:tc>
      </w:tr>
      <w:tr w14:paraId="6EC247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9" w:hRule="atLeast"/>
        </w:trPr>
        <w:tc>
          <w:tcPr>
            <w:tcW w:w="1174" w:type="dxa"/>
            <w:vAlign w:val="top"/>
          </w:tcPr>
          <w:p w14:paraId="12572B23">
            <w:pPr>
              <w:pStyle w:val="6"/>
              <w:spacing w:before="224" w:line="241" w:lineRule="auto"/>
              <w:ind w:left="524"/>
            </w:pPr>
            <w:r>
              <w:t>4</w:t>
            </w:r>
          </w:p>
        </w:tc>
        <w:tc>
          <w:tcPr>
            <w:tcW w:w="3418" w:type="dxa"/>
            <w:vAlign w:val="top"/>
          </w:tcPr>
          <w:p w14:paraId="5EAADDE8">
            <w:pPr>
              <w:rPr>
                <w:rFonts w:ascii="Arial"/>
                <w:sz w:val="21"/>
              </w:rPr>
            </w:pPr>
          </w:p>
        </w:tc>
        <w:tc>
          <w:tcPr>
            <w:tcW w:w="2298" w:type="dxa"/>
            <w:vAlign w:val="top"/>
          </w:tcPr>
          <w:p w14:paraId="3FDC5CAA">
            <w:pPr>
              <w:rPr>
                <w:rFonts w:ascii="Arial"/>
                <w:sz w:val="21"/>
              </w:rPr>
            </w:pPr>
          </w:p>
        </w:tc>
        <w:tc>
          <w:tcPr>
            <w:tcW w:w="2288" w:type="dxa"/>
            <w:vAlign w:val="top"/>
          </w:tcPr>
          <w:p w14:paraId="0D13C2D6">
            <w:pPr>
              <w:rPr>
                <w:rFonts w:ascii="Arial"/>
                <w:sz w:val="21"/>
              </w:rPr>
            </w:pPr>
          </w:p>
        </w:tc>
        <w:tc>
          <w:tcPr>
            <w:tcW w:w="2289" w:type="dxa"/>
            <w:vAlign w:val="top"/>
          </w:tcPr>
          <w:p w14:paraId="3D1DCA19">
            <w:pPr>
              <w:rPr>
                <w:rFonts w:ascii="Arial"/>
                <w:sz w:val="21"/>
              </w:rPr>
            </w:pPr>
          </w:p>
        </w:tc>
        <w:tc>
          <w:tcPr>
            <w:tcW w:w="2283" w:type="dxa"/>
            <w:vAlign w:val="top"/>
          </w:tcPr>
          <w:p w14:paraId="10DB3214">
            <w:pPr>
              <w:rPr>
                <w:rFonts w:ascii="Arial"/>
                <w:sz w:val="21"/>
              </w:rPr>
            </w:pPr>
          </w:p>
        </w:tc>
      </w:tr>
      <w:tr w14:paraId="6A0CCC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1174" w:type="dxa"/>
            <w:vAlign w:val="top"/>
          </w:tcPr>
          <w:p w14:paraId="1D871BB4">
            <w:pPr>
              <w:pStyle w:val="6"/>
              <w:spacing w:before="194"/>
              <w:ind w:left="524"/>
            </w:pPr>
            <w:r>
              <w:t>5</w:t>
            </w:r>
          </w:p>
        </w:tc>
        <w:tc>
          <w:tcPr>
            <w:tcW w:w="3418" w:type="dxa"/>
            <w:vAlign w:val="top"/>
          </w:tcPr>
          <w:p w14:paraId="433407E1">
            <w:pPr>
              <w:rPr>
                <w:rFonts w:ascii="Arial"/>
                <w:sz w:val="21"/>
              </w:rPr>
            </w:pPr>
          </w:p>
        </w:tc>
        <w:tc>
          <w:tcPr>
            <w:tcW w:w="2298" w:type="dxa"/>
            <w:vAlign w:val="top"/>
          </w:tcPr>
          <w:p w14:paraId="678043FA">
            <w:pPr>
              <w:rPr>
                <w:rFonts w:ascii="Arial"/>
                <w:sz w:val="21"/>
              </w:rPr>
            </w:pPr>
          </w:p>
        </w:tc>
        <w:tc>
          <w:tcPr>
            <w:tcW w:w="2288" w:type="dxa"/>
            <w:vAlign w:val="top"/>
          </w:tcPr>
          <w:p w14:paraId="2A72D5CA">
            <w:pPr>
              <w:rPr>
                <w:rFonts w:ascii="Arial"/>
                <w:sz w:val="21"/>
              </w:rPr>
            </w:pPr>
          </w:p>
        </w:tc>
        <w:tc>
          <w:tcPr>
            <w:tcW w:w="2289" w:type="dxa"/>
            <w:vAlign w:val="top"/>
          </w:tcPr>
          <w:p w14:paraId="29FF909C">
            <w:pPr>
              <w:rPr>
                <w:rFonts w:ascii="Arial"/>
                <w:sz w:val="21"/>
              </w:rPr>
            </w:pPr>
          </w:p>
        </w:tc>
        <w:tc>
          <w:tcPr>
            <w:tcW w:w="2283" w:type="dxa"/>
            <w:vAlign w:val="top"/>
          </w:tcPr>
          <w:p w14:paraId="5D5CDE1B">
            <w:pPr>
              <w:rPr>
                <w:rFonts w:ascii="Arial"/>
                <w:sz w:val="21"/>
              </w:rPr>
            </w:pPr>
          </w:p>
        </w:tc>
      </w:tr>
      <w:tr w14:paraId="073F72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1174" w:type="dxa"/>
            <w:vAlign w:val="top"/>
          </w:tcPr>
          <w:p w14:paraId="78B920A7">
            <w:pPr>
              <w:pStyle w:val="6"/>
              <w:spacing w:before="215"/>
              <w:ind w:left="524"/>
            </w:pPr>
            <w:r>
              <w:t>6</w:t>
            </w:r>
          </w:p>
        </w:tc>
        <w:tc>
          <w:tcPr>
            <w:tcW w:w="3418" w:type="dxa"/>
            <w:vAlign w:val="top"/>
          </w:tcPr>
          <w:p w14:paraId="05D1818A">
            <w:pPr>
              <w:rPr>
                <w:rFonts w:ascii="Arial"/>
                <w:sz w:val="21"/>
              </w:rPr>
            </w:pPr>
          </w:p>
        </w:tc>
        <w:tc>
          <w:tcPr>
            <w:tcW w:w="2298" w:type="dxa"/>
            <w:vAlign w:val="top"/>
          </w:tcPr>
          <w:p w14:paraId="27E67095">
            <w:pPr>
              <w:rPr>
                <w:rFonts w:ascii="Arial"/>
                <w:sz w:val="21"/>
              </w:rPr>
            </w:pPr>
          </w:p>
        </w:tc>
        <w:tc>
          <w:tcPr>
            <w:tcW w:w="2288" w:type="dxa"/>
            <w:vAlign w:val="top"/>
          </w:tcPr>
          <w:p w14:paraId="0ECF4294">
            <w:pPr>
              <w:rPr>
                <w:rFonts w:ascii="Arial"/>
                <w:sz w:val="21"/>
              </w:rPr>
            </w:pPr>
          </w:p>
        </w:tc>
        <w:tc>
          <w:tcPr>
            <w:tcW w:w="2289" w:type="dxa"/>
            <w:vAlign w:val="top"/>
          </w:tcPr>
          <w:p w14:paraId="491B16E5">
            <w:pPr>
              <w:rPr>
                <w:rFonts w:ascii="Arial"/>
                <w:sz w:val="21"/>
              </w:rPr>
            </w:pPr>
          </w:p>
        </w:tc>
        <w:tc>
          <w:tcPr>
            <w:tcW w:w="2283" w:type="dxa"/>
            <w:vAlign w:val="top"/>
          </w:tcPr>
          <w:p w14:paraId="36FBF4C7">
            <w:pPr>
              <w:rPr>
                <w:rFonts w:ascii="Arial"/>
                <w:sz w:val="21"/>
              </w:rPr>
            </w:pPr>
          </w:p>
        </w:tc>
      </w:tr>
      <w:tr w14:paraId="33746E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9" w:hRule="atLeast"/>
        </w:trPr>
        <w:tc>
          <w:tcPr>
            <w:tcW w:w="1174" w:type="dxa"/>
            <w:vAlign w:val="top"/>
          </w:tcPr>
          <w:p w14:paraId="04978AAB">
            <w:pPr>
              <w:pStyle w:val="6"/>
              <w:spacing w:before="207"/>
              <w:ind w:left="524"/>
            </w:pPr>
            <w:r>
              <w:t>7</w:t>
            </w:r>
          </w:p>
        </w:tc>
        <w:tc>
          <w:tcPr>
            <w:tcW w:w="3418" w:type="dxa"/>
            <w:vAlign w:val="top"/>
          </w:tcPr>
          <w:p w14:paraId="5D7E6590">
            <w:pPr>
              <w:rPr>
                <w:rFonts w:ascii="Arial"/>
                <w:sz w:val="21"/>
              </w:rPr>
            </w:pPr>
          </w:p>
        </w:tc>
        <w:tc>
          <w:tcPr>
            <w:tcW w:w="2298" w:type="dxa"/>
            <w:vAlign w:val="top"/>
          </w:tcPr>
          <w:p w14:paraId="0CDFD2D1">
            <w:pPr>
              <w:rPr>
                <w:rFonts w:ascii="Arial"/>
                <w:sz w:val="21"/>
              </w:rPr>
            </w:pPr>
          </w:p>
        </w:tc>
        <w:tc>
          <w:tcPr>
            <w:tcW w:w="2288" w:type="dxa"/>
            <w:vAlign w:val="top"/>
          </w:tcPr>
          <w:p w14:paraId="52F192AE">
            <w:pPr>
              <w:rPr>
                <w:rFonts w:ascii="Arial"/>
                <w:sz w:val="21"/>
              </w:rPr>
            </w:pPr>
          </w:p>
        </w:tc>
        <w:tc>
          <w:tcPr>
            <w:tcW w:w="2289" w:type="dxa"/>
            <w:vAlign w:val="top"/>
          </w:tcPr>
          <w:p w14:paraId="387625DF">
            <w:pPr>
              <w:rPr>
                <w:rFonts w:ascii="Arial"/>
                <w:sz w:val="21"/>
              </w:rPr>
            </w:pPr>
          </w:p>
        </w:tc>
        <w:tc>
          <w:tcPr>
            <w:tcW w:w="2283" w:type="dxa"/>
            <w:vAlign w:val="top"/>
          </w:tcPr>
          <w:p w14:paraId="0ECF8AF7">
            <w:pPr>
              <w:rPr>
                <w:rFonts w:ascii="Arial"/>
                <w:sz w:val="21"/>
              </w:rPr>
            </w:pPr>
          </w:p>
        </w:tc>
      </w:tr>
      <w:tr w14:paraId="7036C1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1174" w:type="dxa"/>
            <w:vAlign w:val="top"/>
          </w:tcPr>
          <w:p w14:paraId="7E48A2FD">
            <w:pPr>
              <w:pStyle w:val="6"/>
              <w:spacing w:before="208"/>
              <w:ind w:left="524"/>
            </w:pPr>
            <w:r>
              <w:t>8</w:t>
            </w:r>
          </w:p>
        </w:tc>
        <w:tc>
          <w:tcPr>
            <w:tcW w:w="3418" w:type="dxa"/>
            <w:vAlign w:val="top"/>
          </w:tcPr>
          <w:p w14:paraId="57E13BE2">
            <w:pPr>
              <w:rPr>
                <w:rFonts w:ascii="Arial"/>
                <w:sz w:val="21"/>
              </w:rPr>
            </w:pPr>
          </w:p>
        </w:tc>
        <w:tc>
          <w:tcPr>
            <w:tcW w:w="2298" w:type="dxa"/>
            <w:vAlign w:val="top"/>
          </w:tcPr>
          <w:p w14:paraId="42B4CFE0">
            <w:pPr>
              <w:rPr>
                <w:rFonts w:ascii="Arial"/>
                <w:sz w:val="21"/>
              </w:rPr>
            </w:pPr>
          </w:p>
        </w:tc>
        <w:tc>
          <w:tcPr>
            <w:tcW w:w="2288" w:type="dxa"/>
            <w:vAlign w:val="top"/>
          </w:tcPr>
          <w:p w14:paraId="32BCD5CE">
            <w:pPr>
              <w:rPr>
                <w:rFonts w:ascii="Arial"/>
                <w:sz w:val="21"/>
              </w:rPr>
            </w:pPr>
          </w:p>
        </w:tc>
        <w:tc>
          <w:tcPr>
            <w:tcW w:w="2289" w:type="dxa"/>
            <w:vAlign w:val="top"/>
          </w:tcPr>
          <w:p w14:paraId="578441D2">
            <w:pPr>
              <w:rPr>
                <w:rFonts w:ascii="Arial"/>
                <w:sz w:val="21"/>
              </w:rPr>
            </w:pPr>
          </w:p>
        </w:tc>
        <w:tc>
          <w:tcPr>
            <w:tcW w:w="2283" w:type="dxa"/>
            <w:vAlign w:val="top"/>
          </w:tcPr>
          <w:p w14:paraId="50BBB0E3">
            <w:pPr>
              <w:rPr>
                <w:rFonts w:ascii="Arial"/>
                <w:sz w:val="21"/>
              </w:rPr>
            </w:pPr>
          </w:p>
        </w:tc>
      </w:tr>
      <w:tr w14:paraId="70E4C3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4" w:hRule="atLeast"/>
        </w:trPr>
        <w:tc>
          <w:tcPr>
            <w:tcW w:w="1174" w:type="dxa"/>
            <w:vAlign w:val="top"/>
          </w:tcPr>
          <w:p w14:paraId="6C7D8A40">
            <w:pPr>
              <w:pStyle w:val="6"/>
              <w:spacing w:before="209"/>
              <w:ind w:left="524"/>
            </w:pPr>
            <w:r>
              <w:t>9</w:t>
            </w:r>
          </w:p>
        </w:tc>
        <w:tc>
          <w:tcPr>
            <w:tcW w:w="3418" w:type="dxa"/>
            <w:vAlign w:val="top"/>
          </w:tcPr>
          <w:p w14:paraId="5A94A170">
            <w:pPr>
              <w:rPr>
                <w:rFonts w:ascii="Arial"/>
                <w:sz w:val="21"/>
              </w:rPr>
            </w:pPr>
          </w:p>
        </w:tc>
        <w:tc>
          <w:tcPr>
            <w:tcW w:w="2298" w:type="dxa"/>
            <w:vAlign w:val="top"/>
          </w:tcPr>
          <w:p w14:paraId="52E21939">
            <w:pPr>
              <w:rPr>
                <w:rFonts w:ascii="Arial"/>
                <w:sz w:val="21"/>
              </w:rPr>
            </w:pPr>
          </w:p>
        </w:tc>
        <w:tc>
          <w:tcPr>
            <w:tcW w:w="2288" w:type="dxa"/>
            <w:vAlign w:val="top"/>
          </w:tcPr>
          <w:p w14:paraId="4201C87B">
            <w:pPr>
              <w:rPr>
                <w:rFonts w:ascii="Arial"/>
                <w:sz w:val="21"/>
              </w:rPr>
            </w:pPr>
          </w:p>
        </w:tc>
        <w:tc>
          <w:tcPr>
            <w:tcW w:w="2289" w:type="dxa"/>
            <w:vAlign w:val="top"/>
          </w:tcPr>
          <w:p w14:paraId="00544158">
            <w:pPr>
              <w:rPr>
                <w:rFonts w:ascii="Arial"/>
                <w:sz w:val="21"/>
              </w:rPr>
            </w:pPr>
          </w:p>
        </w:tc>
        <w:tc>
          <w:tcPr>
            <w:tcW w:w="2283" w:type="dxa"/>
            <w:vAlign w:val="top"/>
          </w:tcPr>
          <w:p w14:paraId="3AFB8DF2">
            <w:pPr>
              <w:rPr>
                <w:rFonts w:ascii="Arial"/>
                <w:sz w:val="21"/>
              </w:rPr>
            </w:pPr>
          </w:p>
        </w:tc>
      </w:tr>
    </w:tbl>
    <w:p w14:paraId="52EA53BC">
      <w:pPr>
        <w:rPr>
          <w:rFonts w:ascii="Arial"/>
          <w:sz w:val="21"/>
        </w:rPr>
      </w:pPr>
    </w:p>
    <w:p w14:paraId="6F9A5351">
      <w:pPr>
        <w:rPr>
          <w:rFonts w:ascii="Arial" w:hAnsi="Arial" w:eastAsia="Arial" w:cs="Arial"/>
          <w:sz w:val="21"/>
          <w:szCs w:val="21"/>
        </w:rPr>
        <w:sectPr>
          <w:footerReference r:id="rId73" w:type="default"/>
          <w:pgSz w:w="16840" w:h="11910"/>
          <w:pgMar w:top="1012" w:right="1514" w:bottom="969" w:left="1564" w:header="0" w:footer="827" w:gutter="0"/>
          <w:cols w:space="720" w:num="1"/>
        </w:sectPr>
      </w:pPr>
    </w:p>
    <w:p w14:paraId="41EAE05C">
      <w:pPr>
        <w:spacing w:line="270" w:lineRule="auto"/>
        <w:rPr>
          <w:rFonts w:ascii="Arial"/>
          <w:sz w:val="21"/>
        </w:rPr>
      </w:pPr>
    </w:p>
    <w:p w14:paraId="57DB64B0">
      <w:pPr>
        <w:spacing w:before="81" w:line="221" w:lineRule="auto"/>
        <w:ind w:left="433"/>
        <w:outlineLvl w:val="2"/>
        <w:rPr>
          <w:rFonts w:ascii="黑体" w:hAnsi="黑体" w:eastAsia="黑体" w:cs="黑体"/>
          <w:sz w:val="25"/>
          <w:szCs w:val="25"/>
        </w:rPr>
      </w:pPr>
      <w:bookmarkStart w:id="203" w:name="bookmark155"/>
      <w:bookmarkEnd w:id="203"/>
      <w:bookmarkStart w:id="204" w:name="bookmark266"/>
      <w:bookmarkEnd w:id="204"/>
      <w:r>
        <w:rPr>
          <w:rFonts w:ascii="黑体" w:hAnsi="黑体" w:eastAsia="黑体" w:cs="黑体"/>
          <w:b/>
          <w:bCs/>
          <w:spacing w:val="-6"/>
          <w:sz w:val="25"/>
          <w:szCs w:val="25"/>
        </w:rPr>
        <w:t>附表</w:t>
      </w:r>
      <w:r>
        <w:rPr>
          <w:rFonts w:ascii="黑体" w:hAnsi="黑体" w:eastAsia="黑体" w:cs="黑体"/>
          <w:spacing w:val="-31"/>
          <w:sz w:val="25"/>
          <w:szCs w:val="25"/>
        </w:rPr>
        <w:t xml:space="preserve"> </w:t>
      </w:r>
      <w:r>
        <w:rPr>
          <w:rFonts w:ascii="Times New Roman" w:hAnsi="Times New Roman" w:eastAsia="Times New Roman" w:cs="Times New Roman"/>
          <w:b/>
          <w:bCs/>
          <w:spacing w:val="-6"/>
          <w:sz w:val="25"/>
          <w:szCs w:val="25"/>
        </w:rPr>
        <w:t xml:space="preserve">A-2:   </w:t>
      </w:r>
      <w:r>
        <w:rPr>
          <w:rFonts w:ascii="黑体" w:hAnsi="黑体" w:eastAsia="黑体" w:cs="黑体"/>
          <w:b/>
          <w:bCs/>
          <w:spacing w:val="-6"/>
          <w:sz w:val="25"/>
          <w:szCs w:val="25"/>
        </w:rPr>
        <w:t>评标专家声明书</w:t>
      </w:r>
    </w:p>
    <w:p w14:paraId="02F63580">
      <w:pPr>
        <w:spacing w:line="351" w:lineRule="auto"/>
        <w:rPr>
          <w:rFonts w:ascii="Arial"/>
          <w:sz w:val="21"/>
        </w:rPr>
      </w:pPr>
    </w:p>
    <w:p w14:paraId="09D3DCE2">
      <w:pPr>
        <w:spacing w:line="351" w:lineRule="auto"/>
        <w:rPr>
          <w:rFonts w:ascii="Arial"/>
          <w:sz w:val="21"/>
        </w:rPr>
      </w:pPr>
    </w:p>
    <w:p w14:paraId="741B1F2A">
      <w:pPr>
        <w:spacing w:before="95" w:line="221" w:lineRule="auto"/>
        <w:ind w:left="3464"/>
        <w:rPr>
          <w:rFonts w:ascii="黑体" w:hAnsi="黑体" w:eastAsia="黑体" w:cs="黑体"/>
          <w:sz w:val="29"/>
          <w:szCs w:val="29"/>
        </w:rPr>
      </w:pPr>
      <w:r>
        <w:rPr>
          <w:rFonts w:ascii="黑体" w:hAnsi="黑体" w:eastAsia="黑体" w:cs="黑体"/>
          <w:b/>
          <w:bCs/>
          <w:spacing w:val="-5"/>
          <w:sz w:val="29"/>
          <w:szCs w:val="29"/>
        </w:rPr>
        <w:t>评标专家声明书</w:t>
      </w:r>
    </w:p>
    <w:p w14:paraId="1874771E">
      <w:pPr>
        <w:spacing w:line="289" w:lineRule="auto"/>
        <w:rPr>
          <w:rFonts w:ascii="Arial"/>
          <w:sz w:val="21"/>
        </w:rPr>
      </w:pPr>
    </w:p>
    <w:p w14:paraId="463150D1">
      <w:pPr>
        <w:spacing w:line="290" w:lineRule="auto"/>
        <w:rPr>
          <w:rFonts w:ascii="Arial"/>
          <w:sz w:val="21"/>
        </w:rPr>
      </w:pPr>
    </w:p>
    <w:p w14:paraId="592F105C">
      <w:pPr>
        <w:pStyle w:val="2"/>
        <w:spacing w:before="65" w:line="213" w:lineRule="auto"/>
        <w:jc w:val="right"/>
        <w:rPr>
          <w:sz w:val="20"/>
          <w:szCs w:val="20"/>
        </w:rPr>
      </w:pPr>
      <w:r>
        <w:rPr>
          <w:spacing w:val="13"/>
          <w:sz w:val="20"/>
          <w:szCs w:val="20"/>
        </w:rPr>
        <w:t>本人接受招标人邀请，担任</w:t>
      </w:r>
      <w:r>
        <w:rPr>
          <w:spacing w:val="4"/>
          <w:sz w:val="20"/>
          <w:szCs w:val="20"/>
          <w:u w:val="single" w:color="auto"/>
        </w:rPr>
        <w:t xml:space="preserve">          </w:t>
      </w:r>
      <w:r>
        <w:rPr>
          <w:spacing w:val="13"/>
          <w:sz w:val="20"/>
          <w:szCs w:val="20"/>
        </w:rPr>
        <w:t xml:space="preserve"> (项目名称)</w:t>
      </w:r>
      <w:r>
        <w:rPr>
          <w:spacing w:val="-73"/>
          <w:sz w:val="20"/>
          <w:szCs w:val="20"/>
        </w:rPr>
        <w:t xml:space="preserve"> </w:t>
      </w:r>
      <w:r>
        <w:rPr>
          <w:spacing w:val="20"/>
          <w:sz w:val="20"/>
          <w:szCs w:val="20"/>
          <w:u w:val="single" w:color="auto"/>
        </w:rPr>
        <w:t xml:space="preserve">    </w:t>
      </w:r>
      <w:r>
        <w:rPr>
          <w:spacing w:val="-80"/>
          <w:sz w:val="20"/>
          <w:szCs w:val="20"/>
        </w:rPr>
        <w:t xml:space="preserve"> </w:t>
      </w:r>
      <w:r>
        <w:rPr>
          <w:spacing w:val="13"/>
          <w:sz w:val="20"/>
          <w:szCs w:val="20"/>
        </w:rPr>
        <w:t>_</w:t>
      </w:r>
      <w:r>
        <w:rPr>
          <w:spacing w:val="-37"/>
          <w:sz w:val="20"/>
          <w:szCs w:val="20"/>
        </w:rPr>
        <w:t xml:space="preserve"> </w:t>
      </w:r>
      <w:r>
        <w:rPr>
          <w:spacing w:val="13"/>
          <w:sz w:val="20"/>
          <w:szCs w:val="20"/>
        </w:rPr>
        <w:t>(标段名称)施工招标的评标专家。</w:t>
      </w:r>
    </w:p>
    <w:p w14:paraId="46D71A1E">
      <w:pPr>
        <w:pStyle w:val="2"/>
        <w:spacing w:before="205" w:line="397" w:lineRule="auto"/>
        <w:ind w:right="149" w:firstLine="429"/>
        <w:rPr>
          <w:sz w:val="20"/>
          <w:szCs w:val="20"/>
        </w:rPr>
      </w:pPr>
      <w:r>
        <w:rPr>
          <w:spacing w:val="12"/>
          <w:sz w:val="20"/>
          <w:szCs w:val="20"/>
        </w:rPr>
        <w:t>本人声明：本人在评标前未与招标人、招标代理机构以及任何投标人或者与招标结果有利害</w:t>
      </w:r>
      <w:r>
        <w:rPr>
          <w:spacing w:val="2"/>
          <w:sz w:val="20"/>
          <w:szCs w:val="20"/>
        </w:rPr>
        <w:t xml:space="preserve"> </w:t>
      </w:r>
      <w:r>
        <w:rPr>
          <w:spacing w:val="11"/>
          <w:sz w:val="20"/>
          <w:szCs w:val="20"/>
        </w:rPr>
        <w:t>关系的人发生可能影响评标结果的接触；在中标结果确定之前，不向外透露对投标文件的评审、</w:t>
      </w:r>
      <w:r>
        <w:rPr>
          <w:spacing w:val="8"/>
          <w:sz w:val="20"/>
          <w:szCs w:val="20"/>
        </w:rPr>
        <w:t xml:space="preserve">  </w:t>
      </w:r>
      <w:r>
        <w:rPr>
          <w:spacing w:val="9"/>
          <w:sz w:val="20"/>
          <w:szCs w:val="20"/>
        </w:rPr>
        <w:t>中标候选人的推荐情况以及与评标有关的其他情况；不收受招标人超出合理报酬</w:t>
      </w:r>
      <w:r>
        <w:rPr>
          <w:spacing w:val="8"/>
          <w:sz w:val="20"/>
          <w:szCs w:val="20"/>
        </w:rPr>
        <w:t>以外的任何现金、</w:t>
      </w:r>
      <w:r>
        <w:rPr>
          <w:sz w:val="20"/>
          <w:szCs w:val="20"/>
        </w:rPr>
        <w:t xml:space="preserve"> </w:t>
      </w:r>
      <w:r>
        <w:rPr>
          <w:spacing w:val="14"/>
          <w:sz w:val="20"/>
          <w:szCs w:val="20"/>
        </w:rPr>
        <w:t>有价证券和礼物；不收受关利害关系人的任何</w:t>
      </w:r>
      <w:r>
        <w:rPr>
          <w:spacing w:val="13"/>
          <w:sz w:val="20"/>
          <w:szCs w:val="20"/>
        </w:rPr>
        <w:t>财物和好处；不存在按投标人须知第6.1.2款规定</w:t>
      </w:r>
      <w:r>
        <w:rPr>
          <w:sz w:val="20"/>
          <w:szCs w:val="20"/>
        </w:rPr>
        <w:t xml:space="preserve">  </w:t>
      </w:r>
      <w:r>
        <w:rPr>
          <w:spacing w:val="4"/>
          <w:sz w:val="20"/>
          <w:szCs w:val="20"/>
        </w:rPr>
        <w:t>需要回避的情形。</w:t>
      </w:r>
    </w:p>
    <w:p w14:paraId="32101BA1">
      <w:pPr>
        <w:pStyle w:val="2"/>
        <w:spacing w:before="3" w:line="397" w:lineRule="auto"/>
        <w:ind w:right="221" w:firstLine="429"/>
        <w:jc w:val="both"/>
        <w:rPr>
          <w:sz w:val="20"/>
          <w:szCs w:val="20"/>
        </w:rPr>
      </w:pPr>
      <w:r>
        <w:rPr>
          <w:spacing w:val="12"/>
          <w:sz w:val="20"/>
          <w:szCs w:val="20"/>
        </w:rPr>
        <w:t>本人保证：在评标过程中，遵守有评标纪律，不向招标人征询其确定中标人的意向，</w:t>
      </w:r>
      <w:r>
        <w:rPr>
          <w:spacing w:val="11"/>
          <w:sz w:val="20"/>
          <w:szCs w:val="20"/>
        </w:rPr>
        <w:t>不接受</w:t>
      </w:r>
      <w:r>
        <w:rPr>
          <w:sz w:val="20"/>
          <w:szCs w:val="20"/>
        </w:rPr>
        <w:t xml:space="preserve"> </w:t>
      </w:r>
      <w:r>
        <w:rPr>
          <w:spacing w:val="12"/>
          <w:sz w:val="20"/>
          <w:szCs w:val="20"/>
        </w:rPr>
        <w:t>任何单位或者个人明示或者暗示提出的倾向或者排斥特定投标人的要求，不对依法应当否决的投</w:t>
      </w:r>
      <w:r>
        <w:rPr>
          <w:spacing w:val="3"/>
          <w:sz w:val="20"/>
          <w:szCs w:val="20"/>
        </w:rPr>
        <w:t xml:space="preserve"> </w:t>
      </w:r>
      <w:r>
        <w:rPr>
          <w:spacing w:val="12"/>
          <w:sz w:val="20"/>
          <w:szCs w:val="20"/>
        </w:rPr>
        <w:t>标不提出否决意见，不暗示或者诱导投标人作出澄清、说明或者接受投标人主动提出的澄清、说</w:t>
      </w:r>
      <w:r>
        <w:rPr>
          <w:spacing w:val="3"/>
          <w:sz w:val="20"/>
          <w:szCs w:val="20"/>
        </w:rPr>
        <w:t xml:space="preserve"> </w:t>
      </w:r>
      <w:r>
        <w:rPr>
          <w:spacing w:val="9"/>
          <w:sz w:val="20"/>
          <w:szCs w:val="20"/>
        </w:rPr>
        <w:t>明；服从评标委员会的统一安排；独立、客观、公正地履行评标专家职责。</w:t>
      </w:r>
    </w:p>
    <w:p w14:paraId="0532F9FA">
      <w:pPr>
        <w:pStyle w:val="2"/>
        <w:spacing w:before="27" w:line="390" w:lineRule="auto"/>
        <w:ind w:right="220" w:firstLine="429"/>
        <w:rPr>
          <w:sz w:val="20"/>
          <w:szCs w:val="20"/>
        </w:rPr>
      </w:pPr>
      <w:r>
        <w:rPr>
          <w:spacing w:val="12"/>
          <w:sz w:val="20"/>
          <w:szCs w:val="20"/>
        </w:rPr>
        <w:t>本人接受有关行政监督部门依法实施监督。如违反上述承诺或者不能履行评标专家职责</w:t>
      </w:r>
      <w:r>
        <w:rPr>
          <w:spacing w:val="11"/>
          <w:sz w:val="20"/>
          <w:szCs w:val="20"/>
        </w:rPr>
        <w:t>，本</w:t>
      </w:r>
      <w:r>
        <w:rPr>
          <w:sz w:val="20"/>
          <w:szCs w:val="20"/>
        </w:rPr>
        <w:t xml:space="preserve"> </w:t>
      </w:r>
      <w:r>
        <w:rPr>
          <w:spacing w:val="8"/>
          <w:sz w:val="20"/>
          <w:szCs w:val="20"/>
        </w:rPr>
        <w:t>人愿意承担一切由此带来的法律责任。</w:t>
      </w:r>
    </w:p>
    <w:p w14:paraId="577BB582">
      <w:pPr>
        <w:pStyle w:val="2"/>
        <w:spacing w:before="5" w:line="219" w:lineRule="auto"/>
        <w:ind w:left="429"/>
        <w:rPr>
          <w:sz w:val="20"/>
          <w:szCs w:val="20"/>
        </w:rPr>
      </w:pPr>
      <w:r>
        <w:rPr>
          <w:spacing w:val="4"/>
          <w:sz w:val="20"/>
          <w:szCs w:val="20"/>
        </w:rPr>
        <w:t>特此声明。</w:t>
      </w:r>
    </w:p>
    <w:p w14:paraId="2211F36F">
      <w:pPr>
        <w:spacing w:line="276" w:lineRule="auto"/>
        <w:rPr>
          <w:rFonts w:ascii="Arial"/>
          <w:sz w:val="21"/>
        </w:rPr>
      </w:pPr>
    </w:p>
    <w:p w14:paraId="6482309F">
      <w:pPr>
        <w:spacing w:line="276" w:lineRule="auto"/>
        <w:rPr>
          <w:rFonts w:ascii="Arial"/>
          <w:sz w:val="21"/>
        </w:rPr>
      </w:pPr>
    </w:p>
    <w:p w14:paraId="5540E63E">
      <w:pPr>
        <w:pStyle w:val="2"/>
        <w:spacing w:before="66" w:line="219" w:lineRule="auto"/>
        <w:ind w:left="5180"/>
        <w:rPr>
          <w:sz w:val="20"/>
          <w:szCs w:val="20"/>
        </w:rPr>
      </w:pPr>
      <w:r>
        <w:rPr>
          <w:spacing w:val="4"/>
          <w:sz w:val="20"/>
          <w:szCs w:val="20"/>
        </w:rPr>
        <w:t>评标委员会成员签名：</w:t>
      </w:r>
    </w:p>
    <w:p w14:paraId="2E250BC4">
      <w:pPr>
        <w:pStyle w:val="2"/>
        <w:spacing w:before="194" w:line="219" w:lineRule="auto"/>
        <w:ind w:left="5499"/>
        <w:rPr>
          <w:sz w:val="20"/>
          <w:szCs w:val="20"/>
        </w:rPr>
      </w:pPr>
      <w:r>
        <w:rPr>
          <w:spacing w:val="-9"/>
          <w:sz w:val="16"/>
          <w:szCs w:val="16"/>
        </w:rPr>
        <w:t xml:space="preserve">日 期 ：         </w:t>
      </w:r>
      <w:r>
        <w:rPr>
          <w:spacing w:val="-9"/>
          <w:sz w:val="20"/>
          <w:szCs w:val="20"/>
        </w:rPr>
        <w:t>年</w:t>
      </w:r>
      <w:r>
        <w:rPr>
          <w:spacing w:val="16"/>
          <w:sz w:val="20"/>
          <w:szCs w:val="20"/>
        </w:rPr>
        <w:t xml:space="preserve">    </w:t>
      </w:r>
      <w:r>
        <w:rPr>
          <w:spacing w:val="-9"/>
          <w:sz w:val="20"/>
          <w:szCs w:val="20"/>
        </w:rPr>
        <w:t>月     日</w:t>
      </w:r>
    </w:p>
    <w:p w14:paraId="70B090D6">
      <w:pPr>
        <w:spacing w:line="219" w:lineRule="auto"/>
        <w:rPr>
          <w:sz w:val="20"/>
          <w:szCs w:val="20"/>
        </w:rPr>
        <w:sectPr>
          <w:footerReference r:id="rId74" w:type="default"/>
          <w:pgSz w:w="11910" w:h="16840"/>
          <w:pgMar w:top="1431" w:right="1330" w:bottom="1001" w:left="1450" w:header="0" w:footer="857" w:gutter="0"/>
          <w:cols w:space="720" w:num="1"/>
        </w:sectPr>
      </w:pPr>
    </w:p>
    <w:p w14:paraId="518007BC">
      <w:pPr>
        <w:spacing w:line="270" w:lineRule="auto"/>
        <w:rPr>
          <w:rFonts w:ascii="Arial"/>
          <w:sz w:val="21"/>
        </w:rPr>
      </w:pPr>
    </w:p>
    <w:p w14:paraId="23B6074D">
      <w:pPr>
        <w:spacing w:before="81" w:line="221" w:lineRule="auto"/>
        <w:ind w:left="538"/>
        <w:outlineLvl w:val="2"/>
        <w:rPr>
          <w:rFonts w:ascii="黑体" w:hAnsi="黑体" w:eastAsia="黑体" w:cs="黑体"/>
          <w:sz w:val="25"/>
          <w:szCs w:val="25"/>
        </w:rPr>
      </w:pPr>
      <w:bookmarkStart w:id="205" w:name="bookmark156"/>
      <w:bookmarkEnd w:id="205"/>
      <w:bookmarkStart w:id="206" w:name="bookmark267"/>
      <w:bookmarkEnd w:id="206"/>
      <w:r>
        <w:rPr>
          <w:rFonts w:ascii="黑体" w:hAnsi="黑体" w:eastAsia="黑体" w:cs="黑体"/>
          <w:b/>
          <w:bCs/>
          <w:spacing w:val="-2"/>
          <w:sz w:val="25"/>
          <w:szCs w:val="25"/>
        </w:rPr>
        <w:t>附表</w:t>
      </w:r>
      <w:r>
        <w:rPr>
          <w:rFonts w:ascii="黑体" w:hAnsi="黑体" w:eastAsia="黑体" w:cs="黑体"/>
          <w:spacing w:val="-62"/>
          <w:sz w:val="25"/>
          <w:szCs w:val="25"/>
        </w:rPr>
        <w:t xml:space="preserve"> </w:t>
      </w:r>
      <w:r>
        <w:rPr>
          <w:rFonts w:ascii="Times New Roman" w:hAnsi="Times New Roman" w:eastAsia="Times New Roman" w:cs="Times New Roman"/>
          <w:b/>
          <w:bCs/>
          <w:spacing w:val="-2"/>
          <w:sz w:val="25"/>
          <w:szCs w:val="25"/>
        </w:rPr>
        <w:t>A-3:</w:t>
      </w:r>
      <w:r>
        <w:rPr>
          <w:rFonts w:ascii="Times New Roman" w:hAnsi="Times New Roman" w:eastAsia="Times New Roman" w:cs="Times New Roman"/>
          <w:b/>
          <w:bCs/>
          <w:spacing w:val="29"/>
          <w:w w:val="101"/>
          <w:sz w:val="25"/>
          <w:szCs w:val="25"/>
        </w:rPr>
        <w:t xml:space="preserve">  </w:t>
      </w:r>
      <w:r>
        <w:rPr>
          <w:rFonts w:ascii="黑体" w:hAnsi="黑体" w:eastAsia="黑体" w:cs="黑体"/>
          <w:b/>
          <w:bCs/>
          <w:spacing w:val="-2"/>
          <w:sz w:val="25"/>
          <w:szCs w:val="25"/>
        </w:rPr>
        <w:t>技术暗标编号确认表(适用于非计</w:t>
      </w:r>
      <w:r>
        <w:rPr>
          <w:rFonts w:ascii="黑体" w:hAnsi="黑体" w:eastAsia="黑体" w:cs="黑体"/>
          <w:b/>
          <w:bCs/>
          <w:spacing w:val="-3"/>
          <w:sz w:val="25"/>
          <w:szCs w:val="25"/>
        </w:rPr>
        <w:t>算机辅助评标)</w:t>
      </w:r>
    </w:p>
    <w:p w14:paraId="57C17382">
      <w:pPr>
        <w:spacing w:line="268" w:lineRule="auto"/>
        <w:rPr>
          <w:rFonts w:ascii="Arial"/>
          <w:sz w:val="21"/>
        </w:rPr>
      </w:pPr>
    </w:p>
    <w:p w14:paraId="3CCFA272">
      <w:pPr>
        <w:spacing w:line="268" w:lineRule="auto"/>
        <w:rPr>
          <w:rFonts w:ascii="Arial"/>
          <w:sz w:val="21"/>
        </w:rPr>
      </w:pPr>
    </w:p>
    <w:p w14:paraId="0ABA6BD7">
      <w:pPr>
        <w:spacing w:before="91" w:line="221" w:lineRule="auto"/>
        <w:ind w:left="3299"/>
        <w:rPr>
          <w:rFonts w:ascii="黑体" w:hAnsi="黑体" w:eastAsia="黑体" w:cs="黑体"/>
          <w:sz w:val="28"/>
          <w:szCs w:val="28"/>
        </w:rPr>
      </w:pPr>
      <w:r>
        <w:rPr>
          <w:rFonts w:ascii="黑体" w:hAnsi="黑体" w:eastAsia="黑体" w:cs="黑体"/>
          <w:b/>
          <w:bCs/>
          <w:sz w:val="28"/>
          <w:szCs w:val="28"/>
        </w:rPr>
        <w:t>技术暗标编号确认表</w:t>
      </w:r>
    </w:p>
    <w:p w14:paraId="120E1AC0">
      <w:pPr>
        <w:spacing w:line="251" w:lineRule="auto"/>
        <w:rPr>
          <w:rFonts w:ascii="Arial"/>
          <w:sz w:val="21"/>
        </w:rPr>
      </w:pPr>
    </w:p>
    <w:p w14:paraId="32B23C66">
      <w:pPr>
        <w:spacing w:line="252" w:lineRule="auto"/>
        <w:rPr>
          <w:rFonts w:ascii="Arial"/>
          <w:sz w:val="21"/>
        </w:rPr>
      </w:pPr>
    </w:p>
    <w:p w14:paraId="1E9E0789">
      <w:pPr>
        <w:pStyle w:val="2"/>
        <w:spacing w:before="65" w:line="227" w:lineRule="auto"/>
        <w:ind w:left="105"/>
        <w:rPr>
          <w:sz w:val="20"/>
          <w:szCs w:val="20"/>
        </w:rPr>
      </w:pPr>
      <w:r>
        <w:rPr>
          <w:spacing w:val="3"/>
          <w:sz w:val="20"/>
          <w:szCs w:val="20"/>
        </w:rPr>
        <w:t>工程名称：</w:t>
      </w:r>
      <w:r>
        <w:rPr>
          <w:spacing w:val="-51"/>
          <w:sz w:val="20"/>
          <w:szCs w:val="20"/>
        </w:rPr>
        <w:t xml:space="preserve"> </w:t>
      </w:r>
      <w:r>
        <w:rPr>
          <w:spacing w:val="5"/>
          <w:sz w:val="20"/>
          <w:szCs w:val="20"/>
          <w:u w:val="single" w:color="auto"/>
        </w:rPr>
        <w:t xml:space="preserve">             </w:t>
      </w:r>
      <w:r>
        <w:rPr>
          <w:spacing w:val="-55"/>
          <w:sz w:val="20"/>
          <w:szCs w:val="20"/>
        </w:rPr>
        <w:t xml:space="preserve"> </w:t>
      </w:r>
      <w:r>
        <w:rPr>
          <w:spacing w:val="3"/>
          <w:sz w:val="20"/>
          <w:szCs w:val="20"/>
        </w:rPr>
        <w:t>(项目名称)</w:t>
      </w:r>
      <w:r>
        <w:rPr>
          <w:spacing w:val="3"/>
          <w:sz w:val="20"/>
          <w:szCs w:val="20"/>
          <w:u w:val="single" w:color="auto"/>
        </w:rPr>
        <w:t xml:space="preserve">          </w:t>
      </w:r>
      <w:r>
        <w:rPr>
          <w:spacing w:val="-28"/>
          <w:sz w:val="20"/>
          <w:szCs w:val="20"/>
        </w:rPr>
        <w:t xml:space="preserve"> </w:t>
      </w:r>
      <w:r>
        <w:rPr>
          <w:spacing w:val="3"/>
          <w:sz w:val="20"/>
          <w:szCs w:val="20"/>
        </w:rPr>
        <w:t>(标段名称)</w:t>
      </w:r>
    </w:p>
    <w:p w14:paraId="01F8809B">
      <w:pPr>
        <w:spacing w:line="217" w:lineRule="exact"/>
      </w:pPr>
    </w:p>
    <w:tbl>
      <w:tblPr>
        <w:tblStyle w:val="5"/>
        <w:tblW w:w="910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34"/>
        <w:gridCol w:w="2697"/>
        <w:gridCol w:w="5778"/>
      </w:tblGrid>
      <w:tr w14:paraId="60E8EE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 w:hRule="atLeast"/>
        </w:trPr>
        <w:tc>
          <w:tcPr>
            <w:tcW w:w="634" w:type="dxa"/>
            <w:vAlign w:val="top"/>
          </w:tcPr>
          <w:p w14:paraId="5D168FEB">
            <w:pPr>
              <w:pStyle w:val="6"/>
              <w:spacing w:before="154" w:line="219" w:lineRule="auto"/>
              <w:ind w:left="85"/>
            </w:pPr>
            <w:r>
              <w:rPr>
                <w:spacing w:val="6"/>
              </w:rPr>
              <w:t>序号</w:t>
            </w:r>
          </w:p>
        </w:tc>
        <w:tc>
          <w:tcPr>
            <w:tcW w:w="2697" w:type="dxa"/>
            <w:vAlign w:val="top"/>
          </w:tcPr>
          <w:p w14:paraId="00081577">
            <w:pPr>
              <w:pStyle w:val="6"/>
              <w:spacing w:before="163" w:line="211" w:lineRule="auto"/>
              <w:ind w:left="930"/>
            </w:pPr>
            <w:r>
              <w:rPr>
                <w:spacing w:val="3"/>
              </w:rPr>
              <w:t>暗标编号</w:t>
            </w:r>
          </w:p>
        </w:tc>
        <w:tc>
          <w:tcPr>
            <w:tcW w:w="5778" w:type="dxa"/>
            <w:vAlign w:val="top"/>
          </w:tcPr>
          <w:p w14:paraId="354C2ED3">
            <w:pPr>
              <w:pStyle w:val="6"/>
              <w:spacing w:before="163" w:line="211" w:lineRule="auto"/>
              <w:ind w:left="1953"/>
            </w:pPr>
            <w:r>
              <w:rPr>
                <w:spacing w:val="-1"/>
              </w:rPr>
              <w:t>确认的投标单位名称</w:t>
            </w:r>
          </w:p>
        </w:tc>
      </w:tr>
      <w:tr w14:paraId="45AA43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9" w:hRule="atLeast"/>
        </w:trPr>
        <w:tc>
          <w:tcPr>
            <w:tcW w:w="634" w:type="dxa"/>
            <w:vAlign w:val="top"/>
          </w:tcPr>
          <w:p w14:paraId="3E2796CA">
            <w:pPr>
              <w:rPr>
                <w:rFonts w:ascii="Arial"/>
                <w:sz w:val="21"/>
              </w:rPr>
            </w:pPr>
          </w:p>
        </w:tc>
        <w:tc>
          <w:tcPr>
            <w:tcW w:w="2697" w:type="dxa"/>
            <w:vAlign w:val="top"/>
          </w:tcPr>
          <w:p w14:paraId="10FAEB65">
            <w:pPr>
              <w:rPr>
                <w:rFonts w:ascii="Arial"/>
                <w:sz w:val="21"/>
              </w:rPr>
            </w:pPr>
          </w:p>
        </w:tc>
        <w:tc>
          <w:tcPr>
            <w:tcW w:w="5778" w:type="dxa"/>
            <w:vAlign w:val="top"/>
          </w:tcPr>
          <w:p w14:paraId="29B9239C">
            <w:pPr>
              <w:rPr>
                <w:rFonts w:ascii="Arial"/>
                <w:sz w:val="21"/>
              </w:rPr>
            </w:pPr>
          </w:p>
        </w:tc>
      </w:tr>
      <w:tr w14:paraId="32BDDE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9" w:hRule="atLeast"/>
        </w:trPr>
        <w:tc>
          <w:tcPr>
            <w:tcW w:w="634" w:type="dxa"/>
            <w:vAlign w:val="top"/>
          </w:tcPr>
          <w:p w14:paraId="785944E3">
            <w:pPr>
              <w:rPr>
                <w:rFonts w:ascii="Arial"/>
                <w:sz w:val="21"/>
              </w:rPr>
            </w:pPr>
          </w:p>
        </w:tc>
        <w:tc>
          <w:tcPr>
            <w:tcW w:w="2697" w:type="dxa"/>
            <w:vAlign w:val="top"/>
          </w:tcPr>
          <w:p w14:paraId="4DBE23B6">
            <w:pPr>
              <w:rPr>
                <w:rFonts w:ascii="Arial"/>
                <w:sz w:val="21"/>
              </w:rPr>
            </w:pPr>
          </w:p>
        </w:tc>
        <w:tc>
          <w:tcPr>
            <w:tcW w:w="5778" w:type="dxa"/>
            <w:vAlign w:val="top"/>
          </w:tcPr>
          <w:p w14:paraId="78634A07">
            <w:pPr>
              <w:rPr>
                <w:rFonts w:ascii="Arial"/>
                <w:sz w:val="21"/>
              </w:rPr>
            </w:pPr>
          </w:p>
        </w:tc>
      </w:tr>
      <w:tr w14:paraId="6F31E1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9" w:hRule="atLeast"/>
        </w:trPr>
        <w:tc>
          <w:tcPr>
            <w:tcW w:w="634" w:type="dxa"/>
            <w:vAlign w:val="top"/>
          </w:tcPr>
          <w:p w14:paraId="727A8DB6">
            <w:pPr>
              <w:rPr>
                <w:rFonts w:ascii="Arial"/>
                <w:sz w:val="21"/>
              </w:rPr>
            </w:pPr>
          </w:p>
        </w:tc>
        <w:tc>
          <w:tcPr>
            <w:tcW w:w="2697" w:type="dxa"/>
            <w:vAlign w:val="top"/>
          </w:tcPr>
          <w:p w14:paraId="5A2D25C0">
            <w:pPr>
              <w:rPr>
                <w:rFonts w:ascii="Arial"/>
                <w:sz w:val="21"/>
              </w:rPr>
            </w:pPr>
          </w:p>
        </w:tc>
        <w:tc>
          <w:tcPr>
            <w:tcW w:w="5778" w:type="dxa"/>
            <w:vAlign w:val="top"/>
          </w:tcPr>
          <w:p w14:paraId="7509DFAB">
            <w:pPr>
              <w:rPr>
                <w:rFonts w:ascii="Arial"/>
                <w:sz w:val="21"/>
              </w:rPr>
            </w:pPr>
          </w:p>
        </w:tc>
      </w:tr>
      <w:tr w14:paraId="2F25B0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9" w:hRule="atLeast"/>
        </w:trPr>
        <w:tc>
          <w:tcPr>
            <w:tcW w:w="634" w:type="dxa"/>
            <w:vAlign w:val="top"/>
          </w:tcPr>
          <w:p w14:paraId="31D45ED8">
            <w:pPr>
              <w:rPr>
                <w:rFonts w:ascii="Arial"/>
                <w:sz w:val="21"/>
              </w:rPr>
            </w:pPr>
          </w:p>
        </w:tc>
        <w:tc>
          <w:tcPr>
            <w:tcW w:w="2697" w:type="dxa"/>
            <w:vAlign w:val="top"/>
          </w:tcPr>
          <w:p w14:paraId="34963D7E">
            <w:pPr>
              <w:rPr>
                <w:rFonts w:ascii="Arial"/>
                <w:sz w:val="21"/>
              </w:rPr>
            </w:pPr>
          </w:p>
        </w:tc>
        <w:tc>
          <w:tcPr>
            <w:tcW w:w="5778" w:type="dxa"/>
            <w:vAlign w:val="top"/>
          </w:tcPr>
          <w:p w14:paraId="3F53A8D6">
            <w:pPr>
              <w:rPr>
                <w:rFonts w:ascii="Arial"/>
                <w:sz w:val="21"/>
              </w:rPr>
            </w:pPr>
          </w:p>
        </w:tc>
      </w:tr>
      <w:tr w14:paraId="5FBE7E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0" w:hRule="atLeast"/>
        </w:trPr>
        <w:tc>
          <w:tcPr>
            <w:tcW w:w="634" w:type="dxa"/>
            <w:vAlign w:val="top"/>
          </w:tcPr>
          <w:p w14:paraId="3DBC499E">
            <w:pPr>
              <w:rPr>
                <w:rFonts w:ascii="Arial"/>
                <w:sz w:val="21"/>
              </w:rPr>
            </w:pPr>
          </w:p>
        </w:tc>
        <w:tc>
          <w:tcPr>
            <w:tcW w:w="2697" w:type="dxa"/>
            <w:vAlign w:val="top"/>
          </w:tcPr>
          <w:p w14:paraId="09C43E77">
            <w:pPr>
              <w:rPr>
                <w:rFonts w:ascii="Arial"/>
                <w:sz w:val="21"/>
              </w:rPr>
            </w:pPr>
          </w:p>
        </w:tc>
        <w:tc>
          <w:tcPr>
            <w:tcW w:w="5778" w:type="dxa"/>
            <w:vAlign w:val="top"/>
          </w:tcPr>
          <w:p w14:paraId="322B6604">
            <w:pPr>
              <w:rPr>
                <w:rFonts w:ascii="Arial"/>
                <w:sz w:val="21"/>
              </w:rPr>
            </w:pPr>
          </w:p>
        </w:tc>
      </w:tr>
      <w:tr w14:paraId="0360D1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9" w:hRule="atLeast"/>
        </w:trPr>
        <w:tc>
          <w:tcPr>
            <w:tcW w:w="634" w:type="dxa"/>
            <w:vAlign w:val="top"/>
          </w:tcPr>
          <w:p w14:paraId="74E50712">
            <w:pPr>
              <w:rPr>
                <w:rFonts w:ascii="Arial"/>
                <w:sz w:val="21"/>
              </w:rPr>
            </w:pPr>
          </w:p>
        </w:tc>
        <w:tc>
          <w:tcPr>
            <w:tcW w:w="2697" w:type="dxa"/>
            <w:vAlign w:val="top"/>
          </w:tcPr>
          <w:p w14:paraId="284DD636">
            <w:pPr>
              <w:rPr>
                <w:rFonts w:ascii="Arial"/>
                <w:sz w:val="21"/>
              </w:rPr>
            </w:pPr>
          </w:p>
        </w:tc>
        <w:tc>
          <w:tcPr>
            <w:tcW w:w="5778" w:type="dxa"/>
            <w:vAlign w:val="top"/>
          </w:tcPr>
          <w:p w14:paraId="14363560">
            <w:pPr>
              <w:rPr>
                <w:rFonts w:ascii="Arial"/>
                <w:sz w:val="21"/>
              </w:rPr>
            </w:pPr>
          </w:p>
        </w:tc>
      </w:tr>
      <w:tr w14:paraId="3DB07F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634" w:type="dxa"/>
            <w:vAlign w:val="top"/>
          </w:tcPr>
          <w:p w14:paraId="10344BBE">
            <w:pPr>
              <w:rPr>
                <w:rFonts w:ascii="Arial"/>
                <w:sz w:val="21"/>
              </w:rPr>
            </w:pPr>
          </w:p>
        </w:tc>
        <w:tc>
          <w:tcPr>
            <w:tcW w:w="2697" w:type="dxa"/>
            <w:vAlign w:val="top"/>
          </w:tcPr>
          <w:p w14:paraId="7A4995C8">
            <w:pPr>
              <w:rPr>
                <w:rFonts w:ascii="Arial"/>
                <w:sz w:val="21"/>
              </w:rPr>
            </w:pPr>
          </w:p>
        </w:tc>
        <w:tc>
          <w:tcPr>
            <w:tcW w:w="5778" w:type="dxa"/>
            <w:vAlign w:val="top"/>
          </w:tcPr>
          <w:p w14:paraId="75898CAF">
            <w:pPr>
              <w:rPr>
                <w:rFonts w:ascii="Arial"/>
                <w:sz w:val="21"/>
              </w:rPr>
            </w:pPr>
          </w:p>
        </w:tc>
      </w:tr>
      <w:tr w14:paraId="0F5EE8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trPr>
        <w:tc>
          <w:tcPr>
            <w:tcW w:w="634" w:type="dxa"/>
            <w:vAlign w:val="top"/>
          </w:tcPr>
          <w:p w14:paraId="44305A68">
            <w:pPr>
              <w:rPr>
                <w:rFonts w:ascii="Arial"/>
                <w:sz w:val="21"/>
              </w:rPr>
            </w:pPr>
          </w:p>
        </w:tc>
        <w:tc>
          <w:tcPr>
            <w:tcW w:w="2697" w:type="dxa"/>
            <w:vAlign w:val="top"/>
          </w:tcPr>
          <w:p w14:paraId="3723BC61">
            <w:pPr>
              <w:rPr>
                <w:rFonts w:ascii="Arial"/>
                <w:sz w:val="21"/>
              </w:rPr>
            </w:pPr>
          </w:p>
        </w:tc>
        <w:tc>
          <w:tcPr>
            <w:tcW w:w="5778" w:type="dxa"/>
            <w:vAlign w:val="top"/>
          </w:tcPr>
          <w:p w14:paraId="53D96D52">
            <w:pPr>
              <w:rPr>
                <w:rFonts w:ascii="Arial"/>
                <w:sz w:val="21"/>
              </w:rPr>
            </w:pPr>
          </w:p>
        </w:tc>
      </w:tr>
      <w:tr w14:paraId="1ADA28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9" w:hRule="atLeast"/>
        </w:trPr>
        <w:tc>
          <w:tcPr>
            <w:tcW w:w="634" w:type="dxa"/>
            <w:vAlign w:val="top"/>
          </w:tcPr>
          <w:p w14:paraId="66D913E1">
            <w:pPr>
              <w:rPr>
                <w:rFonts w:ascii="Arial"/>
                <w:sz w:val="21"/>
              </w:rPr>
            </w:pPr>
          </w:p>
        </w:tc>
        <w:tc>
          <w:tcPr>
            <w:tcW w:w="2697" w:type="dxa"/>
            <w:vAlign w:val="top"/>
          </w:tcPr>
          <w:p w14:paraId="21E1835C">
            <w:pPr>
              <w:rPr>
                <w:rFonts w:ascii="Arial"/>
                <w:sz w:val="21"/>
              </w:rPr>
            </w:pPr>
          </w:p>
        </w:tc>
        <w:tc>
          <w:tcPr>
            <w:tcW w:w="5778" w:type="dxa"/>
            <w:vAlign w:val="top"/>
          </w:tcPr>
          <w:p w14:paraId="32A55D31">
            <w:pPr>
              <w:rPr>
                <w:rFonts w:ascii="Arial"/>
                <w:sz w:val="21"/>
              </w:rPr>
            </w:pPr>
          </w:p>
        </w:tc>
      </w:tr>
      <w:tr w14:paraId="0D4A1A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4" w:hRule="atLeast"/>
        </w:trPr>
        <w:tc>
          <w:tcPr>
            <w:tcW w:w="634" w:type="dxa"/>
            <w:vAlign w:val="top"/>
          </w:tcPr>
          <w:p w14:paraId="2B2A95FA">
            <w:pPr>
              <w:rPr>
                <w:rFonts w:ascii="Arial"/>
                <w:sz w:val="21"/>
              </w:rPr>
            </w:pPr>
          </w:p>
        </w:tc>
        <w:tc>
          <w:tcPr>
            <w:tcW w:w="2697" w:type="dxa"/>
            <w:vAlign w:val="top"/>
          </w:tcPr>
          <w:p w14:paraId="49221C04">
            <w:pPr>
              <w:rPr>
                <w:rFonts w:ascii="Arial"/>
                <w:sz w:val="21"/>
              </w:rPr>
            </w:pPr>
          </w:p>
        </w:tc>
        <w:tc>
          <w:tcPr>
            <w:tcW w:w="5778" w:type="dxa"/>
            <w:vAlign w:val="top"/>
          </w:tcPr>
          <w:p w14:paraId="2CC57687">
            <w:pPr>
              <w:rPr>
                <w:rFonts w:ascii="Arial"/>
                <w:sz w:val="21"/>
              </w:rPr>
            </w:pPr>
          </w:p>
        </w:tc>
      </w:tr>
    </w:tbl>
    <w:p w14:paraId="0BA5F10E">
      <w:pPr>
        <w:spacing w:line="272" w:lineRule="auto"/>
        <w:rPr>
          <w:rFonts w:ascii="Arial"/>
          <w:sz w:val="21"/>
        </w:rPr>
      </w:pPr>
    </w:p>
    <w:p w14:paraId="5A8CD3FE">
      <w:pPr>
        <w:spacing w:line="272" w:lineRule="auto"/>
        <w:rPr>
          <w:rFonts w:ascii="Arial"/>
          <w:sz w:val="21"/>
        </w:rPr>
      </w:pPr>
    </w:p>
    <w:p w14:paraId="1502B8A3">
      <w:pPr>
        <w:pStyle w:val="2"/>
        <w:spacing w:before="65" w:line="227" w:lineRule="auto"/>
        <w:ind w:left="125"/>
        <w:rPr>
          <w:sz w:val="20"/>
          <w:szCs w:val="20"/>
        </w:rPr>
      </w:pPr>
      <w:r>
        <w:rPr>
          <w:sz w:val="20"/>
          <w:szCs w:val="20"/>
        </w:rPr>
        <w:t xml:space="preserve">评标委员会全体成员签名：                                     日期：  </w:t>
      </w:r>
      <w:r>
        <w:rPr>
          <w:spacing w:val="-1"/>
          <w:sz w:val="20"/>
          <w:szCs w:val="20"/>
        </w:rPr>
        <w:t xml:space="preserve">  年</w:t>
      </w:r>
      <w:r>
        <w:rPr>
          <w:spacing w:val="7"/>
          <w:sz w:val="20"/>
          <w:szCs w:val="20"/>
        </w:rPr>
        <w:t xml:space="preserve">    </w:t>
      </w:r>
      <w:r>
        <w:rPr>
          <w:spacing w:val="-1"/>
          <w:sz w:val="20"/>
          <w:szCs w:val="20"/>
        </w:rPr>
        <w:t>月     日</w:t>
      </w:r>
    </w:p>
    <w:p w14:paraId="2F479DD9">
      <w:pPr>
        <w:spacing w:line="227" w:lineRule="auto"/>
        <w:rPr>
          <w:sz w:val="20"/>
          <w:szCs w:val="20"/>
        </w:rPr>
        <w:sectPr>
          <w:footerReference r:id="rId75" w:type="default"/>
          <w:pgSz w:w="11910" w:h="16840"/>
          <w:pgMar w:top="1431" w:right="1435" w:bottom="1001" w:left="1355" w:header="0" w:footer="857" w:gutter="0"/>
          <w:cols w:space="720" w:num="1"/>
        </w:sectPr>
      </w:pPr>
    </w:p>
    <w:p w14:paraId="3620F33E">
      <w:pPr>
        <w:spacing w:line="263" w:lineRule="auto"/>
        <w:rPr>
          <w:rFonts w:ascii="Arial"/>
          <w:sz w:val="21"/>
        </w:rPr>
      </w:pPr>
    </w:p>
    <w:p w14:paraId="04B92865">
      <w:pPr>
        <w:spacing w:line="264" w:lineRule="auto"/>
        <w:rPr>
          <w:rFonts w:ascii="Arial"/>
          <w:sz w:val="21"/>
        </w:rPr>
      </w:pPr>
    </w:p>
    <w:p w14:paraId="5D613210">
      <w:pPr>
        <w:spacing w:before="81" w:line="221" w:lineRule="auto"/>
        <w:ind w:left="538"/>
        <w:outlineLvl w:val="2"/>
        <w:rPr>
          <w:rFonts w:ascii="黑体" w:hAnsi="黑体" w:eastAsia="黑体" w:cs="黑体"/>
          <w:sz w:val="25"/>
          <w:szCs w:val="25"/>
        </w:rPr>
      </w:pPr>
      <w:bookmarkStart w:id="207" w:name="bookmark157"/>
      <w:bookmarkEnd w:id="207"/>
      <w:bookmarkStart w:id="208" w:name="bookmark268"/>
      <w:bookmarkEnd w:id="208"/>
      <w:r>
        <w:rPr>
          <w:rFonts w:ascii="黑体" w:hAnsi="黑体" w:eastAsia="黑体" w:cs="黑体"/>
          <w:b/>
          <w:bCs/>
          <w:spacing w:val="-3"/>
          <w:sz w:val="25"/>
          <w:szCs w:val="25"/>
        </w:rPr>
        <w:t>附表</w:t>
      </w:r>
      <w:r>
        <w:rPr>
          <w:rFonts w:ascii="黑体" w:hAnsi="黑体" w:eastAsia="黑体" w:cs="黑体"/>
          <w:spacing w:val="-51"/>
          <w:sz w:val="25"/>
          <w:szCs w:val="25"/>
        </w:rPr>
        <w:t xml:space="preserve"> </w:t>
      </w:r>
      <w:r>
        <w:rPr>
          <w:rFonts w:ascii="Times New Roman" w:hAnsi="Times New Roman" w:eastAsia="Times New Roman" w:cs="Times New Roman"/>
          <w:b/>
          <w:bCs/>
          <w:spacing w:val="-3"/>
          <w:sz w:val="25"/>
          <w:szCs w:val="25"/>
        </w:rPr>
        <w:t>A-3:</w:t>
      </w:r>
      <w:r>
        <w:rPr>
          <w:rFonts w:ascii="Times New Roman" w:hAnsi="Times New Roman" w:eastAsia="Times New Roman" w:cs="Times New Roman"/>
          <w:b/>
          <w:bCs/>
          <w:spacing w:val="29"/>
          <w:sz w:val="25"/>
          <w:szCs w:val="25"/>
        </w:rPr>
        <w:t xml:space="preserve">  </w:t>
      </w:r>
      <w:r>
        <w:rPr>
          <w:rFonts w:ascii="黑体" w:hAnsi="黑体" w:eastAsia="黑体" w:cs="黑体"/>
          <w:b/>
          <w:bCs/>
          <w:spacing w:val="-3"/>
          <w:sz w:val="25"/>
          <w:szCs w:val="25"/>
        </w:rPr>
        <w:t>技术暗标编号确认表(适用于计算机辅助评标)</w:t>
      </w:r>
    </w:p>
    <w:p w14:paraId="04810092">
      <w:pPr>
        <w:spacing w:line="255" w:lineRule="auto"/>
        <w:rPr>
          <w:rFonts w:ascii="Arial"/>
          <w:sz w:val="21"/>
        </w:rPr>
      </w:pPr>
    </w:p>
    <w:p w14:paraId="109EFA54">
      <w:pPr>
        <w:spacing w:before="94" w:line="221" w:lineRule="auto"/>
        <w:ind w:left="5609"/>
        <w:rPr>
          <w:rFonts w:ascii="黑体" w:hAnsi="黑体" w:eastAsia="黑体" w:cs="黑体"/>
          <w:sz w:val="29"/>
          <w:szCs w:val="29"/>
        </w:rPr>
      </w:pPr>
      <w:r>
        <w:rPr>
          <w:rFonts w:ascii="黑体" w:hAnsi="黑体" w:eastAsia="黑体" w:cs="黑体"/>
          <w:b/>
          <w:bCs/>
          <w:spacing w:val="-8"/>
          <w:sz w:val="29"/>
          <w:szCs w:val="29"/>
        </w:rPr>
        <w:t>技术暗标编号确认表</w:t>
      </w:r>
    </w:p>
    <w:p w14:paraId="6F9AB834">
      <w:pPr>
        <w:pStyle w:val="2"/>
        <w:spacing w:before="256" w:line="229" w:lineRule="auto"/>
        <w:ind w:left="125"/>
        <w:rPr>
          <w:sz w:val="20"/>
          <w:szCs w:val="20"/>
        </w:rPr>
      </w:pPr>
      <w:r>
        <w:rPr>
          <w:spacing w:val="10"/>
          <w:position w:val="-2"/>
          <w:sz w:val="20"/>
          <w:szCs w:val="20"/>
        </w:rPr>
        <w:t>工程名称：</w:t>
      </w:r>
      <w:r>
        <w:rPr>
          <w:spacing w:val="-46"/>
          <w:position w:val="-2"/>
          <w:sz w:val="20"/>
          <w:szCs w:val="20"/>
        </w:rPr>
        <w:t xml:space="preserve"> </w:t>
      </w:r>
      <w:r>
        <w:rPr>
          <w:spacing w:val="5"/>
          <w:position w:val="-2"/>
          <w:sz w:val="20"/>
          <w:szCs w:val="20"/>
          <w:u w:val="single" w:color="auto"/>
        </w:rPr>
        <w:t xml:space="preserve">                 </w:t>
      </w:r>
      <w:r>
        <w:rPr>
          <w:spacing w:val="-85"/>
          <w:position w:val="-2"/>
          <w:sz w:val="20"/>
          <w:szCs w:val="20"/>
        </w:rPr>
        <w:t xml:space="preserve"> </w:t>
      </w:r>
      <w:r>
        <w:rPr>
          <w:spacing w:val="10"/>
          <w:sz w:val="19"/>
          <w:szCs w:val="19"/>
        </w:rPr>
        <w:t>(项目名称)</w:t>
      </w:r>
      <w:r>
        <w:rPr>
          <w:spacing w:val="11"/>
          <w:sz w:val="19"/>
          <w:szCs w:val="19"/>
          <w:u w:val="single" w:color="auto"/>
        </w:rPr>
        <w:t xml:space="preserve">       </w:t>
      </w:r>
      <w:r>
        <w:rPr>
          <w:spacing w:val="-19"/>
          <w:sz w:val="19"/>
          <w:szCs w:val="19"/>
        </w:rPr>
        <w:t xml:space="preserve"> </w:t>
      </w:r>
      <w:r>
        <w:rPr>
          <w:spacing w:val="10"/>
          <w:sz w:val="20"/>
          <w:szCs w:val="20"/>
        </w:rPr>
        <w:t>(标段名称)</w:t>
      </w:r>
    </w:p>
    <w:p w14:paraId="267A154C">
      <w:pPr>
        <w:spacing w:line="198" w:lineRule="exact"/>
      </w:pPr>
    </w:p>
    <w:tbl>
      <w:tblPr>
        <w:tblStyle w:val="5"/>
        <w:tblW w:w="1397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35"/>
        <w:gridCol w:w="2758"/>
        <w:gridCol w:w="1179"/>
        <w:gridCol w:w="1149"/>
        <w:gridCol w:w="1199"/>
        <w:gridCol w:w="1159"/>
        <w:gridCol w:w="1180"/>
        <w:gridCol w:w="1179"/>
        <w:gridCol w:w="1179"/>
        <w:gridCol w:w="1179"/>
        <w:gridCol w:w="1174"/>
      </w:tblGrid>
      <w:tr w14:paraId="10BEF0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trPr>
        <w:tc>
          <w:tcPr>
            <w:tcW w:w="635" w:type="dxa"/>
            <w:vAlign w:val="top"/>
          </w:tcPr>
          <w:p w14:paraId="0E27E418">
            <w:pPr>
              <w:pStyle w:val="6"/>
              <w:spacing w:before="144" w:line="221" w:lineRule="auto"/>
              <w:ind w:left="105"/>
            </w:pPr>
            <w:r>
              <w:rPr>
                <w:spacing w:val="6"/>
              </w:rPr>
              <w:t>序号</w:t>
            </w:r>
          </w:p>
        </w:tc>
        <w:tc>
          <w:tcPr>
            <w:tcW w:w="2758" w:type="dxa"/>
            <w:vAlign w:val="top"/>
          </w:tcPr>
          <w:p w14:paraId="07C1B189">
            <w:pPr>
              <w:pStyle w:val="6"/>
              <w:spacing w:before="143" w:line="219" w:lineRule="auto"/>
              <w:ind w:left="340"/>
            </w:pPr>
            <w:r>
              <w:rPr>
                <w:spacing w:val="-1"/>
              </w:rPr>
              <w:t>施工组织设计模块名称</w:t>
            </w:r>
          </w:p>
        </w:tc>
        <w:tc>
          <w:tcPr>
            <w:tcW w:w="10577" w:type="dxa"/>
            <w:gridSpan w:val="9"/>
            <w:vAlign w:val="top"/>
          </w:tcPr>
          <w:p w14:paraId="2FD67B3B">
            <w:pPr>
              <w:pStyle w:val="6"/>
              <w:spacing w:before="143" w:line="219" w:lineRule="auto"/>
              <w:ind w:left="4052"/>
            </w:pPr>
            <w:r>
              <w:rPr>
                <w:spacing w:val="1"/>
              </w:rPr>
              <w:t>投标人名称及模块暗标编号</w:t>
            </w:r>
          </w:p>
        </w:tc>
      </w:tr>
      <w:tr w14:paraId="7FF6FB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635" w:type="dxa"/>
            <w:vAlign w:val="top"/>
          </w:tcPr>
          <w:p w14:paraId="261DD014">
            <w:pPr>
              <w:rPr>
                <w:rFonts w:ascii="Arial"/>
                <w:sz w:val="21"/>
              </w:rPr>
            </w:pPr>
          </w:p>
        </w:tc>
        <w:tc>
          <w:tcPr>
            <w:tcW w:w="2758" w:type="dxa"/>
            <w:vAlign w:val="top"/>
          </w:tcPr>
          <w:p w14:paraId="128667FB">
            <w:pPr>
              <w:rPr>
                <w:rFonts w:ascii="Arial"/>
                <w:sz w:val="21"/>
              </w:rPr>
            </w:pPr>
          </w:p>
        </w:tc>
        <w:tc>
          <w:tcPr>
            <w:tcW w:w="1179" w:type="dxa"/>
            <w:vAlign w:val="top"/>
          </w:tcPr>
          <w:p w14:paraId="269D472E">
            <w:pPr>
              <w:rPr>
                <w:rFonts w:ascii="Arial"/>
                <w:sz w:val="21"/>
              </w:rPr>
            </w:pPr>
          </w:p>
        </w:tc>
        <w:tc>
          <w:tcPr>
            <w:tcW w:w="1149" w:type="dxa"/>
            <w:vAlign w:val="top"/>
          </w:tcPr>
          <w:p w14:paraId="227F22C3">
            <w:pPr>
              <w:rPr>
                <w:rFonts w:ascii="Arial"/>
                <w:sz w:val="21"/>
              </w:rPr>
            </w:pPr>
          </w:p>
        </w:tc>
        <w:tc>
          <w:tcPr>
            <w:tcW w:w="1199" w:type="dxa"/>
            <w:vAlign w:val="top"/>
          </w:tcPr>
          <w:p w14:paraId="6FB2A174">
            <w:pPr>
              <w:rPr>
                <w:rFonts w:ascii="Arial"/>
                <w:sz w:val="21"/>
              </w:rPr>
            </w:pPr>
          </w:p>
        </w:tc>
        <w:tc>
          <w:tcPr>
            <w:tcW w:w="1159" w:type="dxa"/>
            <w:vAlign w:val="top"/>
          </w:tcPr>
          <w:p w14:paraId="60431904">
            <w:pPr>
              <w:rPr>
                <w:rFonts w:ascii="Arial"/>
                <w:sz w:val="21"/>
              </w:rPr>
            </w:pPr>
          </w:p>
        </w:tc>
        <w:tc>
          <w:tcPr>
            <w:tcW w:w="1180" w:type="dxa"/>
            <w:vAlign w:val="top"/>
          </w:tcPr>
          <w:p w14:paraId="4062A314">
            <w:pPr>
              <w:rPr>
                <w:rFonts w:ascii="Arial"/>
                <w:sz w:val="21"/>
              </w:rPr>
            </w:pPr>
          </w:p>
        </w:tc>
        <w:tc>
          <w:tcPr>
            <w:tcW w:w="1179" w:type="dxa"/>
            <w:vAlign w:val="top"/>
          </w:tcPr>
          <w:p w14:paraId="2C4232B5">
            <w:pPr>
              <w:rPr>
                <w:rFonts w:ascii="Arial"/>
                <w:sz w:val="21"/>
              </w:rPr>
            </w:pPr>
          </w:p>
        </w:tc>
        <w:tc>
          <w:tcPr>
            <w:tcW w:w="1179" w:type="dxa"/>
            <w:vAlign w:val="top"/>
          </w:tcPr>
          <w:p w14:paraId="6DA94C3D">
            <w:pPr>
              <w:rPr>
                <w:rFonts w:ascii="Arial"/>
                <w:sz w:val="21"/>
              </w:rPr>
            </w:pPr>
          </w:p>
        </w:tc>
        <w:tc>
          <w:tcPr>
            <w:tcW w:w="1179" w:type="dxa"/>
            <w:vAlign w:val="top"/>
          </w:tcPr>
          <w:p w14:paraId="783B25FB">
            <w:pPr>
              <w:rPr>
                <w:rFonts w:ascii="Arial"/>
                <w:sz w:val="21"/>
              </w:rPr>
            </w:pPr>
          </w:p>
        </w:tc>
        <w:tc>
          <w:tcPr>
            <w:tcW w:w="1174" w:type="dxa"/>
            <w:vAlign w:val="top"/>
          </w:tcPr>
          <w:p w14:paraId="6AE5F7B3">
            <w:pPr>
              <w:rPr>
                <w:rFonts w:ascii="Arial"/>
                <w:sz w:val="21"/>
              </w:rPr>
            </w:pPr>
          </w:p>
        </w:tc>
      </w:tr>
      <w:tr w14:paraId="2F6FDD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635" w:type="dxa"/>
            <w:vAlign w:val="top"/>
          </w:tcPr>
          <w:p w14:paraId="49B4B6B9">
            <w:pPr>
              <w:rPr>
                <w:rFonts w:ascii="Arial"/>
                <w:sz w:val="21"/>
              </w:rPr>
            </w:pPr>
          </w:p>
        </w:tc>
        <w:tc>
          <w:tcPr>
            <w:tcW w:w="2758" w:type="dxa"/>
            <w:vAlign w:val="top"/>
          </w:tcPr>
          <w:p w14:paraId="6CD5276D">
            <w:pPr>
              <w:rPr>
                <w:rFonts w:ascii="Arial"/>
                <w:sz w:val="21"/>
              </w:rPr>
            </w:pPr>
          </w:p>
        </w:tc>
        <w:tc>
          <w:tcPr>
            <w:tcW w:w="1179" w:type="dxa"/>
            <w:vAlign w:val="top"/>
          </w:tcPr>
          <w:p w14:paraId="4399AA2D">
            <w:pPr>
              <w:rPr>
                <w:rFonts w:ascii="Arial"/>
                <w:sz w:val="21"/>
              </w:rPr>
            </w:pPr>
          </w:p>
        </w:tc>
        <w:tc>
          <w:tcPr>
            <w:tcW w:w="1149" w:type="dxa"/>
            <w:vAlign w:val="top"/>
          </w:tcPr>
          <w:p w14:paraId="34EE533F">
            <w:pPr>
              <w:rPr>
                <w:rFonts w:ascii="Arial"/>
                <w:sz w:val="21"/>
              </w:rPr>
            </w:pPr>
          </w:p>
        </w:tc>
        <w:tc>
          <w:tcPr>
            <w:tcW w:w="1199" w:type="dxa"/>
            <w:vAlign w:val="top"/>
          </w:tcPr>
          <w:p w14:paraId="5577CDA4">
            <w:pPr>
              <w:rPr>
                <w:rFonts w:ascii="Arial"/>
                <w:sz w:val="21"/>
              </w:rPr>
            </w:pPr>
          </w:p>
        </w:tc>
        <w:tc>
          <w:tcPr>
            <w:tcW w:w="1159" w:type="dxa"/>
            <w:vAlign w:val="top"/>
          </w:tcPr>
          <w:p w14:paraId="597B2917">
            <w:pPr>
              <w:rPr>
                <w:rFonts w:ascii="Arial"/>
                <w:sz w:val="21"/>
              </w:rPr>
            </w:pPr>
          </w:p>
        </w:tc>
        <w:tc>
          <w:tcPr>
            <w:tcW w:w="1180" w:type="dxa"/>
            <w:vAlign w:val="top"/>
          </w:tcPr>
          <w:p w14:paraId="07033669">
            <w:pPr>
              <w:rPr>
                <w:rFonts w:ascii="Arial"/>
                <w:sz w:val="21"/>
              </w:rPr>
            </w:pPr>
          </w:p>
        </w:tc>
        <w:tc>
          <w:tcPr>
            <w:tcW w:w="1179" w:type="dxa"/>
            <w:vAlign w:val="top"/>
          </w:tcPr>
          <w:p w14:paraId="04D4C738">
            <w:pPr>
              <w:rPr>
                <w:rFonts w:ascii="Arial"/>
                <w:sz w:val="21"/>
              </w:rPr>
            </w:pPr>
          </w:p>
        </w:tc>
        <w:tc>
          <w:tcPr>
            <w:tcW w:w="1179" w:type="dxa"/>
            <w:vAlign w:val="top"/>
          </w:tcPr>
          <w:p w14:paraId="266201FC">
            <w:pPr>
              <w:rPr>
                <w:rFonts w:ascii="Arial"/>
                <w:sz w:val="21"/>
              </w:rPr>
            </w:pPr>
          </w:p>
        </w:tc>
        <w:tc>
          <w:tcPr>
            <w:tcW w:w="1179" w:type="dxa"/>
            <w:vAlign w:val="top"/>
          </w:tcPr>
          <w:p w14:paraId="3C4C4B9B">
            <w:pPr>
              <w:rPr>
                <w:rFonts w:ascii="Arial"/>
                <w:sz w:val="21"/>
              </w:rPr>
            </w:pPr>
          </w:p>
        </w:tc>
        <w:tc>
          <w:tcPr>
            <w:tcW w:w="1174" w:type="dxa"/>
            <w:vAlign w:val="top"/>
          </w:tcPr>
          <w:p w14:paraId="36938B88">
            <w:pPr>
              <w:rPr>
                <w:rFonts w:ascii="Arial"/>
                <w:sz w:val="21"/>
              </w:rPr>
            </w:pPr>
          </w:p>
        </w:tc>
      </w:tr>
      <w:tr w14:paraId="76F779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9" w:hRule="atLeast"/>
        </w:trPr>
        <w:tc>
          <w:tcPr>
            <w:tcW w:w="635" w:type="dxa"/>
            <w:vAlign w:val="top"/>
          </w:tcPr>
          <w:p w14:paraId="59BC5B54">
            <w:pPr>
              <w:rPr>
                <w:rFonts w:ascii="Arial"/>
                <w:sz w:val="21"/>
              </w:rPr>
            </w:pPr>
          </w:p>
        </w:tc>
        <w:tc>
          <w:tcPr>
            <w:tcW w:w="2758" w:type="dxa"/>
            <w:vAlign w:val="top"/>
          </w:tcPr>
          <w:p w14:paraId="13506CD4">
            <w:pPr>
              <w:rPr>
                <w:rFonts w:ascii="Arial"/>
                <w:sz w:val="21"/>
              </w:rPr>
            </w:pPr>
          </w:p>
        </w:tc>
        <w:tc>
          <w:tcPr>
            <w:tcW w:w="1179" w:type="dxa"/>
            <w:vAlign w:val="top"/>
          </w:tcPr>
          <w:p w14:paraId="1C2D681F">
            <w:pPr>
              <w:rPr>
                <w:rFonts w:ascii="Arial"/>
                <w:sz w:val="21"/>
              </w:rPr>
            </w:pPr>
          </w:p>
        </w:tc>
        <w:tc>
          <w:tcPr>
            <w:tcW w:w="1149" w:type="dxa"/>
            <w:vAlign w:val="top"/>
          </w:tcPr>
          <w:p w14:paraId="7FF27864">
            <w:pPr>
              <w:rPr>
                <w:rFonts w:ascii="Arial"/>
                <w:sz w:val="21"/>
              </w:rPr>
            </w:pPr>
          </w:p>
        </w:tc>
        <w:tc>
          <w:tcPr>
            <w:tcW w:w="1199" w:type="dxa"/>
            <w:vAlign w:val="top"/>
          </w:tcPr>
          <w:p w14:paraId="77E2BCAB">
            <w:pPr>
              <w:rPr>
                <w:rFonts w:ascii="Arial"/>
                <w:sz w:val="21"/>
              </w:rPr>
            </w:pPr>
          </w:p>
        </w:tc>
        <w:tc>
          <w:tcPr>
            <w:tcW w:w="1159" w:type="dxa"/>
            <w:vAlign w:val="top"/>
          </w:tcPr>
          <w:p w14:paraId="57ED1AFD">
            <w:pPr>
              <w:rPr>
                <w:rFonts w:ascii="Arial"/>
                <w:sz w:val="21"/>
              </w:rPr>
            </w:pPr>
          </w:p>
        </w:tc>
        <w:tc>
          <w:tcPr>
            <w:tcW w:w="1180" w:type="dxa"/>
            <w:vAlign w:val="top"/>
          </w:tcPr>
          <w:p w14:paraId="3D692AAD">
            <w:pPr>
              <w:rPr>
                <w:rFonts w:ascii="Arial"/>
                <w:sz w:val="21"/>
              </w:rPr>
            </w:pPr>
          </w:p>
        </w:tc>
        <w:tc>
          <w:tcPr>
            <w:tcW w:w="1179" w:type="dxa"/>
            <w:vAlign w:val="top"/>
          </w:tcPr>
          <w:p w14:paraId="00E02E23">
            <w:pPr>
              <w:rPr>
                <w:rFonts w:ascii="Arial"/>
                <w:sz w:val="21"/>
              </w:rPr>
            </w:pPr>
          </w:p>
        </w:tc>
        <w:tc>
          <w:tcPr>
            <w:tcW w:w="1179" w:type="dxa"/>
            <w:vAlign w:val="top"/>
          </w:tcPr>
          <w:p w14:paraId="37377BC9">
            <w:pPr>
              <w:rPr>
                <w:rFonts w:ascii="Arial"/>
                <w:sz w:val="21"/>
              </w:rPr>
            </w:pPr>
          </w:p>
        </w:tc>
        <w:tc>
          <w:tcPr>
            <w:tcW w:w="1179" w:type="dxa"/>
            <w:vAlign w:val="top"/>
          </w:tcPr>
          <w:p w14:paraId="3E7D13ED">
            <w:pPr>
              <w:rPr>
                <w:rFonts w:ascii="Arial"/>
                <w:sz w:val="21"/>
              </w:rPr>
            </w:pPr>
          </w:p>
        </w:tc>
        <w:tc>
          <w:tcPr>
            <w:tcW w:w="1174" w:type="dxa"/>
            <w:vAlign w:val="top"/>
          </w:tcPr>
          <w:p w14:paraId="516C47EA">
            <w:pPr>
              <w:rPr>
                <w:rFonts w:ascii="Arial"/>
                <w:sz w:val="21"/>
              </w:rPr>
            </w:pPr>
          </w:p>
        </w:tc>
      </w:tr>
      <w:tr w14:paraId="4C8CEB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9" w:hRule="atLeast"/>
        </w:trPr>
        <w:tc>
          <w:tcPr>
            <w:tcW w:w="635" w:type="dxa"/>
            <w:vAlign w:val="top"/>
          </w:tcPr>
          <w:p w14:paraId="2143F300">
            <w:pPr>
              <w:rPr>
                <w:rFonts w:ascii="Arial"/>
                <w:sz w:val="21"/>
              </w:rPr>
            </w:pPr>
          </w:p>
        </w:tc>
        <w:tc>
          <w:tcPr>
            <w:tcW w:w="2758" w:type="dxa"/>
            <w:vAlign w:val="top"/>
          </w:tcPr>
          <w:p w14:paraId="2CBB0D64">
            <w:pPr>
              <w:rPr>
                <w:rFonts w:ascii="Arial"/>
                <w:sz w:val="21"/>
              </w:rPr>
            </w:pPr>
          </w:p>
        </w:tc>
        <w:tc>
          <w:tcPr>
            <w:tcW w:w="1179" w:type="dxa"/>
            <w:vAlign w:val="top"/>
          </w:tcPr>
          <w:p w14:paraId="539177CA">
            <w:pPr>
              <w:rPr>
                <w:rFonts w:ascii="Arial"/>
                <w:sz w:val="21"/>
              </w:rPr>
            </w:pPr>
          </w:p>
        </w:tc>
        <w:tc>
          <w:tcPr>
            <w:tcW w:w="1149" w:type="dxa"/>
            <w:vAlign w:val="top"/>
          </w:tcPr>
          <w:p w14:paraId="3BE1E44E">
            <w:pPr>
              <w:rPr>
                <w:rFonts w:ascii="Arial"/>
                <w:sz w:val="21"/>
              </w:rPr>
            </w:pPr>
          </w:p>
        </w:tc>
        <w:tc>
          <w:tcPr>
            <w:tcW w:w="1199" w:type="dxa"/>
            <w:vAlign w:val="top"/>
          </w:tcPr>
          <w:p w14:paraId="51B72FFE">
            <w:pPr>
              <w:rPr>
                <w:rFonts w:ascii="Arial"/>
                <w:sz w:val="21"/>
              </w:rPr>
            </w:pPr>
          </w:p>
        </w:tc>
        <w:tc>
          <w:tcPr>
            <w:tcW w:w="1159" w:type="dxa"/>
            <w:vAlign w:val="top"/>
          </w:tcPr>
          <w:p w14:paraId="43E6E9E0">
            <w:pPr>
              <w:rPr>
                <w:rFonts w:ascii="Arial"/>
                <w:sz w:val="21"/>
              </w:rPr>
            </w:pPr>
          </w:p>
        </w:tc>
        <w:tc>
          <w:tcPr>
            <w:tcW w:w="1180" w:type="dxa"/>
            <w:vAlign w:val="top"/>
          </w:tcPr>
          <w:p w14:paraId="6ABF2A75">
            <w:pPr>
              <w:rPr>
                <w:rFonts w:ascii="Arial"/>
                <w:sz w:val="21"/>
              </w:rPr>
            </w:pPr>
          </w:p>
        </w:tc>
        <w:tc>
          <w:tcPr>
            <w:tcW w:w="1179" w:type="dxa"/>
            <w:vAlign w:val="top"/>
          </w:tcPr>
          <w:p w14:paraId="1BBF9465">
            <w:pPr>
              <w:rPr>
                <w:rFonts w:ascii="Arial"/>
                <w:sz w:val="21"/>
              </w:rPr>
            </w:pPr>
          </w:p>
        </w:tc>
        <w:tc>
          <w:tcPr>
            <w:tcW w:w="1179" w:type="dxa"/>
            <w:vAlign w:val="top"/>
          </w:tcPr>
          <w:p w14:paraId="0F20C79F">
            <w:pPr>
              <w:rPr>
                <w:rFonts w:ascii="Arial"/>
                <w:sz w:val="21"/>
              </w:rPr>
            </w:pPr>
          </w:p>
        </w:tc>
        <w:tc>
          <w:tcPr>
            <w:tcW w:w="1179" w:type="dxa"/>
            <w:vAlign w:val="top"/>
          </w:tcPr>
          <w:p w14:paraId="4837A9A1">
            <w:pPr>
              <w:rPr>
                <w:rFonts w:ascii="Arial"/>
                <w:sz w:val="21"/>
              </w:rPr>
            </w:pPr>
          </w:p>
        </w:tc>
        <w:tc>
          <w:tcPr>
            <w:tcW w:w="1174" w:type="dxa"/>
            <w:vAlign w:val="top"/>
          </w:tcPr>
          <w:p w14:paraId="30372F78">
            <w:pPr>
              <w:rPr>
                <w:rFonts w:ascii="Arial"/>
                <w:sz w:val="21"/>
              </w:rPr>
            </w:pPr>
          </w:p>
        </w:tc>
      </w:tr>
      <w:tr w14:paraId="7AAB9D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635" w:type="dxa"/>
            <w:vAlign w:val="top"/>
          </w:tcPr>
          <w:p w14:paraId="66F4C62B">
            <w:pPr>
              <w:rPr>
                <w:rFonts w:ascii="Arial"/>
                <w:sz w:val="21"/>
              </w:rPr>
            </w:pPr>
          </w:p>
        </w:tc>
        <w:tc>
          <w:tcPr>
            <w:tcW w:w="2758" w:type="dxa"/>
            <w:vAlign w:val="top"/>
          </w:tcPr>
          <w:p w14:paraId="48DD7460">
            <w:pPr>
              <w:rPr>
                <w:rFonts w:ascii="Arial"/>
                <w:sz w:val="21"/>
              </w:rPr>
            </w:pPr>
          </w:p>
        </w:tc>
        <w:tc>
          <w:tcPr>
            <w:tcW w:w="1179" w:type="dxa"/>
            <w:vAlign w:val="top"/>
          </w:tcPr>
          <w:p w14:paraId="27C650B2">
            <w:pPr>
              <w:rPr>
                <w:rFonts w:ascii="Arial"/>
                <w:sz w:val="21"/>
              </w:rPr>
            </w:pPr>
          </w:p>
        </w:tc>
        <w:tc>
          <w:tcPr>
            <w:tcW w:w="1149" w:type="dxa"/>
            <w:vAlign w:val="top"/>
          </w:tcPr>
          <w:p w14:paraId="759081BE">
            <w:pPr>
              <w:rPr>
                <w:rFonts w:ascii="Arial"/>
                <w:sz w:val="21"/>
              </w:rPr>
            </w:pPr>
          </w:p>
        </w:tc>
        <w:tc>
          <w:tcPr>
            <w:tcW w:w="1199" w:type="dxa"/>
            <w:vAlign w:val="top"/>
          </w:tcPr>
          <w:p w14:paraId="2053FAD4">
            <w:pPr>
              <w:rPr>
                <w:rFonts w:ascii="Arial"/>
                <w:sz w:val="21"/>
              </w:rPr>
            </w:pPr>
          </w:p>
        </w:tc>
        <w:tc>
          <w:tcPr>
            <w:tcW w:w="1159" w:type="dxa"/>
            <w:vAlign w:val="top"/>
          </w:tcPr>
          <w:p w14:paraId="7282FD60">
            <w:pPr>
              <w:rPr>
                <w:rFonts w:ascii="Arial"/>
                <w:sz w:val="21"/>
              </w:rPr>
            </w:pPr>
          </w:p>
        </w:tc>
        <w:tc>
          <w:tcPr>
            <w:tcW w:w="1180" w:type="dxa"/>
            <w:vAlign w:val="top"/>
          </w:tcPr>
          <w:p w14:paraId="3B4D1108">
            <w:pPr>
              <w:rPr>
                <w:rFonts w:ascii="Arial"/>
                <w:sz w:val="21"/>
              </w:rPr>
            </w:pPr>
          </w:p>
        </w:tc>
        <w:tc>
          <w:tcPr>
            <w:tcW w:w="1179" w:type="dxa"/>
            <w:vAlign w:val="top"/>
          </w:tcPr>
          <w:p w14:paraId="79D80D84">
            <w:pPr>
              <w:rPr>
                <w:rFonts w:ascii="Arial"/>
                <w:sz w:val="21"/>
              </w:rPr>
            </w:pPr>
          </w:p>
        </w:tc>
        <w:tc>
          <w:tcPr>
            <w:tcW w:w="1179" w:type="dxa"/>
            <w:vAlign w:val="top"/>
          </w:tcPr>
          <w:p w14:paraId="01B53E7C">
            <w:pPr>
              <w:rPr>
                <w:rFonts w:ascii="Arial"/>
                <w:sz w:val="21"/>
              </w:rPr>
            </w:pPr>
          </w:p>
        </w:tc>
        <w:tc>
          <w:tcPr>
            <w:tcW w:w="1179" w:type="dxa"/>
            <w:vAlign w:val="top"/>
          </w:tcPr>
          <w:p w14:paraId="2ED53569">
            <w:pPr>
              <w:rPr>
                <w:rFonts w:ascii="Arial"/>
                <w:sz w:val="21"/>
              </w:rPr>
            </w:pPr>
          </w:p>
        </w:tc>
        <w:tc>
          <w:tcPr>
            <w:tcW w:w="1174" w:type="dxa"/>
            <w:vAlign w:val="top"/>
          </w:tcPr>
          <w:p w14:paraId="06AECFBE">
            <w:pPr>
              <w:rPr>
                <w:rFonts w:ascii="Arial"/>
                <w:sz w:val="21"/>
              </w:rPr>
            </w:pPr>
          </w:p>
        </w:tc>
      </w:tr>
      <w:tr w14:paraId="47FC37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635" w:type="dxa"/>
            <w:vAlign w:val="top"/>
          </w:tcPr>
          <w:p w14:paraId="56BB4D62">
            <w:pPr>
              <w:rPr>
                <w:rFonts w:ascii="Arial"/>
                <w:sz w:val="21"/>
              </w:rPr>
            </w:pPr>
          </w:p>
        </w:tc>
        <w:tc>
          <w:tcPr>
            <w:tcW w:w="2758" w:type="dxa"/>
            <w:vAlign w:val="top"/>
          </w:tcPr>
          <w:p w14:paraId="0A5A7790">
            <w:pPr>
              <w:rPr>
                <w:rFonts w:ascii="Arial"/>
                <w:sz w:val="21"/>
              </w:rPr>
            </w:pPr>
          </w:p>
        </w:tc>
        <w:tc>
          <w:tcPr>
            <w:tcW w:w="1179" w:type="dxa"/>
            <w:vAlign w:val="top"/>
          </w:tcPr>
          <w:p w14:paraId="14ED9E80">
            <w:pPr>
              <w:rPr>
                <w:rFonts w:ascii="Arial"/>
                <w:sz w:val="21"/>
              </w:rPr>
            </w:pPr>
          </w:p>
        </w:tc>
        <w:tc>
          <w:tcPr>
            <w:tcW w:w="1149" w:type="dxa"/>
            <w:vAlign w:val="top"/>
          </w:tcPr>
          <w:p w14:paraId="1566ABE0">
            <w:pPr>
              <w:rPr>
                <w:rFonts w:ascii="Arial"/>
                <w:sz w:val="21"/>
              </w:rPr>
            </w:pPr>
          </w:p>
        </w:tc>
        <w:tc>
          <w:tcPr>
            <w:tcW w:w="1199" w:type="dxa"/>
            <w:vAlign w:val="top"/>
          </w:tcPr>
          <w:p w14:paraId="43CC9F19">
            <w:pPr>
              <w:rPr>
                <w:rFonts w:ascii="Arial"/>
                <w:sz w:val="21"/>
              </w:rPr>
            </w:pPr>
          </w:p>
        </w:tc>
        <w:tc>
          <w:tcPr>
            <w:tcW w:w="1159" w:type="dxa"/>
            <w:vAlign w:val="top"/>
          </w:tcPr>
          <w:p w14:paraId="294B5758">
            <w:pPr>
              <w:rPr>
                <w:rFonts w:ascii="Arial"/>
                <w:sz w:val="21"/>
              </w:rPr>
            </w:pPr>
          </w:p>
        </w:tc>
        <w:tc>
          <w:tcPr>
            <w:tcW w:w="1180" w:type="dxa"/>
            <w:vAlign w:val="top"/>
          </w:tcPr>
          <w:p w14:paraId="6106B126">
            <w:pPr>
              <w:rPr>
                <w:rFonts w:ascii="Arial"/>
                <w:sz w:val="21"/>
              </w:rPr>
            </w:pPr>
          </w:p>
        </w:tc>
        <w:tc>
          <w:tcPr>
            <w:tcW w:w="1179" w:type="dxa"/>
            <w:vAlign w:val="top"/>
          </w:tcPr>
          <w:p w14:paraId="7129E700">
            <w:pPr>
              <w:rPr>
                <w:rFonts w:ascii="Arial"/>
                <w:sz w:val="21"/>
              </w:rPr>
            </w:pPr>
          </w:p>
        </w:tc>
        <w:tc>
          <w:tcPr>
            <w:tcW w:w="1179" w:type="dxa"/>
            <w:vAlign w:val="top"/>
          </w:tcPr>
          <w:p w14:paraId="3F698679">
            <w:pPr>
              <w:rPr>
                <w:rFonts w:ascii="Arial"/>
                <w:sz w:val="21"/>
              </w:rPr>
            </w:pPr>
          </w:p>
        </w:tc>
        <w:tc>
          <w:tcPr>
            <w:tcW w:w="1179" w:type="dxa"/>
            <w:vAlign w:val="top"/>
          </w:tcPr>
          <w:p w14:paraId="59F55401">
            <w:pPr>
              <w:rPr>
                <w:rFonts w:ascii="Arial"/>
                <w:sz w:val="21"/>
              </w:rPr>
            </w:pPr>
          </w:p>
        </w:tc>
        <w:tc>
          <w:tcPr>
            <w:tcW w:w="1174" w:type="dxa"/>
            <w:vAlign w:val="top"/>
          </w:tcPr>
          <w:p w14:paraId="58D21505">
            <w:pPr>
              <w:rPr>
                <w:rFonts w:ascii="Arial"/>
                <w:sz w:val="21"/>
              </w:rPr>
            </w:pPr>
          </w:p>
        </w:tc>
      </w:tr>
      <w:tr w14:paraId="5FD58D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8" w:hRule="atLeast"/>
        </w:trPr>
        <w:tc>
          <w:tcPr>
            <w:tcW w:w="635" w:type="dxa"/>
            <w:vAlign w:val="top"/>
          </w:tcPr>
          <w:p w14:paraId="17D711D0">
            <w:pPr>
              <w:rPr>
                <w:rFonts w:ascii="Arial"/>
                <w:sz w:val="21"/>
              </w:rPr>
            </w:pPr>
          </w:p>
        </w:tc>
        <w:tc>
          <w:tcPr>
            <w:tcW w:w="2758" w:type="dxa"/>
            <w:vAlign w:val="top"/>
          </w:tcPr>
          <w:p w14:paraId="5AC5839A">
            <w:pPr>
              <w:rPr>
                <w:rFonts w:ascii="Arial"/>
                <w:sz w:val="21"/>
              </w:rPr>
            </w:pPr>
          </w:p>
        </w:tc>
        <w:tc>
          <w:tcPr>
            <w:tcW w:w="1179" w:type="dxa"/>
            <w:vAlign w:val="top"/>
          </w:tcPr>
          <w:p w14:paraId="060222B0">
            <w:pPr>
              <w:rPr>
                <w:rFonts w:ascii="Arial"/>
                <w:sz w:val="21"/>
              </w:rPr>
            </w:pPr>
          </w:p>
        </w:tc>
        <w:tc>
          <w:tcPr>
            <w:tcW w:w="1149" w:type="dxa"/>
            <w:vAlign w:val="top"/>
          </w:tcPr>
          <w:p w14:paraId="66484A47">
            <w:pPr>
              <w:rPr>
                <w:rFonts w:ascii="Arial"/>
                <w:sz w:val="21"/>
              </w:rPr>
            </w:pPr>
          </w:p>
        </w:tc>
        <w:tc>
          <w:tcPr>
            <w:tcW w:w="1199" w:type="dxa"/>
            <w:vAlign w:val="top"/>
          </w:tcPr>
          <w:p w14:paraId="3BEACDAB">
            <w:pPr>
              <w:rPr>
                <w:rFonts w:ascii="Arial"/>
                <w:sz w:val="21"/>
              </w:rPr>
            </w:pPr>
          </w:p>
        </w:tc>
        <w:tc>
          <w:tcPr>
            <w:tcW w:w="1159" w:type="dxa"/>
            <w:vAlign w:val="top"/>
          </w:tcPr>
          <w:p w14:paraId="377A0EC3">
            <w:pPr>
              <w:rPr>
                <w:rFonts w:ascii="Arial"/>
                <w:sz w:val="21"/>
              </w:rPr>
            </w:pPr>
          </w:p>
        </w:tc>
        <w:tc>
          <w:tcPr>
            <w:tcW w:w="1180" w:type="dxa"/>
            <w:vAlign w:val="top"/>
          </w:tcPr>
          <w:p w14:paraId="5356C406">
            <w:pPr>
              <w:rPr>
                <w:rFonts w:ascii="Arial"/>
                <w:sz w:val="21"/>
              </w:rPr>
            </w:pPr>
          </w:p>
        </w:tc>
        <w:tc>
          <w:tcPr>
            <w:tcW w:w="1179" w:type="dxa"/>
            <w:vAlign w:val="top"/>
          </w:tcPr>
          <w:p w14:paraId="3A98AFB4">
            <w:pPr>
              <w:rPr>
                <w:rFonts w:ascii="Arial"/>
                <w:sz w:val="21"/>
              </w:rPr>
            </w:pPr>
          </w:p>
        </w:tc>
        <w:tc>
          <w:tcPr>
            <w:tcW w:w="1179" w:type="dxa"/>
            <w:vAlign w:val="top"/>
          </w:tcPr>
          <w:p w14:paraId="64C2A348">
            <w:pPr>
              <w:rPr>
                <w:rFonts w:ascii="Arial"/>
                <w:sz w:val="21"/>
              </w:rPr>
            </w:pPr>
          </w:p>
        </w:tc>
        <w:tc>
          <w:tcPr>
            <w:tcW w:w="1179" w:type="dxa"/>
            <w:vAlign w:val="top"/>
          </w:tcPr>
          <w:p w14:paraId="1627C74F">
            <w:pPr>
              <w:rPr>
                <w:rFonts w:ascii="Arial"/>
                <w:sz w:val="21"/>
              </w:rPr>
            </w:pPr>
          </w:p>
        </w:tc>
        <w:tc>
          <w:tcPr>
            <w:tcW w:w="1174" w:type="dxa"/>
            <w:vAlign w:val="top"/>
          </w:tcPr>
          <w:p w14:paraId="7CBE3835">
            <w:pPr>
              <w:rPr>
                <w:rFonts w:ascii="Arial"/>
                <w:sz w:val="21"/>
              </w:rPr>
            </w:pPr>
          </w:p>
        </w:tc>
      </w:tr>
      <w:tr w14:paraId="6AB9C2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trPr>
        <w:tc>
          <w:tcPr>
            <w:tcW w:w="635" w:type="dxa"/>
            <w:vAlign w:val="top"/>
          </w:tcPr>
          <w:p w14:paraId="76405988">
            <w:pPr>
              <w:rPr>
                <w:rFonts w:ascii="Arial"/>
                <w:sz w:val="21"/>
              </w:rPr>
            </w:pPr>
          </w:p>
        </w:tc>
        <w:tc>
          <w:tcPr>
            <w:tcW w:w="2758" w:type="dxa"/>
            <w:vAlign w:val="top"/>
          </w:tcPr>
          <w:p w14:paraId="4C7B57B5">
            <w:pPr>
              <w:rPr>
                <w:rFonts w:ascii="Arial"/>
                <w:sz w:val="21"/>
              </w:rPr>
            </w:pPr>
          </w:p>
        </w:tc>
        <w:tc>
          <w:tcPr>
            <w:tcW w:w="1179" w:type="dxa"/>
            <w:vAlign w:val="top"/>
          </w:tcPr>
          <w:p w14:paraId="76860382">
            <w:pPr>
              <w:rPr>
                <w:rFonts w:ascii="Arial"/>
                <w:sz w:val="21"/>
              </w:rPr>
            </w:pPr>
          </w:p>
        </w:tc>
        <w:tc>
          <w:tcPr>
            <w:tcW w:w="1149" w:type="dxa"/>
            <w:vAlign w:val="top"/>
          </w:tcPr>
          <w:p w14:paraId="6C048FEC">
            <w:pPr>
              <w:rPr>
                <w:rFonts w:ascii="Arial"/>
                <w:sz w:val="21"/>
              </w:rPr>
            </w:pPr>
          </w:p>
        </w:tc>
        <w:tc>
          <w:tcPr>
            <w:tcW w:w="1199" w:type="dxa"/>
            <w:vAlign w:val="top"/>
          </w:tcPr>
          <w:p w14:paraId="4C7B50DB">
            <w:pPr>
              <w:rPr>
                <w:rFonts w:ascii="Arial"/>
                <w:sz w:val="21"/>
              </w:rPr>
            </w:pPr>
          </w:p>
        </w:tc>
        <w:tc>
          <w:tcPr>
            <w:tcW w:w="1159" w:type="dxa"/>
            <w:vAlign w:val="top"/>
          </w:tcPr>
          <w:p w14:paraId="28DD3EFE">
            <w:pPr>
              <w:rPr>
                <w:rFonts w:ascii="Arial"/>
                <w:sz w:val="21"/>
              </w:rPr>
            </w:pPr>
          </w:p>
        </w:tc>
        <w:tc>
          <w:tcPr>
            <w:tcW w:w="1180" w:type="dxa"/>
            <w:vAlign w:val="top"/>
          </w:tcPr>
          <w:p w14:paraId="61689632">
            <w:pPr>
              <w:rPr>
                <w:rFonts w:ascii="Arial"/>
                <w:sz w:val="21"/>
              </w:rPr>
            </w:pPr>
          </w:p>
        </w:tc>
        <w:tc>
          <w:tcPr>
            <w:tcW w:w="1179" w:type="dxa"/>
            <w:vAlign w:val="top"/>
          </w:tcPr>
          <w:p w14:paraId="3074D049">
            <w:pPr>
              <w:rPr>
                <w:rFonts w:ascii="Arial"/>
                <w:sz w:val="21"/>
              </w:rPr>
            </w:pPr>
          </w:p>
        </w:tc>
        <w:tc>
          <w:tcPr>
            <w:tcW w:w="1179" w:type="dxa"/>
            <w:vAlign w:val="top"/>
          </w:tcPr>
          <w:p w14:paraId="29293426">
            <w:pPr>
              <w:rPr>
                <w:rFonts w:ascii="Arial"/>
                <w:sz w:val="21"/>
              </w:rPr>
            </w:pPr>
          </w:p>
        </w:tc>
        <w:tc>
          <w:tcPr>
            <w:tcW w:w="1179" w:type="dxa"/>
            <w:vAlign w:val="top"/>
          </w:tcPr>
          <w:p w14:paraId="045EA674">
            <w:pPr>
              <w:rPr>
                <w:rFonts w:ascii="Arial"/>
                <w:sz w:val="21"/>
              </w:rPr>
            </w:pPr>
          </w:p>
        </w:tc>
        <w:tc>
          <w:tcPr>
            <w:tcW w:w="1174" w:type="dxa"/>
            <w:vAlign w:val="top"/>
          </w:tcPr>
          <w:p w14:paraId="4170EC05">
            <w:pPr>
              <w:rPr>
                <w:rFonts w:ascii="Arial"/>
                <w:sz w:val="21"/>
              </w:rPr>
            </w:pPr>
          </w:p>
        </w:tc>
      </w:tr>
      <w:tr w14:paraId="0D5EF7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4" w:hRule="atLeast"/>
        </w:trPr>
        <w:tc>
          <w:tcPr>
            <w:tcW w:w="635" w:type="dxa"/>
            <w:vAlign w:val="top"/>
          </w:tcPr>
          <w:p w14:paraId="2ADCCEEF">
            <w:pPr>
              <w:rPr>
                <w:rFonts w:ascii="Arial"/>
                <w:sz w:val="21"/>
              </w:rPr>
            </w:pPr>
          </w:p>
        </w:tc>
        <w:tc>
          <w:tcPr>
            <w:tcW w:w="2758" w:type="dxa"/>
            <w:vAlign w:val="top"/>
          </w:tcPr>
          <w:p w14:paraId="356F3BC1">
            <w:pPr>
              <w:rPr>
                <w:rFonts w:ascii="Arial"/>
                <w:sz w:val="21"/>
              </w:rPr>
            </w:pPr>
          </w:p>
        </w:tc>
        <w:tc>
          <w:tcPr>
            <w:tcW w:w="1179" w:type="dxa"/>
            <w:vAlign w:val="top"/>
          </w:tcPr>
          <w:p w14:paraId="1DED2A45">
            <w:pPr>
              <w:rPr>
                <w:rFonts w:ascii="Arial"/>
                <w:sz w:val="21"/>
              </w:rPr>
            </w:pPr>
          </w:p>
        </w:tc>
        <w:tc>
          <w:tcPr>
            <w:tcW w:w="1149" w:type="dxa"/>
            <w:vAlign w:val="top"/>
          </w:tcPr>
          <w:p w14:paraId="26F1B3BF">
            <w:pPr>
              <w:rPr>
                <w:rFonts w:ascii="Arial"/>
                <w:sz w:val="21"/>
              </w:rPr>
            </w:pPr>
          </w:p>
        </w:tc>
        <w:tc>
          <w:tcPr>
            <w:tcW w:w="1199" w:type="dxa"/>
            <w:vAlign w:val="top"/>
          </w:tcPr>
          <w:p w14:paraId="085280C1">
            <w:pPr>
              <w:rPr>
                <w:rFonts w:ascii="Arial"/>
                <w:sz w:val="21"/>
              </w:rPr>
            </w:pPr>
          </w:p>
        </w:tc>
        <w:tc>
          <w:tcPr>
            <w:tcW w:w="1159" w:type="dxa"/>
            <w:vAlign w:val="top"/>
          </w:tcPr>
          <w:p w14:paraId="36337042">
            <w:pPr>
              <w:rPr>
                <w:rFonts w:ascii="Arial"/>
                <w:sz w:val="21"/>
              </w:rPr>
            </w:pPr>
          </w:p>
        </w:tc>
        <w:tc>
          <w:tcPr>
            <w:tcW w:w="1180" w:type="dxa"/>
            <w:vAlign w:val="top"/>
          </w:tcPr>
          <w:p w14:paraId="4D402263">
            <w:pPr>
              <w:rPr>
                <w:rFonts w:ascii="Arial"/>
                <w:sz w:val="21"/>
              </w:rPr>
            </w:pPr>
          </w:p>
        </w:tc>
        <w:tc>
          <w:tcPr>
            <w:tcW w:w="1179" w:type="dxa"/>
            <w:vAlign w:val="top"/>
          </w:tcPr>
          <w:p w14:paraId="2E892535">
            <w:pPr>
              <w:rPr>
                <w:rFonts w:ascii="Arial"/>
                <w:sz w:val="21"/>
              </w:rPr>
            </w:pPr>
          </w:p>
        </w:tc>
        <w:tc>
          <w:tcPr>
            <w:tcW w:w="1179" w:type="dxa"/>
            <w:vAlign w:val="top"/>
          </w:tcPr>
          <w:p w14:paraId="55BA8371">
            <w:pPr>
              <w:rPr>
                <w:rFonts w:ascii="Arial"/>
                <w:sz w:val="21"/>
              </w:rPr>
            </w:pPr>
          </w:p>
        </w:tc>
        <w:tc>
          <w:tcPr>
            <w:tcW w:w="1179" w:type="dxa"/>
            <w:vAlign w:val="top"/>
          </w:tcPr>
          <w:p w14:paraId="5C2280AF">
            <w:pPr>
              <w:rPr>
                <w:rFonts w:ascii="Arial"/>
                <w:sz w:val="21"/>
              </w:rPr>
            </w:pPr>
          </w:p>
        </w:tc>
        <w:tc>
          <w:tcPr>
            <w:tcW w:w="1174" w:type="dxa"/>
            <w:vAlign w:val="top"/>
          </w:tcPr>
          <w:p w14:paraId="75EB60DA">
            <w:pPr>
              <w:rPr>
                <w:rFonts w:ascii="Arial"/>
                <w:sz w:val="21"/>
              </w:rPr>
            </w:pPr>
          </w:p>
        </w:tc>
      </w:tr>
    </w:tbl>
    <w:p w14:paraId="3FA0ED8D">
      <w:pPr>
        <w:spacing w:line="271" w:lineRule="auto"/>
        <w:rPr>
          <w:rFonts w:ascii="Arial"/>
          <w:sz w:val="21"/>
        </w:rPr>
      </w:pPr>
    </w:p>
    <w:p w14:paraId="6C449F18">
      <w:pPr>
        <w:pStyle w:val="2"/>
        <w:spacing w:before="65" w:line="223" w:lineRule="auto"/>
        <w:ind w:left="125"/>
        <w:rPr>
          <w:sz w:val="20"/>
          <w:szCs w:val="20"/>
        </w:rPr>
      </w:pPr>
      <w:r>
        <w:rPr>
          <w:spacing w:val="-2"/>
          <w:sz w:val="20"/>
          <w:szCs w:val="20"/>
        </w:rPr>
        <w:t xml:space="preserve">评标委员会全体成员签名：                                                                                   </w:t>
      </w:r>
      <w:r>
        <w:rPr>
          <w:spacing w:val="-3"/>
          <w:sz w:val="20"/>
          <w:szCs w:val="20"/>
        </w:rPr>
        <w:t xml:space="preserve">    </w:t>
      </w:r>
      <w:r>
        <w:rPr>
          <w:spacing w:val="-3"/>
          <w:sz w:val="16"/>
          <w:szCs w:val="16"/>
        </w:rPr>
        <w:t xml:space="preserve">日 期 ：      </w:t>
      </w:r>
      <w:r>
        <w:rPr>
          <w:spacing w:val="-3"/>
          <w:sz w:val="20"/>
          <w:szCs w:val="20"/>
        </w:rPr>
        <w:t xml:space="preserve">年    月     </w:t>
      </w:r>
      <w:r>
        <w:rPr>
          <w:spacing w:val="-3"/>
          <w:position w:val="1"/>
          <w:sz w:val="20"/>
          <w:szCs w:val="20"/>
        </w:rPr>
        <w:t>日</w:t>
      </w:r>
    </w:p>
    <w:p w14:paraId="13FF7108">
      <w:pPr>
        <w:spacing w:line="223" w:lineRule="auto"/>
        <w:rPr>
          <w:sz w:val="20"/>
          <w:szCs w:val="20"/>
        </w:rPr>
        <w:sectPr>
          <w:footerReference r:id="rId76" w:type="default"/>
          <w:pgSz w:w="16840" w:h="11910"/>
          <w:pgMar w:top="1012" w:right="1284" w:bottom="971" w:left="1574" w:header="0" w:footer="827" w:gutter="0"/>
          <w:cols w:space="720" w:num="1"/>
        </w:sectPr>
      </w:pPr>
    </w:p>
    <w:p w14:paraId="1AB5AD90">
      <w:pPr>
        <w:spacing w:line="252" w:lineRule="auto"/>
        <w:rPr>
          <w:rFonts w:ascii="Arial"/>
          <w:sz w:val="21"/>
        </w:rPr>
      </w:pPr>
    </w:p>
    <w:p w14:paraId="2B11CB14">
      <w:pPr>
        <w:spacing w:line="253" w:lineRule="auto"/>
        <w:rPr>
          <w:rFonts w:ascii="Arial"/>
          <w:sz w:val="21"/>
        </w:rPr>
      </w:pPr>
    </w:p>
    <w:p w14:paraId="77100893">
      <w:pPr>
        <w:spacing w:before="84" w:line="222" w:lineRule="auto"/>
        <w:ind w:left="538"/>
        <w:outlineLvl w:val="2"/>
        <w:rPr>
          <w:rFonts w:ascii="黑体" w:hAnsi="黑体" w:eastAsia="黑体" w:cs="黑体"/>
          <w:sz w:val="26"/>
          <w:szCs w:val="26"/>
        </w:rPr>
      </w:pPr>
      <w:bookmarkStart w:id="209" w:name="bookmark269"/>
      <w:bookmarkEnd w:id="209"/>
      <w:bookmarkStart w:id="210" w:name="bookmark158"/>
      <w:bookmarkEnd w:id="210"/>
      <w:r>
        <w:rPr>
          <w:rFonts w:ascii="黑体" w:hAnsi="黑体" w:eastAsia="黑体" w:cs="黑体"/>
          <w:b/>
          <w:bCs/>
          <w:spacing w:val="-6"/>
          <w:sz w:val="26"/>
          <w:szCs w:val="26"/>
        </w:rPr>
        <w:t>附表</w:t>
      </w:r>
      <w:r>
        <w:rPr>
          <w:rFonts w:ascii="Times New Roman" w:hAnsi="Times New Roman" w:eastAsia="Times New Roman" w:cs="Times New Roman"/>
          <w:b/>
          <w:bCs/>
          <w:spacing w:val="-6"/>
          <w:sz w:val="26"/>
          <w:szCs w:val="26"/>
        </w:rPr>
        <w:t xml:space="preserve">A-4:  </w:t>
      </w:r>
      <w:r>
        <w:rPr>
          <w:rFonts w:ascii="黑体" w:hAnsi="黑体" w:eastAsia="黑体" w:cs="黑体"/>
          <w:b/>
          <w:bCs/>
          <w:spacing w:val="-6"/>
          <w:sz w:val="26"/>
          <w:szCs w:val="26"/>
        </w:rPr>
        <w:t>形式评审记录表</w:t>
      </w:r>
    </w:p>
    <w:p w14:paraId="161BE803">
      <w:pPr>
        <w:spacing w:before="38" w:line="222" w:lineRule="auto"/>
        <w:ind w:left="5899"/>
        <w:rPr>
          <w:rFonts w:ascii="黑体" w:hAnsi="黑体" w:eastAsia="黑体" w:cs="黑体"/>
          <w:sz w:val="29"/>
          <w:szCs w:val="29"/>
        </w:rPr>
      </w:pPr>
      <w:r>
        <w:rPr>
          <w:rFonts w:ascii="黑体" w:hAnsi="黑体" w:eastAsia="黑体" w:cs="黑体"/>
          <w:b/>
          <w:bCs/>
          <w:spacing w:val="-5"/>
          <w:sz w:val="29"/>
          <w:szCs w:val="29"/>
        </w:rPr>
        <w:t>形式评审记录表</w:t>
      </w:r>
    </w:p>
    <w:p w14:paraId="2FE43961">
      <w:pPr>
        <w:pStyle w:val="2"/>
        <w:spacing w:before="263" w:line="219" w:lineRule="auto"/>
        <w:ind w:left="125"/>
        <w:rPr>
          <w:sz w:val="19"/>
          <w:szCs w:val="19"/>
        </w:rPr>
      </w:pPr>
      <w:r>
        <w:rPr>
          <w:spacing w:val="11"/>
          <w:position w:val="2"/>
          <w:sz w:val="19"/>
          <w:szCs w:val="19"/>
        </w:rPr>
        <w:t xml:space="preserve">工程名称： </w:t>
      </w:r>
      <w:r>
        <w:rPr>
          <w:spacing w:val="11"/>
          <w:position w:val="2"/>
          <w:sz w:val="19"/>
          <w:szCs w:val="19"/>
          <w:u w:val="single" w:color="auto"/>
        </w:rPr>
        <w:t xml:space="preserve">               </w:t>
      </w:r>
      <w:r>
        <w:rPr>
          <w:position w:val="-4"/>
          <w:sz w:val="19"/>
          <w:szCs w:val="19"/>
        </w:rPr>
        <w:drawing>
          <wp:inline distT="0" distB="0" distL="0" distR="0">
            <wp:extent cx="6350" cy="5715"/>
            <wp:effectExtent l="0" t="0" r="0" b="0"/>
            <wp:docPr id="24" name="IM 24"/>
            <wp:cNvGraphicFramePr/>
            <a:graphic xmlns:a="http://schemas.openxmlformats.org/drawingml/2006/main">
              <a:graphicData uri="http://schemas.openxmlformats.org/drawingml/2006/picture">
                <pic:pic xmlns:pic="http://schemas.openxmlformats.org/drawingml/2006/picture">
                  <pic:nvPicPr>
                    <pic:cNvPr id="24" name="IM 24"/>
                    <pic:cNvPicPr/>
                  </pic:nvPicPr>
                  <pic:blipFill>
                    <a:blip r:embed="rId419"/>
                    <a:stretch>
                      <a:fillRect/>
                    </a:stretch>
                  </pic:blipFill>
                  <pic:spPr>
                    <a:xfrm>
                      <a:off x="0" y="0"/>
                      <a:ext cx="6416" cy="6032"/>
                    </a:xfrm>
                    <a:prstGeom prst="rect">
                      <a:avLst/>
                    </a:prstGeom>
                  </pic:spPr>
                </pic:pic>
              </a:graphicData>
            </a:graphic>
          </wp:inline>
        </w:drawing>
      </w:r>
      <w:r>
        <w:rPr>
          <w:spacing w:val="-86"/>
          <w:position w:val="2"/>
          <w:sz w:val="19"/>
          <w:szCs w:val="19"/>
        </w:rPr>
        <w:t xml:space="preserve"> </w:t>
      </w:r>
      <w:r>
        <w:rPr>
          <w:spacing w:val="11"/>
          <w:position w:val="-1"/>
          <w:sz w:val="19"/>
          <w:szCs w:val="19"/>
        </w:rPr>
        <w:t>(项目名称)</w:t>
      </w:r>
      <w:r>
        <w:rPr>
          <w:spacing w:val="13"/>
          <w:position w:val="-1"/>
          <w:sz w:val="19"/>
          <w:szCs w:val="19"/>
          <w:u w:val="single" w:color="auto"/>
        </w:rPr>
        <w:t xml:space="preserve">       </w:t>
      </w:r>
      <w:r>
        <w:rPr>
          <w:spacing w:val="-23"/>
          <w:position w:val="-1"/>
          <w:sz w:val="19"/>
          <w:szCs w:val="19"/>
        </w:rPr>
        <w:t xml:space="preserve"> </w:t>
      </w:r>
      <w:r>
        <w:rPr>
          <w:spacing w:val="11"/>
          <w:sz w:val="19"/>
          <w:szCs w:val="19"/>
        </w:rPr>
        <w:t>(标段名称)</w:t>
      </w:r>
    </w:p>
    <w:p w14:paraId="25838EC5">
      <w:pPr>
        <w:spacing w:before="240"/>
      </w:pPr>
    </w:p>
    <w:tbl>
      <w:tblPr>
        <w:tblStyle w:val="5"/>
        <w:tblW w:w="1374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25"/>
        <w:gridCol w:w="1809"/>
        <w:gridCol w:w="2688"/>
        <w:gridCol w:w="800"/>
        <w:gridCol w:w="989"/>
        <w:gridCol w:w="959"/>
        <w:gridCol w:w="1000"/>
        <w:gridCol w:w="959"/>
        <w:gridCol w:w="989"/>
        <w:gridCol w:w="969"/>
        <w:gridCol w:w="959"/>
        <w:gridCol w:w="994"/>
      </w:tblGrid>
      <w:tr w14:paraId="565D2B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25" w:type="dxa"/>
            <w:vMerge w:val="restart"/>
            <w:tcBorders>
              <w:bottom w:val="nil"/>
            </w:tcBorders>
            <w:vAlign w:val="top"/>
          </w:tcPr>
          <w:p w14:paraId="5E06AE0D">
            <w:pPr>
              <w:spacing w:line="264" w:lineRule="auto"/>
              <w:rPr>
                <w:rFonts w:ascii="Arial"/>
                <w:sz w:val="21"/>
              </w:rPr>
            </w:pPr>
          </w:p>
          <w:p w14:paraId="155544ED">
            <w:pPr>
              <w:pStyle w:val="6"/>
              <w:spacing w:before="69" w:line="221" w:lineRule="auto"/>
              <w:ind w:left="95"/>
            </w:pPr>
            <w:r>
              <w:rPr>
                <w:spacing w:val="6"/>
              </w:rPr>
              <w:t>序号</w:t>
            </w:r>
          </w:p>
        </w:tc>
        <w:tc>
          <w:tcPr>
            <w:tcW w:w="1809" w:type="dxa"/>
            <w:vMerge w:val="restart"/>
            <w:tcBorders>
              <w:bottom w:val="nil"/>
            </w:tcBorders>
            <w:vAlign w:val="top"/>
          </w:tcPr>
          <w:p w14:paraId="4D660BD0">
            <w:pPr>
              <w:spacing w:line="263" w:lineRule="auto"/>
              <w:rPr>
                <w:rFonts w:ascii="Arial"/>
                <w:sz w:val="21"/>
              </w:rPr>
            </w:pPr>
          </w:p>
          <w:p w14:paraId="04E540DE">
            <w:pPr>
              <w:pStyle w:val="6"/>
              <w:spacing w:before="69" w:line="219" w:lineRule="auto"/>
              <w:ind w:left="469"/>
            </w:pPr>
            <w:r>
              <w:rPr>
                <w:spacing w:val="-2"/>
              </w:rPr>
              <w:t>评审因素</w:t>
            </w:r>
          </w:p>
        </w:tc>
        <w:tc>
          <w:tcPr>
            <w:tcW w:w="2688" w:type="dxa"/>
            <w:vMerge w:val="restart"/>
            <w:tcBorders>
              <w:bottom w:val="nil"/>
            </w:tcBorders>
            <w:vAlign w:val="top"/>
          </w:tcPr>
          <w:p w14:paraId="4F747B5A">
            <w:pPr>
              <w:spacing w:line="264" w:lineRule="auto"/>
              <w:rPr>
                <w:rFonts w:ascii="Arial"/>
                <w:sz w:val="21"/>
              </w:rPr>
            </w:pPr>
          </w:p>
          <w:p w14:paraId="489F02B7">
            <w:pPr>
              <w:pStyle w:val="6"/>
              <w:spacing w:before="68" w:line="220" w:lineRule="auto"/>
              <w:ind w:left="951"/>
            </w:pPr>
            <w:r>
              <w:rPr>
                <w:spacing w:val="-2"/>
              </w:rPr>
              <w:t>评审标准</w:t>
            </w:r>
          </w:p>
        </w:tc>
        <w:tc>
          <w:tcPr>
            <w:tcW w:w="8618" w:type="dxa"/>
            <w:gridSpan w:val="9"/>
            <w:vAlign w:val="top"/>
          </w:tcPr>
          <w:p w14:paraId="6E96F9E9">
            <w:pPr>
              <w:pStyle w:val="6"/>
              <w:spacing w:before="113" w:line="219" w:lineRule="auto"/>
              <w:ind w:left="3273"/>
            </w:pPr>
            <w:r>
              <w:rPr>
                <w:spacing w:val="1"/>
              </w:rPr>
              <w:t>投标人名称及评审意见</w:t>
            </w:r>
          </w:p>
        </w:tc>
      </w:tr>
      <w:tr w14:paraId="4FAFAB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trPr>
        <w:tc>
          <w:tcPr>
            <w:tcW w:w="625" w:type="dxa"/>
            <w:vMerge w:val="continue"/>
            <w:tcBorders>
              <w:top w:val="nil"/>
            </w:tcBorders>
            <w:vAlign w:val="top"/>
          </w:tcPr>
          <w:p w14:paraId="4C3C386B">
            <w:pPr>
              <w:rPr>
                <w:rFonts w:ascii="Arial"/>
                <w:sz w:val="21"/>
              </w:rPr>
            </w:pPr>
          </w:p>
        </w:tc>
        <w:tc>
          <w:tcPr>
            <w:tcW w:w="1809" w:type="dxa"/>
            <w:vMerge w:val="continue"/>
            <w:tcBorders>
              <w:top w:val="nil"/>
            </w:tcBorders>
            <w:vAlign w:val="top"/>
          </w:tcPr>
          <w:p w14:paraId="6A7BC6EF">
            <w:pPr>
              <w:rPr>
                <w:rFonts w:ascii="Arial"/>
                <w:sz w:val="21"/>
              </w:rPr>
            </w:pPr>
          </w:p>
        </w:tc>
        <w:tc>
          <w:tcPr>
            <w:tcW w:w="2688" w:type="dxa"/>
            <w:vMerge w:val="continue"/>
            <w:tcBorders>
              <w:top w:val="nil"/>
            </w:tcBorders>
            <w:vAlign w:val="top"/>
          </w:tcPr>
          <w:p w14:paraId="7C3E67BC">
            <w:pPr>
              <w:rPr>
                <w:rFonts w:ascii="Arial"/>
                <w:sz w:val="21"/>
              </w:rPr>
            </w:pPr>
          </w:p>
        </w:tc>
        <w:tc>
          <w:tcPr>
            <w:tcW w:w="800" w:type="dxa"/>
            <w:vAlign w:val="top"/>
          </w:tcPr>
          <w:p w14:paraId="13FB94F1">
            <w:pPr>
              <w:rPr>
                <w:rFonts w:ascii="Arial"/>
                <w:sz w:val="21"/>
              </w:rPr>
            </w:pPr>
          </w:p>
        </w:tc>
        <w:tc>
          <w:tcPr>
            <w:tcW w:w="989" w:type="dxa"/>
            <w:vAlign w:val="top"/>
          </w:tcPr>
          <w:p w14:paraId="7908AC71">
            <w:pPr>
              <w:rPr>
                <w:rFonts w:ascii="Arial"/>
                <w:sz w:val="21"/>
              </w:rPr>
            </w:pPr>
          </w:p>
        </w:tc>
        <w:tc>
          <w:tcPr>
            <w:tcW w:w="959" w:type="dxa"/>
            <w:vAlign w:val="top"/>
          </w:tcPr>
          <w:p w14:paraId="04C6EDE2">
            <w:pPr>
              <w:rPr>
                <w:rFonts w:ascii="Arial"/>
                <w:sz w:val="21"/>
              </w:rPr>
            </w:pPr>
          </w:p>
        </w:tc>
        <w:tc>
          <w:tcPr>
            <w:tcW w:w="1000" w:type="dxa"/>
            <w:vAlign w:val="top"/>
          </w:tcPr>
          <w:p w14:paraId="1F9CA698">
            <w:pPr>
              <w:rPr>
                <w:rFonts w:ascii="Arial"/>
                <w:sz w:val="21"/>
              </w:rPr>
            </w:pPr>
          </w:p>
        </w:tc>
        <w:tc>
          <w:tcPr>
            <w:tcW w:w="959" w:type="dxa"/>
            <w:vAlign w:val="top"/>
          </w:tcPr>
          <w:p w14:paraId="2D429E63">
            <w:pPr>
              <w:rPr>
                <w:rFonts w:ascii="Arial"/>
                <w:sz w:val="21"/>
              </w:rPr>
            </w:pPr>
          </w:p>
        </w:tc>
        <w:tc>
          <w:tcPr>
            <w:tcW w:w="989" w:type="dxa"/>
            <w:vAlign w:val="top"/>
          </w:tcPr>
          <w:p w14:paraId="678F277B">
            <w:pPr>
              <w:rPr>
                <w:rFonts w:ascii="Arial"/>
                <w:sz w:val="21"/>
              </w:rPr>
            </w:pPr>
          </w:p>
        </w:tc>
        <w:tc>
          <w:tcPr>
            <w:tcW w:w="969" w:type="dxa"/>
            <w:vAlign w:val="top"/>
          </w:tcPr>
          <w:p w14:paraId="406EFCD7">
            <w:pPr>
              <w:rPr>
                <w:rFonts w:ascii="Arial"/>
                <w:sz w:val="21"/>
              </w:rPr>
            </w:pPr>
          </w:p>
        </w:tc>
        <w:tc>
          <w:tcPr>
            <w:tcW w:w="959" w:type="dxa"/>
            <w:vAlign w:val="top"/>
          </w:tcPr>
          <w:p w14:paraId="7B541FB2">
            <w:pPr>
              <w:rPr>
                <w:rFonts w:ascii="Arial"/>
                <w:sz w:val="21"/>
              </w:rPr>
            </w:pPr>
          </w:p>
        </w:tc>
        <w:tc>
          <w:tcPr>
            <w:tcW w:w="994" w:type="dxa"/>
            <w:vAlign w:val="top"/>
          </w:tcPr>
          <w:p w14:paraId="6DE6DF90">
            <w:pPr>
              <w:rPr>
                <w:rFonts w:ascii="Arial"/>
                <w:sz w:val="21"/>
              </w:rPr>
            </w:pPr>
          </w:p>
        </w:tc>
      </w:tr>
      <w:tr w14:paraId="6D9DD7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9" w:hRule="atLeast"/>
        </w:trPr>
        <w:tc>
          <w:tcPr>
            <w:tcW w:w="625" w:type="dxa"/>
            <w:vAlign w:val="top"/>
          </w:tcPr>
          <w:p w14:paraId="7BC07272">
            <w:pPr>
              <w:pStyle w:val="6"/>
              <w:spacing w:before="200" w:line="241" w:lineRule="auto"/>
              <w:ind w:left="245"/>
            </w:pPr>
            <w:r>
              <w:t>1</w:t>
            </w:r>
          </w:p>
        </w:tc>
        <w:tc>
          <w:tcPr>
            <w:tcW w:w="1809" w:type="dxa"/>
            <w:vAlign w:val="top"/>
          </w:tcPr>
          <w:p w14:paraId="7A8B2BF3">
            <w:pPr>
              <w:pStyle w:val="6"/>
              <w:spacing w:before="179" w:line="219" w:lineRule="auto"/>
              <w:ind w:left="469"/>
            </w:pPr>
            <w:r>
              <w:rPr>
                <w:spacing w:val="-3"/>
              </w:rPr>
              <w:t>投标文件</w:t>
            </w:r>
          </w:p>
        </w:tc>
        <w:tc>
          <w:tcPr>
            <w:tcW w:w="2688" w:type="dxa"/>
            <w:vAlign w:val="top"/>
          </w:tcPr>
          <w:p w14:paraId="59CCEA61">
            <w:pPr>
              <w:pStyle w:val="6"/>
              <w:spacing w:before="179" w:line="219" w:lineRule="auto"/>
              <w:ind w:left="131"/>
            </w:pPr>
            <w:r>
              <w:rPr>
                <w:spacing w:val="-2"/>
              </w:rPr>
              <w:t>投标文件能正常打开</w:t>
            </w:r>
          </w:p>
        </w:tc>
        <w:tc>
          <w:tcPr>
            <w:tcW w:w="800" w:type="dxa"/>
            <w:vAlign w:val="top"/>
          </w:tcPr>
          <w:p w14:paraId="093B4DAA">
            <w:pPr>
              <w:rPr>
                <w:rFonts w:ascii="Arial"/>
                <w:sz w:val="21"/>
              </w:rPr>
            </w:pPr>
          </w:p>
        </w:tc>
        <w:tc>
          <w:tcPr>
            <w:tcW w:w="989" w:type="dxa"/>
            <w:vAlign w:val="top"/>
          </w:tcPr>
          <w:p w14:paraId="3702DBE2">
            <w:pPr>
              <w:rPr>
                <w:rFonts w:ascii="Arial"/>
                <w:sz w:val="21"/>
              </w:rPr>
            </w:pPr>
          </w:p>
        </w:tc>
        <w:tc>
          <w:tcPr>
            <w:tcW w:w="959" w:type="dxa"/>
            <w:vAlign w:val="top"/>
          </w:tcPr>
          <w:p w14:paraId="74A76126">
            <w:pPr>
              <w:rPr>
                <w:rFonts w:ascii="Arial"/>
                <w:sz w:val="21"/>
              </w:rPr>
            </w:pPr>
          </w:p>
        </w:tc>
        <w:tc>
          <w:tcPr>
            <w:tcW w:w="1000" w:type="dxa"/>
            <w:vAlign w:val="top"/>
          </w:tcPr>
          <w:p w14:paraId="6EFF4E2D">
            <w:pPr>
              <w:rPr>
                <w:rFonts w:ascii="Arial"/>
                <w:sz w:val="21"/>
              </w:rPr>
            </w:pPr>
          </w:p>
        </w:tc>
        <w:tc>
          <w:tcPr>
            <w:tcW w:w="959" w:type="dxa"/>
            <w:vAlign w:val="top"/>
          </w:tcPr>
          <w:p w14:paraId="5433863B">
            <w:pPr>
              <w:rPr>
                <w:rFonts w:ascii="Arial"/>
                <w:sz w:val="21"/>
              </w:rPr>
            </w:pPr>
          </w:p>
        </w:tc>
        <w:tc>
          <w:tcPr>
            <w:tcW w:w="989" w:type="dxa"/>
            <w:vAlign w:val="top"/>
          </w:tcPr>
          <w:p w14:paraId="7F5649E3">
            <w:pPr>
              <w:rPr>
                <w:rFonts w:ascii="Arial"/>
                <w:sz w:val="21"/>
              </w:rPr>
            </w:pPr>
          </w:p>
        </w:tc>
        <w:tc>
          <w:tcPr>
            <w:tcW w:w="969" w:type="dxa"/>
            <w:vAlign w:val="top"/>
          </w:tcPr>
          <w:p w14:paraId="4878EC52">
            <w:pPr>
              <w:rPr>
                <w:rFonts w:ascii="Arial"/>
                <w:sz w:val="21"/>
              </w:rPr>
            </w:pPr>
          </w:p>
        </w:tc>
        <w:tc>
          <w:tcPr>
            <w:tcW w:w="959" w:type="dxa"/>
            <w:vAlign w:val="top"/>
          </w:tcPr>
          <w:p w14:paraId="14EC0EE1">
            <w:pPr>
              <w:rPr>
                <w:rFonts w:ascii="Arial"/>
                <w:sz w:val="21"/>
              </w:rPr>
            </w:pPr>
          </w:p>
        </w:tc>
        <w:tc>
          <w:tcPr>
            <w:tcW w:w="994" w:type="dxa"/>
            <w:vAlign w:val="top"/>
          </w:tcPr>
          <w:p w14:paraId="08BFFA73">
            <w:pPr>
              <w:rPr>
                <w:rFonts w:ascii="Arial"/>
                <w:sz w:val="21"/>
              </w:rPr>
            </w:pPr>
          </w:p>
        </w:tc>
      </w:tr>
      <w:tr w14:paraId="27CAA4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625" w:type="dxa"/>
            <w:vAlign w:val="top"/>
          </w:tcPr>
          <w:p w14:paraId="3D01528B">
            <w:pPr>
              <w:pStyle w:val="6"/>
              <w:spacing w:before="201" w:line="241" w:lineRule="auto"/>
              <w:ind w:left="245"/>
            </w:pPr>
            <w:r>
              <w:t>2</w:t>
            </w:r>
          </w:p>
        </w:tc>
        <w:tc>
          <w:tcPr>
            <w:tcW w:w="1809" w:type="dxa"/>
            <w:vAlign w:val="top"/>
          </w:tcPr>
          <w:p w14:paraId="70678C11">
            <w:pPr>
              <w:pStyle w:val="6"/>
              <w:spacing w:before="181" w:line="220" w:lineRule="auto"/>
              <w:ind w:left="370"/>
            </w:pPr>
            <w:r>
              <w:rPr>
                <w:spacing w:val="2"/>
              </w:rPr>
              <w:t>投标人名称</w:t>
            </w:r>
          </w:p>
        </w:tc>
        <w:tc>
          <w:tcPr>
            <w:tcW w:w="2688" w:type="dxa"/>
            <w:vAlign w:val="top"/>
          </w:tcPr>
          <w:p w14:paraId="4A54D30C">
            <w:pPr>
              <w:pStyle w:val="6"/>
              <w:spacing w:before="19" w:line="237" w:lineRule="auto"/>
              <w:ind w:left="141" w:firstLine="9"/>
            </w:pPr>
            <w:r>
              <w:t>与营业执照、资质证书、安</w:t>
            </w:r>
            <w:r>
              <w:rPr>
                <w:spacing w:val="6"/>
              </w:rPr>
              <w:t xml:space="preserve"> </w:t>
            </w:r>
            <w:r>
              <w:rPr>
                <w:spacing w:val="-2"/>
              </w:rPr>
              <w:t>全生产许可证一致</w:t>
            </w:r>
          </w:p>
        </w:tc>
        <w:tc>
          <w:tcPr>
            <w:tcW w:w="800" w:type="dxa"/>
            <w:vAlign w:val="top"/>
          </w:tcPr>
          <w:p w14:paraId="06FE98DB">
            <w:pPr>
              <w:rPr>
                <w:rFonts w:ascii="Arial"/>
                <w:sz w:val="21"/>
              </w:rPr>
            </w:pPr>
          </w:p>
        </w:tc>
        <w:tc>
          <w:tcPr>
            <w:tcW w:w="989" w:type="dxa"/>
            <w:vAlign w:val="top"/>
          </w:tcPr>
          <w:p w14:paraId="79884D33">
            <w:pPr>
              <w:rPr>
                <w:rFonts w:ascii="Arial"/>
                <w:sz w:val="21"/>
              </w:rPr>
            </w:pPr>
          </w:p>
        </w:tc>
        <w:tc>
          <w:tcPr>
            <w:tcW w:w="959" w:type="dxa"/>
            <w:vAlign w:val="top"/>
          </w:tcPr>
          <w:p w14:paraId="49FB2F24">
            <w:pPr>
              <w:rPr>
                <w:rFonts w:ascii="Arial"/>
                <w:sz w:val="21"/>
              </w:rPr>
            </w:pPr>
          </w:p>
        </w:tc>
        <w:tc>
          <w:tcPr>
            <w:tcW w:w="1000" w:type="dxa"/>
            <w:vAlign w:val="top"/>
          </w:tcPr>
          <w:p w14:paraId="26DB33BD">
            <w:pPr>
              <w:rPr>
                <w:rFonts w:ascii="Arial"/>
                <w:sz w:val="21"/>
              </w:rPr>
            </w:pPr>
          </w:p>
        </w:tc>
        <w:tc>
          <w:tcPr>
            <w:tcW w:w="959" w:type="dxa"/>
            <w:vAlign w:val="top"/>
          </w:tcPr>
          <w:p w14:paraId="127BB0A0">
            <w:pPr>
              <w:rPr>
                <w:rFonts w:ascii="Arial"/>
                <w:sz w:val="21"/>
              </w:rPr>
            </w:pPr>
          </w:p>
        </w:tc>
        <w:tc>
          <w:tcPr>
            <w:tcW w:w="989" w:type="dxa"/>
            <w:vAlign w:val="top"/>
          </w:tcPr>
          <w:p w14:paraId="2EAA5EA4">
            <w:pPr>
              <w:rPr>
                <w:rFonts w:ascii="Arial"/>
                <w:sz w:val="21"/>
              </w:rPr>
            </w:pPr>
          </w:p>
        </w:tc>
        <w:tc>
          <w:tcPr>
            <w:tcW w:w="969" w:type="dxa"/>
            <w:vAlign w:val="top"/>
          </w:tcPr>
          <w:p w14:paraId="773D9EAC">
            <w:pPr>
              <w:rPr>
                <w:rFonts w:ascii="Arial"/>
                <w:sz w:val="21"/>
              </w:rPr>
            </w:pPr>
          </w:p>
        </w:tc>
        <w:tc>
          <w:tcPr>
            <w:tcW w:w="959" w:type="dxa"/>
            <w:vAlign w:val="top"/>
          </w:tcPr>
          <w:p w14:paraId="15F321A9">
            <w:pPr>
              <w:rPr>
                <w:rFonts w:ascii="Arial"/>
                <w:sz w:val="21"/>
              </w:rPr>
            </w:pPr>
          </w:p>
        </w:tc>
        <w:tc>
          <w:tcPr>
            <w:tcW w:w="994" w:type="dxa"/>
            <w:vAlign w:val="top"/>
          </w:tcPr>
          <w:p w14:paraId="7F799BF0">
            <w:pPr>
              <w:rPr>
                <w:rFonts w:ascii="Arial"/>
                <w:sz w:val="21"/>
              </w:rPr>
            </w:pPr>
          </w:p>
        </w:tc>
      </w:tr>
      <w:tr w14:paraId="187BA9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625" w:type="dxa"/>
            <w:vAlign w:val="top"/>
          </w:tcPr>
          <w:p w14:paraId="1714FB76">
            <w:pPr>
              <w:pStyle w:val="6"/>
              <w:spacing w:before="192"/>
              <w:ind w:left="245"/>
            </w:pPr>
            <w:r>
              <w:t>3</w:t>
            </w:r>
          </w:p>
        </w:tc>
        <w:tc>
          <w:tcPr>
            <w:tcW w:w="1809" w:type="dxa"/>
            <w:vAlign w:val="top"/>
          </w:tcPr>
          <w:p w14:paraId="7345759C">
            <w:pPr>
              <w:pStyle w:val="6"/>
              <w:spacing w:before="40" w:line="219" w:lineRule="auto"/>
              <w:ind w:left="469" w:right="473"/>
            </w:pPr>
            <w:r>
              <w:rPr>
                <w:spacing w:val="-3"/>
              </w:rPr>
              <w:t>投标文件</w:t>
            </w:r>
            <w:r>
              <w:t xml:space="preserve"> </w:t>
            </w:r>
            <w:r>
              <w:rPr>
                <w:spacing w:val="3"/>
              </w:rPr>
              <w:t>签字盖章</w:t>
            </w:r>
          </w:p>
        </w:tc>
        <w:tc>
          <w:tcPr>
            <w:tcW w:w="2688" w:type="dxa"/>
            <w:vAlign w:val="top"/>
          </w:tcPr>
          <w:p w14:paraId="7FB59773">
            <w:pPr>
              <w:pStyle w:val="6"/>
              <w:spacing w:before="40" w:line="219" w:lineRule="auto"/>
              <w:ind w:left="131" w:firstLine="9"/>
            </w:pPr>
            <w:r>
              <w:rPr>
                <w:spacing w:val="1"/>
              </w:rPr>
              <w:t>符合第二章“投标人须知”</w:t>
            </w:r>
            <w:r>
              <w:rPr>
                <w:spacing w:val="4"/>
              </w:rPr>
              <w:t xml:space="preserve"> </w:t>
            </w:r>
            <w:r>
              <w:rPr>
                <w:spacing w:val="-8"/>
              </w:rPr>
              <w:t>第3.7.3(5)目规定</w:t>
            </w:r>
          </w:p>
        </w:tc>
        <w:tc>
          <w:tcPr>
            <w:tcW w:w="800" w:type="dxa"/>
            <w:vAlign w:val="top"/>
          </w:tcPr>
          <w:p w14:paraId="70E47900">
            <w:pPr>
              <w:rPr>
                <w:rFonts w:ascii="Arial"/>
                <w:sz w:val="21"/>
              </w:rPr>
            </w:pPr>
          </w:p>
        </w:tc>
        <w:tc>
          <w:tcPr>
            <w:tcW w:w="989" w:type="dxa"/>
            <w:vAlign w:val="top"/>
          </w:tcPr>
          <w:p w14:paraId="034F9786">
            <w:pPr>
              <w:rPr>
                <w:rFonts w:ascii="Arial"/>
                <w:sz w:val="21"/>
              </w:rPr>
            </w:pPr>
          </w:p>
        </w:tc>
        <w:tc>
          <w:tcPr>
            <w:tcW w:w="959" w:type="dxa"/>
            <w:vAlign w:val="top"/>
          </w:tcPr>
          <w:p w14:paraId="019E750C">
            <w:pPr>
              <w:rPr>
                <w:rFonts w:ascii="Arial"/>
                <w:sz w:val="21"/>
              </w:rPr>
            </w:pPr>
          </w:p>
        </w:tc>
        <w:tc>
          <w:tcPr>
            <w:tcW w:w="1000" w:type="dxa"/>
            <w:vAlign w:val="top"/>
          </w:tcPr>
          <w:p w14:paraId="2DFB3045">
            <w:pPr>
              <w:rPr>
                <w:rFonts w:ascii="Arial"/>
                <w:sz w:val="21"/>
              </w:rPr>
            </w:pPr>
          </w:p>
        </w:tc>
        <w:tc>
          <w:tcPr>
            <w:tcW w:w="959" w:type="dxa"/>
            <w:vAlign w:val="top"/>
          </w:tcPr>
          <w:p w14:paraId="0C977E32">
            <w:pPr>
              <w:rPr>
                <w:rFonts w:ascii="Arial"/>
                <w:sz w:val="21"/>
              </w:rPr>
            </w:pPr>
          </w:p>
        </w:tc>
        <w:tc>
          <w:tcPr>
            <w:tcW w:w="989" w:type="dxa"/>
            <w:vAlign w:val="top"/>
          </w:tcPr>
          <w:p w14:paraId="1FCF472F">
            <w:pPr>
              <w:rPr>
                <w:rFonts w:ascii="Arial"/>
                <w:sz w:val="21"/>
              </w:rPr>
            </w:pPr>
          </w:p>
        </w:tc>
        <w:tc>
          <w:tcPr>
            <w:tcW w:w="969" w:type="dxa"/>
            <w:vAlign w:val="top"/>
          </w:tcPr>
          <w:p w14:paraId="31CB1B9C">
            <w:pPr>
              <w:rPr>
                <w:rFonts w:ascii="Arial"/>
                <w:sz w:val="21"/>
              </w:rPr>
            </w:pPr>
          </w:p>
        </w:tc>
        <w:tc>
          <w:tcPr>
            <w:tcW w:w="959" w:type="dxa"/>
            <w:vAlign w:val="top"/>
          </w:tcPr>
          <w:p w14:paraId="03A4CDD9">
            <w:pPr>
              <w:rPr>
                <w:rFonts w:ascii="Arial"/>
                <w:sz w:val="21"/>
              </w:rPr>
            </w:pPr>
          </w:p>
        </w:tc>
        <w:tc>
          <w:tcPr>
            <w:tcW w:w="994" w:type="dxa"/>
            <w:vAlign w:val="top"/>
          </w:tcPr>
          <w:p w14:paraId="27EF2AC7">
            <w:pPr>
              <w:rPr>
                <w:rFonts w:ascii="Arial"/>
                <w:sz w:val="21"/>
              </w:rPr>
            </w:pPr>
          </w:p>
        </w:tc>
      </w:tr>
      <w:tr w14:paraId="6F2A06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9" w:hRule="atLeast"/>
        </w:trPr>
        <w:tc>
          <w:tcPr>
            <w:tcW w:w="625" w:type="dxa"/>
            <w:vAlign w:val="top"/>
          </w:tcPr>
          <w:p w14:paraId="39D35B3E">
            <w:pPr>
              <w:spacing w:line="263" w:lineRule="auto"/>
              <w:rPr>
                <w:rFonts w:ascii="Arial"/>
                <w:sz w:val="21"/>
              </w:rPr>
            </w:pPr>
          </w:p>
          <w:p w14:paraId="6CA26DDF">
            <w:pPr>
              <w:pStyle w:val="6"/>
              <w:spacing w:before="68" w:line="241" w:lineRule="auto"/>
              <w:ind w:left="245"/>
            </w:pPr>
            <w:r>
              <w:t>4</w:t>
            </w:r>
          </w:p>
        </w:tc>
        <w:tc>
          <w:tcPr>
            <w:tcW w:w="1809" w:type="dxa"/>
            <w:vAlign w:val="top"/>
          </w:tcPr>
          <w:p w14:paraId="3CB788E0">
            <w:pPr>
              <w:pStyle w:val="6"/>
              <w:spacing w:before="191" w:line="231" w:lineRule="auto"/>
              <w:ind w:left="680" w:right="63" w:hanging="520"/>
            </w:pPr>
            <w:r>
              <w:rPr>
                <w:spacing w:val="15"/>
              </w:rPr>
              <w:t>投标文件格式、</w:t>
            </w:r>
            <w:r>
              <w:t xml:space="preserve"> </w:t>
            </w:r>
            <w:r>
              <w:rPr>
                <w:spacing w:val="5"/>
              </w:rPr>
              <w:t>内容</w:t>
            </w:r>
          </w:p>
        </w:tc>
        <w:tc>
          <w:tcPr>
            <w:tcW w:w="2688" w:type="dxa"/>
            <w:vAlign w:val="top"/>
          </w:tcPr>
          <w:p w14:paraId="2CED09B6">
            <w:pPr>
              <w:pStyle w:val="6"/>
              <w:spacing w:before="51" w:line="219" w:lineRule="auto"/>
              <w:ind w:left="150"/>
            </w:pPr>
            <w:r>
              <w:rPr>
                <w:spacing w:val="-1"/>
              </w:rPr>
              <w:t>符合第八章“投标文件格</w:t>
            </w:r>
          </w:p>
          <w:p w14:paraId="75881E7A">
            <w:pPr>
              <w:pStyle w:val="6"/>
              <w:spacing w:before="30" w:line="210" w:lineRule="auto"/>
              <w:ind w:left="141" w:right="7"/>
            </w:pPr>
            <w:r>
              <w:t>式”的要求，实质性内容齐</w:t>
            </w:r>
            <w:r>
              <w:rPr>
                <w:spacing w:val="7"/>
              </w:rPr>
              <w:t xml:space="preserve"> </w:t>
            </w:r>
            <w:r>
              <w:rPr>
                <w:spacing w:val="-1"/>
              </w:rPr>
              <w:t>全、关键字迹清晰可辨</w:t>
            </w:r>
          </w:p>
        </w:tc>
        <w:tc>
          <w:tcPr>
            <w:tcW w:w="800" w:type="dxa"/>
            <w:vAlign w:val="top"/>
          </w:tcPr>
          <w:p w14:paraId="2D7CACAA">
            <w:pPr>
              <w:rPr>
                <w:rFonts w:ascii="Arial"/>
                <w:sz w:val="21"/>
              </w:rPr>
            </w:pPr>
          </w:p>
        </w:tc>
        <w:tc>
          <w:tcPr>
            <w:tcW w:w="989" w:type="dxa"/>
            <w:vAlign w:val="top"/>
          </w:tcPr>
          <w:p w14:paraId="14F3314B">
            <w:pPr>
              <w:rPr>
                <w:rFonts w:ascii="Arial"/>
                <w:sz w:val="21"/>
              </w:rPr>
            </w:pPr>
          </w:p>
        </w:tc>
        <w:tc>
          <w:tcPr>
            <w:tcW w:w="959" w:type="dxa"/>
            <w:vAlign w:val="top"/>
          </w:tcPr>
          <w:p w14:paraId="75304687">
            <w:pPr>
              <w:rPr>
                <w:rFonts w:ascii="Arial"/>
                <w:sz w:val="21"/>
              </w:rPr>
            </w:pPr>
          </w:p>
        </w:tc>
        <w:tc>
          <w:tcPr>
            <w:tcW w:w="1000" w:type="dxa"/>
            <w:vAlign w:val="top"/>
          </w:tcPr>
          <w:p w14:paraId="535740F0">
            <w:pPr>
              <w:rPr>
                <w:rFonts w:ascii="Arial"/>
                <w:sz w:val="21"/>
              </w:rPr>
            </w:pPr>
          </w:p>
        </w:tc>
        <w:tc>
          <w:tcPr>
            <w:tcW w:w="959" w:type="dxa"/>
            <w:vAlign w:val="top"/>
          </w:tcPr>
          <w:p w14:paraId="3FDDE8AA">
            <w:pPr>
              <w:rPr>
                <w:rFonts w:ascii="Arial"/>
                <w:sz w:val="21"/>
              </w:rPr>
            </w:pPr>
          </w:p>
        </w:tc>
        <w:tc>
          <w:tcPr>
            <w:tcW w:w="989" w:type="dxa"/>
            <w:vAlign w:val="top"/>
          </w:tcPr>
          <w:p w14:paraId="0C4BC235">
            <w:pPr>
              <w:rPr>
                <w:rFonts w:ascii="Arial"/>
                <w:sz w:val="21"/>
              </w:rPr>
            </w:pPr>
          </w:p>
        </w:tc>
        <w:tc>
          <w:tcPr>
            <w:tcW w:w="969" w:type="dxa"/>
            <w:vAlign w:val="top"/>
          </w:tcPr>
          <w:p w14:paraId="0A85DA19">
            <w:pPr>
              <w:rPr>
                <w:rFonts w:ascii="Arial"/>
                <w:sz w:val="21"/>
              </w:rPr>
            </w:pPr>
          </w:p>
        </w:tc>
        <w:tc>
          <w:tcPr>
            <w:tcW w:w="959" w:type="dxa"/>
            <w:vAlign w:val="top"/>
          </w:tcPr>
          <w:p w14:paraId="70A7A970">
            <w:pPr>
              <w:rPr>
                <w:rFonts w:ascii="Arial"/>
                <w:sz w:val="21"/>
              </w:rPr>
            </w:pPr>
          </w:p>
        </w:tc>
        <w:tc>
          <w:tcPr>
            <w:tcW w:w="994" w:type="dxa"/>
            <w:vAlign w:val="top"/>
          </w:tcPr>
          <w:p w14:paraId="7723BB88">
            <w:pPr>
              <w:rPr>
                <w:rFonts w:ascii="Arial"/>
                <w:sz w:val="21"/>
              </w:rPr>
            </w:pPr>
          </w:p>
        </w:tc>
      </w:tr>
      <w:tr w14:paraId="4A6C55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9" w:hRule="atLeast"/>
        </w:trPr>
        <w:tc>
          <w:tcPr>
            <w:tcW w:w="625" w:type="dxa"/>
            <w:vAlign w:val="top"/>
          </w:tcPr>
          <w:p w14:paraId="41665C6D">
            <w:pPr>
              <w:pStyle w:val="6"/>
              <w:spacing w:before="214"/>
              <w:ind w:left="245"/>
            </w:pPr>
            <w:r>
              <w:t>5</w:t>
            </w:r>
          </w:p>
        </w:tc>
        <w:tc>
          <w:tcPr>
            <w:tcW w:w="1809" w:type="dxa"/>
            <w:vAlign w:val="top"/>
          </w:tcPr>
          <w:p w14:paraId="772BCA20">
            <w:pPr>
              <w:pStyle w:val="6"/>
              <w:spacing w:before="64" w:line="220" w:lineRule="auto"/>
              <w:ind w:left="259"/>
            </w:pPr>
            <w:r>
              <w:rPr>
                <w:spacing w:val="-2"/>
              </w:rPr>
              <w:t>联合体投标人</w:t>
            </w:r>
          </w:p>
          <w:p w14:paraId="26DAB7C7">
            <w:pPr>
              <w:pStyle w:val="6"/>
              <w:spacing w:before="30" w:line="206" w:lineRule="auto"/>
              <w:ind w:left="580"/>
            </w:pPr>
            <w:r>
              <w:rPr>
                <w:spacing w:val="11"/>
              </w:rPr>
              <w:t>(如有)</w:t>
            </w:r>
          </w:p>
        </w:tc>
        <w:tc>
          <w:tcPr>
            <w:tcW w:w="2688" w:type="dxa"/>
            <w:vAlign w:val="top"/>
          </w:tcPr>
          <w:p w14:paraId="49B85360">
            <w:pPr>
              <w:pStyle w:val="6"/>
              <w:spacing w:before="71" w:line="223" w:lineRule="auto"/>
              <w:ind w:left="121" w:firstLine="20"/>
            </w:pPr>
            <w:r>
              <w:rPr>
                <w:spacing w:val="1"/>
              </w:rPr>
              <w:t>提交联合体协议书，并明确</w:t>
            </w:r>
            <w:r>
              <w:rPr>
                <w:spacing w:val="3"/>
              </w:rPr>
              <w:t xml:space="preserve"> </w:t>
            </w:r>
            <w:r>
              <w:rPr>
                <w:spacing w:val="-2"/>
              </w:rPr>
              <w:t>联合体牵头人</w:t>
            </w:r>
          </w:p>
        </w:tc>
        <w:tc>
          <w:tcPr>
            <w:tcW w:w="800" w:type="dxa"/>
            <w:vAlign w:val="top"/>
          </w:tcPr>
          <w:p w14:paraId="4B10B2BA">
            <w:pPr>
              <w:rPr>
                <w:rFonts w:ascii="Arial"/>
                <w:sz w:val="21"/>
              </w:rPr>
            </w:pPr>
          </w:p>
        </w:tc>
        <w:tc>
          <w:tcPr>
            <w:tcW w:w="989" w:type="dxa"/>
            <w:vAlign w:val="top"/>
          </w:tcPr>
          <w:p w14:paraId="59DDF2B2">
            <w:pPr>
              <w:rPr>
                <w:rFonts w:ascii="Arial"/>
                <w:sz w:val="21"/>
              </w:rPr>
            </w:pPr>
          </w:p>
        </w:tc>
        <w:tc>
          <w:tcPr>
            <w:tcW w:w="959" w:type="dxa"/>
            <w:vAlign w:val="top"/>
          </w:tcPr>
          <w:p w14:paraId="303A2109">
            <w:pPr>
              <w:rPr>
                <w:rFonts w:ascii="Arial"/>
                <w:sz w:val="21"/>
              </w:rPr>
            </w:pPr>
          </w:p>
        </w:tc>
        <w:tc>
          <w:tcPr>
            <w:tcW w:w="1000" w:type="dxa"/>
            <w:vAlign w:val="top"/>
          </w:tcPr>
          <w:p w14:paraId="20C9A624">
            <w:pPr>
              <w:rPr>
                <w:rFonts w:ascii="Arial"/>
                <w:sz w:val="21"/>
              </w:rPr>
            </w:pPr>
          </w:p>
        </w:tc>
        <w:tc>
          <w:tcPr>
            <w:tcW w:w="959" w:type="dxa"/>
            <w:vAlign w:val="top"/>
          </w:tcPr>
          <w:p w14:paraId="2020EB64">
            <w:pPr>
              <w:rPr>
                <w:rFonts w:ascii="Arial"/>
                <w:sz w:val="21"/>
              </w:rPr>
            </w:pPr>
          </w:p>
        </w:tc>
        <w:tc>
          <w:tcPr>
            <w:tcW w:w="989" w:type="dxa"/>
            <w:vAlign w:val="top"/>
          </w:tcPr>
          <w:p w14:paraId="360D2C07">
            <w:pPr>
              <w:rPr>
                <w:rFonts w:ascii="Arial"/>
                <w:sz w:val="21"/>
              </w:rPr>
            </w:pPr>
          </w:p>
        </w:tc>
        <w:tc>
          <w:tcPr>
            <w:tcW w:w="969" w:type="dxa"/>
            <w:vAlign w:val="top"/>
          </w:tcPr>
          <w:p w14:paraId="4B791904">
            <w:pPr>
              <w:rPr>
                <w:rFonts w:ascii="Arial"/>
                <w:sz w:val="21"/>
              </w:rPr>
            </w:pPr>
          </w:p>
        </w:tc>
        <w:tc>
          <w:tcPr>
            <w:tcW w:w="959" w:type="dxa"/>
            <w:vAlign w:val="top"/>
          </w:tcPr>
          <w:p w14:paraId="59DEF3A6">
            <w:pPr>
              <w:rPr>
                <w:rFonts w:ascii="Arial"/>
                <w:sz w:val="21"/>
              </w:rPr>
            </w:pPr>
          </w:p>
        </w:tc>
        <w:tc>
          <w:tcPr>
            <w:tcW w:w="994" w:type="dxa"/>
            <w:vAlign w:val="top"/>
          </w:tcPr>
          <w:p w14:paraId="72A545C6">
            <w:pPr>
              <w:rPr>
                <w:rFonts w:ascii="Arial"/>
                <w:sz w:val="21"/>
              </w:rPr>
            </w:pPr>
          </w:p>
        </w:tc>
      </w:tr>
      <w:tr w14:paraId="7DBEB9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625" w:type="dxa"/>
            <w:vAlign w:val="top"/>
          </w:tcPr>
          <w:p w14:paraId="4BE2DEDC">
            <w:pPr>
              <w:pStyle w:val="6"/>
              <w:spacing w:before="195"/>
              <w:ind w:left="245"/>
            </w:pPr>
            <w:r>
              <w:t>6</w:t>
            </w:r>
          </w:p>
        </w:tc>
        <w:tc>
          <w:tcPr>
            <w:tcW w:w="1809" w:type="dxa"/>
            <w:vAlign w:val="top"/>
          </w:tcPr>
          <w:p w14:paraId="16E05153">
            <w:pPr>
              <w:pStyle w:val="6"/>
              <w:spacing w:before="172" w:line="218" w:lineRule="auto"/>
              <w:ind w:left="469"/>
            </w:pPr>
            <w:r>
              <w:rPr>
                <w:spacing w:val="1"/>
              </w:rPr>
              <w:t>报价唯一</w:t>
            </w:r>
          </w:p>
        </w:tc>
        <w:tc>
          <w:tcPr>
            <w:tcW w:w="2688" w:type="dxa"/>
            <w:vAlign w:val="top"/>
          </w:tcPr>
          <w:p w14:paraId="09BFEAF1">
            <w:pPr>
              <w:pStyle w:val="6"/>
              <w:spacing w:before="33" w:line="222" w:lineRule="auto"/>
              <w:ind w:left="121" w:right="97" w:firstLine="40"/>
            </w:pPr>
            <w:r>
              <w:t>只能有一个有效报价(指投</w:t>
            </w:r>
            <w:r>
              <w:rPr>
                <w:spacing w:val="3"/>
              </w:rPr>
              <w:t xml:space="preserve"> </w:t>
            </w:r>
            <w:r>
              <w:rPr>
                <w:spacing w:val="4"/>
              </w:rPr>
              <w:t>标函中的大写报价)</w:t>
            </w:r>
          </w:p>
        </w:tc>
        <w:tc>
          <w:tcPr>
            <w:tcW w:w="800" w:type="dxa"/>
            <w:vAlign w:val="top"/>
          </w:tcPr>
          <w:p w14:paraId="2FC58208">
            <w:pPr>
              <w:rPr>
                <w:rFonts w:ascii="Arial"/>
                <w:sz w:val="21"/>
              </w:rPr>
            </w:pPr>
          </w:p>
        </w:tc>
        <w:tc>
          <w:tcPr>
            <w:tcW w:w="989" w:type="dxa"/>
            <w:vAlign w:val="top"/>
          </w:tcPr>
          <w:p w14:paraId="3008DDF9">
            <w:pPr>
              <w:rPr>
                <w:rFonts w:ascii="Arial"/>
                <w:sz w:val="21"/>
              </w:rPr>
            </w:pPr>
          </w:p>
        </w:tc>
        <w:tc>
          <w:tcPr>
            <w:tcW w:w="959" w:type="dxa"/>
            <w:vAlign w:val="top"/>
          </w:tcPr>
          <w:p w14:paraId="309E0200">
            <w:pPr>
              <w:rPr>
                <w:rFonts w:ascii="Arial"/>
                <w:sz w:val="21"/>
              </w:rPr>
            </w:pPr>
          </w:p>
        </w:tc>
        <w:tc>
          <w:tcPr>
            <w:tcW w:w="1000" w:type="dxa"/>
            <w:vAlign w:val="top"/>
          </w:tcPr>
          <w:p w14:paraId="66315684">
            <w:pPr>
              <w:rPr>
                <w:rFonts w:ascii="Arial"/>
                <w:sz w:val="21"/>
              </w:rPr>
            </w:pPr>
          </w:p>
        </w:tc>
        <w:tc>
          <w:tcPr>
            <w:tcW w:w="959" w:type="dxa"/>
            <w:vAlign w:val="top"/>
          </w:tcPr>
          <w:p w14:paraId="1ACB5F7E">
            <w:pPr>
              <w:rPr>
                <w:rFonts w:ascii="Arial"/>
                <w:sz w:val="21"/>
              </w:rPr>
            </w:pPr>
          </w:p>
        </w:tc>
        <w:tc>
          <w:tcPr>
            <w:tcW w:w="989" w:type="dxa"/>
            <w:vAlign w:val="top"/>
          </w:tcPr>
          <w:p w14:paraId="01592880">
            <w:pPr>
              <w:rPr>
                <w:rFonts w:ascii="Arial"/>
                <w:sz w:val="21"/>
              </w:rPr>
            </w:pPr>
          </w:p>
        </w:tc>
        <w:tc>
          <w:tcPr>
            <w:tcW w:w="969" w:type="dxa"/>
            <w:vAlign w:val="top"/>
          </w:tcPr>
          <w:p w14:paraId="45554E22">
            <w:pPr>
              <w:rPr>
                <w:rFonts w:ascii="Arial"/>
                <w:sz w:val="21"/>
              </w:rPr>
            </w:pPr>
          </w:p>
        </w:tc>
        <w:tc>
          <w:tcPr>
            <w:tcW w:w="959" w:type="dxa"/>
            <w:vAlign w:val="top"/>
          </w:tcPr>
          <w:p w14:paraId="3A958625">
            <w:pPr>
              <w:rPr>
                <w:rFonts w:ascii="Arial"/>
                <w:sz w:val="21"/>
              </w:rPr>
            </w:pPr>
          </w:p>
        </w:tc>
        <w:tc>
          <w:tcPr>
            <w:tcW w:w="994" w:type="dxa"/>
            <w:vAlign w:val="top"/>
          </w:tcPr>
          <w:p w14:paraId="2B4D472A">
            <w:pPr>
              <w:rPr>
                <w:rFonts w:ascii="Arial"/>
                <w:sz w:val="21"/>
              </w:rPr>
            </w:pPr>
          </w:p>
        </w:tc>
      </w:tr>
      <w:tr w14:paraId="0ED605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625" w:type="dxa"/>
            <w:vAlign w:val="top"/>
          </w:tcPr>
          <w:p w14:paraId="0F8018BD">
            <w:pPr>
              <w:pStyle w:val="6"/>
              <w:spacing w:before="205"/>
              <w:ind w:left="245"/>
            </w:pPr>
            <w:r>
              <w:t>7</w:t>
            </w:r>
          </w:p>
        </w:tc>
        <w:tc>
          <w:tcPr>
            <w:tcW w:w="1809" w:type="dxa"/>
            <w:vAlign w:val="top"/>
          </w:tcPr>
          <w:p w14:paraId="703DD2C8">
            <w:pPr>
              <w:pStyle w:val="6"/>
              <w:spacing w:before="186" w:line="220" w:lineRule="auto"/>
              <w:ind w:left="150"/>
            </w:pPr>
            <w:r>
              <w:rPr>
                <w:spacing w:val="1"/>
              </w:rPr>
              <w:t>多标段投标</w:t>
            </w:r>
          </w:p>
        </w:tc>
        <w:tc>
          <w:tcPr>
            <w:tcW w:w="2688" w:type="dxa"/>
            <w:vAlign w:val="top"/>
          </w:tcPr>
          <w:p w14:paraId="21FF4342">
            <w:pPr>
              <w:pStyle w:val="6"/>
              <w:spacing w:before="35" w:line="230" w:lineRule="auto"/>
              <w:ind w:left="131" w:firstLine="9"/>
            </w:pPr>
            <w:r>
              <w:rPr>
                <w:spacing w:val="1"/>
              </w:rPr>
              <w:t>符合第二章“投标人须知”</w:t>
            </w:r>
            <w:r>
              <w:rPr>
                <w:spacing w:val="4"/>
              </w:rPr>
              <w:t xml:space="preserve"> </w:t>
            </w:r>
            <w:r>
              <w:rPr>
                <w:spacing w:val="-8"/>
              </w:rPr>
              <w:t>第10.1款规定</w:t>
            </w:r>
          </w:p>
        </w:tc>
        <w:tc>
          <w:tcPr>
            <w:tcW w:w="800" w:type="dxa"/>
            <w:vAlign w:val="top"/>
          </w:tcPr>
          <w:p w14:paraId="03681BE7">
            <w:pPr>
              <w:rPr>
                <w:rFonts w:ascii="Arial"/>
                <w:sz w:val="21"/>
              </w:rPr>
            </w:pPr>
          </w:p>
        </w:tc>
        <w:tc>
          <w:tcPr>
            <w:tcW w:w="989" w:type="dxa"/>
            <w:vAlign w:val="top"/>
          </w:tcPr>
          <w:p w14:paraId="20330D3A">
            <w:pPr>
              <w:rPr>
                <w:rFonts w:ascii="Arial"/>
                <w:sz w:val="21"/>
              </w:rPr>
            </w:pPr>
          </w:p>
        </w:tc>
        <w:tc>
          <w:tcPr>
            <w:tcW w:w="959" w:type="dxa"/>
            <w:vAlign w:val="top"/>
          </w:tcPr>
          <w:p w14:paraId="2F9ED691">
            <w:pPr>
              <w:rPr>
                <w:rFonts w:ascii="Arial"/>
                <w:sz w:val="21"/>
              </w:rPr>
            </w:pPr>
          </w:p>
        </w:tc>
        <w:tc>
          <w:tcPr>
            <w:tcW w:w="1000" w:type="dxa"/>
            <w:vAlign w:val="top"/>
          </w:tcPr>
          <w:p w14:paraId="014BAE89">
            <w:pPr>
              <w:rPr>
                <w:rFonts w:ascii="Arial"/>
                <w:sz w:val="21"/>
              </w:rPr>
            </w:pPr>
          </w:p>
        </w:tc>
        <w:tc>
          <w:tcPr>
            <w:tcW w:w="959" w:type="dxa"/>
            <w:vAlign w:val="top"/>
          </w:tcPr>
          <w:p w14:paraId="47AD8BA5">
            <w:pPr>
              <w:rPr>
                <w:rFonts w:ascii="Arial"/>
                <w:sz w:val="21"/>
              </w:rPr>
            </w:pPr>
          </w:p>
        </w:tc>
        <w:tc>
          <w:tcPr>
            <w:tcW w:w="989" w:type="dxa"/>
            <w:vAlign w:val="top"/>
          </w:tcPr>
          <w:p w14:paraId="56C9E4FF">
            <w:pPr>
              <w:rPr>
                <w:rFonts w:ascii="Arial"/>
                <w:sz w:val="21"/>
              </w:rPr>
            </w:pPr>
          </w:p>
        </w:tc>
        <w:tc>
          <w:tcPr>
            <w:tcW w:w="969" w:type="dxa"/>
            <w:vAlign w:val="top"/>
          </w:tcPr>
          <w:p w14:paraId="309558BF">
            <w:pPr>
              <w:rPr>
                <w:rFonts w:ascii="Arial"/>
                <w:sz w:val="21"/>
              </w:rPr>
            </w:pPr>
          </w:p>
        </w:tc>
        <w:tc>
          <w:tcPr>
            <w:tcW w:w="959" w:type="dxa"/>
            <w:vAlign w:val="top"/>
          </w:tcPr>
          <w:p w14:paraId="718051B2">
            <w:pPr>
              <w:rPr>
                <w:rFonts w:ascii="Arial"/>
                <w:sz w:val="21"/>
              </w:rPr>
            </w:pPr>
          </w:p>
        </w:tc>
        <w:tc>
          <w:tcPr>
            <w:tcW w:w="994" w:type="dxa"/>
            <w:vAlign w:val="top"/>
          </w:tcPr>
          <w:p w14:paraId="119822D3">
            <w:pPr>
              <w:rPr>
                <w:rFonts w:ascii="Arial"/>
                <w:sz w:val="21"/>
              </w:rPr>
            </w:pPr>
          </w:p>
        </w:tc>
      </w:tr>
      <w:tr w14:paraId="44C3A7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9" w:hRule="atLeast"/>
        </w:trPr>
        <w:tc>
          <w:tcPr>
            <w:tcW w:w="625" w:type="dxa"/>
            <w:vAlign w:val="top"/>
          </w:tcPr>
          <w:p w14:paraId="6E097122">
            <w:pPr>
              <w:pStyle w:val="6"/>
              <w:spacing w:before="207"/>
              <w:ind w:left="245"/>
            </w:pPr>
            <w:r>
              <w:t>8</w:t>
            </w:r>
          </w:p>
        </w:tc>
        <w:tc>
          <w:tcPr>
            <w:tcW w:w="1809" w:type="dxa"/>
            <w:vAlign w:val="top"/>
          </w:tcPr>
          <w:p w14:paraId="42BEAD90">
            <w:pPr>
              <w:pStyle w:val="6"/>
              <w:spacing w:before="256" w:line="219" w:lineRule="auto"/>
              <w:ind w:left="154"/>
            </w:pPr>
            <w:r>
              <w:rPr>
                <w:spacing w:val="51"/>
              </w:rPr>
              <w:t>“技术暗标”</w:t>
            </w:r>
          </w:p>
        </w:tc>
        <w:tc>
          <w:tcPr>
            <w:tcW w:w="2688" w:type="dxa"/>
            <w:vAlign w:val="top"/>
          </w:tcPr>
          <w:p w14:paraId="1F796748">
            <w:pPr>
              <w:pStyle w:val="6"/>
              <w:spacing w:before="46" w:line="221" w:lineRule="auto"/>
              <w:ind w:left="131" w:firstLine="9"/>
            </w:pPr>
            <w:r>
              <w:rPr>
                <w:spacing w:val="1"/>
              </w:rPr>
              <w:t>符合第二章“投标人须知”</w:t>
            </w:r>
            <w:r>
              <w:rPr>
                <w:spacing w:val="4"/>
              </w:rPr>
              <w:t xml:space="preserve"> </w:t>
            </w:r>
            <w:r>
              <w:rPr>
                <w:spacing w:val="-8"/>
              </w:rPr>
              <w:t>第3.7.4(5)目规定</w:t>
            </w:r>
          </w:p>
        </w:tc>
        <w:tc>
          <w:tcPr>
            <w:tcW w:w="800" w:type="dxa"/>
            <w:vAlign w:val="top"/>
          </w:tcPr>
          <w:p w14:paraId="288EA1AB">
            <w:pPr>
              <w:rPr>
                <w:rFonts w:ascii="Arial"/>
                <w:sz w:val="21"/>
              </w:rPr>
            </w:pPr>
          </w:p>
        </w:tc>
        <w:tc>
          <w:tcPr>
            <w:tcW w:w="989" w:type="dxa"/>
            <w:vAlign w:val="top"/>
          </w:tcPr>
          <w:p w14:paraId="14964940">
            <w:pPr>
              <w:rPr>
                <w:rFonts w:ascii="Arial"/>
                <w:sz w:val="21"/>
              </w:rPr>
            </w:pPr>
          </w:p>
        </w:tc>
        <w:tc>
          <w:tcPr>
            <w:tcW w:w="959" w:type="dxa"/>
            <w:vAlign w:val="top"/>
          </w:tcPr>
          <w:p w14:paraId="3A2211A0">
            <w:pPr>
              <w:rPr>
                <w:rFonts w:ascii="Arial"/>
                <w:sz w:val="21"/>
              </w:rPr>
            </w:pPr>
          </w:p>
        </w:tc>
        <w:tc>
          <w:tcPr>
            <w:tcW w:w="1000" w:type="dxa"/>
            <w:vAlign w:val="top"/>
          </w:tcPr>
          <w:p w14:paraId="3DDB0128">
            <w:pPr>
              <w:rPr>
                <w:rFonts w:ascii="Arial"/>
                <w:sz w:val="21"/>
              </w:rPr>
            </w:pPr>
          </w:p>
        </w:tc>
        <w:tc>
          <w:tcPr>
            <w:tcW w:w="959" w:type="dxa"/>
            <w:vAlign w:val="top"/>
          </w:tcPr>
          <w:p w14:paraId="2EA40D7F">
            <w:pPr>
              <w:rPr>
                <w:rFonts w:ascii="Arial"/>
                <w:sz w:val="21"/>
              </w:rPr>
            </w:pPr>
          </w:p>
        </w:tc>
        <w:tc>
          <w:tcPr>
            <w:tcW w:w="989" w:type="dxa"/>
            <w:vAlign w:val="top"/>
          </w:tcPr>
          <w:p w14:paraId="1A442DBD">
            <w:pPr>
              <w:rPr>
                <w:rFonts w:ascii="Arial"/>
                <w:sz w:val="21"/>
              </w:rPr>
            </w:pPr>
          </w:p>
        </w:tc>
        <w:tc>
          <w:tcPr>
            <w:tcW w:w="969" w:type="dxa"/>
            <w:vAlign w:val="top"/>
          </w:tcPr>
          <w:p w14:paraId="58FBDBF0">
            <w:pPr>
              <w:rPr>
                <w:rFonts w:ascii="Arial"/>
                <w:sz w:val="21"/>
              </w:rPr>
            </w:pPr>
          </w:p>
        </w:tc>
        <w:tc>
          <w:tcPr>
            <w:tcW w:w="959" w:type="dxa"/>
            <w:vAlign w:val="top"/>
          </w:tcPr>
          <w:p w14:paraId="34BAD9E0">
            <w:pPr>
              <w:rPr>
                <w:rFonts w:ascii="Arial"/>
                <w:sz w:val="21"/>
              </w:rPr>
            </w:pPr>
          </w:p>
        </w:tc>
        <w:tc>
          <w:tcPr>
            <w:tcW w:w="994" w:type="dxa"/>
            <w:vAlign w:val="top"/>
          </w:tcPr>
          <w:p w14:paraId="7F227673">
            <w:pPr>
              <w:rPr>
                <w:rFonts w:ascii="Arial"/>
                <w:sz w:val="21"/>
              </w:rPr>
            </w:pPr>
          </w:p>
        </w:tc>
      </w:tr>
      <w:tr w14:paraId="74A85C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4" w:hRule="atLeast"/>
        </w:trPr>
        <w:tc>
          <w:tcPr>
            <w:tcW w:w="5122" w:type="dxa"/>
            <w:gridSpan w:val="3"/>
            <w:vAlign w:val="top"/>
          </w:tcPr>
          <w:p w14:paraId="49657BFA">
            <w:pPr>
              <w:pStyle w:val="6"/>
              <w:spacing w:before="37" w:line="227" w:lineRule="auto"/>
              <w:ind w:left="105" w:right="282" w:firstLine="9"/>
            </w:pPr>
            <w:r>
              <w:rPr>
                <w:spacing w:val="-5"/>
              </w:rPr>
              <w:t>形式评审结论：通过形式评审标注为</w:t>
            </w:r>
            <w:r>
              <w:rPr>
                <w:spacing w:val="-44"/>
              </w:rPr>
              <w:t xml:space="preserve"> </w:t>
            </w:r>
            <w:r>
              <w:rPr>
                <w:spacing w:val="-5"/>
              </w:rPr>
              <w:t>√</w:t>
            </w:r>
            <w:r>
              <w:rPr>
                <w:spacing w:val="-63"/>
              </w:rPr>
              <w:t xml:space="preserve"> </w:t>
            </w:r>
            <w:r>
              <w:rPr>
                <w:spacing w:val="-5"/>
              </w:rPr>
              <w:t>;未通过形式</w:t>
            </w:r>
            <w:r>
              <w:t xml:space="preserve"> </w:t>
            </w:r>
            <w:r>
              <w:rPr>
                <w:spacing w:val="6"/>
              </w:rPr>
              <w:t>评审标注为×</w:t>
            </w:r>
          </w:p>
        </w:tc>
        <w:tc>
          <w:tcPr>
            <w:tcW w:w="800" w:type="dxa"/>
            <w:vAlign w:val="top"/>
          </w:tcPr>
          <w:p w14:paraId="5F958154">
            <w:pPr>
              <w:rPr>
                <w:rFonts w:ascii="Arial"/>
                <w:sz w:val="21"/>
              </w:rPr>
            </w:pPr>
          </w:p>
        </w:tc>
        <w:tc>
          <w:tcPr>
            <w:tcW w:w="989" w:type="dxa"/>
            <w:vAlign w:val="top"/>
          </w:tcPr>
          <w:p w14:paraId="3950CA8A">
            <w:pPr>
              <w:rPr>
                <w:rFonts w:ascii="Arial"/>
                <w:sz w:val="21"/>
              </w:rPr>
            </w:pPr>
          </w:p>
        </w:tc>
        <w:tc>
          <w:tcPr>
            <w:tcW w:w="959" w:type="dxa"/>
            <w:vAlign w:val="top"/>
          </w:tcPr>
          <w:p w14:paraId="4EA4E857">
            <w:pPr>
              <w:rPr>
                <w:rFonts w:ascii="Arial"/>
                <w:sz w:val="21"/>
              </w:rPr>
            </w:pPr>
          </w:p>
        </w:tc>
        <w:tc>
          <w:tcPr>
            <w:tcW w:w="1000" w:type="dxa"/>
            <w:vAlign w:val="top"/>
          </w:tcPr>
          <w:p w14:paraId="2F2297FC">
            <w:pPr>
              <w:rPr>
                <w:rFonts w:ascii="Arial"/>
                <w:sz w:val="21"/>
              </w:rPr>
            </w:pPr>
          </w:p>
        </w:tc>
        <w:tc>
          <w:tcPr>
            <w:tcW w:w="959" w:type="dxa"/>
            <w:vAlign w:val="top"/>
          </w:tcPr>
          <w:p w14:paraId="7DDCEB1F">
            <w:pPr>
              <w:rPr>
                <w:rFonts w:ascii="Arial"/>
                <w:sz w:val="21"/>
              </w:rPr>
            </w:pPr>
          </w:p>
        </w:tc>
        <w:tc>
          <w:tcPr>
            <w:tcW w:w="989" w:type="dxa"/>
            <w:vAlign w:val="top"/>
          </w:tcPr>
          <w:p w14:paraId="6BCB9E36">
            <w:pPr>
              <w:rPr>
                <w:rFonts w:ascii="Arial"/>
                <w:sz w:val="21"/>
              </w:rPr>
            </w:pPr>
          </w:p>
        </w:tc>
        <w:tc>
          <w:tcPr>
            <w:tcW w:w="969" w:type="dxa"/>
            <w:vAlign w:val="top"/>
          </w:tcPr>
          <w:p w14:paraId="07C816CB">
            <w:pPr>
              <w:rPr>
                <w:rFonts w:ascii="Arial"/>
                <w:sz w:val="21"/>
              </w:rPr>
            </w:pPr>
          </w:p>
        </w:tc>
        <w:tc>
          <w:tcPr>
            <w:tcW w:w="959" w:type="dxa"/>
            <w:vAlign w:val="top"/>
          </w:tcPr>
          <w:p w14:paraId="0E9900A5">
            <w:pPr>
              <w:rPr>
                <w:rFonts w:ascii="Arial"/>
                <w:sz w:val="21"/>
              </w:rPr>
            </w:pPr>
          </w:p>
        </w:tc>
        <w:tc>
          <w:tcPr>
            <w:tcW w:w="994" w:type="dxa"/>
            <w:vAlign w:val="top"/>
          </w:tcPr>
          <w:p w14:paraId="00EF5A94">
            <w:pPr>
              <w:rPr>
                <w:rFonts w:ascii="Arial"/>
                <w:sz w:val="21"/>
              </w:rPr>
            </w:pPr>
          </w:p>
        </w:tc>
      </w:tr>
    </w:tbl>
    <w:p w14:paraId="3E6992E9">
      <w:pPr>
        <w:spacing w:line="271" w:lineRule="auto"/>
        <w:rPr>
          <w:rFonts w:ascii="Arial"/>
          <w:sz w:val="21"/>
        </w:rPr>
      </w:pPr>
    </w:p>
    <w:p w14:paraId="4642D62E">
      <w:pPr>
        <w:pStyle w:val="2"/>
        <w:spacing w:before="61" w:line="233" w:lineRule="auto"/>
        <w:ind w:left="125"/>
        <w:rPr>
          <w:rFonts w:ascii="黑体" w:hAnsi="黑体" w:eastAsia="黑体" w:cs="黑体"/>
          <w:sz w:val="19"/>
          <w:szCs w:val="19"/>
        </w:rPr>
      </w:pPr>
      <w:r>
        <w:rPr>
          <w:spacing w:val="3"/>
          <w:sz w:val="19"/>
          <w:szCs w:val="19"/>
        </w:rPr>
        <w:t xml:space="preserve">评标委员会全体成员签名：                                                                             </w:t>
      </w:r>
      <w:r>
        <w:rPr>
          <w:spacing w:val="2"/>
          <w:sz w:val="19"/>
          <w:szCs w:val="19"/>
        </w:rPr>
        <w:t xml:space="preserve">           </w:t>
      </w:r>
      <w:r>
        <w:rPr>
          <w:rFonts w:ascii="黑体" w:hAnsi="黑体" w:eastAsia="黑体" w:cs="黑体"/>
          <w:spacing w:val="2"/>
          <w:position w:val="-1"/>
          <w:sz w:val="19"/>
          <w:szCs w:val="19"/>
        </w:rPr>
        <w:t xml:space="preserve">日期：     </w:t>
      </w:r>
      <w:r>
        <w:rPr>
          <w:rFonts w:ascii="黑体" w:hAnsi="黑体" w:eastAsia="黑体" w:cs="黑体"/>
          <w:spacing w:val="2"/>
          <w:sz w:val="19"/>
          <w:szCs w:val="19"/>
        </w:rPr>
        <w:t>年    月     日</w:t>
      </w:r>
    </w:p>
    <w:p w14:paraId="14F6A90B">
      <w:pPr>
        <w:spacing w:line="233" w:lineRule="auto"/>
        <w:rPr>
          <w:rFonts w:ascii="黑体" w:hAnsi="黑体" w:eastAsia="黑体" w:cs="黑体"/>
          <w:sz w:val="19"/>
          <w:szCs w:val="19"/>
        </w:rPr>
        <w:sectPr>
          <w:footerReference r:id="rId77" w:type="default"/>
          <w:pgSz w:w="16840" w:h="11910"/>
          <w:pgMar w:top="1012" w:right="1514" w:bottom="992" w:left="1574" w:header="0" w:footer="821" w:gutter="0"/>
          <w:cols w:space="720" w:num="1"/>
        </w:sectPr>
      </w:pPr>
    </w:p>
    <w:p w14:paraId="51CB983A">
      <w:pPr>
        <w:spacing w:line="246" w:lineRule="auto"/>
        <w:rPr>
          <w:rFonts w:ascii="Arial"/>
          <w:sz w:val="21"/>
        </w:rPr>
      </w:pPr>
    </w:p>
    <w:p w14:paraId="5B5822CA">
      <w:pPr>
        <w:spacing w:line="246" w:lineRule="auto"/>
        <w:rPr>
          <w:rFonts w:ascii="Arial"/>
          <w:sz w:val="21"/>
        </w:rPr>
      </w:pPr>
    </w:p>
    <w:p w14:paraId="1D10B1D6">
      <w:pPr>
        <w:pStyle w:val="2"/>
        <w:spacing w:before="88" w:line="222" w:lineRule="auto"/>
        <w:ind w:left="538"/>
        <w:outlineLvl w:val="2"/>
        <w:rPr>
          <w:rFonts w:ascii="黑体" w:hAnsi="黑体" w:eastAsia="黑体" w:cs="黑体"/>
          <w:sz w:val="27"/>
          <w:szCs w:val="27"/>
        </w:rPr>
      </w:pPr>
      <w:bookmarkStart w:id="211" w:name="bookmark159"/>
      <w:bookmarkEnd w:id="211"/>
      <w:bookmarkStart w:id="212" w:name="bookmark270"/>
      <w:bookmarkEnd w:id="212"/>
      <w:r>
        <w:rPr>
          <w:rFonts w:ascii="黑体" w:hAnsi="黑体" w:eastAsia="黑体" w:cs="黑体"/>
          <w:b/>
          <w:bCs/>
          <w:spacing w:val="-14"/>
          <w:sz w:val="27"/>
          <w:szCs w:val="27"/>
        </w:rPr>
        <w:t>附表</w:t>
      </w:r>
      <w:r>
        <w:rPr>
          <w:b/>
          <w:bCs/>
          <w:spacing w:val="-14"/>
          <w:sz w:val="27"/>
          <w:szCs w:val="27"/>
        </w:rPr>
        <w:t>A-5:</w:t>
      </w:r>
      <w:r>
        <w:rPr>
          <w:spacing w:val="-44"/>
          <w:sz w:val="27"/>
          <w:szCs w:val="27"/>
        </w:rPr>
        <w:t xml:space="preserve"> </w:t>
      </w:r>
      <w:r>
        <w:rPr>
          <w:rFonts w:ascii="黑体" w:hAnsi="黑体" w:eastAsia="黑体" w:cs="黑体"/>
          <w:b/>
          <w:bCs/>
          <w:spacing w:val="-14"/>
          <w:sz w:val="27"/>
          <w:szCs w:val="27"/>
        </w:rPr>
        <w:t>资格评审记录表</w:t>
      </w:r>
    </w:p>
    <w:p w14:paraId="4FA904CE">
      <w:pPr>
        <w:spacing w:before="55" w:line="222" w:lineRule="auto"/>
        <w:ind w:left="5898"/>
        <w:rPr>
          <w:rFonts w:ascii="黑体" w:hAnsi="黑体" w:eastAsia="黑体" w:cs="黑体"/>
          <w:sz w:val="27"/>
          <w:szCs w:val="27"/>
        </w:rPr>
      </w:pPr>
      <w:r>
        <w:rPr>
          <w:rFonts w:ascii="黑体" w:hAnsi="黑体" w:eastAsia="黑体" w:cs="黑体"/>
          <w:b/>
          <w:bCs/>
          <w:spacing w:val="10"/>
          <w:sz w:val="27"/>
          <w:szCs w:val="27"/>
        </w:rPr>
        <w:t>资格评审记录表</w:t>
      </w:r>
    </w:p>
    <w:p w14:paraId="3A6A0316">
      <w:pPr>
        <w:pStyle w:val="2"/>
        <w:spacing w:before="268" w:line="229" w:lineRule="auto"/>
        <w:ind w:left="125"/>
        <w:rPr>
          <w:sz w:val="20"/>
          <w:szCs w:val="20"/>
        </w:rPr>
      </w:pPr>
      <w:r>
        <w:rPr>
          <w:spacing w:val="7"/>
          <w:position w:val="-2"/>
          <w:sz w:val="20"/>
          <w:szCs w:val="20"/>
        </w:rPr>
        <w:t>工程名称：</w:t>
      </w:r>
      <w:r>
        <w:rPr>
          <w:spacing w:val="-56"/>
          <w:position w:val="-2"/>
          <w:sz w:val="20"/>
          <w:szCs w:val="20"/>
        </w:rPr>
        <w:t xml:space="preserve"> </w:t>
      </w:r>
      <w:r>
        <w:rPr>
          <w:spacing w:val="5"/>
          <w:position w:val="-2"/>
          <w:sz w:val="20"/>
          <w:szCs w:val="20"/>
          <w:u w:val="single" w:color="auto"/>
        </w:rPr>
        <w:t xml:space="preserve">                </w:t>
      </w:r>
      <w:r>
        <w:rPr>
          <w:spacing w:val="-60"/>
          <w:position w:val="-2"/>
          <w:sz w:val="20"/>
          <w:szCs w:val="20"/>
        </w:rPr>
        <w:t xml:space="preserve"> </w:t>
      </w:r>
      <w:r>
        <w:rPr>
          <w:spacing w:val="7"/>
          <w:position w:val="1"/>
          <w:sz w:val="20"/>
          <w:szCs w:val="20"/>
        </w:rPr>
        <w:t>(项目名称)</w:t>
      </w:r>
      <w:r>
        <w:rPr>
          <w:spacing w:val="7"/>
          <w:position w:val="1"/>
          <w:sz w:val="20"/>
          <w:szCs w:val="20"/>
          <w:u w:val="single" w:color="auto"/>
        </w:rPr>
        <w:t xml:space="preserve">       </w:t>
      </w:r>
      <w:r>
        <w:rPr>
          <w:spacing w:val="-30"/>
          <w:position w:val="1"/>
          <w:sz w:val="20"/>
          <w:szCs w:val="20"/>
        </w:rPr>
        <w:t xml:space="preserve"> </w:t>
      </w:r>
      <w:r>
        <w:rPr>
          <w:spacing w:val="7"/>
          <w:position w:val="1"/>
          <w:sz w:val="20"/>
          <w:szCs w:val="20"/>
        </w:rPr>
        <w:t>(标段名称)</w:t>
      </w:r>
    </w:p>
    <w:p w14:paraId="3754D611">
      <w:pPr>
        <w:spacing w:line="187" w:lineRule="exact"/>
      </w:pPr>
    </w:p>
    <w:tbl>
      <w:tblPr>
        <w:tblStyle w:val="5"/>
        <w:tblW w:w="1374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15"/>
        <w:gridCol w:w="1519"/>
        <w:gridCol w:w="2009"/>
        <w:gridCol w:w="2368"/>
        <w:gridCol w:w="799"/>
        <w:gridCol w:w="830"/>
        <w:gridCol w:w="799"/>
        <w:gridCol w:w="830"/>
        <w:gridCol w:w="829"/>
        <w:gridCol w:w="789"/>
        <w:gridCol w:w="829"/>
        <w:gridCol w:w="819"/>
        <w:gridCol w:w="805"/>
      </w:tblGrid>
      <w:tr w14:paraId="76A25D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4" w:hRule="atLeast"/>
        </w:trPr>
        <w:tc>
          <w:tcPr>
            <w:tcW w:w="515" w:type="dxa"/>
            <w:vMerge w:val="restart"/>
            <w:tcBorders>
              <w:bottom w:val="nil"/>
            </w:tcBorders>
            <w:textDirection w:val="tbRlV"/>
            <w:vAlign w:val="top"/>
          </w:tcPr>
          <w:p w14:paraId="7E68A1B7">
            <w:pPr>
              <w:pStyle w:val="6"/>
              <w:spacing w:before="162" w:line="199" w:lineRule="auto"/>
              <w:ind w:left="224"/>
            </w:pPr>
            <w:r>
              <w:t>序号</w:t>
            </w:r>
          </w:p>
        </w:tc>
        <w:tc>
          <w:tcPr>
            <w:tcW w:w="1519" w:type="dxa"/>
            <w:vMerge w:val="restart"/>
            <w:tcBorders>
              <w:bottom w:val="nil"/>
            </w:tcBorders>
            <w:vAlign w:val="top"/>
          </w:tcPr>
          <w:p w14:paraId="00C6CF46">
            <w:pPr>
              <w:spacing w:line="273" w:lineRule="auto"/>
              <w:rPr>
                <w:rFonts w:ascii="Arial"/>
                <w:sz w:val="21"/>
              </w:rPr>
            </w:pPr>
          </w:p>
          <w:p w14:paraId="67873480">
            <w:pPr>
              <w:pStyle w:val="6"/>
              <w:spacing w:before="69" w:line="219" w:lineRule="auto"/>
              <w:ind w:left="330"/>
            </w:pPr>
            <w:r>
              <w:rPr>
                <w:spacing w:val="-2"/>
              </w:rPr>
              <w:t>评审因素</w:t>
            </w:r>
          </w:p>
        </w:tc>
        <w:tc>
          <w:tcPr>
            <w:tcW w:w="2009" w:type="dxa"/>
            <w:vMerge w:val="restart"/>
            <w:tcBorders>
              <w:bottom w:val="nil"/>
            </w:tcBorders>
            <w:vAlign w:val="top"/>
          </w:tcPr>
          <w:p w14:paraId="174E7B7F">
            <w:pPr>
              <w:spacing w:line="274" w:lineRule="auto"/>
              <w:rPr>
                <w:rFonts w:ascii="Arial"/>
                <w:sz w:val="21"/>
              </w:rPr>
            </w:pPr>
          </w:p>
          <w:p w14:paraId="477A6939">
            <w:pPr>
              <w:pStyle w:val="6"/>
              <w:spacing w:before="68" w:line="220" w:lineRule="auto"/>
              <w:ind w:left="611"/>
            </w:pPr>
            <w:r>
              <w:rPr>
                <w:spacing w:val="-2"/>
              </w:rPr>
              <w:t>评审标准</w:t>
            </w:r>
          </w:p>
        </w:tc>
        <w:tc>
          <w:tcPr>
            <w:tcW w:w="2368" w:type="dxa"/>
            <w:vMerge w:val="restart"/>
            <w:tcBorders>
              <w:bottom w:val="nil"/>
            </w:tcBorders>
            <w:vAlign w:val="top"/>
          </w:tcPr>
          <w:p w14:paraId="3737DAD1">
            <w:pPr>
              <w:spacing w:line="272" w:lineRule="auto"/>
              <w:rPr>
                <w:rFonts w:ascii="Arial"/>
                <w:sz w:val="21"/>
              </w:rPr>
            </w:pPr>
          </w:p>
          <w:p w14:paraId="10E37C77">
            <w:pPr>
              <w:pStyle w:val="6"/>
              <w:spacing w:before="68" w:line="219" w:lineRule="auto"/>
              <w:ind w:left="442"/>
            </w:pPr>
            <w:r>
              <w:rPr>
                <w:spacing w:val="-2"/>
              </w:rPr>
              <w:t>有效的证明材料</w:t>
            </w:r>
          </w:p>
        </w:tc>
        <w:tc>
          <w:tcPr>
            <w:tcW w:w="7329" w:type="dxa"/>
            <w:gridSpan w:val="9"/>
            <w:vAlign w:val="top"/>
          </w:tcPr>
          <w:p w14:paraId="7706DF37">
            <w:pPr>
              <w:pStyle w:val="6"/>
              <w:spacing w:before="163" w:line="219" w:lineRule="auto"/>
              <w:ind w:left="2634"/>
            </w:pPr>
            <w:r>
              <w:rPr>
                <w:spacing w:val="1"/>
              </w:rPr>
              <w:t>投标人名称及评审意见</w:t>
            </w:r>
          </w:p>
        </w:tc>
      </w:tr>
      <w:tr w14:paraId="0CD8B6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515" w:type="dxa"/>
            <w:vMerge w:val="continue"/>
            <w:tcBorders>
              <w:top w:val="nil"/>
            </w:tcBorders>
            <w:textDirection w:val="tbRlV"/>
            <w:vAlign w:val="top"/>
          </w:tcPr>
          <w:p w14:paraId="6CE61381">
            <w:pPr>
              <w:rPr>
                <w:rFonts w:ascii="Arial"/>
                <w:sz w:val="21"/>
              </w:rPr>
            </w:pPr>
          </w:p>
        </w:tc>
        <w:tc>
          <w:tcPr>
            <w:tcW w:w="1519" w:type="dxa"/>
            <w:vMerge w:val="continue"/>
            <w:tcBorders>
              <w:top w:val="nil"/>
            </w:tcBorders>
            <w:vAlign w:val="top"/>
          </w:tcPr>
          <w:p w14:paraId="21743AA9">
            <w:pPr>
              <w:rPr>
                <w:rFonts w:ascii="Arial"/>
                <w:sz w:val="21"/>
              </w:rPr>
            </w:pPr>
          </w:p>
        </w:tc>
        <w:tc>
          <w:tcPr>
            <w:tcW w:w="2009" w:type="dxa"/>
            <w:vMerge w:val="continue"/>
            <w:tcBorders>
              <w:top w:val="nil"/>
            </w:tcBorders>
            <w:vAlign w:val="top"/>
          </w:tcPr>
          <w:p w14:paraId="6C136D6D">
            <w:pPr>
              <w:rPr>
                <w:rFonts w:ascii="Arial"/>
                <w:sz w:val="21"/>
              </w:rPr>
            </w:pPr>
          </w:p>
        </w:tc>
        <w:tc>
          <w:tcPr>
            <w:tcW w:w="2368" w:type="dxa"/>
            <w:vMerge w:val="continue"/>
            <w:tcBorders>
              <w:top w:val="nil"/>
            </w:tcBorders>
            <w:vAlign w:val="top"/>
          </w:tcPr>
          <w:p w14:paraId="5710C86A">
            <w:pPr>
              <w:rPr>
                <w:rFonts w:ascii="Arial"/>
                <w:sz w:val="21"/>
              </w:rPr>
            </w:pPr>
          </w:p>
        </w:tc>
        <w:tc>
          <w:tcPr>
            <w:tcW w:w="799" w:type="dxa"/>
            <w:vAlign w:val="top"/>
          </w:tcPr>
          <w:p w14:paraId="16182DAA">
            <w:pPr>
              <w:rPr>
                <w:rFonts w:ascii="Arial"/>
                <w:sz w:val="21"/>
              </w:rPr>
            </w:pPr>
          </w:p>
        </w:tc>
        <w:tc>
          <w:tcPr>
            <w:tcW w:w="830" w:type="dxa"/>
            <w:vAlign w:val="top"/>
          </w:tcPr>
          <w:p w14:paraId="3FAE0805">
            <w:pPr>
              <w:rPr>
                <w:rFonts w:ascii="Arial"/>
                <w:sz w:val="21"/>
              </w:rPr>
            </w:pPr>
          </w:p>
        </w:tc>
        <w:tc>
          <w:tcPr>
            <w:tcW w:w="799" w:type="dxa"/>
            <w:vAlign w:val="top"/>
          </w:tcPr>
          <w:p w14:paraId="61D08B5F">
            <w:pPr>
              <w:rPr>
                <w:rFonts w:ascii="Arial"/>
                <w:sz w:val="21"/>
              </w:rPr>
            </w:pPr>
          </w:p>
        </w:tc>
        <w:tc>
          <w:tcPr>
            <w:tcW w:w="830" w:type="dxa"/>
            <w:vAlign w:val="top"/>
          </w:tcPr>
          <w:p w14:paraId="7F9FBD83">
            <w:pPr>
              <w:rPr>
                <w:rFonts w:ascii="Arial"/>
                <w:sz w:val="21"/>
              </w:rPr>
            </w:pPr>
          </w:p>
        </w:tc>
        <w:tc>
          <w:tcPr>
            <w:tcW w:w="829" w:type="dxa"/>
            <w:vAlign w:val="top"/>
          </w:tcPr>
          <w:p w14:paraId="7DDB4503">
            <w:pPr>
              <w:rPr>
                <w:rFonts w:ascii="Arial"/>
                <w:sz w:val="21"/>
              </w:rPr>
            </w:pPr>
          </w:p>
        </w:tc>
        <w:tc>
          <w:tcPr>
            <w:tcW w:w="789" w:type="dxa"/>
            <w:vAlign w:val="top"/>
          </w:tcPr>
          <w:p w14:paraId="0ED5B6BB">
            <w:pPr>
              <w:rPr>
                <w:rFonts w:ascii="Arial"/>
                <w:sz w:val="21"/>
              </w:rPr>
            </w:pPr>
          </w:p>
        </w:tc>
        <w:tc>
          <w:tcPr>
            <w:tcW w:w="829" w:type="dxa"/>
            <w:vAlign w:val="top"/>
          </w:tcPr>
          <w:p w14:paraId="01F46A40">
            <w:pPr>
              <w:rPr>
                <w:rFonts w:ascii="Arial"/>
                <w:sz w:val="21"/>
              </w:rPr>
            </w:pPr>
          </w:p>
        </w:tc>
        <w:tc>
          <w:tcPr>
            <w:tcW w:w="819" w:type="dxa"/>
            <w:vAlign w:val="top"/>
          </w:tcPr>
          <w:p w14:paraId="40A3B332">
            <w:pPr>
              <w:rPr>
                <w:rFonts w:ascii="Arial"/>
                <w:sz w:val="21"/>
              </w:rPr>
            </w:pPr>
          </w:p>
        </w:tc>
        <w:tc>
          <w:tcPr>
            <w:tcW w:w="805" w:type="dxa"/>
            <w:vAlign w:val="top"/>
          </w:tcPr>
          <w:p w14:paraId="22065403">
            <w:pPr>
              <w:rPr>
                <w:rFonts w:ascii="Arial"/>
                <w:sz w:val="21"/>
              </w:rPr>
            </w:pPr>
          </w:p>
        </w:tc>
      </w:tr>
      <w:tr w14:paraId="6029D6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515" w:type="dxa"/>
            <w:vAlign w:val="top"/>
          </w:tcPr>
          <w:p w14:paraId="5A4B2FFC">
            <w:pPr>
              <w:pStyle w:val="6"/>
              <w:spacing w:before="190" w:line="241" w:lineRule="auto"/>
              <w:ind w:left="195"/>
            </w:pPr>
            <w:r>
              <w:t>1</w:t>
            </w:r>
          </w:p>
        </w:tc>
        <w:tc>
          <w:tcPr>
            <w:tcW w:w="1519" w:type="dxa"/>
            <w:vAlign w:val="top"/>
          </w:tcPr>
          <w:p w14:paraId="6A391EBC">
            <w:pPr>
              <w:pStyle w:val="6"/>
              <w:spacing w:before="169" w:line="219" w:lineRule="auto"/>
              <w:ind w:left="330"/>
            </w:pPr>
            <w:r>
              <w:rPr>
                <w:spacing w:val="4"/>
              </w:rPr>
              <w:t>营业执照</w:t>
            </w:r>
          </w:p>
        </w:tc>
        <w:tc>
          <w:tcPr>
            <w:tcW w:w="2009" w:type="dxa"/>
            <w:vAlign w:val="top"/>
          </w:tcPr>
          <w:p w14:paraId="442150DD">
            <w:pPr>
              <w:pStyle w:val="6"/>
              <w:spacing w:before="58" w:line="211" w:lineRule="auto"/>
              <w:ind w:left="121" w:right="58" w:firstLine="130"/>
            </w:pPr>
            <w:r>
              <w:rPr>
                <w:spacing w:val="1"/>
              </w:rPr>
              <w:t>具备有效的营业执</w:t>
            </w:r>
            <w:r>
              <w:t xml:space="preserve"> 照</w:t>
            </w:r>
          </w:p>
        </w:tc>
        <w:tc>
          <w:tcPr>
            <w:tcW w:w="2368" w:type="dxa"/>
            <w:vAlign w:val="top"/>
          </w:tcPr>
          <w:p w14:paraId="7C5079F3">
            <w:pPr>
              <w:pStyle w:val="6"/>
              <w:spacing w:before="39" w:line="219" w:lineRule="auto"/>
              <w:ind w:left="142"/>
            </w:pPr>
            <w:r>
              <w:rPr>
                <w:spacing w:val="1"/>
              </w:rPr>
              <w:t>营业执照扫描件</w:t>
            </w:r>
          </w:p>
        </w:tc>
        <w:tc>
          <w:tcPr>
            <w:tcW w:w="799" w:type="dxa"/>
            <w:vAlign w:val="top"/>
          </w:tcPr>
          <w:p w14:paraId="54144D48">
            <w:pPr>
              <w:rPr>
                <w:rFonts w:ascii="Arial"/>
                <w:sz w:val="21"/>
              </w:rPr>
            </w:pPr>
          </w:p>
        </w:tc>
        <w:tc>
          <w:tcPr>
            <w:tcW w:w="830" w:type="dxa"/>
            <w:vAlign w:val="top"/>
          </w:tcPr>
          <w:p w14:paraId="5324595A">
            <w:pPr>
              <w:rPr>
                <w:rFonts w:ascii="Arial"/>
                <w:sz w:val="21"/>
              </w:rPr>
            </w:pPr>
          </w:p>
        </w:tc>
        <w:tc>
          <w:tcPr>
            <w:tcW w:w="799" w:type="dxa"/>
            <w:vAlign w:val="top"/>
          </w:tcPr>
          <w:p w14:paraId="550DF48A">
            <w:pPr>
              <w:rPr>
                <w:rFonts w:ascii="Arial"/>
                <w:sz w:val="21"/>
              </w:rPr>
            </w:pPr>
          </w:p>
        </w:tc>
        <w:tc>
          <w:tcPr>
            <w:tcW w:w="830" w:type="dxa"/>
            <w:vAlign w:val="top"/>
          </w:tcPr>
          <w:p w14:paraId="5966A34F">
            <w:pPr>
              <w:rPr>
                <w:rFonts w:ascii="Arial"/>
                <w:sz w:val="21"/>
              </w:rPr>
            </w:pPr>
          </w:p>
        </w:tc>
        <w:tc>
          <w:tcPr>
            <w:tcW w:w="829" w:type="dxa"/>
            <w:vAlign w:val="top"/>
          </w:tcPr>
          <w:p w14:paraId="0F4F8FDB">
            <w:pPr>
              <w:rPr>
                <w:rFonts w:ascii="Arial"/>
                <w:sz w:val="21"/>
              </w:rPr>
            </w:pPr>
          </w:p>
        </w:tc>
        <w:tc>
          <w:tcPr>
            <w:tcW w:w="789" w:type="dxa"/>
            <w:vAlign w:val="top"/>
          </w:tcPr>
          <w:p w14:paraId="6508DF61">
            <w:pPr>
              <w:rPr>
                <w:rFonts w:ascii="Arial"/>
                <w:sz w:val="21"/>
              </w:rPr>
            </w:pPr>
          </w:p>
        </w:tc>
        <w:tc>
          <w:tcPr>
            <w:tcW w:w="829" w:type="dxa"/>
            <w:vAlign w:val="top"/>
          </w:tcPr>
          <w:p w14:paraId="065E52E0">
            <w:pPr>
              <w:rPr>
                <w:rFonts w:ascii="Arial"/>
                <w:sz w:val="21"/>
              </w:rPr>
            </w:pPr>
          </w:p>
        </w:tc>
        <w:tc>
          <w:tcPr>
            <w:tcW w:w="819" w:type="dxa"/>
            <w:vAlign w:val="top"/>
          </w:tcPr>
          <w:p w14:paraId="78F3C174">
            <w:pPr>
              <w:rPr>
                <w:rFonts w:ascii="Arial"/>
                <w:sz w:val="21"/>
              </w:rPr>
            </w:pPr>
          </w:p>
        </w:tc>
        <w:tc>
          <w:tcPr>
            <w:tcW w:w="805" w:type="dxa"/>
            <w:vAlign w:val="top"/>
          </w:tcPr>
          <w:p w14:paraId="1B87AE29">
            <w:pPr>
              <w:rPr>
                <w:rFonts w:ascii="Arial"/>
                <w:sz w:val="21"/>
              </w:rPr>
            </w:pPr>
          </w:p>
        </w:tc>
      </w:tr>
      <w:tr w14:paraId="5CEE3A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9" w:hRule="atLeast"/>
        </w:trPr>
        <w:tc>
          <w:tcPr>
            <w:tcW w:w="515" w:type="dxa"/>
            <w:vAlign w:val="top"/>
          </w:tcPr>
          <w:p w14:paraId="439BFF97">
            <w:pPr>
              <w:spacing w:line="251" w:lineRule="auto"/>
              <w:rPr>
                <w:rFonts w:ascii="Arial"/>
                <w:sz w:val="21"/>
              </w:rPr>
            </w:pPr>
          </w:p>
          <w:p w14:paraId="7C214FEC">
            <w:pPr>
              <w:pStyle w:val="6"/>
              <w:spacing w:before="68" w:line="241" w:lineRule="auto"/>
              <w:ind w:left="195"/>
            </w:pPr>
            <w:r>
              <w:t>2</w:t>
            </w:r>
          </w:p>
        </w:tc>
        <w:tc>
          <w:tcPr>
            <w:tcW w:w="1519" w:type="dxa"/>
            <w:vAlign w:val="top"/>
          </w:tcPr>
          <w:p w14:paraId="6BAACD75">
            <w:pPr>
              <w:pStyle w:val="6"/>
              <w:spacing w:before="179" w:line="241" w:lineRule="auto"/>
              <w:ind w:left="430" w:right="325" w:hanging="100"/>
            </w:pPr>
            <w:r>
              <w:rPr>
                <w:spacing w:val="3"/>
              </w:rPr>
              <w:t>安全生产</w:t>
            </w:r>
            <w:r>
              <w:t xml:space="preserve"> </w:t>
            </w:r>
            <w:r>
              <w:rPr>
                <w:spacing w:val="-3"/>
              </w:rPr>
              <w:t>许可证</w:t>
            </w:r>
          </w:p>
        </w:tc>
        <w:tc>
          <w:tcPr>
            <w:tcW w:w="2009" w:type="dxa"/>
            <w:vAlign w:val="top"/>
          </w:tcPr>
          <w:p w14:paraId="42C0D42A">
            <w:pPr>
              <w:pStyle w:val="6"/>
              <w:spacing w:before="180" w:line="239" w:lineRule="auto"/>
              <w:ind w:left="111" w:right="58" w:firstLine="139"/>
            </w:pPr>
            <w:r>
              <w:rPr>
                <w:spacing w:val="1"/>
              </w:rPr>
              <w:t>具备有效的安全生</w:t>
            </w:r>
            <w:r>
              <w:t xml:space="preserve"> </w:t>
            </w:r>
            <w:r>
              <w:rPr>
                <w:spacing w:val="-2"/>
              </w:rPr>
              <w:t>产许可证</w:t>
            </w:r>
          </w:p>
        </w:tc>
        <w:tc>
          <w:tcPr>
            <w:tcW w:w="2368" w:type="dxa"/>
            <w:vAlign w:val="top"/>
          </w:tcPr>
          <w:p w14:paraId="12F89D8E">
            <w:pPr>
              <w:pStyle w:val="6"/>
              <w:spacing w:before="51" w:line="219" w:lineRule="auto"/>
              <w:ind w:left="122" w:right="112"/>
              <w:jc w:val="both"/>
            </w:pPr>
            <w:r>
              <w:rPr>
                <w:spacing w:val="2"/>
              </w:rPr>
              <w:t xml:space="preserve">住房城乡建设主管部门 </w:t>
            </w:r>
            <w:r>
              <w:rPr>
                <w:spacing w:val="-2"/>
              </w:rPr>
              <w:t>核发的安全生产许可证</w:t>
            </w:r>
            <w:r>
              <w:rPr>
                <w:spacing w:val="8"/>
              </w:rPr>
              <w:t xml:space="preserve"> </w:t>
            </w:r>
            <w:r>
              <w:rPr>
                <w:spacing w:val="3"/>
              </w:rPr>
              <w:t>扫描件</w:t>
            </w:r>
          </w:p>
        </w:tc>
        <w:tc>
          <w:tcPr>
            <w:tcW w:w="799" w:type="dxa"/>
            <w:vAlign w:val="top"/>
          </w:tcPr>
          <w:p w14:paraId="325C7F2F">
            <w:pPr>
              <w:rPr>
                <w:rFonts w:ascii="Arial"/>
                <w:sz w:val="21"/>
              </w:rPr>
            </w:pPr>
          </w:p>
        </w:tc>
        <w:tc>
          <w:tcPr>
            <w:tcW w:w="830" w:type="dxa"/>
            <w:vAlign w:val="top"/>
          </w:tcPr>
          <w:p w14:paraId="0F13A0E5">
            <w:pPr>
              <w:rPr>
                <w:rFonts w:ascii="Arial"/>
                <w:sz w:val="21"/>
              </w:rPr>
            </w:pPr>
          </w:p>
        </w:tc>
        <w:tc>
          <w:tcPr>
            <w:tcW w:w="799" w:type="dxa"/>
            <w:vAlign w:val="top"/>
          </w:tcPr>
          <w:p w14:paraId="694CD962">
            <w:pPr>
              <w:rPr>
                <w:rFonts w:ascii="Arial"/>
                <w:sz w:val="21"/>
              </w:rPr>
            </w:pPr>
          </w:p>
        </w:tc>
        <w:tc>
          <w:tcPr>
            <w:tcW w:w="830" w:type="dxa"/>
            <w:vAlign w:val="top"/>
          </w:tcPr>
          <w:p w14:paraId="1B4B27B2">
            <w:pPr>
              <w:rPr>
                <w:rFonts w:ascii="Arial"/>
                <w:sz w:val="21"/>
              </w:rPr>
            </w:pPr>
          </w:p>
        </w:tc>
        <w:tc>
          <w:tcPr>
            <w:tcW w:w="829" w:type="dxa"/>
            <w:vAlign w:val="top"/>
          </w:tcPr>
          <w:p w14:paraId="1BBF03A6">
            <w:pPr>
              <w:rPr>
                <w:rFonts w:ascii="Arial"/>
                <w:sz w:val="21"/>
              </w:rPr>
            </w:pPr>
          </w:p>
        </w:tc>
        <w:tc>
          <w:tcPr>
            <w:tcW w:w="789" w:type="dxa"/>
            <w:vAlign w:val="top"/>
          </w:tcPr>
          <w:p w14:paraId="5F24F3E1">
            <w:pPr>
              <w:rPr>
                <w:rFonts w:ascii="Arial"/>
                <w:sz w:val="21"/>
              </w:rPr>
            </w:pPr>
          </w:p>
        </w:tc>
        <w:tc>
          <w:tcPr>
            <w:tcW w:w="829" w:type="dxa"/>
            <w:vAlign w:val="top"/>
          </w:tcPr>
          <w:p w14:paraId="701A0C22">
            <w:pPr>
              <w:rPr>
                <w:rFonts w:ascii="Arial"/>
                <w:sz w:val="21"/>
              </w:rPr>
            </w:pPr>
          </w:p>
        </w:tc>
        <w:tc>
          <w:tcPr>
            <w:tcW w:w="819" w:type="dxa"/>
            <w:vAlign w:val="top"/>
          </w:tcPr>
          <w:p w14:paraId="11747D13">
            <w:pPr>
              <w:rPr>
                <w:rFonts w:ascii="Arial"/>
                <w:sz w:val="21"/>
              </w:rPr>
            </w:pPr>
          </w:p>
        </w:tc>
        <w:tc>
          <w:tcPr>
            <w:tcW w:w="805" w:type="dxa"/>
            <w:vAlign w:val="top"/>
          </w:tcPr>
          <w:p w14:paraId="162BD092">
            <w:pPr>
              <w:rPr>
                <w:rFonts w:ascii="Arial"/>
                <w:sz w:val="21"/>
              </w:rPr>
            </w:pPr>
          </w:p>
        </w:tc>
      </w:tr>
      <w:tr w14:paraId="20FC21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9" w:hRule="atLeast"/>
        </w:trPr>
        <w:tc>
          <w:tcPr>
            <w:tcW w:w="515" w:type="dxa"/>
            <w:vAlign w:val="top"/>
          </w:tcPr>
          <w:p w14:paraId="2101AFA4">
            <w:pPr>
              <w:spacing w:line="262" w:lineRule="auto"/>
              <w:rPr>
                <w:rFonts w:ascii="Arial"/>
                <w:sz w:val="21"/>
              </w:rPr>
            </w:pPr>
          </w:p>
          <w:p w14:paraId="2A2262E5">
            <w:pPr>
              <w:pStyle w:val="6"/>
              <w:spacing w:before="68"/>
              <w:ind w:left="195"/>
            </w:pPr>
            <w:r>
              <w:t>3</w:t>
            </w:r>
          </w:p>
        </w:tc>
        <w:tc>
          <w:tcPr>
            <w:tcW w:w="1519" w:type="dxa"/>
            <w:vAlign w:val="top"/>
          </w:tcPr>
          <w:p w14:paraId="447B7A5D">
            <w:pPr>
              <w:spacing w:line="241" w:lineRule="auto"/>
              <w:rPr>
                <w:rFonts w:ascii="Arial"/>
                <w:sz w:val="21"/>
              </w:rPr>
            </w:pPr>
          </w:p>
          <w:p w14:paraId="6EFA6F08">
            <w:pPr>
              <w:pStyle w:val="6"/>
              <w:spacing w:before="69" w:line="219" w:lineRule="auto"/>
              <w:ind w:left="330"/>
            </w:pPr>
            <w:r>
              <w:rPr>
                <w:spacing w:val="3"/>
              </w:rPr>
              <w:t>资质等级</w:t>
            </w:r>
          </w:p>
        </w:tc>
        <w:tc>
          <w:tcPr>
            <w:tcW w:w="2009" w:type="dxa"/>
            <w:vAlign w:val="top"/>
          </w:tcPr>
          <w:p w14:paraId="59B57A81">
            <w:pPr>
              <w:pStyle w:val="6"/>
              <w:spacing w:before="50" w:line="219" w:lineRule="auto"/>
              <w:ind w:left="251"/>
            </w:pPr>
            <w:r>
              <w:rPr>
                <w:spacing w:val="-2"/>
              </w:rPr>
              <w:t>符合第二章“投标</w:t>
            </w:r>
          </w:p>
          <w:p w14:paraId="2BCCDFD7">
            <w:pPr>
              <w:pStyle w:val="6"/>
              <w:spacing w:before="2" w:line="223" w:lineRule="auto"/>
              <w:ind w:left="141" w:right="46" w:firstLine="209"/>
            </w:pPr>
            <w:r>
              <w:rPr>
                <w:spacing w:val="2"/>
              </w:rPr>
              <w:t>人须知”第1.4.1</w:t>
            </w:r>
            <w:r>
              <w:rPr>
                <w:spacing w:val="5"/>
              </w:rPr>
              <w:t xml:space="preserve"> </w:t>
            </w:r>
            <w:r>
              <w:rPr>
                <w:spacing w:val="4"/>
              </w:rPr>
              <w:t>项规定</w:t>
            </w:r>
          </w:p>
        </w:tc>
        <w:tc>
          <w:tcPr>
            <w:tcW w:w="2368" w:type="dxa"/>
            <w:vAlign w:val="top"/>
          </w:tcPr>
          <w:p w14:paraId="3C9EAAAB">
            <w:pPr>
              <w:pStyle w:val="6"/>
              <w:spacing w:before="51" w:line="222" w:lineRule="auto"/>
              <w:ind w:left="122" w:right="112"/>
              <w:jc w:val="both"/>
            </w:pPr>
            <w:r>
              <w:rPr>
                <w:spacing w:val="2"/>
              </w:rPr>
              <w:t xml:space="preserve">住房城乡建设主管部门 </w:t>
            </w:r>
            <w:r>
              <w:rPr>
                <w:spacing w:val="1"/>
              </w:rPr>
              <w:t>核发的资质等级证书扫</w:t>
            </w:r>
            <w:r>
              <w:rPr>
                <w:spacing w:val="6"/>
              </w:rPr>
              <w:t xml:space="preserve"> </w:t>
            </w:r>
            <w:r>
              <w:t>描件</w:t>
            </w:r>
          </w:p>
        </w:tc>
        <w:tc>
          <w:tcPr>
            <w:tcW w:w="799" w:type="dxa"/>
            <w:vAlign w:val="top"/>
          </w:tcPr>
          <w:p w14:paraId="522CCB3D">
            <w:pPr>
              <w:rPr>
                <w:rFonts w:ascii="Arial"/>
                <w:sz w:val="21"/>
              </w:rPr>
            </w:pPr>
          </w:p>
        </w:tc>
        <w:tc>
          <w:tcPr>
            <w:tcW w:w="830" w:type="dxa"/>
            <w:vAlign w:val="top"/>
          </w:tcPr>
          <w:p w14:paraId="6E020590">
            <w:pPr>
              <w:rPr>
                <w:rFonts w:ascii="Arial"/>
                <w:sz w:val="21"/>
              </w:rPr>
            </w:pPr>
          </w:p>
        </w:tc>
        <w:tc>
          <w:tcPr>
            <w:tcW w:w="799" w:type="dxa"/>
            <w:vAlign w:val="top"/>
          </w:tcPr>
          <w:p w14:paraId="5BA35702">
            <w:pPr>
              <w:rPr>
                <w:rFonts w:ascii="Arial"/>
                <w:sz w:val="21"/>
              </w:rPr>
            </w:pPr>
          </w:p>
        </w:tc>
        <w:tc>
          <w:tcPr>
            <w:tcW w:w="830" w:type="dxa"/>
            <w:vAlign w:val="top"/>
          </w:tcPr>
          <w:p w14:paraId="272E5448">
            <w:pPr>
              <w:rPr>
                <w:rFonts w:ascii="Arial"/>
                <w:sz w:val="21"/>
              </w:rPr>
            </w:pPr>
          </w:p>
        </w:tc>
        <w:tc>
          <w:tcPr>
            <w:tcW w:w="829" w:type="dxa"/>
            <w:vAlign w:val="top"/>
          </w:tcPr>
          <w:p w14:paraId="1C1B4C6F">
            <w:pPr>
              <w:rPr>
                <w:rFonts w:ascii="Arial"/>
                <w:sz w:val="21"/>
              </w:rPr>
            </w:pPr>
          </w:p>
        </w:tc>
        <w:tc>
          <w:tcPr>
            <w:tcW w:w="789" w:type="dxa"/>
            <w:vAlign w:val="top"/>
          </w:tcPr>
          <w:p w14:paraId="0AD46CA0">
            <w:pPr>
              <w:rPr>
                <w:rFonts w:ascii="Arial"/>
                <w:sz w:val="21"/>
              </w:rPr>
            </w:pPr>
          </w:p>
        </w:tc>
        <w:tc>
          <w:tcPr>
            <w:tcW w:w="829" w:type="dxa"/>
            <w:vAlign w:val="top"/>
          </w:tcPr>
          <w:p w14:paraId="6B159F46">
            <w:pPr>
              <w:rPr>
                <w:rFonts w:ascii="Arial"/>
                <w:sz w:val="21"/>
              </w:rPr>
            </w:pPr>
          </w:p>
        </w:tc>
        <w:tc>
          <w:tcPr>
            <w:tcW w:w="819" w:type="dxa"/>
            <w:vAlign w:val="top"/>
          </w:tcPr>
          <w:p w14:paraId="6E77A90C">
            <w:pPr>
              <w:rPr>
                <w:rFonts w:ascii="Arial"/>
                <w:sz w:val="21"/>
              </w:rPr>
            </w:pPr>
          </w:p>
        </w:tc>
        <w:tc>
          <w:tcPr>
            <w:tcW w:w="805" w:type="dxa"/>
            <w:vAlign w:val="top"/>
          </w:tcPr>
          <w:p w14:paraId="54EC6748">
            <w:pPr>
              <w:rPr>
                <w:rFonts w:ascii="Arial"/>
                <w:sz w:val="21"/>
              </w:rPr>
            </w:pPr>
          </w:p>
        </w:tc>
      </w:tr>
      <w:tr w14:paraId="5702E6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48" w:hRule="atLeast"/>
        </w:trPr>
        <w:tc>
          <w:tcPr>
            <w:tcW w:w="515" w:type="dxa"/>
            <w:vAlign w:val="top"/>
          </w:tcPr>
          <w:p w14:paraId="4164BE2D">
            <w:pPr>
              <w:spacing w:line="335" w:lineRule="auto"/>
              <w:rPr>
                <w:rFonts w:ascii="Arial"/>
                <w:sz w:val="21"/>
              </w:rPr>
            </w:pPr>
          </w:p>
          <w:p w14:paraId="429CD7A9">
            <w:pPr>
              <w:spacing w:line="336" w:lineRule="auto"/>
              <w:rPr>
                <w:rFonts w:ascii="Arial"/>
                <w:sz w:val="21"/>
              </w:rPr>
            </w:pPr>
          </w:p>
          <w:p w14:paraId="0A612E12">
            <w:pPr>
              <w:pStyle w:val="6"/>
              <w:spacing w:before="68" w:line="241" w:lineRule="auto"/>
              <w:ind w:left="195"/>
            </w:pPr>
            <w:r>
              <w:t>4</w:t>
            </w:r>
          </w:p>
        </w:tc>
        <w:tc>
          <w:tcPr>
            <w:tcW w:w="1519" w:type="dxa"/>
            <w:vAlign w:val="top"/>
          </w:tcPr>
          <w:p w14:paraId="27FAE8AA">
            <w:pPr>
              <w:spacing w:line="325" w:lineRule="auto"/>
              <w:rPr>
                <w:rFonts w:ascii="Arial"/>
                <w:sz w:val="21"/>
              </w:rPr>
            </w:pPr>
          </w:p>
          <w:p w14:paraId="695EA843">
            <w:pPr>
              <w:spacing w:line="325" w:lineRule="auto"/>
              <w:rPr>
                <w:rFonts w:ascii="Arial"/>
                <w:sz w:val="21"/>
              </w:rPr>
            </w:pPr>
          </w:p>
          <w:p w14:paraId="6D317AEC">
            <w:pPr>
              <w:pStyle w:val="6"/>
              <w:spacing w:before="68" w:line="219" w:lineRule="auto"/>
              <w:ind w:left="330"/>
            </w:pPr>
            <w:r>
              <w:rPr>
                <w:spacing w:val="-2"/>
              </w:rPr>
              <w:t>财务状况</w:t>
            </w:r>
          </w:p>
        </w:tc>
        <w:tc>
          <w:tcPr>
            <w:tcW w:w="2009" w:type="dxa"/>
            <w:vAlign w:val="top"/>
          </w:tcPr>
          <w:p w14:paraId="1EF55D56">
            <w:pPr>
              <w:spacing w:line="380" w:lineRule="auto"/>
              <w:rPr>
                <w:rFonts w:ascii="Arial"/>
                <w:sz w:val="21"/>
              </w:rPr>
            </w:pPr>
          </w:p>
          <w:p w14:paraId="7AAFE3F3">
            <w:pPr>
              <w:pStyle w:val="6"/>
              <w:spacing w:before="68" w:line="219" w:lineRule="auto"/>
              <w:ind w:left="251"/>
            </w:pPr>
            <w:r>
              <w:rPr>
                <w:spacing w:val="-2"/>
              </w:rPr>
              <w:t>符合第二章“投标</w:t>
            </w:r>
          </w:p>
          <w:p w14:paraId="4A9C9E9F">
            <w:pPr>
              <w:pStyle w:val="6"/>
              <w:spacing w:before="12" w:line="249" w:lineRule="auto"/>
              <w:ind w:left="141" w:right="46" w:firstLine="209"/>
            </w:pPr>
            <w:r>
              <w:rPr>
                <w:spacing w:val="2"/>
              </w:rPr>
              <w:t>人须知”第1.4.1</w:t>
            </w:r>
            <w:r>
              <w:rPr>
                <w:spacing w:val="5"/>
              </w:rPr>
              <w:t xml:space="preserve"> </w:t>
            </w:r>
            <w:r>
              <w:rPr>
                <w:spacing w:val="4"/>
              </w:rPr>
              <w:t>项规定</w:t>
            </w:r>
          </w:p>
        </w:tc>
        <w:tc>
          <w:tcPr>
            <w:tcW w:w="2368" w:type="dxa"/>
            <w:vAlign w:val="top"/>
          </w:tcPr>
          <w:p w14:paraId="2C584E46">
            <w:pPr>
              <w:pStyle w:val="6"/>
              <w:spacing w:before="40" w:line="234" w:lineRule="auto"/>
              <w:ind w:left="122"/>
            </w:pPr>
            <w:r>
              <w:rPr>
                <w:spacing w:val="-8"/>
              </w:rPr>
              <w:t>经会计师事务所或者审</w:t>
            </w:r>
            <w:r>
              <w:rPr>
                <w:spacing w:val="2"/>
              </w:rPr>
              <w:t xml:space="preserve">   </w:t>
            </w:r>
            <w:r>
              <w:rPr>
                <w:spacing w:val="-10"/>
              </w:rPr>
              <w:t>计机构审计的财务会计</w:t>
            </w:r>
            <w:r>
              <w:t xml:space="preserve">   </w:t>
            </w:r>
            <w:r>
              <w:rPr>
                <w:spacing w:val="-7"/>
              </w:rPr>
              <w:t>报表，包括资产负债表、</w:t>
            </w:r>
            <w:r>
              <w:rPr>
                <w:spacing w:val="1"/>
              </w:rPr>
              <w:t xml:space="preserve"> 损益表、现金流量表、</w:t>
            </w:r>
            <w:r>
              <w:rPr>
                <w:spacing w:val="2"/>
              </w:rPr>
              <w:t xml:space="preserve">  </w:t>
            </w:r>
            <w:r>
              <w:rPr>
                <w:spacing w:val="-7"/>
              </w:rPr>
              <w:t>利润表和财务状况说明</w:t>
            </w:r>
            <w:r>
              <w:t xml:space="preserve">   书扫描件</w:t>
            </w:r>
          </w:p>
        </w:tc>
        <w:tc>
          <w:tcPr>
            <w:tcW w:w="799" w:type="dxa"/>
            <w:vAlign w:val="top"/>
          </w:tcPr>
          <w:p w14:paraId="6E64074A">
            <w:pPr>
              <w:rPr>
                <w:rFonts w:ascii="Arial"/>
                <w:sz w:val="21"/>
              </w:rPr>
            </w:pPr>
          </w:p>
        </w:tc>
        <w:tc>
          <w:tcPr>
            <w:tcW w:w="830" w:type="dxa"/>
            <w:vAlign w:val="top"/>
          </w:tcPr>
          <w:p w14:paraId="5FA5DF79">
            <w:pPr>
              <w:rPr>
                <w:rFonts w:ascii="Arial"/>
                <w:sz w:val="21"/>
              </w:rPr>
            </w:pPr>
          </w:p>
        </w:tc>
        <w:tc>
          <w:tcPr>
            <w:tcW w:w="799" w:type="dxa"/>
            <w:vAlign w:val="top"/>
          </w:tcPr>
          <w:p w14:paraId="55BFE413">
            <w:pPr>
              <w:rPr>
                <w:rFonts w:ascii="Arial"/>
                <w:sz w:val="21"/>
              </w:rPr>
            </w:pPr>
          </w:p>
        </w:tc>
        <w:tc>
          <w:tcPr>
            <w:tcW w:w="830" w:type="dxa"/>
            <w:vAlign w:val="top"/>
          </w:tcPr>
          <w:p w14:paraId="37213B7C">
            <w:pPr>
              <w:rPr>
                <w:rFonts w:ascii="Arial"/>
                <w:sz w:val="21"/>
              </w:rPr>
            </w:pPr>
          </w:p>
        </w:tc>
        <w:tc>
          <w:tcPr>
            <w:tcW w:w="829" w:type="dxa"/>
            <w:vAlign w:val="top"/>
          </w:tcPr>
          <w:p w14:paraId="68F4FF97">
            <w:pPr>
              <w:rPr>
                <w:rFonts w:ascii="Arial"/>
                <w:sz w:val="21"/>
              </w:rPr>
            </w:pPr>
          </w:p>
        </w:tc>
        <w:tc>
          <w:tcPr>
            <w:tcW w:w="789" w:type="dxa"/>
            <w:vAlign w:val="top"/>
          </w:tcPr>
          <w:p w14:paraId="17CE669C">
            <w:pPr>
              <w:rPr>
                <w:rFonts w:ascii="Arial"/>
                <w:sz w:val="21"/>
              </w:rPr>
            </w:pPr>
          </w:p>
        </w:tc>
        <w:tc>
          <w:tcPr>
            <w:tcW w:w="829" w:type="dxa"/>
            <w:vAlign w:val="top"/>
          </w:tcPr>
          <w:p w14:paraId="668915EE">
            <w:pPr>
              <w:rPr>
                <w:rFonts w:ascii="Arial"/>
                <w:sz w:val="21"/>
              </w:rPr>
            </w:pPr>
          </w:p>
        </w:tc>
        <w:tc>
          <w:tcPr>
            <w:tcW w:w="819" w:type="dxa"/>
            <w:vAlign w:val="top"/>
          </w:tcPr>
          <w:p w14:paraId="75993362">
            <w:pPr>
              <w:rPr>
                <w:rFonts w:ascii="Arial"/>
                <w:sz w:val="21"/>
              </w:rPr>
            </w:pPr>
          </w:p>
        </w:tc>
        <w:tc>
          <w:tcPr>
            <w:tcW w:w="805" w:type="dxa"/>
            <w:vAlign w:val="top"/>
          </w:tcPr>
          <w:p w14:paraId="6BE6570C">
            <w:pPr>
              <w:rPr>
                <w:rFonts w:ascii="Arial"/>
                <w:sz w:val="21"/>
              </w:rPr>
            </w:pPr>
          </w:p>
        </w:tc>
      </w:tr>
      <w:tr w14:paraId="49F839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97" w:hRule="atLeast"/>
        </w:trPr>
        <w:tc>
          <w:tcPr>
            <w:tcW w:w="515" w:type="dxa"/>
            <w:vAlign w:val="top"/>
          </w:tcPr>
          <w:p w14:paraId="21E4943B">
            <w:pPr>
              <w:spacing w:line="267" w:lineRule="auto"/>
              <w:rPr>
                <w:rFonts w:ascii="Arial"/>
                <w:sz w:val="21"/>
              </w:rPr>
            </w:pPr>
          </w:p>
          <w:p w14:paraId="57F69878">
            <w:pPr>
              <w:spacing w:line="267" w:lineRule="auto"/>
              <w:rPr>
                <w:rFonts w:ascii="Arial"/>
                <w:sz w:val="21"/>
              </w:rPr>
            </w:pPr>
          </w:p>
          <w:p w14:paraId="25353ACC">
            <w:pPr>
              <w:spacing w:line="267" w:lineRule="auto"/>
              <w:rPr>
                <w:rFonts w:ascii="Arial"/>
                <w:sz w:val="21"/>
              </w:rPr>
            </w:pPr>
          </w:p>
          <w:p w14:paraId="4AE4E73E">
            <w:pPr>
              <w:pStyle w:val="6"/>
              <w:spacing w:before="69"/>
              <w:ind w:left="195"/>
            </w:pPr>
            <w:r>
              <w:t>5</w:t>
            </w:r>
          </w:p>
        </w:tc>
        <w:tc>
          <w:tcPr>
            <w:tcW w:w="1519" w:type="dxa"/>
            <w:vAlign w:val="top"/>
          </w:tcPr>
          <w:p w14:paraId="03E4623E">
            <w:pPr>
              <w:spacing w:line="325" w:lineRule="auto"/>
              <w:rPr>
                <w:rFonts w:ascii="Arial"/>
                <w:sz w:val="21"/>
              </w:rPr>
            </w:pPr>
          </w:p>
          <w:p w14:paraId="586700F0">
            <w:pPr>
              <w:spacing w:line="326" w:lineRule="auto"/>
              <w:rPr>
                <w:rFonts w:ascii="Arial"/>
                <w:sz w:val="21"/>
              </w:rPr>
            </w:pPr>
          </w:p>
          <w:p w14:paraId="04493BA2">
            <w:pPr>
              <w:pStyle w:val="6"/>
              <w:spacing w:before="69" w:line="216" w:lineRule="auto"/>
              <w:ind w:left="539" w:right="298" w:hanging="209"/>
            </w:pPr>
            <w:r>
              <w:rPr>
                <w:spacing w:val="10"/>
              </w:rPr>
              <w:t>类似项目</w:t>
            </w:r>
            <w:r>
              <w:t xml:space="preserve"> </w:t>
            </w:r>
            <w:r>
              <w:rPr>
                <w:spacing w:val="-2"/>
              </w:rPr>
              <w:t>业绩</w:t>
            </w:r>
          </w:p>
        </w:tc>
        <w:tc>
          <w:tcPr>
            <w:tcW w:w="2009" w:type="dxa"/>
            <w:vAlign w:val="top"/>
          </w:tcPr>
          <w:p w14:paraId="6CC6262A">
            <w:pPr>
              <w:spacing w:line="250" w:lineRule="auto"/>
              <w:rPr>
                <w:rFonts w:ascii="Arial"/>
                <w:sz w:val="21"/>
              </w:rPr>
            </w:pPr>
          </w:p>
          <w:p w14:paraId="586B77CB">
            <w:pPr>
              <w:spacing w:line="251" w:lineRule="auto"/>
              <w:rPr>
                <w:rFonts w:ascii="Arial"/>
                <w:sz w:val="21"/>
              </w:rPr>
            </w:pPr>
          </w:p>
          <w:p w14:paraId="737E1891">
            <w:pPr>
              <w:pStyle w:val="6"/>
              <w:spacing w:before="69" w:line="219" w:lineRule="auto"/>
              <w:ind w:left="251"/>
            </w:pPr>
            <w:r>
              <w:rPr>
                <w:spacing w:val="-2"/>
              </w:rPr>
              <w:t>符合第二章“投标</w:t>
            </w:r>
          </w:p>
          <w:p w14:paraId="4A38DD30">
            <w:pPr>
              <w:pStyle w:val="6"/>
              <w:spacing w:before="31" w:line="232" w:lineRule="auto"/>
              <w:ind w:left="141" w:right="46" w:firstLine="209"/>
            </w:pPr>
            <w:r>
              <w:rPr>
                <w:spacing w:val="2"/>
              </w:rPr>
              <w:t>人须知”第1.4.1</w:t>
            </w:r>
            <w:r>
              <w:rPr>
                <w:spacing w:val="5"/>
              </w:rPr>
              <w:t xml:space="preserve"> </w:t>
            </w:r>
            <w:r>
              <w:rPr>
                <w:spacing w:val="4"/>
              </w:rPr>
              <w:t>项规定</w:t>
            </w:r>
          </w:p>
        </w:tc>
        <w:tc>
          <w:tcPr>
            <w:tcW w:w="2368" w:type="dxa"/>
            <w:vAlign w:val="top"/>
          </w:tcPr>
          <w:p w14:paraId="1EC7D200">
            <w:pPr>
              <w:pStyle w:val="6"/>
              <w:spacing w:before="24" w:line="239" w:lineRule="auto"/>
              <w:ind w:left="122"/>
            </w:pPr>
            <w:r>
              <w:rPr>
                <w:spacing w:val="-8"/>
              </w:rPr>
              <w:t>中标通知书、合同协议</w:t>
            </w:r>
            <w:r>
              <w:t xml:space="preserve">   </w:t>
            </w:r>
            <w:r>
              <w:rPr>
                <w:spacing w:val="-7"/>
              </w:rPr>
              <w:t>书、施工许可证(如有)、</w:t>
            </w:r>
            <w:r>
              <w:rPr>
                <w:spacing w:val="8"/>
              </w:rPr>
              <w:t xml:space="preserve"> </w:t>
            </w:r>
            <w:r>
              <w:rPr>
                <w:spacing w:val="-8"/>
              </w:rPr>
              <w:t>工程接收证书或工程竣</w:t>
            </w:r>
            <w:r>
              <w:t xml:space="preserve">   </w:t>
            </w:r>
            <w:r>
              <w:rPr>
                <w:spacing w:val="-3"/>
              </w:rPr>
              <w:t>工验收证书(工程竣工</w:t>
            </w:r>
            <w:r>
              <w:rPr>
                <w:spacing w:val="2"/>
              </w:rPr>
              <w:t xml:space="preserve">   </w:t>
            </w:r>
            <w:r>
              <w:rPr>
                <w:spacing w:val="-3"/>
              </w:rPr>
              <w:t>验收备案证)及其他证</w:t>
            </w:r>
          </w:p>
          <w:p w14:paraId="7C9C9D42">
            <w:pPr>
              <w:pStyle w:val="6"/>
              <w:spacing w:line="221" w:lineRule="auto"/>
              <w:ind w:left="132" w:right="218" w:firstLine="100"/>
            </w:pPr>
            <w:r>
              <w:rPr>
                <w:spacing w:val="1"/>
              </w:rPr>
              <w:t>明材料(如需要)的扫</w:t>
            </w:r>
            <w:r>
              <w:rPr>
                <w:spacing w:val="6"/>
              </w:rPr>
              <w:t xml:space="preserve"> </w:t>
            </w:r>
            <w:r>
              <w:rPr>
                <w:spacing w:val="-3"/>
              </w:rPr>
              <w:t>描件</w:t>
            </w:r>
          </w:p>
        </w:tc>
        <w:tc>
          <w:tcPr>
            <w:tcW w:w="799" w:type="dxa"/>
            <w:vAlign w:val="top"/>
          </w:tcPr>
          <w:p w14:paraId="42E41A62">
            <w:pPr>
              <w:rPr>
                <w:rFonts w:ascii="Arial"/>
                <w:sz w:val="21"/>
              </w:rPr>
            </w:pPr>
          </w:p>
        </w:tc>
        <w:tc>
          <w:tcPr>
            <w:tcW w:w="830" w:type="dxa"/>
            <w:vAlign w:val="top"/>
          </w:tcPr>
          <w:p w14:paraId="488DC637">
            <w:pPr>
              <w:rPr>
                <w:rFonts w:ascii="Arial"/>
                <w:sz w:val="21"/>
              </w:rPr>
            </w:pPr>
          </w:p>
        </w:tc>
        <w:tc>
          <w:tcPr>
            <w:tcW w:w="799" w:type="dxa"/>
            <w:vAlign w:val="top"/>
          </w:tcPr>
          <w:p w14:paraId="3E4C058C">
            <w:pPr>
              <w:rPr>
                <w:rFonts w:ascii="Arial"/>
                <w:sz w:val="21"/>
              </w:rPr>
            </w:pPr>
          </w:p>
        </w:tc>
        <w:tc>
          <w:tcPr>
            <w:tcW w:w="830" w:type="dxa"/>
            <w:vAlign w:val="top"/>
          </w:tcPr>
          <w:p w14:paraId="53ACDB72">
            <w:pPr>
              <w:rPr>
                <w:rFonts w:ascii="Arial"/>
                <w:sz w:val="21"/>
              </w:rPr>
            </w:pPr>
          </w:p>
        </w:tc>
        <w:tc>
          <w:tcPr>
            <w:tcW w:w="829" w:type="dxa"/>
            <w:vAlign w:val="top"/>
          </w:tcPr>
          <w:p w14:paraId="1407F068">
            <w:pPr>
              <w:rPr>
                <w:rFonts w:ascii="Arial"/>
                <w:sz w:val="21"/>
              </w:rPr>
            </w:pPr>
          </w:p>
        </w:tc>
        <w:tc>
          <w:tcPr>
            <w:tcW w:w="789" w:type="dxa"/>
            <w:vAlign w:val="top"/>
          </w:tcPr>
          <w:p w14:paraId="79CD6BA2">
            <w:pPr>
              <w:rPr>
                <w:rFonts w:ascii="Arial"/>
                <w:sz w:val="21"/>
              </w:rPr>
            </w:pPr>
          </w:p>
        </w:tc>
        <w:tc>
          <w:tcPr>
            <w:tcW w:w="829" w:type="dxa"/>
            <w:vAlign w:val="top"/>
          </w:tcPr>
          <w:p w14:paraId="48E3DA53">
            <w:pPr>
              <w:rPr>
                <w:rFonts w:ascii="Arial"/>
                <w:sz w:val="21"/>
              </w:rPr>
            </w:pPr>
          </w:p>
        </w:tc>
        <w:tc>
          <w:tcPr>
            <w:tcW w:w="819" w:type="dxa"/>
            <w:vAlign w:val="top"/>
          </w:tcPr>
          <w:p w14:paraId="691F2CFE">
            <w:pPr>
              <w:rPr>
                <w:rFonts w:ascii="Arial"/>
                <w:sz w:val="21"/>
              </w:rPr>
            </w:pPr>
          </w:p>
        </w:tc>
        <w:tc>
          <w:tcPr>
            <w:tcW w:w="805" w:type="dxa"/>
            <w:vAlign w:val="top"/>
          </w:tcPr>
          <w:p w14:paraId="3E559416">
            <w:pPr>
              <w:rPr>
                <w:rFonts w:ascii="Arial"/>
                <w:sz w:val="21"/>
              </w:rPr>
            </w:pPr>
          </w:p>
        </w:tc>
      </w:tr>
      <w:tr w14:paraId="4471C3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4" w:hRule="atLeast"/>
        </w:trPr>
        <w:tc>
          <w:tcPr>
            <w:tcW w:w="515" w:type="dxa"/>
            <w:vAlign w:val="top"/>
          </w:tcPr>
          <w:p w14:paraId="11B47EE7">
            <w:pPr>
              <w:pStyle w:val="6"/>
              <w:spacing w:before="267"/>
              <w:ind w:left="195"/>
            </w:pPr>
            <w:r>
              <w:t>6</w:t>
            </w:r>
          </w:p>
        </w:tc>
        <w:tc>
          <w:tcPr>
            <w:tcW w:w="1519" w:type="dxa"/>
            <w:vAlign w:val="top"/>
          </w:tcPr>
          <w:p w14:paraId="4348B831">
            <w:pPr>
              <w:pStyle w:val="6"/>
              <w:spacing w:before="246" w:line="219" w:lineRule="auto"/>
              <w:ind w:left="540"/>
            </w:pPr>
            <w:r>
              <w:rPr>
                <w:spacing w:val="-3"/>
              </w:rPr>
              <w:t>信誉</w:t>
            </w:r>
          </w:p>
        </w:tc>
        <w:tc>
          <w:tcPr>
            <w:tcW w:w="2009" w:type="dxa"/>
            <w:vAlign w:val="top"/>
          </w:tcPr>
          <w:p w14:paraId="45B6B7C1">
            <w:pPr>
              <w:pStyle w:val="6"/>
              <w:spacing w:before="116" w:line="245" w:lineRule="auto"/>
              <w:ind w:left="351" w:right="46" w:hanging="100"/>
            </w:pPr>
            <w:r>
              <w:rPr>
                <w:spacing w:val="-2"/>
              </w:rPr>
              <w:t>符合第二章“投标</w:t>
            </w:r>
            <w:r>
              <w:rPr>
                <w:spacing w:val="5"/>
              </w:rPr>
              <w:t xml:space="preserve"> </w:t>
            </w:r>
            <w:r>
              <w:rPr>
                <w:spacing w:val="2"/>
              </w:rPr>
              <w:t>人须知”第1.4.1</w:t>
            </w:r>
          </w:p>
        </w:tc>
        <w:tc>
          <w:tcPr>
            <w:tcW w:w="2368" w:type="dxa"/>
            <w:vAlign w:val="top"/>
          </w:tcPr>
          <w:p w14:paraId="3042DAEE">
            <w:pPr>
              <w:pStyle w:val="6"/>
              <w:spacing w:before="96" w:line="254" w:lineRule="auto"/>
              <w:ind w:left="231" w:right="122" w:hanging="109"/>
            </w:pPr>
            <w:r>
              <w:rPr>
                <w:spacing w:val="1"/>
              </w:rPr>
              <w:t>投标人的“企业信誉声</w:t>
            </w:r>
            <w:r>
              <w:rPr>
                <w:spacing w:val="2"/>
              </w:rPr>
              <w:t xml:space="preserve"> </w:t>
            </w:r>
            <w:r>
              <w:t>明”及相关证明材料</w:t>
            </w:r>
          </w:p>
        </w:tc>
        <w:tc>
          <w:tcPr>
            <w:tcW w:w="799" w:type="dxa"/>
            <w:vAlign w:val="top"/>
          </w:tcPr>
          <w:p w14:paraId="3AB3EAA1">
            <w:pPr>
              <w:rPr>
                <w:rFonts w:ascii="Arial"/>
                <w:sz w:val="21"/>
              </w:rPr>
            </w:pPr>
          </w:p>
        </w:tc>
        <w:tc>
          <w:tcPr>
            <w:tcW w:w="830" w:type="dxa"/>
            <w:vAlign w:val="top"/>
          </w:tcPr>
          <w:p w14:paraId="1E99F508">
            <w:pPr>
              <w:rPr>
                <w:rFonts w:ascii="Arial"/>
                <w:sz w:val="21"/>
              </w:rPr>
            </w:pPr>
          </w:p>
        </w:tc>
        <w:tc>
          <w:tcPr>
            <w:tcW w:w="799" w:type="dxa"/>
            <w:vAlign w:val="top"/>
          </w:tcPr>
          <w:p w14:paraId="24EE8402">
            <w:pPr>
              <w:rPr>
                <w:rFonts w:ascii="Arial"/>
                <w:sz w:val="21"/>
              </w:rPr>
            </w:pPr>
          </w:p>
        </w:tc>
        <w:tc>
          <w:tcPr>
            <w:tcW w:w="830" w:type="dxa"/>
            <w:vAlign w:val="top"/>
          </w:tcPr>
          <w:p w14:paraId="71B0FB0E">
            <w:pPr>
              <w:rPr>
                <w:rFonts w:ascii="Arial"/>
                <w:sz w:val="21"/>
              </w:rPr>
            </w:pPr>
          </w:p>
        </w:tc>
        <w:tc>
          <w:tcPr>
            <w:tcW w:w="829" w:type="dxa"/>
            <w:vAlign w:val="top"/>
          </w:tcPr>
          <w:p w14:paraId="5AC7DDD2">
            <w:pPr>
              <w:rPr>
                <w:rFonts w:ascii="Arial"/>
                <w:sz w:val="21"/>
              </w:rPr>
            </w:pPr>
          </w:p>
        </w:tc>
        <w:tc>
          <w:tcPr>
            <w:tcW w:w="789" w:type="dxa"/>
            <w:vAlign w:val="top"/>
          </w:tcPr>
          <w:p w14:paraId="26E7861D">
            <w:pPr>
              <w:rPr>
                <w:rFonts w:ascii="Arial"/>
                <w:sz w:val="21"/>
              </w:rPr>
            </w:pPr>
          </w:p>
        </w:tc>
        <w:tc>
          <w:tcPr>
            <w:tcW w:w="829" w:type="dxa"/>
            <w:vAlign w:val="top"/>
          </w:tcPr>
          <w:p w14:paraId="4F01C970">
            <w:pPr>
              <w:rPr>
                <w:rFonts w:ascii="Arial"/>
                <w:sz w:val="21"/>
              </w:rPr>
            </w:pPr>
          </w:p>
        </w:tc>
        <w:tc>
          <w:tcPr>
            <w:tcW w:w="819" w:type="dxa"/>
            <w:vAlign w:val="top"/>
          </w:tcPr>
          <w:p w14:paraId="240689D8">
            <w:pPr>
              <w:rPr>
                <w:rFonts w:ascii="Arial"/>
                <w:sz w:val="21"/>
              </w:rPr>
            </w:pPr>
          </w:p>
        </w:tc>
        <w:tc>
          <w:tcPr>
            <w:tcW w:w="805" w:type="dxa"/>
            <w:vAlign w:val="top"/>
          </w:tcPr>
          <w:p w14:paraId="6DAE5EFA">
            <w:pPr>
              <w:rPr>
                <w:rFonts w:ascii="Arial"/>
                <w:sz w:val="21"/>
              </w:rPr>
            </w:pPr>
          </w:p>
        </w:tc>
      </w:tr>
    </w:tbl>
    <w:p w14:paraId="38C98B1A">
      <w:pPr>
        <w:rPr>
          <w:rFonts w:ascii="Arial"/>
          <w:sz w:val="21"/>
        </w:rPr>
      </w:pPr>
    </w:p>
    <w:p w14:paraId="3CAA9869">
      <w:pPr>
        <w:rPr>
          <w:rFonts w:ascii="Arial" w:hAnsi="Arial" w:eastAsia="Arial" w:cs="Arial"/>
          <w:sz w:val="21"/>
          <w:szCs w:val="21"/>
        </w:rPr>
        <w:sectPr>
          <w:footerReference r:id="rId78" w:type="default"/>
          <w:pgSz w:w="16840" w:h="11910"/>
          <w:pgMar w:top="1012" w:right="1514" w:bottom="978" w:left="1574" w:header="0" w:footer="825" w:gutter="0"/>
          <w:cols w:space="720" w:num="1"/>
        </w:sectPr>
      </w:pPr>
    </w:p>
    <w:p w14:paraId="2C9C93CA">
      <w:pPr>
        <w:spacing w:before="20"/>
      </w:pPr>
    </w:p>
    <w:p w14:paraId="7D90B5B5">
      <w:pPr>
        <w:spacing w:before="19"/>
      </w:pPr>
    </w:p>
    <w:tbl>
      <w:tblPr>
        <w:tblStyle w:val="5"/>
        <w:tblW w:w="1382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15"/>
        <w:gridCol w:w="1549"/>
        <w:gridCol w:w="2009"/>
        <w:gridCol w:w="2358"/>
        <w:gridCol w:w="799"/>
        <w:gridCol w:w="280"/>
        <w:gridCol w:w="550"/>
        <w:gridCol w:w="230"/>
        <w:gridCol w:w="570"/>
        <w:gridCol w:w="220"/>
        <w:gridCol w:w="629"/>
        <w:gridCol w:w="160"/>
        <w:gridCol w:w="650"/>
        <w:gridCol w:w="140"/>
        <w:gridCol w:w="669"/>
        <w:gridCol w:w="110"/>
        <w:gridCol w:w="789"/>
        <w:gridCol w:w="809"/>
        <w:gridCol w:w="784"/>
      </w:tblGrid>
      <w:tr w14:paraId="6BE621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515" w:type="dxa"/>
            <w:vAlign w:val="top"/>
          </w:tcPr>
          <w:p w14:paraId="20CD1E95">
            <w:pPr>
              <w:rPr>
                <w:rFonts w:ascii="Arial"/>
                <w:sz w:val="21"/>
              </w:rPr>
            </w:pPr>
          </w:p>
        </w:tc>
        <w:tc>
          <w:tcPr>
            <w:tcW w:w="1549" w:type="dxa"/>
            <w:vAlign w:val="top"/>
          </w:tcPr>
          <w:p w14:paraId="014A8516">
            <w:pPr>
              <w:rPr>
                <w:rFonts w:ascii="Arial"/>
                <w:sz w:val="21"/>
              </w:rPr>
            </w:pPr>
          </w:p>
        </w:tc>
        <w:tc>
          <w:tcPr>
            <w:tcW w:w="2009" w:type="dxa"/>
            <w:vAlign w:val="top"/>
          </w:tcPr>
          <w:p w14:paraId="04BAE0CD">
            <w:pPr>
              <w:pStyle w:val="6"/>
              <w:spacing w:before="24" w:line="220" w:lineRule="auto"/>
              <w:ind w:left="121"/>
            </w:pPr>
            <w:r>
              <w:rPr>
                <w:spacing w:val="4"/>
              </w:rPr>
              <w:t>项规定</w:t>
            </w:r>
          </w:p>
        </w:tc>
        <w:tc>
          <w:tcPr>
            <w:tcW w:w="2358" w:type="dxa"/>
            <w:vAlign w:val="top"/>
          </w:tcPr>
          <w:p w14:paraId="028038D6">
            <w:pPr>
              <w:rPr>
                <w:rFonts w:ascii="Arial"/>
                <w:sz w:val="21"/>
              </w:rPr>
            </w:pPr>
          </w:p>
        </w:tc>
        <w:tc>
          <w:tcPr>
            <w:tcW w:w="799" w:type="dxa"/>
            <w:vAlign w:val="top"/>
          </w:tcPr>
          <w:p w14:paraId="7D9E8656">
            <w:pPr>
              <w:rPr>
                <w:rFonts w:ascii="Arial"/>
                <w:sz w:val="21"/>
              </w:rPr>
            </w:pPr>
          </w:p>
        </w:tc>
        <w:tc>
          <w:tcPr>
            <w:tcW w:w="830" w:type="dxa"/>
            <w:gridSpan w:val="2"/>
            <w:vAlign w:val="top"/>
          </w:tcPr>
          <w:p w14:paraId="3CF32102">
            <w:pPr>
              <w:rPr>
                <w:rFonts w:ascii="Arial"/>
                <w:sz w:val="21"/>
              </w:rPr>
            </w:pPr>
          </w:p>
        </w:tc>
        <w:tc>
          <w:tcPr>
            <w:tcW w:w="800" w:type="dxa"/>
            <w:gridSpan w:val="2"/>
            <w:vAlign w:val="top"/>
          </w:tcPr>
          <w:p w14:paraId="24BF2D2B">
            <w:pPr>
              <w:rPr>
                <w:rFonts w:ascii="Arial"/>
                <w:sz w:val="21"/>
              </w:rPr>
            </w:pPr>
          </w:p>
        </w:tc>
        <w:tc>
          <w:tcPr>
            <w:tcW w:w="849" w:type="dxa"/>
            <w:gridSpan w:val="2"/>
            <w:vAlign w:val="top"/>
          </w:tcPr>
          <w:p w14:paraId="34D58026">
            <w:pPr>
              <w:rPr>
                <w:rFonts w:ascii="Arial"/>
                <w:sz w:val="21"/>
              </w:rPr>
            </w:pPr>
          </w:p>
        </w:tc>
        <w:tc>
          <w:tcPr>
            <w:tcW w:w="810" w:type="dxa"/>
            <w:gridSpan w:val="2"/>
            <w:vAlign w:val="top"/>
          </w:tcPr>
          <w:p w14:paraId="3B15103B">
            <w:pPr>
              <w:rPr>
                <w:rFonts w:ascii="Arial"/>
                <w:sz w:val="21"/>
              </w:rPr>
            </w:pPr>
          </w:p>
        </w:tc>
        <w:tc>
          <w:tcPr>
            <w:tcW w:w="809" w:type="dxa"/>
            <w:gridSpan w:val="2"/>
            <w:vAlign w:val="top"/>
          </w:tcPr>
          <w:p w14:paraId="08AFC4F2">
            <w:pPr>
              <w:rPr>
                <w:rFonts w:ascii="Arial"/>
                <w:sz w:val="21"/>
              </w:rPr>
            </w:pPr>
          </w:p>
        </w:tc>
        <w:tc>
          <w:tcPr>
            <w:tcW w:w="899" w:type="dxa"/>
            <w:gridSpan w:val="2"/>
            <w:vAlign w:val="top"/>
          </w:tcPr>
          <w:p w14:paraId="60AEE401">
            <w:pPr>
              <w:rPr>
                <w:rFonts w:ascii="Arial"/>
                <w:sz w:val="21"/>
              </w:rPr>
            </w:pPr>
          </w:p>
        </w:tc>
        <w:tc>
          <w:tcPr>
            <w:tcW w:w="809" w:type="dxa"/>
            <w:vAlign w:val="top"/>
          </w:tcPr>
          <w:p w14:paraId="038F5BB9">
            <w:pPr>
              <w:rPr>
                <w:rFonts w:ascii="Arial"/>
                <w:sz w:val="21"/>
              </w:rPr>
            </w:pPr>
          </w:p>
        </w:tc>
        <w:tc>
          <w:tcPr>
            <w:tcW w:w="784" w:type="dxa"/>
            <w:vAlign w:val="top"/>
          </w:tcPr>
          <w:p w14:paraId="31D9BFC2">
            <w:pPr>
              <w:rPr>
                <w:rFonts w:ascii="Arial"/>
                <w:sz w:val="21"/>
              </w:rPr>
            </w:pPr>
          </w:p>
        </w:tc>
      </w:tr>
      <w:tr w14:paraId="5E3D60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16" w:hRule="atLeast"/>
        </w:trPr>
        <w:tc>
          <w:tcPr>
            <w:tcW w:w="515" w:type="dxa"/>
            <w:vAlign w:val="top"/>
          </w:tcPr>
          <w:p w14:paraId="5E45887F">
            <w:pPr>
              <w:rPr>
                <w:rFonts w:ascii="Arial"/>
                <w:sz w:val="21"/>
              </w:rPr>
            </w:pPr>
          </w:p>
          <w:p w14:paraId="07948A08">
            <w:pPr>
              <w:spacing w:line="241" w:lineRule="auto"/>
              <w:rPr>
                <w:rFonts w:ascii="Arial"/>
                <w:sz w:val="21"/>
              </w:rPr>
            </w:pPr>
          </w:p>
          <w:p w14:paraId="23BABF53">
            <w:pPr>
              <w:spacing w:line="241" w:lineRule="auto"/>
              <w:rPr>
                <w:rFonts w:ascii="Arial"/>
                <w:sz w:val="21"/>
              </w:rPr>
            </w:pPr>
          </w:p>
          <w:p w14:paraId="791531A2">
            <w:pPr>
              <w:spacing w:line="241" w:lineRule="auto"/>
              <w:rPr>
                <w:rFonts w:ascii="Arial"/>
                <w:sz w:val="21"/>
              </w:rPr>
            </w:pPr>
          </w:p>
          <w:p w14:paraId="133DD94D">
            <w:pPr>
              <w:spacing w:line="241" w:lineRule="auto"/>
              <w:rPr>
                <w:rFonts w:ascii="Arial"/>
                <w:sz w:val="21"/>
              </w:rPr>
            </w:pPr>
          </w:p>
          <w:p w14:paraId="6A016379">
            <w:pPr>
              <w:pStyle w:val="6"/>
              <w:spacing w:before="68"/>
              <w:ind w:left="195"/>
            </w:pPr>
            <w:r>
              <w:t>7</w:t>
            </w:r>
          </w:p>
        </w:tc>
        <w:tc>
          <w:tcPr>
            <w:tcW w:w="1549" w:type="dxa"/>
            <w:vAlign w:val="top"/>
          </w:tcPr>
          <w:p w14:paraId="3F5DF56A">
            <w:pPr>
              <w:spacing w:line="296" w:lineRule="auto"/>
              <w:rPr>
                <w:rFonts w:ascii="Arial"/>
                <w:sz w:val="21"/>
              </w:rPr>
            </w:pPr>
          </w:p>
          <w:p w14:paraId="35FA7384">
            <w:pPr>
              <w:spacing w:line="296" w:lineRule="auto"/>
              <w:rPr>
                <w:rFonts w:ascii="Arial"/>
                <w:sz w:val="21"/>
              </w:rPr>
            </w:pPr>
          </w:p>
          <w:p w14:paraId="2D1DC4ED">
            <w:pPr>
              <w:spacing w:line="296" w:lineRule="auto"/>
              <w:rPr>
                <w:rFonts w:ascii="Arial"/>
                <w:sz w:val="21"/>
              </w:rPr>
            </w:pPr>
          </w:p>
          <w:p w14:paraId="0692AC69">
            <w:pPr>
              <w:spacing w:line="296" w:lineRule="auto"/>
              <w:rPr>
                <w:rFonts w:ascii="Arial"/>
                <w:sz w:val="21"/>
              </w:rPr>
            </w:pPr>
          </w:p>
          <w:p w14:paraId="681EA629">
            <w:pPr>
              <w:pStyle w:val="6"/>
              <w:spacing w:before="69" w:line="220" w:lineRule="auto"/>
              <w:ind w:left="340"/>
            </w:pPr>
            <w:r>
              <w:rPr>
                <w:spacing w:val="-3"/>
              </w:rPr>
              <w:t>项目经理</w:t>
            </w:r>
          </w:p>
        </w:tc>
        <w:tc>
          <w:tcPr>
            <w:tcW w:w="2009" w:type="dxa"/>
            <w:vAlign w:val="top"/>
          </w:tcPr>
          <w:p w14:paraId="6CFF0234">
            <w:pPr>
              <w:spacing w:line="301" w:lineRule="auto"/>
              <w:rPr>
                <w:rFonts w:ascii="Arial"/>
                <w:sz w:val="21"/>
              </w:rPr>
            </w:pPr>
          </w:p>
          <w:p w14:paraId="5310245E">
            <w:pPr>
              <w:spacing w:line="301" w:lineRule="auto"/>
              <w:rPr>
                <w:rFonts w:ascii="Arial"/>
                <w:sz w:val="21"/>
              </w:rPr>
            </w:pPr>
          </w:p>
          <w:p w14:paraId="5807CC41">
            <w:pPr>
              <w:spacing w:line="301" w:lineRule="auto"/>
              <w:rPr>
                <w:rFonts w:ascii="Arial"/>
                <w:sz w:val="21"/>
              </w:rPr>
            </w:pPr>
          </w:p>
          <w:p w14:paraId="79B7F336">
            <w:pPr>
              <w:pStyle w:val="6"/>
              <w:spacing w:before="68"/>
              <w:ind w:left="121" w:right="187" w:firstLine="20"/>
              <w:jc w:val="both"/>
            </w:pPr>
            <w:r>
              <w:rPr>
                <w:spacing w:val="-2"/>
              </w:rPr>
              <w:t>符合第二章“投标</w:t>
            </w:r>
            <w:r>
              <w:rPr>
                <w:spacing w:val="5"/>
              </w:rPr>
              <w:t xml:space="preserve"> </w:t>
            </w:r>
            <w:r>
              <w:rPr>
                <w:spacing w:val="3"/>
              </w:rPr>
              <w:t>人须知”第1.4.1</w:t>
            </w:r>
            <w:r>
              <w:rPr>
                <w:spacing w:val="5"/>
              </w:rPr>
              <w:t xml:space="preserve"> </w:t>
            </w:r>
            <w:r>
              <w:rPr>
                <w:spacing w:val="4"/>
              </w:rPr>
              <w:t>项规定</w:t>
            </w:r>
          </w:p>
        </w:tc>
        <w:tc>
          <w:tcPr>
            <w:tcW w:w="2358" w:type="dxa"/>
            <w:vAlign w:val="top"/>
          </w:tcPr>
          <w:p w14:paraId="58BAD9BE">
            <w:pPr>
              <w:pStyle w:val="6"/>
              <w:spacing w:before="27" w:line="236" w:lineRule="auto"/>
              <w:ind w:left="122" w:right="102"/>
              <w:jc w:val="both"/>
            </w:pPr>
            <w:r>
              <w:rPr>
                <w:spacing w:val="2"/>
              </w:rPr>
              <w:t xml:space="preserve">住房城乡建设主管部门 </w:t>
            </w:r>
            <w:r>
              <w:rPr>
                <w:spacing w:val="-2"/>
              </w:rPr>
              <w:t>核发的建造师执业资格</w:t>
            </w:r>
            <w:r>
              <w:rPr>
                <w:spacing w:val="8"/>
              </w:rPr>
              <w:t xml:space="preserve"> </w:t>
            </w:r>
            <w:r>
              <w:rPr>
                <w:spacing w:val="-1"/>
              </w:rPr>
              <w:t>证书、注册证书和有效</w:t>
            </w:r>
            <w:r>
              <w:t xml:space="preserve"> 的安全生产考核合格证</w:t>
            </w:r>
            <w:r>
              <w:rPr>
                <w:spacing w:val="7"/>
              </w:rPr>
              <w:t xml:space="preserve"> </w:t>
            </w:r>
            <w:r>
              <w:rPr>
                <w:spacing w:val="36"/>
              </w:rPr>
              <w:t>书(B证)扫描件</w:t>
            </w:r>
          </w:p>
          <w:p w14:paraId="5ED4D4D9">
            <w:pPr>
              <w:pStyle w:val="6"/>
              <w:spacing w:before="5" w:line="234" w:lineRule="auto"/>
              <w:ind w:left="122" w:right="112"/>
              <w:jc w:val="both"/>
            </w:pPr>
            <w:r>
              <w:t>由投标人的法定代表人</w:t>
            </w:r>
            <w:r>
              <w:rPr>
                <w:spacing w:val="8"/>
              </w:rPr>
              <w:t xml:space="preserve"> </w:t>
            </w:r>
            <w:r>
              <w:rPr>
                <w:spacing w:val="-1"/>
              </w:rPr>
              <w:t>签字并加盖单位章的未</w:t>
            </w:r>
            <w:r>
              <w:t xml:space="preserve"> </w:t>
            </w:r>
            <w:r>
              <w:rPr>
                <w:spacing w:val="1"/>
              </w:rPr>
              <w:t xml:space="preserve">在其他在施建设工程项 </w:t>
            </w:r>
            <w:r>
              <w:t>目担任项目经理的书面</w:t>
            </w:r>
            <w:r>
              <w:rPr>
                <w:spacing w:val="7"/>
              </w:rPr>
              <w:t xml:space="preserve"> </w:t>
            </w:r>
            <w:r>
              <w:rPr>
                <w:spacing w:val="-3"/>
              </w:rPr>
              <w:t>承诺</w:t>
            </w:r>
          </w:p>
        </w:tc>
        <w:tc>
          <w:tcPr>
            <w:tcW w:w="799" w:type="dxa"/>
            <w:vAlign w:val="top"/>
          </w:tcPr>
          <w:p w14:paraId="4833A2E4">
            <w:pPr>
              <w:rPr>
                <w:rFonts w:ascii="Arial"/>
                <w:sz w:val="21"/>
              </w:rPr>
            </w:pPr>
          </w:p>
        </w:tc>
        <w:tc>
          <w:tcPr>
            <w:tcW w:w="830" w:type="dxa"/>
            <w:gridSpan w:val="2"/>
            <w:vAlign w:val="top"/>
          </w:tcPr>
          <w:p w14:paraId="6766BAE1">
            <w:pPr>
              <w:rPr>
                <w:rFonts w:ascii="Arial"/>
                <w:sz w:val="21"/>
              </w:rPr>
            </w:pPr>
          </w:p>
        </w:tc>
        <w:tc>
          <w:tcPr>
            <w:tcW w:w="800" w:type="dxa"/>
            <w:gridSpan w:val="2"/>
            <w:vAlign w:val="top"/>
          </w:tcPr>
          <w:p w14:paraId="3E779247">
            <w:pPr>
              <w:rPr>
                <w:rFonts w:ascii="Arial"/>
                <w:sz w:val="21"/>
              </w:rPr>
            </w:pPr>
          </w:p>
        </w:tc>
        <w:tc>
          <w:tcPr>
            <w:tcW w:w="849" w:type="dxa"/>
            <w:gridSpan w:val="2"/>
            <w:vAlign w:val="top"/>
          </w:tcPr>
          <w:p w14:paraId="402E2444">
            <w:pPr>
              <w:rPr>
                <w:rFonts w:ascii="Arial"/>
                <w:sz w:val="21"/>
              </w:rPr>
            </w:pPr>
          </w:p>
        </w:tc>
        <w:tc>
          <w:tcPr>
            <w:tcW w:w="810" w:type="dxa"/>
            <w:gridSpan w:val="2"/>
            <w:vAlign w:val="top"/>
          </w:tcPr>
          <w:p w14:paraId="3E8AF9F7">
            <w:pPr>
              <w:rPr>
                <w:rFonts w:ascii="Arial"/>
                <w:sz w:val="21"/>
              </w:rPr>
            </w:pPr>
          </w:p>
        </w:tc>
        <w:tc>
          <w:tcPr>
            <w:tcW w:w="809" w:type="dxa"/>
            <w:gridSpan w:val="2"/>
            <w:vAlign w:val="top"/>
          </w:tcPr>
          <w:p w14:paraId="0A938B0F">
            <w:pPr>
              <w:rPr>
                <w:rFonts w:ascii="Arial"/>
                <w:sz w:val="21"/>
              </w:rPr>
            </w:pPr>
          </w:p>
        </w:tc>
        <w:tc>
          <w:tcPr>
            <w:tcW w:w="899" w:type="dxa"/>
            <w:gridSpan w:val="2"/>
            <w:vAlign w:val="top"/>
          </w:tcPr>
          <w:p w14:paraId="45C2682C">
            <w:pPr>
              <w:rPr>
                <w:rFonts w:ascii="Arial"/>
                <w:sz w:val="21"/>
              </w:rPr>
            </w:pPr>
          </w:p>
        </w:tc>
        <w:tc>
          <w:tcPr>
            <w:tcW w:w="809" w:type="dxa"/>
            <w:vAlign w:val="top"/>
          </w:tcPr>
          <w:p w14:paraId="77777C49">
            <w:pPr>
              <w:rPr>
                <w:rFonts w:ascii="Arial"/>
                <w:sz w:val="21"/>
              </w:rPr>
            </w:pPr>
          </w:p>
        </w:tc>
        <w:tc>
          <w:tcPr>
            <w:tcW w:w="784" w:type="dxa"/>
            <w:vAlign w:val="top"/>
          </w:tcPr>
          <w:p w14:paraId="04CD8641">
            <w:pPr>
              <w:rPr>
                <w:rFonts w:ascii="Arial"/>
                <w:sz w:val="21"/>
              </w:rPr>
            </w:pPr>
          </w:p>
        </w:tc>
      </w:tr>
      <w:tr w14:paraId="0539C6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9" w:hRule="atLeast"/>
        </w:trPr>
        <w:tc>
          <w:tcPr>
            <w:tcW w:w="515" w:type="dxa"/>
            <w:vAlign w:val="top"/>
          </w:tcPr>
          <w:p w14:paraId="0B3B0B05">
            <w:pPr>
              <w:spacing w:line="244" w:lineRule="auto"/>
              <w:rPr>
                <w:rFonts w:ascii="Arial"/>
                <w:sz w:val="21"/>
              </w:rPr>
            </w:pPr>
          </w:p>
          <w:p w14:paraId="6008CF4C">
            <w:pPr>
              <w:pStyle w:val="6"/>
              <w:spacing w:before="68"/>
              <w:ind w:left="195"/>
            </w:pPr>
            <w:r>
              <w:t>8</w:t>
            </w:r>
          </w:p>
        </w:tc>
        <w:tc>
          <w:tcPr>
            <w:tcW w:w="1549" w:type="dxa"/>
            <w:vAlign w:val="top"/>
          </w:tcPr>
          <w:p w14:paraId="27C9B62C">
            <w:pPr>
              <w:pStyle w:val="6"/>
              <w:spacing w:before="294" w:line="220" w:lineRule="auto"/>
              <w:ind w:left="340"/>
            </w:pPr>
            <w:r>
              <w:rPr>
                <w:spacing w:val="-2"/>
              </w:rPr>
              <w:t>其他要求</w:t>
            </w:r>
          </w:p>
        </w:tc>
        <w:tc>
          <w:tcPr>
            <w:tcW w:w="2009" w:type="dxa"/>
            <w:vAlign w:val="top"/>
          </w:tcPr>
          <w:p w14:paraId="27F946C8">
            <w:pPr>
              <w:pStyle w:val="6"/>
              <w:spacing w:before="21" w:line="222" w:lineRule="auto"/>
              <w:ind w:left="121" w:right="187" w:firstLine="20"/>
              <w:jc w:val="both"/>
            </w:pPr>
            <w:r>
              <w:rPr>
                <w:spacing w:val="-2"/>
              </w:rPr>
              <w:t>符合第二章“投标</w:t>
            </w:r>
            <w:r>
              <w:rPr>
                <w:spacing w:val="5"/>
              </w:rPr>
              <w:t xml:space="preserve"> </w:t>
            </w:r>
            <w:r>
              <w:rPr>
                <w:spacing w:val="1"/>
              </w:rPr>
              <w:t>人须知”第1.4.1</w:t>
            </w:r>
            <w:r>
              <w:rPr>
                <w:spacing w:val="2"/>
              </w:rPr>
              <w:t xml:space="preserve">  </w:t>
            </w:r>
            <w:r>
              <w:rPr>
                <w:spacing w:val="4"/>
              </w:rPr>
              <w:t>项规定</w:t>
            </w:r>
          </w:p>
        </w:tc>
        <w:tc>
          <w:tcPr>
            <w:tcW w:w="2358" w:type="dxa"/>
            <w:vAlign w:val="top"/>
          </w:tcPr>
          <w:p w14:paraId="105968BD">
            <w:pPr>
              <w:rPr>
                <w:rFonts w:ascii="Arial"/>
                <w:sz w:val="21"/>
              </w:rPr>
            </w:pPr>
          </w:p>
        </w:tc>
        <w:tc>
          <w:tcPr>
            <w:tcW w:w="799" w:type="dxa"/>
            <w:vAlign w:val="top"/>
          </w:tcPr>
          <w:p w14:paraId="4BB56DAA">
            <w:pPr>
              <w:rPr>
                <w:rFonts w:ascii="Arial"/>
                <w:sz w:val="21"/>
              </w:rPr>
            </w:pPr>
          </w:p>
        </w:tc>
        <w:tc>
          <w:tcPr>
            <w:tcW w:w="830" w:type="dxa"/>
            <w:gridSpan w:val="2"/>
            <w:vAlign w:val="top"/>
          </w:tcPr>
          <w:p w14:paraId="2591FBF8">
            <w:pPr>
              <w:rPr>
                <w:rFonts w:ascii="Arial"/>
                <w:sz w:val="21"/>
              </w:rPr>
            </w:pPr>
          </w:p>
        </w:tc>
        <w:tc>
          <w:tcPr>
            <w:tcW w:w="800" w:type="dxa"/>
            <w:gridSpan w:val="2"/>
            <w:vAlign w:val="top"/>
          </w:tcPr>
          <w:p w14:paraId="1F65230E">
            <w:pPr>
              <w:rPr>
                <w:rFonts w:ascii="Arial"/>
                <w:sz w:val="21"/>
              </w:rPr>
            </w:pPr>
          </w:p>
        </w:tc>
        <w:tc>
          <w:tcPr>
            <w:tcW w:w="849" w:type="dxa"/>
            <w:gridSpan w:val="2"/>
            <w:vAlign w:val="top"/>
          </w:tcPr>
          <w:p w14:paraId="417C7E31">
            <w:pPr>
              <w:rPr>
                <w:rFonts w:ascii="Arial"/>
                <w:sz w:val="21"/>
              </w:rPr>
            </w:pPr>
          </w:p>
        </w:tc>
        <w:tc>
          <w:tcPr>
            <w:tcW w:w="810" w:type="dxa"/>
            <w:gridSpan w:val="2"/>
            <w:vAlign w:val="top"/>
          </w:tcPr>
          <w:p w14:paraId="594E3F84">
            <w:pPr>
              <w:rPr>
                <w:rFonts w:ascii="Arial"/>
                <w:sz w:val="21"/>
              </w:rPr>
            </w:pPr>
          </w:p>
        </w:tc>
        <w:tc>
          <w:tcPr>
            <w:tcW w:w="809" w:type="dxa"/>
            <w:gridSpan w:val="2"/>
            <w:vAlign w:val="top"/>
          </w:tcPr>
          <w:p w14:paraId="3959CE8E">
            <w:pPr>
              <w:rPr>
                <w:rFonts w:ascii="Arial"/>
                <w:sz w:val="21"/>
              </w:rPr>
            </w:pPr>
          </w:p>
        </w:tc>
        <w:tc>
          <w:tcPr>
            <w:tcW w:w="899" w:type="dxa"/>
            <w:gridSpan w:val="2"/>
            <w:vAlign w:val="top"/>
          </w:tcPr>
          <w:p w14:paraId="57FB875B">
            <w:pPr>
              <w:rPr>
                <w:rFonts w:ascii="Arial"/>
                <w:sz w:val="21"/>
              </w:rPr>
            </w:pPr>
          </w:p>
        </w:tc>
        <w:tc>
          <w:tcPr>
            <w:tcW w:w="809" w:type="dxa"/>
            <w:vAlign w:val="top"/>
          </w:tcPr>
          <w:p w14:paraId="23885F61">
            <w:pPr>
              <w:rPr>
                <w:rFonts w:ascii="Arial"/>
                <w:sz w:val="21"/>
              </w:rPr>
            </w:pPr>
          </w:p>
        </w:tc>
        <w:tc>
          <w:tcPr>
            <w:tcW w:w="784" w:type="dxa"/>
            <w:vAlign w:val="top"/>
          </w:tcPr>
          <w:p w14:paraId="7E31A867">
            <w:pPr>
              <w:rPr>
                <w:rFonts w:ascii="Arial"/>
                <w:sz w:val="21"/>
              </w:rPr>
            </w:pPr>
          </w:p>
        </w:tc>
      </w:tr>
      <w:tr w14:paraId="4EA63E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18" w:hRule="atLeast"/>
        </w:trPr>
        <w:tc>
          <w:tcPr>
            <w:tcW w:w="515" w:type="dxa"/>
            <w:vAlign w:val="top"/>
          </w:tcPr>
          <w:p w14:paraId="5544D2A6">
            <w:pPr>
              <w:spacing w:line="414" w:lineRule="auto"/>
              <w:rPr>
                <w:rFonts w:ascii="Arial"/>
                <w:sz w:val="21"/>
              </w:rPr>
            </w:pPr>
          </w:p>
          <w:p w14:paraId="180F8783">
            <w:pPr>
              <w:pStyle w:val="6"/>
              <w:spacing w:before="68"/>
              <w:ind w:left="195"/>
            </w:pPr>
            <w:r>
              <w:t>9</w:t>
            </w:r>
          </w:p>
        </w:tc>
        <w:tc>
          <w:tcPr>
            <w:tcW w:w="1549" w:type="dxa"/>
            <w:vAlign w:val="top"/>
          </w:tcPr>
          <w:p w14:paraId="43F5333C">
            <w:pPr>
              <w:pStyle w:val="6"/>
              <w:spacing w:before="196" w:line="234" w:lineRule="auto"/>
              <w:ind w:left="449" w:right="413"/>
              <w:jc w:val="both"/>
            </w:pPr>
            <w:r>
              <w:rPr>
                <w:spacing w:val="-4"/>
              </w:rPr>
              <w:t>联合体</w:t>
            </w:r>
            <w:r>
              <w:rPr>
                <w:spacing w:val="1"/>
              </w:rPr>
              <w:t xml:space="preserve"> </w:t>
            </w:r>
            <w:r>
              <w:rPr>
                <w:spacing w:val="-4"/>
              </w:rPr>
              <w:t>投标人</w:t>
            </w:r>
            <w:r>
              <w:t xml:space="preserve"> </w:t>
            </w:r>
            <w:r>
              <w:rPr>
                <w:spacing w:val="11"/>
              </w:rPr>
              <w:t>(如有)</w:t>
            </w:r>
          </w:p>
        </w:tc>
        <w:tc>
          <w:tcPr>
            <w:tcW w:w="2009" w:type="dxa"/>
            <w:vAlign w:val="top"/>
          </w:tcPr>
          <w:p w14:paraId="7026C71B">
            <w:pPr>
              <w:pStyle w:val="6"/>
              <w:spacing w:before="183" w:line="244" w:lineRule="auto"/>
              <w:ind w:left="121" w:right="197" w:firstLine="9"/>
              <w:jc w:val="both"/>
            </w:pPr>
            <w:r>
              <w:rPr>
                <w:spacing w:val="-2"/>
              </w:rPr>
              <w:t>符合第二章“投标</w:t>
            </w:r>
            <w:r>
              <w:rPr>
                <w:spacing w:val="5"/>
              </w:rPr>
              <w:t xml:space="preserve"> </w:t>
            </w:r>
            <w:r>
              <w:rPr>
                <w:spacing w:val="3"/>
              </w:rPr>
              <w:t>人须知”第1.4.1</w:t>
            </w:r>
            <w:r>
              <w:rPr>
                <w:spacing w:val="5"/>
              </w:rPr>
              <w:t xml:space="preserve"> </w:t>
            </w:r>
            <w:r>
              <w:rPr>
                <w:spacing w:val="4"/>
              </w:rPr>
              <w:t>项规定</w:t>
            </w:r>
          </w:p>
        </w:tc>
        <w:tc>
          <w:tcPr>
            <w:tcW w:w="2358" w:type="dxa"/>
            <w:vAlign w:val="top"/>
          </w:tcPr>
          <w:p w14:paraId="6EC7C13E">
            <w:pPr>
              <w:pStyle w:val="6"/>
              <w:spacing w:before="43" w:line="234" w:lineRule="auto"/>
              <w:ind w:left="122" w:right="134"/>
              <w:jc w:val="both"/>
            </w:pPr>
            <w:r>
              <w:rPr>
                <w:spacing w:val="-1"/>
              </w:rPr>
              <w:t>联合体协议书及联合体</w:t>
            </w:r>
            <w:r>
              <w:t xml:space="preserve"> </w:t>
            </w:r>
            <w:r>
              <w:rPr>
                <w:spacing w:val="-2"/>
              </w:rPr>
              <w:t>各成员单位提供的上述</w:t>
            </w:r>
            <w:r>
              <w:rPr>
                <w:spacing w:val="8"/>
              </w:rPr>
              <w:t xml:space="preserve"> </w:t>
            </w:r>
            <w:r>
              <w:rPr>
                <w:spacing w:val="-2"/>
              </w:rPr>
              <w:t>详细审查因素所需的证</w:t>
            </w:r>
            <w:r>
              <w:rPr>
                <w:spacing w:val="8"/>
              </w:rPr>
              <w:t xml:space="preserve"> </w:t>
            </w:r>
            <w:r>
              <w:rPr>
                <w:spacing w:val="5"/>
              </w:rPr>
              <w:t>明材料</w:t>
            </w:r>
          </w:p>
        </w:tc>
        <w:tc>
          <w:tcPr>
            <w:tcW w:w="799" w:type="dxa"/>
            <w:vAlign w:val="top"/>
          </w:tcPr>
          <w:p w14:paraId="6673AFB4">
            <w:pPr>
              <w:rPr>
                <w:rFonts w:ascii="Arial"/>
                <w:sz w:val="21"/>
              </w:rPr>
            </w:pPr>
          </w:p>
        </w:tc>
        <w:tc>
          <w:tcPr>
            <w:tcW w:w="830" w:type="dxa"/>
            <w:gridSpan w:val="2"/>
            <w:vAlign w:val="top"/>
          </w:tcPr>
          <w:p w14:paraId="4337379B">
            <w:pPr>
              <w:rPr>
                <w:rFonts w:ascii="Arial"/>
                <w:sz w:val="21"/>
              </w:rPr>
            </w:pPr>
          </w:p>
        </w:tc>
        <w:tc>
          <w:tcPr>
            <w:tcW w:w="800" w:type="dxa"/>
            <w:gridSpan w:val="2"/>
            <w:vAlign w:val="top"/>
          </w:tcPr>
          <w:p w14:paraId="3E9D5765">
            <w:pPr>
              <w:rPr>
                <w:rFonts w:ascii="Arial"/>
                <w:sz w:val="21"/>
              </w:rPr>
            </w:pPr>
          </w:p>
        </w:tc>
        <w:tc>
          <w:tcPr>
            <w:tcW w:w="849" w:type="dxa"/>
            <w:gridSpan w:val="2"/>
            <w:vAlign w:val="top"/>
          </w:tcPr>
          <w:p w14:paraId="46EE07CE">
            <w:pPr>
              <w:rPr>
                <w:rFonts w:ascii="Arial"/>
                <w:sz w:val="21"/>
              </w:rPr>
            </w:pPr>
          </w:p>
        </w:tc>
        <w:tc>
          <w:tcPr>
            <w:tcW w:w="810" w:type="dxa"/>
            <w:gridSpan w:val="2"/>
            <w:vAlign w:val="top"/>
          </w:tcPr>
          <w:p w14:paraId="6BB5E6FC">
            <w:pPr>
              <w:rPr>
                <w:rFonts w:ascii="Arial"/>
                <w:sz w:val="21"/>
              </w:rPr>
            </w:pPr>
          </w:p>
        </w:tc>
        <w:tc>
          <w:tcPr>
            <w:tcW w:w="809" w:type="dxa"/>
            <w:gridSpan w:val="2"/>
            <w:vAlign w:val="top"/>
          </w:tcPr>
          <w:p w14:paraId="7FD7EEB3">
            <w:pPr>
              <w:rPr>
                <w:rFonts w:ascii="Arial"/>
                <w:sz w:val="21"/>
              </w:rPr>
            </w:pPr>
          </w:p>
        </w:tc>
        <w:tc>
          <w:tcPr>
            <w:tcW w:w="899" w:type="dxa"/>
            <w:gridSpan w:val="2"/>
            <w:vAlign w:val="top"/>
          </w:tcPr>
          <w:p w14:paraId="34D3E191">
            <w:pPr>
              <w:rPr>
                <w:rFonts w:ascii="Arial"/>
                <w:sz w:val="21"/>
              </w:rPr>
            </w:pPr>
          </w:p>
        </w:tc>
        <w:tc>
          <w:tcPr>
            <w:tcW w:w="809" w:type="dxa"/>
            <w:vAlign w:val="top"/>
          </w:tcPr>
          <w:p w14:paraId="41C1775A">
            <w:pPr>
              <w:rPr>
                <w:rFonts w:ascii="Arial"/>
                <w:sz w:val="21"/>
              </w:rPr>
            </w:pPr>
          </w:p>
        </w:tc>
        <w:tc>
          <w:tcPr>
            <w:tcW w:w="784" w:type="dxa"/>
            <w:vAlign w:val="top"/>
          </w:tcPr>
          <w:p w14:paraId="5A0FA303">
            <w:pPr>
              <w:rPr>
                <w:rFonts w:ascii="Arial"/>
                <w:sz w:val="21"/>
              </w:rPr>
            </w:pPr>
          </w:p>
        </w:tc>
      </w:tr>
      <w:tr w14:paraId="4FAF4C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8" w:hRule="atLeast"/>
        </w:trPr>
        <w:tc>
          <w:tcPr>
            <w:tcW w:w="515" w:type="dxa"/>
            <w:vAlign w:val="top"/>
          </w:tcPr>
          <w:p w14:paraId="59F723EA">
            <w:pPr>
              <w:spacing w:line="386" w:lineRule="auto"/>
              <w:rPr>
                <w:rFonts w:ascii="Arial"/>
                <w:sz w:val="21"/>
              </w:rPr>
            </w:pPr>
          </w:p>
          <w:p w14:paraId="0801A981">
            <w:pPr>
              <w:pStyle w:val="6"/>
              <w:spacing w:before="68"/>
              <w:ind w:left="145"/>
            </w:pPr>
            <w:r>
              <w:rPr>
                <w:spacing w:val="-6"/>
              </w:rPr>
              <w:t>10</w:t>
            </w:r>
          </w:p>
        </w:tc>
        <w:tc>
          <w:tcPr>
            <w:tcW w:w="1549" w:type="dxa"/>
            <w:vAlign w:val="top"/>
          </w:tcPr>
          <w:p w14:paraId="1F1DA63A">
            <w:pPr>
              <w:pStyle w:val="6"/>
              <w:spacing w:before="296" w:line="267" w:lineRule="auto"/>
              <w:ind w:left="339" w:right="140" w:hanging="209"/>
            </w:pPr>
            <w:r>
              <w:rPr>
                <w:spacing w:val="1"/>
              </w:rPr>
              <w:t xml:space="preserve">不存在禁止投 </w:t>
            </w:r>
            <w:r>
              <w:rPr>
                <w:spacing w:val="-2"/>
              </w:rPr>
              <w:t>标的情形</w:t>
            </w:r>
          </w:p>
        </w:tc>
        <w:tc>
          <w:tcPr>
            <w:tcW w:w="2009" w:type="dxa"/>
            <w:vAlign w:val="top"/>
          </w:tcPr>
          <w:p w14:paraId="1314B35C">
            <w:pPr>
              <w:pStyle w:val="6"/>
              <w:spacing w:before="16" w:line="246" w:lineRule="auto"/>
              <w:ind w:left="130"/>
            </w:pPr>
            <w:r>
              <w:rPr>
                <w:spacing w:val="-3"/>
              </w:rPr>
              <w:t>不存在第二章“投标</w:t>
            </w:r>
            <w:r>
              <w:rPr>
                <w:spacing w:val="4"/>
              </w:rPr>
              <w:t xml:space="preserve"> </w:t>
            </w:r>
            <w:r>
              <w:rPr>
                <w:spacing w:val="-2"/>
              </w:rPr>
              <w:t>人须知”第1.4.3</w:t>
            </w:r>
          </w:p>
          <w:p w14:paraId="309AD180">
            <w:pPr>
              <w:pStyle w:val="6"/>
              <w:spacing w:before="1" w:line="211" w:lineRule="auto"/>
              <w:ind w:left="101" w:right="192" w:firstLine="9"/>
            </w:pPr>
            <w:r>
              <w:rPr>
                <w:spacing w:val="1"/>
              </w:rPr>
              <w:t>项规定的任何一种</w:t>
            </w:r>
            <w:r>
              <w:rPr>
                <w:spacing w:val="6"/>
              </w:rPr>
              <w:t xml:space="preserve"> </w:t>
            </w:r>
            <w:r>
              <w:rPr>
                <w:spacing w:val="-3"/>
              </w:rPr>
              <w:t>情形</w:t>
            </w:r>
          </w:p>
        </w:tc>
        <w:tc>
          <w:tcPr>
            <w:tcW w:w="2358" w:type="dxa"/>
            <w:vAlign w:val="top"/>
          </w:tcPr>
          <w:p w14:paraId="0C305270">
            <w:pPr>
              <w:pStyle w:val="6"/>
              <w:spacing w:before="16" w:line="229" w:lineRule="auto"/>
              <w:ind w:left="122" w:right="111"/>
              <w:jc w:val="both"/>
            </w:pPr>
            <w:r>
              <w:rPr>
                <w:spacing w:val="1"/>
              </w:rPr>
              <w:t>企业法人营业执照扫描</w:t>
            </w:r>
            <w:r>
              <w:t xml:space="preserve"> </w:t>
            </w:r>
            <w:r>
              <w:rPr>
                <w:spacing w:val="-1"/>
              </w:rPr>
              <w:t>件及“投标函”、关联</w:t>
            </w:r>
            <w:r>
              <w:rPr>
                <w:spacing w:val="1"/>
              </w:rPr>
              <w:t xml:space="preserve"> 单位情况说明、企业信</w:t>
            </w:r>
            <w:r>
              <w:rPr>
                <w:spacing w:val="3"/>
              </w:rPr>
              <w:t xml:space="preserve"> </w:t>
            </w:r>
            <w:r>
              <w:rPr>
                <w:spacing w:val="-1"/>
              </w:rPr>
              <w:t>誉声明及相关证明材料</w:t>
            </w:r>
          </w:p>
        </w:tc>
        <w:tc>
          <w:tcPr>
            <w:tcW w:w="799" w:type="dxa"/>
            <w:vAlign w:val="top"/>
          </w:tcPr>
          <w:p w14:paraId="5BAE2767">
            <w:pPr>
              <w:rPr>
                <w:rFonts w:ascii="Arial"/>
                <w:sz w:val="21"/>
              </w:rPr>
            </w:pPr>
          </w:p>
        </w:tc>
        <w:tc>
          <w:tcPr>
            <w:tcW w:w="830" w:type="dxa"/>
            <w:gridSpan w:val="2"/>
            <w:vAlign w:val="top"/>
          </w:tcPr>
          <w:p w14:paraId="6F5535D7">
            <w:pPr>
              <w:rPr>
                <w:rFonts w:ascii="Arial"/>
                <w:sz w:val="21"/>
              </w:rPr>
            </w:pPr>
          </w:p>
        </w:tc>
        <w:tc>
          <w:tcPr>
            <w:tcW w:w="800" w:type="dxa"/>
            <w:gridSpan w:val="2"/>
            <w:vAlign w:val="top"/>
          </w:tcPr>
          <w:p w14:paraId="070F96B9">
            <w:pPr>
              <w:rPr>
                <w:rFonts w:ascii="Arial"/>
                <w:sz w:val="21"/>
              </w:rPr>
            </w:pPr>
          </w:p>
        </w:tc>
        <w:tc>
          <w:tcPr>
            <w:tcW w:w="849" w:type="dxa"/>
            <w:gridSpan w:val="2"/>
            <w:vAlign w:val="top"/>
          </w:tcPr>
          <w:p w14:paraId="145F1DDF">
            <w:pPr>
              <w:rPr>
                <w:rFonts w:ascii="Arial"/>
                <w:sz w:val="21"/>
              </w:rPr>
            </w:pPr>
          </w:p>
        </w:tc>
        <w:tc>
          <w:tcPr>
            <w:tcW w:w="810" w:type="dxa"/>
            <w:gridSpan w:val="2"/>
            <w:vAlign w:val="top"/>
          </w:tcPr>
          <w:p w14:paraId="45202244">
            <w:pPr>
              <w:rPr>
                <w:rFonts w:ascii="Arial"/>
                <w:sz w:val="21"/>
              </w:rPr>
            </w:pPr>
          </w:p>
        </w:tc>
        <w:tc>
          <w:tcPr>
            <w:tcW w:w="809" w:type="dxa"/>
            <w:gridSpan w:val="2"/>
            <w:vAlign w:val="top"/>
          </w:tcPr>
          <w:p w14:paraId="582CDA07">
            <w:pPr>
              <w:rPr>
                <w:rFonts w:ascii="Arial"/>
                <w:sz w:val="21"/>
              </w:rPr>
            </w:pPr>
          </w:p>
        </w:tc>
        <w:tc>
          <w:tcPr>
            <w:tcW w:w="899" w:type="dxa"/>
            <w:gridSpan w:val="2"/>
            <w:vAlign w:val="top"/>
          </w:tcPr>
          <w:p w14:paraId="588873CC">
            <w:pPr>
              <w:rPr>
                <w:rFonts w:ascii="Arial"/>
                <w:sz w:val="21"/>
              </w:rPr>
            </w:pPr>
          </w:p>
        </w:tc>
        <w:tc>
          <w:tcPr>
            <w:tcW w:w="809" w:type="dxa"/>
            <w:vAlign w:val="top"/>
          </w:tcPr>
          <w:p w14:paraId="0BB6976C">
            <w:pPr>
              <w:rPr>
                <w:rFonts w:ascii="Arial"/>
                <w:sz w:val="21"/>
              </w:rPr>
            </w:pPr>
          </w:p>
        </w:tc>
        <w:tc>
          <w:tcPr>
            <w:tcW w:w="784" w:type="dxa"/>
            <w:vAlign w:val="top"/>
          </w:tcPr>
          <w:p w14:paraId="56F5E98D">
            <w:pPr>
              <w:rPr>
                <w:rFonts w:ascii="Arial"/>
                <w:sz w:val="21"/>
              </w:rPr>
            </w:pPr>
          </w:p>
        </w:tc>
      </w:tr>
      <w:tr w14:paraId="5F5384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4" w:hRule="atLeast"/>
        </w:trPr>
        <w:tc>
          <w:tcPr>
            <w:tcW w:w="4073" w:type="dxa"/>
            <w:gridSpan w:val="3"/>
            <w:vAlign w:val="top"/>
          </w:tcPr>
          <w:p w14:paraId="26AAB015">
            <w:pPr>
              <w:pStyle w:val="6"/>
              <w:spacing w:before="207" w:line="231" w:lineRule="auto"/>
              <w:ind w:left="104" w:right="233" w:firstLine="10"/>
            </w:pPr>
            <w:r>
              <w:rPr>
                <w:spacing w:val="-4"/>
              </w:rPr>
              <w:t>资格评审结论：通过资格评审标注为</w:t>
            </w:r>
            <w:r>
              <w:rPr>
                <w:spacing w:val="-40"/>
              </w:rPr>
              <w:t xml:space="preserve"> </w:t>
            </w:r>
            <w:r>
              <w:rPr>
                <w:spacing w:val="-4"/>
              </w:rPr>
              <w:t>√</w:t>
            </w:r>
            <w:r>
              <w:rPr>
                <w:spacing w:val="-60"/>
              </w:rPr>
              <w:t xml:space="preserve"> </w:t>
            </w:r>
            <w:r>
              <w:rPr>
                <w:spacing w:val="-4"/>
              </w:rPr>
              <w:t>;</w:t>
            </w:r>
            <w:r>
              <w:t xml:space="preserve"> </w:t>
            </w:r>
            <w:r>
              <w:rPr>
                <w:spacing w:val="3"/>
              </w:rPr>
              <w:t>未通过资格评审标注为×</w:t>
            </w:r>
          </w:p>
        </w:tc>
        <w:tc>
          <w:tcPr>
            <w:tcW w:w="2358" w:type="dxa"/>
            <w:vAlign w:val="top"/>
          </w:tcPr>
          <w:p w14:paraId="30A1B9B6">
            <w:pPr>
              <w:rPr>
                <w:rFonts w:ascii="Arial"/>
                <w:sz w:val="21"/>
              </w:rPr>
            </w:pPr>
          </w:p>
        </w:tc>
        <w:tc>
          <w:tcPr>
            <w:tcW w:w="1079" w:type="dxa"/>
            <w:gridSpan w:val="2"/>
            <w:vAlign w:val="top"/>
          </w:tcPr>
          <w:p w14:paraId="4A4A81AF">
            <w:pPr>
              <w:rPr>
                <w:rFonts w:ascii="Arial"/>
                <w:sz w:val="21"/>
              </w:rPr>
            </w:pPr>
          </w:p>
        </w:tc>
        <w:tc>
          <w:tcPr>
            <w:tcW w:w="780" w:type="dxa"/>
            <w:gridSpan w:val="2"/>
            <w:vAlign w:val="top"/>
          </w:tcPr>
          <w:p w14:paraId="35B495A9">
            <w:pPr>
              <w:rPr>
                <w:rFonts w:ascii="Arial"/>
                <w:sz w:val="21"/>
              </w:rPr>
            </w:pPr>
          </w:p>
        </w:tc>
        <w:tc>
          <w:tcPr>
            <w:tcW w:w="790" w:type="dxa"/>
            <w:gridSpan w:val="2"/>
            <w:vAlign w:val="top"/>
          </w:tcPr>
          <w:p w14:paraId="4DB40CC5">
            <w:pPr>
              <w:rPr>
                <w:rFonts w:ascii="Arial"/>
                <w:sz w:val="21"/>
              </w:rPr>
            </w:pPr>
          </w:p>
        </w:tc>
        <w:tc>
          <w:tcPr>
            <w:tcW w:w="789" w:type="dxa"/>
            <w:gridSpan w:val="2"/>
            <w:vAlign w:val="top"/>
          </w:tcPr>
          <w:p w14:paraId="0A32F3BE">
            <w:pPr>
              <w:rPr>
                <w:rFonts w:ascii="Arial"/>
                <w:sz w:val="21"/>
              </w:rPr>
            </w:pPr>
          </w:p>
        </w:tc>
        <w:tc>
          <w:tcPr>
            <w:tcW w:w="790" w:type="dxa"/>
            <w:gridSpan w:val="2"/>
            <w:vAlign w:val="top"/>
          </w:tcPr>
          <w:p w14:paraId="0C390491">
            <w:pPr>
              <w:rPr>
                <w:rFonts w:ascii="Arial"/>
                <w:sz w:val="21"/>
              </w:rPr>
            </w:pPr>
          </w:p>
        </w:tc>
        <w:tc>
          <w:tcPr>
            <w:tcW w:w="779" w:type="dxa"/>
            <w:gridSpan w:val="2"/>
            <w:vAlign w:val="top"/>
          </w:tcPr>
          <w:p w14:paraId="46C57BC1">
            <w:pPr>
              <w:rPr>
                <w:rFonts w:ascii="Arial"/>
                <w:sz w:val="21"/>
              </w:rPr>
            </w:pPr>
          </w:p>
        </w:tc>
        <w:tc>
          <w:tcPr>
            <w:tcW w:w="789" w:type="dxa"/>
            <w:vAlign w:val="top"/>
          </w:tcPr>
          <w:p w14:paraId="41625B79">
            <w:pPr>
              <w:rPr>
                <w:rFonts w:ascii="Arial"/>
                <w:sz w:val="21"/>
              </w:rPr>
            </w:pPr>
          </w:p>
        </w:tc>
        <w:tc>
          <w:tcPr>
            <w:tcW w:w="809" w:type="dxa"/>
            <w:vAlign w:val="top"/>
          </w:tcPr>
          <w:p w14:paraId="5E53E605">
            <w:pPr>
              <w:rPr>
                <w:rFonts w:ascii="Arial"/>
                <w:sz w:val="21"/>
              </w:rPr>
            </w:pPr>
          </w:p>
        </w:tc>
        <w:tc>
          <w:tcPr>
            <w:tcW w:w="784" w:type="dxa"/>
            <w:vAlign w:val="top"/>
          </w:tcPr>
          <w:p w14:paraId="1AA47ED4">
            <w:pPr>
              <w:rPr>
                <w:rFonts w:ascii="Arial"/>
                <w:sz w:val="21"/>
              </w:rPr>
            </w:pPr>
          </w:p>
        </w:tc>
      </w:tr>
    </w:tbl>
    <w:p w14:paraId="4E404A8E">
      <w:pPr>
        <w:spacing w:line="286" w:lineRule="auto"/>
        <w:rPr>
          <w:rFonts w:ascii="Arial"/>
          <w:sz w:val="21"/>
        </w:rPr>
      </w:pPr>
    </w:p>
    <w:p w14:paraId="5F0399BA">
      <w:pPr>
        <w:spacing w:line="287" w:lineRule="auto"/>
        <w:rPr>
          <w:rFonts w:ascii="Arial"/>
          <w:sz w:val="21"/>
        </w:rPr>
      </w:pPr>
    </w:p>
    <w:p w14:paraId="23C7A283">
      <w:pPr>
        <w:pStyle w:val="2"/>
        <w:spacing w:before="55" w:line="229" w:lineRule="auto"/>
        <w:ind w:left="135"/>
        <w:rPr>
          <w:sz w:val="17"/>
          <w:szCs w:val="17"/>
        </w:rPr>
      </w:pPr>
      <w:r>
        <w:rPr>
          <w:spacing w:val="-9"/>
          <w:sz w:val="17"/>
          <w:szCs w:val="17"/>
        </w:rPr>
        <w:t>评</w:t>
      </w:r>
      <w:r>
        <w:rPr>
          <w:spacing w:val="-33"/>
          <w:sz w:val="17"/>
          <w:szCs w:val="17"/>
        </w:rPr>
        <w:t xml:space="preserve"> </w:t>
      </w:r>
      <w:r>
        <w:rPr>
          <w:spacing w:val="-9"/>
          <w:sz w:val="17"/>
          <w:szCs w:val="17"/>
        </w:rPr>
        <w:t>标</w:t>
      </w:r>
      <w:r>
        <w:rPr>
          <w:spacing w:val="-38"/>
          <w:sz w:val="17"/>
          <w:szCs w:val="17"/>
        </w:rPr>
        <w:t xml:space="preserve"> </w:t>
      </w:r>
      <w:r>
        <w:rPr>
          <w:spacing w:val="-9"/>
          <w:sz w:val="17"/>
          <w:szCs w:val="17"/>
        </w:rPr>
        <w:t>委</w:t>
      </w:r>
      <w:r>
        <w:rPr>
          <w:spacing w:val="-30"/>
          <w:sz w:val="17"/>
          <w:szCs w:val="17"/>
        </w:rPr>
        <w:t xml:space="preserve"> </w:t>
      </w:r>
      <w:r>
        <w:rPr>
          <w:spacing w:val="-9"/>
          <w:sz w:val="17"/>
          <w:szCs w:val="17"/>
        </w:rPr>
        <w:t>员</w:t>
      </w:r>
      <w:r>
        <w:rPr>
          <w:spacing w:val="-37"/>
          <w:sz w:val="17"/>
          <w:szCs w:val="17"/>
        </w:rPr>
        <w:t xml:space="preserve"> </w:t>
      </w:r>
      <w:r>
        <w:rPr>
          <w:spacing w:val="-9"/>
          <w:sz w:val="17"/>
          <w:szCs w:val="17"/>
        </w:rPr>
        <w:t>会</w:t>
      </w:r>
      <w:r>
        <w:rPr>
          <w:spacing w:val="-36"/>
          <w:sz w:val="17"/>
          <w:szCs w:val="17"/>
        </w:rPr>
        <w:t xml:space="preserve"> </w:t>
      </w:r>
      <w:r>
        <w:rPr>
          <w:spacing w:val="-9"/>
          <w:sz w:val="17"/>
          <w:szCs w:val="17"/>
        </w:rPr>
        <w:t>全</w:t>
      </w:r>
      <w:r>
        <w:rPr>
          <w:spacing w:val="-37"/>
          <w:sz w:val="17"/>
          <w:szCs w:val="17"/>
        </w:rPr>
        <w:t xml:space="preserve"> </w:t>
      </w:r>
      <w:r>
        <w:rPr>
          <w:spacing w:val="-9"/>
          <w:sz w:val="17"/>
          <w:szCs w:val="17"/>
        </w:rPr>
        <w:t>体</w:t>
      </w:r>
      <w:r>
        <w:rPr>
          <w:spacing w:val="-35"/>
          <w:sz w:val="17"/>
          <w:szCs w:val="17"/>
        </w:rPr>
        <w:t xml:space="preserve"> </w:t>
      </w:r>
      <w:r>
        <w:rPr>
          <w:spacing w:val="-9"/>
          <w:sz w:val="17"/>
          <w:szCs w:val="17"/>
        </w:rPr>
        <w:t>成</w:t>
      </w:r>
      <w:r>
        <w:rPr>
          <w:spacing w:val="-30"/>
          <w:sz w:val="17"/>
          <w:szCs w:val="17"/>
        </w:rPr>
        <w:t xml:space="preserve"> </w:t>
      </w:r>
      <w:r>
        <w:rPr>
          <w:spacing w:val="-9"/>
          <w:sz w:val="17"/>
          <w:szCs w:val="17"/>
        </w:rPr>
        <w:t>员</w:t>
      </w:r>
      <w:r>
        <w:rPr>
          <w:spacing w:val="-37"/>
          <w:sz w:val="17"/>
          <w:szCs w:val="17"/>
        </w:rPr>
        <w:t xml:space="preserve"> </w:t>
      </w:r>
      <w:r>
        <w:rPr>
          <w:spacing w:val="-9"/>
          <w:sz w:val="17"/>
          <w:szCs w:val="17"/>
        </w:rPr>
        <w:t>签</w:t>
      </w:r>
      <w:r>
        <w:rPr>
          <w:spacing w:val="-34"/>
          <w:sz w:val="17"/>
          <w:szCs w:val="17"/>
        </w:rPr>
        <w:t xml:space="preserve"> </w:t>
      </w:r>
      <w:r>
        <w:rPr>
          <w:spacing w:val="-9"/>
          <w:sz w:val="17"/>
          <w:szCs w:val="17"/>
        </w:rPr>
        <w:t>名</w:t>
      </w:r>
      <w:r>
        <w:rPr>
          <w:spacing w:val="-22"/>
          <w:sz w:val="17"/>
          <w:szCs w:val="17"/>
        </w:rPr>
        <w:t xml:space="preserve"> </w:t>
      </w:r>
      <w:r>
        <w:rPr>
          <w:spacing w:val="-9"/>
          <w:sz w:val="17"/>
          <w:szCs w:val="17"/>
        </w:rPr>
        <w:t>：</w:t>
      </w:r>
      <w:r>
        <w:rPr>
          <w:spacing w:val="1"/>
          <w:sz w:val="17"/>
          <w:szCs w:val="17"/>
        </w:rPr>
        <w:t xml:space="preserve">                                                                 </w:t>
      </w:r>
      <w:r>
        <w:rPr>
          <w:sz w:val="17"/>
          <w:szCs w:val="17"/>
        </w:rPr>
        <w:t xml:space="preserve">                                 </w:t>
      </w:r>
      <w:r>
        <w:rPr>
          <w:spacing w:val="-9"/>
          <w:sz w:val="17"/>
          <w:szCs w:val="17"/>
        </w:rPr>
        <w:t>日</w:t>
      </w:r>
      <w:r>
        <w:rPr>
          <w:spacing w:val="-21"/>
          <w:sz w:val="17"/>
          <w:szCs w:val="17"/>
        </w:rPr>
        <w:t xml:space="preserve"> </w:t>
      </w:r>
      <w:r>
        <w:rPr>
          <w:spacing w:val="-9"/>
          <w:sz w:val="17"/>
          <w:szCs w:val="17"/>
        </w:rPr>
        <w:t>期 ：</w:t>
      </w:r>
      <w:r>
        <w:rPr>
          <w:spacing w:val="3"/>
          <w:sz w:val="17"/>
          <w:szCs w:val="17"/>
        </w:rPr>
        <w:t xml:space="preserve">       </w:t>
      </w:r>
      <w:r>
        <w:rPr>
          <w:spacing w:val="-9"/>
          <w:sz w:val="17"/>
          <w:szCs w:val="17"/>
        </w:rPr>
        <w:t>年</w:t>
      </w:r>
      <w:r>
        <w:rPr>
          <w:spacing w:val="8"/>
          <w:sz w:val="17"/>
          <w:szCs w:val="17"/>
        </w:rPr>
        <w:t xml:space="preserve">     </w:t>
      </w:r>
      <w:r>
        <w:rPr>
          <w:spacing w:val="-9"/>
          <w:sz w:val="17"/>
          <w:szCs w:val="17"/>
        </w:rPr>
        <w:t>月      日</w:t>
      </w:r>
    </w:p>
    <w:p w14:paraId="683F9FC0">
      <w:pPr>
        <w:spacing w:line="229" w:lineRule="auto"/>
        <w:rPr>
          <w:sz w:val="17"/>
          <w:szCs w:val="17"/>
        </w:rPr>
        <w:sectPr>
          <w:footerReference r:id="rId79" w:type="default"/>
          <w:pgSz w:w="16840" w:h="11910"/>
          <w:pgMar w:top="1012" w:right="1444" w:bottom="978" w:left="1564" w:header="0" w:footer="825" w:gutter="0"/>
          <w:cols w:space="720" w:num="1"/>
        </w:sectPr>
      </w:pPr>
    </w:p>
    <w:p w14:paraId="57A77786">
      <w:pPr>
        <w:spacing w:line="259" w:lineRule="auto"/>
        <w:rPr>
          <w:rFonts w:ascii="Arial"/>
          <w:sz w:val="21"/>
        </w:rPr>
      </w:pPr>
    </w:p>
    <w:p w14:paraId="1F60452E">
      <w:pPr>
        <w:spacing w:line="259" w:lineRule="auto"/>
        <w:rPr>
          <w:rFonts w:ascii="Arial"/>
          <w:sz w:val="21"/>
        </w:rPr>
      </w:pPr>
    </w:p>
    <w:p w14:paraId="5F2C25D8">
      <w:pPr>
        <w:pStyle w:val="2"/>
        <w:spacing w:before="81" w:line="222" w:lineRule="auto"/>
        <w:ind w:left="548"/>
        <w:outlineLvl w:val="2"/>
        <w:rPr>
          <w:rFonts w:ascii="黑体" w:hAnsi="黑体" w:eastAsia="黑体" w:cs="黑体"/>
        </w:rPr>
      </w:pPr>
      <w:bookmarkStart w:id="213" w:name="bookmark160"/>
      <w:bookmarkEnd w:id="213"/>
      <w:bookmarkStart w:id="214" w:name="bookmark271"/>
      <w:bookmarkEnd w:id="214"/>
      <w:r>
        <w:rPr>
          <w:rFonts w:ascii="黑体" w:hAnsi="黑体" w:eastAsia="黑体" w:cs="黑体"/>
          <w:b/>
          <w:bCs/>
          <w:spacing w:val="-3"/>
        </w:rPr>
        <w:t>附表</w:t>
      </w:r>
      <w:r>
        <w:rPr>
          <w:b/>
          <w:bCs/>
          <w:spacing w:val="-3"/>
        </w:rPr>
        <w:t>A-6:</w:t>
      </w:r>
      <w:r>
        <w:rPr>
          <w:spacing w:val="-3"/>
        </w:rPr>
        <w:t xml:space="preserve"> </w:t>
      </w:r>
      <w:r>
        <w:rPr>
          <w:rFonts w:ascii="黑体" w:hAnsi="黑体" w:eastAsia="黑体" w:cs="黑体"/>
          <w:b/>
          <w:bCs/>
          <w:spacing w:val="-3"/>
        </w:rPr>
        <w:t>响应性评审记录表</w:t>
      </w:r>
    </w:p>
    <w:p w14:paraId="0987B278">
      <w:pPr>
        <w:spacing w:before="50" w:line="222" w:lineRule="auto"/>
        <w:ind w:left="5779"/>
        <w:rPr>
          <w:rFonts w:ascii="黑体" w:hAnsi="黑体" w:eastAsia="黑体" w:cs="黑体"/>
          <w:sz w:val="28"/>
          <w:szCs w:val="28"/>
        </w:rPr>
      </w:pPr>
      <w:r>
        <w:rPr>
          <w:rFonts w:ascii="黑体" w:hAnsi="黑体" w:eastAsia="黑体" w:cs="黑体"/>
          <w:b/>
          <w:bCs/>
          <w:spacing w:val="1"/>
          <w:sz w:val="28"/>
          <w:szCs w:val="28"/>
        </w:rPr>
        <w:t>响应性评审记录表</w:t>
      </w:r>
    </w:p>
    <w:p w14:paraId="03B757D9">
      <w:pPr>
        <w:pStyle w:val="2"/>
        <w:spacing w:before="266" w:line="229" w:lineRule="auto"/>
        <w:ind w:left="135"/>
        <w:rPr>
          <w:sz w:val="20"/>
          <w:szCs w:val="20"/>
        </w:rPr>
      </w:pPr>
      <w:r>
        <w:rPr>
          <w:spacing w:val="7"/>
          <w:position w:val="-1"/>
          <w:sz w:val="20"/>
          <w:szCs w:val="20"/>
        </w:rPr>
        <w:t>工程名称：</w:t>
      </w:r>
      <w:r>
        <w:rPr>
          <w:spacing w:val="-26"/>
          <w:position w:val="-1"/>
          <w:sz w:val="20"/>
          <w:szCs w:val="20"/>
        </w:rPr>
        <w:t xml:space="preserve"> </w:t>
      </w:r>
      <w:r>
        <w:rPr>
          <w:spacing w:val="4"/>
          <w:position w:val="-1"/>
          <w:sz w:val="20"/>
          <w:szCs w:val="20"/>
          <w:u w:val="single" w:color="auto"/>
        </w:rPr>
        <w:t xml:space="preserve">               </w:t>
      </w:r>
      <w:r>
        <w:rPr>
          <w:spacing w:val="7"/>
          <w:position w:val="-1"/>
          <w:sz w:val="20"/>
          <w:szCs w:val="20"/>
        </w:rPr>
        <w:t>(项目名称)</w:t>
      </w:r>
      <w:r>
        <w:rPr>
          <w:spacing w:val="7"/>
          <w:position w:val="-1"/>
          <w:sz w:val="20"/>
          <w:szCs w:val="20"/>
          <w:u w:val="single" w:color="auto"/>
        </w:rPr>
        <w:t xml:space="preserve">       </w:t>
      </w:r>
      <w:r>
        <w:rPr>
          <w:spacing w:val="-20"/>
          <w:position w:val="-1"/>
          <w:sz w:val="20"/>
          <w:szCs w:val="20"/>
        </w:rPr>
        <w:t xml:space="preserve"> </w:t>
      </w:r>
      <w:r>
        <w:rPr>
          <w:spacing w:val="7"/>
          <w:position w:val="2"/>
          <w:sz w:val="20"/>
          <w:szCs w:val="20"/>
        </w:rPr>
        <w:t>(标段名称)</w:t>
      </w:r>
    </w:p>
    <w:p w14:paraId="4D8AC48A">
      <w:pPr>
        <w:spacing w:line="197" w:lineRule="exact"/>
      </w:pPr>
    </w:p>
    <w:tbl>
      <w:tblPr>
        <w:tblStyle w:val="5"/>
        <w:tblW w:w="1375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65"/>
        <w:gridCol w:w="1789"/>
        <w:gridCol w:w="3118"/>
        <w:gridCol w:w="909"/>
        <w:gridCol w:w="889"/>
        <w:gridCol w:w="909"/>
        <w:gridCol w:w="879"/>
        <w:gridCol w:w="909"/>
        <w:gridCol w:w="889"/>
        <w:gridCol w:w="899"/>
        <w:gridCol w:w="910"/>
        <w:gridCol w:w="885"/>
      </w:tblGrid>
      <w:tr w14:paraId="53239C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4" w:hRule="atLeast"/>
        </w:trPr>
        <w:tc>
          <w:tcPr>
            <w:tcW w:w="765" w:type="dxa"/>
            <w:vMerge w:val="restart"/>
            <w:tcBorders>
              <w:bottom w:val="nil"/>
            </w:tcBorders>
            <w:vAlign w:val="top"/>
          </w:tcPr>
          <w:p w14:paraId="70354B9D">
            <w:pPr>
              <w:spacing w:line="394" w:lineRule="auto"/>
              <w:rPr>
                <w:rFonts w:ascii="Arial"/>
                <w:sz w:val="21"/>
              </w:rPr>
            </w:pPr>
          </w:p>
          <w:p w14:paraId="256769FC">
            <w:pPr>
              <w:pStyle w:val="6"/>
              <w:spacing w:before="68" w:line="221" w:lineRule="auto"/>
              <w:ind w:left="165"/>
            </w:pPr>
            <w:r>
              <w:rPr>
                <w:spacing w:val="6"/>
              </w:rPr>
              <w:t>序号</w:t>
            </w:r>
          </w:p>
        </w:tc>
        <w:tc>
          <w:tcPr>
            <w:tcW w:w="1789" w:type="dxa"/>
            <w:vMerge w:val="restart"/>
            <w:tcBorders>
              <w:bottom w:val="nil"/>
            </w:tcBorders>
            <w:vAlign w:val="top"/>
          </w:tcPr>
          <w:p w14:paraId="2006D521">
            <w:pPr>
              <w:spacing w:line="393" w:lineRule="auto"/>
              <w:rPr>
                <w:rFonts w:ascii="Arial"/>
                <w:sz w:val="21"/>
              </w:rPr>
            </w:pPr>
          </w:p>
          <w:p w14:paraId="4EA7F34A">
            <w:pPr>
              <w:pStyle w:val="6"/>
              <w:spacing w:before="68" w:line="219" w:lineRule="auto"/>
              <w:ind w:left="459"/>
            </w:pPr>
            <w:r>
              <w:rPr>
                <w:spacing w:val="-2"/>
              </w:rPr>
              <w:t>评审因素</w:t>
            </w:r>
          </w:p>
        </w:tc>
        <w:tc>
          <w:tcPr>
            <w:tcW w:w="3118" w:type="dxa"/>
            <w:vMerge w:val="restart"/>
            <w:tcBorders>
              <w:bottom w:val="nil"/>
            </w:tcBorders>
            <w:vAlign w:val="top"/>
          </w:tcPr>
          <w:p w14:paraId="3D2D716D">
            <w:pPr>
              <w:spacing w:line="393" w:lineRule="auto"/>
              <w:rPr>
                <w:rFonts w:ascii="Arial"/>
                <w:sz w:val="21"/>
              </w:rPr>
            </w:pPr>
          </w:p>
          <w:p w14:paraId="2E61F4E4">
            <w:pPr>
              <w:pStyle w:val="6"/>
              <w:spacing w:before="68" w:line="220" w:lineRule="auto"/>
              <w:ind w:left="1171"/>
            </w:pPr>
            <w:r>
              <w:rPr>
                <w:spacing w:val="-2"/>
              </w:rPr>
              <w:t>评审标准</w:t>
            </w:r>
          </w:p>
        </w:tc>
        <w:tc>
          <w:tcPr>
            <w:tcW w:w="8078" w:type="dxa"/>
            <w:gridSpan w:val="9"/>
            <w:vAlign w:val="top"/>
          </w:tcPr>
          <w:p w14:paraId="1ABDD275">
            <w:pPr>
              <w:pStyle w:val="6"/>
              <w:spacing w:before="173" w:line="219" w:lineRule="auto"/>
              <w:ind w:left="3023"/>
            </w:pPr>
            <w:r>
              <w:rPr>
                <w:spacing w:val="1"/>
              </w:rPr>
              <w:t>投标人名称及评审意见</w:t>
            </w:r>
          </w:p>
        </w:tc>
      </w:tr>
      <w:tr w14:paraId="7B1B59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765" w:type="dxa"/>
            <w:vMerge w:val="continue"/>
            <w:tcBorders>
              <w:top w:val="nil"/>
            </w:tcBorders>
            <w:vAlign w:val="top"/>
          </w:tcPr>
          <w:p w14:paraId="5FEF1EA2">
            <w:pPr>
              <w:rPr>
                <w:rFonts w:ascii="Arial"/>
                <w:sz w:val="21"/>
              </w:rPr>
            </w:pPr>
          </w:p>
        </w:tc>
        <w:tc>
          <w:tcPr>
            <w:tcW w:w="1789" w:type="dxa"/>
            <w:vMerge w:val="continue"/>
            <w:tcBorders>
              <w:top w:val="nil"/>
            </w:tcBorders>
            <w:vAlign w:val="top"/>
          </w:tcPr>
          <w:p w14:paraId="48E7C1AE">
            <w:pPr>
              <w:rPr>
                <w:rFonts w:ascii="Arial"/>
                <w:sz w:val="21"/>
              </w:rPr>
            </w:pPr>
          </w:p>
        </w:tc>
        <w:tc>
          <w:tcPr>
            <w:tcW w:w="3118" w:type="dxa"/>
            <w:vMerge w:val="continue"/>
            <w:tcBorders>
              <w:top w:val="nil"/>
            </w:tcBorders>
            <w:vAlign w:val="top"/>
          </w:tcPr>
          <w:p w14:paraId="02042855">
            <w:pPr>
              <w:rPr>
                <w:rFonts w:ascii="Arial"/>
                <w:sz w:val="21"/>
              </w:rPr>
            </w:pPr>
          </w:p>
        </w:tc>
        <w:tc>
          <w:tcPr>
            <w:tcW w:w="909" w:type="dxa"/>
            <w:vAlign w:val="top"/>
          </w:tcPr>
          <w:p w14:paraId="3336CCBF">
            <w:pPr>
              <w:rPr>
                <w:rFonts w:ascii="Arial"/>
                <w:sz w:val="21"/>
              </w:rPr>
            </w:pPr>
          </w:p>
        </w:tc>
        <w:tc>
          <w:tcPr>
            <w:tcW w:w="889" w:type="dxa"/>
            <w:vAlign w:val="top"/>
          </w:tcPr>
          <w:p w14:paraId="0B89F92E">
            <w:pPr>
              <w:rPr>
                <w:rFonts w:ascii="Arial"/>
                <w:sz w:val="21"/>
              </w:rPr>
            </w:pPr>
          </w:p>
        </w:tc>
        <w:tc>
          <w:tcPr>
            <w:tcW w:w="909" w:type="dxa"/>
            <w:vAlign w:val="top"/>
          </w:tcPr>
          <w:p w14:paraId="1BC5C2CE">
            <w:pPr>
              <w:rPr>
                <w:rFonts w:ascii="Arial"/>
                <w:sz w:val="21"/>
              </w:rPr>
            </w:pPr>
          </w:p>
        </w:tc>
        <w:tc>
          <w:tcPr>
            <w:tcW w:w="879" w:type="dxa"/>
            <w:vAlign w:val="top"/>
          </w:tcPr>
          <w:p w14:paraId="6805D528">
            <w:pPr>
              <w:rPr>
                <w:rFonts w:ascii="Arial"/>
                <w:sz w:val="21"/>
              </w:rPr>
            </w:pPr>
          </w:p>
        </w:tc>
        <w:tc>
          <w:tcPr>
            <w:tcW w:w="909" w:type="dxa"/>
            <w:vAlign w:val="top"/>
          </w:tcPr>
          <w:p w14:paraId="09D9B7D2">
            <w:pPr>
              <w:rPr>
                <w:rFonts w:ascii="Arial"/>
                <w:sz w:val="21"/>
              </w:rPr>
            </w:pPr>
          </w:p>
        </w:tc>
        <w:tc>
          <w:tcPr>
            <w:tcW w:w="889" w:type="dxa"/>
            <w:vAlign w:val="top"/>
          </w:tcPr>
          <w:p w14:paraId="4E6C6602">
            <w:pPr>
              <w:rPr>
                <w:rFonts w:ascii="Arial"/>
                <w:sz w:val="21"/>
              </w:rPr>
            </w:pPr>
          </w:p>
        </w:tc>
        <w:tc>
          <w:tcPr>
            <w:tcW w:w="899" w:type="dxa"/>
            <w:vAlign w:val="top"/>
          </w:tcPr>
          <w:p w14:paraId="16304E9F">
            <w:pPr>
              <w:rPr>
                <w:rFonts w:ascii="Arial"/>
                <w:sz w:val="21"/>
              </w:rPr>
            </w:pPr>
          </w:p>
        </w:tc>
        <w:tc>
          <w:tcPr>
            <w:tcW w:w="910" w:type="dxa"/>
            <w:vAlign w:val="top"/>
          </w:tcPr>
          <w:p w14:paraId="6440E486">
            <w:pPr>
              <w:rPr>
                <w:rFonts w:ascii="Arial"/>
                <w:sz w:val="21"/>
              </w:rPr>
            </w:pPr>
          </w:p>
        </w:tc>
        <w:tc>
          <w:tcPr>
            <w:tcW w:w="885" w:type="dxa"/>
            <w:vAlign w:val="top"/>
          </w:tcPr>
          <w:p w14:paraId="1247500C">
            <w:pPr>
              <w:rPr>
                <w:rFonts w:ascii="Arial"/>
                <w:sz w:val="21"/>
              </w:rPr>
            </w:pPr>
          </w:p>
        </w:tc>
      </w:tr>
      <w:tr w14:paraId="5C50E2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9" w:hRule="atLeast"/>
        </w:trPr>
        <w:tc>
          <w:tcPr>
            <w:tcW w:w="765" w:type="dxa"/>
            <w:vAlign w:val="top"/>
          </w:tcPr>
          <w:p w14:paraId="06EADEC3">
            <w:pPr>
              <w:pStyle w:val="6"/>
              <w:spacing w:before="191" w:line="241" w:lineRule="auto"/>
              <w:ind w:left="314"/>
            </w:pPr>
            <w:r>
              <w:t>1</w:t>
            </w:r>
          </w:p>
        </w:tc>
        <w:tc>
          <w:tcPr>
            <w:tcW w:w="1789" w:type="dxa"/>
            <w:vAlign w:val="top"/>
          </w:tcPr>
          <w:p w14:paraId="390D63F2">
            <w:pPr>
              <w:pStyle w:val="6"/>
              <w:spacing w:before="170" w:line="219" w:lineRule="auto"/>
              <w:ind w:left="459"/>
            </w:pPr>
            <w:r>
              <w:rPr>
                <w:spacing w:val="2"/>
              </w:rPr>
              <w:t>投标内容</w:t>
            </w:r>
          </w:p>
        </w:tc>
        <w:tc>
          <w:tcPr>
            <w:tcW w:w="3118" w:type="dxa"/>
            <w:vAlign w:val="top"/>
          </w:tcPr>
          <w:p w14:paraId="5B27625B">
            <w:pPr>
              <w:pStyle w:val="6"/>
              <w:spacing w:before="30" w:line="219" w:lineRule="auto"/>
              <w:ind w:left="131" w:right="43" w:firstLine="189"/>
            </w:pPr>
            <w:r>
              <w:rPr>
                <w:spacing w:val="1"/>
              </w:rPr>
              <w:t>符合第二章“投标人须知”第</w:t>
            </w:r>
            <w:r>
              <w:t xml:space="preserve"> </w:t>
            </w:r>
            <w:r>
              <w:rPr>
                <w:spacing w:val="1"/>
              </w:rPr>
              <w:t>1.3.1项规定</w:t>
            </w:r>
          </w:p>
        </w:tc>
        <w:tc>
          <w:tcPr>
            <w:tcW w:w="909" w:type="dxa"/>
            <w:vAlign w:val="top"/>
          </w:tcPr>
          <w:p w14:paraId="460B6174">
            <w:pPr>
              <w:rPr>
                <w:rFonts w:ascii="Arial"/>
                <w:sz w:val="21"/>
              </w:rPr>
            </w:pPr>
          </w:p>
        </w:tc>
        <w:tc>
          <w:tcPr>
            <w:tcW w:w="889" w:type="dxa"/>
            <w:vAlign w:val="top"/>
          </w:tcPr>
          <w:p w14:paraId="2DED802D">
            <w:pPr>
              <w:rPr>
                <w:rFonts w:ascii="Arial"/>
                <w:sz w:val="21"/>
              </w:rPr>
            </w:pPr>
          </w:p>
        </w:tc>
        <w:tc>
          <w:tcPr>
            <w:tcW w:w="909" w:type="dxa"/>
            <w:vAlign w:val="top"/>
          </w:tcPr>
          <w:p w14:paraId="4A03F916">
            <w:pPr>
              <w:rPr>
                <w:rFonts w:ascii="Arial"/>
                <w:sz w:val="21"/>
              </w:rPr>
            </w:pPr>
          </w:p>
        </w:tc>
        <w:tc>
          <w:tcPr>
            <w:tcW w:w="879" w:type="dxa"/>
            <w:vAlign w:val="top"/>
          </w:tcPr>
          <w:p w14:paraId="736A9DA8">
            <w:pPr>
              <w:rPr>
                <w:rFonts w:ascii="Arial"/>
                <w:sz w:val="21"/>
              </w:rPr>
            </w:pPr>
          </w:p>
        </w:tc>
        <w:tc>
          <w:tcPr>
            <w:tcW w:w="909" w:type="dxa"/>
            <w:vAlign w:val="top"/>
          </w:tcPr>
          <w:p w14:paraId="25400674">
            <w:pPr>
              <w:rPr>
                <w:rFonts w:ascii="Arial"/>
                <w:sz w:val="21"/>
              </w:rPr>
            </w:pPr>
          </w:p>
        </w:tc>
        <w:tc>
          <w:tcPr>
            <w:tcW w:w="889" w:type="dxa"/>
            <w:vAlign w:val="top"/>
          </w:tcPr>
          <w:p w14:paraId="58DFF704">
            <w:pPr>
              <w:rPr>
                <w:rFonts w:ascii="Arial"/>
                <w:sz w:val="21"/>
              </w:rPr>
            </w:pPr>
          </w:p>
        </w:tc>
        <w:tc>
          <w:tcPr>
            <w:tcW w:w="899" w:type="dxa"/>
            <w:vAlign w:val="top"/>
          </w:tcPr>
          <w:p w14:paraId="444511D9">
            <w:pPr>
              <w:rPr>
                <w:rFonts w:ascii="Arial"/>
                <w:sz w:val="21"/>
              </w:rPr>
            </w:pPr>
          </w:p>
        </w:tc>
        <w:tc>
          <w:tcPr>
            <w:tcW w:w="910" w:type="dxa"/>
            <w:vAlign w:val="top"/>
          </w:tcPr>
          <w:p w14:paraId="32747CE3">
            <w:pPr>
              <w:rPr>
                <w:rFonts w:ascii="Arial"/>
                <w:sz w:val="21"/>
              </w:rPr>
            </w:pPr>
          </w:p>
        </w:tc>
        <w:tc>
          <w:tcPr>
            <w:tcW w:w="885" w:type="dxa"/>
            <w:vAlign w:val="top"/>
          </w:tcPr>
          <w:p w14:paraId="6024846B">
            <w:pPr>
              <w:rPr>
                <w:rFonts w:ascii="Arial"/>
                <w:sz w:val="21"/>
              </w:rPr>
            </w:pPr>
          </w:p>
        </w:tc>
      </w:tr>
      <w:tr w14:paraId="00130E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765" w:type="dxa"/>
            <w:vAlign w:val="top"/>
          </w:tcPr>
          <w:p w14:paraId="24FAA7F3">
            <w:pPr>
              <w:pStyle w:val="6"/>
              <w:spacing w:before="192" w:line="241" w:lineRule="auto"/>
              <w:ind w:left="314"/>
            </w:pPr>
            <w:r>
              <w:t>2</w:t>
            </w:r>
          </w:p>
        </w:tc>
        <w:tc>
          <w:tcPr>
            <w:tcW w:w="1789" w:type="dxa"/>
            <w:vAlign w:val="top"/>
          </w:tcPr>
          <w:p w14:paraId="2EE7DCB8">
            <w:pPr>
              <w:pStyle w:val="6"/>
              <w:spacing w:before="172" w:line="220" w:lineRule="auto"/>
              <w:ind w:left="669"/>
            </w:pPr>
            <w:r>
              <w:rPr>
                <w:spacing w:val="6"/>
              </w:rPr>
              <w:t>工期</w:t>
            </w:r>
          </w:p>
        </w:tc>
        <w:tc>
          <w:tcPr>
            <w:tcW w:w="3118" w:type="dxa"/>
            <w:vAlign w:val="top"/>
          </w:tcPr>
          <w:p w14:paraId="5EBFE8CA">
            <w:pPr>
              <w:pStyle w:val="6"/>
              <w:spacing w:before="20" w:line="228" w:lineRule="auto"/>
              <w:ind w:left="131" w:right="43" w:firstLine="189"/>
            </w:pPr>
            <w:r>
              <w:rPr>
                <w:spacing w:val="1"/>
              </w:rPr>
              <w:t>符合第二章“投标人须知”第</w:t>
            </w:r>
            <w:r>
              <w:t xml:space="preserve"> </w:t>
            </w:r>
            <w:r>
              <w:rPr>
                <w:spacing w:val="1"/>
              </w:rPr>
              <w:t>1.3.2项规定</w:t>
            </w:r>
          </w:p>
        </w:tc>
        <w:tc>
          <w:tcPr>
            <w:tcW w:w="909" w:type="dxa"/>
            <w:vAlign w:val="top"/>
          </w:tcPr>
          <w:p w14:paraId="1FB2DA01">
            <w:pPr>
              <w:rPr>
                <w:rFonts w:ascii="Arial"/>
                <w:sz w:val="21"/>
              </w:rPr>
            </w:pPr>
          </w:p>
        </w:tc>
        <w:tc>
          <w:tcPr>
            <w:tcW w:w="889" w:type="dxa"/>
            <w:vAlign w:val="top"/>
          </w:tcPr>
          <w:p w14:paraId="67D11BEA">
            <w:pPr>
              <w:rPr>
                <w:rFonts w:ascii="Arial"/>
                <w:sz w:val="21"/>
              </w:rPr>
            </w:pPr>
          </w:p>
        </w:tc>
        <w:tc>
          <w:tcPr>
            <w:tcW w:w="909" w:type="dxa"/>
            <w:vAlign w:val="top"/>
          </w:tcPr>
          <w:p w14:paraId="7A0F1563">
            <w:pPr>
              <w:rPr>
                <w:rFonts w:ascii="Arial"/>
                <w:sz w:val="21"/>
              </w:rPr>
            </w:pPr>
          </w:p>
        </w:tc>
        <w:tc>
          <w:tcPr>
            <w:tcW w:w="879" w:type="dxa"/>
            <w:vAlign w:val="top"/>
          </w:tcPr>
          <w:p w14:paraId="23258AA1">
            <w:pPr>
              <w:rPr>
                <w:rFonts w:ascii="Arial"/>
                <w:sz w:val="21"/>
              </w:rPr>
            </w:pPr>
          </w:p>
        </w:tc>
        <w:tc>
          <w:tcPr>
            <w:tcW w:w="909" w:type="dxa"/>
            <w:vAlign w:val="top"/>
          </w:tcPr>
          <w:p w14:paraId="4FDD5B22">
            <w:pPr>
              <w:rPr>
                <w:rFonts w:ascii="Arial"/>
                <w:sz w:val="21"/>
              </w:rPr>
            </w:pPr>
          </w:p>
        </w:tc>
        <w:tc>
          <w:tcPr>
            <w:tcW w:w="889" w:type="dxa"/>
            <w:vAlign w:val="top"/>
          </w:tcPr>
          <w:p w14:paraId="1FE28A91">
            <w:pPr>
              <w:rPr>
                <w:rFonts w:ascii="Arial"/>
                <w:sz w:val="21"/>
              </w:rPr>
            </w:pPr>
          </w:p>
        </w:tc>
        <w:tc>
          <w:tcPr>
            <w:tcW w:w="899" w:type="dxa"/>
            <w:vAlign w:val="top"/>
          </w:tcPr>
          <w:p w14:paraId="7812E4F8">
            <w:pPr>
              <w:rPr>
                <w:rFonts w:ascii="Arial"/>
                <w:sz w:val="21"/>
              </w:rPr>
            </w:pPr>
          </w:p>
        </w:tc>
        <w:tc>
          <w:tcPr>
            <w:tcW w:w="910" w:type="dxa"/>
            <w:vAlign w:val="top"/>
          </w:tcPr>
          <w:p w14:paraId="1C577ECB">
            <w:pPr>
              <w:rPr>
                <w:rFonts w:ascii="Arial"/>
                <w:sz w:val="21"/>
              </w:rPr>
            </w:pPr>
          </w:p>
        </w:tc>
        <w:tc>
          <w:tcPr>
            <w:tcW w:w="885" w:type="dxa"/>
            <w:vAlign w:val="top"/>
          </w:tcPr>
          <w:p w14:paraId="05530BA8">
            <w:pPr>
              <w:rPr>
                <w:rFonts w:ascii="Arial"/>
                <w:sz w:val="21"/>
              </w:rPr>
            </w:pPr>
          </w:p>
        </w:tc>
      </w:tr>
      <w:tr w14:paraId="65FC8C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97" w:hRule="atLeast"/>
        </w:trPr>
        <w:tc>
          <w:tcPr>
            <w:tcW w:w="765" w:type="dxa"/>
            <w:vAlign w:val="top"/>
          </w:tcPr>
          <w:p w14:paraId="0D08523D">
            <w:pPr>
              <w:spacing w:line="266" w:lineRule="auto"/>
              <w:rPr>
                <w:rFonts w:ascii="Arial"/>
                <w:sz w:val="21"/>
              </w:rPr>
            </w:pPr>
          </w:p>
          <w:p w14:paraId="6BD91029">
            <w:pPr>
              <w:spacing w:line="266" w:lineRule="auto"/>
              <w:rPr>
                <w:rFonts w:ascii="Arial"/>
                <w:sz w:val="21"/>
              </w:rPr>
            </w:pPr>
          </w:p>
          <w:p w14:paraId="3BD473D8">
            <w:pPr>
              <w:spacing w:line="267" w:lineRule="auto"/>
              <w:rPr>
                <w:rFonts w:ascii="Arial"/>
                <w:sz w:val="21"/>
              </w:rPr>
            </w:pPr>
          </w:p>
          <w:p w14:paraId="619AC7B8">
            <w:pPr>
              <w:pStyle w:val="6"/>
              <w:spacing w:before="69"/>
              <w:ind w:left="314"/>
            </w:pPr>
            <w:r>
              <w:t>3</w:t>
            </w:r>
          </w:p>
        </w:tc>
        <w:tc>
          <w:tcPr>
            <w:tcW w:w="1789" w:type="dxa"/>
            <w:vAlign w:val="top"/>
          </w:tcPr>
          <w:p w14:paraId="717BEA16">
            <w:pPr>
              <w:spacing w:line="260" w:lineRule="auto"/>
              <w:rPr>
                <w:rFonts w:ascii="Arial"/>
                <w:sz w:val="21"/>
              </w:rPr>
            </w:pPr>
          </w:p>
          <w:p w14:paraId="5DF0F151">
            <w:pPr>
              <w:spacing w:line="260" w:lineRule="auto"/>
              <w:rPr>
                <w:rFonts w:ascii="Arial"/>
                <w:sz w:val="21"/>
              </w:rPr>
            </w:pPr>
          </w:p>
          <w:p w14:paraId="70BC4402">
            <w:pPr>
              <w:spacing w:line="260" w:lineRule="auto"/>
              <w:rPr>
                <w:rFonts w:ascii="Arial"/>
                <w:sz w:val="21"/>
              </w:rPr>
            </w:pPr>
          </w:p>
          <w:p w14:paraId="2525B3D6">
            <w:pPr>
              <w:pStyle w:val="6"/>
              <w:spacing w:before="68" w:line="220" w:lineRule="auto"/>
              <w:ind w:left="459"/>
            </w:pPr>
            <w:r>
              <w:rPr>
                <w:spacing w:val="-3"/>
              </w:rPr>
              <w:t>工程质量</w:t>
            </w:r>
          </w:p>
        </w:tc>
        <w:tc>
          <w:tcPr>
            <w:tcW w:w="3118" w:type="dxa"/>
            <w:vAlign w:val="top"/>
          </w:tcPr>
          <w:p w14:paraId="3DBEF4BA">
            <w:pPr>
              <w:pStyle w:val="6"/>
              <w:spacing w:before="22" w:line="241" w:lineRule="auto"/>
              <w:ind w:left="131" w:right="233"/>
            </w:pPr>
            <w:r>
              <w:rPr>
                <w:spacing w:val="1"/>
              </w:rPr>
              <w:t>符合第二章“投标人须知”第</w:t>
            </w:r>
            <w:r>
              <w:t xml:space="preserve"> </w:t>
            </w:r>
            <w:r>
              <w:rPr>
                <w:spacing w:val="1"/>
              </w:rPr>
              <w:t>1.3.3项规定</w:t>
            </w:r>
          </w:p>
          <w:p w14:paraId="6619090B">
            <w:pPr>
              <w:pStyle w:val="6"/>
              <w:spacing w:before="1" w:line="247" w:lineRule="auto"/>
              <w:ind w:left="131" w:firstLine="78"/>
            </w:pPr>
            <w:r>
              <w:rPr>
                <w:spacing w:val="4"/>
              </w:rPr>
              <w:t>(投标文件中载明的质量标准、</w:t>
            </w:r>
            <w:r>
              <w:rPr>
                <w:spacing w:val="6"/>
              </w:rPr>
              <w:t xml:space="preserve"> </w:t>
            </w:r>
            <w:r>
              <w:rPr>
                <w:spacing w:val="-4"/>
              </w:rPr>
              <w:t>质量奖项必须达到招标文件规</w:t>
            </w:r>
          </w:p>
          <w:p w14:paraId="2F6DCFF1">
            <w:pPr>
              <w:pStyle w:val="6"/>
              <w:spacing w:before="2" w:line="220" w:lineRule="auto"/>
              <w:ind w:left="121" w:right="265" w:firstLine="9"/>
            </w:pPr>
            <w:r>
              <w:t>定的质量标准、质量奖项(如</w:t>
            </w:r>
            <w:r>
              <w:rPr>
                <w:spacing w:val="9"/>
              </w:rPr>
              <w:t xml:space="preserve"> </w:t>
            </w:r>
            <w:r>
              <w:rPr>
                <w:spacing w:val="-1"/>
              </w:rPr>
              <w:t>有),不能以质量奖项代替质量</w:t>
            </w:r>
            <w:r>
              <w:rPr>
                <w:spacing w:val="3"/>
              </w:rPr>
              <w:t xml:space="preserve"> </w:t>
            </w:r>
            <w:r>
              <w:rPr>
                <w:spacing w:val="13"/>
              </w:rPr>
              <w:t>标准)</w:t>
            </w:r>
          </w:p>
        </w:tc>
        <w:tc>
          <w:tcPr>
            <w:tcW w:w="909" w:type="dxa"/>
            <w:vAlign w:val="top"/>
          </w:tcPr>
          <w:p w14:paraId="23EED57A">
            <w:pPr>
              <w:rPr>
                <w:rFonts w:ascii="Arial"/>
                <w:sz w:val="21"/>
              </w:rPr>
            </w:pPr>
          </w:p>
        </w:tc>
        <w:tc>
          <w:tcPr>
            <w:tcW w:w="889" w:type="dxa"/>
            <w:vAlign w:val="top"/>
          </w:tcPr>
          <w:p w14:paraId="13B15CEF">
            <w:pPr>
              <w:rPr>
                <w:rFonts w:ascii="Arial"/>
                <w:sz w:val="21"/>
              </w:rPr>
            </w:pPr>
          </w:p>
        </w:tc>
        <w:tc>
          <w:tcPr>
            <w:tcW w:w="909" w:type="dxa"/>
            <w:vAlign w:val="top"/>
          </w:tcPr>
          <w:p w14:paraId="1FACEFF7">
            <w:pPr>
              <w:rPr>
                <w:rFonts w:ascii="Arial"/>
                <w:sz w:val="21"/>
              </w:rPr>
            </w:pPr>
          </w:p>
        </w:tc>
        <w:tc>
          <w:tcPr>
            <w:tcW w:w="879" w:type="dxa"/>
            <w:vAlign w:val="top"/>
          </w:tcPr>
          <w:p w14:paraId="493C90F3">
            <w:pPr>
              <w:rPr>
                <w:rFonts w:ascii="Arial"/>
                <w:sz w:val="21"/>
              </w:rPr>
            </w:pPr>
          </w:p>
        </w:tc>
        <w:tc>
          <w:tcPr>
            <w:tcW w:w="909" w:type="dxa"/>
            <w:vAlign w:val="top"/>
          </w:tcPr>
          <w:p w14:paraId="490BEFC5">
            <w:pPr>
              <w:rPr>
                <w:rFonts w:ascii="Arial"/>
                <w:sz w:val="21"/>
              </w:rPr>
            </w:pPr>
          </w:p>
        </w:tc>
        <w:tc>
          <w:tcPr>
            <w:tcW w:w="889" w:type="dxa"/>
            <w:vAlign w:val="top"/>
          </w:tcPr>
          <w:p w14:paraId="3CB6A614">
            <w:pPr>
              <w:rPr>
                <w:rFonts w:ascii="Arial"/>
                <w:sz w:val="21"/>
              </w:rPr>
            </w:pPr>
          </w:p>
        </w:tc>
        <w:tc>
          <w:tcPr>
            <w:tcW w:w="899" w:type="dxa"/>
            <w:vAlign w:val="top"/>
          </w:tcPr>
          <w:p w14:paraId="1A90E354">
            <w:pPr>
              <w:rPr>
                <w:rFonts w:ascii="Arial"/>
                <w:sz w:val="21"/>
              </w:rPr>
            </w:pPr>
          </w:p>
        </w:tc>
        <w:tc>
          <w:tcPr>
            <w:tcW w:w="910" w:type="dxa"/>
            <w:vAlign w:val="top"/>
          </w:tcPr>
          <w:p w14:paraId="2E7A5768">
            <w:pPr>
              <w:rPr>
                <w:rFonts w:ascii="Arial"/>
                <w:sz w:val="21"/>
              </w:rPr>
            </w:pPr>
          </w:p>
        </w:tc>
        <w:tc>
          <w:tcPr>
            <w:tcW w:w="885" w:type="dxa"/>
            <w:vAlign w:val="top"/>
          </w:tcPr>
          <w:p w14:paraId="05E186EB">
            <w:pPr>
              <w:rPr>
                <w:rFonts w:ascii="Arial"/>
                <w:sz w:val="21"/>
              </w:rPr>
            </w:pPr>
          </w:p>
        </w:tc>
      </w:tr>
      <w:tr w14:paraId="5365AD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9" w:hRule="atLeast"/>
        </w:trPr>
        <w:tc>
          <w:tcPr>
            <w:tcW w:w="765" w:type="dxa"/>
            <w:vAlign w:val="top"/>
          </w:tcPr>
          <w:p w14:paraId="3F1D1AF6">
            <w:pPr>
              <w:pStyle w:val="6"/>
              <w:spacing w:before="196" w:line="241" w:lineRule="auto"/>
              <w:ind w:left="314"/>
            </w:pPr>
            <w:r>
              <w:t>4</w:t>
            </w:r>
          </w:p>
        </w:tc>
        <w:tc>
          <w:tcPr>
            <w:tcW w:w="1789" w:type="dxa"/>
            <w:vAlign w:val="top"/>
          </w:tcPr>
          <w:p w14:paraId="69C3DB97">
            <w:pPr>
              <w:pStyle w:val="6"/>
              <w:spacing w:before="176" w:line="220" w:lineRule="auto"/>
              <w:ind w:left="359"/>
            </w:pPr>
            <w:r>
              <w:rPr>
                <w:spacing w:val="2"/>
              </w:rPr>
              <w:t>投标有效期</w:t>
            </w:r>
          </w:p>
        </w:tc>
        <w:tc>
          <w:tcPr>
            <w:tcW w:w="3118" w:type="dxa"/>
            <w:vAlign w:val="top"/>
          </w:tcPr>
          <w:p w14:paraId="37C96A1C">
            <w:pPr>
              <w:pStyle w:val="6"/>
              <w:spacing w:before="35" w:line="217" w:lineRule="auto"/>
              <w:ind w:left="110" w:right="43" w:firstLine="209"/>
            </w:pPr>
            <w:r>
              <w:rPr>
                <w:spacing w:val="1"/>
              </w:rPr>
              <w:t>符合第二章“投标人须知”第</w:t>
            </w:r>
            <w:r>
              <w:t xml:space="preserve"> </w:t>
            </w:r>
            <w:r>
              <w:rPr>
                <w:spacing w:val="1"/>
              </w:rPr>
              <w:t>3.3.1项规定</w:t>
            </w:r>
          </w:p>
        </w:tc>
        <w:tc>
          <w:tcPr>
            <w:tcW w:w="909" w:type="dxa"/>
            <w:vAlign w:val="top"/>
          </w:tcPr>
          <w:p w14:paraId="34258029">
            <w:pPr>
              <w:rPr>
                <w:rFonts w:ascii="Arial"/>
                <w:sz w:val="21"/>
              </w:rPr>
            </w:pPr>
          </w:p>
        </w:tc>
        <w:tc>
          <w:tcPr>
            <w:tcW w:w="889" w:type="dxa"/>
            <w:vAlign w:val="top"/>
          </w:tcPr>
          <w:p w14:paraId="445A88F8">
            <w:pPr>
              <w:rPr>
                <w:rFonts w:ascii="Arial"/>
                <w:sz w:val="21"/>
              </w:rPr>
            </w:pPr>
          </w:p>
        </w:tc>
        <w:tc>
          <w:tcPr>
            <w:tcW w:w="909" w:type="dxa"/>
            <w:vAlign w:val="top"/>
          </w:tcPr>
          <w:p w14:paraId="670C198D">
            <w:pPr>
              <w:rPr>
                <w:rFonts w:ascii="Arial"/>
                <w:sz w:val="21"/>
              </w:rPr>
            </w:pPr>
          </w:p>
        </w:tc>
        <w:tc>
          <w:tcPr>
            <w:tcW w:w="879" w:type="dxa"/>
            <w:vAlign w:val="top"/>
          </w:tcPr>
          <w:p w14:paraId="114E6800">
            <w:pPr>
              <w:rPr>
                <w:rFonts w:ascii="Arial"/>
                <w:sz w:val="21"/>
              </w:rPr>
            </w:pPr>
          </w:p>
        </w:tc>
        <w:tc>
          <w:tcPr>
            <w:tcW w:w="909" w:type="dxa"/>
            <w:vAlign w:val="top"/>
          </w:tcPr>
          <w:p w14:paraId="7D20DDF7">
            <w:pPr>
              <w:rPr>
                <w:rFonts w:ascii="Arial"/>
                <w:sz w:val="21"/>
              </w:rPr>
            </w:pPr>
          </w:p>
        </w:tc>
        <w:tc>
          <w:tcPr>
            <w:tcW w:w="889" w:type="dxa"/>
            <w:vAlign w:val="top"/>
          </w:tcPr>
          <w:p w14:paraId="0E26842E">
            <w:pPr>
              <w:rPr>
                <w:rFonts w:ascii="Arial"/>
                <w:sz w:val="21"/>
              </w:rPr>
            </w:pPr>
          </w:p>
        </w:tc>
        <w:tc>
          <w:tcPr>
            <w:tcW w:w="899" w:type="dxa"/>
            <w:vAlign w:val="top"/>
          </w:tcPr>
          <w:p w14:paraId="4B4175CF">
            <w:pPr>
              <w:rPr>
                <w:rFonts w:ascii="Arial"/>
                <w:sz w:val="21"/>
              </w:rPr>
            </w:pPr>
          </w:p>
        </w:tc>
        <w:tc>
          <w:tcPr>
            <w:tcW w:w="910" w:type="dxa"/>
            <w:vAlign w:val="top"/>
          </w:tcPr>
          <w:p w14:paraId="61240C15">
            <w:pPr>
              <w:rPr>
                <w:rFonts w:ascii="Arial"/>
                <w:sz w:val="21"/>
              </w:rPr>
            </w:pPr>
          </w:p>
        </w:tc>
        <w:tc>
          <w:tcPr>
            <w:tcW w:w="885" w:type="dxa"/>
            <w:vAlign w:val="top"/>
          </w:tcPr>
          <w:p w14:paraId="0D25D224">
            <w:pPr>
              <w:rPr>
                <w:rFonts w:ascii="Arial"/>
                <w:sz w:val="21"/>
              </w:rPr>
            </w:pPr>
          </w:p>
        </w:tc>
      </w:tr>
      <w:tr w14:paraId="2FDBD4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52" w:hRule="atLeast"/>
        </w:trPr>
        <w:tc>
          <w:tcPr>
            <w:tcW w:w="765" w:type="dxa"/>
            <w:vAlign w:val="top"/>
          </w:tcPr>
          <w:p w14:paraId="527B7C1D">
            <w:pPr>
              <w:spacing w:line="268" w:lineRule="auto"/>
              <w:rPr>
                <w:rFonts w:ascii="Arial"/>
                <w:sz w:val="21"/>
              </w:rPr>
            </w:pPr>
          </w:p>
          <w:p w14:paraId="39F181C5">
            <w:pPr>
              <w:spacing w:line="268" w:lineRule="auto"/>
              <w:rPr>
                <w:rFonts w:ascii="Arial"/>
                <w:sz w:val="21"/>
              </w:rPr>
            </w:pPr>
          </w:p>
          <w:p w14:paraId="6B883005">
            <w:pPr>
              <w:spacing w:line="268" w:lineRule="auto"/>
              <w:rPr>
                <w:rFonts w:ascii="Arial"/>
                <w:sz w:val="21"/>
              </w:rPr>
            </w:pPr>
          </w:p>
          <w:p w14:paraId="4F6A8CC4">
            <w:pPr>
              <w:spacing w:line="268" w:lineRule="auto"/>
              <w:rPr>
                <w:rFonts w:ascii="Arial"/>
                <w:sz w:val="21"/>
              </w:rPr>
            </w:pPr>
          </w:p>
          <w:p w14:paraId="7B39830B">
            <w:pPr>
              <w:pStyle w:val="6"/>
              <w:spacing w:before="68"/>
              <w:ind w:left="314"/>
            </w:pPr>
            <w:r>
              <w:t>5</w:t>
            </w:r>
          </w:p>
        </w:tc>
        <w:tc>
          <w:tcPr>
            <w:tcW w:w="1789" w:type="dxa"/>
            <w:vAlign w:val="top"/>
          </w:tcPr>
          <w:p w14:paraId="0D9DEEAF">
            <w:pPr>
              <w:spacing w:line="263" w:lineRule="auto"/>
              <w:rPr>
                <w:rFonts w:ascii="Arial"/>
                <w:sz w:val="21"/>
              </w:rPr>
            </w:pPr>
          </w:p>
          <w:p w14:paraId="705CD71F">
            <w:pPr>
              <w:spacing w:line="263" w:lineRule="auto"/>
              <w:rPr>
                <w:rFonts w:ascii="Arial"/>
                <w:sz w:val="21"/>
              </w:rPr>
            </w:pPr>
          </w:p>
          <w:p w14:paraId="59FFB1DB">
            <w:pPr>
              <w:spacing w:line="263" w:lineRule="auto"/>
              <w:rPr>
                <w:rFonts w:ascii="Arial"/>
                <w:sz w:val="21"/>
              </w:rPr>
            </w:pPr>
          </w:p>
          <w:p w14:paraId="3FF9644D">
            <w:pPr>
              <w:spacing w:line="263" w:lineRule="auto"/>
              <w:rPr>
                <w:rFonts w:ascii="Arial"/>
                <w:sz w:val="21"/>
              </w:rPr>
            </w:pPr>
          </w:p>
          <w:p w14:paraId="60E410C1">
            <w:pPr>
              <w:pStyle w:val="6"/>
              <w:spacing w:before="68" w:line="220" w:lineRule="auto"/>
              <w:ind w:left="359"/>
            </w:pPr>
            <w:r>
              <w:rPr>
                <w:spacing w:val="-2"/>
              </w:rPr>
              <w:t>投标保证金</w:t>
            </w:r>
          </w:p>
        </w:tc>
        <w:tc>
          <w:tcPr>
            <w:tcW w:w="3118" w:type="dxa"/>
            <w:vAlign w:val="top"/>
          </w:tcPr>
          <w:p w14:paraId="5F2056E5">
            <w:pPr>
              <w:pStyle w:val="6"/>
              <w:spacing w:before="35" w:line="219" w:lineRule="auto"/>
              <w:ind w:left="121"/>
            </w:pPr>
            <w:r>
              <w:rPr>
                <w:spacing w:val="1"/>
              </w:rPr>
              <w:t>符合第二章“投标人须知”第</w:t>
            </w:r>
          </w:p>
          <w:p w14:paraId="4199A57A">
            <w:pPr>
              <w:pStyle w:val="6"/>
              <w:spacing w:before="42" w:line="239" w:lineRule="auto"/>
              <w:ind w:left="110" w:right="47" w:firstLine="209"/>
            </w:pPr>
            <w:r>
              <w:t>3.4.1项规定(投标保证金符合</w:t>
            </w:r>
            <w:r>
              <w:rPr>
                <w:spacing w:val="8"/>
              </w:rPr>
              <w:t xml:space="preserve"> </w:t>
            </w:r>
            <w:r>
              <w:rPr>
                <w:spacing w:val="-1"/>
              </w:rPr>
              <w:t>要求是指投标保证金的形式、金</w:t>
            </w:r>
            <w:r>
              <w:rPr>
                <w:spacing w:val="3"/>
              </w:rPr>
              <w:t xml:space="preserve"> </w:t>
            </w:r>
            <w:r>
              <w:rPr>
                <w:spacing w:val="-1"/>
              </w:rPr>
              <w:t>额、递交截止时间、递交方式符</w:t>
            </w:r>
            <w:r>
              <w:rPr>
                <w:spacing w:val="4"/>
              </w:rPr>
              <w:t xml:space="preserve"> </w:t>
            </w:r>
            <w:r>
              <w:rPr>
                <w:spacing w:val="-1"/>
              </w:rPr>
              <w:t>合招标文件规定；以现金、支票</w:t>
            </w:r>
            <w:r>
              <w:rPr>
                <w:spacing w:val="3"/>
              </w:rPr>
              <w:t xml:space="preserve"> </w:t>
            </w:r>
            <w:r>
              <w:t>方式提交的应从投标人基本账</w:t>
            </w:r>
          </w:p>
          <w:p w14:paraId="73B7ADB3">
            <w:pPr>
              <w:pStyle w:val="6"/>
              <w:spacing w:line="233" w:lineRule="auto"/>
              <w:ind w:left="120" w:right="66" w:hanging="10"/>
            </w:pPr>
            <w:r>
              <w:rPr>
                <w:spacing w:val="-1"/>
              </w:rPr>
              <w:t>户转出，即投标人汇款凭证的账</w:t>
            </w:r>
            <w:r>
              <w:rPr>
                <w:spacing w:val="3"/>
              </w:rPr>
              <w:t xml:space="preserve"> </w:t>
            </w:r>
            <w:r>
              <w:rPr>
                <w:spacing w:val="-1"/>
              </w:rPr>
              <w:t>户号与其基本账户开户许可证</w:t>
            </w:r>
          </w:p>
          <w:p w14:paraId="1764BCF4">
            <w:pPr>
              <w:pStyle w:val="6"/>
              <w:spacing w:line="197" w:lineRule="auto"/>
              <w:ind w:left="121"/>
            </w:pPr>
            <w:r>
              <w:rPr>
                <w:spacing w:val="5"/>
              </w:rPr>
              <w:t>的账户号一致)</w:t>
            </w:r>
          </w:p>
        </w:tc>
        <w:tc>
          <w:tcPr>
            <w:tcW w:w="909" w:type="dxa"/>
            <w:vAlign w:val="top"/>
          </w:tcPr>
          <w:p w14:paraId="262E023C">
            <w:pPr>
              <w:rPr>
                <w:rFonts w:ascii="Arial"/>
                <w:sz w:val="21"/>
              </w:rPr>
            </w:pPr>
          </w:p>
        </w:tc>
        <w:tc>
          <w:tcPr>
            <w:tcW w:w="889" w:type="dxa"/>
            <w:vAlign w:val="top"/>
          </w:tcPr>
          <w:p w14:paraId="6DDB91C1">
            <w:pPr>
              <w:rPr>
                <w:rFonts w:ascii="Arial"/>
                <w:sz w:val="21"/>
              </w:rPr>
            </w:pPr>
          </w:p>
        </w:tc>
        <w:tc>
          <w:tcPr>
            <w:tcW w:w="909" w:type="dxa"/>
            <w:vAlign w:val="top"/>
          </w:tcPr>
          <w:p w14:paraId="1B7C35EA">
            <w:pPr>
              <w:rPr>
                <w:rFonts w:ascii="Arial"/>
                <w:sz w:val="21"/>
              </w:rPr>
            </w:pPr>
          </w:p>
        </w:tc>
        <w:tc>
          <w:tcPr>
            <w:tcW w:w="879" w:type="dxa"/>
            <w:vAlign w:val="top"/>
          </w:tcPr>
          <w:p w14:paraId="31848D80">
            <w:pPr>
              <w:rPr>
                <w:rFonts w:ascii="Arial"/>
                <w:sz w:val="21"/>
              </w:rPr>
            </w:pPr>
          </w:p>
        </w:tc>
        <w:tc>
          <w:tcPr>
            <w:tcW w:w="909" w:type="dxa"/>
            <w:vAlign w:val="top"/>
          </w:tcPr>
          <w:p w14:paraId="4884D4B2">
            <w:pPr>
              <w:rPr>
                <w:rFonts w:ascii="Arial"/>
                <w:sz w:val="21"/>
              </w:rPr>
            </w:pPr>
          </w:p>
        </w:tc>
        <w:tc>
          <w:tcPr>
            <w:tcW w:w="889" w:type="dxa"/>
            <w:vAlign w:val="top"/>
          </w:tcPr>
          <w:p w14:paraId="008ACF10">
            <w:pPr>
              <w:rPr>
                <w:rFonts w:ascii="Arial"/>
                <w:sz w:val="21"/>
              </w:rPr>
            </w:pPr>
          </w:p>
        </w:tc>
        <w:tc>
          <w:tcPr>
            <w:tcW w:w="899" w:type="dxa"/>
            <w:vAlign w:val="top"/>
          </w:tcPr>
          <w:p w14:paraId="4E57F2B1">
            <w:pPr>
              <w:rPr>
                <w:rFonts w:ascii="Arial"/>
                <w:sz w:val="21"/>
              </w:rPr>
            </w:pPr>
          </w:p>
        </w:tc>
        <w:tc>
          <w:tcPr>
            <w:tcW w:w="910" w:type="dxa"/>
            <w:vAlign w:val="top"/>
          </w:tcPr>
          <w:p w14:paraId="158565FF">
            <w:pPr>
              <w:rPr>
                <w:rFonts w:ascii="Arial"/>
                <w:sz w:val="21"/>
              </w:rPr>
            </w:pPr>
          </w:p>
        </w:tc>
        <w:tc>
          <w:tcPr>
            <w:tcW w:w="885" w:type="dxa"/>
            <w:vAlign w:val="top"/>
          </w:tcPr>
          <w:p w14:paraId="33AD5EB8">
            <w:pPr>
              <w:rPr>
                <w:rFonts w:ascii="Arial"/>
                <w:sz w:val="21"/>
              </w:rPr>
            </w:pPr>
          </w:p>
        </w:tc>
      </w:tr>
    </w:tbl>
    <w:p w14:paraId="523C5EA4">
      <w:pPr>
        <w:rPr>
          <w:rFonts w:ascii="Arial"/>
          <w:sz w:val="21"/>
        </w:rPr>
      </w:pPr>
    </w:p>
    <w:p w14:paraId="3150DCEF">
      <w:pPr>
        <w:rPr>
          <w:rFonts w:ascii="Arial" w:hAnsi="Arial" w:eastAsia="Arial" w:cs="Arial"/>
          <w:sz w:val="21"/>
          <w:szCs w:val="21"/>
        </w:rPr>
        <w:sectPr>
          <w:footerReference r:id="rId80" w:type="default"/>
          <w:pgSz w:w="16840" w:h="11910"/>
          <w:pgMar w:top="1012" w:right="1514" w:bottom="978" w:left="1564" w:header="0" w:footer="825" w:gutter="0"/>
          <w:cols w:space="720" w:num="1"/>
        </w:sectPr>
      </w:pPr>
    </w:p>
    <w:p w14:paraId="493E4C9E">
      <w:pPr>
        <w:spacing w:before="15"/>
      </w:pPr>
    </w:p>
    <w:p w14:paraId="4A27A9CE">
      <w:pPr>
        <w:spacing w:before="14"/>
      </w:pPr>
    </w:p>
    <w:tbl>
      <w:tblPr>
        <w:tblStyle w:val="5"/>
        <w:tblW w:w="1375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65"/>
        <w:gridCol w:w="1789"/>
        <w:gridCol w:w="3118"/>
        <w:gridCol w:w="909"/>
        <w:gridCol w:w="879"/>
        <w:gridCol w:w="909"/>
        <w:gridCol w:w="889"/>
        <w:gridCol w:w="909"/>
        <w:gridCol w:w="880"/>
        <w:gridCol w:w="909"/>
        <w:gridCol w:w="909"/>
        <w:gridCol w:w="885"/>
      </w:tblGrid>
      <w:tr w14:paraId="27A558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4" w:hRule="atLeast"/>
        </w:trPr>
        <w:tc>
          <w:tcPr>
            <w:tcW w:w="765" w:type="dxa"/>
            <w:vAlign w:val="top"/>
          </w:tcPr>
          <w:p w14:paraId="5F01E859">
            <w:pPr>
              <w:spacing w:line="254" w:lineRule="auto"/>
              <w:rPr>
                <w:rFonts w:ascii="Arial"/>
                <w:sz w:val="21"/>
              </w:rPr>
            </w:pPr>
          </w:p>
          <w:p w14:paraId="48ABA12B">
            <w:pPr>
              <w:pStyle w:val="6"/>
              <w:spacing w:before="68"/>
              <w:ind w:left="314"/>
            </w:pPr>
            <w:r>
              <w:t>6</w:t>
            </w:r>
          </w:p>
        </w:tc>
        <w:tc>
          <w:tcPr>
            <w:tcW w:w="1789" w:type="dxa"/>
            <w:vAlign w:val="top"/>
          </w:tcPr>
          <w:p w14:paraId="33F449A7">
            <w:pPr>
              <w:pStyle w:val="6"/>
              <w:spacing w:before="303" w:line="219" w:lineRule="auto"/>
              <w:ind w:left="459"/>
            </w:pPr>
            <w:r>
              <w:rPr>
                <w:spacing w:val="-2"/>
              </w:rPr>
              <w:t>权利义务</w:t>
            </w:r>
          </w:p>
        </w:tc>
        <w:tc>
          <w:tcPr>
            <w:tcW w:w="3118" w:type="dxa"/>
            <w:vAlign w:val="top"/>
          </w:tcPr>
          <w:p w14:paraId="603FD919">
            <w:pPr>
              <w:pStyle w:val="6"/>
              <w:spacing w:before="43" w:line="223" w:lineRule="auto"/>
              <w:ind w:left="121" w:right="267"/>
              <w:jc w:val="both"/>
            </w:pPr>
            <w:r>
              <w:rPr>
                <w:spacing w:val="-1"/>
              </w:rPr>
              <w:t>投标函附录中的相关承诺符合</w:t>
            </w:r>
            <w:r>
              <w:rPr>
                <w:spacing w:val="1"/>
              </w:rPr>
              <w:t xml:space="preserve"> </w:t>
            </w:r>
            <w:r>
              <w:rPr>
                <w:spacing w:val="-1"/>
              </w:rPr>
              <w:t>或优于第四章“合同条款及格</w:t>
            </w:r>
            <w:r>
              <w:rPr>
                <w:spacing w:val="1"/>
              </w:rPr>
              <w:t xml:space="preserve"> </w:t>
            </w:r>
            <w:r>
              <w:rPr>
                <w:spacing w:val="3"/>
              </w:rPr>
              <w:t>式”规定</w:t>
            </w:r>
          </w:p>
        </w:tc>
        <w:tc>
          <w:tcPr>
            <w:tcW w:w="909" w:type="dxa"/>
            <w:vAlign w:val="top"/>
          </w:tcPr>
          <w:p w14:paraId="6E26DEEB">
            <w:pPr>
              <w:rPr>
                <w:rFonts w:ascii="Arial"/>
                <w:sz w:val="21"/>
              </w:rPr>
            </w:pPr>
          </w:p>
        </w:tc>
        <w:tc>
          <w:tcPr>
            <w:tcW w:w="879" w:type="dxa"/>
            <w:vAlign w:val="top"/>
          </w:tcPr>
          <w:p w14:paraId="5BEAEB7B">
            <w:pPr>
              <w:rPr>
                <w:rFonts w:ascii="Arial"/>
                <w:sz w:val="21"/>
              </w:rPr>
            </w:pPr>
          </w:p>
        </w:tc>
        <w:tc>
          <w:tcPr>
            <w:tcW w:w="909" w:type="dxa"/>
            <w:vAlign w:val="top"/>
          </w:tcPr>
          <w:p w14:paraId="70C6DE43">
            <w:pPr>
              <w:rPr>
                <w:rFonts w:ascii="Arial"/>
                <w:sz w:val="21"/>
              </w:rPr>
            </w:pPr>
          </w:p>
        </w:tc>
        <w:tc>
          <w:tcPr>
            <w:tcW w:w="889" w:type="dxa"/>
            <w:vAlign w:val="top"/>
          </w:tcPr>
          <w:p w14:paraId="71C5709F">
            <w:pPr>
              <w:rPr>
                <w:rFonts w:ascii="Arial"/>
                <w:sz w:val="21"/>
              </w:rPr>
            </w:pPr>
          </w:p>
        </w:tc>
        <w:tc>
          <w:tcPr>
            <w:tcW w:w="909" w:type="dxa"/>
            <w:vAlign w:val="top"/>
          </w:tcPr>
          <w:p w14:paraId="424B2035">
            <w:pPr>
              <w:rPr>
                <w:rFonts w:ascii="Arial"/>
                <w:sz w:val="21"/>
              </w:rPr>
            </w:pPr>
          </w:p>
        </w:tc>
        <w:tc>
          <w:tcPr>
            <w:tcW w:w="880" w:type="dxa"/>
            <w:vAlign w:val="top"/>
          </w:tcPr>
          <w:p w14:paraId="342CA06A">
            <w:pPr>
              <w:rPr>
                <w:rFonts w:ascii="Arial"/>
                <w:sz w:val="21"/>
              </w:rPr>
            </w:pPr>
          </w:p>
        </w:tc>
        <w:tc>
          <w:tcPr>
            <w:tcW w:w="909" w:type="dxa"/>
            <w:vAlign w:val="top"/>
          </w:tcPr>
          <w:p w14:paraId="466B91BA">
            <w:pPr>
              <w:rPr>
                <w:rFonts w:ascii="Arial"/>
                <w:sz w:val="21"/>
              </w:rPr>
            </w:pPr>
          </w:p>
        </w:tc>
        <w:tc>
          <w:tcPr>
            <w:tcW w:w="909" w:type="dxa"/>
            <w:vAlign w:val="top"/>
          </w:tcPr>
          <w:p w14:paraId="7D1829F9">
            <w:pPr>
              <w:rPr>
                <w:rFonts w:ascii="Arial"/>
                <w:sz w:val="21"/>
              </w:rPr>
            </w:pPr>
          </w:p>
        </w:tc>
        <w:tc>
          <w:tcPr>
            <w:tcW w:w="885" w:type="dxa"/>
            <w:vAlign w:val="top"/>
          </w:tcPr>
          <w:p w14:paraId="12722A21">
            <w:pPr>
              <w:rPr>
                <w:rFonts w:ascii="Arial"/>
                <w:sz w:val="21"/>
              </w:rPr>
            </w:pPr>
          </w:p>
        </w:tc>
      </w:tr>
      <w:tr w14:paraId="79C3AE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9" w:hRule="atLeast"/>
        </w:trPr>
        <w:tc>
          <w:tcPr>
            <w:tcW w:w="765" w:type="dxa"/>
            <w:vAlign w:val="top"/>
          </w:tcPr>
          <w:p w14:paraId="5A637B9A">
            <w:pPr>
              <w:pStyle w:val="6"/>
              <w:spacing w:before="190"/>
              <w:ind w:left="314"/>
            </w:pPr>
            <w:r>
              <w:t>7</w:t>
            </w:r>
          </w:p>
        </w:tc>
        <w:tc>
          <w:tcPr>
            <w:tcW w:w="1789" w:type="dxa"/>
            <w:vAlign w:val="top"/>
          </w:tcPr>
          <w:p w14:paraId="77FF2555">
            <w:pPr>
              <w:pStyle w:val="6"/>
              <w:spacing w:before="169" w:line="219" w:lineRule="auto"/>
              <w:ind w:left="149"/>
            </w:pPr>
            <w:r>
              <w:rPr>
                <w:spacing w:val="-2"/>
              </w:rPr>
              <w:t>技术标准和要求</w:t>
            </w:r>
          </w:p>
        </w:tc>
        <w:tc>
          <w:tcPr>
            <w:tcW w:w="3118" w:type="dxa"/>
            <w:vAlign w:val="top"/>
          </w:tcPr>
          <w:p w14:paraId="07C6A8AF">
            <w:pPr>
              <w:pStyle w:val="6"/>
              <w:spacing w:before="39" w:line="215" w:lineRule="auto"/>
              <w:ind w:left="110" w:firstLine="18"/>
            </w:pPr>
            <w:r>
              <w:rPr>
                <w:spacing w:val="2"/>
              </w:rPr>
              <w:t>符合第七章“技术标准和要求”</w:t>
            </w:r>
            <w:r>
              <w:rPr>
                <w:spacing w:val="9"/>
              </w:rPr>
              <w:t xml:space="preserve"> </w:t>
            </w:r>
            <w:r>
              <w:rPr>
                <w:spacing w:val="-3"/>
              </w:rPr>
              <w:t>规定</w:t>
            </w:r>
          </w:p>
        </w:tc>
        <w:tc>
          <w:tcPr>
            <w:tcW w:w="909" w:type="dxa"/>
            <w:vAlign w:val="top"/>
          </w:tcPr>
          <w:p w14:paraId="7D1A1106">
            <w:pPr>
              <w:rPr>
                <w:rFonts w:ascii="Arial"/>
                <w:sz w:val="21"/>
              </w:rPr>
            </w:pPr>
          </w:p>
        </w:tc>
        <w:tc>
          <w:tcPr>
            <w:tcW w:w="879" w:type="dxa"/>
            <w:vAlign w:val="top"/>
          </w:tcPr>
          <w:p w14:paraId="61A4B189">
            <w:pPr>
              <w:rPr>
                <w:rFonts w:ascii="Arial"/>
                <w:sz w:val="21"/>
              </w:rPr>
            </w:pPr>
          </w:p>
        </w:tc>
        <w:tc>
          <w:tcPr>
            <w:tcW w:w="909" w:type="dxa"/>
            <w:vAlign w:val="top"/>
          </w:tcPr>
          <w:p w14:paraId="505ECF22">
            <w:pPr>
              <w:rPr>
                <w:rFonts w:ascii="Arial"/>
                <w:sz w:val="21"/>
              </w:rPr>
            </w:pPr>
          </w:p>
        </w:tc>
        <w:tc>
          <w:tcPr>
            <w:tcW w:w="889" w:type="dxa"/>
            <w:vAlign w:val="top"/>
          </w:tcPr>
          <w:p w14:paraId="7A500B30">
            <w:pPr>
              <w:rPr>
                <w:rFonts w:ascii="Arial"/>
                <w:sz w:val="21"/>
              </w:rPr>
            </w:pPr>
          </w:p>
        </w:tc>
        <w:tc>
          <w:tcPr>
            <w:tcW w:w="909" w:type="dxa"/>
            <w:vAlign w:val="top"/>
          </w:tcPr>
          <w:p w14:paraId="0F973206">
            <w:pPr>
              <w:rPr>
                <w:rFonts w:ascii="Arial"/>
                <w:sz w:val="21"/>
              </w:rPr>
            </w:pPr>
          </w:p>
        </w:tc>
        <w:tc>
          <w:tcPr>
            <w:tcW w:w="880" w:type="dxa"/>
            <w:vAlign w:val="top"/>
          </w:tcPr>
          <w:p w14:paraId="51017397">
            <w:pPr>
              <w:rPr>
                <w:rFonts w:ascii="Arial"/>
                <w:sz w:val="21"/>
              </w:rPr>
            </w:pPr>
          </w:p>
        </w:tc>
        <w:tc>
          <w:tcPr>
            <w:tcW w:w="909" w:type="dxa"/>
            <w:vAlign w:val="top"/>
          </w:tcPr>
          <w:p w14:paraId="657272C8">
            <w:pPr>
              <w:rPr>
                <w:rFonts w:ascii="Arial"/>
                <w:sz w:val="21"/>
              </w:rPr>
            </w:pPr>
          </w:p>
        </w:tc>
        <w:tc>
          <w:tcPr>
            <w:tcW w:w="909" w:type="dxa"/>
            <w:vAlign w:val="top"/>
          </w:tcPr>
          <w:p w14:paraId="4917102A">
            <w:pPr>
              <w:rPr>
                <w:rFonts w:ascii="Arial"/>
                <w:sz w:val="21"/>
              </w:rPr>
            </w:pPr>
          </w:p>
        </w:tc>
        <w:tc>
          <w:tcPr>
            <w:tcW w:w="885" w:type="dxa"/>
            <w:vAlign w:val="top"/>
          </w:tcPr>
          <w:p w14:paraId="571D02E5">
            <w:pPr>
              <w:rPr>
                <w:rFonts w:ascii="Arial"/>
                <w:sz w:val="21"/>
              </w:rPr>
            </w:pPr>
          </w:p>
        </w:tc>
      </w:tr>
      <w:tr w14:paraId="194161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0" w:hRule="atLeast"/>
        </w:trPr>
        <w:tc>
          <w:tcPr>
            <w:tcW w:w="765" w:type="dxa"/>
            <w:vAlign w:val="top"/>
          </w:tcPr>
          <w:p w14:paraId="05FFD419">
            <w:pPr>
              <w:pStyle w:val="6"/>
              <w:spacing w:before="191"/>
              <w:ind w:left="314"/>
            </w:pPr>
            <w:r>
              <w:t>8</w:t>
            </w:r>
          </w:p>
        </w:tc>
        <w:tc>
          <w:tcPr>
            <w:tcW w:w="1789" w:type="dxa"/>
            <w:vAlign w:val="top"/>
          </w:tcPr>
          <w:p w14:paraId="7F1275B8">
            <w:pPr>
              <w:pStyle w:val="6"/>
              <w:spacing w:before="171" w:line="220" w:lineRule="auto"/>
              <w:ind w:left="459"/>
            </w:pPr>
            <w:r>
              <w:rPr>
                <w:spacing w:val="3"/>
              </w:rPr>
              <w:t>分包计划</w:t>
            </w:r>
          </w:p>
        </w:tc>
        <w:tc>
          <w:tcPr>
            <w:tcW w:w="3118" w:type="dxa"/>
            <w:vAlign w:val="top"/>
          </w:tcPr>
          <w:p w14:paraId="4F1F3E3C">
            <w:pPr>
              <w:pStyle w:val="6"/>
              <w:spacing w:before="29" w:line="220" w:lineRule="auto"/>
              <w:ind w:left="121" w:right="243"/>
            </w:pPr>
            <w:r>
              <w:rPr>
                <w:spacing w:val="1"/>
              </w:rPr>
              <w:t>符合第二章“投标人须知”第</w:t>
            </w:r>
            <w:r>
              <w:t xml:space="preserve"> </w:t>
            </w:r>
            <w:r>
              <w:rPr>
                <w:spacing w:val="1"/>
              </w:rPr>
              <w:t>1.11款规定</w:t>
            </w:r>
          </w:p>
        </w:tc>
        <w:tc>
          <w:tcPr>
            <w:tcW w:w="909" w:type="dxa"/>
            <w:vAlign w:val="top"/>
          </w:tcPr>
          <w:p w14:paraId="33970909">
            <w:pPr>
              <w:rPr>
                <w:rFonts w:ascii="Arial"/>
                <w:sz w:val="21"/>
              </w:rPr>
            </w:pPr>
          </w:p>
        </w:tc>
        <w:tc>
          <w:tcPr>
            <w:tcW w:w="879" w:type="dxa"/>
            <w:vAlign w:val="top"/>
          </w:tcPr>
          <w:p w14:paraId="000713C3">
            <w:pPr>
              <w:rPr>
                <w:rFonts w:ascii="Arial"/>
                <w:sz w:val="21"/>
              </w:rPr>
            </w:pPr>
          </w:p>
        </w:tc>
        <w:tc>
          <w:tcPr>
            <w:tcW w:w="909" w:type="dxa"/>
            <w:vAlign w:val="top"/>
          </w:tcPr>
          <w:p w14:paraId="41AC4D33">
            <w:pPr>
              <w:rPr>
                <w:rFonts w:ascii="Arial"/>
                <w:sz w:val="21"/>
              </w:rPr>
            </w:pPr>
          </w:p>
        </w:tc>
        <w:tc>
          <w:tcPr>
            <w:tcW w:w="889" w:type="dxa"/>
            <w:vAlign w:val="top"/>
          </w:tcPr>
          <w:p w14:paraId="4E022E18">
            <w:pPr>
              <w:rPr>
                <w:rFonts w:ascii="Arial"/>
                <w:sz w:val="21"/>
              </w:rPr>
            </w:pPr>
          </w:p>
        </w:tc>
        <w:tc>
          <w:tcPr>
            <w:tcW w:w="909" w:type="dxa"/>
            <w:vAlign w:val="top"/>
          </w:tcPr>
          <w:p w14:paraId="4214E722">
            <w:pPr>
              <w:rPr>
                <w:rFonts w:ascii="Arial"/>
                <w:sz w:val="21"/>
              </w:rPr>
            </w:pPr>
          </w:p>
        </w:tc>
        <w:tc>
          <w:tcPr>
            <w:tcW w:w="880" w:type="dxa"/>
            <w:vAlign w:val="top"/>
          </w:tcPr>
          <w:p w14:paraId="0DCA545F">
            <w:pPr>
              <w:rPr>
                <w:rFonts w:ascii="Arial"/>
                <w:sz w:val="21"/>
              </w:rPr>
            </w:pPr>
          </w:p>
        </w:tc>
        <w:tc>
          <w:tcPr>
            <w:tcW w:w="909" w:type="dxa"/>
            <w:vAlign w:val="top"/>
          </w:tcPr>
          <w:p w14:paraId="6889A950">
            <w:pPr>
              <w:rPr>
                <w:rFonts w:ascii="Arial"/>
                <w:sz w:val="21"/>
              </w:rPr>
            </w:pPr>
          </w:p>
        </w:tc>
        <w:tc>
          <w:tcPr>
            <w:tcW w:w="909" w:type="dxa"/>
            <w:vAlign w:val="top"/>
          </w:tcPr>
          <w:p w14:paraId="38103E12">
            <w:pPr>
              <w:rPr>
                <w:rFonts w:ascii="Arial"/>
                <w:sz w:val="21"/>
              </w:rPr>
            </w:pPr>
          </w:p>
        </w:tc>
        <w:tc>
          <w:tcPr>
            <w:tcW w:w="885" w:type="dxa"/>
            <w:vAlign w:val="top"/>
          </w:tcPr>
          <w:p w14:paraId="4D08E2BA">
            <w:pPr>
              <w:rPr>
                <w:rFonts w:ascii="Arial"/>
                <w:sz w:val="21"/>
              </w:rPr>
            </w:pPr>
          </w:p>
        </w:tc>
      </w:tr>
      <w:tr w14:paraId="0BDDAE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765" w:type="dxa"/>
            <w:vMerge w:val="restart"/>
            <w:tcBorders>
              <w:bottom w:val="nil"/>
            </w:tcBorders>
            <w:vAlign w:val="top"/>
          </w:tcPr>
          <w:p w14:paraId="7CF5A8FE">
            <w:pPr>
              <w:spacing w:line="330" w:lineRule="auto"/>
              <w:rPr>
                <w:rFonts w:ascii="Arial"/>
                <w:sz w:val="21"/>
              </w:rPr>
            </w:pPr>
          </w:p>
          <w:p w14:paraId="58451EF7">
            <w:pPr>
              <w:pStyle w:val="6"/>
              <w:spacing w:before="69"/>
              <w:ind w:left="314"/>
            </w:pPr>
            <w:r>
              <w:t>9</w:t>
            </w:r>
          </w:p>
        </w:tc>
        <w:tc>
          <w:tcPr>
            <w:tcW w:w="1789" w:type="dxa"/>
            <w:vMerge w:val="restart"/>
            <w:tcBorders>
              <w:bottom w:val="nil"/>
            </w:tcBorders>
            <w:vAlign w:val="top"/>
          </w:tcPr>
          <w:p w14:paraId="2B3F33AE">
            <w:pPr>
              <w:pStyle w:val="6"/>
              <w:spacing w:before="238" w:line="218" w:lineRule="auto"/>
              <w:ind w:left="459"/>
            </w:pPr>
            <w:r>
              <w:rPr>
                <w:spacing w:val="-3"/>
              </w:rPr>
              <w:t>投标报价</w:t>
            </w:r>
          </w:p>
          <w:p w14:paraId="35857F53">
            <w:pPr>
              <w:pStyle w:val="6"/>
              <w:spacing w:before="34" w:line="219" w:lineRule="auto"/>
              <w:ind w:left="249"/>
            </w:pPr>
            <w:r>
              <w:rPr>
                <w:spacing w:val="2"/>
              </w:rPr>
              <w:t>算术错误修正</w:t>
            </w:r>
          </w:p>
        </w:tc>
        <w:tc>
          <w:tcPr>
            <w:tcW w:w="3118" w:type="dxa"/>
            <w:vAlign w:val="top"/>
          </w:tcPr>
          <w:p w14:paraId="402242E5">
            <w:pPr>
              <w:pStyle w:val="6"/>
              <w:spacing w:before="98" w:line="218" w:lineRule="auto"/>
              <w:ind w:left="121"/>
            </w:pPr>
            <w:r>
              <w:rPr>
                <w:spacing w:val="-1"/>
              </w:rPr>
              <w:t>投标人接受算术修正后的报价</w:t>
            </w:r>
          </w:p>
        </w:tc>
        <w:tc>
          <w:tcPr>
            <w:tcW w:w="909" w:type="dxa"/>
            <w:vAlign w:val="top"/>
          </w:tcPr>
          <w:p w14:paraId="2B50A427">
            <w:pPr>
              <w:rPr>
                <w:rFonts w:ascii="Arial"/>
                <w:sz w:val="21"/>
              </w:rPr>
            </w:pPr>
          </w:p>
        </w:tc>
        <w:tc>
          <w:tcPr>
            <w:tcW w:w="879" w:type="dxa"/>
            <w:vAlign w:val="top"/>
          </w:tcPr>
          <w:p w14:paraId="56DDA761">
            <w:pPr>
              <w:rPr>
                <w:rFonts w:ascii="Arial"/>
                <w:sz w:val="21"/>
              </w:rPr>
            </w:pPr>
          </w:p>
        </w:tc>
        <w:tc>
          <w:tcPr>
            <w:tcW w:w="909" w:type="dxa"/>
            <w:vAlign w:val="top"/>
          </w:tcPr>
          <w:p w14:paraId="6FD1A53C">
            <w:pPr>
              <w:rPr>
                <w:rFonts w:ascii="Arial"/>
                <w:sz w:val="21"/>
              </w:rPr>
            </w:pPr>
          </w:p>
        </w:tc>
        <w:tc>
          <w:tcPr>
            <w:tcW w:w="889" w:type="dxa"/>
            <w:vAlign w:val="top"/>
          </w:tcPr>
          <w:p w14:paraId="78C87450">
            <w:pPr>
              <w:rPr>
                <w:rFonts w:ascii="Arial"/>
                <w:sz w:val="21"/>
              </w:rPr>
            </w:pPr>
          </w:p>
        </w:tc>
        <w:tc>
          <w:tcPr>
            <w:tcW w:w="909" w:type="dxa"/>
            <w:vAlign w:val="top"/>
          </w:tcPr>
          <w:p w14:paraId="34E6D225">
            <w:pPr>
              <w:rPr>
                <w:rFonts w:ascii="Arial"/>
                <w:sz w:val="21"/>
              </w:rPr>
            </w:pPr>
          </w:p>
        </w:tc>
        <w:tc>
          <w:tcPr>
            <w:tcW w:w="880" w:type="dxa"/>
            <w:vAlign w:val="top"/>
          </w:tcPr>
          <w:p w14:paraId="07C79965">
            <w:pPr>
              <w:rPr>
                <w:rFonts w:ascii="Arial"/>
                <w:sz w:val="21"/>
              </w:rPr>
            </w:pPr>
          </w:p>
        </w:tc>
        <w:tc>
          <w:tcPr>
            <w:tcW w:w="909" w:type="dxa"/>
            <w:vAlign w:val="top"/>
          </w:tcPr>
          <w:p w14:paraId="0F6BE706">
            <w:pPr>
              <w:rPr>
                <w:rFonts w:ascii="Arial"/>
                <w:sz w:val="21"/>
              </w:rPr>
            </w:pPr>
          </w:p>
        </w:tc>
        <w:tc>
          <w:tcPr>
            <w:tcW w:w="909" w:type="dxa"/>
            <w:vAlign w:val="top"/>
          </w:tcPr>
          <w:p w14:paraId="73E23D73">
            <w:pPr>
              <w:rPr>
                <w:rFonts w:ascii="Arial"/>
                <w:sz w:val="21"/>
              </w:rPr>
            </w:pPr>
          </w:p>
        </w:tc>
        <w:tc>
          <w:tcPr>
            <w:tcW w:w="885" w:type="dxa"/>
            <w:vAlign w:val="top"/>
          </w:tcPr>
          <w:p w14:paraId="6494196F">
            <w:pPr>
              <w:rPr>
                <w:rFonts w:ascii="Arial"/>
                <w:sz w:val="21"/>
              </w:rPr>
            </w:pPr>
          </w:p>
        </w:tc>
      </w:tr>
      <w:tr w14:paraId="18BEF7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0" w:hRule="atLeast"/>
        </w:trPr>
        <w:tc>
          <w:tcPr>
            <w:tcW w:w="765" w:type="dxa"/>
            <w:vMerge w:val="continue"/>
            <w:tcBorders>
              <w:top w:val="nil"/>
            </w:tcBorders>
            <w:vAlign w:val="top"/>
          </w:tcPr>
          <w:p w14:paraId="5E63ACB8">
            <w:pPr>
              <w:rPr>
                <w:rFonts w:ascii="Arial"/>
                <w:sz w:val="21"/>
              </w:rPr>
            </w:pPr>
          </w:p>
        </w:tc>
        <w:tc>
          <w:tcPr>
            <w:tcW w:w="1789" w:type="dxa"/>
            <w:vMerge w:val="continue"/>
            <w:tcBorders>
              <w:top w:val="nil"/>
            </w:tcBorders>
            <w:vAlign w:val="top"/>
          </w:tcPr>
          <w:p w14:paraId="5819BA74">
            <w:pPr>
              <w:rPr>
                <w:rFonts w:ascii="Arial"/>
                <w:sz w:val="21"/>
              </w:rPr>
            </w:pPr>
          </w:p>
        </w:tc>
        <w:tc>
          <w:tcPr>
            <w:tcW w:w="3118" w:type="dxa"/>
            <w:vAlign w:val="top"/>
          </w:tcPr>
          <w:p w14:paraId="738C8652">
            <w:pPr>
              <w:pStyle w:val="6"/>
              <w:spacing w:before="29" w:line="220" w:lineRule="auto"/>
              <w:ind w:left="130" w:right="253" w:hanging="20"/>
            </w:pPr>
            <w:r>
              <w:rPr>
                <w:spacing w:val="1"/>
              </w:rPr>
              <w:t>修正后的报价与投标报价相比</w:t>
            </w:r>
            <w:r>
              <w:t xml:space="preserve"> </w:t>
            </w:r>
            <w:r>
              <w:rPr>
                <w:spacing w:val="-1"/>
              </w:rPr>
              <w:t>偏差率不超过±1%。</w:t>
            </w:r>
          </w:p>
        </w:tc>
        <w:tc>
          <w:tcPr>
            <w:tcW w:w="909" w:type="dxa"/>
            <w:vAlign w:val="top"/>
          </w:tcPr>
          <w:p w14:paraId="34D72A4F">
            <w:pPr>
              <w:rPr>
                <w:rFonts w:ascii="Arial"/>
                <w:sz w:val="21"/>
              </w:rPr>
            </w:pPr>
          </w:p>
        </w:tc>
        <w:tc>
          <w:tcPr>
            <w:tcW w:w="879" w:type="dxa"/>
            <w:vAlign w:val="top"/>
          </w:tcPr>
          <w:p w14:paraId="486FA0B0">
            <w:pPr>
              <w:rPr>
                <w:rFonts w:ascii="Arial"/>
                <w:sz w:val="21"/>
              </w:rPr>
            </w:pPr>
          </w:p>
        </w:tc>
        <w:tc>
          <w:tcPr>
            <w:tcW w:w="909" w:type="dxa"/>
            <w:vAlign w:val="top"/>
          </w:tcPr>
          <w:p w14:paraId="7BBF4D18">
            <w:pPr>
              <w:rPr>
                <w:rFonts w:ascii="Arial"/>
                <w:sz w:val="21"/>
              </w:rPr>
            </w:pPr>
          </w:p>
        </w:tc>
        <w:tc>
          <w:tcPr>
            <w:tcW w:w="889" w:type="dxa"/>
            <w:vAlign w:val="top"/>
          </w:tcPr>
          <w:p w14:paraId="32275F42">
            <w:pPr>
              <w:rPr>
                <w:rFonts w:ascii="Arial"/>
                <w:sz w:val="21"/>
              </w:rPr>
            </w:pPr>
          </w:p>
        </w:tc>
        <w:tc>
          <w:tcPr>
            <w:tcW w:w="909" w:type="dxa"/>
            <w:vAlign w:val="top"/>
          </w:tcPr>
          <w:p w14:paraId="7DAD17CA">
            <w:pPr>
              <w:rPr>
                <w:rFonts w:ascii="Arial"/>
                <w:sz w:val="21"/>
              </w:rPr>
            </w:pPr>
          </w:p>
        </w:tc>
        <w:tc>
          <w:tcPr>
            <w:tcW w:w="880" w:type="dxa"/>
            <w:vAlign w:val="top"/>
          </w:tcPr>
          <w:p w14:paraId="4649435C">
            <w:pPr>
              <w:rPr>
                <w:rFonts w:ascii="Arial"/>
                <w:sz w:val="21"/>
              </w:rPr>
            </w:pPr>
          </w:p>
        </w:tc>
        <w:tc>
          <w:tcPr>
            <w:tcW w:w="909" w:type="dxa"/>
            <w:vAlign w:val="top"/>
          </w:tcPr>
          <w:p w14:paraId="7A28C4E3">
            <w:pPr>
              <w:rPr>
                <w:rFonts w:ascii="Arial"/>
                <w:sz w:val="21"/>
              </w:rPr>
            </w:pPr>
          </w:p>
        </w:tc>
        <w:tc>
          <w:tcPr>
            <w:tcW w:w="909" w:type="dxa"/>
            <w:vAlign w:val="top"/>
          </w:tcPr>
          <w:p w14:paraId="7E6494FE">
            <w:pPr>
              <w:rPr>
                <w:rFonts w:ascii="Arial"/>
                <w:sz w:val="21"/>
              </w:rPr>
            </w:pPr>
          </w:p>
        </w:tc>
        <w:tc>
          <w:tcPr>
            <w:tcW w:w="885" w:type="dxa"/>
            <w:vAlign w:val="top"/>
          </w:tcPr>
          <w:p w14:paraId="3DA27397">
            <w:pPr>
              <w:rPr>
                <w:rFonts w:ascii="Arial"/>
                <w:sz w:val="21"/>
              </w:rPr>
            </w:pPr>
          </w:p>
        </w:tc>
      </w:tr>
      <w:tr w14:paraId="642763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9" w:hRule="atLeast"/>
        </w:trPr>
        <w:tc>
          <w:tcPr>
            <w:tcW w:w="765" w:type="dxa"/>
            <w:vMerge w:val="restart"/>
            <w:tcBorders>
              <w:bottom w:val="nil"/>
            </w:tcBorders>
            <w:vAlign w:val="top"/>
          </w:tcPr>
          <w:p w14:paraId="48A2D858">
            <w:pPr>
              <w:spacing w:line="292" w:lineRule="auto"/>
              <w:rPr>
                <w:rFonts w:ascii="Arial"/>
                <w:sz w:val="21"/>
              </w:rPr>
            </w:pPr>
          </w:p>
          <w:p w14:paraId="35694BF5">
            <w:pPr>
              <w:spacing w:line="292" w:lineRule="auto"/>
              <w:rPr>
                <w:rFonts w:ascii="Arial"/>
                <w:sz w:val="21"/>
              </w:rPr>
            </w:pPr>
          </w:p>
          <w:p w14:paraId="2AAC05F3">
            <w:pPr>
              <w:spacing w:line="293" w:lineRule="auto"/>
              <w:rPr>
                <w:rFonts w:ascii="Arial"/>
                <w:sz w:val="21"/>
              </w:rPr>
            </w:pPr>
          </w:p>
          <w:p w14:paraId="35D80B81">
            <w:pPr>
              <w:pStyle w:val="6"/>
              <w:spacing w:before="68"/>
              <w:ind w:left="264"/>
            </w:pPr>
            <w:r>
              <w:rPr>
                <w:spacing w:val="-6"/>
              </w:rPr>
              <w:t>10</w:t>
            </w:r>
          </w:p>
        </w:tc>
        <w:tc>
          <w:tcPr>
            <w:tcW w:w="1789" w:type="dxa"/>
            <w:vMerge w:val="restart"/>
            <w:tcBorders>
              <w:bottom w:val="nil"/>
            </w:tcBorders>
            <w:vAlign w:val="top"/>
          </w:tcPr>
          <w:p w14:paraId="607116AC">
            <w:pPr>
              <w:spacing w:line="285" w:lineRule="auto"/>
              <w:rPr>
                <w:rFonts w:ascii="Arial"/>
                <w:sz w:val="21"/>
              </w:rPr>
            </w:pPr>
          </w:p>
          <w:p w14:paraId="61692973">
            <w:pPr>
              <w:spacing w:line="285" w:lineRule="auto"/>
              <w:rPr>
                <w:rFonts w:ascii="Arial"/>
                <w:sz w:val="21"/>
              </w:rPr>
            </w:pPr>
          </w:p>
          <w:p w14:paraId="4A08838F">
            <w:pPr>
              <w:spacing w:line="285" w:lineRule="auto"/>
              <w:rPr>
                <w:rFonts w:ascii="Arial"/>
                <w:sz w:val="21"/>
              </w:rPr>
            </w:pPr>
          </w:p>
          <w:p w14:paraId="5C131522">
            <w:pPr>
              <w:pStyle w:val="6"/>
              <w:spacing w:before="68" w:line="218" w:lineRule="auto"/>
              <w:ind w:left="459"/>
            </w:pPr>
            <w:r>
              <w:rPr>
                <w:spacing w:val="-3"/>
              </w:rPr>
              <w:t>投标价格</w:t>
            </w:r>
          </w:p>
        </w:tc>
        <w:tc>
          <w:tcPr>
            <w:tcW w:w="3118" w:type="dxa"/>
            <w:vAlign w:val="top"/>
          </w:tcPr>
          <w:p w14:paraId="3304156C">
            <w:pPr>
              <w:pStyle w:val="6"/>
              <w:spacing w:before="39" w:line="215" w:lineRule="auto"/>
              <w:ind w:left="121" w:right="267"/>
            </w:pPr>
            <w:r>
              <w:rPr>
                <w:spacing w:val="-1"/>
              </w:rPr>
              <w:t>投标函中的大写报价与已标价</w:t>
            </w:r>
            <w:r>
              <w:rPr>
                <w:spacing w:val="1"/>
              </w:rPr>
              <w:t xml:space="preserve"> </w:t>
            </w:r>
            <w:r>
              <w:rPr>
                <w:spacing w:val="-1"/>
              </w:rPr>
              <w:t>工程量清单中的投标总价一致</w:t>
            </w:r>
          </w:p>
        </w:tc>
        <w:tc>
          <w:tcPr>
            <w:tcW w:w="909" w:type="dxa"/>
            <w:vAlign w:val="top"/>
          </w:tcPr>
          <w:p w14:paraId="7EB066D6">
            <w:pPr>
              <w:rPr>
                <w:rFonts w:ascii="Arial"/>
                <w:sz w:val="21"/>
              </w:rPr>
            </w:pPr>
          </w:p>
        </w:tc>
        <w:tc>
          <w:tcPr>
            <w:tcW w:w="879" w:type="dxa"/>
            <w:vAlign w:val="top"/>
          </w:tcPr>
          <w:p w14:paraId="42A5CFE8">
            <w:pPr>
              <w:rPr>
                <w:rFonts w:ascii="Arial"/>
                <w:sz w:val="21"/>
              </w:rPr>
            </w:pPr>
          </w:p>
        </w:tc>
        <w:tc>
          <w:tcPr>
            <w:tcW w:w="909" w:type="dxa"/>
            <w:vAlign w:val="top"/>
          </w:tcPr>
          <w:p w14:paraId="01D9D12C">
            <w:pPr>
              <w:rPr>
                <w:rFonts w:ascii="Arial"/>
                <w:sz w:val="21"/>
              </w:rPr>
            </w:pPr>
          </w:p>
        </w:tc>
        <w:tc>
          <w:tcPr>
            <w:tcW w:w="889" w:type="dxa"/>
            <w:vAlign w:val="top"/>
          </w:tcPr>
          <w:p w14:paraId="5B07A5D9">
            <w:pPr>
              <w:rPr>
                <w:rFonts w:ascii="Arial"/>
                <w:sz w:val="21"/>
              </w:rPr>
            </w:pPr>
          </w:p>
        </w:tc>
        <w:tc>
          <w:tcPr>
            <w:tcW w:w="909" w:type="dxa"/>
            <w:vAlign w:val="top"/>
          </w:tcPr>
          <w:p w14:paraId="132442E8">
            <w:pPr>
              <w:rPr>
                <w:rFonts w:ascii="Arial"/>
                <w:sz w:val="21"/>
              </w:rPr>
            </w:pPr>
          </w:p>
        </w:tc>
        <w:tc>
          <w:tcPr>
            <w:tcW w:w="880" w:type="dxa"/>
            <w:vAlign w:val="top"/>
          </w:tcPr>
          <w:p w14:paraId="01013F89">
            <w:pPr>
              <w:rPr>
                <w:rFonts w:ascii="Arial"/>
                <w:sz w:val="21"/>
              </w:rPr>
            </w:pPr>
          </w:p>
        </w:tc>
        <w:tc>
          <w:tcPr>
            <w:tcW w:w="909" w:type="dxa"/>
            <w:vAlign w:val="top"/>
          </w:tcPr>
          <w:p w14:paraId="07AF8361">
            <w:pPr>
              <w:rPr>
                <w:rFonts w:ascii="Arial"/>
                <w:sz w:val="21"/>
              </w:rPr>
            </w:pPr>
          </w:p>
        </w:tc>
        <w:tc>
          <w:tcPr>
            <w:tcW w:w="909" w:type="dxa"/>
            <w:vAlign w:val="top"/>
          </w:tcPr>
          <w:p w14:paraId="279DC296">
            <w:pPr>
              <w:rPr>
                <w:rFonts w:ascii="Arial"/>
                <w:sz w:val="21"/>
              </w:rPr>
            </w:pPr>
          </w:p>
        </w:tc>
        <w:tc>
          <w:tcPr>
            <w:tcW w:w="885" w:type="dxa"/>
            <w:vAlign w:val="top"/>
          </w:tcPr>
          <w:p w14:paraId="044DD73C">
            <w:pPr>
              <w:rPr>
                <w:rFonts w:ascii="Arial"/>
                <w:sz w:val="21"/>
              </w:rPr>
            </w:pPr>
          </w:p>
        </w:tc>
      </w:tr>
      <w:tr w14:paraId="007F6F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765" w:type="dxa"/>
            <w:vMerge w:val="continue"/>
            <w:tcBorders>
              <w:top w:val="nil"/>
              <w:bottom w:val="nil"/>
            </w:tcBorders>
            <w:vAlign w:val="top"/>
          </w:tcPr>
          <w:p w14:paraId="04FFCAA8">
            <w:pPr>
              <w:rPr>
                <w:rFonts w:ascii="Arial"/>
                <w:sz w:val="21"/>
              </w:rPr>
            </w:pPr>
          </w:p>
        </w:tc>
        <w:tc>
          <w:tcPr>
            <w:tcW w:w="1789" w:type="dxa"/>
            <w:vMerge w:val="continue"/>
            <w:tcBorders>
              <w:top w:val="nil"/>
              <w:bottom w:val="nil"/>
            </w:tcBorders>
            <w:vAlign w:val="top"/>
          </w:tcPr>
          <w:p w14:paraId="25105291">
            <w:pPr>
              <w:rPr>
                <w:rFonts w:ascii="Arial"/>
                <w:sz w:val="21"/>
              </w:rPr>
            </w:pPr>
          </w:p>
        </w:tc>
        <w:tc>
          <w:tcPr>
            <w:tcW w:w="3118" w:type="dxa"/>
            <w:vAlign w:val="top"/>
          </w:tcPr>
          <w:p w14:paraId="695FED8B">
            <w:pPr>
              <w:pStyle w:val="6"/>
              <w:spacing w:before="40" w:line="219" w:lineRule="auto"/>
              <w:ind w:left="101" w:right="257" w:firstLine="9"/>
            </w:pPr>
            <w:r>
              <w:t>投标函中的大写报价不大于本</w:t>
            </w:r>
            <w:r>
              <w:rPr>
                <w:spacing w:val="8"/>
              </w:rPr>
              <w:t xml:space="preserve"> </w:t>
            </w:r>
            <w:r>
              <w:t>项目招标控制价总价</w:t>
            </w:r>
          </w:p>
        </w:tc>
        <w:tc>
          <w:tcPr>
            <w:tcW w:w="909" w:type="dxa"/>
            <w:vAlign w:val="top"/>
          </w:tcPr>
          <w:p w14:paraId="496302E2">
            <w:pPr>
              <w:rPr>
                <w:rFonts w:ascii="Arial"/>
                <w:sz w:val="21"/>
              </w:rPr>
            </w:pPr>
          </w:p>
        </w:tc>
        <w:tc>
          <w:tcPr>
            <w:tcW w:w="879" w:type="dxa"/>
            <w:vAlign w:val="top"/>
          </w:tcPr>
          <w:p w14:paraId="225707B8">
            <w:pPr>
              <w:rPr>
                <w:rFonts w:ascii="Arial"/>
                <w:sz w:val="21"/>
              </w:rPr>
            </w:pPr>
          </w:p>
        </w:tc>
        <w:tc>
          <w:tcPr>
            <w:tcW w:w="909" w:type="dxa"/>
            <w:vAlign w:val="top"/>
          </w:tcPr>
          <w:p w14:paraId="6F1991E8">
            <w:pPr>
              <w:rPr>
                <w:rFonts w:ascii="Arial"/>
                <w:sz w:val="21"/>
              </w:rPr>
            </w:pPr>
          </w:p>
        </w:tc>
        <w:tc>
          <w:tcPr>
            <w:tcW w:w="889" w:type="dxa"/>
            <w:vAlign w:val="top"/>
          </w:tcPr>
          <w:p w14:paraId="5D866626">
            <w:pPr>
              <w:rPr>
                <w:rFonts w:ascii="Arial"/>
                <w:sz w:val="21"/>
              </w:rPr>
            </w:pPr>
          </w:p>
        </w:tc>
        <w:tc>
          <w:tcPr>
            <w:tcW w:w="909" w:type="dxa"/>
            <w:vAlign w:val="top"/>
          </w:tcPr>
          <w:p w14:paraId="64CBEE88">
            <w:pPr>
              <w:rPr>
                <w:rFonts w:ascii="Arial"/>
                <w:sz w:val="21"/>
              </w:rPr>
            </w:pPr>
          </w:p>
        </w:tc>
        <w:tc>
          <w:tcPr>
            <w:tcW w:w="880" w:type="dxa"/>
            <w:vAlign w:val="top"/>
          </w:tcPr>
          <w:p w14:paraId="5D2140D2">
            <w:pPr>
              <w:rPr>
                <w:rFonts w:ascii="Arial"/>
                <w:sz w:val="21"/>
              </w:rPr>
            </w:pPr>
          </w:p>
        </w:tc>
        <w:tc>
          <w:tcPr>
            <w:tcW w:w="909" w:type="dxa"/>
            <w:vAlign w:val="top"/>
          </w:tcPr>
          <w:p w14:paraId="0192648F">
            <w:pPr>
              <w:rPr>
                <w:rFonts w:ascii="Arial"/>
                <w:sz w:val="21"/>
              </w:rPr>
            </w:pPr>
          </w:p>
        </w:tc>
        <w:tc>
          <w:tcPr>
            <w:tcW w:w="909" w:type="dxa"/>
            <w:vAlign w:val="top"/>
          </w:tcPr>
          <w:p w14:paraId="3AE0D03D">
            <w:pPr>
              <w:rPr>
                <w:rFonts w:ascii="Arial"/>
                <w:sz w:val="21"/>
              </w:rPr>
            </w:pPr>
          </w:p>
        </w:tc>
        <w:tc>
          <w:tcPr>
            <w:tcW w:w="885" w:type="dxa"/>
            <w:vAlign w:val="top"/>
          </w:tcPr>
          <w:p w14:paraId="0DD09DEE">
            <w:pPr>
              <w:rPr>
                <w:rFonts w:ascii="Arial"/>
                <w:sz w:val="21"/>
              </w:rPr>
            </w:pPr>
          </w:p>
        </w:tc>
      </w:tr>
      <w:tr w14:paraId="02DC6C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9" w:hRule="atLeast"/>
        </w:trPr>
        <w:tc>
          <w:tcPr>
            <w:tcW w:w="765" w:type="dxa"/>
            <w:vMerge w:val="continue"/>
            <w:tcBorders>
              <w:top w:val="nil"/>
              <w:bottom w:val="nil"/>
            </w:tcBorders>
            <w:vAlign w:val="top"/>
          </w:tcPr>
          <w:p w14:paraId="7D691CE4">
            <w:pPr>
              <w:rPr>
                <w:rFonts w:ascii="Arial"/>
                <w:sz w:val="21"/>
              </w:rPr>
            </w:pPr>
          </w:p>
        </w:tc>
        <w:tc>
          <w:tcPr>
            <w:tcW w:w="1789" w:type="dxa"/>
            <w:vMerge w:val="continue"/>
            <w:tcBorders>
              <w:top w:val="nil"/>
              <w:bottom w:val="nil"/>
            </w:tcBorders>
            <w:vAlign w:val="top"/>
          </w:tcPr>
          <w:p w14:paraId="77B5EDC6">
            <w:pPr>
              <w:rPr>
                <w:rFonts w:ascii="Arial"/>
                <w:sz w:val="21"/>
              </w:rPr>
            </w:pPr>
          </w:p>
        </w:tc>
        <w:tc>
          <w:tcPr>
            <w:tcW w:w="3118" w:type="dxa"/>
            <w:vAlign w:val="top"/>
          </w:tcPr>
          <w:p w14:paraId="7EC198C6">
            <w:pPr>
              <w:pStyle w:val="6"/>
              <w:spacing w:before="30" w:line="219" w:lineRule="auto"/>
              <w:ind w:left="120" w:right="248" w:hanging="10"/>
            </w:pPr>
            <w:r>
              <w:rPr>
                <w:spacing w:val="-1"/>
              </w:rPr>
              <w:t>算术错误修正后的投标总报价</w:t>
            </w:r>
            <w:r>
              <w:rPr>
                <w:spacing w:val="2"/>
              </w:rPr>
              <w:t xml:space="preserve"> </w:t>
            </w:r>
            <w:r>
              <w:t>不大于本标段招标控制价总价</w:t>
            </w:r>
          </w:p>
        </w:tc>
        <w:tc>
          <w:tcPr>
            <w:tcW w:w="909" w:type="dxa"/>
            <w:vAlign w:val="top"/>
          </w:tcPr>
          <w:p w14:paraId="7E0C545D">
            <w:pPr>
              <w:rPr>
                <w:rFonts w:ascii="Arial"/>
                <w:sz w:val="21"/>
              </w:rPr>
            </w:pPr>
          </w:p>
        </w:tc>
        <w:tc>
          <w:tcPr>
            <w:tcW w:w="879" w:type="dxa"/>
            <w:vAlign w:val="top"/>
          </w:tcPr>
          <w:p w14:paraId="7176A169">
            <w:pPr>
              <w:rPr>
                <w:rFonts w:ascii="Arial"/>
                <w:sz w:val="21"/>
              </w:rPr>
            </w:pPr>
          </w:p>
        </w:tc>
        <w:tc>
          <w:tcPr>
            <w:tcW w:w="909" w:type="dxa"/>
            <w:vAlign w:val="top"/>
          </w:tcPr>
          <w:p w14:paraId="42D98965">
            <w:pPr>
              <w:rPr>
                <w:rFonts w:ascii="Arial"/>
                <w:sz w:val="21"/>
              </w:rPr>
            </w:pPr>
          </w:p>
        </w:tc>
        <w:tc>
          <w:tcPr>
            <w:tcW w:w="889" w:type="dxa"/>
            <w:vAlign w:val="top"/>
          </w:tcPr>
          <w:p w14:paraId="2099D2E0">
            <w:pPr>
              <w:rPr>
                <w:rFonts w:ascii="Arial"/>
                <w:sz w:val="21"/>
              </w:rPr>
            </w:pPr>
          </w:p>
        </w:tc>
        <w:tc>
          <w:tcPr>
            <w:tcW w:w="909" w:type="dxa"/>
            <w:vAlign w:val="top"/>
          </w:tcPr>
          <w:p w14:paraId="6A1414BC">
            <w:pPr>
              <w:rPr>
                <w:rFonts w:ascii="Arial"/>
                <w:sz w:val="21"/>
              </w:rPr>
            </w:pPr>
          </w:p>
        </w:tc>
        <w:tc>
          <w:tcPr>
            <w:tcW w:w="880" w:type="dxa"/>
            <w:vAlign w:val="top"/>
          </w:tcPr>
          <w:p w14:paraId="6CEE83FA">
            <w:pPr>
              <w:rPr>
                <w:rFonts w:ascii="Arial"/>
                <w:sz w:val="21"/>
              </w:rPr>
            </w:pPr>
          </w:p>
        </w:tc>
        <w:tc>
          <w:tcPr>
            <w:tcW w:w="909" w:type="dxa"/>
            <w:vAlign w:val="top"/>
          </w:tcPr>
          <w:p w14:paraId="198E43B9">
            <w:pPr>
              <w:rPr>
                <w:rFonts w:ascii="Arial"/>
                <w:sz w:val="21"/>
              </w:rPr>
            </w:pPr>
          </w:p>
        </w:tc>
        <w:tc>
          <w:tcPr>
            <w:tcW w:w="909" w:type="dxa"/>
            <w:vAlign w:val="top"/>
          </w:tcPr>
          <w:p w14:paraId="2FB17418">
            <w:pPr>
              <w:rPr>
                <w:rFonts w:ascii="Arial"/>
                <w:sz w:val="21"/>
              </w:rPr>
            </w:pPr>
          </w:p>
        </w:tc>
        <w:tc>
          <w:tcPr>
            <w:tcW w:w="885" w:type="dxa"/>
            <w:vAlign w:val="top"/>
          </w:tcPr>
          <w:p w14:paraId="186BEC6D">
            <w:pPr>
              <w:rPr>
                <w:rFonts w:ascii="Arial"/>
                <w:sz w:val="21"/>
              </w:rPr>
            </w:pPr>
          </w:p>
        </w:tc>
      </w:tr>
      <w:tr w14:paraId="10EAEF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765" w:type="dxa"/>
            <w:vMerge w:val="continue"/>
            <w:tcBorders>
              <w:top w:val="nil"/>
            </w:tcBorders>
            <w:vAlign w:val="top"/>
          </w:tcPr>
          <w:p w14:paraId="5634B492">
            <w:pPr>
              <w:rPr>
                <w:rFonts w:ascii="Arial"/>
                <w:sz w:val="21"/>
              </w:rPr>
            </w:pPr>
          </w:p>
        </w:tc>
        <w:tc>
          <w:tcPr>
            <w:tcW w:w="1789" w:type="dxa"/>
            <w:vMerge w:val="continue"/>
            <w:tcBorders>
              <w:top w:val="nil"/>
            </w:tcBorders>
            <w:vAlign w:val="top"/>
          </w:tcPr>
          <w:p w14:paraId="78A3F872">
            <w:pPr>
              <w:rPr>
                <w:rFonts w:ascii="Arial"/>
                <w:sz w:val="21"/>
              </w:rPr>
            </w:pPr>
          </w:p>
        </w:tc>
        <w:tc>
          <w:tcPr>
            <w:tcW w:w="3118" w:type="dxa"/>
            <w:vAlign w:val="top"/>
          </w:tcPr>
          <w:p w14:paraId="27DFC3B5">
            <w:pPr>
              <w:pStyle w:val="6"/>
              <w:spacing w:before="101" w:line="218" w:lineRule="auto"/>
              <w:ind w:left="121"/>
            </w:pPr>
            <w:r>
              <w:t>投标报价不低于其成本</w:t>
            </w:r>
          </w:p>
        </w:tc>
        <w:tc>
          <w:tcPr>
            <w:tcW w:w="909" w:type="dxa"/>
            <w:vAlign w:val="top"/>
          </w:tcPr>
          <w:p w14:paraId="41DA4665">
            <w:pPr>
              <w:rPr>
                <w:rFonts w:ascii="Arial"/>
                <w:sz w:val="21"/>
              </w:rPr>
            </w:pPr>
          </w:p>
        </w:tc>
        <w:tc>
          <w:tcPr>
            <w:tcW w:w="879" w:type="dxa"/>
            <w:vAlign w:val="top"/>
          </w:tcPr>
          <w:p w14:paraId="13C0FCB6">
            <w:pPr>
              <w:rPr>
                <w:rFonts w:ascii="Arial"/>
                <w:sz w:val="21"/>
              </w:rPr>
            </w:pPr>
          </w:p>
        </w:tc>
        <w:tc>
          <w:tcPr>
            <w:tcW w:w="909" w:type="dxa"/>
            <w:vAlign w:val="top"/>
          </w:tcPr>
          <w:p w14:paraId="76346B7A">
            <w:pPr>
              <w:rPr>
                <w:rFonts w:ascii="Arial"/>
                <w:sz w:val="21"/>
              </w:rPr>
            </w:pPr>
          </w:p>
        </w:tc>
        <w:tc>
          <w:tcPr>
            <w:tcW w:w="889" w:type="dxa"/>
            <w:vAlign w:val="top"/>
          </w:tcPr>
          <w:p w14:paraId="3521B580">
            <w:pPr>
              <w:rPr>
                <w:rFonts w:ascii="Arial"/>
                <w:sz w:val="21"/>
              </w:rPr>
            </w:pPr>
          </w:p>
        </w:tc>
        <w:tc>
          <w:tcPr>
            <w:tcW w:w="909" w:type="dxa"/>
            <w:vAlign w:val="top"/>
          </w:tcPr>
          <w:p w14:paraId="4585B1A2">
            <w:pPr>
              <w:rPr>
                <w:rFonts w:ascii="Arial"/>
                <w:sz w:val="21"/>
              </w:rPr>
            </w:pPr>
          </w:p>
        </w:tc>
        <w:tc>
          <w:tcPr>
            <w:tcW w:w="880" w:type="dxa"/>
            <w:vAlign w:val="top"/>
          </w:tcPr>
          <w:p w14:paraId="51314CB7">
            <w:pPr>
              <w:rPr>
                <w:rFonts w:ascii="Arial"/>
                <w:sz w:val="21"/>
              </w:rPr>
            </w:pPr>
          </w:p>
        </w:tc>
        <w:tc>
          <w:tcPr>
            <w:tcW w:w="909" w:type="dxa"/>
            <w:vAlign w:val="top"/>
          </w:tcPr>
          <w:p w14:paraId="0E776E68">
            <w:pPr>
              <w:rPr>
                <w:rFonts w:ascii="Arial"/>
                <w:sz w:val="21"/>
              </w:rPr>
            </w:pPr>
          </w:p>
        </w:tc>
        <w:tc>
          <w:tcPr>
            <w:tcW w:w="909" w:type="dxa"/>
            <w:vAlign w:val="top"/>
          </w:tcPr>
          <w:p w14:paraId="7484AC5D">
            <w:pPr>
              <w:rPr>
                <w:rFonts w:ascii="Arial"/>
                <w:sz w:val="21"/>
              </w:rPr>
            </w:pPr>
          </w:p>
        </w:tc>
        <w:tc>
          <w:tcPr>
            <w:tcW w:w="885" w:type="dxa"/>
            <w:vAlign w:val="top"/>
          </w:tcPr>
          <w:p w14:paraId="1ADB4C55">
            <w:pPr>
              <w:rPr>
                <w:rFonts w:ascii="Arial"/>
                <w:sz w:val="21"/>
              </w:rPr>
            </w:pPr>
          </w:p>
        </w:tc>
      </w:tr>
      <w:tr w14:paraId="2D0D71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9" w:hRule="atLeast"/>
        </w:trPr>
        <w:tc>
          <w:tcPr>
            <w:tcW w:w="765" w:type="dxa"/>
            <w:vMerge w:val="restart"/>
            <w:tcBorders>
              <w:bottom w:val="nil"/>
            </w:tcBorders>
            <w:vAlign w:val="top"/>
          </w:tcPr>
          <w:p w14:paraId="4F76CD78">
            <w:pPr>
              <w:spacing w:line="252" w:lineRule="auto"/>
              <w:rPr>
                <w:rFonts w:ascii="Arial"/>
                <w:sz w:val="21"/>
              </w:rPr>
            </w:pPr>
          </w:p>
          <w:p w14:paraId="4586E302">
            <w:pPr>
              <w:spacing w:line="252" w:lineRule="auto"/>
              <w:rPr>
                <w:rFonts w:ascii="Arial"/>
                <w:sz w:val="21"/>
              </w:rPr>
            </w:pPr>
          </w:p>
          <w:p w14:paraId="00E82DDD">
            <w:pPr>
              <w:spacing w:line="252" w:lineRule="auto"/>
              <w:rPr>
                <w:rFonts w:ascii="Arial"/>
                <w:sz w:val="21"/>
              </w:rPr>
            </w:pPr>
          </w:p>
          <w:p w14:paraId="02812BD6">
            <w:pPr>
              <w:spacing w:line="252" w:lineRule="auto"/>
              <w:rPr>
                <w:rFonts w:ascii="Arial"/>
                <w:sz w:val="21"/>
              </w:rPr>
            </w:pPr>
          </w:p>
          <w:p w14:paraId="23DEA8AE">
            <w:pPr>
              <w:spacing w:line="252" w:lineRule="auto"/>
              <w:rPr>
                <w:rFonts w:ascii="Arial"/>
                <w:sz w:val="21"/>
              </w:rPr>
            </w:pPr>
          </w:p>
          <w:p w14:paraId="1C7DCB11">
            <w:pPr>
              <w:spacing w:line="252" w:lineRule="auto"/>
              <w:rPr>
                <w:rFonts w:ascii="Arial"/>
                <w:sz w:val="21"/>
              </w:rPr>
            </w:pPr>
          </w:p>
          <w:p w14:paraId="6B81963A">
            <w:pPr>
              <w:spacing w:line="253" w:lineRule="auto"/>
              <w:rPr>
                <w:rFonts w:ascii="Arial"/>
                <w:sz w:val="21"/>
              </w:rPr>
            </w:pPr>
          </w:p>
          <w:p w14:paraId="42E62215">
            <w:pPr>
              <w:pStyle w:val="6"/>
              <w:spacing w:before="68" w:line="241" w:lineRule="auto"/>
              <w:ind w:left="264"/>
            </w:pPr>
            <w:r>
              <w:rPr>
                <w:spacing w:val="-6"/>
              </w:rPr>
              <w:t>11</w:t>
            </w:r>
          </w:p>
        </w:tc>
        <w:tc>
          <w:tcPr>
            <w:tcW w:w="1789" w:type="dxa"/>
            <w:vMerge w:val="restart"/>
            <w:tcBorders>
              <w:bottom w:val="nil"/>
            </w:tcBorders>
            <w:vAlign w:val="top"/>
          </w:tcPr>
          <w:p w14:paraId="5D4438E2">
            <w:pPr>
              <w:spacing w:line="268" w:lineRule="auto"/>
              <w:rPr>
                <w:rFonts w:ascii="Arial"/>
                <w:sz w:val="21"/>
              </w:rPr>
            </w:pPr>
          </w:p>
          <w:p w14:paraId="6AC1E483">
            <w:pPr>
              <w:spacing w:line="269" w:lineRule="auto"/>
              <w:rPr>
                <w:rFonts w:ascii="Arial"/>
                <w:sz w:val="21"/>
              </w:rPr>
            </w:pPr>
          </w:p>
          <w:p w14:paraId="3708DFCF">
            <w:pPr>
              <w:spacing w:line="269" w:lineRule="auto"/>
              <w:rPr>
                <w:rFonts w:ascii="Arial"/>
                <w:sz w:val="21"/>
              </w:rPr>
            </w:pPr>
          </w:p>
          <w:p w14:paraId="23836B18">
            <w:pPr>
              <w:spacing w:line="269" w:lineRule="auto"/>
              <w:rPr>
                <w:rFonts w:ascii="Arial"/>
                <w:sz w:val="21"/>
              </w:rPr>
            </w:pPr>
          </w:p>
          <w:p w14:paraId="44B3749A">
            <w:pPr>
              <w:spacing w:line="269" w:lineRule="auto"/>
              <w:rPr>
                <w:rFonts w:ascii="Arial"/>
                <w:sz w:val="21"/>
              </w:rPr>
            </w:pPr>
          </w:p>
          <w:p w14:paraId="5634D939">
            <w:pPr>
              <w:spacing w:line="269" w:lineRule="auto"/>
              <w:rPr>
                <w:rFonts w:ascii="Arial"/>
                <w:sz w:val="21"/>
              </w:rPr>
            </w:pPr>
          </w:p>
          <w:p w14:paraId="2D75C6A6">
            <w:pPr>
              <w:pStyle w:val="6"/>
              <w:spacing w:before="68" w:line="218" w:lineRule="auto"/>
              <w:ind w:left="569"/>
            </w:pPr>
            <w:r>
              <w:rPr>
                <w:spacing w:val="2"/>
              </w:rPr>
              <w:t>已标价</w:t>
            </w:r>
          </w:p>
          <w:p w14:paraId="4599AE13">
            <w:pPr>
              <w:pStyle w:val="6"/>
              <w:spacing w:before="14" w:line="220" w:lineRule="auto"/>
              <w:ind w:left="359"/>
            </w:pPr>
            <w:r>
              <w:rPr>
                <w:spacing w:val="-2"/>
              </w:rPr>
              <w:t>工程量清单</w:t>
            </w:r>
          </w:p>
        </w:tc>
        <w:tc>
          <w:tcPr>
            <w:tcW w:w="3118" w:type="dxa"/>
            <w:vAlign w:val="top"/>
          </w:tcPr>
          <w:p w14:paraId="184C52CB">
            <w:pPr>
              <w:pStyle w:val="6"/>
              <w:spacing w:before="51" w:line="212" w:lineRule="auto"/>
              <w:ind w:left="131"/>
            </w:pPr>
            <w:r>
              <w:t>已标价工程量清单项目编码顺</w:t>
            </w:r>
          </w:p>
          <w:p w14:paraId="60EDD63F">
            <w:pPr>
              <w:pStyle w:val="6"/>
              <w:spacing w:before="1" w:line="222" w:lineRule="auto"/>
              <w:ind w:left="120" w:right="31" w:hanging="10"/>
            </w:pPr>
            <w:r>
              <w:rPr>
                <w:spacing w:val="1"/>
              </w:rPr>
              <w:t>序与第五章“工程量清单”给出</w:t>
            </w:r>
            <w:r>
              <w:rPr>
                <w:spacing w:val="10"/>
              </w:rPr>
              <w:t xml:space="preserve"> </w:t>
            </w:r>
            <w:r>
              <w:t>的项目编码顺序一致</w:t>
            </w:r>
          </w:p>
        </w:tc>
        <w:tc>
          <w:tcPr>
            <w:tcW w:w="909" w:type="dxa"/>
            <w:vAlign w:val="top"/>
          </w:tcPr>
          <w:p w14:paraId="522EA2C9">
            <w:pPr>
              <w:rPr>
                <w:rFonts w:ascii="Arial"/>
                <w:sz w:val="21"/>
              </w:rPr>
            </w:pPr>
          </w:p>
        </w:tc>
        <w:tc>
          <w:tcPr>
            <w:tcW w:w="879" w:type="dxa"/>
            <w:vAlign w:val="top"/>
          </w:tcPr>
          <w:p w14:paraId="664BBA4E">
            <w:pPr>
              <w:rPr>
                <w:rFonts w:ascii="Arial"/>
                <w:sz w:val="21"/>
              </w:rPr>
            </w:pPr>
          </w:p>
        </w:tc>
        <w:tc>
          <w:tcPr>
            <w:tcW w:w="909" w:type="dxa"/>
            <w:vAlign w:val="top"/>
          </w:tcPr>
          <w:p w14:paraId="709D866B">
            <w:pPr>
              <w:rPr>
                <w:rFonts w:ascii="Arial"/>
                <w:sz w:val="21"/>
              </w:rPr>
            </w:pPr>
          </w:p>
        </w:tc>
        <w:tc>
          <w:tcPr>
            <w:tcW w:w="889" w:type="dxa"/>
            <w:vAlign w:val="top"/>
          </w:tcPr>
          <w:p w14:paraId="19A407B2">
            <w:pPr>
              <w:rPr>
                <w:rFonts w:ascii="Arial"/>
                <w:sz w:val="21"/>
              </w:rPr>
            </w:pPr>
          </w:p>
        </w:tc>
        <w:tc>
          <w:tcPr>
            <w:tcW w:w="909" w:type="dxa"/>
            <w:vAlign w:val="top"/>
          </w:tcPr>
          <w:p w14:paraId="02756075">
            <w:pPr>
              <w:rPr>
                <w:rFonts w:ascii="Arial"/>
                <w:sz w:val="21"/>
              </w:rPr>
            </w:pPr>
          </w:p>
        </w:tc>
        <w:tc>
          <w:tcPr>
            <w:tcW w:w="880" w:type="dxa"/>
            <w:vAlign w:val="top"/>
          </w:tcPr>
          <w:p w14:paraId="4F85F575">
            <w:pPr>
              <w:rPr>
                <w:rFonts w:ascii="Arial"/>
                <w:sz w:val="21"/>
              </w:rPr>
            </w:pPr>
          </w:p>
        </w:tc>
        <w:tc>
          <w:tcPr>
            <w:tcW w:w="909" w:type="dxa"/>
            <w:vAlign w:val="top"/>
          </w:tcPr>
          <w:p w14:paraId="137AD49D">
            <w:pPr>
              <w:rPr>
                <w:rFonts w:ascii="Arial"/>
                <w:sz w:val="21"/>
              </w:rPr>
            </w:pPr>
          </w:p>
        </w:tc>
        <w:tc>
          <w:tcPr>
            <w:tcW w:w="909" w:type="dxa"/>
            <w:vAlign w:val="top"/>
          </w:tcPr>
          <w:p w14:paraId="13A2F721">
            <w:pPr>
              <w:rPr>
                <w:rFonts w:ascii="Arial"/>
                <w:sz w:val="21"/>
              </w:rPr>
            </w:pPr>
          </w:p>
        </w:tc>
        <w:tc>
          <w:tcPr>
            <w:tcW w:w="885" w:type="dxa"/>
            <w:vAlign w:val="top"/>
          </w:tcPr>
          <w:p w14:paraId="3B38A0B7">
            <w:pPr>
              <w:rPr>
                <w:rFonts w:ascii="Arial"/>
                <w:sz w:val="21"/>
              </w:rPr>
            </w:pPr>
          </w:p>
        </w:tc>
      </w:tr>
      <w:tr w14:paraId="66EB88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99" w:hRule="atLeast"/>
        </w:trPr>
        <w:tc>
          <w:tcPr>
            <w:tcW w:w="765" w:type="dxa"/>
            <w:vMerge w:val="continue"/>
            <w:tcBorders>
              <w:top w:val="nil"/>
              <w:bottom w:val="nil"/>
            </w:tcBorders>
            <w:vAlign w:val="top"/>
          </w:tcPr>
          <w:p w14:paraId="295D2D33">
            <w:pPr>
              <w:rPr>
                <w:rFonts w:ascii="Arial"/>
                <w:sz w:val="21"/>
              </w:rPr>
            </w:pPr>
          </w:p>
        </w:tc>
        <w:tc>
          <w:tcPr>
            <w:tcW w:w="1789" w:type="dxa"/>
            <w:vMerge w:val="continue"/>
            <w:tcBorders>
              <w:top w:val="nil"/>
              <w:bottom w:val="nil"/>
            </w:tcBorders>
            <w:vAlign w:val="top"/>
          </w:tcPr>
          <w:p w14:paraId="27868869">
            <w:pPr>
              <w:rPr>
                <w:rFonts w:ascii="Arial"/>
                <w:sz w:val="21"/>
              </w:rPr>
            </w:pPr>
          </w:p>
        </w:tc>
        <w:tc>
          <w:tcPr>
            <w:tcW w:w="3118" w:type="dxa"/>
            <w:vAlign w:val="top"/>
          </w:tcPr>
          <w:p w14:paraId="274A2EF6">
            <w:pPr>
              <w:pStyle w:val="6"/>
              <w:spacing w:before="33" w:line="232" w:lineRule="auto"/>
              <w:ind w:left="65" w:right="54" w:firstLine="65"/>
            </w:pPr>
            <w:r>
              <w:rPr>
                <w:spacing w:val="1"/>
              </w:rPr>
              <w:t>已标价工程量清单符合第五章</w:t>
            </w:r>
            <w:r>
              <w:t xml:space="preserve">  </w:t>
            </w:r>
            <w:r>
              <w:rPr>
                <w:spacing w:val="9"/>
              </w:rPr>
              <w:t>“工程量清单”给出的项目编</w:t>
            </w:r>
            <w:r>
              <w:rPr>
                <w:spacing w:val="1"/>
              </w:rPr>
              <w:t xml:space="preserve">  </w:t>
            </w:r>
            <w:r>
              <w:rPr>
                <w:spacing w:val="3"/>
              </w:rPr>
              <w:t>码、项目名称、项目特征、计量</w:t>
            </w:r>
            <w:r>
              <w:rPr>
                <w:spacing w:val="4"/>
              </w:rPr>
              <w:t xml:space="preserve"> 单位和工程量</w:t>
            </w:r>
          </w:p>
        </w:tc>
        <w:tc>
          <w:tcPr>
            <w:tcW w:w="909" w:type="dxa"/>
            <w:vAlign w:val="top"/>
          </w:tcPr>
          <w:p w14:paraId="7A422862">
            <w:pPr>
              <w:rPr>
                <w:rFonts w:ascii="Arial"/>
                <w:sz w:val="21"/>
              </w:rPr>
            </w:pPr>
          </w:p>
        </w:tc>
        <w:tc>
          <w:tcPr>
            <w:tcW w:w="879" w:type="dxa"/>
            <w:vAlign w:val="top"/>
          </w:tcPr>
          <w:p w14:paraId="27EFAEF2">
            <w:pPr>
              <w:rPr>
                <w:rFonts w:ascii="Arial"/>
                <w:sz w:val="21"/>
              </w:rPr>
            </w:pPr>
          </w:p>
        </w:tc>
        <w:tc>
          <w:tcPr>
            <w:tcW w:w="909" w:type="dxa"/>
            <w:vAlign w:val="top"/>
          </w:tcPr>
          <w:p w14:paraId="795A3B78">
            <w:pPr>
              <w:rPr>
                <w:rFonts w:ascii="Arial"/>
                <w:sz w:val="21"/>
              </w:rPr>
            </w:pPr>
          </w:p>
        </w:tc>
        <w:tc>
          <w:tcPr>
            <w:tcW w:w="889" w:type="dxa"/>
            <w:vAlign w:val="top"/>
          </w:tcPr>
          <w:p w14:paraId="0635AF21">
            <w:pPr>
              <w:rPr>
                <w:rFonts w:ascii="Arial"/>
                <w:sz w:val="21"/>
              </w:rPr>
            </w:pPr>
          </w:p>
        </w:tc>
        <w:tc>
          <w:tcPr>
            <w:tcW w:w="909" w:type="dxa"/>
            <w:vAlign w:val="top"/>
          </w:tcPr>
          <w:p w14:paraId="6EAC4F3D">
            <w:pPr>
              <w:rPr>
                <w:rFonts w:ascii="Arial"/>
                <w:sz w:val="21"/>
              </w:rPr>
            </w:pPr>
          </w:p>
        </w:tc>
        <w:tc>
          <w:tcPr>
            <w:tcW w:w="880" w:type="dxa"/>
            <w:vAlign w:val="top"/>
          </w:tcPr>
          <w:p w14:paraId="1851EBA8">
            <w:pPr>
              <w:rPr>
                <w:rFonts w:ascii="Arial"/>
                <w:sz w:val="21"/>
              </w:rPr>
            </w:pPr>
          </w:p>
        </w:tc>
        <w:tc>
          <w:tcPr>
            <w:tcW w:w="909" w:type="dxa"/>
            <w:vAlign w:val="top"/>
          </w:tcPr>
          <w:p w14:paraId="7611DE4B">
            <w:pPr>
              <w:rPr>
                <w:rFonts w:ascii="Arial"/>
                <w:sz w:val="21"/>
              </w:rPr>
            </w:pPr>
          </w:p>
        </w:tc>
        <w:tc>
          <w:tcPr>
            <w:tcW w:w="909" w:type="dxa"/>
            <w:vAlign w:val="top"/>
          </w:tcPr>
          <w:p w14:paraId="4CB86DE5">
            <w:pPr>
              <w:rPr>
                <w:rFonts w:ascii="Arial"/>
                <w:sz w:val="21"/>
              </w:rPr>
            </w:pPr>
          </w:p>
        </w:tc>
        <w:tc>
          <w:tcPr>
            <w:tcW w:w="885" w:type="dxa"/>
            <w:vAlign w:val="top"/>
          </w:tcPr>
          <w:p w14:paraId="3CFD6168">
            <w:pPr>
              <w:rPr>
                <w:rFonts w:ascii="Arial"/>
                <w:sz w:val="21"/>
              </w:rPr>
            </w:pPr>
          </w:p>
        </w:tc>
      </w:tr>
      <w:tr w14:paraId="24D55E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9" w:hRule="atLeast"/>
        </w:trPr>
        <w:tc>
          <w:tcPr>
            <w:tcW w:w="765" w:type="dxa"/>
            <w:vMerge w:val="continue"/>
            <w:tcBorders>
              <w:top w:val="nil"/>
              <w:bottom w:val="nil"/>
            </w:tcBorders>
            <w:vAlign w:val="top"/>
          </w:tcPr>
          <w:p w14:paraId="1DE6A35A">
            <w:pPr>
              <w:rPr>
                <w:rFonts w:ascii="Arial"/>
                <w:sz w:val="21"/>
              </w:rPr>
            </w:pPr>
          </w:p>
        </w:tc>
        <w:tc>
          <w:tcPr>
            <w:tcW w:w="1789" w:type="dxa"/>
            <w:vMerge w:val="continue"/>
            <w:tcBorders>
              <w:top w:val="nil"/>
              <w:bottom w:val="nil"/>
            </w:tcBorders>
            <w:vAlign w:val="top"/>
          </w:tcPr>
          <w:p w14:paraId="63096FD9">
            <w:pPr>
              <w:rPr>
                <w:rFonts w:ascii="Arial"/>
                <w:sz w:val="21"/>
              </w:rPr>
            </w:pPr>
          </w:p>
        </w:tc>
        <w:tc>
          <w:tcPr>
            <w:tcW w:w="3118" w:type="dxa"/>
            <w:vAlign w:val="top"/>
          </w:tcPr>
          <w:p w14:paraId="73298B9B">
            <w:pPr>
              <w:pStyle w:val="6"/>
              <w:spacing w:before="14" w:line="226" w:lineRule="auto"/>
              <w:ind w:left="120" w:right="46" w:hanging="10"/>
            </w:pPr>
            <w:r>
              <w:t>暂列金额符合第五章“工程量清</w:t>
            </w:r>
            <w:r>
              <w:rPr>
                <w:spacing w:val="9"/>
              </w:rPr>
              <w:t xml:space="preserve"> </w:t>
            </w:r>
            <w:r>
              <w:rPr>
                <w:spacing w:val="-2"/>
              </w:rPr>
              <w:t>单”列出的金额</w:t>
            </w:r>
          </w:p>
        </w:tc>
        <w:tc>
          <w:tcPr>
            <w:tcW w:w="909" w:type="dxa"/>
            <w:vAlign w:val="top"/>
          </w:tcPr>
          <w:p w14:paraId="0257A879">
            <w:pPr>
              <w:rPr>
                <w:rFonts w:ascii="Arial"/>
                <w:sz w:val="21"/>
              </w:rPr>
            </w:pPr>
          </w:p>
        </w:tc>
        <w:tc>
          <w:tcPr>
            <w:tcW w:w="879" w:type="dxa"/>
            <w:vAlign w:val="top"/>
          </w:tcPr>
          <w:p w14:paraId="3B42AD52">
            <w:pPr>
              <w:rPr>
                <w:rFonts w:ascii="Arial"/>
                <w:sz w:val="21"/>
              </w:rPr>
            </w:pPr>
          </w:p>
        </w:tc>
        <w:tc>
          <w:tcPr>
            <w:tcW w:w="909" w:type="dxa"/>
            <w:vAlign w:val="top"/>
          </w:tcPr>
          <w:p w14:paraId="4F7D2C58">
            <w:pPr>
              <w:rPr>
                <w:rFonts w:ascii="Arial"/>
                <w:sz w:val="21"/>
              </w:rPr>
            </w:pPr>
          </w:p>
        </w:tc>
        <w:tc>
          <w:tcPr>
            <w:tcW w:w="889" w:type="dxa"/>
            <w:vAlign w:val="top"/>
          </w:tcPr>
          <w:p w14:paraId="711916AD">
            <w:pPr>
              <w:rPr>
                <w:rFonts w:ascii="Arial"/>
                <w:sz w:val="21"/>
              </w:rPr>
            </w:pPr>
          </w:p>
        </w:tc>
        <w:tc>
          <w:tcPr>
            <w:tcW w:w="909" w:type="dxa"/>
            <w:vAlign w:val="top"/>
          </w:tcPr>
          <w:p w14:paraId="03D4A597">
            <w:pPr>
              <w:rPr>
                <w:rFonts w:ascii="Arial"/>
                <w:sz w:val="21"/>
              </w:rPr>
            </w:pPr>
          </w:p>
        </w:tc>
        <w:tc>
          <w:tcPr>
            <w:tcW w:w="880" w:type="dxa"/>
            <w:vAlign w:val="top"/>
          </w:tcPr>
          <w:p w14:paraId="59329A9F">
            <w:pPr>
              <w:rPr>
                <w:rFonts w:ascii="Arial"/>
                <w:sz w:val="21"/>
              </w:rPr>
            </w:pPr>
          </w:p>
        </w:tc>
        <w:tc>
          <w:tcPr>
            <w:tcW w:w="909" w:type="dxa"/>
            <w:vAlign w:val="top"/>
          </w:tcPr>
          <w:p w14:paraId="08F93D0A">
            <w:pPr>
              <w:rPr>
                <w:rFonts w:ascii="Arial"/>
                <w:sz w:val="21"/>
              </w:rPr>
            </w:pPr>
          </w:p>
        </w:tc>
        <w:tc>
          <w:tcPr>
            <w:tcW w:w="909" w:type="dxa"/>
            <w:vAlign w:val="top"/>
          </w:tcPr>
          <w:p w14:paraId="560283E8">
            <w:pPr>
              <w:rPr>
                <w:rFonts w:ascii="Arial"/>
                <w:sz w:val="21"/>
              </w:rPr>
            </w:pPr>
          </w:p>
        </w:tc>
        <w:tc>
          <w:tcPr>
            <w:tcW w:w="885" w:type="dxa"/>
            <w:vAlign w:val="top"/>
          </w:tcPr>
          <w:p w14:paraId="2906FEEB">
            <w:pPr>
              <w:rPr>
                <w:rFonts w:ascii="Arial"/>
                <w:sz w:val="21"/>
              </w:rPr>
            </w:pPr>
          </w:p>
        </w:tc>
      </w:tr>
      <w:tr w14:paraId="6DA505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765" w:type="dxa"/>
            <w:vMerge w:val="continue"/>
            <w:tcBorders>
              <w:top w:val="nil"/>
              <w:bottom w:val="nil"/>
            </w:tcBorders>
            <w:vAlign w:val="top"/>
          </w:tcPr>
          <w:p w14:paraId="0DA0CB87">
            <w:pPr>
              <w:rPr>
                <w:rFonts w:ascii="Arial"/>
                <w:sz w:val="21"/>
              </w:rPr>
            </w:pPr>
          </w:p>
        </w:tc>
        <w:tc>
          <w:tcPr>
            <w:tcW w:w="1789" w:type="dxa"/>
            <w:vMerge w:val="continue"/>
            <w:tcBorders>
              <w:top w:val="nil"/>
              <w:bottom w:val="nil"/>
            </w:tcBorders>
            <w:vAlign w:val="top"/>
          </w:tcPr>
          <w:p w14:paraId="179868E6">
            <w:pPr>
              <w:rPr>
                <w:rFonts w:ascii="Arial"/>
                <w:sz w:val="21"/>
              </w:rPr>
            </w:pPr>
          </w:p>
        </w:tc>
        <w:tc>
          <w:tcPr>
            <w:tcW w:w="3118" w:type="dxa"/>
            <w:vAlign w:val="top"/>
          </w:tcPr>
          <w:p w14:paraId="2B2739D6">
            <w:pPr>
              <w:pStyle w:val="6"/>
              <w:spacing w:before="24" w:line="226" w:lineRule="auto"/>
              <w:ind w:left="110" w:right="35" w:firstLine="10"/>
            </w:pPr>
            <w:r>
              <w:t>专业工程暂估价符合第五章“工</w:t>
            </w:r>
            <w:r>
              <w:rPr>
                <w:spacing w:val="10"/>
              </w:rPr>
              <w:t xml:space="preserve"> </w:t>
            </w:r>
            <w:r>
              <w:rPr>
                <w:spacing w:val="-1"/>
              </w:rPr>
              <w:t>程量清单”列出的金额</w:t>
            </w:r>
          </w:p>
        </w:tc>
        <w:tc>
          <w:tcPr>
            <w:tcW w:w="909" w:type="dxa"/>
            <w:vAlign w:val="top"/>
          </w:tcPr>
          <w:p w14:paraId="6F591C49">
            <w:pPr>
              <w:rPr>
                <w:rFonts w:ascii="Arial"/>
                <w:sz w:val="21"/>
              </w:rPr>
            </w:pPr>
          </w:p>
        </w:tc>
        <w:tc>
          <w:tcPr>
            <w:tcW w:w="879" w:type="dxa"/>
            <w:vAlign w:val="top"/>
          </w:tcPr>
          <w:p w14:paraId="1F4B6A90">
            <w:pPr>
              <w:rPr>
                <w:rFonts w:ascii="Arial"/>
                <w:sz w:val="21"/>
              </w:rPr>
            </w:pPr>
          </w:p>
        </w:tc>
        <w:tc>
          <w:tcPr>
            <w:tcW w:w="909" w:type="dxa"/>
            <w:vAlign w:val="top"/>
          </w:tcPr>
          <w:p w14:paraId="7685D0B9">
            <w:pPr>
              <w:rPr>
                <w:rFonts w:ascii="Arial"/>
                <w:sz w:val="21"/>
              </w:rPr>
            </w:pPr>
          </w:p>
        </w:tc>
        <w:tc>
          <w:tcPr>
            <w:tcW w:w="889" w:type="dxa"/>
            <w:vAlign w:val="top"/>
          </w:tcPr>
          <w:p w14:paraId="4405E8C9">
            <w:pPr>
              <w:rPr>
                <w:rFonts w:ascii="Arial"/>
                <w:sz w:val="21"/>
              </w:rPr>
            </w:pPr>
          </w:p>
        </w:tc>
        <w:tc>
          <w:tcPr>
            <w:tcW w:w="909" w:type="dxa"/>
            <w:vAlign w:val="top"/>
          </w:tcPr>
          <w:p w14:paraId="59E4A312">
            <w:pPr>
              <w:rPr>
                <w:rFonts w:ascii="Arial"/>
                <w:sz w:val="21"/>
              </w:rPr>
            </w:pPr>
          </w:p>
        </w:tc>
        <w:tc>
          <w:tcPr>
            <w:tcW w:w="880" w:type="dxa"/>
            <w:vAlign w:val="top"/>
          </w:tcPr>
          <w:p w14:paraId="3BC150AF">
            <w:pPr>
              <w:rPr>
                <w:rFonts w:ascii="Arial"/>
                <w:sz w:val="21"/>
              </w:rPr>
            </w:pPr>
          </w:p>
        </w:tc>
        <w:tc>
          <w:tcPr>
            <w:tcW w:w="909" w:type="dxa"/>
            <w:vAlign w:val="top"/>
          </w:tcPr>
          <w:p w14:paraId="24D8F450">
            <w:pPr>
              <w:rPr>
                <w:rFonts w:ascii="Arial"/>
                <w:sz w:val="21"/>
              </w:rPr>
            </w:pPr>
          </w:p>
        </w:tc>
        <w:tc>
          <w:tcPr>
            <w:tcW w:w="909" w:type="dxa"/>
            <w:vAlign w:val="top"/>
          </w:tcPr>
          <w:p w14:paraId="7C567150">
            <w:pPr>
              <w:rPr>
                <w:rFonts w:ascii="Arial"/>
                <w:sz w:val="21"/>
              </w:rPr>
            </w:pPr>
          </w:p>
        </w:tc>
        <w:tc>
          <w:tcPr>
            <w:tcW w:w="885" w:type="dxa"/>
            <w:vAlign w:val="top"/>
          </w:tcPr>
          <w:p w14:paraId="2645C6FB">
            <w:pPr>
              <w:rPr>
                <w:rFonts w:ascii="Arial"/>
                <w:sz w:val="21"/>
              </w:rPr>
            </w:pPr>
          </w:p>
        </w:tc>
      </w:tr>
      <w:tr w14:paraId="50FBAB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4" w:hRule="atLeast"/>
        </w:trPr>
        <w:tc>
          <w:tcPr>
            <w:tcW w:w="765" w:type="dxa"/>
            <w:vMerge w:val="continue"/>
            <w:tcBorders>
              <w:top w:val="nil"/>
            </w:tcBorders>
            <w:vAlign w:val="top"/>
          </w:tcPr>
          <w:p w14:paraId="547EE6B7">
            <w:pPr>
              <w:rPr>
                <w:rFonts w:ascii="Arial"/>
                <w:sz w:val="21"/>
              </w:rPr>
            </w:pPr>
          </w:p>
        </w:tc>
        <w:tc>
          <w:tcPr>
            <w:tcW w:w="1789" w:type="dxa"/>
            <w:vMerge w:val="continue"/>
            <w:tcBorders>
              <w:top w:val="nil"/>
            </w:tcBorders>
            <w:vAlign w:val="top"/>
          </w:tcPr>
          <w:p w14:paraId="5D823EE1">
            <w:pPr>
              <w:rPr>
                <w:rFonts w:ascii="Arial"/>
                <w:sz w:val="21"/>
              </w:rPr>
            </w:pPr>
          </w:p>
        </w:tc>
        <w:tc>
          <w:tcPr>
            <w:tcW w:w="3118" w:type="dxa"/>
            <w:vAlign w:val="top"/>
          </w:tcPr>
          <w:p w14:paraId="2FEE6F2F">
            <w:pPr>
              <w:pStyle w:val="6"/>
              <w:spacing w:before="15" w:line="218" w:lineRule="auto"/>
              <w:ind w:left="110"/>
            </w:pPr>
            <w:r>
              <w:t>材料(工程设备)暂估价符合第</w:t>
            </w:r>
          </w:p>
          <w:p w14:paraId="1E7373B3">
            <w:pPr>
              <w:pStyle w:val="6"/>
              <w:spacing w:before="41" w:line="219" w:lineRule="auto"/>
              <w:ind w:left="130" w:right="47" w:hanging="20"/>
            </w:pPr>
            <w:r>
              <w:t>五章“工程量清单”列出的单价</w:t>
            </w:r>
            <w:r>
              <w:rPr>
                <w:spacing w:val="8"/>
              </w:rPr>
              <w:t xml:space="preserve"> </w:t>
            </w:r>
            <w:r>
              <w:rPr>
                <w:spacing w:val="1"/>
              </w:rPr>
              <w:t>并计入综合单价</w:t>
            </w:r>
          </w:p>
        </w:tc>
        <w:tc>
          <w:tcPr>
            <w:tcW w:w="909" w:type="dxa"/>
            <w:vAlign w:val="top"/>
          </w:tcPr>
          <w:p w14:paraId="186E7C28">
            <w:pPr>
              <w:rPr>
                <w:rFonts w:ascii="Arial"/>
                <w:sz w:val="21"/>
              </w:rPr>
            </w:pPr>
          </w:p>
        </w:tc>
        <w:tc>
          <w:tcPr>
            <w:tcW w:w="879" w:type="dxa"/>
            <w:vAlign w:val="top"/>
          </w:tcPr>
          <w:p w14:paraId="04A23F67">
            <w:pPr>
              <w:rPr>
                <w:rFonts w:ascii="Arial"/>
                <w:sz w:val="21"/>
              </w:rPr>
            </w:pPr>
          </w:p>
        </w:tc>
        <w:tc>
          <w:tcPr>
            <w:tcW w:w="909" w:type="dxa"/>
            <w:vAlign w:val="top"/>
          </w:tcPr>
          <w:p w14:paraId="726D56F6">
            <w:pPr>
              <w:rPr>
                <w:rFonts w:ascii="Arial"/>
                <w:sz w:val="21"/>
              </w:rPr>
            </w:pPr>
          </w:p>
        </w:tc>
        <w:tc>
          <w:tcPr>
            <w:tcW w:w="889" w:type="dxa"/>
            <w:vAlign w:val="top"/>
          </w:tcPr>
          <w:p w14:paraId="0537368B">
            <w:pPr>
              <w:rPr>
                <w:rFonts w:ascii="Arial"/>
                <w:sz w:val="21"/>
              </w:rPr>
            </w:pPr>
          </w:p>
        </w:tc>
        <w:tc>
          <w:tcPr>
            <w:tcW w:w="909" w:type="dxa"/>
            <w:vAlign w:val="top"/>
          </w:tcPr>
          <w:p w14:paraId="2B56A445">
            <w:pPr>
              <w:rPr>
                <w:rFonts w:ascii="Arial"/>
                <w:sz w:val="21"/>
              </w:rPr>
            </w:pPr>
          </w:p>
        </w:tc>
        <w:tc>
          <w:tcPr>
            <w:tcW w:w="880" w:type="dxa"/>
            <w:vAlign w:val="top"/>
          </w:tcPr>
          <w:p w14:paraId="6A3CDA69">
            <w:pPr>
              <w:rPr>
                <w:rFonts w:ascii="Arial"/>
                <w:sz w:val="21"/>
              </w:rPr>
            </w:pPr>
          </w:p>
        </w:tc>
        <w:tc>
          <w:tcPr>
            <w:tcW w:w="909" w:type="dxa"/>
            <w:vAlign w:val="top"/>
          </w:tcPr>
          <w:p w14:paraId="74C1068C">
            <w:pPr>
              <w:rPr>
                <w:rFonts w:ascii="Arial"/>
                <w:sz w:val="21"/>
              </w:rPr>
            </w:pPr>
          </w:p>
        </w:tc>
        <w:tc>
          <w:tcPr>
            <w:tcW w:w="909" w:type="dxa"/>
            <w:vAlign w:val="top"/>
          </w:tcPr>
          <w:p w14:paraId="5EE173E6">
            <w:pPr>
              <w:rPr>
                <w:rFonts w:ascii="Arial"/>
                <w:sz w:val="21"/>
              </w:rPr>
            </w:pPr>
          </w:p>
        </w:tc>
        <w:tc>
          <w:tcPr>
            <w:tcW w:w="885" w:type="dxa"/>
            <w:vAlign w:val="top"/>
          </w:tcPr>
          <w:p w14:paraId="146D888D">
            <w:pPr>
              <w:rPr>
                <w:rFonts w:ascii="Arial"/>
                <w:sz w:val="21"/>
              </w:rPr>
            </w:pPr>
          </w:p>
        </w:tc>
      </w:tr>
    </w:tbl>
    <w:p w14:paraId="0849809B">
      <w:pPr>
        <w:rPr>
          <w:rFonts w:ascii="Arial"/>
          <w:sz w:val="21"/>
        </w:rPr>
      </w:pPr>
    </w:p>
    <w:p w14:paraId="22D51A7F">
      <w:pPr>
        <w:rPr>
          <w:rFonts w:ascii="Arial" w:hAnsi="Arial" w:eastAsia="Arial" w:cs="Arial"/>
          <w:sz w:val="21"/>
          <w:szCs w:val="21"/>
        </w:rPr>
        <w:sectPr>
          <w:footerReference r:id="rId81" w:type="default"/>
          <w:pgSz w:w="16840" w:h="11910"/>
          <w:pgMar w:top="1012" w:right="1514" w:bottom="978" w:left="1564" w:header="0" w:footer="825" w:gutter="0"/>
          <w:cols w:space="720" w:num="1"/>
        </w:sectPr>
      </w:pPr>
    </w:p>
    <w:p w14:paraId="21C9059A">
      <w:pPr>
        <w:spacing w:before="15"/>
      </w:pPr>
    </w:p>
    <w:p w14:paraId="48D6B33E">
      <w:pPr>
        <w:spacing w:before="14"/>
      </w:pPr>
    </w:p>
    <w:tbl>
      <w:tblPr>
        <w:tblStyle w:val="5"/>
        <w:tblW w:w="1375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65"/>
        <w:gridCol w:w="1799"/>
        <w:gridCol w:w="3108"/>
        <w:gridCol w:w="909"/>
        <w:gridCol w:w="889"/>
        <w:gridCol w:w="909"/>
        <w:gridCol w:w="879"/>
        <w:gridCol w:w="909"/>
        <w:gridCol w:w="899"/>
        <w:gridCol w:w="889"/>
        <w:gridCol w:w="910"/>
        <w:gridCol w:w="885"/>
      </w:tblGrid>
      <w:tr w14:paraId="5DF18A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atLeast"/>
        </w:trPr>
        <w:tc>
          <w:tcPr>
            <w:tcW w:w="765" w:type="dxa"/>
            <w:vMerge w:val="restart"/>
            <w:tcBorders>
              <w:bottom w:val="nil"/>
            </w:tcBorders>
            <w:vAlign w:val="top"/>
          </w:tcPr>
          <w:p w14:paraId="37910369">
            <w:pPr>
              <w:rPr>
                <w:rFonts w:ascii="Arial"/>
                <w:sz w:val="21"/>
              </w:rPr>
            </w:pPr>
          </w:p>
        </w:tc>
        <w:tc>
          <w:tcPr>
            <w:tcW w:w="1799" w:type="dxa"/>
            <w:vMerge w:val="restart"/>
            <w:tcBorders>
              <w:bottom w:val="nil"/>
            </w:tcBorders>
            <w:vAlign w:val="top"/>
          </w:tcPr>
          <w:p w14:paraId="68C73624">
            <w:pPr>
              <w:rPr>
                <w:rFonts w:ascii="Arial"/>
                <w:sz w:val="21"/>
              </w:rPr>
            </w:pPr>
          </w:p>
        </w:tc>
        <w:tc>
          <w:tcPr>
            <w:tcW w:w="3108" w:type="dxa"/>
            <w:vAlign w:val="top"/>
          </w:tcPr>
          <w:p w14:paraId="3AF87198">
            <w:pPr>
              <w:pStyle w:val="6"/>
              <w:spacing w:before="24" w:line="228" w:lineRule="auto"/>
              <w:ind w:left="111" w:right="27" w:firstLine="9"/>
              <w:jc w:val="both"/>
            </w:pPr>
            <w:r>
              <w:t>安全文明施工费、规费和税金等</w:t>
            </w:r>
            <w:r>
              <w:rPr>
                <w:spacing w:val="8"/>
              </w:rPr>
              <w:t xml:space="preserve"> </w:t>
            </w:r>
            <w:r>
              <w:t>不可竞争费用，按照规定的标准</w:t>
            </w:r>
            <w:r>
              <w:rPr>
                <w:spacing w:val="8"/>
              </w:rPr>
              <w:t xml:space="preserve"> </w:t>
            </w:r>
            <w:r>
              <w:rPr>
                <w:spacing w:val="-3"/>
              </w:rPr>
              <w:t>计取</w:t>
            </w:r>
          </w:p>
        </w:tc>
        <w:tc>
          <w:tcPr>
            <w:tcW w:w="909" w:type="dxa"/>
            <w:vAlign w:val="top"/>
          </w:tcPr>
          <w:p w14:paraId="1414E77A">
            <w:pPr>
              <w:rPr>
                <w:rFonts w:ascii="Arial"/>
                <w:sz w:val="21"/>
              </w:rPr>
            </w:pPr>
          </w:p>
        </w:tc>
        <w:tc>
          <w:tcPr>
            <w:tcW w:w="889" w:type="dxa"/>
            <w:vAlign w:val="top"/>
          </w:tcPr>
          <w:p w14:paraId="5616753D">
            <w:pPr>
              <w:rPr>
                <w:rFonts w:ascii="Arial"/>
                <w:sz w:val="21"/>
              </w:rPr>
            </w:pPr>
          </w:p>
        </w:tc>
        <w:tc>
          <w:tcPr>
            <w:tcW w:w="909" w:type="dxa"/>
            <w:vAlign w:val="top"/>
          </w:tcPr>
          <w:p w14:paraId="27FFDC8B">
            <w:pPr>
              <w:rPr>
                <w:rFonts w:ascii="Arial"/>
                <w:sz w:val="21"/>
              </w:rPr>
            </w:pPr>
          </w:p>
        </w:tc>
        <w:tc>
          <w:tcPr>
            <w:tcW w:w="879" w:type="dxa"/>
            <w:vAlign w:val="top"/>
          </w:tcPr>
          <w:p w14:paraId="576357A3">
            <w:pPr>
              <w:rPr>
                <w:rFonts w:ascii="Arial"/>
                <w:sz w:val="21"/>
              </w:rPr>
            </w:pPr>
          </w:p>
        </w:tc>
        <w:tc>
          <w:tcPr>
            <w:tcW w:w="909" w:type="dxa"/>
            <w:vAlign w:val="top"/>
          </w:tcPr>
          <w:p w14:paraId="51F7EAF0">
            <w:pPr>
              <w:rPr>
                <w:rFonts w:ascii="Arial"/>
                <w:sz w:val="21"/>
              </w:rPr>
            </w:pPr>
          </w:p>
        </w:tc>
        <w:tc>
          <w:tcPr>
            <w:tcW w:w="899" w:type="dxa"/>
            <w:vAlign w:val="top"/>
          </w:tcPr>
          <w:p w14:paraId="0B968B62">
            <w:pPr>
              <w:rPr>
                <w:rFonts w:ascii="Arial"/>
                <w:sz w:val="21"/>
              </w:rPr>
            </w:pPr>
          </w:p>
        </w:tc>
        <w:tc>
          <w:tcPr>
            <w:tcW w:w="889" w:type="dxa"/>
            <w:vAlign w:val="top"/>
          </w:tcPr>
          <w:p w14:paraId="09E10AB9">
            <w:pPr>
              <w:rPr>
                <w:rFonts w:ascii="Arial"/>
                <w:sz w:val="21"/>
              </w:rPr>
            </w:pPr>
          </w:p>
        </w:tc>
        <w:tc>
          <w:tcPr>
            <w:tcW w:w="910" w:type="dxa"/>
            <w:vAlign w:val="top"/>
          </w:tcPr>
          <w:p w14:paraId="31F79EE8">
            <w:pPr>
              <w:rPr>
                <w:rFonts w:ascii="Arial"/>
                <w:sz w:val="21"/>
              </w:rPr>
            </w:pPr>
          </w:p>
        </w:tc>
        <w:tc>
          <w:tcPr>
            <w:tcW w:w="885" w:type="dxa"/>
            <w:vAlign w:val="top"/>
          </w:tcPr>
          <w:p w14:paraId="38AE7D32">
            <w:pPr>
              <w:rPr>
                <w:rFonts w:ascii="Arial"/>
                <w:sz w:val="21"/>
              </w:rPr>
            </w:pPr>
          </w:p>
        </w:tc>
      </w:tr>
      <w:tr w14:paraId="1BA058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9" w:hRule="atLeast"/>
        </w:trPr>
        <w:tc>
          <w:tcPr>
            <w:tcW w:w="765" w:type="dxa"/>
            <w:vMerge w:val="continue"/>
            <w:tcBorders>
              <w:top w:val="nil"/>
              <w:bottom w:val="nil"/>
            </w:tcBorders>
            <w:vAlign w:val="top"/>
          </w:tcPr>
          <w:p w14:paraId="209E82A1">
            <w:pPr>
              <w:rPr>
                <w:rFonts w:ascii="Arial"/>
                <w:sz w:val="21"/>
              </w:rPr>
            </w:pPr>
          </w:p>
        </w:tc>
        <w:tc>
          <w:tcPr>
            <w:tcW w:w="1799" w:type="dxa"/>
            <w:vMerge w:val="continue"/>
            <w:tcBorders>
              <w:top w:val="nil"/>
              <w:bottom w:val="nil"/>
            </w:tcBorders>
            <w:vAlign w:val="top"/>
          </w:tcPr>
          <w:p w14:paraId="185CDE1E">
            <w:pPr>
              <w:rPr>
                <w:rFonts w:ascii="Arial"/>
                <w:sz w:val="21"/>
              </w:rPr>
            </w:pPr>
          </w:p>
        </w:tc>
        <w:tc>
          <w:tcPr>
            <w:tcW w:w="3108" w:type="dxa"/>
            <w:vAlign w:val="top"/>
          </w:tcPr>
          <w:p w14:paraId="0D31CD35">
            <w:pPr>
              <w:pStyle w:val="6"/>
              <w:spacing w:before="100" w:line="219" w:lineRule="auto"/>
              <w:ind w:left="111"/>
            </w:pPr>
            <w:r>
              <w:rPr>
                <w:spacing w:val="1"/>
              </w:rPr>
              <w:t>计税方法符合招标文件的约定</w:t>
            </w:r>
          </w:p>
        </w:tc>
        <w:tc>
          <w:tcPr>
            <w:tcW w:w="909" w:type="dxa"/>
            <w:vAlign w:val="top"/>
          </w:tcPr>
          <w:p w14:paraId="682D31E8">
            <w:pPr>
              <w:rPr>
                <w:rFonts w:ascii="Arial"/>
                <w:sz w:val="21"/>
              </w:rPr>
            </w:pPr>
          </w:p>
        </w:tc>
        <w:tc>
          <w:tcPr>
            <w:tcW w:w="889" w:type="dxa"/>
            <w:vAlign w:val="top"/>
          </w:tcPr>
          <w:p w14:paraId="674FFADB">
            <w:pPr>
              <w:rPr>
                <w:rFonts w:ascii="Arial"/>
                <w:sz w:val="21"/>
              </w:rPr>
            </w:pPr>
          </w:p>
        </w:tc>
        <w:tc>
          <w:tcPr>
            <w:tcW w:w="909" w:type="dxa"/>
            <w:vAlign w:val="top"/>
          </w:tcPr>
          <w:p w14:paraId="75F8AE85">
            <w:pPr>
              <w:rPr>
                <w:rFonts w:ascii="Arial"/>
                <w:sz w:val="21"/>
              </w:rPr>
            </w:pPr>
          </w:p>
        </w:tc>
        <w:tc>
          <w:tcPr>
            <w:tcW w:w="879" w:type="dxa"/>
            <w:vAlign w:val="top"/>
          </w:tcPr>
          <w:p w14:paraId="73C0D13C">
            <w:pPr>
              <w:rPr>
                <w:rFonts w:ascii="Arial"/>
                <w:sz w:val="21"/>
              </w:rPr>
            </w:pPr>
          </w:p>
        </w:tc>
        <w:tc>
          <w:tcPr>
            <w:tcW w:w="909" w:type="dxa"/>
            <w:vAlign w:val="top"/>
          </w:tcPr>
          <w:p w14:paraId="38156537">
            <w:pPr>
              <w:rPr>
                <w:rFonts w:ascii="Arial"/>
                <w:sz w:val="21"/>
              </w:rPr>
            </w:pPr>
          </w:p>
        </w:tc>
        <w:tc>
          <w:tcPr>
            <w:tcW w:w="899" w:type="dxa"/>
            <w:vAlign w:val="top"/>
          </w:tcPr>
          <w:p w14:paraId="2B6D1D40">
            <w:pPr>
              <w:rPr>
                <w:rFonts w:ascii="Arial"/>
                <w:sz w:val="21"/>
              </w:rPr>
            </w:pPr>
          </w:p>
        </w:tc>
        <w:tc>
          <w:tcPr>
            <w:tcW w:w="889" w:type="dxa"/>
            <w:vAlign w:val="top"/>
          </w:tcPr>
          <w:p w14:paraId="17A3CCCB">
            <w:pPr>
              <w:rPr>
                <w:rFonts w:ascii="Arial"/>
                <w:sz w:val="21"/>
              </w:rPr>
            </w:pPr>
          </w:p>
        </w:tc>
        <w:tc>
          <w:tcPr>
            <w:tcW w:w="910" w:type="dxa"/>
            <w:vAlign w:val="top"/>
          </w:tcPr>
          <w:p w14:paraId="446F17C4">
            <w:pPr>
              <w:rPr>
                <w:rFonts w:ascii="Arial"/>
                <w:sz w:val="21"/>
              </w:rPr>
            </w:pPr>
          </w:p>
        </w:tc>
        <w:tc>
          <w:tcPr>
            <w:tcW w:w="885" w:type="dxa"/>
            <w:vAlign w:val="top"/>
          </w:tcPr>
          <w:p w14:paraId="5DDB78A1">
            <w:pPr>
              <w:rPr>
                <w:rFonts w:ascii="Arial"/>
                <w:sz w:val="21"/>
              </w:rPr>
            </w:pPr>
          </w:p>
        </w:tc>
      </w:tr>
      <w:tr w14:paraId="348EA2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86" w:hRule="atLeast"/>
        </w:trPr>
        <w:tc>
          <w:tcPr>
            <w:tcW w:w="765" w:type="dxa"/>
            <w:vMerge w:val="continue"/>
            <w:tcBorders>
              <w:top w:val="nil"/>
            </w:tcBorders>
            <w:vAlign w:val="top"/>
          </w:tcPr>
          <w:p w14:paraId="4F105BD3">
            <w:pPr>
              <w:rPr>
                <w:rFonts w:ascii="Arial"/>
                <w:sz w:val="21"/>
              </w:rPr>
            </w:pPr>
          </w:p>
        </w:tc>
        <w:tc>
          <w:tcPr>
            <w:tcW w:w="1799" w:type="dxa"/>
            <w:vMerge w:val="continue"/>
            <w:tcBorders>
              <w:top w:val="nil"/>
            </w:tcBorders>
            <w:vAlign w:val="top"/>
          </w:tcPr>
          <w:p w14:paraId="1AAEA270">
            <w:pPr>
              <w:rPr>
                <w:rFonts w:ascii="Arial"/>
                <w:sz w:val="21"/>
              </w:rPr>
            </w:pPr>
          </w:p>
        </w:tc>
        <w:tc>
          <w:tcPr>
            <w:tcW w:w="3108" w:type="dxa"/>
            <w:vAlign w:val="top"/>
          </w:tcPr>
          <w:p w14:paraId="03C72BDB">
            <w:pPr>
              <w:pStyle w:val="6"/>
              <w:spacing w:before="40" w:line="235" w:lineRule="auto"/>
              <w:ind w:left="111" w:right="38" w:firstLine="19"/>
            </w:pPr>
            <w:r>
              <w:t>已标价工程量清单项目未填报</w:t>
            </w:r>
            <w:r>
              <w:rPr>
                <w:spacing w:val="4"/>
              </w:rPr>
              <w:t xml:space="preserve">  </w:t>
            </w:r>
            <w:r>
              <w:t>的项目不超过三项，或不超过三</w:t>
            </w:r>
            <w:r>
              <w:rPr>
                <w:spacing w:val="7"/>
              </w:rPr>
              <w:t xml:space="preserve"> </w:t>
            </w:r>
            <w:r>
              <w:rPr>
                <w:spacing w:val="-1"/>
              </w:rPr>
              <w:t>项未填报的项目的费用合计(按</w:t>
            </w:r>
            <w:r>
              <w:t xml:space="preserve">  </w:t>
            </w:r>
            <w:r>
              <w:rPr>
                <w:spacing w:val="-1"/>
              </w:rPr>
              <w:t>招标控制价相应项目的费用合</w:t>
            </w:r>
          </w:p>
          <w:p w14:paraId="0CB4799A">
            <w:pPr>
              <w:pStyle w:val="6"/>
              <w:spacing w:before="20" w:line="218" w:lineRule="auto"/>
              <w:ind w:left="130"/>
            </w:pPr>
            <w:r>
              <w:rPr>
                <w:spacing w:val="-1"/>
              </w:rPr>
              <w:t>计计算)不超过其投标总报价</w:t>
            </w:r>
          </w:p>
          <w:p w14:paraId="60DBF179">
            <w:pPr>
              <w:pStyle w:val="6"/>
              <w:spacing w:before="11" w:line="214" w:lineRule="auto"/>
              <w:ind w:left="121" w:right="110" w:firstLine="89"/>
            </w:pPr>
            <w:r>
              <w:rPr>
                <w:spacing w:val="3"/>
              </w:rPr>
              <w:t xml:space="preserve">(修正后的投标总报价，如有) </w:t>
            </w:r>
            <w:r>
              <w:rPr>
                <w:spacing w:val="1"/>
              </w:rPr>
              <w:t>的±1%</w:t>
            </w:r>
          </w:p>
        </w:tc>
        <w:tc>
          <w:tcPr>
            <w:tcW w:w="909" w:type="dxa"/>
            <w:vAlign w:val="top"/>
          </w:tcPr>
          <w:p w14:paraId="60D56934">
            <w:pPr>
              <w:rPr>
                <w:rFonts w:ascii="Arial"/>
                <w:sz w:val="21"/>
              </w:rPr>
            </w:pPr>
          </w:p>
        </w:tc>
        <w:tc>
          <w:tcPr>
            <w:tcW w:w="889" w:type="dxa"/>
            <w:vAlign w:val="top"/>
          </w:tcPr>
          <w:p w14:paraId="37943FE4">
            <w:pPr>
              <w:rPr>
                <w:rFonts w:ascii="Arial"/>
                <w:sz w:val="21"/>
              </w:rPr>
            </w:pPr>
          </w:p>
        </w:tc>
        <w:tc>
          <w:tcPr>
            <w:tcW w:w="909" w:type="dxa"/>
            <w:vAlign w:val="top"/>
          </w:tcPr>
          <w:p w14:paraId="14105EB8">
            <w:pPr>
              <w:rPr>
                <w:rFonts w:ascii="Arial"/>
                <w:sz w:val="21"/>
              </w:rPr>
            </w:pPr>
          </w:p>
        </w:tc>
        <w:tc>
          <w:tcPr>
            <w:tcW w:w="879" w:type="dxa"/>
            <w:vAlign w:val="top"/>
          </w:tcPr>
          <w:p w14:paraId="653E5F87">
            <w:pPr>
              <w:rPr>
                <w:rFonts w:ascii="Arial"/>
                <w:sz w:val="21"/>
              </w:rPr>
            </w:pPr>
          </w:p>
        </w:tc>
        <w:tc>
          <w:tcPr>
            <w:tcW w:w="909" w:type="dxa"/>
            <w:vAlign w:val="top"/>
          </w:tcPr>
          <w:p w14:paraId="0DDD36D0">
            <w:pPr>
              <w:rPr>
                <w:rFonts w:ascii="Arial"/>
                <w:sz w:val="21"/>
              </w:rPr>
            </w:pPr>
          </w:p>
        </w:tc>
        <w:tc>
          <w:tcPr>
            <w:tcW w:w="899" w:type="dxa"/>
            <w:vAlign w:val="top"/>
          </w:tcPr>
          <w:p w14:paraId="63D8E170">
            <w:pPr>
              <w:rPr>
                <w:rFonts w:ascii="Arial"/>
                <w:sz w:val="21"/>
              </w:rPr>
            </w:pPr>
          </w:p>
        </w:tc>
        <w:tc>
          <w:tcPr>
            <w:tcW w:w="889" w:type="dxa"/>
            <w:vAlign w:val="top"/>
          </w:tcPr>
          <w:p w14:paraId="7F3BEC10">
            <w:pPr>
              <w:rPr>
                <w:rFonts w:ascii="Arial"/>
                <w:sz w:val="21"/>
              </w:rPr>
            </w:pPr>
          </w:p>
        </w:tc>
        <w:tc>
          <w:tcPr>
            <w:tcW w:w="910" w:type="dxa"/>
            <w:vAlign w:val="top"/>
          </w:tcPr>
          <w:p w14:paraId="2B9DEC18">
            <w:pPr>
              <w:rPr>
                <w:rFonts w:ascii="Arial"/>
                <w:sz w:val="21"/>
              </w:rPr>
            </w:pPr>
          </w:p>
        </w:tc>
        <w:tc>
          <w:tcPr>
            <w:tcW w:w="885" w:type="dxa"/>
            <w:vAlign w:val="top"/>
          </w:tcPr>
          <w:p w14:paraId="303BADD3">
            <w:pPr>
              <w:rPr>
                <w:rFonts w:ascii="Arial"/>
                <w:sz w:val="21"/>
              </w:rPr>
            </w:pPr>
          </w:p>
        </w:tc>
      </w:tr>
      <w:tr w14:paraId="315F5C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765" w:type="dxa"/>
            <w:vAlign w:val="top"/>
          </w:tcPr>
          <w:p w14:paraId="585C2B11">
            <w:pPr>
              <w:pStyle w:val="6"/>
              <w:spacing w:before="196" w:line="241" w:lineRule="auto"/>
              <w:ind w:left="264"/>
            </w:pPr>
            <w:r>
              <w:rPr>
                <w:spacing w:val="-6"/>
              </w:rPr>
              <w:t>12</w:t>
            </w:r>
          </w:p>
        </w:tc>
        <w:tc>
          <w:tcPr>
            <w:tcW w:w="1799" w:type="dxa"/>
            <w:vAlign w:val="top"/>
          </w:tcPr>
          <w:p w14:paraId="259EB9E3">
            <w:pPr>
              <w:pStyle w:val="6"/>
              <w:spacing w:before="175" w:line="219" w:lineRule="auto"/>
              <w:ind w:left="149"/>
            </w:pPr>
            <w:r>
              <w:rPr>
                <w:spacing w:val="-2"/>
              </w:rPr>
              <w:t>澄清和说明情况</w:t>
            </w:r>
          </w:p>
        </w:tc>
        <w:tc>
          <w:tcPr>
            <w:tcW w:w="3108" w:type="dxa"/>
            <w:vAlign w:val="top"/>
          </w:tcPr>
          <w:p w14:paraId="30140B84">
            <w:pPr>
              <w:pStyle w:val="6"/>
              <w:spacing w:before="54" w:line="213" w:lineRule="auto"/>
              <w:ind w:left="120" w:right="24" w:hanging="9"/>
            </w:pPr>
            <w:r>
              <w:rPr>
                <w:spacing w:val="1"/>
              </w:rPr>
              <w:t>按照评标委员会要求澄清、说明</w:t>
            </w:r>
            <w:r>
              <w:rPr>
                <w:spacing w:val="7"/>
              </w:rPr>
              <w:t xml:space="preserve"> </w:t>
            </w:r>
            <w:r>
              <w:rPr>
                <w:spacing w:val="3"/>
              </w:rPr>
              <w:t>或者补正</w:t>
            </w:r>
          </w:p>
        </w:tc>
        <w:tc>
          <w:tcPr>
            <w:tcW w:w="909" w:type="dxa"/>
            <w:vAlign w:val="top"/>
          </w:tcPr>
          <w:p w14:paraId="74CC6155">
            <w:pPr>
              <w:rPr>
                <w:rFonts w:ascii="Arial"/>
                <w:sz w:val="21"/>
              </w:rPr>
            </w:pPr>
          </w:p>
        </w:tc>
        <w:tc>
          <w:tcPr>
            <w:tcW w:w="889" w:type="dxa"/>
            <w:vAlign w:val="top"/>
          </w:tcPr>
          <w:p w14:paraId="595A6F7E">
            <w:pPr>
              <w:rPr>
                <w:rFonts w:ascii="Arial"/>
                <w:sz w:val="21"/>
              </w:rPr>
            </w:pPr>
          </w:p>
        </w:tc>
        <w:tc>
          <w:tcPr>
            <w:tcW w:w="909" w:type="dxa"/>
            <w:vAlign w:val="top"/>
          </w:tcPr>
          <w:p w14:paraId="33A49459">
            <w:pPr>
              <w:rPr>
                <w:rFonts w:ascii="Arial"/>
                <w:sz w:val="21"/>
              </w:rPr>
            </w:pPr>
          </w:p>
        </w:tc>
        <w:tc>
          <w:tcPr>
            <w:tcW w:w="879" w:type="dxa"/>
            <w:vAlign w:val="top"/>
          </w:tcPr>
          <w:p w14:paraId="7A59D647">
            <w:pPr>
              <w:rPr>
                <w:rFonts w:ascii="Arial"/>
                <w:sz w:val="21"/>
              </w:rPr>
            </w:pPr>
          </w:p>
        </w:tc>
        <w:tc>
          <w:tcPr>
            <w:tcW w:w="909" w:type="dxa"/>
            <w:vAlign w:val="top"/>
          </w:tcPr>
          <w:p w14:paraId="7D4E9FA0">
            <w:pPr>
              <w:rPr>
                <w:rFonts w:ascii="Arial"/>
                <w:sz w:val="21"/>
              </w:rPr>
            </w:pPr>
          </w:p>
        </w:tc>
        <w:tc>
          <w:tcPr>
            <w:tcW w:w="899" w:type="dxa"/>
            <w:vAlign w:val="top"/>
          </w:tcPr>
          <w:p w14:paraId="054CB6DD">
            <w:pPr>
              <w:rPr>
                <w:rFonts w:ascii="Arial"/>
                <w:sz w:val="21"/>
              </w:rPr>
            </w:pPr>
          </w:p>
        </w:tc>
        <w:tc>
          <w:tcPr>
            <w:tcW w:w="889" w:type="dxa"/>
            <w:vAlign w:val="top"/>
          </w:tcPr>
          <w:p w14:paraId="2FDF1ABF">
            <w:pPr>
              <w:rPr>
                <w:rFonts w:ascii="Arial"/>
                <w:sz w:val="21"/>
              </w:rPr>
            </w:pPr>
          </w:p>
        </w:tc>
        <w:tc>
          <w:tcPr>
            <w:tcW w:w="910" w:type="dxa"/>
            <w:vAlign w:val="top"/>
          </w:tcPr>
          <w:p w14:paraId="15D4F6D8">
            <w:pPr>
              <w:rPr>
                <w:rFonts w:ascii="Arial"/>
                <w:sz w:val="21"/>
              </w:rPr>
            </w:pPr>
          </w:p>
        </w:tc>
        <w:tc>
          <w:tcPr>
            <w:tcW w:w="885" w:type="dxa"/>
            <w:vAlign w:val="top"/>
          </w:tcPr>
          <w:p w14:paraId="698E0E74">
            <w:pPr>
              <w:rPr>
                <w:rFonts w:ascii="Arial"/>
                <w:sz w:val="21"/>
              </w:rPr>
            </w:pPr>
          </w:p>
        </w:tc>
      </w:tr>
      <w:tr w14:paraId="1A2EDD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9" w:hRule="atLeast"/>
        </w:trPr>
        <w:tc>
          <w:tcPr>
            <w:tcW w:w="765" w:type="dxa"/>
            <w:vAlign w:val="top"/>
          </w:tcPr>
          <w:p w14:paraId="621E8420">
            <w:pPr>
              <w:pStyle w:val="6"/>
              <w:spacing w:before="197"/>
              <w:ind w:left="264"/>
            </w:pPr>
            <w:r>
              <w:rPr>
                <w:spacing w:val="-6"/>
              </w:rPr>
              <w:t>13</w:t>
            </w:r>
          </w:p>
        </w:tc>
        <w:tc>
          <w:tcPr>
            <w:tcW w:w="1799" w:type="dxa"/>
            <w:vAlign w:val="top"/>
          </w:tcPr>
          <w:p w14:paraId="7A970493">
            <w:pPr>
              <w:pStyle w:val="6"/>
              <w:spacing w:before="177" w:line="220" w:lineRule="auto"/>
              <w:ind w:left="149"/>
            </w:pPr>
            <w:r>
              <w:rPr>
                <w:spacing w:val="-2"/>
              </w:rPr>
              <w:t>投标人遵规守法</w:t>
            </w:r>
          </w:p>
        </w:tc>
        <w:tc>
          <w:tcPr>
            <w:tcW w:w="3108" w:type="dxa"/>
            <w:vAlign w:val="top"/>
          </w:tcPr>
          <w:p w14:paraId="4E7F2340">
            <w:pPr>
              <w:pStyle w:val="6"/>
              <w:spacing w:before="55" w:line="208" w:lineRule="auto"/>
              <w:ind w:left="111" w:right="48" w:firstLine="9"/>
            </w:pPr>
            <w:r>
              <w:rPr>
                <w:spacing w:val="-1"/>
              </w:rPr>
              <w:t>没有串通投标、弄虚作假、行贿</w:t>
            </w:r>
            <w:r>
              <w:rPr>
                <w:spacing w:val="1"/>
              </w:rPr>
              <w:t xml:space="preserve"> 或其他违法违规行为</w:t>
            </w:r>
          </w:p>
        </w:tc>
        <w:tc>
          <w:tcPr>
            <w:tcW w:w="909" w:type="dxa"/>
            <w:vAlign w:val="top"/>
          </w:tcPr>
          <w:p w14:paraId="73E3125B">
            <w:pPr>
              <w:rPr>
                <w:rFonts w:ascii="Arial"/>
                <w:sz w:val="21"/>
              </w:rPr>
            </w:pPr>
          </w:p>
        </w:tc>
        <w:tc>
          <w:tcPr>
            <w:tcW w:w="889" w:type="dxa"/>
            <w:vAlign w:val="top"/>
          </w:tcPr>
          <w:p w14:paraId="292CDC77">
            <w:pPr>
              <w:rPr>
                <w:rFonts w:ascii="Arial"/>
                <w:sz w:val="21"/>
              </w:rPr>
            </w:pPr>
          </w:p>
        </w:tc>
        <w:tc>
          <w:tcPr>
            <w:tcW w:w="909" w:type="dxa"/>
            <w:vAlign w:val="top"/>
          </w:tcPr>
          <w:p w14:paraId="555FF200">
            <w:pPr>
              <w:rPr>
                <w:rFonts w:ascii="Arial"/>
                <w:sz w:val="21"/>
              </w:rPr>
            </w:pPr>
          </w:p>
        </w:tc>
        <w:tc>
          <w:tcPr>
            <w:tcW w:w="879" w:type="dxa"/>
            <w:vAlign w:val="top"/>
          </w:tcPr>
          <w:p w14:paraId="38317D67">
            <w:pPr>
              <w:rPr>
                <w:rFonts w:ascii="Arial"/>
                <w:sz w:val="21"/>
              </w:rPr>
            </w:pPr>
          </w:p>
        </w:tc>
        <w:tc>
          <w:tcPr>
            <w:tcW w:w="909" w:type="dxa"/>
            <w:vAlign w:val="top"/>
          </w:tcPr>
          <w:p w14:paraId="789A5A4D">
            <w:pPr>
              <w:rPr>
                <w:rFonts w:ascii="Arial"/>
                <w:sz w:val="21"/>
              </w:rPr>
            </w:pPr>
          </w:p>
        </w:tc>
        <w:tc>
          <w:tcPr>
            <w:tcW w:w="899" w:type="dxa"/>
            <w:vAlign w:val="top"/>
          </w:tcPr>
          <w:p w14:paraId="46D005AC">
            <w:pPr>
              <w:rPr>
                <w:rFonts w:ascii="Arial"/>
                <w:sz w:val="21"/>
              </w:rPr>
            </w:pPr>
          </w:p>
        </w:tc>
        <w:tc>
          <w:tcPr>
            <w:tcW w:w="889" w:type="dxa"/>
            <w:vAlign w:val="top"/>
          </w:tcPr>
          <w:p w14:paraId="22536B20">
            <w:pPr>
              <w:rPr>
                <w:rFonts w:ascii="Arial"/>
                <w:sz w:val="21"/>
              </w:rPr>
            </w:pPr>
          </w:p>
        </w:tc>
        <w:tc>
          <w:tcPr>
            <w:tcW w:w="910" w:type="dxa"/>
            <w:vAlign w:val="top"/>
          </w:tcPr>
          <w:p w14:paraId="2A778877">
            <w:pPr>
              <w:rPr>
                <w:rFonts w:ascii="Arial"/>
                <w:sz w:val="21"/>
              </w:rPr>
            </w:pPr>
          </w:p>
        </w:tc>
        <w:tc>
          <w:tcPr>
            <w:tcW w:w="885" w:type="dxa"/>
            <w:vAlign w:val="top"/>
          </w:tcPr>
          <w:p w14:paraId="6F48E99C">
            <w:pPr>
              <w:rPr>
                <w:rFonts w:ascii="Arial"/>
                <w:sz w:val="21"/>
              </w:rPr>
            </w:pPr>
          </w:p>
        </w:tc>
      </w:tr>
      <w:tr w14:paraId="00CF88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4" w:hRule="atLeast"/>
        </w:trPr>
        <w:tc>
          <w:tcPr>
            <w:tcW w:w="5672" w:type="dxa"/>
            <w:gridSpan w:val="3"/>
            <w:vAlign w:val="top"/>
          </w:tcPr>
          <w:p w14:paraId="7B2B6174">
            <w:pPr>
              <w:pStyle w:val="6"/>
              <w:spacing w:before="49" w:line="213" w:lineRule="auto"/>
              <w:ind w:left="95" w:right="198" w:firstLine="9"/>
            </w:pPr>
            <w:r>
              <w:rPr>
                <w:spacing w:val="-4"/>
              </w:rPr>
              <w:t>响应性评审结论：通过响应性评审标注为</w:t>
            </w:r>
            <w:r>
              <w:rPr>
                <w:spacing w:val="-42"/>
              </w:rPr>
              <w:t xml:space="preserve"> </w:t>
            </w:r>
            <w:r>
              <w:rPr>
                <w:spacing w:val="-4"/>
              </w:rPr>
              <w:t>√</w:t>
            </w:r>
            <w:r>
              <w:rPr>
                <w:spacing w:val="-62"/>
              </w:rPr>
              <w:t xml:space="preserve"> </w:t>
            </w:r>
            <w:r>
              <w:rPr>
                <w:spacing w:val="-4"/>
              </w:rPr>
              <w:t>;未通过响应性</w:t>
            </w:r>
            <w:r>
              <w:t xml:space="preserve"> </w:t>
            </w:r>
            <w:r>
              <w:rPr>
                <w:spacing w:val="6"/>
              </w:rPr>
              <w:t>评审标注为×</w:t>
            </w:r>
          </w:p>
        </w:tc>
        <w:tc>
          <w:tcPr>
            <w:tcW w:w="909" w:type="dxa"/>
            <w:vAlign w:val="top"/>
          </w:tcPr>
          <w:p w14:paraId="621DEC4E">
            <w:pPr>
              <w:rPr>
                <w:rFonts w:ascii="Arial"/>
                <w:sz w:val="21"/>
              </w:rPr>
            </w:pPr>
          </w:p>
        </w:tc>
        <w:tc>
          <w:tcPr>
            <w:tcW w:w="889" w:type="dxa"/>
            <w:vAlign w:val="top"/>
          </w:tcPr>
          <w:p w14:paraId="17E31265">
            <w:pPr>
              <w:rPr>
                <w:rFonts w:ascii="Arial"/>
                <w:sz w:val="21"/>
              </w:rPr>
            </w:pPr>
          </w:p>
        </w:tc>
        <w:tc>
          <w:tcPr>
            <w:tcW w:w="909" w:type="dxa"/>
            <w:vAlign w:val="top"/>
          </w:tcPr>
          <w:p w14:paraId="50D4FE57">
            <w:pPr>
              <w:rPr>
                <w:rFonts w:ascii="Arial"/>
                <w:sz w:val="21"/>
              </w:rPr>
            </w:pPr>
          </w:p>
        </w:tc>
        <w:tc>
          <w:tcPr>
            <w:tcW w:w="879" w:type="dxa"/>
            <w:vAlign w:val="top"/>
          </w:tcPr>
          <w:p w14:paraId="6FD890BB">
            <w:pPr>
              <w:rPr>
                <w:rFonts w:ascii="Arial"/>
                <w:sz w:val="21"/>
              </w:rPr>
            </w:pPr>
          </w:p>
        </w:tc>
        <w:tc>
          <w:tcPr>
            <w:tcW w:w="909" w:type="dxa"/>
            <w:vAlign w:val="top"/>
          </w:tcPr>
          <w:p w14:paraId="1FA15EA0">
            <w:pPr>
              <w:rPr>
                <w:rFonts w:ascii="Arial"/>
                <w:sz w:val="21"/>
              </w:rPr>
            </w:pPr>
          </w:p>
        </w:tc>
        <w:tc>
          <w:tcPr>
            <w:tcW w:w="899" w:type="dxa"/>
            <w:vAlign w:val="top"/>
          </w:tcPr>
          <w:p w14:paraId="3ECF3763">
            <w:pPr>
              <w:rPr>
                <w:rFonts w:ascii="Arial"/>
                <w:sz w:val="21"/>
              </w:rPr>
            </w:pPr>
          </w:p>
        </w:tc>
        <w:tc>
          <w:tcPr>
            <w:tcW w:w="889" w:type="dxa"/>
            <w:vAlign w:val="top"/>
          </w:tcPr>
          <w:p w14:paraId="2D29BB24">
            <w:pPr>
              <w:rPr>
                <w:rFonts w:ascii="Arial"/>
                <w:sz w:val="21"/>
              </w:rPr>
            </w:pPr>
          </w:p>
        </w:tc>
        <w:tc>
          <w:tcPr>
            <w:tcW w:w="910" w:type="dxa"/>
            <w:vAlign w:val="top"/>
          </w:tcPr>
          <w:p w14:paraId="5BD10959">
            <w:pPr>
              <w:rPr>
                <w:rFonts w:ascii="Arial"/>
                <w:sz w:val="21"/>
              </w:rPr>
            </w:pPr>
          </w:p>
        </w:tc>
        <w:tc>
          <w:tcPr>
            <w:tcW w:w="885" w:type="dxa"/>
            <w:vAlign w:val="top"/>
          </w:tcPr>
          <w:p w14:paraId="08341175">
            <w:pPr>
              <w:rPr>
                <w:rFonts w:ascii="Arial"/>
                <w:sz w:val="21"/>
              </w:rPr>
            </w:pPr>
          </w:p>
        </w:tc>
      </w:tr>
    </w:tbl>
    <w:p w14:paraId="075ACD76">
      <w:pPr>
        <w:pStyle w:val="2"/>
        <w:spacing w:before="43" w:line="228" w:lineRule="auto"/>
        <w:ind w:left="135"/>
        <w:rPr>
          <w:sz w:val="21"/>
          <w:szCs w:val="21"/>
        </w:rPr>
      </w:pPr>
      <w:r>
        <w:rPr>
          <w:sz w:val="21"/>
          <w:szCs w:val="21"/>
        </w:rPr>
        <w:t xml:space="preserve">评标委员会全体成员签名：                       </w:t>
      </w:r>
      <w:r>
        <w:rPr>
          <w:spacing w:val="-1"/>
          <w:sz w:val="21"/>
          <w:szCs w:val="21"/>
        </w:rPr>
        <w:t xml:space="preserve">                                                      日期：      年    月    日</w:t>
      </w:r>
    </w:p>
    <w:p w14:paraId="4A092E41">
      <w:pPr>
        <w:spacing w:line="228" w:lineRule="auto"/>
        <w:rPr>
          <w:sz w:val="21"/>
          <w:szCs w:val="21"/>
        </w:rPr>
        <w:sectPr>
          <w:footerReference r:id="rId82" w:type="default"/>
          <w:pgSz w:w="16840" w:h="11910"/>
          <w:pgMar w:top="1012" w:right="1514" w:bottom="971" w:left="1564" w:header="0" w:footer="827" w:gutter="0"/>
          <w:cols w:space="720" w:num="1"/>
        </w:sectPr>
      </w:pPr>
    </w:p>
    <w:p w14:paraId="66CBA273">
      <w:pPr>
        <w:spacing w:line="259" w:lineRule="auto"/>
        <w:rPr>
          <w:rFonts w:ascii="Arial"/>
          <w:sz w:val="21"/>
        </w:rPr>
      </w:pPr>
    </w:p>
    <w:p w14:paraId="0699BF31">
      <w:pPr>
        <w:spacing w:line="259" w:lineRule="auto"/>
        <w:rPr>
          <w:rFonts w:ascii="Arial"/>
          <w:sz w:val="21"/>
        </w:rPr>
      </w:pPr>
    </w:p>
    <w:p w14:paraId="2A73235B">
      <w:pPr>
        <w:spacing w:before="81" w:line="222" w:lineRule="auto"/>
        <w:ind w:left="548"/>
        <w:outlineLvl w:val="2"/>
        <w:rPr>
          <w:rFonts w:ascii="黑体" w:hAnsi="黑体" w:eastAsia="黑体" w:cs="黑体"/>
          <w:sz w:val="25"/>
          <w:szCs w:val="25"/>
        </w:rPr>
      </w:pPr>
      <w:bookmarkStart w:id="215" w:name="bookmark161"/>
      <w:bookmarkEnd w:id="215"/>
      <w:r>
        <w:rPr>
          <w:rFonts w:ascii="黑体" w:hAnsi="黑体" w:eastAsia="黑体" w:cs="黑体"/>
          <w:b/>
          <w:bCs/>
          <w:spacing w:val="2"/>
          <w:sz w:val="25"/>
          <w:szCs w:val="25"/>
        </w:rPr>
        <w:t>附表</w:t>
      </w:r>
      <w:r>
        <w:rPr>
          <w:rFonts w:ascii="Times New Roman" w:hAnsi="Times New Roman" w:eastAsia="Times New Roman" w:cs="Times New Roman"/>
          <w:b/>
          <w:bCs/>
          <w:spacing w:val="2"/>
          <w:sz w:val="25"/>
          <w:szCs w:val="25"/>
        </w:rPr>
        <w:t xml:space="preserve">A-7:  </w:t>
      </w:r>
      <w:r>
        <w:rPr>
          <w:rFonts w:ascii="黑体" w:hAnsi="黑体" w:eastAsia="黑体" w:cs="黑体"/>
          <w:b/>
          <w:bCs/>
          <w:spacing w:val="2"/>
          <w:sz w:val="25"/>
          <w:szCs w:val="25"/>
        </w:rPr>
        <w:t>施工组织设计评审记录表(合格性)</w:t>
      </w:r>
    </w:p>
    <w:p w14:paraId="716FA7E2">
      <w:pPr>
        <w:spacing w:before="51" w:line="222" w:lineRule="auto"/>
        <w:ind w:left="4920"/>
        <w:rPr>
          <w:rFonts w:ascii="黑体" w:hAnsi="黑体" w:eastAsia="黑体" w:cs="黑体"/>
          <w:sz w:val="36"/>
          <w:szCs w:val="36"/>
        </w:rPr>
      </w:pPr>
      <w:bookmarkStart w:id="216" w:name="bookmark272"/>
      <w:bookmarkEnd w:id="216"/>
      <w:r>
        <w:rPr>
          <w:rFonts w:ascii="黑体" w:hAnsi="黑体" w:eastAsia="黑体" w:cs="黑体"/>
          <w:b/>
          <w:bCs/>
          <w:spacing w:val="-5"/>
          <w:sz w:val="36"/>
          <w:szCs w:val="36"/>
        </w:rPr>
        <w:t>施工组织设计评审记录表</w:t>
      </w:r>
    </w:p>
    <w:p w14:paraId="27C418FE">
      <w:pPr>
        <w:pStyle w:val="2"/>
        <w:spacing w:before="277" w:line="230" w:lineRule="auto"/>
        <w:ind w:left="125"/>
        <w:rPr>
          <w:sz w:val="19"/>
          <w:szCs w:val="19"/>
        </w:rPr>
      </w:pPr>
      <w:r>
        <w:rPr>
          <w:spacing w:val="10"/>
          <w:position w:val="1"/>
          <w:sz w:val="19"/>
          <w:szCs w:val="19"/>
        </w:rPr>
        <w:t xml:space="preserve">工程名称： </w:t>
      </w:r>
      <w:r>
        <w:rPr>
          <w:spacing w:val="3"/>
          <w:position w:val="1"/>
          <w:sz w:val="19"/>
          <w:szCs w:val="19"/>
          <w:u w:val="single" w:color="auto"/>
        </w:rPr>
        <w:t xml:space="preserve">                </w:t>
      </w:r>
      <w:r>
        <w:rPr>
          <w:spacing w:val="10"/>
          <w:position w:val="-2"/>
          <w:sz w:val="19"/>
          <w:szCs w:val="19"/>
        </w:rPr>
        <w:t>(</w:t>
      </w:r>
      <w:r>
        <w:rPr>
          <w:spacing w:val="-45"/>
          <w:position w:val="-2"/>
          <w:sz w:val="19"/>
          <w:szCs w:val="19"/>
        </w:rPr>
        <w:t xml:space="preserve"> </w:t>
      </w:r>
      <w:r>
        <w:rPr>
          <w:spacing w:val="10"/>
          <w:position w:val="-2"/>
          <w:sz w:val="19"/>
          <w:szCs w:val="19"/>
        </w:rPr>
        <w:t>项目名称</w:t>
      </w:r>
      <w:r>
        <w:rPr>
          <w:spacing w:val="-56"/>
          <w:position w:val="-2"/>
          <w:sz w:val="19"/>
          <w:szCs w:val="19"/>
        </w:rPr>
        <w:t xml:space="preserve"> </w:t>
      </w:r>
      <w:r>
        <w:rPr>
          <w:spacing w:val="10"/>
          <w:position w:val="-2"/>
          <w:sz w:val="19"/>
          <w:szCs w:val="19"/>
        </w:rPr>
        <w:t>)</w:t>
      </w:r>
      <w:r>
        <w:rPr>
          <w:spacing w:val="10"/>
          <w:position w:val="-2"/>
          <w:sz w:val="19"/>
          <w:szCs w:val="19"/>
          <w:u w:val="single" w:color="auto"/>
        </w:rPr>
        <w:t xml:space="preserve">       </w:t>
      </w:r>
      <w:r>
        <w:rPr>
          <w:spacing w:val="-22"/>
          <w:position w:val="-2"/>
          <w:sz w:val="19"/>
          <w:szCs w:val="19"/>
        </w:rPr>
        <w:t xml:space="preserve"> </w:t>
      </w:r>
      <w:r>
        <w:rPr>
          <w:spacing w:val="10"/>
          <w:position w:val="1"/>
          <w:sz w:val="19"/>
          <w:szCs w:val="19"/>
        </w:rPr>
        <w:t>(标段名称)</w:t>
      </w:r>
    </w:p>
    <w:p w14:paraId="77F03B1E">
      <w:pPr>
        <w:spacing w:line="200" w:lineRule="exact"/>
      </w:pPr>
    </w:p>
    <w:tbl>
      <w:tblPr>
        <w:tblStyle w:val="5"/>
        <w:tblW w:w="1378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5"/>
        <w:gridCol w:w="1519"/>
        <w:gridCol w:w="3618"/>
        <w:gridCol w:w="709"/>
        <w:gridCol w:w="799"/>
        <w:gridCol w:w="789"/>
        <w:gridCol w:w="850"/>
        <w:gridCol w:w="739"/>
        <w:gridCol w:w="820"/>
        <w:gridCol w:w="819"/>
        <w:gridCol w:w="759"/>
        <w:gridCol w:w="829"/>
        <w:gridCol w:w="804"/>
      </w:tblGrid>
      <w:tr w14:paraId="21BCD1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4" w:hRule="atLeast"/>
        </w:trPr>
        <w:tc>
          <w:tcPr>
            <w:tcW w:w="735" w:type="dxa"/>
            <w:vMerge w:val="restart"/>
            <w:tcBorders>
              <w:bottom w:val="nil"/>
            </w:tcBorders>
            <w:vAlign w:val="top"/>
          </w:tcPr>
          <w:p w14:paraId="131D9A81">
            <w:pPr>
              <w:spacing w:line="284" w:lineRule="auto"/>
              <w:rPr>
                <w:rFonts w:ascii="Arial"/>
                <w:sz w:val="21"/>
              </w:rPr>
            </w:pPr>
          </w:p>
          <w:p w14:paraId="393E273F">
            <w:pPr>
              <w:pStyle w:val="6"/>
              <w:spacing w:before="69" w:line="221" w:lineRule="auto"/>
              <w:ind w:left="145"/>
            </w:pPr>
            <w:r>
              <w:rPr>
                <w:spacing w:val="6"/>
              </w:rPr>
              <w:t>序号</w:t>
            </w:r>
          </w:p>
        </w:tc>
        <w:tc>
          <w:tcPr>
            <w:tcW w:w="1519" w:type="dxa"/>
            <w:vMerge w:val="restart"/>
            <w:tcBorders>
              <w:bottom w:val="nil"/>
            </w:tcBorders>
            <w:vAlign w:val="top"/>
          </w:tcPr>
          <w:p w14:paraId="446A9AD3">
            <w:pPr>
              <w:spacing w:line="284" w:lineRule="auto"/>
              <w:rPr>
                <w:rFonts w:ascii="Arial"/>
                <w:sz w:val="21"/>
              </w:rPr>
            </w:pPr>
          </w:p>
          <w:p w14:paraId="3271CC61">
            <w:pPr>
              <w:pStyle w:val="6"/>
              <w:spacing w:before="68" w:line="220" w:lineRule="auto"/>
              <w:ind w:left="330"/>
            </w:pPr>
            <w:r>
              <w:rPr>
                <w:spacing w:val="10"/>
              </w:rPr>
              <w:t>评审项目</w:t>
            </w:r>
          </w:p>
        </w:tc>
        <w:tc>
          <w:tcPr>
            <w:tcW w:w="3618" w:type="dxa"/>
            <w:vMerge w:val="restart"/>
            <w:tcBorders>
              <w:bottom w:val="nil"/>
            </w:tcBorders>
            <w:vAlign w:val="top"/>
          </w:tcPr>
          <w:p w14:paraId="70246FF1">
            <w:pPr>
              <w:spacing w:line="284" w:lineRule="auto"/>
              <w:rPr>
                <w:rFonts w:ascii="Arial"/>
                <w:sz w:val="21"/>
              </w:rPr>
            </w:pPr>
          </w:p>
          <w:p w14:paraId="44428522">
            <w:pPr>
              <w:pStyle w:val="6"/>
              <w:spacing w:before="68" w:line="220" w:lineRule="auto"/>
              <w:ind w:left="1380"/>
            </w:pPr>
            <w:r>
              <w:rPr>
                <w:spacing w:val="-2"/>
              </w:rPr>
              <w:t>评审标准</w:t>
            </w:r>
          </w:p>
        </w:tc>
        <w:tc>
          <w:tcPr>
            <w:tcW w:w="709" w:type="dxa"/>
            <w:vMerge w:val="restart"/>
            <w:tcBorders>
              <w:bottom w:val="nil"/>
            </w:tcBorders>
            <w:vAlign w:val="top"/>
          </w:tcPr>
          <w:p w14:paraId="7E7CED3D">
            <w:pPr>
              <w:spacing w:line="284" w:lineRule="auto"/>
              <w:rPr>
                <w:rFonts w:ascii="Arial"/>
                <w:sz w:val="21"/>
              </w:rPr>
            </w:pPr>
          </w:p>
          <w:p w14:paraId="716D1F45">
            <w:pPr>
              <w:pStyle w:val="6"/>
              <w:spacing w:before="68" w:line="220" w:lineRule="auto"/>
              <w:ind w:left="133"/>
            </w:pPr>
            <w:r>
              <w:rPr>
                <w:spacing w:val="6"/>
              </w:rPr>
              <w:t>结果</w:t>
            </w:r>
          </w:p>
        </w:tc>
        <w:tc>
          <w:tcPr>
            <w:tcW w:w="7208" w:type="dxa"/>
            <w:gridSpan w:val="9"/>
            <w:vAlign w:val="top"/>
          </w:tcPr>
          <w:p w14:paraId="5BB9B544">
            <w:pPr>
              <w:pStyle w:val="6"/>
              <w:spacing w:before="133" w:line="219" w:lineRule="auto"/>
              <w:ind w:left="2023"/>
            </w:pPr>
            <w:r>
              <w:rPr>
                <w:spacing w:val="-1"/>
              </w:rPr>
              <w:t>投标人名称或暗标编号及评审得分</w:t>
            </w:r>
          </w:p>
        </w:tc>
      </w:tr>
      <w:tr w14:paraId="703F35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9" w:hRule="atLeast"/>
        </w:trPr>
        <w:tc>
          <w:tcPr>
            <w:tcW w:w="735" w:type="dxa"/>
            <w:vMerge w:val="continue"/>
            <w:tcBorders>
              <w:top w:val="nil"/>
            </w:tcBorders>
            <w:vAlign w:val="top"/>
          </w:tcPr>
          <w:p w14:paraId="0E8B4C4B">
            <w:pPr>
              <w:rPr>
                <w:rFonts w:ascii="Arial"/>
                <w:sz w:val="21"/>
              </w:rPr>
            </w:pPr>
          </w:p>
        </w:tc>
        <w:tc>
          <w:tcPr>
            <w:tcW w:w="1519" w:type="dxa"/>
            <w:vMerge w:val="continue"/>
            <w:tcBorders>
              <w:top w:val="nil"/>
            </w:tcBorders>
            <w:vAlign w:val="top"/>
          </w:tcPr>
          <w:p w14:paraId="6458BD76">
            <w:pPr>
              <w:rPr>
                <w:rFonts w:ascii="Arial"/>
                <w:sz w:val="21"/>
              </w:rPr>
            </w:pPr>
          </w:p>
        </w:tc>
        <w:tc>
          <w:tcPr>
            <w:tcW w:w="3618" w:type="dxa"/>
            <w:vMerge w:val="continue"/>
            <w:tcBorders>
              <w:top w:val="nil"/>
            </w:tcBorders>
            <w:vAlign w:val="top"/>
          </w:tcPr>
          <w:p w14:paraId="1813EB04">
            <w:pPr>
              <w:rPr>
                <w:rFonts w:ascii="Arial"/>
                <w:sz w:val="21"/>
              </w:rPr>
            </w:pPr>
          </w:p>
        </w:tc>
        <w:tc>
          <w:tcPr>
            <w:tcW w:w="709" w:type="dxa"/>
            <w:vMerge w:val="continue"/>
            <w:tcBorders>
              <w:top w:val="nil"/>
            </w:tcBorders>
            <w:vAlign w:val="top"/>
          </w:tcPr>
          <w:p w14:paraId="38688C1E">
            <w:pPr>
              <w:rPr>
                <w:rFonts w:ascii="Arial"/>
                <w:sz w:val="21"/>
              </w:rPr>
            </w:pPr>
          </w:p>
        </w:tc>
        <w:tc>
          <w:tcPr>
            <w:tcW w:w="799" w:type="dxa"/>
            <w:vAlign w:val="top"/>
          </w:tcPr>
          <w:p w14:paraId="5D5AA9E1">
            <w:pPr>
              <w:rPr>
                <w:rFonts w:ascii="Arial"/>
                <w:sz w:val="21"/>
              </w:rPr>
            </w:pPr>
          </w:p>
        </w:tc>
        <w:tc>
          <w:tcPr>
            <w:tcW w:w="789" w:type="dxa"/>
            <w:vAlign w:val="top"/>
          </w:tcPr>
          <w:p w14:paraId="58704F32">
            <w:pPr>
              <w:rPr>
                <w:rFonts w:ascii="Arial"/>
                <w:sz w:val="21"/>
              </w:rPr>
            </w:pPr>
          </w:p>
        </w:tc>
        <w:tc>
          <w:tcPr>
            <w:tcW w:w="850" w:type="dxa"/>
            <w:vAlign w:val="top"/>
          </w:tcPr>
          <w:p w14:paraId="77EFAF96">
            <w:pPr>
              <w:rPr>
                <w:rFonts w:ascii="Arial"/>
                <w:sz w:val="21"/>
              </w:rPr>
            </w:pPr>
          </w:p>
        </w:tc>
        <w:tc>
          <w:tcPr>
            <w:tcW w:w="739" w:type="dxa"/>
            <w:vAlign w:val="top"/>
          </w:tcPr>
          <w:p w14:paraId="4E13A2A6">
            <w:pPr>
              <w:rPr>
                <w:rFonts w:ascii="Arial"/>
                <w:sz w:val="21"/>
              </w:rPr>
            </w:pPr>
          </w:p>
        </w:tc>
        <w:tc>
          <w:tcPr>
            <w:tcW w:w="820" w:type="dxa"/>
            <w:vAlign w:val="top"/>
          </w:tcPr>
          <w:p w14:paraId="74445AE1">
            <w:pPr>
              <w:rPr>
                <w:rFonts w:ascii="Arial"/>
                <w:sz w:val="21"/>
              </w:rPr>
            </w:pPr>
          </w:p>
        </w:tc>
        <w:tc>
          <w:tcPr>
            <w:tcW w:w="819" w:type="dxa"/>
            <w:vAlign w:val="top"/>
          </w:tcPr>
          <w:p w14:paraId="62A31638">
            <w:pPr>
              <w:rPr>
                <w:rFonts w:ascii="Arial"/>
                <w:sz w:val="21"/>
              </w:rPr>
            </w:pPr>
          </w:p>
        </w:tc>
        <w:tc>
          <w:tcPr>
            <w:tcW w:w="759" w:type="dxa"/>
            <w:vAlign w:val="top"/>
          </w:tcPr>
          <w:p w14:paraId="07DE7F6A">
            <w:pPr>
              <w:rPr>
                <w:rFonts w:ascii="Arial"/>
                <w:sz w:val="21"/>
              </w:rPr>
            </w:pPr>
          </w:p>
        </w:tc>
        <w:tc>
          <w:tcPr>
            <w:tcW w:w="829" w:type="dxa"/>
            <w:vAlign w:val="top"/>
          </w:tcPr>
          <w:p w14:paraId="3DD86529">
            <w:pPr>
              <w:rPr>
                <w:rFonts w:ascii="Arial"/>
                <w:sz w:val="21"/>
              </w:rPr>
            </w:pPr>
          </w:p>
        </w:tc>
        <w:tc>
          <w:tcPr>
            <w:tcW w:w="804" w:type="dxa"/>
            <w:vAlign w:val="top"/>
          </w:tcPr>
          <w:p w14:paraId="695AA56A">
            <w:pPr>
              <w:rPr>
                <w:rFonts w:ascii="Arial"/>
                <w:sz w:val="21"/>
              </w:rPr>
            </w:pPr>
          </w:p>
        </w:tc>
      </w:tr>
      <w:tr w14:paraId="463B16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9" w:hRule="atLeast"/>
        </w:trPr>
        <w:tc>
          <w:tcPr>
            <w:tcW w:w="735" w:type="dxa"/>
            <w:vAlign w:val="top"/>
          </w:tcPr>
          <w:p w14:paraId="6E5F7CD2">
            <w:pPr>
              <w:spacing w:line="271" w:lineRule="auto"/>
              <w:rPr>
                <w:rFonts w:ascii="Arial"/>
                <w:sz w:val="21"/>
              </w:rPr>
            </w:pPr>
          </w:p>
          <w:p w14:paraId="496C4847">
            <w:pPr>
              <w:pStyle w:val="6"/>
              <w:spacing w:before="68" w:line="241" w:lineRule="auto"/>
              <w:ind w:left="305"/>
            </w:pPr>
            <w:r>
              <w:t>1</w:t>
            </w:r>
          </w:p>
        </w:tc>
        <w:tc>
          <w:tcPr>
            <w:tcW w:w="1519" w:type="dxa"/>
            <w:vAlign w:val="top"/>
          </w:tcPr>
          <w:p w14:paraId="5296CE59">
            <w:pPr>
              <w:spacing w:line="251" w:lineRule="auto"/>
              <w:rPr>
                <w:rFonts w:ascii="Arial"/>
                <w:sz w:val="21"/>
              </w:rPr>
            </w:pPr>
          </w:p>
          <w:p w14:paraId="3A1D406B">
            <w:pPr>
              <w:pStyle w:val="6"/>
              <w:spacing w:before="68" w:line="219" w:lineRule="auto"/>
              <w:ind w:left="330"/>
            </w:pPr>
            <w:r>
              <w:rPr>
                <w:spacing w:val="-3"/>
              </w:rPr>
              <w:t>工程概况</w:t>
            </w:r>
          </w:p>
        </w:tc>
        <w:tc>
          <w:tcPr>
            <w:tcW w:w="3618" w:type="dxa"/>
            <w:vAlign w:val="top"/>
          </w:tcPr>
          <w:p w14:paraId="399781C2">
            <w:pPr>
              <w:pStyle w:val="6"/>
              <w:spacing w:before="188" w:line="257" w:lineRule="auto"/>
              <w:ind w:left="129" w:right="115" w:hanging="9"/>
            </w:pPr>
            <w:r>
              <w:t>工程主要情况、各专业设计简介、工</w:t>
            </w:r>
            <w:r>
              <w:rPr>
                <w:spacing w:val="10"/>
              </w:rPr>
              <w:t xml:space="preserve"> </w:t>
            </w:r>
            <w:r>
              <w:rPr>
                <w:spacing w:val="1"/>
              </w:rPr>
              <w:t>程施工条件描述基本准确</w:t>
            </w:r>
          </w:p>
        </w:tc>
        <w:tc>
          <w:tcPr>
            <w:tcW w:w="709" w:type="dxa"/>
            <w:vAlign w:val="top"/>
          </w:tcPr>
          <w:p w14:paraId="0648D4C4">
            <w:pPr>
              <w:spacing w:line="251" w:lineRule="auto"/>
              <w:rPr>
                <w:rFonts w:ascii="Arial"/>
                <w:sz w:val="21"/>
              </w:rPr>
            </w:pPr>
          </w:p>
          <w:p w14:paraId="4FA24770">
            <w:pPr>
              <w:pStyle w:val="6"/>
              <w:spacing w:before="68" w:line="219" w:lineRule="auto"/>
              <w:ind w:left="133"/>
            </w:pPr>
            <w:r>
              <w:rPr>
                <w:spacing w:val="-3"/>
              </w:rPr>
              <w:t>合格</w:t>
            </w:r>
          </w:p>
        </w:tc>
        <w:tc>
          <w:tcPr>
            <w:tcW w:w="799" w:type="dxa"/>
            <w:vAlign w:val="top"/>
          </w:tcPr>
          <w:p w14:paraId="5E6F3ADB">
            <w:pPr>
              <w:rPr>
                <w:rFonts w:ascii="Arial"/>
                <w:sz w:val="21"/>
              </w:rPr>
            </w:pPr>
          </w:p>
        </w:tc>
        <w:tc>
          <w:tcPr>
            <w:tcW w:w="789" w:type="dxa"/>
            <w:vAlign w:val="top"/>
          </w:tcPr>
          <w:p w14:paraId="26E44E82">
            <w:pPr>
              <w:rPr>
                <w:rFonts w:ascii="Arial"/>
                <w:sz w:val="21"/>
              </w:rPr>
            </w:pPr>
          </w:p>
        </w:tc>
        <w:tc>
          <w:tcPr>
            <w:tcW w:w="850" w:type="dxa"/>
            <w:vAlign w:val="top"/>
          </w:tcPr>
          <w:p w14:paraId="37E3EC66">
            <w:pPr>
              <w:rPr>
                <w:rFonts w:ascii="Arial"/>
                <w:sz w:val="21"/>
              </w:rPr>
            </w:pPr>
          </w:p>
        </w:tc>
        <w:tc>
          <w:tcPr>
            <w:tcW w:w="739" w:type="dxa"/>
            <w:vAlign w:val="top"/>
          </w:tcPr>
          <w:p w14:paraId="19EBCBA8">
            <w:pPr>
              <w:rPr>
                <w:rFonts w:ascii="Arial"/>
                <w:sz w:val="21"/>
              </w:rPr>
            </w:pPr>
          </w:p>
        </w:tc>
        <w:tc>
          <w:tcPr>
            <w:tcW w:w="820" w:type="dxa"/>
            <w:vAlign w:val="top"/>
          </w:tcPr>
          <w:p w14:paraId="10493E0F">
            <w:pPr>
              <w:rPr>
                <w:rFonts w:ascii="Arial"/>
                <w:sz w:val="21"/>
              </w:rPr>
            </w:pPr>
          </w:p>
        </w:tc>
        <w:tc>
          <w:tcPr>
            <w:tcW w:w="819" w:type="dxa"/>
            <w:vAlign w:val="top"/>
          </w:tcPr>
          <w:p w14:paraId="51409877">
            <w:pPr>
              <w:rPr>
                <w:rFonts w:ascii="Arial"/>
                <w:sz w:val="21"/>
              </w:rPr>
            </w:pPr>
          </w:p>
        </w:tc>
        <w:tc>
          <w:tcPr>
            <w:tcW w:w="759" w:type="dxa"/>
            <w:vAlign w:val="top"/>
          </w:tcPr>
          <w:p w14:paraId="40DF2448">
            <w:pPr>
              <w:rPr>
                <w:rFonts w:ascii="Arial"/>
                <w:sz w:val="21"/>
              </w:rPr>
            </w:pPr>
          </w:p>
        </w:tc>
        <w:tc>
          <w:tcPr>
            <w:tcW w:w="829" w:type="dxa"/>
            <w:vAlign w:val="top"/>
          </w:tcPr>
          <w:p w14:paraId="50B6D09A">
            <w:pPr>
              <w:rPr>
                <w:rFonts w:ascii="Arial"/>
                <w:sz w:val="21"/>
              </w:rPr>
            </w:pPr>
          </w:p>
        </w:tc>
        <w:tc>
          <w:tcPr>
            <w:tcW w:w="804" w:type="dxa"/>
            <w:vAlign w:val="top"/>
          </w:tcPr>
          <w:p w14:paraId="42394C10">
            <w:pPr>
              <w:rPr>
                <w:rFonts w:ascii="Arial"/>
                <w:sz w:val="21"/>
              </w:rPr>
            </w:pPr>
          </w:p>
        </w:tc>
      </w:tr>
      <w:tr w14:paraId="70DA95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57" w:hRule="atLeast"/>
        </w:trPr>
        <w:tc>
          <w:tcPr>
            <w:tcW w:w="735" w:type="dxa"/>
            <w:vAlign w:val="top"/>
          </w:tcPr>
          <w:p w14:paraId="7ADC2931">
            <w:pPr>
              <w:spacing w:line="244" w:lineRule="auto"/>
              <w:rPr>
                <w:rFonts w:ascii="Arial"/>
                <w:sz w:val="21"/>
              </w:rPr>
            </w:pPr>
          </w:p>
          <w:p w14:paraId="13238F20">
            <w:pPr>
              <w:spacing w:line="244" w:lineRule="auto"/>
              <w:rPr>
                <w:rFonts w:ascii="Arial"/>
                <w:sz w:val="21"/>
              </w:rPr>
            </w:pPr>
          </w:p>
          <w:p w14:paraId="708222F9">
            <w:pPr>
              <w:spacing w:line="245" w:lineRule="auto"/>
              <w:rPr>
                <w:rFonts w:ascii="Arial"/>
                <w:sz w:val="21"/>
              </w:rPr>
            </w:pPr>
          </w:p>
          <w:p w14:paraId="146230E8">
            <w:pPr>
              <w:spacing w:line="245" w:lineRule="auto"/>
              <w:rPr>
                <w:rFonts w:ascii="Arial"/>
                <w:sz w:val="21"/>
              </w:rPr>
            </w:pPr>
          </w:p>
          <w:p w14:paraId="1F2DCBC6">
            <w:pPr>
              <w:pStyle w:val="6"/>
              <w:spacing w:before="68" w:line="241" w:lineRule="auto"/>
              <w:ind w:left="305"/>
            </w:pPr>
            <w:r>
              <w:t>2</w:t>
            </w:r>
          </w:p>
        </w:tc>
        <w:tc>
          <w:tcPr>
            <w:tcW w:w="1519" w:type="dxa"/>
            <w:vAlign w:val="top"/>
          </w:tcPr>
          <w:p w14:paraId="20D259DB">
            <w:pPr>
              <w:spacing w:line="319" w:lineRule="auto"/>
              <w:rPr>
                <w:rFonts w:ascii="Arial"/>
                <w:sz w:val="21"/>
              </w:rPr>
            </w:pPr>
          </w:p>
          <w:p w14:paraId="294BF178">
            <w:pPr>
              <w:spacing w:line="319" w:lineRule="auto"/>
              <w:rPr>
                <w:rFonts w:ascii="Arial"/>
                <w:sz w:val="21"/>
              </w:rPr>
            </w:pPr>
          </w:p>
          <w:p w14:paraId="2D3D3B3A">
            <w:pPr>
              <w:spacing w:line="319" w:lineRule="auto"/>
              <w:rPr>
                <w:rFonts w:ascii="Arial"/>
                <w:sz w:val="21"/>
              </w:rPr>
            </w:pPr>
          </w:p>
          <w:p w14:paraId="3F2A8B5D">
            <w:pPr>
              <w:pStyle w:val="6"/>
              <w:spacing w:before="68" w:line="219" w:lineRule="auto"/>
              <w:ind w:left="330"/>
            </w:pPr>
            <w:r>
              <w:rPr>
                <w:spacing w:val="-2"/>
              </w:rPr>
              <w:t>施工部署</w:t>
            </w:r>
          </w:p>
        </w:tc>
        <w:tc>
          <w:tcPr>
            <w:tcW w:w="3618" w:type="dxa"/>
            <w:vAlign w:val="top"/>
          </w:tcPr>
          <w:p w14:paraId="6F3A3AEB">
            <w:pPr>
              <w:pStyle w:val="6"/>
              <w:spacing w:before="105" w:line="237" w:lineRule="auto"/>
              <w:ind w:left="120"/>
            </w:pPr>
            <w:r>
              <w:rPr>
                <w:spacing w:val="-6"/>
              </w:rPr>
              <w:t>工程施工目标、主要施工内容、施工</w:t>
            </w:r>
            <w:r>
              <w:rPr>
                <w:spacing w:val="4"/>
              </w:rPr>
              <w:t xml:space="preserve">   </w:t>
            </w:r>
            <w:r>
              <w:rPr>
                <w:spacing w:val="-5"/>
              </w:rPr>
              <w:t>流水段划分、施工的重点和难点分析、</w:t>
            </w:r>
            <w:r>
              <w:rPr>
                <w:spacing w:val="1"/>
              </w:rPr>
              <w:t xml:space="preserve"> </w:t>
            </w:r>
            <w:r>
              <w:rPr>
                <w:spacing w:val="-7"/>
              </w:rPr>
              <w:t>工程管理的组织机构形式、项目经理</w:t>
            </w:r>
            <w:r>
              <w:rPr>
                <w:spacing w:val="2"/>
              </w:rPr>
              <w:t xml:space="preserve">   </w:t>
            </w:r>
            <w:r>
              <w:rPr>
                <w:spacing w:val="-7"/>
              </w:rPr>
              <w:t>部的工作岗位设置及其职责划分、新</w:t>
            </w:r>
            <w:r>
              <w:rPr>
                <w:spacing w:val="2"/>
              </w:rPr>
              <w:t xml:space="preserve">   </w:t>
            </w:r>
            <w:r>
              <w:rPr>
                <w:spacing w:val="-7"/>
              </w:rPr>
              <w:t>技术、新工艺部署及其技术和管理要</w:t>
            </w:r>
            <w:r>
              <w:rPr>
                <w:spacing w:val="3"/>
              </w:rPr>
              <w:t xml:space="preserve">   </w:t>
            </w:r>
            <w:r>
              <w:rPr>
                <w:spacing w:val="-5"/>
              </w:rPr>
              <w:t>求(如有)、主要分包工程施工单位的</w:t>
            </w:r>
            <w:r>
              <w:rPr>
                <w:spacing w:val="2"/>
              </w:rPr>
              <w:t xml:space="preserve">   </w:t>
            </w:r>
            <w:r>
              <w:rPr>
                <w:spacing w:val="1"/>
              </w:rPr>
              <w:t>选择要求及管理方式(如有)等各项</w:t>
            </w:r>
          </w:p>
          <w:p w14:paraId="698EE8D8">
            <w:pPr>
              <w:pStyle w:val="6"/>
              <w:spacing w:line="220" w:lineRule="auto"/>
              <w:ind w:left="120"/>
            </w:pPr>
            <w:r>
              <w:rPr>
                <w:spacing w:val="1"/>
              </w:rPr>
              <w:t>安排合理、可行</w:t>
            </w:r>
          </w:p>
        </w:tc>
        <w:tc>
          <w:tcPr>
            <w:tcW w:w="709" w:type="dxa"/>
            <w:vAlign w:val="top"/>
          </w:tcPr>
          <w:p w14:paraId="6D7D1C8F">
            <w:pPr>
              <w:spacing w:line="319" w:lineRule="auto"/>
              <w:rPr>
                <w:rFonts w:ascii="Arial"/>
                <w:sz w:val="21"/>
              </w:rPr>
            </w:pPr>
          </w:p>
          <w:p w14:paraId="49A93410">
            <w:pPr>
              <w:spacing w:line="319" w:lineRule="auto"/>
              <w:rPr>
                <w:rFonts w:ascii="Arial"/>
                <w:sz w:val="21"/>
              </w:rPr>
            </w:pPr>
          </w:p>
          <w:p w14:paraId="29F6BCE3">
            <w:pPr>
              <w:spacing w:line="319" w:lineRule="auto"/>
              <w:rPr>
                <w:rFonts w:ascii="Arial"/>
                <w:sz w:val="21"/>
              </w:rPr>
            </w:pPr>
          </w:p>
          <w:p w14:paraId="38F13840">
            <w:pPr>
              <w:pStyle w:val="6"/>
              <w:spacing w:before="68" w:line="219" w:lineRule="auto"/>
              <w:ind w:left="133"/>
            </w:pPr>
            <w:r>
              <w:rPr>
                <w:spacing w:val="-3"/>
              </w:rPr>
              <w:t>合格</w:t>
            </w:r>
          </w:p>
        </w:tc>
        <w:tc>
          <w:tcPr>
            <w:tcW w:w="799" w:type="dxa"/>
            <w:vAlign w:val="top"/>
          </w:tcPr>
          <w:p w14:paraId="497F4C46">
            <w:pPr>
              <w:rPr>
                <w:rFonts w:ascii="Arial"/>
                <w:sz w:val="21"/>
              </w:rPr>
            </w:pPr>
          </w:p>
        </w:tc>
        <w:tc>
          <w:tcPr>
            <w:tcW w:w="789" w:type="dxa"/>
            <w:vAlign w:val="top"/>
          </w:tcPr>
          <w:p w14:paraId="288A0169">
            <w:pPr>
              <w:rPr>
                <w:rFonts w:ascii="Arial"/>
                <w:sz w:val="21"/>
              </w:rPr>
            </w:pPr>
          </w:p>
        </w:tc>
        <w:tc>
          <w:tcPr>
            <w:tcW w:w="850" w:type="dxa"/>
            <w:vAlign w:val="top"/>
          </w:tcPr>
          <w:p w14:paraId="7C8D8601">
            <w:pPr>
              <w:rPr>
                <w:rFonts w:ascii="Arial"/>
                <w:sz w:val="21"/>
              </w:rPr>
            </w:pPr>
          </w:p>
        </w:tc>
        <w:tc>
          <w:tcPr>
            <w:tcW w:w="739" w:type="dxa"/>
            <w:vAlign w:val="top"/>
          </w:tcPr>
          <w:p w14:paraId="57524EE9">
            <w:pPr>
              <w:rPr>
                <w:rFonts w:ascii="Arial"/>
                <w:sz w:val="21"/>
              </w:rPr>
            </w:pPr>
          </w:p>
        </w:tc>
        <w:tc>
          <w:tcPr>
            <w:tcW w:w="820" w:type="dxa"/>
            <w:vAlign w:val="top"/>
          </w:tcPr>
          <w:p w14:paraId="156CE4FB">
            <w:pPr>
              <w:rPr>
                <w:rFonts w:ascii="Arial"/>
                <w:sz w:val="21"/>
              </w:rPr>
            </w:pPr>
          </w:p>
        </w:tc>
        <w:tc>
          <w:tcPr>
            <w:tcW w:w="819" w:type="dxa"/>
            <w:vAlign w:val="top"/>
          </w:tcPr>
          <w:p w14:paraId="3B32FDA6">
            <w:pPr>
              <w:rPr>
                <w:rFonts w:ascii="Arial"/>
                <w:sz w:val="21"/>
              </w:rPr>
            </w:pPr>
          </w:p>
        </w:tc>
        <w:tc>
          <w:tcPr>
            <w:tcW w:w="759" w:type="dxa"/>
            <w:vAlign w:val="top"/>
          </w:tcPr>
          <w:p w14:paraId="63BA9766">
            <w:pPr>
              <w:rPr>
                <w:rFonts w:ascii="Arial"/>
                <w:sz w:val="21"/>
              </w:rPr>
            </w:pPr>
          </w:p>
        </w:tc>
        <w:tc>
          <w:tcPr>
            <w:tcW w:w="829" w:type="dxa"/>
            <w:vAlign w:val="top"/>
          </w:tcPr>
          <w:p w14:paraId="6BDE74AF">
            <w:pPr>
              <w:rPr>
                <w:rFonts w:ascii="Arial"/>
                <w:sz w:val="21"/>
              </w:rPr>
            </w:pPr>
          </w:p>
        </w:tc>
        <w:tc>
          <w:tcPr>
            <w:tcW w:w="804" w:type="dxa"/>
            <w:vAlign w:val="top"/>
          </w:tcPr>
          <w:p w14:paraId="4AAF54A7">
            <w:pPr>
              <w:rPr>
                <w:rFonts w:ascii="Arial"/>
                <w:sz w:val="21"/>
              </w:rPr>
            </w:pPr>
          </w:p>
        </w:tc>
      </w:tr>
      <w:tr w14:paraId="6694A3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9" w:hRule="atLeast"/>
        </w:trPr>
        <w:tc>
          <w:tcPr>
            <w:tcW w:w="735" w:type="dxa"/>
            <w:vAlign w:val="top"/>
          </w:tcPr>
          <w:p w14:paraId="5E8D221C">
            <w:pPr>
              <w:pStyle w:val="6"/>
              <w:spacing w:before="295"/>
              <w:ind w:left="305"/>
            </w:pPr>
            <w:r>
              <w:t>3</w:t>
            </w:r>
          </w:p>
        </w:tc>
        <w:tc>
          <w:tcPr>
            <w:tcW w:w="1519" w:type="dxa"/>
            <w:vAlign w:val="top"/>
          </w:tcPr>
          <w:p w14:paraId="5086BF0E">
            <w:pPr>
              <w:pStyle w:val="6"/>
              <w:spacing w:before="275" w:line="220" w:lineRule="auto"/>
              <w:ind w:left="120"/>
            </w:pPr>
            <w:r>
              <w:rPr>
                <w:spacing w:val="2"/>
              </w:rPr>
              <w:t>施工进度计划</w:t>
            </w:r>
          </w:p>
        </w:tc>
        <w:tc>
          <w:tcPr>
            <w:tcW w:w="3618" w:type="dxa"/>
            <w:vAlign w:val="top"/>
          </w:tcPr>
          <w:p w14:paraId="10327348">
            <w:pPr>
              <w:pStyle w:val="6"/>
              <w:spacing w:before="144" w:line="258" w:lineRule="auto"/>
              <w:ind w:left="111" w:right="227" w:firstLine="109"/>
            </w:pPr>
            <w:r>
              <w:t>网络图或横道图安排的进度计划合</w:t>
            </w:r>
            <w:r>
              <w:rPr>
                <w:spacing w:val="8"/>
              </w:rPr>
              <w:t xml:space="preserve"> </w:t>
            </w:r>
            <w:r>
              <w:rPr>
                <w:spacing w:val="2"/>
              </w:rPr>
              <w:t>理、可行</w:t>
            </w:r>
          </w:p>
        </w:tc>
        <w:tc>
          <w:tcPr>
            <w:tcW w:w="709" w:type="dxa"/>
            <w:vAlign w:val="top"/>
          </w:tcPr>
          <w:p w14:paraId="54BF6BE3">
            <w:pPr>
              <w:pStyle w:val="6"/>
              <w:spacing w:before="274" w:line="219" w:lineRule="auto"/>
              <w:ind w:left="133"/>
            </w:pPr>
            <w:r>
              <w:rPr>
                <w:spacing w:val="-3"/>
              </w:rPr>
              <w:t>合格</w:t>
            </w:r>
          </w:p>
        </w:tc>
        <w:tc>
          <w:tcPr>
            <w:tcW w:w="799" w:type="dxa"/>
            <w:vAlign w:val="top"/>
          </w:tcPr>
          <w:p w14:paraId="1A0534C2">
            <w:pPr>
              <w:rPr>
                <w:rFonts w:ascii="Arial"/>
                <w:sz w:val="21"/>
              </w:rPr>
            </w:pPr>
          </w:p>
        </w:tc>
        <w:tc>
          <w:tcPr>
            <w:tcW w:w="789" w:type="dxa"/>
            <w:vAlign w:val="top"/>
          </w:tcPr>
          <w:p w14:paraId="5F30C64C">
            <w:pPr>
              <w:rPr>
                <w:rFonts w:ascii="Arial"/>
                <w:sz w:val="21"/>
              </w:rPr>
            </w:pPr>
          </w:p>
        </w:tc>
        <w:tc>
          <w:tcPr>
            <w:tcW w:w="850" w:type="dxa"/>
            <w:vAlign w:val="top"/>
          </w:tcPr>
          <w:p w14:paraId="2E2909B0">
            <w:pPr>
              <w:rPr>
                <w:rFonts w:ascii="Arial"/>
                <w:sz w:val="21"/>
              </w:rPr>
            </w:pPr>
          </w:p>
        </w:tc>
        <w:tc>
          <w:tcPr>
            <w:tcW w:w="739" w:type="dxa"/>
            <w:vAlign w:val="top"/>
          </w:tcPr>
          <w:p w14:paraId="5668A5EA">
            <w:pPr>
              <w:rPr>
                <w:rFonts w:ascii="Arial"/>
                <w:sz w:val="21"/>
              </w:rPr>
            </w:pPr>
          </w:p>
        </w:tc>
        <w:tc>
          <w:tcPr>
            <w:tcW w:w="820" w:type="dxa"/>
            <w:vAlign w:val="top"/>
          </w:tcPr>
          <w:p w14:paraId="6DB2A47C">
            <w:pPr>
              <w:rPr>
                <w:rFonts w:ascii="Arial"/>
                <w:sz w:val="21"/>
              </w:rPr>
            </w:pPr>
          </w:p>
        </w:tc>
        <w:tc>
          <w:tcPr>
            <w:tcW w:w="819" w:type="dxa"/>
            <w:vAlign w:val="top"/>
          </w:tcPr>
          <w:p w14:paraId="1C3554B3">
            <w:pPr>
              <w:rPr>
                <w:rFonts w:ascii="Arial"/>
                <w:sz w:val="21"/>
              </w:rPr>
            </w:pPr>
          </w:p>
        </w:tc>
        <w:tc>
          <w:tcPr>
            <w:tcW w:w="759" w:type="dxa"/>
            <w:vAlign w:val="top"/>
          </w:tcPr>
          <w:p w14:paraId="4BAF68B3">
            <w:pPr>
              <w:rPr>
                <w:rFonts w:ascii="Arial"/>
                <w:sz w:val="21"/>
              </w:rPr>
            </w:pPr>
          </w:p>
        </w:tc>
        <w:tc>
          <w:tcPr>
            <w:tcW w:w="829" w:type="dxa"/>
            <w:vAlign w:val="top"/>
          </w:tcPr>
          <w:p w14:paraId="527EF2E6">
            <w:pPr>
              <w:rPr>
                <w:rFonts w:ascii="Arial"/>
                <w:sz w:val="21"/>
              </w:rPr>
            </w:pPr>
          </w:p>
        </w:tc>
        <w:tc>
          <w:tcPr>
            <w:tcW w:w="804" w:type="dxa"/>
            <w:vAlign w:val="top"/>
          </w:tcPr>
          <w:p w14:paraId="557F062E">
            <w:pPr>
              <w:rPr>
                <w:rFonts w:ascii="Arial"/>
                <w:sz w:val="21"/>
              </w:rPr>
            </w:pPr>
          </w:p>
        </w:tc>
      </w:tr>
      <w:tr w14:paraId="79186E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98" w:hRule="atLeast"/>
        </w:trPr>
        <w:tc>
          <w:tcPr>
            <w:tcW w:w="735" w:type="dxa"/>
            <w:vAlign w:val="top"/>
          </w:tcPr>
          <w:p w14:paraId="001A0360">
            <w:pPr>
              <w:spacing w:line="302" w:lineRule="auto"/>
              <w:rPr>
                <w:rFonts w:ascii="Arial"/>
                <w:sz w:val="21"/>
              </w:rPr>
            </w:pPr>
          </w:p>
          <w:p w14:paraId="01BBE5F6">
            <w:pPr>
              <w:spacing w:line="302" w:lineRule="auto"/>
              <w:rPr>
                <w:rFonts w:ascii="Arial"/>
                <w:sz w:val="21"/>
              </w:rPr>
            </w:pPr>
          </w:p>
          <w:p w14:paraId="24555975">
            <w:pPr>
              <w:pStyle w:val="6"/>
              <w:spacing w:before="68" w:line="241" w:lineRule="auto"/>
              <w:ind w:left="305"/>
            </w:pPr>
            <w:r>
              <w:t>4</w:t>
            </w:r>
          </w:p>
        </w:tc>
        <w:tc>
          <w:tcPr>
            <w:tcW w:w="1519" w:type="dxa"/>
            <w:vAlign w:val="top"/>
          </w:tcPr>
          <w:p w14:paraId="5232DD32">
            <w:pPr>
              <w:spacing w:line="466" w:lineRule="auto"/>
              <w:rPr>
                <w:rFonts w:ascii="Arial"/>
                <w:sz w:val="21"/>
              </w:rPr>
            </w:pPr>
          </w:p>
          <w:p w14:paraId="78C1BC68">
            <w:pPr>
              <w:pStyle w:val="6"/>
              <w:spacing w:before="69" w:line="231" w:lineRule="auto"/>
              <w:ind w:left="220" w:right="113" w:hanging="100"/>
            </w:pPr>
            <w:r>
              <w:rPr>
                <w:spacing w:val="2"/>
              </w:rPr>
              <w:t xml:space="preserve">施工准备与资 </w:t>
            </w:r>
            <w:r>
              <w:rPr>
                <w:spacing w:val="3"/>
              </w:rPr>
              <w:t>源配置计划</w:t>
            </w:r>
          </w:p>
        </w:tc>
        <w:tc>
          <w:tcPr>
            <w:tcW w:w="3618" w:type="dxa"/>
            <w:vAlign w:val="top"/>
          </w:tcPr>
          <w:p w14:paraId="738BFA6D">
            <w:pPr>
              <w:pStyle w:val="6"/>
              <w:spacing w:before="122" w:line="239" w:lineRule="auto"/>
              <w:ind w:left="120" w:right="102"/>
              <w:jc w:val="both"/>
            </w:pPr>
            <w:r>
              <w:t>技术准备、现场准备和资金准备；资</w:t>
            </w:r>
            <w:r>
              <w:rPr>
                <w:spacing w:val="14"/>
              </w:rPr>
              <w:t xml:space="preserve"> </w:t>
            </w:r>
            <w:r>
              <w:rPr>
                <w:spacing w:val="-1"/>
              </w:rPr>
              <w:t>源配置计划包括劳动力配置计划、主</w:t>
            </w:r>
            <w:r>
              <w:rPr>
                <w:spacing w:val="7"/>
              </w:rPr>
              <w:t xml:space="preserve"> </w:t>
            </w:r>
            <w:r>
              <w:rPr>
                <w:spacing w:val="1"/>
              </w:rPr>
              <w:t>要工程材料和设备配置计划、主要周</w:t>
            </w:r>
            <w:r>
              <w:rPr>
                <w:spacing w:val="7"/>
              </w:rPr>
              <w:t xml:space="preserve"> </w:t>
            </w:r>
            <w:r>
              <w:rPr>
                <w:spacing w:val="-1"/>
              </w:rPr>
              <w:t>转材料和施工机具配置计划等内容完</w:t>
            </w:r>
            <w:r>
              <w:rPr>
                <w:spacing w:val="5"/>
              </w:rPr>
              <w:t xml:space="preserve"> 备，可行</w:t>
            </w:r>
          </w:p>
        </w:tc>
        <w:tc>
          <w:tcPr>
            <w:tcW w:w="709" w:type="dxa"/>
            <w:vAlign w:val="top"/>
          </w:tcPr>
          <w:p w14:paraId="71A9CD24">
            <w:pPr>
              <w:spacing w:line="291" w:lineRule="auto"/>
              <w:rPr>
                <w:rFonts w:ascii="Arial"/>
                <w:sz w:val="21"/>
              </w:rPr>
            </w:pPr>
          </w:p>
          <w:p w14:paraId="6F02449B">
            <w:pPr>
              <w:spacing w:line="292" w:lineRule="auto"/>
              <w:rPr>
                <w:rFonts w:ascii="Arial"/>
                <w:sz w:val="21"/>
              </w:rPr>
            </w:pPr>
          </w:p>
          <w:p w14:paraId="0EEA9D7D">
            <w:pPr>
              <w:pStyle w:val="6"/>
              <w:spacing w:before="69" w:line="219" w:lineRule="auto"/>
              <w:ind w:left="133"/>
            </w:pPr>
            <w:r>
              <w:rPr>
                <w:spacing w:val="-3"/>
              </w:rPr>
              <w:t>合格</w:t>
            </w:r>
          </w:p>
        </w:tc>
        <w:tc>
          <w:tcPr>
            <w:tcW w:w="799" w:type="dxa"/>
            <w:vAlign w:val="top"/>
          </w:tcPr>
          <w:p w14:paraId="7F2F4CE5">
            <w:pPr>
              <w:rPr>
                <w:rFonts w:ascii="Arial"/>
                <w:sz w:val="21"/>
              </w:rPr>
            </w:pPr>
          </w:p>
        </w:tc>
        <w:tc>
          <w:tcPr>
            <w:tcW w:w="789" w:type="dxa"/>
            <w:vAlign w:val="top"/>
          </w:tcPr>
          <w:p w14:paraId="63EF724D">
            <w:pPr>
              <w:rPr>
                <w:rFonts w:ascii="Arial"/>
                <w:sz w:val="21"/>
              </w:rPr>
            </w:pPr>
          </w:p>
        </w:tc>
        <w:tc>
          <w:tcPr>
            <w:tcW w:w="850" w:type="dxa"/>
            <w:vAlign w:val="top"/>
          </w:tcPr>
          <w:p w14:paraId="2C3161BA">
            <w:pPr>
              <w:rPr>
                <w:rFonts w:ascii="Arial"/>
                <w:sz w:val="21"/>
              </w:rPr>
            </w:pPr>
          </w:p>
        </w:tc>
        <w:tc>
          <w:tcPr>
            <w:tcW w:w="739" w:type="dxa"/>
            <w:vAlign w:val="top"/>
          </w:tcPr>
          <w:p w14:paraId="7AF043DD">
            <w:pPr>
              <w:rPr>
                <w:rFonts w:ascii="Arial"/>
                <w:sz w:val="21"/>
              </w:rPr>
            </w:pPr>
          </w:p>
        </w:tc>
        <w:tc>
          <w:tcPr>
            <w:tcW w:w="820" w:type="dxa"/>
            <w:vAlign w:val="top"/>
          </w:tcPr>
          <w:p w14:paraId="38C56818">
            <w:pPr>
              <w:rPr>
                <w:rFonts w:ascii="Arial"/>
                <w:sz w:val="21"/>
              </w:rPr>
            </w:pPr>
          </w:p>
        </w:tc>
        <w:tc>
          <w:tcPr>
            <w:tcW w:w="819" w:type="dxa"/>
            <w:vAlign w:val="top"/>
          </w:tcPr>
          <w:p w14:paraId="4B19F036">
            <w:pPr>
              <w:rPr>
                <w:rFonts w:ascii="Arial"/>
                <w:sz w:val="21"/>
              </w:rPr>
            </w:pPr>
          </w:p>
        </w:tc>
        <w:tc>
          <w:tcPr>
            <w:tcW w:w="759" w:type="dxa"/>
            <w:vAlign w:val="top"/>
          </w:tcPr>
          <w:p w14:paraId="2B71E26C">
            <w:pPr>
              <w:rPr>
                <w:rFonts w:ascii="Arial"/>
                <w:sz w:val="21"/>
              </w:rPr>
            </w:pPr>
          </w:p>
        </w:tc>
        <w:tc>
          <w:tcPr>
            <w:tcW w:w="829" w:type="dxa"/>
            <w:vAlign w:val="top"/>
          </w:tcPr>
          <w:p w14:paraId="56655B56">
            <w:pPr>
              <w:rPr>
                <w:rFonts w:ascii="Arial"/>
                <w:sz w:val="21"/>
              </w:rPr>
            </w:pPr>
          </w:p>
        </w:tc>
        <w:tc>
          <w:tcPr>
            <w:tcW w:w="804" w:type="dxa"/>
            <w:vAlign w:val="top"/>
          </w:tcPr>
          <w:p w14:paraId="3FA1D83B">
            <w:pPr>
              <w:rPr>
                <w:rFonts w:ascii="Arial"/>
                <w:sz w:val="21"/>
              </w:rPr>
            </w:pPr>
          </w:p>
        </w:tc>
      </w:tr>
      <w:tr w14:paraId="0906CF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735" w:type="dxa"/>
            <w:vMerge w:val="restart"/>
            <w:tcBorders>
              <w:bottom w:val="nil"/>
            </w:tcBorders>
            <w:vAlign w:val="top"/>
          </w:tcPr>
          <w:p w14:paraId="3842BA7C">
            <w:pPr>
              <w:spacing w:line="288" w:lineRule="auto"/>
              <w:rPr>
                <w:rFonts w:ascii="Arial"/>
                <w:sz w:val="21"/>
              </w:rPr>
            </w:pPr>
          </w:p>
          <w:p w14:paraId="477A430D">
            <w:pPr>
              <w:pStyle w:val="6"/>
              <w:spacing w:before="69" w:line="221" w:lineRule="auto"/>
              <w:ind w:left="145"/>
            </w:pPr>
            <w:r>
              <w:rPr>
                <w:spacing w:val="6"/>
              </w:rPr>
              <w:t>序号</w:t>
            </w:r>
          </w:p>
        </w:tc>
        <w:tc>
          <w:tcPr>
            <w:tcW w:w="1519" w:type="dxa"/>
            <w:vMerge w:val="restart"/>
            <w:tcBorders>
              <w:bottom w:val="nil"/>
            </w:tcBorders>
            <w:vAlign w:val="top"/>
          </w:tcPr>
          <w:p w14:paraId="284A2059">
            <w:pPr>
              <w:spacing w:line="288" w:lineRule="auto"/>
              <w:rPr>
                <w:rFonts w:ascii="Arial"/>
                <w:sz w:val="21"/>
              </w:rPr>
            </w:pPr>
          </w:p>
          <w:p w14:paraId="1823B26D">
            <w:pPr>
              <w:pStyle w:val="6"/>
              <w:spacing w:before="68" w:line="220" w:lineRule="auto"/>
              <w:ind w:left="330"/>
            </w:pPr>
            <w:r>
              <w:rPr>
                <w:spacing w:val="10"/>
              </w:rPr>
              <w:t>评审项目</w:t>
            </w:r>
          </w:p>
        </w:tc>
        <w:tc>
          <w:tcPr>
            <w:tcW w:w="5126" w:type="dxa"/>
            <w:gridSpan w:val="3"/>
            <w:vMerge w:val="restart"/>
            <w:tcBorders>
              <w:bottom w:val="nil"/>
            </w:tcBorders>
            <w:vAlign w:val="top"/>
          </w:tcPr>
          <w:p w14:paraId="27E7CA21">
            <w:pPr>
              <w:spacing w:line="288" w:lineRule="auto"/>
              <w:rPr>
                <w:rFonts w:ascii="Arial"/>
                <w:sz w:val="21"/>
              </w:rPr>
            </w:pPr>
          </w:p>
          <w:p w14:paraId="30C1B2A8">
            <w:pPr>
              <w:pStyle w:val="6"/>
              <w:spacing w:before="68" w:line="220" w:lineRule="auto"/>
              <w:ind w:left="2140"/>
            </w:pPr>
            <w:r>
              <w:rPr>
                <w:spacing w:val="-2"/>
              </w:rPr>
              <w:t>评审标准</w:t>
            </w:r>
          </w:p>
        </w:tc>
        <w:tc>
          <w:tcPr>
            <w:tcW w:w="789" w:type="dxa"/>
            <w:vMerge w:val="restart"/>
            <w:tcBorders>
              <w:bottom w:val="nil"/>
            </w:tcBorders>
            <w:vAlign w:val="top"/>
          </w:tcPr>
          <w:p w14:paraId="77C35CF4">
            <w:pPr>
              <w:spacing w:line="288" w:lineRule="auto"/>
              <w:rPr>
                <w:rFonts w:ascii="Arial"/>
                <w:sz w:val="21"/>
              </w:rPr>
            </w:pPr>
          </w:p>
          <w:p w14:paraId="1B098D4B">
            <w:pPr>
              <w:pStyle w:val="6"/>
              <w:spacing w:before="68" w:line="220" w:lineRule="auto"/>
              <w:ind w:left="195"/>
            </w:pPr>
            <w:r>
              <w:rPr>
                <w:spacing w:val="6"/>
              </w:rPr>
              <w:t>结果</w:t>
            </w:r>
          </w:p>
        </w:tc>
        <w:tc>
          <w:tcPr>
            <w:tcW w:w="5620" w:type="dxa"/>
            <w:gridSpan w:val="7"/>
            <w:vAlign w:val="top"/>
          </w:tcPr>
          <w:p w14:paraId="3E28A14D">
            <w:pPr>
              <w:pStyle w:val="6"/>
              <w:spacing w:before="137" w:line="219" w:lineRule="auto"/>
              <w:ind w:left="1275"/>
            </w:pPr>
            <w:r>
              <w:rPr>
                <w:spacing w:val="-1"/>
              </w:rPr>
              <w:t>投标人名称或暗标编号及评审得分</w:t>
            </w:r>
          </w:p>
        </w:tc>
      </w:tr>
      <w:tr w14:paraId="366554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735" w:type="dxa"/>
            <w:vMerge w:val="continue"/>
            <w:tcBorders>
              <w:top w:val="nil"/>
            </w:tcBorders>
            <w:vAlign w:val="top"/>
          </w:tcPr>
          <w:p w14:paraId="5DA73B07">
            <w:pPr>
              <w:rPr>
                <w:rFonts w:ascii="Arial"/>
                <w:sz w:val="21"/>
              </w:rPr>
            </w:pPr>
          </w:p>
        </w:tc>
        <w:tc>
          <w:tcPr>
            <w:tcW w:w="1519" w:type="dxa"/>
            <w:vMerge w:val="continue"/>
            <w:tcBorders>
              <w:top w:val="nil"/>
            </w:tcBorders>
            <w:vAlign w:val="top"/>
          </w:tcPr>
          <w:p w14:paraId="15A69264">
            <w:pPr>
              <w:rPr>
                <w:rFonts w:ascii="Arial"/>
                <w:sz w:val="21"/>
              </w:rPr>
            </w:pPr>
          </w:p>
        </w:tc>
        <w:tc>
          <w:tcPr>
            <w:tcW w:w="5126" w:type="dxa"/>
            <w:gridSpan w:val="3"/>
            <w:vMerge w:val="continue"/>
            <w:tcBorders>
              <w:top w:val="nil"/>
            </w:tcBorders>
            <w:vAlign w:val="top"/>
          </w:tcPr>
          <w:p w14:paraId="1E9F4403">
            <w:pPr>
              <w:rPr>
                <w:rFonts w:ascii="Arial"/>
                <w:sz w:val="21"/>
              </w:rPr>
            </w:pPr>
          </w:p>
        </w:tc>
        <w:tc>
          <w:tcPr>
            <w:tcW w:w="789" w:type="dxa"/>
            <w:vMerge w:val="continue"/>
            <w:tcBorders>
              <w:top w:val="nil"/>
            </w:tcBorders>
            <w:vAlign w:val="top"/>
          </w:tcPr>
          <w:p w14:paraId="4C4B9B4A">
            <w:pPr>
              <w:rPr>
                <w:rFonts w:ascii="Arial"/>
                <w:sz w:val="21"/>
              </w:rPr>
            </w:pPr>
          </w:p>
        </w:tc>
        <w:tc>
          <w:tcPr>
            <w:tcW w:w="850" w:type="dxa"/>
            <w:vAlign w:val="top"/>
          </w:tcPr>
          <w:p w14:paraId="14B8D763">
            <w:pPr>
              <w:rPr>
                <w:rFonts w:ascii="Arial"/>
                <w:sz w:val="21"/>
              </w:rPr>
            </w:pPr>
          </w:p>
        </w:tc>
        <w:tc>
          <w:tcPr>
            <w:tcW w:w="739" w:type="dxa"/>
            <w:vAlign w:val="top"/>
          </w:tcPr>
          <w:p w14:paraId="20A2107D">
            <w:pPr>
              <w:rPr>
                <w:rFonts w:ascii="Arial"/>
                <w:sz w:val="21"/>
              </w:rPr>
            </w:pPr>
          </w:p>
        </w:tc>
        <w:tc>
          <w:tcPr>
            <w:tcW w:w="820" w:type="dxa"/>
            <w:vAlign w:val="top"/>
          </w:tcPr>
          <w:p w14:paraId="71677362">
            <w:pPr>
              <w:rPr>
                <w:rFonts w:ascii="Arial"/>
                <w:sz w:val="21"/>
              </w:rPr>
            </w:pPr>
          </w:p>
        </w:tc>
        <w:tc>
          <w:tcPr>
            <w:tcW w:w="819" w:type="dxa"/>
            <w:vAlign w:val="top"/>
          </w:tcPr>
          <w:p w14:paraId="7AC0C25B">
            <w:pPr>
              <w:rPr>
                <w:rFonts w:ascii="Arial"/>
                <w:sz w:val="21"/>
              </w:rPr>
            </w:pPr>
          </w:p>
        </w:tc>
        <w:tc>
          <w:tcPr>
            <w:tcW w:w="759" w:type="dxa"/>
            <w:vAlign w:val="top"/>
          </w:tcPr>
          <w:p w14:paraId="6C27F3A8">
            <w:pPr>
              <w:rPr>
                <w:rFonts w:ascii="Arial"/>
                <w:sz w:val="21"/>
              </w:rPr>
            </w:pPr>
          </w:p>
        </w:tc>
        <w:tc>
          <w:tcPr>
            <w:tcW w:w="829" w:type="dxa"/>
            <w:vAlign w:val="top"/>
          </w:tcPr>
          <w:p w14:paraId="2DD88AA6">
            <w:pPr>
              <w:rPr>
                <w:rFonts w:ascii="Arial"/>
                <w:sz w:val="21"/>
              </w:rPr>
            </w:pPr>
          </w:p>
        </w:tc>
        <w:tc>
          <w:tcPr>
            <w:tcW w:w="804" w:type="dxa"/>
            <w:vAlign w:val="top"/>
          </w:tcPr>
          <w:p w14:paraId="4EA25DA5">
            <w:pPr>
              <w:rPr>
                <w:rFonts w:ascii="Arial"/>
                <w:sz w:val="21"/>
              </w:rPr>
            </w:pPr>
          </w:p>
        </w:tc>
      </w:tr>
    </w:tbl>
    <w:p w14:paraId="73781E6E">
      <w:pPr>
        <w:rPr>
          <w:rFonts w:ascii="Arial"/>
          <w:sz w:val="21"/>
        </w:rPr>
      </w:pPr>
    </w:p>
    <w:p w14:paraId="0CD4BDC6">
      <w:pPr>
        <w:rPr>
          <w:rFonts w:ascii="Arial" w:hAnsi="Arial" w:eastAsia="Arial" w:cs="Arial"/>
          <w:sz w:val="21"/>
          <w:szCs w:val="21"/>
        </w:rPr>
        <w:sectPr>
          <w:footerReference r:id="rId83" w:type="default"/>
          <w:pgSz w:w="16840" w:h="11910"/>
          <w:pgMar w:top="1012" w:right="1475" w:bottom="992" w:left="1564" w:header="0" w:footer="821" w:gutter="0"/>
          <w:cols w:space="720" w:num="1"/>
        </w:sectPr>
      </w:pPr>
    </w:p>
    <w:p w14:paraId="0D6F0444">
      <w:pPr>
        <w:spacing w:before="10"/>
      </w:pPr>
    </w:p>
    <w:p w14:paraId="3F93BBE9">
      <w:pPr>
        <w:spacing w:before="9"/>
      </w:pPr>
    </w:p>
    <w:tbl>
      <w:tblPr>
        <w:tblStyle w:val="5"/>
        <w:tblW w:w="1370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44"/>
        <w:gridCol w:w="1509"/>
        <w:gridCol w:w="5076"/>
        <w:gridCol w:w="850"/>
        <w:gridCol w:w="849"/>
        <w:gridCol w:w="690"/>
        <w:gridCol w:w="879"/>
        <w:gridCol w:w="849"/>
        <w:gridCol w:w="700"/>
        <w:gridCol w:w="869"/>
        <w:gridCol w:w="685"/>
      </w:tblGrid>
      <w:tr w14:paraId="3B2CD9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22" w:hRule="atLeast"/>
        </w:trPr>
        <w:tc>
          <w:tcPr>
            <w:tcW w:w="744" w:type="dxa"/>
            <w:vAlign w:val="top"/>
          </w:tcPr>
          <w:p w14:paraId="5C2DA4F2">
            <w:pPr>
              <w:spacing w:line="281" w:lineRule="auto"/>
              <w:rPr>
                <w:rFonts w:ascii="Arial"/>
                <w:sz w:val="21"/>
              </w:rPr>
            </w:pPr>
          </w:p>
          <w:p w14:paraId="58152479">
            <w:pPr>
              <w:spacing w:line="281" w:lineRule="auto"/>
              <w:rPr>
                <w:rFonts w:ascii="Arial"/>
                <w:sz w:val="21"/>
              </w:rPr>
            </w:pPr>
          </w:p>
          <w:p w14:paraId="57315A83">
            <w:pPr>
              <w:pStyle w:val="6"/>
              <w:spacing w:before="68"/>
              <w:ind w:left="305"/>
            </w:pPr>
            <w:r>
              <w:t>5</w:t>
            </w:r>
          </w:p>
        </w:tc>
        <w:tc>
          <w:tcPr>
            <w:tcW w:w="1509" w:type="dxa"/>
            <w:vAlign w:val="top"/>
          </w:tcPr>
          <w:p w14:paraId="7D106966">
            <w:pPr>
              <w:spacing w:line="271" w:lineRule="auto"/>
              <w:rPr>
                <w:rFonts w:ascii="Arial"/>
                <w:sz w:val="21"/>
              </w:rPr>
            </w:pPr>
          </w:p>
          <w:p w14:paraId="3CE158CA">
            <w:pPr>
              <w:spacing w:line="271" w:lineRule="auto"/>
              <w:rPr>
                <w:rFonts w:ascii="Arial"/>
                <w:sz w:val="21"/>
              </w:rPr>
            </w:pPr>
          </w:p>
          <w:p w14:paraId="637444F4">
            <w:pPr>
              <w:pStyle w:val="6"/>
              <w:spacing w:before="68" w:line="220" w:lineRule="auto"/>
              <w:ind w:left="111"/>
            </w:pPr>
            <w:r>
              <w:rPr>
                <w:spacing w:val="1"/>
              </w:rPr>
              <w:t>主要施工方案</w:t>
            </w:r>
          </w:p>
        </w:tc>
        <w:tc>
          <w:tcPr>
            <w:tcW w:w="5076" w:type="dxa"/>
            <w:vAlign w:val="top"/>
          </w:tcPr>
          <w:p w14:paraId="4D930EB3">
            <w:pPr>
              <w:pStyle w:val="6"/>
              <w:spacing w:before="41" w:line="241" w:lineRule="auto"/>
              <w:ind w:left="112" w:right="19"/>
              <w:jc w:val="both"/>
            </w:pPr>
            <w:r>
              <w:t>主要分部、分项工程施工方案合理、可行；脚手架工</w:t>
            </w:r>
            <w:r>
              <w:rPr>
                <w:spacing w:val="5"/>
              </w:rPr>
              <w:t xml:space="preserve">  </w:t>
            </w:r>
            <w:r>
              <w:rPr>
                <w:spacing w:val="-1"/>
              </w:rPr>
              <w:t>程、起重吊装工程、临时用水用电工程、季节性施工</w:t>
            </w:r>
            <w:r>
              <w:rPr>
                <w:spacing w:val="7"/>
              </w:rPr>
              <w:t xml:space="preserve">  </w:t>
            </w:r>
            <w:r>
              <w:rPr>
                <w:spacing w:val="4"/>
              </w:rPr>
              <w:t>等专项工程的施工方案(如有)有必要的验算和说明；</w:t>
            </w:r>
            <w:r>
              <w:rPr>
                <w:spacing w:val="7"/>
              </w:rPr>
              <w:t xml:space="preserve"> </w:t>
            </w:r>
            <w:r>
              <w:rPr>
                <w:spacing w:val="4"/>
              </w:rPr>
              <w:t>对易发生质量通病、易出现安全问题、施工难度大、</w:t>
            </w:r>
            <w:r>
              <w:rPr>
                <w:spacing w:val="11"/>
              </w:rPr>
              <w:t xml:space="preserve"> </w:t>
            </w:r>
            <w:r>
              <w:rPr>
                <w:spacing w:val="1"/>
              </w:rPr>
              <w:t>技术含量高的分项工程(工序)等有重点说明</w:t>
            </w:r>
          </w:p>
        </w:tc>
        <w:tc>
          <w:tcPr>
            <w:tcW w:w="850" w:type="dxa"/>
            <w:vAlign w:val="top"/>
          </w:tcPr>
          <w:p w14:paraId="3AFA078A">
            <w:pPr>
              <w:spacing w:line="271" w:lineRule="auto"/>
              <w:rPr>
                <w:rFonts w:ascii="Arial"/>
                <w:sz w:val="21"/>
              </w:rPr>
            </w:pPr>
          </w:p>
          <w:p w14:paraId="102D99AA">
            <w:pPr>
              <w:spacing w:line="271" w:lineRule="auto"/>
              <w:rPr>
                <w:rFonts w:ascii="Arial"/>
                <w:sz w:val="21"/>
              </w:rPr>
            </w:pPr>
          </w:p>
          <w:p w14:paraId="1E9F42CE">
            <w:pPr>
              <w:pStyle w:val="6"/>
              <w:spacing w:before="68" w:line="219" w:lineRule="auto"/>
              <w:ind w:left="205"/>
            </w:pPr>
            <w:r>
              <w:rPr>
                <w:spacing w:val="-3"/>
              </w:rPr>
              <w:t>合格</w:t>
            </w:r>
          </w:p>
        </w:tc>
        <w:tc>
          <w:tcPr>
            <w:tcW w:w="849" w:type="dxa"/>
            <w:vAlign w:val="top"/>
          </w:tcPr>
          <w:p w14:paraId="16D40DE8">
            <w:pPr>
              <w:rPr>
                <w:rFonts w:ascii="Arial"/>
                <w:sz w:val="21"/>
              </w:rPr>
            </w:pPr>
          </w:p>
        </w:tc>
        <w:tc>
          <w:tcPr>
            <w:tcW w:w="690" w:type="dxa"/>
            <w:vAlign w:val="top"/>
          </w:tcPr>
          <w:p w14:paraId="7319C80A">
            <w:pPr>
              <w:rPr>
                <w:rFonts w:ascii="Arial"/>
                <w:sz w:val="21"/>
              </w:rPr>
            </w:pPr>
          </w:p>
        </w:tc>
        <w:tc>
          <w:tcPr>
            <w:tcW w:w="879" w:type="dxa"/>
            <w:vAlign w:val="top"/>
          </w:tcPr>
          <w:p w14:paraId="3C5C54C2">
            <w:pPr>
              <w:rPr>
                <w:rFonts w:ascii="Arial"/>
                <w:sz w:val="21"/>
              </w:rPr>
            </w:pPr>
          </w:p>
        </w:tc>
        <w:tc>
          <w:tcPr>
            <w:tcW w:w="849" w:type="dxa"/>
            <w:vAlign w:val="top"/>
          </w:tcPr>
          <w:p w14:paraId="0B18EDB7">
            <w:pPr>
              <w:rPr>
                <w:rFonts w:ascii="Arial"/>
                <w:sz w:val="21"/>
              </w:rPr>
            </w:pPr>
          </w:p>
        </w:tc>
        <w:tc>
          <w:tcPr>
            <w:tcW w:w="700" w:type="dxa"/>
            <w:vAlign w:val="top"/>
          </w:tcPr>
          <w:p w14:paraId="7531F5E3">
            <w:pPr>
              <w:rPr>
                <w:rFonts w:ascii="Arial"/>
                <w:sz w:val="21"/>
              </w:rPr>
            </w:pPr>
          </w:p>
        </w:tc>
        <w:tc>
          <w:tcPr>
            <w:tcW w:w="869" w:type="dxa"/>
            <w:vAlign w:val="top"/>
          </w:tcPr>
          <w:p w14:paraId="0E1242D5">
            <w:pPr>
              <w:rPr>
                <w:rFonts w:ascii="Arial"/>
                <w:sz w:val="21"/>
              </w:rPr>
            </w:pPr>
          </w:p>
        </w:tc>
        <w:tc>
          <w:tcPr>
            <w:tcW w:w="685" w:type="dxa"/>
            <w:vAlign w:val="top"/>
          </w:tcPr>
          <w:p w14:paraId="695C40E2">
            <w:pPr>
              <w:rPr>
                <w:rFonts w:ascii="Arial"/>
                <w:sz w:val="21"/>
              </w:rPr>
            </w:pPr>
          </w:p>
        </w:tc>
      </w:tr>
      <w:tr w14:paraId="1016EA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07" w:hRule="atLeast"/>
        </w:trPr>
        <w:tc>
          <w:tcPr>
            <w:tcW w:w="744" w:type="dxa"/>
            <w:vAlign w:val="top"/>
          </w:tcPr>
          <w:p w14:paraId="4D12A353">
            <w:pPr>
              <w:spacing w:line="324" w:lineRule="auto"/>
              <w:rPr>
                <w:rFonts w:ascii="Arial"/>
                <w:sz w:val="21"/>
              </w:rPr>
            </w:pPr>
          </w:p>
          <w:p w14:paraId="3F19FA72">
            <w:pPr>
              <w:spacing w:line="325" w:lineRule="auto"/>
              <w:rPr>
                <w:rFonts w:ascii="Arial"/>
                <w:sz w:val="21"/>
              </w:rPr>
            </w:pPr>
          </w:p>
          <w:p w14:paraId="13F74046">
            <w:pPr>
              <w:pStyle w:val="6"/>
              <w:spacing w:before="69"/>
              <w:ind w:left="305"/>
            </w:pPr>
            <w:r>
              <w:t>6</w:t>
            </w:r>
          </w:p>
        </w:tc>
        <w:tc>
          <w:tcPr>
            <w:tcW w:w="1509" w:type="dxa"/>
            <w:vAlign w:val="top"/>
          </w:tcPr>
          <w:p w14:paraId="05F8C8D7">
            <w:pPr>
              <w:spacing w:line="255" w:lineRule="auto"/>
              <w:rPr>
                <w:rFonts w:ascii="Arial"/>
                <w:sz w:val="21"/>
              </w:rPr>
            </w:pPr>
          </w:p>
          <w:p w14:paraId="5CE0261A">
            <w:pPr>
              <w:spacing w:line="255" w:lineRule="auto"/>
              <w:rPr>
                <w:rFonts w:ascii="Arial"/>
                <w:sz w:val="21"/>
              </w:rPr>
            </w:pPr>
          </w:p>
          <w:p w14:paraId="77B806D5">
            <w:pPr>
              <w:pStyle w:val="6"/>
              <w:spacing w:before="68" w:line="238" w:lineRule="auto"/>
              <w:ind w:left="530" w:right="135" w:hanging="419"/>
            </w:pPr>
            <w:r>
              <w:rPr>
                <w:spacing w:val="-2"/>
              </w:rPr>
              <w:t>施工现场平面</w:t>
            </w:r>
            <w:r>
              <w:rPr>
                <w:spacing w:val="3"/>
              </w:rPr>
              <w:t xml:space="preserve"> </w:t>
            </w:r>
            <w:r>
              <w:rPr>
                <w:spacing w:val="-3"/>
              </w:rPr>
              <w:t>布置</w:t>
            </w:r>
          </w:p>
        </w:tc>
        <w:tc>
          <w:tcPr>
            <w:tcW w:w="5076" w:type="dxa"/>
            <w:vAlign w:val="top"/>
          </w:tcPr>
          <w:p w14:paraId="44A9D213">
            <w:pPr>
              <w:pStyle w:val="6"/>
              <w:spacing w:before="22" w:line="244" w:lineRule="auto"/>
              <w:ind w:left="112" w:right="106" w:firstLine="109"/>
            </w:pPr>
            <w:r>
              <w:rPr>
                <w:spacing w:val="-1"/>
              </w:rPr>
              <w:t>拟建建(构)筑物的位置轮廓、尺寸、层数；加工设</w:t>
            </w:r>
            <w:r>
              <w:rPr>
                <w:spacing w:val="6"/>
              </w:rPr>
              <w:t xml:space="preserve">  </w:t>
            </w:r>
            <w:r>
              <w:rPr>
                <w:spacing w:val="-1"/>
              </w:rPr>
              <w:t>施、存储设施、办公和生活用房的位置和面积；布置</w:t>
            </w:r>
            <w:r>
              <w:rPr>
                <w:spacing w:val="14"/>
              </w:rPr>
              <w:t xml:space="preserve"> </w:t>
            </w:r>
            <w:r>
              <w:rPr>
                <w:spacing w:val="-1"/>
              </w:rPr>
              <w:t>垂直运输设施、供电设施、供水、供热设施、排水排</w:t>
            </w:r>
            <w:r>
              <w:rPr>
                <w:spacing w:val="12"/>
              </w:rPr>
              <w:t xml:space="preserve"> </w:t>
            </w:r>
            <w:r>
              <w:t>污设施和临时施工道路；必备的安全、消防、保卫和</w:t>
            </w:r>
          </w:p>
          <w:p w14:paraId="77220FEF">
            <w:pPr>
              <w:pStyle w:val="6"/>
              <w:spacing w:before="8" w:line="200" w:lineRule="auto"/>
              <w:ind w:left="121" w:right="232" w:firstLine="100"/>
            </w:pPr>
            <w:r>
              <w:rPr>
                <w:spacing w:val="-1"/>
              </w:rPr>
              <w:t>环境保护设施；相邻的地上地下既有建(构)筑物及</w:t>
            </w:r>
            <w:r>
              <w:rPr>
                <w:spacing w:val="13"/>
              </w:rPr>
              <w:t xml:space="preserve"> </w:t>
            </w:r>
            <w:r>
              <w:rPr>
                <w:spacing w:val="-1"/>
              </w:rPr>
              <w:t>相关环境等要素齐全，现场平面布置合理可行</w:t>
            </w:r>
          </w:p>
        </w:tc>
        <w:tc>
          <w:tcPr>
            <w:tcW w:w="850" w:type="dxa"/>
            <w:vAlign w:val="top"/>
          </w:tcPr>
          <w:p w14:paraId="1C766E36">
            <w:pPr>
              <w:spacing w:line="314" w:lineRule="auto"/>
              <w:rPr>
                <w:rFonts w:ascii="Arial"/>
                <w:sz w:val="21"/>
              </w:rPr>
            </w:pPr>
          </w:p>
          <w:p w14:paraId="7B602F8D">
            <w:pPr>
              <w:spacing w:line="315" w:lineRule="auto"/>
              <w:rPr>
                <w:rFonts w:ascii="Arial"/>
                <w:sz w:val="21"/>
              </w:rPr>
            </w:pPr>
          </w:p>
          <w:p w14:paraId="404CC0AE">
            <w:pPr>
              <w:pStyle w:val="6"/>
              <w:spacing w:before="68" w:line="219" w:lineRule="auto"/>
              <w:ind w:left="205"/>
            </w:pPr>
            <w:r>
              <w:rPr>
                <w:spacing w:val="-3"/>
              </w:rPr>
              <w:t>合格</w:t>
            </w:r>
          </w:p>
        </w:tc>
        <w:tc>
          <w:tcPr>
            <w:tcW w:w="849" w:type="dxa"/>
            <w:vAlign w:val="top"/>
          </w:tcPr>
          <w:p w14:paraId="58DA3EDB">
            <w:pPr>
              <w:rPr>
                <w:rFonts w:ascii="Arial"/>
                <w:sz w:val="21"/>
              </w:rPr>
            </w:pPr>
          </w:p>
        </w:tc>
        <w:tc>
          <w:tcPr>
            <w:tcW w:w="690" w:type="dxa"/>
            <w:vAlign w:val="top"/>
          </w:tcPr>
          <w:p w14:paraId="4AB3685F">
            <w:pPr>
              <w:rPr>
                <w:rFonts w:ascii="Arial"/>
                <w:sz w:val="21"/>
              </w:rPr>
            </w:pPr>
          </w:p>
        </w:tc>
        <w:tc>
          <w:tcPr>
            <w:tcW w:w="879" w:type="dxa"/>
            <w:vAlign w:val="top"/>
          </w:tcPr>
          <w:p w14:paraId="46070C4C">
            <w:pPr>
              <w:rPr>
                <w:rFonts w:ascii="Arial"/>
                <w:sz w:val="21"/>
              </w:rPr>
            </w:pPr>
          </w:p>
        </w:tc>
        <w:tc>
          <w:tcPr>
            <w:tcW w:w="849" w:type="dxa"/>
            <w:vAlign w:val="top"/>
          </w:tcPr>
          <w:p w14:paraId="5334D9AA">
            <w:pPr>
              <w:rPr>
                <w:rFonts w:ascii="Arial"/>
                <w:sz w:val="21"/>
              </w:rPr>
            </w:pPr>
          </w:p>
        </w:tc>
        <w:tc>
          <w:tcPr>
            <w:tcW w:w="700" w:type="dxa"/>
            <w:vAlign w:val="top"/>
          </w:tcPr>
          <w:p w14:paraId="21ECABD1">
            <w:pPr>
              <w:rPr>
                <w:rFonts w:ascii="Arial"/>
                <w:sz w:val="21"/>
              </w:rPr>
            </w:pPr>
          </w:p>
        </w:tc>
        <w:tc>
          <w:tcPr>
            <w:tcW w:w="869" w:type="dxa"/>
            <w:vAlign w:val="top"/>
          </w:tcPr>
          <w:p w14:paraId="5E4FE21B">
            <w:pPr>
              <w:rPr>
                <w:rFonts w:ascii="Arial"/>
                <w:sz w:val="21"/>
              </w:rPr>
            </w:pPr>
          </w:p>
        </w:tc>
        <w:tc>
          <w:tcPr>
            <w:tcW w:w="685" w:type="dxa"/>
            <w:vAlign w:val="top"/>
          </w:tcPr>
          <w:p w14:paraId="78D84F85">
            <w:pPr>
              <w:rPr>
                <w:rFonts w:ascii="Arial"/>
                <w:sz w:val="21"/>
              </w:rPr>
            </w:pPr>
          </w:p>
        </w:tc>
      </w:tr>
      <w:tr w14:paraId="173ADD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07" w:hRule="atLeast"/>
        </w:trPr>
        <w:tc>
          <w:tcPr>
            <w:tcW w:w="744" w:type="dxa"/>
            <w:vAlign w:val="top"/>
          </w:tcPr>
          <w:p w14:paraId="78E300AF">
            <w:pPr>
              <w:spacing w:line="276" w:lineRule="auto"/>
              <w:rPr>
                <w:rFonts w:ascii="Arial"/>
                <w:sz w:val="21"/>
              </w:rPr>
            </w:pPr>
          </w:p>
          <w:p w14:paraId="5CF6D152">
            <w:pPr>
              <w:spacing w:line="277" w:lineRule="auto"/>
              <w:rPr>
                <w:rFonts w:ascii="Arial"/>
                <w:sz w:val="21"/>
              </w:rPr>
            </w:pPr>
          </w:p>
          <w:p w14:paraId="748232EF">
            <w:pPr>
              <w:pStyle w:val="6"/>
              <w:spacing w:before="68"/>
              <w:ind w:left="305"/>
            </w:pPr>
            <w:r>
              <w:t>7</w:t>
            </w:r>
          </w:p>
        </w:tc>
        <w:tc>
          <w:tcPr>
            <w:tcW w:w="1509" w:type="dxa"/>
            <w:vAlign w:val="top"/>
          </w:tcPr>
          <w:p w14:paraId="7F957781">
            <w:pPr>
              <w:spacing w:line="423" w:lineRule="auto"/>
              <w:rPr>
                <w:rFonts w:ascii="Arial"/>
                <w:sz w:val="21"/>
              </w:rPr>
            </w:pPr>
          </w:p>
          <w:p w14:paraId="1284618A">
            <w:pPr>
              <w:pStyle w:val="6"/>
              <w:spacing w:before="69" w:line="224" w:lineRule="auto"/>
              <w:ind w:left="530" w:right="137" w:hanging="419"/>
            </w:pPr>
            <w:r>
              <w:rPr>
                <w:spacing w:val="-2"/>
              </w:rPr>
              <w:t>主要施工管理</w:t>
            </w:r>
            <w:r>
              <w:rPr>
                <w:spacing w:val="1"/>
              </w:rPr>
              <w:t xml:space="preserve"> </w:t>
            </w:r>
            <w:r>
              <w:rPr>
                <w:spacing w:val="7"/>
              </w:rPr>
              <w:t>计划</w:t>
            </w:r>
          </w:p>
        </w:tc>
        <w:tc>
          <w:tcPr>
            <w:tcW w:w="5076" w:type="dxa"/>
            <w:vAlign w:val="top"/>
          </w:tcPr>
          <w:p w14:paraId="3E23D263">
            <w:pPr>
              <w:pStyle w:val="6"/>
              <w:spacing w:before="83" w:line="231" w:lineRule="auto"/>
              <w:ind w:left="112" w:right="18"/>
              <w:jc w:val="both"/>
            </w:pPr>
            <w:r>
              <w:rPr>
                <w:spacing w:val="-1"/>
              </w:rPr>
              <w:t>进度管理计划、质量管理计划、安全管理计划、环境</w:t>
            </w:r>
            <w:r>
              <w:rPr>
                <w:spacing w:val="7"/>
              </w:rPr>
              <w:t xml:space="preserve">  </w:t>
            </w:r>
            <w:r>
              <w:t>管理计划、成本管理计划、治安保卫管理计划、合同</w:t>
            </w:r>
            <w:r>
              <w:rPr>
                <w:spacing w:val="8"/>
              </w:rPr>
              <w:t xml:space="preserve">  </w:t>
            </w:r>
            <w:r>
              <w:rPr>
                <w:spacing w:val="4"/>
              </w:rPr>
              <w:t>管理计划，组织协调管理计划、成品保护管理计划、</w:t>
            </w:r>
            <w:r>
              <w:rPr>
                <w:spacing w:val="12"/>
              </w:rPr>
              <w:t xml:space="preserve"> </w:t>
            </w:r>
            <w:r>
              <w:rPr>
                <w:spacing w:val="-1"/>
              </w:rPr>
              <w:t>质量保修管理计划、人力资源、施工机具、材料设备</w:t>
            </w:r>
            <w:r>
              <w:rPr>
                <w:spacing w:val="6"/>
              </w:rPr>
              <w:t xml:space="preserve">  </w:t>
            </w:r>
            <w:r>
              <w:rPr>
                <w:spacing w:val="2"/>
              </w:rPr>
              <w:t>等管理计划内容基本完备，可行</w:t>
            </w:r>
          </w:p>
        </w:tc>
        <w:tc>
          <w:tcPr>
            <w:tcW w:w="850" w:type="dxa"/>
            <w:vAlign w:val="top"/>
          </w:tcPr>
          <w:p w14:paraId="2DC0F39E">
            <w:pPr>
              <w:spacing w:line="266" w:lineRule="auto"/>
              <w:rPr>
                <w:rFonts w:ascii="Arial"/>
                <w:sz w:val="21"/>
              </w:rPr>
            </w:pPr>
          </w:p>
          <w:p w14:paraId="4A437F35">
            <w:pPr>
              <w:spacing w:line="267" w:lineRule="auto"/>
              <w:rPr>
                <w:rFonts w:ascii="Arial"/>
                <w:sz w:val="21"/>
              </w:rPr>
            </w:pPr>
          </w:p>
          <w:p w14:paraId="1ED69E97">
            <w:pPr>
              <w:pStyle w:val="6"/>
              <w:spacing w:before="68" w:line="219" w:lineRule="auto"/>
              <w:ind w:left="205"/>
            </w:pPr>
            <w:r>
              <w:rPr>
                <w:spacing w:val="-3"/>
              </w:rPr>
              <w:t>合格</w:t>
            </w:r>
          </w:p>
        </w:tc>
        <w:tc>
          <w:tcPr>
            <w:tcW w:w="849" w:type="dxa"/>
            <w:vAlign w:val="top"/>
          </w:tcPr>
          <w:p w14:paraId="50C5E217">
            <w:pPr>
              <w:rPr>
                <w:rFonts w:ascii="Arial"/>
                <w:sz w:val="21"/>
              </w:rPr>
            </w:pPr>
          </w:p>
        </w:tc>
        <w:tc>
          <w:tcPr>
            <w:tcW w:w="690" w:type="dxa"/>
            <w:vAlign w:val="top"/>
          </w:tcPr>
          <w:p w14:paraId="75152A62">
            <w:pPr>
              <w:rPr>
                <w:rFonts w:ascii="Arial"/>
                <w:sz w:val="21"/>
              </w:rPr>
            </w:pPr>
          </w:p>
        </w:tc>
        <w:tc>
          <w:tcPr>
            <w:tcW w:w="879" w:type="dxa"/>
            <w:vAlign w:val="top"/>
          </w:tcPr>
          <w:p w14:paraId="2D078C18">
            <w:pPr>
              <w:rPr>
                <w:rFonts w:ascii="Arial"/>
                <w:sz w:val="21"/>
              </w:rPr>
            </w:pPr>
          </w:p>
        </w:tc>
        <w:tc>
          <w:tcPr>
            <w:tcW w:w="849" w:type="dxa"/>
            <w:vAlign w:val="top"/>
          </w:tcPr>
          <w:p w14:paraId="6C88537B">
            <w:pPr>
              <w:rPr>
                <w:rFonts w:ascii="Arial"/>
                <w:sz w:val="21"/>
              </w:rPr>
            </w:pPr>
          </w:p>
        </w:tc>
        <w:tc>
          <w:tcPr>
            <w:tcW w:w="700" w:type="dxa"/>
            <w:vAlign w:val="top"/>
          </w:tcPr>
          <w:p w14:paraId="1522AB49">
            <w:pPr>
              <w:rPr>
                <w:rFonts w:ascii="Arial"/>
                <w:sz w:val="21"/>
              </w:rPr>
            </w:pPr>
          </w:p>
        </w:tc>
        <w:tc>
          <w:tcPr>
            <w:tcW w:w="869" w:type="dxa"/>
            <w:vAlign w:val="top"/>
          </w:tcPr>
          <w:p w14:paraId="5B516B93">
            <w:pPr>
              <w:rPr>
                <w:rFonts w:ascii="Arial"/>
                <w:sz w:val="21"/>
              </w:rPr>
            </w:pPr>
          </w:p>
        </w:tc>
        <w:tc>
          <w:tcPr>
            <w:tcW w:w="685" w:type="dxa"/>
            <w:vAlign w:val="top"/>
          </w:tcPr>
          <w:p w14:paraId="68E75B84">
            <w:pPr>
              <w:rPr>
                <w:rFonts w:ascii="Arial"/>
                <w:sz w:val="21"/>
              </w:rPr>
            </w:pPr>
          </w:p>
        </w:tc>
      </w:tr>
      <w:tr w14:paraId="1E27B5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4" w:hRule="atLeast"/>
        </w:trPr>
        <w:tc>
          <w:tcPr>
            <w:tcW w:w="8179" w:type="dxa"/>
            <w:gridSpan w:val="4"/>
            <w:vAlign w:val="top"/>
          </w:tcPr>
          <w:p w14:paraId="311539A9">
            <w:pPr>
              <w:pStyle w:val="6"/>
              <w:spacing w:before="267" w:line="219" w:lineRule="auto"/>
              <w:ind w:left="2924"/>
            </w:pPr>
            <w:r>
              <w:rPr>
                <w:spacing w:val="1"/>
              </w:rPr>
              <w:t>施工组织设计合格性汇总</w:t>
            </w:r>
          </w:p>
        </w:tc>
        <w:tc>
          <w:tcPr>
            <w:tcW w:w="849" w:type="dxa"/>
            <w:vAlign w:val="top"/>
          </w:tcPr>
          <w:p w14:paraId="558DC9C1">
            <w:pPr>
              <w:rPr>
                <w:rFonts w:ascii="Arial"/>
                <w:sz w:val="21"/>
              </w:rPr>
            </w:pPr>
          </w:p>
        </w:tc>
        <w:tc>
          <w:tcPr>
            <w:tcW w:w="690" w:type="dxa"/>
            <w:vAlign w:val="top"/>
          </w:tcPr>
          <w:p w14:paraId="42015658">
            <w:pPr>
              <w:rPr>
                <w:rFonts w:ascii="Arial"/>
                <w:sz w:val="21"/>
              </w:rPr>
            </w:pPr>
          </w:p>
        </w:tc>
        <w:tc>
          <w:tcPr>
            <w:tcW w:w="879" w:type="dxa"/>
            <w:vAlign w:val="top"/>
          </w:tcPr>
          <w:p w14:paraId="1EB5E2BC">
            <w:pPr>
              <w:rPr>
                <w:rFonts w:ascii="Arial"/>
                <w:sz w:val="21"/>
              </w:rPr>
            </w:pPr>
          </w:p>
        </w:tc>
        <w:tc>
          <w:tcPr>
            <w:tcW w:w="849" w:type="dxa"/>
            <w:vAlign w:val="top"/>
          </w:tcPr>
          <w:p w14:paraId="01788F60">
            <w:pPr>
              <w:rPr>
                <w:rFonts w:ascii="Arial"/>
                <w:sz w:val="21"/>
              </w:rPr>
            </w:pPr>
          </w:p>
        </w:tc>
        <w:tc>
          <w:tcPr>
            <w:tcW w:w="700" w:type="dxa"/>
            <w:vAlign w:val="top"/>
          </w:tcPr>
          <w:p w14:paraId="13CA7EC2">
            <w:pPr>
              <w:rPr>
                <w:rFonts w:ascii="Arial"/>
                <w:sz w:val="21"/>
              </w:rPr>
            </w:pPr>
          </w:p>
        </w:tc>
        <w:tc>
          <w:tcPr>
            <w:tcW w:w="869" w:type="dxa"/>
            <w:vAlign w:val="top"/>
          </w:tcPr>
          <w:p w14:paraId="6186E556">
            <w:pPr>
              <w:rPr>
                <w:rFonts w:ascii="Arial"/>
                <w:sz w:val="21"/>
              </w:rPr>
            </w:pPr>
          </w:p>
        </w:tc>
        <w:tc>
          <w:tcPr>
            <w:tcW w:w="685" w:type="dxa"/>
            <w:vAlign w:val="top"/>
          </w:tcPr>
          <w:p w14:paraId="5E2B1F8C">
            <w:pPr>
              <w:rPr>
                <w:rFonts w:ascii="Arial"/>
                <w:sz w:val="21"/>
              </w:rPr>
            </w:pPr>
          </w:p>
        </w:tc>
      </w:tr>
    </w:tbl>
    <w:p w14:paraId="78092784">
      <w:pPr>
        <w:spacing w:line="243" w:lineRule="auto"/>
        <w:rPr>
          <w:rFonts w:ascii="Arial"/>
          <w:sz w:val="21"/>
        </w:rPr>
      </w:pPr>
    </w:p>
    <w:p w14:paraId="6C6F5C9C">
      <w:pPr>
        <w:pStyle w:val="2"/>
        <w:spacing w:before="68" w:line="230" w:lineRule="auto"/>
        <w:ind w:right="4"/>
        <w:jc w:val="right"/>
        <w:rPr>
          <w:sz w:val="21"/>
          <w:szCs w:val="21"/>
        </w:rPr>
      </w:pPr>
      <w:r>
        <w:rPr>
          <w:spacing w:val="-3"/>
          <w:sz w:val="21"/>
          <w:szCs w:val="21"/>
        </w:rPr>
        <w:t xml:space="preserve">评标委员会成员签名：                                                                                    </w:t>
      </w:r>
      <w:r>
        <w:rPr>
          <w:spacing w:val="-3"/>
          <w:sz w:val="16"/>
          <w:szCs w:val="16"/>
        </w:rPr>
        <w:t>日 期</w:t>
      </w:r>
      <w:r>
        <w:rPr>
          <w:spacing w:val="6"/>
          <w:sz w:val="16"/>
          <w:szCs w:val="16"/>
        </w:rPr>
        <w:t xml:space="preserve"> </w:t>
      </w:r>
      <w:r>
        <w:rPr>
          <w:spacing w:val="-3"/>
          <w:sz w:val="16"/>
          <w:szCs w:val="16"/>
        </w:rPr>
        <w:t xml:space="preserve">：          </w:t>
      </w:r>
      <w:r>
        <w:rPr>
          <w:spacing w:val="-4"/>
          <w:sz w:val="21"/>
          <w:szCs w:val="21"/>
        </w:rPr>
        <w:t xml:space="preserve">年    月     </w:t>
      </w:r>
      <w:r>
        <w:rPr>
          <w:spacing w:val="-4"/>
          <w:position w:val="-1"/>
          <w:sz w:val="21"/>
          <w:szCs w:val="21"/>
        </w:rPr>
        <w:t>日</w:t>
      </w:r>
    </w:p>
    <w:p w14:paraId="4837EEFE">
      <w:pPr>
        <w:spacing w:line="230" w:lineRule="auto"/>
        <w:rPr>
          <w:sz w:val="21"/>
          <w:szCs w:val="21"/>
        </w:rPr>
        <w:sectPr>
          <w:footerReference r:id="rId84" w:type="default"/>
          <w:pgSz w:w="16840" w:h="11910"/>
          <w:pgMar w:top="1012" w:right="1564" w:bottom="971" w:left="1564" w:header="0" w:footer="827" w:gutter="0"/>
          <w:cols w:space="720" w:num="1"/>
        </w:sectPr>
      </w:pPr>
    </w:p>
    <w:p w14:paraId="33BEA3F3">
      <w:pPr>
        <w:spacing w:line="246" w:lineRule="auto"/>
        <w:rPr>
          <w:rFonts w:ascii="Arial"/>
          <w:sz w:val="21"/>
        </w:rPr>
      </w:pPr>
    </w:p>
    <w:p w14:paraId="44DAF012">
      <w:pPr>
        <w:spacing w:line="246" w:lineRule="auto"/>
        <w:rPr>
          <w:rFonts w:ascii="Arial"/>
          <w:sz w:val="21"/>
        </w:rPr>
      </w:pPr>
    </w:p>
    <w:p w14:paraId="4C5F2A00">
      <w:pPr>
        <w:spacing w:before="88" w:line="222" w:lineRule="auto"/>
        <w:ind w:left="538"/>
        <w:outlineLvl w:val="2"/>
        <w:rPr>
          <w:rFonts w:ascii="黑体" w:hAnsi="黑体" w:eastAsia="黑体" w:cs="黑体"/>
          <w:sz w:val="27"/>
          <w:szCs w:val="27"/>
        </w:rPr>
      </w:pPr>
      <w:bookmarkStart w:id="217" w:name="bookmark273"/>
      <w:bookmarkEnd w:id="217"/>
      <w:bookmarkStart w:id="218" w:name="bookmark162"/>
      <w:bookmarkEnd w:id="218"/>
      <w:r>
        <w:rPr>
          <w:rFonts w:ascii="黑体" w:hAnsi="黑体" w:eastAsia="黑体" w:cs="黑体"/>
          <w:b/>
          <w:bCs/>
          <w:spacing w:val="-16"/>
          <w:sz w:val="27"/>
          <w:szCs w:val="27"/>
        </w:rPr>
        <w:t>附表</w:t>
      </w:r>
      <w:r>
        <w:rPr>
          <w:rFonts w:ascii="Times New Roman" w:hAnsi="Times New Roman" w:eastAsia="Times New Roman" w:cs="Times New Roman"/>
          <w:b/>
          <w:bCs/>
          <w:spacing w:val="-16"/>
          <w:sz w:val="27"/>
          <w:szCs w:val="27"/>
        </w:rPr>
        <w:t>A-8:</w:t>
      </w:r>
      <w:r>
        <w:rPr>
          <w:rFonts w:ascii="Times New Roman" w:hAnsi="Times New Roman" w:eastAsia="Times New Roman" w:cs="Times New Roman"/>
          <w:b/>
          <w:bCs/>
          <w:spacing w:val="57"/>
          <w:w w:val="101"/>
          <w:sz w:val="27"/>
          <w:szCs w:val="27"/>
        </w:rPr>
        <w:t xml:space="preserve"> </w:t>
      </w:r>
      <w:r>
        <w:rPr>
          <w:rFonts w:ascii="黑体" w:hAnsi="黑体" w:eastAsia="黑体" w:cs="黑体"/>
          <w:b/>
          <w:bCs/>
          <w:spacing w:val="-16"/>
          <w:sz w:val="27"/>
          <w:szCs w:val="27"/>
        </w:rPr>
        <w:t>投标报价评分记录表</w:t>
      </w:r>
    </w:p>
    <w:p w14:paraId="2DC05ACC">
      <w:pPr>
        <w:spacing w:before="55" w:line="222" w:lineRule="auto"/>
        <w:ind w:left="5628"/>
        <w:rPr>
          <w:rFonts w:ascii="黑体" w:hAnsi="黑体" w:eastAsia="黑体" w:cs="黑体"/>
          <w:sz w:val="27"/>
          <w:szCs w:val="27"/>
        </w:rPr>
      </w:pPr>
      <w:r>
        <w:rPr>
          <w:rFonts w:ascii="黑体" w:hAnsi="黑体" w:eastAsia="黑体" w:cs="黑体"/>
          <w:b/>
          <w:bCs/>
          <w:spacing w:val="10"/>
          <w:sz w:val="27"/>
          <w:szCs w:val="27"/>
        </w:rPr>
        <w:t>投标报价评分记录表</w:t>
      </w:r>
    </w:p>
    <w:p w14:paraId="33464975">
      <w:pPr>
        <w:pStyle w:val="2"/>
        <w:spacing w:before="268" w:line="229" w:lineRule="auto"/>
        <w:ind w:left="105"/>
        <w:rPr>
          <w:sz w:val="20"/>
          <w:szCs w:val="20"/>
        </w:rPr>
      </w:pPr>
      <w:r>
        <w:rPr>
          <w:spacing w:val="6"/>
          <w:position w:val="-1"/>
          <w:sz w:val="20"/>
          <w:szCs w:val="20"/>
        </w:rPr>
        <w:t>工程名称：</w:t>
      </w:r>
      <w:r>
        <w:rPr>
          <w:spacing w:val="-20"/>
          <w:position w:val="-1"/>
          <w:sz w:val="20"/>
          <w:szCs w:val="20"/>
        </w:rPr>
        <w:t xml:space="preserve"> </w:t>
      </w:r>
      <w:r>
        <w:rPr>
          <w:spacing w:val="5"/>
          <w:position w:val="-1"/>
          <w:sz w:val="20"/>
          <w:szCs w:val="20"/>
          <w:u w:val="single" w:color="auto"/>
        </w:rPr>
        <w:t xml:space="preserve">               </w:t>
      </w:r>
      <w:r>
        <w:rPr>
          <w:spacing w:val="-85"/>
          <w:position w:val="-1"/>
          <w:sz w:val="20"/>
          <w:szCs w:val="20"/>
        </w:rPr>
        <w:t xml:space="preserve"> </w:t>
      </w:r>
      <w:r>
        <w:rPr>
          <w:spacing w:val="6"/>
          <w:position w:val="-2"/>
          <w:sz w:val="20"/>
          <w:szCs w:val="20"/>
        </w:rPr>
        <w:t>(项目名称)</w:t>
      </w:r>
      <w:r>
        <w:rPr>
          <w:spacing w:val="6"/>
          <w:position w:val="-2"/>
          <w:sz w:val="20"/>
          <w:szCs w:val="20"/>
          <w:u w:val="single" w:color="auto"/>
        </w:rPr>
        <w:t xml:space="preserve">       </w:t>
      </w:r>
      <w:r>
        <w:rPr>
          <w:spacing w:val="-30"/>
          <w:position w:val="-2"/>
          <w:sz w:val="20"/>
          <w:szCs w:val="20"/>
        </w:rPr>
        <w:t xml:space="preserve"> </w:t>
      </w:r>
      <w:r>
        <w:rPr>
          <w:spacing w:val="6"/>
          <w:position w:val="1"/>
          <w:sz w:val="20"/>
          <w:szCs w:val="20"/>
        </w:rPr>
        <w:t xml:space="preserve">(标段名称)                                      </w:t>
      </w:r>
      <w:r>
        <w:rPr>
          <w:spacing w:val="5"/>
          <w:position w:val="1"/>
          <w:sz w:val="20"/>
          <w:szCs w:val="20"/>
        </w:rPr>
        <w:t xml:space="preserve">            单位：人民币元</w:t>
      </w:r>
    </w:p>
    <w:p w14:paraId="12E40757">
      <w:pPr>
        <w:spacing w:line="197" w:lineRule="exact"/>
      </w:pPr>
    </w:p>
    <w:tbl>
      <w:tblPr>
        <w:tblStyle w:val="5"/>
        <w:tblW w:w="1374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163"/>
        <w:gridCol w:w="1159"/>
        <w:gridCol w:w="1179"/>
        <w:gridCol w:w="1189"/>
        <w:gridCol w:w="1159"/>
        <w:gridCol w:w="1209"/>
        <w:gridCol w:w="1159"/>
        <w:gridCol w:w="1179"/>
        <w:gridCol w:w="1180"/>
        <w:gridCol w:w="1164"/>
      </w:tblGrid>
      <w:tr w14:paraId="0E915A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trPr>
        <w:tc>
          <w:tcPr>
            <w:tcW w:w="3163" w:type="dxa"/>
            <w:vMerge w:val="restart"/>
            <w:tcBorders>
              <w:bottom w:val="nil"/>
            </w:tcBorders>
            <w:vAlign w:val="top"/>
          </w:tcPr>
          <w:p w14:paraId="23FD47B6">
            <w:pPr>
              <w:spacing w:line="314" w:lineRule="auto"/>
              <w:rPr>
                <w:rFonts w:ascii="Arial"/>
                <w:sz w:val="21"/>
              </w:rPr>
            </w:pPr>
          </w:p>
          <w:p w14:paraId="4B80B50B">
            <w:pPr>
              <w:pStyle w:val="6"/>
              <w:spacing w:before="68" w:line="220" w:lineRule="auto"/>
              <w:ind w:left="1365"/>
            </w:pPr>
            <w:r>
              <w:rPr>
                <w:spacing w:val="-6"/>
              </w:rPr>
              <w:t>项 目</w:t>
            </w:r>
          </w:p>
        </w:tc>
        <w:tc>
          <w:tcPr>
            <w:tcW w:w="10577" w:type="dxa"/>
            <w:gridSpan w:val="9"/>
            <w:vAlign w:val="top"/>
          </w:tcPr>
          <w:p w14:paraId="0636CBA3">
            <w:pPr>
              <w:pStyle w:val="6"/>
              <w:spacing w:before="144" w:line="220" w:lineRule="auto"/>
              <w:ind w:left="4781"/>
            </w:pPr>
            <w:r>
              <w:rPr>
                <w:spacing w:val="2"/>
              </w:rPr>
              <w:t>投标人名称</w:t>
            </w:r>
          </w:p>
        </w:tc>
      </w:tr>
      <w:tr w14:paraId="2F5A75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3163" w:type="dxa"/>
            <w:vMerge w:val="continue"/>
            <w:tcBorders>
              <w:top w:val="nil"/>
            </w:tcBorders>
            <w:vAlign w:val="top"/>
          </w:tcPr>
          <w:p w14:paraId="0E4AC91B">
            <w:pPr>
              <w:rPr>
                <w:rFonts w:ascii="Arial"/>
                <w:sz w:val="21"/>
              </w:rPr>
            </w:pPr>
          </w:p>
        </w:tc>
        <w:tc>
          <w:tcPr>
            <w:tcW w:w="1159" w:type="dxa"/>
            <w:vAlign w:val="top"/>
          </w:tcPr>
          <w:p w14:paraId="075CC900">
            <w:pPr>
              <w:rPr>
                <w:rFonts w:ascii="Arial"/>
                <w:sz w:val="21"/>
              </w:rPr>
            </w:pPr>
          </w:p>
        </w:tc>
        <w:tc>
          <w:tcPr>
            <w:tcW w:w="1179" w:type="dxa"/>
            <w:vAlign w:val="top"/>
          </w:tcPr>
          <w:p w14:paraId="7A457D18">
            <w:pPr>
              <w:rPr>
                <w:rFonts w:ascii="Arial"/>
                <w:sz w:val="21"/>
              </w:rPr>
            </w:pPr>
          </w:p>
        </w:tc>
        <w:tc>
          <w:tcPr>
            <w:tcW w:w="1189" w:type="dxa"/>
            <w:vAlign w:val="top"/>
          </w:tcPr>
          <w:p w14:paraId="38E76FA7">
            <w:pPr>
              <w:rPr>
                <w:rFonts w:ascii="Arial"/>
                <w:sz w:val="21"/>
              </w:rPr>
            </w:pPr>
          </w:p>
        </w:tc>
        <w:tc>
          <w:tcPr>
            <w:tcW w:w="1159" w:type="dxa"/>
            <w:vAlign w:val="top"/>
          </w:tcPr>
          <w:p w14:paraId="3B4D8A77">
            <w:pPr>
              <w:rPr>
                <w:rFonts w:ascii="Arial"/>
                <w:sz w:val="21"/>
              </w:rPr>
            </w:pPr>
          </w:p>
        </w:tc>
        <w:tc>
          <w:tcPr>
            <w:tcW w:w="1209" w:type="dxa"/>
            <w:vAlign w:val="top"/>
          </w:tcPr>
          <w:p w14:paraId="3916B834">
            <w:pPr>
              <w:rPr>
                <w:rFonts w:ascii="Arial"/>
                <w:sz w:val="21"/>
              </w:rPr>
            </w:pPr>
          </w:p>
        </w:tc>
        <w:tc>
          <w:tcPr>
            <w:tcW w:w="1159" w:type="dxa"/>
            <w:vAlign w:val="top"/>
          </w:tcPr>
          <w:p w14:paraId="0109904F">
            <w:pPr>
              <w:rPr>
                <w:rFonts w:ascii="Arial"/>
                <w:sz w:val="21"/>
              </w:rPr>
            </w:pPr>
          </w:p>
        </w:tc>
        <w:tc>
          <w:tcPr>
            <w:tcW w:w="1179" w:type="dxa"/>
            <w:vAlign w:val="top"/>
          </w:tcPr>
          <w:p w14:paraId="1C65EDCA">
            <w:pPr>
              <w:rPr>
                <w:rFonts w:ascii="Arial"/>
                <w:sz w:val="21"/>
              </w:rPr>
            </w:pPr>
          </w:p>
        </w:tc>
        <w:tc>
          <w:tcPr>
            <w:tcW w:w="1180" w:type="dxa"/>
            <w:vAlign w:val="top"/>
          </w:tcPr>
          <w:p w14:paraId="3E48D758">
            <w:pPr>
              <w:rPr>
                <w:rFonts w:ascii="Arial"/>
                <w:sz w:val="21"/>
              </w:rPr>
            </w:pPr>
          </w:p>
        </w:tc>
        <w:tc>
          <w:tcPr>
            <w:tcW w:w="1164" w:type="dxa"/>
            <w:vAlign w:val="top"/>
          </w:tcPr>
          <w:p w14:paraId="0820E67A">
            <w:pPr>
              <w:rPr>
                <w:rFonts w:ascii="Arial"/>
                <w:sz w:val="21"/>
              </w:rPr>
            </w:pPr>
          </w:p>
        </w:tc>
      </w:tr>
      <w:tr w14:paraId="7E9A5C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9" w:hRule="atLeast"/>
        </w:trPr>
        <w:tc>
          <w:tcPr>
            <w:tcW w:w="3163" w:type="dxa"/>
            <w:vAlign w:val="top"/>
          </w:tcPr>
          <w:p w14:paraId="77314C07">
            <w:pPr>
              <w:pStyle w:val="6"/>
              <w:spacing w:before="118" w:line="218" w:lineRule="auto"/>
              <w:ind w:left="1155"/>
            </w:pPr>
            <w:r>
              <w:rPr>
                <w:spacing w:val="-3"/>
              </w:rPr>
              <w:t>投标报价</w:t>
            </w:r>
          </w:p>
        </w:tc>
        <w:tc>
          <w:tcPr>
            <w:tcW w:w="1159" w:type="dxa"/>
            <w:vAlign w:val="top"/>
          </w:tcPr>
          <w:p w14:paraId="7CC6BF33">
            <w:pPr>
              <w:rPr>
                <w:rFonts w:ascii="Arial"/>
                <w:sz w:val="21"/>
              </w:rPr>
            </w:pPr>
          </w:p>
        </w:tc>
        <w:tc>
          <w:tcPr>
            <w:tcW w:w="1179" w:type="dxa"/>
            <w:vAlign w:val="top"/>
          </w:tcPr>
          <w:p w14:paraId="63E97A17">
            <w:pPr>
              <w:rPr>
                <w:rFonts w:ascii="Arial"/>
                <w:sz w:val="21"/>
              </w:rPr>
            </w:pPr>
          </w:p>
        </w:tc>
        <w:tc>
          <w:tcPr>
            <w:tcW w:w="1189" w:type="dxa"/>
            <w:vAlign w:val="top"/>
          </w:tcPr>
          <w:p w14:paraId="0218C261">
            <w:pPr>
              <w:rPr>
                <w:rFonts w:ascii="Arial"/>
                <w:sz w:val="21"/>
              </w:rPr>
            </w:pPr>
          </w:p>
        </w:tc>
        <w:tc>
          <w:tcPr>
            <w:tcW w:w="1159" w:type="dxa"/>
            <w:vAlign w:val="top"/>
          </w:tcPr>
          <w:p w14:paraId="2E0B35DB">
            <w:pPr>
              <w:rPr>
                <w:rFonts w:ascii="Arial"/>
                <w:sz w:val="21"/>
              </w:rPr>
            </w:pPr>
          </w:p>
        </w:tc>
        <w:tc>
          <w:tcPr>
            <w:tcW w:w="1209" w:type="dxa"/>
            <w:vAlign w:val="top"/>
          </w:tcPr>
          <w:p w14:paraId="4FE171BE">
            <w:pPr>
              <w:rPr>
                <w:rFonts w:ascii="Arial"/>
                <w:sz w:val="21"/>
              </w:rPr>
            </w:pPr>
          </w:p>
        </w:tc>
        <w:tc>
          <w:tcPr>
            <w:tcW w:w="1159" w:type="dxa"/>
            <w:vAlign w:val="top"/>
          </w:tcPr>
          <w:p w14:paraId="48927305">
            <w:pPr>
              <w:rPr>
                <w:rFonts w:ascii="Arial"/>
                <w:sz w:val="21"/>
              </w:rPr>
            </w:pPr>
          </w:p>
        </w:tc>
        <w:tc>
          <w:tcPr>
            <w:tcW w:w="1179" w:type="dxa"/>
            <w:vAlign w:val="top"/>
          </w:tcPr>
          <w:p w14:paraId="385250AD">
            <w:pPr>
              <w:rPr>
                <w:rFonts w:ascii="Arial"/>
                <w:sz w:val="21"/>
              </w:rPr>
            </w:pPr>
          </w:p>
        </w:tc>
        <w:tc>
          <w:tcPr>
            <w:tcW w:w="1180" w:type="dxa"/>
            <w:vAlign w:val="top"/>
          </w:tcPr>
          <w:p w14:paraId="194E316A">
            <w:pPr>
              <w:rPr>
                <w:rFonts w:ascii="Arial"/>
                <w:sz w:val="21"/>
              </w:rPr>
            </w:pPr>
          </w:p>
        </w:tc>
        <w:tc>
          <w:tcPr>
            <w:tcW w:w="1164" w:type="dxa"/>
            <w:vAlign w:val="top"/>
          </w:tcPr>
          <w:p w14:paraId="1E8060F0">
            <w:pPr>
              <w:rPr>
                <w:rFonts w:ascii="Arial"/>
                <w:sz w:val="21"/>
              </w:rPr>
            </w:pPr>
          </w:p>
        </w:tc>
      </w:tr>
      <w:tr w14:paraId="744DC7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trPr>
        <w:tc>
          <w:tcPr>
            <w:tcW w:w="3163" w:type="dxa"/>
            <w:vAlign w:val="top"/>
          </w:tcPr>
          <w:p w14:paraId="4654F7B9">
            <w:pPr>
              <w:pStyle w:val="6"/>
              <w:spacing w:before="109" w:line="218" w:lineRule="auto"/>
              <w:ind w:left="525"/>
            </w:pPr>
            <w:r>
              <w:rPr>
                <w:spacing w:val="4"/>
              </w:rPr>
              <w:t>修正后投标报价(如有)</w:t>
            </w:r>
          </w:p>
        </w:tc>
        <w:tc>
          <w:tcPr>
            <w:tcW w:w="1159" w:type="dxa"/>
            <w:vAlign w:val="top"/>
          </w:tcPr>
          <w:p w14:paraId="7B5649F2">
            <w:pPr>
              <w:rPr>
                <w:rFonts w:ascii="Arial"/>
                <w:sz w:val="21"/>
              </w:rPr>
            </w:pPr>
          </w:p>
        </w:tc>
        <w:tc>
          <w:tcPr>
            <w:tcW w:w="1179" w:type="dxa"/>
            <w:vAlign w:val="top"/>
          </w:tcPr>
          <w:p w14:paraId="5FC9DB3E">
            <w:pPr>
              <w:rPr>
                <w:rFonts w:ascii="Arial"/>
                <w:sz w:val="21"/>
              </w:rPr>
            </w:pPr>
          </w:p>
        </w:tc>
        <w:tc>
          <w:tcPr>
            <w:tcW w:w="1189" w:type="dxa"/>
            <w:vAlign w:val="top"/>
          </w:tcPr>
          <w:p w14:paraId="04C09210">
            <w:pPr>
              <w:rPr>
                <w:rFonts w:ascii="Arial"/>
                <w:sz w:val="21"/>
              </w:rPr>
            </w:pPr>
          </w:p>
        </w:tc>
        <w:tc>
          <w:tcPr>
            <w:tcW w:w="1159" w:type="dxa"/>
            <w:vAlign w:val="top"/>
          </w:tcPr>
          <w:p w14:paraId="745AC594">
            <w:pPr>
              <w:rPr>
                <w:rFonts w:ascii="Arial"/>
                <w:sz w:val="21"/>
              </w:rPr>
            </w:pPr>
          </w:p>
        </w:tc>
        <w:tc>
          <w:tcPr>
            <w:tcW w:w="1209" w:type="dxa"/>
            <w:vAlign w:val="top"/>
          </w:tcPr>
          <w:p w14:paraId="7510347E">
            <w:pPr>
              <w:rPr>
                <w:rFonts w:ascii="Arial"/>
                <w:sz w:val="21"/>
              </w:rPr>
            </w:pPr>
          </w:p>
        </w:tc>
        <w:tc>
          <w:tcPr>
            <w:tcW w:w="1159" w:type="dxa"/>
            <w:vAlign w:val="top"/>
          </w:tcPr>
          <w:p w14:paraId="765F3585">
            <w:pPr>
              <w:rPr>
                <w:rFonts w:ascii="Arial"/>
                <w:sz w:val="21"/>
              </w:rPr>
            </w:pPr>
          </w:p>
        </w:tc>
        <w:tc>
          <w:tcPr>
            <w:tcW w:w="1179" w:type="dxa"/>
            <w:vAlign w:val="top"/>
          </w:tcPr>
          <w:p w14:paraId="4DACA3BE">
            <w:pPr>
              <w:rPr>
                <w:rFonts w:ascii="Arial"/>
                <w:sz w:val="21"/>
              </w:rPr>
            </w:pPr>
          </w:p>
        </w:tc>
        <w:tc>
          <w:tcPr>
            <w:tcW w:w="1180" w:type="dxa"/>
            <w:vAlign w:val="top"/>
          </w:tcPr>
          <w:p w14:paraId="2EE46565">
            <w:pPr>
              <w:rPr>
                <w:rFonts w:ascii="Arial"/>
                <w:sz w:val="21"/>
              </w:rPr>
            </w:pPr>
          </w:p>
        </w:tc>
        <w:tc>
          <w:tcPr>
            <w:tcW w:w="1164" w:type="dxa"/>
            <w:vAlign w:val="top"/>
          </w:tcPr>
          <w:p w14:paraId="6803E832">
            <w:pPr>
              <w:rPr>
                <w:rFonts w:ascii="Arial"/>
                <w:sz w:val="21"/>
              </w:rPr>
            </w:pPr>
          </w:p>
        </w:tc>
      </w:tr>
      <w:tr w14:paraId="515CB5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3163" w:type="dxa"/>
            <w:vAlign w:val="top"/>
          </w:tcPr>
          <w:p w14:paraId="643B5DBF">
            <w:pPr>
              <w:pStyle w:val="6"/>
              <w:spacing w:before="139" w:line="218" w:lineRule="auto"/>
              <w:ind w:left="1255"/>
            </w:pPr>
            <w:r>
              <w:rPr>
                <w:spacing w:val="-2"/>
              </w:rPr>
              <w:t>评标价</w:t>
            </w:r>
          </w:p>
        </w:tc>
        <w:tc>
          <w:tcPr>
            <w:tcW w:w="1159" w:type="dxa"/>
            <w:vAlign w:val="top"/>
          </w:tcPr>
          <w:p w14:paraId="36E724C6">
            <w:pPr>
              <w:rPr>
                <w:rFonts w:ascii="Arial"/>
                <w:sz w:val="21"/>
              </w:rPr>
            </w:pPr>
          </w:p>
        </w:tc>
        <w:tc>
          <w:tcPr>
            <w:tcW w:w="1179" w:type="dxa"/>
            <w:vAlign w:val="top"/>
          </w:tcPr>
          <w:p w14:paraId="4393D4D2">
            <w:pPr>
              <w:rPr>
                <w:rFonts w:ascii="Arial"/>
                <w:sz w:val="21"/>
              </w:rPr>
            </w:pPr>
          </w:p>
        </w:tc>
        <w:tc>
          <w:tcPr>
            <w:tcW w:w="1189" w:type="dxa"/>
            <w:vAlign w:val="top"/>
          </w:tcPr>
          <w:p w14:paraId="6447D1AA">
            <w:pPr>
              <w:rPr>
                <w:rFonts w:ascii="Arial"/>
                <w:sz w:val="21"/>
              </w:rPr>
            </w:pPr>
          </w:p>
        </w:tc>
        <w:tc>
          <w:tcPr>
            <w:tcW w:w="1159" w:type="dxa"/>
            <w:vAlign w:val="top"/>
          </w:tcPr>
          <w:p w14:paraId="1D034A9E">
            <w:pPr>
              <w:rPr>
                <w:rFonts w:ascii="Arial"/>
                <w:sz w:val="21"/>
              </w:rPr>
            </w:pPr>
          </w:p>
        </w:tc>
        <w:tc>
          <w:tcPr>
            <w:tcW w:w="1209" w:type="dxa"/>
            <w:vAlign w:val="top"/>
          </w:tcPr>
          <w:p w14:paraId="603132BA">
            <w:pPr>
              <w:rPr>
                <w:rFonts w:ascii="Arial"/>
                <w:sz w:val="21"/>
              </w:rPr>
            </w:pPr>
          </w:p>
        </w:tc>
        <w:tc>
          <w:tcPr>
            <w:tcW w:w="1159" w:type="dxa"/>
            <w:vAlign w:val="top"/>
          </w:tcPr>
          <w:p w14:paraId="5EE63F4D">
            <w:pPr>
              <w:rPr>
                <w:rFonts w:ascii="Arial"/>
                <w:sz w:val="21"/>
              </w:rPr>
            </w:pPr>
          </w:p>
        </w:tc>
        <w:tc>
          <w:tcPr>
            <w:tcW w:w="1179" w:type="dxa"/>
            <w:vAlign w:val="top"/>
          </w:tcPr>
          <w:p w14:paraId="73CDA6C4">
            <w:pPr>
              <w:rPr>
                <w:rFonts w:ascii="Arial"/>
                <w:sz w:val="21"/>
              </w:rPr>
            </w:pPr>
          </w:p>
        </w:tc>
        <w:tc>
          <w:tcPr>
            <w:tcW w:w="1180" w:type="dxa"/>
            <w:vAlign w:val="top"/>
          </w:tcPr>
          <w:p w14:paraId="67D7506F">
            <w:pPr>
              <w:rPr>
                <w:rFonts w:ascii="Arial"/>
                <w:sz w:val="21"/>
              </w:rPr>
            </w:pPr>
          </w:p>
        </w:tc>
        <w:tc>
          <w:tcPr>
            <w:tcW w:w="1164" w:type="dxa"/>
            <w:vAlign w:val="top"/>
          </w:tcPr>
          <w:p w14:paraId="0679BC7D">
            <w:pPr>
              <w:rPr>
                <w:rFonts w:ascii="Arial"/>
                <w:sz w:val="21"/>
              </w:rPr>
            </w:pPr>
          </w:p>
        </w:tc>
      </w:tr>
      <w:tr w14:paraId="17F42D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3163" w:type="dxa"/>
            <w:vAlign w:val="top"/>
          </w:tcPr>
          <w:p w14:paraId="16744E47">
            <w:pPr>
              <w:pStyle w:val="6"/>
              <w:spacing w:before="130" w:line="218" w:lineRule="auto"/>
              <w:ind w:left="1045"/>
            </w:pPr>
            <w:r>
              <w:rPr>
                <w:spacing w:val="-2"/>
              </w:rPr>
              <w:t>评标基准价</w:t>
            </w:r>
          </w:p>
        </w:tc>
        <w:tc>
          <w:tcPr>
            <w:tcW w:w="10577" w:type="dxa"/>
            <w:gridSpan w:val="9"/>
            <w:vAlign w:val="top"/>
          </w:tcPr>
          <w:p w14:paraId="0A95DEA4">
            <w:pPr>
              <w:rPr>
                <w:rFonts w:ascii="Arial"/>
                <w:sz w:val="21"/>
              </w:rPr>
            </w:pPr>
          </w:p>
        </w:tc>
      </w:tr>
      <w:tr w14:paraId="2CFE65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3163" w:type="dxa"/>
            <w:vAlign w:val="top"/>
          </w:tcPr>
          <w:p w14:paraId="69F2F88E">
            <w:pPr>
              <w:pStyle w:val="6"/>
              <w:spacing w:before="123" w:line="219" w:lineRule="auto"/>
              <w:ind w:left="1255"/>
            </w:pPr>
            <w:r>
              <w:rPr>
                <w:spacing w:val="-2"/>
              </w:rPr>
              <w:t>偏差率</w:t>
            </w:r>
          </w:p>
        </w:tc>
        <w:tc>
          <w:tcPr>
            <w:tcW w:w="1159" w:type="dxa"/>
            <w:vAlign w:val="top"/>
          </w:tcPr>
          <w:p w14:paraId="18AA5AF4">
            <w:pPr>
              <w:rPr>
                <w:rFonts w:ascii="Arial"/>
                <w:sz w:val="21"/>
              </w:rPr>
            </w:pPr>
          </w:p>
        </w:tc>
        <w:tc>
          <w:tcPr>
            <w:tcW w:w="1179" w:type="dxa"/>
            <w:vAlign w:val="top"/>
          </w:tcPr>
          <w:p w14:paraId="423DEFAA">
            <w:pPr>
              <w:rPr>
                <w:rFonts w:ascii="Arial"/>
                <w:sz w:val="21"/>
              </w:rPr>
            </w:pPr>
          </w:p>
        </w:tc>
        <w:tc>
          <w:tcPr>
            <w:tcW w:w="1189" w:type="dxa"/>
            <w:vAlign w:val="top"/>
          </w:tcPr>
          <w:p w14:paraId="705B2EAB">
            <w:pPr>
              <w:rPr>
                <w:rFonts w:ascii="Arial"/>
                <w:sz w:val="21"/>
              </w:rPr>
            </w:pPr>
          </w:p>
        </w:tc>
        <w:tc>
          <w:tcPr>
            <w:tcW w:w="1159" w:type="dxa"/>
            <w:vAlign w:val="top"/>
          </w:tcPr>
          <w:p w14:paraId="40BB9DCF">
            <w:pPr>
              <w:rPr>
                <w:rFonts w:ascii="Arial"/>
                <w:sz w:val="21"/>
              </w:rPr>
            </w:pPr>
          </w:p>
        </w:tc>
        <w:tc>
          <w:tcPr>
            <w:tcW w:w="1209" w:type="dxa"/>
            <w:vAlign w:val="top"/>
          </w:tcPr>
          <w:p w14:paraId="382C3910">
            <w:pPr>
              <w:rPr>
                <w:rFonts w:ascii="Arial"/>
                <w:sz w:val="21"/>
              </w:rPr>
            </w:pPr>
          </w:p>
        </w:tc>
        <w:tc>
          <w:tcPr>
            <w:tcW w:w="1159" w:type="dxa"/>
            <w:vAlign w:val="top"/>
          </w:tcPr>
          <w:p w14:paraId="3D0125A7">
            <w:pPr>
              <w:rPr>
                <w:rFonts w:ascii="Arial"/>
                <w:sz w:val="21"/>
              </w:rPr>
            </w:pPr>
          </w:p>
        </w:tc>
        <w:tc>
          <w:tcPr>
            <w:tcW w:w="1179" w:type="dxa"/>
            <w:vAlign w:val="top"/>
          </w:tcPr>
          <w:p w14:paraId="66FFEA2D">
            <w:pPr>
              <w:rPr>
                <w:rFonts w:ascii="Arial"/>
                <w:sz w:val="21"/>
              </w:rPr>
            </w:pPr>
          </w:p>
        </w:tc>
        <w:tc>
          <w:tcPr>
            <w:tcW w:w="1180" w:type="dxa"/>
            <w:vAlign w:val="top"/>
          </w:tcPr>
          <w:p w14:paraId="536A8973">
            <w:pPr>
              <w:rPr>
                <w:rFonts w:ascii="Arial"/>
                <w:sz w:val="21"/>
              </w:rPr>
            </w:pPr>
          </w:p>
        </w:tc>
        <w:tc>
          <w:tcPr>
            <w:tcW w:w="1164" w:type="dxa"/>
            <w:vAlign w:val="top"/>
          </w:tcPr>
          <w:p w14:paraId="66324991">
            <w:pPr>
              <w:rPr>
                <w:rFonts w:ascii="Arial"/>
                <w:sz w:val="21"/>
              </w:rPr>
            </w:pPr>
          </w:p>
        </w:tc>
      </w:tr>
      <w:tr w14:paraId="0C107E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3163" w:type="dxa"/>
            <w:vAlign w:val="top"/>
          </w:tcPr>
          <w:p w14:paraId="2625C2D6">
            <w:pPr>
              <w:pStyle w:val="6"/>
              <w:spacing w:before="132" w:line="218" w:lineRule="auto"/>
              <w:ind w:left="1045"/>
            </w:pPr>
            <w:r>
              <w:rPr>
                <w:spacing w:val="-2"/>
              </w:rPr>
              <w:t>招标控制价</w:t>
            </w:r>
          </w:p>
        </w:tc>
        <w:tc>
          <w:tcPr>
            <w:tcW w:w="10577" w:type="dxa"/>
            <w:gridSpan w:val="9"/>
            <w:vAlign w:val="top"/>
          </w:tcPr>
          <w:p w14:paraId="5C79EAD1">
            <w:pPr>
              <w:rPr>
                <w:rFonts w:ascii="Arial"/>
                <w:sz w:val="21"/>
              </w:rPr>
            </w:pPr>
          </w:p>
        </w:tc>
      </w:tr>
      <w:tr w14:paraId="31D2C1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trPr>
        <w:tc>
          <w:tcPr>
            <w:tcW w:w="3163" w:type="dxa"/>
            <w:vAlign w:val="top"/>
          </w:tcPr>
          <w:p w14:paraId="59CDA40B">
            <w:pPr>
              <w:pStyle w:val="6"/>
              <w:spacing w:before="143" w:line="218" w:lineRule="auto"/>
              <w:ind w:left="735"/>
            </w:pPr>
            <w:r>
              <w:rPr>
                <w:spacing w:val="-1"/>
              </w:rPr>
              <w:t>计算投标报价得分</w:t>
            </w:r>
          </w:p>
        </w:tc>
        <w:tc>
          <w:tcPr>
            <w:tcW w:w="1159" w:type="dxa"/>
            <w:vAlign w:val="top"/>
          </w:tcPr>
          <w:p w14:paraId="28F94FC3">
            <w:pPr>
              <w:rPr>
                <w:rFonts w:ascii="Arial"/>
                <w:sz w:val="21"/>
              </w:rPr>
            </w:pPr>
          </w:p>
        </w:tc>
        <w:tc>
          <w:tcPr>
            <w:tcW w:w="1179" w:type="dxa"/>
            <w:vAlign w:val="top"/>
          </w:tcPr>
          <w:p w14:paraId="742A8CE8">
            <w:pPr>
              <w:rPr>
                <w:rFonts w:ascii="Arial"/>
                <w:sz w:val="21"/>
              </w:rPr>
            </w:pPr>
          </w:p>
        </w:tc>
        <w:tc>
          <w:tcPr>
            <w:tcW w:w="1189" w:type="dxa"/>
            <w:vAlign w:val="top"/>
          </w:tcPr>
          <w:p w14:paraId="4A09D2DF">
            <w:pPr>
              <w:rPr>
                <w:rFonts w:ascii="Arial"/>
                <w:sz w:val="21"/>
              </w:rPr>
            </w:pPr>
          </w:p>
        </w:tc>
        <w:tc>
          <w:tcPr>
            <w:tcW w:w="1159" w:type="dxa"/>
            <w:vAlign w:val="top"/>
          </w:tcPr>
          <w:p w14:paraId="34532437">
            <w:pPr>
              <w:rPr>
                <w:rFonts w:ascii="Arial"/>
                <w:sz w:val="21"/>
              </w:rPr>
            </w:pPr>
          </w:p>
        </w:tc>
        <w:tc>
          <w:tcPr>
            <w:tcW w:w="1209" w:type="dxa"/>
            <w:vAlign w:val="top"/>
          </w:tcPr>
          <w:p w14:paraId="2836C721">
            <w:pPr>
              <w:rPr>
                <w:rFonts w:ascii="Arial"/>
                <w:sz w:val="21"/>
              </w:rPr>
            </w:pPr>
          </w:p>
        </w:tc>
        <w:tc>
          <w:tcPr>
            <w:tcW w:w="1159" w:type="dxa"/>
            <w:vAlign w:val="top"/>
          </w:tcPr>
          <w:p w14:paraId="71BB9CC3">
            <w:pPr>
              <w:rPr>
                <w:rFonts w:ascii="Arial"/>
                <w:sz w:val="21"/>
              </w:rPr>
            </w:pPr>
          </w:p>
        </w:tc>
        <w:tc>
          <w:tcPr>
            <w:tcW w:w="1179" w:type="dxa"/>
            <w:vAlign w:val="top"/>
          </w:tcPr>
          <w:p w14:paraId="7132065C">
            <w:pPr>
              <w:rPr>
                <w:rFonts w:ascii="Arial"/>
                <w:sz w:val="21"/>
              </w:rPr>
            </w:pPr>
          </w:p>
        </w:tc>
        <w:tc>
          <w:tcPr>
            <w:tcW w:w="1180" w:type="dxa"/>
            <w:vAlign w:val="top"/>
          </w:tcPr>
          <w:p w14:paraId="594FA599">
            <w:pPr>
              <w:rPr>
                <w:rFonts w:ascii="Arial"/>
                <w:sz w:val="21"/>
              </w:rPr>
            </w:pPr>
          </w:p>
        </w:tc>
        <w:tc>
          <w:tcPr>
            <w:tcW w:w="1164" w:type="dxa"/>
            <w:vAlign w:val="top"/>
          </w:tcPr>
          <w:p w14:paraId="79C41FE3">
            <w:pPr>
              <w:rPr>
                <w:rFonts w:ascii="Arial"/>
                <w:sz w:val="21"/>
              </w:rPr>
            </w:pPr>
          </w:p>
        </w:tc>
      </w:tr>
      <w:tr w14:paraId="5F6C8D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3163" w:type="dxa"/>
            <w:vAlign w:val="top"/>
          </w:tcPr>
          <w:p w14:paraId="2A69C54E">
            <w:pPr>
              <w:pStyle w:val="6"/>
              <w:spacing w:before="134" w:line="218" w:lineRule="auto"/>
              <w:ind w:left="835"/>
            </w:pPr>
            <w:r>
              <w:rPr>
                <w:spacing w:val="1"/>
              </w:rPr>
              <w:t>不平衡报价扣分</w:t>
            </w:r>
          </w:p>
        </w:tc>
        <w:tc>
          <w:tcPr>
            <w:tcW w:w="1159" w:type="dxa"/>
            <w:vAlign w:val="top"/>
          </w:tcPr>
          <w:p w14:paraId="5173A4D2">
            <w:pPr>
              <w:rPr>
                <w:rFonts w:ascii="Arial"/>
                <w:sz w:val="21"/>
              </w:rPr>
            </w:pPr>
          </w:p>
        </w:tc>
        <w:tc>
          <w:tcPr>
            <w:tcW w:w="1179" w:type="dxa"/>
            <w:vAlign w:val="top"/>
          </w:tcPr>
          <w:p w14:paraId="3FC4E101">
            <w:pPr>
              <w:rPr>
                <w:rFonts w:ascii="Arial"/>
                <w:sz w:val="21"/>
              </w:rPr>
            </w:pPr>
          </w:p>
        </w:tc>
        <w:tc>
          <w:tcPr>
            <w:tcW w:w="1189" w:type="dxa"/>
            <w:vAlign w:val="top"/>
          </w:tcPr>
          <w:p w14:paraId="30EC2DC1">
            <w:pPr>
              <w:rPr>
                <w:rFonts w:ascii="Arial"/>
                <w:sz w:val="21"/>
              </w:rPr>
            </w:pPr>
          </w:p>
        </w:tc>
        <w:tc>
          <w:tcPr>
            <w:tcW w:w="1159" w:type="dxa"/>
            <w:vAlign w:val="top"/>
          </w:tcPr>
          <w:p w14:paraId="7EA99FF5">
            <w:pPr>
              <w:rPr>
                <w:rFonts w:ascii="Arial"/>
                <w:sz w:val="21"/>
              </w:rPr>
            </w:pPr>
          </w:p>
        </w:tc>
        <w:tc>
          <w:tcPr>
            <w:tcW w:w="1209" w:type="dxa"/>
            <w:vAlign w:val="top"/>
          </w:tcPr>
          <w:p w14:paraId="5D1AAB0F">
            <w:pPr>
              <w:rPr>
                <w:rFonts w:ascii="Arial"/>
                <w:sz w:val="21"/>
              </w:rPr>
            </w:pPr>
          </w:p>
        </w:tc>
        <w:tc>
          <w:tcPr>
            <w:tcW w:w="1159" w:type="dxa"/>
            <w:vAlign w:val="top"/>
          </w:tcPr>
          <w:p w14:paraId="69606C99">
            <w:pPr>
              <w:rPr>
                <w:rFonts w:ascii="Arial"/>
                <w:sz w:val="21"/>
              </w:rPr>
            </w:pPr>
          </w:p>
        </w:tc>
        <w:tc>
          <w:tcPr>
            <w:tcW w:w="1179" w:type="dxa"/>
            <w:vAlign w:val="top"/>
          </w:tcPr>
          <w:p w14:paraId="6CE47360">
            <w:pPr>
              <w:rPr>
                <w:rFonts w:ascii="Arial"/>
                <w:sz w:val="21"/>
              </w:rPr>
            </w:pPr>
          </w:p>
        </w:tc>
        <w:tc>
          <w:tcPr>
            <w:tcW w:w="1180" w:type="dxa"/>
            <w:vAlign w:val="top"/>
          </w:tcPr>
          <w:p w14:paraId="207059DA">
            <w:pPr>
              <w:rPr>
                <w:rFonts w:ascii="Arial"/>
                <w:sz w:val="21"/>
              </w:rPr>
            </w:pPr>
          </w:p>
        </w:tc>
        <w:tc>
          <w:tcPr>
            <w:tcW w:w="1164" w:type="dxa"/>
            <w:vAlign w:val="top"/>
          </w:tcPr>
          <w:p w14:paraId="1E3804A9">
            <w:pPr>
              <w:rPr>
                <w:rFonts w:ascii="Arial"/>
                <w:sz w:val="21"/>
              </w:rPr>
            </w:pPr>
          </w:p>
        </w:tc>
      </w:tr>
      <w:tr w14:paraId="63B212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3163" w:type="dxa"/>
            <w:vAlign w:val="top"/>
          </w:tcPr>
          <w:p w14:paraId="26660501">
            <w:pPr>
              <w:pStyle w:val="6"/>
              <w:spacing w:before="125" w:line="218" w:lineRule="auto"/>
              <w:ind w:left="204"/>
            </w:pPr>
            <w:r>
              <w:rPr>
                <w:spacing w:val="3"/>
              </w:rPr>
              <w:t>投标报价最终得分A(满分 分)</w:t>
            </w:r>
          </w:p>
        </w:tc>
        <w:tc>
          <w:tcPr>
            <w:tcW w:w="1159" w:type="dxa"/>
            <w:vAlign w:val="top"/>
          </w:tcPr>
          <w:p w14:paraId="14F3B3F3">
            <w:pPr>
              <w:rPr>
                <w:rFonts w:ascii="Arial"/>
                <w:sz w:val="21"/>
              </w:rPr>
            </w:pPr>
          </w:p>
        </w:tc>
        <w:tc>
          <w:tcPr>
            <w:tcW w:w="1179" w:type="dxa"/>
            <w:vAlign w:val="top"/>
          </w:tcPr>
          <w:p w14:paraId="1D66A36F">
            <w:pPr>
              <w:rPr>
                <w:rFonts w:ascii="Arial"/>
                <w:sz w:val="21"/>
              </w:rPr>
            </w:pPr>
          </w:p>
        </w:tc>
        <w:tc>
          <w:tcPr>
            <w:tcW w:w="1189" w:type="dxa"/>
            <w:vAlign w:val="top"/>
          </w:tcPr>
          <w:p w14:paraId="5858F97F">
            <w:pPr>
              <w:rPr>
                <w:rFonts w:ascii="Arial"/>
                <w:sz w:val="21"/>
              </w:rPr>
            </w:pPr>
          </w:p>
        </w:tc>
        <w:tc>
          <w:tcPr>
            <w:tcW w:w="1159" w:type="dxa"/>
            <w:vAlign w:val="top"/>
          </w:tcPr>
          <w:p w14:paraId="46E1A753">
            <w:pPr>
              <w:rPr>
                <w:rFonts w:ascii="Arial"/>
                <w:sz w:val="21"/>
              </w:rPr>
            </w:pPr>
          </w:p>
        </w:tc>
        <w:tc>
          <w:tcPr>
            <w:tcW w:w="1209" w:type="dxa"/>
            <w:vAlign w:val="top"/>
          </w:tcPr>
          <w:p w14:paraId="28A2AC58">
            <w:pPr>
              <w:rPr>
                <w:rFonts w:ascii="Arial"/>
                <w:sz w:val="21"/>
              </w:rPr>
            </w:pPr>
          </w:p>
        </w:tc>
        <w:tc>
          <w:tcPr>
            <w:tcW w:w="1159" w:type="dxa"/>
            <w:vAlign w:val="top"/>
          </w:tcPr>
          <w:p w14:paraId="420D97E7">
            <w:pPr>
              <w:rPr>
                <w:rFonts w:ascii="Arial"/>
                <w:sz w:val="21"/>
              </w:rPr>
            </w:pPr>
          </w:p>
        </w:tc>
        <w:tc>
          <w:tcPr>
            <w:tcW w:w="1179" w:type="dxa"/>
            <w:vAlign w:val="top"/>
          </w:tcPr>
          <w:p w14:paraId="7847914B">
            <w:pPr>
              <w:rPr>
                <w:rFonts w:ascii="Arial"/>
                <w:sz w:val="21"/>
              </w:rPr>
            </w:pPr>
          </w:p>
        </w:tc>
        <w:tc>
          <w:tcPr>
            <w:tcW w:w="1180" w:type="dxa"/>
            <w:vAlign w:val="top"/>
          </w:tcPr>
          <w:p w14:paraId="2D192841">
            <w:pPr>
              <w:rPr>
                <w:rFonts w:ascii="Arial"/>
                <w:sz w:val="21"/>
              </w:rPr>
            </w:pPr>
          </w:p>
        </w:tc>
        <w:tc>
          <w:tcPr>
            <w:tcW w:w="1164" w:type="dxa"/>
            <w:vAlign w:val="top"/>
          </w:tcPr>
          <w:p w14:paraId="2DA5DC87">
            <w:pPr>
              <w:rPr>
                <w:rFonts w:ascii="Arial"/>
                <w:sz w:val="21"/>
              </w:rPr>
            </w:pPr>
          </w:p>
        </w:tc>
      </w:tr>
    </w:tbl>
    <w:p w14:paraId="2B81E3B3">
      <w:pPr>
        <w:spacing w:line="286" w:lineRule="auto"/>
        <w:rPr>
          <w:rFonts w:ascii="Arial"/>
          <w:sz w:val="21"/>
        </w:rPr>
      </w:pPr>
    </w:p>
    <w:p w14:paraId="78822AE1">
      <w:pPr>
        <w:pStyle w:val="2"/>
        <w:spacing w:before="65" w:line="227" w:lineRule="auto"/>
        <w:ind w:left="125"/>
        <w:rPr>
          <w:sz w:val="20"/>
          <w:szCs w:val="20"/>
        </w:rPr>
      </w:pPr>
      <w:r>
        <w:rPr>
          <w:spacing w:val="-2"/>
          <w:sz w:val="20"/>
          <w:szCs w:val="20"/>
        </w:rPr>
        <w:t xml:space="preserve">评标委员会成员签名：                                                          </w:t>
      </w:r>
      <w:r>
        <w:rPr>
          <w:spacing w:val="-3"/>
          <w:sz w:val="20"/>
          <w:szCs w:val="20"/>
        </w:rPr>
        <w:t xml:space="preserve">                                     </w:t>
      </w:r>
      <w:r>
        <w:rPr>
          <w:spacing w:val="-3"/>
          <w:sz w:val="16"/>
          <w:szCs w:val="16"/>
        </w:rPr>
        <w:t xml:space="preserve">日 期 ：     </w:t>
      </w:r>
      <w:r>
        <w:rPr>
          <w:spacing w:val="-3"/>
          <w:sz w:val="20"/>
          <w:szCs w:val="20"/>
        </w:rPr>
        <w:t>年  月   日</w:t>
      </w:r>
    </w:p>
    <w:p w14:paraId="65BB859E">
      <w:pPr>
        <w:spacing w:line="227" w:lineRule="auto"/>
        <w:rPr>
          <w:sz w:val="20"/>
          <w:szCs w:val="20"/>
        </w:rPr>
        <w:sectPr>
          <w:footerReference r:id="rId85" w:type="default"/>
          <w:pgSz w:w="16840" w:h="11910"/>
          <w:pgMar w:top="1012" w:right="1514" w:bottom="971" w:left="1574" w:header="0" w:footer="827" w:gutter="0"/>
          <w:cols w:space="720" w:num="1"/>
        </w:sectPr>
      </w:pPr>
    </w:p>
    <w:p w14:paraId="59A69AD9">
      <w:pPr>
        <w:spacing w:line="264" w:lineRule="auto"/>
        <w:rPr>
          <w:rFonts w:ascii="Arial"/>
          <w:sz w:val="21"/>
        </w:rPr>
      </w:pPr>
    </w:p>
    <w:p w14:paraId="5D03C79E">
      <w:pPr>
        <w:spacing w:line="264" w:lineRule="auto"/>
        <w:rPr>
          <w:rFonts w:ascii="Arial"/>
          <w:sz w:val="21"/>
        </w:rPr>
      </w:pPr>
    </w:p>
    <w:p w14:paraId="50981582">
      <w:pPr>
        <w:spacing w:before="81" w:line="222" w:lineRule="auto"/>
        <w:ind w:left="548"/>
        <w:outlineLvl w:val="2"/>
        <w:rPr>
          <w:rFonts w:ascii="黑体" w:hAnsi="黑体" w:eastAsia="黑体" w:cs="黑体"/>
          <w:sz w:val="25"/>
          <w:szCs w:val="25"/>
        </w:rPr>
      </w:pPr>
      <w:bookmarkStart w:id="219" w:name="bookmark163"/>
      <w:bookmarkEnd w:id="219"/>
      <w:r>
        <w:rPr>
          <w:rFonts w:ascii="黑体" w:hAnsi="黑体" w:eastAsia="黑体" w:cs="黑体"/>
          <w:b/>
          <w:bCs/>
          <w:spacing w:val="2"/>
          <w:sz w:val="25"/>
          <w:szCs w:val="25"/>
        </w:rPr>
        <w:t>附表</w:t>
      </w:r>
      <w:r>
        <w:rPr>
          <w:rFonts w:ascii="Times New Roman" w:hAnsi="Times New Roman" w:eastAsia="Times New Roman" w:cs="Times New Roman"/>
          <w:b/>
          <w:bCs/>
          <w:spacing w:val="2"/>
          <w:sz w:val="25"/>
          <w:szCs w:val="25"/>
        </w:rPr>
        <w:t>A-9:</w:t>
      </w:r>
      <w:r>
        <w:rPr>
          <w:rFonts w:ascii="Times New Roman" w:hAnsi="Times New Roman" w:eastAsia="Times New Roman" w:cs="Times New Roman"/>
          <w:b/>
          <w:bCs/>
          <w:spacing w:val="19"/>
          <w:sz w:val="25"/>
          <w:szCs w:val="25"/>
        </w:rPr>
        <w:t xml:space="preserve">  </w:t>
      </w:r>
      <w:r>
        <w:rPr>
          <w:rFonts w:ascii="黑体" w:hAnsi="黑体" w:eastAsia="黑体" w:cs="黑体"/>
          <w:b/>
          <w:bCs/>
          <w:spacing w:val="2"/>
          <w:sz w:val="25"/>
          <w:szCs w:val="25"/>
        </w:rPr>
        <w:t>施工组织设计评审记录表(评分)</w:t>
      </w:r>
    </w:p>
    <w:p w14:paraId="0E582238">
      <w:pPr>
        <w:spacing w:before="41" w:line="222" w:lineRule="auto"/>
        <w:ind w:left="4920"/>
        <w:rPr>
          <w:rFonts w:ascii="黑体" w:hAnsi="黑体" w:eastAsia="黑体" w:cs="黑体"/>
          <w:sz w:val="36"/>
          <w:szCs w:val="36"/>
        </w:rPr>
      </w:pPr>
      <w:bookmarkStart w:id="220" w:name="bookmark274"/>
      <w:bookmarkEnd w:id="220"/>
      <w:r>
        <w:rPr>
          <w:rFonts w:ascii="黑体" w:hAnsi="黑体" w:eastAsia="黑体" w:cs="黑体"/>
          <w:b/>
          <w:bCs/>
          <w:spacing w:val="-5"/>
          <w:sz w:val="36"/>
          <w:szCs w:val="36"/>
        </w:rPr>
        <w:t>施工组织设计评审记录表</w:t>
      </w:r>
    </w:p>
    <w:p w14:paraId="4FD1B577">
      <w:pPr>
        <w:pStyle w:val="2"/>
        <w:spacing w:before="259" w:line="220" w:lineRule="auto"/>
        <w:ind w:left="125"/>
        <w:rPr>
          <w:sz w:val="19"/>
          <w:szCs w:val="19"/>
        </w:rPr>
      </w:pPr>
      <w:r>
        <w:rPr>
          <w:spacing w:val="6"/>
          <w:sz w:val="19"/>
          <w:szCs w:val="19"/>
        </w:rPr>
        <w:t xml:space="preserve">工程名称： </w:t>
      </w:r>
      <w:r>
        <w:rPr>
          <w:spacing w:val="6"/>
          <w:sz w:val="19"/>
          <w:szCs w:val="19"/>
          <w:u w:val="single" w:color="auto"/>
        </w:rPr>
        <w:t xml:space="preserve">                </w:t>
      </w:r>
      <w:r>
        <w:rPr>
          <w:spacing w:val="-95"/>
          <w:sz w:val="19"/>
          <w:szCs w:val="19"/>
        </w:rPr>
        <w:t xml:space="preserve"> </w:t>
      </w:r>
      <w:r>
        <w:rPr>
          <w:spacing w:val="6"/>
          <w:sz w:val="21"/>
          <w:szCs w:val="21"/>
        </w:rPr>
        <w:t>(项目</w:t>
      </w:r>
      <w:r>
        <w:rPr>
          <w:spacing w:val="5"/>
          <w:sz w:val="21"/>
          <w:szCs w:val="21"/>
        </w:rPr>
        <w:t>名称)</w:t>
      </w:r>
      <w:r>
        <w:rPr>
          <w:spacing w:val="5"/>
          <w:sz w:val="21"/>
          <w:szCs w:val="21"/>
          <w:u w:val="single" w:color="auto"/>
        </w:rPr>
        <w:t xml:space="preserve">       </w:t>
      </w:r>
      <w:r>
        <w:rPr>
          <w:spacing w:val="-45"/>
          <w:sz w:val="21"/>
          <w:szCs w:val="21"/>
        </w:rPr>
        <w:t xml:space="preserve"> </w:t>
      </w:r>
      <w:r>
        <w:rPr>
          <w:spacing w:val="5"/>
          <w:sz w:val="19"/>
          <w:szCs w:val="19"/>
        </w:rPr>
        <w:t>(标段名称)</w:t>
      </w:r>
    </w:p>
    <w:p w14:paraId="735A77CD">
      <w:pPr>
        <w:spacing w:line="235" w:lineRule="exact"/>
      </w:pPr>
    </w:p>
    <w:tbl>
      <w:tblPr>
        <w:tblStyle w:val="5"/>
        <w:tblW w:w="1373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4"/>
        <w:gridCol w:w="1519"/>
        <w:gridCol w:w="3597"/>
        <w:gridCol w:w="719"/>
        <w:gridCol w:w="800"/>
        <w:gridCol w:w="769"/>
        <w:gridCol w:w="829"/>
        <w:gridCol w:w="800"/>
        <w:gridCol w:w="769"/>
        <w:gridCol w:w="800"/>
        <w:gridCol w:w="799"/>
        <w:gridCol w:w="800"/>
        <w:gridCol w:w="804"/>
      </w:tblGrid>
      <w:tr w14:paraId="6EB82C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4" w:hRule="atLeast"/>
        </w:trPr>
        <w:tc>
          <w:tcPr>
            <w:tcW w:w="734" w:type="dxa"/>
            <w:vMerge w:val="restart"/>
            <w:tcBorders>
              <w:bottom w:val="nil"/>
            </w:tcBorders>
            <w:vAlign w:val="top"/>
          </w:tcPr>
          <w:p w14:paraId="3548AE29">
            <w:pPr>
              <w:spacing w:line="274" w:lineRule="auto"/>
              <w:rPr>
                <w:rFonts w:ascii="Arial"/>
                <w:sz w:val="21"/>
              </w:rPr>
            </w:pPr>
          </w:p>
          <w:p w14:paraId="5E88C986">
            <w:pPr>
              <w:pStyle w:val="6"/>
              <w:spacing w:before="69" w:line="221" w:lineRule="auto"/>
              <w:ind w:left="145"/>
            </w:pPr>
            <w:r>
              <w:rPr>
                <w:spacing w:val="6"/>
              </w:rPr>
              <w:t>序号</w:t>
            </w:r>
          </w:p>
        </w:tc>
        <w:tc>
          <w:tcPr>
            <w:tcW w:w="1519" w:type="dxa"/>
            <w:vMerge w:val="restart"/>
            <w:tcBorders>
              <w:bottom w:val="nil"/>
            </w:tcBorders>
            <w:vAlign w:val="top"/>
          </w:tcPr>
          <w:p w14:paraId="466BD4E9">
            <w:pPr>
              <w:spacing w:line="274" w:lineRule="auto"/>
              <w:rPr>
                <w:rFonts w:ascii="Arial"/>
                <w:sz w:val="21"/>
              </w:rPr>
            </w:pPr>
          </w:p>
          <w:p w14:paraId="3564E4AD">
            <w:pPr>
              <w:pStyle w:val="6"/>
              <w:spacing w:before="68" w:line="220" w:lineRule="auto"/>
              <w:ind w:left="331"/>
            </w:pPr>
            <w:r>
              <w:rPr>
                <w:spacing w:val="10"/>
              </w:rPr>
              <w:t>评分项目</w:t>
            </w:r>
          </w:p>
        </w:tc>
        <w:tc>
          <w:tcPr>
            <w:tcW w:w="3597" w:type="dxa"/>
            <w:vMerge w:val="restart"/>
            <w:tcBorders>
              <w:bottom w:val="nil"/>
            </w:tcBorders>
            <w:vAlign w:val="top"/>
          </w:tcPr>
          <w:p w14:paraId="3E4E9AAD">
            <w:pPr>
              <w:spacing w:line="274" w:lineRule="auto"/>
              <w:rPr>
                <w:rFonts w:ascii="Arial"/>
                <w:sz w:val="21"/>
              </w:rPr>
            </w:pPr>
          </w:p>
          <w:p w14:paraId="4A01B65D">
            <w:pPr>
              <w:pStyle w:val="6"/>
              <w:spacing w:before="68" w:line="220" w:lineRule="auto"/>
              <w:ind w:left="1411"/>
            </w:pPr>
            <w:r>
              <w:rPr>
                <w:spacing w:val="-2"/>
              </w:rPr>
              <w:t>评分标准</w:t>
            </w:r>
          </w:p>
        </w:tc>
        <w:tc>
          <w:tcPr>
            <w:tcW w:w="719" w:type="dxa"/>
            <w:vMerge w:val="restart"/>
            <w:tcBorders>
              <w:bottom w:val="nil"/>
            </w:tcBorders>
            <w:vAlign w:val="top"/>
          </w:tcPr>
          <w:p w14:paraId="7E263B3B">
            <w:pPr>
              <w:pStyle w:val="6"/>
              <w:spacing w:before="195" w:line="257" w:lineRule="auto"/>
              <w:ind w:left="244" w:right="153" w:hanging="100"/>
            </w:pPr>
            <w:r>
              <w:rPr>
                <w:spacing w:val="-5"/>
              </w:rPr>
              <w:t>标准</w:t>
            </w:r>
            <w:r>
              <w:t xml:space="preserve"> 分</w:t>
            </w:r>
          </w:p>
        </w:tc>
        <w:tc>
          <w:tcPr>
            <w:tcW w:w="7170" w:type="dxa"/>
            <w:gridSpan w:val="9"/>
            <w:vAlign w:val="top"/>
          </w:tcPr>
          <w:p w14:paraId="2F9C44C9">
            <w:pPr>
              <w:pStyle w:val="6"/>
              <w:spacing w:before="133" w:line="219" w:lineRule="auto"/>
              <w:ind w:left="2046"/>
            </w:pPr>
            <w:r>
              <w:rPr>
                <w:spacing w:val="-1"/>
              </w:rPr>
              <w:t>投标人名称或暗标编号及评审得分</w:t>
            </w:r>
          </w:p>
        </w:tc>
      </w:tr>
      <w:tr w14:paraId="08E66C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734" w:type="dxa"/>
            <w:vMerge w:val="continue"/>
            <w:tcBorders>
              <w:top w:val="nil"/>
            </w:tcBorders>
            <w:vAlign w:val="top"/>
          </w:tcPr>
          <w:p w14:paraId="15391235">
            <w:pPr>
              <w:rPr>
                <w:rFonts w:ascii="Arial"/>
                <w:sz w:val="21"/>
              </w:rPr>
            </w:pPr>
          </w:p>
        </w:tc>
        <w:tc>
          <w:tcPr>
            <w:tcW w:w="1519" w:type="dxa"/>
            <w:vMerge w:val="continue"/>
            <w:tcBorders>
              <w:top w:val="nil"/>
            </w:tcBorders>
            <w:vAlign w:val="top"/>
          </w:tcPr>
          <w:p w14:paraId="754E7C7F">
            <w:pPr>
              <w:rPr>
                <w:rFonts w:ascii="Arial"/>
                <w:sz w:val="21"/>
              </w:rPr>
            </w:pPr>
          </w:p>
        </w:tc>
        <w:tc>
          <w:tcPr>
            <w:tcW w:w="3597" w:type="dxa"/>
            <w:vMerge w:val="continue"/>
            <w:tcBorders>
              <w:top w:val="nil"/>
            </w:tcBorders>
            <w:vAlign w:val="top"/>
          </w:tcPr>
          <w:p w14:paraId="00D4D24E">
            <w:pPr>
              <w:rPr>
                <w:rFonts w:ascii="Arial"/>
                <w:sz w:val="21"/>
              </w:rPr>
            </w:pPr>
          </w:p>
        </w:tc>
        <w:tc>
          <w:tcPr>
            <w:tcW w:w="719" w:type="dxa"/>
            <w:vMerge w:val="continue"/>
            <w:tcBorders>
              <w:top w:val="nil"/>
            </w:tcBorders>
            <w:vAlign w:val="top"/>
          </w:tcPr>
          <w:p w14:paraId="46E8F188">
            <w:pPr>
              <w:rPr>
                <w:rFonts w:ascii="Arial"/>
                <w:sz w:val="21"/>
              </w:rPr>
            </w:pPr>
          </w:p>
        </w:tc>
        <w:tc>
          <w:tcPr>
            <w:tcW w:w="800" w:type="dxa"/>
            <w:vAlign w:val="top"/>
          </w:tcPr>
          <w:p w14:paraId="2FCD5543">
            <w:pPr>
              <w:rPr>
                <w:rFonts w:ascii="Arial"/>
                <w:sz w:val="21"/>
              </w:rPr>
            </w:pPr>
          </w:p>
        </w:tc>
        <w:tc>
          <w:tcPr>
            <w:tcW w:w="769" w:type="dxa"/>
            <w:vAlign w:val="top"/>
          </w:tcPr>
          <w:p w14:paraId="74B8B608">
            <w:pPr>
              <w:rPr>
                <w:rFonts w:ascii="Arial"/>
                <w:sz w:val="21"/>
              </w:rPr>
            </w:pPr>
          </w:p>
        </w:tc>
        <w:tc>
          <w:tcPr>
            <w:tcW w:w="829" w:type="dxa"/>
            <w:vAlign w:val="top"/>
          </w:tcPr>
          <w:p w14:paraId="016296AA">
            <w:pPr>
              <w:rPr>
                <w:rFonts w:ascii="Arial"/>
                <w:sz w:val="21"/>
              </w:rPr>
            </w:pPr>
          </w:p>
        </w:tc>
        <w:tc>
          <w:tcPr>
            <w:tcW w:w="800" w:type="dxa"/>
            <w:vAlign w:val="top"/>
          </w:tcPr>
          <w:p w14:paraId="31D9103A">
            <w:pPr>
              <w:rPr>
                <w:rFonts w:ascii="Arial"/>
                <w:sz w:val="21"/>
              </w:rPr>
            </w:pPr>
          </w:p>
        </w:tc>
        <w:tc>
          <w:tcPr>
            <w:tcW w:w="769" w:type="dxa"/>
            <w:vAlign w:val="top"/>
          </w:tcPr>
          <w:p w14:paraId="421E06CC">
            <w:pPr>
              <w:rPr>
                <w:rFonts w:ascii="Arial"/>
                <w:sz w:val="21"/>
              </w:rPr>
            </w:pPr>
          </w:p>
        </w:tc>
        <w:tc>
          <w:tcPr>
            <w:tcW w:w="800" w:type="dxa"/>
            <w:vAlign w:val="top"/>
          </w:tcPr>
          <w:p w14:paraId="737CB579">
            <w:pPr>
              <w:rPr>
                <w:rFonts w:ascii="Arial"/>
                <w:sz w:val="21"/>
              </w:rPr>
            </w:pPr>
          </w:p>
        </w:tc>
        <w:tc>
          <w:tcPr>
            <w:tcW w:w="799" w:type="dxa"/>
            <w:vAlign w:val="top"/>
          </w:tcPr>
          <w:p w14:paraId="49D36A61">
            <w:pPr>
              <w:rPr>
                <w:rFonts w:ascii="Arial"/>
                <w:sz w:val="21"/>
              </w:rPr>
            </w:pPr>
          </w:p>
        </w:tc>
        <w:tc>
          <w:tcPr>
            <w:tcW w:w="800" w:type="dxa"/>
            <w:vAlign w:val="top"/>
          </w:tcPr>
          <w:p w14:paraId="37C66838">
            <w:pPr>
              <w:rPr>
                <w:rFonts w:ascii="Arial"/>
                <w:sz w:val="21"/>
              </w:rPr>
            </w:pPr>
          </w:p>
        </w:tc>
        <w:tc>
          <w:tcPr>
            <w:tcW w:w="804" w:type="dxa"/>
            <w:vAlign w:val="top"/>
          </w:tcPr>
          <w:p w14:paraId="637DF83A">
            <w:pPr>
              <w:rPr>
                <w:rFonts w:ascii="Arial"/>
                <w:sz w:val="21"/>
              </w:rPr>
            </w:pPr>
          </w:p>
        </w:tc>
      </w:tr>
      <w:tr w14:paraId="54F4C0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4" w:type="dxa"/>
            <w:vMerge w:val="restart"/>
            <w:tcBorders>
              <w:bottom w:val="nil"/>
            </w:tcBorders>
            <w:vAlign w:val="top"/>
          </w:tcPr>
          <w:p w14:paraId="5E55B5A4">
            <w:pPr>
              <w:spacing w:line="351" w:lineRule="auto"/>
              <w:rPr>
                <w:rFonts w:ascii="Arial"/>
                <w:sz w:val="21"/>
              </w:rPr>
            </w:pPr>
          </w:p>
          <w:p w14:paraId="1A9EC7FA">
            <w:pPr>
              <w:pStyle w:val="6"/>
              <w:spacing w:before="68" w:line="241" w:lineRule="auto"/>
              <w:ind w:left="305"/>
            </w:pPr>
            <w:r>
              <w:t>1</w:t>
            </w:r>
          </w:p>
        </w:tc>
        <w:tc>
          <w:tcPr>
            <w:tcW w:w="1519" w:type="dxa"/>
            <w:vMerge w:val="restart"/>
            <w:tcBorders>
              <w:bottom w:val="nil"/>
            </w:tcBorders>
            <w:vAlign w:val="top"/>
          </w:tcPr>
          <w:p w14:paraId="0AAE4CA0">
            <w:pPr>
              <w:spacing w:line="330" w:lineRule="auto"/>
              <w:rPr>
                <w:rFonts w:ascii="Arial"/>
                <w:sz w:val="21"/>
              </w:rPr>
            </w:pPr>
          </w:p>
          <w:p w14:paraId="07A18408">
            <w:pPr>
              <w:pStyle w:val="6"/>
              <w:spacing w:before="68" w:line="219" w:lineRule="auto"/>
              <w:ind w:left="331"/>
            </w:pPr>
            <w:r>
              <w:rPr>
                <w:spacing w:val="-3"/>
              </w:rPr>
              <w:t>工程概况</w:t>
            </w:r>
          </w:p>
        </w:tc>
        <w:tc>
          <w:tcPr>
            <w:tcW w:w="3597" w:type="dxa"/>
            <w:vAlign w:val="top"/>
          </w:tcPr>
          <w:p w14:paraId="6511D27E">
            <w:pPr>
              <w:rPr>
                <w:rFonts w:ascii="Arial"/>
                <w:sz w:val="21"/>
              </w:rPr>
            </w:pPr>
          </w:p>
        </w:tc>
        <w:tc>
          <w:tcPr>
            <w:tcW w:w="719" w:type="dxa"/>
            <w:vMerge w:val="restart"/>
            <w:tcBorders>
              <w:bottom w:val="nil"/>
            </w:tcBorders>
            <w:vAlign w:val="top"/>
          </w:tcPr>
          <w:p w14:paraId="78F564D8">
            <w:pPr>
              <w:spacing w:line="331" w:lineRule="auto"/>
              <w:rPr>
                <w:rFonts w:ascii="Arial"/>
                <w:sz w:val="21"/>
              </w:rPr>
            </w:pPr>
          </w:p>
          <w:p w14:paraId="11295B1C">
            <w:pPr>
              <w:pStyle w:val="6"/>
              <w:spacing w:before="68" w:line="220" w:lineRule="auto"/>
              <w:ind w:left="244"/>
            </w:pPr>
            <w:r>
              <w:t>分</w:t>
            </w:r>
          </w:p>
        </w:tc>
        <w:tc>
          <w:tcPr>
            <w:tcW w:w="800" w:type="dxa"/>
            <w:vMerge w:val="restart"/>
            <w:tcBorders>
              <w:bottom w:val="nil"/>
            </w:tcBorders>
            <w:vAlign w:val="top"/>
          </w:tcPr>
          <w:p w14:paraId="0288E42F">
            <w:pPr>
              <w:rPr>
                <w:rFonts w:ascii="Arial"/>
                <w:sz w:val="21"/>
              </w:rPr>
            </w:pPr>
          </w:p>
        </w:tc>
        <w:tc>
          <w:tcPr>
            <w:tcW w:w="769" w:type="dxa"/>
            <w:vMerge w:val="restart"/>
            <w:tcBorders>
              <w:bottom w:val="nil"/>
            </w:tcBorders>
            <w:vAlign w:val="top"/>
          </w:tcPr>
          <w:p w14:paraId="356B715B">
            <w:pPr>
              <w:rPr>
                <w:rFonts w:ascii="Arial"/>
                <w:sz w:val="21"/>
              </w:rPr>
            </w:pPr>
          </w:p>
        </w:tc>
        <w:tc>
          <w:tcPr>
            <w:tcW w:w="829" w:type="dxa"/>
            <w:vMerge w:val="restart"/>
            <w:tcBorders>
              <w:bottom w:val="nil"/>
            </w:tcBorders>
            <w:vAlign w:val="top"/>
          </w:tcPr>
          <w:p w14:paraId="372C1EC4">
            <w:pPr>
              <w:rPr>
                <w:rFonts w:ascii="Arial"/>
                <w:sz w:val="21"/>
              </w:rPr>
            </w:pPr>
          </w:p>
        </w:tc>
        <w:tc>
          <w:tcPr>
            <w:tcW w:w="800" w:type="dxa"/>
            <w:vMerge w:val="restart"/>
            <w:tcBorders>
              <w:bottom w:val="nil"/>
            </w:tcBorders>
            <w:vAlign w:val="top"/>
          </w:tcPr>
          <w:p w14:paraId="37F84343">
            <w:pPr>
              <w:rPr>
                <w:rFonts w:ascii="Arial"/>
                <w:sz w:val="21"/>
              </w:rPr>
            </w:pPr>
          </w:p>
        </w:tc>
        <w:tc>
          <w:tcPr>
            <w:tcW w:w="769" w:type="dxa"/>
            <w:vMerge w:val="restart"/>
            <w:tcBorders>
              <w:bottom w:val="nil"/>
            </w:tcBorders>
            <w:vAlign w:val="top"/>
          </w:tcPr>
          <w:p w14:paraId="03B5EFA2">
            <w:pPr>
              <w:rPr>
                <w:rFonts w:ascii="Arial"/>
                <w:sz w:val="21"/>
              </w:rPr>
            </w:pPr>
          </w:p>
        </w:tc>
        <w:tc>
          <w:tcPr>
            <w:tcW w:w="800" w:type="dxa"/>
            <w:vMerge w:val="restart"/>
            <w:tcBorders>
              <w:bottom w:val="nil"/>
            </w:tcBorders>
            <w:vAlign w:val="top"/>
          </w:tcPr>
          <w:p w14:paraId="2E47D4ED">
            <w:pPr>
              <w:rPr>
                <w:rFonts w:ascii="Arial"/>
                <w:sz w:val="21"/>
              </w:rPr>
            </w:pPr>
          </w:p>
        </w:tc>
        <w:tc>
          <w:tcPr>
            <w:tcW w:w="799" w:type="dxa"/>
            <w:vMerge w:val="restart"/>
            <w:tcBorders>
              <w:bottom w:val="nil"/>
            </w:tcBorders>
            <w:vAlign w:val="top"/>
          </w:tcPr>
          <w:p w14:paraId="6BB2383F">
            <w:pPr>
              <w:rPr>
                <w:rFonts w:ascii="Arial"/>
                <w:sz w:val="21"/>
              </w:rPr>
            </w:pPr>
          </w:p>
        </w:tc>
        <w:tc>
          <w:tcPr>
            <w:tcW w:w="800" w:type="dxa"/>
            <w:vMerge w:val="restart"/>
            <w:tcBorders>
              <w:bottom w:val="nil"/>
            </w:tcBorders>
            <w:vAlign w:val="top"/>
          </w:tcPr>
          <w:p w14:paraId="0D04C63E">
            <w:pPr>
              <w:rPr>
                <w:rFonts w:ascii="Arial"/>
                <w:sz w:val="21"/>
              </w:rPr>
            </w:pPr>
          </w:p>
        </w:tc>
        <w:tc>
          <w:tcPr>
            <w:tcW w:w="804" w:type="dxa"/>
            <w:vMerge w:val="restart"/>
            <w:tcBorders>
              <w:bottom w:val="nil"/>
            </w:tcBorders>
            <w:vAlign w:val="top"/>
          </w:tcPr>
          <w:p w14:paraId="4FEC11F8">
            <w:pPr>
              <w:rPr>
                <w:rFonts w:ascii="Arial"/>
                <w:sz w:val="21"/>
              </w:rPr>
            </w:pPr>
          </w:p>
        </w:tc>
      </w:tr>
      <w:tr w14:paraId="5C7D51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trPr>
        <w:tc>
          <w:tcPr>
            <w:tcW w:w="734" w:type="dxa"/>
            <w:vMerge w:val="continue"/>
            <w:tcBorders>
              <w:top w:val="nil"/>
              <w:bottom w:val="nil"/>
            </w:tcBorders>
            <w:vAlign w:val="top"/>
          </w:tcPr>
          <w:p w14:paraId="2FE4720D">
            <w:pPr>
              <w:rPr>
                <w:rFonts w:ascii="Arial"/>
                <w:sz w:val="21"/>
              </w:rPr>
            </w:pPr>
          </w:p>
        </w:tc>
        <w:tc>
          <w:tcPr>
            <w:tcW w:w="1519" w:type="dxa"/>
            <w:vMerge w:val="continue"/>
            <w:tcBorders>
              <w:top w:val="nil"/>
              <w:bottom w:val="nil"/>
            </w:tcBorders>
            <w:vAlign w:val="top"/>
          </w:tcPr>
          <w:p w14:paraId="28E81325">
            <w:pPr>
              <w:rPr>
                <w:rFonts w:ascii="Arial"/>
                <w:sz w:val="21"/>
              </w:rPr>
            </w:pPr>
          </w:p>
        </w:tc>
        <w:tc>
          <w:tcPr>
            <w:tcW w:w="3597" w:type="dxa"/>
            <w:vAlign w:val="top"/>
          </w:tcPr>
          <w:p w14:paraId="61C39A9B">
            <w:pPr>
              <w:rPr>
                <w:rFonts w:ascii="Arial"/>
                <w:sz w:val="21"/>
              </w:rPr>
            </w:pPr>
          </w:p>
        </w:tc>
        <w:tc>
          <w:tcPr>
            <w:tcW w:w="719" w:type="dxa"/>
            <w:vMerge w:val="continue"/>
            <w:tcBorders>
              <w:top w:val="nil"/>
              <w:bottom w:val="nil"/>
            </w:tcBorders>
            <w:vAlign w:val="top"/>
          </w:tcPr>
          <w:p w14:paraId="1ED6C83D">
            <w:pPr>
              <w:rPr>
                <w:rFonts w:ascii="Arial"/>
                <w:sz w:val="21"/>
              </w:rPr>
            </w:pPr>
          </w:p>
        </w:tc>
        <w:tc>
          <w:tcPr>
            <w:tcW w:w="800" w:type="dxa"/>
            <w:vMerge w:val="continue"/>
            <w:tcBorders>
              <w:top w:val="nil"/>
              <w:bottom w:val="nil"/>
            </w:tcBorders>
            <w:vAlign w:val="top"/>
          </w:tcPr>
          <w:p w14:paraId="7E147BF4">
            <w:pPr>
              <w:rPr>
                <w:rFonts w:ascii="Arial"/>
                <w:sz w:val="21"/>
              </w:rPr>
            </w:pPr>
          </w:p>
        </w:tc>
        <w:tc>
          <w:tcPr>
            <w:tcW w:w="769" w:type="dxa"/>
            <w:vMerge w:val="continue"/>
            <w:tcBorders>
              <w:top w:val="nil"/>
              <w:bottom w:val="nil"/>
            </w:tcBorders>
            <w:vAlign w:val="top"/>
          </w:tcPr>
          <w:p w14:paraId="66D25042">
            <w:pPr>
              <w:rPr>
                <w:rFonts w:ascii="Arial"/>
                <w:sz w:val="21"/>
              </w:rPr>
            </w:pPr>
          </w:p>
        </w:tc>
        <w:tc>
          <w:tcPr>
            <w:tcW w:w="829" w:type="dxa"/>
            <w:vMerge w:val="continue"/>
            <w:tcBorders>
              <w:top w:val="nil"/>
              <w:bottom w:val="nil"/>
            </w:tcBorders>
            <w:vAlign w:val="top"/>
          </w:tcPr>
          <w:p w14:paraId="1CD2DD82">
            <w:pPr>
              <w:rPr>
                <w:rFonts w:ascii="Arial"/>
                <w:sz w:val="21"/>
              </w:rPr>
            </w:pPr>
          </w:p>
        </w:tc>
        <w:tc>
          <w:tcPr>
            <w:tcW w:w="800" w:type="dxa"/>
            <w:vMerge w:val="continue"/>
            <w:tcBorders>
              <w:top w:val="nil"/>
              <w:bottom w:val="nil"/>
            </w:tcBorders>
            <w:vAlign w:val="top"/>
          </w:tcPr>
          <w:p w14:paraId="4E58FCC4">
            <w:pPr>
              <w:rPr>
                <w:rFonts w:ascii="Arial"/>
                <w:sz w:val="21"/>
              </w:rPr>
            </w:pPr>
          </w:p>
        </w:tc>
        <w:tc>
          <w:tcPr>
            <w:tcW w:w="769" w:type="dxa"/>
            <w:vMerge w:val="continue"/>
            <w:tcBorders>
              <w:top w:val="nil"/>
              <w:bottom w:val="nil"/>
            </w:tcBorders>
            <w:vAlign w:val="top"/>
          </w:tcPr>
          <w:p w14:paraId="6010E732">
            <w:pPr>
              <w:rPr>
                <w:rFonts w:ascii="Arial"/>
                <w:sz w:val="21"/>
              </w:rPr>
            </w:pPr>
          </w:p>
        </w:tc>
        <w:tc>
          <w:tcPr>
            <w:tcW w:w="800" w:type="dxa"/>
            <w:vMerge w:val="continue"/>
            <w:tcBorders>
              <w:top w:val="nil"/>
              <w:bottom w:val="nil"/>
            </w:tcBorders>
            <w:vAlign w:val="top"/>
          </w:tcPr>
          <w:p w14:paraId="038ADDCE">
            <w:pPr>
              <w:rPr>
                <w:rFonts w:ascii="Arial"/>
                <w:sz w:val="21"/>
              </w:rPr>
            </w:pPr>
          </w:p>
        </w:tc>
        <w:tc>
          <w:tcPr>
            <w:tcW w:w="799" w:type="dxa"/>
            <w:vMerge w:val="continue"/>
            <w:tcBorders>
              <w:top w:val="nil"/>
              <w:bottom w:val="nil"/>
            </w:tcBorders>
            <w:vAlign w:val="top"/>
          </w:tcPr>
          <w:p w14:paraId="6A06A919">
            <w:pPr>
              <w:rPr>
                <w:rFonts w:ascii="Arial"/>
                <w:sz w:val="21"/>
              </w:rPr>
            </w:pPr>
          </w:p>
        </w:tc>
        <w:tc>
          <w:tcPr>
            <w:tcW w:w="800" w:type="dxa"/>
            <w:vMerge w:val="continue"/>
            <w:tcBorders>
              <w:top w:val="nil"/>
              <w:bottom w:val="nil"/>
            </w:tcBorders>
            <w:vAlign w:val="top"/>
          </w:tcPr>
          <w:p w14:paraId="22761E22">
            <w:pPr>
              <w:rPr>
                <w:rFonts w:ascii="Arial"/>
                <w:sz w:val="21"/>
              </w:rPr>
            </w:pPr>
          </w:p>
        </w:tc>
        <w:tc>
          <w:tcPr>
            <w:tcW w:w="804" w:type="dxa"/>
            <w:vMerge w:val="continue"/>
            <w:tcBorders>
              <w:top w:val="nil"/>
              <w:bottom w:val="nil"/>
            </w:tcBorders>
            <w:vAlign w:val="top"/>
          </w:tcPr>
          <w:p w14:paraId="5EBC3EC2">
            <w:pPr>
              <w:rPr>
                <w:rFonts w:ascii="Arial"/>
                <w:sz w:val="21"/>
              </w:rPr>
            </w:pPr>
          </w:p>
        </w:tc>
      </w:tr>
      <w:tr w14:paraId="2B43DA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734" w:type="dxa"/>
            <w:vMerge w:val="continue"/>
            <w:tcBorders>
              <w:top w:val="nil"/>
            </w:tcBorders>
            <w:vAlign w:val="top"/>
          </w:tcPr>
          <w:p w14:paraId="5A028268">
            <w:pPr>
              <w:rPr>
                <w:rFonts w:ascii="Arial"/>
                <w:sz w:val="21"/>
              </w:rPr>
            </w:pPr>
          </w:p>
        </w:tc>
        <w:tc>
          <w:tcPr>
            <w:tcW w:w="1519" w:type="dxa"/>
            <w:vMerge w:val="continue"/>
            <w:tcBorders>
              <w:top w:val="nil"/>
            </w:tcBorders>
            <w:vAlign w:val="top"/>
          </w:tcPr>
          <w:p w14:paraId="4B6541D0">
            <w:pPr>
              <w:rPr>
                <w:rFonts w:ascii="Arial"/>
                <w:sz w:val="21"/>
              </w:rPr>
            </w:pPr>
          </w:p>
        </w:tc>
        <w:tc>
          <w:tcPr>
            <w:tcW w:w="3597" w:type="dxa"/>
            <w:vAlign w:val="top"/>
          </w:tcPr>
          <w:p w14:paraId="6C2C3B5F">
            <w:pPr>
              <w:rPr>
                <w:rFonts w:ascii="Arial"/>
                <w:sz w:val="21"/>
              </w:rPr>
            </w:pPr>
          </w:p>
        </w:tc>
        <w:tc>
          <w:tcPr>
            <w:tcW w:w="719" w:type="dxa"/>
            <w:vMerge w:val="continue"/>
            <w:tcBorders>
              <w:top w:val="nil"/>
            </w:tcBorders>
            <w:vAlign w:val="top"/>
          </w:tcPr>
          <w:p w14:paraId="45B6525C">
            <w:pPr>
              <w:rPr>
                <w:rFonts w:ascii="Arial"/>
                <w:sz w:val="21"/>
              </w:rPr>
            </w:pPr>
          </w:p>
        </w:tc>
        <w:tc>
          <w:tcPr>
            <w:tcW w:w="800" w:type="dxa"/>
            <w:vMerge w:val="continue"/>
            <w:tcBorders>
              <w:top w:val="nil"/>
            </w:tcBorders>
            <w:vAlign w:val="top"/>
          </w:tcPr>
          <w:p w14:paraId="099DE12D">
            <w:pPr>
              <w:rPr>
                <w:rFonts w:ascii="Arial"/>
                <w:sz w:val="21"/>
              </w:rPr>
            </w:pPr>
          </w:p>
        </w:tc>
        <w:tc>
          <w:tcPr>
            <w:tcW w:w="769" w:type="dxa"/>
            <w:vMerge w:val="continue"/>
            <w:tcBorders>
              <w:top w:val="nil"/>
            </w:tcBorders>
            <w:vAlign w:val="top"/>
          </w:tcPr>
          <w:p w14:paraId="04A6B476">
            <w:pPr>
              <w:rPr>
                <w:rFonts w:ascii="Arial"/>
                <w:sz w:val="21"/>
              </w:rPr>
            </w:pPr>
          </w:p>
        </w:tc>
        <w:tc>
          <w:tcPr>
            <w:tcW w:w="829" w:type="dxa"/>
            <w:vMerge w:val="continue"/>
            <w:tcBorders>
              <w:top w:val="nil"/>
            </w:tcBorders>
            <w:vAlign w:val="top"/>
          </w:tcPr>
          <w:p w14:paraId="3144C77C">
            <w:pPr>
              <w:rPr>
                <w:rFonts w:ascii="Arial"/>
                <w:sz w:val="21"/>
              </w:rPr>
            </w:pPr>
          </w:p>
        </w:tc>
        <w:tc>
          <w:tcPr>
            <w:tcW w:w="800" w:type="dxa"/>
            <w:vMerge w:val="continue"/>
            <w:tcBorders>
              <w:top w:val="nil"/>
            </w:tcBorders>
            <w:vAlign w:val="top"/>
          </w:tcPr>
          <w:p w14:paraId="538845DA">
            <w:pPr>
              <w:rPr>
                <w:rFonts w:ascii="Arial"/>
                <w:sz w:val="21"/>
              </w:rPr>
            </w:pPr>
          </w:p>
        </w:tc>
        <w:tc>
          <w:tcPr>
            <w:tcW w:w="769" w:type="dxa"/>
            <w:vMerge w:val="continue"/>
            <w:tcBorders>
              <w:top w:val="nil"/>
            </w:tcBorders>
            <w:vAlign w:val="top"/>
          </w:tcPr>
          <w:p w14:paraId="37F90432">
            <w:pPr>
              <w:rPr>
                <w:rFonts w:ascii="Arial"/>
                <w:sz w:val="21"/>
              </w:rPr>
            </w:pPr>
          </w:p>
        </w:tc>
        <w:tc>
          <w:tcPr>
            <w:tcW w:w="800" w:type="dxa"/>
            <w:vMerge w:val="continue"/>
            <w:tcBorders>
              <w:top w:val="nil"/>
            </w:tcBorders>
            <w:vAlign w:val="top"/>
          </w:tcPr>
          <w:p w14:paraId="68F2768C">
            <w:pPr>
              <w:rPr>
                <w:rFonts w:ascii="Arial"/>
                <w:sz w:val="21"/>
              </w:rPr>
            </w:pPr>
          </w:p>
        </w:tc>
        <w:tc>
          <w:tcPr>
            <w:tcW w:w="799" w:type="dxa"/>
            <w:vMerge w:val="continue"/>
            <w:tcBorders>
              <w:top w:val="nil"/>
            </w:tcBorders>
            <w:vAlign w:val="top"/>
          </w:tcPr>
          <w:p w14:paraId="5BE7715B">
            <w:pPr>
              <w:rPr>
                <w:rFonts w:ascii="Arial"/>
                <w:sz w:val="21"/>
              </w:rPr>
            </w:pPr>
          </w:p>
        </w:tc>
        <w:tc>
          <w:tcPr>
            <w:tcW w:w="800" w:type="dxa"/>
            <w:vMerge w:val="continue"/>
            <w:tcBorders>
              <w:top w:val="nil"/>
            </w:tcBorders>
            <w:vAlign w:val="top"/>
          </w:tcPr>
          <w:p w14:paraId="79356EFC">
            <w:pPr>
              <w:rPr>
                <w:rFonts w:ascii="Arial"/>
                <w:sz w:val="21"/>
              </w:rPr>
            </w:pPr>
          </w:p>
        </w:tc>
        <w:tc>
          <w:tcPr>
            <w:tcW w:w="804" w:type="dxa"/>
            <w:vMerge w:val="continue"/>
            <w:tcBorders>
              <w:top w:val="nil"/>
            </w:tcBorders>
            <w:vAlign w:val="top"/>
          </w:tcPr>
          <w:p w14:paraId="61B6F5AC">
            <w:pPr>
              <w:rPr>
                <w:rFonts w:ascii="Arial"/>
                <w:sz w:val="21"/>
              </w:rPr>
            </w:pPr>
          </w:p>
        </w:tc>
      </w:tr>
      <w:tr w14:paraId="10CC9D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34" w:type="dxa"/>
            <w:vMerge w:val="restart"/>
            <w:tcBorders>
              <w:bottom w:val="nil"/>
            </w:tcBorders>
            <w:vAlign w:val="top"/>
          </w:tcPr>
          <w:p w14:paraId="218AC6E8">
            <w:pPr>
              <w:spacing w:line="266" w:lineRule="auto"/>
              <w:rPr>
                <w:rFonts w:ascii="Arial"/>
                <w:sz w:val="21"/>
              </w:rPr>
            </w:pPr>
          </w:p>
          <w:p w14:paraId="0E6FA61D">
            <w:pPr>
              <w:spacing w:line="266" w:lineRule="auto"/>
              <w:rPr>
                <w:rFonts w:ascii="Arial"/>
                <w:sz w:val="21"/>
              </w:rPr>
            </w:pPr>
          </w:p>
          <w:p w14:paraId="252F6BF6">
            <w:pPr>
              <w:pStyle w:val="6"/>
              <w:spacing w:before="68" w:line="241" w:lineRule="auto"/>
              <w:ind w:left="305"/>
            </w:pPr>
            <w:r>
              <w:t>2</w:t>
            </w:r>
          </w:p>
        </w:tc>
        <w:tc>
          <w:tcPr>
            <w:tcW w:w="1519" w:type="dxa"/>
            <w:vMerge w:val="restart"/>
            <w:tcBorders>
              <w:bottom w:val="nil"/>
            </w:tcBorders>
            <w:vAlign w:val="top"/>
          </w:tcPr>
          <w:p w14:paraId="4E40E356">
            <w:pPr>
              <w:spacing w:line="255" w:lineRule="auto"/>
              <w:rPr>
                <w:rFonts w:ascii="Arial"/>
                <w:sz w:val="21"/>
              </w:rPr>
            </w:pPr>
          </w:p>
          <w:p w14:paraId="5F51F2A3">
            <w:pPr>
              <w:spacing w:line="256" w:lineRule="auto"/>
              <w:rPr>
                <w:rFonts w:ascii="Arial"/>
                <w:sz w:val="21"/>
              </w:rPr>
            </w:pPr>
          </w:p>
          <w:p w14:paraId="2946FB7E">
            <w:pPr>
              <w:pStyle w:val="6"/>
              <w:spacing w:before="68" w:line="219" w:lineRule="auto"/>
              <w:ind w:left="331"/>
            </w:pPr>
            <w:r>
              <w:rPr>
                <w:spacing w:val="-2"/>
              </w:rPr>
              <w:t>施工部署</w:t>
            </w:r>
          </w:p>
        </w:tc>
        <w:tc>
          <w:tcPr>
            <w:tcW w:w="3597" w:type="dxa"/>
            <w:vAlign w:val="top"/>
          </w:tcPr>
          <w:p w14:paraId="569CDC6D">
            <w:pPr>
              <w:rPr>
                <w:rFonts w:ascii="Arial"/>
                <w:sz w:val="21"/>
              </w:rPr>
            </w:pPr>
          </w:p>
        </w:tc>
        <w:tc>
          <w:tcPr>
            <w:tcW w:w="719" w:type="dxa"/>
            <w:vMerge w:val="restart"/>
            <w:tcBorders>
              <w:bottom w:val="nil"/>
            </w:tcBorders>
            <w:vAlign w:val="top"/>
          </w:tcPr>
          <w:p w14:paraId="51034D14">
            <w:pPr>
              <w:spacing w:line="255" w:lineRule="auto"/>
              <w:rPr>
                <w:rFonts w:ascii="Arial"/>
                <w:sz w:val="21"/>
              </w:rPr>
            </w:pPr>
          </w:p>
          <w:p w14:paraId="398FBD65">
            <w:pPr>
              <w:spacing w:line="256" w:lineRule="auto"/>
              <w:rPr>
                <w:rFonts w:ascii="Arial"/>
                <w:sz w:val="21"/>
              </w:rPr>
            </w:pPr>
          </w:p>
          <w:p w14:paraId="6E1680C4">
            <w:pPr>
              <w:pStyle w:val="6"/>
              <w:spacing w:before="69" w:line="220" w:lineRule="auto"/>
              <w:ind w:left="244"/>
            </w:pPr>
            <w:r>
              <w:t>分</w:t>
            </w:r>
          </w:p>
        </w:tc>
        <w:tc>
          <w:tcPr>
            <w:tcW w:w="800" w:type="dxa"/>
            <w:vMerge w:val="restart"/>
            <w:tcBorders>
              <w:bottom w:val="nil"/>
            </w:tcBorders>
            <w:vAlign w:val="top"/>
          </w:tcPr>
          <w:p w14:paraId="31666B59">
            <w:pPr>
              <w:rPr>
                <w:rFonts w:ascii="Arial"/>
                <w:sz w:val="21"/>
              </w:rPr>
            </w:pPr>
          </w:p>
        </w:tc>
        <w:tc>
          <w:tcPr>
            <w:tcW w:w="769" w:type="dxa"/>
            <w:vMerge w:val="restart"/>
            <w:tcBorders>
              <w:bottom w:val="nil"/>
            </w:tcBorders>
            <w:vAlign w:val="top"/>
          </w:tcPr>
          <w:p w14:paraId="35B12378">
            <w:pPr>
              <w:rPr>
                <w:rFonts w:ascii="Arial"/>
                <w:sz w:val="21"/>
              </w:rPr>
            </w:pPr>
          </w:p>
        </w:tc>
        <w:tc>
          <w:tcPr>
            <w:tcW w:w="829" w:type="dxa"/>
            <w:vMerge w:val="restart"/>
            <w:tcBorders>
              <w:bottom w:val="nil"/>
            </w:tcBorders>
            <w:vAlign w:val="top"/>
          </w:tcPr>
          <w:p w14:paraId="036CA155">
            <w:pPr>
              <w:rPr>
                <w:rFonts w:ascii="Arial"/>
                <w:sz w:val="21"/>
              </w:rPr>
            </w:pPr>
          </w:p>
        </w:tc>
        <w:tc>
          <w:tcPr>
            <w:tcW w:w="800" w:type="dxa"/>
            <w:vMerge w:val="restart"/>
            <w:tcBorders>
              <w:bottom w:val="nil"/>
            </w:tcBorders>
            <w:vAlign w:val="top"/>
          </w:tcPr>
          <w:p w14:paraId="2501CA1C">
            <w:pPr>
              <w:rPr>
                <w:rFonts w:ascii="Arial"/>
                <w:sz w:val="21"/>
              </w:rPr>
            </w:pPr>
          </w:p>
        </w:tc>
        <w:tc>
          <w:tcPr>
            <w:tcW w:w="769" w:type="dxa"/>
            <w:vMerge w:val="restart"/>
            <w:tcBorders>
              <w:bottom w:val="nil"/>
            </w:tcBorders>
            <w:vAlign w:val="top"/>
          </w:tcPr>
          <w:p w14:paraId="1573EC9F">
            <w:pPr>
              <w:rPr>
                <w:rFonts w:ascii="Arial"/>
                <w:sz w:val="21"/>
              </w:rPr>
            </w:pPr>
          </w:p>
        </w:tc>
        <w:tc>
          <w:tcPr>
            <w:tcW w:w="800" w:type="dxa"/>
            <w:vMerge w:val="restart"/>
            <w:tcBorders>
              <w:bottom w:val="nil"/>
            </w:tcBorders>
            <w:vAlign w:val="top"/>
          </w:tcPr>
          <w:p w14:paraId="76FB999E">
            <w:pPr>
              <w:rPr>
                <w:rFonts w:ascii="Arial"/>
                <w:sz w:val="21"/>
              </w:rPr>
            </w:pPr>
          </w:p>
        </w:tc>
        <w:tc>
          <w:tcPr>
            <w:tcW w:w="799" w:type="dxa"/>
            <w:vMerge w:val="restart"/>
            <w:tcBorders>
              <w:bottom w:val="nil"/>
            </w:tcBorders>
            <w:vAlign w:val="top"/>
          </w:tcPr>
          <w:p w14:paraId="0D1CBCE5">
            <w:pPr>
              <w:rPr>
                <w:rFonts w:ascii="Arial"/>
                <w:sz w:val="21"/>
              </w:rPr>
            </w:pPr>
          </w:p>
        </w:tc>
        <w:tc>
          <w:tcPr>
            <w:tcW w:w="800" w:type="dxa"/>
            <w:vMerge w:val="restart"/>
            <w:tcBorders>
              <w:bottom w:val="nil"/>
            </w:tcBorders>
            <w:vAlign w:val="top"/>
          </w:tcPr>
          <w:p w14:paraId="12E15E22">
            <w:pPr>
              <w:rPr>
                <w:rFonts w:ascii="Arial"/>
                <w:sz w:val="21"/>
              </w:rPr>
            </w:pPr>
          </w:p>
        </w:tc>
        <w:tc>
          <w:tcPr>
            <w:tcW w:w="804" w:type="dxa"/>
            <w:vMerge w:val="restart"/>
            <w:tcBorders>
              <w:bottom w:val="nil"/>
            </w:tcBorders>
            <w:vAlign w:val="top"/>
          </w:tcPr>
          <w:p w14:paraId="3A251170">
            <w:pPr>
              <w:rPr>
                <w:rFonts w:ascii="Arial"/>
                <w:sz w:val="21"/>
              </w:rPr>
            </w:pPr>
          </w:p>
        </w:tc>
      </w:tr>
      <w:tr w14:paraId="139C8B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734" w:type="dxa"/>
            <w:vMerge w:val="continue"/>
            <w:tcBorders>
              <w:top w:val="nil"/>
              <w:bottom w:val="nil"/>
            </w:tcBorders>
            <w:vAlign w:val="top"/>
          </w:tcPr>
          <w:p w14:paraId="776EAC7B">
            <w:pPr>
              <w:rPr>
                <w:rFonts w:ascii="Arial"/>
                <w:sz w:val="21"/>
              </w:rPr>
            </w:pPr>
          </w:p>
        </w:tc>
        <w:tc>
          <w:tcPr>
            <w:tcW w:w="1519" w:type="dxa"/>
            <w:vMerge w:val="continue"/>
            <w:tcBorders>
              <w:top w:val="nil"/>
              <w:bottom w:val="nil"/>
            </w:tcBorders>
            <w:vAlign w:val="top"/>
          </w:tcPr>
          <w:p w14:paraId="2A496225">
            <w:pPr>
              <w:rPr>
                <w:rFonts w:ascii="Arial"/>
                <w:sz w:val="21"/>
              </w:rPr>
            </w:pPr>
          </w:p>
        </w:tc>
        <w:tc>
          <w:tcPr>
            <w:tcW w:w="3597" w:type="dxa"/>
            <w:vAlign w:val="top"/>
          </w:tcPr>
          <w:p w14:paraId="7B0705D5">
            <w:pPr>
              <w:rPr>
                <w:rFonts w:ascii="Arial"/>
                <w:sz w:val="21"/>
              </w:rPr>
            </w:pPr>
          </w:p>
        </w:tc>
        <w:tc>
          <w:tcPr>
            <w:tcW w:w="719" w:type="dxa"/>
            <w:vMerge w:val="continue"/>
            <w:tcBorders>
              <w:top w:val="nil"/>
              <w:bottom w:val="nil"/>
            </w:tcBorders>
            <w:vAlign w:val="top"/>
          </w:tcPr>
          <w:p w14:paraId="20454132">
            <w:pPr>
              <w:rPr>
                <w:rFonts w:ascii="Arial"/>
                <w:sz w:val="21"/>
              </w:rPr>
            </w:pPr>
          </w:p>
        </w:tc>
        <w:tc>
          <w:tcPr>
            <w:tcW w:w="800" w:type="dxa"/>
            <w:vMerge w:val="continue"/>
            <w:tcBorders>
              <w:top w:val="nil"/>
              <w:bottom w:val="nil"/>
            </w:tcBorders>
            <w:vAlign w:val="top"/>
          </w:tcPr>
          <w:p w14:paraId="58BDE864">
            <w:pPr>
              <w:rPr>
                <w:rFonts w:ascii="Arial"/>
                <w:sz w:val="21"/>
              </w:rPr>
            </w:pPr>
          </w:p>
        </w:tc>
        <w:tc>
          <w:tcPr>
            <w:tcW w:w="769" w:type="dxa"/>
            <w:vMerge w:val="continue"/>
            <w:tcBorders>
              <w:top w:val="nil"/>
              <w:bottom w:val="nil"/>
            </w:tcBorders>
            <w:vAlign w:val="top"/>
          </w:tcPr>
          <w:p w14:paraId="1FA10878">
            <w:pPr>
              <w:rPr>
                <w:rFonts w:ascii="Arial"/>
                <w:sz w:val="21"/>
              </w:rPr>
            </w:pPr>
          </w:p>
        </w:tc>
        <w:tc>
          <w:tcPr>
            <w:tcW w:w="829" w:type="dxa"/>
            <w:vMerge w:val="continue"/>
            <w:tcBorders>
              <w:top w:val="nil"/>
              <w:bottom w:val="nil"/>
            </w:tcBorders>
            <w:vAlign w:val="top"/>
          </w:tcPr>
          <w:p w14:paraId="4576F5F3">
            <w:pPr>
              <w:rPr>
                <w:rFonts w:ascii="Arial"/>
                <w:sz w:val="21"/>
              </w:rPr>
            </w:pPr>
          </w:p>
        </w:tc>
        <w:tc>
          <w:tcPr>
            <w:tcW w:w="800" w:type="dxa"/>
            <w:vMerge w:val="continue"/>
            <w:tcBorders>
              <w:top w:val="nil"/>
              <w:bottom w:val="nil"/>
            </w:tcBorders>
            <w:vAlign w:val="top"/>
          </w:tcPr>
          <w:p w14:paraId="19905C1A">
            <w:pPr>
              <w:rPr>
                <w:rFonts w:ascii="Arial"/>
                <w:sz w:val="21"/>
              </w:rPr>
            </w:pPr>
          </w:p>
        </w:tc>
        <w:tc>
          <w:tcPr>
            <w:tcW w:w="769" w:type="dxa"/>
            <w:vMerge w:val="continue"/>
            <w:tcBorders>
              <w:top w:val="nil"/>
              <w:bottom w:val="nil"/>
            </w:tcBorders>
            <w:vAlign w:val="top"/>
          </w:tcPr>
          <w:p w14:paraId="6E10A10E">
            <w:pPr>
              <w:rPr>
                <w:rFonts w:ascii="Arial"/>
                <w:sz w:val="21"/>
              </w:rPr>
            </w:pPr>
          </w:p>
        </w:tc>
        <w:tc>
          <w:tcPr>
            <w:tcW w:w="800" w:type="dxa"/>
            <w:vMerge w:val="continue"/>
            <w:tcBorders>
              <w:top w:val="nil"/>
              <w:bottom w:val="nil"/>
            </w:tcBorders>
            <w:vAlign w:val="top"/>
          </w:tcPr>
          <w:p w14:paraId="5BD4EEB6">
            <w:pPr>
              <w:rPr>
                <w:rFonts w:ascii="Arial"/>
                <w:sz w:val="21"/>
              </w:rPr>
            </w:pPr>
          </w:p>
        </w:tc>
        <w:tc>
          <w:tcPr>
            <w:tcW w:w="799" w:type="dxa"/>
            <w:vMerge w:val="continue"/>
            <w:tcBorders>
              <w:top w:val="nil"/>
              <w:bottom w:val="nil"/>
            </w:tcBorders>
            <w:vAlign w:val="top"/>
          </w:tcPr>
          <w:p w14:paraId="78963445">
            <w:pPr>
              <w:rPr>
                <w:rFonts w:ascii="Arial"/>
                <w:sz w:val="21"/>
              </w:rPr>
            </w:pPr>
          </w:p>
        </w:tc>
        <w:tc>
          <w:tcPr>
            <w:tcW w:w="800" w:type="dxa"/>
            <w:vMerge w:val="continue"/>
            <w:tcBorders>
              <w:top w:val="nil"/>
              <w:bottom w:val="nil"/>
            </w:tcBorders>
            <w:vAlign w:val="top"/>
          </w:tcPr>
          <w:p w14:paraId="4B0135C4">
            <w:pPr>
              <w:rPr>
                <w:rFonts w:ascii="Arial"/>
                <w:sz w:val="21"/>
              </w:rPr>
            </w:pPr>
          </w:p>
        </w:tc>
        <w:tc>
          <w:tcPr>
            <w:tcW w:w="804" w:type="dxa"/>
            <w:vMerge w:val="continue"/>
            <w:tcBorders>
              <w:top w:val="nil"/>
              <w:bottom w:val="nil"/>
            </w:tcBorders>
            <w:vAlign w:val="top"/>
          </w:tcPr>
          <w:p w14:paraId="1EA23DBE">
            <w:pPr>
              <w:rPr>
                <w:rFonts w:ascii="Arial"/>
                <w:sz w:val="21"/>
              </w:rPr>
            </w:pPr>
          </w:p>
        </w:tc>
      </w:tr>
      <w:tr w14:paraId="78DC32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734" w:type="dxa"/>
            <w:vMerge w:val="continue"/>
            <w:tcBorders>
              <w:top w:val="nil"/>
              <w:bottom w:val="nil"/>
            </w:tcBorders>
            <w:vAlign w:val="top"/>
          </w:tcPr>
          <w:p w14:paraId="7E0DD113">
            <w:pPr>
              <w:rPr>
                <w:rFonts w:ascii="Arial"/>
                <w:sz w:val="21"/>
              </w:rPr>
            </w:pPr>
          </w:p>
        </w:tc>
        <w:tc>
          <w:tcPr>
            <w:tcW w:w="1519" w:type="dxa"/>
            <w:vMerge w:val="continue"/>
            <w:tcBorders>
              <w:top w:val="nil"/>
              <w:bottom w:val="nil"/>
            </w:tcBorders>
            <w:vAlign w:val="top"/>
          </w:tcPr>
          <w:p w14:paraId="68652FD0">
            <w:pPr>
              <w:rPr>
                <w:rFonts w:ascii="Arial"/>
                <w:sz w:val="21"/>
              </w:rPr>
            </w:pPr>
          </w:p>
        </w:tc>
        <w:tc>
          <w:tcPr>
            <w:tcW w:w="3597" w:type="dxa"/>
            <w:vAlign w:val="top"/>
          </w:tcPr>
          <w:p w14:paraId="723FC5AF">
            <w:pPr>
              <w:rPr>
                <w:rFonts w:ascii="Arial"/>
                <w:sz w:val="21"/>
              </w:rPr>
            </w:pPr>
          </w:p>
        </w:tc>
        <w:tc>
          <w:tcPr>
            <w:tcW w:w="719" w:type="dxa"/>
            <w:vMerge w:val="continue"/>
            <w:tcBorders>
              <w:top w:val="nil"/>
              <w:bottom w:val="nil"/>
            </w:tcBorders>
            <w:vAlign w:val="top"/>
          </w:tcPr>
          <w:p w14:paraId="1D3EAD7D">
            <w:pPr>
              <w:rPr>
                <w:rFonts w:ascii="Arial"/>
                <w:sz w:val="21"/>
              </w:rPr>
            </w:pPr>
          </w:p>
        </w:tc>
        <w:tc>
          <w:tcPr>
            <w:tcW w:w="800" w:type="dxa"/>
            <w:vMerge w:val="continue"/>
            <w:tcBorders>
              <w:top w:val="nil"/>
              <w:bottom w:val="nil"/>
            </w:tcBorders>
            <w:vAlign w:val="top"/>
          </w:tcPr>
          <w:p w14:paraId="604C3775">
            <w:pPr>
              <w:rPr>
                <w:rFonts w:ascii="Arial"/>
                <w:sz w:val="21"/>
              </w:rPr>
            </w:pPr>
          </w:p>
        </w:tc>
        <w:tc>
          <w:tcPr>
            <w:tcW w:w="769" w:type="dxa"/>
            <w:vMerge w:val="continue"/>
            <w:tcBorders>
              <w:top w:val="nil"/>
              <w:bottom w:val="nil"/>
            </w:tcBorders>
            <w:vAlign w:val="top"/>
          </w:tcPr>
          <w:p w14:paraId="337FD8A9">
            <w:pPr>
              <w:rPr>
                <w:rFonts w:ascii="Arial"/>
                <w:sz w:val="21"/>
              </w:rPr>
            </w:pPr>
          </w:p>
        </w:tc>
        <w:tc>
          <w:tcPr>
            <w:tcW w:w="829" w:type="dxa"/>
            <w:vMerge w:val="continue"/>
            <w:tcBorders>
              <w:top w:val="nil"/>
              <w:bottom w:val="nil"/>
            </w:tcBorders>
            <w:vAlign w:val="top"/>
          </w:tcPr>
          <w:p w14:paraId="0945102F">
            <w:pPr>
              <w:rPr>
                <w:rFonts w:ascii="Arial"/>
                <w:sz w:val="21"/>
              </w:rPr>
            </w:pPr>
          </w:p>
        </w:tc>
        <w:tc>
          <w:tcPr>
            <w:tcW w:w="800" w:type="dxa"/>
            <w:vMerge w:val="continue"/>
            <w:tcBorders>
              <w:top w:val="nil"/>
              <w:bottom w:val="nil"/>
            </w:tcBorders>
            <w:vAlign w:val="top"/>
          </w:tcPr>
          <w:p w14:paraId="596D9C85">
            <w:pPr>
              <w:rPr>
                <w:rFonts w:ascii="Arial"/>
                <w:sz w:val="21"/>
              </w:rPr>
            </w:pPr>
          </w:p>
        </w:tc>
        <w:tc>
          <w:tcPr>
            <w:tcW w:w="769" w:type="dxa"/>
            <w:vMerge w:val="continue"/>
            <w:tcBorders>
              <w:top w:val="nil"/>
              <w:bottom w:val="nil"/>
            </w:tcBorders>
            <w:vAlign w:val="top"/>
          </w:tcPr>
          <w:p w14:paraId="6267352B">
            <w:pPr>
              <w:rPr>
                <w:rFonts w:ascii="Arial"/>
                <w:sz w:val="21"/>
              </w:rPr>
            </w:pPr>
          </w:p>
        </w:tc>
        <w:tc>
          <w:tcPr>
            <w:tcW w:w="800" w:type="dxa"/>
            <w:vMerge w:val="continue"/>
            <w:tcBorders>
              <w:top w:val="nil"/>
              <w:bottom w:val="nil"/>
            </w:tcBorders>
            <w:vAlign w:val="top"/>
          </w:tcPr>
          <w:p w14:paraId="78E623A4">
            <w:pPr>
              <w:rPr>
                <w:rFonts w:ascii="Arial"/>
                <w:sz w:val="21"/>
              </w:rPr>
            </w:pPr>
          </w:p>
        </w:tc>
        <w:tc>
          <w:tcPr>
            <w:tcW w:w="799" w:type="dxa"/>
            <w:vMerge w:val="continue"/>
            <w:tcBorders>
              <w:top w:val="nil"/>
              <w:bottom w:val="nil"/>
            </w:tcBorders>
            <w:vAlign w:val="top"/>
          </w:tcPr>
          <w:p w14:paraId="289C46F8">
            <w:pPr>
              <w:rPr>
                <w:rFonts w:ascii="Arial"/>
                <w:sz w:val="21"/>
              </w:rPr>
            </w:pPr>
          </w:p>
        </w:tc>
        <w:tc>
          <w:tcPr>
            <w:tcW w:w="800" w:type="dxa"/>
            <w:vMerge w:val="continue"/>
            <w:tcBorders>
              <w:top w:val="nil"/>
              <w:bottom w:val="nil"/>
            </w:tcBorders>
            <w:vAlign w:val="top"/>
          </w:tcPr>
          <w:p w14:paraId="4D983D7E">
            <w:pPr>
              <w:rPr>
                <w:rFonts w:ascii="Arial"/>
                <w:sz w:val="21"/>
              </w:rPr>
            </w:pPr>
          </w:p>
        </w:tc>
        <w:tc>
          <w:tcPr>
            <w:tcW w:w="804" w:type="dxa"/>
            <w:vMerge w:val="continue"/>
            <w:tcBorders>
              <w:top w:val="nil"/>
              <w:bottom w:val="nil"/>
            </w:tcBorders>
            <w:vAlign w:val="top"/>
          </w:tcPr>
          <w:p w14:paraId="4040026C">
            <w:pPr>
              <w:rPr>
                <w:rFonts w:ascii="Arial"/>
                <w:sz w:val="21"/>
              </w:rPr>
            </w:pPr>
          </w:p>
        </w:tc>
      </w:tr>
      <w:tr w14:paraId="6DD6EE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4" w:type="dxa"/>
            <w:vMerge w:val="continue"/>
            <w:tcBorders>
              <w:top w:val="nil"/>
            </w:tcBorders>
            <w:vAlign w:val="top"/>
          </w:tcPr>
          <w:p w14:paraId="546F4F9D">
            <w:pPr>
              <w:rPr>
                <w:rFonts w:ascii="Arial"/>
                <w:sz w:val="21"/>
              </w:rPr>
            </w:pPr>
          </w:p>
        </w:tc>
        <w:tc>
          <w:tcPr>
            <w:tcW w:w="1519" w:type="dxa"/>
            <w:vMerge w:val="continue"/>
            <w:tcBorders>
              <w:top w:val="nil"/>
            </w:tcBorders>
            <w:vAlign w:val="top"/>
          </w:tcPr>
          <w:p w14:paraId="06A892F9">
            <w:pPr>
              <w:rPr>
                <w:rFonts w:ascii="Arial"/>
                <w:sz w:val="21"/>
              </w:rPr>
            </w:pPr>
          </w:p>
        </w:tc>
        <w:tc>
          <w:tcPr>
            <w:tcW w:w="3597" w:type="dxa"/>
            <w:vAlign w:val="top"/>
          </w:tcPr>
          <w:p w14:paraId="43E46705">
            <w:pPr>
              <w:rPr>
                <w:rFonts w:ascii="Arial"/>
                <w:sz w:val="21"/>
              </w:rPr>
            </w:pPr>
          </w:p>
        </w:tc>
        <w:tc>
          <w:tcPr>
            <w:tcW w:w="719" w:type="dxa"/>
            <w:vMerge w:val="continue"/>
            <w:tcBorders>
              <w:top w:val="nil"/>
            </w:tcBorders>
            <w:vAlign w:val="top"/>
          </w:tcPr>
          <w:p w14:paraId="6CBD1B6E">
            <w:pPr>
              <w:rPr>
                <w:rFonts w:ascii="Arial"/>
                <w:sz w:val="21"/>
              </w:rPr>
            </w:pPr>
          </w:p>
        </w:tc>
        <w:tc>
          <w:tcPr>
            <w:tcW w:w="800" w:type="dxa"/>
            <w:vMerge w:val="continue"/>
            <w:tcBorders>
              <w:top w:val="nil"/>
            </w:tcBorders>
            <w:vAlign w:val="top"/>
          </w:tcPr>
          <w:p w14:paraId="2EBE442F">
            <w:pPr>
              <w:rPr>
                <w:rFonts w:ascii="Arial"/>
                <w:sz w:val="21"/>
              </w:rPr>
            </w:pPr>
          </w:p>
        </w:tc>
        <w:tc>
          <w:tcPr>
            <w:tcW w:w="769" w:type="dxa"/>
            <w:vMerge w:val="continue"/>
            <w:tcBorders>
              <w:top w:val="nil"/>
            </w:tcBorders>
            <w:vAlign w:val="top"/>
          </w:tcPr>
          <w:p w14:paraId="5FDB550D">
            <w:pPr>
              <w:rPr>
                <w:rFonts w:ascii="Arial"/>
                <w:sz w:val="21"/>
              </w:rPr>
            </w:pPr>
          </w:p>
        </w:tc>
        <w:tc>
          <w:tcPr>
            <w:tcW w:w="829" w:type="dxa"/>
            <w:vMerge w:val="continue"/>
            <w:tcBorders>
              <w:top w:val="nil"/>
            </w:tcBorders>
            <w:vAlign w:val="top"/>
          </w:tcPr>
          <w:p w14:paraId="67F5B52D">
            <w:pPr>
              <w:rPr>
                <w:rFonts w:ascii="Arial"/>
                <w:sz w:val="21"/>
              </w:rPr>
            </w:pPr>
          </w:p>
        </w:tc>
        <w:tc>
          <w:tcPr>
            <w:tcW w:w="800" w:type="dxa"/>
            <w:vMerge w:val="continue"/>
            <w:tcBorders>
              <w:top w:val="nil"/>
            </w:tcBorders>
            <w:vAlign w:val="top"/>
          </w:tcPr>
          <w:p w14:paraId="5AF66992">
            <w:pPr>
              <w:rPr>
                <w:rFonts w:ascii="Arial"/>
                <w:sz w:val="21"/>
              </w:rPr>
            </w:pPr>
          </w:p>
        </w:tc>
        <w:tc>
          <w:tcPr>
            <w:tcW w:w="769" w:type="dxa"/>
            <w:vMerge w:val="continue"/>
            <w:tcBorders>
              <w:top w:val="nil"/>
            </w:tcBorders>
            <w:vAlign w:val="top"/>
          </w:tcPr>
          <w:p w14:paraId="7F277171">
            <w:pPr>
              <w:rPr>
                <w:rFonts w:ascii="Arial"/>
                <w:sz w:val="21"/>
              </w:rPr>
            </w:pPr>
          </w:p>
        </w:tc>
        <w:tc>
          <w:tcPr>
            <w:tcW w:w="800" w:type="dxa"/>
            <w:vMerge w:val="continue"/>
            <w:tcBorders>
              <w:top w:val="nil"/>
            </w:tcBorders>
            <w:vAlign w:val="top"/>
          </w:tcPr>
          <w:p w14:paraId="49963847">
            <w:pPr>
              <w:rPr>
                <w:rFonts w:ascii="Arial"/>
                <w:sz w:val="21"/>
              </w:rPr>
            </w:pPr>
          </w:p>
        </w:tc>
        <w:tc>
          <w:tcPr>
            <w:tcW w:w="799" w:type="dxa"/>
            <w:vMerge w:val="continue"/>
            <w:tcBorders>
              <w:top w:val="nil"/>
            </w:tcBorders>
            <w:vAlign w:val="top"/>
          </w:tcPr>
          <w:p w14:paraId="2A41419E">
            <w:pPr>
              <w:rPr>
                <w:rFonts w:ascii="Arial"/>
                <w:sz w:val="21"/>
              </w:rPr>
            </w:pPr>
          </w:p>
        </w:tc>
        <w:tc>
          <w:tcPr>
            <w:tcW w:w="800" w:type="dxa"/>
            <w:vMerge w:val="continue"/>
            <w:tcBorders>
              <w:top w:val="nil"/>
            </w:tcBorders>
            <w:vAlign w:val="top"/>
          </w:tcPr>
          <w:p w14:paraId="50C34BC6">
            <w:pPr>
              <w:rPr>
                <w:rFonts w:ascii="Arial"/>
                <w:sz w:val="21"/>
              </w:rPr>
            </w:pPr>
          </w:p>
        </w:tc>
        <w:tc>
          <w:tcPr>
            <w:tcW w:w="804" w:type="dxa"/>
            <w:vMerge w:val="continue"/>
            <w:tcBorders>
              <w:top w:val="nil"/>
            </w:tcBorders>
            <w:vAlign w:val="top"/>
          </w:tcPr>
          <w:p w14:paraId="4FCFCA86">
            <w:pPr>
              <w:rPr>
                <w:rFonts w:ascii="Arial"/>
                <w:sz w:val="21"/>
              </w:rPr>
            </w:pPr>
          </w:p>
        </w:tc>
      </w:tr>
      <w:tr w14:paraId="34A278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734" w:type="dxa"/>
            <w:vMerge w:val="restart"/>
            <w:tcBorders>
              <w:bottom w:val="nil"/>
            </w:tcBorders>
            <w:vAlign w:val="top"/>
          </w:tcPr>
          <w:p w14:paraId="6C6F18F0">
            <w:pPr>
              <w:spacing w:line="261" w:lineRule="auto"/>
              <w:rPr>
                <w:rFonts w:ascii="Arial"/>
                <w:sz w:val="21"/>
              </w:rPr>
            </w:pPr>
          </w:p>
          <w:p w14:paraId="4D9EDB5E">
            <w:pPr>
              <w:spacing w:line="261" w:lineRule="auto"/>
              <w:rPr>
                <w:rFonts w:ascii="Arial"/>
                <w:sz w:val="21"/>
              </w:rPr>
            </w:pPr>
          </w:p>
          <w:p w14:paraId="41BDAC31">
            <w:pPr>
              <w:pStyle w:val="6"/>
              <w:spacing w:before="68"/>
              <w:ind w:left="305"/>
            </w:pPr>
            <w:r>
              <w:t>3</w:t>
            </w:r>
          </w:p>
        </w:tc>
        <w:tc>
          <w:tcPr>
            <w:tcW w:w="1519" w:type="dxa"/>
            <w:vMerge w:val="restart"/>
            <w:tcBorders>
              <w:bottom w:val="nil"/>
            </w:tcBorders>
            <w:vAlign w:val="top"/>
          </w:tcPr>
          <w:p w14:paraId="19312EAF">
            <w:pPr>
              <w:spacing w:line="251" w:lineRule="auto"/>
              <w:rPr>
                <w:rFonts w:ascii="Arial"/>
                <w:sz w:val="21"/>
              </w:rPr>
            </w:pPr>
          </w:p>
          <w:p w14:paraId="48A31EFC">
            <w:pPr>
              <w:spacing w:line="251" w:lineRule="auto"/>
              <w:rPr>
                <w:rFonts w:ascii="Arial"/>
                <w:sz w:val="21"/>
              </w:rPr>
            </w:pPr>
          </w:p>
          <w:p w14:paraId="617C20B5">
            <w:pPr>
              <w:pStyle w:val="6"/>
              <w:spacing w:before="69" w:line="220" w:lineRule="auto"/>
              <w:ind w:left="121"/>
            </w:pPr>
            <w:r>
              <w:rPr>
                <w:spacing w:val="2"/>
              </w:rPr>
              <w:t>施工进度计划</w:t>
            </w:r>
          </w:p>
        </w:tc>
        <w:tc>
          <w:tcPr>
            <w:tcW w:w="3597" w:type="dxa"/>
            <w:vAlign w:val="top"/>
          </w:tcPr>
          <w:p w14:paraId="33BA4B8A">
            <w:pPr>
              <w:rPr>
                <w:rFonts w:ascii="Arial"/>
                <w:sz w:val="21"/>
              </w:rPr>
            </w:pPr>
          </w:p>
        </w:tc>
        <w:tc>
          <w:tcPr>
            <w:tcW w:w="719" w:type="dxa"/>
            <w:vMerge w:val="restart"/>
            <w:tcBorders>
              <w:bottom w:val="nil"/>
            </w:tcBorders>
            <w:vAlign w:val="top"/>
          </w:tcPr>
          <w:p w14:paraId="4E721542">
            <w:pPr>
              <w:spacing w:line="251" w:lineRule="auto"/>
              <w:rPr>
                <w:rFonts w:ascii="Arial"/>
                <w:sz w:val="21"/>
              </w:rPr>
            </w:pPr>
          </w:p>
          <w:p w14:paraId="6D4F1A43">
            <w:pPr>
              <w:spacing w:line="251" w:lineRule="auto"/>
              <w:rPr>
                <w:rFonts w:ascii="Arial"/>
                <w:sz w:val="21"/>
              </w:rPr>
            </w:pPr>
          </w:p>
          <w:p w14:paraId="230ED901">
            <w:pPr>
              <w:pStyle w:val="6"/>
              <w:spacing w:before="69" w:line="220" w:lineRule="auto"/>
              <w:ind w:left="244"/>
            </w:pPr>
            <w:r>
              <w:t>分</w:t>
            </w:r>
          </w:p>
        </w:tc>
        <w:tc>
          <w:tcPr>
            <w:tcW w:w="800" w:type="dxa"/>
            <w:vMerge w:val="restart"/>
            <w:tcBorders>
              <w:bottom w:val="nil"/>
            </w:tcBorders>
            <w:vAlign w:val="top"/>
          </w:tcPr>
          <w:p w14:paraId="62218A46">
            <w:pPr>
              <w:rPr>
                <w:rFonts w:ascii="Arial"/>
                <w:sz w:val="21"/>
              </w:rPr>
            </w:pPr>
          </w:p>
        </w:tc>
        <w:tc>
          <w:tcPr>
            <w:tcW w:w="769" w:type="dxa"/>
            <w:vMerge w:val="restart"/>
            <w:tcBorders>
              <w:bottom w:val="nil"/>
            </w:tcBorders>
            <w:vAlign w:val="top"/>
          </w:tcPr>
          <w:p w14:paraId="01D45F3E">
            <w:pPr>
              <w:rPr>
                <w:rFonts w:ascii="Arial"/>
                <w:sz w:val="21"/>
              </w:rPr>
            </w:pPr>
          </w:p>
        </w:tc>
        <w:tc>
          <w:tcPr>
            <w:tcW w:w="829" w:type="dxa"/>
            <w:vMerge w:val="restart"/>
            <w:tcBorders>
              <w:bottom w:val="nil"/>
            </w:tcBorders>
            <w:vAlign w:val="top"/>
          </w:tcPr>
          <w:p w14:paraId="56E6F305">
            <w:pPr>
              <w:rPr>
                <w:rFonts w:ascii="Arial"/>
                <w:sz w:val="21"/>
              </w:rPr>
            </w:pPr>
          </w:p>
        </w:tc>
        <w:tc>
          <w:tcPr>
            <w:tcW w:w="800" w:type="dxa"/>
            <w:vMerge w:val="restart"/>
            <w:tcBorders>
              <w:bottom w:val="nil"/>
            </w:tcBorders>
            <w:vAlign w:val="top"/>
          </w:tcPr>
          <w:p w14:paraId="51FFBD28">
            <w:pPr>
              <w:rPr>
                <w:rFonts w:ascii="Arial"/>
                <w:sz w:val="21"/>
              </w:rPr>
            </w:pPr>
          </w:p>
        </w:tc>
        <w:tc>
          <w:tcPr>
            <w:tcW w:w="769" w:type="dxa"/>
            <w:vMerge w:val="restart"/>
            <w:tcBorders>
              <w:bottom w:val="nil"/>
            </w:tcBorders>
            <w:vAlign w:val="top"/>
          </w:tcPr>
          <w:p w14:paraId="25DA5DBF">
            <w:pPr>
              <w:rPr>
                <w:rFonts w:ascii="Arial"/>
                <w:sz w:val="21"/>
              </w:rPr>
            </w:pPr>
          </w:p>
        </w:tc>
        <w:tc>
          <w:tcPr>
            <w:tcW w:w="800" w:type="dxa"/>
            <w:vMerge w:val="restart"/>
            <w:tcBorders>
              <w:bottom w:val="nil"/>
            </w:tcBorders>
            <w:vAlign w:val="top"/>
          </w:tcPr>
          <w:p w14:paraId="235E0306">
            <w:pPr>
              <w:rPr>
                <w:rFonts w:ascii="Arial"/>
                <w:sz w:val="21"/>
              </w:rPr>
            </w:pPr>
          </w:p>
        </w:tc>
        <w:tc>
          <w:tcPr>
            <w:tcW w:w="799" w:type="dxa"/>
            <w:vMerge w:val="restart"/>
            <w:tcBorders>
              <w:bottom w:val="nil"/>
            </w:tcBorders>
            <w:vAlign w:val="top"/>
          </w:tcPr>
          <w:p w14:paraId="5B229196">
            <w:pPr>
              <w:rPr>
                <w:rFonts w:ascii="Arial"/>
                <w:sz w:val="21"/>
              </w:rPr>
            </w:pPr>
          </w:p>
        </w:tc>
        <w:tc>
          <w:tcPr>
            <w:tcW w:w="800" w:type="dxa"/>
            <w:vMerge w:val="restart"/>
            <w:tcBorders>
              <w:bottom w:val="nil"/>
            </w:tcBorders>
            <w:vAlign w:val="top"/>
          </w:tcPr>
          <w:p w14:paraId="7C84080F">
            <w:pPr>
              <w:rPr>
                <w:rFonts w:ascii="Arial"/>
                <w:sz w:val="21"/>
              </w:rPr>
            </w:pPr>
          </w:p>
        </w:tc>
        <w:tc>
          <w:tcPr>
            <w:tcW w:w="804" w:type="dxa"/>
            <w:vMerge w:val="restart"/>
            <w:tcBorders>
              <w:bottom w:val="nil"/>
            </w:tcBorders>
            <w:vAlign w:val="top"/>
          </w:tcPr>
          <w:p w14:paraId="7AB7E23C">
            <w:pPr>
              <w:rPr>
                <w:rFonts w:ascii="Arial"/>
                <w:sz w:val="21"/>
              </w:rPr>
            </w:pPr>
          </w:p>
        </w:tc>
      </w:tr>
      <w:tr w14:paraId="42916B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734" w:type="dxa"/>
            <w:vMerge w:val="continue"/>
            <w:tcBorders>
              <w:top w:val="nil"/>
              <w:bottom w:val="nil"/>
            </w:tcBorders>
            <w:vAlign w:val="top"/>
          </w:tcPr>
          <w:p w14:paraId="6FCCFD70">
            <w:pPr>
              <w:rPr>
                <w:rFonts w:ascii="Arial"/>
                <w:sz w:val="21"/>
              </w:rPr>
            </w:pPr>
          </w:p>
        </w:tc>
        <w:tc>
          <w:tcPr>
            <w:tcW w:w="1519" w:type="dxa"/>
            <w:vMerge w:val="continue"/>
            <w:tcBorders>
              <w:top w:val="nil"/>
              <w:bottom w:val="nil"/>
            </w:tcBorders>
            <w:vAlign w:val="top"/>
          </w:tcPr>
          <w:p w14:paraId="2AAA5367">
            <w:pPr>
              <w:rPr>
                <w:rFonts w:ascii="Arial"/>
                <w:sz w:val="21"/>
              </w:rPr>
            </w:pPr>
          </w:p>
        </w:tc>
        <w:tc>
          <w:tcPr>
            <w:tcW w:w="3597" w:type="dxa"/>
            <w:vAlign w:val="top"/>
          </w:tcPr>
          <w:p w14:paraId="60AD82AD">
            <w:pPr>
              <w:rPr>
                <w:rFonts w:ascii="Arial"/>
                <w:sz w:val="21"/>
              </w:rPr>
            </w:pPr>
          </w:p>
        </w:tc>
        <w:tc>
          <w:tcPr>
            <w:tcW w:w="719" w:type="dxa"/>
            <w:vMerge w:val="continue"/>
            <w:tcBorders>
              <w:top w:val="nil"/>
              <w:bottom w:val="nil"/>
            </w:tcBorders>
            <w:vAlign w:val="top"/>
          </w:tcPr>
          <w:p w14:paraId="2B236392">
            <w:pPr>
              <w:rPr>
                <w:rFonts w:ascii="Arial"/>
                <w:sz w:val="21"/>
              </w:rPr>
            </w:pPr>
          </w:p>
        </w:tc>
        <w:tc>
          <w:tcPr>
            <w:tcW w:w="800" w:type="dxa"/>
            <w:vMerge w:val="continue"/>
            <w:tcBorders>
              <w:top w:val="nil"/>
              <w:bottom w:val="nil"/>
            </w:tcBorders>
            <w:vAlign w:val="top"/>
          </w:tcPr>
          <w:p w14:paraId="7A8D9F75">
            <w:pPr>
              <w:rPr>
                <w:rFonts w:ascii="Arial"/>
                <w:sz w:val="21"/>
              </w:rPr>
            </w:pPr>
          </w:p>
        </w:tc>
        <w:tc>
          <w:tcPr>
            <w:tcW w:w="769" w:type="dxa"/>
            <w:vMerge w:val="continue"/>
            <w:tcBorders>
              <w:top w:val="nil"/>
              <w:bottom w:val="nil"/>
            </w:tcBorders>
            <w:vAlign w:val="top"/>
          </w:tcPr>
          <w:p w14:paraId="636FCBD4">
            <w:pPr>
              <w:rPr>
                <w:rFonts w:ascii="Arial"/>
                <w:sz w:val="21"/>
              </w:rPr>
            </w:pPr>
          </w:p>
        </w:tc>
        <w:tc>
          <w:tcPr>
            <w:tcW w:w="829" w:type="dxa"/>
            <w:vMerge w:val="continue"/>
            <w:tcBorders>
              <w:top w:val="nil"/>
              <w:bottom w:val="nil"/>
            </w:tcBorders>
            <w:vAlign w:val="top"/>
          </w:tcPr>
          <w:p w14:paraId="0F7885B0">
            <w:pPr>
              <w:rPr>
                <w:rFonts w:ascii="Arial"/>
                <w:sz w:val="21"/>
              </w:rPr>
            </w:pPr>
          </w:p>
        </w:tc>
        <w:tc>
          <w:tcPr>
            <w:tcW w:w="800" w:type="dxa"/>
            <w:vMerge w:val="continue"/>
            <w:tcBorders>
              <w:top w:val="nil"/>
              <w:bottom w:val="nil"/>
            </w:tcBorders>
            <w:vAlign w:val="top"/>
          </w:tcPr>
          <w:p w14:paraId="050A7A66">
            <w:pPr>
              <w:rPr>
                <w:rFonts w:ascii="Arial"/>
                <w:sz w:val="21"/>
              </w:rPr>
            </w:pPr>
          </w:p>
        </w:tc>
        <w:tc>
          <w:tcPr>
            <w:tcW w:w="769" w:type="dxa"/>
            <w:vMerge w:val="continue"/>
            <w:tcBorders>
              <w:top w:val="nil"/>
              <w:bottom w:val="nil"/>
            </w:tcBorders>
            <w:vAlign w:val="top"/>
          </w:tcPr>
          <w:p w14:paraId="11F65328">
            <w:pPr>
              <w:rPr>
                <w:rFonts w:ascii="Arial"/>
                <w:sz w:val="21"/>
              </w:rPr>
            </w:pPr>
          </w:p>
        </w:tc>
        <w:tc>
          <w:tcPr>
            <w:tcW w:w="800" w:type="dxa"/>
            <w:vMerge w:val="continue"/>
            <w:tcBorders>
              <w:top w:val="nil"/>
              <w:bottom w:val="nil"/>
            </w:tcBorders>
            <w:vAlign w:val="top"/>
          </w:tcPr>
          <w:p w14:paraId="79B8093E">
            <w:pPr>
              <w:rPr>
                <w:rFonts w:ascii="Arial"/>
                <w:sz w:val="21"/>
              </w:rPr>
            </w:pPr>
          </w:p>
        </w:tc>
        <w:tc>
          <w:tcPr>
            <w:tcW w:w="799" w:type="dxa"/>
            <w:vMerge w:val="continue"/>
            <w:tcBorders>
              <w:top w:val="nil"/>
              <w:bottom w:val="nil"/>
            </w:tcBorders>
            <w:vAlign w:val="top"/>
          </w:tcPr>
          <w:p w14:paraId="50746C77">
            <w:pPr>
              <w:rPr>
                <w:rFonts w:ascii="Arial"/>
                <w:sz w:val="21"/>
              </w:rPr>
            </w:pPr>
          </w:p>
        </w:tc>
        <w:tc>
          <w:tcPr>
            <w:tcW w:w="800" w:type="dxa"/>
            <w:vMerge w:val="continue"/>
            <w:tcBorders>
              <w:top w:val="nil"/>
              <w:bottom w:val="nil"/>
            </w:tcBorders>
            <w:vAlign w:val="top"/>
          </w:tcPr>
          <w:p w14:paraId="6FE41386">
            <w:pPr>
              <w:rPr>
                <w:rFonts w:ascii="Arial"/>
                <w:sz w:val="21"/>
              </w:rPr>
            </w:pPr>
          </w:p>
        </w:tc>
        <w:tc>
          <w:tcPr>
            <w:tcW w:w="804" w:type="dxa"/>
            <w:vMerge w:val="continue"/>
            <w:tcBorders>
              <w:top w:val="nil"/>
              <w:bottom w:val="nil"/>
            </w:tcBorders>
            <w:vAlign w:val="top"/>
          </w:tcPr>
          <w:p w14:paraId="529473A8">
            <w:pPr>
              <w:rPr>
                <w:rFonts w:ascii="Arial"/>
                <w:sz w:val="21"/>
              </w:rPr>
            </w:pPr>
          </w:p>
        </w:tc>
      </w:tr>
      <w:tr w14:paraId="6E1469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 w:hRule="atLeast"/>
        </w:trPr>
        <w:tc>
          <w:tcPr>
            <w:tcW w:w="734" w:type="dxa"/>
            <w:vMerge w:val="continue"/>
            <w:tcBorders>
              <w:top w:val="nil"/>
              <w:bottom w:val="nil"/>
            </w:tcBorders>
            <w:vAlign w:val="top"/>
          </w:tcPr>
          <w:p w14:paraId="15C12A9B">
            <w:pPr>
              <w:rPr>
                <w:rFonts w:ascii="Arial"/>
                <w:sz w:val="21"/>
              </w:rPr>
            </w:pPr>
          </w:p>
        </w:tc>
        <w:tc>
          <w:tcPr>
            <w:tcW w:w="1519" w:type="dxa"/>
            <w:vMerge w:val="continue"/>
            <w:tcBorders>
              <w:top w:val="nil"/>
              <w:bottom w:val="nil"/>
            </w:tcBorders>
            <w:vAlign w:val="top"/>
          </w:tcPr>
          <w:p w14:paraId="12F5157A">
            <w:pPr>
              <w:rPr>
                <w:rFonts w:ascii="Arial"/>
                <w:sz w:val="21"/>
              </w:rPr>
            </w:pPr>
          </w:p>
        </w:tc>
        <w:tc>
          <w:tcPr>
            <w:tcW w:w="3597" w:type="dxa"/>
            <w:vAlign w:val="top"/>
          </w:tcPr>
          <w:p w14:paraId="766DA826">
            <w:pPr>
              <w:rPr>
                <w:rFonts w:ascii="Arial"/>
                <w:sz w:val="21"/>
              </w:rPr>
            </w:pPr>
          </w:p>
        </w:tc>
        <w:tc>
          <w:tcPr>
            <w:tcW w:w="719" w:type="dxa"/>
            <w:vMerge w:val="continue"/>
            <w:tcBorders>
              <w:top w:val="nil"/>
              <w:bottom w:val="nil"/>
            </w:tcBorders>
            <w:vAlign w:val="top"/>
          </w:tcPr>
          <w:p w14:paraId="49B49547">
            <w:pPr>
              <w:rPr>
                <w:rFonts w:ascii="Arial"/>
                <w:sz w:val="21"/>
              </w:rPr>
            </w:pPr>
          </w:p>
        </w:tc>
        <w:tc>
          <w:tcPr>
            <w:tcW w:w="800" w:type="dxa"/>
            <w:vMerge w:val="continue"/>
            <w:tcBorders>
              <w:top w:val="nil"/>
              <w:bottom w:val="nil"/>
            </w:tcBorders>
            <w:vAlign w:val="top"/>
          </w:tcPr>
          <w:p w14:paraId="03939736">
            <w:pPr>
              <w:rPr>
                <w:rFonts w:ascii="Arial"/>
                <w:sz w:val="21"/>
              </w:rPr>
            </w:pPr>
          </w:p>
        </w:tc>
        <w:tc>
          <w:tcPr>
            <w:tcW w:w="769" w:type="dxa"/>
            <w:vMerge w:val="continue"/>
            <w:tcBorders>
              <w:top w:val="nil"/>
              <w:bottom w:val="nil"/>
            </w:tcBorders>
            <w:vAlign w:val="top"/>
          </w:tcPr>
          <w:p w14:paraId="4AD8DB94">
            <w:pPr>
              <w:rPr>
                <w:rFonts w:ascii="Arial"/>
                <w:sz w:val="21"/>
              </w:rPr>
            </w:pPr>
          </w:p>
        </w:tc>
        <w:tc>
          <w:tcPr>
            <w:tcW w:w="829" w:type="dxa"/>
            <w:vMerge w:val="continue"/>
            <w:tcBorders>
              <w:top w:val="nil"/>
              <w:bottom w:val="nil"/>
            </w:tcBorders>
            <w:vAlign w:val="top"/>
          </w:tcPr>
          <w:p w14:paraId="6158868C">
            <w:pPr>
              <w:rPr>
                <w:rFonts w:ascii="Arial"/>
                <w:sz w:val="21"/>
              </w:rPr>
            </w:pPr>
          </w:p>
        </w:tc>
        <w:tc>
          <w:tcPr>
            <w:tcW w:w="800" w:type="dxa"/>
            <w:vMerge w:val="continue"/>
            <w:tcBorders>
              <w:top w:val="nil"/>
              <w:bottom w:val="nil"/>
            </w:tcBorders>
            <w:vAlign w:val="top"/>
          </w:tcPr>
          <w:p w14:paraId="5FE6F010">
            <w:pPr>
              <w:rPr>
                <w:rFonts w:ascii="Arial"/>
                <w:sz w:val="21"/>
              </w:rPr>
            </w:pPr>
          </w:p>
        </w:tc>
        <w:tc>
          <w:tcPr>
            <w:tcW w:w="769" w:type="dxa"/>
            <w:vMerge w:val="continue"/>
            <w:tcBorders>
              <w:top w:val="nil"/>
              <w:bottom w:val="nil"/>
            </w:tcBorders>
            <w:vAlign w:val="top"/>
          </w:tcPr>
          <w:p w14:paraId="112907B4">
            <w:pPr>
              <w:rPr>
                <w:rFonts w:ascii="Arial"/>
                <w:sz w:val="21"/>
              </w:rPr>
            </w:pPr>
          </w:p>
        </w:tc>
        <w:tc>
          <w:tcPr>
            <w:tcW w:w="800" w:type="dxa"/>
            <w:vMerge w:val="continue"/>
            <w:tcBorders>
              <w:top w:val="nil"/>
              <w:bottom w:val="nil"/>
            </w:tcBorders>
            <w:vAlign w:val="top"/>
          </w:tcPr>
          <w:p w14:paraId="04F285DB">
            <w:pPr>
              <w:rPr>
                <w:rFonts w:ascii="Arial"/>
                <w:sz w:val="21"/>
              </w:rPr>
            </w:pPr>
          </w:p>
        </w:tc>
        <w:tc>
          <w:tcPr>
            <w:tcW w:w="799" w:type="dxa"/>
            <w:vMerge w:val="continue"/>
            <w:tcBorders>
              <w:top w:val="nil"/>
              <w:bottom w:val="nil"/>
            </w:tcBorders>
            <w:vAlign w:val="top"/>
          </w:tcPr>
          <w:p w14:paraId="6DFEFEFE">
            <w:pPr>
              <w:rPr>
                <w:rFonts w:ascii="Arial"/>
                <w:sz w:val="21"/>
              </w:rPr>
            </w:pPr>
          </w:p>
        </w:tc>
        <w:tc>
          <w:tcPr>
            <w:tcW w:w="800" w:type="dxa"/>
            <w:vMerge w:val="continue"/>
            <w:tcBorders>
              <w:top w:val="nil"/>
              <w:bottom w:val="nil"/>
            </w:tcBorders>
            <w:vAlign w:val="top"/>
          </w:tcPr>
          <w:p w14:paraId="3AE456A8">
            <w:pPr>
              <w:rPr>
                <w:rFonts w:ascii="Arial"/>
                <w:sz w:val="21"/>
              </w:rPr>
            </w:pPr>
          </w:p>
        </w:tc>
        <w:tc>
          <w:tcPr>
            <w:tcW w:w="804" w:type="dxa"/>
            <w:vMerge w:val="continue"/>
            <w:tcBorders>
              <w:top w:val="nil"/>
              <w:bottom w:val="nil"/>
            </w:tcBorders>
            <w:vAlign w:val="top"/>
          </w:tcPr>
          <w:p w14:paraId="513B02C5">
            <w:pPr>
              <w:rPr>
                <w:rFonts w:ascii="Arial"/>
                <w:sz w:val="21"/>
              </w:rPr>
            </w:pPr>
          </w:p>
        </w:tc>
      </w:tr>
      <w:tr w14:paraId="41548B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734" w:type="dxa"/>
            <w:vMerge w:val="continue"/>
            <w:tcBorders>
              <w:top w:val="nil"/>
            </w:tcBorders>
            <w:vAlign w:val="top"/>
          </w:tcPr>
          <w:p w14:paraId="0B36166E">
            <w:pPr>
              <w:rPr>
                <w:rFonts w:ascii="Arial"/>
                <w:sz w:val="21"/>
              </w:rPr>
            </w:pPr>
          </w:p>
        </w:tc>
        <w:tc>
          <w:tcPr>
            <w:tcW w:w="1519" w:type="dxa"/>
            <w:vMerge w:val="continue"/>
            <w:tcBorders>
              <w:top w:val="nil"/>
            </w:tcBorders>
            <w:vAlign w:val="top"/>
          </w:tcPr>
          <w:p w14:paraId="34C33438">
            <w:pPr>
              <w:rPr>
                <w:rFonts w:ascii="Arial"/>
                <w:sz w:val="21"/>
              </w:rPr>
            </w:pPr>
          </w:p>
        </w:tc>
        <w:tc>
          <w:tcPr>
            <w:tcW w:w="3597" w:type="dxa"/>
            <w:vAlign w:val="top"/>
          </w:tcPr>
          <w:p w14:paraId="0E50C833">
            <w:pPr>
              <w:rPr>
                <w:rFonts w:ascii="Arial"/>
                <w:sz w:val="21"/>
              </w:rPr>
            </w:pPr>
          </w:p>
        </w:tc>
        <w:tc>
          <w:tcPr>
            <w:tcW w:w="719" w:type="dxa"/>
            <w:vMerge w:val="continue"/>
            <w:tcBorders>
              <w:top w:val="nil"/>
            </w:tcBorders>
            <w:vAlign w:val="top"/>
          </w:tcPr>
          <w:p w14:paraId="297B06E9">
            <w:pPr>
              <w:rPr>
                <w:rFonts w:ascii="Arial"/>
                <w:sz w:val="21"/>
              </w:rPr>
            </w:pPr>
          </w:p>
        </w:tc>
        <w:tc>
          <w:tcPr>
            <w:tcW w:w="800" w:type="dxa"/>
            <w:vMerge w:val="continue"/>
            <w:tcBorders>
              <w:top w:val="nil"/>
            </w:tcBorders>
            <w:vAlign w:val="top"/>
          </w:tcPr>
          <w:p w14:paraId="4516F8C4">
            <w:pPr>
              <w:rPr>
                <w:rFonts w:ascii="Arial"/>
                <w:sz w:val="21"/>
              </w:rPr>
            </w:pPr>
          </w:p>
        </w:tc>
        <w:tc>
          <w:tcPr>
            <w:tcW w:w="769" w:type="dxa"/>
            <w:vMerge w:val="continue"/>
            <w:tcBorders>
              <w:top w:val="nil"/>
            </w:tcBorders>
            <w:vAlign w:val="top"/>
          </w:tcPr>
          <w:p w14:paraId="521B57D1">
            <w:pPr>
              <w:rPr>
                <w:rFonts w:ascii="Arial"/>
                <w:sz w:val="21"/>
              </w:rPr>
            </w:pPr>
          </w:p>
        </w:tc>
        <w:tc>
          <w:tcPr>
            <w:tcW w:w="829" w:type="dxa"/>
            <w:vMerge w:val="continue"/>
            <w:tcBorders>
              <w:top w:val="nil"/>
            </w:tcBorders>
            <w:vAlign w:val="top"/>
          </w:tcPr>
          <w:p w14:paraId="4D57D987">
            <w:pPr>
              <w:rPr>
                <w:rFonts w:ascii="Arial"/>
                <w:sz w:val="21"/>
              </w:rPr>
            </w:pPr>
          </w:p>
        </w:tc>
        <w:tc>
          <w:tcPr>
            <w:tcW w:w="800" w:type="dxa"/>
            <w:vMerge w:val="continue"/>
            <w:tcBorders>
              <w:top w:val="nil"/>
            </w:tcBorders>
            <w:vAlign w:val="top"/>
          </w:tcPr>
          <w:p w14:paraId="301CFE34">
            <w:pPr>
              <w:rPr>
                <w:rFonts w:ascii="Arial"/>
                <w:sz w:val="21"/>
              </w:rPr>
            </w:pPr>
          </w:p>
        </w:tc>
        <w:tc>
          <w:tcPr>
            <w:tcW w:w="769" w:type="dxa"/>
            <w:vMerge w:val="continue"/>
            <w:tcBorders>
              <w:top w:val="nil"/>
            </w:tcBorders>
            <w:vAlign w:val="top"/>
          </w:tcPr>
          <w:p w14:paraId="70427043">
            <w:pPr>
              <w:rPr>
                <w:rFonts w:ascii="Arial"/>
                <w:sz w:val="21"/>
              </w:rPr>
            </w:pPr>
          </w:p>
        </w:tc>
        <w:tc>
          <w:tcPr>
            <w:tcW w:w="800" w:type="dxa"/>
            <w:vMerge w:val="continue"/>
            <w:tcBorders>
              <w:top w:val="nil"/>
            </w:tcBorders>
            <w:vAlign w:val="top"/>
          </w:tcPr>
          <w:p w14:paraId="5B0C2ABA">
            <w:pPr>
              <w:rPr>
                <w:rFonts w:ascii="Arial"/>
                <w:sz w:val="21"/>
              </w:rPr>
            </w:pPr>
          </w:p>
        </w:tc>
        <w:tc>
          <w:tcPr>
            <w:tcW w:w="799" w:type="dxa"/>
            <w:vMerge w:val="continue"/>
            <w:tcBorders>
              <w:top w:val="nil"/>
            </w:tcBorders>
            <w:vAlign w:val="top"/>
          </w:tcPr>
          <w:p w14:paraId="2D978300">
            <w:pPr>
              <w:rPr>
                <w:rFonts w:ascii="Arial"/>
                <w:sz w:val="21"/>
              </w:rPr>
            </w:pPr>
          </w:p>
        </w:tc>
        <w:tc>
          <w:tcPr>
            <w:tcW w:w="800" w:type="dxa"/>
            <w:vMerge w:val="continue"/>
            <w:tcBorders>
              <w:top w:val="nil"/>
            </w:tcBorders>
            <w:vAlign w:val="top"/>
          </w:tcPr>
          <w:p w14:paraId="471D4C2C">
            <w:pPr>
              <w:rPr>
                <w:rFonts w:ascii="Arial"/>
                <w:sz w:val="21"/>
              </w:rPr>
            </w:pPr>
          </w:p>
        </w:tc>
        <w:tc>
          <w:tcPr>
            <w:tcW w:w="804" w:type="dxa"/>
            <w:vMerge w:val="continue"/>
            <w:tcBorders>
              <w:top w:val="nil"/>
            </w:tcBorders>
            <w:vAlign w:val="top"/>
          </w:tcPr>
          <w:p w14:paraId="75D24E19">
            <w:pPr>
              <w:rPr>
                <w:rFonts w:ascii="Arial"/>
                <w:sz w:val="21"/>
              </w:rPr>
            </w:pPr>
          </w:p>
        </w:tc>
      </w:tr>
      <w:tr w14:paraId="0A374F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734" w:type="dxa"/>
            <w:vMerge w:val="restart"/>
            <w:tcBorders>
              <w:bottom w:val="nil"/>
            </w:tcBorders>
            <w:vAlign w:val="top"/>
          </w:tcPr>
          <w:p w14:paraId="1CBE3079">
            <w:pPr>
              <w:spacing w:line="262" w:lineRule="auto"/>
              <w:rPr>
                <w:rFonts w:ascii="Arial"/>
                <w:sz w:val="21"/>
              </w:rPr>
            </w:pPr>
          </w:p>
          <w:p w14:paraId="5BE1D01D">
            <w:pPr>
              <w:spacing w:line="262" w:lineRule="auto"/>
              <w:rPr>
                <w:rFonts w:ascii="Arial"/>
                <w:sz w:val="21"/>
              </w:rPr>
            </w:pPr>
          </w:p>
          <w:p w14:paraId="1EC7DB72">
            <w:pPr>
              <w:pStyle w:val="6"/>
              <w:spacing w:before="68" w:line="241" w:lineRule="auto"/>
              <w:ind w:left="305"/>
            </w:pPr>
            <w:r>
              <w:t>4</w:t>
            </w:r>
          </w:p>
        </w:tc>
        <w:tc>
          <w:tcPr>
            <w:tcW w:w="1519" w:type="dxa"/>
            <w:vMerge w:val="restart"/>
            <w:tcBorders>
              <w:bottom w:val="nil"/>
            </w:tcBorders>
            <w:vAlign w:val="top"/>
          </w:tcPr>
          <w:p w14:paraId="29BB9BE7">
            <w:pPr>
              <w:spacing w:line="375" w:lineRule="auto"/>
              <w:rPr>
                <w:rFonts w:ascii="Arial"/>
                <w:sz w:val="21"/>
              </w:rPr>
            </w:pPr>
          </w:p>
          <w:p w14:paraId="522B09D9">
            <w:pPr>
              <w:pStyle w:val="6"/>
              <w:spacing w:before="69"/>
              <w:ind w:left="221" w:right="112" w:hanging="100"/>
            </w:pPr>
            <w:r>
              <w:rPr>
                <w:spacing w:val="2"/>
              </w:rPr>
              <w:t xml:space="preserve">施工准备与资 </w:t>
            </w:r>
            <w:r>
              <w:rPr>
                <w:spacing w:val="3"/>
              </w:rPr>
              <w:t>源配置计划</w:t>
            </w:r>
          </w:p>
        </w:tc>
        <w:tc>
          <w:tcPr>
            <w:tcW w:w="3597" w:type="dxa"/>
            <w:vAlign w:val="top"/>
          </w:tcPr>
          <w:p w14:paraId="3831F1AF">
            <w:pPr>
              <w:rPr>
                <w:rFonts w:ascii="Arial"/>
                <w:sz w:val="21"/>
              </w:rPr>
            </w:pPr>
          </w:p>
        </w:tc>
        <w:tc>
          <w:tcPr>
            <w:tcW w:w="719" w:type="dxa"/>
            <w:vMerge w:val="restart"/>
            <w:tcBorders>
              <w:bottom w:val="nil"/>
            </w:tcBorders>
            <w:vAlign w:val="top"/>
          </w:tcPr>
          <w:p w14:paraId="474D0834">
            <w:pPr>
              <w:spacing w:line="251" w:lineRule="auto"/>
              <w:rPr>
                <w:rFonts w:ascii="Arial"/>
                <w:sz w:val="21"/>
              </w:rPr>
            </w:pPr>
          </w:p>
          <w:p w14:paraId="65547E08">
            <w:pPr>
              <w:spacing w:line="252" w:lineRule="auto"/>
              <w:rPr>
                <w:rFonts w:ascii="Arial"/>
                <w:sz w:val="21"/>
              </w:rPr>
            </w:pPr>
          </w:p>
          <w:p w14:paraId="3FEC5303">
            <w:pPr>
              <w:pStyle w:val="6"/>
              <w:spacing w:before="69" w:line="220" w:lineRule="auto"/>
              <w:ind w:left="244"/>
            </w:pPr>
            <w:r>
              <w:t>分</w:t>
            </w:r>
          </w:p>
        </w:tc>
        <w:tc>
          <w:tcPr>
            <w:tcW w:w="800" w:type="dxa"/>
            <w:vMerge w:val="restart"/>
            <w:tcBorders>
              <w:bottom w:val="nil"/>
            </w:tcBorders>
            <w:vAlign w:val="top"/>
          </w:tcPr>
          <w:p w14:paraId="5C3FCF74">
            <w:pPr>
              <w:rPr>
                <w:rFonts w:ascii="Arial"/>
                <w:sz w:val="21"/>
              </w:rPr>
            </w:pPr>
          </w:p>
        </w:tc>
        <w:tc>
          <w:tcPr>
            <w:tcW w:w="769" w:type="dxa"/>
            <w:vMerge w:val="restart"/>
            <w:tcBorders>
              <w:bottom w:val="nil"/>
            </w:tcBorders>
            <w:vAlign w:val="top"/>
          </w:tcPr>
          <w:p w14:paraId="241E318E">
            <w:pPr>
              <w:rPr>
                <w:rFonts w:ascii="Arial"/>
                <w:sz w:val="21"/>
              </w:rPr>
            </w:pPr>
          </w:p>
        </w:tc>
        <w:tc>
          <w:tcPr>
            <w:tcW w:w="829" w:type="dxa"/>
            <w:vMerge w:val="restart"/>
            <w:tcBorders>
              <w:bottom w:val="nil"/>
            </w:tcBorders>
            <w:vAlign w:val="top"/>
          </w:tcPr>
          <w:p w14:paraId="5B107A0C">
            <w:pPr>
              <w:rPr>
                <w:rFonts w:ascii="Arial"/>
                <w:sz w:val="21"/>
              </w:rPr>
            </w:pPr>
          </w:p>
        </w:tc>
        <w:tc>
          <w:tcPr>
            <w:tcW w:w="800" w:type="dxa"/>
            <w:vMerge w:val="restart"/>
            <w:tcBorders>
              <w:bottom w:val="nil"/>
            </w:tcBorders>
            <w:vAlign w:val="top"/>
          </w:tcPr>
          <w:p w14:paraId="45723D5D">
            <w:pPr>
              <w:rPr>
                <w:rFonts w:ascii="Arial"/>
                <w:sz w:val="21"/>
              </w:rPr>
            </w:pPr>
          </w:p>
        </w:tc>
        <w:tc>
          <w:tcPr>
            <w:tcW w:w="769" w:type="dxa"/>
            <w:vMerge w:val="restart"/>
            <w:tcBorders>
              <w:bottom w:val="nil"/>
            </w:tcBorders>
            <w:vAlign w:val="top"/>
          </w:tcPr>
          <w:p w14:paraId="6A294748">
            <w:pPr>
              <w:rPr>
                <w:rFonts w:ascii="Arial"/>
                <w:sz w:val="21"/>
              </w:rPr>
            </w:pPr>
          </w:p>
        </w:tc>
        <w:tc>
          <w:tcPr>
            <w:tcW w:w="800" w:type="dxa"/>
            <w:vMerge w:val="restart"/>
            <w:tcBorders>
              <w:bottom w:val="nil"/>
            </w:tcBorders>
            <w:vAlign w:val="top"/>
          </w:tcPr>
          <w:p w14:paraId="59959D4B">
            <w:pPr>
              <w:rPr>
                <w:rFonts w:ascii="Arial"/>
                <w:sz w:val="21"/>
              </w:rPr>
            </w:pPr>
          </w:p>
        </w:tc>
        <w:tc>
          <w:tcPr>
            <w:tcW w:w="799" w:type="dxa"/>
            <w:vMerge w:val="restart"/>
            <w:tcBorders>
              <w:bottom w:val="nil"/>
            </w:tcBorders>
            <w:vAlign w:val="top"/>
          </w:tcPr>
          <w:p w14:paraId="7BA0911E">
            <w:pPr>
              <w:rPr>
                <w:rFonts w:ascii="Arial"/>
                <w:sz w:val="21"/>
              </w:rPr>
            </w:pPr>
          </w:p>
        </w:tc>
        <w:tc>
          <w:tcPr>
            <w:tcW w:w="800" w:type="dxa"/>
            <w:vMerge w:val="restart"/>
            <w:tcBorders>
              <w:bottom w:val="nil"/>
            </w:tcBorders>
            <w:vAlign w:val="top"/>
          </w:tcPr>
          <w:p w14:paraId="266520FA">
            <w:pPr>
              <w:rPr>
                <w:rFonts w:ascii="Arial"/>
                <w:sz w:val="21"/>
              </w:rPr>
            </w:pPr>
          </w:p>
        </w:tc>
        <w:tc>
          <w:tcPr>
            <w:tcW w:w="804" w:type="dxa"/>
            <w:vMerge w:val="restart"/>
            <w:tcBorders>
              <w:bottom w:val="nil"/>
            </w:tcBorders>
            <w:vAlign w:val="top"/>
          </w:tcPr>
          <w:p w14:paraId="5A4E7865">
            <w:pPr>
              <w:rPr>
                <w:rFonts w:ascii="Arial"/>
                <w:sz w:val="21"/>
              </w:rPr>
            </w:pPr>
          </w:p>
        </w:tc>
      </w:tr>
      <w:tr w14:paraId="0BFFEE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4" w:type="dxa"/>
            <w:vMerge w:val="continue"/>
            <w:tcBorders>
              <w:top w:val="nil"/>
              <w:bottom w:val="nil"/>
            </w:tcBorders>
            <w:vAlign w:val="top"/>
          </w:tcPr>
          <w:p w14:paraId="4225D991">
            <w:pPr>
              <w:rPr>
                <w:rFonts w:ascii="Arial"/>
                <w:sz w:val="21"/>
              </w:rPr>
            </w:pPr>
          </w:p>
        </w:tc>
        <w:tc>
          <w:tcPr>
            <w:tcW w:w="1519" w:type="dxa"/>
            <w:vMerge w:val="continue"/>
            <w:tcBorders>
              <w:top w:val="nil"/>
              <w:bottom w:val="nil"/>
            </w:tcBorders>
            <w:vAlign w:val="top"/>
          </w:tcPr>
          <w:p w14:paraId="1CC79F5E">
            <w:pPr>
              <w:rPr>
                <w:rFonts w:ascii="Arial"/>
                <w:sz w:val="21"/>
              </w:rPr>
            </w:pPr>
          </w:p>
        </w:tc>
        <w:tc>
          <w:tcPr>
            <w:tcW w:w="3597" w:type="dxa"/>
            <w:vAlign w:val="top"/>
          </w:tcPr>
          <w:p w14:paraId="262E4B92">
            <w:pPr>
              <w:rPr>
                <w:rFonts w:ascii="Arial"/>
                <w:sz w:val="21"/>
              </w:rPr>
            </w:pPr>
          </w:p>
        </w:tc>
        <w:tc>
          <w:tcPr>
            <w:tcW w:w="719" w:type="dxa"/>
            <w:vMerge w:val="continue"/>
            <w:tcBorders>
              <w:top w:val="nil"/>
              <w:bottom w:val="nil"/>
            </w:tcBorders>
            <w:vAlign w:val="top"/>
          </w:tcPr>
          <w:p w14:paraId="105A5628">
            <w:pPr>
              <w:rPr>
                <w:rFonts w:ascii="Arial"/>
                <w:sz w:val="21"/>
              </w:rPr>
            </w:pPr>
          </w:p>
        </w:tc>
        <w:tc>
          <w:tcPr>
            <w:tcW w:w="800" w:type="dxa"/>
            <w:vMerge w:val="continue"/>
            <w:tcBorders>
              <w:top w:val="nil"/>
              <w:bottom w:val="nil"/>
            </w:tcBorders>
            <w:vAlign w:val="top"/>
          </w:tcPr>
          <w:p w14:paraId="02327B3F">
            <w:pPr>
              <w:rPr>
                <w:rFonts w:ascii="Arial"/>
                <w:sz w:val="21"/>
              </w:rPr>
            </w:pPr>
          </w:p>
        </w:tc>
        <w:tc>
          <w:tcPr>
            <w:tcW w:w="769" w:type="dxa"/>
            <w:vMerge w:val="continue"/>
            <w:tcBorders>
              <w:top w:val="nil"/>
              <w:bottom w:val="nil"/>
            </w:tcBorders>
            <w:vAlign w:val="top"/>
          </w:tcPr>
          <w:p w14:paraId="751F0603">
            <w:pPr>
              <w:rPr>
                <w:rFonts w:ascii="Arial"/>
                <w:sz w:val="21"/>
              </w:rPr>
            </w:pPr>
          </w:p>
        </w:tc>
        <w:tc>
          <w:tcPr>
            <w:tcW w:w="829" w:type="dxa"/>
            <w:vMerge w:val="continue"/>
            <w:tcBorders>
              <w:top w:val="nil"/>
              <w:bottom w:val="nil"/>
            </w:tcBorders>
            <w:vAlign w:val="top"/>
          </w:tcPr>
          <w:p w14:paraId="23AEADE7">
            <w:pPr>
              <w:rPr>
                <w:rFonts w:ascii="Arial"/>
                <w:sz w:val="21"/>
              </w:rPr>
            </w:pPr>
          </w:p>
        </w:tc>
        <w:tc>
          <w:tcPr>
            <w:tcW w:w="800" w:type="dxa"/>
            <w:vMerge w:val="continue"/>
            <w:tcBorders>
              <w:top w:val="nil"/>
              <w:bottom w:val="nil"/>
            </w:tcBorders>
            <w:vAlign w:val="top"/>
          </w:tcPr>
          <w:p w14:paraId="31D3408A">
            <w:pPr>
              <w:rPr>
                <w:rFonts w:ascii="Arial"/>
                <w:sz w:val="21"/>
              </w:rPr>
            </w:pPr>
          </w:p>
        </w:tc>
        <w:tc>
          <w:tcPr>
            <w:tcW w:w="769" w:type="dxa"/>
            <w:vMerge w:val="continue"/>
            <w:tcBorders>
              <w:top w:val="nil"/>
              <w:bottom w:val="nil"/>
            </w:tcBorders>
            <w:vAlign w:val="top"/>
          </w:tcPr>
          <w:p w14:paraId="00E73C0D">
            <w:pPr>
              <w:rPr>
                <w:rFonts w:ascii="Arial"/>
                <w:sz w:val="21"/>
              </w:rPr>
            </w:pPr>
          </w:p>
        </w:tc>
        <w:tc>
          <w:tcPr>
            <w:tcW w:w="800" w:type="dxa"/>
            <w:vMerge w:val="continue"/>
            <w:tcBorders>
              <w:top w:val="nil"/>
              <w:bottom w:val="nil"/>
            </w:tcBorders>
            <w:vAlign w:val="top"/>
          </w:tcPr>
          <w:p w14:paraId="0922B010">
            <w:pPr>
              <w:rPr>
                <w:rFonts w:ascii="Arial"/>
                <w:sz w:val="21"/>
              </w:rPr>
            </w:pPr>
          </w:p>
        </w:tc>
        <w:tc>
          <w:tcPr>
            <w:tcW w:w="799" w:type="dxa"/>
            <w:vMerge w:val="continue"/>
            <w:tcBorders>
              <w:top w:val="nil"/>
              <w:bottom w:val="nil"/>
            </w:tcBorders>
            <w:vAlign w:val="top"/>
          </w:tcPr>
          <w:p w14:paraId="401A8E6A">
            <w:pPr>
              <w:rPr>
                <w:rFonts w:ascii="Arial"/>
                <w:sz w:val="21"/>
              </w:rPr>
            </w:pPr>
          </w:p>
        </w:tc>
        <w:tc>
          <w:tcPr>
            <w:tcW w:w="800" w:type="dxa"/>
            <w:vMerge w:val="continue"/>
            <w:tcBorders>
              <w:top w:val="nil"/>
              <w:bottom w:val="nil"/>
            </w:tcBorders>
            <w:vAlign w:val="top"/>
          </w:tcPr>
          <w:p w14:paraId="749374AD">
            <w:pPr>
              <w:rPr>
                <w:rFonts w:ascii="Arial"/>
                <w:sz w:val="21"/>
              </w:rPr>
            </w:pPr>
          </w:p>
        </w:tc>
        <w:tc>
          <w:tcPr>
            <w:tcW w:w="804" w:type="dxa"/>
            <w:vMerge w:val="continue"/>
            <w:tcBorders>
              <w:top w:val="nil"/>
              <w:bottom w:val="nil"/>
            </w:tcBorders>
            <w:vAlign w:val="top"/>
          </w:tcPr>
          <w:p w14:paraId="087D970B">
            <w:pPr>
              <w:rPr>
                <w:rFonts w:ascii="Arial"/>
                <w:sz w:val="21"/>
              </w:rPr>
            </w:pPr>
          </w:p>
        </w:tc>
      </w:tr>
      <w:tr w14:paraId="2F69DE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trPr>
        <w:tc>
          <w:tcPr>
            <w:tcW w:w="734" w:type="dxa"/>
            <w:vMerge w:val="continue"/>
            <w:tcBorders>
              <w:top w:val="nil"/>
              <w:bottom w:val="nil"/>
            </w:tcBorders>
            <w:vAlign w:val="top"/>
          </w:tcPr>
          <w:p w14:paraId="3A1CEBAE">
            <w:pPr>
              <w:rPr>
                <w:rFonts w:ascii="Arial"/>
                <w:sz w:val="21"/>
              </w:rPr>
            </w:pPr>
          </w:p>
        </w:tc>
        <w:tc>
          <w:tcPr>
            <w:tcW w:w="1519" w:type="dxa"/>
            <w:vMerge w:val="continue"/>
            <w:tcBorders>
              <w:top w:val="nil"/>
              <w:bottom w:val="nil"/>
            </w:tcBorders>
            <w:vAlign w:val="top"/>
          </w:tcPr>
          <w:p w14:paraId="1F5C3F33">
            <w:pPr>
              <w:rPr>
                <w:rFonts w:ascii="Arial"/>
                <w:sz w:val="21"/>
              </w:rPr>
            </w:pPr>
          </w:p>
        </w:tc>
        <w:tc>
          <w:tcPr>
            <w:tcW w:w="3597" w:type="dxa"/>
            <w:vAlign w:val="top"/>
          </w:tcPr>
          <w:p w14:paraId="70DE27A4">
            <w:pPr>
              <w:rPr>
                <w:rFonts w:ascii="Arial"/>
                <w:sz w:val="21"/>
              </w:rPr>
            </w:pPr>
          </w:p>
        </w:tc>
        <w:tc>
          <w:tcPr>
            <w:tcW w:w="719" w:type="dxa"/>
            <w:vMerge w:val="continue"/>
            <w:tcBorders>
              <w:top w:val="nil"/>
              <w:bottom w:val="nil"/>
            </w:tcBorders>
            <w:vAlign w:val="top"/>
          </w:tcPr>
          <w:p w14:paraId="44559C92">
            <w:pPr>
              <w:rPr>
                <w:rFonts w:ascii="Arial"/>
                <w:sz w:val="21"/>
              </w:rPr>
            </w:pPr>
          </w:p>
        </w:tc>
        <w:tc>
          <w:tcPr>
            <w:tcW w:w="800" w:type="dxa"/>
            <w:vMerge w:val="continue"/>
            <w:tcBorders>
              <w:top w:val="nil"/>
              <w:bottom w:val="nil"/>
            </w:tcBorders>
            <w:vAlign w:val="top"/>
          </w:tcPr>
          <w:p w14:paraId="3CEA4C7D">
            <w:pPr>
              <w:rPr>
                <w:rFonts w:ascii="Arial"/>
                <w:sz w:val="21"/>
              </w:rPr>
            </w:pPr>
          </w:p>
        </w:tc>
        <w:tc>
          <w:tcPr>
            <w:tcW w:w="769" w:type="dxa"/>
            <w:vMerge w:val="continue"/>
            <w:tcBorders>
              <w:top w:val="nil"/>
              <w:bottom w:val="nil"/>
            </w:tcBorders>
            <w:vAlign w:val="top"/>
          </w:tcPr>
          <w:p w14:paraId="66238082">
            <w:pPr>
              <w:rPr>
                <w:rFonts w:ascii="Arial"/>
                <w:sz w:val="21"/>
              </w:rPr>
            </w:pPr>
          </w:p>
        </w:tc>
        <w:tc>
          <w:tcPr>
            <w:tcW w:w="829" w:type="dxa"/>
            <w:vMerge w:val="continue"/>
            <w:tcBorders>
              <w:top w:val="nil"/>
              <w:bottom w:val="nil"/>
            </w:tcBorders>
            <w:vAlign w:val="top"/>
          </w:tcPr>
          <w:p w14:paraId="52D434CB">
            <w:pPr>
              <w:rPr>
                <w:rFonts w:ascii="Arial"/>
                <w:sz w:val="21"/>
              </w:rPr>
            </w:pPr>
          </w:p>
        </w:tc>
        <w:tc>
          <w:tcPr>
            <w:tcW w:w="800" w:type="dxa"/>
            <w:vMerge w:val="continue"/>
            <w:tcBorders>
              <w:top w:val="nil"/>
              <w:bottom w:val="nil"/>
            </w:tcBorders>
            <w:vAlign w:val="top"/>
          </w:tcPr>
          <w:p w14:paraId="131171AF">
            <w:pPr>
              <w:rPr>
                <w:rFonts w:ascii="Arial"/>
                <w:sz w:val="21"/>
              </w:rPr>
            </w:pPr>
          </w:p>
        </w:tc>
        <w:tc>
          <w:tcPr>
            <w:tcW w:w="769" w:type="dxa"/>
            <w:vMerge w:val="continue"/>
            <w:tcBorders>
              <w:top w:val="nil"/>
              <w:bottom w:val="nil"/>
            </w:tcBorders>
            <w:vAlign w:val="top"/>
          </w:tcPr>
          <w:p w14:paraId="57E5F1C0">
            <w:pPr>
              <w:rPr>
                <w:rFonts w:ascii="Arial"/>
                <w:sz w:val="21"/>
              </w:rPr>
            </w:pPr>
          </w:p>
        </w:tc>
        <w:tc>
          <w:tcPr>
            <w:tcW w:w="800" w:type="dxa"/>
            <w:vMerge w:val="continue"/>
            <w:tcBorders>
              <w:top w:val="nil"/>
              <w:bottom w:val="nil"/>
            </w:tcBorders>
            <w:vAlign w:val="top"/>
          </w:tcPr>
          <w:p w14:paraId="654ADB5A">
            <w:pPr>
              <w:rPr>
                <w:rFonts w:ascii="Arial"/>
                <w:sz w:val="21"/>
              </w:rPr>
            </w:pPr>
          </w:p>
        </w:tc>
        <w:tc>
          <w:tcPr>
            <w:tcW w:w="799" w:type="dxa"/>
            <w:vMerge w:val="continue"/>
            <w:tcBorders>
              <w:top w:val="nil"/>
              <w:bottom w:val="nil"/>
            </w:tcBorders>
            <w:vAlign w:val="top"/>
          </w:tcPr>
          <w:p w14:paraId="7D5C0717">
            <w:pPr>
              <w:rPr>
                <w:rFonts w:ascii="Arial"/>
                <w:sz w:val="21"/>
              </w:rPr>
            </w:pPr>
          </w:p>
        </w:tc>
        <w:tc>
          <w:tcPr>
            <w:tcW w:w="800" w:type="dxa"/>
            <w:vMerge w:val="continue"/>
            <w:tcBorders>
              <w:top w:val="nil"/>
              <w:bottom w:val="nil"/>
            </w:tcBorders>
            <w:vAlign w:val="top"/>
          </w:tcPr>
          <w:p w14:paraId="21EB1284">
            <w:pPr>
              <w:rPr>
                <w:rFonts w:ascii="Arial"/>
                <w:sz w:val="21"/>
              </w:rPr>
            </w:pPr>
          </w:p>
        </w:tc>
        <w:tc>
          <w:tcPr>
            <w:tcW w:w="804" w:type="dxa"/>
            <w:vMerge w:val="continue"/>
            <w:tcBorders>
              <w:top w:val="nil"/>
              <w:bottom w:val="nil"/>
            </w:tcBorders>
            <w:vAlign w:val="top"/>
          </w:tcPr>
          <w:p w14:paraId="7CE72F10">
            <w:pPr>
              <w:rPr>
                <w:rFonts w:ascii="Arial"/>
                <w:sz w:val="21"/>
              </w:rPr>
            </w:pPr>
          </w:p>
        </w:tc>
      </w:tr>
      <w:tr w14:paraId="4F4574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734" w:type="dxa"/>
            <w:vMerge w:val="continue"/>
            <w:tcBorders>
              <w:top w:val="nil"/>
            </w:tcBorders>
            <w:vAlign w:val="top"/>
          </w:tcPr>
          <w:p w14:paraId="298660F5">
            <w:pPr>
              <w:rPr>
                <w:rFonts w:ascii="Arial"/>
                <w:sz w:val="21"/>
              </w:rPr>
            </w:pPr>
          </w:p>
        </w:tc>
        <w:tc>
          <w:tcPr>
            <w:tcW w:w="1519" w:type="dxa"/>
            <w:vMerge w:val="continue"/>
            <w:tcBorders>
              <w:top w:val="nil"/>
            </w:tcBorders>
            <w:vAlign w:val="top"/>
          </w:tcPr>
          <w:p w14:paraId="5DCB9D6D">
            <w:pPr>
              <w:rPr>
                <w:rFonts w:ascii="Arial"/>
                <w:sz w:val="21"/>
              </w:rPr>
            </w:pPr>
          </w:p>
        </w:tc>
        <w:tc>
          <w:tcPr>
            <w:tcW w:w="3597" w:type="dxa"/>
            <w:vAlign w:val="top"/>
          </w:tcPr>
          <w:p w14:paraId="5FA3042D">
            <w:pPr>
              <w:rPr>
                <w:rFonts w:ascii="Arial"/>
                <w:sz w:val="21"/>
              </w:rPr>
            </w:pPr>
          </w:p>
        </w:tc>
        <w:tc>
          <w:tcPr>
            <w:tcW w:w="719" w:type="dxa"/>
            <w:vMerge w:val="continue"/>
            <w:tcBorders>
              <w:top w:val="nil"/>
            </w:tcBorders>
            <w:vAlign w:val="top"/>
          </w:tcPr>
          <w:p w14:paraId="07A30AF6">
            <w:pPr>
              <w:rPr>
                <w:rFonts w:ascii="Arial"/>
                <w:sz w:val="21"/>
              </w:rPr>
            </w:pPr>
          </w:p>
        </w:tc>
        <w:tc>
          <w:tcPr>
            <w:tcW w:w="800" w:type="dxa"/>
            <w:vMerge w:val="continue"/>
            <w:tcBorders>
              <w:top w:val="nil"/>
            </w:tcBorders>
            <w:vAlign w:val="top"/>
          </w:tcPr>
          <w:p w14:paraId="5D6D4644">
            <w:pPr>
              <w:rPr>
                <w:rFonts w:ascii="Arial"/>
                <w:sz w:val="21"/>
              </w:rPr>
            </w:pPr>
          </w:p>
        </w:tc>
        <w:tc>
          <w:tcPr>
            <w:tcW w:w="769" w:type="dxa"/>
            <w:vMerge w:val="continue"/>
            <w:tcBorders>
              <w:top w:val="nil"/>
            </w:tcBorders>
            <w:vAlign w:val="top"/>
          </w:tcPr>
          <w:p w14:paraId="775AED53">
            <w:pPr>
              <w:rPr>
                <w:rFonts w:ascii="Arial"/>
                <w:sz w:val="21"/>
              </w:rPr>
            </w:pPr>
          </w:p>
        </w:tc>
        <w:tc>
          <w:tcPr>
            <w:tcW w:w="829" w:type="dxa"/>
            <w:vMerge w:val="continue"/>
            <w:tcBorders>
              <w:top w:val="nil"/>
            </w:tcBorders>
            <w:vAlign w:val="top"/>
          </w:tcPr>
          <w:p w14:paraId="586FAE95">
            <w:pPr>
              <w:rPr>
                <w:rFonts w:ascii="Arial"/>
                <w:sz w:val="21"/>
              </w:rPr>
            </w:pPr>
          </w:p>
        </w:tc>
        <w:tc>
          <w:tcPr>
            <w:tcW w:w="800" w:type="dxa"/>
            <w:vMerge w:val="continue"/>
            <w:tcBorders>
              <w:top w:val="nil"/>
            </w:tcBorders>
            <w:vAlign w:val="top"/>
          </w:tcPr>
          <w:p w14:paraId="504DF26B">
            <w:pPr>
              <w:rPr>
                <w:rFonts w:ascii="Arial"/>
                <w:sz w:val="21"/>
              </w:rPr>
            </w:pPr>
          </w:p>
        </w:tc>
        <w:tc>
          <w:tcPr>
            <w:tcW w:w="769" w:type="dxa"/>
            <w:vMerge w:val="continue"/>
            <w:tcBorders>
              <w:top w:val="nil"/>
            </w:tcBorders>
            <w:vAlign w:val="top"/>
          </w:tcPr>
          <w:p w14:paraId="13FEED31">
            <w:pPr>
              <w:rPr>
                <w:rFonts w:ascii="Arial"/>
                <w:sz w:val="21"/>
              </w:rPr>
            </w:pPr>
          </w:p>
        </w:tc>
        <w:tc>
          <w:tcPr>
            <w:tcW w:w="800" w:type="dxa"/>
            <w:vMerge w:val="continue"/>
            <w:tcBorders>
              <w:top w:val="nil"/>
            </w:tcBorders>
            <w:vAlign w:val="top"/>
          </w:tcPr>
          <w:p w14:paraId="78C69F9D">
            <w:pPr>
              <w:rPr>
                <w:rFonts w:ascii="Arial"/>
                <w:sz w:val="21"/>
              </w:rPr>
            </w:pPr>
          </w:p>
        </w:tc>
        <w:tc>
          <w:tcPr>
            <w:tcW w:w="799" w:type="dxa"/>
            <w:vMerge w:val="continue"/>
            <w:tcBorders>
              <w:top w:val="nil"/>
            </w:tcBorders>
            <w:vAlign w:val="top"/>
          </w:tcPr>
          <w:p w14:paraId="41311A7D">
            <w:pPr>
              <w:rPr>
                <w:rFonts w:ascii="Arial"/>
                <w:sz w:val="21"/>
              </w:rPr>
            </w:pPr>
          </w:p>
        </w:tc>
        <w:tc>
          <w:tcPr>
            <w:tcW w:w="800" w:type="dxa"/>
            <w:vMerge w:val="continue"/>
            <w:tcBorders>
              <w:top w:val="nil"/>
            </w:tcBorders>
            <w:vAlign w:val="top"/>
          </w:tcPr>
          <w:p w14:paraId="7FBC9830">
            <w:pPr>
              <w:rPr>
                <w:rFonts w:ascii="Arial"/>
                <w:sz w:val="21"/>
              </w:rPr>
            </w:pPr>
          </w:p>
        </w:tc>
        <w:tc>
          <w:tcPr>
            <w:tcW w:w="804" w:type="dxa"/>
            <w:vMerge w:val="continue"/>
            <w:tcBorders>
              <w:top w:val="nil"/>
            </w:tcBorders>
            <w:vAlign w:val="top"/>
          </w:tcPr>
          <w:p w14:paraId="4EA454BE">
            <w:pPr>
              <w:rPr>
                <w:rFonts w:ascii="Arial"/>
                <w:sz w:val="21"/>
              </w:rPr>
            </w:pPr>
          </w:p>
        </w:tc>
      </w:tr>
      <w:tr w14:paraId="35B245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4" w:type="dxa"/>
            <w:vMerge w:val="restart"/>
            <w:tcBorders>
              <w:bottom w:val="nil"/>
            </w:tcBorders>
            <w:vAlign w:val="top"/>
          </w:tcPr>
          <w:p w14:paraId="39FFCF49">
            <w:pPr>
              <w:spacing w:line="386" w:lineRule="auto"/>
              <w:rPr>
                <w:rFonts w:ascii="Arial"/>
                <w:sz w:val="21"/>
              </w:rPr>
            </w:pPr>
          </w:p>
          <w:p w14:paraId="47B3956F">
            <w:pPr>
              <w:pStyle w:val="6"/>
              <w:spacing w:before="68"/>
              <w:ind w:left="305"/>
            </w:pPr>
            <w:r>
              <w:t>5</w:t>
            </w:r>
          </w:p>
        </w:tc>
        <w:tc>
          <w:tcPr>
            <w:tcW w:w="1519" w:type="dxa"/>
            <w:vMerge w:val="restart"/>
            <w:tcBorders>
              <w:bottom w:val="nil"/>
            </w:tcBorders>
            <w:vAlign w:val="top"/>
          </w:tcPr>
          <w:p w14:paraId="77B5F916">
            <w:pPr>
              <w:spacing w:line="366" w:lineRule="auto"/>
              <w:rPr>
                <w:rFonts w:ascii="Arial"/>
                <w:sz w:val="21"/>
              </w:rPr>
            </w:pPr>
          </w:p>
          <w:p w14:paraId="60EDCCBF">
            <w:pPr>
              <w:pStyle w:val="6"/>
              <w:spacing w:before="69" w:line="220" w:lineRule="auto"/>
              <w:ind w:left="121"/>
            </w:pPr>
            <w:r>
              <w:rPr>
                <w:spacing w:val="1"/>
              </w:rPr>
              <w:t>主要施工方案</w:t>
            </w:r>
          </w:p>
        </w:tc>
        <w:tc>
          <w:tcPr>
            <w:tcW w:w="3597" w:type="dxa"/>
            <w:vAlign w:val="top"/>
          </w:tcPr>
          <w:p w14:paraId="26A0F8BF">
            <w:pPr>
              <w:rPr>
                <w:rFonts w:ascii="Arial"/>
                <w:sz w:val="21"/>
              </w:rPr>
            </w:pPr>
          </w:p>
        </w:tc>
        <w:tc>
          <w:tcPr>
            <w:tcW w:w="719" w:type="dxa"/>
            <w:vMerge w:val="restart"/>
            <w:tcBorders>
              <w:bottom w:val="nil"/>
            </w:tcBorders>
            <w:vAlign w:val="top"/>
          </w:tcPr>
          <w:p w14:paraId="5F240F42">
            <w:pPr>
              <w:spacing w:line="366" w:lineRule="auto"/>
              <w:rPr>
                <w:rFonts w:ascii="Arial"/>
                <w:sz w:val="21"/>
              </w:rPr>
            </w:pPr>
          </w:p>
          <w:p w14:paraId="0FF17890">
            <w:pPr>
              <w:pStyle w:val="6"/>
              <w:spacing w:before="69" w:line="220" w:lineRule="auto"/>
              <w:ind w:left="244"/>
            </w:pPr>
            <w:r>
              <w:t>分</w:t>
            </w:r>
          </w:p>
        </w:tc>
        <w:tc>
          <w:tcPr>
            <w:tcW w:w="800" w:type="dxa"/>
            <w:vMerge w:val="restart"/>
            <w:tcBorders>
              <w:bottom w:val="nil"/>
            </w:tcBorders>
            <w:vAlign w:val="top"/>
          </w:tcPr>
          <w:p w14:paraId="075CAE6F">
            <w:pPr>
              <w:rPr>
                <w:rFonts w:ascii="Arial"/>
                <w:sz w:val="21"/>
              </w:rPr>
            </w:pPr>
          </w:p>
        </w:tc>
        <w:tc>
          <w:tcPr>
            <w:tcW w:w="769" w:type="dxa"/>
            <w:vMerge w:val="restart"/>
            <w:tcBorders>
              <w:bottom w:val="nil"/>
            </w:tcBorders>
            <w:vAlign w:val="top"/>
          </w:tcPr>
          <w:p w14:paraId="20C10F4E">
            <w:pPr>
              <w:rPr>
                <w:rFonts w:ascii="Arial"/>
                <w:sz w:val="21"/>
              </w:rPr>
            </w:pPr>
          </w:p>
        </w:tc>
        <w:tc>
          <w:tcPr>
            <w:tcW w:w="829" w:type="dxa"/>
            <w:vMerge w:val="restart"/>
            <w:tcBorders>
              <w:bottom w:val="nil"/>
            </w:tcBorders>
            <w:vAlign w:val="top"/>
          </w:tcPr>
          <w:p w14:paraId="6B275D4B">
            <w:pPr>
              <w:rPr>
                <w:rFonts w:ascii="Arial"/>
                <w:sz w:val="21"/>
              </w:rPr>
            </w:pPr>
          </w:p>
        </w:tc>
        <w:tc>
          <w:tcPr>
            <w:tcW w:w="800" w:type="dxa"/>
            <w:vMerge w:val="restart"/>
            <w:tcBorders>
              <w:bottom w:val="nil"/>
            </w:tcBorders>
            <w:vAlign w:val="top"/>
          </w:tcPr>
          <w:p w14:paraId="5EDB8AF2">
            <w:pPr>
              <w:rPr>
                <w:rFonts w:ascii="Arial"/>
                <w:sz w:val="21"/>
              </w:rPr>
            </w:pPr>
          </w:p>
        </w:tc>
        <w:tc>
          <w:tcPr>
            <w:tcW w:w="769" w:type="dxa"/>
            <w:vMerge w:val="restart"/>
            <w:tcBorders>
              <w:bottom w:val="nil"/>
            </w:tcBorders>
            <w:vAlign w:val="top"/>
          </w:tcPr>
          <w:p w14:paraId="29A7DEE1">
            <w:pPr>
              <w:rPr>
                <w:rFonts w:ascii="Arial"/>
                <w:sz w:val="21"/>
              </w:rPr>
            </w:pPr>
          </w:p>
        </w:tc>
        <w:tc>
          <w:tcPr>
            <w:tcW w:w="800" w:type="dxa"/>
            <w:vMerge w:val="restart"/>
            <w:tcBorders>
              <w:bottom w:val="nil"/>
            </w:tcBorders>
            <w:vAlign w:val="top"/>
          </w:tcPr>
          <w:p w14:paraId="59012C63">
            <w:pPr>
              <w:rPr>
                <w:rFonts w:ascii="Arial"/>
                <w:sz w:val="21"/>
              </w:rPr>
            </w:pPr>
          </w:p>
        </w:tc>
        <w:tc>
          <w:tcPr>
            <w:tcW w:w="799" w:type="dxa"/>
            <w:vMerge w:val="restart"/>
            <w:tcBorders>
              <w:bottom w:val="nil"/>
            </w:tcBorders>
            <w:vAlign w:val="top"/>
          </w:tcPr>
          <w:p w14:paraId="3F42823C">
            <w:pPr>
              <w:rPr>
                <w:rFonts w:ascii="Arial"/>
                <w:sz w:val="21"/>
              </w:rPr>
            </w:pPr>
          </w:p>
        </w:tc>
        <w:tc>
          <w:tcPr>
            <w:tcW w:w="800" w:type="dxa"/>
            <w:vMerge w:val="restart"/>
            <w:tcBorders>
              <w:bottom w:val="nil"/>
            </w:tcBorders>
            <w:vAlign w:val="top"/>
          </w:tcPr>
          <w:p w14:paraId="14EAF8F8">
            <w:pPr>
              <w:rPr>
                <w:rFonts w:ascii="Arial"/>
                <w:sz w:val="21"/>
              </w:rPr>
            </w:pPr>
          </w:p>
        </w:tc>
        <w:tc>
          <w:tcPr>
            <w:tcW w:w="804" w:type="dxa"/>
            <w:vMerge w:val="restart"/>
            <w:tcBorders>
              <w:bottom w:val="nil"/>
            </w:tcBorders>
            <w:vAlign w:val="top"/>
          </w:tcPr>
          <w:p w14:paraId="7A4B0959">
            <w:pPr>
              <w:rPr>
                <w:rFonts w:ascii="Arial"/>
                <w:sz w:val="21"/>
              </w:rPr>
            </w:pPr>
          </w:p>
        </w:tc>
      </w:tr>
      <w:tr w14:paraId="67AF69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4" w:type="dxa"/>
            <w:vMerge w:val="continue"/>
            <w:tcBorders>
              <w:top w:val="nil"/>
              <w:bottom w:val="nil"/>
            </w:tcBorders>
            <w:vAlign w:val="top"/>
          </w:tcPr>
          <w:p w14:paraId="51DCE8BF">
            <w:pPr>
              <w:rPr>
                <w:rFonts w:ascii="Arial"/>
                <w:sz w:val="21"/>
              </w:rPr>
            </w:pPr>
          </w:p>
        </w:tc>
        <w:tc>
          <w:tcPr>
            <w:tcW w:w="1519" w:type="dxa"/>
            <w:vMerge w:val="continue"/>
            <w:tcBorders>
              <w:top w:val="nil"/>
              <w:bottom w:val="nil"/>
            </w:tcBorders>
            <w:vAlign w:val="top"/>
          </w:tcPr>
          <w:p w14:paraId="44EBF753">
            <w:pPr>
              <w:rPr>
                <w:rFonts w:ascii="Arial"/>
                <w:sz w:val="21"/>
              </w:rPr>
            </w:pPr>
          </w:p>
        </w:tc>
        <w:tc>
          <w:tcPr>
            <w:tcW w:w="3597" w:type="dxa"/>
            <w:vAlign w:val="top"/>
          </w:tcPr>
          <w:p w14:paraId="0A56F432">
            <w:pPr>
              <w:rPr>
                <w:rFonts w:ascii="Arial"/>
                <w:sz w:val="21"/>
              </w:rPr>
            </w:pPr>
          </w:p>
        </w:tc>
        <w:tc>
          <w:tcPr>
            <w:tcW w:w="719" w:type="dxa"/>
            <w:vMerge w:val="continue"/>
            <w:tcBorders>
              <w:top w:val="nil"/>
              <w:bottom w:val="nil"/>
            </w:tcBorders>
            <w:vAlign w:val="top"/>
          </w:tcPr>
          <w:p w14:paraId="1567578E">
            <w:pPr>
              <w:rPr>
                <w:rFonts w:ascii="Arial"/>
                <w:sz w:val="21"/>
              </w:rPr>
            </w:pPr>
          </w:p>
        </w:tc>
        <w:tc>
          <w:tcPr>
            <w:tcW w:w="800" w:type="dxa"/>
            <w:vMerge w:val="continue"/>
            <w:tcBorders>
              <w:top w:val="nil"/>
              <w:bottom w:val="nil"/>
            </w:tcBorders>
            <w:vAlign w:val="top"/>
          </w:tcPr>
          <w:p w14:paraId="7AE001FF">
            <w:pPr>
              <w:rPr>
                <w:rFonts w:ascii="Arial"/>
                <w:sz w:val="21"/>
              </w:rPr>
            </w:pPr>
          </w:p>
        </w:tc>
        <w:tc>
          <w:tcPr>
            <w:tcW w:w="769" w:type="dxa"/>
            <w:vMerge w:val="continue"/>
            <w:tcBorders>
              <w:top w:val="nil"/>
              <w:bottom w:val="nil"/>
            </w:tcBorders>
            <w:vAlign w:val="top"/>
          </w:tcPr>
          <w:p w14:paraId="14452353">
            <w:pPr>
              <w:rPr>
                <w:rFonts w:ascii="Arial"/>
                <w:sz w:val="21"/>
              </w:rPr>
            </w:pPr>
          </w:p>
        </w:tc>
        <w:tc>
          <w:tcPr>
            <w:tcW w:w="829" w:type="dxa"/>
            <w:vMerge w:val="continue"/>
            <w:tcBorders>
              <w:top w:val="nil"/>
              <w:bottom w:val="nil"/>
            </w:tcBorders>
            <w:vAlign w:val="top"/>
          </w:tcPr>
          <w:p w14:paraId="4CD8C319">
            <w:pPr>
              <w:rPr>
                <w:rFonts w:ascii="Arial"/>
                <w:sz w:val="21"/>
              </w:rPr>
            </w:pPr>
          </w:p>
        </w:tc>
        <w:tc>
          <w:tcPr>
            <w:tcW w:w="800" w:type="dxa"/>
            <w:vMerge w:val="continue"/>
            <w:tcBorders>
              <w:top w:val="nil"/>
              <w:bottom w:val="nil"/>
            </w:tcBorders>
            <w:vAlign w:val="top"/>
          </w:tcPr>
          <w:p w14:paraId="7FE93825">
            <w:pPr>
              <w:rPr>
                <w:rFonts w:ascii="Arial"/>
                <w:sz w:val="21"/>
              </w:rPr>
            </w:pPr>
          </w:p>
        </w:tc>
        <w:tc>
          <w:tcPr>
            <w:tcW w:w="769" w:type="dxa"/>
            <w:vMerge w:val="continue"/>
            <w:tcBorders>
              <w:top w:val="nil"/>
              <w:bottom w:val="nil"/>
            </w:tcBorders>
            <w:vAlign w:val="top"/>
          </w:tcPr>
          <w:p w14:paraId="4351479A">
            <w:pPr>
              <w:rPr>
                <w:rFonts w:ascii="Arial"/>
                <w:sz w:val="21"/>
              </w:rPr>
            </w:pPr>
          </w:p>
        </w:tc>
        <w:tc>
          <w:tcPr>
            <w:tcW w:w="800" w:type="dxa"/>
            <w:vMerge w:val="continue"/>
            <w:tcBorders>
              <w:top w:val="nil"/>
              <w:bottom w:val="nil"/>
            </w:tcBorders>
            <w:vAlign w:val="top"/>
          </w:tcPr>
          <w:p w14:paraId="6936E781">
            <w:pPr>
              <w:rPr>
                <w:rFonts w:ascii="Arial"/>
                <w:sz w:val="21"/>
              </w:rPr>
            </w:pPr>
          </w:p>
        </w:tc>
        <w:tc>
          <w:tcPr>
            <w:tcW w:w="799" w:type="dxa"/>
            <w:vMerge w:val="continue"/>
            <w:tcBorders>
              <w:top w:val="nil"/>
              <w:bottom w:val="nil"/>
            </w:tcBorders>
            <w:vAlign w:val="top"/>
          </w:tcPr>
          <w:p w14:paraId="0AF22FEA">
            <w:pPr>
              <w:rPr>
                <w:rFonts w:ascii="Arial"/>
                <w:sz w:val="21"/>
              </w:rPr>
            </w:pPr>
          </w:p>
        </w:tc>
        <w:tc>
          <w:tcPr>
            <w:tcW w:w="800" w:type="dxa"/>
            <w:vMerge w:val="continue"/>
            <w:tcBorders>
              <w:top w:val="nil"/>
              <w:bottom w:val="nil"/>
            </w:tcBorders>
            <w:vAlign w:val="top"/>
          </w:tcPr>
          <w:p w14:paraId="10834596">
            <w:pPr>
              <w:rPr>
                <w:rFonts w:ascii="Arial"/>
                <w:sz w:val="21"/>
              </w:rPr>
            </w:pPr>
          </w:p>
        </w:tc>
        <w:tc>
          <w:tcPr>
            <w:tcW w:w="804" w:type="dxa"/>
            <w:vMerge w:val="continue"/>
            <w:tcBorders>
              <w:top w:val="nil"/>
              <w:bottom w:val="nil"/>
            </w:tcBorders>
            <w:vAlign w:val="top"/>
          </w:tcPr>
          <w:p w14:paraId="5827A20D">
            <w:pPr>
              <w:rPr>
                <w:rFonts w:ascii="Arial"/>
                <w:sz w:val="21"/>
              </w:rPr>
            </w:pPr>
          </w:p>
        </w:tc>
      </w:tr>
      <w:tr w14:paraId="6196C8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trPr>
        <w:tc>
          <w:tcPr>
            <w:tcW w:w="734" w:type="dxa"/>
            <w:vMerge w:val="continue"/>
            <w:tcBorders>
              <w:top w:val="nil"/>
            </w:tcBorders>
            <w:vAlign w:val="top"/>
          </w:tcPr>
          <w:p w14:paraId="5CD60B2E">
            <w:pPr>
              <w:rPr>
                <w:rFonts w:ascii="Arial"/>
                <w:sz w:val="21"/>
              </w:rPr>
            </w:pPr>
          </w:p>
        </w:tc>
        <w:tc>
          <w:tcPr>
            <w:tcW w:w="1519" w:type="dxa"/>
            <w:vMerge w:val="continue"/>
            <w:tcBorders>
              <w:top w:val="nil"/>
            </w:tcBorders>
            <w:vAlign w:val="top"/>
          </w:tcPr>
          <w:p w14:paraId="3EAD2082">
            <w:pPr>
              <w:rPr>
                <w:rFonts w:ascii="Arial"/>
                <w:sz w:val="21"/>
              </w:rPr>
            </w:pPr>
          </w:p>
        </w:tc>
        <w:tc>
          <w:tcPr>
            <w:tcW w:w="3597" w:type="dxa"/>
            <w:vAlign w:val="top"/>
          </w:tcPr>
          <w:p w14:paraId="4A1BEFE8">
            <w:pPr>
              <w:rPr>
                <w:rFonts w:ascii="Arial"/>
                <w:sz w:val="21"/>
              </w:rPr>
            </w:pPr>
          </w:p>
        </w:tc>
        <w:tc>
          <w:tcPr>
            <w:tcW w:w="719" w:type="dxa"/>
            <w:vMerge w:val="continue"/>
            <w:tcBorders>
              <w:top w:val="nil"/>
            </w:tcBorders>
            <w:vAlign w:val="top"/>
          </w:tcPr>
          <w:p w14:paraId="6A6FA9E1">
            <w:pPr>
              <w:rPr>
                <w:rFonts w:ascii="Arial"/>
                <w:sz w:val="21"/>
              </w:rPr>
            </w:pPr>
          </w:p>
        </w:tc>
        <w:tc>
          <w:tcPr>
            <w:tcW w:w="800" w:type="dxa"/>
            <w:vMerge w:val="continue"/>
            <w:tcBorders>
              <w:top w:val="nil"/>
            </w:tcBorders>
            <w:vAlign w:val="top"/>
          </w:tcPr>
          <w:p w14:paraId="6182D372">
            <w:pPr>
              <w:rPr>
                <w:rFonts w:ascii="Arial"/>
                <w:sz w:val="21"/>
              </w:rPr>
            </w:pPr>
          </w:p>
        </w:tc>
        <w:tc>
          <w:tcPr>
            <w:tcW w:w="769" w:type="dxa"/>
            <w:vMerge w:val="continue"/>
            <w:tcBorders>
              <w:top w:val="nil"/>
            </w:tcBorders>
            <w:vAlign w:val="top"/>
          </w:tcPr>
          <w:p w14:paraId="51452B5D">
            <w:pPr>
              <w:rPr>
                <w:rFonts w:ascii="Arial"/>
                <w:sz w:val="21"/>
              </w:rPr>
            </w:pPr>
          </w:p>
        </w:tc>
        <w:tc>
          <w:tcPr>
            <w:tcW w:w="829" w:type="dxa"/>
            <w:vMerge w:val="continue"/>
            <w:tcBorders>
              <w:top w:val="nil"/>
            </w:tcBorders>
            <w:vAlign w:val="top"/>
          </w:tcPr>
          <w:p w14:paraId="0DBB36ED">
            <w:pPr>
              <w:rPr>
                <w:rFonts w:ascii="Arial"/>
                <w:sz w:val="21"/>
              </w:rPr>
            </w:pPr>
          </w:p>
        </w:tc>
        <w:tc>
          <w:tcPr>
            <w:tcW w:w="800" w:type="dxa"/>
            <w:vMerge w:val="continue"/>
            <w:tcBorders>
              <w:top w:val="nil"/>
            </w:tcBorders>
            <w:vAlign w:val="top"/>
          </w:tcPr>
          <w:p w14:paraId="719692FD">
            <w:pPr>
              <w:rPr>
                <w:rFonts w:ascii="Arial"/>
                <w:sz w:val="21"/>
              </w:rPr>
            </w:pPr>
          </w:p>
        </w:tc>
        <w:tc>
          <w:tcPr>
            <w:tcW w:w="769" w:type="dxa"/>
            <w:vMerge w:val="continue"/>
            <w:tcBorders>
              <w:top w:val="nil"/>
            </w:tcBorders>
            <w:vAlign w:val="top"/>
          </w:tcPr>
          <w:p w14:paraId="39B21C5C">
            <w:pPr>
              <w:rPr>
                <w:rFonts w:ascii="Arial"/>
                <w:sz w:val="21"/>
              </w:rPr>
            </w:pPr>
          </w:p>
        </w:tc>
        <w:tc>
          <w:tcPr>
            <w:tcW w:w="800" w:type="dxa"/>
            <w:vMerge w:val="continue"/>
            <w:tcBorders>
              <w:top w:val="nil"/>
            </w:tcBorders>
            <w:vAlign w:val="top"/>
          </w:tcPr>
          <w:p w14:paraId="6A64A9C8">
            <w:pPr>
              <w:rPr>
                <w:rFonts w:ascii="Arial"/>
                <w:sz w:val="21"/>
              </w:rPr>
            </w:pPr>
          </w:p>
        </w:tc>
        <w:tc>
          <w:tcPr>
            <w:tcW w:w="799" w:type="dxa"/>
            <w:vMerge w:val="continue"/>
            <w:tcBorders>
              <w:top w:val="nil"/>
            </w:tcBorders>
            <w:vAlign w:val="top"/>
          </w:tcPr>
          <w:p w14:paraId="52488208">
            <w:pPr>
              <w:rPr>
                <w:rFonts w:ascii="Arial"/>
                <w:sz w:val="21"/>
              </w:rPr>
            </w:pPr>
          </w:p>
        </w:tc>
        <w:tc>
          <w:tcPr>
            <w:tcW w:w="800" w:type="dxa"/>
            <w:vMerge w:val="continue"/>
            <w:tcBorders>
              <w:top w:val="nil"/>
            </w:tcBorders>
            <w:vAlign w:val="top"/>
          </w:tcPr>
          <w:p w14:paraId="15946B8D">
            <w:pPr>
              <w:rPr>
                <w:rFonts w:ascii="Arial"/>
                <w:sz w:val="21"/>
              </w:rPr>
            </w:pPr>
          </w:p>
        </w:tc>
        <w:tc>
          <w:tcPr>
            <w:tcW w:w="804" w:type="dxa"/>
            <w:vMerge w:val="continue"/>
            <w:tcBorders>
              <w:top w:val="nil"/>
            </w:tcBorders>
            <w:vAlign w:val="top"/>
          </w:tcPr>
          <w:p w14:paraId="0F2EB0A7">
            <w:pPr>
              <w:rPr>
                <w:rFonts w:ascii="Arial"/>
                <w:sz w:val="21"/>
              </w:rPr>
            </w:pPr>
          </w:p>
        </w:tc>
      </w:tr>
    </w:tbl>
    <w:p w14:paraId="0F51721A">
      <w:pPr>
        <w:rPr>
          <w:rFonts w:ascii="Arial"/>
          <w:sz w:val="21"/>
        </w:rPr>
      </w:pPr>
    </w:p>
    <w:p w14:paraId="3CE5A34C">
      <w:pPr>
        <w:rPr>
          <w:rFonts w:ascii="Arial" w:hAnsi="Arial" w:eastAsia="Arial" w:cs="Arial"/>
          <w:sz w:val="21"/>
          <w:szCs w:val="21"/>
        </w:rPr>
        <w:sectPr>
          <w:footerReference r:id="rId86" w:type="default"/>
          <w:pgSz w:w="16840" w:h="11910"/>
          <w:pgMar w:top="1012" w:right="1525" w:bottom="971" w:left="1564" w:header="0" w:footer="827" w:gutter="0"/>
          <w:cols w:space="720" w:num="1"/>
        </w:sectPr>
      </w:pPr>
    </w:p>
    <w:p w14:paraId="0A37721B">
      <w:pPr>
        <w:spacing w:before="15"/>
      </w:pPr>
    </w:p>
    <w:p w14:paraId="6A618C7F">
      <w:pPr>
        <w:spacing w:before="14"/>
      </w:pPr>
    </w:p>
    <w:tbl>
      <w:tblPr>
        <w:tblStyle w:val="5"/>
        <w:tblW w:w="1374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5"/>
        <w:gridCol w:w="1529"/>
        <w:gridCol w:w="3588"/>
        <w:gridCol w:w="729"/>
        <w:gridCol w:w="799"/>
        <w:gridCol w:w="770"/>
        <w:gridCol w:w="829"/>
        <w:gridCol w:w="800"/>
        <w:gridCol w:w="769"/>
        <w:gridCol w:w="800"/>
        <w:gridCol w:w="799"/>
        <w:gridCol w:w="799"/>
        <w:gridCol w:w="804"/>
      </w:tblGrid>
      <w:tr w14:paraId="68B043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4" w:hRule="atLeast"/>
        </w:trPr>
        <w:tc>
          <w:tcPr>
            <w:tcW w:w="725" w:type="dxa"/>
            <w:vAlign w:val="top"/>
          </w:tcPr>
          <w:p w14:paraId="5F1C2DEF">
            <w:pPr>
              <w:rPr>
                <w:rFonts w:ascii="Arial"/>
                <w:sz w:val="21"/>
              </w:rPr>
            </w:pPr>
          </w:p>
        </w:tc>
        <w:tc>
          <w:tcPr>
            <w:tcW w:w="1529" w:type="dxa"/>
            <w:vAlign w:val="top"/>
          </w:tcPr>
          <w:p w14:paraId="014AE728">
            <w:pPr>
              <w:rPr>
                <w:rFonts w:ascii="Arial"/>
                <w:sz w:val="21"/>
              </w:rPr>
            </w:pPr>
          </w:p>
        </w:tc>
        <w:tc>
          <w:tcPr>
            <w:tcW w:w="3588" w:type="dxa"/>
            <w:vAlign w:val="top"/>
          </w:tcPr>
          <w:p w14:paraId="4ADD8FF4">
            <w:pPr>
              <w:rPr>
                <w:rFonts w:ascii="Arial"/>
                <w:sz w:val="21"/>
              </w:rPr>
            </w:pPr>
          </w:p>
        </w:tc>
        <w:tc>
          <w:tcPr>
            <w:tcW w:w="729" w:type="dxa"/>
            <w:vAlign w:val="top"/>
          </w:tcPr>
          <w:p w14:paraId="0995E93C">
            <w:pPr>
              <w:rPr>
                <w:rFonts w:ascii="Arial"/>
                <w:sz w:val="21"/>
              </w:rPr>
            </w:pPr>
          </w:p>
        </w:tc>
        <w:tc>
          <w:tcPr>
            <w:tcW w:w="799" w:type="dxa"/>
            <w:vAlign w:val="top"/>
          </w:tcPr>
          <w:p w14:paraId="4D82D96B">
            <w:pPr>
              <w:rPr>
                <w:rFonts w:ascii="Arial"/>
                <w:sz w:val="21"/>
              </w:rPr>
            </w:pPr>
          </w:p>
        </w:tc>
        <w:tc>
          <w:tcPr>
            <w:tcW w:w="770" w:type="dxa"/>
            <w:vAlign w:val="top"/>
          </w:tcPr>
          <w:p w14:paraId="043707D2">
            <w:pPr>
              <w:rPr>
                <w:rFonts w:ascii="Arial"/>
                <w:sz w:val="21"/>
              </w:rPr>
            </w:pPr>
          </w:p>
        </w:tc>
        <w:tc>
          <w:tcPr>
            <w:tcW w:w="829" w:type="dxa"/>
            <w:vAlign w:val="top"/>
          </w:tcPr>
          <w:p w14:paraId="61F21AFA">
            <w:pPr>
              <w:rPr>
                <w:rFonts w:ascii="Arial"/>
                <w:sz w:val="21"/>
              </w:rPr>
            </w:pPr>
          </w:p>
        </w:tc>
        <w:tc>
          <w:tcPr>
            <w:tcW w:w="800" w:type="dxa"/>
            <w:vAlign w:val="top"/>
          </w:tcPr>
          <w:p w14:paraId="44E5CB19">
            <w:pPr>
              <w:rPr>
                <w:rFonts w:ascii="Arial"/>
                <w:sz w:val="21"/>
              </w:rPr>
            </w:pPr>
          </w:p>
        </w:tc>
        <w:tc>
          <w:tcPr>
            <w:tcW w:w="769" w:type="dxa"/>
            <w:vAlign w:val="top"/>
          </w:tcPr>
          <w:p w14:paraId="5CC3E6EA">
            <w:pPr>
              <w:rPr>
                <w:rFonts w:ascii="Arial"/>
                <w:sz w:val="21"/>
              </w:rPr>
            </w:pPr>
          </w:p>
        </w:tc>
        <w:tc>
          <w:tcPr>
            <w:tcW w:w="800" w:type="dxa"/>
            <w:vAlign w:val="top"/>
          </w:tcPr>
          <w:p w14:paraId="7E220F62">
            <w:pPr>
              <w:rPr>
                <w:rFonts w:ascii="Arial"/>
                <w:sz w:val="21"/>
              </w:rPr>
            </w:pPr>
          </w:p>
        </w:tc>
        <w:tc>
          <w:tcPr>
            <w:tcW w:w="799" w:type="dxa"/>
            <w:vAlign w:val="top"/>
          </w:tcPr>
          <w:p w14:paraId="13F072CB">
            <w:pPr>
              <w:rPr>
                <w:rFonts w:ascii="Arial"/>
                <w:sz w:val="21"/>
              </w:rPr>
            </w:pPr>
          </w:p>
        </w:tc>
        <w:tc>
          <w:tcPr>
            <w:tcW w:w="799" w:type="dxa"/>
            <w:vAlign w:val="top"/>
          </w:tcPr>
          <w:p w14:paraId="6FC125AC">
            <w:pPr>
              <w:rPr>
                <w:rFonts w:ascii="Arial"/>
                <w:sz w:val="21"/>
              </w:rPr>
            </w:pPr>
          </w:p>
        </w:tc>
        <w:tc>
          <w:tcPr>
            <w:tcW w:w="804" w:type="dxa"/>
            <w:vAlign w:val="top"/>
          </w:tcPr>
          <w:p w14:paraId="1059A30E">
            <w:pPr>
              <w:rPr>
                <w:rFonts w:ascii="Arial"/>
                <w:sz w:val="21"/>
              </w:rPr>
            </w:pPr>
          </w:p>
        </w:tc>
      </w:tr>
      <w:tr w14:paraId="5969B5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25" w:type="dxa"/>
            <w:vMerge w:val="restart"/>
            <w:tcBorders>
              <w:bottom w:val="nil"/>
            </w:tcBorders>
            <w:vAlign w:val="top"/>
          </w:tcPr>
          <w:p w14:paraId="594BE8F6">
            <w:pPr>
              <w:spacing w:line="268" w:lineRule="auto"/>
              <w:rPr>
                <w:rFonts w:ascii="Arial"/>
                <w:sz w:val="21"/>
              </w:rPr>
            </w:pPr>
          </w:p>
          <w:p w14:paraId="12D9F647">
            <w:pPr>
              <w:spacing w:line="268" w:lineRule="auto"/>
              <w:rPr>
                <w:rFonts w:ascii="Arial"/>
                <w:sz w:val="21"/>
              </w:rPr>
            </w:pPr>
          </w:p>
          <w:p w14:paraId="5F8ECDC4">
            <w:pPr>
              <w:pStyle w:val="6"/>
              <w:spacing w:before="72"/>
              <w:ind w:left="295"/>
              <w:rPr>
                <w:sz w:val="22"/>
                <w:szCs w:val="22"/>
              </w:rPr>
            </w:pPr>
            <w:r>
              <w:rPr>
                <w:sz w:val="22"/>
                <w:szCs w:val="22"/>
              </w:rPr>
              <w:t>6</w:t>
            </w:r>
          </w:p>
        </w:tc>
        <w:tc>
          <w:tcPr>
            <w:tcW w:w="1529" w:type="dxa"/>
            <w:vMerge w:val="restart"/>
            <w:tcBorders>
              <w:bottom w:val="nil"/>
            </w:tcBorders>
            <w:vAlign w:val="top"/>
          </w:tcPr>
          <w:p w14:paraId="4BFD6B2C">
            <w:pPr>
              <w:spacing w:line="377" w:lineRule="auto"/>
              <w:rPr>
                <w:rFonts w:ascii="Arial"/>
                <w:sz w:val="21"/>
              </w:rPr>
            </w:pPr>
          </w:p>
          <w:p w14:paraId="1CC671F0">
            <w:pPr>
              <w:pStyle w:val="6"/>
              <w:spacing w:before="72" w:line="235" w:lineRule="auto"/>
              <w:ind w:left="530" w:right="116" w:hanging="440"/>
              <w:rPr>
                <w:sz w:val="22"/>
                <w:szCs w:val="22"/>
              </w:rPr>
            </w:pPr>
            <w:r>
              <w:rPr>
                <w:spacing w:val="-2"/>
                <w:sz w:val="22"/>
                <w:szCs w:val="22"/>
              </w:rPr>
              <w:t>施工现场平面</w:t>
            </w:r>
            <w:r>
              <w:rPr>
                <w:spacing w:val="3"/>
                <w:sz w:val="22"/>
                <w:szCs w:val="22"/>
              </w:rPr>
              <w:t xml:space="preserve"> </w:t>
            </w:r>
            <w:r>
              <w:rPr>
                <w:spacing w:val="-3"/>
                <w:sz w:val="22"/>
                <w:szCs w:val="22"/>
              </w:rPr>
              <w:t>布置</w:t>
            </w:r>
          </w:p>
        </w:tc>
        <w:tc>
          <w:tcPr>
            <w:tcW w:w="3588" w:type="dxa"/>
            <w:vAlign w:val="top"/>
          </w:tcPr>
          <w:p w14:paraId="11C51988">
            <w:pPr>
              <w:rPr>
                <w:rFonts w:ascii="Arial"/>
                <w:sz w:val="21"/>
              </w:rPr>
            </w:pPr>
          </w:p>
        </w:tc>
        <w:tc>
          <w:tcPr>
            <w:tcW w:w="729" w:type="dxa"/>
            <w:vMerge w:val="restart"/>
            <w:tcBorders>
              <w:bottom w:val="nil"/>
            </w:tcBorders>
            <w:vAlign w:val="top"/>
          </w:tcPr>
          <w:p w14:paraId="158FF4BA">
            <w:pPr>
              <w:spacing w:line="258" w:lineRule="auto"/>
              <w:rPr>
                <w:rFonts w:ascii="Arial"/>
                <w:sz w:val="21"/>
              </w:rPr>
            </w:pPr>
          </w:p>
          <w:p w14:paraId="75940290">
            <w:pPr>
              <w:spacing w:line="258" w:lineRule="auto"/>
              <w:rPr>
                <w:rFonts w:ascii="Arial"/>
                <w:sz w:val="21"/>
              </w:rPr>
            </w:pPr>
          </w:p>
          <w:p w14:paraId="017E6707">
            <w:pPr>
              <w:pStyle w:val="6"/>
              <w:spacing w:before="71" w:line="220" w:lineRule="auto"/>
              <w:ind w:left="243"/>
              <w:rPr>
                <w:sz w:val="22"/>
                <w:szCs w:val="22"/>
              </w:rPr>
            </w:pPr>
            <w:r>
              <w:rPr>
                <w:sz w:val="22"/>
                <w:szCs w:val="22"/>
              </w:rPr>
              <w:t>分</w:t>
            </w:r>
          </w:p>
        </w:tc>
        <w:tc>
          <w:tcPr>
            <w:tcW w:w="799" w:type="dxa"/>
            <w:vMerge w:val="restart"/>
            <w:tcBorders>
              <w:bottom w:val="nil"/>
            </w:tcBorders>
            <w:vAlign w:val="top"/>
          </w:tcPr>
          <w:p w14:paraId="798679BB">
            <w:pPr>
              <w:rPr>
                <w:rFonts w:ascii="Arial"/>
                <w:sz w:val="21"/>
              </w:rPr>
            </w:pPr>
          </w:p>
        </w:tc>
        <w:tc>
          <w:tcPr>
            <w:tcW w:w="770" w:type="dxa"/>
            <w:vMerge w:val="restart"/>
            <w:tcBorders>
              <w:bottom w:val="nil"/>
            </w:tcBorders>
            <w:vAlign w:val="top"/>
          </w:tcPr>
          <w:p w14:paraId="677AF712">
            <w:pPr>
              <w:rPr>
                <w:rFonts w:ascii="Arial"/>
                <w:sz w:val="21"/>
              </w:rPr>
            </w:pPr>
          </w:p>
        </w:tc>
        <w:tc>
          <w:tcPr>
            <w:tcW w:w="829" w:type="dxa"/>
            <w:vMerge w:val="restart"/>
            <w:tcBorders>
              <w:bottom w:val="nil"/>
            </w:tcBorders>
            <w:vAlign w:val="top"/>
          </w:tcPr>
          <w:p w14:paraId="10495E1B">
            <w:pPr>
              <w:rPr>
                <w:rFonts w:ascii="Arial"/>
                <w:sz w:val="21"/>
              </w:rPr>
            </w:pPr>
          </w:p>
        </w:tc>
        <w:tc>
          <w:tcPr>
            <w:tcW w:w="800" w:type="dxa"/>
            <w:vMerge w:val="restart"/>
            <w:tcBorders>
              <w:bottom w:val="nil"/>
            </w:tcBorders>
            <w:vAlign w:val="top"/>
          </w:tcPr>
          <w:p w14:paraId="390F5F71">
            <w:pPr>
              <w:rPr>
                <w:rFonts w:ascii="Arial"/>
                <w:sz w:val="21"/>
              </w:rPr>
            </w:pPr>
          </w:p>
        </w:tc>
        <w:tc>
          <w:tcPr>
            <w:tcW w:w="769" w:type="dxa"/>
            <w:vMerge w:val="restart"/>
            <w:tcBorders>
              <w:bottom w:val="nil"/>
            </w:tcBorders>
            <w:vAlign w:val="top"/>
          </w:tcPr>
          <w:p w14:paraId="3A9422DC">
            <w:pPr>
              <w:rPr>
                <w:rFonts w:ascii="Arial"/>
                <w:sz w:val="21"/>
              </w:rPr>
            </w:pPr>
          </w:p>
        </w:tc>
        <w:tc>
          <w:tcPr>
            <w:tcW w:w="800" w:type="dxa"/>
            <w:vMerge w:val="restart"/>
            <w:tcBorders>
              <w:bottom w:val="nil"/>
            </w:tcBorders>
            <w:vAlign w:val="top"/>
          </w:tcPr>
          <w:p w14:paraId="7F8ACB12">
            <w:pPr>
              <w:rPr>
                <w:rFonts w:ascii="Arial"/>
                <w:sz w:val="21"/>
              </w:rPr>
            </w:pPr>
          </w:p>
        </w:tc>
        <w:tc>
          <w:tcPr>
            <w:tcW w:w="799" w:type="dxa"/>
            <w:vMerge w:val="restart"/>
            <w:tcBorders>
              <w:bottom w:val="nil"/>
            </w:tcBorders>
            <w:vAlign w:val="top"/>
          </w:tcPr>
          <w:p w14:paraId="6AD8F414">
            <w:pPr>
              <w:rPr>
                <w:rFonts w:ascii="Arial"/>
                <w:sz w:val="21"/>
              </w:rPr>
            </w:pPr>
          </w:p>
        </w:tc>
        <w:tc>
          <w:tcPr>
            <w:tcW w:w="799" w:type="dxa"/>
            <w:vMerge w:val="restart"/>
            <w:tcBorders>
              <w:bottom w:val="nil"/>
            </w:tcBorders>
            <w:vAlign w:val="top"/>
          </w:tcPr>
          <w:p w14:paraId="3269C6F2">
            <w:pPr>
              <w:rPr>
                <w:rFonts w:ascii="Arial"/>
                <w:sz w:val="21"/>
              </w:rPr>
            </w:pPr>
          </w:p>
        </w:tc>
        <w:tc>
          <w:tcPr>
            <w:tcW w:w="804" w:type="dxa"/>
            <w:vMerge w:val="restart"/>
            <w:tcBorders>
              <w:bottom w:val="nil"/>
            </w:tcBorders>
            <w:vAlign w:val="top"/>
          </w:tcPr>
          <w:p w14:paraId="781D6AAD">
            <w:pPr>
              <w:rPr>
                <w:rFonts w:ascii="Arial"/>
                <w:sz w:val="21"/>
              </w:rPr>
            </w:pPr>
          </w:p>
        </w:tc>
      </w:tr>
      <w:tr w14:paraId="008309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25" w:type="dxa"/>
            <w:vMerge w:val="continue"/>
            <w:tcBorders>
              <w:top w:val="nil"/>
              <w:bottom w:val="nil"/>
            </w:tcBorders>
            <w:vAlign w:val="top"/>
          </w:tcPr>
          <w:p w14:paraId="1FEB21BF">
            <w:pPr>
              <w:rPr>
                <w:rFonts w:ascii="Arial"/>
                <w:sz w:val="21"/>
              </w:rPr>
            </w:pPr>
          </w:p>
        </w:tc>
        <w:tc>
          <w:tcPr>
            <w:tcW w:w="1529" w:type="dxa"/>
            <w:vMerge w:val="continue"/>
            <w:tcBorders>
              <w:top w:val="nil"/>
              <w:bottom w:val="nil"/>
            </w:tcBorders>
            <w:vAlign w:val="top"/>
          </w:tcPr>
          <w:p w14:paraId="6ADA18DD">
            <w:pPr>
              <w:rPr>
                <w:rFonts w:ascii="Arial"/>
                <w:sz w:val="21"/>
              </w:rPr>
            </w:pPr>
          </w:p>
        </w:tc>
        <w:tc>
          <w:tcPr>
            <w:tcW w:w="3588" w:type="dxa"/>
            <w:vAlign w:val="top"/>
          </w:tcPr>
          <w:p w14:paraId="5A3120DC">
            <w:pPr>
              <w:rPr>
                <w:rFonts w:ascii="Arial"/>
                <w:sz w:val="21"/>
              </w:rPr>
            </w:pPr>
          </w:p>
        </w:tc>
        <w:tc>
          <w:tcPr>
            <w:tcW w:w="729" w:type="dxa"/>
            <w:vMerge w:val="continue"/>
            <w:tcBorders>
              <w:top w:val="nil"/>
              <w:bottom w:val="nil"/>
            </w:tcBorders>
            <w:vAlign w:val="top"/>
          </w:tcPr>
          <w:p w14:paraId="6ABE3965">
            <w:pPr>
              <w:rPr>
                <w:rFonts w:ascii="Arial"/>
                <w:sz w:val="21"/>
              </w:rPr>
            </w:pPr>
          </w:p>
        </w:tc>
        <w:tc>
          <w:tcPr>
            <w:tcW w:w="799" w:type="dxa"/>
            <w:vMerge w:val="continue"/>
            <w:tcBorders>
              <w:top w:val="nil"/>
              <w:bottom w:val="nil"/>
            </w:tcBorders>
            <w:vAlign w:val="top"/>
          </w:tcPr>
          <w:p w14:paraId="2B4DCBC1">
            <w:pPr>
              <w:rPr>
                <w:rFonts w:ascii="Arial"/>
                <w:sz w:val="21"/>
              </w:rPr>
            </w:pPr>
          </w:p>
        </w:tc>
        <w:tc>
          <w:tcPr>
            <w:tcW w:w="770" w:type="dxa"/>
            <w:vMerge w:val="continue"/>
            <w:tcBorders>
              <w:top w:val="nil"/>
              <w:bottom w:val="nil"/>
            </w:tcBorders>
            <w:vAlign w:val="top"/>
          </w:tcPr>
          <w:p w14:paraId="50FE037A">
            <w:pPr>
              <w:rPr>
                <w:rFonts w:ascii="Arial"/>
                <w:sz w:val="21"/>
              </w:rPr>
            </w:pPr>
          </w:p>
        </w:tc>
        <w:tc>
          <w:tcPr>
            <w:tcW w:w="829" w:type="dxa"/>
            <w:vMerge w:val="continue"/>
            <w:tcBorders>
              <w:top w:val="nil"/>
              <w:bottom w:val="nil"/>
            </w:tcBorders>
            <w:vAlign w:val="top"/>
          </w:tcPr>
          <w:p w14:paraId="7D689ADE">
            <w:pPr>
              <w:rPr>
                <w:rFonts w:ascii="Arial"/>
                <w:sz w:val="21"/>
              </w:rPr>
            </w:pPr>
          </w:p>
        </w:tc>
        <w:tc>
          <w:tcPr>
            <w:tcW w:w="800" w:type="dxa"/>
            <w:vMerge w:val="continue"/>
            <w:tcBorders>
              <w:top w:val="nil"/>
              <w:bottom w:val="nil"/>
            </w:tcBorders>
            <w:vAlign w:val="top"/>
          </w:tcPr>
          <w:p w14:paraId="43948793">
            <w:pPr>
              <w:rPr>
                <w:rFonts w:ascii="Arial"/>
                <w:sz w:val="21"/>
              </w:rPr>
            </w:pPr>
          </w:p>
        </w:tc>
        <w:tc>
          <w:tcPr>
            <w:tcW w:w="769" w:type="dxa"/>
            <w:vMerge w:val="continue"/>
            <w:tcBorders>
              <w:top w:val="nil"/>
              <w:bottom w:val="nil"/>
            </w:tcBorders>
            <w:vAlign w:val="top"/>
          </w:tcPr>
          <w:p w14:paraId="2D20325C">
            <w:pPr>
              <w:rPr>
                <w:rFonts w:ascii="Arial"/>
                <w:sz w:val="21"/>
              </w:rPr>
            </w:pPr>
          </w:p>
        </w:tc>
        <w:tc>
          <w:tcPr>
            <w:tcW w:w="800" w:type="dxa"/>
            <w:vMerge w:val="continue"/>
            <w:tcBorders>
              <w:top w:val="nil"/>
              <w:bottom w:val="nil"/>
            </w:tcBorders>
            <w:vAlign w:val="top"/>
          </w:tcPr>
          <w:p w14:paraId="13A8DCE1">
            <w:pPr>
              <w:rPr>
                <w:rFonts w:ascii="Arial"/>
                <w:sz w:val="21"/>
              </w:rPr>
            </w:pPr>
          </w:p>
        </w:tc>
        <w:tc>
          <w:tcPr>
            <w:tcW w:w="799" w:type="dxa"/>
            <w:vMerge w:val="continue"/>
            <w:tcBorders>
              <w:top w:val="nil"/>
              <w:bottom w:val="nil"/>
            </w:tcBorders>
            <w:vAlign w:val="top"/>
          </w:tcPr>
          <w:p w14:paraId="1A95A0C8">
            <w:pPr>
              <w:rPr>
                <w:rFonts w:ascii="Arial"/>
                <w:sz w:val="21"/>
              </w:rPr>
            </w:pPr>
          </w:p>
        </w:tc>
        <w:tc>
          <w:tcPr>
            <w:tcW w:w="799" w:type="dxa"/>
            <w:vMerge w:val="continue"/>
            <w:tcBorders>
              <w:top w:val="nil"/>
              <w:bottom w:val="nil"/>
            </w:tcBorders>
            <w:vAlign w:val="top"/>
          </w:tcPr>
          <w:p w14:paraId="035BAF3C">
            <w:pPr>
              <w:rPr>
                <w:rFonts w:ascii="Arial"/>
                <w:sz w:val="21"/>
              </w:rPr>
            </w:pPr>
          </w:p>
        </w:tc>
        <w:tc>
          <w:tcPr>
            <w:tcW w:w="804" w:type="dxa"/>
            <w:vMerge w:val="continue"/>
            <w:tcBorders>
              <w:top w:val="nil"/>
              <w:bottom w:val="nil"/>
            </w:tcBorders>
            <w:vAlign w:val="top"/>
          </w:tcPr>
          <w:p w14:paraId="17E6C179">
            <w:pPr>
              <w:rPr>
                <w:rFonts w:ascii="Arial"/>
                <w:sz w:val="21"/>
              </w:rPr>
            </w:pPr>
          </w:p>
        </w:tc>
      </w:tr>
      <w:tr w14:paraId="76D119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25" w:type="dxa"/>
            <w:vMerge w:val="continue"/>
            <w:tcBorders>
              <w:top w:val="nil"/>
              <w:bottom w:val="nil"/>
            </w:tcBorders>
            <w:vAlign w:val="top"/>
          </w:tcPr>
          <w:p w14:paraId="28A2EFB3">
            <w:pPr>
              <w:rPr>
                <w:rFonts w:ascii="Arial"/>
                <w:sz w:val="21"/>
              </w:rPr>
            </w:pPr>
          </w:p>
        </w:tc>
        <w:tc>
          <w:tcPr>
            <w:tcW w:w="1529" w:type="dxa"/>
            <w:vMerge w:val="continue"/>
            <w:tcBorders>
              <w:top w:val="nil"/>
              <w:bottom w:val="nil"/>
            </w:tcBorders>
            <w:vAlign w:val="top"/>
          </w:tcPr>
          <w:p w14:paraId="6F570D1C">
            <w:pPr>
              <w:rPr>
                <w:rFonts w:ascii="Arial"/>
                <w:sz w:val="21"/>
              </w:rPr>
            </w:pPr>
          </w:p>
        </w:tc>
        <w:tc>
          <w:tcPr>
            <w:tcW w:w="3588" w:type="dxa"/>
            <w:vAlign w:val="top"/>
          </w:tcPr>
          <w:p w14:paraId="75EBD401">
            <w:pPr>
              <w:rPr>
                <w:rFonts w:ascii="Arial"/>
                <w:sz w:val="21"/>
              </w:rPr>
            </w:pPr>
          </w:p>
        </w:tc>
        <w:tc>
          <w:tcPr>
            <w:tcW w:w="729" w:type="dxa"/>
            <w:vMerge w:val="continue"/>
            <w:tcBorders>
              <w:top w:val="nil"/>
              <w:bottom w:val="nil"/>
            </w:tcBorders>
            <w:vAlign w:val="top"/>
          </w:tcPr>
          <w:p w14:paraId="404C6DED">
            <w:pPr>
              <w:rPr>
                <w:rFonts w:ascii="Arial"/>
                <w:sz w:val="21"/>
              </w:rPr>
            </w:pPr>
          </w:p>
        </w:tc>
        <w:tc>
          <w:tcPr>
            <w:tcW w:w="799" w:type="dxa"/>
            <w:vMerge w:val="continue"/>
            <w:tcBorders>
              <w:top w:val="nil"/>
              <w:bottom w:val="nil"/>
            </w:tcBorders>
            <w:vAlign w:val="top"/>
          </w:tcPr>
          <w:p w14:paraId="70F1B2C4">
            <w:pPr>
              <w:rPr>
                <w:rFonts w:ascii="Arial"/>
                <w:sz w:val="21"/>
              </w:rPr>
            </w:pPr>
          </w:p>
        </w:tc>
        <w:tc>
          <w:tcPr>
            <w:tcW w:w="770" w:type="dxa"/>
            <w:vMerge w:val="continue"/>
            <w:tcBorders>
              <w:top w:val="nil"/>
              <w:bottom w:val="nil"/>
            </w:tcBorders>
            <w:vAlign w:val="top"/>
          </w:tcPr>
          <w:p w14:paraId="722CA931">
            <w:pPr>
              <w:rPr>
                <w:rFonts w:ascii="Arial"/>
                <w:sz w:val="21"/>
              </w:rPr>
            </w:pPr>
          </w:p>
        </w:tc>
        <w:tc>
          <w:tcPr>
            <w:tcW w:w="829" w:type="dxa"/>
            <w:vMerge w:val="continue"/>
            <w:tcBorders>
              <w:top w:val="nil"/>
              <w:bottom w:val="nil"/>
            </w:tcBorders>
            <w:vAlign w:val="top"/>
          </w:tcPr>
          <w:p w14:paraId="4A4C1A15">
            <w:pPr>
              <w:rPr>
                <w:rFonts w:ascii="Arial"/>
                <w:sz w:val="21"/>
              </w:rPr>
            </w:pPr>
          </w:p>
        </w:tc>
        <w:tc>
          <w:tcPr>
            <w:tcW w:w="800" w:type="dxa"/>
            <w:vMerge w:val="continue"/>
            <w:tcBorders>
              <w:top w:val="nil"/>
              <w:bottom w:val="nil"/>
            </w:tcBorders>
            <w:vAlign w:val="top"/>
          </w:tcPr>
          <w:p w14:paraId="4D716AE9">
            <w:pPr>
              <w:rPr>
                <w:rFonts w:ascii="Arial"/>
                <w:sz w:val="21"/>
              </w:rPr>
            </w:pPr>
          </w:p>
        </w:tc>
        <w:tc>
          <w:tcPr>
            <w:tcW w:w="769" w:type="dxa"/>
            <w:vMerge w:val="continue"/>
            <w:tcBorders>
              <w:top w:val="nil"/>
              <w:bottom w:val="nil"/>
            </w:tcBorders>
            <w:vAlign w:val="top"/>
          </w:tcPr>
          <w:p w14:paraId="33CD9190">
            <w:pPr>
              <w:rPr>
                <w:rFonts w:ascii="Arial"/>
                <w:sz w:val="21"/>
              </w:rPr>
            </w:pPr>
          </w:p>
        </w:tc>
        <w:tc>
          <w:tcPr>
            <w:tcW w:w="800" w:type="dxa"/>
            <w:vMerge w:val="continue"/>
            <w:tcBorders>
              <w:top w:val="nil"/>
              <w:bottom w:val="nil"/>
            </w:tcBorders>
            <w:vAlign w:val="top"/>
          </w:tcPr>
          <w:p w14:paraId="36E6C1ED">
            <w:pPr>
              <w:rPr>
                <w:rFonts w:ascii="Arial"/>
                <w:sz w:val="21"/>
              </w:rPr>
            </w:pPr>
          </w:p>
        </w:tc>
        <w:tc>
          <w:tcPr>
            <w:tcW w:w="799" w:type="dxa"/>
            <w:vMerge w:val="continue"/>
            <w:tcBorders>
              <w:top w:val="nil"/>
              <w:bottom w:val="nil"/>
            </w:tcBorders>
            <w:vAlign w:val="top"/>
          </w:tcPr>
          <w:p w14:paraId="583BCF35">
            <w:pPr>
              <w:rPr>
                <w:rFonts w:ascii="Arial"/>
                <w:sz w:val="21"/>
              </w:rPr>
            </w:pPr>
          </w:p>
        </w:tc>
        <w:tc>
          <w:tcPr>
            <w:tcW w:w="799" w:type="dxa"/>
            <w:vMerge w:val="continue"/>
            <w:tcBorders>
              <w:top w:val="nil"/>
              <w:bottom w:val="nil"/>
            </w:tcBorders>
            <w:vAlign w:val="top"/>
          </w:tcPr>
          <w:p w14:paraId="0DA381A8">
            <w:pPr>
              <w:rPr>
                <w:rFonts w:ascii="Arial"/>
                <w:sz w:val="21"/>
              </w:rPr>
            </w:pPr>
          </w:p>
        </w:tc>
        <w:tc>
          <w:tcPr>
            <w:tcW w:w="804" w:type="dxa"/>
            <w:vMerge w:val="continue"/>
            <w:tcBorders>
              <w:top w:val="nil"/>
              <w:bottom w:val="nil"/>
            </w:tcBorders>
            <w:vAlign w:val="top"/>
          </w:tcPr>
          <w:p w14:paraId="2128DCDA">
            <w:pPr>
              <w:rPr>
                <w:rFonts w:ascii="Arial"/>
                <w:sz w:val="21"/>
              </w:rPr>
            </w:pPr>
          </w:p>
        </w:tc>
      </w:tr>
      <w:tr w14:paraId="24C5EC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725" w:type="dxa"/>
            <w:vMerge w:val="continue"/>
            <w:tcBorders>
              <w:top w:val="nil"/>
            </w:tcBorders>
            <w:vAlign w:val="top"/>
          </w:tcPr>
          <w:p w14:paraId="0CE477D1">
            <w:pPr>
              <w:rPr>
                <w:rFonts w:ascii="Arial"/>
                <w:sz w:val="21"/>
              </w:rPr>
            </w:pPr>
          </w:p>
        </w:tc>
        <w:tc>
          <w:tcPr>
            <w:tcW w:w="1529" w:type="dxa"/>
            <w:vMerge w:val="continue"/>
            <w:tcBorders>
              <w:top w:val="nil"/>
            </w:tcBorders>
            <w:vAlign w:val="top"/>
          </w:tcPr>
          <w:p w14:paraId="448662D5">
            <w:pPr>
              <w:rPr>
                <w:rFonts w:ascii="Arial"/>
                <w:sz w:val="21"/>
              </w:rPr>
            </w:pPr>
          </w:p>
        </w:tc>
        <w:tc>
          <w:tcPr>
            <w:tcW w:w="3588" w:type="dxa"/>
            <w:vAlign w:val="top"/>
          </w:tcPr>
          <w:p w14:paraId="016C2A03">
            <w:pPr>
              <w:rPr>
                <w:rFonts w:ascii="Arial"/>
                <w:sz w:val="21"/>
              </w:rPr>
            </w:pPr>
          </w:p>
        </w:tc>
        <w:tc>
          <w:tcPr>
            <w:tcW w:w="729" w:type="dxa"/>
            <w:vMerge w:val="continue"/>
            <w:tcBorders>
              <w:top w:val="nil"/>
            </w:tcBorders>
            <w:vAlign w:val="top"/>
          </w:tcPr>
          <w:p w14:paraId="42C027D4">
            <w:pPr>
              <w:rPr>
                <w:rFonts w:ascii="Arial"/>
                <w:sz w:val="21"/>
              </w:rPr>
            </w:pPr>
          </w:p>
        </w:tc>
        <w:tc>
          <w:tcPr>
            <w:tcW w:w="799" w:type="dxa"/>
            <w:vMerge w:val="continue"/>
            <w:tcBorders>
              <w:top w:val="nil"/>
            </w:tcBorders>
            <w:vAlign w:val="top"/>
          </w:tcPr>
          <w:p w14:paraId="09615BC8">
            <w:pPr>
              <w:rPr>
                <w:rFonts w:ascii="Arial"/>
                <w:sz w:val="21"/>
              </w:rPr>
            </w:pPr>
          </w:p>
        </w:tc>
        <w:tc>
          <w:tcPr>
            <w:tcW w:w="770" w:type="dxa"/>
            <w:vMerge w:val="continue"/>
            <w:tcBorders>
              <w:top w:val="nil"/>
            </w:tcBorders>
            <w:vAlign w:val="top"/>
          </w:tcPr>
          <w:p w14:paraId="01D0DB39">
            <w:pPr>
              <w:rPr>
                <w:rFonts w:ascii="Arial"/>
                <w:sz w:val="21"/>
              </w:rPr>
            </w:pPr>
          </w:p>
        </w:tc>
        <w:tc>
          <w:tcPr>
            <w:tcW w:w="829" w:type="dxa"/>
            <w:vMerge w:val="continue"/>
            <w:tcBorders>
              <w:top w:val="nil"/>
            </w:tcBorders>
            <w:vAlign w:val="top"/>
          </w:tcPr>
          <w:p w14:paraId="078BF257">
            <w:pPr>
              <w:rPr>
                <w:rFonts w:ascii="Arial"/>
                <w:sz w:val="21"/>
              </w:rPr>
            </w:pPr>
          </w:p>
        </w:tc>
        <w:tc>
          <w:tcPr>
            <w:tcW w:w="800" w:type="dxa"/>
            <w:vMerge w:val="continue"/>
            <w:tcBorders>
              <w:top w:val="nil"/>
            </w:tcBorders>
            <w:vAlign w:val="top"/>
          </w:tcPr>
          <w:p w14:paraId="3D0EB5A3">
            <w:pPr>
              <w:rPr>
                <w:rFonts w:ascii="Arial"/>
                <w:sz w:val="21"/>
              </w:rPr>
            </w:pPr>
          </w:p>
        </w:tc>
        <w:tc>
          <w:tcPr>
            <w:tcW w:w="769" w:type="dxa"/>
            <w:vMerge w:val="continue"/>
            <w:tcBorders>
              <w:top w:val="nil"/>
            </w:tcBorders>
            <w:vAlign w:val="top"/>
          </w:tcPr>
          <w:p w14:paraId="0B0F5694">
            <w:pPr>
              <w:rPr>
                <w:rFonts w:ascii="Arial"/>
                <w:sz w:val="21"/>
              </w:rPr>
            </w:pPr>
          </w:p>
        </w:tc>
        <w:tc>
          <w:tcPr>
            <w:tcW w:w="800" w:type="dxa"/>
            <w:vMerge w:val="continue"/>
            <w:tcBorders>
              <w:top w:val="nil"/>
            </w:tcBorders>
            <w:vAlign w:val="top"/>
          </w:tcPr>
          <w:p w14:paraId="673ABEEC">
            <w:pPr>
              <w:rPr>
                <w:rFonts w:ascii="Arial"/>
                <w:sz w:val="21"/>
              </w:rPr>
            </w:pPr>
          </w:p>
        </w:tc>
        <w:tc>
          <w:tcPr>
            <w:tcW w:w="799" w:type="dxa"/>
            <w:vMerge w:val="continue"/>
            <w:tcBorders>
              <w:top w:val="nil"/>
            </w:tcBorders>
            <w:vAlign w:val="top"/>
          </w:tcPr>
          <w:p w14:paraId="6CD5ECA8">
            <w:pPr>
              <w:rPr>
                <w:rFonts w:ascii="Arial"/>
                <w:sz w:val="21"/>
              </w:rPr>
            </w:pPr>
          </w:p>
        </w:tc>
        <w:tc>
          <w:tcPr>
            <w:tcW w:w="799" w:type="dxa"/>
            <w:vMerge w:val="continue"/>
            <w:tcBorders>
              <w:top w:val="nil"/>
            </w:tcBorders>
            <w:vAlign w:val="top"/>
          </w:tcPr>
          <w:p w14:paraId="6F2F3D57">
            <w:pPr>
              <w:rPr>
                <w:rFonts w:ascii="Arial"/>
                <w:sz w:val="21"/>
              </w:rPr>
            </w:pPr>
          </w:p>
        </w:tc>
        <w:tc>
          <w:tcPr>
            <w:tcW w:w="804" w:type="dxa"/>
            <w:vMerge w:val="continue"/>
            <w:tcBorders>
              <w:top w:val="nil"/>
            </w:tcBorders>
            <w:vAlign w:val="top"/>
          </w:tcPr>
          <w:p w14:paraId="4C7E3930">
            <w:pPr>
              <w:rPr>
                <w:rFonts w:ascii="Arial"/>
                <w:sz w:val="21"/>
              </w:rPr>
            </w:pPr>
          </w:p>
        </w:tc>
      </w:tr>
      <w:tr w14:paraId="2ED13A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25" w:type="dxa"/>
            <w:vMerge w:val="restart"/>
            <w:tcBorders>
              <w:bottom w:val="nil"/>
            </w:tcBorders>
            <w:vAlign w:val="top"/>
          </w:tcPr>
          <w:p w14:paraId="4E3D593B">
            <w:pPr>
              <w:spacing w:line="269" w:lineRule="auto"/>
              <w:rPr>
                <w:rFonts w:ascii="Arial"/>
                <w:sz w:val="21"/>
              </w:rPr>
            </w:pPr>
          </w:p>
          <w:p w14:paraId="0EC1B1BE">
            <w:pPr>
              <w:spacing w:line="270" w:lineRule="auto"/>
              <w:rPr>
                <w:rFonts w:ascii="Arial"/>
                <w:sz w:val="21"/>
              </w:rPr>
            </w:pPr>
          </w:p>
          <w:p w14:paraId="0E673207">
            <w:pPr>
              <w:pStyle w:val="6"/>
              <w:spacing w:before="72"/>
              <w:ind w:left="295"/>
              <w:rPr>
                <w:sz w:val="22"/>
                <w:szCs w:val="22"/>
              </w:rPr>
            </w:pPr>
            <w:r>
              <w:rPr>
                <w:sz w:val="22"/>
                <w:szCs w:val="22"/>
              </w:rPr>
              <w:t>7</w:t>
            </w:r>
          </w:p>
        </w:tc>
        <w:tc>
          <w:tcPr>
            <w:tcW w:w="1529" w:type="dxa"/>
            <w:vMerge w:val="restart"/>
            <w:tcBorders>
              <w:bottom w:val="nil"/>
            </w:tcBorders>
            <w:vAlign w:val="top"/>
          </w:tcPr>
          <w:p w14:paraId="7737C92C">
            <w:pPr>
              <w:spacing w:line="409" w:lineRule="auto"/>
              <w:rPr>
                <w:rFonts w:ascii="Arial"/>
                <w:sz w:val="21"/>
              </w:rPr>
            </w:pPr>
          </w:p>
          <w:p w14:paraId="10F816FF">
            <w:pPr>
              <w:pStyle w:val="6"/>
              <w:spacing w:before="72" w:line="222" w:lineRule="auto"/>
              <w:ind w:left="530" w:right="119" w:hanging="440"/>
              <w:rPr>
                <w:sz w:val="22"/>
                <w:szCs w:val="22"/>
              </w:rPr>
            </w:pPr>
            <w:r>
              <w:rPr>
                <w:spacing w:val="-2"/>
                <w:sz w:val="22"/>
                <w:szCs w:val="22"/>
              </w:rPr>
              <w:t>主要施工管理</w:t>
            </w:r>
            <w:r>
              <w:rPr>
                <w:sz w:val="22"/>
                <w:szCs w:val="22"/>
              </w:rPr>
              <w:t xml:space="preserve"> </w:t>
            </w:r>
            <w:r>
              <w:rPr>
                <w:spacing w:val="8"/>
                <w:sz w:val="22"/>
                <w:szCs w:val="22"/>
              </w:rPr>
              <w:t>计划</w:t>
            </w:r>
          </w:p>
        </w:tc>
        <w:tc>
          <w:tcPr>
            <w:tcW w:w="3588" w:type="dxa"/>
            <w:vAlign w:val="top"/>
          </w:tcPr>
          <w:p w14:paraId="4EA0B2C5">
            <w:pPr>
              <w:rPr>
                <w:rFonts w:ascii="Arial"/>
                <w:sz w:val="21"/>
              </w:rPr>
            </w:pPr>
          </w:p>
        </w:tc>
        <w:tc>
          <w:tcPr>
            <w:tcW w:w="729" w:type="dxa"/>
            <w:vMerge w:val="restart"/>
            <w:tcBorders>
              <w:bottom w:val="nil"/>
            </w:tcBorders>
            <w:vAlign w:val="top"/>
          </w:tcPr>
          <w:p w14:paraId="2A921E68">
            <w:pPr>
              <w:spacing w:line="259" w:lineRule="auto"/>
              <w:rPr>
                <w:rFonts w:ascii="Arial"/>
                <w:sz w:val="21"/>
              </w:rPr>
            </w:pPr>
          </w:p>
          <w:p w14:paraId="198A1211">
            <w:pPr>
              <w:spacing w:line="260" w:lineRule="auto"/>
              <w:rPr>
                <w:rFonts w:ascii="Arial"/>
                <w:sz w:val="21"/>
              </w:rPr>
            </w:pPr>
          </w:p>
          <w:p w14:paraId="39690A0E">
            <w:pPr>
              <w:pStyle w:val="6"/>
              <w:spacing w:before="71" w:line="220" w:lineRule="auto"/>
              <w:ind w:left="243"/>
              <w:rPr>
                <w:sz w:val="22"/>
                <w:szCs w:val="22"/>
              </w:rPr>
            </w:pPr>
            <w:r>
              <w:rPr>
                <w:sz w:val="22"/>
                <w:szCs w:val="22"/>
              </w:rPr>
              <w:t>分</w:t>
            </w:r>
          </w:p>
        </w:tc>
        <w:tc>
          <w:tcPr>
            <w:tcW w:w="799" w:type="dxa"/>
            <w:vMerge w:val="restart"/>
            <w:tcBorders>
              <w:bottom w:val="nil"/>
            </w:tcBorders>
            <w:vAlign w:val="top"/>
          </w:tcPr>
          <w:p w14:paraId="566F0D8E">
            <w:pPr>
              <w:rPr>
                <w:rFonts w:ascii="Arial"/>
                <w:sz w:val="21"/>
              </w:rPr>
            </w:pPr>
          </w:p>
        </w:tc>
        <w:tc>
          <w:tcPr>
            <w:tcW w:w="770" w:type="dxa"/>
            <w:vMerge w:val="restart"/>
            <w:tcBorders>
              <w:bottom w:val="nil"/>
            </w:tcBorders>
            <w:vAlign w:val="top"/>
          </w:tcPr>
          <w:p w14:paraId="2723CCF6">
            <w:pPr>
              <w:rPr>
                <w:rFonts w:ascii="Arial"/>
                <w:sz w:val="21"/>
              </w:rPr>
            </w:pPr>
          </w:p>
        </w:tc>
        <w:tc>
          <w:tcPr>
            <w:tcW w:w="829" w:type="dxa"/>
            <w:vMerge w:val="restart"/>
            <w:tcBorders>
              <w:bottom w:val="nil"/>
            </w:tcBorders>
            <w:vAlign w:val="top"/>
          </w:tcPr>
          <w:p w14:paraId="3732FCB7">
            <w:pPr>
              <w:rPr>
                <w:rFonts w:ascii="Arial"/>
                <w:sz w:val="21"/>
              </w:rPr>
            </w:pPr>
          </w:p>
        </w:tc>
        <w:tc>
          <w:tcPr>
            <w:tcW w:w="800" w:type="dxa"/>
            <w:vMerge w:val="restart"/>
            <w:tcBorders>
              <w:bottom w:val="nil"/>
            </w:tcBorders>
            <w:vAlign w:val="top"/>
          </w:tcPr>
          <w:p w14:paraId="46F2BBA3">
            <w:pPr>
              <w:rPr>
                <w:rFonts w:ascii="Arial"/>
                <w:sz w:val="21"/>
              </w:rPr>
            </w:pPr>
          </w:p>
        </w:tc>
        <w:tc>
          <w:tcPr>
            <w:tcW w:w="769" w:type="dxa"/>
            <w:vMerge w:val="restart"/>
            <w:tcBorders>
              <w:bottom w:val="nil"/>
            </w:tcBorders>
            <w:vAlign w:val="top"/>
          </w:tcPr>
          <w:p w14:paraId="77169563">
            <w:pPr>
              <w:rPr>
                <w:rFonts w:ascii="Arial"/>
                <w:sz w:val="21"/>
              </w:rPr>
            </w:pPr>
          </w:p>
        </w:tc>
        <w:tc>
          <w:tcPr>
            <w:tcW w:w="800" w:type="dxa"/>
            <w:vMerge w:val="restart"/>
            <w:tcBorders>
              <w:bottom w:val="nil"/>
            </w:tcBorders>
            <w:vAlign w:val="top"/>
          </w:tcPr>
          <w:p w14:paraId="228BAFA9">
            <w:pPr>
              <w:rPr>
                <w:rFonts w:ascii="Arial"/>
                <w:sz w:val="21"/>
              </w:rPr>
            </w:pPr>
          </w:p>
        </w:tc>
        <w:tc>
          <w:tcPr>
            <w:tcW w:w="799" w:type="dxa"/>
            <w:vMerge w:val="restart"/>
            <w:tcBorders>
              <w:bottom w:val="nil"/>
            </w:tcBorders>
            <w:vAlign w:val="top"/>
          </w:tcPr>
          <w:p w14:paraId="352CED02">
            <w:pPr>
              <w:rPr>
                <w:rFonts w:ascii="Arial"/>
                <w:sz w:val="21"/>
              </w:rPr>
            </w:pPr>
          </w:p>
        </w:tc>
        <w:tc>
          <w:tcPr>
            <w:tcW w:w="799" w:type="dxa"/>
            <w:vMerge w:val="restart"/>
            <w:tcBorders>
              <w:bottom w:val="nil"/>
            </w:tcBorders>
            <w:vAlign w:val="top"/>
          </w:tcPr>
          <w:p w14:paraId="16A6B5F8">
            <w:pPr>
              <w:rPr>
                <w:rFonts w:ascii="Arial"/>
                <w:sz w:val="21"/>
              </w:rPr>
            </w:pPr>
          </w:p>
        </w:tc>
        <w:tc>
          <w:tcPr>
            <w:tcW w:w="804" w:type="dxa"/>
            <w:vMerge w:val="restart"/>
            <w:tcBorders>
              <w:bottom w:val="nil"/>
            </w:tcBorders>
            <w:vAlign w:val="top"/>
          </w:tcPr>
          <w:p w14:paraId="7102F773">
            <w:pPr>
              <w:rPr>
                <w:rFonts w:ascii="Arial"/>
                <w:sz w:val="21"/>
              </w:rPr>
            </w:pPr>
          </w:p>
        </w:tc>
      </w:tr>
      <w:tr w14:paraId="5EEE5A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25" w:type="dxa"/>
            <w:vMerge w:val="continue"/>
            <w:tcBorders>
              <w:top w:val="nil"/>
              <w:bottom w:val="nil"/>
            </w:tcBorders>
            <w:vAlign w:val="top"/>
          </w:tcPr>
          <w:p w14:paraId="59700140">
            <w:pPr>
              <w:rPr>
                <w:rFonts w:ascii="Arial"/>
                <w:sz w:val="21"/>
              </w:rPr>
            </w:pPr>
          </w:p>
        </w:tc>
        <w:tc>
          <w:tcPr>
            <w:tcW w:w="1529" w:type="dxa"/>
            <w:vMerge w:val="continue"/>
            <w:tcBorders>
              <w:top w:val="nil"/>
              <w:bottom w:val="nil"/>
            </w:tcBorders>
            <w:vAlign w:val="top"/>
          </w:tcPr>
          <w:p w14:paraId="1D07B15B">
            <w:pPr>
              <w:rPr>
                <w:rFonts w:ascii="Arial"/>
                <w:sz w:val="21"/>
              </w:rPr>
            </w:pPr>
          </w:p>
        </w:tc>
        <w:tc>
          <w:tcPr>
            <w:tcW w:w="3588" w:type="dxa"/>
            <w:vAlign w:val="top"/>
          </w:tcPr>
          <w:p w14:paraId="66D36AE3">
            <w:pPr>
              <w:rPr>
                <w:rFonts w:ascii="Arial"/>
                <w:sz w:val="21"/>
              </w:rPr>
            </w:pPr>
          </w:p>
        </w:tc>
        <w:tc>
          <w:tcPr>
            <w:tcW w:w="729" w:type="dxa"/>
            <w:vMerge w:val="continue"/>
            <w:tcBorders>
              <w:top w:val="nil"/>
              <w:bottom w:val="nil"/>
            </w:tcBorders>
            <w:vAlign w:val="top"/>
          </w:tcPr>
          <w:p w14:paraId="45EA014A">
            <w:pPr>
              <w:rPr>
                <w:rFonts w:ascii="Arial"/>
                <w:sz w:val="21"/>
              </w:rPr>
            </w:pPr>
          </w:p>
        </w:tc>
        <w:tc>
          <w:tcPr>
            <w:tcW w:w="799" w:type="dxa"/>
            <w:vMerge w:val="continue"/>
            <w:tcBorders>
              <w:top w:val="nil"/>
              <w:bottom w:val="nil"/>
            </w:tcBorders>
            <w:vAlign w:val="top"/>
          </w:tcPr>
          <w:p w14:paraId="41906B1C">
            <w:pPr>
              <w:rPr>
                <w:rFonts w:ascii="Arial"/>
                <w:sz w:val="21"/>
              </w:rPr>
            </w:pPr>
          </w:p>
        </w:tc>
        <w:tc>
          <w:tcPr>
            <w:tcW w:w="770" w:type="dxa"/>
            <w:vMerge w:val="continue"/>
            <w:tcBorders>
              <w:top w:val="nil"/>
              <w:bottom w:val="nil"/>
            </w:tcBorders>
            <w:vAlign w:val="top"/>
          </w:tcPr>
          <w:p w14:paraId="62A43C15">
            <w:pPr>
              <w:rPr>
                <w:rFonts w:ascii="Arial"/>
                <w:sz w:val="21"/>
              </w:rPr>
            </w:pPr>
          </w:p>
        </w:tc>
        <w:tc>
          <w:tcPr>
            <w:tcW w:w="829" w:type="dxa"/>
            <w:vMerge w:val="continue"/>
            <w:tcBorders>
              <w:top w:val="nil"/>
              <w:bottom w:val="nil"/>
            </w:tcBorders>
            <w:vAlign w:val="top"/>
          </w:tcPr>
          <w:p w14:paraId="480944B1">
            <w:pPr>
              <w:rPr>
                <w:rFonts w:ascii="Arial"/>
                <w:sz w:val="21"/>
              </w:rPr>
            </w:pPr>
          </w:p>
        </w:tc>
        <w:tc>
          <w:tcPr>
            <w:tcW w:w="800" w:type="dxa"/>
            <w:vMerge w:val="continue"/>
            <w:tcBorders>
              <w:top w:val="nil"/>
              <w:bottom w:val="nil"/>
            </w:tcBorders>
            <w:vAlign w:val="top"/>
          </w:tcPr>
          <w:p w14:paraId="45C4C788">
            <w:pPr>
              <w:rPr>
                <w:rFonts w:ascii="Arial"/>
                <w:sz w:val="21"/>
              </w:rPr>
            </w:pPr>
          </w:p>
        </w:tc>
        <w:tc>
          <w:tcPr>
            <w:tcW w:w="769" w:type="dxa"/>
            <w:vMerge w:val="continue"/>
            <w:tcBorders>
              <w:top w:val="nil"/>
              <w:bottom w:val="nil"/>
            </w:tcBorders>
            <w:vAlign w:val="top"/>
          </w:tcPr>
          <w:p w14:paraId="23DD2FB9">
            <w:pPr>
              <w:rPr>
                <w:rFonts w:ascii="Arial"/>
                <w:sz w:val="21"/>
              </w:rPr>
            </w:pPr>
          </w:p>
        </w:tc>
        <w:tc>
          <w:tcPr>
            <w:tcW w:w="800" w:type="dxa"/>
            <w:vMerge w:val="continue"/>
            <w:tcBorders>
              <w:top w:val="nil"/>
              <w:bottom w:val="nil"/>
            </w:tcBorders>
            <w:vAlign w:val="top"/>
          </w:tcPr>
          <w:p w14:paraId="783A9A55">
            <w:pPr>
              <w:rPr>
                <w:rFonts w:ascii="Arial"/>
                <w:sz w:val="21"/>
              </w:rPr>
            </w:pPr>
          </w:p>
        </w:tc>
        <w:tc>
          <w:tcPr>
            <w:tcW w:w="799" w:type="dxa"/>
            <w:vMerge w:val="continue"/>
            <w:tcBorders>
              <w:top w:val="nil"/>
              <w:bottom w:val="nil"/>
            </w:tcBorders>
            <w:vAlign w:val="top"/>
          </w:tcPr>
          <w:p w14:paraId="142F5EA8">
            <w:pPr>
              <w:rPr>
                <w:rFonts w:ascii="Arial"/>
                <w:sz w:val="21"/>
              </w:rPr>
            </w:pPr>
          </w:p>
        </w:tc>
        <w:tc>
          <w:tcPr>
            <w:tcW w:w="799" w:type="dxa"/>
            <w:vMerge w:val="continue"/>
            <w:tcBorders>
              <w:top w:val="nil"/>
              <w:bottom w:val="nil"/>
            </w:tcBorders>
            <w:vAlign w:val="top"/>
          </w:tcPr>
          <w:p w14:paraId="4F13A908">
            <w:pPr>
              <w:rPr>
                <w:rFonts w:ascii="Arial"/>
                <w:sz w:val="21"/>
              </w:rPr>
            </w:pPr>
          </w:p>
        </w:tc>
        <w:tc>
          <w:tcPr>
            <w:tcW w:w="804" w:type="dxa"/>
            <w:vMerge w:val="continue"/>
            <w:tcBorders>
              <w:top w:val="nil"/>
              <w:bottom w:val="nil"/>
            </w:tcBorders>
            <w:vAlign w:val="top"/>
          </w:tcPr>
          <w:p w14:paraId="711AD6B1">
            <w:pPr>
              <w:rPr>
                <w:rFonts w:ascii="Arial"/>
                <w:sz w:val="21"/>
              </w:rPr>
            </w:pPr>
          </w:p>
        </w:tc>
      </w:tr>
      <w:tr w14:paraId="3AA741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725" w:type="dxa"/>
            <w:vMerge w:val="continue"/>
            <w:tcBorders>
              <w:top w:val="nil"/>
              <w:bottom w:val="nil"/>
            </w:tcBorders>
            <w:vAlign w:val="top"/>
          </w:tcPr>
          <w:p w14:paraId="782831AE">
            <w:pPr>
              <w:rPr>
                <w:rFonts w:ascii="Arial"/>
                <w:sz w:val="21"/>
              </w:rPr>
            </w:pPr>
          </w:p>
        </w:tc>
        <w:tc>
          <w:tcPr>
            <w:tcW w:w="1529" w:type="dxa"/>
            <w:vMerge w:val="continue"/>
            <w:tcBorders>
              <w:top w:val="nil"/>
              <w:bottom w:val="nil"/>
            </w:tcBorders>
            <w:vAlign w:val="top"/>
          </w:tcPr>
          <w:p w14:paraId="6CC78881">
            <w:pPr>
              <w:rPr>
                <w:rFonts w:ascii="Arial"/>
                <w:sz w:val="21"/>
              </w:rPr>
            </w:pPr>
          </w:p>
        </w:tc>
        <w:tc>
          <w:tcPr>
            <w:tcW w:w="3588" w:type="dxa"/>
            <w:vAlign w:val="top"/>
          </w:tcPr>
          <w:p w14:paraId="75D1AAAF">
            <w:pPr>
              <w:rPr>
                <w:rFonts w:ascii="Arial"/>
                <w:sz w:val="21"/>
              </w:rPr>
            </w:pPr>
          </w:p>
        </w:tc>
        <w:tc>
          <w:tcPr>
            <w:tcW w:w="729" w:type="dxa"/>
            <w:vMerge w:val="continue"/>
            <w:tcBorders>
              <w:top w:val="nil"/>
              <w:bottom w:val="nil"/>
            </w:tcBorders>
            <w:vAlign w:val="top"/>
          </w:tcPr>
          <w:p w14:paraId="6A1C975E">
            <w:pPr>
              <w:rPr>
                <w:rFonts w:ascii="Arial"/>
                <w:sz w:val="21"/>
              </w:rPr>
            </w:pPr>
          </w:p>
        </w:tc>
        <w:tc>
          <w:tcPr>
            <w:tcW w:w="799" w:type="dxa"/>
            <w:vMerge w:val="continue"/>
            <w:tcBorders>
              <w:top w:val="nil"/>
              <w:bottom w:val="nil"/>
            </w:tcBorders>
            <w:vAlign w:val="top"/>
          </w:tcPr>
          <w:p w14:paraId="1580B90E">
            <w:pPr>
              <w:rPr>
                <w:rFonts w:ascii="Arial"/>
                <w:sz w:val="21"/>
              </w:rPr>
            </w:pPr>
          </w:p>
        </w:tc>
        <w:tc>
          <w:tcPr>
            <w:tcW w:w="770" w:type="dxa"/>
            <w:vMerge w:val="continue"/>
            <w:tcBorders>
              <w:top w:val="nil"/>
              <w:bottom w:val="nil"/>
            </w:tcBorders>
            <w:vAlign w:val="top"/>
          </w:tcPr>
          <w:p w14:paraId="2B53DC85">
            <w:pPr>
              <w:rPr>
                <w:rFonts w:ascii="Arial"/>
                <w:sz w:val="21"/>
              </w:rPr>
            </w:pPr>
          </w:p>
        </w:tc>
        <w:tc>
          <w:tcPr>
            <w:tcW w:w="829" w:type="dxa"/>
            <w:vMerge w:val="continue"/>
            <w:tcBorders>
              <w:top w:val="nil"/>
              <w:bottom w:val="nil"/>
            </w:tcBorders>
            <w:vAlign w:val="top"/>
          </w:tcPr>
          <w:p w14:paraId="50A37272">
            <w:pPr>
              <w:rPr>
                <w:rFonts w:ascii="Arial"/>
                <w:sz w:val="21"/>
              </w:rPr>
            </w:pPr>
          </w:p>
        </w:tc>
        <w:tc>
          <w:tcPr>
            <w:tcW w:w="800" w:type="dxa"/>
            <w:vMerge w:val="continue"/>
            <w:tcBorders>
              <w:top w:val="nil"/>
              <w:bottom w:val="nil"/>
            </w:tcBorders>
            <w:vAlign w:val="top"/>
          </w:tcPr>
          <w:p w14:paraId="7AEC2920">
            <w:pPr>
              <w:rPr>
                <w:rFonts w:ascii="Arial"/>
                <w:sz w:val="21"/>
              </w:rPr>
            </w:pPr>
          </w:p>
        </w:tc>
        <w:tc>
          <w:tcPr>
            <w:tcW w:w="769" w:type="dxa"/>
            <w:vMerge w:val="continue"/>
            <w:tcBorders>
              <w:top w:val="nil"/>
              <w:bottom w:val="nil"/>
            </w:tcBorders>
            <w:vAlign w:val="top"/>
          </w:tcPr>
          <w:p w14:paraId="10323D82">
            <w:pPr>
              <w:rPr>
                <w:rFonts w:ascii="Arial"/>
                <w:sz w:val="21"/>
              </w:rPr>
            </w:pPr>
          </w:p>
        </w:tc>
        <w:tc>
          <w:tcPr>
            <w:tcW w:w="800" w:type="dxa"/>
            <w:vMerge w:val="continue"/>
            <w:tcBorders>
              <w:top w:val="nil"/>
              <w:bottom w:val="nil"/>
            </w:tcBorders>
            <w:vAlign w:val="top"/>
          </w:tcPr>
          <w:p w14:paraId="16066A83">
            <w:pPr>
              <w:rPr>
                <w:rFonts w:ascii="Arial"/>
                <w:sz w:val="21"/>
              </w:rPr>
            </w:pPr>
          </w:p>
        </w:tc>
        <w:tc>
          <w:tcPr>
            <w:tcW w:w="799" w:type="dxa"/>
            <w:vMerge w:val="continue"/>
            <w:tcBorders>
              <w:top w:val="nil"/>
              <w:bottom w:val="nil"/>
            </w:tcBorders>
            <w:vAlign w:val="top"/>
          </w:tcPr>
          <w:p w14:paraId="502CFA97">
            <w:pPr>
              <w:rPr>
                <w:rFonts w:ascii="Arial"/>
                <w:sz w:val="21"/>
              </w:rPr>
            </w:pPr>
          </w:p>
        </w:tc>
        <w:tc>
          <w:tcPr>
            <w:tcW w:w="799" w:type="dxa"/>
            <w:vMerge w:val="continue"/>
            <w:tcBorders>
              <w:top w:val="nil"/>
              <w:bottom w:val="nil"/>
            </w:tcBorders>
            <w:vAlign w:val="top"/>
          </w:tcPr>
          <w:p w14:paraId="56EF7FF1">
            <w:pPr>
              <w:rPr>
                <w:rFonts w:ascii="Arial"/>
                <w:sz w:val="21"/>
              </w:rPr>
            </w:pPr>
          </w:p>
        </w:tc>
        <w:tc>
          <w:tcPr>
            <w:tcW w:w="804" w:type="dxa"/>
            <w:vMerge w:val="continue"/>
            <w:tcBorders>
              <w:top w:val="nil"/>
              <w:bottom w:val="nil"/>
            </w:tcBorders>
            <w:vAlign w:val="top"/>
          </w:tcPr>
          <w:p w14:paraId="31EB8920">
            <w:pPr>
              <w:rPr>
                <w:rFonts w:ascii="Arial"/>
                <w:sz w:val="21"/>
              </w:rPr>
            </w:pPr>
          </w:p>
        </w:tc>
      </w:tr>
      <w:tr w14:paraId="605255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 w:hRule="atLeast"/>
        </w:trPr>
        <w:tc>
          <w:tcPr>
            <w:tcW w:w="725" w:type="dxa"/>
            <w:vMerge w:val="continue"/>
            <w:tcBorders>
              <w:top w:val="nil"/>
            </w:tcBorders>
            <w:vAlign w:val="top"/>
          </w:tcPr>
          <w:p w14:paraId="24E9402C">
            <w:pPr>
              <w:rPr>
                <w:rFonts w:ascii="Arial"/>
                <w:sz w:val="21"/>
              </w:rPr>
            </w:pPr>
          </w:p>
        </w:tc>
        <w:tc>
          <w:tcPr>
            <w:tcW w:w="1529" w:type="dxa"/>
            <w:vMerge w:val="continue"/>
            <w:tcBorders>
              <w:top w:val="nil"/>
            </w:tcBorders>
            <w:vAlign w:val="top"/>
          </w:tcPr>
          <w:p w14:paraId="515D70D7">
            <w:pPr>
              <w:rPr>
                <w:rFonts w:ascii="Arial"/>
                <w:sz w:val="21"/>
              </w:rPr>
            </w:pPr>
          </w:p>
        </w:tc>
        <w:tc>
          <w:tcPr>
            <w:tcW w:w="3588" w:type="dxa"/>
            <w:vAlign w:val="top"/>
          </w:tcPr>
          <w:p w14:paraId="2704356E">
            <w:pPr>
              <w:rPr>
                <w:rFonts w:ascii="Arial"/>
                <w:sz w:val="21"/>
              </w:rPr>
            </w:pPr>
          </w:p>
        </w:tc>
        <w:tc>
          <w:tcPr>
            <w:tcW w:w="729" w:type="dxa"/>
            <w:vMerge w:val="continue"/>
            <w:tcBorders>
              <w:top w:val="nil"/>
            </w:tcBorders>
            <w:vAlign w:val="top"/>
          </w:tcPr>
          <w:p w14:paraId="127C2420">
            <w:pPr>
              <w:rPr>
                <w:rFonts w:ascii="Arial"/>
                <w:sz w:val="21"/>
              </w:rPr>
            </w:pPr>
          </w:p>
        </w:tc>
        <w:tc>
          <w:tcPr>
            <w:tcW w:w="799" w:type="dxa"/>
            <w:vMerge w:val="continue"/>
            <w:tcBorders>
              <w:top w:val="nil"/>
            </w:tcBorders>
            <w:vAlign w:val="top"/>
          </w:tcPr>
          <w:p w14:paraId="7A4B9E52">
            <w:pPr>
              <w:rPr>
                <w:rFonts w:ascii="Arial"/>
                <w:sz w:val="21"/>
              </w:rPr>
            </w:pPr>
          </w:p>
        </w:tc>
        <w:tc>
          <w:tcPr>
            <w:tcW w:w="770" w:type="dxa"/>
            <w:vMerge w:val="continue"/>
            <w:tcBorders>
              <w:top w:val="nil"/>
            </w:tcBorders>
            <w:vAlign w:val="top"/>
          </w:tcPr>
          <w:p w14:paraId="1E7F52CD">
            <w:pPr>
              <w:rPr>
                <w:rFonts w:ascii="Arial"/>
                <w:sz w:val="21"/>
              </w:rPr>
            </w:pPr>
          </w:p>
        </w:tc>
        <w:tc>
          <w:tcPr>
            <w:tcW w:w="829" w:type="dxa"/>
            <w:vMerge w:val="continue"/>
            <w:tcBorders>
              <w:top w:val="nil"/>
            </w:tcBorders>
            <w:vAlign w:val="top"/>
          </w:tcPr>
          <w:p w14:paraId="41045A9C">
            <w:pPr>
              <w:rPr>
                <w:rFonts w:ascii="Arial"/>
                <w:sz w:val="21"/>
              </w:rPr>
            </w:pPr>
          </w:p>
        </w:tc>
        <w:tc>
          <w:tcPr>
            <w:tcW w:w="800" w:type="dxa"/>
            <w:vMerge w:val="continue"/>
            <w:tcBorders>
              <w:top w:val="nil"/>
            </w:tcBorders>
            <w:vAlign w:val="top"/>
          </w:tcPr>
          <w:p w14:paraId="29695C7E">
            <w:pPr>
              <w:rPr>
                <w:rFonts w:ascii="Arial"/>
                <w:sz w:val="21"/>
              </w:rPr>
            </w:pPr>
          </w:p>
        </w:tc>
        <w:tc>
          <w:tcPr>
            <w:tcW w:w="769" w:type="dxa"/>
            <w:vMerge w:val="continue"/>
            <w:tcBorders>
              <w:top w:val="nil"/>
            </w:tcBorders>
            <w:vAlign w:val="top"/>
          </w:tcPr>
          <w:p w14:paraId="15854D02">
            <w:pPr>
              <w:rPr>
                <w:rFonts w:ascii="Arial"/>
                <w:sz w:val="21"/>
              </w:rPr>
            </w:pPr>
          </w:p>
        </w:tc>
        <w:tc>
          <w:tcPr>
            <w:tcW w:w="800" w:type="dxa"/>
            <w:vMerge w:val="continue"/>
            <w:tcBorders>
              <w:top w:val="nil"/>
            </w:tcBorders>
            <w:vAlign w:val="top"/>
          </w:tcPr>
          <w:p w14:paraId="637599BF">
            <w:pPr>
              <w:rPr>
                <w:rFonts w:ascii="Arial"/>
                <w:sz w:val="21"/>
              </w:rPr>
            </w:pPr>
          </w:p>
        </w:tc>
        <w:tc>
          <w:tcPr>
            <w:tcW w:w="799" w:type="dxa"/>
            <w:vMerge w:val="continue"/>
            <w:tcBorders>
              <w:top w:val="nil"/>
            </w:tcBorders>
            <w:vAlign w:val="top"/>
          </w:tcPr>
          <w:p w14:paraId="1236285D">
            <w:pPr>
              <w:rPr>
                <w:rFonts w:ascii="Arial"/>
                <w:sz w:val="21"/>
              </w:rPr>
            </w:pPr>
          </w:p>
        </w:tc>
        <w:tc>
          <w:tcPr>
            <w:tcW w:w="799" w:type="dxa"/>
            <w:vMerge w:val="continue"/>
            <w:tcBorders>
              <w:top w:val="nil"/>
            </w:tcBorders>
            <w:vAlign w:val="top"/>
          </w:tcPr>
          <w:p w14:paraId="66CD3DAB">
            <w:pPr>
              <w:rPr>
                <w:rFonts w:ascii="Arial"/>
                <w:sz w:val="21"/>
              </w:rPr>
            </w:pPr>
          </w:p>
        </w:tc>
        <w:tc>
          <w:tcPr>
            <w:tcW w:w="804" w:type="dxa"/>
            <w:vMerge w:val="continue"/>
            <w:tcBorders>
              <w:top w:val="nil"/>
            </w:tcBorders>
            <w:vAlign w:val="top"/>
          </w:tcPr>
          <w:p w14:paraId="411D67CA">
            <w:pPr>
              <w:rPr>
                <w:rFonts w:ascii="Arial"/>
                <w:sz w:val="21"/>
              </w:rPr>
            </w:pPr>
          </w:p>
        </w:tc>
      </w:tr>
      <w:tr w14:paraId="69D36C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3" w:hRule="atLeast"/>
        </w:trPr>
        <w:tc>
          <w:tcPr>
            <w:tcW w:w="6571" w:type="dxa"/>
            <w:gridSpan w:val="4"/>
            <w:vAlign w:val="top"/>
          </w:tcPr>
          <w:p w14:paraId="66EAE02E">
            <w:pPr>
              <w:pStyle w:val="6"/>
              <w:spacing w:before="257" w:line="219" w:lineRule="auto"/>
              <w:ind w:left="1475"/>
              <w:rPr>
                <w:sz w:val="22"/>
                <w:szCs w:val="22"/>
              </w:rPr>
            </w:pPr>
            <w:r>
              <w:rPr>
                <w:spacing w:val="2"/>
                <w:sz w:val="22"/>
                <w:szCs w:val="22"/>
              </w:rPr>
              <w:t>施工组织设计得分合计B(满分  分)</w:t>
            </w:r>
          </w:p>
        </w:tc>
        <w:tc>
          <w:tcPr>
            <w:tcW w:w="799" w:type="dxa"/>
            <w:vAlign w:val="top"/>
          </w:tcPr>
          <w:p w14:paraId="29B76D56">
            <w:pPr>
              <w:rPr>
                <w:rFonts w:ascii="Arial"/>
                <w:sz w:val="21"/>
              </w:rPr>
            </w:pPr>
          </w:p>
        </w:tc>
        <w:tc>
          <w:tcPr>
            <w:tcW w:w="770" w:type="dxa"/>
            <w:vAlign w:val="top"/>
          </w:tcPr>
          <w:p w14:paraId="041A7ECA">
            <w:pPr>
              <w:rPr>
                <w:rFonts w:ascii="Arial"/>
                <w:sz w:val="21"/>
              </w:rPr>
            </w:pPr>
          </w:p>
        </w:tc>
        <w:tc>
          <w:tcPr>
            <w:tcW w:w="829" w:type="dxa"/>
            <w:vAlign w:val="top"/>
          </w:tcPr>
          <w:p w14:paraId="5BC5DC47">
            <w:pPr>
              <w:rPr>
                <w:rFonts w:ascii="Arial"/>
                <w:sz w:val="21"/>
              </w:rPr>
            </w:pPr>
          </w:p>
        </w:tc>
        <w:tc>
          <w:tcPr>
            <w:tcW w:w="800" w:type="dxa"/>
            <w:vAlign w:val="top"/>
          </w:tcPr>
          <w:p w14:paraId="37EEF626">
            <w:pPr>
              <w:rPr>
                <w:rFonts w:ascii="Arial"/>
                <w:sz w:val="21"/>
              </w:rPr>
            </w:pPr>
          </w:p>
        </w:tc>
        <w:tc>
          <w:tcPr>
            <w:tcW w:w="769" w:type="dxa"/>
            <w:vAlign w:val="top"/>
          </w:tcPr>
          <w:p w14:paraId="59C99142">
            <w:pPr>
              <w:rPr>
                <w:rFonts w:ascii="Arial"/>
                <w:sz w:val="21"/>
              </w:rPr>
            </w:pPr>
          </w:p>
        </w:tc>
        <w:tc>
          <w:tcPr>
            <w:tcW w:w="800" w:type="dxa"/>
            <w:vAlign w:val="top"/>
          </w:tcPr>
          <w:p w14:paraId="5CA6DAA0">
            <w:pPr>
              <w:rPr>
                <w:rFonts w:ascii="Arial"/>
                <w:sz w:val="21"/>
              </w:rPr>
            </w:pPr>
          </w:p>
        </w:tc>
        <w:tc>
          <w:tcPr>
            <w:tcW w:w="799" w:type="dxa"/>
            <w:vAlign w:val="top"/>
          </w:tcPr>
          <w:p w14:paraId="2DD4A800">
            <w:pPr>
              <w:rPr>
                <w:rFonts w:ascii="Arial"/>
                <w:sz w:val="21"/>
              </w:rPr>
            </w:pPr>
          </w:p>
        </w:tc>
        <w:tc>
          <w:tcPr>
            <w:tcW w:w="799" w:type="dxa"/>
            <w:vAlign w:val="top"/>
          </w:tcPr>
          <w:p w14:paraId="69F330CA">
            <w:pPr>
              <w:rPr>
                <w:rFonts w:ascii="Arial"/>
                <w:sz w:val="21"/>
              </w:rPr>
            </w:pPr>
          </w:p>
        </w:tc>
        <w:tc>
          <w:tcPr>
            <w:tcW w:w="804" w:type="dxa"/>
            <w:vAlign w:val="top"/>
          </w:tcPr>
          <w:p w14:paraId="6EB59A19">
            <w:pPr>
              <w:rPr>
                <w:rFonts w:ascii="Arial"/>
                <w:sz w:val="21"/>
              </w:rPr>
            </w:pPr>
          </w:p>
        </w:tc>
      </w:tr>
    </w:tbl>
    <w:p w14:paraId="663A952D">
      <w:pPr>
        <w:spacing w:line="276" w:lineRule="auto"/>
        <w:rPr>
          <w:rFonts w:ascii="Arial"/>
          <w:sz w:val="21"/>
        </w:rPr>
      </w:pPr>
    </w:p>
    <w:p w14:paraId="0334BC4D">
      <w:pPr>
        <w:pStyle w:val="2"/>
        <w:spacing w:before="65" w:line="224" w:lineRule="auto"/>
        <w:ind w:left="125"/>
        <w:rPr>
          <w:sz w:val="20"/>
          <w:szCs w:val="20"/>
        </w:rPr>
      </w:pPr>
      <w:r>
        <w:rPr>
          <w:spacing w:val="-2"/>
          <w:sz w:val="20"/>
          <w:szCs w:val="20"/>
        </w:rPr>
        <w:t xml:space="preserve">评标委员会成员签名：                                                                              </w:t>
      </w:r>
      <w:r>
        <w:rPr>
          <w:spacing w:val="-3"/>
          <w:sz w:val="20"/>
          <w:szCs w:val="20"/>
        </w:rPr>
        <w:t xml:space="preserve">           </w:t>
      </w:r>
      <w:r>
        <w:rPr>
          <w:spacing w:val="-3"/>
          <w:sz w:val="16"/>
          <w:szCs w:val="16"/>
        </w:rPr>
        <w:t>日 期</w:t>
      </w:r>
      <w:r>
        <w:rPr>
          <w:spacing w:val="6"/>
          <w:sz w:val="16"/>
          <w:szCs w:val="16"/>
        </w:rPr>
        <w:t xml:space="preserve"> </w:t>
      </w:r>
      <w:r>
        <w:rPr>
          <w:spacing w:val="-3"/>
          <w:sz w:val="16"/>
          <w:szCs w:val="16"/>
        </w:rPr>
        <w:t xml:space="preserve">：          </w:t>
      </w:r>
      <w:r>
        <w:rPr>
          <w:spacing w:val="-3"/>
          <w:sz w:val="20"/>
          <w:szCs w:val="20"/>
        </w:rPr>
        <w:t>年     月    日</w:t>
      </w:r>
    </w:p>
    <w:p w14:paraId="48828BF5">
      <w:pPr>
        <w:spacing w:line="224" w:lineRule="auto"/>
        <w:rPr>
          <w:sz w:val="20"/>
          <w:szCs w:val="20"/>
        </w:rPr>
        <w:sectPr>
          <w:footerReference r:id="rId87" w:type="default"/>
          <w:pgSz w:w="16840" w:h="11910"/>
          <w:pgMar w:top="1012" w:right="1514" w:bottom="971" w:left="1574" w:header="0" w:footer="827" w:gutter="0"/>
          <w:cols w:space="720" w:num="1"/>
        </w:sectPr>
      </w:pPr>
    </w:p>
    <w:p w14:paraId="563D4656">
      <w:pPr>
        <w:spacing w:line="259" w:lineRule="auto"/>
        <w:rPr>
          <w:rFonts w:ascii="Arial"/>
          <w:sz w:val="21"/>
        </w:rPr>
      </w:pPr>
    </w:p>
    <w:p w14:paraId="461C1C27">
      <w:pPr>
        <w:spacing w:line="259" w:lineRule="auto"/>
        <w:rPr>
          <w:rFonts w:ascii="Arial"/>
          <w:sz w:val="21"/>
        </w:rPr>
      </w:pPr>
    </w:p>
    <w:p w14:paraId="1B4FE0F5">
      <w:pPr>
        <w:spacing w:before="81" w:line="222" w:lineRule="auto"/>
        <w:ind w:left="538"/>
        <w:outlineLvl w:val="2"/>
        <w:rPr>
          <w:rFonts w:ascii="黑体" w:hAnsi="黑体" w:eastAsia="黑体" w:cs="黑体"/>
          <w:sz w:val="25"/>
          <w:szCs w:val="25"/>
        </w:rPr>
      </w:pPr>
      <w:bookmarkStart w:id="221" w:name="bookmark275"/>
      <w:bookmarkEnd w:id="221"/>
      <w:bookmarkStart w:id="222" w:name="bookmark164"/>
      <w:bookmarkEnd w:id="222"/>
      <w:r>
        <w:rPr>
          <w:rFonts w:ascii="黑体" w:hAnsi="黑体" w:eastAsia="黑体" w:cs="黑体"/>
          <w:b/>
          <w:bCs/>
          <w:spacing w:val="-4"/>
          <w:sz w:val="25"/>
          <w:szCs w:val="25"/>
        </w:rPr>
        <w:t>附表</w:t>
      </w:r>
      <w:r>
        <w:rPr>
          <w:rFonts w:ascii="Arial" w:hAnsi="Arial" w:eastAsia="Arial" w:cs="Arial"/>
          <w:b/>
          <w:bCs/>
          <w:spacing w:val="-4"/>
          <w:sz w:val="25"/>
          <w:szCs w:val="25"/>
        </w:rPr>
        <w:t>A-10:</w:t>
      </w:r>
      <w:r>
        <w:rPr>
          <w:rFonts w:ascii="Arial" w:hAnsi="Arial" w:eastAsia="Arial" w:cs="Arial"/>
          <w:b/>
          <w:bCs/>
          <w:spacing w:val="61"/>
          <w:w w:val="101"/>
          <w:sz w:val="25"/>
          <w:szCs w:val="25"/>
        </w:rPr>
        <w:t xml:space="preserve"> </w:t>
      </w:r>
      <w:r>
        <w:rPr>
          <w:rFonts w:ascii="黑体" w:hAnsi="黑体" w:eastAsia="黑体" w:cs="黑体"/>
          <w:b/>
          <w:bCs/>
          <w:spacing w:val="-4"/>
          <w:sz w:val="25"/>
          <w:szCs w:val="25"/>
        </w:rPr>
        <w:t>项目管理机构评审记录表</w:t>
      </w:r>
    </w:p>
    <w:p w14:paraId="09102D90">
      <w:pPr>
        <w:spacing w:before="50" w:line="222" w:lineRule="auto"/>
        <w:ind w:left="5329"/>
        <w:rPr>
          <w:rFonts w:ascii="黑体" w:hAnsi="黑体" w:eastAsia="黑体" w:cs="黑体"/>
          <w:sz w:val="28"/>
          <w:szCs w:val="28"/>
        </w:rPr>
      </w:pPr>
      <w:r>
        <w:rPr>
          <w:rFonts w:ascii="黑体" w:hAnsi="黑体" w:eastAsia="黑体" w:cs="黑体"/>
          <w:b/>
          <w:bCs/>
          <w:sz w:val="28"/>
          <w:szCs w:val="28"/>
        </w:rPr>
        <w:t>项目管理机构评审记录表</w:t>
      </w:r>
    </w:p>
    <w:p w14:paraId="2E5F31E5">
      <w:pPr>
        <w:pStyle w:val="2"/>
        <w:spacing w:before="266" w:line="229" w:lineRule="auto"/>
        <w:ind w:left="115"/>
        <w:rPr>
          <w:sz w:val="20"/>
          <w:szCs w:val="20"/>
        </w:rPr>
      </w:pPr>
      <w:r>
        <w:rPr>
          <w:spacing w:val="7"/>
          <w:position w:val="1"/>
          <w:sz w:val="20"/>
          <w:szCs w:val="20"/>
        </w:rPr>
        <w:t>工程名称：</w:t>
      </w:r>
      <w:r>
        <w:rPr>
          <w:spacing w:val="-63"/>
          <w:position w:val="1"/>
          <w:sz w:val="20"/>
          <w:szCs w:val="20"/>
        </w:rPr>
        <w:t xml:space="preserve"> </w:t>
      </w:r>
      <w:r>
        <w:rPr>
          <w:spacing w:val="5"/>
          <w:position w:val="1"/>
          <w:sz w:val="20"/>
          <w:szCs w:val="20"/>
          <w:u w:val="single" w:color="auto"/>
        </w:rPr>
        <w:t xml:space="preserve">               </w:t>
      </w:r>
      <w:r>
        <w:rPr>
          <w:spacing w:val="-75"/>
          <w:position w:val="1"/>
          <w:sz w:val="20"/>
          <w:szCs w:val="20"/>
        </w:rPr>
        <w:t xml:space="preserve"> </w:t>
      </w:r>
      <w:r>
        <w:rPr>
          <w:spacing w:val="7"/>
          <w:position w:val="-1"/>
          <w:sz w:val="20"/>
          <w:szCs w:val="20"/>
        </w:rPr>
        <w:t>(项目名称)</w:t>
      </w:r>
      <w:r>
        <w:rPr>
          <w:spacing w:val="9"/>
          <w:position w:val="-1"/>
          <w:sz w:val="20"/>
          <w:szCs w:val="20"/>
          <w:u w:val="single" w:color="auto"/>
        </w:rPr>
        <w:t xml:space="preserve">       </w:t>
      </w:r>
      <w:r>
        <w:rPr>
          <w:spacing w:val="-27"/>
          <w:position w:val="-1"/>
          <w:sz w:val="20"/>
          <w:szCs w:val="20"/>
        </w:rPr>
        <w:t xml:space="preserve"> </w:t>
      </w:r>
      <w:r>
        <w:rPr>
          <w:spacing w:val="7"/>
          <w:sz w:val="20"/>
          <w:szCs w:val="20"/>
        </w:rPr>
        <w:t>(标段名称)</w:t>
      </w:r>
    </w:p>
    <w:p w14:paraId="62E8DE69">
      <w:pPr>
        <w:spacing w:line="207" w:lineRule="exact"/>
      </w:pPr>
    </w:p>
    <w:tbl>
      <w:tblPr>
        <w:tblStyle w:val="5"/>
        <w:tblW w:w="1374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25"/>
        <w:gridCol w:w="1069"/>
        <w:gridCol w:w="909"/>
        <w:gridCol w:w="3417"/>
        <w:gridCol w:w="709"/>
        <w:gridCol w:w="750"/>
        <w:gridCol w:w="770"/>
        <w:gridCol w:w="739"/>
        <w:gridCol w:w="769"/>
        <w:gridCol w:w="750"/>
        <w:gridCol w:w="769"/>
        <w:gridCol w:w="770"/>
        <w:gridCol w:w="750"/>
        <w:gridCol w:w="744"/>
      </w:tblGrid>
      <w:tr w14:paraId="179A8F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4" w:hRule="atLeast"/>
        </w:trPr>
        <w:tc>
          <w:tcPr>
            <w:tcW w:w="825" w:type="dxa"/>
            <w:vMerge w:val="restart"/>
            <w:tcBorders>
              <w:bottom w:val="nil"/>
            </w:tcBorders>
            <w:vAlign w:val="top"/>
          </w:tcPr>
          <w:p w14:paraId="1A0A5F98">
            <w:pPr>
              <w:spacing w:line="274" w:lineRule="auto"/>
              <w:rPr>
                <w:rFonts w:ascii="Arial"/>
                <w:sz w:val="21"/>
              </w:rPr>
            </w:pPr>
          </w:p>
          <w:p w14:paraId="348BFF29">
            <w:pPr>
              <w:pStyle w:val="6"/>
              <w:spacing w:before="69" w:line="221" w:lineRule="auto"/>
              <w:ind w:left="195"/>
            </w:pPr>
            <w:r>
              <w:rPr>
                <w:spacing w:val="6"/>
              </w:rPr>
              <w:t>序号</w:t>
            </w:r>
          </w:p>
        </w:tc>
        <w:tc>
          <w:tcPr>
            <w:tcW w:w="1978" w:type="dxa"/>
            <w:gridSpan w:val="2"/>
            <w:vMerge w:val="restart"/>
            <w:tcBorders>
              <w:bottom w:val="nil"/>
            </w:tcBorders>
            <w:vAlign w:val="top"/>
          </w:tcPr>
          <w:p w14:paraId="2407831F">
            <w:pPr>
              <w:spacing w:line="274" w:lineRule="auto"/>
              <w:rPr>
                <w:rFonts w:ascii="Arial"/>
                <w:sz w:val="21"/>
              </w:rPr>
            </w:pPr>
          </w:p>
          <w:p w14:paraId="6788E592">
            <w:pPr>
              <w:pStyle w:val="6"/>
              <w:spacing w:before="68" w:line="220" w:lineRule="auto"/>
              <w:ind w:left="560"/>
            </w:pPr>
            <w:r>
              <w:rPr>
                <w:spacing w:val="10"/>
              </w:rPr>
              <w:t>评分项目</w:t>
            </w:r>
          </w:p>
        </w:tc>
        <w:tc>
          <w:tcPr>
            <w:tcW w:w="3417" w:type="dxa"/>
            <w:vMerge w:val="restart"/>
            <w:tcBorders>
              <w:bottom w:val="nil"/>
            </w:tcBorders>
            <w:vAlign w:val="top"/>
          </w:tcPr>
          <w:p w14:paraId="6F9A9AB7">
            <w:pPr>
              <w:spacing w:line="274" w:lineRule="auto"/>
              <w:rPr>
                <w:rFonts w:ascii="Arial"/>
                <w:sz w:val="21"/>
              </w:rPr>
            </w:pPr>
          </w:p>
          <w:p w14:paraId="17340622">
            <w:pPr>
              <w:pStyle w:val="6"/>
              <w:spacing w:before="68" w:line="220" w:lineRule="auto"/>
              <w:ind w:left="1302"/>
            </w:pPr>
            <w:r>
              <w:rPr>
                <w:spacing w:val="-2"/>
              </w:rPr>
              <w:t>评分标准</w:t>
            </w:r>
          </w:p>
        </w:tc>
        <w:tc>
          <w:tcPr>
            <w:tcW w:w="709" w:type="dxa"/>
            <w:vMerge w:val="restart"/>
            <w:tcBorders>
              <w:bottom w:val="nil"/>
            </w:tcBorders>
            <w:vAlign w:val="top"/>
          </w:tcPr>
          <w:p w14:paraId="2B06E270">
            <w:pPr>
              <w:pStyle w:val="6"/>
              <w:spacing w:before="183" w:line="249" w:lineRule="auto"/>
              <w:ind w:left="254" w:right="172" w:hanging="139"/>
            </w:pPr>
            <w:r>
              <w:rPr>
                <w:spacing w:val="-5"/>
              </w:rPr>
              <w:t>标准</w:t>
            </w:r>
            <w:r>
              <w:t xml:space="preserve"> 分</w:t>
            </w:r>
          </w:p>
        </w:tc>
        <w:tc>
          <w:tcPr>
            <w:tcW w:w="6811" w:type="dxa"/>
            <w:gridSpan w:val="9"/>
            <w:vAlign w:val="top"/>
          </w:tcPr>
          <w:p w14:paraId="38C79E16">
            <w:pPr>
              <w:pStyle w:val="6"/>
              <w:spacing w:before="113" w:line="219" w:lineRule="auto"/>
              <w:ind w:left="2585"/>
            </w:pPr>
            <w:r>
              <w:rPr>
                <w:spacing w:val="-2"/>
              </w:rPr>
              <w:t>投标人名称及得分</w:t>
            </w:r>
          </w:p>
        </w:tc>
      </w:tr>
      <w:tr w14:paraId="340927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825" w:type="dxa"/>
            <w:vMerge w:val="continue"/>
            <w:tcBorders>
              <w:top w:val="nil"/>
            </w:tcBorders>
            <w:vAlign w:val="top"/>
          </w:tcPr>
          <w:p w14:paraId="1AC8A515">
            <w:pPr>
              <w:rPr>
                <w:rFonts w:ascii="Arial"/>
                <w:sz w:val="21"/>
              </w:rPr>
            </w:pPr>
          </w:p>
        </w:tc>
        <w:tc>
          <w:tcPr>
            <w:tcW w:w="1978" w:type="dxa"/>
            <w:gridSpan w:val="2"/>
            <w:vMerge w:val="continue"/>
            <w:tcBorders>
              <w:top w:val="nil"/>
            </w:tcBorders>
            <w:vAlign w:val="top"/>
          </w:tcPr>
          <w:p w14:paraId="182A2D21">
            <w:pPr>
              <w:rPr>
                <w:rFonts w:ascii="Arial"/>
                <w:sz w:val="21"/>
              </w:rPr>
            </w:pPr>
          </w:p>
        </w:tc>
        <w:tc>
          <w:tcPr>
            <w:tcW w:w="3417" w:type="dxa"/>
            <w:vMerge w:val="continue"/>
            <w:tcBorders>
              <w:top w:val="nil"/>
            </w:tcBorders>
            <w:vAlign w:val="top"/>
          </w:tcPr>
          <w:p w14:paraId="37B70DD5">
            <w:pPr>
              <w:rPr>
                <w:rFonts w:ascii="Arial"/>
                <w:sz w:val="21"/>
              </w:rPr>
            </w:pPr>
          </w:p>
        </w:tc>
        <w:tc>
          <w:tcPr>
            <w:tcW w:w="709" w:type="dxa"/>
            <w:vMerge w:val="continue"/>
            <w:tcBorders>
              <w:top w:val="nil"/>
            </w:tcBorders>
            <w:vAlign w:val="top"/>
          </w:tcPr>
          <w:p w14:paraId="714D4FBA">
            <w:pPr>
              <w:rPr>
                <w:rFonts w:ascii="Arial"/>
                <w:sz w:val="21"/>
              </w:rPr>
            </w:pPr>
          </w:p>
        </w:tc>
        <w:tc>
          <w:tcPr>
            <w:tcW w:w="750" w:type="dxa"/>
            <w:vAlign w:val="top"/>
          </w:tcPr>
          <w:p w14:paraId="5C9D42A7">
            <w:pPr>
              <w:rPr>
                <w:rFonts w:ascii="Arial"/>
                <w:sz w:val="21"/>
              </w:rPr>
            </w:pPr>
          </w:p>
        </w:tc>
        <w:tc>
          <w:tcPr>
            <w:tcW w:w="770" w:type="dxa"/>
            <w:vAlign w:val="top"/>
          </w:tcPr>
          <w:p w14:paraId="7291C1D5">
            <w:pPr>
              <w:rPr>
                <w:rFonts w:ascii="Arial"/>
                <w:sz w:val="21"/>
              </w:rPr>
            </w:pPr>
          </w:p>
        </w:tc>
        <w:tc>
          <w:tcPr>
            <w:tcW w:w="739" w:type="dxa"/>
            <w:vAlign w:val="top"/>
          </w:tcPr>
          <w:p w14:paraId="3E93C3F5">
            <w:pPr>
              <w:rPr>
                <w:rFonts w:ascii="Arial"/>
                <w:sz w:val="21"/>
              </w:rPr>
            </w:pPr>
          </w:p>
        </w:tc>
        <w:tc>
          <w:tcPr>
            <w:tcW w:w="769" w:type="dxa"/>
            <w:vAlign w:val="top"/>
          </w:tcPr>
          <w:p w14:paraId="3979877C">
            <w:pPr>
              <w:rPr>
                <w:rFonts w:ascii="Arial"/>
                <w:sz w:val="21"/>
              </w:rPr>
            </w:pPr>
          </w:p>
        </w:tc>
        <w:tc>
          <w:tcPr>
            <w:tcW w:w="750" w:type="dxa"/>
            <w:vAlign w:val="top"/>
          </w:tcPr>
          <w:p w14:paraId="35AB6244">
            <w:pPr>
              <w:rPr>
                <w:rFonts w:ascii="Arial"/>
                <w:sz w:val="21"/>
              </w:rPr>
            </w:pPr>
          </w:p>
        </w:tc>
        <w:tc>
          <w:tcPr>
            <w:tcW w:w="769" w:type="dxa"/>
            <w:vAlign w:val="top"/>
          </w:tcPr>
          <w:p w14:paraId="726AF2DA">
            <w:pPr>
              <w:rPr>
                <w:rFonts w:ascii="Arial"/>
                <w:sz w:val="21"/>
              </w:rPr>
            </w:pPr>
          </w:p>
        </w:tc>
        <w:tc>
          <w:tcPr>
            <w:tcW w:w="770" w:type="dxa"/>
            <w:vAlign w:val="top"/>
          </w:tcPr>
          <w:p w14:paraId="5709DBA4">
            <w:pPr>
              <w:rPr>
                <w:rFonts w:ascii="Arial"/>
                <w:sz w:val="21"/>
              </w:rPr>
            </w:pPr>
          </w:p>
        </w:tc>
        <w:tc>
          <w:tcPr>
            <w:tcW w:w="750" w:type="dxa"/>
            <w:vAlign w:val="top"/>
          </w:tcPr>
          <w:p w14:paraId="258E2DAB">
            <w:pPr>
              <w:rPr>
                <w:rFonts w:ascii="Arial"/>
                <w:sz w:val="21"/>
              </w:rPr>
            </w:pPr>
          </w:p>
        </w:tc>
        <w:tc>
          <w:tcPr>
            <w:tcW w:w="744" w:type="dxa"/>
            <w:vAlign w:val="top"/>
          </w:tcPr>
          <w:p w14:paraId="62E37798">
            <w:pPr>
              <w:rPr>
                <w:rFonts w:ascii="Arial"/>
                <w:sz w:val="21"/>
              </w:rPr>
            </w:pPr>
          </w:p>
        </w:tc>
      </w:tr>
      <w:tr w14:paraId="710258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825" w:type="dxa"/>
            <w:vMerge w:val="restart"/>
            <w:tcBorders>
              <w:bottom w:val="nil"/>
            </w:tcBorders>
            <w:vAlign w:val="top"/>
          </w:tcPr>
          <w:p w14:paraId="2A39DED0">
            <w:pPr>
              <w:spacing w:line="354" w:lineRule="auto"/>
              <w:rPr>
                <w:rFonts w:ascii="Arial"/>
                <w:sz w:val="21"/>
              </w:rPr>
            </w:pPr>
          </w:p>
          <w:p w14:paraId="3D5DC2A2">
            <w:pPr>
              <w:spacing w:line="354" w:lineRule="auto"/>
              <w:rPr>
                <w:rFonts w:ascii="Arial"/>
                <w:sz w:val="21"/>
              </w:rPr>
            </w:pPr>
          </w:p>
          <w:p w14:paraId="33C26ED4">
            <w:pPr>
              <w:pStyle w:val="6"/>
              <w:spacing w:before="69" w:line="241" w:lineRule="auto"/>
              <w:ind w:left="345"/>
            </w:pPr>
            <w:r>
              <w:t>1</w:t>
            </w:r>
          </w:p>
        </w:tc>
        <w:tc>
          <w:tcPr>
            <w:tcW w:w="1069" w:type="dxa"/>
            <w:vMerge w:val="restart"/>
            <w:tcBorders>
              <w:bottom w:val="nil"/>
            </w:tcBorders>
            <w:vAlign w:val="top"/>
          </w:tcPr>
          <w:p w14:paraId="7EF74193">
            <w:pPr>
              <w:spacing w:line="420" w:lineRule="auto"/>
              <w:rPr>
                <w:rFonts w:ascii="Arial"/>
                <w:sz w:val="21"/>
              </w:rPr>
            </w:pPr>
          </w:p>
          <w:p w14:paraId="57AA65EB">
            <w:pPr>
              <w:pStyle w:val="6"/>
              <w:spacing w:before="68" w:line="220" w:lineRule="auto"/>
              <w:ind w:left="100"/>
            </w:pPr>
            <w:r>
              <w:rPr>
                <w:spacing w:val="-3"/>
              </w:rPr>
              <w:t>项目经理</w:t>
            </w:r>
          </w:p>
          <w:p w14:paraId="06EDD519">
            <w:pPr>
              <w:pStyle w:val="6"/>
              <w:spacing w:before="28" w:line="232" w:lineRule="auto"/>
              <w:ind w:left="209" w:right="126" w:hanging="109"/>
            </w:pPr>
            <w:r>
              <w:rPr>
                <w:spacing w:val="-2"/>
              </w:rPr>
              <w:t>任职资格</w:t>
            </w:r>
            <w:r>
              <w:t xml:space="preserve"> </w:t>
            </w:r>
            <w:r>
              <w:rPr>
                <w:spacing w:val="-3"/>
              </w:rPr>
              <w:t>与业绩</w:t>
            </w:r>
          </w:p>
        </w:tc>
        <w:tc>
          <w:tcPr>
            <w:tcW w:w="909" w:type="dxa"/>
            <w:vAlign w:val="top"/>
          </w:tcPr>
          <w:p w14:paraId="736B75C1">
            <w:pPr>
              <w:pStyle w:val="6"/>
              <w:spacing w:before="183" w:line="221" w:lineRule="auto"/>
              <w:ind w:left="231"/>
            </w:pPr>
            <w:r>
              <w:rPr>
                <w:spacing w:val="-3"/>
              </w:rPr>
              <w:t>职称</w:t>
            </w:r>
          </w:p>
        </w:tc>
        <w:tc>
          <w:tcPr>
            <w:tcW w:w="3417" w:type="dxa"/>
            <w:vAlign w:val="top"/>
          </w:tcPr>
          <w:p w14:paraId="3D77D285">
            <w:pPr>
              <w:rPr>
                <w:rFonts w:ascii="Arial"/>
                <w:sz w:val="21"/>
              </w:rPr>
            </w:pPr>
          </w:p>
        </w:tc>
        <w:tc>
          <w:tcPr>
            <w:tcW w:w="709" w:type="dxa"/>
            <w:vAlign w:val="top"/>
          </w:tcPr>
          <w:p w14:paraId="63A3F9DE">
            <w:pPr>
              <w:pStyle w:val="6"/>
              <w:spacing w:before="181" w:line="220" w:lineRule="auto"/>
              <w:ind w:left="115"/>
            </w:pPr>
            <w:r>
              <w:t>分</w:t>
            </w:r>
          </w:p>
        </w:tc>
        <w:tc>
          <w:tcPr>
            <w:tcW w:w="750" w:type="dxa"/>
            <w:vAlign w:val="top"/>
          </w:tcPr>
          <w:p w14:paraId="222040F0">
            <w:pPr>
              <w:rPr>
                <w:rFonts w:ascii="Arial"/>
                <w:sz w:val="21"/>
              </w:rPr>
            </w:pPr>
          </w:p>
        </w:tc>
        <w:tc>
          <w:tcPr>
            <w:tcW w:w="770" w:type="dxa"/>
            <w:vAlign w:val="top"/>
          </w:tcPr>
          <w:p w14:paraId="1429138E">
            <w:pPr>
              <w:rPr>
                <w:rFonts w:ascii="Arial"/>
                <w:sz w:val="21"/>
              </w:rPr>
            </w:pPr>
          </w:p>
        </w:tc>
        <w:tc>
          <w:tcPr>
            <w:tcW w:w="739" w:type="dxa"/>
            <w:vAlign w:val="top"/>
          </w:tcPr>
          <w:p w14:paraId="1126AA2C">
            <w:pPr>
              <w:rPr>
                <w:rFonts w:ascii="Arial"/>
                <w:sz w:val="21"/>
              </w:rPr>
            </w:pPr>
          </w:p>
        </w:tc>
        <w:tc>
          <w:tcPr>
            <w:tcW w:w="769" w:type="dxa"/>
            <w:vAlign w:val="top"/>
          </w:tcPr>
          <w:p w14:paraId="0C50D289">
            <w:pPr>
              <w:rPr>
                <w:rFonts w:ascii="Arial"/>
                <w:sz w:val="21"/>
              </w:rPr>
            </w:pPr>
          </w:p>
        </w:tc>
        <w:tc>
          <w:tcPr>
            <w:tcW w:w="750" w:type="dxa"/>
            <w:vAlign w:val="top"/>
          </w:tcPr>
          <w:p w14:paraId="1B9DBCE3">
            <w:pPr>
              <w:rPr>
                <w:rFonts w:ascii="Arial"/>
                <w:sz w:val="21"/>
              </w:rPr>
            </w:pPr>
          </w:p>
        </w:tc>
        <w:tc>
          <w:tcPr>
            <w:tcW w:w="769" w:type="dxa"/>
            <w:vAlign w:val="top"/>
          </w:tcPr>
          <w:p w14:paraId="6D9C4B8C">
            <w:pPr>
              <w:rPr>
                <w:rFonts w:ascii="Arial"/>
                <w:sz w:val="21"/>
              </w:rPr>
            </w:pPr>
          </w:p>
        </w:tc>
        <w:tc>
          <w:tcPr>
            <w:tcW w:w="770" w:type="dxa"/>
            <w:vAlign w:val="top"/>
          </w:tcPr>
          <w:p w14:paraId="2DCDBFD2">
            <w:pPr>
              <w:rPr>
                <w:rFonts w:ascii="Arial"/>
                <w:sz w:val="21"/>
              </w:rPr>
            </w:pPr>
          </w:p>
        </w:tc>
        <w:tc>
          <w:tcPr>
            <w:tcW w:w="750" w:type="dxa"/>
            <w:vAlign w:val="top"/>
          </w:tcPr>
          <w:p w14:paraId="7B02BFAA">
            <w:pPr>
              <w:rPr>
                <w:rFonts w:ascii="Arial"/>
                <w:sz w:val="21"/>
              </w:rPr>
            </w:pPr>
          </w:p>
        </w:tc>
        <w:tc>
          <w:tcPr>
            <w:tcW w:w="744" w:type="dxa"/>
            <w:vAlign w:val="top"/>
          </w:tcPr>
          <w:p w14:paraId="2EEF359B">
            <w:pPr>
              <w:rPr>
                <w:rFonts w:ascii="Arial"/>
                <w:sz w:val="21"/>
              </w:rPr>
            </w:pPr>
          </w:p>
        </w:tc>
      </w:tr>
      <w:tr w14:paraId="3818C2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825" w:type="dxa"/>
            <w:vMerge w:val="continue"/>
            <w:tcBorders>
              <w:top w:val="nil"/>
              <w:bottom w:val="nil"/>
            </w:tcBorders>
            <w:vAlign w:val="top"/>
          </w:tcPr>
          <w:p w14:paraId="2CF33489">
            <w:pPr>
              <w:rPr>
                <w:rFonts w:ascii="Arial"/>
                <w:sz w:val="21"/>
              </w:rPr>
            </w:pPr>
          </w:p>
        </w:tc>
        <w:tc>
          <w:tcPr>
            <w:tcW w:w="1069" w:type="dxa"/>
            <w:vMerge w:val="continue"/>
            <w:tcBorders>
              <w:top w:val="nil"/>
              <w:bottom w:val="nil"/>
            </w:tcBorders>
            <w:vAlign w:val="top"/>
          </w:tcPr>
          <w:p w14:paraId="50945DC0">
            <w:pPr>
              <w:rPr>
                <w:rFonts w:ascii="Arial"/>
                <w:sz w:val="21"/>
              </w:rPr>
            </w:pPr>
          </w:p>
        </w:tc>
        <w:tc>
          <w:tcPr>
            <w:tcW w:w="909" w:type="dxa"/>
            <w:vAlign w:val="top"/>
          </w:tcPr>
          <w:p w14:paraId="032E5F38">
            <w:pPr>
              <w:pStyle w:val="6"/>
              <w:spacing w:before="182" w:line="221" w:lineRule="auto"/>
              <w:ind w:left="231"/>
            </w:pPr>
            <w:r>
              <w:rPr>
                <w:spacing w:val="6"/>
              </w:rPr>
              <w:t>学历</w:t>
            </w:r>
          </w:p>
        </w:tc>
        <w:tc>
          <w:tcPr>
            <w:tcW w:w="3417" w:type="dxa"/>
            <w:vAlign w:val="top"/>
          </w:tcPr>
          <w:p w14:paraId="4E42B708">
            <w:pPr>
              <w:rPr>
                <w:rFonts w:ascii="Arial"/>
                <w:sz w:val="21"/>
              </w:rPr>
            </w:pPr>
          </w:p>
        </w:tc>
        <w:tc>
          <w:tcPr>
            <w:tcW w:w="709" w:type="dxa"/>
            <w:vAlign w:val="top"/>
          </w:tcPr>
          <w:p w14:paraId="0DA076BC">
            <w:pPr>
              <w:pStyle w:val="6"/>
              <w:spacing w:before="182" w:line="220" w:lineRule="auto"/>
              <w:ind w:left="115"/>
            </w:pPr>
            <w:r>
              <w:t>分</w:t>
            </w:r>
          </w:p>
        </w:tc>
        <w:tc>
          <w:tcPr>
            <w:tcW w:w="750" w:type="dxa"/>
            <w:vAlign w:val="top"/>
          </w:tcPr>
          <w:p w14:paraId="7081F773">
            <w:pPr>
              <w:rPr>
                <w:rFonts w:ascii="Arial"/>
                <w:sz w:val="21"/>
              </w:rPr>
            </w:pPr>
          </w:p>
        </w:tc>
        <w:tc>
          <w:tcPr>
            <w:tcW w:w="770" w:type="dxa"/>
            <w:vAlign w:val="top"/>
          </w:tcPr>
          <w:p w14:paraId="31BC4B6E">
            <w:pPr>
              <w:rPr>
                <w:rFonts w:ascii="Arial"/>
                <w:sz w:val="21"/>
              </w:rPr>
            </w:pPr>
          </w:p>
        </w:tc>
        <w:tc>
          <w:tcPr>
            <w:tcW w:w="739" w:type="dxa"/>
            <w:vAlign w:val="top"/>
          </w:tcPr>
          <w:p w14:paraId="3094F846">
            <w:pPr>
              <w:rPr>
                <w:rFonts w:ascii="Arial"/>
                <w:sz w:val="21"/>
              </w:rPr>
            </w:pPr>
          </w:p>
        </w:tc>
        <w:tc>
          <w:tcPr>
            <w:tcW w:w="769" w:type="dxa"/>
            <w:vAlign w:val="top"/>
          </w:tcPr>
          <w:p w14:paraId="21563A63">
            <w:pPr>
              <w:rPr>
                <w:rFonts w:ascii="Arial"/>
                <w:sz w:val="21"/>
              </w:rPr>
            </w:pPr>
          </w:p>
        </w:tc>
        <w:tc>
          <w:tcPr>
            <w:tcW w:w="750" w:type="dxa"/>
            <w:vAlign w:val="top"/>
          </w:tcPr>
          <w:p w14:paraId="318DE4E9">
            <w:pPr>
              <w:rPr>
                <w:rFonts w:ascii="Arial"/>
                <w:sz w:val="21"/>
              </w:rPr>
            </w:pPr>
          </w:p>
        </w:tc>
        <w:tc>
          <w:tcPr>
            <w:tcW w:w="769" w:type="dxa"/>
            <w:vAlign w:val="top"/>
          </w:tcPr>
          <w:p w14:paraId="43BA998D">
            <w:pPr>
              <w:rPr>
                <w:rFonts w:ascii="Arial"/>
                <w:sz w:val="21"/>
              </w:rPr>
            </w:pPr>
          </w:p>
        </w:tc>
        <w:tc>
          <w:tcPr>
            <w:tcW w:w="770" w:type="dxa"/>
            <w:vAlign w:val="top"/>
          </w:tcPr>
          <w:p w14:paraId="3CACEC54">
            <w:pPr>
              <w:rPr>
                <w:rFonts w:ascii="Arial"/>
                <w:sz w:val="21"/>
              </w:rPr>
            </w:pPr>
          </w:p>
        </w:tc>
        <w:tc>
          <w:tcPr>
            <w:tcW w:w="750" w:type="dxa"/>
            <w:vAlign w:val="top"/>
          </w:tcPr>
          <w:p w14:paraId="25B5109B">
            <w:pPr>
              <w:rPr>
                <w:rFonts w:ascii="Arial"/>
                <w:sz w:val="21"/>
              </w:rPr>
            </w:pPr>
          </w:p>
        </w:tc>
        <w:tc>
          <w:tcPr>
            <w:tcW w:w="744" w:type="dxa"/>
            <w:vAlign w:val="top"/>
          </w:tcPr>
          <w:p w14:paraId="1963F7BD">
            <w:pPr>
              <w:rPr>
                <w:rFonts w:ascii="Arial"/>
                <w:sz w:val="21"/>
              </w:rPr>
            </w:pPr>
          </w:p>
        </w:tc>
      </w:tr>
      <w:tr w14:paraId="1895E7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825" w:type="dxa"/>
            <w:vMerge w:val="continue"/>
            <w:tcBorders>
              <w:top w:val="nil"/>
            </w:tcBorders>
            <w:vAlign w:val="top"/>
          </w:tcPr>
          <w:p w14:paraId="14BC1CAD">
            <w:pPr>
              <w:rPr>
                <w:rFonts w:ascii="Arial"/>
                <w:sz w:val="21"/>
              </w:rPr>
            </w:pPr>
          </w:p>
        </w:tc>
        <w:tc>
          <w:tcPr>
            <w:tcW w:w="1069" w:type="dxa"/>
            <w:vMerge w:val="continue"/>
            <w:tcBorders>
              <w:top w:val="nil"/>
            </w:tcBorders>
            <w:vAlign w:val="top"/>
          </w:tcPr>
          <w:p w14:paraId="6FE828D5">
            <w:pPr>
              <w:rPr>
                <w:rFonts w:ascii="Arial"/>
                <w:sz w:val="21"/>
              </w:rPr>
            </w:pPr>
          </w:p>
        </w:tc>
        <w:tc>
          <w:tcPr>
            <w:tcW w:w="909" w:type="dxa"/>
            <w:vAlign w:val="top"/>
          </w:tcPr>
          <w:p w14:paraId="21E05515">
            <w:pPr>
              <w:pStyle w:val="6"/>
              <w:spacing w:before="42" w:line="219" w:lineRule="auto"/>
              <w:ind w:left="131"/>
            </w:pPr>
            <w:r>
              <w:rPr>
                <w:spacing w:val="4"/>
              </w:rPr>
              <w:t>类似项</w:t>
            </w:r>
          </w:p>
          <w:p w14:paraId="4A2FDFC2">
            <w:pPr>
              <w:pStyle w:val="6"/>
              <w:spacing w:before="21" w:line="216" w:lineRule="auto"/>
              <w:ind w:left="131"/>
            </w:pPr>
            <w:r>
              <w:rPr>
                <w:spacing w:val="2"/>
              </w:rPr>
              <w:t>目业绩</w:t>
            </w:r>
          </w:p>
        </w:tc>
        <w:tc>
          <w:tcPr>
            <w:tcW w:w="3417" w:type="dxa"/>
            <w:vAlign w:val="top"/>
          </w:tcPr>
          <w:p w14:paraId="466AD961">
            <w:pPr>
              <w:rPr>
                <w:rFonts w:ascii="Arial"/>
                <w:sz w:val="21"/>
              </w:rPr>
            </w:pPr>
          </w:p>
        </w:tc>
        <w:tc>
          <w:tcPr>
            <w:tcW w:w="709" w:type="dxa"/>
            <w:vAlign w:val="top"/>
          </w:tcPr>
          <w:p w14:paraId="40B748C2">
            <w:pPr>
              <w:pStyle w:val="6"/>
              <w:spacing w:before="183" w:line="220" w:lineRule="auto"/>
              <w:ind w:left="115"/>
            </w:pPr>
            <w:r>
              <w:t>分</w:t>
            </w:r>
          </w:p>
        </w:tc>
        <w:tc>
          <w:tcPr>
            <w:tcW w:w="750" w:type="dxa"/>
            <w:vAlign w:val="top"/>
          </w:tcPr>
          <w:p w14:paraId="73E182C4">
            <w:pPr>
              <w:rPr>
                <w:rFonts w:ascii="Arial"/>
                <w:sz w:val="21"/>
              </w:rPr>
            </w:pPr>
          </w:p>
        </w:tc>
        <w:tc>
          <w:tcPr>
            <w:tcW w:w="770" w:type="dxa"/>
            <w:vAlign w:val="top"/>
          </w:tcPr>
          <w:p w14:paraId="293C7034">
            <w:pPr>
              <w:rPr>
                <w:rFonts w:ascii="Arial"/>
                <w:sz w:val="21"/>
              </w:rPr>
            </w:pPr>
          </w:p>
        </w:tc>
        <w:tc>
          <w:tcPr>
            <w:tcW w:w="739" w:type="dxa"/>
            <w:vAlign w:val="top"/>
          </w:tcPr>
          <w:p w14:paraId="0C7EDDA0">
            <w:pPr>
              <w:rPr>
                <w:rFonts w:ascii="Arial"/>
                <w:sz w:val="21"/>
              </w:rPr>
            </w:pPr>
          </w:p>
        </w:tc>
        <w:tc>
          <w:tcPr>
            <w:tcW w:w="769" w:type="dxa"/>
            <w:vAlign w:val="top"/>
          </w:tcPr>
          <w:p w14:paraId="707A3986">
            <w:pPr>
              <w:rPr>
                <w:rFonts w:ascii="Arial"/>
                <w:sz w:val="21"/>
              </w:rPr>
            </w:pPr>
          </w:p>
        </w:tc>
        <w:tc>
          <w:tcPr>
            <w:tcW w:w="750" w:type="dxa"/>
            <w:vAlign w:val="top"/>
          </w:tcPr>
          <w:p w14:paraId="24BB23BA">
            <w:pPr>
              <w:rPr>
                <w:rFonts w:ascii="Arial"/>
                <w:sz w:val="21"/>
              </w:rPr>
            </w:pPr>
          </w:p>
        </w:tc>
        <w:tc>
          <w:tcPr>
            <w:tcW w:w="769" w:type="dxa"/>
            <w:vAlign w:val="top"/>
          </w:tcPr>
          <w:p w14:paraId="7CE48F04">
            <w:pPr>
              <w:rPr>
                <w:rFonts w:ascii="Arial"/>
                <w:sz w:val="21"/>
              </w:rPr>
            </w:pPr>
          </w:p>
        </w:tc>
        <w:tc>
          <w:tcPr>
            <w:tcW w:w="770" w:type="dxa"/>
            <w:vAlign w:val="top"/>
          </w:tcPr>
          <w:p w14:paraId="2F8FAD3D">
            <w:pPr>
              <w:rPr>
                <w:rFonts w:ascii="Arial"/>
                <w:sz w:val="21"/>
              </w:rPr>
            </w:pPr>
          </w:p>
        </w:tc>
        <w:tc>
          <w:tcPr>
            <w:tcW w:w="750" w:type="dxa"/>
            <w:vAlign w:val="top"/>
          </w:tcPr>
          <w:p w14:paraId="46E88526">
            <w:pPr>
              <w:rPr>
                <w:rFonts w:ascii="Arial"/>
                <w:sz w:val="21"/>
              </w:rPr>
            </w:pPr>
          </w:p>
        </w:tc>
        <w:tc>
          <w:tcPr>
            <w:tcW w:w="744" w:type="dxa"/>
            <w:vAlign w:val="top"/>
          </w:tcPr>
          <w:p w14:paraId="16728D2E">
            <w:pPr>
              <w:rPr>
                <w:rFonts w:ascii="Arial"/>
                <w:sz w:val="21"/>
              </w:rPr>
            </w:pPr>
          </w:p>
        </w:tc>
      </w:tr>
      <w:tr w14:paraId="49CDAF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9" w:hRule="atLeast"/>
        </w:trPr>
        <w:tc>
          <w:tcPr>
            <w:tcW w:w="825" w:type="dxa"/>
            <w:vMerge w:val="restart"/>
            <w:tcBorders>
              <w:bottom w:val="nil"/>
            </w:tcBorders>
            <w:vAlign w:val="top"/>
          </w:tcPr>
          <w:p w14:paraId="3F425699">
            <w:pPr>
              <w:spacing w:line="313" w:lineRule="auto"/>
              <w:rPr>
                <w:rFonts w:ascii="Arial"/>
                <w:sz w:val="21"/>
              </w:rPr>
            </w:pPr>
          </w:p>
          <w:p w14:paraId="087024F7">
            <w:pPr>
              <w:spacing w:line="313" w:lineRule="auto"/>
              <w:rPr>
                <w:rFonts w:ascii="Arial"/>
                <w:sz w:val="21"/>
              </w:rPr>
            </w:pPr>
          </w:p>
          <w:p w14:paraId="1D4E06A4">
            <w:pPr>
              <w:spacing w:line="314" w:lineRule="auto"/>
              <w:rPr>
                <w:rFonts w:ascii="Arial"/>
                <w:sz w:val="21"/>
              </w:rPr>
            </w:pPr>
          </w:p>
          <w:p w14:paraId="4A0EC86A">
            <w:pPr>
              <w:pStyle w:val="6"/>
              <w:spacing w:before="68" w:line="241" w:lineRule="auto"/>
              <w:ind w:left="345"/>
            </w:pPr>
            <w:r>
              <w:t>2</w:t>
            </w:r>
          </w:p>
        </w:tc>
        <w:tc>
          <w:tcPr>
            <w:tcW w:w="1069" w:type="dxa"/>
            <w:vMerge w:val="restart"/>
            <w:tcBorders>
              <w:bottom w:val="nil"/>
            </w:tcBorders>
            <w:vAlign w:val="top"/>
          </w:tcPr>
          <w:p w14:paraId="7ED1D5DB">
            <w:pPr>
              <w:spacing w:line="320" w:lineRule="auto"/>
              <w:rPr>
                <w:rFonts w:ascii="Arial"/>
                <w:sz w:val="21"/>
              </w:rPr>
            </w:pPr>
          </w:p>
          <w:p w14:paraId="6D6BFC41">
            <w:pPr>
              <w:spacing w:line="321" w:lineRule="auto"/>
              <w:rPr>
                <w:rFonts w:ascii="Arial"/>
                <w:sz w:val="21"/>
              </w:rPr>
            </w:pPr>
          </w:p>
          <w:p w14:paraId="40402C31">
            <w:pPr>
              <w:pStyle w:val="6"/>
              <w:spacing w:before="68" w:line="219" w:lineRule="auto"/>
              <w:ind w:left="100"/>
            </w:pPr>
            <w:r>
              <w:rPr>
                <w:spacing w:val="3"/>
              </w:rPr>
              <w:t>技术负责</w:t>
            </w:r>
          </w:p>
          <w:p w14:paraId="63C74F74">
            <w:pPr>
              <w:pStyle w:val="6"/>
              <w:spacing w:before="41" w:line="239" w:lineRule="auto"/>
              <w:ind w:left="100" w:right="103"/>
            </w:pPr>
            <w:r>
              <w:rPr>
                <w:spacing w:val="3"/>
              </w:rPr>
              <w:t>人任职资</w:t>
            </w:r>
            <w:r>
              <w:rPr>
                <w:spacing w:val="2"/>
              </w:rPr>
              <w:t xml:space="preserve"> </w:t>
            </w:r>
            <w:r>
              <w:rPr>
                <w:spacing w:val="-2"/>
              </w:rPr>
              <w:t>格与业绩</w:t>
            </w:r>
          </w:p>
        </w:tc>
        <w:tc>
          <w:tcPr>
            <w:tcW w:w="909" w:type="dxa"/>
            <w:vAlign w:val="top"/>
          </w:tcPr>
          <w:p w14:paraId="74FFFAB7">
            <w:pPr>
              <w:pStyle w:val="6"/>
              <w:spacing w:before="216" w:line="221" w:lineRule="auto"/>
              <w:ind w:left="231"/>
            </w:pPr>
            <w:r>
              <w:rPr>
                <w:spacing w:val="-3"/>
              </w:rPr>
              <w:t>职称</w:t>
            </w:r>
          </w:p>
        </w:tc>
        <w:tc>
          <w:tcPr>
            <w:tcW w:w="3417" w:type="dxa"/>
            <w:vAlign w:val="top"/>
          </w:tcPr>
          <w:p w14:paraId="64FDA671">
            <w:pPr>
              <w:rPr>
                <w:rFonts w:ascii="Arial"/>
                <w:sz w:val="21"/>
              </w:rPr>
            </w:pPr>
          </w:p>
        </w:tc>
        <w:tc>
          <w:tcPr>
            <w:tcW w:w="709" w:type="dxa"/>
            <w:vAlign w:val="top"/>
          </w:tcPr>
          <w:p w14:paraId="649BAD81">
            <w:pPr>
              <w:pStyle w:val="6"/>
              <w:spacing w:before="214" w:line="220" w:lineRule="auto"/>
              <w:ind w:left="115"/>
            </w:pPr>
            <w:r>
              <w:t>分</w:t>
            </w:r>
          </w:p>
        </w:tc>
        <w:tc>
          <w:tcPr>
            <w:tcW w:w="750" w:type="dxa"/>
            <w:vAlign w:val="top"/>
          </w:tcPr>
          <w:p w14:paraId="5D15CFCF">
            <w:pPr>
              <w:rPr>
                <w:rFonts w:ascii="Arial"/>
                <w:sz w:val="21"/>
              </w:rPr>
            </w:pPr>
          </w:p>
        </w:tc>
        <w:tc>
          <w:tcPr>
            <w:tcW w:w="770" w:type="dxa"/>
            <w:vAlign w:val="top"/>
          </w:tcPr>
          <w:p w14:paraId="6AD9CDD3">
            <w:pPr>
              <w:rPr>
                <w:rFonts w:ascii="Arial"/>
                <w:sz w:val="21"/>
              </w:rPr>
            </w:pPr>
          </w:p>
        </w:tc>
        <w:tc>
          <w:tcPr>
            <w:tcW w:w="739" w:type="dxa"/>
            <w:vAlign w:val="top"/>
          </w:tcPr>
          <w:p w14:paraId="19DE1E6A">
            <w:pPr>
              <w:rPr>
                <w:rFonts w:ascii="Arial"/>
                <w:sz w:val="21"/>
              </w:rPr>
            </w:pPr>
          </w:p>
        </w:tc>
        <w:tc>
          <w:tcPr>
            <w:tcW w:w="769" w:type="dxa"/>
            <w:vAlign w:val="top"/>
          </w:tcPr>
          <w:p w14:paraId="011BFA82">
            <w:pPr>
              <w:rPr>
                <w:rFonts w:ascii="Arial"/>
                <w:sz w:val="21"/>
              </w:rPr>
            </w:pPr>
          </w:p>
        </w:tc>
        <w:tc>
          <w:tcPr>
            <w:tcW w:w="750" w:type="dxa"/>
            <w:vAlign w:val="top"/>
          </w:tcPr>
          <w:p w14:paraId="3361A551">
            <w:pPr>
              <w:rPr>
                <w:rFonts w:ascii="Arial"/>
                <w:sz w:val="21"/>
              </w:rPr>
            </w:pPr>
          </w:p>
        </w:tc>
        <w:tc>
          <w:tcPr>
            <w:tcW w:w="769" w:type="dxa"/>
            <w:vAlign w:val="top"/>
          </w:tcPr>
          <w:p w14:paraId="006824CD">
            <w:pPr>
              <w:rPr>
                <w:rFonts w:ascii="Arial"/>
                <w:sz w:val="21"/>
              </w:rPr>
            </w:pPr>
          </w:p>
        </w:tc>
        <w:tc>
          <w:tcPr>
            <w:tcW w:w="770" w:type="dxa"/>
            <w:vAlign w:val="top"/>
          </w:tcPr>
          <w:p w14:paraId="585B5EAD">
            <w:pPr>
              <w:rPr>
                <w:rFonts w:ascii="Arial"/>
                <w:sz w:val="21"/>
              </w:rPr>
            </w:pPr>
          </w:p>
        </w:tc>
        <w:tc>
          <w:tcPr>
            <w:tcW w:w="750" w:type="dxa"/>
            <w:vAlign w:val="top"/>
          </w:tcPr>
          <w:p w14:paraId="5B5FB74E">
            <w:pPr>
              <w:rPr>
                <w:rFonts w:ascii="Arial"/>
                <w:sz w:val="21"/>
              </w:rPr>
            </w:pPr>
          </w:p>
        </w:tc>
        <w:tc>
          <w:tcPr>
            <w:tcW w:w="744" w:type="dxa"/>
            <w:vAlign w:val="top"/>
          </w:tcPr>
          <w:p w14:paraId="0BF4490E">
            <w:pPr>
              <w:rPr>
                <w:rFonts w:ascii="Arial"/>
                <w:sz w:val="21"/>
              </w:rPr>
            </w:pPr>
          </w:p>
        </w:tc>
      </w:tr>
      <w:tr w14:paraId="101D09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9" w:hRule="atLeast"/>
        </w:trPr>
        <w:tc>
          <w:tcPr>
            <w:tcW w:w="825" w:type="dxa"/>
            <w:vMerge w:val="continue"/>
            <w:tcBorders>
              <w:top w:val="nil"/>
              <w:bottom w:val="nil"/>
            </w:tcBorders>
            <w:vAlign w:val="top"/>
          </w:tcPr>
          <w:p w14:paraId="2D80E70C">
            <w:pPr>
              <w:rPr>
                <w:rFonts w:ascii="Arial"/>
                <w:sz w:val="21"/>
              </w:rPr>
            </w:pPr>
          </w:p>
        </w:tc>
        <w:tc>
          <w:tcPr>
            <w:tcW w:w="1069" w:type="dxa"/>
            <w:vMerge w:val="continue"/>
            <w:tcBorders>
              <w:top w:val="nil"/>
              <w:bottom w:val="nil"/>
            </w:tcBorders>
            <w:vAlign w:val="top"/>
          </w:tcPr>
          <w:p w14:paraId="6023FFB2">
            <w:pPr>
              <w:rPr>
                <w:rFonts w:ascii="Arial"/>
                <w:sz w:val="21"/>
              </w:rPr>
            </w:pPr>
          </w:p>
        </w:tc>
        <w:tc>
          <w:tcPr>
            <w:tcW w:w="909" w:type="dxa"/>
            <w:vAlign w:val="top"/>
          </w:tcPr>
          <w:p w14:paraId="135BC16A">
            <w:pPr>
              <w:pStyle w:val="6"/>
              <w:spacing w:before="255" w:line="221" w:lineRule="auto"/>
              <w:ind w:left="231"/>
            </w:pPr>
            <w:r>
              <w:rPr>
                <w:spacing w:val="6"/>
              </w:rPr>
              <w:t>学历</w:t>
            </w:r>
          </w:p>
        </w:tc>
        <w:tc>
          <w:tcPr>
            <w:tcW w:w="3417" w:type="dxa"/>
            <w:vAlign w:val="top"/>
          </w:tcPr>
          <w:p w14:paraId="614EB875">
            <w:pPr>
              <w:rPr>
                <w:rFonts w:ascii="Arial"/>
                <w:sz w:val="21"/>
              </w:rPr>
            </w:pPr>
          </w:p>
        </w:tc>
        <w:tc>
          <w:tcPr>
            <w:tcW w:w="709" w:type="dxa"/>
            <w:vAlign w:val="top"/>
          </w:tcPr>
          <w:p w14:paraId="3EAD429B">
            <w:pPr>
              <w:pStyle w:val="6"/>
              <w:spacing w:before="255" w:line="220" w:lineRule="auto"/>
              <w:ind w:left="115"/>
            </w:pPr>
            <w:r>
              <w:t>分</w:t>
            </w:r>
          </w:p>
        </w:tc>
        <w:tc>
          <w:tcPr>
            <w:tcW w:w="750" w:type="dxa"/>
            <w:vAlign w:val="top"/>
          </w:tcPr>
          <w:p w14:paraId="280DFCDA">
            <w:pPr>
              <w:rPr>
                <w:rFonts w:ascii="Arial"/>
                <w:sz w:val="21"/>
              </w:rPr>
            </w:pPr>
          </w:p>
        </w:tc>
        <w:tc>
          <w:tcPr>
            <w:tcW w:w="770" w:type="dxa"/>
            <w:vAlign w:val="top"/>
          </w:tcPr>
          <w:p w14:paraId="621D38EF">
            <w:pPr>
              <w:rPr>
                <w:rFonts w:ascii="Arial"/>
                <w:sz w:val="21"/>
              </w:rPr>
            </w:pPr>
          </w:p>
        </w:tc>
        <w:tc>
          <w:tcPr>
            <w:tcW w:w="739" w:type="dxa"/>
            <w:vAlign w:val="top"/>
          </w:tcPr>
          <w:p w14:paraId="561BC068">
            <w:pPr>
              <w:rPr>
                <w:rFonts w:ascii="Arial"/>
                <w:sz w:val="21"/>
              </w:rPr>
            </w:pPr>
          </w:p>
        </w:tc>
        <w:tc>
          <w:tcPr>
            <w:tcW w:w="769" w:type="dxa"/>
            <w:vAlign w:val="top"/>
          </w:tcPr>
          <w:p w14:paraId="6EBC0515">
            <w:pPr>
              <w:rPr>
                <w:rFonts w:ascii="Arial"/>
                <w:sz w:val="21"/>
              </w:rPr>
            </w:pPr>
          </w:p>
        </w:tc>
        <w:tc>
          <w:tcPr>
            <w:tcW w:w="750" w:type="dxa"/>
            <w:vAlign w:val="top"/>
          </w:tcPr>
          <w:p w14:paraId="758751A9">
            <w:pPr>
              <w:rPr>
                <w:rFonts w:ascii="Arial"/>
                <w:sz w:val="21"/>
              </w:rPr>
            </w:pPr>
          </w:p>
        </w:tc>
        <w:tc>
          <w:tcPr>
            <w:tcW w:w="769" w:type="dxa"/>
            <w:vAlign w:val="top"/>
          </w:tcPr>
          <w:p w14:paraId="511622DB">
            <w:pPr>
              <w:rPr>
                <w:rFonts w:ascii="Arial"/>
                <w:sz w:val="21"/>
              </w:rPr>
            </w:pPr>
          </w:p>
        </w:tc>
        <w:tc>
          <w:tcPr>
            <w:tcW w:w="770" w:type="dxa"/>
            <w:vAlign w:val="top"/>
          </w:tcPr>
          <w:p w14:paraId="7B63FE03">
            <w:pPr>
              <w:rPr>
                <w:rFonts w:ascii="Arial"/>
                <w:sz w:val="21"/>
              </w:rPr>
            </w:pPr>
          </w:p>
        </w:tc>
        <w:tc>
          <w:tcPr>
            <w:tcW w:w="750" w:type="dxa"/>
            <w:vAlign w:val="top"/>
          </w:tcPr>
          <w:p w14:paraId="725C700E">
            <w:pPr>
              <w:rPr>
                <w:rFonts w:ascii="Arial"/>
                <w:sz w:val="21"/>
              </w:rPr>
            </w:pPr>
          </w:p>
        </w:tc>
        <w:tc>
          <w:tcPr>
            <w:tcW w:w="744" w:type="dxa"/>
            <w:vAlign w:val="top"/>
          </w:tcPr>
          <w:p w14:paraId="4CE1A892">
            <w:pPr>
              <w:rPr>
                <w:rFonts w:ascii="Arial"/>
                <w:sz w:val="21"/>
              </w:rPr>
            </w:pPr>
          </w:p>
        </w:tc>
      </w:tr>
      <w:tr w14:paraId="67E6B9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9" w:hRule="atLeast"/>
        </w:trPr>
        <w:tc>
          <w:tcPr>
            <w:tcW w:w="825" w:type="dxa"/>
            <w:vMerge w:val="continue"/>
            <w:tcBorders>
              <w:top w:val="nil"/>
            </w:tcBorders>
            <w:vAlign w:val="top"/>
          </w:tcPr>
          <w:p w14:paraId="2FD92D43">
            <w:pPr>
              <w:rPr>
                <w:rFonts w:ascii="Arial"/>
                <w:sz w:val="21"/>
              </w:rPr>
            </w:pPr>
          </w:p>
        </w:tc>
        <w:tc>
          <w:tcPr>
            <w:tcW w:w="1069" w:type="dxa"/>
            <w:vMerge w:val="continue"/>
            <w:tcBorders>
              <w:top w:val="nil"/>
            </w:tcBorders>
            <w:vAlign w:val="top"/>
          </w:tcPr>
          <w:p w14:paraId="4C317D2C">
            <w:pPr>
              <w:rPr>
                <w:rFonts w:ascii="Arial"/>
                <w:sz w:val="21"/>
              </w:rPr>
            </w:pPr>
          </w:p>
        </w:tc>
        <w:tc>
          <w:tcPr>
            <w:tcW w:w="909" w:type="dxa"/>
            <w:vAlign w:val="top"/>
          </w:tcPr>
          <w:p w14:paraId="15D42544">
            <w:pPr>
              <w:pStyle w:val="6"/>
              <w:spacing w:before="46" w:line="220" w:lineRule="auto"/>
              <w:ind w:left="131"/>
            </w:pPr>
            <w:r>
              <w:rPr>
                <w:spacing w:val="3"/>
              </w:rPr>
              <w:t>从事专</w:t>
            </w:r>
          </w:p>
          <w:p w14:paraId="3A537FD2">
            <w:pPr>
              <w:pStyle w:val="6"/>
              <w:spacing w:before="30" w:line="212" w:lineRule="auto"/>
              <w:ind w:left="231" w:right="124" w:hanging="100"/>
            </w:pPr>
            <w:r>
              <w:rPr>
                <w:spacing w:val="4"/>
              </w:rPr>
              <w:t>业工作</w:t>
            </w:r>
            <w:r>
              <w:t xml:space="preserve"> </w:t>
            </w:r>
            <w:r>
              <w:rPr>
                <w:spacing w:val="5"/>
              </w:rPr>
              <w:t>年限</w:t>
            </w:r>
          </w:p>
        </w:tc>
        <w:tc>
          <w:tcPr>
            <w:tcW w:w="3417" w:type="dxa"/>
            <w:vAlign w:val="top"/>
          </w:tcPr>
          <w:p w14:paraId="53FD1EA1">
            <w:pPr>
              <w:rPr>
                <w:rFonts w:ascii="Arial"/>
                <w:sz w:val="21"/>
              </w:rPr>
            </w:pPr>
          </w:p>
        </w:tc>
        <w:tc>
          <w:tcPr>
            <w:tcW w:w="709" w:type="dxa"/>
            <w:vAlign w:val="top"/>
          </w:tcPr>
          <w:p w14:paraId="7CC6CBA8">
            <w:pPr>
              <w:spacing w:line="246" w:lineRule="auto"/>
              <w:rPr>
                <w:rFonts w:ascii="Arial"/>
                <w:sz w:val="21"/>
              </w:rPr>
            </w:pPr>
          </w:p>
          <w:p w14:paraId="2162D561">
            <w:pPr>
              <w:pStyle w:val="6"/>
              <w:spacing w:before="68" w:line="220" w:lineRule="auto"/>
              <w:ind w:left="115"/>
            </w:pPr>
            <w:r>
              <w:t>分</w:t>
            </w:r>
          </w:p>
        </w:tc>
        <w:tc>
          <w:tcPr>
            <w:tcW w:w="750" w:type="dxa"/>
            <w:vAlign w:val="top"/>
          </w:tcPr>
          <w:p w14:paraId="5C8A03E1">
            <w:pPr>
              <w:rPr>
                <w:rFonts w:ascii="Arial"/>
                <w:sz w:val="21"/>
              </w:rPr>
            </w:pPr>
          </w:p>
        </w:tc>
        <w:tc>
          <w:tcPr>
            <w:tcW w:w="770" w:type="dxa"/>
            <w:vAlign w:val="top"/>
          </w:tcPr>
          <w:p w14:paraId="4225BF2C">
            <w:pPr>
              <w:rPr>
                <w:rFonts w:ascii="Arial"/>
                <w:sz w:val="21"/>
              </w:rPr>
            </w:pPr>
          </w:p>
        </w:tc>
        <w:tc>
          <w:tcPr>
            <w:tcW w:w="739" w:type="dxa"/>
            <w:vAlign w:val="top"/>
          </w:tcPr>
          <w:p w14:paraId="5CAC4C66">
            <w:pPr>
              <w:rPr>
                <w:rFonts w:ascii="Arial"/>
                <w:sz w:val="21"/>
              </w:rPr>
            </w:pPr>
          </w:p>
        </w:tc>
        <w:tc>
          <w:tcPr>
            <w:tcW w:w="769" w:type="dxa"/>
            <w:vAlign w:val="top"/>
          </w:tcPr>
          <w:p w14:paraId="0C065BCB">
            <w:pPr>
              <w:rPr>
                <w:rFonts w:ascii="Arial"/>
                <w:sz w:val="21"/>
              </w:rPr>
            </w:pPr>
          </w:p>
        </w:tc>
        <w:tc>
          <w:tcPr>
            <w:tcW w:w="750" w:type="dxa"/>
            <w:vAlign w:val="top"/>
          </w:tcPr>
          <w:p w14:paraId="06367FA3">
            <w:pPr>
              <w:rPr>
                <w:rFonts w:ascii="Arial"/>
                <w:sz w:val="21"/>
              </w:rPr>
            </w:pPr>
          </w:p>
        </w:tc>
        <w:tc>
          <w:tcPr>
            <w:tcW w:w="769" w:type="dxa"/>
            <w:vAlign w:val="top"/>
          </w:tcPr>
          <w:p w14:paraId="06C848AF">
            <w:pPr>
              <w:rPr>
                <w:rFonts w:ascii="Arial"/>
                <w:sz w:val="21"/>
              </w:rPr>
            </w:pPr>
          </w:p>
        </w:tc>
        <w:tc>
          <w:tcPr>
            <w:tcW w:w="770" w:type="dxa"/>
            <w:vAlign w:val="top"/>
          </w:tcPr>
          <w:p w14:paraId="4CA24A4C">
            <w:pPr>
              <w:rPr>
                <w:rFonts w:ascii="Arial"/>
                <w:sz w:val="21"/>
              </w:rPr>
            </w:pPr>
          </w:p>
        </w:tc>
        <w:tc>
          <w:tcPr>
            <w:tcW w:w="750" w:type="dxa"/>
            <w:vAlign w:val="top"/>
          </w:tcPr>
          <w:p w14:paraId="654E4EDB">
            <w:pPr>
              <w:rPr>
                <w:rFonts w:ascii="Arial"/>
                <w:sz w:val="21"/>
              </w:rPr>
            </w:pPr>
          </w:p>
        </w:tc>
        <w:tc>
          <w:tcPr>
            <w:tcW w:w="744" w:type="dxa"/>
            <w:vAlign w:val="top"/>
          </w:tcPr>
          <w:p w14:paraId="738B847B">
            <w:pPr>
              <w:rPr>
                <w:rFonts w:ascii="Arial"/>
                <w:sz w:val="21"/>
              </w:rPr>
            </w:pPr>
          </w:p>
        </w:tc>
      </w:tr>
      <w:tr w14:paraId="0E1EB9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825" w:type="dxa"/>
            <w:vAlign w:val="top"/>
          </w:tcPr>
          <w:p w14:paraId="694FB74E">
            <w:pPr>
              <w:pStyle w:val="6"/>
              <w:spacing w:before="206"/>
              <w:ind w:left="345"/>
            </w:pPr>
            <w:r>
              <w:t>3</w:t>
            </w:r>
          </w:p>
        </w:tc>
        <w:tc>
          <w:tcPr>
            <w:tcW w:w="1978" w:type="dxa"/>
            <w:gridSpan w:val="2"/>
            <w:vAlign w:val="top"/>
          </w:tcPr>
          <w:p w14:paraId="2B47BC2D">
            <w:pPr>
              <w:pStyle w:val="6"/>
              <w:spacing w:before="187" w:line="220" w:lineRule="auto"/>
              <w:ind w:left="350"/>
            </w:pPr>
            <w:r>
              <w:rPr>
                <w:spacing w:val="4"/>
              </w:rPr>
              <w:t>其他主要人员</w:t>
            </w:r>
          </w:p>
        </w:tc>
        <w:tc>
          <w:tcPr>
            <w:tcW w:w="3417" w:type="dxa"/>
            <w:vAlign w:val="top"/>
          </w:tcPr>
          <w:p w14:paraId="6E066D8A">
            <w:pPr>
              <w:rPr>
                <w:rFonts w:ascii="Arial"/>
                <w:sz w:val="21"/>
              </w:rPr>
            </w:pPr>
          </w:p>
        </w:tc>
        <w:tc>
          <w:tcPr>
            <w:tcW w:w="709" w:type="dxa"/>
            <w:vAlign w:val="top"/>
          </w:tcPr>
          <w:p w14:paraId="1E1943A1">
            <w:pPr>
              <w:pStyle w:val="6"/>
              <w:spacing w:before="187" w:line="220" w:lineRule="auto"/>
              <w:ind w:left="115"/>
            </w:pPr>
            <w:r>
              <w:t>分</w:t>
            </w:r>
          </w:p>
        </w:tc>
        <w:tc>
          <w:tcPr>
            <w:tcW w:w="750" w:type="dxa"/>
            <w:vAlign w:val="top"/>
          </w:tcPr>
          <w:p w14:paraId="76C9C219">
            <w:pPr>
              <w:rPr>
                <w:rFonts w:ascii="Arial"/>
                <w:sz w:val="21"/>
              </w:rPr>
            </w:pPr>
          </w:p>
        </w:tc>
        <w:tc>
          <w:tcPr>
            <w:tcW w:w="770" w:type="dxa"/>
            <w:vAlign w:val="top"/>
          </w:tcPr>
          <w:p w14:paraId="0B02C6BF">
            <w:pPr>
              <w:rPr>
                <w:rFonts w:ascii="Arial"/>
                <w:sz w:val="21"/>
              </w:rPr>
            </w:pPr>
          </w:p>
        </w:tc>
        <w:tc>
          <w:tcPr>
            <w:tcW w:w="739" w:type="dxa"/>
            <w:vAlign w:val="top"/>
          </w:tcPr>
          <w:p w14:paraId="26A9952C">
            <w:pPr>
              <w:rPr>
                <w:rFonts w:ascii="Arial"/>
                <w:sz w:val="21"/>
              </w:rPr>
            </w:pPr>
          </w:p>
        </w:tc>
        <w:tc>
          <w:tcPr>
            <w:tcW w:w="769" w:type="dxa"/>
            <w:vAlign w:val="top"/>
          </w:tcPr>
          <w:p w14:paraId="0C2B2EF9">
            <w:pPr>
              <w:rPr>
                <w:rFonts w:ascii="Arial"/>
                <w:sz w:val="21"/>
              </w:rPr>
            </w:pPr>
          </w:p>
        </w:tc>
        <w:tc>
          <w:tcPr>
            <w:tcW w:w="750" w:type="dxa"/>
            <w:vAlign w:val="top"/>
          </w:tcPr>
          <w:p w14:paraId="01674F08">
            <w:pPr>
              <w:rPr>
                <w:rFonts w:ascii="Arial"/>
                <w:sz w:val="21"/>
              </w:rPr>
            </w:pPr>
          </w:p>
        </w:tc>
        <w:tc>
          <w:tcPr>
            <w:tcW w:w="769" w:type="dxa"/>
            <w:vAlign w:val="top"/>
          </w:tcPr>
          <w:p w14:paraId="5B270B74">
            <w:pPr>
              <w:rPr>
                <w:rFonts w:ascii="Arial"/>
                <w:sz w:val="21"/>
              </w:rPr>
            </w:pPr>
          </w:p>
        </w:tc>
        <w:tc>
          <w:tcPr>
            <w:tcW w:w="770" w:type="dxa"/>
            <w:vAlign w:val="top"/>
          </w:tcPr>
          <w:p w14:paraId="63CE1D22">
            <w:pPr>
              <w:rPr>
                <w:rFonts w:ascii="Arial"/>
                <w:sz w:val="21"/>
              </w:rPr>
            </w:pPr>
          </w:p>
        </w:tc>
        <w:tc>
          <w:tcPr>
            <w:tcW w:w="750" w:type="dxa"/>
            <w:vAlign w:val="top"/>
          </w:tcPr>
          <w:p w14:paraId="1A484129">
            <w:pPr>
              <w:rPr>
                <w:rFonts w:ascii="Arial"/>
                <w:sz w:val="21"/>
              </w:rPr>
            </w:pPr>
          </w:p>
        </w:tc>
        <w:tc>
          <w:tcPr>
            <w:tcW w:w="744" w:type="dxa"/>
            <w:vAlign w:val="top"/>
          </w:tcPr>
          <w:p w14:paraId="144C9118">
            <w:pPr>
              <w:rPr>
                <w:rFonts w:ascii="Arial"/>
                <w:sz w:val="21"/>
              </w:rPr>
            </w:pPr>
          </w:p>
        </w:tc>
      </w:tr>
      <w:tr w14:paraId="303356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4" w:hRule="atLeast"/>
        </w:trPr>
        <w:tc>
          <w:tcPr>
            <w:tcW w:w="6929" w:type="dxa"/>
            <w:gridSpan w:val="5"/>
            <w:vAlign w:val="top"/>
          </w:tcPr>
          <w:p w14:paraId="2C098C3B">
            <w:pPr>
              <w:pStyle w:val="6"/>
              <w:spacing w:before="186" w:line="219" w:lineRule="auto"/>
              <w:ind w:left="1825"/>
            </w:pPr>
            <w:r>
              <w:rPr>
                <w:spacing w:val="2"/>
              </w:rPr>
              <w:t>项目管理机构得分合计C(满分 分)</w:t>
            </w:r>
          </w:p>
        </w:tc>
        <w:tc>
          <w:tcPr>
            <w:tcW w:w="750" w:type="dxa"/>
            <w:vAlign w:val="top"/>
          </w:tcPr>
          <w:p w14:paraId="6D577E14">
            <w:pPr>
              <w:rPr>
                <w:rFonts w:ascii="Arial"/>
                <w:sz w:val="21"/>
              </w:rPr>
            </w:pPr>
          </w:p>
        </w:tc>
        <w:tc>
          <w:tcPr>
            <w:tcW w:w="770" w:type="dxa"/>
            <w:vAlign w:val="top"/>
          </w:tcPr>
          <w:p w14:paraId="01489AB3">
            <w:pPr>
              <w:rPr>
                <w:rFonts w:ascii="Arial"/>
                <w:sz w:val="21"/>
              </w:rPr>
            </w:pPr>
          </w:p>
        </w:tc>
        <w:tc>
          <w:tcPr>
            <w:tcW w:w="739" w:type="dxa"/>
            <w:vAlign w:val="top"/>
          </w:tcPr>
          <w:p w14:paraId="084189F6">
            <w:pPr>
              <w:rPr>
                <w:rFonts w:ascii="Arial"/>
                <w:sz w:val="21"/>
              </w:rPr>
            </w:pPr>
          </w:p>
        </w:tc>
        <w:tc>
          <w:tcPr>
            <w:tcW w:w="769" w:type="dxa"/>
            <w:vAlign w:val="top"/>
          </w:tcPr>
          <w:p w14:paraId="7818BE52">
            <w:pPr>
              <w:rPr>
                <w:rFonts w:ascii="Arial"/>
                <w:sz w:val="21"/>
              </w:rPr>
            </w:pPr>
          </w:p>
        </w:tc>
        <w:tc>
          <w:tcPr>
            <w:tcW w:w="750" w:type="dxa"/>
            <w:vAlign w:val="top"/>
          </w:tcPr>
          <w:p w14:paraId="276B3281">
            <w:pPr>
              <w:rPr>
                <w:rFonts w:ascii="Arial"/>
                <w:sz w:val="21"/>
              </w:rPr>
            </w:pPr>
          </w:p>
        </w:tc>
        <w:tc>
          <w:tcPr>
            <w:tcW w:w="769" w:type="dxa"/>
            <w:vAlign w:val="top"/>
          </w:tcPr>
          <w:p w14:paraId="176F69FC">
            <w:pPr>
              <w:rPr>
                <w:rFonts w:ascii="Arial"/>
                <w:sz w:val="21"/>
              </w:rPr>
            </w:pPr>
          </w:p>
        </w:tc>
        <w:tc>
          <w:tcPr>
            <w:tcW w:w="770" w:type="dxa"/>
            <w:vAlign w:val="top"/>
          </w:tcPr>
          <w:p w14:paraId="0D7B6362">
            <w:pPr>
              <w:rPr>
                <w:rFonts w:ascii="Arial"/>
                <w:sz w:val="21"/>
              </w:rPr>
            </w:pPr>
          </w:p>
        </w:tc>
        <w:tc>
          <w:tcPr>
            <w:tcW w:w="750" w:type="dxa"/>
            <w:vAlign w:val="top"/>
          </w:tcPr>
          <w:p w14:paraId="2AC507AB">
            <w:pPr>
              <w:rPr>
                <w:rFonts w:ascii="Arial"/>
                <w:sz w:val="21"/>
              </w:rPr>
            </w:pPr>
          </w:p>
        </w:tc>
        <w:tc>
          <w:tcPr>
            <w:tcW w:w="744" w:type="dxa"/>
            <w:vAlign w:val="top"/>
          </w:tcPr>
          <w:p w14:paraId="733E2774">
            <w:pPr>
              <w:rPr>
                <w:rFonts w:ascii="Arial"/>
                <w:sz w:val="21"/>
              </w:rPr>
            </w:pPr>
          </w:p>
        </w:tc>
      </w:tr>
    </w:tbl>
    <w:p w14:paraId="4EF7C3EA">
      <w:pPr>
        <w:spacing w:line="261" w:lineRule="auto"/>
        <w:rPr>
          <w:rFonts w:ascii="Arial"/>
          <w:sz w:val="21"/>
        </w:rPr>
      </w:pPr>
    </w:p>
    <w:p w14:paraId="064AC787">
      <w:pPr>
        <w:pStyle w:val="2"/>
        <w:spacing w:before="65" w:line="223" w:lineRule="auto"/>
        <w:ind w:left="125"/>
        <w:rPr>
          <w:sz w:val="20"/>
          <w:szCs w:val="20"/>
        </w:rPr>
      </w:pPr>
      <w:r>
        <w:rPr>
          <w:spacing w:val="-2"/>
          <w:sz w:val="20"/>
          <w:szCs w:val="20"/>
        </w:rPr>
        <w:t xml:space="preserve">评标委员会成员签名：                                                                        </w:t>
      </w:r>
      <w:r>
        <w:rPr>
          <w:spacing w:val="-3"/>
          <w:sz w:val="20"/>
          <w:szCs w:val="20"/>
        </w:rPr>
        <w:t xml:space="preserve">                     </w:t>
      </w:r>
      <w:r>
        <w:rPr>
          <w:spacing w:val="-3"/>
          <w:sz w:val="16"/>
          <w:szCs w:val="16"/>
        </w:rPr>
        <w:t>日 期</w:t>
      </w:r>
      <w:r>
        <w:rPr>
          <w:spacing w:val="5"/>
          <w:sz w:val="16"/>
          <w:szCs w:val="16"/>
        </w:rPr>
        <w:t xml:space="preserve"> </w:t>
      </w:r>
      <w:r>
        <w:rPr>
          <w:spacing w:val="-3"/>
          <w:sz w:val="16"/>
          <w:szCs w:val="16"/>
        </w:rPr>
        <w:t xml:space="preserve">：      </w:t>
      </w:r>
      <w:r>
        <w:rPr>
          <w:spacing w:val="-3"/>
          <w:sz w:val="20"/>
          <w:szCs w:val="20"/>
        </w:rPr>
        <w:t xml:space="preserve">年     月  </w:t>
      </w:r>
      <w:r>
        <w:rPr>
          <w:spacing w:val="-3"/>
          <w:position w:val="1"/>
          <w:sz w:val="20"/>
          <w:szCs w:val="20"/>
        </w:rPr>
        <w:t>日</w:t>
      </w:r>
    </w:p>
    <w:p w14:paraId="35FFCAF7">
      <w:pPr>
        <w:spacing w:line="223" w:lineRule="auto"/>
        <w:rPr>
          <w:sz w:val="20"/>
          <w:szCs w:val="20"/>
        </w:rPr>
        <w:sectPr>
          <w:footerReference r:id="rId88" w:type="default"/>
          <w:pgSz w:w="16840" w:h="11910"/>
          <w:pgMar w:top="1012" w:right="1514" w:bottom="971" w:left="1574" w:header="0" w:footer="827" w:gutter="0"/>
          <w:cols w:space="720" w:num="1"/>
        </w:sectPr>
      </w:pPr>
    </w:p>
    <w:p w14:paraId="0610DF20">
      <w:pPr>
        <w:spacing w:line="259" w:lineRule="auto"/>
        <w:rPr>
          <w:rFonts w:ascii="Arial"/>
          <w:sz w:val="21"/>
        </w:rPr>
      </w:pPr>
    </w:p>
    <w:p w14:paraId="796737D0">
      <w:pPr>
        <w:spacing w:line="259" w:lineRule="auto"/>
        <w:rPr>
          <w:rFonts w:ascii="Arial"/>
          <w:sz w:val="21"/>
        </w:rPr>
      </w:pPr>
    </w:p>
    <w:p w14:paraId="20F763CE">
      <w:pPr>
        <w:pStyle w:val="2"/>
        <w:spacing w:before="81" w:line="222" w:lineRule="auto"/>
        <w:ind w:left="548"/>
        <w:outlineLvl w:val="2"/>
        <w:rPr>
          <w:rFonts w:ascii="黑体" w:hAnsi="黑体" w:eastAsia="黑体" w:cs="黑体"/>
        </w:rPr>
      </w:pPr>
      <w:bookmarkStart w:id="223" w:name="bookmark165"/>
      <w:bookmarkEnd w:id="223"/>
      <w:r>
        <w:rPr>
          <w:rFonts w:ascii="黑体" w:hAnsi="黑体" w:eastAsia="黑体" w:cs="黑体"/>
          <w:b/>
          <w:bCs/>
          <w:spacing w:val="-4"/>
        </w:rPr>
        <w:t>附表</w:t>
      </w:r>
      <w:r>
        <w:rPr>
          <w:b/>
          <w:bCs/>
          <w:spacing w:val="-4"/>
        </w:rPr>
        <w:t>A-11:</w:t>
      </w:r>
      <w:r>
        <w:rPr>
          <w:spacing w:val="-4"/>
        </w:rPr>
        <w:t xml:space="preserve"> </w:t>
      </w:r>
      <w:r>
        <w:rPr>
          <w:rFonts w:ascii="黑体" w:hAnsi="黑体" w:eastAsia="黑体" w:cs="黑体"/>
          <w:b/>
          <w:bCs/>
          <w:spacing w:val="-4"/>
        </w:rPr>
        <w:t>其他因素评审记录表</w:t>
      </w:r>
    </w:p>
    <w:p w14:paraId="4873D0D9">
      <w:pPr>
        <w:spacing w:before="51" w:line="222" w:lineRule="auto"/>
        <w:ind w:left="5300"/>
        <w:rPr>
          <w:rFonts w:ascii="黑体" w:hAnsi="黑体" w:eastAsia="黑体" w:cs="黑体"/>
          <w:sz w:val="36"/>
          <w:szCs w:val="36"/>
        </w:rPr>
      </w:pPr>
      <w:bookmarkStart w:id="224" w:name="bookmark276"/>
      <w:bookmarkEnd w:id="224"/>
      <w:r>
        <w:rPr>
          <w:rFonts w:ascii="黑体" w:hAnsi="黑体" w:eastAsia="黑体" w:cs="黑体"/>
          <w:b/>
          <w:bCs/>
          <w:spacing w:val="-9"/>
          <w:sz w:val="36"/>
          <w:szCs w:val="36"/>
        </w:rPr>
        <w:t>其他因素评审记录表</w:t>
      </w:r>
    </w:p>
    <w:p w14:paraId="65CAD9AF">
      <w:pPr>
        <w:pStyle w:val="2"/>
        <w:spacing w:before="259" w:line="229" w:lineRule="auto"/>
        <w:ind w:left="114"/>
        <w:rPr>
          <w:sz w:val="20"/>
          <w:szCs w:val="20"/>
        </w:rPr>
      </w:pPr>
      <w:r>
        <w:rPr>
          <w:spacing w:val="3"/>
          <w:position w:val="-2"/>
          <w:sz w:val="20"/>
          <w:szCs w:val="20"/>
        </w:rPr>
        <w:t>工程名称：</w:t>
      </w:r>
      <w:r>
        <w:rPr>
          <w:spacing w:val="-5"/>
          <w:position w:val="-2"/>
          <w:sz w:val="20"/>
          <w:szCs w:val="20"/>
        </w:rPr>
        <w:t xml:space="preserve"> </w:t>
      </w:r>
      <w:r>
        <w:rPr>
          <w:spacing w:val="5"/>
          <w:position w:val="-2"/>
          <w:sz w:val="20"/>
          <w:szCs w:val="20"/>
          <w:u w:val="single" w:color="auto"/>
        </w:rPr>
        <w:t xml:space="preserve">               </w:t>
      </w:r>
      <w:r>
        <w:rPr>
          <w:spacing w:val="-95"/>
          <w:position w:val="-2"/>
          <w:sz w:val="20"/>
          <w:szCs w:val="20"/>
        </w:rPr>
        <w:t xml:space="preserve"> </w:t>
      </w:r>
      <w:r>
        <w:rPr>
          <w:spacing w:val="3"/>
          <w:position w:val="1"/>
          <w:sz w:val="21"/>
          <w:szCs w:val="21"/>
        </w:rPr>
        <w:t>(项目名称)</w:t>
      </w:r>
      <w:r>
        <w:rPr>
          <w:spacing w:val="3"/>
          <w:position w:val="1"/>
          <w:sz w:val="21"/>
          <w:szCs w:val="21"/>
          <w:u w:val="single" w:color="auto"/>
        </w:rPr>
        <w:t xml:space="preserve">       </w:t>
      </w:r>
      <w:r>
        <w:rPr>
          <w:spacing w:val="-35"/>
          <w:position w:val="1"/>
          <w:sz w:val="21"/>
          <w:szCs w:val="21"/>
        </w:rPr>
        <w:t xml:space="preserve"> </w:t>
      </w:r>
      <w:r>
        <w:rPr>
          <w:spacing w:val="3"/>
          <w:position w:val="1"/>
          <w:sz w:val="20"/>
          <w:szCs w:val="20"/>
        </w:rPr>
        <w:t>(标段名称)</w:t>
      </w:r>
    </w:p>
    <w:p w14:paraId="0D41C26A">
      <w:pPr>
        <w:spacing w:line="187" w:lineRule="exact"/>
      </w:pPr>
    </w:p>
    <w:tbl>
      <w:tblPr>
        <w:tblStyle w:val="5"/>
        <w:tblW w:w="137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4"/>
        <w:gridCol w:w="1159"/>
        <w:gridCol w:w="3947"/>
        <w:gridCol w:w="740"/>
        <w:gridCol w:w="799"/>
        <w:gridCol w:w="800"/>
        <w:gridCol w:w="799"/>
        <w:gridCol w:w="799"/>
        <w:gridCol w:w="779"/>
        <w:gridCol w:w="799"/>
        <w:gridCol w:w="800"/>
        <w:gridCol w:w="800"/>
        <w:gridCol w:w="804"/>
      </w:tblGrid>
      <w:tr w14:paraId="712EF6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4" w:hRule="atLeast"/>
        </w:trPr>
        <w:tc>
          <w:tcPr>
            <w:tcW w:w="734" w:type="dxa"/>
            <w:vMerge w:val="restart"/>
            <w:tcBorders>
              <w:bottom w:val="nil"/>
            </w:tcBorders>
            <w:vAlign w:val="top"/>
          </w:tcPr>
          <w:p w14:paraId="380D10AC">
            <w:pPr>
              <w:spacing w:line="404" w:lineRule="auto"/>
              <w:rPr>
                <w:rFonts w:ascii="Arial"/>
                <w:sz w:val="21"/>
              </w:rPr>
            </w:pPr>
          </w:p>
          <w:p w14:paraId="01F332BB">
            <w:pPr>
              <w:pStyle w:val="6"/>
              <w:spacing w:before="68" w:line="221" w:lineRule="auto"/>
              <w:ind w:left="145"/>
            </w:pPr>
            <w:r>
              <w:rPr>
                <w:spacing w:val="6"/>
              </w:rPr>
              <w:t>序号</w:t>
            </w:r>
          </w:p>
        </w:tc>
        <w:tc>
          <w:tcPr>
            <w:tcW w:w="1159" w:type="dxa"/>
            <w:vMerge w:val="restart"/>
            <w:tcBorders>
              <w:bottom w:val="nil"/>
            </w:tcBorders>
            <w:vAlign w:val="top"/>
          </w:tcPr>
          <w:p w14:paraId="6F5C24BC">
            <w:pPr>
              <w:spacing w:line="403" w:lineRule="auto"/>
              <w:rPr>
                <w:rFonts w:ascii="Arial"/>
                <w:sz w:val="21"/>
              </w:rPr>
            </w:pPr>
          </w:p>
          <w:p w14:paraId="6ED5DE4C">
            <w:pPr>
              <w:pStyle w:val="6"/>
              <w:spacing w:before="68" w:line="220" w:lineRule="auto"/>
              <w:ind w:left="150"/>
            </w:pPr>
            <w:r>
              <w:rPr>
                <w:spacing w:val="10"/>
              </w:rPr>
              <w:t>评分项目</w:t>
            </w:r>
          </w:p>
        </w:tc>
        <w:tc>
          <w:tcPr>
            <w:tcW w:w="3947" w:type="dxa"/>
            <w:vMerge w:val="restart"/>
            <w:tcBorders>
              <w:bottom w:val="nil"/>
            </w:tcBorders>
            <w:vAlign w:val="top"/>
          </w:tcPr>
          <w:p w14:paraId="588FF302">
            <w:pPr>
              <w:spacing w:line="403" w:lineRule="auto"/>
              <w:rPr>
                <w:rFonts w:ascii="Arial"/>
                <w:sz w:val="21"/>
              </w:rPr>
            </w:pPr>
          </w:p>
          <w:p w14:paraId="376E9886">
            <w:pPr>
              <w:pStyle w:val="6"/>
              <w:spacing w:before="68" w:line="220" w:lineRule="auto"/>
              <w:ind w:left="1592"/>
            </w:pPr>
            <w:r>
              <w:rPr>
                <w:spacing w:val="-2"/>
              </w:rPr>
              <w:t>评分标准</w:t>
            </w:r>
          </w:p>
        </w:tc>
        <w:tc>
          <w:tcPr>
            <w:tcW w:w="740" w:type="dxa"/>
            <w:vMerge w:val="restart"/>
            <w:tcBorders>
              <w:bottom w:val="nil"/>
            </w:tcBorders>
            <w:vAlign w:val="top"/>
          </w:tcPr>
          <w:p w14:paraId="058D1130">
            <w:pPr>
              <w:spacing w:line="255" w:lineRule="auto"/>
              <w:rPr>
                <w:rFonts w:ascii="Arial"/>
                <w:sz w:val="21"/>
              </w:rPr>
            </w:pPr>
          </w:p>
          <w:p w14:paraId="7E8D926D">
            <w:pPr>
              <w:pStyle w:val="6"/>
              <w:spacing w:before="68" w:line="257" w:lineRule="auto"/>
              <w:ind w:left="254" w:right="164" w:hanging="100"/>
            </w:pPr>
            <w:r>
              <w:rPr>
                <w:spacing w:val="-5"/>
              </w:rPr>
              <w:t>标准</w:t>
            </w:r>
            <w:r>
              <w:t xml:space="preserve"> 分</w:t>
            </w:r>
          </w:p>
        </w:tc>
        <w:tc>
          <w:tcPr>
            <w:tcW w:w="7179" w:type="dxa"/>
            <w:gridSpan w:val="9"/>
            <w:vAlign w:val="top"/>
          </w:tcPr>
          <w:p w14:paraId="3400A11A">
            <w:pPr>
              <w:pStyle w:val="6"/>
              <w:spacing w:before="183" w:line="219" w:lineRule="auto"/>
              <w:ind w:left="2775"/>
            </w:pPr>
            <w:r>
              <w:rPr>
                <w:spacing w:val="-2"/>
              </w:rPr>
              <w:t>投标人名称及得分</w:t>
            </w:r>
          </w:p>
        </w:tc>
      </w:tr>
      <w:tr w14:paraId="7E2720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734" w:type="dxa"/>
            <w:vMerge w:val="continue"/>
            <w:tcBorders>
              <w:top w:val="nil"/>
            </w:tcBorders>
            <w:vAlign w:val="top"/>
          </w:tcPr>
          <w:p w14:paraId="3C73458B">
            <w:pPr>
              <w:rPr>
                <w:rFonts w:ascii="Arial"/>
                <w:sz w:val="21"/>
              </w:rPr>
            </w:pPr>
          </w:p>
        </w:tc>
        <w:tc>
          <w:tcPr>
            <w:tcW w:w="1159" w:type="dxa"/>
            <w:vMerge w:val="continue"/>
            <w:tcBorders>
              <w:top w:val="nil"/>
            </w:tcBorders>
            <w:vAlign w:val="top"/>
          </w:tcPr>
          <w:p w14:paraId="68461C97">
            <w:pPr>
              <w:rPr>
                <w:rFonts w:ascii="Arial"/>
                <w:sz w:val="21"/>
              </w:rPr>
            </w:pPr>
          </w:p>
        </w:tc>
        <w:tc>
          <w:tcPr>
            <w:tcW w:w="3947" w:type="dxa"/>
            <w:vMerge w:val="continue"/>
            <w:tcBorders>
              <w:top w:val="nil"/>
            </w:tcBorders>
            <w:vAlign w:val="top"/>
          </w:tcPr>
          <w:p w14:paraId="3CB83718">
            <w:pPr>
              <w:rPr>
                <w:rFonts w:ascii="Arial"/>
                <w:sz w:val="21"/>
              </w:rPr>
            </w:pPr>
          </w:p>
        </w:tc>
        <w:tc>
          <w:tcPr>
            <w:tcW w:w="740" w:type="dxa"/>
            <w:vMerge w:val="continue"/>
            <w:tcBorders>
              <w:top w:val="nil"/>
            </w:tcBorders>
            <w:vAlign w:val="top"/>
          </w:tcPr>
          <w:p w14:paraId="5CCB664B">
            <w:pPr>
              <w:rPr>
                <w:rFonts w:ascii="Arial"/>
                <w:sz w:val="21"/>
              </w:rPr>
            </w:pPr>
          </w:p>
        </w:tc>
        <w:tc>
          <w:tcPr>
            <w:tcW w:w="799" w:type="dxa"/>
            <w:vAlign w:val="top"/>
          </w:tcPr>
          <w:p w14:paraId="5A44876B">
            <w:pPr>
              <w:rPr>
                <w:rFonts w:ascii="Arial"/>
                <w:sz w:val="21"/>
              </w:rPr>
            </w:pPr>
          </w:p>
        </w:tc>
        <w:tc>
          <w:tcPr>
            <w:tcW w:w="800" w:type="dxa"/>
            <w:vAlign w:val="top"/>
          </w:tcPr>
          <w:p w14:paraId="1A04DF1A">
            <w:pPr>
              <w:rPr>
                <w:rFonts w:ascii="Arial"/>
                <w:sz w:val="21"/>
              </w:rPr>
            </w:pPr>
          </w:p>
        </w:tc>
        <w:tc>
          <w:tcPr>
            <w:tcW w:w="799" w:type="dxa"/>
            <w:vAlign w:val="top"/>
          </w:tcPr>
          <w:p w14:paraId="58E2F0FB">
            <w:pPr>
              <w:rPr>
                <w:rFonts w:ascii="Arial"/>
                <w:sz w:val="21"/>
              </w:rPr>
            </w:pPr>
          </w:p>
        </w:tc>
        <w:tc>
          <w:tcPr>
            <w:tcW w:w="799" w:type="dxa"/>
            <w:vAlign w:val="top"/>
          </w:tcPr>
          <w:p w14:paraId="42075A51">
            <w:pPr>
              <w:rPr>
                <w:rFonts w:ascii="Arial"/>
                <w:sz w:val="21"/>
              </w:rPr>
            </w:pPr>
          </w:p>
        </w:tc>
        <w:tc>
          <w:tcPr>
            <w:tcW w:w="779" w:type="dxa"/>
            <w:vAlign w:val="top"/>
          </w:tcPr>
          <w:p w14:paraId="7FD63424">
            <w:pPr>
              <w:rPr>
                <w:rFonts w:ascii="Arial"/>
                <w:sz w:val="21"/>
              </w:rPr>
            </w:pPr>
          </w:p>
        </w:tc>
        <w:tc>
          <w:tcPr>
            <w:tcW w:w="799" w:type="dxa"/>
            <w:vAlign w:val="top"/>
          </w:tcPr>
          <w:p w14:paraId="79A6360E">
            <w:pPr>
              <w:rPr>
                <w:rFonts w:ascii="Arial"/>
                <w:sz w:val="21"/>
              </w:rPr>
            </w:pPr>
          </w:p>
        </w:tc>
        <w:tc>
          <w:tcPr>
            <w:tcW w:w="800" w:type="dxa"/>
            <w:vAlign w:val="top"/>
          </w:tcPr>
          <w:p w14:paraId="155965A7">
            <w:pPr>
              <w:rPr>
                <w:rFonts w:ascii="Arial"/>
                <w:sz w:val="21"/>
              </w:rPr>
            </w:pPr>
          </w:p>
        </w:tc>
        <w:tc>
          <w:tcPr>
            <w:tcW w:w="800" w:type="dxa"/>
            <w:vAlign w:val="top"/>
          </w:tcPr>
          <w:p w14:paraId="2C4AD5DD">
            <w:pPr>
              <w:rPr>
                <w:rFonts w:ascii="Arial"/>
                <w:sz w:val="21"/>
              </w:rPr>
            </w:pPr>
          </w:p>
        </w:tc>
        <w:tc>
          <w:tcPr>
            <w:tcW w:w="804" w:type="dxa"/>
            <w:vAlign w:val="top"/>
          </w:tcPr>
          <w:p w14:paraId="52E176D0">
            <w:pPr>
              <w:rPr>
                <w:rFonts w:ascii="Arial"/>
                <w:sz w:val="21"/>
              </w:rPr>
            </w:pPr>
          </w:p>
        </w:tc>
      </w:tr>
      <w:tr w14:paraId="758205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8" w:hRule="atLeast"/>
        </w:trPr>
        <w:tc>
          <w:tcPr>
            <w:tcW w:w="734" w:type="dxa"/>
            <w:vAlign w:val="top"/>
          </w:tcPr>
          <w:p w14:paraId="1F362B32">
            <w:pPr>
              <w:spacing w:line="301" w:lineRule="auto"/>
              <w:rPr>
                <w:rFonts w:ascii="Arial"/>
                <w:sz w:val="21"/>
              </w:rPr>
            </w:pPr>
          </w:p>
          <w:p w14:paraId="6732094C">
            <w:pPr>
              <w:pStyle w:val="6"/>
              <w:spacing w:before="68" w:line="241" w:lineRule="auto"/>
              <w:ind w:left="305"/>
            </w:pPr>
            <w:r>
              <w:t>1</w:t>
            </w:r>
          </w:p>
        </w:tc>
        <w:tc>
          <w:tcPr>
            <w:tcW w:w="1159" w:type="dxa"/>
            <w:vAlign w:val="top"/>
          </w:tcPr>
          <w:p w14:paraId="31421CDD">
            <w:pPr>
              <w:pStyle w:val="6"/>
              <w:spacing w:before="209" w:line="241" w:lineRule="auto"/>
              <w:ind w:left="359" w:right="117" w:hanging="209"/>
            </w:pPr>
            <w:r>
              <w:rPr>
                <w:spacing w:val="10"/>
              </w:rPr>
              <w:t>类似项目</w:t>
            </w:r>
            <w:r>
              <w:t xml:space="preserve"> </w:t>
            </w:r>
            <w:r>
              <w:rPr>
                <w:spacing w:val="-2"/>
              </w:rPr>
              <w:t>业绩</w:t>
            </w:r>
          </w:p>
        </w:tc>
        <w:tc>
          <w:tcPr>
            <w:tcW w:w="3947" w:type="dxa"/>
            <w:vAlign w:val="top"/>
          </w:tcPr>
          <w:p w14:paraId="1FAC52ED">
            <w:pPr>
              <w:rPr>
                <w:rFonts w:ascii="Arial"/>
                <w:sz w:val="21"/>
              </w:rPr>
            </w:pPr>
          </w:p>
        </w:tc>
        <w:tc>
          <w:tcPr>
            <w:tcW w:w="740" w:type="dxa"/>
            <w:vAlign w:val="top"/>
          </w:tcPr>
          <w:p w14:paraId="44C4C439">
            <w:pPr>
              <w:spacing w:line="281" w:lineRule="auto"/>
              <w:rPr>
                <w:rFonts w:ascii="Arial"/>
                <w:sz w:val="21"/>
              </w:rPr>
            </w:pPr>
          </w:p>
          <w:p w14:paraId="49EE9785">
            <w:pPr>
              <w:pStyle w:val="6"/>
              <w:spacing w:before="68" w:line="220" w:lineRule="auto"/>
              <w:ind w:left="254"/>
            </w:pPr>
            <w:r>
              <w:t>分</w:t>
            </w:r>
          </w:p>
        </w:tc>
        <w:tc>
          <w:tcPr>
            <w:tcW w:w="799" w:type="dxa"/>
            <w:vAlign w:val="top"/>
          </w:tcPr>
          <w:p w14:paraId="0DD3AFDB">
            <w:pPr>
              <w:rPr>
                <w:rFonts w:ascii="Arial"/>
                <w:sz w:val="21"/>
              </w:rPr>
            </w:pPr>
          </w:p>
        </w:tc>
        <w:tc>
          <w:tcPr>
            <w:tcW w:w="800" w:type="dxa"/>
            <w:vAlign w:val="top"/>
          </w:tcPr>
          <w:p w14:paraId="7399D60F">
            <w:pPr>
              <w:rPr>
                <w:rFonts w:ascii="Arial"/>
                <w:sz w:val="21"/>
              </w:rPr>
            </w:pPr>
          </w:p>
        </w:tc>
        <w:tc>
          <w:tcPr>
            <w:tcW w:w="799" w:type="dxa"/>
            <w:vAlign w:val="top"/>
          </w:tcPr>
          <w:p w14:paraId="427697F4">
            <w:pPr>
              <w:rPr>
                <w:rFonts w:ascii="Arial"/>
                <w:sz w:val="21"/>
              </w:rPr>
            </w:pPr>
          </w:p>
        </w:tc>
        <w:tc>
          <w:tcPr>
            <w:tcW w:w="799" w:type="dxa"/>
            <w:vAlign w:val="top"/>
          </w:tcPr>
          <w:p w14:paraId="1A12FFA4">
            <w:pPr>
              <w:rPr>
                <w:rFonts w:ascii="Arial"/>
                <w:sz w:val="21"/>
              </w:rPr>
            </w:pPr>
          </w:p>
        </w:tc>
        <w:tc>
          <w:tcPr>
            <w:tcW w:w="779" w:type="dxa"/>
            <w:vAlign w:val="top"/>
          </w:tcPr>
          <w:p w14:paraId="0A94AACE">
            <w:pPr>
              <w:rPr>
                <w:rFonts w:ascii="Arial"/>
                <w:sz w:val="21"/>
              </w:rPr>
            </w:pPr>
          </w:p>
        </w:tc>
        <w:tc>
          <w:tcPr>
            <w:tcW w:w="799" w:type="dxa"/>
            <w:vAlign w:val="top"/>
          </w:tcPr>
          <w:p w14:paraId="0EF7E2C9">
            <w:pPr>
              <w:rPr>
                <w:rFonts w:ascii="Arial"/>
                <w:sz w:val="21"/>
              </w:rPr>
            </w:pPr>
          </w:p>
        </w:tc>
        <w:tc>
          <w:tcPr>
            <w:tcW w:w="800" w:type="dxa"/>
            <w:vAlign w:val="top"/>
          </w:tcPr>
          <w:p w14:paraId="562BA7F4">
            <w:pPr>
              <w:rPr>
                <w:rFonts w:ascii="Arial"/>
                <w:sz w:val="21"/>
              </w:rPr>
            </w:pPr>
          </w:p>
        </w:tc>
        <w:tc>
          <w:tcPr>
            <w:tcW w:w="800" w:type="dxa"/>
            <w:vAlign w:val="top"/>
          </w:tcPr>
          <w:p w14:paraId="33DB5054">
            <w:pPr>
              <w:rPr>
                <w:rFonts w:ascii="Arial"/>
                <w:sz w:val="21"/>
              </w:rPr>
            </w:pPr>
          </w:p>
        </w:tc>
        <w:tc>
          <w:tcPr>
            <w:tcW w:w="804" w:type="dxa"/>
            <w:vAlign w:val="top"/>
          </w:tcPr>
          <w:p w14:paraId="1FAD8071">
            <w:pPr>
              <w:rPr>
                <w:rFonts w:ascii="Arial"/>
                <w:sz w:val="21"/>
              </w:rPr>
            </w:pPr>
          </w:p>
        </w:tc>
      </w:tr>
      <w:tr w14:paraId="569E65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8" w:hRule="atLeast"/>
        </w:trPr>
        <w:tc>
          <w:tcPr>
            <w:tcW w:w="734" w:type="dxa"/>
            <w:vAlign w:val="top"/>
          </w:tcPr>
          <w:p w14:paraId="1646BC87">
            <w:pPr>
              <w:spacing w:line="343" w:lineRule="auto"/>
              <w:rPr>
                <w:rFonts w:ascii="Arial"/>
                <w:sz w:val="21"/>
              </w:rPr>
            </w:pPr>
          </w:p>
          <w:p w14:paraId="7E58E73E">
            <w:pPr>
              <w:pStyle w:val="6"/>
              <w:spacing w:before="68" w:line="241" w:lineRule="auto"/>
              <w:ind w:left="305"/>
            </w:pPr>
            <w:r>
              <w:t>2</w:t>
            </w:r>
          </w:p>
        </w:tc>
        <w:tc>
          <w:tcPr>
            <w:tcW w:w="1159" w:type="dxa"/>
            <w:vAlign w:val="top"/>
          </w:tcPr>
          <w:p w14:paraId="669FC6C9">
            <w:pPr>
              <w:spacing w:line="393" w:lineRule="auto"/>
              <w:rPr>
                <w:rFonts w:ascii="Arial"/>
                <w:sz w:val="21"/>
              </w:rPr>
            </w:pPr>
          </w:p>
          <w:p w14:paraId="5F99E6DC">
            <w:pPr>
              <w:pStyle w:val="6"/>
              <w:spacing w:before="68" w:line="221" w:lineRule="auto"/>
              <w:ind w:left="150"/>
            </w:pPr>
            <w:r>
              <w:rPr>
                <w:spacing w:val="4"/>
              </w:rPr>
              <w:t>认证体系</w:t>
            </w:r>
          </w:p>
        </w:tc>
        <w:tc>
          <w:tcPr>
            <w:tcW w:w="3947" w:type="dxa"/>
            <w:vAlign w:val="top"/>
          </w:tcPr>
          <w:p w14:paraId="710426CE">
            <w:pPr>
              <w:rPr>
                <w:rFonts w:ascii="Arial"/>
                <w:sz w:val="21"/>
              </w:rPr>
            </w:pPr>
          </w:p>
        </w:tc>
        <w:tc>
          <w:tcPr>
            <w:tcW w:w="740" w:type="dxa"/>
            <w:vAlign w:val="top"/>
          </w:tcPr>
          <w:p w14:paraId="642C412C">
            <w:pPr>
              <w:spacing w:line="323" w:lineRule="auto"/>
              <w:rPr>
                <w:rFonts w:ascii="Arial"/>
                <w:sz w:val="21"/>
              </w:rPr>
            </w:pPr>
          </w:p>
          <w:p w14:paraId="002B7E94">
            <w:pPr>
              <w:pStyle w:val="6"/>
              <w:spacing w:before="68" w:line="220" w:lineRule="auto"/>
              <w:ind w:left="254"/>
            </w:pPr>
            <w:r>
              <w:t>分</w:t>
            </w:r>
          </w:p>
        </w:tc>
        <w:tc>
          <w:tcPr>
            <w:tcW w:w="799" w:type="dxa"/>
            <w:vAlign w:val="top"/>
          </w:tcPr>
          <w:p w14:paraId="2639AA29">
            <w:pPr>
              <w:rPr>
                <w:rFonts w:ascii="Arial"/>
                <w:sz w:val="21"/>
              </w:rPr>
            </w:pPr>
          </w:p>
        </w:tc>
        <w:tc>
          <w:tcPr>
            <w:tcW w:w="800" w:type="dxa"/>
            <w:vAlign w:val="top"/>
          </w:tcPr>
          <w:p w14:paraId="52341152">
            <w:pPr>
              <w:rPr>
                <w:rFonts w:ascii="Arial"/>
                <w:sz w:val="21"/>
              </w:rPr>
            </w:pPr>
          </w:p>
        </w:tc>
        <w:tc>
          <w:tcPr>
            <w:tcW w:w="799" w:type="dxa"/>
            <w:vAlign w:val="top"/>
          </w:tcPr>
          <w:p w14:paraId="3F5F27CE">
            <w:pPr>
              <w:rPr>
                <w:rFonts w:ascii="Arial"/>
                <w:sz w:val="21"/>
              </w:rPr>
            </w:pPr>
          </w:p>
        </w:tc>
        <w:tc>
          <w:tcPr>
            <w:tcW w:w="799" w:type="dxa"/>
            <w:vAlign w:val="top"/>
          </w:tcPr>
          <w:p w14:paraId="6768296E">
            <w:pPr>
              <w:rPr>
                <w:rFonts w:ascii="Arial"/>
                <w:sz w:val="21"/>
              </w:rPr>
            </w:pPr>
          </w:p>
        </w:tc>
        <w:tc>
          <w:tcPr>
            <w:tcW w:w="779" w:type="dxa"/>
            <w:vAlign w:val="top"/>
          </w:tcPr>
          <w:p w14:paraId="7F75370C">
            <w:pPr>
              <w:rPr>
                <w:rFonts w:ascii="Arial"/>
                <w:sz w:val="21"/>
              </w:rPr>
            </w:pPr>
          </w:p>
        </w:tc>
        <w:tc>
          <w:tcPr>
            <w:tcW w:w="799" w:type="dxa"/>
            <w:vAlign w:val="top"/>
          </w:tcPr>
          <w:p w14:paraId="03F72E2E">
            <w:pPr>
              <w:rPr>
                <w:rFonts w:ascii="Arial"/>
                <w:sz w:val="21"/>
              </w:rPr>
            </w:pPr>
          </w:p>
        </w:tc>
        <w:tc>
          <w:tcPr>
            <w:tcW w:w="800" w:type="dxa"/>
            <w:vAlign w:val="top"/>
          </w:tcPr>
          <w:p w14:paraId="1BC7C162">
            <w:pPr>
              <w:rPr>
                <w:rFonts w:ascii="Arial"/>
                <w:sz w:val="21"/>
              </w:rPr>
            </w:pPr>
          </w:p>
        </w:tc>
        <w:tc>
          <w:tcPr>
            <w:tcW w:w="800" w:type="dxa"/>
            <w:vAlign w:val="top"/>
          </w:tcPr>
          <w:p w14:paraId="2445983E">
            <w:pPr>
              <w:rPr>
                <w:rFonts w:ascii="Arial"/>
                <w:sz w:val="21"/>
              </w:rPr>
            </w:pPr>
          </w:p>
        </w:tc>
        <w:tc>
          <w:tcPr>
            <w:tcW w:w="804" w:type="dxa"/>
            <w:vAlign w:val="top"/>
          </w:tcPr>
          <w:p w14:paraId="24C7DBD1">
            <w:pPr>
              <w:rPr>
                <w:rFonts w:ascii="Arial"/>
                <w:sz w:val="21"/>
              </w:rPr>
            </w:pPr>
          </w:p>
        </w:tc>
      </w:tr>
      <w:tr w14:paraId="5E5D85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77" w:hRule="atLeast"/>
        </w:trPr>
        <w:tc>
          <w:tcPr>
            <w:tcW w:w="734" w:type="dxa"/>
            <w:vAlign w:val="top"/>
          </w:tcPr>
          <w:p w14:paraId="47BCD024">
            <w:pPr>
              <w:spacing w:line="346" w:lineRule="auto"/>
              <w:rPr>
                <w:rFonts w:ascii="Arial"/>
                <w:sz w:val="21"/>
              </w:rPr>
            </w:pPr>
          </w:p>
          <w:p w14:paraId="2803D126">
            <w:pPr>
              <w:spacing w:line="346" w:lineRule="auto"/>
              <w:rPr>
                <w:rFonts w:ascii="Arial"/>
                <w:sz w:val="21"/>
              </w:rPr>
            </w:pPr>
          </w:p>
          <w:p w14:paraId="339BB9A2">
            <w:pPr>
              <w:pStyle w:val="6"/>
              <w:spacing w:before="68"/>
              <w:ind w:left="305"/>
            </w:pPr>
            <w:r>
              <w:t>3</w:t>
            </w:r>
          </w:p>
        </w:tc>
        <w:tc>
          <w:tcPr>
            <w:tcW w:w="1159" w:type="dxa"/>
            <w:vAlign w:val="top"/>
          </w:tcPr>
          <w:p w14:paraId="074D0EDE">
            <w:pPr>
              <w:pStyle w:val="6"/>
              <w:spacing w:before="215" w:line="238" w:lineRule="auto"/>
              <w:ind w:left="150" w:right="53" w:firstLine="50"/>
              <w:jc w:val="both"/>
            </w:pPr>
            <w:r>
              <w:rPr>
                <w:spacing w:val="-2"/>
              </w:rPr>
              <w:t>近5年工</w:t>
            </w:r>
            <w:r>
              <w:t xml:space="preserve">  </w:t>
            </w:r>
            <w:r>
              <w:rPr>
                <w:spacing w:val="26"/>
              </w:rPr>
              <w:t>程奖项、</w:t>
            </w:r>
            <w:r>
              <w:t xml:space="preserve"> </w:t>
            </w:r>
            <w:r>
              <w:rPr>
                <w:spacing w:val="-3"/>
              </w:rPr>
              <w:t>项目经理</w:t>
            </w:r>
            <w:r>
              <w:t xml:space="preserve">  </w:t>
            </w:r>
            <w:r>
              <w:rPr>
                <w:spacing w:val="3"/>
              </w:rPr>
              <w:t>工程奖项</w:t>
            </w:r>
            <w:r>
              <w:t xml:space="preserve">  </w:t>
            </w:r>
            <w:r>
              <w:rPr>
                <w:spacing w:val="30"/>
              </w:rPr>
              <w:t>及表彰</w:t>
            </w:r>
          </w:p>
        </w:tc>
        <w:tc>
          <w:tcPr>
            <w:tcW w:w="3947" w:type="dxa"/>
            <w:vAlign w:val="top"/>
          </w:tcPr>
          <w:p w14:paraId="02F2CAF9">
            <w:pPr>
              <w:rPr>
                <w:rFonts w:ascii="Arial"/>
                <w:sz w:val="21"/>
              </w:rPr>
            </w:pPr>
          </w:p>
        </w:tc>
        <w:tc>
          <w:tcPr>
            <w:tcW w:w="740" w:type="dxa"/>
            <w:vAlign w:val="top"/>
          </w:tcPr>
          <w:p w14:paraId="71C9E78F">
            <w:pPr>
              <w:spacing w:line="336" w:lineRule="auto"/>
              <w:rPr>
                <w:rFonts w:ascii="Arial"/>
                <w:sz w:val="21"/>
              </w:rPr>
            </w:pPr>
          </w:p>
          <w:p w14:paraId="4479FF6A">
            <w:pPr>
              <w:spacing w:line="337" w:lineRule="auto"/>
              <w:rPr>
                <w:rFonts w:ascii="Arial"/>
                <w:sz w:val="21"/>
              </w:rPr>
            </w:pPr>
          </w:p>
          <w:p w14:paraId="57C36C9B">
            <w:pPr>
              <w:pStyle w:val="6"/>
              <w:spacing w:before="68" w:line="220" w:lineRule="auto"/>
              <w:ind w:left="254"/>
            </w:pPr>
            <w:r>
              <w:t>分</w:t>
            </w:r>
          </w:p>
        </w:tc>
        <w:tc>
          <w:tcPr>
            <w:tcW w:w="799" w:type="dxa"/>
            <w:vAlign w:val="top"/>
          </w:tcPr>
          <w:p w14:paraId="220990B8">
            <w:pPr>
              <w:rPr>
                <w:rFonts w:ascii="Arial"/>
                <w:sz w:val="21"/>
              </w:rPr>
            </w:pPr>
          </w:p>
        </w:tc>
        <w:tc>
          <w:tcPr>
            <w:tcW w:w="800" w:type="dxa"/>
            <w:vAlign w:val="top"/>
          </w:tcPr>
          <w:p w14:paraId="48E1A03A">
            <w:pPr>
              <w:rPr>
                <w:rFonts w:ascii="Arial"/>
                <w:sz w:val="21"/>
              </w:rPr>
            </w:pPr>
          </w:p>
        </w:tc>
        <w:tc>
          <w:tcPr>
            <w:tcW w:w="799" w:type="dxa"/>
            <w:vAlign w:val="top"/>
          </w:tcPr>
          <w:p w14:paraId="2AE87597">
            <w:pPr>
              <w:rPr>
                <w:rFonts w:ascii="Arial"/>
                <w:sz w:val="21"/>
              </w:rPr>
            </w:pPr>
          </w:p>
        </w:tc>
        <w:tc>
          <w:tcPr>
            <w:tcW w:w="799" w:type="dxa"/>
            <w:vAlign w:val="top"/>
          </w:tcPr>
          <w:p w14:paraId="57D80FE5">
            <w:pPr>
              <w:rPr>
                <w:rFonts w:ascii="Arial"/>
                <w:sz w:val="21"/>
              </w:rPr>
            </w:pPr>
          </w:p>
        </w:tc>
        <w:tc>
          <w:tcPr>
            <w:tcW w:w="779" w:type="dxa"/>
            <w:vAlign w:val="top"/>
          </w:tcPr>
          <w:p w14:paraId="23CABC53">
            <w:pPr>
              <w:rPr>
                <w:rFonts w:ascii="Arial"/>
                <w:sz w:val="21"/>
              </w:rPr>
            </w:pPr>
          </w:p>
        </w:tc>
        <w:tc>
          <w:tcPr>
            <w:tcW w:w="799" w:type="dxa"/>
            <w:vAlign w:val="top"/>
          </w:tcPr>
          <w:p w14:paraId="122FD16C">
            <w:pPr>
              <w:rPr>
                <w:rFonts w:ascii="Arial"/>
                <w:sz w:val="21"/>
              </w:rPr>
            </w:pPr>
          </w:p>
        </w:tc>
        <w:tc>
          <w:tcPr>
            <w:tcW w:w="800" w:type="dxa"/>
            <w:vAlign w:val="top"/>
          </w:tcPr>
          <w:p w14:paraId="4BF008CF">
            <w:pPr>
              <w:rPr>
                <w:rFonts w:ascii="Arial"/>
                <w:sz w:val="21"/>
              </w:rPr>
            </w:pPr>
          </w:p>
        </w:tc>
        <w:tc>
          <w:tcPr>
            <w:tcW w:w="800" w:type="dxa"/>
            <w:vAlign w:val="top"/>
          </w:tcPr>
          <w:p w14:paraId="0DCA3DD8">
            <w:pPr>
              <w:rPr>
                <w:rFonts w:ascii="Arial"/>
                <w:sz w:val="21"/>
              </w:rPr>
            </w:pPr>
          </w:p>
        </w:tc>
        <w:tc>
          <w:tcPr>
            <w:tcW w:w="804" w:type="dxa"/>
            <w:vAlign w:val="top"/>
          </w:tcPr>
          <w:p w14:paraId="6C8431FB">
            <w:pPr>
              <w:rPr>
                <w:rFonts w:ascii="Arial"/>
                <w:sz w:val="21"/>
              </w:rPr>
            </w:pPr>
          </w:p>
        </w:tc>
      </w:tr>
      <w:tr w14:paraId="6CDD5C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trPr>
        <w:tc>
          <w:tcPr>
            <w:tcW w:w="6580" w:type="dxa"/>
            <w:gridSpan w:val="4"/>
            <w:vAlign w:val="top"/>
          </w:tcPr>
          <w:p w14:paraId="64605C57">
            <w:pPr>
              <w:pStyle w:val="6"/>
              <w:spacing w:before="187" w:line="219" w:lineRule="auto"/>
              <w:ind w:left="1904"/>
            </w:pPr>
            <w:r>
              <w:rPr>
                <w:spacing w:val="2"/>
              </w:rPr>
              <w:t>其他因素得分合计D(满分分)</w:t>
            </w:r>
          </w:p>
        </w:tc>
        <w:tc>
          <w:tcPr>
            <w:tcW w:w="799" w:type="dxa"/>
            <w:vAlign w:val="top"/>
          </w:tcPr>
          <w:p w14:paraId="77734D7A">
            <w:pPr>
              <w:rPr>
                <w:rFonts w:ascii="Arial"/>
                <w:sz w:val="21"/>
              </w:rPr>
            </w:pPr>
          </w:p>
        </w:tc>
        <w:tc>
          <w:tcPr>
            <w:tcW w:w="800" w:type="dxa"/>
            <w:vAlign w:val="top"/>
          </w:tcPr>
          <w:p w14:paraId="79A428E4">
            <w:pPr>
              <w:rPr>
                <w:rFonts w:ascii="Arial"/>
                <w:sz w:val="21"/>
              </w:rPr>
            </w:pPr>
          </w:p>
        </w:tc>
        <w:tc>
          <w:tcPr>
            <w:tcW w:w="799" w:type="dxa"/>
            <w:vAlign w:val="top"/>
          </w:tcPr>
          <w:p w14:paraId="0DFD0A8F">
            <w:pPr>
              <w:rPr>
                <w:rFonts w:ascii="Arial"/>
                <w:sz w:val="21"/>
              </w:rPr>
            </w:pPr>
          </w:p>
        </w:tc>
        <w:tc>
          <w:tcPr>
            <w:tcW w:w="799" w:type="dxa"/>
            <w:vAlign w:val="top"/>
          </w:tcPr>
          <w:p w14:paraId="41BBA93F">
            <w:pPr>
              <w:rPr>
                <w:rFonts w:ascii="Arial"/>
                <w:sz w:val="21"/>
              </w:rPr>
            </w:pPr>
          </w:p>
        </w:tc>
        <w:tc>
          <w:tcPr>
            <w:tcW w:w="779" w:type="dxa"/>
            <w:vAlign w:val="top"/>
          </w:tcPr>
          <w:p w14:paraId="1FFABE63">
            <w:pPr>
              <w:rPr>
                <w:rFonts w:ascii="Arial"/>
                <w:sz w:val="21"/>
              </w:rPr>
            </w:pPr>
          </w:p>
        </w:tc>
        <w:tc>
          <w:tcPr>
            <w:tcW w:w="799" w:type="dxa"/>
            <w:vAlign w:val="top"/>
          </w:tcPr>
          <w:p w14:paraId="1BA47498">
            <w:pPr>
              <w:rPr>
                <w:rFonts w:ascii="Arial"/>
                <w:sz w:val="21"/>
              </w:rPr>
            </w:pPr>
          </w:p>
        </w:tc>
        <w:tc>
          <w:tcPr>
            <w:tcW w:w="800" w:type="dxa"/>
            <w:vAlign w:val="top"/>
          </w:tcPr>
          <w:p w14:paraId="14A19595">
            <w:pPr>
              <w:rPr>
                <w:rFonts w:ascii="Arial"/>
                <w:sz w:val="21"/>
              </w:rPr>
            </w:pPr>
          </w:p>
        </w:tc>
        <w:tc>
          <w:tcPr>
            <w:tcW w:w="800" w:type="dxa"/>
            <w:vAlign w:val="top"/>
          </w:tcPr>
          <w:p w14:paraId="07A07988">
            <w:pPr>
              <w:rPr>
                <w:rFonts w:ascii="Arial"/>
                <w:sz w:val="21"/>
              </w:rPr>
            </w:pPr>
          </w:p>
        </w:tc>
        <w:tc>
          <w:tcPr>
            <w:tcW w:w="804" w:type="dxa"/>
            <w:vAlign w:val="top"/>
          </w:tcPr>
          <w:p w14:paraId="2450BE38">
            <w:pPr>
              <w:rPr>
                <w:rFonts w:ascii="Arial"/>
                <w:sz w:val="21"/>
              </w:rPr>
            </w:pPr>
          </w:p>
        </w:tc>
      </w:tr>
    </w:tbl>
    <w:p w14:paraId="2CF965BE">
      <w:pPr>
        <w:spacing w:line="275" w:lineRule="auto"/>
        <w:rPr>
          <w:rFonts w:ascii="Arial"/>
          <w:sz w:val="21"/>
        </w:rPr>
      </w:pPr>
    </w:p>
    <w:p w14:paraId="01BFA1DC">
      <w:pPr>
        <w:pStyle w:val="2"/>
        <w:spacing w:before="66" w:line="219" w:lineRule="auto"/>
        <w:ind w:left="135"/>
        <w:rPr>
          <w:sz w:val="20"/>
          <w:szCs w:val="20"/>
        </w:rPr>
      </w:pPr>
      <w:r>
        <w:rPr>
          <w:spacing w:val="-2"/>
          <w:sz w:val="20"/>
          <w:szCs w:val="20"/>
        </w:rPr>
        <w:t xml:space="preserve">评标委员会成员签名：                         </w:t>
      </w:r>
      <w:r>
        <w:rPr>
          <w:spacing w:val="-3"/>
          <w:sz w:val="20"/>
          <w:szCs w:val="20"/>
        </w:rPr>
        <w:t xml:space="preserve">                                                                        </w:t>
      </w:r>
      <w:r>
        <w:rPr>
          <w:spacing w:val="-3"/>
          <w:sz w:val="16"/>
          <w:szCs w:val="16"/>
        </w:rPr>
        <w:t xml:space="preserve">日 期 ：      </w:t>
      </w:r>
      <w:r>
        <w:rPr>
          <w:spacing w:val="-3"/>
          <w:sz w:val="20"/>
          <w:szCs w:val="20"/>
        </w:rPr>
        <w:t>年  月</w:t>
      </w:r>
      <w:r>
        <w:rPr>
          <w:spacing w:val="26"/>
          <w:sz w:val="20"/>
          <w:szCs w:val="20"/>
        </w:rPr>
        <w:t xml:space="preserve">  </w:t>
      </w:r>
      <w:r>
        <w:rPr>
          <w:spacing w:val="-3"/>
          <w:sz w:val="20"/>
          <w:szCs w:val="20"/>
        </w:rPr>
        <w:t>日</w:t>
      </w:r>
    </w:p>
    <w:p w14:paraId="40F46E8A">
      <w:pPr>
        <w:spacing w:line="219" w:lineRule="auto"/>
        <w:rPr>
          <w:sz w:val="20"/>
          <w:szCs w:val="20"/>
        </w:rPr>
        <w:sectPr>
          <w:footerReference r:id="rId89" w:type="default"/>
          <w:pgSz w:w="16840" w:h="11910"/>
          <w:pgMar w:top="1012" w:right="1505" w:bottom="971" w:left="1564" w:header="0" w:footer="827" w:gutter="0"/>
          <w:cols w:space="720" w:num="1"/>
        </w:sectPr>
      </w:pPr>
    </w:p>
    <w:p w14:paraId="40E7172B">
      <w:pPr>
        <w:spacing w:line="264" w:lineRule="auto"/>
        <w:rPr>
          <w:rFonts w:ascii="Arial"/>
          <w:sz w:val="21"/>
        </w:rPr>
      </w:pPr>
    </w:p>
    <w:p w14:paraId="5B5526EF">
      <w:pPr>
        <w:spacing w:line="264" w:lineRule="auto"/>
        <w:rPr>
          <w:rFonts w:ascii="Arial"/>
          <w:sz w:val="21"/>
        </w:rPr>
      </w:pPr>
    </w:p>
    <w:p w14:paraId="34FA85F3">
      <w:pPr>
        <w:spacing w:before="81" w:line="222" w:lineRule="auto"/>
        <w:ind w:left="678"/>
        <w:outlineLvl w:val="2"/>
        <w:rPr>
          <w:rFonts w:ascii="黑体" w:hAnsi="黑体" w:eastAsia="黑体" w:cs="黑体"/>
          <w:sz w:val="25"/>
          <w:szCs w:val="25"/>
        </w:rPr>
      </w:pPr>
      <w:bookmarkStart w:id="225" w:name="bookmark166"/>
      <w:bookmarkEnd w:id="225"/>
      <w:r>
        <w:rPr>
          <w:rFonts w:ascii="黑体" w:hAnsi="黑体" w:eastAsia="黑体" w:cs="黑体"/>
          <w:b/>
          <w:bCs/>
          <w:spacing w:val="-5"/>
          <w:sz w:val="25"/>
          <w:szCs w:val="25"/>
        </w:rPr>
        <w:t>附表</w:t>
      </w:r>
      <w:r>
        <w:rPr>
          <w:rFonts w:ascii="黑体" w:hAnsi="黑体" w:eastAsia="黑体" w:cs="黑体"/>
          <w:spacing w:val="-60"/>
          <w:sz w:val="25"/>
          <w:szCs w:val="25"/>
        </w:rPr>
        <w:t xml:space="preserve"> </w:t>
      </w:r>
      <w:r>
        <w:rPr>
          <w:rFonts w:ascii="Times New Roman" w:hAnsi="Times New Roman" w:eastAsia="Times New Roman" w:cs="Times New Roman"/>
          <w:b/>
          <w:bCs/>
          <w:spacing w:val="-5"/>
          <w:sz w:val="25"/>
          <w:szCs w:val="25"/>
        </w:rPr>
        <w:t xml:space="preserve">A-12:  </w:t>
      </w:r>
      <w:r>
        <w:rPr>
          <w:rFonts w:ascii="黑体" w:hAnsi="黑体" w:eastAsia="黑体" w:cs="黑体"/>
          <w:b/>
          <w:bCs/>
          <w:spacing w:val="-5"/>
          <w:sz w:val="25"/>
          <w:szCs w:val="25"/>
        </w:rPr>
        <w:t>详细评审评分汇总表</w:t>
      </w:r>
    </w:p>
    <w:p w14:paraId="7A93709F">
      <w:pPr>
        <w:spacing w:before="41" w:line="222" w:lineRule="auto"/>
        <w:ind w:left="5430"/>
        <w:rPr>
          <w:rFonts w:ascii="黑体" w:hAnsi="黑体" w:eastAsia="黑体" w:cs="黑体"/>
          <w:sz w:val="36"/>
          <w:szCs w:val="36"/>
        </w:rPr>
      </w:pPr>
      <w:bookmarkStart w:id="226" w:name="bookmark277"/>
      <w:bookmarkEnd w:id="226"/>
      <w:r>
        <w:rPr>
          <w:rFonts w:ascii="黑体" w:hAnsi="黑体" w:eastAsia="黑体" w:cs="黑体"/>
          <w:b/>
          <w:bCs/>
          <w:spacing w:val="-6"/>
          <w:sz w:val="36"/>
          <w:szCs w:val="36"/>
        </w:rPr>
        <w:t>详细评审评分汇总表</w:t>
      </w:r>
    </w:p>
    <w:p w14:paraId="149F2515">
      <w:pPr>
        <w:pStyle w:val="2"/>
        <w:spacing w:before="268" w:line="229" w:lineRule="auto"/>
        <w:ind w:left="244"/>
        <w:rPr>
          <w:sz w:val="20"/>
          <w:szCs w:val="20"/>
        </w:rPr>
      </w:pPr>
      <w:r>
        <w:rPr>
          <w:spacing w:val="7"/>
          <w:position w:val="-2"/>
          <w:sz w:val="20"/>
          <w:szCs w:val="20"/>
        </w:rPr>
        <w:t>工程名称：</w:t>
      </w:r>
      <w:r>
        <w:rPr>
          <w:spacing w:val="-16"/>
          <w:position w:val="-2"/>
          <w:sz w:val="20"/>
          <w:szCs w:val="20"/>
        </w:rPr>
        <w:t xml:space="preserve"> </w:t>
      </w:r>
      <w:r>
        <w:rPr>
          <w:spacing w:val="5"/>
          <w:position w:val="-2"/>
          <w:sz w:val="20"/>
          <w:szCs w:val="20"/>
          <w:u w:val="single" w:color="auto"/>
        </w:rPr>
        <w:t xml:space="preserve">               </w:t>
      </w:r>
      <w:r>
        <w:rPr>
          <w:spacing w:val="-95"/>
          <w:position w:val="-2"/>
          <w:sz w:val="20"/>
          <w:szCs w:val="20"/>
        </w:rPr>
        <w:t xml:space="preserve"> </w:t>
      </w:r>
      <w:r>
        <w:rPr>
          <w:spacing w:val="7"/>
          <w:sz w:val="20"/>
          <w:szCs w:val="20"/>
        </w:rPr>
        <w:t>(项目名称)</w:t>
      </w:r>
      <w:r>
        <w:rPr>
          <w:spacing w:val="7"/>
          <w:sz w:val="20"/>
          <w:szCs w:val="20"/>
          <w:u w:val="single" w:color="auto"/>
        </w:rPr>
        <w:t xml:space="preserve">       </w:t>
      </w:r>
      <w:r>
        <w:rPr>
          <w:spacing w:val="-30"/>
          <w:sz w:val="20"/>
          <w:szCs w:val="20"/>
        </w:rPr>
        <w:t xml:space="preserve"> </w:t>
      </w:r>
      <w:r>
        <w:rPr>
          <w:spacing w:val="7"/>
          <w:position w:val="1"/>
          <w:sz w:val="20"/>
          <w:szCs w:val="20"/>
        </w:rPr>
        <w:t>(标段名称)</w:t>
      </w:r>
    </w:p>
    <w:p w14:paraId="533749B0">
      <w:pPr>
        <w:spacing w:line="197" w:lineRule="exact"/>
      </w:pPr>
    </w:p>
    <w:tbl>
      <w:tblPr>
        <w:tblStyle w:val="5"/>
        <w:tblW w:w="1401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54"/>
        <w:gridCol w:w="2108"/>
        <w:gridCol w:w="1119"/>
        <w:gridCol w:w="1409"/>
        <w:gridCol w:w="1419"/>
        <w:gridCol w:w="1389"/>
        <w:gridCol w:w="1409"/>
        <w:gridCol w:w="1409"/>
        <w:gridCol w:w="1399"/>
        <w:gridCol w:w="1404"/>
      </w:tblGrid>
      <w:tr w14:paraId="0D7723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4" w:hRule="atLeast"/>
        </w:trPr>
        <w:tc>
          <w:tcPr>
            <w:tcW w:w="954" w:type="dxa"/>
            <w:vMerge w:val="restart"/>
            <w:tcBorders>
              <w:bottom w:val="nil"/>
            </w:tcBorders>
            <w:vAlign w:val="top"/>
          </w:tcPr>
          <w:p w14:paraId="37928CD6">
            <w:pPr>
              <w:spacing w:line="284" w:lineRule="auto"/>
              <w:rPr>
                <w:rFonts w:ascii="Arial"/>
                <w:sz w:val="21"/>
              </w:rPr>
            </w:pPr>
          </w:p>
          <w:p w14:paraId="196B07F1">
            <w:pPr>
              <w:pStyle w:val="6"/>
              <w:spacing w:before="69" w:line="221" w:lineRule="auto"/>
              <w:ind w:left="255"/>
            </w:pPr>
            <w:r>
              <w:rPr>
                <w:spacing w:val="6"/>
              </w:rPr>
              <w:t>序号</w:t>
            </w:r>
          </w:p>
        </w:tc>
        <w:tc>
          <w:tcPr>
            <w:tcW w:w="2108" w:type="dxa"/>
            <w:vMerge w:val="restart"/>
            <w:tcBorders>
              <w:bottom w:val="nil"/>
            </w:tcBorders>
            <w:vAlign w:val="top"/>
          </w:tcPr>
          <w:p w14:paraId="5BA3766F">
            <w:pPr>
              <w:spacing w:line="284" w:lineRule="auto"/>
              <w:rPr>
                <w:rFonts w:ascii="Arial"/>
                <w:sz w:val="21"/>
              </w:rPr>
            </w:pPr>
          </w:p>
          <w:p w14:paraId="316F1492">
            <w:pPr>
              <w:pStyle w:val="6"/>
              <w:spacing w:before="68" w:line="220" w:lineRule="auto"/>
              <w:ind w:left="620"/>
            </w:pPr>
            <w:r>
              <w:rPr>
                <w:spacing w:val="10"/>
              </w:rPr>
              <w:t>评分项目</w:t>
            </w:r>
          </w:p>
        </w:tc>
        <w:tc>
          <w:tcPr>
            <w:tcW w:w="1119" w:type="dxa"/>
            <w:vMerge w:val="restart"/>
            <w:tcBorders>
              <w:bottom w:val="nil"/>
            </w:tcBorders>
            <w:vAlign w:val="top"/>
          </w:tcPr>
          <w:p w14:paraId="018A98E1">
            <w:pPr>
              <w:spacing w:line="283" w:lineRule="auto"/>
              <w:rPr>
                <w:rFonts w:ascii="Arial"/>
                <w:sz w:val="21"/>
              </w:rPr>
            </w:pPr>
          </w:p>
          <w:p w14:paraId="599EA07F">
            <w:pPr>
              <w:pStyle w:val="6"/>
              <w:spacing w:before="69" w:line="219" w:lineRule="auto"/>
              <w:ind w:left="132"/>
            </w:pPr>
            <w:r>
              <w:rPr>
                <w:spacing w:val="2"/>
              </w:rPr>
              <w:t>分值代码</w:t>
            </w:r>
          </w:p>
        </w:tc>
        <w:tc>
          <w:tcPr>
            <w:tcW w:w="9838" w:type="dxa"/>
            <w:gridSpan w:val="7"/>
            <w:vAlign w:val="top"/>
          </w:tcPr>
          <w:p w14:paraId="2E5C363A">
            <w:pPr>
              <w:pStyle w:val="6"/>
              <w:spacing w:before="133" w:line="219" w:lineRule="auto"/>
              <w:ind w:left="4094"/>
            </w:pPr>
            <w:r>
              <w:rPr>
                <w:spacing w:val="-2"/>
              </w:rPr>
              <w:t>投标人名称及得分</w:t>
            </w:r>
          </w:p>
        </w:tc>
      </w:tr>
      <w:tr w14:paraId="13F37F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9" w:hRule="atLeast"/>
        </w:trPr>
        <w:tc>
          <w:tcPr>
            <w:tcW w:w="954" w:type="dxa"/>
            <w:vMerge w:val="continue"/>
            <w:tcBorders>
              <w:top w:val="nil"/>
            </w:tcBorders>
            <w:vAlign w:val="top"/>
          </w:tcPr>
          <w:p w14:paraId="127DF4B3">
            <w:pPr>
              <w:rPr>
                <w:rFonts w:ascii="Arial"/>
                <w:sz w:val="21"/>
              </w:rPr>
            </w:pPr>
          </w:p>
        </w:tc>
        <w:tc>
          <w:tcPr>
            <w:tcW w:w="2108" w:type="dxa"/>
            <w:vMerge w:val="continue"/>
            <w:tcBorders>
              <w:top w:val="nil"/>
            </w:tcBorders>
            <w:vAlign w:val="top"/>
          </w:tcPr>
          <w:p w14:paraId="25DA631F">
            <w:pPr>
              <w:rPr>
                <w:rFonts w:ascii="Arial"/>
                <w:sz w:val="21"/>
              </w:rPr>
            </w:pPr>
          </w:p>
        </w:tc>
        <w:tc>
          <w:tcPr>
            <w:tcW w:w="1119" w:type="dxa"/>
            <w:vMerge w:val="continue"/>
            <w:tcBorders>
              <w:top w:val="nil"/>
            </w:tcBorders>
            <w:vAlign w:val="top"/>
          </w:tcPr>
          <w:p w14:paraId="0E3B423A">
            <w:pPr>
              <w:rPr>
                <w:rFonts w:ascii="Arial"/>
                <w:sz w:val="21"/>
              </w:rPr>
            </w:pPr>
          </w:p>
        </w:tc>
        <w:tc>
          <w:tcPr>
            <w:tcW w:w="1409" w:type="dxa"/>
            <w:vAlign w:val="top"/>
          </w:tcPr>
          <w:p w14:paraId="7E067FC7">
            <w:pPr>
              <w:rPr>
                <w:rFonts w:ascii="Arial"/>
                <w:sz w:val="21"/>
              </w:rPr>
            </w:pPr>
          </w:p>
        </w:tc>
        <w:tc>
          <w:tcPr>
            <w:tcW w:w="1419" w:type="dxa"/>
            <w:vAlign w:val="top"/>
          </w:tcPr>
          <w:p w14:paraId="3621D274">
            <w:pPr>
              <w:rPr>
                <w:rFonts w:ascii="Arial"/>
                <w:sz w:val="21"/>
              </w:rPr>
            </w:pPr>
          </w:p>
        </w:tc>
        <w:tc>
          <w:tcPr>
            <w:tcW w:w="1389" w:type="dxa"/>
            <w:vAlign w:val="top"/>
          </w:tcPr>
          <w:p w14:paraId="30DC8184">
            <w:pPr>
              <w:rPr>
                <w:rFonts w:ascii="Arial"/>
                <w:sz w:val="21"/>
              </w:rPr>
            </w:pPr>
          </w:p>
        </w:tc>
        <w:tc>
          <w:tcPr>
            <w:tcW w:w="1409" w:type="dxa"/>
            <w:vAlign w:val="top"/>
          </w:tcPr>
          <w:p w14:paraId="5787824F">
            <w:pPr>
              <w:rPr>
                <w:rFonts w:ascii="Arial"/>
                <w:sz w:val="21"/>
              </w:rPr>
            </w:pPr>
          </w:p>
        </w:tc>
        <w:tc>
          <w:tcPr>
            <w:tcW w:w="1409" w:type="dxa"/>
            <w:vAlign w:val="top"/>
          </w:tcPr>
          <w:p w14:paraId="6EC67E81">
            <w:pPr>
              <w:rPr>
                <w:rFonts w:ascii="Arial"/>
                <w:sz w:val="21"/>
              </w:rPr>
            </w:pPr>
          </w:p>
        </w:tc>
        <w:tc>
          <w:tcPr>
            <w:tcW w:w="1399" w:type="dxa"/>
            <w:vAlign w:val="top"/>
          </w:tcPr>
          <w:p w14:paraId="78C96F5B">
            <w:pPr>
              <w:rPr>
                <w:rFonts w:ascii="Arial"/>
                <w:sz w:val="21"/>
              </w:rPr>
            </w:pPr>
          </w:p>
        </w:tc>
        <w:tc>
          <w:tcPr>
            <w:tcW w:w="1404" w:type="dxa"/>
            <w:vAlign w:val="top"/>
          </w:tcPr>
          <w:p w14:paraId="15806EBE">
            <w:pPr>
              <w:rPr>
                <w:rFonts w:ascii="Arial"/>
                <w:sz w:val="21"/>
              </w:rPr>
            </w:pPr>
          </w:p>
        </w:tc>
      </w:tr>
      <w:tr w14:paraId="09B403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8" w:hRule="atLeast"/>
        </w:trPr>
        <w:tc>
          <w:tcPr>
            <w:tcW w:w="954" w:type="dxa"/>
            <w:vAlign w:val="top"/>
          </w:tcPr>
          <w:p w14:paraId="399B5055">
            <w:pPr>
              <w:pStyle w:val="6"/>
              <w:spacing w:before="151" w:line="241" w:lineRule="auto"/>
              <w:ind w:left="414"/>
            </w:pPr>
            <w:r>
              <w:t>1</w:t>
            </w:r>
          </w:p>
        </w:tc>
        <w:tc>
          <w:tcPr>
            <w:tcW w:w="2108" w:type="dxa"/>
            <w:vAlign w:val="top"/>
          </w:tcPr>
          <w:p w14:paraId="72DEAF79">
            <w:pPr>
              <w:pStyle w:val="6"/>
              <w:spacing w:before="128" w:line="218" w:lineRule="auto"/>
              <w:ind w:left="620"/>
            </w:pPr>
            <w:r>
              <w:rPr>
                <w:spacing w:val="-3"/>
              </w:rPr>
              <w:t>投标报价</w:t>
            </w:r>
          </w:p>
        </w:tc>
        <w:tc>
          <w:tcPr>
            <w:tcW w:w="1119" w:type="dxa"/>
            <w:vAlign w:val="top"/>
          </w:tcPr>
          <w:p w14:paraId="088D8991">
            <w:pPr>
              <w:pStyle w:val="6"/>
              <w:spacing w:before="183" w:line="184" w:lineRule="auto"/>
              <w:ind w:left="492"/>
            </w:pPr>
            <w:r>
              <w:t>A</w:t>
            </w:r>
          </w:p>
        </w:tc>
        <w:tc>
          <w:tcPr>
            <w:tcW w:w="1409" w:type="dxa"/>
            <w:vAlign w:val="top"/>
          </w:tcPr>
          <w:p w14:paraId="011537B3">
            <w:pPr>
              <w:rPr>
                <w:rFonts w:ascii="Arial"/>
                <w:sz w:val="21"/>
              </w:rPr>
            </w:pPr>
          </w:p>
        </w:tc>
        <w:tc>
          <w:tcPr>
            <w:tcW w:w="1419" w:type="dxa"/>
            <w:vAlign w:val="top"/>
          </w:tcPr>
          <w:p w14:paraId="2FC39F9F">
            <w:pPr>
              <w:rPr>
                <w:rFonts w:ascii="Arial"/>
                <w:sz w:val="21"/>
              </w:rPr>
            </w:pPr>
          </w:p>
        </w:tc>
        <w:tc>
          <w:tcPr>
            <w:tcW w:w="1389" w:type="dxa"/>
            <w:vAlign w:val="top"/>
          </w:tcPr>
          <w:p w14:paraId="20F6651D">
            <w:pPr>
              <w:rPr>
                <w:rFonts w:ascii="Arial"/>
                <w:sz w:val="21"/>
              </w:rPr>
            </w:pPr>
          </w:p>
        </w:tc>
        <w:tc>
          <w:tcPr>
            <w:tcW w:w="1409" w:type="dxa"/>
            <w:vAlign w:val="top"/>
          </w:tcPr>
          <w:p w14:paraId="0BFDE7A0">
            <w:pPr>
              <w:rPr>
                <w:rFonts w:ascii="Arial"/>
                <w:sz w:val="21"/>
              </w:rPr>
            </w:pPr>
          </w:p>
        </w:tc>
        <w:tc>
          <w:tcPr>
            <w:tcW w:w="1409" w:type="dxa"/>
            <w:vAlign w:val="top"/>
          </w:tcPr>
          <w:p w14:paraId="06D15FAE">
            <w:pPr>
              <w:rPr>
                <w:rFonts w:ascii="Arial"/>
                <w:sz w:val="21"/>
              </w:rPr>
            </w:pPr>
          </w:p>
        </w:tc>
        <w:tc>
          <w:tcPr>
            <w:tcW w:w="1399" w:type="dxa"/>
            <w:vAlign w:val="top"/>
          </w:tcPr>
          <w:p w14:paraId="4A079604">
            <w:pPr>
              <w:rPr>
                <w:rFonts w:ascii="Arial"/>
                <w:sz w:val="21"/>
              </w:rPr>
            </w:pPr>
          </w:p>
        </w:tc>
        <w:tc>
          <w:tcPr>
            <w:tcW w:w="1404" w:type="dxa"/>
            <w:vAlign w:val="top"/>
          </w:tcPr>
          <w:p w14:paraId="5F08D31C">
            <w:pPr>
              <w:rPr>
                <w:rFonts w:ascii="Arial"/>
                <w:sz w:val="21"/>
              </w:rPr>
            </w:pPr>
          </w:p>
        </w:tc>
      </w:tr>
      <w:tr w14:paraId="16AFA7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9" w:hRule="atLeast"/>
        </w:trPr>
        <w:tc>
          <w:tcPr>
            <w:tcW w:w="954" w:type="dxa"/>
            <w:vAlign w:val="top"/>
          </w:tcPr>
          <w:p w14:paraId="0737D7B5">
            <w:pPr>
              <w:pStyle w:val="6"/>
              <w:spacing w:before="143" w:line="241" w:lineRule="auto"/>
              <w:ind w:left="414"/>
            </w:pPr>
            <w:r>
              <w:t>2</w:t>
            </w:r>
          </w:p>
        </w:tc>
        <w:tc>
          <w:tcPr>
            <w:tcW w:w="2108" w:type="dxa"/>
            <w:vAlign w:val="top"/>
          </w:tcPr>
          <w:p w14:paraId="0607C251">
            <w:pPr>
              <w:pStyle w:val="6"/>
              <w:spacing w:before="123" w:line="221" w:lineRule="auto"/>
              <w:ind w:left="410"/>
            </w:pPr>
            <w:r>
              <w:rPr>
                <w:spacing w:val="-2"/>
              </w:rPr>
              <w:t>施工组织设计</w:t>
            </w:r>
          </w:p>
        </w:tc>
        <w:tc>
          <w:tcPr>
            <w:tcW w:w="1119" w:type="dxa"/>
            <w:vAlign w:val="top"/>
          </w:tcPr>
          <w:p w14:paraId="4C3A5387">
            <w:pPr>
              <w:pStyle w:val="6"/>
              <w:spacing w:before="177" w:line="182" w:lineRule="auto"/>
              <w:ind w:left="492"/>
            </w:pPr>
            <w:r>
              <w:t>B</w:t>
            </w:r>
          </w:p>
        </w:tc>
        <w:tc>
          <w:tcPr>
            <w:tcW w:w="1409" w:type="dxa"/>
            <w:vAlign w:val="top"/>
          </w:tcPr>
          <w:p w14:paraId="246C6E7C">
            <w:pPr>
              <w:rPr>
                <w:rFonts w:ascii="Arial"/>
                <w:sz w:val="21"/>
              </w:rPr>
            </w:pPr>
          </w:p>
        </w:tc>
        <w:tc>
          <w:tcPr>
            <w:tcW w:w="1419" w:type="dxa"/>
            <w:vAlign w:val="top"/>
          </w:tcPr>
          <w:p w14:paraId="2CB3FBCB">
            <w:pPr>
              <w:rPr>
                <w:rFonts w:ascii="Arial"/>
                <w:sz w:val="21"/>
              </w:rPr>
            </w:pPr>
          </w:p>
        </w:tc>
        <w:tc>
          <w:tcPr>
            <w:tcW w:w="1389" w:type="dxa"/>
            <w:vAlign w:val="top"/>
          </w:tcPr>
          <w:p w14:paraId="4886A6BF">
            <w:pPr>
              <w:rPr>
                <w:rFonts w:ascii="Arial"/>
                <w:sz w:val="21"/>
              </w:rPr>
            </w:pPr>
          </w:p>
        </w:tc>
        <w:tc>
          <w:tcPr>
            <w:tcW w:w="1409" w:type="dxa"/>
            <w:vAlign w:val="top"/>
          </w:tcPr>
          <w:p w14:paraId="7C5DB2B7">
            <w:pPr>
              <w:rPr>
                <w:rFonts w:ascii="Arial"/>
                <w:sz w:val="21"/>
              </w:rPr>
            </w:pPr>
          </w:p>
        </w:tc>
        <w:tc>
          <w:tcPr>
            <w:tcW w:w="1409" w:type="dxa"/>
            <w:vAlign w:val="top"/>
          </w:tcPr>
          <w:p w14:paraId="22920C1B">
            <w:pPr>
              <w:rPr>
                <w:rFonts w:ascii="Arial"/>
                <w:sz w:val="21"/>
              </w:rPr>
            </w:pPr>
          </w:p>
        </w:tc>
        <w:tc>
          <w:tcPr>
            <w:tcW w:w="1399" w:type="dxa"/>
            <w:vAlign w:val="top"/>
          </w:tcPr>
          <w:p w14:paraId="01F0F77B">
            <w:pPr>
              <w:rPr>
                <w:rFonts w:ascii="Arial"/>
                <w:sz w:val="21"/>
              </w:rPr>
            </w:pPr>
          </w:p>
        </w:tc>
        <w:tc>
          <w:tcPr>
            <w:tcW w:w="1404" w:type="dxa"/>
            <w:vAlign w:val="top"/>
          </w:tcPr>
          <w:p w14:paraId="4E71B9C5">
            <w:pPr>
              <w:rPr>
                <w:rFonts w:ascii="Arial"/>
                <w:sz w:val="21"/>
              </w:rPr>
            </w:pPr>
          </w:p>
        </w:tc>
      </w:tr>
      <w:tr w14:paraId="278434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8" w:hRule="atLeast"/>
        </w:trPr>
        <w:tc>
          <w:tcPr>
            <w:tcW w:w="954" w:type="dxa"/>
            <w:vAlign w:val="top"/>
          </w:tcPr>
          <w:p w14:paraId="7C0F794F">
            <w:pPr>
              <w:pStyle w:val="6"/>
              <w:spacing w:before="154"/>
              <w:ind w:left="414"/>
            </w:pPr>
            <w:r>
              <w:t>3</w:t>
            </w:r>
          </w:p>
        </w:tc>
        <w:tc>
          <w:tcPr>
            <w:tcW w:w="2108" w:type="dxa"/>
            <w:vAlign w:val="top"/>
          </w:tcPr>
          <w:p w14:paraId="4C1664F9">
            <w:pPr>
              <w:pStyle w:val="6"/>
              <w:spacing w:before="132" w:line="219" w:lineRule="auto"/>
              <w:ind w:left="410"/>
            </w:pPr>
            <w:r>
              <w:rPr>
                <w:spacing w:val="2"/>
              </w:rPr>
              <w:t>项目管理机构</w:t>
            </w:r>
          </w:p>
        </w:tc>
        <w:tc>
          <w:tcPr>
            <w:tcW w:w="1119" w:type="dxa"/>
            <w:vAlign w:val="top"/>
          </w:tcPr>
          <w:p w14:paraId="48C915CE">
            <w:pPr>
              <w:pStyle w:val="6"/>
              <w:spacing w:before="187" w:line="183" w:lineRule="auto"/>
              <w:ind w:left="492"/>
            </w:pPr>
            <w:r>
              <w:t>C</w:t>
            </w:r>
          </w:p>
        </w:tc>
        <w:tc>
          <w:tcPr>
            <w:tcW w:w="1409" w:type="dxa"/>
            <w:vAlign w:val="top"/>
          </w:tcPr>
          <w:p w14:paraId="2ABAEA0C">
            <w:pPr>
              <w:rPr>
                <w:rFonts w:ascii="Arial"/>
                <w:sz w:val="21"/>
              </w:rPr>
            </w:pPr>
          </w:p>
        </w:tc>
        <w:tc>
          <w:tcPr>
            <w:tcW w:w="1419" w:type="dxa"/>
            <w:vAlign w:val="top"/>
          </w:tcPr>
          <w:p w14:paraId="13094BF4">
            <w:pPr>
              <w:rPr>
                <w:rFonts w:ascii="Arial"/>
                <w:sz w:val="21"/>
              </w:rPr>
            </w:pPr>
          </w:p>
        </w:tc>
        <w:tc>
          <w:tcPr>
            <w:tcW w:w="1389" w:type="dxa"/>
            <w:vAlign w:val="top"/>
          </w:tcPr>
          <w:p w14:paraId="50D0C07C">
            <w:pPr>
              <w:rPr>
                <w:rFonts w:ascii="Arial"/>
                <w:sz w:val="21"/>
              </w:rPr>
            </w:pPr>
          </w:p>
        </w:tc>
        <w:tc>
          <w:tcPr>
            <w:tcW w:w="1409" w:type="dxa"/>
            <w:vAlign w:val="top"/>
          </w:tcPr>
          <w:p w14:paraId="27331161">
            <w:pPr>
              <w:rPr>
                <w:rFonts w:ascii="Arial"/>
                <w:sz w:val="21"/>
              </w:rPr>
            </w:pPr>
          </w:p>
        </w:tc>
        <w:tc>
          <w:tcPr>
            <w:tcW w:w="1409" w:type="dxa"/>
            <w:vAlign w:val="top"/>
          </w:tcPr>
          <w:p w14:paraId="59A2CAEF">
            <w:pPr>
              <w:rPr>
                <w:rFonts w:ascii="Arial"/>
                <w:sz w:val="21"/>
              </w:rPr>
            </w:pPr>
          </w:p>
        </w:tc>
        <w:tc>
          <w:tcPr>
            <w:tcW w:w="1399" w:type="dxa"/>
            <w:vAlign w:val="top"/>
          </w:tcPr>
          <w:p w14:paraId="12851D88">
            <w:pPr>
              <w:rPr>
                <w:rFonts w:ascii="Arial"/>
                <w:sz w:val="21"/>
              </w:rPr>
            </w:pPr>
          </w:p>
        </w:tc>
        <w:tc>
          <w:tcPr>
            <w:tcW w:w="1404" w:type="dxa"/>
            <w:vAlign w:val="top"/>
          </w:tcPr>
          <w:p w14:paraId="3C9BC4A2">
            <w:pPr>
              <w:rPr>
                <w:rFonts w:ascii="Arial"/>
                <w:sz w:val="21"/>
              </w:rPr>
            </w:pPr>
          </w:p>
        </w:tc>
      </w:tr>
      <w:tr w14:paraId="2CE1CF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8" w:hRule="atLeast"/>
        </w:trPr>
        <w:tc>
          <w:tcPr>
            <w:tcW w:w="954" w:type="dxa"/>
            <w:vAlign w:val="top"/>
          </w:tcPr>
          <w:p w14:paraId="46B24387">
            <w:pPr>
              <w:pStyle w:val="6"/>
              <w:spacing w:before="146" w:line="241" w:lineRule="auto"/>
              <w:ind w:left="414"/>
            </w:pPr>
            <w:r>
              <w:t>4</w:t>
            </w:r>
          </w:p>
        </w:tc>
        <w:tc>
          <w:tcPr>
            <w:tcW w:w="2108" w:type="dxa"/>
            <w:vAlign w:val="top"/>
          </w:tcPr>
          <w:p w14:paraId="77A18FD8">
            <w:pPr>
              <w:pStyle w:val="6"/>
              <w:spacing w:before="125" w:line="219" w:lineRule="auto"/>
              <w:ind w:left="620"/>
            </w:pPr>
            <w:r>
              <w:rPr>
                <w:spacing w:val="-2"/>
              </w:rPr>
              <w:t>其他因素</w:t>
            </w:r>
          </w:p>
        </w:tc>
        <w:tc>
          <w:tcPr>
            <w:tcW w:w="1119" w:type="dxa"/>
            <w:vAlign w:val="top"/>
          </w:tcPr>
          <w:p w14:paraId="109CE4DD">
            <w:pPr>
              <w:pStyle w:val="6"/>
              <w:spacing w:before="181" w:line="182" w:lineRule="auto"/>
              <w:ind w:left="492"/>
            </w:pPr>
            <w:r>
              <w:t>D</w:t>
            </w:r>
          </w:p>
        </w:tc>
        <w:tc>
          <w:tcPr>
            <w:tcW w:w="1409" w:type="dxa"/>
            <w:vAlign w:val="top"/>
          </w:tcPr>
          <w:p w14:paraId="41C470D4">
            <w:pPr>
              <w:rPr>
                <w:rFonts w:ascii="Arial"/>
                <w:sz w:val="21"/>
              </w:rPr>
            </w:pPr>
          </w:p>
        </w:tc>
        <w:tc>
          <w:tcPr>
            <w:tcW w:w="1419" w:type="dxa"/>
            <w:vAlign w:val="top"/>
          </w:tcPr>
          <w:p w14:paraId="020D13C5">
            <w:pPr>
              <w:rPr>
                <w:rFonts w:ascii="Arial"/>
                <w:sz w:val="21"/>
              </w:rPr>
            </w:pPr>
          </w:p>
        </w:tc>
        <w:tc>
          <w:tcPr>
            <w:tcW w:w="1389" w:type="dxa"/>
            <w:vAlign w:val="top"/>
          </w:tcPr>
          <w:p w14:paraId="105A8BB0">
            <w:pPr>
              <w:rPr>
                <w:rFonts w:ascii="Arial"/>
                <w:sz w:val="21"/>
              </w:rPr>
            </w:pPr>
          </w:p>
        </w:tc>
        <w:tc>
          <w:tcPr>
            <w:tcW w:w="1409" w:type="dxa"/>
            <w:vAlign w:val="top"/>
          </w:tcPr>
          <w:p w14:paraId="28532D04">
            <w:pPr>
              <w:rPr>
                <w:rFonts w:ascii="Arial"/>
                <w:sz w:val="21"/>
              </w:rPr>
            </w:pPr>
          </w:p>
        </w:tc>
        <w:tc>
          <w:tcPr>
            <w:tcW w:w="1409" w:type="dxa"/>
            <w:vAlign w:val="top"/>
          </w:tcPr>
          <w:p w14:paraId="1C115EF9">
            <w:pPr>
              <w:rPr>
                <w:rFonts w:ascii="Arial"/>
                <w:sz w:val="21"/>
              </w:rPr>
            </w:pPr>
          </w:p>
        </w:tc>
        <w:tc>
          <w:tcPr>
            <w:tcW w:w="1399" w:type="dxa"/>
            <w:vAlign w:val="top"/>
          </w:tcPr>
          <w:p w14:paraId="337D2AF6">
            <w:pPr>
              <w:rPr>
                <w:rFonts w:ascii="Arial"/>
                <w:sz w:val="21"/>
              </w:rPr>
            </w:pPr>
          </w:p>
        </w:tc>
        <w:tc>
          <w:tcPr>
            <w:tcW w:w="1404" w:type="dxa"/>
            <w:vAlign w:val="top"/>
          </w:tcPr>
          <w:p w14:paraId="1DECD64F">
            <w:pPr>
              <w:rPr>
                <w:rFonts w:ascii="Arial"/>
                <w:sz w:val="21"/>
              </w:rPr>
            </w:pPr>
          </w:p>
        </w:tc>
      </w:tr>
      <w:tr w14:paraId="505F47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3" w:hRule="atLeast"/>
        </w:trPr>
        <w:tc>
          <w:tcPr>
            <w:tcW w:w="4181" w:type="dxa"/>
            <w:gridSpan w:val="3"/>
            <w:vAlign w:val="top"/>
          </w:tcPr>
          <w:p w14:paraId="47E98D7C">
            <w:pPr>
              <w:pStyle w:val="6"/>
              <w:spacing w:before="127" w:line="219" w:lineRule="auto"/>
              <w:ind w:left="1265"/>
            </w:pPr>
            <w:r>
              <w:rPr>
                <w:spacing w:val="-2"/>
              </w:rPr>
              <w:t>详细评审得分合计</w:t>
            </w:r>
          </w:p>
        </w:tc>
        <w:tc>
          <w:tcPr>
            <w:tcW w:w="1409" w:type="dxa"/>
            <w:vAlign w:val="top"/>
          </w:tcPr>
          <w:p w14:paraId="0FFD2411">
            <w:pPr>
              <w:rPr>
                <w:rFonts w:ascii="Arial"/>
                <w:sz w:val="21"/>
              </w:rPr>
            </w:pPr>
          </w:p>
        </w:tc>
        <w:tc>
          <w:tcPr>
            <w:tcW w:w="1419" w:type="dxa"/>
            <w:vAlign w:val="top"/>
          </w:tcPr>
          <w:p w14:paraId="238C2CA1">
            <w:pPr>
              <w:rPr>
                <w:rFonts w:ascii="Arial"/>
                <w:sz w:val="21"/>
              </w:rPr>
            </w:pPr>
          </w:p>
        </w:tc>
        <w:tc>
          <w:tcPr>
            <w:tcW w:w="1389" w:type="dxa"/>
            <w:vAlign w:val="top"/>
          </w:tcPr>
          <w:p w14:paraId="2FB9936D">
            <w:pPr>
              <w:rPr>
                <w:rFonts w:ascii="Arial"/>
                <w:sz w:val="21"/>
              </w:rPr>
            </w:pPr>
          </w:p>
        </w:tc>
        <w:tc>
          <w:tcPr>
            <w:tcW w:w="1409" w:type="dxa"/>
            <w:vAlign w:val="top"/>
          </w:tcPr>
          <w:p w14:paraId="26527B2A">
            <w:pPr>
              <w:rPr>
                <w:rFonts w:ascii="Arial"/>
                <w:sz w:val="21"/>
              </w:rPr>
            </w:pPr>
          </w:p>
        </w:tc>
        <w:tc>
          <w:tcPr>
            <w:tcW w:w="1409" w:type="dxa"/>
            <w:vAlign w:val="top"/>
          </w:tcPr>
          <w:p w14:paraId="5DCAEB15">
            <w:pPr>
              <w:rPr>
                <w:rFonts w:ascii="Arial"/>
                <w:sz w:val="21"/>
              </w:rPr>
            </w:pPr>
          </w:p>
        </w:tc>
        <w:tc>
          <w:tcPr>
            <w:tcW w:w="1399" w:type="dxa"/>
            <w:vAlign w:val="top"/>
          </w:tcPr>
          <w:p w14:paraId="17A6AD53">
            <w:pPr>
              <w:rPr>
                <w:rFonts w:ascii="Arial"/>
                <w:sz w:val="21"/>
              </w:rPr>
            </w:pPr>
          </w:p>
        </w:tc>
        <w:tc>
          <w:tcPr>
            <w:tcW w:w="1404" w:type="dxa"/>
            <w:vAlign w:val="top"/>
          </w:tcPr>
          <w:p w14:paraId="0C8FFE21">
            <w:pPr>
              <w:rPr>
                <w:rFonts w:ascii="Arial"/>
                <w:sz w:val="21"/>
              </w:rPr>
            </w:pPr>
          </w:p>
        </w:tc>
      </w:tr>
    </w:tbl>
    <w:p w14:paraId="4E007FB7">
      <w:pPr>
        <w:spacing w:line="266" w:lineRule="auto"/>
        <w:rPr>
          <w:rFonts w:ascii="Arial"/>
          <w:sz w:val="21"/>
        </w:rPr>
      </w:pPr>
    </w:p>
    <w:p w14:paraId="61CFAF64">
      <w:pPr>
        <w:pStyle w:val="2"/>
        <w:spacing w:before="65" w:line="223" w:lineRule="auto"/>
        <w:ind w:left="265"/>
        <w:rPr>
          <w:sz w:val="20"/>
          <w:szCs w:val="20"/>
        </w:rPr>
      </w:pPr>
      <w:r>
        <w:rPr>
          <w:spacing w:val="-2"/>
          <w:sz w:val="20"/>
          <w:szCs w:val="20"/>
        </w:rPr>
        <w:t xml:space="preserve">评标委员会成员签名：               </w:t>
      </w:r>
      <w:r>
        <w:rPr>
          <w:spacing w:val="-3"/>
          <w:sz w:val="20"/>
          <w:szCs w:val="20"/>
        </w:rPr>
        <w:t xml:space="preserve">                                                                                  </w:t>
      </w:r>
      <w:r>
        <w:rPr>
          <w:spacing w:val="-3"/>
          <w:position w:val="-1"/>
          <w:sz w:val="16"/>
          <w:szCs w:val="16"/>
        </w:rPr>
        <w:t xml:space="preserve">日 期 ：    </w:t>
      </w:r>
      <w:r>
        <w:rPr>
          <w:spacing w:val="-3"/>
          <w:sz w:val="20"/>
          <w:szCs w:val="20"/>
        </w:rPr>
        <w:t>年    月</w:t>
      </w:r>
      <w:r>
        <w:rPr>
          <w:spacing w:val="26"/>
          <w:sz w:val="20"/>
          <w:szCs w:val="20"/>
        </w:rPr>
        <w:t xml:space="preserve">  </w:t>
      </w:r>
      <w:r>
        <w:rPr>
          <w:spacing w:val="-3"/>
          <w:sz w:val="20"/>
          <w:szCs w:val="20"/>
        </w:rPr>
        <w:t>日</w:t>
      </w:r>
    </w:p>
    <w:p w14:paraId="3773C09B">
      <w:pPr>
        <w:spacing w:line="223" w:lineRule="auto"/>
        <w:rPr>
          <w:sz w:val="20"/>
          <w:szCs w:val="20"/>
        </w:rPr>
        <w:sectPr>
          <w:footerReference r:id="rId90" w:type="default"/>
          <w:pgSz w:w="16840" w:h="11910"/>
          <w:pgMar w:top="1012" w:right="1375" w:bottom="971" w:left="1434" w:header="0" w:footer="827" w:gutter="0"/>
          <w:cols w:space="720" w:num="1"/>
        </w:sectPr>
      </w:pPr>
    </w:p>
    <w:p w14:paraId="6CA2B0B2">
      <w:pPr>
        <w:spacing w:line="264" w:lineRule="auto"/>
        <w:rPr>
          <w:rFonts w:ascii="Arial"/>
          <w:sz w:val="21"/>
        </w:rPr>
      </w:pPr>
    </w:p>
    <w:p w14:paraId="778C3909">
      <w:pPr>
        <w:spacing w:line="264" w:lineRule="auto"/>
        <w:rPr>
          <w:rFonts w:ascii="Arial"/>
          <w:sz w:val="21"/>
        </w:rPr>
      </w:pPr>
    </w:p>
    <w:p w14:paraId="7AB8EDB2">
      <w:pPr>
        <w:spacing w:before="81" w:line="222" w:lineRule="auto"/>
        <w:ind w:left="558"/>
        <w:outlineLvl w:val="2"/>
        <w:rPr>
          <w:rFonts w:ascii="黑体" w:hAnsi="黑体" w:eastAsia="黑体" w:cs="黑体"/>
          <w:sz w:val="25"/>
          <w:szCs w:val="25"/>
        </w:rPr>
      </w:pPr>
      <w:bookmarkStart w:id="227" w:name="bookmark167"/>
      <w:bookmarkEnd w:id="227"/>
      <w:r>
        <w:rPr>
          <w:rFonts w:ascii="黑体" w:hAnsi="黑体" w:eastAsia="黑体" w:cs="黑体"/>
          <w:b/>
          <w:bCs/>
          <w:sz w:val="25"/>
          <w:szCs w:val="25"/>
        </w:rPr>
        <w:t>附表</w:t>
      </w:r>
      <w:r>
        <w:rPr>
          <w:rFonts w:ascii="Times New Roman" w:hAnsi="Times New Roman" w:eastAsia="Times New Roman" w:cs="Times New Roman"/>
          <w:b/>
          <w:bCs/>
          <w:sz w:val="25"/>
          <w:szCs w:val="25"/>
        </w:rPr>
        <w:t xml:space="preserve">A-13:  </w:t>
      </w:r>
      <w:r>
        <w:rPr>
          <w:rFonts w:ascii="黑体" w:hAnsi="黑体" w:eastAsia="黑体" w:cs="黑体"/>
          <w:b/>
          <w:bCs/>
          <w:sz w:val="25"/>
          <w:szCs w:val="25"/>
        </w:rPr>
        <w:t>评标结果汇总表</w:t>
      </w:r>
    </w:p>
    <w:p w14:paraId="1407C7FC">
      <w:pPr>
        <w:spacing w:before="41" w:line="222" w:lineRule="auto"/>
        <w:ind w:left="5660"/>
        <w:rPr>
          <w:rFonts w:ascii="黑体" w:hAnsi="黑体" w:eastAsia="黑体" w:cs="黑体"/>
          <w:sz w:val="36"/>
          <w:szCs w:val="36"/>
        </w:rPr>
      </w:pPr>
      <w:bookmarkStart w:id="228" w:name="bookmark278"/>
      <w:bookmarkEnd w:id="228"/>
      <w:r>
        <w:rPr>
          <w:rFonts w:ascii="黑体" w:hAnsi="黑体" w:eastAsia="黑体" w:cs="黑体"/>
          <w:b/>
          <w:bCs/>
          <w:spacing w:val="-6"/>
          <w:sz w:val="36"/>
          <w:szCs w:val="36"/>
        </w:rPr>
        <w:t>评标结果汇总表</w:t>
      </w:r>
    </w:p>
    <w:p w14:paraId="182A51E2">
      <w:pPr>
        <w:pStyle w:val="2"/>
        <w:spacing w:before="259" w:line="229" w:lineRule="auto"/>
        <w:ind w:left="114"/>
        <w:rPr>
          <w:sz w:val="20"/>
          <w:szCs w:val="20"/>
        </w:rPr>
      </w:pPr>
      <w:r>
        <w:rPr>
          <w:spacing w:val="4"/>
          <w:position w:val="-1"/>
          <w:sz w:val="20"/>
          <w:szCs w:val="20"/>
        </w:rPr>
        <w:t>工程名称：</w:t>
      </w:r>
      <w:r>
        <w:rPr>
          <w:spacing w:val="-10"/>
          <w:position w:val="-1"/>
          <w:sz w:val="20"/>
          <w:szCs w:val="20"/>
        </w:rPr>
        <w:t xml:space="preserve"> </w:t>
      </w:r>
      <w:r>
        <w:rPr>
          <w:spacing w:val="5"/>
          <w:position w:val="-1"/>
          <w:sz w:val="20"/>
          <w:szCs w:val="20"/>
          <w:u w:val="single" w:color="auto"/>
        </w:rPr>
        <w:t xml:space="preserve">               </w:t>
      </w:r>
      <w:r>
        <w:rPr>
          <w:spacing w:val="-95"/>
          <w:position w:val="-1"/>
          <w:sz w:val="20"/>
          <w:szCs w:val="20"/>
        </w:rPr>
        <w:t xml:space="preserve"> </w:t>
      </w:r>
      <w:r>
        <w:rPr>
          <w:spacing w:val="4"/>
          <w:position w:val="2"/>
          <w:sz w:val="21"/>
          <w:szCs w:val="21"/>
        </w:rPr>
        <w:t>(项目名称)</w:t>
      </w:r>
      <w:r>
        <w:rPr>
          <w:spacing w:val="1"/>
          <w:position w:val="2"/>
          <w:sz w:val="21"/>
          <w:szCs w:val="21"/>
          <w:u w:val="single" w:color="auto"/>
        </w:rPr>
        <w:t xml:space="preserve">       </w:t>
      </w:r>
      <w:r>
        <w:rPr>
          <w:spacing w:val="-33"/>
          <w:position w:val="2"/>
          <w:sz w:val="21"/>
          <w:szCs w:val="21"/>
        </w:rPr>
        <w:t xml:space="preserve"> </w:t>
      </w:r>
      <w:r>
        <w:rPr>
          <w:spacing w:val="4"/>
          <w:position w:val="-1"/>
          <w:sz w:val="20"/>
          <w:szCs w:val="20"/>
        </w:rPr>
        <w:t>(标段名称)</w:t>
      </w:r>
    </w:p>
    <w:p w14:paraId="6BB81B27">
      <w:pPr>
        <w:spacing w:line="187" w:lineRule="exact"/>
      </w:pPr>
    </w:p>
    <w:tbl>
      <w:tblPr>
        <w:tblStyle w:val="5"/>
        <w:tblW w:w="1375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173"/>
        <w:gridCol w:w="1649"/>
        <w:gridCol w:w="1659"/>
        <w:gridCol w:w="1649"/>
        <w:gridCol w:w="1658"/>
        <w:gridCol w:w="1649"/>
        <w:gridCol w:w="1659"/>
        <w:gridCol w:w="1654"/>
      </w:tblGrid>
      <w:tr w14:paraId="3E7B11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5" w:hRule="atLeast"/>
        </w:trPr>
        <w:tc>
          <w:tcPr>
            <w:tcW w:w="2173" w:type="dxa"/>
            <w:vMerge w:val="restart"/>
            <w:tcBorders>
              <w:bottom w:val="nil"/>
            </w:tcBorders>
            <w:vAlign w:val="top"/>
          </w:tcPr>
          <w:p w14:paraId="73D3CE36">
            <w:pPr>
              <w:spacing w:line="293" w:lineRule="auto"/>
              <w:rPr>
                <w:rFonts w:ascii="Arial"/>
                <w:sz w:val="21"/>
              </w:rPr>
            </w:pPr>
          </w:p>
          <w:p w14:paraId="57E41474">
            <w:pPr>
              <w:pStyle w:val="6"/>
              <w:spacing w:before="68" w:line="219" w:lineRule="auto"/>
              <w:ind w:left="364"/>
            </w:pPr>
            <w:r>
              <w:rPr>
                <w:spacing w:val="3"/>
              </w:rPr>
              <w:t>评委序号和姓名</w:t>
            </w:r>
          </w:p>
        </w:tc>
        <w:tc>
          <w:tcPr>
            <w:tcW w:w="11577" w:type="dxa"/>
            <w:gridSpan w:val="7"/>
            <w:vAlign w:val="top"/>
          </w:tcPr>
          <w:p w14:paraId="5485C06E">
            <w:pPr>
              <w:pStyle w:val="6"/>
              <w:spacing w:before="123" w:line="219" w:lineRule="auto"/>
              <w:ind w:left="4441"/>
            </w:pPr>
            <w:r>
              <w:rPr>
                <w:spacing w:val="-1"/>
              </w:rPr>
              <w:t>投标人名称(或代码)及其得分</w:t>
            </w:r>
          </w:p>
        </w:tc>
      </w:tr>
      <w:tr w14:paraId="2808F5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2173" w:type="dxa"/>
            <w:vMerge w:val="continue"/>
            <w:tcBorders>
              <w:top w:val="nil"/>
            </w:tcBorders>
            <w:vAlign w:val="top"/>
          </w:tcPr>
          <w:p w14:paraId="2A76D8A0">
            <w:pPr>
              <w:rPr>
                <w:rFonts w:ascii="Arial"/>
                <w:sz w:val="21"/>
              </w:rPr>
            </w:pPr>
          </w:p>
        </w:tc>
        <w:tc>
          <w:tcPr>
            <w:tcW w:w="1649" w:type="dxa"/>
            <w:vAlign w:val="top"/>
          </w:tcPr>
          <w:p w14:paraId="691A5368">
            <w:pPr>
              <w:rPr>
                <w:rFonts w:ascii="Arial"/>
                <w:sz w:val="21"/>
              </w:rPr>
            </w:pPr>
          </w:p>
        </w:tc>
        <w:tc>
          <w:tcPr>
            <w:tcW w:w="1659" w:type="dxa"/>
            <w:vAlign w:val="top"/>
          </w:tcPr>
          <w:p w14:paraId="6EBDA5E7">
            <w:pPr>
              <w:rPr>
                <w:rFonts w:ascii="Arial"/>
                <w:sz w:val="21"/>
              </w:rPr>
            </w:pPr>
          </w:p>
        </w:tc>
        <w:tc>
          <w:tcPr>
            <w:tcW w:w="1649" w:type="dxa"/>
            <w:vAlign w:val="top"/>
          </w:tcPr>
          <w:p w14:paraId="362EF9E5">
            <w:pPr>
              <w:rPr>
                <w:rFonts w:ascii="Arial"/>
                <w:sz w:val="21"/>
              </w:rPr>
            </w:pPr>
          </w:p>
        </w:tc>
        <w:tc>
          <w:tcPr>
            <w:tcW w:w="1658" w:type="dxa"/>
            <w:vAlign w:val="top"/>
          </w:tcPr>
          <w:p w14:paraId="54FE28BE">
            <w:pPr>
              <w:rPr>
                <w:rFonts w:ascii="Arial"/>
                <w:sz w:val="21"/>
              </w:rPr>
            </w:pPr>
          </w:p>
        </w:tc>
        <w:tc>
          <w:tcPr>
            <w:tcW w:w="1649" w:type="dxa"/>
            <w:vAlign w:val="top"/>
          </w:tcPr>
          <w:p w14:paraId="507AA359">
            <w:pPr>
              <w:rPr>
                <w:rFonts w:ascii="Arial"/>
                <w:sz w:val="21"/>
              </w:rPr>
            </w:pPr>
          </w:p>
        </w:tc>
        <w:tc>
          <w:tcPr>
            <w:tcW w:w="1659" w:type="dxa"/>
            <w:vAlign w:val="top"/>
          </w:tcPr>
          <w:p w14:paraId="188214CD">
            <w:pPr>
              <w:rPr>
                <w:rFonts w:ascii="Arial"/>
                <w:sz w:val="21"/>
              </w:rPr>
            </w:pPr>
          </w:p>
        </w:tc>
        <w:tc>
          <w:tcPr>
            <w:tcW w:w="1654" w:type="dxa"/>
            <w:vAlign w:val="top"/>
          </w:tcPr>
          <w:p w14:paraId="1F5BCC96">
            <w:pPr>
              <w:rPr>
                <w:rFonts w:ascii="Arial"/>
                <w:sz w:val="21"/>
              </w:rPr>
            </w:pPr>
          </w:p>
        </w:tc>
      </w:tr>
      <w:tr w14:paraId="075794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2173" w:type="dxa"/>
            <w:vAlign w:val="top"/>
          </w:tcPr>
          <w:p w14:paraId="588810E5">
            <w:pPr>
              <w:pStyle w:val="6"/>
              <w:spacing w:before="150" w:line="239" w:lineRule="auto"/>
              <w:ind w:left="84"/>
            </w:pPr>
            <w:r>
              <w:rPr>
                <w:spacing w:val="-6"/>
              </w:rPr>
              <w:t>1:</w:t>
            </w:r>
          </w:p>
        </w:tc>
        <w:tc>
          <w:tcPr>
            <w:tcW w:w="1649" w:type="dxa"/>
            <w:vAlign w:val="top"/>
          </w:tcPr>
          <w:p w14:paraId="240D92F6">
            <w:pPr>
              <w:rPr>
                <w:rFonts w:ascii="Arial"/>
                <w:sz w:val="21"/>
              </w:rPr>
            </w:pPr>
          </w:p>
        </w:tc>
        <w:tc>
          <w:tcPr>
            <w:tcW w:w="1659" w:type="dxa"/>
            <w:vAlign w:val="top"/>
          </w:tcPr>
          <w:p w14:paraId="768AA72C">
            <w:pPr>
              <w:rPr>
                <w:rFonts w:ascii="Arial"/>
                <w:sz w:val="21"/>
              </w:rPr>
            </w:pPr>
          </w:p>
        </w:tc>
        <w:tc>
          <w:tcPr>
            <w:tcW w:w="1649" w:type="dxa"/>
            <w:vAlign w:val="top"/>
          </w:tcPr>
          <w:p w14:paraId="51BB4242">
            <w:pPr>
              <w:rPr>
                <w:rFonts w:ascii="Arial"/>
                <w:sz w:val="21"/>
              </w:rPr>
            </w:pPr>
          </w:p>
        </w:tc>
        <w:tc>
          <w:tcPr>
            <w:tcW w:w="1658" w:type="dxa"/>
            <w:vAlign w:val="top"/>
          </w:tcPr>
          <w:p w14:paraId="117DC5B1">
            <w:pPr>
              <w:rPr>
                <w:rFonts w:ascii="Arial"/>
                <w:sz w:val="21"/>
              </w:rPr>
            </w:pPr>
          </w:p>
        </w:tc>
        <w:tc>
          <w:tcPr>
            <w:tcW w:w="1649" w:type="dxa"/>
            <w:vAlign w:val="top"/>
          </w:tcPr>
          <w:p w14:paraId="0D5D1A49">
            <w:pPr>
              <w:rPr>
                <w:rFonts w:ascii="Arial"/>
                <w:sz w:val="21"/>
              </w:rPr>
            </w:pPr>
          </w:p>
        </w:tc>
        <w:tc>
          <w:tcPr>
            <w:tcW w:w="1659" w:type="dxa"/>
            <w:vAlign w:val="top"/>
          </w:tcPr>
          <w:p w14:paraId="3944E61E">
            <w:pPr>
              <w:rPr>
                <w:rFonts w:ascii="Arial"/>
                <w:sz w:val="21"/>
              </w:rPr>
            </w:pPr>
          </w:p>
        </w:tc>
        <w:tc>
          <w:tcPr>
            <w:tcW w:w="1654" w:type="dxa"/>
            <w:vAlign w:val="top"/>
          </w:tcPr>
          <w:p w14:paraId="55B94995">
            <w:pPr>
              <w:rPr>
                <w:rFonts w:ascii="Arial"/>
                <w:sz w:val="21"/>
              </w:rPr>
            </w:pPr>
          </w:p>
        </w:tc>
      </w:tr>
      <w:tr w14:paraId="52CE45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2173" w:type="dxa"/>
            <w:vAlign w:val="top"/>
          </w:tcPr>
          <w:p w14:paraId="2735BCC8">
            <w:pPr>
              <w:pStyle w:val="6"/>
              <w:spacing w:before="151" w:line="239" w:lineRule="auto"/>
              <w:ind w:left="84"/>
            </w:pPr>
            <w:r>
              <w:rPr>
                <w:spacing w:val="-3"/>
              </w:rPr>
              <w:t>2:</w:t>
            </w:r>
          </w:p>
        </w:tc>
        <w:tc>
          <w:tcPr>
            <w:tcW w:w="1649" w:type="dxa"/>
            <w:vAlign w:val="top"/>
          </w:tcPr>
          <w:p w14:paraId="679B4BBB">
            <w:pPr>
              <w:rPr>
                <w:rFonts w:ascii="Arial"/>
                <w:sz w:val="21"/>
              </w:rPr>
            </w:pPr>
          </w:p>
        </w:tc>
        <w:tc>
          <w:tcPr>
            <w:tcW w:w="1659" w:type="dxa"/>
            <w:vAlign w:val="top"/>
          </w:tcPr>
          <w:p w14:paraId="46F0EDA0">
            <w:pPr>
              <w:rPr>
                <w:rFonts w:ascii="Arial"/>
                <w:sz w:val="21"/>
              </w:rPr>
            </w:pPr>
          </w:p>
        </w:tc>
        <w:tc>
          <w:tcPr>
            <w:tcW w:w="1649" w:type="dxa"/>
            <w:vAlign w:val="top"/>
          </w:tcPr>
          <w:p w14:paraId="16B482D8">
            <w:pPr>
              <w:rPr>
                <w:rFonts w:ascii="Arial"/>
                <w:sz w:val="21"/>
              </w:rPr>
            </w:pPr>
          </w:p>
        </w:tc>
        <w:tc>
          <w:tcPr>
            <w:tcW w:w="1658" w:type="dxa"/>
            <w:vAlign w:val="top"/>
          </w:tcPr>
          <w:p w14:paraId="7F894E73">
            <w:pPr>
              <w:rPr>
                <w:rFonts w:ascii="Arial"/>
                <w:sz w:val="21"/>
              </w:rPr>
            </w:pPr>
          </w:p>
        </w:tc>
        <w:tc>
          <w:tcPr>
            <w:tcW w:w="1649" w:type="dxa"/>
            <w:vAlign w:val="top"/>
          </w:tcPr>
          <w:p w14:paraId="79D4D074">
            <w:pPr>
              <w:rPr>
                <w:rFonts w:ascii="Arial"/>
                <w:sz w:val="21"/>
              </w:rPr>
            </w:pPr>
          </w:p>
        </w:tc>
        <w:tc>
          <w:tcPr>
            <w:tcW w:w="1659" w:type="dxa"/>
            <w:vAlign w:val="top"/>
          </w:tcPr>
          <w:p w14:paraId="0B210BC9">
            <w:pPr>
              <w:rPr>
                <w:rFonts w:ascii="Arial"/>
                <w:sz w:val="21"/>
              </w:rPr>
            </w:pPr>
          </w:p>
        </w:tc>
        <w:tc>
          <w:tcPr>
            <w:tcW w:w="1654" w:type="dxa"/>
            <w:vAlign w:val="top"/>
          </w:tcPr>
          <w:p w14:paraId="65F4C75B">
            <w:pPr>
              <w:rPr>
                <w:rFonts w:ascii="Arial"/>
                <w:sz w:val="21"/>
              </w:rPr>
            </w:pPr>
          </w:p>
        </w:tc>
      </w:tr>
      <w:tr w14:paraId="3D6AD6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2173" w:type="dxa"/>
            <w:vAlign w:val="top"/>
          </w:tcPr>
          <w:p w14:paraId="554F70F7">
            <w:pPr>
              <w:pStyle w:val="6"/>
              <w:spacing w:before="152" w:line="239" w:lineRule="auto"/>
              <w:ind w:left="84"/>
            </w:pPr>
            <w:r>
              <w:rPr>
                <w:spacing w:val="-4"/>
              </w:rPr>
              <w:t>3:</w:t>
            </w:r>
          </w:p>
        </w:tc>
        <w:tc>
          <w:tcPr>
            <w:tcW w:w="1649" w:type="dxa"/>
            <w:vAlign w:val="top"/>
          </w:tcPr>
          <w:p w14:paraId="3A6871A5">
            <w:pPr>
              <w:rPr>
                <w:rFonts w:ascii="Arial"/>
                <w:sz w:val="21"/>
              </w:rPr>
            </w:pPr>
          </w:p>
        </w:tc>
        <w:tc>
          <w:tcPr>
            <w:tcW w:w="1659" w:type="dxa"/>
            <w:vAlign w:val="top"/>
          </w:tcPr>
          <w:p w14:paraId="5D705252">
            <w:pPr>
              <w:rPr>
                <w:rFonts w:ascii="Arial"/>
                <w:sz w:val="21"/>
              </w:rPr>
            </w:pPr>
          </w:p>
        </w:tc>
        <w:tc>
          <w:tcPr>
            <w:tcW w:w="1649" w:type="dxa"/>
            <w:vAlign w:val="top"/>
          </w:tcPr>
          <w:p w14:paraId="3EBEA35E">
            <w:pPr>
              <w:rPr>
                <w:rFonts w:ascii="Arial"/>
                <w:sz w:val="21"/>
              </w:rPr>
            </w:pPr>
          </w:p>
        </w:tc>
        <w:tc>
          <w:tcPr>
            <w:tcW w:w="1658" w:type="dxa"/>
            <w:vAlign w:val="top"/>
          </w:tcPr>
          <w:p w14:paraId="6F3FDB8B">
            <w:pPr>
              <w:rPr>
                <w:rFonts w:ascii="Arial"/>
                <w:sz w:val="21"/>
              </w:rPr>
            </w:pPr>
          </w:p>
        </w:tc>
        <w:tc>
          <w:tcPr>
            <w:tcW w:w="1649" w:type="dxa"/>
            <w:vAlign w:val="top"/>
          </w:tcPr>
          <w:p w14:paraId="4EC244E2">
            <w:pPr>
              <w:rPr>
                <w:rFonts w:ascii="Arial"/>
                <w:sz w:val="21"/>
              </w:rPr>
            </w:pPr>
          </w:p>
        </w:tc>
        <w:tc>
          <w:tcPr>
            <w:tcW w:w="1659" w:type="dxa"/>
            <w:vAlign w:val="top"/>
          </w:tcPr>
          <w:p w14:paraId="5CD49CB0">
            <w:pPr>
              <w:rPr>
                <w:rFonts w:ascii="Arial"/>
                <w:sz w:val="21"/>
              </w:rPr>
            </w:pPr>
          </w:p>
        </w:tc>
        <w:tc>
          <w:tcPr>
            <w:tcW w:w="1654" w:type="dxa"/>
            <w:vAlign w:val="top"/>
          </w:tcPr>
          <w:p w14:paraId="0D5A2F05">
            <w:pPr>
              <w:rPr>
                <w:rFonts w:ascii="Arial"/>
                <w:sz w:val="21"/>
              </w:rPr>
            </w:pPr>
          </w:p>
        </w:tc>
      </w:tr>
      <w:tr w14:paraId="26F2B2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9" w:hRule="atLeast"/>
        </w:trPr>
        <w:tc>
          <w:tcPr>
            <w:tcW w:w="2173" w:type="dxa"/>
            <w:vAlign w:val="top"/>
          </w:tcPr>
          <w:p w14:paraId="47E0BE5C">
            <w:pPr>
              <w:pStyle w:val="6"/>
              <w:spacing w:before="133" w:line="239" w:lineRule="auto"/>
              <w:ind w:left="84"/>
            </w:pPr>
            <w:r>
              <w:rPr>
                <w:spacing w:val="-2"/>
              </w:rPr>
              <w:t>4:</w:t>
            </w:r>
          </w:p>
        </w:tc>
        <w:tc>
          <w:tcPr>
            <w:tcW w:w="1649" w:type="dxa"/>
            <w:vAlign w:val="top"/>
          </w:tcPr>
          <w:p w14:paraId="7CD28C21">
            <w:pPr>
              <w:rPr>
                <w:rFonts w:ascii="Arial"/>
                <w:sz w:val="21"/>
              </w:rPr>
            </w:pPr>
          </w:p>
        </w:tc>
        <w:tc>
          <w:tcPr>
            <w:tcW w:w="1659" w:type="dxa"/>
            <w:vAlign w:val="top"/>
          </w:tcPr>
          <w:p w14:paraId="4D1E9C59">
            <w:pPr>
              <w:rPr>
                <w:rFonts w:ascii="Arial"/>
                <w:sz w:val="21"/>
              </w:rPr>
            </w:pPr>
          </w:p>
        </w:tc>
        <w:tc>
          <w:tcPr>
            <w:tcW w:w="1649" w:type="dxa"/>
            <w:vAlign w:val="top"/>
          </w:tcPr>
          <w:p w14:paraId="42A09565">
            <w:pPr>
              <w:rPr>
                <w:rFonts w:ascii="Arial"/>
                <w:sz w:val="21"/>
              </w:rPr>
            </w:pPr>
          </w:p>
        </w:tc>
        <w:tc>
          <w:tcPr>
            <w:tcW w:w="1658" w:type="dxa"/>
            <w:vAlign w:val="top"/>
          </w:tcPr>
          <w:p w14:paraId="3BD065B8">
            <w:pPr>
              <w:rPr>
                <w:rFonts w:ascii="Arial"/>
                <w:sz w:val="21"/>
              </w:rPr>
            </w:pPr>
          </w:p>
        </w:tc>
        <w:tc>
          <w:tcPr>
            <w:tcW w:w="1649" w:type="dxa"/>
            <w:vAlign w:val="top"/>
          </w:tcPr>
          <w:p w14:paraId="68F5F46A">
            <w:pPr>
              <w:rPr>
                <w:rFonts w:ascii="Arial"/>
                <w:sz w:val="21"/>
              </w:rPr>
            </w:pPr>
          </w:p>
        </w:tc>
        <w:tc>
          <w:tcPr>
            <w:tcW w:w="1659" w:type="dxa"/>
            <w:vAlign w:val="top"/>
          </w:tcPr>
          <w:p w14:paraId="0CC9B859">
            <w:pPr>
              <w:rPr>
                <w:rFonts w:ascii="Arial"/>
                <w:sz w:val="21"/>
              </w:rPr>
            </w:pPr>
          </w:p>
        </w:tc>
        <w:tc>
          <w:tcPr>
            <w:tcW w:w="1654" w:type="dxa"/>
            <w:vAlign w:val="top"/>
          </w:tcPr>
          <w:p w14:paraId="3CB3E128">
            <w:pPr>
              <w:rPr>
                <w:rFonts w:ascii="Arial"/>
                <w:sz w:val="21"/>
              </w:rPr>
            </w:pPr>
          </w:p>
        </w:tc>
      </w:tr>
      <w:tr w14:paraId="0E5534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2173" w:type="dxa"/>
            <w:vAlign w:val="top"/>
          </w:tcPr>
          <w:p w14:paraId="476F7709">
            <w:pPr>
              <w:pStyle w:val="6"/>
              <w:spacing w:before="154" w:line="239" w:lineRule="auto"/>
              <w:ind w:left="84"/>
            </w:pPr>
            <w:r>
              <w:rPr>
                <w:spacing w:val="-4"/>
              </w:rPr>
              <w:t>5:</w:t>
            </w:r>
          </w:p>
        </w:tc>
        <w:tc>
          <w:tcPr>
            <w:tcW w:w="1649" w:type="dxa"/>
            <w:vAlign w:val="top"/>
          </w:tcPr>
          <w:p w14:paraId="76D57A1B">
            <w:pPr>
              <w:rPr>
                <w:rFonts w:ascii="Arial"/>
                <w:sz w:val="21"/>
              </w:rPr>
            </w:pPr>
          </w:p>
        </w:tc>
        <w:tc>
          <w:tcPr>
            <w:tcW w:w="1659" w:type="dxa"/>
            <w:vAlign w:val="top"/>
          </w:tcPr>
          <w:p w14:paraId="395D80A7">
            <w:pPr>
              <w:rPr>
                <w:rFonts w:ascii="Arial"/>
                <w:sz w:val="21"/>
              </w:rPr>
            </w:pPr>
          </w:p>
        </w:tc>
        <w:tc>
          <w:tcPr>
            <w:tcW w:w="1649" w:type="dxa"/>
            <w:vAlign w:val="top"/>
          </w:tcPr>
          <w:p w14:paraId="1EB16D3E">
            <w:pPr>
              <w:rPr>
                <w:rFonts w:ascii="Arial"/>
                <w:sz w:val="21"/>
              </w:rPr>
            </w:pPr>
          </w:p>
        </w:tc>
        <w:tc>
          <w:tcPr>
            <w:tcW w:w="1658" w:type="dxa"/>
            <w:vAlign w:val="top"/>
          </w:tcPr>
          <w:p w14:paraId="0BFAE5CB">
            <w:pPr>
              <w:rPr>
                <w:rFonts w:ascii="Arial"/>
                <w:sz w:val="21"/>
              </w:rPr>
            </w:pPr>
          </w:p>
        </w:tc>
        <w:tc>
          <w:tcPr>
            <w:tcW w:w="1649" w:type="dxa"/>
            <w:vAlign w:val="top"/>
          </w:tcPr>
          <w:p w14:paraId="4E7E6748">
            <w:pPr>
              <w:rPr>
                <w:rFonts w:ascii="Arial"/>
                <w:sz w:val="21"/>
              </w:rPr>
            </w:pPr>
          </w:p>
        </w:tc>
        <w:tc>
          <w:tcPr>
            <w:tcW w:w="1659" w:type="dxa"/>
            <w:vAlign w:val="top"/>
          </w:tcPr>
          <w:p w14:paraId="5695790E">
            <w:pPr>
              <w:rPr>
                <w:rFonts w:ascii="Arial"/>
                <w:sz w:val="21"/>
              </w:rPr>
            </w:pPr>
          </w:p>
        </w:tc>
        <w:tc>
          <w:tcPr>
            <w:tcW w:w="1654" w:type="dxa"/>
            <w:vAlign w:val="top"/>
          </w:tcPr>
          <w:p w14:paraId="6DDDCA9A">
            <w:pPr>
              <w:rPr>
                <w:rFonts w:ascii="Arial"/>
                <w:sz w:val="21"/>
              </w:rPr>
            </w:pPr>
          </w:p>
        </w:tc>
      </w:tr>
      <w:tr w14:paraId="6B80E5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2173" w:type="dxa"/>
            <w:vAlign w:val="top"/>
          </w:tcPr>
          <w:p w14:paraId="796AB7D6">
            <w:pPr>
              <w:pStyle w:val="6"/>
              <w:spacing w:before="145" w:line="239" w:lineRule="auto"/>
              <w:ind w:left="84"/>
            </w:pPr>
            <w:r>
              <w:rPr>
                <w:spacing w:val="-3"/>
              </w:rPr>
              <w:t>6:</w:t>
            </w:r>
          </w:p>
        </w:tc>
        <w:tc>
          <w:tcPr>
            <w:tcW w:w="1649" w:type="dxa"/>
            <w:vAlign w:val="top"/>
          </w:tcPr>
          <w:p w14:paraId="61B27D3B">
            <w:pPr>
              <w:rPr>
                <w:rFonts w:ascii="Arial"/>
                <w:sz w:val="21"/>
              </w:rPr>
            </w:pPr>
          </w:p>
        </w:tc>
        <w:tc>
          <w:tcPr>
            <w:tcW w:w="1659" w:type="dxa"/>
            <w:vAlign w:val="top"/>
          </w:tcPr>
          <w:p w14:paraId="1AD4324B">
            <w:pPr>
              <w:rPr>
                <w:rFonts w:ascii="Arial"/>
                <w:sz w:val="21"/>
              </w:rPr>
            </w:pPr>
          </w:p>
        </w:tc>
        <w:tc>
          <w:tcPr>
            <w:tcW w:w="1649" w:type="dxa"/>
            <w:vAlign w:val="top"/>
          </w:tcPr>
          <w:p w14:paraId="7B0D5C3E">
            <w:pPr>
              <w:rPr>
                <w:rFonts w:ascii="Arial"/>
                <w:sz w:val="21"/>
              </w:rPr>
            </w:pPr>
          </w:p>
        </w:tc>
        <w:tc>
          <w:tcPr>
            <w:tcW w:w="1658" w:type="dxa"/>
            <w:vAlign w:val="top"/>
          </w:tcPr>
          <w:p w14:paraId="55C3F649">
            <w:pPr>
              <w:rPr>
                <w:rFonts w:ascii="Arial"/>
                <w:sz w:val="21"/>
              </w:rPr>
            </w:pPr>
          </w:p>
        </w:tc>
        <w:tc>
          <w:tcPr>
            <w:tcW w:w="1649" w:type="dxa"/>
            <w:vAlign w:val="top"/>
          </w:tcPr>
          <w:p w14:paraId="157795EB">
            <w:pPr>
              <w:rPr>
                <w:rFonts w:ascii="Arial"/>
                <w:sz w:val="21"/>
              </w:rPr>
            </w:pPr>
          </w:p>
        </w:tc>
        <w:tc>
          <w:tcPr>
            <w:tcW w:w="1659" w:type="dxa"/>
            <w:vAlign w:val="top"/>
          </w:tcPr>
          <w:p w14:paraId="1F575DD4">
            <w:pPr>
              <w:rPr>
                <w:rFonts w:ascii="Arial"/>
                <w:sz w:val="21"/>
              </w:rPr>
            </w:pPr>
          </w:p>
        </w:tc>
        <w:tc>
          <w:tcPr>
            <w:tcW w:w="1654" w:type="dxa"/>
            <w:vAlign w:val="top"/>
          </w:tcPr>
          <w:p w14:paraId="5138FF0E">
            <w:pPr>
              <w:rPr>
                <w:rFonts w:ascii="Arial"/>
                <w:sz w:val="21"/>
              </w:rPr>
            </w:pPr>
          </w:p>
        </w:tc>
      </w:tr>
      <w:tr w14:paraId="52DCB7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2173" w:type="dxa"/>
            <w:vAlign w:val="top"/>
          </w:tcPr>
          <w:p w14:paraId="4536643A">
            <w:pPr>
              <w:pStyle w:val="6"/>
              <w:spacing w:before="145" w:line="239" w:lineRule="auto"/>
              <w:ind w:left="84"/>
            </w:pPr>
            <w:r>
              <w:rPr>
                <w:spacing w:val="-4"/>
              </w:rPr>
              <w:t>7:</w:t>
            </w:r>
          </w:p>
        </w:tc>
        <w:tc>
          <w:tcPr>
            <w:tcW w:w="1649" w:type="dxa"/>
            <w:vAlign w:val="top"/>
          </w:tcPr>
          <w:p w14:paraId="5BEE7545">
            <w:pPr>
              <w:rPr>
                <w:rFonts w:ascii="Arial"/>
                <w:sz w:val="21"/>
              </w:rPr>
            </w:pPr>
          </w:p>
        </w:tc>
        <w:tc>
          <w:tcPr>
            <w:tcW w:w="1659" w:type="dxa"/>
            <w:vAlign w:val="top"/>
          </w:tcPr>
          <w:p w14:paraId="5B726BD7">
            <w:pPr>
              <w:rPr>
                <w:rFonts w:ascii="Arial"/>
                <w:sz w:val="21"/>
              </w:rPr>
            </w:pPr>
          </w:p>
        </w:tc>
        <w:tc>
          <w:tcPr>
            <w:tcW w:w="1649" w:type="dxa"/>
            <w:vAlign w:val="top"/>
          </w:tcPr>
          <w:p w14:paraId="6B42B07F">
            <w:pPr>
              <w:rPr>
                <w:rFonts w:ascii="Arial"/>
                <w:sz w:val="21"/>
              </w:rPr>
            </w:pPr>
          </w:p>
        </w:tc>
        <w:tc>
          <w:tcPr>
            <w:tcW w:w="1658" w:type="dxa"/>
            <w:vAlign w:val="top"/>
          </w:tcPr>
          <w:p w14:paraId="4BBA5CEE">
            <w:pPr>
              <w:rPr>
                <w:rFonts w:ascii="Arial"/>
                <w:sz w:val="21"/>
              </w:rPr>
            </w:pPr>
          </w:p>
        </w:tc>
        <w:tc>
          <w:tcPr>
            <w:tcW w:w="1649" w:type="dxa"/>
            <w:vAlign w:val="top"/>
          </w:tcPr>
          <w:p w14:paraId="14B0759A">
            <w:pPr>
              <w:rPr>
                <w:rFonts w:ascii="Arial"/>
                <w:sz w:val="21"/>
              </w:rPr>
            </w:pPr>
          </w:p>
        </w:tc>
        <w:tc>
          <w:tcPr>
            <w:tcW w:w="1659" w:type="dxa"/>
            <w:vAlign w:val="top"/>
          </w:tcPr>
          <w:p w14:paraId="70D4A2EB">
            <w:pPr>
              <w:rPr>
                <w:rFonts w:ascii="Arial"/>
                <w:sz w:val="21"/>
              </w:rPr>
            </w:pPr>
          </w:p>
        </w:tc>
        <w:tc>
          <w:tcPr>
            <w:tcW w:w="1654" w:type="dxa"/>
            <w:vAlign w:val="top"/>
          </w:tcPr>
          <w:p w14:paraId="7AACE7F6">
            <w:pPr>
              <w:rPr>
                <w:rFonts w:ascii="Arial"/>
                <w:sz w:val="21"/>
              </w:rPr>
            </w:pPr>
          </w:p>
        </w:tc>
      </w:tr>
      <w:tr w14:paraId="2E8AAA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2173" w:type="dxa"/>
            <w:vAlign w:val="top"/>
          </w:tcPr>
          <w:p w14:paraId="6F685D77">
            <w:pPr>
              <w:pStyle w:val="6"/>
              <w:spacing w:before="136" w:line="220" w:lineRule="auto"/>
              <w:ind w:left="344"/>
            </w:pPr>
            <w:r>
              <w:rPr>
                <w:spacing w:val="-2"/>
              </w:rPr>
              <w:t>各评委评分合计</w:t>
            </w:r>
          </w:p>
        </w:tc>
        <w:tc>
          <w:tcPr>
            <w:tcW w:w="1649" w:type="dxa"/>
            <w:vAlign w:val="top"/>
          </w:tcPr>
          <w:p w14:paraId="363BC2D0">
            <w:pPr>
              <w:rPr>
                <w:rFonts w:ascii="Arial"/>
                <w:sz w:val="21"/>
              </w:rPr>
            </w:pPr>
          </w:p>
        </w:tc>
        <w:tc>
          <w:tcPr>
            <w:tcW w:w="1659" w:type="dxa"/>
            <w:vAlign w:val="top"/>
          </w:tcPr>
          <w:p w14:paraId="528190EF">
            <w:pPr>
              <w:rPr>
                <w:rFonts w:ascii="Arial"/>
                <w:sz w:val="21"/>
              </w:rPr>
            </w:pPr>
          </w:p>
        </w:tc>
        <w:tc>
          <w:tcPr>
            <w:tcW w:w="1649" w:type="dxa"/>
            <w:vAlign w:val="top"/>
          </w:tcPr>
          <w:p w14:paraId="714A3D06">
            <w:pPr>
              <w:rPr>
                <w:rFonts w:ascii="Arial"/>
                <w:sz w:val="21"/>
              </w:rPr>
            </w:pPr>
          </w:p>
        </w:tc>
        <w:tc>
          <w:tcPr>
            <w:tcW w:w="1658" w:type="dxa"/>
            <w:vAlign w:val="top"/>
          </w:tcPr>
          <w:p w14:paraId="2DC70708">
            <w:pPr>
              <w:rPr>
                <w:rFonts w:ascii="Arial"/>
                <w:sz w:val="21"/>
              </w:rPr>
            </w:pPr>
          </w:p>
        </w:tc>
        <w:tc>
          <w:tcPr>
            <w:tcW w:w="1649" w:type="dxa"/>
            <w:vAlign w:val="top"/>
          </w:tcPr>
          <w:p w14:paraId="4A69F8E3">
            <w:pPr>
              <w:rPr>
                <w:rFonts w:ascii="Arial"/>
                <w:sz w:val="21"/>
              </w:rPr>
            </w:pPr>
          </w:p>
        </w:tc>
        <w:tc>
          <w:tcPr>
            <w:tcW w:w="1659" w:type="dxa"/>
            <w:vAlign w:val="top"/>
          </w:tcPr>
          <w:p w14:paraId="304CDCC9">
            <w:pPr>
              <w:rPr>
                <w:rFonts w:ascii="Arial"/>
                <w:sz w:val="21"/>
              </w:rPr>
            </w:pPr>
          </w:p>
        </w:tc>
        <w:tc>
          <w:tcPr>
            <w:tcW w:w="1654" w:type="dxa"/>
            <w:vAlign w:val="top"/>
          </w:tcPr>
          <w:p w14:paraId="11967442">
            <w:pPr>
              <w:rPr>
                <w:rFonts w:ascii="Arial"/>
                <w:sz w:val="21"/>
              </w:rPr>
            </w:pPr>
          </w:p>
        </w:tc>
      </w:tr>
      <w:tr w14:paraId="2D35D0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2173" w:type="dxa"/>
            <w:vAlign w:val="top"/>
          </w:tcPr>
          <w:p w14:paraId="27E39DD0">
            <w:pPr>
              <w:pStyle w:val="6"/>
              <w:spacing w:before="136" w:line="219" w:lineRule="auto"/>
              <w:ind w:left="264"/>
            </w:pPr>
            <w:r>
              <w:rPr>
                <w:spacing w:val="-2"/>
              </w:rPr>
              <w:t>各评委评分平均值</w:t>
            </w:r>
          </w:p>
        </w:tc>
        <w:tc>
          <w:tcPr>
            <w:tcW w:w="1649" w:type="dxa"/>
            <w:vAlign w:val="top"/>
          </w:tcPr>
          <w:p w14:paraId="1C0890E0">
            <w:pPr>
              <w:rPr>
                <w:rFonts w:ascii="Arial"/>
                <w:sz w:val="21"/>
              </w:rPr>
            </w:pPr>
          </w:p>
        </w:tc>
        <w:tc>
          <w:tcPr>
            <w:tcW w:w="1659" w:type="dxa"/>
            <w:vAlign w:val="top"/>
          </w:tcPr>
          <w:p w14:paraId="6661428E">
            <w:pPr>
              <w:rPr>
                <w:rFonts w:ascii="Arial"/>
                <w:sz w:val="21"/>
              </w:rPr>
            </w:pPr>
          </w:p>
        </w:tc>
        <w:tc>
          <w:tcPr>
            <w:tcW w:w="1649" w:type="dxa"/>
            <w:vAlign w:val="top"/>
          </w:tcPr>
          <w:p w14:paraId="5E0406A3">
            <w:pPr>
              <w:rPr>
                <w:rFonts w:ascii="Arial"/>
                <w:sz w:val="21"/>
              </w:rPr>
            </w:pPr>
          </w:p>
        </w:tc>
        <w:tc>
          <w:tcPr>
            <w:tcW w:w="1658" w:type="dxa"/>
            <w:vAlign w:val="top"/>
          </w:tcPr>
          <w:p w14:paraId="0614F368">
            <w:pPr>
              <w:rPr>
                <w:rFonts w:ascii="Arial"/>
                <w:sz w:val="21"/>
              </w:rPr>
            </w:pPr>
          </w:p>
        </w:tc>
        <w:tc>
          <w:tcPr>
            <w:tcW w:w="1649" w:type="dxa"/>
            <w:vAlign w:val="top"/>
          </w:tcPr>
          <w:p w14:paraId="702B6D58">
            <w:pPr>
              <w:rPr>
                <w:rFonts w:ascii="Arial"/>
                <w:sz w:val="21"/>
              </w:rPr>
            </w:pPr>
          </w:p>
        </w:tc>
        <w:tc>
          <w:tcPr>
            <w:tcW w:w="1659" w:type="dxa"/>
            <w:vAlign w:val="top"/>
          </w:tcPr>
          <w:p w14:paraId="689F8686">
            <w:pPr>
              <w:rPr>
                <w:rFonts w:ascii="Arial"/>
                <w:sz w:val="21"/>
              </w:rPr>
            </w:pPr>
          </w:p>
        </w:tc>
        <w:tc>
          <w:tcPr>
            <w:tcW w:w="1654" w:type="dxa"/>
            <w:vAlign w:val="top"/>
          </w:tcPr>
          <w:p w14:paraId="51B3B329">
            <w:pPr>
              <w:rPr>
                <w:rFonts w:ascii="Arial"/>
                <w:sz w:val="21"/>
              </w:rPr>
            </w:pPr>
          </w:p>
        </w:tc>
      </w:tr>
      <w:tr w14:paraId="56FCAD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2173" w:type="dxa"/>
            <w:vAlign w:val="top"/>
          </w:tcPr>
          <w:p w14:paraId="35555B5D">
            <w:pPr>
              <w:pStyle w:val="6"/>
              <w:spacing w:before="127" w:line="219" w:lineRule="auto"/>
              <w:ind w:left="84"/>
            </w:pPr>
            <w:r>
              <w:rPr>
                <w:spacing w:val="1"/>
              </w:rPr>
              <w:t>投标人最终排名次序</w:t>
            </w:r>
          </w:p>
        </w:tc>
        <w:tc>
          <w:tcPr>
            <w:tcW w:w="1649" w:type="dxa"/>
            <w:vAlign w:val="top"/>
          </w:tcPr>
          <w:p w14:paraId="652DC087">
            <w:pPr>
              <w:rPr>
                <w:rFonts w:ascii="Arial"/>
                <w:sz w:val="21"/>
              </w:rPr>
            </w:pPr>
          </w:p>
        </w:tc>
        <w:tc>
          <w:tcPr>
            <w:tcW w:w="1659" w:type="dxa"/>
            <w:vAlign w:val="top"/>
          </w:tcPr>
          <w:p w14:paraId="67E58508">
            <w:pPr>
              <w:rPr>
                <w:rFonts w:ascii="Arial"/>
                <w:sz w:val="21"/>
              </w:rPr>
            </w:pPr>
          </w:p>
        </w:tc>
        <w:tc>
          <w:tcPr>
            <w:tcW w:w="1649" w:type="dxa"/>
            <w:vAlign w:val="top"/>
          </w:tcPr>
          <w:p w14:paraId="7A10C79A">
            <w:pPr>
              <w:rPr>
                <w:rFonts w:ascii="Arial"/>
                <w:sz w:val="21"/>
              </w:rPr>
            </w:pPr>
          </w:p>
        </w:tc>
        <w:tc>
          <w:tcPr>
            <w:tcW w:w="1658" w:type="dxa"/>
            <w:vAlign w:val="top"/>
          </w:tcPr>
          <w:p w14:paraId="2524BC5A">
            <w:pPr>
              <w:rPr>
                <w:rFonts w:ascii="Arial"/>
                <w:sz w:val="21"/>
              </w:rPr>
            </w:pPr>
          </w:p>
        </w:tc>
        <w:tc>
          <w:tcPr>
            <w:tcW w:w="1649" w:type="dxa"/>
            <w:vAlign w:val="top"/>
          </w:tcPr>
          <w:p w14:paraId="02E68A88">
            <w:pPr>
              <w:rPr>
                <w:rFonts w:ascii="Arial"/>
                <w:sz w:val="21"/>
              </w:rPr>
            </w:pPr>
          </w:p>
        </w:tc>
        <w:tc>
          <w:tcPr>
            <w:tcW w:w="1659" w:type="dxa"/>
            <w:vAlign w:val="top"/>
          </w:tcPr>
          <w:p w14:paraId="7B2FEB46">
            <w:pPr>
              <w:rPr>
                <w:rFonts w:ascii="Arial"/>
                <w:sz w:val="21"/>
              </w:rPr>
            </w:pPr>
          </w:p>
        </w:tc>
        <w:tc>
          <w:tcPr>
            <w:tcW w:w="1654" w:type="dxa"/>
            <w:vAlign w:val="top"/>
          </w:tcPr>
          <w:p w14:paraId="6412E0F5">
            <w:pPr>
              <w:rPr>
                <w:rFonts w:ascii="Arial"/>
                <w:sz w:val="21"/>
              </w:rPr>
            </w:pPr>
          </w:p>
        </w:tc>
      </w:tr>
    </w:tbl>
    <w:p w14:paraId="108851E6">
      <w:pPr>
        <w:spacing w:line="251" w:lineRule="auto"/>
        <w:rPr>
          <w:rFonts w:ascii="Arial"/>
          <w:sz w:val="21"/>
        </w:rPr>
      </w:pPr>
    </w:p>
    <w:p w14:paraId="2D7776BA">
      <w:pPr>
        <w:pStyle w:val="2"/>
        <w:spacing w:before="66" w:line="232" w:lineRule="auto"/>
        <w:ind w:left="114"/>
        <w:rPr>
          <w:sz w:val="20"/>
          <w:szCs w:val="20"/>
        </w:rPr>
      </w:pPr>
      <w:r>
        <w:rPr>
          <w:spacing w:val="-2"/>
          <w:sz w:val="20"/>
          <w:szCs w:val="20"/>
        </w:rPr>
        <w:t xml:space="preserve">评标委员会全体成员签名：                   </w:t>
      </w:r>
      <w:r>
        <w:rPr>
          <w:spacing w:val="-3"/>
          <w:sz w:val="20"/>
          <w:szCs w:val="20"/>
        </w:rPr>
        <w:t xml:space="preserve">                                                                        </w:t>
      </w:r>
      <w:r>
        <w:rPr>
          <w:spacing w:val="-3"/>
          <w:sz w:val="16"/>
          <w:szCs w:val="16"/>
        </w:rPr>
        <w:t xml:space="preserve">日 期 ：      </w:t>
      </w:r>
      <w:r>
        <w:rPr>
          <w:spacing w:val="-3"/>
          <w:sz w:val="20"/>
          <w:szCs w:val="20"/>
        </w:rPr>
        <w:t>年    月   日</w:t>
      </w:r>
    </w:p>
    <w:p w14:paraId="067DBFB9">
      <w:pPr>
        <w:pStyle w:val="2"/>
        <w:spacing w:before="292" w:line="219" w:lineRule="auto"/>
        <w:ind w:left="114"/>
        <w:rPr>
          <w:sz w:val="20"/>
          <w:szCs w:val="20"/>
        </w:rPr>
      </w:pPr>
      <w:r>
        <w:rPr>
          <w:spacing w:val="8"/>
          <w:sz w:val="20"/>
          <w:szCs w:val="20"/>
        </w:rPr>
        <w:t>备注：本表适用于办法一、二、三、四、五、六、七。</w:t>
      </w:r>
    </w:p>
    <w:p w14:paraId="4A45A34D">
      <w:pPr>
        <w:spacing w:line="219" w:lineRule="auto"/>
        <w:rPr>
          <w:sz w:val="20"/>
          <w:szCs w:val="20"/>
        </w:rPr>
        <w:sectPr>
          <w:footerReference r:id="rId91" w:type="default"/>
          <w:pgSz w:w="16840" w:h="11910"/>
          <w:pgMar w:top="1012" w:right="1514" w:bottom="971" w:left="1564" w:header="0" w:footer="827" w:gutter="0"/>
          <w:cols w:space="720" w:num="1"/>
        </w:sectPr>
      </w:pPr>
    </w:p>
    <w:p w14:paraId="25ED2167">
      <w:pPr>
        <w:spacing w:before="22" w:line="222" w:lineRule="auto"/>
        <w:ind w:left="5660"/>
        <w:outlineLvl w:val="2"/>
        <w:rPr>
          <w:rFonts w:ascii="黑体" w:hAnsi="黑体" w:eastAsia="黑体" w:cs="黑体"/>
          <w:sz w:val="36"/>
          <w:szCs w:val="36"/>
        </w:rPr>
      </w:pPr>
      <w:bookmarkStart w:id="229" w:name="bookmark168"/>
      <w:bookmarkEnd w:id="229"/>
      <w:bookmarkStart w:id="230" w:name="bookmark279"/>
      <w:bookmarkEnd w:id="230"/>
      <w:r>
        <w:rPr>
          <w:rFonts w:ascii="黑体" w:hAnsi="黑体" w:eastAsia="黑体" w:cs="黑体"/>
          <w:b/>
          <w:bCs/>
          <w:spacing w:val="-6"/>
          <w:sz w:val="36"/>
          <w:szCs w:val="36"/>
        </w:rPr>
        <w:t>评标结果汇总表</w:t>
      </w:r>
    </w:p>
    <w:p w14:paraId="39BBE1E0">
      <w:pPr>
        <w:pStyle w:val="2"/>
        <w:spacing w:before="266" w:line="231" w:lineRule="auto"/>
        <w:ind w:left="114"/>
        <w:rPr>
          <w:sz w:val="20"/>
          <w:szCs w:val="20"/>
        </w:rPr>
      </w:pPr>
      <w:r>
        <w:rPr>
          <w:spacing w:val="8"/>
          <w:position w:val="-3"/>
          <w:sz w:val="20"/>
          <w:szCs w:val="20"/>
        </w:rPr>
        <w:t>工程名称：</w:t>
      </w:r>
      <w:r>
        <w:rPr>
          <w:spacing w:val="-20"/>
          <w:position w:val="-3"/>
          <w:sz w:val="20"/>
          <w:szCs w:val="20"/>
        </w:rPr>
        <w:t xml:space="preserve"> </w:t>
      </w:r>
      <w:r>
        <w:rPr>
          <w:spacing w:val="5"/>
          <w:position w:val="-3"/>
          <w:sz w:val="20"/>
          <w:szCs w:val="20"/>
          <w:u w:val="single" w:color="auto"/>
        </w:rPr>
        <w:t xml:space="preserve">               </w:t>
      </w:r>
      <w:r>
        <w:rPr>
          <w:spacing w:val="-95"/>
          <w:position w:val="-3"/>
          <w:sz w:val="20"/>
          <w:szCs w:val="20"/>
        </w:rPr>
        <w:t xml:space="preserve"> </w:t>
      </w:r>
      <w:r>
        <w:rPr>
          <w:spacing w:val="8"/>
          <w:sz w:val="19"/>
          <w:szCs w:val="19"/>
        </w:rPr>
        <w:t>(项目名称)</w:t>
      </w:r>
      <w:r>
        <w:rPr>
          <w:spacing w:val="13"/>
          <w:sz w:val="19"/>
          <w:szCs w:val="19"/>
          <w:u w:val="single" w:color="auto"/>
        </w:rPr>
        <w:t xml:space="preserve">       </w:t>
      </w:r>
      <w:r>
        <w:rPr>
          <w:spacing w:val="-33"/>
          <w:sz w:val="19"/>
          <w:szCs w:val="19"/>
        </w:rPr>
        <w:t xml:space="preserve"> </w:t>
      </w:r>
      <w:r>
        <w:rPr>
          <w:spacing w:val="8"/>
          <w:sz w:val="20"/>
          <w:szCs w:val="20"/>
        </w:rPr>
        <w:t>(标段名称)                                                 单位</w:t>
      </w:r>
      <w:r>
        <w:rPr>
          <w:spacing w:val="7"/>
          <w:sz w:val="20"/>
          <w:szCs w:val="20"/>
        </w:rPr>
        <w:t>：人民币元</w:t>
      </w:r>
    </w:p>
    <w:p w14:paraId="0396DDBF">
      <w:pPr>
        <w:spacing w:line="197" w:lineRule="exact"/>
      </w:pPr>
    </w:p>
    <w:tbl>
      <w:tblPr>
        <w:tblStyle w:val="5"/>
        <w:tblW w:w="1375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163"/>
        <w:gridCol w:w="1159"/>
        <w:gridCol w:w="1190"/>
        <w:gridCol w:w="1179"/>
        <w:gridCol w:w="1189"/>
        <w:gridCol w:w="1189"/>
        <w:gridCol w:w="1159"/>
        <w:gridCol w:w="1179"/>
        <w:gridCol w:w="1189"/>
        <w:gridCol w:w="1154"/>
      </w:tblGrid>
      <w:tr w14:paraId="3CA6F6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trPr>
        <w:tc>
          <w:tcPr>
            <w:tcW w:w="3163" w:type="dxa"/>
            <w:vMerge w:val="restart"/>
            <w:tcBorders>
              <w:bottom w:val="nil"/>
            </w:tcBorders>
            <w:vAlign w:val="top"/>
          </w:tcPr>
          <w:p w14:paraId="2F5D66C0">
            <w:pPr>
              <w:spacing w:line="304" w:lineRule="auto"/>
              <w:rPr>
                <w:rFonts w:ascii="Arial"/>
                <w:sz w:val="21"/>
              </w:rPr>
            </w:pPr>
          </w:p>
          <w:p w14:paraId="7E38BF47">
            <w:pPr>
              <w:pStyle w:val="6"/>
              <w:spacing w:before="68" w:line="220" w:lineRule="auto"/>
              <w:ind w:left="1364"/>
            </w:pPr>
            <w:r>
              <w:rPr>
                <w:spacing w:val="-6"/>
              </w:rPr>
              <w:t>项 目</w:t>
            </w:r>
          </w:p>
        </w:tc>
        <w:tc>
          <w:tcPr>
            <w:tcW w:w="10587" w:type="dxa"/>
            <w:gridSpan w:val="9"/>
            <w:vAlign w:val="top"/>
          </w:tcPr>
          <w:p w14:paraId="2AB5E5BC">
            <w:pPr>
              <w:pStyle w:val="6"/>
              <w:spacing w:before="144" w:line="220" w:lineRule="auto"/>
              <w:ind w:left="4811"/>
            </w:pPr>
            <w:r>
              <w:rPr>
                <w:spacing w:val="2"/>
              </w:rPr>
              <w:t>投标人名称</w:t>
            </w:r>
          </w:p>
        </w:tc>
      </w:tr>
      <w:tr w14:paraId="37A04A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3163" w:type="dxa"/>
            <w:vMerge w:val="continue"/>
            <w:tcBorders>
              <w:top w:val="nil"/>
            </w:tcBorders>
            <w:vAlign w:val="top"/>
          </w:tcPr>
          <w:p w14:paraId="09633F8C">
            <w:pPr>
              <w:rPr>
                <w:rFonts w:ascii="Arial"/>
                <w:sz w:val="21"/>
              </w:rPr>
            </w:pPr>
          </w:p>
        </w:tc>
        <w:tc>
          <w:tcPr>
            <w:tcW w:w="1159" w:type="dxa"/>
            <w:vAlign w:val="top"/>
          </w:tcPr>
          <w:p w14:paraId="7B6070AB">
            <w:pPr>
              <w:rPr>
                <w:rFonts w:ascii="Arial"/>
                <w:sz w:val="21"/>
              </w:rPr>
            </w:pPr>
          </w:p>
        </w:tc>
        <w:tc>
          <w:tcPr>
            <w:tcW w:w="1190" w:type="dxa"/>
            <w:vAlign w:val="top"/>
          </w:tcPr>
          <w:p w14:paraId="564EF368">
            <w:pPr>
              <w:rPr>
                <w:rFonts w:ascii="Arial"/>
                <w:sz w:val="21"/>
              </w:rPr>
            </w:pPr>
          </w:p>
        </w:tc>
        <w:tc>
          <w:tcPr>
            <w:tcW w:w="1179" w:type="dxa"/>
            <w:vAlign w:val="top"/>
          </w:tcPr>
          <w:p w14:paraId="6E14BB20">
            <w:pPr>
              <w:rPr>
                <w:rFonts w:ascii="Arial"/>
                <w:sz w:val="21"/>
              </w:rPr>
            </w:pPr>
          </w:p>
        </w:tc>
        <w:tc>
          <w:tcPr>
            <w:tcW w:w="1189" w:type="dxa"/>
            <w:vAlign w:val="top"/>
          </w:tcPr>
          <w:p w14:paraId="433BAE90">
            <w:pPr>
              <w:rPr>
                <w:rFonts w:ascii="Arial"/>
                <w:sz w:val="21"/>
              </w:rPr>
            </w:pPr>
          </w:p>
        </w:tc>
        <w:tc>
          <w:tcPr>
            <w:tcW w:w="1189" w:type="dxa"/>
            <w:vAlign w:val="top"/>
          </w:tcPr>
          <w:p w14:paraId="44011805">
            <w:pPr>
              <w:rPr>
                <w:rFonts w:ascii="Arial"/>
                <w:sz w:val="21"/>
              </w:rPr>
            </w:pPr>
          </w:p>
        </w:tc>
        <w:tc>
          <w:tcPr>
            <w:tcW w:w="1159" w:type="dxa"/>
            <w:vAlign w:val="top"/>
          </w:tcPr>
          <w:p w14:paraId="7BA5B389">
            <w:pPr>
              <w:rPr>
                <w:rFonts w:ascii="Arial"/>
                <w:sz w:val="21"/>
              </w:rPr>
            </w:pPr>
          </w:p>
        </w:tc>
        <w:tc>
          <w:tcPr>
            <w:tcW w:w="1179" w:type="dxa"/>
            <w:vAlign w:val="top"/>
          </w:tcPr>
          <w:p w14:paraId="04E624F3">
            <w:pPr>
              <w:rPr>
                <w:rFonts w:ascii="Arial"/>
                <w:sz w:val="21"/>
              </w:rPr>
            </w:pPr>
          </w:p>
        </w:tc>
        <w:tc>
          <w:tcPr>
            <w:tcW w:w="1189" w:type="dxa"/>
            <w:vAlign w:val="top"/>
          </w:tcPr>
          <w:p w14:paraId="1D5D6510">
            <w:pPr>
              <w:rPr>
                <w:rFonts w:ascii="Arial"/>
                <w:sz w:val="21"/>
              </w:rPr>
            </w:pPr>
          </w:p>
        </w:tc>
        <w:tc>
          <w:tcPr>
            <w:tcW w:w="1154" w:type="dxa"/>
            <w:vAlign w:val="top"/>
          </w:tcPr>
          <w:p w14:paraId="13F71F06">
            <w:pPr>
              <w:rPr>
                <w:rFonts w:ascii="Arial"/>
                <w:sz w:val="21"/>
              </w:rPr>
            </w:pPr>
          </w:p>
        </w:tc>
      </w:tr>
      <w:tr w14:paraId="17C298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3163" w:type="dxa"/>
            <w:vAlign w:val="top"/>
          </w:tcPr>
          <w:p w14:paraId="1FABBC55">
            <w:pPr>
              <w:pStyle w:val="6"/>
              <w:spacing w:before="128" w:line="218" w:lineRule="auto"/>
              <w:ind w:left="1154"/>
            </w:pPr>
            <w:r>
              <w:rPr>
                <w:spacing w:val="-3"/>
              </w:rPr>
              <w:t>投标报价</w:t>
            </w:r>
          </w:p>
        </w:tc>
        <w:tc>
          <w:tcPr>
            <w:tcW w:w="1159" w:type="dxa"/>
            <w:vAlign w:val="top"/>
          </w:tcPr>
          <w:p w14:paraId="5700D3FD">
            <w:pPr>
              <w:rPr>
                <w:rFonts w:ascii="Arial"/>
                <w:sz w:val="21"/>
              </w:rPr>
            </w:pPr>
          </w:p>
        </w:tc>
        <w:tc>
          <w:tcPr>
            <w:tcW w:w="1190" w:type="dxa"/>
            <w:vAlign w:val="top"/>
          </w:tcPr>
          <w:p w14:paraId="7BB9C91B">
            <w:pPr>
              <w:rPr>
                <w:rFonts w:ascii="Arial"/>
                <w:sz w:val="21"/>
              </w:rPr>
            </w:pPr>
          </w:p>
        </w:tc>
        <w:tc>
          <w:tcPr>
            <w:tcW w:w="1179" w:type="dxa"/>
            <w:vAlign w:val="top"/>
          </w:tcPr>
          <w:p w14:paraId="3355DDDB">
            <w:pPr>
              <w:rPr>
                <w:rFonts w:ascii="Arial"/>
                <w:sz w:val="21"/>
              </w:rPr>
            </w:pPr>
          </w:p>
        </w:tc>
        <w:tc>
          <w:tcPr>
            <w:tcW w:w="1189" w:type="dxa"/>
            <w:vAlign w:val="top"/>
          </w:tcPr>
          <w:p w14:paraId="0E7103DE">
            <w:pPr>
              <w:rPr>
                <w:rFonts w:ascii="Arial"/>
                <w:sz w:val="21"/>
              </w:rPr>
            </w:pPr>
          </w:p>
        </w:tc>
        <w:tc>
          <w:tcPr>
            <w:tcW w:w="1189" w:type="dxa"/>
            <w:vAlign w:val="top"/>
          </w:tcPr>
          <w:p w14:paraId="6986337C">
            <w:pPr>
              <w:rPr>
                <w:rFonts w:ascii="Arial"/>
                <w:sz w:val="21"/>
              </w:rPr>
            </w:pPr>
          </w:p>
        </w:tc>
        <w:tc>
          <w:tcPr>
            <w:tcW w:w="1159" w:type="dxa"/>
            <w:vAlign w:val="top"/>
          </w:tcPr>
          <w:p w14:paraId="09576164">
            <w:pPr>
              <w:rPr>
                <w:rFonts w:ascii="Arial"/>
                <w:sz w:val="21"/>
              </w:rPr>
            </w:pPr>
          </w:p>
        </w:tc>
        <w:tc>
          <w:tcPr>
            <w:tcW w:w="1179" w:type="dxa"/>
            <w:vAlign w:val="top"/>
          </w:tcPr>
          <w:p w14:paraId="72987585">
            <w:pPr>
              <w:rPr>
                <w:rFonts w:ascii="Arial"/>
                <w:sz w:val="21"/>
              </w:rPr>
            </w:pPr>
          </w:p>
        </w:tc>
        <w:tc>
          <w:tcPr>
            <w:tcW w:w="1189" w:type="dxa"/>
            <w:vAlign w:val="top"/>
          </w:tcPr>
          <w:p w14:paraId="0B51E24D">
            <w:pPr>
              <w:rPr>
                <w:rFonts w:ascii="Arial"/>
                <w:sz w:val="21"/>
              </w:rPr>
            </w:pPr>
          </w:p>
        </w:tc>
        <w:tc>
          <w:tcPr>
            <w:tcW w:w="1154" w:type="dxa"/>
            <w:vAlign w:val="top"/>
          </w:tcPr>
          <w:p w14:paraId="2D06EF52">
            <w:pPr>
              <w:rPr>
                <w:rFonts w:ascii="Arial"/>
                <w:sz w:val="21"/>
              </w:rPr>
            </w:pPr>
          </w:p>
        </w:tc>
      </w:tr>
      <w:tr w14:paraId="5A5B82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3163" w:type="dxa"/>
            <w:vAlign w:val="top"/>
          </w:tcPr>
          <w:p w14:paraId="7082A023">
            <w:pPr>
              <w:pStyle w:val="6"/>
              <w:spacing w:before="69" w:line="218" w:lineRule="auto"/>
              <w:ind w:left="524"/>
            </w:pPr>
            <w:r>
              <w:rPr>
                <w:spacing w:val="4"/>
              </w:rPr>
              <w:t>修正后投标报价(如有)</w:t>
            </w:r>
          </w:p>
        </w:tc>
        <w:tc>
          <w:tcPr>
            <w:tcW w:w="1159" w:type="dxa"/>
            <w:vAlign w:val="top"/>
          </w:tcPr>
          <w:p w14:paraId="6E0E5676">
            <w:pPr>
              <w:rPr>
                <w:rFonts w:ascii="Arial"/>
                <w:sz w:val="21"/>
              </w:rPr>
            </w:pPr>
          </w:p>
        </w:tc>
        <w:tc>
          <w:tcPr>
            <w:tcW w:w="1190" w:type="dxa"/>
            <w:vAlign w:val="top"/>
          </w:tcPr>
          <w:p w14:paraId="59FEC37A">
            <w:pPr>
              <w:rPr>
                <w:rFonts w:ascii="Arial"/>
                <w:sz w:val="21"/>
              </w:rPr>
            </w:pPr>
          </w:p>
        </w:tc>
        <w:tc>
          <w:tcPr>
            <w:tcW w:w="1179" w:type="dxa"/>
            <w:vAlign w:val="top"/>
          </w:tcPr>
          <w:p w14:paraId="702709FE">
            <w:pPr>
              <w:rPr>
                <w:rFonts w:ascii="Arial"/>
                <w:sz w:val="21"/>
              </w:rPr>
            </w:pPr>
          </w:p>
        </w:tc>
        <w:tc>
          <w:tcPr>
            <w:tcW w:w="1189" w:type="dxa"/>
            <w:vAlign w:val="top"/>
          </w:tcPr>
          <w:p w14:paraId="62732BEA">
            <w:pPr>
              <w:rPr>
                <w:rFonts w:ascii="Arial"/>
                <w:sz w:val="21"/>
              </w:rPr>
            </w:pPr>
          </w:p>
        </w:tc>
        <w:tc>
          <w:tcPr>
            <w:tcW w:w="1189" w:type="dxa"/>
            <w:vAlign w:val="top"/>
          </w:tcPr>
          <w:p w14:paraId="38116C89">
            <w:pPr>
              <w:rPr>
                <w:rFonts w:ascii="Arial"/>
                <w:sz w:val="21"/>
              </w:rPr>
            </w:pPr>
          </w:p>
        </w:tc>
        <w:tc>
          <w:tcPr>
            <w:tcW w:w="1159" w:type="dxa"/>
            <w:vAlign w:val="top"/>
          </w:tcPr>
          <w:p w14:paraId="36D6B31E">
            <w:pPr>
              <w:rPr>
                <w:rFonts w:ascii="Arial"/>
                <w:sz w:val="21"/>
              </w:rPr>
            </w:pPr>
          </w:p>
        </w:tc>
        <w:tc>
          <w:tcPr>
            <w:tcW w:w="1179" w:type="dxa"/>
            <w:vAlign w:val="top"/>
          </w:tcPr>
          <w:p w14:paraId="06D9795D">
            <w:pPr>
              <w:rPr>
                <w:rFonts w:ascii="Arial"/>
                <w:sz w:val="21"/>
              </w:rPr>
            </w:pPr>
          </w:p>
        </w:tc>
        <w:tc>
          <w:tcPr>
            <w:tcW w:w="1189" w:type="dxa"/>
            <w:vAlign w:val="top"/>
          </w:tcPr>
          <w:p w14:paraId="2E0A914C">
            <w:pPr>
              <w:rPr>
                <w:rFonts w:ascii="Arial"/>
                <w:sz w:val="21"/>
              </w:rPr>
            </w:pPr>
          </w:p>
        </w:tc>
        <w:tc>
          <w:tcPr>
            <w:tcW w:w="1154" w:type="dxa"/>
            <w:vAlign w:val="top"/>
          </w:tcPr>
          <w:p w14:paraId="351C4FC8">
            <w:pPr>
              <w:rPr>
                <w:rFonts w:ascii="Arial"/>
                <w:sz w:val="21"/>
              </w:rPr>
            </w:pPr>
          </w:p>
        </w:tc>
      </w:tr>
      <w:tr w14:paraId="45F424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3163" w:type="dxa"/>
            <w:vAlign w:val="top"/>
          </w:tcPr>
          <w:p w14:paraId="04DF10BB">
            <w:pPr>
              <w:pStyle w:val="6"/>
              <w:spacing w:before="130" w:line="218" w:lineRule="auto"/>
              <w:ind w:left="1254"/>
            </w:pPr>
            <w:r>
              <w:rPr>
                <w:spacing w:val="-2"/>
              </w:rPr>
              <w:t>评标价</w:t>
            </w:r>
          </w:p>
        </w:tc>
        <w:tc>
          <w:tcPr>
            <w:tcW w:w="1159" w:type="dxa"/>
            <w:vAlign w:val="top"/>
          </w:tcPr>
          <w:p w14:paraId="6341A43A">
            <w:pPr>
              <w:rPr>
                <w:rFonts w:ascii="Arial"/>
                <w:sz w:val="21"/>
              </w:rPr>
            </w:pPr>
          </w:p>
        </w:tc>
        <w:tc>
          <w:tcPr>
            <w:tcW w:w="1190" w:type="dxa"/>
            <w:vAlign w:val="top"/>
          </w:tcPr>
          <w:p w14:paraId="2DD8B1D9">
            <w:pPr>
              <w:rPr>
                <w:rFonts w:ascii="Arial"/>
                <w:sz w:val="21"/>
              </w:rPr>
            </w:pPr>
          </w:p>
        </w:tc>
        <w:tc>
          <w:tcPr>
            <w:tcW w:w="1179" w:type="dxa"/>
            <w:vAlign w:val="top"/>
          </w:tcPr>
          <w:p w14:paraId="1FE14616">
            <w:pPr>
              <w:rPr>
                <w:rFonts w:ascii="Arial"/>
                <w:sz w:val="21"/>
              </w:rPr>
            </w:pPr>
          </w:p>
        </w:tc>
        <w:tc>
          <w:tcPr>
            <w:tcW w:w="1189" w:type="dxa"/>
            <w:vAlign w:val="top"/>
          </w:tcPr>
          <w:p w14:paraId="37C94736">
            <w:pPr>
              <w:rPr>
                <w:rFonts w:ascii="Arial"/>
                <w:sz w:val="21"/>
              </w:rPr>
            </w:pPr>
          </w:p>
        </w:tc>
        <w:tc>
          <w:tcPr>
            <w:tcW w:w="1189" w:type="dxa"/>
            <w:vAlign w:val="top"/>
          </w:tcPr>
          <w:p w14:paraId="0C988D19">
            <w:pPr>
              <w:rPr>
                <w:rFonts w:ascii="Arial"/>
                <w:sz w:val="21"/>
              </w:rPr>
            </w:pPr>
          </w:p>
        </w:tc>
        <w:tc>
          <w:tcPr>
            <w:tcW w:w="1159" w:type="dxa"/>
            <w:vAlign w:val="top"/>
          </w:tcPr>
          <w:p w14:paraId="6D7C42A1">
            <w:pPr>
              <w:rPr>
                <w:rFonts w:ascii="Arial"/>
                <w:sz w:val="21"/>
              </w:rPr>
            </w:pPr>
          </w:p>
        </w:tc>
        <w:tc>
          <w:tcPr>
            <w:tcW w:w="1179" w:type="dxa"/>
            <w:vAlign w:val="top"/>
          </w:tcPr>
          <w:p w14:paraId="756FA0FB">
            <w:pPr>
              <w:rPr>
                <w:rFonts w:ascii="Arial"/>
                <w:sz w:val="21"/>
              </w:rPr>
            </w:pPr>
          </w:p>
        </w:tc>
        <w:tc>
          <w:tcPr>
            <w:tcW w:w="1189" w:type="dxa"/>
            <w:vAlign w:val="top"/>
          </w:tcPr>
          <w:p w14:paraId="56185EE9">
            <w:pPr>
              <w:rPr>
                <w:rFonts w:ascii="Arial"/>
                <w:sz w:val="21"/>
              </w:rPr>
            </w:pPr>
          </w:p>
        </w:tc>
        <w:tc>
          <w:tcPr>
            <w:tcW w:w="1154" w:type="dxa"/>
            <w:vAlign w:val="top"/>
          </w:tcPr>
          <w:p w14:paraId="32C15976">
            <w:pPr>
              <w:rPr>
                <w:rFonts w:ascii="Arial"/>
                <w:sz w:val="21"/>
              </w:rPr>
            </w:pPr>
          </w:p>
        </w:tc>
      </w:tr>
      <w:tr w14:paraId="0F5D7D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3163" w:type="dxa"/>
            <w:vAlign w:val="top"/>
          </w:tcPr>
          <w:p w14:paraId="3CE7CEDC">
            <w:pPr>
              <w:pStyle w:val="6"/>
              <w:spacing w:before="130" w:line="218" w:lineRule="auto"/>
              <w:ind w:left="1044"/>
            </w:pPr>
            <w:r>
              <w:rPr>
                <w:spacing w:val="-2"/>
              </w:rPr>
              <w:t>评标基准价</w:t>
            </w:r>
          </w:p>
        </w:tc>
        <w:tc>
          <w:tcPr>
            <w:tcW w:w="10587" w:type="dxa"/>
            <w:gridSpan w:val="9"/>
            <w:vAlign w:val="top"/>
          </w:tcPr>
          <w:p w14:paraId="48EEFE36">
            <w:pPr>
              <w:rPr>
                <w:rFonts w:ascii="Arial"/>
                <w:sz w:val="21"/>
              </w:rPr>
            </w:pPr>
          </w:p>
        </w:tc>
      </w:tr>
      <w:tr w14:paraId="00BB92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3163" w:type="dxa"/>
            <w:vAlign w:val="top"/>
          </w:tcPr>
          <w:p w14:paraId="1C1D2386">
            <w:pPr>
              <w:pStyle w:val="6"/>
              <w:spacing w:before="123" w:line="219" w:lineRule="auto"/>
              <w:ind w:left="1254"/>
            </w:pPr>
            <w:r>
              <w:rPr>
                <w:spacing w:val="-2"/>
              </w:rPr>
              <w:t>偏差率</w:t>
            </w:r>
          </w:p>
        </w:tc>
        <w:tc>
          <w:tcPr>
            <w:tcW w:w="1159" w:type="dxa"/>
            <w:vAlign w:val="top"/>
          </w:tcPr>
          <w:p w14:paraId="0CD38EC4">
            <w:pPr>
              <w:rPr>
                <w:rFonts w:ascii="Arial"/>
                <w:sz w:val="21"/>
              </w:rPr>
            </w:pPr>
          </w:p>
        </w:tc>
        <w:tc>
          <w:tcPr>
            <w:tcW w:w="1190" w:type="dxa"/>
            <w:vAlign w:val="top"/>
          </w:tcPr>
          <w:p w14:paraId="4E6D87F1">
            <w:pPr>
              <w:rPr>
                <w:rFonts w:ascii="Arial"/>
                <w:sz w:val="21"/>
              </w:rPr>
            </w:pPr>
          </w:p>
        </w:tc>
        <w:tc>
          <w:tcPr>
            <w:tcW w:w="1179" w:type="dxa"/>
            <w:vAlign w:val="top"/>
          </w:tcPr>
          <w:p w14:paraId="123350DB">
            <w:pPr>
              <w:rPr>
                <w:rFonts w:ascii="Arial"/>
                <w:sz w:val="21"/>
              </w:rPr>
            </w:pPr>
          </w:p>
        </w:tc>
        <w:tc>
          <w:tcPr>
            <w:tcW w:w="1189" w:type="dxa"/>
            <w:vAlign w:val="top"/>
          </w:tcPr>
          <w:p w14:paraId="2E410D0A">
            <w:pPr>
              <w:rPr>
                <w:rFonts w:ascii="Arial"/>
                <w:sz w:val="21"/>
              </w:rPr>
            </w:pPr>
          </w:p>
        </w:tc>
        <w:tc>
          <w:tcPr>
            <w:tcW w:w="1189" w:type="dxa"/>
            <w:vAlign w:val="top"/>
          </w:tcPr>
          <w:p w14:paraId="2AB7CE8E">
            <w:pPr>
              <w:rPr>
                <w:rFonts w:ascii="Arial"/>
                <w:sz w:val="21"/>
              </w:rPr>
            </w:pPr>
          </w:p>
        </w:tc>
        <w:tc>
          <w:tcPr>
            <w:tcW w:w="1159" w:type="dxa"/>
            <w:vAlign w:val="top"/>
          </w:tcPr>
          <w:p w14:paraId="0CFB5122">
            <w:pPr>
              <w:rPr>
                <w:rFonts w:ascii="Arial"/>
                <w:sz w:val="21"/>
              </w:rPr>
            </w:pPr>
          </w:p>
        </w:tc>
        <w:tc>
          <w:tcPr>
            <w:tcW w:w="1179" w:type="dxa"/>
            <w:vAlign w:val="top"/>
          </w:tcPr>
          <w:p w14:paraId="063ACD4C">
            <w:pPr>
              <w:rPr>
                <w:rFonts w:ascii="Arial"/>
                <w:sz w:val="21"/>
              </w:rPr>
            </w:pPr>
          </w:p>
        </w:tc>
        <w:tc>
          <w:tcPr>
            <w:tcW w:w="1189" w:type="dxa"/>
            <w:vAlign w:val="top"/>
          </w:tcPr>
          <w:p w14:paraId="475A9E33">
            <w:pPr>
              <w:rPr>
                <w:rFonts w:ascii="Arial"/>
                <w:sz w:val="21"/>
              </w:rPr>
            </w:pPr>
          </w:p>
        </w:tc>
        <w:tc>
          <w:tcPr>
            <w:tcW w:w="1154" w:type="dxa"/>
            <w:vAlign w:val="top"/>
          </w:tcPr>
          <w:p w14:paraId="48125DB7">
            <w:pPr>
              <w:rPr>
                <w:rFonts w:ascii="Arial"/>
                <w:sz w:val="21"/>
              </w:rPr>
            </w:pPr>
          </w:p>
        </w:tc>
      </w:tr>
      <w:tr w14:paraId="390B1E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3163" w:type="dxa"/>
            <w:vAlign w:val="top"/>
          </w:tcPr>
          <w:p w14:paraId="0B9D32C3">
            <w:pPr>
              <w:pStyle w:val="6"/>
              <w:spacing w:before="132" w:line="218" w:lineRule="auto"/>
              <w:ind w:left="1044"/>
            </w:pPr>
            <w:r>
              <w:rPr>
                <w:spacing w:val="-2"/>
              </w:rPr>
              <w:t>招标控制价</w:t>
            </w:r>
          </w:p>
        </w:tc>
        <w:tc>
          <w:tcPr>
            <w:tcW w:w="10587" w:type="dxa"/>
            <w:gridSpan w:val="9"/>
            <w:vAlign w:val="top"/>
          </w:tcPr>
          <w:p w14:paraId="50ED2372">
            <w:pPr>
              <w:rPr>
                <w:rFonts w:ascii="Arial"/>
                <w:sz w:val="21"/>
              </w:rPr>
            </w:pPr>
          </w:p>
        </w:tc>
      </w:tr>
      <w:tr w14:paraId="67F02A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3163" w:type="dxa"/>
            <w:vAlign w:val="top"/>
          </w:tcPr>
          <w:p w14:paraId="61200E3E">
            <w:pPr>
              <w:pStyle w:val="6"/>
              <w:spacing w:before="133" w:line="218" w:lineRule="auto"/>
              <w:ind w:left="994"/>
            </w:pPr>
            <w:r>
              <w:rPr>
                <w:spacing w:val="-2"/>
              </w:rPr>
              <w:t>*期望合理价</w:t>
            </w:r>
          </w:p>
        </w:tc>
        <w:tc>
          <w:tcPr>
            <w:tcW w:w="10587" w:type="dxa"/>
            <w:gridSpan w:val="9"/>
            <w:vAlign w:val="top"/>
          </w:tcPr>
          <w:p w14:paraId="20DC10EF">
            <w:pPr>
              <w:rPr>
                <w:rFonts w:ascii="Arial"/>
                <w:sz w:val="21"/>
              </w:rPr>
            </w:pPr>
          </w:p>
        </w:tc>
      </w:tr>
      <w:tr w14:paraId="2615C9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3163" w:type="dxa"/>
            <w:vAlign w:val="top"/>
          </w:tcPr>
          <w:p w14:paraId="2D7E6669">
            <w:pPr>
              <w:pStyle w:val="6"/>
              <w:spacing w:before="134" w:line="218" w:lineRule="auto"/>
              <w:ind w:left="784"/>
            </w:pPr>
            <w:r>
              <w:rPr>
                <w:spacing w:val="-1"/>
              </w:rPr>
              <w:t>*确定有效评标价</w:t>
            </w:r>
          </w:p>
        </w:tc>
        <w:tc>
          <w:tcPr>
            <w:tcW w:w="10587" w:type="dxa"/>
            <w:gridSpan w:val="9"/>
            <w:vAlign w:val="top"/>
          </w:tcPr>
          <w:p w14:paraId="022A53E0">
            <w:pPr>
              <w:rPr>
                <w:rFonts w:ascii="Arial"/>
                <w:sz w:val="21"/>
              </w:rPr>
            </w:pPr>
          </w:p>
        </w:tc>
      </w:tr>
      <w:tr w14:paraId="0AB6A1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3163" w:type="dxa"/>
            <w:vAlign w:val="top"/>
          </w:tcPr>
          <w:p w14:paraId="49442021">
            <w:pPr>
              <w:pStyle w:val="6"/>
              <w:spacing w:before="125" w:line="218" w:lineRule="auto"/>
              <w:ind w:left="784"/>
            </w:pPr>
            <w:r>
              <w:rPr>
                <w:spacing w:val="-1"/>
              </w:rPr>
              <w:t>*有效评标价排序</w:t>
            </w:r>
          </w:p>
        </w:tc>
        <w:tc>
          <w:tcPr>
            <w:tcW w:w="1159" w:type="dxa"/>
            <w:vAlign w:val="top"/>
          </w:tcPr>
          <w:p w14:paraId="213D1540">
            <w:pPr>
              <w:rPr>
                <w:rFonts w:ascii="Arial"/>
                <w:sz w:val="21"/>
              </w:rPr>
            </w:pPr>
          </w:p>
        </w:tc>
        <w:tc>
          <w:tcPr>
            <w:tcW w:w="1190" w:type="dxa"/>
            <w:vAlign w:val="top"/>
          </w:tcPr>
          <w:p w14:paraId="3D0646E4">
            <w:pPr>
              <w:rPr>
                <w:rFonts w:ascii="Arial"/>
                <w:sz w:val="21"/>
              </w:rPr>
            </w:pPr>
          </w:p>
        </w:tc>
        <w:tc>
          <w:tcPr>
            <w:tcW w:w="1179" w:type="dxa"/>
            <w:vAlign w:val="top"/>
          </w:tcPr>
          <w:p w14:paraId="31F7841C">
            <w:pPr>
              <w:rPr>
                <w:rFonts w:ascii="Arial"/>
                <w:sz w:val="21"/>
              </w:rPr>
            </w:pPr>
          </w:p>
        </w:tc>
        <w:tc>
          <w:tcPr>
            <w:tcW w:w="1189" w:type="dxa"/>
            <w:vAlign w:val="top"/>
          </w:tcPr>
          <w:p w14:paraId="62345ED7">
            <w:pPr>
              <w:rPr>
                <w:rFonts w:ascii="Arial"/>
                <w:sz w:val="21"/>
              </w:rPr>
            </w:pPr>
          </w:p>
        </w:tc>
        <w:tc>
          <w:tcPr>
            <w:tcW w:w="1189" w:type="dxa"/>
            <w:vAlign w:val="top"/>
          </w:tcPr>
          <w:p w14:paraId="24C70CD6">
            <w:pPr>
              <w:rPr>
                <w:rFonts w:ascii="Arial"/>
                <w:sz w:val="21"/>
              </w:rPr>
            </w:pPr>
          </w:p>
        </w:tc>
        <w:tc>
          <w:tcPr>
            <w:tcW w:w="1159" w:type="dxa"/>
            <w:vAlign w:val="top"/>
          </w:tcPr>
          <w:p w14:paraId="72D70EB0">
            <w:pPr>
              <w:rPr>
                <w:rFonts w:ascii="Arial"/>
                <w:sz w:val="21"/>
              </w:rPr>
            </w:pPr>
          </w:p>
        </w:tc>
        <w:tc>
          <w:tcPr>
            <w:tcW w:w="1179" w:type="dxa"/>
            <w:vAlign w:val="top"/>
          </w:tcPr>
          <w:p w14:paraId="0DC5F64D">
            <w:pPr>
              <w:rPr>
                <w:rFonts w:ascii="Arial"/>
                <w:sz w:val="21"/>
              </w:rPr>
            </w:pPr>
          </w:p>
        </w:tc>
        <w:tc>
          <w:tcPr>
            <w:tcW w:w="1189" w:type="dxa"/>
            <w:vAlign w:val="top"/>
          </w:tcPr>
          <w:p w14:paraId="2AB8904D">
            <w:pPr>
              <w:rPr>
                <w:rFonts w:ascii="Arial"/>
                <w:sz w:val="21"/>
              </w:rPr>
            </w:pPr>
          </w:p>
        </w:tc>
        <w:tc>
          <w:tcPr>
            <w:tcW w:w="1154" w:type="dxa"/>
            <w:vAlign w:val="top"/>
          </w:tcPr>
          <w:p w14:paraId="35DE1422">
            <w:pPr>
              <w:rPr>
                <w:rFonts w:ascii="Arial"/>
                <w:sz w:val="21"/>
              </w:rPr>
            </w:pPr>
          </w:p>
        </w:tc>
      </w:tr>
    </w:tbl>
    <w:p w14:paraId="3E37ED1B">
      <w:pPr>
        <w:spacing w:line="295" w:lineRule="auto"/>
        <w:rPr>
          <w:rFonts w:ascii="Arial"/>
          <w:sz w:val="21"/>
        </w:rPr>
      </w:pPr>
    </w:p>
    <w:p w14:paraId="07B022C1">
      <w:pPr>
        <w:pStyle w:val="2"/>
        <w:spacing w:before="65" w:line="219" w:lineRule="auto"/>
        <w:ind w:left="114"/>
        <w:rPr>
          <w:sz w:val="20"/>
          <w:szCs w:val="20"/>
        </w:rPr>
      </w:pPr>
      <w:r>
        <w:rPr>
          <w:spacing w:val="-2"/>
          <w:sz w:val="20"/>
          <w:szCs w:val="20"/>
        </w:rPr>
        <w:t xml:space="preserve">评标委员会成员签名：                                                             </w:t>
      </w:r>
      <w:r>
        <w:rPr>
          <w:spacing w:val="-3"/>
          <w:sz w:val="20"/>
          <w:szCs w:val="20"/>
        </w:rPr>
        <w:t xml:space="preserve">                                  </w:t>
      </w:r>
      <w:r>
        <w:rPr>
          <w:spacing w:val="-3"/>
          <w:sz w:val="15"/>
          <w:szCs w:val="15"/>
        </w:rPr>
        <w:t xml:space="preserve">日 期 ：      </w:t>
      </w:r>
      <w:r>
        <w:rPr>
          <w:spacing w:val="-3"/>
          <w:sz w:val="20"/>
          <w:szCs w:val="20"/>
        </w:rPr>
        <w:t>年  月   日</w:t>
      </w:r>
    </w:p>
    <w:p w14:paraId="54449735">
      <w:pPr>
        <w:spacing w:line="255" w:lineRule="auto"/>
        <w:rPr>
          <w:rFonts w:ascii="Arial"/>
          <w:sz w:val="21"/>
        </w:rPr>
      </w:pPr>
    </w:p>
    <w:p w14:paraId="33879F22">
      <w:pPr>
        <w:pStyle w:val="2"/>
        <w:spacing w:before="66" w:line="219" w:lineRule="auto"/>
        <w:ind w:left="114"/>
        <w:rPr>
          <w:sz w:val="20"/>
          <w:szCs w:val="20"/>
        </w:rPr>
      </w:pPr>
      <w:r>
        <w:rPr>
          <w:spacing w:val="6"/>
          <w:sz w:val="20"/>
          <w:szCs w:val="20"/>
        </w:rPr>
        <w:t>备注：本表适用于办法八。</w:t>
      </w:r>
    </w:p>
    <w:p w14:paraId="20B24AD5">
      <w:pPr>
        <w:spacing w:line="219" w:lineRule="auto"/>
        <w:rPr>
          <w:sz w:val="20"/>
          <w:szCs w:val="20"/>
        </w:rPr>
        <w:sectPr>
          <w:headerReference r:id="rId92" w:type="default"/>
          <w:footerReference r:id="rId93" w:type="default"/>
          <w:pgSz w:w="16840" w:h="11910"/>
          <w:pgMar w:top="1944" w:right="1514" w:bottom="964" w:left="1564" w:header="1560" w:footer="829" w:gutter="0"/>
          <w:cols w:space="720" w:num="1"/>
        </w:sectPr>
      </w:pPr>
    </w:p>
    <w:p w14:paraId="62119262">
      <w:pPr>
        <w:spacing w:line="299" w:lineRule="auto"/>
        <w:rPr>
          <w:rFonts w:ascii="Arial"/>
          <w:sz w:val="21"/>
        </w:rPr>
      </w:pPr>
    </w:p>
    <w:p w14:paraId="63A77CB5">
      <w:pPr>
        <w:spacing w:line="299" w:lineRule="auto"/>
        <w:rPr>
          <w:rFonts w:ascii="Arial"/>
          <w:sz w:val="21"/>
        </w:rPr>
      </w:pPr>
    </w:p>
    <w:p w14:paraId="79E0E5D5">
      <w:pPr>
        <w:spacing w:line="300" w:lineRule="auto"/>
        <w:rPr>
          <w:rFonts w:ascii="Arial"/>
          <w:sz w:val="21"/>
        </w:rPr>
      </w:pPr>
    </w:p>
    <w:p w14:paraId="5FCADD28">
      <w:pPr>
        <w:spacing w:line="300" w:lineRule="auto"/>
        <w:rPr>
          <w:rFonts w:ascii="Arial"/>
          <w:sz w:val="21"/>
        </w:rPr>
      </w:pPr>
    </w:p>
    <w:p w14:paraId="088A15A7">
      <w:pPr>
        <w:pStyle w:val="2"/>
        <w:spacing w:before="68" w:line="221" w:lineRule="auto"/>
        <w:ind w:left="548"/>
        <w:outlineLvl w:val="2"/>
        <w:rPr>
          <w:rFonts w:ascii="黑体" w:hAnsi="黑体" w:eastAsia="黑体" w:cs="黑体"/>
          <w:sz w:val="21"/>
          <w:szCs w:val="21"/>
        </w:rPr>
      </w:pPr>
      <w:bookmarkStart w:id="231" w:name="bookmark169"/>
      <w:bookmarkEnd w:id="231"/>
      <w:r>
        <w:rPr>
          <w:rFonts w:ascii="黑体" w:hAnsi="黑体" w:eastAsia="黑体" w:cs="黑体"/>
          <w:b/>
          <w:bCs/>
          <w:spacing w:val="16"/>
          <w:sz w:val="21"/>
          <w:szCs w:val="21"/>
        </w:rPr>
        <w:t>附</w:t>
      </w:r>
      <w:r>
        <w:rPr>
          <w:rFonts w:ascii="黑体" w:hAnsi="黑体" w:eastAsia="黑体" w:cs="黑体"/>
          <w:spacing w:val="16"/>
          <w:sz w:val="21"/>
          <w:szCs w:val="21"/>
        </w:rPr>
        <w:t xml:space="preserve"> </w:t>
      </w:r>
      <w:r>
        <w:rPr>
          <w:rFonts w:ascii="黑体" w:hAnsi="黑体" w:eastAsia="黑体" w:cs="黑体"/>
          <w:b/>
          <w:bCs/>
          <w:spacing w:val="16"/>
          <w:sz w:val="21"/>
          <w:szCs w:val="21"/>
        </w:rPr>
        <w:t>表</w:t>
      </w:r>
      <w:r>
        <w:rPr>
          <w:b/>
          <w:bCs/>
          <w:spacing w:val="16"/>
          <w:sz w:val="21"/>
          <w:szCs w:val="21"/>
        </w:rPr>
        <w:t>A-14:</w:t>
      </w:r>
      <w:r>
        <w:rPr>
          <w:spacing w:val="16"/>
          <w:sz w:val="21"/>
          <w:szCs w:val="21"/>
        </w:rPr>
        <w:t xml:space="preserve">  </w:t>
      </w:r>
      <w:r>
        <w:rPr>
          <w:rFonts w:ascii="黑体" w:hAnsi="黑体" w:eastAsia="黑体" w:cs="黑体"/>
          <w:b/>
          <w:bCs/>
          <w:spacing w:val="16"/>
          <w:sz w:val="21"/>
          <w:szCs w:val="21"/>
        </w:rPr>
        <w:t>否决投标的情况说明表</w:t>
      </w:r>
    </w:p>
    <w:p w14:paraId="3CF93B31">
      <w:pPr>
        <w:spacing w:before="239" w:line="221" w:lineRule="auto"/>
        <w:ind w:left="5489"/>
        <w:rPr>
          <w:rFonts w:ascii="黑体" w:hAnsi="黑体" w:eastAsia="黑体" w:cs="黑体"/>
          <w:sz w:val="28"/>
          <w:szCs w:val="28"/>
        </w:rPr>
      </w:pPr>
      <w:bookmarkStart w:id="232" w:name="bookmark280"/>
      <w:bookmarkEnd w:id="232"/>
      <w:r>
        <w:rPr>
          <w:rFonts w:ascii="黑体" w:hAnsi="黑体" w:eastAsia="黑体" w:cs="黑体"/>
          <w:b/>
          <w:bCs/>
          <w:spacing w:val="-1"/>
          <w:sz w:val="28"/>
          <w:szCs w:val="28"/>
        </w:rPr>
        <w:t>否决投标的情况说明表</w:t>
      </w:r>
    </w:p>
    <w:p w14:paraId="14EC438B">
      <w:pPr>
        <w:pStyle w:val="2"/>
        <w:spacing w:before="279" w:line="230" w:lineRule="auto"/>
        <w:ind w:left="135"/>
        <w:rPr>
          <w:sz w:val="21"/>
          <w:szCs w:val="21"/>
        </w:rPr>
      </w:pPr>
      <w:r>
        <w:rPr>
          <w:spacing w:val="-1"/>
          <w:sz w:val="21"/>
          <w:szCs w:val="21"/>
        </w:rPr>
        <w:t>工程名称：</w:t>
      </w:r>
      <w:r>
        <w:rPr>
          <w:spacing w:val="-1"/>
          <w:sz w:val="21"/>
          <w:szCs w:val="21"/>
          <w:u w:val="dotted" w:color="auto"/>
        </w:rPr>
        <w:t xml:space="preserve">      </w:t>
      </w:r>
      <w:r>
        <w:rPr>
          <w:spacing w:val="12"/>
          <w:sz w:val="21"/>
          <w:szCs w:val="21"/>
        </w:rPr>
        <w:t xml:space="preserve">       </w:t>
      </w:r>
      <w:r>
        <w:rPr>
          <w:spacing w:val="-1"/>
          <w:position w:val="-1"/>
          <w:sz w:val="21"/>
          <w:szCs w:val="21"/>
        </w:rPr>
        <w:t>(项目名称)</w:t>
      </w:r>
      <w:r>
        <w:rPr>
          <w:spacing w:val="-92"/>
          <w:position w:val="-1"/>
          <w:sz w:val="21"/>
          <w:szCs w:val="21"/>
        </w:rPr>
        <w:t xml:space="preserve"> </w:t>
      </w:r>
      <w:r>
        <w:rPr>
          <w:spacing w:val="10"/>
          <w:position w:val="-1"/>
          <w:sz w:val="21"/>
          <w:szCs w:val="21"/>
          <w:u w:val="single" w:color="auto"/>
        </w:rPr>
        <w:t xml:space="preserve">     </w:t>
      </w:r>
      <w:r>
        <w:rPr>
          <w:spacing w:val="-1"/>
          <w:position w:val="-1"/>
          <w:sz w:val="21"/>
          <w:szCs w:val="21"/>
        </w:rPr>
        <w:t xml:space="preserve">  </w:t>
      </w:r>
      <w:r>
        <w:rPr>
          <w:spacing w:val="-1"/>
          <w:sz w:val="21"/>
          <w:szCs w:val="21"/>
        </w:rPr>
        <w:t>(标段名称)</w:t>
      </w:r>
    </w:p>
    <w:p w14:paraId="18BDFB57">
      <w:pPr>
        <w:spacing w:line="63" w:lineRule="exact"/>
      </w:pPr>
    </w:p>
    <w:tbl>
      <w:tblPr>
        <w:tblStyle w:val="5"/>
        <w:tblW w:w="1375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14"/>
        <w:gridCol w:w="2159"/>
        <w:gridCol w:w="2538"/>
        <w:gridCol w:w="8239"/>
      </w:tblGrid>
      <w:tr w14:paraId="3F0695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4" w:hRule="atLeast"/>
        </w:trPr>
        <w:tc>
          <w:tcPr>
            <w:tcW w:w="814" w:type="dxa"/>
            <w:vAlign w:val="top"/>
          </w:tcPr>
          <w:p w14:paraId="5AC1A0AF">
            <w:pPr>
              <w:pStyle w:val="6"/>
              <w:spacing w:before="144" w:line="221" w:lineRule="auto"/>
              <w:ind w:left="184"/>
            </w:pPr>
            <w:r>
              <w:rPr>
                <w:spacing w:val="6"/>
              </w:rPr>
              <w:t>序号</w:t>
            </w:r>
          </w:p>
        </w:tc>
        <w:tc>
          <w:tcPr>
            <w:tcW w:w="2159" w:type="dxa"/>
            <w:vAlign w:val="top"/>
          </w:tcPr>
          <w:p w14:paraId="47F173B2">
            <w:pPr>
              <w:pStyle w:val="6"/>
              <w:spacing w:before="144" w:line="220" w:lineRule="auto"/>
              <w:ind w:left="591"/>
            </w:pPr>
            <w:r>
              <w:rPr>
                <w:spacing w:val="2"/>
              </w:rPr>
              <w:t>投标人名称</w:t>
            </w:r>
          </w:p>
        </w:tc>
        <w:tc>
          <w:tcPr>
            <w:tcW w:w="2538" w:type="dxa"/>
            <w:vAlign w:val="top"/>
          </w:tcPr>
          <w:p w14:paraId="665562B8">
            <w:pPr>
              <w:pStyle w:val="6"/>
              <w:spacing w:before="142" w:line="219" w:lineRule="auto"/>
              <w:ind w:left="561"/>
            </w:pPr>
            <w:r>
              <w:rPr>
                <w:spacing w:val="1"/>
              </w:rPr>
              <w:t>否决投标的依据</w:t>
            </w:r>
          </w:p>
        </w:tc>
        <w:tc>
          <w:tcPr>
            <w:tcW w:w="8239" w:type="dxa"/>
            <w:vAlign w:val="top"/>
          </w:tcPr>
          <w:p w14:paraId="251B2584">
            <w:pPr>
              <w:pStyle w:val="6"/>
              <w:spacing w:before="143" w:line="219" w:lineRule="auto"/>
              <w:ind w:left="2983"/>
            </w:pPr>
            <w:r>
              <w:t>投标文件存在的具体问题</w:t>
            </w:r>
          </w:p>
        </w:tc>
      </w:tr>
      <w:tr w14:paraId="649568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814" w:type="dxa"/>
            <w:vAlign w:val="top"/>
          </w:tcPr>
          <w:p w14:paraId="4C297DEE">
            <w:pPr>
              <w:pStyle w:val="6"/>
              <w:spacing w:before="160" w:line="241" w:lineRule="auto"/>
              <w:ind w:left="344"/>
            </w:pPr>
            <w:r>
              <w:t>1</w:t>
            </w:r>
          </w:p>
        </w:tc>
        <w:tc>
          <w:tcPr>
            <w:tcW w:w="2159" w:type="dxa"/>
            <w:vAlign w:val="top"/>
          </w:tcPr>
          <w:p w14:paraId="159A41EB">
            <w:pPr>
              <w:rPr>
                <w:rFonts w:ascii="Arial"/>
                <w:sz w:val="21"/>
              </w:rPr>
            </w:pPr>
          </w:p>
        </w:tc>
        <w:tc>
          <w:tcPr>
            <w:tcW w:w="2538" w:type="dxa"/>
            <w:vAlign w:val="top"/>
          </w:tcPr>
          <w:p w14:paraId="5D415173">
            <w:pPr>
              <w:rPr>
                <w:rFonts w:ascii="Arial"/>
                <w:sz w:val="21"/>
              </w:rPr>
            </w:pPr>
          </w:p>
        </w:tc>
        <w:tc>
          <w:tcPr>
            <w:tcW w:w="8239" w:type="dxa"/>
            <w:vAlign w:val="top"/>
          </w:tcPr>
          <w:p w14:paraId="65D43F81">
            <w:pPr>
              <w:rPr>
                <w:rFonts w:ascii="Arial"/>
                <w:sz w:val="21"/>
              </w:rPr>
            </w:pPr>
          </w:p>
        </w:tc>
      </w:tr>
      <w:tr w14:paraId="75F344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814" w:type="dxa"/>
            <w:vAlign w:val="top"/>
          </w:tcPr>
          <w:p w14:paraId="02D153B0">
            <w:pPr>
              <w:pStyle w:val="6"/>
              <w:spacing w:before="151" w:line="241" w:lineRule="auto"/>
              <w:ind w:left="344"/>
            </w:pPr>
            <w:r>
              <w:t>2</w:t>
            </w:r>
          </w:p>
        </w:tc>
        <w:tc>
          <w:tcPr>
            <w:tcW w:w="2159" w:type="dxa"/>
            <w:vAlign w:val="top"/>
          </w:tcPr>
          <w:p w14:paraId="53FC4A98">
            <w:pPr>
              <w:rPr>
                <w:rFonts w:ascii="Arial"/>
                <w:sz w:val="21"/>
              </w:rPr>
            </w:pPr>
          </w:p>
        </w:tc>
        <w:tc>
          <w:tcPr>
            <w:tcW w:w="2538" w:type="dxa"/>
            <w:vAlign w:val="top"/>
          </w:tcPr>
          <w:p w14:paraId="705613F8">
            <w:pPr>
              <w:rPr>
                <w:rFonts w:ascii="Arial"/>
                <w:sz w:val="21"/>
              </w:rPr>
            </w:pPr>
          </w:p>
        </w:tc>
        <w:tc>
          <w:tcPr>
            <w:tcW w:w="8239" w:type="dxa"/>
            <w:vAlign w:val="top"/>
          </w:tcPr>
          <w:p w14:paraId="1C1CA2B9">
            <w:pPr>
              <w:rPr>
                <w:rFonts w:ascii="Arial"/>
                <w:sz w:val="21"/>
              </w:rPr>
            </w:pPr>
          </w:p>
        </w:tc>
      </w:tr>
      <w:tr w14:paraId="2AF35C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814" w:type="dxa"/>
            <w:vAlign w:val="top"/>
          </w:tcPr>
          <w:p w14:paraId="25AB2402">
            <w:pPr>
              <w:pStyle w:val="6"/>
              <w:spacing w:before="162"/>
              <w:ind w:left="344"/>
            </w:pPr>
            <w:r>
              <w:t>3</w:t>
            </w:r>
          </w:p>
        </w:tc>
        <w:tc>
          <w:tcPr>
            <w:tcW w:w="2159" w:type="dxa"/>
            <w:vAlign w:val="top"/>
          </w:tcPr>
          <w:p w14:paraId="009F1A4D">
            <w:pPr>
              <w:rPr>
                <w:rFonts w:ascii="Arial"/>
                <w:sz w:val="21"/>
              </w:rPr>
            </w:pPr>
          </w:p>
        </w:tc>
        <w:tc>
          <w:tcPr>
            <w:tcW w:w="2538" w:type="dxa"/>
            <w:vAlign w:val="top"/>
          </w:tcPr>
          <w:p w14:paraId="4277BC23">
            <w:pPr>
              <w:rPr>
                <w:rFonts w:ascii="Arial"/>
                <w:sz w:val="21"/>
              </w:rPr>
            </w:pPr>
          </w:p>
        </w:tc>
        <w:tc>
          <w:tcPr>
            <w:tcW w:w="8239" w:type="dxa"/>
            <w:vAlign w:val="top"/>
          </w:tcPr>
          <w:p w14:paraId="22D74919">
            <w:pPr>
              <w:rPr>
                <w:rFonts w:ascii="Arial"/>
                <w:sz w:val="21"/>
              </w:rPr>
            </w:pPr>
          </w:p>
        </w:tc>
      </w:tr>
      <w:tr w14:paraId="0AE954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814" w:type="dxa"/>
            <w:vAlign w:val="top"/>
          </w:tcPr>
          <w:p w14:paraId="404BBA20">
            <w:pPr>
              <w:pStyle w:val="6"/>
              <w:spacing w:before="163" w:line="241" w:lineRule="auto"/>
              <w:ind w:left="344"/>
            </w:pPr>
            <w:r>
              <w:t>4</w:t>
            </w:r>
          </w:p>
        </w:tc>
        <w:tc>
          <w:tcPr>
            <w:tcW w:w="2159" w:type="dxa"/>
            <w:vAlign w:val="top"/>
          </w:tcPr>
          <w:p w14:paraId="28532E97">
            <w:pPr>
              <w:rPr>
                <w:rFonts w:ascii="Arial"/>
                <w:sz w:val="21"/>
              </w:rPr>
            </w:pPr>
          </w:p>
        </w:tc>
        <w:tc>
          <w:tcPr>
            <w:tcW w:w="2538" w:type="dxa"/>
            <w:vAlign w:val="top"/>
          </w:tcPr>
          <w:p w14:paraId="77DA88AE">
            <w:pPr>
              <w:rPr>
                <w:rFonts w:ascii="Arial"/>
                <w:sz w:val="21"/>
              </w:rPr>
            </w:pPr>
          </w:p>
        </w:tc>
        <w:tc>
          <w:tcPr>
            <w:tcW w:w="8239" w:type="dxa"/>
            <w:vAlign w:val="top"/>
          </w:tcPr>
          <w:p w14:paraId="66C626E9">
            <w:pPr>
              <w:rPr>
                <w:rFonts w:ascii="Arial"/>
                <w:sz w:val="21"/>
              </w:rPr>
            </w:pPr>
          </w:p>
        </w:tc>
      </w:tr>
      <w:tr w14:paraId="44B21F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814" w:type="dxa"/>
            <w:vAlign w:val="top"/>
          </w:tcPr>
          <w:p w14:paraId="52EEC4E8">
            <w:pPr>
              <w:pStyle w:val="6"/>
              <w:spacing w:before="154"/>
              <w:ind w:left="344"/>
            </w:pPr>
            <w:r>
              <w:t>5</w:t>
            </w:r>
          </w:p>
        </w:tc>
        <w:tc>
          <w:tcPr>
            <w:tcW w:w="2159" w:type="dxa"/>
            <w:vAlign w:val="top"/>
          </w:tcPr>
          <w:p w14:paraId="1BDBF6B4">
            <w:pPr>
              <w:rPr>
                <w:rFonts w:ascii="Arial"/>
                <w:sz w:val="21"/>
              </w:rPr>
            </w:pPr>
          </w:p>
        </w:tc>
        <w:tc>
          <w:tcPr>
            <w:tcW w:w="2538" w:type="dxa"/>
            <w:vAlign w:val="top"/>
          </w:tcPr>
          <w:p w14:paraId="22CDE696">
            <w:pPr>
              <w:rPr>
                <w:rFonts w:ascii="Arial"/>
                <w:sz w:val="21"/>
              </w:rPr>
            </w:pPr>
          </w:p>
        </w:tc>
        <w:tc>
          <w:tcPr>
            <w:tcW w:w="8239" w:type="dxa"/>
            <w:vAlign w:val="top"/>
          </w:tcPr>
          <w:p w14:paraId="0731BA78">
            <w:pPr>
              <w:rPr>
                <w:rFonts w:ascii="Arial"/>
                <w:sz w:val="21"/>
              </w:rPr>
            </w:pPr>
          </w:p>
        </w:tc>
      </w:tr>
      <w:tr w14:paraId="1C1015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trPr>
        <w:tc>
          <w:tcPr>
            <w:tcW w:w="814" w:type="dxa"/>
            <w:vAlign w:val="top"/>
          </w:tcPr>
          <w:p w14:paraId="73633EE8">
            <w:pPr>
              <w:pStyle w:val="6"/>
              <w:spacing w:before="165"/>
              <w:ind w:left="344"/>
            </w:pPr>
            <w:r>
              <w:t>6</w:t>
            </w:r>
          </w:p>
        </w:tc>
        <w:tc>
          <w:tcPr>
            <w:tcW w:w="2159" w:type="dxa"/>
            <w:vAlign w:val="top"/>
          </w:tcPr>
          <w:p w14:paraId="73E6DA55">
            <w:pPr>
              <w:rPr>
                <w:rFonts w:ascii="Arial"/>
                <w:sz w:val="21"/>
              </w:rPr>
            </w:pPr>
          </w:p>
        </w:tc>
        <w:tc>
          <w:tcPr>
            <w:tcW w:w="2538" w:type="dxa"/>
            <w:vAlign w:val="top"/>
          </w:tcPr>
          <w:p w14:paraId="262E8506">
            <w:pPr>
              <w:rPr>
                <w:rFonts w:ascii="Arial"/>
                <w:sz w:val="21"/>
              </w:rPr>
            </w:pPr>
          </w:p>
        </w:tc>
        <w:tc>
          <w:tcPr>
            <w:tcW w:w="8239" w:type="dxa"/>
            <w:vAlign w:val="top"/>
          </w:tcPr>
          <w:p w14:paraId="7FB95A71">
            <w:pPr>
              <w:rPr>
                <w:rFonts w:ascii="Arial"/>
                <w:sz w:val="21"/>
              </w:rPr>
            </w:pPr>
          </w:p>
        </w:tc>
      </w:tr>
      <w:tr w14:paraId="30840A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814" w:type="dxa"/>
            <w:vAlign w:val="top"/>
          </w:tcPr>
          <w:p w14:paraId="47562D80">
            <w:pPr>
              <w:pStyle w:val="6"/>
              <w:spacing w:before="166"/>
              <w:ind w:left="344"/>
            </w:pPr>
            <w:r>
              <w:t>7</w:t>
            </w:r>
          </w:p>
        </w:tc>
        <w:tc>
          <w:tcPr>
            <w:tcW w:w="2159" w:type="dxa"/>
            <w:vAlign w:val="top"/>
          </w:tcPr>
          <w:p w14:paraId="51278893">
            <w:pPr>
              <w:rPr>
                <w:rFonts w:ascii="Arial"/>
                <w:sz w:val="21"/>
              </w:rPr>
            </w:pPr>
          </w:p>
        </w:tc>
        <w:tc>
          <w:tcPr>
            <w:tcW w:w="2538" w:type="dxa"/>
            <w:vAlign w:val="top"/>
          </w:tcPr>
          <w:p w14:paraId="7A1CC561">
            <w:pPr>
              <w:rPr>
                <w:rFonts w:ascii="Arial"/>
                <w:sz w:val="21"/>
              </w:rPr>
            </w:pPr>
          </w:p>
        </w:tc>
        <w:tc>
          <w:tcPr>
            <w:tcW w:w="8239" w:type="dxa"/>
            <w:vAlign w:val="top"/>
          </w:tcPr>
          <w:p w14:paraId="43AA15EB">
            <w:pPr>
              <w:rPr>
                <w:rFonts w:ascii="Arial"/>
                <w:sz w:val="21"/>
              </w:rPr>
            </w:pPr>
          </w:p>
        </w:tc>
      </w:tr>
      <w:tr w14:paraId="0875E9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3" w:hRule="atLeast"/>
        </w:trPr>
        <w:tc>
          <w:tcPr>
            <w:tcW w:w="814" w:type="dxa"/>
            <w:vAlign w:val="top"/>
          </w:tcPr>
          <w:p w14:paraId="7EBE6766">
            <w:pPr>
              <w:pStyle w:val="6"/>
              <w:spacing w:before="167"/>
              <w:ind w:left="344"/>
            </w:pPr>
            <w:r>
              <w:t>8</w:t>
            </w:r>
          </w:p>
        </w:tc>
        <w:tc>
          <w:tcPr>
            <w:tcW w:w="2159" w:type="dxa"/>
            <w:vAlign w:val="top"/>
          </w:tcPr>
          <w:p w14:paraId="55D58AE8">
            <w:pPr>
              <w:rPr>
                <w:rFonts w:ascii="Arial"/>
                <w:sz w:val="21"/>
              </w:rPr>
            </w:pPr>
          </w:p>
        </w:tc>
        <w:tc>
          <w:tcPr>
            <w:tcW w:w="2538" w:type="dxa"/>
            <w:vAlign w:val="top"/>
          </w:tcPr>
          <w:p w14:paraId="088F9CCA">
            <w:pPr>
              <w:rPr>
                <w:rFonts w:ascii="Arial"/>
                <w:sz w:val="21"/>
              </w:rPr>
            </w:pPr>
          </w:p>
        </w:tc>
        <w:tc>
          <w:tcPr>
            <w:tcW w:w="8239" w:type="dxa"/>
            <w:vAlign w:val="top"/>
          </w:tcPr>
          <w:p w14:paraId="739D89A0">
            <w:pPr>
              <w:rPr>
                <w:rFonts w:ascii="Arial"/>
                <w:sz w:val="21"/>
              </w:rPr>
            </w:pPr>
          </w:p>
        </w:tc>
      </w:tr>
    </w:tbl>
    <w:p w14:paraId="26D83E40">
      <w:pPr>
        <w:spacing w:line="267" w:lineRule="auto"/>
        <w:rPr>
          <w:rFonts w:ascii="Arial"/>
          <w:sz w:val="21"/>
        </w:rPr>
      </w:pPr>
    </w:p>
    <w:p w14:paraId="66D4378B">
      <w:pPr>
        <w:spacing w:line="267" w:lineRule="auto"/>
        <w:rPr>
          <w:rFonts w:ascii="Arial"/>
          <w:sz w:val="21"/>
        </w:rPr>
      </w:pPr>
    </w:p>
    <w:p w14:paraId="1D8D89AA">
      <w:pPr>
        <w:pStyle w:val="2"/>
        <w:spacing w:before="69" w:line="233" w:lineRule="auto"/>
        <w:ind w:left="135"/>
        <w:rPr>
          <w:rFonts w:ascii="黑体" w:hAnsi="黑体" w:eastAsia="黑体" w:cs="黑体"/>
          <w:sz w:val="21"/>
          <w:szCs w:val="21"/>
        </w:rPr>
      </w:pPr>
      <w:r>
        <w:rPr>
          <w:spacing w:val="-2"/>
          <w:sz w:val="21"/>
          <w:szCs w:val="21"/>
        </w:rPr>
        <w:t xml:space="preserve">评标委员会全体成员签名：                                                                         </w:t>
      </w:r>
      <w:r>
        <w:rPr>
          <w:rFonts w:ascii="黑体" w:hAnsi="黑体" w:eastAsia="黑体" w:cs="黑体"/>
          <w:spacing w:val="-2"/>
          <w:sz w:val="16"/>
          <w:szCs w:val="16"/>
        </w:rPr>
        <w:t>日 期</w:t>
      </w:r>
      <w:r>
        <w:rPr>
          <w:rFonts w:ascii="黑体" w:hAnsi="黑体" w:eastAsia="黑体" w:cs="黑体"/>
          <w:spacing w:val="-13"/>
          <w:sz w:val="16"/>
          <w:szCs w:val="16"/>
        </w:rPr>
        <w:t xml:space="preserve"> </w:t>
      </w:r>
      <w:r>
        <w:rPr>
          <w:rFonts w:ascii="黑体" w:hAnsi="黑体" w:eastAsia="黑体" w:cs="黑体"/>
          <w:spacing w:val="-2"/>
          <w:sz w:val="16"/>
          <w:szCs w:val="16"/>
        </w:rPr>
        <w:t xml:space="preserve">：           </w:t>
      </w:r>
      <w:r>
        <w:rPr>
          <w:rFonts w:ascii="黑体" w:hAnsi="黑体" w:eastAsia="黑体" w:cs="黑体"/>
          <w:spacing w:val="-2"/>
          <w:sz w:val="21"/>
          <w:szCs w:val="21"/>
        </w:rPr>
        <w:t xml:space="preserve">年     </w:t>
      </w:r>
      <w:r>
        <w:rPr>
          <w:rFonts w:ascii="黑体" w:hAnsi="黑体" w:eastAsia="黑体" w:cs="黑体"/>
          <w:spacing w:val="-2"/>
          <w:position w:val="-1"/>
          <w:sz w:val="21"/>
          <w:szCs w:val="21"/>
        </w:rPr>
        <w:t xml:space="preserve">月      </w:t>
      </w:r>
      <w:r>
        <w:rPr>
          <w:rFonts w:ascii="黑体" w:hAnsi="黑体" w:eastAsia="黑体" w:cs="黑体"/>
          <w:spacing w:val="-2"/>
          <w:sz w:val="21"/>
          <w:szCs w:val="21"/>
        </w:rPr>
        <w:t>日</w:t>
      </w:r>
    </w:p>
    <w:p w14:paraId="4FBEC1A5">
      <w:pPr>
        <w:spacing w:line="269" w:lineRule="auto"/>
        <w:rPr>
          <w:rFonts w:ascii="Arial"/>
          <w:sz w:val="21"/>
        </w:rPr>
      </w:pPr>
    </w:p>
    <w:p w14:paraId="01FAE531">
      <w:pPr>
        <w:spacing w:line="270" w:lineRule="auto"/>
        <w:rPr>
          <w:rFonts w:ascii="Arial"/>
          <w:sz w:val="21"/>
        </w:rPr>
      </w:pPr>
    </w:p>
    <w:p w14:paraId="59CC6E20">
      <w:pPr>
        <w:pStyle w:val="2"/>
        <w:spacing w:before="69" w:line="219" w:lineRule="auto"/>
        <w:jc w:val="right"/>
        <w:rPr>
          <w:sz w:val="21"/>
          <w:szCs w:val="21"/>
        </w:rPr>
      </w:pPr>
      <w:r>
        <w:rPr>
          <w:spacing w:val="-5"/>
          <w:sz w:val="21"/>
          <w:szCs w:val="21"/>
        </w:rPr>
        <w:t>备注：投标人存在串通投标、弄虚作假、行贿或有其他违法行为，或者不按评标委员会要求澄清、说明或补正导致投</w:t>
      </w:r>
      <w:r>
        <w:rPr>
          <w:spacing w:val="-6"/>
          <w:sz w:val="21"/>
          <w:szCs w:val="21"/>
        </w:rPr>
        <w:t>标被否决的，应 当在本表中记录。</w:t>
      </w:r>
    </w:p>
    <w:p w14:paraId="279F12A3">
      <w:pPr>
        <w:spacing w:line="219" w:lineRule="auto"/>
        <w:rPr>
          <w:sz w:val="21"/>
          <w:szCs w:val="21"/>
        </w:rPr>
        <w:sectPr>
          <w:headerReference r:id="rId94" w:type="default"/>
          <w:footerReference r:id="rId95" w:type="default"/>
          <w:pgSz w:w="16840" w:h="11910"/>
          <w:pgMar w:top="400" w:right="1514" w:bottom="971" w:left="1564" w:header="0" w:footer="827" w:gutter="0"/>
          <w:cols w:space="720" w:num="1"/>
        </w:sectPr>
      </w:pPr>
    </w:p>
    <w:p w14:paraId="5D44C384">
      <w:pPr>
        <w:spacing w:line="259" w:lineRule="auto"/>
        <w:rPr>
          <w:rFonts w:ascii="Arial"/>
          <w:sz w:val="21"/>
        </w:rPr>
      </w:pPr>
    </w:p>
    <w:p w14:paraId="3E6190C8">
      <w:pPr>
        <w:spacing w:line="259" w:lineRule="auto"/>
        <w:rPr>
          <w:rFonts w:ascii="Arial"/>
          <w:sz w:val="21"/>
        </w:rPr>
      </w:pPr>
    </w:p>
    <w:p w14:paraId="48CAD6BD">
      <w:pPr>
        <w:spacing w:line="259" w:lineRule="auto"/>
        <w:rPr>
          <w:rFonts w:ascii="Arial"/>
          <w:sz w:val="21"/>
        </w:rPr>
      </w:pPr>
    </w:p>
    <w:p w14:paraId="79A8FD52">
      <w:pPr>
        <w:spacing w:line="259" w:lineRule="auto"/>
        <w:rPr>
          <w:rFonts w:ascii="Arial"/>
          <w:sz w:val="21"/>
        </w:rPr>
      </w:pPr>
    </w:p>
    <w:p w14:paraId="75A7E619">
      <w:pPr>
        <w:spacing w:line="259" w:lineRule="auto"/>
        <w:rPr>
          <w:rFonts w:ascii="Arial"/>
          <w:sz w:val="21"/>
        </w:rPr>
      </w:pPr>
    </w:p>
    <w:p w14:paraId="05421C85">
      <w:pPr>
        <w:spacing w:before="82" w:line="222" w:lineRule="auto"/>
        <w:ind w:left="538"/>
        <w:outlineLvl w:val="2"/>
        <w:rPr>
          <w:rFonts w:ascii="黑体" w:hAnsi="黑体" w:eastAsia="黑体" w:cs="黑体"/>
          <w:sz w:val="25"/>
          <w:szCs w:val="25"/>
        </w:rPr>
      </w:pPr>
      <w:bookmarkStart w:id="233" w:name="bookmark170"/>
      <w:bookmarkEnd w:id="233"/>
      <w:r>
        <w:rPr>
          <w:rFonts w:ascii="黑体" w:hAnsi="黑体" w:eastAsia="黑体" w:cs="黑体"/>
          <w:b/>
          <w:bCs/>
          <w:spacing w:val="-4"/>
          <w:sz w:val="25"/>
          <w:szCs w:val="25"/>
        </w:rPr>
        <w:t>附表</w:t>
      </w:r>
      <w:r>
        <w:rPr>
          <w:rFonts w:ascii="Times New Roman" w:hAnsi="Times New Roman" w:eastAsia="Times New Roman" w:cs="Times New Roman"/>
          <w:b/>
          <w:bCs/>
          <w:spacing w:val="-4"/>
          <w:sz w:val="25"/>
          <w:szCs w:val="25"/>
        </w:rPr>
        <w:t>D-1:</w:t>
      </w:r>
      <w:r>
        <w:rPr>
          <w:rFonts w:ascii="Times New Roman" w:hAnsi="Times New Roman" w:eastAsia="Times New Roman" w:cs="Times New Roman"/>
          <w:b/>
          <w:bCs/>
          <w:spacing w:val="25"/>
          <w:w w:val="101"/>
          <w:sz w:val="25"/>
          <w:szCs w:val="25"/>
        </w:rPr>
        <w:t xml:space="preserve">  </w:t>
      </w:r>
      <w:r>
        <w:rPr>
          <w:rFonts w:ascii="黑体" w:hAnsi="黑体" w:eastAsia="黑体" w:cs="黑体"/>
          <w:b/>
          <w:bCs/>
          <w:spacing w:val="-4"/>
          <w:sz w:val="25"/>
          <w:szCs w:val="25"/>
        </w:rPr>
        <w:t>成本评审结论记录表</w:t>
      </w:r>
    </w:p>
    <w:p w14:paraId="26E5C525">
      <w:pPr>
        <w:spacing w:before="280" w:line="222" w:lineRule="auto"/>
        <w:ind w:left="3119"/>
        <w:rPr>
          <w:rFonts w:ascii="黑体" w:hAnsi="黑体" w:eastAsia="黑体" w:cs="黑体"/>
          <w:sz w:val="32"/>
          <w:szCs w:val="32"/>
        </w:rPr>
      </w:pPr>
      <w:bookmarkStart w:id="234" w:name="bookmark281"/>
      <w:bookmarkEnd w:id="234"/>
      <w:r>
        <w:rPr>
          <w:rFonts w:ascii="黑体" w:hAnsi="黑体" w:eastAsia="黑体" w:cs="黑体"/>
          <w:b/>
          <w:bCs/>
          <w:spacing w:val="-1"/>
          <w:sz w:val="32"/>
          <w:szCs w:val="32"/>
        </w:rPr>
        <w:t>成本评审结论记录表</w:t>
      </w:r>
    </w:p>
    <w:p w14:paraId="2ADF8B2C">
      <w:pPr>
        <w:pStyle w:val="2"/>
        <w:spacing w:before="268" w:line="207" w:lineRule="auto"/>
        <w:ind w:left="115"/>
        <w:rPr>
          <w:sz w:val="21"/>
          <w:szCs w:val="21"/>
        </w:rPr>
      </w:pPr>
      <w:r>
        <w:rPr>
          <w:spacing w:val="-1"/>
          <w:sz w:val="21"/>
          <w:szCs w:val="21"/>
        </w:rPr>
        <w:t>投标人名称：</w:t>
      </w:r>
    </w:p>
    <w:tbl>
      <w:tblPr>
        <w:tblStyle w:val="5"/>
        <w:tblW w:w="870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84"/>
        <w:gridCol w:w="7516"/>
      </w:tblGrid>
      <w:tr w14:paraId="3DF816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93" w:hRule="atLeast"/>
        </w:trPr>
        <w:tc>
          <w:tcPr>
            <w:tcW w:w="8700" w:type="dxa"/>
            <w:gridSpan w:val="2"/>
            <w:vAlign w:val="top"/>
          </w:tcPr>
          <w:p w14:paraId="0D8A64AA">
            <w:pPr>
              <w:pStyle w:val="6"/>
              <w:spacing w:before="93" w:line="219" w:lineRule="auto"/>
              <w:ind w:left="105"/>
            </w:pPr>
            <w:r>
              <w:rPr>
                <w:spacing w:val="-1"/>
              </w:rPr>
              <w:t>需投标人澄清和说明的主要事项概要：</w:t>
            </w:r>
          </w:p>
        </w:tc>
      </w:tr>
      <w:tr w14:paraId="310ADA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99" w:hRule="atLeast"/>
        </w:trPr>
        <w:tc>
          <w:tcPr>
            <w:tcW w:w="8700" w:type="dxa"/>
            <w:gridSpan w:val="2"/>
            <w:vAlign w:val="top"/>
          </w:tcPr>
          <w:p w14:paraId="692421B7">
            <w:pPr>
              <w:pStyle w:val="6"/>
              <w:spacing w:before="99" w:line="219" w:lineRule="auto"/>
              <w:ind w:left="105"/>
            </w:pPr>
            <w:r>
              <w:rPr>
                <w:spacing w:val="-1"/>
              </w:rPr>
              <w:t>投标人澄清、说明、补正和提供证明材料的情况说明：</w:t>
            </w:r>
          </w:p>
        </w:tc>
      </w:tr>
      <w:tr w14:paraId="6A108D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9" w:hRule="atLeast"/>
        </w:trPr>
        <w:tc>
          <w:tcPr>
            <w:tcW w:w="1184" w:type="dxa"/>
            <w:vAlign w:val="top"/>
          </w:tcPr>
          <w:p w14:paraId="42F07673">
            <w:pPr>
              <w:pStyle w:val="6"/>
              <w:spacing w:before="282" w:line="220" w:lineRule="auto"/>
              <w:ind w:left="154"/>
            </w:pPr>
            <w:r>
              <w:rPr>
                <w:spacing w:val="-2"/>
              </w:rPr>
              <w:t>评审结论</w:t>
            </w:r>
          </w:p>
        </w:tc>
        <w:tc>
          <w:tcPr>
            <w:tcW w:w="7516" w:type="dxa"/>
            <w:vAlign w:val="top"/>
          </w:tcPr>
          <w:p w14:paraId="7B218A2B">
            <w:pPr>
              <w:pStyle w:val="6"/>
              <w:spacing w:before="271" w:line="227" w:lineRule="auto"/>
              <w:ind w:left="441"/>
            </w:pPr>
            <w:r>
              <w:rPr>
                <w:spacing w:val="1"/>
              </w:rPr>
              <w:t>□低于成本</w:t>
            </w:r>
            <w:r>
              <w:rPr>
                <w:spacing w:val="19"/>
              </w:rPr>
              <w:t xml:space="preserve">    </w:t>
            </w:r>
            <w:r>
              <w:rPr>
                <w:spacing w:val="1"/>
              </w:rPr>
              <w:t>□不低于成本</w:t>
            </w:r>
          </w:p>
        </w:tc>
      </w:tr>
      <w:tr w14:paraId="71F5C6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66" w:hRule="atLeast"/>
        </w:trPr>
        <w:tc>
          <w:tcPr>
            <w:tcW w:w="1184" w:type="dxa"/>
            <w:textDirection w:val="tbRlV"/>
            <w:vAlign w:val="top"/>
          </w:tcPr>
          <w:p w14:paraId="408A0EA3">
            <w:pPr>
              <w:spacing w:line="403" w:lineRule="auto"/>
              <w:rPr>
                <w:rFonts w:ascii="Arial"/>
                <w:sz w:val="21"/>
              </w:rPr>
            </w:pPr>
          </w:p>
          <w:p w14:paraId="7E96282D">
            <w:pPr>
              <w:pStyle w:val="6"/>
              <w:spacing w:before="71" w:line="202" w:lineRule="auto"/>
              <w:ind w:left="1164"/>
            </w:pPr>
            <w:r>
              <w:t>评</w:t>
            </w:r>
            <w:r>
              <w:rPr>
                <w:spacing w:val="-32"/>
              </w:rPr>
              <w:t xml:space="preserve"> </w:t>
            </w:r>
            <w:r>
              <w:t>审</w:t>
            </w:r>
            <w:r>
              <w:rPr>
                <w:spacing w:val="-32"/>
              </w:rPr>
              <w:t xml:space="preserve"> </w:t>
            </w:r>
            <w:r>
              <w:t>意</w:t>
            </w:r>
            <w:r>
              <w:rPr>
                <w:spacing w:val="-32"/>
              </w:rPr>
              <w:t xml:space="preserve"> </w:t>
            </w:r>
            <w:r>
              <w:t>见</w:t>
            </w:r>
            <w:r>
              <w:rPr>
                <w:spacing w:val="-32"/>
              </w:rPr>
              <w:t xml:space="preserve"> </w:t>
            </w:r>
            <w:r>
              <w:t>概</w:t>
            </w:r>
            <w:r>
              <w:rPr>
                <w:spacing w:val="-32"/>
              </w:rPr>
              <w:t xml:space="preserve"> </w:t>
            </w:r>
            <w:r>
              <w:t>要</w:t>
            </w:r>
          </w:p>
        </w:tc>
        <w:tc>
          <w:tcPr>
            <w:tcW w:w="7516" w:type="dxa"/>
            <w:vAlign w:val="top"/>
          </w:tcPr>
          <w:p w14:paraId="2B2BA869">
            <w:pPr>
              <w:rPr>
                <w:rFonts w:ascii="Arial"/>
                <w:sz w:val="21"/>
              </w:rPr>
            </w:pPr>
          </w:p>
        </w:tc>
      </w:tr>
      <w:tr w14:paraId="5EAE60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82" w:hRule="atLeast"/>
        </w:trPr>
        <w:tc>
          <w:tcPr>
            <w:tcW w:w="1184" w:type="dxa"/>
            <w:textDirection w:val="tbRlV"/>
            <w:vAlign w:val="top"/>
          </w:tcPr>
          <w:p w14:paraId="2FE34217">
            <w:pPr>
              <w:spacing w:line="423" w:lineRule="auto"/>
              <w:rPr>
                <w:rFonts w:ascii="Arial"/>
                <w:sz w:val="21"/>
              </w:rPr>
            </w:pPr>
          </w:p>
          <w:p w14:paraId="619338A7">
            <w:pPr>
              <w:pStyle w:val="6"/>
              <w:spacing w:before="70" w:line="201" w:lineRule="auto"/>
            </w:pPr>
            <w:r>
              <w:rPr>
                <w:spacing w:val="-1"/>
              </w:rPr>
              <w:t>评</w:t>
            </w:r>
            <w:r>
              <w:rPr>
                <w:spacing w:val="-36"/>
              </w:rPr>
              <w:t xml:space="preserve"> </w:t>
            </w:r>
            <w:r>
              <w:rPr>
                <w:spacing w:val="-1"/>
              </w:rPr>
              <w:t>标</w:t>
            </w:r>
            <w:r>
              <w:rPr>
                <w:spacing w:val="-37"/>
              </w:rPr>
              <w:t xml:space="preserve"> </w:t>
            </w:r>
            <w:r>
              <w:rPr>
                <w:spacing w:val="-1"/>
              </w:rPr>
              <w:t>委</w:t>
            </w:r>
            <w:r>
              <w:rPr>
                <w:spacing w:val="-38"/>
              </w:rPr>
              <w:t xml:space="preserve"> </w:t>
            </w:r>
            <w:r>
              <w:rPr>
                <w:spacing w:val="-1"/>
              </w:rPr>
              <w:t>员</w:t>
            </w:r>
            <w:r>
              <w:rPr>
                <w:spacing w:val="-38"/>
              </w:rPr>
              <w:t xml:space="preserve"> </w:t>
            </w:r>
            <w:r>
              <w:rPr>
                <w:spacing w:val="-1"/>
              </w:rPr>
              <w:t>会</w:t>
            </w:r>
            <w:r>
              <w:rPr>
                <w:spacing w:val="-37"/>
              </w:rPr>
              <w:t xml:space="preserve"> </w:t>
            </w:r>
            <w:r>
              <w:rPr>
                <w:spacing w:val="-1"/>
              </w:rPr>
              <w:t>全</w:t>
            </w:r>
            <w:r>
              <w:rPr>
                <w:spacing w:val="-38"/>
              </w:rPr>
              <w:t xml:space="preserve"> </w:t>
            </w:r>
            <w:r>
              <w:rPr>
                <w:spacing w:val="-1"/>
              </w:rPr>
              <w:t>体</w:t>
            </w:r>
            <w:r>
              <w:rPr>
                <w:spacing w:val="-37"/>
              </w:rPr>
              <w:t xml:space="preserve"> </w:t>
            </w:r>
            <w:r>
              <w:rPr>
                <w:spacing w:val="-1"/>
              </w:rPr>
              <w:t>成</w:t>
            </w:r>
            <w:r>
              <w:rPr>
                <w:spacing w:val="-38"/>
              </w:rPr>
              <w:t xml:space="preserve"> </w:t>
            </w:r>
            <w:r>
              <w:rPr>
                <w:spacing w:val="-1"/>
              </w:rPr>
              <w:t>员</w:t>
            </w:r>
            <w:r>
              <w:rPr>
                <w:spacing w:val="-37"/>
              </w:rPr>
              <w:t xml:space="preserve"> </w:t>
            </w:r>
            <w:r>
              <w:rPr>
                <w:spacing w:val="-1"/>
              </w:rPr>
              <w:t>签</w:t>
            </w:r>
            <w:r>
              <w:rPr>
                <w:spacing w:val="-38"/>
              </w:rPr>
              <w:t xml:space="preserve"> </w:t>
            </w:r>
            <w:r>
              <w:rPr>
                <w:spacing w:val="-1"/>
              </w:rPr>
              <w:t>名</w:t>
            </w:r>
          </w:p>
        </w:tc>
        <w:tc>
          <w:tcPr>
            <w:tcW w:w="7516" w:type="dxa"/>
            <w:vAlign w:val="top"/>
          </w:tcPr>
          <w:p w14:paraId="28F25308">
            <w:pPr>
              <w:spacing w:line="254" w:lineRule="auto"/>
              <w:rPr>
                <w:rFonts w:ascii="Arial"/>
                <w:sz w:val="21"/>
              </w:rPr>
            </w:pPr>
          </w:p>
          <w:p w14:paraId="47663A4D">
            <w:pPr>
              <w:spacing w:line="254" w:lineRule="auto"/>
              <w:rPr>
                <w:rFonts w:ascii="Arial"/>
                <w:sz w:val="21"/>
              </w:rPr>
            </w:pPr>
          </w:p>
          <w:p w14:paraId="1D756D4C">
            <w:pPr>
              <w:spacing w:line="254" w:lineRule="auto"/>
              <w:rPr>
                <w:rFonts w:ascii="Arial"/>
                <w:sz w:val="21"/>
              </w:rPr>
            </w:pPr>
          </w:p>
          <w:p w14:paraId="441EC579">
            <w:pPr>
              <w:spacing w:line="254" w:lineRule="auto"/>
              <w:rPr>
                <w:rFonts w:ascii="Arial"/>
                <w:sz w:val="21"/>
              </w:rPr>
            </w:pPr>
          </w:p>
          <w:p w14:paraId="6304D97F">
            <w:pPr>
              <w:spacing w:line="254" w:lineRule="auto"/>
              <w:rPr>
                <w:rFonts w:ascii="Arial"/>
                <w:sz w:val="21"/>
              </w:rPr>
            </w:pPr>
          </w:p>
          <w:p w14:paraId="79ADC579">
            <w:pPr>
              <w:spacing w:line="254" w:lineRule="auto"/>
              <w:rPr>
                <w:rFonts w:ascii="Arial"/>
                <w:sz w:val="21"/>
              </w:rPr>
            </w:pPr>
          </w:p>
          <w:p w14:paraId="56D8AEE1">
            <w:pPr>
              <w:spacing w:line="254" w:lineRule="auto"/>
              <w:rPr>
                <w:rFonts w:ascii="Arial"/>
                <w:sz w:val="21"/>
              </w:rPr>
            </w:pPr>
          </w:p>
          <w:p w14:paraId="72308F69">
            <w:pPr>
              <w:spacing w:line="254" w:lineRule="auto"/>
              <w:rPr>
                <w:rFonts w:ascii="Arial"/>
                <w:sz w:val="21"/>
              </w:rPr>
            </w:pPr>
          </w:p>
          <w:p w14:paraId="081E40C7">
            <w:pPr>
              <w:spacing w:line="255" w:lineRule="auto"/>
              <w:rPr>
                <w:rFonts w:ascii="Arial"/>
                <w:sz w:val="21"/>
              </w:rPr>
            </w:pPr>
          </w:p>
          <w:p w14:paraId="62452984">
            <w:pPr>
              <w:spacing w:line="255" w:lineRule="auto"/>
              <w:rPr>
                <w:rFonts w:ascii="Arial"/>
                <w:sz w:val="21"/>
              </w:rPr>
            </w:pPr>
          </w:p>
          <w:p w14:paraId="205A022C">
            <w:pPr>
              <w:pStyle w:val="6"/>
              <w:spacing w:before="69" w:line="219" w:lineRule="auto"/>
              <w:ind w:left="5421"/>
            </w:pPr>
            <w:r>
              <w:rPr>
                <w:spacing w:val="-8"/>
              </w:rPr>
              <w:t>年</w:t>
            </w:r>
            <w:r>
              <w:rPr>
                <w:spacing w:val="15"/>
              </w:rPr>
              <w:t xml:space="preserve">   </w:t>
            </w:r>
            <w:r>
              <w:rPr>
                <w:spacing w:val="-8"/>
              </w:rPr>
              <w:t>月</w:t>
            </w:r>
            <w:r>
              <w:rPr>
                <w:spacing w:val="26"/>
              </w:rPr>
              <w:t xml:space="preserve">   </w:t>
            </w:r>
            <w:r>
              <w:rPr>
                <w:spacing w:val="-8"/>
              </w:rPr>
              <w:t>日</w:t>
            </w:r>
          </w:p>
        </w:tc>
      </w:tr>
    </w:tbl>
    <w:p w14:paraId="56E0486E">
      <w:pPr>
        <w:rPr>
          <w:rFonts w:ascii="Arial"/>
          <w:sz w:val="21"/>
        </w:rPr>
      </w:pPr>
    </w:p>
    <w:p w14:paraId="7C4BE8A1">
      <w:pPr>
        <w:rPr>
          <w:rFonts w:ascii="Arial" w:hAnsi="Arial" w:eastAsia="Arial" w:cs="Arial"/>
          <w:sz w:val="21"/>
          <w:szCs w:val="21"/>
        </w:rPr>
        <w:sectPr>
          <w:footerReference r:id="rId96" w:type="default"/>
          <w:pgSz w:w="11910" w:h="16840"/>
          <w:pgMar w:top="400" w:right="1786" w:bottom="1024" w:left="1355" w:header="0" w:footer="889" w:gutter="0"/>
          <w:cols w:space="720" w:num="1"/>
        </w:sectPr>
      </w:pPr>
    </w:p>
    <w:p w14:paraId="5C55F94C">
      <w:pPr>
        <w:spacing w:line="259" w:lineRule="auto"/>
        <w:rPr>
          <w:rFonts w:ascii="Arial"/>
          <w:sz w:val="21"/>
        </w:rPr>
      </w:pPr>
    </w:p>
    <w:p w14:paraId="2F7C79D5">
      <w:pPr>
        <w:spacing w:line="259" w:lineRule="auto"/>
        <w:rPr>
          <w:rFonts w:ascii="Arial"/>
          <w:sz w:val="21"/>
        </w:rPr>
      </w:pPr>
    </w:p>
    <w:p w14:paraId="12E96C2C">
      <w:pPr>
        <w:spacing w:line="259" w:lineRule="auto"/>
        <w:rPr>
          <w:rFonts w:ascii="Arial"/>
          <w:sz w:val="21"/>
        </w:rPr>
      </w:pPr>
    </w:p>
    <w:p w14:paraId="160A8A44">
      <w:pPr>
        <w:spacing w:line="259" w:lineRule="auto"/>
        <w:rPr>
          <w:rFonts w:ascii="Arial"/>
          <w:sz w:val="21"/>
        </w:rPr>
      </w:pPr>
    </w:p>
    <w:p w14:paraId="1A70BF30">
      <w:pPr>
        <w:spacing w:line="259" w:lineRule="auto"/>
        <w:rPr>
          <w:rFonts w:ascii="Arial"/>
          <w:sz w:val="21"/>
        </w:rPr>
      </w:pPr>
    </w:p>
    <w:p w14:paraId="4138AD28">
      <w:pPr>
        <w:spacing w:before="82" w:line="222" w:lineRule="auto"/>
        <w:ind w:left="443"/>
        <w:outlineLvl w:val="2"/>
        <w:rPr>
          <w:rFonts w:ascii="黑体" w:hAnsi="黑体" w:eastAsia="黑体" w:cs="黑体"/>
          <w:sz w:val="25"/>
          <w:szCs w:val="25"/>
        </w:rPr>
      </w:pPr>
      <w:bookmarkStart w:id="235" w:name="bookmark171"/>
      <w:bookmarkEnd w:id="235"/>
      <w:r>
        <w:rPr>
          <w:rFonts w:ascii="黑体" w:hAnsi="黑体" w:eastAsia="黑体" w:cs="黑体"/>
          <w:b/>
          <w:bCs/>
          <w:spacing w:val="-9"/>
          <w:sz w:val="25"/>
          <w:szCs w:val="25"/>
        </w:rPr>
        <w:t>附表</w:t>
      </w:r>
      <w:r>
        <w:rPr>
          <w:rFonts w:ascii="黑体" w:hAnsi="黑体" w:eastAsia="黑体" w:cs="黑体"/>
          <w:spacing w:val="-65"/>
          <w:sz w:val="25"/>
          <w:szCs w:val="25"/>
        </w:rPr>
        <w:t xml:space="preserve"> </w:t>
      </w:r>
      <w:r>
        <w:rPr>
          <w:rFonts w:ascii="Times New Roman" w:hAnsi="Times New Roman" w:eastAsia="Times New Roman" w:cs="Times New Roman"/>
          <w:b/>
          <w:bCs/>
          <w:spacing w:val="-9"/>
          <w:sz w:val="25"/>
          <w:szCs w:val="25"/>
        </w:rPr>
        <w:t>C-1:</w:t>
      </w:r>
      <w:r>
        <w:rPr>
          <w:rFonts w:ascii="Times New Roman" w:hAnsi="Times New Roman" w:eastAsia="Times New Roman" w:cs="Times New Roman"/>
          <w:b/>
          <w:bCs/>
          <w:spacing w:val="18"/>
          <w:sz w:val="25"/>
          <w:szCs w:val="25"/>
        </w:rPr>
        <w:t xml:space="preserve">  </w:t>
      </w:r>
      <w:r>
        <w:rPr>
          <w:rFonts w:ascii="黑体" w:hAnsi="黑体" w:eastAsia="黑体" w:cs="黑体"/>
          <w:b/>
          <w:bCs/>
          <w:spacing w:val="-9"/>
          <w:sz w:val="25"/>
          <w:szCs w:val="25"/>
        </w:rPr>
        <w:t>清标报告-分部分项工程和单价措施项目符</w:t>
      </w:r>
      <w:r>
        <w:rPr>
          <w:rFonts w:ascii="黑体" w:hAnsi="黑体" w:eastAsia="黑体" w:cs="黑体"/>
          <w:b/>
          <w:bCs/>
          <w:spacing w:val="-10"/>
          <w:sz w:val="25"/>
          <w:szCs w:val="25"/>
        </w:rPr>
        <w:t>合性检查</w:t>
      </w:r>
    </w:p>
    <w:p w14:paraId="702A71E1">
      <w:pPr>
        <w:spacing w:line="243" w:lineRule="auto"/>
        <w:rPr>
          <w:rFonts w:ascii="Arial"/>
          <w:sz w:val="21"/>
        </w:rPr>
      </w:pPr>
    </w:p>
    <w:p w14:paraId="19B37113">
      <w:pPr>
        <w:spacing w:line="244" w:lineRule="auto"/>
        <w:rPr>
          <w:rFonts w:ascii="Arial"/>
          <w:sz w:val="21"/>
        </w:rPr>
      </w:pPr>
    </w:p>
    <w:p w14:paraId="508F35B8">
      <w:pPr>
        <w:spacing w:line="244" w:lineRule="auto"/>
        <w:rPr>
          <w:rFonts w:ascii="Arial"/>
          <w:sz w:val="21"/>
        </w:rPr>
      </w:pPr>
    </w:p>
    <w:p w14:paraId="57084C67">
      <w:pPr>
        <w:pStyle w:val="2"/>
        <w:spacing w:before="104" w:line="218" w:lineRule="auto"/>
        <w:ind w:left="834"/>
        <w:rPr>
          <w:sz w:val="32"/>
          <w:szCs w:val="32"/>
        </w:rPr>
      </w:pPr>
      <w:bookmarkStart w:id="236" w:name="bookmark282"/>
      <w:bookmarkEnd w:id="236"/>
      <w:r>
        <w:rPr>
          <w:b/>
          <w:bCs/>
          <w:spacing w:val="-3"/>
          <w:sz w:val="32"/>
          <w:szCs w:val="32"/>
        </w:rPr>
        <w:t>清标报告-分部分项工程和单价措施项目符合性检查</w:t>
      </w:r>
    </w:p>
    <w:p w14:paraId="583ABBC5">
      <w:pPr>
        <w:spacing w:line="308" w:lineRule="auto"/>
        <w:rPr>
          <w:rFonts w:ascii="Arial"/>
          <w:sz w:val="21"/>
        </w:rPr>
      </w:pPr>
    </w:p>
    <w:p w14:paraId="519BC492">
      <w:pPr>
        <w:pStyle w:val="2"/>
        <w:spacing w:before="65" w:line="220" w:lineRule="auto"/>
        <w:rPr>
          <w:sz w:val="20"/>
          <w:szCs w:val="20"/>
        </w:rPr>
      </w:pPr>
      <w:r>
        <w:rPr>
          <w:spacing w:val="1"/>
          <w:sz w:val="20"/>
          <w:szCs w:val="20"/>
        </w:rPr>
        <w:t>投标人名称：</w:t>
      </w:r>
    </w:p>
    <w:p w14:paraId="0BD0D651">
      <w:pPr>
        <w:spacing w:before="176"/>
      </w:pPr>
    </w:p>
    <w:tbl>
      <w:tblPr>
        <w:tblStyle w:val="5"/>
        <w:tblW w:w="8850" w:type="dxa"/>
        <w:tblInd w:w="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94"/>
        <w:gridCol w:w="978"/>
        <w:gridCol w:w="989"/>
        <w:gridCol w:w="979"/>
        <w:gridCol w:w="969"/>
        <w:gridCol w:w="999"/>
        <w:gridCol w:w="969"/>
        <w:gridCol w:w="979"/>
        <w:gridCol w:w="994"/>
      </w:tblGrid>
      <w:tr w14:paraId="7AD328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4" w:hRule="atLeast"/>
        </w:trPr>
        <w:tc>
          <w:tcPr>
            <w:tcW w:w="2961" w:type="dxa"/>
            <w:gridSpan w:val="3"/>
            <w:vAlign w:val="top"/>
          </w:tcPr>
          <w:p w14:paraId="19D525ED">
            <w:pPr>
              <w:pStyle w:val="6"/>
              <w:spacing w:before="163" w:line="220" w:lineRule="auto"/>
              <w:ind w:left="925"/>
              <w:rPr>
                <w:sz w:val="20"/>
                <w:szCs w:val="20"/>
              </w:rPr>
            </w:pPr>
            <w:r>
              <w:rPr>
                <w:spacing w:val="-2"/>
                <w:sz w:val="20"/>
                <w:szCs w:val="20"/>
              </w:rPr>
              <w:t>单位工程名称</w:t>
            </w:r>
          </w:p>
        </w:tc>
        <w:tc>
          <w:tcPr>
            <w:tcW w:w="5889" w:type="dxa"/>
            <w:gridSpan w:val="6"/>
            <w:vAlign w:val="top"/>
          </w:tcPr>
          <w:p w14:paraId="3F6F3457">
            <w:pPr>
              <w:rPr>
                <w:rFonts w:ascii="Arial"/>
                <w:sz w:val="21"/>
              </w:rPr>
            </w:pPr>
          </w:p>
        </w:tc>
      </w:tr>
      <w:tr w14:paraId="3D272F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atLeast"/>
        </w:trPr>
        <w:tc>
          <w:tcPr>
            <w:tcW w:w="8850" w:type="dxa"/>
            <w:gridSpan w:val="9"/>
            <w:vAlign w:val="top"/>
          </w:tcPr>
          <w:p w14:paraId="47D6ED14">
            <w:pPr>
              <w:pStyle w:val="6"/>
              <w:spacing w:before="154" w:line="218" w:lineRule="auto"/>
              <w:ind w:left="2407"/>
              <w:rPr>
                <w:sz w:val="20"/>
                <w:szCs w:val="20"/>
              </w:rPr>
            </w:pPr>
            <w:r>
              <w:rPr>
                <w:b/>
                <w:bCs/>
                <w:spacing w:val="-4"/>
                <w:sz w:val="20"/>
                <w:szCs w:val="20"/>
              </w:rPr>
              <w:t>一、分部分项工程和单价措施项目符合性检查</w:t>
            </w:r>
          </w:p>
        </w:tc>
      </w:tr>
      <w:tr w14:paraId="183AA7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9" w:hRule="atLeast"/>
        </w:trPr>
        <w:tc>
          <w:tcPr>
            <w:tcW w:w="994" w:type="dxa"/>
            <w:vAlign w:val="top"/>
          </w:tcPr>
          <w:p w14:paraId="5822DA4D">
            <w:pPr>
              <w:pStyle w:val="6"/>
              <w:spacing w:before="30" w:line="220" w:lineRule="auto"/>
              <w:ind w:left="185"/>
              <w:rPr>
                <w:sz w:val="20"/>
                <w:szCs w:val="20"/>
              </w:rPr>
            </w:pPr>
            <w:r>
              <w:rPr>
                <w:spacing w:val="8"/>
                <w:sz w:val="20"/>
                <w:szCs w:val="20"/>
              </w:rPr>
              <w:t>项目名</w:t>
            </w:r>
          </w:p>
          <w:p w14:paraId="26DE50FC">
            <w:pPr>
              <w:pStyle w:val="6"/>
              <w:spacing w:before="20" w:line="226" w:lineRule="auto"/>
              <w:ind w:left="384" w:right="184" w:hanging="199"/>
              <w:rPr>
                <w:sz w:val="20"/>
                <w:szCs w:val="20"/>
              </w:rPr>
            </w:pPr>
            <w:r>
              <w:rPr>
                <w:spacing w:val="4"/>
                <w:sz w:val="20"/>
                <w:szCs w:val="20"/>
              </w:rPr>
              <w:t>称或编</w:t>
            </w:r>
            <w:r>
              <w:rPr>
                <w:spacing w:val="1"/>
                <w:sz w:val="20"/>
                <w:szCs w:val="20"/>
              </w:rPr>
              <w:t xml:space="preserve"> </w:t>
            </w:r>
            <w:r>
              <w:rPr>
                <w:sz w:val="20"/>
                <w:szCs w:val="20"/>
              </w:rPr>
              <w:t>号</w:t>
            </w:r>
          </w:p>
        </w:tc>
        <w:tc>
          <w:tcPr>
            <w:tcW w:w="978" w:type="dxa"/>
            <w:vAlign w:val="top"/>
          </w:tcPr>
          <w:p w14:paraId="08B6879B">
            <w:pPr>
              <w:pStyle w:val="6"/>
              <w:spacing w:before="161" w:line="253" w:lineRule="auto"/>
              <w:ind w:left="181" w:right="172"/>
              <w:rPr>
                <w:sz w:val="20"/>
                <w:szCs w:val="20"/>
              </w:rPr>
            </w:pPr>
            <w:r>
              <w:rPr>
                <w:spacing w:val="4"/>
                <w:sz w:val="20"/>
                <w:szCs w:val="20"/>
              </w:rPr>
              <w:t>项目编</w:t>
            </w:r>
            <w:r>
              <w:rPr>
                <w:spacing w:val="1"/>
                <w:sz w:val="20"/>
                <w:szCs w:val="20"/>
              </w:rPr>
              <w:t xml:space="preserve"> </w:t>
            </w:r>
            <w:r>
              <w:rPr>
                <w:spacing w:val="-2"/>
                <w:sz w:val="20"/>
                <w:szCs w:val="20"/>
              </w:rPr>
              <w:t>码错误</w:t>
            </w:r>
          </w:p>
        </w:tc>
        <w:tc>
          <w:tcPr>
            <w:tcW w:w="989" w:type="dxa"/>
            <w:vAlign w:val="top"/>
          </w:tcPr>
          <w:p w14:paraId="6DEB812A">
            <w:pPr>
              <w:pStyle w:val="6"/>
              <w:spacing w:before="160" w:line="253" w:lineRule="auto"/>
              <w:ind w:left="183" w:right="170"/>
              <w:rPr>
                <w:sz w:val="20"/>
                <w:szCs w:val="20"/>
              </w:rPr>
            </w:pPr>
            <w:r>
              <w:rPr>
                <w:spacing w:val="8"/>
                <w:sz w:val="20"/>
                <w:szCs w:val="20"/>
              </w:rPr>
              <w:t>项目名</w:t>
            </w:r>
            <w:r>
              <w:rPr>
                <w:sz w:val="20"/>
                <w:szCs w:val="20"/>
              </w:rPr>
              <w:t xml:space="preserve"> </w:t>
            </w:r>
            <w:r>
              <w:rPr>
                <w:spacing w:val="-2"/>
                <w:sz w:val="20"/>
                <w:szCs w:val="20"/>
              </w:rPr>
              <w:t>称错误</w:t>
            </w:r>
          </w:p>
        </w:tc>
        <w:tc>
          <w:tcPr>
            <w:tcW w:w="979" w:type="dxa"/>
            <w:vAlign w:val="top"/>
          </w:tcPr>
          <w:p w14:paraId="1EC00B37">
            <w:pPr>
              <w:pStyle w:val="6"/>
              <w:spacing w:before="20" w:line="219" w:lineRule="auto"/>
              <w:ind w:left="184"/>
              <w:rPr>
                <w:sz w:val="20"/>
                <w:szCs w:val="20"/>
              </w:rPr>
            </w:pPr>
            <w:r>
              <w:rPr>
                <w:spacing w:val="-3"/>
                <w:sz w:val="20"/>
                <w:szCs w:val="20"/>
              </w:rPr>
              <w:t>项目特</w:t>
            </w:r>
          </w:p>
          <w:p w14:paraId="544B99D4">
            <w:pPr>
              <w:pStyle w:val="6"/>
              <w:spacing w:before="31" w:line="226" w:lineRule="auto"/>
              <w:ind w:left="283" w:right="195" w:hanging="99"/>
              <w:rPr>
                <w:sz w:val="20"/>
                <w:szCs w:val="20"/>
              </w:rPr>
            </w:pPr>
            <w:r>
              <w:rPr>
                <w:spacing w:val="-4"/>
                <w:sz w:val="20"/>
                <w:szCs w:val="20"/>
              </w:rPr>
              <w:t>征描述</w:t>
            </w:r>
            <w:r>
              <w:rPr>
                <w:sz w:val="20"/>
                <w:szCs w:val="20"/>
              </w:rPr>
              <w:t xml:space="preserve"> </w:t>
            </w:r>
            <w:r>
              <w:rPr>
                <w:spacing w:val="-2"/>
                <w:sz w:val="20"/>
                <w:szCs w:val="20"/>
              </w:rPr>
              <w:t>错误</w:t>
            </w:r>
          </w:p>
        </w:tc>
        <w:tc>
          <w:tcPr>
            <w:tcW w:w="969" w:type="dxa"/>
            <w:vAlign w:val="top"/>
          </w:tcPr>
          <w:p w14:paraId="3AACA83F">
            <w:pPr>
              <w:pStyle w:val="6"/>
              <w:spacing w:before="160" w:line="220" w:lineRule="auto"/>
              <w:ind w:left="175"/>
              <w:rPr>
                <w:sz w:val="20"/>
                <w:szCs w:val="20"/>
              </w:rPr>
            </w:pPr>
            <w:r>
              <w:rPr>
                <w:spacing w:val="-2"/>
                <w:sz w:val="20"/>
                <w:szCs w:val="20"/>
              </w:rPr>
              <w:t>计量单</w:t>
            </w:r>
          </w:p>
          <w:p w14:paraId="3B810499">
            <w:pPr>
              <w:pStyle w:val="6"/>
              <w:spacing w:before="32" w:line="221" w:lineRule="auto"/>
              <w:ind w:left="175"/>
              <w:rPr>
                <w:sz w:val="20"/>
                <w:szCs w:val="20"/>
              </w:rPr>
            </w:pPr>
            <w:r>
              <w:rPr>
                <w:spacing w:val="-2"/>
                <w:sz w:val="20"/>
                <w:szCs w:val="20"/>
              </w:rPr>
              <w:t>位错误</w:t>
            </w:r>
          </w:p>
        </w:tc>
        <w:tc>
          <w:tcPr>
            <w:tcW w:w="999" w:type="dxa"/>
            <w:vAlign w:val="top"/>
          </w:tcPr>
          <w:p w14:paraId="29D9922A">
            <w:pPr>
              <w:pStyle w:val="6"/>
              <w:spacing w:before="161" w:line="243" w:lineRule="auto"/>
              <w:ind w:left="295" w:right="203" w:hanging="99"/>
              <w:rPr>
                <w:sz w:val="20"/>
                <w:szCs w:val="20"/>
              </w:rPr>
            </w:pPr>
            <w:r>
              <w:rPr>
                <w:spacing w:val="-4"/>
                <w:sz w:val="20"/>
                <w:szCs w:val="20"/>
              </w:rPr>
              <w:t>工程量</w:t>
            </w:r>
            <w:r>
              <w:rPr>
                <w:sz w:val="20"/>
                <w:szCs w:val="20"/>
              </w:rPr>
              <w:t xml:space="preserve"> </w:t>
            </w:r>
            <w:r>
              <w:rPr>
                <w:spacing w:val="-2"/>
                <w:sz w:val="20"/>
                <w:szCs w:val="20"/>
              </w:rPr>
              <w:t>错误</w:t>
            </w:r>
          </w:p>
        </w:tc>
        <w:tc>
          <w:tcPr>
            <w:tcW w:w="969" w:type="dxa"/>
            <w:vAlign w:val="top"/>
          </w:tcPr>
          <w:p w14:paraId="2BFAFE2D">
            <w:pPr>
              <w:pStyle w:val="6"/>
              <w:spacing w:before="300" w:line="219" w:lineRule="auto"/>
              <w:ind w:left="197"/>
              <w:rPr>
                <w:sz w:val="20"/>
                <w:szCs w:val="20"/>
              </w:rPr>
            </w:pPr>
            <w:r>
              <w:rPr>
                <w:spacing w:val="3"/>
                <w:sz w:val="20"/>
                <w:szCs w:val="20"/>
              </w:rPr>
              <w:t>未填报</w:t>
            </w:r>
          </w:p>
        </w:tc>
        <w:tc>
          <w:tcPr>
            <w:tcW w:w="979" w:type="dxa"/>
            <w:vAlign w:val="top"/>
          </w:tcPr>
          <w:p w14:paraId="3C6ABA16">
            <w:pPr>
              <w:pStyle w:val="6"/>
              <w:spacing w:before="300" w:line="220" w:lineRule="auto"/>
              <w:ind w:left="288"/>
              <w:rPr>
                <w:sz w:val="20"/>
                <w:szCs w:val="20"/>
              </w:rPr>
            </w:pPr>
            <w:r>
              <w:rPr>
                <w:spacing w:val="6"/>
                <w:sz w:val="20"/>
                <w:szCs w:val="20"/>
              </w:rPr>
              <w:t>多项</w:t>
            </w:r>
          </w:p>
        </w:tc>
        <w:tc>
          <w:tcPr>
            <w:tcW w:w="994" w:type="dxa"/>
            <w:vAlign w:val="top"/>
          </w:tcPr>
          <w:p w14:paraId="06E799FA">
            <w:pPr>
              <w:pStyle w:val="6"/>
              <w:spacing w:before="188" w:line="226" w:lineRule="auto"/>
              <w:ind w:left="189" w:right="205" w:firstLine="99"/>
              <w:rPr>
                <w:sz w:val="20"/>
                <w:szCs w:val="20"/>
              </w:rPr>
            </w:pPr>
            <w:r>
              <w:rPr>
                <w:spacing w:val="-5"/>
                <w:sz w:val="20"/>
                <w:szCs w:val="20"/>
              </w:rPr>
              <w:t>单价</w:t>
            </w:r>
            <w:r>
              <w:rPr>
                <w:sz w:val="20"/>
                <w:szCs w:val="20"/>
              </w:rPr>
              <w:t xml:space="preserve">  </w:t>
            </w:r>
            <w:r>
              <w:rPr>
                <w:spacing w:val="-4"/>
                <w:sz w:val="20"/>
                <w:szCs w:val="20"/>
              </w:rPr>
              <w:t>一致性</w:t>
            </w:r>
          </w:p>
        </w:tc>
      </w:tr>
      <w:tr w14:paraId="0D401B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994" w:type="dxa"/>
            <w:vAlign w:val="top"/>
          </w:tcPr>
          <w:p w14:paraId="196AFA2A">
            <w:pPr>
              <w:rPr>
                <w:rFonts w:ascii="Arial"/>
                <w:sz w:val="21"/>
              </w:rPr>
            </w:pPr>
          </w:p>
        </w:tc>
        <w:tc>
          <w:tcPr>
            <w:tcW w:w="978" w:type="dxa"/>
            <w:vAlign w:val="top"/>
          </w:tcPr>
          <w:p w14:paraId="0026D801">
            <w:pPr>
              <w:rPr>
                <w:rFonts w:ascii="Arial"/>
                <w:sz w:val="21"/>
              </w:rPr>
            </w:pPr>
          </w:p>
        </w:tc>
        <w:tc>
          <w:tcPr>
            <w:tcW w:w="989" w:type="dxa"/>
            <w:vAlign w:val="top"/>
          </w:tcPr>
          <w:p w14:paraId="754E58EB">
            <w:pPr>
              <w:rPr>
                <w:rFonts w:ascii="Arial"/>
                <w:sz w:val="21"/>
              </w:rPr>
            </w:pPr>
          </w:p>
        </w:tc>
        <w:tc>
          <w:tcPr>
            <w:tcW w:w="979" w:type="dxa"/>
            <w:vAlign w:val="top"/>
          </w:tcPr>
          <w:p w14:paraId="5CA86878">
            <w:pPr>
              <w:rPr>
                <w:rFonts w:ascii="Arial"/>
                <w:sz w:val="21"/>
              </w:rPr>
            </w:pPr>
          </w:p>
        </w:tc>
        <w:tc>
          <w:tcPr>
            <w:tcW w:w="969" w:type="dxa"/>
            <w:vAlign w:val="top"/>
          </w:tcPr>
          <w:p w14:paraId="6CDCC56B">
            <w:pPr>
              <w:rPr>
                <w:rFonts w:ascii="Arial"/>
                <w:sz w:val="21"/>
              </w:rPr>
            </w:pPr>
          </w:p>
        </w:tc>
        <w:tc>
          <w:tcPr>
            <w:tcW w:w="999" w:type="dxa"/>
            <w:vAlign w:val="top"/>
          </w:tcPr>
          <w:p w14:paraId="1940C34C">
            <w:pPr>
              <w:rPr>
                <w:rFonts w:ascii="Arial"/>
                <w:sz w:val="21"/>
              </w:rPr>
            </w:pPr>
          </w:p>
        </w:tc>
        <w:tc>
          <w:tcPr>
            <w:tcW w:w="969" w:type="dxa"/>
            <w:vAlign w:val="top"/>
          </w:tcPr>
          <w:p w14:paraId="784E24D2">
            <w:pPr>
              <w:rPr>
                <w:rFonts w:ascii="Arial"/>
                <w:sz w:val="21"/>
              </w:rPr>
            </w:pPr>
          </w:p>
        </w:tc>
        <w:tc>
          <w:tcPr>
            <w:tcW w:w="979" w:type="dxa"/>
            <w:vAlign w:val="top"/>
          </w:tcPr>
          <w:p w14:paraId="2E6D29F6">
            <w:pPr>
              <w:rPr>
                <w:rFonts w:ascii="Arial"/>
                <w:sz w:val="21"/>
              </w:rPr>
            </w:pPr>
          </w:p>
        </w:tc>
        <w:tc>
          <w:tcPr>
            <w:tcW w:w="994" w:type="dxa"/>
            <w:vAlign w:val="top"/>
          </w:tcPr>
          <w:p w14:paraId="3798F3D9">
            <w:pPr>
              <w:rPr>
                <w:rFonts w:ascii="Arial"/>
                <w:sz w:val="21"/>
              </w:rPr>
            </w:pPr>
          </w:p>
        </w:tc>
      </w:tr>
      <w:tr w14:paraId="3C912B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0" w:hRule="atLeast"/>
        </w:trPr>
        <w:tc>
          <w:tcPr>
            <w:tcW w:w="994" w:type="dxa"/>
            <w:vAlign w:val="top"/>
          </w:tcPr>
          <w:p w14:paraId="1C5A0A1A">
            <w:pPr>
              <w:rPr>
                <w:rFonts w:ascii="Arial"/>
                <w:sz w:val="21"/>
              </w:rPr>
            </w:pPr>
          </w:p>
        </w:tc>
        <w:tc>
          <w:tcPr>
            <w:tcW w:w="978" w:type="dxa"/>
            <w:vAlign w:val="top"/>
          </w:tcPr>
          <w:p w14:paraId="3396B566">
            <w:pPr>
              <w:rPr>
                <w:rFonts w:ascii="Arial"/>
                <w:sz w:val="21"/>
              </w:rPr>
            </w:pPr>
          </w:p>
        </w:tc>
        <w:tc>
          <w:tcPr>
            <w:tcW w:w="989" w:type="dxa"/>
            <w:vAlign w:val="top"/>
          </w:tcPr>
          <w:p w14:paraId="556FE066">
            <w:pPr>
              <w:rPr>
                <w:rFonts w:ascii="Arial"/>
                <w:sz w:val="21"/>
              </w:rPr>
            </w:pPr>
          </w:p>
        </w:tc>
        <w:tc>
          <w:tcPr>
            <w:tcW w:w="979" w:type="dxa"/>
            <w:vAlign w:val="top"/>
          </w:tcPr>
          <w:p w14:paraId="18DE0C95">
            <w:pPr>
              <w:rPr>
                <w:rFonts w:ascii="Arial"/>
                <w:sz w:val="21"/>
              </w:rPr>
            </w:pPr>
          </w:p>
        </w:tc>
        <w:tc>
          <w:tcPr>
            <w:tcW w:w="969" w:type="dxa"/>
            <w:vAlign w:val="top"/>
          </w:tcPr>
          <w:p w14:paraId="4649537D">
            <w:pPr>
              <w:rPr>
                <w:rFonts w:ascii="Arial"/>
                <w:sz w:val="21"/>
              </w:rPr>
            </w:pPr>
          </w:p>
        </w:tc>
        <w:tc>
          <w:tcPr>
            <w:tcW w:w="999" w:type="dxa"/>
            <w:vAlign w:val="top"/>
          </w:tcPr>
          <w:p w14:paraId="35D043D9">
            <w:pPr>
              <w:rPr>
                <w:rFonts w:ascii="Arial"/>
                <w:sz w:val="21"/>
              </w:rPr>
            </w:pPr>
          </w:p>
        </w:tc>
        <w:tc>
          <w:tcPr>
            <w:tcW w:w="969" w:type="dxa"/>
            <w:vAlign w:val="top"/>
          </w:tcPr>
          <w:p w14:paraId="47238B38">
            <w:pPr>
              <w:rPr>
                <w:rFonts w:ascii="Arial"/>
                <w:sz w:val="21"/>
              </w:rPr>
            </w:pPr>
          </w:p>
        </w:tc>
        <w:tc>
          <w:tcPr>
            <w:tcW w:w="979" w:type="dxa"/>
            <w:vAlign w:val="top"/>
          </w:tcPr>
          <w:p w14:paraId="23B3EB3F">
            <w:pPr>
              <w:rPr>
                <w:rFonts w:ascii="Arial"/>
                <w:sz w:val="21"/>
              </w:rPr>
            </w:pPr>
          </w:p>
        </w:tc>
        <w:tc>
          <w:tcPr>
            <w:tcW w:w="994" w:type="dxa"/>
            <w:vAlign w:val="top"/>
          </w:tcPr>
          <w:p w14:paraId="73326865">
            <w:pPr>
              <w:rPr>
                <w:rFonts w:ascii="Arial"/>
                <w:sz w:val="21"/>
              </w:rPr>
            </w:pPr>
          </w:p>
        </w:tc>
      </w:tr>
      <w:tr w14:paraId="03E9BB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994" w:type="dxa"/>
            <w:vAlign w:val="top"/>
          </w:tcPr>
          <w:p w14:paraId="5104AB63">
            <w:pPr>
              <w:rPr>
                <w:rFonts w:ascii="Arial"/>
                <w:sz w:val="21"/>
              </w:rPr>
            </w:pPr>
          </w:p>
        </w:tc>
        <w:tc>
          <w:tcPr>
            <w:tcW w:w="978" w:type="dxa"/>
            <w:vAlign w:val="top"/>
          </w:tcPr>
          <w:p w14:paraId="5440BACD">
            <w:pPr>
              <w:rPr>
                <w:rFonts w:ascii="Arial"/>
                <w:sz w:val="21"/>
              </w:rPr>
            </w:pPr>
          </w:p>
        </w:tc>
        <w:tc>
          <w:tcPr>
            <w:tcW w:w="989" w:type="dxa"/>
            <w:vAlign w:val="top"/>
          </w:tcPr>
          <w:p w14:paraId="69D92B17">
            <w:pPr>
              <w:rPr>
                <w:rFonts w:ascii="Arial"/>
                <w:sz w:val="21"/>
              </w:rPr>
            </w:pPr>
          </w:p>
        </w:tc>
        <w:tc>
          <w:tcPr>
            <w:tcW w:w="979" w:type="dxa"/>
            <w:vAlign w:val="top"/>
          </w:tcPr>
          <w:p w14:paraId="514288F3">
            <w:pPr>
              <w:rPr>
                <w:rFonts w:ascii="Arial"/>
                <w:sz w:val="21"/>
              </w:rPr>
            </w:pPr>
          </w:p>
        </w:tc>
        <w:tc>
          <w:tcPr>
            <w:tcW w:w="969" w:type="dxa"/>
            <w:vAlign w:val="top"/>
          </w:tcPr>
          <w:p w14:paraId="33BB51B6">
            <w:pPr>
              <w:rPr>
                <w:rFonts w:ascii="Arial"/>
                <w:sz w:val="21"/>
              </w:rPr>
            </w:pPr>
          </w:p>
        </w:tc>
        <w:tc>
          <w:tcPr>
            <w:tcW w:w="999" w:type="dxa"/>
            <w:vAlign w:val="top"/>
          </w:tcPr>
          <w:p w14:paraId="6959EDB4">
            <w:pPr>
              <w:rPr>
                <w:rFonts w:ascii="Arial"/>
                <w:sz w:val="21"/>
              </w:rPr>
            </w:pPr>
          </w:p>
        </w:tc>
        <w:tc>
          <w:tcPr>
            <w:tcW w:w="969" w:type="dxa"/>
            <w:vAlign w:val="top"/>
          </w:tcPr>
          <w:p w14:paraId="2FFC7D51">
            <w:pPr>
              <w:rPr>
                <w:rFonts w:ascii="Arial"/>
                <w:sz w:val="21"/>
              </w:rPr>
            </w:pPr>
          </w:p>
        </w:tc>
        <w:tc>
          <w:tcPr>
            <w:tcW w:w="979" w:type="dxa"/>
            <w:vAlign w:val="top"/>
          </w:tcPr>
          <w:p w14:paraId="1F0887B7">
            <w:pPr>
              <w:rPr>
                <w:rFonts w:ascii="Arial"/>
                <w:sz w:val="21"/>
              </w:rPr>
            </w:pPr>
          </w:p>
        </w:tc>
        <w:tc>
          <w:tcPr>
            <w:tcW w:w="994" w:type="dxa"/>
            <w:vAlign w:val="top"/>
          </w:tcPr>
          <w:p w14:paraId="7D1E033F">
            <w:pPr>
              <w:rPr>
                <w:rFonts w:ascii="Arial"/>
                <w:sz w:val="21"/>
              </w:rPr>
            </w:pPr>
          </w:p>
        </w:tc>
      </w:tr>
      <w:tr w14:paraId="5442F3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9" w:hRule="atLeast"/>
        </w:trPr>
        <w:tc>
          <w:tcPr>
            <w:tcW w:w="994" w:type="dxa"/>
            <w:vAlign w:val="top"/>
          </w:tcPr>
          <w:p w14:paraId="63D02B82">
            <w:pPr>
              <w:rPr>
                <w:rFonts w:ascii="Arial"/>
                <w:sz w:val="21"/>
              </w:rPr>
            </w:pPr>
          </w:p>
        </w:tc>
        <w:tc>
          <w:tcPr>
            <w:tcW w:w="978" w:type="dxa"/>
            <w:vAlign w:val="top"/>
          </w:tcPr>
          <w:p w14:paraId="3E94A503">
            <w:pPr>
              <w:rPr>
                <w:rFonts w:ascii="Arial"/>
                <w:sz w:val="21"/>
              </w:rPr>
            </w:pPr>
          </w:p>
        </w:tc>
        <w:tc>
          <w:tcPr>
            <w:tcW w:w="989" w:type="dxa"/>
            <w:vAlign w:val="top"/>
          </w:tcPr>
          <w:p w14:paraId="330C860A">
            <w:pPr>
              <w:rPr>
                <w:rFonts w:ascii="Arial"/>
                <w:sz w:val="21"/>
              </w:rPr>
            </w:pPr>
          </w:p>
        </w:tc>
        <w:tc>
          <w:tcPr>
            <w:tcW w:w="979" w:type="dxa"/>
            <w:vAlign w:val="top"/>
          </w:tcPr>
          <w:p w14:paraId="1B19A6F6">
            <w:pPr>
              <w:rPr>
                <w:rFonts w:ascii="Arial"/>
                <w:sz w:val="21"/>
              </w:rPr>
            </w:pPr>
          </w:p>
        </w:tc>
        <w:tc>
          <w:tcPr>
            <w:tcW w:w="969" w:type="dxa"/>
            <w:vAlign w:val="top"/>
          </w:tcPr>
          <w:p w14:paraId="7CD0E9EE">
            <w:pPr>
              <w:rPr>
                <w:rFonts w:ascii="Arial"/>
                <w:sz w:val="21"/>
              </w:rPr>
            </w:pPr>
          </w:p>
        </w:tc>
        <w:tc>
          <w:tcPr>
            <w:tcW w:w="999" w:type="dxa"/>
            <w:vAlign w:val="top"/>
          </w:tcPr>
          <w:p w14:paraId="2E9C6DBF">
            <w:pPr>
              <w:rPr>
                <w:rFonts w:ascii="Arial"/>
                <w:sz w:val="21"/>
              </w:rPr>
            </w:pPr>
          </w:p>
        </w:tc>
        <w:tc>
          <w:tcPr>
            <w:tcW w:w="969" w:type="dxa"/>
            <w:vAlign w:val="top"/>
          </w:tcPr>
          <w:p w14:paraId="098D68C8">
            <w:pPr>
              <w:rPr>
                <w:rFonts w:ascii="Arial"/>
                <w:sz w:val="21"/>
              </w:rPr>
            </w:pPr>
          </w:p>
        </w:tc>
        <w:tc>
          <w:tcPr>
            <w:tcW w:w="979" w:type="dxa"/>
            <w:vAlign w:val="top"/>
          </w:tcPr>
          <w:p w14:paraId="3B9BF9D7">
            <w:pPr>
              <w:rPr>
                <w:rFonts w:ascii="Arial"/>
                <w:sz w:val="21"/>
              </w:rPr>
            </w:pPr>
          </w:p>
        </w:tc>
        <w:tc>
          <w:tcPr>
            <w:tcW w:w="994" w:type="dxa"/>
            <w:vAlign w:val="top"/>
          </w:tcPr>
          <w:p w14:paraId="7BE47678">
            <w:pPr>
              <w:rPr>
                <w:rFonts w:ascii="Arial"/>
                <w:sz w:val="21"/>
              </w:rPr>
            </w:pPr>
          </w:p>
        </w:tc>
      </w:tr>
      <w:tr w14:paraId="3AA3AF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9" w:hRule="atLeast"/>
        </w:trPr>
        <w:tc>
          <w:tcPr>
            <w:tcW w:w="994" w:type="dxa"/>
            <w:vAlign w:val="top"/>
          </w:tcPr>
          <w:p w14:paraId="5E6D52F9">
            <w:pPr>
              <w:rPr>
                <w:rFonts w:ascii="Arial"/>
                <w:sz w:val="21"/>
              </w:rPr>
            </w:pPr>
          </w:p>
        </w:tc>
        <w:tc>
          <w:tcPr>
            <w:tcW w:w="978" w:type="dxa"/>
            <w:vAlign w:val="top"/>
          </w:tcPr>
          <w:p w14:paraId="6C0998A9">
            <w:pPr>
              <w:rPr>
                <w:rFonts w:ascii="Arial"/>
                <w:sz w:val="21"/>
              </w:rPr>
            </w:pPr>
          </w:p>
        </w:tc>
        <w:tc>
          <w:tcPr>
            <w:tcW w:w="989" w:type="dxa"/>
            <w:vAlign w:val="top"/>
          </w:tcPr>
          <w:p w14:paraId="31D3CDAA">
            <w:pPr>
              <w:rPr>
                <w:rFonts w:ascii="Arial"/>
                <w:sz w:val="21"/>
              </w:rPr>
            </w:pPr>
          </w:p>
        </w:tc>
        <w:tc>
          <w:tcPr>
            <w:tcW w:w="979" w:type="dxa"/>
            <w:vAlign w:val="top"/>
          </w:tcPr>
          <w:p w14:paraId="71D58496">
            <w:pPr>
              <w:rPr>
                <w:rFonts w:ascii="Arial"/>
                <w:sz w:val="21"/>
              </w:rPr>
            </w:pPr>
          </w:p>
        </w:tc>
        <w:tc>
          <w:tcPr>
            <w:tcW w:w="969" w:type="dxa"/>
            <w:vAlign w:val="top"/>
          </w:tcPr>
          <w:p w14:paraId="28342EFF">
            <w:pPr>
              <w:rPr>
                <w:rFonts w:ascii="Arial"/>
                <w:sz w:val="21"/>
              </w:rPr>
            </w:pPr>
          </w:p>
        </w:tc>
        <w:tc>
          <w:tcPr>
            <w:tcW w:w="999" w:type="dxa"/>
            <w:vAlign w:val="top"/>
          </w:tcPr>
          <w:p w14:paraId="0242C6C1">
            <w:pPr>
              <w:rPr>
                <w:rFonts w:ascii="Arial"/>
                <w:sz w:val="21"/>
              </w:rPr>
            </w:pPr>
          </w:p>
        </w:tc>
        <w:tc>
          <w:tcPr>
            <w:tcW w:w="969" w:type="dxa"/>
            <w:vAlign w:val="top"/>
          </w:tcPr>
          <w:p w14:paraId="0B799FD7">
            <w:pPr>
              <w:rPr>
                <w:rFonts w:ascii="Arial"/>
                <w:sz w:val="21"/>
              </w:rPr>
            </w:pPr>
          </w:p>
        </w:tc>
        <w:tc>
          <w:tcPr>
            <w:tcW w:w="979" w:type="dxa"/>
            <w:vAlign w:val="top"/>
          </w:tcPr>
          <w:p w14:paraId="782A7AB2">
            <w:pPr>
              <w:rPr>
                <w:rFonts w:ascii="Arial"/>
                <w:sz w:val="21"/>
              </w:rPr>
            </w:pPr>
          </w:p>
        </w:tc>
        <w:tc>
          <w:tcPr>
            <w:tcW w:w="994" w:type="dxa"/>
            <w:vAlign w:val="top"/>
          </w:tcPr>
          <w:p w14:paraId="1836B80A">
            <w:pPr>
              <w:rPr>
                <w:rFonts w:ascii="Arial"/>
                <w:sz w:val="21"/>
              </w:rPr>
            </w:pPr>
          </w:p>
        </w:tc>
      </w:tr>
      <w:tr w14:paraId="091144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994" w:type="dxa"/>
            <w:vAlign w:val="top"/>
          </w:tcPr>
          <w:p w14:paraId="6C6B6CAF">
            <w:pPr>
              <w:rPr>
                <w:rFonts w:ascii="Arial"/>
                <w:sz w:val="21"/>
              </w:rPr>
            </w:pPr>
          </w:p>
        </w:tc>
        <w:tc>
          <w:tcPr>
            <w:tcW w:w="978" w:type="dxa"/>
            <w:vAlign w:val="top"/>
          </w:tcPr>
          <w:p w14:paraId="36DFD14A">
            <w:pPr>
              <w:rPr>
                <w:rFonts w:ascii="Arial"/>
                <w:sz w:val="21"/>
              </w:rPr>
            </w:pPr>
          </w:p>
        </w:tc>
        <w:tc>
          <w:tcPr>
            <w:tcW w:w="989" w:type="dxa"/>
            <w:vAlign w:val="top"/>
          </w:tcPr>
          <w:p w14:paraId="2FDF730D">
            <w:pPr>
              <w:rPr>
                <w:rFonts w:ascii="Arial"/>
                <w:sz w:val="21"/>
              </w:rPr>
            </w:pPr>
          </w:p>
        </w:tc>
        <w:tc>
          <w:tcPr>
            <w:tcW w:w="979" w:type="dxa"/>
            <w:vAlign w:val="top"/>
          </w:tcPr>
          <w:p w14:paraId="70191F3D">
            <w:pPr>
              <w:rPr>
                <w:rFonts w:ascii="Arial"/>
                <w:sz w:val="21"/>
              </w:rPr>
            </w:pPr>
          </w:p>
        </w:tc>
        <w:tc>
          <w:tcPr>
            <w:tcW w:w="969" w:type="dxa"/>
            <w:vAlign w:val="top"/>
          </w:tcPr>
          <w:p w14:paraId="7D366C0D">
            <w:pPr>
              <w:rPr>
                <w:rFonts w:ascii="Arial"/>
                <w:sz w:val="21"/>
              </w:rPr>
            </w:pPr>
          </w:p>
        </w:tc>
        <w:tc>
          <w:tcPr>
            <w:tcW w:w="999" w:type="dxa"/>
            <w:vAlign w:val="top"/>
          </w:tcPr>
          <w:p w14:paraId="48D65673">
            <w:pPr>
              <w:rPr>
                <w:rFonts w:ascii="Arial"/>
                <w:sz w:val="21"/>
              </w:rPr>
            </w:pPr>
          </w:p>
        </w:tc>
        <w:tc>
          <w:tcPr>
            <w:tcW w:w="969" w:type="dxa"/>
            <w:vAlign w:val="top"/>
          </w:tcPr>
          <w:p w14:paraId="500CA929">
            <w:pPr>
              <w:rPr>
                <w:rFonts w:ascii="Arial"/>
                <w:sz w:val="21"/>
              </w:rPr>
            </w:pPr>
          </w:p>
        </w:tc>
        <w:tc>
          <w:tcPr>
            <w:tcW w:w="979" w:type="dxa"/>
            <w:vAlign w:val="top"/>
          </w:tcPr>
          <w:p w14:paraId="01F95200">
            <w:pPr>
              <w:rPr>
                <w:rFonts w:ascii="Arial"/>
                <w:sz w:val="21"/>
              </w:rPr>
            </w:pPr>
          </w:p>
        </w:tc>
        <w:tc>
          <w:tcPr>
            <w:tcW w:w="994" w:type="dxa"/>
            <w:vAlign w:val="top"/>
          </w:tcPr>
          <w:p w14:paraId="5EEFF9C3">
            <w:pPr>
              <w:rPr>
                <w:rFonts w:ascii="Arial"/>
                <w:sz w:val="21"/>
              </w:rPr>
            </w:pPr>
          </w:p>
        </w:tc>
      </w:tr>
      <w:tr w14:paraId="0CCBF9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994" w:type="dxa"/>
            <w:vAlign w:val="top"/>
          </w:tcPr>
          <w:p w14:paraId="2D50588D">
            <w:pPr>
              <w:rPr>
                <w:rFonts w:ascii="Arial"/>
                <w:sz w:val="21"/>
              </w:rPr>
            </w:pPr>
          </w:p>
        </w:tc>
        <w:tc>
          <w:tcPr>
            <w:tcW w:w="978" w:type="dxa"/>
            <w:vAlign w:val="top"/>
          </w:tcPr>
          <w:p w14:paraId="5F6993B4">
            <w:pPr>
              <w:rPr>
                <w:rFonts w:ascii="Arial"/>
                <w:sz w:val="21"/>
              </w:rPr>
            </w:pPr>
          </w:p>
        </w:tc>
        <w:tc>
          <w:tcPr>
            <w:tcW w:w="989" w:type="dxa"/>
            <w:vAlign w:val="top"/>
          </w:tcPr>
          <w:p w14:paraId="13E6505D">
            <w:pPr>
              <w:rPr>
                <w:rFonts w:ascii="Arial"/>
                <w:sz w:val="21"/>
              </w:rPr>
            </w:pPr>
          </w:p>
        </w:tc>
        <w:tc>
          <w:tcPr>
            <w:tcW w:w="979" w:type="dxa"/>
            <w:vAlign w:val="top"/>
          </w:tcPr>
          <w:p w14:paraId="6FE1B4BA">
            <w:pPr>
              <w:rPr>
                <w:rFonts w:ascii="Arial"/>
                <w:sz w:val="21"/>
              </w:rPr>
            </w:pPr>
          </w:p>
        </w:tc>
        <w:tc>
          <w:tcPr>
            <w:tcW w:w="969" w:type="dxa"/>
            <w:vAlign w:val="top"/>
          </w:tcPr>
          <w:p w14:paraId="7AA56E11">
            <w:pPr>
              <w:rPr>
                <w:rFonts w:ascii="Arial"/>
                <w:sz w:val="21"/>
              </w:rPr>
            </w:pPr>
          </w:p>
        </w:tc>
        <w:tc>
          <w:tcPr>
            <w:tcW w:w="999" w:type="dxa"/>
            <w:vAlign w:val="top"/>
          </w:tcPr>
          <w:p w14:paraId="77335E84">
            <w:pPr>
              <w:rPr>
                <w:rFonts w:ascii="Arial"/>
                <w:sz w:val="21"/>
              </w:rPr>
            </w:pPr>
          </w:p>
        </w:tc>
        <w:tc>
          <w:tcPr>
            <w:tcW w:w="969" w:type="dxa"/>
            <w:vAlign w:val="top"/>
          </w:tcPr>
          <w:p w14:paraId="75C6C1A8">
            <w:pPr>
              <w:rPr>
                <w:rFonts w:ascii="Arial"/>
                <w:sz w:val="21"/>
              </w:rPr>
            </w:pPr>
          </w:p>
        </w:tc>
        <w:tc>
          <w:tcPr>
            <w:tcW w:w="979" w:type="dxa"/>
            <w:vAlign w:val="top"/>
          </w:tcPr>
          <w:p w14:paraId="49442BE8">
            <w:pPr>
              <w:rPr>
                <w:rFonts w:ascii="Arial"/>
                <w:sz w:val="21"/>
              </w:rPr>
            </w:pPr>
          </w:p>
        </w:tc>
        <w:tc>
          <w:tcPr>
            <w:tcW w:w="994" w:type="dxa"/>
            <w:vAlign w:val="top"/>
          </w:tcPr>
          <w:p w14:paraId="4F5044A4">
            <w:pPr>
              <w:rPr>
                <w:rFonts w:ascii="Arial"/>
                <w:sz w:val="21"/>
              </w:rPr>
            </w:pPr>
          </w:p>
        </w:tc>
      </w:tr>
      <w:tr w14:paraId="671944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atLeast"/>
        </w:trPr>
        <w:tc>
          <w:tcPr>
            <w:tcW w:w="994" w:type="dxa"/>
            <w:vAlign w:val="top"/>
          </w:tcPr>
          <w:p w14:paraId="0A8180FB">
            <w:pPr>
              <w:rPr>
                <w:rFonts w:ascii="Arial"/>
                <w:sz w:val="21"/>
              </w:rPr>
            </w:pPr>
          </w:p>
        </w:tc>
        <w:tc>
          <w:tcPr>
            <w:tcW w:w="978" w:type="dxa"/>
            <w:vAlign w:val="top"/>
          </w:tcPr>
          <w:p w14:paraId="066A9934">
            <w:pPr>
              <w:rPr>
                <w:rFonts w:ascii="Arial"/>
                <w:sz w:val="21"/>
              </w:rPr>
            </w:pPr>
          </w:p>
        </w:tc>
        <w:tc>
          <w:tcPr>
            <w:tcW w:w="989" w:type="dxa"/>
            <w:vAlign w:val="top"/>
          </w:tcPr>
          <w:p w14:paraId="5CB6BBA5">
            <w:pPr>
              <w:rPr>
                <w:rFonts w:ascii="Arial"/>
                <w:sz w:val="21"/>
              </w:rPr>
            </w:pPr>
          </w:p>
        </w:tc>
        <w:tc>
          <w:tcPr>
            <w:tcW w:w="979" w:type="dxa"/>
            <w:vAlign w:val="top"/>
          </w:tcPr>
          <w:p w14:paraId="38A8686D">
            <w:pPr>
              <w:rPr>
                <w:rFonts w:ascii="Arial"/>
                <w:sz w:val="21"/>
              </w:rPr>
            </w:pPr>
          </w:p>
        </w:tc>
        <w:tc>
          <w:tcPr>
            <w:tcW w:w="969" w:type="dxa"/>
            <w:vAlign w:val="top"/>
          </w:tcPr>
          <w:p w14:paraId="597D9F63">
            <w:pPr>
              <w:rPr>
                <w:rFonts w:ascii="Arial"/>
                <w:sz w:val="21"/>
              </w:rPr>
            </w:pPr>
          </w:p>
        </w:tc>
        <w:tc>
          <w:tcPr>
            <w:tcW w:w="999" w:type="dxa"/>
            <w:vAlign w:val="top"/>
          </w:tcPr>
          <w:p w14:paraId="26BDDFBD">
            <w:pPr>
              <w:rPr>
                <w:rFonts w:ascii="Arial"/>
                <w:sz w:val="21"/>
              </w:rPr>
            </w:pPr>
          </w:p>
        </w:tc>
        <w:tc>
          <w:tcPr>
            <w:tcW w:w="969" w:type="dxa"/>
            <w:vAlign w:val="top"/>
          </w:tcPr>
          <w:p w14:paraId="7E676592">
            <w:pPr>
              <w:rPr>
                <w:rFonts w:ascii="Arial"/>
                <w:sz w:val="21"/>
              </w:rPr>
            </w:pPr>
          </w:p>
        </w:tc>
        <w:tc>
          <w:tcPr>
            <w:tcW w:w="979" w:type="dxa"/>
            <w:vAlign w:val="top"/>
          </w:tcPr>
          <w:p w14:paraId="6BD78F74">
            <w:pPr>
              <w:rPr>
                <w:rFonts w:ascii="Arial"/>
                <w:sz w:val="21"/>
              </w:rPr>
            </w:pPr>
          </w:p>
        </w:tc>
        <w:tc>
          <w:tcPr>
            <w:tcW w:w="994" w:type="dxa"/>
            <w:vAlign w:val="top"/>
          </w:tcPr>
          <w:p w14:paraId="680A8870">
            <w:pPr>
              <w:rPr>
                <w:rFonts w:ascii="Arial"/>
                <w:sz w:val="21"/>
              </w:rPr>
            </w:pPr>
          </w:p>
        </w:tc>
      </w:tr>
      <w:tr w14:paraId="683935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0" w:hRule="atLeast"/>
        </w:trPr>
        <w:tc>
          <w:tcPr>
            <w:tcW w:w="994" w:type="dxa"/>
            <w:vAlign w:val="top"/>
          </w:tcPr>
          <w:p w14:paraId="5476B53C">
            <w:pPr>
              <w:rPr>
                <w:rFonts w:ascii="Arial"/>
                <w:sz w:val="21"/>
              </w:rPr>
            </w:pPr>
          </w:p>
        </w:tc>
        <w:tc>
          <w:tcPr>
            <w:tcW w:w="978" w:type="dxa"/>
            <w:vAlign w:val="top"/>
          </w:tcPr>
          <w:p w14:paraId="689EBED2">
            <w:pPr>
              <w:rPr>
                <w:rFonts w:ascii="Arial"/>
                <w:sz w:val="21"/>
              </w:rPr>
            </w:pPr>
          </w:p>
        </w:tc>
        <w:tc>
          <w:tcPr>
            <w:tcW w:w="989" w:type="dxa"/>
            <w:vAlign w:val="top"/>
          </w:tcPr>
          <w:p w14:paraId="5C11CC6E">
            <w:pPr>
              <w:rPr>
                <w:rFonts w:ascii="Arial"/>
                <w:sz w:val="21"/>
              </w:rPr>
            </w:pPr>
          </w:p>
        </w:tc>
        <w:tc>
          <w:tcPr>
            <w:tcW w:w="979" w:type="dxa"/>
            <w:vAlign w:val="top"/>
          </w:tcPr>
          <w:p w14:paraId="282381EE">
            <w:pPr>
              <w:rPr>
                <w:rFonts w:ascii="Arial"/>
                <w:sz w:val="21"/>
              </w:rPr>
            </w:pPr>
          </w:p>
        </w:tc>
        <w:tc>
          <w:tcPr>
            <w:tcW w:w="969" w:type="dxa"/>
            <w:vAlign w:val="top"/>
          </w:tcPr>
          <w:p w14:paraId="1B2F08B8">
            <w:pPr>
              <w:rPr>
                <w:rFonts w:ascii="Arial"/>
                <w:sz w:val="21"/>
              </w:rPr>
            </w:pPr>
          </w:p>
        </w:tc>
        <w:tc>
          <w:tcPr>
            <w:tcW w:w="999" w:type="dxa"/>
            <w:vAlign w:val="top"/>
          </w:tcPr>
          <w:p w14:paraId="3B2FF6D5">
            <w:pPr>
              <w:rPr>
                <w:rFonts w:ascii="Arial"/>
                <w:sz w:val="21"/>
              </w:rPr>
            </w:pPr>
          </w:p>
        </w:tc>
        <w:tc>
          <w:tcPr>
            <w:tcW w:w="969" w:type="dxa"/>
            <w:vAlign w:val="top"/>
          </w:tcPr>
          <w:p w14:paraId="5FE797B7">
            <w:pPr>
              <w:rPr>
                <w:rFonts w:ascii="Arial"/>
                <w:sz w:val="21"/>
              </w:rPr>
            </w:pPr>
          </w:p>
        </w:tc>
        <w:tc>
          <w:tcPr>
            <w:tcW w:w="979" w:type="dxa"/>
            <w:vAlign w:val="top"/>
          </w:tcPr>
          <w:p w14:paraId="113613C4">
            <w:pPr>
              <w:rPr>
                <w:rFonts w:ascii="Arial"/>
                <w:sz w:val="21"/>
              </w:rPr>
            </w:pPr>
          </w:p>
        </w:tc>
        <w:tc>
          <w:tcPr>
            <w:tcW w:w="994" w:type="dxa"/>
            <w:vAlign w:val="top"/>
          </w:tcPr>
          <w:p w14:paraId="1A7DAEF8">
            <w:pPr>
              <w:rPr>
                <w:rFonts w:ascii="Arial"/>
                <w:sz w:val="21"/>
              </w:rPr>
            </w:pPr>
          </w:p>
        </w:tc>
      </w:tr>
      <w:tr w14:paraId="6DBCDA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9" w:hRule="atLeast"/>
        </w:trPr>
        <w:tc>
          <w:tcPr>
            <w:tcW w:w="994" w:type="dxa"/>
            <w:vAlign w:val="top"/>
          </w:tcPr>
          <w:p w14:paraId="707A8D32">
            <w:pPr>
              <w:rPr>
                <w:rFonts w:ascii="Arial"/>
                <w:sz w:val="21"/>
              </w:rPr>
            </w:pPr>
          </w:p>
        </w:tc>
        <w:tc>
          <w:tcPr>
            <w:tcW w:w="978" w:type="dxa"/>
            <w:vAlign w:val="top"/>
          </w:tcPr>
          <w:p w14:paraId="3C082321">
            <w:pPr>
              <w:rPr>
                <w:rFonts w:ascii="Arial"/>
                <w:sz w:val="21"/>
              </w:rPr>
            </w:pPr>
          </w:p>
        </w:tc>
        <w:tc>
          <w:tcPr>
            <w:tcW w:w="989" w:type="dxa"/>
            <w:vAlign w:val="top"/>
          </w:tcPr>
          <w:p w14:paraId="7C9CAE29">
            <w:pPr>
              <w:rPr>
                <w:rFonts w:ascii="Arial"/>
                <w:sz w:val="21"/>
              </w:rPr>
            </w:pPr>
          </w:p>
        </w:tc>
        <w:tc>
          <w:tcPr>
            <w:tcW w:w="979" w:type="dxa"/>
            <w:vAlign w:val="top"/>
          </w:tcPr>
          <w:p w14:paraId="7DCD9C13">
            <w:pPr>
              <w:rPr>
                <w:rFonts w:ascii="Arial"/>
                <w:sz w:val="21"/>
              </w:rPr>
            </w:pPr>
          </w:p>
        </w:tc>
        <w:tc>
          <w:tcPr>
            <w:tcW w:w="969" w:type="dxa"/>
            <w:vAlign w:val="top"/>
          </w:tcPr>
          <w:p w14:paraId="7660571A">
            <w:pPr>
              <w:rPr>
                <w:rFonts w:ascii="Arial"/>
                <w:sz w:val="21"/>
              </w:rPr>
            </w:pPr>
          </w:p>
        </w:tc>
        <w:tc>
          <w:tcPr>
            <w:tcW w:w="999" w:type="dxa"/>
            <w:vAlign w:val="top"/>
          </w:tcPr>
          <w:p w14:paraId="705549F9">
            <w:pPr>
              <w:rPr>
                <w:rFonts w:ascii="Arial"/>
                <w:sz w:val="21"/>
              </w:rPr>
            </w:pPr>
          </w:p>
        </w:tc>
        <w:tc>
          <w:tcPr>
            <w:tcW w:w="969" w:type="dxa"/>
            <w:vAlign w:val="top"/>
          </w:tcPr>
          <w:p w14:paraId="1D79A716">
            <w:pPr>
              <w:rPr>
                <w:rFonts w:ascii="Arial"/>
                <w:sz w:val="21"/>
              </w:rPr>
            </w:pPr>
          </w:p>
        </w:tc>
        <w:tc>
          <w:tcPr>
            <w:tcW w:w="979" w:type="dxa"/>
            <w:vAlign w:val="top"/>
          </w:tcPr>
          <w:p w14:paraId="13030227">
            <w:pPr>
              <w:rPr>
                <w:rFonts w:ascii="Arial"/>
                <w:sz w:val="21"/>
              </w:rPr>
            </w:pPr>
          </w:p>
        </w:tc>
        <w:tc>
          <w:tcPr>
            <w:tcW w:w="994" w:type="dxa"/>
            <w:vAlign w:val="top"/>
          </w:tcPr>
          <w:p w14:paraId="1BF4689C">
            <w:pPr>
              <w:rPr>
                <w:rFonts w:ascii="Arial"/>
                <w:sz w:val="21"/>
              </w:rPr>
            </w:pPr>
          </w:p>
        </w:tc>
      </w:tr>
      <w:tr w14:paraId="1248D4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atLeast"/>
        </w:trPr>
        <w:tc>
          <w:tcPr>
            <w:tcW w:w="994" w:type="dxa"/>
            <w:vAlign w:val="top"/>
          </w:tcPr>
          <w:p w14:paraId="60D39CD6">
            <w:pPr>
              <w:rPr>
                <w:rFonts w:ascii="Arial"/>
                <w:sz w:val="21"/>
              </w:rPr>
            </w:pPr>
          </w:p>
        </w:tc>
        <w:tc>
          <w:tcPr>
            <w:tcW w:w="978" w:type="dxa"/>
            <w:vAlign w:val="top"/>
          </w:tcPr>
          <w:p w14:paraId="5BBFDB93">
            <w:pPr>
              <w:rPr>
                <w:rFonts w:ascii="Arial"/>
                <w:sz w:val="21"/>
              </w:rPr>
            </w:pPr>
          </w:p>
        </w:tc>
        <w:tc>
          <w:tcPr>
            <w:tcW w:w="989" w:type="dxa"/>
            <w:vAlign w:val="top"/>
          </w:tcPr>
          <w:p w14:paraId="386B9A6F">
            <w:pPr>
              <w:rPr>
                <w:rFonts w:ascii="Arial"/>
                <w:sz w:val="21"/>
              </w:rPr>
            </w:pPr>
          </w:p>
        </w:tc>
        <w:tc>
          <w:tcPr>
            <w:tcW w:w="979" w:type="dxa"/>
            <w:vAlign w:val="top"/>
          </w:tcPr>
          <w:p w14:paraId="4FE9B631">
            <w:pPr>
              <w:rPr>
                <w:rFonts w:ascii="Arial"/>
                <w:sz w:val="21"/>
              </w:rPr>
            </w:pPr>
          </w:p>
        </w:tc>
        <w:tc>
          <w:tcPr>
            <w:tcW w:w="969" w:type="dxa"/>
            <w:vAlign w:val="top"/>
          </w:tcPr>
          <w:p w14:paraId="7F84A61E">
            <w:pPr>
              <w:rPr>
                <w:rFonts w:ascii="Arial"/>
                <w:sz w:val="21"/>
              </w:rPr>
            </w:pPr>
          </w:p>
        </w:tc>
        <w:tc>
          <w:tcPr>
            <w:tcW w:w="999" w:type="dxa"/>
            <w:vAlign w:val="top"/>
          </w:tcPr>
          <w:p w14:paraId="0FCC32CF">
            <w:pPr>
              <w:rPr>
                <w:rFonts w:ascii="Arial"/>
                <w:sz w:val="21"/>
              </w:rPr>
            </w:pPr>
          </w:p>
        </w:tc>
        <w:tc>
          <w:tcPr>
            <w:tcW w:w="969" w:type="dxa"/>
            <w:vAlign w:val="top"/>
          </w:tcPr>
          <w:p w14:paraId="455964CC">
            <w:pPr>
              <w:rPr>
                <w:rFonts w:ascii="Arial"/>
                <w:sz w:val="21"/>
              </w:rPr>
            </w:pPr>
          </w:p>
        </w:tc>
        <w:tc>
          <w:tcPr>
            <w:tcW w:w="979" w:type="dxa"/>
            <w:vAlign w:val="top"/>
          </w:tcPr>
          <w:p w14:paraId="1D869550">
            <w:pPr>
              <w:rPr>
                <w:rFonts w:ascii="Arial"/>
                <w:sz w:val="21"/>
              </w:rPr>
            </w:pPr>
          </w:p>
        </w:tc>
        <w:tc>
          <w:tcPr>
            <w:tcW w:w="994" w:type="dxa"/>
            <w:vAlign w:val="top"/>
          </w:tcPr>
          <w:p w14:paraId="7E5E077F">
            <w:pPr>
              <w:rPr>
                <w:rFonts w:ascii="Arial"/>
                <w:sz w:val="21"/>
              </w:rPr>
            </w:pPr>
          </w:p>
        </w:tc>
      </w:tr>
      <w:tr w14:paraId="7A0762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9" w:hRule="atLeast"/>
        </w:trPr>
        <w:tc>
          <w:tcPr>
            <w:tcW w:w="994" w:type="dxa"/>
            <w:vAlign w:val="top"/>
          </w:tcPr>
          <w:p w14:paraId="7B668DE7">
            <w:pPr>
              <w:rPr>
                <w:rFonts w:ascii="Arial"/>
                <w:sz w:val="21"/>
              </w:rPr>
            </w:pPr>
          </w:p>
        </w:tc>
        <w:tc>
          <w:tcPr>
            <w:tcW w:w="978" w:type="dxa"/>
            <w:vAlign w:val="top"/>
          </w:tcPr>
          <w:p w14:paraId="0140E24C">
            <w:pPr>
              <w:rPr>
                <w:rFonts w:ascii="Arial"/>
                <w:sz w:val="21"/>
              </w:rPr>
            </w:pPr>
          </w:p>
        </w:tc>
        <w:tc>
          <w:tcPr>
            <w:tcW w:w="989" w:type="dxa"/>
            <w:vAlign w:val="top"/>
          </w:tcPr>
          <w:p w14:paraId="379E3B45">
            <w:pPr>
              <w:rPr>
                <w:rFonts w:ascii="Arial"/>
                <w:sz w:val="21"/>
              </w:rPr>
            </w:pPr>
          </w:p>
        </w:tc>
        <w:tc>
          <w:tcPr>
            <w:tcW w:w="979" w:type="dxa"/>
            <w:vAlign w:val="top"/>
          </w:tcPr>
          <w:p w14:paraId="09AB3A80">
            <w:pPr>
              <w:rPr>
                <w:rFonts w:ascii="Arial"/>
                <w:sz w:val="21"/>
              </w:rPr>
            </w:pPr>
          </w:p>
        </w:tc>
        <w:tc>
          <w:tcPr>
            <w:tcW w:w="969" w:type="dxa"/>
            <w:vAlign w:val="top"/>
          </w:tcPr>
          <w:p w14:paraId="73BE76FD">
            <w:pPr>
              <w:rPr>
                <w:rFonts w:ascii="Arial"/>
                <w:sz w:val="21"/>
              </w:rPr>
            </w:pPr>
          </w:p>
        </w:tc>
        <w:tc>
          <w:tcPr>
            <w:tcW w:w="999" w:type="dxa"/>
            <w:vAlign w:val="top"/>
          </w:tcPr>
          <w:p w14:paraId="0EB9B2DC">
            <w:pPr>
              <w:rPr>
                <w:rFonts w:ascii="Arial"/>
                <w:sz w:val="21"/>
              </w:rPr>
            </w:pPr>
          </w:p>
        </w:tc>
        <w:tc>
          <w:tcPr>
            <w:tcW w:w="969" w:type="dxa"/>
            <w:vAlign w:val="top"/>
          </w:tcPr>
          <w:p w14:paraId="1535CDA3">
            <w:pPr>
              <w:rPr>
                <w:rFonts w:ascii="Arial"/>
                <w:sz w:val="21"/>
              </w:rPr>
            </w:pPr>
          </w:p>
        </w:tc>
        <w:tc>
          <w:tcPr>
            <w:tcW w:w="979" w:type="dxa"/>
            <w:vAlign w:val="top"/>
          </w:tcPr>
          <w:p w14:paraId="1136CC87">
            <w:pPr>
              <w:rPr>
                <w:rFonts w:ascii="Arial"/>
                <w:sz w:val="21"/>
              </w:rPr>
            </w:pPr>
          </w:p>
        </w:tc>
        <w:tc>
          <w:tcPr>
            <w:tcW w:w="994" w:type="dxa"/>
            <w:vAlign w:val="top"/>
          </w:tcPr>
          <w:p w14:paraId="713FF033">
            <w:pPr>
              <w:rPr>
                <w:rFonts w:ascii="Arial"/>
                <w:sz w:val="21"/>
              </w:rPr>
            </w:pPr>
          </w:p>
        </w:tc>
      </w:tr>
      <w:tr w14:paraId="2B8036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trPr>
        <w:tc>
          <w:tcPr>
            <w:tcW w:w="994" w:type="dxa"/>
            <w:vAlign w:val="top"/>
          </w:tcPr>
          <w:p w14:paraId="07EF7C6F">
            <w:pPr>
              <w:rPr>
                <w:rFonts w:ascii="Arial"/>
                <w:sz w:val="21"/>
              </w:rPr>
            </w:pPr>
          </w:p>
        </w:tc>
        <w:tc>
          <w:tcPr>
            <w:tcW w:w="978" w:type="dxa"/>
            <w:vAlign w:val="top"/>
          </w:tcPr>
          <w:p w14:paraId="64F90FF5">
            <w:pPr>
              <w:rPr>
                <w:rFonts w:ascii="Arial"/>
                <w:sz w:val="21"/>
              </w:rPr>
            </w:pPr>
          </w:p>
        </w:tc>
        <w:tc>
          <w:tcPr>
            <w:tcW w:w="989" w:type="dxa"/>
            <w:vAlign w:val="top"/>
          </w:tcPr>
          <w:p w14:paraId="36E02079">
            <w:pPr>
              <w:rPr>
                <w:rFonts w:ascii="Arial"/>
                <w:sz w:val="21"/>
              </w:rPr>
            </w:pPr>
          </w:p>
        </w:tc>
        <w:tc>
          <w:tcPr>
            <w:tcW w:w="979" w:type="dxa"/>
            <w:vAlign w:val="top"/>
          </w:tcPr>
          <w:p w14:paraId="385EA262">
            <w:pPr>
              <w:rPr>
                <w:rFonts w:ascii="Arial"/>
                <w:sz w:val="21"/>
              </w:rPr>
            </w:pPr>
          </w:p>
        </w:tc>
        <w:tc>
          <w:tcPr>
            <w:tcW w:w="969" w:type="dxa"/>
            <w:vAlign w:val="top"/>
          </w:tcPr>
          <w:p w14:paraId="04880286">
            <w:pPr>
              <w:rPr>
                <w:rFonts w:ascii="Arial"/>
                <w:sz w:val="21"/>
              </w:rPr>
            </w:pPr>
          </w:p>
        </w:tc>
        <w:tc>
          <w:tcPr>
            <w:tcW w:w="999" w:type="dxa"/>
            <w:vAlign w:val="top"/>
          </w:tcPr>
          <w:p w14:paraId="17AF88EC">
            <w:pPr>
              <w:rPr>
                <w:rFonts w:ascii="Arial"/>
                <w:sz w:val="21"/>
              </w:rPr>
            </w:pPr>
          </w:p>
        </w:tc>
        <w:tc>
          <w:tcPr>
            <w:tcW w:w="969" w:type="dxa"/>
            <w:vAlign w:val="top"/>
          </w:tcPr>
          <w:p w14:paraId="18E413E9">
            <w:pPr>
              <w:rPr>
                <w:rFonts w:ascii="Arial"/>
                <w:sz w:val="21"/>
              </w:rPr>
            </w:pPr>
          </w:p>
        </w:tc>
        <w:tc>
          <w:tcPr>
            <w:tcW w:w="979" w:type="dxa"/>
            <w:vAlign w:val="top"/>
          </w:tcPr>
          <w:p w14:paraId="64415886">
            <w:pPr>
              <w:rPr>
                <w:rFonts w:ascii="Arial"/>
                <w:sz w:val="21"/>
              </w:rPr>
            </w:pPr>
          </w:p>
        </w:tc>
        <w:tc>
          <w:tcPr>
            <w:tcW w:w="994" w:type="dxa"/>
            <w:vAlign w:val="top"/>
          </w:tcPr>
          <w:p w14:paraId="743B4F45">
            <w:pPr>
              <w:rPr>
                <w:rFonts w:ascii="Arial"/>
                <w:sz w:val="21"/>
              </w:rPr>
            </w:pPr>
          </w:p>
        </w:tc>
      </w:tr>
    </w:tbl>
    <w:p w14:paraId="2D18182F">
      <w:pPr>
        <w:spacing w:line="267" w:lineRule="auto"/>
        <w:rPr>
          <w:rFonts w:ascii="Arial"/>
          <w:sz w:val="21"/>
        </w:rPr>
      </w:pPr>
    </w:p>
    <w:p w14:paraId="440AF7EF">
      <w:pPr>
        <w:spacing w:line="267" w:lineRule="auto"/>
        <w:rPr>
          <w:rFonts w:ascii="Arial"/>
          <w:sz w:val="21"/>
        </w:rPr>
      </w:pPr>
    </w:p>
    <w:p w14:paraId="06150E21">
      <w:pPr>
        <w:pStyle w:val="2"/>
        <w:spacing w:before="65" w:line="227" w:lineRule="auto"/>
        <w:rPr>
          <w:rFonts w:ascii="黑体" w:hAnsi="黑体" w:eastAsia="黑体" w:cs="黑体"/>
          <w:sz w:val="20"/>
          <w:szCs w:val="20"/>
        </w:rPr>
      </w:pPr>
      <w:r>
        <w:rPr>
          <w:spacing w:val="-2"/>
          <w:sz w:val="20"/>
          <w:szCs w:val="20"/>
        </w:rPr>
        <w:t>评标委员会成员签名：</w:t>
      </w:r>
      <w:r>
        <w:rPr>
          <w:spacing w:val="1"/>
          <w:sz w:val="20"/>
          <w:szCs w:val="20"/>
        </w:rPr>
        <w:t xml:space="preserve">                   </w:t>
      </w:r>
      <w:r>
        <w:rPr>
          <w:sz w:val="20"/>
          <w:szCs w:val="20"/>
        </w:rPr>
        <w:t xml:space="preserve">                     </w:t>
      </w:r>
      <w:r>
        <w:rPr>
          <w:rFonts w:ascii="黑体" w:hAnsi="黑体" w:eastAsia="黑体" w:cs="黑体"/>
          <w:spacing w:val="-2"/>
          <w:position w:val="-1"/>
          <w:sz w:val="15"/>
          <w:szCs w:val="15"/>
        </w:rPr>
        <w:t xml:space="preserve">日 期 ：     </w:t>
      </w:r>
      <w:r>
        <w:rPr>
          <w:rFonts w:ascii="黑体" w:hAnsi="黑体" w:eastAsia="黑体" w:cs="黑体"/>
          <w:spacing w:val="-3"/>
          <w:position w:val="-1"/>
          <w:sz w:val="15"/>
          <w:szCs w:val="15"/>
        </w:rPr>
        <w:t xml:space="preserve"> </w:t>
      </w:r>
      <w:r>
        <w:rPr>
          <w:rFonts w:ascii="黑体" w:hAnsi="黑体" w:eastAsia="黑体" w:cs="黑体"/>
          <w:spacing w:val="-3"/>
          <w:sz w:val="20"/>
          <w:szCs w:val="20"/>
        </w:rPr>
        <w:t>年</w:t>
      </w:r>
      <w:r>
        <w:rPr>
          <w:rFonts w:ascii="黑体" w:hAnsi="黑体" w:eastAsia="黑体" w:cs="黑体"/>
          <w:spacing w:val="9"/>
          <w:sz w:val="20"/>
          <w:szCs w:val="20"/>
        </w:rPr>
        <w:t xml:space="preserve">     </w:t>
      </w:r>
      <w:r>
        <w:rPr>
          <w:rFonts w:ascii="黑体" w:hAnsi="黑体" w:eastAsia="黑体" w:cs="黑体"/>
          <w:spacing w:val="-3"/>
          <w:sz w:val="20"/>
          <w:szCs w:val="20"/>
        </w:rPr>
        <w:t>月      日</w:t>
      </w:r>
    </w:p>
    <w:p w14:paraId="47394AF7">
      <w:pPr>
        <w:spacing w:line="256" w:lineRule="auto"/>
        <w:rPr>
          <w:rFonts w:ascii="Arial"/>
          <w:sz w:val="21"/>
        </w:rPr>
      </w:pPr>
    </w:p>
    <w:p w14:paraId="1499EA2B">
      <w:pPr>
        <w:pStyle w:val="2"/>
        <w:spacing w:before="65" w:line="260" w:lineRule="auto"/>
        <w:ind w:left="429" w:hanging="429"/>
        <w:rPr>
          <w:sz w:val="20"/>
          <w:szCs w:val="20"/>
        </w:rPr>
      </w:pPr>
      <w:r>
        <w:rPr>
          <w:spacing w:val="12"/>
          <w:sz w:val="20"/>
          <w:szCs w:val="20"/>
        </w:rPr>
        <w:t>注：“单价一致性”是指已标价清单中相应材料设备与材料(工程设备)暂估或发包人提供材料和</w:t>
      </w:r>
      <w:r>
        <w:rPr>
          <w:spacing w:val="9"/>
          <w:sz w:val="20"/>
          <w:szCs w:val="20"/>
        </w:rPr>
        <w:t xml:space="preserve"> </w:t>
      </w:r>
      <w:r>
        <w:rPr>
          <w:spacing w:val="7"/>
          <w:sz w:val="20"/>
          <w:szCs w:val="20"/>
        </w:rPr>
        <w:t>工程设备单价是否一致。</w:t>
      </w:r>
    </w:p>
    <w:p w14:paraId="430DB41C">
      <w:pPr>
        <w:spacing w:line="260" w:lineRule="auto"/>
        <w:rPr>
          <w:sz w:val="20"/>
          <w:szCs w:val="20"/>
        </w:rPr>
        <w:sectPr>
          <w:footerReference r:id="rId97" w:type="default"/>
          <w:pgSz w:w="11910" w:h="16840"/>
          <w:pgMar w:top="400" w:right="1523" w:bottom="1024" w:left="1460" w:header="0" w:footer="889" w:gutter="0"/>
          <w:cols w:space="720" w:num="1"/>
        </w:sectPr>
      </w:pPr>
    </w:p>
    <w:p w14:paraId="3D3F0D47">
      <w:pPr>
        <w:spacing w:line="259" w:lineRule="auto"/>
        <w:rPr>
          <w:rFonts w:ascii="Arial"/>
          <w:sz w:val="21"/>
        </w:rPr>
      </w:pPr>
    </w:p>
    <w:p w14:paraId="781E644E">
      <w:pPr>
        <w:spacing w:line="259" w:lineRule="auto"/>
        <w:rPr>
          <w:rFonts w:ascii="Arial"/>
          <w:sz w:val="21"/>
        </w:rPr>
      </w:pPr>
    </w:p>
    <w:p w14:paraId="0DB2CB74">
      <w:pPr>
        <w:spacing w:line="259" w:lineRule="auto"/>
        <w:rPr>
          <w:rFonts w:ascii="Arial"/>
          <w:sz w:val="21"/>
        </w:rPr>
      </w:pPr>
    </w:p>
    <w:p w14:paraId="629925C3">
      <w:pPr>
        <w:spacing w:line="259" w:lineRule="auto"/>
        <w:rPr>
          <w:rFonts w:ascii="Arial"/>
          <w:sz w:val="21"/>
        </w:rPr>
      </w:pPr>
    </w:p>
    <w:p w14:paraId="08ADC824">
      <w:pPr>
        <w:spacing w:line="259" w:lineRule="auto"/>
        <w:rPr>
          <w:rFonts w:ascii="Arial"/>
          <w:sz w:val="21"/>
        </w:rPr>
      </w:pPr>
    </w:p>
    <w:p w14:paraId="2A8F8506">
      <w:pPr>
        <w:spacing w:before="82" w:line="222" w:lineRule="auto"/>
        <w:ind w:left="433"/>
        <w:outlineLvl w:val="2"/>
        <w:rPr>
          <w:rFonts w:ascii="黑体" w:hAnsi="黑体" w:eastAsia="黑体" w:cs="黑体"/>
          <w:sz w:val="25"/>
          <w:szCs w:val="25"/>
        </w:rPr>
      </w:pPr>
      <w:bookmarkStart w:id="237" w:name="bookmark172"/>
      <w:bookmarkEnd w:id="237"/>
      <w:r>
        <w:rPr>
          <w:rFonts w:ascii="黑体" w:hAnsi="黑体" w:eastAsia="黑体" w:cs="黑体"/>
          <w:b/>
          <w:bCs/>
          <w:spacing w:val="-9"/>
          <w:sz w:val="25"/>
          <w:szCs w:val="25"/>
        </w:rPr>
        <w:t>附表</w:t>
      </w:r>
      <w:r>
        <w:rPr>
          <w:rFonts w:ascii="黑体" w:hAnsi="黑体" w:eastAsia="黑体" w:cs="黑体"/>
          <w:spacing w:val="-64"/>
          <w:sz w:val="25"/>
          <w:szCs w:val="25"/>
        </w:rPr>
        <w:t xml:space="preserve"> </w:t>
      </w:r>
      <w:r>
        <w:rPr>
          <w:rFonts w:ascii="Times New Roman" w:hAnsi="Times New Roman" w:eastAsia="Times New Roman" w:cs="Times New Roman"/>
          <w:b/>
          <w:bCs/>
          <w:spacing w:val="-9"/>
          <w:sz w:val="25"/>
          <w:szCs w:val="25"/>
        </w:rPr>
        <w:t>C-2:</w:t>
      </w:r>
      <w:r>
        <w:rPr>
          <w:rFonts w:ascii="Times New Roman" w:hAnsi="Times New Roman" w:eastAsia="Times New Roman" w:cs="Times New Roman"/>
          <w:b/>
          <w:bCs/>
          <w:spacing w:val="18"/>
          <w:sz w:val="25"/>
          <w:szCs w:val="25"/>
        </w:rPr>
        <w:t xml:space="preserve">  </w:t>
      </w:r>
      <w:r>
        <w:rPr>
          <w:rFonts w:ascii="黑体" w:hAnsi="黑体" w:eastAsia="黑体" w:cs="黑体"/>
          <w:b/>
          <w:bCs/>
          <w:spacing w:val="-9"/>
          <w:sz w:val="25"/>
          <w:szCs w:val="25"/>
        </w:rPr>
        <w:t>清标报告-总价措施项目符合性检查</w:t>
      </w:r>
    </w:p>
    <w:p w14:paraId="238A6C04">
      <w:pPr>
        <w:spacing w:line="245" w:lineRule="auto"/>
        <w:rPr>
          <w:rFonts w:ascii="Arial"/>
          <w:sz w:val="21"/>
        </w:rPr>
      </w:pPr>
    </w:p>
    <w:p w14:paraId="5335A936">
      <w:pPr>
        <w:spacing w:before="104" w:line="222" w:lineRule="auto"/>
        <w:ind w:left="1954"/>
        <w:rPr>
          <w:rFonts w:ascii="黑体" w:hAnsi="黑体" w:eastAsia="黑体" w:cs="黑体"/>
          <w:sz w:val="32"/>
          <w:szCs w:val="32"/>
        </w:rPr>
      </w:pPr>
      <w:bookmarkStart w:id="238" w:name="bookmark283"/>
      <w:bookmarkEnd w:id="238"/>
      <w:r>
        <w:rPr>
          <w:rFonts w:ascii="黑体" w:hAnsi="黑体" w:eastAsia="黑体" w:cs="黑体"/>
          <w:b/>
          <w:bCs/>
          <w:spacing w:val="-2"/>
          <w:sz w:val="32"/>
          <w:szCs w:val="32"/>
        </w:rPr>
        <w:t>清标报告-总价措施项目符合性检查</w:t>
      </w:r>
    </w:p>
    <w:p w14:paraId="6D7E0839">
      <w:pPr>
        <w:pStyle w:val="2"/>
        <w:spacing w:before="7" w:line="220" w:lineRule="auto"/>
        <w:rPr>
          <w:sz w:val="20"/>
          <w:szCs w:val="20"/>
        </w:rPr>
      </w:pPr>
      <w:r>
        <w:rPr>
          <w:spacing w:val="1"/>
          <w:sz w:val="20"/>
          <w:szCs w:val="20"/>
        </w:rPr>
        <w:t>投标人名称：</w:t>
      </w:r>
    </w:p>
    <w:p w14:paraId="185FBBB6">
      <w:pPr>
        <w:spacing w:before="26"/>
      </w:pPr>
    </w:p>
    <w:tbl>
      <w:tblPr>
        <w:tblStyle w:val="5"/>
        <w:tblW w:w="8800" w:type="dxa"/>
        <w:tblInd w:w="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03"/>
        <w:gridCol w:w="1089"/>
        <w:gridCol w:w="1109"/>
        <w:gridCol w:w="1099"/>
        <w:gridCol w:w="1099"/>
        <w:gridCol w:w="1099"/>
        <w:gridCol w:w="1079"/>
        <w:gridCol w:w="1123"/>
      </w:tblGrid>
      <w:tr w14:paraId="450AC8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4" w:hRule="atLeast"/>
        </w:trPr>
        <w:tc>
          <w:tcPr>
            <w:tcW w:w="3301" w:type="dxa"/>
            <w:gridSpan w:val="3"/>
            <w:vAlign w:val="top"/>
          </w:tcPr>
          <w:p w14:paraId="454C599D">
            <w:pPr>
              <w:pStyle w:val="6"/>
              <w:spacing w:before="163" w:line="220" w:lineRule="auto"/>
              <w:ind w:left="1074"/>
              <w:rPr>
                <w:sz w:val="20"/>
                <w:szCs w:val="20"/>
              </w:rPr>
            </w:pPr>
            <w:r>
              <w:rPr>
                <w:spacing w:val="-2"/>
                <w:sz w:val="20"/>
                <w:szCs w:val="20"/>
              </w:rPr>
              <w:t>单位工程名称</w:t>
            </w:r>
          </w:p>
        </w:tc>
        <w:tc>
          <w:tcPr>
            <w:tcW w:w="5499" w:type="dxa"/>
            <w:gridSpan w:val="5"/>
            <w:vAlign w:val="top"/>
          </w:tcPr>
          <w:p w14:paraId="524AED75">
            <w:pPr>
              <w:rPr>
                <w:rFonts w:ascii="Arial"/>
                <w:sz w:val="21"/>
              </w:rPr>
            </w:pPr>
          </w:p>
        </w:tc>
      </w:tr>
      <w:tr w14:paraId="5D601C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9" w:hRule="atLeast"/>
        </w:trPr>
        <w:tc>
          <w:tcPr>
            <w:tcW w:w="8800" w:type="dxa"/>
            <w:gridSpan w:val="8"/>
            <w:vAlign w:val="top"/>
          </w:tcPr>
          <w:p w14:paraId="1117843E">
            <w:pPr>
              <w:pStyle w:val="6"/>
              <w:spacing w:before="214" w:line="218" w:lineRule="auto"/>
              <w:ind w:left="3077"/>
              <w:rPr>
                <w:sz w:val="20"/>
                <w:szCs w:val="20"/>
              </w:rPr>
            </w:pPr>
            <w:r>
              <w:rPr>
                <w:b/>
                <w:bCs/>
                <w:spacing w:val="-3"/>
                <w:sz w:val="20"/>
                <w:szCs w:val="20"/>
              </w:rPr>
              <w:t>二、总价措施项目符合性检查</w:t>
            </w:r>
          </w:p>
        </w:tc>
      </w:tr>
      <w:tr w14:paraId="53C968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1103" w:type="dxa"/>
            <w:vAlign w:val="top"/>
          </w:tcPr>
          <w:p w14:paraId="50A92A71">
            <w:pPr>
              <w:pStyle w:val="6"/>
              <w:spacing w:before="20" w:line="226" w:lineRule="auto"/>
              <w:ind w:left="244" w:right="137" w:hanging="99"/>
              <w:rPr>
                <w:sz w:val="20"/>
                <w:szCs w:val="20"/>
              </w:rPr>
            </w:pPr>
            <w:r>
              <w:rPr>
                <w:spacing w:val="2"/>
                <w:sz w:val="20"/>
                <w:szCs w:val="20"/>
              </w:rPr>
              <w:t>项目名称</w:t>
            </w:r>
            <w:r>
              <w:rPr>
                <w:spacing w:val="1"/>
                <w:sz w:val="20"/>
                <w:szCs w:val="20"/>
              </w:rPr>
              <w:t xml:space="preserve"> </w:t>
            </w:r>
            <w:r>
              <w:rPr>
                <w:spacing w:val="4"/>
                <w:sz w:val="20"/>
                <w:szCs w:val="20"/>
              </w:rPr>
              <w:t>或编号</w:t>
            </w:r>
          </w:p>
        </w:tc>
        <w:tc>
          <w:tcPr>
            <w:tcW w:w="1089" w:type="dxa"/>
            <w:vAlign w:val="top"/>
          </w:tcPr>
          <w:p w14:paraId="333AFCD0">
            <w:pPr>
              <w:pStyle w:val="6"/>
              <w:spacing w:before="20" w:line="219" w:lineRule="auto"/>
              <w:ind w:left="132"/>
              <w:rPr>
                <w:sz w:val="20"/>
                <w:szCs w:val="20"/>
              </w:rPr>
            </w:pPr>
            <w:r>
              <w:rPr>
                <w:spacing w:val="2"/>
                <w:sz w:val="20"/>
                <w:szCs w:val="20"/>
              </w:rPr>
              <w:t>项目编码</w:t>
            </w:r>
          </w:p>
          <w:p w14:paraId="211127DD">
            <w:pPr>
              <w:pStyle w:val="6"/>
              <w:spacing w:before="23" w:line="211" w:lineRule="auto"/>
              <w:ind w:left="332"/>
              <w:rPr>
                <w:sz w:val="20"/>
                <w:szCs w:val="20"/>
              </w:rPr>
            </w:pPr>
            <w:r>
              <w:rPr>
                <w:spacing w:val="-2"/>
                <w:sz w:val="20"/>
                <w:szCs w:val="20"/>
              </w:rPr>
              <w:t>错误</w:t>
            </w:r>
          </w:p>
        </w:tc>
        <w:tc>
          <w:tcPr>
            <w:tcW w:w="1109" w:type="dxa"/>
            <w:vAlign w:val="top"/>
          </w:tcPr>
          <w:p w14:paraId="68AF0FF6">
            <w:pPr>
              <w:pStyle w:val="6"/>
              <w:spacing w:before="20" w:line="220" w:lineRule="auto"/>
              <w:ind w:left="143"/>
              <w:rPr>
                <w:sz w:val="20"/>
                <w:szCs w:val="20"/>
              </w:rPr>
            </w:pPr>
            <w:r>
              <w:rPr>
                <w:spacing w:val="2"/>
                <w:sz w:val="20"/>
                <w:szCs w:val="20"/>
              </w:rPr>
              <w:t>项目名称</w:t>
            </w:r>
          </w:p>
          <w:p w14:paraId="72CC4A32">
            <w:pPr>
              <w:pStyle w:val="6"/>
              <w:spacing w:before="22" w:line="211" w:lineRule="auto"/>
              <w:ind w:left="343"/>
              <w:rPr>
                <w:sz w:val="20"/>
                <w:szCs w:val="20"/>
              </w:rPr>
            </w:pPr>
            <w:r>
              <w:rPr>
                <w:spacing w:val="-2"/>
                <w:sz w:val="20"/>
                <w:szCs w:val="20"/>
              </w:rPr>
              <w:t>错误</w:t>
            </w:r>
          </w:p>
        </w:tc>
        <w:tc>
          <w:tcPr>
            <w:tcW w:w="1099" w:type="dxa"/>
            <w:vAlign w:val="top"/>
          </w:tcPr>
          <w:p w14:paraId="6CD86AC8">
            <w:pPr>
              <w:pStyle w:val="6"/>
              <w:spacing w:before="30" w:line="219" w:lineRule="auto"/>
              <w:ind w:left="144"/>
              <w:rPr>
                <w:sz w:val="20"/>
                <w:szCs w:val="20"/>
              </w:rPr>
            </w:pPr>
            <w:r>
              <w:rPr>
                <w:spacing w:val="-2"/>
                <w:sz w:val="20"/>
                <w:szCs w:val="20"/>
              </w:rPr>
              <w:t>计算基础</w:t>
            </w:r>
          </w:p>
          <w:p w14:paraId="17C957F0">
            <w:pPr>
              <w:pStyle w:val="6"/>
              <w:spacing w:before="13" w:line="211" w:lineRule="auto"/>
              <w:ind w:left="344"/>
              <w:rPr>
                <w:sz w:val="20"/>
                <w:szCs w:val="20"/>
              </w:rPr>
            </w:pPr>
            <w:r>
              <w:rPr>
                <w:spacing w:val="-2"/>
                <w:sz w:val="20"/>
                <w:szCs w:val="20"/>
              </w:rPr>
              <w:t>错误</w:t>
            </w:r>
          </w:p>
        </w:tc>
        <w:tc>
          <w:tcPr>
            <w:tcW w:w="1099" w:type="dxa"/>
            <w:vAlign w:val="top"/>
          </w:tcPr>
          <w:p w14:paraId="2E39104D">
            <w:pPr>
              <w:pStyle w:val="6"/>
              <w:spacing w:before="28" w:line="222" w:lineRule="auto"/>
              <w:ind w:left="344" w:right="150" w:hanging="150"/>
              <w:rPr>
                <w:sz w:val="20"/>
                <w:szCs w:val="20"/>
              </w:rPr>
            </w:pPr>
            <w:r>
              <w:rPr>
                <w:spacing w:val="8"/>
                <w:sz w:val="20"/>
                <w:szCs w:val="20"/>
              </w:rPr>
              <w:t>费率(%)</w:t>
            </w:r>
            <w:r>
              <w:rPr>
                <w:spacing w:val="2"/>
                <w:sz w:val="20"/>
                <w:szCs w:val="20"/>
              </w:rPr>
              <w:t xml:space="preserve"> </w:t>
            </w:r>
            <w:r>
              <w:rPr>
                <w:spacing w:val="-2"/>
                <w:sz w:val="20"/>
                <w:szCs w:val="20"/>
              </w:rPr>
              <w:t>错误</w:t>
            </w:r>
          </w:p>
        </w:tc>
        <w:tc>
          <w:tcPr>
            <w:tcW w:w="1099" w:type="dxa"/>
            <w:vAlign w:val="top"/>
          </w:tcPr>
          <w:p w14:paraId="6ABB7F51">
            <w:pPr>
              <w:pStyle w:val="6"/>
              <w:spacing w:before="160" w:line="219" w:lineRule="auto"/>
              <w:ind w:left="266"/>
              <w:rPr>
                <w:sz w:val="20"/>
                <w:szCs w:val="20"/>
              </w:rPr>
            </w:pPr>
            <w:r>
              <w:rPr>
                <w:spacing w:val="3"/>
                <w:sz w:val="20"/>
                <w:szCs w:val="20"/>
              </w:rPr>
              <w:t>未填报</w:t>
            </w:r>
          </w:p>
        </w:tc>
        <w:tc>
          <w:tcPr>
            <w:tcW w:w="1079" w:type="dxa"/>
            <w:vAlign w:val="top"/>
          </w:tcPr>
          <w:p w14:paraId="02F57264">
            <w:pPr>
              <w:pStyle w:val="6"/>
              <w:spacing w:before="160" w:line="220" w:lineRule="auto"/>
              <w:ind w:left="357"/>
              <w:rPr>
                <w:sz w:val="20"/>
                <w:szCs w:val="20"/>
              </w:rPr>
            </w:pPr>
            <w:r>
              <w:rPr>
                <w:spacing w:val="6"/>
                <w:sz w:val="20"/>
                <w:szCs w:val="20"/>
              </w:rPr>
              <w:t>多项</w:t>
            </w:r>
          </w:p>
        </w:tc>
        <w:tc>
          <w:tcPr>
            <w:tcW w:w="1123" w:type="dxa"/>
            <w:vAlign w:val="top"/>
          </w:tcPr>
          <w:p w14:paraId="7A453AEF">
            <w:pPr>
              <w:rPr>
                <w:rFonts w:ascii="Arial"/>
                <w:sz w:val="21"/>
              </w:rPr>
            </w:pPr>
          </w:p>
        </w:tc>
      </w:tr>
      <w:tr w14:paraId="0EE01F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atLeast"/>
        </w:trPr>
        <w:tc>
          <w:tcPr>
            <w:tcW w:w="1103" w:type="dxa"/>
            <w:vAlign w:val="top"/>
          </w:tcPr>
          <w:p w14:paraId="6DAEAE3B">
            <w:pPr>
              <w:rPr>
                <w:rFonts w:ascii="Arial"/>
                <w:sz w:val="21"/>
              </w:rPr>
            </w:pPr>
          </w:p>
        </w:tc>
        <w:tc>
          <w:tcPr>
            <w:tcW w:w="1089" w:type="dxa"/>
            <w:vAlign w:val="top"/>
          </w:tcPr>
          <w:p w14:paraId="7B38C978">
            <w:pPr>
              <w:rPr>
                <w:rFonts w:ascii="Arial"/>
                <w:sz w:val="21"/>
              </w:rPr>
            </w:pPr>
          </w:p>
        </w:tc>
        <w:tc>
          <w:tcPr>
            <w:tcW w:w="1109" w:type="dxa"/>
            <w:vAlign w:val="top"/>
          </w:tcPr>
          <w:p w14:paraId="7D885F4B">
            <w:pPr>
              <w:rPr>
                <w:rFonts w:ascii="Arial"/>
                <w:sz w:val="21"/>
              </w:rPr>
            </w:pPr>
          </w:p>
        </w:tc>
        <w:tc>
          <w:tcPr>
            <w:tcW w:w="1099" w:type="dxa"/>
            <w:vAlign w:val="top"/>
          </w:tcPr>
          <w:p w14:paraId="4C58F6D4">
            <w:pPr>
              <w:rPr>
                <w:rFonts w:ascii="Arial"/>
                <w:sz w:val="21"/>
              </w:rPr>
            </w:pPr>
          </w:p>
        </w:tc>
        <w:tc>
          <w:tcPr>
            <w:tcW w:w="1099" w:type="dxa"/>
            <w:vAlign w:val="top"/>
          </w:tcPr>
          <w:p w14:paraId="19632D3E">
            <w:pPr>
              <w:rPr>
                <w:rFonts w:ascii="Arial"/>
                <w:sz w:val="21"/>
              </w:rPr>
            </w:pPr>
          </w:p>
        </w:tc>
        <w:tc>
          <w:tcPr>
            <w:tcW w:w="1099" w:type="dxa"/>
            <w:vAlign w:val="top"/>
          </w:tcPr>
          <w:p w14:paraId="3CFF47DB">
            <w:pPr>
              <w:rPr>
                <w:rFonts w:ascii="Arial"/>
                <w:sz w:val="21"/>
              </w:rPr>
            </w:pPr>
          </w:p>
        </w:tc>
        <w:tc>
          <w:tcPr>
            <w:tcW w:w="1079" w:type="dxa"/>
            <w:vAlign w:val="top"/>
          </w:tcPr>
          <w:p w14:paraId="50F6A591">
            <w:pPr>
              <w:rPr>
                <w:rFonts w:ascii="Arial"/>
                <w:sz w:val="21"/>
              </w:rPr>
            </w:pPr>
          </w:p>
        </w:tc>
        <w:tc>
          <w:tcPr>
            <w:tcW w:w="1123" w:type="dxa"/>
            <w:vAlign w:val="top"/>
          </w:tcPr>
          <w:p w14:paraId="2611ACB9">
            <w:pPr>
              <w:rPr>
                <w:rFonts w:ascii="Arial"/>
                <w:sz w:val="21"/>
              </w:rPr>
            </w:pPr>
          </w:p>
        </w:tc>
      </w:tr>
      <w:tr w14:paraId="202A75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1103" w:type="dxa"/>
            <w:vAlign w:val="top"/>
          </w:tcPr>
          <w:p w14:paraId="79BA3B57">
            <w:pPr>
              <w:rPr>
                <w:rFonts w:ascii="Arial"/>
                <w:sz w:val="21"/>
              </w:rPr>
            </w:pPr>
          </w:p>
        </w:tc>
        <w:tc>
          <w:tcPr>
            <w:tcW w:w="1089" w:type="dxa"/>
            <w:vAlign w:val="top"/>
          </w:tcPr>
          <w:p w14:paraId="06ED9F26">
            <w:pPr>
              <w:rPr>
                <w:rFonts w:ascii="Arial"/>
                <w:sz w:val="21"/>
              </w:rPr>
            </w:pPr>
          </w:p>
        </w:tc>
        <w:tc>
          <w:tcPr>
            <w:tcW w:w="1109" w:type="dxa"/>
            <w:vAlign w:val="top"/>
          </w:tcPr>
          <w:p w14:paraId="168F21DC">
            <w:pPr>
              <w:rPr>
                <w:rFonts w:ascii="Arial"/>
                <w:sz w:val="21"/>
              </w:rPr>
            </w:pPr>
          </w:p>
        </w:tc>
        <w:tc>
          <w:tcPr>
            <w:tcW w:w="1099" w:type="dxa"/>
            <w:vAlign w:val="top"/>
          </w:tcPr>
          <w:p w14:paraId="0663F8DC">
            <w:pPr>
              <w:rPr>
                <w:rFonts w:ascii="Arial"/>
                <w:sz w:val="21"/>
              </w:rPr>
            </w:pPr>
          </w:p>
        </w:tc>
        <w:tc>
          <w:tcPr>
            <w:tcW w:w="1099" w:type="dxa"/>
            <w:vAlign w:val="top"/>
          </w:tcPr>
          <w:p w14:paraId="73B6E5ED">
            <w:pPr>
              <w:rPr>
                <w:rFonts w:ascii="Arial"/>
                <w:sz w:val="21"/>
              </w:rPr>
            </w:pPr>
          </w:p>
        </w:tc>
        <w:tc>
          <w:tcPr>
            <w:tcW w:w="1099" w:type="dxa"/>
            <w:vAlign w:val="top"/>
          </w:tcPr>
          <w:p w14:paraId="62A9E3A8">
            <w:pPr>
              <w:rPr>
                <w:rFonts w:ascii="Arial"/>
                <w:sz w:val="21"/>
              </w:rPr>
            </w:pPr>
          </w:p>
        </w:tc>
        <w:tc>
          <w:tcPr>
            <w:tcW w:w="1079" w:type="dxa"/>
            <w:vAlign w:val="top"/>
          </w:tcPr>
          <w:p w14:paraId="3C071132">
            <w:pPr>
              <w:rPr>
                <w:rFonts w:ascii="Arial"/>
                <w:sz w:val="21"/>
              </w:rPr>
            </w:pPr>
          </w:p>
        </w:tc>
        <w:tc>
          <w:tcPr>
            <w:tcW w:w="1123" w:type="dxa"/>
            <w:vAlign w:val="top"/>
          </w:tcPr>
          <w:p w14:paraId="39895938">
            <w:pPr>
              <w:rPr>
                <w:rFonts w:ascii="Arial"/>
                <w:sz w:val="21"/>
              </w:rPr>
            </w:pPr>
          </w:p>
        </w:tc>
      </w:tr>
      <w:tr w14:paraId="469EF0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1103" w:type="dxa"/>
            <w:vAlign w:val="top"/>
          </w:tcPr>
          <w:p w14:paraId="2CD6AE77">
            <w:pPr>
              <w:rPr>
                <w:rFonts w:ascii="Arial"/>
                <w:sz w:val="21"/>
              </w:rPr>
            </w:pPr>
          </w:p>
        </w:tc>
        <w:tc>
          <w:tcPr>
            <w:tcW w:w="1089" w:type="dxa"/>
            <w:vAlign w:val="top"/>
          </w:tcPr>
          <w:p w14:paraId="4E63F4B8">
            <w:pPr>
              <w:rPr>
                <w:rFonts w:ascii="Arial"/>
                <w:sz w:val="21"/>
              </w:rPr>
            </w:pPr>
          </w:p>
        </w:tc>
        <w:tc>
          <w:tcPr>
            <w:tcW w:w="1109" w:type="dxa"/>
            <w:vAlign w:val="top"/>
          </w:tcPr>
          <w:p w14:paraId="1D07442B">
            <w:pPr>
              <w:rPr>
                <w:rFonts w:ascii="Arial"/>
                <w:sz w:val="21"/>
              </w:rPr>
            </w:pPr>
          </w:p>
        </w:tc>
        <w:tc>
          <w:tcPr>
            <w:tcW w:w="1099" w:type="dxa"/>
            <w:vAlign w:val="top"/>
          </w:tcPr>
          <w:p w14:paraId="0577B7C4">
            <w:pPr>
              <w:rPr>
                <w:rFonts w:ascii="Arial"/>
                <w:sz w:val="21"/>
              </w:rPr>
            </w:pPr>
          </w:p>
        </w:tc>
        <w:tc>
          <w:tcPr>
            <w:tcW w:w="1099" w:type="dxa"/>
            <w:vAlign w:val="top"/>
          </w:tcPr>
          <w:p w14:paraId="399B20A8">
            <w:pPr>
              <w:rPr>
                <w:rFonts w:ascii="Arial"/>
                <w:sz w:val="21"/>
              </w:rPr>
            </w:pPr>
          </w:p>
        </w:tc>
        <w:tc>
          <w:tcPr>
            <w:tcW w:w="1099" w:type="dxa"/>
            <w:vAlign w:val="top"/>
          </w:tcPr>
          <w:p w14:paraId="0F09CF30">
            <w:pPr>
              <w:rPr>
                <w:rFonts w:ascii="Arial"/>
                <w:sz w:val="21"/>
              </w:rPr>
            </w:pPr>
          </w:p>
        </w:tc>
        <w:tc>
          <w:tcPr>
            <w:tcW w:w="1079" w:type="dxa"/>
            <w:vAlign w:val="top"/>
          </w:tcPr>
          <w:p w14:paraId="2BE058FB">
            <w:pPr>
              <w:rPr>
                <w:rFonts w:ascii="Arial"/>
                <w:sz w:val="21"/>
              </w:rPr>
            </w:pPr>
          </w:p>
        </w:tc>
        <w:tc>
          <w:tcPr>
            <w:tcW w:w="1123" w:type="dxa"/>
            <w:vAlign w:val="top"/>
          </w:tcPr>
          <w:p w14:paraId="3D39E077">
            <w:pPr>
              <w:rPr>
                <w:rFonts w:ascii="Arial"/>
                <w:sz w:val="21"/>
              </w:rPr>
            </w:pPr>
          </w:p>
        </w:tc>
      </w:tr>
      <w:tr w14:paraId="69165E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1103" w:type="dxa"/>
            <w:vAlign w:val="top"/>
          </w:tcPr>
          <w:p w14:paraId="534DBABA">
            <w:pPr>
              <w:rPr>
                <w:rFonts w:ascii="Arial"/>
                <w:sz w:val="21"/>
              </w:rPr>
            </w:pPr>
          </w:p>
        </w:tc>
        <w:tc>
          <w:tcPr>
            <w:tcW w:w="1089" w:type="dxa"/>
            <w:vAlign w:val="top"/>
          </w:tcPr>
          <w:p w14:paraId="0ACAB1A2">
            <w:pPr>
              <w:rPr>
                <w:rFonts w:ascii="Arial"/>
                <w:sz w:val="21"/>
              </w:rPr>
            </w:pPr>
          </w:p>
        </w:tc>
        <w:tc>
          <w:tcPr>
            <w:tcW w:w="1109" w:type="dxa"/>
            <w:vAlign w:val="top"/>
          </w:tcPr>
          <w:p w14:paraId="7D511AA4">
            <w:pPr>
              <w:rPr>
                <w:rFonts w:ascii="Arial"/>
                <w:sz w:val="21"/>
              </w:rPr>
            </w:pPr>
          </w:p>
        </w:tc>
        <w:tc>
          <w:tcPr>
            <w:tcW w:w="1099" w:type="dxa"/>
            <w:vAlign w:val="top"/>
          </w:tcPr>
          <w:p w14:paraId="6B511567">
            <w:pPr>
              <w:rPr>
                <w:rFonts w:ascii="Arial"/>
                <w:sz w:val="21"/>
              </w:rPr>
            </w:pPr>
          </w:p>
        </w:tc>
        <w:tc>
          <w:tcPr>
            <w:tcW w:w="1099" w:type="dxa"/>
            <w:vAlign w:val="top"/>
          </w:tcPr>
          <w:p w14:paraId="643BB2E5">
            <w:pPr>
              <w:rPr>
                <w:rFonts w:ascii="Arial"/>
                <w:sz w:val="21"/>
              </w:rPr>
            </w:pPr>
          </w:p>
        </w:tc>
        <w:tc>
          <w:tcPr>
            <w:tcW w:w="1099" w:type="dxa"/>
            <w:vAlign w:val="top"/>
          </w:tcPr>
          <w:p w14:paraId="4BAF2023">
            <w:pPr>
              <w:rPr>
                <w:rFonts w:ascii="Arial"/>
                <w:sz w:val="21"/>
              </w:rPr>
            </w:pPr>
          </w:p>
        </w:tc>
        <w:tc>
          <w:tcPr>
            <w:tcW w:w="1079" w:type="dxa"/>
            <w:vAlign w:val="top"/>
          </w:tcPr>
          <w:p w14:paraId="78C4F48D">
            <w:pPr>
              <w:rPr>
                <w:rFonts w:ascii="Arial"/>
                <w:sz w:val="21"/>
              </w:rPr>
            </w:pPr>
          </w:p>
        </w:tc>
        <w:tc>
          <w:tcPr>
            <w:tcW w:w="1123" w:type="dxa"/>
            <w:vAlign w:val="top"/>
          </w:tcPr>
          <w:p w14:paraId="7B1271F9">
            <w:pPr>
              <w:rPr>
                <w:rFonts w:ascii="Arial"/>
                <w:sz w:val="21"/>
              </w:rPr>
            </w:pPr>
          </w:p>
        </w:tc>
      </w:tr>
      <w:tr w14:paraId="22CFA8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1103" w:type="dxa"/>
            <w:vAlign w:val="top"/>
          </w:tcPr>
          <w:p w14:paraId="12F63BF6">
            <w:pPr>
              <w:rPr>
                <w:rFonts w:ascii="Arial"/>
                <w:sz w:val="21"/>
              </w:rPr>
            </w:pPr>
          </w:p>
        </w:tc>
        <w:tc>
          <w:tcPr>
            <w:tcW w:w="1089" w:type="dxa"/>
            <w:vAlign w:val="top"/>
          </w:tcPr>
          <w:p w14:paraId="1DA6F961">
            <w:pPr>
              <w:rPr>
                <w:rFonts w:ascii="Arial"/>
                <w:sz w:val="21"/>
              </w:rPr>
            </w:pPr>
          </w:p>
        </w:tc>
        <w:tc>
          <w:tcPr>
            <w:tcW w:w="1109" w:type="dxa"/>
            <w:vAlign w:val="top"/>
          </w:tcPr>
          <w:p w14:paraId="65E193A5">
            <w:pPr>
              <w:rPr>
                <w:rFonts w:ascii="Arial"/>
                <w:sz w:val="21"/>
              </w:rPr>
            </w:pPr>
          </w:p>
        </w:tc>
        <w:tc>
          <w:tcPr>
            <w:tcW w:w="1099" w:type="dxa"/>
            <w:vAlign w:val="top"/>
          </w:tcPr>
          <w:p w14:paraId="0439982D">
            <w:pPr>
              <w:rPr>
                <w:rFonts w:ascii="Arial"/>
                <w:sz w:val="21"/>
              </w:rPr>
            </w:pPr>
          </w:p>
        </w:tc>
        <w:tc>
          <w:tcPr>
            <w:tcW w:w="1099" w:type="dxa"/>
            <w:vAlign w:val="top"/>
          </w:tcPr>
          <w:p w14:paraId="400C61E9">
            <w:pPr>
              <w:rPr>
                <w:rFonts w:ascii="Arial"/>
                <w:sz w:val="21"/>
              </w:rPr>
            </w:pPr>
          </w:p>
        </w:tc>
        <w:tc>
          <w:tcPr>
            <w:tcW w:w="1099" w:type="dxa"/>
            <w:vAlign w:val="top"/>
          </w:tcPr>
          <w:p w14:paraId="1714E7BD">
            <w:pPr>
              <w:rPr>
                <w:rFonts w:ascii="Arial"/>
                <w:sz w:val="21"/>
              </w:rPr>
            </w:pPr>
          </w:p>
        </w:tc>
        <w:tc>
          <w:tcPr>
            <w:tcW w:w="1079" w:type="dxa"/>
            <w:vAlign w:val="top"/>
          </w:tcPr>
          <w:p w14:paraId="30AFD6F6">
            <w:pPr>
              <w:rPr>
                <w:rFonts w:ascii="Arial"/>
                <w:sz w:val="21"/>
              </w:rPr>
            </w:pPr>
          </w:p>
        </w:tc>
        <w:tc>
          <w:tcPr>
            <w:tcW w:w="1123" w:type="dxa"/>
            <w:vAlign w:val="top"/>
          </w:tcPr>
          <w:p w14:paraId="50AD21A4">
            <w:pPr>
              <w:rPr>
                <w:rFonts w:ascii="Arial"/>
                <w:sz w:val="21"/>
              </w:rPr>
            </w:pPr>
          </w:p>
        </w:tc>
      </w:tr>
      <w:tr w14:paraId="5CEFED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1103" w:type="dxa"/>
            <w:vAlign w:val="top"/>
          </w:tcPr>
          <w:p w14:paraId="73B2E93F">
            <w:pPr>
              <w:rPr>
                <w:rFonts w:ascii="Arial"/>
                <w:sz w:val="21"/>
              </w:rPr>
            </w:pPr>
          </w:p>
        </w:tc>
        <w:tc>
          <w:tcPr>
            <w:tcW w:w="1089" w:type="dxa"/>
            <w:vAlign w:val="top"/>
          </w:tcPr>
          <w:p w14:paraId="66493BB5">
            <w:pPr>
              <w:rPr>
                <w:rFonts w:ascii="Arial"/>
                <w:sz w:val="21"/>
              </w:rPr>
            </w:pPr>
          </w:p>
        </w:tc>
        <w:tc>
          <w:tcPr>
            <w:tcW w:w="1109" w:type="dxa"/>
            <w:vAlign w:val="top"/>
          </w:tcPr>
          <w:p w14:paraId="6CCC11E1">
            <w:pPr>
              <w:rPr>
                <w:rFonts w:ascii="Arial"/>
                <w:sz w:val="21"/>
              </w:rPr>
            </w:pPr>
          </w:p>
        </w:tc>
        <w:tc>
          <w:tcPr>
            <w:tcW w:w="1099" w:type="dxa"/>
            <w:vAlign w:val="top"/>
          </w:tcPr>
          <w:p w14:paraId="014AE98C">
            <w:pPr>
              <w:rPr>
                <w:rFonts w:ascii="Arial"/>
                <w:sz w:val="21"/>
              </w:rPr>
            </w:pPr>
          </w:p>
        </w:tc>
        <w:tc>
          <w:tcPr>
            <w:tcW w:w="1099" w:type="dxa"/>
            <w:vAlign w:val="top"/>
          </w:tcPr>
          <w:p w14:paraId="705C3607">
            <w:pPr>
              <w:rPr>
                <w:rFonts w:ascii="Arial"/>
                <w:sz w:val="21"/>
              </w:rPr>
            </w:pPr>
          </w:p>
        </w:tc>
        <w:tc>
          <w:tcPr>
            <w:tcW w:w="1099" w:type="dxa"/>
            <w:vAlign w:val="top"/>
          </w:tcPr>
          <w:p w14:paraId="1D142049">
            <w:pPr>
              <w:rPr>
                <w:rFonts w:ascii="Arial"/>
                <w:sz w:val="21"/>
              </w:rPr>
            </w:pPr>
          </w:p>
        </w:tc>
        <w:tc>
          <w:tcPr>
            <w:tcW w:w="1079" w:type="dxa"/>
            <w:vAlign w:val="top"/>
          </w:tcPr>
          <w:p w14:paraId="2C8F7C7C">
            <w:pPr>
              <w:rPr>
                <w:rFonts w:ascii="Arial"/>
                <w:sz w:val="21"/>
              </w:rPr>
            </w:pPr>
          </w:p>
        </w:tc>
        <w:tc>
          <w:tcPr>
            <w:tcW w:w="1123" w:type="dxa"/>
            <w:vAlign w:val="top"/>
          </w:tcPr>
          <w:p w14:paraId="76230F9F">
            <w:pPr>
              <w:rPr>
                <w:rFonts w:ascii="Arial"/>
                <w:sz w:val="21"/>
              </w:rPr>
            </w:pPr>
          </w:p>
        </w:tc>
      </w:tr>
      <w:tr w14:paraId="09C0E1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trPr>
        <w:tc>
          <w:tcPr>
            <w:tcW w:w="1103" w:type="dxa"/>
            <w:vAlign w:val="top"/>
          </w:tcPr>
          <w:p w14:paraId="086D455E">
            <w:pPr>
              <w:rPr>
                <w:rFonts w:ascii="Arial"/>
                <w:sz w:val="21"/>
              </w:rPr>
            </w:pPr>
          </w:p>
        </w:tc>
        <w:tc>
          <w:tcPr>
            <w:tcW w:w="1089" w:type="dxa"/>
            <w:vAlign w:val="top"/>
          </w:tcPr>
          <w:p w14:paraId="1CD0E056">
            <w:pPr>
              <w:rPr>
                <w:rFonts w:ascii="Arial"/>
                <w:sz w:val="21"/>
              </w:rPr>
            </w:pPr>
          </w:p>
        </w:tc>
        <w:tc>
          <w:tcPr>
            <w:tcW w:w="1109" w:type="dxa"/>
            <w:vAlign w:val="top"/>
          </w:tcPr>
          <w:p w14:paraId="171CC4A6">
            <w:pPr>
              <w:rPr>
                <w:rFonts w:ascii="Arial"/>
                <w:sz w:val="21"/>
              </w:rPr>
            </w:pPr>
          </w:p>
        </w:tc>
        <w:tc>
          <w:tcPr>
            <w:tcW w:w="1099" w:type="dxa"/>
            <w:vAlign w:val="top"/>
          </w:tcPr>
          <w:p w14:paraId="1CD7C87C">
            <w:pPr>
              <w:rPr>
                <w:rFonts w:ascii="Arial"/>
                <w:sz w:val="21"/>
              </w:rPr>
            </w:pPr>
          </w:p>
        </w:tc>
        <w:tc>
          <w:tcPr>
            <w:tcW w:w="1099" w:type="dxa"/>
            <w:vAlign w:val="top"/>
          </w:tcPr>
          <w:p w14:paraId="3C4D1097">
            <w:pPr>
              <w:rPr>
                <w:rFonts w:ascii="Arial"/>
                <w:sz w:val="21"/>
              </w:rPr>
            </w:pPr>
          </w:p>
        </w:tc>
        <w:tc>
          <w:tcPr>
            <w:tcW w:w="1099" w:type="dxa"/>
            <w:vAlign w:val="top"/>
          </w:tcPr>
          <w:p w14:paraId="778D78F4">
            <w:pPr>
              <w:rPr>
                <w:rFonts w:ascii="Arial"/>
                <w:sz w:val="21"/>
              </w:rPr>
            </w:pPr>
          </w:p>
        </w:tc>
        <w:tc>
          <w:tcPr>
            <w:tcW w:w="1079" w:type="dxa"/>
            <w:vAlign w:val="top"/>
          </w:tcPr>
          <w:p w14:paraId="298DE090">
            <w:pPr>
              <w:rPr>
                <w:rFonts w:ascii="Arial"/>
                <w:sz w:val="21"/>
              </w:rPr>
            </w:pPr>
          </w:p>
        </w:tc>
        <w:tc>
          <w:tcPr>
            <w:tcW w:w="1123" w:type="dxa"/>
            <w:vAlign w:val="top"/>
          </w:tcPr>
          <w:p w14:paraId="63736C58">
            <w:pPr>
              <w:rPr>
                <w:rFonts w:ascii="Arial"/>
                <w:sz w:val="21"/>
              </w:rPr>
            </w:pPr>
          </w:p>
        </w:tc>
      </w:tr>
      <w:tr w14:paraId="40F103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1103" w:type="dxa"/>
            <w:vAlign w:val="top"/>
          </w:tcPr>
          <w:p w14:paraId="08CE2D52">
            <w:pPr>
              <w:rPr>
                <w:rFonts w:ascii="Arial"/>
                <w:sz w:val="21"/>
              </w:rPr>
            </w:pPr>
          </w:p>
        </w:tc>
        <w:tc>
          <w:tcPr>
            <w:tcW w:w="1089" w:type="dxa"/>
            <w:vAlign w:val="top"/>
          </w:tcPr>
          <w:p w14:paraId="57BC0960">
            <w:pPr>
              <w:rPr>
                <w:rFonts w:ascii="Arial"/>
                <w:sz w:val="21"/>
              </w:rPr>
            </w:pPr>
          </w:p>
        </w:tc>
        <w:tc>
          <w:tcPr>
            <w:tcW w:w="1109" w:type="dxa"/>
            <w:vAlign w:val="top"/>
          </w:tcPr>
          <w:p w14:paraId="1F47BA71">
            <w:pPr>
              <w:rPr>
                <w:rFonts w:ascii="Arial"/>
                <w:sz w:val="21"/>
              </w:rPr>
            </w:pPr>
          </w:p>
        </w:tc>
        <w:tc>
          <w:tcPr>
            <w:tcW w:w="1099" w:type="dxa"/>
            <w:vAlign w:val="top"/>
          </w:tcPr>
          <w:p w14:paraId="0E9BF58D">
            <w:pPr>
              <w:rPr>
                <w:rFonts w:ascii="Arial"/>
                <w:sz w:val="21"/>
              </w:rPr>
            </w:pPr>
          </w:p>
        </w:tc>
        <w:tc>
          <w:tcPr>
            <w:tcW w:w="1099" w:type="dxa"/>
            <w:vAlign w:val="top"/>
          </w:tcPr>
          <w:p w14:paraId="037F19D6">
            <w:pPr>
              <w:rPr>
                <w:rFonts w:ascii="Arial"/>
                <w:sz w:val="21"/>
              </w:rPr>
            </w:pPr>
          </w:p>
        </w:tc>
        <w:tc>
          <w:tcPr>
            <w:tcW w:w="1099" w:type="dxa"/>
            <w:vAlign w:val="top"/>
          </w:tcPr>
          <w:p w14:paraId="0F430919">
            <w:pPr>
              <w:rPr>
                <w:rFonts w:ascii="Arial"/>
                <w:sz w:val="21"/>
              </w:rPr>
            </w:pPr>
          </w:p>
        </w:tc>
        <w:tc>
          <w:tcPr>
            <w:tcW w:w="1079" w:type="dxa"/>
            <w:vAlign w:val="top"/>
          </w:tcPr>
          <w:p w14:paraId="7A88124B">
            <w:pPr>
              <w:rPr>
                <w:rFonts w:ascii="Arial"/>
                <w:sz w:val="21"/>
              </w:rPr>
            </w:pPr>
          </w:p>
        </w:tc>
        <w:tc>
          <w:tcPr>
            <w:tcW w:w="1123" w:type="dxa"/>
            <w:vAlign w:val="top"/>
          </w:tcPr>
          <w:p w14:paraId="05CAA133">
            <w:pPr>
              <w:rPr>
                <w:rFonts w:ascii="Arial"/>
                <w:sz w:val="21"/>
              </w:rPr>
            </w:pPr>
          </w:p>
        </w:tc>
      </w:tr>
      <w:tr w14:paraId="087FF5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atLeast"/>
        </w:trPr>
        <w:tc>
          <w:tcPr>
            <w:tcW w:w="1103" w:type="dxa"/>
            <w:vAlign w:val="top"/>
          </w:tcPr>
          <w:p w14:paraId="565DB7A6">
            <w:pPr>
              <w:rPr>
                <w:rFonts w:ascii="Arial"/>
                <w:sz w:val="21"/>
              </w:rPr>
            </w:pPr>
          </w:p>
        </w:tc>
        <w:tc>
          <w:tcPr>
            <w:tcW w:w="1089" w:type="dxa"/>
            <w:vAlign w:val="top"/>
          </w:tcPr>
          <w:p w14:paraId="7A5652AB">
            <w:pPr>
              <w:rPr>
                <w:rFonts w:ascii="Arial"/>
                <w:sz w:val="21"/>
              </w:rPr>
            </w:pPr>
          </w:p>
        </w:tc>
        <w:tc>
          <w:tcPr>
            <w:tcW w:w="1109" w:type="dxa"/>
            <w:vAlign w:val="top"/>
          </w:tcPr>
          <w:p w14:paraId="6BF16C5B">
            <w:pPr>
              <w:rPr>
                <w:rFonts w:ascii="Arial"/>
                <w:sz w:val="21"/>
              </w:rPr>
            </w:pPr>
          </w:p>
        </w:tc>
        <w:tc>
          <w:tcPr>
            <w:tcW w:w="1099" w:type="dxa"/>
            <w:vAlign w:val="top"/>
          </w:tcPr>
          <w:p w14:paraId="224551FA">
            <w:pPr>
              <w:rPr>
                <w:rFonts w:ascii="Arial"/>
                <w:sz w:val="21"/>
              </w:rPr>
            </w:pPr>
          </w:p>
        </w:tc>
        <w:tc>
          <w:tcPr>
            <w:tcW w:w="1099" w:type="dxa"/>
            <w:vAlign w:val="top"/>
          </w:tcPr>
          <w:p w14:paraId="137008C9">
            <w:pPr>
              <w:rPr>
                <w:rFonts w:ascii="Arial"/>
                <w:sz w:val="21"/>
              </w:rPr>
            </w:pPr>
          </w:p>
        </w:tc>
        <w:tc>
          <w:tcPr>
            <w:tcW w:w="1099" w:type="dxa"/>
            <w:vAlign w:val="top"/>
          </w:tcPr>
          <w:p w14:paraId="40E2F318">
            <w:pPr>
              <w:rPr>
                <w:rFonts w:ascii="Arial"/>
                <w:sz w:val="21"/>
              </w:rPr>
            </w:pPr>
          </w:p>
        </w:tc>
        <w:tc>
          <w:tcPr>
            <w:tcW w:w="1079" w:type="dxa"/>
            <w:vAlign w:val="top"/>
          </w:tcPr>
          <w:p w14:paraId="12F895E4">
            <w:pPr>
              <w:rPr>
                <w:rFonts w:ascii="Arial"/>
                <w:sz w:val="21"/>
              </w:rPr>
            </w:pPr>
          </w:p>
        </w:tc>
        <w:tc>
          <w:tcPr>
            <w:tcW w:w="1123" w:type="dxa"/>
            <w:vAlign w:val="top"/>
          </w:tcPr>
          <w:p w14:paraId="504C9EC0">
            <w:pPr>
              <w:rPr>
                <w:rFonts w:ascii="Arial"/>
                <w:sz w:val="21"/>
              </w:rPr>
            </w:pPr>
          </w:p>
        </w:tc>
      </w:tr>
      <w:tr w14:paraId="580AC3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4" w:hRule="atLeast"/>
        </w:trPr>
        <w:tc>
          <w:tcPr>
            <w:tcW w:w="1103" w:type="dxa"/>
            <w:vAlign w:val="top"/>
          </w:tcPr>
          <w:p w14:paraId="3DA96096">
            <w:pPr>
              <w:rPr>
                <w:rFonts w:ascii="Arial"/>
                <w:sz w:val="21"/>
              </w:rPr>
            </w:pPr>
          </w:p>
        </w:tc>
        <w:tc>
          <w:tcPr>
            <w:tcW w:w="1089" w:type="dxa"/>
            <w:vAlign w:val="top"/>
          </w:tcPr>
          <w:p w14:paraId="4C2FEA92">
            <w:pPr>
              <w:rPr>
                <w:rFonts w:ascii="Arial"/>
                <w:sz w:val="21"/>
              </w:rPr>
            </w:pPr>
          </w:p>
        </w:tc>
        <w:tc>
          <w:tcPr>
            <w:tcW w:w="1109" w:type="dxa"/>
            <w:vAlign w:val="top"/>
          </w:tcPr>
          <w:p w14:paraId="08A6CBC9">
            <w:pPr>
              <w:rPr>
                <w:rFonts w:ascii="Arial"/>
                <w:sz w:val="21"/>
              </w:rPr>
            </w:pPr>
          </w:p>
        </w:tc>
        <w:tc>
          <w:tcPr>
            <w:tcW w:w="1099" w:type="dxa"/>
            <w:vAlign w:val="top"/>
          </w:tcPr>
          <w:p w14:paraId="24B76A57">
            <w:pPr>
              <w:rPr>
                <w:rFonts w:ascii="Arial"/>
                <w:sz w:val="21"/>
              </w:rPr>
            </w:pPr>
          </w:p>
        </w:tc>
        <w:tc>
          <w:tcPr>
            <w:tcW w:w="1099" w:type="dxa"/>
            <w:vAlign w:val="top"/>
          </w:tcPr>
          <w:p w14:paraId="0AC3F1C1">
            <w:pPr>
              <w:rPr>
                <w:rFonts w:ascii="Arial"/>
                <w:sz w:val="21"/>
              </w:rPr>
            </w:pPr>
          </w:p>
        </w:tc>
        <w:tc>
          <w:tcPr>
            <w:tcW w:w="1099" w:type="dxa"/>
            <w:vAlign w:val="top"/>
          </w:tcPr>
          <w:p w14:paraId="0ACBEF53">
            <w:pPr>
              <w:rPr>
                <w:rFonts w:ascii="Arial"/>
                <w:sz w:val="21"/>
              </w:rPr>
            </w:pPr>
          </w:p>
        </w:tc>
        <w:tc>
          <w:tcPr>
            <w:tcW w:w="1079" w:type="dxa"/>
            <w:vAlign w:val="top"/>
          </w:tcPr>
          <w:p w14:paraId="7317306C">
            <w:pPr>
              <w:rPr>
                <w:rFonts w:ascii="Arial"/>
                <w:sz w:val="21"/>
              </w:rPr>
            </w:pPr>
          </w:p>
        </w:tc>
        <w:tc>
          <w:tcPr>
            <w:tcW w:w="1123" w:type="dxa"/>
            <w:vAlign w:val="top"/>
          </w:tcPr>
          <w:p w14:paraId="0F5207CD">
            <w:pPr>
              <w:rPr>
                <w:rFonts w:ascii="Arial"/>
                <w:sz w:val="21"/>
              </w:rPr>
            </w:pPr>
          </w:p>
        </w:tc>
      </w:tr>
    </w:tbl>
    <w:p w14:paraId="57016700">
      <w:pPr>
        <w:spacing w:line="269" w:lineRule="auto"/>
        <w:rPr>
          <w:rFonts w:ascii="Arial"/>
          <w:sz w:val="21"/>
        </w:rPr>
      </w:pPr>
    </w:p>
    <w:p w14:paraId="7C35C309">
      <w:pPr>
        <w:spacing w:line="269" w:lineRule="auto"/>
        <w:rPr>
          <w:rFonts w:ascii="Arial"/>
          <w:sz w:val="21"/>
        </w:rPr>
      </w:pPr>
    </w:p>
    <w:p w14:paraId="758DA3D7">
      <w:pPr>
        <w:spacing w:line="270" w:lineRule="auto"/>
        <w:rPr>
          <w:rFonts w:ascii="Arial"/>
          <w:sz w:val="21"/>
        </w:rPr>
      </w:pPr>
    </w:p>
    <w:p w14:paraId="459D22A4">
      <w:pPr>
        <w:pStyle w:val="2"/>
        <w:spacing w:before="65" w:line="222" w:lineRule="auto"/>
        <w:rPr>
          <w:sz w:val="20"/>
          <w:szCs w:val="20"/>
        </w:rPr>
      </w:pPr>
      <w:r>
        <w:rPr>
          <w:spacing w:val="-2"/>
          <w:sz w:val="20"/>
          <w:szCs w:val="20"/>
        </w:rPr>
        <w:t xml:space="preserve">评标委员会成员签名：                                         </w:t>
      </w:r>
      <w:r>
        <w:rPr>
          <w:spacing w:val="-2"/>
          <w:sz w:val="16"/>
          <w:szCs w:val="16"/>
        </w:rPr>
        <w:t>日 期 ：</w:t>
      </w:r>
      <w:r>
        <w:rPr>
          <w:spacing w:val="-3"/>
          <w:sz w:val="16"/>
          <w:szCs w:val="16"/>
        </w:rPr>
        <w:t xml:space="preserve">      </w:t>
      </w:r>
      <w:r>
        <w:rPr>
          <w:spacing w:val="-3"/>
          <w:sz w:val="20"/>
          <w:szCs w:val="20"/>
        </w:rPr>
        <w:t xml:space="preserve">年     月      </w:t>
      </w:r>
      <w:r>
        <w:rPr>
          <w:spacing w:val="-3"/>
          <w:position w:val="1"/>
          <w:sz w:val="20"/>
          <w:szCs w:val="20"/>
        </w:rPr>
        <w:t>日</w:t>
      </w:r>
    </w:p>
    <w:p w14:paraId="00C47A99">
      <w:pPr>
        <w:spacing w:line="253" w:lineRule="auto"/>
        <w:rPr>
          <w:rFonts w:ascii="Arial"/>
          <w:sz w:val="21"/>
        </w:rPr>
      </w:pPr>
    </w:p>
    <w:p w14:paraId="00897482">
      <w:pPr>
        <w:spacing w:line="253" w:lineRule="auto"/>
        <w:rPr>
          <w:rFonts w:ascii="Arial"/>
          <w:sz w:val="21"/>
        </w:rPr>
      </w:pPr>
    </w:p>
    <w:p w14:paraId="2712C989">
      <w:pPr>
        <w:pStyle w:val="2"/>
        <w:spacing w:before="65" w:line="219" w:lineRule="auto"/>
        <w:rPr>
          <w:sz w:val="20"/>
          <w:szCs w:val="20"/>
        </w:rPr>
      </w:pPr>
      <w:r>
        <w:rPr>
          <w:spacing w:val="11"/>
          <w:sz w:val="20"/>
          <w:szCs w:val="20"/>
        </w:rPr>
        <w:t>注：“费率(%)错误”是指仅检查安全文明施工费的取费费率</w:t>
      </w:r>
      <w:r>
        <w:rPr>
          <w:spacing w:val="10"/>
          <w:sz w:val="20"/>
          <w:szCs w:val="20"/>
        </w:rPr>
        <w:t>是否有错误。</w:t>
      </w:r>
    </w:p>
    <w:p w14:paraId="05FD0B7B">
      <w:pPr>
        <w:spacing w:line="219" w:lineRule="auto"/>
        <w:rPr>
          <w:sz w:val="20"/>
          <w:szCs w:val="20"/>
        </w:rPr>
        <w:sectPr>
          <w:footerReference r:id="rId98" w:type="default"/>
          <w:pgSz w:w="11910" w:h="16840"/>
          <w:pgMar w:top="400" w:right="1584" w:bottom="1007" w:left="1460" w:header="0" w:footer="881" w:gutter="0"/>
          <w:cols w:space="720" w:num="1"/>
        </w:sectPr>
      </w:pPr>
    </w:p>
    <w:p w14:paraId="2E43E93E">
      <w:pPr>
        <w:spacing w:line="259" w:lineRule="auto"/>
        <w:rPr>
          <w:rFonts w:ascii="Arial"/>
          <w:sz w:val="21"/>
        </w:rPr>
      </w:pPr>
    </w:p>
    <w:p w14:paraId="44E90FAD">
      <w:pPr>
        <w:spacing w:line="259" w:lineRule="auto"/>
        <w:rPr>
          <w:rFonts w:ascii="Arial"/>
          <w:sz w:val="21"/>
        </w:rPr>
      </w:pPr>
    </w:p>
    <w:p w14:paraId="10192171">
      <w:pPr>
        <w:spacing w:line="259" w:lineRule="auto"/>
        <w:rPr>
          <w:rFonts w:ascii="Arial"/>
          <w:sz w:val="21"/>
        </w:rPr>
      </w:pPr>
    </w:p>
    <w:p w14:paraId="5E181338">
      <w:pPr>
        <w:spacing w:line="259" w:lineRule="auto"/>
        <w:rPr>
          <w:rFonts w:ascii="Arial"/>
          <w:sz w:val="21"/>
        </w:rPr>
      </w:pPr>
    </w:p>
    <w:p w14:paraId="561E0D81">
      <w:pPr>
        <w:spacing w:line="259" w:lineRule="auto"/>
        <w:rPr>
          <w:rFonts w:ascii="Arial"/>
          <w:sz w:val="21"/>
        </w:rPr>
      </w:pPr>
    </w:p>
    <w:p w14:paraId="37B5177D">
      <w:pPr>
        <w:spacing w:before="82" w:line="222" w:lineRule="auto"/>
        <w:ind w:left="443"/>
        <w:outlineLvl w:val="2"/>
        <w:rPr>
          <w:rFonts w:ascii="黑体" w:hAnsi="黑体" w:eastAsia="黑体" w:cs="黑体"/>
          <w:sz w:val="25"/>
          <w:szCs w:val="25"/>
        </w:rPr>
      </w:pPr>
      <w:bookmarkStart w:id="239" w:name="bookmark173"/>
      <w:bookmarkEnd w:id="239"/>
      <w:r>
        <w:rPr>
          <w:rFonts w:ascii="黑体" w:hAnsi="黑体" w:eastAsia="黑体" w:cs="黑体"/>
          <w:b/>
          <w:bCs/>
          <w:spacing w:val="-9"/>
          <w:sz w:val="25"/>
          <w:szCs w:val="25"/>
        </w:rPr>
        <w:t>附表</w:t>
      </w:r>
      <w:r>
        <w:rPr>
          <w:rFonts w:ascii="黑体" w:hAnsi="黑体" w:eastAsia="黑体" w:cs="黑体"/>
          <w:spacing w:val="-57"/>
          <w:sz w:val="25"/>
          <w:szCs w:val="25"/>
        </w:rPr>
        <w:t xml:space="preserve"> </w:t>
      </w:r>
      <w:r>
        <w:rPr>
          <w:rFonts w:ascii="Times New Roman" w:hAnsi="Times New Roman" w:eastAsia="Times New Roman" w:cs="Times New Roman"/>
          <w:b/>
          <w:bCs/>
          <w:spacing w:val="-9"/>
          <w:sz w:val="25"/>
          <w:szCs w:val="25"/>
        </w:rPr>
        <w:t>C-3:</w:t>
      </w:r>
      <w:r>
        <w:rPr>
          <w:rFonts w:ascii="Times New Roman" w:hAnsi="Times New Roman" w:eastAsia="Times New Roman" w:cs="Times New Roman"/>
          <w:b/>
          <w:bCs/>
          <w:spacing w:val="18"/>
          <w:sz w:val="25"/>
          <w:szCs w:val="25"/>
        </w:rPr>
        <w:t xml:space="preserve">  </w:t>
      </w:r>
      <w:r>
        <w:rPr>
          <w:rFonts w:ascii="黑体" w:hAnsi="黑体" w:eastAsia="黑体" w:cs="黑体"/>
          <w:b/>
          <w:bCs/>
          <w:spacing w:val="-9"/>
          <w:sz w:val="25"/>
          <w:szCs w:val="25"/>
        </w:rPr>
        <w:t>清标报告-其他项目符合性检查</w:t>
      </w:r>
    </w:p>
    <w:p w14:paraId="054F5EA1">
      <w:pPr>
        <w:spacing w:line="453" w:lineRule="auto"/>
        <w:rPr>
          <w:rFonts w:ascii="Arial"/>
          <w:sz w:val="21"/>
        </w:rPr>
      </w:pPr>
    </w:p>
    <w:p w14:paraId="462BAC03">
      <w:pPr>
        <w:spacing w:before="104" w:line="222" w:lineRule="auto"/>
        <w:ind w:left="2284"/>
        <w:rPr>
          <w:rFonts w:ascii="黑体" w:hAnsi="黑体" w:eastAsia="黑体" w:cs="黑体"/>
          <w:sz w:val="32"/>
          <w:szCs w:val="32"/>
        </w:rPr>
      </w:pPr>
      <w:bookmarkStart w:id="240" w:name="bookmark284"/>
      <w:bookmarkEnd w:id="240"/>
      <w:r>
        <w:rPr>
          <w:rFonts w:ascii="黑体" w:hAnsi="黑体" w:eastAsia="黑体" w:cs="黑体"/>
          <w:b/>
          <w:bCs/>
          <w:spacing w:val="-1"/>
          <w:sz w:val="32"/>
          <w:szCs w:val="32"/>
        </w:rPr>
        <w:t>清标报告-其他项目符合性检查</w:t>
      </w:r>
    </w:p>
    <w:p w14:paraId="6A5FAC10">
      <w:pPr>
        <w:pStyle w:val="2"/>
        <w:spacing w:before="277" w:line="220" w:lineRule="auto"/>
        <w:rPr>
          <w:sz w:val="20"/>
          <w:szCs w:val="20"/>
        </w:rPr>
      </w:pPr>
      <w:r>
        <w:rPr>
          <w:spacing w:val="1"/>
          <w:sz w:val="20"/>
          <w:szCs w:val="20"/>
        </w:rPr>
        <w:t>投标人名称：</w:t>
      </w:r>
    </w:p>
    <w:p w14:paraId="06AB92EB">
      <w:pPr>
        <w:spacing w:before="16"/>
      </w:pPr>
    </w:p>
    <w:tbl>
      <w:tblPr>
        <w:tblStyle w:val="5"/>
        <w:tblW w:w="8730" w:type="dxa"/>
        <w:tblInd w:w="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74"/>
        <w:gridCol w:w="1338"/>
        <w:gridCol w:w="1229"/>
        <w:gridCol w:w="1249"/>
        <w:gridCol w:w="1258"/>
        <w:gridCol w:w="1239"/>
        <w:gridCol w:w="1243"/>
      </w:tblGrid>
      <w:tr w14:paraId="3E93D4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4" w:hRule="atLeast"/>
        </w:trPr>
        <w:tc>
          <w:tcPr>
            <w:tcW w:w="3741" w:type="dxa"/>
            <w:gridSpan w:val="3"/>
            <w:vAlign w:val="top"/>
          </w:tcPr>
          <w:p w14:paraId="7053144E">
            <w:pPr>
              <w:pStyle w:val="6"/>
              <w:spacing w:before="163" w:line="220" w:lineRule="auto"/>
              <w:ind w:left="1285"/>
              <w:rPr>
                <w:sz w:val="20"/>
                <w:szCs w:val="20"/>
              </w:rPr>
            </w:pPr>
            <w:r>
              <w:rPr>
                <w:spacing w:val="-2"/>
                <w:sz w:val="20"/>
                <w:szCs w:val="20"/>
              </w:rPr>
              <w:t>单位工程名称</w:t>
            </w:r>
          </w:p>
        </w:tc>
        <w:tc>
          <w:tcPr>
            <w:tcW w:w="4989" w:type="dxa"/>
            <w:gridSpan w:val="4"/>
            <w:vAlign w:val="top"/>
          </w:tcPr>
          <w:p w14:paraId="5C94FA36">
            <w:pPr>
              <w:rPr>
                <w:rFonts w:ascii="Arial"/>
                <w:sz w:val="21"/>
              </w:rPr>
            </w:pPr>
          </w:p>
        </w:tc>
      </w:tr>
      <w:tr w14:paraId="3012C8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8730" w:type="dxa"/>
            <w:gridSpan w:val="7"/>
            <w:vAlign w:val="top"/>
          </w:tcPr>
          <w:p w14:paraId="39864B6B">
            <w:pPr>
              <w:pStyle w:val="6"/>
              <w:spacing w:before="126" w:line="219" w:lineRule="auto"/>
              <w:ind w:left="3257"/>
              <w:rPr>
                <w:sz w:val="20"/>
                <w:szCs w:val="20"/>
              </w:rPr>
            </w:pPr>
            <w:r>
              <w:rPr>
                <w:b/>
                <w:bCs/>
                <w:spacing w:val="-3"/>
                <w:sz w:val="20"/>
                <w:szCs w:val="20"/>
              </w:rPr>
              <w:t>三、其他项目符合性检查</w:t>
            </w:r>
          </w:p>
        </w:tc>
      </w:tr>
      <w:tr w14:paraId="26F741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9" w:hRule="atLeast"/>
        </w:trPr>
        <w:tc>
          <w:tcPr>
            <w:tcW w:w="1174" w:type="dxa"/>
            <w:vAlign w:val="top"/>
          </w:tcPr>
          <w:p w14:paraId="4114C3A4">
            <w:pPr>
              <w:pStyle w:val="6"/>
              <w:spacing w:before="160" w:line="220" w:lineRule="auto"/>
              <w:ind w:left="175"/>
              <w:rPr>
                <w:sz w:val="20"/>
                <w:szCs w:val="20"/>
              </w:rPr>
            </w:pPr>
            <w:r>
              <w:rPr>
                <w:spacing w:val="2"/>
                <w:sz w:val="20"/>
                <w:szCs w:val="20"/>
              </w:rPr>
              <w:t>项目名称</w:t>
            </w:r>
          </w:p>
        </w:tc>
        <w:tc>
          <w:tcPr>
            <w:tcW w:w="1338" w:type="dxa"/>
            <w:vAlign w:val="top"/>
          </w:tcPr>
          <w:p w14:paraId="64BE6942">
            <w:pPr>
              <w:pStyle w:val="6"/>
              <w:spacing w:before="30" w:line="220" w:lineRule="auto"/>
              <w:ind w:left="261"/>
              <w:rPr>
                <w:sz w:val="20"/>
                <w:szCs w:val="20"/>
              </w:rPr>
            </w:pPr>
            <w:r>
              <w:rPr>
                <w:spacing w:val="2"/>
                <w:sz w:val="20"/>
                <w:szCs w:val="20"/>
              </w:rPr>
              <w:t>项目名称</w:t>
            </w:r>
          </w:p>
          <w:p w14:paraId="373C1568">
            <w:pPr>
              <w:pStyle w:val="6"/>
              <w:spacing w:before="12" w:line="210" w:lineRule="auto"/>
              <w:ind w:left="461"/>
              <w:rPr>
                <w:sz w:val="20"/>
                <w:szCs w:val="20"/>
              </w:rPr>
            </w:pPr>
            <w:r>
              <w:rPr>
                <w:spacing w:val="-2"/>
                <w:sz w:val="20"/>
                <w:szCs w:val="20"/>
              </w:rPr>
              <w:t>错误</w:t>
            </w:r>
          </w:p>
        </w:tc>
        <w:tc>
          <w:tcPr>
            <w:tcW w:w="1229" w:type="dxa"/>
            <w:vAlign w:val="top"/>
          </w:tcPr>
          <w:p w14:paraId="3C792957">
            <w:pPr>
              <w:pStyle w:val="6"/>
              <w:spacing w:before="30" w:line="219" w:lineRule="auto"/>
              <w:ind w:left="403"/>
              <w:rPr>
                <w:sz w:val="20"/>
                <w:szCs w:val="20"/>
              </w:rPr>
            </w:pPr>
            <w:r>
              <w:rPr>
                <w:spacing w:val="-3"/>
                <w:sz w:val="20"/>
                <w:szCs w:val="20"/>
              </w:rPr>
              <w:t>金额</w:t>
            </w:r>
          </w:p>
          <w:p w14:paraId="73A18D5C">
            <w:pPr>
              <w:pStyle w:val="6"/>
              <w:spacing w:before="13" w:line="210" w:lineRule="auto"/>
              <w:ind w:left="403"/>
              <w:rPr>
                <w:sz w:val="20"/>
                <w:szCs w:val="20"/>
              </w:rPr>
            </w:pPr>
            <w:r>
              <w:rPr>
                <w:spacing w:val="-2"/>
                <w:sz w:val="20"/>
                <w:szCs w:val="20"/>
              </w:rPr>
              <w:t>错误</w:t>
            </w:r>
          </w:p>
        </w:tc>
        <w:tc>
          <w:tcPr>
            <w:tcW w:w="1249" w:type="dxa"/>
            <w:vAlign w:val="top"/>
          </w:tcPr>
          <w:p w14:paraId="07D91753">
            <w:pPr>
              <w:rPr>
                <w:rFonts w:ascii="Arial"/>
                <w:sz w:val="21"/>
              </w:rPr>
            </w:pPr>
          </w:p>
        </w:tc>
        <w:tc>
          <w:tcPr>
            <w:tcW w:w="1258" w:type="dxa"/>
            <w:vAlign w:val="top"/>
          </w:tcPr>
          <w:p w14:paraId="4621B8F3">
            <w:pPr>
              <w:rPr>
                <w:rFonts w:ascii="Arial"/>
                <w:sz w:val="21"/>
              </w:rPr>
            </w:pPr>
          </w:p>
        </w:tc>
        <w:tc>
          <w:tcPr>
            <w:tcW w:w="1239" w:type="dxa"/>
            <w:vAlign w:val="top"/>
          </w:tcPr>
          <w:p w14:paraId="11B37537">
            <w:pPr>
              <w:rPr>
                <w:rFonts w:ascii="Arial"/>
                <w:sz w:val="21"/>
              </w:rPr>
            </w:pPr>
          </w:p>
        </w:tc>
        <w:tc>
          <w:tcPr>
            <w:tcW w:w="1243" w:type="dxa"/>
            <w:vAlign w:val="top"/>
          </w:tcPr>
          <w:p w14:paraId="6155A3C3">
            <w:pPr>
              <w:rPr>
                <w:rFonts w:ascii="Arial"/>
                <w:sz w:val="21"/>
              </w:rPr>
            </w:pPr>
          </w:p>
        </w:tc>
      </w:tr>
      <w:tr w14:paraId="76D1B5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1174" w:type="dxa"/>
            <w:vAlign w:val="top"/>
          </w:tcPr>
          <w:p w14:paraId="3F906D17">
            <w:pPr>
              <w:rPr>
                <w:rFonts w:ascii="Arial"/>
                <w:sz w:val="21"/>
              </w:rPr>
            </w:pPr>
          </w:p>
        </w:tc>
        <w:tc>
          <w:tcPr>
            <w:tcW w:w="1338" w:type="dxa"/>
            <w:vAlign w:val="top"/>
          </w:tcPr>
          <w:p w14:paraId="3AB7223B">
            <w:pPr>
              <w:rPr>
                <w:rFonts w:ascii="Arial"/>
                <w:sz w:val="21"/>
              </w:rPr>
            </w:pPr>
          </w:p>
        </w:tc>
        <w:tc>
          <w:tcPr>
            <w:tcW w:w="1229" w:type="dxa"/>
            <w:vAlign w:val="top"/>
          </w:tcPr>
          <w:p w14:paraId="34BAC0E9">
            <w:pPr>
              <w:rPr>
                <w:rFonts w:ascii="Arial"/>
                <w:sz w:val="21"/>
              </w:rPr>
            </w:pPr>
          </w:p>
        </w:tc>
        <w:tc>
          <w:tcPr>
            <w:tcW w:w="1249" w:type="dxa"/>
            <w:vAlign w:val="top"/>
          </w:tcPr>
          <w:p w14:paraId="22B240E1">
            <w:pPr>
              <w:rPr>
                <w:rFonts w:ascii="Arial"/>
                <w:sz w:val="21"/>
              </w:rPr>
            </w:pPr>
          </w:p>
        </w:tc>
        <w:tc>
          <w:tcPr>
            <w:tcW w:w="1258" w:type="dxa"/>
            <w:vAlign w:val="top"/>
          </w:tcPr>
          <w:p w14:paraId="7C276C32">
            <w:pPr>
              <w:rPr>
                <w:rFonts w:ascii="Arial"/>
                <w:sz w:val="21"/>
              </w:rPr>
            </w:pPr>
          </w:p>
        </w:tc>
        <w:tc>
          <w:tcPr>
            <w:tcW w:w="1239" w:type="dxa"/>
            <w:vAlign w:val="top"/>
          </w:tcPr>
          <w:p w14:paraId="61D92A13">
            <w:pPr>
              <w:rPr>
                <w:rFonts w:ascii="Arial"/>
                <w:sz w:val="21"/>
              </w:rPr>
            </w:pPr>
          </w:p>
        </w:tc>
        <w:tc>
          <w:tcPr>
            <w:tcW w:w="1243" w:type="dxa"/>
            <w:vAlign w:val="top"/>
          </w:tcPr>
          <w:p w14:paraId="22F582AC">
            <w:pPr>
              <w:rPr>
                <w:rFonts w:ascii="Arial"/>
                <w:sz w:val="21"/>
              </w:rPr>
            </w:pPr>
          </w:p>
        </w:tc>
      </w:tr>
      <w:tr w14:paraId="76F27C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8730" w:type="dxa"/>
            <w:gridSpan w:val="7"/>
            <w:vAlign w:val="top"/>
          </w:tcPr>
          <w:p w14:paraId="507BBC0D">
            <w:pPr>
              <w:pStyle w:val="6"/>
              <w:spacing w:before="148" w:line="219" w:lineRule="auto"/>
              <w:ind w:left="3957"/>
              <w:rPr>
                <w:sz w:val="20"/>
                <w:szCs w:val="20"/>
              </w:rPr>
            </w:pPr>
            <w:r>
              <w:rPr>
                <w:b/>
                <w:bCs/>
                <w:spacing w:val="-5"/>
                <w:sz w:val="20"/>
                <w:szCs w:val="20"/>
              </w:rPr>
              <w:t>暂列金额</w:t>
            </w:r>
          </w:p>
        </w:tc>
      </w:tr>
      <w:tr w14:paraId="595623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0" w:hRule="atLeast"/>
        </w:trPr>
        <w:tc>
          <w:tcPr>
            <w:tcW w:w="1174" w:type="dxa"/>
            <w:vAlign w:val="top"/>
          </w:tcPr>
          <w:p w14:paraId="033D03FB">
            <w:pPr>
              <w:pStyle w:val="6"/>
              <w:spacing w:before="172" w:line="220" w:lineRule="auto"/>
              <w:ind w:left="175"/>
              <w:rPr>
                <w:sz w:val="20"/>
                <w:szCs w:val="20"/>
              </w:rPr>
            </w:pPr>
            <w:r>
              <w:rPr>
                <w:spacing w:val="2"/>
                <w:sz w:val="20"/>
                <w:szCs w:val="20"/>
              </w:rPr>
              <w:t>项目名称</w:t>
            </w:r>
          </w:p>
        </w:tc>
        <w:tc>
          <w:tcPr>
            <w:tcW w:w="1338" w:type="dxa"/>
            <w:vAlign w:val="top"/>
          </w:tcPr>
          <w:p w14:paraId="067D556C">
            <w:pPr>
              <w:pStyle w:val="6"/>
              <w:spacing w:before="12" w:line="220" w:lineRule="auto"/>
              <w:ind w:left="261"/>
              <w:rPr>
                <w:sz w:val="20"/>
                <w:szCs w:val="20"/>
              </w:rPr>
            </w:pPr>
            <w:r>
              <w:rPr>
                <w:spacing w:val="2"/>
                <w:sz w:val="20"/>
                <w:szCs w:val="20"/>
              </w:rPr>
              <w:t>项目名称</w:t>
            </w:r>
          </w:p>
          <w:p w14:paraId="32B83D19">
            <w:pPr>
              <w:pStyle w:val="6"/>
              <w:spacing w:before="32" w:line="218" w:lineRule="auto"/>
              <w:ind w:left="461"/>
              <w:rPr>
                <w:sz w:val="20"/>
                <w:szCs w:val="20"/>
              </w:rPr>
            </w:pPr>
            <w:r>
              <w:rPr>
                <w:spacing w:val="-2"/>
                <w:sz w:val="20"/>
                <w:szCs w:val="20"/>
              </w:rPr>
              <w:t>错误</w:t>
            </w:r>
          </w:p>
        </w:tc>
        <w:tc>
          <w:tcPr>
            <w:tcW w:w="1229" w:type="dxa"/>
            <w:vAlign w:val="top"/>
          </w:tcPr>
          <w:p w14:paraId="10866C77">
            <w:pPr>
              <w:pStyle w:val="6"/>
              <w:spacing w:before="12" w:line="220" w:lineRule="auto"/>
              <w:ind w:left="203"/>
              <w:rPr>
                <w:sz w:val="20"/>
                <w:szCs w:val="20"/>
              </w:rPr>
            </w:pPr>
            <w:r>
              <w:rPr>
                <w:spacing w:val="-2"/>
                <w:sz w:val="20"/>
                <w:szCs w:val="20"/>
              </w:rPr>
              <w:t>计量单位</w:t>
            </w:r>
          </w:p>
          <w:p w14:paraId="7A10A8FD">
            <w:pPr>
              <w:pStyle w:val="6"/>
              <w:spacing w:before="32" w:line="218" w:lineRule="auto"/>
              <w:ind w:left="403"/>
              <w:rPr>
                <w:sz w:val="20"/>
                <w:szCs w:val="20"/>
              </w:rPr>
            </w:pPr>
            <w:r>
              <w:rPr>
                <w:spacing w:val="-2"/>
                <w:sz w:val="20"/>
                <w:szCs w:val="20"/>
              </w:rPr>
              <w:t>错误</w:t>
            </w:r>
          </w:p>
        </w:tc>
        <w:tc>
          <w:tcPr>
            <w:tcW w:w="1249" w:type="dxa"/>
            <w:vAlign w:val="top"/>
          </w:tcPr>
          <w:p w14:paraId="1D00102C">
            <w:pPr>
              <w:pStyle w:val="6"/>
              <w:spacing w:before="12" w:line="219" w:lineRule="auto"/>
              <w:ind w:left="214"/>
              <w:rPr>
                <w:sz w:val="20"/>
                <w:szCs w:val="20"/>
              </w:rPr>
            </w:pPr>
            <w:r>
              <w:rPr>
                <w:spacing w:val="1"/>
                <w:sz w:val="20"/>
                <w:szCs w:val="20"/>
              </w:rPr>
              <w:t>暂定金额</w:t>
            </w:r>
          </w:p>
          <w:p w14:paraId="64E7A6D7">
            <w:pPr>
              <w:pStyle w:val="6"/>
              <w:spacing w:before="34" w:line="218" w:lineRule="auto"/>
              <w:ind w:left="414"/>
              <w:rPr>
                <w:sz w:val="20"/>
                <w:szCs w:val="20"/>
              </w:rPr>
            </w:pPr>
            <w:r>
              <w:rPr>
                <w:spacing w:val="-2"/>
                <w:sz w:val="20"/>
                <w:szCs w:val="20"/>
              </w:rPr>
              <w:t>错误</w:t>
            </w:r>
          </w:p>
        </w:tc>
        <w:tc>
          <w:tcPr>
            <w:tcW w:w="1258" w:type="dxa"/>
            <w:vAlign w:val="top"/>
          </w:tcPr>
          <w:p w14:paraId="251505DC">
            <w:pPr>
              <w:pStyle w:val="6"/>
              <w:spacing w:before="172" w:line="219" w:lineRule="auto"/>
              <w:ind w:left="325"/>
              <w:rPr>
                <w:sz w:val="20"/>
                <w:szCs w:val="20"/>
              </w:rPr>
            </w:pPr>
            <w:r>
              <w:rPr>
                <w:spacing w:val="3"/>
                <w:sz w:val="20"/>
                <w:szCs w:val="20"/>
              </w:rPr>
              <w:t>未填报</w:t>
            </w:r>
          </w:p>
        </w:tc>
        <w:tc>
          <w:tcPr>
            <w:tcW w:w="1239" w:type="dxa"/>
            <w:vAlign w:val="top"/>
          </w:tcPr>
          <w:p w14:paraId="1A0FA2A8">
            <w:pPr>
              <w:pStyle w:val="6"/>
              <w:spacing w:before="172" w:line="220" w:lineRule="auto"/>
              <w:ind w:left="417"/>
              <w:rPr>
                <w:sz w:val="20"/>
                <w:szCs w:val="20"/>
              </w:rPr>
            </w:pPr>
            <w:r>
              <w:rPr>
                <w:spacing w:val="6"/>
                <w:sz w:val="20"/>
                <w:szCs w:val="20"/>
              </w:rPr>
              <w:t>多项</w:t>
            </w:r>
          </w:p>
        </w:tc>
        <w:tc>
          <w:tcPr>
            <w:tcW w:w="1243" w:type="dxa"/>
            <w:vAlign w:val="top"/>
          </w:tcPr>
          <w:p w14:paraId="3C3187F5">
            <w:pPr>
              <w:rPr>
                <w:rFonts w:ascii="Arial"/>
                <w:sz w:val="21"/>
              </w:rPr>
            </w:pPr>
          </w:p>
        </w:tc>
      </w:tr>
      <w:tr w14:paraId="25D71B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1174" w:type="dxa"/>
            <w:vAlign w:val="top"/>
          </w:tcPr>
          <w:p w14:paraId="018F2EF1">
            <w:pPr>
              <w:rPr>
                <w:rFonts w:ascii="Arial"/>
                <w:sz w:val="21"/>
              </w:rPr>
            </w:pPr>
          </w:p>
        </w:tc>
        <w:tc>
          <w:tcPr>
            <w:tcW w:w="1338" w:type="dxa"/>
            <w:vAlign w:val="top"/>
          </w:tcPr>
          <w:p w14:paraId="02F0754D">
            <w:pPr>
              <w:rPr>
                <w:rFonts w:ascii="Arial"/>
                <w:sz w:val="21"/>
              </w:rPr>
            </w:pPr>
          </w:p>
        </w:tc>
        <w:tc>
          <w:tcPr>
            <w:tcW w:w="1229" w:type="dxa"/>
            <w:vAlign w:val="top"/>
          </w:tcPr>
          <w:p w14:paraId="69D4652D">
            <w:pPr>
              <w:rPr>
                <w:rFonts w:ascii="Arial"/>
                <w:sz w:val="21"/>
              </w:rPr>
            </w:pPr>
          </w:p>
        </w:tc>
        <w:tc>
          <w:tcPr>
            <w:tcW w:w="1249" w:type="dxa"/>
            <w:vAlign w:val="top"/>
          </w:tcPr>
          <w:p w14:paraId="4F7346EA">
            <w:pPr>
              <w:rPr>
                <w:rFonts w:ascii="Arial"/>
                <w:sz w:val="21"/>
              </w:rPr>
            </w:pPr>
          </w:p>
        </w:tc>
        <w:tc>
          <w:tcPr>
            <w:tcW w:w="1258" w:type="dxa"/>
            <w:vAlign w:val="top"/>
          </w:tcPr>
          <w:p w14:paraId="647EFAB8">
            <w:pPr>
              <w:rPr>
                <w:rFonts w:ascii="Arial"/>
                <w:sz w:val="21"/>
              </w:rPr>
            </w:pPr>
          </w:p>
        </w:tc>
        <w:tc>
          <w:tcPr>
            <w:tcW w:w="1239" w:type="dxa"/>
            <w:vAlign w:val="top"/>
          </w:tcPr>
          <w:p w14:paraId="34D80DD7">
            <w:pPr>
              <w:rPr>
                <w:rFonts w:ascii="Arial"/>
                <w:sz w:val="21"/>
              </w:rPr>
            </w:pPr>
          </w:p>
        </w:tc>
        <w:tc>
          <w:tcPr>
            <w:tcW w:w="1243" w:type="dxa"/>
            <w:vAlign w:val="top"/>
          </w:tcPr>
          <w:p w14:paraId="0C585C6F">
            <w:pPr>
              <w:rPr>
                <w:rFonts w:ascii="Arial"/>
                <w:sz w:val="21"/>
              </w:rPr>
            </w:pPr>
          </w:p>
        </w:tc>
      </w:tr>
      <w:tr w14:paraId="55BE26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0" w:hRule="atLeast"/>
        </w:trPr>
        <w:tc>
          <w:tcPr>
            <w:tcW w:w="8730" w:type="dxa"/>
            <w:gridSpan w:val="7"/>
            <w:vAlign w:val="top"/>
          </w:tcPr>
          <w:p w14:paraId="22393687">
            <w:pPr>
              <w:pStyle w:val="6"/>
              <w:spacing w:before="148" w:line="218" w:lineRule="auto"/>
              <w:ind w:left="3457"/>
              <w:rPr>
                <w:sz w:val="20"/>
                <w:szCs w:val="20"/>
              </w:rPr>
            </w:pPr>
            <w:r>
              <w:rPr>
                <w:b/>
                <w:bCs/>
                <w:spacing w:val="-3"/>
                <w:sz w:val="20"/>
                <w:szCs w:val="20"/>
              </w:rPr>
              <w:t>材料(工程设备)暂估</w:t>
            </w:r>
          </w:p>
        </w:tc>
      </w:tr>
      <w:tr w14:paraId="5A7FD7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9" w:hRule="atLeast"/>
        </w:trPr>
        <w:tc>
          <w:tcPr>
            <w:tcW w:w="1174" w:type="dxa"/>
            <w:vAlign w:val="top"/>
          </w:tcPr>
          <w:p w14:paraId="05F5DE53">
            <w:pPr>
              <w:pStyle w:val="6"/>
              <w:spacing w:before="303" w:line="220" w:lineRule="auto"/>
              <w:ind w:left="175"/>
              <w:rPr>
                <w:sz w:val="20"/>
                <w:szCs w:val="20"/>
              </w:rPr>
            </w:pPr>
            <w:r>
              <w:rPr>
                <w:spacing w:val="2"/>
                <w:sz w:val="20"/>
                <w:szCs w:val="20"/>
              </w:rPr>
              <w:t>项目名称</w:t>
            </w:r>
          </w:p>
        </w:tc>
        <w:tc>
          <w:tcPr>
            <w:tcW w:w="1338" w:type="dxa"/>
            <w:vAlign w:val="top"/>
          </w:tcPr>
          <w:p w14:paraId="4718A846">
            <w:pPr>
              <w:pStyle w:val="6"/>
              <w:spacing w:before="11" w:line="252" w:lineRule="auto"/>
              <w:ind w:left="61" w:firstLine="97"/>
              <w:rPr>
                <w:sz w:val="20"/>
                <w:szCs w:val="20"/>
              </w:rPr>
            </w:pPr>
            <w:r>
              <w:rPr>
                <w:spacing w:val="2"/>
                <w:sz w:val="20"/>
                <w:szCs w:val="20"/>
              </w:rPr>
              <w:t xml:space="preserve">材料(设备)  </w:t>
            </w:r>
            <w:r>
              <w:rPr>
                <w:spacing w:val="11"/>
                <w:sz w:val="20"/>
                <w:szCs w:val="20"/>
              </w:rPr>
              <w:t>名称、规格、</w:t>
            </w:r>
          </w:p>
          <w:p w14:paraId="33B6A05E">
            <w:pPr>
              <w:pStyle w:val="6"/>
              <w:spacing w:before="6" w:line="207" w:lineRule="auto"/>
              <w:ind w:left="261"/>
              <w:rPr>
                <w:sz w:val="20"/>
                <w:szCs w:val="20"/>
              </w:rPr>
            </w:pPr>
            <w:r>
              <w:rPr>
                <w:spacing w:val="2"/>
                <w:sz w:val="20"/>
                <w:szCs w:val="20"/>
              </w:rPr>
              <w:t>型号错误</w:t>
            </w:r>
          </w:p>
        </w:tc>
        <w:tc>
          <w:tcPr>
            <w:tcW w:w="1229" w:type="dxa"/>
            <w:vAlign w:val="top"/>
          </w:tcPr>
          <w:p w14:paraId="5BDA9C52">
            <w:pPr>
              <w:pStyle w:val="6"/>
              <w:spacing w:before="163" w:line="220" w:lineRule="auto"/>
              <w:ind w:left="203"/>
              <w:rPr>
                <w:sz w:val="20"/>
                <w:szCs w:val="20"/>
              </w:rPr>
            </w:pPr>
            <w:r>
              <w:rPr>
                <w:spacing w:val="-2"/>
                <w:sz w:val="20"/>
                <w:szCs w:val="20"/>
              </w:rPr>
              <w:t>计量单位</w:t>
            </w:r>
          </w:p>
          <w:p w14:paraId="567C0AAD">
            <w:pPr>
              <w:pStyle w:val="6"/>
              <w:spacing w:before="22" w:line="221" w:lineRule="auto"/>
              <w:ind w:left="403"/>
              <w:rPr>
                <w:sz w:val="20"/>
                <w:szCs w:val="20"/>
              </w:rPr>
            </w:pPr>
            <w:r>
              <w:rPr>
                <w:spacing w:val="-2"/>
                <w:sz w:val="20"/>
                <w:szCs w:val="20"/>
              </w:rPr>
              <w:t>错误</w:t>
            </w:r>
          </w:p>
        </w:tc>
        <w:tc>
          <w:tcPr>
            <w:tcW w:w="1249" w:type="dxa"/>
            <w:vAlign w:val="top"/>
          </w:tcPr>
          <w:p w14:paraId="3B7DC8D0">
            <w:pPr>
              <w:pStyle w:val="6"/>
              <w:spacing w:before="153" w:line="219" w:lineRule="auto"/>
              <w:ind w:left="414"/>
              <w:rPr>
                <w:sz w:val="20"/>
                <w:szCs w:val="20"/>
              </w:rPr>
            </w:pPr>
            <w:r>
              <w:rPr>
                <w:spacing w:val="-3"/>
                <w:sz w:val="20"/>
                <w:szCs w:val="20"/>
              </w:rPr>
              <w:t>数量</w:t>
            </w:r>
          </w:p>
          <w:p w14:paraId="27994D85">
            <w:pPr>
              <w:pStyle w:val="6"/>
              <w:spacing w:before="33" w:line="221" w:lineRule="auto"/>
              <w:ind w:left="414"/>
              <w:rPr>
                <w:sz w:val="20"/>
                <w:szCs w:val="20"/>
              </w:rPr>
            </w:pPr>
            <w:r>
              <w:rPr>
                <w:spacing w:val="-2"/>
                <w:sz w:val="20"/>
                <w:szCs w:val="20"/>
              </w:rPr>
              <w:t>错误</w:t>
            </w:r>
          </w:p>
        </w:tc>
        <w:tc>
          <w:tcPr>
            <w:tcW w:w="1258" w:type="dxa"/>
            <w:vAlign w:val="top"/>
          </w:tcPr>
          <w:p w14:paraId="1ECAA059">
            <w:pPr>
              <w:pStyle w:val="6"/>
              <w:spacing w:before="151" w:line="218" w:lineRule="auto"/>
              <w:ind w:left="225"/>
              <w:rPr>
                <w:sz w:val="20"/>
                <w:szCs w:val="20"/>
              </w:rPr>
            </w:pPr>
            <w:r>
              <w:rPr>
                <w:spacing w:val="2"/>
                <w:sz w:val="20"/>
                <w:szCs w:val="20"/>
              </w:rPr>
              <w:t>暂估单价</w:t>
            </w:r>
          </w:p>
          <w:p w14:paraId="5C9C3B52">
            <w:pPr>
              <w:pStyle w:val="6"/>
              <w:spacing w:before="36" w:line="221" w:lineRule="auto"/>
              <w:ind w:left="425"/>
              <w:rPr>
                <w:sz w:val="20"/>
                <w:szCs w:val="20"/>
              </w:rPr>
            </w:pPr>
            <w:r>
              <w:rPr>
                <w:spacing w:val="-2"/>
                <w:sz w:val="20"/>
                <w:szCs w:val="20"/>
              </w:rPr>
              <w:t>错误</w:t>
            </w:r>
          </w:p>
        </w:tc>
        <w:tc>
          <w:tcPr>
            <w:tcW w:w="1239" w:type="dxa"/>
            <w:vAlign w:val="top"/>
          </w:tcPr>
          <w:p w14:paraId="6C63DED2">
            <w:pPr>
              <w:pStyle w:val="6"/>
              <w:spacing w:before="303" w:line="219" w:lineRule="auto"/>
              <w:ind w:left="317"/>
              <w:rPr>
                <w:sz w:val="20"/>
                <w:szCs w:val="20"/>
              </w:rPr>
            </w:pPr>
            <w:r>
              <w:rPr>
                <w:spacing w:val="3"/>
                <w:sz w:val="20"/>
                <w:szCs w:val="20"/>
              </w:rPr>
              <w:t>未填报</w:t>
            </w:r>
          </w:p>
        </w:tc>
        <w:tc>
          <w:tcPr>
            <w:tcW w:w="1243" w:type="dxa"/>
            <w:vAlign w:val="top"/>
          </w:tcPr>
          <w:p w14:paraId="05E33844">
            <w:pPr>
              <w:pStyle w:val="6"/>
              <w:spacing w:before="303" w:line="220" w:lineRule="auto"/>
              <w:ind w:left="418"/>
              <w:rPr>
                <w:sz w:val="20"/>
                <w:szCs w:val="20"/>
              </w:rPr>
            </w:pPr>
            <w:r>
              <w:rPr>
                <w:spacing w:val="6"/>
                <w:sz w:val="20"/>
                <w:szCs w:val="20"/>
              </w:rPr>
              <w:t>多项</w:t>
            </w:r>
          </w:p>
        </w:tc>
      </w:tr>
      <w:tr w14:paraId="6EE6AB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1174" w:type="dxa"/>
            <w:vAlign w:val="top"/>
          </w:tcPr>
          <w:p w14:paraId="28B5BDB0">
            <w:pPr>
              <w:rPr>
                <w:rFonts w:ascii="Arial"/>
                <w:sz w:val="21"/>
              </w:rPr>
            </w:pPr>
          </w:p>
        </w:tc>
        <w:tc>
          <w:tcPr>
            <w:tcW w:w="1338" w:type="dxa"/>
            <w:vAlign w:val="top"/>
          </w:tcPr>
          <w:p w14:paraId="29EE21BE">
            <w:pPr>
              <w:rPr>
                <w:rFonts w:ascii="Arial"/>
                <w:sz w:val="21"/>
              </w:rPr>
            </w:pPr>
          </w:p>
        </w:tc>
        <w:tc>
          <w:tcPr>
            <w:tcW w:w="1229" w:type="dxa"/>
            <w:vAlign w:val="top"/>
          </w:tcPr>
          <w:p w14:paraId="478B0CBD">
            <w:pPr>
              <w:rPr>
                <w:rFonts w:ascii="Arial"/>
                <w:sz w:val="21"/>
              </w:rPr>
            </w:pPr>
          </w:p>
        </w:tc>
        <w:tc>
          <w:tcPr>
            <w:tcW w:w="1249" w:type="dxa"/>
            <w:vAlign w:val="top"/>
          </w:tcPr>
          <w:p w14:paraId="0FE4CB73">
            <w:pPr>
              <w:rPr>
                <w:rFonts w:ascii="Arial"/>
                <w:sz w:val="21"/>
              </w:rPr>
            </w:pPr>
          </w:p>
        </w:tc>
        <w:tc>
          <w:tcPr>
            <w:tcW w:w="1258" w:type="dxa"/>
            <w:vAlign w:val="top"/>
          </w:tcPr>
          <w:p w14:paraId="03E0BF23">
            <w:pPr>
              <w:rPr>
                <w:rFonts w:ascii="Arial"/>
                <w:sz w:val="21"/>
              </w:rPr>
            </w:pPr>
          </w:p>
        </w:tc>
        <w:tc>
          <w:tcPr>
            <w:tcW w:w="1239" w:type="dxa"/>
            <w:vAlign w:val="top"/>
          </w:tcPr>
          <w:p w14:paraId="2AFD1400">
            <w:pPr>
              <w:rPr>
                <w:rFonts w:ascii="Arial"/>
                <w:sz w:val="21"/>
              </w:rPr>
            </w:pPr>
          </w:p>
        </w:tc>
        <w:tc>
          <w:tcPr>
            <w:tcW w:w="1243" w:type="dxa"/>
            <w:vAlign w:val="top"/>
          </w:tcPr>
          <w:p w14:paraId="19D81108">
            <w:pPr>
              <w:rPr>
                <w:rFonts w:ascii="Arial"/>
                <w:sz w:val="21"/>
              </w:rPr>
            </w:pPr>
          </w:p>
        </w:tc>
      </w:tr>
      <w:tr w14:paraId="7A18E8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8730" w:type="dxa"/>
            <w:gridSpan w:val="7"/>
            <w:vAlign w:val="top"/>
          </w:tcPr>
          <w:p w14:paraId="318CCE31">
            <w:pPr>
              <w:pStyle w:val="6"/>
              <w:spacing w:before="140" w:line="218" w:lineRule="auto"/>
              <w:ind w:left="3757"/>
              <w:rPr>
                <w:sz w:val="20"/>
                <w:szCs w:val="20"/>
              </w:rPr>
            </w:pPr>
            <w:r>
              <w:rPr>
                <w:b/>
                <w:bCs/>
                <w:spacing w:val="-4"/>
                <w:sz w:val="20"/>
                <w:szCs w:val="20"/>
              </w:rPr>
              <w:t>专业工程暂估</w:t>
            </w:r>
          </w:p>
        </w:tc>
      </w:tr>
      <w:tr w14:paraId="492984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atLeast"/>
        </w:trPr>
        <w:tc>
          <w:tcPr>
            <w:tcW w:w="1174" w:type="dxa"/>
            <w:vAlign w:val="top"/>
          </w:tcPr>
          <w:p w14:paraId="5D9F6FF7">
            <w:pPr>
              <w:pStyle w:val="6"/>
              <w:spacing w:before="165" w:line="220" w:lineRule="auto"/>
              <w:ind w:left="175"/>
              <w:rPr>
                <w:sz w:val="20"/>
                <w:szCs w:val="20"/>
              </w:rPr>
            </w:pPr>
            <w:r>
              <w:rPr>
                <w:spacing w:val="2"/>
                <w:sz w:val="20"/>
                <w:szCs w:val="20"/>
              </w:rPr>
              <w:t>项目名称</w:t>
            </w:r>
          </w:p>
        </w:tc>
        <w:tc>
          <w:tcPr>
            <w:tcW w:w="1338" w:type="dxa"/>
            <w:vAlign w:val="top"/>
          </w:tcPr>
          <w:p w14:paraId="71846117">
            <w:pPr>
              <w:pStyle w:val="6"/>
              <w:spacing w:before="15" w:line="220" w:lineRule="auto"/>
              <w:ind w:left="261"/>
              <w:rPr>
                <w:sz w:val="20"/>
                <w:szCs w:val="20"/>
              </w:rPr>
            </w:pPr>
            <w:r>
              <w:rPr>
                <w:spacing w:val="2"/>
                <w:sz w:val="20"/>
                <w:szCs w:val="20"/>
              </w:rPr>
              <w:t>工程名称</w:t>
            </w:r>
          </w:p>
          <w:p w14:paraId="1775AECD">
            <w:pPr>
              <w:pStyle w:val="6"/>
              <w:spacing w:before="22" w:line="205" w:lineRule="auto"/>
              <w:ind w:left="461"/>
              <w:rPr>
                <w:sz w:val="20"/>
                <w:szCs w:val="20"/>
              </w:rPr>
            </w:pPr>
            <w:r>
              <w:rPr>
                <w:spacing w:val="-2"/>
                <w:sz w:val="20"/>
                <w:szCs w:val="20"/>
              </w:rPr>
              <w:t>错误</w:t>
            </w:r>
          </w:p>
        </w:tc>
        <w:tc>
          <w:tcPr>
            <w:tcW w:w="1229" w:type="dxa"/>
            <w:vAlign w:val="top"/>
          </w:tcPr>
          <w:p w14:paraId="0BC94E9A">
            <w:pPr>
              <w:pStyle w:val="6"/>
              <w:spacing w:before="15" w:line="219" w:lineRule="auto"/>
              <w:ind w:left="203"/>
              <w:rPr>
                <w:sz w:val="20"/>
                <w:szCs w:val="20"/>
              </w:rPr>
            </w:pPr>
            <w:r>
              <w:rPr>
                <w:spacing w:val="2"/>
                <w:sz w:val="20"/>
                <w:szCs w:val="20"/>
              </w:rPr>
              <w:t>工程内容</w:t>
            </w:r>
          </w:p>
          <w:p w14:paraId="7765AD0C">
            <w:pPr>
              <w:pStyle w:val="6"/>
              <w:spacing w:before="24" w:line="205" w:lineRule="auto"/>
              <w:ind w:left="403"/>
              <w:rPr>
                <w:sz w:val="20"/>
                <w:szCs w:val="20"/>
              </w:rPr>
            </w:pPr>
            <w:r>
              <w:rPr>
                <w:spacing w:val="-2"/>
                <w:sz w:val="20"/>
                <w:szCs w:val="20"/>
              </w:rPr>
              <w:t>错误</w:t>
            </w:r>
          </w:p>
        </w:tc>
        <w:tc>
          <w:tcPr>
            <w:tcW w:w="1249" w:type="dxa"/>
            <w:vAlign w:val="top"/>
          </w:tcPr>
          <w:p w14:paraId="279E235B">
            <w:pPr>
              <w:pStyle w:val="6"/>
              <w:spacing w:before="23" w:line="218" w:lineRule="auto"/>
              <w:ind w:left="214"/>
              <w:rPr>
                <w:sz w:val="20"/>
                <w:szCs w:val="20"/>
              </w:rPr>
            </w:pPr>
            <w:r>
              <w:rPr>
                <w:spacing w:val="1"/>
                <w:sz w:val="20"/>
                <w:szCs w:val="20"/>
              </w:rPr>
              <w:t>暂估金额</w:t>
            </w:r>
          </w:p>
          <w:p w14:paraId="2D638832">
            <w:pPr>
              <w:pStyle w:val="6"/>
              <w:spacing w:before="17" w:line="205" w:lineRule="auto"/>
              <w:ind w:left="414"/>
              <w:rPr>
                <w:sz w:val="20"/>
                <w:szCs w:val="20"/>
              </w:rPr>
            </w:pPr>
            <w:r>
              <w:rPr>
                <w:spacing w:val="-2"/>
                <w:sz w:val="20"/>
                <w:szCs w:val="20"/>
              </w:rPr>
              <w:t>错误</w:t>
            </w:r>
          </w:p>
        </w:tc>
        <w:tc>
          <w:tcPr>
            <w:tcW w:w="1258" w:type="dxa"/>
            <w:vAlign w:val="top"/>
          </w:tcPr>
          <w:p w14:paraId="7166DF59">
            <w:pPr>
              <w:pStyle w:val="6"/>
              <w:spacing w:before="165" w:line="219" w:lineRule="auto"/>
              <w:ind w:left="325"/>
              <w:rPr>
                <w:sz w:val="20"/>
                <w:szCs w:val="20"/>
              </w:rPr>
            </w:pPr>
            <w:r>
              <w:rPr>
                <w:spacing w:val="3"/>
                <w:sz w:val="20"/>
                <w:szCs w:val="20"/>
              </w:rPr>
              <w:t>未填报</w:t>
            </w:r>
          </w:p>
        </w:tc>
        <w:tc>
          <w:tcPr>
            <w:tcW w:w="1239" w:type="dxa"/>
            <w:vAlign w:val="top"/>
          </w:tcPr>
          <w:p w14:paraId="23A7B54B">
            <w:pPr>
              <w:pStyle w:val="6"/>
              <w:spacing w:before="165" w:line="220" w:lineRule="auto"/>
              <w:ind w:left="417"/>
              <w:rPr>
                <w:sz w:val="20"/>
                <w:szCs w:val="20"/>
              </w:rPr>
            </w:pPr>
            <w:r>
              <w:rPr>
                <w:spacing w:val="6"/>
                <w:sz w:val="20"/>
                <w:szCs w:val="20"/>
              </w:rPr>
              <w:t>多项</w:t>
            </w:r>
          </w:p>
        </w:tc>
        <w:tc>
          <w:tcPr>
            <w:tcW w:w="1243" w:type="dxa"/>
            <w:vAlign w:val="top"/>
          </w:tcPr>
          <w:p w14:paraId="33C8ACF8">
            <w:pPr>
              <w:rPr>
                <w:rFonts w:ascii="Arial"/>
                <w:sz w:val="21"/>
              </w:rPr>
            </w:pPr>
          </w:p>
        </w:tc>
      </w:tr>
      <w:tr w14:paraId="7EF4B3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1174" w:type="dxa"/>
            <w:vAlign w:val="top"/>
          </w:tcPr>
          <w:p w14:paraId="6537765F">
            <w:pPr>
              <w:rPr>
                <w:rFonts w:ascii="Arial"/>
                <w:sz w:val="21"/>
              </w:rPr>
            </w:pPr>
          </w:p>
        </w:tc>
        <w:tc>
          <w:tcPr>
            <w:tcW w:w="1338" w:type="dxa"/>
            <w:vAlign w:val="top"/>
          </w:tcPr>
          <w:p w14:paraId="6C27D895">
            <w:pPr>
              <w:rPr>
                <w:rFonts w:ascii="Arial"/>
                <w:sz w:val="21"/>
              </w:rPr>
            </w:pPr>
          </w:p>
        </w:tc>
        <w:tc>
          <w:tcPr>
            <w:tcW w:w="1229" w:type="dxa"/>
            <w:vAlign w:val="top"/>
          </w:tcPr>
          <w:p w14:paraId="4D266993">
            <w:pPr>
              <w:rPr>
                <w:rFonts w:ascii="Arial"/>
                <w:sz w:val="21"/>
              </w:rPr>
            </w:pPr>
          </w:p>
        </w:tc>
        <w:tc>
          <w:tcPr>
            <w:tcW w:w="1249" w:type="dxa"/>
            <w:vAlign w:val="top"/>
          </w:tcPr>
          <w:p w14:paraId="7BD413E8">
            <w:pPr>
              <w:rPr>
                <w:rFonts w:ascii="Arial"/>
                <w:sz w:val="21"/>
              </w:rPr>
            </w:pPr>
          </w:p>
        </w:tc>
        <w:tc>
          <w:tcPr>
            <w:tcW w:w="1258" w:type="dxa"/>
            <w:vAlign w:val="top"/>
          </w:tcPr>
          <w:p w14:paraId="51AA68BB">
            <w:pPr>
              <w:rPr>
                <w:rFonts w:ascii="Arial"/>
                <w:sz w:val="21"/>
              </w:rPr>
            </w:pPr>
          </w:p>
        </w:tc>
        <w:tc>
          <w:tcPr>
            <w:tcW w:w="1239" w:type="dxa"/>
            <w:vAlign w:val="top"/>
          </w:tcPr>
          <w:p w14:paraId="065837F2">
            <w:pPr>
              <w:rPr>
                <w:rFonts w:ascii="Arial"/>
                <w:sz w:val="21"/>
              </w:rPr>
            </w:pPr>
          </w:p>
        </w:tc>
        <w:tc>
          <w:tcPr>
            <w:tcW w:w="1243" w:type="dxa"/>
            <w:vAlign w:val="top"/>
          </w:tcPr>
          <w:p w14:paraId="4B8A94E8">
            <w:pPr>
              <w:rPr>
                <w:rFonts w:ascii="Arial"/>
                <w:sz w:val="21"/>
              </w:rPr>
            </w:pPr>
          </w:p>
        </w:tc>
      </w:tr>
      <w:tr w14:paraId="3D9241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trPr>
        <w:tc>
          <w:tcPr>
            <w:tcW w:w="8730" w:type="dxa"/>
            <w:gridSpan w:val="7"/>
            <w:vAlign w:val="top"/>
          </w:tcPr>
          <w:p w14:paraId="49C75C7E">
            <w:pPr>
              <w:pStyle w:val="6"/>
              <w:spacing w:before="145" w:line="221" w:lineRule="auto"/>
              <w:ind w:left="4057"/>
              <w:rPr>
                <w:sz w:val="20"/>
                <w:szCs w:val="20"/>
              </w:rPr>
            </w:pPr>
            <w:r>
              <w:rPr>
                <w:b/>
                <w:bCs/>
                <w:spacing w:val="-4"/>
                <w:sz w:val="20"/>
                <w:szCs w:val="20"/>
              </w:rPr>
              <w:t>计日工</w:t>
            </w:r>
          </w:p>
        </w:tc>
      </w:tr>
      <w:tr w14:paraId="4E5438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1174" w:type="dxa"/>
            <w:vAlign w:val="top"/>
          </w:tcPr>
          <w:p w14:paraId="46359F3B">
            <w:pPr>
              <w:pStyle w:val="6"/>
              <w:spacing w:before="168" w:line="220" w:lineRule="auto"/>
              <w:ind w:left="175"/>
              <w:rPr>
                <w:sz w:val="20"/>
                <w:szCs w:val="20"/>
              </w:rPr>
            </w:pPr>
            <w:r>
              <w:rPr>
                <w:spacing w:val="2"/>
                <w:sz w:val="20"/>
                <w:szCs w:val="20"/>
              </w:rPr>
              <w:t>项目名称</w:t>
            </w:r>
          </w:p>
        </w:tc>
        <w:tc>
          <w:tcPr>
            <w:tcW w:w="1338" w:type="dxa"/>
            <w:vAlign w:val="top"/>
          </w:tcPr>
          <w:p w14:paraId="1985BD91">
            <w:pPr>
              <w:pStyle w:val="6"/>
              <w:spacing w:before="28" w:line="220" w:lineRule="auto"/>
              <w:ind w:left="261"/>
              <w:rPr>
                <w:sz w:val="20"/>
                <w:szCs w:val="20"/>
              </w:rPr>
            </w:pPr>
            <w:r>
              <w:rPr>
                <w:spacing w:val="2"/>
                <w:sz w:val="20"/>
                <w:szCs w:val="20"/>
              </w:rPr>
              <w:t>项目名称</w:t>
            </w:r>
          </w:p>
          <w:p w14:paraId="7314D2AE">
            <w:pPr>
              <w:pStyle w:val="6"/>
              <w:spacing w:before="11" w:line="204" w:lineRule="auto"/>
              <w:ind w:left="461"/>
              <w:rPr>
                <w:sz w:val="20"/>
                <w:szCs w:val="20"/>
              </w:rPr>
            </w:pPr>
            <w:r>
              <w:rPr>
                <w:spacing w:val="-2"/>
                <w:sz w:val="20"/>
                <w:szCs w:val="20"/>
              </w:rPr>
              <w:t>错误</w:t>
            </w:r>
          </w:p>
        </w:tc>
        <w:tc>
          <w:tcPr>
            <w:tcW w:w="1229" w:type="dxa"/>
            <w:vAlign w:val="top"/>
          </w:tcPr>
          <w:p w14:paraId="26035477">
            <w:pPr>
              <w:pStyle w:val="6"/>
              <w:spacing w:before="28" w:line="219" w:lineRule="auto"/>
              <w:ind w:left="203"/>
              <w:rPr>
                <w:sz w:val="20"/>
                <w:szCs w:val="20"/>
              </w:rPr>
            </w:pPr>
            <w:r>
              <w:rPr>
                <w:spacing w:val="1"/>
                <w:sz w:val="20"/>
                <w:szCs w:val="20"/>
              </w:rPr>
              <w:t>暂定数量</w:t>
            </w:r>
          </w:p>
          <w:p w14:paraId="6FDADBA6">
            <w:pPr>
              <w:pStyle w:val="6"/>
              <w:spacing w:before="13" w:line="204" w:lineRule="auto"/>
              <w:ind w:left="403"/>
              <w:rPr>
                <w:sz w:val="20"/>
                <w:szCs w:val="20"/>
              </w:rPr>
            </w:pPr>
            <w:r>
              <w:rPr>
                <w:spacing w:val="-2"/>
                <w:sz w:val="20"/>
                <w:szCs w:val="20"/>
              </w:rPr>
              <w:t>错误</w:t>
            </w:r>
          </w:p>
        </w:tc>
        <w:tc>
          <w:tcPr>
            <w:tcW w:w="1249" w:type="dxa"/>
            <w:vAlign w:val="top"/>
          </w:tcPr>
          <w:p w14:paraId="5FD0F336">
            <w:pPr>
              <w:pStyle w:val="6"/>
              <w:spacing w:before="168" w:line="219" w:lineRule="auto"/>
              <w:ind w:left="313"/>
              <w:rPr>
                <w:sz w:val="20"/>
                <w:szCs w:val="20"/>
              </w:rPr>
            </w:pPr>
            <w:r>
              <w:rPr>
                <w:spacing w:val="3"/>
                <w:sz w:val="20"/>
                <w:szCs w:val="20"/>
              </w:rPr>
              <w:t>未填报</w:t>
            </w:r>
          </w:p>
        </w:tc>
        <w:tc>
          <w:tcPr>
            <w:tcW w:w="1258" w:type="dxa"/>
            <w:vAlign w:val="top"/>
          </w:tcPr>
          <w:p w14:paraId="4226EFF0">
            <w:pPr>
              <w:pStyle w:val="6"/>
              <w:spacing w:before="168" w:line="220" w:lineRule="auto"/>
              <w:ind w:left="425"/>
              <w:rPr>
                <w:sz w:val="20"/>
                <w:szCs w:val="20"/>
              </w:rPr>
            </w:pPr>
            <w:r>
              <w:rPr>
                <w:spacing w:val="6"/>
                <w:sz w:val="20"/>
                <w:szCs w:val="20"/>
              </w:rPr>
              <w:t>多项</w:t>
            </w:r>
          </w:p>
        </w:tc>
        <w:tc>
          <w:tcPr>
            <w:tcW w:w="1239" w:type="dxa"/>
            <w:vAlign w:val="top"/>
          </w:tcPr>
          <w:p w14:paraId="70689E83">
            <w:pPr>
              <w:rPr>
                <w:rFonts w:ascii="Arial"/>
                <w:sz w:val="21"/>
              </w:rPr>
            </w:pPr>
          </w:p>
        </w:tc>
        <w:tc>
          <w:tcPr>
            <w:tcW w:w="1243" w:type="dxa"/>
            <w:vAlign w:val="top"/>
          </w:tcPr>
          <w:p w14:paraId="7687F20E">
            <w:pPr>
              <w:rPr>
                <w:rFonts w:ascii="Arial"/>
                <w:sz w:val="21"/>
              </w:rPr>
            </w:pPr>
          </w:p>
        </w:tc>
      </w:tr>
      <w:tr w14:paraId="0E661D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1174" w:type="dxa"/>
            <w:vAlign w:val="top"/>
          </w:tcPr>
          <w:p w14:paraId="12FD9E36">
            <w:pPr>
              <w:rPr>
                <w:rFonts w:ascii="Arial"/>
                <w:sz w:val="21"/>
              </w:rPr>
            </w:pPr>
          </w:p>
        </w:tc>
        <w:tc>
          <w:tcPr>
            <w:tcW w:w="1338" w:type="dxa"/>
            <w:vAlign w:val="top"/>
          </w:tcPr>
          <w:p w14:paraId="1A848537">
            <w:pPr>
              <w:rPr>
                <w:rFonts w:ascii="Arial"/>
                <w:sz w:val="21"/>
              </w:rPr>
            </w:pPr>
          </w:p>
        </w:tc>
        <w:tc>
          <w:tcPr>
            <w:tcW w:w="1229" w:type="dxa"/>
            <w:vAlign w:val="top"/>
          </w:tcPr>
          <w:p w14:paraId="0CC6B481">
            <w:pPr>
              <w:rPr>
                <w:rFonts w:ascii="Arial"/>
                <w:sz w:val="21"/>
              </w:rPr>
            </w:pPr>
          </w:p>
        </w:tc>
        <w:tc>
          <w:tcPr>
            <w:tcW w:w="1249" w:type="dxa"/>
            <w:vAlign w:val="top"/>
          </w:tcPr>
          <w:p w14:paraId="04AFCB3E">
            <w:pPr>
              <w:rPr>
                <w:rFonts w:ascii="Arial"/>
                <w:sz w:val="21"/>
              </w:rPr>
            </w:pPr>
          </w:p>
        </w:tc>
        <w:tc>
          <w:tcPr>
            <w:tcW w:w="1258" w:type="dxa"/>
            <w:vAlign w:val="top"/>
          </w:tcPr>
          <w:p w14:paraId="49E0865E">
            <w:pPr>
              <w:rPr>
                <w:rFonts w:ascii="Arial"/>
                <w:sz w:val="21"/>
              </w:rPr>
            </w:pPr>
          </w:p>
        </w:tc>
        <w:tc>
          <w:tcPr>
            <w:tcW w:w="1239" w:type="dxa"/>
            <w:vAlign w:val="top"/>
          </w:tcPr>
          <w:p w14:paraId="74F0DF7D">
            <w:pPr>
              <w:rPr>
                <w:rFonts w:ascii="Arial"/>
                <w:sz w:val="21"/>
              </w:rPr>
            </w:pPr>
          </w:p>
        </w:tc>
        <w:tc>
          <w:tcPr>
            <w:tcW w:w="1243" w:type="dxa"/>
            <w:vAlign w:val="top"/>
          </w:tcPr>
          <w:p w14:paraId="54645BDA">
            <w:pPr>
              <w:rPr>
                <w:rFonts w:ascii="Arial"/>
                <w:sz w:val="21"/>
              </w:rPr>
            </w:pPr>
          </w:p>
        </w:tc>
      </w:tr>
      <w:tr w14:paraId="0BFABD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8730" w:type="dxa"/>
            <w:gridSpan w:val="7"/>
            <w:vAlign w:val="top"/>
          </w:tcPr>
          <w:p w14:paraId="682DE5D4">
            <w:pPr>
              <w:pStyle w:val="6"/>
              <w:spacing w:before="155" w:line="219" w:lineRule="auto"/>
              <w:ind w:left="3757"/>
              <w:rPr>
                <w:sz w:val="20"/>
                <w:szCs w:val="20"/>
              </w:rPr>
            </w:pPr>
            <w:r>
              <w:rPr>
                <w:b/>
                <w:bCs/>
                <w:spacing w:val="-4"/>
                <w:sz w:val="20"/>
                <w:szCs w:val="20"/>
              </w:rPr>
              <w:t>总承包服务费</w:t>
            </w:r>
          </w:p>
        </w:tc>
      </w:tr>
      <w:tr w14:paraId="5FF8A9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1174" w:type="dxa"/>
            <w:vAlign w:val="top"/>
          </w:tcPr>
          <w:p w14:paraId="255B0E6D">
            <w:pPr>
              <w:pStyle w:val="6"/>
              <w:spacing w:before="169" w:line="220" w:lineRule="auto"/>
              <w:ind w:left="175"/>
              <w:rPr>
                <w:sz w:val="20"/>
                <w:szCs w:val="20"/>
              </w:rPr>
            </w:pPr>
            <w:r>
              <w:rPr>
                <w:spacing w:val="2"/>
                <w:sz w:val="20"/>
                <w:szCs w:val="20"/>
              </w:rPr>
              <w:t>项目名称</w:t>
            </w:r>
          </w:p>
        </w:tc>
        <w:tc>
          <w:tcPr>
            <w:tcW w:w="1338" w:type="dxa"/>
            <w:vAlign w:val="top"/>
          </w:tcPr>
          <w:p w14:paraId="40A4297B">
            <w:pPr>
              <w:pStyle w:val="6"/>
              <w:spacing w:before="29" w:line="220" w:lineRule="auto"/>
              <w:ind w:left="261"/>
              <w:rPr>
                <w:sz w:val="20"/>
                <w:szCs w:val="20"/>
              </w:rPr>
            </w:pPr>
            <w:r>
              <w:rPr>
                <w:spacing w:val="2"/>
                <w:sz w:val="20"/>
                <w:szCs w:val="20"/>
              </w:rPr>
              <w:t>工程名称</w:t>
            </w:r>
          </w:p>
          <w:p w14:paraId="03903973">
            <w:pPr>
              <w:pStyle w:val="6"/>
              <w:spacing w:before="11" w:line="203" w:lineRule="auto"/>
              <w:ind w:left="461"/>
              <w:rPr>
                <w:sz w:val="20"/>
                <w:szCs w:val="20"/>
              </w:rPr>
            </w:pPr>
            <w:r>
              <w:rPr>
                <w:spacing w:val="-2"/>
                <w:sz w:val="20"/>
                <w:szCs w:val="20"/>
              </w:rPr>
              <w:t>错误</w:t>
            </w:r>
          </w:p>
        </w:tc>
        <w:tc>
          <w:tcPr>
            <w:tcW w:w="1229" w:type="dxa"/>
            <w:vAlign w:val="top"/>
          </w:tcPr>
          <w:p w14:paraId="6D581C4C">
            <w:pPr>
              <w:pStyle w:val="6"/>
              <w:spacing w:before="27" w:line="218" w:lineRule="auto"/>
              <w:ind w:left="203"/>
              <w:rPr>
                <w:sz w:val="20"/>
                <w:szCs w:val="20"/>
              </w:rPr>
            </w:pPr>
            <w:r>
              <w:rPr>
                <w:spacing w:val="-3"/>
                <w:sz w:val="20"/>
                <w:szCs w:val="20"/>
              </w:rPr>
              <w:t>项目价值</w:t>
            </w:r>
          </w:p>
          <w:p w14:paraId="620F1AFE">
            <w:pPr>
              <w:pStyle w:val="6"/>
              <w:spacing w:before="16" w:line="203" w:lineRule="auto"/>
              <w:ind w:left="403"/>
              <w:rPr>
                <w:sz w:val="20"/>
                <w:szCs w:val="20"/>
              </w:rPr>
            </w:pPr>
            <w:r>
              <w:rPr>
                <w:spacing w:val="-2"/>
                <w:sz w:val="20"/>
                <w:szCs w:val="20"/>
              </w:rPr>
              <w:t>错误</w:t>
            </w:r>
          </w:p>
        </w:tc>
        <w:tc>
          <w:tcPr>
            <w:tcW w:w="1249" w:type="dxa"/>
            <w:vAlign w:val="top"/>
          </w:tcPr>
          <w:p w14:paraId="46A63561">
            <w:pPr>
              <w:pStyle w:val="6"/>
              <w:spacing w:before="29" w:line="219" w:lineRule="auto"/>
              <w:ind w:left="214"/>
              <w:rPr>
                <w:sz w:val="20"/>
                <w:szCs w:val="20"/>
              </w:rPr>
            </w:pPr>
            <w:r>
              <w:rPr>
                <w:spacing w:val="-2"/>
                <w:sz w:val="20"/>
                <w:szCs w:val="20"/>
              </w:rPr>
              <w:t>服务内容</w:t>
            </w:r>
          </w:p>
          <w:p w14:paraId="4A8B3C03">
            <w:pPr>
              <w:pStyle w:val="6"/>
              <w:spacing w:before="13" w:line="203" w:lineRule="auto"/>
              <w:ind w:left="414"/>
              <w:rPr>
                <w:sz w:val="20"/>
                <w:szCs w:val="20"/>
              </w:rPr>
            </w:pPr>
            <w:r>
              <w:rPr>
                <w:spacing w:val="-2"/>
                <w:sz w:val="20"/>
                <w:szCs w:val="20"/>
              </w:rPr>
              <w:t>错误</w:t>
            </w:r>
          </w:p>
        </w:tc>
        <w:tc>
          <w:tcPr>
            <w:tcW w:w="1258" w:type="dxa"/>
            <w:vAlign w:val="top"/>
          </w:tcPr>
          <w:p w14:paraId="219F99F2">
            <w:pPr>
              <w:pStyle w:val="6"/>
              <w:spacing w:before="39" w:line="219" w:lineRule="auto"/>
              <w:ind w:left="225"/>
              <w:rPr>
                <w:sz w:val="20"/>
                <w:szCs w:val="20"/>
              </w:rPr>
            </w:pPr>
            <w:r>
              <w:rPr>
                <w:spacing w:val="-2"/>
                <w:sz w:val="20"/>
                <w:szCs w:val="20"/>
              </w:rPr>
              <w:t>计算基础</w:t>
            </w:r>
          </w:p>
          <w:p w14:paraId="11F38425">
            <w:pPr>
              <w:pStyle w:val="6"/>
              <w:spacing w:before="3" w:line="203" w:lineRule="auto"/>
              <w:ind w:left="425"/>
              <w:rPr>
                <w:sz w:val="20"/>
                <w:szCs w:val="20"/>
              </w:rPr>
            </w:pPr>
            <w:r>
              <w:rPr>
                <w:spacing w:val="-2"/>
                <w:sz w:val="20"/>
                <w:szCs w:val="20"/>
              </w:rPr>
              <w:t>错误</w:t>
            </w:r>
          </w:p>
        </w:tc>
        <w:tc>
          <w:tcPr>
            <w:tcW w:w="1239" w:type="dxa"/>
            <w:vAlign w:val="top"/>
          </w:tcPr>
          <w:p w14:paraId="52358BCE">
            <w:pPr>
              <w:pStyle w:val="6"/>
              <w:spacing w:before="169" w:line="219" w:lineRule="auto"/>
              <w:ind w:left="317"/>
              <w:rPr>
                <w:sz w:val="20"/>
                <w:szCs w:val="20"/>
              </w:rPr>
            </w:pPr>
            <w:r>
              <w:rPr>
                <w:spacing w:val="3"/>
                <w:sz w:val="20"/>
                <w:szCs w:val="20"/>
              </w:rPr>
              <w:t>未填报</w:t>
            </w:r>
          </w:p>
        </w:tc>
        <w:tc>
          <w:tcPr>
            <w:tcW w:w="1243" w:type="dxa"/>
            <w:vAlign w:val="top"/>
          </w:tcPr>
          <w:p w14:paraId="4A46C340">
            <w:pPr>
              <w:pStyle w:val="6"/>
              <w:spacing w:before="169" w:line="220" w:lineRule="auto"/>
              <w:ind w:left="418"/>
              <w:rPr>
                <w:sz w:val="20"/>
                <w:szCs w:val="20"/>
              </w:rPr>
            </w:pPr>
            <w:r>
              <w:rPr>
                <w:spacing w:val="6"/>
                <w:sz w:val="20"/>
                <w:szCs w:val="20"/>
              </w:rPr>
              <w:t>多项</w:t>
            </w:r>
          </w:p>
        </w:tc>
      </w:tr>
      <w:tr w14:paraId="151440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5" w:hRule="atLeast"/>
        </w:trPr>
        <w:tc>
          <w:tcPr>
            <w:tcW w:w="1174" w:type="dxa"/>
            <w:vAlign w:val="top"/>
          </w:tcPr>
          <w:p w14:paraId="27A28D94">
            <w:pPr>
              <w:rPr>
                <w:rFonts w:ascii="Arial"/>
                <w:sz w:val="21"/>
              </w:rPr>
            </w:pPr>
          </w:p>
        </w:tc>
        <w:tc>
          <w:tcPr>
            <w:tcW w:w="1338" w:type="dxa"/>
            <w:vAlign w:val="top"/>
          </w:tcPr>
          <w:p w14:paraId="30F01248">
            <w:pPr>
              <w:rPr>
                <w:rFonts w:ascii="Arial"/>
                <w:sz w:val="21"/>
              </w:rPr>
            </w:pPr>
          </w:p>
        </w:tc>
        <w:tc>
          <w:tcPr>
            <w:tcW w:w="1229" w:type="dxa"/>
            <w:vAlign w:val="top"/>
          </w:tcPr>
          <w:p w14:paraId="7AEA31BA">
            <w:pPr>
              <w:rPr>
                <w:rFonts w:ascii="Arial"/>
                <w:sz w:val="21"/>
              </w:rPr>
            </w:pPr>
          </w:p>
        </w:tc>
        <w:tc>
          <w:tcPr>
            <w:tcW w:w="1249" w:type="dxa"/>
            <w:vAlign w:val="top"/>
          </w:tcPr>
          <w:p w14:paraId="166F03B8">
            <w:pPr>
              <w:rPr>
                <w:rFonts w:ascii="Arial"/>
                <w:sz w:val="21"/>
              </w:rPr>
            </w:pPr>
          </w:p>
        </w:tc>
        <w:tc>
          <w:tcPr>
            <w:tcW w:w="1258" w:type="dxa"/>
            <w:vAlign w:val="top"/>
          </w:tcPr>
          <w:p w14:paraId="29A6A665">
            <w:pPr>
              <w:rPr>
                <w:rFonts w:ascii="Arial"/>
                <w:sz w:val="21"/>
              </w:rPr>
            </w:pPr>
          </w:p>
        </w:tc>
        <w:tc>
          <w:tcPr>
            <w:tcW w:w="1239" w:type="dxa"/>
            <w:vAlign w:val="top"/>
          </w:tcPr>
          <w:p w14:paraId="4AA7D334">
            <w:pPr>
              <w:rPr>
                <w:rFonts w:ascii="Arial"/>
                <w:sz w:val="21"/>
              </w:rPr>
            </w:pPr>
          </w:p>
        </w:tc>
        <w:tc>
          <w:tcPr>
            <w:tcW w:w="1243" w:type="dxa"/>
            <w:vAlign w:val="top"/>
          </w:tcPr>
          <w:p w14:paraId="7532104B">
            <w:pPr>
              <w:rPr>
                <w:rFonts w:ascii="Arial"/>
                <w:sz w:val="21"/>
              </w:rPr>
            </w:pPr>
          </w:p>
        </w:tc>
      </w:tr>
    </w:tbl>
    <w:p w14:paraId="56E9AF83">
      <w:pPr>
        <w:spacing w:line="284" w:lineRule="auto"/>
        <w:rPr>
          <w:rFonts w:ascii="Arial"/>
          <w:sz w:val="21"/>
        </w:rPr>
      </w:pPr>
    </w:p>
    <w:p w14:paraId="5175973F">
      <w:pPr>
        <w:spacing w:line="285" w:lineRule="auto"/>
        <w:rPr>
          <w:rFonts w:ascii="Arial"/>
          <w:sz w:val="21"/>
        </w:rPr>
      </w:pPr>
    </w:p>
    <w:p w14:paraId="1414623C">
      <w:pPr>
        <w:pStyle w:val="2"/>
        <w:spacing w:before="65" w:line="223" w:lineRule="auto"/>
        <w:ind w:left="20"/>
        <w:rPr>
          <w:sz w:val="20"/>
          <w:szCs w:val="20"/>
        </w:rPr>
      </w:pPr>
      <w:r>
        <w:rPr>
          <w:spacing w:val="-2"/>
          <w:sz w:val="20"/>
          <w:szCs w:val="20"/>
        </w:rPr>
        <w:t xml:space="preserve">评标委员会成员签名：           </w:t>
      </w:r>
      <w:r>
        <w:rPr>
          <w:spacing w:val="-3"/>
          <w:sz w:val="20"/>
          <w:szCs w:val="20"/>
        </w:rPr>
        <w:t xml:space="preserve">                              </w:t>
      </w:r>
      <w:r>
        <w:rPr>
          <w:spacing w:val="-3"/>
          <w:sz w:val="15"/>
          <w:szCs w:val="15"/>
        </w:rPr>
        <w:t>日 期</w:t>
      </w:r>
      <w:r>
        <w:rPr>
          <w:spacing w:val="19"/>
          <w:sz w:val="15"/>
          <w:szCs w:val="15"/>
        </w:rPr>
        <w:t xml:space="preserve"> </w:t>
      </w:r>
      <w:r>
        <w:rPr>
          <w:spacing w:val="-3"/>
          <w:sz w:val="15"/>
          <w:szCs w:val="15"/>
        </w:rPr>
        <w:t xml:space="preserve">：      </w:t>
      </w:r>
      <w:r>
        <w:rPr>
          <w:spacing w:val="-3"/>
          <w:sz w:val="20"/>
          <w:szCs w:val="20"/>
        </w:rPr>
        <w:t>年</w:t>
      </w:r>
      <w:r>
        <w:rPr>
          <w:spacing w:val="9"/>
          <w:sz w:val="20"/>
          <w:szCs w:val="20"/>
        </w:rPr>
        <w:t xml:space="preserve">     </w:t>
      </w:r>
      <w:r>
        <w:rPr>
          <w:spacing w:val="-3"/>
          <w:sz w:val="20"/>
          <w:szCs w:val="20"/>
        </w:rPr>
        <w:t xml:space="preserve">月      </w:t>
      </w:r>
      <w:r>
        <w:rPr>
          <w:spacing w:val="-3"/>
          <w:position w:val="1"/>
          <w:sz w:val="20"/>
          <w:szCs w:val="20"/>
        </w:rPr>
        <w:t>日</w:t>
      </w:r>
    </w:p>
    <w:p w14:paraId="22BF1382">
      <w:pPr>
        <w:spacing w:line="223" w:lineRule="auto"/>
        <w:rPr>
          <w:sz w:val="20"/>
          <w:szCs w:val="20"/>
        </w:rPr>
        <w:sectPr>
          <w:footerReference r:id="rId99" w:type="default"/>
          <w:pgSz w:w="11910" w:h="16840"/>
          <w:pgMar w:top="400" w:right="1635" w:bottom="1024" w:left="1460" w:header="0" w:footer="889" w:gutter="0"/>
          <w:cols w:space="720" w:num="1"/>
        </w:sectPr>
      </w:pPr>
    </w:p>
    <w:p w14:paraId="52A83E0A">
      <w:pPr>
        <w:spacing w:line="259" w:lineRule="auto"/>
        <w:rPr>
          <w:rFonts w:ascii="Arial"/>
          <w:sz w:val="21"/>
        </w:rPr>
      </w:pPr>
    </w:p>
    <w:p w14:paraId="37C405BB">
      <w:pPr>
        <w:spacing w:line="259" w:lineRule="auto"/>
        <w:rPr>
          <w:rFonts w:ascii="Arial"/>
          <w:sz w:val="21"/>
        </w:rPr>
      </w:pPr>
    </w:p>
    <w:p w14:paraId="63EAC249">
      <w:pPr>
        <w:spacing w:line="259" w:lineRule="auto"/>
        <w:rPr>
          <w:rFonts w:ascii="Arial"/>
          <w:sz w:val="21"/>
        </w:rPr>
      </w:pPr>
    </w:p>
    <w:p w14:paraId="60A99735">
      <w:pPr>
        <w:spacing w:line="259" w:lineRule="auto"/>
        <w:rPr>
          <w:rFonts w:ascii="Arial"/>
          <w:sz w:val="21"/>
        </w:rPr>
      </w:pPr>
    </w:p>
    <w:p w14:paraId="15EDE7AA">
      <w:pPr>
        <w:spacing w:line="259" w:lineRule="auto"/>
        <w:rPr>
          <w:rFonts w:ascii="Arial"/>
          <w:sz w:val="21"/>
        </w:rPr>
      </w:pPr>
    </w:p>
    <w:p w14:paraId="4F7CBCBB">
      <w:pPr>
        <w:spacing w:before="81" w:line="221" w:lineRule="auto"/>
        <w:ind w:left="443"/>
        <w:outlineLvl w:val="2"/>
        <w:rPr>
          <w:rFonts w:ascii="黑体" w:hAnsi="黑体" w:eastAsia="黑体" w:cs="黑体"/>
          <w:sz w:val="25"/>
          <w:szCs w:val="25"/>
        </w:rPr>
      </w:pPr>
      <w:bookmarkStart w:id="241" w:name="bookmark174"/>
      <w:bookmarkEnd w:id="241"/>
      <w:r>
        <w:rPr>
          <w:rFonts w:ascii="黑体" w:hAnsi="黑体" w:eastAsia="黑体" w:cs="黑体"/>
          <w:b/>
          <w:bCs/>
          <w:spacing w:val="-9"/>
          <w:sz w:val="25"/>
          <w:szCs w:val="25"/>
        </w:rPr>
        <w:t>附表</w:t>
      </w:r>
      <w:r>
        <w:rPr>
          <w:rFonts w:ascii="黑体" w:hAnsi="黑体" w:eastAsia="黑体" w:cs="黑体"/>
          <w:spacing w:val="-49"/>
          <w:sz w:val="25"/>
          <w:szCs w:val="25"/>
        </w:rPr>
        <w:t xml:space="preserve"> </w:t>
      </w:r>
      <w:r>
        <w:rPr>
          <w:rFonts w:ascii="Times New Roman" w:hAnsi="Times New Roman" w:eastAsia="Times New Roman" w:cs="Times New Roman"/>
          <w:b/>
          <w:bCs/>
          <w:spacing w:val="-9"/>
          <w:sz w:val="25"/>
          <w:szCs w:val="25"/>
        </w:rPr>
        <w:t>C-4:</w:t>
      </w:r>
      <w:r>
        <w:rPr>
          <w:rFonts w:ascii="Times New Roman" w:hAnsi="Times New Roman" w:eastAsia="Times New Roman" w:cs="Times New Roman"/>
          <w:b/>
          <w:bCs/>
          <w:spacing w:val="18"/>
          <w:w w:val="101"/>
          <w:sz w:val="25"/>
          <w:szCs w:val="25"/>
        </w:rPr>
        <w:t xml:space="preserve">  </w:t>
      </w:r>
      <w:r>
        <w:rPr>
          <w:rFonts w:ascii="黑体" w:hAnsi="黑体" w:eastAsia="黑体" w:cs="黑体"/>
          <w:b/>
          <w:bCs/>
          <w:spacing w:val="-9"/>
          <w:sz w:val="25"/>
          <w:szCs w:val="25"/>
        </w:rPr>
        <w:t>清标报告-规费、税金项目符合性检查</w:t>
      </w:r>
    </w:p>
    <w:p w14:paraId="4B81ECAC">
      <w:pPr>
        <w:spacing w:line="455" w:lineRule="auto"/>
        <w:rPr>
          <w:rFonts w:ascii="Arial"/>
          <w:sz w:val="21"/>
        </w:rPr>
      </w:pPr>
    </w:p>
    <w:p w14:paraId="788D087B">
      <w:pPr>
        <w:spacing w:before="104" w:line="221" w:lineRule="auto"/>
        <w:ind w:left="1804"/>
        <w:rPr>
          <w:rFonts w:ascii="黑体" w:hAnsi="黑体" w:eastAsia="黑体" w:cs="黑体"/>
          <w:sz w:val="32"/>
          <w:szCs w:val="32"/>
        </w:rPr>
      </w:pPr>
      <w:bookmarkStart w:id="242" w:name="bookmark285"/>
      <w:bookmarkEnd w:id="242"/>
      <w:r>
        <w:rPr>
          <w:rFonts w:ascii="黑体" w:hAnsi="黑体" w:eastAsia="黑体" w:cs="黑体"/>
          <w:b/>
          <w:bCs/>
          <w:spacing w:val="-2"/>
          <w:sz w:val="32"/>
          <w:szCs w:val="32"/>
        </w:rPr>
        <w:t>清标报告-规费、税金项目符合性检查</w:t>
      </w:r>
    </w:p>
    <w:p w14:paraId="736BA50D">
      <w:pPr>
        <w:pStyle w:val="2"/>
        <w:spacing w:before="280" w:line="220" w:lineRule="auto"/>
        <w:rPr>
          <w:sz w:val="20"/>
          <w:szCs w:val="20"/>
        </w:rPr>
      </w:pPr>
      <w:r>
        <w:rPr>
          <w:spacing w:val="1"/>
          <w:sz w:val="20"/>
          <w:szCs w:val="20"/>
        </w:rPr>
        <w:t>投标人名称：</w:t>
      </w:r>
    </w:p>
    <w:p w14:paraId="047EF30D">
      <w:pPr>
        <w:spacing w:before="6"/>
      </w:pPr>
    </w:p>
    <w:tbl>
      <w:tblPr>
        <w:tblStyle w:val="5"/>
        <w:tblW w:w="8750" w:type="dxa"/>
        <w:tblInd w:w="6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84"/>
        <w:gridCol w:w="1318"/>
        <w:gridCol w:w="1249"/>
        <w:gridCol w:w="1249"/>
        <w:gridCol w:w="1248"/>
        <w:gridCol w:w="1249"/>
        <w:gridCol w:w="1253"/>
      </w:tblGrid>
      <w:tr w14:paraId="1DA1EB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3751" w:type="dxa"/>
            <w:gridSpan w:val="3"/>
            <w:vAlign w:val="top"/>
          </w:tcPr>
          <w:p w14:paraId="1A65ABEC">
            <w:pPr>
              <w:pStyle w:val="6"/>
              <w:spacing w:before="233" w:line="220" w:lineRule="auto"/>
              <w:ind w:left="1285"/>
              <w:rPr>
                <w:sz w:val="20"/>
                <w:szCs w:val="20"/>
              </w:rPr>
            </w:pPr>
            <w:r>
              <w:rPr>
                <w:spacing w:val="-2"/>
                <w:sz w:val="20"/>
                <w:szCs w:val="20"/>
              </w:rPr>
              <w:t>单位工程名称</w:t>
            </w:r>
          </w:p>
        </w:tc>
        <w:tc>
          <w:tcPr>
            <w:tcW w:w="4999" w:type="dxa"/>
            <w:gridSpan w:val="4"/>
            <w:vAlign w:val="top"/>
          </w:tcPr>
          <w:p w14:paraId="6D3876F2">
            <w:pPr>
              <w:rPr>
                <w:rFonts w:ascii="Arial"/>
                <w:sz w:val="21"/>
              </w:rPr>
            </w:pPr>
          </w:p>
        </w:tc>
      </w:tr>
      <w:tr w14:paraId="654F18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9" w:hRule="atLeast"/>
        </w:trPr>
        <w:tc>
          <w:tcPr>
            <w:tcW w:w="8750" w:type="dxa"/>
            <w:gridSpan w:val="7"/>
            <w:vAlign w:val="top"/>
          </w:tcPr>
          <w:p w14:paraId="1D70643E">
            <w:pPr>
              <w:pStyle w:val="6"/>
              <w:spacing w:before="216" w:line="219" w:lineRule="auto"/>
              <w:ind w:left="2977"/>
              <w:rPr>
                <w:sz w:val="20"/>
                <w:szCs w:val="20"/>
              </w:rPr>
            </w:pPr>
            <w:r>
              <w:rPr>
                <w:b/>
                <w:bCs/>
                <w:spacing w:val="-2"/>
                <w:sz w:val="20"/>
                <w:szCs w:val="20"/>
              </w:rPr>
              <w:t>四、规费、税金项目符合性检查</w:t>
            </w:r>
          </w:p>
        </w:tc>
      </w:tr>
      <w:tr w14:paraId="08E9DD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9" w:hRule="atLeast"/>
        </w:trPr>
        <w:tc>
          <w:tcPr>
            <w:tcW w:w="1184" w:type="dxa"/>
            <w:vAlign w:val="top"/>
          </w:tcPr>
          <w:p w14:paraId="794CF6D6">
            <w:pPr>
              <w:pStyle w:val="6"/>
              <w:spacing w:before="170" w:line="220" w:lineRule="auto"/>
              <w:ind w:left="205"/>
              <w:rPr>
                <w:sz w:val="20"/>
                <w:szCs w:val="20"/>
              </w:rPr>
            </w:pPr>
            <w:r>
              <w:rPr>
                <w:spacing w:val="2"/>
                <w:sz w:val="20"/>
                <w:szCs w:val="20"/>
              </w:rPr>
              <w:t>项目名称</w:t>
            </w:r>
          </w:p>
        </w:tc>
        <w:tc>
          <w:tcPr>
            <w:tcW w:w="1318" w:type="dxa"/>
            <w:vAlign w:val="top"/>
          </w:tcPr>
          <w:p w14:paraId="2E85400E">
            <w:pPr>
              <w:pStyle w:val="6"/>
              <w:spacing w:before="10" w:line="220" w:lineRule="auto"/>
              <w:ind w:left="251"/>
              <w:rPr>
                <w:sz w:val="20"/>
                <w:szCs w:val="20"/>
              </w:rPr>
            </w:pPr>
            <w:r>
              <w:rPr>
                <w:spacing w:val="2"/>
                <w:sz w:val="20"/>
                <w:szCs w:val="20"/>
              </w:rPr>
              <w:t>项目名称</w:t>
            </w:r>
          </w:p>
          <w:p w14:paraId="09A41D29">
            <w:pPr>
              <w:pStyle w:val="6"/>
              <w:spacing w:before="32" w:line="219" w:lineRule="auto"/>
              <w:ind w:left="451"/>
              <w:rPr>
                <w:sz w:val="20"/>
                <w:szCs w:val="20"/>
              </w:rPr>
            </w:pPr>
            <w:r>
              <w:rPr>
                <w:spacing w:val="-2"/>
                <w:sz w:val="20"/>
                <w:szCs w:val="20"/>
              </w:rPr>
              <w:t>错误</w:t>
            </w:r>
          </w:p>
        </w:tc>
        <w:tc>
          <w:tcPr>
            <w:tcW w:w="1249" w:type="dxa"/>
            <w:vAlign w:val="top"/>
          </w:tcPr>
          <w:p w14:paraId="64E7575B">
            <w:pPr>
              <w:pStyle w:val="6"/>
              <w:spacing w:before="10" w:line="219" w:lineRule="auto"/>
              <w:ind w:left="213"/>
              <w:rPr>
                <w:sz w:val="20"/>
                <w:szCs w:val="20"/>
              </w:rPr>
            </w:pPr>
            <w:r>
              <w:rPr>
                <w:spacing w:val="-2"/>
                <w:sz w:val="20"/>
                <w:szCs w:val="20"/>
              </w:rPr>
              <w:t>计算基础</w:t>
            </w:r>
          </w:p>
          <w:p w14:paraId="14BBDD47">
            <w:pPr>
              <w:pStyle w:val="6"/>
              <w:spacing w:before="34" w:line="219" w:lineRule="auto"/>
              <w:ind w:left="413"/>
              <w:rPr>
                <w:sz w:val="20"/>
                <w:szCs w:val="20"/>
              </w:rPr>
            </w:pPr>
            <w:r>
              <w:rPr>
                <w:spacing w:val="-2"/>
                <w:sz w:val="20"/>
                <w:szCs w:val="20"/>
              </w:rPr>
              <w:t>错误</w:t>
            </w:r>
          </w:p>
        </w:tc>
        <w:tc>
          <w:tcPr>
            <w:tcW w:w="1249" w:type="dxa"/>
            <w:vAlign w:val="top"/>
          </w:tcPr>
          <w:p w14:paraId="4ADA10C5">
            <w:pPr>
              <w:pStyle w:val="6"/>
              <w:spacing w:before="10" w:line="219" w:lineRule="auto"/>
              <w:ind w:left="214"/>
              <w:rPr>
                <w:sz w:val="20"/>
                <w:szCs w:val="20"/>
              </w:rPr>
            </w:pPr>
            <w:r>
              <w:rPr>
                <w:spacing w:val="-2"/>
                <w:sz w:val="20"/>
                <w:szCs w:val="20"/>
              </w:rPr>
              <w:t>计算基数</w:t>
            </w:r>
          </w:p>
          <w:p w14:paraId="2D5CB3DE">
            <w:pPr>
              <w:pStyle w:val="6"/>
              <w:spacing w:before="34" w:line="219" w:lineRule="auto"/>
              <w:ind w:left="414"/>
              <w:rPr>
                <w:sz w:val="20"/>
                <w:szCs w:val="20"/>
              </w:rPr>
            </w:pPr>
            <w:r>
              <w:rPr>
                <w:spacing w:val="-2"/>
                <w:sz w:val="20"/>
                <w:szCs w:val="20"/>
              </w:rPr>
              <w:t>错误</w:t>
            </w:r>
          </w:p>
        </w:tc>
        <w:tc>
          <w:tcPr>
            <w:tcW w:w="1248" w:type="dxa"/>
            <w:vAlign w:val="top"/>
          </w:tcPr>
          <w:p w14:paraId="3AD8566D">
            <w:pPr>
              <w:pStyle w:val="6"/>
              <w:spacing w:before="10" w:line="219" w:lineRule="auto"/>
              <w:ind w:left="165"/>
              <w:rPr>
                <w:sz w:val="20"/>
                <w:szCs w:val="20"/>
              </w:rPr>
            </w:pPr>
            <w:r>
              <w:rPr>
                <w:spacing w:val="1"/>
                <w:sz w:val="20"/>
                <w:szCs w:val="20"/>
              </w:rPr>
              <w:t>费率(%)错</w:t>
            </w:r>
          </w:p>
          <w:p w14:paraId="09001D5B">
            <w:pPr>
              <w:pStyle w:val="6"/>
              <w:spacing w:before="34" w:line="219" w:lineRule="auto"/>
              <w:ind w:left="515"/>
              <w:rPr>
                <w:sz w:val="20"/>
                <w:szCs w:val="20"/>
              </w:rPr>
            </w:pPr>
            <w:r>
              <w:rPr>
                <w:sz w:val="20"/>
                <w:szCs w:val="20"/>
              </w:rPr>
              <w:t>误</w:t>
            </w:r>
          </w:p>
        </w:tc>
        <w:tc>
          <w:tcPr>
            <w:tcW w:w="1249" w:type="dxa"/>
            <w:vAlign w:val="top"/>
          </w:tcPr>
          <w:p w14:paraId="59A91296">
            <w:pPr>
              <w:pStyle w:val="6"/>
              <w:spacing w:before="170" w:line="219" w:lineRule="auto"/>
              <w:ind w:left="337"/>
              <w:rPr>
                <w:sz w:val="20"/>
                <w:szCs w:val="20"/>
              </w:rPr>
            </w:pPr>
            <w:r>
              <w:rPr>
                <w:spacing w:val="3"/>
                <w:sz w:val="20"/>
                <w:szCs w:val="20"/>
              </w:rPr>
              <w:t>未填报</w:t>
            </w:r>
          </w:p>
        </w:tc>
        <w:tc>
          <w:tcPr>
            <w:tcW w:w="1253" w:type="dxa"/>
            <w:vAlign w:val="top"/>
          </w:tcPr>
          <w:p w14:paraId="3598B67E">
            <w:pPr>
              <w:pStyle w:val="6"/>
              <w:spacing w:before="170" w:line="220" w:lineRule="auto"/>
              <w:ind w:left="418"/>
              <w:rPr>
                <w:sz w:val="20"/>
                <w:szCs w:val="20"/>
              </w:rPr>
            </w:pPr>
            <w:r>
              <w:rPr>
                <w:spacing w:val="6"/>
                <w:sz w:val="20"/>
                <w:szCs w:val="20"/>
              </w:rPr>
              <w:t>多项</w:t>
            </w:r>
          </w:p>
        </w:tc>
      </w:tr>
      <w:tr w14:paraId="5D1F18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trPr>
        <w:tc>
          <w:tcPr>
            <w:tcW w:w="1184" w:type="dxa"/>
            <w:vAlign w:val="top"/>
          </w:tcPr>
          <w:p w14:paraId="64DDD2B5">
            <w:pPr>
              <w:rPr>
                <w:rFonts w:ascii="Arial"/>
                <w:sz w:val="21"/>
              </w:rPr>
            </w:pPr>
          </w:p>
        </w:tc>
        <w:tc>
          <w:tcPr>
            <w:tcW w:w="1318" w:type="dxa"/>
            <w:vAlign w:val="top"/>
          </w:tcPr>
          <w:p w14:paraId="60F9156D">
            <w:pPr>
              <w:rPr>
                <w:rFonts w:ascii="Arial"/>
                <w:sz w:val="21"/>
              </w:rPr>
            </w:pPr>
          </w:p>
        </w:tc>
        <w:tc>
          <w:tcPr>
            <w:tcW w:w="1249" w:type="dxa"/>
            <w:vAlign w:val="top"/>
          </w:tcPr>
          <w:p w14:paraId="6343D017">
            <w:pPr>
              <w:rPr>
                <w:rFonts w:ascii="Arial"/>
                <w:sz w:val="21"/>
              </w:rPr>
            </w:pPr>
          </w:p>
        </w:tc>
        <w:tc>
          <w:tcPr>
            <w:tcW w:w="1249" w:type="dxa"/>
            <w:vAlign w:val="top"/>
          </w:tcPr>
          <w:p w14:paraId="14671CD4">
            <w:pPr>
              <w:rPr>
                <w:rFonts w:ascii="Arial"/>
                <w:sz w:val="21"/>
              </w:rPr>
            </w:pPr>
          </w:p>
        </w:tc>
        <w:tc>
          <w:tcPr>
            <w:tcW w:w="1248" w:type="dxa"/>
            <w:vAlign w:val="top"/>
          </w:tcPr>
          <w:p w14:paraId="17DBEDEB">
            <w:pPr>
              <w:rPr>
                <w:rFonts w:ascii="Arial"/>
                <w:sz w:val="21"/>
              </w:rPr>
            </w:pPr>
          </w:p>
        </w:tc>
        <w:tc>
          <w:tcPr>
            <w:tcW w:w="1249" w:type="dxa"/>
            <w:vAlign w:val="top"/>
          </w:tcPr>
          <w:p w14:paraId="078A74F7">
            <w:pPr>
              <w:rPr>
                <w:rFonts w:ascii="Arial"/>
                <w:sz w:val="21"/>
              </w:rPr>
            </w:pPr>
          </w:p>
        </w:tc>
        <w:tc>
          <w:tcPr>
            <w:tcW w:w="1253" w:type="dxa"/>
            <w:vAlign w:val="top"/>
          </w:tcPr>
          <w:p w14:paraId="1401045B">
            <w:pPr>
              <w:rPr>
                <w:rFonts w:ascii="Arial"/>
                <w:sz w:val="21"/>
              </w:rPr>
            </w:pPr>
          </w:p>
        </w:tc>
      </w:tr>
      <w:tr w14:paraId="0E1E90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1184" w:type="dxa"/>
            <w:vAlign w:val="top"/>
          </w:tcPr>
          <w:p w14:paraId="359C83CE">
            <w:pPr>
              <w:rPr>
                <w:rFonts w:ascii="Arial"/>
                <w:sz w:val="21"/>
              </w:rPr>
            </w:pPr>
          </w:p>
        </w:tc>
        <w:tc>
          <w:tcPr>
            <w:tcW w:w="1318" w:type="dxa"/>
            <w:vAlign w:val="top"/>
          </w:tcPr>
          <w:p w14:paraId="7C11B996">
            <w:pPr>
              <w:rPr>
                <w:rFonts w:ascii="Arial"/>
                <w:sz w:val="21"/>
              </w:rPr>
            </w:pPr>
          </w:p>
        </w:tc>
        <w:tc>
          <w:tcPr>
            <w:tcW w:w="1249" w:type="dxa"/>
            <w:vAlign w:val="top"/>
          </w:tcPr>
          <w:p w14:paraId="675574C6">
            <w:pPr>
              <w:rPr>
                <w:rFonts w:ascii="Arial"/>
                <w:sz w:val="21"/>
              </w:rPr>
            </w:pPr>
          </w:p>
        </w:tc>
        <w:tc>
          <w:tcPr>
            <w:tcW w:w="1249" w:type="dxa"/>
            <w:vAlign w:val="top"/>
          </w:tcPr>
          <w:p w14:paraId="267EB517">
            <w:pPr>
              <w:rPr>
                <w:rFonts w:ascii="Arial"/>
                <w:sz w:val="21"/>
              </w:rPr>
            </w:pPr>
          </w:p>
        </w:tc>
        <w:tc>
          <w:tcPr>
            <w:tcW w:w="1248" w:type="dxa"/>
            <w:vAlign w:val="top"/>
          </w:tcPr>
          <w:p w14:paraId="1A3FAE55">
            <w:pPr>
              <w:rPr>
                <w:rFonts w:ascii="Arial"/>
                <w:sz w:val="21"/>
              </w:rPr>
            </w:pPr>
          </w:p>
        </w:tc>
        <w:tc>
          <w:tcPr>
            <w:tcW w:w="1249" w:type="dxa"/>
            <w:vAlign w:val="top"/>
          </w:tcPr>
          <w:p w14:paraId="04CB4ADA">
            <w:pPr>
              <w:rPr>
                <w:rFonts w:ascii="Arial"/>
                <w:sz w:val="21"/>
              </w:rPr>
            </w:pPr>
          </w:p>
        </w:tc>
        <w:tc>
          <w:tcPr>
            <w:tcW w:w="1253" w:type="dxa"/>
            <w:vAlign w:val="top"/>
          </w:tcPr>
          <w:p w14:paraId="4071199C">
            <w:pPr>
              <w:rPr>
                <w:rFonts w:ascii="Arial"/>
                <w:sz w:val="21"/>
              </w:rPr>
            </w:pPr>
          </w:p>
        </w:tc>
      </w:tr>
      <w:tr w14:paraId="0F924D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trPr>
        <w:tc>
          <w:tcPr>
            <w:tcW w:w="1184" w:type="dxa"/>
            <w:vAlign w:val="top"/>
          </w:tcPr>
          <w:p w14:paraId="35C65FCD">
            <w:pPr>
              <w:rPr>
                <w:rFonts w:ascii="Arial"/>
                <w:sz w:val="21"/>
              </w:rPr>
            </w:pPr>
          </w:p>
        </w:tc>
        <w:tc>
          <w:tcPr>
            <w:tcW w:w="1318" w:type="dxa"/>
            <w:vAlign w:val="top"/>
          </w:tcPr>
          <w:p w14:paraId="76170C97">
            <w:pPr>
              <w:rPr>
                <w:rFonts w:ascii="Arial"/>
                <w:sz w:val="21"/>
              </w:rPr>
            </w:pPr>
          </w:p>
        </w:tc>
        <w:tc>
          <w:tcPr>
            <w:tcW w:w="1249" w:type="dxa"/>
            <w:vAlign w:val="top"/>
          </w:tcPr>
          <w:p w14:paraId="6F3A3901">
            <w:pPr>
              <w:rPr>
                <w:rFonts w:ascii="Arial"/>
                <w:sz w:val="21"/>
              </w:rPr>
            </w:pPr>
          </w:p>
        </w:tc>
        <w:tc>
          <w:tcPr>
            <w:tcW w:w="1249" w:type="dxa"/>
            <w:vAlign w:val="top"/>
          </w:tcPr>
          <w:p w14:paraId="71E42F3E">
            <w:pPr>
              <w:rPr>
                <w:rFonts w:ascii="Arial"/>
                <w:sz w:val="21"/>
              </w:rPr>
            </w:pPr>
          </w:p>
        </w:tc>
        <w:tc>
          <w:tcPr>
            <w:tcW w:w="1248" w:type="dxa"/>
            <w:vAlign w:val="top"/>
          </w:tcPr>
          <w:p w14:paraId="59E35C62">
            <w:pPr>
              <w:rPr>
                <w:rFonts w:ascii="Arial"/>
                <w:sz w:val="21"/>
              </w:rPr>
            </w:pPr>
          </w:p>
        </w:tc>
        <w:tc>
          <w:tcPr>
            <w:tcW w:w="1249" w:type="dxa"/>
            <w:vAlign w:val="top"/>
          </w:tcPr>
          <w:p w14:paraId="329BA5A4">
            <w:pPr>
              <w:rPr>
                <w:rFonts w:ascii="Arial"/>
                <w:sz w:val="21"/>
              </w:rPr>
            </w:pPr>
          </w:p>
        </w:tc>
        <w:tc>
          <w:tcPr>
            <w:tcW w:w="1253" w:type="dxa"/>
            <w:vAlign w:val="top"/>
          </w:tcPr>
          <w:p w14:paraId="04F6160A">
            <w:pPr>
              <w:rPr>
                <w:rFonts w:ascii="Arial"/>
                <w:sz w:val="21"/>
              </w:rPr>
            </w:pPr>
          </w:p>
        </w:tc>
      </w:tr>
      <w:tr w14:paraId="20EDD8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1184" w:type="dxa"/>
            <w:vAlign w:val="top"/>
          </w:tcPr>
          <w:p w14:paraId="63F22562">
            <w:pPr>
              <w:rPr>
                <w:rFonts w:ascii="Arial"/>
                <w:sz w:val="21"/>
              </w:rPr>
            </w:pPr>
          </w:p>
        </w:tc>
        <w:tc>
          <w:tcPr>
            <w:tcW w:w="1318" w:type="dxa"/>
            <w:vAlign w:val="top"/>
          </w:tcPr>
          <w:p w14:paraId="32D976BD">
            <w:pPr>
              <w:rPr>
                <w:rFonts w:ascii="Arial"/>
                <w:sz w:val="21"/>
              </w:rPr>
            </w:pPr>
          </w:p>
        </w:tc>
        <w:tc>
          <w:tcPr>
            <w:tcW w:w="1249" w:type="dxa"/>
            <w:vAlign w:val="top"/>
          </w:tcPr>
          <w:p w14:paraId="5686304E">
            <w:pPr>
              <w:rPr>
                <w:rFonts w:ascii="Arial"/>
                <w:sz w:val="21"/>
              </w:rPr>
            </w:pPr>
          </w:p>
        </w:tc>
        <w:tc>
          <w:tcPr>
            <w:tcW w:w="1249" w:type="dxa"/>
            <w:vAlign w:val="top"/>
          </w:tcPr>
          <w:p w14:paraId="2073674F">
            <w:pPr>
              <w:rPr>
                <w:rFonts w:ascii="Arial"/>
                <w:sz w:val="21"/>
              </w:rPr>
            </w:pPr>
          </w:p>
        </w:tc>
        <w:tc>
          <w:tcPr>
            <w:tcW w:w="1248" w:type="dxa"/>
            <w:vAlign w:val="top"/>
          </w:tcPr>
          <w:p w14:paraId="6B7F32AA">
            <w:pPr>
              <w:rPr>
                <w:rFonts w:ascii="Arial"/>
                <w:sz w:val="21"/>
              </w:rPr>
            </w:pPr>
          </w:p>
        </w:tc>
        <w:tc>
          <w:tcPr>
            <w:tcW w:w="1249" w:type="dxa"/>
            <w:vAlign w:val="top"/>
          </w:tcPr>
          <w:p w14:paraId="6C2BCB9F">
            <w:pPr>
              <w:rPr>
                <w:rFonts w:ascii="Arial"/>
                <w:sz w:val="21"/>
              </w:rPr>
            </w:pPr>
          </w:p>
        </w:tc>
        <w:tc>
          <w:tcPr>
            <w:tcW w:w="1253" w:type="dxa"/>
            <w:vAlign w:val="top"/>
          </w:tcPr>
          <w:p w14:paraId="0C023F2E">
            <w:pPr>
              <w:rPr>
                <w:rFonts w:ascii="Arial"/>
                <w:sz w:val="21"/>
              </w:rPr>
            </w:pPr>
          </w:p>
        </w:tc>
      </w:tr>
      <w:tr w14:paraId="188AAE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trPr>
        <w:tc>
          <w:tcPr>
            <w:tcW w:w="1184" w:type="dxa"/>
            <w:vAlign w:val="top"/>
          </w:tcPr>
          <w:p w14:paraId="7FA29E02">
            <w:pPr>
              <w:rPr>
                <w:rFonts w:ascii="Arial"/>
                <w:sz w:val="21"/>
              </w:rPr>
            </w:pPr>
          </w:p>
        </w:tc>
        <w:tc>
          <w:tcPr>
            <w:tcW w:w="1318" w:type="dxa"/>
            <w:vAlign w:val="top"/>
          </w:tcPr>
          <w:p w14:paraId="1DEEABBD">
            <w:pPr>
              <w:rPr>
                <w:rFonts w:ascii="Arial"/>
                <w:sz w:val="21"/>
              </w:rPr>
            </w:pPr>
          </w:p>
        </w:tc>
        <w:tc>
          <w:tcPr>
            <w:tcW w:w="1249" w:type="dxa"/>
            <w:vAlign w:val="top"/>
          </w:tcPr>
          <w:p w14:paraId="3835C06F">
            <w:pPr>
              <w:rPr>
                <w:rFonts w:ascii="Arial"/>
                <w:sz w:val="21"/>
              </w:rPr>
            </w:pPr>
          </w:p>
        </w:tc>
        <w:tc>
          <w:tcPr>
            <w:tcW w:w="1249" w:type="dxa"/>
            <w:vAlign w:val="top"/>
          </w:tcPr>
          <w:p w14:paraId="2BB954E7">
            <w:pPr>
              <w:rPr>
                <w:rFonts w:ascii="Arial"/>
                <w:sz w:val="21"/>
              </w:rPr>
            </w:pPr>
          </w:p>
        </w:tc>
        <w:tc>
          <w:tcPr>
            <w:tcW w:w="1248" w:type="dxa"/>
            <w:vAlign w:val="top"/>
          </w:tcPr>
          <w:p w14:paraId="54134457">
            <w:pPr>
              <w:rPr>
                <w:rFonts w:ascii="Arial"/>
                <w:sz w:val="21"/>
              </w:rPr>
            </w:pPr>
          </w:p>
        </w:tc>
        <w:tc>
          <w:tcPr>
            <w:tcW w:w="1249" w:type="dxa"/>
            <w:vAlign w:val="top"/>
          </w:tcPr>
          <w:p w14:paraId="43470D0B">
            <w:pPr>
              <w:rPr>
                <w:rFonts w:ascii="Arial"/>
                <w:sz w:val="21"/>
              </w:rPr>
            </w:pPr>
          </w:p>
        </w:tc>
        <w:tc>
          <w:tcPr>
            <w:tcW w:w="1253" w:type="dxa"/>
            <w:vAlign w:val="top"/>
          </w:tcPr>
          <w:p w14:paraId="6E96CBD9">
            <w:pPr>
              <w:rPr>
                <w:rFonts w:ascii="Arial"/>
                <w:sz w:val="21"/>
              </w:rPr>
            </w:pPr>
          </w:p>
        </w:tc>
      </w:tr>
      <w:tr w14:paraId="66BCF2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1184" w:type="dxa"/>
            <w:vAlign w:val="top"/>
          </w:tcPr>
          <w:p w14:paraId="0CCE0EDA">
            <w:pPr>
              <w:rPr>
                <w:rFonts w:ascii="Arial"/>
                <w:sz w:val="21"/>
              </w:rPr>
            </w:pPr>
          </w:p>
        </w:tc>
        <w:tc>
          <w:tcPr>
            <w:tcW w:w="1318" w:type="dxa"/>
            <w:vAlign w:val="top"/>
          </w:tcPr>
          <w:p w14:paraId="3B577E8D">
            <w:pPr>
              <w:rPr>
                <w:rFonts w:ascii="Arial"/>
                <w:sz w:val="21"/>
              </w:rPr>
            </w:pPr>
          </w:p>
        </w:tc>
        <w:tc>
          <w:tcPr>
            <w:tcW w:w="1249" w:type="dxa"/>
            <w:vAlign w:val="top"/>
          </w:tcPr>
          <w:p w14:paraId="39789645">
            <w:pPr>
              <w:rPr>
                <w:rFonts w:ascii="Arial"/>
                <w:sz w:val="21"/>
              </w:rPr>
            </w:pPr>
          </w:p>
        </w:tc>
        <w:tc>
          <w:tcPr>
            <w:tcW w:w="1249" w:type="dxa"/>
            <w:vAlign w:val="top"/>
          </w:tcPr>
          <w:p w14:paraId="481593EE">
            <w:pPr>
              <w:rPr>
                <w:rFonts w:ascii="Arial"/>
                <w:sz w:val="21"/>
              </w:rPr>
            </w:pPr>
          </w:p>
        </w:tc>
        <w:tc>
          <w:tcPr>
            <w:tcW w:w="1248" w:type="dxa"/>
            <w:vAlign w:val="top"/>
          </w:tcPr>
          <w:p w14:paraId="6419C852">
            <w:pPr>
              <w:rPr>
                <w:rFonts w:ascii="Arial"/>
                <w:sz w:val="21"/>
              </w:rPr>
            </w:pPr>
          </w:p>
        </w:tc>
        <w:tc>
          <w:tcPr>
            <w:tcW w:w="1249" w:type="dxa"/>
            <w:vAlign w:val="top"/>
          </w:tcPr>
          <w:p w14:paraId="2523478C">
            <w:pPr>
              <w:rPr>
                <w:rFonts w:ascii="Arial"/>
                <w:sz w:val="21"/>
              </w:rPr>
            </w:pPr>
          </w:p>
        </w:tc>
        <w:tc>
          <w:tcPr>
            <w:tcW w:w="1253" w:type="dxa"/>
            <w:vAlign w:val="top"/>
          </w:tcPr>
          <w:p w14:paraId="6552A5DD">
            <w:pPr>
              <w:rPr>
                <w:rFonts w:ascii="Arial"/>
                <w:sz w:val="21"/>
              </w:rPr>
            </w:pPr>
          </w:p>
        </w:tc>
      </w:tr>
      <w:tr w14:paraId="61EBA9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trPr>
        <w:tc>
          <w:tcPr>
            <w:tcW w:w="1184" w:type="dxa"/>
            <w:vAlign w:val="top"/>
          </w:tcPr>
          <w:p w14:paraId="4A8C4A8D">
            <w:pPr>
              <w:rPr>
                <w:rFonts w:ascii="Arial"/>
                <w:sz w:val="21"/>
              </w:rPr>
            </w:pPr>
          </w:p>
        </w:tc>
        <w:tc>
          <w:tcPr>
            <w:tcW w:w="1318" w:type="dxa"/>
            <w:vAlign w:val="top"/>
          </w:tcPr>
          <w:p w14:paraId="33A07DBF">
            <w:pPr>
              <w:rPr>
                <w:rFonts w:ascii="Arial"/>
                <w:sz w:val="21"/>
              </w:rPr>
            </w:pPr>
          </w:p>
        </w:tc>
        <w:tc>
          <w:tcPr>
            <w:tcW w:w="1249" w:type="dxa"/>
            <w:vAlign w:val="top"/>
          </w:tcPr>
          <w:p w14:paraId="79660185">
            <w:pPr>
              <w:rPr>
                <w:rFonts w:ascii="Arial"/>
                <w:sz w:val="21"/>
              </w:rPr>
            </w:pPr>
          </w:p>
        </w:tc>
        <w:tc>
          <w:tcPr>
            <w:tcW w:w="1249" w:type="dxa"/>
            <w:vAlign w:val="top"/>
          </w:tcPr>
          <w:p w14:paraId="66773FAA">
            <w:pPr>
              <w:rPr>
                <w:rFonts w:ascii="Arial"/>
                <w:sz w:val="21"/>
              </w:rPr>
            </w:pPr>
          </w:p>
        </w:tc>
        <w:tc>
          <w:tcPr>
            <w:tcW w:w="1248" w:type="dxa"/>
            <w:vAlign w:val="top"/>
          </w:tcPr>
          <w:p w14:paraId="5AE07582">
            <w:pPr>
              <w:rPr>
                <w:rFonts w:ascii="Arial"/>
                <w:sz w:val="21"/>
              </w:rPr>
            </w:pPr>
          </w:p>
        </w:tc>
        <w:tc>
          <w:tcPr>
            <w:tcW w:w="1249" w:type="dxa"/>
            <w:vAlign w:val="top"/>
          </w:tcPr>
          <w:p w14:paraId="7D2D5387">
            <w:pPr>
              <w:rPr>
                <w:rFonts w:ascii="Arial"/>
                <w:sz w:val="21"/>
              </w:rPr>
            </w:pPr>
          </w:p>
        </w:tc>
        <w:tc>
          <w:tcPr>
            <w:tcW w:w="1253" w:type="dxa"/>
            <w:vAlign w:val="top"/>
          </w:tcPr>
          <w:p w14:paraId="4D104F98">
            <w:pPr>
              <w:rPr>
                <w:rFonts w:ascii="Arial"/>
                <w:sz w:val="21"/>
              </w:rPr>
            </w:pPr>
          </w:p>
        </w:tc>
      </w:tr>
      <w:tr w14:paraId="40E3E1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5" w:hRule="atLeast"/>
        </w:trPr>
        <w:tc>
          <w:tcPr>
            <w:tcW w:w="1184" w:type="dxa"/>
            <w:vAlign w:val="top"/>
          </w:tcPr>
          <w:p w14:paraId="67022DA0">
            <w:pPr>
              <w:rPr>
                <w:rFonts w:ascii="Arial"/>
                <w:sz w:val="21"/>
              </w:rPr>
            </w:pPr>
          </w:p>
        </w:tc>
        <w:tc>
          <w:tcPr>
            <w:tcW w:w="1318" w:type="dxa"/>
            <w:vAlign w:val="top"/>
          </w:tcPr>
          <w:p w14:paraId="1030625C">
            <w:pPr>
              <w:rPr>
                <w:rFonts w:ascii="Arial"/>
                <w:sz w:val="21"/>
              </w:rPr>
            </w:pPr>
          </w:p>
        </w:tc>
        <w:tc>
          <w:tcPr>
            <w:tcW w:w="1249" w:type="dxa"/>
            <w:vAlign w:val="top"/>
          </w:tcPr>
          <w:p w14:paraId="1B5AF449">
            <w:pPr>
              <w:rPr>
                <w:rFonts w:ascii="Arial"/>
                <w:sz w:val="21"/>
              </w:rPr>
            </w:pPr>
          </w:p>
        </w:tc>
        <w:tc>
          <w:tcPr>
            <w:tcW w:w="1249" w:type="dxa"/>
            <w:vAlign w:val="top"/>
          </w:tcPr>
          <w:p w14:paraId="5F14AF3F">
            <w:pPr>
              <w:rPr>
                <w:rFonts w:ascii="Arial"/>
                <w:sz w:val="21"/>
              </w:rPr>
            </w:pPr>
          </w:p>
        </w:tc>
        <w:tc>
          <w:tcPr>
            <w:tcW w:w="1248" w:type="dxa"/>
            <w:vAlign w:val="top"/>
          </w:tcPr>
          <w:p w14:paraId="445880A2">
            <w:pPr>
              <w:rPr>
                <w:rFonts w:ascii="Arial"/>
                <w:sz w:val="21"/>
              </w:rPr>
            </w:pPr>
          </w:p>
        </w:tc>
        <w:tc>
          <w:tcPr>
            <w:tcW w:w="1249" w:type="dxa"/>
            <w:vAlign w:val="top"/>
          </w:tcPr>
          <w:p w14:paraId="2E865E7B">
            <w:pPr>
              <w:rPr>
                <w:rFonts w:ascii="Arial"/>
                <w:sz w:val="21"/>
              </w:rPr>
            </w:pPr>
          </w:p>
        </w:tc>
        <w:tc>
          <w:tcPr>
            <w:tcW w:w="1253" w:type="dxa"/>
            <w:vAlign w:val="top"/>
          </w:tcPr>
          <w:p w14:paraId="3F4FD626">
            <w:pPr>
              <w:rPr>
                <w:rFonts w:ascii="Arial"/>
                <w:sz w:val="21"/>
              </w:rPr>
            </w:pPr>
          </w:p>
        </w:tc>
      </w:tr>
    </w:tbl>
    <w:p w14:paraId="44E711D0">
      <w:pPr>
        <w:spacing w:line="317" w:lineRule="auto"/>
        <w:rPr>
          <w:rFonts w:ascii="Arial"/>
          <w:sz w:val="21"/>
        </w:rPr>
      </w:pPr>
    </w:p>
    <w:p w14:paraId="0251089D">
      <w:pPr>
        <w:spacing w:line="317" w:lineRule="auto"/>
        <w:rPr>
          <w:rFonts w:ascii="Arial"/>
          <w:sz w:val="21"/>
        </w:rPr>
      </w:pPr>
    </w:p>
    <w:p w14:paraId="21DF5F93">
      <w:pPr>
        <w:spacing w:line="317" w:lineRule="auto"/>
        <w:rPr>
          <w:rFonts w:ascii="Arial"/>
          <w:sz w:val="21"/>
        </w:rPr>
      </w:pPr>
    </w:p>
    <w:p w14:paraId="3313C8A5">
      <w:pPr>
        <w:pStyle w:val="2"/>
        <w:spacing w:before="65" w:line="224" w:lineRule="auto"/>
        <w:jc w:val="right"/>
        <w:rPr>
          <w:sz w:val="20"/>
          <w:szCs w:val="20"/>
        </w:rPr>
      </w:pPr>
      <w:r>
        <w:rPr>
          <w:spacing w:val="-6"/>
          <w:sz w:val="20"/>
          <w:szCs w:val="20"/>
        </w:rPr>
        <w:t>评标委员会成员签名：</w:t>
      </w:r>
      <w:r>
        <w:rPr>
          <w:spacing w:val="1"/>
          <w:sz w:val="20"/>
          <w:szCs w:val="20"/>
        </w:rPr>
        <w:t xml:space="preserve">                              </w:t>
      </w:r>
      <w:r>
        <w:rPr>
          <w:sz w:val="20"/>
          <w:szCs w:val="20"/>
        </w:rPr>
        <w:t xml:space="preserve">          </w:t>
      </w:r>
      <w:r>
        <w:rPr>
          <w:spacing w:val="-6"/>
          <w:position w:val="-1"/>
          <w:sz w:val="15"/>
          <w:szCs w:val="15"/>
        </w:rPr>
        <w:t>日 期</w:t>
      </w:r>
      <w:r>
        <w:rPr>
          <w:spacing w:val="25"/>
          <w:w w:val="101"/>
          <w:position w:val="-1"/>
          <w:sz w:val="15"/>
          <w:szCs w:val="15"/>
        </w:rPr>
        <w:t xml:space="preserve"> </w:t>
      </w:r>
      <w:r>
        <w:rPr>
          <w:spacing w:val="-6"/>
          <w:position w:val="-1"/>
          <w:sz w:val="15"/>
          <w:szCs w:val="15"/>
        </w:rPr>
        <w:t>：</w:t>
      </w:r>
      <w:r>
        <w:rPr>
          <w:position w:val="-1"/>
          <w:sz w:val="15"/>
          <w:szCs w:val="15"/>
        </w:rPr>
        <w:t xml:space="preserve">      </w:t>
      </w:r>
      <w:r>
        <w:rPr>
          <w:spacing w:val="-6"/>
          <w:sz w:val="20"/>
          <w:szCs w:val="20"/>
        </w:rPr>
        <w:t>年</w:t>
      </w:r>
      <w:r>
        <w:rPr>
          <w:spacing w:val="7"/>
          <w:sz w:val="20"/>
          <w:szCs w:val="20"/>
        </w:rPr>
        <w:t xml:space="preserve">     </w:t>
      </w:r>
      <w:r>
        <w:rPr>
          <w:spacing w:val="-6"/>
          <w:sz w:val="20"/>
          <w:szCs w:val="20"/>
        </w:rPr>
        <w:t>月      日</w:t>
      </w:r>
    </w:p>
    <w:p w14:paraId="640DF840">
      <w:pPr>
        <w:spacing w:line="224" w:lineRule="auto"/>
        <w:rPr>
          <w:sz w:val="20"/>
          <w:szCs w:val="20"/>
        </w:rPr>
        <w:sectPr>
          <w:footerReference r:id="rId100" w:type="default"/>
          <w:pgSz w:w="11910" w:h="16840"/>
          <w:pgMar w:top="400" w:right="1625" w:bottom="1024" w:left="1460" w:header="0" w:footer="889" w:gutter="0"/>
          <w:cols w:space="720" w:num="1"/>
        </w:sectPr>
      </w:pPr>
    </w:p>
    <w:p w14:paraId="394740B1">
      <w:pPr>
        <w:spacing w:line="259" w:lineRule="auto"/>
        <w:rPr>
          <w:rFonts w:ascii="Arial"/>
          <w:sz w:val="21"/>
        </w:rPr>
      </w:pPr>
    </w:p>
    <w:p w14:paraId="08300024">
      <w:pPr>
        <w:spacing w:line="259" w:lineRule="auto"/>
        <w:rPr>
          <w:rFonts w:ascii="Arial"/>
          <w:sz w:val="21"/>
        </w:rPr>
      </w:pPr>
    </w:p>
    <w:p w14:paraId="05F80652">
      <w:pPr>
        <w:spacing w:line="259" w:lineRule="auto"/>
        <w:rPr>
          <w:rFonts w:ascii="Arial"/>
          <w:sz w:val="21"/>
        </w:rPr>
      </w:pPr>
    </w:p>
    <w:p w14:paraId="74187943">
      <w:pPr>
        <w:spacing w:line="259" w:lineRule="auto"/>
        <w:rPr>
          <w:rFonts w:ascii="Arial"/>
          <w:sz w:val="21"/>
        </w:rPr>
      </w:pPr>
    </w:p>
    <w:p w14:paraId="463AE215">
      <w:pPr>
        <w:spacing w:line="259" w:lineRule="auto"/>
        <w:rPr>
          <w:rFonts w:ascii="Arial"/>
          <w:sz w:val="21"/>
        </w:rPr>
      </w:pPr>
    </w:p>
    <w:p w14:paraId="61D3BE34">
      <w:pPr>
        <w:spacing w:before="81" w:line="221" w:lineRule="auto"/>
        <w:ind w:left="433"/>
        <w:outlineLvl w:val="2"/>
        <w:rPr>
          <w:rFonts w:ascii="黑体" w:hAnsi="黑体" w:eastAsia="黑体" w:cs="黑体"/>
          <w:sz w:val="25"/>
          <w:szCs w:val="25"/>
        </w:rPr>
      </w:pPr>
      <w:bookmarkStart w:id="243" w:name="bookmark175"/>
      <w:bookmarkEnd w:id="243"/>
      <w:r>
        <w:rPr>
          <w:rFonts w:ascii="黑体" w:hAnsi="黑体" w:eastAsia="黑体" w:cs="黑体"/>
          <w:b/>
          <w:bCs/>
          <w:spacing w:val="-10"/>
          <w:sz w:val="25"/>
          <w:szCs w:val="25"/>
        </w:rPr>
        <w:t>附表</w:t>
      </w:r>
      <w:r>
        <w:rPr>
          <w:rFonts w:ascii="黑体" w:hAnsi="黑体" w:eastAsia="黑体" w:cs="黑体"/>
          <w:spacing w:val="-47"/>
          <w:sz w:val="25"/>
          <w:szCs w:val="25"/>
        </w:rPr>
        <w:t xml:space="preserve"> </w:t>
      </w:r>
      <w:r>
        <w:rPr>
          <w:rFonts w:ascii="Times New Roman" w:hAnsi="Times New Roman" w:eastAsia="Times New Roman" w:cs="Times New Roman"/>
          <w:b/>
          <w:bCs/>
          <w:spacing w:val="-10"/>
          <w:sz w:val="25"/>
          <w:szCs w:val="25"/>
        </w:rPr>
        <w:t>C-5:</w:t>
      </w:r>
      <w:r>
        <w:rPr>
          <w:rFonts w:ascii="Times New Roman" w:hAnsi="Times New Roman" w:eastAsia="Times New Roman" w:cs="Times New Roman"/>
          <w:b/>
          <w:bCs/>
          <w:spacing w:val="18"/>
          <w:sz w:val="25"/>
          <w:szCs w:val="25"/>
        </w:rPr>
        <w:t xml:space="preserve">  </w:t>
      </w:r>
      <w:r>
        <w:rPr>
          <w:rFonts w:ascii="黑体" w:hAnsi="黑体" w:eastAsia="黑体" w:cs="黑体"/>
          <w:b/>
          <w:bCs/>
          <w:spacing w:val="-10"/>
          <w:sz w:val="25"/>
          <w:szCs w:val="25"/>
        </w:rPr>
        <w:t>清标报告-发包人提供材料和工程设备符合性检查</w:t>
      </w:r>
    </w:p>
    <w:p w14:paraId="3DF4B564">
      <w:pPr>
        <w:spacing w:line="355" w:lineRule="auto"/>
        <w:rPr>
          <w:rFonts w:ascii="Arial"/>
          <w:sz w:val="21"/>
        </w:rPr>
      </w:pPr>
    </w:p>
    <w:p w14:paraId="08EAABF6">
      <w:pPr>
        <w:pStyle w:val="2"/>
        <w:spacing w:before="104" w:line="218" w:lineRule="auto"/>
        <w:ind w:left="984"/>
        <w:rPr>
          <w:sz w:val="32"/>
          <w:szCs w:val="32"/>
        </w:rPr>
      </w:pPr>
      <w:bookmarkStart w:id="244" w:name="bookmark286"/>
      <w:bookmarkEnd w:id="244"/>
      <w:r>
        <w:rPr>
          <w:b/>
          <w:bCs/>
          <w:spacing w:val="-2"/>
          <w:sz w:val="32"/>
          <w:szCs w:val="32"/>
        </w:rPr>
        <w:t>清标报告-发包人提供材料和工程设备符合性检查</w:t>
      </w:r>
    </w:p>
    <w:p w14:paraId="4ECD2483">
      <w:pPr>
        <w:spacing w:line="318" w:lineRule="auto"/>
        <w:rPr>
          <w:rFonts w:ascii="Arial"/>
          <w:sz w:val="21"/>
        </w:rPr>
      </w:pPr>
    </w:p>
    <w:p w14:paraId="016EC2BF">
      <w:pPr>
        <w:pStyle w:val="2"/>
        <w:spacing w:before="65" w:line="220" w:lineRule="auto"/>
        <w:rPr>
          <w:sz w:val="20"/>
          <w:szCs w:val="20"/>
        </w:rPr>
      </w:pPr>
      <w:r>
        <w:rPr>
          <w:spacing w:val="1"/>
          <w:sz w:val="20"/>
          <w:szCs w:val="20"/>
        </w:rPr>
        <w:t>投标人名称：</w:t>
      </w:r>
    </w:p>
    <w:p w14:paraId="33BA36D1">
      <w:pPr>
        <w:spacing w:before="6"/>
      </w:pPr>
    </w:p>
    <w:tbl>
      <w:tblPr>
        <w:tblStyle w:val="5"/>
        <w:tblW w:w="8750" w:type="dxa"/>
        <w:tblInd w:w="6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84"/>
        <w:gridCol w:w="1318"/>
        <w:gridCol w:w="1248"/>
        <w:gridCol w:w="1249"/>
        <w:gridCol w:w="1248"/>
        <w:gridCol w:w="1259"/>
        <w:gridCol w:w="1244"/>
      </w:tblGrid>
      <w:tr w14:paraId="7C8C22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3750" w:type="dxa"/>
            <w:gridSpan w:val="3"/>
            <w:vAlign w:val="top"/>
          </w:tcPr>
          <w:p w14:paraId="7D6EF32F">
            <w:pPr>
              <w:pStyle w:val="6"/>
              <w:spacing w:before="233" w:line="220" w:lineRule="auto"/>
              <w:ind w:left="1285"/>
              <w:rPr>
                <w:sz w:val="20"/>
                <w:szCs w:val="20"/>
              </w:rPr>
            </w:pPr>
            <w:r>
              <w:rPr>
                <w:spacing w:val="1"/>
                <w:sz w:val="20"/>
                <w:szCs w:val="20"/>
              </w:rPr>
              <w:t>建设项目名称</w:t>
            </w:r>
          </w:p>
        </w:tc>
        <w:tc>
          <w:tcPr>
            <w:tcW w:w="5000" w:type="dxa"/>
            <w:gridSpan w:val="4"/>
            <w:vAlign w:val="top"/>
          </w:tcPr>
          <w:p w14:paraId="62795D4C">
            <w:pPr>
              <w:rPr>
                <w:rFonts w:ascii="Arial"/>
                <w:sz w:val="21"/>
              </w:rPr>
            </w:pPr>
          </w:p>
        </w:tc>
      </w:tr>
      <w:tr w14:paraId="28A6DC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trPr>
        <w:tc>
          <w:tcPr>
            <w:tcW w:w="8750" w:type="dxa"/>
            <w:gridSpan w:val="7"/>
            <w:vAlign w:val="top"/>
          </w:tcPr>
          <w:p w14:paraId="1791B569">
            <w:pPr>
              <w:pStyle w:val="6"/>
              <w:spacing w:before="205" w:line="219" w:lineRule="auto"/>
              <w:ind w:left="2467"/>
              <w:rPr>
                <w:sz w:val="20"/>
                <w:szCs w:val="20"/>
              </w:rPr>
            </w:pPr>
            <w:r>
              <w:rPr>
                <w:b/>
                <w:bCs/>
                <w:spacing w:val="-3"/>
                <w:sz w:val="20"/>
                <w:szCs w:val="20"/>
              </w:rPr>
              <w:t>五、发包人提供材料和工程设备符合性检查</w:t>
            </w:r>
          </w:p>
        </w:tc>
      </w:tr>
      <w:tr w14:paraId="76635C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39" w:hRule="atLeast"/>
        </w:trPr>
        <w:tc>
          <w:tcPr>
            <w:tcW w:w="1184" w:type="dxa"/>
            <w:vAlign w:val="top"/>
          </w:tcPr>
          <w:p w14:paraId="078F9C4B">
            <w:pPr>
              <w:spacing w:line="353" w:lineRule="auto"/>
              <w:rPr>
                <w:rFonts w:ascii="Arial"/>
                <w:sz w:val="21"/>
              </w:rPr>
            </w:pPr>
          </w:p>
          <w:p w14:paraId="176B527E">
            <w:pPr>
              <w:pStyle w:val="6"/>
              <w:spacing w:before="65" w:line="220" w:lineRule="auto"/>
              <w:ind w:left="205"/>
              <w:rPr>
                <w:sz w:val="20"/>
                <w:szCs w:val="20"/>
              </w:rPr>
            </w:pPr>
            <w:r>
              <w:rPr>
                <w:spacing w:val="2"/>
                <w:sz w:val="20"/>
                <w:szCs w:val="20"/>
              </w:rPr>
              <w:t>项目名称</w:t>
            </w:r>
          </w:p>
        </w:tc>
        <w:tc>
          <w:tcPr>
            <w:tcW w:w="1318" w:type="dxa"/>
            <w:vAlign w:val="top"/>
          </w:tcPr>
          <w:p w14:paraId="5E0B6B0F">
            <w:pPr>
              <w:pStyle w:val="6"/>
              <w:spacing w:before="18" w:line="238" w:lineRule="auto"/>
              <w:ind w:left="101" w:right="6" w:firstLine="99"/>
              <w:rPr>
                <w:sz w:val="20"/>
                <w:szCs w:val="20"/>
              </w:rPr>
            </w:pPr>
            <w:r>
              <w:rPr>
                <w:spacing w:val="-2"/>
                <w:sz w:val="20"/>
                <w:szCs w:val="20"/>
              </w:rPr>
              <w:t>材料(工程</w:t>
            </w:r>
            <w:r>
              <w:rPr>
                <w:sz w:val="20"/>
                <w:szCs w:val="20"/>
              </w:rPr>
              <w:t xml:space="preserve">   </w:t>
            </w:r>
            <w:r>
              <w:rPr>
                <w:spacing w:val="16"/>
                <w:sz w:val="20"/>
                <w:szCs w:val="20"/>
              </w:rPr>
              <w:t>设备)名称、</w:t>
            </w:r>
            <w:r>
              <w:rPr>
                <w:spacing w:val="3"/>
                <w:sz w:val="20"/>
                <w:szCs w:val="20"/>
              </w:rPr>
              <w:t xml:space="preserve"> </w:t>
            </w:r>
            <w:r>
              <w:rPr>
                <w:spacing w:val="12"/>
                <w:sz w:val="20"/>
                <w:szCs w:val="20"/>
              </w:rPr>
              <w:t>规格、型号</w:t>
            </w:r>
          </w:p>
          <w:p w14:paraId="3678979A">
            <w:pPr>
              <w:pStyle w:val="6"/>
              <w:spacing w:line="219" w:lineRule="auto"/>
              <w:ind w:left="451"/>
              <w:rPr>
                <w:sz w:val="20"/>
                <w:szCs w:val="20"/>
              </w:rPr>
            </w:pPr>
            <w:r>
              <w:rPr>
                <w:spacing w:val="-2"/>
                <w:sz w:val="20"/>
                <w:szCs w:val="20"/>
              </w:rPr>
              <w:t>错误</w:t>
            </w:r>
          </w:p>
        </w:tc>
        <w:tc>
          <w:tcPr>
            <w:tcW w:w="1248" w:type="dxa"/>
            <w:vAlign w:val="top"/>
          </w:tcPr>
          <w:p w14:paraId="08CEF2EB">
            <w:pPr>
              <w:pStyle w:val="6"/>
              <w:spacing w:before="270" w:line="220" w:lineRule="auto"/>
              <w:ind w:left="413"/>
              <w:rPr>
                <w:sz w:val="20"/>
                <w:szCs w:val="20"/>
              </w:rPr>
            </w:pPr>
            <w:r>
              <w:rPr>
                <w:spacing w:val="-3"/>
                <w:sz w:val="20"/>
                <w:szCs w:val="20"/>
              </w:rPr>
              <w:t>单位</w:t>
            </w:r>
          </w:p>
          <w:p w14:paraId="22471EC2">
            <w:pPr>
              <w:pStyle w:val="6"/>
              <w:spacing w:before="22" w:line="221" w:lineRule="auto"/>
              <w:ind w:left="413"/>
              <w:rPr>
                <w:sz w:val="20"/>
                <w:szCs w:val="20"/>
              </w:rPr>
            </w:pPr>
            <w:r>
              <w:rPr>
                <w:spacing w:val="-2"/>
                <w:sz w:val="20"/>
                <w:szCs w:val="20"/>
              </w:rPr>
              <w:t>错误</w:t>
            </w:r>
          </w:p>
        </w:tc>
        <w:tc>
          <w:tcPr>
            <w:tcW w:w="1249" w:type="dxa"/>
            <w:vAlign w:val="top"/>
          </w:tcPr>
          <w:p w14:paraId="0577D218">
            <w:pPr>
              <w:pStyle w:val="6"/>
              <w:spacing w:before="270" w:line="219" w:lineRule="auto"/>
              <w:ind w:left="415"/>
              <w:rPr>
                <w:sz w:val="20"/>
                <w:szCs w:val="20"/>
              </w:rPr>
            </w:pPr>
            <w:r>
              <w:rPr>
                <w:spacing w:val="-3"/>
                <w:sz w:val="20"/>
                <w:szCs w:val="20"/>
              </w:rPr>
              <w:t>数量</w:t>
            </w:r>
          </w:p>
          <w:p w14:paraId="1A775964">
            <w:pPr>
              <w:pStyle w:val="6"/>
              <w:spacing w:before="33" w:line="221" w:lineRule="auto"/>
              <w:ind w:left="415"/>
              <w:rPr>
                <w:sz w:val="20"/>
                <w:szCs w:val="20"/>
              </w:rPr>
            </w:pPr>
            <w:r>
              <w:rPr>
                <w:spacing w:val="-2"/>
                <w:sz w:val="20"/>
                <w:szCs w:val="20"/>
              </w:rPr>
              <w:t>错误</w:t>
            </w:r>
          </w:p>
        </w:tc>
        <w:tc>
          <w:tcPr>
            <w:tcW w:w="1248" w:type="dxa"/>
            <w:vAlign w:val="top"/>
          </w:tcPr>
          <w:p w14:paraId="29204B18">
            <w:pPr>
              <w:pStyle w:val="6"/>
              <w:spacing w:before="268" w:line="218" w:lineRule="auto"/>
              <w:ind w:left="416"/>
              <w:rPr>
                <w:sz w:val="20"/>
                <w:szCs w:val="20"/>
              </w:rPr>
            </w:pPr>
            <w:r>
              <w:rPr>
                <w:spacing w:val="-3"/>
                <w:sz w:val="20"/>
                <w:szCs w:val="20"/>
              </w:rPr>
              <w:t>单价</w:t>
            </w:r>
          </w:p>
          <w:p w14:paraId="08FA494F">
            <w:pPr>
              <w:pStyle w:val="6"/>
              <w:spacing w:before="36" w:line="221" w:lineRule="auto"/>
              <w:ind w:left="416"/>
              <w:rPr>
                <w:sz w:val="20"/>
                <w:szCs w:val="20"/>
              </w:rPr>
            </w:pPr>
            <w:r>
              <w:rPr>
                <w:spacing w:val="-2"/>
                <w:sz w:val="20"/>
                <w:szCs w:val="20"/>
              </w:rPr>
              <w:t>错误</w:t>
            </w:r>
          </w:p>
        </w:tc>
        <w:tc>
          <w:tcPr>
            <w:tcW w:w="1259" w:type="dxa"/>
            <w:vAlign w:val="top"/>
          </w:tcPr>
          <w:p w14:paraId="3E76E227">
            <w:pPr>
              <w:spacing w:line="353" w:lineRule="auto"/>
              <w:rPr>
                <w:rFonts w:ascii="Arial"/>
                <w:sz w:val="21"/>
              </w:rPr>
            </w:pPr>
          </w:p>
          <w:p w14:paraId="20D4151F">
            <w:pPr>
              <w:pStyle w:val="6"/>
              <w:spacing w:before="65" w:line="219" w:lineRule="auto"/>
              <w:ind w:left="348"/>
              <w:rPr>
                <w:sz w:val="20"/>
                <w:szCs w:val="20"/>
              </w:rPr>
            </w:pPr>
            <w:r>
              <w:rPr>
                <w:spacing w:val="3"/>
                <w:sz w:val="20"/>
                <w:szCs w:val="20"/>
              </w:rPr>
              <w:t>未填报</w:t>
            </w:r>
          </w:p>
        </w:tc>
        <w:tc>
          <w:tcPr>
            <w:tcW w:w="1244" w:type="dxa"/>
            <w:vAlign w:val="top"/>
          </w:tcPr>
          <w:p w14:paraId="38B11B09">
            <w:pPr>
              <w:spacing w:line="353" w:lineRule="auto"/>
              <w:rPr>
                <w:rFonts w:ascii="Arial"/>
                <w:sz w:val="21"/>
              </w:rPr>
            </w:pPr>
          </w:p>
          <w:p w14:paraId="4F90B6F1">
            <w:pPr>
              <w:pStyle w:val="6"/>
              <w:spacing w:before="65" w:line="220" w:lineRule="auto"/>
              <w:ind w:left="419"/>
              <w:rPr>
                <w:sz w:val="20"/>
                <w:szCs w:val="20"/>
              </w:rPr>
            </w:pPr>
            <w:r>
              <w:rPr>
                <w:spacing w:val="6"/>
                <w:sz w:val="20"/>
                <w:szCs w:val="20"/>
              </w:rPr>
              <w:t>多项</w:t>
            </w:r>
          </w:p>
        </w:tc>
      </w:tr>
      <w:tr w14:paraId="400200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1184" w:type="dxa"/>
            <w:vAlign w:val="top"/>
          </w:tcPr>
          <w:p w14:paraId="59911ED6">
            <w:pPr>
              <w:rPr>
                <w:rFonts w:ascii="Arial"/>
                <w:sz w:val="21"/>
              </w:rPr>
            </w:pPr>
          </w:p>
        </w:tc>
        <w:tc>
          <w:tcPr>
            <w:tcW w:w="1318" w:type="dxa"/>
            <w:vAlign w:val="top"/>
          </w:tcPr>
          <w:p w14:paraId="494A181D">
            <w:pPr>
              <w:rPr>
                <w:rFonts w:ascii="Arial"/>
                <w:sz w:val="21"/>
              </w:rPr>
            </w:pPr>
          </w:p>
        </w:tc>
        <w:tc>
          <w:tcPr>
            <w:tcW w:w="1248" w:type="dxa"/>
            <w:vAlign w:val="top"/>
          </w:tcPr>
          <w:p w14:paraId="0B1D429A">
            <w:pPr>
              <w:rPr>
                <w:rFonts w:ascii="Arial"/>
                <w:sz w:val="21"/>
              </w:rPr>
            </w:pPr>
          </w:p>
        </w:tc>
        <w:tc>
          <w:tcPr>
            <w:tcW w:w="1249" w:type="dxa"/>
            <w:vAlign w:val="top"/>
          </w:tcPr>
          <w:p w14:paraId="60851CE7">
            <w:pPr>
              <w:rPr>
                <w:rFonts w:ascii="Arial"/>
                <w:sz w:val="21"/>
              </w:rPr>
            </w:pPr>
          </w:p>
        </w:tc>
        <w:tc>
          <w:tcPr>
            <w:tcW w:w="1248" w:type="dxa"/>
            <w:vAlign w:val="top"/>
          </w:tcPr>
          <w:p w14:paraId="3E47ED61">
            <w:pPr>
              <w:rPr>
                <w:rFonts w:ascii="Arial"/>
                <w:sz w:val="21"/>
              </w:rPr>
            </w:pPr>
          </w:p>
        </w:tc>
        <w:tc>
          <w:tcPr>
            <w:tcW w:w="1259" w:type="dxa"/>
            <w:vAlign w:val="top"/>
          </w:tcPr>
          <w:p w14:paraId="360F125D">
            <w:pPr>
              <w:rPr>
                <w:rFonts w:ascii="Arial"/>
                <w:sz w:val="21"/>
              </w:rPr>
            </w:pPr>
          </w:p>
        </w:tc>
        <w:tc>
          <w:tcPr>
            <w:tcW w:w="1244" w:type="dxa"/>
            <w:vAlign w:val="top"/>
          </w:tcPr>
          <w:p w14:paraId="1AF3C117">
            <w:pPr>
              <w:rPr>
                <w:rFonts w:ascii="Arial"/>
                <w:sz w:val="21"/>
              </w:rPr>
            </w:pPr>
          </w:p>
        </w:tc>
      </w:tr>
      <w:tr w14:paraId="3D26C4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1184" w:type="dxa"/>
            <w:vAlign w:val="top"/>
          </w:tcPr>
          <w:p w14:paraId="60AFB271">
            <w:pPr>
              <w:rPr>
                <w:rFonts w:ascii="Arial"/>
                <w:sz w:val="21"/>
              </w:rPr>
            </w:pPr>
          </w:p>
        </w:tc>
        <w:tc>
          <w:tcPr>
            <w:tcW w:w="1318" w:type="dxa"/>
            <w:vAlign w:val="top"/>
          </w:tcPr>
          <w:p w14:paraId="18296238">
            <w:pPr>
              <w:rPr>
                <w:rFonts w:ascii="Arial"/>
                <w:sz w:val="21"/>
              </w:rPr>
            </w:pPr>
          </w:p>
        </w:tc>
        <w:tc>
          <w:tcPr>
            <w:tcW w:w="1248" w:type="dxa"/>
            <w:vAlign w:val="top"/>
          </w:tcPr>
          <w:p w14:paraId="002B5C1B">
            <w:pPr>
              <w:rPr>
                <w:rFonts w:ascii="Arial"/>
                <w:sz w:val="21"/>
              </w:rPr>
            </w:pPr>
          </w:p>
        </w:tc>
        <w:tc>
          <w:tcPr>
            <w:tcW w:w="1249" w:type="dxa"/>
            <w:vAlign w:val="top"/>
          </w:tcPr>
          <w:p w14:paraId="719B6B21">
            <w:pPr>
              <w:rPr>
                <w:rFonts w:ascii="Arial"/>
                <w:sz w:val="21"/>
              </w:rPr>
            </w:pPr>
          </w:p>
        </w:tc>
        <w:tc>
          <w:tcPr>
            <w:tcW w:w="1248" w:type="dxa"/>
            <w:vAlign w:val="top"/>
          </w:tcPr>
          <w:p w14:paraId="0FCF4E9E">
            <w:pPr>
              <w:rPr>
                <w:rFonts w:ascii="Arial"/>
                <w:sz w:val="21"/>
              </w:rPr>
            </w:pPr>
          </w:p>
        </w:tc>
        <w:tc>
          <w:tcPr>
            <w:tcW w:w="1259" w:type="dxa"/>
            <w:vAlign w:val="top"/>
          </w:tcPr>
          <w:p w14:paraId="546E9931">
            <w:pPr>
              <w:rPr>
                <w:rFonts w:ascii="Arial"/>
                <w:sz w:val="21"/>
              </w:rPr>
            </w:pPr>
          </w:p>
        </w:tc>
        <w:tc>
          <w:tcPr>
            <w:tcW w:w="1244" w:type="dxa"/>
            <w:vAlign w:val="top"/>
          </w:tcPr>
          <w:p w14:paraId="0C3BB300">
            <w:pPr>
              <w:rPr>
                <w:rFonts w:ascii="Arial"/>
                <w:sz w:val="21"/>
              </w:rPr>
            </w:pPr>
          </w:p>
        </w:tc>
      </w:tr>
      <w:tr w14:paraId="26ECB3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1184" w:type="dxa"/>
            <w:vAlign w:val="top"/>
          </w:tcPr>
          <w:p w14:paraId="58A29BA7">
            <w:pPr>
              <w:rPr>
                <w:rFonts w:ascii="Arial"/>
                <w:sz w:val="21"/>
              </w:rPr>
            </w:pPr>
          </w:p>
        </w:tc>
        <w:tc>
          <w:tcPr>
            <w:tcW w:w="1318" w:type="dxa"/>
            <w:vAlign w:val="top"/>
          </w:tcPr>
          <w:p w14:paraId="1CAFF405">
            <w:pPr>
              <w:rPr>
                <w:rFonts w:ascii="Arial"/>
                <w:sz w:val="21"/>
              </w:rPr>
            </w:pPr>
          </w:p>
        </w:tc>
        <w:tc>
          <w:tcPr>
            <w:tcW w:w="1248" w:type="dxa"/>
            <w:vAlign w:val="top"/>
          </w:tcPr>
          <w:p w14:paraId="10335D88">
            <w:pPr>
              <w:rPr>
                <w:rFonts w:ascii="Arial"/>
                <w:sz w:val="21"/>
              </w:rPr>
            </w:pPr>
          </w:p>
        </w:tc>
        <w:tc>
          <w:tcPr>
            <w:tcW w:w="1249" w:type="dxa"/>
            <w:vAlign w:val="top"/>
          </w:tcPr>
          <w:p w14:paraId="64540812">
            <w:pPr>
              <w:rPr>
                <w:rFonts w:ascii="Arial"/>
                <w:sz w:val="21"/>
              </w:rPr>
            </w:pPr>
          </w:p>
        </w:tc>
        <w:tc>
          <w:tcPr>
            <w:tcW w:w="1248" w:type="dxa"/>
            <w:vAlign w:val="top"/>
          </w:tcPr>
          <w:p w14:paraId="204B14C0">
            <w:pPr>
              <w:rPr>
                <w:rFonts w:ascii="Arial"/>
                <w:sz w:val="21"/>
              </w:rPr>
            </w:pPr>
          </w:p>
        </w:tc>
        <w:tc>
          <w:tcPr>
            <w:tcW w:w="1259" w:type="dxa"/>
            <w:vAlign w:val="top"/>
          </w:tcPr>
          <w:p w14:paraId="4036A483">
            <w:pPr>
              <w:rPr>
                <w:rFonts w:ascii="Arial"/>
                <w:sz w:val="21"/>
              </w:rPr>
            </w:pPr>
          </w:p>
        </w:tc>
        <w:tc>
          <w:tcPr>
            <w:tcW w:w="1244" w:type="dxa"/>
            <w:vAlign w:val="top"/>
          </w:tcPr>
          <w:p w14:paraId="65C0A4E1">
            <w:pPr>
              <w:rPr>
                <w:rFonts w:ascii="Arial"/>
                <w:sz w:val="21"/>
              </w:rPr>
            </w:pPr>
          </w:p>
        </w:tc>
      </w:tr>
      <w:tr w14:paraId="7995CB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1184" w:type="dxa"/>
            <w:vAlign w:val="top"/>
          </w:tcPr>
          <w:p w14:paraId="2B7B153D">
            <w:pPr>
              <w:rPr>
                <w:rFonts w:ascii="Arial"/>
                <w:sz w:val="21"/>
              </w:rPr>
            </w:pPr>
          </w:p>
        </w:tc>
        <w:tc>
          <w:tcPr>
            <w:tcW w:w="1318" w:type="dxa"/>
            <w:vAlign w:val="top"/>
          </w:tcPr>
          <w:p w14:paraId="7655FADF">
            <w:pPr>
              <w:rPr>
                <w:rFonts w:ascii="Arial"/>
                <w:sz w:val="21"/>
              </w:rPr>
            </w:pPr>
          </w:p>
        </w:tc>
        <w:tc>
          <w:tcPr>
            <w:tcW w:w="1248" w:type="dxa"/>
            <w:vAlign w:val="top"/>
          </w:tcPr>
          <w:p w14:paraId="1BB2A116">
            <w:pPr>
              <w:rPr>
                <w:rFonts w:ascii="Arial"/>
                <w:sz w:val="21"/>
              </w:rPr>
            </w:pPr>
          </w:p>
        </w:tc>
        <w:tc>
          <w:tcPr>
            <w:tcW w:w="1249" w:type="dxa"/>
            <w:vAlign w:val="top"/>
          </w:tcPr>
          <w:p w14:paraId="7738A117">
            <w:pPr>
              <w:rPr>
                <w:rFonts w:ascii="Arial"/>
                <w:sz w:val="21"/>
              </w:rPr>
            </w:pPr>
          </w:p>
        </w:tc>
        <w:tc>
          <w:tcPr>
            <w:tcW w:w="1248" w:type="dxa"/>
            <w:vAlign w:val="top"/>
          </w:tcPr>
          <w:p w14:paraId="05C32EF3">
            <w:pPr>
              <w:rPr>
                <w:rFonts w:ascii="Arial"/>
                <w:sz w:val="21"/>
              </w:rPr>
            </w:pPr>
          </w:p>
        </w:tc>
        <w:tc>
          <w:tcPr>
            <w:tcW w:w="1259" w:type="dxa"/>
            <w:vAlign w:val="top"/>
          </w:tcPr>
          <w:p w14:paraId="6649B0DA">
            <w:pPr>
              <w:rPr>
                <w:rFonts w:ascii="Arial"/>
                <w:sz w:val="21"/>
              </w:rPr>
            </w:pPr>
          </w:p>
        </w:tc>
        <w:tc>
          <w:tcPr>
            <w:tcW w:w="1244" w:type="dxa"/>
            <w:vAlign w:val="top"/>
          </w:tcPr>
          <w:p w14:paraId="222D4A14">
            <w:pPr>
              <w:rPr>
                <w:rFonts w:ascii="Arial"/>
                <w:sz w:val="21"/>
              </w:rPr>
            </w:pPr>
          </w:p>
        </w:tc>
      </w:tr>
      <w:tr w14:paraId="437567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1184" w:type="dxa"/>
            <w:vAlign w:val="top"/>
          </w:tcPr>
          <w:p w14:paraId="7FD1FE0B">
            <w:pPr>
              <w:rPr>
                <w:rFonts w:ascii="Arial"/>
                <w:sz w:val="21"/>
              </w:rPr>
            </w:pPr>
          </w:p>
        </w:tc>
        <w:tc>
          <w:tcPr>
            <w:tcW w:w="1318" w:type="dxa"/>
            <w:vAlign w:val="top"/>
          </w:tcPr>
          <w:p w14:paraId="0070ED80">
            <w:pPr>
              <w:rPr>
                <w:rFonts w:ascii="Arial"/>
                <w:sz w:val="21"/>
              </w:rPr>
            </w:pPr>
          </w:p>
        </w:tc>
        <w:tc>
          <w:tcPr>
            <w:tcW w:w="1248" w:type="dxa"/>
            <w:vAlign w:val="top"/>
          </w:tcPr>
          <w:p w14:paraId="5B9783B9">
            <w:pPr>
              <w:rPr>
                <w:rFonts w:ascii="Arial"/>
                <w:sz w:val="21"/>
              </w:rPr>
            </w:pPr>
          </w:p>
        </w:tc>
        <w:tc>
          <w:tcPr>
            <w:tcW w:w="1249" w:type="dxa"/>
            <w:vAlign w:val="top"/>
          </w:tcPr>
          <w:p w14:paraId="1E00088D">
            <w:pPr>
              <w:rPr>
                <w:rFonts w:ascii="Arial"/>
                <w:sz w:val="21"/>
              </w:rPr>
            </w:pPr>
          </w:p>
        </w:tc>
        <w:tc>
          <w:tcPr>
            <w:tcW w:w="1248" w:type="dxa"/>
            <w:vAlign w:val="top"/>
          </w:tcPr>
          <w:p w14:paraId="64F78A08">
            <w:pPr>
              <w:rPr>
                <w:rFonts w:ascii="Arial"/>
                <w:sz w:val="21"/>
              </w:rPr>
            </w:pPr>
          </w:p>
        </w:tc>
        <w:tc>
          <w:tcPr>
            <w:tcW w:w="1259" w:type="dxa"/>
            <w:vAlign w:val="top"/>
          </w:tcPr>
          <w:p w14:paraId="510B40A7">
            <w:pPr>
              <w:rPr>
                <w:rFonts w:ascii="Arial"/>
                <w:sz w:val="21"/>
              </w:rPr>
            </w:pPr>
          </w:p>
        </w:tc>
        <w:tc>
          <w:tcPr>
            <w:tcW w:w="1244" w:type="dxa"/>
            <w:vAlign w:val="top"/>
          </w:tcPr>
          <w:p w14:paraId="1FE7F04C">
            <w:pPr>
              <w:rPr>
                <w:rFonts w:ascii="Arial"/>
                <w:sz w:val="21"/>
              </w:rPr>
            </w:pPr>
          </w:p>
        </w:tc>
      </w:tr>
      <w:tr w14:paraId="4809CA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trPr>
        <w:tc>
          <w:tcPr>
            <w:tcW w:w="1184" w:type="dxa"/>
            <w:vAlign w:val="top"/>
          </w:tcPr>
          <w:p w14:paraId="43BC37E2">
            <w:pPr>
              <w:rPr>
                <w:rFonts w:ascii="Arial"/>
                <w:sz w:val="21"/>
              </w:rPr>
            </w:pPr>
          </w:p>
        </w:tc>
        <w:tc>
          <w:tcPr>
            <w:tcW w:w="1318" w:type="dxa"/>
            <w:vAlign w:val="top"/>
          </w:tcPr>
          <w:p w14:paraId="0D4042EF">
            <w:pPr>
              <w:rPr>
                <w:rFonts w:ascii="Arial"/>
                <w:sz w:val="21"/>
              </w:rPr>
            </w:pPr>
          </w:p>
        </w:tc>
        <w:tc>
          <w:tcPr>
            <w:tcW w:w="1248" w:type="dxa"/>
            <w:vAlign w:val="top"/>
          </w:tcPr>
          <w:p w14:paraId="400F211C">
            <w:pPr>
              <w:rPr>
                <w:rFonts w:ascii="Arial"/>
                <w:sz w:val="21"/>
              </w:rPr>
            </w:pPr>
          </w:p>
        </w:tc>
        <w:tc>
          <w:tcPr>
            <w:tcW w:w="1249" w:type="dxa"/>
            <w:vAlign w:val="top"/>
          </w:tcPr>
          <w:p w14:paraId="7EF64499">
            <w:pPr>
              <w:rPr>
                <w:rFonts w:ascii="Arial"/>
                <w:sz w:val="21"/>
              </w:rPr>
            </w:pPr>
          </w:p>
        </w:tc>
        <w:tc>
          <w:tcPr>
            <w:tcW w:w="1248" w:type="dxa"/>
            <w:vAlign w:val="top"/>
          </w:tcPr>
          <w:p w14:paraId="577B713F">
            <w:pPr>
              <w:rPr>
                <w:rFonts w:ascii="Arial"/>
                <w:sz w:val="21"/>
              </w:rPr>
            </w:pPr>
          </w:p>
        </w:tc>
        <w:tc>
          <w:tcPr>
            <w:tcW w:w="1259" w:type="dxa"/>
            <w:vAlign w:val="top"/>
          </w:tcPr>
          <w:p w14:paraId="7B2BD94F">
            <w:pPr>
              <w:rPr>
                <w:rFonts w:ascii="Arial"/>
                <w:sz w:val="21"/>
              </w:rPr>
            </w:pPr>
          </w:p>
        </w:tc>
        <w:tc>
          <w:tcPr>
            <w:tcW w:w="1244" w:type="dxa"/>
            <w:vAlign w:val="top"/>
          </w:tcPr>
          <w:p w14:paraId="1E26D818">
            <w:pPr>
              <w:rPr>
                <w:rFonts w:ascii="Arial"/>
                <w:sz w:val="21"/>
              </w:rPr>
            </w:pPr>
          </w:p>
        </w:tc>
      </w:tr>
      <w:tr w14:paraId="2F3C3D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1184" w:type="dxa"/>
            <w:vAlign w:val="top"/>
          </w:tcPr>
          <w:p w14:paraId="69FD7C9E">
            <w:pPr>
              <w:rPr>
                <w:rFonts w:ascii="Arial"/>
                <w:sz w:val="21"/>
              </w:rPr>
            </w:pPr>
          </w:p>
        </w:tc>
        <w:tc>
          <w:tcPr>
            <w:tcW w:w="1318" w:type="dxa"/>
            <w:vAlign w:val="top"/>
          </w:tcPr>
          <w:p w14:paraId="281C77CC">
            <w:pPr>
              <w:rPr>
                <w:rFonts w:ascii="Arial"/>
                <w:sz w:val="21"/>
              </w:rPr>
            </w:pPr>
          </w:p>
        </w:tc>
        <w:tc>
          <w:tcPr>
            <w:tcW w:w="1248" w:type="dxa"/>
            <w:vAlign w:val="top"/>
          </w:tcPr>
          <w:p w14:paraId="1E45E54A">
            <w:pPr>
              <w:rPr>
                <w:rFonts w:ascii="Arial"/>
                <w:sz w:val="21"/>
              </w:rPr>
            </w:pPr>
          </w:p>
        </w:tc>
        <w:tc>
          <w:tcPr>
            <w:tcW w:w="1249" w:type="dxa"/>
            <w:vAlign w:val="top"/>
          </w:tcPr>
          <w:p w14:paraId="00861FFA">
            <w:pPr>
              <w:rPr>
                <w:rFonts w:ascii="Arial"/>
                <w:sz w:val="21"/>
              </w:rPr>
            </w:pPr>
          </w:p>
        </w:tc>
        <w:tc>
          <w:tcPr>
            <w:tcW w:w="1248" w:type="dxa"/>
            <w:vAlign w:val="top"/>
          </w:tcPr>
          <w:p w14:paraId="66621E0E">
            <w:pPr>
              <w:rPr>
                <w:rFonts w:ascii="Arial"/>
                <w:sz w:val="21"/>
              </w:rPr>
            </w:pPr>
          </w:p>
        </w:tc>
        <w:tc>
          <w:tcPr>
            <w:tcW w:w="1259" w:type="dxa"/>
            <w:vAlign w:val="top"/>
          </w:tcPr>
          <w:p w14:paraId="503E2208">
            <w:pPr>
              <w:rPr>
                <w:rFonts w:ascii="Arial"/>
                <w:sz w:val="21"/>
              </w:rPr>
            </w:pPr>
          </w:p>
        </w:tc>
        <w:tc>
          <w:tcPr>
            <w:tcW w:w="1244" w:type="dxa"/>
            <w:vAlign w:val="top"/>
          </w:tcPr>
          <w:p w14:paraId="2B2BAF4F">
            <w:pPr>
              <w:rPr>
                <w:rFonts w:ascii="Arial"/>
                <w:sz w:val="21"/>
              </w:rPr>
            </w:pPr>
          </w:p>
        </w:tc>
      </w:tr>
      <w:tr w14:paraId="17DBE7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1184" w:type="dxa"/>
            <w:vAlign w:val="top"/>
          </w:tcPr>
          <w:p w14:paraId="50D2BA4A">
            <w:pPr>
              <w:rPr>
                <w:rFonts w:ascii="Arial"/>
                <w:sz w:val="21"/>
              </w:rPr>
            </w:pPr>
          </w:p>
        </w:tc>
        <w:tc>
          <w:tcPr>
            <w:tcW w:w="1318" w:type="dxa"/>
            <w:vAlign w:val="top"/>
          </w:tcPr>
          <w:p w14:paraId="485491BD">
            <w:pPr>
              <w:rPr>
                <w:rFonts w:ascii="Arial"/>
                <w:sz w:val="21"/>
              </w:rPr>
            </w:pPr>
          </w:p>
        </w:tc>
        <w:tc>
          <w:tcPr>
            <w:tcW w:w="1248" w:type="dxa"/>
            <w:vAlign w:val="top"/>
          </w:tcPr>
          <w:p w14:paraId="0EB2431F">
            <w:pPr>
              <w:rPr>
                <w:rFonts w:ascii="Arial"/>
                <w:sz w:val="21"/>
              </w:rPr>
            </w:pPr>
          </w:p>
        </w:tc>
        <w:tc>
          <w:tcPr>
            <w:tcW w:w="1249" w:type="dxa"/>
            <w:vAlign w:val="top"/>
          </w:tcPr>
          <w:p w14:paraId="44CBEC30">
            <w:pPr>
              <w:rPr>
                <w:rFonts w:ascii="Arial"/>
                <w:sz w:val="21"/>
              </w:rPr>
            </w:pPr>
          </w:p>
        </w:tc>
        <w:tc>
          <w:tcPr>
            <w:tcW w:w="1248" w:type="dxa"/>
            <w:vAlign w:val="top"/>
          </w:tcPr>
          <w:p w14:paraId="1C1F23F8">
            <w:pPr>
              <w:rPr>
                <w:rFonts w:ascii="Arial"/>
                <w:sz w:val="21"/>
              </w:rPr>
            </w:pPr>
          </w:p>
        </w:tc>
        <w:tc>
          <w:tcPr>
            <w:tcW w:w="1259" w:type="dxa"/>
            <w:vAlign w:val="top"/>
          </w:tcPr>
          <w:p w14:paraId="6B3D3947">
            <w:pPr>
              <w:rPr>
                <w:rFonts w:ascii="Arial"/>
                <w:sz w:val="21"/>
              </w:rPr>
            </w:pPr>
          </w:p>
        </w:tc>
        <w:tc>
          <w:tcPr>
            <w:tcW w:w="1244" w:type="dxa"/>
            <w:vAlign w:val="top"/>
          </w:tcPr>
          <w:p w14:paraId="647213A6">
            <w:pPr>
              <w:rPr>
                <w:rFonts w:ascii="Arial"/>
                <w:sz w:val="21"/>
              </w:rPr>
            </w:pPr>
          </w:p>
        </w:tc>
      </w:tr>
      <w:tr w14:paraId="63E3F6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1184" w:type="dxa"/>
            <w:vAlign w:val="top"/>
          </w:tcPr>
          <w:p w14:paraId="75130B49">
            <w:pPr>
              <w:rPr>
                <w:rFonts w:ascii="Arial"/>
                <w:sz w:val="21"/>
              </w:rPr>
            </w:pPr>
          </w:p>
        </w:tc>
        <w:tc>
          <w:tcPr>
            <w:tcW w:w="1318" w:type="dxa"/>
            <w:vAlign w:val="top"/>
          </w:tcPr>
          <w:p w14:paraId="0B50F83F">
            <w:pPr>
              <w:rPr>
                <w:rFonts w:ascii="Arial"/>
                <w:sz w:val="21"/>
              </w:rPr>
            </w:pPr>
          </w:p>
        </w:tc>
        <w:tc>
          <w:tcPr>
            <w:tcW w:w="1248" w:type="dxa"/>
            <w:vAlign w:val="top"/>
          </w:tcPr>
          <w:p w14:paraId="3FF42C1E">
            <w:pPr>
              <w:rPr>
                <w:rFonts w:ascii="Arial"/>
                <w:sz w:val="21"/>
              </w:rPr>
            </w:pPr>
          </w:p>
        </w:tc>
        <w:tc>
          <w:tcPr>
            <w:tcW w:w="1249" w:type="dxa"/>
            <w:vAlign w:val="top"/>
          </w:tcPr>
          <w:p w14:paraId="22D45435">
            <w:pPr>
              <w:rPr>
                <w:rFonts w:ascii="Arial"/>
                <w:sz w:val="21"/>
              </w:rPr>
            </w:pPr>
          </w:p>
        </w:tc>
        <w:tc>
          <w:tcPr>
            <w:tcW w:w="1248" w:type="dxa"/>
            <w:vAlign w:val="top"/>
          </w:tcPr>
          <w:p w14:paraId="732078F0">
            <w:pPr>
              <w:rPr>
                <w:rFonts w:ascii="Arial"/>
                <w:sz w:val="21"/>
              </w:rPr>
            </w:pPr>
          </w:p>
        </w:tc>
        <w:tc>
          <w:tcPr>
            <w:tcW w:w="1259" w:type="dxa"/>
            <w:vAlign w:val="top"/>
          </w:tcPr>
          <w:p w14:paraId="4581467D">
            <w:pPr>
              <w:rPr>
                <w:rFonts w:ascii="Arial"/>
                <w:sz w:val="21"/>
              </w:rPr>
            </w:pPr>
          </w:p>
        </w:tc>
        <w:tc>
          <w:tcPr>
            <w:tcW w:w="1244" w:type="dxa"/>
            <w:vAlign w:val="top"/>
          </w:tcPr>
          <w:p w14:paraId="6CDA7B0D">
            <w:pPr>
              <w:rPr>
                <w:rFonts w:ascii="Arial"/>
                <w:sz w:val="21"/>
              </w:rPr>
            </w:pPr>
          </w:p>
        </w:tc>
      </w:tr>
      <w:tr w14:paraId="523BE7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1184" w:type="dxa"/>
            <w:vAlign w:val="top"/>
          </w:tcPr>
          <w:p w14:paraId="3B02FF96">
            <w:pPr>
              <w:rPr>
                <w:rFonts w:ascii="Arial"/>
                <w:sz w:val="21"/>
              </w:rPr>
            </w:pPr>
          </w:p>
        </w:tc>
        <w:tc>
          <w:tcPr>
            <w:tcW w:w="1318" w:type="dxa"/>
            <w:vAlign w:val="top"/>
          </w:tcPr>
          <w:p w14:paraId="20684118">
            <w:pPr>
              <w:rPr>
                <w:rFonts w:ascii="Arial"/>
                <w:sz w:val="21"/>
              </w:rPr>
            </w:pPr>
          </w:p>
        </w:tc>
        <w:tc>
          <w:tcPr>
            <w:tcW w:w="1248" w:type="dxa"/>
            <w:vAlign w:val="top"/>
          </w:tcPr>
          <w:p w14:paraId="691629D7">
            <w:pPr>
              <w:rPr>
                <w:rFonts w:ascii="Arial"/>
                <w:sz w:val="21"/>
              </w:rPr>
            </w:pPr>
          </w:p>
        </w:tc>
        <w:tc>
          <w:tcPr>
            <w:tcW w:w="1249" w:type="dxa"/>
            <w:vAlign w:val="top"/>
          </w:tcPr>
          <w:p w14:paraId="309191F1">
            <w:pPr>
              <w:rPr>
                <w:rFonts w:ascii="Arial"/>
                <w:sz w:val="21"/>
              </w:rPr>
            </w:pPr>
          </w:p>
        </w:tc>
        <w:tc>
          <w:tcPr>
            <w:tcW w:w="1248" w:type="dxa"/>
            <w:vAlign w:val="top"/>
          </w:tcPr>
          <w:p w14:paraId="01AF6CF8">
            <w:pPr>
              <w:rPr>
                <w:rFonts w:ascii="Arial"/>
                <w:sz w:val="21"/>
              </w:rPr>
            </w:pPr>
          </w:p>
        </w:tc>
        <w:tc>
          <w:tcPr>
            <w:tcW w:w="1259" w:type="dxa"/>
            <w:vAlign w:val="top"/>
          </w:tcPr>
          <w:p w14:paraId="5174F9FF">
            <w:pPr>
              <w:rPr>
                <w:rFonts w:ascii="Arial"/>
                <w:sz w:val="21"/>
              </w:rPr>
            </w:pPr>
          </w:p>
        </w:tc>
        <w:tc>
          <w:tcPr>
            <w:tcW w:w="1244" w:type="dxa"/>
            <w:vAlign w:val="top"/>
          </w:tcPr>
          <w:p w14:paraId="3B9827DE">
            <w:pPr>
              <w:rPr>
                <w:rFonts w:ascii="Arial"/>
                <w:sz w:val="21"/>
              </w:rPr>
            </w:pPr>
          </w:p>
        </w:tc>
      </w:tr>
      <w:tr w14:paraId="30FB8B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trPr>
        <w:tc>
          <w:tcPr>
            <w:tcW w:w="1184" w:type="dxa"/>
            <w:vAlign w:val="top"/>
          </w:tcPr>
          <w:p w14:paraId="2EFF9550">
            <w:pPr>
              <w:rPr>
                <w:rFonts w:ascii="Arial"/>
                <w:sz w:val="21"/>
              </w:rPr>
            </w:pPr>
          </w:p>
        </w:tc>
        <w:tc>
          <w:tcPr>
            <w:tcW w:w="1318" w:type="dxa"/>
            <w:vAlign w:val="top"/>
          </w:tcPr>
          <w:p w14:paraId="5A3A695B">
            <w:pPr>
              <w:rPr>
                <w:rFonts w:ascii="Arial"/>
                <w:sz w:val="21"/>
              </w:rPr>
            </w:pPr>
          </w:p>
        </w:tc>
        <w:tc>
          <w:tcPr>
            <w:tcW w:w="1248" w:type="dxa"/>
            <w:vAlign w:val="top"/>
          </w:tcPr>
          <w:p w14:paraId="32B73641">
            <w:pPr>
              <w:rPr>
                <w:rFonts w:ascii="Arial"/>
                <w:sz w:val="21"/>
              </w:rPr>
            </w:pPr>
          </w:p>
        </w:tc>
        <w:tc>
          <w:tcPr>
            <w:tcW w:w="1249" w:type="dxa"/>
            <w:vAlign w:val="top"/>
          </w:tcPr>
          <w:p w14:paraId="3C993435">
            <w:pPr>
              <w:rPr>
                <w:rFonts w:ascii="Arial"/>
                <w:sz w:val="21"/>
              </w:rPr>
            </w:pPr>
          </w:p>
        </w:tc>
        <w:tc>
          <w:tcPr>
            <w:tcW w:w="1248" w:type="dxa"/>
            <w:vAlign w:val="top"/>
          </w:tcPr>
          <w:p w14:paraId="3A81407C">
            <w:pPr>
              <w:rPr>
                <w:rFonts w:ascii="Arial"/>
                <w:sz w:val="21"/>
              </w:rPr>
            </w:pPr>
          </w:p>
        </w:tc>
        <w:tc>
          <w:tcPr>
            <w:tcW w:w="1259" w:type="dxa"/>
            <w:vAlign w:val="top"/>
          </w:tcPr>
          <w:p w14:paraId="0F261B7A">
            <w:pPr>
              <w:rPr>
                <w:rFonts w:ascii="Arial"/>
                <w:sz w:val="21"/>
              </w:rPr>
            </w:pPr>
          </w:p>
        </w:tc>
        <w:tc>
          <w:tcPr>
            <w:tcW w:w="1244" w:type="dxa"/>
            <w:vAlign w:val="top"/>
          </w:tcPr>
          <w:p w14:paraId="5058CCD5">
            <w:pPr>
              <w:rPr>
                <w:rFonts w:ascii="Arial"/>
                <w:sz w:val="21"/>
              </w:rPr>
            </w:pPr>
          </w:p>
        </w:tc>
      </w:tr>
    </w:tbl>
    <w:p w14:paraId="07A3CFAB">
      <w:pPr>
        <w:spacing w:line="267" w:lineRule="auto"/>
        <w:rPr>
          <w:rFonts w:ascii="Arial"/>
          <w:sz w:val="21"/>
        </w:rPr>
      </w:pPr>
    </w:p>
    <w:p w14:paraId="6CD54EB6">
      <w:pPr>
        <w:spacing w:line="268" w:lineRule="auto"/>
        <w:rPr>
          <w:rFonts w:ascii="Arial"/>
          <w:sz w:val="21"/>
        </w:rPr>
      </w:pPr>
    </w:p>
    <w:p w14:paraId="142F1D7A">
      <w:pPr>
        <w:pStyle w:val="2"/>
        <w:spacing w:before="65" w:line="232" w:lineRule="auto"/>
        <w:jc w:val="right"/>
        <w:rPr>
          <w:rFonts w:ascii="黑体" w:hAnsi="黑体" w:eastAsia="黑体" w:cs="黑体"/>
          <w:sz w:val="20"/>
          <w:szCs w:val="20"/>
        </w:rPr>
      </w:pPr>
      <w:r>
        <w:rPr>
          <w:spacing w:val="-4"/>
          <w:sz w:val="20"/>
          <w:szCs w:val="20"/>
        </w:rPr>
        <w:t>评标委员会成员签名：</w:t>
      </w:r>
      <w:r>
        <w:rPr>
          <w:sz w:val="20"/>
          <w:szCs w:val="20"/>
        </w:rPr>
        <w:t xml:space="preserve">                                        </w:t>
      </w:r>
      <w:r>
        <w:rPr>
          <w:rFonts w:ascii="黑体" w:hAnsi="黑体" w:eastAsia="黑体" w:cs="黑体"/>
          <w:spacing w:val="-4"/>
          <w:sz w:val="20"/>
          <w:szCs w:val="20"/>
        </w:rPr>
        <w:t>日期：</w:t>
      </w:r>
      <w:r>
        <w:rPr>
          <w:rFonts w:ascii="黑体" w:hAnsi="黑体" w:eastAsia="黑体" w:cs="黑体"/>
          <w:spacing w:val="8"/>
          <w:sz w:val="20"/>
          <w:szCs w:val="20"/>
        </w:rPr>
        <w:t xml:space="preserve">    </w:t>
      </w:r>
      <w:r>
        <w:rPr>
          <w:rFonts w:ascii="黑体" w:hAnsi="黑体" w:eastAsia="黑体" w:cs="黑体"/>
          <w:spacing w:val="-4"/>
          <w:sz w:val="20"/>
          <w:szCs w:val="20"/>
        </w:rPr>
        <w:t>年</w:t>
      </w:r>
      <w:r>
        <w:rPr>
          <w:rFonts w:ascii="黑体" w:hAnsi="黑体" w:eastAsia="黑体" w:cs="黑体"/>
          <w:spacing w:val="7"/>
          <w:sz w:val="20"/>
          <w:szCs w:val="20"/>
        </w:rPr>
        <w:t xml:space="preserve">     </w:t>
      </w:r>
      <w:r>
        <w:rPr>
          <w:rFonts w:ascii="黑体" w:hAnsi="黑体" w:eastAsia="黑体" w:cs="黑体"/>
          <w:spacing w:val="-4"/>
          <w:sz w:val="20"/>
          <w:szCs w:val="20"/>
        </w:rPr>
        <w:t>月</w:t>
      </w:r>
      <w:r>
        <w:rPr>
          <w:rFonts w:ascii="黑体" w:hAnsi="黑体" w:eastAsia="黑体" w:cs="黑体"/>
          <w:spacing w:val="17"/>
          <w:sz w:val="20"/>
          <w:szCs w:val="20"/>
        </w:rPr>
        <w:t xml:space="preserve">     </w:t>
      </w:r>
      <w:r>
        <w:rPr>
          <w:rFonts w:ascii="黑体" w:hAnsi="黑体" w:eastAsia="黑体" w:cs="黑体"/>
          <w:spacing w:val="-4"/>
          <w:sz w:val="20"/>
          <w:szCs w:val="20"/>
        </w:rPr>
        <w:t>日</w:t>
      </w:r>
    </w:p>
    <w:p w14:paraId="2A64D84D">
      <w:pPr>
        <w:spacing w:line="232" w:lineRule="auto"/>
        <w:rPr>
          <w:rFonts w:ascii="黑体" w:hAnsi="黑体" w:eastAsia="黑体" w:cs="黑体"/>
          <w:sz w:val="20"/>
          <w:szCs w:val="20"/>
        </w:rPr>
        <w:sectPr>
          <w:footerReference r:id="rId101" w:type="default"/>
          <w:pgSz w:w="11910" w:h="16840"/>
          <w:pgMar w:top="400" w:right="1625" w:bottom="1024" w:left="1460" w:header="0" w:footer="889" w:gutter="0"/>
          <w:cols w:space="720" w:num="1"/>
        </w:sectPr>
      </w:pPr>
    </w:p>
    <w:p w14:paraId="551A7F72">
      <w:pPr>
        <w:spacing w:line="261" w:lineRule="auto"/>
        <w:rPr>
          <w:rFonts w:ascii="Arial"/>
          <w:sz w:val="21"/>
        </w:rPr>
      </w:pPr>
    </w:p>
    <w:p w14:paraId="0333E8BD">
      <w:pPr>
        <w:spacing w:line="261" w:lineRule="auto"/>
        <w:rPr>
          <w:rFonts w:ascii="Arial"/>
          <w:sz w:val="21"/>
        </w:rPr>
      </w:pPr>
    </w:p>
    <w:p w14:paraId="1E190BEB">
      <w:pPr>
        <w:spacing w:line="262" w:lineRule="auto"/>
        <w:rPr>
          <w:rFonts w:ascii="Arial"/>
          <w:sz w:val="21"/>
        </w:rPr>
      </w:pPr>
    </w:p>
    <w:p w14:paraId="3A0A9963">
      <w:pPr>
        <w:spacing w:line="262" w:lineRule="auto"/>
        <w:rPr>
          <w:rFonts w:ascii="Arial"/>
          <w:sz w:val="21"/>
        </w:rPr>
      </w:pPr>
    </w:p>
    <w:p w14:paraId="35B4FF10">
      <w:pPr>
        <w:spacing w:line="262" w:lineRule="auto"/>
        <w:rPr>
          <w:rFonts w:ascii="Arial"/>
          <w:sz w:val="21"/>
        </w:rPr>
      </w:pPr>
    </w:p>
    <w:p w14:paraId="66DA4B3C">
      <w:pPr>
        <w:spacing w:before="78" w:line="222" w:lineRule="auto"/>
        <w:ind w:left="433"/>
        <w:outlineLvl w:val="2"/>
        <w:rPr>
          <w:rFonts w:ascii="黑体" w:hAnsi="黑体" w:eastAsia="黑体" w:cs="黑体"/>
          <w:sz w:val="24"/>
          <w:szCs w:val="24"/>
        </w:rPr>
      </w:pPr>
      <w:bookmarkStart w:id="245" w:name="bookmark176"/>
      <w:bookmarkEnd w:id="245"/>
      <w:r>
        <w:rPr>
          <w:rFonts w:ascii="黑体" w:hAnsi="黑体" w:eastAsia="黑体" w:cs="黑体"/>
          <w:b/>
          <w:bCs/>
          <w:spacing w:val="2"/>
          <w:sz w:val="24"/>
          <w:szCs w:val="24"/>
        </w:rPr>
        <w:t>附表</w:t>
      </w:r>
      <w:r>
        <w:rPr>
          <w:rFonts w:ascii="Times New Roman" w:hAnsi="Times New Roman" w:eastAsia="Times New Roman" w:cs="Times New Roman"/>
          <w:b/>
          <w:bCs/>
          <w:spacing w:val="2"/>
          <w:sz w:val="24"/>
          <w:szCs w:val="24"/>
        </w:rPr>
        <w:t>C-6:</w:t>
      </w:r>
      <w:r>
        <w:rPr>
          <w:rFonts w:ascii="Times New Roman" w:hAnsi="Times New Roman" w:eastAsia="Times New Roman" w:cs="Times New Roman"/>
          <w:b/>
          <w:bCs/>
          <w:spacing w:val="36"/>
          <w:sz w:val="24"/>
          <w:szCs w:val="24"/>
        </w:rPr>
        <w:t xml:space="preserve">  </w:t>
      </w:r>
      <w:r>
        <w:rPr>
          <w:rFonts w:ascii="黑体" w:hAnsi="黑体" w:eastAsia="黑体" w:cs="黑体"/>
          <w:b/>
          <w:bCs/>
          <w:spacing w:val="2"/>
          <w:sz w:val="24"/>
          <w:szCs w:val="24"/>
        </w:rPr>
        <w:t>清标报告-算术错误检查</w:t>
      </w:r>
    </w:p>
    <w:p w14:paraId="506D2CDC">
      <w:pPr>
        <w:spacing w:line="456" w:lineRule="auto"/>
        <w:rPr>
          <w:rFonts w:ascii="Arial"/>
          <w:sz w:val="21"/>
        </w:rPr>
      </w:pPr>
    </w:p>
    <w:p w14:paraId="61E0ABD6">
      <w:pPr>
        <w:spacing w:before="104" w:line="222" w:lineRule="auto"/>
        <w:ind w:left="2754"/>
        <w:rPr>
          <w:rFonts w:ascii="黑体" w:hAnsi="黑体" w:eastAsia="黑体" w:cs="黑体"/>
          <w:sz w:val="32"/>
          <w:szCs w:val="32"/>
        </w:rPr>
      </w:pPr>
      <w:bookmarkStart w:id="246" w:name="bookmark287"/>
      <w:bookmarkEnd w:id="246"/>
      <w:r>
        <w:rPr>
          <w:rFonts w:ascii="黑体" w:hAnsi="黑体" w:eastAsia="黑体" w:cs="黑体"/>
          <w:b/>
          <w:bCs/>
          <w:sz w:val="32"/>
          <w:szCs w:val="32"/>
        </w:rPr>
        <w:t>清标报告-算术错误检查</w:t>
      </w:r>
    </w:p>
    <w:p w14:paraId="6C1357B2">
      <w:pPr>
        <w:pStyle w:val="2"/>
        <w:spacing w:before="277" w:line="220" w:lineRule="auto"/>
        <w:rPr>
          <w:sz w:val="20"/>
          <w:szCs w:val="20"/>
        </w:rPr>
      </w:pPr>
      <w:r>
        <w:rPr>
          <w:spacing w:val="1"/>
          <w:sz w:val="20"/>
          <w:szCs w:val="20"/>
        </w:rPr>
        <w:t>投标人名称：</w:t>
      </w:r>
    </w:p>
    <w:p w14:paraId="261B49F8">
      <w:pPr>
        <w:spacing w:before="6"/>
      </w:pPr>
    </w:p>
    <w:tbl>
      <w:tblPr>
        <w:tblStyle w:val="5"/>
        <w:tblW w:w="8750" w:type="dxa"/>
        <w:tblInd w:w="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743"/>
        <w:gridCol w:w="1159"/>
        <w:gridCol w:w="849"/>
        <w:gridCol w:w="319"/>
        <w:gridCol w:w="1179"/>
        <w:gridCol w:w="1159"/>
        <w:gridCol w:w="1168"/>
        <w:gridCol w:w="1174"/>
      </w:tblGrid>
      <w:tr w14:paraId="58EB14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3751" w:type="dxa"/>
            <w:gridSpan w:val="3"/>
            <w:vAlign w:val="top"/>
          </w:tcPr>
          <w:p w14:paraId="3AA6D1AA">
            <w:pPr>
              <w:pStyle w:val="6"/>
              <w:spacing w:before="233" w:line="220" w:lineRule="auto"/>
              <w:ind w:left="1295"/>
              <w:rPr>
                <w:sz w:val="20"/>
                <w:szCs w:val="20"/>
              </w:rPr>
            </w:pPr>
            <w:r>
              <w:rPr>
                <w:spacing w:val="1"/>
                <w:sz w:val="20"/>
                <w:szCs w:val="20"/>
              </w:rPr>
              <w:t>建设项目名称</w:t>
            </w:r>
          </w:p>
        </w:tc>
        <w:tc>
          <w:tcPr>
            <w:tcW w:w="4999" w:type="dxa"/>
            <w:gridSpan w:val="5"/>
            <w:vAlign w:val="top"/>
          </w:tcPr>
          <w:p w14:paraId="5E050A42">
            <w:pPr>
              <w:rPr>
                <w:rFonts w:ascii="Arial"/>
                <w:sz w:val="21"/>
              </w:rPr>
            </w:pPr>
          </w:p>
        </w:tc>
      </w:tr>
      <w:tr w14:paraId="06BC72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trPr>
        <w:tc>
          <w:tcPr>
            <w:tcW w:w="8750" w:type="dxa"/>
            <w:gridSpan w:val="8"/>
            <w:vAlign w:val="top"/>
          </w:tcPr>
          <w:p w14:paraId="3DC82E53">
            <w:pPr>
              <w:pStyle w:val="6"/>
              <w:spacing w:before="206" w:line="219" w:lineRule="auto"/>
              <w:ind w:left="3547"/>
              <w:rPr>
                <w:sz w:val="20"/>
                <w:szCs w:val="20"/>
              </w:rPr>
            </w:pPr>
            <w:r>
              <w:rPr>
                <w:b/>
                <w:bCs/>
                <w:spacing w:val="-4"/>
                <w:sz w:val="20"/>
                <w:szCs w:val="20"/>
              </w:rPr>
              <w:t>六、算术错误检查</w:t>
            </w:r>
          </w:p>
        </w:tc>
      </w:tr>
      <w:tr w14:paraId="39D1B5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8" w:hRule="atLeast"/>
        </w:trPr>
        <w:tc>
          <w:tcPr>
            <w:tcW w:w="1743" w:type="dxa"/>
            <w:vAlign w:val="top"/>
          </w:tcPr>
          <w:p w14:paraId="119F760E">
            <w:pPr>
              <w:pStyle w:val="6"/>
              <w:spacing w:before="160" w:line="219" w:lineRule="auto"/>
              <w:ind w:left="365"/>
              <w:rPr>
                <w:sz w:val="20"/>
                <w:szCs w:val="20"/>
              </w:rPr>
            </w:pPr>
            <w:r>
              <w:rPr>
                <w:spacing w:val="1"/>
                <w:sz w:val="20"/>
                <w:szCs w:val="20"/>
              </w:rPr>
              <w:t>项目编码或</w:t>
            </w:r>
          </w:p>
          <w:p w14:paraId="6D82CB2F">
            <w:pPr>
              <w:pStyle w:val="6"/>
              <w:spacing w:before="33" w:line="220" w:lineRule="auto"/>
              <w:ind w:left="365"/>
              <w:rPr>
                <w:sz w:val="20"/>
                <w:szCs w:val="20"/>
              </w:rPr>
            </w:pPr>
            <w:r>
              <w:rPr>
                <w:spacing w:val="1"/>
                <w:sz w:val="20"/>
                <w:szCs w:val="20"/>
              </w:rPr>
              <w:t>项目名称或</w:t>
            </w:r>
          </w:p>
          <w:p w14:paraId="6D685067">
            <w:pPr>
              <w:pStyle w:val="6"/>
              <w:spacing w:before="21" w:line="220" w:lineRule="auto"/>
              <w:ind w:left="165"/>
              <w:rPr>
                <w:sz w:val="20"/>
                <w:szCs w:val="20"/>
              </w:rPr>
            </w:pPr>
            <w:r>
              <w:rPr>
                <w:spacing w:val="-2"/>
                <w:sz w:val="20"/>
                <w:szCs w:val="20"/>
              </w:rPr>
              <w:t>单位工程名称或</w:t>
            </w:r>
          </w:p>
          <w:p w14:paraId="55FCE786">
            <w:pPr>
              <w:pStyle w:val="6"/>
              <w:spacing w:before="21" w:line="220" w:lineRule="auto"/>
              <w:ind w:left="165"/>
              <w:rPr>
                <w:sz w:val="20"/>
                <w:szCs w:val="20"/>
              </w:rPr>
            </w:pPr>
            <w:r>
              <w:rPr>
                <w:spacing w:val="-2"/>
                <w:sz w:val="20"/>
                <w:szCs w:val="20"/>
              </w:rPr>
              <w:t>单项工程名称或</w:t>
            </w:r>
          </w:p>
          <w:p w14:paraId="7C7AC1F7">
            <w:pPr>
              <w:pStyle w:val="6"/>
              <w:spacing w:before="1" w:line="219" w:lineRule="auto"/>
              <w:ind w:left="465"/>
              <w:rPr>
                <w:sz w:val="20"/>
                <w:szCs w:val="20"/>
              </w:rPr>
            </w:pPr>
            <w:r>
              <w:rPr>
                <w:spacing w:val="-2"/>
                <w:sz w:val="20"/>
                <w:szCs w:val="20"/>
              </w:rPr>
              <w:t>表格名称</w:t>
            </w:r>
          </w:p>
        </w:tc>
        <w:tc>
          <w:tcPr>
            <w:tcW w:w="1159" w:type="dxa"/>
            <w:vAlign w:val="top"/>
          </w:tcPr>
          <w:p w14:paraId="3FAB1F0D">
            <w:pPr>
              <w:pStyle w:val="6"/>
              <w:spacing w:before="19" w:line="219" w:lineRule="auto"/>
              <w:ind w:left="121"/>
              <w:rPr>
                <w:sz w:val="20"/>
                <w:szCs w:val="20"/>
              </w:rPr>
            </w:pPr>
            <w:r>
              <w:rPr>
                <w:spacing w:val="-2"/>
                <w:sz w:val="20"/>
                <w:szCs w:val="20"/>
              </w:rPr>
              <w:t>人工费+材</w:t>
            </w:r>
          </w:p>
          <w:p w14:paraId="6A4562F4">
            <w:pPr>
              <w:pStyle w:val="6"/>
              <w:spacing w:before="22" w:line="219" w:lineRule="auto"/>
              <w:ind w:left="121"/>
              <w:rPr>
                <w:sz w:val="20"/>
                <w:szCs w:val="20"/>
              </w:rPr>
            </w:pPr>
            <w:r>
              <w:rPr>
                <w:spacing w:val="-2"/>
                <w:sz w:val="20"/>
                <w:szCs w:val="20"/>
              </w:rPr>
              <w:t>料费+机械</w:t>
            </w:r>
          </w:p>
          <w:p w14:paraId="3DDC823A">
            <w:pPr>
              <w:pStyle w:val="6"/>
              <w:spacing w:before="4" w:line="219" w:lineRule="auto"/>
              <w:ind w:left="121"/>
              <w:rPr>
                <w:sz w:val="20"/>
                <w:szCs w:val="20"/>
              </w:rPr>
            </w:pPr>
            <w:r>
              <w:rPr>
                <w:spacing w:val="2"/>
                <w:sz w:val="20"/>
                <w:szCs w:val="20"/>
              </w:rPr>
              <w:t>费+管理费</w:t>
            </w:r>
          </w:p>
          <w:p w14:paraId="0517D86D">
            <w:pPr>
              <w:pStyle w:val="6"/>
              <w:spacing w:before="32" w:line="219" w:lineRule="auto"/>
              <w:ind w:left="121"/>
              <w:rPr>
                <w:sz w:val="20"/>
                <w:szCs w:val="20"/>
              </w:rPr>
            </w:pPr>
            <w:r>
              <w:rPr>
                <w:spacing w:val="-2"/>
                <w:sz w:val="20"/>
                <w:szCs w:val="20"/>
              </w:rPr>
              <w:t>+利润不等</w:t>
            </w:r>
          </w:p>
          <w:p w14:paraId="3789ECF3">
            <w:pPr>
              <w:pStyle w:val="6"/>
              <w:spacing w:before="33" w:line="220" w:lineRule="auto"/>
              <w:ind w:left="172"/>
              <w:rPr>
                <w:sz w:val="20"/>
                <w:szCs w:val="20"/>
              </w:rPr>
            </w:pPr>
            <w:r>
              <w:rPr>
                <w:spacing w:val="-3"/>
                <w:sz w:val="20"/>
                <w:szCs w:val="20"/>
              </w:rPr>
              <w:t>于综合单</w:t>
            </w:r>
          </w:p>
          <w:p w14:paraId="2E846A33">
            <w:pPr>
              <w:pStyle w:val="6"/>
              <w:spacing w:before="19" w:line="212" w:lineRule="auto"/>
              <w:ind w:left="472"/>
              <w:rPr>
                <w:sz w:val="20"/>
                <w:szCs w:val="20"/>
              </w:rPr>
            </w:pPr>
            <w:r>
              <w:rPr>
                <w:sz w:val="20"/>
                <w:szCs w:val="20"/>
              </w:rPr>
              <w:t>价</w:t>
            </w:r>
          </w:p>
        </w:tc>
        <w:tc>
          <w:tcPr>
            <w:tcW w:w="1168" w:type="dxa"/>
            <w:gridSpan w:val="2"/>
            <w:vAlign w:val="top"/>
          </w:tcPr>
          <w:p w14:paraId="3753DED8">
            <w:pPr>
              <w:spacing w:line="352" w:lineRule="auto"/>
              <w:rPr>
                <w:rFonts w:ascii="Arial"/>
                <w:sz w:val="21"/>
              </w:rPr>
            </w:pPr>
          </w:p>
          <w:p w14:paraId="4D72435D">
            <w:pPr>
              <w:pStyle w:val="6"/>
              <w:spacing w:before="65" w:line="236" w:lineRule="auto"/>
              <w:ind w:left="173" w:right="173"/>
              <w:jc w:val="both"/>
              <w:rPr>
                <w:sz w:val="20"/>
                <w:szCs w:val="20"/>
              </w:rPr>
            </w:pPr>
            <w:r>
              <w:rPr>
                <w:spacing w:val="-3"/>
                <w:sz w:val="20"/>
                <w:szCs w:val="20"/>
              </w:rPr>
              <w:t>综合单价</w:t>
            </w:r>
            <w:r>
              <w:rPr>
                <w:sz w:val="20"/>
                <w:szCs w:val="20"/>
              </w:rPr>
              <w:t xml:space="preserve"> </w:t>
            </w:r>
            <w:r>
              <w:rPr>
                <w:spacing w:val="2"/>
                <w:sz w:val="20"/>
                <w:szCs w:val="20"/>
              </w:rPr>
              <w:t>×数量不</w:t>
            </w:r>
            <w:r>
              <w:rPr>
                <w:spacing w:val="1"/>
                <w:sz w:val="20"/>
                <w:szCs w:val="20"/>
              </w:rPr>
              <w:t xml:space="preserve"> </w:t>
            </w:r>
            <w:r>
              <w:rPr>
                <w:spacing w:val="-2"/>
                <w:sz w:val="20"/>
                <w:szCs w:val="20"/>
              </w:rPr>
              <w:t>等于总价</w:t>
            </w:r>
          </w:p>
        </w:tc>
        <w:tc>
          <w:tcPr>
            <w:tcW w:w="1179" w:type="dxa"/>
            <w:vAlign w:val="top"/>
          </w:tcPr>
          <w:p w14:paraId="054D1D25">
            <w:pPr>
              <w:pStyle w:val="6"/>
              <w:spacing w:before="160" w:line="220" w:lineRule="auto"/>
              <w:ind w:left="185"/>
              <w:rPr>
                <w:sz w:val="20"/>
                <w:szCs w:val="20"/>
              </w:rPr>
            </w:pPr>
            <w:r>
              <w:rPr>
                <w:spacing w:val="6"/>
                <w:sz w:val="20"/>
                <w:szCs w:val="20"/>
              </w:rPr>
              <w:t>各项费用</w:t>
            </w:r>
          </w:p>
          <w:p w14:paraId="6039F4AD">
            <w:pPr>
              <w:pStyle w:val="6"/>
              <w:spacing w:before="21" w:line="220" w:lineRule="auto"/>
              <w:ind w:left="185"/>
              <w:rPr>
                <w:sz w:val="20"/>
                <w:szCs w:val="20"/>
              </w:rPr>
            </w:pPr>
            <w:r>
              <w:rPr>
                <w:spacing w:val="4"/>
                <w:sz w:val="20"/>
                <w:szCs w:val="20"/>
              </w:rPr>
              <w:t>分项之和</w:t>
            </w:r>
          </w:p>
          <w:p w14:paraId="3738CD5A">
            <w:pPr>
              <w:pStyle w:val="6"/>
              <w:spacing w:before="11" w:line="219" w:lineRule="auto"/>
              <w:ind w:left="185"/>
              <w:rPr>
                <w:sz w:val="20"/>
                <w:szCs w:val="20"/>
              </w:rPr>
            </w:pPr>
            <w:r>
              <w:rPr>
                <w:spacing w:val="2"/>
                <w:sz w:val="20"/>
                <w:szCs w:val="20"/>
              </w:rPr>
              <w:t>不等于各</w:t>
            </w:r>
          </w:p>
          <w:p w14:paraId="6CF61099">
            <w:pPr>
              <w:pStyle w:val="6"/>
              <w:spacing w:before="23" w:line="230" w:lineRule="auto"/>
              <w:ind w:left="484" w:right="166" w:hanging="299"/>
              <w:rPr>
                <w:sz w:val="20"/>
                <w:szCs w:val="20"/>
              </w:rPr>
            </w:pPr>
            <w:r>
              <w:rPr>
                <w:spacing w:val="4"/>
                <w:sz w:val="20"/>
                <w:szCs w:val="20"/>
              </w:rPr>
              <w:t>项费用总</w:t>
            </w:r>
            <w:r>
              <w:rPr>
                <w:sz w:val="20"/>
                <w:szCs w:val="20"/>
              </w:rPr>
              <w:t xml:space="preserve"> 价</w:t>
            </w:r>
          </w:p>
        </w:tc>
        <w:tc>
          <w:tcPr>
            <w:tcW w:w="1159" w:type="dxa"/>
            <w:vAlign w:val="top"/>
          </w:tcPr>
          <w:p w14:paraId="32175F0B">
            <w:pPr>
              <w:pStyle w:val="6"/>
              <w:spacing w:before="290" w:line="220" w:lineRule="auto"/>
              <w:ind w:left="176"/>
              <w:rPr>
                <w:sz w:val="20"/>
                <w:szCs w:val="20"/>
              </w:rPr>
            </w:pPr>
            <w:r>
              <w:rPr>
                <w:spacing w:val="-2"/>
                <w:sz w:val="20"/>
                <w:szCs w:val="20"/>
              </w:rPr>
              <w:t>单位工程</w:t>
            </w:r>
          </w:p>
          <w:p w14:paraId="46852A03">
            <w:pPr>
              <w:pStyle w:val="6"/>
              <w:spacing w:before="1" w:line="220" w:lineRule="auto"/>
              <w:ind w:left="176"/>
              <w:rPr>
                <w:sz w:val="20"/>
                <w:szCs w:val="20"/>
              </w:rPr>
            </w:pPr>
            <w:r>
              <w:rPr>
                <w:spacing w:val="6"/>
                <w:sz w:val="20"/>
                <w:szCs w:val="20"/>
              </w:rPr>
              <w:t>各项费用</w:t>
            </w:r>
          </w:p>
          <w:p w14:paraId="38F2A0FD">
            <w:pPr>
              <w:pStyle w:val="6"/>
              <w:spacing w:before="21" w:line="219" w:lineRule="auto"/>
              <w:ind w:left="176"/>
              <w:rPr>
                <w:sz w:val="20"/>
                <w:szCs w:val="20"/>
              </w:rPr>
            </w:pPr>
            <w:r>
              <w:rPr>
                <w:spacing w:val="-2"/>
                <w:sz w:val="20"/>
                <w:szCs w:val="20"/>
              </w:rPr>
              <w:t>之和不等</w:t>
            </w:r>
          </w:p>
          <w:p w14:paraId="7553AA47">
            <w:pPr>
              <w:pStyle w:val="6"/>
              <w:spacing w:before="30" w:line="218" w:lineRule="auto"/>
              <w:ind w:left="276"/>
              <w:rPr>
                <w:sz w:val="20"/>
                <w:szCs w:val="20"/>
              </w:rPr>
            </w:pPr>
            <w:r>
              <w:rPr>
                <w:spacing w:val="-3"/>
                <w:sz w:val="20"/>
                <w:szCs w:val="20"/>
              </w:rPr>
              <w:t>于总价</w:t>
            </w:r>
          </w:p>
        </w:tc>
        <w:tc>
          <w:tcPr>
            <w:tcW w:w="1168" w:type="dxa"/>
            <w:vAlign w:val="top"/>
          </w:tcPr>
          <w:p w14:paraId="19269630">
            <w:pPr>
              <w:pStyle w:val="6"/>
              <w:spacing w:before="160" w:line="220" w:lineRule="auto"/>
              <w:ind w:left="177"/>
              <w:rPr>
                <w:sz w:val="20"/>
                <w:szCs w:val="20"/>
              </w:rPr>
            </w:pPr>
            <w:r>
              <w:rPr>
                <w:spacing w:val="-2"/>
                <w:sz w:val="20"/>
                <w:szCs w:val="20"/>
              </w:rPr>
              <w:t>单位工程</w:t>
            </w:r>
          </w:p>
          <w:p w14:paraId="03281C9C">
            <w:pPr>
              <w:pStyle w:val="6"/>
              <w:spacing w:before="29" w:line="218" w:lineRule="auto"/>
              <w:ind w:left="177"/>
              <w:rPr>
                <w:sz w:val="20"/>
                <w:szCs w:val="20"/>
              </w:rPr>
            </w:pPr>
            <w:r>
              <w:rPr>
                <w:spacing w:val="4"/>
                <w:sz w:val="20"/>
                <w:szCs w:val="20"/>
              </w:rPr>
              <w:t>总价之和</w:t>
            </w:r>
          </w:p>
          <w:p w14:paraId="23A30E92">
            <w:pPr>
              <w:pStyle w:val="6"/>
              <w:spacing w:before="25" w:line="219" w:lineRule="auto"/>
              <w:ind w:left="177"/>
              <w:rPr>
                <w:sz w:val="20"/>
                <w:szCs w:val="20"/>
              </w:rPr>
            </w:pPr>
            <w:r>
              <w:rPr>
                <w:spacing w:val="-3"/>
                <w:sz w:val="20"/>
                <w:szCs w:val="20"/>
              </w:rPr>
              <w:t>不等于单</w:t>
            </w:r>
          </w:p>
          <w:p w14:paraId="0DC65F2C">
            <w:pPr>
              <w:pStyle w:val="6"/>
              <w:spacing w:before="3" w:line="220" w:lineRule="auto"/>
              <w:ind w:left="177"/>
              <w:rPr>
                <w:sz w:val="20"/>
                <w:szCs w:val="20"/>
              </w:rPr>
            </w:pPr>
            <w:r>
              <w:rPr>
                <w:spacing w:val="4"/>
                <w:sz w:val="20"/>
                <w:szCs w:val="20"/>
              </w:rPr>
              <w:t>项工程总</w:t>
            </w:r>
          </w:p>
          <w:p w14:paraId="0E1E0CBE">
            <w:pPr>
              <w:pStyle w:val="6"/>
              <w:spacing w:before="9" w:line="218" w:lineRule="auto"/>
              <w:ind w:left="477"/>
              <w:rPr>
                <w:sz w:val="20"/>
                <w:szCs w:val="20"/>
              </w:rPr>
            </w:pPr>
            <w:r>
              <w:rPr>
                <w:sz w:val="20"/>
                <w:szCs w:val="20"/>
              </w:rPr>
              <w:t>价</w:t>
            </w:r>
          </w:p>
        </w:tc>
        <w:tc>
          <w:tcPr>
            <w:tcW w:w="1174" w:type="dxa"/>
            <w:vAlign w:val="top"/>
          </w:tcPr>
          <w:p w14:paraId="74E0FA1E">
            <w:pPr>
              <w:pStyle w:val="6"/>
              <w:spacing w:before="160" w:line="220" w:lineRule="auto"/>
              <w:ind w:left="179"/>
              <w:rPr>
                <w:sz w:val="20"/>
                <w:szCs w:val="20"/>
              </w:rPr>
            </w:pPr>
            <w:r>
              <w:rPr>
                <w:spacing w:val="-2"/>
                <w:sz w:val="20"/>
                <w:szCs w:val="20"/>
              </w:rPr>
              <w:t>单项工程</w:t>
            </w:r>
          </w:p>
          <w:p w14:paraId="4FACA394">
            <w:pPr>
              <w:pStyle w:val="6"/>
              <w:spacing w:before="29" w:line="218" w:lineRule="auto"/>
              <w:ind w:left="179"/>
              <w:rPr>
                <w:sz w:val="20"/>
                <w:szCs w:val="20"/>
              </w:rPr>
            </w:pPr>
            <w:r>
              <w:rPr>
                <w:spacing w:val="4"/>
                <w:sz w:val="20"/>
                <w:szCs w:val="20"/>
              </w:rPr>
              <w:t>总价之和</w:t>
            </w:r>
          </w:p>
          <w:p w14:paraId="0CF21952">
            <w:pPr>
              <w:pStyle w:val="6"/>
              <w:spacing w:before="5" w:line="219" w:lineRule="auto"/>
              <w:ind w:left="179"/>
              <w:rPr>
                <w:sz w:val="20"/>
                <w:szCs w:val="20"/>
              </w:rPr>
            </w:pPr>
            <w:r>
              <w:rPr>
                <w:spacing w:val="-3"/>
                <w:sz w:val="20"/>
                <w:szCs w:val="20"/>
              </w:rPr>
              <w:t>不等于建</w:t>
            </w:r>
          </w:p>
          <w:p w14:paraId="33E3E0DD">
            <w:pPr>
              <w:pStyle w:val="6"/>
              <w:spacing w:before="23" w:line="220" w:lineRule="auto"/>
              <w:ind w:left="179"/>
              <w:rPr>
                <w:sz w:val="20"/>
                <w:szCs w:val="20"/>
              </w:rPr>
            </w:pPr>
            <w:r>
              <w:rPr>
                <w:spacing w:val="4"/>
                <w:sz w:val="20"/>
                <w:szCs w:val="20"/>
              </w:rPr>
              <w:t>设项目总</w:t>
            </w:r>
          </w:p>
          <w:p w14:paraId="03D12C13">
            <w:pPr>
              <w:pStyle w:val="6"/>
              <w:spacing w:before="9" w:line="218" w:lineRule="auto"/>
              <w:ind w:left="479"/>
              <w:rPr>
                <w:sz w:val="20"/>
                <w:szCs w:val="20"/>
              </w:rPr>
            </w:pPr>
            <w:r>
              <w:rPr>
                <w:sz w:val="20"/>
                <w:szCs w:val="20"/>
              </w:rPr>
              <w:t>价</w:t>
            </w:r>
          </w:p>
        </w:tc>
      </w:tr>
      <w:tr w14:paraId="402A17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trPr>
        <w:tc>
          <w:tcPr>
            <w:tcW w:w="1743" w:type="dxa"/>
            <w:vAlign w:val="top"/>
          </w:tcPr>
          <w:p w14:paraId="74ECE0FD">
            <w:pPr>
              <w:rPr>
                <w:rFonts w:ascii="Arial"/>
                <w:sz w:val="21"/>
              </w:rPr>
            </w:pPr>
          </w:p>
        </w:tc>
        <w:tc>
          <w:tcPr>
            <w:tcW w:w="1159" w:type="dxa"/>
            <w:vAlign w:val="top"/>
          </w:tcPr>
          <w:p w14:paraId="139308DF">
            <w:pPr>
              <w:rPr>
                <w:rFonts w:ascii="Arial"/>
                <w:sz w:val="21"/>
              </w:rPr>
            </w:pPr>
          </w:p>
        </w:tc>
        <w:tc>
          <w:tcPr>
            <w:tcW w:w="1168" w:type="dxa"/>
            <w:gridSpan w:val="2"/>
            <w:vAlign w:val="top"/>
          </w:tcPr>
          <w:p w14:paraId="16289496">
            <w:pPr>
              <w:rPr>
                <w:rFonts w:ascii="Arial"/>
                <w:sz w:val="21"/>
              </w:rPr>
            </w:pPr>
          </w:p>
        </w:tc>
        <w:tc>
          <w:tcPr>
            <w:tcW w:w="1179" w:type="dxa"/>
            <w:vAlign w:val="top"/>
          </w:tcPr>
          <w:p w14:paraId="7DC5FFB1">
            <w:pPr>
              <w:rPr>
                <w:rFonts w:ascii="Arial"/>
                <w:sz w:val="21"/>
              </w:rPr>
            </w:pPr>
          </w:p>
        </w:tc>
        <w:tc>
          <w:tcPr>
            <w:tcW w:w="1159" w:type="dxa"/>
            <w:vAlign w:val="top"/>
          </w:tcPr>
          <w:p w14:paraId="5D312BC2">
            <w:pPr>
              <w:rPr>
                <w:rFonts w:ascii="Arial"/>
                <w:sz w:val="21"/>
              </w:rPr>
            </w:pPr>
          </w:p>
        </w:tc>
        <w:tc>
          <w:tcPr>
            <w:tcW w:w="1168" w:type="dxa"/>
            <w:vAlign w:val="top"/>
          </w:tcPr>
          <w:p w14:paraId="3594E2E8">
            <w:pPr>
              <w:rPr>
                <w:rFonts w:ascii="Arial"/>
                <w:sz w:val="21"/>
              </w:rPr>
            </w:pPr>
          </w:p>
        </w:tc>
        <w:tc>
          <w:tcPr>
            <w:tcW w:w="1174" w:type="dxa"/>
            <w:vAlign w:val="top"/>
          </w:tcPr>
          <w:p w14:paraId="579F4E19">
            <w:pPr>
              <w:rPr>
                <w:rFonts w:ascii="Arial"/>
                <w:sz w:val="21"/>
              </w:rPr>
            </w:pPr>
          </w:p>
        </w:tc>
      </w:tr>
      <w:tr w14:paraId="36C017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1743" w:type="dxa"/>
            <w:vAlign w:val="top"/>
          </w:tcPr>
          <w:p w14:paraId="174C965E">
            <w:pPr>
              <w:rPr>
                <w:rFonts w:ascii="Arial"/>
                <w:sz w:val="21"/>
              </w:rPr>
            </w:pPr>
          </w:p>
        </w:tc>
        <w:tc>
          <w:tcPr>
            <w:tcW w:w="1159" w:type="dxa"/>
            <w:vAlign w:val="top"/>
          </w:tcPr>
          <w:p w14:paraId="00251532">
            <w:pPr>
              <w:rPr>
                <w:rFonts w:ascii="Arial"/>
                <w:sz w:val="21"/>
              </w:rPr>
            </w:pPr>
          </w:p>
        </w:tc>
        <w:tc>
          <w:tcPr>
            <w:tcW w:w="1168" w:type="dxa"/>
            <w:gridSpan w:val="2"/>
            <w:vAlign w:val="top"/>
          </w:tcPr>
          <w:p w14:paraId="0C0AF4CB">
            <w:pPr>
              <w:rPr>
                <w:rFonts w:ascii="Arial"/>
                <w:sz w:val="21"/>
              </w:rPr>
            </w:pPr>
          </w:p>
        </w:tc>
        <w:tc>
          <w:tcPr>
            <w:tcW w:w="1179" w:type="dxa"/>
            <w:vAlign w:val="top"/>
          </w:tcPr>
          <w:p w14:paraId="13337570">
            <w:pPr>
              <w:rPr>
                <w:rFonts w:ascii="Arial"/>
                <w:sz w:val="21"/>
              </w:rPr>
            </w:pPr>
          </w:p>
        </w:tc>
        <w:tc>
          <w:tcPr>
            <w:tcW w:w="1159" w:type="dxa"/>
            <w:vAlign w:val="top"/>
          </w:tcPr>
          <w:p w14:paraId="2D3E56FC">
            <w:pPr>
              <w:rPr>
                <w:rFonts w:ascii="Arial"/>
                <w:sz w:val="21"/>
              </w:rPr>
            </w:pPr>
          </w:p>
        </w:tc>
        <w:tc>
          <w:tcPr>
            <w:tcW w:w="1168" w:type="dxa"/>
            <w:vAlign w:val="top"/>
          </w:tcPr>
          <w:p w14:paraId="71913DBB">
            <w:pPr>
              <w:rPr>
                <w:rFonts w:ascii="Arial"/>
                <w:sz w:val="21"/>
              </w:rPr>
            </w:pPr>
          </w:p>
        </w:tc>
        <w:tc>
          <w:tcPr>
            <w:tcW w:w="1174" w:type="dxa"/>
            <w:vAlign w:val="top"/>
          </w:tcPr>
          <w:p w14:paraId="3183484D">
            <w:pPr>
              <w:rPr>
                <w:rFonts w:ascii="Arial"/>
                <w:sz w:val="21"/>
              </w:rPr>
            </w:pPr>
          </w:p>
        </w:tc>
      </w:tr>
      <w:tr w14:paraId="38176B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trPr>
        <w:tc>
          <w:tcPr>
            <w:tcW w:w="1743" w:type="dxa"/>
            <w:vAlign w:val="top"/>
          </w:tcPr>
          <w:p w14:paraId="705CDDB4">
            <w:pPr>
              <w:rPr>
                <w:rFonts w:ascii="Arial"/>
                <w:sz w:val="21"/>
              </w:rPr>
            </w:pPr>
          </w:p>
        </w:tc>
        <w:tc>
          <w:tcPr>
            <w:tcW w:w="1159" w:type="dxa"/>
            <w:vAlign w:val="top"/>
          </w:tcPr>
          <w:p w14:paraId="091D205B">
            <w:pPr>
              <w:rPr>
                <w:rFonts w:ascii="Arial"/>
                <w:sz w:val="21"/>
              </w:rPr>
            </w:pPr>
          </w:p>
        </w:tc>
        <w:tc>
          <w:tcPr>
            <w:tcW w:w="1168" w:type="dxa"/>
            <w:gridSpan w:val="2"/>
            <w:vAlign w:val="top"/>
          </w:tcPr>
          <w:p w14:paraId="5F0FD847">
            <w:pPr>
              <w:rPr>
                <w:rFonts w:ascii="Arial"/>
                <w:sz w:val="21"/>
              </w:rPr>
            </w:pPr>
          </w:p>
        </w:tc>
        <w:tc>
          <w:tcPr>
            <w:tcW w:w="1179" w:type="dxa"/>
            <w:vAlign w:val="top"/>
          </w:tcPr>
          <w:p w14:paraId="3C6EFCE9">
            <w:pPr>
              <w:rPr>
                <w:rFonts w:ascii="Arial"/>
                <w:sz w:val="21"/>
              </w:rPr>
            </w:pPr>
          </w:p>
        </w:tc>
        <w:tc>
          <w:tcPr>
            <w:tcW w:w="1159" w:type="dxa"/>
            <w:vAlign w:val="top"/>
          </w:tcPr>
          <w:p w14:paraId="3597C030">
            <w:pPr>
              <w:rPr>
                <w:rFonts w:ascii="Arial"/>
                <w:sz w:val="21"/>
              </w:rPr>
            </w:pPr>
          </w:p>
        </w:tc>
        <w:tc>
          <w:tcPr>
            <w:tcW w:w="1168" w:type="dxa"/>
            <w:vAlign w:val="top"/>
          </w:tcPr>
          <w:p w14:paraId="75F9E65E">
            <w:pPr>
              <w:rPr>
                <w:rFonts w:ascii="Arial"/>
                <w:sz w:val="21"/>
              </w:rPr>
            </w:pPr>
          </w:p>
        </w:tc>
        <w:tc>
          <w:tcPr>
            <w:tcW w:w="1174" w:type="dxa"/>
            <w:vAlign w:val="top"/>
          </w:tcPr>
          <w:p w14:paraId="46267A1B">
            <w:pPr>
              <w:rPr>
                <w:rFonts w:ascii="Arial"/>
                <w:sz w:val="21"/>
              </w:rPr>
            </w:pPr>
          </w:p>
        </w:tc>
      </w:tr>
      <w:tr w14:paraId="590EC5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1743" w:type="dxa"/>
            <w:vAlign w:val="top"/>
          </w:tcPr>
          <w:p w14:paraId="2D4BA04D">
            <w:pPr>
              <w:rPr>
                <w:rFonts w:ascii="Arial"/>
                <w:sz w:val="21"/>
              </w:rPr>
            </w:pPr>
          </w:p>
        </w:tc>
        <w:tc>
          <w:tcPr>
            <w:tcW w:w="1159" w:type="dxa"/>
            <w:vAlign w:val="top"/>
          </w:tcPr>
          <w:p w14:paraId="671A7052">
            <w:pPr>
              <w:rPr>
                <w:rFonts w:ascii="Arial"/>
                <w:sz w:val="21"/>
              </w:rPr>
            </w:pPr>
          </w:p>
        </w:tc>
        <w:tc>
          <w:tcPr>
            <w:tcW w:w="1168" w:type="dxa"/>
            <w:gridSpan w:val="2"/>
            <w:vAlign w:val="top"/>
          </w:tcPr>
          <w:p w14:paraId="103C21AA">
            <w:pPr>
              <w:rPr>
                <w:rFonts w:ascii="Arial"/>
                <w:sz w:val="21"/>
              </w:rPr>
            </w:pPr>
          </w:p>
        </w:tc>
        <w:tc>
          <w:tcPr>
            <w:tcW w:w="1179" w:type="dxa"/>
            <w:vAlign w:val="top"/>
          </w:tcPr>
          <w:p w14:paraId="3D653A07">
            <w:pPr>
              <w:rPr>
                <w:rFonts w:ascii="Arial"/>
                <w:sz w:val="21"/>
              </w:rPr>
            </w:pPr>
          </w:p>
        </w:tc>
        <w:tc>
          <w:tcPr>
            <w:tcW w:w="1159" w:type="dxa"/>
            <w:vAlign w:val="top"/>
          </w:tcPr>
          <w:p w14:paraId="1767347E">
            <w:pPr>
              <w:rPr>
                <w:rFonts w:ascii="Arial"/>
                <w:sz w:val="21"/>
              </w:rPr>
            </w:pPr>
          </w:p>
        </w:tc>
        <w:tc>
          <w:tcPr>
            <w:tcW w:w="1168" w:type="dxa"/>
            <w:vAlign w:val="top"/>
          </w:tcPr>
          <w:p w14:paraId="1250F5D7">
            <w:pPr>
              <w:rPr>
                <w:rFonts w:ascii="Arial"/>
                <w:sz w:val="21"/>
              </w:rPr>
            </w:pPr>
          </w:p>
        </w:tc>
        <w:tc>
          <w:tcPr>
            <w:tcW w:w="1174" w:type="dxa"/>
            <w:vAlign w:val="top"/>
          </w:tcPr>
          <w:p w14:paraId="3950469A">
            <w:pPr>
              <w:rPr>
                <w:rFonts w:ascii="Arial"/>
                <w:sz w:val="21"/>
              </w:rPr>
            </w:pPr>
          </w:p>
        </w:tc>
      </w:tr>
      <w:tr w14:paraId="3FBBA1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trPr>
        <w:tc>
          <w:tcPr>
            <w:tcW w:w="1743" w:type="dxa"/>
            <w:vAlign w:val="top"/>
          </w:tcPr>
          <w:p w14:paraId="4346335B">
            <w:pPr>
              <w:rPr>
                <w:rFonts w:ascii="Arial"/>
                <w:sz w:val="21"/>
              </w:rPr>
            </w:pPr>
          </w:p>
        </w:tc>
        <w:tc>
          <w:tcPr>
            <w:tcW w:w="1159" w:type="dxa"/>
            <w:vAlign w:val="top"/>
          </w:tcPr>
          <w:p w14:paraId="1385C705">
            <w:pPr>
              <w:rPr>
                <w:rFonts w:ascii="Arial"/>
                <w:sz w:val="21"/>
              </w:rPr>
            </w:pPr>
          </w:p>
        </w:tc>
        <w:tc>
          <w:tcPr>
            <w:tcW w:w="1168" w:type="dxa"/>
            <w:gridSpan w:val="2"/>
            <w:vAlign w:val="top"/>
          </w:tcPr>
          <w:p w14:paraId="0852D592">
            <w:pPr>
              <w:rPr>
                <w:rFonts w:ascii="Arial"/>
                <w:sz w:val="21"/>
              </w:rPr>
            </w:pPr>
          </w:p>
        </w:tc>
        <w:tc>
          <w:tcPr>
            <w:tcW w:w="1179" w:type="dxa"/>
            <w:vAlign w:val="top"/>
          </w:tcPr>
          <w:p w14:paraId="57DA4B13">
            <w:pPr>
              <w:rPr>
                <w:rFonts w:ascii="Arial"/>
                <w:sz w:val="21"/>
              </w:rPr>
            </w:pPr>
          </w:p>
        </w:tc>
        <w:tc>
          <w:tcPr>
            <w:tcW w:w="1159" w:type="dxa"/>
            <w:vAlign w:val="top"/>
          </w:tcPr>
          <w:p w14:paraId="6AB55461">
            <w:pPr>
              <w:rPr>
                <w:rFonts w:ascii="Arial"/>
                <w:sz w:val="21"/>
              </w:rPr>
            </w:pPr>
          </w:p>
        </w:tc>
        <w:tc>
          <w:tcPr>
            <w:tcW w:w="1168" w:type="dxa"/>
            <w:vAlign w:val="top"/>
          </w:tcPr>
          <w:p w14:paraId="21A868EE">
            <w:pPr>
              <w:rPr>
                <w:rFonts w:ascii="Arial"/>
                <w:sz w:val="21"/>
              </w:rPr>
            </w:pPr>
          </w:p>
        </w:tc>
        <w:tc>
          <w:tcPr>
            <w:tcW w:w="1174" w:type="dxa"/>
            <w:vAlign w:val="top"/>
          </w:tcPr>
          <w:p w14:paraId="346D11AB">
            <w:pPr>
              <w:rPr>
                <w:rFonts w:ascii="Arial"/>
                <w:sz w:val="21"/>
              </w:rPr>
            </w:pPr>
          </w:p>
        </w:tc>
      </w:tr>
      <w:tr w14:paraId="1E3594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4" w:hRule="atLeast"/>
        </w:trPr>
        <w:tc>
          <w:tcPr>
            <w:tcW w:w="1743" w:type="dxa"/>
            <w:vAlign w:val="top"/>
          </w:tcPr>
          <w:p w14:paraId="6A5BFA1C">
            <w:pPr>
              <w:rPr>
                <w:rFonts w:ascii="Arial"/>
                <w:sz w:val="21"/>
              </w:rPr>
            </w:pPr>
          </w:p>
        </w:tc>
        <w:tc>
          <w:tcPr>
            <w:tcW w:w="1159" w:type="dxa"/>
            <w:vAlign w:val="top"/>
          </w:tcPr>
          <w:p w14:paraId="27EF4BA9">
            <w:pPr>
              <w:rPr>
                <w:rFonts w:ascii="Arial"/>
                <w:sz w:val="21"/>
              </w:rPr>
            </w:pPr>
          </w:p>
        </w:tc>
        <w:tc>
          <w:tcPr>
            <w:tcW w:w="1168" w:type="dxa"/>
            <w:gridSpan w:val="2"/>
            <w:vAlign w:val="top"/>
          </w:tcPr>
          <w:p w14:paraId="0946A56E">
            <w:pPr>
              <w:rPr>
                <w:rFonts w:ascii="Arial"/>
                <w:sz w:val="21"/>
              </w:rPr>
            </w:pPr>
          </w:p>
        </w:tc>
        <w:tc>
          <w:tcPr>
            <w:tcW w:w="1179" w:type="dxa"/>
            <w:vAlign w:val="top"/>
          </w:tcPr>
          <w:p w14:paraId="13DBD79E">
            <w:pPr>
              <w:rPr>
                <w:rFonts w:ascii="Arial"/>
                <w:sz w:val="21"/>
              </w:rPr>
            </w:pPr>
          </w:p>
        </w:tc>
        <w:tc>
          <w:tcPr>
            <w:tcW w:w="1159" w:type="dxa"/>
            <w:vAlign w:val="top"/>
          </w:tcPr>
          <w:p w14:paraId="0C8001EE">
            <w:pPr>
              <w:rPr>
                <w:rFonts w:ascii="Arial"/>
                <w:sz w:val="21"/>
              </w:rPr>
            </w:pPr>
          </w:p>
        </w:tc>
        <w:tc>
          <w:tcPr>
            <w:tcW w:w="1168" w:type="dxa"/>
            <w:vAlign w:val="top"/>
          </w:tcPr>
          <w:p w14:paraId="30579077">
            <w:pPr>
              <w:rPr>
                <w:rFonts w:ascii="Arial"/>
                <w:sz w:val="21"/>
              </w:rPr>
            </w:pPr>
          </w:p>
        </w:tc>
        <w:tc>
          <w:tcPr>
            <w:tcW w:w="1174" w:type="dxa"/>
            <w:vAlign w:val="top"/>
          </w:tcPr>
          <w:p w14:paraId="3E7E7F5B">
            <w:pPr>
              <w:rPr>
                <w:rFonts w:ascii="Arial"/>
                <w:sz w:val="21"/>
              </w:rPr>
            </w:pPr>
          </w:p>
        </w:tc>
      </w:tr>
    </w:tbl>
    <w:p w14:paraId="1A315EA9">
      <w:pPr>
        <w:spacing w:line="267" w:lineRule="auto"/>
        <w:rPr>
          <w:rFonts w:ascii="Arial"/>
          <w:sz w:val="21"/>
        </w:rPr>
      </w:pPr>
    </w:p>
    <w:p w14:paraId="4D6E23DF">
      <w:pPr>
        <w:spacing w:line="268" w:lineRule="auto"/>
        <w:rPr>
          <w:rFonts w:ascii="Arial"/>
          <w:sz w:val="21"/>
        </w:rPr>
      </w:pPr>
    </w:p>
    <w:p w14:paraId="124100C9">
      <w:pPr>
        <w:pStyle w:val="2"/>
        <w:spacing w:before="65" w:line="227" w:lineRule="auto"/>
        <w:rPr>
          <w:sz w:val="20"/>
          <w:szCs w:val="20"/>
        </w:rPr>
      </w:pPr>
      <w:r>
        <w:rPr>
          <w:sz w:val="20"/>
          <w:szCs w:val="20"/>
        </w:rPr>
        <w:t xml:space="preserve">评标委员会成员签名：                                        </w:t>
      </w:r>
      <w:r>
        <w:rPr>
          <w:position w:val="1"/>
          <w:sz w:val="20"/>
          <w:szCs w:val="20"/>
        </w:rPr>
        <w:t>日期</w:t>
      </w:r>
      <w:r>
        <w:rPr>
          <w:spacing w:val="-1"/>
          <w:position w:val="1"/>
          <w:sz w:val="20"/>
          <w:szCs w:val="20"/>
        </w:rPr>
        <w:t>：</w:t>
      </w:r>
      <w:r>
        <w:rPr>
          <w:spacing w:val="5"/>
          <w:position w:val="1"/>
          <w:sz w:val="20"/>
          <w:szCs w:val="20"/>
        </w:rPr>
        <w:t xml:space="preserve">    </w:t>
      </w:r>
      <w:r>
        <w:rPr>
          <w:spacing w:val="-1"/>
          <w:sz w:val="20"/>
          <w:szCs w:val="20"/>
        </w:rPr>
        <w:t>年</w:t>
      </w:r>
      <w:r>
        <w:rPr>
          <w:spacing w:val="7"/>
          <w:sz w:val="20"/>
          <w:szCs w:val="20"/>
        </w:rPr>
        <w:t xml:space="preserve">     </w:t>
      </w:r>
      <w:r>
        <w:rPr>
          <w:spacing w:val="-1"/>
          <w:sz w:val="20"/>
          <w:szCs w:val="20"/>
        </w:rPr>
        <w:t>月      日</w:t>
      </w:r>
    </w:p>
    <w:p w14:paraId="0486BED4">
      <w:pPr>
        <w:spacing w:line="263" w:lineRule="auto"/>
        <w:rPr>
          <w:rFonts w:ascii="Arial"/>
          <w:sz w:val="21"/>
        </w:rPr>
      </w:pPr>
    </w:p>
    <w:p w14:paraId="41F1B856">
      <w:pPr>
        <w:spacing w:line="264" w:lineRule="auto"/>
        <w:rPr>
          <w:rFonts w:ascii="Arial"/>
          <w:sz w:val="21"/>
        </w:rPr>
      </w:pPr>
    </w:p>
    <w:p w14:paraId="703D7356">
      <w:pPr>
        <w:spacing w:line="264" w:lineRule="auto"/>
        <w:rPr>
          <w:rFonts w:ascii="Arial"/>
          <w:sz w:val="21"/>
        </w:rPr>
      </w:pPr>
    </w:p>
    <w:p w14:paraId="624EA39C">
      <w:pPr>
        <w:pStyle w:val="2"/>
        <w:spacing w:before="65" w:line="263" w:lineRule="auto"/>
        <w:ind w:left="439" w:hanging="439"/>
        <w:rPr>
          <w:sz w:val="20"/>
          <w:szCs w:val="20"/>
        </w:rPr>
      </w:pPr>
      <w:r>
        <w:rPr>
          <w:spacing w:val="9"/>
          <w:sz w:val="20"/>
          <w:szCs w:val="20"/>
        </w:rPr>
        <w:t>注：“算术错误检查”是指按评标办法正文部分“算术错误修正原则”,对已标价的工程量清单相</w:t>
      </w:r>
      <w:r>
        <w:rPr>
          <w:spacing w:val="18"/>
          <w:sz w:val="20"/>
          <w:szCs w:val="20"/>
        </w:rPr>
        <w:t xml:space="preserve"> </w:t>
      </w:r>
      <w:r>
        <w:rPr>
          <w:spacing w:val="9"/>
          <w:sz w:val="20"/>
          <w:szCs w:val="20"/>
        </w:rPr>
        <w:t>应表格中可能存在的计算错误进行检查，并将检查结果记录在上述表格中。</w:t>
      </w:r>
    </w:p>
    <w:p w14:paraId="67BE9E9B">
      <w:pPr>
        <w:spacing w:line="263" w:lineRule="auto"/>
        <w:rPr>
          <w:sz w:val="20"/>
          <w:szCs w:val="20"/>
        </w:rPr>
        <w:sectPr>
          <w:footerReference r:id="rId102" w:type="default"/>
          <w:pgSz w:w="11910" w:h="16840"/>
          <w:pgMar w:top="400" w:right="1543" w:bottom="1024" w:left="1460" w:header="0" w:footer="889" w:gutter="0"/>
          <w:cols w:space="720" w:num="1"/>
        </w:sectPr>
      </w:pPr>
    </w:p>
    <w:p w14:paraId="58E1CE7F">
      <w:pPr>
        <w:spacing w:line="259" w:lineRule="auto"/>
        <w:rPr>
          <w:rFonts w:ascii="Arial"/>
          <w:sz w:val="21"/>
        </w:rPr>
      </w:pPr>
    </w:p>
    <w:p w14:paraId="158E16B0">
      <w:pPr>
        <w:spacing w:line="259" w:lineRule="auto"/>
        <w:rPr>
          <w:rFonts w:ascii="Arial"/>
          <w:sz w:val="21"/>
        </w:rPr>
      </w:pPr>
    </w:p>
    <w:p w14:paraId="3678E5D1">
      <w:pPr>
        <w:spacing w:line="259" w:lineRule="auto"/>
        <w:rPr>
          <w:rFonts w:ascii="Arial"/>
          <w:sz w:val="21"/>
        </w:rPr>
      </w:pPr>
    </w:p>
    <w:p w14:paraId="5A21DCD5">
      <w:pPr>
        <w:spacing w:line="259" w:lineRule="auto"/>
        <w:rPr>
          <w:rFonts w:ascii="Arial"/>
          <w:sz w:val="21"/>
        </w:rPr>
      </w:pPr>
    </w:p>
    <w:p w14:paraId="5A660529">
      <w:pPr>
        <w:spacing w:line="259" w:lineRule="auto"/>
        <w:rPr>
          <w:rFonts w:ascii="Arial"/>
          <w:sz w:val="21"/>
        </w:rPr>
      </w:pPr>
    </w:p>
    <w:p w14:paraId="19450A6B">
      <w:pPr>
        <w:spacing w:before="82" w:line="222" w:lineRule="auto"/>
        <w:ind w:left="443"/>
        <w:outlineLvl w:val="2"/>
        <w:rPr>
          <w:rFonts w:ascii="黑体" w:hAnsi="黑体" w:eastAsia="黑体" w:cs="黑体"/>
          <w:sz w:val="25"/>
          <w:szCs w:val="25"/>
        </w:rPr>
      </w:pPr>
      <w:bookmarkStart w:id="247" w:name="bookmark177"/>
      <w:bookmarkEnd w:id="247"/>
      <w:r>
        <w:rPr>
          <w:rFonts w:ascii="黑体" w:hAnsi="黑体" w:eastAsia="黑体" w:cs="黑体"/>
          <w:b/>
          <w:bCs/>
          <w:spacing w:val="-6"/>
          <w:sz w:val="25"/>
          <w:szCs w:val="25"/>
        </w:rPr>
        <w:t>附表</w:t>
      </w:r>
      <w:r>
        <w:rPr>
          <w:rFonts w:ascii="Times New Roman" w:hAnsi="Times New Roman" w:eastAsia="Times New Roman" w:cs="Times New Roman"/>
          <w:b/>
          <w:bCs/>
          <w:spacing w:val="-6"/>
          <w:sz w:val="25"/>
          <w:szCs w:val="25"/>
        </w:rPr>
        <w:t>C-7:</w:t>
      </w:r>
      <w:r>
        <w:rPr>
          <w:rFonts w:ascii="Times New Roman" w:hAnsi="Times New Roman" w:eastAsia="Times New Roman" w:cs="Times New Roman"/>
          <w:b/>
          <w:bCs/>
          <w:spacing w:val="31"/>
          <w:sz w:val="25"/>
          <w:szCs w:val="25"/>
        </w:rPr>
        <w:t xml:space="preserve">  </w:t>
      </w:r>
      <w:r>
        <w:rPr>
          <w:rFonts w:ascii="黑体" w:hAnsi="黑体" w:eastAsia="黑体" w:cs="黑体"/>
          <w:b/>
          <w:bCs/>
          <w:spacing w:val="-6"/>
          <w:sz w:val="25"/>
          <w:szCs w:val="25"/>
        </w:rPr>
        <w:t>清标报告-算术错误分析及修正记录表</w:t>
      </w:r>
    </w:p>
    <w:p w14:paraId="27534909">
      <w:pPr>
        <w:spacing w:line="324" w:lineRule="auto"/>
        <w:rPr>
          <w:rFonts w:ascii="Arial"/>
          <w:sz w:val="21"/>
        </w:rPr>
      </w:pPr>
    </w:p>
    <w:p w14:paraId="609AC0F6">
      <w:pPr>
        <w:spacing w:before="104" w:line="222" w:lineRule="auto"/>
        <w:ind w:left="1804"/>
        <w:rPr>
          <w:rFonts w:ascii="黑体" w:hAnsi="黑体" w:eastAsia="黑体" w:cs="黑体"/>
          <w:sz w:val="32"/>
          <w:szCs w:val="32"/>
        </w:rPr>
      </w:pPr>
      <w:bookmarkStart w:id="248" w:name="bookmark288"/>
      <w:bookmarkEnd w:id="248"/>
      <w:r>
        <w:rPr>
          <w:rFonts w:ascii="黑体" w:hAnsi="黑体" w:eastAsia="黑体" w:cs="黑体"/>
          <w:b/>
          <w:bCs/>
          <w:spacing w:val="-1"/>
          <w:sz w:val="32"/>
          <w:szCs w:val="32"/>
        </w:rPr>
        <w:t>清标报告-算术错误分析及修正记录表</w:t>
      </w:r>
    </w:p>
    <w:p w14:paraId="28D02A31">
      <w:pPr>
        <w:pStyle w:val="2"/>
        <w:spacing w:before="167" w:line="220" w:lineRule="auto"/>
        <w:rPr>
          <w:sz w:val="20"/>
          <w:szCs w:val="20"/>
        </w:rPr>
      </w:pPr>
      <w:r>
        <w:rPr>
          <w:spacing w:val="1"/>
          <w:sz w:val="20"/>
          <w:szCs w:val="20"/>
        </w:rPr>
        <w:t>投标人名称：</w:t>
      </w:r>
    </w:p>
    <w:p w14:paraId="052D8C79">
      <w:pPr>
        <w:spacing w:before="26"/>
      </w:pPr>
    </w:p>
    <w:tbl>
      <w:tblPr>
        <w:tblStyle w:val="5"/>
        <w:tblW w:w="8469"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64"/>
        <w:gridCol w:w="1378"/>
        <w:gridCol w:w="1418"/>
        <w:gridCol w:w="1448"/>
        <w:gridCol w:w="1418"/>
        <w:gridCol w:w="2043"/>
      </w:tblGrid>
      <w:tr w14:paraId="68C158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4" w:hRule="atLeast"/>
        </w:trPr>
        <w:tc>
          <w:tcPr>
            <w:tcW w:w="764" w:type="dxa"/>
            <w:vAlign w:val="top"/>
          </w:tcPr>
          <w:p w14:paraId="2F8DEA13">
            <w:pPr>
              <w:spacing w:line="304" w:lineRule="auto"/>
              <w:rPr>
                <w:rFonts w:ascii="Arial"/>
                <w:sz w:val="21"/>
              </w:rPr>
            </w:pPr>
          </w:p>
          <w:p w14:paraId="45A6922F">
            <w:pPr>
              <w:pStyle w:val="6"/>
              <w:spacing w:before="68" w:line="221" w:lineRule="auto"/>
              <w:ind w:left="154"/>
            </w:pPr>
            <w:r>
              <w:rPr>
                <w:spacing w:val="6"/>
              </w:rPr>
              <w:t>序号</w:t>
            </w:r>
          </w:p>
        </w:tc>
        <w:tc>
          <w:tcPr>
            <w:tcW w:w="1378" w:type="dxa"/>
            <w:vAlign w:val="top"/>
          </w:tcPr>
          <w:p w14:paraId="34983C33">
            <w:pPr>
              <w:spacing w:line="304" w:lineRule="auto"/>
              <w:rPr>
                <w:rFonts w:ascii="Arial"/>
                <w:sz w:val="21"/>
              </w:rPr>
            </w:pPr>
          </w:p>
          <w:p w14:paraId="784E9EA2">
            <w:pPr>
              <w:pStyle w:val="6"/>
              <w:spacing w:before="68" w:line="220" w:lineRule="auto"/>
              <w:ind w:left="270"/>
            </w:pPr>
            <w:r>
              <w:rPr>
                <w:spacing w:val="2"/>
              </w:rPr>
              <w:t>项目名称</w:t>
            </w:r>
          </w:p>
        </w:tc>
        <w:tc>
          <w:tcPr>
            <w:tcW w:w="1418" w:type="dxa"/>
            <w:vAlign w:val="top"/>
          </w:tcPr>
          <w:p w14:paraId="71F42077">
            <w:pPr>
              <w:spacing w:line="301" w:lineRule="auto"/>
              <w:rPr>
                <w:rFonts w:ascii="Arial"/>
                <w:sz w:val="21"/>
              </w:rPr>
            </w:pPr>
          </w:p>
          <w:p w14:paraId="1BD20A38">
            <w:pPr>
              <w:pStyle w:val="6"/>
              <w:spacing w:before="68" w:line="218" w:lineRule="auto"/>
              <w:ind w:left="282"/>
            </w:pPr>
            <w:r>
              <w:rPr>
                <w:spacing w:val="-3"/>
              </w:rPr>
              <w:t>投标价格</w:t>
            </w:r>
          </w:p>
        </w:tc>
        <w:tc>
          <w:tcPr>
            <w:tcW w:w="1448" w:type="dxa"/>
            <w:vAlign w:val="top"/>
          </w:tcPr>
          <w:p w14:paraId="08D62DA5">
            <w:pPr>
              <w:pStyle w:val="6"/>
              <w:spacing w:before="233" w:line="219" w:lineRule="auto"/>
              <w:ind w:left="194"/>
            </w:pPr>
            <w:r>
              <w:rPr>
                <w:spacing w:val="-2"/>
              </w:rPr>
              <w:t>算术正确投</w:t>
            </w:r>
          </w:p>
          <w:p w14:paraId="1E448189">
            <w:pPr>
              <w:pStyle w:val="6"/>
              <w:spacing w:before="18" w:line="218" w:lineRule="auto"/>
              <w:ind w:left="505"/>
            </w:pPr>
            <w:r>
              <w:rPr>
                <w:spacing w:val="-3"/>
              </w:rPr>
              <w:t>标价</w:t>
            </w:r>
          </w:p>
        </w:tc>
        <w:tc>
          <w:tcPr>
            <w:tcW w:w="1418" w:type="dxa"/>
            <w:vAlign w:val="top"/>
          </w:tcPr>
          <w:p w14:paraId="53C2CEB1">
            <w:pPr>
              <w:pStyle w:val="6"/>
              <w:spacing w:before="223" w:line="219" w:lineRule="auto"/>
              <w:ind w:left="496"/>
            </w:pPr>
            <w:r>
              <w:rPr>
                <w:spacing w:val="-3"/>
              </w:rPr>
              <w:t>差额</w:t>
            </w:r>
          </w:p>
          <w:p w14:paraId="22B23352">
            <w:pPr>
              <w:pStyle w:val="6"/>
              <w:spacing w:before="30" w:line="219" w:lineRule="auto"/>
              <w:ind w:left="286"/>
            </w:pPr>
            <w:r>
              <w:rPr>
                <w:spacing w:val="9"/>
              </w:rPr>
              <w:t>(代数值)</w:t>
            </w:r>
          </w:p>
        </w:tc>
        <w:tc>
          <w:tcPr>
            <w:tcW w:w="2043" w:type="dxa"/>
            <w:vAlign w:val="top"/>
          </w:tcPr>
          <w:p w14:paraId="0960B308">
            <w:pPr>
              <w:spacing w:line="304" w:lineRule="auto"/>
              <w:rPr>
                <w:rFonts w:ascii="Arial"/>
                <w:sz w:val="21"/>
              </w:rPr>
            </w:pPr>
          </w:p>
          <w:p w14:paraId="1830E574">
            <w:pPr>
              <w:pStyle w:val="6"/>
              <w:spacing w:before="68" w:line="220" w:lineRule="auto"/>
              <w:ind w:left="398"/>
            </w:pPr>
            <w:r>
              <w:rPr>
                <w:spacing w:val="-2"/>
              </w:rPr>
              <w:t>有关事项备注</w:t>
            </w:r>
          </w:p>
        </w:tc>
      </w:tr>
      <w:tr w14:paraId="02C4D8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trPr>
        <w:tc>
          <w:tcPr>
            <w:tcW w:w="764" w:type="dxa"/>
            <w:vAlign w:val="top"/>
          </w:tcPr>
          <w:p w14:paraId="1B61A68B">
            <w:pPr>
              <w:rPr>
                <w:rFonts w:ascii="Arial"/>
                <w:sz w:val="21"/>
              </w:rPr>
            </w:pPr>
          </w:p>
        </w:tc>
        <w:tc>
          <w:tcPr>
            <w:tcW w:w="1378" w:type="dxa"/>
            <w:vAlign w:val="top"/>
          </w:tcPr>
          <w:p w14:paraId="3E1C78DA">
            <w:pPr>
              <w:rPr>
                <w:rFonts w:ascii="Arial"/>
                <w:sz w:val="21"/>
              </w:rPr>
            </w:pPr>
          </w:p>
        </w:tc>
        <w:tc>
          <w:tcPr>
            <w:tcW w:w="1418" w:type="dxa"/>
            <w:vAlign w:val="top"/>
          </w:tcPr>
          <w:p w14:paraId="271BF027">
            <w:pPr>
              <w:rPr>
                <w:rFonts w:ascii="Arial"/>
                <w:sz w:val="21"/>
              </w:rPr>
            </w:pPr>
          </w:p>
        </w:tc>
        <w:tc>
          <w:tcPr>
            <w:tcW w:w="1448" w:type="dxa"/>
            <w:vAlign w:val="top"/>
          </w:tcPr>
          <w:p w14:paraId="5BCB0096">
            <w:pPr>
              <w:rPr>
                <w:rFonts w:ascii="Arial"/>
                <w:sz w:val="21"/>
              </w:rPr>
            </w:pPr>
          </w:p>
        </w:tc>
        <w:tc>
          <w:tcPr>
            <w:tcW w:w="1418" w:type="dxa"/>
            <w:vAlign w:val="top"/>
          </w:tcPr>
          <w:p w14:paraId="6FCF7E2C">
            <w:pPr>
              <w:rPr>
                <w:rFonts w:ascii="Arial"/>
                <w:sz w:val="21"/>
              </w:rPr>
            </w:pPr>
          </w:p>
        </w:tc>
        <w:tc>
          <w:tcPr>
            <w:tcW w:w="2043" w:type="dxa"/>
            <w:vAlign w:val="top"/>
          </w:tcPr>
          <w:p w14:paraId="467B5FC6">
            <w:pPr>
              <w:rPr>
                <w:rFonts w:ascii="Arial"/>
                <w:sz w:val="21"/>
              </w:rPr>
            </w:pPr>
          </w:p>
        </w:tc>
      </w:tr>
      <w:tr w14:paraId="4E37D8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9" w:hRule="atLeast"/>
        </w:trPr>
        <w:tc>
          <w:tcPr>
            <w:tcW w:w="764" w:type="dxa"/>
            <w:vAlign w:val="top"/>
          </w:tcPr>
          <w:p w14:paraId="25E252FB">
            <w:pPr>
              <w:rPr>
                <w:rFonts w:ascii="Arial"/>
                <w:sz w:val="21"/>
              </w:rPr>
            </w:pPr>
          </w:p>
        </w:tc>
        <w:tc>
          <w:tcPr>
            <w:tcW w:w="1378" w:type="dxa"/>
            <w:vAlign w:val="top"/>
          </w:tcPr>
          <w:p w14:paraId="6A506CFE">
            <w:pPr>
              <w:rPr>
                <w:rFonts w:ascii="Arial"/>
                <w:sz w:val="21"/>
              </w:rPr>
            </w:pPr>
          </w:p>
        </w:tc>
        <w:tc>
          <w:tcPr>
            <w:tcW w:w="1418" w:type="dxa"/>
            <w:vAlign w:val="top"/>
          </w:tcPr>
          <w:p w14:paraId="71277969">
            <w:pPr>
              <w:rPr>
                <w:rFonts w:ascii="Arial"/>
                <w:sz w:val="21"/>
              </w:rPr>
            </w:pPr>
          </w:p>
        </w:tc>
        <w:tc>
          <w:tcPr>
            <w:tcW w:w="1448" w:type="dxa"/>
            <w:vAlign w:val="top"/>
          </w:tcPr>
          <w:p w14:paraId="485FB730">
            <w:pPr>
              <w:rPr>
                <w:rFonts w:ascii="Arial"/>
                <w:sz w:val="21"/>
              </w:rPr>
            </w:pPr>
          </w:p>
        </w:tc>
        <w:tc>
          <w:tcPr>
            <w:tcW w:w="1418" w:type="dxa"/>
            <w:vAlign w:val="top"/>
          </w:tcPr>
          <w:p w14:paraId="05D01E80">
            <w:pPr>
              <w:rPr>
                <w:rFonts w:ascii="Arial"/>
                <w:sz w:val="21"/>
              </w:rPr>
            </w:pPr>
          </w:p>
        </w:tc>
        <w:tc>
          <w:tcPr>
            <w:tcW w:w="2043" w:type="dxa"/>
            <w:vAlign w:val="top"/>
          </w:tcPr>
          <w:p w14:paraId="72B290E3">
            <w:pPr>
              <w:rPr>
                <w:rFonts w:ascii="Arial"/>
                <w:sz w:val="21"/>
              </w:rPr>
            </w:pPr>
          </w:p>
        </w:tc>
      </w:tr>
      <w:tr w14:paraId="45F8E1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764" w:type="dxa"/>
            <w:vAlign w:val="top"/>
          </w:tcPr>
          <w:p w14:paraId="380EC94B">
            <w:pPr>
              <w:rPr>
                <w:rFonts w:ascii="Arial"/>
                <w:sz w:val="21"/>
              </w:rPr>
            </w:pPr>
          </w:p>
        </w:tc>
        <w:tc>
          <w:tcPr>
            <w:tcW w:w="1378" w:type="dxa"/>
            <w:vAlign w:val="top"/>
          </w:tcPr>
          <w:p w14:paraId="5DEE81A5">
            <w:pPr>
              <w:rPr>
                <w:rFonts w:ascii="Arial"/>
                <w:sz w:val="21"/>
              </w:rPr>
            </w:pPr>
          </w:p>
        </w:tc>
        <w:tc>
          <w:tcPr>
            <w:tcW w:w="1418" w:type="dxa"/>
            <w:vAlign w:val="top"/>
          </w:tcPr>
          <w:p w14:paraId="32F8CE1A">
            <w:pPr>
              <w:rPr>
                <w:rFonts w:ascii="Arial"/>
                <w:sz w:val="21"/>
              </w:rPr>
            </w:pPr>
          </w:p>
        </w:tc>
        <w:tc>
          <w:tcPr>
            <w:tcW w:w="1448" w:type="dxa"/>
            <w:vAlign w:val="top"/>
          </w:tcPr>
          <w:p w14:paraId="507BE0CB">
            <w:pPr>
              <w:rPr>
                <w:rFonts w:ascii="Arial"/>
                <w:sz w:val="21"/>
              </w:rPr>
            </w:pPr>
          </w:p>
        </w:tc>
        <w:tc>
          <w:tcPr>
            <w:tcW w:w="1418" w:type="dxa"/>
            <w:vAlign w:val="top"/>
          </w:tcPr>
          <w:p w14:paraId="03A60687">
            <w:pPr>
              <w:rPr>
                <w:rFonts w:ascii="Arial"/>
                <w:sz w:val="21"/>
              </w:rPr>
            </w:pPr>
          </w:p>
        </w:tc>
        <w:tc>
          <w:tcPr>
            <w:tcW w:w="2043" w:type="dxa"/>
            <w:vAlign w:val="top"/>
          </w:tcPr>
          <w:p w14:paraId="0A791725">
            <w:pPr>
              <w:rPr>
                <w:rFonts w:ascii="Arial"/>
                <w:sz w:val="21"/>
              </w:rPr>
            </w:pPr>
          </w:p>
        </w:tc>
      </w:tr>
      <w:tr w14:paraId="7809DF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0" w:hRule="atLeast"/>
        </w:trPr>
        <w:tc>
          <w:tcPr>
            <w:tcW w:w="764" w:type="dxa"/>
            <w:vAlign w:val="top"/>
          </w:tcPr>
          <w:p w14:paraId="556577B8">
            <w:pPr>
              <w:rPr>
                <w:rFonts w:ascii="Arial"/>
                <w:sz w:val="21"/>
              </w:rPr>
            </w:pPr>
          </w:p>
        </w:tc>
        <w:tc>
          <w:tcPr>
            <w:tcW w:w="1378" w:type="dxa"/>
            <w:vAlign w:val="top"/>
          </w:tcPr>
          <w:p w14:paraId="3D3F32F5">
            <w:pPr>
              <w:rPr>
                <w:rFonts w:ascii="Arial"/>
                <w:sz w:val="21"/>
              </w:rPr>
            </w:pPr>
          </w:p>
        </w:tc>
        <w:tc>
          <w:tcPr>
            <w:tcW w:w="1418" w:type="dxa"/>
            <w:vAlign w:val="top"/>
          </w:tcPr>
          <w:p w14:paraId="2416D550">
            <w:pPr>
              <w:rPr>
                <w:rFonts w:ascii="Arial"/>
                <w:sz w:val="21"/>
              </w:rPr>
            </w:pPr>
          </w:p>
        </w:tc>
        <w:tc>
          <w:tcPr>
            <w:tcW w:w="1448" w:type="dxa"/>
            <w:vAlign w:val="top"/>
          </w:tcPr>
          <w:p w14:paraId="0F3C7C38">
            <w:pPr>
              <w:rPr>
                <w:rFonts w:ascii="Arial"/>
                <w:sz w:val="21"/>
              </w:rPr>
            </w:pPr>
          </w:p>
        </w:tc>
        <w:tc>
          <w:tcPr>
            <w:tcW w:w="1418" w:type="dxa"/>
            <w:vAlign w:val="top"/>
          </w:tcPr>
          <w:p w14:paraId="33F6D4D4">
            <w:pPr>
              <w:rPr>
                <w:rFonts w:ascii="Arial"/>
                <w:sz w:val="21"/>
              </w:rPr>
            </w:pPr>
          </w:p>
        </w:tc>
        <w:tc>
          <w:tcPr>
            <w:tcW w:w="2043" w:type="dxa"/>
            <w:vAlign w:val="top"/>
          </w:tcPr>
          <w:p w14:paraId="6905A2F5">
            <w:pPr>
              <w:rPr>
                <w:rFonts w:ascii="Arial"/>
                <w:sz w:val="21"/>
              </w:rPr>
            </w:pPr>
          </w:p>
        </w:tc>
      </w:tr>
      <w:tr w14:paraId="13B3B0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764" w:type="dxa"/>
            <w:vAlign w:val="top"/>
          </w:tcPr>
          <w:p w14:paraId="0BD84224">
            <w:pPr>
              <w:rPr>
                <w:rFonts w:ascii="Arial"/>
                <w:sz w:val="21"/>
              </w:rPr>
            </w:pPr>
          </w:p>
        </w:tc>
        <w:tc>
          <w:tcPr>
            <w:tcW w:w="1378" w:type="dxa"/>
            <w:vAlign w:val="top"/>
          </w:tcPr>
          <w:p w14:paraId="2C6E4270">
            <w:pPr>
              <w:rPr>
                <w:rFonts w:ascii="Arial"/>
                <w:sz w:val="21"/>
              </w:rPr>
            </w:pPr>
          </w:p>
        </w:tc>
        <w:tc>
          <w:tcPr>
            <w:tcW w:w="1418" w:type="dxa"/>
            <w:vAlign w:val="top"/>
          </w:tcPr>
          <w:p w14:paraId="4C0E3CE2">
            <w:pPr>
              <w:rPr>
                <w:rFonts w:ascii="Arial"/>
                <w:sz w:val="21"/>
              </w:rPr>
            </w:pPr>
          </w:p>
        </w:tc>
        <w:tc>
          <w:tcPr>
            <w:tcW w:w="1448" w:type="dxa"/>
            <w:vAlign w:val="top"/>
          </w:tcPr>
          <w:p w14:paraId="7D16A452">
            <w:pPr>
              <w:rPr>
                <w:rFonts w:ascii="Arial"/>
                <w:sz w:val="21"/>
              </w:rPr>
            </w:pPr>
          </w:p>
        </w:tc>
        <w:tc>
          <w:tcPr>
            <w:tcW w:w="1418" w:type="dxa"/>
            <w:vAlign w:val="top"/>
          </w:tcPr>
          <w:p w14:paraId="517C5FAF">
            <w:pPr>
              <w:rPr>
                <w:rFonts w:ascii="Arial"/>
                <w:sz w:val="21"/>
              </w:rPr>
            </w:pPr>
          </w:p>
        </w:tc>
        <w:tc>
          <w:tcPr>
            <w:tcW w:w="2043" w:type="dxa"/>
            <w:vAlign w:val="top"/>
          </w:tcPr>
          <w:p w14:paraId="5CFE233D">
            <w:pPr>
              <w:rPr>
                <w:rFonts w:ascii="Arial"/>
                <w:sz w:val="21"/>
              </w:rPr>
            </w:pPr>
          </w:p>
        </w:tc>
      </w:tr>
      <w:tr w14:paraId="3F5B34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9" w:hRule="atLeast"/>
        </w:trPr>
        <w:tc>
          <w:tcPr>
            <w:tcW w:w="764" w:type="dxa"/>
            <w:vAlign w:val="top"/>
          </w:tcPr>
          <w:p w14:paraId="5AC4ED6D">
            <w:pPr>
              <w:rPr>
                <w:rFonts w:ascii="Arial"/>
                <w:sz w:val="21"/>
              </w:rPr>
            </w:pPr>
          </w:p>
        </w:tc>
        <w:tc>
          <w:tcPr>
            <w:tcW w:w="1378" w:type="dxa"/>
            <w:vAlign w:val="top"/>
          </w:tcPr>
          <w:p w14:paraId="5DF2CFE8">
            <w:pPr>
              <w:rPr>
                <w:rFonts w:ascii="Arial"/>
                <w:sz w:val="21"/>
              </w:rPr>
            </w:pPr>
          </w:p>
        </w:tc>
        <w:tc>
          <w:tcPr>
            <w:tcW w:w="1418" w:type="dxa"/>
            <w:vAlign w:val="top"/>
          </w:tcPr>
          <w:p w14:paraId="21A73C47">
            <w:pPr>
              <w:rPr>
                <w:rFonts w:ascii="Arial"/>
                <w:sz w:val="21"/>
              </w:rPr>
            </w:pPr>
          </w:p>
        </w:tc>
        <w:tc>
          <w:tcPr>
            <w:tcW w:w="1448" w:type="dxa"/>
            <w:vAlign w:val="top"/>
          </w:tcPr>
          <w:p w14:paraId="63B36BA5">
            <w:pPr>
              <w:rPr>
                <w:rFonts w:ascii="Arial"/>
                <w:sz w:val="21"/>
              </w:rPr>
            </w:pPr>
          </w:p>
        </w:tc>
        <w:tc>
          <w:tcPr>
            <w:tcW w:w="1418" w:type="dxa"/>
            <w:vAlign w:val="top"/>
          </w:tcPr>
          <w:p w14:paraId="4BAB943A">
            <w:pPr>
              <w:rPr>
                <w:rFonts w:ascii="Arial"/>
                <w:sz w:val="21"/>
              </w:rPr>
            </w:pPr>
          </w:p>
        </w:tc>
        <w:tc>
          <w:tcPr>
            <w:tcW w:w="2043" w:type="dxa"/>
            <w:vAlign w:val="top"/>
          </w:tcPr>
          <w:p w14:paraId="0181B482">
            <w:pPr>
              <w:rPr>
                <w:rFonts w:ascii="Arial"/>
                <w:sz w:val="21"/>
              </w:rPr>
            </w:pPr>
          </w:p>
        </w:tc>
      </w:tr>
      <w:tr w14:paraId="6FCDE9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9" w:hRule="atLeast"/>
        </w:trPr>
        <w:tc>
          <w:tcPr>
            <w:tcW w:w="764" w:type="dxa"/>
            <w:vAlign w:val="top"/>
          </w:tcPr>
          <w:p w14:paraId="6E204844">
            <w:pPr>
              <w:rPr>
                <w:rFonts w:ascii="Arial"/>
                <w:sz w:val="21"/>
              </w:rPr>
            </w:pPr>
          </w:p>
        </w:tc>
        <w:tc>
          <w:tcPr>
            <w:tcW w:w="1378" w:type="dxa"/>
            <w:vAlign w:val="top"/>
          </w:tcPr>
          <w:p w14:paraId="6FDFCCED">
            <w:pPr>
              <w:rPr>
                <w:rFonts w:ascii="Arial"/>
                <w:sz w:val="21"/>
              </w:rPr>
            </w:pPr>
          </w:p>
        </w:tc>
        <w:tc>
          <w:tcPr>
            <w:tcW w:w="1418" w:type="dxa"/>
            <w:vAlign w:val="top"/>
          </w:tcPr>
          <w:p w14:paraId="5512BF8F">
            <w:pPr>
              <w:rPr>
                <w:rFonts w:ascii="Arial"/>
                <w:sz w:val="21"/>
              </w:rPr>
            </w:pPr>
          </w:p>
        </w:tc>
        <w:tc>
          <w:tcPr>
            <w:tcW w:w="1448" w:type="dxa"/>
            <w:vAlign w:val="top"/>
          </w:tcPr>
          <w:p w14:paraId="28A3C548">
            <w:pPr>
              <w:rPr>
                <w:rFonts w:ascii="Arial"/>
                <w:sz w:val="21"/>
              </w:rPr>
            </w:pPr>
          </w:p>
        </w:tc>
        <w:tc>
          <w:tcPr>
            <w:tcW w:w="1418" w:type="dxa"/>
            <w:vAlign w:val="top"/>
          </w:tcPr>
          <w:p w14:paraId="53129978">
            <w:pPr>
              <w:rPr>
                <w:rFonts w:ascii="Arial"/>
                <w:sz w:val="21"/>
              </w:rPr>
            </w:pPr>
          </w:p>
        </w:tc>
        <w:tc>
          <w:tcPr>
            <w:tcW w:w="2043" w:type="dxa"/>
            <w:vAlign w:val="top"/>
          </w:tcPr>
          <w:p w14:paraId="423A5BE3">
            <w:pPr>
              <w:rPr>
                <w:rFonts w:ascii="Arial"/>
                <w:sz w:val="21"/>
              </w:rPr>
            </w:pPr>
          </w:p>
        </w:tc>
      </w:tr>
      <w:tr w14:paraId="1B51C6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trPr>
        <w:tc>
          <w:tcPr>
            <w:tcW w:w="764" w:type="dxa"/>
            <w:vAlign w:val="top"/>
          </w:tcPr>
          <w:p w14:paraId="54287F5F">
            <w:pPr>
              <w:rPr>
                <w:rFonts w:ascii="Arial"/>
                <w:sz w:val="21"/>
              </w:rPr>
            </w:pPr>
          </w:p>
        </w:tc>
        <w:tc>
          <w:tcPr>
            <w:tcW w:w="1378" w:type="dxa"/>
            <w:vAlign w:val="top"/>
          </w:tcPr>
          <w:p w14:paraId="08BBEDC1">
            <w:pPr>
              <w:rPr>
                <w:rFonts w:ascii="Arial"/>
                <w:sz w:val="21"/>
              </w:rPr>
            </w:pPr>
          </w:p>
        </w:tc>
        <w:tc>
          <w:tcPr>
            <w:tcW w:w="1418" w:type="dxa"/>
            <w:vAlign w:val="top"/>
          </w:tcPr>
          <w:p w14:paraId="1044542F">
            <w:pPr>
              <w:rPr>
                <w:rFonts w:ascii="Arial"/>
                <w:sz w:val="21"/>
              </w:rPr>
            </w:pPr>
          </w:p>
        </w:tc>
        <w:tc>
          <w:tcPr>
            <w:tcW w:w="1448" w:type="dxa"/>
            <w:vAlign w:val="top"/>
          </w:tcPr>
          <w:p w14:paraId="00EDDFA8">
            <w:pPr>
              <w:rPr>
                <w:rFonts w:ascii="Arial"/>
                <w:sz w:val="21"/>
              </w:rPr>
            </w:pPr>
          </w:p>
        </w:tc>
        <w:tc>
          <w:tcPr>
            <w:tcW w:w="1418" w:type="dxa"/>
            <w:vAlign w:val="top"/>
          </w:tcPr>
          <w:p w14:paraId="7DE85B41">
            <w:pPr>
              <w:rPr>
                <w:rFonts w:ascii="Arial"/>
                <w:sz w:val="21"/>
              </w:rPr>
            </w:pPr>
          </w:p>
        </w:tc>
        <w:tc>
          <w:tcPr>
            <w:tcW w:w="2043" w:type="dxa"/>
            <w:vAlign w:val="top"/>
          </w:tcPr>
          <w:p w14:paraId="76762330">
            <w:pPr>
              <w:rPr>
                <w:rFonts w:ascii="Arial"/>
                <w:sz w:val="21"/>
              </w:rPr>
            </w:pPr>
          </w:p>
        </w:tc>
      </w:tr>
      <w:tr w14:paraId="7DBBA7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9" w:hRule="atLeast"/>
        </w:trPr>
        <w:tc>
          <w:tcPr>
            <w:tcW w:w="764" w:type="dxa"/>
            <w:vAlign w:val="top"/>
          </w:tcPr>
          <w:p w14:paraId="481B0773">
            <w:pPr>
              <w:rPr>
                <w:rFonts w:ascii="Arial"/>
                <w:sz w:val="21"/>
              </w:rPr>
            </w:pPr>
          </w:p>
        </w:tc>
        <w:tc>
          <w:tcPr>
            <w:tcW w:w="1378" w:type="dxa"/>
            <w:vAlign w:val="top"/>
          </w:tcPr>
          <w:p w14:paraId="69D61F68">
            <w:pPr>
              <w:rPr>
                <w:rFonts w:ascii="Arial"/>
                <w:sz w:val="21"/>
              </w:rPr>
            </w:pPr>
          </w:p>
        </w:tc>
        <w:tc>
          <w:tcPr>
            <w:tcW w:w="1418" w:type="dxa"/>
            <w:vAlign w:val="top"/>
          </w:tcPr>
          <w:p w14:paraId="0DA14496">
            <w:pPr>
              <w:rPr>
                <w:rFonts w:ascii="Arial"/>
                <w:sz w:val="21"/>
              </w:rPr>
            </w:pPr>
          </w:p>
        </w:tc>
        <w:tc>
          <w:tcPr>
            <w:tcW w:w="1448" w:type="dxa"/>
            <w:vAlign w:val="top"/>
          </w:tcPr>
          <w:p w14:paraId="48A25625">
            <w:pPr>
              <w:rPr>
                <w:rFonts w:ascii="Arial"/>
                <w:sz w:val="21"/>
              </w:rPr>
            </w:pPr>
          </w:p>
        </w:tc>
        <w:tc>
          <w:tcPr>
            <w:tcW w:w="1418" w:type="dxa"/>
            <w:vAlign w:val="top"/>
          </w:tcPr>
          <w:p w14:paraId="7DE6F724">
            <w:pPr>
              <w:rPr>
                <w:rFonts w:ascii="Arial"/>
                <w:sz w:val="21"/>
              </w:rPr>
            </w:pPr>
          </w:p>
        </w:tc>
        <w:tc>
          <w:tcPr>
            <w:tcW w:w="2043" w:type="dxa"/>
            <w:vAlign w:val="top"/>
          </w:tcPr>
          <w:p w14:paraId="60F8B1FB">
            <w:pPr>
              <w:rPr>
                <w:rFonts w:ascii="Arial"/>
                <w:sz w:val="21"/>
              </w:rPr>
            </w:pPr>
          </w:p>
        </w:tc>
      </w:tr>
      <w:tr w14:paraId="67D00F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9" w:hRule="atLeast"/>
        </w:trPr>
        <w:tc>
          <w:tcPr>
            <w:tcW w:w="764" w:type="dxa"/>
            <w:vAlign w:val="top"/>
          </w:tcPr>
          <w:p w14:paraId="21D171AD">
            <w:pPr>
              <w:rPr>
                <w:rFonts w:ascii="Arial"/>
                <w:sz w:val="21"/>
              </w:rPr>
            </w:pPr>
          </w:p>
        </w:tc>
        <w:tc>
          <w:tcPr>
            <w:tcW w:w="1378" w:type="dxa"/>
            <w:vAlign w:val="top"/>
          </w:tcPr>
          <w:p w14:paraId="2603519C">
            <w:pPr>
              <w:rPr>
                <w:rFonts w:ascii="Arial"/>
                <w:sz w:val="21"/>
              </w:rPr>
            </w:pPr>
          </w:p>
        </w:tc>
        <w:tc>
          <w:tcPr>
            <w:tcW w:w="1418" w:type="dxa"/>
            <w:vAlign w:val="top"/>
          </w:tcPr>
          <w:p w14:paraId="6F2B5077">
            <w:pPr>
              <w:rPr>
                <w:rFonts w:ascii="Arial"/>
                <w:sz w:val="21"/>
              </w:rPr>
            </w:pPr>
          </w:p>
        </w:tc>
        <w:tc>
          <w:tcPr>
            <w:tcW w:w="1448" w:type="dxa"/>
            <w:vAlign w:val="top"/>
          </w:tcPr>
          <w:p w14:paraId="016A1C24">
            <w:pPr>
              <w:rPr>
                <w:rFonts w:ascii="Arial"/>
                <w:sz w:val="21"/>
              </w:rPr>
            </w:pPr>
          </w:p>
        </w:tc>
        <w:tc>
          <w:tcPr>
            <w:tcW w:w="1418" w:type="dxa"/>
            <w:vAlign w:val="top"/>
          </w:tcPr>
          <w:p w14:paraId="26BCCF68">
            <w:pPr>
              <w:rPr>
                <w:rFonts w:ascii="Arial"/>
                <w:sz w:val="21"/>
              </w:rPr>
            </w:pPr>
          </w:p>
        </w:tc>
        <w:tc>
          <w:tcPr>
            <w:tcW w:w="2043" w:type="dxa"/>
            <w:vAlign w:val="top"/>
          </w:tcPr>
          <w:p w14:paraId="11A5CFB1">
            <w:pPr>
              <w:rPr>
                <w:rFonts w:ascii="Arial"/>
                <w:sz w:val="21"/>
              </w:rPr>
            </w:pPr>
          </w:p>
        </w:tc>
      </w:tr>
      <w:tr w14:paraId="02AFA7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trPr>
        <w:tc>
          <w:tcPr>
            <w:tcW w:w="764" w:type="dxa"/>
            <w:vAlign w:val="top"/>
          </w:tcPr>
          <w:p w14:paraId="164875BC">
            <w:pPr>
              <w:rPr>
                <w:rFonts w:ascii="Arial"/>
                <w:sz w:val="21"/>
              </w:rPr>
            </w:pPr>
          </w:p>
        </w:tc>
        <w:tc>
          <w:tcPr>
            <w:tcW w:w="1378" w:type="dxa"/>
            <w:vAlign w:val="top"/>
          </w:tcPr>
          <w:p w14:paraId="57C9812C">
            <w:pPr>
              <w:rPr>
                <w:rFonts w:ascii="Arial"/>
                <w:sz w:val="21"/>
              </w:rPr>
            </w:pPr>
          </w:p>
        </w:tc>
        <w:tc>
          <w:tcPr>
            <w:tcW w:w="1418" w:type="dxa"/>
            <w:vAlign w:val="top"/>
          </w:tcPr>
          <w:p w14:paraId="62A5F2E7">
            <w:pPr>
              <w:rPr>
                <w:rFonts w:ascii="Arial"/>
                <w:sz w:val="21"/>
              </w:rPr>
            </w:pPr>
          </w:p>
        </w:tc>
        <w:tc>
          <w:tcPr>
            <w:tcW w:w="1448" w:type="dxa"/>
            <w:vAlign w:val="top"/>
          </w:tcPr>
          <w:p w14:paraId="674BA6F4">
            <w:pPr>
              <w:rPr>
                <w:rFonts w:ascii="Arial"/>
                <w:sz w:val="21"/>
              </w:rPr>
            </w:pPr>
          </w:p>
        </w:tc>
        <w:tc>
          <w:tcPr>
            <w:tcW w:w="1418" w:type="dxa"/>
            <w:vAlign w:val="top"/>
          </w:tcPr>
          <w:p w14:paraId="0981957D">
            <w:pPr>
              <w:rPr>
                <w:rFonts w:ascii="Arial"/>
                <w:sz w:val="21"/>
              </w:rPr>
            </w:pPr>
          </w:p>
        </w:tc>
        <w:tc>
          <w:tcPr>
            <w:tcW w:w="2043" w:type="dxa"/>
            <w:vAlign w:val="top"/>
          </w:tcPr>
          <w:p w14:paraId="159B8C34">
            <w:pPr>
              <w:rPr>
                <w:rFonts w:ascii="Arial"/>
                <w:sz w:val="21"/>
              </w:rPr>
            </w:pPr>
          </w:p>
        </w:tc>
      </w:tr>
      <w:tr w14:paraId="124FF7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764" w:type="dxa"/>
            <w:vAlign w:val="top"/>
          </w:tcPr>
          <w:p w14:paraId="5B572593">
            <w:pPr>
              <w:rPr>
                <w:rFonts w:ascii="Arial"/>
                <w:sz w:val="21"/>
              </w:rPr>
            </w:pPr>
          </w:p>
        </w:tc>
        <w:tc>
          <w:tcPr>
            <w:tcW w:w="1378" w:type="dxa"/>
            <w:vAlign w:val="top"/>
          </w:tcPr>
          <w:p w14:paraId="6932A0BD">
            <w:pPr>
              <w:rPr>
                <w:rFonts w:ascii="Arial"/>
                <w:sz w:val="21"/>
              </w:rPr>
            </w:pPr>
          </w:p>
        </w:tc>
        <w:tc>
          <w:tcPr>
            <w:tcW w:w="1418" w:type="dxa"/>
            <w:vAlign w:val="top"/>
          </w:tcPr>
          <w:p w14:paraId="586C1C24">
            <w:pPr>
              <w:rPr>
                <w:rFonts w:ascii="Arial"/>
                <w:sz w:val="21"/>
              </w:rPr>
            </w:pPr>
          </w:p>
        </w:tc>
        <w:tc>
          <w:tcPr>
            <w:tcW w:w="1448" w:type="dxa"/>
            <w:vAlign w:val="top"/>
          </w:tcPr>
          <w:p w14:paraId="7022BEDF">
            <w:pPr>
              <w:rPr>
                <w:rFonts w:ascii="Arial"/>
                <w:sz w:val="21"/>
              </w:rPr>
            </w:pPr>
          </w:p>
        </w:tc>
        <w:tc>
          <w:tcPr>
            <w:tcW w:w="1418" w:type="dxa"/>
            <w:vAlign w:val="top"/>
          </w:tcPr>
          <w:p w14:paraId="160C4CE8">
            <w:pPr>
              <w:rPr>
                <w:rFonts w:ascii="Arial"/>
                <w:sz w:val="21"/>
              </w:rPr>
            </w:pPr>
          </w:p>
        </w:tc>
        <w:tc>
          <w:tcPr>
            <w:tcW w:w="2043" w:type="dxa"/>
            <w:vAlign w:val="top"/>
          </w:tcPr>
          <w:p w14:paraId="7E9CC6E9">
            <w:pPr>
              <w:rPr>
                <w:rFonts w:ascii="Arial"/>
                <w:sz w:val="21"/>
              </w:rPr>
            </w:pPr>
          </w:p>
        </w:tc>
      </w:tr>
      <w:tr w14:paraId="349545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9" w:hRule="atLeast"/>
        </w:trPr>
        <w:tc>
          <w:tcPr>
            <w:tcW w:w="764" w:type="dxa"/>
            <w:vAlign w:val="top"/>
          </w:tcPr>
          <w:p w14:paraId="29A8557B">
            <w:pPr>
              <w:rPr>
                <w:rFonts w:ascii="Arial"/>
                <w:sz w:val="21"/>
              </w:rPr>
            </w:pPr>
          </w:p>
        </w:tc>
        <w:tc>
          <w:tcPr>
            <w:tcW w:w="1378" w:type="dxa"/>
            <w:vAlign w:val="top"/>
          </w:tcPr>
          <w:p w14:paraId="1C664CCA">
            <w:pPr>
              <w:rPr>
                <w:rFonts w:ascii="Arial"/>
                <w:sz w:val="21"/>
              </w:rPr>
            </w:pPr>
          </w:p>
        </w:tc>
        <w:tc>
          <w:tcPr>
            <w:tcW w:w="1418" w:type="dxa"/>
            <w:vAlign w:val="top"/>
          </w:tcPr>
          <w:p w14:paraId="33F6F5FA">
            <w:pPr>
              <w:rPr>
                <w:rFonts w:ascii="Arial"/>
                <w:sz w:val="21"/>
              </w:rPr>
            </w:pPr>
          </w:p>
        </w:tc>
        <w:tc>
          <w:tcPr>
            <w:tcW w:w="1448" w:type="dxa"/>
            <w:vAlign w:val="top"/>
          </w:tcPr>
          <w:p w14:paraId="107E948E">
            <w:pPr>
              <w:rPr>
                <w:rFonts w:ascii="Arial"/>
                <w:sz w:val="21"/>
              </w:rPr>
            </w:pPr>
          </w:p>
        </w:tc>
        <w:tc>
          <w:tcPr>
            <w:tcW w:w="1418" w:type="dxa"/>
            <w:vAlign w:val="top"/>
          </w:tcPr>
          <w:p w14:paraId="5046B3C8">
            <w:pPr>
              <w:rPr>
                <w:rFonts w:ascii="Arial"/>
                <w:sz w:val="21"/>
              </w:rPr>
            </w:pPr>
          </w:p>
        </w:tc>
        <w:tc>
          <w:tcPr>
            <w:tcW w:w="2043" w:type="dxa"/>
            <w:vAlign w:val="top"/>
          </w:tcPr>
          <w:p w14:paraId="2AE30615">
            <w:pPr>
              <w:rPr>
                <w:rFonts w:ascii="Arial"/>
                <w:sz w:val="21"/>
              </w:rPr>
            </w:pPr>
          </w:p>
        </w:tc>
      </w:tr>
      <w:tr w14:paraId="3B5FAE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5" w:hRule="atLeast"/>
        </w:trPr>
        <w:tc>
          <w:tcPr>
            <w:tcW w:w="764" w:type="dxa"/>
            <w:vAlign w:val="top"/>
          </w:tcPr>
          <w:p w14:paraId="24EE22E5">
            <w:pPr>
              <w:rPr>
                <w:rFonts w:ascii="Arial"/>
                <w:sz w:val="21"/>
              </w:rPr>
            </w:pPr>
          </w:p>
        </w:tc>
        <w:tc>
          <w:tcPr>
            <w:tcW w:w="1378" w:type="dxa"/>
            <w:vAlign w:val="top"/>
          </w:tcPr>
          <w:p w14:paraId="1CEA3F19">
            <w:pPr>
              <w:rPr>
                <w:rFonts w:ascii="Arial"/>
                <w:sz w:val="21"/>
              </w:rPr>
            </w:pPr>
          </w:p>
        </w:tc>
        <w:tc>
          <w:tcPr>
            <w:tcW w:w="1418" w:type="dxa"/>
            <w:vAlign w:val="top"/>
          </w:tcPr>
          <w:p w14:paraId="48A7B314">
            <w:pPr>
              <w:rPr>
                <w:rFonts w:ascii="Arial"/>
                <w:sz w:val="21"/>
              </w:rPr>
            </w:pPr>
          </w:p>
        </w:tc>
        <w:tc>
          <w:tcPr>
            <w:tcW w:w="1448" w:type="dxa"/>
            <w:vAlign w:val="top"/>
          </w:tcPr>
          <w:p w14:paraId="1BFE7F1F">
            <w:pPr>
              <w:rPr>
                <w:rFonts w:ascii="Arial"/>
                <w:sz w:val="21"/>
              </w:rPr>
            </w:pPr>
          </w:p>
        </w:tc>
        <w:tc>
          <w:tcPr>
            <w:tcW w:w="1418" w:type="dxa"/>
            <w:vAlign w:val="top"/>
          </w:tcPr>
          <w:p w14:paraId="57FA952C">
            <w:pPr>
              <w:rPr>
                <w:rFonts w:ascii="Arial"/>
                <w:sz w:val="21"/>
              </w:rPr>
            </w:pPr>
          </w:p>
        </w:tc>
        <w:tc>
          <w:tcPr>
            <w:tcW w:w="2043" w:type="dxa"/>
            <w:vAlign w:val="top"/>
          </w:tcPr>
          <w:p w14:paraId="5EFC610B">
            <w:pPr>
              <w:rPr>
                <w:rFonts w:ascii="Arial"/>
                <w:sz w:val="21"/>
              </w:rPr>
            </w:pPr>
          </w:p>
        </w:tc>
      </w:tr>
    </w:tbl>
    <w:p w14:paraId="04DD565C">
      <w:pPr>
        <w:spacing w:line="460" w:lineRule="auto"/>
        <w:rPr>
          <w:rFonts w:ascii="Arial"/>
          <w:sz w:val="21"/>
        </w:rPr>
      </w:pPr>
    </w:p>
    <w:p w14:paraId="0624A77A">
      <w:pPr>
        <w:pStyle w:val="2"/>
        <w:spacing w:before="65" w:line="223" w:lineRule="auto"/>
        <w:rPr>
          <w:sz w:val="20"/>
          <w:szCs w:val="20"/>
        </w:rPr>
      </w:pPr>
      <w:r>
        <w:rPr>
          <w:spacing w:val="-3"/>
          <w:sz w:val="20"/>
          <w:szCs w:val="20"/>
        </w:rPr>
        <w:t xml:space="preserve">评标委员会成员签名：                                      </w:t>
      </w:r>
      <w:r>
        <w:rPr>
          <w:spacing w:val="-3"/>
          <w:sz w:val="15"/>
          <w:szCs w:val="15"/>
        </w:rPr>
        <w:t>日 期</w:t>
      </w:r>
      <w:r>
        <w:rPr>
          <w:spacing w:val="24"/>
          <w:sz w:val="15"/>
          <w:szCs w:val="15"/>
        </w:rPr>
        <w:t xml:space="preserve"> </w:t>
      </w:r>
      <w:r>
        <w:rPr>
          <w:spacing w:val="-3"/>
          <w:sz w:val="15"/>
          <w:szCs w:val="15"/>
        </w:rPr>
        <w:t xml:space="preserve">：      </w:t>
      </w:r>
      <w:r>
        <w:rPr>
          <w:spacing w:val="-3"/>
          <w:sz w:val="20"/>
          <w:szCs w:val="20"/>
        </w:rPr>
        <w:t xml:space="preserve">年 </w:t>
      </w:r>
      <w:r>
        <w:rPr>
          <w:spacing w:val="-4"/>
          <w:sz w:val="20"/>
          <w:szCs w:val="20"/>
        </w:rPr>
        <w:t xml:space="preserve">     月</w:t>
      </w:r>
      <w:r>
        <w:rPr>
          <w:spacing w:val="14"/>
          <w:sz w:val="20"/>
          <w:szCs w:val="20"/>
        </w:rPr>
        <w:t xml:space="preserve">     </w:t>
      </w:r>
      <w:r>
        <w:rPr>
          <w:spacing w:val="-4"/>
          <w:position w:val="1"/>
          <w:sz w:val="20"/>
          <w:szCs w:val="20"/>
        </w:rPr>
        <w:t>日</w:t>
      </w:r>
    </w:p>
    <w:p w14:paraId="06A79A0E">
      <w:pPr>
        <w:spacing w:line="433" w:lineRule="auto"/>
        <w:rPr>
          <w:rFonts w:ascii="Arial"/>
          <w:sz w:val="21"/>
        </w:rPr>
      </w:pPr>
    </w:p>
    <w:p w14:paraId="0393CAC1">
      <w:pPr>
        <w:pStyle w:val="2"/>
        <w:spacing w:before="65" w:line="260" w:lineRule="auto"/>
        <w:ind w:left="439" w:hanging="439"/>
        <w:rPr>
          <w:sz w:val="20"/>
          <w:szCs w:val="20"/>
        </w:rPr>
      </w:pPr>
      <w:r>
        <w:rPr>
          <w:spacing w:val="13"/>
          <w:sz w:val="20"/>
          <w:szCs w:val="20"/>
        </w:rPr>
        <w:t>注：存在算术错误的已标价工程量清单按此模式进</w:t>
      </w:r>
      <w:r>
        <w:rPr>
          <w:spacing w:val="12"/>
          <w:sz w:val="20"/>
          <w:szCs w:val="20"/>
        </w:rPr>
        <w:t>行分析、修正和记录。并按修正后的价格的修</w:t>
      </w:r>
      <w:r>
        <w:rPr>
          <w:sz w:val="20"/>
          <w:szCs w:val="20"/>
        </w:rPr>
        <w:t xml:space="preserve"> </w:t>
      </w:r>
      <w:r>
        <w:rPr>
          <w:spacing w:val="9"/>
          <w:sz w:val="20"/>
          <w:szCs w:val="20"/>
        </w:rPr>
        <w:t>正投标人已标价工程量清单相应表格并计算其修正后的投标</w:t>
      </w:r>
      <w:r>
        <w:rPr>
          <w:spacing w:val="8"/>
          <w:sz w:val="20"/>
          <w:szCs w:val="20"/>
        </w:rPr>
        <w:t>报价。</w:t>
      </w:r>
    </w:p>
    <w:p w14:paraId="106C0217">
      <w:pPr>
        <w:spacing w:line="260" w:lineRule="auto"/>
        <w:rPr>
          <w:sz w:val="20"/>
          <w:szCs w:val="20"/>
        </w:rPr>
        <w:sectPr>
          <w:footerReference r:id="rId103" w:type="default"/>
          <w:pgSz w:w="11910" w:h="16840"/>
          <w:pgMar w:top="400" w:right="1532" w:bottom="1024" w:left="1450" w:header="0" w:footer="889" w:gutter="0"/>
          <w:cols w:space="720" w:num="1"/>
        </w:sectPr>
      </w:pPr>
    </w:p>
    <w:p w14:paraId="58BEC93C">
      <w:pPr>
        <w:spacing w:line="253" w:lineRule="auto"/>
        <w:rPr>
          <w:rFonts w:ascii="Arial"/>
          <w:sz w:val="21"/>
        </w:rPr>
      </w:pPr>
    </w:p>
    <w:p w14:paraId="53D9A2F6">
      <w:pPr>
        <w:spacing w:line="253" w:lineRule="auto"/>
        <w:rPr>
          <w:rFonts w:ascii="Arial"/>
          <w:sz w:val="21"/>
        </w:rPr>
      </w:pPr>
    </w:p>
    <w:p w14:paraId="6E85F69E">
      <w:pPr>
        <w:spacing w:line="253" w:lineRule="auto"/>
        <w:rPr>
          <w:rFonts w:ascii="Arial"/>
          <w:sz w:val="21"/>
        </w:rPr>
      </w:pPr>
    </w:p>
    <w:p w14:paraId="6A173080">
      <w:pPr>
        <w:spacing w:line="253" w:lineRule="auto"/>
        <w:rPr>
          <w:rFonts w:ascii="Arial"/>
          <w:sz w:val="21"/>
        </w:rPr>
      </w:pPr>
    </w:p>
    <w:p w14:paraId="620E9074">
      <w:pPr>
        <w:spacing w:line="254" w:lineRule="auto"/>
        <w:rPr>
          <w:rFonts w:ascii="Arial"/>
          <w:sz w:val="21"/>
        </w:rPr>
      </w:pPr>
    </w:p>
    <w:p w14:paraId="51AECE9F">
      <w:pPr>
        <w:spacing w:before="91" w:line="222" w:lineRule="auto"/>
        <w:ind w:left="438"/>
        <w:outlineLvl w:val="2"/>
        <w:rPr>
          <w:rFonts w:ascii="黑体" w:hAnsi="黑体" w:eastAsia="黑体" w:cs="黑体"/>
          <w:sz w:val="28"/>
          <w:szCs w:val="28"/>
        </w:rPr>
      </w:pPr>
      <w:bookmarkStart w:id="249" w:name="bookmark178"/>
      <w:bookmarkEnd w:id="249"/>
      <w:bookmarkStart w:id="250" w:name="bookmark289"/>
      <w:bookmarkEnd w:id="250"/>
      <w:r>
        <w:rPr>
          <w:rFonts w:ascii="黑体" w:hAnsi="黑体" w:eastAsia="黑体" w:cs="黑体"/>
          <w:b/>
          <w:bCs/>
          <w:spacing w:val="-22"/>
          <w:w w:val="96"/>
          <w:sz w:val="28"/>
          <w:szCs w:val="28"/>
        </w:rPr>
        <w:t>附表</w:t>
      </w:r>
      <w:r>
        <w:rPr>
          <w:rFonts w:ascii="Times New Roman" w:hAnsi="Times New Roman" w:eastAsia="Times New Roman" w:cs="Times New Roman"/>
          <w:b/>
          <w:bCs/>
          <w:spacing w:val="-22"/>
          <w:w w:val="96"/>
          <w:sz w:val="28"/>
          <w:szCs w:val="28"/>
        </w:rPr>
        <w:t>C-8:</w:t>
      </w:r>
      <w:r>
        <w:rPr>
          <w:rFonts w:ascii="Times New Roman" w:hAnsi="Times New Roman" w:eastAsia="Times New Roman" w:cs="Times New Roman"/>
          <w:b/>
          <w:bCs/>
          <w:spacing w:val="84"/>
          <w:sz w:val="28"/>
          <w:szCs w:val="28"/>
        </w:rPr>
        <w:t xml:space="preserve"> </w:t>
      </w:r>
      <w:r>
        <w:rPr>
          <w:rFonts w:ascii="黑体" w:hAnsi="黑体" w:eastAsia="黑体" w:cs="黑体"/>
          <w:b/>
          <w:bCs/>
          <w:spacing w:val="-22"/>
          <w:w w:val="96"/>
          <w:sz w:val="28"/>
          <w:szCs w:val="28"/>
        </w:rPr>
        <w:t>清标报告-算术错误修正后的已标价工程量清单</w:t>
      </w:r>
    </w:p>
    <w:p w14:paraId="0AF5A92B">
      <w:pPr>
        <w:spacing w:before="313" w:line="222" w:lineRule="auto"/>
        <w:ind w:left="2088"/>
        <w:rPr>
          <w:rFonts w:ascii="黑体" w:hAnsi="黑体" w:eastAsia="黑体" w:cs="黑体"/>
          <w:sz w:val="28"/>
          <w:szCs w:val="28"/>
        </w:rPr>
      </w:pPr>
      <w:r>
        <w:rPr>
          <w:rFonts w:ascii="黑体" w:hAnsi="黑体" w:eastAsia="黑体" w:cs="黑体"/>
          <w:b/>
          <w:bCs/>
          <w:spacing w:val="-2"/>
          <w:sz w:val="28"/>
          <w:szCs w:val="28"/>
        </w:rPr>
        <w:t>算术错误修正后的建设项目投标报价汇总表</w:t>
      </w:r>
    </w:p>
    <w:p w14:paraId="6920C067">
      <w:pPr>
        <w:spacing w:line="298" w:lineRule="auto"/>
        <w:rPr>
          <w:rFonts w:ascii="Arial"/>
          <w:sz w:val="21"/>
        </w:rPr>
      </w:pPr>
    </w:p>
    <w:p w14:paraId="77454D7E">
      <w:pPr>
        <w:pStyle w:val="2"/>
        <w:spacing w:before="65" w:line="220" w:lineRule="auto"/>
        <w:ind w:left="25"/>
        <w:rPr>
          <w:sz w:val="20"/>
          <w:szCs w:val="20"/>
        </w:rPr>
      </w:pPr>
      <w:r>
        <w:rPr>
          <w:spacing w:val="-1"/>
          <w:sz w:val="20"/>
          <w:szCs w:val="20"/>
        </w:rPr>
        <w:t>工程名称：                                              第</w:t>
      </w:r>
      <w:r>
        <w:rPr>
          <w:spacing w:val="23"/>
          <w:sz w:val="20"/>
          <w:szCs w:val="20"/>
        </w:rPr>
        <w:t xml:space="preserve">  </w:t>
      </w:r>
      <w:r>
        <w:rPr>
          <w:spacing w:val="-1"/>
          <w:sz w:val="20"/>
          <w:szCs w:val="20"/>
        </w:rPr>
        <w:t>页</w:t>
      </w:r>
      <w:r>
        <w:rPr>
          <w:spacing w:val="14"/>
          <w:sz w:val="20"/>
          <w:szCs w:val="20"/>
        </w:rPr>
        <w:t xml:space="preserve">  </w:t>
      </w:r>
      <w:r>
        <w:rPr>
          <w:spacing w:val="-1"/>
          <w:sz w:val="20"/>
          <w:szCs w:val="20"/>
        </w:rPr>
        <w:t>共  页</w:t>
      </w:r>
    </w:p>
    <w:p w14:paraId="04F2E30C">
      <w:pPr>
        <w:spacing w:line="138" w:lineRule="exact"/>
      </w:pPr>
    </w:p>
    <w:tbl>
      <w:tblPr>
        <w:tblStyle w:val="5"/>
        <w:tblW w:w="847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54"/>
        <w:gridCol w:w="3316"/>
        <w:gridCol w:w="1198"/>
        <w:gridCol w:w="979"/>
        <w:gridCol w:w="1398"/>
        <w:gridCol w:w="934"/>
      </w:tblGrid>
      <w:tr w14:paraId="6F1F90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4" w:hRule="atLeast"/>
        </w:trPr>
        <w:tc>
          <w:tcPr>
            <w:tcW w:w="654" w:type="dxa"/>
            <w:vMerge w:val="restart"/>
            <w:tcBorders>
              <w:bottom w:val="nil"/>
            </w:tcBorders>
            <w:vAlign w:val="top"/>
          </w:tcPr>
          <w:p w14:paraId="6154F953">
            <w:pPr>
              <w:spacing w:line="433" w:lineRule="auto"/>
              <w:rPr>
                <w:rFonts w:ascii="Arial"/>
                <w:sz w:val="21"/>
              </w:rPr>
            </w:pPr>
          </w:p>
          <w:p w14:paraId="3B09A992">
            <w:pPr>
              <w:pStyle w:val="6"/>
              <w:spacing w:before="69" w:line="221" w:lineRule="auto"/>
              <w:ind w:left="104"/>
            </w:pPr>
            <w:r>
              <w:rPr>
                <w:spacing w:val="6"/>
              </w:rPr>
              <w:t>序号</w:t>
            </w:r>
          </w:p>
        </w:tc>
        <w:tc>
          <w:tcPr>
            <w:tcW w:w="3316" w:type="dxa"/>
            <w:vMerge w:val="restart"/>
            <w:tcBorders>
              <w:bottom w:val="nil"/>
            </w:tcBorders>
            <w:vAlign w:val="top"/>
          </w:tcPr>
          <w:p w14:paraId="5039F3D1">
            <w:pPr>
              <w:spacing w:line="433" w:lineRule="auto"/>
              <w:rPr>
                <w:rFonts w:ascii="Arial"/>
                <w:sz w:val="21"/>
              </w:rPr>
            </w:pPr>
          </w:p>
          <w:p w14:paraId="33E12E82">
            <w:pPr>
              <w:pStyle w:val="6"/>
              <w:spacing w:before="68" w:line="220" w:lineRule="auto"/>
              <w:ind w:left="1020"/>
            </w:pPr>
            <w:r>
              <w:rPr>
                <w:spacing w:val="1"/>
              </w:rPr>
              <w:t>单项工程名称</w:t>
            </w:r>
          </w:p>
        </w:tc>
        <w:tc>
          <w:tcPr>
            <w:tcW w:w="1198" w:type="dxa"/>
            <w:vMerge w:val="restart"/>
            <w:tcBorders>
              <w:bottom w:val="nil"/>
            </w:tcBorders>
            <w:vAlign w:val="top"/>
          </w:tcPr>
          <w:p w14:paraId="01C412AE">
            <w:pPr>
              <w:spacing w:line="432" w:lineRule="auto"/>
              <w:rPr>
                <w:rFonts w:ascii="Arial"/>
                <w:sz w:val="21"/>
              </w:rPr>
            </w:pPr>
          </w:p>
          <w:p w14:paraId="1244A6BB">
            <w:pPr>
              <w:pStyle w:val="6"/>
              <w:spacing w:before="69" w:line="219" w:lineRule="auto"/>
              <w:ind w:left="105"/>
            </w:pPr>
            <w:r>
              <w:rPr>
                <w:spacing w:val="9"/>
              </w:rPr>
              <w:t>金额(元)</w:t>
            </w:r>
          </w:p>
        </w:tc>
        <w:tc>
          <w:tcPr>
            <w:tcW w:w="3311" w:type="dxa"/>
            <w:gridSpan w:val="3"/>
            <w:vAlign w:val="top"/>
          </w:tcPr>
          <w:p w14:paraId="1432FBEE">
            <w:pPr>
              <w:pStyle w:val="6"/>
              <w:spacing w:before="204" w:line="220" w:lineRule="auto"/>
              <w:ind w:left="996"/>
            </w:pPr>
            <w:r>
              <w:rPr>
                <w:spacing w:val="-1"/>
              </w:rPr>
              <w:t>其</w:t>
            </w:r>
            <w:r>
              <w:rPr>
                <w:spacing w:val="46"/>
              </w:rPr>
              <w:t xml:space="preserve"> </w:t>
            </w:r>
            <w:r>
              <w:rPr>
                <w:spacing w:val="-1"/>
              </w:rPr>
              <w:t>中：(元)</w:t>
            </w:r>
          </w:p>
        </w:tc>
      </w:tr>
      <w:tr w14:paraId="4233DD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0" w:hRule="atLeast"/>
        </w:trPr>
        <w:tc>
          <w:tcPr>
            <w:tcW w:w="654" w:type="dxa"/>
            <w:vMerge w:val="continue"/>
            <w:tcBorders>
              <w:top w:val="nil"/>
            </w:tcBorders>
            <w:vAlign w:val="top"/>
          </w:tcPr>
          <w:p w14:paraId="2DEE3632">
            <w:pPr>
              <w:rPr>
                <w:rFonts w:ascii="Arial"/>
                <w:sz w:val="21"/>
              </w:rPr>
            </w:pPr>
          </w:p>
        </w:tc>
        <w:tc>
          <w:tcPr>
            <w:tcW w:w="3316" w:type="dxa"/>
            <w:vMerge w:val="continue"/>
            <w:tcBorders>
              <w:top w:val="nil"/>
            </w:tcBorders>
            <w:vAlign w:val="top"/>
          </w:tcPr>
          <w:p w14:paraId="1F018470">
            <w:pPr>
              <w:rPr>
                <w:rFonts w:ascii="Arial"/>
                <w:sz w:val="21"/>
              </w:rPr>
            </w:pPr>
          </w:p>
        </w:tc>
        <w:tc>
          <w:tcPr>
            <w:tcW w:w="1198" w:type="dxa"/>
            <w:vMerge w:val="continue"/>
            <w:tcBorders>
              <w:top w:val="nil"/>
            </w:tcBorders>
            <w:vAlign w:val="top"/>
          </w:tcPr>
          <w:p w14:paraId="53075EC7">
            <w:pPr>
              <w:rPr>
                <w:rFonts w:ascii="Arial"/>
                <w:sz w:val="21"/>
              </w:rPr>
            </w:pPr>
          </w:p>
        </w:tc>
        <w:tc>
          <w:tcPr>
            <w:tcW w:w="979" w:type="dxa"/>
            <w:vAlign w:val="top"/>
          </w:tcPr>
          <w:p w14:paraId="754D4B0B">
            <w:pPr>
              <w:pStyle w:val="6"/>
              <w:spacing w:before="187" w:line="218" w:lineRule="auto"/>
              <w:ind w:left="196"/>
            </w:pPr>
            <w:r>
              <w:rPr>
                <w:spacing w:val="2"/>
              </w:rPr>
              <w:t>暂估价</w:t>
            </w:r>
          </w:p>
        </w:tc>
        <w:tc>
          <w:tcPr>
            <w:tcW w:w="1398" w:type="dxa"/>
            <w:vAlign w:val="top"/>
          </w:tcPr>
          <w:p w14:paraId="447BBB7A">
            <w:pPr>
              <w:pStyle w:val="6"/>
              <w:spacing w:before="38" w:line="238" w:lineRule="auto"/>
              <w:ind w:left="377" w:right="247" w:hanging="100"/>
            </w:pPr>
            <w:r>
              <w:rPr>
                <w:spacing w:val="5"/>
              </w:rPr>
              <w:t>安全文明</w:t>
            </w:r>
            <w:r>
              <w:rPr>
                <w:spacing w:val="1"/>
              </w:rPr>
              <w:t xml:space="preserve"> </w:t>
            </w:r>
            <w:r>
              <w:rPr>
                <w:spacing w:val="4"/>
              </w:rPr>
              <w:t>施工费</w:t>
            </w:r>
          </w:p>
        </w:tc>
        <w:tc>
          <w:tcPr>
            <w:tcW w:w="934" w:type="dxa"/>
            <w:vAlign w:val="top"/>
          </w:tcPr>
          <w:p w14:paraId="6364C825">
            <w:pPr>
              <w:pStyle w:val="6"/>
              <w:spacing w:before="50" w:line="220" w:lineRule="auto"/>
              <w:ind w:left="229"/>
            </w:pPr>
            <w:r>
              <w:rPr>
                <w:spacing w:val="6"/>
              </w:rPr>
              <w:t>规费</w:t>
            </w:r>
          </w:p>
        </w:tc>
      </w:tr>
      <w:tr w14:paraId="187428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0" w:hRule="atLeast"/>
        </w:trPr>
        <w:tc>
          <w:tcPr>
            <w:tcW w:w="654" w:type="dxa"/>
            <w:vAlign w:val="top"/>
          </w:tcPr>
          <w:p w14:paraId="7DB7FCFC">
            <w:pPr>
              <w:pStyle w:val="6"/>
              <w:spacing w:before="210" w:line="241" w:lineRule="auto"/>
              <w:ind w:left="265"/>
            </w:pPr>
            <w:r>
              <w:t>1</w:t>
            </w:r>
          </w:p>
        </w:tc>
        <w:tc>
          <w:tcPr>
            <w:tcW w:w="3316" w:type="dxa"/>
            <w:vAlign w:val="top"/>
          </w:tcPr>
          <w:p w14:paraId="4F26C066">
            <w:pPr>
              <w:pStyle w:val="6"/>
              <w:spacing w:before="190" w:line="220" w:lineRule="auto"/>
              <w:ind w:left="90"/>
            </w:pPr>
            <w:r>
              <w:rPr>
                <w:spacing w:val="-2"/>
              </w:rPr>
              <w:t>单项工程</w:t>
            </w:r>
          </w:p>
        </w:tc>
        <w:tc>
          <w:tcPr>
            <w:tcW w:w="1198" w:type="dxa"/>
            <w:vAlign w:val="top"/>
          </w:tcPr>
          <w:p w14:paraId="60602097">
            <w:pPr>
              <w:rPr>
                <w:rFonts w:ascii="Arial"/>
                <w:sz w:val="21"/>
              </w:rPr>
            </w:pPr>
          </w:p>
        </w:tc>
        <w:tc>
          <w:tcPr>
            <w:tcW w:w="979" w:type="dxa"/>
            <w:vAlign w:val="top"/>
          </w:tcPr>
          <w:p w14:paraId="45DF7ADE">
            <w:pPr>
              <w:rPr>
                <w:rFonts w:ascii="Arial"/>
                <w:sz w:val="21"/>
              </w:rPr>
            </w:pPr>
          </w:p>
        </w:tc>
        <w:tc>
          <w:tcPr>
            <w:tcW w:w="1398" w:type="dxa"/>
            <w:vAlign w:val="top"/>
          </w:tcPr>
          <w:p w14:paraId="57363CF9">
            <w:pPr>
              <w:rPr>
                <w:rFonts w:ascii="Arial"/>
                <w:sz w:val="21"/>
              </w:rPr>
            </w:pPr>
          </w:p>
        </w:tc>
        <w:tc>
          <w:tcPr>
            <w:tcW w:w="934" w:type="dxa"/>
            <w:vAlign w:val="top"/>
          </w:tcPr>
          <w:p w14:paraId="6F3C7A50">
            <w:pPr>
              <w:rPr>
                <w:rFonts w:ascii="Arial"/>
                <w:sz w:val="21"/>
              </w:rPr>
            </w:pPr>
          </w:p>
        </w:tc>
      </w:tr>
      <w:tr w14:paraId="3111ED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9" w:hRule="atLeast"/>
        </w:trPr>
        <w:tc>
          <w:tcPr>
            <w:tcW w:w="654" w:type="dxa"/>
            <w:vAlign w:val="top"/>
          </w:tcPr>
          <w:p w14:paraId="3BE74D4C">
            <w:pPr>
              <w:rPr>
                <w:rFonts w:ascii="Arial"/>
                <w:sz w:val="21"/>
              </w:rPr>
            </w:pPr>
          </w:p>
        </w:tc>
        <w:tc>
          <w:tcPr>
            <w:tcW w:w="3316" w:type="dxa"/>
            <w:vAlign w:val="top"/>
          </w:tcPr>
          <w:p w14:paraId="54A9FC58">
            <w:pPr>
              <w:rPr>
                <w:rFonts w:ascii="Arial"/>
                <w:sz w:val="21"/>
              </w:rPr>
            </w:pPr>
          </w:p>
        </w:tc>
        <w:tc>
          <w:tcPr>
            <w:tcW w:w="1198" w:type="dxa"/>
            <w:vAlign w:val="top"/>
          </w:tcPr>
          <w:p w14:paraId="7ACF4CD0">
            <w:pPr>
              <w:rPr>
                <w:rFonts w:ascii="Arial"/>
                <w:sz w:val="21"/>
              </w:rPr>
            </w:pPr>
          </w:p>
        </w:tc>
        <w:tc>
          <w:tcPr>
            <w:tcW w:w="979" w:type="dxa"/>
            <w:vAlign w:val="top"/>
          </w:tcPr>
          <w:p w14:paraId="6C182691">
            <w:pPr>
              <w:rPr>
                <w:rFonts w:ascii="Arial"/>
                <w:sz w:val="21"/>
              </w:rPr>
            </w:pPr>
          </w:p>
        </w:tc>
        <w:tc>
          <w:tcPr>
            <w:tcW w:w="1398" w:type="dxa"/>
            <w:vAlign w:val="top"/>
          </w:tcPr>
          <w:p w14:paraId="0B037D83">
            <w:pPr>
              <w:rPr>
                <w:rFonts w:ascii="Arial"/>
                <w:sz w:val="21"/>
              </w:rPr>
            </w:pPr>
          </w:p>
        </w:tc>
        <w:tc>
          <w:tcPr>
            <w:tcW w:w="934" w:type="dxa"/>
            <w:vAlign w:val="top"/>
          </w:tcPr>
          <w:p w14:paraId="3C85BFFF">
            <w:pPr>
              <w:rPr>
                <w:rFonts w:ascii="Arial"/>
                <w:sz w:val="21"/>
              </w:rPr>
            </w:pPr>
          </w:p>
        </w:tc>
      </w:tr>
      <w:tr w14:paraId="1AAD7B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654" w:type="dxa"/>
            <w:vAlign w:val="top"/>
          </w:tcPr>
          <w:p w14:paraId="260DAB30">
            <w:pPr>
              <w:rPr>
                <w:rFonts w:ascii="Arial"/>
                <w:sz w:val="21"/>
              </w:rPr>
            </w:pPr>
          </w:p>
        </w:tc>
        <w:tc>
          <w:tcPr>
            <w:tcW w:w="3316" w:type="dxa"/>
            <w:vAlign w:val="top"/>
          </w:tcPr>
          <w:p w14:paraId="1AAE0AA0">
            <w:pPr>
              <w:pStyle w:val="6"/>
              <w:spacing w:before="180" w:line="219" w:lineRule="auto"/>
              <w:ind w:left="90"/>
            </w:pPr>
            <w:r>
              <w:t>建设项目数据：</w:t>
            </w:r>
          </w:p>
        </w:tc>
        <w:tc>
          <w:tcPr>
            <w:tcW w:w="1198" w:type="dxa"/>
            <w:vAlign w:val="top"/>
          </w:tcPr>
          <w:p w14:paraId="46DC30B5">
            <w:pPr>
              <w:rPr>
                <w:rFonts w:ascii="Arial"/>
                <w:sz w:val="21"/>
              </w:rPr>
            </w:pPr>
          </w:p>
        </w:tc>
        <w:tc>
          <w:tcPr>
            <w:tcW w:w="979" w:type="dxa"/>
            <w:vAlign w:val="top"/>
          </w:tcPr>
          <w:p w14:paraId="65095087">
            <w:pPr>
              <w:rPr>
                <w:rFonts w:ascii="Arial"/>
                <w:sz w:val="21"/>
              </w:rPr>
            </w:pPr>
          </w:p>
        </w:tc>
        <w:tc>
          <w:tcPr>
            <w:tcW w:w="1398" w:type="dxa"/>
            <w:vAlign w:val="top"/>
          </w:tcPr>
          <w:p w14:paraId="70027C3B">
            <w:pPr>
              <w:rPr>
                <w:rFonts w:ascii="Arial"/>
                <w:sz w:val="21"/>
              </w:rPr>
            </w:pPr>
          </w:p>
        </w:tc>
        <w:tc>
          <w:tcPr>
            <w:tcW w:w="934" w:type="dxa"/>
            <w:vAlign w:val="top"/>
          </w:tcPr>
          <w:p w14:paraId="14BD03D5">
            <w:pPr>
              <w:rPr>
                <w:rFonts w:ascii="Arial"/>
                <w:sz w:val="21"/>
              </w:rPr>
            </w:pPr>
          </w:p>
        </w:tc>
      </w:tr>
      <w:tr w14:paraId="301FC9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654" w:type="dxa"/>
            <w:vAlign w:val="top"/>
          </w:tcPr>
          <w:p w14:paraId="4E18EFAA">
            <w:pPr>
              <w:rPr>
                <w:rFonts w:ascii="Arial"/>
                <w:sz w:val="21"/>
              </w:rPr>
            </w:pPr>
          </w:p>
        </w:tc>
        <w:tc>
          <w:tcPr>
            <w:tcW w:w="3316" w:type="dxa"/>
            <w:vAlign w:val="top"/>
          </w:tcPr>
          <w:p w14:paraId="24EA8249">
            <w:pPr>
              <w:pStyle w:val="6"/>
              <w:spacing w:before="182" w:line="220" w:lineRule="auto"/>
              <w:ind w:left="90"/>
            </w:pPr>
            <w:r>
              <w:rPr>
                <w:spacing w:val="4"/>
              </w:rPr>
              <w:t>人工费</w:t>
            </w:r>
          </w:p>
        </w:tc>
        <w:tc>
          <w:tcPr>
            <w:tcW w:w="1198" w:type="dxa"/>
            <w:vAlign w:val="top"/>
          </w:tcPr>
          <w:p w14:paraId="351E1252">
            <w:pPr>
              <w:rPr>
                <w:rFonts w:ascii="Arial"/>
                <w:sz w:val="21"/>
              </w:rPr>
            </w:pPr>
          </w:p>
        </w:tc>
        <w:tc>
          <w:tcPr>
            <w:tcW w:w="979" w:type="dxa"/>
            <w:vAlign w:val="top"/>
          </w:tcPr>
          <w:p w14:paraId="00F76406">
            <w:pPr>
              <w:rPr>
                <w:rFonts w:ascii="Arial"/>
                <w:sz w:val="21"/>
              </w:rPr>
            </w:pPr>
          </w:p>
        </w:tc>
        <w:tc>
          <w:tcPr>
            <w:tcW w:w="1398" w:type="dxa"/>
            <w:vAlign w:val="top"/>
          </w:tcPr>
          <w:p w14:paraId="113BAAF4">
            <w:pPr>
              <w:rPr>
                <w:rFonts w:ascii="Arial"/>
                <w:sz w:val="21"/>
              </w:rPr>
            </w:pPr>
          </w:p>
        </w:tc>
        <w:tc>
          <w:tcPr>
            <w:tcW w:w="934" w:type="dxa"/>
            <w:vAlign w:val="top"/>
          </w:tcPr>
          <w:p w14:paraId="6753416F">
            <w:pPr>
              <w:rPr>
                <w:rFonts w:ascii="Arial"/>
                <w:sz w:val="21"/>
              </w:rPr>
            </w:pPr>
          </w:p>
        </w:tc>
      </w:tr>
      <w:tr w14:paraId="3737D5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654" w:type="dxa"/>
            <w:vAlign w:val="top"/>
          </w:tcPr>
          <w:p w14:paraId="2F082DE8">
            <w:pPr>
              <w:rPr>
                <w:rFonts w:ascii="Arial"/>
                <w:sz w:val="21"/>
              </w:rPr>
            </w:pPr>
          </w:p>
        </w:tc>
        <w:tc>
          <w:tcPr>
            <w:tcW w:w="3316" w:type="dxa"/>
            <w:vAlign w:val="top"/>
          </w:tcPr>
          <w:p w14:paraId="5656BA19">
            <w:pPr>
              <w:pStyle w:val="6"/>
              <w:spacing w:before="181" w:line="219" w:lineRule="auto"/>
              <w:ind w:left="90"/>
            </w:pPr>
            <w:r>
              <w:rPr>
                <w:spacing w:val="4"/>
              </w:rPr>
              <w:t>材料费</w:t>
            </w:r>
          </w:p>
        </w:tc>
        <w:tc>
          <w:tcPr>
            <w:tcW w:w="1198" w:type="dxa"/>
            <w:vAlign w:val="top"/>
          </w:tcPr>
          <w:p w14:paraId="6E8BEADD">
            <w:pPr>
              <w:rPr>
                <w:rFonts w:ascii="Arial"/>
                <w:sz w:val="21"/>
              </w:rPr>
            </w:pPr>
          </w:p>
        </w:tc>
        <w:tc>
          <w:tcPr>
            <w:tcW w:w="979" w:type="dxa"/>
            <w:vAlign w:val="top"/>
          </w:tcPr>
          <w:p w14:paraId="55F6F2FD">
            <w:pPr>
              <w:rPr>
                <w:rFonts w:ascii="Arial"/>
                <w:sz w:val="21"/>
              </w:rPr>
            </w:pPr>
          </w:p>
        </w:tc>
        <w:tc>
          <w:tcPr>
            <w:tcW w:w="1398" w:type="dxa"/>
            <w:vAlign w:val="top"/>
          </w:tcPr>
          <w:p w14:paraId="696ED75E">
            <w:pPr>
              <w:rPr>
                <w:rFonts w:ascii="Arial"/>
                <w:sz w:val="21"/>
              </w:rPr>
            </w:pPr>
          </w:p>
        </w:tc>
        <w:tc>
          <w:tcPr>
            <w:tcW w:w="934" w:type="dxa"/>
            <w:vAlign w:val="top"/>
          </w:tcPr>
          <w:p w14:paraId="71E3FABC">
            <w:pPr>
              <w:rPr>
                <w:rFonts w:ascii="Arial"/>
                <w:sz w:val="21"/>
              </w:rPr>
            </w:pPr>
          </w:p>
        </w:tc>
      </w:tr>
      <w:tr w14:paraId="20C4FA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9" w:hRule="atLeast"/>
        </w:trPr>
        <w:tc>
          <w:tcPr>
            <w:tcW w:w="654" w:type="dxa"/>
            <w:vAlign w:val="top"/>
          </w:tcPr>
          <w:p w14:paraId="453F08F0">
            <w:pPr>
              <w:rPr>
                <w:rFonts w:ascii="Arial"/>
                <w:sz w:val="21"/>
              </w:rPr>
            </w:pPr>
          </w:p>
        </w:tc>
        <w:tc>
          <w:tcPr>
            <w:tcW w:w="3316" w:type="dxa"/>
            <w:vAlign w:val="top"/>
          </w:tcPr>
          <w:p w14:paraId="20A22A3B">
            <w:pPr>
              <w:pStyle w:val="6"/>
              <w:spacing w:before="192" w:line="219" w:lineRule="auto"/>
              <w:ind w:left="90"/>
            </w:pPr>
            <w:r>
              <w:rPr>
                <w:spacing w:val="4"/>
              </w:rPr>
              <w:t>机械费</w:t>
            </w:r>
          </w:p>
        </w:tc>
        <w:tc>
          <w:tcPr>
            <w:tcW w:w="1198" w:type="dxa"/>
            <w:vAlign w:val="top"/>
          </w:tcPr>
          <w:p w14:paraId="3480059D">
            <w:pPr>
              <w:rPr>
                <w:rFonts w:ascii="Arial"/>
                <w:sz w:val="21"/>
              </w:rPr>
            </w:pPr>
          </w:p>
        </w:tc>
        <w:tc>
          <w:tcPr>
            <w:tcW w:w="979" w:type="dxa"/>
            <w:vAlign w:val="top"/>
          </w:tcPr>
          <w:p w14:paraId="4A12333F">
            <w:pPr>
              <w:rPr>
                <w:rFonts w:ascii="Arial"/>
                <w:sz w:val="21"/>
              </w:rPr>
            </w:pPr>
          </w:p>
        </w:tc>
        <w:tc>
          <w:tcPr>
            <w:tcW w:w="1398" w:type="dxa"/>
            <w:vAlign w:val="top"/>
          </w:tcPr>
          <w:p w14:paraId="2139CE61">
            <w:pPr>
              <w:rPr>
                <w:rFonts w:ascii="Arial"/>
                <w:sz w:val="21"/>
              </w:rPr>
            </w:pPr>
          </w:p>
        </w:tc>
        <w:tc>
          <w:tcPr>
            <w:tcW w:w="934" w:type="dxa"/>
            <w:vAlign w:val="top"/>
          </w:tcPr>
          <w:p w14:paraId="58185537">
            <w:pPr>
              <w:rPr>
                <w:rFonts w:ascii="Arial"/>
                <w:sz w:val="21"/>
              </w:rPr>
            </w:pPr>
          </w:p>
        </w:tc>
      </w:tr>
      <w:tr w14:paraId="7048FE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0" w:hRule="atLeast"/>
        </w:trPr>
        <w:tc>
          <w:tcPr>
            <w:tcW w:w="654" w:type="dxa"/>
            <w:vAlign w:val="top"/>
          </w:tcPr>
          <w:p w14:paraId="0EBEE17D">
            <w:pPr>
              <w:rPr>
                <w:rFonts w:ascii="Arial"/>
                <w:sz w:val="21"/>
              </w:rPr>
            </w:pPr>
          </w:p>
        </w:tc>
        <w:tc>
          <w:tcPr>
            <w:tcW w:w="3316" w:type="dxa"/>
            <w:vAlign w:val="top"/>
          </w:tcPr>
          <w:p w14:paraId="575B1346">
            <w:pPr>
              <w:pStyle w:val="6"/>
              <w:spacing w:before="195" w:line="220" w:lineRule="auto"/>
              <w:ind w:left="90"/>
            </w:pPr>
            <w:r>
              <w:rPr>
                <w:spacing w:val="4"/>
              </w:rPr>
              <w:t>设备费</w:t>
            </w:r>
          </w:p>
        </w:tc>
        <w:tc>
          <w:tcPr>
            <w:tcW w:w="1198" w:type="dxa"/>
            <w:vAlign w:val="top"/>
          </w:tcPr>
          <w:p w14:paraId="7DEA4F1C">
            <w:pPr>
              <w:rPr>
                <w:rFonts w:ascii="Arial"/>
                <w:sz w:val="21"/>
              </w:rPr>
            </w:pPr>
          </w:p>
        </w:tc>
        <w:tc>
          <w:tcPr>
            <w:tcW w:w="979" w:type="dxa"/>
            <w:vAlign w:val="top"/>
          </w:tcPr>
          <w:p w14:paraId="3A31FEFE">
            <w:pPr>
              <w:rPr>
                <w:rFonts w:ascii="Arial"/>
                <w:sz w:val="21"/>
              </w:rPr>
            </w:pPr>
          </w:p>
        </w:tc>
        <w:tc>
          <w:tcPr>
            <w:tcW w:w="1398" w:type="dxa"/>
            <w:vAlign w:val="top"/>
          </w:tcPr>
          <w:p w14:paraId="214798F1">
            <w:pPr>
              <w:rPr>
                <w:rFonts w:ascii="Arial"/>
                <w:sz w:val="21"/>
              </w:rPr>
            </w:pPr>
          </w:p>
        </w:tc>
        <w:tc>
          <w:tcPr>
            <w:tcW w:w="934" w:type="dxa"/>
            <w:vAlign w:val="top"/>
          </w:tcPr>
          <w:p w14:paraId="503EAE8E">
            <w:pPr>
              <w:rPr>
                <w:rFonts w:ascii="Arial"/>
                <w:sz w:val="21"/>
              </w:rPr>
            </w:pPr>
          </w:p>
        </w:tc>
      </w:tr>
      <w:tr w14:paraId="4F5552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654" w:type="dxa"/>
            <w:vAlign w:val="top"/>
          </w:tcPr>
          <w:p w14:paraId="139E09A2">
            <w:pPr>
              <w:rPr>
                <w:rFonts w:ascii="Arial"/>
                <w:sz w:val="21"/>
              </w:rPr>
            </w:pPr>
          </w:p>
        </w:tc>
        <w:tc>
          <w:tcPr>
            <w:tcW w:w="3316" w:type="dxa"/>
            <w:vAlign w:val="top"/>
          </w:tcPr>
          <w:p w14:paraId="5C1D24B7">
            <w:pPr>
              <w:pStyle w:val="6"/>
              <w:spacing w:before="183" w:line="219" w:lineRule="auto"/>
              <w:ind w:left="90"/>
            </w:pPr>
            <w:r>
              <w:rPr>
                <w:spacing w:val="4"/>
              </w:rPr>
              <w:t>主材费</w:t>
            </w:r>
          </w:p>
        </w:tc>
        <w:tc>
          <w:tcPr>
            <w:tcW w:w="1198" w:type="dxa"/>
            <w:vAlign w:val="top"/>
          </w:tcPr>
          <w:p w14:paraId="1704636F">
            <w:pPr>
              <w:rPr>
                <w:rFonts w:ascii="Arial"/>
                <w:sz w:val="21"/>
              </w:rPr>
            </w:pPr>
          </w:p>
        </w:tc>
        <w:tc>
          <w:tcPr>
            <w:tcW w:w="979" w:type="dxa"/>
            <w:vAlign w:val="top"/>
          </w:tcPr>
          <w:p w14:paraId="7D74E991">
            <w:pPr>
              <w:rPr>
                <w:rFonts w:ascii="Arial"/>
                <w:sz w:val="21"/>
              </w:rPr>
            </w:pPr>
          </w:p>
        </w:tc>
        <w:tc>
          <w:tcPr>
            <w:tcW w:w="1398" w:type="dxa"/>
            <w:vAlign w:val="top"/>
          </w:tcPr>
          <w:p w14:paraId="10F6985C">
            <w:pPr>
              <w:rPr>
                <w:rFonts w:ascii="Arial"/>
                <w:sz w:val="21"/>
              </w:rPr>
            </w:pPr>
          </w:p>
        </w:tc>
        <w:tc>
          <w:tcPr>
            <w:tcW w:w="934" w:type="dxa"/>
            <w:vAlign w:val="top"/>
          </w:tcPr>
          <w:p w14:paraId="22011217">
            <w:pPr>
              <w:rPr>
                <w:rFonts w:ascii="Arial"/>
                <w:sz w:val="21"/>
              </w:rPr>
            </w:pPr>
          </w:p>
        </w:tc>
      </w:tr>
      <w:tr w14:paraId="67FB5B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654" w:type="dxa"/>
            <w:vAlign w:val="top"/>
          </w:tcPr>
          <w:p w14:paraId="27126E74">
            <w:pPr>
              <w:rPr>
                <w:rFonts w:ascii="Arial"/>
                <w:sz w:val="21"/>
              </w:rPr>
            </w:pPr>
          </w:p>
        </w:tc>
        <w:tc>
          <w:tcPr>
            <w:tcW w:w="3316" w:type="dxa"/>
            <w:vAlign w:val="top"/>
          </w:tcPr>
          <w:p w14:paraId="14A0F5CB">
            <w:pPr>
              <w:rPr>
                <w:rFonts w:ascii="Arial"/>
                <w:sz w:val="21"/>
              </w:rPr>
            </w:pPr>
          </w:p>
        </w:tc>
        <w:tc>
          <w:tcPr>
            <w:tcW w:w="1198" w:type="dxa"/>
            <w:vAlign w:val="top"/>
          </w:tcPr>
          <w:p w14:paraId="6FE408DE">
            <w:pPr>
              <w:rPr>
                <w:rFonts w:ascii="Arial"/>
                <w:sz w:val="21"/>
              </w:rPr>
            </w:pPr>
          </w:p>
        </w:tc>
        <w:tc>
          <w:tcPr>
            <w:tcW w:w="979" w:type="dxa"/>
            <w:vAlign w:val="top"/>
          </w:tcPr>
          <w:p w14:paraId="4D472E35">
            <w:pPr>
              <w:rPr>
                <w:rFonts w:ascii="Arial"/>
                <w:sz w:val="21"/>
              </w:rPr>
            </w:pPr>
          </w:p>
        </w:tc>
        <w:tc>
          <w:tcPr>
            <w:tcW w:w="1398" w:type="dxa"/>
            <w:vAlign w:val="top"/>
          </w:tcPr>
          <w:p w14:paraId="0738338C">
            <w:pPr>
              <w:rPr>
                <w:rFonts w:ascii="Arial"/>
                <w:sz w:val="21"/>
              </w:rPr>
            </w:pPr>
          </w:p>
        </w:tc>
        <w:tc>
          <w:tcPr>
            <w:tcW w:w="934" w:type="dxa"/>
            <w:vAlign w:val="top"/>
          </w:tcPr>
          <w:p w14:paraId="6B5DA8BB">
            <w:pPr>
              <w:rPr>
                <w:rFonts w:ascii="Arial"/>
                <w:sz w:val="21"/>
              </w:rPr>
            </w:pPr>
          </w:p>
        </w:tc>
      </w:tr>
      <w:tr w14:paraId="27ACDC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0" w:hRule="atLeast"/>
        </w:trPr>
        <w:tc>
          <w:tcPr>
            <w:tcW w:w="654" w:type="dxa"/>
            <w:vAlign w:val="top"/>
          </w:tcPr>
          <w:p w14:paraId="52B4FA1B">
            <w:pPr>
              <w:rPr>
                <w:rFonts w:ascii="Arial"/>
                <w:sz w:val="21"/>
              </w:rPr>
            </w:pPr>
          </w:p>
        </w:tc>
        <w:tc>
          <w:tcPr>
            <w:tcW w:w="3316" w:type="dxa"/>
            <w:vAlign w:val="top"/>
          </w:tcPr>
          <w:p w14:paraId="394F609C">
            <w:pPr>
              <w:rPr>
                <w:rFonts w:ascii="Arial"/>
                <w:sz w:val="21"/>
              </w:rPr>
            </w:pPr>
          </w:p>
        </w:tc>
        <w:tc>
          <w:tcPr>
            <w:tcW w:w="1198" w:type="dxa"/>
            <w:vAlign w:val="top"/>
          </w:tcPr>
          <w:p w14:paraId="760674F2">
            <w:pPr>
              <w:rPr>
                <w:rFonts w:ascii="Arial"/>
                <w:sz w:val="21"/>
              </w:rPr>
            </w:pPr>
          </w:p>
        </w:tc>
        <w:tc>
          <w:tcPr>
            <w:tcW w:w="979" w:type="dxa"/>
            <w:vAlign w:val="top"/>
          </w:tcPr>
          <w:p w14:paraId="54423B12">
            <w:pPr>
              <w:rPr>
                <w:rFonts w:ascii="Arial"/>
                <w:sz w:val="21"/>
              </w:rPr>
            </w:pPr>
          </w:p>
        </w:tc>
        <w:tc>
          <w:tcPr>
            <w:tcW w:w="1398" w:type="dxa"/>
            <w:vAlign w:val="top"/>
          </w:tcPr>
          <w:p w14:paraId="5777A2BA">
            <w:pPr>
              <w:rPr>
                <w:rFonts w:ascii="Arial"/>
                <w:sz w:val="21"/>
              </w:rPr>
            </w:pPr>
          </w:p>
        </w:tc>
        <w:tc>
          <w:tcPr>
            <w:tcW w:w="934" w:type="dxa"/>
            <w:vAlign w:val="top"/>
          </w:tcPr>
          <w:p w14:paraId="5B44B00A">
            <w:pPr>
              <w:rPr>
                <w:rFonts w:ascii="Arial"/>
                <w:sz w:val="21"/>
              </w:rPr>
            </w:pPr>
          </w:p>
        </w:tc>
      </w:tr>
      <w:tr w14:paraId="685D5E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0" w:hRule="atLeast"/>
        </w:trPr>
        <w:tc>
          <w:tcPr>
            <w:tcW w:w="3970" w:type="dxa"/>
            <w:gridSpan w:val="2"/>
            <w:vAlign w:val="top"/>
          </w:tcPr>
          <w:p w14:paraId="1D0B30AF">
            <w:pPr>
              <w:pStyle w:val="6"/>
              <w:spacing w:before="207" w:line="221" w:lineRule="auto"/>
              <w:ind w:left="1714"/>
            </w:pPr>
            <w:r>
              <w:rPr>
                <w:spacing w:val="-5"/>
              </w:rPr>
              <w:t>合</w:t>
            </w:r>
            <w:r>
              <w:rPr>
                <w:spacing w:val="61"/>
              </w:rPr>
              <w:t xml:space="preserve"> </w:t>
            </w:r>
            <w:r>
              <w:rPr>
                <w:spacing w:val="-5"/>
              </w:rPr>
              <w:t>计</w:t>
            </w:r>
          </w:p>
        </w:tc>
        <w:tc>
          <w:tcPr>
            <w:tcW w:w="1198" w:type="dxa"/>
            <w:vAlign w:val="top"/>
          </w:tcPr>
          <w:p w14:paraId="651AE827">
            <w:pPr>
              <w:rPr>
                <w:rFonts w:ascii="Arial"/>
                <w:sz w:val="21"/>
              </w:rPr>
            </w:pPr>
          </w:p>
        </w:tc>
        <w:tc>
          <w:tcPr>
            <w:tcW w:w="979" w:type="dxa"/>
            <w:vAlign w:val="top"/>
          </w:tcPr>
          <w:p w14:paraId="1F9CDF8F">
            <w:pPr>
              <w:rPr>
                <w:rFonts w:ascii="Arial"/>
                <w:sz w:val="21"/>
              </w:rPr>
            </w:pPr>
          </w:p>
        </w:tc>
        <w:tc>
          <w:tcPr>
            <w:tcW w:w="1398" w:type="dxa"/>
            <w:vAlign w:val="top"/>
          </w:tcPr>
          <w:p w14:paraId="45A5822F">
            <w:pPr>
              <w:rPr>
                <w:rFonts w:ascii="Arial"/>
                <w:sz w:val="21"/>
              </w:rPr>
            </w:pPr>
          </w:p>
        </w:tc>
        <w:tc>
          <w:tcPr>
            <w:tcW w:w="934" w:type="dxa"/>
            <w:vAlign w:val="top"/>
          </w:tcPr>
          <w:p w14:paraId="50E16E29">
            <w:pPr>
              <w:rPr>
                <w:rFonts w:ascii="Arial"/>
                <w:sz w:val="21"/>
              </w:rPr>
            </w:pPr>
          </w:p>
        </w:tc>
      </w:tr>
      <w:tr w14:paraId="4F75A1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3970" w:type="dxa"/>
            <w:gridSpan w:val="2"/>
            <w:vAlign w:val="top"/>
          </w:tcPr>
          <w:p w14:paraId="06C60E86">
            <w:pPr>
              <w:pStyle w:val="6"/>
              <w:spacing w:before="214" w:line="218" w:lineRule="auto"/>
              <w:ind w:left="114"/>
            </w:pPr>
            <w:r>
              <w:rPr>
                <w:spacing w:val="2"/>
              </w:rPr>
              <w:t>算术错误修正后的投标报价(A)</w:t>
            </w:r>
          </w:p>
        </w:tc>
        <w:tc>
          <w:tcPr>
            <w:tcW w:w="1198" w:type="dxa"/>
            <w:vAlign w:val="top"/>
          </w:tcPr>
          <w:p w14:paraId="3E322FFD">
            <w:pPr>
              <w:rPr>
                <w:rFonts w:ascii="Arial"/>
                <w:sz w:val="21"/>
              </w:rPr>
            </w:pPr>
          </w:p>
        </w:tc>
        <w:tc>
          <w:tcPr>
            <w:tcW w:w="979" w:type="dxa"/>
            <w:vAlign w:val="top"/>
          </w:tcPr>
          <w:p w14:paraId="2EA490ED">
            <w:pPr>
              <w:rPr>
                <w:rFonts w:ascii="Arial"/>
                <w:sz w:val="21"/>
              </w:rPr>
            </w:pPr>
          </w:p>
        </w:tc>
        <w:tc>
          <w:tcPr>
            <w:tcW w:w="1398" w:type="dxa"/>
            <w:vAlign w:val="top"/>
          </w:tcPr>
          <w:p w14:paraId="11052754">
            <w:pPr>
              <w:rPr>
                <w:rFonts w:ascii="Arial"/>
                <w:sz w:val="21"/>
              </w:rPr>
            </w:pPr>
          </w:p>
        </w:tc>
        <w:tc>
          <w:tcPr>
            <w:tcW w:w="934" w:type="dxa"/>
            <w:vAlign w:val="top"/>
          </w:tcPr>
          <w:p w14:paraId="2ED5936E">
            <w:pPr>
              <w:rPr>
                <w:rFonts w:ascii="Arial"/>
                <w:sz w:val="21"/>
              </w:rPr>
            </w:pPr>
          </w:p>
        </w:tc>
      </w:tr>
      <w:tr w14:paraId="532C06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trPr>
        <w:tc>
          <w:tcPr>
            <w:tcW w:w="3970" w:type="dxa"/>
            <w:gridSpan w:val="2"/>
            <w:vAlign w:val="top"/>
          </w:tcPr>
          <w:p w14:paraId="2A0453E3">
            <w:pPr>
              <w:pStyle w:val="6"/>
              <w:spacing w:before="205" w:line="218" w:lineRule="auto"/>
              <w:ind w:left="114"/>
            </w:pPr>
            <w:r>
              <w:rPr>
                <w:spacing w:val="5"/>
              </w:rPr>
              <w:t>原投标报价(B)</w:t>
            </w:r>
          </w:p>
        </w:tc>
        <w:tc>
          <w:tcPr>
            <w:tcW w:w="1198" w:type="dxa"/>
            <w:vAlign w:val="top"/>
          </w:tcPr>
          <w:p w14:paraId="5A7E3F63">
            <w:pPr>
              <w:rPr>
                <w:rFonts w:ascii="Arial"/>
                <w:sz w:val="21"/>
              </w:rPr>
            </w:pPr>
          </w:p>
        </w:tc>
        <w:tc>
          <w:tcPr>
            <w:tcW w:w="979" w:type="dxa"/>
            <w:vAlign w:val="top"/>
          </w:tcPr>
          <w:p w14:paraId="208F858F">
            <w:pPr>
              <w:rPr>
                <w:rFonts w:ascii="Arial"/>
                <w:sz w:val="21"/>
              </w:rPr>
            </w:pPr>
          </w:p>
        </w:tc>
        <w:tc>
          <w:tcPr>
            <w:tcW w:w="1398" w:type="dxa"/>
            <w:vAlign w:val="top"/>
          </w:tcPr>
          <w:p w14:paraId="49EE660B">
            <w:pPr>
              <w:rPr>
                <w:rFonts w:ascii="Arial"/>
                <w:sz w:val="21"/>
              </w:rPr>
            </w:pPr>
          </w:p>
        </w:tc>
        <w:tc>
          <w:tcPr>
            <w:tcW w:w="934" w:type="dxa"/>
            <w:vAlign w:val="top"/>
          </w:tcPr>
          <w:p w14:paraId="35D01BEB">
            <w:pPr>
              <w:rPr>
                <w:rFonts w:ascii="Arial"/>
                <w:sz w:val="21"/>
              </w:rPr>
            </w:pPr>
          </w:p>
        </w:tc>
      </w:tr>
      <w:tr w14:paraId="06964A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5" w:hRule="atLeast"/>
        </w:trPr>
        <w:tc>
          <w:tcPr>
            <w:tcW w:w="3970" w:type="dxa"/>
            <w:gridSpan w:val="2"/>
            <w:vAlign w:val="top"/>
          </w:tcPr>
          <w:p w14:paraId="3EF0EE99">
            <w:pPr>
              <w:pStyle w:val="6"/>
              <w:spacing w:before="201" w:line="225" w:lineRule="auto"/>
              <w:ind w:left="94"/>
            </w:pPr>
            <w:r>
              <w:rPr>
                <w:spacing w:val="-6"/>
              </w:rPr>
              <w:t>偏差</w:t>
            </w:r>
            <w:r>
              <w:rPr>
                <w:spacing w:val="4"/>
              </w:rPr>
              <w:t xml:space="preserve">      </w:t>
            </w:r>
            <w:r>
              <w:rPr>
                <w:spacing w:val="-6"/>
              </w:rPr>
              <w:t>(A-B)/B</w:t>
            </w:r>
          </w:p>
        </w:tc>
        <w:tc>
          <w:tcPr>
            <w:tcW w:w="1198" w:type="dxa"/>
            <w:vAlign w:val="top"/>
          </w:tcPr>
          <w:p w14:paraId="64616283">
            <w:pPr>
              <w:rPr>
                <w:rFonts w:ascii="Arial"/>
                <w:sz w:val="21"/>
              </w:rPr>
            </w:pPr>
          </w:p>
        </w:tc>
        <w:tc>
          <w:tcPr>
            <w:tcW w:w="979" w:type="dxa"/>
            <w:vAlign w:val="top"/>
          </w:tcPr>
          <w:p w14:paraId="6327BB16">
            <w:pPr>
              <w:rPr>
                <w:rFonts w:ascii="Arial"/>
                <w:sz w:val="21"/>
              </w:rPr>
            </w:pPr>
          </w:p>
        </w:tc>
        <w:tc>
          <w:tcPr>
            <w:tcW w:w="1398" w:type="dxa"/>
            <w:vAlign w:val="top"/>
          </w:tcPr>
          <w:p w14:paraId="6459C6F1">
            <w:pPr>
              <w:rPr>
                <w:rFonts w:ascii="Arial"/>
                <w:sz w:val="21"/>
              </w:rPr>
            </w:pPr>
          </w:p>
        </w:tc>
        <w:tc>
          <w:tcPr>
            <w:tcW w:w="934" w:type="dxa"/>
            <w:vAlign w:val="top"/>
          </w:tcPr>
          <w:p w14:paraId="3710E0C9">
            <w:pPr>
              <w:rPr>
                <w:rFonts w:ascii="Arial"/>
                <w:sz w:val="21"/>
              </w:rPr>
            </w:pPr>
          </w:p>
        </w:tc>
      </w:tr>
    </w:tbl>
    <w:p w14:paraId="0E0FA23B">
      <w:pPr>
        <w:spacing w:line="271" w:lineRule="auto"/>
        <w:rPr>
          <w:rFonts w:ascii="Arial"/>
          <w:sz w:val="21"/>
        </w:rPr>
      </w:pPr>
    </w:p>
    <w:p w14:paraId="31E2689C">
      <w:pPr>
        <w:pStyle w:val="2"/>
        <w:spacing w:before="66" w:line="223" w:lineRule="auto"/>
        <w:ind w:left="25"/>
        <w:rPr>
          <w:sz w:val="20"/>
          <w:szCs w:val="20"/>
        </w:rPr>
      </w:pPr>
      <w:r>
        <w:rPr>
          <w:spacing w:val="-4"/>
          <w:sz w:val="20"/>
          <w:szCs w:val="20"/>
        </w:rPr>
        <w:t>评标委员会成员签名：</w:t>
      </w:r>
      <w:r>
        <w:rPr>
          <w:sz w:val="20"/>
          <w:szCs w:val="20"/>
        </w:rPr>
        <w:t xml:space="preserve">                                     </w:t>
      </w:r>
      <w:r>
        <w:rPr>
          <w:spacing w:val="-4"/>
          <w:sz w:val="15"/>
          <w:szCs w:val="15"/>
        </w:rPr>
        <w:t>日 期</w:t>
      </w:r>
      <w:r>
        <w:rPr>
          <w:spacing w:val="36"/>
          <w:sz w:val="15"/>
          <w:szCs w:val="15"/>
        </w:rPr>
        <w:t xml:space="preserve"> </w:t>
      </w:r>
      <w:r>
        <w:rPr>
          <w:spacing w:val="-4"/>
          <w:sz w:val="15"/>
          <w:szCs w:val="15"/>
        </w:rPr>
        <w:t xml:space="preserve">：      </w:t>
      </w:r>
      <w:r>
        <w:rPr>
          <w:spacing w:val="-4"/>
          <w:sz w:val="20"/>
          <w:szCs w:val="20"/>
        </w:rPr>
        <w:t>年</w:t>
      </w:r>
      <w:r>
        <w:rPr>
          <w:spacing w:val="9"/>
          <w:sz w:val="20"/>
          <w:szCs w:val="20"/>
        </w:rPr>
        <w:t xml:space="preserve">     </w:t>
      </w:r>
      <w:r>
        <w:rPr>
          <w:spacing w:val="-4"/>
          <w:sz w:val="20"/>
          <w:szCs w:val="20"/>
        </w:rPr>
        <w:t xml:space="preserve">月      </w:t>
      </w:r>
      <w:r>
        <w:rPr>
          <w:spacing w:val="-4"/>
          <w:position w:val="1"/>
          <w:sz w:val="20"/>
          <w:szCs w:val="20"/>
        </w:rPr>
        <w:t>日</w:t>
      </w:r>
    </w:p>
    <w:p w14:paraId="0350CB77">
      <w:pPr>
        <w:pStyle w:val="2"/>
        <w:spacing w:before="302" w:line="245" w:lineRule="auto"/>
        <w:ind w:left="434" w:hanging="409"/>
        <w:rPr>
          <w:sz w:val="20"/>
          <w:szCs w:val="20"/>
        </w:rPr>
      </w:pPr>
      <w:r>
        <w:rPr>
          <w:spacing w:val="12"/>
          <w:sz w:val="20"/>
          <w:szCs w:val="20"/>
        </w:rPr>
        <w:t>注：按修正后的价格的修正投标人已标价工程量清单相应表格并计算其修正后的投标报价，本表</w:t>
      </w:r>
      <w:r>
        <w:rPr>
          <w:spacing w:val="4"/>
          <w:sz w:val="20"/>
          <w:szCs w:val="20"/>
        </w:rPr>
        <w:t xml:space="preserve"> </w:t>
      </w:r>
      <w:r>
        <w:rPr>
          <w:spacing w:val="8"/>
          <w:sz w:val="20"/>
          <w:szCs w:val="20"/>
        </w:rPr>
        <w:t>为示例</w:t>
      </w:r>
    </w:p>
    <w:p w14:paraId="5BEE5119">
      <w:pPr>
        <w:spacing w:line="245" w:lineRule="auto"/>
        <w:rPr>
          <w:sz w:val="20"/>
          <w:szCs w:val="20"/>
        </w:rPr>
        <w:sectPr>
          <w:footerReference r:id="rId104" w:type="default"/>
          <w:pgSz w:w="11910" w:h="16840"/>
          <w:pgMar w:top="400" w:right="1530" w:bottom="1024" w:left="1445" w:header="0" w:footer="889" w:gutter="0"/>
          <w:cols w:space="720" w:num="1"/>
        </w:sectPr>
      </w:pPr>
    </w:p>
    <w:p w14:paraId="56944AD0">
      <w:pPr>
        <w:spacing w:line="284" w:lineRule="auto"/>
        <w:rPr>
          <w:rFonts w:ascii="Arial"/>
          <w:sz w:val="21"/>
        </w:rPr>
      </w:pPr>
    </w:p>
    <w:p w14:paraId="0D198AD2">
      <w:pPr>
        <w:spacing w:line="284" w:lineRule="auto"/>
        <w:rPr>
          <w:rFonts w:ascii="Arial"/>
          <w:sz w:val="21"/>
        </w:rPr>
      </w:pPr>
    </w:p>
    <w:p w14:paraId="2EB9C462">
      <w:pPr>
        <w:spacing w:line="284" w:lineRule="auto"/>
        <w:rPr>
          <w:rFonts w:ascii="Arial"/>
          <w:sz w:val="21"/>
        </w:rPr>
      </w:pPr>
    </w:p>
    <w:p w14:paraId="7D1A5C5B">
      <w:pPr>
        <w:spacing w:line="284" w:lineRule="auto"/>
        <w:rPr>
          <w:rFonts w:ascii="Arial"/>
          <w:sz w:val="21"/>
        </w:rPr>
      </w:pPr>
    </w:p>
    <w:p w14:paraId="51CA45BC">
      <w:pPr>
        <w:pStyle w:val="2"/>
        <w:spacing w:before="82" w:line="222" w:lineRule="auto"/>
        <w:ind w:left="558"/>
        <w:rPr>
          <w:rFonts w:ascii="黑体" w:hAnsi="黑体" w:eastAsia="黑体" w:cs="黑体"/>
        </w:rPr>
      </w:pPr>
      <w:r>
        <w:rPr>
          <w:rFonts w:ascii="黑体" w:hAnsi="黑体" w:eastAsia="黑体" w:cs="黑体"/>
          <w:b/>
          <w:bCs/>
          <w:spacing w:val="-10"/>
        </w:rPr>
        <w:t>附表</w:t>
      </w:r>
      <w:r>
        <w:rPr>
          <w:rFonts w:ascii="黑体" w:hAnsi="黑体" w:eastAsia="黑体" w:cs="黑体"/>
          <w:spacing w:val="-52"/>
        </w:rPr>
        <w:t xml:space="preserve"> </w:t>
      </w:r>
      <w:r>
        <w:rPr>
          <w:b/>
          <w:bCs/>
          <w:spacing w:val="-10"/>
        </w:rPr>
        <w:t>C-9:</w:t>
      </w:r>
      <w:r>
        <w:rPr>
          <w:spacing w:val="-10"/>
        </w:rPr>
        <w:t xml:space="preserve"> </w:t>
      </w:r>
      <w:r>
        <w:rPr>
          <w:rFonts w:ascii="黑体" w:hAnsi="黑体" w:eastAsia="黑体" w:cs="黑体"/>
          <w:b/>
          <w:bCs/>
          <w:spacing w:val="-10"/>
        </w:rPr>
        <w:t>清标报告-分部分项工程和单价措施项目清单综合单</w:t>
      </w:r>
      <w:r>
        <w:rPr>
          <w:rFonts w:ascii="黑体" w:hAnsi="黑体" w:eastAsia="黑体" w:cs="黑体"/>
          <w:b/>
          <w:bCs/>
          <w:spacing w:val="-11"/>
        </w:rPr>
        <w:t>价分析记录表</w:t>
      </w:r>
    </w:p>
    <w:p w14:paraId="3333EE18">
      <w:pPr>
        <w:spacing w:line="324" w:lineRule="auto"/>
        <w:rPr>
          <w:rFonts w:ascii="Arial"/>
          <w:sz w:val="21"/>
        </w:rPr>
      </w:pPr>
    </w:p>
    <w:p w14:paraId="40CF4FA6">
      <w:pPr>
        <w:spacing w:before="104" w:line="222" w:lineRule="auto"/>
        <w:ind w:left="2649"/>
        <w:rPr>
          <w:rFonts w:ascii="黑体" w:hAnsi="黑体" w:eastAsia="黑体" w:cs="黑体"/>
          <w:sz w:val="32"/>
          <w:szCs w:val="32"/>
        </w:rPr>
      </w:pPr>
      <w:r>
        <w:rPr>
          <w:rFonts w:ascii="黑体" w:hAnsi="黑体" w:eastAsia="黑体" w:cs="黑体"/>
          <w:b/>
          <w:bCs/>
          <w:spacing w:val="-2"/>
          <w:sz w:val="32"/>
          <w:szCs w:val="32"/>
        </w:rPr>
        <w:t>清标报告-分部分项工程和单价措施项目清单价格</w:t>
      </w:r>
      <w:r>
        <w:rPr>
          <w:rFonts w:ascii="黑体" w:hAnsi="黑体" w:eastAsia="黑体" w:cs="黑体"/>
          <w:b/>
          <w:bCs/>
          <w:spacing w:val="-3"/>
          <w:sz w:val="32"/>
          <w:szCs w:val="32"/>
        </w:rPr>
        <w:t>分析记录表</w:t>
      </w:r>
    </w:p>
    <w:p w14:paraId="0E955CD9">
      <w:pPr>
        <w:pStyle w:val="2"/>
        <w:spacing w:before="157" w:line="220" w:lineRule="auto"/>
        <w:ind w:left="114"/>
        <w:rPr>
          <w:sz w:val="20"/>
          <w:szCs w:val="20"/>
        </w:rPr>
      </w:pPr>
      <w:r>
        <w:rPr>
          <w:spacing w:val="3"/>
          <w:sz w:val="20"/>
          <w:szCs w:val="20"/>
        </w:rPr>
        <w:t>投标人名称：</w:t>
      </w:r>
    </w:p>
    <w:p w14:paraId="5C16B7CC">
      <w:pPr>
        <w:spacing w:before="26"/>
      </w:pPr>
    </w:p>
    <w:tbl>
      <w:tblPr>
        <w:tblStyle w:val="5"/>
        <w:tblW w:w="1380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4"/>
        <w:gridCol w:w="1279"/>
        <w:gridCol w:w="1329"/>
        <w:gridCol w:w="1329"/>
        <w:gridCol w:w="1329"/>
        <w:gridCol w:w="1299"/>
        <w:gridCol w:w="1299"/>
        <w:gridCol w:w="1329"/>
        <w:gridCol w:w="1309"/>
        <w:gridCol w:w="1329"/>
        <w:gridCol w:w="1294"/>
      </w:tblGrid>
      <w:tr w14:paraId="0D5727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4" w:hRule="atLeast"/>
        </w:trPr>
        <w:tc>
          <w:tcPr>
            <w:tcW w:w="3292" w:type="dxa"/>
            <w:gridSpan w:val="3"/>
            <w:vAlign w:val="top"/>
          </w:tcPr>
          <w:p w14:paraId="605A9F1E">
            <w:pPr>
              <w:pStyle w:val="6"/>
              <w:spacing w:before="173" w:line="220" w:lineRule="auto"/>
              <w:ind w:left="1035"/>
              <w:rPr>
                <w:sz w:val="20"/>
                <w:szCs w:val="20"/>
              </w:rPr>
            </w:pPr>
            <w:r>
              <w:rPr>
                <w:spacing w:val="-2"/>
                <w:sz w:val="20"/>
                <w:szCs w:val="20"/>
              </w:rPr>
              <w:t>单位工程名称</w:t>
            </w:r>
          </w:p>
        </w:tc>
        <w:tc>
          <w:tcPr>
            <w:tcW w:w="10517" w:type="dxa"/>
            <w:gridSpan w:val="8"/>
            <w:vAlign w:val="top"/>
          </w:tcPr>
          <w:p w14:paraId="1E9C1133">
            <w:pPr>
              <w:rPr>
                <w:rFonts w:ascii="Arial"/>
                <w:sz w:val="21"/>
              </w:rPr>
            </w:pPr>
          </w:p>
        </w:tc>
      </w:tr>
      <w:tr w14:paraId="186349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8" w:hRule="atLeast"/>
        </w:trPr>
        <w:tc>
          <w:tcPr>
            <w:tcW w:w="684" w:type="dxa"/>
            <w:vAlign w:val="top"/>
          </w:tcPr>
          <w:p w14:paraId="42FFDBF4">
            <w:pPr>
              <w:pStyle w:val="6"/>
              <w:spacing w:before="280" w:line="221" w:lineRule="auto"/>
              <w:ind w:left="115"/>
              <w:rPr>
                <w:sz w:val="20"/>
                <w:szCs w:val="20"/>
              </w:rPr>
            </w:pPr>
            <w:r>
              <w:rPr>
                <w:spacing w:val="-2"/>
                <w:sz w:val="20"/>
                <w:szCs w:val="20"/>
              </w:rPr>
              <w:t>序号</w:t>
            </w:r>
          </w:p>
        </w:tc>
        <w:tc>
          <w:tcPr>
            <w:tcW w:w="1279" w:type="dxa"/>
            <w:vAlign w:val="top"/>
          </w:tcPr>
          <w:p w14:paraId="301DB1A5">
            <w:pPr>
              <w:pStyle w:val="6"/>
              <w:spacing w:before="279" w:line="219" w:lineRule="auto"/>
              <w:ind w:left="251"/>
              <w:rPr>
                <w:sz w:val="20"/>
                <w:szCs w:val="20"/>
              </w:rPr>
            </w:pPr>
            <w:r>
              <w:rPr>
                <w:spacing w:val="2"/>
                <w:sz w:val="20"/>
                <w:szCs w:val="20"/>
              </w:rPr>
              <w:t>项目编码</w:t>
            </w:r>
          </w:p>
        </w:tc>
        <w:tc>
          <w:tcPr>
            <w:tcW w:w="1329" w:type="dxa"/>
            <w:vAlign w:val="top"/>
          </w:tcPr>
          <w:p w14:paraId="7CE038F0">
            <w:pPr>
              <w:pStyle w:val="6"/>
              <w:spacing w:before="279" w:line="220" w:lineRule="auto"/>
              <w:ind w:left="302"/>
              <w:rPr>
                <w:sz w:val="20"/>
                <w:szCs w:val="20"/>
              </w:rPr>
            </w:pPr>
            <w:r>
              <w:rPr>
                <w:spacing w:val="2"/>
                <w:sz w:val="20"/>
                <w:szCs w:val="20"/>
              </w:rPr>
              <w:t>项目名称</w:t>
            </w:r>
          </w:p>
        </w:tc>
        <w:tc>
          <w:tcPr>
            <w:tcW w:w="1329" w:type="dxa"/>
            <w:vAlign w:val="top"/>
          </w:tcPr>
          <w:p w14:paraId="33B0E3B7">
            <w:pPr>
              <w:pStyle w:val="6"/>
              <w:spacing w:before="277" w:line="218" w:lineRule="auto"/>
              <w:ind w:left="253"/>
              <w:rPr>
                <w:sz w:val="20"/>
                <w:szCs w:val="20"/>
              </w:rPr>
            </w:pPr>
            <w:r>
              <w:rPr>
                <w:spacing w:val="-2"/>
                <w:sz w:val="20"/>
                <w:szCs w:val="20"/>
              </w:rPr>
              <w:t>综合单价</w:t>
            </w:r>
          </w:p>
        </w:tc>
        <w:tc>
          <w:tcPr>
            <w:tcW w:w="1329" w:type="dxa"/>
            <w:vAlign w:val="top"/>
          </w:tcPr>
          <w:p w14:paraId="0D6DDD52">
            <w:pPr>
              <w:pStyle w:val="6"/>
              <w:spacing w:before="147" w:line="218" w:lineRule="auto"/>
              <w:ind w:left="154"/>
              <w:rPr>
                <w:sz w:val="20"/>
                <w:szCs w:val="20"/>
              </w:rPr>
            </w:pPr>
            <w:r>
              <w:rPr>
                <w:spacing w:val="-2"/>
                <w:sz w:val="20"/>
                <w:szCs w:val="20"/>
              </w:rPr>
              <w:t>招标控制价</w:t>
            </w:r>
          </w:p>
          <w:p w14:paraId="04488499">
            <w:pPr>
              <w:pStyle w:val="6"/>
              <w:spacing w:before="33" w:line="218" w:lineRule="auto"/>
              <w:ind w:left="154"/>
              <w:rPr>
                <w:sz w:val="20"/>
                <w:szCs w:val="20"/>
              </w:rPr>
            </w:pPr>
            <w:r>
              <w:rPr>
                <w:spacing w:val="1"/>
                <w:sz w:val="20"/>
                <w:szCs w:val="20"/>
              </w:rPr>
              <w:t>的综合单价</w:t>
            </w:r>
          </w:p>
        </w:tc>
        <w:tc>
          <w:tcPr>
            <w:tcW w:w="1299" w:type="dxa"/>
            <w:vAlign w:val="top"/>
          </w:tcPr>
          <w:p w14:paraId="30BDF090">
            <w:pPr>
              <w:pStyle w:val="6"/>
              <w:spacing w:before="127" w:line="218" w:lineRule="auto"/>
              <w:ind w:left="244"/>
              <w:rPr>
                <w:sz w:val="20"/>
                <w:szCs w:val="20"/>
              </w:rPr>
            </w:pPr>
            <w:r>
              <w:rPr>
                <w:spacing w:val="-2"/>
                <w:sz w:val="20"/>
                <w:szCs w:val="20"/>
              </w:rPr>
              <w:t>综合单价</w:t>
            </w:r>
          </w:p>
          <w:p w14:paraId="5D8363B3">
            <w:pPr>
              <w:pStyle w:val="6"/>
              <w:spacing w:before="43" w:line="218" w:lineRule="auto"/>
              <w:ind w:left="244"/>
              <w:rPr>
                <w:sz w:val="20"/>
                <w:szCs w:val="20"/>
              </w:rPr>
            </w:pPr>
            <w:r>
              <w:rPr>
                <w:spacing w:val="-2"/>
                <w:sz w:val="20"/>
                <w:szCs w:val="20"/>
              </w:rPr>
              <w:t>偏离幅度</w:t>
            </w:r>
          </w:p>
        </w:tc>
        <w:tc>
          <w:tcPr>
            <w:tcW w:w="1299" w:type="dxa"/>
            <w:vAlign w:val="top"/>
          </w:tcPr>
          <w:p w14:paraId="6C9C9C5B">
            <w:pPr>
              <w:pStyle w:val="6"/>
              <w:spacing w:before="148" w:line="219" w:lineRule="auto"/>
              <w:ind w:left="246"/>
              <w:rPr>
                <w:sz w:val="20"/>
                <w:szCs w:val="20"/>
              </w:rPr>
            </w:pPr>
            <w:r>
              <w:rPr>
                <w:spacing w:val="-2"/>
                <w:sz w:val="20"/>
                <w:szCs w:val="20"/>
              </w:rPr>
              <w:t>主要材料</w:t>
            </w:r>
          </w:p>
          <w:p w14:paraId="40B599CF">
            <w:pPr>
              <w:pStyle w:val="6"/>
              <w:spacing w:before="22" w:line="218" w:lineRule="auto"/>
              <w:ind w:left="446"/>
              <w:rPr>
                <w:sz w:val="20"/>
                <w:szCs w:val="20"/>
              </w:rPr>
            </w:pPr>
            <w:r>
              <w:rPr>
                <w:spacing w:val="-3"/>
                <w:sz w:val="20"/>
                <w:szCs w:val="20"/>
              </w:rPr>
              <w:t>价格</w:t>
            </w:r>
          </w:p>
        </w:tc>
        <w:tc>
          <w:tcPr>
            <w:tcW w:w="1329" w:type="dxa"/>
            <w:vAlign w:val="top"/>
          </w:tcPr>
          <w:p w14:paraId="4689DFF3">
            <w:pPr>
              <w:pStyle w:val="6"/>
              <w:spacing w:before="27" w:line="218" w:lineRule="auto"/>
              <w:ind w:left="156"/>
              <w:rPr>
                <w:sz w:val="20"/>
                <w:szCs w:val="20"/>
              </w:rPr>
            </w:pPr>
            <w:r>
              <w:rPr>
                <w:spacing w:val="-2"/>
                <w:sz w:val="20"/>
                <w:szCs w:val="20"/>
              </w:rPr>
              <w:t>招标控制价</w:t>
            </w:r>
          </w:p>
          <w:p w14:paraId="64CE4385">
            <w:pPr>
              <w:pStyle w:val="6"/>
              <w:spacing w:before="24" w:line="212" w:lineRule="auto"/>
              <w:ind w:left="156"/>
              <w:rPr>
                <w:sz w:val="20"/>
                <w:szCs w:val="20"/>
              </w:rPr>
            </w:pPr>
            <w:r>
              <w:rPr>
                <w:spacing w:val="1"/>
                <w:sz w:val="20"/>
                <w:szCs w:val="20"/>
              </w:rPr>
              <w:t>的主要材料</w:t>
            </w:r>
          </w:p>
          <w:p w14:paraId="169585CE">
            <w:pPr>
              <w:pStyle w:val="6"/>
              <w:spacing w:line="212" w:lineRule="auto"/>
              <w:ind w:left="457"/>
              <w:rPr>
                <w:sz w:val="20"/>
                <w:szCs w:val="20"/>
              </w:rPr>
            </w:pPr>
            <w:r>
              <w:rPr>
                <w:spacing w:val="-3"/>
                <w:sz w:val="20"/>
                <w:szCs w:val="20"/>
              </w:rPr>
              <w:t>价格</w:t>
            </w:r>
          </w:p>
        </w:tc>
        <w:tc>
          <w:tcPr>
            <w:tcW w:w="1309" w:type="dxa"/>
            <w:vAlign w:val="top"/>
          </w:tcPr>
          <w:p w14:paraId="58A9FA1D">
            <w:pPr>
              <w:pStyle w:val="6"/>
              <w:spacing w:before="147" w:line="218" w:lineRule="auto"/>
              <w:ind w:left="148"/>
              <w:rPr>
                <w:sz w:val="20"/>
                <w:szCs w:val="20"/>
              </w:rPr>
            </w:pPr>
            <w:r>
              <w:rPr>
                <w:spacing w:val="-2"/>
                <w:sz w:val="20"/>
                <w:szCs w:val="20"/>
              </w:rPr>
              <w:t>主要材料价</w:t>
            </w:r>
          </w:p>
          <w:p w14:paraId="5F85C15C">
            <w:pPr>
              <w:pStyle w:val="6"/>
              <w:spacing w:before="23" w:line="218" w:lineRule="auto"/>
              <w:ind w:left="148"/>
              <w:rPr>
                <w:sz w:val="20"/>
                <w:szCs w:val="20"/>
              </w:rPr>
            </w:pPr>
            <w:r>
              <w:rPr>
                <w:spacing w:val="-2"/>
                <w:sz w:val="20"/>
                <w:szCs w:val="20"/>
              </w:rPr>
              <w:t>格偏离幅度</w:t>
            </w:r>
          </w:p>
        </w:tc>
        <w:tc>
          <w:tcPr>
            <w:tcW w:w="1329" w:type="dxa"/>
            <w:vAlign w:val="top"/>
          </w:tcPr>
          <w:p w14:paraId="3B4EFB50">
            <w:pPr>
              <w:pStyle w:val="6"/>
              <w:spacing w:before="129" w:line="219" w:lineRule="auto"/>
              <w:ind w:left="359"/>
              <w:rPr>
                <w:sz w:val="20"/>
                <w:szCs w:val="20"/>
              </w:rPr>
            </w:pPr>
            <w:r>
              <w:rPr>
                <w:spacing w:val="4"/>
                <w:sz w:val="20"/>
                <w:szCs w:val="20"/>
              </w:rPr>
              <w:t>管理费</w:t>
            </w:r>
          </w:p>
          <w:p w14:paraId="4A55C855">
            <w:pPr>
              <w:pStyle w:val="6"/>
              <w:spacing w:before="43" w:line="220" w:lineRule="auto"/>
              <w:ind w:left="359"/>
              <w:rPr>
                <w:sz w:val="20"/>
                <w:szCs w:val="20"/>
              </w:rPr>
            </w:pPr>
            <w:r>
              <w:rPr>
                <w:spacing w:val="5"/>
                <w:sz w:val="20"/>
                <w:szCs w:val="20"/>
              </w:rPr>
              <w:t>和利润</w:t>
            </w:r>
          </w:p>
        </w:tc>
        <w:tc>
          <w:tcPr>
            <w:tcW w:w="1294" w:type="dxa"/>
            <w:vAlign w:val="top"/>
          </w:tcPr>
          <w:p w14:paraId="3616E125">
            <w:pPr>
              <w:pStyle w:val="6"/>
              <w:spacing w:before="278" w:line="219" w:lineRule="auto"/>
              <w:ind w:left="180"/>
              <w:rPr>
                <w:sz w:val="20"/>
                <w:szCs w:val="20"/>
              </w:rPr>
            </w:pPr>
            <w:r>
              <w:rPr>
                <w:spacing w:val="-2"/>
                <w:sz w:val="20"/>
                <w:szCs w:val="20"/>
              </w:rPr>
              <w:t>材料消耗量</w:t>
            </w:r>
          </w:p>
        </w:tc>
      </w:tr>
      <w:tr w14:paraId="2151E8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8" w:hRule="atLeast"/>
        </w:trPr>
        <w:tc>
          <w:tcPr>
            <w:tcW w:w="684" w:type="dxa"/>
            <w:vAlign w:val="top"/>
          </w:tcPr>
          <w:p w14:paraId="29BEDE18">
            <w:pPr>
              <w:rPr>
                <w:rFonts w:ascii="Arial"/>
                <w:sz w:val="21"/>
              </w:rPr>
            </w:pPr>
          </w:p>
        </w:tc>
        <w:tc>
          <w:tcPr>
            <w:tcW w:w="1279" w:type="dxa"/>
            <w:vAlign w:val="top"/>
          </w:tcPr>
          <w:p w14:paraId="52B7EF98">
            <w:pPr>
              <w:rPr>
                <w:rFonts w:ascii="Arial"/>
                <w:sz w:val="21"/>
              </w:rPr>
            </w:pPr>
          </w:p>
        </w:tc>
        <w:tc>
          <w:tcPr>
            <w:tcW w:w="1329" w:type="dxa"/>
            <w:vAlign w:val="top"/>
          </w:tcPr>
          <w:p w14:paraId="7C5A2FCE">
            <w:pPr>
              <w:rPr>
                <w:rFonts w:ascii="Arial"/>
                <w:sz w:val="21"/>
              </w:rPr>
            </w:pPr>
          </w:p>
        </w:tc>
        <w:tc>
          <w:tcPr>
            <w:tcW w:w="1329" w:type="dxa"/>
            <w:vAlign w:val="top"/>
          </w:tcPr>
          <w:p w14:paraId="7EA5452E">
            <w:pPr>
              <w:rPr>
                <w:rFonts w:ascii="Arial"/>
                <w:sz w:val="21"/>
              </w:rPr>
            </w:pPr>
          </w:p>
        </w:tc>
        <w:tc>
          <w:tcPr>
            <w:tcW w:w="1329" w:type="dxa"/>
            <w:vAlign w:val="top"/>
          </w:tcPr>
          <w:p w14:paraId="773AC55E">
            <w:pPr>
              <w:rPr>
                <w:rFonts w:ascii="Arial"/>
                <w:sz w:val="21"/>
              </w:rPr>
            </w:pPr>
          </w:p>
        </w:tc>
        <w:tc>
          <w:tcPr>
            <w:tcW w:w="1299" w:type="dxa"/>
            <w:vAlign w:val="top"/>
          </w:tcPr>
          <w:p w14:paraId="77360D24">
            <w:pPr>
              <w:rPr>
                <w:rFonts w:ascii="Arial"/>
                <w:sz w:val="21"/>
              </w:rPr>
            </w:pPr>
          </w:p>
        </w:tc>
        <w:tc>
          <w:tcPr>
            <w:tcW w:w="1299" w:type="dxa"/>
            <w:vAlign w:val="top"/>
          </w:tcPr>
          <w:p w14:paraId="3F1247ED">
            <w:pPr>
              <w:rPr>
                <w:rFonts w:ascii="Arial"/>
                <w:sz w:val="21"/>
              </w:rPr>
            </w:pPr>
          </w:p>
        </w:tc>
        <w:tc>
          <w:tcPr>
            <w:tcW w:w="1329" w:type="dxa"/>
            <w:vAlign w:val="top"/>
          </w:tcPr>
          <w:p w14:paraId="0D0B37A8">
            <w:pPr>
              <w:rPr>
                <w:rFonts w:ascii="Arial"/>
                <w:sz w:val="21"/>
              </w:rPr>
            </w:pPr>
          </w:p>
        </w:tc>
        <w:tc>
          <w:tcPr>
            <w:tcW w:w="1309" w:type="dxa"/>
            <w:vAlign w:val="top"/>
          </w:tcPr>
          <w:p w14:paraId="33625C13">
            <w:pPr>
              <w:rPr>
                <w:rFonts w:ascii="Arial"/>
                <w:sz w:val="21"/>
              </w:rPr>
            </w:pPr>
          </w:p>
        </w:tc>
        <w:tc>
          <w:tcPr>
            <w:tcW w:w="1329" w:type="dxa"/>
            <w:vAlign w:val="top"/>
          </w:tcPr>
          <w:p w14:paraId="563E7879">
            <w:pPr>
              <w:rPr>
                <w:rFonts w:ascii="Arial"/>
                <w:sz w:val="21"/>
              </w:rPr>
            </w:pPr>
          </w:p>
        </w:tc>
        <w:tc>
          <w:tcPr>
            <w:tcW w:w="1294" w:type="dxa"/>
            <w:vAlign w:val="top"/>
          </w:tcPr>
          <w:p w14:paraId="6A6B9FEE">
            <w:pPr>
              <w:rPr>
                <w:rFonts w:ascii="Arial"/>
                <w:sz w:val="21"/>
              </w:rPr>
            </w:pPr>
          </w:p>
        </w:tc>
      </w:tr>
      <w:tr w14:paraId="789F8A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684" w:type="dxa"/>
            <w:vAlign w:val="top"/>
          </w:tcPr>
          <w:p w14:paraId="435BA6FF">
            <w:pPr>
              <w:rPr>
                <w:rFonts w:ascii="Arial"/>
                <w:sz w:val="21"/>
              </w:rPr>
            </w:pPr>
          </w:p>
        </w:tc>
        <w:tc>
          <w:tcPr>
            <w:tcW w:w="1279" w:type="dxa"/>
            <w:vAlign w:val="top"/>
          </w:tcPr>
          <w:p w14:paraId="25BC657F">
            <w:pPr>
              <w:rPr>
                <w:rFonts w:ascii="Arial"/>
                <w:sz w:val="21"/>
              </w:rPr>
            </w:pPr>
          </w:p>
        </w:tc>
        <w:tc>
          <w:tcPr>
            <w:tcW w:w="1329" w:type="dxa"/>
            <w:vAlign w:val="top"/>
          </w:tcPr>
          <w:p w14:paraId="43E09005">
            <w:pPr>
              <w:rPr>
                <w:rFonts w:ascii="Arial"/>
                <w:sz w:val="21"/>
              </w:rPr>
            </w:pPr>
          </w:p>
        </w:tc>
        <w:tc>
          <w:tcPr>
            <w:tcW w:w="1329" w:type="dxa"/>
            <w:vAlign w:val="top"/>
          </w:tcPr>
          <w:p w14:paraId="3E66BD19">
            <w:pPr>
              <w:rPr>
                <w:rFonts w:ascii="Arial"/>
                <w:sz w:val="21"/>
              </w:rPr>
            </w:pPr>
          </w:p>
        </w:tc>
        <w:tc>
          <w:tcPr>
            <w:tcW w:w="1329" w:type="dxa"/>
            <w:vAlign w:val="top"/>
          </w:tcPr>
          <w:p w14:paraId="0B3E8D83">
            <w:pPr>
              <w:rPr>
                <w:rFonts w:ascii="Arial"/>
                <w:sz w:val="21"/>
              </w:rPr>
            </w:pPr>
          </w:p>
        </w:tc>
        <w:tc>
          <w:tcPr>
            <w:tcW w:w="1299" w:type="dxa"/>
            <w:vAlign w:val="top"/>
          </w:tcPr>
          <w:p w14:paraId="6D44C25D">
            <w:pPr>
              <w:rPr>
                <w:rFonts w:ascii="Arial"/>
                <w:sz w:val="21"/>
              </w:rPr>
            </w:pPr>
          </w:p>
        </w:tc>
        <w:tc>
          <w:tcPr>
            <w:tcW w:w="1299" w:type="dxa"/>
            <w:vAlign w:val="top"/>
          </w:tcPr>
          <w:p w14:paraId="35BE3E5F">
            <w:pPr>
              <w:rPr>
                <w:rFonts w:ascii="Arial"/>
                <w:sz w:val="21"/>
              </w:rPr>
            </w:pPr>
          </w:p>
        </w:tc>
        <w:tc>
          <w:tcPr>
            <w:tcW w:w="1329" w:type="dxa"/>
            <w:vAlign w:val="top"/>
          </w:tcPr>
          <w:p w14:paraId="717DB426">
            <w:pPr>
              <w:rPr>
                <w:rFonts w:ascii="Arial"/>
                <w:sz w:val="21"/>
              </w:rPr>
            </w:pPr>
          </w:p>
        </w:tc>
        <w:tc>
          <w:tcPr>
            <w:tcW w:w="1309" w:type="dxa"/>
            <w:vAlign w:val="top"/>
          </w:tcPr>
          <w:p w14:paraId="5B222FF7">
            <w:pPr>
              <w:rPr>
                <w:rFonts w:ascii="Arial"/>
                <w:sz w:val="21"/>
              </w:rPr>
            </w:pPr>
          </w:p>
        </w:tc>
        <w:tc>
          <w:tcPr>
            <w:tcW w:w="1329" w:type="dxa"/>
            <w:vAlign w:val="top"/>
          </w:tcPr>
          <w:p w14:paraId="0A503AB3">
            <w:pPr>
              <w:rPr>
                <w:rFonts w:ascii="Arial"/>
                <w:sz w:val="21"/>
              </w:rPr>
            </w:pPr>
          </w:p>
        </w:tc>
        <w:tc>
          <w:tcPr>
            <w:tcW w:w="1294" w:type="dxa"/>
            <w:vAlign w:val="top"/>
          </w:tcPr>
          <w:p w14:paraId="54702786">
            <w:pPr>
              <w:rPr>
                <w:rFonts w:ascii="Arial"/>
                <w:sz w:val="21"/>
              </w:rPr>
            </w:pPr>
          </w:p>
        </w:tc>
      </w:tr>
      <w:tr w14:paraId="45096A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9" w:hRule="atLeast"/>
        </w:trPr>
        <w:tc>
          <w:tcPr>
            <w:tcW w:w="684" w:type="dxa"/>
            <w:vAlign w:val="top"/>
          </w:tcPr>
          <w:p w14:paraId="04D58145">
            <w:pPr>
              <w:rPr>
                <w:rFonts w:ascii="Arial"/>
                <w:sz w:val="21"/>
              </w:rPr>
            </w:pPr>
          </w:p>
        </w:tc>
        <w:tc>
          <w:tcPr>
            <w:tcW w:w="1279" w:type="dxa"/>
            <w:vAlign w:val="top"/>
          </w:tcPr>
          <w:p w14:paraId="22A0CCEB">
            <w:pPr>
              <w:rPr>
                <w:rFonts w:ascii="Arial"/>
                <w:sz w:val="21"/>
              </w:rPr>
            </w:pPr>
          </w:p>
        </w:tc>
        <w:tc>
          <w:tcPr>
            <w:tcW w:w="1329" w:type="dxa"/>
            <w:vAlign w:val="top"/>
          </w:tcPr>
          <w:p w14:paraId="6706D187">
            <w:pPr>
              <w:rPr>
                <w:rFonts w:ascii="Arial"/>
                <w:sz w:val="21"/>
              </w:rPr>
            </w:pPr>
          </w:p>
        </w:tc>
        <w:tc>
          <w:tcPr>
            <w:tcW w:w="1329" w:type="dxa"/>
            <w:vAlign w:val="top"/>
          </w:tcPr>
          <w:p w14:paraId="5539AEE6">
            <w:pPr>
              <w:rPr>
                <w:rFonts w:ascii="Arial"/>
                <w:sz w:val="21"/>
              </w:rPr>
            </w:pPr>
          </w:p>
        </w:tc>
        <w:tc>
          <w:tcPr>
            <w:tcW w:w="1329" w:type="dxa"/>
            <w:vAlign w:val="top"/>
          </w:tcPr>
          <w:p w14:paraId="4FFE14BE">
            <w:pPr>
              <w:rPr>
                <w:rFonts w:ascii="Arial"/>
                <w:sz w:val="21"/>
              </w:rPr>
            </w:pPr>
          </w:p>
        </w:tc>
        <w:tc>
          <w:tcPr>
            <w:tcW w:w="1299" w:type="dxa"/>
            <w:vAlign w:val="top"/>
          </w:tcPr>
          <w:p w14:paraId="6D70F651">
            <w:pPr>
              <w:rPr>
                <w:rFonts w:ascii="Arial"/>
                <w:sz w:val="21"/>
              </w:rPr>
            </w:pPr>
          </w:p>
        </w:tc>
        <w:tc>
          <w:tcPr>
            <w:tcW w:w="1299" w:type="dxa"/>
            <w:vAlign w:val="top"/>
          </w:tcPr>
          <w:p w14:paraId="2781927B">
            <w:pPr>
              <w:rPr>
                <w:rFonts w:ascii="Arial"/>
                <w:sz w:val="21"/>
              </w:rPr>
            </w:pPr>
          </w:p>
        </w:tc>
        <w:tc>
          <w:tcPr>
            <w:tcW w:w="1329" w:type="dxa"/>
            <w:vAlign w:val="top"/>
          </w:tcPr>
          <w:p w14:paraId="42409241">
            <w:pPr>
              <w:rPr>
                <w:rFonts w:ascii="Arial"/>
                <w:sz w:val="21"/>
              </w:rPr>
            </w:pPr>
          </w:p>
        </w:tc>
        <w:tc>
          <w:tcPr>
            <w:tcW w:w="1309" w:type="dxa"/>
            <w:vAlign w:val="top"/>
          </w:tcPr>
          <w:p w14:paraId="658B5E86">
            <w:pPr>
              <w:rPr>
                <w:rFonts w:ascii="Arial"/>
                <w:sz w:val="21"/>
              </w:rPr>
            </w:pPr>
          </w:p>
        </w:tc>
        <w:tc>
          <w:tcPr>
            <w:tcW w:w="1329" w:type="dxa"/>
            <w:vAlign w:val="top"/>
          </w:tcPr>
          <w:p w14:paraId="6397E3D6">
            <w:pPr>
              <w:rPr>
                <w:rFonts w:ascii="Arial"/>
                <w:sz w:val="21"/>
              </w:rPr>
            </w:pPr>
          </w:p>
        </w:tc>
        <w:tc>
          <w:tcPr>
            <w:tcW w:w="1294" w:type="dxa"/>
            <w:vAlign w:val="top"/>
          </w:tcPr>
          <w:p w14:paraId="469E3F94">
            <w:pPr>
              <w:rPr>
                <w:rFonts w:ascii="Arial"/>
                <w:sz w:val="21"/>
              </w:rPr>
            </w:pPr>
          </w:p>
        </w:tc>
      </w:tr>
      <w:tr w14:paraId="619EA6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684" w:type="dxa"/>
            <w:vAlign w:val="top"/>
          </w:tcPr>
          <w:p w14:paraId="201B9F70">
            <w:pPr>
              <w:rPr>
                <w:rFonts w:ascii="Arial"/>
                <w:sz w:val="21"/>
              </w:rPr>
            </w:pPr>
          </w:p>
        </w:tc>
        <w:tc>
          <w:tcPr>
            <w:tcW w:w="1279" w:type="dxa"/>
            <w:vAlign w:val="top"/>
          </w:tcPr>
          <w:p w14:paraId="35930051">
            <w:pPr>
              <w:rPr>
                <w:rFonts w:ascii="Arial"/>
                <w:sz w:val="21"/>
              </w:rPr>
            </w:pPr>
          </w:p>
        </w:tc>
        <w:tc>
          <w:tcPr>
            <w:tcW w:w="1329" w:type="dxa"/>
            <w:vAlign w:val="top"/>
          </w:tcPr>
          <w:p w14:paraId="63FABBA8">
            <w:pPr>
              <w:rPr>
                <w:rFonts w:ascii="Arial"/>
                <w:sz w:val="21"/>
              </w:rPr>
            </w:pPr>
          </w:p>
        </w:tc>
        <w:tc>
          <w:tcPr>
            <w:tcW w:w="1329" w:type="dxa"/>
            <w:vAlign w:val="top"/>
          </w:tcPr>
          <w:p w14:paraId="1992B05B">
            <w:pPr>
              <w:rPr>
                <w:rFonts w:ascii="Arial"/>
                <w:sz w:val="21"/>
              </w:rPr>
            </w:pPr>
          </w:p>
        </w:tc>
        <w:tc>
          <w:tcPr>
            <w:tcW w:w="1329" w:type="dxa"/>
            <w:vAlign w:val="top"/>
          </w:tcPr>
          <w:p w14:paraId="5C79AFF7">
            <w:pPr>
              <w:rPr>
                <w:rFonts w:ascii="Arial"/>
                <w:sz w:val="21"/>
              </w:rPr>
            </w:pPr>
          </w:p>
        </w:tc>
        <w:tc>
          <w:tcPr>
            <w:tcW w:w="1299" w:type="dxa"/>
            <w:vAlign w:val="top"/>
          </w:tcPr>
          <w:p w14:paraId="2E80D319">
            <w:pPr>
              <w:rPr>
                <w:rFonts w:ascii="Arial"/>
                <w:sz w:val="21"/>
              </w:rPr>
            </w:pPr>
          </w:p>
        </w:tc>
        <w:tc>
          <w:tcPr>
            <w:tcW w:w="1299" w:type="dxa"/>
            <w:vAlign w:val="top"/>
          </w:tcPr>
          <w:p w14:paraId="1D41515C">
            <w:pPr>
              <w:rPr>
                <w:rFonts w:ascii="Arial"/>
                <w:sz w:val="21"/>
              </w:rPr>
            </w:pPr>
          </w:p>
        </w:tc>
        <w:tc>
          <w:tcPr>
            <w:tcW w:w="1329" w:type="dxa"/>
            <w:vAlign w:val="top"/>
          </w:tcPr>
          <w:p w14:paraId="5C6D726A">
            <w:pPr>
              <w:rPr>
                <w:rFonts w:ascii="Arial"/>
                <w:sz w:val="21"/>
              </w:rPr>
            </w:pPr>
          </w:p>
        </w:tc>
        <w:tc>
          <w:tcPr>
            <w:tcW w:w="1309" w:type="dxa"/>
            <w:vAlign w:val="top"/>
          </w:tcPr>
          <w:p w14:paraId="5149ED1B">
            <w:pPr>
              <w:rPr>
                <w:rFonts w:ascii="Arial"/>
                <w:sz w:val="21"/>
              </w:rPr>
            </w:pPr>
          </w:p>
        </w:tc>
        <w:tc>
          <w:tcPr>
            <w:tcW w:w="1329" w:type="dxa"/>
            <w:vAlign w:val="top"/>
          </w:tcPr>
          <w:p w14:paraId="4B477F33">
            <w:pPr>
              <w:rPr>
                <w:rFonts w:ascii="Arial"/>
                <w:sz w:val="21"/>
              </w:rPr>
            </w:pPr>
          </w:p>
        </w:tc>
        <w:tc>
          <w:tcPr>
            <w:tcW w:w="1294" w:type="dxa"/>
            <w:vAlign w:val="top"/>
          </w:tcPr>
          <w:p w14:paraId="02F49181">
            <w:pPr>
              <w:rPr>
                <w:rFonts w:ascii="Arial"/>
                <w:sz w:val="21"/>
              </w:rPr>
            </w:pPr>
          </w:p>
        </w:tc>
      </w:tr>
      <w:tr w14:paraId="1EE2E5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9" w:hRule="atLeast"/>
        </w:trPr>
        <w:tc>
          <w:tcPr>
            <w:tcW w:w="684" w:type="dxa"/>
            <w:vAlign w:val="top"/>
          </w:tcPr>
          <w:p w14:paraId="392B8FAA">
            <w:pPr>
              <w:rPr>
                <w:rFonts w:ascii="Arial"/>
                <w:sz w:val="21"/>
              </w:rPr>
            </w:pPr>
          </w:p>
        </w:tc>
        <w:tc>
          <w:tcPr>
            <w:tcW w:w="1279" w:type="dxa"/>
            <w:vAlign w:val="top"/>
          </w:tcPr>
          <w:p w14:paraId="0DAD753E">
            <w:pPr>
              <w:rPr>
                <w:rFonts w:ascii="Arial"/>
                <w:sz w:val="21"/>
              </w:rPr>
            </w:pPr>
          </w:p>
        </w:tc>
        <w:tc>
          <w:tcPr>
            <w:tcW w:w="1329" w:type="dxa"/>
            <w:vAlign w:val="top"/>
          </w:tcPr>
          <w:p w14:paraId="2D158E46">
            <w:pPr>
              <w:rPr>
                <w:rFonts w:ascii="Arial"/>
                <w:sz w:val="21"/>
              </w:rPr>
            </w:pPr>
          </w:p>
        </w:tc>
        <w:tc>
          <w:tcPr>
            <w:tcW w:w="1329" w:type="dxa"/>
            <w:vAlign w:val="top"/>
          </w:tcPr>
          <w:p w14:paraId="339927F1">
            <w:pPr>
              <w:rPr>
                <w:rFonts w:ascii="Arial"/>
                <w:sz w:val="21"/>
              </w:rPr>
            </w:pPr>
          </w:p>
        </w:tc>
        <w:tc>
          <w:tcPr>
            <w:tcW w:w="1329" w:type="dxa"/>
            <w:vAlign w:val="top"/>
          </w:tcPr>
          <w:p w14:paraId="666C6851">
            <w:pPr>
              <w:rPr>
                <w:rFonts w:ascii="Arial"/>
                <w:sz w:val="21"/>
              </w:rPr>
            </w:pPr>
          </w:p>
        </w:tc>
        <w:tc>
          <w:tcPr>
            <w:tcW w:w="1299" w:type="dxa"/>
            <w:vAlign w:val="top"/>
          </w:tcPr>
          <w:p w14:paraId="0116024B">
            <w:pPr>
              <w:rPr>
                <w:rFonts w:ascii="Arial"/>
                <w:sz w:val="21"/>
              </w:rPr>
            </w:pPr>
          </w:p>
        </w:tc>
        <w:tc>
          <w:tcPr>
            <w:tcW w:w="1299" w:type="dxa"/>
            <w:vAlign w:val="top"/>
          </w:tcPr>
          <w:p w14:paraId="7BD90D9C">
            <w:pPr>
              <w:rPr>
                <w:rFonts w:ascii="Arial"/>
                <w:sz w:val="21"/>
              </w:rPr>
            </w:pPr>
          </w:p>
        </w:tc>
        <w:tc>
          <w:tcPr>
            <w:tcW w:w="1329" w:type="dxa"/>
            <w:vAlign w:val="top"/>
          </w:tcPr>
          <w:p w14:paraId="530B95B2">
            <w:pPr>
              <w:rPr>
                <w:rFonts w:ascii="Arial"/>
                <w:sz w:val="21"/>
              </w:rPr>
            </w:pPr>
          </w:p>
        </w:tc>
        <w:tc>
          <w:tcPr>
            <w:tcW w:w="1309" w:type="dxa"/>
            <w:vAlign w:val="top"/>
          </w:tcPr>
          <w:p w14:paraId="6795B62F">
            <w:pPr>
              <w:rPr>
                <w:rFonts w:ascii="Arial"/>
                <w:sz w:val="21"/>
              </w:rPr>
            </w:pPr>
          </w:p>
        </w:tc>
        <w:tc>
          <w:tcPr>
            <w:tcW w:w="1329" w:type="dxa"/>
            <w:vAlign w:val="top"/>
          </w:tcPr>
          <w:p w14:paraId="49EA28D6">
            <w:pPr>
              <w:rPr>
                <w:rFonts w:ascii="Arial"/>
                <w:sz w:val="21"/>
              </w:rPr>
            </w:pPr>
          </w:p>
        </w:tc>
        <w:tc>
          <w:tcPr>
            <w:tcW w:w="1294" w:type="dxa"/>
            <w:vAlign w:val="top"/>
          </w:tcPr>
          <w:p w14:paraId="6D640563">
            <w:pPr>
              <w:rPr>
                <w:rFonts w:ascii="Arial"/>
                <w:sz w:val="21"/>
              </w:rPr>
            </w:pPr>
          </w:p>
        </w:tc>
      </w:tr>
      <w:tr w14:paraId="127374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4" w:hRule="atLeast"/>
        </w:trPr>
        <w:tc>
          <w:tcPr>
            <w:tcW w:w="3292" w:type="dxa"/>
            <w:gridSpan w:val="3"/>
            <w:vAlign w:val="top"/>
          </w:tcPr>
          <w:p w14:paraId="36A4C517">
            <w:pPr>
              <w:pStyle w:val="6"/>
              <w:spacing w:before="177" w:line="219" w:lineRule="auto"/>
              <w:ind w:left="935"/>
              <w:rPr>
                <w:sz w:val="20"/>
                <w:szCs w:val="20"/>
              </w:rPr>
            </w:pPr>
            <w:r>
              <w:rPr>
                <w:spacing w:val="-1"/>
                <w:sz w:val="20"/>
                <w:szCs w:val="20"/>
              </w:rPr>
              <w:t>偏离的项数合计</w:t>
            </w:r>
          </w:p>
        </w:tc>
        <w:tc>
          <w:tcPr>
            <w:tcW w:w="1329" w:type="dxa"/>
            <w:vAlign w:val="top"/>
          </w:tcPr>
          <w:p w14:paraId="1F83551A">
            <w:pPr>
              <w:pStyle w:val="6"/>
              <w:spacing w:before="272" w:line="155" w:lineRule="exact"/>
              <w:ind w:left="552"/>
              <w:rPr>
                <w:sz w:val="20"/>
                <w:szCs w:val="20"/>
              </w:rPr>
            </w:pPr>
            <w:r>
              <w:rPr>
                <w:position w:val="-4"/>
                <w:sz w:val="20"/>
                <w:szCs w:val="20"/>
              </w:rPr>
              <w:t>一</w:t>
            </w:r>
          </w:p>
        </w:tc>
        <w:tc>
          <w:tcPr>
            <w:tcW w:w="1329" w:type="dxa"/>
            <w:vAlign w:val="top"/>
          </w:tcPr>
          <w:p w14:paraId="61D71F81">
            <w:pPr>
              <w:pStyle w:val="6"/>
              <w:spacing w:before="272" w:line="155" w:lineRule="exact"/>
              <w:ind w:left="553"/>
              <w:rPr>
                <w:sz w:val="20"/>
                <w:szCs w:val="20"/>
              </w:rPr>
            </w:pPr>
            <w:r>
              <w:rPr>
                <w:position w:val="-4"/>
                <w:sz w:val="20"/>
                <w:szCs w:val="20"/>
              </w:rPr>
              <w:t>一</w:t>
            </w:r>
          </w:p>
        </w:tc>
        <w:tc>
          <w:tcPr>
            <w:tcW w:w="1299" w:type="dxa"/>
            <w:vAlign w:val="top"/>
          </w:tcPr>
          <w:p w14:paraId="604BFE58">
            <w:pPr>
              <w:rPr>
                <w:rFonts w:ascii="Arial"/>
                <w:sz w:val="21"/>
              </w:rPr>
            </w:pPr>
          </w:p>
        </w:tc>
        <w:tc>
          <w:tcPr>
            <w:tcW w:w="1299" w:type="dxa"/>
            <w:vAlign w:val="top"/>
          </w:tcPr>
          <w:p w14:paraId="76CCC3D9">
            <w:pPr>
              <w:rPr>
                <w:rFonts w:ascii="Arial"/>
                <w:sz w:val="21"/>
              </w:rPr>
            </w:pPr>
          </w:p>
        </w:tc>
        <w:tc>
          <w:tcPr>
            <w:tcW w:w="1329" w:type="dxa"/>
            <w:vAlign w:val="top"/>
          </w:tcPr>
          <w:p w14:paraId="68F22707">
            <w:pPr>
              <w:rPr>
                <w:rFonts w:ascii="Arial"/>
                <w:sz w:val="21"/>
              </w:rPr>
            </w:pPr>
          </w:p>
        </w:tc>
        <w:tc>
          <w:tcPr>
            <w:tcW w:w="1309" w:type="dxa"/>
            <w:vAlign w:val="top"/>
          </w:tcPr>
          <w:p w14:paraId="3FF846C9">
            <w:pPr>
              <w:rPr>
                <w:rFonts w:ascii="Arial"/>
                <w:sz w:val="21"/>
              </w:rPr>
            </w:pPr>
          </w:p>
        </w:tc>
        <w:tc>
          <w:tcPr>
            <w:tcW w:w="1329" w:type="dxa"/>
            <w:vAlign w:val="top"/>
          </w:tcPr>
          <w:p w14:paraId="6A264ADC">
            <w:pPr>
              <w:rPr>
                <w:rFonts w:ascii="Arial"/>
                <w:sz w:val="21"/>
              </w:rPr>
            </w:pPr>
          </w:p>
        </w:tc>
        <w:tc>
          <w:tcPr>
            <w:tcW w:w="1294" w:type="dxa"/>
            <w:vAlign w:val="top"/>
          </w:tcPr>
          <w:p w14:paraId="5E442695">
            <w:pPr>
              <w:rPr>
                <w:rFonts w:ascii="Arial"/>
                <w:sz w:val="21"/>
              </w:rPr>
            </w:pPr>
          </w:p>
        </w:tc>
      </w:tr>
    </w:tbl>
    <w:p w14:paraId="35AE9503">
      <w:pPr>
        <w:spacing w:line="460" w:lineRule="auto"/>
        <w:rPr>
          <w:rFonts w:ascii="Arial"/>
          <w:sz w:val="21"/>
        </w:rPr>
      </w:pPr>
    </w:p>
    <w:p w14:paraId="42F1B50E">
      <w:pPr>
        <w:pStyle w:val="2"/>
        <w:spacing w:before="65" w:line="232" w:lineRule="auto"/>
        <w:ind w:left="114"/>
        <w:rPr>
          <w:sz w:val="20"/>
          <w:szCs w:val="20"/>
        </w:rPr>
      </w:pPr>
      <w:r>
        <w:rPr>
          <w:spacing w:val="-2"/>
          <w:sz w:val="20"/>
          <w:szCs w:val="20"/>
        </w:rPr>
        <w:t xml:space="preserve">评标委员会成员签名：                                                          </w:t>
      </w:r>
      <w:r>
        <w:rPr>
          <w:spacing w:val="-3"/>
          <w:sz w:val="20"/>
          <w:szCs w:val="20"/>
        </w:rPr>
        <w:t xml:space="preserve">                               </w:t>
      </w:r>
      <w:r>
        <w:rPr>
          <w:spacing w:val="-3"/>
          <w:sz w:val="16"/>
          <w:szCs w:val="16"/>
        </w:rPr>
        <w:t>日 期</w:t>
      </w:r>
      <w:r>
        <w:rPr>
          <w:spacing w:val="6"/>
          <w:sz w:val="16"/>
          <w:szCs w:val="16"/>
        </w:rPr>
        <w:t xml:space="preserve"> </w:t>
      </w:r>
      <w:r>
        <w:rPr>
          <w:spacing w:val="-3"/>
          <w:sz w:val="16"/>
          <w:szCs w:val="16"/>
        </w:rPr>
        <w:t xml:space="preserve">：        </w:t>
      </w:r>
      <w:r>
        <w:rPr>
          <w:spacing w:val="-3"/>
          <w:sz w:val="20"/>
          <w:szCs w:val="20"/>
        </w:rPr>
        <w:t>年     月      日</w:t>
      </w:r>
    </w:p>
    <w:p w14:paraId="636A9760">
      <w:pPr>
        <w:spacing w:line="251" w:lineRule="auto"/>
        <w:rPr>
          <w:rFonts w:ascii="Arial"/>
          <w:sz w:val="21"/>
        </w:rPr>
      </w:pPr>
    </w:p>
    <w:p w14:paraId="34C7FE58">
      <w:pPr>
        <w:spacing w:line="252" w:lineRule="auto"/>
        <w:rPr>
          <w:rFonts w:ascii="Arial"/>
          <w:sz w:val="21"/>
        </w:rPr>
      </w:pPr>
    </w:p>
    <w:p w14:paraId="641FF731">
      <w:pPr>
        <w:pStyle w:val="2"/>
        <w:spacing w:before="65" w:line="261" w:lineRule="auto"/>
        <w:ind w:left="544" w:right="185" w:hanging="430"/>
        <w:rPr>
          <w:sz w:val="20"/>
          <w:szCs w:val="20"/>
        </w:rPr>
      </w:pPr>
      <w:r>
        <w:rPr>
          <w:sz w:val="20"/>
          <w:szCs w:val="20"/>
        </w:rPr>
        <w:t>注：“综合单价偏离幅度”、“主要材料价格偏离幅度”、“管理费和利润”、“材料消耗量”指标用于在 投标人投标总报价低于招标控制价一定幅度，</w:t>
      </w:r>
      <w:r>
        <w:rPr>
          <w:spacing w:val="18"/>
          <w:sz w:val="20"/>
          <w:szCs w:val="20"/>
        </w:rPr>
        <w:t xml:space="preserve"> </w:t>
      </w:r>
      <w:r>
        <w:rPr>
          <w:spacing w:val="9"/>
          <w:sz w:val="20"/>
          <w:szCs w:val="20"/>
        </w:rPr>
        <w:t>评标委员会启动成本评审工作时，要求投标人进行澄清和说明并提交有关证明材料的依据。</w:t>
      </w:r>
    </w:p>
    <w:p w14:paraId="3D663EFB">
      <w:pPr>
        <w:spacing w:line="261" w:lineRule="auto"/>
        <w:rPr>
          <w:sz w:val="20"/>
          <w:szCs w:val="20"/>
        </w:rPr>
        <w:sectPr>
          <w:footerReference r:id="rId105" w:type="default"/>
          <w:pgSz w:w="16840" w:h="11910"/>
          <w:pgMar w:top="400" w:right="1455" w:bottom="997" w:left="1564" w:header="0" w:footer="871" w:gutter="0"/>
          <w:cols w:space="720" w:num="1"/>
        </w:sectPr>
      </w:pPr>
    </w:p>
    <w:p w14:paraId="0164B22A">
      <w:pPr>
        <w:spacing w:line="259" w:lineRule="auto"/>
        <w:rPr>
          <w:rFonts w:ascii="Arial"/>
          <w:sz w:val="21"/>
        </w:rPr>
      </w:pPr>
    </w:p>
    <w:p w14:paraId="1E2F580E">
      <w:pPr>
        <w:spacing w:line="259" w:lineRule="auto"/>
        <w:rPr>
          <w:rFonts w:ascii="Arial"/>
          <w:sz w:val="21"/>
        </w:rPr>
      </w:pPr>
    </w:p>
    <w:p w14:paraId="5377643C">
      <w:pPr>
        <w:spacing w:line="259" w:lineRule="auto"/>
        <w:rPr>
          <w:rFonts w:ascii="Arial"/>
          <w:sz w:val="21"/>
        </w:rPr>
      </w:pPr>
    </w:p>
    <w:p w14:paraId="111D3751">
      <w:pPr>
        <w:spacing w:line="259" w:lineRule="auto"/>
        <w:rPr>
          <w:rFonts w:ascii="Arial"/>
          <w:sz w:val="21"/>
        </w:rPr>
      </w:pPr>
    </w:p>
    <w:p w14:paraId="6526FB04">
      <w:pPr>
        <w:spacing w:line="259" w:lineRule="auto"/>
        <w:rPr>
          <w:rFonts w:ascii="Arial"/>
          <w:sz w:val="21"/>
        </w:rPr>
      </w:pPr>
    </w:p>
    <w:p w14:paraId="065D1E4E">
      <w:pPr>
        <w:spacing w:before="82" w:line="222" w:lineRule="auto"/>
        <w:ind w:left="548"/>
        <w:outlineLvl w:val="2"/>
        <w:rPr>
          <w:rFonts w:ascii="黑体" w:hAnsi="黑体" w:eastAsia="黑体" w:cs="黑体"/>
          <w:sz w:val="25"/>
          <w:szCs w:val="25"/>
        </w:rPr>
      </w:pPr>
      <w:bookmarkStart w:id="251" w:name="bookmark179"/>
      <w:bookmarkEnd w:id="251"/>
      <w:r>
        <w:rPr>
          <w:rFonts w:ascii="黑体" w:hAnsi="黑体" w:eastAsia="黑体" w:cs="黑体"/>
          <w:b/>
          <w:bCs/>
          <w:spacing w:val="-6"/>
          <w:sz w:val="25"/>
          <w:szCs w:val="25"/>
        </w:rPr>
        <w:t>附表</w:t>
      </w:r>
      <w:r>
        <w:rPr>
          <w:rFonts w:ascii="Times New Roman" w:hAnsi="Times New Roman" w:eastAsia="Times New Roman" w:cs="Times New Roman"/>
          <w:b/>
          <w:bCs/>
          <w:spacing w:val="-6"/>
          <w:sz w:val="25"/>
          <w:szCs w:val="25"/>
        </w:rPr>
        <w:t>C-10:</w:t>
      </w:r>
      <w:r>
        <w:rPr>
          <w:rFonts w:ascii="Times New Roman" w:hAnsi="Times New Roman" w:eastAsia="Times New Roman" w:cs="Times New Roman"/>
          <w:b/>
          <w:bCs/>
          <w:spacing w:val="21"/>
          <w:sz w:val="25"/>
          <w:szCs w:val="25"/>
        </w:rPr>
        <w:t xml:space="preserve">  </w:t>
      </w:r>
      <w:r>
        <w:rPr>
          <w:rFonts w:ascii="黑体" w:hAnsi="黑体" w:eastAsia="黑体" w:cs="黑体"/>
          <w:b/>
          <w:bCs/>
          <w:spacing w:val="-6"/>
          <w:sz w:val="25"/>
          <w:szCs w:val="25"/>
        </w:rPr>
        <w:t>清标报告-总价措施项目清单</w:t>
      </w:r>
      <w:r>
        <w:rPr>
          <w:rFonts w:ascii="黑体" w:hAnsi="黑体" w:eastAsia="黑体" w:cs="黑体"/>
          <w:b/>
          <w:bCs/>
          <w:spacing w:val="-7"/>
          <w:sz w:val="25"/>
          <w:szCs w:val="25"/>
        </w:rPr>
        <w:t>价格分析记录表</w:t>
      </w:r>
    </w:p>
    <w:p w14:paraId="700E3791">
      <w:pPr>
        <w:spacing w:line="296" w:lineRule="auto"/>
        <w:rPr>
          <w:rFonts w:ascii="Arial"/>
          <w:sz w:val="21"/>
        </w:rPr>
      </w:pPr>
    </w:p>
    <w:p w14:paraId="4AB8B3C6">
      <w:pPr>
        <w:spacing w:line="297" w:lineRule="auto"/>
        <w:rPr>
          <w:rFonts w:ascii="Arial"/>
          <w:sz w:val="21"/>
        </w:rPr>
      </w:pPr>
    </w:p>
    <w:p w14:paraId="06A1D481">
      <w:pPr>
        <w:spacing w:before="104" w:line="222" w:lineRule="auto"/>
        <w:ind w:left="1459"/>
        <w:rPr>
          <w:rFonts w:ascii="黑体" w:hAnsi="黑体" w:eastAsia="黑体" w:cs="黑体"/>
          <w:sz w:val="32"/>
          <w:szCs w:val="32"/>
        </w:rPr>
      </w:pPr>
      <w:bookmarkStart w:id="252" w:name="bookmark290"/>
      <w:bookmarkEnd w:id="252"/>
      <w:r>
        <w:rPr>
          <w:rFonts w:ascii="黑体" w:hAnsi="黑体" w:eastAsia="黑体" w:cs="黑体"/>
          <w:b/>
          <w:bCs/>
          <w:spacing w:val="-3"/>
          <w:sz w:val="32"/>
          <w:szCs w:val="32"/>
        </w:rPr>
        <w:t>清标报告-总价措施项目清单价格分析记录表</w:t>
      </w:r>
    </w:p>
    <w:p w14:paraId="61207920">
      <w:pPr>
        <w:spacing w:line="360" w:lineRule="auto"/>
        <w:rPr>
          <w:rFonts w:ascii="Arial"/>
          <w:sz w:val="21"/>
        </w:rPr>
      </w:pPr>
    </w:p>
    <w:p w14:paraId="08A296F2">
      <w:pPr>
        <w:pStyle w:val="2"/>
        <w:spacing w:before="65" w:line="220" w:lineRule="auto"/>
        <w:ind w:left="115"/>
        <w:rPr>
          <w:sz w:val="20"/>
          <w:szCs w:val="20"/>
        </w:rPr>
      </w:pPr>
      <w:r>
        <w:rPr>
          <w:spacing w:val="1"/>
          <w:sz w:val="20"/>
          <w:szCs w:val="20"/>
        </w:rPr>
        <w:t>投标人名称：</w:t>
      </w:r>
    </w:p>
    <w:p w14:paraId="01D577D0">
      <w:pPr>
        <w:spacing w:before="36"/>
      </w:pPr>
    </w:p>
    <w:tbl>
      <w:tblPr>
        <w:tblStyle w:val="5"/>
        <w:tblW w:w="911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14"/>
        <w:gridCol w:w="1169"/>
        <w:gridCol w:w="1748"/>
        <w:gridCol w:w="1318"/>
        <w:gridCol w:w="1358"/>
        <w:gridCol w:w="1358"/>
        <w:gridCol w:w="1254"/>
      </w:tblGrid>
      <w:tr w14:paraId="4147EF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3" w:hRule="atLeast"/>
        </w:trPr>
        <w:tc>
          <w:tcPr>
            <w:tcW w:w="3831" w:type="dxa"/>
            <w:gridSpan w:val="3"/>
            <w:vAlign w:val="top"/>
          </w:tcPr>
          <w:p w14:paraId="64DDB76B">
            <w:pPr>
              <w:pStyle w:val="6"/>
              <w:spacing w:before="173" w:line="220" w:lineRule="auto"/>
              <w:ind w:left="1304"/>
              <w:rPr>
                <w:sz w:val="20"/>
                <w:szCs w:val="20"/>
              </w:rPr>
            </w:pPr>
            <w:r>
              <w:rPr>
                <w:spacing w:val="-2"/>
                <w:sz w:val="20"/>
                <w:szCs w:val="20"/>
              </w:rPr>
              <w:t>单位工程名称</w:t>
            </w:r>
          </w:p>
        </w:tc>
        <w:tc>
          <w:tcPr>
            <w:tcW w:w="5288" w:type="dxa"/>
            <w:gridSpan w:val="4"/>
            <w:vAlign w:val="top"/>
          </w:tcPr>
          <w:p w14:paraId="1F42FBA1">
            <w:pPr>
              <w:rPr>
                <w:rFonts w:ascii="Arial"/>
                <w:sz w:val="21"/>
              </w:rPr>
            </w:pPr>
          </w:p>
        </w:tc>
      </w:tr>
      <w:tr w14:paraId="1260BC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9" w:hRule="atLeast"/>
        </w:trPr>
        <w:tc>
          <w:tcPr>
            <w:tcW w:w="914" w:type="dxa"/>
            <w:vAlign w:val="top"/>
          </w:tcPr>
          <w:p w14:paraId="042B78F5">
            <w:pPr>
              <w:pStyle w:val="6"/>
              <w:spacing w:before="171" w:line="221" w:lineRule="auto"/>
              <w:ind w:left="244"/>
              <w:rPr>
                <w:sz w:val="20"/>
                <w:szCs w:val="20"/>
              </w:rPr>
            </w:pPr>
            <w:r>
              <w:rPr>
                <w:spacing w:val="-2"/>
                <w:sz w:val="20"/>
                <w:szCs w:val="20"/>
              </w:rPr>
              <w:t>序号</w:t>
            </w:r>
          </w:p>
        </w:tc>
        <w:tc>
          <w:tcPr>
            <w:tcW w:w="1169" w:type="dxa"/>
            <w:vAlign w:val="top"/>
          </w:tcPr>
          <w:p w14:paraId="0308CC79">
            <w:pPr>
              <w:pStyle w:val="6"/>
              <w:spacing w:before="170" w:line="219" w:lineRule="auto"/>
              <w:ind w:left="191"/>
              <w:rPr>
                <w:sz w:val="20"/>
                <w:szCs w:val="20"/>
              </w:rPr>
            </w:pPr>
            <w:r>
              <w:rPr>
                <w:spacing w:val="2"/>
                <w:sz w:val="20"/>
                <w:szCs w:val="20"/>
              </w:rPr>
              <w:t>项目编码</w:t>
            </w:r>
          </w:p>
        </w:tc>
        <w:tc>
          <w:tcPr>
            <w:tcW w:w="1748" w:type="dxa"/>
            <w:vAlign w:val="top"/>
          </w:tcPr>
          <w:p w14:paraId="5A7D8757">
            <w:pPr>
              <w:pStyle w:val="6"/>
              <w:spacing w:before="170" w:line="220" w:lineRule="auto"/>
              <w:ind w:left="462"/>
              <w:rPr>
                <w:sz w:val="20"/>
                <w:szCs w:val="20"/>
              </w:rPr>
            </w:pPr>
            <w:r>
              <w:rPr>
                <w:spacing w:val="2"/>
                <w:sz w:val="20"/>
                <w:szCs w:val="20"/>
              </w:rPr>
              <w:t>项目名称</w:t>
            </w:r>
          </w:p>
        </w:tc>
        <w:tc>
          <w:tcPr>
            <w:tcW w:w="1318" w:type="dxa"/>
            <w:vAlign w:val="top"/>
          </w:tcPr>
          <w:p w14:paraId="427B4F66">
            <w:pPr>
              <w:pStyle w:val="6"/>
              <w:spacing w:before="30" w:line="219" w:lineRule="auto"/>
              <w:ind w:left="254"/>
              <w:rPr>
                <w:sz w:val="20"/>
                <w:szCs w:val="20"/>
              </w:rPr>
            </w:pPr>
            <w:r>
              <w:rPr>
                <w:spacing w:val="-2"/>
                <w:sz w:val="20"/>
                <w:szCs w:val="20"/>
              </w:rPr>
              <w:t>投标费率</w:t>
            </w:r>
          </w:p>
          <w:p w14:paraId="2351164E">
            <w:pPr>
              <w:pStyle w:val="6"/>
              <w:spacing w:before="25" w:line="218" w:lineRule="auto"/>
              <w:ind w:left="504"/>
              <w:rPr>
                <w:sz w:val="20"/>
                <w:szCs w:val="20"/>
              </w:rPr>
            </w:pPr>
            <w:r>
              <w:rPr>
                <w:spacing w:val="-10"/>
                <w:sz w:val="20"/>
                <w:szCs w:val="20"/>
              </w:rPr>
              <w:t>(%)</w:t>
            </w:r>
          </w:p>
        </w:tc>
        <w:tc>
          <w:tcPr>
            <w:tcW w:w="1358" w:type="dxa"/>
            <w:vAlign w:val="top"/>
          </w:tcPr>
          <w:p w14:paraId="3D07A04C">
            <w:pPr>
              <w:pStyle w:val="6"/>
              <w:spacing w:before="20" w:line="219" w:lineRule="auto"/>
              <w:ind w:left="276"/>
              <w:rPr>
                <w:sz w:val="20"/>
                <w:szCs w:val="20"/>
              </w:rPr>
            </w:pPr>
            <w:r>
              <w:rPr>
                <w:spacing w:val="2"/>
                <w:sz w:val="20"/>
                <w:szCs w:val="20"/>
              </w:rPr>
              <w:t>正确费率</w:t>
            </w:r>
          </w:p>
          <w:p w14:paraId="35C44FFF">
            <w:pPr>
              <w:pStyle w:val="6"/>
              <w:spacing w:before="35" w:line="218" w:lineRule="auto"/>
              <w:ind w:left="525"/>
              <w:rPr>
                <w:sz w:val="20"/>
                <w:szCs w:val="20"/>
              </w:rPr>
            </w:pPr>
            <w:r>
              <w:rPr>
                <w:spacing w:val="-10"/>
                <w:sz w:val="20"/>
                <w:szCs w:val="20"/>
              </w:rPr>
              <w:t>(%)</w:t>
            </w:r>
          </w:p>
        </w:tc>
        <w:tc>
          <w:tcPr>
            <w:tcW w:w="1358" w:type="dxa"/>
            <w:vAlign w:val="top"/>
          </w:tcPr>
          <w:p w14:paraId="178E9CC6">
            <w:pPr>
              <w:pStyle w:val="6"/>
              <w:spacing w:before="168" w:line="218" w:lineRule="auto"/>
              <w:ind w:left="278"/>
              <w:rPr>
                <w:sz w:val="20"/>
                <w:szCs w:val="20"/>
              </w:rPr>
            </w:pPr>
            <w:r>
              <w:rPr>
                <w:spacing w:val="-2"/>
                <w:sz w:val="20"/>
                <w:szCs w:val="20"/>
              </w:rPr>
              <w:t>偏离幅度</w:t>
            </w:r>
          </w:p>
        </w:tc>
        <w:tc>
          <w:tcPr>
            <w:tcW w:w="1254" w:type="dxa"/>
            <w:vAlign w:val="top"/>
          </w:tcPr>
          <w:p w14:paraId="7E442D97">
            <w:pPr>
              <w:pStyle w:val="6"/>
              <w:spacing w:before="171" w:line="221" w:lineRule="auto"/>
              <w:ind w:left="449"/>
              <w:rPr>
                <w:sz w:val="20"/>
                <w:szCs w:val="20"/>
              </w:rPr>
            </w:pPr>
            <w:r>
              <w:rPr>
                <w:spacing w:val="5"/>
                <w:sz w:val="20"/>
                <w:szCs w:val="20"/>
              </w:rPr>
              <w:t>备注</w:t>
            </w:r>
          </w:p>
        </w:tc>
      </w:tr>
      <w:tr w14:paraId="1F9B63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9" w:hRule="atLeast"/>
        </w:trPr>
        <w:tc>
          <w:tcPr>
            <w:tcW w:w="914" w:type="dxa"/>
            <w:vAlign w:val="top"/>
          </w:tcPr>
          <w:p w14:paraId="2A496F29">
            <w:pPr>
              <w:rPr>
                <w:rFonts w:ascii="Arial"/>
                <w:sz w:val="21"/>
              </w:rPr>
            </w:pPr>
          </w:p>
        </w:tc>
        <w:tc>
          <w:tcPr>
            <w:tcW w:w="1169" w:type="dxa"/>
            <w:vAlign w:val="top"/>
          </w:tcPr>
          <w:p w14:paraId="145611E8">
            <w:pPr>
              <w:rPr>
                <w:rFonts w:ascii="Arial"/>
                <w:sz w:val="21"/>
              </w:rPr>
            </w:pPr>
          </w:p>
        </w:tc>
        <w:tc>
          <w:tcPr>
            <w:tcW w:w="1748" w:type="dxa"/>
            <w:vAlign w:val="top"/>
          </w:tcPr>
          <w:p w14:paraId="5AB0E134">
            <w:pPr>
              <w:pStyle w:val="6"/>
              <w:spacing w:before="171" w:line="219" w:lineRule="auto"/>
              <w:ind w:left="162"/>
              <w:rPr>
                <w:sz w:val="20"/>
                <w:szCs w:val="20"/>
              </w:rPr>
            </w:pPr>
            <w:r>
              <w:rPr>
                <w:spacing w:val="1"/>
                <w:sz w:val="20"/>
                <w:szCs w:val="20"/>
              </w:rPr>
              <w:t>安全文明施工费</w:t>
            </w:r>
          </w:p>
        </w:tc>
        <w:tc>
          <w:tcPr>
            <w:tcW w:w="1318" w:type="dxa"/>
            <w:vAlign w:val="top"/>
          </w:tcPr>
          <w:p w14:paraId="6E939591">
            <w:pPr>
              <w:rPr>
                <w:rFonts w:ascii="Arial"/>
                <w:sz w:val="21"/>
              </w:rPr>
            </w:pPr>
          </w:p>
        </w:tc>
        <w:tc>
          <w:tcPr>
            <w:tcW w:w="1358" w:type="dxa"/>
            <w:vAlign w:val="top"/>
          </w:tcPr>
          <w:p w14:paraId="7F919F2A">
            <w:pPr>
              <w:rPr>
                <w:rFonts w:ascii="Arial"/>
                <w:sz w:val="21"/>
              </w:rPr>
            </w:pPr>
          </w:p>
        </w:tc>
        <w:tc>
          <w:tcPr>
            <w:tcW w:w="1358" w:type="dxa"/>
            <w:vAlign w:val="top"/>
          </w:tcPr>
          <w:p w14:paraId="541CBC7B">
            <w:pPr>
              <w:rPr>
                <w:rFonts w:ascii="Arial"/>
                <w:sz w:val="21"/>
              </w:rPr>
            </w:pPr>
          </w:p>
        </w:tc>
        <w:tc>
          <w:tcPr>
            <w:tcW w:w="1254" w:type="dxa"/>
            <w:vAlign w:val="top"/>
          </w:tcPr>
          <w:p w14:paraId="63AC684E">
            <w:pPr>
              <w:rPr>
                <w:rFonts w:ascii="Arial"/>
                <w:sz w:val="21"/>
              </w:rPr>
            </w:pPr>
          </w:p>
        </w:tc>
      </w:tr>
      <w:tr w14:paraId="2A0A3E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9" w:hRule="atLeast"/>
        </w:trPr>
        <w:tc>
          <w:tcPr>
            <w:tcW w:w="914" w:type="dxa"/>
            <w:vAlign w:val="top"/>
          </w:tcPr>
          <w:p w14:paraId="2D178210">
            <w:pPr>
              <w:rPr>
                <w:rFonts w:ascii="Arial"/>
                <w:sz w:val="21"/>
              </w:rPr>
            </w:pPr>
          </w:p>
        </w:tc>
        <w:tc>
          <w:tcPr>
            <w:tcW w:w="1169" w:type="dxa"/>
            <w:vAlign w:val="top"/>
          </w:tcPr>
          <w:p w14:paraId="7259F28B">
            <w:pPr>
              <w:rPr>
                <w:rFonts w:ascii="Arial"/>
                <w:sz w:val="21"/>
              </w:rPr>
            </w:pPr>
          </w:p>
        </w:tc>
        <w:tc>
          <w:tcPr>
            <w:tcW w:w="1748" w:type="dxa"/>
            <w:vAlign w:val="top"/>
          </w:tcPr>
          <w:p w14:paraId="1CB0909F">
            <w:pPr>
              <w:rPr>
                <w:rFonts w:ascii="Arial"/>
                <w:sz w:val="21"/>
              </w:rPr>
            </w:pPr>
          </w:p>
        </w:tc>
        <w:tc>
          <w:tcPr>
            <w:tcW w:w="1318" w:type="dxa"/>
            <w:vAlign w:val="top"/>
          </w:tcPr>
          <w:p w14:paraId="52B5D516">
            <w:pPr>
              <w:rPr>
                <w:rFonts w:ascii="Arial"/>
                <w:sz w:val="21"/>
              </w:rPr>
            </w:pPr>
          </w:p>
        </w:tc>
        <w:tc>
          <w:tcPr>
            <w:tcW w:w="1358" w:type="dxa"/>
            <w:vAlign w:val="top"/>
          </w:tcPr>
          <w:p w14:paraId="78E08BEA">
            <w:pPr>
              <w:rPr>
                <w:rFonts w:ascii="Arial"/>
                <w:sz w:val="21"/>
              </w:rPr>
            </w:pPr>
          </w:p>
        </w:tc>
        <w:tc>
          <w:tcPr>
            <w:tcW w:w="1358" w:type="dxa"/>
            <w:vAlign w:val="top"/>
          </w:tcPr>
          <w:p w14:paraId="0FE29D62">
            <w:pPr>
              <w:rPr>
                <w:rFonts w:ascii="Arial"/>
                <w:sz w:val="21"/>
              </w:rPr>
            </w:pPr>
          </w:p>
        </w:tc>
        <w:tc>
          <w:tcPr>
            <w:tcW w:w="1254" w:type="dxa"/>
            <w:vAlign w:val="top"/>
          </w:tcPr>
          <w:p w14:paraId="0A50EC3E">
            <w:pPr>
              <w:rPr>
                <w:rFonts w:ascii="Arial"/>
                <w:sz w:val="21"/>
              </w:rPr>
            </w:pPr>
          </w:p>
        </w:tc>
      </w:tr>
      <w:tr w14:paraId="03DC94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9" w:hRule="atLeast"/>
        </w:trPr>
        <w:tc>
          <w:tcPr>
            <w:tcW w:w="9119" w:type="dxa"/>
            <w:gridSpan w:val="7"/>
            <w:vAlign w:val="top"/>
          </w:tcPr>
          <w:p w14:paraId="67E09193">
            <w:pPr>
              <w:rPr>
                <w:rFonts w:ascii="Arial"/>
                <w:sz w:val="21"/>
              </w:rPr>
            </w:pPr>
          </w:p>
        </w:tc>
      </w:tr>
      <w:tr w14:paraId="63E4A2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9" w:hRule="atLeast"/>
        </w:trPr>
        <w:tc>
          <w:tcPr>
            <w:tcW w:w="3831" w:type="dxa"/>
            <w:gridSpan w:val="3"/>
            <w:vAlign w:val="top"/>
          </w:tcPr>
          <w:p w14:paraId="26739F33">
            <w:pPr>
              <w:pStyle w:val="6"/>
              <w:spacing w:before="174" w:line="220" w:lineRule="auto"/>
              <w:ind w:left="1504"/>
              <w:rPr>
                <w:sz w:val="20"/>
                <w:szCs w:val="20"/>
              </w:rPr>
            </w:pPr>
            <w:r>
              <w:rPr>
                <w:spacing w:val="2"/>
                <w:sz w:val="20"/>
                <w:szCs w:val="20"/>
              </w:rPr>
              <w:t>项目名称</w:t>
            </w:r>
          </w:p>
        </w:tc>
        <w:tc>
          <w:tcPr>
            <w:tcW w:w="1318" w:type="dxa"/>
            <w:vAlign w:val="top"/>
          </w:tcPr>
          <w:p w14:paraId="67C300D0">
            <w:pPr>
              <w:pStyle w:val="6"/>
              <w:spacing w:before="24" w:line="220" w:lineRule="auto"/>
              <w:ind w:left="254"/>
              <w:rPr>
                <w:sz w:val="20"/>
                <w:szCs w:val="20"/>
              </w:rPr>
            </w:pPr>
            <w:r>
              <w:rPr>
                <w:spacing w:val="-2"/>
                <w:sz w:val="20"/>
                <w:szCs w:val="20"/>
              </w:rPr>
              <w:t>投标合计</w:t>
            </w:r>
          </w:p>
          <w:p w14:paraId="7480C6C1">
            <w:pPr>
              <w:pStyle w:val="6"/>
              <w:spacing w:before="30" w:line="208" w:lineRule="auto"/>
              <w:ind w:left="453"/>
              <w:rPr>
                <w:sz w:val="20"/>
                <w:szCs w:val="20"/>
              </w:rPr>
            </w:pPr>
            <w:r>
              <w:rPr>
                <w:spacing w:val="-3"/>
                <w:sz w:val="20"/>
                <w:szCs w:val="20"/>
              </w:rPr>
              <w:t>金额</w:t>
            </w:r>
          </w:p>
        </w:tc>
        <w:tc>
          <w:tcPr>
            <w:tcW w:w="1358" w:type="dxa"/>
            <w:vAlign w:val="top"/>
          </w:tcPr>
          <w:p w14:paraId="27777BB5">
            <w:pPr>
              <w:pStyle w:val="6"/>
              <w:spacing w:before="32" w:line="218" w:lineRule="auto"/>
              <w:ind w:left="175"/>
              <w:rPr>
                <w:sz w:val="20"/>
                <w:szCs w:val="20"/>
              </w:rPr>
            </w:pPr>
            <w:r>
              <w:rPr>
                <w:spacing w:val="-2"/>
                <w:sz w:val="20"/>
                <w:szCs w:val="20"/>
              </w:rPr>
              <w:t>招标控制价</w:t>
            </w:r>
          </w:p>
          <w:p w14:paraId="700124A2">
            <w:pPr>
              <w:pStyle w:val="6"/>
              <w:spacing w:before="25" w:line="208" w:lineRule="auto"/>
              <w:ind w:left="175"/>
              <w:rPr>
                <w:sz w:val="20"/>
                <w:szCs w:val="20"/>
              </w:rPr>
            </w:pPr>
            <w:r>
              <w:rPr>
                <w:spacing w:val="1"/>
                <w:sz w:val="20"/>
                <w:szCs w:val="20"/>
              </w:rPr>
              <w:t>的合计金额</w:t>
            </w:r>
          </w:p>
        </w:tc>
        <w:tc>
          <w:tcPr>
            <w:tcW w:w="1358" w:type="dxa"/>
            <w:vAlign w:val="top"/>
          </w:tcPr>
          <w:p w14:paraId="768782F3">
            <w:pPr>
              <w:pStyle w:val="6"/>
              <w:spacing w:before="172" w:line="218" w:lineRule="auto"/>
              <w:ind w:left="278"/>
              <w:rPr>
                <w:sz w:val="20"/>
                <w:szCs w:val="20"/>
              </w:rPr>
            </w:pPr>
            <w:r>
              <w:rPr>
                <w:spacing w:val="-2"/>
                <w:sz w:val="20"/>
                <w:szCs w:val="20"/>
              </w:rPr>
              <w:t>偏离幅度</w:t>
            </w:r>
          </w:p>
        </w:tc>
        <w:tc>
          <w:tcPr>
            <w:tcW w:w="1254" w:type="dxa"/>
            <w:vAlign w:val="top"/>
          </w:tcPr>
          <w:p w14:paraId="1F6566D1">
            <w:pPr>
              <w:rPr>
                <w:rFonts w:ascii="Arial"/>
                <w:sz w:val="21"/>
              </w:rPr>
            </w:pPr>
          </w:p>
        </w:tc>
      </w:tr>
      <w:tr w14:paraId="0F3A0E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3831" w:type="dxa"/>
            <w:gridSpan w:val="3"/>
            <w:vAlign w:val="top"/>
          </w:tcPr>
          <w:p w14:paraId="4574FD50">
            <w:pPr>
              <w:pStyle w:val="6"/>
              <w:spacing w:before="183" w:line="218" w:lineRule="auto"/>
              <w:ind w:left="1304"/>
              <w:rPr>
                <w:sz w:val="20"/>
                <w:szCs w:val="20"/>
              </w:rPr>
            </w:pPr>
            <w:r>
              <w:rPr>
                <w:spacing w:val="6"/>
                <w:sz w:val="20"/>
                <w:szCs w:val="20"/>
              </w:rPr>
              <w:t>总价措施项目</w:t>
            </w:r>
          </w:p>
        </w:tc>
        <w:tc>
          <w:tcPr>
            <w:tcW w:w="1318" w:type="dxa"/>
            <w:vAlign w:val="top"/>
          </w:tcPr>
          <w:p w14:paraId="2DA31448">
            <w:pPr>
              <w:rPr>
                <w:rFonts w:ascii="Arial"/>
                <w:sz w:val="21"/>
              </w:rPr>
            </w:pPr>
          </w:p>
        </w:tc>
        <w:tc>
          <w:tcPr>
            <w:tcW w:w="1358" w:type="dxa"/>
            <w:vAlign w:val="top"/>
          </w:tcPr>
          <w:p w14:paraId="4D27F907">
            <w:pPr>
              <w:rPr>
                <w:rFonts w:ascii="Arial"/>
                <w:sz w:val="21"/>
              </w:rPr>
            </w:pPr>
          </w:p>
        </w:tc>
        <w:tc>
          <w:tcPr>
            <w:tcW w:w="1358" w:type="dxa"/>
            <w:vAlign w:val="top"/>
          </w:tcPr>
          <w:p w14:paraId="64207E4C">
            <w:pPr>
              <w:rPr>
                <w:rFonts w:ascii="Arial"/>
                <w:sz w:val="21"/>
              </w:rPr>
            </w:pPr>
          </w:p>
        </w:tc>
        <w:tc>
          <w:tcPr>
            <w:tcW w:w="1254" w:type="dxa"/>
            <w:vAlign w:val="top"/>
          </w:tcPr>
          <w:p w14:paraId="5D96E89B">
            <w:pPr>
              <w:rPr>
                <w:rFonts w:ascii="Arial"/>
                <w:sz w:val="21"/>
              </w:rPr>
            </w:pPr>
          </w:p>
        </w:tc>
      </w:tr>
      <w:tr w14:paraId="60F241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3" w:hRule="atLeast"/>
        </w:trPr>
        <w:tc>
          <w:tcPr>
            <w:tcW w:w="3831" w:type="dxa"/>
            <w:gridSpan w:val="3"/>
            <w:vAlign w:val="top"/>
          </w:tcPr>
          <w:p w14:paraId="22295C7A">
            <w:pPr>
              <w:rPr>
                <w:rFonts w:ascii="Arial"/>
                <w:sz w:val="21"/>
              </w:rPr>
            </w:pPr>
          </w:p>
        </w:tc>
        <w:tc>
          <w:tcPr>
            <w:tcW w:w="1318" w:type="dxa"/>
            <w:vAlign w:val="top"/>
          </w:tcPr>
          <w:p w14:paraId="19C04DC5">
            <w:pPr>
              <w:rPr>
                <w:rFonts w:ascii="Arial"/>
                <w:sz w:val="21"/>
              </w:rPr>
            </w:pPr>
          </w:p>
        </w:tc>
        <w:tc>
          <w:tcPr>
            <w:tcW w:w="1358" w:type="dxa"/>
            <w:vAlign w:val="top"/>
          </w:tcPr>
          <w:p w14:paraId="46AE9DDD">
            <w:pPr>
              <w:rPr>
                <w:rFonts w:ascii="Arial"/>
                <w:sz w:val="21"/>
              </w:rPr>
            </w:pPr>
          </w:p>
        </w:tc>
        <w:tc>
          <w:tcPr>
            <w:tcW w:w="1358" w:type="dxa"/>
            <w:vAlign w:val="top"/>
          </w:tcPr>
          <w:p w14:paraId="5072AEC1">
            <w:pPr>
              <w:rPr>
                <w:rFonts w:ascii="Arial"/>
                <w:sz w:val="21"/>
              </w:rPr>
            </w:pPr>
          </w:p>
        </w:tc>
        <w:tc>
          <w:tcPr>
            <w:tcW w:w="1254" w:type="dxa"/>
            <w:vAlign w:val="top"/>
          </w:tcPr>
          <w:p w14:paraId="6C3308B5">
            <w:pPr>
              <w:rPr>
                <w:rFonts w:ascii="Arial"/>
                <w:sz w:val="21"/>
              </w:rPr>
            </w:pPr>
          </w:p>
        </w:tc>
      </w:tr>
    </w:tbl>
    <w:p w14:paraId="1D941857">
      <w:pPr>
        <w:spacing w:line="460" w:lineRule="auto"/>
        <w:rPr>
          <w:rFonts w:ascii="Arial"/>
          <w:sz w:val="21"/>
        </w:rPr>
      </w:pPr>
    </w:p>
    <w:p w14:paraId="1961A15C">
      <w:pPr>
        <w:pStyle w:val="2"/>
        <w:spacing w:before="65" w:line="223" w:lineRule="auto"/>
        <w:ind w:left="115"/>
        <w:rPr>
          <w:sz w:val="20"/>
          <w:szCs w:val="20"/>
        </w:rPr>
      </w:pPr>
      <w:r>
        <w:rPr>
          <w:spacing w:val="-4"/>
          <w:sz w:val="20"/>
          <w:szCs w:val="20"/>
        </w:rPr>
        <w:t>评标委员会成员签名：</w:t>
      </w:r>
      <w:r>
        <w:rPr>
          <w:spacing w:val="3"/>
          <w:sz w:val="20"/>
          <w:szCs w:val="20"/>
        </w:rPr>
        <w:t xml:space="preserve">                                   </w:t>
      </w:r>
      <w:r>
        <w:rPr>
          <w:spacing w:val="-4"/>
          <w:sz w:val="15"/>
          <w:szCs w:val="15"/>
        </w:rPr>
        <w:t>日 期</w:t>
      </w:r>
      <w:r>
        <w:rPr>
          <w:spacing w:val="26"/>
          <w:w w:val="101"/>
          <w:sz w:val="15"/>
          <w:szCs w:val="15"/>
        </w:rPr>
        <w:t xml:space="preserve"> </w:t>
      </w:r>
      <w:r>
        <w:rPr>
          <w:spacing w:val="-4"/>
          <w:sz w:val="15"/>
          <w:szCs w:val="15"/>
        </w:rPr>
        <w:t>：</w:t>
      </w:r>
      <w:r>
        <w:rPr>
          <w:spacing w:val="3"/>
          <w:sz w:val="15"/>
          <w:szCs w:val="15"/>
        </w:rPr>
        <w:t xml:space="preserve">       </w:t>
      </w:r>
      <w:r>
        <w:rPr>
          <w:spacing w:val="-4"/>
          <w:sz w:val="20"/>
          <w:szCs w:val="20"/>
        </w:rPr>
        <w:t>年</w:t>
      </w:r>
      <w:r>
        <w:rPr>
          <w:spacing w:val="8"/>
          <w:sz w:val="20"/>
          <w:szCs w:val="20"/>
        </w:rPr>
        <w:t xml:space="preserve">     </w:t>
      </w:r>
      <w:r>
        <w:rPr>
          <w:spacing w:val="-4"/>
          <w:sz w:val="20"/>
          <w:szCs w:val="20"/>
        </w:rPr>
        <w:t xml:space="preserve">月      </w:t>
      </w:r>
      <w:r>
        <w:rPr>
          <w:spacing w:val="-4"/>
          <w:position w:val="1"/>
          <w:sz w:val="20"/>
          <w:szCs w:val="20"/>
        </w:rPr>
        <w:t>日</w:t>
      </w:r>
    </w:p>
    <w:p w14:paraId="1D1772B3">
      <w:pPr>
        <w:spacing w:line="241" w:lineRule="auto"/>
        <w:rPr>
          <w:rFonts w:ascii="Arial"/>
          <w:sz w:val="21"/>
        </w:rPr>
      </w:pPr>
    </w:p>
    <w:p w14:paraId="361EBD00">
      <w:pPr>
        <w:spacing w:line="242" w:lineRule="auto"/>
        <w:rPr>
          <w:rFonts w:ascii="Arial"/>
          <w:sz w:val="21"/>
        </w:rPr>
      </w:pPr>
    </w:p>
    <w:p w14:paraId="4384B9EC">
      <w:pPr>
        <w:pStyle w:val="2"/>
        <w:spacing w:before="65" w:line="218" w:lineRule="auto"/>
        <w:ind w:left="115"/>
        <w:rPr>
          <w:sz w:val="20"/>
          <w:szCs w:val="20"/>
        </w:rPr>
      </w:pPr>
      <w:r>
        <w:rPr>
          <w:spacing w:val="7"/>
          <w:sz w:val="20"/>
          <w:szCs w:val="20"/>
        </w:rPr>
        <w:t>注：“总价措施项目价格偏离幅度”指标用于在投标人投标总报价低于招标控制价一定幅度，评标</w:t>
      </w:r>
    </w:p>
    <w:p w14:paraId="3C6F330E">
      <w:pPr>
        <w:pStyle w:val="2"/>
        <w:spacing w:before="54" w:line="219" w:lineRule="auto"/>
        <w:ind w:left="545"/>
        <w:rPr>
          <w:sz w:val="20"/>
          <w:szCs w:val="20"/>
        </w:rPr>
      </w:pPr>
      <w:r>
        <w:rPr>
          <w:spacing w:val="10"/>
          <w:sz w:val="20"/>
          <w:szCs w:val="20"/>
        </w:rPr>
        <w:t>委员会启动成本评审工作时，要求投标人进行澄清和说明并提</w:t>
      </w:r>
      <w:r>
        <w:rPr>
          <w:spacing w:val="9"/>
          <w:sz w:val="20"/>
          <w:szCs w:val="20"/>
        </w:rPr>
        <w:t>交有关证明材料的依据。</w:t>
      </w:r>
    </w:p>
    <w:p w14:paraId="18CC82BD">
      <w:pPr>
        <w:spacing w:line="219" w:lineRule="auto"/>
        <w:rPr>
          <w:sz w:val="20"/>
          <w:szCs w:val="20"/>
        </w:rPr>
        <w:sectPr>
          <w:footerReference r:id="rId106" w:type="default"/>
          <w:pgSz w:w="11910" w:h="16840"/>
          <w:pgMar w:top="400" w:right="1435" w:bottom="1024" w:left="1344" w:header="0" w:footer="889" w:gutter="0"/>
          <w:cols w:space="720" w:num="1"/>
        </w:sectPr>
      </w:pPr>
    </w:p>
    <w:p w14:paraId="66C65021">
      <w:pPr>
        <w:spacing w:line="261" w:lineRule="auto"/>
        <w:rPr>
          <w:rFonts w:ascii="Arial"/>
          <w:sz w:val="21"/>
        </w:rPr>
      </w:pPr>
    </w:p>
    <w:p w14:paraId="0E19241E">
      <w:pPr>
        <w:spacing w:line="261" w:lineRule="auto"/>
        <w:rPr>
          <w:rFonts w:ascii="Arial"/>
          <w:sz w:val="21"/>
        </w:rPr>
      </w:pPr>
    </w:p>
    <w:p w14:paraId="60F61E00">
      <w:pPr>
        <w:spacing w:line="262" w:lineRule="auto"/>
        <w:rPr>
          <w:rFonts w:ascii="Arial"/>
          <w:sz w:val="21"/>
        </w:rPr>
      </w:pPr>
    </w:p>
    <w:p w14:paraId="45DB4FE0">
      <w:pPr>
        <w:spacing w:line="262" w:lineRule="auto"/>
        <w:rPr>
          <w:rFonts w:ascii="Arial"/>
          <w:sz w:val="21"/>
        </w:rPr>
      </w:pPr>
    </w:p>
    <w:p w14:paraId="742871F4">
      <w:pPr>
        <w:spacing w:line="262" w:lineRule="auto"/>
        <w:rPr>
          <w:rFonts w:ascii="Arial"/>
          <w:sz w:val="21"/>
        </w:rPr>
      </w:pPr>
    </w:p>
    <w:p w14:paraId="56D7DB1B">
      <w:pPr>
        <w:spacing w:before="78" w:line="222" w:lineRule="auto"/>
        <w:ind w:left="538"/>
        <w:outlineLvl w:val="2"/>
        <w:rPr>
          <w:rFonts w:ascii="黑体" w:hAnsi="黑体" w:eastAsia="黑体" w:cs="黑体"/>
          <w:sz w:val="24"/>
          <w:szCs w:val="24"/>
        </w:rPr>
      </w:pPr>
      <w:bookmarkStart w:id="253" w:name="bookmark180"/>
      <w:bookmarkEnd w:id="253"/>
      <w:r>
        <w:rPr>
          <w:rFonts w:ascii="黑体" w:hAnsi="黑体" w:eastAsia="黑体" w:cs="黑体"/>
          <w:b/>
          <w:bCs/>
          <w:spacing w:val="2"/>
          <w:sz w:val="24"/>
          <w:szCs w:val="24"/>
        </w:rPr>
        <w:t>附表</w:t>
      </w:r>
      <w:r>
        <w:rPr>
          <w:rFonts w:ascii="Times New Roman" w:hAnsi="Times New Roman" w:eastAsia="Times New Roman" w:cs="Times New Roman"/>
          <w:b/>
          <w:bCs/>
          <w:spacing w:val="2"/>
          <w:sz w:val="24"/>
          <w:szCs w:val="24"/>
        </w:rPr>
        <w:t xml:space="preserve">C-11:   </w:t>
      </w:r>
      <w:r>
        <w:rPr>
          <w:rFonts w:ascii="黑体" w:hAnsi="黑体" w:eastAsia="黑体" w:cs="黑体"/>
          <w:b/>
          <w:bCs/>
          <w:spacing w:val="2"/>
          <w:sz w:val="24"/>
          <w:szCs w:val="24"/>
        </w:rPr>
        <w:t>清标报告-其他项目清单价格分析记录表</w:t>
      </w:r>
    </w:p>
    <w:p w14:paraId="6C8496F9">
      <w:pPr>
        <w:spacing w:line="326" w:lineRule="auto"/>
        <w:rPr>
          <w:rFonts w:ascii="Arial"/>
          <w:sz w:val="21"/>
        </w:rPr>
      </w:pPr>
    </w:p>
    <w:p w14:paraId="75E7BD48">
      <w:pPr>
        <w:spacing w:before="104" w:line="222" w:lineRule="auto"/>
        <w:ind w:left="1749"/>
        <w:rPr>
          <w:rFonts w:ascii="黑体" w:hAnsi="黑体" w:eastAsia="黑体" w:cs="黑体"/>
          <w:sz w:val="32"/>
          <w:szCs w:val="32"/>
        </w:rPr>
      </w:pPr>
      <w:bookmarkStart w:id="254" w:name="bookmark291"/>
      <w:bookmarkEnd w:id="254"/>
      <w:r>
        <w:rPr>
          <w:rFonts w:ascii="黑体" w:hAnsi="黑体" w:eastAsia="黑体" w:cs="黑体"/>
          <w:b/>
          <w:bCs/>
          <w:spacing w:val="-2"/>
          <w:sz w:val="32"/>
          <w:szCs w:val="32"/>
        </w:rPr>
        <w:t>清标报告-其他项目清单价格分析记录表</w:t>
      </w:r>
    </w:p>
    <w:p w14:paraId="138101B3">
      <w:pPr>
        <w:spacing w:line="373" w:lineRule="auto"/>
        <w:rPr>
          <w:rFonts w:ascii="Arial"/>
          <w:sz w:val="21"/>
        </w:rPr>
      </w:pPr>
    </w:p>
    <w:p w14:paraId="6FCC246A">
      <w:pPr>
        <w:pStyle w:val="2"/>
        <w:spacing w:before="61" w:line="220" w:lineRule="auto"/>
        <w:ind w:left="115"/>
        <w:rPr>
          <w:sz w:val="19"/>
          <w:szCs w:val="19"/>
        </w:rPr>
      </w:pPr>
      <w:r>
        <w:rPr>
          <w:spacing w:val="10"/>
          <w:sz w:val="19"/>
          <w:szCs w:val="19"/>
        </w:rPr>
        <w:t>投标人名称：</w:t>
      </w:r>
    </w:p>
    <w:p w14:paraId="0ABC9F50">
      <w:pPr>
        <w:spacing w:before="29"/>
      </w:pPr>
    </w:p>
    <w:tbl>
      <w:tblPr>
        <w:tblStyle w:val="5"/>
        <w:tblW w:w="910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811"/>
        <w:gridCol w:w="4055"/>
        <w:gridCol w:w="1243"/>
      </w:tblGrid>
      <w:tr w14:paraId="6748AF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1" w:hRule="atLeast"/>
        </w:trPr>
        <w:tc>
          <w:tcPr>
            <w:tcW w:w="3811" w:type="dxa"/>
            <w:vAlign w:val="top"/>
          </w:tcPr>
          <w:p w14:paraId="242B475A">
            <w:pPr>
              <w:pStyle w:val="6"/>
              <w:spacing w:before="173" w:line="220" w:lineRule="auto"/>
              <w:ind w:left="1294"/>
              <w:rPr>
                <w:sz w:val="20"/>
                <w:szCs w:val="20"/>
              </w:rPr>
            </w:pPr>
            <w:r>
              <w:rPr>
                <w:spacing w:val="-2"/>
                <w:sz w:val="20"/>
                <w:szCs w:val="20"/>
              </w:rPr>
              <w:t>单位工程名称</w:t>
            </w:r>
          </w:p>
        </w:tc>
        <w:tc>
          <w:tcPr>
            <w:tcW w:w="5298" w:type="dxa"/>
            <w:gridSpan w:val="2"/>
            <w:vAlign w:val="top"/>
          </w:tcPr>
          <w:p w14:paraId="327BF51E">
            <w:pPr>
              <w:rPr>
                <w:rFonts w:ascii="Arial"/>
                <w:sz w:val="21"/>
              </w:rPr>
            </w:pPr>
          </w:p>
        </w:tc>
      </w:tr>
      <w:tr w14:paraId="4A8235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7" w:hRule="atLeast"/>
        </w:trPr>
        <w:tc>
          <w:tcPr>
            <w:tcW w:w="3811" w:type="dxa"/>
            <w:vAlign w:val="top"/>
          </w:tcPr>
          <w:p w14:paraId="77039154">
            <w:pPr>
              <w:pStyle w:val="6"/>
              <w:spacing w:before="172" w:line="220" w:lineRule="auto"/>
              <w:ind w:left="1494"/>
              <w:rPr>
                <w:sz w:val="20"/>
                <w:szCs w:val="20"/>
              </w:rPr>
            </w:pPr>
            <w:r>
              <w:rPr>
                <w:spacing w:val="2"/>
                <w:sz w:val="20"/>
                <w:szCs w:val="20"/>
              </w:rPr>
              <w:t>项目名称</w:t>
            </w:r>
          </w:p>
        </w:tc>
        <w:tc>
          <w:tcPr>
            <w:tcW w:w="4055" w:type="dxa"/>
            <w:vAlign w:val="top"/>
          </w:tcPr>
          <w:p w14:paraId="45AC6102">
            <w:pPr>
              <w:pStyle w:val="6"/>
              <w:spacing w:before="172" w:line="219" w:lineRule="auto"/>
              <w:ind w:left="1203"/>
              <w:rPr>
                <w:sz w:val="20"/>
                <w:szCs w:val="20"/>
              </w:rPr>
            </w:pPr>
            <w:r>
              <w:rPr>
                <w:spacing w:val="1"/>
                <w:sz w:val="20"/>
                <w:szCs w:val="20"/>
              </w:rPr>
              <w:t>企业管理费和利润</w:t>
            </w:r>
          </w:p>
        </w:tc>
        <w:tc>
          <w:tcPr>
            <w:tcW w:w="1243" w:type="dxa"/>
            <w:vAlign w:val="top"/>
          </w:tcPr>
          <w:p w14:paraId="3E3CD09F">
            <w:pPr>
              <w:pStyle w:val="6"/>
              <w:spacing w:before="173" w:line="221" w:lineRule="auto"/>
              <w:ind w:left="438"/>
              <w:rPr>
                <w:sz w:val="20"/>
                <w:szCs w:val="20"/>
              </w:rPr>
            </w:pPr>
            <w:r>
              <w:rPr>
                <w:spacing w:val="5"/>
                <w:sz w:val="20"/>
                <w:szCs w:val="20"/>
              </w:rPr>
              <w:t>备注</w:t>
            </w:r>
          </w:p>
        </w:tc>
      </w:tr>
      <w:tr w14:paraId="5F288D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1" w:hRule="atLeast"/>
        </w:trPr>
        <w:tc>
          <w:tcPr>
            <w:tcW w:w="3811" w:type="dxa"/>
            <w:vAlign w:val="top"/>
          </w:tcPr>
          <w:p w14:paraId="7DDFD5D8">
            <w:pPr>
              <w:pStyle w:val="6"/>
              <w:spacing w:before="176" w:line="221" w:lineRule="auto"/>
              <w:ind w:left="1494"/>
              <w:rPr>
                <w:sz w:val="20"/>
                <w:szCs w:val="20"/>
              </w:rPr>
            </w:pPr>
            <w:r>
              <w:rPr>
                <w:spacing w:val="-2"/>
                <w:sz w:val="20"/>
                <w:szCs w:val="20"/>
              </w:rPr>
              <w:t>计日工表</w:t>
            </w:r>
          </w:p>
        </w:tc>
        <w:tc>
          <w:tcPr>
            <w:tcW w:w="4055" w:type="dxa"/>
            <w:vAlign w:val="top"/>
          </w:tcPr>
          <w:p w14:paraId="5DDFE204">
            <w:pPr>
              <w:rPr>
                <w:rFonts w:ascii="Arial"/>
                <w:sz w:val="21"/>
              </w:rPr>
            </w:pPr>
          </w:p>
        </w:tc>
        <w:tc>
          <w:tcPr>
            <w:tcW w:w="1243" w:type="dxa"/>
            <w:vAlign w:val="top"/>
          </w:tcPr>
          <w:p w14:paraId="5DD73EBF">
            <w:pPr>
              <w:rPr>
                <w:rFonts w:ascii="Arial"/>
                <w:sz w:val="21"/>
              </w:rPr>
            </w:pPr>
          </w:p>
        </w:tc>
      </w:tr>
    </w:tbl>
    <w:p w14:paraId="62844B13">
      <w:pPr>
        <w:spacing w:line="473" w:lineRule="auto"/>
        <w:rPr>
          <w:rFonts w:ascii="Arial"/>
          <w:sz w:val="21"/>
        </w:rPr>
      </w:pPr>
    </w:p>
    <w:p w14:paraId="1580BE24">
      <w:pPr>
        <w:pStyle w:val="2"/>
        <w:spacing w:before="62" w:line="223" w:lineRule="auto"/>
        <w:ind w:left="125"/>
        <w:rPr>
          <w:sz w:val="19"/>
          <w:szCs w:val="19"/>
        </w:rPr>
      </w:pPr>
      <w:r>
        <w:rPr>
          <w:spacing w:val="-1"/>
          <w:sz w:val="19"/>
          <w:szCs w:val="19"/>
        </w:rPr>
        <w:t>评标委员会成员签名：</w:t>
      </w:r>
      <w:r>
        <w:rPr>
          <w:spacing w:val="1"/>
          <w:sz w:val="19"/>
          <w:szCs w:val="19"/>
        </w:rPr>
        <w:t xml:space="preserve">                        </w:t>
      </w:r>
      <w:r>
        <w:rPr>
          <w:sz w:val="19"/>
          <w:szCs w:val="19"/>
        </w:rPr>
        <w:t xml:space="preserve">              </w:t>
      </w:r>
      <w:r>
        <w:rPr>
          <w:spacing w:val="-1"/>
          <w:sz w:val="16"/>
          <w:szCs w:val="16"/>
        </w:rPr>
        <w:t>日 期 ：</w:t>
      </w:r>
      <w:r>
        <w:rPr>
          <w:spacing w:val="10"/>
          <w:sz w:val="16"/>
          <w:szCs w:val="16"/>
        </w:rPr>
        <w:t xml:space="preserve">      </w:t>
      </w:r>
      <w:r>
        <w:rPr>
          <w:spacing w:val="-1"/>
          <w:sz w:val="19"/>
          <w:szCs w:val="19"/>
        </w:rPr>
        <w:t xml:space="preserve">年      月      </w:t>
      </w:r>
      <w:r>
        <w:rPr>
          <w:spacing w:val="-1"/>
          <w:position w:val="1"/>
          <w:sz w:val="19"/>
          <w:szCs w:val="19"/>
        </w:rPr>
        <w:t>日</w:t>
      </w:r>
    </w:p>
    <w:p w14:paraId="1835F67E">
      <w:pPr>
        <w:spacing w:line="223" w:lineRule="auto"/>
        <w:rPr>
          <w:sz w:val="19"/>
          <w:szCs w:val="19"/>
        </w:rPr>
        <w:sectPr>
          <w:footerReference r:id="rId107" w:type="default"/>
          <w:pgSz w:w="11910" w:h="16840"/>
          <w:pgMar w:top="400" w:right="1435" w:bottom="1007" w:left="1355" w:header="0" w:footer="881" w:gutter="0"/>
          <w:cols w:space="720" w:num="1"/>
        </w:sectPr>
      </w:pPr>
    </w:p>
    <w:p w14:paraId="6FBF61E9">
      <w:pPr>
        <w:spacing w:line="269" w:lineRule="auto"/>
        <w:rPr>
          <w:rFonts w:ascii="Arial"/>
          <w:sz w:val="21"/>
        </w:rPr>
      </w:pPr>
    </w:p>
    <w:p w14:paraId="14C39CBF">
      <w:pPr>
        <w:spacing w:line="269" w:lineRule="auto"/>
        <w:rPr>
          <w:rFonts w:ascii="Arial"/>
          <w:sz w:val="21"/>
        </w:rPr>
      </w:pPr>
    </w:p>
    <w:p w14:paraId="34D3BE57">
      <w:pPr>
        <w:spacing w:line="269" w:lineRule="auto"/>
        <w:rPr>
          <w:rFonts w:ascii="Arial"/>
          <w:sz w:val="21"/>
        </w:rPr>
      </w:pPr>
    </w:p>
    <w:p w14:paraId="63C9E16E">
      <w:pPr>
        <w:spacing w:line="270" w:lineRule="auto"/>
        <w:rPr>
          <w:rFonts w:ascii="Arial"/>
          <w:sz w:val="21"/>
        </w:rPr>
      </w:pPr>
    </w:p>
    <w:p w14:paraId="2D85C1F4">
      <w:pPr>
        <w:spacing w:line="270" w:lineRule="auto"/>
        <w:rPr>
          <w:rFonts w:ascii="Arial"/>
          <w:sz w:val="21"/>
        </w:rPr>
      </w:pPr>
    </w:p>
    <w:p w14:paraId="2B895079">
      <w:pPr>
        <w:pStyle w:val="2"/>
        <w:spacing w:before="69" w:line="222" w:lineRule="auto"/>
        <w:ind w:left="537"/>
        <w:outlineLvl w:val="2"/>
        <w:rPr>
          <w:rFonts w:ascii="黑体" w:hAnsi="黑体" w:eastAsia="黑体" w:cs="黑体"/>
          <w:sz w:val="21"/>
          <w:szCs w:val="21"/>
        </w:rPr>
      </w:pPr>
      <w:bookmarkStart w:id="255" w:name="bookmark181"/>
      <w:bookmarkEnd w:id="255"/>
      <w:r>
        <w:rPr>
          <w:rFonts w:ascii="黑体" w:hAnsi="黑体" w:eastAsia="黑体" w:cs="黑体"/>
          <w:b/>
          <w:bCs/>
          <w:spacing w:val="18"/>
          <w:sz w:val="21"/>
          <w:szCs w:val="21"/>
        </w:rPr>
        <w:t>附</w:t>
      </w:r>
      <w:r>
        <w:rPr>
          <w:rFonts w:ascii="黑体" w:hAnsi="黑体" w:eastAsia="黑体" w:cs="黑体"/>
          <w:spacing w:val="18"/>
          <w:sz w:val="21"/>
          <w:szCs w:val="21"/>
        </w:rPr>
        <w:t xml:space="preserve"> </w:t>
      </w:r>
      <w:r>
        <w:rPr>
          <w:rFonts w:ascii="黑体" w:hAnsi="黑体" w:eastAsia="黑体" w:cs="黑体"/>
          <w:b/>
          <w:bCs/>
          <w:spacing w:val="18"/>
          <w:sz w:val="21"/>
          <w:szCs w:val="21"/>
        </w:rPr>
        <w:t>表</w:t>
      </w:r>
      <w:r>
        <w:rPr>
          <w:b/>
          <w:bCs/>
          <w:spacing w:val="18"/>
          <w:sz w:val="21"/>
          <w:szCs w:val="21"/>
        </w:rPr>
        <w:t>C-12:</w:t>
      </w:r>
      <w:r>
        <w:rPr>
          <w:spacing w:val="18"/>
          <w:sz w:val="21"/>
          <w:szCs w:val="21"/>
        </w:rPr>
        <w:t xml:space="preserve">  </w:t>
      </w:r>
      <w:r>
        <w:rPr>
          <w:rFonts w:ascii="黑体" w:hAnsi="黑体" w:eastAsia="黑体" w:cs="黑体"/>
          <w:b/>
          <w:bCs/>
          <w:spacing w:val="18"/>
          <w:sz w:val="21"/>
          <w:szCs w:val="21"/>
        </w:rPr>
        <w:t>清标报告-</w:t>
      </w:r>
      <w:r>
        <w:rPr>
          <w:rFonts w:ascii="黑体" w:hAnsi="黑体" w:eastAsia="黑体" w:cs="黑体"/>
          <w:spacing w:val="-59"/>
          <w:sz w:val="21"/>
          <w:szCs w:val="21"/>
        </w:rPr>
        <w:t xml:space="preserve"> </w:t>
      </w:r>
      <w:r>
        <w:rPr>
          <w:rFonts w:ascii="黑体" w:hAnsi="黑体" w:eastAsia="黑体" w:cs="黑体"/>
          <w:b/>
          <w:bCs/>
          <w:spacing w:val="18"/>
          <w:sz w:val="21"/>
          <w:szCs w:val="21"/>
        </w:rPr>
        <w:t>建设项目总人工费分析记录表</w:t>
      </w:r>
    </w:p>
    <w:p w14:paraId="6705373B">
      <w:pPr>
        <w:spacing w:line="333" w:lineRule="auto"/>
        <w:rPr>
          <w:rFonts w:ascii="Arial"/>
          <w:sz w:val="21"/>
        </w:rPr>
      </w:pPr>
    </w:p>
    <w:p w14:paraId="2FF644D6">
      <w:pPr>
        <w:spacing w:before="104" w:line="222" w:lineRule="auto"/>
        <w:ind w:left="1749"/>
        <w:rPr>
          <w:rFonts w:ascii="黑体" w:hAnsi="黑体" w:eastAsia="黑体" w:cs="黑体"/>
          <w:sz w:val="32"/>
          <w:szCs w:val="32"/>
        </w:rPr>
      </w:pPr>
      <w:bookmarkStart w:id="256" w:name="bookmark292"/>
      <w:bookmarkEnd w:id="256"/>
      <w:r>
        <w:rPr>
          <w:rFonts w:ascii="黑体" w:hAnsi="黑体" w:eastAsia="黑体" w:cs="黑体"/>
          <w:b/>
          <w:bCs/>
          <w:spacing w:val="-2"/>
          <w:sz w:val="32"/>
          <w:szCs w:val="32"/>
        </w:rPr>
        <w:t>清标报告-建设项目总人工费分析记录表</w:t>
      </w:r>
    </w:p>
    <w:p w14:paraId="39B36906">
      <w:pPr>
        <w:spacing w:line="347" w:lineRule="auto"/>
        <w:rPr>
          <w:rFonts w:ascii="Arial"/>
          <w:sz w:val="21"/>
        </w:rPr>
      </w:pPr>
    </w:p>
    <w:p w14:paraId="4A0CE904">
      <w:pPr>
        <w:pStyle w:val="2"/>
        <w:spacing w:before="68" w:line="220" w:lineRule="auto"/>
        <w:ind w:left="115"/>
        <w:rPr>
          <w:sz w:val="21"/>
          <w:szCs w:val="21"/>
        </w:rPr>
      </w:pPr>
      <w:r>
        <w:rPr>
          <w:spacing w:val="-9"/>
          <w:sz w:val="21"/>
          <w:szCs w:val="21"/>
        </w:rPr>
        <w:t>投标人名称：</w:t>
      </w:r>
    </w:p>
    <w:p w14:paraId="0EC2DC3E">
      <w:pPr>
        <w:spacing w:before="23"/>
      </w:pPr>
    </w:p>
    <w:tbl>
      <w:tblPr>
        <w:tblStyle w:val="5"/>
        <w:tblW w:w="910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811"/>
        <w:gridCol w:w="1338"/>
        <w:gridCol w:w="1358"/>
        <w:gridCol w:w="1358"/>
        <w:gridCol w:w="1244"/>
      </w:tblGrid>
      <w:tr w14:paraId="609669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1" w:hRule="atLeast"/>
        </w:trPr>
        <w:tc>
          <w:tcPr>
            <w:tcW w:w="3811" w:type="dxa"/>
            <w:vAlign w:val="top"/>
          </w:tcPr>
          <w:p w14:paraId="281B6F8F">
            <w:pPr>
              <w:pStyle w:val="6"/>
              <w:spacing w:before="173" w:line="220" w:lineRule="auto"/>
              <w:ind w:left="1294"/>
              <w:rPr>
                <w:sz w:val="20"/>
                <w:szCs w:val="20"/>
              </w:rPr>
            </w:pPr>
            <w:r>
              <w:rPr>
                <w:spacing w:val="1"/>
                <w:sz w:val="20"/>
                <w:szCs w:val="20"/>
              </w:rPr>
              <w:t>建设项目名称</w:t>
            </w:r>
          </w:p>
        </w:tc>
        <w:tc>
          <w:tcPr>
            <w:tcW w:w="5298" w:type="dxa"/>
            <w:gridSpan w:val="4"/>
            <w:vAlign w:val="top"/>
          </w:tcPr>
          <w:p w14:paraId="6DB55F43">
            <w:pPr>
              <w:rPr>
                <w:rFonts w:ascii="Arial"/>
                <w:sz w:val="21"/>
              </w:rPr>
            </w:pPr>
          </w:p>
        </w:tc>
      </w:tr>
      <w:tr w14:paraId="14F9B2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7" w:hRule="atLeast"/>
        </w:trPr>
        <w:tc>
          <w:tcPr>
            <w:tcW w:w="3811" w:type="dxa"/>
            <w:vAlign w:val="top"/>
          </w:tcPr>
          <w:p w14:paraId="0FF6B4F6">
            <w:pPr>
              <w:pStyle w:val="6"/>
              <w:spacing w:before="172" w:line="220" w:lineRule="auto"/>
              <w:ind w:left="1494"/>
              <w:rPr>
                <w:sz w:val="20"/>
                <w:szCs w:val="20"/>
              </w:rPr>
            </w:pPr>
            <w:r>
              <w:rPr>
                <w:spacing w:val="2"/>
                <w:sz w:val="20"/>
                <w:szCs w:val="20"/>
              </w:rPr>
              <w:t>项目名称</w:t>
            </w:r>
          </w:p>
        </w:tc>
        <w:tc>
          <w:tcPr>
            <w:tcW w:w="1338" w:type="dxa"/>
            <w:vAlign w:val="top"/>
          </w:tcPr>
          <w:p w14:paraId="6C2A72F4">
            <w:pPr>
              <w:pStyle w:val="6"/>
              <w:spacing w:before="52" w:line="220" w:lineRule="auto"/>
              <w:ind w:left="264"/>
              <w:rPr>
                <w:sz w:val="20"/>
                <w:szCs w:val="20"/>
              </w:rPr>
            </w:pPr>
            <w:r>
              <w:rPr>
                <w:spacing w:val="-2"/>
                <w:sz w:val="20"/>
                <w:szCs w:val="20"/>
              </w:rPr>
              <w:t>投标合计</w:t>
            </w:r>
          </w:p>
          <w:p w14:paraId="665738DC">
            <w:pPr>
              <w:pStyle w:val="6"/>
              <w:spacing w:before="10" w:line="208" w:lineRule="auto"/>
              <w:ind w:left="463"/>
              <w:rPr>
                <w:sz w:val="20"/>
                <w:szCs w:val="20"/>
              </w:rPr>
            </w:pPr>
            <w:r>
              <w:rPr>
                <w:spacing w:val="-3"/>
                <w:sz w:val="20"/>
                <w:szCs w:val="20"/>
              </w:rPr>
              <w:t>金额</w:t>
            </w:r>
          </w:p>
        </w:tc>
        <w:tc>
          <w:tcPr>
            <w:tcW w:w="1358" w:type="dxa"/>
            <w:vAlign w:val="top"/>
          </w:tcPr>
          <w:p w14:paraId="26DDE07B">
            <w:pPr>
              <w:pStyle w:val="6"/>
              <w:spacing w:before="30" w:line="218" w:lineRule="auto"/>
              <w:ind w:left="175"/>
              <w:rPr>
                <w:sz w:val="20"/>
                <w:szCs w:val="20"/>
              </w:rPr>
            </w:pPr>
            <w:r>
              <w:rPr>
                <w:spacing w:val="-2"/>
                <w:sz w:val="20"/>
                <w:szCs w:val="20"/>
              </w:rPr>
              <w:t>招标控制价</w:t>
            </w:r>
          </w:p>
          <w:p w14:paraId="7444A1B5">
            <w:pPr>
              <w:pStyle w:val="6"/>
              <w:spacing w:before="44" w:line="199" w:lineRule="auto"/>
              <w:ind w:left="175"/>
              <w:rPr>
                <w:sz w:val="20"/>
                <w:szCs w:val="20"/>
              </w:rPr>
            </w:pPr>
            <w:r>
              <w:rPr>
                <w:spacing w:val="1"/>
                <w:sz w:val="20"/>
                <w:szCs w:val="20"/>
              </w:rPr>
              <w:t>的合计金额</w:t>
            </w:r>
          </w:p>
        </w:tc>
        <w:tc>
          <w:tcPr>
            <w:tcW w:w="1358" w:type="dxa"/>
            <w:vAlign w:val="top"/>
          </w:tcPr>
          <w:p w14:paraId="01C46F3A">
            <w:pPr>
              <w:pStyle w:val="6"/>
              <w:spacing w:before="170" w:line="218" w:lineRule="auto"/>
              <w:ind w:left="288"/>
              <w:rPr>
                <w:sz w:val="20"/>
                <w:szCs w:val="20"/>
              </w:rPr>
            </w:pPr>
            <w:r>
              <w:rPr>
                <w:spacing w:val="-2"/>
                <w:sz w:val="20"/>
                <w:szCs w:val="20"/>
              </w:rPr>
              <w:t>偏离幅度</w:t>
            </w:r>
          </w:p>
        </w:tc>
        <w:tc>
          <w:tcPr>
            <w:tcW w:w="1244" w:type="dxa"/>
            <w:vAlign w:val="top"/>
          </w:tcPr>
          <w:p w14:paraId="2DE45383">
            <w:pPr>
              <w:pStyle w:val="6"/>
              <w:spacing w:before="173" w:line="221" w:lineRule="auto"/>
              <w:ind w:left="439"/>
              <w:rPr>
                <w:sz w:val="20"/>
                <w:szCs w:val="20"/>
              </w:rPr>
            </w:pPr>
            <w:r>
              <w:rPr>
                <w:spacing w:val="5"/>
                <w:sz w:val="20"/>
                <w:szCs w:val="20"/>
              </w:rPr>
              <w:t>备注</w:t>
            </w:r>
          </w:p>
        </w:tc>
      </w:tr>
      <w:tr w14:paraId="757F7E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1" w:hRule="atLeast"/>
        </w:trPr>
        <w:tc>
          <w:tcPr>
            <w:tcW w:w="3811" w:type="dxa"/>
            <w:vAlign w:val="top"/>
          </w:tcPr>
          <w:p w14:paraId="30EFF921">
            <w:pPr>
              <w:pStyle w:val="6"/>
              <w:spacing w:before="175" w:line="220" w:lineRule="auto"/>
              <w:ind w:left="1494"/>
              <w:rPr>
                <w:sz w:val="20"/>
                <w:szCs w:val="20"/>
              </w:rPr>
            </w:pPr>
            <w:r>
              <w:rPr>
                <w:spacing w:val="3"/>
                <w:sz w:val="20"/>
                <w:szCs w:val="20"/>
              </w:rPr>
              <w:t>总人工费</w:t>
            </w:r>
          </w:p>
        </w:tc>
        <w:tc>
          <w:tcPr>
            <w:tcW w:w="1338" w:type="dxa"/>
            <w:vAlign w:val="top"/>
          </w:tcPr>
          <w:p w14:paraId="0A87C982">
            <w:pPr>
              <w:rPr>
                <w:rFonts w:ascii="Arial"/>
                <w:sz w:val="21"/>
              </w:rPr>
            </w:pPr>
          </w:p>
        </w:tc>
        <w:tc>
          <w:tcPr>
            <w:tcW w:w="1358" w:type="dxa"/>
            <w:vAlign w:val="top"/>
          </w:tcPr>
          <w:p w14:paraId="724BBAEE">
            <w:pPr>
              <w:rPr>
                <w:rFonts w:ascii="Arial"/>
                <w:sz w:val="21"/>
              </w:rPr>
            </w:pPr>
          </w:p>
        </w:tc>
        <w:tc>
          <w:tcPr>
            <w:tcW w:w="1358" w:type="dxa"/>
            <w:vAlign w:val="top"/>
          </w:tcPr>
          <w:p w14:paraId="518CA05A">
            <w:pPr>
              <w:rPr>
                <w:rFonts w:ascii="Arial"/>
                <w:sz w:val="21"/>
              </w:rPr>
            </w:pPr>
          </w:p>
        </w:tc>
        <w:tc>
          <w:tcPr>
            <w:tcW w:w="1244" w:type="dxa"/>
            <w:vAlign w:val="top"/>
          </w:tcPr>
          <w:p w14:paraId="22A548F8">
            <w:pPr>
              <w:rPr>
                <w:rFonts w:ascii="Arial"/>
                <w:sz w:val="21"/>
              </w:rPr>
            </w:pPr>
          </w:p>
        </w:tc>
      </w:tr>
    </w:tbl>
    <w:p w14:paraId="28BF0FC9">
      <w:pPr>
        <w:spacing w:line="243" w:lineRule="auto"/>
        <w:rPr>
          <w:rFonts w:ascii="Arial"/>
          <w:sz w:val="21"/>
        </w:rPr>
      </w:pPr>
    </w:p>
    <w:p w14:paraId="469D706C">
      <w:pPr>
        <w:pStyle w:val="2"/>
        <w:spacing w:before="68" w:line="233" w:lineRule="auto"/>
        <w:ind w:left="125"/>
        <w:rPr>
          <w:sz w:val="21"/>
          <w:szCs w:val="21"/>
        </w:rPr>
      </w:pPr>
      <w:r>
        <w:rPr>
          <w:spacing w:val="-3"/>
          <w:sz w:val="21"/>
          <w:szCs w:val="21"/>
        </w:rPr>
        <w:t xml:space="preserve">评标委员会成员签名：                           </w:t>
      </w:r>
      <w:r>
        <w:rPr>
          <w:spacing w:val="-4"/>
          <w:sz w:val="21"/>
          <w:szCs w:val="21"/>
        </w:rPr>
        <w:t xml:space="preserve">       </w:t>
      </w:r>
      <w:r>
        <w:rPr>
          <w:spacing w:val="-4"/>
          <w:sz w:val="15"/>
          <w:szCs w:val="15"/>
        </w:rPr>
        <w:t>日 期</w:t>
      </w:r>
      <w:r>
        <w:rPr>
          <w:spacing w:val="24"/>
          <w:sz w:val="15"/>
          <w:szCs w:val="15"/>
        </w:rPr>
        <w:t xml:space="preserve"> </w:t>
      </w:r>
      <w:r>
        <w:rPr>
          <w:spacing w:val="-4"/>
          <w:sz w:val="15"/>
          <w:szCs w:val="15"/>
        </w:rPr>
        <w:t>：</w:t>
      </w:r>
      <w:r>
        <w:rPr>
          <w:spacing w:val="3"/>
          <w:sz w:val="15"/>
          <w:szCs w:val="15"/>
        </w:rPr>
        <w:t xml:space="preserve">       </w:t>
      </w:r>
      <w:r>
        <w:rPr>
          <w:spacing w:val="-4"/>
          <w:sz w:val="21"/>
          <w:szCs w:val="21"/>
        </w:rPr>
        <w:t>年     月      日</w:t>
      </w:r>
    </w:p>
    <w:p w14:paraId="66618262">
      <w:pPr>
        <w:spacing w:line="233" w:lineRule="auto"/>
        <w:rPr>
          <w:sz w:val="21"/>
          <w:szCs w:val="21"/>
        </w:rPr>
        <w:sectPr>
          <w:footerReference r:id="rId108" w:type="default"/>
          <w:pgSz w:w="11910" w:h="16840"/>
          <w:pgMar w:top="400" w:right="1435" w:bottom="1024" w:left="1355" w:header="0" w:footer="889" w:gutter="0"/>
          <w:cols w:space="720" w:num="1"/>
        </w:sectPr>
      </w:pPr>
    </w:p>
    <w:p w14:paraId="60ED5B59">
      <w:pPr>
        <w:spacing w:line="261" w:lineRule="auto"/>
        <w:rPr>
          <w:rFonts w:ascii="Arial"/>
          <w:sz w:val="21"/>
        </w:rPr>
      </w:pPr>
    </w:p>
    <w:p w14:paraId="731A3601">
      <w:pPr>
        <w:spacing w:line="261" w:lineRule="auto"/>
        <w:rPr>
          <w:rFonts w:ascii="Arial"/>
          <w:sz w:val="21"/>
        </w:rPr>
      </w:pPr>
    </w:p>
    <w:p w14:paraId="3F5686D7">
      <w:pPr>
        <w:spacing w:line="262" w:lineRule="auto"/>
        <w:rPr>
          <w:rFonts w:ascii="Arial"/>
          <w:sz w:val="21"/>
        </w:rPr>
      </w:pPr>
    </w:p>
    <w:p w14:paraId="192913EC">
      <w:pPr>
        <w:spacing w:line="262" w:lineRule="auto"/>
        <w:rPr>
          <w:rFonts w:ascii="Arial"/>
          <w:sz w:val="21"/>
        </w:rPr>
      </w:pPr>
    </w:p>
    <w:p w14:paraId="7B3B0B30">
      <w:pPr>
        <w:spacing w:line="262" w:lineRule="auto"/>
        <w:rPr>
          <w:rFonts w:ascii="Arial"/>
          <w:sz w:val="21"/>
        </w:rPr>
      </w:pPr>
    </w:p>
    <w:p w14:paraId="2C300407">
      <w:pPr>
        <w:pStyle w:val="2"/>
        <w:spacing w:before="78" w:line="222" w:lineRule="auto"/>
        <w:ind w:left="538"/>
        <w:outlineLvl w:val="2"/>
        <w:rPr>
          <w:rFonts w:ascii="黑体" w:hAnsi="黑体" w:eastAsia="黑体" w:cs="黑体"/>
          <w:sz w:val="24"/>
          <w:szCs w:val="24"/>
        </w:rPr>
      </w:pPr>
      <w:bookmarkStart w:id="257" w:name="bookmark182"/>
      <w:bookmarkEnd w:id="257"/>
      <w:r>
        <w:rPr>
          <w:rFonts w:ascii="黑体" w:hAnsi="黑体" w:eastAsia="黑体" w:cs="黑体"/>
          <w:b/>
          <w:bCs/>
          <w:spacing w:val="1"/>
          <w:sz w:val="24"/>
          <w:szCs w:val="24"/>
        </w:rPr>
        <w:t>附表</w:t>
      </w:r>
      <w:r>
        <w:rPr>
          <w:b/>
          <w:bCs/>
          <w:spacing w:val="1"/>
          <w:sz w:val="24"/>
          <w:szCs w:val="24"/>
        </w:rPr>
        <w:t>C-13:</w:t>
      </w:r>
      <w:r>
        <w:rPr>
          <w:spacing w:val="53"/>
          <w:sz w:val="24"/>
          <w:szCs w:val="24"/>
        </w:rPr>
        <w:t xml:space="preserve"> </w:t>
      </w:r>
      <w:r>
        <w:rPr>
          <w:rFonts w:ascii="黑体" w:hAnsi="黑体" w:eastAsia="黑体" w:cs="黑体"/>
          <w:b/>
          <w:bCs/>
          <w:spacing w:val="1"/>
          <w:sz w:val="24"/>
          <w:szCs w:val="24"/>
        </w:rPr>
        <w:t>清标报告-单位工程投标报价分析记录表</w:t>
      </w:r>
    </w:p>
    <w:p w14:paraId="685B0C0A">
      <w:pPr>
        <w:spacing w:line="326" w:lineRule="auto"/>
        <w:rPr>
          <w:rFonts w:ascii="Arial"/>
          <w:sz w:val="21"/>
        </w:rPr>
      </w:pPr>
    </w:p>
    <w:p w14:paraId="3C6A6762">
      <w:pPr>
        <w:spacing w:before="104" w:line="222" w:lineRule="auto"/>
        <w:ind w:left="1749"/>
        <w:rPr>
          <w:rFonts w:ascii="黑体" w:hAnsi="黑体" w:eastAsia="黑体" w:cs="黑体"/>
          <w:sz w:val="32"/>
          <w:szCs w:val="32"/>
        </w:rPr>
      </w:pPr>
      <w:bookmarkStart w:id="258" w:name="bookmark293"/>
      <w:bookmarkEnd w:id="258"/>
      <w:r>
        <w:rPr>
          <w:rFonts w:ascii="黑体" w:hAnsi="黑体" w:eastAsia="黑体" w:cs="黑体"/>
          <w:b/>
          <w:bCs/>
          <w:spacing w:val="-2"/>
          <w:sz w:val="32"/>
          <w:szCs w:val="32"/>
        </w:rPr>
        <w:t>清标报告-单位工程投标报价分析记录表</w:t>
      </w:r>
    </w:p>
    <w:p w14:paraId="0C84DD66">
      <w:pPr>
        <w:spacing w:line="360" w:lineRule="auto"/>
        <w:rPr>
          <w:rFonts w:ascii="Arial"/>
          <w:sz w:val="21"/>
        </w:rPr>
      </w:pPr>
    </w:p>
    <w:p w14:paraId="08A9DC80">
      <w:pPr>
        <w:pStyle w:val="2"/>
        <w:spacing w:before="65" w:line="220" w:lineRule="auto"/>
        <w:ind w:left="115"/>
        <w:rPr>
          <w:sz w:val="20"/>
          <w:szCs w:val="20"/>
        </w:rPr>
      </w:pPr>
      <w:r>
        <w:rPr>
          <w:spacing w:val="1"/>
          <w:sz w:val="20"/>
          <w:szCs w:val="20"/>
        </w:rPr>
        <w:t>投标人名称：</w:t>
      </w:r>
    </w:p>
    <w:p w14:paraId="3969E99C">
      <w:pPr>
        <w:spacing w:before="26"/>
      </w:pPr>
    </w:p>
    <w:tbl>
      <w:tblPr>
        <w:tblStyle w:val="5"/>
        <w:tblW w:w="910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811"/>
        <w:gridCol w:w="1338"/>
        <w:gridCol w:w="1358"/>
        <w:gridCol w:w="1348"/>
        <w:gridCol w:w="1254"/>
      </w:tblGrid>
      <w:tr w14:paraId="1A715D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4" w:hRule="atLeast"/>
        </w:trPr>
        <w:tc>
          <w:tcPr>
            <w:tcW w:w="3811" w:type="dxa"/>
            <w:vAlign w:val="top"/>
          </w:tcPr>
          <w:p w14:paraId="7B8A5BB5">
            <w:pPr>
              <w:pStyle w:val="6"/>
              <w:spacing w:before="173" w:line="220" w:lineRule="auto"/>
              <w:ind w:left="1294"/>
              <w:rPr>
                <w:sz w:val="20"/>
                <w:szCs w:val="20"/>
              </w:rPr>
            </w:pPr>
            <w:r>
              <w:rPr>
                <w:spacing w:val="1"/>
                <w:sz w:val="20"/>
                <w:szCs w:val="20"/>
              </w:rPr>
              <w:t>建设项目名称</w:t>
            </w:r>
          </w:p>
        </w:tc>
        <w:tc>
          <w:tcPr>
            <w:tcW w:w="5298" w:type="dxa"/>
            <w:gridSpan w:val="4"/>
            <w:vAlign w:val="top"/>
          </w:tcPr>
          <w:p w14:paraId="302B280D">
            <w:pPr>
              <w:rPr>
                <w:rFonts w:ascii="Arial"/>
                <w:sz w:val="21"/>
              </w:rPr>
            </w:pPr>
          </w:p>
        </w:tc>
      </w:tr>
      <w:tr w14:paraId="6FFE9B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8" w:hRule="atLeast"/>
        </w:trPr>
        <w:tc>
          <w:tcPr>
            <w:tcW w:w="3811" w:type="dxa"/>
            <w:vAlign w:val="top"/>
          </w:tcPr>
          <w:p w14:paraId="55B3D171">
            <w:pPr>
              <w:pStyle w:val="6"/>
              <w:spacing w:before="179" w:line="220" w:lineRule="auto"/>
              <w:ind w:left="1294"/>
              <w:rPr>
                <w:sz w:val="20"/>
                <w:szCs w:val="20"/>
              </w:rPr>
            </w:pPr>
            <w:r>
              <w:rPr>
                <w:spacing w:val="-2"/>
                <w:sz w:val="20"/>
                <w:szCs w:val="20"/>
              </w:rPr>
              <w:t>单位工程名称</w:t>
            </w:r>
          </w:p>
        </w:tc>
        <w:tc>
          <w:tcPr>
            <w:tcW w:w="1338" w:type="dxa"/>
            <w:vAlign w:val="top"/>
          </w:tcPr>
          <w:p w14:paraId="1F6B54FD">
            <w:pPr>
              <w:pStyle w:val="6"/>
              <w:spacing w:before="49" w:line="220" w:lineRule="auto"/>
              <w:ind w:left="264"/>
              <w:rPr>
                <w:sz w:val="20"/>
                <w:szCs w:val="20"/>
              </w:rPr>
            </w:pPr>
            <w:r>
              <w:rPr>
                <w:spacing w:val="-2"/>
                <w:sz w:val="20"/>
                <w:szCs w:val="20"/>
              </w:rPr>
              <w:t>投标合计</w:t>
            </w:r>
          </w:p>
          <w:p w14:paraId="44AC0C3E">
            <w:pPr>
              <w:pStyle w:val="6"/>
              <w:spacing w:before="11" w:line="219" w:lineRule="auto"/>
              <w:ind w:left="463"/>
              <w:rPr>
                <w:sz w:val="20"/>
                <w:szCs w:val="20"/>
              </w:rPr>
            </w:pPr>
            <w:r>
              <w:rPr>
                <w:spacing w:val="-3"/>
                <w:sz w:val="20"/>
                <w:szCs w:val="20"/>
              </w:rPr>
              <w:t>金额</w:t>
            </w:r>
          </w:p>
        </w:tc>
        <w:tc>
          <w:tcPr>
            <w:tcW w:w="1358" w:type="dxa"/>
            <w:vAlign w:val="top"/>
          </w:tcPr>
          <w:p w14:paraId="4701BE42">
            <w:pPr>
              <w:pStyle w:val="6"/>
              <w:spacing w:before="37" w:line="218" w:lineRule="auto"/>
              <w:ind w:left="175"/>
              <w:rPr>
                <w:sz w:val="20"/>
                <w:szCs w:val="20"/>
              </w:rPr>
            </w:pPr>
            <w:r>
              <w:rPr>
                <w:spacing w:val="-2"/>
                <w:sz w:val="20"/>
                <w:szCs w:val="20"/>
              </w:rPr>
              <w:t>招标控制价</w:t>
            </w:r>
          </w:p>
          <w:p w14:paraId="63074519">
            <w:pPr>
              <w:pStyle w:val="6"/>
              <w:spacing w:before="35" w:line="219" w:lineRule="auto"/>
              <w:ind w:left="175"/>
              <w:rPr>
                <w:sz w:val="20"/>
                <w:szCs w:val="20"/>
              </w:rPr>
            </w:pPr>
            <w:r>
              <w:rPr>
                <w:spacing w:val="1"/>
                <w:sz w:val="20"/>
                <w:szCs w:val="20"/>
              </w:rPr>
              <w:t>的合计金额</w:t>
            </w:r>
          </w:p>
        </w:tc>
        <w:tc>
          <w:tcPr>
            <w:tcW w:w="1348" w:type="dxa"/>
            <w:vAlign w:val="top"/>
          </w:tcPr>
          <w:p w14:paraId="42CD5BD0">
            <w:pPr>
              <w:pStyle w:val="6"/>
              <w:spacing w:before="177" w:line="218" w:lineRule="auto"/>
              <w:ind w:left="288"/>
              <w:rPr>
                <w:sz w:val="20"/>
                <w:szCs w:val="20"/>
              </w:rPr>
            </w:pPr>
            <w:r>
              <w:rPr>
                <w:spacing w:val="-2"/>
                <w:sz w:val="20"/>
                <w:szCs w:val="20"/>
              </w:rPr>
              <w:t>偏离幅度</w:t>
            </w:r>
          </w:p>
        </w:tc>
        <w:tc>
          <w:tcPr>
            <w:tcW w:w="1254" w:type="dxa"/>
            <w:vAlign w:val="top"/>
          </w:tcPr>
          <w:p w14:paraId="1355DE9F">
            <w:pPr>
              <w:pStyle w:val="6"/>
              <w:spacing w:before="180" w:line="221" w:lineRule="auto"/>
              <w:ind w:left="449"/>
              <w:rPr>
                <w:sz w:val="20"/>
                <w:szCs w:val="20"/>
              </w:rPr>
            </w:pPr>
            <w:r>
              <w:rPr>
                <w:spacing w:val="5"/>
                <w:sz w:val="20"/>
                <w:szCs w:val="20"/>
              </w:rPr>
              <w:t>备注</w:t>
            </w:r>
          </w:p>
        </w:tc>
      </w:tr>
      <w:tr w14:paraId="7DCF84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9" w:hRule="atLeast"/>
        </w:trPr>
        <w:tc>
          <w:tcPr>
            <w:tcW w:w="3811" w:type="dxa"/>
            <w:vAlign w:val="top"/>
          </w:tcPr>
          <w:p w14:paraId="7FAE6CEB">
            <w:pPr>
              <w:rPr>
                <w:rFonts w:ascii="Arial"/>
                <w:sz w:val="21"/>
              </w:rPr>
            </w:pPr>
          </w:p>
        </w:tc>
        <w:tc>
          <w:tcPr>
            <w:tcW w:w="1338" w:type="dxa"/>
            <w:vAlign w:val="top"/>
          </w:tcPr>
          <w:p w14:paraId="6147FA81">
            <w:pPr>
              <w:rPr>
                <w:rFonts w:ascii="Arial"/>
                <w:sz w:val="21"/>
              </w:rPr>
            </w:pPr>
          </w:p>
        </w:tc>
        <w:tc>
          <w:tcPr>
            <w:tcW w:w="1358" w:type="dxa"/>
            <w:vAlign w:val="top"/>
          </w:tcPr>
          <w:p w14:paraId="5527A01A">
            <w:pPr>
              <w:rPr>
                <w:rFonts w:ascii="Arial"/>
                <w:sz w:val="21"/>
              </w:rPr>
            </w:pPr>
          </w:p>
        </w:tc>
        <w:tc>
          <w:tcPr>
            <w:tcW w:w="1348" w:type="dxa"/>
            <w:vAlign w:val="top"/>
          </w:tcPr>
          <w:p w14:paraId="769ABC71">
            <w:pPr>
              <w:rPr>
                <w:rFonts w:ascii="Arial"/>
                <w:sz w:val="21"/>
              </w:rPr>
            </w:pPr>
          </w:p>
        </w:tc>
        <w:tc>
          <w:tcPr>
            <w:tcW w:w="1254" w:type="dxa"/>
            <w:vAlign w:val="top"/>
          </w:tcPr>
          <w:p w14:paraId="2FFD5D75">
            <w:pPr>
              <w:rPr>
                <w:rFonts w:ascii="Arial"/>
                <w:sz w:val="21"/>
              </w:rPr>
            </w:pPr>
          </w:p>
        </w:tc>
      </w:tr>
      <w:tr w14:paraId="2A128B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9" w:hRule="atLeast"/>
        </w:trPr>
        <w:tc>
          <w:tcPr>
            <w:tcW w:w="3811" w:type="dxa"/>
            <w:vAlign w:val="top"/>
          </w:tcPr>
          <w:p w14:paraId="2FD41D95">
            <w:pPr>
              <w:rPr>
                <w:rFonts w:ascii="Arial"/>
                <w:sz w:val="21"/>
              </w:rPr>
            </w:pPr>
          </w:p>
        </w:tc>
        <w:tc>
          <w:tcPr>
            <w:tcW w:w="1338" w:type="dxa"/>
            <w:vAlign w:val="top"/>
          </w:tcPr>
          <w:p w14:paraId="516B349B">
            <w:pPr>
              <w:rPr>
                <w:rFonts w:ascii="Arial"/>
                <w:sz w:val="21"/>
              </w:rPr>
            </w:pPr>
          </w:p>
        </w:tc>
        <w:tc>
          <w:tcPr>
            <w:tcW w:w="1358" w:type="dxa"/>
            <w:vAlign w:val="top"/>
          </w:tcPr>
          <w:p w14:paraId="42DD4D08">
            <w:pPr>
              <w:rPr>
                <w:rFonts w:ascii="Arial"/>
                <w:sz w:val="21"/>
              </w:rPr>
            </w:pPr>
          </w:p>
        </w:tc>
        <w:tc>
          <w:tcPr>
            <w:tcW w:w="1348" w:type="dxa"/>
            <w:vAlign w:val="top"/>
          </w:tcPr>
          <w:p w14:paraId="24C6D162">
            <w:pPr>
              <w:rPr>
                <w:rFonts w:ascii="Arial"/>
                <w:sz w:val="21"/>
              </w:rPr>
            </w:pPr>
          </w:p>
        </w:tc>
        <w:tc>
          <w:tcPr>
            <w:tcW w:w="1254" w:type="dxa"/>
            <w:vAlign w:val="top"/>
          </w:tcPr>
          <w:p w14:paraId="62698459">
            <w:pPr>
              <w:rPr>
                <w:rFonts w:ascii="Arial"/>
                <w:sz w:val="21"/>
              </w:rPr>
            </w:pPr>
          </w:p>
        </w:tc>
      </w:tr>
      <w:tr w14:paraId="653DCA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9" w:hRule="atLeast"/>
        </w:trPr>
        <w:tc>
          <w:tcPr>
            <w:tcW w:w="3811" w:type="dxa"/>
            <w:vAlign w:val="top"/>
          </w:tcPr>
          <w:p w14:paraId="3392CE39">
            <w:pPr>
              <w:rPr>
                <w:rFonts w:ascii="Arial"/>
                <w:sz w:val="21"/>
              </w:rPr>
            </w:pPr>
          </w:p>
        </w:tc>
        <w:tc>
          <w:tcPr>
            <w:tcW w:w="1338" w:type="dxa"/>
            <w:vAlign w:val="top"/>
          </w:tcPr>
          <w:p w14:paraId="0EF1CA36">
            <w:pPr>
              <w:rPr>
                <w:rFonts w:ascii="Arial"/>
                <w:sz w:val="21"/>
              </w:rPr>
            </w:pPr>
          </w:p>
        </w:tc>
        <w:tc>
          <w:tcPr>
            <w:tcW w:w="1358" w:type="dxa"/>
            <w:vAlign w:val="top"/>
          </w:tcPr>
          <w:p w14:paraId="5B78AEB8">
            <w:pPr>
              <w:rPr>
                <w:rFonts w:ascii="Arial"/>
                <w:sz w:val="21"/>
              </w:rPr>
            </w:pPr>
          </w:p>
        </w:tc>
        <w:tc>
          <w:tcPr>
            <w:tcW w:w="1348" w:type="dxa"/>
            <w:vAlign w:val="top"/>
          </w:tcPr>
          <w:p w14:paraId="4152FDFB">
            <w:pPr>
              <w:rPr>
                <w:rFonts w:ascii="Arial"/>
                <w:sz w:val="21"/>
              </w:rPr>
            </w:pPr>
          </w:p>
        </w:tc>
        <w:tc>
          <w:tcPr>
            <w:tcW w:w="1254" w:type="dxa"/>
            <w:vAlign w:val="top"/>
          </w:tcPr>
          <w:p w14:paraId="785DD094">
            <w:pPr>
              <w:rPr>
                <w:rFonts w:ascii="Arial"/>
                <w:sz w:val="21"/>
              </w:rPr>
            </w:pPr>
          </w:p>
        </w:tc>
      </w:tr>
      <w:tr w14:paraId="3A34FE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8" w:hRule="atLeast"/>
        </w:trPr>
        <w:tc>
          <w:tcPr>
            <w:tcW w:w="3811" w:type="dxa"/>
            <w:vAlign w:val="top"/>
          </w:tcPr>
          <w:p w14:paraId="3983D9E6">
            <w:pPr>
              <w:rPr>
                <w:rFonts w:ascii="Arial"/>
                <w:sz w:val="21"/>
              </w:rPr>
            </w:pPr>
          </w:p>
        </w:tc>
        <w:tc>
          <w:tcPr>
            <w:tcW w:w="1338" w:type="dxa"/>
            <w:vAlign w:val="top"/>
          </w:tcPr>
          <w:p w14:paraId="35B86616">
            <w:pPr>
              <w:rPr>
                <w:rFonts w:ascii="Arial"/>
                <w:sz w:val="21"/>
              </w:rPr>
            </w:pPr>
          </w:p>
        </w:tc>
        <w:tc>
          <w:tcPr>
            <w:tcW w:w="1358" w:type="dxa"/>
            <w:vAlign w:val="top"/>
          </w:tcPr>
          <w:p w14:paraId="795FB5C8">
            <w:pPr>
              <w:rPr>
                <w:rFonts w:ascii="Arial"/>
                <w:sz w:val="21"/>
              </w:rPr>
            </w:pPr>
          </w:p>
        </w:tc>
        <w:tc>
          <w:tcPr>
            <w:tcW w:w="1348" w:type="dxa"/>
            <w:vAlign w:val="top"/>
          </w:tcPr>
          <w:p w14:paraId="7FB7A513">
            <w:pPr>
              <w:rPr>
                <w:rFonts w:ascii="Arial"/>
                <w:sz w:val="21"/>
              </w:rPr>
            </w:pPr>
          </w:p>
        </w:tc>
        <w:tc>
          <w:tcPr>
            <w:tcW w:w="1254" w:type="dxa"/>
            <w:vAlign w:val="top"/>
          </w:tcPr>
          <w:p w14:paraId="47D95F80">
            <w:pPr>
              <w:rPr>
                <w:rFonts w:ascii="Arial"/>
                <w:sz w:val="21"/>
              </w:rPr>
            </w:pPr>
          </w:p>
        </w:tc>
      </w:tr>
      <w:tr w14:paraId="619514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9" w:hRule="atLeast"/>
        </w:trPr>
        <w:tc>
          <w:tcPr>
            <w:tcW w:w="3811" w:type="dxa"/>
            <w:vAlign w:val="top"/>
          </w:tcPr>
          <w:p w14:paraId="780D25FE">
            <w:pPr>
              <w:rPr>
                <w:rFonts w:ascii="Arial"/>
                <w:sz w:val="21"/>
              </w:rPr>
            </w:pPr>
          </w:p>
        </w:tc>
        <w:tc>
          <w:tcPr>
            <w:tcW w:w="1338" w:type="dxa"/>
            <w:vAlign w:val="top"/>
          </w:tcPr>
          <w:p w14:paraId="0BE29B40">
            <w:pPr>
              <w:rPr>
                <w:rFonts w:ascii="Arial"/>
                <w:sz w:val="21"/>
              </w:rPr>
            </w:pPr>
          </w:p>
        </w:tc>
        <w:tc>
          <w:tcPr>
            <w:tcW w:w="1358" w:type="dxa"/>
            <w:vAlign w:val="top"/>
          </w:tcPr>
          <w:p w14:paraId="0807A07E">
            <w:pPr>
              <w:rPr>
                <w:rFonts w:ascii="Arial"/>
                <w:sz w:val="21"/>
              </w:rPr>
            </w:pPr>
          </w:p>
        </w:tc>
        <w:tc>
          <w:tcPr>
            <w:tcW w:w="1348" w:type="dxa"/>
            <w:vAlign w:val="top"/>
          </w:tcPr>
          <w:p w14:paraId="193DEF28">
            <w:pPr>
              <w:rPr>
                <w:rFonts w:ascii="Arial"/>
                <w:sz w:val="21"/>
              </w:rPr>
            </w:pPr>
          </w:p>
        </w:tc>
        <w:tc>
          <w:tcPr>
            <w:tcW w:w="1254" w:type="dxa"/>
            <w:vAlign w:val="top"/>
          </w:tcPr>
          <w:p w14:paraId="0233C25E">
            <w:pPr>
              <w:rPr>
                <w:rFonts w:ascii="Arial"/>
                <w:sz w:val="21"/>
              </w:rPr>
            </w:pPr>
          </w:p>
        </w:tc>
      </w:tr>
      <w:tr w14:paraId="7F478D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3" w:hRule="atLeast"/>
        </w:trPr>
        <w:tc>
          <w:tcPr>
            <w:tcW w:w="3811" w:type="dxa"/>
            <w:vAlign w:val="top"/>
          </w:tcPr>
          <w:p w14:paraId="073F9D8F">
            <w:pPr>
              <w:rPr>
                <w:rFonts w:ascii="Arial"/>
                <w:sz w:val="21"/>
              </w:rPr>
            </w:pPr>
          </w:p>
        </w:tc>
        <w:tc>
          <w:tcPr>
            <w:tcW w:w="1338" w:type="dxa"/>
            <w:vAlign w:val="top"/>
          </w:tcPr>
          <w:p w14:paraId="0F845752">
            <w:pPr>
              <w:rPr>
                <w:rFonts w:ascii="Arial"/>
                <w:sz w:val="21"/>
              </w:rPr>
            </w:pPr>
          </w:p>
        </w:tc>
        <w:tc>
          <w:tcPr>
            <w:tcW w:w="1358" w:type="dxa"/>
            <w:vAlign w:val="top"/>
          </w:tcPr>
          <w:p w14:paraId="707DA3BA">
            <w:pPr>
              <w:rPr>
                <w:rFonts w:ascii="Arial"/>
                <w:sz w:val="21"/>
              </w:rPr>
            </w:pPr>
          </w:p>
        </w:tc>
        <w:tc>
          <w:tcPr>
            <w:tcW w:w="1348" w:type="dxa"/>
            <w:vAlign w:val="top"/>
          </w:tcPr>
          <w:p w14:paraId="2E93073B">
            <w:pPr>
              <w:rPr>
                <w:rFonts w:ascii="Arial"/>
                <w:sz w:val="21"/>
              </w:rPr>
            </w:pPr>
          </w:p>
        </w:tc>
        <w:tc>
          <w:tcPr>
            <w:tcW w:w="1254" w:type="dxa"/>
            <w:vAlign w:val="top"/>
          </w:tcPr>
          <w:p w14:paraId="3C075A44">
            <w:pPr>
              <w:rPr>
                <w:rFonts w:ascii="Arial"/>
                <w:sz w:val="21"/>
              </w:rPr>
            </w:pPr>
          </w:p>
        </w:tc>
      </w:tr>
    </w:tbl>
    <w:p w14:paraId="3889A7B7">
      <w:pPr>
        <w:spacing w:line="390" w:lineRule="auto"/>
        <w:rPr>
          <w:rFonts w:ascii="Arial"/>
          <w:sz w:val="21"/>
        </w:rPr>
      </w:pPr>
    </w:p>
    <w:p w14:paraId="39EC9121">
      <w:pPr>
        <w:pStyle w:val="2"/>
        <w:spacing w:before="66" w:line="223" w:lineRule="auto"/>
        <w:ind w:left="365"/>
        <w:rPr>
          <w:sz w:val="20"/>
          <w:szCs w:val="20"/>
        </w:rPr>
      </w:pPr>
      <w:r>
        <w:rPr>
          <w:spacing w:val="-4"/>
          <w:sz w:val="20"/>
          <w:szCs w:val="20"/>
        </w:rPr>
        <w:t>评标委员会成员签名：</w:t>
      </w:r>
      <w:r>
        <w:rPr>
          <w:spacing w:val="2"/>
          <w:sz w:val="20"/>
          <w:szCs w:val="20"/>
        </w:rPr>
        <w:t xml:space="preserve">                                   </w:t>
      </w:r>
      <w:r>
        <w:rPr>
          <w:spacing w:val="-4"/>
          <w:sz w:val="16"/>
          <w:szCs w:val="16"/>
        </w:rPr>
        <w:t xml:space="preserve">日 期 ：       </w:t>
      </w:r>
      <w:r>
        <w:rPr>
          <w:spacing w:val="-4"/>
          <w:sz w:val="20"/>
          <w:szCs w:val="20"/>
        </w:rPr>
        <w:t>年</w:t>
      </w:r>
      <w:r>
        <w:rPr>
          <w:spacing w:val="13"/>
          <w:sz w:val="20"/>
          <w:szCs w:val="20"/>
        </w:rPr>
        <w:t xml:space="preserve">     </w:t>
      </w:r>
      <w:r>
        <w:rPr>
          <w:spacing w:val="-4"/>
          <w:sz w:val="20"/>
          <w:szCs w:val="20"/>
        </w:rPr>
        <w:t>月</w:t>
      </w:r>
      <w:r>
        <w:rPr>
          <w:spacing w:val="12"/>
          <w:sz w:val="20"/>
          <w:szCs w:val="20"/>
        </w:rPr>
        <w:t xml:space="preserve">     </w:t>
      </w:r>
      <w:r>
        <w:rPr>
          <w:spacing w:val="-4"/>
          <w:sz w:val="20"/>
          <w:szCs w:val="20"/>
        </w:rPr>
        <w:t>日</w:t>
      </w:r>
    </w:p>
    <w:p w14:paraId="02D2DCCC">
      <w:pPr>
        <w:spacing w:line="223" w:lineRule="auto"/>
        <w:rPr>
          <w:sz w:val="20"/>
          <w:szCs w:val="20"/>
        </w:rPr>
        <w:sectPr>
          <w:footerReference r:id="rId109" w:type="default"/>
          <w:pgSz w:w="11910" w:h="16840"/>
          <w:pgMar w:top="400" w:right="1435" w:bottom="1016" w:left="1355" w:header="0" w:footer="889" w:gutter="0"/>
          <w:cols w:space="720" w:num="1"/>
        </w:sectPr>
      </w:pPr>
    </w:p>
    <w:p w14:paraId="38671A83">
      <w:pPr>
        <w:rPr>
          <w:rFonts w:ascii="Arial"/>
          <w:sz w:val="21"/>
        </w:rPr>
      </w:pPr>
    </w:p>
    <w:p w14:paraId="3C8A414E">
      <w:pPr>
        <w:rPr>
          <w:rFonts w:ascii="Arial" w:hAnsi="Arial" w:eastAsia="Arial" w:cs="Arial"/>
          <w:sz w:val="21"/>
          <w:szCs w:val="21"/>
        </w:rPr>
        <w:sectPr>
          <w:footerReference r:id="rId110" w:type="default"/>
          <w:pgSz w:w="11910" w:h="16840"/>
          <w:pgMar w:top="1" w:right="1786" w:bottom="1016" w:left="1786" w:header="0" w:footer="889" w:gutter="0"/>
          <w:cols w:space="720" w:num="1"/>
        </w:sectPr>
      </w:pPr>
    </w:p>
    <w:p w14:paraId="648DA9C8">
      <w:pPr>
        <w:spacing w:line="266" w:lineRule="auto"/>
        <w:rPr>
          <w:rFonts w:ascii="Arial"/>
          <w:sz w:val="21"/>
        </w:rPr>
      </w:pPr>
    </w:p>
    <w:p w14:paraId="416ADA8B">
      <w:pPr>
        <w:spacing w:line="267" w:lineRule="auto"/>
        <w:rPr>
          <w:rFonts w:ascii="Arial"/>
          <w:sz w:val="21"/>
        </w:rPr>
      </w:pPr>
    </w:p>
    <w:p w14:paraId="2461005D">
      <w:pPr>
        <w:spacing w:line="267" w:lineRule="auto"/>
        <w:rPr>
          <w:rFonts w:ascii="Arial"/>
          <w:sz w:val="21"/>
        </w:rPr>
      </w:pPr>
    </w:p>
    <w:p w14:paraId="0A8A2E26">
      <w:pPr>
        <w:spacing w:line="267" w:lineRule="auto"/>
        <w:rPr>
          <w:rFonts w:ascii="Arial"/>
          <w:sz w:val="21"/>
        </w:rPr>
      </w:pPr>
    </w:p>
    <w:p w14:paraId="40E048A6">
      <w:pPr>
        <w:spacing w:line="267" w:lineRule="auto"/>
        <w:rPr>
          <w:rFonts w:ascii="Arial"/>
          <w:sz w:val="21"/>
        </w:rPr>
      </w:pPr>
    </w:p>
    <w:p w14:paraId="48045E65">
      <w:pPr>
        <w:spacing w:before="104" w:line="222" w:lineRule="auto"/>
        <w:ind w:left="2654"/>
        <w:rPr>
          <w:rFonts w:ascii="黑体" w:hAnsi="黑体" w:eastAsia="黑体" w:cs="黑体"/>
          <w:sz w:val="32"/>
          <w:szCs w:val="32"/>
        </w:rPr>
      </w:pPr>
      <w:r>
        <w:rPr>
          <w:rFonts w:ascii="黑体" w:hAnsi="黑体" w:eastAsia="黑体" w:cs="黑体"/>
          <w:b/>
          <w:bCs/>
          <w:spacing w:val="-1"/>
          <w:sz w:val="32"/>
          <w:szCs w:val="32"/>
        </w:rPr>
        <w:t>第四章</w:t>
      </w:r>
      <w:r>
        <w:rPr>
          <w:rFonts w:ascii="黑体" w:hAnsi="黑体" w:eastAsia="黑体" w:cs="黑体"/>
          <w:spacing w:val="-1"/>
          <w:sz w:val="32"/>
          <w:szCs w:val="32"/>
        </w:rPr>
        <w:t xml:space="preserve">  </w:t>
      </w:r>
      <w:r>
        <w:rPr>
          <w:rFonts w:ascii="黑体" w:hAnsi="黑体" w:eastAsia="黑体" w:cs="黑体"/>
          <w:b/>
          <w:bCs/>
          <w:spacing w:val="-1"/>
          <w:sz w:val="32"/>
          <w:szCs w:val="32"/>
        </w:rPr>
        <w:t>合同条款及格式</w:t>
      </w:r>
    </w:p>
    <w:p w14:paraId="2BD21AC1">
      <w:pPr>
        <w:spacing w:line="253" w:lineRule="auto"/>
        <w:rPr>
          <w:rFonts w:ascii="Arial"/>
          <w:sz w:val="21"/>
        </w:rPr>
      </w:pPr>
    </w:p>
    <w:p w14:paraId="5B239225">
      <w:pPr>
        <w:spacing w:line="253" w:lineRule="auto"/>
        <w:rPr>
          <w:rFonts w:ascii="Arial"/>
          <w:sz w:val="21"/>
        </w:rPr>
      </w:pPr>
    </w:p>
    <w:p w14:paraId="6202AFE3">
      <w:pPr>
        <w:spacing w:line="253" w:lineRule="auto"/>
        <w:rPr>
          <w:rFonts w:ascii="Arial"/>
          <w:sz w:val="21"/>
        </w:rPr>
      </w:pPr>
    </w:p>
    <w:p w14:paraId="2B18FFAF">
      <w:pPr>
        <w:spacing w:line="253" w:lineRule="auto"/>
        <w:rPr>
          <w:rFonts w:ascii="Arial"/>
          <w:sz w:val="21"/>
        </w:rPr>
      </w:pPr>
    </w:p>
    <w:p w14:paraId="07D5C6A6">
      <w:pPr>
        <w:spacing w:line="253" w:lineRule="auto"/>
        <w:rPr>
          <w:rFonts w:ascii="Arial"/>
          <w:sz w:val="21"/>
        </w:rPr>
      </w:pPr>
    </w:p>
    <w:p w14:paraId="08B693D1">
      <w:pPr>
        <w:spacing w:line="253" w:lineRule="auto"/>
        <w:rPr>
          <w:rFonts w:ascii="Arial"/>
          <w:sz w:val="21"/>
        </w:rPr>
      </w:pPr>
    </w:p>
    <w:p w14:paraId="3989D0D7">
      <w:pPr>
        <w:spacing w:line="253" w:lineRule="auto"/>
        <w:rPr>
          <w:rFonts w:ascii="Arial"/>
          <w:sz w:val="21"/>
        </w:rPr>
      </w:pPr>
    </w:p>
    <w:p w14:paraId="23BC6DD4">
      <w:pPr>
        <w:spacing w:line="253" w:lineRule="auto"/>
        <w:rPr>
          <w:rFonts w:ascii="Arial"/>
          <w:sz w:val="21"/>
        </w:rPr>
      </w:pPr>
    </w:p>
    <w:p w14:paraId="7F62F4A5">
      <w:pPr>
        <w:spacing w:line="254" w:lineRule="auto"/>
        <w:rPr>
          <w:rFonts w:ascii="Arial"/>
          <w:sz w:val="21"/>
        </w:rPr>
      </w:pPr>
    </w:p>
    <w:p w14:paraId="62C0EDF7">
      <w:pPr>
        <w:spacing w:line="254" w:lineRule="auto"/>
        <w:rPr>
          <w:rFonts w:ascii="Arial"/>
          <w:sz w:val="21"/>
        </w:rPr>
      </w:pPr>
    </w:p>
    <w:p w14:paraId="4C7439E3">
      <w:pPr>
        <w:pStyle w:val="2"/>
        <w:spacing w:before="68" w:line="219" w:lineRule="auto"/>
        <w:rPr>
          <w:sz w:val="21"/>
          <w:szCs w:val="21"/>
        </w:rPr>
      </w:pPr>
      <w:r>
        <w:rPr>
          <w:spacing w:val="8"/>
          <w:sz w:val="21"/>
          <w:szCs w:val="21"/>
        </w:rPr>
        <w:t>备注：</w:t>
      </w:r>
      <w:r>
        <w:rPr>
          <w:sz w:val="21"/>
          <w:szCs w:val="21"/>
        </w:rPr>
        <w:t xml:space="preserve"> </w:t>
      </w:r>
      <w:r>
        <w:rPr>
          <w:spacing w:val="8"/>
          <w:sz w:val="21"/>
          <w:szCs w:val="21"/>
        </w:rPr>
        <w:t>1.本合同条款及格式采用自2010年6月9日住房和城乡建设部以建市[2010]88号文发布</w:t>
      </w:r>
    </w:p>
    <w:p w14:paraId="0E966386">
      <w:pPr>
        <w:pStyle w:val="2"/>
        <w:spacing w:before="92" w:line="219" w:lineRule="auto"/>
        <w:ind w:left="929"/>
        <w:rPr>
          <w:sz w:val="21"/>
          <w:szCs w:val="21"/>
        </w:rPr>
      </w:pPr>
      <w:r>
        <w:rPr>
          <w:sz w:val="21"/>
          <w:szCs w:val="21"/>
        </w:rPr>
        <w:t>的2010年版《房屋建筑和市政工程标准施工</w:t>
      </w:r>
      <w:r>
        <w:rPr>
          <w:spacing w:val="-1"/>
          <w:sz w:val="21"/>
          <w:szCs w:val="21"/>
        </w:rPr>
        <w:t>招标文件》。</w:t>
      </w:r>
    </w:p>
    <w:p w14:paraId="39790A4A">
      <w:pPr>
        <w:pStyle w:val="2"/>
        <w:spacing w:before="79" w:line="273" w:lineRule="auto"/>
        <w:ind w:left="928" w:hanging="209"/>
        <w:rPr>
          <w:sz w:val="21"/>
          <w:szCs w:val="21"/>
        </w:rPr>
      </w:pPr>
      <w:r>
        <w:rPr>
          <w:spacing w:val="1"/>
          <w:sz w:val="21"/>
          <w:szCs w:val="21"/>
        </w:rPr>
        <w:t>2.</w:t>
      </w:r>
      <w:r>
        <w:rPr>
          <w:spacing w:val="-25"/>
          <w:sz w:val="21"/>
          <w:szCs w:val="21"/>
        </w:rPr>
        <w:t xml:space="preserve"> </w:t>
      </w:r>
      <w:r>
        <w:rPr>
          <w:spacing w:val="1"/>
          <w:sz w:val="21"/>
          <w:szCs w:val="21"/>
        </w:rPr>
        <w:t>根据《省人民政府办公厅关于印发持续深化一</w:t>
      </w:r>
      <w:r>
        <w:rPr>
          <w:sz w:val="21"/>
          <w:szCs w:val="21"/>
        </w:rPr>
        <w:t xml:space="preserve">流营商环境建设若干措施的通知》(鄂政 </w:t>
      </w:r>
      <w:r>
        <w:rPr>
          <w:spacing w:val="5"/>
          <w:sz w:val="21"/>
          <w:szCs w:val="21"/>
        </w:rPr>
        <w:t>办发〔2022〕2号)的要求，预留工程质量保证金的，工程质量保证金预留比例不得高</w:t>
      </w:r>
      <w:r>
        <w:rPr>
          <w:spacing w:val="8"/>
          <w:sz w:val="21"/>
          <w:szCs w:val="21"/>
        </w:rPr>
        <w:t xml:space="preserve"> </w:t>
      </w:r>
      <w:r>
        <w:rPr>
          <w:spacing w:val="3"/>
          <w:sz w:val="21"/>
          <w:szCs w:val="21"/>
        </w:rPr>
        <w:t>于工程价款结算总额的1.5%。</w:t>
      </w:r>
    </w:p>
    <w:p w14:paraId="67A27D02">
      <w:pPr>
        <w:spacing w:line="273" w:lineRule="auto"/>
        <w:rPr>
          <w:sz w:val="21"/>
          <w:szCs w:val="21"/>
        </w:rPr>
        <w:sectPr>
          <w:footerReference r:id="rId111" w:type="default"/>
          <w:pgSz w:w="11910" w:h="16840"/>
          <w:pgMar w:top="400" w:right="1520" w:bottom="1024" w:left="1480" w:header="0" w:footer="889" w:gutter="0"/>
          <w:cols w:space="720" w:num="1"/>
        </w:sectPr>
      </w:pPr>
    </w:p>
    <w:p w14:paraId="434949B2">
      <w:pPr>
        <w:spacing w:line="272" w:lineRule="auto"/>
        <w:rPr>
          <w:rFonts w:ascii="Arial"/>
          <w:sz w:val="21"/>
        </w:rPr>
      </w:pPr>
    </w:p>
    <w:p w14:paraId="1C86F337">
      <w:pPr>
        <w:spacing w:line="272" w:lineRule="auto"/>
        <w:rPr>
          <w:rFonts w:ascii="Arial"/>
          <w:sz w:val="21"/>
        </w:rPr>
      </w:pPr>
    </w:p>
    <w:p w14:paraId="6D3241E2">
      <w:pPr>
        <w:spacing w:line="273" w:lineRule="auto"/>
        <w:rPr>
          <w:rFonts w:ascii="Arial"/>
          <w:sz w:val="21"/>
        </w:rPr>
      </w:pPr>
    </w:p>
    <w:p w14:paraId="4FCB2653">
      <w:pPr>
        <w:spacing w:line="273" w:lineRule="auto"/>
        <w:rPr>
          <w:rFonts w:ascii="Arial"/>
          <w:sz w:val="21"/>
        </w:rPr>
      </w:pPr>
    </w:p>
    <w:p w14:paraId="7C1F8E19">
      <w:pPr>
        <w:spacing w:line="273" w:lineRule="auto"/>
        <w:rPr>
          <w:rFonts w:ascii="Arial"/>
          <w:sz w:val="21"/>
        </w:rPr>
      </w:pPr>
    </w:p>
    <w:p w14:paraId="76802425">
      <w:pPr>
        <w:spacing w:before="94" w:line="222" w:lineRule="auto"/>
        <w:ind w:left="2707"/>
        <w:rPr>
          <w:rFonts w:ascii="黑体" w:hAnsi="黑体" w:eastAsia="黑体" w:cs="黑体"/>
          <w:sz w:val="29"/>
          <w:szCs w:val="29"/>
        </w:rPr>
      </w:pPr>
      <w:r>
        <w:rPr>
          <w:rFonts w:ascii="黑体" w:hAnsi="黑体" w:eastAsia="黑体" w:cs="黑体"/>
          <w:b/>
          <w:bCs/>
          <w:spacing w:val="22"/>
          <w:sz w:val="29"/>
          <w:szCs w:val="29"/>
        </w:rPr>
        <w:t>第一节通用合同条款</w:t>
      </w:r>
    </w:p>
    <w:p w14:paraId="5DE61B40">
      <w:pPr>
        <w:spacing w:line="222" w:lineRule="auto"/>
        <w:rPr>
          <w:rFonts w:ascii="黑体" w:hAnsi="黑体" w:eastAsia="黑体" w:cs="黑体"/>
          <w:sz w:val="29"/>
          <w:szCs w:val="29"/>
        </w:rPr>
        <w:sectPr>
          <w:footerReference r:id="rId112" w:type="default"/>
          <w:pgSz w:w="11910" w:h="16840"/>
          <w:pgMar w:top="400" w:right="1786" w:bottom="1016" w:left="1786" w:header="0" w:footer="889" w:gutter="0"/>
          <w:cols w:space="720" w:num="1"/>
        </w:sectPr>
      </w:pPr>
    </w:p>
    <w:p w14:paraId="256CE19C">
      <w:pPr>
        <w:spacing w:line="251" w:lineRule="auto"/>
        <w:rPr>
          <w:rFonts w:ascii="Arial"/>
          <w:sz w:val="21"/>
        </w:rPr>
      </w:pPr>
    </w:p>
    <w:p w14:paraId="5F641942">
      <w:pPr>
        <w:spacing w:line="251" w:lineRule="auto"/>
        <w:rPr>
          <w:rFonts w:ascii="Arial"/>
          <w:sz w:val="21"/>
        </w:rPr>
      </w:pPr>
    </w:p>
    <w:p w14:paraId="35FAF93D">
      <w:pPr>
        <w:spacing w:line="251" w:lineRule="auto"/>
        <w:rPr>
          <w:rFonts w:ascii="Arial"/>
          <w:sz w:val="21"/>
        </w:rPr>
      </w:pPr>
    </w:p>
    <w:p w14:paraId="28FD1B03">
      <w:pPr>
        <w:spacing w:line="251" w:lineRule="auto"/>
        <w:rPr>
          <w:rFonts w:ascii="Arial"/>
          <w:sz w:val="21"/>
        </w:rPr>
      </w:pPr>
    </w:p>
    <w:p w14:paraId="614BA295">
      <w:pPr>
        <w:spacing w:line="251" w:lineRule="auto"/>
        <w:rPr>
          <w:rFonts w:ascii="Arial"/>
          <w:sz w:val="21"/>
        </w:rPr>
      </w:pPr>
    </w:p>
    <w:p w14:paraId="3D7B701F">
      <w:pPr>
        <w:spacing w:before="95" w:line="222" w:lineRule="auto"/>
        <w:ind w:left="3594"/>
        <w:rPr>
          <w:rFonts w:ascii="黑体" w:hAnsi="黑体" w:eastAsia="黑体" w:cs="黑体"/>
          <w:sz w:val="29"/>
          <w:szCs w:val="29"/>
        </w:rPr>
      </w:pPr>
      <w:r>
        <w:rPr>
          <w:rFonts w:ascii="黑体" w:hAnsi="黑体" w:eastAsia="黑体" w:cs="黑体"/>
          <w:b/>
          <w:bCs/>
          <w:spacing w:val="-5"/>
          <w:sz w:val="29"/>
          <w:szCs w:val="29"/>
        </w:rPr>
        <w:t>通用合同条款</w:t>
      </w:r>
    </w:p>
    <w:p w14:paraId="5E846DE7">
      <w:pPr>
        <w:spacing w:line="305" w:lineRule="auto"/>
        <w:rPr>
          <w:rFonts w:ascii="Arial"/>
          <w:sz w:val="21"/>
        </w:rPr>
      </w:pPr>
    </w:p>
    <w:p w14:paraId="70BD3E88">
      <w:pPr>
        <w:pStyle w:val="2"/>
        <w:spacing w:before="95" w:line="220" w:lineRule="auto"/>
        <w:ind w:left="4"/>
        <w:rPr>
          <w:sz w:val="29"/>
          <w:szCs w:val="29"/>
        </w:rPr>
      </w:pPr>
      <w:r>
        <w:rPr>
          <w:b/>
          <w:bCs/>
          <w:spacing w:val="-7"/>
          <w:sz w:val="29"/>
          <w:szCs w:val="29"/>
        </w:rPr>
        <w:t>1.</w:t>
      </w:r>
      <w:r>
        <w:rPr>
          <w:spacing w:val="-82"/>
          <w:sz w:val="29"/>
          <w:szCs w:val="29"/>
        </w:rPr>
        <w:t xml:space="preserve"> </w:t>
      </w:r>
      <w:r>
        <w:rPr>
          <w:b/>
          <w:bCs/>
          <w:spacing w:val="-7"/>
          <w:sz w:val="29"/>
          <w:szCs w:val="29"/>
        </w:rPr>
        <w:t>一般约定</w:t>
      </w:r>
    </w:p>
    <w:p w14:paraId="6D91097C">
      <w:pPr>
        <w:pStyle w:val="2"/>
        <w:spacing w:before="141" w:line="220" w:lineRule="auto"/>
        <w:ind w:left="2"/>
        <w:rPr>
          <w:sz w:val="20"/>
          <w:szCs w:val="20"/>
        </w:rPr>
      </w:pPr>
      <w:r>
        <w:rPr>
          <w:b/>
          <w:bCs/>
          <w:spacing w:val="-10"/>
          <w:sz w:val="20"/>
          <w:szCs w:val="20"/>
        </w:rPr>
        <w:t>1.1</w:t>
      </w:r>
      <w:r>
        <w:rPr>
          <w:spacing w:val="44"/>
          <w:sz w:val="20"/>
          <w:szCs w:val="20"/>
        </w:rPr>
        <w:t xml:space="preserve"> </w:t>
      </w:r>
      <w:r>
        <w:rPr>
          <w:b/>
          <w:bCs/>
          <w:spacing w:val="-10"/>
          <w:sz w:val="20"/>
          <w:szCs w:val="20"/>
        </w:rPr>
        <w:t>词</w:t>
      </w:r>
      <w:r>
        <w:rPr>
          <w:spacing w:val="-38"/>
          <w:sz w:val="20"/>
          <w:szCs w:val="20"/>
        </w:rPr>
        <w:t xml:space="preserve"> </w:t>
      </w:r>
      <w:r>
        <w:rPr>
          <w:b/>
          <w:bCs/>
          <w:spacing w:val="-10"/>
          <w:sz w:val="20"/>
          <w:szCs w:val="20"/>
        </w:rPr>
        <w:t>语</w:t>
      </w:r>
      <w:r>
        <w:rPr>
          <w:spacing w:val="-32"/>
          <w:sz w:val="20"/>
          <w:szCs w:val="20"/>
        </w:rPr>
        <w:t xml:space="preserve"> </w:t>
      </w:r>
      <w:r>
        <w:rPr>
          <w:b/>
          <w:bCs/>
          <w:spacing w:val="-10"/>
          <w:sz w:val="20"/>
          <w:szCs w:val="20"/>
        </w:rPr>
        <w:t>定</w:t>
      </w:r>
      <w:r>
        <w:rPr>
          <w:spacing w:val="-36"/>
          <w:sz w:val="20"/>
          <w:szCs w:val="20"/>
        </w:rPr>
        <w:t xml:space="preserve"> </w:t>
      </w:r>
      <w:r>
        <w:rPr>
          <w:b/>
          <w:bCs/>
          <w:spacing w:val="-10"/>
          <w:sz w:val="20"/>
          <w:szCs w:val="20"/>
        </w:rPr>
        <w:t>义</w:t>
      </w:r>
    </w:p>
    <w:p w14:paraId="076ABBB2">
      <w:pPr>
        <w:pStyle w:val="2"/>
        <w:spacing w:before="152" w:line="219" w:lineRule="auto"/>
        <w:ind w:left="419"/>
        <w:rPr>
          <w:sz w:val="20"/>
          <w:szCs w:val="20"/>
        </w:rPr>
      </w:pPr>
      <w:r>
        <w:rPr>
          <w:spacing w:val="10"/>
          <w:sz w:val="20"/>
          <w:szCs w:val="20"/>
        </w:rPr>
        <w:t>通用合同条款、专用合同条款中的下列词语应具有本款所赋予的含义。</w:t>
      </w:r>
    </w:p>
    <w:p w14:paraId="629745C9">
      <w:pPr>
        <w:spacing w:before="171" w:line="223" w:lineRule="auto"/>
        <w:ind w:left="422"/>
        <w:rPr>
          <w:rFonts w:ascii="黑体" w:hAnsi="黑体" w:eastAsia="黑体" w:cs="黑体"/>
          <w:sz w:val="20"/>
          <w:szCs w:val="20"/>
        </w:rPr>
      </w:pPr>
      <w:r>
        <w:rPr>
          <w:rFonts w:ascii="黑体" w:hAnsi="黑体" w:eastAsia="黑体" w:cs="黑体"/>
          <w:b/>
          <w:bCs/>
          <w:spacing w:val="3"/>
          <w:sz w:val="20"/>
          <w:szCs w:val="20"/>
        </w:rPr>
        <w:t>1.1.1合同</w:t>
      </w:r>
    </w:p>
    <w:p w14:paraId="62E66B2E">
      <w:pPr>
        <w:pStyle w:val="2"/>
        <w:spacing w:before="141" w:line="302" w:lineRule="auto"/>
        <w:ind w:right="55" w:firstLine="719"/>
        <w:rPr>
          <w:sz w:val="20"/>
          <w:szCs w:val="20"/>
        </w:rPr>
      </w:pPr>
      <w:r>
        <w:rPr>
          <w:spacing w:val="12"/>
          <w:sz w:val="20"/>
          <w:szCs w:val="20"/>
        </w:rPr>
        <w:t>1.1.1.1 合同文件(或称合同):</w:t>
      </w:r>
      <w:r>
        <w:rPr>
          <w:spacing w:val="11"/>
          <w:sz w:val="20"/>
          <w:szCs w:val="20"/>
        </w:rPr>
        <w:t>指合同协议书、中标通知书、投标函及投标函附录、专用</w:t>
      </w:r>
      <w:r>
        <w:rPr>
          <w:sz w:val="20"/>
          <w:szCs w:val="20"/>
        </w:rPr>
        <w:t xml:space="preserve"> </w:t>
      </w:r>
      <w:r>
        <w:rPr>
          <w:spacing w:val="10"/>
          <w:sz w:val="20"/>
          <w:szCs w:val="20"/>
        </w:rPr>
        <w:t>合同条款、通用合同条款、技术标准和要求、图纸、已标价工程量</w:t>
      </w:r>
      <w:r>
        <w:rPr>
          <w:spacing w:val="9"/>
          <w:sz w:val="20"/>
          <w:szCs w:val="20"/>
        </w:rPr>
        <w:t>清单，以及其他合同文件。</w:t>
      </w:r>
    </w:p>
    <w:p w14:paraId="4CAF19DC">
      <w:pPr>
        <w:pStyle w:val="2"/>
        <w:spacing w:before="174" w:line="219" w:lineRule="auto"/>
        <w:ind w:left="719"/>
        <w:rPr>
          <w:sz w:val="20"/>
          <w:szCs w:val="20"/>
        </w:rPr>
      </w:pPr>
      <w:r>
        <w:rPr>
          <w:spacing w:val="8"/>
          <w:sz w:val="20"/>
          <w:szCs w:val="20"/>
        </w:rPr>
        <w:t>1.1.1.2合同协议书：指第1.5款所指的合同协议书。</w:t>
      </w:r>
    </w:p>
    <w:p w14:paraId="7BCC2D3B">
      <w:pPr>
        <w:pStyle w:val="2"/>
        <w:spacing w:before="153" w:line="294" w:lineRule="auto"/>
        <w:ind w:right="35" w:firstLine="719"/>
        <w:rPr>
          <w:sz w:val="20"/>
          <w:szCs w:val="20"/>
        </w:rPr>
      </w:pPr>
      <w:r>
        <w:rPr>
          <w:spacing w:val="5"/>
          <w:sz w:val="20"/>
          <w:szCs w:val="20"/>
        </w:rPr>
        <w:t>1.1.1.3 中标通知书：指发包人通知承包人中标的函件。中标通知书随附的澄清、说明、补</w:t>
      </w:r>
      <w:r>
        <w:rPr>
          <w:spacing w:val="3"/>
          <w:sz w:val="20"/>
          <w:szCs w:val="20"/>
        </w:rPr>
        <w:t xml:space="preserve"> </w:t>
      </w:r>
      <w:r>
        <w:rPr>
          <w:spacing w:val="8"/>
          <w:sz w:val="20"/>
          <w:szCs w:val="20"/>
        </w:rPr>
        <w:t>正事项纪要等，是中标通知书的组成部分。</w:t>
      </w:r>
    </w:p>
    <w:p w14:paraId="403845AF">
      <w:pPr>
        <w:pStyle w:val="2"/>
        <w:spacing w:before="174" w:line="219" w:lineRule="auto"/>
        <w:ind w:left="719"/>
        <w:rPr>
          <w:sz w:val="20"/>
          <w:szCs w:val="20"/>
        </w:rPr>
      </w:pPr>
      <w:r>
        <w:rPr>
          <w:spacing w:val="8"/>
          <w:sz w:val="20"/>
          <w:szCs w:val="20"/>
        </w:rPr>
        <w:t>1.1.1.4投标函：指构成合同文件组成</w:t>
      </w:r>
      <w:r>
        <w:rPr>
          <w:spacing w:val="7"/>
          <w:sz w:val="20"/>
          <w:szCs w:val="20"/>
        </w:rPr>
        <w:t>部分的由承包人填写并签署的投标函。</w:t>
      </w:r>
    </w:p>
    <w:p w14:paraId="633C99D0">
      <w:pPr>
        <w:pStyle w:val="2"/>
        <w:spacing w:before="142" w:line="219" w:lineRule="auto"/>
        <w:ind w:left="719"/>
        <w:rPr>
          <w:sz w:val="20"/>
          <w:szCs w:val="20"/>
        </w:rPr>
      </w:pPr>
      <w:r>
        <w:rPr>
          <w:spacing w:val="4"/>
          <w:sz w:val="20"/>
          <w:szCs w:val="20"/>
        </w:rPr>
        <w:t>1.1.1.5</w:t>
      </w:r>
      <w:r>
        <w:rPr>
          <w:spacing w:val="-3"/>
          <w:sz w:val="20"/>
          <w:szCs w:val="20"/>
        </w:rPr>
        <w:t xml:space="preserve"> </w:t>
      </w:r>
      <w:r>
        <w:rPr>
          <w:spacing w:val="4"/>
          <w:sz w:val="20"/>
          <w:szCs w:val="20"/>
        </w:rPr>
        <w:t>投标函附录：指附在投标函后构成合同文件的投标函附录。</w:t>
      </w:r>
    </w:p>
    <w:p w14:paraId="4E53DEA0">
      <w:pPr>
        <w:pStyle w:val="2"/>
        <w:spacing w:before="174" w:line="219" w:lineRule="auto"/>
        <w:ind w:left="719"/>
        <w:rPr>
          <w:sz w:val="20"/>
          <w:szCs w:val="20"/>
        </w:rPr>
      </w:pPr>
      <w:r>
        <w:rPr>
          <w:spacing w:val="5"/>
          <w:sz w:val="20"/>
          <w:szCs w:val="20"/>
        </w:rPr>
        <w:t>1.1.1.6 技术标准和要求：指构成合同文件组成部分的名为技术标准和要求的文件，</w:t>
      </w:r>
      <w:r>
        <w:rPr>
          <w:spacing w:val="4"/>
          <w:sz w:val="20"/>
          <w:szCs w:val="20"/>
        </w:rPr>
        <w:t>包括合</w:t>
      </w:r>
    </w:p>
    <w:p w14:paraId="46E6BF1D">
      <w:pPr>
        <w:pStyle w:val="2"/>
        <w:spacing w:before="172" w:line="219" w:lineRule="auto"/>
        <w:rPr>
          <w:sz w:val="20"/>
          <w:szCs w:val="20"/>
        </w:rPr>
      </w:pPr>
      <w:r>
        <w:rPr>
          <w:spacing w:val="8"/>
          <w:sz w:val="20"/>
          <w:szCs w:val="20"/>
        </w:rPr>
        <w:t>同双方当事人约定对其所作的修改或补充。</w:t>
      </w:r>
    </w:p>
    <w:p w14:paraId="30040F44">
      <w:pPr>
        <w:pStyle w:val="2"/>
        <w:spacing w:before="132" w:line="304" w:lineRule="auto"/>
        <w:ind w:right="42" w:firstLine="719"/>
        <w:rPr>
          <w:sz w:val="20"/>
          <w:szCs w:val="20"/>
        </w:rPr>
      </w:pPr>
      <w:r>
        <w:rPr>
          <w:spacing w:val="7"/>
          <w:sz w:val="20"/>
          <w:szCs w:val="20"/>
        </w:rPr>
        <w:t>1.1.1.7图纸：指包含在合同中的工程图纸，以及由发包人按合同约定提供的任何补充和修</w:t>
      </w:r>
      <w:r>
        <w:rPr>
          <w:spacing w:val="15"/>
          <w:sz w:val="20"/>
          <w:szCs w:val="20"/>
        </w:rPr>
        <w:t xml:space="preserve"> </w:t>
      </w:r>
      <w:r>
        <w:rPr>
          <w:spacing w:val="7"/>
          <w:sz w:val="20"/>
          <w:szCs w:val="20"/>
        </w:rPr>
        <w:t>改的图纸，包括配套的说明。</w:t>
      </w:r>
    </w:p>
    <w:p w14:paraId="40BE994D">
      <w:pPr>
        <w:pStyle w:val="2"/>
        <w:spacing w:before="171" w:line="284" w:lineRule="auto"/>
        <w:ind w:right="40" w:firstLine="719"/>
        <w:rPr>
          <w:sz w:val="20"/>
          <w:szCs w:val="20"/>
        </w:rPr>
      </w:pPr>
      <w:r>
        <w:rPr>
          <w:spacing w:val="5"/>
          <w:sz w:val="20"/>
          <w:szCs w:val="20"/>
        </w:rPr>
        <w:t>1.1.1.8 已标价工程量清单：指构成合同文件组成部分的由承包人按照规定的格式和要</w:t>
      </w:r>
      <w:r>
        <w:rPr>
          <w:spacing w:val="4"/>
          <w:sz w:val="20"/>
          <w:szCs w:val="20"/>
        </w:rPr>
        <w:t>求填</w:t>
      </w:r>
      <w:r>
        <w:rPr>
          <w:sz w:val="20"/>
          <w:szCs w:val="20"/>
        </w:rPr>
        <w:t xml:space="preserve"> </w:t>
      </w:r>
      <w:r>
        <w:rPr>
          <w:spacing w:val="7"/>
          <w:sz w:val="20"/>
          <w:szCs w:val="20"/>
        </w:rPr>
        <w:t>写并标明价格的工程量清单。</w:t>
      </w:r>
    </w:p>
    <w:p w14:paraId="5AD26790">
      <w:pPr>
        <w:pStyle w:val="2"/>
        <w:spacing w:before="176" w:line="219" w:lineRule="auto"/>
        <w:ind w:left="719"/>
        <w:rPr>
          <w:sz w:val="20"/>
          <w:szCs w:val="20"/>
        </w:rPr>
      </w:pPr>
      <w:r>
        <w:rPr>
          <w:spacing w:val="8"/>
          <w:sz w:val="20"/>
          <w:szCs w:val="20"/>
        </w:rPr>
        <w:t>1.1.1.9其他合同文件：指经合同双方</w:t>
      </w:r>
      <w:r>
        <w:rPr>
          <w:spacing w:val="7"/>
          <w:sz w:val="20"/>
          <w:szCs w:val="20"/>
        </w:rPr>
        <w:t>当事人确认构成合同文件的其他文件。</w:t>
      </w:r>
    </w:p>
    <w:p w14:paraId="23416CD7">
      <w:pPr>
        <w:spacing w:before="168" w:line="221" w:lineRule="auto"/>
        <w:ind w:left="422"/>
        <w:rPr>
          <w:rFonts w:ascii="黑体" w:hAnsi="黑体" w:eastAsia="黑体" w:cs="黑体"/>
          <w:sz w:val="20"/>
          <w:szCs w:val="20"/>
        </w:rPr>
      </w:pPr>
      <w:r>
        <w:rPr>
          <w:rFonts w:ascii="黑体" w:hAnsi="黑体" w:eastAsia="黑体" w:cs="黑体"/>
          <w:b/>
          <w:bCs/>
          <w:spacing w:val="6"/>
          <w:sz w:val="20"/>
          <w:szCs w:val="20"/>
        </w:rPr>
        <w:t>1.1.2合同当事人和人员</w:t>
      </w:r>
    </w:p>
    <w:p w14:paraId="3FD988C0">
      <w:pPr>
        <w:pStyle w:val="2"/>
        <w:spacing w:before="146" w:line="219" w:lineRule="auto"/>
        <w:ind w:left="719"/>
        <w:rPr>
          <w:sz w:val="20"/>
          <w:szCs w:val="20"/>
        </w:rPr>
      </w:pPr>
      <w:r>
        <w:rPr>
          <w:spacing w:val="8"/>
          <w:sz w:val="20"/>
          <w:szCs w:val="20"/>
        </w:rPr>
        <w:t>1.1.2.1合同当事人：指发包人和(或)承包</w:t>
      </w:r>
      <w:r>
        <w:rPr>
          <w:spacing w:val="7"/>
          <w:sz w:val="20"/>
          <w:szCs w:val="20"/>
        </w:rPr>
        <w:t>人。</w:t>
      </w:r>
    </w:p>
    <w:p w14:paraId="219152D0">
      <w:pPr>
        <w:pStyle w:val="2"/>
        <w:spacing w:before="171" w:line="219" w:lineRule="auto"/>
        <w:ind w:left="719"/>
        <w:rPr>
          <w:sz w:val="20"/>
          <w:szCs w:val="20"/>
        </w:rPr>
      </w:pPr>
      <w:r>
        <w:rPr>
          <w:spacing w:val="8"/>
          <w:sz w:val="20"/>
          <w:szCs w:val="20"/>
        </w:rPr>
        <w:t>1.1.2.2发包人：指专用合同条款中指明并与承包人在合同</w:t>
      </w:r>
      <w:r>
        <w:rPr>
          <w:spacing w:val="7"/>
          <w:sz w:val="20"/>
          <w:szCs w:val="20"/>
        </w:rPr>
        <w:t>协议书中签字的当事人。</w:t>
      </w:r>
    </w:p>
    <w:p w14:paraId="0C55014F">
      <w:pPr>
        <w:pStyle w:val="2"/>
        <w:spacing w:before="173" w:line="219" w:lineRule="auto"/>
        <w:ind w:left="719"/>
        <w:rPr>
          <w:sz w:val="20"/>
          <w:szCs w:val="20"/>
        </w:rPr>
      </w:pPr>
      <w:r>
        <w:rPr>
          <w:spacing w:val="6"/>
          <w:sz w:val="20"/>
          <w:szCs w:val="20"/>
        </w:rPr>
        <w:t>1.1.2.3承包人：指与发包人签订合同协议书的当事人。</w:t>
      </w:r>
    </w:p>
    <w:p w14:paraId="690F082E">
      <w:pPr>
        <w:pStyle w:val="2"/>
        <w:spacing w:before="154" w:line="219" w:lineRule="auto"/>
        <w:ind w:left="719"/>
        <w:rPr>
          <w:sz w:val="20"/>
          <w:szCs w:val="20"/>
        </w:rPr>
      </w:pPr>
      <w:r>
        <w:rPr>
          <w:spacing w:val="7"/>
          <w:sz w:val="20"/>
          <w:szCs w:val="20"/>
        </w:rPr>
        <w:t>1.1.2.4承包人项目经理：指承包人派驻施工场地的</w:t>
      </w:r>
      <w:r>
        <w:rPr>
          <w:spacing w:val="6"/>
          <w:sz w:val="20"/>
          <w:szCs w:val="20"/>
        </w:rPr>
        <w:t>全权负责人。</w:t>
      </w:r>
    </w:p>
    <w:p w14:paraId="6C7C554E">
      <w:pPr>
        <w:pStyle w:val="2"/>
        <w:spacing w:before="173" w:line="219" w:lineRule="auto"/>
        <w:jc w:val="right"/>
        <w:rPr>
          <w:sz w:val="20"/>
          <w:szCs w:val="20"/>
        </w:rPr>
      </w:pPr>
      <w:r>
        <w:rPr>
          <w:spacing w:val="8"/>
          <w:sz w:val="20"/>
          <w:szCs w:val="20"/>
        </w:rPr>
        <w:t>1.1.2.5分包人：指从承包人处分包合同中某一部分工程，并与其签订分包合同的分包人。</w:t>
      </w:r>
    </w:p>
    <w:p w14:paraId="2A97EC6C">
      <w:pPr>
        <w:pStyle w:val="2"/>
        <w:spacing w:before="161" w:line="286" w:lineRule="auto"/>
        <w:ind w:right="40" w:firstLine="719"/>
        <w:rPr>
          <w:sz w:val="20"/>
          <w:szCs w:val="20"/>
        </w:rPr>
      </w:pPr>
      <w:r>
        <w:rPr>
          <w:spacing w:val="5"/>
          <w:sz w:val="20"/>
          <w:szCs w:val="20"/>
        </w:rPr>
        <w:t>1.1.2.6 监理人：指在专用合同条款中指明的，受发包人委托对合同履行实施管理的法</w:t>
      </w:r>
      <w:r>
        <w:rPr>
          <w:spacing w:val="4"/>
          <w:sz w:val="20"/>
          <w:szCs w:val="20"/>
        </w:rPr>
        <w:t>人或</w:t>
      </w:r>
      <w:r>
        <w:rPr>
          <w:sz w:val="20"/>
          <w:szCs w:val="20"/>
        </w:rPr>
        <w:t xml:space="preserve"> </w:t>
      </w:r>
      <w:r>
        <w:rPr>
          <w:spacing w:val="5"/>
          <w:sz w:val="20"/>
          <w:szCs w:val="20"/>
        </w:rPr>
        <w:t>其他组织。</w:t>
      </w:r>
    </w:p>
    <w:p w14:paraId="160B1BA2">
      <w:pPr>
        <w:pStyle w:val="2"/>
        <w:spacing w:before="181" w:line="290" w:lineRule="auto"/>
        <w:ind w:right="72" w:firstLine="719"/>
        <w:rPr>
          <w:sz w:val="20"/>
          <w:szCs w:val="20"/>
        </w:rPr>
      </w:pPr>
      <w:r>
        <w:rPr>
          <w:spacing w:val="11"/>
          <w:sz w:val="20"/>
          <w:szCs w:val="20"/>
        </w:rPr>
        <w:t>1.1.2.7 总监理工程师(总监):指由监理人委派常驻施工场地对合同履行实施管理的全权</w:t>
      </w:r>
      <w:r>
        <w:rPr>
          <w:spacing w:val="2"/>
          <w:sz w:val="20"/>
          <w:szCs w:val="20"/>
        </w:rPr>
        <w:t xml:space="preserve"> 负责人。</w:t>
      </w:r>
    </w:p>
    <w:p w14:paraId="5D82E881">
      <w:pPr>
        <w:spacing w:before="158" w:line="222" w:lineRule="auto"/>
        <w:ind w:left="422"/>
        <w:rPr>
          <w:rFonts w:ascii="黑体" w:hAnsi="黑体" w:eastAsia="黑体" w:cs="黑体"/>
          <w:sz w:val="20"/>
          <w:szCs w:val="20"/>
        </w:rPr>
      </w:pPr>
      <w:r>
        <w:rPr>
          <w:rFonts w:ascii="黑体" w:hAnsi="黑体" w:eastAsia="黑体" w:cs="黑体"/>
          <w:b/>
          <w:bCs/>
          <w:spacing w:val="4"/>
          <w:sz w:val="20"/>
          <w:szCs w:val="20"/>
        </w:rPr>
        <w:t>1.1.3工程和设备</w:t>
      </w:r>
    </w:p>
    <w:p w14:paraId="7B47603D">
      <w:pPr>
        <w:pStyle w:val="2"/>
        <w:spacing w:before="174" w:line="219" w:lineRule="auto"/>
        <w:ind w:left="722"/>
        <w:rPr>
          <w:sz w:val="20"/>
          <w:szCs w:val="20"/>
        </w:rPr>
      </w:pPr>
      <w:r>
        <w:rPr>
          <w:b/>
          <w:bCs/>
          <w:spacing w:val="9"/>
          <w:sz w:val="20"/>
          <w:szCs w:val="20"/>
        </w:rPr>
        <w:t>1.1.3.1</w:t>
      </w:r>
      <w:r>
        <w:rPr>
          <w:spacing w:val="9"/>
          <w:sz w:val="20"/>
          <w:szCs w:val="20"/>
        </w:rPr>
        <w:t xml:space="preserve"> 工程：指永久工程和(或)临</w:t>
      </w:r>
      <w:r>
        <w:rPr>
          <w:spacing w:val="8"/>
          <w:sz w:val="20"/>
          <w:szCs w:val="20"/>
        </w:rPr>
        <w:t>时工程。</w:t>
      </w:r>
    </w:p>
    <w:p w14:paraId="5068AA7E">
      <w:pPr>
        <w:pStyle w:val="2"/>
        <w:spacing w:before="153" w:line="219" w:lineRule="auto"/>
        <w:ind w:left="719"/>
        <w:rPr>
          <w:sz w:val="20"/>
          <w:szCs w:val="20"/>
        </w:rPr>
      </w:pPr>
      <w:r>
        <w:rPr>
          <w:spacing w:val="8"/>
          <w:sz w:val="20"/>
          <w:szCs w:val="20"/>
        </w:rPr>
        <w:t>1.1.3.2永久工程：指按合同约定建造并移交</w:t>
      </w:r>
      <w:r>
        <w:rPr>
          <w:spacing w:val="7"/>
          <w:sz w:val="20"/>
          <w:szCs w:val="20"/>
        </w:rPr>
        <w:t>给发包人的工程，包括工程设备。</w:t>
      </w:r>
    </w:p>
    <w:p w14:paraId="7A3EDDFD">
      <w:pPr>
        <w:spacing w:line="219" w:lineRule="auto"/>
        <w:rPr>
          <w:sz w:val="20"/>
          <w:szCs w:val="20"/>
        </w:rPr>
        <w:sectPr>
          <w:footerReference r:id="rId113" w:type="default"/>
          <w:pgSz w:w="11910" w:h="16840"/>
          <w:pgMar w:top="400" w:right="1469" w:bottom="1024" w:left="1460" w:header="0" w:footer="889" w:gutter="0"/>
          <w:cols w:space="720" w:num="1"/>
        </w:sectPr>
      </w:pPr>
    </w:p>
    <w:p w14:paraId="16EE2240">
      <w:pPr>
        <w:spacing w:line="272" w:lineRule="auto"/>
        <w:rPr>
          <w:rFonts w:ascii="Arial"/>
          <w:sz w:val="21"/>
        </w:rPr>
      </w:pPr>
    </w:p>
    <w:p w14:paraId="1E9F960A">
      <w:pPr>
        <w:spacing w:line="273" w:lineRule="auto"/>
        <w:rPr>
          <w:rFonts w:ascii="Arial"/>
          <w:sz w:val="21"/>
        </w:rPr>
      </w:pPr>
    </w:p>
    <w:p w14:paraId="1284243A">
      <w:pPr>
        <w:spacing w:line="273" w:lineRule="auto"/>
        <w:rPr>
          <w:rFonts w:ascii="Arial"/>
          <w:sz w:val="21"/>
        </w:rPr>
      </w:pPr>
    </w:p>
    <w:p w14:paraId="3EAEA945">
      <w:pPr>
        <w:spacing w:line="273" w:lineRule="auto"/>
        <w:rPr>
          <w:rFonts w:ascii="Arial"/>
          <w:sz w:val="21"/>
        </w:rPr>
      </w:pPr>
    </w:p>
    <w:p w14:paraId="5A995555">
      <w:pPr>
        <w:spacing w:line="273" w:lineRule="auto"/>
        <w:rPr>
          <w:rFonts w:ascii="Arial"/>
          <w:sz w:val="21"/>
        </w:rPr>
      </w:pPr>
    </w:p>
    <w:p w14:paraId="63745A25">
      <w:pPr>
        <w:pStyle w:val="2"/>
        <w:spacing w:before="65" w:line="296" w:lineRule="auto"/>
        <w:ind w:right="8" w:firstLine="719"/>
        <w:rPr>
          <w:sz w:val="20"/>
          <w:szCs w:val="20"/>
        </w:rPr>
      </w:pPr>
      <w:r>
        <w:rPr>
          <w:spacing w:val="6"/>
          <w:sz w:val="20"/>
          <w:szCs w:val="20"/>
        </w:rPr>
        <w:t>1.1.3.3</w:t>
      </w:r>
      <w:r>
        <w:rPr>
          <w:spacing w:val="-21"/>
          <w:sz w:val="20"/>
          <w:szCs w:val="20"/>
        </w:rPr>
        <w:t xml:space="preserve"> </w:t>
      </w:r>
      <w:r>
        <w:rPr>
          <w:spacing w:val="6"/>
          <w:sz w:val="20"/>
          <w:szCs w:val="20"/>
        </w:rPr>
        <w:t>临时工程：指为完成合同约定的永久工</w:t>
      </w:r>
      <w:r>
        <w:rPr>
          <w:spacing w:val="5"/>
          <w:sz w:val="20"/>
          <w:szCs w:val="20"/>
        </w:rPr>
        <w:t>程所修建的各类临时性工程，不包括施工设</w:t>
      </w:r>
      <w:r>
        <w:rPr>
          <w:sz w:val="20"/>
          <w:szCs w:val="20"/>
        </w:rPr>
        <w:t xml:space="preserve"> </w:t>
      </w:r>
      <w:r>
        <w:rPr>
          <w:spacing w:val="-10"/>
          <w:sz w:val="20"/>
          <w:szCs w:val="20"/>
        </w:rPr>
        <w:t>备。</w:t>
      </w:r>
    </w:p>
    <w:p w14:paraId="53FB8408">
      <w:pPr>
        <w:pStyle w:val="2"/>
        <w:spacing w:before="159" w:line="219" w:lineRule="auto"/>
        <w:ind w:left="719"/>
        <w:rPr>
          <w:sz w:val="20"/>
          <w:szCs w:val="20"/>
        </w:rPr>
      </w:pPr>
      <w:r>
        <w:rPr>
          <w:rFonts w:ascii="Times New Roman" w:hAnsi="Times New Roman" w:eastAsia="Times New Roman" w:cs="Times New Roman"/>
          <w:spacing w:val="7"/>
          <w:sz w:val="20"/>
          <w:szCs w:val="20"/>
        </w:rPr>
        <w:t>1.1.3.4</w:t>
      </w:r>
      <w:r>
        <w:rPr>
          <w:rFonts w:ascii="Times New Roman" w:hAnsi="Times New Roman" w:eastAsia="Times New Roman" w:cs="Times New Roman"/>
          <w:spacing w:val="1"/>
          <w:sz w:val="20"/>
          <w:szCs w:val="20"/>
        </w:rPr>
        <w:t xml:space="preserve">   </w:t>
      </w:r>
      <w:r>
        <w:rPr>
          <w:spacing w:val="7"/>
          <w:sz w:val="20"/>
          <w:szCs w:val="20"/>
        </w:rPr>
        <w:t>单位工程：指专用合同条款中指明特</w:t>
      </w:r>
      <w:r>
        <w:rPr>
          <w:spacing w:val="6"/>
          <w:sz w:val="20"/>
          <w:szCs w:val="20"/>
        </w:rPr>
        <w:t>定范围的永久工程。</w:t>
      </w:r>
    </w:p>
    <w:p w14:paraId="50323A27">
      <w:pPr>
        <w:pStyle w:val="2"/>
        <w:spacing w:before="141" w:line="304" w:lineRule="auto"/>
        <w:ind w:right="8" w:firstLine="719"/>
        <w:rPr>
          <w:sz w:val="20"/>
          <w:szCs w:val="20"/>
        </w:rPr>
      </w:pPr>
      <w:r>
        <w:rPr>
          <w:spacing w:val="5"/>
          <w:sz w:val="20"/>
          <w:szCs w:val="20"/>
        </w:rPr>
        <w:t>1.1.3.5 工程设备：指构成或计划构成永久工程一部分的机电设备、金属结构设备、仪</w:t>
      </w:r>
      <w:r>
        <w:rPr>
          <w:spacing w:val="4"/>
          <w:sz w:val="20"/>
          <w:szCs w:val="20"/>
        </w:rPr>
        <w:t>器装</w:t>
      </w:r>
      <w:r>
        <w:rPr>
          <w:sz w:val="20"/>
          <w:szCs w:val="20"/>
        </w:rPr>
        <w:t xml:space="preserve"> </w:t>
      </w:r>
      <w:r>
        <w:rPr>
          <w:spacing w:val="6"/>
          <w:sz w:val="20"/>
          <w:szCs w:val="20"/>
        </w:rPr>
        <w:t>置及其他类似的设备和装置。</w:t>
      </w:r>
    </w:p>
    <w:p w14:paraId="7F6B5A5B">
      <w:pPr>
        <w:pStyle w:val="2"/>
        <w:spacing w:before="173" w:line="284" w:lineRule="auto"/>
        <w:ind w:right="2" w:firstLine="719"/>
        <w:rPr>
          <w:sz w:val="20"/>
          <w:szCs w:val="20"/>
        </w:rPr>
      </w:pPr>
      <w:r>
        <w:rPr>
          <w:rFonts w:ascii="Times New Roman" w:hAnsi="Times New Roman" w:eastAsia="Times New Roman" w:cs="Times New Roman"/>
          <w:spacing w:val="7"/>
          <w:sz w:val="20"/>
          <w:szCs w:val="20"/>
        </w:rPr>
        <w:t xml:space="preserve">1.1.3.6   </w:t>
      </w:r>
      <w:r>
        <w:rPr>
          <w:spacing w:val="7"/>
          <w:sz w:val="20"/>
          <w:szCs w:val="20"/>
        </w:rPr>
        <w:t>施工设备：指为完成合同约定的各项工作所需的设备、器具和其他物品，不包括临</w:t>
      </w:r>
      <w:r>
        <w:rPr>
          <w:spacing w:val="2"/>
          <w:sz w:val="20"/>
          <w:szCs w:val="20"/>
        </w:rPr>
        <w:t xml:space="preserve"> </w:t>
      </w:r>
      <w:r>
        <w:rPr>
          <w:spacing w:val="4"/>
          <w:sz w:val="20"/>
          <w:szCs w:val="20"/>
        </w:rPr>
        <w:t>时工程和材料。</w:t>
      </w:r>
    </w:p>
    <w:p w14:paraId="0A7A9064">
      <w:pPr>
        <w:pStyle w:val="2"/>
        <w:spacing w:before="184" w:line="219" w:lineRule="auto"/>
        <w:ind w:left="719"/>
        <w:rPr>
          <w:sz w:val="20"/>
          <w:szCs w:val="20"/>
        </w:rPr>
      </w:pPr>
      <w:r>
        <w:rPr>
          <w:rFonts w:ascii="Times New Roman" w:hAnsi="Times New Roman" w:eastAsia="Times New Roman" w:cs="Times New Roman"/>
          <w:spacing w:val="8"/>
          <w:sz w:val="20"/>
          <w:szCs w:val="20"/>
        </w:rPr>
        <w:t>1.1.3.7</w:t>
      </w:r>
      <w:r>
        <w:rPr>
          <w:rFonts w:ascii="Times New Roman" w:hAnsi="Times New Roman" w:eastAsia="Times New Roman" w:cs="Times New Roman"/>
          <w:spacing w:val="1"/>
          <w:sz w:val="20"/>
          <w:szCs w:val="20"/>
        </w:rPr>
        <w:t xml:space="preserve">   </w:t>
      </w:r>
      <w:r>
        <w:rPr>
          <w:spacing w:val="8"/>
          <w:sz w:val="20"/>
          <w:szCs w:val="20"/>
        </w:rPr>
        <w:t>临时设施：指为完成合同约定的各项工作</w:t>
      </w:r>
      <w:r>
        <w:rPr>
          <w:spacing w:val="7"/>
          <w:sz w:val="20"/>
          <w:szCs w:val="20"/>
        </w:rPr>
        <w:t>所服务的临时性生产和生活设施。</w:t>
      </w:r>
    </w:p>
    <w:p w14:paraId="27380963">
      <w:pPr>
        <w:pStyle w:val="2"/>
        <w:spacing w:before="152" w:line="219" w:lineRule="auto"/>
        <w:ind w:left="719"/>
        <w:rPr>
          <w:sz w:val="20"/>
          <w:szCs w:val="20"/>
        </w:rPr>
      </w:pPr>
      <w:r>
        <w:rPr>
          <w:rFonts w:ascii="Times New Roman" w:hAnsi="Times New Roman" w:eastAsia="Times New Roman" w:cs="Times New Roman"/>
          <w:spacing w:val="6"/>
          <w:sz w:val="20"/>
          <w:szCs w:val="20"/>
        </w:rPr>
        <w:t>1.1.3.8</w:t>
      </w:r>
      <w:r>
        <w:rPr>
          <w:rFonts w:ascii="Times New Roman" w:hAnsi="Times New Roman" w:eastAsia="Times New Roman" w:cs="Times New Roman"/>
          <w:spacing w:val="1"/>
          <w:sz w:val="20"/>
          <w:szCs w:val="20"/>
        </w:rPr>
        <w:t xml:space="preserve">   </w:t>
      </w:r>
      <w:r>
        <w:rPr>
          <w:spacing w:val="6"/>
          <w:sz w:val="20"/>
          <w:szCs w:val="20"/>
        </w:rPr>
        <w:t>承包人设备：指承包人自带的</w:t>
      </w:r>
      <w:r>
        <w:rPr>
          <w:spacing w:val="5"/>
          <w:sz w:val="20"/>
          <w:szCs w:val="20"/>
        </w:rPr>
        <w:t>施工设备。</w:t>
      </w:r>
    </w:p>
    <w:p w14:paraId="774E2009">
      <w:pPr>
        <w:pStyle w:val="2"/>
        <w:spacing w:before="162" w:line="299" w:lineRule="auto"/>
        <w:ind w:right="45" w:firstLine="719"/>
        <w:rPr>
          <w:sz w:val="20"/>
          <w:szCs w:val="20"/>
        </w:rPr>
      </w:pPr>
      <w:r>
        <w:rPr>
          <w:rFonts w:ascii="Times New Roman" w:hAnsi="Times New Roman" w:eastAsia="Times New Roman" w:cs="Times New Roman"/>
          <w:spacing w:val="13"/>
          <w:sz w:val="20"/>
          <w:szCs w:val="20"/>
        </w:rPr>
        <w:t xml:space="preserve">1.1.3.9   </w:t>
      </w:r>
      <w:r>
        <w:rPr>
          <w:spacing w:val="13"/>
          <w:sz w:val="20"/>
          <w:szCs w:val="20"/>
        </w:rPr>
        <w:t>施工场地(或称工地、现场):指用于合同工</w:t>
      </w:r>
      <w:r>
        <w:rPr>
          <w:spacing w:val="12"/>
          <w:sz w:val="20"/>
          <w:szCs w:val="20"/>
        </w:rPr>
        <w:t>程施工的场所，以及在合同中指定作</w:t>
      </w:r>
      <w:r>
        <w:rPr>
          <w:sz w:val="20"/>
          <w:szCs w:val="20"/>
        </w:rPr>
        <w:t xml:space="preserve"> </w:t>
      </w:r>
      <w:r>
        <w:rPr>
          <w:spacing w:val="9"/>
          <w:sz w:val="20"/>
          <w:szCs w:val="20"/>
        </w:rPr>
        <w:t>为施工场地组成部分的其他场所，包括永久占地和临</w:t>
      </w:r>
      <w:r>
        <w:rPr>
          <w:spacing w:val="8"/>
          <w:sz w:val="20"/>
          <w:szCs w:val="20"/>
        </w:rPr>
        <w:t>时占地。</w:t>
      </w:r>
    </w:p>
    <w:p w14:paraId="2AA75C80">
      <w:pPr>
        <w:pStyle w:val="2"/>
        <w:spacing w:before="161" w:line="222" w:lineRule="auto"/>
        <w:ind w:left="719"/>
        <w:rPr>
          <w:sz w:val="20"/>
          <w:szCs w:val="20"/>
        </w:rPr>
      </w:pPr>
      <w:r>
        <w:fldChar w:fldCharType="begin"/>
      </w:r>
      <w:r>
        <w:instrText xml:space="preserve"> HYPERLINK "1.1.3.10" </w:instrText>
      </w:r>
      <w:r>
        <w:fldChar w:fldCharType="separate"/>
      </w:r>
      <w:r>
        <w:rPr>
          <w:rFonts w:ascii="Times New Roman" w:hAnsi="Times New Roman" w:eastAsia="Times New Roman" w:cs="Times New Roman"/>
          <w:spacing w:val="7"/>
          <w:sz w:val="20"/>
          <w:szCs w:val="20"/>
        </w:rPr>
        <w:t>1.1.3.10</w:t>
      </w:r>
      <w:r>
        <w:rPr>
          <w:rFonts w:ascii="Times New Roman" w:hAnsi="Times New Roman" w:eastAsia="Times New Roman" w:cs="Times New Roman"/>
          <w:spacing w:val="7"/>
          <w:sz w:val="20"/>
          <w:szCs w:val="20"/>
        </w:rPr>
        <w:fldChar w:fldCharType="end"/>
      </w:r>
      <w:r>
        <w:rPr>
          <w:rFonts w:ascii="Times New Roman" w:hAnsi="Times New Roman" w:eastAsia="Times New Roman" w:cs="Times New Roman"/>
          <w:spacing w:val="7"/>
          <w:sz w:val="20"/>
          <w:szCs w:val="20"/>
        </w:rPr>
        <w:t xml:space="preserve">   </w:t>
      </w:r>
      <w:r>
        <w:rPr>
          <w:rFonts w:ascii="仿宋" w:hAnsi="仿宋" w:eastAsia="仿宋" w:cs="仿宋"/>
          <w:spacing w:val="7"/>
          <w:sz w:val="20"/>
          <w:szCs w:val="20"/>
        </w:rPr>
        <w:t>永久占地</w:t>
      </w:r>
      <w:r>
        <w:rPr>
          <w:spacing w:val="7"/>
          <w:sz w:val="20"/>
          <w:szCs w:val="20"/>
        </w:rPr>
        <w:t>：指专用合同条款中指明为实施合同工程需永久占</w:t>
      </w:r>
      <w:r>
        <w:rPr>
          <w:spacing w:val="6"/>
          <w:sz w:val="20"/>
          <w:szCs w:val="20"/>
        </w:rPr>
        <w:t>用的土地。</w:t>
      </w:r>
    </w:p>
    <w:p w14:paraId="70F389C3">
      <w:pPr>
        <w:pStyle w:val="2"/>
        <w:spacing w:before="141" w:line="219" w:lineRule="auto"/>
        <w:ind w:left="719"/>
        <w:rPr>
          <w:sz w:val="20"/>
          <w:szCs w:val="20"/>
        </w:rPr>
      </w:pPr>
      <w:r>
        <w:fldChar w:fldCharType="begin"/>
      </w:r>
      <w:r>
        <w:instrText xml:space="preserve"> HYPERLINK "1.1.3.11" </w:instrText>
      </w:r>
      <w:r>
        <w:fldChar w:fldCharType="separate"/>
      </w:r>
      <w:r>
        <w:rPr>
          <w:rFonts w:ascii="Times New Roman" w:hAnsi="Times New Roman" w:eastAsia="Times New Roman" w:cs="Times New Roman"/>
          <w:spacing w:val="7"/>
          <w:sz w:val="20"/>
          <w:szCs w:val="20"/>
        </w:rPr>
        <w:t>1.1.3.11</w:t>
      </w:r>
      <w:r>
        <w:rPr>
          <w:rFonts w:ascii="Times New Roman" w:hAnsi="Times New Roman" w:eastAsia="Times New Roman" w:cs="Times New Roman"/>
          <w:spacing w:val="7"/>
          <w:sz w:val="20"/>
          <w:szCs w:val="20"/>
        </w:rPr>
        <w:fldChar w:fldCharType="end"/>
      </w:r>
      <w:r>
        <w:rPr>
          <w:rFonts w:ascii="Times New Roman" w:hAnsi="Times New Roman" w:eastAsia="Times New Roman" w:cs="Times New Roman"/>
          <w:spacing w:val="7"/>
          <w:sz w:val="20"/>
          <w:szCs w:val="20"/>
        </w:rPr>
        <w:t xml:space="preserve">   </w:t>
      </w:r>
      <w:r>
        <w:rPr>
          <w:spacing w:val="7"/>
          <w:sz w:val="20"/>
          <w:szCs w:val="20"/>
        </w:rPr>
        <w:t>临时占地：指专用合同条款中指明为实施合同工程需临时占</w:t>
      </w:r>
      <w:r>
        <w:rPr>
          <w:spacing w:val="6"/>
          <w:sz w:val="20"/>
          <w:szCs w:val="20"/>
        </w:rPr>
        <w:t>用的土地。</w:t>
      </w:r>
    </w:p>
    <w:p w14:paraId="1E8A91DD">
      <w:pPr>
        <w:spacing w:before="181" w:line="224" w:lineRule="auto"/>
        <w:ind w:left="422"/>
        <w:rPr>
          <w:rFonts w:ascii="黑体" w:hAnsi="黑体" w:eastAsia="黑体" w:cs="黑体"/>
          <w:sz w:val="20"/>
          <w:szCs w:val="20"/>
        </w:rPr>
      </w:pPr>
      <w:r>
        <w:rPr>
          <w:rFonts w:ascii="黑体" w:hAnsi="黑体" w:eastAsia="黑体" w:cs="黑体"/>
          <w:b/>
          <w:bCs/>
          <w:spacing w:val="4"/>
          <w:sz w:val="20"/>
          <w:szCs w:val="20"/>
        </w:rPr>
        <w:t>1.1.4日期</w:t>
      </w:r>
    </w:p>
    <w:p w14:paraId="20F812DC">
      <w:pPr>
        <w:pStyle w:val="2"/>
        <w:spacing w:before="169" w:line="219" w:lineRule="auto"/>
        <w:ind w:left="719"/>
        <w:rPr>
          <w:sz w:val="20"/>
          <w:szCs w:val="20"/>
        </w:rPr>
      </w:pPr>
      <w:r>
        <w:rPr>
          <w:rFonts w:ascii="Times New Roman" w:hAnsi="Times New Roman" w:eastAsia="Times New Roman" w:cs="Times New Roman"/>
          <w:spacing w:val="9"/>
          <w:sz w:val="20"/>
          <w:szCs w:val="20"/>
        </w:rPr>
        <w:t>1.1.4.1</w:t>
      </w:r>
      <w:r>
        <w:rPr>
          <w:rFonts w:ascii="Times New Roman" w:hAnsi="Times New Roman" w:eastAsia="Times New Roman" w:cs="Times New Roman"/>
          <w:spacing w:val="1"/>
          <w:sz w:val="20"/>
          <w:szCs w:val="20"/>
        </w:rPr>
        <w:t xml:space="preserve">   </w:t>
      </w:r>
      <w:r>
        <w:rPr>
          <w:spacing w:val="9"/>
          <w:sz w:val="20"/>
          <w:szCs w:val="20"/>
        </w:rPr>
        <w:t>开工通知：指监理人按第11.1款</w:t>
      </w:r>
      <w:r>
        <w:rPr>
          <w:spacing w:val="8"/>
          <w:sz w:val="20"/>
          <w:szCs w:val="20"/>
        </w:rPr>
        <w:t>通知承包人开工的函件。</w:t>
      </w:r>
    </w:p>
    <w:p w14:paraId="529E863B">
      <w:pPr>
        <w:pStyle w:val="2"/>
        <w:spacing w:before="133" w:line="219" w:lineRule="auto"/>
        <w:ind w:left="719"/>
        <w:rPr>
          <w:sz w:val="20"/>
          <w:szCs w:val="20"/>
        </w:rPr>
      </w:pPr>
      <w:r>
        <w:rPr>
          <w:spacing w:val="9"/>
          <w:sz w:val="20"/>
          <w:szCs w:val="20"/>
        </w:rPr>
        <w:t>1.1.4.2开工日期：指监理人按第11.1款发出的开工通知中写明的开工</w:t>
      </w:r>
      <w:r>
        <w:rPr>
          <w:spacing w:val="8"/>
          <w:sz w:val="20"/>
          <w:szCs w:val="20"/>
        </w:rPr>
        <w:t>日期。</w:t>
      </w:r>
    </w:p>
    <w:p w14:paraId="7C7C3D20">
      <w:pPr>
        <w:pStyle w:val="2"/>
        <w:spacing w:before="183" w:line="219" w:lineRule="auto"/>
        <w:ind w:right="4"/>
        <w:jc w:val="right"/>
        <w:rPr>
          <w:sz w:val="20"/>
          <w:szCs w:val="20"/>
        </w:rPr>
      </w:pPr>
      <w:r>
        <w:rPr>
          <w:spacing w:val="7"/>
          <w:sz w:val="20"/>
          <w:szCs w:val="20"/>
        </w:rPr>
        <w:t>1.1.4.3工期：指承包人在投标函中承诺的完成合同工程所需的期限，包括按第11.3款、第</w:t>
      </w:r>
    </w:p>
    <w:p w14:paraId="2A134279">
      <w:pPr>
        <w:pStyle w:val="2"/>
        <w:spacing w:before="162" w:line="219" w:lineRule="auto"/>
        <w:rPr>
          <w:sz w:val="20"/>
          <w:szCs w:val="20"/>
        </w:rPr>
      </w:pPr>
      <w:r>
        <w:rPr>
          <w:spacing w:val="11"/>
          <w:sz w:val="20"/>
          <w:szCs w:val="20"/>
        </w:rPr>
        <w:t>11.4款和第11.6款约定所作的变更。</w:t>
      </w:r>
    </w:p>
    <w:p w14:paraId="067DE613">
      <w:pPr>
        <w:pStyle w:val="2"/>
        <w:spacing w:before="142" w:line="304" w:lineRule="auto"/>
        <w:ind w:right="5" w:firstLine="719"/>
        <w:rPr>
          <w:sz w:val="20"/>
          <w:szCs w:val="20"/>
        </w:rPr>
      </w:pPr>
      <w:r>
        <w:rPr>
          <w:spacing w:val="9"/>
          <w:sz w:val="20"/>
          <w:szCs w:val="20"/>
        </w:rPr>
        <w:t>1.1.4.4竣工日期：指第1.1.4.3目约定工期届满时的日期。实际竣工日期以工程接收证书</w:t>
      </w:r>
      <w:r>
        <w:rPr>
          <w:spacing w:val="7"/>
          <w:sz w:val="20"/>
          <w:szCs w:val="20"/>
        </w:rPr>
        <w:t xml:space="preserve"> </w:t>
      </w:r>
      <w:r>
        <w:rPr>
          <w:spacing w:val="4"/>
          <w:sz w:val="20"/>
          <w:szCs w:val="20"/>
        </w:rPr>
        <w:t>中写明的日期为准。</w:t>
      </w:r>
    </w:p>
    <w:p w14:paraId="2AB57075">
      <w:pPr>
        <w:pStyle w:val="2"/>
        <w:spacing w:before="172" w:line="285" w:lineRule="auto"/>
        <w:ind w:right="9" w:firstLine="719"/>
        <w:rPr>
          <w:sz w:val="20"/>
          <w:szCs w:val="20"/>
        </w:rPr>
      </w:pPr>
      <w:r>
        <w:rPr>
          <w:spacing w:val="10"/>
          <w:sz w:val="20"/>
          <w:szCs w:val="20"/>
        </w:rPr>
        <w:t>1.1.4.5</w:t>
      </w:r>
      <w:r>
        <w:rPr>
          <w:spacing w:val="-21"/>
          <w:sz w:val="20"/>
          <w:szCs w:val="20"/>
        </w:rPr>
        <w:t xml:space="preserve"> </w:t>
      </w:r>
      <w:r>
        <w:rPr>
          <w:spacing w:val="10"/>
          <w:sz w:val="20"/>
          <w:szCs w:val="20"/>
        </w:rPr>
        <w:t>缺陷责任期：指履行第19.2款约定的缺陷责任的期限，具体期限由专用合同</w:t>
      </w:r>
      <w:r>
        <w:rPr>
          <w:spacing w:val="9"/>
          <w:sz w:val="20"/>
          <w:szCs w:val="20"/>
        </w:rPr>
        <w:t>条款</w:t>
      </w:r>
      <w:r>
        <w:rPr>
          <w:sz w:val="20"/>
          <w:szCs w:val="20"/>
        </w:rPr>
        <w:t xml:space="preserve"> </w:t>
      </w:r>
      <w:r>
        <w:rPr>
          <w:spacing w:val="11"/>
          <w:sz w:val="20"/>
          <w:szCs w:val="20"/>
        </w:rPr>
        <w:t>约定，包括根据第19.3款约定所作的延长。</w:t>
      </w:r>
    </w:p>
    <w:p w14:paraId="1FC0FD58">
      <w:pPr>
        <w:pStyle w:val="2"/>
        <w:spacing w:before="174" w:line="220" w:lineRule="auto"/>
        <w:ind w:left="719"/>
        <w:rPr>
          <w:sz w:val="20"/>
          <w:szCs w:val="20"/>
        </w:rPr>
      </w:pPr>
      <w:r>
        <w:rPr>
          <w:spacing w:val="10"/>
          <w:sz w:val="20"/>
          <w:szCs w:val="20"/>
        </w:rPr>
        <w:t>1.1.4.6基准日期：指投标截止时间前28天的日期。</w:t>
      </w:r>
    </w:p>
    <w:p w14:paraId="3EEC5486">
      <w:pPr>
        <w:pStyle w:val="2"/>
        <w:spacing w:before="150" w:line="299" w:lineRule="auto"/>
        <w:ind w:right="22" w:firstLine="719"/>
        <w:rPr>
          <w:sz w:val="20"/>
          <w:szCs w:val="20"/>
        </w:rPr>
      </w:pPr>
      <w:r>
        <w:rPr>
          <w:spacing w:val="7"/>
          <w:sz w:val="20"/>
          <w:szCs w:val="20"/>
        </w:rPr>
        <w:t>1.1.4.7天：除特别指明外，指日历天。合同中按天计算时间的，开始当天不计入，从次日</w:t>
      </w:r>
      <w:r>
        <w:rPr>
          <w:spacing w:val="3"/>
          <w:sz w:val="20"/>
          <w:szCs w:val="20"/>
        </w:rPr>
        <w:t xml:space="preserve"> </w:t>
      </w:r>
      <w:r>
        <w:rPr>
          <w:spacing w:val="8"/>
          <w:sz w:val="20"/>
          <w:szCs w:val="20"/>
        </w:rPr>
        <w:t>开始计算。期限最后一天的截止时间为当天24:0</w:t>
      </w:r>
      <w:r>
        <w:rPr>
          <w:spacing w:val="7"/>
          <w:sz w:val="20"/>
          <w:szCs w:val="20"/>
        </w:rPr>
        <w:t>0。</w:t>
      </w:r>
    </w:p>
    <w:p w14:paraId="6D8828F5">
      <w:pPr>
        <w:pStyle w:val="2"/>
        <w:spacing w:before="148" w:line="222" w:lineRule="auto"/>
        <w:ind w:left="422"/>
        <w:rPr>
          <w:rFonts w:ascii="黑体" w:hAnsi="黑体" w:eastAsia="黑体" w:cs="黑体"/>
          <w:sz w:val="20"/>
          <w:szCs w:val="20"/>
        </w:rPr>
      </w:pPr>
      <w:r>
        <w:rPr>
          <w:b/>
          <w:bCs/>
          <w:spacing w:val="-3"/>
          <w:sz w:val="20"/>
          <w:szCs w:val="20"/>
        </w:rPr>
        <w:t>1.1.5</w:t>
      </w:r>
      <w:r>
        <w:rPr>
          <w:spacing w:val="-3"/>
          <w:sz w:val="20"/>
          <w:szCs w:val="20"/>
        </w:rPr>
        <w:t xml:space="preserve"> </w:t>
      </w:r>
      <w:r>
        <w:rPr>
          <w:rFonts w:ascii="黑体" w:hAnsi="黑体" w:eastAsia="黑体" w:cs="黑体"/>
          <w:b/>
          <w:bCs/>
          <w:spacing w:val="-3"/>
          <w:sz w:val="20"/>
          <w:szCs w:val="20"/>
        </w:rPr>
        <w:t>合同价格和费用</w:t>
      </w:r>
    </w:p>
    <w:p w14:paraId="6204CBCD">
      <w:pPr>
        <w:pStyle w:val="2"/>
        <w:spacing w:before="182" w:line="286" w:lineRule="auto"/>
        <w:ind w:firstLine="719"/>
        <w:rPr>
          <w:sz w:val="20"/>
          <w:szCs w:val="20"/>
        </w:rPr>
      </w:pPr>
      <w:r>
        <w:rPr>
          <w:spacing w:val="6"/>
          <w:sz w:val="20"/>
          <w:szCs w:val="20"/>
        </w:rPr>
        <w:t>1.1.5.1</w:t>
      </w:r>
      <w:r>
        <w:rPr>
          <w:spacing w:val="-29"/>
          <w:sz w:val="20"/>
          <w:szCs w:val="20"/>
        </w:rPr>
        <w:t xml:space="preserve"> </w:t>
      </w:r>
      <w:r>
        <w:rPr>
          <w:spacing w:val="6"/>
          <w:sz w:val="20"/>
          <w:szCs w:val="20"/>
        </w:rPr>
        <w:t>签约合同价：指签定合同时合同协议书中写明的，包括了暂列金额、暂估价的</w:t>
      </w:r>
      <w:r>
        <w:rPr>
          <w:spacing w:val="5"/>
          <w:sz w:val="20"/>
          <w:szCs w:val="20"/>
        </w:rPr>
        <w:t>合同</w:t>
      </w:r>
      <w:r>
        <w:rPr>
          <w:sz w:val="20"/>
          <w:szCs w:val="20"/>
        </w:rPr>
        <w:t xml:space="preserve"> </w:t>
      </w:r>
      <w:r>
        <w:rPr>
          <w:spacing w:val="2"/>
          <w:sz w:val="20"/>
          <w:szCs w:val="20"/>
        </w:rPr>
        <w:t>总金额。</w:t>
      </w:r>
    </w:p>
    <w:p w14:paraId="10A7EAF9">
      <w:pPr>
        <w:pStyle w:val="2"/>
        <w:spacing w:before="151" w:line="304" w:lineRule="auto"/>
        <w:ind w:right="8" w:firstLine="719"/>
        <w:rPr>
          <w:sz w:val="20"/>
          <w:szCs w:val="20"/>
        </w:rPr>
      </w:pPr>
      <w:r>
        <w:rPr>
          <w:spacing w:val="6"/>
          <w:sz w:val="20"/>
          <w:szCs w:val="20"/>
        </w:rPr>
        <w:t>1.1.5.2</w:t>
      </w:r>
      <w:r>
        <w:rPr>
          <w:spacing w:val="-22"/>
          <w:sz w:val="20"/>
          <w:szCs w:val="20"/>
        </w:rPr>
        <w:t xml:space="preserve"> </w:t>
      </w:r>
      <w:r>
        <w:rPr>
          <w:spacing w:val="6"/>
          <w:sz w:val="20"/>
          <w:szCs w:val="20"/>
        </w:rPr>
        <w:t>合同价格：指承包人按合同约定完成了包</w:t>
      </w:r>
      <w:r>
        <w:rPr>
          <w:spacing w:val="5"/>
          <w:sz w:val="20"/>
          <w:szCs w:val="20"/>
        </w:rPr>
        <w:t>括缺陷责任期内的全部承包工作后，发包</w:t>
      </w:r>
      <w:r>
        <w:rPr>
          <w:sz w:val="20"/>
          <w:szCs w:val="20"/>
        </w:rPr>
        <w:t xml:space="preserve"> </w:t>
      </w:r>
      <w:r>
        <w:rPr>
          <w:spacing w:val="10"/>
          <w:sz w:val="20"/>
          <w:szCs w:val="20"/>
        </w:rPr>
        <w:t>人应付给承包人的金额，包括在履行合同过程中按合</w:t>
      </w:r>
      <w:r>
        <w:rPr>
          <w:spacing w:val="9"/>
          <w:sz w:val="20"/>
          <w:szCs w:val="20"/>
        </w:rPr>
        <w:t>同约定进行的变更和调整。</w:t>
      </w:r>
    </w:p>
    <w:p w14:paraId="13B433CA">
      <w:pPr>
        <w:pStyle w:val="2"/>
        <w:spacing w:before="163" w:line="290" w:lineRule="auto"/>
        <w:ind w:right="2" w:firstLine="719"/>
        <w:rPr>
          <w:sz w:val="20"/>
          <w:szCs w:val="20"/>
        </w:rPr>
      </w:pPr>
      <w:r>
        <w:rPr>
          <w:spacing w:val="5"/>
          <w:sz w:val="20"/>
          <w:szCs w:val="20"/>
        </w:rPr>
        <w:t>1.1.5.3 费用：指为履行合同所发生的或将要发生的所有合理开支，包括管理费和应分摊的</w:t>
      </w:r>
      <w:r>
        <w:rPr>
          <w:spacing w:val="4"/>
          <w:sz w:val="20"/>
          <w:szCs w:val="20"/>
        </w:rPr>
        <w:t xml:space="preserve"> </w:t>
      </w:r>
      <w:r>
        <w:rPr>
          <w:spacing w:val="7"/>
          <w:sz w:val="20"/>
          <w:szCs w:val="20"/>
        </w:rPr>
        <w:t>其他费用，但不包括利润。</w:t>
      </w:r>
    </w:p>
    <w:p w14:paraId="12841103">
      <w:pPr>
        <w:pStyle w:val="2"/>
        <w:spacing w:before="180" w:line="218" w:lineRule="auto"/>
        <w:ind w:right="4"/>
        <w:jc w:val="right"/>
        <w:rPr>
          <w:sz w:val="20"/>
          <w:szCs w:val="20"/>
        </w:rPr>
      </w:pPr>
      <w:r>
        <w:rPr>
          <w:spacing w:val="5"/>
          <w:sz w:val="20"/>
          <w:szCs w:val="20"/>
        </w:rPr>
        <w:t>1.1.5.4 暂列金额：指已标价工程量清单中所列的暂列金额，用于在签订协议书时尚未确定</w:t>
      </w:r>
    </w:p>
    <w:p w14:paraId="51E745EF">
      <w:pPr>
        <w:spacing w:line="218" w:lineRule="auto"/>
        <w:rPr>
          <w:sz w:val="20"/>
          <w:szCs w:val="20"/>
        </w:rPr>
        <w:sectPr>
          <w:footerReference r:id="rId114" w:type="default"/>
          <w:pgSz w:w="11910" w:h="16840"/>
          <w:pgMar w:top="400" w:right="1501" w:bottom="1024" w:left="1460" w:header="0" w:footer="889" w:gutter="0"/>
          <w:cols w:space="720" w:num="1"/>
        </w:sectPr>
      </w:pPr>
    </w:p>
    <w:p w14:paraId="15C052AD">
      <w:pPr>
        <w:spacing w:line="267" w:lineRule="auto"/>
        <w:rPr>
          <w:rFonts w:ascii="Arial"/>
          <w:sz w:val="21"/>
        </w:rPr>
      </w:pPr>
    </w:p>
    <w:p w14:paraId="7B7F43E4">
      <w:pPr>
        <w:spacing w:line="267" w:lineRule="auto"/>
        <w:rPr>
          <w:rFonts w:ascii="Arial"/>
          <w:sz w:val="21"/>
        </w:rPr>
      </w:pPr>
    </w:p>
    <w:p w14:paraId="590B5700">
      <w:pPr>
        <w:spacing w:line="267" w:lineRule="auto"/>
        <w:rPr>
          <w:rFonts w:ascii="Arial"/>
          <w:sz w:val="21"/>
        </w:rPr>
      </w:pPr>
    </w:p>
    <w:p w14:paraId="14871303">
      <w:pPr>
        <w:spacing w:line="268" w:lineRule="auto"/>
        <w:rPr>
          <w:rFonts w:ascii="Arial"/>
          <w:sz w:val="21"/>
        </w:rPr>
      </w:pPr>
    </w:p>
    <w:p w14:paraId="7586B1E0">
      <w:pPr>
        <w:spacing w:line="268" w:lineRule="auto"/>
        <w:rPr>
          <w:rFonts w:ascii="Arial"/>
          <w:sz w:val="21"/>
        </w:rPr>
      </w:pPr>
    </w:p>
    <w:p w14:paraId="2295BED8">
      <w:pPr>
        <w:pStyle w:val="2"/>
        <w:spacing w:before="72" w:line="219" w:lineRule="auto"/>
        <w:jc w:val="right"/>
        <w:rPr>
          <w:sz w:val="22"/>
          <w:szCs w:val="22"/>
        </w:rPr>
      </w:pPr>
      <w:r>
        <w:rPr>
          <w:spacing w:val="-11"/>
          <w:sz w:val="22"/>
          <w:szCs w:val="22"/>
        </w:rPr>
        <w:t>或不可预见变更的施工及其所需材料、工程设备、服务等的金额，包括以计日工方式支付的金额。</w:t>
      </w:r>
    </w:p>
    <w:p w14:paraId="7D821467">
      <w:pPr>
        <w:pStyle w:val="2"/>
        <w:spacing w:before="159" w:line="321" w:lineRule="auto"/>
        <w:ind w:right="53" w:firstLine="729"/>
        <w:rPr>
          <w:sz w:val="22"/>
          <w:szCs w:val="22"/>
        </w:rPr>
      </w:pPr>
      <w:r>
        <w:rPr>
          <w:spacing w:val="-11"/>
          <w:sz w:val="22"/>
          <w:szCs w:val="22"/>
        </w:rPr>
        <w:t>1.1.5.5暂估价：指发包人在工程量清单中给定的用于支付必然发生但暂时不能确定价</w:t>
      </w:r>
      <w:r>
        <w:rPr>
          <w:spacing w:val="-12"/>
          <w:sz w:val="22"/>
          <w:szCs w:val="22"/>
        </w:rPr>
        <w:t>格的</w:t>
      </w:r>
      <w:r>
        <w:rPr>
          <w:sz w:val="22"/>
          <w:szCs w:val="22"/>
        </w:rPr>
        <w:t xml:space="preserve"> </w:t>
      </w:r>
      <w:r>
        <w:rPr>
          <w:spacing w:val="-10"/>
          <w:sz w:val="22"/>
          <w:szCs w:val="22"/>
        </w:rPr>
        <w:t>材料、设备以及专业工程的金额。</w:t>
      </w:r>
    </w:p>
    <w:p w14:paraId="37D0F69A">
      <w:pPr>
        <w:pStyle w:val="2"/>
        <w:spacing w:before="4" w:line="384" w:lineRule="auto"/>
        <w:ind w:right="61" w:firstLine="729"/>
        <w:rPr>
          <w:sz w:val="17"/>
          <w:szCs w:val="17"/>
        </w:rPr>
      </w:pPr>
      <w:r>
        <w:rPr>
          <w:spacing w:val="-13"/>
          <w:sz w:val="22"/>
          <w:szCs w:val="22"/>
        </w:rPr>
        <w:t>1.1.5.6 计日工：指对零星工作采取的一种</w:t>
      </w:r>
      <w:r>
        <w:rPr>
          <w:spacing w:val="-14"/>
          <w:sz w:val="22"/>
          <w:szCs w:val="22"/>
        </w:rPr>
        <w:t>计价方式，按合同中的计日工子目及其单价计价</w:t>
      </w:r>
      <w:r>
        <w:rPr>
          <w:sz w:val="22"/>
          <w:szCs w:val="22"/>
        </w:rPr>
        <w:t xml:space="preserve"> </w:t>
      </w:r>
      <w:r>
        <w:rPr>
          <w:spacing w:val="-5"/>
          <w:sz w:val="17"/>
          <w:szCs w:val="17"/>
        </w:rPr>
        <w:t>付</w:t>
      </w:r>
      <w:r>
        <w:rPr>
          <w:spacing w:val="-20"/>
          <w:sz w:val="17"/>
          <w:szCs w:val="17"/>
        </w:rPr>
        <w:t xml:space="preserve"> </w:t>
      </w:r>
      <w:r>
        <w:rPr>
          <w:spacing w:val="-5"/>
          <w:sz w:val="17"/>
          <w:szCs w:val="17"/>
        </w:rPr>
        <w:t>款</w:t>
      </w:r>
      <w:r>
        <w:rPr>
          <w:spacing w:val="-27"/>
          <w:sz w:val="17"/>
          <w:szCs w:val="17"/>
        </w:rPr>
        <w:t xml:space="preserve"> </w:t>
      </w:r>
      <w:r>
        <w:rPr>
          <w:spacing w:val="-5"/>
          <w:sz w:val="17"/>
          <w:szCs w:val="17"/>
        </w:rPr>
        <w:t>。</w:t>
      </w:r>
    </w:p>
    <w:p w14:paraId="5BCC6337">
      <w:pPr>
        <w:pStyle w:val="2"/>
        <w:spacing w:line="329" w:lineRule="auto"/>
        <w:ind w:right="41" w:firstLine="729"/>
        <w:rPr>
          <w:sz w:val="22"/>
          <w:szCs w:val="22"/>
        </w:rPr>
      </w:pPr>
      <w:r>
        <w:rPr>
          <w:spacing w:val="-5"/>
          <w:sz w:val="22"/>
          <w:szCs w:val="22"/>
        </w:rPr>
        <w:t>1.1.5.7 质量保证金(或称保留金):指按第17.4.1项约定用于保证在缺</w:t>
      </w:r>
      <w:r>
        <w:rPr>
          <w:spacing w:val="-6"/>
          <w:sz w:val="22"/>
          <w:szCs w:val="22"/>
        </w:rPr>
        <w:t>陷责任期内履行缺</w:t>
      </w:r>
      <w:r>
        <w:rPr>
          <w:sz w:val="22"/>
          <w:szCs w:val="22"/>
        </w:rPr>
        <w:t xml:space="preserve"> </w:t>
      </w:r>
      <w:r>
        <w:rPr>
          <w:spacing w:val="-12"/>
          <w:sz w:val="22"/>
          <w:szCs w:val="22"/>
        </w:rPr>
        <w:t>陷修复义务的金额。</w:t>
      </w:r>
    </w:p>
    <w:p w14:paraId="38EB7354">
      <w:pPr>
        <w:pStyle w:val="2"/>
        <w:spacing w:before="12" w:line="222" w:lineRule="auto"/>
        <w:ind w:left="422"/>
        <w:rPr>
          <w:rFonts w:ascii="黑体" w:hAnsi="黑体" w:eastAsia="黑体" w:cs="黑体"/>
          <w:sz w:val="22"/>
          <w:szCs w:val="22"/>
        </w:rPr>
      </w:pPr>
      <w:r>
        <w:rPr>
          <w:b/>
          <w:bCs/>
          <w:spacing w:val="-19"/>
          <w:sz w:val="22"/>
          <w:szCs w:val="22"/>
        </w:rPr>
        <w:t>1.1.6</w:t>
      </w:r>
      <w:r>
        <w:rPr>
          <w:spacing w:val="-19"/>
          <w:sz w:val="22"/>
          <w:szCs w:val="22"/>
        </w:rPr>
        <w:t xml:space="preserve"> </w:t>
      </w:r>
      <w:r>
        <w:rPr>
          <w:rFonts w:ascii="黑体" w:hAnsi="黑体" w:eastAsia="黑体" w:cs="黑体"/>
          <w:b/>
          <w:bCs/>
          <w:spacing w:val="-19"/>
          <w:sz w:val="22"/>
          <w:szCs w:val="22"/>
        </w:rPr>
        <w:t>其他</w:t>
      </w:r>
    </w:p>
    <w:p w14:paraId="2E77BD1C">
      <w:pPr>
        <w:pStyle w:val="2"/>
        <w:spacing w:before="137" w:line="219" w:lineRule="auto"/>
        <w:ind w:left="729"/>
        <w:rPr>
          <w:sz w:val="22"/>
          <w:szCs w:val="22"/>
        </w:rPr>
      </w:pPr>
      <w:r>
        <w:rPr>
          <w:rFonts w:ascii="Times New Roman" w:hAnsi="Times New Roman" w:eastAsia="Times New Roman" w:cs="Times New Roman"/>
          <w:b/>
          <w:bCs/>
          <w:spacing w:val="-8"/>
          <w:sz w:val="22"/>
          <w:szCs w:val="22"/>
        </w:rPr>
        <w:t>1.1.6.1</w:t>
      </w:r>
      <w:r>
        <w:rPr>
          <w:rFonts w:ascii="Times New Roman" w:hAnsi="Times New Roman" w:eastAsia="Times New Roman" w:cs="Times New Roman"/>
          <w:b/>
          <w:bCs/>
          <w:spacing w:val="34"/>
          <w:w w:val="101"/>
          <w:sz w:val="22"/>
          <w:szCs w:val="22"/>
        </w:rPr>
        <w:t xml:space="preserve"> </w:t>
      </w:r>
      <w:r>
        <w:rPr>
          <w:spacing w:val="-8"/>
          <w:sz w:val="22"/>
          <w:szCs w:val="22"/>
        </w:rPr>
        <w:t>书面形式：指合同文件、信函、电报、传真等可以有形地</w:t>
      </w:r>
      <w:r>
        <w:rPr>
          <w:spacing w:val="-9"/>
          <w:sz w:val="22"/>
          <w:szCs w:val="22"/>
        </w:rPr>
        <w:t>表现所载内容的形式。</w:t>
      </w:r>
    </w:p>
    <w:p w14:paraId="30F5E2DE">
      <w:pPr>
        <w:pStyle w:val="2"/>
        <w:spacing w:before="146" w:line="222" w:lineRule="auto"/>
        <w:ind w:left="3"/>
        <w:rPr>
          <w:rFonts w:ascii="黑体" w:hAnsi="黑体" w:eastAsia="黑体" w:cs="黑体"/>
          <w:sz w:val="22"/>
          <w:szCs w:val="22"/>
        </w:rPr>
      </w:pPr>
      <w:r>
        <w:rPr>
          <w:b/>
          <w:bCs/>
          <w:spacing w:val="3"/>
          <w:sz w:val="22"/>
          <w:szCs w:val="22"/>
        </w:rPr>
        <w:t>1.2</w:t>
      </w:r>
      <w:r>
        <w:rPr>
          <w:spacing w:val="3"/>
          <w:sz w:val="22"/>
          <w:szCs w:val="22"/>
        </w:rPr>
        <w:t xml:space="preserve"> </w:t>
      </w:r>
      <w:r>
        <w:rPr>
          <w:rFonts w:ascii="黑体" w:hAnsi="黑体" w:eastAsia="黑体" w:cs="黑体"/>
          <w:b/>
          <w:bCs/>
          <w:spacing w:val="3"/>
          <w:sz w:val="22"/>
          <w:szCs w:val="22"/>
        </w:rPr>
        <w:t>语言文字</w:t>
      </w:r>
    </w:p>
    <w:p w14:paraId="3B9C91D9">
      <w:pPr>
        <w:pStyle w:val="2"/>
        <w:spacing w:before="129" w:line="219" w:lineRule="auto"/>
        <w:ind w:left="419"/>
        <w:rPr>
          <w:sz w:val="22"/>
          <w:szCs w:val="22"/>
        </w:rPr>
      </w:pPr>
      <w:r>
        <w:rPr>
          <w:spacing w:val="-10"/>
          <w:sz w:val="22"/>
          <w:szCs w:val="22"/>
        </w:rPr>
        <w:t>除专用术语外，合同使用的语言文字为中文。必要时专用术语应附有中文注释。</w:t>
      </w:r>
    </w:p>
    <w:p w14:paraId="7F80137C">
      <w:pPr>
        <w:pStyle w:val="2"/>
        <w:spacing w:before="147" w:line="222" w:lineRule="auto"/>
        <w:ind w:left="3"/>
        <w:rPr>
          <w:rFonts w:ascii="黑体" w:hAnsi="黑体" w:eastAsia="黑体" w:cs="黑体"/>
          <w:sz w:val="22"/>
          <w:szCs w:val="22"/>
        </w:rPr>
      </w:pPr>
      <w:r>
        <w:rPr>
          <w:b/>
          <w:bCs/>
          <w:spacing w:val="-1"/>
          <w:sz w:val="22"/>
          <w:szCs w:val="22"/>
        </w:rPr>
        <w:t>1.3</w:t>
      </w:r>
      <w:r>
        <w:rPr>
          <w:spacing w:val="-14"/>
          <w:sz w:val="22"/>
          <w:szCs w:val="22"/>
        </w:rPr>
        <w:t xml:space="preserve"> </w:t>
      </w:r>
      <w:r>
        <w:rPr>
          <w:rFonts w:ascii="黑体" w:hAnsi="黑体" w:eastAsia="黑体" w:cs="黑体"/>
          <w:b/>
          <w:bCs/>
          <w:spacing w:val="-1"/>
          <w:sz w:val="22"/>
          <w:szCs w:val="22"/>
        </w:rPr>
        <w:t>法律</w:t>
      </w:r>
    </w:p>
    <w:p w14:paraId="51B9BEB4">
      <w:pPr>
        <w:pStyle w:val="2"/>
        <w:spacing w:before="116" w:line="347" w:lineRule="auto"/>
        <w:ind w:right="101" w:firstLine="419"/>
        <w:rPr>
          <w:sz w:val="22"/>
          <w:szCs w:val="22"/>
        </w:rPr>
      </w:pPr>
      <w:r>
        <w:rPr>
          <w:spacing w:val="-8"/>
          <w:sz w:val="22"/>
          <w:szCs w:val="22"/>
        </w:rPr>
        <w:t>适用于合同的法律包括中华人民共和国法律、行政法规、部门规章，以及工程所在地</w:t>
      </w:r>
      <w:r>
        <w:rPr>
          <w:spacing w:val="-9"/>
          <w:sz w:val="22"/>
          <w:szCs w:val="22"/>
        </w:rPr>
        <w:t>的地方</w:t>
      </w:r>
      <w:r>
        <w:rPr>
          <w:sz w:val="22"/>
          <w:szCs w:val="22"/>
        </w:rPr>
        <w:t xml:space="preserve"> </w:t>
      </w:r>
      <w:r>
        <w:rPr>
          <w:spacing w:val="-11"/>
          <w:sz w:val="22"/>
          <w:szCs w:val="22"/>
        </w:rPr>
        <w:t>法规、自治条例、单行条例和地方政府规章。</w:t>
      </w:r>
    </w:p>
    <w:p w14:paraId="242BC902">
      <w:pPr>
        <w:spacing w:before="1" w:line="220" w:lineRule="auto"/>
        <w:ind w:left="3"/>
        <w:rPr>
          <w:rFonts w:ascii="黑体" w:hAnsi="黑体" w:eastAsia="黑体" w:cs="黑体"/>
          <w:sz w:val="22"/>
          <w:szCs w:val="22"/>
        </w:rPr>
      </w:pPr>
      <w:r>
        <w:rPr>
          <w:rFonts w:ascii="黑体" w:hAnsi="黑体" w:eastAsia="黑体" w:cs="黑体"/>
          <w:b/>
          <w:bCs/>
          <w:spacing w:val="19"/>
          <w:sz w:val="22"/>
          <w:szCs w:val="22"/>
        </w:rPr>
        <w:t>1.4合同文件的优先顺序</w:t>
      </w:r>
    </w:p>
    <w:p w14:paraId="3CAB7824">
      <w:pPr>
        <w:pStyle w:val="2"/>
        <w:spacing w:before="111" w:line="344" w:lineRule="auto"/>
        <w:ind w:right="93" w:firstLine="419"/>
        <w:rPr>
          <w:sz w:val="22"/>
          <w:szCs w:val="22"/>
        </w:rPr>
      </w:pPr>
      <w:r>
        <w:rPr>
          <w:spacing w:val="-8"/>
          <w:sz w:val="22"/>
          <w:szCs w:val="22"/>
        </w:rPr>
        <w:t>组成合同的各项文件应互相解释，互为说明。除专用合同条款另有约定外，解释合同文件的</w:t>
      </w:r>
      <w:r>
        <w:rPr>
          <w:spacing w:val="5"/>
          <w:sz w:val="22"/>
          <w:szCs w:val="22"/>
        </w:rPr>
        <w:t xml:space="preserve"> </w:t>
      </w:r>
      <w:r>
        <w:rPr>
          <w:spacing w:val="-13"/>
          <w:sz w:val="22"/>
          <w:szCs w:val="22"/>
        </w:rPr>
        <w:t>优先顺序如下：</w:t>
      </w:r>
    </w:p>
    <w:p w14:paraId="52482C36">
      <w:pPr>
        <w:pStyle w:val="2"/>
        <w:spacing w:before="1" w:line="218" w:lineRule="auto"/>
        <w:ind w:left="459"/>
        <w:rPr>
          <w:sz w:val="22"/>
          <w:szCs w:val="22"/>
        </w:rPr>
      </w:pPr>
      <w:r>
        <w:rPr>
          <w:spacing w:val="-1"/>
          <w:sz w:val="22"/>
          <w:szCs w:val="22"/>
        </w:rPr>
        <w:t>(1)合同协议书；</w:t>
      </w:r>
    </w:p>
    <w:p w14:paraId="76A6BE42">
      <w:pPr>
        <w:pStyle w:val="2"/>
        <w:spacing w:before="119" w:line="219" w:lineRule="auto"/>
        <w:ind w:left="459"/>
        <w:rPr>
          <w:sz w:val="22"/>
          <w:szCs w:val="22"/>
        </w:rPr>
      </w:pPr>
      <w:r>
        <w:rPr>
          <w:spacing w:val="-1"/>
          <w:sz w:val="22"/>
          <w:szCs w:val="22"/>
        </w:rPr>
        <w:t>(2)中标通知书；</w:t>
      </w:r>
    </w:p>
    <w:p w14:paraId="6C98FCF4">
      <w:pPr>
        <w:pStyle w:val="2"/>
        <w:spacing w:before="159" w:line="219" w:lineRule="auto"/>
        <w:ind w:left="459"/>
        <w:rPr>
          <w:sz w:val="22"/>
          <w:szCs w:val="22"/>
        </w:rPr>
      </w:pPr>
      <w:r>
        <w:rPr>
          <w:spacing w:val="-4"/>
          <w:sz w:val="22"/>
          <w:szCs w:val="22"/>
        </w:rPr>
        <w:t>(3)投标函及投标函附录；</w:t>
      </w:r>
    </w:p>
    <w:p w14:paraId="42107DD2">
      <w:pPr>
        <w:pStyle w:val="2"/>
        <w:spacing w:before="151" w:line="219" w:lineRule="auto"/>
        <w:ind w:left="459"/>
        <w:rPr>
          <w:sz w:val="22"/>
          <w:szCs w:val="22"/>
        </w:rPr>
      </w:pPr>
      <w:r>
        <w:rPr>
          <w:spacing w:val="-1"/>
          <w:sz w:val="22"/>
          <w:szCs w:val="22"/>
        </w:rPr>
        <w:t>(4)专用合同条款；</w:t>
      </w:r>
    </w:p>
    <w:p w14:paraId="35BBD22C">
      <w:pPr>
        <w:pStyle w:val="2"/>
        <w:spacing w:before="109" w:line="219" w:lineRule="auto"/>
        <w:ind w:left="459"/>
        <w:rPr>
          <w:sz w:val="22"/>
          <w:szCs w:val="22"/>
        </w:rPr>
      </w:pPr>
      <w:r>
        <w:rPr>
          <w:spacing w:val="-1"/>
          <w:sz w:val="22"/>
          <w:szCs w:val="22"/>
        </w:rPr>
        <w:t>(5)通用合同条款；</w:t>
      </w:r>
    </w:p>
    <w:p w14:paraId="273174FE">
      <w:pPr>
        <w:pStyle w:val="2"/>
        <w:spacing w:before="159" w:line="219" w:lineRule="auto"/>
        <w:ind w:left="459"/>
        <w:rPr>
          <w:sz w:val="22"/>
          <w:szCs w:val="22"/>
        </w:rPr>
      </w:pPr>
      <w:r>
        <w:rPr>
          <w:spacing w:val="-2"/>
          <w:sz w:val="22"/>
          <w:szCs w:val="22"/>
        </w:rPr>
        <w:t>(6)技术标准和要求；</w:t>
      </w:r>
    </w:p>
    <w:p w14:paraId="260B243F">
      <w:pPr>
        <w:pStyle w:val="2"/>
        <w:spacing w:before="140" w:line="221" w:lineRule="auto"/>
        <w:ind w:left="459"/>
        <w:rPr>
          <w:sz w:val="22"/>
          <w:szCs w:val="22"/>
        </w:rPr>
      </w:pPr>
      <w:r>
        <w:rPr>
          <w:spacing w:val="3"/>
          <w:sz w:val="22"/>
          <w:szCs w:val="22"/>
        </w:rPr>
        <w:t>(7)图纸；</w:t>
      </w:r>
    </w:p>
    <w:p w14:paraId="50673D8D">
      <w:pPr>
        <w:pStyle w:val="2"/>
        <w:spacing w:before="133" w:line="218" w:lineRule="auto"/>
        <w:ind w:left="459"/>
        <w:rPr>
          <w:sz w:val="22"/>
          <w:szCs w:val="22"/>
        </w:rPr>
      </w:pPr>
      <w:r>
        <w:rPr>
          <w:spacing w:val="-4"/>
          <w:sz w:val="22"/>
          <w:szCs w:val="22"/>
        </w:rPr>
        <w:t>(8)已标价工程量清单；</w:t>
      </w:r>
    </w:p>
    <w:p w14:paraId="7B16DBA0">
      <w:pPr>
        <w:pStyle w:val="2"/>
        <w:spacing w:before="133" w:line="219" w:lineRule="auto"/>
        <w:ind w:left="459"/>
        <w:rPr>
          <w:sz w:val="22"/>
          <w:szCs w:val="22"/>
        </w:rPr>
      </w:pPr>
      <w:r>
        <w:rPr>
          <w:spacing w:val="-1"/>
          <w:sz w:val="22"/>
          <w:szCs w:val="22"/>
        </w:rPr>
        <w:t>(9)其他合同文件。</w:t>
      </w:r>
    </w:p>
    <w:p w14:paraId="77163639">
      <w:pPr>
        <w:pStyle w:val="2"/>
        <w:spacing w:before="154" w:line="222" w:lineRule="auto"/>
        <w:ind w:left="3"/>
        <w:rPr>
          <w:rFonts w:ascii="黑体" w:hAnsi="黑体" w:eastAsia="黑体" w:cs="黑体"/>
          <w:sz w:val="22"/>
          <w:szCs w:val="22"/>
        </w:rPr>
      </w:pPr>
      <w:r>
        <w:rPr>
          <w:b/>
          <w:bCs/>
          <w:spacing w:val="6"/>
          <w:sz w:val="22"/>
          <w:szCs w:val="22"/>
        </w:rPr>
        <w:t>1.5</w:t>
      </w:r>
      <w:r>
        <w:rPr>
          <w:spacing w:val="6"/>
          <w:sz w:val="22"/>
          <w:szCs w:val="22"/>
        </w:rPr>
        <w:t xml:space="preserve"> </w:t>
      </w:r>
      <w:r>
        <w:rPr>
          <w:rFonts w:ascii="黑体" w:hAnsi="黑体" w:eastAsia="黑体" w:cs="黑体"/>
          <w:b/>
          <w:bCs/>
          <w:spacing w:val="6"/>
          <w:sz w:val="22"/>
          <w:szCs w:val="22"/>
        </w:rPr>
        <w:t>合同协议书</w:t>
      </w:r>
    </w:p>
    <w:p w14:paraId="0A3225E9">
      <w:pPr>
        <w:pStyle w:val="2"/>
        <w:spacing w:before="118" w:line="343" w:lineRule="auto"/>
        <w:ind w:firstLine="419"/>
        <w:rPr>
          <w:sz w:val="22"/>
          <w:szCs w:val="22"/>
        </w:rPr>
      </w:pPr>
      <w:r>
        <w:rPr>
          <w:spacing w:val="-8"/>
          <w:sz w:val="22"/>
          <w:szCs w:val="22"/>
        </w:rPr>
        <w:t>承包人按中标通知书规定的时间与发包人签订合同协议书。除法律另有规定或合同另有约定</w:t>
      </w:r>
      <w:r>
        <w:rPr>
          <w:spacing w:val="1"/>
          <w:sz w:val="22"/>
          <w:szCs w:val="22"/>
        </w:rPr>
        <w:t xml:space="preserve">  </w:t>
      </w:r>
      <w:r>
        <w:rPr>
          <w:spacing w:val="-11"/>
          <w:sz w:val="22"/>
          <w:szCs w:val="22"/>
        </w:rPr>
        <w:t>外，发包人和承包人的法定代表人或其委托代理人在合同协议书上签字并盖单位章后，合同生效。</w:t>
      </w:r>
    </w:p>
    <w:p w14:paraId="1854F161">
      <w:pPr>
        <w:pStyle w:val="2"/>
        <w:spacing w:before="1" w:line="221" w:lineRule="auto"/>
        <w:ind w:left="2"/>
        <w:rPr>
          <w:rFonts w:ascii="黑体" w:hAnsi="黑体" w:eastAsia="黑体" w:cs="黑体"/>
          <w:sz w:val="22"/>
          <w:szCs w:val="22"/>
        </w:rPr>
      </w:pPr>
      <w:r>
        <w:rPr>
          <w:b/>
          <w:bCs/>
          <w:spacing w:val="9"/>
          <w:sz w:val="22"/>
          <w:szCs w:val="22"/>
        </w:rPr>
        <w:t>1.6</w:t>
      </w:r>
      <w:r>
        <w:rPr>
          <w:spacing w:val="9"/>
          <w:sz w:val="22"/>
          <w:szCs w:val="22"/>
        </w:rPr>
        <w:t xml:space="preserve"> </w:t>
      </w:r>
      <w:r>
        <w:rPr>
          <w:rFonts w:ascii="黑体" w:hAnsi="黑体" w:eastAsia="黑体" w:cs="黑体"/>
          <w:b/>
          <w:bCs/>
          <w:spacing w:val="9"/>
          <w:sz w:val="22"/>
          <w:szCs w:val="22"/>
        </w:rPr>
        <w:t>图纸和承包人文件</w:t>
      </w:r>
    </w:p>
    <w:p w14:paraId="3A729AF8">
      <w:pPr>
        <w:spacing w:before="127" w:line="222" w:lineRule="auto"/>
        <w:ind w:left="422"/>
        <w:rPr>
          <w:rFonts w:ascii="黑体" w:hAnsi="黑体" w:eastAsia="黑体" w:cs="黑体"/>
          <w:sz w:val="22"/>
          <w:szCs w:val="22"/>
        </w:rPr>
      </w:pPr>
      <w:r>
        <w:rPr>
          <w:rFonts w:ascii="黑体" w:hAnsi="黑体" w:eastAsia="黑体" w:cs="黑体"/>
          <w:b/>
          <w:bCs/>
          <w:spacing w:val="-12"/>
          <w:sz w:val="22"/>
          <w:szCs w:val="22"/>
        </w:rPr>
        <w:t>1.6.1图纸的提供</w:t>
      </w:r>
    </w:p>
    <w:p w14:paraId="2DDB9E48">
      <w:pPr>
        <w:pStyle w:val="2"/>
        <w:spacing w:before="127" w:line="346" w:lineRule="auto"/>
        <w:ind w:right="85" w:firstLine="419"/>
        <w:rPr>
          <w:sz w:val="22"/>
          <w:szCs w:val="22"/>
        </w:rPr>
      </w:pPr>
      <w:r>
        <w:rPr>
          <w:spacing w:val="-8"/>
          <w:sz w:val="22"/>
          <w:szCs w:val="22"/>
        </w:rPr>
        <w:t>除专用合同条款另有约定外，图纸应在合理的期限内按照合同约定的数量提供给承包人。由</w:t>
      </w:r>
      <w:r>
        <w:rPr>
          <w:spacing w:val="13"/>
          <w:sz w:val="22"/>
          <w:szCs w:val="22"/>
        </w:rPr>
        <w:t xml:space="preserve"> </w:t>
      </w:r>
      <w:r>
        <w:rPr>
          <w:spacing w:val="-7"/>
          <w:sz w:val="22"/>
          <w:szCs w:val="22"/>
        </w:rPr>
        <w:t>于发包人未按时提供图纸造成工期延误的，按第11.3款的</w:t>
      </w:r>
      <w:r>
        <w:rPr>
          <w:spacing w:val="-8"/>
          <w:sz w:val="22"/>
          <w:szCs w:val="22"/>
        </w:rPr>
        <w:t>约定办理。</w:t>
      </w:r>
    </w:p>
    <w:p w14:paraId="689A8277">
      <w:pPr>
        <w:spacing w:line="346" w:lineRule="auto"/>
        <w:rPr>
          <w:sz w:val="22"/>
          <w:szCs w:val="22"/>
        </w:rPr>
        <w:sectPr>
          <w:footerReference r:id="rId115" w:type="default"/>
          <w:pgSz w:w="11910" w:h="16840"/>
          <w:pgMar w:top="400" w:right="1449" w:bottom="1024" w:left="1460" w:header="0" w:footer="889" w:gutter="0"/>
          <w:cols w:space="720" w:num="1"/>
        </w:sectPr>
      </w:pPr>
    </w:p>
    <w:p w14:paraId="3E642240">
      <w:pPr>
        <w:spacing w:line="272" w:lineRule="auto"/>
        <w:rPr>
          <w:rFonts w:ascii="Arial"/>
          <w:sz w:val="21"/>
        </w:rPr>
      </w:pPr>
    </w:p>
    <w:p w14:paraId="2D329985">
      <w:pPr>
        <w:spacing w:line="272" w:lineRule="auto"/>
        <w:rPr>
          <w:rFonts w:ascii="Arial"/>
          <w:sz w:val="21"/>
        </w:rPr>
      </w:pPr>
    </w:p>
    <w:p w14:paraId="21808867">
      <w:pPr>
        <w:spacing w:line="272" w:lineRule="auto"/>
        <w:rPr>
          <w:rFonts w:ascii="Arial"/>
          <w:sz w:val="21"/>
        </w:rPr>
      </w:pPr>
    </w:p>
    <w:p w14:paraId="33CEEC35">
      <w:pPr>
        <w:spacing w:line="272" w:lineRule="auto"/>
        <w:rPr>
          <w:rFonts w:ascii="Arial"/>
          <w:sz w:val="21"/>
        </w:rPr>
      </w:pPr>
    </w:p>
    <w:p w14:paraId="3348A8E3">
      <w:pPr>
        <w:spacing w:line="272" w:lineRule="auto"/>
        <w:rPr>
          <w:rFonts w:ascii="Arial"/>
          <w:sz w:val="21"/>
        </w:rPr>
      </w:pPr>
    </w:p>
    <w:p w14:paraId="21994F11">
      <w:pPr>
        <w:spacing w:before="65" w:line="222" w:lineRule="auto"/>
        <w:ind w:left="432"/>
        <w:rPr>
          <w:rFonts w:ascii="黑体" w:hAnsi="黑体" w:eastAsia="黑体" w:cs="黑体"/>
          <w:sz w:val="20"/>
          <w:szCs w:val="20"/>
        </w:rPr>
      </w:pPr>
      <w:r>
        <w:rPr>
          <w:rFonts w:ascii="黑体" w:hAnsi="黑体" w:eastAsia="黑体" w:cs="黑体"/>
          <w:b/>
          <w:bCs/>
          <w:spacing w:val="5"/>
          <w:sz w:val="20"/>
          <w:szCs w:val="20"/>
        </w:rPr>
        <w:t>1.6.2承包人提供的文件</w:t>
      </w:r>
    </w:p>
    <w:p w14:paraId="6CCBD5B4">
      <w:pPr>
        <w:pStyle w:val="2"/>
        <w:spacing w:before="183" w:line="353" w:lineRule="auto"/>
        <w:ind w:right="47" w:firstLine="429"/>
        <w:rPr>
          <w:sz w:val="20"/>
          <w:szCs w:val="20"/>
        </w:rPr>
      </w:pPr>
      <w:r>
        <w:rPr>
          <w:spacing w:val="12"/>
          <w:sz w:val="20"/>
          <w:szCs w:val="20"/>
        </w:rPr>
        <w:t>按专用合同条款约定由承包人提供的文件，包括部分工程的大样图、加工图等，承包人应按</w:t>
      </w:r>
      <w:r>
        <w:rPr>
          <w:sz w:val="20"/>
          <w:szCs w:val="20"/>
        </w:rPr>
        <w:t xml:space="preserve"> </w:t>
      </w:r>
      <w:r>
        <w:rPr>
          <w:spacing w:val="10"/>
          <w:sz w:val="20"/>
          <w:szCs w:val="20"/>
        </w:rPr>
        <w:t>约定的数量和期限报送监理人。监理人应在专用合</w:t>
      </w:r>
      <w:r>
        <w:rPr>
          <w:spacing w:val="9"/>
          <w:sz w:val="20"/>
          <w:szCs w:val="20"/>
        </w:rPr>
        <w:t>同条款约定的期限内批复。</w:t>
      </w:r>
    </w:p>
    <w:p w14:paraId="6B6DDF04">
      <w:pPr>
        <w:spacing w:before="11" w:line="222" w:lineRule="auto"/>
        <w:ind w:left="432"/>
        <w:rPr>
          <w:rFonts w:ascii="黑体" w:hAnsi="黑体" w:eastAsia="黑体" w:cs="黑体"/>
          <w:sz w:val="20"/>
          <w:szCs w:val="20"/>
        </w:rPr>
      </w:pPr>
      <w:r>
        <w:rPr>
          <w:rFonts w:ascii="黑体" w:hAnsi="黑体" w:eastAsia="黑体" w:cs="黑体"/>
          <w:b/>
          <w:bCs/>
          <w:spacing w:val="4"/>
          <w:sz w:val="20"/>
          <w:szCs w:val="20"/>
        </w:rPr>
        <w:t>1.6.3图纸的修改</w:t>
      </w:r>
    </w:p>
    <w:p w14:paraId="71288C3E">
      <w:pPr>
        <w:pStyle w:val="2"/>
        <w:spacing w:before="162" w:line="363" w:lineRule="auto"/>
        <w:ind w:right="42" w:firstLine="429"/>
        <w:jc w:val="both"/>
        <w:rPr>
          <w:sz w:val="20"/>
          <w:szCs w:val="20"/>
        </w:rPr>
      </w:pPr>
      <w:r>
        <w:rPr>
          <w:spacing w:val="12"/>
          <w:sz w:val="20"/>
          <w:szCs w:val="20"/>
        </w:rPr>
        <w:t>图纸需要修改和补充的，应由监理人取得发包人同意后，在该工程或工程相应部位施工前的</w:t>
      </w:r>
      <w:r>
        <w:rPr>
          <w:spacing w:val="4"/>
          <w:sz w:val="20"/>
          <w:szCs w:val="20"/>
        </w:rPr>
        <w:t xml:space="preserve"> </w:t>
      </w:r>
      <w:r>
        <w:rPr>
          <w:spacing w:val="12"/>
          <w:sz w:val="20"/>
          <w:szCs w:val="20"/>
        </w:rPr>
        <w:t>合理期限内签发图纸修改图给承包人，具体签发期限在专用合同条款中</w:t>
      </w:r>
      <w:r>
        <w:rPr>
          <w:spacing w:val="11"/>
          <w:sz w:val="20"/>
          <w:szCs w:val="20"/>
        </w:rPr>
        <w:t>约定。承包人应按修改后</w:t>
      </w:r>
      <w:r>
        <w:rPr>
          <w:sz w:val="20"/>
          <w:szCs w:val="20"/>
        </w:rPr>
        <w:t xml:space="preserve"> </w:t>
      </w:r>
      <w:r>
        <w:rPr>
          <w:spacing w:val="3"/>
          <w:sz w:val="20"/>
          <w:szCs w:val="20"/>
        </w:rPr>
        <w:t>的图纸施工。</w:t>
      </w:r>
    </w:p>
    <w:p w14:paraId="4BB62885">
      <w:pPr>
        <w:spacing w:before="27" w:line="222" w:lineRule="auto"/>
        <w:ind w:left="432"/>
        <w:rPr>
          <w:rFonts w:ascii="黑体" w:hAnsi="黑体" w:eastAsia="黑体" w:cs="黑体"/>
          <w:sz w:val="20"/>
          <w:szCs w:val="20"/>
        </w:rPr>
      </w:pPr>
      <w:r>
        <w:rPr>
          <w:rFonts w:ascii="黑体" w:hAnsi="黑体" w:eastAsia="黑体" w:cs="黑体"/>
          <w:b/>
          <w:bCs/>
          <w:spacing w:val="4"/>
          <w:sz w:val="20"/>
          <w:szCs w:val="20"/>
        </w:rPr>
        <w:t>1.6.4图纸的错误</w:t>
      </w:r>
    </w:p>
    <w:p w14:paraId="4D47C65B">
      <w:pPr>
        <w:pStyle w:val="2"/>
        <w:spacing w:before="152" w:line="219" w:lineRule="auto"/>
        <w:ind w:left="429"/>
        <w:rPr>
          <w:sz w:val="20"/>
          <w:szCs w:val="20"/>
        </w:rPr>
      </w:pPr>
      <w:r>
        <w:rPr>
          <w:spacing w:val="9"/>
          <w:sz w:val="20"/>
          <w:szCs w:val="20"/>
        </w:rPr>
        <w:t>承包人发现发包人提供的图纸存在明显错误或疏忽，应及时通知监理人。</w:t>
      </w:r>
    </w:p>
    <w:p w14:paraId="06EE61B1">
      <w:pPr>
        <w:spacing w:before="160" w:line="222" w:lineRule="auto"/>
        <w:ind w:left="432"/>
        <w:rPr>
          <w:rFonts w:ascii="黑体" w:hAnsi="黑体" w:eastAsia="黑体" w:cs="黑体"/>
          <w:sz w:val="20"/>
          <w:szCs w:val="20"/>
        </w:rPr>
      </w:pPr>
      <w:r>
        <w:rPr>
          <w:rFonts w:ascii="黑体" w:hAnsi="黑体" w:eastAsia="黑体" w:cs="黑体"/>
          <w:b/>
          <w:bCs/>
          <w:spacing w:val="6"/>
          <w:sz w:val="20"/>
          <w:szCs w:val="20"/>
        </w:rPr>
        <w:t>1.6.5图纸和承包人文件的保管</w:t>
      </w:r>
    </w:p>
    <w:p w14:paraId="7DB82F65">
      <w:pPr>
        <w:pStyle w:val="2"/>
        <w:spacing w:before="162" w:line="345" w:lineRule="auto"/>
        <w:ind w:firstLine="429"/>
        <w:rPr>
          <w:sz w:val="20"/>
          <w:szCs w:val="20"/>
        </w:rPr>
      </w:pPr>
      <w:r>
        <w:rPr>
          <w:spacing w:val="9"/>
          <w:sz w:val="20"/>
          <w:szCs w:val="20"/>
        </w:rPr>
        <w:t>监理人和承包人均应在施工场地各保存一套完整的包含第1.6.1项、第1.6.2项、第1.</w:t>
      </w:r>
      <w:r>
        <w:rPr>
          <w:spacing w:val="8"/>
          <w:sz w:val="20"/>
          <w:szCs w:val="20"/>
        </w:rPr>
        <w:t>6.3项约</w:t>
      </w:r>
      <w:r>
        <w:rPr>
          <w:sz w:val="20"/>
          <w:szCs w:val="20"/>
        </w:rPr>
        <w:t xml:space="preserve"> </w:t>
      </w:r>
      <w:r>
        <w:rPr>
          <w:spacing w:val="6"/>
          <w:sz w:val="20"/>
          <w:szCs w:val="20"/>
        </w:rPr>
        <w:t>定内容的图纸和承包人文件。</w:t>
      </w:r>
    </w:p>
    <w:p w14:paraId="747F5E3D">
      <w:pPr>
        <w:pStyle w:val="2"/>
        <w:spacing w:before="2" w:line="220" w:lineRule="auto"/>
        <w:ind w:left="3"/>
        <w:rPr>
          <w:rFonts w:ascii="黑体" w:hAnsi="黑体" w:eastAsia="黑体" w:cs="黑体"/>
        </w:rPr>
      </w:pPr>
      <w:r>
        <w:rPr>
          <w:b/>
          <w:bCs/>
          <w:spacing w:val="-20"/>
        </w:rPr>
        <w:t>1.7</w:t>
      </w:r>
      <w:r>
        <w:rPr>
          <w:spacing w:val="-20"/>
        </w:rPr>
        <w:t xml:space="preserve"> </w:t>
      </w:r>
      <w:r>
        <w:rPr>
          <w:rFonts w:ascii="黑体" w:hAnsi="黑体" w:eastAsia="黑体" w:cs="黑体"/>
          <w:b/>
          <w:bCs/>
          <w:spacing w:val="-20"/>
        </w:rPr>
        <w:t>联络</w:t>
      </w:r>
    </w:p>
    <w:p w14:paraId="400E6DBC">
      <w:pPr>
        <w:pStyle w:val="2"/>
        <w:spacing w:before="173" w:line="355" w:lineRule="auto"/>
        <w:ind w:right="7" w:firstLine="429"/>
        <w:rPr>
          <w:sz w:val="20"/>
          <w:szCs w:val="20"/>
        </w:rPr>
      </w:pPr>
      <w:r>
        <w:rPr>
          <w:spacing w:val="8"/>
          <w:sz w:val="20"/>
          <w:szCs w:val="20"/>
        </w:rPr>
        <w:t>1.7.1</w:t>
      </w:r>
      <w:r>
        <w:rPr>
          <w:spacing w:val="-24"/>
          <w:sz w:val="20"/>
          <w:szCs w:val="20"/>
        </w:rPr>
        <w:t xml:space="preserve"> </w:t>
      </w:r>
      <w:r>
        <w:rPr>
          <w:rFonts w:ascii="黑体" w:hAnsi="黑体" w:eastAsia="黑体" w:cs="黑体"/>
          <w:spacing w:val="8"/>
          <w:sz w:val="20"/>
          <w:szCs w:val="20"/>
        </w:rPr>
        <w:t>与合同有关的通知、批准、证明、证书、指示、要求、请求、同意、意见、确定和决定</w:t>
      </w:r>
      <w:r>
        <w:rPr>
          <w:rFonts w:ascii="黑体" w:hAnsi="黑体" w:eastAsia="黑体" w:cs="黑体"/>
          <w:sz w:val="20"/>
          <w:szCs w:val="20"/>
        </w:rPr>
        <w:t xml:space="preserve"> </w:t>
      </w:r>
      <w:r>
        <w:rPr>
          <w:spacing w:val="7"/>
          <w:sz w:val="20"/>
          <w:szCs w:val="20"/>
        </w:rPr>
        <w:t>等，均应采用书面形式。</w:t>
      </w:r>
    </w:p>
    <w:p w14:paraId="451D655C">
      <w:pPr>
        <w:pStyle w:val="2"/>
        <w:spacing w:before="2" w:line="354" w:lineRule="auto"/>
        <w:ind w:right="12" w:firstLine="429"/>
        <w:rPr>
          <w:sz w:val="20"/>
          <w:szCs w:val="20"/>
        </w:rPr>
      </w:pPr>
      <w:r>
        <w:rPr>
          <w:spacing w:val="10"/>
          <w:sz w:val="20"/>
          <w:szCs w:val="20"/>
        </w:rPr>
        <w:t>1.7.2</w:t>
      </w:r>
      <w:r>
        <w:rPr>
          <w:spacing w:val="-22"/>
          <w:sz w:val="20"/>
          <w:szCs w:val="20"/>
        </w:rPr>
        <w:t xml:space="preserve"> </w:t>
      </w:r>
      <w:r>
        <w:rPr>
          <w:rFonts w:ascii="黑体" w:hAnsi="黑体" w:eastAsia="黑体" w:cs="黑体"/>
          <w:spacing w:val="10"/>
          <w:sz w:val="20"/>
          <w:szCs w:val="20"/>
        </w:rPr>
        <w:t>第1.7.1项中的通知、批准、证明、证书、指示、要求</w:t>
      </w:r>
      <w:r>
        <w:rPr>
          <w:rFonts w:ascii="黑体" w:hAnsi="黑体" w:eastAsia="黑体" w:cs="黑体"/>
          <w:spacing w:val="9"/>
          <w:sz w:val="20"/>
          <w:szCs w:val="20"/>
        </w:rPr>
        <w:t>、请求、同意、意见、确定和决</w:t>
      </w:r>
      <w:r>
        <w:rPr>
          <w:rFonts w:ascii="黑体" w:hAnsi="黑体" w:eastAsia="黑体" w:cs="黑体"/>
          <w:sz w:val="20"/>
          <w:szCs w:val="20"/>
        </w:rPr>
        <w:t xml:space="preserve"> </w:t>
      </w:r>
      <w:r>
        <w:rPr>
          <w:spacing w:val="9"/>
          <w:sz w:val="20"/>
          <w:szCs w:val="20"/>
        </w:rPr>
        <w:t>定等来往函件，均应在合同约定的期限内送达指定地点和接收人，并办理签收手续。</w:t>
      </w:r>
    </w:p>
    <w:p w14:paraId="3337029B">
      <w:pPr>
        <w:spacing w:before="1" w:line="221" w:lineRule="auto"/>
        <w:ind w:left="3"/>
        <w:rPr>
          <w:rFonts w:ascii="黑体" w:hAnsi="黑体" w:eastAsia="黑体" w:cs="黑体"/>
          <w:sz w:val="25"/>
          <w:szCs w:val="25"/>
        </w:rPr>
      </w:pPr>
      <w:r>
        <w:rPr>
          <w:rFonts w:ascii="黑体" w:hAnsi="黑体" w:eastAsia="黑体" w:cs="黑体"/>
          <w:b/>
          <w:bCs/>
          <w:spacing w:val="1"/>
          <w:sz w:val="25"/>
          <w:szCs w:val="25"/>
        </w:rPr>
        <w:t>1.8转让</w:t>
      </w:r>
    </w:p>
    <w:p w14:paraId="44A38380">
      <w:pPr>
        <w:pStyle w:val="2"/>
        <w:spacing w:before="152" w:line="350" w:lineRule="auto"/>
        <w:ind w:right="45" w:firstLine="429"/>
        <w:rPr>
          <w:sz w:val="20"/>
          <w:szCs w:val="20"/>
        </w:rPr>
      </w:pPr>
      <w:r>
        <w:rPr>
          <w:spacing w:val="8"/>
          <w:sz w:val="20"/>
          <w:szCs w:val="20"/>
        </w:rPr>
        <w:t>除合同另有约定外，未经对方当事人同意，</w:t>
      </w:r>
      <w:r>
        <w:rPr>
          <w:spacing w:val="69"/>
          <w:sz w:val="20"/>
          <w:szCs w:val="20"/>
        </w:rPr>
        <w:t xml:space="preserve"> </w:t>
      </w:r>
      <w:r>
        <w:rPr>
          <w:spacing w:val="8"/>
          <w:sz w:val="20"/>
          <w:szCs w:val="20"/>
        </w:rPr>
        <w:t>一方当事人不得将合同权利全部</w:t>
      </w:r>
      <w:r>
        <w:rPr>
          <w:spacing w:val="7"/>
          <w:sz w:val="20"/>
          <w:szCs w:val="20"/>
        </w:rPr>
        <w:t>或部分转让给第</w:t>
      </w:r>
      <w:r>
        <w:rPr>
          <w:sz w:val="20"/>
          <w:szCs w:val="20"/>
        </w:rPr>
        <w:t xml:space="preserve"> </w:t>
      </w:r>
      <w:r>
        <w:rPr>
          <w:spacing w:val="8"/>
          <w:sz w:val="20"/>
          <w:szCs w:val="20"/>
        </w:rPr>
        <w:t>三人，也不得全部或部分转移合同义务。</w:t>
      </w:r>
    </w:p>
    <w:p w14:paraId="32AC3E5E">
      <w:pPr>
        <w:spacing w:line="221" w:lineRule="auto"/>
        <w:ind w:left="3"/>
        <w:rPr>
          <w:rFonts w:ascii="黑体" w:hAnsi="黑体" w:eastAsia="黑体" w:cs="黑体"/>
          <w:sz w:val="25"/>
          <w:szCs w:val="25"/>
        </w:rPr>
      </w:pPr>
      <w:r>
        <w:rPr>
          <w:rFonts w:ascii="黑体" w:hAnsi="黑体" w:eastAsia="黑体" w:cs="黑体"/>
          <w:b/>
          <w:bCs/>
          <w:spacing w:val="-6"/>
          <w:sz w:val="25"/>
          <w:szCs w:val="25"/>
        </w:rPr>
        <w:t>1.9严禁贿赂</w:t>
      </w:r>
    </w:p>
    <w:p w14:paraId="0C10EE26">
      <w:pPr>
        <w:pStyle w:val="2"/>
        <w:spacing w:before="133" w:line="354" w:lineRule="auto"/>
        <w:ind w:right="48" w:firstLine="429"/>
        <w:rPr>
          <w:sz w:val="20"/>
          <w:szCs w:val="20"/>
        </w:rPr>
      </w:pPr>
      <w:r>
        <w:rPr>
          <w:spacing w:val="12"/>
          <w:sz w:val="20"/>
          <w:szCs w:val="20"/>
        </w:rPr>
        <w:t>合同双方当事人不得以贿赂或变相贿赂的方式，谋取不当利益或损害对方权益。因贿赂</w:t>
      </w:r>
      <w:r>
        <w:rPr>
          <w:spacing w:val="11"/>
          <w:sz w:val="20"/>
          <w:szCs w:val="20"/>
        </w:rPr>
        <w:t>造成</w:t>
      </w:r>
      <w:r>
        <w:rPr>
          <w:sz w:val="20"/>
          <w:szCs w:val="20"/>
        </w:rPr>
        <w:t xml:space="preserve"> </w:t>
      </w:r>
      <w:r>
        <w:rPr>
          <w:spacing w:val="9"/>
          <w:sz w:val="20"/>
          <w:szCs w:val="20"/>
        </w:rPr>
        <w:t>对方损失的，行为人应赔偿损失，并承担相应的法律责任。</w:t>
      </w:r>
    </w:p>
    <w:p w14:paraId="5C6AFB6F">
      <w:pPr>
        <w:pStyle w:val="2"/>
        <w:spacing w:before="1" w:line="221" w:lineRule="auto"/>
        <w:ind w:left="3"/>
        <w:rPr>
          <w:rFonts w:ascii="黑体" w:hAnsi="黑体" w:eastAsia="黑体" w:cs="黑体"/>
        </w:rPr>
      </w:pPr>
      <w:r>
        <w:rPr>
          <w:b/>
          <w:bCs/>
          <w:spacing w:val="-16"/>
        </w:rPr>
        <w:t>1.10</w:t>
      </w:r>
      <w:r>
        <w:rPr>
          <w:spacing w:val="-13"/>
        </w:rPr>
        <w:t xml:space="preserve"> </w:t>
      </w:r>
      <w:r>
        <w:rPr>
          <w:rFonts w:ascii="黑体" w:hAnsi="黑体" w:eastAsia="黑体" w:cs="黑体"/>
          <w:b/>
          <w:bCs/>
          <w:spacing w:val="-16"/>
        </w:rPr>
        <w:t>化石、文物</w:t>
      </w:r>
    </w:p>
    <w:p w14:paraId="5B144B67">
      <w:pPr>
        <w:pStyle w:val="2"/>
        <w:spacing w:before="153" w:line="361" w:lineRule="auto"/>
        <w:ind w:right="48" w:firstLine="429"/>
        <w:rPr>
          <w:sz w:val="20"/>
          <w:szCs w:val="20"/>
        </w:rPr>
      </w:pPr>
      <w:r>
        <w:rPr>
          <w:spacing w:val="10"/>
          <w:sz w:val="20"/>
          <w:szCs w:val="20"/>
        </w:rPr>
        <w:t>1.10.1</w:t>
      </w:r>
      <w:r>
        <w:rPr>
          <w:spacing w:val="-37"/>
          <w:sz w:val="20"/>
          <w:szCs w:val="20"/>
        </w:rPr>
        <w:t xml:space="preserve"> </w:t>
      </w:r>
      <w:r>
        <w:rPr>
          <w:rFonts w:ascii="黑体" w:hAnsi="黑体" w:eastAsia="黑体" w:cs="黑体"/>
          <w:spacing w:val="10"/>
          <w:sz w:val="20"/>
          <w:szCs w:val="20"/>
        </w:rPr>
        <w:t>在施工场地发掘的所有文物、</w:t>
      </w:r>
      <w:r>
        <w:rPr>
          <w:rFonts w:ascii="黑体" w:hAnsi="黑体" w:eastAsia="黑体" w:cs="黑体"/>
          <w:spacing w:val="9"/>
          <w:sz w:val="20"/>
          <w:szCs w:val="20"/>
        </w:rPr>
        <w:t>古迹以及具有地质研究或考古价值的其他遗迹、化石、</w:t>
      </w:r>
      <w:r>
        <w:rPr>
          <w:rFonts w:ascii="黑体" w:hAnsi="黑体" w:eastAsia="黑体" w:cs="黑体"/>
          <w:sz w:val="20"/>
          <w:szCs w:val="20"/>
        </w:rPr>
        <w:t xml:space="preserve"> </w:t>
      </w:r>
      <w:r>
        <w:rPr>
          <w:spacing w:val="9"/>
          <w:sz w:val="20"/>
          <w:szCs w:val="20"/>
        </w:rPr>
        <w:t>钱币或物品属于国家所有。</w:t>
      </w:r>
      <w:r>
        <w:rPr>
          <w:spacing w:val="52"/>
          <w:sz w:val="20"/>
          <w:szCs w:val="20"/>
        </w:rPr>
        <w:t xml:space="preserve"> </w:t>
      </w:r>
      <w:r>
        <w:rPr>
          <w:spacing w:val="9"/>
          <w:sz w:val="20"/>
          <w:szCs w:val="20"/>
        </w:rPr>
        <w:t>一旦发现上述文</w:t>
      </w:r>
      <w:r>
        <w:rPr>
          <w:spacing w:val="8"/>
          <w:sz w:val="20"/>
          <w:szCs w:val="20"/>
        </w:rPr>
        <w:t>物，承包人应采取有效合理的保护措施，防止任何人</w:t>
      </w:r>
      <w:r>
        <w:rPr>
          <w:sz w:val="20"/>
          <w:szCs w:val="20"/>
        </w:rPr>
        <w:t xml:space="preserve"> </w:t>
      </w:r>
      <w:r>
        <w:rPr>
          <w:spacing w:val="12"/>
          <w:sz w:val="20"/>
          <w:szCs w:val="20"/>
        </w:rPr>
        <w:t>员移动或损坏上述物品，并立即报告当地文物行政部门，同</w:t>
      </w:r>
      <w:r>
        <w:rPr>
          <w:spacing w:val="11"/>
          <w:sz w:val="20"/>
          <w:szCs w:val="20"/>
        </w:rPr>
        <w:t>时通知监理人。发包人、监理人和承</w:t>
      </w:r>
      <w:r>
        <w:rPr>
          <w:sz w:val="20"/>
          <w:szCs w:val="20"/>
        </w:rPr>
        <w:t xml:space="preserve"> </w:t>
      </w:r>
      <w:r>
        <w:rPr>
          <w:spacing w:val="17"/>
          <w:sz w:val="20"/>
          <w:szCs w:val="20"/>
        </w:rPr>
        <w:t>包人应按文物行政部门要求采取妥善保护措施，由此导致费用增加和(或)工期延</w:t>
      </w:r>
      <w:r>
        <w:rPr>
          <w:spacing w:val="16"/>
          <w:sz w:val="20"/>
          <w:szCs w:val="20"/>
        </w:rPr>
        <w:t>误由发包人承</w:t>
      </w:r>
      <w:r>
        <w:rPr>
          <w:sz w:val="20"/>
          <w:szCs w:val="20"/>
        </w:rPr>
        <w:t xml:space="preserve"> </w:t>
      </w:r>
      <w:r>
        <w:rPr>
          <w:spacing w:val="-3"/>
          <w:sz w:val="20"/>
          <w:szCs w:val="20"/>
        </w:rPr>
        <w:t>担。</w:t>
      </w:r>
    </w:p>
    <w:p w14:paraId="1752F256">
      <w:pPr>
        <w:pStyle w:val="2"/>
        <w:spacing w:before="25" w:line="354" w:lineRule="auto"/>
        <w:ind w:right="48" w:firstLine="429"/>
        <w:rPr>
          <w:sz w:val="20"/>
          <w:szCs w:val="20"/>
        </w:rPr>
      </w:pPr>
      <w:r>
        <w:rPr>
          <w:spacing w:val="9"/>
          <w:sz w:val="20"/>
          <w:szCs w:val="20"/>
        </w:rPr>
        <w:t xml:space="preserve">1.10.2 </w:t>
      </w:r>
      <w:r>
        <w:rPr>
          <w:rFonts w:ascii="黑体" w:hAnsi="黑体" w:eastAsia="黑体" w:cs="黑体"/>
          <w:spacing w:val="9"/>
          <w:sz w:val="20"/>
          <w:szCs w:val="20"/>
        </w:rPr>
        <w:t>承包人发现文物后不及时报告或隐瞒不报，致</w:t>
      </w:r>
      <w:r>
        <w:rPr>
          <w:rFonts w:ascii="黑体" w:hAnsi="黑体" w:eastAsia="黑体" w:cs="黑体"/>
          <w:spacing w:val="8"/>
          <w:sz w:val="20"/>
          <w:szCs w:val="20"/>
        </w:rPr>
        <w:t>使文物丢失或损坏的，应赔偿损失，并</w:t>
      </w:r>
      <w:r>
        <w:rPr>
          <w:rFonts w:ascii="黑体" w:hAnsi="黑体" w:eastAsia="黑体" w:cs="黑体"/>
          <w:sz w:val="20"/>
          <w:szCs w:val="20"/>
        </w:rPr>
        <w:t xml:space="preserve"> </w:t>
      </w:r>
      <w:r>
        <w:rPr>
          <w:spacing w:val="6"/>
          <w:sz w:val="20"/>
          <w:szCs w:val="20"/>
        </w:rPr>
        <w:t>承担相应的法律责任。</w:t>
      </w:r>
    </w:p>
    <w:p w14:paraId="49F00DDC">
      <w:pPr>
        <w:pStyle w:val="2"/>
        <w:spacing w:before="1" w:line="221" w:lineRule="auto"/>
        <w:ind w:left="3"/>
        <w:rPr>
          <w:rFonts w:ascii="黑体" w:hAnsi="黑体" w:eastAsia="黑体" w:cs="黑体"/>
        </w:rPr>
      </w:pPr>
      <w:r>
        <w:rPr>
          <w:b/>
          <w:bCs/>
          <w:spacing w:val="-15"/>
        </w:rPr>
        <w:t>1.11</w:t>
      </w:r>
      <w:r>
        <w:rPr>
          <w:spacing w:val="-15"/>
        </w:rPr>
        <w:t xml:space="preserve"> </w:t>
      </w:r>
      <w:r>
        <w:rPr>
          <w:rFonts w:ascii="黑体" w:hAnsi="黑体" w:eastAsia="黑体" w:cs="黑体"/>
          <w:b/>
          <w:bCs/>
          <w:spacing w:val="-15"/>
        </w:rPr>
        <w:t>专利技术</w:t>
      </w:r>
    </w:p>
    <w:p w14:paraId="0BD4B43B">
      <w:pPr>
        <w:spacing w:before="132" w:line="213" w:lineRule="auto"/>
        <w:ind w:left="429"/>
        <w:rPr>
          <w:rFonts w:ascii="黑体" w:hAnsi="黑体" w:eastAsia="黑体" w:cs="黑体"/>
          <w:sz w:val="20"/>
          <w:szCs w:val="20"/>
        </w:rPr>
      </w:pPr>
      <w:r>
        <w:rPr>
          <w:rFonts w:ascii="黑体" w:hAnsi="黑体" w:eastAsia="黑体" w:cs="黑体"/>
          <w:spacing w:val="11"/>
          <w:sz w:val="20"/>
          <w:szCs w:val="20"/>
        </w:rPr>
        <w:t>1.11.1承包人在使用任何材料、承包人设备、工程设备或采用施工工艺时，因侵犯专利权或</w:t>
      </w:r>
    </w:p>
    <w:p w14:paraId="4E2AF05F">
      <w:pPr>
        <w:spacing w:line="213" w:lineRule="auto"/>
        <w:rPr>
          <w:rFonts w:ascii="黑体" w:hAnsi="黑体" w:eastAsia="黑体" w:cs="黑体"/>
          <w:sz w:val="20"/>
          <w:szCs w:val="20"/>
        </w:rPr>
        <w:sectPr>
          <w:footerReference r:id="rId116" w:type="default"/>
          <w:pgSz w:w="11910" w:h="16840"/>
          <w:pgMar w:top="400" w:right="1501" w:bottom="1024" w:left="1450" w:header="0" w:footer="889" w:gutter="0"/>
          <w:cols w:space="720" w:num="1"/>
        </w:sectPr>
      </w:pPr>
    </w:p>
    <w:p w14:paraId="70C3EBA1">
      <w:pPr>
        <w:spacing w:line="270" w:lineRule="auto"/>
        <w:rPr>
          <w:rFonts w:ascii="Arial"/>
          <w:sz w:val="21"/>
        </w:rPr>
      </w:pPr>
    </w:p>
    <w:p w14:paraId="05EDAC5A">
      <w:pPr>
        <w:spacing w:line="270" w:lineRule="auto"/>
        <w:rPr>
          <w:rFonts w:ascii="Arial"/>
          <w:sz w:val="21"/>
        </w:rPr>
      </w:pPr>
    </w:p>
    <w:p w14:paraId="455966E4">
      <w:pPr>
        <w:spacing w:line="270" w:lineRule="auto"/>
        <w:rPr>
          <w:rFonts w:ascii="Arial"/>
          <w:sz w:val="21"/>
        </w:rPr>
      </w:pPr>
    </w:p>
    <w:p w14:paraId="4C0AB821">
      <w:pPr>
        <w:spacing w:line="271" w:lineRule="auto"/>
        <w:rPr>
          <w:rFonts w:ascii="Arial"/>
          <w:sz w:val="21"/>
        </w:rPr>
      </w:pPr>
    </w:p>
    <w:p w14:paraId="543A9DF5">
      <w:pPr>
        <w:spacing w:line="271" w:lineRule="auto"/>
        <w:rPr>
          <w:rFonts w:ascii="Arial"/>
          <w:sz w:val="21"/>
        </w:rPr>
      </w:pPr>
    </w:p>
    <w:p w14:paraId="5228BC3A">
      <w:pPr>
        <w:pStyle w:val="2"/>
        <w:spacing w:before="65" w:line="370" w:lineRule="auto"/>
        <w:ind w:right="14"/>
        <w:rPr>
          <w:sz w:val="20"/>
          <w:szCs w:val="20"/>
        </w:rPr>
      </w:pPr>
      <w:r>
        <w:rPr>
          <w:spacing w:val="13"/>
          <w:sz w:val="20"/>
          <w:szCs w:val="20"/>
        </w:rPr>
        <w:t>其他知识产权所引起的责任，由承包人承担，但由于遵照发包人提</w:t>
      </w:r>
      <w:r>
        <w:rPr>
          <w:spacing w:val="12"/>
          <w:sz w:val="20"/>
          <w:szCs w:val="20"/>
        </w:rPr>
        <w:t>供的设计或技术标准和要求引</w:t>
      </w:r>
      <w:r>
        <w:rPr>
          <w:sz w:val="20"/>
          <w:szCs w:val="20"/>
        </w:rPr>
        <w:t xml:space="preserve"> </w:t>
      </w:r>
      <w:r>
        <w:rPr>
          <w:spacing w:val="3"/>
          <w:sz w:val="20"/>
          <w:szCs w:val="20"/>
        </w:rPr>
        <w:t>起的除外。</w:t>
      </w:r>
    </w:p>
    <w:p w14:paraId="6803AED7">
      <w:pPr>
        <w:spacing w:line="212" w:lineRule="auto"/>
        <w:ind w:left="429"/>
        <w:rPr>
          <w:rFonts w:ascii="黑体" w:hAnsi="黑体" w:eastAsia="黑体" w:cs="黑体"/>
          <w:sz w:val="20"/>
          <w:szCs w:val="20"/>
        </w:rPr>
      </w:pPr>
      <w:r>
        <w:rPr>
          <w:rFonts w:ascii="黑体" w:hAnsi="黑体" w:eastAsia="黑体" w:cs="黑体"/>
          <w:spacing w:val="9"/>
          <w:sz w:val="20"/>
          <w:szCs w:val="20"/>
        </w:rPr>
        <w:t>1.11.2承包人在投标文件中采用专利技术的，专利技术的使</w:t>
      </w:r>
      <w:r>
        <w:rPr>
          <w:rFonts w:ascii="黑体" w:hAnsi="黑体" w:eastAsia="黑体" w:cs="黑体"/>
          <w:spacing w:val="8"/>
          <w:sz w:val="20"/>
          <w:szCs w:val="20"/>
        </w:rPr>
        <w:t>用费包含在投标报价内。</w:t>
      </w:r>
    </w:p>
    <w:p w14:paraId="10690D79">
      <w:pPr>
        <w:pStyle w:val="2"/>
        <w:spacing w:before="159" w:line="213" w:lineRule="auto"/>
        <w:ind w:right="31"/>
        <w:jc w:val="right"/>
        <w:rPr>
          <w:rFonts w:ascii="黑体" w:hAnsi="黑体" w:eastAsia="黑体" w:cs="黑体"/>
          <w:sz w:val="20"/>
          <w:szCs w:val="20"/>
        </w:rPr>
      </w:pPr>
      <w:r>
        <w:rPr>
          <w:spacing w:val="9"/>
          <w:sz w:val="20"/>
          <w:szCs w:val="20"/>
        </w:rPr>
        <w:t xml:space="preserve">1.11.3 </w:t>
      </w:r>
      <w:r>
        <w:rPr>
          <w:rFonts w:ascii="黑体" w:hAnsi="黑体" w:eastAsia="黑体" w:cs="黑体"/>
          <w:spacing w:val="9"/>
          <w:sz w:val="20"/>
          <w:szCs w:val="20"/>
        </w:rPr>
        <w:t>承包人的技术秘密和声明需要保密的资料和信息，发包人和监</w:t>
      </w:r>
      <w:r>
        <w:rPr>
          <w:rFonts w:ascii="黑体" w:hAnsi="黑体" w:eastAsia="黑体" w:cs="黑体"/>
          <w:spacing w:val="8"/>
          <w:sz w:val="20"/>
          <w:szCs w:val="20"/>
        </w:rPr>
        <w:t>理人不得为合同以外的</w:t>
      </w:r>
    </w:p>
    <w:p w14:paraId="4E0166BA">
      <w:pPr>
        <w:pStyle w:val="2"/>
        <w:spacing w:before="190" w:line="220" w:lineRule="auto"/>
        <w:rPr>
          <w:sz w:val="20"/>
          <w:szCs w:val="20"/>
        </w:rPr>
      </w:pPr>
      <w:r>
        <w:rPr>
          <w:spacing w:val="2"/>
          <w:sz w:val="20"/>
          <w:szCs w:val="20"/>
        </w:rPr>
        <w:t>目的泄露给他人。</w:t>
      </w:r>
    </w:p>
    <w:p w14:paraId="7EBF063D">
      <w:pPr>
        <w:pStyle w:val="2"/>
        <w:spacing w:before="137" w:line="221" w:lineRule="auto"/>
        <w:ind w:left="3"/>
        <w:rPr>
          <w:rFonts w:ascii="黑体" w:hAnsi="黑体" w:eastAsia="黑体" w:cs="黑体"/>
          <w:sz w:val="24"/>
          <w:szCs w:val="24"/>
        </w:rPr>
      </w:pPr>
      <w:r>
        <w:rPr>
          <w:b/>
          <w:bCs/>
          <w:spacing w:val="-8"/>
          <w:sz w:val="24"/>
          <w:szCs w:val="24"/>
        </w:rPr>
        <w:t>1.12</w:t>
      </w:r>
      <w:r>
        <w:rPr>
          <w:spacing w:val="-8"/>
          <w:sz w:val="24"/>
          <w:szCs w:val="24"/>
        </w:rPr>
        <w:t xml:space="preserve"> </w:t>
      </w:r>
      <w:r>
        <w:rPr>
          <w:rFonts w:ascii="黑体" w:hAnsi="黑体" w:eastAsia="黑体" w:cs="黑体"/>
          <w:b/>
          <w:bCs/>
          <w:spacing w:val="-8"/>
          <w:sz w:val="24"/>
          <w:szCs w:val="24"/>
        </w:rPr>
        <w:t>图纸和文件的保密</w:t>
      </w:r>
    </w:p>
    <w:p w14:paraId="16A3D526">
      <w:pPr>
        <w:pStyle w:val="2"/>
        <w:spacing w:before="116" w:line="374" w:lineRule="auto"/>
        <w:ind w:right="40" w:firstLine="429"/>
        <w:rPr>
          <w:sz w:val="20"/>
          <w:szCs w:val="20"/>
        </w:rPr>
      </w:pPr>
      <w:r>
        <w:rPr>
          <w:rFonts w:ascii="黑体" w:hAnsi="黑体" w:eastAsia="黑体" w:cs="黑体"/>
          <w:spacing w:val="11"/>
          <w:sz w:val="20"/>
          <w:szCs w:val="20"/>
        </w:rPr>
        <w:t>1.12.1发包人提供的图纸和文件，未经发包人同意，承包人不得为合同以外的目的泄露给他</w:t>
      </w:r>
      <w:r>
        <w:rPr>
          <w:rFonts w:ascii="黑体" w:hAnsi="黑体" w:eastAsia="黑体" w:cs="黑体"/>
          <w:spacing w:val="4"/>
          <w:sz w:val="20"/>
          <w:szCs w:val="20"/>
        </w:rPr>
        <w:t xml:space="preserve"> </w:t>
      </w:r>
      <w:r>
        <w:rPr>
          <w:spacing w:val="6"/>
          <w:sz w:val="20"/>
          <w:szCs w:val="20"/>
        </w:rPr>
        <w:t>人或公开发表与引用。</w:t>
      </w:r>
    </w:p>
    <w:p w14:paraId="38E6A5C7">
      <w:pPr>
        <w:pStyle w:val="2"/>
        <w:spacing w:line="379" w:lineRule="auto"/>
        <w:ind w:right="42" w:firstLine="429"/>
        <w:rPr>
          <w:sz w:val="20"/>
          <w:szCs w:val="20"/>
        </w:rPr>
      </w:pPr>
      <w:r>
        <w:rPr>
          <w:spacing w:val="9"/>
          <w:sz w:val="20"/>
          <w:szCs w:val="20"/>
        </w:rPr>
        <w:t xml:space="preserve">1.12.2 </w:t>
      </w:r>
      <w:r>
        <w:rPr>
          <w:rFonts w:ascii="黑体" w:hAnsi="黑体" w:eastAsia="黑体" w:cs="黑体"/>
          <w:spacing w:val="9"/>
          <w:sz w:val="20"/>
          <w:szCs w:val="20"/>
        </w:rPr>
        <w:t>承包人提供的文件，未经承包人同意</w:t>
      </w:r>
      <w:r>
        <w:rPr>
          <w:rFonts w:ascii="黑体" w:hAnsi="黑体" w:eastAsia="黑体" w:cs="黑体"/>
          <w:spacing w:val="8"/>
          <w:sz w:val="20"/>
          <w:szCs w:val="20"/>
        </w:rPr>
        <w:t>，发包人和监理人不得为合同以外的目的泄露给</w:t>
      </w:r>
      <w:r>
        <w:rPr>
          <w:rFonts w:ascii="黑体" w:hAnsi="黑体" w:eastAsia="黑体" w:cs="黑体"/>
          <w:sz w:val="20"/>
          <w:szCs w:val="20"/>
        </w:rPr>
        <w:t xml:space="preserve"> </w:t>
      </w:r>
      <w:r>
        <w:rPr>
          <w:spacing w:val="7"/>
          <w:sz w:val="20"/>
          <w:szCs w:val="20"/>
        </w:rPr>
        <w:t>他人或公开发表与引用。</w:t>
      </w:r>
    </w:p>
    <w:p w14:paraId="24EBBE02">
      <w:pPr>
        <w:pStyle w:val="2"/>
        <w:spacing w:before="6" w:line="221" w:lineRule="auto"/>
        <w:ind w:left="4"/>
        <w:rPr>
          <w:rFonts w:ascii="黑体" w:hAnsi="黑体" w:eastAsia="黑体" w:cs="黑体"/>
          <w:sz w:val="30"/>
          <w:szCs w:val="30"/>
        </w:rPr>
      </w:pPr>
      <w:r>
        <w:rPr>
          <w:b/>
          <w:bCs/>
          <w:spacing w:val="-11"/>
          <w:sz w:val="30"/>
          <w:szCs w:val="30"/>
        </w:rPr>
        <w:t>2.</w:t>
      </w:r>
      <w:r>
        <w:rPr>
          <w:spacing w:val="-84"/>
          <w:sz w:val="30"/>
          <w:szCs w:val="30"/>
        </w:rPr>
        <w:t xml:space="preserve"> </w:t>
      </w:r>
      <w:r>
        <w:rPr>
          <w:rFonts w:ascii="黑体" w:hAnsi="黑体" w:eastAsia="黑体" w:cs="黑体"/>
          <w:b/>
          <w:bCs/>
          <w:spacing w:val="-11"/>
          <w:sz w:val="30"/>
          <w:szCs w:val="30"/>
        </w:rPr>
        <w:t>发包人义务</w:t>
      </w:r>
    </w:p>
    <w:p w14:paraId="631D8E9E">
      <w:pPr>
        <w:pStyle w:val="2"/>
        <w:spacing w:before="91" w:line="222" w:lineRule="auto"/>
        <w:ind w:left="3"/>
        <w:rPr>
          <w:rFonts w:ascii="黑体" w:hAnsi="黑体" w:eastAsia="黑体" w:cs="黑体"/>
          <w:sz w:val="24"/>
          <w:szCs w:val="24"/>
        </w:rPr>
      </w:pPr>
      <w:r>
        <w:rPr>
          <w:b/>
          <w:bCs/>
          <w:spacing w:val="-10"/>
          <w:sz w:val="24"/>
          <w:szCs w:val="24"/>
        </w:rPr>
        <w:t>2.1</w:t>
      </w:r>
      <w:r>
        <w:rPr>
          <w:spacing w:val="-10"/>
          <w:sz w:val="24"/>
          <w:szCs w:val="24"/>
        </w:rPr>
        <w:t xml:space="preserve"> </w:t>
      </w:r>
      <w:r>
        <w:rPr>
          <w:rFonts w:ascii="黑体" w:hAnsi="黑体" w:eastAsia="黑体" w:cs="黑体"/>
          <w:b/>
          <w:bCs/>
          <w:spacing w:val="-10"/>
          <w:sz w:val="24"/>
          <w:szCs w:val="24"/>
        </w:rPr>
        <w:t>遵守法律</w:t>
      </w:r>
    </w:p>
    <w:p w14:paraId="3F90CD54">
      <w:pPr>
        <w:pStyle w:val="2"/>
        <w:spacing w:before="144" w:line="354" w:lineRule="auto"/>
        <w:ind w:right="40" w:firstLine="429"/>
        <w:rPr>
          <w:sz w:val="20"/>
          <w:szCs w:val="20"/>
        </w:rPr>
      </w:pPr>
      <w:r>
        <w:rPr>
          <w:spacing w:val="12"/>
          <w:sz w:val="20"/>
          <w:szCs w:val="20"/>
        </w:rPr>
        <w:t>发包人在履行合同过程中应遵守法律，并保证承包人免于承担因发包人违反法律而引</w:t>
      </w:r>
      <w:r>
        <w:rPr>
          <w:spacing w:val="11"/>
          <w:sz w:val="20"/>
          <w:szCs w:val="20"/>
        </w:rPr>
        <w:t>起的任</w:t>
      </w:r>
      <w:r>
        <w:rPr>
          <w:sz w:val="20"/>
          <w:szCs w:val="20"/>
        </w:rPr>
        <w:t xml:space="preserve"> </w:t>
      </w:r>
      <w:r>
        <w:rPr>
          <w:spacing w:val="2"/>
          <w:sz w:val="20"/>
          <w:szCs w:val="20"/>
        </w:rPr>
        <w:t>何责任。</w:t>
      </w:r>
    </w:p>
    <w:p w14:paraId="2736D868">
      <w:pPr>
        <w:pStyle w:val="2"/>
        <w:spacing w:before="1" w:line="220" w:lineRule="auto"/>
        <w:ind w:left="3"/>
        <w:rPr>
          <w:rFonts w:ascii="黑体" w:hAnsi="黑体" w:eastAsia="黑体" w:cs="黑体"/>
          <w:sz w:val="24"/>
          <w:szCs w:val="24"/>
        </w:rPr>
      </w:pPr>
      <w:r>
        <w:rPr>
          <w:b/>
          <w:bCs/>
          <w:spacing w:val="-11"/>
          <w:sz w:val="24"/>
          <w:szCs w:val="24"/>
        </w:rPr>
        <w:t>2.2</w:t>
      </w:r>
      <w:r>
        <w:rPr>
          <w:spacing w:val="-11"/>
          <w:sz w:val="24"/>
          <w:szCs w:val="24"/>
        </w:rPr>
        <w:t xml:space="preserve"> </w:t>
      </w:r>
      <w:r>
        <w:rPr>
          <w:rFonts w:ascii="黑体" w:hAnsi="黑体" w:eastAsia="黑体" w:cs="黑体"/>
          <w:b/>
          <w:bCs/>
          <w:spacing w:val="-11"/>
          <w:sz w:val="24"/>
          <w:szCs w:val="24"/>
        </w:rPr>
        <w:t>发出开工通知</w:t>
      </w:r>
    </w:p>
    <w:p w14:paraId="76FD74B0">
      <w:pPr>
        <w:pStyle w:val="2"/>
        <w:spacing w:before="157" w:line="219" w:lineRule="auto"/>
        <w:ind w:left="429"/>
        <w:rPr>
          <w:sz w:val="20"/>
          <w:szCs w:val="20"/>
        </w:rPr>
      </w:pPr>
      <w:r>
        <w:rPr>
          <w:spacing w:val="11"/>
          <w:sz w:val="20"/>
          <w:szCs w:val="20"/>
        </w:rPr>
        <w:t>发包人应委托监理人按第11.1款的约定向承包人发出开工通知。</w:t>
      </w:r>
    </w:p>
    <w:p w14:paraId="3F42C0F7">
      <w:pPr>
        <w:pStyle w:val="2"/>
        <w:spacing w:before="131" w:line="222" w:lineRule="auto"/>
        <w:ind w:left="3"/>
        <w:rPr>
          <w:rFonts w:ascii="黑体" w:hAnsi="黑体" w:eastAsia="黑体" w:cs="黑体"/>
          <w:sz w:val="24"/>
          <w:szCs w:val="24"/>
        </w:rPr>
      </w:pPr>
      <w:r>
        <w:rPr>
          <w:b/>
          <w:bCs/>
          <w:spacing w:val="-8"/>
          <w:sz w:val="24"/>
          <w:szCs w:val="24"/>
        </w:rPr>
        <w:t>2.3</w:t>
      </w:r>
      <w:r>
        <w:rPr>
          <w:spacing w:val="-8"/>
          <w:sz w:val="24"/>
          <w:szCs w:val="24"/>
        </w:rPr>
        <w:t xml:space="preserve"> </w:t>
      </w:r>
      <w:r>
        <w:rPr>
          <w:rFonts w:ascii="黑体" w:hAnsi="黑体" w:eastAsia="黑体" w:cs="黑体"/>
          <w:b/>
          <w:bCs/>
          <w:spacing w:val="-8"/>
          <w:sz w:val="24"/>
          <w:szCs w:val="24"/>
        </w:rPr>
        <w:t>提供施工场地</w:t>
      </w:r>
    </w:p>
    <w:p w14:paraId="721B936E">
      <w:pPr>
        <w:pStyle w:val="2"/>
        <w:spacing w:before="131" w:line="359" w:lineRule="auto"/>
        <w:ind w:right="39" w:firstLine="429"/>
        <w:rPr>
          <w:sz w:val="20"/>
          <w:szCs w:val="20"/>
        </w:rPr>
      </w:pPr>
      <w:r>
        <w:rPr>
          <w:spacing w:val="12"/>
          <w:sz w:val="20"/>
          <w:szCs w:val="20"/>
        </w:rPr>
        <w:t>发包人应按专用合同条款约定向承包人提供施工场地，以及施工场地内地下管线和地下</w:t>
      </w:r>
      <w:r>
        <w:rPr>
          <w:spacing w:val="11"/>
          <w:sz w:val="20"/>
          <w:szCs w:val="20"/>
        </w:rPr>
        <w:t>设施</w:t>
      </w:r>
      <w:r>
        <w:rPr>
          <w:sz w:val="20"/>
          <w:szCs w:val="20"/>
        </w:rPr>
        <w:t xml:space="preserve"> </w:t>
      </w:r>
      <w:r>
        <w:rPr>
          <w:spacing w:val="8"/>
          <w:sz w:val="20"/>
          <w:szCs w:val="20"/>
        </w:rPr>
        <w:t>等有关资料，并保证资料的真实、准确、完整。</w:t>
      </w:r>
    </w:p>
    <w:p w14:paraId="6E317606">
      <w:pPr>
        <w:pStyle w:val="2"/>
        <w:spacing w:before="1" w:line="220" w:lineRule="auto"/>
        <w:ind w:left="2"/>
        <w:rPr>
          <w:rFonts w:ascii="黑体" w:hAnsi="黑体" w:eastAsia="黑体" w:cs="黑体"/>
          <w:sz w:val="24"/>
          <w:szCs w:val="24"/>
        </w:rPr>
      </w:pPr>
      <w:r>
        <w:rPr>
          <w:b/>
          <w:bCs/>
          <w:spacing w:val="-8"/>
          <w:sz w:val="24"/>
          <w:szCs w:val="24"/>
        </w:rPr>
        <w:t>2.4</w:t>
      </w:r>
      <w:r>
        <w:rPr>
          <w:spacing w:val="-8"/>
          <w:sz w:val="24"/>
          <w:szCs w:val="24"/>
        </w:rPr>
        <w:t xml:space="preserve"> </w:t>
      </w:r>
      <w:r>
        <w:rPr>
          <w:rFonts w:ascii="黑体" w:hAnsi="黑体" w:eastAsia="黑体" w:cs="黑体"/>
          <w:b/>
          <w:bCs/>
          <w:spacing w:val="-8"/>
          <w:sz w:val="24"/>
          <w:szCs w:val="24"/>
        </w:rPr>
        <w:t>协助承包人办理证件和批件</w:t>
      </w:r>
    </w:p>
    <w:p w14:paraId="54EE59B4">
      <w:pPr>
        <w:pStyle w:val="2"/>
        <w:spacing w:before="127" w:line="219" w:lineRule="auto"/>
        <w:ind w:left="429"/>
        <w:rPr>
          <w:sz w:val="20"/>
          <w:szCs w:val="20"/>
        </w:rPr>
      </w:pPr>
      <w:r>
        <w:rPr>
          <w:spacing w:val="9"/>
          <w:sz w:val="20"/>
          <w:szCs w:val="20"/>
        </w:rPr>
        <w:t>发包人应协助承包人办理法律规定的有关施工证件和批件。</w:t>
      </w:r>
    </w:p>
    <w:p w14:paraId="49E695B5">
      <w:pPr>
        <w:pStyle w:val="2"/>
        <w:spacing w:before="129" w:line="222" w:lineRule="auto"/>
        <w:ind w:left="3"/>
        <w:rPr>
          <w:rFonts w:ascii="黑体" w:hAnsi="黑体" w:eastAsia="黑体" w:cs="黑体"/>
          <w:sz w:val="24"/>
          <w:szCs w:val="24"/>
        </w:rPr>
      </w:pPr>
      <w:r>
        <w:rPr>
          <w:b/>
          <w:bCs/>
          <w:spacing w:val="-8"/>
          <w:sz w:val="24"/>
          <w:szCs w:val="24"/>
        </w:rPr>
        <w:t>2.5</w:t>
      </w:r>
      <w:r>
        <w:rPr>
          <w:spacing w:val="-8"/>
          <w:sz w:val="24"/>
          <w:szCs w:val="24"/>
        </w:rPr>
        <w:t xml:space="preserve"> </w:t>
      </w:r>
      <w:r>
        <w:rPr>
          <w:rFonts w:ascii="黑体" w:hAnsi="黑体" w:eastAsia="黑体" w:cs="黑体"/>
          <w:b/>
          <w:bCs/>
          <w:spacing w:val="-8"/>
          <w:sz w:val="24"/>
          <w:szCs w:val="24"/>
        </w:rPr>
        <w:t>组织设计交底</w:t>
      </w:r>
    </w:p>
    <w:p w14:paraId="7077B5A8">
      <w:pPr>
        <w:pStyle w:val="2"/>
        <w:spacing w:before="175" w:line="219" w:lineRule="auto"/>
        <w:ind w:left="429"/>
        <w:rPr>
          <w:sz w:val="20"/>
          <w:szCs w:val="20"/>
        </w:rPr>
      </w:pPr>
      <w:r>
        <w:rPr>
          <w:spacing w:val="9"/>
          <w:sz w:val="20"/>
          <w:szCs w:val="20"/>
        </w:rPr>
        <w:t>发包人应根据合同进度计划，组织设计单位向承包人进行设计交</w:t>
      </w:r>
      <w:r>
        <w:rPr>
          <w:spacing w:val="8"/>
          <w:sz w:val="20"/>
          <w:szCs w:val="20"/>
        </w:rPr>
        <w:t>底。</w:t>
      </w:r>
    </w:p>
    <w:p w14:paraId="5BDBF7B6">
      <w:pPr>
        <w:pStyle w:val="2"/>
        <w:spacing w:before="99" w:line="222" w:lineRule="auto"/>
        <w:ind w:left="3"/>
        <w:rPr>
          <w:rFonts w:ascii="黑体" w:hAnsi="黑体" w:eastAsia="黑体" w:cs="黑体"/>
          <w:sz w:val="24"/>
          <w:szCs w:val="24"/>
        </w:rPr>
      </w:pPr>
      <w:r>
        <w:rPr>
          <w:b/>
          <w:bCs/>
          <w:spacing w:val="-11"/>
          <w:sz w:val="24"/>
          <w:szCs w:val="24"/>
        </w:rPr>
        <w:t>2.6</w:t>
      </w:r>
      <w:r>
        <w:rPr>
          <w:spacing w:val="31"/>
          <w:sz w:val="24"/>
          <w:szCs w:val="24"/>
        </w:rPr>
        <w:t xml:space="preserve"> </w:t>
      </w:r>
      <w:r>
        <w:rPr>
          <w:rFonts w:ascii="黑体" w:hAnsi="黑体" w:eastAsia="黑体" w:cs="黑体"/>
          <w:b/>
          <w:bCs/>
          <w:spacing w:val="-11"/>
          <w:sz w:val="24"/>
          <w:szCs w:val="24"/>
        </w:rPr>
        <w:t>支付合同价款</w:t>
      </w:r>
    </w:p>
    <w:p w14:paraId="0CBAC0AA">
      <w:pPr>
        <w:pStyle w:val="2"/>
        <w:spacing w:before="163" w:line="218" w:lineRule="auto"/>
        <w:ind w:left="429"/>
        <w:rPr>
          <w:sz w:val="20"/>
          <w:szCs w:val="20"/>
        </w:rPr>
      </w:pPr>
      <w:r>
        <w:rPr>
          <w:spacing w:val="8"/>
          <w:sz w:val="20"/>
          <w:szCs w:val="20"/>
        </w:rPr>
        <w:t>发包人应按合同约定向承包人及时支付合同价款。</w:t>
      </w:r>
    </w:p>
    <w:p w14:paraId="6070E4A8">
      <w:pPr>
        <w:pStyle w:val="2"/>
        <w:spacing w:before="122" w:line="221" w:lineRule="auto"/>
        <w:ind w:left="3"/>
        <w:rPr>
          <w:rFonts w:ascii="黑体" w:hAnsi="黑体" w:eastAsia="黑体" w:cs="黑体"/>
          <w:sz w:val="24"/>
          <w:szCs w:val="24"/>
        </w:rPr>
      </w:pPr>
      <w:r>
        <w:rPr>
          <w:b/>
          <w:bCs/>
          <w:spacing w:val="-8"/>
          <w:sz w:val="24"/>
          <w:szCs w:val="24"/>
        </w:rPr>
        <w:t>2.7</w:t>
      </w:r>
      <w:r>
        <w:rPr>
          <w:spacing w:val="-8"/>
          <w:sz w:val="24"/>
          <w:szCs w:val="24"/>
        </w:rPr>
        <w:t xml:space="preserve"> </w:t>
      </w:r>
      <w:r>
        <w:rPr>
          <w:rFonts w:ascii="黑体" w:hAnsi="黑体" w:eastAsia="黑体" w:cs="黑体"/>
          <w:b/>
          <w:bCs/>
          <w:spacing w:val="-8"/>
          <w:sz w:val="24"/>
          <w:szCs w:val="24"/>
        </w:rPr>
        <w:t>组织竣工验收</w:t>
      </w:r>
    </w:p>
    <w:p w14:paraId="041F3AE0">
      <w:pPr>
        <w:pStyle w:val="2"/>
        <w:spacing w:before="157" w:line="219" w:lineRule="auto"/>
        <w:ind w:left="429"/>
        <w:rPr>
          <w:sz w:val="20"/>
          <w:szCs w:val="20"/>
        </w:rPr>
      </w:pPr>
      <w:r>
        <w:rPr>
          <w:spacing w:val="8"/>
          <w:sz w:val="20"/>
          <w:szCs w:val="20"/>
        </w:rPr>
        <w:t>发包人应按合同约定及时组织竣工验收。</w:t>
      </w:r>
    </w:p>
    <w:p w14:paraId="7187CBDD">
      <w:pPr>
        <w:pStyle w:val="2"/>
        <w:spacing w:before="118" w:line="221" w:lineRule="auto"/>
        <w:ind w:left="3"/>
        <w:rPr>
          <w:rFonts w:ascii="黑体" w:hAnsi="黑体" w:eastAsia="黑体" w:cs="黑体"/>
          <w:sz w:val="24"/>
          <w:szCs w:val="24"/>
        </w:rPr>
      </w:pPr>
      <w:r>
        <w:rPr>
          <w:b/>
          <w:bCs/>
          <w:spacing w:val="-10"/>
          <w:sz w:val="24"/>
          <w:szCs w:val="24"/>
        </w:rPr>
        <w:t>2.8</w:t>
      </w:r>
      <w:r>
        <w:rPr>
          <w:spacing w:val="-10"/>
          <w:sz w:val="24"/>
          <w:szCs w:val="24"/>
        </w:rPr>
        <w:t xml:space="preserve"> </w:t>
      </w:r>
      <w:r>
        <w:rPr>
          <w:rFonts w:ascii="黑体" w:hAnsi="黑体" w:eastAsia="黑体" w:cs="黑体"/>
          <w:b/>
          <w:bCs/>
          <w:spacing w:val="-10"/>
          <w:sz w:val="24"/>
          <w:szCs w:val="24"/>
        </w:rPr>
        <w:t>其他义务</w:t>
      </w:r>
    </w:p>
    <w:p w14:paraId="46842A14">
      <w:pPr>
        <w:pStyle w:val="2"/>
        <w:spacing w:before="167" w:line="219" w:lineRule="auto"/>
        <w:ind w:left="429"/>
        <w:rPr>
          <w:sz w:val="20"/>
          <w:szCs w:val="20"/>
        </w:rPr>
      </w:pPr>
      <w:r>
        <w:rPr>
          <w:spacing w:val="8"/>
          <w:sz w:val="20"/>
          <w:szCs w:val="20"/>
        </w:rPr>
        <w:t>发包人应履行合同约定的其他义务。</w:t>
      </w:r>
    </w:p>
    <w:p w14:paraId="30283A6E">
      <w:pPr>
        <w:pStyle w:val="2"/>
        <w:spacing w:before="157" w:line="224" w:lineRule="auto"/>
        <w:ind w:left="4"/>
        <w:rPr>
          <w:rFonts w:ascii="黑体" w:hAnsi="黑体" w:eastAsia="黑体" w:cs="黑体"/>
          <w:sz w:val="30"/>
          <w:szCs w:val="30"/>
        </w:rPr>
      </w:pPr>
      <w:r>
        <w:rPr>
          <w:b/>
          <w:bCs/>
          <w:spacing w:val="3"/>
          <w:sz w:val="30"/>
          <w:szCs w:val="30"/>
        </w:rPr>
        <w:t>3.</w:t>
      </w:r>
      <w:r>
        <w:rPr>
          <w:rFonts w:ascii="黑体" w:hAnsi="黑体" w:eastAsia="黑体" w:cs="黑体"/>
          <w:b/>
          <w:bCs/>
          <w:spacing w:val="3"/>
          <w:sz w:val="30"/>
          <w:szCs w:val="30"/>
        </w:rPr>
        <w:t>监理人</w:t>
      </w:r>
    </w:p>
    <w:p w14:paraId="1B7CBF56">
      <w:pPr>
        <w:pStyle w:val="2"/>
        <w:spacing w:before="98" w:line="221" w:lineRule="auto"/>
        <w:ind w:left="3"/>
        <w:rPr>
          <w:rFonts w:ascii="黑体" w:hAnsi="黑体" w:eastAsia="黑体" w:cs="黑体"/>
          <w:sz w:val="24"/>
          <w:szCs w:val="24"/>
        </w:rPr>
      </w:pPr>
      <w:r>
        <w:rPr>
          <w:b/>
          <w:bCs/>
          <w:spacing w:val="-7"/>
          <w:sz w:val="24"/>
          <w:szCs w:val="24"/>
        </w:rPr>
        <w:t>3.1</w:t>
      </w:r>
      <w:r>
        <w:rPr>
          <w:spacing w:val="-25"/>
          <w:sz w:val="24"/>
          <w:szCs w:val="24"/>
        </w:rPr>
        <w:t xml:space="preserve"> </w:t>
      </w:r>
      <w:r>
        <w:rPr>
          <w:rFonts w:ascii="黑体" w:hAnsi="黑体" w:eastAsia="黑体" w:cs="黑体"/>
          <w:b/>
          <w:bCs/>
          <w:spacing w:val="-7"/>
          <w:sz w:val="24"/>
          <w:szCs w:val="24"/>
        </w:rPr>
        <w:t>监理人的职责和权力</w:t>
      </w:r>
    </w:p>
    <w:p w14:paraId="223ED9A2">
      <w:pPr>
        <w:pStyle w:val="2"/>
        <w:spacing w:before="135" w:line="381" w:lineRule="auto"/>
        <w:ind w:firstLine="429"/>
        <w:rPr>
          <w:sz w:val="20"/>
          <w:szCs w:val="20"/>
        </w:rPr>
      </w:pPr>
      <w:r>
        <w:rPr>
          <w:spacing w:val="10"/>
          <w:sz w:val="20"/>
          <w:szCs w:val="20"/>
        </w:rPr>
        <w:t>3.1.1监理人受发包人委托，享有合同约定的权力。监理人在行使</w:t>
      </w:r>
      <w:r>
        <w:rPr>
          <w:spacing w:val="9"/>
          <w:sz w:val="20"/>
          <w:szCs w:val="20"/>
        </w:rPr>
        <w:t>某项权力前需要经发包人事</w:t>
      </w:r>
      <w:r>
        <w:rPr>
          <w:sz w:val="20"/>
          <w:szCs w:val="20"/>
        </w:rPr>
        <w:t xml:space="preserve"> </w:t>
      </w:r>
      <w:r>
        <w:rPr>
          <w:spacing w:val="9"/>
          <w:sz w:val="20"/>
          <w:szCs w:val="20"/>
        </w:rPr>
        <w:t>先批准而通用合同条款没有指明的，应在专用合同条款</w:t>
      </w:r>
      <w:r>
        <w:rPr>
          <w:spacing w:val="8"/>
          <w:sz w:val="20"/>
          <w:szCs w:val="20"/>
        </w:rPr>
        <w:t>中指明。</w:t>
      </w:r>
    </w:p>
    <w:p w14:paraId="6F1848D3">
      <w:pPr>
        <w:spacing w:line="381" w:lineRule="auto"/>
        <w:rPr>
          <w:sz w:val="20"/>
          <w:szCs w:val="20"/>
        </w:rPr>
        <w:sectPr>
          <w:footerReference r:id="rId117" w:type="default"/>
          <w:pgSz w:w="11910" w:h="16840"/>
          <w:pgMar w:top="400" w:right="1510" w:bottom="1017" w:left="1450" w:header="0" w:footer="891" w:gutter="0"/>
          <w:cols w:space="720" w:num="1"/>
        </w:sectPr>
      </w:pPr>
    </w:p>
    <w:p w14:paraId="3A864CE8">
      <w:pPr>
        <w:spacing w:line="272" w:lineRule="auto"/>
        <w:rPr>
          <w:rFonts w:ascii="Arial"/>
          <w:sz w:val="21"/>
        </w:rPr>
      </w:pPr>
    </w:p>
    <w:p w14:paraId="0E7D5175">
      <w:pPr>
        <w:spacing w:line="273" w:lineRule="auto"/>
        <w:rPr>
          <w:rFonts w:ascii="Arial"/>
          <w:sz w:val="21"/>
        </w:rPr>
      </w:pPr>
    </w:p>
    <w:p w14:paraId="12534342">
      <w:pPr>
        <w:spacing w:line="273" w:lineRule="auto"/>
        <w:rPr>
          <w:rFonts w:ascii="Arial"/>
          <w:sz w:val="21"/>
        </w:rPr>
      </w:pPr>
    </w:p>
    <w:p w14:paraId="1B21B3E5">
      <w:pPr>
        <w:spacing w:line="273" w:lineRule="auto"/>
        <w:rPr>
          <w:rFonts w:ascii="Arial"/>
          <w:sz w:val="21"/>
        </w:rPr>
      </w:pPr>
    </w:p>
    <w:p w14:paraId="34A92BEB">
      <w:pPr>
        <w:spacing w:line="273" w:lineRule="auto"/>
        <w:rPr>
          <w:rFonts w:ascii="Arial"/>
          <w:sz w:val="21"/>
        </w:rPr>
      </w:pPr>
    </w:p>
    <w:p w14:paraId="7C716343">
      <w:pPr>
        <w:pStyle w:val="2"/>
        <w:spacing w:before="65" w:line="299" w:lineRule="auto"/>
        <w:ind w:right="3" w:firstLine="429"/>
        <w:rPr>
          <w:sz w:val="20"/>
          <w:szCs w:val="20"/>
        </w:rPr>
      </w:pPr>
      <w:r>
        <w:rPr>
          <w:spacing w:val="7"/>
          <w:sz w:val="20"/>
          <w:szCs w:val="20"/>
        </w:rPr>
        <w:t>3.1.2 监理人发出的任何指示应视为已得到发包人的批准，但监理人无权免除</w:t>
      </w:r>
      <w:r>
        <w:rPr>
          <w:spacing w:val="6"/>
          <w:sz w:val="20"/>
          <w:szCs w:val="20"/>
        </w:rPr>
        <w:t>或变更合同约定</w:t>
      </w:r>
      <w:r>
        <w:rPr>
          <w:sz w:val="20"/>
          <w:szCs w:val="20"/>
        </w:rPr>
        <w:t xml:space="preserve"> </w:t>
      </w:r>
      <w:r>
        <w:rPr>
          <w:spacing w:val="8"/>
          <w:sz w:val="20"/>
          <w:szCs w:val="20"/>
        </w:rPr>
        <w:t>的发包人和承包人的权利、义务和责任。</w:t>
      </w:r>
    </w:p>
    <w:p w14:paraId="021A78BC">
      <w:pPr>
        <w:pStyle w:val="2"/>
        <w:spacing w:before="141" w:line="294" w:lineRule="auto"/>
        <w:ind w:right="6" w:firstLine="429"/>
        <w:rPr>
          <w:sz w:val="20"/>
          <w:szCs w:val="20"/>
        </w:rPr>
      </w:pPr>
      <w:r>
        <w:rPr>
          <w:spacing w:val="9"/>
          <w:sz w:val="20"/>
          <w:szCs w:val="20"/>
        </w:rPr>
        <w:t>3.1.3合同约定应由承包人承担的义务和责任，不因监理人对承包人提交文件的审查或批准，</w:t>
      </w:r>
      <w:r>
        <w:rPr>
          <w:spacing w:val="11"/>
          <w:sz w:val="20"/>
          <w:szCs w:val="20"/>
        </w:rPr>
        <w:t xml:space="preserve"> </w:t>
      </w:r>
      <w:r>
        <w:rPr>
          <w:spacing w:val="9"/>
          <w:sz w:val="20"/>
          <w:szCs w:val="20"/>
        </w:rPr>
        <w:t>对工程、材料和设备的检查和检验，以及为实施监理作出的指示等职务行为而减轻或解除。</w:t>
      </w:r>
    </w:p>
    <w:p w14:paraId="3D1B5DEF">
      <w:pPr>
        <w:pStyle w:val="2"/>
        <w:spacing w:before="142" w:line="219" w:lineRule="auto"/>
        <w:ind w:left="2"/>
        <w:rPr>
          <w:sz w:val="24"/>
          <w:szCs w:val="24"/>
        </w:rPr>
      </w:pPr>
      <w:r>
        <w:rPr>
          <w:b/>
          <w:bCs/>
          <w:spacing w:val="-11"/>
          <w:sz w:val="24"/>
          <w:szCs w:val="24"/>
        </w:rPr>
        <w:t>3.2</w:t>
      </w:r>
      <w:r>
        <w:rPr>
          <w:spacing w:val="-11"/>
          <w:sz w:val="24"/>
          <w:szCs w:val="24"/>
        </w:rPr>
        <w:t xml:space="preserve"> </w:t>
      </w:r>
      <w:r>
        <w:rPr>
          <w:b/>
          <w:bCs/>
          <w:spacing w:val="-11"/>
          <w:sz w:val="24"/>
          <w:szCs w:val="24"/>
        </w:rPr>
        <w:t>总监理工程师</w:t>
      </w:r>
    </w:p>
    <w:p w14:paraId="20EB98FC">
      <w:pPr>
        <w:pStyle w:val="2"/>
        <w:spacing w:before="156" w:line="357" w:lineRule="auto"/>
        <w:ind w:right="5" w:firstLine="429"/>
        <w:jc w:val="both"/>
        <w:rPr>
          <w:sz w:val="20"/>
          <w:szCs w:val="20"/>
        </w:rPr>
      </w:pPr>
      <w:r>
        <w:rPr>
          <w:spacing w:val="13"/>
          <w:sz w:val="20"/>
          <w:szCs w:val="20"/>
        </w:rPr>
        <w:t>发包人应在发出开工通知前将总监理工程师</w:t>
      </w:r>
      <w:r>
        <w:rPr>
          <w:spacing w:val="12"/>
          <w:sz w:val="20"/>
          <w:szCs w:val="20"/>
        </w:rPr>
        <w:t>的任命通知承包人。总监理工程师更换时，应在</w:t>
      </w:r>
      <w:r>
        <w:rPr>
          <w:sz w:val="20"/>
          <w:szCs w:val="20"/>
        </w:rPr>
        <w:t xml:space="preserve"> </w:t>
      </w:r>
      <w:r>
        <w:rPr>
          <w:spacing w:val="11"/>
          <w:sz w:val="20"/>
          <w:szCs w:val="20"/>
        </w:rPr>
        <w:t>调离14天前通知承包人。总监理工程师短期离开施工场地的，应委派代表代行其职责，并通知承</w:t>
      </w:r>
      <w:r>
        <w:rPr>
          <w:spacing w:val="15"/>
          <w:sz w:val="20"/>
          <w:szCs w:val="20"/>
        </w:rPr>
        <w:t xml:space="preserve"> </w:t>
      </w:r>
      <w:r>
        <w:rPr>
          <w:sz w:val="20"/>
          <w:szCs w:val="20"/>
        </w:rPr>
        <w:t>包人。</w:t>
      </w:r>
    </w:p>
    <w:p w14:paraId="2C82AA09">
      <w:pPr>
        <w:pStyle w:val="2"/>
        <w:spacing w:before="1" w:line="220" w:lineRule="auto"/>
        <w:ind w:left="2"/>
        <w:rPr>
          <w:sz w:val="24"/>
          <w:szCs w:val="24"/>
        </w:rPr>
      </w:pPr>
      <w:r>
        <w:rPr>
          <w:b/>
          <w:bCs/>
          <w:spacing w:val="-9"/>
          <w:sz w:val="24"/>
          <w:szCs w:val="24"/>
        </w:rPr>
        <w:t>3.3</w:t>
      </w:r>
      <w:r>
        <w:rPr>
          <w:spacing w:val="-9"/>
          <w:sz w:val="24"/>
          <w:szCs w:val="24"/>
        </w:rPr>
        <w:t xml:space="preserve"> </w:t>
      </w:r>
      <w:r>
        <w:rPr>
          <w:b/>
          <w:bCs/>
          <w:spacing w:val="-9"/>
          <w:sz w:val="24"/>
          <w:szCs w:val="24"/>
        </w:rPr>
        <w:t>监理人员</w:t>
      </w:r>
    </w:p>
    <w:p w14:paraId="20FE7BC1">
      <w:pPr>
        <w:pStyle w:val="2"/>
        <w:spacing w:before="121" w:line="332" w:lineRule="auto"/>
        <w:ind w:right="4" w:firstLine="429"/>
        <w:rPr>
          <w:sz w:val="20"/>
          <w:szCs w:val="20"/>
        </w:rPr>
      </w:pPr>
      <w:r>
        <w:rPr>
          <w:spacing w:val="7"/>
          <w:sz w:val="20"/>
          <w:szCs w:val="20"/>
        </w:rPr>
        <w:t>3.3.1 总监理工程师可以授权其他监理人员负责执行其指派的一项或多项监</w:t>
      </w:r>
      <w:r>
        <w:rPr>
          <w:spacing w:val="6"/>
          <w:sz w:val="20"/>
          <w:szCs w:val="20"/>
        </w:rPr>
        <w:t>理工作。总监理工</w:t>
      </w:r>
      <w:r>
        <w:rPr>
          <w:sz w:val="20"/>
          <w:szCs w:val="20"/>
        </w:rPr>
        <w:t xml:space="preserve"> </w:t>
      </w:r>
      <w:r>
        <w:rPr>
          <w:spacing w:val="12"/>
          <w:sz w:val="20"/>
          <w:szCs w:val="20"/>
        </w:rPr>
        <w:t>程师应将被授权监理人员的姓名及其授权范围通知承包人。被授权的监理人员在授权范围内</w:t>
      </w:r>
      <w:r>
        <w:rPr>
          <w:spacing w:val="11"/>
          <w:sz w:val="20"/>
          <w:szCs w:val="20"/>
        </w:rPr>
        <w:t>发出</w:t>
      </w:r>
      <w:r>
        <w:rPr>
          <w:sz w:val="20"/>
          <w:szCs w:val="20"/>
        </w:rPr>
        <w:t xml:space="preserve"> </w:t>
      </w:r>
      <w:r>
        <w:rPr>
          <w:spacing w:val="12"/>
          <w:sz w:val="20"/>
          <w:szCs w:val="20"/>
        </w:rPr>
        <w:t>的指示视为已得到总监理工程师的同意，与总监理工程师发出的指示具有同等效力。总监理工程</w:t>
      </w:r>
      <w:r>
        <w:rPr>
          <w:spacing w:val="2"/>
          <w:sz w:val="20"/>
          <w:szCs w:val="20"/>
        </w:rPr>
        <w:t xml:space="preserve"> </w:t>
      </w:r>
      <w:r>
        <w:rPr>
          <w:spacing w:val="9"/>
          <w:sz w:val="20"/>
          <w:szCs w:val="20"/>
        </w:rPr>
        <w:t>师撤销某项授权时，应将撤销授权的决定及时通知承包人。</w:t>
      </w:r>
    </w:p>
    <w:p w14:paraId="195ECB30">
      <w:pPr>
        <w:pStyle w:val="2"/>
        <w:spacing w:before="193" w:line="313" w:lineRule="auto"/>
        <w:ind w:right="3" w:firstLine="429"/>
        <w:rPr>
          <w:sz w:val="20"/>
          <w:szCs w:val="20"/>
        </w:rPr>
      </w:pPr>
      <w:r>
        <w:rPr>
          <w:spacing w:val="7"/>
          <w:sz w:val="20"/>
          <w:szCs w:val="20"/>
        </w:rPr>
        <w:t>3.3.2 监理人员对承包人的任何工作、工程或其采用的材料和工程设备未在约</w:t>
      </w:r>
      <w:r>
        <w:rPr>
          <w:spacing w:val="6"/>
          <w:sz w:val="20"/>
          <w:szCs w:val="20"/>
        </w:rPr>
        <w:t>定的或合理的期</w:t>
      </w:r>
      <w:r>
        <w:rPr>
          <w:sz w:val="20"/>
          <w:szCs w:val="20"/>
        </w:rPr>
        <w:t xml:space="preserve"> </w:t>
      </w:r>
      <w:r>
        <w:rPr>
          <w:spacing w:val="12"/>
          <w:sz w:val="20"/>
          <w:szCs w:val="20"/>
        </w:rPr>
        <w:t>限内提出否定意见的，视为已获批准，但不影响监理人在以后拒绝该项工作、工程、材料或工程</w:t>
      </w:r>
      <w:r>
        <w:rPr>
          <w:spacing w:val="2"/>
          <w:sz w:val="20"/>
          <w:szCs w:val="20"/>
        </w:rPr>
        <w:t xml:space="preserve"> </w:t>
      </w:r>
      <w:r>
        <w:rPr>
          <w:spacing w:val="3"/>
          <w:sz w:val="20"/>
          <w:szCs w:val="20"/>
        </w:rPr>
        <w:t>设备的权利。</w:t>
      </w:r>
    </w:p>
    <w:p w14:paraId="7578CFB4">
      <w:pPr>
        <w:pStyle w:val="2"/>
        <w:spacing w:before="181" w:line="295" w:lineRule="auto"/>
        <w:ind w:right="3" w:firstLine="429"/>
        <w:rPr>
          <w:sz w:val="20"/>
          <w:szCs w:val="20"/>
        </w:rPr>
      </w:pPr>
      <w:r>
        <w:rPr>
          <w:spacing w:val="9"/>
          <w:sz w:val="20"/>
          <w:szCs w:val="20"/>
        </w:rPr>
        <w:t>3.3.3承包人对总监理工程师授权的监理人员发出的指示有疑问的，可向总监理工程师提出书</w:t>
      </w:r>
      <w:r>
        <w:rPr>
          <w:spacing w:val="15"/>
          <w:sz w:val="20"/>
          <w:szCs w:val="20"/>
        </w:rPr>
        <w:t xml:space="preserve"> </w:t>
      </w:r>
      <w:r>
        <w:rPr>
          <w:spacing w:val="12"/>
          <w:sz w:val="20"/>
          <w:szCs w:val="20"/>
        </w:rPr>
        <w:t>面异议，总监理工程师应在48小时内对该指示予以确认、更改或撤销。</w:t>
      </w:r>
    </w:p>
    <w:p w14:paraId="31C226A1">
      <w:pPr>
        <w:pStyle w:val="2"/>
        <w:spacing w:before="163" w:line="294" w:lineRule="auto"/>
        <w:ind w:right="12" w:firstLine="429"/>
        <w:rPr>
          <w:sz w:val="20"/>
          <w:szCs w:val="20"/>
        </w:rPr>
      </w:pPr>
      <w:r>
        <w:rPr>
          <w:spacing w:val="9"/>
          <w:sz w:val="20"/>
          <w:szCs w:val="20"/>
        </w:rPr>
        <w:t>3.3.4 除专用合同条款另有约定外，总监理工程师不应将第3.5</w:t>
      </w:r>
      <w:r>
        <w:rPr>
          <w:spacing w:val="8"/>
          <w:sz w:val="20"/>
          <w:szCs w:val="20"/>
        </w:rPr>
        <w:t>款约定应由总监理工程师作出</w:t>
      </w:r>
      <w:r>
        <w:rPr>
          <w:sz w:val="20"/>
          <w:szCs w:val="20"/>
        </w:rPr>
        <w:t xml:space="preserve"> </w:t>
      </w:r>
      <w:r>
        <w:rPr>
          <w:spacing w:val="8"/>
          <w:sz w:val="20"/>
          <w:szCs w:val="20"/>
        </w:rPr>
        <w:t>确定的权力授权或委托给其他监理人员。</w:t>
      </w:r>
    </w:p>
    <w:p w14:paraId="184909EC">
      <w:pPr>
        <w:pStyle w:val="2"/>
        <w:spacing w:before="132" w:line="221" w:lineRule="auto"/>
        <w:ind w:left="3"/>
        <w:rPr>
          <w:sz w:val="24"/>
          <w:szCs w:val="24"/>
        </w:rPr>
      </w:pPr>
      <w:r>
        <w:rPr>
          <w:b/>
          <w:bCs/>
          <w:spacing w:val="-9"/>
          <w:sz w:val="24"/>
          <w:szCs w:val="24"/>
        </w:rPr>
        <w:t>3.4</w:t>
      </w:r>
      <w:r>
        <w:rPr>
          <w:spacing w:val="-9"/>
          <w:sz w:val="24"/>
          <w:szCs w:val="24"/>
        </w:rPr>
        <w:t xml:space="preserve"> </w:t>
      </w:r>
      <w:r>
        <w:rPr>
          <w:b/>
          <w:bCs/>
          <w:spacing w:val="-9"/>
          <w:sz w:val="24"/>
          <w:szCs w:val="24"/>
        </w:rPr>
        <w:t>监理人的指示</w:t>
      </w:r>
    </w:p>
    <w:p w14:paraId="08A08144">
      <w:pPr>
        <w:pStyle w:val="2"/>
        <w:spacing w:before="142" w:line="294" w:lineRule="auto"/>
        <w:ind w:right="5" w:firstLine="429"/>
        <w:rPr>
          <w:sz w:val="20"/>
          <w:szCs w:val="20"/>
        </w:rPr>
      </w:pPr>
      <w:r>
        <w:rPr>
          <w:spacing w:val="9"/>
          <w:sz w:val="20"/>
          <w:szCs w:val="20"/>
        </w:rPr>
        <w:t>3.4.1 监理人应按第3.1款的约定向承包人发出指示，监理人的指示应盖有监理人</w:t>
      </w:r>
      <w:r>
        <w:rPr>
          <w:spacing w:val="8"/>
          <w:sz w:val="20"/>
          <w:szCs w:val="20"/>
        </w:rPr>
        <w:t>授权的施工</w:t>
      </w:r>
      <w:r>
        <w:rPr>
          <w:sz w:val="20"/>
          <w:szCs w:val="20"/>
        </w:rPr>
        <w:t xml:space="preserve"> </w:t>
      </w:r>
      <w:r>
        <w:rPr>
          <w:spacing w:val="10"/>
          <w:sz w:val="20"/>
          <w:szCs w:val="20"/>
        </w:rPr>
        <w:t>场地机构章，并由总监理工程师或总监理工程师按第3.3.1项约</w:t>
      </w:r>
      <w:r>
        <w:rPr>
          <w:spacing w:val="9"/>
          <w:sz w:val="20"/>
          <w:szCs w:val="20"/>
        </w:rPr>
        <w:t>定授权的监理人员签字。</w:t>
      </w:r>
    </w:p>
    <w:p w14:paraId="35FC55C6">
      <w:pPr>
        <w:pStyle w:val="2"/>
        <w:spacing w:before="155" w:line="294" w:lineRule="auto"/>
        <w:ind w:right="4" w:firstLine="429"/>
        <w:rPr>
          <w:sz w:val="20"/>
          <w:szCs w:val="20"/>
        </w:rPr>
      </w:pPr>
      <w:r>
        <w:rPr>
          <w:spacing w:val="11"/>
          <w:sz w:val="20"/>
          <w:szCs w:val="20"/>
        </w:rPr>
        <w:t>3.4.2承包人收到监理人按第3.4.1项作出的指示后应遵照执行。指示构成变更的，</w:t>
      </w:r>
      <w:r>
        <w:rPr>
          <w:spacing w:val="10"/>
          <w:sz w:val="20"/>
          <w:szCs w:val="20"/>
        </w:rPr>
        <w:t>应按第15</w:t>
      </w:r>
      <w:r>
        <w:rPr>
          <w:sz w:val="20"/>
          <w:szCs w:val="20"/>
        </w:rPr>
        <w:t xml:space="preserve"> </w:t>
      </w:r>
      <w:r>
        <w:rPr>
          <w:spacing w:val="2"/>
          <w:sz w:val="20"/>
          <w:szCs w:val="20"/>
        </w:rPr>
        <w:t>条处理。</w:t>
      </w:r>
    </w:p>
    <w:p w14:paraId="6CB19921">
      <w:pPr>
        <w:pStyle w:val="2"/>
        <w:spacing w:before="151" w:line="319" w:lineRule="auto"/>
        <w:ind w:right="7" w:firstLine="429"/>
        <w:rPr>
          <w:sz w:val="20"/>
          <w:szCs w:val="20"/>
        </w:rPr>
      </w:pPr>
      <w:r>
        <w:rPr>
          <w:spacing w:val="7"/>
          <w:sz w:val="20"/>
          <w:szCs w:val="20"/>
        </w:rPr>
        <w:t>3.4.3 在紧急情况下，总监理工程师或被授权的监理人员可以当场签</w:t>
      </w:r>
      <w:r>
        <w:rPr>
          <w:spacing w:val="6"/>
          <w:sz w:val="20"/>
          <w:szCs w:val="20"/>
        </w:rPr>
        <w:t>发临时书面指示，承包人</w:t>
      </w:r>
      <w:r>
        <w:rPr>
          <w:sz w:val="20"/>
          <w:szCs w:val="20"/>
        </w:rPr>
        <w:t xml:space="preserve"> </w:t>
      </w:r>
      <w:r>
        <w:rPr>
          <w:spacing w:val="12"/>
          <w:sz w:val="20"/>
          <w:szCs w:val="20"/>
        </w:rPr>
        <w:t>应遵照执行。承包人应在收到上述临时书面指示后24小时内，向监理人发出</w:t>
      </w:r>
      <w:r>
        <w:rPr>
          <w:spacing w:val="11"/>
          <w:sz w:val="20"/>
          <w:szCs w:val="20"/>
        </w:rPr>
        <w:t>书面确认函。监理人</w:t>
      </w:r>
      <w:r>
        <w:rPr>
          <w:sz w:val="20"/>
          <w:szCs w:val="20"/>
        </w:rPr>
        <w:t xml:space="preserve"> </w:t>
      </w:r>
      <w:r>
        <w:rPr>
          <w:spacing w:val="12"/>
          <w:sz w:val="20"/>
          <w:szCs w:val="20"/>
        </w:rPr>
        <w:t>在收到书面确认函后24小时内未予答复的，该书面确认函应被视为监理人的正式指示。</w:t>
      </w:r>
    </w:p>
    <w:p w14:paraId="195B2B2D">
      <w:pPr>
        <w:pStyle w:val="2"/>
        <w:spacing w:before="184" w:line="296" w:lineRule="auto"/>
        <w:ind w:right="8" w:firstLine="429"/>
        <w:rPr>
          <w:sz w:val="20"/>
          <w:szCs w:val="20"/>
        </w:rPr>
      </w:pPr>
      <w:r>
        <w:rPr>
          <w:spacing w:val="9"/>
          <w:sz w:val="20"/>
          <w:szCs w:val="20"/>
        </w:rPr>
        <w:t>3.4.4 除合同另有约定外，承包人只从总监理工程师或按</w:t>
      </w:r>
      <w:r>
        <w:rPr>
          <w:spacing w:val="8"/>
          <w:sz w:val="20"/>
          <w:szCs w:val="20"/>
        </w:rPr>
        <w:t>第3.3.1项被授权的监理人员处取得</w:t>
      </w:r>
      <w:r>
        <w:rPr>
          <w:sz w:val="20"/>
          <w:szCs w:val="20"/>
        </w:rPr>
        <w:t xml:space="preserve"> 指示。</w:t>
      </w:r>
    </w:p>
    <w:p w14:paraId="4B8D6E54">
      <w:pPr>
        <w:pStyle w:val="2"/>
        <w:spacing w:before="158" w:line="290" w:lineRule="auto"/>
        <w:ind w:left="109" w:firstLine="320"/>
        <w:rPr>
          <w:sz w:val="20"/>
          <w:szCs w:val="20"/>
        </w:rPr>
      </w:pPr>
      <w:r>
        <w:rPr>
          <w:spacing w:val="12"/>
          <w:sz w:val="20"/>
          <w:szCs w:val="20"/>
        </w:rPr>
        <w:t>3.4.5 由于监理人未能按合同约定发出指示、指示延误或指示错误</w:t>
      </w:r>
      <w:r>
        <w:rPr>
          <w:spacing w:val="11"/>
          <w:sz w:val="20"/>
          <w:szCs w:val="20"/>
        </w:rPr>
        <w:t>而导致承包人费用增加和</w:t>
      </w:r>
      <w:r>
        <w:rPr>
          <w:sz w:val="20"/>
          <w:szCs w:val="20"/>
        </w:rPr>
        <w:t xml:space="preserve"> </w:t>
      </w:r>
      <w:r>
        <w:rPr>
          <w:spacing w:val="14"/>
          <w:sz w:val="20"/>
          <w:szCs w:val="20"/>
        </w:rPr>
        <w:t>(或)工期延误的，由发包人承担赔偿责任。</w:t>
      </w:r>
    </w:p>
    <w:p w14:paraId="60A7BC8C">
      <w:pPr>
        <w:spacing w:line="290" w:lineRule="auto"/>
        <w:rPr>
          <w:sz w:val="20"/>
          <w:szCs w:val="20"/>
        </w:rPr>
        <w:sectPr>
          <w:footerReference r:id="rId118" w:type="default"/>
          <w:pgSz w:w="11910" w:h="16840"/>
          <w:pgMar w:top="400" w:right="1523" w:bottom="1024" w:left="1450" w:header="0" w:footer="889" w:gutter="0"/>
          <w:cols w:space="720" w:num="1"/>
        </w:sectPr>
      </w:pPr>
    </w:p>
    <w:p w14:paraId="2015BA47">
      <w:pPr>
        <w:spacing w:line="263" w:lineRule="auto"/>
        <w:rPr>
          <w:rFonts w:ascii="Arial"/>
          <w:sz w:val="21"/>
        </w:rPr>
      </w:pPr>
    </w:p>
    <w:p w14:paraId="4AB8AB2A">
      <w:pPr>
        <w:spacing w:line="263" w:lineRule="auto"/>
        <w:rPr>
          <w:rFonts w:ascii="Arial"/>
          <w:sz w:val="21"/>
        </w:rPr>
      </w:pPr>
    </w:p>
    <w:p w14:paraId="3579484A">
      <w:pPr>
        <w:spacing w:line="264" w:lineRule="auto"/>
        <w:rPr>
          <w:rFonts w:ascii="Arial"/>
          <w:sz w:val="21"/>
        </w:rPr>
      </w:pPr>
    </w:p>
    <w:p w14:paraId="031349AE">
      <w:pPr>
        <w:spacing w:line="264" w:lineRule="auto"/>
        <w:rPr>
          <w:rFonts w:ascii="Arial"/>
          <w:sz w:val="21"/>
        </w:rPr>
      </w:pPr>
    </w:p>
    <w:p w14:paraId="760697F2">
      <w:pPr>
        <w:spacing w:line="264" w:lineRule="auto"/>
        <w:rPr>
          <w:rFonts w:ascii="Arial"/>
          <w:sz w:val="21"/>
        </w:rPr>
      </w:pPr>
    </w:p>
    <w:p w14:paraId="6946E8C2">
      <w:pPr>
        <w:pStyle w:val="2"/>
        <w:spacing w:before="78" w:line="222" w:lineRule="auto"/>
        <w:ind w:left="2"/>
        <w:rPr>
          <w:rFonts w:ascii="黑体" w:hAnsi="黑体" w:eastAsia="黑体" w:cs="黑体"/>
          <w:sz w:val="24"/>
          <w:szCs w:val="24"/>
        </w:rPr>
      </w:pPr>
      <w:r>
        <w:rPr>
          <w:b/>
          <w:bCs/>
          <w:spacing w:val="-13"/>
          <w:sz w:val="24"/>
          <w:szCs w:val="24"/>
        </w:rPr>
        <w:t>3.5</w:t>
      </w:r>
      <w:r>
        <w:rPr>
          <w:spacing w:val="19"/>
          <w:sz w:val="24"/>
          <w:szCs w:val="24"/>
        </w:rPr>
        <w:t xml:space="preserve"> </w:t>
      </w:r>
      <w:r>
        <w:rPr>
          <w:rFonts w:ascii="黑体" w:hAnsi="黑体" w:eastAsia="黑体" w:cs="黑体"/>
          <w:b/>
          <w:bCs/>
          <w:spacing w:val="-13"/>
          <w:sz w:val="24"/>
          <w:szCs w:val="24"/>
        </w:rPr>
        <w:t>商定或确定</w:t>
      </w:r>
    </w:p>
    <w:p w14:paraId="24D5627F">
      <w:pPr>
        <w:pStyle w:val="2"/>
        <w:spacing w:before="123" w:line="365" w:lineRule="auto"/>
        <w:ind w:right="50" w:firstLine="439"/>
        <w:rPr>
          <w:sz w:val="20"/>
          <w:szCs w:val="20"/>
        </w:rPr>
      </w:pPr>
      <w:r>
        <w:rPr>
          <w:rFonts w:ascii="黑体" w:hAnsi="黑体" w:eastAsia="黑体" w:cs="黑体"/>
          <w:spacing w:val="9"/>
          <w:sz w:val="20"/>
          <w:szCs w:val="20"/>
        </w:rPr>
        <w:t>3.5.1合同约定总监理工程师应按照本款对任何事项进行商定或确定时，总监理工程师应与合</w:t>
      </w:r>
      <w:r>
        <w:rPr>
          <w:rFonts w:ascii="黑体" w:hAnsi="黑体" w:eastAsia="黑体" w:cs="黑体"/>
          <w:spacing w:val="1"/>
          <w:sz w:val="20"/>
          <w:szCs w:val="20"/>
        </w:rPr>
        <w:t xml:space="preserve"> </w:t>
      </w:r>
      <w:r>
        <w:rPr>
          <w:spacing w:val="10"/>
          <w:sz w:val="20"/>
          <w:szCs w:val="20"/>
        </w:rPr>
        <w:t>同当事人协商，尽量达成一致。不能达成一致的，总监理工程</w:t>
      </w:r>
      <w:r>
        <w:rPr>
          <w:spacing w:val="9"/>
          <w:sz w:val="20"/>
          <w:szCs w:val="20"/>
        </w:rPr>
        <w:t>师应认真研究后审慎确定。</w:t>
      </w:r>
    </w:p>
    <w:p w14:paraId="505C1DA3">
      <w:pPr>
        <w:pStyle w:val="2"/>
        <w:spacing w:before="1" w:line="378" w:lineRule="auto"/>
        <w:ind w:right="50" w:firstLine="439"/>
        <w:jc w:val="both"/>
        <w:rPr>
          <w:sz w:val="20"/>
          <w:szCs w:val="20"/>
        </w:rPr>
      </w:pPr>
      <w:r>
        <w:rPr>
          <w:spacing w:val="7"/>
          <w:sz w:val="20"/>
          <w:szCs w:val="20"/>
        </w:rPr>
        <w:t xml:space="preserve">3.5.2 </w:t>
      </w:r>
      <w:r>
        <w:rPr>
          <w:rFonts w:ascii="黑体" w:hAnsi="黑体" w:eastAsia="黑体" w:cs="黑体"/>
          <w:spacing w:val="7"/>
          <w:sz w:val="20"/>
          <w:szCs w:val="20"/>
        </w:rPr>
        <w:t>总监理工程师应将商定或确定的事项通知合</w:t>
      </w:r>
      <w:r>
        <w:rPr>
          <w:rFonts w:ascii="黑体" w:hAnsi="黑体" w:eastAsia="黑体" w:cs="黑体"/>
          <w:spacing w:val="6"/>
          <w:sz w:val="20"/>
          <w:szCs w:val="20"/>
        </w:rPr>
        <w:t>同当事人，并附详细依据。对总监理工程师</w:t>
      </w:r>
      <w:r>
        <w:rPr>
          <w:rFonts w:ascii="黑体" w:hAnsi="黑体" w:eastAsia="黑体" w:cs="黑体"/>
          <w:sz w:val="20"/>
          <w:szCs w:val="20"/>
        </w:rPr>
        <w:t xml:space="preserve"> </w:t>
      </w:r>
      <w:r>
        <w:rPr>
          <w:spacing w:val="12"/>
          <w:sz w:val="20"/>
          <w:szCs w:val="20"/>
        </w:rPr>
        <w:t>的确定有异议的，构成争议，按照第24条的约定处理。在争议解决前，双方应暂按总监理工程师</w:t>
      </w:r>
      <w:r>
        <w:rPr>
          <w:spacing w:val="13"/>
          <w:sz w:val="20"/>
          <w:szCs w:val="20"/>
        </w:rPr>
        <w:t xml:space="preserve"> </w:t>
      </w:r>
      <w:r>
        <w:rPr>
          <w:spacing w:val="12"/>
          <w:sz w:val="20"/>
          <w:szCs w:val="20"/>
        </w:rPr>
        <w:t>的确定执行，按照第24条的约定对总监理工程师的确定作出修改的，按修改后的结果执行。</w:t>
      </w:r>
    </w:p>
    <w:p w14:paraId="4B2CBE9B">
      <w:pPr>
        <w:pStyle w:val="2"/>
        <w:spacing w:line="222" w:lineRule="auto"/>
        <w:ind w:left="4"/>
        <w:rPr>
          <w:rFonts w:ascii="黑体" w:hAnsi="黑体" w:eastAsia="黑体" w:cs="黑体"/>
          <w:sz w:val="30"/>
          <w:szCs w:val="30"/>
        </w:rPr>
      </w:pPr>
      <w:r>
        <w:rPr>
          <w:b/>
          <w:bCs/>
          <w:spacing w:val="-7"/>
          <w:sz w:val="30"/>
          <w:szCs w:val="30"/>
        </w:rPr>
        <w:t>4.</w:t>
      </w:r>
      <w:r>
        <w:rPr>
          <w:spacing w:val="-79"/>
          <w:sz w:val="30"/>
          <w:szCs w:val="30"/>
        </w:rPr>
        <w:t xml:space="preserve"> </w:t>
      </w:r>
      <w:r>
        <w:rPr>
          <w:rFonts w:ascii="黑体" w:hAnsi="黑体" w:eastAsia="黑体" w:cs="黑体"/>
          <w:b/>
          <w:bCs/>
          <w:spacing w:val="-7"/>
          <w:sz w:val="30"/>
          <w:szCs w:val="30"/>
        </w:rPr>
        <w:t>承包人</w:t>
      </w:r>
    </w:p>
    <w:p w14:paraId="51A4D07A">
      <w:pPr>
        <w:pStyle w:val="2"/>
        <w:spacing w:before="115" w:line="221" w:lineRule="auto"/>
        <w:ind w:left="2"/>
        <w:rPr>
          <w:rFonts w:ascii="黑体" w:hAnsi="黑体" w:eastAsia="黑体" w:cs="黑体"/>
          <w:sz w:val="24"/>
          <w:szCs w:val="24"/>
        </w:rPr>
      </w:pPr>
      <w:r>
        <w:rPr>
          <w:b/>
          <w:bCs/>
          <w:spacing w:val="-9"/>
          <w:sz w:val="24"/>
          <w:szCs w:val="24"/>
        </w:rPr>
        <w:t>4.1</w:t>
      </w:r>
      <w:r>
        <w:rPr>
          <w:spacing w:val="-9"/>
          <w:sz w:val="24"/>
          <w:szCs w:val="24"/>
        </w:rPr>
        <w:t xml:space="preserve"> </w:t>
      </w:r>
      <w:r>
        <w:rPr>
          <w:rFonts w:ascii="黑体" w:hAnsi="黑体" w:eastAsia="黑体" w:cs="黑体"/>
          <w:b/>
          <w:bCs/>
          <w:spacing w:val="-9"/>
          <w:sz w:val="24"/>
          <w:szCs w:val="24"/>
        </w:rPr>
        <w:t>承包人的一般义务</w:t>
      </w:r>
    </w:p>
    <w:p w14:paraId="5991F3BE">
      <w:pPr>
        <w:spacing w:before="132" w:line="222" w:lineRule="auto"/>
        <w:ind w:left="442"/>
        <w:rPr>
          <w:rFonts w:ascii="黑体" w:hAnsi="黑体" w:eastAsia="黑体" w:cs="黑体"/>
          <w:sz w:val="20"/>
          <w:szCs w:val="20"/>
        </w:rPr>
      </w:pPr>
      <w:r>
        <w:rPr>
          <w:rFonts w:ascii="黑体" w:hAnsi="黑体" w:eastAsia="黑体" w:cs="黑体"/>
          <w:b/>
          <w:bCs/>
          <w:spacing w:val="4"/>
          <w:sz w:val="20"/>
          <w:szCs w:val="20"/>
        </w:rPr>
        <w:t>4.1.1遵守法律</w:t>
      </w:r>
    </w:p>
    <w:p w14:paraId="1EB40F54">
      <w:pPr>
        <w:pStyle w:val="2"/>
        <w:spacing w:before="173" w:line="363" w:lineRule="auto"/>
        <w:ind w:right="52" w:firstLine="439"/>
        <w:rPr>
          <w:sz w:val="20"/>
          <w:szCs w:val="20"/>
        </w:rPr>
      </w:pPr>
      <w:r>
        <w:rPr>
          <w:spacing w:val="12"/>
          <w:sz w:val="20"/>
          <w:szCs w:val="20"/>
        </w:rPr>
        <w:t>承包人在履行合同过程中应遵守法律，并保证发包人免于承担因承包人违反法律而引起的任</w:t>
      </w:r>
      <w:r>
        <w:rPr>
          <w:spacing w:val="7"/>
          <w:sz w:val="20"/>
          <w:szCs w:val="20"/>
        </w:rPr>
        <w:t xml:space="preserve"> </w:t>
      </w:r>
      <w:r>
        <w:rPr>
          <w:spacing w:val="2"/>
          <w:sz w:val="20"/>
          <w:szCs w:val="20"/>
        </w:rPr>
        <w:t>何责任。</w:t>
      </w:r>
    </w:p>
    <w:p w14:paraId="2EC8E4E8">
      <w:pPr>
        <w:spacing w:before="1" w:line="220" w:lineRule="auto"/>
        <w:ind w:left="442"/>
        <w:rPr>
          <w:rFonts w:ascii="黑体" w:hAnsi="黑体" w:eastAsia="黑体" w:cs="黑体"/>
          <w:sz w:val="20"/>
          <w:szCs w:val="20"/>
        </w:rPr>
      </w:pPr>
      <w:r>
        <w:rPr>
          <w:rFonts w:ascii="黑体" w:hAnsi="黑体" w:eastAsia="黑体" w:cs="黑体"/>
          <w:b/>
          <w:bCs/>
          <w:spacing w:val="4"/>
          <w:sz w:val="20"/>
          <w:szCs w:val="20"/>
        </w:rPr>
        <w:t>4.1.2依法纳税</w:t>
      </w:r>
    </w:p>
    <w:p w14:paraId="5F4218AA">
      <w:pPr>
        <w:pStyle w:val="2"/>
        <w:spacing w:before="164" w:line="218" w:lineRule="auto"/>
        <w:ind w:left="439"/>
        <w:rPr>
          <w:sz w:val="20"/>
          <w:szCs w:val="20"/>
        </w:rPr>
      </w:pPr>
      <w:r>
        <w:rPr>
          <w:spacing w:val="9"/>
          <w:sz w:val="20"/>
          <w:szCs w:val="20"/>
        </w:rPr>
        <w:t>承包人应按有关法律规定纳税，应缴纳的税金包括在合同价格内。</w:t>
      </w:r>
    </w:p>
    <w:p w14:paraId="6F5234A5">
      <w:pPr>
        <w:spacing w:before="171" w:line="221" w:lineRule="auto"/>
        <w:ind w:left="442"/>
        <w:rPr>
          <w:rFonts w:ascii="黑体" w:hAnsi="黑体" w:eastAsia="黑体" w:cs="黑体"/>
          <w:sz w:val="20"/>
          <w:szCs w:val="20"/>
        </w:rPr>
      </w:pPr>
      <w:r>
        <w:rPr>
          <w:rFonts w:ascii="黑体" w:hAnsi="黑体" w:eastAsia="黑体" w:cs="黑体"/>
          <w:b/>
          <w:bCs/>
          <w:spacing w:val="6"/>
          <w:sz w:val="20"/>
          <w:szCs w:val="20"/>
        </w:rPr>
        <w:t>4.1.3完成各项承包工作</w:t>
      </w:r>
    </w:p>
    <w:p w14:paraId="4CAA886E">
      <w:pPr>
        <w:pStyle w:val="2"/>
        <w:spacing w:before="136" w:line="370" w:lineRule="auto"/>
        <w:ind w:right="52" w:firstLine="439"/>
        <w:rPr>
          <w:sz w:val="20"/>
          <w:szCs w:val="20"/>
        </w:rPr>
      </w:pPr>
      <w:r>
        <w:rPr>
          <w:spacing w:val="9"/>
          <w:sz w:val="20"/>
          <w:szCs w:val="20"/>
        </w:rPr>
        <w:t>承包人应按合同约定以及监理人根据第3.4款作出的指示，实施、完成全部工程，并修补工程</w:t>
      </w:r>
      <w:r>
        <w:rPr>
          <w:spacing w:val="8"/>
          <w:sz w:val="20"/>
          <w:szCs w:val="20"/>
        </w:rPr>
        <w:t xml:space="preserve"> </w:t>
      </w:r>
      <w:r>
        <w:rPr>
          <w:spacing w:val="11"/>
          <w:sz w:val="20"/>
          <w:szCs w:val="20"/>
        </w:rPr>
        <w:t>中的任何缺陷。除专用合同条款另有约定外，承包人应提供为完成合同工作所需的劳务、材料、</w:t>
      </w:r>
      <w:r>
        <w:rPr>
          <w:spacing w:val="16"/>
          <w:sz w:val="20"/>
          <w:szCs w:val="20"/>
        </w:rPr>
        <w:t xml:space="preserve"> </w:t>
      </w:r>
      <w:r>
        <w:rPr>
          <w:spacing w:val="12"/>
          <w:sz w:val="20"/>
          <w:szCs w:val="20"/>
        </w:rPr>
        <w:t>施工设备、工程设备和其他物品，并按合同约定负责临时设施的设计、建造、运行、维护、管理</w:t>
      </w:r>
      <w:r>
        <w:rPr>
          <w:spacing w:val="2"/>
          <w:sz w:val="20"/>
          <w:szCs w:val="20"/>
        </w:rPr>
        <w:t xml:space="preserve"> 和拆除。</w:t>
      </w:r>
    </w:p>
    <w:p w14:paraId="37C91C67">
      <w:pPr>
        <w:spacing w:before="21" w:line="221" w:lineRule="auto"/>
        <w:ind w:left="442"/>
        <w:rPr>
          <w:rFonts w:ascii="黑体" w:hAnsi="黑体" w:eastAsia="黑体" w:cs="黑体"/>
          <w:sz w:val="20"/>
          <w:szCs w:val="20"/>
        </w:rPr>
      </w:pPr>
      <w:r>
        <w:rPr>
          <w:rFonts w:ascii="黑体" w:hAnsi="黑体" w:eastAsia="黑体" w:cs="黑体"/>
          <w:b/>
          <w:bCs/>
          <w:spacing w:val="7"/>
          <w:sz w:val="20"/>
          <w:szCs w:val="20"/>
        </w:rPr>
        <w:t>4.1.4对施工作业和施工方法的完备性负责</w:t>
      </w:r>
    </w:p>
    <w:p w14:paraId="79C6C300">
      <w:pPr>
        <w:pStyle w:val="2"/>
        <w:spacing w:before="175" w:line="358" w:lineRule="auto"/>
        <w:ind w:right="52" w:firstLine="439"/>
        <w:rPr>
          <w:sz w:val="20"/>
          <w:szCs w:val="20"/>
        </w:rPr>
      </w:pPr>
      <w:r>
        <w:rPr>
          <w:spacing w:val="12"/>
          <w:sz w:val="20"/>
          <w:szCs w:val="20"/>
        </w:rPr>
        <w:t>承包人应按合同约定的工作内容和施工进度要求，编制施工组织设计和施工措施计划，并对</w:t>
      </w:r>
      <w:r>
        <w:rPr>
          <w:spacing w:val="7"/>
          <w:sz w:val="20"/>
          <w:szCs w:val="20"/>
        </w:rPr>
        <w:t xml:space="preserve"> </w:t>
      </w:r>
      <w:r>
        <w:rPr>
          <w:spacing w:val="9"/>
          <w:sz w:val="20"/>
          <w:szCs w:val="20"/>
        </w:rPr>
        <w:t>所有施工作业和施工方法的完备性和安全可靠性负责。</w:t>
      </w:r>
    </w:p>
    <w:p w14:paraId="1C0C6768">
      <w:pPr>
        <w:pStyle w:val="2"/>
        <w:spacing w:before="1" w:line="220" w:lineRule="auto"/>
        <w:ind w:left="442"/>
        <w:rPr>
          <w:rFonts w:ascii="黑体" w:hAnsi="黑体" w:eastAsia="黑体" w:cs="黑体"/>
          <w:sz w:val="20"/>
          <w:szCs w:val="20"/>
        </w:rPr>
      </w:pPr>
      <w:r>
        <w:rPr>
          <w:b/>
          <w:bCs/>
          <w:sz w:val="20"/>
          <w:szCs w:val="20"/>
        </w:rPr>
        <w:t>4.1.5</w:t>
      </w:r>
      <w:r>
        <w:rPr>
          <w:sz w:val="20"/>
          <w:szCs w:val="20"/>
        </w:rPr>
        <w:t xml:space="preserve"> </w:t>
      </w:r>
      <w:r>
        <w:rPr>
          <w:rFonts w:ascii="黑体" w:hAnsi="黑体" w:eastAsia="黑体" w:cs="黑体"/>
          <w:b/>
          <w:bCs/>
          <w:sz w:val="20"/>
          <w:szCs w:val="20"/>
        </w:rPr>
        <w:t>保证工程施工和人员的安全</w:t>
      </w:r>
    </w:p>
    <w:p w14:paraId="5CA5499B">
      <w:pPr>
        <w:pStyle w:val="2"/>
        <w:spacing w:before="163" w:line="363" w:lineRule="auto"/>
        <w:ind w:firstLine="439"/>
        <w:rPr>
          <w:sz w:val="20"/>
          <w:szCs w:val="20"/>
        </w:rPr>
      </w:pPr>
      <w:r>
        <w:rPr>
          <w:spacing w:val="11"/>
          <w:sz w:val="20"/>
          <w:szCs w:val="20"/>
        </w:rPr>
        <w:t>承包人应按第9.2款约定采取施工安全措</w:t>
      </w:r>
      <w:r>
        <w:rPr>
          <w:spacing w:val="10"/>
          <w:sz w:val="20"/>
          <w:szCs w:val="20"/>
        </w:rPr>
        <w:t>施，确保工程及其人员、材料、设备和设施的安全，</w:t>
      </w:r>
      <w:r>
        <w:rPr>
          <w:sz w:val="20"/>
          <w:szCs w:val="20"/>
        </w:rPr>
        <w:t xml:space="preserve"> </w:t>
      </w:r>
      <w:r>
        <w:rPr>
          <w:spacing w:val="9"/>
          <w:sz w:val="20"/>
          <w:szCs w:val="20"/>
        </w:rPr>
        <w:t>防止因工程施工造成的人身伤害和财产损失。</w:t>
      </w:r>
    </w:p>
    <w:p w14:paraId="574AA4F8">
      <w:pPr>
        <w:spacing w:before="11" w:line="221" w:lineRule="auto"/>
        <w:ind w:left="442"/>
        <w:rPr>
          <w:rFonts w:ascii="黑体" w:hAnsi="黑体" w:eastAsia="黑体" w:cs="黑体"/>
          <w:sz w:val="20"/>
          <w:szCs w:val="20"/>
        </w:rPr>
      </w:pPr>
      <w:r>
        <w:rPr>
          <w:rFonts w:ascii="黑体" w:hAnsi="黑体" w:eastAsia="黑体" w:cs="黑体"/>
          <w:b/>
          <w:bCs/>
          <w:spacing w:val="7"/>
          <w:sz w:val="20"/>
          <w:szCs w:val="20"/>
        </w:rPr>
        <w:t>4.1.6负责施工场地及其周边环境与生态的保护工作</w:t>
      </w:r>
    </w:p>
    <w:p w14:paraId="519327E5">
      <w:pPr>
        <w:pStyle w:val="2"/>
        <w:spacing w:before="185" w:line="219" w:lineRule="auto"/>
        <w:ind w:left="439"/>
        <w:rPr>
          <w:sz w:val="20"/>
          <w:szCs w:val="20"/>
        </w:rPr>
      </w:pPr>
      <w:r>
        <w:rPr>
          <w:spacing w:val="11"/>
          <w:sz w:val="20"/>
          <w:szCs w:val="20"/>
        </w:rPr>
        <w:t>承包人应按照第9.4款约定负责施工场地及其周边环境与生态的保护工作。</w:t>
      </w:r>
    </w:p>
    <w:p w14:paraId="2E3151EA">
      <w:pPr>
        <w:spacing w:before="149" w:line="222" w:lineRule="auto"/>
        <w:ind w:left="442"/>
        <w:rPr>
          <w:rFonts w:ascii="黑体" w:hAnsi="黑体" w:eastAsia="黑体" w:cs="黑体"/>
          <w:sz w:val="20"/>
          <w:szCs w:val="20"/>
        </w:rPr>
      </w:pPr>
      <w:r>
        <w:rPr>
          <w:rFonts w:ascii="黑体" w:hAnsi="黑体" w:eastAsia="黑体" w:cs="黑体"/>
          <w:b/>
          <w:bCs/>
          <w:spacing w:val="7"/>
          <w:sz w:val="20"/>
          <w:szCs w:val="20"/>
        </w:rPr>
        <w:t>4.1.7避免施工对公众与他人的利益造成损害</w:t>
      </w:r>
    </w:p>
    <w:p w14:paraId="7028C169">
      <w:pPr>
        <w:pStyle w:val="2"/>
        <w:spacing w:before="162" w:line="365" w:lineRule="auto"/>
        <w:ind w:right="49" w:firstLine="439"/>
        <w:jc w:val="both"/>
        <w:rPr>
          <w:sz w:val="20"/>
          <w:szCs w:val="20"/>
        </w:rPr>
      </w:pPr>
      <w:r>
        <w:rPr>
          <w:spacing w:val="12"/>
          <w:sz w:val="20"/>
          <w:szCs w:val="20"/>
        </w:rPr>
        <w:t>承包人在进行合同约定的各项工作时，不得侵害发包人与他人使用公用道路、水源、市政管</w:t>
      </w:r>
      <w:r>
        <w:rPr>
          <w:spacing w:val="10"/>
          <w:sz w:val="20"/>
          <w:szCs w:val="20"/>
        </w:rPr>
        <w:t xml:space="preserve"> </w:t>
      </w:r>
      <w:r>
        <w:rPr>
          <w:spacing w:val="12"/>
          <w:sz w:val="20"/>
          <w:szCs w:val="20"/>
        </w:rPr>
        <w:t>网等公共设施的权利，避免对邻近的公共设施产生干扰。承包人占用或使用他人的施工场地，影</w:t>
      </w:r>
      <w:r>
        <w:rPr>
          <w:spacing w:val="3"/>
          <w:sz w:val="20"/>
          <w:szCs w:val="20"/>
        </w:rPr>
        <w:t xml:space="preserve"> </w:t>
      </w:r>
      <w:r>
        <w:rPr>
          <w:spacing w:val="8"/>
          <w:sz w:val="20"/>
          <w:szCs w:val="20"/>
        </w:rPr>
        <w:t>响他人作业或生活的，应承担相应责任。</w:t>
      </w:r>
    </w:p>
    <w:p w14:paraId="7C5C7CC1">
      <w:pPr>
        <w:spacing w:before="1" w:line="220" w:lineRule="auto"/>
        <w:ind w:left="442"/>
        <w:rPr>
          <w:rFonts w:ascii="黑体" w:hAnsi="黑体" w:eastAsia="黑体" w:cs="黑体"/>
          <w:sz w:val="20"/>
          <w:szCs w:val="20"/>
        </w:rPr>
      </w:pPr>
      <w:r>
        <w:rPr>
          <w:rFonts w:ascii="黑体" w:hAnsi="黑体" w:eastAsia="黑体" w:cs="黑体"/>
          <w:b/>
          <w:bCs/>
          <w:spacing w:val="5"/>
          <w:sz w:val="20"/>
          <w:szCs w:val="20"/>
        </w:rPr>
        <w:t>4.1.8为他人提供方便</w:t>
      </w:r>
    </w:p>
    <w:p w14:paraId="57E09DC2">
      <w:pPr>
        <w:pStyle w:val="2"/>
        <w:spacing w:before="184" w:line="362" w:lineRule="auto"/>
        <w:ind w:right="49" w:firstLine="439"/>
        <w:rPr>
          <w:sz w:val="20"/>
          <w:szCs w:val="20"/>
        </w:rPr>
      </w:pPr>
      <w:r>
        <w:rPr>
          <w:spacing w:val="12"/>
          <w:sz w:val="20"/>
          <w:szCs w:val="20"/>
        </w:rPr>
        <w:t>承包人应按监理人的指示为他人在施工场地或附近实施与工程有关的其他各项工作提供可能</w:t>
      </w:r>
      <w:r>
        <w:rPr>
          <w:spacing w:val="9"/>
          <w:sz w:val="20"/>
          <w:szCs w:val="20"/>
        </w:rPr>
        <w:t xml:space="preserve"> 的条件。除合同另有约定外，提供有关条件的内容和可能发生的费用，由监理人按第3.5款商定或</w:t>
      </w:r>
    </w:p>
    <w:p w14:paraId="349A7985">
      <w:pPr>
        <w:spacing w:line="362" w:lineRule="auto"/>
        <w:rPr>
          <w:sz w:val="20"/>
          <w:szCs w:val="20"/>
        </w:rPr>
        <w:sectPr>
          <w:footerReference r:id="rId119" w:type="default"/>
          <w:pgSz w:w="11910" w:h="16840"/>
          <w:pgMar w:top="400" w:right="1489" w:bottom="1016" w:left="1440" w:header="0" w:footer="889" w:gutter="0"/>
          <w:cols w:space="720" w:num="1"/>
        </w:sectPr>
      </w:pPr>
    </w:p>
    <w:p w14:paraId="0C3040B0">
      <w:pPr>
        <w:spacing w:line="271" w:lineRule="auto"/>
        <w:rPr>
          <w:rFonts w:ascii="Arial"/>
          <w:sz w:val="21"/>
        </w:rPr>
      </w:pPr>
    </w:p>
    <w:p w14:paraId="3153A9E2">
      <w:pPr>
        <w:spacing w:line="271" w:lineRule="auto"/>
        <w:rPr>
          <w:rFonts w:ascii="Arial"/>
          <w:sz w:val="21"/>
        </w:rPr>
      </w:pPr>
    </w:p>
    <w:p w14:paraId="07CBE9BB">
      <w:pPr>
        <w:spacing w:line="271" w:lineRule="auto"/>
        <w:rPr>
          <w:rFonts w:ascii="Arial"/>
          <w:sz w:val="21"/>
        </w:rPr>
      </w:pPr>
    </w:p>
    <w:p w14:paraId="1AF9F3BC">
      <w:pPr>
        <w:spacing w:line="271" w:lineRule="auto"/>
        <w:rPr>
          <w:rFonts w:ascii="Arial"/>
          <w:sz w:val="21"/>
        </w:rPr>
      </w:pPr>
    </w:p>
    <w:p w14:paraId="02CF42E7">
      <w:pPr>
        <w:spacing w:line="271" w:lineRule="auto"/>
        <w:rPr>
          <w:rFonts w:ascii="Arial"/>
          <w:sz w:val="21"/>
        </w:rPr>
      </w:pPr>
    </w:p>
    <w:p w14:paraId="706A279B">
      <w:pPr>
        <w:pStyle w:val="2"/>
        <w:spacing w:before="65" w:line="220" w:lineRule="auto"/>
        <w:rPr>
          <w:sz w:val="20"/>
          <w:szCs w:val="20"/>
        </w:rPr>
      </w:pPr>
      <w:r>
        <w:rPr>
          <w:sz w:val="20"/>
          <w:szCs w:val="20"/>
        </w:rPr>
        <w:t>确定。</w:t>
      </w:r>
    </w:p>
    <w:p w14:paraId="69563A39">
      <w:pPr>
        <w:pStyle w:val="2"/>
        <w:spacing w:before="168" w:line="219" w:lineRule="auto"/>
        <w:ind w:left="422"/>
        <w:rPr>
          <w:sz w:val="20"/>
          <w:szCs w:val="20"/>
        </w:rPr>
      </w:pPr>
      <w:r>
        <w:rPr>
          <w:b/>
          <w:bCs/>
          <w:spacing w:val="6"/>
          <w:sz w:val="20"/>
          <w:szCs w:val="20"/>
        </w:rPr>
        <w:t>4.1.9工程的维护和照管</w:t>
      </w:r>
    </w:p>
    <w:p w14:paraId="77AC7E88">
      <w:pPr>
        <w:pStyle w:val="2"/>
        <w:spacing w:before="163" w:line="363" w:lineRule="auto"/>
        <w:ind w:right="89" w:firstLine="419"/>
        <w:rPr>
          <w:sz w:val="20"/>
          <w:szCs w:val="20"/>
        </w:rPr>
      </w:pPr>
      <w:r>
        <w:rPr>
          <w:spacing w:val="13"/>
          <w:sz w:val="20"/>
          <w:szCs w:val="20"/>
        </w:rPr>
        <w:t>工程接收证书颁发前，承包人应负责照管和</w:t>
      </w:r>
      <w:r>
        <w:rPr>
          <w:spacing w:val="12"/>
          <w:sz w:val="20"/>
          <w:szCs w:val="20"/>
        </w:rPr>
        <w:t>维护工程。工程接收证书颁发时尚有部分未竣工</w:t>
      </w:r>
      <w:r>
        <w:rPr>
          <w:sz w:val="20"/>
          <w:szCs w:val="20"/>
        </w:rPr>
        <w:t xml:space="preserve"> </w:t>
      </w:r>
      <w:r>
        <w:rPr>
          <w:spacing w:val="10"/>
          <w:sz w:val="20"/>
          <w:szCs w:val="20"/>
        </w:rPr>
        <w:t>工程的，承包人还应负责该未竣工工程的照管和维护工作，直至竣工后移交给发包人为止。</w:t>
      </w:r>
    </w:p>
    <w:p w14:paraId="62DA2EE6">
      <w:pPr>
        <w:pStyle w:val="2"/>
        <w:spacing w:before="12" w:line="219" w:lineRule="auto"/>
        <w:ind w:left="422"/>
        <w:rPr>
          <w:sz w:val="20"/>
          <w:szCs w:val="20"/>
        </w:rPr>
      </w:pPr>
      <w:r>
        <w:rPr>
          <w:b/>
          <w:bCs/>
          <w:spacing w:val="6"/>
          <w:sz w:val="20"/>
          <w:szCs w:val="20"/>
        </w:rPr>
        <w:t>4.1.10其他义务</w:t>
      </w:r>
    </w:p>
    <w:p w14:paraId="6C645F0B">
      <w:pPr>
        <w:pStyle w:val="2"/>
        <w:spacing w:before="175" w:line="219" w:lineRule="auto"/>
        <w:ind w:left="419"/>
        <w:rPr>
          <w:sz w:val="20"/>
          <w:szCs w:val="20"/>
        </w:rPr>
      </w:pPr>
      <w:r>
        <w:rPr>
          <w:spacing w:val="8"/>
          <w:sz w:val="20"/>
          <w:szCs w:val="20"/>
        </w:rPr>
        <w:t>承包人应履行合同约定的其他义务。</w:t>
      </w:r>
    </w:p>
    <w:p w14:paraId="69D8FDFB">
      <w:pPr>
        <w:pStyle w:val="2"/>
        <w:spacing w:before="122" w:line="220" w:lineRule="auto"/>
        <w:ind w:left="2"/>
        <w:rPr>
          <w:sz w:val="24"/>
          <w:szCs w:val="24"/>
        </w:rPr>
      </w:pPr>
      <w:r>
        <w:rPr>
          <w:b/>
          <w:bCs/>
          <w:spacing w:val="-10"/>
          <w:sz w:val="24"/>
          <w:szCs w:val="24"/>
        </w:rPr>
        <w:t>4.2</w:t>
      </w:r>
      <w:r>
        <w:rPr>
          <w:spacing w:val="-10"/>
          <w:sz w:val="24"/>
          <w:szCs w:val="24"/>
        </w:rPr>
        <w:t xml:space="preserve"> </w:t>
      </w:r>
      <w:r>
        <w:rPr>
          <w:b/>
          <w:bCs/>
          <w:spacing w:val="-10"/>
          <w:sz w:val="24"/>
          <w:szCs w:val="24"/>
        </w:rPr>
        <w:t>履约担保</w:t>
      </w:r>
    </w:p>
    <w:p w14:paraId="6A7E789C">
      <w:pPr>
        <w:pStyle w:val="2"/>
        <w:spacing w:before="165" w:line="341" w:lineRule="auto"/>
        <w:ind w:right="86" w:firstLine="419"/>
        <w:rPr>
          <w:sz w:val="20"/>
          <w:szCs w:val="20"/>
        </w:rPr>
      </w:pPr>
      <w:r>
        <w:rPr>
          <w:spacing w:val="13"/>
          <w:sz w:val="20"/>
          <w:szCs w:val="20"/>
        </w:rPr>
        <w:t>承包人应保证其履约担保在发包人颁发工程接收证</w:t>
      </w:r>
      <w:r>
        <w:rPr>
          <w:spacing w:val="12"/>
          <w:sz w:val="20"/>
          <w:szCs w:val="20"/>
        </w:rPr>
        <w:t>书前一直有效。发包人应在工程接收证书</w:t>
      </w:r>
      <w:r>
        <w:rPr>
          <w:sz w:val="20"/>
          <w:szCs w:val="20"/>
        </w:rPr>
        <w:t xml:space="preserve"> </w:t>
      </w:r>
      <w:r>
        <w:rPr>
          <w:spacing w:val="15"/>
          <w:sz w:val="20"/>
          <w:szCs w:val="20"/>
        </w:rPr>
        <w:t>颁发后28天内把履约担保退还给承包人。</w:t>
      </w:r>
    </w:p>
    <w:p w14:paraId="0AAE92B9">
      <w:pPr>
        <w:pStyle w:val="2"/>
        <w:spacing w:line="220" w:lineRule="auto"/>
        <w:ind w:left="2"/>
        <w:rPr>
          <w:sz w:val="24"/>
          <w:szCs w:val="24"/>
        </w:rPr>
      </w:pPr>
      <w:r>
        <w:rPr>
          <w:b/>
          <w:bCs/>
          <w:spacing w:val="-10"/>
          <w:sz w:val="24"/>
          <w:szCs w:val="24"/>
        </w:rPr>
        <w:t>4.3</w:t>
      </w:r>
      <w:r>
        <w:rPr>
          <w:spacing w:val="-10"/>
          <w:sz w:val="24"/>
          <w:szCs w:val="24"/>
        </w:rPr>
        <w:t xml:space="preserve"> </w:t>
      </w:r>
      <w:r>
        <w:rPr>
          <w:b/>
          <w:bCs/>
          <w:spacing w:val="-10"/>
          <w:sz w:val="24"/>
          <w:szCs w:val="24"/>
        </w:rPr>
        <w:t>分包</w:t>
      </w:r>
    </w:p>
    <w:p w14:paraId="36505A73">
      <w:pPr>
        <w:pStyle w:val="2"/>
        <w:spacing w:before="154" w:line="299" w:lineRule="auto"/>
        <w:ind w:right="84" w:firstLine="419"/>
        <w:rPr>
          <w:sz w:val="20"/>
          <w:szCs w:val="20"/>
        </w:rPr>
      </w:pPr>
      <w:r>
        <w:rPr>
          <w:spacing w:val="9"/>
          <w:sz w:val="20"/>
          <w:szCs w:val="20"/>
        </w:rPr>
        <w:t>4.3.1承包人不得将其承包的全部工程转包给第三人，或将其承包的全部工程肢解后以分包的</w:t>
      </w:r>
      <w:r>
        <w:rPr>
          <w:spacing w:val="17"/>
          <w:sz w:val="20"/>
          <w:szCs w:val="20"/>
        </w:rPr>
        <w:t xml:space="preserve"> </w:t>
      </w:r>
      <w:r>
        <w:rPr>
          <w:spacing w:val="5"/>
          <w:sz w:val="20"/>
          <w:szCs w:val="20"/>
        </w:rPr>
        <w:t>名义转包给第三人。</w:t>
      </w:r>
    </w:p>
    <w:p w14:paraId="7906A7E4">
      <w:pPr>
        <w:pStyle w:val="2"/>
        <w:spacing w:before="142" w:line="304" w:lineRule="auto"/>
        <w:ind w:right="91" w:firstLine="419"/>
        <w:rPr>
          <w:sz w:val="20"/>
          <w:szCs w:val="20"/>
        </w:rPr>
      </w:pPr>
      <w:r>
        <w:rPr>
          <w:spacing w:val="9"/>
          <w:sz w:val="20"/>
          <w:szCs w:val="20"/>
        </w:rPr>
        <w:t>4.3.2承包人不得将工程主体、关键性工作分包给第三人。除专用合同条款另有约定外，未经</w:t>
      </w:r>
      <w:r>
        <w:rPr>
          <w:spacing w:val="10"/>
          <w:sz w:val="20"/>
          <w:szCs w:val="20"/>
        </w:rPr>
        <w:t xml:space="preserve"> </w:t>
      </w:r>
      <w:r>
        <w:rPr>
          <w:spacing w:val="9"/>
          <w:sz w:val="20"/>
          <w:szCs w:val="20"/>
        </w:rPr>
        <w:t>发包人同意，承包人不得将工程的其他部分或工作分包给第三</w:t>
      </w:r>
      <w:r>
        <w:rPr>
          <w:spacing w:val="8"/>
          <w:sz w:val="20"/>
          <w:szCs w:val="20"/>
        </w:rPr>
        <w:t>人。</w:t>
      </w:r>
    </w:p>
    <w:p w14:paraId="2AB771D3">
      <w:pPr>
        <w:pStyle w:val="2"/>
        <w:spacing w:before="153" w:line="219" w:lineRule="auto"/>
        <w:ind w:left="419"/>
        <w:rPr>
          <w:sz w:val="20"/>
          <w:szCs w:val="20"/>
        </w:rPr>
      </w:pPr>
      <w:r>
        <w:rPr>
          <w:spacing w:val="8"/>
          <w:sz w:val="20"/>
          <w:szCs w:val="20"/>
        </w:rPr>
        <w:t>4.3.3分包人的资格能力应与其分包工程的标准和规模相适应。</w:t>
      </w:r>
    </w:p>
    <w:p w14:paraId="409BCF1A">
      <w:pPr>
        <w:pStyle w:val="2"/>
        <w:spacing w:before="161" w:line="219" w:lineRule="auto"/>
        <w:ind w:left="419"/>
        <w:rPr>
          <w:sz w:val="20"/>
          <w:szCs w:val="20"/>
        </w:rPr>
      </w:pPr>
      <w:r>
        <w:rPr>
          <w:spacing w:val="9"/>
          <w:sz w:val="20"/>
          <w:szCs w:val="20"/>
        </w:rPr>
        <w:t>4.3.4按投标函附录约定分包工程的，承包人应向发包人和监理人提交分包合同副本。</w:t>
      </w:r>
    </w:p>
    <w:p w14:paraId="3CF55A9B">
      <w:pPr>
        <w:pStyle w:val="2"/>
        <w:spacing w:before="174" w:line="219" w:lineRule="auto"/>
        <w:ind w:left="419"/>
        <w:rPr>
          <w:sz w:val="20"/>
          <w:szCs w:val="20"/>
        </w:rPr>
      </w:pPr>
      <w:r>
        <w:rPr>
          <w:spacing w:val="8"/>
          <w:sz w:val="20"/>
          <w:szCs w:val="20"/>
        </w:rPr>
        <w:t>4.3.5承包人应与分包人就分包工程向发包人承担连带责任。</w:t>
      </w:r>
    </w:p>
    <w:p w14:paraId="179DF001">
      <w:pPr>
        <w:pStyle w:val="2"/>
        <w:spacing w:before="122" w:line="221" w:lineRule="auto"/>
        <w:ind w:left="2"/>
        <w:rPr>
          <w:sz w:val="24"/>
          <w:szCs w:val="24"/>
        </w:rPr>
      </w:pPr>
      <w:r>
        <w:rPr>
          <w:b/>
          <w:bCs/>
          <w:spacing w:val="-14"/>
          <w:sz w:val="24"/>
          <w:szCs w:val="24"/>
        </w:rPr>
        <w:t>4.4</w:t>
      </w:r>
      <w:r>
        <w:rPr>
          <w:spacing w:val="11"/>
          <w:sz w:val="24"/>
          <w:szCs w:val="24"/>
        </w:rPr>
        <w:t xml:space="preserve"> </w:t>
      </w:r>
      <w:r>
        <w:rPr>
          <w:b/>
          <w:bCs/>
          <w:spacing w:val="-14"/>
          <w:sz w:val="24"/>
          <w:szCs w:val="24"/>
        </w:rPr>
        <w:t>联合体</w:t>
      </w:r>
    </w:p>
    <w:p w14:paraId="36C5F080">
      <w:pPr>
        <w:pStyle w:val="2"/>
        <w:spacing w:before="132" w:line="219" w:lineRule="auto"/>
        <w:ind w:left="419"/>
        <w:rPr>
          <w:sz w:val="20"/>
          <w:szCs w:val="20"/>
        </w:rPr>
      </w:pPr>
      <w:r>
        <w:rPr>
          <w:spacing w:val="7"/>
          <w:sz w:val="20"/>
          <w:szCs w:val="20"/>
        </w:rPr>
        <w:t>4.4.1 联合体各方应共同与发包人签订合同协议书。联合体各方应为履行合同承担连带责任。</w:t>
      </w:r>
    </w:p>
    <w:p w14:paraId="1A9575FB">
      <w:pPr>
        <w:pStyle w:val="2"/>
        <w:spacing w:before="193" w:line="290" w:lineRule="auto"/>
        <w:ind w:right="91" w:firstLine="419"/>
        <w:rPr>
          <w:sz w:val="20"/>
          <w:szCs w:val="20"/>
        </w:rPr>
      </w:pPr>
      <w:r>
        <w:rPr>
          <w:spacing w:val="7"/>
          <w:sz w:val="20"/>
          <w:szCs w:val="20"/>
        </w:rPr>
        <w:t>4.4.2 联合体协议经发包人确认后作为合同附件。在履行合同过程中</w:t>
      </w:r>
      <w:r>
        <w:rPr>
          <w:spacing w:val="6"/>
          <w:sz w:val="20"/>
          <w:szCs w:val="20"/>
        </w:rPr>
        <w:t>，未经发包人同意，不得</w:t>
      </w:r>
      <w:r>
        <w:rPr>
          <w:sz w:val="20"/>
          <w:szCs w:val="20"/>
        </w:rPr>
        <w:t xml:space="preserve"> </w:t>
      </w:r>
      <w:r>
        <w:rPr>
          <w:spacing w:val="6"/>
          <w:sz w:val="20"/>
          <w:szCs w:val="20"/>
        </w:rPr>
        <w:t>修改联合体协议。</w:t>
      </w:r>
    </w:p>
    <w:p w14:paraId="3DC0FCE9">
      <w:pPr>
        <w:pStyle w:val="2"/>
        <w:spacing w:before="153" w:line="295" w:lineRule="auto"/>
        <w:ind w:right="90" w:firstLine="419"/>
        <w:rPr>
          <w:sz w:val="20"/>
          <w:szCs w:val="20"/>
        </w:rPr>
      </w:pPr>
      <w:r>
        <w:rPr>
          <w:spacing w:val="7"/>
          <w:sz w:val="20"/>
          <w:szCs w:val="20"/>
        </w:rPr>
        <w:t>4.4.3 联合体牵头人负责与发包人和监理人联系，并接受指示，负责</w:t>
      </w:r>
      <w:r>
        <w:rPr>
          <w:spacing w:val="6"/>
          <w:sz w:val="20"/>
          <w:szCs w:val="20"/>
        </w:rPr>
        <w:t>组织联合体各成员全面履</w:t>
      </w:r>
      <w:r>
        <w:rPr>
          <w:sz w:val="20"/>
          <w:szCs w:val="20"/>
        </w:rPr>
        <w:t xml:space="preserve"> </w:t>
      </w:r>
      <w:r>
        <w:rPr>
          <w:spacing w:val="2"/>
          <w:sz w:val="20"/>
          <w:szCs w:val="20"/>
        </w:rPr>
        <w:t>行合同。</w:t>
      </w:r>
    </w:p>
    <w:p w14:paraId="77988EDA">
      <w:pPr>
        <w:pStyle w:val="2"/>
        <w:spacing w:before="139" w:line="219" w:lineRule="auto"/>
        <w:ind w:left="2"/>
        <w:rPr>
          <w:sz w:val="24"/>
          <w:szCs w:val="24"/>
        </w:rPr>
      </w:pPr>
      <w:r>
        <w:rPr>
          <w:b/>
          <w:bCs/>
          <w:spacing w:val="-9"/>
          <w:sz w:val="24"/>
          <w:szCs w:val="24"/>
        </w:rPr>
        <w:t>4.5</w:t>
      </w:r>
      <w:r>
        <w:rPr>
          <w:spacing w:val="-9"/>
          <w:sz w:val="24"/>
          <w:szCs w:val="24"/>
        </w:rPr>
        <w:t xml:space="preserve"> </w:t>
      </w:r>
      <w:r>
        <w:rPr>
          <w:b/>
          <w:bCs/>
          <w:spacing w:val="-9"/>
          <w:sz w:val="24"/>
          <w:szCs w:val="24"/>
        </w:rPr>
        <w:t>承包人项目经理</w:t>
      </w:r>
    </w:p>
    <w:p w14:paraId="596251B7">
      <w:pPr>
        <w:pStyle w:val="2"/>
        <w:spacing w:before="158" w:line="319" w:lineRule="auto"/>
        <w:ind w:firstLine="419"/>
        <w:rPr>
          <w:sz w:val="20"/>
          <w:szCs w:val="20"/>
        </w:rPr>
      </w:pPr>
      <w:r>
        <w:rPr>
          <w:spacing w:val="9"/>
          <w:sz w:val="20"/>
          <w:szCs w:val="20"/>
        </w:rPr>
        <w:t>4.5.1承包人应按合同约定指派项目经理，并在约定的期限内到职。承包人更换项目经理应事</w:t>
      </w:r>
      <w:r>
        <w:rPr>
          <w:spacing w:val="5"/>
          <w:sz w:val="20"/>
          <w:szCs w:val="20"/>
        </w:rPr>
        <w:t xml:space="preserve">  </w:t>
      </w:r>
      <w:r>
        <w:rPr>
          <w:spacing w:val="9"/>
          <w:sz w:val="20"/>
          <w:szCs w:val="20"/>
        </w:rPr>
        <w:t>先征得发包人同意，并应在更换14天前通知发包人和监理人。承包人项目经理短期离开施工场地，</w:t>
      </w:r>
      <w:r>
        <w:rPr>
          <w:spacing w:val="12"/>
          <w:sz w:val="20"/>
          <w:szCs w:val="20"/>
        </w:rPr>
        <w:t xml:space="preserve"> </w:t>
      </w:r>
      <w:r>
        <w:rPr>
          <w:spacing w:val="9"/>
          <w:sz w:val="20"/>
          <w:szCs w:val="20"/>
        </w:rPr>
        <w:t>应事先征得监理人同意，并委派代表代行其职责。</w:t>
      </w:r>
    </w:p>
    <w:p w14:paraId="752B5B52">
      <w:pPr>
        <w:pStyle w:val="2"/>
        <w:spacing w:before="144" w:line="324" w:lineRule="auto"/>
        <w:ind w:right="49" w:firstLine="419"/>
        <w:rPr>
          <w:sz w:val="20"/>
          <w:szCs w:val="20"/>
        </w:rPr>
      </w:pPr>
      <w:r>
        <w:rPr>
          <w:spacing w:val="9"/>
          <w:sz w:val="20"/>
          <w:szCs w:val="20"/>
        </w:rPr>
        <w:t>4.5.2 承包人项目经理应按合同约定以及监理人按第3.4款作出的指示，负责组织合同工程的</w:t>
      </w:r>
      <w:r>
        <w:rPr>
          <w:sz w:val="20"/>
          <w:szCs w:val="20"/>
        </w:rPr>
        <w:t xml:space="preserve"> </w:t>
      </w:r>
      <w:r>
        <w:rPr>
          <w:spacing w:val="8"/>
          <w:sz w:val="20"/>
          <w:szCs w:val="20"/>
        </w:rPr>
        <w:t>实施。在情况紧急且无法与监理人取得联系时，可采取保证工程和人员生命财产安全的紧急措施，</w:t>
      </w:r>
      <w:r>
        <w:rPr>
          <w:spacing w:val="15"/>
          <w:sz w:val="20"/>
          <w:szCs w:val="20"/>
        </w:rPr>
        <w:t xml:space="preserve"> </w:t>
      </w:r>
      <w:r>
        <w:rPr>
          <w:spacing w:val="13"/>
          <w:sz w:val="20"/>
          <w:szCs w:val="20"/>
        </w:rPr>
        <w:t>并在采取措施后24小时内向监理人提交书面报告。</w:t>
      </w:r>
    </w:p>
    <w:p w14:paraId="429A3D9C">
      <w:pPr>
        <w:pStyle w:val="2"/>
        <w:spacing w:before="165" w:line="285" w:lineRule="auto"/>
        <w:ind w:right="90" w:firstLine="419"/>
        <w:rPr>
          <w:sz w:val="20"/>
          <w:szCs w:val="20"/>
        </w:rPr>
      </w:pPr>
      <w:r>
        <w:rPr>
          <w:spacing w:val="9"/>
          <w:sz w:val="20"/>
          <w:szCs w:val="20"/>
        </w:rPr>
        <w:t>4.5.3承包人为履行合同发出的一切函件均应盖有承包人授权的施工场地管理机构章，并由承</w:t>
      </w:r>
      <w:r>
        <w:rPr>
          <w:spacing w:val="11"/>
          <w:sz w:val="20"/>
          <w:szCs w:val="20"/>
        </w:rPr>
        <w:t xml:space="preserve"> </w:t>
      </w:r>
      <w:r>
        <w:rPr>
          <w:spacing w:val="8"/>
          <w:sz w:val="20"/>
          <w:szCs w:val="20"/>
        </w:rPr>
        <w:t>包人项目经理或其授权代表签字。</w:t>
      </w:r>
    </w:p>
    <w:p w14:paraId="1C628569">
      <w:pPr>
        <w:pStyle w:val="2"/>
        <w:spacing w:before="173" w:line="219" w:lineRule="auto"/>
        <w:ind w:left="419"/>
        <w:rPr>
          <w:sz w:val="20"/>
          <w:szCs w:val="20"/>
        </w:rPr>
      </w:pPr>
      <w:r>
        <w:rPr>
          <w:spacing w:val="7"/>
          <w:sz w:val="20"/>
          <w:szCs w:val="20"/>
        </w:rPr>
        <w:t>4.5.4 承包人项目经理可以授权其下属人员履行其某项职责，但事先应将这些人员的姓名和授</w:t>
      </w:r>
    </w:p>
    <w:p w14:paraId="55ABFCB0">
      <w:pPr>
        <w:spacing w:line="219" w:lineRule="auto"/>
        <w:rPr>
          <w:sz w:val="20"/>
          <w:szCs w:val="20"/>
        </w:rPr>
        <w:sectPr>
          <w:footerReference r:id="rId120" w:type="default"/>
          <w:pgSz w:w="11910" w:h="16840"/>
          <w:pgMar w:top="400" w:right="1450" w:bottom="1016" w:left="1450" w:header="0" w:footer="889" w:gutter="0"/>
          <w:cols w:space="720" w:num="1"/>
        </w:sectPr>
      </w:pPr>
    </w:p>
    <w:p w14:paraId="20A8E068">
      <w:pPr>
        <w:spacing w:line="270" w:lineRule="auto"/>
        <w:rPr>
          <w:rFonts w:ascii="Arial"/>
          <w:sz w:val="21"/>
        </w:rPr>
      </w:pPr>
    </w:p>
    <w:p w14:paraId="3E6066B6">
      <w:pPr>
        <w:spacing w:line="270" w:lineRule="auto"/>
        <w:rPr>
          <w:rFonts w:ascii="Arial"/>
          <w:sz w:val="21"/>
        </w:rPr>
      </w:pPr>
    </w:p>
    <w:p w14:paraId="6B6FB5D2">
      <w:pPr>
        <w:spacing w:line="270" w:lineRule="auto"/>
        <w:rPr>
          <w:rFonts w:ascii="Arial"/>
          <w:sz w:val="21"/>
        </w:rPr>
      </w:pPr>
    </w:p>
    <w:p w14:paraId="071A614C">
      <w:pPr>
        <w:spacing w:line="271" w:lineRule="auto"/>
        <w:rPr>
          <w:rFonts w:ascii="Arial"/>
          <w:sz w:val="21"/>
        </w:rPr>
      </w:pPr>
    </w:p>
    <w:p w14:paraId="24404F31">
      <w:pPr>
        <w:spacing w:line="271" w:lineRule="auto"/>
        <w:rPr>
          <w:rFonts w:ascii="Arial"/>
          <w:sz w:val="21"/>
        </w:rPr>
      </w:pPr>
    </w:p>
    <w:p w14:paraId="091A08DA">
      <w:pPr>
        <w:pStyle w:val="2"/>
        <w:spacing w:before="68" w:line="219" w:lineRule="auto"/>
        <w:rPr>
          <w:sz w:val="21"/>
          <w:szCs w:val="21"/>
        </w:rPr>
      </w:pPr>
      <w:r>
        <w:rPr>
          <w:spacing w:val="-4"/>
          <w:sz w:val="21"/>
          <w:szCs w:val="21"/>
        </w:rPr>
        <w:t>权范围通知监理人。</w:t>
      </w:r>
    </w:p>
    <w:p w14:paraId="06856E0D">
      <w:pPr>
        <w:pStyle w:val="2"/>
        <w:spacing w:before="118" w:line="219" w:lineRule="auto"/>
        <w:ind w:left="3"/>
      </w:pPr>
      <w:r>
        <w:rPr>
          <w:b/>
          <w:bCs/>
          <w:spacing w:val="-6"/>
        </w:rPr>
        <w:t>4.6承包人人员的管理</w:t>
      </w:r>
    </w:p>
    <w:p w14:paraId="0264E4FB">
      <w:pPr>
        <w:pStyle w:val="2"/>
        <w:spacing w:before="133" w:line="307" w:lineRule="auto"/>
        <w:ind w:right="9" w:firstLine="409"/>
        <w:rPr>
          <w:sz w:val="21"/>
          <w:szCs w:val="21"/>
        </w:rPr>
      </w:pPr>
      <w:r>
        <w:rPr>
          <w:spacing w:val="5"/>
          <w:sz w:val="21"/>
          <w:szCs w:val="21"/>
        </w:rPr>
        <w:t>4.6.1承包人应在接到开工通知后28天内，向监理人提交承包人在施</w:t>
      </w:r>
      <w:r>
        <w:rPr>
          <w:spacing w:val="4"/>
          <w:sz w:val="21"/>
          <w:szCs w:val="21"/>
        </w:rPr>
        <w:t>工场地的管理机构以及</w:t>
      </w:r>
      <w:r>
        <w:rPr>
          <w:sz w:val="21"/>
          <w:szCs w:val="21"/>
        </w:rPr>
        <w:t xml:space="preserve"> </w:t>
      </w:r>
      <w:r>
        <w:rPr>
          <w:spacing w:val="1"/>
          <w:sz w:val="21"/>
          <w:szCs w:val="21"/>
        </w:rPr>
        <w:t>人员安排的报告，其内容应包括管理机构的设置、各主要岗位的技术和管理人员名单及其资格，</w:t>
      </w:r>
      <w:r>
        <w:rPr>
          <w:spacing w:val="11"/>
          <w:sz w:val="21"/>
          <w:szCs w:val="21"/>
        </w:rPr>
        <w:t xml:space="preserve"> </w:t>
      </w:r>
      <w:r>
        <w:rPr>
          <w:sz w:val="21"/>
          <w:szCs w:val="21"/>
        </w:rPr>
        <w:t>以及各工种技术工人的安排状况。承包人应向监理人提交施工场地人员变</w:t>
      </w:r>
      <w:r>
        <w:rPr>
          <w:spacing w:val="-1"/>
          <w:sz w:val="21"/>
          <w:szCs w:val="21"/>
        </w:rPr>
        <w:t>动情况的报告。</w:t>
      </w:r>
    </w:p>
    <w:p w14:paraId="6C22CB67">
      <w:pPr>
        <w:pStyle w:val="2"/>
        <w:spacing w:before="164" w:line="219" w:lineRule="auto"/>
        <w:ind w:left="409"/>
        <w:rPr>
          <w:sz w:val="21"/>
          <w:szCs w:val="21"/>
        </w:rPr>
      </w:pPr>
      <w:r>
        <w:rPr>
          <w:sz w:val="21"/>
          <w:szCs w:val="21"/>
        </w:rPr>
        <w:t>4.6.2为完成合同约定的各项工作，承包人应向施工场地派遣或雇佣足够数量的下列人员：</w:t>
      </w:r>
    </w:p>
    <w:p w14:paraId="26C1126A">
      <w:pPr>
        <w:pStyle w:val="2"/>
        <w:spacing w:before="131" w:line="219" w:lineRule="auto"/>
        <w:ind w:left="830"/>
        <w:rPr>
          <w:sz w:val="21"/>
          <w:szCs w:val="21"/>
        </w:rPr>
      </w:pPr>
      <w:r>
        <w:rPr>
          <w:spacing w:val="3"/>
          <w:sz w:val="21"/>
          <w:szCs w:val="21"/>
        </w:rPr>
        <w:t>(1)具有相应资格的专业技工和合格的普工；</w:t>
      </w:r>
    </w:p>
    <w:p w14:paraId="53997255">
      <w:pPr>
        <w:pStyle w:val="2"/>
        <w:spacing w:before="170" w:line="219" w:lineRule="auto"/>
        <w:ind w:left="830"/>
        <w:rPr>
          <w:sz w:val="21"/>
          <w:szCs w:val="21"/>
        </w:rPr>
      </w:pPr>
      <w:r>
        <w:rPr>
          <w:spacing w:val="3"/>
          <w:sz w:val="21"/>
          <w:szCs w:val="21"/>
        </w:rPr>
        <w:t>(2)具有相应施工经验的技术人员；</w:t>
      </w:r>
    </w:p>
    <w:p w14:paraId="1AC43CDE">
      <w:pPr>
        <w:pStyle w:val="2"/>
        <w:spacing w:before="141" w:line="219" w:lineRule="auto"/>
        <w:ind w:left="830"/>
        <w:rPr>
          <w:sz w:val="21"/>
          <w:szCs w:val="21"/>
        </w:rPr>
      </w:pPr>
      <w:r>
        <w:rPr>
          <w:spacing w:val="4"/>
          <w:sz w:val="21"/>
          <w:szCs w:val="21"/>
        </w:rPr>
        <w:t>(3)具有相应岗位资格的各级管理人员。</w:t>
      </w:r>
    </w:p>
    <w:p w14:paraId="3915BBDD">
      <w:pPr>
        <w:pStyle w:val="2"/>
        <w:spacing w:before="160" w:line="285" w:lineRule="auto"/>
        <w:ind w:firstLine="409"/>
        <w:rPr>
          <w:sz w:val="21"/>
          <w:szCs w:val="21"/>
        </w:rPr>
      </w:pPr>
      <w:r>
        <w:rPr>
          <w:spacing w:val="-2"/>
          <w:sz w:val="21"/>
          <w:szCs w:val="21"/>
        </w:rPr>
        <w:t>4.6.3 承包人安排在施工场地的主要管理人员和技术骨干应相对稳</w:t>
      </w:r>
      <w:r>
        <w:rPr>
          <w:spacing w:val="-3"/>
          <w:sz w:val="21"/>
          <w:szCs w:val="21"/>
        </w:rPr>
        <w:t>定。承包人更换主要管理人</w:t>
      </w:r>
      <w:r>
        <w:rPr>
          <w:sz w:val="21"/>
          <w:szCs w:val="21"/>
        </w:rPr>
        <w:t xml:space="preserve"> </w:t>
      </w:r>
      <w:r>
        <w:rPr>
          <w:spacing w:val="-3"/>
          <w:sz w:val="21"/>
          <w:szCs w:val="21"/>
        </w:rPr>
        <w:t>员和技术骨干时，应取得监理人的同意。</w:t>
      </w:r>
    </w:p>
    <w:p w14:paraId="0B1E6BC4">
      <w:pPr>
        <w:pStyle w:val="2"/>
        <w:spacing w:before="163" w:line="272" w:lineRule="auto"/>
        <w:ind w:right="10" w:firstLine="409"/>
        <w:rPr>
          <w:sz w:val="21"/>
          <w:szCs w:val="21"/>
        </w:rPr>
      </w:pPr>
      <w:r>
        <w:rPr>
          <w:spacing w:val="-2"/>
          <w:sz w:val="21"/>
          <w:szCs w:val="21"/>
        </w:rPr>
        <w:t>4.6.4 特殊岗位的工作人员均应持有相应的</w:t>
      </w:r>
      <w:r>
        <w:rPr>
          <w:spacing w:val="-3"/>
          <w:sz w:val="21"/>
          <w:szCs w:val="21"/>
        </w:rPr>
        <w:t>资格证明，监理人有权随时检查。监理人认为有必</w:t>
      </w:r>
      <w:r>
        <w:rPr>
          <w:sz w:val="21"/>
          <w:szCs w:val="21"/>
        </w:rPr>
        <w:t xml:space="preserve"> </w:t>
      </w:r>
      <w:r>
        <w:rPr>
          <w:spacing w:val="-4"/>
          <w:sz w:val="21"/>
          <w:szCs w:val="21"/>
        </w:rPr>
        <w:t>要时，可进行现场考核。</w:t>
      </w:r>
    </w:p>
    <w:p w14:paraId="228C1D65">
      <w:pPr>
        <w:pStyle w:val="2"/>
        <w:spacing w:before="158" w:line="219" w:lineRule="auto"/>
        <w:ind w:left="3"/>
        <w:rPr>
          <w:sz w:val="21"/>
          <w:szCs w:val="21"/>
        </w:rPr>
      </w:pPr>
      <w:r>
        <w:rPr>
          <w:b/>
          <w:bCs/>
          <w:spacing w:val="21"/>
          <w:sz w:val="21"/>
          <w:szCs w:val="21"/>
        </w:rPr>
        <w:t>4.7</w:t>
      </w:r>
      <w:r>
        <w:rPr>
          <w:spacing w:val="21"/>
          <w:sz w:val="21"/>
          <w:szCs w:val="21"/>
        </w:rPr>
        <w:t xml:space="preserve"> </w:t>
      </w:r>
      <w:r>
        <w:rPr>
          <w:b/>
          <w:bCs/>
          <w:spacing w:val="21"/>
          <w:sz w:val="21"/>
          <w:szCs w:val="21"/>
        </w:rPr>
        <w:t>撤换承包人项目经理和其他人员</w:t>
      </w:r>
    </w:p>
    <w:p w14:paraId="0EE27601">
      <w:pPr>
        <w:pStyle w:val="2"/>
        <w:spacing w:before="172" w:line="337" w:lineRule="auto"/>
        <w:ind w:right="10" w:firstLine="409"/>
        <w:rPr>
          <w:sz w:val="21"/>
          <w:szCs w:val="21"/>
        </w:rPr>
      </w:pPr>
      <w:r>
        <w:rPr>
          <w:spacing w:val="3"/>
          <w:sz w:val="21"/>
          <w:szCs w:val="21"/>
        </w:rPr>
        <w:t>承包人应对其项目经理和其他人员进行有效管</w:t>
      </w:r>
      <w:r>
        <w:rPr>
          <w:spacing w:val="2"/>
          <w:sz w:val="21"/>
          <w:szCs w:val="21"/>
        </w:rPr>
        <w:t>理。监理人要求撤换不能胜任本职工作、行为</w:t>
      </w:r>
      <w:r>
        <w:rPr>
          <w:sz w:val="21"/>
          <w:szCs w:val="21"/>
        </w:rPr>
        <w:t xml:space="preserve"> </w:t>
      </w:r>
      <w:r>
        <w:rPr>
          <w:spacing w:val="-1"/>
          <w:sz w:val="21"/>
          <w:szCs w:val="21"/>
        </w:rPr>
        <w:t>不端或玩忽职守的承包人项目经理和其他人员</w:t>
      </w:r>
      <w:r>
        <w:rPr>
          <w:spacing w:val="-2"/>
          <w:sz w:val="21"/>
          <w:szCs w:val="21"/>
        </w:rPr>
        <w:t>的，承包人应予以撤换。</w:t>
      </w:r>
    </w:p>
    <w:p w14:paraId="40BEF033">
      <w:pPr>
        <w:pStyle w:val="2"/>
        <w:spacing w:before="12" w:line="219" w:lineRule="auto"/>
        <w:ind w:left="3"/>
        <w:rPr>
          <w:sz w:val="21"/>
          <w:szCs w:val="21"/>
        </w:rPr>
      </w:pPr>
      <w:r>
        <w:rPr>
          <w:b/>
          <w:bCs/>
          <w:spacing w:val="24"/>
          <w:sz w:val="21"/>
          <w:szCs w:val="21"/>
        </w:rPr>
        <w:t>4</w:t>
      </w:r>
      <w:r>
        <w:rPr>
          <w:spacing w:val="-51"/>
          <w:sz w:val="21"/>
          <w:szCs w:val="21"/>
        </w:rPr>
        <w:t xml:space="preserve"> </w:t>
      </w:r>
      <w:r>
        <w:rPr>
          <w:b/>
          <w:bCs/>
          <w:spacing w:val="24"/>
          <w:sz w:val="21"/>
          <w:szCs w:val="21"/>
        </w:rPr>
        <w:t>.8保障承包人人员的合法权益</w:t>
      </w:r>
    </w:p>
    <w:p w14:paraId="4445AA0A">
      <w:pPr>
        <w:pStyle w:val="2"/>
        <w:spacing w:before="164" w:line="219" w:lineRule="auto"/>
        <w:ind w:left="409"/>
        <w:rPr>
          <w:sz w:val="21"/>
          <w:szCs w:val="21"/>
        </w:rPr>
      </w:pPr>
      <w:r>
        <w:rPr>
          <w:sz w:val="21"/>
          <w:szCs w:val="21"/>
        </w:rPr>
        <w:t>4.8.1承包人应与其雇佣的人员签订劳动合同，并按时发放工资。</w:t>
      </w:r>
    </w:p>
    <w:p w14:paraId="57465835">
      <w:pPr>
        <w:pStyle w:val="2"/>
        <w:spacing w:before="139" w:line="308" w:lineRule="auto"/>
        <w:ind w:right="9" w:firstLine="409"/>
        <w:rPr>
          <w:sz w:val="21"/>
          <w:szCs w:val="21"/>
        </w:rPr>
      </w:pPr>
      <w:r>
        <w:rPr>
          <w:spacing w:val="-2"/>
          <w:sz w:val="21"/>
          <w:szCs w:val="21"/>
        </w:rPr>
        <w:t>4.8.2 承包人应按劳动法的规定安排工作时</w:t>
      </w:r>
      <w:r>
        <w:rPr>
          <w:spacing w:val="-3"/>
          <w:sz w:val="21"/>
          <w:szCs w:val="21"/>
        </w:rPr>
        <w:t>间，保证其雇佣人员享有休息和休假的权利。因工</w:t>
      </w:r>
      <w:r>
        <w:rPr>
          <w:sz w:val="21"/>
          <w:szCs w:val="21"/>
        </w:rPr>
        <w:t xml:space="preserve"> </w:t>
      </w:r>
      <w:r>
        <w:rPr>
          <w:spacing w:val="2"/>
          <w:sz w:val="21"/>
          <w:szCs w:val="21"/>
        </w:rPr>
        <w:t>程施工的特殊需要占用休假日或延长工作时间的，应不超过法律规定的限度，并按法律规定给予</w:t>
      </w:r>
      <w:r>
        <w:rPr>
          <w:spacing w:val="7"/>
          <w:sz w:val="21"/>
          <w:szCs w:val="21"/>
        </w:rPr>
        <w:t xml:space="preserve"> </w:t>
      </w:r>
      <w:r>
        <w:rPr>
          <w:spacing w:val="-6"/>
          <w:sz w:val="21"/>
          <w:szCs w:val="21"/>
        </w:rPr>
        <w:t>补休或付酬。</w:t>
      </w:r>
    </w:p>
    <w:p w14:paraId="5AC6D20B">
      <w:pPr>
        <w:pStyle w:val="2"/>
        <w:spacing w:before="171" w:line="281" w:lineRule="auto"/>
        <w:ind w:right="11" w:firstLine="409"/>
        <w:rPr>
          <w:sz w:val="21"/>
          <w:szCs w:val="21"/>
        </w:rPr>
      </w:pPr>
      <w:r>
        <w:rPr>
          <w:spacing w:val="2"/>
          <w:sz w:val="21"/>
          <w:szCs w:val="21"/>
        </w:rPr>
        <w:t>4.8.3 承包人应为其雇佣人员提供必要的食宿条件，以及符合环境保护和卫生要求的生活环</w:t>
      </w:r>
      <w:r>
        <w:rPr>
          <w:spacing w:val="13"/>
          <w:sz w:val="21"/>
          <w:szCs w:val="21"/>
        </w:rPr>
        <w:t xml:space="preserve"> </w:t>
      </w:r>
      <w:r>
        <w:rPr>
          <w:sz w:val="21"/>
          <w:szCs w:val="21"/>
        </w:rPr>
        <w:t>境，在远离城镇的施工场地，还应配备必要的伤病防治和急救的医务人员</w:t>
      </w:r>
      <w:r>
        <w:rPr>
          <w:spacing w:val="-1"/>
          <w:sz w:val="21"/>
          <w:szCs w:val="21"/>
        </w:rPr>
        <w:t>与医疗设施。</w:t>
      </w:r>
    </w:p>
    <w:p w14:paraId="0271CA46">
      <w:pPr>
        <w:pStyle w:val="2"/>
        <w:spacing w:before="151" w:line="301" w:lineRule="auto"/>
        <w:ind w:right="12" w:firstLine="409"/>
        <w:rPr>
          <w:sz w:val="21"/>
          <w:szCs w:val="21"/>
        </w:rPr>
      </w:pPr>
      <w:r>
        <w:rPr>
          <w:sz w:val="21"/>
          <w:szCs w:val="21"/>
        </w:rPr>
        <w:t>4.8.4承包人应按国家有关劳动保护的规定，采取有效的防止粉尘、降低</w:t>
      </w:r>
      <w:r>
        <w:rPr>
          <w:spacing w:val="-1"/>
          <w:sz w:val="21"/>
          <w:szCs w:val="21"/>
        </w:rPr>
        <w:t>噪声、控制有害气体</w:t>
      </w:r>
      <w:r>
        <w:rPr>
          <w:sz w:val="21"/>
          <w:szCs w:val="21"/>
        </w:rPr>
        <w:t xml:space="preserve"> </w:t>
      </w:r>
      <w:r>
        <w:rPr>
          <w:spacing w:val="2"/>
          <w:sz w:val="21"/>
          <w:szCs w:val="21"/>
        </w:rPr>
        <w:t>和保障高温、高寒、高空作业安全等劳动保护措施。其雇佣人员在施工中受到伤害的，承包人应</w:t>
      </w:r>
      <w:r>
        <w:rPr>
          <w:spacing w:val="4"/>
          <w:sz w:val="21"/>
          <w:szCs w:val="21"/>
        </w:rPr>
        <w:t xml:space="preserve"> </w:t>
      </w:r>
      <w:r>
        <w:rPr>
          <w:spacing w:val="-3"/>
          <w:sz w:val="21"/>
          <w:szCs w:val="21"/>
        </w:rPr>
        <w:t>立即采取有效措施进行抢救和治疗。</w:t>
      </w:r>
    </w:p>
    <w:p w14:paraId="2228FFA9">
      <w:pPr>
        <w:pStyle w:val="2"/>
        <w:spacing w:before="182" w:line="219" w:lineRule="auto"/>
        <w:ind w:left="409"/>
        <w:rPr>
          <w:sz w:val="21"/>
          <w:szCs w:val="21"/>
        </w:rPr>
      </w:pPr>
      <w:r>
        <w:rPr>
          <w:sz w:val="21"/>
          <w:szCs w:val="21"/>
        </w:rPr>
        <w:t>4.8.5承包人应按有关法律规定和合同约定，</w:t>
      </w:r>
      <w:r>
        <w:rPr>
          <w:spacing w:val="-1"/>
          <w:sz w:val="21"/>
          <w:szCs w:val="21"/>
        </w:rPr>
        <w:t>为其雇佣人员办理保险。</w:t>
      </w:r>
    </w:p>
    <w:p w14:paraId="64D61A2C">
      <w:pPr>
        <w:pStyle w:val="2"/>
        <w:spacing w:before="131" w:line="219" w:lineRule="auto"/>
        <w:ind w:left="409"/>
        <w:rPr>
          <w:sz w:val="21"/>
          <w:szCs w:val="21"/>
        </w:rPr>
      </w:pPr>
      <w:r>
        <w:rPr>
          <w:sz w:val="21"/>
          <w:szCs w:val="21"/>
        </w:rPr>
        <w:t>4.8.6承包人应负责处理其雇佣人员因</w:t>
      </w:r>
      <w:r>
        <w:rPr>
          <w:spacing w:val="-1"/>
          <w:sz w:val="21"/>
          <w:szCs w:val="21"/>
        </w:rPr>
        <w:t>工伤亡事故的善后事宜。</w:t>
      </w:r>
    </w:p>
    <w:p w14:paraId="635E2227">
      <w:pPr>
        <w:pStyle w:val="2"/>
        <w:spacing w:before="166" w:line="218" w:lineRule="auto"/>
        <w:ind w:left="3"/>
        <w:rPr>
          <w:sz w:val="21"/>
          <w:szCs w:val="21"/>
        </w:rPr>
      </w:pPr>
      <w:r>
        <w:rPr>
          <w:b/>
          <w:bCs/>
          <w:spacing w:val="17"/>
          <w:sz w:val="21"/>
          <w:szCs w:val="21"/>
        </w:rPr>
        <w:t>4.9</w:t>
      </w:r>
      <w:r>
        <w:rPr>
          <w:spacing w:val="17"/>
          <w:sz w:val="21"/>
          <w:szCs w:val="21"/>
        </w:rPr>
        <w:t xml:space="preserve"> </w:t>
      </w:r>
      <w:r>
        <w:rPr>
          <w:b/>
          <w:bCs/>
          <w:spacing w:val="17"/>
          <w:sz w:val="21"/>
          <w:szCs w:val="21"/>
        </w:rPr>
        <w:t>工程价款应专款专用</w:t>
      </w:r>
    </w:p>
    <w:p w14:paraId="48D2E039">
      <w:pPr>
        <w:pStyle w:val="2"/>
        <w:spacing w:before="155" w:line="218" w:lineRule="auto"/>
        <w:ind w:left="409"/>
        <w:rPr>
          <w:sz w:val="21"/>
          <w:szCs w:val="21"/>
        </w:rPr>
      </w:pPr>
      <w:r>
        <w:rPr>
          <w:spacing w:val="-2"/>
          <w:sz w:val="21"/>
          <w:szCs w:val="21"/>
        </w:rPr>
        <w:t>发包人按合同约定支付给承包人的各项价款应专用于合同工程。</w:t>
      </w:r>
    </w:p>
    <w:p w14:paraId="541C52C0">
      <w:pPr>
        <w:pStyle w:val="2"/>
        <w:spacing w:before="131" w:line="219" w:lineRule="auto"/>
        <w:ind w:left="3"/>
        <w:rPr>
          <w:sz w:val="21"/>
          <w:szCs w:val="21"/>
        </w:rPr>
      </w:pPr>
      <w:r>
        <w:rPr>
          <w:b/>
          <w:bCs/>
          <w:spacing w:val="18"/>
          <w:sz w:val="21"/>
          <w:szCs w:val="21"/>
        </w:rPr>
        <w:t>4</w:t>
      </w:r>
      <w:r>
        <w:rPr>
          <w:spacing w:val="-50"/>
          <w:sz w:val="21"/>
          <w:szCs w:val="21"/>
        </w:rPr>
        <w:t xml:space="preserve"> </w:t>
      </w:r>
      <w:r>
        <w:rPr>
          <w:b/>
          <w:bCs/>
          <w:spacing w:val="18"/>
          <w:sz w:val="21"/>
          <w:szCs w:val="21"/>
        </w:rPr>
        <w:t>.</w:t>
      </w:r>
      <w:r>
        <w:rPr>
          <w:spacing w:val="-47"/>
          <w:sz w:val="21"/>
          <w:szCs w:val="21"/>
        </w:rPr>
        <w:t xml:space="preserve"> </w:t>
      </w:r>
      <w:r>
        <w:rPr>
          <w:b/>
          <w:bCs/>
          <w:spacing w:val="18"/>
          <w:sz w:val="21"/>
          <w:szCs w:val="21"/>
        </w:rPr>
        <w:t>10承包人现场查勘</w:t>
      </w:r>
    </w:p>
    <w:p w14:paraId="1152A5D2">
      <w:pPr>
        <w:pStyle w:val="2"/>
        <w:spacing w:before="153" w:line="372" w:lineRule="auto"/>
        <w:ind w:right="33" w:firstLine="409"/>
        <w:rPr>
          <w:sz w:val="21"/>
          <w:szCs w:val="21"/>
        </w:rPr>
      </w:pPr>
      <w:r>
        <w:rPr>
          <w:sz w:val="21"/>
          <w:szCs w:val="21"/>
        </w:rPr>
        <w:t>4.10.1</w:t>
      </w:r>
      <w:r>
        <w:rPr>
          <w:spacing w:val="-24"/>
          <w:sz w:val="21"/>
          <w:szCs w:val="21"/>
        </w:rPr>
        <w:t xml:space="preserve"> </w:t>
      </w:r>
      <w:r>
        <w:rPr>
          <w:sz w:val="21"/>
          <w:szCs w:val="21"/>
        </w:rPr>
        <w:t>发包人应将其持有的现场地质勘探资料、水文气象资料提供给承包人，并对</w:t>
      </w:r>
      <w:r>
        <w:rPr>
          <w:spacing w:val="-1"/>
          <w:sz w:val="21"/>
          <w:szCs w:val="21"/>
        </w:rPr>
        <w:t>其准确性</w:t>
      </w:r>
      <w:r>
        <w:rPr>
          <w:sz w:val="21"/>
          <w:szCs w:val="21"/>
        </w:rPr>
        <w:t xml:space="preserve"> </w:t>
      </w:r>
      <w:r>
        <w:rPr>
          <w:spacing w:val="-1"/>
          <w:sz w:val="21"/>
          <w:szCs w:val="21"/>
        </w:rPr>
        <w:t>负责。但承包人应对其阅读上述有关资料后所作出的解释和推断负责。</w:t>
      </w:r>
    </w:p>
    <w:p w14:paraId="2B8C6F83">
      <w:pPr>
        <w:spacing w:line="372" w:lineRule="auto"/>
        <w:rPr>
          <w:sz w:val="21"/>
          <w:szCs w:val="21"/>
        </w:rPr>
        <w:sectPr>
          <w:footerReference r:id="rId121" w:type="default"/>
          <w:pgSz w:w="11910" w:h="16840"/>
          <w:pgMar w:top="400" w:right="1528" w:bottom="1024" w:left="1460" w:header="0" w:footer="889" w:gutter="0"/>
          <w:cols w:space="720" w:num="1"/>
        </w:sectPr>
      </w:pPr>
    </w:p>
    <w:p w14:paraId="179FA333">
      <w:pPr>
        <w:spacing w:line="272" w:lineRule="auto"/>
        <w:rPr>
          <w:rFonts w:ascii="Arial"/>
          <w:sz w:val="21"/>
        </w:rPr>
      </w:pPr>
    </w:p>
    <w:p w14:paraId="247CEFC5">
      <w:pPr>
        <w:spacing w:line="272" w:lineRule="auto"/>
        <w:rPr>
          <w:rFonts w:ascii="Arial"/>
          <w:sz w:val="21"/>
        </w:rPr>
      </w:pPr>
    </w:p>
    <w:p w14:paraId="39E692B5">
      <w:pPr>
        <w:spacing w:line="272" w:lineRule="auto"/>
        <w:rPr>
          <w:rFonts w:ascii="Arial"/>
          <w:sz w:val="21"/>
        </w:rPr>
      </w:pPr>
    </w:p>
    <w:p w14:paraId="152CBA02">
      <w:pPr>
        <w:spacing w:line="273" w:lineRule="auto"/>
        <w:rPr>
          <w:rFonts w:ascii="Arial"/>
          <w:sz w:val="21"/>
        </w:rPr>
      </w:pPr>
    </w:p>
    <w:p w14:paraId="319611D3">
      <w:pPr>
        <w:spacing w:line="273" w:lineRule="auto"/>
        <w:rPr>
          <w:rFonts w:ascii="Arial"/>
          <w:sz w:val="21"/>
        </w:rPr>
      </w:pPr>
    </w:p>
    <w:p w14:paraId="70D61557">
      <w:pPr>
        <w:pStyle w:val="2"/>
        <w:spacing w:before="68" w:line="342" w:lineRule="auto"/>
        <w:ind w:right="111" w:firstLine="409"/>
        <w:jc w:val="both"/>
        <w:rPr>
          <w:sz w:val="21"/>
          <w:szCs w:val="21"/>
        </w:rPr>
      </w:pPr>
      <w:r>
        <w:rPr>
          <w:sz w:val="21"/>
          <w:szCs w:val="21"/>
        </w:rPr>
        <w:t>4.10.2 承包人应对施工场地和周围环境进行查勘，并收集有关地质、水文</w:t>
      </w:r>
      <w:r>
        <w:rPr>
          <w:spacing w:val="-1"/>
          <w:sz w:val="21"/>
          <w:szCs w:val="21"/>
        </w:rPr>
        <w:t>、气象条件、交通</w:t>
      </w:r>
      <w:r>
        <w:rPr>
          <w:sz w:val="21"/>
          <w:szCs w:val="21"/>
        </w:rPr>
        <w:t xml:space="preserve"> </w:t>
      </w:r>
      <w:r>
        <w:rPr>
          <w:spacing w:val="2"/>
          <w:sz w:val="21"/>
          <w:szCs w:val="21"/>
        </w:rPr>
        <w:t>条件、风俗习惯以及其他为完成合同工作有关的当地资料。在全部合同工作中，应视为承包人已</w:t>
      </w:r>
      <w:r>
        <w:rPr>
          <w:spacing w:val="8"/>
          <w:sz w:val="21"/>
          <w:szCs w:val="21"/>
        </w:rPr>
        <w:t xml:space="preserve"> </w:t>
      </w:r>
      <w:r>
        <w:rPr>
          <w:spacing w:val="-1"/>
          <w:sz w:val="21"/>
          <w:szCs w:val="21"/>
        </w:rPr>
        <w:t>充分估计了应承担的责任和风险。</w:t>
      </w:r>
    </w:p>
    <w:p w14:paraId="17784533">
      <w:pPr>
        <w:pStyle w:val="2"/>
        <w:spacing w:line="219" w:lineRule="auto"/>
        <w:ind w:left="3"/>
        <w:rPr>
          <w:sz w:val="24"/>
          <w:szCs w:val="24"/>
        </w:rPr>
      </w:pPr>
      <w:r>
        <w:rPr>
          <w:b/>
          <w:bCs/>
          <w:spacing w:val="-8"/>
          <w:sz w:val="24"/>
          <w:szCs w:val="24"/>
        </w:rPr>
        <w:t>4.11</w:t>
      </w:r>
      <w:r>
        <w:rPr>
          <w:spacing w:val="-8"/>
          <w:sz w:val="24"/>
          <w:szCs w:val="24"/>
        </w:rPr>
        <w:t xml:space="preserve"> </w:t>
      </w:r>
      <w:r>
        <w:rPr>
          <w:b/>
          <w:bCs/>
          <w:spacing w:val="-8"/>
          <w:sz w:val="24"/>
          <w:szCs w:val="24"/>
        </w:rPr>
        <w:t>不利物质条件</w:t>
      </w:r>
    </w:p>
    <w:p w14:paraId="1DB35161">
      <w:pPr>
        <w:pStyle w:val="2"/>
        <w:spacing w:before="136" w:line="290" w:lineRule="auto"/>
        <w:ind w:right="114" w:firstLine="409"/>
        <w:rPr>
          <w:sz w:val="21"/>
          <w:szCs w:val="21"/>
        </w:rPr>
      </w:pPr>
      <w:r>
        <w:rPr>
          <w:spacing w:val="2"/>
          <w:sz w:val="21"/>
          <w:szCs w:val="21"/>
        </w:rPr>
        <w:t>4.11.1不利物质条件，除专用合同条款另有约定外，是指承包人在施工场地遇到的不可预见</w:t>
      </w:r>
      <w:r>
        <w:rPr>
          <w:spacing w:val="14"/>
          <w:sz w:val="21"/>
          <w:szCs w:val="21"/>
        </w:rPr>
        <w:t xml:space="preserve"> </w:t>
      </w:r>
      <w:r>
        <w:rPr>
          <w:sz w:val="21"/>
          <w:szCs w:val="21"/>
        </w:rPr>
        <w:t>的自然物质条件、非自然的物质障碍和污染物，包括地下和水文条件，但不</w:t>
      </w:r>
      <w:r>
        <w:rPr>
          <w:spacing w:val="-1"/>
          <w:sz w:val="21"/>
          <w:szCs w:val="21"/>
        </w:rPr>
        <w:t>包括气候条件。</w:t>
      </w:r>
    </w:p>
    <w:p w14:paraId="3C07B279">
      <w:pPr>
        <w:pStyle w:val="2"/>
        <w:spacing w:before="131" w:line="307" w:lineRule="auto"/>
        <w:ind w:right="99" w:firstLine="409"/>
        <w:rPr>
          <w:sz w:val="21"/>
          <w:szCs w:val="21"/>
        </w:rPr>
      </w:pPr>
      <w:r>
        <w:rPr>
          <w:sz w:val="21"/>
          <w:szCs w:val="21"/>
        </w:rPr>
        <w:t>4.11.2 承包人遇到不利物质条件时，应采取适应不利物质条件的合理措施继续施工</w:t>
      </w:r>
      <w:r>
        <w:rPr>
          <w:spacing w:val="-1"/>
          <w:sz w:val="21"/>
          <w:szCs w:val="21"/>
        </w:rPr>
        <w:t>，并及时</w:t>
      </w:r>
      <w:r>
        <w:rPr>
          <w:sz w:val="21"/>
          <w:szCs w:val="21"/>
        </w:rPr>
        <w:t xml:space="preserve"> </w:t>
      </w:r>
      <w:r>
        <w:rPr>
          <w:spacing w:val="2"/>
          <w:sz w:val="21"/>
          <w:szCs w:val="21"/>
        </w:rPr>
        <w:t>通知监理人。监理人应当及时发出指示，指示构成变更的，按第15条约定办理。监理人没有发出</w:t>
      </w:r>
      <w:r>
        <w:rPr>
          <w:spacing w:val="18"/>
          <w:sz w:val="21"/>
          <w:szCs w:val="21"/>
        </w:rPr>
        <w:t xml:space="preserve"> </w:t>
      </w:r>
      <w:r>
        <w:rPr>
          <w:spacing w:val="5"/>
          <w:sz w:val="21"/>
          <w:szCs w:val="21"/>
        </w:rPr>
        <w:t>指示的，承包人因采取合理措施而增加的费用和(或)工期延误，由发包人承担。</w:t>
      </w:r>
    </w:p>
    <w:p w14:paraId="20DA04A6">
      <w:pPr>
        <w:pStyle w:val="2"/>
        <w:spacing w:before="189" w:line="219" w:lineRule="auto"/>
        <w:ind w:left="4"/>
        <w:rPr>
          <w:sz w:val="29"/>
          <w:szCs w:val="29"/>
        </w:rPr>
      </w:pPr>
      <w:r>
        <w:rPr>
          <w:b/>
          <w:bCs/>
          <w:sz w:val="29"/>
          <w:szCs w:val="29"/>
        </w:rPr>
        <w:t>5.材料和工程设备</w:t>
      </w:r>
    </w:p>
    <w:p w14:paraId="634D52EF">
      <w:pPr>
        <w:pStyle w:val="2"/>
        <w:spacing w:before="115" w:line="219" w:lineRule="auto"/>
        <w:ind w:left="3"/>
        <w:rPr>
          <w:sz w:val="24"/>
          <w:szCs w:val="24"/>
        </w:rPr>
      </w:pPr>
      <w:r>
        <w:rPr>
          <w:b/>
          <w:bCs/>
          <w:spacing w:val="-7"/>
          <w:sz w:val="24"/>
          <w:szCs w:val="24"/>
        </w:rPr>
        <w:t>5.1</w:t>
      </w:r>
      <w:r>
        <w:rPr>
          <w:spacing w:val="-7"/>
          <w:sz w:val="24"/>
          <w:szCs w:val="24"/>
        </w:rPr>
        <w:t xml:space="preserve"> </w:t>
      </w:r>
      <w:r>
        <w:rPr>
          <w:b/>
          <w:bCs/>
          <w:spacing w:val="-7"/>
          <w:sz w:val="24"/>
          <w:szCs w:val="24"/>
        </w:rPr>
        <w:t>承包人提供的材料和工程设备</w:t>
      </w:r>
    </w:p>
    <w:p w14:paraId="0C613239">
      <w:pPr>
        <w:pStyle w:val="2"/>
        <w:spacing w:before="117" w:line="290" w:lineRule="auto"/>
        <w:ind w:right="115" w:firstLine="409"/>
        <w:rPr>
          <w:sz w:val="21"/>
          <w:szCs w:val="21"/>
        </w:rPr>
      </w:pPr>
      <w:r>
        <w:rPr>
          <w:spacing w:val="-2"/>
          <w:sz w:val="21"/>
          <w:szCs w:val="21"/>
        </w:rPr>
        <w:t>5.1.1 除专用合同条款另有约定外，承</w:t>
      </w:r>
      <w:r>
        <w:rPr>
          <w:spacing w:val="-3"/>
          <w:sz w:val="21"/>
          <w:szCs w:val="21"/>
        </w:rPr>
        <w:t>包人提供的材料和工程设备均由承包人负责采购、运输</w:t>
      </w:r>
      <w:r>
        <w:rPr>
          <w:sz w:val="21"/>
          <w:szCs w:val="21"/>
        </w:rPr>
        <w:t xml:space="preserve"> </w:t>
      </w:r>
      <w:r>
        <w:rPr>
          <w:spacing w:val="-2"/>
          <w:sz w:val="21"/>
          <w:szCs w:val="21"/>
        </w:rPr>
        <w:t>和保管。承包人应对其采购的材料和工程设备负责。</w:t>
      </w:r>
    </w:p>
    <w:p w14:paraId="02CADA82">
      <w:pPr>
        <w:pStyle w:val="2"/>
        <w:spacing w:before="160" w:line="308" w:lineRule="auto"/>
        <w:ind w:right="116" w:firstLine="409"/>
        <w:rPr>
          <w:sz w:val="21"/>
          <w:szCs w:val="21"/>
        </w:rPr>
      </w:pPr>
      <w:r>
        <w:rPr>
          <w:spacing w:val="-2"/>
          <w:sz w:val="21"/>
          <w:szCs w:val="21"/>
        </w:rPr>
        <w:t>5.1.2 承包人应按专用合同条款的约</w:t>
      </w:r>
      <w:r>
        <w:rPr>
          <w:spacing w:val="-3"/>
          <w:sz w:val="21"/>
          <w:szCs w:val="21"/>
        </w:rPr>
        <w:t>定，将各项材料和工程设备的供货人及品种、规格、数量</w:t>
      </w:r>
      <w:r>
        <w:rPr>
          <w:sz w:val="21"/>
          <w:szCs w:val="21"/>
        </w:rPr>
        <w:t xml:space="preserve"> </w:t>
      </w:r>
      <w:r>
        <w:rPr>
          <w:spacing w:val="2"/>
          <w:sz w:val="21"/>
          <w:szCs w:val="21"/>
        </w:rPr>
        <w:t>和供货时间等报送监理人审批。承包人应向监理人提交其负责提供的材料和工程设备的质</w:t>
      </w:r>
      <w:r>
        <w:rPr>
          <w:spacing w:val="1"/>
          <w:sz w:val="21"/>
          <w:szCs w:val="21"/>
        </w:rPr>
        <w:t>量证明</w:t>
      </w:r>
      <w:r>
        <w:rPr>
          <w:sz w:val="21"/>
          <w:szCs w:val="21"/>
        </w:rPr>
        <w:t xml:space="preserve"> </w:t>
      </w:r>
      <w:r>
        <w:rPr>
          <w:spacing w:val="-3"/>
          <w:sz w:val="21"/>
          <w:szCs w:val="21"/>
        </w:rPr>
        <w:t>文件，并满足合同约定的质量标准。</w:t>
      </w:r>
    </w:p>
    <w:p w14:paraId="42C5BA57">
      <w:pPr>
        <w:pStyle w:val="2"/>
        <w:spacing w:before="160" w:line="302" w:lineRule="auto"/>
        <w:ind w:right="97" w:firstLine="409"/>
        <w:rPr>
          <w:sz w:val="21"/>
          <w:szCs w:val="21"/>
        </w:rPr>
      </w:pPr>
      <w:r>
        <w:rPr>
          <w:sz w:val="21"/>
          <w:szCs w:val="21"/>
        </w:rPr>
        <w:t>5.1.3对承包人提供的材料和工程设备，承包人应会同监理人进行检验和交货验收，查验材料</w:t>
      </w:r>
      <w:r>
        <w:rPr>
          <w:spacing w:val="11"/>
          <w:sz w:val="21"/>
          <w:szCs w:val="21"/>
        </w:rPr>
        <w:t xml:space="preserve"> </w:t>
      </w:r>
      <w:r>
        <w:rPr>
          <w:spacing w:val="2"/>
          <w:sz w:val="21"/>
          <w:szCs w:val="21"/>
        </w:rPr>
        <w:t>合格证明和产品合格证书，并按合同约定和监理人指示，进行材料的抽样检验和工程设备的检验</w:t>
      </w:r>
      <w:r>
        <w:rPr>
          <w:spacing w:val="4"/>
          <w:sz w:val="21"/>
          <w:szCs w:val="21"/>
        </w:rPr>
        <w:t xml:space="preserve"> </w:t>
      </w:r>
      <w:r>
        <w:rPr>
          <w:spacing w:val="-1"/>
          <w:sz w:val="21"/>
          <w:szCs w:val="21"/>
        </w:rPr>
        <w:t>测试，检验和测试结果应提交监理人，所需费用由承包人承担。</w:t>
      </w:r>
    </w:p>
    <w:p w14:paraId="2E8EE9D9">
      <w:pPr>
        <w:pStyle w:val="2"/>
        <w:spacing w:before="137" w:line="219" w:lineRule="auto"/>
        <w:ind w:left="2"/>
        <w:rPr>
          <w:sz w:val="24"/>
          <w:szCs w:val="24"/>
        </w:rPr>
      </w:pPr>
      <w:r>
        <w:rPr>
          <w:b/>
          <w:bCs/>
          <w:spacing w:val="-8"/>
          <w:sz w:val="24"/>
          <w:szCs w:val="24"/>
        </w:rPr>
        <w:t>5.2</w:t>
      </w:r>
      <w:r>
        <w:rPr>
          <w:spacing w:val="-8"/>
          <w:sz w:val="24"/>
          <w:szCs w:val="24"/>
        </w:rPr>
        <w:t xml:space="preserve"> </w:t>
      </w:r>
      <w:r>
        <w:rPr>
          <w:b/>
          <w:bCs/>
          <w:spacing w:val="-8"/>
          <w:sz w:val="24"/>
          <w:szCs w:val="24"/>
        </w:rPr>
        <w:t>发包人提供的材料和工程设备</w:t>
      </w:r>
    </w:p>
    <w:p w14:paraId="3F92B5E7">
      <w:pPr>
        <w:pStyle w:val="2"/>
        <w:spacing w:before="127" w:line="289" w:lineRule="auto"/>
        <w:ind w:firstLine="409"/>
        <w:rPr>
          <w:sz w:val="21"/>
          <w:szCs w:val="21"/>
        </w:rPr>
      </w:pPr>
      <w:r>
        <w:rPr>
          <w:spacing w:val="-4"/>
          <w:sz w:val="21"/>
          <w:szCs w:val="21"/>
        </w:rPr>
        <w:t>5.2.1 发包人提供的材料和工程设备</w:t>
      </w:r>
      <w:r>
        <w:rPr>
          <w:spacing w:val="-5"/>
          <w:sz w:val="21"/>
          <w:szCs w:val="21"/>
        </w:rPr>
        <w:t>，应在专用合同条款中写明材料和工程设备的名称、规格、</w:t>
      </w:r>
      <w:r>
        <w:rPr>
          <w:sz w:val="21"/>
          <w:szCs w:val="21"/>
        </w:rPr>
        <w:t xml:space="preserve"> </w:t>
      </w:r>
      <w:r>
        <w:rPr>
          <w:spacing w:val="-2"/>
          <w:sz w:val="21"/>
          <w:szCs w:val="21"/>
        </w:rPr>
        <w:t>数量、价格、交货方式、交货地点和计划交货日期等。</w:t>
      </w:r>
    </w:p>
    <w:p w14:paraId="0B73B6F7">
      <w:pPr>
        <w:pStyle w:val="2"/>
        <w:spacing w:before="174" w:line="276" w:lineRule="auto"/>
        <w:ind w:right="113" w:firstLine="409"/>
        <w:rPr>
          <w:sz w:val="21"/>
          <w:szCs w:val="21"/>
        </w:rPr>
      </w:pPr>
      <w:r>
        <w:rPr>
          <w:spacing w:val="-2"/>
          <w:sz w:val="21"/>
          <w:szCs w:val="21"/>
        </w:rPr>
        <w:t>5.2.2 承包人应根据合同进度计划的安排，</w:t>
      </w:r>
      <w:r>
        <w:rPr>
          <w:spacing w:val="-3"/>
          <w:sz w:val="21"/>
          <w:szCs w:val="21"/>
        </w:rPr>
        <w:t>向监理人报送要求发包人交货的日期计划。发包人</w:t>
      </w:r>
      <w:r>
        <w:rPr>
          <w:sz w:val="21"/>
          <w:szCs w:val="21"/>
        </w:rPr>
        <w:t xml:space="preserve"> 应按照监理人与合同双方当事人商定的交货日</w:t>
      </w:r>
      <w:r>
        <w:rPr>
          <w:spacing w:val="-1"/>
          <w:sz w:val="21"/>
          <w:szCs w:val="21"/>
        </w:rPr>
        <w:t>期，向承包人提交材料和工程设备。</w:t>
      </w:r>
    </w:p>
    <w:p w14:paraId="1E279767">
      <w:pPr>
        <w:pStyle w:val="2"/>
        <w:spacing w:before="141" w:line="308" w:lineRule="auto"/>
        <w:ind w:right="104" w:firstLine="409"/>
        <w:rPr>
          <w:sz w:val="21"/>
          <w:szCs w:val="21"/>
        </w:rPr>
      </w:pPr>
      <w:r>
        <w:rPr>
          <w:sz w:val="21"/>
          <w:szCs w:val="21"/>
        </w:rPr>
        <w:t>5.2.3 发包人应在材料和工程设备到货7天前通知承包人，承包人应会同监理人在约定的时间</w:t>
      </w:r>
      <w:r>
        <w:rPr>
          <w:spacing w:val="4"/>
          <w:sz w:val="21"/>
          <w:szCs w:val="21"/>
        </w:rPr>
        <w:t xml:space="preserve"> </w:t>
      </w:r>
      <w:r>
        <w:rPr>
          <w:spacing w:val="2"/>
          <w:sz w:val="21"/>
          <w:szCs w:val="21"/>
        </w:rPr>
        <w:t>内，赴交货地点共同进行验收。除专用合同条款另有约定</w:t>
      </w:r>
      <w:r>
        <w:rPr>
          <w:spacing w:val="1"/>
          <w:sz w:val="21"/>
          <w:szCs w:val="21"/>
        </w:rPr>
        <w:t>外，发包人提供的材料和工程设备验收</w:t>
      </w:r>
      <w:r>
        <w:rPr>
          <w:sz w:val="21"/>
          <w:szCs w:val="21"/>
        </w:rPr>
        <w:t xml:space="preserve"> </w:t>
      </w:r>
      <w:r>
        <w:rPr>
          <w:spacing w:val="-3"/>
          <w:sz w:val="21"/>
          <w:szCs w:val="21"/>
        </w:rPr>
        <w:t>后，由承包人负责接收、运输和保管。</w:t>
      </w:r>
    </w:p>
    <w:p w14:paraId="146BBDDF">
      <w:pPr>
        <w:pStyle w:val="2"/>
        <w:spacing w:before="170" w:line="307" w:lineRule="auto"/>
        <w:ind w:right="96" w:firstLine="409"/>
        <w:rPr>
          <w:sz w:val="17"/>
          <w:szCs w:val="17"/>
        </w:rPr>
      </w:pPr>
      <w:r>
        <w:rPr>
          <w:spacing w:val="-2"/>
          <w:sz w:val="21"/>
          <w:szCs w:val="21"/>
        </w:rPr>
        <w:t>5.2.4 发包人要求向承包人提前交货的，承包人不得拒绝，但发包人应承担承包人</w:t>
      </w:r>
      <w:r>
        <w:rPr>
          <w:spacing w:val="-3"/>
          <w:sz w:val="21"/>
          <w:szCs w:val="21"/>
        </w:rPr>
        <w:t>由此增加的</w:t>
      </w:r>
      <w:r>
        <w:rPr>
          <w:sz w:val="21"/>
          <w:szCs w:val="21"/>
        </w:rPr>
        <w:t xml:space="preserve"> </w:t>
      </w:r>
      <w:r>
        <w:rPr>
          <w:spacing w:val="-8"/>
          <w:sz w:val="17"/>
          <w:szCs w:val="17"/>
        </w:rPr>
        <w:t>费</w:t>
      </w:r>
      <w:r>
        <w:rPr>
          <w:spacing w:val="-25"/>
          <w:sz w:val="17"/>
          <w:szCs w:val="17"/>
        </w:rPr>
        <w:t xml:space="preserve"> </w:t>
      </w:r>
      <w:r>
        <w:rPr>
          <w:spacing w:val="-8"/>
          <w:sz w:val="17"/>
          <w:szCs w:val="17"/>
        </w:rPr>
        <w:t>用</w:t>
      </w:r>
      <w:r>
        <w:rPr>
          <w:spacing w:val="-33"/>
          <w:sz w:val="17"/>
          <w:szCs w:val="17"/>
        </w:rPr>
        <w:t xml:space="preserve"> </w:t>
      </w:r>
      <w:r>
        <w:rPr>
          <w:spacing w:val="-8"/>
          <w:sz w:val="17"/>
          <w:szCs w:val="17"/>
        </w:rPr>
        <w:t>。</w:t>
      </w:r>
    </w:p>
    <w:p w14:paraId="4150F987">
      <w:pPr>
        <w:pStyle w:val="2"/>
        <w:spacing w:before="167" w:line="277" w:lineRule="auto"/>
        <w:ind w:right="93" w:firstLine="409"/>
        <w:rPr>
          <w:sz w:val="21"/>
          <w:szCs w:val="21"/>
        </w:rPr>
      </w:pPr>
      <w:r>
        <w:rPr>
          <w:spacing w:val="-2"/>
          <w:sz w:val="21"/>
          <w:szCs w:val="21"/>
        </w:rPr>
        <w:t>5.2.5 承包人要求更改交货日期或地点的，应事先报请监理人批准。由于承包人要求更改</w:t>
      </w:r>
      <w:r>
        <w:rPr>
          <w:spacing w:val="-3"/>
          <w:sz w:val="21"/>
          <w:szCs w:val="21"/>
        </w:rPr>
        <w:t>交货</w:t>
      </w:r>
      <w:r>
        <w:rPr>
          <w:sz w:val="21"/>
          <w:szCs w:val="21"/>
        </w:rPr>
        <w:t xml:space="preserve"> </w:t>
      </w:r>
      <w:r>
        <w:rPr>
          <w:spacing w:val="7"/>
          <w:sz w:val="21"/>
          <w:szCs w:val="21"/>
        </w:rPr>
        <w:t>时间或地点所增加的费用和(或)工期延误由承包人承担。</w:t>
      </w:r>
    </w:p>
    <w:p w14:paraId="56E1D026">
      <w:pPr>
        <w:pStyle w:val="2"/>
        <w:spacing w:before="181" w:line="276" w:lineRule="auto"/>
        <w:ind w:right="86" w:firstLine="409"/>
        <w:rPr>
          <w:sz w:val="21"/>
          <w:szCs w:val="21"/>
        </w:rPr>
      </w:pPr>
      <w:r>
        <w:rPr>
          <w:spacing w:val="-2"/>
          <w:sz w:val="21"/>
          <w:szCs w:val="21"/>
        </w:rPr>
        <w:t>5.2.6 发包人提供的材料和工程设备的规格、数量或质量不符合合同要求，或由于发包人原因</w:t>
      </w:r>
      <w:r>
        <w:rPr>
          <w:spacing w:val="5"/>
          <w:sz w:val="21"/>
          <w:szCs w:val="21"/>
        </w:rPr>
        <w:t xml:space="preserve"> </w:t>
      </w:r>
      <w:r>
        <w:rPr>
          <w:spacing w:val="6"/>
          <w:sz w:val="21"/>
          <w:szCs w:val="21"/>
        </w:rPr>
        <w:t>发生交货日期延误及交货地点变更等情况的，发包人应承担由此增加的费用和(或)工期延误，</w:t>
      </w:r>
    </w:p>
    <w:p w14:paraId="569523E9">
      <w:pPr>
        <w:spacing w:line="276" w:lineRule="auto"/>
        <w:rPr>
          <w:sz w:val="21"/>
          <w:szCs w:val="21"/>
        </w:rPr>
        <w:sectPr>
          <w:footerReference r:id="rId122" w:type="default"/>
          <w:pgSz w:w="11910" w:h="16840"/>
          <w:pgMar w:top="400" w:right="1424" w:bottom="1016" w:left="1460" w:header="0" w:footer="889" w:gutter="0"/>
          <w:cols w:space="720" w:num="1"/>
        </w:sectPr>
      </w:pPr>
    </w:p>
    <w:p w14:paraId="52847F76">
      <w:pPr>
        <w:spacing w:line="267" w:lineRule="auto"/>
        <w:rPr>
          <w:rFonts w:ascii="Arial"/>
          <w:sz w:val="21"/>
        </w:rPr>
      </w:pPr>
    </w:p>
    <w:p w14:paraId="0611C1B5">
      <w:pPr>
        <w:spacing w:line="268" w:lineRule="auto"/>
        <w:rPr>
          <w:rFonts w:ascii="Arial"/>
          <w:sz w:val="21"/>
        </w:rPr>
      </w:pPr>
    </w:p>
    <w:p w14:paraId="07622A1D">
      <w:pPr>
        <w:spacing w:line="268" w:lineRule="auto"/>
        <w:rPr>
          <w:rFonts w:ascii="Arial"/>
          <w:sz w:val="21"/>
        </w:rPr>
      </w:pPr>
    </w:p>
    <w:p w14:paraId="47F7C8C5">
      <w:pPr>
        <w:spacing w:line="268" w:lineRule="auto"/>
        <w:rPr>
          <w:rFonts w:ascii="Arial"/>
          <w:sz w:val="21"/>
        </w:rPr>
      </w:pPr>
    </w:p>
    <w:p w14:paraId="14DFD2E5">
      <w:pPr>
        <w:spacing w:line="268" w:lineRule="auto"/>
        <w:rPr>
          <w:rFonts w:ascii="Arial"/>
          <w:sz w:val="21"/>
        </w:rPr>
      </w:pPr>
    </w:p>
    <w:p w14:paraId="3078F442">
      <w:pPr>
        <w:pStyle w:val="2"/>
        <w:spacing w:before="72" w:line="219" w:lineRule="auto"/>
        <w:rPr>
          <w:sz w:val="22"/>
          <w:szCs w:val="22"/>
        </w:rPr>
      </w:pPr>
      <w:r>
        <w:rPr>
          <w:spacing w:val="-12"/>
          <w:sz w:val="22"/>
          <w:szCs w:val="22"/>
        </w:rPr>
        <w:t>并向承包人支付合理利润。</w:t>
      </w:r>
    </w:p>
    <w:p w14:paraId="72733384">
      <w:pPr>
        <w:pStyle w:val="2"/>
        <w:spacing w:before="144" w:line="219" w:lineRule="auto"/>
        <w:ind w:left="3"/>
        <w:rPr>
          <w:sz w:val="22"/>
          <w:szCs w:val="22"/>
        </w:rPr>
      </w:pPr>
      <w:r>
        <w:rPr>
          <w:b/>
          <w:bCs/>
          <w:spacing w:val="12"/>
          <w:sz w:val="22"/>
          <w:szCs w:val="22"/>
        </w:rPr>
        <w:t>5.3</w:t>
      </w:r>
      <w:r>
        <w:rPr>
          <w:spacing w:val="12"/>
          <w:sz w:val="22"/>
          <w:szCs w:val="22"/>
        </w:rPr>
        <w:t xml:space="preserve"> </w:t>
      </w:r>
      <w:r>
        <w:rPr>
          <w:b/>
          <w:bCs/>
          <w:spacing w:val="12"/>
          <w:sz w:val="22"/>
          <w:szCs w:val="22"/>
        </w:rPr>
        <w:t>材料和工程设备专用于合同工程</w:t>
      </w:r>
    </w:p>
    <w:p w14:paraId="092D0646">
      <w:pPr>
        <w:pStyle w:val="2"/>
        <w:spacing w:before="132" w:line="278" w:lineRule="auto"/>
        <w:ind w:right="98" w:firstLine="409"/>
        <w:rPr>
          <w:sz w:val="22"/>
          <w:szCs w:val="22"/>
        </w:rPr>
      </w:pPr>
      <w:r>
        <w:rPr>
          <w:spacing w:val="-9"/>
          <w:sz w:val="22"/>
          <w:szCs w:val="22"/>
        </w:rPr>
        <w:t>5.3.1运入施工场地的材料、工程设备，</w:t>
      </w:r>
      <w:r>
        <w:rPr>
          <w:spacing w:val="-10"/>
          <w:sz w:val="22"/>
          <w:szCs w:val="22"/>
        </w:rPr>
        <w:t>包括备品备件、安装专用工器具与随机资料，必须专</w:t>
      </w:r>
      <w:r>
        <w:rPr>
          <w:sz w:val="22"/>
          <w:szCs w:val="22"/>
        </w:rPr>
        <w:t xml:space="preserve"> </w:t>
      </w:r>
      <w:r>
        <w:rPr>
          <w:spacing w:val="-10"/>
          <w:sz w:val="22"/>
          <w:szCs w:val="22"/>
        </w:rPr>
        <w:t>用于合同工程，未经监理人同意，承包人不得运出施工场地或挪作他用。</w:t>
      </w:r>
    </w:p>
    <w:p w14:paraId="0D107F62">
      <w:pPr>
        <w:pStyle w:val="2"/>
        <w:spacing w:before="139" w:line="291" w:lineRule="auto"/>
        <w:ind w:right="102" w:firstLine="409"/>
        <w:rPr>
          <w:sz w:val="22"/>
          <w:szCs w:val="22"/>
        </w:rPr>
      </w:pPr>
      <w:r>
        <w:rPr>
          <w:spacing w:val="-12"/>
          <w:sz w:val="22"/>
          <w:szCs w:val="22"/>
        </w:rPr>
        <w:t>5.3.2 随同工程设备运入施工场地的备品备件、专用工器具与随机资料，应由承包人会同监理</w:t>
      </w:r>
      <w:r>
        <w:rPr>
          <w:spacing w:val="4"/>
          <w:sz w:val="22"/>
          <w:szCs w:val="22"/>
        </w:rPr>
        <w:t xml:space="preserve"> </w:t>
      </w:r>
      <w:r>
        <w:rPr>
          <w:spacing w:val="-8"/>
          <w:sz w:val="22"/>
          <w:szCs w:val="22"/>
        </w:rPr>
        <w:t>人按供货人的装箱单清点后共同封存，未经监理人同意不得</w:t>
      </w:r>
      <w:r>
        <w:rPr>
          <w:spacing w:val="-9"/>
          <w:sz w:val="22"/>
          <w:szCs w:val="22"/>
        </w:rPr>
        <w:t>启用。承包人因合同工作需要使用上</w:t>
      </w:r>
      <w:r>
        <w:rPr>
          <w:sz w:val="22"/>
          <w:szCs w:val="22"/>
        </w:rPr>
        <w:t xml:space="preserve"> </w:t>
      </w:r>
      <w:r>
        <w:rPr>
          <w:spacing w:val="-10"/>
          <w:sz w:val="22"/>
          <w:szCs w:val="22"/>
        </w:rPr>
        <w:t>述物品时，应向监理人提出申请。</w:t>
      </w:r>
    </w:p>
    <w:p w14:paraId="3DEF0812">
      <w:pPr>
        <w:pStyle w:val="2"/>
        <w:spacing w:before="164" w:line="219" w:lineRule="auto"/>
        <w:ind w:left="3"/>
        <w:rPr>
          <w:sz w:val="22"/>
          <w:szCs w:val="22"/>
        </w:rPr>
      </w:pPr>
      <w:r>
        <w:rPr>
          <w:b/>
          <w:bCs/>
          <w:spacing w:val="12"/>
          <w:sz w:val="22"/>
          <w:szCs w:val="22"/>
        </w:rPr>
        <w:t>5.4</w:t>
      </w:r>
      <w:r>
        <w:rPr>
          <w:spacing w:val="12"/>
          <w:sz w:val="22"/>
          <w:szCs w:val="22"/>
        </w:rPr>
        <w:t xml:space="preserve"> </w:t>
      </w:r>
      <w:r>
        <w:rPr>
          <w:b/>
          <w:bCs/>
          <w:spacing w:val="12"/>
          <w:sz w:val="22"/>
          <w:szCs w:val="22"/>
        </w:rPr>
        <w:t>禁止使用不合格的材料和工程设备</w:t>
      </w:r>
    </w:p>
    <w:p w14:paraId="65813603">
      <w:pPr>
        <w:pStyle w:val="2"/>
        <w:spacing w:before="132" w:line="278" w:lineRule="auto"/>
        <w:ind w:right="80" w:firstLine="409"/>
        <w:rPr>
          <w:sz w:val="22"/>
          <w:szCs w:val="22"/>
        </w:rPr>
      </w:pPr>
      <w:r>
        <w:rPr>
          <w:spacing w:val="-11"/>
          <w:sz w:val="22"/>
          <w:szCs w:val="22"/>
        </w:rPr>
        <w:t>5.4.1 监理人有权拒绝承包人提供的不合格材料或工</w:t>
      </w:r>
      <w:r>
        <w:rPr>
          <w:spacing w:val="-12"/>
          <w:sz w:val="22"/>
          <w:szCs w:val="22"/>
        </w:rPr>
        <w:t>程设备，并要求承包人立即进行更换。监</w:t>
      </w:r>
      <w:r>
        <w:rPr>
          <w:sz w:val="22"/>
          <w:szCs w:val="22"/>
        </w:rPr>
        <w:t xml:space="preserve"> </w:t>
      </w:r>
      <w:r>
        <w:rPr>
          <w:spacing w:val="-4"/>
          <w:sz w:val="22"/>
          <w:szCs w:val="22"/>
        </w:rPr>
        <w:t>理人应在更换后再次进行检查和检验，由此增加的费用和(或)</w:t>
      </w:r>
      <w:r>
        <w:rPr>
          <w:spacing w:val="-5"/>
          <w:sz w:val="22"/>
          <w:szCs w:val="22"/>
        </w:rPr>
        <w:t>工期延误由承包人承担。</w:t>
      </w:r>
    </w:p>
    <w:p w14:paraId="378FB3E2">
      <w:pPr>
        <w:pStyle w:val="2"/>
        <w:spacing w:before="157" w:line="273" w:lineRule="auto"/>
        <w:ind w:right="101" w:firstLine="409"/>
        <w:rPr>
          <w:sz w:val="22"/>
          <w:szCs w:val="22"/>
        </w:rPr>
      </w:pPr>
      <w:r>
        <w:rPr>
          <w:spacing w:val="-12"/>
          <w:sz w:val="22"/>
          <w:szCs w:val="22"/>
        </w:rPr>
        <w:t>5.4.2 监理人发现承包人使用了不合格的材料和工程设备，应即时发出指示要求承包人立即改</w:t>
      </w:r>
      <w:r>
        <w:rPr>
          <w:spacing w:val="6"/>
          <w:sz w:val="22"/>
          <w:szCs w:val="22"/>
        </w:rPr>
        <w:t xml:space="preserve"> </w:t>
      </w:r>
      <w:r>
        <w:rPr>
          <w:spacing w:val="-11"/>
          <w:sz w:val="22"/>
          <w:szCs w:val="22"/>
        </w:rPr>
        <w:t>正，并禁止在工程中继续使用不合格的材料和工程设备。</w:t>
      </w:r>
    </w:p>
    <w:p w14:paraId="4D7B112D">
      <w:pPr>
        <w:pStyle w:val="2"/>
        <w:spacing w:before="120" w:line="286" w:lineRule="auto"/>
        <w:ind w:right="100" w:firstLine="409"/>
        <w:rPr>
          <w:sz w:val="22"/>
          <w:szCs w:val="22"/>
        </w:rPr>
      </w:pPr>
      <w:r>
        <w:rPr>
          <w:spacing w:val="-12"/>
          <w:sz w:val="22"/>
          <w:szCs w:val="22"/>
        </w:rPr>
        <w:t>5.4.3 发包人提供的材料或工程设备不符合合同要求的，承包人有权拒绝，并可要求发包人更</w:t>
      </w:r>
      <w:r>
        <w:rPr>
          <w:spacing w:val="6"/>
          <w:sz w:val="22"/>
          <w:szCs w:val="22"/>
        </w:rPr>
        <w:t xml:space="preserve"> </w:t>
      </w:r>
      <w:r>
        <w:rPr>
          <w:spacing w:val="-2"/>
          <w:sz w:val="22"/>
          <w:szCs w:val="22"/>
        </w:rPr>
        <w:t>换，由此增加的费用和(或)工期延误由发包人承担。</w:t>
      </w:r>
    </w:p>
    <w:p w14:paraId="1E614310">
      <w:pPr>
        <w:pStyle w:val="2"/>
        <w:spacing w:before="177" w:line="219" w:lineRule="auto"/>
        <w:ind w:left="4"/>
        <w:rPr>
          <w:sz w:val="29"/>
          <w:szCs w:val="29"/>
        </w:rPr>
      </w:pPr>
      <w:r>
        <w:rPr>
          <w:b/>
          <w:bCs/>
          <w:spacing w:val="-1"/>
          <w:sz w:val="29"/>
          <w:szCs w:val="29"/>
        </w:rPr>
        <w:t>6.施工设备和临时设施</w:t>
      </w:r>
    </w:p>
    <w:p w14:paraId="7B925D18">
      <w:pPr>
        <w:pStyle w:val="2"/>
        <w:spacing w:before="103" w:line="219" w:lineRule="auto"/>
        <w:ind w:left="2"/>
        <w:rPr>
          <w:sz w:val="22"/>
          <w:szCs w:val="22"/>
        </w:rPr>
      </w:pPr>
      <w:r>
        <w:rPr>
          <w:b/>
          <w:bCs/>
          <w:spacing w:val="12"/>
          <w:sz w:val="22"/>
          <w:szCs w:val="22"/>
        </w:rPr>
        <w:t>6.1</w:t>
      </w:r>
      <w:r>
        <w:rPr>
          <w:spacing w:val="12"/>
          <w:sz w:val="22"/>
          <w:szCs w:val="22"/>
        </w:rPr>
        <w:t xml:space="preserve"> </w:t>
      </w:r>
      <w:r>
        <w:rPr>
          <w:b/>
          <w:bCs/>
          <w:spacing w:val="12"/>
          <w:sz w:val="22"/>
          <w:szCs w:val="22"/>
        </w:rPr>
        <w:t>承包人提供的施工设备和临时设施</w:t>
      </w:r>
    </w:p>
    <w:p w14:paraId="78FA47CD">
      <w:pPr>
        <w:pStyle w:val="2"/>
        <w:spacing w:before="162" w:line="313" w:lineRule="auto"/>
        <w:ind w:right="93" w:firstLine="409"/>
        <w:rPr>
          <w:sz w:val="17"/>
          <w:szCs w:val="17"/>
        </w:rPr>
      </w:pPr>
      <w:r>
        <w:rPr>
          <w:spacing w:val="-12"/>
          <w:sz w:val="22"/>
          <w:szCs w:val="22"/>
        </w:rPr>
        <w:t>6.1.1 承包人应按合同进度计划的要求，及时配置施工设备和修建临时设施。进入施工场地的</w:t>
      </w:r>
      <w:r>
        <w:rPr>
          <w:spacing w:val="13"/>
          <w:sz w:val="22"/>
          <w:szCs w:val="22"/>
        </w:rPr>
        <w:t xml:space="preserve"> </w:t>
      </w:r>
      <w:r>
        <w:rPr>
          <w:spacing w:val="-8"/>
          <w:sz w:val="22"/>
          <w:szCs w:val="22"/>
        </w:rPr>
        <w:t>承包人设备需经监理人核查后才能投入使用。承包人更换合同约定的承包人设备的，应报监理人</w:t>
      </w:r>
      <w:r>
        <w:rPr>
          <w:spacing w:val="4"/>
          <w:sz w:val="22"/>
          <w:szCs w:val="22"/>
        </w:rPr>
        <w:t xml:space="preserve"> </w:t>
      </w:r>
      <w:r>
        <w:rPr>
          <w:spacing w:val="-5"/>
          <w:sz w:val="17"/>
          <w:szCs w:val="17"/>
        </w:rPr>
        <w:t>批</w:t>
      </w:r>
      <w:r>
        <w:rPr>
          <w:spacing w:val="-20"/>
          <w:sz w:val="17"/>
          <w:szCs w:val="17"/>
        </w:rPr>
        <w:t xml:space="preserve"> </w:t>
      </w:r>
      <w:r>
        <w:rPr>
          <w:spacing w:val="-5"/>
          <w:sz w:val="17"/>
          <w:szCs w:val="17"/>
        </w:rPr>
        <w:t>准</w:t>
      </w:r>
      <w:r>
        <w:rPr>
          <w:spacing w:val="-27"/>
          <w:sz w:val="17"/>
          <w:szCs w:val="17"/>
        </w:rPr>
        <w:t xml:space="preserve"> </w:t>
      </w:r>
      <w:r>
        <w:rPr>
          <w:spacing w:val="-5"/>
          <w:sz w:val="17"/>
          <w:szCs w:val="17"/>
        </w:rPr>
        <w:t>。</w:t>
      </w:r>
    </w:p>
    <w:p w14:paraId="4DCE169F">
      <w:pPr>
        <w:pStyle w:val="2"/>
        <w:spacing w:before="156" w:line="278" w:lineRule="auto"/>
        <w:ind w:firstLine="409"/>
        <w:rPr>
          <w:sz w:val="22"/>
          <w:szCs w:val="22"/>
        </w:rPr>
      </w:pPr>
      <w:r>
        <w:rPr>
          <w:spacing w:val="-12"/>
          <w:sz w:val="22"/>
          <w:szCs w:val="22"/>
        </w:rPr>
        <w:t>6.1.2除专用合同条款另有约定外，承包人应自行承担修建临时设施的费用，需要临时占</w:t>
      </w:r>
      <w:r>
        <w:rPr>
          <w:spacing w:val="-13"/>
          <w:sz w:val="22"/>
          <w:szCs w:val="22"/>
        </w:rPr>
        <w:t>地的，</w:t>
      </w:r>
      <w:r>
        <w:rPr>
          <w:sz w:val="22"/>
          <w:szCs w:val="22"/>
        </w:rPr>
        <w:t xml:space="preserve"> </w:t>
      </w:r>
      <w:r>
        <w:rPr>
          <w:spacing w:val="-11"/>
          <w:sz w:val="22"/>
          <w:szCs w:val="22"/>
        </w:rPr>
        <w:t>应由发包人办理申请手续并承担相应费用。</w:t>
      </w:r>
    </w:p>
    <w:p w14:paraId="0693B263">
      <w:pPr>
        <w:pStyle w:val="2"/>
        <w:spacing w:before="124" w:line="219" w:lineRule="auto"/>
        <w:ind w:left="2"/>
        <w:rPr>
          <w:sz w:val="22"/>
          <w:szCs w:val="22"/>
        </w:rPr>
      </w:pPr>
      <w:r>
        <w:rPr>
          <w:b/>
          <w:bCs/>
          <w:spacing w:val="12"/>
          <w:sz w:val="22"/>
          <w:szCs w:val="22"/>
        </w:rPr>
        <w:t>6.2</w:t>
      </w:r>
      <w:r>
        <w:rPr>
          <w:spacing w:val="12"/>
          <w:sz w:val="22"/>
          <w:szCs w:val="22"/>
        </w:rPr>
        <w:t xml:space="preserve"> </w:t>
      </w:r>
      <w:r>
        <w:rPr>
          <w:b/>
          <w:bCs/>
          <w:spacing w:val="12"/>
          <w:sz w:val="22"/>
          <w:szCs w:val="22"/>
        </w:rPr>
        <w:t>发包人提供的施工设备和临时设施</w:t>
      </w:r>
    </w:p>
    <w:p w14:paraId="19386F7E">
      <w:pPr>
        <w:pStyle w:val="2"/>
        <w:spacing w:before="143" w:line="219" w:lineRule="auto"/>
        <w:ind w:left="409"/>
        <w:rPr>
          <w:sz w:val="22"/>
          <w:szCs w:val="22"/>
        </w:rPr>
      </w:pPr>
      <w:r>
        <w:rPr>
          <w:spacing w:val="-10"/>
          <w:sz w:val="22"/>
          <w:szCs w:val="22"/>
        </w:rPr>
        <w:t>发包人提供的施工设备或临时设施在专用合同条款中约定。</w:t>
      </w:r>
    </w:p>
    <w:p w14:paraId="3C964D08">
      <w:pPr>
        <w:pStyle w:val="2"/>
        <w:spacing w:before="137" w:line="219" w:lineRule="auto"/>
        <w:ind w:left="3"/>
        <w:rPr>
          <w:sz w:val="22"/>
          <w:szCs w:val="22"/>
        </w:rPr>
      </w:pPr>
      <w:r>
        <w:rPr>
          <w:b/>
          <w:bCs/>
          <w:spacing w:val="13"/>
          <w:sz w:val="22"/>
          <w:szCs w:val="22"/>
        </w:rPr>
        <w:t>6.3</w:t>
      </w:r>
      <w:r>
        <w:rPr>
          <w:spacing w:val="13"/>
          <w:sz w:val="22"/>
          <w:szCs w:val="22"/>
        </w:rPr>
        <w:t xml:space="preserve"> </w:t>
      </w:r>
      <w:r>
        <w:rPr>
          <w:b/>
          <w:bCs/>
          <w:spacing w:val="13"/>
          <w:sz w:val="22"/>
          <w:szCs w:val="22"/>
        </w:rPr>
        <w:t>要求承包人增加或更换施工设备</w:t>
      </w:r>
    </w:p>
    <w:p w14:paraId="1EEB8D49">
      <w:pPr>
        <w:pStyle w:val="2"/>
        <w:spacing w:before="163" w:line="329" w:lineRule="auto"/>
        <w:ind w:right="99" w:firstLine="409"/>
        <w:jc w:val="both"/>
        <w:rPr>
          <w:sz w:val="22"/>
          <w:szCs w:val="22"/>
        </w:rPr>
      </w:pPr>
      <w:r>
        <w:rPr>
          <w:spacing w:val="-2"/>
          <w:sz w:val="22"/>
          <w:szCs w:val="22"/>
        </w:rPr>
        <w:t>承包人使用的施工设备不能满足合同进度计划和(或)质量要求时，监理人有权要求承</w:t>
      </w:r>
      <w:r>
        <w:rPr>
          <w:spacing w:val="-3"/>
          <w:sz w:val="22"/>
          <w:szCs w:val="22"/>
        </w:rPr>
        <w:t>包人</w:t>
      </w:r>
      <w:r>
        <w:rPr>
          <w:sz w:val="22"/>
          <w:szCs w:val="22"/>
        </w:rPr>
        <w:t xml:space="preserve"> </w:t>
      </w:r>
      <w:r>
        <w:rPr>
          <w:spacing w:val="-3"/>
          <w:sz w:val="22"/>
          <w:szCs w:val="22"/>
        </w:rPr>
        <w:t>增加或更换施工设备，承包人应及时增加或更换，由此增加的费用和(或)工期延误由承包人承</w:t>
      </w:r>
      <w:r>
        <w:rPr>
          <w:spacing w:val="15"/>
          <w:sz w:val="22"/>
          <w:szCs w:val="22"/>
        </w:rPr>
        <w:t xml:space="preserve"> </w:t>
      </w:r>
      <w:r>
        <w:rPr>
          <w:spacing w:val="-11"/>
          <w:sz w:val="22"/>
          <w:szCs w:val="22"/>
        </w:rPr>
        <w:t>担。</w:t>
      </w:r>
    </w:p>
    <w:p w14:paraId="0E328B1E">
      <w:pPr>
        <w:pStyle w:val="2"/>
        <w:spacing w:before="20" w:line="219" w:lineRule="auto"/>
        <w:ind w:left="2"/>
        <w:rPr>
          <w:sz w:val="22"/>
          <w:szCs w:val="22"/>
        </w:rPr>
      </w:pPr>
      <w:r>
        <w:rPr>
          <w:b/>
          <w:bCs/>
          <w:spacing w:val="12"/>
          <w:sz w:val="22"/>
          <w:szCs w:val="22"/>
        </w:rPr>
        <w:t>6.4</w:t>
      </w:r>
      <w:r>
        <w:rPr>
          <w:spacing w:val="12"/>
          <w:sz w:val="22"/>
          <w:szCs w:val="22"/>
        </w:rPr>
        <w:t xml:space="preserve"> </w:t>
      </w:r>
      <w:r>
        <w:rPr>
          <w:b/>
          <w:bCs/>
          <w:spacing w:val="12"/>
          <w:sz w:val="22"/>
          <w:szCs w:val="22"/>
        </w:rPr>
        <w:t>施工设备和临时设施专用于合同工程</w:t>
      </w:r>
    </w:p>
    <w:p w14:paraId="3DEE1AF6">
      <w:pPr>
        <w:pStyle w:val="2"/>
        <w:spacing w:before="151" w:line="292" w:lineRule="auto"/>
        <w:ind w:right="98" w:firstLine="409"/>
        <w:rPr>
          <w:sz w:val="22"/>
          <w:szCs w:val="22"/>
        </w:rPr>
      </w:pPr>
      <w:r>
        <w:rPr>
          <w:spacing w:val="-9"/>
          <w:sz w:val="22"/>
          <w:szCs w:val="22"/>
        </w:rPr>
        <w:t>6.4.1除合同另有约定外，运入施工场地</w:t>
      </w:r>
      <w:r>
        <w:rPr>
          <w:spacing w:val="-10"/>
          <w:sz w:val="22"/>
          <w:szCs w:val="22"/>
        </w:rPr>
        <w:t>的所有施工设备以及在施工场地建设的临时设施应专</w:t>
      </w:r>
      <w:r>
        <w:rPr>
          <w:sz w:val="22"/>
          <w:szCs w:val="22"/>
        </w:rPr>
        <w:t xml:space="preserve"> </w:t>
      </w:r>
      <w:r>
        <w:rPr>
          <w:spacing w:val="-8"/>
          <w:sz w:val="22"/>
          <w:szCs w:val="22"/>
        </w:rPr>
        <w:t>用于合同工程。未经监理人同意，不得将上述施工设备和临时设施中的任何部分运出施工场地或</w:t>
      </w:r>
      <w:r>
        <w:rPr>
          <w:spacing w:val="4"/>
          <w:sz w:val="22"/>
          <w:szCs w:val="22"/>
        </w:rPr>
        <w:t xml:space="preserve"> </w:t>
      </w:r>
      <w:r>
        <w:rPr>
          <w:spacing w:val="-12"/>
          <w:sz w:val="22"/>
          <w:szCs w:val="22"/>
        </w:rPr>
        <w:t>挪作他用。</w:t>
      </w:r>
    </w:p>
    <w:p w14:paraId="0345C3ED">
      <w:pPr>
        <w:pStyle w:val="2"/>
        <w:spacing w:before="137" w:line="219" w:lineRule="auto"/>
        <w:ind w:left="409"/>
        <w:rPr>
          <w:sz w:val="22"/>
          <w:szCs w:val="22"/>
        </w:rPr>
      </w:pPr>
      <w:r>
        <w:rPr>
          <w:spacing w:val="-9"/>
          <w:sz w:val="22"/>
          <w:szCs w:val="22"/>
        </w:rPr>
        <w:t>6.4.2经监理人同意，承包人可根据合同进度计划撤走闲置的施工设备。</w:t>
      </w:r>
    </w:p>
    <w:p w14:paraId="070E4002">
      <w:pPr>
        <w:spacing w:line="219" w:lineRule="auto"/>
        <w:rPr>
          <w:sz w:val="22"/>
          <w:szCs w:val="22"/>
        </w:rPr>
        <w:sectPr>
          <w:footerReference r:id="rId123" w:type="default"/>
          <w:pgSz w:w="11910" w:h="16840"/>
          <w:pgMar w:top="400" w:right="1439" w:bottom="1024" w:left="1460" w:header="0" w:footer="889" w:gutter="0"/>
          <w:cols w:space="720" w:num="1"/>
        </w:sectPr>
      </w:pPr>
    </w:p>
    <w:p w14:paraId="2718E2D4">
      <w:pPr>
        <w:spacing w:line="250" w:lineRule="auto"/>
        <w:rPr>
          <w:rFonts w:ascii="Arial"/>
          <w:sz w:val="21"/>
        </w:rPr>
      </w:pPr>
    </w:p>
    <w:p w14:paraId="679D6492">
      <w:pPr>
        <w:spacing w:line="250" w:lineRule="auto"/>
        <w:rPr>
          <w:rFonts w:ascii="Arial"/>
          <w:sz w:val="21"/>
        </w:rPr>
      </w:pPr>
    </w:p>
    <w:p w14:paraId="6F5889E6">
      <w:pPr>
        <w:spacing w:line="251" w:lineRule="auto"/>
        <w:rPr>
          <w:rFonts w:ascii="Arial"/>
          <w:sz w:val="21"/>
        </w:rPr>
      </w:pPr>
    </w:p>
    <w:p w14:paraId="547BB415">
      <w:pPr>
        <w:spacing w:line="251" w:lineRule="auto"/>
        <w:rPr>
          <w:rFonts w:ascii="Arial"/>
          <w:sz w:val="21"/>
        </w:rPr>
      </w:pPr>
    </w:p>
    <w:p w14:paraId="3F1BBFF1">
      <w:pPr>
        <w:spacing w:line="251" w:lineRule="auto"/>
        <w:rPr>
          <w:rFonts w:ascii="Arial"/>
          <w:sz w:val="21"/>
        </w:rPr>
      </w:pPr>
    </w:p>
    <w:p w14:paraId="60AC9FBE">
      <w:pPr>
        <w:pStyle w:val="2"/>
        <w:spacing w:before="95" w:line="222" w:lineRule="auto"/>
        <w:ind w:left="4"/>
        <w:rPr>
          <w:rFonts w:ascii="黑体" w:hAnsi="黑体" w:eastAsia="黑体" w:cs="黑体"/>
          <w:sz w:val="29"/>
          <w:szCs w:val="29"/>
        </w:rPr>
      </w:pPr>
      <w:r>
        <w:rPr>
          <w:b/>
          <w:bCs/>
          <w:spacing w:val="-9"/>
          <w:sz w:val="29"/>
          <w:szCs w:val="29"/>
        </w:rPr>
        <w:t>7.</w:t>
      </w:r>
      <w:r>
        <w:rPr>
          <w:spacing w:val="-54"/>
          <w:sz w:val="29"/>
          <w:szCs w:val="29"/>
        </w:rPr>
        <w:t xml:space="preserve"> </w:t>
      </w:r>
      <w:r>
        <w:rPr>
          <w:rFonts w:ascii="黑体" w:hAnsi="黑体" w:eastAsia="黑体" w:cs="黑体"/>
          <w:b/>
          <w:bCs/>
          <w:spacing w:val="-9"/>
          <w:sz w:val="29"/>
          <w:szCs w:val="29"/>
        </w:rPr>
        <w:t>交通运输</w:t>
      </w:r>
    </w:p>
    <w:p w14:paraId="7FD1B47E">
      <w:pPr>
        <w:pStyle w:val="2"/>
        <w:spacing w:before="100" w:line="222" w:lineRule="auto"/>
        <w:ind w:left="3"/>
        <w:rPr>
          <w:rFonts w:ascii="黑体" w:hAnsi="黑体" w:eastAsia="黑体" w:cs="黑体"/>
          <w:sz w:val="24"/>
          <w:szCs w:val="24"/>
        </w:rPr>
      </w:pPr>
      <w:r>
        <w:rPr>
          <w:b/>
          <w:bCs/>
          <w:spacing w:val="-5"/>
          <w:sz w:val="24"/>
          <w:szCs w:val="24"/>
        </w:rPr>
        <w:t>7.1</w:t>
      </w:r>
      <w:r>
        <w:rPr>
          <w:spacing w:val="-26"/>
          <w:sz w:val="24"/>
          <w:szCs w:val="24"/>
        </w:rPr>
        <w:t xml:space="preserve"> </w:t>
      </w:r>
      <w:r>
        <w:rPr>
          <w:rFonts w:ascii="黑体" w:hAnsi="黑体" w:eastAsia="黑体" w:cs="黑体"/>
          <w:b/>
          <w:bCs/>
          <w:spacing w:val="-5"/>
          <w:sz w:val="24"/>
          <w:szCs w:val="24"/>
        </w:rPr>
        <w:t>道路通行权和场外设施</w:t>
      </w:r>
    </w:p>
    <w:p w14:paraId="00C9F486">
      <w:pPr>
        <w:pStyle w:val="2"/>
        <w:spacing w:before="163" w:line="351" w:lineRule="auto"/>
        <w:ind w:right="50" w:firstLine="429"/>
        <w:jc w:val="both"/>
        <w:rPr>
          <w:sz w:val="20"/>
          <w:szCs w:val="20"/>
        </w:rPr>
      </w:pPr>
      <w:r>
        <w:rPr>
          <w:spacing w:val="12"/>
          <w:sz w:val="20"/>
          <w:szCs w:val="20"/>
        </w:rPr>
        <w:t>除专用合同条款另有约定外，发包人应根据合同工程的施工需要，负责办理取得出入施工场</w:t>
      </w:r>
      <w:r>
        <w:rPr>
          <w:spacing w:val="11"/>
          <w:sz w:val="20"/>
          <w:szCs w:val="20"/>
        </w:rPr>
        <w:t xml:space="preserve"> </w:t>
      </w:r>
      <w:r>
        <w:rPr>
          <w:spacing w:val="9"/>
          <w:sz w:val="20"/>
          <w:szCs w:val="20"/>
        </w:rPr>
        <w:t>地的专用和临时道路的通行权，以及取得为工程建设所需修建场外设施的权利</w:t>
      </w:r>
      <w:r>
        <w:rPr>
          <w:spacing w:val="8"/>
          <w:sz w:val="20"/>
          <w:szCs w:val="20"/>
        </w:rPr>
        <w:t>，并承担有关费用。</w:t>
      </w:r>
      <w:r>
        <w:rPr>
          <w:sz w:val="20"/>
          <w:szCs w:val="20"/>
        </w:rPr>
        <w:t xml:space="preserve"> </w:t>
      </w:r>
      <w:r>
        <w:rPr>
          <w:spacing w:val="8"/>
          <w:sz w:val="20"/>
          <w:szCs w:val="20"/>
        </w:rPr>
        <w:t>承包人应协助发包人办理上述手续。</w:t>
      </w:r>
    </w:p>
    <w:p w14:paraId="0473BAEB">
      <w:pPr>
        <w:pStyle w:val="2"/>
        <w:spacing w:line="223" w:lineRule="auto"/>
        <w:ind w:left="2"/>
        <w:rPr>
          <w:rFonts w:ascii="黑体" w:hAnsi="黑体" w:eastAsia="黑体" w:cs="黑体"/>
          <w:sz w:val="24"/>
          <w:szCs w:val="24"/>
        </w:rPr>
      </w:pPr>
      <w:r>
        <w:rPr>
          <w:b/>
          <w:bCs/>
          <w:spacing w:val="-10"/>
          <w:sz w:val="24"/>
          <w:szCs w:val="24"/>
        </w:rPr>
        <w:t>7.2</w:t>
      </w:r>
      <w:r>
        <w:rPr>
          <w:spacing w:val="-10"/>
          <w:sz w:val="24"/>
          <w:szCs w:val="24"/>
        </w:rPr>
        <w:t xml:space="preserve"> </w:t>
      </w:r>
      <w:r>
        <w:rPr>
          <w:rFonts w:ascii="黑体" w:hAnsi="黑体" w:eastAsia="黑体" w:cs="黑体"/>
          <w:b/>
          <w:bCs/>
          <w:spacing w:val="-10"/>
          <w:sz w:val="24"/>
          <w:szCs w:val="24"/>
        </w:rPr>
        <w:t>场内施工道路</w:t>
      </w:r>
    </w:p>
    <w:p w14:paraId="6CC34C91">
      <w:pPr>
        <w:pStyle w:val="2"/>
        <w:spacing w:before="149" w:line="298" w:lineRule="auto"/>
        <w:ind w:right="91" w:firstLine="429"/>
        <w:rPr>
          <w:sz w:val="20"/>
          <w:szCs w:val="20"/>
        </w:rPr>
      </w:pPr>
      <w:r>
        <w:rPr>
          <w:spacing w:val="7"/>
          <w:sz w:val="20"/>
          <w:szCs w:val="20"/>
        </w:rPr>
        <w:t xml:space="preserve">7.2.1 </w:t>
      </w:r>
      <w:r>
        <w:rPr>
          <w:rFonts w:ascii="黑体" w:hAnsi="黑体" w:eastAsia="黑体" w:cs="黑体"/>
          <w:spacing w:val="7"/>
          <w:sz w:val="20"/>
          <w:szCs w:val="20"/>
        </w:rPr>
        <w:t>除专用合同条款另有约定外，承包人应负责修建、维修、养护和管理施工所需的临时道</w:t>
      </w:r>
      <w:r>
        <w:rPr>
          <w:rFonts w:ascii="黑体" w:hAnsi="黑体" w:eastAsia="黑体" w:cs="黑体"/>
          <w:sz w:val="20"/>
          <w:szCs w:val="20"/>
        </w:rPr>
        <w:t xml:space="preserve"> </w:t>
      </w:r>
      <w:r>
        <w:rPr>
          <w:spacing w:val="9"/>
          <w:sz w:val="20"/>
          <w:szCs w:val="20"/>
        </w:rPr>
        <w:t>路和交通设施，包括维修、养护和管理发包人提供的道路和交通设施，并承担相应费用。</w:t>
      </w:r>
    </w:p>
    <w:p w14:paraId="2E2AAB99">
      <w:pPr>
        <w:pStyle w:val="2"/>
        <w:spacing w:before="163" w:line="290" w:lineRule="auto"/>
        <w:ind w:right="72" w:firstLine="429"/>
        <w:rPr>
          <w:sz w:val="20"/>
          <w:szCs w:val="20"/>
        </w:rPr>
      </w:pPr>
      <w:r>
        <w:rPr>
          <w:spacing w:val="7"/>
          <w:sz w:val="20"/>
          <w:szCs w:val="20"/>
        </w:rPr>
        <w:t xml:space="preserve">7.2.2 </w:t>
      </w:r>
      <w:r>
        <w:rPr>
          <w:rFonts w:ascii="黑体" w:hAnsi="黑体" w:eastAsia="黑体" w:cs="黑体"/>
          <w:spacing w:val="7"/>
          <w:sz w:val="20"/>
          <w:szCs w:val="20"/>
        </w:rPr>
        <w:t>除专用合同条款另有约定外，承包人修建的临时道路和交通设施应免费提供发包人和监</w:t>
      </w:r>
      <w:r>
        <w:rPr>
          <w:rFonts w:ascii="黑体" w:hAnsi="黑体" w:eastAsia="黑体" w:cs="黑体"/>
          <w:spacing w:val="18"/>
          <w:sz w:val="20"/>
          <w:szCs w:val="20"/>
        </w:rPr>
        <w:t xml:space="preserve"> </w:t>
      </w:r>
      <w:r>
        <w:rPr>
          <w:spacing w:val="3"/>
          <w:sz w:val="20"/>
          <w:szCs w:val="20"/>
        </w:rPr>
        <w:t>理人使用。</w:t>
      </w:r>
    </w:p>
    <w:p w14:paraId="24E30F70">
      <w:pPr>
        <w:spacing w:before="131" w:line="222" w:lineRule="auto"/>
        <w:ind w:left="3"/>
        <w:rPr>
          <w:rFonts w:ascii="黑体" w:hAnsi="黑体" w:eastAsia="黑体" w:cs="黑体"/>
          <w:sz w:val="24"/>
          <w:szCs w:val="24"/>
        </w:rPr>
      </w:pPr>
      <w:r>
        <w:rPr>
          <w:rFonts w:ascii="黑体" w:hAnsi="黑体" w:eastAsia="黑体" w:cs="黑体"/>
          <w:b/>
          <w:bCs/>
          <w:spacing w:val="4"/>
          <w:sz w:val="24"/>
          <w:szCs w:val="24"/>
        </w:rPr>
        <w:t>7.3场外交通</w:t>
      </w:r>
    </w:p>
    <w:p w14:paraId="544610FD">
      <w:pPr>
        <w:spacing w:before="152" w:line="221" w:lineRule="auto"/>
        <w:ind w:left="429"/>
        <w:rPr>
          <w:rFonts w:ascii="黑体" w:hAnsi="黑体" w:eastAsia="黑体" w:cs="黑体"/>
          <w:sz w:val="20"/>
          <w:szCs w:val="20"/>
        </w:rPr>
      </w:pPr>
      <w:r>
        <w:rPr>
          <w:rFonts w:ascii="黑体" w:hAnsi="黑体" w:eastAsia="黑体" w:cs="黑体"/>
          <w:spacing w:val="10"/>
          <w:sz w:val="20"/>
          <w:szCs w:val="20"/>
        </w:rPr>
        <w:t>7.3.1承包人车辆外出行驶所需的场外公共</w:t>
      </w:r>
      <w:r>
        <w:rPr>
          <w:rFonts w:ascii="黑体" w:hAnsi="黑体" w:eastAsia="黑体" w:cs="黑体"/>
          <w:spacing w:val="9"/>
          <w:sz w:val="20"/>
          <w:szCs w:val="20"/>
        </w:rPr>
        <w:t>道路的通行费、养路费和税款等由承包人承担。</w:t>
      </w:r>
    </w:p>
    <w:p w14:paraId="2135F448">
      <w:pPr>
        <w:pStyle w:val="2"/>
        <w:spacing w:before="132" w:line="213" w:lineRule="auto"/>
        <w:ind w:left="429"/>
        <w:rPr>
          <w:rFonts w:ascii="黑体" w:hAnsi="黑体" w:eastAsia="黑体" w:cs="黑体"/>
          <w:sz w:val="20"/>
          <w:szCs w:val="20"/>
        </w:rPr>
      </w:pPr>
      <w:r>
        <w:rPr>
          <w:spacing w:val="7"/>
          <w:sz w:val="20"/>
          <w:szCs w:val="20"/>
        </w:rPr>
        <w:t xml:space="preserve">7.3.2 </w:t>
      </w:r>
      <w:r>
        <w:rPr>
          <w:rFonts w:ascii="黑体" w:hAnsi="黑体" w:eastAsia="黑体" w:cs="黑体"/>
          <w:spacing w:val="7"/>
          <w:sz w:val="20"/>
          <w:szCs w:val="20"/>
        </w:rPr>
        <w:t>承包人应遵守有关交通法规，严格按照道路和桥梁的限制荷重安全行驶，并服从交通管</w:t>
      </w:r>
    </w:p>
    <w:p w14:paraId="6587A88D">
      <w:pPr>
        <w:pStyle w:val="2"/>
        <w:spacing w:before="199" w:line="219" w:lineRule="auto"/>
        <w:rPr>
          <w:sz w:val="20"/>
          <w:szCs w:val="20"/>
        </w:rPr>
      </w:pPr>
      <w:r>
        <w:rPr>
          <w:spacing w:val="6"/>
          <w:sz w:val="20"/>
          <w:szCs w:val="20"/>
        </w:rPr>
        <w:t>理部门的检查和监督。</w:t>
      </w:r>
    </w:p>
    <w:p w14:paraId="6981FF59">
      <w:pPr>
        <w:pStyle w:val="2"/>
        <w:spacing w:before="130" w:line="222" w:lineRule="auto"/>
        <w:ind w:left="2"/>
        <w:rPr>
          <w:rFonts w:ascii="黑体" w:hAnsi="黑体" w:eastAsia="黑体" w:cs="黑体"/>
          <w:sz w:val="24"/>
          <w:szCs w:val="24"/>
        </w:rPr>
      </w:pPr>
      <w:r>
        <w:rPr>
          <w:b/>
          <w:bCs/>
          <w:spacing w:val="-8"/>
          <w:sz w:val="24"/>
          <w:szCs w:val="24"/>
        </w:rPr>
        <w:t>7.4</w:t>
      </w:r>
      <w:r>
        <w:rPr>
          <w:spacing w:val="-8"/>
          <w:sz w:val="24"/>
          <w:szCs w:val="24"/>
        </w:rPr>
        <w:t xml:space="preserve"> </w:t>
      </w:r>
      <w:r>
        <w:rPr>
          <w:rFonts w:ascii="黑体" w:hAnsi="黑体" w:eastAsia="黑体" w:cs="黑体"/>
          <w:b/>
          <w:bCs/>
          <w:spacing w:val="-8"/>
          <w:sz w:val="24"/>
          <w:szCs w:val="24"/>
        </w:rPr>
        <w:t>超大件和超重件的运输</w:t>
      </w:r>
    </w:p>
    <w:p w14:paraId="2646C850">
      <w:pPr>
        <w:pStyle w:val="2"/>
        <w:spacing w:before="124" w:line="362" w:lineRule="auto"/>
        <w:ind w:right="140" w:firstLine="429"/>
        <w:jc w:val="both"/>
        <w:rPr>
          <w:sz w:val="20"/>
          <w:szCs w:val="20"/>
        </w:rPr>
      </w:pPr>
      <w:r>
        <w:rPr>
          <w:spacing w:val="11"/>
          <w:sz w:val="20"/>
          <w:szCs w:val="20"/>
        </w:rPr>
        <w:t>由承包人负责运输的超大件或超重件，应由承包人负责向交通管理部门办理申请手续，发包</w:t>
      </w:r>
      <w:r>
        <w:rPr>
          <w:spacing w:val="18"/>
          <w:sz w:val="20"/>
          <w:szCs w:val="20"/>
        </w:rPr>
        <w:t xml:space="preserve"> </w:t>
      </w:r>
      <w:r>
        <w:rPr>
          <w:spacing w:val="12"/>
          <w:sz w:val="20"/>
          <w:szCs w:val="20"/>
        </w:rPr>
        <w:t>人给予协助。运输超大件或超重件所需的道路和桥梁临时加</w:t>
      </w:r>
      <w:r>
        <w:rPr>
          <w:spacing w:val="11"/>
          <w:sz w:val="20"/>
          <w:szCs w:val="20"/>
        </w:rPr>
        <w:t>固改造费用和其他有关费用，由承包</w:t>
      </w:r>
      <w:r>
        <w:rPr>
          <w:sz w:val="20"/>
          <w:szCs w:val="20"/>
        </w:rPr>
        <w:t xml:space="preserve"> </w:t>
      </w:r>
      <w:r>
        <w:rPr>
          <w:spacing w:val="7"/>
          <w:sz w:val="20"/>
          <w:szCs w:val="20"/>
        </w:rPr>
        <w:t>人承担，但专用合同条款另有约定除外。</w:t>
      </w:r>
    </w:p>
    <w:p w14:paraId="7B127126">
      <w:pPr>
        <w:pStyle w:val="2"/>
        <w:spacing w:before="1" w:line="220" w:lineRule="auto"/>
        <w:ind w:left="2"/>
        <w:rPr>
          <w:rFonts w:ascii="黑体" w:hAnsi="黑体" w:eastAsia="黑体" w:cs="黑体"/>
          <w:sz w:val="24"/>
          <w:szCs w:val="24"/>
        </w:rPr>
      </w:pPr>
      <w:r>
        <w:rPr>
          <w:b/>
          <w:bCs/>
          <w:spacing w:val="-8"/>
          <w:sz w:val="24"/>
          <w:szCs w:val="24"/>
        </w:rPr>
        <w:t>7.5</w:t>
      </w:r>
      <w:r>
        <w:rPr>
          <w:spacing w:val="-8"/>
          <w:sz w:val="24"/>
          <w:szCs w:val="24"/>
        </w:rPr>
        <w:t xml:space="preserve"> </w:t>
      </w:r>
      <w:r>
        <w:rPr>
          <w:rFonts w:ascii="黑体" w:hAnsi="黑体" w:eastAsia="黑体" w:cs="黑体"/>
          <w:b/>
          <w:bCs/>
          <w:spacing w:val="-8"/>
          <w:sz w:val="24"/>
          <w:szCs w:val="24"/>
        </w:rPr>
        <w:t>道路和桥梁的损坏责任</w:t>
      </w:r>
    </w:p>
    <w:p w14:paraId="784D972D">
      <w:pPr>
        <w:pStyle w:val="2"/>
        <w:spacing w:before="167" w:line="340" w:lineRule="auto"/>
        <w:ind w:right="125" w:firstLine="429"/>
        <w:rPr>
          <w:sz w:val="20"/>
          <w:szCs w:val="20"/>
        </w:rPr>
      </w:pPr>
      <w:r>
        <w:rPr>
          <w:spacing w:val="12"/>
          <w:sz w:val="20"/>
          <w:szCs w:val="20"/>
        </w:rPr>
        <w:t>因承包人运输造成施工场地内外公共道路和桥梁损坏的，由承包人承担修复</w:t>
      </w:r>
      <w:r>
        <w:rPr>
          <w:spacing w:val="11"/>
          <w:sz w:val="20"/>
          <w:szCs w:val="20"/>
        </w:rPr>
        <w:t>损坏的全部费用</w:t>
      </w:r>
      <w:r>
        <w:rPr>
          <w:sz w:val="20"/>
          <w:szCs w:val="20"/>
        </w:rPr>
        <w:t xml:space="preserve"> </w:t>
      </w:r>
      <w:r>
        <w:rPr>
          <w:spacing w:val="6"/>
          <w:sz w:val="20"/>
          <w:szCs w:val="20"/>
        </w:rPr>
        <w:t>和可能引起的赔偿。</w:t>
      </w:r>
    </w:p>
    <w:p w14:paraId="20669B77">
      <w:pPr>
        <w:pStyle w:val="2"/>
        <w:spacing w:before="1" w:line="221" w:lineRule="auto"/>
        <w:ind w:left="2"/>
        <w:rPr>
          <w:rFonts w:ascii="黑体" w:hAnsi="黑体" w:eastAsia="黑体" w:cs="黑体"/>
          <w:sz w:val="24"/>
          <w:szCs w:val="24"/>
        </w:rPr>
      </w:pPr>
      <w:r>
        <w:rPr>
          <w:b/>
          <w:bCs/>
          <w:spacing w:val="-10"/>
          <w:sz w:val="24"/>
          <w:szCs w:val="24"/>
        </w:rPr>
        <w:t>7.6</w:t>
      </w:r>
      <w:r>
        <w:rPr>
          <w:spacing w:val="-10"/>
          <w:sz w:val="24"/>
          <w:szCs w:val="24"/>
        </w:rPr>
        <w:t xml:space="preserve"> </w:t>
      </w:r>
      <w:r>
        <w:rPr>
          <w:rFonts w:ascii="黑体" w:hAnsi="黑体" w:eastAsia="黑体" w:cs="黑体"/>
          <w:b/>
          <w:bCs/>
          <w:spacing w:val="-10"/>
          <w:sz w:val="24"/>
          <w:szCs w:val="24"/>
        </w:rPr>
        <w:t>水路和航空运输</w:t>
      </w:r>
    </w:p>
    <w:p w14:paraId="138ACFBF">
      <w:pPr>
        <w:pStyle w:val="2"/>
        <w:spacing w:before="175" w:line="361" w:lineRule="auto"/>
        <w:ind w:firstLine="429"/>
        <w:jc w:val="both"/>
        <w:rPr>
          <w:sz w:val="20"/>
          <w:szCs w:val="20"/>
        </w:rPr>
      </w:pPr>
      <w:r>
        <w:rPr>
          <w:spacing w:val="10"/>
          <w:sz w:val="20"/>
          <w:szCs w:val="20"/>
        </w:rPr>
        <w:t>本条上述各款的内容适用于水路运输和航空运输，其中“道路”一</w:t>
      </w:r>
      <w:r>
        <w:rPr>
          <w:spacing w:val="9"/>
          <w:sz w:val="20"/>
          <w:szCs w:val="20"/>
        </w:rPr>
        <w:t>词的涵义包括河道、航线、</w:t>
      </w:r>
      <w:r>
        <w:rPr>
          <w:sz w:val="20"/>
          <w:szCs w:val="20"/>
        </w:rPr>
        <w:t xml:space="preserve"> </w:t>
      </w:r>
      <w:r>
        <w:rPr>
          <w:spacing w:val="8"/>
          <w:sz w:val="20"/>
          <w:szCs w:val="20"/>
        </w:rPr>
        <w:t>船闸、机场、码头、堤防以及水路或航空运输中其他相似结构物；“车辆”一词的涵义包括船舶和</w:t>
      </w:r>
      <w:r>
        <w:rPr>
          <w:sz w:val="20"/>
          <w:szCs w:val="20"/>
        </w:rPr>
        <w:t xml:space="preserve">  </w:t>
      </w:r>
      <w:r>
        <w:rPr>
          <w:spacing w:val="-1"/>
          <w:sz w:val="20"/>
          <w:szCs w:val="20"/>
        </w:rPr>
        <w:t>飞机等。</w:t>
      </w:r>
    </w:p>
    <w:p w14:paraId="007ECCD6">
      <w:pPr>
        <w:pStyle w:val="2"/>
        <w:spacing w:before="32" w:line="219" w:lineRule="auto"/>
        <w:ind w:left="4"/>
        <w:rPr>
          <w:rFonts w:ascii="黑体" w:hAnsi="黑体" w:eastAsia="黑体" w:cs="黑体"/>
          <w:sz w:val="29"/>
          <w:szCs w:val="29"/>
        </w:rPr>
      </w:pPr>
      <w:r>
        <w:rPr>
          <w:b/>
          <w:bCs/>
          <w:spacing w:val="7"/>
          <w:sz w:val="29"/>
          <w:szCs w:val="29"/>
        </w:rPr>
        <w:t>8.</w:t>
      </w:r>
      <w:r>
        <w:rPr>
          <w:rFonts w:ascii="黑体" w:hAnsi="黑体" w:eastAsia="黑体" w:cs="黑体"/>
          <w:b/>
          <w:bCs/>
          <w:spacing w:val="7"/>
          <w:sz w:val="29"/>
          <w:szCs w:val="29"/>
        </w:rPr>
        <w:t>测量放线</w:t>
      </w:r>
    </w:p>
    <w:p w14:paraId="72DD16B3">
      <w:pPr>
        <w:pStyle w:val="2"/>
        <w:spacing w:before="90" w:line="223" w:lineRule="auto"/>
        <w:ind w:left="2"/>
        <w:rPr>
          <w:rFonts w:ascii="黑体" w:hAnsi="黑体" w:eastAsia="黑体" w:cs="黑体"/>
          <w:sz w:val="24"/>
          <w:szCs w:val="24"/>
        </w:rPr>
      </w:pPr>
      <w:r>
        <w:rPr>
          <w:b/>
          <w:bCs/>
          <w:spacing w:val="-8"/>
          <w:sz w:val="24"/>
          <w:szCs w:val="24"/>
        </w:rPr>
        <w:t>8.1</w:t>
      </w:r>
      <w:r>
        <w:rPr>
          <w:spacing w:val="-8"/>
          <w:sz w:val="24"/>
          <w:szCs w:val="24"/>
        </w:rPr>
        <w:t xml:space="preserve"> </w:t>
      </w:r>
      <w:r>
        <w:rPr>
          <w:rFonts w:ascii="黑体" w:hAnsi="黑体" w:eastAsia="黑体" w:cs="黑体"/>
          <w:b/>
          <w:bCs/>
          <w:spacing w:val="-8"/>
          <w:sz w:val="24"/>
          <w:szCs w:val="24"/>
        </w:rPr>
        <w:t>施工控制网</w:t>
      </w:r>
    </w:p>
    <w:p w14:paraId="507A9CCA">
      <w:pPr>
        <w:pStyle w:val="2"/>
        <w:spacing w:before="141" w:line="334" w:lineRule="auto"/>
        <w:ind w:right="93" w:firstLine="429"/>
        <w:rPr>
          <w:sz w:val="20"/>
          <w:szCs w:val="20"/>
        </w:rPr>
      </w:pPr>
      <w:r>
        <w:rPr>
          <w:rFonts w:ascii="黑体" w:hAnsi="黑体" w:eastAsia="黑体" w:cs="黑体"/>
          <w:spacing w:val="9"/>
          <w:sz w:val="20"/>
          <w:szCs w:val="20"/>
        </w:rPr>
        <w:t>8.1.1发包人应在专用合同条款约定的期限内，通过监理人向承包人提供测量基准点、基准线</w:t>
      </w:r>
      <w:r>
        <w:rPr>
          <w:rFonts w:ascii="黑体" w:hAnsi="黑体" w:eastAsia="黑体" w:cs="黑体"/>
          <w:spacing w:val="18"/>
          <w:sz w:val="20"/>
          <w:szCs w:val="20"/>
        </w:rPr>
        <w:t xml:space="preserve"> </w:t>
      </w:r>
      <w:r>
        <w:rPr>
          <w:spacing w:val="12"/>
          <w:sz w:val="20"/>
          <w:szCs w:val="20"/>
        </w:rPr>
        <w:t>和水准点及其书面资料。除专用合同条款另有约定外，承包人应根据国家测</w:t>
      </w:r>
      <w:r>
        <w:rPr>
          <w:spacing w:val="11"/>
          <w:sz w:val="20"/>
          <w:szCs w:val="20"/>
        </w:rPr>
        <w:t>绘基准、测绘系统和</w:t>
      </w:r>
      <w:r>
        <w:rPr>
          <w:sz w:val="20"/>
          <w:szCs w:val="20"/>
        </w:rPr>
        <w:t xml:space="preserve"> </w:t>
      </w:r>
      <w:r>
        <w:rPr>
          <w:spacing w:val="16"/>
          <w:sz w:val="20"/>
          <w:szCs w:val="20"/>
        </w:rPr>
        <w:t>工程测量技术规范，按上述基准点(线)以及合同工程精度要求，测设施工控制网，并在专用合</w:t>
      </w:r>
      <w:r>
        <w:rPr>
          <w:spacing w:val="15"/>
          <w:sz w:val="20"/>
          <w:szCs w:val="20"/>
        </w:rPr>
        <w:t xml:space="preserve"> </w:t>
      </w:r>
      <w:r>
        <w:rPr>
          <w:spacing w:val="9"/>
          <w:sz w:val="20"/>
          <w:szCs w:val="20"/>
        </w:rPr>
        <w:t>同条款约定的期限内，将施工控制网资料报送监</w:t>
      </w:r>
      <w:r>
        <w:rPr>
          <w:spacing w:val="8"/>
          <w:sz w:val="20"/>
          <w:szCs w:val="20"/>
        </w:rPr>
        <w:t>理人审批。</w:t>
      </w:r>
    </w:p>
    <w:p w14:paraId="201DF3E4">
      <w:pPr>
        <w:pStyle w:val="2"/>
        <w:spacing w:before="181" w:line="290" w:lineRule="auto"/>
        <w:ind w:right="92" w:firstLine="429"/>
        <w:rPr>
          <w:sz w:val="20"/>
          <w:szCs w:val="20"/>
        </w:rPr>
      </w:pPr>
      <w:r>
        <w:rPr>
          <w:rFonts w:ascii="Times New Roman" w:hAnsi="Times New Roman" w:eastAsia="Times New Roman" w:cs="Times New Roman"/>
          <w:spacing w:val="9"/>
          <w:sz w:val="20"/>
          <w:szCs w:val="20"/>
        </w:rPr>
        <w:t xml:space="preserve">8.1.2  </w:t>
      </w:r>
      <w:r>
        <w:rPr>
          <w:rFonts w:ascii="黑体" w:hAnsi="黑体" w:eastAsia="黑体" w:cs="黑体"/>
          <w:spacing w:val="9"/>
          <w:sz w:val="20"/>
          <w:szCs w:val="20"/>
        </w:rPr>
        <w:t>承包人应负责管理施工控制网点。施工控制网点丢失或损坏的，承包人应及时修复。承</w:t>
      </w:r>
      <w:r>
        <w:rPr>
          <w:rFonts w:ascii="黑体" w:hAnsi="黑体" w:eastAsia="黑体" w:cs="黑体"/>
          <w:spacing w:val="1"/>
          <w:sz w:val="20"/>
          <w:szCs w:val="20"/>
        </w:rPr>
        <w:t xml:space="preserve"> </w:t>
      </w:r>
      <w:r>
        <w:rPr>
          <w:spacing w:val="10"/>
          <w:sz w:val="20"/>
          <w:szCs w:val="20"/>
        </w:rPr>
        <w:t>包人应承担施工控制网点的管理与修复费用，并在工程竣工后将</w:t>
      </w:r>
      <w:r>
        <w:rPr>
          <w:spacing w:val="9"/>
          <w:sz w:val="20"/>
          <w:szCs w:val="20"/>
        </w:rPr>
        <w:t>施工控制网点移交发包人。</w:t>
      </w:r>
    </w:p>
    <w:p w14:paraId="5170F3F4">
      <w:pPr>
        <w:spacing w:line="290" w:lineRule="auto"/>
        <w:rPr>
          <w:sz w:val="20"/>
          <w:szCs w:val="20"/>
        </w:rPr>
        <w:sectPr>
          <w:footerReference r:id="rId124" w:type="default"/>
          <w:pgSz w:w="11910" w:h="16840"/>
          <w:pgMar w:top="400" w:right="1430" w:bottom="1024" w:left="1450" w:header="0" w:footer="889" w:gutter="0"/>
          <w:cols w:space="720" w:num="1"/>
        </w:sectPr>
      </w:pPr>
    </w:p>
    <w:p w14:paraId="19ACB632">
      <w:pPr>
        <w:spacing w:line="260" w:lineRule="auto"/>
        <w:rPr>
          <w:rFonts w:ascii="Arial"/>
          <w:sz w:val="21"/>
        </w:rPr>
      </w:pPr>
    </w:p>
    <w:p w14:paraId="23080922">
      <w:pPr>
        <w:spacing w:line="260" w:lineRule="auto"/>
        <w:rPr>
          <w:rFonts w:ascii="Arial"/>
          <w:sz w:val="21"/>
        </w:rPr>
      </w:pPr>
    </w:p>
    <w:p w14:paraId="580F06AE">
      <w:pPr>
        <w:spacing w:line="260" w:lineRule="auto"/>
        <w:rPr>
          <w:rFonts w:ascii="Arial"/>
          <w:sz w:val="21"/>
        </w:rPr>
      </w:pPr>
    </w:p>
    <w:p w14:paraId="4FEBDA38">
      <w:pPr>
        <w:spacing w:line="260" w:lineRule="auto"/>
        <w:rPr>
          <w:rFonts w:ascii="Arial"/>
          <w:sz w:val="21"/>
        </w:rPr>
      </w:pPr>
    </w:p>
    <w:p w14:paraId="23EFED56">
      <w:pPr>
        <w:spacing w:line="261" w:lineRule="auto"/>
        <w:rPr>
          <w:rFonts w:ascii="Arial"/>
          <w:sz w:val="21"/>
        </w:rPr>
      </w:pPr>
    </w:p>
    <w:p w14:paraId="099AE438">
      <w:pPr>
        <w:pStyle w:val="2"/>
        <w:spacing w:before="78" w:line="221" w:lineRule="auto"/>
        <w:ind w:left="3"/>
        <w:rPr>
          <w:sz w:val="24"/>
          <w:szCs w:val="24"/>
        </w:rPr>
      </w:pPr>
      <w:r>
        <w:rPr>
          <w:b/>
          <w:bCs/>
          <w:spacing w:val="6"/>
          <w:sz w:val="24"/>
          <w:szCs w:val="24"/>
        </w:rPr>
        <w:t>8.2施工测量</w:t>
      </w:r>
    </w:p>
    <w:p w14:paraId="6F4B31D1">
      <w:pPr>
        <w:pStyle w:val="2"/>
        <w:spacing w:before="162" w:line="295" w:lineRule="auto"/>
        <w:ind w:right="83" w:firstLine="419"/>
        <w:rPr>
          <w:sz w:val="20"/>
          <w:szCs w:val="20"/>
        </w:rPr>
      </w:pPr>
      <w:r>
        <w:rPr>
          <w:spacing w:val="10"/>
          <w:sz w:val="20"/>
          <w:szCs w:val="20"/>
        </w:rPr>
        <w:t>8.2.1承包人应负责施工过程中的全部施工测量放线工作，</w:t>
      </w:r>
      <w:r>
        <w:rPr>
          <w:spacing w:val="9"/>
          <w:sz w:val="20"/>
          <w:szCs w:val="20"/>
        </w:rPr>
        <w:t>并配置合格的人员、仪器、设备和</w:t>
      </w:r>
      <w:r>
        <w:rPr>
          <w:sz w:val="20"/>
          <w:szCs w:val="20"/>
        </w:rPr>
        <w:t xml:space="preserve"> </w:t>
      </w:r>
      <w:r>
        <w:rPr>
          <w:spacing w:val="5"/>
          <w:sz w:val="20"/>
          <w:szCs w:val="20"/>
        </w:rPr>
        <w:t>其他物品。</w:t>
      </w:r>
    </w:p>
    <w:p w14:paraId="0976CC6A">
      <w:pPr>
        <w:pStyle w:val="2"/>
        <w:spacing w:before="150" w:line="299" w:lineRule="auto"/>
        <w:ind w:firstLine="419"/>
        <w:rPr>
          <w:sz w:val="20"/>
          <w:szCs w:val="20"/>
        </w:rPr>
      </w:pPr>
      <w:r>
        <w:rPr>
          <w:rFonts w:ascii="Times New Roman" w:hAnsi="Times New Roman" w:eastAsia="Times New Roman" w:cs="Times New Roman"/>
          <w:spacing w:val="7"/>
          <w:sz w:val="20"/>
          <w:szCs w:val="20"/>
        </w:rPr>
        <w:t xml:space="preserve">8.2.2  </w:t>
      </w:r>
      <w:r>
        <w:rPr>
          <w:spacing w:val="7"/>
          <w:sz w:val="20"/>
          <w:szCs w:val="20"/>
        </w:rPr>
        <w:t>监理人可以指示承包人进行抽样复测</w:t>
      </w:r>
      <w:r>
        <w:rPr>
          <w:spacing w:val="6"/>
          <w:sz w:val="20"/>
          <w:szCs w:val="20"/>
        </w:rPr>
        <w:t>，当复测中发现错误或出现超过合同约定的误差时，</w:t>
      </w:r>
      <w:r>
        <w:rPr>
          <w:sz w:val="20"/>
          <w:szCs w:val="20"/>
        </w:rPr>
        <w:t xml:space="preserve"> </w:t>
      </w:r>
      <w:r>
        <w:rPr>
          <w:spacing w:val="9"/>
          <w:sz w:val="20"/>
          <w:szCs w:val="20"/>
        </w:rPr>
        <w:t>承包人应按监理人指示进行修正或补测，并承担相应的复测费用。</w:t>
      </w:r>
    </w:p>
    <w:p w14:paraId="556AAE16">
      <w:pPr>
        <w:pStyle w:val="2"/>
        <w:spacing w:before="141" w:line="219" w:lineRule="auto"/>
        <w:ind w:left="2"/>
        <w:rPr>
          <w:sz w:val="24"/>
          <w:szCs w:val="24"/>
        </w:rPr>
      </w:pPr>
      <w:r>
        <w:rPr>
          <w:b/>
          <w:bCs/>
          <w:spacing w:val="-9"/>
          <w:sz w:val="24"/>
          <w:szCs w:val="24"/>
        </w:rPr>
        <w:t>8.3</w:t>
      </w:r>
      <w:r>
        <w:rPr>
          <w:spacing w:val="-9"/>
          <w:sz w:val="24"/>
          <w:szCs w:val="24"/>
        </w:rPr>
        <w:t xml:space="preserve"> </w:t>
      </w:r>
      <w:r>
        <w:rPr>
          <w:b/>
          <w:bCs/>
          <w:spacing w:val="-9"/>
          <w:sz w:val="24"/>
          <w:szCs w:val="24"/>
        </w:rPr>
        <w:t>基准资料错误的责任</w:t>
      </w:r>
    </w:p>
    <w:p w14:paraId="6A8B1416">
      <w:pPr>
        <w:pStyle w:val="2"/>
        <w:spacing w:before="145" w:line="360" w:lineRule="auto"/>
        <w:ind w:right="93" w:firstLine="419"/>
        <w:jc w:val="both"/>
        <w:rPr>
          <w:sz w:val="20"/>
          <w:szCs w:val="20"/>
        </w:rPr>
      </w:pPr>
      <w:r>
        <w:rPr>
          <w:spacing w:val="12"/>
          <w:sz w:val="20"/>
          <w:szCs w:val="20"/>
        </w:rPr>
        <w:t>发包人应对其提供的测量基准点、基准线和水准点及其书面资料的真实性、准确性和</w:t>
      </w:r>
      <w:r>
        <w:rPr>
          <w:spacing w:val="11"/>
          <w:sz w:val="20"/>
          <w:szCs w:val="20"/>
        </w:rPr>
        <w:t>完整性</w:t>
      </w:r>
      <w:r>
        <w:rPr>
          <w:sz w:val="20"/>
          <w:szCs w:val="20"/>
        </w:rPr>
        <w:t xml:space="preserve"> </w:t>
      </w:r>
      <w:r>
        <w:rPr>
          <w:spacing w:val="12"/>
          <w:sz w:val="20"/>
          <w:szCs w:val="20"/>
        </w:rPr>
        <w:t>负责。发包人提供上述基准资料错误导致承包人测量放线工作的返工或造成工程</w:t>
      </w:r>
      <w:r>
        <w:rPr>
          <w:spacing w:val="11"/>
          <w:sz w:val="20"/>
          <w:szCs w:val="20"/>
        </w:rPr>
        <w:t>损失的，发包人</w:t>
      </w:r>
      <w:r>
        <w:rPr>
          <w:sz w:val="20"/>
          <w:szCs w:val="20"/>
        </w:rPr>
        <w:t xml:space="preserve"> </w:t>
      </w:r>
      <w:r>
        <w:rPr>
          <w:spacing w:val="17"/>
          <w:sz w:val="20"/>
          <w:szCs w:val="20"/>
        </w:rPr>
        <w:t>应当承担由此增加的费用和(或)工期延误，并向承包人支付合理利润。承包人发现发包人提供</w:t>
      </w:r>
      <w:r>
        <w:rPr>
          <w:spacing w:val="11"/>
          <w:sz w:val="20"/>
          <w:szCs w:val="20"/>
        </w:rPr>
        <w:t xml:space="preserve"> </w:t>
      </w:r>
      <w:r>
        <w:rPr>
          <w:spacing w:val="9"/>
          <w:sz w:val="20"/>
          <w:szCs w:val="20"/>
        </w:rPr>
        <w:t>的上述基准资料存在明显错误或疏忽的，应及时通知</w:t>
      </w:r>
      <w:r>
        <w:rPr>
          <w:spacing w:val="8"/>
          <w:sz w:val="20"/>
          <w:szCs w:val="20"/>
        </w:rPr>
        <w:t>监理人。</w:t>
      </w:r>
    </w:p>
    <w:p w14:paraId="22B40601">
      <w:pPr>
        <w:pStyle w:val="2"/>
        <w:spacing w:line="219" w:lineRule="auto"/>
        <w:ind w:left="2"/>
        <w:rPr>
          <w:sz w:val="24"/>
          <w:szCs w:val="24"/>
        </w:rPr>
      </w:pPr>
      <w:r>
        <w:rPr>
          <w:b/>
          <w:bCs/>
          <w:spacing w:val="-8"/>
          <w:sz w:val="24"/>
          <w:szCs w:val="24"/>
        </w:rPr>
        <w:t>8.4</w:t>
      </w:r>
      <w:r>
        <w:rPr>
          <w:spacing w:val="-8"/>
          <w:sz w:val="24"/>
          <w:szCs w:val="24"/>
        </w:rPr>
        <w:t xml:space="preserve"> </w:t>
      </w:r>
      <w:r>
        <w:rPr>
          <w:b/>
          <w:bCs/>
          <w:spacing w:val="-8"/>
          <w:sz w:val="24"/>
          <w:szCs w:val="24"/>
        </w:rPr>
        <w:t>监理人使用施工控制网</w:t>
      </w:r>
    </w:p>
    <w:p w14:paraId="50E0FD55">
      <w:pPr>
        <w:pStyle w:val="2"/>
        <w:spacing w:before="156" w:line="219" w:lineRule="auto"/>
        <w:ind w:left="419"/>
        <w:rPr>
          <w:sz w:val="20"/>
          <w:szCs w:val="20"/>
        </w:rPr>
      </w:pPr>
      <w:r>
        <w:rPr>
          <w:spacing w:val="10"/>
          <w:sz w:val="20"/>
          <w:szCs w:val="20"/>
        </w:rPr>
        <w:t>监理人需要使用施工控制网的，承包人应提供必要的协助，发</w:t>
      </w:r>
      <w:r>
        <w:rPr>
          <w:spacing w:val="9"/>
          <w:sz w:val="20"/>
          <w:szCs w:val="20"/>
        </w:rPr>
        <w:t>包人不再为此支付费用。</w:t>
      </w:r>
    </w:p>
    <w:p w14:paraId="2B865D64">
      <w:pPr>
        <w:pStyle w:val="2"/>
        <w:spacing w:before="174" w:line="220" w:lineRule="auto"/>
        <w:ind w:left="4"/>
        <w:rPr>
          <w:sz w:val="29"/>
          <w:szCs w:val="29"/>
        </w:rPr>
      </w:pPr>
      <w:r>
        <w:rPr>
          <w:b/>
          <w:bCs/>
          <w:spacing w:val="-8"/>
          <w:sz w:val="29"/>
          <w:szCs w:val="29"/>
        </w:rPr>
        <w:t>9.</w:t>
      </w:r>
      <w:r>
        <w:rPr>
          <w:spacing w:val="-70"/>
          <w:sz w:val="29"/>
          <w:szCs w:val="29"/>
        </w:rPr>
        <w:t xml:space="preserve"> </w:t>
      </w:r>
      <w:r>
        <w:rPr>
          <w:b/>
          <w:bCs/>
          <w:spacing w:val="-8"/>
          <w:sz w:val="29"/>
          <w:szCs w:val="29"/>
        </w:rPr>
        <w:t>施工安全、治安保卫和环境保护</w:t>
      </w:r>
    </w:p>
    <w:p w14:paraId="28379672">
      <w:pPr>
        <w:pStyle w:val="2"/>
        <w:spacing w:before="113" w:line="219" w:lineRule="auto"/>
        <w:ind w:left="2"/>
        <w:rPr>
          <w:sz w:val="24"/>
          <w:szCs w:val="24"/>
        </w:rPr>
      </w:pPr>
      <w:r>
        <w:rPr>
          <w:b/>
          <w:bCs/>
          <w:spacing w:val="-9"/>
          <w:sz w:val="24"/>
          <w:szCs w:val="24"/>
        </w:rPr>
        <w:t>9.1</w:t>
      </w:r>
      <w:r>
        <w:rPr>
          <w:spacing w:val="-9"/>
          <w:sz w:val="24"/>
          <w:szCs w:val="24"/>
        </w:rPr>
        <w:t xml:space="preserve"> </w:t>
      </w:r>
      <w:r>
        <w:rPr>
          <w:b/>
          <w:bCs/>
          <w:spacing w:val="-9"/>
          <w:sz w:val="24"/>
          <w:szCs w:val="24"/>
        </w:rPr>
        <w:t>发包人的施工安全责任</w:t>
      </w:r>
    </w:p>
    <w:p w14:paraId="6B86C616">
      <w:pPr>
        <w:pStyle w:val="2"/>
        <w:spacing w:before="126" w:line="299" w:lineRule="auto"/>
        <w:ind w:right="89" w:firstLine="419"/>
        <w:rPr>
          <w:sz w:val="20"/>
          <w:szCs w:val="20"/>
        </w:rPr>
      </w:pPr>
      <w:r>
        <w:rPr>
          <w:spacing w:val="8"/>
          <w:sz w:val="20"/>
          <w:szCs w:val="20"/>
        </w:rPr>
        <w:t>9.1.1</w:t>
      </w:r>
      <w:r>
        <w:rPr>
          <w:spacing w:val="-19"/>
          <w:sz w:val="20"/>
          <w:szCs w:val="20"/>
        </w:rPr>
        <w:t xml:space="preserve"> </w:t>
      </w:r>
      <w:r>
        <w:rPr>
          <w:spacing w:val="8"/>
          <w:sz w:val="20"/>
          <w:szCs w:val="20"/>
        </w:rPr>
        <w:t>发包人应按合同约定履行安全职责，授权监理人按</w:t>
      </w:r>
      <w:r>
        <w:rPr>
          <w:spacing w:val="7"/>
          <w:sz w:val="20"/>
          <w:szCs w:val="20"/>
        </w:rPr>
        <w:t>合同约定的安全工作内容监督、检查</w:t>
      </w:r>
      <w:r>
        <w:rPr>
          <w:sz w:val="20"/>
          <w:szCs w:val="20"/>
        </w:rPr>
        <w:t xml:space="preserve"> </w:t>
      </w:r>
      <w:r>
        <w:rPr>
          <w:spacing w:val="9"/>
          <w:sz w:val="20"/>
          <w:szCs w:val="20"/>
        </w:rPr>
        <w:t>承包人安全工作的实施，组织承包人和有关单位进行安全检查。</w:t>
      </w:r>
    </w:p>
    <w:p w14:paraId="20A67829">
      <w:pPr>
        <w:pStyle w:val="2"/>
        <w:spacing w:before="183" w:line="285" w:lineRule="auto"/>
        <w:ind w:right="92" w:firstLine="419"/>
        <w:rPr>
          <w:sz w:val="20"/>
          <w:szCs w:val="20"/>
        </w:rPr>
      </w:pPr>
      <w:r>
        <w:rPr>
          <w:spacing w:val="7"/>
          <w:sz w:val="20"/>
          <w:szCs w:val="20"/>
        </w:rPr>
        <w:t>9.1.2 发包人应对其现场机构雇佣的全部人员的工伤事故承担责任，但由于承包人原因造成发</w:t>
      </w:r>
      <w:r>
        <w:rPr>
          <w:sz w:val="20"/>
          <w:szCs w:val="20"/>
        </w:rPr>
        <w:t xml:space="preserve"> </w:t>
      </w:r>
      <w:r>
        <w:rPr>
          <w:spacing w:val="8"/>
          <w:sz w:val="20"/>
          <w:szCs w:val="20"/>
        </w:rPr>
        <w:t>包人人员工伤的，应由承包人承担责任。</w:t>
      </w:r>
    </w:p>
    <w:p w14:paraId="28E9DABD">
      <w:pPr>
        <w:pStyle w:val="2"/>
        <w:spacing w:before="172" w:line="219" w:lineRule="auto"/>
        <w:ind w:left="419"/>
        <w:rPr>
          <w:sz w:val="20"/>
          <w:szCs w:val="20"/>
        </w:rPr>
      </w:pPr>
      <w:r>
        <w:rPr>
          <w:spacing w:val="6"/>
          <w:sz w:val="20"/>
          <w:szCs w:val="20"/>
        </w:rPr>
        <w:t>9.1.3</w:t>
      </w:r>
      <w:r>
        <w:rPr>
          <w:spacing w:val="-21"/>
          <w:sz w:val="20"/>
          <w:szCs w:val="20"/>
        </w:rPr>
        <w:t xml:space="preserve"> </w:t>
      </w:r>
      <w:r>
        <w:rPr>
          <w:spacing w:val="6"/>
          <w:sz w:val="20"/>
          <w:szCs w:val="20"/>
        </w:rPr>
        <w:t>发包人应负责赔偿以下各种情况造成的第三者</w:t>
      </w:r>
      <w:r>
        <w:rPr>
          <w:spacing w:val="5"/>
          <w:sz w:val="20"/>
          <w:szCs w:val="20"/>
        </w:rPr>
        <w:t>人身伤亡和财产损失：</w:t>
      </w:r>
    </w:p>
    <w:p w14:paraId="71B93E13">
      <w:pPr>
        <w:pStyle w:val="2"/>
        <w:spacing w:before="173" w:line="219" w:lineRule="auto"/>
        <w:ind w:left="560"/>
        <w:rPr>
          <w:sz w:val="20"/>
          <w:szCs w:val="20"/>
        </w:rPr>
      </w:pPr>
      <w:r>
        <w:rPr>
          <w:spacing w:val="14"/>
          <w:sz w:val="20"/>
          <w:szCs w:val="20"/>
        </w:rPr>
        <w:t>(1)工程或工程的任何部分对土地的占用所造成的第三者财产损失；</w:t>
      </w:r>
    </w:p>
    <w:p w14:paraId="3A5CA6A8">
      <w:pPr>
        <w:pStyle w:val="2"/>
        <w:spacing w:before="133" w:line="219" w:lineRule="auto"/>
        <w:ind w:left="550"/>
        <w:rPr>
          <w:sz w:val="20"/>
          <w:szCs w:val="20"/>
        </w:rPr>
      </w:pPr>
      <w:r>
        <w:rPr>
          <w:spacing w:val="14"/>
          <w:sz w:val="20"/>
          <w:szCs w:val="20"/>
        </w:rPr>
        <w:t>(2)由于发包人原因在施工场地及其毗邻地带造成的第三者人身伤亡和财产损失。</w:t>
      </w:r>
    </w:p>
    <w:p w14:paraId="37718792">
      <w:pPr>
        <w:pStyle w:val="2"/>
        <w:spacing w:before="131" w:line="219" w:lineRule="auto"/>
        <w:ind w:left="2"/>
        <w:rPr>
          <w:sz w:val="24"/>
          <w:szCs w:val="24"/>
        </w:rPr>
      </w:pPr>
      <w:r>
        <w:rPr>
          <w:b/>
          <w:bCs/>
          <w:spacing w:val="-9"/>
          <w:sz w:val="24"/>
          <w:szCs w:val="24"/>
        </w:rPr>
        <w:t>9.2</w:t>
      </w:r>
      <w:r>
        <w:rPr>
          <w:spacing w:val="-9"/>
          <w:sz w:val="24"/>
          <w:szCs w:val="24"/>
        </w:rPr>
        <w:t xml:space="preserve"> </w:t>
      </w:r>
      <w:r>
        <w:rPr>
          <w:b/>
          <w:bCs/>
          <w:spacing w:val="-9"/>
          <w:sz w:val="24"/>
          <w:szCs w:val="24"/>
        </w:rPr>
        <w:t>承包人的施工安全责任</w:t>
      </w:r>
    </w:p>
    <w:p w14:paraId="1DB8C76B">
      <w:pPr>
        <w:pStyle w:val="2"/>
        <w:spacing w:before="176" w:line="290" w:lineRule="auto"/>
        <w:ind w:right="91" w:firstLine="419"/>
        <w:rPr>
          <w:sz w:val="20"/>
          <w:szCs w:val="20"/>
        </w:rPr>
      </w:pPr>
      <w:r>
        <w:rPr>
          <w:spacing w:val="2"/>
          <w:sz w:val="20"/>
          <w:szCs w:val="20"/>
        </w:rPr>
        <w:t>9.2.1 承包人应按合同约定履行安全职责，执行监理人有关安全工作的指示，并在专用合同条款</w:t>
      </w:r>
      <w:r>
        <w:rPr>
          <w:spacing w:val="17"/>
          <w:sz w:val="20"/>
          <w:szCs w:val="20"/>
        </w:rPr>
        <w:t xml:space="preserve"> </w:t>
      </w:r>
      <w:r>
        <w:rPr>
          <w:spacing w:val="10"/>
          <w:sz w:val="20"/>
          <w:szCs w:val="20"/>
        </w:rPr>
        <w:t>约定的期限内，按合同约定的安全工作内容，编制施工安全措施计划报送监理人审批。</w:t>
      </w:r>
    </w:p>
    <w:p w14:paraId="3DC0FFD0">
      <w:pPr>
        <w:pStyle w:val="2"/>
        <w:spacing w:before="151" w:line="298" w:lineRule="auto"/>
        <w:ind w:right="61" w:firstLine="419"/>
        <w:rPr>
          <w:sz w:val="20"/>
          <w:szCs w:val="20"/>
        </w:rPr>
      </w:pPr>
      <w:r>
        <w:rPr>
          <w:spacing w:val="8"/>
          <w:sz w:val="20"/>
          <w:szCs w:val="20"/>
        </w:rPr>
        <w:t>9.2.2 承包人应加强施工作业安全管理，特别应加强易燃、</w:t>
      </w:r>
      <w:r>
        <w:rPr>
          <w:spacing w:val="7"/>
          <w:sz w:val="20"/>
          <w:szCs w:val="20"/>
        </w:rPr>
        <w:t>易爆材料、火工器材、有毒与腐蚀</w:t>
      </w:r>
      <w:r>
        <w:rPr>
          <w:sz w:val="20"/>
          <w:szCs w:val="20"/>
        </w:rPr>
        <w:t xml:space="preserve"> </w:t>
      </w:r>
      <w:r>
        <w:rPr>
          <w:spacing w:val="10"/>
          <w:sz w:val="20"/>
          <w:szCs w:val="20"/>
        </w:rPr>
        <w:t>性材料和其他危险品的管理，以及对爆破作业和地下工程</w:t>
      </w:r>
      <w:r>
        <w:rPr>
          <w:spacing w:val="9"/>
          <w:sz w:val="20"/>
          <w:szCs w:val="20"/>
        </w:rPr>
        <w:t>施工等危险作业的管理。</w:t>
      </w:r>
    </w:p>
    <w:p w14:paraId="171CE278">
      <w:pPr>
        <w:pStyle w:val="2"/>
        <w:spacing w:before="175" w:line="290" w:lineRule="auto"/>
        <w:ind w:right="93" w:firstLine="419"/>
        <w:rPr>
          <w:sz w:val="20"/>
          <w:szCs w:val="20"/>
        </w:rPr>
      </w:pPr>
      <w:r>
        <w:rPr>
          <w:spacing w:val="7"/>
          <w:sz w:val="20"/>
          <w:szCs w:val="20"/>
        </w:rPr>
        <w:t>9.2.3 承包人应严格按照国家安全标准制定施工安全操作规程，配备必要的安全生产和劳</w:t>
      </w:r>
      <w:r>
        <w:rPr>
          <w:spacing w:val="6"/>
          <w:sz w:val="20"/>
          <w:szCs w:val="20"/>
        </w:rPr>
        <w:t>动保</w:t>
      </w:r>
      <w:r>
        <w:rPr>
          <w:sz w:val="20"/>
          <w:szCs w:val="20"/>
        </w:rPr>
        <w:t xml:space="preserve"> </w:t>
      </w:r>
      <w:r>
        <w:rPr>
          <w:spacing w:val="9"/>
          <w:sz w:val="20"/>
          <w:szCs w:val="20"/>
        </w:rPr>
        <w:t>护设施，加强对承包人人员的安全教育，并发放安全工作手册和劳动保护用具。</w:t>
      </w:r>
    </w:p>
    <w:p w14:paraId="6020D749">
      <w:pPr>
        <w:pStyle w:val="2"/>
        <w:spacing w:before="183" w:line="284" w:lineRule="auto"/>
        <w:ind w:right="91" w:firstLine="419"/>
        <w:rPr>
          <w:sz w:val="20"/>
          <w:szCs w:val="20"/>
        </w:rPr>
      </w:pPr>
      <w:r>
        <w:rPr>
          <w:spacing w:val="7"/>
          <w:sz w:val="20"/>
          <w:szCs w:val="20"/>
        </w:rPr>
        <w:t>9.2.4 承包人应按监理人的指示制定应对灾害的紧急预案，报送监理人审批。承包人还应按预</w:t>
      </w:r>
      <w:r>
        <w:rPr>
          <w:sz w:val="20"/>
          <w:szCs w:val="20"/>
        </w:rPr>
        <w:t xml:space="preserve"> </w:t>
      </w:r>
      <w:r>
        <w:rPr>
          <w:spacing w:val="10"/>
          <w:sz w:val="20"/>
          <w:szCs w:val="20"/>
        </w:rPr>
        <w:t>案做好安全检查，配置必要的救助物资和器材，切实保护好有关</w:t>
      </w:r>
      <w:r>
        <w:rPr>
          <w:spacing w:val="9"/>
          <w:sz w:val="20"/>
          <w:szCs w:val="20"/>
        </w:rPr>
        <w:t>人员的人身和财产安全。</w:t>
      </w:r>
    </w:p>
    <w:p w14:paraId="61DAE1E7">
      <w:pPr>
        <w:pStyle w:val="2"/>
        <w:spacing w:before="172" w:line="314" w:lineRule="auto"/>
        <w:ind w:right="87" w:firstLine="419"/>
        <w:rPr>
          <w:sz w:val="20"/>
          <w:szCs w:val="20"/>
        </w:rPr>
      </w:pPr>
      <w:r>
        <w:rPr>
          <w:spacing w:val="7"/>
          <w:sz w:val="20"/>
          <w:szCs w:val="20"/>
        </w:rPr>
        <w:t>9.2.5 合同约定的安全作业环境及安全施工措施所需费用应遵守有关规定，并包括在相关工作</w:t>
      </w:r>
      <w:r>
        <w:rPr>
          <w:spacing w:val="4"/>
          <w:sz w:val="20"/>
          <w:szCs w:val="20"/>
        </w:rPr>
        <w:t xml:space="preserve"> </w:t>
      </w:r>
      <w:r>
        <w:rPr>
          <w:spacing w:val="9"/>
          <w:sz w:val="20"/>
          <w:szCs w:val="20"/>
        </w:rPr>
        <w:t>的合同价格中。因采取合同未约定的安全作业环境及安全施工措施增加的费用，由监理人按第3.5</w:t>
      </w:r>
      <w:r>
        <w:rPr>
          <w:spacing w:val="5"/>
          <w:sz w:val="20"/>
          <w:szCs w:val="20"/>
        </w:rPr>
        <w:t xml:space="preserve"> </w:t>
      </w:r>
      <w:r>
        <w:rPr>
          <w:spacing w:val="7"/>
          <w:sz w:val="20"/>
          <w:szCs w:val="20"/>
        </w:rPr>
        <w:t>款商定或确定。</w:t>
      </w:r>
    </w:p>
    <w:p w14:paraId="72F76591">
      <w:pPr>
        <w:spacing w:line="314" w:lineRule="auto"/>
        <w:rPr>
          <w:sz w:val="20"/>
          <w:szCs w:val="20"/>
        </w:rPr>
        <w:sectPr>
          <w:footerReference r:id="rId125" w:type="default"/>
          <w:pgSz w:w="11910" w:h="16840"/>
          <w:pgMar w:top="400" w:right="1439" w:bottom="1024" w:left="1450" w:header="0" w:footer="889" w:gutter="0"/>
          <w:cols w:space="720" w:num="1"/>
        </w:sectPr>
      </w:pPr>
    </w:p>
    <w:p w14:paraId="6B043896">
      <w:pPr>
        <w:spacing w:line="267" w:lineRule="auto"/>
        <w:rPr>
          <w:rFonts w:ascii="Arial"/>
          <w:sz w:val="21"/>
        </w:rPr>
      </w:pPr>
    </w:p>
    <w:p w14:paraId="0BD940FA">
      <w:pPr>
        <w:spacing w:line="267" w:lineRule="auto"/>
        <w:rPr>
          <w:rFonts w:ascii="Arial"/>
          <w:sz w:val="21"/>
        </w:rPr>
      </w:pPr>
    </w:p>
    <w:p w14:paraId="7BA68631">
      <w:pPr>
        <w:spacing w:line="268" w:lineRule="auto"/>
        <w:rPr>
          <w:rFonts w:ascii="Arial"/>
          <w:sz w:val="21"/>
        </w:rPr>
      </w:pPr>
    </w:p>
    <w:p w14:paraId="1E14660D">
      <w:pPr>
        <w:spacing w:line="268" w:lineRule="auto"/>
        <w:rPr>
          <w:rFonts w:ascii="Arial"/>
          <w:sz w:val="21"/>
        </w:rPr>
      </w:pPr>
    </w:p>
    <w:p w14:paraId="790E86B1">
      <w:pPr>
        <w:spacing w:line="268" w:lineRule="auto"/>
        <w:rPr>
          <w:rFonts w:ascii="Arial"/>
          <w:sz w:val="21"/>
        </w:rPr>
      </w:pPr>
    </w:p>
    <w:p w14:paraId="47B7BD04">
      <w:pPr>
        <w:pStyle w:val="2"/>
        <w:spacing w:before="71" w:line="282" w:lineRule="auto"/>
        <w:ind w:right="85" w:firstLine="419"/>
        <w:rPr>
          <w:sz w:val="22"/>
          <w:szCs w:val="22"/>
        </w:rPr>
      </w:pPr>
      <w:r>
        <w:rPr>
          <w:spacing w:val="-11"/>
          <w:sz w:val="22"/>
          <w:szCs w:val="22"/>
        </w:rPr>
        <w:t>9.2.6 承包人应对其履行合同所雇佣的全部人员，包括分包人人</w:t>
      </w:r>
      <w:r>
        <w:rPr>
          <w:spacing w:val="-12"/>
          <w:sz w:val="22"/>
          <w:szCs w:val="22"/>
        </w:rPr>
        <w:t>员的工伤事故承担责任，但由</w:t>
      </w:r>
      <w:r>
        <w:rPr>
          <w:sz w:val="22"/>
          <w:szCs w:val="22"/>
        </w:rPr>
        <w:t xml:space="preserve"> </w:t>
      </w:r>
      <w:r>
        <w:rPr>
          <w:spacing w:val="-11"/>
          <w:sz w:val="22"/>
          <w:szCs w:val="22"/>
        </w:rPr>
        <w:t>于发包人原因造成承包人人员工伤事故的，应由发包人承担责任。</w:t>
      </w:r>
    </w:p>
    <w:p w14:paraId="29D3696A">
      <w:pPr>
        <w:pStyle w:val="2"/>
        <w:spacing w:before="118" w:line="282" w:lineRule="auto"/>
        <w:ind w:right="100" w:firstLine="419"/>
        <w:rPr>
          <w:sz w:val="22"/>
          <w:szCs w:val="22"/>
        </w:rPr>
      </w:pPr>
      <w:r>
        <w:rPr>
          <w:spacing w:val="-12"/>
          <w:sz w:val="22"/>
          <w:szCs w:val="22"/>
        </w:rPr>
        <w:t>9.2.7 由于承包人原因在施工场地内及其毗邻地带造成的第三者人员伤亡和财产损失，由承包</w:t>
      </w:r>
      <w:r>
        <w:rPr>
          <w:spacing w:val="16"/>
          <w:sz w:val="22"/>
          <w:szCs w:val="22"/>
        </w:rPr>
        <w:t xml:space="preserve"> </w:t>
      </w:r>
      <w:r>
        <w:rPr>
          <w:spacing w:val="-13"/>
          <w:sz w:val="22"/>
          <w:szCs w:val="22"/>
        </w:rPr>
        <w:t>人负责赔偿。</w:t>
      </w:r>
    </w:p>
    <w:p w14:paraId="30E96D70">
      <w:pPr>
        <w:pStyle w:val="2"/>
        <w:spacing w:before="146" w:line="220" w:lineRule="auto"/>
        <w:ind w:left="3"/>
        <w:rPr>
          <w:sz w:val="22"/>
          <w:szCs w:val="22"/>
        </w:rPr>
      </w:pPr>
      <w:r>
        <w:rPr>
          <w:b/>
          <w:bCs/>
          <w:spacing w:val="21"/>
          <w:sz w:val="22"/>
          <w:szCs w:val="22"/>
        </w:rPr>
        <w:t>9.3治安保卫</w:t>
      </w:r>
    </w:p>
    <w:p w14:paraId="4EC2961E">
      <w:pPr>
        <w:pStyle w:val="2"/>
        <w:spacing w:before="118" w:line="278" w:lineRule="auto"/>
        <w:ind w:right="102" w:firstLine="419"/>
        <w:rPr>
          <w:sz w:val="22"/>
          <w:szCs w:val="22"/>
        </w:rPr>
      </w:pPr>
      <w:r>
        <w:rPr>
          <w:spacing w:val="-12"/>
          <w:sz w:val="22"/>
          <w:szCs w:val="22"/>
        </w:rPr>
        <w:t>9.3.1 除合同另有约定外，发包人应与当地公安部门协商，在现场建立治安管理机构或联防组</w:t>
      </w:r>
      <w:r>
        <w:rPr>
          <w:spacing w:val="14"/>
          <w:sz w:val="22"/>
          <w:szCs w:val="22"/>
        </w:rPr>
        <w:t xml:space="preserve"> </w:t>
      </w:r>
      <w:r>
        <w:rPr>
          <w:spacing w:val="-10"/>
          <w:sz w:val="22"/>
          <w:szCs w:val="22"/>
        </w:rPr>
        <w:t>织，统一管理施工场地的治安保卫事项，履行合</w:t>
      </w:r>
      <w:r>
        <w:rPr>
          <w:spacing w:val="-11"/>
          <w:sz w:val="22"/>
          <w:szCs w:val="22"/>
        </w:rPr>
        <w:t>同工程的治安保卫职责。</w:t>
      </w:r>
    </w:p>
    <w:p w14:paraId="549E2551">
      <w:pPr>
        <w:pStyle w:val="2"/>
        <w:spacing w:before="157" w:line="273" w:lineRule="auto"/>
        <w:ind w:right="100" w:firstLine="419"/>
        <w:rPr>
          <w:sz w:val="22"/>
          <w:szCs w:val="22"/>
        </w:rPr>
      </w:pPr>
      <w:r>
        <w:rPr>
          <w:spacing w:val="-12"/>
          <w:sz w:val="22"/>
          <w:szCs w:val="22"/>
        </w:rPr>
        <w:t>9.3.2 发包人和承包人除应协助现场治安管理机构或联防组织维护施工场地的社会治安外，还</w:t>
      </w:r>
      <w:r>
        <w:rPr>
          <w:spacing w:val="16"/>
          <w:sz w:val="22"/>
          <w:szCs w:val="22"/>
        </w:rPr>
        <w:t xml:space="preserve"> </w:t>
      </w:r>
      <w:r>
        <w:rPr>
          <w:spacing w:val="-11"/>
          <w:sz w:val="22"/>
          <w:szCs w:val="22"/>
        </w:rPr>
        <w:t>应做好包括生活区在内的各自管辖区的治安保卫工作。</w:t>
      </w:r>
    </w:p>
    <w:p w14:paraId="412160E8">
      <w:pPr>
        <w:pStyle w:val="2"/>
        <w:spacing w:before="140" w:line="300" w:lineRule="auto"/>
        <w:ind w:firstLine="419"/>
        <w:rPr>
          <w:sz w:val="22"/>
          <w:szCs w:val="22"/>
        </w:rPr>
      </w:pPr>
      <w:r>
        <w:rPr>
          <w:spacing w:val="-14"/>
          <w:sz w:val="22"/>
          <w:szCs w:val="22"/>
        </w:rPr>
        <w:t>9.3.3 除合同另有约定外，发包人和承包人应在工程开工后，共同编制施工场地治安管理计划，</w:t>
      </w:r>
      <w:r>
        <w:rPr>
          <w:sz w:val="22"/>
          <w:szCs w:val="22"/>
        </w:rPr>
        <w:t xml:space="preserve"> </w:t>
      </w:r>
      <w:r>
        <w:rPr>
          <w:spacing w:val="-8"/>
          <w:sz w:val="22"/>
          <w:szCs w:val="22"/>
        </w:rPr>
        <w:t>并制定应对突发治安事件的紧急预案。在工程施工过程中，发生暴乱、爆炸等恐怖</w:t>
      </w:r>
      <w:r>
        <w:rPr>
          <w:spacing w:val="-9"/>
          <w:sz w:val="22"/>
          <w:szCs w:val="22"/>
        </w:rPr>
        <w:t>事件，以及群</w:t>
      </w:r>
      <w:r>
        <w:rPr>
          <w:sz w:val="22"/>
          <w:szCs w:val="22"/>
        </w:rPr>
        <w:t xml:space="preserve">  </w:t>
      </w:r>
      <w:r>
        <w:rPr>
          <w:spacing w:val="-8"/>
          <w:sz w:val="22"/>
          <w:szCs w:val="22"/>
        </w:rPr>
        <w:t>殴、械斗等群体性突发治安事件的，发包人和承包人应立即向当地政府报告。发包</w:t>
      </w:r>
      <w:r>
        <w:rPr>
          <w:spacing w:val="-9"/>
          <w:sz w:val="22"/>
          <w:szCs w:val="22"/>
        </w:rPr>
        <w:t>人和承包人应</w:t>
      </w:r>
      <w:r>
        <w:rPr>
          <w:sz w:val="22"/>
          <w:szCs w:val="22"/>
        </w:rPr>
        <w:t xml:space="preserve">  </w:t>
      </w:r>
      <w:r>
        <w:rPr>
          <w:spacing w:val="-10"/>
          <w:sz w:val="22"/>
          <w:szCs w:val="22"/>
        </w:rPr>
        <w:t>积极协助当地有关部门采取措施平息事态，防止事态扩大，尽量减少财产损失和避免人员伤亡。</w:t>
      </w:r>
    </w:p>
    <w:p w14:paraId="13071C7F">
      <w:pPr>
        <w:pStyle w:val="2"/>
        <w:spacing w:before="178" w:line="220" w:lineRule="auto"/>
        <w:ind w:left="3"/>
        <w:rPr>
          <w:sz w:val="22"/>
          <w:szCs w:val="22"/>
        </w:rPr>
      </w:pPr>
      <w:r>
        <w:rPr>
          <w:b/>
          <w:bCs/>
          <w:spacing w:val="5"/>
          <w:sz w:val="22"/>
          <w:szCs w:val="22"/>
        </w:rPr>
        <w:t>9.4</w:t>
      </w:r>
      <w:r>
        <w:rPr>
          <w:spacing w:val="5"/>
          <w:sz w:val="22"/>
          <w:szCs w:val="22"/>
        </w:rPr>
        <w:t xml:space="preserve"> </w:t>
      </w:r>
      <w:r>
        <w:rPr>
          <w:b/>
          <w:bCs/>
          <w:spacing w:val="5"/>
          <w:sz w:val="22"/>
          <w:szCs w:val="22"/>
        </w:rPr>
        <w:t>环境保护</w:t>
      </w:r>
    </w:p>
    <w:p w14:paraId="52F81F3A">
      <w:pPr>
        <w:pStyle w:val="2"/>
        <w:spacing w:before="141" w:line="273" w:lineRule="auto"/>
        <w:ind w:right="100" w:firstLine="419"/>
        <w:rPr>
          <w:sz w:val="22"/>
          <w:szCs w:val="22"/>
        </w:rPr>
      </w:pPr>
      <w:r>
        <w:rPr>
          <w:spacing w:val="-12"/>
          <w:sz w:val="22"/>
          <w:szCs w:val="22"/>
        </w:rPr>
        <w:t>9.4.1 承包人在施工过程中，应遵守有关环境保护的法律，履行合同约定的环境保护义务，并</w:t>
      </w:r>
      <w:r>
        <w:rPr>
          <w:spacing w:val="16"/>
          <w:sz w:val="22"/>
          <w:szCs w:val="22"/>
        </w:rPr>
        <w:t xml:space="preserve"> </w:t>
      </w:r>
      <w:r>
        <w:rPr>
          <w:spacing w:val="-10"/>
          <w:sz w:val="22"/>
          <w:szCs w:val="22"/>
        </w:rPr>
        <w:t>对违反法律和合同约定义务所造成的环境破坏、人</w:t>
      </w:r>
      <w:r>
        <w:rPr>
          <w:spacing w:val="-11"/>
          <w:sz w:val="22"/>
          <w:szCs w:val="22"/>
        </w:rPr>
        <w:t>身伤害和财产损失负责。</w:t>
      </w:r>
    </w:p>
    <w:p w14:paraId="0DE50D83">
      <w:pPr>
        <w:pStyle w:val="2"/>
        <w:spacing w:before="149" w:line="219" w:lineRule="auto"/>
        <w:ind w:left="419"/>
        <w:rPr>
          <w:sz w:val="22"/>
          <w:szCs w:val="22"/>
        </w:rPr>
      </w:pPr>
      <w:r>
        <w:rPr>
          <w:spacing w:val="-9"/>
          <w:sz w:val="22"/>
          <w:szCs w:val="22"/>
        </w:rPr>
        <w:t>9.4.2承包人应按合同约定的环保工作内容，编制施工环保措施计划，报送监理人审批。</w:t>
      </w:r>
    </w:p>
    <w:p w14:paraId="334585F5">
      <w:pPr>
        <w:pStyle w:val="2"/>
        <w:spacing w:before="138" w:line="297" w:lineRule="auto"/>
        <w:ind w:firstLine="419"/>
        <w:rPr>
          <w:sz w:val="22"/>
          <w:szCs w:val="22"/>
        </w:rPr>
      </w:pPr>
      <w:r>
        <w:rPr>
          <w:spacing w:val="-12"/>
          <w:sz w:val="22"/>
          <w:szCs w:val="22"/>
        </w:rPr>
        <w:t>9.4.3 承包人应按照批准的施工环保措施计划有序地堆放和处理施工废弃物，避免对环境造成</w:t>
      </w:r>
      <w:r>
        <w:rPr>
          <w:spacing w:val="8"/>
          <w:sz w:val="22"/>
          <w:szCs w:val="22"/>
        </w:rPr>
        <w:t xml:space="preserve">  </w:t>
      </w:r>
      <w:r>
        <w:rPr>
          <w:spacing w:val="-8"/>
          <w:sz w:val="22"/>
          <w:szCs w:val="22"/>
        </w:rPr>
        <w:t>破坏。因承包人任意堆放或弃置施工废弃物造成妨碍公共交通、影响城镇居民生活、</w:t>
      </w:r>
      <w:r>
        <w:rPr>
          <w:spacing w:val="-9"/>
          <w:sz w:val="22"/>
          <w:szCs w:val="22"/>
        </w:rPr>
        <w:t>降低河流行</w:t>
      </w:r>
      <w:r>
        <w:rPr>
          <w:sz w:val="22"/>
          <w:szCs w:val="22"/>
        </w:rPr>
        <w:t xml:space="preserve">  </w:t>
      </w:r>
      <w:r>
        <w:rPr>
          <w:spacing w:val="-10"/>
          <w:sz w:val="22"/>
          <w:szCs w:val="22"/>
        </w:rPr>
        <w:t>洪能力、危及居民安全、破坏周边环境，或者影响其他承包人施工等后果的，承包人应承担责</w:t>
      </w:r>
      <w:r>
        <w:rPr>
          <w:spacing w:val="-11"/>
          <w:sz w:val="22"/>
          <w:szCs w:val="22"/>
        </w:rPr>
        <w:t>任。</w:t>
      </w:r>
    </w:p>
    <w:p w14:paraId="3BC1FDF5">
      <w:pPr>
        <w:pStyle w:val="2"/>
        <w:spacing w:before="149" w:line="269" w:lineRule="auto"/>
        <w:ind w:right="101" w:firstLine="419"/>
        <w:rPr>
          <w:sz w:val="22"/>
          <w:szCs w:val="22"/>
        </w:rPr>
      </w:pPr>
      <w:r>
        <w:rPr>
          <w:spacing w:val="-16"/>
          <w:sz w:val="22"/>
          <w:szCs w:val="22"/>
        </w:rPr>
        <w:t>9.4.4 承包人应按合同约定采取有效措施，对施工开挖的边坡及时</w:t>
      </w:r>
      <w:r>
        <w:rPr>
          <w:spacing w:val="-17"/>
          <w:sz w:val="22"/>
          <w:szCs w:val="22"/>
        </w:rPr>
        <w:t>进行支护，维护排水设施，并</w:t>
      </w:r>
      <w:r>
        <w:rPr>
          <w:sz w:val="22"/>
          <w:szCs w:val="22"/>
        </w:rPr>
        <w:t xml:space="preserve"> </w:t>
      </w:r>
      <w:r>
        <w:rPr>
          <w:spacing w:val="-11"/>
          <w:sz w:val="22"/>
          <w:szCs w:val="22"/>
        </w:rPr>
        <w:t>进行水土保护，避免因施工造成的地质灾害。</w:t>
      </w:r>
    </w:p>
    <w:p w14:paraId="14BA0308">
      <w:pPr>
        <w:pStyle w:val="2"/>
        <w:spacing w:before="128" w:line="289" w:lineRule="auto"/>
        <w:ind w:right="129" w:firstLine="419"/>
        <w:rPr>
          <w:sz w:val="22"/>
          <w:szCs w:val="22"/>
        </w:rPr>
      </w:pPr>
      <w:r>
        <w:rPr>
          <w:spacing w:val="-7"/>
          <w:sz w:val="22"/>
          <w:szCs w:val="22"/>
        </w:rPr>
        <w:t>9.4.5 承包人应按国家饮用水管理标准定期对</w:t>
      </w:r>
      <w:r>
        <w:rPr>
          <w:spacing w:val="-8"/>
          <w:sz w:val="22"/>
          <w:szCs w:val="22"/>
        </w:rPr>
        <w:t>饮用水源进行监测，防止施工活动污染饮用水</w:t>
      </w:r>
      <w:r>
        <w:rPr>
          <w:sz w:val="22"/>
          <w:szCs w:val="22"/>
        </w:rPr>
        <w:t xml:space="preserve"> </w:t>
      </w:r>
      <w:r>
        <w:rPr>
          <w:spacing w:val="-10"/>
          <w:sz w:val="22"/>
          <w:szCs w:val="22"/>
        </w:rPr>
        <w:t>源。</w:t>
      </w:r>
    </w:p>
    <w:p w14:paraId="2CDDF11E">
      <w:pPr>
        <w:pStyle w:val="2"/>
        <w:spacing w:before="133" w:line="273" w:lineRule="auto"/>
        <w:ind w:right="90" w:firstLine="419"/>
        <w:rPr>
          <w:sz w:val="22"/>
          <w:szCs w:val="22"/>
        </w:rPr>
      </w:pPr>
      <w:r>
        <w:rPr>
          <w:spacing w:val="-11"/>
          <w:sz w:val="22"/>
          <w:szCs w:val="22"/>
        </w:rPr>
        <w:t>9.4.6 承包人应按合同约定，加强对噪声、粉尘、废气</w:t>
      </w:r>
      <w:r>
        <w:rPr>
          <w:spacing w:val="-12"/>
          <w:sz w:val="22"/>
          <w:szCs w:val="22"/>
        </w:rPr>
        <w:t>、废水和废油的控制，努力降低噪声，</w:t>
      </w:r>
      <w:r>
        <w:rPr>
          <w:sz w:val="22"/>
          <w:szCs w:val="22"/>
        </w:rPr>
        <w:t xml:space="preserve"> </w:t>
      </w:r>
      <w:r>
        <w:rPr>
          <w:spacing w:val="-11"/>
          <w:sz w:val="22"/>
          <w:szCs w:val="22"/>
        </w:rPr>
        <w:t>控制粉尘和废气浓度，做好废水和废油的治理和排放。</w:t>
      </w:r>
    </w:p>
    <w:p w14:paraId="14AC97FC">
      <w:pPr>
        <w:pStyle w:val="2"/>
        <w:spacing w:before="156" w:line="220" w:lineRule="auto"/>
        <w:ind w:left="2"/>
        <w:rPr>
          <w:sz w:val="22"/>
          <w:szCs w:val="22"/>
        </w:rPr>
      </w:pPr>
      <w:r>
        <w:rPr>
          <w:b/>
          <w:bCs/>
          <w:spacing w:val="1"/>
          <w:sz w:val="22"/>
          <w:szCs w:val="22"/>
        </w:rPr>
        <w:t>9.5</w:t>
      </w:r>
      <w:r>
        <w:rPr>
          <w:spacing w:val="27"/>
          <w:sz w:val="22"/>
          <w:szCs w:val="22"/>
        </w:rPr>
        <w:t xml:space="preserve"> </w:t>
      </w:r>
      <w:r>
        <w:rPr>
          <w:b/>
          <w:bCs/>
          <w:spacing w:val="1"/>
          <w:sz w:val="22"/>
          <w:szCs w:val="22"/>
        </w:rPr>
        <w:t>事故处理</w:t>
      </w:r>
    </w:p>
    <w:p w14:paraId="6001A569">
      <w:pPr>
        <w:pStyle w:val="2"/>
        <w:spacing w:before="111" w:line="348" w:lineRule="auto"/>
        <w:ind w:right="60" w:firstLine="419"/>
        <w:jc w:val="both"/>
        <w:rPr>
          <w:sz w:val="17"/>
          <w:szCs w:val="17"/>
        </w:rPr>
      </w:pPr>
      <w:r>
        <w:rPr>
          <w:spacing w:val="-8"/>
          <w:sz w:val="22"/>
          <w:szCs w:val="22"/>
        </w:rPr>
        <w:t>工程施工过程中发生事故的，承包人</w:t>
      </w:r>
      <w:r>
        <w:rPr>
          <w:spacing w:val="-8"/>
          <w:sz w:val="22"/>
          <w:szCs w:val="22"/>
          <w:u w:val="single" w:color="auto"/>
        </w:rPr>
        <w:t>应立</w:t>
      </w:r>
      <w:r>
        <w:rPr>
          <w:spacing w:val="-8"/>
          <w:sz w:val="22"/>
          <w:szCs w:val="22"/>
        </w:rPr>
        <w:t>即通知监理人，监理人应立即通知发包人。发</w:t>
      </w:r>
      <w:r>
        <w:rPr>
          <w:spacing w:val="-9"/>
          <w:sz w:val="22"/>
          <w:szCs w:val="22"/>
        </w:rPr>
        <w:t>包人</w:t>
      </w:r>
      <w:r>
        <w:rPr>
          <w:sz w:val="22"/>
          <w:szCs w:val="22"/>
        </w:rPr>
        <w:t xml:space="preserve"> </w:t>
      </w:r>
      <w:r>
        <w:rPr>
          <w:spacing w:val="-11"/>
          <w:sz w:val="22"/>
          <w:szCs w:val="22"/>
        </w:rPr>
        <w:t>和承包人应立即组织人员和设备进行紧急抢救和抢修，</w:t>
      </w:r>
      <w:r>
        <w:rPr>
          <w:spacing w:val="-12"/>
          <w:sz w:val="22"/>
          <w:szCs w:val="22"/>
        </w:rPr>
        <w:t>减少人员伤亡和财产损失，防止事故扩大，</w:t>
      </w:r>
      <w:r>
        <w:rPr>
          <w:sz w:val="22"/>
          <w:szCs w:val="22"/>
        </w:rPr>
        <w:t xml:space="preserve"> </w:t>
      </w:r>
      <w:r>
        <w:rPr>
          <w:spacing w:val="-8"/>
          <w:sz w:val="22"/>
          <w:szCs w:val="22"/>
        </w:rPr>
        <w:t>并保护事故现场。需要移动现场物品时，应作出标记和书面记录，妥善保管有关证据。发包人和</w:t>
      </w:r>
      <w:r>
        <w:rPr>
          <w:spacing w:val="2"/>
          <w:sz w:val="22"/>
          <w:szCs w:val="22"/>
        </w:rPr>
        <w:t xml:space="preserve"> </w:t>
      </w:r>
      <w:r>
        <w:rPr>
          <w:spacing w:val="-8"/>
          <w:sz w:val="22"/>
          <w:szCs w:val="22"/>
        </w:rPr>
        <w:t>承包人应按国家有关规定，及时如实地向有关部门报告事故发生的情况，以及正在采取</w:t>
      </w:r>
      <w:r>
        <w:rPr>
          <w:spacing w:val="-9"/>
          <w:sz w:val="22"/>
          <w:szCs w:val="22"/>
        </w:rPr>
        <w:t>的紧急措</w:t>
      </w:r>
      <w:r>
        <w:rPr>
          <w:sz w:val="22"/>
          <w:szCs w:val="22"/>
        </w:rPr>
        <w:t xml:space="preserve"> </w:t>
      </w:r>
      <w:r>
        <w:rPr>
          <w:spacing w:val="-5"/>
          <w:sz w:val="17"/>
          <w:szCs w:val="17"/>
        </w:rPr>
        <w:t>施</w:t>
      </w:r>
      <w:r>
        <w:rPr>
          <w:spacing w:val="-25"/>
          <w:sz w:val="17"/>
          <w:szCs w:val="17"/>
        </w:rPr>
        <w:t xml:space="preserve"> </w:t>
      </w:r>
      <w:r>
        <w:rPr>
          <w:spacing w:val="-5"/>
          <w:sz w:val="17"/>
          <w:szCs w:val="17"/>
        </w:rPr>
        <w:t>等</w:t>
      </w:r>
      <w:r>
        <w:rPr>
          <w:spacing w:val="-32"/>
          <w:sz w:val="17"/>
          <w:szCs w:val="17"/>
        </w:rPr>
        <w:t xml:space="preserve"> </w:t>
      </w:r>
      <w:r>
        <w:rPr>
          <w:spacing w:val="-5"/>
          <w:sz w:val="17"/>
          <w:szCs w:val="17"/>
        </w:rPr>
        <w:t>。</w:t>
      </w:r>
    </w:p>
    <w:p w14:paraId="756692A9">
      <w:pPr>
        <w:spacing w:line="348" w:lineRule="auto"/>
        <w:rPr>
          <w:sz w:val="17"/>
          <w:szCs w:val="17"/>
        </w:rPr>
        <w:sectPr>
          <w:footerReference r:id="rId126" w:type="default"/>
          <w:pgSz w:w="11910" w:h="16840"/>
          <w:pgMar w:top="400" w:right="1429" w:bottom="1024" w:left="1450" w:header="0" w:footer="889" w:gutter="0"/>
          <w:cols w:space="720" w:num="1"/>
        </w:sectPr>
      </w:pPr>
    </w:p>
    <w:p w14:paraId="3097A113">
      <w:pPr>
        <w:spacing w:line="250" w:lineRule="auto"/>
        <w:rPr>
          <w:rFonts w:ascii="Arial"/>
          <w:sz w:val="21"/>
        </w:rPr>
      </w:pPr>
    </w:p>
    <w:p w14:paraId="633CCB58">
      <w:pPr>
        <w:spacing w:line="250" w:lineRule="auto"/>
        <w:rPr>
          <w:rFonts w:ascii="Arial"/>
          <w:sz w:val="21"/>
        </w:rPr>
      </w:pPr>
    </w:p>
    <w:p w14:paraId="7A6C8AE9">
      <w:pPr>
        <w:spacing w:line="251" w:lineRule="auto"/>
        <w:rPr>
          <w:rFonts w:ascii="Arial"/>
          <w:sz w:val="21"/>
        </w:rPr>
      </w:pPr>
    </w:p>
    <w:p w14:paraId="14BAC2A6">
      <w:pPr>
        <w:spacing w:line="251" w:lineRule="auto"/>
        <w:rPr>
          <w:rFonts w:ascii="Arial"/>
          <w:sz w:val="21"/>
        </w:rPr>
      </w:pPr>
    </w:p>
    <w:p w14:paraId="32406610">
      <w:pPr>
        <w:spacing w:line="251" w:lineRule="auto"/>
        <w:rPr>
          <w:rFonts w:ascii="Arial"/>
          <w:sz w:val="21"/>
        </w:rPr>
      </w:pPr>
    </w:p>
    <w:p w14:paraId="55050547">
      <w:pPr>
        <w:pStyle w:val="2"/>
        <w:spacing w:before="95" w:line="222" w:lineRule="auto"/>
        <w:ind w:left="4"/>
        <w:rPr>
          <w:rFonts w:ascii="黑体" w:hAnsi="黑体" w:eastAsia="黑体" w:cs="黑体"/>
          <w:sz w:val="29"/>
          <w:szCs w:val="29"/>
        </w:rPr>
      </w:pPr>
      <w:r>
        <w:rPr>
          <w:b/>
          <w:bCs/>
          <w:spacing w:val="4"/>
          <w:sz w:val="29"/>
          <w:szCs w:val="29"/>
        </w:rPr>
        <w:t>10.</w:t>
      </w:r>
      <w:r>
        <w:rPr>
          <w:rFonts w:ascii="黑体" w:hAnsi="黑体" w:eastAsia="黑体" w:cs="黑体"/>
          <w:b/>
          <w:bCs/>
          <w:spacing w:val="4"/>
          <w:sz w:val="29"/>
          <w:szCs w:val="29"/>
        </w:rPr>
        <w:t>进度计划</w:t>
      </w:r>
    </w:p>
    <w:p w14:paraId="10B256C6">
      <w:pPr>
        <w:pStyle w:val="2"/>
        <w:spacing w:before="100" w:line="222" w:lineRule="auto"/>
        <w:ind w:left="3"/>
        <w:rPr>
          <w:rFonts w:ascii="黑体" w:hAnsi="黑体" w:eastAsia="黑体" w:cs="黑体"/>
          <w:sz w:val="24"/>
          <w:szCs w:val="24"/>
        </w:rPr>
      </w:pPr>
      <w:r>
        <w:rPr>
          <w:b/>
          <w:bCs/>
          <w:spacing w:val="-9"/>
          <w:sz w:val="24"/>
          <w:szCs w:val="24"/>
        </w:rPr>
        <w:t>10.1</w:t>
      </w:r>
      <w:r>
        <w:rPr>
          <w:spacing w:val="-9"/>
          <w:sz w:val="24"/>
          <w:szCs w:val="24"/>
        </w:rPr>
        <w:t xml:space="preserve"> </w:t>
      </w:r>
      <w:r>
        <w:rPr>
          <w:rFonts w:ascii="黑体" w:hAnsi="黑体" w:eastAsia="黑体" w:cs="黑体"/>
          <w:b/>
          <w:bCs/>
          <w:spacing w:val="-9"/>
          <w:sz w:val="24"/>
          <w:szCs w:val="24"/>
        </w:rPr>
        <w:t>合同进度计划</w:t>
      </w:r>
    </w:p>
    <w:p w14:paraId="7A130E6E">
      <w:pPr>
        <w:pStyle w:val="2"/>
        <w:spacing w:before="133" w:line="347" w:lineRule="auto"/>
        <w:ind w:right="4" w:firstLine="409"/>
        <w:jc w:val="both"/>
        <w:rPr>
          <w:sz w:val="21"/>
          <w:szCs w:val="21"/>
        </w:rPr>
      </w:pPr>
      <w:r>
        <w:rPr>
          <w:spacing w:val="2"/>
          <w:sz w:val="21"/>
          <w:szCs w:val="21"/>
        </w:rPr>
        <w:t>承包人应按专用合同条款约定的内容和期限，编制详细的施工进度计划和施工方案说明报送</w:t>
      </w:r>
      <w:r>
        <w:rPr>
          <w:spacing w:val="18"/>
          <w:sz w:val="21"/>
          <w:szCs w:val="21"/>
        </w:rPr>
        <w:t xml:space="preserve"> </w:t>
      </w:r>
      <w:r>
        <w:rPr>
          <w:spacing w:val="2"/>
          <w:sz w:val="21"/>
          <w:szCs w:val="21"/>
        </w:rPr>
        <w:t>监理人。监理人应在专用合同条款约定的期限内批复或提出修改意见，否则该进度计划视为已得</w:t>
      </w:r>
      <w:r>
        <w:rPr>
          <w:spacing w:val="3"/>
          <w:sz w:val="21"/>
          <w:szCs w:val="21"/>
        </w:rPr>
        <w:t xml:space="preserve"> </w:t>
      </w:r>
      <w:r>
        <w:rPr>
          <w:spacing w:val="2"/>
          <w:sz w:val="21"/>
          <w:szCs w:val="21"/>
        </w:rPr>
        <w:t>到批准。经监理人批准的施工进度计划称合同进度计划，是控制合同工程进度的依据。承包人还</w:t>
      </w:r>
      <w:r>
        <w:rPr>
          <w:spacing w:val="3"/>
          <w:sz w:val="21"/>
          <w:szCs w:val="21"/>
        </w:rPr>
        <w:t xml:space="preserve"> </w:t>
      </w:r>
      <w:r>
        <w:rPr>
          <w:sz w:val="21"/>
          <w:szCs w:val="21"/>
        </w:rPr>
        <w:t>应根据合同进度计划，编制更为详细的分阶</w:t>
      </w:r>
      <w:r>
        <w:rPr>
          <w:spacing w:val="-1"/>
          <w:sz w:val="21"/>
          <w:szCs w:val="21"/>
        </w:rPr>
        <w:t>段或分项进度计划，报监理人审批。</w:t>
      </w:r>
    </w:p>
    <w:p w14:paraId="36D25ACE">
      <w:pPr>
        <w:pStyle w:val="2"/>
        <w:spacing w:line="221" w:lineRule="auto"/>
        <w:ind w:left="3"/>
        <w:rPr>
          <w:rFonts w:ascii="黑体" w:hAnsi="黑体" w:eastAsia="黑体" w:cs="黑体"/>
          <w:sz w:val="24"/>
          <w:szCs w:val="24"/>
        </w:rPr>
      </w:pPr>
      <w:r>
        <w:rPr>
          <w:b/>
          <w:bCs/>
          <w:spacing w:val="-8"/>
          <w:sz w:val="24"/>
          <w:szCs w:val="24"/>
        </w:rPr>
        <w:t>10.2</w:t>
      </w:r>
      <w:r>
        <w:rPr>
          <w:spacing w:val="-8"/>
          <w:sz w:val="24"/>
          <w:szCs w:val="24"/>
        </w:rPr>
        <w:t xml:space="preserve"> </w:t>
      </w:r>
      <w:r>
        <w:rPr>
          <w:rFonts w:ascii="黑体" w:hAnsi="黑体" w:eastAsia="黑体" w:cs="黑体"/>
          <w:b/>
          <w:bCs/>
          <w:spacing w:val="-8"/>
          <w:sz w:val="24"/>
          <w:szCs w:val="24"/>
        </w:rPr>
        <w:t>合同进度计划的修订</w:t>
      </w:r>
    </w:p>
    <w:p w14:paraId="5A12B4F4">
      <w:pPr>
        <w:pStyle w:val="2"/>
        <w:spacing w:before="153" w:line="344" w:lineRule="auto"/>
        <w:ind w:right="2" w:firstLine="409"/>
        <w:jc w:val="both"/>
        <w:rPr>
          <w:sz w:val="21"/>
          <w:szCs w:val="21"/>
        </w:rPr>
      </w:pPr>
      <w:r>
        <w:rPr>
          <w:spacing w:val="1"/>
          <w:sz w:val="21"/>
          <w:szCs w:val="21"/>
        </w:rPr>
        <w:t>不论何种原因造成工程的实际进度与第10.1款的合同进度计划不符时，承包人可以在专用合</w:t>
      </w:r>
      <w:r>
        <w:rPr>
          <w:spacing w:val="15"/>
          <w:sz w:val="21"/>
          <w:szCs w:val="21"/>
        </w:rPr>
        <w:t xml:space="preserve"> </w:t>
      </w:r>
      <w:r>
        <w:rPr>
          <w:spacing w:val="2"/>
          <w:sz w:val="21"/>
          <w:szCs w:val="21"/>
        </w:rPr>
        <w:t>同条款约定的期限内向监理人提交修订合同进度计划的申请报告，并附有关措施和相关资料，报</w:t>
      </w:r>
      <w:r>
        <w:rPr>
          <w:spacing w:val="5"/>
          <w:sz w:val="21"/>
          <w:szCs w:val="21"/>
        </w:rPr>
        <w:t xml:space="preserve"> </w:t>
      </w:r>
      <w:r>
        <w:rPr>
          <w:spacing w:val="2"/>
          <w:sz w:val="21"/>
          <w:szCs w:val="21"/>
        </w:rPr>
        <w:t>监理人审批；监理人也可以直接向承包人作出修订合同进度计划的指示，承包人应按该指示修订</w:t>
      </w:r>
      <w:r>
        <w:rPr>
          <w:spacing w:val="6"/>
          <w:sz w:val="21"/>
          <w:szCs w:val="21"/>
        </w:rPr>
        <w:t xml:space="preserve"> </w:t>
      </w:r>
      <w:r>
        <w:rPr>
          <w:spacing w:val="2"/>
          <w:sz w:val="21"/>
          <w:szCs w:val="21"/>
        </w:rPr>
        <w:t>合同进度计划，报监理人审批。监理人应在专用合同条款约定的期限内批复。监理人在批复前应</w:t>
      </w:r>
      <w:r>
        <w:rPr>
          <w:spacing w:val="4"/>
          <w:sz w:val="21"/>
          <w:szCs w:val="21"/>
        </w:rPr>
        <w:t xml:space="preserve"> </w:t>
      </w:r>
      <w:r>
        <w:rPr>
          <w:spacing w:val="-5"/>
          <w:sz w:val="21"/>
          <w:szCs w:val="21"/>
        </w:rPr>
        <w:t>获得发包人同意。</w:t>
      </w:r>
    </w:p>
    <w:p w14:paraId="67510FDE">
      <w:pPr>
        <w:pStyle w:val="2"/>
        <w:spacing w:before="62" w:line="221" w:lineRule="auto"/>
        <w:ind w:left="4"/>
        <w:rPr>
          <w:rFonts w:ascii="黑体" w:hAnsi="黑体" w:eastAsia="黑体" w:cs="黑体"/>
          <w:sz w:val="29"/>
          <w:szCs w:val="29"/>
        </w:rPr>
      </w:pPr>
      <w:r>
        <w:rPr>
          <w:b/>
          <w:bCs/>
          <w:sz w:val="29"/>
          <w:szCs w:val="29"/>
        </w:rPr>
        <w:t>11.</w:t>
      </w:r>
      <w:r>
        <w:rPr>
          <w:rFonts w:ascii="黑体" w:hAnsi="黑体" w:eastAsia="黑体" w:cs="黑体"/>
          <w:b/>
          <w:bCs/>
          <w:sz w:val="29"/>
          <w:szCs w:val="29"/>
        </w:rPr>
        <w:t>开工和竣工</w:t>
      </w:r>
    </w:p>
    <w:p w14:paraId="7B4E4ADB">
      <w:pPr>
        <w:spacing w:before="97" w:line="224" w:lineRule="auto"/>
        <w:ind w:left="3"/>
        <w:rPr>
          <w:rFonts w:ascii="黑体" w:hAnsi="黑体" w:eastAsia="黑体" w:cs="黑体"/>
          <w:sz w:val="24"/>
          <w:szCs w:val="24"/>
        </w:rPr>
      </w:pPr>
      <w:r>
        <w:rPr>
          <w:rFonts w:ascii="黑体" w:hAnsi="黑体" w:eastAsia="黑体" w:cs="黑体"/>
          <w:b/>
          <w:bCs/>
          <w:spacing w:val="6"/>
          <w:sz w:val="24"/>
          <w:szCs w:val="24"/>
        </w:rPr>
        <w:t>11.1开工</w:t>
      </w:r>
    </w:p>
    <w:p w14:paraId="09F69671">
      <w:pPr>
        <w:pStyle w:val="2"/>
        <w:spacing w:before="117" w:line="314" w:lineRule="auto"/>
        <w:ind w:firstLine="409"/>
        <w:rPr>
          <w:sz w:val="21"/>
          <w:szCs w:val="21"/>
        </w:rPr>
      </w:pPr>
      <w:r>
        <w:rPr>
          <w:spacing w:val="2"/>
          <w:sz w:val="21"/>
          <w:szCs w:val="21"/>
        </w:rPr>
        <w:t>11.1.1 监理人应在开工日期7天前向承包人发出开工通知。监理人在发出开工通知前应获得</w:t>
      </w:r>
      <w:r>
        <w:rPr>
          <w:spacing w:val="9"/>
          <w:sz w:val="21"/>
          <w:szCs w:val="21"/>
        </w:rPr>
        <w:t xml:space="preserve"> </w:t>
      </w:r>
      <w:r>
        <w:rPr>
          <w:spacing w:val="2"/>
          <w:sz w:val="21"/>
          <w:szCs w:val="21"/>
        </w:rPr>
        <w:t>发包人同意。工期自监理人发出的开工通知中载明的开工日期起计算。承包人应在开工日期后尽</w:t>
      </w:r>
      <w:r>
        <w:rPr>
          <w:spacing w:val="8"/>
          <w:sz w:val="21"/>
          <w:szCs w:val="21"/>
        </w:rPr>
        <w:t xml:space="preserve"> </w:t>
      </w:r>
      <w:r>
        <w:rPr>
          <w:spacing w:val="-8"/>
          <w:sz w:val="21"/>
          <w:szCs w:val="21"/>
        </w:rPr>
        <w:t>快施工。</w:t>
      </w:r>
    </w:p>
    <w:p w14:paraId="175C9479">
      <w:pPr>
        <w:pStyle w:val="2"/>
        <w:spacing w:before="147" w:line="308" w:lineRule="auto"/>
        <w:ind w:right="4" w:firstLine="409"/>
        <w:rPr>
          <w:sz w:val="21"/>
          <w:szCs w:val="21"/>
        </w:rPr>
      </w:pPr>
      <w:r>
        <w:rPr>
          <w:sz w:val="21"/>
          <w:szCs w:val="21"/>
        </w:rPr>
        <w:t>11.1.2 承包人应按第10.1款约定的合同进度计划，向监理人提交工程开工报</w:t>
      </w:r>
      <w:r>
        <w:rPr>
          <w:spacing w:val="-1"/>
          <w:sz w:val="21"/>
          <w:szCs w:val="21"/>
        </w:rPr>
        <w:t>审表，经监理人</w:t>
      </w:r>
      <w:r>
        <w:rPr>
          <w:sz w:val="21"/>
          <w:szCs w:val="21"/>
        </w:rPr>
        <w:t xml:space="preserve"> </w:t>
      </w:r>
      <w:r>
        <w:rPr>
          <w:spacing w:val="2"/>
          <w:sz w:val="21"/>
          <w:szCs w:val="21"/>
        </w:rPr>
        <w:t xml:space="preserve">审批后执行。开工报审表应详细说明按合同进度计划正常施工所需的施工道路、临时设施、材料 </w:t>
      </w:r>
      <w:r>
        <w:rPr>
          <w:spacing w:val="-2"/>
          <w:sz w:val="21"/>
          <w:szCs w:val="21"/>
        </w:rPr>
        <w:t>设备、施工人员等施工组织措施的落实情况以及工程的进度安排。</w:t>
      </w:r>
    </w:p>
    <w:p w14:paraId="68A46FE5">
      <w:pPr>
        <w:pStyle w:val="2"/>
        <w:spacing w:before="116" w:line="221" w:lineRule="auto"/>
        <w:ind w:left="3"/>
        <w:rPr>
          <w:rFonts w:ascii="黑体" w:hAnsi="黑体" w:eastAsia="黑体" w:cs="黑体"/>
          <w:sz w:val="24"/>
          <w:szCs w:val="24"/>
        </w:rPr>
      </w:pPr>
      <w:r>
        <w:rPr>
          <w:b/>
          <w:bCs/>
          <w:spacing w:val="-12"/>
          <w:sz w:val="24"/>
          <w:szCs w:val="24"/>
        </w:rPr>
        <w:t>11.2</w:t>
      </w:r>
      <w:r>
        <w:rPr>
          <w:spacing w:val="-12"/>
          <w:sz w:val="24"/>
          <w:szCs w:val="24"/>
        </w:rPr>
        <w:t xml:space="preserve"> </w:t>
      </w:r>
      <w:r>
        <w:rPr>
          <w:rFonts w:ascii="黑体" w:hAnsi="黑体" w:eastAsia="黑体" w:cs="黑体"/>
          <w:b/>
          <w:bCs/>
          <w:spacing w:val="-12"/>
          <w:sz w:val="24"/>
          <w:szCs w:val="24"/>
        </w:rPr>
        <w:t>竣工</w:t>
      </w:r>
    </w:p>
    <w:p w14:paraId="37E1B3E5">
      <w:pPr>
        <w:pStyle w:val="2"/>
        <w:spacing w:before="146" w:line="219" w:lineRule="auto"/>
        <w:ind w:left="409"/>
        <w:rPr>
          <w:sz w:val="21"/>
          <w:szCs w:val="21"/>
        </w:rPr>
      </w:pPr>
      <w:r>
        <w:rPr>
          <w:spacing w:val="-1"/>
          <w:sz w:val="21"/>
          <w:szCs w:val="21"/>
        </w:rPr>
        <w:t>承包人应在第1.1.4.3目约定的期限内完成合同工程。实际竣工日期在接收证书中写明。</w:t>
      </w:r>
    </w:p>
    <w:p w14:paraId="6A4D1DF1">
      <w:pPr>
        <w:pStyle w:val="2"/>
        <w:spacing w:before="128" w:line="221" w:lineRule="auto"/>
        <w:ind w:left="3"/>
        <w:rPr>
          <w:rFonts w:ascii="黑体" w:hAnsi="黑体" w:eastAsia="黑体" w:cs="黑体"/>
          <w:sz w:val="24"/>
          <w:szCs w:val="24"/>
        </w:rPr>
      </w:pPr>
      <w:r>
        <w:rPr>
          <w:b/>
          <w:bCs/>
          <w:spacing w:val="-8"/>
          <w:sz w:val="24"/>
          <w:szCs w:val="24"/>
        </w:rPr>
        <w:t>11.3</w:t>
      </w:r>
      <w:r>
        <w:rPr>
          <w:spacing w:val="-8"/>
          <w:sz w:val="24"/>
          <w:szCs w:val="24"/>
        </w:rPr>
        <w:t xml:space="preserve"> </w:t>
      </w:r>
      <w:r>
        <w:rPr>
          <w:rFonts w:ascii="黑体" w:hAnsi="黑体" w:eastAsia="黑体" w:cs="黑体"/>
          <w:b/>
          <w:bCs/>
          <w:spacing w:val="-8"/>
          <w:sz w:val="24"/>
          <w:szCs w:val="24"/>
        </w:rPr>
        <w:t>发包人的工期延误</w:t>
      </w:r>
    </w:p>
    <w:p w14:paraId="5AF600F8">
      <w:pPr>
        <w:pStyle w:val="2"/>
        <w:spacing w:before="126" w:line="352" w:lineRule="auto"/>
        <w:ind w:right="8" w:firstLine="409"/>
        <w:rPr>
          <w:sz w:val="21"/>
          <w:szCs w:val="21"/>
        </w:rPr>
      </w:pPr>
      <w:r>
        <w:rPr>
          <w:spacing w:val="2"/>
          <w:sz w:val="21"/>
          <w:szCs w:val="21"/>
        </w:rPr>
        <w:t>在履行合同过程中，由于发包人的下列原因造成工期延误的，承包人有权要求发包人延长工</w:t>
      </w:r>
      <w:r>
        <w:rPr>
          <w:sz w:val="21"/>
          <w:szCs w:val="21"/>
        </w:rPr>
        <w:t xml:space="preserve"> </w:t>
      </w:r>
      <w:r>
        <w:rPr>
          <w:spacing w:val="7"/>
          <w:sz w:val="21"/>
          <w:szCs w:val="21"/>
        </w:rPr>
        <w:t>期和(或)增加费用，并支付合理利润。需要修订合同进度计划的，</w:t>
      </w:r>
      <w:r>
        <w:rPr>
          <w:spacing w:val="6"/>
          <w:sz w:val="21"/>
          <w:szCs w:val="21"/>
        </w:rPr>
        <w:t>按照第10.2款的约定办理。</w:t>
      </w:r>
    </w:p>
    <w:p w14:paraId="2D1CDBEE">
      <w:pPr>
        <w:pStyle w:val="2"/>
        <w:spacing w:line="219" w:lineRule="auto"/>
        <w:ind w:left="409"/>
        <w:rPr>
          <w:sz w:val="21"/>
          <w:szCs w:val="21"/>
        </w:rPr>
      </w:pPr>
      <w:r>
        <w:rPr>
          <w:spacing w:val="6"/>
          <w:sz w:val="21"/>
          <w:szCs w:val="21"/>
        </w:rPr>
        <w:t>(1)增加合同工作内容；</w:t>
      </w:r>
    </w:p>
    <w:p w14:paraId="38E65F88">
      <w:pPr>
        <w:pStyle w:val="2"/>
        <w:spacing w:before="151" w:line="219" w:lineRule="auto"/>
        <w:ind w:left="409"/>
        <w:rPr>
          <w:sz w:val="21"/>
          <w:szCs w:val="21"/>
        </w:rPr>
      </w:pPr>
      <w:r>
        <w:rPr>
          <w:spacing w:val="3"/>
          <w:sz w:val="21"/>
          <w:szCs w:val="21"/>
        </w:rPr>
        <w:t>(2)改变合同中任何一项工作的质量要求或其他特性；</w:t>
      </w:r>
    </w:p>
    <w:p w14:paraId="57FFA433">
      <w:pPr>
        <w:pStyle w:val="2"/>
        <w:spacing w:before="149" w:line="219" w:lineRule="auto"/>
        <w:ind w:left="409"/>
        <w:rPr>
          <w:sz w:val="21"/>
          <w:szCs w:val="21"/>
        </w:rPr>
      </w:pPr>
      <w:r>
        <w:rPr>
          <w:spacing w:val="3"/>
          <w:sz w:val="21"/>
          <w:szCs w:val="21"/>
        </w:rPr>
        <w:t>(3)发包人迟延提供材料、工程设备或变更交货地点的；</w:t>
      </w:r>
    </w:p>
    <w:p w14:paraId="55601E43">
      <w:pPr>
        <w:pStyle w:val="2"/>
        <w:spacing w:before="163" w:line="220" w:lineRule="auto"/>
        <w:ind w:left="409"/>
        <w:rPr>
          <w:sz w:val="21"/>
          <w:szCs w:val="21"/>
        </w:rPr>
      </w:pPr>
      <w:r>
        <w:rPr>
          <w:spacing w:val="4"/>
          <w:sz w:val="21"/>
          <w:szCs w:val="21"/>
        </w:rPr>
        <w:t>(4)因发包人原因导致的暂停施工；</w:t>
      </w:r>
    </w:p>
    <w:p w14:paraId="588730BF">
      <w:pPr>
        <w:pStyle w:val="2"/>
        <w:spacing w:before="148" w:line="219" w:lineRule="auto"/>
        <w:ind w:left="409"/>
        <w:rPr>
          <w:sz w:val="21"/>
          <w:szCs w:val="21"/>
        </w:rPr>
      </w:pPr>
      <w:r>
        <w:rPr>
          <w:spacing w:val="7"/>
          <w:sz w:val="21"/>
          <w:szCs w:val="21"/>
        </w:rPr>
        <w:t>(5)提供图纸延误；</w:t>
      </w:r>
    </w:p>
    <w:p w14:paraId="5F94011D">
      <w:pPr>
        <w:pStyle w:val="2"/>
        <w:spacing w:before="142" w:line="219" w:lineRule="auto"/>
        <w:ind w:left="409"/>
        <w:rPr>
          <w:sz w:val="21"/>
          <w:szCs w:val="21"/>
        </w:rPr>
      </w:pPr>
      <w:r>
        <w:rPr>
          <w:spacing w:val="3"/>
          <w:sz w:val="21"/>
          <w:szCs w:val="21"/>
        </w:rPr>
        <w:t>(6)未按合同约定及时支付预付款、进度款；</w:t>
      </w:r>
    </w:p>
    <w:p w14:paraId="79E47C66">
      <w:pPr>
        <w:pStyle w:val="2"/>
        <w:spacing w:before="162" w:line="220" w:lineRule="auto"/>
        <w:ind w:left="409"/>
        <w:rPr>
          <w:sz w:val="21"/>
          <w:szCs w:val="21"/>
        </w:rPr>
      </w:pPr>
      <w:r>
        <w:rPr>
          <w:spacing w:val="4"/>
          <w:sz w:val="21"/>
          <w:szCs w:val="21"/>
        </w:rPr>
        <w:t>(7)发包人造成工期延误的其他原因。</w:t>
      </w:r>
    </w:p>
    <w:p w14:paraId="7BF7D4AD">
      <w:pPr>
        <w:spacing w:line="220" w:lineRule="auto"/>
        <w:rPr>
          <w:sz w:val="21"/>
          <w:szCs w:val="21"/>
        </w:rPr>
        <w:sectPr>
          <w:footerReference r:id="rId127" w:type="default"/>
          <w:pgSz w:w="11910" w:h="16840"/>
          <w:pgMar w:top="400" w:right="1536" w:bottom="1017" w:left="1460" w:header="0" w:footer="891" w:gutter="0"/>
          <w:cols w:space="720" w:num="1"/>
        </w:sectPr>
      </w:pPr>
    </w:p>
    <w:p w14:paraId="0B75DF11">
      <w:pPr>
        <w:spacing w:line="263" w:lineRule="auto"/>
        <w:rPr>
          <w:rFonts w:ascii="Arial"/>
          <w:sz w:val="21"/>
        </w:rPr>
      </w:pPr>
    </w:p>
    <w:p w14:paraId="7EE41381">
      <w:pPr>
        <w:spacing w:line="263" w:lineRule="auto"/>
        <w:rPr>
          <w:rFonts w:ascii="Arial"/>
          <w:sz w:val="21"/>
        </w:rPr>
      </w:pPr>
    </w:p>
    <w:p w14:paraId="4FB851E7">
      <w:pPr>
        <w:spacing w:line="264" w:lineRule="auto"/>
        <w:rPr>
          <w:rFonts w:ascii="Arial"/>
          <w:sz w:val="21"/>
        </w:rPr>
      </w:pPr>
    </w:p>
    <w:p w14:paraId="2FD1468E">
      <w:pPr>
        <w:spacing w:line="264" w:lineRule="auto"/>
        <w:rPr>
          <w:rFonts w:ascii="Arial"/>
          <w:sz w:val="21"/>
        </w:rPr>
      </w:pPr>
    </w:p>
    <w:p w14:paraId="6EFFBCB6">
      <w:pPr>
        <w:spacing w:line="264" w:lineRule="auto"/>
        <w:rPr>
          <w:rFonts w:ascii="Arial"/>
          <w:sz w:val="21"/>
        </w:rPr>
      </w:pPr>
    </w:p>
    <w:p w14:paraId="2A3C5CCB">
      <w:pPr>
        <w:pStyle w:val="2"/>
        <w:spacing w:before="78" w:line="221" w:lineRule="auto"/>
        <w:ind w:left="3"/>
        <w:rPr>
          <w:rFonts w:ascii="黑体" w:hAnsi="黑体" w:eastAsia="黑体" w:cs="黑体"/>
          <w:sz w:val="24"/>
          <w:szCs w:val="24"/>
        </w:rPr>
      </w:pPr>
      <w:r>
        <w:rPr>
          <w:b/>
          <w:bCs/>
          <w:spacing w:val="-8"/>
          <w:sz w:val="24"/>
          <w:szCs w:val="24"/>
        </w:rPr>
        <w:t>11.4</w:t>
      </w:r>
      <w:r>
        <w:rPr>
          <w:spacing w:val="-8"/>
          <w:sz w:val="24"/>
          <w:szCs w:val="24"/>
        </w:rPr>
        <w:t xml:space="preserve"> </w:t>
      </w:r>
      <w:r>
        <w:rPr>
          <w:rFonts w:ascii="黑体" w:hAnsi="黑体" w:eastAsia="黑体" w:cs="黑体"/>
          <w:b/>
          <w:bCs/>
          <w:spacing w:val="-8"/>
          <w:sz w:val="24"/>
          <w:szCs w:val="24"/>
        </w:rPr>
        <w:t>异常恶劣的气候条件</w:t>
      </w:r>
    </w:p>
    <w:p w14:paraId="7D90C2E4">
      <w:pPr>
        <w:pStyle w:val="2"/>
        <w:spacing w:before="165" w:line="336" w:lineRule="auto"/>
        <w:ind w:right="68" w:firstLine="379"/>
        <w:rPr>
          <w:sz w:val="20"/>
          <w:szCs w:val="20"/>
        </w:rPr>
      </w:pPr>
      <w:r>
        <w:rPr>
          <w:spacing w:val="8"/>
          <w:sz w:val="20"/>
          <w:szCs w:val="20"/>
        </w:rPr>
        <w:t>由于出现专用合同条款规定的异常恶劣气候的条件导致工期延误的，承包人有权要求发包人延</w:t>
      </w:r>
      <w:r>
        <w:rPr>
          <w:spacing w:val="12"/>
          <w:sz w:val="20"/>
          <w:szCs w:val="20"/>
        </w:rPr>
        <w:t xml:space="preserve"> </w:t>
      </w:r>
      <w:r>
        <w:rPr>
          <w:spacing w:val="2"/>
          <w:sz w:val="20"/>
          <w:szCs w:val="20"/>
        </w:rPr>
        <w:t>长工期。</w:t>
      </w:r>
    </w:p>
    <w:p w14:paraId="772E6B8F">
      <w:pPr>
        <w:pStyle w:val="2"/>
        <w:spacing w:line="221" w:lineRule="auto"/>
        <w:ind w:left="3"/>
        <w:rPr>
          <w:rFonts w:ascii="黑体" w:hAnsi="黑体" w:eastAsia="黑体" w:cs="黑体"/>
          <w:sz w:val="24"/>
          <w:szCs w:val="24"/>
        </w:rPr>
      </w:pPr>
      <w:r>
        <w:rPr>
          <w:b/>
          <w:bCs/>
          <w:spacing w:val="-8"/>
          <w:sz w:val="24"/>
          <w:szCs w:val="24"/>
        </w:rPr>
        <w:t>11.5</w:t>
      </w:r>
      <w:r>
        <w:rPr>
          <w:spacing w:val="-8"/>
          <w:sz w:val="24"/>
          <w:szCs w:val="24"/>
        </w:rPr>
        <w:t xml:space="preserve"> </w:t>
      </w:r>
      <w:r>
        <w:rPr>
          <w:rFonts w:ascii="黑体" w:hAnsi="黑体" w:eastAsia="黑体" w:cs="黑体"/>
          <w:b/>
          <w:bCs/>
          <w:spacing w:val="-8"/>
          <w:sz w:val="24"/>
          <w:szCs w:val="24"/>
        </w:rPr>
        <w:t>承包人的工期延误</w:t>
      </w:r>
    </w:p>
    <w:p w14:paraId="10549067">
      <w:pPr>
        <w:pStyle w:val="2"/>
        <w:spacing w:before="165" w:line="364" w:lineRule="auto"/>
        <w:ind w:firstLine="419"/>
        <w:jc w:val="both"/>
        <w:rPr>
          <w:sz w:val="20"/>
          <w:szCs w:val="20"/>
        </w:rPr>
      </w:pPr>
      <w:r>
        <w:rPr>
          <w:spacing w:val="12"/>
          <w:sz w:val="20"/>
          <w:szCs w:val="20"/>
        </w:rPr>
        <w:t>由于承包人原因，未能按合同进度计划完成工作，或监理人认为承包人施工进度不能</w:t>
      </w:r>
      <w:r>
        <w:rPr>
          <w:spacing w:val="11"/>
          <w:sz w:val="20"/>
          <w:szCs w:val="20"/>
        </w:rPr>
        <w:t>满足合</w:t>
      </w:r>
      <w:r>
        <w:rPr>
          <w:sz w:val="20"/>
          <w:szCs w:val="20"/>
        </w:rPr>
        <w:t xml:space="preserve">  </w:t>
      </w:r>
      <w:r>
        <w:rPr>
          <w:spacing w:val="12"/>
          <w:sz w:val="20"/>
          <w:szCs w:val="20"/>
        </w:rPr>
        <w:t>同工期要求的，承包人应采取措施加快进度，并承担加快进度所增加的费用。</w:t>
      </w:r>
      <w:r>
        <w:rPr>
          <w:spacing w:val="11"/>
          <w:sz w:val="20"/>
          <w:szCs w:val="20"/>
        </w:rPr>
        <w:t>由于承包人原因造</w:t>
      </w:r>
      <w:r>
        <w:rPr>
          <w:sz w:val="20"/>
          <w:szCs w:val="20"/>
        </w:rPr>
        <w:t xml:space="preserve">  </w:t>
      </w:r>
      <w:r>
        <w:rPr>
          <w:spacing w:val="9"/>
          <w:sz w:val="20"/>
          <w:szCs w:val="20"/>
        </w:rPr>
        <w:t>成工期延误，承包人应支付逾期竣工违约金。逾期竣工违约金的计算方法在专用合同条款中约定。</w:t>
      </w:r>
      <w:r>
        <w:rPr>
          <w:spacing w:val="2"/>
          <w:sz w:val="20"/>
          <w:szCs w:val="20"/>
        </w:rPr>
        <w:t xml:space="preserve"> </w:t>
      </w:r>
      <w:r>
        <w:rPr>
          <w:spacing w:val="10"/>
          <w:sz w:val="20"/>
          <w:szCs w:val="20"/>
        </w:rPr>
        <w:t>承包人支付逾期竣工违约金，不免除承包人完</w:t>
      </w:r>
      <w:r>
        <w:rPr>
          <w:spacing w:val="9"/>
          <w:sz w:val="20"/>
          <w:szCs w:val="20"/>
        </w:rPr>
        <w:t>成工程及修补缺陷的义务。</w:t>
      </w:r>
    </w:p>
    <w:p w14:paraId="447152C8">
      <w:pPr>
        <w:pStyle w:val="2"/>
        <w:spacing w:line="222" w:lineRule="auto"/>
        <w:ind w:left="3"/>
        <w:rPr>
          <w:rFonts w:ascii="黑体" w:hAnsi="黑体" w:eastAsia="黑体" w:cs="黑体"/>
          <w:sz w:val="24"/>
          <w:szCs w:val="24"/>
        </w:rPr>
      </w:pPr>
      <w:r>
        <w:rPr>
          <w:b/>
          <w:bCs/>
          <w:spacing w:val="-12"/>
          <w:sz w:val="24"/>
          <w:szCs w:val="24"/>
        </w:rPr>
        <w:t>11.6</w:t>
      </w:r>
      <w:r>
        <w:rPr>
          <w:spacing w:val="17"/>
          <w:sz w:val="24"/>
          <w:szCs w:val="24"/>
        </w:rPr>
        <w:t xml:space="preserve"> </w:t>
      </w:r>
      <w:r>
        <w:rPr>
          <w:rFonts w:ascii="黑体" w:hAnsi="黑体" w:eastAsia="黑体" w:cs="黑体"/>
          <w:b/>
          <w:bCs/>
          <w:spacing w:val="-12"/>
          <w:sz w:val="24"/>
          <w:szCs w:val="24"/>
        </w:rPr>
        <w:t>工期提前</w:t>
      </w:r>
    </w:p>
    <w:p w14:paraId="242F9644">
      <w:pPr>
        <w:pStyle w:val="2"/>
        <w:spacing w:before="122" w:line="379" w:lineRule="auto"/>
        <w:ind w:right="76" w:firstLine="419"/>
        <w:jc w:val="both"/>
        <w:rPr>
          <w:sz w:val="20"/>
          <w:szCs w:val="20"/>
        </w:rPr>
      </w:pPr>
      <w:r>
        <w:rPr>
          <w:spacing w:val="12"/>
          <w:sz w:val="20"/>
          <w:szCs w:val="20"/>
        </w:rPr>
        <w:t>发包人要求承包人提前竣工，或承包人提出提前竣工的建议能够给发包人带来效益的，应由 监理人与承包人共同协商采取加快工程进度的措施和修订合同进度计划。发包人应承担承包人由</w:t>
      </w:r>
      <w:r>
        <w:rPr>
          <w:spacing w:val="8"/>
          <w:sz w:val="20"/>
          <w:szCs w:val="20"/>
        </w:rPr>
        <w:t xml:space="preserve"> </w:t>
      </w:r>
      <w:r>
        <w:rPr>
          <w:spacing w:val="9"/>
          <w:sz w:val="20"/>
          <w:szCs w:val="20"/>
        </w:rPr>
        <w:t>此增加的费用，并向承包人支付专用合同条款约定的相</w:t>
      </w:r>
      <w:r>
        <w:rPr>
          <w:spacing w:val="8"/>
          <w:sz w:val="20"/>
          <w:szCs w:val="20"/>
        </w:rPr>
        <w:t>应奖金。</w:t>
      </w:r>
    </w:p>
    <w:p w14:paraId="3C274B5A">
      <w:pPr>
        <w:pStyle w:val="2"/>
        <w:spacing w:line="223" w:lineRule="auto"/>
        <w:ind w:left="4"/>
        <w:rPr>
          <w:rFonts w:ascii="黑体" w:hAnsi="黑体" w:eastAsia="黑体" w:cs="黑体"/>
          <w:sz w:val="29"/>
          <w:szCs w:val="29"/>
        </w:rPr>
      </w:pPr>
      <w:r>
        <w:rPr>
          <w:b/>
          <w:bCs/>
          <w:spacing w:val="-6"/>
          <w:sz w:val="29"/>
          <w:szCs w:val="29"/>
        </w:rPr>
        <w:t>12.</w:t>
      </w:r>
      <w:r>
        <w:rPr>
          <w:spacing w:val="-77"/>
          <w:sz w:val="29"/>
          <w:szCs w:val="29"/>
        </w:rPr>
        <w:t xml:space="preserve"> </w:t>
      </w:r>
      <w:r>
        <w:rPr>
          <w:rFonts w:ascii="黑体" w:hAnsi="黑体" w:eastAsia="黑体" w:cs="黑体"/>
          <w:b/>
          <w:bCs/>
          <w:spacing w:val="-6"/>
          <w:sz w:val="29"/>
          <w:szCs w:val="29"/>
        </w:rPr>
        <w:t>暂停施工</w:t>
      </w:r>
    </w:p>
    <w:p w14:paraId="3A8D3DFE">
      <w:pPr>
        <w:spacing w:before="95" w:line="221" w:lineRule="auto"/>
        <w:ind w:left="3"/>
        <w:rPr>
          <w:rFonts w:ascii="黑体" w:hAnsi="黑体" w:eastAsia="黑体" w:cs="黑体"/>
          <w:sz w:val="24"/>
          <w:szCs w:val="24"/>
        </w:rPr>
      </w:pPr>
      <w:r>
        <w:rPr>
          <w:rFonts w:ascii="黑体" w:hAnsi="黑体" w:eastAsia="黑体" w:cs="黑体"/>
          <w:b/>
          <w:bCs/>
          <w:spacing w:val="1"/>
          <w:sz w:val="24"/>
          <w:szCs w:val="24"/>
        </w:rPr>
        <w:t>12.1承包人暂停施工的责任</w:t>
      </w:r>
    </w:p>
    <w:p w14:paraId="3C62973A">
      <w:pPr>
        <w:pStyle w:val="2"/>
        <w:spacing w:before="137" w:line="219" w:lineRule="auto"/>
        <w:ind w:left="419"/>
        <w:rPr>
          <w:sz w:val="20"/>
          <w:szCs w:val="20"/>
        </w:rPr>
      </w:pPr>
      <w:r>
        <w:rPr>
          <w:spacing w:val="16"/>
          <w:sz w:val="20"/>
          <w:szCs w:val="20"/>
        </w:rPr>
        <w:t>因下列暂停施工增加的费用和(或)工期延误由承包</w:t>
      </w:r>
      <w:r>
        <w:rPr>
          <w:spacing w:val="15"/>
          <w:sz w:val="20"/>
          <w:szCs w:val="20"/>
        </w:rPr>
        <w:t>人承担：</w:t>
      </w:r>
    </w:p>
    <w:p w14:paraId="2CF3ED9C">
      <w:pPr>
        <w:pStyle w:val="2"/>
        <w:spacing w:before="173" w:line="219" w:lineRule="auto"/>
        <w:ind w:left="419"/>
        <w:rPr>
          <w:sz w:val="20"/>
          <w:szCs w:val="20"/>
        </w:rPr>
      </w:pPr>
      <w:r>
        <w:rPr>
          <w:spacing w:val="12"/>
          <w:sz w:val="20"/>
          <w:szCs w:val="20"/>
        </w:rPr>
        <w:t>(1)承包人违约引起的暂停施工；</w:t>
      </w:r>
    </w:p>
    <w:p w14:paraId="01FF46E1">
      <w:pPr>
        <w:pStyle w:val="2"/>
        <w:spacing w:before="182" w:line="219" w:lineRule="auto"/>
        <w:ind w:left="419"/>
        <w:rPr>
          <w:sz w:val="20"/>
          <w:szCs w:val="20"/>
        </w:rPr>
      </w:pPr>
      <w:r>
        <w:rPr>
          <w:spacing w:val="12"/>
          <w:sz w:val="20"/>
          <w:szCs w:val="20"/>
        </w:rPr>
        <w:t>(2)由于承包人原因为工程合理施工和安全保障所必需的暂</w:t>
      </w:r>
      <w:r>
        <w:rPr>
          <w:spacing w:val="11"/>
          <w:sz w:val="20"/>
          <w:szCs w:val="20"/>
        </w:rPr>
        <w:t>停施工；</w:t>
      </w:r>
    </w:p>
    <w:p w14:paraId="3A190D26">
      <w:pPr>
        <w:pStyle w:val="2"/>
        <w:spacing w:before="143" w:line="219" w:lineRule="auto"/>
        <w:ind w:left="419"/>
        <w:rPr>
          <w:sz w:val="20"/>
          <w:szCs w:val="20"/>
        </w:rPr>
      </w:pPr>
      <w:r>
        <w:rPr>
          <w:spacing w:val="13"/>
          <w:sz w:val="20"/>
          <w:szCs w:val="20"/>
        </w:rPr>
        <w:t>(3)承包人擅自暂停施工；</w:t>
      </w:r>
    </w:p>
    <w:p w14:paraId="25A2C64C">
      <w:pPr>
        <w:pStyle w:val="2"/>
        <w:spacing w:before="173" w:line="219" w:lineRule="auto"/>
        <w:ind w:left="419"/>
        <w:rPr>
          <w:sz w:val="20"/>
          <w:szCs w:val="20"/>
        </w:rPr>
      </w:pPr>
      <w:r>
        <w:rPr>
          <w:spacing w:val="12"/>
          <w:sz w:val="20"/>
          <w:szCs w:val="20"/>
        </w:rPr>
        <w:t>(4)承包人其他原因引起的暂停施工；</w:t>
      </w:r>
    </w:p>
    <w:p w14:paraId="722706E1">
      <w:pPr>
        <w:pStyle w:val="2"/>
        <w:spacing w:before="173" w:line="219" w:lineRule="auto"/>
        <w:ind w:left="419"/>
        <w:rPr>
          <w:sz w:val="20"/>
          <w:szCs w:val="20"/>
        </w:rPr>
      </w:pPr>
      <w:r>
        <w:rPr>
          <w:spacing w:val="13"/>
          <w:sz w:val="20"/>
          <w:szCs w:val="20"/>
        </w:rPr>
        <w:t>(5)专用合同条款约定由承包人承担的其</w:t>
      </w:r>
      <w:r>
        <w:rPr>
          <w:spacing w:val="12"/>
          <w:sz w:val="20"/>
          <w:szCs w:val="20"/>
        </w:rPr>
        <w:t>他暂停施工。</w:t>
      </w:r>
    </w:p>
    <w:p w14:paraId="3DD67108">
      <w:pPr>
        <w:pStyle w:val="2"/>
        <w:spacing w:before="98" w:line="221" w:lineRule="auto"/>
        <w:ind w:left="3"/>
        <w:rPr>
          <w:rFonts w:ascii="黑体" w:hAnsi="黑体" w:eastAsia="黑体" w:cs="黑体"/>
          <w:sz w:val="24"/>
          <w:szCs w:val="24"/>
        </w:rPr>
      </w:pPr>
      <w:r>
        <w:rPr>
          <w:b/>
          <w:bCs/>
          <w:spacing w:val="-8"/>
          <w:sz w:val="24"/>
          <w:szCs w:val="24"/>
        </w:rPr>
        <w:t>12.2</w:t>
      </w:r>
      <w:r>
        <w:rPr>
          <w:spacing w:val="-8"/>
          <w:sz w:val="24"/>
          <w:szCs w:val="24"/>
        </w:rPr>
        <w:t xml:space="preserve"> </w:t>
      </w:r>
      <w:r>
        <w:rPr>
          <w:rFonts w:ascii="黑体" w:hAnsi="黑体" w:eastAsia="黑体" w:cs="黑体"/>
          <w:b/>
          <w:bCs/>
          <w:spacing w:val="-8"/>
          <w:sz w:val="24"/>
          <w:szCs w:val="24"/>
        </w:rPr>
        <w:t>发包人暂停施工的责任</w:t>
      </w:r>
    </w:p>
    <w:p w14:paraId="5AA971CE">
      <w:pPr>
        <w:pStyle w:val="2"/>
        <w:spacing w:before="177" w:line="345" w:lineRule="auto"/>
        <w:ind w:right="176" w:firstLine="419"/>
        <w:rPr>
          <w:sz w:val="20"/>
          <w:szCs w:val="20"/>
        </w:rPr>
      </w:pPr>
      <w:r>
        <w:rPr>
          <w:spacing w:val="15"/>
          <w:sz w:val="20"/>
          <w:szCs w:val="20"/>
        </w:rPr>
        <w:t>由于发包人原因引起的暂停施工造成工期延误的，承包人有权要求发包人</w:t>
      </w:r>
      <w:r>
        <w:rPr>
          <w:spacing w:val="14"/>
          <w:sz w:val="20"/>
          <w:szCs w:val="20"/>
        </w:rPr>
        <w:t>延长工期和(或)</w:t>
      </w:r>
      <w:r>
        <w:rPr>
          <w:sz w:val="20"/>
          <w:szCs w:val="20"/>
        </w:rPr>
        <w:t xml:space="preserve"> </w:t>
      </w:r>
      <w:r>
        <w:rPr>
          <w:spacing w:val="7"/>
          <w:sz w:val="20"/>
          <w:szCs w:val="20"/>
        </w:rPr>
        <w:t>增加费用，并支付合理利润。</w:t>
      </w:r>
    </w:p>
    <w:p w14:paraId="70DFD396">
      <w:pPr>
        <w:pStyle w:val="2"/>
        <w:spacing w:line="221" w:lineRule="auto"/>
        <w:ind w:left="2"/>
        <w:rPr>
          <w:rFonts w:ascii="黑体" w:hAnsi="黑体" w:eastAsia="黑体" w:cs="黑体"/>
          <w:sz w:val="24"/>
          <w:szCs w:val="24"/>
        </w:rPr>
      </w:pPr>
      <w:r>
        <w:rPr>
          <w:b/>
          <w:bCs/>
          <w:spacing w:val="-9"/>
          <w:sz w:val="24"/>
          <w:szCs w:val="24"/>
        </w:rPr>
        <w:t>12.3</w:t>
      </w:r>
      <w:r>
        <w:rPr>
          <w:spacing w:val="-9"/>
          <w:sz w:val="24"/>
          <w:szCs w:val="24"/>
        </w:rPr>
        <w:t xml:space="preserve"> </w:t>
      </w:r>
      <w:r>
        <w:rPr>
          <w:rFonts w:ascii="黑体" w:hAnsi="黑体" w:eastAsia="黑体" w:cs="黑体"/>
          <w:b/>
          <w:bCs/>
          <w:spacing w:val="-9"/>
          <w:sz w:val="24"/>
          <w:szCs w:val="24"/>
        </w:rPr>
        <w:t>监理人暂停施工指示</w:t>
      </w:r>
    </w:p>
    <w:p w14:paraId="5CB59FF2">
      <w:pPr>
        <w:pStyle w:val="2"/>
        <w:spacing w:before="146" w:line="319" w:lineRule="auto"/>
        <w:ind w:right="89" w:firstLine="419"/>
        <w:rPr>
          <w:sz w:val="20"/>
          <w:szCs w:val="20"/>
        </w:rPr>
      </w:pPr>
      <w:r>
        <w:rPr>
          <w:spacing w:val="9"/>
          <w:sz w:val="20"/>
          <w:szCs w:val="20"/>
        </w:rPr>
        <w:t>12.3.1 监理人认为有必要时，可向承包人作出暂停施</w:t>
      </w:r>
      <w:r>
        <w:rPr>
          <w:spacing w:val="8"/>
          <w:sz w:val="20"/>
          <w:szCs w:val="20"/>
        </w:rPr>
        <w:t>工的指示，承包人应按监理人指示暂停</w:t>
      </w:r>
      <w:r>
        <w:rPr>
          <w:sz w:val="20"/>
          <w:szCs w:val="20"/>
        </w:rPr>
        <w:t xml:space="preserve"> </w:t>
      </w:r>
      <w:r>
        <w:rPr>
          <w:spacing w:val="12"/>
          <w:sz w:val="20"/>
          <w:szCs w:val="20"/>
        </w:rPr>
        <w:t>施工。不论由于何种原因引起的暂停施工，暂停施工期间承包人应负责妥善保护工</w:t>
      </w:r>
      <w:r>
        <w:rPr>
          <w:spacing w:val="11"/>
          <w:sz w:val="20"/>
          <w:szCs w:val="20"/>
        </w:rPr>
        <w:t>程并提供安全</w:t>
      </w:r>
      <w:r>
        <w:rPr>
          <w:sz w:val="20"/>
          <w:szCs w:val="20"/>
        </w:rPr>
        <w:t xml:space="preserve"> 保障。</w:t>
      </w:r>
    </w:p>
    <w:p w14:paraId="6920EF56">
      <w:pPr>
        <w:pStyle w:val="2"/>
        <w:spacing w:before="182" w:line="313" w:lineRule="auto"/>
        <w:ind w:right="84" w:firstLine="419"/>
        <w:rPr>
          <w:sz w:val="20"/>
          <w:szCs w:val="20"/>
        </w:rPr>
      </w:pPr>
      <w:r>
        <w:rPr>
          <w:spacing w:val="8"/>
          <w:sz w:val="20"/>
          <w:szCs w:val="20"/>
        </w:rPr>
        <w:t>12.3.2 由于发包人的原因发生暂停施工的紧急情况，且监理人未及时下达暂停施工指</w:t>
      </w:r>
      <w:r>
        <w:rPr>
          <w:spacing w:val="7"/>
          <w:sz w:val="20"/>
          <w:szCs w:val="20"/>
        </w:rPr>
        <w:t>示的，</w:t>
      </w:r>
      <w:r>
        <w:rPr>
          <w:sz w:val="20"/>
          <w:szCs w:val="20"/>
        </w:rPr>
        <w:t xml:space="preserve"> </w:t>
      </w:r>
      <w:r>
        <w:rPr>
          <w:spacing w:val="12"/>
          <w:sz w:val="20"/>
          <w:szCs w:val="20"/>
        </w:rPr>
        <w:t>承包人可先暂停施工，并及时向监理人提出暂停施工的书面请求。监理人应在接到书面请求后的</w:t>
      </w:r>
      <w:r>
        <w:rPr>
          <w:sz w:val="20"/>
          <w:szCs w:val="20"/>
        </w:rPr>
        <w:t xml:space="preserve"> </w:t>
      </w:r>
      <w:r>
        <w:rPr>
          <w:spacing w:val="11"/>
          <w:sz w:val="20"/>
          <w:szCs w:val="20"/>
        </w:rPr>
        <w:t>24小时内予以答复，逾期未答复的，视为</w:t>
      </w:r>
      <w:r>
        <w:rPr>
          <w:spacing w:val="10"/>
          <w:sz w:val="20"/>
          <w:szCs w:val="20"/>
        </w:rPr>
        <w:t>同意承包人的暂停施工请求。</w:t>
      </w:r>
    </w:p>
    <w:p w14:paraId="319A2ADC">
      <w:pPr>
        <w:pStyle w:val="2"/>
        <w:spacing w:before="120" w:line="222" w:lineRule="auto"/>
        <w:ind w:left="3"/>
        <w:rPr>
          <w:rFonts w:ascii="黑体" w:hAnsi="黑体" w:eastAsia="黑体" w:cs="黑体"/>
          <w:sz w:val="24"/>
          <w:szCs w:val="24"/>
        </w:rPr>
      </w:pPr>
      <w:r>
        <w:rPr>
          <w:b/>
          <w:bCs/>
          <w:spacing w:val="-9"/>
          <w:sz w:val="24"/>
          <w:szCs w:val="24"/>
        </w:rPr>
        <w:t>12.4</w:t>
      </w:r>
      <w:r>
        <w:rPr>
          <w:spacing w:val="-9"/>
          <w:sz w:val="24"/>
          <w:szCs w:val="24"/>
        </w:rPr>
        <w:t xml:space="preserve"> </w:t>
      </w:r>
      <w:r>
        <w:rPr>
          <w:rFonts w:ascii="黑体" w:hAnsi="黑体" w:eastAsia="黑体" w:cs="黑体"/>
          <w:b/>
          <w:bCs/>
          <w:spacing w:val="-9"/>
          <w:sz w:val="24"/>
          <w:szCs w:val="24"/>
        </w:rPr>
        <w:t>暂停施工后的复工</w:t>
      </w:r>
    </w:p>
    <w:p w14:paraId="72F872C3">
      <w:pPr>
        <w:pStyle w:val="2"/>
        <w:spacing w:before="184" w:line="353" w:lineRule="auto"/>
        <w:ind w:right="91" w:firstLine="422"/>
        <w:rPr>
          <w:sz w:val="20"/>
          <w:szCs w:val="20"/>
        </w:rPr>
      </w:pPr>
      <w:r>
        <w:rPr>
          <w:b/>
          <w:bCs/>
          <w:spacing w:val="8"/>
          <w:sz w:val="20"/>
          <w:szCs w:val="20"/>
        </w:rPr>
        <w:t>12.4.1</w:t>
      </w:r>
      <w:r>
        <w:rPr>
          <w:spacing w:val="8"/>
          <w:sz w:val="20"/>
          <w:szCs w:val="20"/>
        </w:rPr>
        <w:t xml:space="preserve"> 暂停施工后，监理人应与发包人和承包人协商，采取有效措施积极消除暂停施工的影</w:t>
      </w:r>
      <w:r>
        <w:rPr>
          <w:spacing w:val="10"/>
          <w:sz w:val="20"/>
          <w:szCs w:val="20"/>
        </w:rPr>
        <w:t xml:space="preserve"> </w:t>
      </w:r>
      <w:r>
        <w:rPr>
          <w:spacing w:val="12"/>
          <w:sz w:val="20"/>
          <w:szCs w:val="20"/>
        </w:rPr>
        <w:t>响。当工程具备复工条件时，监理人应立即向承包人发出复工通知。承包人收到</w:t>
      </w:r>
      <w:r>
        <w:rPr>
          <w:spacing w:val="11"/>
          <w:sz w:val="20"/>
          <w:szCs w:val="20"/>
        </w:rPr>
        <w:t>复工通知后，应</w:t>
      </w:r>
    </w:p>
    <w:p w14:paraId="028A0343">
      <w:pPr>
        <w:spacing w:line="353" w:lineRule="auto"/>
        <w:rPr>
          <w:sz w:val="20"/>
          <w:szCs w:val="20"/>
        </w:rPr>
        <w:sectPr>
          <w:footerReference r:id="rId128" w:type="default"/>
          <w:pgSz w:w="11910" w:h="16840"/>
          <w:pgMar w:top="400" w:right="1459" w:bottom="1024" w:left="1460" w:header="0" w:footer="889" w:gutter="0"/>
          <w:cols w:space="720" w:num="1"/>
        </w:sectPr>
      </w:pPr>
    </w:p>
    <w:p w14:paraId="3994301E">
      <w:pPr>
        <w:spacing w:line="270" w:lineRule="auto"/>
        <w:rPr>
          <w:rFonts w:ascii="Arial"/>
          <w:sz w:val="21"/>
        </w:rPr>
      </w:pPr>
    </w:p>
    <w:p w14:paraId="666C3762">
      <w:pPr>
        <w:spacing w:line="270" w:lineRule="auto"/>
        <w:rPr>
          <w:rFonts w:ascii="Arial"/>
          <w:sz w:val="21"/>
        </w:rPr>
      </w:pPr>
    </w:p>
    <w:p w14:paraId="05F2EB47">
      <w:pPr>
        <w:spacing w:line="270" w:lineRule="auto"/>
        <w:rPr>
          <w:rFonts w:ascii="Arial"/>
          <w:sz w:val="21"/>
        </w:rPr>
      </w:pPr>
    </w:p>
    <w:p w14:paraId="0AFB6B27">
      <w:pPr>
        <w:spacing w:line="271" w:lineRule="auto"/>
        <w:rPr>
          <w:rFonts w:ascii="Arial"/>
          <w:sz w:val="21"/>
        </w:rPr>
      </w:pPr>
    </w:p>
    <w:p w14:paraId="2EA436F9">
      <w:pPr>
        <w:spacing w:line="271" w:lineRule="auto"/>
        <w:rPr>
          <w:rFonts w:ascii="Arial"/>
          <w:sz w:val="21"/>
        </w:rPr>
      </w:pPr>
    </w:p>
    <w:p w14:paraId="62853ACC">
      <w:pPr>
        <w:pStyle w:val="2"/>
        <w:spacing w:before="68" w:line="219" w:lineRule="auto"/>
        <w:rPr>
          <w:sz w:val="21"/>
          <w:szCs w:val="21"/>
        </w:rPr>
      </w:pPr>
      <w:r>
        <w:rPr>
          <w:spacing w:val="-3"/>
          <w:sz w:val="21"/>
          <w:szCs w:val="21"/>
        </w:rPr>
        <w:t>在监理人指定的期限内复工。</w:t>
      </w:r>
    </w:p>
    <w:p w14:paraId="2739FB8F">
      <w:pPr>
        <w:pStyle w:val="2"/>
        <w:spacing w:before="171" w:line="332" w:lineRule="auto"/>
        <w:ind w:right="49" w:firstLine="429"/>
        <w:rPr>
          <w:sz w:val="21"/>
          <w:szCs w:val="21"/>
        </w:rPr>
      </w:pPr>
      <w:r>
        <w:rPr>
          <w:sz w:val="21"/>
          <w:szCs w:val="21"/>
        </w:rPr>
        <w:t>12.4.2 承包人无故拖延和拒绝复工的，由此增加的</w:t>
      </w:r>
      <w:r>
        <w:rPr>
          <w:spacing w:val="-1"/>
          <w:sz w:val="21"/>
          <w:szCs w:val="21"/>
        </w:rPr>
        <w:t>费用和工期延误由承包人承担；因发包人</w:t>
      </w:r>
      <w:r>
        <w:rPr>
          <w:sz w:val="21"/>
          <w:szCs w:val="21"/>
        </w:rPr>
        <w:t xml:space="preserve"> </w:t>
      </w:r>
      <w:r>
        <w:rPr>
          <w:spacing w:val="5"/>
          <w:sz w:val="21"/>
          <w:szCs w:val="21"/>
        </w:rPr>
        <w:t>原因无法按时复工的，承包人有权要求发包人延长工期和(或)增加费用，并支付合理利润。</w:t>
      </w:r>
    </w:p>
    <w:p w14:paraId="1B485F75">
      <w:pPr>
        <w:pStyle w:val="2"/>
        <w:spacing w:before="1" w:line="220" w:lineRule="auto"/>
        <w:ind w:left="3"/>
        <w:rPr>
          <w:rFonts w:ascii="黑体" w:hAnsi="黑体" w:eastAsia="黑体" w:cs="黑体"/>
          <w:sz w:val="24"/>
          <w:szCs w:val="24"/>
        </w:rPr>
      </w:pPr>
      <w:r>
        <w:rPr>
          <w:b/>
          <w:bCs/>
          <w:spacing w:val="-1"/>
          <w:sz w:val="24"/>
          <w:szCs w:val="24"/>
        </w:rPr>
        <w:t>12.5</w:t>
      </w:r>
      <w:r>
        <w:rPr>
          <w:spacing w:val="-1"/>
          <w:sz w:val="24"/>
          <w:szCs w:val="24"/>
        </w:rPr>
        <w:t xml:space="preserve"> </w:t>
      </w:r>
      <w:r>
        <w:rPr>
          <w:rFonts w:ascii="黑体" w:hAnsi="黑体" w:eastAsia="黑体" w:cs="黑体"/>
          <w:b/>
          <w:bCs/>
          <w:spacing w:val="-1"/>
          <w:sz w:val="24"/>
          <w:szCs w:val="24"/>
        </w:rPr>
        <w:t>暂停施工持续56天以上</w:t>
      </w:r>
    </w:p>
    <w:p w14:paraId="17A7B676">
      <w:pPr>
        <w:pStyle w:val="2"/>
        <w:spacing w:before="139" w:line="352" w:lineRule="auto"/>
        <w:ind w:firstLine="429"/>
        <w:jc w:val="both"/>
        <w:rPr>
          <w:sz w:val="21"/>
          <w:szCs w:val="21"/>
        </w:rPr>
      </w:pPr>
      <w:r>
        <w:rPr>
          <w:spacing w:val="7"/>
          <w:sz w:val="21"/>
          <w:szCs w:val="21"/>
        </w:rPr>
        <w:t>12.5.1监理人发出暂停施工指示后56天内未向承包人发出复工通知，除了该项停工属于第</w:t>
      </w:r>
      <w:r>
        <w:rPr>
          <w:spacing w:val="1"/>
          <w:sz w:val="21"/>
          <w:szCs w:val="21"/>
        </w:rPr>
        <w:t xml:space="preserve"> </w:t>
      </w:r>
      <w:r>
        <w:rPr>
          <w:spacing w:val="2"/>
          <w:sz w:val="21"/>
          <w:szCs w:val="21"/>
        </w:rPr>
        <w:t>12.1款的情况外，承包人可向监理人提交书面通知，要求监理人在收到书面通知后28天内准许已</w:t>
      </w:r>
      <w:r>
        <w:rPr>
          <w:spacing w:val="12"/>
          <w:sz w:val="21"/>
          <w:szCs w:val="21"/>
        </w:rPr>
        <w:t xml:space="preserve"> </w:t>
      </w:r>
      <w:r>
        <w:rPr>
          <w:spacing w:val="-1"/>
          <w:sz w:val="21"/>
          <w:szCs w:val="21"/>
        </w:rPr>
        <w:t>暂停施工的工程或其中一部分工程继续施工。如监理</w:t>
      </w:r>
      <w:r>
        <w:rPr>
          <w:spacing w:val="-2"/>
          <w:sz w:val="21"/>
          <w:szCs w:val="21"/>
        </w:rPr>
        <w:t>人逾期不予批准，则承包人可以通知监理人，</w:t>
      </w:r>
      <w:r>
        <w:rPr>
          <w:sz w:val="21"/>
          <w:szCs w:val="21"/>
        </w:rPr>
        <w:t xml:space="preserve"> </w:t>
      </w:r>
      <w:r>
        <w:rPr>
          <w:spacing w:val="5"/>
          <w:sz w:val="21"/>
          <w:szCs w:val="21"/>
        </w:rPr>
        <w:t>将工程受影响的部分视为按第15.1(1)项的</w:t>
      </w:r>
      <w:r>
        <w:rPr>
          <w:spacing w:val="4"/>
          <w:sz w:val="21"/>
          <w:szCs w:val="21"/>
        </w:rPr>
        <w:t>可取消工作。如暂停施工影响到整个工程，可视为发</w:t>
      </w:r>
      <w:r>
        <w:rPr>
          <w:sz w:val="21"/>
          <w:szCs w:val="21"/>
        </w:rPr>
        <w:t xml:space="preserve"> </w:t>
      </w:r>
      <w:r>
        <w:rPr>
          <w:spacing w:val="2"/>
          <w:sz w:val="21"/>
          <w:szCs w:val="21"/>
        </w:rPr>
        <w:t>包人违约，应按第22.2款的规定办理。</w:t>
      </w:r>
    </w:p>
    <w:p w14:paraId="5BEB5823">
      <w:pPr>
        <w:pStyle w:val="2"/>
        <w:spacing w:before="5" w:line="344" w:lineRule="auto"/>
        <w:ind w:right="28" w:firstLine="429"/>
        <w:rPr>
          <w:sz w:val="21"/>
          <w:szCs w:val="21"/>
        </w:rPr>
      </w:pPr>
      <w:r>
        <w:rPr>
          <w:sz w:val="21"/>
          <w:szCs w:val="21"/>
        </w:rPr>
        <w:t>12.5.2 由于承包人责任引起的暂停施工，如承包人在收到监理人暂停施工指示后56天内不认</w:t>
      </w:r>
      <w:r>
        <w:rPr>
          <w:spacing w:val="4"/>
          <w:sz w:val="21"/>
          <w:szCs w:val="21"/>
        </w:rPr>
        <w:t xml:space="preserve"> </w:t>
      </w:r>
      <w:r>
        <w:rPr>
          <w:spacing w:val="2"/>
          <w:sz w:val="21"/>
          <w:szCs w:val="21"/>
        </w:rPr>
        <w:t>真采取有效的复工措施，造成工期延误，可视为承包人违约，应按第22.1款的规</w:t>
      </w:r>
      <w:r>
        <w:rPr>
          <w:spacing w:val="1"/>
          <w:sz w:val="21"/>
          <w:szCs w:val="21"/>
        </w:rPr>
        <w:t>定办理。</w:t>
      </w:r>
    </w:p>
    <w:p w14:paraId="2BE25B11">
      <w:pPr>
        <w:pStyle w:val="2"/>
        <w:spacing w:before="44" w:line="222" w:lineRule="auto"/>
        <w:ind w:left="4"/>
        <w:rPr>
          <w:rFonts w:ascii="黑体" w:hAnsi="黑体" w:eastAsia="黑体" w:cs="黑体"/>
          <w:sz w:val="29"/>
          <w:szCs w:val="29"/>
        </w:rPr>
      </w:pPr>
      <w:r>
        <w:rPr>
          <w:b/>
          <w:bCs/>
          <w:spacing w:val="-10"/>
          <w:sz w:val="29"/>
          <w:szCs w:val="29"/>
        </w:rPr>
        <w:t>13.</w:t>
      </w:r>
      <w:r>
        <w:rPr>
          <w:spacing w:val="-62"/>
          <w:sz w:val="29"/>
          <w:szCs w:val="29"/>
        </w:rPr>
        <w:t xml:space="preserve"> </w:t>
      </w:r>
      <w:r>
        <w:rPr>
          <w:rFonts w:ascii="黑体" w:hAnsi="黑体" w:eastAsia="黑体" w:cs="黑体"/>
          <w:b/>
          <w:bCs/>
          <w:spacing w:val="-10"/>
          <w:sz w:val="29"/>
          <w:szCs w:val="29"/>
        </w:rPr>
        <w:t>工程质量</w:t>
      </w:r>
    </w:p>
    <w:p w14:paraId="679785EF">
      <w:pPr>
        <w:spacing w:before="80" w:line="222" w:lineRule="auto"/>
        <w:ind w:left="3"/>
        <w:rPr>
          <w:rFonts w:ascii="黑体" w:hAnsi="黑体" w:eastAsia="黑体" w:cs="黑体"/>
          <w:sz w:val="24"/>
          <w:szCs w:val="24"/>
        </w:rPr>
      </w:pPr>
      <w:r>
        <w:rPr>
          <w:rFonts w:ascii="黑体" w:hAnsi="黑体" w:eastAsia="黑体" w:cs="黑体"/>
          <w:b/>
          <w:bCs/>
          <w:spacing w:val="3"/>
          <w:sz w:val="24"/>
          <w:szCs w:val="24"/>
        </w:rPr>
        <w:t>13.1工程质量要求</w:t>
      </w:r>
    </w:p>
    <w:p w14:paraId="24FEA60B">
      <w:pPr>
        <w:pStyle w:val="2"/>
        <w:spacing w:before="156" w:line="219" w:lineRule="auto"/>
        <w:ind w:left="429"/>
        <w:rPr>
          <w:sz w:val="21"/>
          <w:szCs w:val="21"/>
        </w:rPr>
      </w:pPr>
      <w:r>
        <w:rPr>
          <w:spacing w:val="-6"/>
          <w:sz w:val="21"/>
          <w:szCs w:val="21"/>
        </w:rPr>
        <w:t>13.1.1 工程质量验收按合同约定验收标准执行。</w:t>
      </w:r>
    </w:p>
    <w:p w14:paraId="0DC8B993">
      <w:pPr>
        <w:pStyle w:val="2"/>
        <w:spacing w:before="131" w:line="294" w:lineRule="auto"/>
        <w:ind w:right="47" w:firstLine="429"/>
        <w:rPr>
          <w:sz w:val="21"/>
          <w:szCs w:val="21"/>
        </w:rPr>
      </w:pPr>
      <w:r>
        <w:rPr>
          <w:sz w:val="21"/>
          <w:szCs w:val="21"/>
        </w:rPr>
        <w:t>13.1.2 因承包人原因造成工程质量达不到合同约定验收标</w:t>
      </w:r>
      <w:r>
        <w:rPr>
          <w:spacing w:val="-1"/>
          <w:sz w:val="21"/>
          <w:szCs w:val="21"/>
        </w:rPr>
        <w:t>准的，监理人有权要求承包人返工</w:t>
      </w:r>
      <w:r>
        <w:rPr>
          <w:sz w:val="21"/>
          <w:szCs w:val="21"/>
        </w:rPr>
        <w:t xml:space="preserve"> </w:t>
      </w:r>
      <w:r>
        <w:rPr>
          <w:spacing w:val="5"/>
          <w:sz w:val="21"/>
          <w:szCs w:val="21"/>
        </w:rPr>
        <w:t>直至符合合同要求为止，由此造成的费用增加和(或)工期延误由承包人承担。</w:t>
      </w:r>
    </w:p>
    <w:p w14:paraId="34AFDA0F">
      <w:pPr>
        <w:pStyle w:val="2"/>
        <w:spacing w:before="170" w:line="268" w:lineRule="auto"/>
        <w:ind w:right="50" w:firstLine="429"/>
        <w:rPr>
          <w:sz w:val="21"/>
          <w:szCs w:val="21"/>
        </w:rPr>
      </w:pPr>
      <w:r>
        <w:rPr>
          <w:sz w:val="21"/>
          <w:szCs w:val="21"/>
        </w:rPr>
        <w:t>13.1.3 因发包人原因造成工程质量达不到合同约</w:t>
      </w:r>
      <w:r>
        <w:rPr>
          <w:spacing w:val="-1"/>
          <w:sz w:val="21"/>
          <w:szCs w:val="21"/>
        </w:rPr>
        <w:t>定验收标准的，发包人应承担由于承包人返</w:t>
      </w:r>
      <w:r>
        <w:rPr>
          <w:sz w:val="21"/>
          <w:szCs w:val="21"/>
        </w:rPr>
        <w:t xml:space="preserve"> </w:t>
      </w:r>
      <w:r>
        <w:rPr>
          <w:spacing w:val="7"/>
          <w:sz w:val="21"/>
          <w:szCs w:val="21"/>
        </w:rPr>
        <w:t>工造成的费用增加和(或)工期延误，并支付承包人合理</w:t>
      </w:r>
      <w:r>
        <w:rPr>
          <w:spacing w:val="6"/>
          <w:sz w:val="21"/>
          <w:szCs w:val="21"/>
        </w:rPr>
        <w:t>利润。</w:t>
      </w:r>
    </w:p>
    <w:p w14:paraId="5B4FDFD8">
      <w:pPr>
        <w:spacing w:before="129" w:line="222" w:lineRule="auto"/>
        <w:ind w:left="3"/>
        <w:rPr>
          <w:rFonts w:ascii="黑体" w:hAnsi="黑体" w:eastAsia="黑体" w:cs="黑体"/>
          <w:sz w:val="24"/>
          <w:szCs w:val="24"/>
        </w:rPr>
      </w:pPr>
      <w:r>
        <w:rPr>
          <w:rFonts w:ascii="黑体" w:hAnsi="黑体" w:eastAsia="黑体" w:cs="黑体"/>
          <w:b/>
          <w:bCs/>
          <w:spacing w:val="1"/>
          <w:sz w:val="24"/>
          <w:szCs w:val="24"/>
        </w:rPr>
        <w:t>13.2承包人的质量管理</w:t>
      </w:r>
    </w:p>
    <w:p w14:paraId="144A8DBC">
      <w:pPr>
        <w:pStyle w:val="2"/>
        <w:spacing w:before="151" w:line="308" w:lineRule="auto"/>
        <w:ind w:right="42" w:firstLine="429"/>
        <w:rPr>
          <w:sz w:val="21"/>
          <w:szCs w:val="21"/>
        </w:rPr>
      </w:pPr>
      <w:r>
        <w:rPr>
          <w:spacing w:val="2"/>
          <w:sz w:val="21"/>
          <w:szCs w:val="21"/>
        </w:rPr>
        <w:t>13.2.1承包人应在施工场地设置专门的质量检查机构，配备专职质量检查人员，建立完善的</w:t>
      </w:r>
      <w:r>
        <w:rPr>
          <w:spacing w:val="9"/>
          <w:sz w:val="21"/>
          <w:szCs w:val="21"/>
        </w:rPr>
        <w:t xml:space="preserve"> </w:t>
      </w:r>
      <w:r>
        <w:rPr>
          <w:spacing w:val="2"/>
          <w:sz w:val="21"/>
          <w:szCs w:val="21"/>
        </w:rPr>
        <w:t>质量检查制度。承包人应在合同约定的期限内，提交工程质量保证措施文件，包括质量检查</w:t>
      </w:r>
      <w:r>
        <w:rPr>
          <w:spacing w:val="1"/>
          <w:sz w:val="21"/>
          <w:szCs w:val="21"/>
        </w:rPr>
        <w:t>机构</w:t>
      </w:r>
      <w:r>
        <w:rPr>
          <w:sz w:val="21"/>
          <w:szCs w:val="21"/>
        </w:rPr>
        <w:t xml:space="preserve"> </w:t>
      </w:r>
      <w:r>
        <w:rPr>
          <w:spacing w:val="-1"/>
          <w:sz w:val="21"/>
          <w:szCs w:val="21"/>
        </w:rPr>
        <w:t>的组织和岗位责任、质检人员的组成、质量检查程序和实施细则等，报送监理人审批。</w:t>
      </w:r>
    </w:p>
    <w:p w14:paraId="4867AE16">
      <w:pPr>
        <w:pStyle w:val="2"/>
        <w:spacing w:before="172" w:line="272" w:lineRule="auto"/>
        <w:ind w:right="49" w:firstLine="429"/>
        <w:rPr>
          <w:sz w:val="21"/>
          <w:szCs w:val="21"/>
        </w:rPr>
      </w:pPr>
      <w:r>
        <w:rPr>
          <w:sz w:val="21"/>
          <w:szCs w:val="21"/>
        </w:rPr>
        <w:t>13.2.2 承包人应加强对施工人员的质量教育和技术</w:t>
      </w:r>
      <w:r>
        <w:rPr>
          <w:spacing w:val="-1"/>
          <w:sz w:val="21"/>
          <w:szCs w:val="21"/>
        </w:rPr>
        <w:t>培训，定期考核施工人员的劳动技能，严</w:t>
      </w:r>
      <w:r>
        <w:rPr>
          <w:sz w:val="21"/>
          <w:szCs w:val="21"/>
        </w:rPr>
        <w:t xml:space="preserve"> </w:t>
      </w:r>
      <w:r>
        <w:rPr>
          <w:spacing w:val="-4"/>
          <w:sz w:val="21"/>
          <w:szCs w:val="21"/>
        </w:rPr>
        <w:t>格执行规范和操作规程。</w:t>
      </w:r>
    </w:p>
    <w:p w14:paraId="11D5C8B5">
      <w:pPr>
        <w:spacing w:before="118" w:line="222" w:lineRule="auto"/>
        <w:ind w:left="3"/>
        <w:rPr>
          <w:rFonts w:ascii="黑体" w:hAnsi="黑体" w:eastAsia="黑体" w:cs="黑体"/>
          <w:sz w:val="24"/>
          <w:szCs w:val="24"/>
        </w:rPr>
      </w:pPr>
      <w:r>
        <w:rPr>
          <w:rFonts w:ascii="黑体" w:hAnsi="黑体" w:eastAsia="黑体" w:cs="黑体"/>
          <w:b/>
          <w:bCs/>
          <w:spacing w:val="1"/>
          <w:sz w:val="24"/>
          <w:szCs w:val="24"/>
        </w:rPr>
        <w:t>13.3承包人的质量检查</w:t>
      </w:r>
    </w:p>
    <w:p w14:paraId="6A2E8DA9">
      <w:pPr>
        <w:pStyle w:val="2"/>
        <w:spacing w:before="154" w:line="333" w:lineRule="auto"/>
        <w:ind w:right="49" w:firstLine="429"/>
        <w:rPr>
          <w:sz w:val="21"/>
          <w:szCs w:val="21"/>
        </w:rPr>
      </w:pPr>
      <w:r>
        <w:rPr>
          <w:spacing w:val="2"/>
          <w:sz w:val="21"/>
          <w:szCs w:val="21"/>
        </w:rPr>
        <w:t>承包人应按合同约定对材料、工程设备以及工程的所有部位及其施工工艺进行全过程的质量</w:t>
      </w:r>
      <w:r>
        <w:rPr>
          <w:spacing w:val="7"/>
          <w:sz w:val="21"/>
          <w:szCs w:val="21"/>
        </w:rPr>
        <w:t xml:space="preserve"> </w:t>
      </w:r>
      <w:r>
        <w:rPr>
          <w:spacing w:val="-1"/>
          <w:sz w:val="21"/>
          <w:szCs w:val="21"/>
        </w:rPr>
        <w:t>检查和检验，并作详细记录，编制工程质量报表</w:t>
      </w:r>
      <w:r>
        <w:rPr>
          <w:spacing w:val="-2"/>
          <w:sz w:val="21"/>
          <w:szCs w:val="21"/>
        </w:rPr>
        <w:t>，报送监理人审查。</w:t>
      </w:r>
    </w:p>
    <w:p w14:paraId="1B5B4A53">
      <w:pPr>
        <w:pStyle w:val="2"/>
        <w:spacing w:line="222" w:lineRule="auto"/>
        <w:ind w:left="3"/>
        <w:rPr>
          <w:rFonts w:ascii="黑体" w:hAnsi="黑体" w:eastAsia="黑体" w:cs="黑体"/>
          <w:sz w:val="24"/>
          <w:szCs w:val="24"/>
        </w:rPr>
      </w:pPr>
      <w:r>
        <w:rPr>
          <w:b/>
          <w:bCs/>
          <w:spacing w:val="-10"/>
          <w:sz w:val="24"/>
          <w:szCs w:val="24"/>
        </w:rPr>
        <w:t>13.4</w:t>
      </w:r>
      <w:r>
        <w:rPr>
          <w:spacing w:val="21"/>
          <w:sz w:val="24"/>
          <w:szCs w:val="24"/>
        </w:rPr>
        <w:t xml:space="preserve"> </w:t>
      </w:r>
      <w:r>
        <w:rPr>
          <w:rFonts w:ascii="黑体" w:hAnsi="黑体" w:eastAsia="黑体" w:cs="黑体"/>
          <w:b/>
          <w:bCs/>
          <w:spacing w:val="-10"/>
          <w:sz w:val="24"/>
          <w:szCs w:val="24"/>
        </w:rPr>
        <w:t>监理人的质量检查</w:t>
      </w:r>
    </w:p>
    <w:p w14:paraId="68AB4016">
      <w:pPr>
        <w:pStyle w:val="2"/>
        <w:spacing w:before="172" w:line="344" w:lineRule="auto"/>
        <w:ind w:right="47" w:firstLine="429"/>
        <w:jc w:val="both"/>
        <w:rPr>
          <w:sz w:val="21"/>
          <w:szCs w:val="21"/>
        </w:rPr>
      </w:pPr>
      <w:r>
        <w:rPr>
          <w:spacing w:val="2"/>
          <w:sz w:val="21"/>
          <w:szCs w:val="21"/>
        </w:rPr>
        <w:t>监理人有权对工程的所有部位及其施工工艺、材料和工程设备进行检查和检验。承包人应为</w:t>
      </w:r>
      <w:r>
        <w:rPr>
          <w:spacing w:val="9"/>
          <w:sz w:val="21"/>
          <w:szCs w:val="21"/>
        </w:rPr>
        <w:t xml:space="preserve"> </w:t>
      </w:r>
      <w:r>
        <w:rPr>
          <w:spacing w:val="2"/>
          <w:sz w:val="21"/>
          <w:szCs w:val="21"/>
        </w:rPr>
        <w:t>监理人的检查和检验提供方便，包括监理人到施工场地，或制造、加工地点，或合同约定的其他</w:t>
      </w:r>
      <w:r>
        <w:rPr>
          <w:spacing w:val="13"/>
          <w:sz w:val="21"/>
          <w:szCs w:val="21"/>
        </w:rPr>
        <w:t xml:space="preserve"> </w:t>
      </w:r>
      <w:r>
        <w:rPr>
          <w:spacing w:val="2"/>
          <w:sz w:val="21"/>
          <w:szCs w:val="21"/>
        </w:rPr>
        <w:t>地方进行察看和查阅施工原始记录。承包人还应按监理人指示，进行施工场地取样试验、工程复</w:t>
      </w:r>
      <w:r>
        <w:rPr>
          <w:spacing w:val="15"/>
          <w:sz w:val="21"/>
          <w:szCs w:val="21"/>
        </w:rPr>
        <w:t xml:space="preserve"> </w:t>
      </w:r>
      <w:r>
        <w:rPr>
          <w:spacing w:val="2"/>
          <w:sz w:val="21"/>
          <w:szCs w:val="21"/>
        </w:rPr>
        <w:t>核测量和设备性能检测，提供试验样品、提交试验报告和测量成果以及监理人要求进行</w:t>
      </w:r>
      <w:r>
        <w:rPr>
          <w:spacing w:val="1"/>
          <w:sz w:val="21"/>
          <w:szCs w:val="21"/>
        </w:rPr>
        <w:t>的其他工</w:t>
      </w:r>
      <w:r>
        <w:rPr>
          <w:sz w:val="21"/>
          <w:szCs w:val="21"/>
        </w:rPr>
        <w:t xml:space="preserve"> </w:t>
      </w:r>
      <w:r>
        <w:rPr>
          <w:spacing w:val="-2"/>
          <w:sz w:val="21"/>
          <w:szCs w:val="21"/>
        </w:rPr>
        <w:t>作。监理人的检查和检验，不免除承包人按合同约定应负的责任。</w:t>
      </w:r>
    </w:p>
    <w:p w14:paraId="076C367F">
      <w:pPr>
        <w:spacing w:line="344" w:lineRule="auto"/>
        <w:rPr>
          <w:sz w:val="21"/>
          <w:szCs w:val="21"/>
        </w:rPr>
        <w:sectPr>
          <w:footerReference r:id="rId129" w:type="default"/>
          <w:pgSz w:w="11910" w:h="16840"/>
          <w:pgMar w:top="400" w:right="1491" w:bottom="1024" w:left="1450" w:header="0" w:footer="889" w:gutter="0"/>
          <w:cols w:space="720" w:num="1"/>
        </w:sectPr>
      </w:pPr>
    </w:p>
    <w:p w14:paraId="4BBE147D">
      <w:pPr>
        <w:spacing w:line="271" w:lineRule="auto"/>
        <w:rPr>
          <w:rFonts w:ascii="Arial"/>
          <w:sz w:val="21"/>
        </w:rPr>
      </w:pPr>
    </w:p>
    <w:p w14:paraId="40A3C166">
      <w:pPr>
        <w:spacing w:line="271" w:lineRule="auto"/>
        <w:rPr>
          <w:rFonts w:ascii="Arial"/>
          <w:sz w:val="21"/>
        </w:rPr>
      </w:pPr>
    </w:p>
    <w:p w14:paraId="59F9E776">
      <w:pPr>
        <w:spacing w:line="271" w:lineRule="auto"/>
        <w:rPr>
          <w:rFonts w:ascii="Arial"/>
          <w:sz w:val="21"/>
        </w:rPr>
      </w:pPr>
    </w:p>
    <w:p w14:paraId="56768BE4">
      <w:pPr>
        <w:spacing w:line="272" w:lineRule="auto"/>
        <w:rPr>
          <w:rFonts w:ascii="Arial"/>
          <w:sz w:val="21"/>
        </w:rPr>
      </w:pPr>
    </w:p>
    <w:p w14:paraId="09E314EA">
      <w:pPr>
        <w:spacing w:line="272" w:lineRule="auto"/>
        <w:rPr>
          <w:rFonts w:ascii="Arial"/>
          <w:sz w:val="21"/>
        </w:rPr>
      </w:pPr>
    </w:p>
    <w:p w14:paraId="2B071430">
      <w:pPr>
        <w:pStyle w:val="2"/>
        <w:spacing w:before="68" w:line="222" w:lineRule="auto"/>
        <w:ind w:left="3"/>
        <w:rPr>
          <w:rFonts w:ascii="黑体" w:hAnsi="黑体" w:eastAsia="黑体" w:cs="黑体"/>
          <w:sz w:val="21"/>
          <w:szCs w:val="21"/>
        </w:rPr>
      </w:pPr>
      <w:r>
        <w:rPr>
          <w:b/>
          <w:bCs/>
          <w:spacing w:val="18"/>
          <w:sz w:val="21"/>
          <w:szCs w:val="21"/>
        </w:rPr>
        <w:t>13.5</w:t>
      </w:r>
      <w:r>
        <w:rPr>
          <w:spacing w:val="18"/>
          <w:sz w:val="21"/>
          <w:szCs w:val="21"/>
        </w:rPr>
        <w:t xml:space="preserve"> </w:t>
      </w:r>
      <w:r>
        <w:rPr>
          <w:rFonts w:ascii="黑体" w:hAnsi="黑体" w:eastAsia="黑体" w:cs="黑体"/>
          <w:b/>
          <w:bCs/>
          <w:spacing w:val="18"/>
          <w:sz w:val="21"/>
          <w:szCs w:val="21"/>
        </w:rPr>
        <w:t>工程隐蔽部位覆盖前的检查</w:t>
      </w:r>
    </w:p>
    <w:p w14:paraId="3A0608B1">
      <w:pPr>
        <w:spacing w:before="148" w:line="222" w:lineRule="auto"/>
        <w:ind w:left="422"/>
        <w:rPr>
          <w:rFonts w:ascii="黑体" w:hAnsi="黑体" w:eastAsia="黑体" w:cs="黑体"/>
          <w:sz w:val="21"/>
          <w:szCs w:val="21"/>
        </w:rPr>
      </w:pPr>
      <w:r>
        <w:rPr>
          <w:rFonts w:ascii="黑体" w:hAnsi="黑体" w:eastAsia="黑体" w:cs="黑体"/>
          <w:b/>
          <w:bCs/>
          <w:spacing w:val="-4"/>
          <w:sz w:val="21"/>
          <w:szCs w:val="21"/>
        </w:rPr>
        <w:t>13.5.1通知监理人检查</w:t>
      </w:r>
    </w:p>
    <w:p w14:paraId="7EE4D1E8">
      <w:pPr>
        <w:pStyle w:val="2"/>
        <w:spacing w:before="159" w:line="344" w:lineRule="auto"/>
        <w:ind w:right="68" w:firstLine="419"/>
        <w:jc w:val="both"/>
        <w:rPr>
          <w:sz w:val="21"/>
          <w:szCs w:val="21"/>
        </w:rPr>
      </w:pPr>
      <w:r>
        <w:rPr>
          <w:spacing w:val="2"/>
          <w:sz w:val="21"/>
          <w:szCs w:val="21"/>
        </w:rPr>
        <w:t>经承包人自检确认的工程隐蔽部位具备覆盖条件后，承包人应通知监理人在约定的期限内检</w:t>
      </w:r>
      <w:r>
        <w:rPr>
          <w:spacing w:val="18"/>
          <w:sz w:val="21"/>
          <w:szCs w:val="21"/>
        </w:rPr>
        <w:t xml:space="preserve"> </w:t>
      </w:r>
      <w:r>
        <w:rPr>
          <w:spacing w:val="3"/>
          <w:sz w:val="21"/>
          <w:szCs w:val="21"/>
        </w:rPr>
        <w:t>查。承包人的通知应附有自检记录和必要的检查</w:t>
      </w:r>
      <w:r>
        <w:rPr>
          <w:spacing w:val="2"/>
          <w:sz w:val="21"/>
          <w:szCs w:val="21"/>
        </w:rPr>
        <w:t>资料。监理人应按时到场检查。经监理人检查确</w:t>
      </w:r>
      <w:r>
        <w:rPr>
          <w:sz w:val="21"/>
          <w:szCs w:val="21"/>
        </w:rPr>
        <w:t xml:space="preserve"> </w:t>
      </w:r>
      <w:r>
        <w:rPr>
          <w:spacing w:val="2"/>
          <w:sz w:val="21"/>
          <w:szCs w:val="21"/>
        </w:rPr>
        <w:t>认质量符合隐蔽要求，并在检查记录上签字后，承包人才能进行覆盖。监理人检</w:t>
      </w:r>
      <w:r>
        <w:rPr>
          <w:spacing w:val="1"/>
          <w:sz w:val="21"/>
          <w:szCs w:val="21"/>
        </w:rPr>
        <w:t>查确认质量不合</w:t>
      </w:r>
      <w:r>
        <w:rPr>
          <w:sz w:val="21"/>
          <w:szCs w:val="21"/>
        </w:rPr>
        <w:t xml:space="preserve"> </w:t>
      </w:r>
      <w:r>
        <w:rPr>
          <w:spacing w:val="-1"/>
          <w:sz w:val="21"/>
          <w:szCs w:val="21"/>
        </w:rPr>
        <w:t>格的，承包人应在监理人指示的时间内修整返工后，由监</w:t>
      </w:r>
      <w:r>
        <w:rPr>
          <w:spacing w:val="-2"/>
          <w:sz w:val="21"/>
          <w:szCs w:val="21"/>
        </w:rPr>
        <w:t>理人重新检查。</w:t>
      </w:r>
    </w:p>
    <w:p w14:paraId="5ECEC3E7">
      <w:pPr>
        <w:pStyle w:val="2"/>
        <w:spacing w:before="11" w:line="222" w:lineRule="auto"/>
        <w:ind w:left="422"/>
        <w:rPr>
          <w:rFonts w:ascii="黑体" w:hAnsi="黑体" w:eastAsia="黑体" w:cs="黑体"/>
          <w:sz w:val="21"/>
          <w:szCs w:val="21"/>
        </w:rPr>
      </w:pPr>
      <w:r>
        <w:rPr>
          <w:b/>
          <w:bCs/>
          <w:spacing w:val="-11"/>
          <w:sz w:val="21"/>
          <w:szCs w:val="21"/>
        </w:rPr>
        <w:t>13.5.2</w:t>
      </w:r>
      <w:r>
        <w:rPr>
          <w:spacing w:val="-11"/>
          <w:sz w:val="21"/>
          <w:szCs w:val="21"/>
        </w:rPr>
        <w:t xml:space="preserve"> </w:t>
      </w:r>
      <w:r>
        <w:rPr>
          <w:rFonts w:ascii="黑体" w:hAnsi="黑体" w:eastAsia="黑体" w:cs="黑体"/>
          <w:b/>
          <w:bCs/>
          <w:spacing w:val="-11"/>
          <w:sz w:val="21"/>
          <w:szCs w:val="21"/>
        </w:rPr>
        <w:t>监理人未到场检查</w:t>
      </w:r>
    </w:p>
    <w:p w14:paraId="4E4522DF">
      <w:pPr>
        <w:pStyle w:val="2"/>
        <w:spacing w:before="171" w:line="340" w:lineRule="auto"/>
        <w:ind w:right="93" w:firstLine="419"/>
        <w:jc w:val="both"/>
        <w:rPr>
          <w:sz w:val="21"/>
          <w:szCs w:val="21"/>
        </w:rPr>
      </w:pPr>
      <w:r>
        <w:rPr>
          <w:spacing w:val="2"/>
          <w:sz w:val="21"/>
          <w:szCs w:val="21"/>
        </w:rPr>
        <w:t>监理人未按第13.5.1项约定的时间进行检查的，除监理人另有指示外，承包人</w:t>
      </w:r>
      <w:r>
        <w:rPr>
          <w:spacing w:val="1"/>
          <w:sz w:val="21"/>
          <w:szCs w:val="21"/>
        </w:rPr>
        <w:t>可自行完成覆</w:t>
      </w:r>
      <w:r>
        <w:rPr>
          <w:sz w:val="21"/>
          <w:szCs w:val="21"/>
        </w:rPr>
        <w:t xml:space="preserve"> </w:t>
      </w:r>
      <w:r>
        <w:rPr>
          <w:spacing w:val="2"/>
          <w:sz w:val="21"/>
          <w:szCs w:val="21"/>
        </w:rPr>
        <w:t>盖工作，并作相应记录报送监理人，监理人应签字确认。监理人事后对检查记录有疑问</w:t>
      </w:r>
      <w:r>
        <w:rPr>
          <w:spacing w:val="1"/>
          <w:sz w:val="21"/>
          <w:szCs w:val="21"/>
        </w:rPr>
        <w:t>的，可按</w:t>
      </w:r>
      <w:r>
        <w:rPr>
          <w:sz w:val="21"/>
          <w:szCs w:val="21"/>
        </w:rPr>
        <w:t xml:space="preserve"> </w:t>
      </w:r>
      <w:r>
        <w:rPr>
          <w:spacing w:val="1"/>
          <w:sz w:val="21"/>
          <w:szCs w:val="21"/>
        </w:rPr>
        <w:t>第13.5.3项的约定重新检查。</w:t>
      </w:r>
    </w:p>
    <w:p w14:paraId="694BD9E9">
      <w:pPr>
        <w:pStyle w:val="2"/>
        <w:spacing w:before="26" w:line="221" w:lineRule="auto"/>
        <w:ind w:left="422"/>
        <w:rPr>
          <w:rFonts w:ascii="黑体" w:hAnsi="黑体" w:eastAsia="黑体" w:cs="黑体"/>
          <w:sz w:val="21"/>
          <w:szCs w:val="21"/>
        </w:rPr>
      </w:pPr>
      <w:r>
        <w:rPr>
          <w:b/>
          <w:bCs/>
          <w:spacing w:val="-11"/>
          <w:sz w:val="21"/>
          <w:szCs w:val="21"/>
        </w:rPr>
        <w:t>13.5.3</w:t>
      </w:r>
      <w:r>
        <w:rPr>
          <w:spacing w:val="-11"/>
          <w:sz w:val="21"/>
          <w:szCs w:val="21"/>
        </w:rPr>
        <w:t xml:space="preserve"> </w:t>
      </w:r>
      <w:r>
        <w:rPr>
          <w:rFonts w:ascii="黑体" w:hAnsi="黑体" w:eastAsia="黑体" w:cs="黑体"/>
          <w:b/>
          <w:bCs/>
          <w:spacing w:val="-11"/>
          <w:sz w:val="21"/>
          <w:szCs w:val="21"/>
        </w:rPr>
        <w:t>监理人重新检查</w:t>
      </w:r>
    </w:p>
    <w:p w14:paraId="0D014F7B">
      <w:pPr>
        <w:pStyle w:val="2"/>
        <w:spacing w:before="161" w:line="344" w:lineRule="auto"/>
        <w:ind w:firstLine="419"/>
        <w:jc w:val="both"/>
        <w:rPr>
          <w:sz w:val="21"/>
          <w:szCs w:val="21"/>
        </w:rPr>
      </w:pPr>
      <w:r>
        <w:rPr>
          <w:spacing w:val="2"/>
          <w:sz w:val="21"/>
          <w:szCs w:val="21"/>
        </w:rPr>
        <w:t>承包人按第13.5.1项或第13.5.2项覆盖工程隐蔽部位后，监理人对质量有疑问的，可要求承</w:t>
      </w:r>
      <w:r>
        <w:rPr>
          <w:spacing w:val="6"/>
          <w:sz w:val="21"/>
          <w:szCs w:val="21"/>
        </w:rPr>
        <w:t xml:space="preserve"> </w:t>
      </w:r>
      <w:r>
        <w:rPr>
          <w:spacing w:val="2"/>
          <w:sz w:val="21"/>
          <w:szCs w:val="21"/>
        </w:rPr>
        <w:t>包人对已覆盖的部位进行钻孔探测或揭开重新检验，承包人应遵照执行，并在检验</w:t>
      </w:r>
      <w:r>
        <w:rPr>
          <w:spacing w:val="1"/>
          <w:sz w:val="21"/>
          <w:szCs w:val="21"/>
        </w:rPr>
        <w:t>后重新覆盖恢</w:t>
      </w:r>
      <w:r>
        <w:rPr>
          <w:sz w:val="21"/>
          <w:szCs w:val="21"/>
        </w:rPr>
        <w:t xml:space="preserve">  </w:t>
      </w:r>
      <w:r>
        <w:rPr>
          <w:spacing w:val="4"/>
          <w:sz w:val="21"/>
          <w:szCs w:val="21"/>
        </w:rPr>
        <w:t>复原状。经检验证明工程质量符合合同要求的，由发包人承担由此增加的费用和(或)工期延误，</w:t>
      </w:r>
      <w:r>
        <w:rPr>
          <w:spacing w:val="2"/>
          <w:sz w:val="21"/>
          <w:szCs w:val="21"/>
        </w:rPr>
        <w:t xml:space="preserve"> </w:t>
      </w:r>
      <w:r>
        <w:rPr>
          <w:spacing w:val="7"/>
          <w:sz w:val="21"/>
          <w:szCs w:val="21"/>
        </w:rPr>
        <w:t>并支付承包人合理利润；经检验证明工程质量不符合合同要求的，由此增加的费用和(或)</w:t>
      </w:r>
      <w:r>
        <w:rPr>
          <w:spacing w:val="6"/>
          <w:sz w:val="21"/>
          <w:szCs w:val="21"/>
        </w:rPr>
        <w:t>工期</w:t>
      </w:r>
      <w:r>
        <w:rPr>
          <w:sz w:val="21"/>
          <w:szCs w:val="21"/>
        </w:rPr>
        <w:t xml:space="preserve">  </w:t>
      </w:r>
      <w:r>
        <w:rPr>
          <w:spacing w:val="-2"/>
          <w:sz w:val="21"/>
          <w:szCs w:val="21"/>
        </w:rPr>
        <w:t>延误由承包人承担。</w:t>
      </w:r>
    </w:p>
    <w:p w14:paraId="5DF009B3">
      <w:pPr>
        <w:spacing w:before="33" w:line="222" w:lineRule="auto"/>
        <w:ind w:left="422"/>
        <w:rPr>
          <w:rFonts w:ascii="黑体" w:hAnsi="黑体" w:eastAsia="黑体" w:cs="黑体"/>
          <w:sz w:val="21"/>
          <w:szCs w:val="21"/>
        </w:rPr>
      </w:pPr>
      <w:r>
        <w:rPr>
          <w:rFonts w:ascii="黑体" w:hAnsi="黑体" w:eastAsia="黑体" w:cs="黑体"/>
          <w:b/>
          <w:bCs/>
          <w:spacing w:val="-4"/>
          <w:sz w:val="21"/>
          <w:szCs w:val="21"/>
        </w:rPr>
        <w:t>13.5.4承包人私自覆盖</w:t>
      </w:r>
    </w:p>
    <w:p w14:paraId="2637659E">
      <w:pPr>
        <w:pStyle w:val="2"/>
        <w:spacing w:before="169" w:line="319" w:lineRule="auto"/>
        <w:ind w:right="97" w:firstLine="419"/>
        <w:rPr>
          <w:sz w:val="21"/>
          <w:szCs w:val="21"/>
        </w:rPr>
      </w:pPr>
      <w:r>
        <w:rPr>
          <w:spacing w:val="2"/>
          <w:sz w:val="21"/>
          <w:szCs w:val="21"/>
        </w:rPr>
        <w:t>承包人未通知监理人到场检查，私自将工程隐蔽部位覆盖的，监理人有权指示承包人</w:t>
      </w:r>
      <w:r>
        <w:rPr>
          <w:spacing w:val="1"/>
          <w:sz w:val="21"/>
          <w:szCs w:val="21"/>
        </w:rPr>
        <w:t>钻孔探</w:t>
      </w:r>
      <w:r>
        <w:rPr>
          <w:sz w:val="21"/>
          <w:szCs w:val="21"/>
        </w:rPr>
        <w:t xml:space="preserve"> </w:t>
      </w:r>
      <w:r>
        <w:rPr>
          <w:spacing w:val="7"/>
          <w:sz w:val="21"/>
          <w:szCs w:val="21"/>
        </w:rPr>
        <w:t>测或揭开检查，由此增加的费用和(或)工期</w:t>
      </w:r>
      <w:r>
        <w:rPr>
          <w:spacing w:val="6"/>
          <w:sz w:val="21"/>
          <w:szCs w:val="21"/>
        </w:rPr>
        <w:t>延误由承包人承担。</w:t>
      </w:r>
    </w:p>
    <w:p w14:paraId="5CC9B4E4">
      <w:pPr>
        <w:pStyle w:val="2"/>
        <w:spacing w:before="51" w:line="222" w:lineRule="auto"/>
        <w:ind w:left="3"/>
        <w:rPr>
          <w:rFonts w:ascii="黑体" w:hAnsi="黑体" w:eastAsia="黑体" w:cs="黑体"/>
          <w:sz w:val="21"/>
          <w:szCs w:val="21"/>
        </w:rPr>
      </w:pPr>
      <w:r>
        <w:rPr>
          <w:b/>
          <w:bCs/>
          <w:spacing w:val="13"/>
          <w:sz w:val="21"/>
          <w:szCs w:val="21"/>
        </w:rPr>
        <w:t>13.6</w:t>
      </w:r>
      <w:r>
        <w:rPr>
          <w:spacing w:val="38"/>
          <w:sz w:val="21"/>
          <w:szCs w:val="21"/>
        </w:rPr>
        <w:t xml:space="preserve"> </w:t>
      </w:r>
      <w:r>
        <w:rPr>
          <w:rFonts w:ascii="黑体" w:hAnsi="黑体" w:eastAsia="黑体" w:cs="黑体"/>
          <w:b/>
          <w:bCs/>
          <w:spacing w:val="13"/>
          <w:sz w:val="21"/>
          <w:szCs w:val="21"/>
        </w:rPr>
        <w:t>清除不合格工程</w:t>
      </w:r>
    </w:p>
    <w:p w14:paraId="2CC40FB3">
      <w:pPr>
        <w:pStyle w:val="2"/>
        <w:spacing w:before="151" w:line="302" w:lineRule="auto"/>
        <w:ind w:right="93" w:firstLine="419"/>
        <w:rPr>
          <w:sz w:val="21"/>
          <w:szCs w:val="21"/>
        </w:rPr>
      </w:pPr>
      <w:r>
        <w:rPr>
          <w:sz w:val="21"/>
          <w:szCs w:val="21"/>
        </w:rPr>
        <w:t>13.6.1 承包人使用不合格材料、工</w:t>
      </w:r>
      <w:r>
        <w:rPr>
          <w:spacing w:val="-1"/>
          <w:sz w:val="21"/>
          <w:szCs w:val="21"/>
        </w:rPr>
        <w:t>程设备，或采用不适当的施工工艺，或施工不当，造成工</w:t>
      </w:r>
      <w:r>
        <w:rPr>
          <w:sz w:val="21"/>
          <w:szCs w:val="21"/>
        </w:rPr>
        <w:t xml:space="preserve"> </w:t>
      </w:r>
      <w:r>
        <w:rPr>
          <w:spacing w:val="2"/>
          <w:sz w:val="21"/>
          <w:szCs w:val="21"/>
        </w:rPr>
        <w:t>程不合格的，监理人可以随时发出指示，要求承包人立即采取措施进行补救，直至</w:t>
      </w:r>
      <w:r>
        <w:rPr>
          <w:spacing w:val="1"/>
          <w:sz w:val="21"/>
          <w:szCs w:val="21"/>
        </w:rPr>
        <w:t>达到合同要求</w:t>
      </w:r>
      <w:r>
        <w:rPr>
          <w:sz w:val="21"/>
          <w:szCs w:val="21"/>
        </w:rPr>
        <w:t xml:space="preserve"> </w:t>
      </w:r>
      <w:r>
        <w:rPr>
          <w:spacing w:val="7"/>
          <w:sz w:val="21"/>
          <w:szCs w:val="21"/>
        </w:rPr>
        <w:t>的质量标准，由此增加的费用和(或)工期延误由承包人</w:t>
      </w:r>
      <w:r>
        <w:rPr>
          <w:spacing w:val="6"/>
          <w:sz w:val="21"/>
          <w:szCs w:val="21"/>
        </w:rPr>
        <w:t>承担。</w:t>
      </w:r>
    </w:p>
    <w:p w14:paraId="75F23011">
      <w:pPr>
        <w:pStyle w:val="2"/>
        <w:spacing w:before="171" w:line="281" w:lineRule="auto"/>
        <w:ind w:right="89" w:firstLine="419"/>
        <w:rPr>
          <w:sz w:val="21"/>
          <w:szCs w:val="21"/>
        </w:rPr>
      </w:pPr>
      <w:r>
        <w:rPr>
          <w:sz w:val="21"/>
          <w:szCs w:val="21"/>
        </w:rPr>
        <w:t>13.6.2 由于发包人提供的材料或工程设备不</w:t>
      </w:r>
      <w:r>
        <w:rPr>
          <w:spacing w:val="-1"/>
          <w:sz w:val="21"/>
          <w:szCs w:val="21"/>
        </w:rPr>
        <w:t>合格造成的工程不合格，需要承包人采取措施补</w:t>
      </w:r>
      <w:r>
        <w:rPr>
          <w:sz w:val="21"/>
          <w:szCs w:val="21"/>
        </w:rPr>
        <w:t xml:space="preserve"> </w:t>
      </w:r>
      <w:r>
        <w:rPr>
          <w:spacing w:val="6"/>
          <w:sz w:val="21"/>
          <w:szCs w:val="21"/>
        </w:rPr>
        <w:t>救的，发包人应承担由此增加的费用和(或)工期延</w:t>
      </w:r>
      <w:r>
        <w:rPr>
          <w:spacing w:val="5"/>
          <w:sz w:val="21"/>
          <w:szCs w:val="21"/>
        </w:rPr>
        <w:t>误，并支付承包人合理利润。</w:t>
      </w:r>
    </w:p>
    <w:p w14:paraId="75D883DA">
      <w:pPr>
        <w:pStyle w:val="2"/>
        <w:spacing w:before="187" w:line="221" w:lineRule="auto"/>
        <w:ind w:left="4"/>
        <w:rPr>
          <w:rFonts w:ascii="黑体" w:hAnsi="黑体" w:eastAsia="黑体" w:cs="黑体"/>
          <w:sz w:val="29"/>
          <w:szCs w:val="29"/>
        </w:rPr>
      </w:pPr>
      <w:r>
        <w:rPr>
          <w:b/>
          <w:bCs/>
          <w:spacing w:val="-9"/>
          <w:sz w:val="29"/>
          <w:szCs w:val="29"/>
        </w:rPr>
        <w:t>14.</w:t>
      </w:r>
      <w:r>
        <w:rPr>
          <w:spacing w:val="-75"/>
          <w:sz w:val="29"/>
          <w:szCs w:val="29"/>
        </w:rPr>
        <w:t xml:space="preserve"> </w:t>
      </w:r>
      <w:r>
        <w:rPr>
          <w:rFonts w:ascii="黑体" w:hAnsi="黑体" w:eastAsia="黑体" w:cs="黑体"/>
          <w:b/>
          <w:bCs/>
          <w:spacing w:val="-9"/>
          <w:sz w:val="29"/>
          <w:szCs w:val="29"/>
        </w:rPr>
        <w:t>试验和检验</w:t>
      </w:r>
    </w:p>
    <w:p w14:paraId="4BB2C949">
      <w:pPr>
        <w:pStyle w:val="2"/>
        <w:spacing w:before="111" w:line="221" w:lineRule="auto"/>
        <w:ind w:left="3"/>
        <w:rPr>
          <w:rFonts w:ascii="黑体" w:hAnsi="黑体" w:eastAsia="黑体" w:cs="黑体"/>
          <w:sz w:val="21"/>
          <w:szCs w:val="21"/>
        </w:rPr>
      </w:pPr>
      <w:r>
        <w:rPr>
          <w:b/>
          <w:bCs/>
          <w:spacing w:val="21"/>
          <w:sz w:val="21"/>
          <w:szCs w:val="21"/>
        </w:rPr>
        <w:t>14.1</w:t>
      </w:r>
      <w:r>
        <w:rPr>
          <w:spacing w:val="21"/>
          <w:sz w:val="21"/>
          <w:szCs w:val="21"/>
        </w:rPr>
        <w:t xml:space="preserve"> </w:t>
      </w:r>
      <w:r>
        <w:rPr>
          <w:rFonts w:ascii="黑体" w:hAnsi="黑体" w:eastAsia="黑体" w:cs="黑体"/>
          <w:b/>
          <w:bCs/>
          <w:spacing w:val="21"/>
          <w:sz w:val="21"/>
          <w:szCs w:val="21"/>
        </w:rPr>
        <w:t>材料、工程设备和工程的试验和检验</w:t>
      </w:r>
    </w:p>
    <w:p w14:paraId="094EF929">
      <w:pPr>
        <w:pStyle w:val="2"/>
        <w:spacing w:before="174" w:line="301" w:lineRule="auto"/>
        <w:ind w:right="95" w:firstLine="419"/>
        <w:rPr>
          <w:sz w:val="21"/>
          <w:szCs w:val="21"/>
        </w:rPr>
      </w:pPr>
      <w:r>
        <w:rPr>
          <w:spacing w:val="-1"/>
          <w:sz w:val="21"/>
          <w:szCs w:val="21"/>
        </w:rPr>
        <w:t>14.1.1 承包人应按合同约定进行材料、工程设备和工程的试验和检验，并为监理人对上述材</w:t>
      </w:r>
      <w:r>
        <w:rPr>
          <w:spacing w:val="15"/>
          <w:sz w:val="21"/>
          <w:szCs w:val="21"/>
        </w:rPr>
        <w:t xml:space="preserve"> </w:t>
      </w:r>
      <w:r>
        <w:rPr>
          <w:spacing w:val="2"/>
          <w:sz w:val="21"/>
          <w:szCs w:val="21"/>
        </w:rPr>
        <w:t>料、工程设备和工程的质量检查提供必要的试验资料和原始记录。按合同约定应由</w:t>
      </w:r>
      <w:r>
        <w:rPr>
          <w:spacing w:val="1"/>
          <w:sz w:val="21"/>
          <w:szCs w:val="21"/>
        </w:rPr>
        <w:t>监理人与承包</w:t>
      </w:r>
      <w:r>
        <w:rPr>
          <w:sz w:val="21"/>
          <w:szCs w:val="21"/>
        </w:rPr>
        <w:t xml:space="preserve"> </w:t>
      </w:r>
      <w:r>
        <w:rPr>
          <w:spacing w:val="-1"/>
          <w:sz w:val="21"/>
          <w:szCs w:val="21"/>
        </w:rPr>
        <w:t>人共同进行试验和检验的，由承包人负责提供必要的试验</w:t>
      </w:r>
      <w:r>
        <w:rPr>
          <w:spacing w:val="-2"/>
          <w:sz w:val="21"/>
          <w:szCs w:val="21"/>
        </w:rPr>
        <w:t>资料和原始记录。</w:t>
      </w:r>
    </w:p>
    <w:p w14:paraId="2B7F3F0A">
      <w:pPr>
        <w:pStyle w:val="2"/>
        <w:spacing w:before="153" w:line="294" w:lineRule="auto"/>
        <w:ind w:right="97" w:firstLine="419"/>
        <w:rPr>
          <w:sz w:val="21"/>
          <w:szCs w:val="21"/>
        </w:rPr>
      </w:pPr>
      <w:r>
        <w:rPr>
          <w:spacing w:val="-1"/>
          <w:sz w:val="21"/>
          <w:szCs w:val="21"/>
        </w:rPr>
        <w:t>14.1.2 监理人未按合同约定派员参加试验和检验的，除监理人另有指示外，承包人可自行试</w:t>
      </w:r>
      <w:r>
        <w:rPr>
          <w:spacing w:val="16"/>
          <w:sz w:val="21"/>
          <w:szCs w:val="21"/>
        </w:rPr>
        <w:t xml:space="preserve"> </w:t>
      </w:r>
      <w:r>
        <w:rPr>
          <w:spacing w:val="-1"/>
          <w:sz w:val="21"/>
          <w:szCs w:val="21"/>
        </w:rPr>
        <w:t>验和检验，并应立即将试验和检验结果报送监理人，监理人</w:t>
      </w:r>
      <w:r>
        <w:rPr>
          <w:spacing w:val="-2"/>
          <w:sz w:val="21"/>
          <w:szCs w:val="21"/>
        </w:rPr>
        <w:t>应签字确认。</w:t>
      </w:r>
    </w:p>
    <w:p w14:paraId="58027C4B">
      <w:pPr>
        <w:pStyle w:val="2"/>
        <w:spacing w:before="141" w:line="219" w:lineRule="auto"/>
        <w:ind w:left="419"/>
        <w:rPr>
          <w:sz w:val="21"/>
          <w:szCs w:val="21"/>
        </w:rPr>
      </w:pPr>
      <w:r>
        <w:rPr>
          <w:spacing w:val="-1"/>
          <w:sz w:val="21"/>
          <w:szCs w:val="21"/>
        </w:rPr>
        <w:t>14.1.3 监理人对承包人的试验和检验结果有疑问的，或为查清承包人试验和检验成果的可靠</w:t>
      </w:r>
    </w:p>
    <w:p w14:paraId="4D71F4B3">
      <w:pPr>
        <w:spacing w:line="219" w:lineRule="auto"/>
        <w:rPr>
          <w:sz w:val="21"/>
          <w:szCs w:val="21"/>
        </w:rPr>
        <w:sectPr>
          <w:footerReference r:id="rId130" w:type="default"/>
          <w:pgSz w:w="11910" w:h="16840"/>
          <w:pgMar w:top="400" w:right="1454" w:bottom="1024" w:left="1460" w:header="0" w:footer="889" w:gutter="0"/>
          <w:cols w:space="720" w:num="1"/>
        </w:sectPr>
      </w:pPr>
    </w:p>
    <w:p w14:paraId="039174BB">
      <w:pPr>
        <w:spacing w:line="270" w:lineRule="auto"/>
        <w:rPr>
          <w:rFonts w:ascii="Arial"/>
          <w:sz w:val="21"/>
        </w:rPr>
      </w:pPr>
    </w:p>
    <w:p w14:paraId="4E6E3685">
      <w:pPr>
        <w:spacing w:line="270" w:lineRule="auto"/>
        <w:rPr>
          <w:rFonts w:ascii="Arial"/>
          <w:sz w:val="21"/>
        </w:rPr>
      </w:pPr>
    </w:p>
    <w:p w14:paraId="29CB7A51">
      <w:pPr>
        <w:spacing w:line="270" w:lineRule="auto"/>
        <w:rPr>
          <w:rFonts w:ascii="Arial"/>
          <w:sz w:val="21"/>
        </w:rPr>
      </w:pPr>
    </w:p>
    <w:p w14:paraId="7F39E637">
      <w:pPr>
        <w:spacing w:line="270" w:lineRule="auto"/>
        <w:rPr>
          <w:rFonts w:ascii="Arial"/>
          <w:sz w:val="21"/>
        </w:rPr>
      </w:pPr>
    </w:p>
    <w:p w14:paraId="186B2630">
      <w:pPr>
        <w:spacing w:line="271" w:lineRule="auto"/>
        <w:rPr>
          <w:rFonts w:ascii="Arial"/>
          <w:sz w:val="21"/>
        </w:rPr>
      </w:pPr>
    </w:p>
    <w:p w14:paraId="5A704913">
      <w:pPr>
        <w:pStyle w:val="2"/>
        <w:spacing w:before="68" w:line="344" w:lineRule="auto"/>
        <w:ind w:right="108"/>
        <w:jc w:val="both"/>
        <w:rPr>
          <w:sz w:val="21"/>
          <w:szCs w:val="21"/>
        </w:rPr>
      </w:pPr>
      <w:r>
        <w:rPr>
          <w:spacing w:val="2"/>
          <w:sz w:val="21"/>
          <w:szCs w:val="21"/>
        </w:rPr>
        <w:t>性要求承包人重新试验和检验的，可按合同约定由监理人与承包人共同进行。重新试验和检验的</w:t>
      </w:r>
      <w:r>
        <w:rPr>
          <w:spacing w:val="11"/>
          <w:sz w:val="21"/>
          <w:szCs w:val="21"/>
        </w:rPr>
        <w:t xml:space="preserve"> </w:t>
      </w:r>
      <w:r>
        <w:rPr>
          <w:spacing w:val="7"/>
          <w:sz w:val="21"/>
          <w:szCs w:val="21"/>
        </w:rPr>
        <w:t xml:space="preserve">结果证明该项材料、工程设备或工程的质量不符合合同要求的，由此增加的费用和(或)工期延 </w:t>
      </w:r>
      <w:r>
        <w:rPr>
          <w:spacing w:val="2"/>
          <w:sz w:val="21"/>
          <w:szCs w:val="21"/>
        </w:rPr>
        <w:t>误由承包人承担；重新试验和检验结果证明该项材料、工程设备和工程符合合同要求，由发包人</w:t>
      </w:r>
      <w:r>
        <w:rPr>
          <w:spacing w:val="4"/>
          <w:sz w:val="21"/>
          <w:szCs w:val="21"/>
        </w:rPr>
        <w:t xml:space="preserve"> </w:t>
      </w:r>
      <w:r>
        <w:rPr>
          <w:spacing w:val="7"/>
          <w:sz w:val="21"/>
          <w:szCs w:val="21"/>
        </w:rPr>
        <w:t>承担由此增加的费用和(或)工期延误，并支付承包人合理利润。</w:t>
      </w:r>
    </w:p>
    <w:p w14:paraId="3D726F56">
      <w:pPr>
        <w:pStyle w:val="2"/>
        <w:spacing w:before="1" w:line="221" w:lineRule="auto"/>
        <w:ind w:left="3"/>
        <w:rPr>
          <w:rFonts w:ascii="黑体" w:hAnsi="黑体" w:eastAsia="黑体" w:cs="黑体"/>
          <w:sz w:val="24"/>
          <w:szCs w:val="24"/>
        </w:rPr>
      </w:pPr>
      <w:r>
        <w:rPr>
          <w:b/>
          <w:bCs/>
          <w:spacing w:val="-10"/>
          <w:sz w:val="24"/>
          <w:szCs w:val="24"/>
        </w:rPr>
        <w:t>14.2</w:t>
      </w:r>
      <w:r>
        <w:rPr>
          <w:spacing w:val="-10"/>
          <w:sz w:val="24"/>
          <w:szCs w:val="24"/>
        </w:rPr>
        <w:t xml:space="preserve"> </w:t>
      </w:r>
      <w:r>
        <w:rPr>
          <w:rFonts w:ascii="黑体" w:hAnsi="黑体" w:eastAsia="黑体" w:cs="黑体"/>
          <w:b/>
          <w:bCs/>
          <w:spacing w:val="-10"/>
          <w:sz w:val="24"/>
          <w:szCs w:val="24"/>
        </w:rPr>
        <w:t>现场材料试验</w:t>
      </w:r>
    </w:p>
    <w:p w14:paraId="29009DDE">
      <w:pPr>
        <w:pStyle w:val="2"/>
        <w:spacing w:before="156" w:line="276" w:lineRule="auto"/>
        <w:ind w:right="119" w:firstLine="429"/>
        <w:rPr>
          <w:sz w:val="21"/>
          <w:szCs w:val="21"/>
        </w:rPr>
      </w:pPr>
      <w:r>
        <w:rPr>
          <w:spacing w:val="-1"/>
          <w:sz w:val="21"/>
          <w:szCs w:val="21"/>
        </w:rPr>
        <w:t>14.2.1 承包人根据合同约定或监理人指示进行的现场材料试验，应由承包人提供试验场所、</w:t>
      </w:r>
      <w:r>
        <w:rPr>
          <w:spacing w:val="13"/>
          <w:sz w:val="21"/>
          <w:szCs w:val="21"/>
        </w:rPr>
        <w:t xml:space="preserve"> </w:t>
      </w:r>
      <w:r>
        <w:rPr>
          <w:spacing w:val="-2"/>
          <w:sz w:val="21"/>
          <w:szCs w:val="21"/>
        </w:rPr>
        <w:t>试验人员、试验设备器材以及其他必要的试验条件。</w:t>
      </w:r>
    </w:p>
    <w:p w14:paraId="5A2B4C07">
      <w:pPr>
        <w:pStyle w:val="2"/>
        <w:spacing w:before="170" w:line="281" w:lineRule="auto"/>
        <w:ind w:right="113" w:firstLine="432"/>
        <w:rPr>
          <w:sz w:val="21"/>
          <w:szCs w:val="21"/>
        </w:rPr>
      </w:pPr>
      <w:r>
        <w:rPr>
          <w:b/>
          <w:bCs/>
          <w:spacing w:val="-1"/>
          <w:sz w:val="21"/>
          <w:szCs w:val="21"/>
        </w:rPr>
        <w:t>14.2.2</w:t>
      </w:r>
      <w:r>
        <w:rPr>
          <w:spacing w:val="-1"/>
          <w:sz w:val="21"/>
          <w:szCs w:val="21"/>
        </w:rPr>
        <w:t xml:space="preserve"> 监理人在必要时可以使用承包人的试验场所、试验设备器材以及其他试验条件，进行</w:t>
      </w:r>
      <w:r>
        <w:rPr>
          <w:spacing w:val="2"/>
          <w:sz w:val="21"/>
          <w:szCs w:val="21"/>
        </w:rPr>
        <w:t xml:space="preserve"> </w:t>
      </w:r>
      <w:r>
        <w:rPr>
          <w:spacing w:val="-1"/>
          <w:sz w:val="21"/>
          <w:szCs w:val="21"/>
        </w:rPr>
        <w:t>以工程质量检查为目的的复核性材料试验，承包</w:t>
      </w:r>
      <w:r>
        <w:rPr>
          <w:spacing w:val="-2"/>
          <w:sz w:val="21"/>
          <w:szCs w:val="21"/>
        </w:rPr>
        <w:t>人应予以协助。</w:t>
      </w:r>
    </w:p>
    <w:p w14:paraId="111B0110">
      <w:pPr>
        <w:spacing w:before="118" w:line="221" w:lineRule="auto"/>
        <w:ind w:left="3"/>
        <w:rPr>
          <w:rFonts w:ascii="黑体" w:hAnsi="黑体" w:eastAsia="黑体" w:cs="黑体"/>
          <w:sz w:val="24"/>
          <w:szCs w:val="24"/>
        </w:rPr>
      </w:pPr>
      <w:r>
        <w:rPr>
          <w:rFonts w:ascii="黑体" w:hAnsi="黑体" w:eastAsia="黑体" w:cs="黑体"/>
          <w:b/>
          <w:bCs/>
          <w:spacing w:val="2"/>
          <w:sz w:val="24"/>
          <w:szCs w:val="24"/>
        </w:rPr>
        <w:t>14.3现场工艺试验</w:t>
      </w:r>
    </w:p>
    <w:p w14:paraId="60379905">
      <w:pPr>
        <w:pStyle w:val="2"/>
        <w:spacing w:before="156" w:line="354" w:lineRule="auto"/>
        <w:ind w:right="36" w:firstLine="429"/>
        <w:rPr>
          <w:sz w:val="21"/>
          <w:szCs w:val="21"/>
        </w:rPr>
      </w:pPr>
      <w:r>
        <w:rPr>
          <w:spacing w:val="2"/>
          <w:sz w:val="21"/>
          <w:szCs w:val="21"/>
        </w:rPr>
        <w:t>承包人应按合同约定或监理人指示进行现场工艺试验。对大型的现场工艺试验，监理人认为</w:t>
      </w:r>
      <w:r>
        <w:rPr>
          <w:sz w:val="21"/>
          <w:szCs w:val="21"/>
        </w:rPr>
        <w:t xml:space="preserve"> </w:t>
      </w:r>
      <w:r>
        <w:rPr>
          <w:spacing w:val="-1"/>
          <w:sz w:val="21"/>
          <w:szCs w:val="21"/>
        </w:rPr>
        <w:t>必要时，应由承包人根据监理人提出的工艺试验要求，编制工艺试验措施计划，报送监理人审批。</w:t>
      </w:r>
    </w:p>
    <w:p w14:paraId="682E6BB0">
      <w:pPr>
        <w:pStyle w:val="2"/>
        <w:spacing w:before="23" w:line="222" w:lineRule="auto"/>
        <w:ind w:left="4"/>
        <w:rPr>
          <w:rFonts w:ascii="黑体" w:hAnsi="黑体" w:eastAsia="黑体" w:cs="黑体"/>
          <w:sz w:val="29"/>
          <w:szCs w:val="29"/>
        </w:rPr>
      </w:pPr>
      <w:r>
        <w:rPr>
          <w:b/>
          <w:bCs/>
          <w:sz w:val="29"/>
          <w:szCs w:val="29"/>
        </w:rPr>
        <w:t>15.</w:t>
      </w:r>
      <w:r>
        <w:rPr>
          <w:rFonts w:ascii="黑体" w:hAnsi="黑体" w:eastAsia="黑体" w:cs="黑体"/>
          <w:b/>
          <w:bCs/>
          <w:sz w:val="29"/>
          <w:szCs w:val="29"/>
        </w:rPr>
        <w:t>变更</w:t>
      </w:r>
    </w:p>
    <w:p w14:paraId="247F34BA">
      <w:pPr>
        <w:pStyle w:val="2"/>
        <w:spacing w:before="90" w:line="222" w:lineRule="auto"/>
        <w:ind w:left="3"/>
        <w:rPr>
          <w:rFonts w:ascii="黑体" w:hAnsi="黑体" w:eastAsia="黑体" w:cs="黑体"/>
          <w:sz w:val="24"/>
          <w:szCs w:val="24"/>
        </w:rPr>
      </w:pPr>
      <w:r>
        <w:rPr>
          <w:b/>
          <w:bCs/>
          <w:spacing w:val="-6"/>
          <w:sz w:val="24"/>
          <w:szCs w:val="24"/>
        </w:rPr>
        <w:t>15.1</w:t>
      </w:r>
      <w:r>
        <w:rPr>
          <w:spacing w:val="-32"/>
          <w:sz w:val="24"/>
          <w:szCs w:val="24"/>
        </w:rPr>
        <w:t xml:space="preserve"> </w:t>
      </w:r>
      <w:r>
        <w:rPr>
          <w:rFonts w:ascii="黑体" w:hAnsi="黑体" w:eastAsia="黑体" w:cs="黑体"/>
          <w:b/>
          <w:bCs/>
          <w:spacing w:val="-6"/>
          <w:sz w:val="24"/>
          <w:szCs w:val="24"/>
        </w:rPr>
        <w:t>变更的范围和内容</w:t>
      </w:r>
    </w:p>
    <w:p w14:paraId="35739EFC">
      <w:pPr>
        <w:pStyle w:val="2"/>
        <w:spacing w:before="124" w:line="219" w:lineRule="auto"/>
        <w:ind w:left="429"/>
        <w:rPr>
          <w:sz w:val="21"/>
          <w:szCs w:val="21"/>
        </w:rPr>
      </w:pPr>
      <w:r>
        <w:rPr>
          <w:sz w:val="21"/>
          <w:szCs w:val="21"/>
        </w:rPr>
        <w:t>除专用合同条款另有约定外，在履行合同中发生以下情形之一，应按照本条规定进行变更。</w:t>
      </w:r>
    </w:p>
    <w:p w14:paraId="130C6753">
      <w:pPr>
        <w:pStyle w:val="2"/>
        <w:spacing w:before="172" w:line="219" w:lineRule="auto"/>
        <w:ind w:left="429"/>
        <w:rPr>
          <w:sz w:val="21"/>
          <w:szCs w:val="21"/>
        </w:rPr>
      </w:pPr>
      <w:r>
        <w:rPr>
          <w:spacing w:val="2"/>
          <w:sz w:val="21"/>
          <w:szCs w:val="21"/>
        </w:rPr>
        <w:t>(1)取消合同中任何一项工作，但被取消的工作不能转由发包人或其他人实施；</w:t>
      </w:r>
    </w:p>
    <w:p w14:paraId="48BCC324">
      <w:pPr>
        <w:pStyle w:val="2"/>
        <w:spacing w:before="141" w:line="219" w:lineRule="auto"/>
        <w:ind w:left="429"/>
        <w:rPr>
          <w:sz w:val="21"/>
          <w:szCs w:val="21"/>
        </w:rPr>
      </w:pPr>
      <w:r>
        <w:rPr>
          <w:spacing w:val="3"/>
          <w:sz w:val="21"/>
          <w:szCs w:val="21"/>
        </w:rPr>
        <w:t>(2)改变合同中任何一项工作的质量或其他特性；</w:t>
      </w:r>
    </w:p>
    <w:p w14:paraId="67FCC65F">
      <w:pPr>
        <w:pStyle w:val="2"/>
        <w:spacing w:before="139" w:line="219" w:lineRule="auto"/>
        <w:ind w:left="429"/>
        <w:rPr>
          <w:sz w:val="21"/>
          <w:szCs w:val="21"/>
        </w:rPr>
      </w:pPr>
      <w:r>
        <w:rPr>
          <w:spacing w:val="4"/>
          <w:sz w:val="21"/>
          <w:szCs w:val="21"/>
        </w:rPr>
        <w:t>(3)改变合同工程的基线、标高、位置或尺寸；</w:t>
      </w:r>
    </w:p>
    <w:p w14:paraId="3139EA8C">
      <w:pPr>
        <w:pStyle w:val="2"/>
        <w:spacing w:before="163" w:line="219" w:lineRule="auto"/>
        <w:ind w:left="429"/>
        <w:rPr>
          <w:sz w:val="21"/>
          <w:szCs w:val="21"/>
        </w:rPr>
      </w:pPr>
      <w:r>
        <w:rPr>
          <w:spacing w:val="2"/>
          <w:sz w:val="21"/>
          <w:szCs w:val="21"/>
        </w:rPr>
        <w:t>(4)改变合同中任何一项工作的施工时间或改变已批准的施工工艺或顺序；</w:t>
      </w:r>
    </w:p>
    <w:p w14:paraId="79B98D98">
      <w:pPr>
        <w:pStyle w:val="2"/>
        <w:spacing w:before="161" w:line="219" w:lineRule="auto"/>
        <w:ind w:left="429"/>
        <w:rPr>
          <w:sz w:val="21"/>
          <w:szCs w:val="21"/>
        </w:rPr>
      </w:pPr>
      <w:r>
        <w:rPr>
          <w:spacing w:val="4"/>
          <w:sz w:val="21"/>
          <w:szCs w:val="21"/>
        </w:rPr>
        <w:t>(5)为完成工程需要追加的额外工作。</w:t>
      </w:r>
    </w:p>
    <w:p w14:paraId="7FF15937">
      <w:pPr>
        <w:pStyle w:val="2"/>
        <w:spacing w:before="117" w:line="222" w:lineRule="auto"/>
        <w:ind w:left="3"/>
        <w:rPr>
          <w:rFonts w:ascii="黑体" w:hAnsi="黑体" w:eastAsia="黑体" w:cs="黑体"/>
          <w:sz w:val="24"/>
          <w:szCs w:val="24"/>
        </w:rPr>
      </w:pPr>
      <w:r>
        <w:rPr>
          <w:b/>
          <w:bCs/>
          <w:spacing w:val="-11"/>
          <w:sz w:val="24"/>
          <w:szCs w:val="24"/>
        </w:rPr>
        <w:t>15.2</w:t>
      </w:r>
      <w:r>
        <w:rPr>
          <w:spacing w:val="-11"/>
          <w:sz w:val="24"/>
          <w:szCs w:val="24"/>
        </w:rPr>
        <w:t xml:space="preserve"> </w:t>
      </w:r>
      <w:r>
        <w:rPr>
          <w:rFonts w:ascii="黑体" w:hAnsi="黑体" w:eastAsia="黑体" w:cs="黑体"/>
          <w:b/>
          <w:bCs/>
          <w:spacing w:val="-11"/>
          <w:sz w:val="24"/>
          <w:szCs w:val="24"/>
        </w:rPr>
        <w:t>变更权</w:t>
      </w:r>
    </w:p>
    <w:p w14:paraId="20D6D042">
      <w:pPr>
        <w:pStyle w:val="2"/>
        <w:spacing w:before="144" w:line="333" w:lineRule="auto"/>
        <w:ind w:right="134" w:firstLine="429"/>
        <w:rPr>
          <w:sz w:val="21"/>
          <w:szCs w:val="21"/>
        </w:rPr>
      </w:pPr>
      <w:r>
        <w:rPr>
          <w:spacing w:val="1"/>
          <w:sz w:val="21"/>
          <w:szCs w:val="21"/>
        </w:rPr>
        <w:t>在履行合同过程中，经发包人同意，监理人可按第15.3款约定的变更程序向承包人作出变更</w:t>
      </w:r>
      <w:r>
        <w:rPr>
          <w:spacing w:val="16"/>
          <w:sz w:val="21"/>
          <w:szCs w:val="21"/>
        </w:rPr>
        <w:t xml:space="preserve"> </w:t>
      </w:r>
      <w:r>
        <w:rPr>
          <w:spacing w:val="-1"/>
          <w:sz w:val="21"/>
          <w:szCs w:val="21"/>
        </w:rPr>
        <w:t>指示，承包人应遵照执行。没有监理人的变更指示，承包</w:t>
      </w:r>
      <w:r>
        <w:rPr>
          <w:spacing w:val="-2"/>
          <w:sz w:val="21"/>
          <w:szCs w:val="21"/>
        </w:rPr>
        <w:t>人不得擅自变更。</w:t>
      </w:r>
    </w:p>
    <w:p w14:paraId="5A2E5210">
      <w:pPr>
        <w:spacing w:before="1" w:line="221" w:lineRule="auto"/>
        <w:ind w:left="3"/>
        <w:rPr>
          <w:rFonts w:ascii="黑体" w:hAnsi="黑体" w:eastAsia="黑体" w:cs="黑体"/>
          <w:sz w:val="24"/>
          <w:szCs w:val="24"/>
        </w:rPr>
      </w:pPr>
      <w:r>
        <w:rPr>
          <w:rFonts w:ascii="黑体" w:hAnsi="黑体" w:eastAsia="黑体" w:cs="黑体"/>
          <w:b/>
          <w:bCs/>
          <w:spacing w:val="4"/>
          <w:sz w:val="24"/>
          <w:szCs w:val="24"/>
        </w:rPr>
        <w:t>15.3变更程序</w:t>
      </w:r>
    </w:p>
    <w:p w14:paraId="78E91706">
      <w:pPr>
        <w:spacing w:before="141" w:line="222" w:lineRule="auto"/>
        <w:ind w:left="432"/>
        <w:rPr>
          <w:rFonts w:ascii="黑体" w:hAnsi="黑体" w:eastAsia="黑体" w:cs="黑体"/>
          <w:sz w:val="21"/>
          <w:szCs w:val="21"/>
        </w:rPr>
      </w:pPr>
      <w:r>
        <w:rPr>
          <w:rFonts w:ascii="黑体" w:hAnsi="黑体" w:eastAsia="黑体" w:cs="黑体"/>
          <w:b/>
          <w:bCs/>
          <w:spacing w:val="-4"/>
          <w:sz w:val="21"/>
          <w:szCs w:val="21"/>
        </w:rPr>
        <w:t>15.3.1变更的提出</w:t>
      </w:r>
    </w:p>
    <w:p w14:paraId="4B455F8D">
      <w:pPr>
        <w:pStyle w:val="2"/>
        <w:spacing w:before="150" w:line="326" w:lineRule="auto"/>
        <w:ind w:firstLine="529"/>
        <w:rPr>
          <w:sz w:val="21"/>
          <w:szCs w:val="21"/>
        </w:rPr>
      </w:pPr>
      <w:r>
        <w:rPr>
          <w:sz w:val="21"/>
          <w:szCs w:val="21"/>
        </w:rPr>
        <w:t>(1)在合同履行过程中，可能发生第15.1款约定情形的，监理人可</w:t>
      </w:r>
      <w:r>
        <w:rPr>
          <w:spacing w:val="-1"/>
          <w:sz w:val="21"/>
          <w:szCs w:val="21"/>
        </w:rPr>
        <w:t>向承包人发出变更意向书。</w:t>
      </w:r>
      <w:r>
        <w:rPr>
          <w:sz w:val="21"/>
          <w:szCs w:val="21"/>
        </w:rPr>
        <w:t xml:space="preserve"> </w:t>
      </w:r>
      <w:r>
        <w:rPr>
          <w:spacing w:val="2"/>
          <w:sz w:val="21"/>
          <w:szCs w:val="21"/>
        </w:rPr>
        <w:t>变更意向书应说明变更的具体内容和发包人对变更的时间要求，并附必要的图纸和相关资料。变  更意向书应要求承包人提交包括拟实施变更工作的计划、措施和竣工时间等内容的实施方案。发  包人同意承包人根据变更意向书要求提交的变更实施方案的，由监理人按第15.3.3项约定</w:t>
      </w:r>
      <w:r>
        <w:rPr>
          <w:spacing w:val="1"/>
          <w:sz w:val="21"/>
          <w:szCs w:val="21"/>
        </w:rPr>
        <w:t>发出变</w:t>
      </w:r>
      <w:r>
        <w:rPr>
          <w:sz w:val="21"/>
          <w:szCs w:val="21"/>
        </w:rPr>
        <w:t xml:space="preserve">  </w:t>
      </w:r>
      <w:r>
        <w:rPr>
          <w:spacing w:val="-8"/>
          <w:sz w:val="21"/>
          <w:szCs w:val="21"/>
        </w:rPr>
        <w:t>更指示。</w:t>
      </w:r>
    </w:p>
    <w:p w14:paraId="01DA20D5">
      <w:pPr>
        <w:pStyle w:val="2"/>
        <w:spacing w:before="138" w:line="299" w:lineRule="auto"/>
        <w:ind w:right="75" w:firstLine="529"/>
        <w:rPr>
          <w:sz w:val="21"/>
          <w:szCs w:val="21"/>
        </w:rPr>
      </w:pPr>
      <w:r>
        <w:rPr>
          <w:spacing w:val="3"/>
          <w:sz w:val="21"/>
          <w:szCs w:val="21"/>
        </w:rPr>
        <w:t>(2)在合同履行过程中，发生第15.1款约定情形的，监理人应按</w:t>
      </w:r>
      <w:r>
        <w:rPr>
          <w:spacing w:val="2"/>
          <w:sz w:val="21"/>
          <w:szCs w:val="21"/>
        </w:rPr>
        <w:t>照第15.3.3项约定向承包人</w:t>
      </w:r>
      <w:r>
        <w:rPr>
          <w:sz w:val="21"/>
          <w:szCs w:val="21"/>
        </w:rPr>
        <w:t xml:space="preserve"> </w:t>
      </w:r>
      <w:r>
        <w:rPr>
          <w:spacing w:val="-6"/>
          <w:sz w:val="21"/>
          <w:szCs w:val="21"/>
        </w:rPr>
        <w:t>发出变更指示。</w:t>
      </w:r>
    </w:p>
    <w:p w14:paraId="6A854F88">
      <w:pPr>
        <w:pStyle w:val="2"/>
        <w:spacing w:before="139" w:line="219" w:lineRule="auto"/>
        <w:ind w:left="529"/>
        <w:rPr>
          <w:sz w:val="21"/>
          <w:szCs w:val="21"/>
        </w:rPr>
      </w:pPr>
      <w:r>
        <w:rPr>
          <w:spacing w:val="2"/>
          <w:sz w:val="21"/>
          <w:szCs w:val="21"/>
        </w:rPr>
        <w:t>(3)承包人收到监理人按合同约定发出的图纸和文件，经检查认为其中存在第15.1款约定情</w:t>
      </w:r>
    </w:p>
    <w:p w14:paraId="54DAD84D">
      <w:pPr>
        <w:spacing w:line="219" w:lineRule="auto"/>
        <w:rPr>
          <w:sz w:val="21"/>
          <w:szCs w:val="21"/>
        </w:rPr>
        <w:sectPr>
          <w:footerReference r:id="rId131" w:type="default"/>
          <w:pgSz w:w="11910" w:h="16840"/>
          <w:pgMar w:top="400" w:right="1435" w:bottom="1024" w:left="1450" w:header="0" w:footer="889" w:gutter="0"/>
          <w:cols w:space="720" w:num="1"/>
        </w:sectPr>
      </w:pPr>
    </w:p>
    <w:p w14:paraId="3156D06F">
      <w:pPr>
        <w:spacing w:line="270" w:lineRule="auto"/>
        <w:rPr>
          <w:rFonts w:ascii="Arial"/>
          <w:sz w:val="21"/>
        </w:rPr>
      </w:pPr>
    </w:p>
    <w:p w14:paraId="64512BD6">
      <w:pPr>
        <w:spacing w:line="270" w:lineRule="auto"/>
        <w:rPr>
          <w:rFonts w:ascii="Arial"/>
          <w:sz w:val="21"/>
        </w:rPr>
      </w:pPr>
    </w:p>
    <w:p w14:paraId="6FED71E8">
      <w:pPr>
        <w:spacing w:line="270" w:lineRule="auto"/>
        <w:rPr>
          <w:rFonts w:ascii="Arial"/>
          <w:sz w:val="21"/>
        </w:rPr>
      </w:pPr>
    </w:p>
    <w:p w14:paraId="3FB6999B">
      <w:pPr>
        <w:spacing w:line="270" w:lineRule="auto"/>
        <w:rPr>
          <w:rFonts w:ascii="Arial"/>
          <w:sz w:val="21"/>
        </w:rPr>
      </w:pPr>
    </w:p>
    <w:p w14:paraId="47E6B893">
      <w:pPr>
        <w:spacing w:line="270" w:lineRule="auto"/>
        <w:rPr>
          <w:rFonts w:ascii="Arial"/>
          <w:sz w:val="21"/>
        </w:rPr>
      </w:pPr>
    </w:p>
    <w:p w14:paraId="07C80A73">
      <w:pPr>
        <w:pStyle w:val="2"/>
        <w:spacing w:before="68" w:line="352" w:lineRule="auto"/>
        <w:ind w:right="3"/>
        <w:jc w:val="both"/>
        <w:rPr>
          <w:sz w:val="21"/>
          <w:szCs w:val="21"/>
        </w:rPr>
      </w:pPr>
      <w:r>
        <w:rPr>
          <w:spacing w:val="-1"/>
          <w:sz w:val="21"/>
          <w:szCs w:val="21"/>
        </w:rPr>
        <w:t>形的，可向监理人提出书面变更建议。变更建议应阐明要求变更的依据，并附必要的图纸和说明。</w:t>
      </w:r>
      <w:r>
        <w:rPr>
          <w:sz w:val="21"/>
          <w:szCs w:val="21"/>
        </w:rPr>
        <w:t xml:space="preserve"> </w:t>
      </w:r>
      <w:r>
        <w:rPr>
          <w:spacing w:val="2"/>
          <w:sz w:val="21"/>
          <w:szCs w:val="21"/>
        </w:rPr>
        <w:t>监理人收到承包人书面建议后，应与发包人共同研究，确认存在变更的，应在收到承包人书面建</w:t>
      </w:r>
      <w:r>
        <w:rPr>
          <w:spacing w:val="14"/>
          <w:sz w:val="21"/>
          <w:szCs w:val="21"/>
        </w:rPr>
        <w:t xml:space="preserve"> </w:t>
      </w:r>
      <w:r>
        <w:rPr>
          <w:spacing w:val="3"/>
          <w:sz w:val="21"/>
          <w:szCs w:val="21"/>
        </w:rPr>
        <w:t>议后的14天内作出变更指示。经研究后不同意作为变更的，应由监理人书</w:t>
      </w:r>
      <w:r>
        <w:rPr>
          <w:spacing w:val="2"/>
          <w:sz w:val="21"/>
          <w:szCs w:val="21"/>
        </w:rPr>
        <w:t>面答复承包人。</w:t>
      </w:r>
    </w:p>
    <w:p w14:paraId="39DC5F40">
      <w:pPr>
        <w:pStyle w:val="2"/>
        <w:spacing w:line="353" w:lineRule="auto"/>
        <w:ind w:right="79" w:firstLine="539"/>
        <w:rPr>
          <w:sz w:val="21"/>
          <w:szCs w:val="21"/>
        </w:rPr>
      </w:pPr>
      <w:r>
        <w:rPr>
          <w:spacing w:val="2"/>
          <w:sz w:val="21"/>
          <w:szCs w:val="21"/>
        </w:rPr>
        <w:t>(4)若承包人收到监理人的变更意向书后认为难以实施此项变更，应立即通知监</w:t>
      </w:r>
      <w:r>
        <w:rPr>
          <w:spacing w:val="1"/>
          <w:sz w:val="21"/>
          <w:szCs w:val="21"/>
        </w:rPr>
        <w:t>理人，说明</w:t>
      </w:r>
      <w:r>
        <w:rPr>
          <w:sz w:val="21"/>
          <w:szCs w:val="21"/>
        </w:rPr>
        <w:t xml:space="preserve"> </w:t>
      </w:r>
      <w:r>
        <w:rPr>
          <w:spacing w:val="-1"/>
          <w:sz w:val="21"/>
          <w:szCs w:val="21"/>
        </w:rPr>
        <w:t>原因并附详细依据。监理人与承包人和发包人协商后确定撤销、改变或不改变原变更意</w:t>
      </w:r>
      <w:r>
        <w:rPr>
          <w:spacing w:val="-2"/>
          <w:sz w:val="21"/>
          <w:szCs w:val="21"/>
        </w:rPr>
        <w:t>向书。</w:t>
      </w:r>
    </w:p>
    <w:p w14:paraId="25176AA0">
      <w:pPr>
        <w:pStyle w:val="2"/>
        <w:spacing w:before="2" w:line="222" w:lineRule="auto"/>
        <w:ind w:left="432"/>
        <w:rPr>
          <w:rFonts w:ascii="黑体" w:hAnsi="黑体" w:eastAsia="黑体" w:cs="黑体"/>
          <w:sz w:val="21"/>
          <w:szCs w:val="21"/>
        </w:rPr>
      </w:pPr>
      <w:r>
        <w:rPr>
          <w:b/>
          <w:bCs/>
          <w:spacing w:val="-13"/>
          <w:sz w:val="21"/>
          <w:szCs w:val="21"/>
        </w:rPr>
        <w:t>15.3.2</w:t>
      </w:r>
      <w:r>
        <w:rPr>
          <w:spacing w:val="-13"/>
          <w:sz w:val="21"/>
          <w:szCs w:val="21"/>
        </w:rPr>
        <w:t xml:space="preserve"> </w:t>
      </w:r>
      <w:r>
        <w:rPr>
          <w:rFonts w:ascii="黑体" w:hAnsi="黑体" w:eastAsia="黑体" w:cs="黑体"/>
          <w:b/>
          <w:bCs/>
          <w:spacing w:val="-13"/>
          <w:sz w:val="21"/>
          <w:szCs w:val="21"/>
        </w:rPr>
        <w:t>变更估价</w:t>
      </w:r>
    </w:p>
    <w:p w14:paraId="2657FEFB">
      <w:pPr>
        <w:pStyle w:val="2"/>
        <w:spacing w:before="119" w:line="313" w:lineRule="auto"/>
        <w:ind w:right="86" w:firstLine="539"/>
        <w:rPr>
          <w:sz w:val="21"/>
          <w:szCs w:val="21"/>
        </w:rPr>
      </w:pPr>
      <w:r>
        <w:rPr>
          <w:spacing w:val="7"/>
          <w:sz w:val="21"/>
          <w:szCs w:val="21"/>
        </w:rPr>
        <w:t>(1)除专用合同条款对期限另有约定外，承包人应在收到变</w:t>
      </w:r>
      <w:r>
        <w:rPr>
          <w:spacing w:val="6"/>
          <w:sz w:val="21"/>
          <w:szCs w:val="21"/>
        </w:rPr>
        <w:t>更指示或变更意向书后的14天</w:t>
      </w:r>
      <w:r>
        <w:rPr>
          <w:sz w:val="21"/>
          <w:szCs w:val="21"/>
        </w:rPr>
        <w:t xml:space="preserve"> </w:t>
      </w:r>
      <w:r>
        <w:rPr>
          <w:spacing w:val="2"/>
          <w:sz w:val="21"/>
          <w:szCs w:val="21"/>
        </w:rPr>
        <w:t>内，向监理人提交变更报价书，报价内容应根据第15.4款约定的估价原则，详细开列变</w:t>
      </w:r>
      <w:r>
        <w:rPr>
          <w:spacing w:val="1"/>
          <w:sz w:val="21"/>
          <w:szCs w:val="21"/>
        </w:rPr>
        <w:t>更工作的</w:t>
      </w:r>
      <w:r>
        <w:rPr>
          <w:sz w:val="21"/>
          <w:szCs w:val="21"/>
        </w:rPr>
        <w:t xml:space="preserve"> </w:t>
      </w:r>
      <w:r>
        <w:rPr>
          <w:spacing w:val="-2"/>
          <w:sz w:val="21"/>
          <w:szCs w:val="21"/>
        </w:rPr>
        <w:t>价格组成及其依据，并附必要的施工方法说明和有关图纸。</w:t>
      </w:r>
    </w:p>
    <w:p w14:paraId="2F5C5144">
      <w:pPr>
        <w:pStyle w:val="2"/>
        <w:spacing w:before="153" w:line="290" w:lineRule="auto"/>
        <w:ind w:right="41" w:firstLine="539"/>
        <w:rPr>
          <w:sz w:val="21"/>
          <w:szCs w:val="21"/>
        </w:rPr>
      </w:pPr>
      <w:r>
        <w:rPr>
          <w:spacing w:val="3"/>
          <w:sz w:val="21"/>
          <w:szCs w:val="21"/>
        </w:rPr>
        <w:t>(2)变更工作影响工期的，承包人应提出调整工期的具体细节。监理人</w:t>
      </w:r>
      <w:r>
        <w:rPr>
          <w:spacing w:val="2"/>
          <w:sz w:val="21"/>
          <w:szCs w:val="21"/>
        </w:rPr>
        <w:t>认为有必要时，可要</w:t>
      </w:r>
      <w:r>
        <w:rPr>
          <w:sz w:val="21"/>
          <w:szCs w:val="21"/>
        </w:rPr>
        <w:t xml:space="preserve"> </w:t>
      </w:r>
      <w:r>
        <w:rPr>
          <w:spacing w:val="-1"/>
          <w:sz w:val="21"/>
          <w:szCs w:val="21"/>
        </w:rPr>
        <w:t>求承包人提交要求提前或延长工期的施工进度计划及相应施工措施</w:t>
      </w:r>
      <w:r>
        <w:rPr>
          <w:spacing w:val="-2"/>
          <w:sz w:val="21"/>
          <w:szCs w:val="21"/>
        </w:rPr>
        <w:t>等详细资料。</w:t>
      </w:r>
    </w:p>
    <w:p w14:paraId="2C33A4C9">
      <w:pPr>
        <w:pStyle w:val="2"/>
        <w:spacing w:before="149" w:line="285" w:lineRule="auto"/>
        <w:ind w:right="89" w:firstLine="539"/>
        <w:rPr>
          <w:sz w:val="21"/>
          <w:szCs w:val="21"/>
        </w:rPr>
      </w:pPr>
      <w:r>
        <w:rPr>
          <w:spacing w:val="7"/>
          <w:sz w:val="21"/>
          <w:szCs w:val="21"/>
        </w:rPr>
        <w:t>(3)除专用合同条款对期限另有约定外，监理人收到承包人变更报</w:t>
      </w:r>
      <w:r>
        <w:rPr>
          <w:spacing w:val="6"/>
          <w:sz w:val="21"/>
          <w:szCs w:val="21"/>
        </w:rPr>
        <w:t>价书后的14天内，根据</w:t>
      </w:r>
      <w:r>
        <w:rPr>
          <w:sz w:val="21"/>
          <w:szCs w:val="21"/>
        </w:rPr>
        <w:t xml:space="preserve"> </w:t>
      </w:r>
      <w:r>
        <w:rPr>
          <w:spacing w:val="4"/>
          <w:sz w:val="21"/>
          <w:szCs w:val="21"/>
        </w:rPr>
        <w:t>第15.4款约定的估价原则，按照第3.5款商定或确</w:t>
      </w:r>
      <w:r>
        <w:rPr>
          <w:spacing w:val="3"/>
          <w:sz w:val="21"/>
          <w:szCs w:val="21"/>
        </w:rPr>
        <w:t>定变更价格。</w:t>
      </w:r>
    </w:p>
    <w:p w14:paraId="0A4F8223">
      <w:pPr>
        <w:spacing w:before="149" w:line="222" w:lineRule="auto"/>
        <w:ind w:left="432"/>
        <w:rPr>
          <w:rFonts w:ascii="黑体" w:hAnsi="黑体" w:eastAsia="黑体" w:cs="黑体"/>
          <w:sz w:val="21"/>
          <w:szCs w:val="21"/>
        </w:rPr>
      </w:pPr>
      <w:r>
        <w:rPr>
          <w:rFonts w:ascii="黑体" w:hAnsi="黑体" w:eastAsia="黑体" w:cs="黑体"/>
          <w:b/>
          <w:bCs/>
          <w:spacing w:val="-4"/>
          <w:sz w:val="21"/>
          <w:szCs w:val="21"/>
        </w:rPr>
        <w:t>15.3.3变更指示</w:t>
      </w:r>
    </w:p>
    <w:p w14:paraId="034F5F5B">
      <w:pPr>
        <w:pStyle w:val="2"/>
        <w:spacing w:before="143" w:line="220" w:lineRule="auto"/>
        <w:ind w:left="539"/>
        <w:rPr>
          <w:sz w:val="21"/>
          <w:szCs w:val="21"/>
        </w:rPr>
      </w:pPr>
      <w:r>
        <w:rPr>
          <w:spacing w:val="6"/>
          <w:sz w:val="21"/>
          <w:szCs w:val="21"/>
        </w:rPr>
        <w:t>(1)变更指示只能由监理人发出。</w:t>
      </w:r>
    </w:p>
    <w:p w14:paraId="0AB424BE">
      <w:pPr>
        <w:pStyle w:val="2"/>
        <w:spacing w:before="138" w:line="294" w:lineRule="auto"/>
        <w:ind w:right="77" w:firstLine="539"/>
        <w:rPr>
          <w:sz w:val="21"/>
          <w:szCs w:val="21"/>
        </w:rPr>
      </w:pPr>
      <w:r>
        <w:rPr>
          <w:spacing w:val="2"/>
          <w:sz w:val="21"/>
          <w:szCs w:val="21"/>
        </w:rPr>
        <w:t>(2)变更指示应说明变更的目的、范围、变更内容以及变更的工程量及其进度和技术</w:t>
      </w:r>
      <w:r>
        <w:rPr>
          <w:spacing w:val="1"/>
          <w:sz w:val="21"/>
          <w:szCs w:val="21"/>
        </w:rPr>
        <w:t>要求，</w:t>
      </w:r>
      <w:r>
        <w:rPr>
          <w:sz w:val="21"/>
          <w:szCs w:val="21"/>
        </w:rPr>
        <w:t xml:space="preserve"> </w:t>
      </w:r>
      <w:r>
        <w:rPr>
          <w:spacing w:val="-1"/>
          <w:sz w:val="21"/>
          <w:szCs w:val="21"/>
        </w:rPr>
        <w:t>并附有关图纸和文件。承包人收到变更指示后，应按变</w:t>
      </w:r>
      <w:r>
        <w:rPr>
          <w:spacing w:val="-2"/>
          <w:sz w:val="21"/>
          <w:szCs w:val="21"/>
        </w:rPr>
        <w:t>更指示进行变更工作。</w:t>
      </w:r>
    </w:p>
    <w:p w14:paraId="1F418F55">
      <w:pPr>
        <w:pStyle w:val="2"/>
        <w:spacing w:before="128" w:line="222" w:lineRule="auto"/>
        <w:ind w:left="3"/>
        <w:rPr>
          <w:rFonts w:ascii="黑体" w:hAnsi="黑体" w:eastAsia="黑体" w:cs="黑体"/>
          <w:sz w:val="24"/>
          <w:szCs w:val="24"/>
        </w:rPr>
      </w:pPr>
      <w:r>
        <w:rPr>
          <w:b/>
          <w:bCs/>
          <w:spacing w:val="-8"/>
          <w:sz w:val="24"/>
          <w:szCs w:val="24"/>
        </w:rPr>
        <w:t>15.4</w:t>
      </w:r>
      <w:r>
        <w:rPr>
          <w:spacing w:val="-8"/>
          <w:sz w:val="24"/>
          <w:szCs w:val="24"/>
        </w:rPr>
        <w:t xml:space="preserve"> </w:t>
      </w:r>
      <w:r>
        <w:rPr>
          <w:rFonts w:ascii="黑体" w:hAnsi="黑体" w:eastAsia="黑体" w:cs="黑体"/>
          <w:b/>
          <w:bCs/>
          <w:spacing w:val="-8"/>
          <w:sz w:val="24"/>
          <w:szCs w:val="24"/>
        </w:rPr>
        <w:t>变更的估价原则</w:t>
      </w:r>
    </w:p>
    <w:p w14:paraId="5BDC6ED6">
      <w:pPr>
        <w:pStyle w:val="2"/>
        <w:spacing w:before="134" w:line="218" w:lineRule="auto"/>
        <w:ind w:left="429"/>
        <w:rPr>
          <w:sz w:val="21"/>
          <w:szCs w:val="21"/>
        </w:rPr>
      </w:pPr>
      <w:r>
        <w:rPr>
          <w:sz w:val="21"/>
          <w:szCs w:val="21"/>
        </w:rPr>
        <w:t>除专用合同条款另有约定外，因变更引起的价格调整按照本</w:t>
      </w:r>
      <w:r>
        <w:rPr>
          <w:spacing w:val="-1"/>
          <w:sz w:val="21"/>
          <w:szCs w:val="21"/>
        </w:rPr>
        <w:t>款约定处理。</w:t>
      </w:r>
    </w:p>
    <w:p w14:paraId="7E8FB91C">
      <w:pPr>
        <w:pStyle w:val="2"/>
        <w:spacing w:before="152" w:line="218" w:lineRule="auto"/>
        <w:ind w:left="429"/>
        <w:rPr>
          <w:sz w:val="21"/>
          <w:szCs w:val="21"/>
        </w:rPr>
      </w:pPr>
      <w:r>
        <w:rPr>
          <w:sz w:val="21"/>
          <w:szCs w:val="21"/>
        </w:rPr>
        <w:t>15.4.1已标价工程量清单中有适用于变更</w:t>
      </w:r>
      <w:r>
        <w:rPr>
          <w:spacing w:val="-1"/>
          <w:sz w:val="21"/>
          <w:szCs w:val="21"/>
        </w:rPr>
        <w:t>工作的子目的，采用该子目的单价。</w:t>
      </w:r>
    </w:p>
    <w:p w14:paraId="1BD60236">
      <w:pPr>
        <w:pStyle w:val="2"/>
        <w:spacing w:before="163" w:line="280" w:lineRule="auto"/>
        <w:ind w:right="72" w:firstLine="429"/>
        <w:rPr>
          <w:sz w:val="21"/>
          <w:szCs w:val="21"/>
        </w:rPr>
      </w:pPr>
      <w:r>
        <w:rPr>
          <w:rFonts w:ascii="Times New Roman" w:hAnsi="Times New Roman" w:eastAsia="Times New Roman" w:cs="Times New Roman"/>
          <w:spacing w:val="1"/>
          <w:sz w:val="21"/>
          <w:szCs w:val="21"/>
        </w:rPr>
        <w:t xml:space="preserve">15.4.2   </w:t>
      </w:r>
      <w:r>
        <w:rPr>
          <w:spacing w:val="1"/>
          <w:sz w:val="21"/>
          <w:szCs w:val="21"/>
        </w:rPr>
        <w:t>已标价工程量清单中无适用于变更工作的子目，但有类似子目</w:t>
      </w:r>
      <w:r>
        <w:rPr>
          <w:sz w:val="21"/>
          <w:szCs w:val="21"/>
        </w:rPr>
        <w:t xml:space="preserve">的，可在合理范围内参 </w:t>
      </w:r>
      <w:r>
        <w:rPr>
          <w:spacing w:val="1"/>
          <w:sz w:val="21"/>
          <w:szCs w:val="21"/>
        </w:rPr>
        <w:t>照类似子目的单价，由监理人按第3.5款商定或确定变更工作的单价。</w:t>
      </w:r>
    </w:p>
    <w:p w14:paraId="4AAE50FC">
      <w:pPr>
        <w:pStyle w:val="2"/>
        <w:spacing w:before="151" w:line="285" w:lineRule="auto"/>
        <w:ind w:right="73" w:firstLine="429"/>
        <w:rPr>
          <w:sz w:val="21"/>
          <w:szCs w:val="21"/>
        </w:rPr>
      </w:pPr>
      <w:r>
        <w:rPr>
          <w:sz w:val="21"/>
          <w:szCs w:val="21"/>
        </w:rPr>
        <w:t>15.4.3 已标价工程量清单中无适用或类似子目的单</w:t>
      </w:r>
      <w:r>
        <w:rPr>
          <w:spacing w:val="-1"/>
          <w:sz w:val="21"/>
          <w:szCs w:val="21"/>
        </w:rPr>
        <w:t>价，可按照成本加利润的原则，由监理人</w:t>
      </w:r>
      <w:r>
        <w:rPr>
          <w:sz w:val="21"/>
          <w:szCs w:val="21"/>
        </w:rPr>
        <w:t xml:space="preserve"> </w:t>
      </w:r>
      <w:r>
        <w:rPr>
          <w:spacing w:val="2"/>
          <w:sz w:val="21"/>
          <w:szCs w:val="21"/>
        </w:rPr>
        <w:t>按第3.5款商定或确定变更工作的单价。</w:t>
      </w:r>
    </w:p>
    <w:p w14:paraId="0FD6D314">
      <w:pPr>
        <w:pStyle w:val="2"/>
        <w:spacing w:before="120" w:line="222" w:lineRule="auto"/>
        <w:ind w:left="3"/>
        <w:rPr>
          <w:rFonts w:ascii="黑体" w:hAnsi="黑体" w:eastAsia="黑体" w:cs="黑体"/>
          <w:sz w:val="24"/>
          <w:szCs w:val="24"/>
        </w:rPr>
      </w:pPr>
      <w:r>
        <w:rPr>
          <w:b/>
          <w:bCs/>
          <w:spacing w:val="-9"/>
          <w:sz w:val="24"/>
          <w:szCs w:val="24"/>
        </w:rPr>
        <w:t>15.5</w:t>
      </w:r>
      <w:r>
        <w:rPr>
          <w:spacing w:val="-9"/>
          <w:sz w:val="24"/>
          <w:szCs w:val="24"/>
        </w:rPr>
        <w:t xml:space="preserve"> </w:t>
      </w:r>
      <w:r>
        <w:rPr>
          <w:rFonts w:ascii="黑体" w:hAnsi="黑体" w:eastAsia="黑体" w:cs="黑体"/>
          <w:b/>
          <w:bCs/>
          <w:spacing w:val="-9"/>
          <w:sz w:val="24"/>
          <w:szCs w:val="24"/>
        </w:rPr>
        <w:t>承包人的合理化建议</w:t>
      </w:r>
    </w:p>
    <w:p w14:paraId="0D4DB88C">
      <w:pPr>
        <w:pStyle w:val="2"/>
        <w:spacing w:before="127" w:line="318" w:lineRule="auto"/>
        <w:ind w:firstLine="429"/>
        <w:rPr>
          <w:sz w:val="21"/>
          <w:szCs w:val="21"/>
        </w:rPr>
      </w:pPr>
      <w:r>
        <w:rPr>
          <w:spacing w:val="2"/>
          <w:sz w:val="21"/>
          <w:szCs w:val="21"/>
        </w:rPr>
        <w:t>15.5.1在履行合同过程中，承包人对发包人提供的图纸、技术要求以及其他方面提出的合理</w:t>
      </w:r>
      <w:r>
        <w:rPr>
          <w:sz w:val="21"/>
          <w:szCs w:val="21"/>
        </w:rPr>
        <w:t xml:space="preserve"> </w:t>
      </w:r>
      <w:r>
        <w:rPr>
          <w:spacing w:val="2"/>
          <w:sz w:val="21"/>
          <w:szCs w:val="21"/>
        </w:rPr>
        <w:t>化建议，均应以书面形式提交监理人。合理化建议书的内容应包括建议工作的详</w:t>
      </w:r>
      <w:r>
        <w:rPr>
          <w:spacing w:val="1"/>
          <w:sz w:val="21"/>
          <w:szCs w:val="21"/>
        </w:rPr>
        <w:t>细说明、进度计</w:t>
      </w:r>
      <w:r>
        <w:rPr>
          <w:sz w:val="21"/>
          <w:szCs w:val="21"/>
        </w:rPr>
        <w:t xml:space="preserve">  </w:t>
      </w:r>
      <w:r>
        <w:rPr>
          <w:spacing w:val="-1"/>
          <w:sz w:val="21"/>
          <w:szCs w:val="21"/>
        </w:rPr>
        <w:t>划和效益以及与其他工作的协调等，并附必要的设计文件。监理人应与发包人协商是否采纳建议。</w:t>
      </w:r>
      <w:r>
        <w:rPr>
          <w:spacing w:val="4"/>
          <w:sz w:val="21"/>
          <w:szCs w:val="21"/>
        </w:rPr>
        <w:t xml:space="preserve"> </w:t>
      </w:r>
      <w:r>
        <w:rPr>
          <w:sz w:val="21"/>
          <w:szCs w:val="21"/>
        </w:rPr>
        <w:t>建议被采纳并构成变更的，应按第15.3.3项约定向承包人发出变更指示。</w:t>
      </w:r>
    </w:p>
    <w:p w14:paraId="4BB3FCA0">
      <w:pPr>
        <w:pStyle w:val="2"/>
        <w:spacing w:before="179" w:line="282" w:lineRule="auto"/>
        <w:ind w:right="97" w:firstLine="429"/>
        <w:rPr>
          <w:sz w:val="21"/>
          <w:szCs w:val="21"/>
        </w:rPr>
      </w:pPr>
      <w:r>
        <w:rPr>
          <w:spacing w:val="-1"/>
          <w:sz w:val="21"/>
          <w:szCs w:val="21"/>
        </w:rPr>
        <w:t>15.5.2 承包人提出的合理化建议降低了合同价格、缩短了工期或者提高了工程经济效益的，</w:t>
      </w:r>
      <w:r>
        <w:rPr>
          <w:spacing w:val="3"/>
          <w:sz w:val="21"/>
          <w:szCs w:val="21"/>
        </w:rPr>
        <w:t xml:space="preserve"> </w:t>
      </w:r>
      <w:r>
        <w:rPr>
          <w:spacing w:val="-2"/>
          <w:sz w:val="21"/>
          <w:szCs w:val="21"/>
        </w:rPr>
        <w:t>发包人可按国家有关规定在专用合同条款中约定给予奖励。</w:t>
      </w:r>
    </w:p>
    <w:p w14:paraId="32BF50D1">
      <w:pPr>
        <w:pStyle w:val="2"/>
        <w:spacing w:before="107" w:line="222" w:lineRule="auto"/>
        <w:ind w:left="3"/>
        <w:rPr>
          <w:rFonts w:ascii="黑体" w:hAnsi="黑体" w:eastAsia="黑体" w:cs="黑体"/>
          <w:sz w:val="24"/>
          <w:szCs w:val="24"/>
        </w:rPr>
      </w:pPr>
      <w:r>
        <w:rPr>
          <w:b/>
          <w:bCs/>
          <w:spacing w:val="-11"/>
          <w:sz w:val="24"/>
          <w:szCs w:val="24"/>
        </w:rPr>
        <w:t>15.6</w:t>
      </w:r>
      <w:r>
        <w:rPr>
          <w:spacing w:val="-11"/>
          <w:sz w:val="24"/>
          <w:szCs w:val="24"/>
        </w:rPr>
        <w:t xml:space="preserve"> </w:t>
      </w:r>
      <w:r>
        <w:rPr>
          <w:rFonts w:ascii="黑体" w:hAnsi="黑体" w:eastAsia="黑体" w:cs="黑体"/>
          <w:b/>
          <w:bCs/>
          <w:spacing w:val="-11"/>
          <w:sz w:val="24"/>
          <w:szCs w:val="24"/>
        </w:rPr>
        <w:t>暂列金额</w:t>
      </w:r>
    </w:p>
    <w:p w14:paraId="1F652E48">
      <w:pPr>
        <w:pStyle w:val="2"/>
        <w:spacing w:before="154" w:line="218" w:lineRule="auto"/>
        <w:ind w:left="429"/>
        <w:rPr>
          <w:sz w:val="21"/>
          <w:szCs w:val="21"/>
        </w:rPr>
      </w:pPr>
      <w:r>
        <w:rPr>
          <w:sz w:val="21"/>
          <w:szCs w:val="21"/>
        </w:rPr>
        <w:t>暂列金额只能按照监理人的指示使用，并对合同价格进</w:t>
      </w:r>
      <w:r>
        <w:rPr>
          <w:spacing w:val="-1"/>
          <w:sz w:val="21"/>
          <w:szCs w:val="21"/>
        </w:rPr>
        <w:t>行相应调整。</w:t>
      </w:r>
    </w:p>
    <w:p w14:paraId="49245942">
      <w:pPr>
        <w:spacing w:line="218" w:lineRule="auto"/>
        <w:rPr>
          <w:sz w:val="21"/>
          <w:szCs w:val="21"/>
        </w:rPr>
        <w:sectPr>
          <w:footerReference r:id="rId132" w:type="default"/>
          <w:pgSz w:w="11910" w:h="16840"/>
          <w:pgMar w:top="400" w:right="1467" w:bottom="1024" w:left="1450" w:header="0" w:footer="889" w:gutter="0"/>
          <w:cols w:space="720" w:num="1"/>
        </w:sectPr>
      </w:pPr>
    </w:p>
    <w:p w14:paraId="6B202F4A">
      <w:pPr>
        <w:spacing w:line="271" w:lineRule="auto"/>
        <w:rPr>
          <w:rFonts w:ascii="Arial"/>
          <w:sz w:val="21"/>
        </w:rPr>
      </w:pPr>
    </w:p>
    <w:p w14:paraId="0167F66D">
      <w:pPr>
        <w:spacing w:line="271" w:lineRule="auto"/>
        <w:rPr>
          <w:rFonts w:ascii="Arial"/>
          <w:sz w:val="21"/>
        </w:rPr>
      </w:pPr>
    </w:p>
    <w:p w14:paraId="3B572089">
      <w:pPr>
        <w:spacing w:line="271" w:lineRule="auto"/>
        <w:rPr>
          <w:rFonts w:ascii="Arial"/>
          <w:sz w:val="21"/>
        </w:rPr>
      </w:pPr>
    </w:p>
    <w:p w14:paraId="75B155B3">
      <w:pPr>
        <w:spacing w:line="272" w:lineRule="auto"/>
        <w:rPr>
          <w:rFonts w:ascii="Arial"/>
          <w:sz w:val="21"/>
        </w:rPr>
      </w:pPr>
    </w:p>
    <w:p w14:paraId="2D47524C">
      <w:pPr>
        <w:spacing w:line="272" w:lineRule="auto"/>
        <w:rPr>
          <w:rFonts w:ascii="Arial"/>
          <w:sz w:val="21"/>
        </w:rPr>
      </w:pPr>
    </w:p>
    <w:p w14:paraId="66E3966A">
      <w:pPr>
        <w:spacing w:before="65" w:line="224" w:lineRule="auto"/>
        <w:ind w:left="20"/>
        <w:rPr>
          <w:rFonts w:ascii="黑体" w:hAnsi="黑体" w:eastAsia="黑体" w:cs="黑体"/>
          <w:sz w:val="20"/>
          <w:szCs w:val="20"/>
        </w:rPr>
      </w:pPr>
      <w:r>
        <w:rPr>
          <w:rFonts w:ascii="黑体" w:hAnsi="黑体" w:eastAsia="黑体" w:cs="黑体"/>
          <w:spacing w:val="-14"/>
          <w:sz w:val="20"/>
          <w:szCs w:val="20"/>
        </w:rPr>
        <w:t>1</w:t>
      </w:r>
      <w:r>
        <w:rPr>
          <w:rFonts w:ascii="黑体" w:hAnsi="黑体" w:eastAsia="黑体" w:cs="黑体"/>
          <w:spacing w:val="-46"/>
          <w:sz w:val="20"/>
          <w:szCs w:val="20"/>
        </w:rPr>
        <w:t xml:space="preserve"> </w:t>
      </w:r>
      <w:r>
        <w:rPr>
          <w:rFonts w:ascii="黑体" w:hAnsi="黑体" w:eastAsia="黑体" w:cs="黑体"/>
          <w:spacing w:val="-14"/>
          <w:sz w:val="20"/>
          <w:szCs w:val="20"/>
        </w:rPr>
        <w:t>5</w:t>
      </w:r>
      <w:r>
        <w:rPr>
          <w:rFonts w:ascii="黑体" w:hAnsi="黑体" w:eastAsia="黑体" w:cs="黑体"/>
          <w:spacing w:val="-36"/>
          <w:sz w:val="20"/>
          <w:szCs w:val="20"/>
        </w:rPr>
        <w:t xml:space="preserve"> </w:t>
      </w:r>
      <w:r>
        <w:rPr>
          <w:rFonts w:ascii="黑体" w:hAnsi="黑体" w:eastAsia="黑体" w:cs="黑体"/>
          <w:spacing w:val="-14"/>
          <w:sz w:val="20"/>
          <w:szCs w:val="20"/>
        </w:rPr>
        <w:t>.</w:t>
      </w:r>
      <w:r>
        <w:rPr>
          <w:rFonts w:ascii="黑体" w:hAnsi="黑体" w:eastAsia="黑体" w:cs="黑体"/>
          <w:spacing w:val="-44"/>
          <w:sz w:val="20"/>
          <w:szCs w:val="20"/>
        </w:rPr>
        <w:t xml:space="preserve"> </w:t>
      </w:r>
      <w:r>
        <w:rPr>
          <w:rFonts w:ascii="黑体" w:hAnsi="黑体" w:eastAsia="黑体" w:cs="黑体"/>
          <w:spacing w:val="-14"/>
          <w:sz w:val="20"/>
          <w:szCs w:val="20"/>
        </w:rPr>
        <w:t>7</w:t>
      </w:r>
      <w:r>
        <w:rPr>
          <w:rFonts w:ascii="黑体" w:hAnsi="黑体" w:eastAsia="黑体" w:cs="黑体"/>
          <w:spacing w:val="-43"/>
          <w:sz w:val="20"/>
          <w:szCs w:val="20"/>
        </w:rPr>
        <w:t xml:space="preserve"> </w:t>
      </w:r>
      <w:r>
        <w:rPr>
          <w:rFonts w:ascii="黑体" w:hAnsi="黑体" w:eastAsia="黑体" w:cs="黑体"/>
          <w:spacing w:val="-14"/>
          <w:sz w:val="20"/>
          <w:szCs w:val="20"/>
        </w:rPr>
        <w:t>计 日</w:t>
      </w:r>
      <w:r>
        <w:rPr>
          <w:rFonts w:ascii="黑体" w:hAnsi="黑体" w:eastAsia="黑体" w:cs="黑体"/>
          <w:spacing w:val="-43"/>
          <w:sz w:val="20"/>
          <w:szCs w:val="20"/>
        </w:rPr>
        <w:t xml:space="preserve"> </w:t>
      </w:r>
      <w:r>
        <w:rPr>
          <w:rFonts w:ascii="黑体" w:hAnsi="黑体" w:eastAsia="黑体" w:cs="黑体"/>
          <w:spacing w:val="-14"/>
          <w:sz w:val="20"/>
          <w:szCs w:val="20"/>
        </w:rPr>
        <w:t>工</w:t>
      </w:r>
    </w:p>
    <w:p w14:paraId="766DDB22">
      <w:pPr>
        <w:pStyle w:val="2"/>
        <w:spacing w:before="172" w:line="294" w:lineRule="auto"/>
        <w:ind w:left="20" w:right="39" w:firstLine="409"/>
        <w:rPr>
          <w:sz w:val="20"/>
          <w:szCs w:val="20"/>
        </w:rPr>
      </w:pPr>
      <w:r>
        <w:rPr>
          <w:spacing w:val="11"/>
          <w:sz w:val="20"/>
          <w:szCs w:val="20"/>
        </w:rPr>
        <w:t>15.7.1发包人认为有必要时，由监理人通知承包人以计日工方式实施变更的零星工作。其价</w:t>
      </w:r>
      <w:r>
        <w:rPr>
          <w:spacing w:val="4"/>
          <w:sz w:val="20"/>
          <w:szCs w:val="20"/>
        </w:rPr>
        <w:t xml:space="preserve"> </w:t>
      </w:r>
      <w:r>
        <w:rPr>
          <w:spacing w:val="9"/>
          <w:sz w:val="20"/>
          <w:szCs w:val="20"/>
        </w:rPr>
        <w:t>款按列入已标价工程量清单中的计日工计价子目及其单价进行计</w:t>
      </w:r>
      <w:r>
        <w:rPr>
          <w:spacing w:val="8"/>
          <w:sz w:val="20"/>
          <w:szCs w:val="20"/>
        </w:rPr>
        <w:t>算。</w:t>
      </w:r>
    </w:p>
    <w:p w14:paraId="5CA10564">
      <w:pPr>
        <w:pStyle w:val="2"/>
        <w:spacing w:before="144" w:line="304" w:lineRule="auto"/>
        <w:ind w:left="30" w:right="22" w:firstLine="409"/>
        <w:rPr>
          <w:sz w:val="20"/>
          <w:szCs w:val="20"/>
        </w:rPr>
      </w:pPr>
      <w:r>
        <w:rPr>
          <w:spacing w:val="11"/>
          <w:sz w:val="20"/>
          <w:szCs w:val="20"/>
        </w:rPr>
        <w:t xml:space="preserve">15.7.2采用计日工计价的任何一项变更工作，应从暂列金额中支付，承包人应在该项变更的 </w:t>
      </w:r>
      <w:r>
        <w:rPr>
          <w:spacing w:val="8"/>
          <w:sz w:val="20"/>
          <w:szCs w:val="20"/>
        </w:rPr>
        <w:t>实施过程中，每天提交以下报表和有关凭证报送监理人审批：</w:t>
      </w:r>
    </w:p>
    <w:p w14:paraId="733E5E33">
      <w:pPr>
        <w:pStyle w:val="2"/>
        <w:spacing w:before="162" w:line="219" w:lineRule="auto"/>
        <w:ind w:left="850"/>
        <w:rPr>
          <w:sz w:val="20"/>
          <w:szCs w:val="20"/>
        </w:rPr>
      </w:pPr>
      <w:r>
        <w:rPr>
          <w:spacing w:val="12"/>
          <w:sz w:val="20"/>
          <w:szCs w:val="20"/>
        </w:rPr>
        <w:t>(1)工作名称、内容和数量；</w:t>
      </w:r>
    </w:p>
    <w:p w14:paraId="61C3F671">
      <w:pPr>
        <w:pStyle w:val="2"/>
        <w:spacing w:before="152" w:line="219" w:lineRule="auto"/>
        <w:ind w:left="850"/>
        <w:rPr>
          <w:sz w:val="20"/>
          <w:szCs w:val="20"/>
        </w:rPr>
      </w:pPr>
      <w:r>
        <w:rPr>
          <w:spacing w:val="12"/>
          <w:sz w:val="20"/>
          <w:szCs w:val="20"/>
        </w:rPr>
        <w:t>(2)投入该工作所有人员的姓名、工种、级别</w:t>
      </w:r>
      <w:r>
        <w:rPr>
          <w:spacing w:val="11"/>
          <w:sz w:val="20"/>
          <w:szCs w:val="20"/>
        </w:rPr>
        <w:t>和耗用工时；</w:t>
      </w:r>
    </w:p>
    <w:p w14:paraId="1E6F6CDA">
      <w:pPr>
        <w:pStyle w:val="2"/>
        <w:spacing w:before="171" w:line="219" w:lineRule="auto"/>
        <w:ind w:left="840"/>
        <w:rPr>
          <w:sz w:val="20"/>
          <w:szCs w:val="20"/>
        </w:rPr>
      </w:pPr>
      <w:r>
        <w:rPr>
          <w:spacing w:val="12"/>
          <w:sz w:val="20"/>
          <w:szCs w:val="20"/>
        </w:rPr>
        <w:t>(3)投入该工作的材料类别和数量；</w:t>
      </w:r>
    </w:p>
    <w:p w14:paraId="3F3AFB35">
      <w:pPr>
        <w:pStyle w:val="2"/>
        <w:spacing w:before="154" w:line="219" w:lineRule="auto"/>
        <w:ind w:left="840"/>
        <w:rPr>
          <w:sz w:val="20"/>
          <w:szCs w:val="20"/>
        </w:rPr>
      </w:pPr>
      <w:r>
        <w:rPr>
          <w:spacing w:val="12"/>
          <w:sz w:val="20"/>
          <w:szCs w:val="20"/>
        </w:rPr>
        <w:t>(4)投入该工作的施工设备型号、台数和耗用台时；</w:t>
      </w:r>
    </w:p>
    <w:p w14:paraId="33DD0D56">
      <w:pPr>
        <w:pStyle w:val="2"/>
        <w:spacing w:before="153" w:line="219" w:lineRule="auto"/>
        <w:ind w:left="840"/>
        <w:rPr>
          <w:sz w:val="20"/>
          <w:szCs w:val="20"/>
        </w:rPr>
      </w:pPr>
      <w:r>
        <w:rPr>
          <w:spacing w:val="13"/>
          <w:sz w:val="20"/>
          <w:szCs w:val="20"/>
        </w:rPr>
        <w:t>(5)监理人要求提交的其他资料和凭证。</w:t>
      </w:r>
    </w:p>
    <w:p w14:paraId="06FC602C">
      <w:pPr>
        <w:pStyle w:val="2"/>
        <w:spacing w:before="172" w:line="374" w:lineRule="auto"/>
        <w:ind w:left="20" w:firstLine="409"/>
        <w:rPr>
          <w:sz w:val="20"/>
          <w:szCs w:val="20"/>
        </w:rPr>
      </w:pPr>
      <w:r>
        <w:rPr>
          <w:spacing w:val="11"/>
          <w:sz w:val="20"/>
          <w:szCs w:val="20"/>
        </w:rPr>
        <w:t xml:space="preserve">15.7.3计日工由承包人汇总后，按第17.3.2项的约定列入进度付款申请单，由监理人复核并 </w:t>
      </w:r>
      <w:r>
        <w:rPr>
          <w:spacing w:val="7"/>
          <w:sz w:val="20"/>
          <w:szCs w:val="20"/>
        </w:rPr>
        <w:t>经发包人同意后列入进度付款。</w:t>
      </w:r>
    </w:p>
    <w:p w14:paraId="46898E94">
      <w:pPr>
        <w:spacing w:line="221" w:lineRule="auto"/>
        <w:ind w:left="30"/>
        <w:rPr>
          <w:rFonts w:ascii="黑体" w:hAnsi="黑体" w:eastAsia="黑体" w:cs="黑体"/>
          <w:sz w:val="20"/>
          <w:szCs w:val="20"/>
        </w:rPr>
      </w:pPr>
      <w:r>
        <w:rPr>
          <w:rFonts w:ascii="黑体" w:hAnsi="黑体" w:eastAsia="黑体" w:cs="黑体"/>
          <w:spacing w:val="19"/>
          <w:sz w:val="20"/>
          <w:szCs w:val="20"/>
        </w:rPr>
        <w:t>15</w:t>
      </w:r>
      <w:r>
        <w:rPr>
          <w:rFonts w:ascii="黑体" w:hAnsi="黑体" w:eastAsia="黑体" w:cs="黑体"/>
          <w:spacing w:val="-36"/>
          <w:sz w:val="20"/>
          <w:szCs w:val="20"/>
        </w:rPr>
        <w:t xml:space="preserve"> </w:t>
      </w:r>
      <w:r>
        <w:rPr>
          <w:rFonts w:ascii="黑体" w:hAnsi="黑体" w:eastAsia="黑体" w:cs="黑体"/>
          <w:spacing w:val="19"/>
          <w:sz w:val="20"/>
          <w:szCs w:val="20"/>
        </w:rPr>
        <w:t>.</w:t>
      </w:r>
      <w:r>
        <w:rPr>
          <w:rFonts w:ascii="黑体" w:hAnsi="黑体" w:eastAsia="黑体" w:cs="黑体"/>
          <w:spacing w:val="-51"/>
          <w:sz w:val="20"/>
          <w:szCs w:val="20"/>
        </w:rPr>
        <w:t xml:space="preserve"> </w:t>
      </w:r>
      <w:r>
        <w:rPr>
          <w:rFonts w:ascii="黑体" w:hAnsi="黑体" w:eastAsia="黑体" w:cs="黑体"/>
          <w:spacing w:val="19"/>
          <w:sz w:val="20"/>
          <w:szCs w:val="20"/>
        </w:rPr>
        <w:t>8暂估价</w:t>
      </w:r>
    </w:p>
    <w:p w14:paraId="56568727">
      <w:pPr>
        <w:pStyle w:val="2"/>
        <w:spacing w:before="161" w:line="331" w:lineRule="auto"/>
        <w:ind w:left="20" w:right="6" w:firstLine="429"/>
        <w:rPr>
          <w:sz w:val="20"/>
          <w:szCs w:val="20"/>
        </w:rPr>
      </w:pPr>
      <w:r>
        <w:rPr>
          <w:spacing w:val="9"/>
          <w:sz w:val="20"/>
          <w:szCs w:val="20"/>
        </w:rPr>
        <w:t>15.8.1</w:t>
      </w:r>
      <w:r>
        <w:rPr>
          <w:spacing w:val="-19"/>
          <w:sz w:val="20"/>
          <w:szCs w:val="20"/>
        </w:rPr>
        <w:t xml:space="preserve"> </w:t>
      </w:r>
      <w:r>
        <w:rPr>
          <w:spacing w:val="9"/>
          <w:sz w:val="20"/>
          <w:szCs w:val="20"/>
        </w:rPr>
        <w:t>发包人在工程量清单中给定暂估价的材料、工程设备和专业工程属于依法必</w:t>
      </w:r>
      <w:r>
        <w:rPr>
          <w:spacing w:val="8"/>
          <w:sz w:val="20"/>
          <w:szCs w:val="20"/>
        </w:rPr>
        <w:t>须招标的</w:t>
      </w:r>
      <w:r>
        <w:rPr>
          <w:sz w:val="20"/>
          <w:szCs w:val="20"/>
        </w:rPr>
        <w:t xml:space="preserve"> </w:t>
      </w:r>
      <w:r>
        <w:rPr>
          <w:spacing w:val="12"/>
          <w:sz w:val="20"/>
          <w:szCs w:val="20"/>
        </w:rPr>
        <w:t>范围并达到规定的规模标准的，由发包人和承包人以招标的方式选择供应商或分包人。发包人和</w:t>
      </w:r>
      <w:r>
        <w:rPr>
          <w:spacing w:val="1"/>
          <w:sz w:val="20"/>
          <w:szCs w:val="20"/>
        </w:rPr>
        <w:t xml:space="preserve"> </w:t>
      </w:r>
      <w:r>
        <w:rPr>
          <w:spacing w:val="12"/>
          <w:sz w:val="20"/>
          <w:szCs w:val="20"/>
        </w:rPr>
        <w:t>承包人的权利义务关系在专用合同条款中约定。中标金额与工程量清单中所列的暂估价的金额差</w:t>
      </w:r>
      <w:r>
        <w:rPr>
          <w:spacing w:val="16"/>
          <w:sz w:val="20"/>
          <w:szCs w:val="20"/>
        </w:rPr>
        <w:t xml:space="preserve"> </w:t>
      </w:r>
      <w:r>
        <w:rPr>
          <w:spacing w:val="8"/>
          <w:sz w:val="20"/>
          <w:szCs w:val="20"/>
        </w:rPr>
        <w:t>以及相应的税金等其他费用列入合同价格。</w:t>
      </w:r>
    </w:p>
    <w:p w14:paraId="69CF465B">
      <w:pPr>
        <w:pStyle w:val="2"/>
        <w:spacing w:before="173" w:line="313" w:lineRule="auto"/>
        <w:ind w:left="20" w:right="27" w:firstLine="429"/>
        <w:rPr>
          <w:sz w:val="20"/>
          <w:szCs w:val="20"/>
        </w:rPr>
      </w:pPr>
      <w:r>
        <w:rPr>
          <w:spacing w:val="8"/>
          <w:sz w:val="20"/>
          <w:szCs w:val="20"/>
        </w:rPr>
        <w:t>15.8.2 发包人在工程量清单中给定暂估价的材料和工程设备不属于依法必须招标的范围或未</w:t>
      </w:r>
      <w:r>
        <w:rPr>
          <w:spacing w:val="17"/>
          <w:sz w:val="20"/>
          <w:szCs w:val="20"/>
        </w:rPr>
        <w:t xml:space="preserve"> </w:t>
      </w:r>
      <w:r>
        <w:rPr>
          <w:spacing w:val="9"/>
          <w:sz w:val="20"/>
          <w:szCs w:val="20"/>
        </w:rPr>
        <w:t>达到规定的规模标准的，应由承包人按第5.1款的约定提供。经监理人确认的材料、工程设备的价</w:t>
      </w:r>
      <w:r>
        <w:rPr>
          <w:spacing w:val="1"/>
          <w:sz w:val="20"/>
          <w:szCs w:val="20"/>
        </w:rPr>
        <w:t xml:space="preserve"> </w:t>
      </w:r>
      <w:r>
        <w:rPr>
          <w:spacing w:val="9"/>
          <w:sz w:val="20"/>
          <w:szCs w:val="20"/>
        </w:rPr>
        <w:t>格与工程量清单中所列的暂估价的金额差以及相应的税金等其他费用列入合同价格。</w:t>
      </w:r>
    </w:p>
    <w:p w14:paraId="7A61D38A">
      <w:pPr>
        <w:pStyle w:val="2"/>
        <w:spacing w:before="183" w:line="316" w:lineRule="auto"/>
        <w:ind w:right="19" w:firstLine="449"/>
        <w:rPr>
          <w:sz w:val="20"/>
          <w:szCs w:val="20"/>
        </w:rPr>
      </w:pPr>
      <w:r>
        <w:rPr>
          <w:spacing w:val="9"/>
          <w:sz w:val="20"/>
          <w:szCs w:val="20"/>
        </w:rPr>
        <w:t>15.8.3 发包人在工程量清单中给定暂估价的专业</w:t>
      </w:r>
      <w:r>
        <w:rPr>
          <w:spacing w:val="8"/>
          <w:sz w:val="20"/>
          <w:szCs w:val="20"/>
        </w:rPr>
        <w:t>工程不属于依法必须招标的范围或未达到规</w:t>
      </w:r>
      <w:r>
        <w:rPr>
          <w:sz w:val="20"/>
          <w:szCs w:val="20"/>
        </w:rPr>
        <w:t xml:space="preserve"> </w:t>
      </w:r>
      <w:r>
        <w:rPr>
          <w:spacing w:val="12"/>
          <w:sz w:val="20"/>
          <w:szCs w:val="20"/>
        </w:rPr>
        <w:t>定的规模标准的，由监理人按照第15.4款进行估价，但专用合同条款另有约定的除外。</w:t>
      </w:r>
      <w:r>
        <w:rPr>
          <w:spacing w:val="11"/>
          <w:sz w:val="20"/>
          <w:szCs w:val="20"/>
        </w:rPr>
        <w:t>经估价的</w:t>
      </w:r>
      <w:r>
        <w:rPr>
          <w:sz w:val="20"/>
          <w:szCs w:val="20"/>
        </w:rPr>
        <w:t xml:space="preserve"> </w:t>
      </w:r>
      <w:r>
        <w:rPr>
          <w:spacing w:val="10"/>
          <w:sz w:val="20"/>
          <w:szCs w:val="20"/>
        </w:rPr>
        <w:t>专业工程与工程量清单中所列的暂估价的金额差以及相应的税金等其他费用列入合同价格。</w:t>
      </w:r>
    </w:p>
    <w:p w14:paraId="028A1367">
      <w:pPr>
        <w:spacing w:before="284" w:line="222" w:lineRule="auto"/>
        <w:ind w:left="39"/>
        <w:rPr>
          <w:rFonts w:ascii="黑体" w:hAnsi="黑体" w:eastAsia="黑体" w:cs="黑体"/>
          <w:sz w:val="20"/>
          <w:szCs w:val="20"/>
        </w:rPr>
      </w:pPr>
      <w:r>
        <w:rPr>
          <w:rFonts w:ascii="黑体" w:hAnsi="黑体" w:eastAsia="黑体" w:cs="黑体"/>
          <w:spacing w:val="-7"/>
          <w:sz w:val="20"/>
          <w:szCs w:val="20"/>
        </w:rPr>
        <w:t>16.</w:t>
      </w:r>
      <w:r>
        <w:rPr>
          <w:rFonts w:ascii="黑体" w:hAnsi="黑体" w:eastAsia="黑体" w:cs="黑体"/>
          <w:spacing w:val="83"/>
          <w:sz w:val="20"/>
          <w:szCs w:val="20"/>
        </w:rPr>
        <w:t xml:space="preserve"> </w:t>
      </w:r>
      <w:r>
        <w:rPr>
          <w:rFonts w:ascii="黑体" w:hAnsi="黑体" w:eastAsia="黑体" w:cs="黑体"/>
          <w:spacing w:val="-7"/>
          <w:sz w:val="20"/>
          <w:szCs w:val="20"/>
        </w:rPr>
        <w:t>价</w:t>
      </w:r>
      <w:r>
        <w:rPr>
          <w:rFonts w:ascii="黑体" w:hAnsi="黑体" w:eastAsia="黑体" w:cs="黑体"/>
          <w:spacing w:val="40"/>
          <w:sz w:val="20"/>
          <w:szCs w:val="20"/>
        </w:rPr>
        <w:t xml:space="preserve"> </w:t>
      </w:r>
      <w:r>
        <w:rPr>
          <w:rFonts w:ascii="黑体" w:hAnsi="黑体" w:eastAsia="黑体" w:cs="黑体"/>
          <w:spacing w:val="-7"/>
          <w:sz w:val="20"/>
          <w:szCs w:val="20"/>
        </w:rPr>
        <w:t>格</w:t>
      </w:r>
      <w:r>
        <w:rPr>
          <w:rFonts w:ascii="黑体" w:hAnsi="黑体" w:eastAsia="黑体" w:cs="黑体"/>
          <w:spacing w:val="42"/>
          <w:sz w:val="20"/>
          <w:szCs w:val="20"/>
        </w:rPr>
        <w:t xml:space="preserve"> </w:t>
      </w:r>
      <w:r>
        <w:rPr>
          <w:rFonts w:ascii="黑体" w:hAnsi="黑体" w:eastAsia="黑体" w:cs="黑体"/>
          <w:spacing w:val="-7"/>
          <w:sz w:val="20"/>
          <w:szCs w:val="20"/>
        </w:rPr>
        <w:t>调</w:t>
      </w:r>
      <w:r>
        <w:rPr>
          <w:rFonts w:ascii="黑体" w:hAnsi="黑体" w:eastAsia="黑体" w:cs="黑体"/>
          <w:spacing w:val="38"/>
          <w:sz w:val="20"/>
          <w:szCs w:val="20"/>
        </w:rPr>
        <w:t xml:space="preserve"> </w:t>
      </w:r>
      <w:r>
        <w:rPr>
          <w:rFonts w:ascii="黑体" w:hAnsi="黑体" w:eastAsia="黑体" w:cs="黑体"/>
          <w:spacing w:val="-7"/>
          <w:sz w:val="20"/>
          <w:szCs w:val="20"/>
        </w:rPr>
        <w:t>整</w:t>
      </w:r>
    </w:p>
    <w:p w14:paraId="372B0B21">
      <w:pPr>
        <w:spacing w:before="140" w:line="222" w:lineRule="auto"/>
        <w:ind w:left="20"/>
        <w:rPr>
          <w:rFonts w:ascii="黑体" w:hAnsi="黑体" w:eastAsia="黑体" w:cs="黑体"/>
          <w:sz w:val="20"/>
          <w:szCs w:val="20"/>
        </w:rPr>
      </w:pPr>
      <w:r>
        <w:rPr>
          <w:rFonts w:ascii="黑体" w:hAnsi="黑体" w:eastAsia="黑体" w:cs="黑体"/>
          <w:spacing w:val="-9"/>
          <w:sz w:val="20"/>
          <w:szCs w:val="20"/>
        </w:rPr>
        <w:t>16.1</w:t>
      </w:r>
      <w:r>
        <w:rPr>
          <w:rFonts w:ascii="黑体" w:hAnsi="黑体" w:eastAsia="黑体" w:cs="黑体"/>
          <w:spacing w:val="49"/>
          <w:sz w:val="20"/>
          <w:szCs w:val="20"/>
        </w:rPr>
        <w:t xml:space="preserve"> </w:t>
      </w:r>
      <w:r>
        <w:rPr>
          <w:rFonts w:ascii="黑体" w:hAnsi="黑体" w:eastAsia="黑体" w:cs="黑体"/>
          <w:spacing w:val="-9"/>
          <w:sz w:val="20"/>
          <w:szCs w:val="20"/>
        </w:rPr>
        <w:t>物</w:t>
      </w:r>
      <w:r>
        <w:rPr>
          <w:rFonts w:ascii="黑体" w:hAnsi="黑体" w:eastAsia="黑体" w:cs="黑体"/>
          <w:spacing w:val="-46"/>
          <w:sz w:val="20"/>
          <w:szCs w:val="20"/>
        </w:rPr>
        <w:t xml:space="preserve"> </w:t>
      </w:r>
      <w:r>
        <w:rPr>
          <w:rFonts w:ascii="黑体" w:hAnsi="黑体" w:eastAsia="黑体" w:cs="黑体"/>
          <w:spacing w:val="-9"/>
          <w:sz w:val="20"/>
          <w:szCs w:val="20"/>
        </w:rPr>
        <w:t>价</w:t>
      </w:r>
      <w:r>
        <w:rPr>
          <w:rFonts w:ascii="黑体" w:hAnsi="黑体" w:eastAsia="黑体" w:cs="黑体"/>
          <w:spacing w:val="-47"/>
          <w:sz w:val="20"/>
          <w:szCs w:val="20"/>
        </w:rPr>
        <w:t xml:space="preserve"> </w:t>
      </w:r>
      <w:r>
        <w:rPr>
          <w:rFonts w:ascii="黑体" w:hAnsi="黑体" w:eastAsia="黑体" w:cs="黑体"/>
          <w:spacing w:val="-9"/>
          <w:sz w:val="20"/>
          <w:szCs w:val="20"/>
        </w:rPr>
        <w:t>波</w:t>
      </w:r>
      <w:r>
        <w:rPr>
          <w:rFonts w:ascii="黑体" w:hAnsi="黑体" w:eastAsia="黑体" w:cs="黑体"/>
          <w:spacing w:val="-45"/>
          <w:sz w:val="20"/>
          <w:szCs w:val="20"/>
        </w:rPr>
        <w:t xml:space="preserve"> </w:t>
      </w:r>
      <w:r>
        <w:rPr>
          <w:rFonts w:ascii="黑体" w:hAnsi="黑体" w:eastAsia="黑体" w:cs="黑体"/>
          <w:spacing w:val="-9"/>
          <w:sz w:val="20"/>
          <w:szCs w:val="20"/>
        </w:rPr>
        <w:t>动</w:t>
      </w:r>
      <w:r>
        <w:rPr>
          <w:rFonts w:ascii="黑体" w:hAnsi="黑体" w:eastAsia="黑体" w:cs="黑体"/>
          <w:spacing w:val="-28"/>
          <w:sz w:val="20"/>
          <w:szCs w:val="20"/>
        </w:rPr>
        <w:t xml:space="preserve"> </w:t>
      </w:r>
      <w:r>
        <w:rPr>
          <w:rFonts w:ascii="黑体" w:hAnsi="黑体" w:eastAsia="黑体" w:cs="黑体"/>
          <w:spacing w:val="-9"/>
          <w:sz w:val="20"/>
          <w:szCs w:val="20"/>
        </w:rPr>
        <w:t>引</w:t>
      </w:r>
      <w:r>
        <w:rPr>
          <w:rFonts w:ascii="黑体" w:hAnsi="黑体" w:eastAsia="黑体" w:cs="黑体"/>
          <w:spacing w:val="-46"/>
          <w:sz w:val="20"/>
          <w:szCs w:val="20"/>
        </w:rPr>
        <w:t xml:space="preserve"> </w:t>
      </w:r>
      <w:r>
        <w:rPr>
          <w:rFonts w:ascii="黑体" w:hAnsi="黑体" w:eastAsia="黑体" w:cs="黑体"/>
          <w:spacing w:val="-9"/>
          <w:sz w:val="20"/>
          <w:szCs w:val="20"/>
        </w:rPr>
        <w:t>起</w:t>
      </w:r>
      <w:r>
        <w:rPr>
          <w:rFonts w:ascii="黑体" w:hAnsi="黑体" w:eastAsia="黑体" w:cs="黑体"/>
          <w:spacing w:val="-35"/>
          <w:sz w:val="20"/>
          <w:szCs w:val="20"/>
        </w:rPr>
        <w:t xml:space="preserve"> </w:t>
      </w:r>
      <w:r>
        <w:rPr>
          <w:rFonts w:ascii="黑体" w:hAnsi="黑体" w:eastAsia="黑体" w:cs="黑体"/>
          <w:spacing w:val="-9"/>
          <w:sz w:val="20"/>
          <w:szCs w:val="20"/>
        </w:rPr>
        <w:t>的</w:t>
      </w:r>
      <w:r>
        <w:rPr>
          <w:rFonts w:ascii="黑体" w:hAnsi="黑体" w:eastAsia="黑体" w:cs="黑体"/>
          <w:spacing w:val="-46"/>
          <w:sz w:val="20"/>
          <w:szCs w:val="20"/>
        </w:rPr>
        <w:t xml:space="preserve"> </w:t>
      </w:r>
      <w:r>
        <w:rPr>
          <w:rFonts w:ascii="黑体" w:hAnsi="黑体" w:eastAsia="黑体" w:cs="黑体"/>
          <w:spacing w:val="-9"/>
          <w:sz w:val="20"/>
          <w:szCs w:val="20"/>
        </w:rPr>
        <w:t>价</w:t>
      </w:r>
      <w:r>
        <w:rPr>
          <w:rFonts w:ascii="黑体" w:hAnsi="黑体" w:eastAsia="黑体" w:cs="黑体"/>
          <w:spacing w:val="-46"/>
          <w:sz w:val="20"/>
          <w:szCs w:val="20"/>
        </w:rPr>
        <w:t xml:space="preserve"> </w:t>
      </w:r>
      <w:r>
        <w:rPr>
          <w:rFonts w:ascii="黑体" w:hAnsi="黑体" w:eastAsia="黑体" w:cs="黑体"/>
          <w:spacing w:val="-9"/>
          <w:sz w:val="20"/>
          <w:szCs w:val="20"/>
        </w:rPr>
        <w:t>格</w:t>
      </w:r>
      <w:r>
        <w:rPr>
          <w:rFonts w:ascii="黑体" w:hAnsi="黑体" w:eastAsia="黑体" w:cs="黑体"/>
          <w:spacing w:val="-44"/>
          <w:sz w:val="20"/>
          <w:szCs w:val="20"/>
        </w:rPr>
        <w:t xml:space="preserve"> </w:t>
      </w:r>
      <w:r>
        <w:rPr>
          <w:rFonts w:ascii="黑体" w:hAnsi="黑体" w:eastAsia="黑体" w:cs="黑体"/>
          <w:spacing w:val="-9"/>
          <w:sz w:val="20"/>
          <w:szCs w:val="20"/>
        </w:rPr>
        <w:t>调</w:t>
      </w:r>
      <w:r>
        <w:rPr>
          <w:rFonts w:ascii="黑体" w:hAnsi="黑体" w:eastAsia="黑体" w:cs="黑体"/>
          <w:spacing w:val="-47"/>
          <w:sz w:val="20"/>
          <w:szCs w:val="20"/>
        </w:rPr>
        <w:t xml:space="preserve"> </w:t>
      </w:r>
      <w:r>
        <w:rPr>
          <w:rFonts w:ascii="黑体" w:hAnsi="黑体" w:eastAsia="黑体" w:cs="黑体"/>
          <w:spacing w:val="-9"/>
          <w:sz w:val="20"/>
          <w:szCs w:val="20"/>
        </w:rPr>
        <w:t>整</w:t>
      </w:r>
    </w:p>
    <w:p w14:paraId="625CCBC5">
      <w:pPr>
        <w:pStyle w:val="2"/>
        <w:spacing w:before="169" w:line="218" w:lineRule="auto"/>
        <w:ind w:left="449"/>
        <w:rPr>
          <w:sz w:val="20"/>
          <w:szCs w:val="20"/>
        </w:rPr>
      </w:pPr>
      <w:r>
        <w:rPr>
          <w:spacing w:val="9"/>
          <w:sz w:val="20"/>
          <w:szCs w:val="20"/>
        </w:rPr>
        <w:t>除专用合同条款另有约定外，因物价波动引起的价格调整按照本款约定处理。</w:t>
      </w:r>
    </w:p>
    <w:p w14:paraId="1A7BC9FB">
      <w:pPr>
        <w:spacing w:before="144" w:line="222" w:lineRule="auto"/>
        <w:ind w:left="439"/>
        <w:rPr>
          <w:rFonts w:ascii="黑体" w:hAnsi="黑体" w:eastAsia="黑体" w:cs="黑体"/>
          <w:sz w:val="20"/>
          <w:szCs w:val="20"/>
        </w:rPr>
      </w:pPr>
      <w:r>
        <w:rPr>
          <w:rFonts w:ascii="黑体" w:hAnsi="黑体" w:eastAsia="黑体" w:cs="黑体"/>
          <w:spacing w:val="7"/>
          <w:sz w:val="20"/>
          <w:szCs w:val="20"/>
        </w:rPr>
        <w:t>16.1.1采用价格指数调整价格差额</w:t>
      </w:r>
    </w:p>
    <w:p w14:paraId="1467DC33">
      <w:pPr>
        <w:pStyle w:val="2"/>
        <w:spacing w:before="159" w:line="218" w:lineRule="auto"/>
        <w:ind w:left="449"/>
        <w:rPr>
          <w:sz w:val="20"/>
          <w:szCs w:val="20"/>
        </w:rPr>
      </w:pPr>
      <w:r>
        <w:fldChar w:fldCharType="begin"/>
      </w:r>
      <w:r>
        <w:instrText xml:space="preserve"> HYPERLINK "16.1.1.1" </w:instrText>
      </w:r>
      <w:r>
        <w:fldChar w:fldCharType="separate"/>
      </w:r>
      <w:r>
        <w:rPr>
          <w:rFonts w:ascii="Times New Roman" w:hAnsi="Times New Roman" w:eastAsia="Times New Roman" w:cs="Times New Roman"/>
          <w:spacing w:val="3"/>
          <w:sz w:val="20"/>
          <w:szCs w:val="20"/>
        </w:rPr>
        <w:t>16.1.1.1</w:t>
      </w:r>
      <w:r>
        <w:rPr>
          <w:rFonts w:ascii="Times New Roman" w:hAnsi="Times New Roman" w:eastAsia="Times New Roman" w:cs="Times New Roman"/>
          <w:spacing w:val="3"/>
          <w:sz w:val="20"/>
          <w:szCs w:val="20"/>
        </w:rPr>
        <w:fldChar w:fldCharType="end"/>
      </w:r>
      <w:r>
        <w:rPr>
          <w:rFonts w:ascii="Times New Roman" w:hAnsi="Times New Roman" w:eastAsia="Times New Roman" w:cs="Times New Roman"/>
          <w:spacing w:val="1"/>
          <w:sz w:val="20"/>
          <w:szCs w:val="20"/>
        </w:rPr>
        <w:t xml:space="preserve">   </w:t>
      </w:r>
      <w:r>
        <w:rPr>
          <w:spacing w:val="3"/>
          <w:sz w:val="20"/>
          <w:szCs w:val="20"/>
        </w:rPr>
        <w:t>价格调整公式</w:t>
      </w:r>
    </w:p>
    <w:p w14:paraId="21F44EFA">
      <w:pPr>
        <w:pStyle w:val="2"/>
        <w:spacing w:before="185" w:line="361" w:lineRule="auto"/>
        <w:ind w:left="20" w:right="20" w:firstLine="419"/>
        <w:rPr>
          <w:sz w:val="20"/>
          <w:szCs w:val="20"/>
        </w:rPr>
      </w:pPr>
      <w:r>
        <w:rPr>
          <w:spacing w:val="12"/>
          <w:sz w:val="20"/>
          <w:szCs w:val="20"/>
        </w:rPr>
        <w:t>因人工、材料和设备等价格波动影响合同价格时，根据投标函附录中的价格指数和权重表约</w:t>
      </w:r>
      <w:r>
        <w:rPr>
          <w:spacing w:val="7"/>
          <w:sz w:val="20"/>
          <w:szCs w:val="20"/>
        </w:rPr>
        <w:t xml:space="preserve"> </w:t>
      </w:r>
      <w:r>
        <w:rPr>
          <w:spacing w:val="8"/>
          <w:sz w:val="20"/>
          <w:szCs w:val="20"/>
        </w:rPr>
        <w:t>定的数据，按以下公式计算差额并调整合同价格。</w:t>
      </w:r>
    </w:p>
    <w:p w14:paraId="39C43AF0">
      <w:pPr>
        <w:spacing w:line="408" w:lineRule="auto"/>
        <w:rPr>
          <w:rFonts w:ascii="Arial"/>
          <w:sz w:val="21"/>
        </w:rPr>
      </w:pPr>
    </w:p>
    <w:p w14:paraId="39C82BDF">
      <w:pPr>
        <w:spacing w:line="720" w:lineRule="exact"/>
        <w:ind w:firstLine="1569"/>
      </w:pPr>
      <w:r>
        <w:rPr>
          <w:position w:val="-14"/>
        </w:rPr>
        <w:drawing>
          <wp:inline distT="0" distB="0" distL="0" distR="0">
            <wp:extent cx="4050665" cy="456565"/>
            <wp:effectExtent l="0" t="0" r="0" b="0"/>
            <wp:docPr id="26" name="IM 26"/>
            <wp:cNvGraphicFramePr/>
            <a:graphic xmlns:a="http://schemas.openxmlformats.org/drawingml/2006/main">
              <a:graphicData uri="http://schemas.openxmlformats.org/drawingml/2006/picture">
                <pic:pic xmlns:pic="http://schemas.openxmlformats.org/drawingml/2006/picture">
                  <pic:nvPicPr>
                    <pic:cNvPr id="26" name="IM 26"/>
                    <pic:cNvPicPr/>
                  </pic:nvPicPr>
                  <pic:blipFill>
                    <a:blip r:embed="rId420"/>
                    <a:stretch>
                      <a:fillRect/>
                    </a:stretch>
                  </pic:blipFill>
                  <pic:spPr>
                    <a:xfrm>
                      <a:off x="0" y="0"/>
                      <a:ext cx="4051267" cy="457142"/>
                    </a:xfrm>
                    <a:prstGeom prst="rect">
                      <a:avLst/>
                    </a:prstGeom>
                  </pic:spPr>
                </pic:pic>
              </a:graphicData>
            </a:graphic>
          </wp:inline>
        </w:drawing>
      </w:r>
    </w:p>
    <w:p w14:paraId="22BCFBD4">
      <w:pPr>
        <w:spacing w:line="720" w:lineRule="exact"/>
        <w:sectPr>
          <w:footerReference r:id="rId133" w:type="default"/>
          <w:pgSz w:w="11910" w:h="16840"/>
          <w:pgMar w:top="400" w:right="1511" w:bottom="1091" w:left="1450" w:header="0" w:footer="832" w:gutter="0"/>
          <w:cols w:space="720" w:num="1"/>
        </w:sectPr>
      </w:pPr>
    </w:p>
    <w:p w14:paraId="4E76C178">
      <w:pPr>
        <w:spacing w:line="251" w:lineRule="auto"/>
        <w:rPr>
          <w:rFonts w:ascii="Arial"/>
          <w:sz w:val="21"/>
        </w:rPr>
      </w:pPr>
    </w:p>
    <w:p w14:paraId="638E849C">
      <w:pPr>
        <w:spacing w:line="251" w:lineRule="auto"/>
        <w:rPr>
          <w:rFonts w:ascii="Arial"/>
          <w:sz w:val="21"/>
        </w:rPr>
      </w:pPr>
    </w:p>
    <w:p w14:paraId="7C7864E5">
      <w:pPr>
        <w:spacing w:line="251" w:lineRule="auto"/>
        <w:rPr>
          <w:rFonts w:ascii="Arial"/>
          <w:sz w:val="21"/>
        </w:rPr>
      </w:pPr>
    </w:p>
    <w:p w14:paraId="58DC55D0">
      <w:pPr>
        <w:spacing w:line="251" w:lineRule="auto"/>
        <w:rPr>
          <w:rFonts w:ascii="Arial"/>
          <w:sz w:val="21"/>
        </w:rPr>
      </w:pPr>
    </w:p>
    <w:p w14:paraId="3BF10A1F">
      <w:pPr>
        <w:spacing w:line="252" w:lineRule="auto"/>
        <w:rPr>
          <w:rFonts w:ascii="Arial"/>
          <w:sz w:val="21"/>
        </w:rPr>
      </w:pPr>
    </w:p>
    <w:p w14:paraId="56FC3310">
      <w:pPr>
        <w:spacing w:line="252" w:lineRule="auto"/>
        <w:rPr>
          <w:rFonts w:ascii="Arial"/>
          <w:sz w:val="21"/>
        </w:rPr>
      </w:pPr>
    </w:p>
    <w:p w14:paraId="09714630">
      <w:pPr>
        <w:spacing w:line="252" w:lineRule="auto"/>
        <w:rPr>
          <w:rFonts w:ascii="Arial"/>
          <w:sz w:val="21"/>
        </w:rPr>
      </w:pPr>
    </w:p>
    <w:p w14:paraId="05CF6AB5">
      <w:pPr>
        <w:pStyle w:val="2"/>
        <w:spacing w:before="65" w:line="218" w:lineRule="auto"/>
        <w:ind w:left="419"/>
        <w:rPr>
          <w:sz w:val="20"/>
          <w:szCs w:val="20"/>
        </w:rPr>
      </w:pPr>
      <w:r>
        <w:rPr>
          <w:spacing w:val="2"/>
          <w:sz w:val="20"/>
          <w:szCs w:val="20"/>
        </w:rPr>
        <w:t>式中：</w:t>
      </w:r>
      <w:r>
        <w:rPr>
          <w:spacing w:val="45"/>
          <w:sz w:val="20"/>
          <w:szCs w:val="20"/>
        </w:rPr>
        <w:t xml:space="preserve"> </w:t>
      </w:r>
      <w:r>
        <w:rPr>
          <w:spacing w:val="2"/>
          <w:sz w:val="20"/>
          <w:szCs w:val="20"/>
        </w:rPr>
        <w:t>△P-- 需调整的价格差额；</w:t>
      </w:r>
    </w:p>
    <w:p w14:paraId="4B984119">
      <w:pPr>
        <w:pStyle w:val="2"/>
        <w:spacing w:before="164" w:line="370" w:lineRule="auto"/>
        <w:ind w:firstLine="1259"/>
        <w:jc w:val="both"/>
        <w:rPr>
          <w:sz w:val="20"/>
          <w:szCs w:val="20"/>
        </w:rPr>
      </w:pPr>
      <w:r>
        <w:rPr>
          <w:rFonts w:ascii="Times New Roman" w:hAnsi="Times New Roman" w:eastAsia="Times New Roman" w:cs="Times New Roman"/>
          <w:sz w:val="20"/>
          <w:szCs w:val="20"/>
        </w:rPr>
        <w:t>Po</w:t>
      </w:r>
      <w:r>
        <w:rPr>
          <w:rFonts w:ascii="Times New Roman" w:hAnsi="Times New Roman" w:eastAsia="Times New Roman" w:cs="Times New Roman"/>
          <w:spacing w:val="10"/>
          <w:sz w:val="20"/>
          <w:szCs w:val="20"/>
        </w:rPr>
        <w:t xml:space="preserve">--  </w:t>
      </w:r>
      <w:r>
        <w:rPr>
          <w:spacing w:val="10"/>
          <w:sz w:val="20"/>
          <w:szCs w:val="20"/>
        </w:rPr>
        <w:t>第17.3.3项、第17.5.2项和</w:t>
      </w:r>
      <w:r>
        <w:rPr>
          <w:spacing w:val="9"/>
          <w:sz w:val="20"/>
          <w:szCs w:val="20"/>
        </w:rPr>
        <w:t>第17.6.2项约定的付款证书中承包人应得到的已完</w:t>
      </w:r>
      <w:r>
        <w:rPr>
          <w:sz w:val="20"/>
          <w:szCs w:val="20"/>
        </w:rPr>
        <w:t xml:space="preserve"> </w:t>
      </w:r>
      <w:r>
        <w:rPr>
          <w:spacing w:val="12"/>
          <w:sz w:val="20"/>
          <w:szCs w:val="20"/>
        </w:rPr>
        <w:t>成工程量的金额。此项金额应不包括价格调整、不计质量保证金的扣留和支付、预付款的支付和</w:t>
      </w:r>
      <w:r>
        <w:rPr>
          <w:spacing w:val="1"/>
          <w:sz w:val="20"/>
          <w:szCs w:val="20"/>
        </w:rPr>
        <w:t xml:space="preserve"> </w:t>
      </w:r>
      <w:r>
        <w:rPr>
          <w:spacing w:val="12"/>
          <w:sz w:val="20"/>
          <w:szCs w:val="20"/>
        </w:rPr>
        <w:t>扣回。第15条约定的变更及其他金额已按现行价格计价的，也不计在内；</w:t>
      </w:r>
    </w:p>
    <w:p w14:paraId="0A4E9484">
      <w:pPr>
        <w:pStyle w:val="2"/>
        <w:spacing w:before="29" w:line="219" w:lineRule="auto"/>
        <w:ind w:left="1259"/>
        <w:rPr>
          <w:sz w:val="20"/>
          <w:szCs w:val="20"/>
        </w:rPr>
      </w:pPr>
      <w:r>
        <w:rPr>
          <w:rFonts w:ascii="Times New Roman" w:hAnsi="Times New Roman" w:eastAsia="Times New Roman" w:cs="Times New Roman"/>
          <w:spacing w:val="3"/>
          <w:sz w:val="20"/>
          <w:szCs w:val="20"/>
        </w:rPr>
        <w:t xml:space="preserve">A--  </w:t>
      </w:r>
      <w:r>
        <w:rPr>
          <w:spacing w:val="3"/>
          <w:sz w:val="20"/>
          <w:szCs w:val="20"/>
        </w:rPr>
        <w:t>定值权重(即不调部分的权重);</w:t>
      </w:r>
    </w:p>
    <w:p w14:paraId="60FE93E5">
      <w:pPr>
        <w:pStyle w:val="2"/>
        <w:spacing w:before="120" w:line="377" w:lineRule="auto"/>
        <w:ind w:right="39" w:firstLine="1259"/>
        <w:rPr>
          <w:sz w:val="20"/>
          <w:szCs w:val="20"/>
        </w:rPr>
      </w:pPr>
      <w:r>
        <w:rPr>
          <w:rFonts w:ascii="Times New Roman" w:hAnsi="Times New Roman" w:eastAsia="Times New Roman" w:cs="Times New Roman"/>
          <w:spacing w:val="5"/>
          <w:sz w:val="20"/>
          <w:szCs w:val="20"/>
        </w:rPr>
        <w:t>B₁;B₂;B₃……</w:t>
      </w:r>
      <w:r>
        <w:rPr>
          <w:rFonts w:ascii="Times New Roman" w:hAnsi="Times New Roman" w:eastAsia="Times New Roman" w:cs="Times New Roman"/>
          <w:sz w:val="20"/>
          <w:szCs w:val="20"/>
        </w:rPr>
        <w:t>Bn</w:t>
      </w:r>
      <w:r>
        <w:rPr>
          <w:rFonts w:ascii="Times New Roman" w:hAnsi="Times New Roman" w:eastAsia="Times New Roman" w:cs="Times New Roman"/>
          <w:spacing w:val="5"/>
          <w:sz w:val="20"/>
          <w:szCs w:val="20"/>
        </w:rPr>
        <w:t xml:space="preserve">--   </w:t>
      </w:r>
      <w:r>
        <w:rPr>
          <w:spacing w:val="5"/>
          <w:sz w:val="20"/>
          <w:szCs w:val="20"/>
        </w:rPr>
        <w:t>各可调因子的变值权重(即可调部分的权重)为各可调因子在投标函</w:t>
      </w:r>
      <w:r>
        <w:rPr>
          <w:spacing w:val="17"/>
          <w:sz w:val="20"/>
          <w:szCs w:val="20"/>
        </w:rPr>
        <w:t xml:space="preserve"> </w:t>
      </w:r>
      <w:r>
        <w:rPr>
          <w:spacing w:val="5"/>
          <w:sz w:val="20"/>
          <w:szCs w:val="20"/>
        </w:rPr>
        <w:t>投标总报价中所占的比例；</w:t>
      </w:r>
    </w:p>
    <w:p w14:paraId="24DEE9AA">
      <w:pPr>
        <w:pStyle w:val="2"/>
        <w:spacing w:before="2" w:line="350" w:lineRule="auto"/>
        <w:ind w:right="28" w:firstLine="1259"/>
        <w:rPr>
          <w:sz w:val="20"/>
          <w:szCs w:val="20"/>
        </w:rPr>
      </w:pPr>
      <w:r>
        <w:rPr>
          <w:rFonts w:ascii="Times New Roman" w:hAnsi="Times New Roman" w:eastAsia="Times New Roman" w:cs="Times New Roman"/>
          <w:spacing w:val="5"/>
          <w:sz w:val="20"/>
          <w:szCs w:val="20"/>
        </w:rPr>
        <w:t>F+1;F+2;F+3……</w:t>
      </w:r>
      <w:r>
        <w:rPr>
          <w:rFonts w:ascii="Times New Roman" w:hAnsi="Times New Roman" w:eastAsia="Times New Roman" w:cs="Times New Roman"/>
          <w:sz w:val="20"/>
          <w:szCs w:val="20"/>
        </w:rPr>
        <w:t>Ftn</w:t>
      </w:r>
      <w:r>
        <w:rPr>
          <w:rFonts w:ascii="Times New Roman" w:hAnsi="Times New Roman" w:eastAsia="Times New Roman" w:cs="Times New Roman"/>
          <w:spacing w:val="5"/>
          <w:sz w:val="20"/>
          <w:szCs w:val="20"/>
        </w:rPr>
        <w:t xml:space="preserve"> --</w:t>
      </w:r>
      <w:r>
        <w:rPr>
          <w:rFonts w:ascii="Times New Roman" w:hAnsi="Times New Roman" w:eastAsia="Times New Roman" w:cs="Times New Roman"/>
          <w:spacing w:val="42"/>
          <w:w w:val="101"/>
          <w:sz w:val="20"/>
          <w:szCs w:val="20"/>
        </w:rPr>
        <w:t xml:space="preserve"> </w:t>
      </w:r>
      <w:r>
        <w:rPr>
          <w:spacing w:val="5"/>
          <w:sz w:val="20"/>
          <w:szCs w:val="20"/>
        </w:rPr>
        <w:t>各可调因子的现行价格指数，指第17.3.3项、第</w:t>
      </w:r>
      <w:r>
        <w:rPr>
          <w:spacing w:val="4"/>
          <w:sz w:val="20"/>
          <w:szCs w:val="20"/>
        </w:rPr>
        <w:t>17.5.2项和第</w:t>
      </w:r>
      <w:r>
        <w:rPr>
          <w:sz w:val="20"/>
          <w:szCs w:val="20"/>
        </w:rPr>
        <w:t xml:space="preserve"> </w:t>
      </w:r>
      <w:r>
        <w:rPr>
          <w:spacing w:val="10"/>
          <w:sz w:val="20"/>
          <w:szCs w:val="20"/>
        </w:rPr>
        <w:t>17.6.2项约定的付款证书相关周期最后一天的前42天的各可调因子的价格指</w:t>
      </w:r>
      <w:r>
        <w:rPr>
          <w:spacing w:val="9"/>
          <w:sz w:val="20"/>
          <w:szCs w:val="20"/>
        </w:rPr>
        <w:t>数；</w:t>
      </w:r>
    </w:p>
    <w:p w14:paraId="03132326">
      <w:pPr>
        <w:pStyle w:val="2"/>
        <w:spacing w:before="41" w:line="390" w:lineRule="auto"/>
        <w:ind w:right="52" w:firstLine="1259"/>
        <w:rPr>
          <w:sz w:val="17"/>
          <w:szCs w:val="17"/>
        </w:rPr>
      </w:pPr>
      <w:r>
        <w:rPr>
          <w:rFonts w:ascii="Times New Roman" w:hAnsi="Times New Roman" w:eastAsia="Times New Roman" w:cs="Times New Roman"/>
          <w:sz w:val="20"/>
          <w:szCs w:val="20"/>
        </w:rPr>
        <w:t>Fo</w:t>
      </w:r>
      <w:r>
        <w:rPr>
          <w:rFonts w:ascii="Times New Roman" w:hAnsi="Times New Roman" w:eastAsia="Times New Roman" w:cs="Times New Roman"/>
          <w:spacing w:val="8"/>
          <w:sz w:val="20"/>
          <w:szCs w:val="20"/>
        </w:rPr>
        <w:t>1;</w:t>
      </w:r>
      <w:r>
        <w:rPr>
          <w:rFonts w:ascii="Times New Roman" w:hAnsi="Times New Roman" w:eastAsia="Times New Roman" w:cs="Times New Roman"/>
          <w:sz w:val="20"/>
          <w:szCs w:val="20"/>
        </w:rPr>
        <w:t>Fo</w:t>
      </w:r>
      <w:r>
        <w:rPr>
          <w:rFonts w:ascii="Times New Roman" w:hAnsi="Times New Roman" w:eastAsia="Times New Roman" w:cs="Times New Roman"/>
          <w:spacing w:val="8"/>
          <w:sz w:val="20"/>
          <w:szCs w:val="20"/>
        </w:rPr>
        <w:t>₂;</w:t>
      </w:r>
      <w:r>
        <w:rPr>
          <w:rFonts w:ascii="Times New Roman" w:hAnsi="Times New Roman" w:eastAsia="Times New Roman" w:cs="Times New Roman"/>
          <w:sz w:val="20"/>
          <w:szCs w:val="20"/>
        </w:rPr>
        <w:t>Fo</w:t>
      </w:r>
      <w:r>
        <w:rPr>
          <w:rFonts w:ascii="Times New Roman" w:hAnsi="Times New Roman" w:eastAsia="Times New Roman" w:cs="Times New Roman"/>
          <w:spacing w:val="8"/>
          <w:sz w:val="20"/>
          <w:szCs w:val="20"/>
        </w:rPr>
        <w:t>₃……</w:t>
      </w:r>
      <w:r>
        <w:rPr>
          <w:rFonts w:ascii="Times New Roman" w:hAnsi="Times New Roman" w:eastAsia="Times New Roman" w:cs="Times New Roman"/>
          <w:sz w:val="20"/>
          <w:szCs w:val="20"/>
        </w:rPr>
        <w:t>Fon</w:t>
      </w:r>
      <w:r>
        <w:rPr>
          <w:rFonts w:ascii="Times New Roman" w:hAnsi="Times New Roman" w:eastAsia="Times New Roman" w:cs="Times New Roman"/>
          <w:spacing w:val="8"/>
          <w:sz w:val="20"/>
          <w:szCs w:val="20"/>
        </w:rPr>
        <w:t xml:space="preserve">  -  </w:t>
      </w:r>
      <w:r>
        <w:rPr>
          <w:spacing w:val="8"/>
          <w:sz w:val="20"/>
          <w:szCs w:val="20"/>
        </w:rPr>
        <w:t>各可调因子的基本价格</w:t>
      </w:r>
      <w:r>
        <w:rPr>
          <w:spacing w:val="7"/>
          <w:sz w:val="20"/>
          <w:szCs w:val="20"/>
        </w:rPr>
        <w:t>指数，指基准日期的各可调因子的价格</w:t>
      </w:r>
      <w:r>
        <w:rPr>
          <w:sz w:val="20"/>
          <w:szCs w:val="20"/>
        </w:rPr>
        <w:t xml:space="preserve"> </w:t>
      </w:r>
      <w:r>
        <w:rPr>
          <w:spacing w:val="-6"/>
          <w:sz w:val="17"/>
          <w:szCs w:val="17"/>
        </w:rPr>
        <w:t>指</w:t>
      </w:r>
      <w:r>
        <w:rPr>
          <w:spacing w:val="-23"/>
          <w:sz w:val="17"/>
          <w:szCs w:val="17"/>
        </w:rPr>
        <w:t xml:space="preserve"> </w:t>
      </w:r>
      <w:r>
        <w:rPr>
          <w:spacing w:val="-6"/>
          <w:sz w:val="17"/>
          <w:szCs w:val="17"/>
        </w:rPr>
        <w:t>数</w:t>
      </w:r>
      <w:r>
        <w:rPr>
          <w:spacing w:val="-31"/>
          <w:sz w:val="17"/>
          <w:szCs w:val="17"/>
        </w:rPr>
        <w:t xml:space="preserve"> </w:t>
      </w:r>
      <w:r>
        <w:rPr>
          <w:spacing w:val="-6"/>
          <w:sz w:val="17"/>
          <w:szCs w:val="17"/>
        </w:rPr>
        <w:t>。</w:t>
      </w:r>
    </w:p>
    <w:p w14:paraId="3F3A3EA8">
      <w:pPr>
        <w:pStyle w:val="2"/>
        <w:spacing w:before="2" w:line="372" w:lineRule="auto"/>
        <w:ind w:right="47" w:firstLine="419"/>
        <w:jc w:val="both"/>
        <w:rPr>
          <w:sz w:val="20"/>
          <w:szCs w:val="20"/>
        </w:rPr>
      </w:pPr>
      <w:r>
        <w:rPr>
          <w:spacing w:val="12"/>
          <w:sz w:val="20"/>
          <w:szCs w:val="20"/>
        </w:rPr>
        <w:t>以上价格调整公式中的各可调因子、定值和变值权重，以及基本价格</w:t>
      </w:r>
      <w:r>
        <w:rPr>
          <w:spacing w:val="11"/>
          <w:sz w:val="20"/>
          <w:szCs w:val="20"/>
        </w:rPr>
        <w:t>指数及其来源在投标函</w:t>
      </w:r>
      <w:r>
        <w:rPr>
          <w:sz w:val="20"/>
          <w:szCs w:val="20"/>
        </w:rPr>
        <w:t xml:space="preserve"> </w:t>
      </w:r>
      <w:r>
        <w:rPr>
          <w:spacing w:val="12"/>
          <w:sz w:val="20"/>
          <w:szCs w:val="20"/>
        </w:rPr>
        <w:t>附录价格指数和权重表中约定。价格指数应首先采用有关部门提供的价格指数，缺乏上述价</w:t>
      </w:r>
      <w:r>
        <w:rPr>
          <w:spacing w:val="11"/>
          <w:sz w:val="20"/>
          <w:szCs w:val="20"/>
        </w:rPr>
        <w:t>格指</w:t>
      </w:r>
      <w:r>
        <w:rPr>
          <w:sz w:val="20"/>
          <w:szCs w:val="20"/>
        </w:rPr>
        <w:t xml:space="preserve"> </w:t>
      </w:r>
      <w:r>
        <w:rPr>
          <w:spacing w:val="8"/>
          <w:sz w:val="20"/>
          <w:szCs w:val="20"/>
        </w:rPr>
        <w:t>数时，可采用有关部门提供的价格代替。</w:t>
      </w:r>
    </w:p>
    <w:p w14:paraId="6281D54B">
      <w:pPr>
        <w:pStyle w:val="2"/>
        <w:spacing w:line="219" w:lineRule="auto"/>
        <w:ind w:left="419"/>
        <w:rPr>
          <w:sz w:val="20"/>
          <w:szCs w:val="20"/>
        </w:rPr>
      </w:pPr>
      <w:r>
        <w:rPr>
          <w:spacing w:val="4"/>
          <w:sz w:val="20"/>
          <w:szCs w:val="20"/>
        </w:rPr>
        <w:t>16.1.1.2暂时确定调整差额</w:t>
      </w:r>
    </w:p>
    <w:p w14:paraId="3D723D03">
      <w:pPr>
        <w:pStyle w:val="2"/>
        <w:spacing w:before="151" w:line="370" w:lineRule="auto"/>
        <w:ind w:right="38" w:firstLine="419"/>
        <w:rPr>
          <w:sz w:val="20"/>
          <w:szCs w:val="20"/>
        </w:rPr>
      </w:pPr>
      <w:r>
        <w:rPr>
          <w:spacing w:val="12"/>
          <w:sz w:val="20"/>
          <w:szCs w:val="20"/>
        </w:rPr>
        <w:t>在计算调整差额时得不到现行价格指数的，可暂用上一次价格指数计算，并在以后的付款中</w:t>
      </w:r>
      <w:r>
        <w:rPr>
          <w:spacing w:val="11"/>
          <w:sz w:val="20"/>
          <w:szCs w:val="20"/>
        </w:rPr>
        <w:t xml:space="preserve"> </w:t>
      </w:r>
      <w:r>
        <w:rPr>
          <w:spacing w:val="7"/>
          <w:sz w:val="20"/>
          <w:szCs w:val="20"/>
        </w:rPr>
        <w:t>再按实际价格指数进行调整。</w:t>
      </w:r>
    </w:p>
    <w:p w14:paraId="58DC2D37">
      <w:pPr>
        <w:pStyle w:val="2"/>
        <w:spacing w:line="219" w:lineRule="auto"/>
        <w:ind w:left="419"/>
        <w:rPr>
          <w:sz w:val="20"/>
          <w:szCs w:val="20"/>
        </w:rPr>
      </w:pPr>
      <w:r>
        <w:rPr>
          <w:spacing w:val="3"/>
          <w:sz w:val="20"/>
          <w:szCs w:val="20"/>
        </w:rPr>
        <w:t>16.1.1.3权重的调整</w:t>
      </w:r>
    </w:p>
    <w:p w14:paraId="5B28DDA4">
      <w:pPr>
        <w:pStyle w:val="2"/>
        <w:spacing w:before="162" w:line="378" w:lineRule="auto"/>
        <w:ind w:right="46" w:firstLine="419"/>
        <w:rPr>
          <w:sz w:val="20"/>
          <w:szCs w:val="20"/>
        </w:rPr>
      </w:pPr>
      <w:r>
        <w:rPr>
          <w:spacing w:val="12"/>
          <w:sz w:val="20"/>
          <w:szCs w:val="20"/>
        </w:rPr>
        <w:t>按第15.1款约定的变更导致原定合同中的权重</w:t>
      </w:r>
      <w:r>
        <w:rPr>
          <w:spacing w:val="11"/>
          <w:sz w:val="20"/>
          <w:szCs w:val="20"/>
        </w:rPr>
        <w:t>不合理时，由监理人与承包人和发包人协商后</w:t>
      </w:r>
      <w:r>
        <w:rPr>
          <w:sz w:val="20"/>
          <w:szCs w:val="20"/>
        </w:rPr>
        <w:t xml:space="preserve"> </w:t>
      </w:r>
      <w:r>
        <w:rPr>
          <w:spacing w:val="3"/>
          <w:sz w:val="20"/>
          <w:szCs w:val="20"/>
        </w:rPr>
        <w:t>进行调整。</w:t>
      </w:r>
    </w:p>
    <w:p w14:paraId="2DD0F160">
      <w:pPr>
        <w:pStyle w:val="2"/>
        <w:spacing w:before="1" w:line="217" w:lineRule="auto"/>
        <w:ind w:left="419"/>
        <w:rPr>
          <w:sz w:val="20"/>
          <w:szCs w:val="20"/>
        </w:rPr>
      </w:pPr>
      <w:r>
        <w:rPr>
          <w:spacing w:val="6"/>
          <w:sz w:val="20"/>
          <w:szCs w:val="20"/>
        </w:rPr>
        <w:t>16.1.1.4承包人工期延误后的价格调整</w:t>
      </w:r>
    </w:p>
    <w:p w14:paraId="65E9844B">
      <w:pPr>
        <w:pStyle w:val="2"/>
        <w:spacing w:before="156" w:line="371" w:lineRule="auto"/>
        <w:ind w:firstLine="419"/>
        <w:rPr>
          <w:sz w:val="20"/>
          <w:szCs w:val="20"/>
        </w:rPr>
      </w:pPr>
      <w:r>
        <w:rPr>
          <w:spacing w:val="12"/>
          <w:sz w:val="20"/>
          <w:szCs w:val="20"/>
        </w:rPr>
        <w:t>由于承包人原因未在约定的工期内竣工的，则对原约定竣工日期后继续施工</w:t>
      </w:r>
      <w:r>
        <w:rPr>
          <w:spacing w:val="11"/>
          <w:sz w:val="20"/>
          <w:szCs w:val="20"/>
        </w:rPr>
        <w:t>的工程，在使用</w:t>
      </w:r>
      <w:r>
        <w:rPr>
          <w:sz w:val="20"/>
          <w:szCs w:val="20"/>
        </w:rPr>
        <w:t xml:space="preserve"> </w:t>
      </w:r>
      <w:r>
        <w:rPr>
          <w:spacing w:val="8"/>
          <w:sz w:val="20"/>
          <w:szCs w:val="20"/>
        </w:rPr>
        <w:t>第16.1.1.1目价格调整公式时，应采用</w:t>
      </w:r>
      <w:r>
        <w:rPr>
          <w:spacing w:val="7"/>
          <w:sz w:val="20"/>
          <w:szCs w:val="20"/>
        </w:rPr>
        <w:t>原约定竣工日期与实际竣工日期的两个价格指数中较低的一</w:t>
      </w:r>
      <w:r>
        <w:rPr>
          <w:sz w:val="20"/>
          <w:szCs w:val="20"/>
        </w:rPr>
        <w:t xml:space="preserve"> </w:t>
      </w:r>
      <w:r>
        <w:rPr>
          <w:spacing w:val="5"/>
          <w:sz w:val="20"/>
          <w:szCs w:val="20"/>
        </w:rPr>
        <w:t>个作为现行价格指数。</w:t>
      </w:r>
    </w:p>
    <w:p w14:paraId="341574FE">
      <w:pPr>
        <w:spacing w:before="1" w:line="221" w:lineRule="auto"/>
        <w:ind w:left="422"/>
        <w:rPr>
          <w:rFonts w:ascii="黑体" w:hAnsi="黑体" w:eastAsia="黑体" w:cs="黑体"/>
          <w:sz w:val="20"/>
          <w:szCs w:val="20"/>
        </w:rPr>
      </w:pPr>
      <w:r>
        <w:rPr>
          <w:rFonts w:ascii="黑体" w:hAnsi="黑体" w:eastAsia="黑体" w:cs="黑体"/>
          <w:b/>
          <w:bCs/>
          <w:spacing w:val="11"/>
          <w:sz w:val="20"/>
          <w:szCs w:val="20"/>
        </w:rPr>
        <w:t>16.1.2采用造价信息调整价格差额</w:t>
      </w:r>
    </w:p>
    <w:p w14:paraId="1875B527">
      <w:pPr>
        <w:pStyle w:val="2"/>
        <w:spacing w:before="171" w:line="361" w:lineRule="auto"/>
        <w:ind w:right="32" w:firstLine="419"/>
        <w:jc w:val="both"/>
        <w:rPr>
          <w:sz w:val="20"/>
          <w:szCs w:val="20"/>
        </w:rPr>
      </w:pPr>
      <w:r>
        <w:rPr>
          <w:spacing w:val="12"/>
          <w:sz w:val="20"/>
          <w:szCs w:val="20"/>
        </w:rPr>
        <w:t>施工期内，因人工、材料、设备和机械台班价格波动影响合同价格时，人工、机械使用费按</w:t>
      </w:r>
      <w:r>
        <w:rPr>
          <w:sz w:val="20"/>
          <w:szCs w:val="20"/>
        </w:rPr>
        <w:t xml:space="preserve"> </w:t>
      </w:r>
      <w:r>
        <w:rPr>
          <w:spacing w:val="12"/>
          <w:sz w:val="20"/>
          <w:szCs w:val="20"/>
        </w:rPr>
        <w:t>照国家或省、自治区、直辖市建设行政管理部门、行业建设管理部门或其授权的工程造价管理机</w:t>
      </w:r>
      <w:r>
        <w:rPr>
          <w:spacing w:val="13"/>
          <w:sz w:val="20"/>
          <w:szCs w:val="20"/>
        </w:rPr>
        <w:t xml:space="preserve"> </w:t>
      </w:r>
      <w:r>
        <w:rPr>
          <w:spacing w:val="11"/>
          <w:sz w:val="20"/>
          <w:szCs w:val="20"/>
        </w:rPr>
        <w:t>构发布的人工成本信息、机械台班单价或机械使用费系数进行调整；需要进行价格调整的材料，</w:t>
      </w:r>
      <w:r>
        <w:rPr>
          <w:spacing w:val="7"/>
          <w:sz w:val="20"/>
          <w:szCs w:val="20"/>
        </w:rPr>
        <w:t xml:space="preserve"> </w:t>
      </w:r>
      <w:r>
        <w:rPr>
          <w:spacing w:val="12"/>
          <w:sz w:val="20"/>
          <w:szCs w:val="20"/>
        </w:rPr>
        <w:t>其单价和采购数应由监理人复核，监理人确认需调整的材料单价及数量，作为调</w:t>
      </w:r>
      <w:r>
        <w:rPr>
          <w:spacing w:val="11"/>
          <w:sz w:val="20"/>
          <w:szCs w:val="20"/>
        </w:rPr>
        <w:t>整工程合同价格</w:t>
      </w:r>
      <w:r>
        <w:rPr>
          <w:sz w:val="20"/>
          <w:szCs w:val="20"/>
        </w:rPr>
        <w:t xml:space="preserve"> </w:t>
      </w:r>
      <w:r>
        <w:rPr>
          <w:spacing w:val="4"/>
          <w:sz w:val="20"/>
          <w:szCs w:val="20"/>
        </w:rPr>
        <w:t>差额的依据。</w:t>
      </w:r>
    </w:p>
    <w:p w14:paraId="0C33C0E0">
      <w:pPr>
        <w:pStyle w:val="2"/>
        <w:spacing w:before="33" w:line="222" w:lineRule="auto"/>
        <w:ind w:left="2"/>
        <w:rPr>
          <w:rFonts w:ascii="黑体" w:hAnsi="黑体" w:eastAsia="黑体" w:cs="黑体"/>
          <w:sz w:val="20"/>
          <w:szCs w:val="20"/>
        </w:rPr>
      </w:pPr>
      <w:r>
        <w:rPr>
          <w:b/>
          <w:bCs/>
          <w:spacing w:val="-12"/>
          <w:sz w:val="20"/>
          <w:szCs w:val="20"/>
        </w:rPr>
        <w:t>16.2</w:t>
      </w:r>
      <w:r>
        <w:rPr>
          <w:spacing w:val="64"/>
          <w:sz w:val="20"/>
          <w:szCs w:val="20"/>
        </w:rPr>
        <w:t xml:space="preserve"> </w:t>
      </w:r>
      <w:r>
        <w:rPr>
          <w:rFonts w:ascii="黑体" w:hAnsi="黑体" w:eastAsia="黑体" w:cs="黑体"/>
          <w:b/>
          <w:bCs/>
          <w:spacing w:val="-12"/>
          <w:sz w:val="20"/>
          <w:szCs w:val="20"/>
        </w:rPr>
        <w:t>法</w:t>
      </w:r>
      <w:r>
        <w:rPr>
          <w:rFonts w:ascii="黑体" w:hAnsi="黑体" w:eastAsia="黑体" w:cs="黑体"/>
          <w:spacing w:val="-46"/>
          <w:sz w:val="20"/>
          <w:szCs w:val="20"/>
        </w:rPr>
        <w:t xml:space="preserve"> </w:t>
      </w:r>
      <w:r>
        <w:rPr>
          <w:rFonts w:ascii="黑体" w:hAnsi="黑体" w:eastAsia="黑体" w:cs="黑体"/>
          <w:b/>
          <w:bCs/>
          <w:spacing w:val="-12"/>
          <w:sz w:val="20"/>
          <w:szCs w:val="20"/>
        </w:rPr>
        <w:t>律</w:t>
      </w:r>
      <w:r>
        <w:rPr>
          <w:rFonts w:ascii="黑体" w:hAnsi="黑体" w:eastAsia="黑体" w:cs="黑体"/>
          <w:spacing w:val="-41"/>
          <w:sz w:val="20"/>
          <w:szCs w:val="20"/>
        </w:rPr>
        <w:t xml:space="preserve"> </w:t>
      </w:r>
      <w:r>
        <w:rPr>
          <w:rFonts w:ascii="黑体" w:hAnsi="黑体" w:eastAsia="黑体" w:cs="黑体"/>
          <w:b/>
          <w:bCs/>
          <w:spacing w:val="-12"/>
          <w:sz w:val="20"/>
          <w:szCs w:val="20"/>
        </w:rPr>
        <w:t>变</w:t>
      </w:r>
      <w:r>
        <w:rPr>
          <w:rFonts w:ascii="黑体" w:hAnsi="黑体" w:eastAsia="黑体" w:cs="黑体"/>
          <w:spacing w:val="-46"/>
          <w:sz w:val="20"/>
          <w:szCs w:val="20"/>
        </w:rPr>
        <w:t xml:space="preserve"> </w:t>
      </w:r>
      <w:r>
        <w:rPr>
          <w:rFonts w:ascii="黑体" w:hAnsi="黑体" w:eastAsia="黑体" w:cs="黑体"/>
          <w:b/>
          <w:bCs/>
          <w:spacing w:val="-12"/>
          <w:sz w:val="20"/>
          <w:szCs w:val="20"/>
        </w:rPr>
        <w:t>化</w:t>
      </w:r>
      <w:r>
        <w:rPr>
          <w:rFonts w:ascii="黑体" w:hAnsi="黑体" w:eastAsia="黑体" w:cs="黑体"/>
          <w:spacing w:val="-28"/>
          <w:sz w:val="20"/>
          <w:szCs w:val="20"/>
        </w:rPr>
        <w:t xml:space="preserve"> </w:t>
      </w:r>
      <w:r>
        <w:rPr>
          <w:rFonts w:ascii="黑体" w:hAnsi="黑体" w:eastAsia="黑体" w:cs="黑体"/>
          <w:b/>
          <w:bCs/>
          <w:spacing w:val="-12"/>
          <w:sz w:val="20"/>
          <w:szCs w:val="20"/>
        </w:rPr>
        <w:t>引</w:t>
      </w:r>
      <w:r>
        <w:rPr>
          <w:rFonts w:ascii="黑体" w:hAnsi="黑体" w:eastAsia="黑体" w:cs="黑体"/>
          <w:spacing w:val="-47"/>
          <w:sz w:val="20"/>
          <w:szCs w:val="20"/>
        </w:rPr>
        <w:t xml:space="preserve"> </w:t>
      </w:r>
      <w:r>
        <w:rPr>
          <w:rFonts w:ascii="黑体" w:hAnsi="黑体" w:eastAsia="黑体" w:cs="黑体"/>
          <w:b/>
          <w:bCs/>
          <w:spacing w:val="-12"/>
          <w:sz w:val="20"/>
          <w:szCs w:val="20"/>
        </w:rPr>
        <w:t>起</w:t>
      </w:r>
      <w:r>
        <w:rPr>
          <w:rFonts w:ascii="黑体" w:hAnsi="黑体" w:eastAsia="黑体" w:cs="黑体"/>
          <w:spacing w:val="-35"/>
          <w:sz w:val="20"/>
          <w:szCs w:val="20"/>
        </w:rPr>
        <w:t xml:space="preserve"> </w:t>
      </w:r>
      <w:r>
        <w:rPr>
          <w:rFonts w:ascii="黑体" w:hAnsi="黑体" w:eastAsia="黑体" w:cs="黑体"/>
          <w:b/>
          <w:bCs/>
          <w:spacing w:val="-12"/>
          <w:sz w:val="20"/>
          <w:szCs w:val="20"/>
        </w:rPr>
        <w:t>的</w:t>
      </w:r>
      <w:r>
        <w:rPr>
          <w:rFonts w:ascii="黑体" w:hAnsi="黑体" w:eastAsia="黑体" w:cs="黑体"/>
          <w:spacing w:val="-47"/>
          <w:sz w:val="20"/>
          <w:szCs w:val="20"/>
        </w:rPr>
        <w:t xml:space="preserve"> </w:t>
      </w:r>
      <w:r>
        <w:rPr>
          <w:rFonts w:ascii="黑体" w:hAnsi="黑体" w:eastAsia="黑体" w:cs="黑体"/>
          <w:b/>
          <w:bCs/>
          <w:spacing w:val="-12"/>
          <w:sz w:val="20"/>
          <w:szCs w:val="20"/>
        </w:rPr>
        <w:t>价</w:t>
      </w:r>
      <w:r>
        <w:rPr>
          <w:rFonts w:ascii="黑体" w:hAnsi="黑体" w:eastAsia="黑体" w:cs="黑体"/>
          <w:spacing w:val="-45"/>
          <w:sz w:val="20"/>
          <w:szCs w:val="20"/>
        </w:rPr>
        <w:t xml:space="preserve"> </w:t>
      </w:r>
      <w:r>
        <w:rPr>
          <w:rFonts w:ascii="黑体" w:hAnsi="黑体" w:eastAsia="黑体" w:cs="黑体"/>
          <w:b/>
          <w:bCs/>
          <w:spacing w:val="-12"/>
          <w:sz w:val="20"/>
          <w:szCs w:val="20"/>
        </w:rPr>
        <w:t>格</w:t>
      </w:r>
      <w:r>
        <w:rPr>
          <w:rFonts w:ascii="黑体" w:hAnsi="黑体" w:eastAsia="黑体" w:cs="黑体"/>
          <w:spacing w:val="-45"/>
          <w:sz w:val="20"/>
          <w:szCs w:val="20"/>
        </w:rPr>
        <w:t xml:space="preserve"> </w:t>
      </w:r>
      <w:r>
        <w:rPr>
          <w:rFonts w:ascii="黑体" w:hAnsi="黑体" w:eastAsia="黑体" w:cs="黑体"/>
          <w:b/>
          <w:bCs/>
          <w:spacing w:val="-12"/>
          <w:sz w:val="20"/>
          <w:szCs w:val="20"/>
        </w:rPr>
        <w:t>调</w:t>
      </w:r>
      <w:r>
        <w:rPr>
          <w:rFonts w:ascii="黑体" w:hAnsi="黑体" w:eastAsia="黑体" w:cs="黑体"/>
          <w:spacing w:val="-47"/>
          <w:sz w:val="20"/>
          <w:szCs w:val="20"/>
        </w:rPr>
        <w:t xml:space="preserve"> </w:t>
      </w:r>
      <w:r>
        <w:rPr>
          <w:rFonts w:ascii="黑体" w:hAnsi="黑体" w:eastAsia="黑体" w:cs="黑体"/>
          <w:b/>
          <w:bCs/>
          <w:spacing w:val="-12"/>
          <w:sz w:val="20"/>
          <w:szCs w:val="20"/>
        </w:rPr>
        <w:t>整</w:t>
      </w:r>
    </w:p>
    <w:p w14:paraId="78F82B21">
      <w:pPr>
        <w:pStyle w:val="2"/>
        <w:spacing w:before="174" w:line="219" w:lineRule="auto"/>
        <w:ind w:left="419"/>
        <w:rPr>
          <w:sz w:val="20"/>
          <w:szCs w:val="20"/>
        </w:rPr>
      </w:pPr>
      <w:r>
        <w:rPr>
          <w:spacing w:val="12"/>
          <w:sz w:val="20"/>
          <w:szCs w:val="20"/>
        </w:rPr>
        <w:t>在基准日后，因法律变化导致承包人在合同履行中所需要</w:t>
      </w:r>
      <w:r>
        <w:rPr>
          <w:spacing w:val="11"/>
          <w:sz w:val="20"/>
          <w:szCs w:val="20"/>
        </w:rPr>
        <w:t>的工程费用发生除第16.1款约定以</w:t>
      </w:r>
    </w:p>
    <w:p w14:paraId="71B6DCCF">
      <w:pPr>
        <w:spacing w:line="219" w:lineRule="auto"/>
        <w:rPr>
          <w:sz w:val="20"/>
          <w:szCs w:val="20"/>
        </w:rPr>
        <w:sectPr>
          <w:footerReference r:id="rId134" w:type="default"/>
          <w:pgSz w:w="11910" w:h="16840"/>
          <w:pgMar w:top="400" w:right="1498" w:bottom="1024" w:left="1460" w:header="0" w:footer="889" w:gutter="0"/>
          <w:cols w:space="720" w:num="1"/>
        </w:sectPr>
      </w:pPr>
    </w:p>
    <w:p w14:paraId="217277F4">
      <w:pPr>
        <w:spacing w:line="266" w:lineRule="auto"/>
        <w:rPr>
          <w:rFonts w:ascii="Arial"/>
          <w:sz w:val="21"/>
        </w:rPr>
      </w:pPr>
    </w:p>
    <w:p w14:paraId="3EBB3D37">
      <w:pPr>
        <w:spacing w:line="266" w:lineRule="auto"/>
        <w:rPr>
          <w:rFonts w:ascii="Arial"/>
          <w:sz w:val="21"/>
        </w:rPr>
      </w:pPr>
    </w:p>
    <w:p w14:paraId="2D61B8C7">
      <w:pPr>
        <w:spacing w:line="266" w:lineRule="auto"/>
        <w:rPr>
          <w:rFonts w:ascii="Arial"/>
          <w:sz w:val="21"/>
        </w:rPr>
      </w:pPr>
    </w:p>
    <w:p w14:paraId="64DC767B">
      <w:pPr>
        <w:spacing w:line="266" w:lineRule="auto"/>
        <w:rPr>
          <w:rFonts w:ascii="Arial"/>
          <w:sz w:val="21"/>
        </w:rPr>
      </w:pPr>
    </w:p>
    <w:p w14:paraId="3055AD74">
      <w:pPr>
        <w:spacing w:line="266" w:lineRule="auto"/>
        <w:rPr>
          <w:rFonts w:ascii="Arial"/>
          <w:sz w:val="21"/>
        </w:rPr>
      </w:pPr>
    </w:p>
    <w:p w14:paraId="640E4EC5">
      <w:pPr>
        <w:pStyle w:val="2"/>
        <w:spacing w:before="69" w:line="370" w:lineRule="auto"/>
        <w:ind w:right="75"/>
        <w:rPr>
          <w:sz w:val="21"/>
          <w:szCs w:val="21"/>
        </w:rPr>
      </w:pPr>
      <w:r>
        <w:rPr>
          <w:spacing w:val="1"/>
          <w:sz w:val="21"/>
          <w:szCs w:val="21"/>
        </w:rPr>
        <w:t>外的增减时，监理人应根据法律、国家或省、自治区</w:t>
      </w:r>
      <w:r>
        <w:rPr>
          <w:sz w:val="21"/>
          <w:szCs w:val="21"/>
        </w:rPr>
        <w:t xml:space="preserve">、直辖市有关部门的规定，按第3.5款商定或 </w:t>
      </w:r>
      <w:r>
        <w:rPr>
          <w:spacing w:val="-4"/>
          <w:sz w:val="21"/>
          <w:szCs w:val="21"/>
        </w:rPr>
        <w:t>确定需调整的合同价款。</w:t>
      </w:r>
    </w:p>
    <w:p w14:paraId="22A0CFE7">
      <w:pPr>
        <w:pStyle w:val="2"/>
        <w:spacing w:before="10" w:line="224" w:lineRule="auto"/>
        <w:ind w:left="4"/>
        <w:rPr>
          <w:rFonts w:ascii="黑体" w:hAnsi="黑体" w:eastAsia="黑体" w:cs="黑体"/>
          <w:sz w:val="29"/>
          <w:szCs w:val="29"/>
        </w:rPr>
      </w:pPr>
      <w:r>
        <w:rPr>
          <w:b/>
          <w:bCs/>
          <w:spacing w:val="-2"/>
          <w:sz w:val="29"/>
          <w:szCs w:val="29"/>
        </w:rPr>
        <w:t>17.</w:t>
      </w:r>
      <w:r>
        <w:rPr>
          <w:rFonts w:ascii="黑体" w:hAnsi="黑体" w:eastAsia="黑体" w:cs="黑体"/>
          <w:b/>
          <w:bCs/>
          <w:spacing w:val="-2"/>
          <w:sz w:val="29"/>
          <w:szCs w:val="29"/>
        </w:rPr>
        <w:t>计量与支付</w:t>
      </w:r>
    </w:p>
    <w:p w14:paraId="233D783C">
      <w:pPr>
        <w:pStyle w:val="2"/>
        <w:spacing w:before="117" w:line="225" w:lineRule="auto"/>
        <w:ind w:left="3"/>
        <w:rPr>
          <w:rFonts w:ascii="黑体" w:hAnsi="黑体" w:eastAsia="黑体" w:cs="黑体"/>
          <w:sz w:val="21"/>
          <w:szCs w:val="21"/>
        </w:rPr>
      </w:pPr>
      <w:r>
        <w:rPr>
          <w:b/>
          <w:bCs/>
          <w:spacing w:val="-8"/>
          <w:sz w:val="21"/>
          <w:szCs w:val="21"/>
        </w:rPr>
        <w:t>17.1</w:t>
      </w:r>
      <w:r>
        <w:rPr>
          <w:spacing w:val="29"/>
          <w:sz w:val="21"/>
          <w:szCs w:val="21"/>
        </w:rPr>
        <w:t xml:space="preserve"> </w:t>
      </w:r>
      <w:r>
        <w:rPr>
          <w:rFonts w:ascii="黑体" w:hAnsi="黑体" w:eastAsia="黑体" w:cs="黑体"/>
          <w:b/>
          <w:bCs/>
          <w:spacing w:val="-8"/>
          <w:sz w:val="21"/>
          <w:szCs w:val="21"/>
        </w:rPr>
        <w:t>计</w:t>
      </w:r>
      <w:r>
        <w:rPr>
          <w:rFonts w:ascii="黑体" w:hAnsi="黑体" w:eastAsia="黑体" w:cs="黑体"/>
          <w:spacing w:val="-18"/>
          <w:sz w:val="21"/>
          <w:szCs w:val="21"/>
        </w:rPr>
        <w:t xml:space="preserve"> </w:t>
      </w:r>
      <w:r>
        <w:rPr>
          <w:rFonts w:ascii="黑体" w:hAnsi="黑体" w:eastAsia="黑体" w:cs="黑体"/>
          <w:b/>
          <w:bCs/>
          <w:spacing w:val="-8"/>
          <w:sz w:val="21"/>
          <w:szCs w:val="21"/>
        </w:rPr>
        <w:t>量</w:t>
      </w:r>
    </w:p>
    <w:p w14:paraId="685FF405">
      <w:pPr>
        <w:spacing w:before="140" w:line="222" w:lineRule="auto"/>
        <w:ind w:left="422"/>
        <w:rPr>
          <w:rFonts w:ascii="黑体" w:hAnsi="黑体" w:eastAsia="黑体" w:cs="黑体"/>
          <w:sz w:val="21"/>
          <w:szCs w:val="21"/>
        </w:rPr>
      </w:pPr>
      <w:r>
        <w:rPr>
          <w:rFonts w:ascii="黑体" w:hAnsi="黑体" w:eastAsia="黑体" w:cs="黑体"/>
          <w:b/>
          <w:bCs/>
          <w:spacing w:val="-2"/>
          <w:sz w:val="21"/>
          <w:szCs w:val="21"/>
        </w:rPr>
        <w:t>17.1.1计量单位</w:t>
      </w:r>
    </w:p>
    <w:p w14:paraId="0AF9204F">
      <w:pPr>
        <w:pStyle w:val="2"/>
        <w:spacing w:before="139" w:line="219" w:lineRule="auto"/>
        <w:ind w:left="419"/>
        <w:rPr>
          <w:sz w:val="21"/>
          <w:szCs w:val="21"/>
        </w:rPr>
      </w:pPr>
      <w:r>
        <w:rPr>
          <w:spacing w:val="-1"/>
          <w:sz w:val="21"/>
          <w:szCs w:val="21"/>
        </w:rPr>
        <w:t>计量采用国家法定的计量单位。</w:t>
      </w:r>
    </w:p>
    <w:p w14:paraId="08B16967">
      <w:pPr>
        <w:spacing w:before="157" w:line="221" w:lineRule="auto"/>
        <w:ind w:left="422"/>
        <w:rPr>
          <w:rFonts w:ascii="黑体" w:hAnsi="黑体" w:eastAsia="黑体" w:cs="黑体"/>
          <w:sz w:val="21"/>
          <w:szCs w:val="21"/>
        </w:rPr>
      </w:pPr>
      <w:r>
        <w:rPr>
          <w:rFonts w:ascii="黑体" w:hAnsi="黑体" w:eastAsia="黑体" w:cs="黑体"/>
          <w:b/>
          <w:bCs/>
          <w:spacing w:val="-2"/>
          <w:sz w:val="21"/>
          <w:szCs w:val="21"/>
        </w:rPr>
        <w:t>17.1.2计量方法</w:t>
      </w:r>
    </w:p>
    <w:p w14:paraId="0179F091">
      <w:pPr>
        <w:pStyle w:val="2"/>
        <w:spacing w:before="154" w:line="219" w:lineRule="auto"/>
        <w:ind w:right="35"/>
        <w:jc w:val="right"/>
        <w:rPr>
          <w:sz w:val="21"/>
          <w:szCs w:val="21"/>
        </w:rPr>
      </w:pPr>
      <w:r>
        <w:rPr>
          <w:spacing w:val="-1"/>
          <w:sz w:val="21"/>
          <w:szCs w:val="21"/>
        </w:rPr>
        <w:t>工程量清单中的工程量计算规则应按有关国家标准、行业标准的规定，并在合同中约定执行。</w:t>
      </w:r>
    </w:p>
    <w:p w14:paraId="2FA81A89">
      <w:pPr>
        <w:pStyle w:val="2"/>
        <w:spacing w:before="148" w:line="220" w:lineRule="auto"/>
        <w:ind w:left="422"/>
        <w:rPr>
          <w:sz w:val="21"/>
          <w:szCs w:val="21"/>
        </w:rPr>
      </w:pPr>
      <w:r>
        <w:rPr>
          <w:b/>
          <w:bCs/>
          <w:spacing w:val="-2"/>
          <w:sz w:val="21"/>
          <w:szCs w:val="21"/>
        </w:rPr>
        <w:t>17.1.3计量周期</w:t>
      </w:r>
    </w:p>
    <w:p w14:paraId="1851F731">
      <w:pPr>
        <w:pStyle w:val="2"/>
        <w:spacing w:before="160" w:line="342" w:lineRule="auto"/>
        <w:ind w:right="114" w:firstLine="419"/>
        <w:rPr>
          <w:sz w:val="21"/>
          <w:szCs w:val="21"/>
        </w:rPr>
      </w:pPr>
      <w:r>
        <w:rPr>
          <w:spacing w:val="2"/>
          <w:sz w:val="21"/>
          <w:szCs w:val="21"/>
        </w:rPr>
        <w:t>除专用合同条款另有约定外，单价子目已完成工程量按月计量，总价子目的计量周期按批准</w:t>
      </w:r>
      <w:r>
        <w:rPr>
          <w:spacing w:val="9"/>
          <w:sz w:val="21"/>
          <w:szCs w:val="21"/>
        </w:rPr>
        <w:t xml:space="preserve"> </w:t>
      </w:r>
      <w:r>
        <w:rPr>
          <w:spacing w:val="-2"/>
          <w:sz w:val="21"/>
          <w:szCs w:val="21"/>
        </w:rPr>
        <w:t>的支付分解报告确定。</w:t>
      </w:r>
    </w:p>
    <w:p w14:paraId="608135B9">
      <w:pPr>
        <w:pStyle w:val="2"/>
        <w:spacing w:before="1" w:line="221" w:lineRule="auto"/>
        <w:ind w:left="422"/>
        <w:rPr>
          <w:rFonts w:ascii="黑体" w:hAnsi="黑体" w:eastAsia="黑体" w:cs="黑体"/>
          <w:sz w:val="21"/>
          <w:szCs w:val="21"/>
        </w:rPr>
      </w:pPr>
      <w:r>
        <w:rPr>
          <w:b/>
          <w:bCs/>
          <w:spacing w:val="-10"/>
          <w:sz w:val="21"/>
          <w:szCs w:val="21"/>
        </w:rPr>
        <w:t>17.1.4</w:t>
      </w:r>
      <w:r>
        <w:rPr>
          <w:spacing w:val="-10"/>
          <w:sz w:val="21"/>
          <w:szCs w:val="21"/>
        </w:rPr>
        <w:t xml:space="preserve"> </w:t>
      </w:r>
      <w:r>
        <w:rPr>
          <w:rFonts w:ascii="黑体" w:hAnsi="黑体" w:eastAsia="黑体" w:cs="黑体"/>
          <w:b/>
          <w:bCs/>
          <w:spacing w:val="-10"/>
          <w:sz w:val="21"/>
          <w:szCs w:val="21"/>
        </w:rPr>
        <w:t>单价子目的计量</w:t>
      </w:r>
    </w:p>
    <w:p w14:paraId="129D4672">
      <w:pPr>
        <w:pStyle w:val="2"/>
        <w:spacing w:before="150" w:line="348" w:lineRule="auto"/>
        <w:ind w:right="94" w:firstLine="840"/>
        <w:rPr>
          <w:sz w:val="21"/>
          <w:szCs w:val="21"/>
        </w:rPr>
      </w:pPr>
      <w:r>
        <w:rPr>
          <w:spacing w:val="6"/>
          <w:sz w:val="21"/>
          <w:szCs w:val="21"/>
        </w:rPr>
        <w:t>(1)已标价工程量清单中的单价子目工程</w:t>
      </w:r>
      <w:r>
        <w:rPr>
          <w:spacing w:val="5"/>
          <w:sz w:val="21"/>
          <w:szCs w:val="21"/>
        </w:rPr>
        <w:t>量为估算工程量。结算工程量是承包人实际完</w:t>
      </w:r>
      <w:r>
        <w:rPr>
          <w:sz w:val="21"/>
          <w:szCs w:val="21"/>
        </w:rPr>
        <w:t xml:space="preserve"> </w:t>
      </w:r>
      <w:r>
        <w:rPr>
          <w:spacing w:val="-2"/>
          <w:sz w:val="21"/>
          <w:szCs w:val="21"/>
        </w:rPr>
        <w:t>成的，并按合同约定的计量方法进行计量的工程量。</w:t>
      </w:r>
    </w:p>
    <w:p w14:paraId="08BC1E76">
      <w:pPr>
        <w:pStyle w:val="2"/>
        <w:spacing w:before="1" w:line="299" w:lineRule="auto"/>
        <w:ind w:right="114" w:firstLine="840"/>
        <w:rPr>
          <w:sz w:val="21"/>
          <w:szCs w:val="21"/>
        </w:rPr>
      </w:pPr>
      <w:r>
        <w:rPr>
          <w:spacing w:val="5"/>
          <w:sz w:val="21"/>
          <w:szCs w:val="21"/>
        </w:rPr>
        <w:t>(2)承包人对已完成的工程进行计量，向监理人提交进度付款申请单、已完成工程量报</w:t>
      </w:r>
      <w:r>
        <w:rPr>
          <w:sz w:val="21"/>
          <w:szCs w:val="21"/>
        </w:rPr>
        <w:t xml:space="preserve"> </w:t>
      </w:r>
      <w:r>
        <w:rPr>
          <w:spacing w:val="-4"/>
          <w:sz w:val="21"/>
          <w:szCs w:val="21"/>
        </w:rPr>
        <w:t>表和有关计量资料。</w:t>
      </w:r>
    </w:p>
    <w:p w14:paraId="39E7A3D8">
      <w:pPr>
        <w:pStyle w:val="2"/>
        <w:spacing w:before="158" w:line="312" w:lineRule="auto"/>
        <w:ind w:right="110" w:firstLine="840"/>
        <w:rPr>
          <w:sz w:val="21"/>
          <w:szCs w:val="21"/>
        </w:rPr>
      </w:pPr>
      <w:r>
        <w:rPr>
          <w:spacing w:val="5"/>
          <w:sz w:val="21"/>
          <w:szCs w:val="21"/>
        </w:rPr>
        <w:t>(3)监理人对承包人提交的工程量报表进行复核，以确定实际完成的工程量。对数量有</w:t>
      </w:r>
      <w:r>
        <w:rPr>
          <w:sz w:val="21"/>
          <w:szCs w:val="21"/>
        </w:rPr>
        <w:t xml:space="preserve"> 异议的，可要求承包人按第8.2款约定进行共同复核和抽样复测。承包</w:t>
      </w:r>
      <w:r>
        <w:rPr>
          <w:spacing w:val="-1"/>
          <w:sz w:val="21"/>
          <w:szCs w:val="21"/>
        </w:rPr>
        <w:t>人应协助监理人进行复核并</w:t>
      </w:r>
      <w:r>
        <w:rPr>
          <w:sz w:val="21"/>
          <w:szCs w:val="21"/>
        </w:rPr>
        <w:t xml:space="preserve"> </w:t>
      </w:r>
      <w:r>
        <w:rPr>
          <w:spacing w:val="2"/>
          <w:sz w:val="21"/>
          <w:szCs w:val="21"/>
        </w:rPr>
        <w:t>按监理人要求提供补充计量资料。承包人未按监理人要求参加复核，监理人复核或修正的工程量</w:t>
      </w:r>
      <w:r>
        <w:rPr>
          <w:spacing w:val="3"/>
          <w:sz w:val="21"/>
          <w:szCs w:val="21"/>
        </w:rPr>
        <w:t xml:space="preserve"> </w:t>
      </w:r>
      <w:r>
        <w:rPr>
          <w:spacing w:val="-3"/>
          <w:sz w:val="21"/>
          <w:szCs w:val="21"/>
        </w:rPr>
        <w:t>视为承包人实际完成的工程量。</w:t>
      </w:r>
    </w:p>
    <w:p w14:paraId="347F969F">
      <w:pPr>
        <w:pStyle w:val="2"/>
        <w:spacing w:before="171" w:line="219" w:lineRule="auto"/>
        <w:jc w:val="right"/>
        <w:rPr>
          <w:sz w:val="21"/>
          <w:szCs w:val="21"/>
        </w:rPr>
      </w:pPr>
      <w:r>
        <w:rPr>
          <w:spacing w:val="2"/>
          <w:sz w:val="21"/>
          <w:szCs w:val="21"/>
        </w:rPr>
        <w:t>(4)监理人认为有必要时，可通知承包人共同进行联合测量、计量，承包人应遵照执行。</w:t>
      </w:r>
    </w:p>
    <w:p w14:paraId="33F0441D">
      <w:pPr>
        <w:pStyle w:val="2"/>
        <w:spacing w:before="149" w:line="319" w:lineRule="auto"/>
        <w:ind w:right="109" w:firstLine="840"/>
        <w:rPr>
          <w:sz w:val="21"/>
          <w:szCs w:val="21"/>
        </w:rPr>
      </w:pPr>
      <w:r>
        <w:rPr>
          <w:spacing w:val="5"/>
          <w:sz w:val="21"/>
          <w:szCs w:val="21"/>
        </w:rPr>
        <w:t>(5)承包人完成工程量清单中每个子目的工程量后，监理人应要求承包人派员共同</w:t>
      </w:r>
      <w:r>
        <w:rPr>
          <w:spacing w:val="4"/>
          <w:sz w:val="21"/>
          <w:szCs w:val="21"/>
        </w:rPr>
        <w:t>对每</w:t>
      </w:r>
      <w:r>
        <w:rPr>
          <w:sz w:val="21"/>
          <w:szCs w:val="21"/>
        </w:rPr>
        <w:t xml:space="preserve"> </w:t>
      </w:r>
      <w:r>
        <w:rPr>
          <w:spacing w:val="2"/>
          <w:sz w:val="21"/>
          <w:szCs w:val="21"/>
        </w:rPr>
        <w:t>个子目的历次计量报表进行汇总，以核实最终结算工程量。监理人可要求承包人提供补充计量资</w:t>
      </w:r>
      <w:r>
        <w:rPr>
          <w:spacing w:val="10"/>
          <w:sz w:val="21"/>
          <w:szCs w:val="21"/>
        </w:rPr>
        <w:t xml:space="preserve"> </w:t>
      </w:r>
      <w:r>
        <w:rPr>
          <w:spacing w:val="2"/>
          <w:sz w:val="21"/>
          <w:szCs w:val="21"/>
        </w:rPr>
        <w:t>料，以确定最后一次进度付款的准确工程量。承包人未按监理人要求派员参加的，监理人最终核</w:t>
      </w:r>
      <w:r>
        <w:rPr>
          <w:spacing w:val="7"/>
          <w:sz w:val="21"/>
          <w:szCs w:val="21"/>
        </w:rPr>
        <w:t xml:space="preserve"> </w:t>
      </w:r>
      <w:r>
        <w:rPr>
          <w:spacing w:val="-2"/>
          <w:sz w:val="21"/>
          <w:szCs w:val="21"/>
        </w:rPr>
        <w:t>实的工程量视为承包人完成该子目的准确工程量。</w:t>
      </w:r>
    </w:p>
    <w:p w14:paraId="1AE2BCDF">
      <w:pPr>
        <w:pStyle w:val="2"/>
        <w:spacing w:before="139" w:line="325" w:lineRule="auto"/>
        <w:ind w:right="112" w:firstLine="840"/>
        <w:rPr>
          <w:sz w:val="17"/>
          <w:szCs w:val="17"/>
        </w:rPr>
      </w:pPr>
      <w:r>
        <w:rPr>
          <w:spacing w:val="8"/>
          <w:sz w:val="21"/>
          <w:szCs w:val="21"/>
        </w:rPr>
        <w:t>(6)监理人应在收到承包人提交的工程量报表后的7天内进行</w:t>
      </w:r>
      <w:r>
        <w:rPr>
          <w:spacing w:val="7"/>
          <w:sz w:val="21"/>
          <w:szCs w:val="21"/>
        </w:rPr>
        <w:t>复核，监理人未在约定时</w:t>
      </w:r>
      <w:r>
        <w:rPr>
          <w:sz w:val="21"/>
          <w:szCs w:val="21"/>
        </w:rPr>
        <w:t xml:space="preserve"> </w:t>
      </w:r>
      <w:r>
        <w:rPr>
          <w:spacing w:val="2"/>
          <w:sz w:val="21"/>
          <w:szCs w:val="21"/>
        </w:rPr>
        <w:t>间内复核的，承包人提交的工程量报表中的工程量视为承包人实际完成的工程量，据此计算工程</w:t>
      </w:r>
      <w:r>
        <w:rPr>
          <w:spacing w:val="1"/>
          <w:sz w:val="21"/>
          <w:szCs w:val="21"/>
        </w:rPr>
        <w:t xml:space="preserve"> </w:t>
      </w:r>
      <w:r>
        <w:rPr>
          <w:spacing w:val="-5"/>
          <w:sz w:val="17"/>
          <w:szCs w:val="17"/>
        </w:rPr>
        <w:t>价</w:t>
      </w:r>
      <w:r>
        <w:rPr>
          <w:spacing w:val="-20"/>
          <w:sz w:val="17"/>
          <w:szCs w:val="17"/>
        </w:rPr>
        <w:t xml:space="preserve"> </w:t>
      </w:r>
      <w:r>
        <w:rPr>
          <w:spacing w:val="-5"/>
          <w:sz w:val="17"/>
          <w:szCs w:val="17"/>
        </w:rPr>
        <w:t>款</w:t>
      </w:r>
      <w:r>
        <w:rPr>
          <w:spacing w:val="-27"/>
          <w:sz w:val="17"/>
          <w:szCs w:val="17"/>
        </w:rPr>
        <w:t xml:space="preserve"> </w:t>
      </w:r>
      <w:r>
        <w:rPr>
          <w:spacing w:val="-5"/>
          <w:sz w:val="17"/>
          <w:szCs w:val="17"/>
        </w:rPr>
        <w:t>。</w:t>
      </w:r>
    </w:p>
    <w:p w14:paraId="1D952C59">
      <w:pPr>
        <w:pStyle w:val="2"/>
        <w:spacing w:before="179" w:line="222" w:lineRule="auto"/>
        <w:ind w:left="422"/>
        <w:rPr>
          <w:rFonts w:ascii="黑体" w:hAnsi="黑体" w:eastAsia="黑体" w:cs="黑体"/>
          <w:sz w:val="21"/>
          <w:szCs w:val="21"/>
        </w:rPr>
      </w:pPr>
      <w:r>
        <w:rPr>
          <w:b/>
          <w:bCs/>
          <w:spacing w:val="-11"/>
          <w:sz w:val="21"/>
          <w:szCs w:val="21"/>
        </w:rPr>
        <w:t>17.1.5</w:t>
      </w:r>
      <w:r>
        <w:rPr>
          <w:spacing w:val="-11"/>
          <w:sz w:val="21"/>
          <w:szCs w:val="21"/>
        </w:rPr>
        <w:t xml:space="preserve"> </w:t>
      </w:r>
      <w:r>
        <w:rPr>
          <w:rFonts w:ascii="黑体" w:hAnsi="黑体" w:eastAsia="黑体" w:cs="黑体"/>
          <w:b/>
          <w:bCs/>
          <w:spacing w:val="-11"/>
          <w:sz w:val="21"/>
          <w:szCs w:val="21"/>
        </w:rPr>
        <w:t>总价子目的计量</w:t>
      </w:r>
    </w:p>
    <w:p w14:paraId="1D0D1A54">
      <w:pPr>
        <w:pStyle w:val="2"/>
        <w:spacing w:before="139" w:line="218" w:lineRule="auto"/>
        <w:ind w:left="649"/>
        <w:rPr>
          <w:sz w:val="21"/>
          <w:szCs w:val="21"/>
        </w:rPr>
      </w:pPr>
      <w:r>
        <w:rPr>
          <w:sz w:val="21"/>
          <w:szCs w:val="21"/>
        </w:rPr>
        <w:t>除专用合同条款另有约定外，总价子目的分解和计量按照下</w:t>
      </w:r>
      <w:r>
        <w:rPr>
          <w:spacing w:val="-1"/>
          <w:sz w:val="21"/>
          <w:szCs w:val="21"/>
        </w:rPr>
        <w:t>述约定进行。</w:t>
      </w:r>
    </w:p>
    <w:p w14:paraId="5019F253">
      <w:pPr>
        <w:pStyle w:val="2"/>
        <w:spacing w:before="132" w:line="299" w:lineRule="auto"/>
        <w:ind w:right="115" w:firstLine="739"/>
        <w:rPr>
          <w:sz w:val="21"/>
          <w:szCs w:val="21"/>
        </w:rPr>
      </w:pPr>
      <w:r>
        <w:rPr>
          <w:spacing w:val="7"/>
          <w:sz w:val="21"/>
          <w:szCs w:val="21"/>
        </w:rPr>
        <w:t>(1)总价子目的计量和支付应以总价为基础，不因第16.1款中的因素而进行调整。承包</w:t>
      </w:r>
      <w:r>
        <w:rPr>
          <w:spacing w:val="6"/>
          <w:sz w:val="21"/>
          <w:szCs w:val="21"/>
        </w:rPr>
        <w:t xml:space="preserve"> </w:t>
      </w:r>
      <w:r>
        <w:rPr>
          <w:spacing w:val="-1"/>
          <w:sz w:val="21"/>
          <w:szCs w:val="21"/>
        </w:rPr>
        <w:t>人实际完成的工程量，是进行工程目标管理和</w:t>
      </w:r>
      <w:r>
        <w:rPr>
          <w:spacing w:val="-2"/>
          <w:sz w:val="21"/>
          <w:szCs w:val="21"/>
        </w:rPr>
        <w:t>控制进度支付的依据。</w:t>
      </w:r>
    </w:p>
    <w:p w14:paraId="041C6BC9">
      <w:pPr>
        <w:pStyle w:val="2"/>
        <w:spacing w:before="142" w:line="219" w:lineRule="auto"/>
        <w:ind w:left="749"/>
        <w:rPr>
          <w:sz w:val="21"/>
          <w:szCs w:val="21"/>
        </w:rPr>
      </w:pPr>
      <w:r>
        <w:rPr>
          <w:spacing w:val="2"/>
          <w:sz w:val="21"/>
          <w:szCs w:val="21"/>
        </w:rPr>
        <w:t>(2)承包人在合同约定的每个计量周期内，对已完成的工程进行计量，</w:t>
      </w:r>
      <w:r>
        <w:rPr>
          <w:spacing w:val="1"/>
          <w:sz w:val="21"/>
          <w:szCs w:val="21"/>
        </w:rPr>
        <w:t>并向监理人提交进</w:t>
      </w:r>
    </w:p>
    <w:p w14:paraId="0B7315BB">
      <w:pPr>
        <w:spacing w:line="219" w:lineRule="auto"/>
        <w:rPr>
          <w:sz w:val="21"/>
          <w:szCs w:val="21"/>
        </w:rPr>
        <w:sectPr>
          <w:footerReference r:id="rId135" w:type="default"/>
          <w:pgSz w:w="11910" w:h="16840"/>
          <w:pgMar w:top="400" w:right="1435" w:bottom="1024" w:left="1450" w:header="0" w:footer="889" w:gutter="0"/>
          <w:cols w:space="720" w:num="1"/>
        </w:sectPr>
      </w:pPr>
    </w:p>
    <w:p w14:paraId="18C0C616">
      <w:pPr>
        <w:spacing w:line="272" w:lineRule="auto"/>
        <w:rPr>
          <w:rFonts w:ascii="Arial"/>
          <w:sz w:val="21"/>
        </w:rPr>
      </w:pPr>
    </w:p>
    <w:p w14:paraId="17C5F1FF">
      <w:pPr>
        <w:spacing w:line="272" w:lineRule="auto"/>
        <w:rPr>
          <w:rFonts w:ascii="Arial"/>
          <w:sz w:val="21"/>
        </w:rPr>
      </w:pPr>
    </w:p>
    <w:p w14:paraId="38E5C5F9">
      <w:pPr>
        <w:spacing w:line="273" w:lineRule="auto"/>
        <w:rPr>
          <w:rFonts w:ascii="Arial"/>
          <w:sz w:val="21"/>
        </w:rPr>
      </w:pPr>
    </w:p>
    <w:p w14:paraId="19DAE329">
      <w:pPr>
        <w:spacing w:line="273" w:lineRule="auto"/>
        <w:rPr>
          <w:rFonts w:ascii="Arial"/>
          <w:sz w:val="21"/>
        </w:rPr>
      </w:pPr>
    </w:p>
    <w:p w14:paraId="2BFA55AE">
      <w:pPr>
        <w:spacing w:line="273" w:lineRule="auto"/>
        <w:rPr>
          <w:rFonts w:ascii="Arial"/>
          <w:sz w:val="21"/>
        </w:rPr>
      </w:pPr>
    </w:p>
    <w:p w14:paraId="1C4612A7">
      <w:pPr>
        <w:pStyle w:val="2"/>
        <w:spacing w:before="65" w:line="365" w:lineRule="auto"/>
        <w:ind w:right="115"/>
        <w:rPr>
          <w:sz w:val="20"/>
          <w:szCs w:val="20"/>
        </w:rPr>
      </w:pPr>
      <w:r>
        <w:rPr>
          <w:spacing w:val="12"/>
          <w:sz w:val="20"/>
          <w:szCs w:val="20"/>
        </w:rPr>
        <w:t>度付款申请单、专用合同条款约定的合同总价支付分解表所表示的阶段</w:t>
      </w:r>
      <w:r>
        <w:rPr>
          <w:spacing w:val="11"/>
          <w:sz w:val="20"/>
          <w:szCs w:val="20"/>
        </w:rPr>
        <w:t>性或分项计量的支持性资</w:t>
      </w:r>
      <w:r>
        <w:rPr>
          <w:sz w:val="20"/>
          <w:szCs w:val="20"/>
        </w:rPr>
        <w:t xml:space="preserve"> </w:t>
      </w:r>
      <w:r>
        <w:rPr>
          <w:spacing w:val="10"/>
          <w:sz w:val="20"/>
          <w:szCs w:val="20"/>
        </w:rPr>
        <w:t>料，以及所达到工程形象目标或分阶段需完成</w:t>
      </w:r>
      <w:r>
        <w:rPr>
          <w:spacing w:val="9"/>
          <w:sz w:val="20"/>
          <w:szCs w:val="20"/>
        </w:rPr>
        <w:t>的工程量和有关计量资料。</w:t>
      </w:r>
    </w:p>
    <w:p w14:paraId="7E50DC5F">
      <w:pPr>
        <w:pStyle w:val="2"/>
        <w:spacing w:before="2" w:line="298" w:lineRule="auto"/>
        <w:ind w:right="70" w:firstLine="749"/>
        <w:rPr>
          <w:sz w:val="20"/>
          <w:szCs w:val="20"/>
        </w:rPr>
      </w:pPr>
      <w:r>
        <w:rPr>
          <w:spacing w:val="12"/>
          <w:sz w:val="20"/>
          <w:szCs w:val="20"/>
        </w:rPr>
        <w:t>(3)监理人对承包人提交的上述资料进行复核，以确定分阶段实际完成的工程量和工程形</w:t>
      </w:r>
      <w:r>
        <w:rPr>
          <w:spacing w:val="8"/>
          <w:sz w:val="20"/>
          <w:szCs w:val="20"/>
        </w:rPr>
        <w:t xml:space="preserve"> </w:t>
      </w:r>
      <w:r>
        <w:rPr>
          <w:spacing w:val="12"/>
          <w:sz w:val="20"/>
          <w:szCs w:val="20"/>
        </w:rPr>
        <w:t>象目标。对其有异议的，可要求承包人按第8.2款约定进行共同复核和</w:t>
      </w:r>
      <w:r>
        <w:rPr>
          <w:spacing w:val="11"/>
          <w:sz w:val="20"/>
          <w:szCs w:val="20"/>
        </w:rPr>
        <w:t>抽样复测。</w:t>
      </w:r>
    </w:p>
    <w:p w14:paraId="6285180D">
      <w:pPr>
        <w:pStyle w:val="2"/>
        <w:spacing w:before="160" w:line="218" w:lineRule="auto"/>
        <w:ind w:left="749"/>
        <w:rPr>
          <w:sz w:val="20"/>
          <w:szCs w:val="20"/>
        </w:rPr>
      </w:pPr>
      <w:r>
        <w:rPr>
          <w:spacing w:val="15"/>
          <w:sz w:val="20"/>
          <w:szCs w:val="20"/>
        </w:rPr>
        <w:t>(4)除按照第15条约定的变更外，总价子目的工程量是承包人</w:t>
      </w:r>
      <w:r>
        <w:rPr>
          <w:spacing w:val="14"/>
          <w:sz w:val="20"/>
          <w:szCs w:val="20"/>
        </w:rPr>
        <w:t>用于结算的最终工程量。</w:t>
      </w:r>
    </w:p>
    <w:p w14:paraId="32D5CDBC">
      <w:pPr>
        <w:spacing w:before="132" w:line="222" w:lineRule="auto"/>
        <w:ind w:left="3"/>
        <w:rPr>
          <w:rFonts w:ascii="黑体" w:hAnsi="黑体" w:eastAsia="黑体" w:cs="黑体"/>
          <w:sz w:val="25"/>
          <w:szCs w:val="25"/>
        </w:rPr>
      </w:pPr>
      <w:r>
        <w:rPr>
          <w:rFonts w:ascii="黑体" w:hAnsi="黑体" w:eastAsia="黑体" w:cs="黑体"/>
          <w:b/>
          <w:bCs/>
          <w:spacing w:val="-3"/>
          <w:sz w:val="25"/>
          <w:szCs w:val="25"/>
        </w:rPr>
        <w:t>17.2预付款</w:t>
      </w:r>
    </w:p>
    <w:p w14:paraId="0F3BC17F">
      <w:pPr>
        <w:spacing w:before="118" w:line="222" w:lineRule="auto"/>
        <w:ind w:left="432"/>
        <w:rPr>
          <w:rFonts w:ascii="黑体" w:hAnsi="黑体" w:eastAsia="黑体" w:cs="黑体"/>
          <w:sz w:val="20"/>
          <w:szCs w:val="20"/>
        </w:rPr>
      </w:pPr>
      <w:r>
        <w:rPr>
          <w:rFonts w:ascii="黑体" w:hAnsi="黑体" w:eastAsia="黑体" w:cs="黑体"/>
          <w:b/>
          <w:bCs/>
          <w:spacing w:val="4"/>
          <w:sz w:val="20"/>
          <w:szCs w:val="20"/>
        </w:rPr>
        <w:t>17.2.1预付款</w:t>
      </w:r>
    </w:p>
    <w:p w14:paraId="5D3AC0D2">
      <w:pPr>
        <w:pStyle w:val="2"/>
        <w:spacing w:before="182" w:line="363" w:lineRule="auto"/>
        <w:ind w:firstLine="429"/>
        <w:rPr>
          <w:sz w:val="20"/>
          <w:szCs w:val="20"/>
        </w:rPr>
      </w:pPr>
      <w:r>
        <w:rPr>
          <w:spacing w:val="12"/>
          <w:sz w:val="20"/>
          <w:szCs w:val="20"/>
        </w:rPr>
        <w:t>预付款用于承包人为合同工程施工购置材料、工程设备、施工设备、修建临时设施以及组织</w:t>
      </w:r>
      <w:r>
        <w:rPr>
          <w:spacing w:val="5"/>
          <w:sz w:val="20"/>
          <w:szCs w:val="20"/>
        </w:rPr>
        <w:t xml:space="preserve">  </w:t>
      </w:r>
      <w:r>
        <w:rPr>
          <w:spacing w:val="10"/>
          <w:sz w:val="20"/>
          <w:szCs w:val="20"/>
        </w:rPr>
        <w:t>施工队伍进场等。预付款的额度和预付办法在专用</w:t>
      </w:r>
      <w:r>
        <w:rPr>
          <w:spacing w:val="9"/>
          <w:sz w:val="20"/>
          <w:szCs w:val="20"/>
        </w:rPr>
        <w:t>合同条款中约定。预付款必须专用于合同工程。</w:t>
      </w:r>
    </w:p>
    <w:p w14:paraId="10B10651">
      <w:pPr>
        <w:pStyle w:val="2"/>
        <w:spacing w:before="2" w:line="219" w:lineRule="auto"/>
        <w:ind w:left="432"/>
        <w:rPr>
          <w:sz w:val="20"/>
          <w:szCs w:val="20"/>
        </w:rPr>
      </w:pPr>
      <w:r>
        <w:rPr>
          <w:b/>
          <w:bCs/>
          <w:spacing w:val="5"/>
          <w:sz w:val="20"/>
          <w:szCs w:val="20"/>
        </w:rPr>
        <w:t>17.2.2预付款保函</w:t>
      </w:r>
    </w:p>
    <w:p w14:paraId="19987AA4">
      <w:pPr>
        <w:pStyle w:val="2"/>
        <w:spacing w:before="176" w:line="358" w:lineRule="auto"/>
        <w:ind w:right="91" w:firstLine="429"/>
        <w:rPr>
          <w:sz w:val="20"/>
          <w:szCs w:val="20"/>
        </w:rPr>
      </w:pPr>
      <w:r>
        <w:rPr>
          <w:spacing w:val="12"/>
          <w:sz w:val="20"/>
          <w:szCs w:val="20"/>
        </w:rPr>
        <w:t>除专用合同条款另有约定外，承包人应在收到预付款的同时向发包人提交预付款保函，预付</w:t>
      </w:r>
      <w:r>
        <w:rPr>
          <w:spacing w:val="7"/>
          <w:sz w:val="20"/>
          <w:szCs w:val="20"/>
        </w:rPr>
        <w:t xml:space="preserve"> </w:t>
      </w:r>
      <w:r>
        <w:rPr>
          <w:spacing w:val="10"/>
          <w:sz w:val="20"/>
          <w:szCs w:val="20"/>
        </w:rPr>
        <w:t>款保函的担保金额应与预付款金额相同。保函的担保金额可根据预</w:t>
      </w:r>
      <w:r>
        <w:rPr>
          <w:spacing w:val="9"/>
          <w:sz w:val="20"/>
          <w:szCs w:val="20"/>
        </w:rPr>
        <w:t>付款扣回的金额相应递减。</w:t>
      </w:r>
    </w:p>
    <w:p w14:paraId="6C9E63B9">
      <w:pPr>
        <w:spacing w:before="1" w:line="221" w:lineRule="auto"/>
        <w:ind w:left="432"/>
        <w:rPr>
          <w:rFonts w:ascii="黑体" w:hAnsi="黑体" w:eastAsia="黑体" w:cs="黑体"/>
          <w:sz w:val="20"/>
          <w:szCs w:val="20"/>
        </w:rPr>
      </w:pPr>
      <w:r>
        <w:rPr>
          <w:rFonts w:ascii="黑体" w:hAnsi="黑体" w:eastAsia="黑体" w:cs="黑体"/>
          <w:b/>
          <w:bCs/>
          <w:spacing w:val="5"/>
          <w:sz w:val="20"/>
          <w:szCs w:val="20"/>
        </w:rPr>
        <w:t>17.2.3预付款的扣回与还清</w:t>
      </w:r>
    </w:p>
    <w:p w14:paraId="55795046">
      <w:pPr>
        <w:pStyle w:val="2"/>
        <w:spacing w:before="184" w:line="350" w:lineRule="auto"/>
        <w:ind w:right="86" w:firstLine="429"/>
        <w:jc w:val="both"/>
        <w:rPr>
          <w:sz w:val="20"/>
          <w:szCs w:val="20"/>
        </w:rPr>
      </w:pPr>
      <w:r>
        <w:rPr>
          <w:spacing w:val="12"/>
          <w:sz w:val="20"/>
          <w:szCs w:val="20"/>
        </w:rPr>
        <w:t>预付款在进度付款中扣回，扣回办法在专用合同条款中约定。在颁发工程接收证书前，由于</w:t>
      </w:r>
      <w:r>
        <w:rPr>
          <w:spacing w:val="11"/>
          <w:sz w:val="20"/>
          <w:szCs w:val="20"/>
        </w:rPr>
        <w:t xml:space="preserve"> </w:t>
      </w:r>
      <w:r>
        <w:rPr>
          <w:spacing w:val="12"/>
          <w:sz w:val="20"/>
          <w:szCs w:val="20"/>
        </w:rPr>
        <w:t>不可抗力或其他原因解除合同时，预付款尚未扣清的，尚未扣清的预付款余额应作为承包人的到</w:t>
      </w:r>
      <w:r>
        <w:rPr>
          <w:spacing w:val="18"/>
          <w:sz w:val="20"/>
          <w:szCs w:val="20"/>
        </w:rPr>
        <w:t xml:space="preserve"> </w:t>
      </w:r>
      <w:r>
        <w:rPr>
          <w:spacing w:val="3"/>
          <w:sz w:val="20"/>
          <w:szCs w:val="20"/>
        </w:rPr>
        <w:t>期应付款。</w:t>
      </w:r>
    </w:p>
    <w:p w14:paraId="644FC72D">
      <w:pPr>
        <w:spacing w:line="221" w:lineRule="auto"/>
        <w:ind w:left="3"/>
        <w:rPr>
          <w:rFonts w:ascii="黑体" w:hAnsi="黑体" w:eastAsia="黑体" w:cs="黑体"/>
          <w:sz w:val="25"/>
          <w:szCs w:val="25"/>
        </w:rPr>
      </w:pPr>
      <w:r>
        <w:rPr>
          <w:rFonts w:ascii="黑体" w:hAnsi="黑体" w:eastAsia="黑体" w:cs="黑体"/>
          <w:b/>
          <w:bCs/>
          <w:spacing w:val="-5"/>
          <w:sz w:val="25"/>
          <w:szCs w:val="25"/>
        </w:rPr>
        <w:t>17.3工程进度付款</w:t>
      </w:r>
    </w:p>
    <w:p w14:paraId="36CF2EB2">
      <w:pPr>
        <w:spacing w:before="161" w:line="223" w:lineRule="auto"/>
        <w:ind w:left="432"/>
        <w:rPr>
          <w:rFonts w:ascii="黑体" w:hAnsi="黑体" w:eastAsia="黑体" w:cs="黑体"/>
          <w:sz w:val="20"/>
          <w:szCs w:val="20"/>
        </w:rPr>
      </w:pPr>
      <w:r>
        <w:rPr>
          <w:rFonts w:ascii="黑体" w:hAnsi="黑体" w:eastAsia="黑体" w:cs="黑体"/>
          <w:b/>
          <w:bCs/>
          <w:spacing w:val="4"/>
          <w:sz w:val="20"/>
          <w:szCs w:val="20"/>
        </w:rPr>
        <w:t>17.3.1付款周期</w:t>
      </w:r>
    </w:p>
    <w:p w14:paraId="40536260">
      <w:pPr>
        <w:pStyle w:val="2"/>
        <w:spacing w:before="160" w:line="219" w:lineRule="auto"/>
        <w:ind w:left="429"/>
        <w:rPr>
          <w:sz w:val="20"/>
          <w:szCs w:val="20"/>
        </w:rPr>
      </w:pPr>
      <w:r>
        <w:rPr>
          <w:spacing w:val="8"/>
          <w:sz w:val="20"/>
          <w:szCs w:val="20"/>
        </w:rPr>
        <w:t>付款周期同计量周期。</w:t>
      </w:r>
    </w:p>
    <w:p w14:paraId="7140A451">
      <w:pPr>
        <w:pStyle w:val="2"/>
        <w:spacing w:before="159" w:line="222" w:lineRule="auto"/>
        <w:ind w:left="432"/>
        <w:rPr>
          <w:rFonts w:ascii="黑体" w:hAnsi="黑体" w:eastAsia="黑体" w:cs="黑体"/>
          <w:sz w:val="20"/>
          <w:szCs w:val="20"/>
        </w:rPr>
      </w:pPr>
      <w:r>
        <w:rPr>
          <w:b/>
          <w:bCs/>
          <w:spacing w:val="-3"/>
          <w:sz w:val="20"/>
          <w:szCs w:val="20"/>
        </w:rPr>
        <w:t>17.3.2</w:t>
      </w:r>
      <w:r>
        <w:rPr>
          <w:spacing w:val="-3"/>
          <w:sz w:val="20"/>
          <w:szCs w:val="20"/>
        </w:rPr>
        <w:t xml:space="preserve"> </w:t>
      </w:r>
      <w:r>
        <w:rPr>
          <w:rFonts w:ascii="黑体" w:hAnsi="黑体" w:eastAsia="黑体" w:cs="黑体"/>
          <w:b/>
          <w:bCs/>
          <w:spacing w:val="-3"/>
          <w:sz w:val="20"/>
          <w:szCs w:val="20"/>
        </w:rPr>
        <w:t>进度付款申请单</w:t>
      </w:r>
    </w:p>
    <w:p w14:paraId="2753429F">
      <w:pPr>
        <w:pStyle w:val="2"/>
        <w:spacing w:before="175" w:line="361" w:lineRule="auto"/>
        <w:ind w:right="91" w:firstLine="429"/>
        <w:jc w:val="both"/>
        <w:rPr>
          <w:sz w:val="20"/>
          <w:szCs w:val="20"/>
        </w:rPr>
      </w:pPr>
      <w:r>
        <w:rPr>
          <w:spacing w:val="12"/>
          <w:sz w:val="20"/>
          <w:szCs w:val="20"/>
        </w:rPr>
        <w:t>承包人应在每个付款周期末，按监理人批准的格式和专用合同条款约定的份数，向监理人提</w:t>
      </w:r>
      <w:r>
        <w:rPr>
          <w:spacing w:val="7"/>
          <w:sz w:val="20"/>
          <w:szCs w:val="20"/>
        </w:rPr>
        <w:t xml:space="preserve"> </w:t>
      </w:r>
      <w:r>
        <w:rPr>
          <w:spacing w:val="12"/>
          <w:sz w:val="20"/>
          <w:szCs w:val="20"/>
        </w:rPr>
        <w:t>交进度付款申请单，并附相应的支持性证明文件。除专用合同条款另有约定外，进度付款申请单</w:t>
      </w:r>
      <w:r>
        <w:rPr>
          <w:spacing w:val="13"/>
          <w:sz w:val="20"/>
          <w:szCs w:val="20"/>
        </w:rPr>
        <w:t xml:space="preserve"> </w:t>
      </w:r>
      <w:r>
        <w:rPr>
          <w:spacing w:val="4"/>
          <w:sz w:val="20"/>
          <w:szCs w:val="20"/>
        </w:rPr>
        <w:t>应包括下列内容：</w:t>
      </w:r>
    </w:p>
    <w:p w14:paraId="066B4546">
      <w:pPr>
        <w:pStyle w:val="2"/>
        <w:spacing w:before="14" w:line="218" w:lineRule="auto"/>
        <w:ind w:left="550"/>
        <w:rPr>
          <w:sz w:val="20"/>
          <w:szCs w:val="20"/>
        </w:rPr>
      </w:pPr>
      <w:r>
        <w:rPr>
          <w:spacing w:val="11"/>
          <w:sz w:val="20"/>
          <w:szCs w:val="20"/>
        </w:rPr>
        <w:t>(1)截至本次付款周期末已实施工程的价款；</w:t>
      </w:r>
    </w:p>
    <w:p w14:paraId="139005C7">
      <w:pPr>
        <w:pStyle w:val="2"/>
        <w:spacing w:before="165" w:line="219" w:lineRule="auto"/>
        <w:ind w:left="550"/>
        <w:rPr>
          <w:sz w:val="20"/>
          <w:szCs w:val="20"/>
        </w:rPr>
      </w:pPr>
      <w:r>
        <w:rPr>
          <w:spacing w:val="16"/>
          <w:sz w:val="20"/>
          <w:szCs w:val="20"/>
        </w:rPr>
        <w:t>(2)根据第15条应增加和扣减的变更金额；</w:t>
      </w:r>
    </w:p>
    <w:p w14:paraId="5557AD49">
      <w:pPr>
        <w:pStyle w:val="2"/>
        <w:spacing w:before="153" w:line="219" w:lineRule="auto"/>
        <w:ind w:left="550"/>
        <w:rPr>
          <w:sz w:val="20"/>
          <w:szCs w:val="20"/>
        </w:rPr>
      </w:pPr>
      <w:r>
        <w:rPr>
          <w:spacing w:val="16"/>
          <w:sz w:val="20"/>
          <w:szCs w:val="20"/>
        </w:rPr>
        <w:t>(3)根据第23条应增加和扣减的索赔金额；</w:t>
      </w:r>
    </w:p>
    <w:p w14:paraId="6851DC84">
      <w:pPr>
        <w:pStyle w:val="2"/>
        <w:spacing w:before="183" w:line="219" w:lineRule="auto"/>
        <w:ind w:left="550"/>
        <w:rPr>
          <w:sz w:val="20"/>
          <w:szCs w:val="20"/>
        </w:rPr>
      </w:pPr>
      <w:r>
        <w:rPr>
          <w:spacing w:val="13"/>
          <w:sz w:val="20"/>
          <w:szCs w:val="20"/>
        </w:rPr>
        <w:t>(4)根据第17.2款约定应支付的预付款和扣减的返还预付</w:t>
      </w:r>
      <w:r>
        <w:rPr>
          <w:spacing w:val="12"/>
          <w:sz w:val="20"/>
          <w:szCs w:val="20"/>
        </w:rPr>
        <w:t>款；</w:t>
      </w:r>
    </w:p>
    <w:p w14:paraId="5BE59A18">
      <w:pPr>
        <w:pStyle w:val="2"/>
        <w:spacing w:before="143" w:line="219" w:lineRule="auto"/>
        <w:ind w:left="550"/>
        <w:rPr>
          <w:sz w:val="20"/>
          <w:szCs w:val="20"/>
        </w:rPr>
      </w:pPr>
      <w:r>
        <w:rPr>
          <w:spacing w:val="11"/>
          <w:sz w:val="20"/>
          <w:szCs w:val="20"/>
        </w:rPr>
        <w:t>(5)根据第17.4.1项约定应扣减的质量保证金；</w:t>
      </w:r>
    </w:p>
    <w:p w14:paraId="2AE611B2">
      <w:pPr>
        <w:pStyle w:val="2"/>
        <w:spacing w:before="172" w:line="219" w:lineRule="auto"/>
        <w:ind w:left="550"/>
        <w:rPr>
          <w:sz w:val="20"/>
          <w:szCs w:val="20"/>
        </w:rPr>
      </w:pPr>
      <w:r>
        <w:rPr>
          <w:spacing w:val="12"/>
          <w:sz w:val="20"/>
          <w:szCs w:val="20"/>
        </w:rPr>
        <w:t>(6)根据合同应增加和扣减的其他金额。</w:t>
      </w:r>
    </w:p>
    <w:p w14:paraId="5837FB87">
      <w:pPr>
        <w:spacing w:before="159" w:line="222" w:lineRule="auto"/>
        <w:ind w:left="432"/>
        <w:rPr>
          <w:rFonts w:ascii="黑体" w:hAnsi="黑体" w:eastAsia="黑体" w:cs="黑体"/>
          <w:sz w:val="20"/>
          <w:szCs w:val="20"/>
        </w:rPr>
      </w:pPr>
      <w:r>
        <w:rPr>
          <w:rFonts w:ascii="黑体" w:hAnsi="黑体" w:eastAsia="黑体" w:cs="黑体"/>
          <w:b/>
          <w:bCs/>
          <w:spacing w:val="6"/>
          <w:sz w:val="20"/>
          <w:szCs w:val="20"/>
        </w:rPr>
        <w:t>17.3.3进度付款证书和支付时间</w:t>
      </w:r>
    </w:p>
    <w:p w14:paraId="00ACE81C">
      <w:pPr>
        <w:pStyle w:val="2"/>
        <w:spacing w:before="164" w:line="370" w:lineRule="auto"/>
        <w:ind w:right="88" w:firstLine="749"/>
        <w:jc w:val="both"/>
        <w:rPr>
          <w:sz w:val="20"/>
          <w:szCs w:val="20"/>
        </w:rPr>
      </w:pPr>
      <w:r>
        <w:rPr>
          <w:spacing w:val="17"/>
          <w:sz w:val="20"/>
          <w:szCs w:val="20"/>
        </w:rPr>
        <w:t>(1)监理人在收到承包人进度付款申请单以及相应的支持性证明文</w:t>
      </w:r>
      <w:r>
        <w:rPr>
          <w:spacing w:val="16"/>
          <w:sz w:val="20"/>
          <w:szCs w:val="20"/>
        </w:rPr>
        <w:t>件后的14天内完成核</w:t>
      </w:r>
      <w:r>
        <w:rPr>
          <w:sz w:val="20"/>
          <w:szCs w:val="20"/>
        </w:rPr>
        <w:t xml:space="preserve"> </w:t>
      </w:r>
      <w:r>
        <w:rPr>
          <w:spacing w:val="12"/>
          <w:sz w:val="20"/>
          <w:szCs w:val="20"/>
        </w:rPr>
        <w:t>查，提出发包人到期应支付给承包人的金额以及相应的支持性材料，经发包人审查同意后，由监</w:t>
      </w:r>
      <w:r>
        <w:rPr>
          <w:spacing w:val="13"/>
          <w:sz w:val="20"/>
          <w:szCs w:val="20"/>
        </w:rPr>
        <w:t xml:space="preserve"> </w:t>
      </w:r>
      <w:r>
        <w:rPr>
          <w:spacing w:val="12"/>
          <w:sz w:val="20"/>
          <w:szCs w:val="20"/>
        </w:rPr>
        <w:t>理人向承包人出具经发包人签认的进度付款证书。监理人有权扣发承包人未能按照合同要求履行</w:t>
      </w:r>
    </w:p>
    <w:p w14:paraId="36675C94">
      <w:pPr>
        <w:spacing w:line="370" w:lineRule="auto"/>
        <w:rPr>
          <w:sz w:val="20"/>
          <w:szCs w:val="20"/>
        </w:rPr>
        <w:sectPr>
          <w:footerReference r:id="rId136" w:type="default"/>
          <w:pgSz w:w="11910" w:h="16840"/>
          <w:pgMar w:top="400" w:right="1449" w:bottom="1024" w:left="1450" w:header="0" w:footer="889" w:gutter="0"/>
          <w:cols w:space="720" w:num="1"/>
        </w:sectPr>
      </w:pPr>
    </w:p>
    <w:p w14:paraId="14115643">
      <w:pPr>
        <w:spacing w:line="270" w:lineRule="auto"/>
        <w:rPr>
          <w:rFonts w:ascii="Arial"/>
          <w:sz w:val="21"/>
        </w:rPr>
      </w:pPr>
    </w:p>
    <w:p w14:paraId="571A1041">
      <w:pPr>
        <w:spacing w:line="270" w:lineRule="auto"/>
        <w:rPr>
          <w:rFonts w:ascii="Arial"/>
          <w:sz w:val="21"/>
        </w:rPr>
      </w:pPr>
    </w:p>
    <w:p w14:paraId="472738C0">
      <w:pPr>
        <w:spacing w:line="270" w:lineRule="auto"/>
        <w:rPr>
          <w:rFonts w:ascii="Arial"/>
          <w:sz w:val="21"/>
        </w:rPr>
      </w:pPr>
    </w:p>
    <w:p w14:paraId="4CAFAAC1">
      <w:pPr>
        <w:spacing w:line="271" w:lineRule="auto"/>
        <w:rPr>
          <w:rFonts w:ascii="Arial"/>
          <w:sz w:val="21"/>
        </w:rPr>
      </w:pPr>
    </w:p>
    <w:p w14:paraId="5C3D1950">
      <w:pPr>
        <w:spacing w:line="271" w:lineRule="auto"/>
        <w:rPr>
          <w:rFonts w:ascii="Arial"/>
          <w:sz w:val="21"/>
        </w:rPr>
      </w:pPr>
    </w:p>
    <w:p w14:paraId="537937A6">
      <w:pPr>
        <w:pStyle w:val="2"/>
        <w:spacing w:before="68" w:line="219" w:lineRule="auto"/>
        <w:rPr>
          <w:sz w:val="21"/>
          <w:szCs w:val="21"/>
        </w:rPr>
      </w:pPr>
      <w:r>
        <w:rPr>
          <w:spacing w:val="-3"/>
          <w:sz w:val="21"/>
          <w:szCs w:val="21"/>
        </w:rPr>
        <w:t>任何工作或义务的相应金额。</w:t>
      </w:r>
    </w:p>
    <w:p w14:paraId="67AFCD60">
      <w:pPr>
        <w:pStyle w:val="2"/>
        <w:spacing w:before="160" w:line="281" w:lineRule="auto"/>
        <w:ind w:right="42" w:firstLine="830"/>
        <w:rPr>
          <w:sz w:val="21"/>
          <w:szCs w:val="21"/>
        </w:rPr>
      </w:pPr>
      <w:r>
        <w:rPr>
          <w:spacing w:val="6"/>
          <w:sz w:val="21"/>
          <w:szCs w:val="21"/>
        </w:rPr>
        <w:t>(2)发包人应在监理人收到进度付款申请</w:t>
      </w:r>
      <w:r>
        <w:rPr>
          <w:spacing w:val="5"/>
          <w:sz w:val="21"/>
          <w:szCs w:val="21"/>
        </w:rPr>
        <w:t>单后的28天内，将进度应付款支付给承包人。</w:t>
      </w:r>
      <w:r>
        <w:rPr>
          <w:sz w:val="21"/>
          <w:szCs w:val="21"/>
        </w:rPr>
        <w:t xml:space="preserve"> </w:t>
      </w:r>
      <w:r>
        <w:rPr>
          <w:spacing w:val="-2"/>
          <w:sz w:val="21"/>
          <w:szCs w:val="21"/>
        </w:rPr>
        <w:t>发包人不按期支付的，按专用合同条款的约定支付逾期付款违约金。</w:t>
      </w:r>
    </w:p>
    <w:p w14:paraId="361D0E81">
      <w:pPr>
        <w:pStyle w:val="2"/>
        <w:spacing w:before="149" w:line="286" w:lineRule="auto"/>
        <w:ind w:right="56" w:firstLine="830"/>
        <w:rPr>
          <w:sz w:val="21"/>
          <w:szCs w:val="21"/>
        </w:rPr>
      </w:pPr>
      <w:r>
        <w:rPr>
          <w:spacing w:val="5"/>
          <w:sz w:val="21"/>
          <w:szCs w:val="21"/>
        </w:rPr>
        <w:t>(3)监理人出具进度付款证书，不应视为监理人已同意、批准或接受了承包人完成的该</w:t>
      </w:r>
      <w:r>
        <w:rPr>
          <w:spacing w:val="9"/>
          <w:sz w:val="21"/>
          <w:szCs w:val="21"/>
        </w:rPr>
        <w:t xml:space="preserve"> </w:t>
      </w:r>
      <w:r>
        <w:rPr>
          <w:spacing w:val="-7"/>
          <w:sz w:val="21"/>
          <w:szCs w:val="21"/>
        </w:rPr>
        <w:t>部分工作。</w:t>
      </w:r>
    </w:p>
    <w:p w14:paraId="24270217">
      <w:pPr>
        <w:pStyle w:val="2"/>
        <w:spacing w:before="159" w:line="277" w:lineRule="auto"/>
        <w:ind w:right="58" w:firstLine="830"/>
        <w:rPr>
          <w:sz w:val="21"/>
          <w:szCs w:val="21"/>
        </w:rPr>
      </w:pPr>
      <w:r>
        <w:rPr>
          <w:spacing w:val="5"/>
          <w:sz w:val="21"/>
          <w:szCs w:val="21"/>
        </w:rPr>
        <w:t>(4)进度付款涉及政府投资资金的，按照国库集中支付等国家相关规定和专用合同条款</w:t>
      </w:r>
      <w:r>
        <w:rPr>
          <w:spacing w:val="8"/>
          <w:sz w:val="21"/>
          <w:szCs w:val="21"/>
        </w:rPr>
        <w:t xml:space="preserve"> </w:t>
      </w:r>
      <w:r>
        <w:rPr>
          <w:spacing w:val="-5"/>
          <w:sz w:val="21"/>
          <w:szCs w:val="21"/>
        </w:rPr>
        <w:t>的约定办理。</w:t>
      </w:r>
    </w:p>
    <w:p w14:paraId="74CA5BA6">
      <w:pPr>
        <w:pStyle w:val="2"/>
        <w:spacing w:before="166" w:line="222" w:lineRule="auto"/>
        <w:ind w:left="422"/>
        <w:rPr>
          <w:rFonts w:ascii="黑体" w:hAnsi="黑体" w:eastAsia="黑体" w:cs="黑体"/>
          <w:sz w:val="21"/>
          <w:szCs w:val="21"/>
        </w:rPr>
      </w:pPr>
      <w:r>
        <w:rPr>
          <w:b/>
          <w:bCs/>
          <w:spacing w:val="-9"/>
          <w:sz w:val="21"/>
          <w:szCs w:val="21"/>
        </w:rPr>
        <w:t>17.3.4</w:t>
      </w:r>
      <w:r>
        <w:rPr>
          <w:spacing w:val="-9"/>
          <w:sz w:val="21"/>
          <w:szCs w:val="21"/>
        </w:rPr>
        <w:t xml:space="preserve"> </w:t>
      </w:r>
      <w:r>
        <w:rPr>
          <w:rFonts w:ascii="黑体" w:hAnsi="黑体" w:eastAsia="黑体" w:cs="黑体"/>
          <w:b/>
          <w:bCs/>
          <w:spacing w:val="-9"/>
          <w:sz w:val="21"/>
          <w:szCs w:val="21"/>
        </w:rPr>
        <w:t>工程进度付款的修正</w:t>
      </w:r>
    </w:p>
    <w:p w14:paraId="6FFA6B1A">
      <w:pPr>
        <w:pStyle w:val="2"/>
        <w:spacing w:before="131" w:line="355" w:lineRule="auto"/>
        <w:ind w:firstLine="419"/>
        <w:rPr>
          <w:sz w:val="21"/>
          <w:szCs w:val="21"/>
        </w:rPr>
      </w:pPr>
      <w:r>
        <w:rPr>
          <w:spacing w:val="2"/>
          <w:sz w:val="21"/>
          <w:szCs w:val="21"/>
        </w:rPr>
        <w:t>在对以往历次已签发的进度付款证书进行汇总和复核中发现错、漏或重复的，监理人有权予</w:t>
      </w:r>
      <w:r>
        <w:rPr>
          <w:spacing w:val="11"/>
          <w:sz w:val="21"/>
          <w:szCs w:val="21"/>
        </w:rPr>
        <w:t xml:space="preserve"> </w:t>
      </w:r>
      <w:r>
        <w:rPr>
          <w:spacing w:val="-1"/>
          <w:sz w:val="21"/>
          <w:szCs w:val="21"/>
        </w:rPr>
        <w:t>以修正，承包人也有权提出修正申请。经双方复核</w:t>
      </w:r>
      <w:r>
        <w:rPr>
          <w:spacing w:val="-2"/>
          <w:sz w:val="21"/>
          <w:szCs w:val="21"/>
        </w:rPr>
        <w:t>同意的修正，应在本次进度付款中支付或扣除。</w:t>
      </w:r>
    </w:p>
    <w:p w14:paraId="34A15BAA">
      <w:pPr>
        <w:pStyle w:val="2"/>
        <w:spacing w:before="1" w:line="222" w:lineRule="auto"/>
        <w:ind w:left="3"/>
        <w:rPr>
          <w:rFonts w:ascii="黑体" w:hAnsi="黑体" w:eastAsia="黑体" w:cs="黑体"/>
          <w:sz w:val="21"/>
          <w:szCs w:val="21"/>
        </w:rPr>
      </w:pPr>
      <w:r>
        <w:rPr>
          <w:b/>
          <w:bCs/>
          <w:spacing w:val="10"/>
          <w:sz w:val="21"/>
          <w:szCs w:val="21"/>
        </w:rPr>
        <w:t>17.4</w:t>
      </w:r>
      <w:r>
        <w:rPr>
          <w:spacing w:val="46"/>
          <w:sz w:val="21"/>
          <w:szCs w:val="21"/>
        </w:rPr>
        <w:t xml:space="preserve"> </w:t>
      </w:r>
      <w:r>
        <w:rPr>
          <w:rFonts w:ascii="黑体" w:hAnsi="黑体" w:eastAsia="黑体" w:cs="黑体"/>
          <w:b/>
          <w:bCs/>
          <w:spacing w:val="10"/>
          <w:sz w:val="21"/>
          <w:szCs w:val="21"/>
        </w:rPr>
        <w:t>质量保证金</w:t>
      </w:r>
    </w:p>
    <w:p w14:paraId="58663455">
      <w:pPr>
        <w:pStyle w:val="2"/>
        <w:spacing w:before="158" w:line="307" w:lineRule="auto"/>
        <w:ind w:right="49" w:firstLine="419"/>
        <w:rPr>
          <w:sz w:val="21"/>
          <w:szCs w:val="21"/>
        </w:rPr>
      </w:pPr>
      <w:r>
        <w:rPr>
          <w:rFonts w:ascii="Times New Roman" w:hAnsi="Times New Roman" w:eastAsia="Times New Roman" w:cs="Times New Roman"/>
          <w:spacing w:val="1"/>
          <w:sz w:val="21"/>
          <w:szCs w:val="21"/>
        </w:rPr>
        <w:t>17.4.1</w:t>
      </w:r>
      <w:r>
        <w:rPr>
          <w:rFonts w:ascii="Times New Roman" w:hAnsi="Times New Roman" w:eastAsia="Times New Roman" w:cs="Times New Roman"/>
          <w:spacing w:val="27"/>
          <w:sz w:val="21"/>
          <w:szCs w:val="21"/>
        </w:rPr>
        <w:t xml:space="preserve">  </w:t>
      </w:r>
      <w:r>
        <w:rPr>
          <w:spacing w:val="1"/>
          <w:sz w:val="21"/>
          <w:szCs w:val="21"/>
        </w:rPr>
        <w:t>监理人应从第一个付款周期开始，在发包人的进度付款中，按专用合同条款的约定扣</w:t>
      </w:r>
      <w:r>
        <w:rPr>
          <w:sz w:val="21"/>
          <w:szCs w:val="21"/>
        </w:rPr>
        <w:t xml:space="preserve"> </w:t>
      </w:r>
      <w:r>
        <w:rPr>
          <w:spacing w:val="2"/>
          <w:sz w:val="21"/>
          <w:szCs w:val="21"/>
        </w:rPr>
        <w:t>留质量保证金，直至扣留的质量保证金总额达到专用合同条款约定的金额或比例为止。质量保证</w:t>
      </w:r>
      <w:r>
        <w:rPr>
          <w:spacing w:val="3"/>
          <w:sz w:val="21"/>
          <w:szCs w:val="21"/>
        </w:rPr>
        <w:t xml:space="preserve"> </w:t>
      </w:r>
      <w:r>
        <w:rPr>
          <w:spacing w:val="-2"/>
          <w:sz w:val="21"/>
          <w:szCs w:val="21"/>
        </w:rPr>
        <w:t>金的计算额度不包括预付款的支付、扣回以及价格调整的金额。</w:t>
      </w:r>
    </w:p>
    <w:p w14:paraId="4160FBE4">
      <w:pPr>
        <w:pStyle w:val="2"/>
        <w:spacing w:before="153" w:line="308" w:lineRule="auto"/>
        <w:ind w:right="39" w:firstLine="419"/>
        <w:rPr>
          <w:sz w:val="21"/>
          <w:szCs w:val="21"/>
        </w:rPr>
      </w:pPr>
      <w:r>
        <w:rPr>
          <w:spacing w:val="-2"/>
          <w:sz w:val="21"/>
          <w:szCs w:val="21"/>
        </w:rPr>
        <w:t>17.4.2 在第1.1.4.5目约定的缺陷责任期满时，承包人向发包人申请到期应</w:t>
      </w:r>
      <w:r>
        <w:rPr>
          <w:spacing w:val="-3"/>
          <w:sz w:val="21"/>
          <w:szCs w:val="21"/>
        </w:rPr>
        <w:t>返还承包人剩余的</w:t>
      </w:r>
      <w:r>
        <w:rPr>
          <w:sz w:val="21"/>
          <w:szCs w:val="21"/>
        </w:rPr>
        <w:t xml:space="preserve"> </w:t>
      </w:r>
      <w:r>
        <w:rPr>
          <w:spacing w:val="2"/>
          <w:sz w:val="21"/>
          <w:szCs w:val="21"/>
        </w:rPr>
        <w:t>质量保证金金额，发包人应在14天内会同承包人按照合同约定的内容核实承包人是否完成缺陷责</w:t>
      </w:r>
      <w:r>
        <w:rPr>
          <w:spacing w:val="6"/>
          <w:sz w:val="21"/>
          <w:szCs w:val="21"/>
        </w:rPr>
        <w:t xml:space="preserve"> </w:t>
      </w:r>
      <w:r>
        <w:rPr>
          <w:spacing w:val="-2"/>
          <w:sz w:val="21"/>
          <w:szCs w:val="21"/>
        </w:rPr>
        <w:t>任。如无异议，发包人应当在核实后将剩余保证金返还承包人。</w:t>
      </w:r>
    </w:p>
    <w:p w14:paraId="510DCFDB">
      <w:pPr>
        <w:pStyle w:val="2"/>
        <w:spacing w:before="148" w:line="308" w:lineRule="auto"/>
        <w:ind w:right="66" w:firstLine="419"/>
        <w:rPr>
          <w:sz w:val="21"/>
          <w:szCs w:val="21"/>
        </w:rPr>
      </w:pPr>
      <w:r>
        <w:rPr>
          <w:sz w:val="21"/>
          <w:szCs w:val="21"/>
        </w:rPr>
        <w:t>17.4.3在第1.1.4.5目约定的缺陷责</w:t>
      </w:r>
      <w:r>
        <w:rPr>
          <w:spacing w:val="-1"/>
          <w:sz w:val="21"/>
          <w:szCs w:val="21"/>
        </w:rPr>
        <w:t>任期满时，承包人没有完成缺陷责任的，发包人有权扣留</w:t>
      </w:r>
      <w:r>
        <w:rPr>
          <w:sz w:val="21"/>
          <w:szCs w:val="21"/>
        </w:rPr>
        <w:t xml:space="preserve"> </w:t>
      </w:r>
      <w:r>
        <w:rPr>
          <w:spacing w:val="2"/>
          <w:sz w:val="21"/>
          <w:szCs w:val="21"/>
        </w:rPr>
        <w:t>与未履行责任剩余工作所需金额相应的质量保证金余额，并有权根据第</w:t>
      </w:r>
      <w:r>
        <w:rPr>
          <w:spacing w:val="1"/>
          <w:sz w:val="21"/>
          <w:szCs w:val="21"/>
        </w:rPr>
        <w:t>19.3款约定要求延长缺陷</w:t>
      </w:r>
      <w:r>
        <w:rPr>
          <w:sz w:val="21"/>
          <w:szCs w:val="21"/>
        </w:rPr>
        <w:t xml:space="preserve"> </w:t>
      </w:r>
      <w:r>
        <w:rPr>
          <w:spacing w:val="-2"/>
          <w:sz w:val="21"/>
          <w:szCs w:val="21"/>
        </w:rPr>
        <w:t>责任期，直至完成剩余工作为止。</w:t>
      </w:r>
    </w:p>
    <w:p w14:paraId="4A366A3E">
      <w:pPr>
        <w:spacing w:before="117" w:line="221" w:lineRule="auto"/>
        <w:ind w:left="3"/>
        <w:rPr>
          <w:rFonts w:ascii="黑体" w:hAnsi="黑体" w:eastAsia="黑体" w:cs="黑体"/>
          <w:sz w:val="25"/>
          <w:szCs w:val="25"/>
        </w:rPr>
      </w:pPr>
      <w:r>
        <w:rPr>
          <w:rFonts w:ascii="黑体" w:hAnsi="黑体" w:eastAsia="黑体" w:cs="黑体"/>
          <w:b/>
          <w:bCs/>
          <w:spacing w:val="-3"/>
          <w:sz w:val="25"/>
          <w:szCs w:val="25"/>
        </w:rPr>
        <w:t>17.5竣工结算</w:t>
      </w:r>
    </w:p>
    <w:p w14:paraId="610A8900">
      <w:pPr>
        <w:pStyle w:val="2"/>
        <w:spacing w:before="130" w:line="221" w:lineRule="auto"/>
        <w:ind w:left="422"/>
        <w:rPr>
          <w:rFonts w:ascii="黑体" w:hAnsi="黑体" w:eastAsia="黑体" w:cs="黑体"/>
          <w:sz w:val="21"/>
          <w:szCs w:val="21"/>
        </w:rPr>
      </w:pPr>
      <w:r>
        <w:rPr>
          <w:b/>
          <w:bCs/>
          <w:spacing w:val="-10"/>
          <w:sz w:val="21"/>
          <w:szCs w:val="21"/>
        </w:rPr>
        <w:t>17.5.1</w:t>
      </w:r>
      <w:r>
        <w:rPr>
          <w:spacing w:val="-10"/>
          <w:sz w:val="21"/>
          <w:szCs w:val="21"/>
        </w:rPr>
        <w:t xml:space="preserve"> </w:t>
      </w:r>
      <w:r>
        <w:rPr>
          <w:rFonts w:ascii="黑体" w:hAnsi="黑体" w:eastAsia="黑体" w:cs="黑体"/>
          <w:b/>
          <w:bCs/>
          <w:spacing w:val="-10"/>
          <w:sz w:val="21"/>
          <w:szCs w:val="21"/>
        </w:rPr>
        <w:t>竣工付款申请单</w:t>
      </w:r>
    </w:p>
    <w:p w14:paraId="34F39EAF">
      <w:pPr>
        <w:pStyle w:val="2"/>
        <w:spacing w:before="153" w:line="312" w:lineRule="auto"/>
        <w:ind w:right="50" w:firstLine="830"/>
        <w:rPr>
          <w:sz w:val="21"/>
          <w:szCs w:val="21"/>
        </w:rPr>
      </w:pPr>
      <w:r>
        <w:rPr>
          <w:spacing w:val="5"/>
          <w:sz w:val="21"/>
          <w:szCs w:val="21"/>
        </w:rPr>
        <w:t>(1)工程接收证书颁发后，承包人应按专用合同条款约定的份数和期限向监理人提交竣</w:t>
      </w:r>
      <w:r>
        <w:rPr>
          <w:spacing w:val="10"/>
          <w:sz w:val="21"/>
          <w:szCs w:val="21"/>
        </w:rPr>
        <w:t xml:space="preserve"> </w:t>
      </w:r>
      <w:r>
        <w:rPr>
          <w:spacing w:val="2"/>
          <w:sz w:val="21"/>
          <w:szCs w:val="21"/>
        </w:rPr>
        <w:t>工付款申请单，并提供相关证明材料。除专用合同条款另有约定外，竣工付款申请单应包括下列</w:t>
      </w:r>
      <w:r>
        <w:rPr>
          <w:spacing w:val="12"/>
          <w:sz w:val="21"/>
          <w:szCs w:val="21"/>
        </w:rPr>
        <w:t xml:space="preserve"> </w:t>
      </w:r>
      <w:r>
        <w:rPr>
          <w:spacing w:val="2"/>
          <w:sz w:val="21"/>
          <w:szCs w:val="21"/>
        </w:rPr>
        <w:t>内容：竣工结算合同总价、发包人已支付承包人的工程价款、应扣留的质量保证金、应支付的竣</w:t>
      </w:r>
      <w:r>
        <w:rPr>
          <w:spacing w:val="6"/>
          <w:sz w:val="21"/>
          <w:szCs w:val="21"/>
        </w:rPr>
        <w:t xml:space="preserve"> </w:t>
      </w:r>
      <w:r>
        <w:rPr>
          <w:spacing w:val="-6"/>
          <w:sz w:val="21"/>
          <w:szCs w:val="21"/>
        </w:rPr>
        <w:t>工付款金额。</w:t>
      </w:r>
    </w:p>
    <w:p w14:paraId="2E4DB728">
      <w:pPr>
        <w:pStyle w:val="2"/>
        <w:spacing w:before="190" w:line="277" w:lineRule="auto"/>
        <w:ind w:right="58" w:firstLine="830"/>
        <w:rPr>
          <w:sz w:val="21"/>
          <w:szCs w:val="21"/>
        </w:rPr>
      </w:pPr>
      <w:r>
        <w:rPr>
          <w:spacing w:val="5"/>
          <w:sz w:val="21"/>
          <w:szCs w:val="21"/>
        </w:rPr>
        <w:t>(2)监理人对竣工付款申请单有异议的，有权要求承包人进行修正和提供补充资料。经</w:t>
      </w:r>
      <w:r>
        <w:rPr>
          <w:spacing w:val="8"/>
          <w:sz w:val="21"/>
          <w:szCs w:val="21"/>
        </w:rPr>
        <w:t xml:space="preserve"> </w:t>
      </w:r>
      <w:r>
        <w:rPr>
          <w:spacing w:val="-1"/>
          <w:sz w:val="21"/>
          <w:szCs w:val="21"/>
        </w:rPr>
        <w:t>监理人和承包人协商后，由承包人向监理人提交修正后的竣</w:t>
      </w:r>
      <w:r>
        <w:rPr>
          <w:spacing w:val="-2"/>
          <w:sz w:val="21"/>
          <w:szCs w:val="21"/>
        </w:rPr>
        <w:t>工付款申请单。</w:t>
      </w:r>
    </w:p>
    <w:p w14:paraId="4627A9D2">
      <w:pPr>
        <w:spacing w:before="156" w:line="221" w:lineRule="auto"/>
        <w:ind w:left="422"/>
        <w:rPr>
          <w:rFonts w:ascii="黑体" w:hAnsi="黑体" w:eastAsia="黑体" w:cs="黑体"/>
          <w:sz w:val="21"/>
          <w:szCs w:val="21"/>
        </w:rPr>
      </w:pPr>
      <w:r>
        <w:rPr>
          <w:rFonts w:ascii="黑体" w:hAnsi="黑体" w:eastAsia="黑体" w:cs="黑体"/>
          <w:b/>
          <w:bCs/>
          <w:spacing w:val="-2"/>
          <w:sz w:val="21"/>
          <w:szCs w:val="21"/>
        </w:rPr>
        <w:t>17.5.2竣工付款证书及支付时间</w:t>
      </w:r>
    </w:p>
    <w:p w14:paraId="4CA97AD0">
      <w:pPr>
        <w:pStyle w:val="2"/>
        <w:spacing w:before="163" w:line="344" w:lineRule="auto"/>
        <w:ind w:right="33" w:firstLine="830"/>
        <w:jc w:val="both"/>
        <w:rPr>
          <w:sz w:val="21"/>
          <w:szCs w:val="21"/>
        </w:rPr>
      </w:pPr>
      <w:r>
        <w:rPr>
          <w:spacing w:val="6"/>
          <w:sz w:val="21"/>
          <w:szCs w:val="21"/>
        </w:rPr>
        <w:t>(1)监理人在收到承包人提交的竣工付款申请单后的14天</w:t>
      </w:r>
      <w:r>
        <w:rPr>
          <w:spacing w:val="5"/>
          <w:sz w:val="21"/>
          <w:szCs w:val="21"/>
        </w:rPr>
        <w:t>内完成核查，提出发包人到期</w:t>
      </w:r>
      <w:r>
        <w:rPr>
          <w:sz w:val="21"/>
          <w:szCs w:val="21"/>
        </w:rPr>
        <w:t xml:space="preserve"> </w:t>
      </w:r>
      <w:r>
        <w:rPr>
          <w:spacing w:val="2"/>
          <w:sz w:val="21"/>
          <w:szCs w:val="21"/>
        </w:rPr>
        <w:t>应支付给承包人的价款送发包人审核并抄送承包人。发包人应在收到后14天内审核完毕，由监理</w:t>
      </w:r>
      <w:r>
        <w:rPr>
          <w:sz w:val="21"/>
          <w:szCs w:val="21"/>
        </w:rPr>
        <w:t xml:space="preserve"> </w:t>
      </w:r>
      <w:r>
        <w:rPr>
          <w:spacing w:val="2"/>
          <w:sz w:val="21"/>
          <w:szCs w:val="21"/>
        </w:rPr>
        <w:t>人向承包人出具经发包人签认的竣工付款证书。监理人未在约</w:t>
      </w:r>
      <w:r>
        <w:rPr>
          <w:spacing w:val="1"/>
          <w:sz w:val="21"/>
          <w:szCs w:val="21"/>
        </w:rPr>
        <w:t>定时间内核查，又未提出具体意见</w:t>
      </w:r>
      <w:r>
        <w:rPr>
          <w:sz w:val="21"/>
          <w:szCs w:val="21"/>
        </w:rPr>
        <w:t xml:space="preserve"> </w:t>
      </w:r>
      <w:r>
        <w:rPr>
          <w:spacing w:val="2"/>
          <w:sz w:val="21"/>
          <w:szCs w:val="21"/>
        </w:rPr>
        <w:t>的，视为承包人提交的竣工付款申请单已经监理人核查同意；发包人未在约定时间内审核又未提</w:t>
      </w:r>
    </w:p>
    <w:p w14:paraId="07AB24A9">
      <w:pPr>
        <w:spacing w:line="344" w:lineRule="auto"/>
        <w:rPr>
          <w:sz w:val="21"/>
          <w:szCs w:val="21"/>
        </w:rPr>
        <w:sectPr>
          <w:footerReference r:id="rId137" w:type="default"/>
          <w:pgSz w:w="11910" w:h="16840"/>
          <w:pgMar w:top="400" w:right="1482" w:bottom="1024" w:left="1460" w:header="0" w:footer="889" w:gutter="0"/>
          <w:cols w:space="720" w:num="1"/>
        </w:sectPr>
      </w:pPr>
    </w:p>
    <w:p w14:paraId="1C3EFA1F">
      <w:pPr>
        <w:spacing w:line="270" w:lineRule="auto"/>
        <w:rPr>
          <w:rFonts w:ascii="Arial"/>
          <w:sz w:val="21"/>
        </w:rPr>
      </w:pPr>
    </w:p>
    <w:p w14:paraId="39DD11BE">
      <w:pPr>
        <w:spacing w:line="270" w:lineRule="auto"/>
        <w:rPr>
          <w:rFonts w:ascii="Arial"/>
          <w:sz w:val="21"/>
        </w:rPr>
      </w:pPr>
    </w:p>
    <w:p w14:paraId="414F087F">
      <w:pPr>
        <w:spacing w:line="270" w:lineRule="auto"/>
        <w:rPr>
          <w:rFonts w:ascii="Arial"/>
          <w:sz w:val="21"/>
        </w:rPr>
      </w:pPr>
    </w:p>
    <w:p w14:paraId="4D473DCC">
      <w:pPr>
        <w:spacing w:line="270" w:lineRule="auto"/>
        <w:rPr>
          <w:rFonts w:ascii="Arial"/>
          <w:sz w:val="21"/>
        </w:rPr>
      </w:pPr>
    </w:p>
    <w:p w14:paraId="7511810D">
      <w:pPr>
        <w:spacing w:line="270" w:lineRule="auto"/>
        <w:rPr>
          <w:rFonts w:ascii="Arial"/>
          <w:sz w:val="21"/>
        </w:rPr>
      </w:pPr>
    </w:p>
    <w:p w14:paraId="1103E29E">
      <w:pPr>
        <w:pStyle w:val="2"/>
        <w:spacing w:before="68" w:line="218" w:lineRule="auto"/>
        <w:rPr>
          <w:sz w:val="21"/>
          <w:szCs w:val="21"/>
        </w:rPr>
      </w:pPr>
      <w:r>
        <w:rPr>
          <w:spacing w:val="-1"/>
          <w:sz w:val="21"/>
          <w:szCs w:val="21"/>
        </w:rPr>
        <w:t>出具体意见的，监理人提出发包人到期应支付给承包人的价款视为已经发包人同意。</w:t>
      </w:r>
    </w:p>
    <w:p w14:paraId="155FA65F">
      <w:pPr>
        <w:pStyle w:val="2"/>
        <w:spacing w:before="163" w:line="281" w:lineRule="auto"/>
        <w:ind w:right="75" w:firstLine="830"/>
        <w:rPr>
          <w:sz w:val="21"/>
          <w:szCs w:val="21"/>
        </w:rPr>
      </w:pPr>
      <w:r>
        <w:rPr>
          <w:spacing w:val="6"/>
          <w:sz w:val="21"/>
          <w:szCs w:val="21"/>
        </w:rPr>
        <w:t>(2)发包人应在监理人出具竣工付款证书后的14</w:t>
      </w:r>
      <w:r>
        <w:rPr>
          <w:spacing w:val="5"/>
          <w:sz w:val="21"/>
          <w:szCs w:val="21"/>
        </w:rPr>
        <w:t>天内，将应支付款支付给承包人。发包</w:t>
      </w:r>
      <w:r>
        <w:rPr>
          <w:sz w:val="21"/>
          <w:szCs w:val="21"/>
        </w:rPr>
        <w:t xml:space="preserve"> </w:t>
      </w:r>
      <w:r>
        <w:rPr>
          <w:spacing w:val="4"/>
          <w:sz w:val="21"/>
          <w:szCs w:val="21"/>
        </w:rPr>
        <w:t>人不按期支付的，按第17.3.3(2)目的</w:t>
      </w:r>
      <w:r>
        <w:rPr>
          <w:spacing w:val="3"/>
          <w:sz w:val="21"/>
          <w:szCs w:val="21"/>
        </w:rPr>
        <w:t>约定，将逾期付款违约金支付给承包人。</w:t>
      </w:r>
    </w:p>
    <w:p w14:paraId="7D11B432">
      <w:pPr>
        <w:pStyle w:val="2"/>
        <w:spacing w:before="150" w:line="285" w:lineRule="auto"/>
        <w:ind w:right="94" w:firstLine="830"/>
        <w:rPr>
          <w:sz w:val="21"/>
          <w:szCs w:val="21"/>
        </w:rPr>
      </w:pPr>
      <w:r>
        <w:rPr>
          <w:spacing w:val="5"/>
          <w:sz w:val="21"/>
          <w:szCs w:val="21"/>
        </w:rPr>
        <w:t>(3)承包人对发包人签认的竣工付款证书有异议的，发包人可出具竣工付款申请单中承</w:t>
      </w:r>
      <w:r>
        <w:rPr>
          <w:spacing w:val="8"/>
          <w:sz w:val="21"/>
          <w:szCs w:val="21"/>
        </w:rPr>
        <w:t xml:space="preserve"> </w:t>
      </w:r>
      <w:r>
        <w:rPr>
          <w:spacing w:val="3"/>
          <w:sz w:val="21"/>
          <w:szCs w:val="21"/>
        </w:rPr>
        <w:t>包人已同意部分的临时付款证书。存在争议的部分，按第24条的约定办理。</w:t>
      </w:r>
    </w:p>
    <w:p w14:paraId="76AD5296">
      <w:pPr>
        <w:pStyle w:val="2"/>
        <w:spacing w:before="160" w:line="219" w:lineRule="auto"/>
        <w:ind w:left="739"/>
        <w:rPr>
          <w:sz w:val="21"/>
          <w:szCs w:val="21"/>
        </w:rPr>
      </w:pPr>
      <w:r>
        <w:rPr>
          <w:spacing w:val="11"/>
          <w:sz w:val="21"/>
          <w:szCs w:val="21"/>
        </w:rPr>
        <w:t>(4)竣工付款涉及政府投资资金的，按第17.3.</w:t>
      </w:r>
      <w:r>
        <w:rPr>
          <w:spacing w:val="10"/>
          <w:sz w:val="21"/>
          <w:szCs w:val="21"/>
        </w:rPr>
        <w:t>3(4)目的约定办理。</w:t>
      </w:r>
    </w:p>
    <w:p w14:paraId="2831AB87">
      <w:pPr>
        <w:pStyle w:val="2"/>
        <w:spacing w:before="130" w:line="223" w:lineRule="auto"/>
        <w:ind w:left="3"/>
        <w:rPr>
          <w:rFonts w:ascii="黑体" w:hAnsi="黑体" w:eastAsia="黑体" w:cs="黑体"/>
          <w:sz w:val="21"/>
          <w:szCs w:val="21"/>
        </w:rPr>
      </w:pPr>
      <w:r>
        <w:rPr>
          <w:b/>
          <w:bCs/>
          <w:spacing w:val="6"/>
          <w:sz w:val="21"/>
          <w:szCs w:val="21"/>
        </w:rPr>
        <w:t>17.6</w:t>
      </w:r>
      <w:r>
        <w:rPr>
          <w:spacing w:val="45"/>
          <w:sz w:val="21"/>
          <w:szCs w:val="21"/>
        </w:rPr>
        <w:t xml:space="preserve"> </w:t>
      </w:r>
      <w:r>
        <w:rPr>
          <w:rFonts w:ascii="黑体" w:hAnsi="黑体" w:eastAsia="黑体" w:cs="黑体"/>
          <w:b/>
          <w:bCs/>
          <w:spacing w:val="6"/>
          <w:sz w:val="21"/>
          <w:szCs w:val="21"/>
        </w:rPr>
        <w:t>最终结清</w:t>
      </w:r>
    </w:p>
    <w:p w14:paraId="1AE451AF">
      <w:pPr>
        <w:pStyle w:val="2"/>
        <w:spacing w:before="165" w:line="222" w:lineRule="auto"/>
        <w:ind w:left="422"/>
        <w:rPr>
          <w:rFonts w:ascii="黑体" w:hAnsi="黑体" w:eastAsia="黑体" w:cs="黑体"/>
          <w:sz w:val="21"/>
          <w:szCs w:val="21"/>
        </w:rPr>
      </w:pPr>
      <w:r>
        <w:rPr>
          <w:b/>
          <w:bCs/>
          <w:spacing w:val="-10"/>
          <w:sz w:val="21"/>
          <w:szCs w:val="21"/>
        </w:rPr>
        <w:t>17.6.1</w:t>
      </w:r>
      <w:r>
        <w:rPr>
          <w:spacing w:val="-10"/>
          <w:sz w:val="21"/>
          <w:szCs w:val="21"/>
        </w:rPr>
        <w:t xml:space="preserve"> </w:t>
      </w:r>
      <w:r>
        <w:rPr>
          <w:rFonts w:ascii="黑体" w:hAnsi="黑体" w:eastAsia="黑体" w:cs="黑体"/>
          <w:b/>
          <w:bCs/>
          <w:spacing w:val="-10"/>
          <w:sz w:val="21"/>
          <w:szCs w:val="21"/>
        </w:rPr>
        <w:t>最终结清申请单</w:t>
      </w:r>
    </w:p>
    <w:p w14:paraId="690E12E9">
      <w:pPr>
        <w:pStyle w:val="2"/>
        <w:spacing w:before="131" w:line="289" w:lineRule="auto"/>
        <w:ind w:right="95" w:firstLine="830"/>
        <w:rPr>
          <w:sz w:val="21"/>
          <w:szCs w:val="21"/>
        </w:rPr>
      </w:pPr>
      <w:r>
        <w:rPr>
          <w:spacing w:val="5"/>
          <w:sz w:val="21"/>
          <w:szCs w:val="21"/>
        </w:rPr>
        <w:t>(1)缺陷责任期终止证书签发后，承包人可按专用合同条款约定的份数和期限向监理人</w:t>
      </w:r>
      <w:r>
        <w:rPr>
          <w:spacing w:val="8"/>
          <w:sz w:val="21"/>
          <w:szCs w:val="21"/>
        </w:rPr>
        <w:t xml:space="preserve"> </w:t>
      </w:r>
      <w:r>
        <w:rPr>
          <w:spacing w:val="-2"/>
          <w:sz w:val="21"/>
          <w:szCs w:val="21"/>
        </w:rPr>
        <w:t>提交最终结清申请单，并提供相关证明材料。</w:t>
      </w:r>
    </w:p>
    <w:p w14:paraId="554DD004">
      <w:pPr>
        <w:pStyle w:val="2"/>
        <w:spacing w:before="161" w:line="286" w:lineRule="auto"/>
        <w:ind w:firstLine="830"/>
        <w:rPr>
          <w:sz w:val="21"/>
          <w:szCs w:val="21"/>
        </w:rPr>
      </w:pPr>
      <w:r>
        <w:rPr>
          <w:spacing w:val="2"/>
          <w:sz w:val="21"/>
          <w:szCs w:val="21"/>
        </w:rPr>
        <w:t>(2)发包人对最终结清申请单内容有异议的，有权要求承包人进行修正和提供补充资料，</w:t>
      </w:r>
      <w:r>
        <w:rPr>
          <w:spacing w:val="8"/>
          <w:sz w:val="21"/>
          <w:szCs w:val="21"/>
        </w:rPr>
        <w:t xml:space="preserve"> </w:t>
      </w:r>
      <w:r>
        <w:rPr>
          <w:spacing w:val="-2"/>
          <w:sz w:val="21"/>
          <w:szCs w:val="21"/>
        </w:rPr>
        <w:t>由承包人向监理人提交修正后的最终结清申请单。</w:t>
      </w:r>
    </w:p>
    <w:p w14:paraId="0811C75C">
      <w:pPr>
        <w:spacing w:before="128" w:line="223" w:lineRule="auto"/>
        <w:ind w:left="422"/>
        <w:rPr>
          <w:rFonts w:ascii="黑体" w:hAnsi="黑体" w:eastAsia="黑体" w:cs="黑体"/>
          <w:sz w:val="21"/>
          <w:szCs w:val="21"/>
        </w:rPr>
      </w:pPr>
      <w:r>
        <w:rPr>
          <w:rFonts w:ascii="黑体" w:hAnsi="黑体" w:eastAsia="黑体" w:cs="黑体"/>
          <w:b/>
          <w:bCs/>
          <w:spacing w:val="-2"/>
          <w:sz w:val="21"/>
          <w:szCs w:val="21"/>
        </w:rPr>
        <w:t>17.6.2最终结清证书和支付时间</w:t>
      </w:r>
    </w:p>
    <w:p w14:paraId="24A682CA">
      <w:pPr>
        <w:pStyle w:val="2"/>
        <w:spacing w:before="167" w:line="325" w:lineRule="auto"/>
        <w:ind w:right="75" w:firstLine="830"/>
        <w:rPr>
          <w:sz w:val="21"/>
          <w:szCs w:val="21"/>
        </w:rPr>
      </w:pPr>
      <w:r>
        <w:rPr>
          <w:spacing w:val="6"/>
          <w:sz w:val="21"/>
          <w:szCs w:val="21"/>
        </w:rPr>
        <w:t>(1)监理人收到承包人提交的最终结清申请单后</w:t>
      </w:r>
      <w:r>
        <w:rPr>
          <w:spacing w:val="5"/>
          <w:sz w:val="21"/>
          <w:szCs w:val="21"/>
        </w:rPr>
        <w:t>的14天内，提出发包人应支付给承包人</w:t>
      </w:r>
      <w:r>
        <w:rPr>
          <w:sz w:val="21"/>
          <w:szCs w:val="21"/>
        </w:rPr>
        <w:t xml:space="preserve"> </w:t>
      </w:r>
      <w:r>
        <w:rPr>
          <w:spacing w:val="2"/>
          <w:sz w:val="21"/>
          <w:szCs w:val="21"/>
        </w:rPr>
        <w:t>的价款送发包人审核并抄送承包人。发包人应在收到后14天内审核完毕，由监理人向承包人出具</w:t>
      </w:r>
      <w:r>
        <w:rPr>
          <w:spacing w:val="4"/>
          <w:sz w:val="21"/>
          <w:szCs w:val="21"/>
        </w:rPr>
        <w:t xml:space="preserve"> </w:t>
      </w:r>
      <w:r>
        <w:rPr>
          <w:spacing w:val="2"/>
          <w:sz w:val="21"/>
          <w:szCs w:val="21"/>
        </w:rPr>
        <w:t>经发包人签认的最终结清证书。监理人未在约定时间内核查，又未提出具体意见的，视为承包人</w:t>
      </w:r>
      <w:r>
        <w:rPr>
          <w:spacing w:val="4"/>
          <w:sz w:val="21"/>
          <w:szCs w:val="21"/>
        </w:rPr>
        <w:t xml:space="preserve"> </w:t>
      </w:r>
      <w:r>
        <w:rPr>
          <w:spacing w:val="2"/>
          <w:sz w:val="21"/>
          <w:szCs w:val="21"/>
        </w:rPr>
        <w:t>提交的最终结清申请已经监理人核查同意；发包人未在约定时间内审核又未提出具体意见的，监</w:t>
      </w:r>
      <w:r>
        <w:rPr>
          <w:spacing w:val="4"/>
          <w:sz w:val="21"/>
          <w:szCs w:val="21"/>
        </w:rPr>
        <w:t xml:space="preserve"> </w:t>
      </w:r>
      <w:r>
        <w:rPr>
          <w:spacing w:val="-2"/>
          <w:sz w:val="21"/>
          <w:szCs w:val="21"/>
        </w:rPr>
        <w:t>理人提出应支付给承包人的价款视为已经发包人同意。</w:t>
      </w:r>
    </w:p>
    <w:p w14:paraId="527ED272">
      <w:pPr>
        <w:pStyle w:val="2"/>
        <w:spacing w:before="152" w:line="286" w:lineRule="auto"/>
        <w:ind w:right="75" w:firstLine="830"/>
        <w:rPr>
          <w:sz w:val="21"/>
          <w:szCs w:val="21"/>
        </w:rPr>
      </w:pPr>
      <w:r>
        <w:rPr>
          <w:spacing w:val="6"/>
          <w:sz w:val="21"/>
          <w:szCs w:val="21"/>
        </w:rPr>
        <w:t>(2)发包人应在监理人出具最终结清证书后的14</w:t>
      </w:r>
      <w:r>
        <w:rPr>
          <w:spacing w:val="5"/>
          <w:sz w:val="21"/>
          <w:szCs w:val="21"/>
        </w:rPr>
        <w:t>天内，将应支付款支付给承包人。发包</w:t>
      </w:r>
      <w:r>
        <w:rPr>
          <w:sz w:val="21"/>
          <w:szCs w:val="21"/>
        </w:rPr>
        <w:t xml:space="preserve"> </w:t>
      </w:r>
      <w:r>
        <w:rPr>
          <w:spacing w:val="4"/>
          <w:sz w:val="21"/>
          <w:szCs w:val="21"/>
        </w:rPr>
        <w:t>人不按期支付的，按第17.3.3(2)目的</w:t>
      </w:r>
      <w:r>
        <w:rPr>
          <w:spacing w:val="3"/>
          <w:sz w:val="21"/>
          <w:szCs w:val="21"/>
        </w:rPr>
        <w:t>约定，将逾期付款违约金支付给承包人。</w:t>
      </w:r>
    </w:p>
    <w:p w14:paraId="321A6D32">
      <w:pPr>
        <w:pStyle w:val="2"/>
        <w:spacing w:before="160" w:line="219" w:lineRule="auto"/>
        <w:ind w:left="830"/>
        <w:rPr>
          <w:sz w:val="21"/>
          <w:szCs w:val="21"/>
        </w:rPr>
      </w:pPr>
      <w:r>
        <w:rPr>
          <w:spacing w:val="6"/>
          <w:sz w:val="21"/>
          <w:szCs w:val="21"/>
        </w:rPr>
        <w:t>(3)承包人对发包人签认的最终结清证书有异议的，按第24条的约定办理。</w:t>
      </w:r>
    </w:p>
    <w:p w14:paraId="29342D83">
      <w:pPr>
        <w:pStyle w:val="2"/>
        <w:spacing w:before="141" w:line="219" w:lineRule="auto"/>
        <w:ind w:left="830"/>
        <w:rPr>
          <w:sz w:val="21"/>
          <w:szCs w:val="21"/>
        </w:rPr>
      </w:pPr>
      <w:r>
        <w:rPr>
          <w:spacing w:val="10"/>
          <w:sz w:val="21"/>
          <w:szCs w:val="21"/>
        </w:rPr>
        <w:t>(4)最终结清付款涉及政府投资资金的，按第17.3.3(4)目的约定办理。</w:t>
      </w:r>
    </w:p>
    <w:p w14:paraId="1CC6AF9D">
      <w:pPr>
        <w:pStyle w:val="2"/>
        <w:spacing w:before="169" w:line="221" w:lineRule="auto"/>
        <w:ind w:left="4"/>
        <w:rPr>
          <w:rFonts w:ascii="黑体" w:hAnsi="黑体" w:eastAsia="黑体" w:cs="黑体"/>
          <w:sz w:val="30"/>
          <w:szCs w:val="30"/>
        </w:rPr>
      </w:pPr>
      <w:r>
        <w:rPr>
          <w:b/>
          <w:bCs/>
          <w:spacing w:val="-3"/>
          <w:sz w:val="30"/>
          <w:szCs w:val="30"/>
        </w:rPr>
        <w:t>18.</w:t>
      </w:r>
      <w:r>
        <w:rPr>
          <w:rFonts w:ascii="黑体" w:hAnsi="黑体" w:eastAsia="黑体" w:cs="黑体"/>
          <w:b/>
          <w:bCs/>
          <w:spacing w:val="-3"/>
          <w:sz w:val="30"/>
          <w:szCs w:val="30"/>
        </w:rPr>
        <w:t>竣工验收</w:t>
      </w:r>
    </w:p>
    <w:p w14:paraId="1EDCCBDD">
      <w:pPr>
        <w:pStyle w:val="2"/>
        <w:spacing w:before="109" w:line="221" w:lineRule="auto"/>
        <w:ind w:left="3"/>
        <w:rPr>
          <w:rFonts w:ascii="黑体" w:hAnsi="黑体" w:eastAsia="黑体" w:cs="黑体"/>
          <w:sz w:val="21"/>
          <w:szCs w:val="21"/>
        </w:rPr>
      </w:pPr>
      <w:r>
        <w:rPr>
          <w:b/>
          <w:bCs/>
          <w:spacing w:val="17"/>
          <w:sz w:val="21"/>
          <w:szCs w:val="21"/>
        </w:rPr>
        <w:t>18.1</w:t>
      </w:r>
      <w:r>
        <w:rPr>
          <w:spacing w:val="17"/>
          <w:sz w:val="21"/>
          <w:szCs w:val="21"/>
        </w:rPr>
        <w:t xml:space="preserve"> </w:t>
      </w:r>
      <w:r>
        <w:rPr>
          <w:rFonts w:ascii="黑体" w:hAnsi="黑体" w:eastAsia="黑体" w:cs="黑体"/>
          <w:b/>
          <w:bCs/>
          <w:spacing w:val="17"/>
          <w:sz w:val="21"/>
          <w:szCs w:val="21"/>
        </w:rPr>
        <w:t>竣工验收的含义</w:t>
      </w:r>
    </w:p>
    <w:p w14:paraId="5403FBCC">
      <w:pPr>
        <w:pStyle w:val="2"/>
        <w:spacing w:before="153" w:line="219" w:lineRule="auto"/>
        <w:ind w:left="419"/>
        <w:rPr>
          <w:sz w:val="21"/>
          <w:szCs w:val="21"/>
        </w:rPr>
      </w:pPr>
      <w:r>
        <w:rPr>
          <w:sz w:val="21"/>
          <w:szCs w:val="21"/>
        </w:rPr>
        <w:t>18.1.1竣工验收指承包人完成了全部合同工作后，发包人按合同要求</w:t>
      </w:r>
      <w:r>
        <w:rPr>
          <w:spacing w:val="-1"/>
          <w:sz w:val="21"/>
          <w:szCs w:val="21"/>
        </w:rPr>
        <w:t>进行的验收。</w:t>
      </w:r>
    </w:p>
    <w:p w14:paraId="4CA37C1E">
      <w:pPr>
        <w:pStyle w:val="2"/>
        <w:spacing w:before="151" w:line="290" w:lineRule="auto"/>
        <w:ind w:right="94" w:firstLine="419"/>
        <w:rPr>
          <w:sz w:val="21"/>
          <w:szCs w:val="21"/>
        </w:rPr>
      </w:pPr>
      <w:r>
        <w:rPr>
          <w:sz w:val="21"/>
          <w:szCs w:val="21"/>
        </w:rPr>
        <w:t>18.1.2 国家验收是政府有关部门根据法律、规范、规程</w:t>
      </w:r>
      <w:r>
        <w:rPr>
          <w:spacing w:val="-1"/>
          <w:sz w:val="21"/>
          <w:szCs w:val="21"/>
        </w:rPr>
        <w:t>和政策要求，针对发包人全面组织实</w:t>
      </w:r>
      <w:r>
        <w:rPr>
          <w:sz w:val="21"/>
          <w:szCs w:val="21"/>
        </w:rPr>
        <w:t xml:space="preserve"> </w:t>
      </w:r>
      <w:r>
        <w:rPr>
          <w:spacing w:val="-1"/>
          <w:sz w:val="21"/>
          <w:szCs w:val="21"/>
        </w:rPr>
        <w:t>施的整个工程正式交付投运前的验收。</w:t>
      </w:r>
    </w:p>
    <w:p w14:paraId="70200A39">
      <w:pPr>
        <w:pStyle w:val="2"/>
        <w:spacing w:before="149" w:line="302" w:lineRule="auto"/>
        <w:ind w:right="87" w:firstLine="419"/>
        <w:rPr>
          <w:sz w:val="21"/>
          <w:szCs w:val="21"/>
        </w:rPr>
      </w:pPr>
      <w:r>
        <w:rPr>
          <w:sz w:val="21"/>
          <w:szCs w:val="21"/>
        </w:rPr>
        <w:t>18.1.3 需要进行国家验收的，竣工验收是国家验收的一部分。竣工验收</w:t>
      </w:r>
      <w:r>
        <w:rPr>
          <w:spacing w:val="-1"/>
          <w:sz w:val="21"/>
          <w:szCs w:val="21"/>
        </w:rPr>
        <w:t>所采用的各项验收和</w:t>
      </w:r>
      <w:r>
        <w:rPr>
          <w:sz w:val="21"/>
          <w:szCs w:val="21"/>
        </w:rPr>
        <w:t xml:space="preserve"> </w:t>
      </w:r>
      <w:r>
        <w:rPr>
          <w:spacing w:val="2"/>
          <w:sz w:val="21"/>
          <w:szCs w:val="21"/>
        </w:rPr>
        <w:t>评定标准应符合国家验收标准。发包人和承包人为竣工验收提供的各项竣工验收资料应符合国家</w:t>
      </w:r>
      <w:r>
        <w:rPr>
          <w:spacing w:val="7"/>
          <w:sz w:val="21"/>
          <w:szCs w:val="21"/>
        </w:rPr>
        <w:t xml:space="preserve"> </w:t>
      </w:r>
      <w:r>
        <w:rPr>
          <w:spacing w:val="-6"/>
          <w:sz w:val="21"/>
          <w:szCs w:val="21"/>
        </w:rPr>
        <w:t>验收的要求。</w:t>
      </w:r>
    </w:p>
    <w:p w14:paraId="19897881">
      <w:pPr>
        <w:pStyle w:val="2"/>
        <w:spacing w:before="176" w:line="221" w:lineRule="auto"/>
        <w:ind w:left="3"/>
        <w:rPr>
          <w:rFonts w:ascii="黑体" w:hAnsi="黑体" w:eastAsia="黑体" w:cs="黑体"/>
          <w:sz w:val="21"/>
          <w:szCs w:val="21"/>
        </w:rPr>
      </w:pPr>
      <w:r>
        <w:rPr>
          <w:b/>
          <w:bCs/>
          <w:spacing w:val="17"/>
          <w:sz w:val="21"/>
          <w:szCs w:val="21"/>
        </w:rPr>
        <w:t>18.2</w:t>
      </w:r>
      <w:r>
        <w:rPr>
          <w:spacing w:val="17"/>
          <w:sz w:val="21"/>
          <w:szCs w:val="21"/>
        </w:rPr>
        <w:t xml:space="preserve"> </w:t>
      </w:r>
      <w:r>
        <w:rPr>
          <w:rFonts w:ascii="黑体" w:hAnsi="黑体" w:eastAsia="黑体" w:cs="黑体"/>
          <w:b/>
          <w:bCs/>
          <w:spacing w:val="17"/>
          <w:sz w:val="21"/>
          <w:szCs w:val="21"/>
        </w:rPr>
        <w:t>竣工验收申请报告</w:t>
      </w:r>
    </w:p>
    <w:p w14:paraId="5A5E6BE7">
      <w:pPr>
        <w:pStyle w:val="2"/>
        <w:spacing w:before="142" w:line="218" w:lineRule="auto"/>
        <w:ind w:left="419"/>
        <w:rPr>
          <w:sz w:val="21"/>
          <w:szCs w:val="21"/>
        </w:rPr>
      </w:pPr>
      <w:r>
        <w:rPr>
          <w:spacing w:val="-1"/>
          <w:sz w:val="21"/>
          <w:szCs w:val="21"/>
        </w:rPr>
        <w:t>当工程具备以下条件时，承包人即可向监理人报送竣工验收申请报告：</w:t>
      </w:r>
    </w:p>
    <w:p w14:paraId="72A18749">
      <w:pPr>
        <w:pStyle w:val="2"/>
        <w:spacing w:before="154" w:line="219" w:lineRule="auto"/>
        <w:ind w:left="419"/>
        <w:rPr>
          <w:sz w:val="21"/>
          <w:szCs w:val="21"/>
        </w:rPr>
      </w:pPr>
      <w:r>
        <w:rPr>
          <w:spacing w:val="9"/>
          <w:sz w:val="21"/>
          <w:szCs w:val="21"/>
        </w:rPr>
        <w:t>(1)除监理人同意列入缺陷责任期内完成的尾工(甩项)工程和缺陷修补工作</w:t>
      </w:r>
      <w:r>
        <w:rPr>
          <w:spacing w:val="8"/>
          <w:sz w:val="21"/>
          <w:szCs w:val="21"/>
        </w:rPr>
        <w:t>外，合同范围</w:t>
      </w:r>
    </w:p>
    <w:p w14:paraId="0FD25585">
      <w:pPr>
        <w:spacing w:line="219" w:lineRule="auto"/>
        <w:rPr>
          <w:sz w:val="21"/>
          <w:szCs w:val="21"/>
        </w:rPr>
        <w:sectPr>
          <w:footerReference r:id="rId138" w:type="default"/>
          <w:pgSz w:w="11910" w:h="16840"/>
          <w:pgMar w:top="400" w:right="1445" w:bottom="1024" w:left="1460" w:header="0" w:footer="889" w:gutter="0"/>
          <w:cols w:space="720" w:num="1"/>
        </w:sectPr>
      </w:pPr>
    </w:p>
    <w:p w14:paraId="32CD7C5F">
      <w:pPr>
        <w:spacing w:line="273" w:lineRule="auto"/>
        <w:rPr>
          <w:rFonts w:ascii="Arial"/>
          <w:sz w:val="21"/>
        </w:rPr>
      </w:pPr>
    </w:p>
    <w:p w14:paraId="142AC6BC">
      <w:pPr>
        <w:spacing w:line="273" w:lineRule="auto"/>
        <w:rPr>
          <w:rFonts w:ascii="Arial"/>
          <w:sz w:val="21"/>
        </w:rPr>
      </w:pPr>
    </w:p>
    <w:p w14:paraId="5A7C8DB6">
      <w:pPr>
        <w:spacing w:line="273" w:lineRule="auto"/>
        <w:rPr>
          <w:rFonts w:ascii="Arial"/>
          <w:sz w:val="21"/>
        </w:rPr>
      </w:pPr>
    </w:p>
    <w:p w14:paraId="585FABF8">
      <w:pPr>
        <w:spacing w:line="273" w:lineRule="auto"/>
        <w:rPr>
          <w:rFonts w:ascii="Arial"/>
          <w:sz w:val="21"/>
        </w:rPr>
      </w:pPr>
    </w:p>
    <w:p w14:paraId="2C8A26DC">
      <w:pPr>
        <w:spacing w:line="273" w:lineRule="auto"/>
        <w:rPr>
          <w:rFonts w:ascii="Arial"/>
          <w:sz w:val="21"/>
        </w:rPr>
      </w:pPr>
    </w:p>
    <w:p w14:paraId="5929C2FE">
      <w:pPr>
        <w:pStyle w:val="2"/>
        <w:spacing w:before="65" w:line="369" w:lineRule="auto"/>
        <w:ind w:right="111"/>
        <w:rPr>
          <w:sz w:val="20"/>
          <w:szCs w:val="20"/>
        </w:rPr>
      </w:pPr>
      <w:r>
        <w:rPr>
          <w:spacing w:val="12"/>
          <w:sz w:val="20"/>
          <w:szCs w:val="20"/>
        </w:rPr>
        <w:t>内的全部单位工程以及有关工作，包括合同要求的试验、试运行以及检验和验</w:t>
      </w:r>
      <w:r>
        <w:rPr>
          <w:spacing w:val="11"/>
          <w:sz w:val="20"/>
          <w:szCs w:val="20"/>
        </w:rPr>
        <w:t>收均已完成，并符</w:t>
      </w:r>
      <w:r>
        <w:rPr>
          <w:sz w:val="20"/>
          <w:szCs w:val="20"/>
        </w:rPr>
        <w:t xml:space="preserve"> 合合同要求；</w:t>
      </w:r>
    </w:p>
    <w:p w14:paraId="74C7F825">
      <w:pPr>
        <w:pStyle w:val="2"/>
        <w:spacing w:line="219" w:lineRule="auto"/>
        <w:ind w:left="469"/>
        <w:rPr>
          <w:sz w:val="20"/>
          <w:szCs w:val="20"/>
        </w:rPr>
      </w:pPr>
      <w:r>
        <w:rPr>
          <w:spacing w:val="12"/>
          <w:sz w:val="20"/>
          <w:szCs w:val="20"/>
        </w:rPr>
        <w:t>(2)已按合同约定的内容和份数备齐了符合</w:t>
      </w:r>
      <w:r>
        <w:rPr>
          <w:spacing w:val="11"/>
          <w:sz w:val="20"/>
          <w:szCs w:val="20"/>
        </w:rPr>
        <w:t>要求的竣工资料；</w:t>
      </w:r>
    </w:p>
    <w:p w14:paraId="7BFED568">
      <w:pPr>
        <w:pStyle w:val="2"/>
        <w:spacing w:before="142" w:line="305" w:lineRule="auto"/>
        <w:ind w:right="90" w:firstLine="469"/>
        <w:rPr>
          <w:sz w:val="20"/>
          <w:szCs w:val="20"/>
        </w:rPr>
      </w:pPr>
      <w:r>
        <w:rPr>
          <w:spacing w:val="18"/>
          <w:sz w:val="20"/>
          <w:szCs w:val="20"/>
        </w:rPr>
        <w:t>(3)已按监理人的要求编制了在缺陷责任期内完成的尾工(甩项)工程和缺陷修补工作清单</w:t>
      </w:r>
      <w:r>
        <w:rPr>
          <w:spacing w:val="9"/>
          <w:sz w:val="20"/>
          <w:szCs w:val="20"/>
        </w:rPr>
        <w:t xml:space="preserve"> </w:t>
      </w:r>
      <w:r>
        <w:rPr>
          <w:spacing w:val="3"/>
          <w:sz w:val="20"/>
          <w:szCs w:val="20"/>
        </w:rPr>
        <w:t>以及相应施工计划；</w:t>
      </w:r>
    </w:p>
    <w:p w14:paraId="7AA4837A">
      <w:pPr>
        <w:pStyle w:val="2"/>
        <w:spacing w:before="169" w:line="219" w:lineRule="auto"/>
        <w:ind w:left="469"/>
        <w:rPr>
          <w:sz w:val="20"/>
          <w:szCs w:val="20"/>
        </w:rPr>
      </w:pPr>
      <w:r>
        <w:rPr>
          <w:spacing w:val="12"/>
          <w:sz w:val="20"/>
          <w:szCs w:val="20"/>
        </w:rPr>
        <w:t>(4)监理人要求在竣工验收前应完成的其他工作；</w:t>
      </w:r>
    </w:p>
    <w:p w14:paraId="5960982A">
      <w:pPr>
        <w:pStyle w:val="2"/>
        <w:spacing w:before="142" w:line="219" w:lineRule="auto"/>
        <w:ind w:left="469"/>
        <w:rPr>
          <w:sz w:val="20"/>
          <w:szCs w:val="20"/>
        </w:rPr>
      </w:pPr>
      <w:r>
        <w:rPr>
          <w:spacing w:val="13"/>
          <w:sz w:val="20"/>
          <w:szCs w:val="20"/>
        </w:rPr>
        <w:t>(5)监理人要求提交的竣工验收资料清单。</w:t>
      </w:r>
    </w:p>
    <w:p w14:paraId="5E0FAD0C">
      <w:pPr>
        <w:pStyle w:val="2"/>
        <w:spacing w:before="119" w:line="222" w:lineRule="auto"/>
        <w:ind w:left="3"/>
        <w:rPr>
          <w:rFonts w:ascii="黑体" w:hAnsi="黑体" w:eastAsia="黑体" w:cs="黑体"/>
        </w:rPr>
      </w:pPr>
      <w:r>
        <w:rPr>
          <w:b/>
          <w:bCs/>
          <w:spacing w:val="-16"/>
        </w:rPr>
        <w:t>18.3</w:t>
      </w:r>
      <w:r>
        <w:rPr>
          <w:spacing w:val="-20"/>
        </w:rPr>
        <w:t xml:space="preserve"> </w:t>
      </w:r>
      <w:r>
        <w:rPr>
          <w:rFonts w:ascii="黑体" w:hAnsi="黑体" w:eastAsia="黑体" w:cs="黑体"/>
          <w:b/>
          <w:bCs/>
          <w:spacing w:val="-16"/>
        </w:rPr>
        <w:t>验收</w:t>
      </w:r>
    </w:p>
    <w:p w14:paraId="293A9B18">
      <w:pPr>
        <w:pStyle w:val="2"/>
        <w:spacing w:before="140" w:line="373" w:lineRule="auto"/>
        <w:ind w:right="19" w:firstLine="419"/>
        <w:rPr>
          <w:sz w:val="20"/>
          <w:szCs w:val="20"/>
        </w:rPr>
      </w:pPr>
      <w:r>
        <w:rPr>
          <w:spacing w:val="9"/>
          <w:sz w:val="20"/>
          <w:szCs w:val="20"/>
        </w:rPr>
        <w:t>监理人收到承包人按第18.2款约定提交的竣工验收申</w:t>
      </w:r>
      <w:r>
        <w:rPr>
          <w:spacing w:val="8"/>
          <w:sz w:val="20"/>
          <w:szCs w:val="20"/>
        </w:rPr>
        <w:t>请报告后，应审查申请报告的各项内容，</w:t>
      </w:r>
      <w:r>
        <w:rPr>
          <w:sz w:val="20"/>
          <w:szCs w:val="20"/>
        </w:rPr>
        <w:t xml:space="preserve"> </w:t>
      </w:r>
      <w:r>
        <w:rPr>
          <w:spacing w:val="8"/>
          <w:sz w:val="20"/>
          <w:szCs w:val="20"/>
        </w:rPr>
        <w:t>并按以下不同情况进行处理。</w:t>
      </w:r>
    </w:p>
    <w:p w14:paraId="5D6A6614">
      <w:pPr>
        <w:pStyle w:val="2"/>
        <w:spacing w:before="12" w:line="313" w:lineRule="auto"/>
        <w:ind w:right="72" w:firstLine="419"/>
        <w:rPr>
          <w:sz w:val="20"/>
          <w:szCs w:val="20"/>
        </w:rPr>
      </w:pPr>
      <w:r>
        <w:rPr>
          <w:spacing w:val="10"/>
          <w:sz w:val="20"/>
          <w:szCs w:val="20"/>
        </w:rPr>
        <w:t>18.3.1</w:t>
      </w:r>
      <w:r>
        <w:rPr>
          <w:spacing w:val="-18"/>
          <w:sz w:val="20"/>
          <w:szCs w:val="20"/>
        </w:rPr>
        <w:t xml:space="preserve"> </w:t>
      </w:r>
      <w:r>
        <w:rPr>
          <w:spacing w:val="10"/>
          <w:sz w:val="20"/>
          <w:szCs w:val="20"/>
        </w:rPr>
        <w:t>监理人审查后认为尚不具备竣工验收条件的，应在收到竣工验收申请报告</w:t>
      </w:r>
      <w:r>
        <w:rPr>
          <w:spacing w:val="9"/>
          <w:sz w:val="20"/>
          <w:szCs w:val="20"/>
        </w:rPr>
        <w:t>后的28天内</w:t>
      </w:r>
      <w:r>
        <w:rPr>
          <w:sz w:val="20"/>
          <w:szCs w:val="20"/>
        </w:rPr>
        <w:t xml:space="preserve"> </w:t>
      </w:r>
      <w:r>
        <w:rPr>
          <w:spacing w:val="12"/>
          <w:sz w:val="20"/>
          <w:szCs w:val="20"/>
        </w:rPr>
        <w:t>通知承包人，指出在颁发接收证书前承包人还需进行的工作内容。承包人完成监理人</w:t>
      </w:r>
      <w:r>
        <w:rPr>
          <w:spacing w:val="11"/>
          <w:sz w:val="20"/>
          <w:szCs w:val="20"/>
        </w:rPr>
        <w:t>通知的全部</w:t>
      </w:r>
      <w:r>
        <w:rPr>
          <w:sz w:val="20"/>
          <w:szCs w:val="20"/>
        </w:rPr>
        <w:t xml:space="preserve"> </w:t>
      </w:r>
      <w:r>
        <w:rPr>
          <w:spacing w:val="9"/>
          <w:sz w:val="20"/>
          <w:szCs w:val="20"/>
        </w:rPr>
        <w:t>工作内容后，应再次提交竣工验收申请报告，直至监理人同意为</w:t>
      </w:r>
      <w:r>
        <w:rPr>
          <w:spacing w:val="8"/>
          <w:sz w:val="20"/>
          <w:szCs w:val="20"/>
        </w:rPr>
        <w:t>止。</w:t>
      </w:r>
    </w:p>
    <w:p w14:paraId="4E42CD7E">
      <w:pPr>
        <w:pStyle w:val="2"/>
        <w:spacing w:before="184" w:line="290" w:lineRule="auto"/>
        <w:ind w:right="90" w:firstLine="422"/>
        <w:rPr>
          <w:sz w:val="20"/>
          <w:szCs w:val="20"/>
        </w:rPr>
      </w:pPr>
      <w:r>
        <w:rPr>
          <w:b/>
          <w:bCs/>
          <w:spacing w:val="9"/>
          <w:sz w:val="20"/>
          <w:szCs w:val="20"/>
        </w:rPr>
        <w:t>18.3.2</w:t>
      </w:r>
      <w:r>
        <w:rPr>
          <w:spacing w:val="9"/>
          <w:sz w:val="20"/>
          <w:szCs w:val="20"/>
        </w:rPr>
        <w:t xml:space="preserve"> 监理人审查后认为已具备竣工验收</w:t>
      </w:r>
      <w:r>
        <w:rPr>
          <w:spacing w:val="8"/>
          <w:sz w:val="20"/>
          <w:szCs w:val="20"/>
        </w:rPr>
        <w:t>条件的，应在收到竣工验收申请报告后的28天内提</w:t>
      </w:r>
      <w:r>
        <w:rPr>
          <w:sz w:val="20"/>
          <w:szCs w:val="20"/>
        </w:rPr>
        <w:t xml:space="preserve"> </w:t>
      </w:r>
      <w:r>
        <w:rPr>
          <w:spacing w:val="8"/>
          <w:sz w:val="20"/>
          <w:szCs w:val="20"/>
        </w:rPr>
        <w:t>请发包人进行工程验收。</w:t>
      </w:r>
    </w:p>
    <w:p w14:paraId="20B49B54">
      <w:pPr>
        <w:pStyle w:val="2"/>
        <w:spacing w:before="160" w:line="332" w:lineRule="auto"/>
        <w:ind w:firstLine="419"/>
        <w:rPr>
          <w:sz w:val="20"/>
          <w:szCs w:val="20"/>
        </w:rPr>
      </w:pPr>
      <w:r>
        <w:rPr>
          <w:spacing w:val="10"/>
          <w:sz w:val="20"/>
          <w:szCs w:val="20"/>
        </w:rPr>
        <w:t>18.3.3发包人经过验收后同意接受工程的，应在监理人收到竣工验收申请报告后的56天内，</w:t>
      </w:r>
      <w:r>
        <w:rPr>
          <w:spacing w:val="9"/>
          <w:sz w:val="20"/>
          <w:szCs w:val="20"/>
        </w:rPr>
        <w:t xml:space="preserve">  </w:t>
      </w:r>
      <w:r>
        <w:rPr>
          <w:spacing w:val="12"/>
          <w:sz w:val="20"/>
          <w:szCs w:val="20"/>
        </w:rPr>
        <w:t>由监理人向承包人出具经发包人签认的工程接收证书。发包人验收后同意接收工程但提出整修和</w:t>
      </w:r>
      <w:r>
        <w:rPr>
          <w:sz w:val="20"/>
          <w:szCs w:val="20"/>
        </w:rPr>
        <w:t xml:space="preserve">  </w:t>
      </w:r>
      <w:r>
        <w:rPr>
          <w:spacing w:val="10"/>
          <w:sz w:val="20"/>
          <w:szCs w:val="20"/>
        </w:rPr>
        <w:t>完善要求的，限期修好，并缓发工程接收证书。</w:t>
      </w:r>
      <w:r>
        <w:rPr>
          <w:spacing w:val="9"/>
          <w:sz w:val="20"/>
          <w:szCs w:val="20"/>
        </w:rPr>
        <w:t>整修和完善工作完成后，监理人复查达到要求的，</w:t>
      </w:r>
      <w:r>
        <w:rPr>
          <w:sz w:val="20"/>
          <w:szCs w:val="20"/>
        </w:rPr>
        <w:t xml:space="preserve"> </w:t>
      </w:r>
      <w:r>
        <w:rPr>
          <w:spacing w:val="8"/>
          <w:sz w:val="20"/>
          <w:szCs w:val="20"/>
        </w:rPr>
        <w:t>经发包人同意后，再向承包人出具工程接收证书。</w:t>
      </w:r>
    </w:p>
    <w:p w14:paraId="5C4BC324">
      <w:pPr>
        <w:pStyle w:val="2"/>
        <w:spacing w:before="175" w:line="312" w:lineRule="auto"/>
        <w:ind w:right="86" w:firstLine="422"/>
        <w:rPr>
          <w:sz w:val="20"/>
          <w:szCs w:val="20"/>
        </w:rPr>
      </w:pPr>
      <w:r>
        <w:rPr>
          <w:b/>
          <w:bCs/>
          <w:spacing w:val="8"/>
          <w:sz w:val="20"/>
          <w:szCs w:val="20"/>
        </w:rPr>
        <w:t>18.3.4</w:t>
      </w:r>
      <w:r>
        <w:rPr>
          <w:spacing w:val="8"/>
          <w:sz w:val="20"/>
          <w:szCs w:val="20"/>
        </w:rPr>
        <w:t xml:space="preserve"> 发包人验收后不同意接收工程的，监理人应按照发包人的验收意见发出指示，要求承</w:t>
      </w:r>
      <w:r>
        <w:rPr>
          <w:spacing w:val="11"/>
          <w:sz w:val="20"/>
          <w:szCs w:val="20"/>
        </w:rPr>
        <w:t xml:space="preserve"> </w:t>
      </w:r>
      <w:r>
        <w:rPr>
          <w:spacing w:val="12"/>
          <w:sz w:val="20"/>
          <w:szCs w:val="20"/>
        </w:rPr>
        <w:t>包人对不合格工程认真返工重作或进行补救处理，并承担由此产生的费用。承包人在完成不合格</w:t>
      </w:r>
      <w:r>
        <w:rPr>
          <w:spacing w:val="13"/>
          <w:sz w:val="20"/>
          <w:szCs w:val="20"/>
        </w:rPr>
        <w:t xml:space="preserve"> </w:t>
      </w:r>
      <w:r>
        <w:rPr>
          <w:spacing w:val="11"/>
          <w:sz w:val="20"/>
          <w:szCs w:val="20"/>
        </w:rPr>
        <w:t>工程的返工重作或补救工作后，应重新提交竣工验收申请报告，按第18.3.1项、第18</w:t>
      </w:r>
      <w:r>
        <w:rPr>
          <w:spacing w:val="10"/>
          <w:sz w:val="20"/>
          <w:szCs w:val="20"/>
        </w:rPr>
        <w:t>.3.2项和第</w:t>
      </w:r>
    </w:p>
    <w:p w14:paraId="2111E205">
      <w:pPr>
        <w:pStyle w:val="2"/>
        <w:spacing w:before="176" w:line="220" w:lineRule="auto"/>
        <w:rPr>
          <w:sz w:val="20"/>
          <w:szCs w:val="20"/>
        </w:rPr>
      </w:pPr>
      <w:r>
        <w:rPr>
          <w:spacing w:val="2"/>
          <w:sz w:val="20"/>
          <w:szCs w:val="20"/>
        </w:rPr>
        <w:t>18.3.3项的约定进行。</w:t>
      </w:r>
    </w:p>
    <w:p w14:paraId="618F24DE">
      <w:pPr>
        <w:pStyle w:val="2"/>
        <w:spacing w:before="160" w:line="298" w:lineRule="auto"/>
        <w:ind w:right="90" w:firstLine="419"/>
        <w:rPr>
          <w:sz w:val="20"/>
          <w:szCs w:val="20"/>
        </w:rPr>
      </w:pPr>
      <w:r>
        <w:rPr>
          <w:spacing w:val="9"/>
          <w:sz w:val="20"/>
          <w:szCs w:val="20"/>
        </w:rPr>
        <w:t>18.3.5 除专用合同条款另有约定外，经验收合格工程的实际竣工日期，以提交竣工验收申请</w:t>
      </w:r>
      <w:r>
        <w:rPr>
          <w:spacing w:val="2"/>
          <w:sz w:val="20"/>
          <w:szCs w:val="20"/>
        </w:rPr>
        <w:t xml:space="preserve"> </w:t>
      </w:r>
      <w:r>
        <w:rPr>
          <w:spacing w:val="8"/>
          <w:sz w:val="20"/>
          <w:szCs w:val="20"/>
        </w:rPr>
        <w:t>报告的日期为准，并在工程接收证书中写明。</w:t>
      </w:r>
    </w:p>
    <w:p w14:paraId="1784D581">
      <w:pPr>
        <w:pStyle w:val="2"/>
        <w:spacing w:before="143" w:line="218" w:lineRule="auto"/>
        <w:ind w:left="419"/>
        <w:rPr>
          <w:sz w:val="20"/>
          <w:szCs w:val="20"/>
        </w:rPr>
      </w:pPr>
      <w:r>
        <w:rPr>
          <w:spacing w:val="9"/>
          <w:sz w:val="20"/>
          <w:szCs w:val="20"/>
        </w:rPr>
        <w:t>18.3.6 发包人在收到承包人竣工验收申请报告56天后未进行验收的，视为验收合格，实际竣</w:t>
      </w:r>
    </w:p>
    <w:p w14:paraId="6F5C88D6">
      <w:pPr>
        <w:pStyle w:val="2"/>
        <w:spacing w:before="194" w:line="218" w:lineRule="auto"/>
        <w:rPr>
          <w:sz w:val="20"/>
          <w:szCs w:val="20"/>
        </w:rPr>
      </w:pPr>
      <w:r>
        <w:rPr>
          <w:spacing w:val="9"/>
          <w:sz w:val="20"/>
          <w:szCs w:val="20"/>
        </w:rPr>
        <w:t>工日期以提交竣工验收申请报告的日期为准，但发包人由于不可抗力不能进行验收的除外。</w:t>
      </w:r>
    </w:p>
    <w:p w14:paraId="1234DE59">
      <w:pPr>
        <w:pStyle w:val="2"/>
        <w:spacing w:before="93" w:line="222" w:lineRule="auto"/>
        <w:ind w:left="3"/>
        <w:rPr>
          <w:rFonts w:ascii="黑体" w:hAnsi="黑体" w:eastAsia="黑体" w:cs="黑体"/>
        </w:rPr>
      </w:pPr>
      <w:r>
        <w:rPr>
          <w:b/>
          <w:bCs/>
          <w:spacing w:val="-15"/>
        </w:rPr>
        <w:t>18.4</w:t>
      </w:r>
      <w:r>
        <w:rPr>
          <w:spacing w:val="-15"/>
        </w:rPr>
        <w:t xml:space="preserve"> </w:t>
      </w:r>
      <w:r>
        <w:rPr>
          <w:rFonts w:ascii="黑体" w:hAnsi="黑体" w:eastAsia="黑体" w:cs="黑体"/>
          <w:b/>
          <w:bCs/>
          <w:spacing w:val="-15"/>
        </w:rPr>
        <w:t>单位工程验收</w:t>
      </w:r>
    </w:p>
    <w:p w14:paraId="0C014039">
      <w:pPr>
        <w:pStyle w:val="2"/>
        <w:spacing w:before="144" w:line="369" w:lineRule="auto"/>
        <w:ind w:right="84" w:firstLine="419"/>
        <w:jc w:val="both"/>
        <w:rPr>
          <w:sz w:val="20"/>
          <w:szCs w:val="20"/>
        </w:rPr>
      </w:pPr>
      <w:r>
        <w:rPr>
          <w:spacing w:val="8"/>
          <w:sz w:val="20"/>
          <w:szCs w:val="20"/>
        </w:rPr>
        <w:t>18.4.1 发包人根据合同进度计划安排，在全部工程竣工前需要使用已经竣工的单位工程时，</w:t>
      </w:r>
      <w:r>
        <w:rPr>
          <w:spacing w:val="7"/>
          <w:sz w:val="20"/>
          <w:szCs w:val="20"/>
        </w:rPr>
        <w:t xml:space="preserve"> </w:t>
      </w:r>
      <w:r>
        <w:rPr>
          <w:spacing w:val="11"/>
          <w:sz w:val="20"/>
          <w:szCs w:val="20"/>
        </w:rPr>
        <w:t>或承包人提出经发包人同意时，可进行单位工程验收。验收的程序可参照第18.2款与第18.3款的</w:t>
      </w:r>
      <w:r>
        <w:rPr>
          <w:spacing w:val="18"/>
          <w:sz w:val="20"/>
          <w:szCs w:val="20"/>
        </w:rPr>
        <w:t xml:space="preserve"> </w:t>
      </w:r>
      <w:r>
        <w:rPr>
          <w:spacing w:val="12"/>
          <w:sz w:val="20"/>
          <w:szCs w:val="20"/>
        </w:rPr>
        <w:t xml:space="preserve">约定进行。验收合格后，由监理人向承包人出具经发包人签认的单位工程验收证书。已签发单位 工程接收证书的单位工程由发包人负责照管。单位工程的验收成果和结论作为全部工程竣工验收 </w:t>
      </w:r>
      <w:r>
        <w:rPr>
          <w:spacing w:val="5"/>
          <w:sz w:val="20"/>
          <w:szCs w:val="20"/>
        </w:rPr>
        <w:t>申请报告的附件。</w:t>
      </w:r>
    </w:p>
    <w:p w14:paraId="4C0AED92">
      <w:pPr>
        <w:spacing w:line="369" w:lineRule="auto"/>
        <w:rPr>
          <w:sz w:val="20"/>
          <w:szCs w:val="20"/>
        </w:rPr>
        <w:sectPr>
          <w:footerReference r:id="rId139" w:type="default"/>
          <w:pgSz w:w="11910" w:h="16840"/>
          <w:pgMar w:top="400" w:right="1440" w:bottom="1016" w:left="1460" w:header="0" w:footer="889" w:gutter="0"/>
          <w:cols w:space="720" w:num="1"/>
        </w:sectPr>
      </w:pPr>
    </w:p>
    <w:p w14:paraId="1DC27FBF">
      <w:pPr>
        <w:spacing w:line="274" w:lineRule="auto"/>
        <w:rPr>
          <w:rFonts w:ascii="Arial"/>
          <w:sz w:val="21"/>
        </w:rPr>
      </w:pPr>
    </w:p>
    <w:p w14:paraId="1784A96B">
      <w:pPr>
        <w:spacing w:line="275" w:lineRule="auto"/>
        <w:rPr>
          <w:rFonts w:ascii="Arial"/>
          <w:sz w:val="21"/>
        </w:rPr>
      </w:pPr>
    </w:p>
    <w:p w14:paraId="6BB82254">
      <w:pPr>
        <w:spacing w:line="275" w:lineRule="auto"/>
        <w:rPr>
          <w:rFonts w:ascii="Arial"/>
          <w:sz w:val="21"/>
        </w:rPr>
      </w:pPr>
    </w:p>
    <w:p w14:paraId="5DAD3F65">
      <w:pPr>
        <w:spacing w:line="275" w:lineRule="auto"/>
        <w:rPr>
          <w:rFonts w:ascii="Arial"/>
          <w:sz w:val="21"/>
        </w:rPr>
      </w:pPr>
    </w:p>
    <w:p w14:paraId="2C39EB0D">
      <w:pPr>
        <w:spacing w:line="275" w:lineRule="auto"/>
        <w:rPr>
          <w:rFonts w:ascii="Arial"/>
          <w:sz w:val="21"/>
        </w:rPr>
      </w:pPr>
    </w:p>
    <w:p w14:paraId="4ED89A6A">
      <w:pPr>
        <w:pStyle w:val="2"/>
        <w:spacing w:before="65" w:line="354" w:lineRule="auto"/>
        <w:ind w:right="91" w:firstLine="422"/>
        <w:rPr>
          <w:sz w:val="20"/>
          <w:szCs w:val="20"/>
        </w:rPr>
      </w:pPr>
      <w:r>
        <w:rPr>
          <w:b/>
          <w:bCs/>
          <w:spacing w:val="8"/>
          <w:sz w:val="20"/>
          <w:szCs w:val="20"/>
        </w:rPr>
        <w:t>18.4.2</w:t>
      </w:r>
      <w:r>
        <w:rPr>
          <w:spacing w:val="8"/>
          <w:sz w:val="20"/>
          <w:szCs w:val="20"/>
        </w:rPr>
        <w:t xml:space="preserve"> 发包人在全部工程竣工前，使用已接收的单位工程导致承包人费用增加的，发包人应</w:t>
      </w:r>
      <w:r>
        <w:rPr>
          <w:spacing w:val="10"/>
          <w:sz w:val="20"/>
          <w:szCs w:val="20"/>
        </w:rPr>
        <w:t xml:space="preserve"> </w:t>
      </w:r>
      <w:r>
        <w:rPr>
          <w:spacing w:val="16"/>
          <w:sz w:val="20"/>
          <w:szCs w:val="20"/>
        </w:rPr>
        <w:t>承担由此增加的费用和(或)工期延误，并支付承包</w:t>
      </w:r>
      <w:r>
        <w:rPr>
          <w:spacing w:val="15"/>
          <w:sz w:val="20"/>
          <w:szCs w:val="20"/>
        </w:rPr>
        <w:t>人合理利润。</w:t>
      </w:r>
    </w:p>
    <w:p w14:paraId="7804F7C1">
      <w:pPr>
        <w:spacing w:line="221" w:lineRule="auto"/>
        <w:ind w:left="3"/>
        <w:rPr>
          <w:rFonts w:ascii="黑体" w:hAnsi="黑体" w:eastAsia="黑体" w:cs="黑体"/>
          <w:sz w:val="24"/>
          <w:szCs w:val="24"/>
        </w:rPr>
      </w:pPr>
      <w:r>
        <w:rPr>
          <w:rFonts w:ascii="黑体" w:hAnsi="黑体" w:eastAsia="黑体" w:cs="黑体"/>
          <w:b/>
          <w:bCs/>
          <w:spacing w:val="4"/>
          <w:sz w:val="24"/>
          <w:szCs w:val="24"/>
        </w:rPr>
        <w:t>18.5施工期运行</w:t>
      </w:r>
    </w:p>
    <w:p w14:paraId="3F1E82E8">
      <w:pPr>
        <w:pStyle w:val="2"/>
        <w:spacing w:before="124" w:line="325" w:lineRule="auto"/>
        <w:ind w:firstLine="419"/>
        <w:rPr>
          <w:sz w:val="20"/>
          <w:szCs w:val="20"/>
        </w:rPr>
      </w:pPr>
      <w:r>
        <w:rPr>
          <w:rFonts w:ascii="Times New Roman" w:hAnsi="Times New Roman" w:eastAsia="Times New Roman" w:cs="Times New Roman"/>
          <w:spacing w:val="9"/>
          <w:sz w:val="20"/>
          <w:szCs w:val="20"/>
        </w:rPr>
        <w:t xml:space="preserve">18.5.1   </w:t>
      </w:r>
      <w:r>
        <w:rPr>
          <w:spacing w:val="9"/>
          <w:sz w:val="20"/>
          <w:szCs w:val="20"/>
        </w:rPr>
        <w:t>施工期运行是指合同工程尚未全部竣工，其中某项或某几项单位工程或工程设备安装</w:t>
      </w:r>
      <w:r>
        <w:rPr>
          <w:spacing w:val="7"/>
          <w:sz w:val="20"/>
          <w:szCs w:val="20"/>
        </w:rPr>
        <w:t xml:space="preserve">  </w:t>
      </w:r>
      <w:r>
        <w:rPr>
          <w:spacing w:val="9"/>
          <w:sz w:val="20"/>
          <w:szCs w:val="20"/>
        </w:rPr>
        <w:t>已竣工，根据专用合同条款约定，需要投入施工期运行的，经发</w:t>
      </w:r>
      <w:r>
        <w:rPr>
          <w:spacing w:val="8"/>
          <w:sz w:val="20"/>
          <w:szCs w:val="20"/>
        </w:rPr>
        <w:t>包人按第18.4款的约定验收合格，</w:t>
      </w:r>
      <w:r>
        <w:rPr>
          <w:sz w:val="20"/>
          <w:szCs w:val="20"/>
        </w:rPr>
        <w:t xml:space="preserve"> </w:t>
      </w:r>
      <w:r>
        <w:rPr>
          <w:spacing w:val="8"/>
          <w:sz w:val="20"/>
          <w:szCs w:val="20"/>
        </w:rPr>
        <w:t>证明能确保安全后，才能在施工期投入运行。</w:t>
      </w:r>
    </w:p>
    <w:p w14:paraId="63E6274A">
      <w:pPr>
        <w:pStyle w:val="2"/>
        <w:spacing w:before="143" w:line="299" w:lineRule="auto"/>
        <w:ind w:right="72" w:firstLine="419"/>
        <w:rPr>
          <w:sz w:val="20"/>
          <w:szCs w:val="20"/>
        </w:rPr>
      </w:pPr>
      <w:r>
        <w:rPr>
          <w:spacing w:val="11"/>
          <w:sz w:val="20"/>
          <w:szCs w:val="20"/>
        </w:rPr>
        <w:t>18.5.2在施工期运行中发现工程或工程设备损坏或存在缺陷的，由承包人按第19.2款约定进</w:t>
      </w:r>
      <w:r>
        <w:rPr>
          <w:spacing w:val="1"/>
          <w:sz w:val="20"/>
          <w:szCs w:val="20"/>
        </w:rPr>
        <w:t xml:space="preserve"> </w:t>
      </w:r>
      <w:r>
        <w:rPr>
          <w:spacing w:val="2"/>
          <w:sz w:val="20"/>
          <w:szCs w:val="20"/>
        </w:rPr>
        <w:t>行修复。</w:t>
      </w:r>
    </w:p>
    <w:p w14:paraId="1A4968DD">
      <w:pPr>
        <w:pStyle w:val="2"/>
        <w:spacing w:before="139" w:line="221" w:lineRule="auto"/>
        <w:ind w:left="3"/>
        <w:rPr>
          <w:rFonts w:ascii="黑体" w:hAnsi="黑体" w:eastAsia="黑体" w:cs="黑体"/>
          <w:sz w:val="24"/>
          <w:szCs w:val="24"/>
        </w:rPr>
      </w:pPr>
      <w:r>
        <w:rPr>
          <w:b/>
          <w:bCs/>
          <w:spacing w:val="-13"/>
          <w:sz w:val="24"/>
          <w:szCs w:val="24"/>
        </w:rPr>
        <w:t>18.6</w:t>
      </w:r>
      <w:r>
        <w:rPr>
          <w:spacing w:val="5"/>
          <w:sz w:val="24"/>
          <w:szCs w:val="24"/>
        </w:rPr>
        <w:t xml:space="preserve"> </w:t>
      </w:r>
      <w:r>
        <w:rPr>
          <w:rFonts w:ascii="黑体" w:hAnsi="黑体" w:eastAsia="黑体" w:cs="黑体"/>
          <w:b/>
          <w:bCs/>
          <w:spacing w:val="-13"/>
          <w:sz w:val="24"/>
          <w:szCs w:val="24"/>
        </w:rPr>
        <w:t>试运行</w:t>
      </w:r>
    </w:p>
    <w:p w14:paraId="6BF63BA5">
      <w:pPr>
        <w:pStyle w:val="2"/>
        <w:spacing w:before="127" w:line="298" w:lineRule="auto"/>
        <w:ind w:right="92" w:firstLine="419"/>
        <w:rPr>
          <w:sz w:val="20"/>
          <w:szCs w:val="20"/>
        </w:rPr>
      </w:pPr>
      <w:r>
        <w:rPr>
          <w:spacing w:val="9"/>
          <w:sz w:val="20"/>
          <w:szCs w:val="20"/>
        </w:rPr>
        <w:t>18.6.1</w:t>
      </w:r>
      <w:r>
        <w:rPr>
          <w:spacing w:val="-11"/>
          <w:sz w:val="20"/>
          <w:szCs w:val="20"/>
        </w:rPr>
        <w:t xml:space="preserve"> </w:t>
      </w:r>
      <w:r>
        <w:rPr>
          <w:spacing w:val="9"/>
          <w:sz w:val="20"/>
          <w:szCs w:val="20"/>
        </w:rPr>
        <w:t>除专用合同条款另有约定外，承包人应按专用合同条款约定进行工程及工程设备试运</w:t>
      </w:r>
      <w:r>
        <w:rPr>
          <w:sz w:val="20"/>
          <w:szCs w:val="20"/>
        </w:rPr>
        <w:t xml:space="preserve"> </w:t>
      </w:r>
      <w:r>
        <w:rPr>
          <w:spacing w:val="10"/>
          <w:sz w:val="20"/>
          <w:szCs w:val="20"/>
        </w:rPr>
        <w:t>行，负责提供试运行所需的人员、器材和必要的条件，</w:t>
      </w:r>
      <w:r>
        <w:rPr>
          <w:spacing w:val="9"/>
          <w:sz w:val="20"/>
          <w:szCs w:val="20"/>
        </w:rPr>
        <w:t>并承担全部试运行费用。</w:t>
      </w:r>
    </w:p>
    <w:p w14:paraId="7CD69EBA">
      <w:pPr>
        <w:pStyle w:val="2"/>
        <w:spacing w:before="164" w:line="319" w:lineRule="auto"/>
        <w:ind w:right="83" w:firstLine="419"/>
        <w:rPr>
          <w:sz w:val="20"/>
          <w:szCs w:val="20"/>
        </w:rPr>
      </w:pPr>
      <w:r>
        <w:rPr>
          <w:spacing w:val="9"/>
          <w:sz w:val="20"/>
          <w:szCs w:val="20"/>
        </w:rPr>
        <w:t>18.6.2 由于承包人的原因导致试运行失败的，承包人应采取措施保</w:t>
      </w:r>
      <w:r>
        <w:rPr>
          <w:spacing w:val="8"/>
          <w:sz w:val="20"/>
          <w:szCs w:val="20"/>
        </w:rPr>
        <w:t>证试运行合格，并承担相</w:t>
      </w:r>
      <w:r>
        <w:rPr>
          <w:sz w:val="20"/>
          <w:szCs w:val="20"/>
        </w:rPr>
        <w:t xml:space="preserve"> </w:t>
      </w:r>
      <w:r>
        <w:rPr>
          <w:spacing w:val="12"/>
          <w:sz w:val="20"/>
          <w:szCs w:val="20"/>
        </w:rPr>
        <w:t>应费用。由于发包人的原因导致试运行失败的，承包人应当采取措施保证试运行</w:t>
      </w:r>
      <w:r>
        <w:rPr>
          <w:spacing w:val="11"/>
          <w:sz w:val="20"/>
          <w:szCs w:val="20"/>
        </w:rPr>
        <w:t>合格，发包人应</w:t>
      </w:r>
      <w:r>
        <w:rPr>
          <w:sz w:val="20"/>
          <w:szCs w:val="20"/>
        </w:rPr>
        <w:t xml:space="preserve"> </w:t>
      </w:r>
      <w:r>
        <w:rPr>
          <w:spacing w:val="8"/>
          <w:sz w:val="20"/>
          <w:szCs w:val="20"/>
        </w:rPr>
        <w:t>承担由此产生的费用，并支付承包人合理利润。</w:t>
      </w:r>
    </w:p>
    <w:p w14:paraId="1E93EA5D">
      <w:pPr>
        <w:spacing w:before="139" w:line="221" w:lineRule="auto"/>
        <w:ind w:left="3"/>
        <w:rPr>
          <w:rFonts w:ascii="黑体" w:hAnsi="黑体" w:eastAsia="黑体" w:cs="黑体"/>
          <w:sz w:val="24"/>
          <w:szCs w:val="24"/>
        </w:rPr>
      </w:pPr>
      <w:r>
        <w:rPr>
          <w:rFonts w:ascii="黑体" w:hAnsi="黑体" w:eastAsia="黑体" w:cs="黑体"/>
          <w:b/>
          <w:bCs/>
          <w:spacing w:val="4"/>
          <w:sz w:val="24"/>
          <w:szCs w:val="24"/>
        </w:rPr>
        <w:t>18.7竣工清场</w:t>
      </w:r>
    </w:p>
    <w:p w14:paraId="4AD5E95C">
      <w:pPr>
        <w:pStyle w:val="2"/>
        <w:spacing w:before="125" w:line="379" w:lineRule="auto"/>
        <w:ind w:firstLine="419"/>
        <w:rPr>
          <w:sz w:val="20"/>
          <w:szCs w:val="20"/>
        </w:rPr>
      </w:pPr>
      <w:r>
        <w:rPr>
          <w:spacing w:val="8"/>
          <w:sz w:val="20"/>
          <w:szCs w:val="20"/>
        </w:rPr>
        <w:t>18.7.1除合同另有约定外，工程接收证书颁发后，承包人应按以下要求对施工场地进行清理，</w:t>
      </w:r>
      <w:r>
        <w:rPr>
          <w:spacing w:val="16"/>
          <w:sz w:val="20"/>
          <w:szCs w:val="20"/>
        </w:rPr>
        <w:t xml:space="preserve"> </w:t>
      </w:r>
      <w:r>
        <w:rPr>
          <w:spacing w:val="8"/>
          <w:sz w:val="20"/>
          <w:szCs w:val="20"/>
        </w:rPr>
        <w:t>直至监理人检验合格为止。竣工清场费用由承包人承担。</w:t>
      </w:r>
    </w:p>
    <w:p w14:paraId="2B467F9A">
      <w:pPr>
        <w:pStyle w:val="2"/>
        <w:spacing w:before="1" w:line="219" w:lineRule="auto"/>
        <w:ind w:left="830"/>
        <w:rPr>
          <w:sz w:val="20"/>
          <w:szCs w:val="20"/>
        </w:rPr>
      </w:pPr>
      <w:r>
        <w:rPr>
          <w:spacing w:val="12"/>
          <w:sz w:val="20"/>
          <w:szCs w:val="20"/>
        </w:rPr>
        <w:t>(1)施工场地内残留的垃圾已全部清除出场；</w:t>
      </w:r>
    </w:p>
    <w:p w14:paraId="066A84F5">
      <w:pPr>
        <w:pStyle w:val="2"/>
        <w:spacing w:before="143" w:line="219" w:lineRule="auto"/>
        <w:ind w:left="830"/>
        <w:rPr>
          <w:sz w:val="20"/>
          <w:szCs w:val="20"/>
        </w:rPr>
      </w:pPr>
      <w:r>
        <w:rPr>
          <w:spacing w:val="12"/>
          <w:sz w:val="20"/>
          <w:szCs w:val="20"/>
        </w:rPr>
        <w:t>(2)临时工程已拆除，场地已按合同要求进行清理、平整或复原；</w:t>
      </w:r>
    </w:p>
    <w:p w14:paraId="6F98A6DA">
      <w:pPr>
        <w:pStyle w:val="2"/>
        <w:spacing w:before="191" w:line="291" w:lineRule="auto"/>
        <w:ind w:right="69" w:firstLine="830"/>
        <w:rPr>
          <w:sz w:val="20"/>
          <w:szCs w:val="20"/>
        </w:rPr>
      </w:pPr>
      <w:r>
        <w:rPr>
          <w:spacing w:val="15"/>
          <w:sz w:val="20"/>
          <w:szCs w:val="20"/>
        </w:rPr>
        <w:t>(3)按合同约定应撤离的承包人设备和剩余的材料，包括废弃的施工设备和材料，已按</w:t>
      </w:r>
      <w:r>
        <w:rPr>
          <w:spacing w:val="4"/>
          <w:sz w:val="20"/>
          <w:szCs w:val="20"/>
        </w:rPr>
        <w:t xml:space="preserve"> 计划撤离施工场地；</w:t>
      </w:r>
    </w:p>
    <w:p w14:paraId="3EDEB671">
      <w:pPr>
        <w:pStyle w:val="2"/>
        <w:spacing w:before="159" w:line="219" w:lineRule="auto"/>
        <w:ind w:left="830"/>
        <w:rPr>
          <w:sz w:val="20"/>
          <w:szCs w:val="20"/>
        </w:rPr>
      </w:pPr>
      <w:r>
        <w:rPr>
          <w:spacing w:val="11"/>
          <w:sz w:val="20"/>
          <w:szCs w:val="20"/>
        </w:rPr>
        <w:t>(4)工程建筑物周边及其附近道路、河道的施工堆积物，已按监理人指示全部清理；</w:t>
      </w:r>
    </w:p>
    <w:p w14:paraId="6B57306A">
      <w:pPr>
        <w:pStyle w:val="2"/>
        <w:spacing w:before="165" w:line="219" w:lineRule="auto"/>
        <w:ind w:left="830"/>
        <w:rPr>
          <w:sz w:val="20"/>
          <w:szCs w:val="20"/>
        </w:rPr>
      </w:pPr>
      <w:r>
        <w:rPr>
          <w:spacing w:val="12"/>
          <w:sz w:val="20"/>
          <w:szCs w:val="20"/>
        </w:rPr>
        <w:t>(5)监理人指示的其他场地清理工作已全部完成。</w:t>
      </w:r>
    </w:p>
    <w:p w14:paraId="6AC0EA98">
      <w:pPr>
        <w:pStyle w:val="2"/>
        <w:spacing w:before="163" w:line="345" w:lineRule="auto"/>
        <w:ind w:right="89" w:firstLine="419"/>
        <w:rPr>
          <w:sz w:val="20"/>
          <w:szCs w:val="20"/>
        </w:rPr>
      </w:pPr>
      <w:r>
        <w:rPr>
          <w:spacing w:val="9"/>
          <w:sz w:val="20"/>
          <w:szCs w:val="20"/>
        </w:rPr>
        <w:t>18.7.2 承包人未按监理人的要求恢复临时占地，或者</w:t>
      </w:r>
      <w:r>
        <w:rPr>
          <w:spacing w:val="8"/>
          <w:sz w:val="20"/>
          <w:szCs w:val="20"/>
        </w:rPr>
        <w:t>场地清理未达到合同约定的，发包人有</w:t>
      </w:r>
      <w:r>
        <w:rPr>
          <w:sz w:val="20"/>
          <w:szCs w:val="20"/>
        </w:rPr>
        <w:t xml:space="preserve"> </w:t>
      </w:r>
      <w:r>
        <w:rPr>
          <w:spacing w:val="9"/>
          <w:sz w:val="20"/>
          <w:szCs w:val="20"/>
        </w:rPr>
        <w:t>权委托其他人恢复或清理，所发生的金额从拟支付给承</w:t>
      </w:r>
      <w:r>
        <w:rPr>
          <w:spacing w:val="8"/>
          <w:sz w:val="20"/>
          <w:szCs w:val="20"/>
        </w:rPr>
        <w:t>包人的款项中扣除。</w:t>
      </w:r>
    </w:p>
    <w:p w14:paraId="725451DF">
      <w:pPr>
        <w:spacing w:line="222" w:lineRule="auto"/>
        <w:ind w:left="3"/>
        <w:rPr>
          <w:rFonts w:ascii="黑体" w:hAnsi="黑体" w:eastAsia="黑体" w:cs="黑体"/>
          <w:sz w:val="24"/>
          <w:szCs w:val="24"/>
        </w:rPr>
      </w:pPr>
      <w:r>
        <w:rPr>
          <w:rFonts w:ascii="黑体" w:hAnsi="黑体" w:eastAsia="黑体" w:cs="黑体"/>
          <w:b/>
          <w:bCs/>
          <w:spacing w:val="2"/>
          <w:sz w:val="24"/>
          <w:szCs w:val="24"/>
        </w:rPr>
        <w:t>18.8施工队伍的撤离</w:t>
      </w:r>
    </w:p>
    <w:p w14:paraId="05B30570">
      <w:pPr>
        <w:pStyle w:val="2"/>
        <w:spacing w:before="181" w:line="362" w:lineRule="auto"/>
        <w:ind w:firstLine="419"/>
        <w:jc w:val="both"/>
        <w:rPr>
          <w:sz w:val="20"/>
          <w:szCs w:val="20"/>
        </w:rPr>
      </w:pPr>
      <w:r>
        <w:rPr>
          <w:spacing w:val="9"/>
          <w:sz w:val="20"/>
          <w:szCs w:val="20"/>
        </w:rPr>
        <w:t>工程接收证书颁发后的56天内，除了经监理人同意需在缺陷责任期内继</w:t>
      </w:r>
      <w:r>
        <w:rPr>
          <w:spacing w:val="8"/>
          <w:sz w:val="20"/>
          <w:szCs w:val="20"/>
        </w:rPr>
        <w:t>续工作和使用的人员、</w:t>
      </w:r>
      <w:r>
        <w:rPr>
          <w:sz w:val="20"/>
          <w:szCs w:val="20"/>
        </w:rPr>
        <w:t xml:space="preserve"> </w:t>
      </w:r>
      <w:r>
        <w:rPr>
          <w:spacing w:val="12"/>
          <w:sz w:val="20"/>
          <w:szCs w:val="20"/>
        </w:rPr>
        <w:t>施工设备和临时工程外，其余的人员、施工设备和临时工程均应撤离施工场地或拆除。除合同另</w:t>
      </w:r>
      <w:r>
        <w:rPr>
          <w:spacing w:val="9"/>
          <w:sz w:val="20"/>
          <w:szCs w:val="20"/>
        </w:rPr>
        <w:t xml:space="preserve"> 有约定外，缺陷责任期满时，承包人的人员和施工设备应全部撤离施工场地。</w:t>
      </w:r>
    </w:p>
    <w:p w14:paraId="419AEA16">
      <w:pPr>
        <w:pStyle w:val="2"/>
        <w:spacing w:before="33" w:line="221" w:lineRule="auto"/>
        <w:ind w:left="4"/>
        <w:rPr>
          <w:rFonts w:ascii="黑体" w:hAnsi="黑体" w:eastAsia="黑体" w:cs="黑体"/>
          <w:sz w:val="29"/>
          <w:szCs w:val="29"/>
        </w:rPr>
      </w:pPr>
      <w:r>
        <w:rPr>
          <w:b/>
          <w:bCs/>
          <w:spacing w:val="-5"/>
          <w:sz w:val="29"/>
          <w:szCs w:val="29"/>
        </w:rPr>
        <w:t>19.</w:t>
      </w:r>
      <w:r>
        <w:rPr>
          <w:rFonts w:ascii="黑体" w:hAnsi="黑体" w:eastAsia="黑体" w:cs="黑体"/>
          <w:b/>
          <w:bCs/>
          <w:spacing w:val="-5"/>
          <w:sz w:val="29"/>
          <w:szCs w:val="29"/>
        </w:rPr>
        <w:t>缺陷责任与保修责任</w:t>
      </w:r>
    </w:p>
    <w:p w14:paraId="52F174FB">
      <w:pPr>
        <w:spacing w:before="91" w:line="221" w:lineRule="auto"/>
        <w:ind w:left="3"/>
        <w:rPr>
          <w:rFonts w:ascii="黑体" w:hAnsi="黑体" w:eastAsia="黑体" w:cs="黑体"/>
          <w:sz w:val="24"/>
          <w:szCs w:val="24"/>
        </w:rPr>
      </w:pPr>
      <w:r>
        <w:rPr>
          <w:rFonts w:ascii="黑体" w:hAnsi="黑体" w:eastAsia="黑体" w:cs="黑体"/>
          <w:b/>
          <w:bCs/>
          <w:sz w:val="24"/>
          <w:szCs w:val="24"/>
        </w:rPr>
        <w:t>19.1缺陷责任期的起算时间</w:t>
      </w:r>
    </w:p>
    <w:p w14:paraId="5F93BBD0">
      <w:pPr>
        <w:pStyle w:val="2"/>
        <w:spacing w:before="166" w:line="353" w:lineRule="auto"/>
        <w:ind w:right="88" w:firstLine="419"/>
        <w:rPr>
          <w:sz w:val="20"/>
          <w:szCs w:val="20"/>
        </w:rPr>
      </w:pPr>
      <w:r>
        <w:rPr>
          <w:spacing w:val="12"/>
          <w:sz w:val="20"/>
          <w:szCs w:val="20"/>
        </w:rPr>
        <w:t>缺陷责任期自实际竣工日期起计算。在全部工程竣工验收前，已经发包人提前验收的单位工</w:t>
      </w:r>
      <w:r>
        <w:rPr>
          <w:sz w:val="20"/>
          <w:szCs w:val="20"/>
        </w:rPr>
        <w:t xml:space="preserve"> </w:t>
      </w:r>
      <w:r>
        <w:rPr>
          <w:spacing w:val="8"/>
          <w:sz w:val="20"/>
          <w:szCs w:val="20"/>
        </w:rPr>
        <w:t>程，其缺陷责任期的起算日期相应提前。</w:t>
      </w:r>
    </w:p>
    <w:p w14:paraId="333C4796">
      <w:pPr>
        <w:spacing w:line="353" w:lineRule="auto"/>
        <w:rPr>
          <w:sz w:val="20"/>
          <w:szCs w:val="20"/>
        </w:rPr>
        <w:sectPr>
          <w:footerReference r:id="rId140" w:type="default"/>
          <w:pgSz w:w="11910" w:h="16840"/>
          <w:pgMar w:top="400" w:right="1460" w:bottom="1016" w:left="1460" w:header="0" w:footer="889" w:gutter="0"/>
          <w:cols w:space="720" w:num="1"/>
        </w:sectPr>
      </w:pPr>
    </w:p>
    <w:p w14:paraId="7A57BBBE">
      <w:pPr>
        <w:spacing w:line="259" w:lineRule="auto"/>
        <w:rPr>
          <w:rFonts w:ascii="Arial"/>
          <w:sz w:val="21"/>
        </w:rPr>
      </w:pPr>
    </w:p>
    <w:p w14:paraId="1C624C1D">
      <w:pPr>
        <w:spacing w:line="259" w:lineRule="auto"/>
        <w:rPr>
          <w:rFonts w:ascii="Arial"/>
          <w:sz w:val="21"/>
        </w:rPr>
      </w:pPr>
    </w:p>
    <w:p w14:paraId="3ABED9F3">
      <w:pPr>
        <w:spacing w:line="260" w:lineRule="auto"/>
        <w:rPr>
          <w:rFonts w:ascii="Arial"/>
          <w:sz w:val="21"/>
        </w:rPr>
      </w:pPr>
    </w:p>
    <w:p w14:paraId="2FF1B697">
      <w:pPr>
        <w:spacing w:line="260" w:lineRule="auto"/>
        <w:rPr>
          <w:rFonts w:ascii="Arial"/>
          <w:sz w:val="21"/>
        </w:rPr>
      </w:pPr>
    </w:p>
    <w:p w14:paraId="5FDB262C">
      <w:pPr>
        <w:spacing w:line="260" w:lineRule="auto"/>
        <w:rPr>
          <w:rFonts w:ascii="Arial"/>
          <w:sz w:val="21"/>
        </w:rPr>
      </w:pPr>
    </w:p>
    <w:p w14:paraId="36B495AA">
      <w:pPr>
        <w:spacing w:before="78" w:line="221" w:lineRule="auto"/>
        <w:ind w:left="3"/>
        <w:rPr>
          <w:rFonts w:ascii="黑体" w:hAnsi="黑体" w:eastAsia="黑体" w:cs="黑体"/>
          <w:sz w:val="24"/>
          <w:szCs w:val="24"/>
        </w:rPr>
      </w:pPr>
      <w:r>
        <w:rPr>
          <w:rFonts w:ascii="黑体" w:hAnsi="黑体" w:eastAsia="黑体" w:cs="黑体"/>
          <w:b/>
          <w:bCs/>
          <w:spacing w:val="4"/>
          <w:sz w:val="24"/>
          <w:szCs w:val="24"/>
        </w:rPr>
        <w:t>19.2缺陷责任</w:t>
      </w:r>
    </w:p>
    <w:p w14:paraId="391D6D62">
      <w:pPr>
        <w:pStyle w:val="2"/>
        <w:spacing w:before="166" w:line="219" w:lineRule="auto"/>
        <w:ind w:left="429"/>
        <w:rPr>
          <w:sz w:val="20"/>
          <w:szCs w:val="20"/>
        </w:rPr>
      </w:pPr>
      <w:r>
        <w:rPr>
          <w:spacing w:val="8"/>
          <w:sz w:val="20"/>
          <w:szCs w:val="20"/>
        </w:rPr>
        <w:t>19.2.1承包人应在缺陷责任期内对已交付使用的工程承担缺陷责任。</w:t>
      </w:r>
    </w:p>
    <w:p w14:paraId="25C45A73">
      <w:pPr>
        <w:pStyle w:val="2"/>
        <w:spacing w:before="182" w:line="313" w:lineRule="auto"/>
        <w:ind w:firstLine="429"/>
        <w:rPr>
          <w:sz w:val="20"/>
          <w:szCs w:val="20"/>
        </w:rPr>
      </w:pPr>
      <w:r>
        <w:rPr>
          <w:spacing w:val="6"/>
          <w:sz w:val="20"/>
          <w:szCs w:val="20"/>
        </w:rPr>
        <w:t>19.2.2 缺陷责任期内，发包人对已接收使用的工程负责日常维护工作。发包人在使用过程中，</w:t>
      </w:r>
      <w:r>
        <w:rPr>
          <w:sz w:val="20"/>
          <w:szCs w:val="20"/>
        </w:rPr>
        <w:t xml:space="preserve"> </w:t>
      </w:r>
      <w:r>
        <w:rPr>
          <w:spacing w:val="12"/>
          <w:sz w:val="20"/>
          <w:szCs w:val="20"/>
        </w:rPr>
        <w:t>发现已接收的工程存在新的缺陷或已修复的缺陷部位或部件又遭损坏的，承包人应负责修复，直</w:t>
      </w:r>
      <w:r>
        <w:rPr>
          <w:spacing w:val="2"/>
          <w:sz w:val="20"/>
          <w:szCs w:val="20"/>
        </w:rPr>
        <w:t xml:space="preserve">  </w:t>
      </w:r>
      <w:r>
        <w:rPr>
          <w:spacing w:val="6"/>
          <w:sz w:val="20"/>
          <w:szCs w:val="20"/>
        </w:rPr>
        <w:t>至检验合格为止。</w:t>
      </w:r>
    </w:p>
    <w:p w14:paraId="10692440">
      <w:pPr>
        <w:pStyle w:val="2"/>
        <w:spacing w:before="163" w:line="319" w:lineRule="auto"/>
        <w:ind w:right="88" w:firstLine="429"/>
        <w:rPr>
          <w:sz w:val="20"/>
          <w:szCs w:val="20"/>
        </w:rPr>
      </w:pPr>
      <w:r>
        <w:rPr>
          <w:spacing w:val="13"/>
          <w:sz w:val="20"/>
          <w:szCs w:val="20"/>
        </w:rPr>
        <w:t>19.2.3 监理人和承包人应共同查清缺陷和(或)损坏的原因</w:t>
      </w:r>
      <w:r>
        <w:rPr>
          <w:spacing w:val="12"/>
          <w:sz w:val="20"/>
          <w:szCs w:val="20"/>
        </w:rPr>
        <w:t>。经查明属承包人原因造成的，</w:t>
      </w:r>
      <w:r>
        <w:rPr>
          <w:sz w:val="20"/>
          <w:szCs w:val="20"/>
        </w:rPr>
        <w:t xml:space="preserve"> </w:t>
      </w:r>
      <w:r>
        <w:rPr>
          <w:spacing w:val="12"/>
          <w:sz w:val="20"/>
          <w:szCs w:val="20"/>
        </w:rPr>
        <w:t>应由承包人承担修复和查验的费用。经查验属发包人原因造成的，发包人应承担修复和查验的费</w:t>
      </w:r>
      <w:r>
        <w:rPr>
          <w:spacing w:val="7"/>
          <w:sz w:val="20"/>
          <w:szCs w:val="20"/>
        </w:rPr>
        <w:t xml:space="preserve"> 用，并支付承包人合理利润。</w:t>
      </w:r>
    </w:p>
    <w:p w14:paraId="13911EA2">
      <w:pPr>
        <w:pStyle w:val="2"/>
        <w:spacing w:before="163" w:line="294" w:lineRule="auto"/>
        <w:ind w:right="87" w:firstLine="429"/>
        <w:rPr>
          <w:sz w:val="20"/>
          <w:szCs w:val="20"/>
        </w:rPr>
      </w:pPr>
      <w:r>
        <w:rPr>
          <w:spacing w:val="9"/>
          <w:sz w:val="20"/>
          <w:szCs w:val="20"/>
        </w:rPr>
        <w:t>19.2.4 承包人不能在合理时间内修复缺陷的，发包人可自</w:t>
      </w:r>
      <w:r>
        <w:rPr>
          <w:spacing w:val="8"/>
          <w:sz w:val="20"/>
          <w:szCs w:val="20"/>
        </w:rPr>
        <w:t>行修复或委托其他人修复，所需费</w:t>
      </w:r>
      <w:r>
        <w:rPr>
          <w:sz w:val="20"/>
          <w:szCs w:val="20"/>
        </w:rPr>
        <w:t xml:space="preserve"> </w:t>
      </w:r>
      <w:r>
        <w:rPr>
          <w:spacing w:val="8"/>
          <w:sz w:val="20"/>
          <w:szCs w:val="20"/>
        </w:rPr>
        <w:t>用和利润的承担，按第19.2.3项约定办理。</w:t>
      </w:r>
    </w:p>
    <w:p w14:paraId="2F4BBEC6">
      <w:pPr>
        <w:spacing w:before="128" w:line="221" w:lineRule="auto"/>
        <w:ind w:left="3"/>
        <w:rPr>
          <w:rFonts w:ascii="黑体" w:hAnsi="黑体" w:eastAsia="黑体" w:cs="黑体"/>
          <w:sz w:val="24"/>
          <w:szCs w:val="24"/>
        </w:rPr>
      </w:pPr>
      <w:r>
        <w:rPr>
          <w:rFonts w:ascii="黑体" w:hAnsi="黑体" w:eastAsia="黑体" w:cs="黑体"/>
          <w:b/>
          <w:bCs/>
          <w:spacing w:val="1"/>
          <w:sz w:val="24"/>
          <w:szCs w:val="24"/>
        </w:rPr>
        <w:t>19.3缺陷责任期的延长</w:t>
      </w:r>
    </w:p>
    <w:p w14:paraId="3E4433A2">
      <w:pPr>
        <w:pStyle w:val="2"/>
        <w:spacing w:before="166" w:line="356" w:lineRule="auto"/>
        <w:ind w:right="88" w:firstLine="429"/>
        <w:jc w:val="both"/>
        <w:rPr>
          <w:sz w:val="20"/>
          <w:szCs w:val="20"/>
        </w:rPr>
      </w:pPr>
      <w:r>
        <w:rPr>
          <w:spacing w:val="12"/>
          <w:sz w:val="20"/>
          <w:szCs w:val="20"/>
        </w:rPr>
        <w:t>由于承包人原因造成某项缺陷或损坏使某项工程或工程设备不能按原定目标使用而需</w:t>
      </w:r>
      <w:r>
        <w:rPr>
          <w:spacing w:val="11"/>
          <w:sz w:val="20"/>
          <w:szCs w:val="20"/>
        </w:rPr>
        <w:t>要再次</w:t>
      </w:r>
      <w:r>
        <w:rPr>
          <w:sz w:val="20"/>
          <w:szCs w:val="20"/>
        </w:rPr>
        <w:t xml:space="preserve"> </w:t>
      </w:r>
      <w:r>
        <w:rPr>
          <w:spacing w:val="15"/>
          <w:sz w:val="20"/>
          <w:szCs w:val="20"/>
        </w:rPr>
        <w:t>检查、检验和修复的，发包人有权要求承包人相应延</w:t>
      </w:r>
      <w:r>
        <w:rPr>
          <w:spacing w:val="14"/>
          <w:sz w:val="20"/>
          <w:szCs w:val="20"/>
        </w:rPr>
        <w:t>长缺陷责任期，但缺陷责任期最长不超过2</w:t>
      </w:r>
      <w:r>
        <w:rPr>
          <w:sz w:val="20"/>
          <w:szCs w:val="20"/>
        </w:rPr>
        <w:t xml:space="preserve"> 年。</w:t>
      </w:r>
    </w:p>
    <w:p w14:paraId="2A28EB64">
      <w:pPr>
        <w:spacing w:before="1" w:line="220" w:lineRule="auto"/>
        <w:ind w:left="3"/>
        <w:rPr>
          <w:rFonts w:ascii="黑体" w:hAnsi="黑体" w:eastAsia="黑体" w:cs="黑体"/>
          <w:sz w:val="24"/>
          <w:szCs w:val="24"/>
        </w:rPr>
      </w:pPr>
      <w:r>
        <w:rPr>
          <w:rFonts w:ascii="黑体" w:hAnsi="黑体" w:eastAsia="黑体" w:cs="黑体"/>
          <w:b/>
          <w:bCs/>
          <w:spacing w:val="2"/>
          <w:sz w:val="24"/>
          <w:szCs w:val="24"/>
        </w:rPr>
        <w:t>19.4进一步试验和试运行</w:t>
      </w:r>
    </w:p>
    <w:p w14:paraId="75821FFC">
      <w:pPr>
        <w:pStyle w:val="2"/>
        <w:spacing w:before="137" w:line="359" w:lineRule="auto"/>
        <w:ind w:right="90" w:firstLine="429"/>
        <w:rPr>
          <w:sz w:val="20"/>
          <w:szCs w:val="20"/>
        </w:rPr>
      </w:pPr>
      <w:r>
        <w:rPr>
          <w:spacing w:val="12"/>
          <w:sz w:val="20"/>
          <w:szCs w:val="20"/>
        </w:rPr>
        <w:t>任何一项缺陷或损坏修复后，经检查证明其影响了工程或工程设备的使用性能，承包人</w:t>
      </w:r>
      <w:r>
        <w:rPr>
          <w:spacing w:val="11"/>
          <w:sz w:val="20"/>
          <w:szCs w:val="20"/>
        </w:rPr>
        <w:t>应重</w:t>
      </w:r>
      <w:r>
        <w:rPr>
          <w:sz w:val="20"/>
          <w:szCs w:val="20"/>
        </w:rPr>
        <w:t xml:space="preserve"> </w:t>
      </w:r>
      <w:r>
        <w:rPr>
          <w:spacing w:val="9"/>
          <w:sz w:val="20"/>
          <w:szCs w:val="20"/>
        </w:rPr>
        <w:t>新进行合同约定的试验和试运行，试验和试运行的全部费用应由责任方承担。</w:t>
      </w:r>
    </w:p>
    <w:p w14:paraId="58BD857D">
      <w:pPr>
        <w:pStyle w:val="2"/>
        <w:spacing w:line="222" w:lineRule="auto"/>
        <w:ind w:left="3"/>
        <w:rPr>
          <w:rFonts w:ascii="黑体" w:hAnsi="黑体" w:eastAsia="黑体" w:cs="黑体"/>
          <w:sz w:val="24"/>
          <w:szCs w:val="24"/>
        </w:rPr>
      </w:pPr>
      <w:r>
        <w:rPr>
          <w:b/>
          <w:bCs/>
          <w:spacing w:val="-8"/>
          <w:sz w:val="24"/>
          <w:szCs w:val="24"/>
        </w:rPr>
        <w:t>19.5</w:t>
      </w:r>
      <w:r>
        <w:rPr>
          <w:spacing w:val="-28"/>
          <w:sz w:val="24"/>
          <w:szCs w:val="24"/>
        </w:rPr>
        <w:t xml:space="preserve"> </w:t>
      </w:r>
      <w:r>
        <w:rPr>
          <w:rFonts w:ascii="黑体" w:hAnsi="黑体" w:eastAsia="黑体" w:cs="黑体"/>
          <w:b/>
          <w:bCs/>
          <w:spacing w:val="-8"/>
          <w:sz w:val="24"/>
          <w:szCs w:val="24"/>
        </w:rPr>
        <w:t>承包人的进入权</w:t>
      </w:r>
    </w:p>
    <w:p w14:paraId="510E0E0E">
      <w:pPr>
        <w:pStyle w:val="2"/>
        <w:spacing w:before="143" w:line="354" w:lineRule="auto"/>
        <w:ind w:right="73" w:firstLine="429"/>
        <w:rPr>
          <w:sz w:val="20"/>
          <w:szCs w:val="20"/>
        </w:rPr>
      </w:pPr>
      <w:r>
        <w:rPr>
          <w:spacing w:val="12"/>
          <w:sz w:val="20"/>
          <w:szCs w:val="20"/>
        </w:rPr>
        <w:t>缺陷责任期内承包人为缺陷修复工作需要，有权进入工程现场，但应遵守发包人的保安和保</w:t>
      </w:r>
      <w:r>
        <w:rPr>
          <w:spacing w:val="15"/>
          <w:sz w:val="20"/>
          <w:szCs w:val="20"/>
        </w:rPr>
        <w:t xml:space="preserve"> </w:t>
      </w:r>
      <w:r>
        <w:rPr>
          <w:spacing w:val="2"/>
          <w:sz w:val="20"/>
          <w:szCs w:val="20"/>
        </w:rPr>
        <w:t>密规定。</w:t>
      </w:r>
    </w:p>
    <w:p w14:paraId="4B3D0817">
      <w:pPr>
        <w:spacing w:before="1" w:line="220" w:lineRule="auto"/>
        <w:ind w:left="3"/>
        <w:rPr>
          <w:rFonts w:ascii="黑体" w:hAnsi="黑体" w:eastAsia="黑体" w:cs="黑体"/>
          <w:sz w:val="24"/>
          <w:szCs w:val="24"/>
        </w:rPr>
      </w:pPr>
      <w:r>
        <w:rPr>
          <w:rFonts w:ascii="黑体" w:hAnsi="黑体" w:eastAsia="黑体" w:cs="黑体"/>
          <w:b/>
          <w:bCs/>
          <w:spacing w:val="1"/>
          <w:sz w:val="24"/>
          <w:szCs w:val="24"/>
        </w:rPr>
        <w:t>19.6缺陷责任期终止证书</w:t>
      </w:r>
    </w:p>
    <w:p w14:paraId="0CD8C388">
      <w:pPr>
        <w:pStyle w:val="2"/>
        <w:spacing w:before="155" w:line="345" w:lineRule="auto"/>
        <w:ind w:right="91" w:firstLine="429"/>
        <w:rPr>
          <w:sz w:val="20"/>
          <w:szCs w:val="20"/>
        </w:rPr>
      </w:pPr>
      <w:r>
        <w:rPr>
          <w:spacing w:val="13"/>
          <w:sz w:val="20"/>
          <w:szCs w:val="20"/>
        </w:rPr>
        <w:t>在第1.1.4.5目约定的缺陷责任期，包括根据第1</w:t>
      </w:r>
      <w:r>
        <w:rPr>
          <w:spacing w:val="12"/>
          <w:sz w:val="20"/>
          <w:szCs w:val="20"/>
        </w:rPr>
        <w:t>9.3款延长的期限终止后14天内，由监理人</w:t>
      </w:r>
      <w:r>
        <w:rPr>
          <w:sz w:val="20"/>
          <w:szCs w:val="20"/>
        </w:rPr>
        <w:t xml:space="preserve"> </w:t>
      </w:r>
      <w:r>
        <w:rPr>
          <w:spacing w:val="9"/>
          <w:sz w:val="20"/>
          <w:szCs w:val="20"/>
        </w:rPr>
        <w:t>向承包人出具经发包人签认的缺陷责任期终止证书，并退还剩余的质量保证金。</w:t>
      </w:r>
    </w:p>
    <w:p w14:paraId="63DE7E8F">
      <w:pPr>
        <w:pStyle w:val="2"/>
        <w:spacing w:before="1" w:line="220" w:lineRule="auto"/>
        <w:ind w:left="3"/>
        <w:rPr>
          <w:rFonts w:ascii="黑体" w:hAnsi="黑体" w:eastAsia="黑体" w:cs="黑体"/>
          <w:sz w:val="24"/>
          <w:szCs w:val="24"/>
        </w:rPr>
      </w:pPr>
      <w:r>
        <w:rPr>
          <w:b/>
          <w:bCs/>
          <w:spacing w:val="-10"/>
          <w:sz w:val="24"/>
          <w:szCs w:val="24"/>
        </w:rPr>
        <w:t>19.7</w:t>
      </w:r>
      <w:r>
        <w:rPr>
          <w:spacing w:val="-17"/>
          <w:sz w:val="24"/>
          <w:szCs w:val="24"/>
        </w:rPr>
        <w:t xml:space="preserve"> </w:t>
      </w:r>
      <w:r>
        <w:rPr>
          <w:rFonts w:ascii="黑体" w:hAnsi="黑体" w:eastAsia="黑体" w:cs="黑体"/>
          <w:b/>
          <w:bCs/>
          <w:spacing w:val="-10"/>
          <w:sz w:val="24"/>
          <w:szCs w:val="24"/>
        </w:rPr>
        <w:t>保修责任</w:t>
      </w:r>
    </w:p>
    <w:p w14:paraId="1188B479">
      <w:pPr>
        <w:pStyle w:val="2"/>
        <w:spacing w:before="147" w:line="372" w:lineRule="auto"/>
        <w:ind w:right="92" w:firstLine="429"/>
        <w:jc w:val="both"/>
        <w:rPr>
          <w:sz w:val="20"/>
          <w:szCs w:val="20"/>
        </w:rPr>
      </w:pPr>
      <w:r>
        <w:rPr>
          <w:spacing w:val="12"/>
          <w:sz w:val="20"/>
          <w:szCs w:val="20"/>
        </w:rPr>
        <w:t>合同当事人根据有关法律规定，在专用合同条款中约定工程质量保修范围、期限和</w:t>
      </w:r>
      <w:r>
        <w:rPr>
          <w:spacing w:val="11"/>
          <w:sz w:val="20"/>
          <w:szCs w:val="20"/>
        </w:rPr>
        <w:t>责任。保</w:t>
      </w:r>
      <w:r>
        <w:rPr>
          <w:sz w:val="20"/>
          <w:szCs w:val="20"/>
        </w:rPr>
        <w:t xml:space="preserve"> </w:t>
      </w:r>
      <w:r>
        <w:rPr>
          <w:spacing w:val="12"/>
          <w:sz w:val="20"/>
          <w:szCs w:val="20"/>
        </w:rPr>
        <w:t>修期自实际竣工日期起计算。在全部工程竣工验收前，已经发包人提前验收的单位工程，其保修</w:t>
      </w:r>
      <w:r>
        <w:rPr>
          <w:spacing w:val="2"/>
          <w:sz w:val="20"/>
          <w:szCs w:val="20"/>
        </w:rPr>
        <w:t xml:space="preserve"> </w:t>
      </w:r>
      <w:r>
        <w:rPr>
          <w:spacing w:val="7"/>
          <w:sz w:val="20"/>
          <w:szCs w:val="20"/>
        </w:rPr>
        <w:t>期的起算日期相应提前。</w:t>
      </w:r>
    </w:p>
    <w:p w14:paraId="51E80A7C">
      <w:pPr>
        <w:pStyle w:val="2"/>
        <w:spacing w:before="1" w:line="222" w:lineRule="auto"/>
        <w:ind w:left="4"/>
        <w:rPr>
          <w:rFonts w:ascii="黑体" w:hAnsi="黑体" w:eastAsia="黑体" w:cs="黑体"/>
          <w:sz w:val="30"/>
          <w:szCs w:val="30"/>
        </w:rPr>
      </w:pPr>
      <w:r>
        <w:rPr>
          <w:b/>
          <w:bCs/>
          <w:spacing w:val="3"/>
          <w:sz w:val="30"/>
          <w:szCs w:val="30"/>
        </w:rPr>
        <w:t>20.</w:t>
      </w:r>
      <w:r>
        <w:rPr>
          <w:rFonts w:ascii="黑体" w:hAnsi="黑体" w:eastAsia="黑体" w:cs="黑体"/>
          <w:b/>
          <w:bCs/>
          <w:spacing w:val="3"/>
          <w:sz w:val="30"/>
          <w:szCs w:val="30"/>
        </w:rPr>
        <w:t>保险</w:t>
      </w:r>
    </w:p>
    <w:p w14:paraId="286AD659">
      <w:pPr>
        <w:pStyle w:val="2"/>
        <w:spacing w:before="106" w:line="222" w:lineRule="auto"/>
        <w:ind w:left="3"/>
        <w:rPr>
          <w:rFonts w:ascii="黑体" w:hAnsi="黑体" w:eastAsia="黑体" w:cs="黑体"/>
          <w:sz w:val="24"/>
          <w:szCs w:val="24"/>
        </w:rPr>
      </w:pPr>
      <w:r>
        <w:rPr>
          <w:b/>
          <w:bCs/>
          <w:spacing w:val="-9"/>
          <w:sz w:val="24"/>
          <w:szCs w:val="24"/>
        </w:rPr>
        <w:t>20.1</w:t>
      </w:r>
      <w:r>
        <w:rPr>
          <w:spacing w:val="-9"/>
          <w:sz w:val="24"/>
          <w:szCs w:val="24"/>
        </w:rPr>
        <w:t xml:space="preserve"> </w:t>
      </w:r>
      <w:r>
        <w:rPr>
          <w:rFonts w:ascii="黑体" w:hAnsi="黑体" w:eastAsia="黑体" w:cs="黑体"/>
          <w:b/>
          <w:bCs/>
          <w:spacing w:val="-9"/>
          <w:sz w:val="24"/>
          <w:szCs w:val="24"/>
        </w:rPr>
        <w:t>工程保险</w:t>
      </w:r>
    </w:p>
    <w:p w14:paraId="33F64981">
      <w:pPr>
        <w:pStyle w:val="2"/>
        <w:spacing w:before="115" w:line="352" w:lineRule="auto"/>
        <w:ind w:right="71" w:firstLine="429"/>
        <w:jc w:val="both"/>
        <w:rPr>
          <w:sz w:val="20"/>
          <w:szCs w:val="20"/>
        </w:rPr>
      </w:pPr>
      <w:r>
        <w:rPr>
          <w:spacing w:val="12"/>
          <w:sz w:val="20"/>
          <w:szCs w:val="20"/>
        </w:rPr>
        <w:t>除专用合同条款另有约定外，承包人应以发包人和承包人的共同名义向双方同意的保险人投</w:t>
      </w:r>
      <w:r>
        <w:rPr>
          <w:spacing w:val="17"/>
          <w:sz w:val="20"/>
          <w:szCs w:val="20"/>
        </w:rPr>
        <w:t xml:space="preserve"> </w:t>
      </w:r>
      <w:r>
        <w:rPr>
          <w:spacing w:val="12"/>
          <w:sz w:val="20"/>
          <w:szCs w:val="20"/>
        </w:rPr>
        <w:t>保建筑工程一切险、安装工程一切险。其具体的投保内容、</w:t>
      </w:r>
      <w:r>
        <w:rPr>
          <w:spacing w:val="11"/>
          <w:sz w:val="20"/>
          <w:szCs w:val="20"/>
        </w:rPr>
        <w:t>保险金额、保险费率、保险期限等有</w:t>
      </w:r>
      <w:r>
        <w:rPr>
          <w:sz w:val="20"/>
          <w:szCs w:val="20"/>
        </w:rPr>
        <w:t xml:space="preserve"> </w:t>
      </w:r>
      <w:r>
        <w:rPr>
          <w:spacing w:val="7"/>
          <w:sz w:val="20"/>
          <w:szCs w:val="20"/>
        </w:rPr>
        <w:t>关内容在专用合同条款中约定。</w:t>
      </w:r>
    </w:p>
    <w:p w14:paraId="518963D0">
      <w:pPr>
        <w:spacing w:line="352" w:lineRule="auto"/>
        <w:rPr>
          <w:sz w:val="20"/>
          <w:szCs w:val="20"/>
        </w:rPr>
        <w:sectPr>
          <w:footerReference r:id="rId141" w:type="default"/>
          <w:pgSz w:w="11910" w:h="16840"/>
          <w:pgMar w:top="400" w:right="1459" w:bottom="1024" w:left="1450" w:header="0" w:footer="889" w:gutter="0"/>
          <w:cols w:space="720" w:num="1"/>
        </w:sectPr>
      </w:pPr>
    </w:p>
    <w:p w14:paraId="442183E9">
      <w:pPr>
        <w:spacing w:line="263" w:lineRule="auto"/>
        <w:rPr>
          <w:rFonts w:ascii="Arial"/>
          <w:sz w:val="21"/>
        </w:rPr>
      </w:pPr>
    </w:p>
    <w:p w14:paraId="583EA978">
      <w:pPr>
        <w:spacing w:line="263" w:lineRule="auto"/>
        <w:rPr>
          <w:rFonts w:ascii="Arial"/>
          <w:sz w:val="21"/>
        </w:rPr>
      </w:pPr>
    </w:p>
    <w:p w14:paraId="6B451309">
      <w:pPr>
        <w:spacing w:line="264" w:lineRule="auto"/>
        <w:rPr>
          <w:rFonts w:ascii="Arial"/>
          <w:sz w:val="21"/>
        </w:rPr>
      </w:pPr>
    </w:p>
    <w:p w14:paraId="0D37D744">
      <w:pPr>
        <w:spacing w:line="264" w:lineRule="auto"/>
        <w:rPr>
          <w:rFonts w:ascii="Arial"/>
          <w:sz w:val="21"/>
        </w:rPr>
      </w:pPr>
    </w:p>
    <w:p w14:paraId="67EDF54E">
      <w:pPr>
        <w:spacing w:line="264" w:lineRule="auto"/>
        <w:rPr>
          <w:rFonts w:ascii="Arial"/>
          <w:sz w:val="21"/>
        </w:rPr>
      </w:pPr>
    </w:p>
    <w:p w14:paraId="2C13E589">
      <w:pPr>
        <w:pStyle w:val="2"/>
        <w:spacing w:before="78" w:line="221" w:lineRule="auto"/>
        <w:ind w:left="2"/>
        <w:rPr>
          <w:rFonts w:ascii="黑体" w:hAnsi="黑体" w:eastAsia="黑体" w:cs="黑体"/>
          <w:sz w:val="24"/>
          <w:szCs w:val="24"/>
        </w:rPr>
      </w:pPr>
      <w:r>
        <w:rPr>
          <w:b/>
          <w:bCs/>
          <w:spacing w:val="-9"/>
          <w:sz w:val="24"/>
          <w:szCs w:val="24"/>
        </w:rPr>
        <w:t>20.2</w:t>
      </w:r>
      <w:r>
        <w:rPr>
          <w:spacing w:val="-9"/>
          <w:sz w:val="24"/>
          <w:szCs w:val="24"/>
        </w:rPr>
        <w:t xml:space="preserve"> </w:t>
      </w:r>
      <w:r>
        <w:rPr>
          <w:rFonts w:ascii="黑体" w:hAnsi="黑体" w:eastAsia="黑体" w:cs="黑体"/>
          <w:b/>
          <w:bCs/>
          <w:spacing w:val="-9"/>
          <w:sz w:val="24"/>
          <w:szCs w:val="24"/>
        </w:rPr>
        <w:t>人员工伤事故的保险</w:t>
      </w:r>
    </w:p>
    <w:p w14:paraId="79A3F4DE">
      <w:pPr>
        <w:spacing w:before="132" w:line="221" w:lineRule="auto"/>
        <w:ind w:left="422"/>
        <w:rPr>
          <w:rFonts w:ascii="黑体" w:hAnsi="黑体" w:eastAsia="黑体" w:cs="黑体"/>
          <w:sz w:val="20"/>
          <w:szCs w:val="20"/>
        </w:rPr>
      </w:pPr>
      <w:r>
        <w:rPr>
          <w:rFonts w:ascii="黑体" w:hAnsi="黑体" w:eastAsia="黑体" w:cs="黑体"/>
          <w:b/>
          <w:bCs/>
          <w:spacing w:val="4"/>
          <w:sz w:val="20"/>
          <w:szCs w:val="20"/>
        </w:rPr>
        <w:t>20.2.1承包人员工伤事故的保险</w:t>
      </w:r>
    </w:p>
    <w:p w14:paraId="6B64BC39">
      <w:pPr>
        <w:pStyle w:val="2"/>
        <w:spacing w:before="134" w:line="349" w:lineRule="auto"/>
        <w:ind w:right="61" w:firstLine="419"/>
        <w:rPr>
          <w:sz w:val="20"/>
          <w:szCs w:val="20"/>
        </w:rPr>
      </w:pPr>
      <w:r>
        <w:rPr>
          <w:spacing w:val="12"/>
          <w:sz w:val="20"/>
          <w:szCs w:val="20"/>
        </w:rPr>
        <w:t>承包人应依照有关法律规定参加工伤保险，为其履行合同所雇佣的全部人员，缴纳工</w:t>
      </w:r>
      <w:r>
        <w:rPr>
          <w:spacing w:val="11"/>
          <w:sz w:val="20"/>
          <w:szCs w:val="20"/>
        </w:rPr>
        <w:t>伤保险</w:t>
      </w:r>
      <w:r>
        <w:rPr>
          <w:sz w:val="20"/>
          <w:szCs w:val="20"/>
        </w:rPr>
        <w:t xml:space="preserve"> </w:t>
      </w:r>
      <w:r>
        <w:rPr>
          <w:spacing w:val="7"/>
          <w:sz w:val="20"/>
          <w:szCs w:val="20"/>
        </w:rPr>
        <w:t>费，并要求其分包人也进行此项保险。</w:t>
      </w:r>
    </w:p>
    <w:p w14:paraId="0713B2F1">
      <w:pPr>
        <w:spacing w:line="220" w:lineRule="auto"/>
        <w:ind w:left="422"/>
        <w:rPr>
          <w:rFonts w:ascii="黑体" w:hAnsi="黑体" w:eastAsia="黑体" w:cs="黑体"/>
          <w:sz w:val="20"/>
          <w:szCs w:val="20"/>
        </w:rPr>
      </w:pPr>
      <w:r>
        <w:rPr>
          <w:rFonts w:ascii="黑体" w:hAnsi="黑体" w:eastAsia="黑体" w:cs="黑体"/>
          <w:b/>
          <w:bCs/>
          <w:spacing w:val="4"/>
          <w:sz w:val="20"/>
          <w:szCs w:val="20"/>
        </w:rPr>
        <w:t>20.2.2发包人员工伤事故的保险</w:t>
      </w:r>
    </w:p>
    <w:p w14:paraId="77A71B5C">
      <w:pPr>
        <w:pStyle w:val="2"/>
        <w:spacing w:before="163" w:line="336" w:lineRule="auto"/>
        <w:ind w:firstLine="419"/>
        <w:rPr>
          <w:sz w:val="20"/>
          <w:szCs w:val="20"/>
        </w:rPr>
      </w:pPr>
      <w:r>
        <w:rPr>
          <w:spacing w:val="8"/>
          <w:sz w:val="20"/>
          <w:szCs w:val="20"/>
        </w:rPr>
        <w:t>发包人应依照有关法律规定参加工伤保险，为其现场机构雇佣的全部人员，缴纳工伤保险费，</w:t>
      </w:r>
      <w:r>
        <w:rPr>
          <w:spacing w:val="11"/>
          <w:sz w:val="20"/>
          <w:szCs w:val="20"/>
        </w:rPr>
        <w:t xml:space="preserve"> </w:t>
      </w:r>
      <w:r>
        <w:rPr>
          <w:spacing w:val="7"/>
          <w:sz w:val="20"/>
          <w:szCs w:val="20"/>
        </w:rPr>
        <w:t>并要求其监理人也进行此项保险。</w:t>
      </w:r>
    </w:p>
    <w:p w14:paraId="29FC731B">
      <w:pPr>
        <w:pStyle w:val="2"/>
        <w:spacing w:before="1" w:line="220" w:lineRule="auto"/>
        <w:ind w:left="2"/>
        <w:rPr>
          <w:rFonts w:ascii="黑体" w:hAnsi="黑体" w:eastAsia="黑体" w:cs="黑体"/>
          <w:sz w:val="24"/>
          <w:szCs w:val="24"/>
        </w:rPr>
      </w:pPr>
      <w:r>
        <w:rPr>
          <w:b/>
          <w:bCs/>
          <w:spacing w:val="-10"/>
          <w:sz w:val="24"/>
          <w:szCs w:val="24"/>
        </w:rPr>
        <w:t>20.3</w:t>
      </w:r>
      <w:r>
        <w:rPr>
          <w:spacing w:val="-10"/>
          <w:sz w:val="24"/>
          <w:szCs w:val="24"/>
        </w:rPr>
        <w:t xml:space="preserve"> </w:t>
      </w:r>
      <w:r>
        <w:rPr>
          <w:rFonts w:ascii="黑体" w:hAnsi="黑体" w:eastAsia="黑体" w:cs="黑体"/>
          <w:b/>
          <w:bCs/>
          <w:spacing w:val="-10"/>
          <w:sz w:val="24"/>
          <w:szCs w:val="24"/>
        </w:rPr>
        <w:t>人身意外伤害险</w:t>
      </w:r>
    </w:p>
    <w:p w14:paraId="195878F0">
      <w:pPr>
        <w:pStyle w:val="2"/>
        <w:spacing w:before="156" w:line="276" w:lineRule="auto"/>
        <w:ind w:right="56" w:firstLine="419"/>
        <w:rPr>
          <w:sz w:val="20"/>
          <w:szCs w:val="20"/>
        </w:rPr>
      </w:pPr>
      <w:r>
        <w:rPr>
          <w:spacing w:val="9"/>
          <w:sz w:val="20"/>
          <w:szCs w:val="20"/>
        </w:rPr>
        <w:t>20.3.1 发包人应在整个施工期间为其现场机构雇用的全部人</w:t>
      </w:r>
      <w:r>
        <w:rPr>
          <w:spacing w:val="8"/>
          <w:sz w:val="20"/>
          <w:szCs w:val="20"/>
        </w:rPr>
        <w:t>员，投保人身意外伤害险，缴纳</w:t>
      </w:r>
      <w:r>
        <w:rPr>
          <w:sz w:val="20"/>
          <w:szCs w:val="20"/>
        </w:rPr>
        <w:t xml:space="preserve"> </w:t>
      </w:r>
      <w:r>
        <w:rPr>
          <w:spacing w:val="8"/>
          <w:sz w:val="20"/>
          <w:szCs w:val="20"/>
        </w:rPr>
        <w:t>保险费，并要求其监理人也进行此项保险。</w:t>
      </w:r>
    </w:p>
    <w:p w14:paraId="28AAE7BB">
      <w:pPr>
        <w:pStyle w:val="2"/>
        <w:spacing w:before="152" w:line="285" w:lineRule="auto"/>
        <w:ind w:right="57" w:firstLine="419"/>
        <w:rPr>
          <w:sz w:val="20"/>
          <w:szCs w:val="20"/>
        </w:rPr>
      </w:pPr>
      <w:r>
        <w:rPr>
          <w:spacing w:val="9"/>
          <w:sz w:val="20"/>
          <w:szCs w:val="20"/>
        </w:rPr>
        <w:t>20.3.2 承包人应在整个施工期间为其现场机构雇用的全部</w:t>
      </w:r>
      <w:r>
        <w:rPr>
          <w:spacing w:val="8"/>
          <w:sz w:val="20"/>
          <w:szCs w:val="20"/>
        </w:rPr>
        <w:t>人员，投保人身意外伤害险，缴纳</w:t>
      </w:r>
      <w:r>
        <w:rPr>
          <w:sz w:val="20"/>
          <w:szCs w:val="20"/>
        </w:rPr>
        <w:t xml:space="preserve"> </w:t>
      </w:r>
      <w:r>
        <w:rPr>
          <w:spacing w:val="8"/>
          <w:sz w:val="20"/>
          <w:szCs w:val="20"/>
        </w:rPr>
        <w:t>保险费，并要求其分包人也进行此项保险。</w:t>
      </w:r>
    </w:p>
    <w:p w14:paraId="245DC00A">
      <w:pPr>
        <w:pStyle w:val="2"/>
        <w:spacing w:before="99" w:line="221" w:lineRule="auto"/>
        <w:ind w:left="2"/>
        <w:rPr>
          <w:rFonts w:ascii="黑体" w:hAnsi="黑体" w:eastAsia="黑体" w:cs="黑体"/>
          <w:sz w:val="24"/>
          <w:szCs w:val="24"/>
        </w:rPr>
      </w:pPr>
      <w:r>
        <w:rPr>
          <w:b/>
          <w:bCs/>
          <w:spacing w:val="-10"/>
          <w:sz w:val="24"/>
          <w:szCs w:val="24"/>
        </w:rPr>
        <w:t>20.4</w:t>
      </w:r>
      <w:r>
        <w:rPr>
          <w:spacing w:val="-10"/>
          <w:sz w:val="24"/>
          <w:szCs w:val="24"/>
        </w:rPr>
        <w:t xml:space="preserve"> </w:t>
      </w:r>
      <w:r>
        <w:rPr>
          <w:rFonts w:ascii="黑体" w:hAnsi="黑体" w:eastAsia="黑体" w:cs="黑体"/>
          <w:b/>
          <w:bCs/>
          <w:spacing w:val="-10"/>
          <w:sz w:val="24"/>
          <w:szCs w:val="24"/>
        </w:rPr>
        <w:t>第三者责任险</w:t>
      </w:r>
    </w:p>
    <w:p w14:paraId="437DEED7">
      <w:pPr>
        <w:pStyle w:val="2"/>
        <w:spacing w:before="145" w:line="307" w:lineRule="auto"/>
        <w:ind w:right="54" w:firstLine="419"/>
        <w:rPr>
          <w:sz w:val="20"/>
          <w:szCs w:val="20"/>
        </w:rPr>
      </w:pPr>
      <w:r>
        <w:rPr>
          <w:spacing w:val="9"/>
          <w:sz w:val="20"/>
          <w:szCs w:val="20"/>
        </w:rPr>
        <w:t>20.4.1 第三者责任系指在保险期内，对因工程意外事</w:t>
      </w:r>
      <w:r>
        <w:rPr>
          <w:spacing w:val="8"/>
          <w:sz w:val="20"/>
          <w:szCs w:val="20"/>
        </w:rPr>
        <w:t>故造成的、依法应由被保险人负责的工</w:t>
      </w:r>
      <w:r>
        <w:rPr>
          <w:sz w:val="20"/>
          <w:szCs w:val="20"/>
        </w:rPr>
        <w:t xml:space="preserve"> </w:t>
      </w:r>
      <w:r>
        <w:rPr>
          <w:spacing w:val="14"/>
          <w:sz w:val="20"/>
          <w:szCs w:val="20"/>
        </w:rPr>
        <w:t>地上及毗邻地区的第三者人身伤亡、疾病或财产损失(本工程除外),以及被保险人因此而支付的</w:t>
      </w:r>
      <w:r>
        <w:rPr>
          <w:spacing w:val="2"/>
          <w:sz w:val="20"/>
          <w:szCs w:val="20"/>
        </w:rPr>
        <w:t xml:space="preserve"> </w:t>
      </w:r>
      <w:r>
        <w:rPr>
          <w:spacing w:val="9"/>
          <w:sz w:val="20"/>
          <w:szCs w:val="20"/>
        </w:rPr>
        <w:t>诉讼费用和事先经保险人书面同意支付的其他费用等赔</w:t>
      </w:r>
      <w:r>
        <w:rPr>
          <w:spacing w:val="8"/>
          <w:sz w:val="20"/>
          <w:szCs w:val="20"/>
        </w:rPr>
        <w:t>偿责任。</w:t>
      </w:r>
    </w:p>
    <w:p w14:paraId="03B3229E">
      <w:pPr>
        <w:pStyle w:val="2"/>
        <w:spacing w:before="162" w:line="281" w:lineRule="auto"/>
        <w:ind w:right="20" w:firstLine="419"/>
        <w:rPr>
          <w:sz w:val="20"/>
          <w:szCs w:val="20"/>
        </w:rPr>
      </w:pPr>
      <w:r>
        <w:rPr>
          <w:spacing w:val="5"/>
          <w:sz w:val="20"/>
          <w:szCs w:val="20"/>
        </w:rPr>
        <w:t>20.4.2 在缺陷责任期终止证书颁发前，承包人应以承</w:t>
      </w:r>
      <w:r>
        <w:rPr>
          <w:spacing w:val="4"/>
          <w:sz w:val="20"/>
          <w:szCs w:val="20"/>
        </w:rPr>
        <w:t>包人和发包人的共同名义，投保第20.4.1</w:t>
      </w:r>
      <w:r>
        <w:rPr>
          <w:sz w:val="20"/>
          <w:szCs w:val="20"/>
        </w:rPr>
        <w:t xml:space="preserve"> </w:t>
      </w:r>
      <w:r>
        <w:rPr>
          <w:spacing w:val="9"/>
          <w:sz w:val="20"/>
          <w:szCs w:val="20"/>
        </w:rPr>
        <w:t>项约定的第三者责任险，其保险费率、保险金额等有关内容在专用合同条款中约定。</w:t>
      </w:r>
    </w:p>
    <w:p w14:paraId="6DF220AE">
      <w:pPr>
        <w:pStyle w:val="2"/>
        <w:spacing w:before="111" w:line="222" w:lineRule="auto"/>
        <w:ind w:left="2"/>
        <w:rPr>
          <w:rFonts w:ascii="黑体" w:hAnsi="黑体" w:eastAsia="黑体" w:cs="黑体"/>
          <w:sz w:val="24"/>
          <w:szCs w:val="24"/>
        </w:rPr>
      </w:pPr>
      <w:r>
        <w:rPr>
          <w:b/>
          <w:bCs/>
          <w:spacing w:val="-13"/>
          <w:sz w:val="24"/>
          <w:szCs w:val="24"/>
        </w:rPr>
        <w:t>20.5</w:t>
      </w:r>
      <w:r>
        <w:rPr>
          <w:spacing w:val="34"/>
          <w:sz w:val="24"/>
          <w:szCs w:val="24"/>
        </w:rPr>
        <w:t xml:space="preserve"> </w:t>
      </w:r>
      <w:r>
        <w:rPr>
          <w:rFonts w:ascii="黑体" w:hAnsi="黑体" w:eastAsia="黑体" w:cs="黑体"/>
          <w:b/>
          <w:bCs/>
          <w:spacing w:val="-13"/>
          <w:sz w:val="24"/>
          <w:szCs w:val="24"/>
        </w:rPr>
        <w:t>其他保险</w:t>
      </w:r>
    </w:p>
    <w:p w14:paraId="5EC9C65D">
      <w:pPr>
        <w:pStyle w:val="2"/>
        <w:spacing w:before="142" w:line="219" w:lineRule="auto"/>
        <w:ind w:left="419"/>
        <w:rPr>
          <w:sz w:val="20"/>
          <w:szCs w:val="20"/>
        </w:rPr>
      </w:pPr>
      <w:r>
        <w:rPr>
          <w:spacing w:val="10"/>
          <w:sz w:val="20"/>
          <w:szCs w:val="20"/>
        </w:rPr>
        <w:t>除专用合同条款另有约定外，承包人应为其施工设备、进场的材</w:t>
      </w:r>
      <w:r>
        <w:rPr>
          <w:spacing w:val="9"/>
          <w:sz w:val="20"/>
          <w:szCs w:val="20"/>
        </w:rPr>
        <w:t>料和工程设备等办理保险。</w:t>
      </w:r>
    </w:p>
    <w:p w14:paraId="53E98786">
      <w:pPr>
        <w:spacing w:before="100" w:line="221" w:lineRule="auto"/>
        <w:ind w:left="3"/>
        <w:rPr>
          <w:rFonts w:ascii="黑体" w:hAnsi="黑体" w:eastAsia="黑体" w:cs="黑体"/>
          <w:sz w:val="24"/>
          <w:szCs w:val="24"/>
        </w:rPr>
      </w:pPr>
      <w:r>
        <w:rPr>
          <w:rFonts w:ascii="黑体" w:hAnsi="黑体" w:eastAsia="黑体" w:cs="黑体"/>
          <w:b/>
          <w:bCs/>
          <w:spacing w:val="1"/>
          <w:sz w:val="24"/>
          <w:szCs w:val="24"/>
        </w:rPr>
        <w:t>20.6对各项保险的一般要求</w:t>
      </w:r>
    </w:p>
    <w:p w14:paraId="1F47CB15">
      <w:pPr>
        <w:spacing w:before="152" w:line="221" w:lineRule="auto"/>
        <w:ind w:left="422"/>
        <w:rPr>
          <w:rFonts w:ascii="黑体" w:hAnsi="黑体" w:eastAsia="黑体" w:cs="黑体"/>
          <w:sz w:val="20"/>
          <w:szCs w:val="20"/>
        </w:rPr>
      </w:pPr>
      <w:r>
        <w:rPr>
          <w:rFonts w:ascii="黑体" w:hAnsi="黑体" w:eastAsia="黑体" w:cs="黑体"/>
          <w:b/>
          <w:bCs/>
          <w:spacing w:val="5"/>
          <w:sz w:val="20"/>
          <w:szCs w:val="20"/>
        </w:rPr>
        <w:t>20.6.1保险凭证</w:t>
      </w:r>
    </w:p>
    <w:p w14:paraId="2EEB1C94">
      <w:pPr>
        <w:pStyle w:val="2"/>
        <w:spacing w:before="124" w:line="359" w:lineRule="auto"/>
        <w:ind w:right="33" w:firstLine="419"/>
        <w:rPr>
          <w:sz w:val="20"/>
          <w:szCs w:val="20"/>
        </w:rPr>
      </w:pPr>
      <w:r>
        <w:rPr>
          <w:spacing w:val="13"/>
          <w:sz w:val="20"/>
          <w:szCs w:val="20"/>
        </w:rPr>
        <w:t>承包人应在专用合同条款约定的期限内向发包人提交各项保</w:t>
      </w:r>
      <w:r>
        <w:rPr>
          <w:spacing w:val="12"/>
          <w:sz w:val="20"/>
          <w:szCs w:val="20"/>
        </w:rPr>
        <w:t>险生效的证据和保险单副本，保</w:t>
      </w:r>
      <w:r>
        <w:rPr>
          <w:sz w:val="20"/>
          <w:szCs w:val="20"/>
        </w:rPr>
        <w:t xml:space="preserve"> </w:t>
      </w:r>
      <w:r>
        <w:rPr>
          <w:spacing w:val="8"/>
          <w:sz w:val="20"/>
          <w:szCs w:val="20"/>
        </w:rPr>
        <w:t>险单必须与专用合同条款约定的条件保持一致。</w:t>
      </w:r>
    </w:p>
    <w:p w14:paraId="2E28FDB6">
      <w:pPr>
        <w:pStyle w:val="2"/>
        <w:spacing w:line="221" w:lineRule="auto"/>
        <w:ind w:left="422"/>
        <w:rPr>
          <w:rFonts w:ascii="黑体" w:hAnsi="黑体" w:eastAsia="黑体" w:cs="黑体"/>
          <w:sz w:val="20"/>
          <w:szCs w:val="20"/>
        </w:rPr>
      </w:pPr>
      <w:r>
        <w:rPr>
          <w:b/>
          <w:bCs/>
          <w:spacing w:val="-1"/>
          <w:sz w:val="20"/>
          <w:szCs w:val="20"/>
        </w:rPr>
        <w:t>20.6.2</w:t>
      </w:r>
      <w:r>
        <w:rPr>
          <w:spacing w:val="-1"/>
          <w:sz w:val="20"/>
          <w:szCs w:val="20"/>
        </w:rPr>
        <w:t xml:space="preserve"> </w:t>
      </w:r>
      <w:r>
        <w:rPr>
          <w:rFonts w:ascii="黑体" w:hAnsi="黑体" w:eastAsia="黑体" w:cs="黑体"/>
          <w:b/>
          <w:bCs/>
          <w:spacing w:val="-1"/>
          <w:sz w:val="20"/>
          <w:szCs w:val="20"/>
        </w:rPr>
        <w:t>保险合同条款的变动</w:t>
      </w:r>
    </w:p>
    <w:p w14:paraId="7DDE26E3">
      <w:pPr>
        <w:pStyle w:val="2"/>
        <w:spacing w:before="143" w:line="344" w:lineRule="auto"/>
        <w:ind w:right="56" w:firstLine="419"/>
        <w:rPr>
          <w:sz w:val="20"/>
          <w:szCs w:val="20"/>
        </w:rPr>
      </w:pPr>
      <w:r>
        <w:rPr>
          <w:spacing w:val="12"/>
          <w:sz w:val="20"/>
          <w:szCs w:val="20"/>
        </w:rPr>
        <w:t>承包人需要变动保险合同条款时，应事先征得发包人同意，并通知监理人。保险人作出变动</w:t>
      </w:r>
      <w:r>
        <w:rPr>
          <w:spacing w:val="3"/>
          <w:sz w:val="20"/>
          <w:szCs w:val="20"/>
        </w:rPr>
        <w:t xml:space="preserve"> </w:t>
      </w:r>
      <w:r>
        <w:rPr>
          <w:spacing w:val="9"/>
          <w:sz w:val="20"/>
          <w:szCs w:val="20"/>
        </w:rPr>
        <w:t>的，承包人应在收到保险人通知后立即通知发包人和</w:t>
      </w:r>
      <w:r>
        <w:rPr>
          <w:spacing w:val="8"/>
          <w:sz w:val="20"/>
          <w:szCs w:val="20"/>
        </w:rPr>
        <w:t>监理人。</w:t>
      </w:r>
    </w:p>
    <w:p w14:paraId="47FAC56F">
      <w:pPr>
        <w:spacing w:before="13" w:line="222" w:lineRule="auto"/>
        <w:ind w:left="422"/>
        <w:rPr>
          <w:rFonts w:ascii="黑体" w:hAnsi="黑体" w:eastAsia="黑体" w:cs="黑体"/>
          <w:sz w:val="20"/>
          <w:szCs w:val="20"/>
        </w:rPr>
      </w:pPr>
      <w:r>
        <w:rPr>
          <w:rFonts w:ascii="黑体" w:hAnsi="黑体" w:eastAsia="黑体" w:cs="黑体"/>
          <w:b/>
          <w:bCs/>
          <w:spacing w:val="2"/>
          <w:sz w:val="20"/>
          <w:szCs w:val="20"/>
        </w:rPr>
        <w:t>20.6.3持续保险</w:t>
      </w:r>
    </w:p>
    <w:p w14:paraId="7B00CD80">
      <w:pPr>
        <w:pStyle w:val="2"/>
        <w:spacing w:before="121" w:line="359" w:lineRule="auto"/>
        <w:ind w:right="52" w:firstLine="419"/>
        <w:rPr>
          <w:sz w:val="20"/>
          <w:szCs w:val="20"/>
        </w:rPr>
      </w:pPr>
      <w:r>
        <w:rPr>
          <w:spacing w:val="12"/>
          <w:sz w:val="20"/>
          <w:szCs w:val="20"/>
        </w:rPr>
        <w:t>承包人应与保险人保持联系，使保险人能够随时了解工程实施中的变动，并确保按保险合同</w:t>
      </w:r>
      <w:r>
        <w:rPr>
          <w:spacing w:val="7"/>
          <w:sz w:val="20"/>
          <w:szCs w:val="20"/>
        </w:rPr>
        <w:t xml:space="preserve"> </w:t>
      </w:r>
      <w:r>
        <w:rPr>
          <w:spacing w:val="4"/>
          <w:sz w:val="20"/>
          <w:szCs w:val="20"/>
        </w:rPr>
        <w:t>条款要求持续保险。</w:t>
      </w:r>
    </w:p>
    <w:p w14:paraId="0D343275">
      <w:pPr>
        <w:pStyle w:val="2"/>
        <w:spacing w:before="1" w:line="222" w:lineRule="auto"/>
        <w:ind w:left="422"/>
        <w:rPr>
          <w:rFonts w:ascii="黑体" w:hAnsi="黑体" w:eastAsia="黑体" w:cs="黑体"/>
          <w:sz w:val="20"/>
          <w:szCs w:val="20"/>
        </w:rPr>
      </w:pPr>
      <w:r>
        <w:rPr>
          <w:b/>
          <w:bCs/>
          <w:spacing w:val="-3"/>
          <w:sz w:val="20"/>
          <w:szCs w:val="20"/>
        </w:rPr>
        <w:t>20.6.4</w:t>
      </w:r>
      <w:r>
        <w:rPr>
          <w:spacing w:val="-3"/>
          <w:sz w:val="20"/>
          <w:szCs w:val="20"/>
        </w:rPr>
        <w:t xml:space="preserve"> </w:t>
      </w:r>
      <w:r>
        <w:rPr>
          <w:rFonts w:ascii="黑体" w:hAnsi="黑体" w:eastAsia="黑体" w:cs="黑体"/>
          <w:b/>
          <w:bCs/>
          <w:spacing w:val="-3"/>
          <w:sz w:val="20"/>
          <w:szCs w:val="20"/>
        </w:rPr>
        <w:t>保险金不足的补偿</w:t>
      </w:r>
    </w:p>
    <w:p w14:paraId="2CD323D5">
      <w:pPr>
        <w:pStyle w:val="2"/>
        <w:spacing w:before="132" w:line="219" w:lineRule="auto"/>
        <w:ind w:left="419"/>
        <w:rPr>
          <w:sz w:val="20"/>
          <w:szCs w:val="20"/>
        </w:rPr>
      </w:pPr>
      <w:r>
        <w:rPr>
          <w:spacing w:val="15"/>
          <w:sz w:val="20"/>
          <w:szCs w:val="20"/>
        </w:rPr>
        <w:t>保险金不足以补偿损失的，应由承包人和(或)发包人按合同约定负责补偿。</w:t>
      </w:r>
    </w:p>
    <w:p w14:paraId="3F753297">
      <w:pPr>
        <w:pStyle w:val="2"/>
        <w:spacing w:before="140" w:line="222" w:lineRule="auto"/>
        <w:ind w:left="422"/>
        <w:rPr>
          <w:rFonts w:ascii="黑体" w:hAnsi="黑体" w:eastAsia="黑体" w:cs="黑体"/>
          <w:sz w:val="20"/>
          <w:szCs w:val="20"/>
        </w:rPr>
      </w:pPr>
      <w:r>
        <w:rPr>
          <w:b/>
          <w:bCs/>
          <w:spacing w:val="-2"/>
          <w:sz w:val="20"/>
          <w:szCs w:val="20"/>
        </w:rPr>
        <w:t>20.6.5</w:t>
      </w:r>
      <w:r>
        <w:rPr>
          <w:spacing w:val="-2"/>
          <w:sz w:val="20"/>
          <w:szCs w:val="20"/>
        </w:rPr>
        <w:t xml:space="preserve"> </w:t>
      </w:r>
      <w:r>
        <w:rPr>
          <w:rFonts w:ascii="黑体" w:hAnsi="黑体" w:eastAsia="黑体" w:cs="黑体"/>
          <w:b/>
          <w:bCs/>
          <w:spacing w:val="-2"/>
          <w:sz w:val="20"/>
          <w:szCs w:val="20"/>
        </w:rPr>
        <w:t>未按约定投保的补救</w:t>
      </w:r>
    </w:p>
    <w:p w14:paraId="39A220A1">
      <w:pPr>
        <w:pStyle w:val="2"/>
        <w:spacing w:before="163" w:line="334" w:lineRule="auto"/>
        <w:ind w:right="46" w:firstLine="539"/>
        <w:rPr>
          <w:sz w:val="20"/>
          <w:szCs w:val="20"/>
        </w:rPr>
      </w:pPr>
      <w:r>
        <w:rPr>
          <w:spacing w:val="12"/>
          <w:sz w:val="20"/>
          <w:szCs w:val="20"/>
        </w:rPr>
        <w:t>(1)由于负有投保义务的一方当事人未按合同</w:t>
      </w:r>
      <w:r>
        <w:rPr>
          <w:spacing w:val="11"/>
          <w:sz w:val="20"/>
          <w:szCs w:val="20"/>
        </w:rPr>
        <w:t>约定办理保险，或未能使保险持续有效的，另</w:t>
      </w:r>
      <w:r>
        <w:rPr>
          <w:sz w:val="20"/>
          <w:szCs w:val="20"/>
        </w:rPr>
        <w:t xml:space="preserve"> </w:t>
      </w:r>
      <w:r>
        <w:rPr>
          <w:spacing w:val="8"/>
          <w:sz w:val="20"/>
          <w:szCs w:val="20"/>
        </w:rPr>
        <w:t>一方当事人可代为办理，所需费用由对方当事人承担。</w:t>
      </w:r>
    </w:p>
    <w:p w14:paraId="13E3C8DF">
      <w:pPr>
        <w:spacing w:line="334" w:lineRule="auto"/>
        <w:rPr>
          <w:sz w:val="20"/>
          <w:szCs w:val="20"/>
        </w:rPr>
        <w:sectPr>
          <w:footerReference r:id="rId142" w:type="default"/>
          <w:pgSz w:w="11910" w:h="16840"/>
          <w:pgMar w:top="400" w:right="1499" w:bottom="1016" w:left="1450" w:header="0" w:footer="889" w:gutter="0"/>
          <w:cols w:space="720" w:num="1"/>
        </w:sectPr>
      </w:pPr>
    </w:p>
    <w:p w14:paraId="1018B9F0">
      <w:pPr>
        <w:spacing w:line="264" w:lineRule="auto"/>
        <w:rPr>
          <w:rFonts w:ascii="Arial"/>
          <w:sz w:val="21"/>
        </w:rPr>
      </w:pPr>
    </w:p>
    <w:p w14:paraId="7AAA8DAD">
      <w:pPr>
        <w:spacing w:line="264" w:lineRule="auto"/>
        <w:rPr>
          <w:rFonts w:ascii="Arial"/>
          <w:sz w:val="21"/>
        </w:rPr>
      </w:pPr>
    </w:p>
    <w:p w14:paraId="1DE94F27">
      <w:pPr>
        <w:spacing w:line="264" w:lineRule="auto"/>
        <w:rPr>
          <w:rFonts w:ascii="Arial"/>
          <w:sz w:val="21"/>
        </w:rPr>
      </w:pPr>
    </w:p>
    <w:p w14:paraId="0876FB46">
      <w:pPr>
        <w:spacing w:line="264" w:lineRule="auto"/>
        <w:rPr>
          <w:rFonts w:ascii="Arial"/>
          <w:sz w:val="21"/>
        </w:rPr>
      </w:pPr>
    </w:p>
    <w:p w14:paraId="588E4E96">
      <w:pPr>
        <w:spacing w:line="265" w:lineRule="auto"/>
        <w:rPr>
          <w:rFonts w:ascii="Arial"/>
          <w:sz w:val="21"/>
        </w:rPr>
      </w:pPr>
    </w:p>
    <w:p w14:paraId="1130028C">
      <w:pPr>
        <w:pStyle w:val="2"/>
        <w:spacing w:before="68" w:line="341" w:lineRule="auto"/>
        <w:ind w:firstLine="550"/>
        <w:rPr>
          <w:sz w:val="21"/>
          <w:szCs w:val="21"/>
        </w:rPr>
      </w:pPr>
      <w:r>
        <w:rPr>
          <w:spacing w:val="2"/>
          <w:sz w:val="21"/>
          <w:szCs w:val="21"/>
        </w:rPr>
        <w:t>(2)由于负有投保义务的一方当事人未按合同约定办理某项保险，导致受益人未能得到保险</w:t>
      </w:r>
      <w:r>
        <w:rPr>
          <w:sz w:val="21"/>
          <w:szCs w:val="21"/>
        </w:rPr>
        <w:t xml:space="preserve"> </w:t>
      </w:r>
      <w:r>
        <w:rPr>
          <w:spacing w:val="-1"/>
          <w:sz w:val="21"/>
          <w:szCs w:val="21"/>
        </w:rPr>
        <w:t>人的赔偿，原应从该项保险得到的保险金应由负有投保义务的一方当事人支</w:t>
      </w:r>
      <w:r>
        <w:rPr>
          <w:spacing w:val="-2"/>
          <w:sz w:val="21"/>
          <w:szCs w:val="21"/>
        </w:rPr>
        <w:t>付。</w:t>
      </w:r>
    </w:p>
    <w:p w14:paraId="091B03DB">
      <w:pPr>
        <w:spacing w:line="220" w:lineRule="auto"/>
        <w:ind w:left="422"/>
        <w:rPr>
          <w:rFonts w:ascii="黑体" w:hAnsi="黑体" w:eastAsia="黑体" w:cs="黑体"/>
          <w:sz w:val="21"/>
          <w:szCs w:val="21"/>
        </w:rPr>
      </w:pPr>
      <w:r>
        <w:rPr>
          <w:rFonts w:ascii="黑体" w:hAnsi="黑体" w:eastAsia="黑体" w:cs="黑体"/>
          <w:b/>
          <w:bCs/>
          <w:spacing w:val="-3"/>
          <w:sz w:val="21"/>
          <w:szCs w:val="21"/>
        </w:rPr>
        <w:t>20.6.6报告义务</w:t>
      </w:r>
    </w:p>
    <w:p w14:paraId="3810CD64">
      <w:pPr>
        <w:pStyle w:val="2"/>
        <w:spacing w:before="141" w:line="218" w:lineRule="auto"/>
        <w:ind w:left="419"/>
        <w:rPr>
          <w:sz w:val="21"/>
          <w:szCs w:val="21"/>
        </w:rPr>
      </w:pPr>
      <w:r>
        <w:rPr>
          <w:spacing w:val="-1"/>
          <w:sz w:val="21"/>
          <w:szCs w:val="21"/>
        </w:rPr>
        <w:t>当保险事故发生时，投保人应按照保险单规定的条件和期限及时向保险人报告。</w:t>
      </w:r>
    </w:p>
    <w:p w14:paraId="4F9D22AB">
      <w:pPr>
        <w:pStyle w:val="2"/>
        <w:spacing w:before="181" w:line="221" w:lineRule="auto"/>
        <w:ind w:left="4"/>
        <w:rPr>
          <w:rFonts w:ascii="黑体" w:hAnsi="黑体" w:eastAsia="黑体" w:cs="黑体"/>
          <w:sz w:val="30"/>
          <w:szCs w:val="30"/>
        </w:rPr>
      </w:pPr>
      <w:r>
        <w:rPr>
          <w:b/>
          <w:bCs/>
          <w:sz w:val="30"/>
          <w:szCs w:val="30"/>
        </w:rPr>
        <w:t>21.</w:t>
      </w:r>
      <w:r>
        <w:rPr>
          <w:rFonts w:ascii="黑体" w:hAnsi="黑体" w:eastAsia="黑体" w:cs="黑体"/>
          <w:b/>
          <w:bCs/>
          <w:sz w:val="30"/>
          <w:szCs w:val="30"/>
        </w:rPr>
        <w:t>不可抗力</w:t>
      </w:r>
    </w:p>
    <w:p w14:paraId="29BA1E77">
      <w:pPr>
        <w:pStyle w:val="2"/>
        <w:spacing w:before="69" w:line="221" w:lineRule="auto"/>
        <w:ind w:left="3"/>
        <w:rPr>
          <w:rFonts w:ascii="黑体" w:hAnsi="黑体" w:eastAsia="黑体" w:cs="黑体"/>
          <w:sz w:val="24"/>
          <w:szCs w:val="24"/>
        </w:rPr>
      </w:pPr>
      <w:r>
        <w:rPr>
          <w:b/>
          <w:bCs/>
          <w:spacing w:val="-8"/>
          <w:sz w:val="24"/>
          <w:szCs w:val="24"/>
        </w:rPr>
        <w:t>21.1</w:t>
      </w:r>
      <w:r>
        <w:rPr>
          <w:spacing w:val="-8"/>
          <w:sz w:val="24"/>
          <w:szCs w:val="24"/>
        </w:rPr>
        <w:t xml:space="preserve"> </w:t>
      </w:r>
      <w:r>
        <w:rPr>
          <w:rFonts w:ascii="黑体" w:hAnsi="黑体" w:eastAsia="黑体" w:cs="黑体"/>
          <w:b/>
          <w:bCs/>
          <w:spacing w:val="-8"/>
          <w:sz w:val="24"/>
          <w:szCs w:val="24"/>
        </w:rPr>
        <w:t>不可抗力的确认</w:t>
      </w:r>
    </w:p>
    <w:p w14:paraId="100D6A0B">
      <w:pPr>
        <w:pStyle w:val="2"/>
        <w:spacing w:before="166" w:line="302" w:lineRule="auto"/>
        <w:ind w:right="21" w:firstLine="419"/>
        <w:rPr>
          <w:sz w:val="21"/>
          <w:szCs w:val="21"/>
        </w:rPr>
      </w:pPr>
      <w:r>
        <w:rPr>
          <w:spacing w:val="-1"/>
          <w:sz w:val="21"/>
          <w:szCs w:val="21"/>
        </w:rPr>
        <w:t>21.1.1 不可抗力是指承包人和发包人在订立合同时不可预见，在工程施工过程中不可避免发</w:t>
      </w:r>
      <w:r>
        <w:rPr>
          <w:spacing w:val="17"/>
          <w:sz w:val="21"/>
          <w:szCs w:val="21"/>
        </w:rPr>
        <w:t xml:space="preserve"> </w:t>
      </w:r>
      <w:r>
        <w:rPr>
          <w:spacing w:val="2"/>
          <w:sz w:val="21"/>
          <w:szCs w:val="21"/>
        </w:rPr>
        <w:t>生并不能克服的自然灾害和社会性突发事件，如地震、海啸、瘟疫、水灾、骚乱、暴动、战争和</w:t>
      </w:r>
      <w:r>
        <w:rPr>
          <w:spacing w:val="1"/>
          <w:sz w:val="21"/>
          <w:szCs w:val="21"/>
        </w:rPr>
        <w:t xml:space="preserve"> </w:t>
      </w:r>
      <w:r>
        <w:rPr>
          <w:spacing w:val="-3"/>
          <w:sz w:val="21"/>
          <w:szCs w:val="21"/>
        </w:rPr>
        <w:t>专用合同条款约定的其他情形。</w:t>
      </w:r>
    </w:p>
    <w:p w14:paraId="563CCBA8">
      <w:pPr>
        <w:pStyle w:val="2"/>
        <w:spacing w:before="170" w:line="302" w:lineRule="auto"/>
        <w:ind w:right="11" w:firstLine="419"/>
        <w:rPr>
          <w:sz w:val="21"/>
          <w:szCs w:val="21"/>
        </w:rPr>
      </w:pPr>
      <w:r>
        <w:rPr>
          <w:spacing w:val="-1"/>
          <w:sz w:val="21"/>
          <w:szCs w:val="21"/>
        </w:rPr>
        <w:t>21.1.2 不可抗力发生后，发包人和承包人应及时认真统计所造成的损失，收集不可抗力造成</w:t>
      </w:r>
      <w:r>
        <w:rPr>
          <w:spacing w:val="17"/>
          <w:sz w:val="21"/>
          <w:szCs w:val="21"/>
        </w:rPr>
        <w:t xml:space="preserve"> </w:t>
      </w:r>
      <w:r>
        <w:rPr>
          <w:sz w:val="21"/>
          <w:szCs w:val="21"/>
        </w:rPr>
        <w:t>损失的证据。合同双方对是否属于不可抗力或其损失的意见不一致的，由监理</w:t>
      </w:r>
      <w:r>
        <w:rPr>
          <w:spacing w:val="-1"/>
          <w:sz w:val="21"/>
          <w:szCs w:val="21"/>
        </w:rPr>
        <w:t>人按第3.5款商定或</w:t>
      </w:r>
      <w:r>
        <w:rPr>
          <w:sz w:val="21"/>
          <w:szCs w:val="21"/>
        </w:rPr>
        <w:t xml:space="preserve"> </w:t>
      </w:r>
      <w:r>
        <w:rPr>
          <w:spacing w:val="4"/>
          <w:sz w:val="21"/>
          <w:szCs w:val="21"/>
        </w:rPr>
        <w:t>确定。发生争议时，按第24条的约定办理。</w:t>
      </w:r>
    </w:p>
    <w:p w14:paraId="50382716">
      <w:pPr>
        <w:pStyle w:val="2"/>
        <w:spacing w:before="126" w:line="221" w:lineRule="auto"/>
        <w:ind w:left="2"/>
        <w:rPr>
          <w:rFonts w:ascii="黑体" w:hAnsi="黑体" w:eastAsia="黑体" w:cs="黑体"/>
          <w:sz w:val="24"/>
          <w:szCs w:val="24"/>
        </w:rPr>
      </w:pPr>
      <w:r>
        <w:rPr>
          <w:b/>
          <w:bCs/>
          <w:spacing w:val="-12"/>
          <w:sz w:val="24"/>
          <w:szCs w:val="24"/>
        </w:rPr>
        <w:t>21.2</w:t>
      </w:r>
      <w:r>
        <w:rPr>
          <w:spacing w:val="33"/>
          <w:sz w:val="24"/>
          <w:szCs w:val="24"/>
        </w:rPr>
        <w:t xml:space="preserve"> </w:t>
      </w:r>
      <w:r>
        <w:rPr>
          <w:rFonts w:ascii="黑体" w:hAnsi="黑体" w:eastAsia="黑体" w:cs="黑体"/>
          <w:b/>
          <w:bCs/>
          <w:spacing w:val="-12"/>
          <w:sz w:val="24"/>
          <w:szCs w:val="24"/>
        </w:rPr>
        <w:t>不可抗力的通知</w:t>
      </w:r>
    </w:p>
    <w:p w14:paraId="2D355E3E">
      <w:pPr>
        <w:pStyle w:val="2"/>
        <w:spacing w:before="137" w:line="289" w:lineRule="auto"/>
        <w:ind w:right="19" w:firstLine="419"/>
        <w:rPr>
          <w:sz w:val="21"/>
          <w:szCs w:val="21"/>
        </w:rPr>
      </w:pPr>
      <w:r>
        <w:rPr>
          <w:sz w:val="21"/>
          <w:szCs w:val="21"/>
        </w:rPr>
        <w:t>21.2.1 合同一方当事人遇到不可抗力事件，使其履</w:t>
      </w:r>
      <w:r>
        <w:rPr>
          <w:spacing w:val="-1"/>
          <w:sz w:val="21"/>
          <w:szCs w:val="21"/>
        </w:rPr>
        <w:t>行合同义务受到阻碍时，应立即通知合同</w:t>
      </w:r>
      <w:r>
        <w:rPr>
          <w:sz w:val="21"/>
          <w:szCs w:val="21"/>
        </w:rPr>
        <w:t xml:space="preserve"> </w:t>
      </w:r>
      <w:r>
        <w:rPr>
          <w:spacing w:val="-1"/>
          <w:sz w:val="21"/>
          <w:szCs w:val="21"/>
        </w:rPr>
        <w:t>另一方当事人和监理人，书面说明不可抗力和受阻碍的详细情况，并提供</w:t>
      </w:r>
      <w:r>
        <w:rPr>
          <w:spacing w:val="-2"/>
          <w:sz w:val="21"/>
          <w:szCs w:val="21"/>
        </w:rPr>
        <w:t>必要的证明。</w:t>
      </w:r>
    </w:p>
    <w:p w14:paraId="09DC5164">
      <w:pPr>
        <w:pStyle w:val="2"/>
        <w:spacing w:before="163" w:line="302" w:lineRule="auto"/>
        <w:ind w:right="17" w:firstLine="419"/>
        <w:rPr>
          <w:sz w:val="21"/>
          <w:szCs w:val="21"/>
        </w:rPr>
      </w:pPr>
      <w:r>
        <w:rPr>
          <w:sz w:val="21"/>
          <w:szCs w:val="21"/>
        </w:rPr>
        <w:t>21.2.2 如不可抗力持续发生，合同一方当事人应及时向</w:t>
      </w:r>
      <w:r>
        <w:rPr>
          <w:spacing w:val="-1"/>
          <w:sz w:val="21"/>
          <w:szCs w:val="21"/>
        </w:rPr>
        <w:t>合同另一方当事人和监理人提交中间</w:t>
      </w:r>
      <w:r>
        <w:rPr>
          <w:sz w:val="21"/>
          <w:szCs w:val="21"/>
        </w:rPr>
        <w:t xml:space="preserve"> </w:t>
      </w:r>
      <w:r>
        <w:rPr>
          <w:spacing w:val="2"/>
          <w:sz w:val="21"/>
          <w:szCs w:val="21"/>
        </w:rPr>
        <w:t>报告，说明不可抗力和履行合同受阻的情况，并于不可抗力事件结束后28天内提</w:t>
      </w:r>
      <w:r>
        <w:rPr>
          <w:spacing w:val="1"/>
          <w:sz w:val="21"/>
          <w:szCs w:val="21"/>
        </w:rPr>
        <w:t>交最终报告及有</w:t>
      </w:r>
      <w:r>
        <w:rPr>
          <w:sz w:val="21"/>
          <w:szCs w:val="21"/>
        </w:rPr>
        <w:t xml:space="preserve"> </w:t>
      </w:r>
      <w:r>
        <w:rPr>
          <w:spacing w:val="-8"/>
          <w:sz w:val="21"/>
          <w:szCs w:val="21"/>
        </w:rPr>
        <w:t>关资料。</w:t>
      </w:r>
    </w:p>
    <w:p w14:paraId="4DF53ABD">
      <w:pPr>
        <w:pStyle w:val="2"/>
        <w:spacing w:before="125" w:line="221" w:lineRule="auto"/>
        <w:ind w:left="3"/>
        <w:rPr>
          <w:rFonts w:ascii="黑体" w:hAnsi="黑体" w:eastAsia="黑体" w:cs="黑体"/>
          <w:sz w:val="24"/>
          <w:szCs w:val="24"/>
        </w:rPr>
      </w:pPr>
      <w:r>
        <w:rPr>
          <w:b/>
          <w:bCs/>
          <w:spacing w:val="-8"/>
          <w:sz w:val="24"/>
          <w:szCs w:val="24"/>
        </w:rPr>
        <w:t>21.3</w:t>
      </w:r>
      <w:r>
        <w:rPr>
          <w:spacing w:val="-8"/>
          <w:sz w:val="24"/>
          <w:szCs w:val="24"/>
        </w:rPr>
        <w:t xml:space="preserve"> </w:t>
      </w:r>
      <w:r>
        <w:rPr>
          <w:rFonts w:ascii="黑体" w:hAnsi="黑体" w:eastAsia="黑体" w:cs="黑体"/>
          <w:b/>
          <w:bCs/>
          <w:spacing w:val="-8"/>
          <w:sz w:val="24"/>
          <w:szCs w:val="24"/>
        </w:rPr>
        <w:t>不可抗力后果及其处理</w:t>
      </w:r>
    </w:p>
    <w:p w14:paraId="0A4C4DF0">
      <w:pPr>
        <w:spacing w:before="142" w:line="221" w:lineRule="auto"/>
        <w:ind w:left="422"/>
        <w:rPr>
          <w:rFonts w:ascii="黑体" w:hAnsi="黑体" w:eastAsia="黑体" w:cs="黑体"/>
          <w:sz w:val="21"/>
          <w:szCs w:val="21"/>
        </w:rPr>
      </w:pPr>
      <w:r>
        <w:rPr>
          <w:rFonts w:ascii="黑体" w:hAnsi="黑体" w:eastAsia="黑体" w:cs="黑体"/>
          <w:b/>
          <w:bCs/>
          <w:spacing w:val="-3"/>
          <w:sz w:val="21"/>
          <w:szCs w:val="21"/>
        </w:rPr>
        <w:t>21.3.1不可抗力造成损害的责任</w:t>
      </w:r>
    </w:p>
    <w:p w14:paraId="0EB4AC4B">
      <w:pPr>
        <w:pStyle w:val="2"/>
        <w:spacing w:before="124" w:line="351" w:lineRule="auto"/>
        <w:ind w:right="24" w:firstLine="419"/>
        <w:rPr>
          <w:sz w:val="21"/>
          <w:szCs w:val="21"/>
        </w:rPr>
      </w:pPr>
      <w:r>
        <w:rPr>
          <w:spacing w:val="7"/>
          <w:sz w:val="21"/>
          <w:szCs w:val="21"/>
        </w:rPr>
        <w:t>除专用合同条款另有约定外，不可抗力导致的人员伤亡、财产损失、费用增加和(或)工期</w:t>
      </w:r>
      <w:r>
        <w:rPr>
          <w:spacing w:val="12"/>
          <w:sz w:val="21"/>
          <w:szCs w:val="21"/>
        </w:rPr>
        <w:t xml:space="preserve"> </w:t>
      </w:r>
      <w:r>
        <w:rPr>
          <w:spacing w:val="-3"/>
          <w:sz w:val="21"/>
          <w:szCs w:val="21"/>
        </w:rPr>
        <w:t>延误等后果，由合同双方按以下原则承担：</w:t>
      </w:r>
    </w:p>
    <w:p w14:paraId="759C0DD7">
      <w:pPr>
        <w:pStyle w:val="2"/>
        <w:spacing w:before="1" w:line="294" w:lineRule="auto"/>
        <w:ind w:right="22" w:firstLine="840"/>
        <w:rPr>
          <w:sz w:val="21"/>
          <w:szCs w:val="21"/>
        </w:rPr>
      </w:pPr>
      <w:r>
        <w:rPr>
          <w:spacing w:val="5"/>
          <w:sz w:val="21"/>
          <w:szCs w:val="21"/>
        </w:rPr>
        <w:t>(1)永久工程，包括已运至施工场地的材料和工程设备的损害，以及因工程</w:t>
      </w:r>
      <w:r>
        <w:rPr>
          <w:spacing w:val="4"/>
          <w:sz w:val="21"/>
          <w:szCs w:val="21"/>
        </w:rPr>
        <w:t>损害造成的</w:t>
      </w:r>
      <w:r>
        <w:rPr>
          <w:sz w:val="21"/>
          <w:szCs w:val="21"/>
        </w:rPr>
        <w:t xml:space="preserve"> </w:t>
      </w:r>
      <w:r>
        <w:rPr>
          <w:spacing w:val="-3"/>
          <w:sz w:val="21"/>
          <w:szCs w:val="21"/>
        </w:rPr>
        <w:t>第三者人员伤亡和财产损失由发包人承担；</w:t>
      </w:r>
    </w:p>
    <w:p w14:paraId="5AF37A76">
      <w:pPr>
        <w:pStyle w:val="2"/>
        <w:spacing w:before="161" w:line="219" w:lineRule="auto"/>
        <w:ind w:left="840"/>
        <w:rPr>
          <w:sz w:val="21"/>
          <w:szCs w:val="21"/>
        </w:rPr>
      </w:pPr>
      <w:r>
        <w:rPr>
          <w:spacing w:val="3"/>
          <w:sz w:val="21"/>
          <w:szCs w:val="21"/>
        </w:rPr>
        <w:t>(2)承包人设备的损坏由承包人承担；</w:t>
      </w:r>
    </w:p>
    <w:p w14:paraId="01443FE5">
      <w:pPr>
        <w:pStyle w:val="2"/>
        <w:spacing w:before="141" w:line="219" w:lineRule="auto"/>
        <w:ind w:left="840"/>
        <w:rPr>
          <w:sz w:val="21"/>
          <w:szCs w:val="21"/>
        </w:rPr>
      </w:pPr>
      <w:r>
        <w:rPr>
          <w:spacing w:val="2"/>
          <w:sz w:val="21"/>
          <w:szCs w:val="21"/>
        </w:rPr>
        <w:t>(3)发包人和承包人各自承担其人员伤亡和其他财产损失及其相关费用；</w:t>
      </w:r>
    </w:p>
    <w:p w14:paraId="78F921EB">
      <w:pPr>
        <w:pStyle w:val="2"/>
        <w:spacing w:before="150" w:line="290" w:lineRule="auto"/>
        <w:ind w:right="28" w:firstLine="840"/>
        <w:rPr>
          <w:sz w:val="21"/>
          <w:szCs w:val="21"/>
        </w:rPr>
      </w:pPr>
      <w:r>
        <w:rPr>
          <w:spacing w:val="5"/>
          <w:sz w:val="21"/>
          <w:szCs w:val="21"/>
        </w:rPr>
        <w:t>(4)承包人的停工损失由承包人承担，但停工期间应监理人要</w:t>
      </w:r>
      <w:r>
        <w:rPr>
          <w:spacing w:val="4"/>
          <w:sz w:val="21"/>
          <w:szCs w:val="21"/>
        </w:rPr>
        <w:t>求照管工程和清理、修复</w:t>
      </w:r>
      <w:r>
        <w:rPr>
          <w:sz w:val="21"/>
          <w:szCs w:val="21"/>
        </w:rPr>
        <w:t xml:space="preserve"> </w:t>
      </w:r>
      <w:r>
        <w:rPr>
          <w:spacing w:val="-5"/>
          <w:sz w:val="21"/>
          <w:szCs w:val="21"/>
        </w:rPr>
        <w:t>工程的金额由发包人承担；</w:t>
      </w:r>
    </w:p>
    <w:p w14:paraId="579D74A5">
      <w:pPr>
        <w:pStyle w:val="2"/>
        <w:spacing w:before="142" w:line="280" w:lineRule="auto"/>
        <w:ind w:right="28" w:firstLine="840"/>
        <w:rPr>
          <w:sz w:val="21"/>
          <w:szCs w:val="21"/>
        </w:rPr>
      </w:pPr>
      <w:r>
        <w:rPr>
          <w:spacing w:val="5"/>
          <w:sz w:val="21"/>
          <w:szCs w:val="21"/>
        </w:rPr>
        <w:t>(5)不能按期竣工的，应合理延长工期，承包人不需支付逾期</w:t>
      </w:r>
      <w:r>
        <w:rPr>
          <w:spacing w:val="4"/>
          <w:sz w:val="21"/>
          <w:szCs w:val="21"/>
        </w:rPr>
        <w:t>竣工违约金。发包人要求</w:t>
      </w:r>
      <w:r>
        <w:rPr>
          <w:sz w:val="21"/>
          <w:szCs w:val="21"/>
        </w:rPr>
        <w:t xml:space="preserve"> </w:t>
      </w:r>
      <w:r>
        <w:rPr>
          <w:spacing w:val="-2"/>
          <w:sz w:val="21"/>
          <w:szCs w:val="21"/>
        </w:rPr>
        <w:t>赶工的，承包人应采取赶工措施，赶工费用由发包人承担。</w:t>
      </w:r>
    </w:p>
    <w:p w14:paraId="4F572222">
      <w:pPr>
        <w:spacing w:before="167" w:line="221" w:lineRule="auto"/>
        <w:ind w:left="422"/>
        <w:rPr>
          <w:rFonts w:ascii="黑体" w:hAnsi="黑体" w:eastAsia="黑体" w:cs="黑体"/>
          <w:sz w:val="21"/>
          <w:szCs w:val="21"/>
        </w:rPr>
      </w:pPr>
      <w:r>
        <w:rPr>
          <w:rFonts w:ascii="黑体" w:hAnsi="黑体" w:eastAsia="黑体" w:cs="黑体"/>
          <w:b/>
          <w:bCs/>
          <w:spacing w:val="-3"/>
          <w:sz w:val="21"/>
          <w:szCs w:val="21"/>
        </w:rPr>
        <w:t>21.3.2延迟履行期间发生的不可抗力</w:t>
      </w:r>
    </w:p>
    <w:p w14:paraId="1E75D5AB">
      <w:pPr>
        <w:pStyle w:val="2"/>
        <w:spacing w:before="144" w:line="219" w:lineRule="auto"/>
        <w:ind w:left="419"/>
        <w:rPr>
          <w:sz w:val="21"/>
          <w:szCs w:val="21"/>
        </w:rPr>
      </w:pPr>
      <w:r>
        <w:rPr>
          <w:spacing w:val="-1"/>
          <w:sz w:val="21"/>
          <w:szCs w:val="21"/>
        </w:rPr>
        <w:t>合同一方当事人延迟履行，在延迟履行期间发生不可抗力的，不</w:t>
      </w:r>
      <w:r>
        <w:rPr>
          <w:spacing w:val="-2"/>
          <w:sz w:val="21"/>
          <w:szCs w:val="21"/>
        </w:rPr>
        <w:t>免除其责任。</w:t>
      </w:r>
    </w:p>
    <w:p w14:paraId="381E8BA1">
      <w:pPr>
        <w:spacing w:before="146" w:line="221" w:lineRule="auto"/>
        <w:ind w:left="422"/>
        <w:rPr>
          <w:rFonts w:ascii="黑体" w:hAnsi="黑体" w:eastAsia="黑体" w:cs="黑体"/>
          <w:sz w:val="21"/>
          <w:szCs w:val="21"/>
        </w:rPr>
      </w:pPr>
      <w:r>
        <w:rPr>
          <w:rFonts w:ascii="黑体" w:hAnsi="黑体" w:eastAsia="黑体" w:cs="黑体"/>
          <w:b/>
          <w:bCs/>
          <w:spacing w:val="-3"/>
          <w:sz w:val="21"/>
          <w:szCs w:val="21"/>
        </w:rPr>
        <w:t>21.3.3避免和减少不可抗力损失</w:t>
      </w:r>
    </w:p>
    <w:p w14:paraId="776DEFFE">
      <w:pPr>
        <w:spacing w:line="221" w:lineRule="auto"/>
        <w:rPr>
          <w:rFonts w:ascii="黑体" w:hAnsi="黑体" w:eastAsia="黑体" w:cs="黑体"/>
          <w:sz w:val="21"/>
          <w:szCs w:val="21"/>
        </w:rPr>
        <w:sectPr>
          <w:footerReference r:id="rId143" w:type="default"/>
          <w:pgSz w:w="11910" w:h="16840"/>
          <w:pgMar w:top="400" w:right="1531" w:bottom="1024" w:left="1450" w:header="0" w:footer="889" w:gutter="0"/>
          <w:cols w:space="720" w:num="1"/>
        </w:sectPr>
      </w:pPr>
    </w:p>
    <w:p w14:paraId="5CDA3939">
      <w:pPr>
        <w:spacing w:line="273" w:lineRule="auto"/>
        <w:rPr>
          <w:rFonts w:ascii="Arial"/>
          <w:sz w:val="21"/>
        </w:rPr>
      </w:pPr>
    </w:p>
    <w:p w14:paraId="69A81C39">
      <w:pPr>
        <w:spacing w:line="273" w:lineRule="auto"/>
        <w:rPr>
          <w:rFonts w:ascii="Arial"/>
          <w:sz w:val="21"/>
        </w:rPr>
      </w:pPr>
    </w:p>
    <w:p w14:paraId="4AB0F30D">
      <w:pPr>
        <w:spacing w:line="273" w:lineRule="auto"/>
        <w:rPr>
          <w:rFonts w:ascii="Arial"/>
          <w:sz w:val="21"/>
        </w:rPr>
      </w:pPr>
    </w:p>
    <w:p w14:paraId="001033A2">
      <w:pPr>
        <w:spacing w:line="273" w:lineRule="auto"/>
        <w:rPr>
          <w:rFonts w:ascii="Arial"/>
          <w:sz w:val="21"/>
        </w:rPr>
      </w:pPr>
    </w:p>
    <w:p w14:paraId="47ACBD2F">
      <w:pPr>
        <w:spacing w:line="273" w:lineRule="auto"/>
        <w:rPr>
          <w:rFonts w:ascii="Arial"/>
          <w:sz w:val="21"/>
        </w:rPr>
      </w:pPr>
    </w:p>
    <w:p w14:paraId="21853D8E">
      <w:pPr>
        <w:pStyle w:val="2"/>
        <w:spacing w:before="65" w:line="367" w:lineRule="auto"/>
        <w:ind w:right="109" w:firstLine="429"/>
        <w:rPr>
          <w:sz w:val="20"/>
          <w:szCs w:val="20"/>
        </w:rPr>
      </w:pPr>
      <w:r>
        <w:rPr>
          <w:spacing w:val="12"/>
          <w:sz w:val="20"/>
          <w:szCs w:val="20"/>
        </w:rPr>
        <w:t>不可抗力发生后，发包人和承包人均应采取措施尽量避免和减少损失的扩大，任何一方没有</w:t>
      </w:r>
      <w:r>
        <w:rPr>
          <w:sz w:val="20"/>
          <w:szCs w:val="20"/>
        </w:rPr>
        <w:t xml:space="preserve"> </w:t>
      </w:r>
      <w:r>
        <w:rPr>
          <w:spacing w:val="9"/>
          <w:sz w:val="20"/>
          <w:szCs w:val="20"/>
        </w:rPr>
        <w:t>采取有效措施导致损失扩大的，应对扩大的损</w:t>
      </w:r>
      <w:r>
        <w:rPr>
          <w:spacing w:val="8"/>
          <w:sz w:val="20"/>
          <w:szCs w:val="20"/>
        </w:rPr>
        <w:t>失承担责任。</w:t>
      </w:r>
    </w:p>
    <w:p w14:paraId="600BCC52">
      <w:pPr>
        <w:pStyle w:val="2"/>
        <w:spacing w:line="220" w:lineRule="auto"/>
        <w:ind w:left="432"/>
        <w:rPr>
          <w:rFonts w:ascii="黑体" w:hAnsi="黑体" w:eastAsia="黑体" w:cs="黑体"/>
          <w:sz w:val="20"/>
          <w:szCs w:val="20"/>
        </w:rPr>
      </w:pPr>
      <w:r>
        <w:rPr>
          <w:b/>
          <w:bCs/>
          <w:spacing w:val="-1"/>
          <w:sz w:val="20"/>
          <w:szCs w:val="20"/>
        </w:rPr>
        <w:t>21.3.4</w:t>
      </w:r>
      <w:r>
        <w:rPr>
          <w:spacing w:val="-1"/>
          <w:sz w:val="20"/>
          <w:szCs w:val="20"/>
        </w:rPr>
        <w:t xml:space="preserve"> </w:t>
      </w:r>
      <w:r>
        <w:rPr>
          <w:rFonts w:ascii="黑体" w:hAnsi="黑体" w:eastAsia="黑体" w:cs="黑体"/>
          <w:b/>
          <w:bCs/>
          <w:spacing w:val="-1"/>
          <w:sz w:val="20"/>
          <w:szCs w:val="20"/>
        </w:rPr>
        <w:t>因不可抗力解除合同</w:t>
      </w:r>
    </w:p>
    <w:p w14:paraId="0F312D49">
      <w:pPr>
        <w:pStyle w:val="2"/>
        <w:spacing w:before="146" w:line="370" w:lineRule="auto"/>
        <w:ind w:firstLine="429"/>
        <w:jc w:val="both"/>
        <w:rPr>
          <w:sz w:val="20"/>
          <w:szCs w:val="20"/>
        </w:rPr>
      </w:pPr>
      <w:r>
        <w:rPr>
          <w:spacing w:val="12"/>
          <w:sz w:val="20"/>
          <w:szCs w:val="20"/>
        </w:rPr>
        <w:t>合同一方当事人因不可抗力不能履行合同的，应当及时通知对方解除合同。合同解除后</w:t>
      </w:r>
      <w:r>
        <w:rPr>
          <w:spacing w:val="11"/>
          <w:sz w:val="20"/>
          <w:szCs w:val="20"/>
        </w:rPr>
        <w:t>，承</w:t>
      </w:r>
      <w:r>
        <w:rPr>
          <w:sz w:val="20"/>
          <w:szCs w:val="20"/>
        </w:rPr>
        <w:t xml:space="preserve">  </w:t>
      </w:r>
      <w:r>
        <w:rPr>
          <w:spacing w:val="12"/>
          <w:sz w:val="20"/>
          <w:szCs w:val="20"/>
        </w:rPr>
        <w:t>包人应按照第22.2.5项约定撤离施工场地。已经订货的材料、设备由订货方负责退</w:t>
      </w:r>
      <w:r>
        <w:rPr>
          <w:spacing w:val="11"/>
          <w:sz w:val="20"/>
          <w:szCs w:val="20"/>
        </w:rPr>
        <w:t>货或解除订货</w:t>
      </w:r>
      <w:r>
        <w:rPr>
          <w:sz w:val="20"/>
          <w:szCs w:val="20"/>
        </w:rPr>
        <w:t xml:space="preserve">  </w:t>
      </w:r>
      <w:r>
        <w:rPr>
          <w:spacing w:val="12"/>
          <w:sz w:val="20"/>
          <w:szCs w:val="20"/>
        </w:rPr>
        <w:t>合同，不能退还的货款和因退货、解除订货合同发生的费用，由发包人承担，因未及时退货造成</w:t>
      </w:r>
      <w:r>
        <w:rPr>
          <w:spacing w:val="2"/>
          <w:sz w:val="20"/>
          <w:szCs w:val="20"/>
        </w:rPr>
        <w:t xml:space="preserve">  </w:t>
      </w:r>
      <w:r>
        <w:rPr>
          <w:spacing w:val="7"/>
          <w:sz w:val="20"/>
          <w:szCs w:val="20"/>
        </w:rPr>
        <w:t>的损失由责任方承担。合同解除后的付款，参照第22.2.4项约</w:t>
      </w:r>
      <w:r>
        <w:rPr>
          <w:spacing w:val="6"/>
          <w:sz w:val="20"/>
          <w:szCs w:val="20"/>
        </w:rPr>
        <w:t>定，由监理人按第3.5款商定或确定。</w:t>
      </w:r>
    </w:p>
    <w:p w14:paraId="7D1878CA">
      <w:pPr>
        <w:pStyle w:val="2"/>
        <w:spacing w:before="36" w:line="223" w:lineRule="auto"/>
        <w:ind w:left="4"/>
        <w:rPr>
          <w:rFonts w:ascii="黑体" w:hAnsi="黑体" w:eastAsia="黑体" w:cs="黑体"/>
          <w:sz w:val="29"/>
          <w:szCs w:val="29"/>
        </w:rPr>
      </w:pPr>
      <w:r>
        <w:rPr>
          <w:b/>
          <w:bCs/>
          <w:spacing w:val="-3"/>
          <w:sz w:val="29"/>
          <w:szCs w:val="29"/>
        </w:rPr>
        <w:t>22.</w:t>
      </w:r>
      <w:r>
        <w:rPr>
          <w:spacing w:val="-75"/>
          <w:sz w:val="29"/>
          <w:szCs w:val="29"/>
        </w:rPr>
        <w:t xml:space="preserve"> </w:t>
      </w:r>
      <w:r>
        <w:rPr>
          <w:rFonts w:ascii="黑体" w:hAnsi="黑体" w:eastAsia="黑体" w:cs="黑体"/>
          <w:b/>
          <w:bCs/>
          <w:spacing w:val="-3"/>
          <w:sz w:val="29"/>
          <w:szCs w:val="29"/>
        </w:rPr>
        <w:t>违约</w:t>
      </w:r>
    </w:p>
    <w:p w14:paraId="5741D761">
      <w:pPr>
        <w:pStyle w:val="2"/>
        <w:spacing w:before="77" w:line="222" w:lineRule="auto"/>
        <w:ind w:left="3"/>
        <w:rPr>
          <w:rFonts w:ascii="黑体" w:hAnsi="黑体" w:eastAsia="黑体" w:cs="黑体"/>
          <w:sz w:val="24"/>
          <w:szCs w:val="24"/>
        </w:rPr>
      </w:pPr>
      <w:r>
        <w:rPr>
          <w:b/>
          <w:bCs/>
          <w:spacing w:val="-9"/>
          <w:sz w:val="24"/>
          <w:szCs w:val="24"/>
        </w:rPr>
        <w:t>22.1</w:t>
      </w:r>
      <w:r>
        <w:rPr>
          <w:spacing w:val="-9"/>
          <w:sz w:val="24"/>
          <w:szCs w:val="24"/>
        </w:rPr>
        <w:t xml:space="preserve"> </w:t>
      </w:r>
      <w:r>
        <w:rPr>
          <w:rFonts w:ascii="黑体" w:hAnsi="黑体" w:eastAsia="黑体" w:cs="黑体"/>
          <w:b/>
          <w:bCs/>
          <w:spacing w:val="-9"/>
          <w:sz w:val="24"/>
          <w:szCs w:val="24"/>
        </w:rPr>
        <w:t>承包人违约</w:t>
      </w:r>
    </w:p>
    <w:p w14:paraId="1193FBA3">
      <w:pPr>
        <w:spacing w:before="170" w:line="222" w:lineRule="auto"/>
        <w:ind w:left="432"/>
        <w:rPr>
          <w:rFonts w:ascii="黑体" w:hAnsi="黑体" w:eastAsia="黑体" w:cs="黑体"/>
          <w:sz w:val="20"/>
          <w:szCs w:val="20"/>
        </w:rPr>
      </w:pPr>
      <w:r>
        <w:rPr>
          <w:rFonts w:ascii="黑体" w:hAnsi="黑体" w:eastAsia="黑体" w:cs="黑体"/>
          <w:b/>
          <w:bCs/>
          <w:spacing w:val="5"/>
          <w:sz w:val="20"/>
          <w:szCs w:val="20"/>
        </w:rPr>
        <w:t>22.1.1承包人违约的情形</w:t>
      </w:r>
    </w:p>
    <w:p w14:paraId="59CD5398">
      <w:pPr>
        <w:pStyle w:val="2"/>
        <w:spacing w:before="152" w:line="219" w:lineRule="auto"/>
        <w:ind w:left="429"/>
        <w:rPr>
          <w:sz w:val="20"/>
          <w:szCs w:val="20"/>
        </w:rPr>
      </w:pPr>
      <w:r>
        <w:rPr>
          <w:spacing w:val="8"/>
          <w:sz w:val="20"/>
          <w:szCs w:val="20"/>
        </w:rPr>
        <w:t>在履行合同过程中发生的下列情况属承包人违约：</w:t>
      </w:r>
    </w:p>
    <w:p w14:paraId="2688A7BF">
      <w:pPr>
        <w:pStyle w:val="2"/>
        <w:spacing w:before="143" w:line="308" w:lineRule="auto"/>
        <w:ind w:firstLine="850"/>
        <w:rPr>
          <w:sz w:val="20"/>
          <w:szCs w:val="20"/>
        </w:rPr>
      </w:pPr>
      <w:r>
        <w:rPr>
          <w:spacing w:val="11"/>
          <w:sz w:val="20"/>
          <w:szCs w:val="20"/>
        </w:rPr>
        <w:t>(1)承包人违反第1.8款或第4.3款的约定，私自将合同的全部或部分权利转让给</w:t>
      </w:r>
      <w:r>
        <w:rPr>
          <w:spacing w:val="10"/>
          <w:sz w:val="20"/>
          <w:szCs w:val="20"/>
        </w:rPr>
        <w:t>其他人，</w:t>
      </w:r>
      <w:r>
        <w:rPr>
          <w:sz w:val="20"/>
          <w:szCs w:val="20"/>
        </w:rPr>
        <w:t xml:space="preserve"> </w:t>
      </w:r>
      <w:r>
        <w:rPr>
          <w:spacing w:val="5"/>
          <w:sz w:val="20"/>
          <w:szCs w:val="20"/>
        </w:rPr>
        <w:t>或私自将合同的全部或部分义务转移给其他人；</w:t>
      </w:r>
    </w:p>
    <w:p w14:paraId="214E7F6F">
      <w:pPr>
        <w:pStyle w:val="2"/>
        <w:spacing w:before="163" w:line="284" w:lineRule="auto"/>
        <w:ind w:right="91" w:firstLine="850"/>
        <w:rPr>
          <w:sz w:val="20"/>
          <w:szCs w:val="20"/>
        </w:rPr>
      </w:pPr>
      <w:r>
        <w:rPr>
          <w:spacing w:val="14"/>
          <w:sz w:val="20"/>
          <w:szCs w:val="20"/>
        </w:rPr>
        <w:t>(2)承包人违反第5.3款或第6.4款的约定，未经监理人批准，</w:t>
      </w:r>
      <w:r>
        <w:rPr>
          <w:spacing w:val="13"/>
          <w:sz w:val="20"/>
          <w:szCs w:val="20"/>
        </w:rPr>
        <w:t>私自将已按合同约定进入</w:t>
      </w:r>
      <w:r>
        <w:rPr>
          <w:sz w:val="20"/>
          <w:szCs w:val="20"/>
        </w:rPr>
        <w:t xml:space="preserve"> </w:t>
      </w:r>
      <w:r>
        <w:rPr>
          <w:spacing w:val="8"/>
          <w:sz w:val="20"/>
          <w:szCs w:val="20"/>
        </w:rPr>
        <w:t>施工场地的施工设备、临时设施或材料撤离施</w:t>
      </w:r>
      <w:r>
        <w:rPr>
          <w:spacing w:val="7"/>
          <w:sz w:val="20"/>
          <w:szCs w:val="20"/>
        </w:rPr>
        <w:t>工场地；</w:t>
      </w:r>
    </w:p>
    <w:p w14:paraId="23BF096E">
      <w:pPr>
        <w:pStyle w:val="2"/>
        <w:spacing w:before="183" w:line="290" w:lineRule="auto"/>
        <w:ind w:firstLine="850"/>
        <w:rPr>
          <w:sz w:val="20"/>
          <w:szCs w:val="20"/>
        </w:rPr>
      </w:pPr>
      <w:r>
        <w:rPr>
          <w:spacing w:val="9"/>
          <w:sz w:val="20"/>
          <w:szCs w:val="20"/>
        </w:rPr>
        <w:t>(3)承包人违反第5.4款的约定使用了不合格材料或工程设备，工程</w:t>
      </w:r>
      <w:r>
        <w:rPr>
          <w:spacing w:val="8"/>
          <w:sz w:val="20"/>
          <w:szCs w:val="20"/>
        </w:rPr>
        <w:t>质量达不到标准要求，</w:t>
      </w:r>
      <w:r>
        <w:rPr>
          <w:sz w:val="20"/>
          <w:szCs w:val="20"/>
        </w:rPr>
        <w:t xml:space="preserve"> </w:t>
      </w:r>
      <w:r>
        <w:rPr>
          <w:spacing w:val="5"/>
          <w:sz w:val="20"/>
          <w:szCs w:val="20"/>
        </w:rPr>
        <w:t>又拒绝清除不合格工程；</w:t>
      </w:r>
    </w:p>
    <w:p w14:paraId="681443F8">
      <w:pPr>
        <w:pStyle w:val="2"/>
        <w:spacing w:before="153" w:line="219" w:lineRule="auto"/>
        <w:jc w:val="right"/>
        <w:rPr>
          <w:sz w:val="20"/>
          <w:szCs w:val="20"/>
        </w:rPr>
      </w:pPr>
      <w:r>
        <w:rPr>
          <w:spacing w:val="12"/>
          <w:sz w:val="20"/>
          <w:szCs w:val="20"/>
        </w:rPr>
        <w:t>(4)承包人未能按合同进度计划及时完成合同约定的工作，已造</w:t>
      </w:r>
      <w:r>
        <w:rPr>
          <w:spacing w:val="11"/>
          <w:sz w:val="20"/>
          <w:szCs w:val="20"/>
        </w:rPr>
        <w:t>成或预期造成工期延误；</w:t>
      </w:r>
    </w:p>
    <w:p w14:paraId="131DAB96">
      <w:pPr>
        <w:pStyle w:val="2"/>
        <w:spacing w:before="181" w:line="295" w:lineRule="auto"/>
        <w:ind w:right="87" w:firstLine="850"/>
        <w:rPr>
          <w:sz w:val="20"/>
          <w:szCs w:val="20"/>
        </w:rPr>
      </w:pPr>
      <w:r>
        <w:rPr>
          <w:spacing w:val="15"/>
          <w:sz w:val="20"/>
          <w:szCs w:val="20"/>
        </w:rPr>
        <w:t>(5)承包人在缺陷责任期内，未能对工程接收证书所列的缺陷清单的内容或缺陷</w:t>
      </w:r>
      <w:r>
        <w:rPr>
          <w:spacing w:val="14"/>
          <w:sz w:val="20"/>
          <w:szCs w:val="20"/>
        </w:rPr>
        <w:t>责任期</w:t>
      </w:r>
      <w:r>
        <w:rPr>
          <w:sz w:val="20"/>
          <w:szCs w:val="20"/>
        </w:rPr>
        <w:t xml:space="preserve"> </w:t>
      </w:r>
      <w:r>
        <w:rPr>
          <w:spacing w:val="8"/>
          <w:sz w:val="20"/>
          <w:szCs w:val="20"/>
        </w:rPr>
        <w:t>内发生的缺陷进行修复，而又拒绝按监理人</w:t>
      </w:r>
      <w:r>
        <w:rPr>
          <w:spacing w:val="7"/>
          <w:sz w:val="20"/>
          <w:szCs w:val="20"/>
        </w:rPr>
        <w:t>指示再进行修补；</w:t>
      </w:r>
    </w:p>
    <w:p w14:paraId="090E7DFD">
      <w:pPr>
        <w:pStyle w:val="2"/>
        <w:spacing w:before="163" w:line="219" w:lineRule="auto"/>
        <w:ind w:left="850"/>
        <w:rPr>
          <w:sz w:val="20"/>
          <w:szCs w:val="20"/>
        </w:rPr>
      </w:pPr>
      <w:r>
        <w:rPr>
          <w:spacing w:val="11"/>
          <w:sz w:val="20"/>
          <w:szCs w:val="20"/>
        </w:rPr>
        <w:t>(6)承包人无法继续履行或明确表示不履行或实质上已停止履行合同；</w:t>
      </w:r>
    </w:p>
    <w:p w14:paraId="4B4DF03D">
      <w:pPr>
        <w:pStyle w:val="2"/>
        <w:spacing w:before="162" w:line="219" w:lineRule="auto"/>
        <w:ind w:left="850"/>
        <w:rPr>
          <w:sz w:val="20"/>
          <w:szCs w:val="20"/>
        </w:rPr>
      </w:pPr>
      <w:r>
        <w:rPr>
          <w:spacing w:val="13"/>
          <w:sz w:val="20"/>
          <w:szCs w:val="20"/>
        </w:rPr>
        <w:t>(7)承包人不按合同约定履行义务的其他情况。</w:t>
      </w:r>
    </w:p>
    <w:p w14:paraId="0CDEE9EA">
      <w:pPr>
        <w:pStyle w:val="2"/>
        <w:spacing w:before="170" w:line="222" w:lineRule="auto"/>
        <w:ind w:left="432"/>
        <w:rPr>
          <w:rFonts w:ascii="黑体" w:hAnsi="黑体" w:eastAsia="黑体" w:cs="黑体"/>
          <w:sz w:val="20"/>
          <w:szCs w:val="20"/>
        </w:rPr>
      </w:pPr>
      <w:r>
        <w:rPr>
          <w:b/>
          <w:bCs/>
          <w:spacing w:val="-2"/>
          <w:sz w:val="20"/>
          <w:szCs w:val="20"/>
        </w:rPr>
        <w:t>22.1.2</w:t>
      </w:r>
      <w:r>
        <w:rPr>
          <w:spacing w:val="-2"/>
          <w:sz w:val="20"/>
          <w:szCs w:val="20"/>
        </w:rPr>
        <w:t xml:space="preserve"> </w:t>
      </w:r>
      <w:r>
        <w:rPr>
          <w:rFonts w:ascii="黑体" w:hAnsi="黑体" w:eastAsia="黑体" w:cs="黑体"/>
          <w:b/>
          <w:bCs/>
          <w:spacing w:val="-2"/>
          <w:sz w:val="20"/>
          <w:szCs w:val="20"/>
        </w:rPr>
        <w:t>对承包人违约的处理</w:t>
      </w:r>
    </w:p>
    <w:p w14:paraId="2FD86A5A">
      <w:pPr>
        <w:pStyle w:val="2"/>
        <w:spacing w:before="153" w:line="294" w:lineRule="auto"/>
        <w:ind w:firstLine="850"/>
        <w:rPr>
          <w:sz w:val="20"/>
          <w:szCs w:val="20"/>
        </w:rPr>
      </w:pPr>
      <w:r>
        <w:rPr>
          <w:spacing w:val="13"/>
          <w:sz w:val="20"/>
          <w:szCs w:val="20"/>
        </w:rPr>
        <w:t>(1)承包人发生第22.1.1(6)目约定的违约情况时，发包人可通知承包人立即解除</w:t>
      </w:r>
      <w:r>
        <w:rPr>
          <w:spacing w:val="12"/>
          <w:sz w:val="20"/>
          <w:szCs w:val="20"/>
        </w:rPr>
        <w:t>合同，</w:t>
      </w:r>
      <w:r>
        <w:rPr>
          <w:sz w:val="20"/>
          <w:szCs w:val="20"/>
        </w:rPr>
        <w:t xml:space="preserve"> </w:t>
      </w:r>
      <w:r>
        <w:rPr>
          <w:spacing w:val="5"/>
          <w:sz w:val="20"/>
          <w:szCs w:val="20"/>
        </w:rPr>
        <w:t>并按有关法律处理。</w:t>
      </w:r>
    </w:p>
    <w:p w14:paraId="58C461CC">
      <w:pPr>
        <w:pStyle w:val="2"/>
        <w:spacing w:before="153" w:line="320" w:lineRule="auto"/>
        <w:ind w:right="75" w:firstLine="850"/>
        <w:rPr>
          <w:sz w:val="20"/>
          <w:szCs w:val="20"/>
        </w:rPr>
      </w:pPr>
      <w:r>
        <w:rPr>
          <w:spacing w:val="14"/>
          <w:sz w:val="20"/>
          <w:szCs w:val="20"/>
        </w:rPr>
        <w:t>(2)承包人发生除第22.</w:t>
      </w:r>
      <w:r>
        <w:rPr>
          <w:spacing w:val="-49"/>
          <w:sz w:val="20"/>
          <w:szCs w:val="20"/>
        </w:rPr>
        <w:t xml:space="preserve"> </w:t>
      </w:r>
      <w:r>
        <w:rPr>
          <w:spacing w:val="14"/>
          <w:sz w:val="20"/>
          <w:szCs w:val="20"/>
        </w:rPr>
        <w:t>1.</w:t>
      </w:r>
      <w:r>
        <w:rPr>
          <w:spacing w:val="-60"/>
          <w:sz w:val="20"/>
          <w:szCs w:val="20"/>
        </w:rPr>
        <w:t xml:space="preserve"> </w:t>
      </w:r>
      <w:r>
        <w:rPr>
          <w:spacing w:val="14"/>
          <w:sz w:val="20"/>
          <w:szCs w:val="20"/>
        </w:rPr>
        <w:t>1(6)目约定以外的其他违约情况时，监理人可向承包人发出</w:t>
      </w:r>
      <w:r>
        <w:rPr>
          <w:sz w:val="20"/>
          <w:szCs w:val="20"/>
        </w:rPr>
        <w:t xml:space="preserve"> </w:t>
      </w:r>
      <w:r>
        <w:rPr>
          <w:spacing w:val="17"/>
          <w:sz w:val="20"/>
          <w:szCs w:val="20"/>
        </w:rPr>
        <w:t>整改通知，要求其在指定的期限内改正。承包人应承担其违约所引起的费用增加和(或)</w:t>
      </w:r>
      <w:r>
        <w:rPr>
          <w:spacing w:val="16"/>
          <w:sz w:val="20"/>
          <w:szCs w:val="20"/>
        </w:rPr>
        <w:t>工期延</w:t>
      </w:r>
      <w:r>
        <w:rPr>
          <w:sz w:val="20"/>
          <w:szCs w:val="20"/>
        </w:rPr>
        <w:t xml:space="preserve"> </w:t>
      </w:r>
      <w:r>
        <w:rPr>
          <w:spacing w:val="-3"/>
          <w:sz w:val="20"/>
          <w:szCs w:val="20"/>
        </w:rPr>
        <w:t>误。</w:t>
      </w:r>
    </w:p>
    <w:p w14:paraId="407F93F5">
      <w:pPr>
        <w:pStyle w:val="2"/>
        <w:spacing w:before="179" w:line="286" w:lineRule="auto"/>
        <w:ind w:right="91" w:firstLine="850"/>
        <w:rPr>
          <w:sz w:val="20"/>
          <w:szCs w:val="20"/>
        </w:rPr>
      </w:pPr>
      <w:r>
        <w:rPr>
          <w:spacing w:val="15"/>
          <w:sz w:val="20"/>
          <w:szCs w:val="20"/>
        </w:rPr>
        <w:t>(3)经检查证明承包人已采取了有效措施纠正违约行为，具备复工条</w:t>
      </w:r>
      <w:r>
        <w:rPr>
          <w:spacing w:val="14"/>
          <w:sz w:val="20"/>
          <w:szCs w:val="20"/>
        </w:rPr>
        <w:t>件的，可由监理人</w:t>
      </w:r>
      <w:r>
        <w:rPr>
          <w:sz w:val="20"/>
          <w:szCs w:val="20"/>
        </w:rPr>
        <w:t xml:space="preserve"> </w:t>
      </w:r>
      <w:r>
        <w:rPr>
          <w:spacing w:val="5"/>
          <w:sz w:val="20"/>
          <w:szCs w:val="20"/>
        </w:rPr>
        <w:t>签发复工通知复工。</w:t>
      </w:r>
    </w:p>
    <w:p w14:paraId="77F5F6C3">
      <w:pPr>
        <w:spacing w:before="157" w:line="222" w:lineRule="auto"/>
        <w:ind w:left="432"/>
        <w:rPr>
          <w:rFonts w:ascii="黑体" w:hAnsi="黑体" w:eastAsia="黑体" w:cs="黑体"/>
          <w:sz w:val="20"/>
          <w:szCs w:val="20"/>
        </w:rPr>
      </w:pPr>
      <w:r>
        <w:rPr>
          <w:rFonts w:ascii="黑体" w:hAnsi="黑体" w:eastAsia="黑体" w:cs="黑体"/>
          <w:b/>
          <w:bCs/>
          <w:spacing w:val="6"/>
          <w:sz w:val="20"/>
          <w:szCs w:val="20"/>
        </w:rPr>
        <w:t>22.1.3承包人违约解除合同</w:t>
      </w:r>
    </w:p>
    <w:p w14:paraId="582C481F">
      <w:pPr>
        <w:pStyle w:val="2"/>
        <w:spacing w:before="183" w:line="362" w:lineRule="auto"/>
        <w:ind w:right="82" w:firstLine="429"/>
        <w:rPr>
          <w:sz w:val="20"/>
          <w:szCs w:val="20"/>
        </w:rPr>
      </w:pPr>
      <w:r>
        <w:rPr>
          <w:spacing w:val="12"/>
          <w:sz w:val="20"/>
          <w:szCs w:val="20"/>
        </w:rPr>
        <w:t>监理人发出整改通知28天后，承包人仍不纠正违约行为的，发包人可向承包人发出解除合同</w:t>
      </w:r>
      <w:r>
        <w:rPr>
          <w:spacing w:val="15"/>
          <w:sz w:val="20"/>
          <w:szCs w:val="20"/>
        </w:rPr>
        <w:t xml:space="preserve"> </w:t>
      </w:r>
      <w:r>
        <w:rPr>
          <w:spacing w:val="12"/>
          <w:sz w:val="20"/>
          <w:szCs w:val="20"/>
        </w:rPr>
        <w:t>通知。合同解除后，发包人可派员进驻施工场地，另行组织人员或委托其他承包人施工。发包人</w:t>
      </w:r>
    </w:p>
    <w:p w14:paraId="64D74366">
      <w:pPr>
        <w:spacing w:line="362" w:lineRule="auto"/>
        <w:rPr>
          <w:sz w:val="20"/>
          <w:szCs w:val="20"/>
        </w:rPr>
        <w:sectPr>
          <w:footerReference r:id="rId144" w:type="default"/>
          <w:pgSz w:w="11910" w:h="16840"/>
          <w:pgMar w:top="400" w:right="1439" w:bottom="1024" w:left="1450" w:header="0" w:footer="889" w:gutter="0"/>
          <w:cols w:space="720" w:num="1"/>
        </w:sectPr>
      </w:pPr>
    </w:p>
    <w:p w14:paraId="6BF2559E">
      <w:pPr>
        <w:spacing w:line="272" w:lineRule="auto"/>
        <w:rPr>
          <w:rFonts w:ascii="Arial"/>
          <w:sz w:val="21"/>
        </w:rPr>
      </w:pPr>
    </w:p>
    <w:p w14:paraId="1F2F5EB6">
      <w:pPr>
        <w:spacing w:line="272" w:lineRule="auto"/>
        <w:rPr>
          <w:rFonts w:ascii="Arial"/>
          <w:sz w:val="21"/>
        </w:rPr>
      </w:pPr>
    </w:p>
    <w:p w14:paraId="3BFDC4D5">
      <w:pPr>
        <w:spacing w:line="273" w:lineRule="auto"/>
        <w:rPr>
          <w:rFonts w:ascii="Arial"/>
          <w:sz w:val="21"/>
        </w:rPr>
      </w:pPr>
    </w:p>
    <w:p w14:paraId="792F8C47">
      <w:pPr>
        <w:spacing w:line="273" w:lineRule="auto"/>
        <w:rPr>
          <w:rFonts w:ascii="Arial"/>
          <w:sz w:val="21"/>
        </w:rPr>
      </w:pPr>
    </w:p>
    <w:p w14:paraId="221DACE3">
      <w:pPr>
        <w:spacing w:line="273" w:lineRule="auto"/>
        <w:rPr>
          <w:rFonts w:ascii="Arial"/>
          <w:sz w:val="21"/>
        </w:rPr>
      </w:pPr>
    </w:p>
    <w:p w14:paraId="57104387">
      <w:pPr>
        <w:pStyle w:val="2"/>
        <w:spacing w:before="65" w:line="368" w:lineRule="auto"/>
        <w:ind w:right="54"/>
        <w:rPr>
          <w:sz w:val="20"/>
          <w:szCs w:val="20"/>
        </w:rPr>
      </w:pPr>
      <w:r>
        <w:rPr>
          <w:spacing w:val="12"/>
          <w:sz w:val="20"/>
          <w:szCs w:val="20"/>
        </w:rPr>
        <w:t>因继续完成该工程的需要，有权扣留使用承包人在现场的材料、设备和临时设施</w:t>
      </w:r>
      <w:r>
        <w:rPr>
          <w:spacing w:val="11"/>
          <w:sz w:val="20"/>
          <w:szCs w:val="20"/>
        </w:rPr>
        <w:t>。但发包人的这</w:t>
      </w:r>
      <w:r>
        <w:rPr>
          <w:sz w:val="20"/>
          <w:szCs w:val="20"/>
        </w:rPr>
        <w:t xml:space="preserve"> </w:t>
      </w:r>
      <w:r>
        <w:rPr>
          <w:spacing w:val="10"/>
          <w:sz w:val="20"/>
          <w:szCs w:val="20"/>
        </w:rPr>
        <w:t>一行动不免除承包人应承担的违约责任，也不影响发包人根据合</w:t>
      </w:r>
      <w:r>
        <w:rPr>
          <w:spacing w:val="9"/>
          <w:sz w:val="20"/>
          <w:szCs w:val="20"/>
        </w:rPr>
        <w:t>同约定享有的索赔权利。</w:t>
      </w:r>
    </w:p>
    <w:p w14:paraId="3D3AFC3E">
      <w:pPr>
        <w:spacing w:line="221" w:lineRule="auto"/>
        <w:ind w:left="432"/>
        <w:rPr>
          <w:rFonts w:ascii="黑体" w:hAnsi="黑体" w:eastAsia="黑体" w:cs="黑体"/>
          <w:sz w:val="20"/>
          <w:szCs w:val="20"/>
        </w:rPr>
      </w:pPr>
      <w:r>
        <w:rPr>
          <w:rFonts w:ascii="黑体" w:hAnsi="黑体" w:eastAsia="黑体" w:cs="黑体"/>
          <w:b/>
          <w:bCs/>
          <w:spacing w:val="6"/>
          <w:sz w:val="20"/>
          <w:szCs w:val="20"/>
        </w:rPr>
        <w:t>22.1.4合同解除后的估价、付款和结清</w:t>
      </w:r>
    </w:p>
    <w:p w14:paraId="4DC6A7C5">
      <w:pPr>
        <w:pStyle w:val="2"/>
        <w:spacing w:before="161" w:line="294" w:lineRule="auto"/>
        <w:ind w:right="4" w:firstLine="840"/>
        <w:rPr>
          <w:sz w:val="20"/>
          <w:szCs w:val="20"/>
        </w:rPr>
      </w:pPr>
      <w:r>
        <w:rPr>
          <w:spacing w:val="12"/>
          <w:sz w:val="20"/>
          <w:szCs w:val="20"/>
        </w:rPr>
        <w:t>(1)合同解除后，监理人按第3.5款商定或确定承包人实际完成工作的价值，以及承包人</w:t>
      </w:r>
      <w:r>
        <w:rPr>
          <w:spacing w:val="15"/>
          <w:sz w:val="20"/>
          <w:szCs w:val="20"/>
        </w:rPr>
        <w:t xml:space="preserve"> </w:t>
      </w:r>
      <w:r>
        <w:rPr>
          <w:spacing w:val="8"/>
          <w:sz w:val="20"/>
          <w:szCs w:val="20"/>
        </w:rPr>
        <w:t>已提供的材料、施工设备、工程设备和临时工程等的价值。</w:t>
      </w:r>
    </w:p>
    <w:p w14:paraId="28E46D5F">
      <w:pPr>
        <w:pStyle w:val="2"/>
        <w:spacing w:before="175" w:line="285" w:lineRule="auto"/>
        <w:ind w:right="33" w:firstLine="840"/>
        <w:rPr>
          <w:sz w:val="20"/>
          <w:szCs w:val="20"/>
        </w:rPr>
      </w:pPr>
      <w:r>
        <w:rPr>
          <w:spacing w:val="15"/>
          <w:sz w:val="20"/>
          <w:szCs w:val="20"/>
        </w:rPr>
        <w:t>(2)合同解除后，发包人应暂停对承包人的一切付款，查清各项付款和</w:t>
      </w:r>
      <w:r>
        <w:rPr>
          <w:spacing w:val="14"/>
          <w:sz w:val="20"/>
          <w:szCs w:val="20"/>
        </w:rPr>
        <w:t>已扣款金额，包</w:t>
      </w:r>
      <w:r>
        <w:rPr>
          <w:sz w:val="20"/>
          <w:szCs w:val="20"/>
        </w:rPr>
        <w:t xml:space="preserve"> </w:t>
      </w:r>
      <w:r>
        <w:rPr>
          <w:spacing w:val="7"/>
          <w:sz w:val="20"/>
          <w:szCs w:val="20"/>
        </w:rPr>
        <w:t>括承包人应支付的违约金。</w:t>
      </w:r>
    </w:p>
    <w:p w14:paraId="3CD0B566">
      <w:pPr>
        <w:pStyle w:val="2"/>
        <w:spacing w:before="181" w:line="296" w:lineRule="auto"/>
        <w:ind w:right="33" w:firstLine="840"/>
        <w:rPr>
          <w:sz w:val="20"/>
          <w:szCs w:val="20"/>
        </w:rPr>
      </w:pPr>
      <w:r>
        <w:rPr>
          <w:spacing w:val="14"/>
          <w:sz w:val="20"/>
          <w:szCs w:val="20"/>
        </w:rPr>
        <w:t>(3)合同解除后，发包人应按第23.4款的约定向承包人索赔由于解除合同给发包人造成</w:t>
      </w:r>
      <w:r>
        <w:rPr>
          <w:spacing w:val="4"/>
          <w:sz w:val="20"/>
          <w:szCs w:val="20"/>
        </w:rPr>
        <w:t xml:space="preserve"> </w:t>
      </w:r>
      <w:r>
        <w:rPr>
          <w:spacing w:val="2"/>
          <w:sz w:val="20"/>
          <w:szCs w:val="20"/>
        </w:rPr>
        <w:t>的损失。</w:t>
      </w:r>
    </w:p>
    <w:p w14:paraId="36630375">
      <w:pPr>
        <w:pStyle w:val="2"/>
        <w:spacing w:before="148" w:line="219" w:lineRule="auto"/>
        <w:ind w:left="840"/>
        <w:rPr>
          <w:sz w:val="20"/>
          <w:szCs w:val="20"/>
        </w:rPr>
      </w:pPr>
      <w:r>
        <w:rPr>
          <w:spacing w:val="12"/>
          <w:sz w:val="20"/>
          <w:szCs w:val="20"/>
        </w:rPr>
        <w:t>(4)合同双方确认上述往来款项后，出具最终结清付款证书，结清全</w:t>
      </w:r>
      <w:r>
        <w:rPr>
          <w:spacing w:val="11"/>
          <w:sz w:val="20"/>
          <w:szCs w:val="20"/>
        </w:rPr>
        <w:t>部合同款项。</w:t>
      </w:r>
    </w:p>
    <w:p w14:paraId="61DD7562">
      <w:pPr>
        <w:pStyle w:val="2"/>
        <w:spacing w:before="175" w:line="294" w:lineRule="auto"/>
        <w:ind w:firstLine="840"/>
        <w:rPr>
          <w:sz w:val="20"/>
          <w:szCs w:val="20"/>
        </w:rPr>
      </w:pPr>
      <w:r>
        <w:rPr>
          <w:spacing w:val="15"/>
          <w:sz w:val="20"/>
          <w:szCs w:val="20"/>
        </w:rPr>
        <w:t>(5)发包人和承包人未能就解除合同后的结清达成一致而形成争议的，按第24条的约定</w:t>
      </w:r>
      <w:r>
        <w:rPr>
          <w:spacing w:val="11"/>
          <w:sz w:val="20"/>
          <w:szCs w:val="20"/>
        </w:rPr>
        <w:t xml:space="preserve"> </w:t>
      </w:r>
      <w:r>
        <w:rPr>
          <w:sz w:val="20"/>
          <w:szCs w:val="20"/>
        </w:rPr>
        <w:t>办理。</w:t>
      </w:r>
    </w:p>
    <w:p w14:paraId="62A4181F">
      <w:pPr>
        <w:pStyle w:val="2"/>
        <w:spacing w:before="138" w:line="222" w:lineRule="auto"/>
        <w:ind w:left="432"/>
        <w:rPr>
          <w:rFonts w:ascii="黑体" w:hAnsi="黑体" w:eastAsia="黑体" w:cs="黑体"/>
          <w:sz w:val="20"/>
          <w:szCs w:val="20"/>
        </w:rPr>
      </w:pPr>
      <w:r>
        <w:rPr>
          <w:b/>
          <w:bCs/>
          <w:spacing w:val="-2"/>
          <w:sz w:val="20"/>
          <w:szCs w:val="20"/>
        </w:rPr>
        <w:t>22.1.5</w:t>
      </w:r>
      <w:r>
        <w:rPr>
          <w:spacing w:val="-2"/>
          <w:sz w:val="20"/>
          <w:szCs w:val="20"/>
        </w:rPr>
        <w:t xml:space="preserve"> </w:t>
      </w:r>
      <w:r>
        <w:rPr>
          <w:rFonts w:ascii="黑体" w:hAnsi="黑体" w:eastAsia="黑体" w:cs="黑体"/>
          <w:b/>
          <w:bCs/>
          <w:spacing w:val="-2"/>
          <w:sz w:val="20"/>
          <w:szCs w:val="20"/>
        </w:rPr>
        <w:t>协议利益的转让</w:t>
      </w:r>
    </w:p>
    <w:p w14:paraId="2C9F0277">
      <w:pPr>
        <w:pStyle w:val="2"/>
        <w:spacing w:before="182" w:line="363" w:lineRule="auto"/>
        <w:ind w:right="32" w:firstLine="429"/>
        <w:rPr>
          <w:sz w:val="20"/>
          <w:szCs w:val="20"/>
        </w:rPr>
      </w:pPr>
      <w:r>
        <w:rPr>
          <w:spacing w:val="12"/>
          <w:sz w:val="20"/>
          <w:szCs w:val="20"/>
        </w:rPr>
        <w:t>因承包人违约解除合同的，发包人有权要求承包人将其为实施合同而签订的材料和设备的订</w:t>
      </w:r>
      <w:r>
        <w:rPr>
          <w:spacing w:val="9"/>
          <w:sz w:val="20"/>
          <w:szCs w:val="20"/>
        </w:rPr>
        <w:t xml:space="preserve"> </w:t>
      </w:r>
      <w:r>
        <w:rPr>
          <w:spacing w:val="12"/>
          <w:sz w:val="20"/>
          <w:szCs w:val="20"/>
        </w:rPr>
        <w:t>货协议或任何服务协议利益转让给发包人，并在解除合同后的14天内，依法办理转让手续。</w:t>
      </w:r>
    </w:p>
    <w:p w14:paraId="74DAD08C">
      <w:pPr>
        <w:spacing w:line="220" w:lineRule="auto"/>
        <w:ind w:left="432"/>
        <w:rPr>
          <w:rFonts w:ascii="黑体" w:hAnsi="黑体" w:eastAsia="黑体" w:cs="黑体"/>
          <w:sz w:val="20"/>
          <w:szCs w:val="20"/>
        </w:rPr>
      </w:pPr>
      <w:r>
        <w:rPr>
          <w:rFonts w:ascii="黑体" w:hAnsi="黑体" w:eastAsia="黑体" w:cs="黑体"/>
          <w:b/>
          <w:bCs/>
          <w:spacing w:val="6"/>
          <w:sz w:val="20"/>
          <w:szCs w:val="20"/>
        </w:rPr>
        <w:t>22.1.6紧急情况下无能力或不愿进行抢救</w:t>
      </w:r>
    </w:p>
    <w:p w14:paraId="715408F6">
      <w:pPr>
        <w:pStyle w:val="2"/>
        <w:spacing w:before="176" w:line="353" w:lineRule="auto"/>
        <w:ind w:right="33" w:firstLine="429"/>
        <w:jc w:val="both"/>
        <w:rPr>
          <w:sz w:val="20"/>
          <w:szCs w:val="20"/>
        </w:rPr>
      </w:pPr>
      <w:r>
        <w:rPr>
          <w:spacing w:val="12"/>
          <w:sz w:val="20"/>
          <w:szCs w:val="20"/>
        </w:rPr>
        <w:t>在工程实施期间或缺陷责任期内发生危及工程安全的事件，监理人通知承包人进行抢救，承</w:t>
      </w:r>
      <w:r>
        <w:rPr>
          <w:spacing w:val="8"/>
          <w:sz w:val="20"/>
          <w:szCs w:val="20"/>
        </w:rPr>
        <w:t xml:space="preserve"> </w:t>
      </w:r>
      <w:r>
        <w:rPr>
          <w:spacing w:val="12"/>
          <w:sz w:val="20"/>
          <w:szCs w:val="20"/>
        </w:rPr>
        <w:t>包人声明无能力或不愿立即执行的，发包人有权雇佣其他人员进行抢救。此类抢救按合同约定属</w:t>
      </w:r>
      <w:r>
        <w:rPr>
          <w:spacing w:val="2"/>
          <w:sz w:val="20"/>
          <w:szCs w:val="20"/>
        </w:rPr>
        <w:t xml:space="preserve"> </w:t>
      </w:r>
      <w:r>
        <w:rPr>
          <w:spacing w:val="15"/>
          <w:sz w:val="20"/>
          <w:szCs w:val="20"/>
        </w:rPr>
        <w:t>于承包人义务的，由此发生的金额和(或)工期延误由承包人承担。</w:t>
      </w:r>
    </w:p>
    <w:p w14:paraId="168C5738">
      <w:pPr>
        <w:pStyle w:val="2"/>
        <w:spacing w:before="1" w:line="220" w:lineRule="auto"/>
        <w:ind w:left="3"/>
        <w:rPr>
          <w:rFonts w:ascii="黑体" w:hAnsi="黑体" w:eastAsia="黑体" w:cs="黑体"/>
          <w:sz w:val="24"/>
          <w:szCs w:val="24"/>
        </w:rPr>
      </w:pPr>
      <w:r>
        <w:rPr>
          <w:b/>
          <w:bCs/>
          <w:spacing w:val="-9"/>
          <w:sz w:val="24"/>
          <w:szCs w:val="24"/>
        </w:rPr>
        <w:t>22.2</w:t>
      </w:r>
      <w:r>
        <w:rPr>
          <w:spacing w:val="-9"/>
          <w:sz w:val="24"/>
          <w:szCs w:val="24"/>
        </w:rPr>
        <w:t xml:space="preserve"> </w:t>
      </w:r>
      <w:r>
        <w:rPr>
          <w:rFonts w:ascii="黑体" w:hAnsi="黑体" w:eastAsia="黑体" w:cs="黑体"/>
          <w:b/>
          <w:bCs/>
          <w:spacing w:val="-9"/>
          <w:sz w:val="24"/>
          <w:szCs w:val="24"/>
        </w:rPr>
        <w:t>发包人违约</w:t>
      </w:r>
    </w:p>
    <w:p w14:paraId="5692E664">
      <w:pPr>
        <w:pStyle w:val="2"/>
        <w:spacing w:before="172" w:line="221" w:lineRule="auto"/>
        <w:ind w:left="432"/>
        <w:rPr>
          <w:rFonts w:ascii="黑体" w:hAnsi="黑体" w:eastAsia="黑体" w:cs="黑体"/>
          <w:sz w:val="20"/>
          <w:szCs w:val="20"/>
        </w:rPr>
      </w:pPr>
      <w:r>
        <w:rPr>
          <w:b/>
          <w:bCs/>
          <w:spacing w:val="-2"/>
          <w:sz w:val="20"/>
          <w:szCs w:val="20"/>
        </w:rPr>
        <w:t>22.2.1</w:t>
      </w:r>
      <w:r>
        <w:rPr>
          <w:spacing w:val="-2"/>
          <w:sz w:val="20"/>
          <w:szCs w:val="20"/>
        </w:rPr>
        <w:t xml:space="preserve"> </w:t>
      </w:r>
      <w:r>
        <w:rPr>
          <w:rFonts w:ascii="黑体" w:hAnsi="黑体" w:eastAsia="黑体" w:cs="黑体"/>
          <w:b/>
          <w:bCs/>
          <w:spacing w:val="-2"/>
          <w:sz w:val="20"/>
          <w:szCs w:val="20"/>
        </w:rPr>
        <w:t>发包人违约的情形</w:t>
      </w:r>
    </w:p>
    <w:p w14:paraId="61776D22">
      <w:pPr>
        <w:pStyle w:val="2"/>
        <w:spacing w:before="136" w:line="220" w:lineRule="auto"/>
        <w:ind w:left="429"/>
        <w:rPr>
          <w:sz w:val="20"/>
          <w:szCs w:val="20"/>
        </w:rPr>
      </w:pPr>
      <w:r>
        <w:rPr>
          <w:spacing w:val="8"/>
          <w:sz w:val="20"/>
          <w:szCs w:val="20"/>
        </w:rPr>
        <w:t>在履行合同过程中发生的下列情形，属发包人违约：</w:t>
      </w:r>
    </w:p>
    <w:p w14:paraId="79DBCA54">
      <w:pPr>
        <w:pStyle w:val="2"/>
        <w:spacing w:before="179" w:line="295" w:lineRule="auto"/>
        <w:ind w:right="35" w:firstLine="840"/>
        <w:rPr>
          <w:sz w:val="20"/>
          <w:szCs w:val="20"/>
        </w:rPr>
      </w:pPr>
      <w:r>
        <w:rPr>
          <w:spacing w:val="15"/>
          <w:sz w:val="20"/>
          <w:szCs w:val="20"/>
        </w:rPr>
        <w:t>(1)发包人未能按合同约定支付预付款或合同价款，或拖延、拒绝</w:t>
      </w:r>
      <w:r>
        <w:rPr>
          <w:spacing w:val="14"/>
          <w:sz w:val="20"/>
          <w:szCs w:val="20"/>
        </w:rPr>
        <w:t>批准付款申请和支付</w:t>
      </w:r>
      <w:r>
        <w:rPr>
          <w:sz w:val="20"/>
          <w:szCs w:val="20"/>
        </w:rPr>
        <w:t xml:space="preserve"> </w:t>
      </w:r>
      <w:r>
        <w:rPr>
          <w:spacing w:val="5"/>
          <w:sz w:val="20"/>
          <w:szCs w:val="20"/>
        </w:rPr>
        <w:t>凭证，导致付款延误的；</w:t>
      </w:r>
    </w:p>
    <w:p w14:paraId="24DBA2A4">
      <w:pPr>
        <w:pStyle w:val="2"/>
        <w:spacing w:before="144" w:line="220" w:lineRule="auto"/>
        <w:ind w:left="840"/>
        <w:rPr>
          <w:sz w:val="20"/>
          <w:szCs w:val="20"/>
        </w:rPr>
      </w:pPr>
      <w:r>
        <w:rPr>
          <w:spacing w:val="13"/>
          <w:sz w:val="20"/>
          <w:szCs w:val="20"/>
        </w:rPr>
        <w:t>(2)发包人原因造成停工的；</w:t>
      </w:r>
    </w:p>
    <w:p w14:paraId="38F2D0F0">
      <w:pPr>
        <w:pStyle w:val="2"/>
        <w:spacing w:before="171" w:line="219" w:lineRule="auto"/>
        <w:ind w:left="840"/>
        <w:rPr>
          <w:sz w:val="20"/>
          <w:szCs w:val="20"/>
        </w:rPr>
      </w:pPr>
      <w:r>
        <w:rPr>
          <w:spacing w:val="11"/>
          <w:sz w:val="20"/>
          <w:szCs w:val="20"/>
        </w:rPr>
        <w:t>(3)监理人无正当理由没有在约定期限内发出复工指示，导致承包人无法复工的；</w:t>
      </w:r>
    </w:p>
    <w:p w14:paraId="18E6212B">
      <w:pPr>
        <w:pStyle w:val="2"/>
        <w:spacing w:before="183" w:line="219" w:lineRule="auto"/>
        <w:ind w:left="840"/>
        <w:rPr>
          <w:sz w:val="20"/>
          <w:szCs w:val="20"/>
        </w:rPr>
      </w:pPr>
      <w:r>
        <w:rPr>
          <w:spacing w:val="11"/>
          <w:sz w:val="20"/>
          <w:szCs w:val="20"/>
        </w:rPr>
        <w:t>(4)发包人无法继续履行或明确表示不履行或实质上已停止履行合同的；</w:t>
      </w:r>
    </w:p>
    <w:p w14:paraId="7906F4C0">
      <w:pPr>
        <w:pStyle w:val="2"/>
        <w:spacing w:before="142" w:line="219" w:lineRule="auto"/>
        <w:ind w:left="840"/>
        <w:rPr>
          <w:sz w:val="20"/>
          <w:szCs w:val="20"/>
        </w:rPr>
      </w:pPr>
      <w:r>
        <w:rPr>
          <w:spacing w:val="13"/>
          <w:sz w:val="20"/>
          <w:szCs w:val="20"/>
        </w:rPr>
        <w:t>(5)发包人不履行合同约定其他义务的。</w:t>
      </w:r>
    </w:p>
    <w:p w14:paraId="4532EDAF">
      <w:pPr>
        <w:spacing w:before="160" w:line="222" w:lineRule="auto"/>
        <w:ind w:left="432"/>
        <w:rPr>
          <w:rFonts w:ascii="黑体" w:hAnsi="黑体" w:eastAsia="黑体" w:cs="黑体"/>
          <w:sz w:val="20"/>
          <w:szCs w:val="20"/>
        </w:rPr>
      </w:pPr>
      <w:r>
        <w:rPr>
          <w:rFonts w:ascii="黑体" w:hAnsi="黑体" w:eastAsia="黑体" w:cs="黑体"/>
          <w:b/>
          <w:bCs/>
          <w:spacing w:val="6"/>
          <w:sz w:val="20"/>
          <w:szCs w:val="20"/>
        </w:rPr>
        <w:t>22.2.2承包人有权暂停施工</w:t>
      </w:r>
    </w:p>
    <w:p w14:paraId="5B955070">
      <w:pPr>
        <w:pStyle w:val="2"/>
        <w:spacing w:before="184" w:line="361" w:lineRule="auto"/>
        <w:ind w:right="34" w:firstLine="429"/>
        <w:jc w:val="both"/>
        <w:rPr>
          <w:sz w:val="20"/>
          <w:szCs w:val="20"/>
        </w:rPr>
      </w:pPr>
      <w:r>
        <w:rPr>
          <w:spacing w:val="13"/>
          <w:sz w:val="20"/>
          <w:szCs w:val="20"/>
        </w:rPr>
        <w:t>发包人发生除第22.2.1(4)目以外的违约情况时，承包人可向发包人发出通知，要求发包人</w:t>
      </w:r>
      <w:r>
        <w:rPr>
          <w:spacing w:val="15"/>
          <w:sz w:val="20"/>
          <w:szCs w:val="20"/>
        </w:rPr>
        <w:t xml:space="preserve"> </w:t>
      </w:r>
      <w:r>
        <w:rPr>
          <w:spacing w:val="12"/>
          <w:sz w:val="20"/>
          <w:szCs w:val="20"/>
        </w:rPr>
        <w:t>采取有效措施纠正违约行为。发包人收到承包人通知后的28天内仍不履行合同义务，承包人有权</w:t>
      </w:r>
      <w:r>
        <w:rPr>
          <w:sz w:val="20"/>
          <w:szCs w:val="20"/>
        </w:rPr>
        <w:t xml:space="preserve"> </w:t>
      </w:r>
      <w:r>
        <w:rPr>
          <w:spacing w:val="17"/>
          <w:sz w:val="20"/>
          <w:szCs w:val="20"/>
        </w:rPr>
        <w:t>暂停施工，并通知监理人，发包人应承担由此增加的费用和(或)工期延误，并支付承包人合理</w:t>
      </w:r>
      <w:r>
        <w:rPr>
          <w:spacing w:val="1"/>
          <w:sz w:val="20"/>
          <w:szCs w:val="20"/>
        </w:rPr>
        <w:t xml:space="preserve"> </w:t>
      </w:r>
      <w:r>
        <w:rPr>
          <w:sz w:val="20"/>
          <w:szCs w:val="20"/>
        </w:rPr>
        <w:t>利润。</w:t>
      </w:r>
    </w:p>
    <w:p w14:paraId="376EE7C1">
      <w:pPr>
        <w:spacing w:line="361" w:lineRule="auto"/>
        <w:rPr>
          <w:sz w:val="20"/>
          <w:szCs w:val="20"/>
        </w:rPr>
        <w:sectPr>
          <w:footerReference r:id="rId145" w:type="default"/>
          <w:pgSz w:w="11910" w:h="16840"/>
          <w:pgMar w:top="400" w:right="1506" w:bottom="1024" w:left="1450" w:header="0" w:footer="889" w:gutter="0"/>
          <w:cols w:space="720" w:num="1"/>
        </w:sectPr>
      </w:pPr>
    </w:p>
    <w:p w14:paraId="219D0022">
      <w:pPr>
        <w:spacing w:line="269" w:lineRule="auto"/>
        <w:rPr>
          <w:rFonts w:ascii="Arial"/>
          <w:sz w:val="21"/>
        </w:rPr>
      </w:pPr>
    </w:p>
    <w:p w14:paraId="0C79A72E">
      <w:pPr>
        <w:spacing w:line="269" w:lineRule="auto"/>
        <w:rPr>
          <w:rFonts w:ascii="Arial"/>
          <w:sz w:val="21"/>
        </w:rPr>
      </w:pPr>
    </w:p>
    <w:p w14:paraId="438395CE">
      <w:pPr>
        <w:spacing w:line="269" w:lineRule="auto"/>
        <w:rPr>
          <w:rFonts w:ascii="Arial"/>
          <w:sz w:val="21"/>
        </w:rPr>
      </w:pPr>
    </w:p>
    <w:p w14:paraId="66924F22">
      <w:pPr>
        <w:spacing w:line="270" w:lineRule="auto"/>
        <w:rPr>
          <w:rFonts w:ascii="Arial"/>
          <w:sz w:val="21"/>
        </w:rPr>
      </w:pPr>
    </w:p>
    <w:p w14:paraId="3CBD01D8">
      <w:pPr>
        <w:spacing w:line="270" w:lineRule="auto"/>
        <w:rPr>
          <w:rFonts w:ascii="Arial"/>
          <w:sz w:val="21"/>
        </w:rPr>
      </w:pPr>
    </w:p>
    <w:p w14:paraId="6102D661">
      <w:pPr>
        <w:pStyle w:val="2"/>
        <w:spacing w:before="68" w:line="221" w:lineRule="auto"/>
        <w:ind w:left="432"/>
        <w:rPr>
          <w:rFonts w:ascii="黑体" w:hAnsi="黑体" w:eastAsia="黑体" w:cs="黑体"/>
          <w:sz w:val="21"/>
          <w:szCs w:val="21"/>
        </w:rPr>
      </w:pPr>
      <w:r>
        <w:rPr>
          <w:b/>
          <w:bCs/>
          <w:spacing w:val="-10"/>
          <w:sz w:val="21"/>
          <w:szCs w:val="21"/>
        </w:rPr>
        <w:t>22.2.3</w:t>
      </w:r>
      <w:r>
        <w:rPr>
          <w:spacing w:val="-10"/>
          <w:sz w:val="21"/>
          <w:szCs w:val="21"/>
        </w:rPr>
        <w:t xml:space="preserve"> </w:t>
      </w:r>
      <w:r>
        <w:rPr>
          <w:rFonts w:ascii="黑体" w:hAnsi="黑体" w:eastAsia="黑体" w:cs="黑体"/>
          <w:b/>
          <w:bCs/>
          <w:spacing w:val="-10"/>
          <w:sz w:val="21"/>
          <w:szCs w:val="21"/>
        </w:rPr>
        <w:t>发包人违约解除合同</w:t>
      </w:r>
    </w:p>
    <w:p w14:paraId="3A2C79D7">
      <w:pPr>
        <w:pStyle w:val="2"/>
        <w:spacing w:before="162" w:line="219" w:lineRule="auto"/>
        <w:ind w:left="840"/>
        <w:rPr>
          <w:sz w:val="21"/>
          <w:szCs w:val="21"/>
        </w:rPr>
      </w:pPr>
      <w:r>
        <w:rPr>
          <w:spacing w:val="7"/>
          <w:sz w:val="21"/>
          <w:szCs w:val="21"/>
        </w:rPr>
        <w:t>(1)发生第22.2.1(4)目的违约情况时，承包人可书面</w:t>
      </w:r>
      <w:r>
        <w:rPr>
          <w:spacing w:val="6"/>
          <w:sz w:val="21"/>
          <w:szCs w:val="21"/>
        </w:rPr>
        <w:t>通知发包人解除合同。</w:t>
      </w:r>
    </w:p>
    <w:p w14:paraId="71E1356F">
      <w:pPr>
        <w:pStyle w:val="2"/>
        <w:spacing w:before="130" w:line="308" w:lineRule="auto"/>
        <w:ind w:right="25" w:firstLine="840"/>
        <w:rPr>
          <w:sz w:val="21"/>
          <w:szCs w:val="21"/>
        </w:rPr>
      </w:pPr>
      <w:r>
        <w:rPr>
          <w:spacing w:val="6"/>
          <w:sz w:val="21"/>
          <w:szCs w:val="21"/>
        </w:rPr>
        <w:t>(2)承包人按22.2.2项暂停施工28天后，发包人仍不</w:t>
      </w:r>
      <w:r>
        <w:rPr>
          <w:spacing w:val="5"/>
          <w:sz w:val="21"/>
          <w:szCs w:val="21"/>
        </w:rPr>
        <w:t>纠正违约行为的，承包人可向发包</w:t>
      </w:r>
      <w:r>
        <w:rPr>
          <w:sz w:val="21"/>
          <w:szCs w:val="21"/>
        </w:rPr>
        <w:t xml:space="preserve"> </w:t>
      </w:r>
      <w:r>
        <w:rPr>
          <w:spacing w:val="2"/>
          <w:sz w:val="21"/>
          <w:szCs w:val="21"/>
        </w:rPr>
        <w:t>人发出解除合同通知。但承包人的这一行动不免除发包人承担的违</w:t>
      </w:r>
      <w:r>
        <w:rPr>
          <w:spacing w:val="1"/>
          <w:sz w:val="21"/>
          <w:szCs w:val="21"/>
        </w:rPr>
        <w:t>约责任，也不影响承包人根据</w:t>
      </w:r>
      <w:r>
        <w:rPr>
          <w:sz w:val="21"/>
          <w:szCs w:val="21"/>
        </w:rPr>
        <w:t xml:space="preserve"> </w:t>
      </w:r>
      <w:r>
        <w:rPr>
          <w:spacing w:val="-4"/>
          <w:sz w:val="21"/>
          <w:szCs w:val="21"/>
        </w:rPr>
        <w:t>合同约定享有的索赔权利。</w:t>
      </w:r>
    </w:p>
    <w:p w14:paraId="0A6646A1">
      <w:pPr>
        <w:pStyle w:val="2"/>
        <w:spacing w:before="166" w:line="222" w:lineRule="auto"/>
        <w:ind w:left="432"/>
        <w:rPr>
          <w:rFonts w:ascii="黑体" w:hAnsi="黑体" w:eastAsia="黑体" w:cs="黑体"/>
          <w:sz w:val="21"/>
          <w:szCs w:val="21"/>
        </w:rPr>
      </w:pPr>
      <w:r>
        <w:rPr>
          <w:b/>
          <w:bCs/>
          <w:spacing w:val="-10"/>
          <w:sz w:val="21"/>
          <w:szCs w:val="21"/>
        </w:rPr>
        <w:t>22.2.4</w:t>
      </w:r>
      <w:r>
        <w:rPr>
          <w:spacing w:val="-10"/>
          <w:sz w:val="21"/>
          <w:szCs w:val="21"/>
        </w:rPr>
        <w:t xml:space="preserve"> </w:t>
      </w:r>
      <w:r>
        <w:rPr>
          <w:rFonts w:ascii="黑体" w:hAnsi="黑体" w:eastAsia="黑体" w:cs="黑体"/>
          <w:b/>
          <w:bCs/>
          <w:spacing w:val="-10"/>
          <w:sz w:val="21"/>
          <w:szCs w:val="21"/>
        </w:rPr>
        <w:t>解除合同后的付款</w:t>
      </w:r>
    </w:p>
    <w:p w14:paraId="0F3254EB">
      <w:pPr>
        <w:pStyle w:val="2"/>
        <w:spacing w:before="122" w:line="364" w:lineRule="auto"/>
        <w:ind w:right="55" w:firstLine="429"/>
        <w:rPr>
          <w:sz w:val="21"/>
          <w:szCs w:val="21"/>
        </w:rPr>
      </w:pPr>
      <w:r>
        <w:rPr>
          <w:spacing w:val="2"/>
          <w:sz w:val="21"/>
          <w:szCs w:val="21"/>
        </w:rPr>
        <w:t>因发包人违约解除合同的，发包人应在解除合同后28天内向承包人支付下列金额，承包人应</w:t>
      </w:r>
      <w:r>
        <w:rPr>
          <w:spacing w:val="16"/>
          <w:sz w:val="21"/>
          <w:szCs w:val="21"/>
        </w:rPr>
        <w:t xml:space="preserve"> </w:t>
      </w:r>
      <w:r>
        <w:rPr>
          <w:spacing w:val="-1"/>
          <w:sz w:val="21"/>
          <w:szCs w:val="21"/>
        </w:rPr>
        <w:t>在此期限内及时向发包人提交要求支付下列金额的有关资</w:t>
      </w:r>
      <w:r>
        <w:rPr>
          <w:spacing w:val="-2"/>
          <w:sz w:val="21"/>
          <w:szCs w:val="21"/>
        </w:rPr>
        <w:t>料和凭证：</w:t>
      </w:r>
    </w:p>
    <w:p w14:paraId="5DF5BBE6">
      <w:pPr>
        <w:pStyle w:val="2"/>
        <w:spacing w:before="1" w:line="217" w:lineRule="auto"/>
        <w:ind w:left="840"/>
        <w:rPr>
          <w:sz w:val="21"/>
          <w:szCs w:val="21"/>
        </w:rPr>
      </w:pPr>
      <w:r>
        <w:rPr>
          <w:spacing w:val="3"/>
          <w:sz w:val="21"/>
          <w:szCs w:val="21"/>
        </w:rPr>
        <w:t>(1)合同解除日以前所完成工作的价款；</w:t>
      </w:r>
    </w:p>
    <w:p w14:paraId="7AEF4A09">
      <w:pPr>
        <w:pStyle w:val="2"/>
        <w:spacing w:before="141" w:line="290" w:lineRule="auto"/>
        <w:ind w:right="76" w:firstLine="840"/>
        <w:rPr>
          <w:sz w:val="21"/>
          <w:szCs w:val="21"/>
        </w:rPr>
      </w:pPr>
      <w:r>
        <w:rPr>
          <w:spacing w:val="5"/>
          <w:sz w:val="21"/>
          <w:szCs w:val="21"/>
        </w:rPr>
        <w:t>(2)承包人为该工程施工订购并已付款的材料、工程设备和其他物品的金额。发</w:t>
      </w:r>
      <w:r>
        <w:rPr>
          <w:spacing w:val="4"/>
          <w:sz w:val="21"/>
          <w:szCs w:val="21"/>
        </w:rPr>
        <w:t>包人付</w:t>
      </w:r>
      <w:r>
        <w:rPr>
          <w:sz w:val="21"/>
          <w:szCs w:val="21"/>
        </w:rPr>
        <w:t xml:space="preserve"> </w:t>
      </w:r>
      <w:r>
        <w:rPr>
          <w:spacing w:val="-3"/>
          <w:sz w:val="21"/>
          <w:szCs w:val="21"/>
        </w:rPr>
        <w:t>还后，该材料、工程设备和其他物品归发包人所有；</w:t>
      </w:r>
    </w:p>
    <w:p w14:paraId="02CFAD2F">
      <w:pPr>
        <w:pStyle w:val="2"/>
        <w:spacing w:before="152" w:line="219" w:lineRule="auto"/>
        <w:ind w:left="840"/>
        <w:rPr>
          <w:sz w:val="21"/>
          <w:szCs w:val="21"/>
        </w:rPr>
      </w:pPr>
      <w:r>
        <w:rPr>
          <w:spacing w:val="2"/>
          <w:sz w:val="21"/>
          <w:szCs w:val="21"/>
        </w:rPr>
        <w:t>(3)承包人为完成工程所发生的，而发包人未支付的金额；</w:t>
      </w:r>
    </w:p>
    <w:p w14:paraId="355AB7E4">
      <w:pPr>
        <w:pStyle w:val="2"/>
        <w:spacing w:before="131" w:line="219" w:lineRule="auto"/>
        <w:ind w:left="840"/>
        <w:rPr>
          <w:sz w:val="21"/>
          <w:szCs w:val="21"/>
        </w:rPr>
      </w:pPr>
      <w:r>
        <w:rPr>
          <w:spacing w:val="2"/>
          <w:sz w:val="21"/>
          <w:szCs w:val="21"/>
        </w:rPr>
        <w:t>(4)承包人撤离施工场地以及遣散承包人人员的金额；</w:t>
      </w:r>
    </w:p>
    <w:p w14:paraId="4A9FA8C1">
      <w:pPr>
        <w:pStyle w:val="2"/>
        <w:spacing w:before="171" w:line="219" w:lineRule="auto"/>
        <w:ind w:left="840"/>
        <w:rPr>
          <w:sz w:val="21"/>
          <w:szCs w:val="21"/>
        </w:rPr>
      </w:pPr>
      <w:r>
        <w:rPr>
          <w:spacing w:val="3"/>
          <w:sz w:val="21"/>
          <w:szCs w:val="21"/>
        </w:rPr>
        <w:t>(5)由于解除合同应赔偿的承包人损失；</w:t>
      </w:r>
    </w:p>
    <w:p w14:paraId="3998779F">
      <w:pPr>
        <w:pStyle w:val="2"/>
        <w:spacing w:before="161" w:line="219" w:lineRule="auto"/>
        <w:ind w:left="840"/>
        <w:rPr>
          <w:sz w:val="21"/>
          <w:szCs w:val="21"/>
        </w:rPr>
      </w:pPr>
      <w:r>
        <w:rPr>
          <w:spacing w:val="3"/>
          <w:sz w:val="21"/>
          <w:szCs w:val="21"/>
        </w:rPr>
        <w:t>(6)按合同约定在合同解除日前应支付给承包人的其他金额。</w:t>
      </w:r>
    </w:p>
    <w:p w14:paraId="523BB04D">
      <w:pPr>
        <w:pStyle w:val="2"/>
        <w:spacing w:before="109" w:line="364" w:lineRule="auto"/>
        <w:ind w:right="76" w:firstLine="429"/>
        <w:rPr>
          <w:sz w:val="21"/>
          <w:szCs w:val="21"/>
        </w:rPr>
      </w:pPr>
      <w:r>
        <w:rPr>
          <w:spacing w:val="2"/>
          <w:sz w:val="21"/>
          <w:szCs w:val="21"/>
        </w:rPr>
        <w:t>发包人应按本项约定支付上述金额并退还质量保证金和履约担保，但有权要求承包人</w:t>
      </w:r>
      <w:r>
        <w:rPr>
          <w:spacing w:val="1"/>
          <w:sz w:val="21"/>
          <w:szCs w:val="21"/>
        </w:rPr>
        <w:t>支付应</w:t>
      </w:r>
      <w:r>
        <w:rPr>
          <w:sz w:val="21"/>
          <w:szCs w:val="21"/>
        </w:rPr>
        <w:t xml:space="preserve"> </w:t>
      </w:r>
      <w:r>
        <w:rPr>
          <w:spacing w:val="-3"/>
          <w:sz w:val="21"/>
          <w:szCs w:val="21"/>
        </w:rPr>
        <w:t>偿还给发包人的各项金额。</w:t>
      </w:r>
    </w:p>
    <w:p w14:paraId="2DCF3625">
      <w:pPr>
        <w:pStyle w:val="2"/>
        <w:spacing w:line="221" w:lineRule="auto"/>
        <w:ind w:left="432"/>
        <w:rPr>
          <w:rFonts w:ascii="黑体" w:hAnsi="黑体" w:eastAsia="黑体" w:cs="黑体"/>
          <w:sz w:val="21"/>
          <w:szCs w:val="21"/>
        </w:rPr>
      </w:pPr>
      <w:r>
        <w:rPr>
          <w:b/>
          <w:bCs/>
          <w:spacing w:val="-9"/>
          <w:sz w:val="21"/>
          <w:szCs w:val="21"/>
        </w:rPr>
        <w:t>22.2.5</w:t>
      </w:r>
      <w:r>
        <w:rPr>
          <w:spacing w:val="-9"/>
          <w:sz w:val="21"/>
          <w:szCs w:val="21"/>
        </w:rPr>
        <w:t xml:space="preserve"> </w:t>
      </w:r>
      <w:r>
        <w:rPr>
          <w:rFonts w:ascii="黑体" w:hAnsi="黑体" w:eastAsia="黑体" w:cs="黑体"/>
          <w:b/>
          <w:bCs/>
          <w:spacing w:val="-9"/>
          <w:sz w:val="21"/>
          <w:szCs w:val="21"/>
        </w:rPr>
        <w:t>解除合同后的承包人撤离</w:t>
      </w:r>
    </w:p>
    <w:p w14:paraId="06503EB1">
      <w:pPr>
        <w:pStyle w:val="2"/>
        <w:spacing w:before="152" w:line="342" w:lineRule="auto"/>
        <w:ind w:right="72" w:firstLine="429"/>
        <w:jc w:val="both"/>
        <w:rPr>
          <w:sz w:val="21"/>
          <w:szCs w:val="21"/>
        </w:rPr>
      </w:pPr>
      <w:r>
        <w:rPr>
          <w:spacing w:val="2"/>
          <w:sz w:val="21"/>
          <w:szCs w:val="21"/>
        </w:rPr>
        <w:t>因发包人违约而解除合同后，承包人应妥善做好已竣工工程和已购材料、设备的保护和</w:t>
      </w:r>
      <w:r>
        <w:rPr>
          <w:spacing w:val="1"/>
          <w:sz w:val="21"/>
          <w:szCs w:val="21"/>
        </w:rPr>
        <w:t>移交</w:t>
      </w:r>
      <w:r>
        <w:rPr>
          <w:sz w:val="21"/>
          <w:szCs w:val="21"/>
        </w:rPr>
        <w:t xml:space="preserve"> </w:t>
      </w:r>
      <w:r>
        <w:rPr>
          <w:spacing w:val="2"/>
          <w:sz w:val="21"/>
          <w:szCs w:val="21"/>
        </w:rPr>
        <w:t xml:space="preserve">工作，按发包人要求将承包人设备和人员撤出施工场地。承包人撤出施工场地应遵守第18.7.1项 </w:t>
      </w:r>
      <w:r>
        <w:rPr>
          <w:spacing w:val="-2"/>
          <w:sz w:val="21"/>
          <w:szCs w:val="21"/>
        </w:rPr>
        <w:t>的约定，发包人应为承包人撤出提供必要条件。</w:t>
      </w:r>
    </w:p>
    <w:p w14:paraId="45D002F7">
      <w:pPr>
        <w:pStyle w:val="2"/>
        <w:spacing w:before="1" w:line="221" w:lineRule="auto"/>
        <w:ind w:left="3"/>
        <w:rPr>
          <w:rFonts w:ascii="黑体" w:hAnsi="黑体" w:eastAsia="黑体" w:cs="黑体"/>
          <w:sz w:val="24"/>
          <w:szCs w:val="24"/>
        </w:rPr>
      </w:pPr>
      <w:r>
        <w:rPr>
          <w:b/>
          <w:bCs/>
          <w:spacing w:val="-8"/>
          <w:sz w:val="24"/>
          <w:szCs w:val="24"/>
        </w:rPr>
        <w:t>22.3</w:t>
      </w:r>
      <w:r>
        <w:rPr>
          <w:spacing w:val="-8"/>
          <w:sz w:val="24"/>
          <w:szCs w:val="24"/>
        </w:rPr>
        <w:t xml:space="preserve"> </w:t>
      </w:r>
      <w:r>
        <w:rPr>
          <w:rFonts w:ascii="黑体" w:hAnsi="黑体" w:eastAsia="黑体" w:cs="黑体"/>
          <w:b/>
          <w:bCs/>
          <w:spacing w:val="-8"/>
          <w:sz w:val="24"/>
          <w:szCs w:val="24"/>
        </w:rPr>
        <w:t>第三人造成的违约</w:t>
      </w:r>
    </w:p>
    <w:p w14:paraId="499053F3">
      <w:pPr>
        <w:pStyle w:val="2"/>
        <w:spacing w:before="144" w:line="353" w:lineRule="auto"/>
        <w:ind w:right="71" w:firstLine="429"/>
        <w:rPr>
          <w:sz w:val="21"/>
          <w:szCs w:val="21"/>
        </w:rPr>
      </w:pPr>
      <w:r>
        <w:rPr>
          <w:spacing w:val="2"/>
          <w:sz w:val="21"/>
          <w:szCs w:val="21"/>
        </w:rPr>
        <w:t xml:space="preserve">在履行合同过程中，一方当事人因第三人的原因造成违约的，应当向对方当事人承担违约责 </w:t>
      </w:r>
      <w:r>
        <w:rPr>
          <w:sz w:val="21"/>
          <w:szCs w:val="21"/>
        </w:rPr>
        <w:t>任。一方当事人和第三人之间的纠纷，依照法律规定或者按</w:t>
      </w:r>
      <w:r>
        <w:rPr>
          <w:spacing w:val="-1"/>
          <w:sz w:val="21"/>
          <w:szCs w:val="21"/>
        </w:rPr>
        <w:t>照约定解决。</w:t>
      </w:r>
    </w:p>
    <w:p w14:paraId="703B1973">
      <w:pPr>
        <w:pStyle w:val="2"/>
        <w:spacing w:before="15" w:line="222" w:lineRule="auto"/>
        <w:ind w:left="4"/>
        <w:rPr>
          <w:rFonts w:ascii="黑体" w:hAnsi="黑体" w:eastAsia="黑体" w:cs="黑体"/>
          <w:sz w:val="29"/>
          <w:szCs w:val="29"/>
        </w:rPr>
      </w:pPr>
      <w:r>
        <w:rPr>
          <w:b/>
          <w:bCs/>
          <w:spacing w:val="-8"/>
          <w:sz w:val="29"/>
          <w:szCs w:val="29"/>
        </w:rPr>
        <w:t>23.</w:t>
      </w:r>
      <w:r>
        <w:rPr>
          <w:spacing w:val="-65"/>
          <w:sz w:val="29"/>
          <w:szCs w:val="29"/>
        </w:rPr>
        <w:t xml:space="preserve"> </w:t>
      </w:r>
      <w:r>
        <w:rPr>
          <w:rFonts w:ascii="黑体" w:hAnsi="黑体" w:eastAsia="黑体" w:cs="黑体"/>
          <w:b/>
          <w:bCs/>
          <w:spacing w:val="-8"/>
          <w:sz w:val="29"/>
          <w:szCs w:val="29"/>
        </w:rPr>
        <w:t>索赔</w:t>
      </w:r>
    </w:p>
    <w:p w14:paraId="6C54BB82">
      <w:pPr>
        <w:pStyle w:val="2"/>
        <w:spacing w:before="100" w:line="222" w:lineRule="auto"/>
        <w:ind w:left="3"/>
        <w:rPr>
          <w:rFonts w:ascii="黑体" w:hAnsi="黑体" w:eastAsia="黑体" w:cs="黑体"/>
          <w:sz w:val="24"/>
          <w:szCs w:val="24"/>
        </w:rPr>
      </w:pPr>
      <w:r>
        <w:rPr>
          <w:b/>
          <w:bCs/>
          <w:spacing w:val="-6"/>
          <w:sz w:val="24"/>
          <w:szCs w:val="24"/>
        </w:rPr>
        <w:t>23.1</w:t>
      </w:r>
      <w:r>
        <w:rPr>
          <w:spacing w:val="-27"/>
          <w:sz w:val="24"/>
          <w:szCs w:val="24"/>
        </w:rPr>
        <w:t xml:space="preserve"> </w:t>
      </w:r>
      <w:r>
        <w:rPr>
          <w:rFonts w:ascii="黑体" w:hAnsi="黑体" w:eastAsia="黑体" w:cs="黑体"/>
          <w:b/>
          <w:bCs/>
          <w:spacing w:val="-6"/>
          <w:sz w:val="24"/>
          <w:szCs w:val="24"/>
        </w:rPr>
        <w:t>承包人索赔的提出</w:t>
      </w:r>
    </w:p>
    <w:p w14:paraId="54B41AC8">
      <w:pPr>
        <w:pStyle w:val="2"/>
        <w:spacing w:before="145" w:line="345" w:lineRule="auto"/>
        <w:ind w:right="76" w:firstLine="429"/>
        <w:rPr>
          <w:sz w:val="21"/>
          <w:szCs w:val="21"/>
        </w:rPr>
      </w:pPr>
      <w:r>
        <w:rPr>
          <w:spacing w:val="7"/>
          <w:sz w:val="21"/>
          <w:szCs w:val="21"/>
        </w:rPr>
        <w:t xml:space="preserve">根据合同约定，承包人认为有权得到追加付款和(或)延长工期的，应按以下程序向发包人 </w:t>
      </w:r>
      <w:r>
        <w:rPr>
          <w:spacing w:val="-6"/>
          <w:sz w:val="21"/>
          <w:szCs w:val="21"/>
        </w:rPr>
        <w:t>提出索赔：</w:t>
      </w:r>
    </w:p>
    <w:p w14:paraId="28971478">
      <w:pPr>
        <w:pStyle w:val="2"/>
        <w:tabs>
          <w:tab w:val="left" w:pos="118"/>
        </w:tabs>
        <w:spacing w:before="24" w:line="302" w:lineRule="auto"/>
        <w:ind w:right="48" w:firstLine="479"/>
        <w:rPr>
          <w:sz w:val="21"/>
          <w:szCs w:val="21"/>
        </w:rPr>
      </w:pPr>
      <w:r>
        <w:rPr>
          <w:spacing w:val="3"/>
          <w:sz w:val="21"/>
          <w:szCs w:val="21"/>
        </w:rPr>
        <w:t>(1)承包人应在知道或应当知道索赔事件发生后28天内，向监理人递交索赔意向通知书，并</w:t>
      </w:r>
      <w:r>
        <w:rPr>
          <w:spacing w:val="7"/>
          <w:sz w:val="21"/>
          <w:szCs w:val="21"/>
        </w:rPr>
        <w:t xml:space="preserve"> </w:t>
      </w:r>
      <w:r>
        <w:rPr>
          <w:spacing w:val="3"/>
          <w:sz w:val="21"/>
          <w:szCs w:val="21"/>
        </w:rPr>
        <w:t>说明发生索赔事件的事由。承包人未在前述28天内发出索赔意向</w:t>
      </w:r>
      <w:r>
        <w:rPr>
          <w:spacing w:val="2"/>
          <w:sz w:val="21"/>
          <w:szCs w:val="21"/>
        </w:rPr>
        <w:t>通知书的，丧失要求追加付款和</w:t>
      </w:r>
      <w:r>
        <w:rPr>
          <w:sz w:val="21"/>
          <w:szCs w:val="21"/>
        </w:rPr>
        <w:t xml:space="preserve"> </w:t>
      </w:r>
      <w:r>
        <w:rPr>
          <w:sz w:val="21"/>
          <w:szCs w:val="21"/>
        </w:rPr>
        <w:tab/>
      </w:r>
      <w:r>
        <w:rPr>
          <w:spacing w:val="6"/>
          <w:sz w:val="21"/>
          <w:szCs w:val="21"/>
        </w:rPr>
        <w:t>(或)延长工期的权利；</w:t>
      </w:r>
    </w:p>
    <w:p w14:paraId="04D65A64">
      <w:pPr>
        <w:pStyle w:val="2"/>
        <w:spacing w:before="169" w:line="281" w:lineRule="auto"/>
        <w:ind w:firstLine="489"/>
        <w:rPr>
          <w:sz w:val="21"/>
          <w:szCs w:val="21"/>
        </w:rPr>
      </w:pPr>
      <w:r>
        <w:rPr>
          <w:spacing w:val="3"/>
          <w:sz w:val="21"/>
          <w:szCs w:val="21"/>
        </w:rPr>
        <w:t>(2)承包人应在发出索赔意向通知书后28天内，向监理人正式递交索赔通知书。索赔通知书</w:t>
      </w:r>
      <w:r>
        <w:rPr>
          <w:spacing w:val="1"/>
          <w:sz w:val="21"/>
          <w:szCs w:val="21"/>
        </w:rPr>
        <w:t xml:space="preserve"> </w:t>
      </w:r>
      <w:r>
        <w:rPr>
          <w:spacing w:val="4"/>
          <w:sz w:val="21"/>
          <w:szCs w:val="21"/>
        </w:rPr>
        <w:t>应详细说明索赔理由以及要求追加的付款金额和(或)延长的工期，并附必要的</w:t>
      </w:r>
      <w:r>
        <w:rPr>
          <w:spacing w:val="3"/>
          <w:sz w:val="21"/>
          <w:szCs w:val="21"/>
        </w:rPr>
        <w:t>记录和证明材料；</w:t>
      </w:r>
    </w:p>
    <w:p w14:paraId="16FD903B">
      <w:pPr>
        <w:spacing w:line="281" w:lineRule="auto"/>
        <w:rPr>
          <w:sz w:val="21"/>
          <w:szCs w:val="21"/>
        </w:rPr>
        <w:sectPr>
          <w:footerReference r:id="rId146" w:type="default"/>
          <w:pgSz w:w="11910" w:h="16840"/>
          <w:pgMar w:top="400" w:right="1474" w:bottom="1024" w:left="1450" w:header="0" w:footer="889" w:gutter="0"/>
          <w:cols w:space="720" w:num="1"/>
        </w:sectPr>
      </w:pPr>
    </w:p>
    <w:p w14:paraId="4C0FF56F">
      <w:pPr>
        <w:spacing w:line="272" w:lineRule="auto"/>
        <w:rPr>
          <w:rFonts w:ascii="Arial"/>
          <w:sz w:val="21"/>
        </w:rPr>
      </w:pPr>
    </w:p>
    <w:p w14:paraId="6A49FE3F">
      <w:pPr>
        <w:spacing w:line="272" w:lineRule="auto"/>
        <w:rPr>
          <w:rFonts w:ascii="Arial"/>
          <w:sz w:val="21"/>
        </w:rPr>
      </w:pPr>
    </w:p>
    <w:p w14:paraId="1E8057DF">
      <w:pPr>
        <w:spacing w:line="272" w:lineRule="auto"/>
        <w:rPr>
          <w:rFonts w:ascii="Arial"/>
          <w:sz w:val="21"/>
        </w:rPr>
      </w:pPr>
    </w:p>
    <w:p w14:paraId="6B5CFAAB">
      <w:pPr>
        <w:spacing w:line="272" w:lineRule="auto"/>
        <w:rPr>
          <w:rFonts w:ascii="Arial"/>
          <w:sz w:val="21"/>
        </w:rPr>
      </w:pPr>
    </w:p>
    <w:p w14:paraId="3590FE33">
      <w:pPr>
        <w:spacing w:line="273" w:lineRule="auto"/>
        <w:rPr>
          <w:rFonts w:ascii="Arial"/>
          <w:sz w:val="21"/>
        </w:rPr>
      </w:pPr>
    </w:p>
    <w:p w14:paraId="69F713D4">
      <w:pPr>
        <w:pStyle w:val="2"/>
        <w:spacing w:before="69" w:line="281" w:lineRule="auto"/>
        <w:ind w:right="53" w:firstLine="489"/>
        <w:rPr>
          <w:sz w:val="21"/>
          <w:szCs w:val="21"/>
        </w:rPr>
      </w:pPr>
      <w:r>
        <w:rPr>
          <w:spacing w:val="4"/>
          <w:sz w:val="21"/>
          <w:szCs w:val="21"/>
        </w:rPr>
        <w:t>(3)索赔事件具有连续影响的，承包人应按合理</w:t>
      </w:r>
      <w:r>
        <w:rPr>
          <w:spacing w:val="3"/>
          <w:sz w:val="21"/>
          <w:szCs w:val="21"/>
        </w:rPr>
        <w:t>时间间隔继续递交延续索赔通知，说明连续</w:t>
      </w:r>
      <w:r>
        <w:rPr>
          <w:sz w:val="21"/>
          <w:szCs w:val="21"/>
        </w:rPr>
        <w:t xml:space="preserve"> </w:t>
      </w:r>
      <w:r>
        <w:rPr>
          <w:spacing w:val="6"/>
          <w:sz w:val="21"/>
          <w:szCs w:val="21"/>
        </w:rPr>
        <w:t>影响的实际情况和记录，列出累计的追加付款金额和(或)工期</w:t>
      </w:r>
      <w:r>
        <w:rPr>
          <w:spacing w:val="5"/>
          <w:sz w:val="21"/>
          <w:szCs w:val="21"/>
        </w:rPr>
        <w:t>延长天数；</w:t>
      </w:r>
    </w:p>
    <w:p w14:paraId="1BACA656">
      <w:pPr>
        <w:pStyle w:val="2"/>
        <w:spacing w:before="150" w:line="285" w:lineRule="auto"/>
        <w:ind w:right="54" w:firstLine="489"/>
        <w:rPr>
          <w:sz w:val="21"/>
          <w:szCs w:val="21"/>
        </w:rPr>
      </w:pPr>
      <w:r>
        <w:rPr>
          <w:spacing w:val="3"/>
          <w:sz w:val="21"/>
          <w:szCs w:val="21"/>
        </w:rPr>
        <w:t>(4)在索赔事件影响结束后的28天内，承包人应向监理人递交最终索赔通知书，说明最终要</w:t>
      </w:r>
      <w:r>
        <w:rPr>
          <w:spacing w:val="18"/>
          <w:sz w:val="21"/>
          <w:szCs w:val="21"/>
        </w:rPr>
        <w:t xml:space="preserve"> </w:t>
      </w:r>
      <w:r>
        <w:rPr>
          <w:spacing w:val="-1"/>
          <w:sz w:val="21"/>
          <w:szCs w:val="21"/>
        </w:rPr>
        <w:t>求索赔的追加付款金额和延长的工期，并附必</w:t>
      </w:r>
      <w:r>
        <w:rPr>
          <w:spacing w:val="-2"/>
          <w:sz w:val="21"/>
          <w:szCs w:val="21"/>
        </w:rPr>
        <w:t>要的记录和证明材料。</w:t>
      </w:r>
    </w:p>
    <w:p w14:paraId="61578997">
      <w:pPr>
        <w:spacing w:before="128" w:line="222" w:lineRule="auto"/>
        <w:ind w:left="3"/>
        <w:rPr>
          <w:rFonts w:ascii="黑体" w:hAnsi="黑体" w:eastAsia="黑体" w:cs="黑体"/>
          <w:sz w:val="24"/>
          <w:szCs w:val="24"/>
        </w:rPr>
      </w:pPr>
      <w:r>
        <w:rPr>
          <w:rFonts w:ascii="黑体" w:hAnsi="黑体" w:eastAsia="黑体" w:cs="黑体"/>
          <w:b/>
          <w:bCs/>
          <w:spacing w:val="1"/>
          <w:sz w:val="24"/>
          <w:szCs w:val="24"/>
        </w:rPr>
        <w:t>23.2承包人索赔处理程序</w:t>
      </w:r>
    </w:p>
    <w:p w14:paraId="50F11CE5">
      <w:pPr>
        <w:pStyle w:val="2"/>
        <w:spacing w:before="154" w:line="272" w:lineRule="auto"/>
        <w:ind w:right="48" w:firstLine="489"/>
        <w:rPr>
          <w:sz w:val="21"/>
          <w:szCs w:val="21"/>
        </w:rPr>
      </w:pPr>
      <w:r>
        <w:rPr>
          <w:spacing w:val="4"/>
          <w:sz w:val="21"/>
          <w:szCs w:val="21"/>
        </w:rPr>
        <w:t>(1)监理人收到承包人提交的索赔通知书后，应及时审查索</w:t>
      </w:r>
      <w:r>
        <w:rPr>
          <w:spacing w:val="3"/>
          <w:sz w:val="21"/>
          <w:szCs w:val="21"/>
        </w:rPr>
        <w:t>赔通知书的内容、查验承包人的</w:t>
      </w:r>
      <w:r>
        <w:rPr>
          <w:sz w:val="21"/>
          <w:szCs w:val="21"/>
        </w:rPr>
        <w:t xml:space="preserve"> </w:t>
      </w:r>
      <w:r>
        <w:rPr>
          <w:spacing w:val="-1"/>
          <w:sz w:val="21"/>
          <w:szCs w:val="21"/>
        </w:rPr>
        <w:t>记录和证明材料，必要时监理人可要求承包人提交全部</w:t>
      </w:r>
      <w:r>
        <w:rPr>
          <w:spacing w:val="-2"/>
          <w:sz w:val="21"/>
          <w:szCs w:val="21"/>
        </w:rPr>
        <w:t>原始记录副本。</w:t>
      </w:r>
    </w:p>
    <w:p w14:paraId="0E23E29F">
      <w:pPr>
        <w:pStyle w:val="2"/>
        <w:spacing w:before="182" w:line="276" w:lineRule="auto"/>
        <w:ind w:right="56" w:firstLine="489"/>
        <w:rPr>
          <w:sz w:val="21"/>
          <w:szCs w:val="21"/>
        </w:rPr>
      </w:pPr>
      <w:r>
        <w:rPr>
          <w:spacing w:val="11"/>
          <w:sz w:val="21"/>
          <w:szCs w:val="21"/>
        </w:rPr>
        <w:t>(2)监理人应按第3.5款商定或确定追加的付款和(或)延长的工期，并在收到</w:t>
      </w:r>
      <w:r>
        <w:rPr>
          <w:spacing w:val="10"/>
          <w:sz w:val="21"/>
          <w:szCs w:val="21"/>
        </w:rPr>
        <w:t>上述索赔通</w:t>
      </w:r>
      <w:r>
        <w:rPr>
          <w:sz w:val="21"/>
          <w:szCs w:val="21"/>
        </w:rPr>
        <w:t xml:space="preserve"> </w:t>
      </w:r>
      <w:r>
        <w:rPr>
          <w:spacing w:val="3"/>
          <w:sz w:val="21"/>
          <w:szCs w:val="21"/>
        </w:rPr>
        <w:t>知书或有关索赔的进一步证明材料后的42天内，将索</w:t>
      </w:r>
      <w:r>
        <w:rPr>
          <w:spacing w:val="2"/>
          <w:sz w:val="21"/>
          <w:szCs w:val="21"/>
        </w:rPr>
        <w:t>赔处理结果答复承包人。</w:t>
      </w:r>
    </w:p>
    <w:p w14:paraId="1CDFD408">
      <w:pPr>
        <w:pStyle w:val="2"/>
        <w:spacing w:before="163" w:line="285" w:lineRule="auto"/>
        <w:ind w:right="54" w:firstLine="489"/>
        <w:rPr>
          <w:sz w:val="21"/>
          <w:szCs w:val="21"/>
        </w:rPr>
      </w:pPr>
      <w:r>
        <w:rPr>
          <w:spacing w:val="3"/>
          <w:sz w:val="21"/>
          <w:szCs w:val="21"/>
        </w:rPr>
        <w:t>(3)承包人接受索赔处理结果的，发包人应在作出索赔处理结果答复后28天内完成赔付。承</w:t>
      </w:r>
      <w:r>
        <w:rPr>
          <w:spacing w:val="18"/>
          <w:sz w:val="21"/>
          <w:szCs w:val="21"/>
        </w:rPr>
        <w:t xml:space="preserve"> </w:t>
      </w:r>
      <w:r>
        <w:rPr>
          <w:spacing w:val="3"/>
          <w:sz w:val="21"/>
          <w:szCs w:val="21"/>
        </w:rPr>
        <w:t>包人不接受索赔处理结果的，按第24条的约定办理。</w:t>
      </w:r>
    </w:p>
    <w:p w14:paraId="161FB316">
      <w:pPr>
        <w:spacing w:before="127" w:line="222" w:lineRule="auto"/>
        <w:ind w:left="3"/>
        <w:rPr>
          <w:rFonts w:ascii="黑体" w:hAnsi="黑体" w:eastAsia="黑体" w:cs="黑体"/>
          <w:sz w:val="24"/>
          <w:szCs w:val="24"/>
        </w:rPr>
      </w:pPr>
      <w:r>
        <w:rPr>
          <w:rFonts w:ascii="黑体" w:hAnsi="黑体" w:eastAsia="黑体" w:cs="黑体"/>
          <w:b/>
          <w:bCs/>
          <w:spacing w:val="1"/>
          <w:sz w:val="24"/>
          <w:szCs w:val="24"/>
        </w:rPr>
        <w:t>23.3承包人提出索赔的期限</w:t>
      </w:r>
    </w:p>
    <w:p w14:paraId="6BA56A8E">
      <w:pPr>
        <w:pStyle w:val="2"/>
        <w:spacing w:before="114" w:line="294" w:lineRule="auto"/>
        <w:ind w:right="57" w:firstLine="429"/>
        <w:rPr>
          <w:sz w:val="21"/>
          <w:szCs w:val="21"/>
        </w:rPr>
      </w:pPr>
      <w:r>
        <w:rPr>
          <w:spacing w:val="2"/>
          <w:sz w:val="21"/>
          <w:szCs w:val="21"/>
        </w:rPr>
        <w:t>23.3.1承包人按第17.5款的约定接受了竣工付款证书后，应被认为已无权再提出在合同工程</w:t>
      </w:r>
      <w:r>
        <w:rPr>
          <w:spacing w:val="6"/>
          <w:sz w:val="21"/>
          <w:szCs w:val="21"/>
        </w:rPr>
        <w:t xml:space="preserve"> </w:t>
      </w:r>
      <w:r>
        <w:rPr>
          <w:spacing w:val="-3"/>
          <w:sz w:val="21"/>
          <w:szCs w:val="21"/>
        </w:rPr>
        <w:t>接收证书颁发前所发生的任何索赔。</w:t>
      </w:r>
    </w:p>
    <w:p w14:paraId="0CC74A70">
      <w:pPr>
        <w:pStyle w:val="2"/>
        <w:spacing w:before="171" w:line="276" w:lineRule="auto"/>
        <w:ind w:right="49" w:firstLine="429"/>
        <w:rPr>
          <w:sz w:val="21"/>
          <w:szCs w:val="21"/>
        </w:rPr>
      </w:pPr>
      <w:r>
        <w:rPr>
          <w:sz w:val="21"/>
          <w:szCs w:val="21"/>
        </w:rPr>
        <w:t xml:space="preserve">23.3.2 承包人按第17.6款的约定提交的最终结清申请单中，只限于提出工程接收证书颁发后 </w:t>
      </w:r>
      <w:r>
        <w:rPr>
          <w:spacing w:val="-1"/>
          <w:sz w:val="21"/>
          <w:szCs w:val="21"/>
        </w:rPr>
        <w:t>发生的索赔。提出索赔的期限自接受最终结清证书时终止。</w:t>
      </w:r>
    </w:p>
    <w:p w14:paraId="0E62116C">
      <w:pPr>
        <w:pStyle w:val="2"/>
        <w:spacing w:before="108" w:line="221" w:lineRule="auto"/>
        <w:ind w:left="3"/>
        <w:rPr>
          <w:rFonts w:ascii="黑体" w:hAnsi="黑体" w:eastAsia="黑体" w:cs="黑体"/>
          <w:sz w:val="24"/>
          <w:szCs w:val="24"/>
        </w:rPr>
      </w:pPr>
      <w:r>
        <w:rPr>
          <w:b/>
          <w:bCs/>
          <w:spacing w:val="-8"/>
          <w:sz w:val="24"/>
          <w:szCs w:val="24"/>
        </w:rPr>
        <w:t>23.4</w:t>
      </w:r>
      <w:r>
        <w:rPr>
          <w:spacing w:val="-8"/>
          <w:sz w:val="24"/>
          <w:szCs w:val="24"/>
        </w:rPr>
        <w:t xml:space="preserve"> </w:t>
      </w:r>
      <w:r>
        <w:rPr>
          <w:rFonts w:ascii="黑体" w:hAnsi="黑体" w:eastAsia="黑体" w:cs="黑体"/>
          <w:b/>
          <w:bCs/>
          <w:spacing w:val="-8"/>
          <w:sz w:val="24"/>
          <w:szCs w:val="24"/>
        </w:rPr>
        <w:t>发包人的索赔</w:t>
      </w:r>
    </w:p>
    <w:p w14:paraId="16D521E5">
      <w:pPr>
        <w:pStyle w:val="2"/>
        <w:spacing w:before="165" w:line="302" w:lineRule="auto"/>
        <w:ind w:firstLine="429"/>
        <w:rPr>
          <w:sz w:val="21"/>
          <w:szCs w:val="21"/>
        </w:rPr>
      </w:pPr>
      <w:r>
        <w:rPr>
          <w:spacing w:val="2"/>
          <w:sz w:val="21"/>
          <w:szCs w:val="21"/>
        </w:rPr>
        <w:t>23.4.1发生索赔事件后，监理人应及时书面通知承包人，详细说明发包人有权得到的索赔金</w:t>
      </w:r>
      <w:r>
        <w:rPr>
          <w:spacing w:val="12"/>
          <w:sz w:val="21"/>
          <w:szCs w:val="21"/>
        </w:rPr>
        <w:t xml:space="preserve"> </w:t>
      </w:r>
      <w:r>
        <w:rPr>
          <w:spacing w:val="4"/>
          <w:sz w:val="21"/>
          <w:szCs w:val="21"/>
        </w:rPr>
        <w:t>额和(或)延长缺陷责任期的细节和依据。发包人提出索赔的期</w:t>
      </w:r>
      <w:r>
        <w:rPr>
          <w:spacing w:val="3"/>
          <w:sz w:val="21"/>
          <w:szCs w:val="21"/>
        </w:rPr>
        <w:t>限和要求与第23.3款的约定相同，</w:t>
      </w:r>
      <w:r>
        <w:rPr>
          <w:sz w:val="21"/>
          <w:szCs w:val="21"/>
        </w:rPr>
        <w:t xml:space="preserve"> </w:t>
      </w:r>
      <w:r>
        <w:rPr>
          <w:spacing w:val="-2"/>
          <w:sz w:val="21"/>
          <w:szCs w:val="21"/>
        </w:rPr>
        <w:t>延长缺陷责任期的通知应在缺陷责任期届满前发出。</w:t>
      </w:r>
    </w:p>
    <w:p w14:paraId="22DB4B83">
      <w:pPr>
        <w:pStyle w:val="2"/>
        <w:spacing w:before="180" w:line="302" w:lineRule="auto"/>
        <w:ind w:right="48" w:firstLine="429"/>
        <w:rPr>
          <w:sz w:val="21"/>
          <w:szCs w:val="21"/>
        </w:rPr>
      </w:pPr>
      <w:r>
        <w:rPr>
          <w:spacing w:val="2"/>
          <w:sz w:val="21"/>
          <w:szCs w:val="21"/>
        </w:rPr>
        <w:t>23.4.2 监理人按第3.5款商定或确定发包人从承包人处得到赔付的金额和(或)缺陷责任期的</w:t>
      </w:r>
      <w:r>
        <w:rPr>
          <w:spacing w:val="13"/>
          <w:sz w:val="21"/>
          <w:szCs w:val="21"/>
        </w:rPr>
        <w:t xml:space="preserve"> </w:t>
      </w:r>
      <w:r>
        <w:rPr>
          <w:spacing w:val="3"/>
          <w:sz w:val="21"/>
          <w:szCs w:val="21"/>
        </w:rPr>
        <w:t>延长期。承包人应付给发包人的金额可从拟支付给承</w:t>
      </w:r>
      <w:r>
        <w:rPr>
          <w:spacing w:val="2"/>
          <w:sz w:val="21"/>
          <w:szCs w:val="21"/>
        </w:rPr>
        <w:t>包人的合同价款中扣除，或由承包人以其他</w:t>
      </w:r>
      <w:r>
        <w:rPr>
          <w:sz w:val="21"/>
          <w:szCs w:val="21"/>
        </w:rPr>
        <w:t xml:space="preserve"> </w:t>
      </w:r>
      <w:r>
        <w:rPr>
          <w:spacing w:val="-4"/>
          <w:sz w:val="21"/>
          <w:szCs w:val="21"/>
        </w:rPr>
        <w:t>方式支付给发包人。</w:t>
      </w:r>
    </w:p>
    <w:p w14:paraId="7F92FD2A">
      <w:pPr>
        <w:pStyle w:val="2"/>
        <w:spacing w:before="178" w:line="222" w:lineRule="auto"/>
        <w:ind w:left="4"/>
        <w:rPr>
          <w:rFonts w:ascii="黑体" w:hAnsi="黑体" w:eastAsia="黑体" w:cs="黑体"/>
          <w:sz w:val="29"/>
          <w:szCs w:val="29"/>
        </w:rPr>
      </w:pPr>
      <w:r>
        <w:rPr>
          <w:b/>
          <w:bCs/>
          <w:spacing w:val="-5"/>
          <w:sz w:val="29"/>
          <w:szCs w:val="29"/>
        </w:rPr>
        <w:t>24.</w:t>
      </w:r>
      <w:r>
        <w:rPr>
          <w:spacing w:val="-65"/>
          <w:sz w:val="29"/>
          <w:szCs w:val="29"/>
        </w:rPr>
        <w:t xml:space="preserve"> </w:t>
      </w:r>
      <w:r>
        <w:rPr>
          <w:rFonts w:ascii="黑体" w:hAnsi="黑体" w:eastAsia="黑体" w:cs="黑体"/>
          <w:b/>
          <w:bCs/>
          <w:spacing w:val="-5"/>
          <w:sz w:val="29"/>
          <w:szCs w:val="29"/>
        </w:rPr>
        <w:t>争议的解决</w:t>
      </w:r>
    </w:p>
    <w:p w14:paraId="60BC7C6F">
      <w:pPr>
        <w:pStyle w:val="2"/>
        <w:spacing w:before="99" w:line="221" w:lineRule="auto"/>
        <w:ind w:left="3"/>
        <w:rPr>
          <w:rFonts w:ascii="黑体" w:hAnsi="黑体" w:eastAsia="黑体" w:cs="黑体"/>
          <w:sz w:val="24"/>
          <w:szCs w:val="24"/>
        </w:rPr>
      </w:pPr>
      <w:r>
        <w:rPr>
          <w:b/>
          <w:bCs/>
          <w:spacing w:val="-8"/>
          <w:sz w:val="24"/>
          <w:szCs w:val="24"/>
        </w:rPr>
        <w:t>24.1</w:t>
      </w:r>
      <w:r>
        <w:rPr>
          <w:spacing w:val="-8"/>
          <w:sz w:val="24"/>
          <w:szCs w:val="24"/>
        </w:rPr>
        <w:t xml:space="preserve"> </w:t>
      </w:r>
      <w:r>
        <w:rPr>
          <w:rFonts w:ascii="黑体" w:hAnsi="黑体" w:eastAsia="黑体" w:cs="黑体"/>
          <w:b/>
          <w:bCs/>
          <w:spacing w:val="-8"/>
          <w:sz w:val="24"/>
          <w:szCs w:val="24"/>
        </w:rPr>
        <w:t>争议的解决方式</w:t>
      </w:r>
    </w:p>
    <w:p w14:paraId="3211A402">
      <w:pPr>
        <w:pStyle w:val="2"/>
        <w:spacing w:before="138" w:line="353" w:lineRule="auto"/>
        <w:ind w:right="76" w:firstLine="429"/>
        <w:jc w:val="both"/>
        <w:rPr>
          <w:sz w:val="21"/>
          <w:szCs w:val="21"/>
        </w:rPr>
      </w:pPr>
      <w:r>
        <w:rPr>
          <w:spacing w:val="2"/>
          <w:sz w:val="21"/>
          <w:szCs w:val="21"/>
        </w:rPr>
        <w:t>发包人和承包人在履行合同中发生争议的，可以友好协商解决或者提请争议评审组评</w:t>
      </w:r>
      <w:r>
        <w:rPr>
          <w:spacing w:val="1"/>
          <w:sz w:val="21"/>
          <w:szCs w:val="21"/>
        </w:rPr>
        <w:t>审。合</w:t>
      </w:r>
      <w:r>
        <w:rPr>
          <w:sz w:val="21"/>
          <w:szCs w:val="21"/>
        </w:rPr>
        <w:t xml:space="preserve"> </w:t>
      </w:r>
      <w:r>
        <w:rPr>
          <w:spacing w:val="2"/>
          <w:sz w:val="21"/>
          <w:szCs w:val="21"/>
        </w:rPr>
        <w:t>同当事人友好协商解决不成、不愿提请争议评审或者不接</w:t>
      </w:r>
      <w:r>
        <w:rPr>
          <w:spacing w:val="1"/>
          <w:sz w:val="21"/>
          <w:szCs w:val="21"/>
        </w:rPr>
        <w:t>受争议评审组意见的，可在专用合同条</w:t>
      </w:r>
      <w:r>
        <w:rPr>
          <w:sz w:val="21"/>
          <w:szCs w:val="21"/>
        </w:rPr>
        <w:t xml:space="preserve"> </w:t>
      </w:r>
      <w:r>
        <w:rPr>
          <w:spacing w:val="-3"/>
          <w:sz w:val="21"/>
          <w:szCs w:val="21"/>
        </w:rPr>
        <w:t>款中约定下列一种方式解决。</w:t>
      </w:r>
    </w:p>
    <w:p w14:paraId="5CC17BA4">
      <w:pPr>
        <w:pStyle w:val="2"/>
        <w:spacing w:before="4" w:line="219" w:lineRule="auto"/>
        <w:ind w:left="550"/>
        <w:rPr>
          <w:sz w:val="21"/>
          <w:szCs w:val="21"/>
        </w:rPr>
      </w:pPr>
      <w:r>
        <w:rPr>
          <w:spacing w:val="2"/>
          <w:sz w:val="21"/>
          <w:szCs w:val="21"/>
        </w:rPr>
        <w:t>(1)向约定的仲裁委员会申请仲裁；</w:t>
      </w:r>
    </w:p>
    <w:p w14:paraId="57552F04">
      <w:pPr>
        <w:pStyle w:val="2"/>
        <w:spacing w:before="140" w:line="219" w:lineRule="auto"/>
        <w:ind w:left="560"/>
        <w:rPr>
          <w:sz w:val="21"/>
          <w:szCs w:val="21"/>
        </w:rPr>
      </w:pPr>
      <w:r>
        <w:rPr>
          <w:spacing w:val="3"/>
          <w:sz w:val="21"/>
          <w:szCs w:val="21"/>
        </w:rPr>
        <w:t>(2)向有管辖权的人民法院提起诉讼。</w:t>
      </w:r>
    </w:p>
    <w:p w14:paraId="5200F0C8">
      <w:pPr>
        <w:pStyle w:val="2"/>
        <w:spacing w:before="131" w:line="222" w:lineRule="auto"/>
        <w:ind w:left="3"/>
        <w:rPr>
          <w:rFonts w:ascii="黑体" w:hAnsi="黑体" w:eastAsia="黑体" w:cs="黑体"/>
          <w:sz w:val="24"/>
          <w:szCs w:val="24"/>
        </w:rPr>
      </w:pPr>
      <w:r>
        <w:rPr>
          <w:b/>
          <w:bCs/>
          <w:spacing w:val="-10"/>
          <w:sz w:val="24"/>
          <w:szCs w:val="24"/>
        </w:rPr>
        <w:t>24.2</w:t>
      </w:r>
      <w:r>
        <w:rPr>
          <w:spacing w:val="13"/>
          <w:sz w:val="24"/>
          <w:szCs w:val="24"/>
        </w:rPr>
        <w:t xml:space="preserve"> </w:t>
      </w:r>
      <w:r>
        <w:rPr>
          <w:rFonts w:ascii="黑体" w:hAnsi="黑体" w:eastAsia="黑体" w:cs="黑体"/>
          <w:b/>
          <w:bCs/>
          <w:spacing w:val="-10"/>
          <w:sz w:val="24"/>
          <w:szCs w:val="24"/>
        </w:rPr>
        <w:t>友好解决</w:t>
      </w:r>
    </w:p>
    <w:p w14:paraId="47684329">
      <w:pPr>
        <w:pStyle w:val="2"/>
        <w:spacing w:before="153" w:line="336" w:lineRule="auto"/>
        <w:ind w:right="56" w:firstLine="429"/>
        <w:rPr>
          <w:sz w:val="21"/>
          <w:szCs w:val="21"/>
        </w:rPr>
      </w:pPr>
      <w:r>
        <w:rPr>
          <w:spacing w:val="2"/>
          <w:sz w:val="21"/>
          <w:szCs w:val="21"/>
        </w:rPr>
        <w:t>在提请争议评审、仲裁或者诉讼前，以及在争议评审、仲裁或诉讼过程中，发包人和承包人</w:t>
      </w:r>
      <w:r>
        <w:rPr>
          <w:spacing w:val="17"/>
          <w:sz w:val="21"/>
          <w:szCs w:val="21"/>
        </w:rPr>
        <w:t xml:space="preserve"> </w:t>
      </w:r>
      <w:r>
        <w:rPr>
          <w:spacing w:val="-3"/>
          <w:sz w:val="21"/>
          <w:szCs w:val="21"/>
        </w:rPr>
        <w:t>均可共同努力友好协商解决争议。</w:t>
      </w:r>
    </w:p>
    <w:p w14:paraId="18D962EE">
      <w:pPr>
        <w:spacing w:line="336" w:lineRule="auto"/>
        <w:rPr>
          <w:sz w:val="21"/>
          <w:szCs w:val="21"/>
        </w:rPr>
        <w:sectPr>
          <w:footerReference r:id="rId147" w:type="default"/>
          <w:pgSz w:w="11910" w:h="16840"/>
          <w:pgMar w:top="400" w:right="1474" w:bottom="1017" w:left="1450" w:header="0" w:footer="891" w:gutter="0"/>
          <w:cols w:space="720" w:num="1"/>
        </w:sectPr>
      </w:pPr>
    </w:p>
    <w:p w14:paraId="63315E0F">
      <w:pPr>
        <w:spacing w:line="263" w:lineRule="auto"/>
        <w:rPr>
          <w:rFonts w:ascii="Arial"/>
          <w:sz w:val="21"/>
        </w:rPr>
      </w:pPr>
    </w:p>
    <w:p w14:paraId="22B3472A">
      <w:pPr>
        <w:spacing w:line="263" w:lineRule="auto"/>
        <w:rPr>
          <w:rFonts w:ascii="Arial"/>
          <w:sz w:val="21"/>
        </w:rPr>
      </w:pPr>
    </w:p>
    <w:p w14:paraId="04B0B4AF">
      <w:pPr>
        <w:spacing w:line="264" w:lineRule="auto"/>
        <w:rPr>
          <w:rFonts w:ascii="Arial"/>
          <w:sz w:val="21"/>
        </w:rPr>
      </w:pPr>
    </w:p>
    <w:p w14:paraId="3E3C0E7C">
      <w:pPr>
        <w:spacing w:line="264" w:lineRule="auto"/>
        <w:rPr>
          <w:rFonts w:ascii="Arial"/>
          <w:sz w:val="21"/>
        </w:rPr>
      </w:pPr>
    </w:p>
    <w:p w14:paraId="3104705A">
      <w:pPr>
        <w:spacing w:line="264" w:lineRule="auto"/>
        <w:rPr>
          <w:rFonts w:ascii="Arial"/>
          <w:sz w:val="21"/>
        </w:rPr>
      </w:pPr>
    </w:p>
    <w:p w14:paraId="2E9185CC">
      <w:pPr>
        <w:pStyle w:val="2"/>
        <w:spacing w:before="78" w:line="222" w:lineRule="auto"/>
        <w:ind w:left="3"/>
        <w:rPr>
          <w:rFonts w:ascii="黑体" w:hAnsi="黑体" w:eastAsia="黑体" w:cs="黑体"/>
          <w:sz w:val="24"/>
          <w:szCs w:val="24"/>
        </w:rPr>
      </w:pPr>
      <w:r>
        <w:rPr>
          <w:b/>
          <w:bCs/>
          <w:spacing w:val="-11"/>
          <w:sz w:val="24"/>
          <w:szCs w:val="24"/>
        </w:rPr>
        <w:t>24.3</w:t>
      </w:r>
      <w:r>
        <w:rPr>
          <w:spacing w:val="14"/>
          <w:sz w:val="24"/>
          <w:szCs w:val="24"/>
        </w:rPr>
        <w:t xml:space="preserve"> </w:t>
      </w:r>
      <w:r>
        <w:rPr>
          <w:rFonts w:ascii="黑体" w:hAnsi="黑体" w:eastAsia="黑体" w:cs="黑体"/>
          <w:b/>
          <w:bCs/>
          <w:spacing w:val="-11"/>
          <w:sz w:val="24"/>
          <w:szCs w:val="24"/>
        </w:rPr>
        <w:t>争议评审</w:t>
      </w:r>
    </w:p>
    <w:p w14:paraId="3FE5B9D4">
      <w:pPr>
        <w:pStyle w:val="2"/>
        <w:spacing w:before="153" w:line="295" w:lineRule="auto"/>
        <w:ind w:right="50" w:firstLine="419"/>
        <w:rPr>
          <w:sz w:val="20"/>
          <w:szCs w:val="20"/>
        </w:rPr>
      </w:pPr>
      <w:r>
        <w:rPr>
          <w:rFonts w:ascii="Times New Roman" w:hAnsi="Times New Roman" w:eastAsia="Times New Roman" w:cs="Times New Roman"/>
          <w:b/>
          <w:bCs/>
          <w:spacing w:val="10"/>
          <w:sz w:val="20"/>
          <w:szCs w:val="20"/>
        </w:rPr>
        <w:t>24.3.1</w:t>
      </w:r>
      <w:r>
        <w:rPr>
          <w:rFonts w:ascii="Times New Roman" w:hAnsi="Times New Roman" w:eastAsia="Times New Roman" w:cs="Times New Roman"/>
          <w:b/>
          <w:bCs/>
          <w:spacing w:val="23"/>
          <w:sz w:val="20"/>
          <w:szCs w:val="20"/>
        </w:rPr>
        <w:t xml:space="preserve">  </w:t>
      </w:r>
      <w:r>
        <w:rPr>
          <w:spacing w:val="10"/>
          <w:sz w:val="20"/>
          <w:szCs w:val="20"/>
        </w:rPr>
        <w:t>采用争议评审的，发包人和承包人应在开工日后的28天内或在争议发生后，协商成立</w:t>
      </w:r>
      <w:r>
        <w:rPr>
          <w:sz w:val="20"/>
          <w:szCs w:val="20"/>
        </w:rPr>
        <w:t xml:space="preserve"> </w:t>
      </w:r>
      <w:r>
        <w:rPr>
          <w:spacing w:val="9"/>
          <w:sz w:val="20"/>
          <w:szCs w:val="20"/>
        </w:rPr>
        <w:t>争议评审组。争议评审组由有合同管理和工程实践经验的专家组成。</w:t>
      </w:r>
    </w:p>
    <w:p w14:paraId="44DBB9EF">
      <w:pPr>
        <w:pStyle w:val="2"/>
        <w:spacing w:before="130" w:line="303" w:lineRule="auto"/>
        <w:ind w:right="69" w:firstLine="422"/>
        <w:rPr>
          <w:sz w:val="20"/>
          <w:szCs w:val="20"/>
        </w:rPr>
      </w:pPr>
      <w:r>
        <w:rPr>
          <w:b/>
          <w:bCs/>
          <w:spacing w:val="8"/>
          <w:sz w:val="20"/>
          <w:szCs w:val="20"/>
        </w:rPr>
        <w:t>24.3.2</w:t>
      </w:r>
      <w:r>
        <w:rPr>
          <w:spacing w:val="8"/>
          <w:sz w:val="20"/>
          <w:szCs w:val="20"/>
        </w:rPr>
        <w:t xml:space="preserve"> 合同双方的争议，应首先由申请人向争议评审组提交一份详细的评审申请报告，并附</w:t>
      </w:r>
      <w:r>
        <w:rPr>
          <w:sz w:val="20"/>
          <w:szCs w:val="20"/>
        </w:rPr>
        <w:t xml:space="preserve"> </w:t>
      </w:r>
      <w:r>
        <w:rPr>
          <w:spacing w:val="10"/>
          <w:sz w:val="20"/>
          <w:szCs w:val="20"/>
        </w:rPr>
        <w:t>必要的文件、图纸和证明材料，申请人还应将上述报告的副本同时</w:t>
      </w:r>
      <w:r>
        <w:rPr>
          <w:spacing w:val="9"/>
          <w:sz w:val="20"/>
          <w:szCs w:val="20"/>
        </w:rPr>
        <w:t>提交给被申请人和监理人。</w:t>
      </w:r>
    </w:p>
    <w:p w14:paraId="7324C59C">
      <w:pPr>
        <w:pStyle w:val="2"/>
        <w:spacing w:before="173" w:line="289" w:lineRule="auto"/>
        <w:ind w:right="48" w:firstLine="419"/>
        <w:rPr>
          <w:sz w:val="20"/>
          <w:szCs w:val="20"/>
        </w:rPr>
      </w:pPr>
      <w:r>
        <w:rPr>
          <w:spacing w:val="11"/>
          <w:sz w:val="20"/>
          <w:szCs w:val="20"/>
        </w:rPr>
        <w:t>24.3.3被申请人在收到申请人评审申请报告副本后的28天内，向争议评审组提交一份答辩报</w:t>
      </w:r>
      <w:r>
        <w:rPr>
          <w:spacing w:val="4"/>
          <w:sz w:val="20"/>
          <w:szCs w:val="20"/>
        </w:rPr>
        <w:t xml:space="preserve"> </w:t>
      </w:r>
      <w:r>
        <w:rPr>
          <w:spacing w:val="9"/>
          <w:sz w:val="20"/>
          <w:szCs w:val="20"/>
        </w:rPr>
        <w:t>告，并附证明材料。被申请人应将答辩报告的副本同时提交给申请人和监理人。</w:t>
      </w:r>
    </w:p>
    <w:p w14:paraId="6F1A6102">
      <w:pPr>
        <w:pStyle w:val="2"/>
        <w:spacing w:before="174" w:line="313" w:lineRule="auto"/>
        <w:ind w:right="43" w:firstLine="422"/>
        <w:rPr>
          <w:sz w:val="20"/>
          <w:szCs w:val="20"/>
        </w:rPr>
      </w:pPr>
      <w:r>
        <w:rPr>
          <w:b/>
          <w:bCs/>
          <w:spacing w:val="8"/>
          <w:sz w:val="20"/>
          <w:szCs w:val="20"/>
        </w:rPr>
        <w:t>24.3.4</w:t>
      </w:r>
      <w:r>
        <w:rPr>
          <w:spacing w:val="8"/>
          <w:sz w:val="20"/>
          <w:szCs w:val="20"/>
        </w:rPr>
        <w:t xml:space="preserve"> 除专用合同条款另有约定外，争议评审组在收到合同双方报告后的14天内，邀请双方</w:t>
      </w:r>
      <w:r>
        <w:rPr>
          <w:spacing w:val="11"/>
          <w:sz w:val="20"/>
          <w:szCs w:val="20"/>
        </w:rPr>
        <w:t xml:space="preserve"> </w:t>
      </w:r>
      <w:r>
        <w:rPr>
          <w:spacing w:val="12"/>
          <w:sz w:val="20"/>
          <w:szCs w:val="20"/>
        </w:rPr>
        <w:t>代表和有关人员举行调查会，向双方调查争议细节；必要时争议评审组可要求双方进一步提供补</w:t>
      </w:r>
      <w:r>
        <w:rPr>
          <w:spacing w:val="9"/>
          <w:sz w:val="20"/>
          <w:szCs w:val="20"/>
        </w:rPr>
        <w:t xml:space="preserve"> </w:t>
      </w:r>
      <w:r>
        <w:rPr>
          <w:spacing w:val="2"/>
          <w:sz w:val="20"/>
          <w:szCs w:val="20"/>
        </w:rPr>
        <w:t>充材料。</w:t>
      </w:r>
    </w:p>
    <w:p w14:paraId="15FF315E">
      <w:pPr>
        <w:pStyle w:val="2"/>
        <w:spacing w:before="165" w:line="319" w:lineRule="auto"/>
        <w:ind w:firstLine="422"/>
        <w:rPr>
          <w:sz w:val="20"/>
          <w:szCs w:val="20"/>
        </w:rPr>
      </w:pPr>
      <w:r>
        <w:rPr>
          <w:b/>
          <w:bCs/>
          <w:spacing w:val="9"/>
          <w:sz w:val="20"/>
          <w:szCs w:val="20"/>
        </w:rPr>
        <w:t>24.3.5</w:t>
      </w:r>
      <w:r>
        <w:rPr>
          <w:spacing w:val="9"/>
          <w:sz w:val="20"/>
          <w:szCs w:val="20"/>
        </w:rPr>
        <w:t xml:space="preserve"> 除专用合同条款另有约定外，在调查会结束后的14天内，争议评审组应在不受任何干</w:t>
      </w:r>
      <w:r>
        <w:rPr>
          <w:spacing w:val="16"/>
          <w:sz w:val="20"/>
          <w:szCs w:val="20"/>
        </w:rPr>
        <w:t xml:space="preserve"> </w:t>
      </w:r>
      <w:r>
        <w:rPr>
          <w:spacing w:val="12"/>
          <w:sz w:val="20"/>
          <w:szCs w:val="20"/>
        </w:rPr>
        <w:t>扰的情况下进行独立、公正的评审，作出书面评审意见，并说明理由。在争议评审期间，争议双</w:t>
      </w:r>
      <w:r>
        <w:rPr>
          <w:spacing w:val="7"/>
          <w:sz w:val="20"/>
          <w:szCs w:val="20"/>
        </w:rPr>
        <w:t xml:space="preserve"> </w:t>
      </w:r>
      <w:r>
        <w:rPr>
          <w:spacing w:val="8"/>
          <w:sz w:val="20"/>
          <w:szCs w:val="20"/>
        </w:rPr>
        <w:t>方暂按总监理工程师的确定执行。</w:t>
      </w:r>
    </w:p>
    <w:p w14:paraId="26F21E09">
      <w:pPr>
        <w:pStyle w:val="2"/>
        <w:spacing w:before="162" w:line="299" w:lineRule="auto"/>
        <w:ind w:right="70" w:firstLine="422"/>
        <w:rPr>
          <w:sz w:val="20"/>
          <w:szCs w:val="20"/>
        </w:rPr>
      </w:pPr>
      <w:r>
        <w:rPr>
          <w:b/>
          <w:bCs/>
          <w:spacing w:val="8"/>
          <w:sz w:val="20"/>
          <w:szCs w:val="20"/>
        </w:rPr>
        <w:t>24.3.6</w:t>
      </w:r>
      <w:r>
        <w:rPr>
          <w:spacing w:val="8"/>
          <w:sz w:val="20"/>
          <w:szCs w:val="20"/>
        </w:rPr>
        <w:t xml:space="preserve"> 发包人和承包人接受评审意见的，由监理人根据评审意见拟定执行协议，经争议双方</w:t>
      </w:r>
      <w:r>
        <w:rPr>
          <w:sz w:val="20"/>
          <w:szCs w:val="20"/>
        </w:rPr>
        <w:t xml:space="preserve"> </w:t>
      </w:r>
      <w:r>
        <w:rPr>
          <w:spacing w:val="8"/>
          <w:sz w:val="20"/>
          <w:szCs w:val="20"/>
        </w:rPr>
        <w:t>签字后作为合同的补充文件，并遵照执行。</w:t>
      </w:r>
    </w:p>
    <w:p w14:paraId="4DC6A03F">
      <w:pPr>
        <w:pStyle w:val="2"/>
        <w:spacing w:before="163" w:line="319" w:lineRule="auto"/>
        <w:ind w:right="40" w:firstLine="422"/>
        <w:rPr>
          <w:sz w:val="20"/>
          <w:szCs w:val="20"/>
        </w:rPr>
      </w:pPr>
      <w:r>
        <w:rPr>
          <w:b/>
          <w:bCs/>
          <w:spacing w:val="9"/>
          <w:sz w:val="20"/>
          <w:szCs w:val="20"/>
        </w:rPr>
        <w:t>24.3.7</w:t>
      </w:r>
      <w:r>
        <w:rPr>
          <w:spacing w:val="9"/>
          <w:sz w:val="20"/>
          <w:szCs w:val="20"/>
        </w:rPr>
        <w:t xml:space="preserve"> 发包人或承包人不接受评审意见</w:t>
      </w:r>
      <w:r>
        <w:rPr>
          <w:spacing w:val="8"/>
          <w:sz w:val="20"/>
          <w:szCs w:val="20"/>
        </w:rPr>
        <w:t>，并要求提交仲裁或提起诉讼的，应在收到评审意见</w:t>
      </w:r>
      <w:r>
        <w:rPr>
          <w:sz w:val="20"/>
          <w:szCs w:val="20"/>
        </w:rPr>
        <w:t xml:space="preserve"> </w:t>
      </w:r>
      <w:r>
        <w:rPr>
          <w:spacing w:val="12"/>
          <w:sz w:val="20"/>
          <w:szCs w:val="20"/>
        </w:rPr>
        <w:t>后的14天内将仲裁或起诉意向书面通知另一方，并抄送监理人，但在仲裁或诉讼结束前应暂按总</w:t>
      </w:r>
      <w:r>
        <w:rPr>
          <w:sz w:val="20"/>
          <w:szCs w:val="20"/>
        </w:rPr>
        <w:t xml:space="preserve"> </w:t>
      </w:r>
      <w:r>
        <w:rPr>
          <w:spacing w:val="8"/>
          <w:sz w:val="20"/>
          <w:szCs w:val="20"/>
        </w:rPr>
        <w:t>监理工程师的确定执行。</w:t>
      </w:r>
    </w:p>
    <w:p w14:paraId="3B3DBA93">
      <w:pPr>
        <w:spacing w:line="319" w:lineRule="auto"/>
        <w:rPr>
          <w:sz w:val="20"/>
          <w:szCs w:val="20"/>
        </w:rPr>
        <w:sectPr>
          <w:footerReference r:id="rId148" w:type="default"/>
          <w:pgSz w:w="11910" w:h="16840"/>
          <w:pgMar w:top="400" w:right="1501" w:bottom="1024" w:left="1450" w:header="0" w:footer="889" w:gutter="0"/>
          <w:cols w:space="720" w:num="1"/>
        </w:sectPr>
      </w:pPr>
    </w:p>
    <w:p w14:paraId="5CD35C92">
      <w:pPr>
        <w:spacing w:line="272" w:lineRule="auto"/>
        <w:rPr>
          <w:rFonts w:ascii="Arial"/>
          <w:sz w:val="21"/>
        </w:rPr>
      </w:pPr>
    </w:p>
    <w:p w14:paraId="2124061F">
      <w:pPr>
        <w:spacing w:line="272" w:lineRule="auto"/>
        <w:rPr>
          <w:rFonts w:ascii="Arial"/>
          <w:sz w:val="21"/>
        </w:rPr>
      </w:pPr>
    </w:p>
    <w:p w14:paraId="713F8704">
      <w:pPr>
        <w:spacing w:line="273" w:lineRule="auto"/>
        <w:rPr>
          <w:rFonts w:ascii="Arial"/>
          <w:sz w:val="21"/>
        </w:rPr>
      </w:pPr>
    </w:p>
    <w:p w14:paraId="11A32809">
      <w:pPr>
        <w:spacing w:line="273" w:lineRule="auto"/>
        <w:rPr>
          <w:rFonts w:ascii="Arial"/>
          <w:sz w:val="21"/>
        </w:rPr>
      </w:pPr>
    </w:p>
    <w:p w14:paraId="4A05671F">
      <w:pPr>
        <w:spacing w:line="273" w:lineRule="auto"/>
        <w:rPr>
          <w:rFonts w:ascii="Arial"/>
          <w:sz w:val="21"/>
        </w:rPr>
      </w:pPr>
    </w:p>
    <w:p w14:paraId="50096712">
      <w:pPr>
        <w:spacing w:before="94" w:line="222" w:lineRule="auto"/>
        <w:ind w:left="2707"/>
        <w:rPr>
          <w:rFonts w:ascii="黑体" w:hAnsi="黑体" w:eastAsia="黑体" w:cs="黑体"/>
          <w:sz w:val="29"/>
          <w:szCs w:val="29"/>
        </w:rPr>
      </w:pPr>
      <w:r>
        <w:rPr>
          <w:rFonts w:ascii="黑体" w:hAnsi="黑体" w:eastAsia="黑体" w:cs="黑体"/>
          <w:b/>
          <w:bCs/>
          <w:spacing w:val="-6"/>
          <w:sz w:val="29"/>
          <w:szCs w:val="29"/>
        </w:rPr>
        <w:t>第二节</w:t>
      </w:r>
      <w:r>
        <w:rPr>
          <w:rFonts w:ascii="黑体" w:hAnsi="黑体" w:eastAsia="黑体" w:cs="黑体"/>
          <w:spacing w:val="106"/>
          <w:sz w:val="29"/>
          <w:szCs w:val="29"/>
        </w:rPr>
        <w:t xml:space="preserve"> </w:t>
      </w:r>
      <w:r>
        <w:rPr>
          <w:rFonts w:ascii="黑体" w:hAnsi="黑体" w:eastAsia="黑体" w:cs="黑体"/>
          <w:b/>
          <w:bCs/>
          <w:spacing w:val="-6"/>
          <w:sz w:val="29"/>
          <w:szCs w:val="29"/>
        </w:rPr>
        <w:t>专用合同条款</w:t>
      </w:r>
    </w:p>
    <w:p w14:paraId="179F7E9C">
      <w:pPr>
        <w:spacing w:line="222" w:lineRule="auto"/>
        <w:rPr>
          <w:rFonts w:ascii="黑体" w:hAnsi="黑体" w:eastAsia="黑体" w:cs="黑体"/>
          <w:sz w:val="29"/>
          <w:szCs w:val="29"/>
        </w:rPr>
        <w:sectPr>
          <w:footerReference r:id="rId149" w:type="default"/>
          <w:pgSz w:w="11910" w:h="16840"/>
          <w:pgMar w:top="400" w:right="1786" w:bottom="1024" w:left="1786" w:header="0" w:footer="889" w:gutter="0"/>
          <w:cols w:space="720" w:num="1"/>
        </w:sectPr>
      </w:pPr>
    </w:p>
    <w:p w14:paraId="22F1D483">
      <w:pPr>
        <w:spacing w:line="256" w:lineRule="auto"/>
        <w:rPr>
          <w:rFonts w:ascii="Arial"/>
          <w:sz w:val="21"/>
        </w:rPr>
      </w:pPr>
    </w:p>
    <w:p w14:paraId="67BA1972">
      <w:pPr>
        <w:spacing w:line="256" w:lineRule="auto"/>
        <w:rPr>
          <w:rFonts w:ascii="Arial"/>
          <w:sz w:val="21"/>
        </w:rPr>
      </w:pPr>
    </w:p>
    <w:p w14:paraId="11083C09">
      <w:pPr>
        <w:spacing w:line="256" w:lineRule="auto"/>
        <w:rPr>
          <w:rFonts w:ascii="Arial"/>
          <w:sz w:val="21"/>
        </w:rPr>
      </w:pPr>
    </w:p>
    <w:p w14:paraId="5E8CC713">
      <w:pPr>
        <w:spacing w:line="257" w:lineRule="auto"/>
        <w:rPr>
          <w:rFonts w:ascii="Arial"/>
          <w:sz w:val="21"/>
        </w:rPr>
      </w:pPr>
    </w:p>
    <w:p w14:paraId="2744419A">
      <w:pPr>
        <w:spacing w:line="257" w:lineRule="auto"/>
        <w:rPr>
          <w:rFonts w:ascii="Arial"/>
          <w:sz w:val="21"/>
        </w:rPr>
      </w:pPr>
    </w:p>
    <w:p w14:paraId="293F50FB">
      <w:pPr>
        <w:spacing w:before="88" w:line="223" w:lineRule="auto"/>
        <w:ind w:left="3613"/>
        <w:rPr>
          <w:rFonts w:ascii="黑体" w:hAnsi="黑体" w:eastAsia="黑体" w:cs="黑体"/>
          <w:sz w:val="27"/>
          <w:szCs w:val="27"/>
        </w:rPr>
      </w:pPr>
      <w:r>
        <w:rPr>
          <w:rFonts w:ascii="黑体" w:hAnsi="黑体" w:eastAsia="黑体" w:cs="黑体"/>
          <w:b/>
          <w:bCs/>
          <w:spacing w:val="12"/>
          <w:sz w:val="27"/>
          <w:szCs w:val="27"/>
        </w:rPr>
        <w:t>专用合同条款</w:t>
      </w:r>
    </w:p>
    <w:p w14:paraId="61A00E04">
      <w:pPr>
        <w:pStyle w:val="2"/>
        <w:spacing w:before="173" w:line="220" w:lineRule="auto"/>
        <w:ind w:left="3"/>
        <w:rPr>
          <w:sz w:val="27"/>
          <w:szCs w:val="27"/>
        </w:rPr>
      </w:pPr>
      <w:r>
        <w:rPr>
          <w:b/>
          <w:bCs/>
          <w:spacing w:val="-3"/>
          <w:sz w:val="27"/>
          <w:szCs w:val="27"/>
        </w:rPr>
        <w:t>1.一般约定</w:t>
      </w:r>
    </w:p>
    <w:p w14:paraId="51FCC303">
      <w:pPr>
        <w:pStyle w:val="2"/>
        <w:spacing w:before="116" w:line="220" w:lineRule="auto"/>
        <w:ind w:left="3"/>
        <w:rPr>
          <w:sz w:val="21"/>
          <w:szCs w:val="21"/>
        </w:rPr>
      </w:pPr>
      <w:r>
        <w:rPr>
          <w:b/>
          <w:bCs/>
          <w:spacing w:val="6"/>
          <w:sz w:val="21"/>
          <w:szCs w:val="21"/>
        </w:rPr>
        <w:t>1</w:t>
      </w:r>
      <w:r>
        <w:rPr>
          <w:spacing w:val="-59"/>
          <w:sz w:val="21"/>
          <w:szCs w:val="21"/>
        </w:rPr>
        <w:t xml:space="preserve"> </w:t>
      </w:r>
      <w:r>
        <w:rPr>
          <w:b/>
          <w:bCs/>
          <w:spacing w:val="6"/>
          <w:sz w:val="21"/>
          <w:szCs w:val="21"/>
        </w:rPr>
        <w:t>.</w:t>
      </w:r>
      <w:r>
        <w:rPr>
          <w:spacing w:val="-50"/>
          <w:sz w:val="21"/>
          <w:szCs w:val="21"/>
        </w:rPr>
        <w:t xml:space="preserve"> </w:t>
      </w:r>
      <w:r>
        <w:rPr>
          <w:b/>
          <w:bCs/>
          <w:spacing w:val="6"/>
          <w:sz w:val="21"/>
          <w:szCs w:val="21"/>
        </w:rPr>
        <w:t>1词语定义</w:t>
      </w:r>
    </w:p>
    <w:p w14:paraId="61C07EED">
      <w:pPr>
        <w:pStyle w:val="2"/>
        <w:spacing w:before="149" w:line="220" w:lineRule="auto"/>
        <w:ind w:left="412"/>
        <w:rPr>
          <w:sz w:val="21"/>
          <w:szCs w:val="21"/>
        </w:rPr>
      </w:pPr>
      <w:r>
        <w:rPr>
          <w:b/>
          <w:bCs/>
          <w:spacing w:val="6"/>
          <w:sz w:val="21"/>
          <w:szCs w:val="21"/>
        </w:rPr>
        <w:t>1.1.2合同当事人和人员</w:t>
      </w:r>
    </w:p>
    <w:sdt>
      <w:sdtPr>
        <w:rPr>
          <w:rFonts w:ascii="宋体" w:hAnsi="宋体" w:eastAsia="宋体" w:cs="宋体"/>
          <w:sz w:val="21"/>
          <w:szCs w:val="21"/>
        </w:rPr>
        <w:id w:val="147451824"/>
        <w:docPartObj>
          <w:docPartGallery w:val="Table of Contents"/>
          <w:docPartUnique/>
        </w:docPartObj>
      </w:sdtPr>
      <w:sdtEndPr>
        <w:rPr>
          <w:rFonts w:ascii="Arial" w:hAnsi="Arial" w:eastAsia="Arial" w:cs="Arial"/>
          <w:sz w:val="21"/>
          <w:szCs w:val="21"/>
        </w:rPr>
      </w:sdtEndPr>
      <w:sdtContent>
        <w:p w14:paraId="4B39462A">
          <w:pPr>
            <w:pStyle w:val="2"/>
            <w:spacing w:before="173" w:line="220" w:lineRule="auto"/>
            <w:ind w:left="409"/>
            <w:rPr>
              <w:rFonts w:ascii="Times New Roman" w:hAnsi="Times New Roman" w:eastAsia="Times New Roman" w:cs="Times New Roman"/>
              <w:sz w:val="7"/>
              <w:szCs w:val="7"/>
            </w:rPr>
          </w:pPr>
          <w:r>
            <w:rPr>
              <w:spacing w:val="3"/>
              <w:sz w:val="21"/>
              <w:szCs w:val="21"/>
            </w:rPr>
            <w:t>1.1.2.2发包人：</w:t>
          </w:r>
          <w:r>
            <w:rPr>
              <w:spacing w:val="-69"/>
              <w:sz w:val="21"/>
              <w:szCs w:val="21"/>
            </w:rPr>
            <w:t xml:space="preserve"> </w:t>
          </w:r>
          <w:r>
            <w:rPr>
              <w:sz w:val="21"/>
              <w:szCs w:val="21"/>
              <w:u w:val="single" w:color="auto"/>
            </w:rPr>
            <w:t xml:space="preserve">                                                           </w:t>
          </w:r>
          <w:r>
            <w:rPr>
              <w:spacing w:val="-80"/>
              <w:sz w:val="21"/>
              <w:szCs w:val="21"/>
            </w:rPr>
            <w:t xml:space="preserve"> </w:t>
          </w:r>
          <w:r>
            <w:rPr>
              <w:rFonts w:ascii="Times New Roman" w:hAnsi="Times New Roman" w:eastAsia="Times New Roman" w:cs="Times New Roman"/>
              <w:spacing w:val="3"/>
              <w:position w:val="4"/>
              <w:sz w:val="7"/>
              <w:szCs w:val="7"/>
            </w:rPr>
            <w:t>_o</w:t>
          </w:r>
        </w:p>
        <w:p w14:paraId="3A5AA7A5">
          <w:pPr>
            <w:pStyle w:val="2"/>
            <w:spacing w:before="132" w:line="190" w:lineRule="auto"/>
            <w:ind w:left="409"/>
            <w:rPr>
              <w:rFonts w:ascii="Times New Roman" w:hAnsi="Times New Roman" w:eastAsia="Times New Roman" w:cs="Times New Roman"/>
              <w:sz w:val="7"/>
              <w:szCs w:val="7"/>
            </w:rPr>
          </w:pPr>
          <w:r>
            <w:rPr>
              <w:spacing w:val="3"/>
              <w:sz w:val="21"/>
              <w:szCs w:val="21"/>
            </w:rPr>
            <w:t>1.1.2.6监理人：</w:t>
          </w:r>
          <w:r>
            <w:rPr>
              <w:spacing w:val="-67"/>
              <w:sz w:val="21"/>
              <w:szCs w:val="21"/>
            </w:rPr>
            <w:t xml:space="preserve"> </w:t>
          </w:r>
          <w:r>
            <w:rPr>
              <w:sz w:val="21"/>
              <w:szCs w:val="21"/>
              <w:u w:val="single" w:color="auto"/>
            </w:rPr>
            <w:t xml:space="preserve">                                                           </w:t>
          </w:r>
          <w:r>
            <w:rPr>
              <w:spacing w:val="-70"/>
              <w:sz w:val="21"/>
              <w:szCs w:val="21"/>
            </w:rPr>
            <w:t xml:space="preserve"> </w:t>
          </w:r>
          <w:r>
            <w:fldChar w:fldCharType="begin"/>
          </w:r>
          <w:r>
            <w:instrText xml:space="preserve"> HYPERLINK \l "bookmark294" </w:instrText>
          </w:r>
          <w:r>
            <w:fldChar w:fldCharType="separate"/>
          </w:r>
          <w:r>
            <w:rPr>
              <w:rFonts w:ascii="Times New Roman" w:hAnsi="Times New Roman" w:eastAsia="Times New Roman" w:cs="Times New Roman"/>
              <w:spacing w:val="3"/>
              <w:position w:val="2"/>
              <w:sz w:val="7"/>
              <w:szCs w:val="7"/>
            </w:rPr>
            <w:t>8</w:t>
          </w:r>
          <w:r>
            <w:rPr>
              <w:rFonts w:ascii="Times New Roman" w:hAnsi="Times New Roman" w:eastAsia="Times New Roman" w:cs="Times New Roman"/>
              <w:spacing w:val="3"/>
              <w:position w:val="2"/>
              <w:sz w:val="7"/>
              <w:szCs w:val="7"/>
            </w:rPr>
            <w:fldChar w:fldCharType="end"/>
          </w:r>
        </w:p>
        <w:p w14:paraId="3C554530">
          <w:pPr>
            <w:pStyle w:val="2"/>
            <w:spacing w:before="1" w:line="219" w:lineRule="auto"/>
            <w:ind w:left="409"/>
            <w:rPr>
              <w:sz w:val="21"/>
              <w:szCs w:val="21"/>
            </w:rPr>
          </w:pPr>
          <w:r>
            <w:rPr>
              <w:spacing w:val="1"/>
              <w:sz w:val="21"/>
              <w:szCs w:val="21"/>
            </w:rPr>
            <w:t>1.1.2.8发包人代表：指发包人指定的派驻施工场地(现场)的全权代表。</w:t>
          </w:r>
        </w:p>
        <w:p w14:paraId="15A2F891">
          <w:pPr>
            <w:pStyle w:val="2"/>
            <w:spacing w:before="150" w:line="212" w:lineRule="auto"/>
            <w:ind w:left="409"/>
            <w:rPr>
              <w:rFonts w:ascii="Arial" w:hAnsi="Arial" w:eastAsia="Arial" w:cs="Arial"/>
              <w:sz w:val="21"/>
              <w:szCs w:val="21"/>
            </w:rPr>
          </w:pPr>
          <w:r>
            <w:rPr>
              <w:spacing w:val="-3"/>
              <w:sz w:val="21"/>
              <w:szCs w:val="21"/>
            </w:rPr>
            <w:t>姓</w:t>
          </w:r>
          <w:r>
            <w:rPr>
              <w:spacing w:val="8"/>
              <w:sz w:val="21"/>
              <w:szCs w:val="21"/>
            </w:rPr>
            <w:t xml:space="preserve">    </w:t>
          </w:r>
          <w:r>
            <w:rPr>
              <w:spacing w:val="-3"/>
              <w:sz w:val="21"/>
              <w:szCs w:val="21"/>
            </w:rPr>
            <w:t>名：</w:t>
          </w:r>
          <w:r>
            <w:rPr>
              <w:spacing w:val="1"/>
              <w:sz w:val="21"/>
              <w:szCs w:val="21"/>
              <w:u w:val="single" w:color="auto"/>
            </w:rPr>
            <w:t xml:space="preserve">                        </w:t>
          </w:r>
          <w:r>
            <w:rPr>
              <w:sz w:val="21"/>
              <w:szCs w:val="21"/>
              <w:u w:val="single" w:color="auto"/>
            </w:rPr>
            <w:t xml:space="preserve">                                         </w:t>
          </w:r>
          <w:r>
            <w:rPr>
              <w:spacing w:val="-84"/>
              <w:sz w:val="21"/>
              <w:szCs w:val="21"/>
            </w:rPr>
            <w:t xml:space="preserve"> </w:t>
          </w:r>
          <w:r>
            <w:rPr>
              <w:rFonts w:ascii="Arial" w:hAnsi="Arial" w:eastAsia="Arial" w:cs="Arial"/>
              <w:spacing w:val="-10"/>
              <w:w w:val="35"/>
              <w:sz w:val="21"/>
              <w:szCs w:val="21"/>
            </w:rPr>
            <w:t>_</w:t>
          </w:r>
          <w:r>
            <w:rPr>
              <w:rFonts w:ascii="Arial" w:hAnsi="Arial" w:eastAsia="Arial" w:cs="Arial"/>
              <w:spacing w:val="-3"/>
              <w:sz w:val="21"/>
              <w:szCs w:val="21"/>
            </w:rPr>
            <w:t>o</w:t>
          </w:r>
        </w:p>
        <w:p w14:paraId="511CF93B">
          <w:pPr>
            <w:pStyle w:val="2"/>
            <w:spacing w:before="179" w:line="212" w:lineRule="auto"/>
            <w:ind w:left="409"/>
            <w:rPr>
              <w:rFonts w:ascii="Arial" w:hAnsi="Arial" w:eastAsia="Arial" w:cs="Arial"/>
              <w:sz w:val="21"/>
              <w:szCs w:val="21"/>
            </w:rPr>
          </w:pPr>
          <w:r>
            <w:rPr>
              <w:spacing w:val="2"/>
              <w:sz w:val="21"/>
              <w:szCs w:val="21"/>
            </w:rPr>
            <w:t>职    称：</w:t>
          </w:r>
          <w:r>
            <w:rPr>
              <w:spacing w:val="2"/>
              <w:sz w:val="21"/>
              <w:szCs w:val="21"/>
              <w:u w:val="single" w:color="auto"/>
            </w:rPr>
            <w:t xml:space="preserve">                                                                </w:t>
          </w:r>
          <w:r>
            <w:rPr>
              <w:spacing w:val="-79"/>
              <w:sz w:val="21"/>
              <w:szCs w:val="21"/>
            </w:rPr>
            <w:t xml:space="preserve"> </w:t>
          </w:r>
          <w:r>
            <w:rPr>
              <w:rFonts w:ascii="Arial" w:hAnsi="Arial" w:eastAsia="Arial" w:cs="Arial"/>
              <w:spacing w:val="-10"/>
              <w:w w:val="35"/>
              <w:sz w:val="21"/>
              <w:szCs w:val="21"/>
            </w:rPr>
            <w:t>_</w:t>
          </w:r>
          <w:r>
            <w:rPr>
              <w:rFonts w:ascii="Arial" w:hAnsi="Arial" w:eastAsia="Arial" w:cs="Arial"/>
              <w:spacing w:val="2"/>
              <w:sz w:val="21"/>
              <w:szCs w:val="21"/>
            </w:rPr>
            <w:t>o</w:t>
          </w:r>
        </w:p>
        <w:p w14:paraId="46B118E5">
          <w:pPr>
            <w:pStyle w:val="2"/>
            <w:spacing w:before="179" w:line="212" w:lineRule="auto"/>
            <w:ind w:left="409"/>
            <w:rPr>
              <w:rFonts w:ascii="Arial" w:hAnsi="Arial" w:eastAsia="Arial" w:cs="Arial"/>
              <w:sz w:val="21"/>
              <w:szCs w:val="21"/>
            </w:rPr>
          </w:pPr>
          <w:r>
            <w:rPr>
              <w:spacing w:val="2"/>
              <w:sz w:val="21"/>
              <w:szCs w:val="21"/>
            </w:rPr>
            <w:t>联系电话：</w:t>
          </w:r>
          <w:r>
            <w:rPr>
              <w:spacing w:val="2"/>
              <w:sz w:val="21"/>
              <w:szCs w:val="21"/>
              <w:u w:val="single" w:color="auto"/>
            </w:rPr>
            <w:t xml:space="preserve">                                                                </w:t>
          </w:r>
          <w:r>
            <w:rPr>
              <w:spacing w:val="-75"/>
              <w:sz w:val="21"/>
              <w:szCs w:val="21"/>
            </w:rPr>
            <w:t xml:space="preserve"> </w:t>
          </w:r>
          <w:r>
            <w:rPr>
              <w:rFonts w:ascii="Arial" w:hAnsi="Arial" w:eastAsia="Arial" w:cs="Arial"/>
              <w:spacing w:val="-10"/>
              <w:w w:val="35"/>
              <w:sz w:val="21"/>
              <w:szCs w:val="21"/>
            </w:rPr>
            <w:t>_</w:t>
          </w:r>
          <w:r>
            <w:rPr>
              <w:rFonts w:ascii="Arial" w:hAnsi="Arial" w:eastAsia="Arial" w:cs="Arial"/>
              <w:spacing w:val="2"/>
              <w:sz w:val="21"/>
              <w:szCs w:val="21"/>
            </w:rPr>
            <w:t>o</w:t>
          </w:r>
        </w:p>
      </w:sdtContent>
    </w:sdt>
    <w:p w14:paraId="210EF7EF">
      <w:pPr>
        <w:spacing w:line="299" w:lineRule="auto"/>
        <w:rPr>
          <w:rFonts w:ascii="Arial"/>
          <w:sz w:val="21"/>
        </w:rPr>
      </w:pPr>
    </w:p>
    <w:p w14:paraId="0A485291">
      <w:pPr>
        <w:pStyle w:val="2"/>
        <w:spacing w:before="68" w:line="219" w:lineRule="auto"/>
        <w:ind w:left="409"/>
        <w:rPr>
          <w:sz w:val="21"/>
          <w:szCs w:val="21"/>
        </w:rPr>
      </w:pPr>
      <w:r>
        <w:rPr>
          <w:spacing w:val="-26"/>
          <w:sz w:val="21"/>
          <w:szCs w:val="21"/>
        </w:rPr>
        <w:t>电子信箱：</w:t>
      </w:r>
      <w:r>
        <w:rPr>
          <w:sz w:val="21"/>
          <w:szCs w:val="21"/>
          <w:u w:val="single" w:color="auto"/>
        </w:rPr>
        <w:t xml:space="preserve">                                                                   </w:t>
      </w:r>
    </w:p>
    <w:p w14:paraId="4E1AF864">
      <w:pPr>
        <w:pStyle w:val="2"/>
        <w:spacing w:before="1" w:line="219" w:lineRule="auto"/>
        <w:ind w:left="409"/>
        <w:rPr>
          <w:sz w:val="21"/>
          <w:szCs w:val="21"/>
        </w:rPr>
      </w:pPr>
      <w:r>
        <w:rPr>
          <w:spacing w:val="-2"/>
          <w:sz w:val="21"/>
          <w:szCs w:val="21"/>
        </w:rPr>
        <w:t>通信地址：</w:t>
      </w:r>
      <w:r>
        <w:rPr>
          <w:spacing w:val="-2"/>
          <w:sz w:val="21"/>
          <w:szCs w:val="21"/>
          <w:u w:val="single" w:color="auto"/>
        </w:rPr>
        <w:t xml:space="preserve">                                             </w:t>
      </w:r>
      <w:r>
        <w:rPr>
          <w:spacing w:val="-3"/>
          <w:sz w:val="21"/>
          <w:szCs w:val="21"/>
          <w:u w:val="single" w:color="auto"/>
        </w:rPr>
        <w:t xml:space="preserve">                      </w:t>
      </w:r>
    </w:p>
    <w:p w14:paraId="095C507E">
      <w:pPr>
        <w:pStyle w:val="2"/>
        <w:spacing w:before="152" w:line="328" w:lineRule="auto"/>
        <w:ind w:right="17" w:firstLine="409"/>
        <w:rPr>
          <w:sz w:val="21"/>
          <w:szCs w:val="21"/>
        </w:rPr>
      </w:pPr>
      <w:r>
        <w:rPr>
          <w:spacing w:val="4"/>
          <w:sz w:val="21"/>
          <w:szCs w:val="21"/>
        </w:rPr>
        <w:t>1.1.2.9专业分包人：指根据合同条款第15.8.1项的约定，由发包人和承包人以招标方式选</w:t>
      </w:r>
      <w:r>
        <w:rPr>
          <w:spacing w:val="8"/>
          <w:sz w:val="21"/>
          <w:szCs w:val="21"/>
        </w:rPr>
        <w:t xml:space="preserve"> </w:t>
      </w:r>
      <w:r>
        <w:rPr>
          <w:spacing w:val="-6"/>
          <w:sz w:val="21"/>
          <w:szCs w:val="21"/>
        </w:rPr>
        <w:t>择的分包人。</w:t>
      </w:r>
    </w:p>
    <w:p w14:paraId="49836EC2">
      <w:pPr>
        <w:pStyle w:val="2"/>
        <w:spacing w:before="32" w:line="272" w:lineRule="auto"/>
        <w:ind w:right="38" w:firstLine="409"/>
        <w:rPr>
          <w:sz w:val="21"/>
          <w:szCs w:val="21"/>
        </w:rPr>
      </w:pPr>
      <w:r>
        <w:fldChar w:fldCharType="begin"/>
      </w:r>
      <w:r>
        <w:instrText xml:space="preserve"> HYPERLINK "1.1.2.10" </w:instrText>
      </w:r>
      <w:r>
        <w:fldChar w:fldCharType="separate"/>
      </w:r>
      <w:r>
        <w:rPr>
          <w:spacing w:val="4"/>
          <w:sz w:val="21"/>
          <w:szCs w:val="21"/>
        </w:rPr>
        <w:t>1.1.2.10</w:t>
      </w:r>
      <w:r>
        <w:rPr>
          <w:spacing w:val="4"/>
          <w:sz w:val="21"/>
          <w:szCs w:val="21"/>
        </w:rPr>
        <w:fldChar w:fldCharType="end"/>
      </w:r>
      <w:r>
        <w:rPr>
          <w:spacing w:val="4"/>
          <w:sz w:val="21"/>
          <w:szCs w:val="21"/>
        </w:rPr>
        <w:t xml:space="preserve"> 专项供应商：指根据合同条款第15.8.1项</w:t>
      </w:r>
      <w:r>
        <w:rPr>
          <w:spacing w:val="3"/>
          <w:sz w:val="21"/>
          <w:szCs w:val="21"/>
        </w:rPr>
        <w:t>的约定，由发包人和承包人以招标方式</w:t>
      </w:r>
      <w:r>
        <w:rPr>
          <w:sz w:val="21"/>
          <w:szCs w:val="21"/>
        </w:rPr>
        <w:t xml:space="preserve"> </w:t>
      </w:r>
      <w:r>
        <w:rPr>
          <w:spacing w:val="-5"/>
          <w:sz w:val="21"/>
          <w:szCs w:val="21"/>
        </w:rPr>
        <w:t>选择的供应商。</w:t>
      </w:r>
    </w:p>
    <w:p w14:paraId="31C97814">
      <w:pPr>
        <w:pStyle w:val="2"/>
        <w:spacing w:before="163" w:line="277" w:lineRule="auto"/>
        <w:ind w:right="31" w:firstLine="409"/>
        <w:rPr>
          <w:sz w:val="21"/>
          <w:szCs w:val="21"/>
        </w:rPr>
      </w:pPr>
      <w:r>
        <w:rPr>
          <w:spacing w:val="2"/>
          <w:sz w:val="21"/>
          <w:szCs w:val="21"/>
        </w:rPr>
        <w:t>1.1.2.11独立承包人：指与发包人直接订立工程承包合同</w:t>
      </w:r>
      <w:r>
        <w:rPr>
          <w:spacing w:val="1"/>
          <w:sz w:val="21"/>
          <w:szCs w:val="21"/>
        </w:rPr>
        <w:t>，负责实施与工程有关的其他工作</w:t>
      </w:r>
      <w:r>
        <w:rPr>
          <w:sz w:val="21"/>
          <w:szCs w:val="21"/>
        </w:rPr>
        <w:t xml:space="preserve"> </w:t>
      </w:r>
      <w:r>
        <w:rPr>
          <w:spacing w:val="-5"/>
          <w:sz w:val="21"/>
          <w:szCs w:val="21"/>
        </w:rPr>
        <w:t>的当事人。</w:t>
      </w:r>
    </w:p>
    <w:p w14:paraId="76424CAC">
      <w:pPr>
        <w:pStyle w:val="2"/>
        <w:spacing w:before="136" w:line="220" w:lineRule="auto"/>
        <w:ind w:left="412"/>
        <w:rPr>
          <w:sz w:val="21"/>
          <w:szCs w:val="21"/>
        </w:rPr>
      </w:pPr>
      <w:r>
        <w:rPr>
          <w:b/>
          <w:bCs/>
          <w:spacing w:val="6"/>
          <w:sz w:val="21"/>
          <w:szCs w:val="21"/>
        </w:rPr>
        <w:t>1.1.3工程和设备</w:t>
      </w:r>
    </w:p>
    <w:p w14:paraId="7BDEDDA6">
      <w:pPr>
        <w:pStyle w:val="2"/>
        <w:spacing w:before="164" w:line="220" w:lineRule="auto"/>
        <w:ind w:left="409"/>
        <w:rPr>
          <w:sz w:val="22"/>
          <w:szCs w:val="22"/>
        </w:rPr>
      </w:pPr>
      <w:r>
        <w:rPr>
          <w:spacing w:val="-12"/>
          <w:sz w:val="22"/>
          <w:szCs w:val="22"/>
        </w:rPr>
        <w:t>1.1.3.2永久工程：</w:t>
      </w:r>
      <w:r>
        <w:rPr>
          <w:sz w:val="22"/>
          <w:szCs w:val="22"/>
          <w:u w:val="single" w:color="auto"/>
        </w:rPr>
        <w:t xml:space="preserve">                                                        </w:t>
      </w:r>
    </w:p>
    <w:p w14:paraId="0639D40E">
      <w:pPr>
        <w:pStyle w:val="2"/>
        <w:spacing w:before="127" w:line="219" w:lineRule="auto"/>
        <w:ind w:left="409"/>
        <w:rPr>
          <w:sz w:val="22"/>
          <w:szCs w:val="22"/>
        </w:rPr>
      </w:pPr>
      <w:r>
        <mc:AlternateContent>
          <mc:Choice Requires="wps">
            <w:drawing>
              <wp:anchor distT="0" distB="0" distL="0" distR="0" simplePos="0" relativeHeight="251666432" behindDoc="0" locked="0" layoutInCell="1" allowOverlap="1">
                <wp:simplePos x="0" y="0"/>
                <wp:positionH relativeFrom="column">
                  <wp:posOffset>5249545</wp:posOffset>
                </wp:positionH>
                <wp:positionV relativeFrom="paragraph">
                  <wp:posOffset>118110</wp:posOffset>
                </wp:positionV>
                <wp:extent cx="51435" cy="116840"/>
                <wp:effectExtent l="0" t="0" r="0" b="0"/>
                <wp:wrapNone/>
                <wp:docPr id="28" name="TextBox 28"/>
                <wp:cNvGraphicFramePr/>
                <a:graphic xmlns:a="http://schemas.openxmlformats.org/drawingml/2006/main">
                  <a:graphicData uri="http://schemas.microsoft.com/office/word/2010/wordprocessingShape">
                    <wps:wsp>
                      <wps:cNvSpPr txBox="1"/>
                      <wps:spPr>
                        <a:xfrm rot="16200000">
                          <a:off x="5249695" y="118250"/>
                          <a:ext cx="51435" cy="116839"/>
                        </a:xfrm>
                        <a:prstGeom prst="rect">
                          <a:avLst/>
                        </a:prstGeom>
                        <a:noFill/>
                        <a:ln w="0" cap="flat">
                          <a:noFill/>
                          <a:prstDash val="solid"/>
                          <a:miter lim="0"/>
                        </a:ln>
                      </wps:spPr>
                      <wps:style>
                        <a:lnRef idx="0">
                          <a:schemeClr val="accent1"/>
                        </a:lnRef>
                        <a:fillRef idx="0">
                          <a:schemeClr val="accent1"/>
                        </a:fillRef>
                        <a:effectRef idx="0">
                          <a:schemeClr val="accent1"/>
                        </a:effectRef>
                        <a:fontRef idx="minor">
                          <a:schemeClr val="dk1"/>
                        </a:fontRef>
                      </wps:style>
                      <wps:txbx>
                        <w:txbxContent>
                          <w:p w14:paraId="3D1FB4A7">
                            <w:pPr>
                              <w:pStyle w:val="2"/>
                              <w:spacing w:before="46"/>
                              <w:ind w:left="20"/>
                              <w:rPr>
                                <w:sz w:val="9"/>
                                <w:szCs w:val="9"/>
                              </w:rPr>
                            </w:pPr>
                            <w:r>
                              <w:rPr>
                                <w:sz w:val="9"/>
                                <w:szCs w:val="9"/>
                              </w:rPr>
                              <w:t>0</w:t>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TextBox 28" o:spid="_x0000_s1026" o:spt="202" type="#_x0000_t202" style="position:absolute;left:0pt;margin-left:413.35pt;margin-top:9.3pt;height:9.2pt;width:4.05pt;rotation:-5898240f;z-index:251666432;mso-width-relative:page;mso-height-relative:page;" filled="f" stroked="f" coordsize="21600,21600" o:gfxdata="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">
                <v:fill on="f" focussize="0,0"/>
                <v:stroke on="f" weight="0pt" miterlimit="0" joinstyle="miter"/>
                <v:imagedata o:title=""/>
                <o:lock v:ext="edit" aspectratio="f"/>
                <v:textbox inset="0mm,0mm,0mm,0mm">
                  <w:txbxContent>
                    <w:p w14:paraId="3D1FB4A7">
                      <w:pPr>
                        <w:pStyle w:val="2"/>
                        <w:spacing w:before="46"/>
                        <w:ind w:left="20"/>
                        <w:rPr>
                          <w:sz w:val="9"/>
                          <w:szCs w:val="9"/>
                        </w:rPr>
                      </w:pPr>
                      <w:r>
                        <w:rPr>
                          <w:sz w:val="9"/>
                          <w:szCs w:val="9"/>
                        </w:rPr>
                        <w:t>0</w:t>
                      </w:r>
                    </w:p>
                  </w:txbxContent>
                </v:textbox>
              </v:shape>
            </w:pict>
          </mc:Fallback>
        </mc:AlternateContent>
      </w:r>
      <w:r>
        <w:rPr>
          <w:spacing w:val="-12"/>
          <w:sz w:val="22"/>
          <w:szCs w:val="22"/>
        </w:rPr>
        <w:t>1.1.3.3临时工程：</w:t>
      </w:r>
      <w:r>
        <w:rPr>
          <w:sz w:val="22"/>
          <w:szCs w:val="22"/>
          <w:u w:val="single" w:color="auto"/>
        </w:rPr>
        <w:t xml:space="preserve">                                                        </w:t>
      </w:r>
    </w:p>
    <w:p w14:paraId="4C3CA011">
      <w:pPr>
        <w:pStyle w:val="2"/>
        <w:spacing w:before="128" w:line="268" w:lineRule="auto"/>
        <w:ind w:right="24" w:firstLine="409"/>
        <w:rPr>
          <w:sz w:val="21"/>
          <w:szCs w:val="21"/>
        </w:rPr>
      </w:pPr>
      <w:r>
        <w:rPr>
          <w:sz w:val="21"/>
          <w:szCs w:val="21"/>
        </w:rPr>
        <w:t>1.1.3.4单位工程：指具有相对独立</w:t>
      </w:r>
      <w:r>
        <w:rPr>
          <w:spacing w:val="-1"/>
          <w:sz w:val="21"/>
          <w:szCs w:val="21"/>
        </w:rPr>
        <w:t>的设计文件，能够独立组织施工并能形成独立使用功能的</w:t>
      </w:r>
      <w:r>
        <w:rPr>
          <w:sz w:val="21"/>
          <w:szCs w:val="21"/>
        </w:rPr>
        <w:t xml:space="preserve"> </w:t>
      </w:r>
      <w:r>
        <w:rPr>
          <w:spacing w:val="-2"/>
          <w:sz w:val="21"/>
          <w:szCs w:val="21"/>
        </w:rPr>
        <w:t>永久工程的组成部分。</w:t>
      </w:r>
    </w:p>
    <w:p w14:paraId="48232D49">
      <w:pPr>
        <w:pStyle w:val="2"/>
        <w:spacing w:before="172" w:line="221" w:lineRule="auto"/>
        <w:ind w:left="409"/>
        <w:rPr>
          <w:rFonts w:ascii="Arial" w:hAnsi="Arial" w:eastAsia="Arial" w:cs="Arial"/>
          <w:sz w:val="11"/>
          <w:szCs w:val="11"/>
        </w:rPr>
      </w:pPr>
      <w:r>
        <w:rPr>
          <w:spacing w:val="4"/>
          <w:sz w:val="21"/>
          <w:szCs w:val="21"/>
        </w:rPr>
        <w:t>1.1.3.10永久占地：</w:t>
      </w:r>
      <w:r>
        <w:rPr>
          <w:spacing w:val="4"/>
          <w:sz w:val="21"/>
          <w:szCs w:val="21"/>
          <w:u w:val="single" w:color="auto"/>
        </w:rPr>
        <w:t xml:space="preserve">                                                      </w:t>
      </w:r>
      <w:r>
        <w:rPr>
          <w:spacing w:val="-58"/>
          <w:sz w:val="21"/>
          <w:szCs w:val="21"/>
        </w:rPr>
        <w:t xml:space="preserve"> </w:t>
      </w:r>
      <w:r>
        <w:rPr>
          <w:rFonts w:ascii="Arial" w:hAnsi="Arial" w:eastAsia="Arial" w:cs="Arial"/>
          <w:spacing w:val="4"/>
          <w:position w:val="2"/>
          <w:sz w:val="11"/>
          <w:szCs w:val="11"/>
        </w:rPr>
        <w:t>o</w:t>
      </w:r>
    </w:p>
    <w:p w14:paraId="01DC9E67">
      <w:pPr>
        <w:pStyle w:val="2"/>
        <w:spacing w:before="107" w:line="219" w:lineRule="auto"/>
        <w:ind w:left="409"/>
        <w:rPr>
          <w:rFonts w:ascii="Arial" w:hAnsi="Arial" w:eastAsia="Arial" w:cs="Arial"/>
          <w:sz w:val="21"/>
          <w:szCs w:val="21"/>
        </w:rPr>
      </w:pPr>
      <w:r>
        <w:rPr>
          <w:spacing w:val="4"/>
          <w:sz w:val="21"/>
          <w:szCs w:val="21"/>
        </w:rPr>
        <w:t>1.1.3.11临时占地：</w:t>
      </w:r>
      <w:r>
        <w:rPr>
          <w:spacing w:val="4"/>
          <w:sz w:val="21"/>
          <w:szCs w:val="21"/>
          <w:u w:val="single" w:color="auto"/>
        </w:rPr>
        <w:t xml:space="preserve">                                                      </w:t>
      </w:r>
      <w:r>
        <w:rPr>
          <w:spacing w:val="-58"/>
          <w:sz w:val="21"/>
          <w:szCs w:val="21"/>
        </w:rPr>
        <w:t xml:space="preserve"> </w:t>
      </w:r>
      <w:r>
        <w:rPr>
          <w:rFonts w:ascii="Arial" w:hAnsi="Arial" w:eastAsia="Arial" w:cs="Arial"/>
          <w:spacing w:val="4"/>
          <w:sz w:val="21"/>
          <w:szCs w:val="21"/>
        </w:rPr>
        <w:t>o</w:t>
      </w:r>
    </w:p>
    <w:p w14:paraId="37E85491">
      <w:pPr>
        <w:pStyle w:val="2"/>
        <w:spacing w:before="149" w:line="220" w:lineRule="auto"/>
        <w:ind w:left="412"/>
        <w:rPr>
          <w:sz w:val="21"/>
          <w:szCs w:val="21"/>
        </w:rPr>
      </w:pPr>
      <w:r>
        <w:rPr>
          <w:b/>
          <w:bCs/>
          <w:spacing w:val="4"/>
          <w:sz w:val="21"/>
          <w:szCs w:val="21"/>
        </w:rPr>
        <w:t>1.</w:t>
      </w:r>
      <w:r>
        <w:rPr>
          <w:spacing w:val="-57"/>
          <w:sz w:val="21"/>
          <w:szCs w:val="21"/>
        </w:rPr>
        <w:t xml:space="preserve"> </w:t>
      </w:r>
      <w:r>
        <w:rPr>
          <w:b/>
          <w:bCs/>
          <w:spacing w:val="4"/>
          <w:sz w:val="21"/>
          <w:szCs w:val="21"/>
        </w:rPr>
        <w:t>1.4日期</w:t>
      </w:r>
    </w:p>
    <w:p w14:paraId="3E90CF35">
      <w:pPr>
        <w:pStyle w:val="2"/>
        <w:spacing w:before="162" w:line="219" w:lineRule="auto"/>
        <w:ind w:left="409"/>
        <w:rPr>
          <w:sz w:val="21"/>
          <w:szCs w:val="21"/>
        </w:rPr>
      </w:pPr>
      <w:r>
        <w:rPr>
          <w:spacing w:val="1"/>
          <w:sz w:val="21"/>
          <w:szCs w:val="21"/>
        </w:rPr>
        <w:t>1.1.4.5缺陷责任期期限：</w:t>
      </w:r>
      <w:r>
        <w:rPr>
          <w:spacing w:val="1"/>
          <w:sz w:val="21"/>
          <w:szCs w:val="21"/>
          <w:u w:val="single" w:color="auto"/>
        </w:rPr>
        <w:t xml:space="preserve">        </w:t>
      </w:r>
      <w:r>
        <w:rPr>
          <w:spacing w:val="-68"/>
          <w:sz w:val="21"/>
          <w:szCs w:val="21"/>
        </w:rPr>
        <w:t xml:space="preserve"> </w:t>
      </w:r>
      <w:r>
        <w:rPr>
          <w:spacing w:val="1"/>
          <w:sz w:val="21"/>
          <w:szCs w:val="21"/>
        </w:rPr>
        <w:t>月。</w:t>
      </w:r>
    </w:p>
    <w:p w14:paraId="359482D4">
      <w:pPr>
        <w:pStyle w:val="2"/>
        <w:spacing w:before="122" w:line="285" w:lineRule="auto"/>
        <w:ind w:right="36" w:firstLine="409"/>
        <w:rPr>
          <w:sz w:val="21"/>
          <w:szCs w:val="21"/>
        </w:rPr>
      </w:pPr>
      <w:r>
        <w:rPr>
          <w:spacing w:val="4"/>
          <w:sz w:val="21"/>
          <w:szCs w:val="21"/>
        </w:rPr>
        <w:t>1.1.4.8保修期：是根据现行有关法律规定，在合同条款第19.7款中约定的</w:t>
      </w:r>
      <w:r>
        <w:rPr>
          <w:spacing w:val="3"/>
          <w:sz w:val="21"/>
          <w:szCs w:val="21"/>
        </w:rPr>
        <w:t>由承包人负责对</w:t>
      </w:r>
      <w:r>
        <w:rPr>
          <w:sz w:val="21"/>
          <w:szCs w:val="21"/>
        </w:rPr>
        <w:t xml:space="preserve"> 合同约定的保修范围内发生的质量问题履行保修义务并对造成的损失承担赔</w:t>
      </w:r>
      <w:r>
        <w:rPr>
          <w:spacing w:val="-1"/>
          <w:sz w:val="21"/>
          <w:szCs w:val="21"/>
        </w:rPr>
        <w:t>偿责任的期限。</w:t>
      </w:r>
    </w:p>
    <w:p w14:paraId="5E805EB0">
      <w:pPr>
        <w:pStyle w:val="2"/>
        <w:spacing w:before="128" w:line="220" w:lineRule="auto"/>
        <w:ind w:left="412"/>
        <w:rPr>
          <w:sz w:val="21"/>
          <w:szCs w:val="21"/>
        </w:rPr>
      </w:pPr>
      <w:r>
        <w:rPr>
          <w:b/>
          <w:bCs/>
          <w:spacing w:val="4"/>
          <w:sz w:val="21"/>
          <w:szCs w:val="21"/>
        </w:rPr>
        <w:t>1.</w:t>
      </w:r>
      <w:r>
        <w:rPr>
          <w:spacing w:val="-63"/>
          <w:sz w:val="21"/>
          <w:szCs w:val="21"/>
        </w:rPr>
        <w:t xml:space="preserve"> </w:t>
      </w:r>
      <w:r>
        <w:rPr>
          <w:b/>
          <w:bCs/>
          <w:spacing w:val="4"/>
          <w:sz w:val="21"/>
          <w:szCs w:val="21"/>
        </w:rPr>
        <w:t>1.6其他</w:t>
      </w:r>
    </w:p>
    <w:p w14:paraId="77F60D98">
      <w:pPr>
        <w:pStyle w:val="2"/>
        <w:spacing w:before="160" w:line="277" w:lineRule="auto"/>
        <w:ind w:right="37" w:firstLine="409"/>
        <w:rPr>
          <w:sz w:val="21"/>
          <w:szCs w:val="21"/>
        </w:rPr>
      </w:pPr>
      <w:r>
        <w:rPr>
          <w:spacing w:val="2"/>
          <w:sz w:val="21"/>
          <w:szCs w:val="21"/>
        </w:rPr>
        <w:t>1.1.6.2材料：指构成或将构成永久工程组</w:t>
      </w:r>
      <w:r>
        <w:rPr>
          <w:spacing w:val="1"/>
          <w:sz w:val="21"/>
          <w:szCs w:val="21"/>
        </w:rPr>
        <w:t>成部分的各类物品(工程设备除外),包括合同中可</w:t>
      </w:r>
      <w:r>
        <w:rPr>
          <w:sz w:val="21"/>
          <w:szCs w:val="21"/>
        </w:rPr>
        <w:t xml:space="preserve"> </w:t>
      </w:r>
      <w:r>
        <w:rPr>
          <w:spacing w:val="-3"/>
          <w:sz w:val="21"/>
          <w:szCs w:val="21"/>
        </w:rPr>
        <w:t>能约定的承包人仅负责供应的材料。</w:t>
      </w:r>
    </w:p>
    <w:p w14:paraId="21623E7F">
      <w:pPr>
        <w:pStyle w:val="2"/>
        <w:spacing w:before="152" w:line="272" w:lineRule="auto"/>
        <w:ind w:firstLine="409"/>
        <w:rPr>
          <w:sz w:val="21"/>
          <w:szCs w:val="21"/>
        </w:rPr>
      </w:pPr>
      <w:r>
        <w:rPr>
          <w:sz w:val="21"/>
          <w:szCs w:val="21"/>
        </w:rPr>
        <w:t>1.1.6.3争议评审组：是由发包人和</w:t>
      </w:r>
      <w:r>
        <w:rPr>
          <w:spacing w:val="-1"/>
          <w:sz w:val="21"/>
          <w:szCs w:val="21"/>
        </w:rPr>
        <w:t>承包人共同聘请的人员组成的独立、公正的第三方临时性</w:t>
      </w:r>
      <w:r>
        <w:rPr>
          <w:sz w:val="21"/>
          <w:szCs w:val="21"/>
        </w:rPr>
        <w:t xml:space="preserve"> </w:t>
      </w:r>
      <w:r>
        <w:rPr>
          <w:spacing w:val="2"/>
          <w:sz w:val="21"/>
          <w:szCs w:val="21"/>
        </w:rPr>
        <w:t>组织，一般由一名或者三名合同管理和(或)工程管理专家组成。争议评审组负责对发包人和(或)</w:t>
      </w:r>
    </w:p>
    <w:p w14:paraId="7D8A5BE5">
      <w:pPr>
        <w:spacing w:line="272" w:lineRule="auto"/>
        <w:rPr>
          <w:sz w:val="21"/>
          <w:szCs w:val="21"/>
        </w:rPr>
        <w:sectPr>
          <w:footerReference r:id="rId150" w:type="default"/>
          <w:pgSz w:w="11910" w:h="16840"/>
          <w:pgMar w:top="400" w:right="1534" w:bottom="1024" w:left="1460" w:header="0" w:footer="889" w:gutter="0"/>
          <w:cols w:space="720" w:num="1"/>
        </w:sectPr>
      </w:pPr>
    </w:p>
    <w:p w14:paraId="7F9F35D8">
      <w:pPr>
        <w:spacing w:line="272" w:lineRule="auto"/>
        <w:rPr>
          <w:rFonts w:ascii="Arial"/>
          <w:sz w:val="21"/>
        </w:rPr>
      </w:pPr>
    </w:p>
    <w:p w14:paraId="3CC7C408">
      <w:pPr>
        <w:spacing w:line="273" w:lineRule="auto"/>
        <w:rPr>
          <w:rFonts w:ascii="Arial"/>
          <w:sz w:val="21"/>
        </w:rPr>
      </w:pPr>
    </w:p>
    <w:p w14:paraId="53D95C5E">
      <w:pPr>
        <w:spacing w:line="273" w:lineRule="auto"/>
        <w:rPr>
          <w:rFonts w:ascii="Arial"/>
          <w:sz w:val="21"/>
        </w:rPr>
      </w:pPr>
    </w:p>
    <w:p w14:paraId="1E678CBB">
      <w:pPr>
        <w:spacing w:line="273" w:lineRule="auto"/>
        <w:rPr>
          <w:rFonts w:ascii="Arial"/>
          <w:sz w:val="21"/>
        </w:rPr>
      </w:pPr>
    </w:p>
    <w:p w14:paraId="62727767">
      <w:pPr>
        <w:spacing w:line="273" w:lineRule="auto"/>
        <w:rPr>
          <w:rFonts w:ascii="Arial"/>
          <w:sz w:val="21"/>
        </w:rPr>
      </w:pPr>
    </w:p>
    <w:p w14:paraId="2BF12F4E">
      <w:pPr>
        <w:pStyle w:val="2"/>
        <w:spacing w:before="65" w:line="367" w:lineRule="auto"/>
        <w:ind w:right="32"/>
        <w:jc w:val="both"/>
        <w:rPr>
          <w:sz w:val="20"/>
          <w:szCs w:val="20"/>
        </w:rPr>
      </w:pPr>
      <w:r>
        <w:rPr>
          <w:spacing w:val="12"/>
          <w:sz w:val="20"/>
          <w:szCs w:val="20"/>
        </w:rPr>
        <w:t>承包人提请进行评审的本合同项下的争议进行评审并在规定的期限内给出评审意见，合同双方在</w:t>
      </w:r>
      <w:r>
        <w:rPr>
          <w:spacing w:val="6"/>
          <w:sz w:val="20"/>
          <w:szCs w:val="20"/>
        </w:rPr>
        <w:t xml:space="preserve"> </w:t>
      </w:r>
      <w:r>
        <w:rPr>
          <w:spacing w:val="12"/>
          <w:sz w:val="20"/>
          <w:szCs w:val="20"/>
        </w:rPr>
        <w:t>规定的期限内均未对评审意见提出异议时，评审意见对合同双方有最终约束力。发包人和承包人</w:t>
      </w:r>
      <w:r>
        <w:rPr>
          <w:spacing w:val="3"/>
          <w:sz w:val="20"/>
          <w:szCs w:val="20"/>
        </w:rPr>
        <w:t xml:space="preserve"> </w:t>
      </w:r>
      <w:r>
        <w:rPr>
          <w:spacing w:val="12"/>
          <w:sz w:val="20"/>
          <w:szCs w:val="20"/>
        </w:rPr>
        <w:t>应当分别与接受聘请的争议评审专家签订聘用协议，就评审的争议范围、评审意见效力等必要事</w:t>
      </w:r>
      <w:r>
        <w:rPr>
          <w:spacing w:val="4"/>
          <w:sz w:val="20"/>
          <w:szCs w:val="20"/>
        </w:rPr>
        <w:t xml:space="preserve"> </w:t>
      </w:r>
      <w:r>
        <w:rPr>
          <w:spacing w:val="3"/>
          <w:sz w:val="20"/>
          <w:szCs w:val="20"/>
        </w:rPr>
        <w:t>项做出约定。</w:t>
      </w:r>
    </w:p>
    <w:p w14:paraId="391DD736">
      <w:pPr>
        <w:pStyle w:val="2"/>
        <w:spacing w:before="1" w:line="376" w:lineRule="auto"/>
        <w:ind w:firstLine="439"/>
        <w:rPr>
          <w:sz w:val="20"/>
          <w:szCs w:val="20"/>
        </w:rPr>
      </w:pPr>
      <w:r>
        <w:rPr>
          <w:spacing w:val="9"/>
          <w:sz w:val="20"/>
          <w:szCs w:val="20"/>
        </w:rPr>
        <w:t>1.1.6.4除另有特别指明外，专用合同条款中使用的措辞“合同条款”指通用合同条款和(</w:t>
      </w:r>
      <w:r>
        <w:rPr>
          <w:spacing w:val="8"/>
          <w:sz w:val="20"/>
          <w:szCs w:val="20"/>
        </w:rPr>
        <w:t>或)</w:t>
      </w:r>
      <w:r>
        <w:rPr>
          <w:sz w:val="20"/>
          <w:szCs w:val="20"/>
        </w:rPr>
        <w:t xml:space="preserve"> </w:t>
      </w:r>
      <w:r>
        <w:rPr>
          <w:spacing w:val="4"/>
          <w:sz w:val="20"/>
          <w:szCs w:val="20"/>
        </w:rPr>
        <w:t>专用合同条款。</w:t>
      </w:r>
    </w:p>
    <w:p w14:paraId="51B40F47">
      <w:pPr>
        <w:spacing w:line="220" w:lineRule="auto"/>
        <w:ind w:left="2"/>
        <w:rPr>
          <w:rFonts w:ascii="黑体" w:hAnsi="黑体" w:eastAsia="黑体" w:cs="黑体"/>
          <w:sz w:val="20"/>
          <w:szCs w:val="20"/>
        </w:rPr>
      </w:pPr>
      <w:r>
        <w:rPr>
          <w:rFonts w:ascii="黑体" w:hAnsi="黑体" w:eastAsia="黑体" w:cs="黑体"/>
          <w:b/>
          <w:bCs/>
          <w:spacing w:val="24"/>
          <w:sz w:val="20"/>
          <w:szCs w:val="20"/>
        </w:rPr>
        <w:t>1</w:t>
      </w:r>
      <w:r>
        <w:rPr>
          <w:rFonts w:ascii="黑体" w:hAnsi="黑体" w:eastAsia="黑体" w:cs="黑体"/>
          <w:spacing w:val="-40"/>
          <w:sz w:val="20"/>
          <w:szCs w:val="20"/>
        </w:rPr>
        <w:t xml:space="preserve"> </w:t>
      </w:r>
      <w:r>
        <w:rPr>
          <w:rFonts w:ascii="黑体" w:hAnsi="黑体" w:eastAsia="黑体" w:cs="黑体"/>
          <w:b/>
          <w:bCs/>
          <w:spacing w:val="24"/>
          <w:sz w:val="20"/>
          <w:szCs w:val="20"/>
        </w:rPr>
        <w:t>.</w:t>
      </w:r>
      <w:r>
        <w:rPr>
          <w:rFonts w:ascii="黑体" w:hAnsi="黑体" w:eastAsia="黑体" w:cs="黑体"/>
          <w:spacing w:val="-58"/>
          <w:sz w:val="20"/>
          <w:szCs w:val="20"/>
        </w:rPr>
        <w:t xml:space="preserve"> </w:t>
      </w:r>
      <w:r>
        <w:rPr>
          <w:rFonts w:ascii="黑体" w:hAnsi="黑体" w:eastAsia="黑体" w:cs="黑体"/>
          <w:b/>
          <w:bCs/>
          <w:spacing w:val="24"/>
          <w:sz w:val="20"/>
          <w:szCs w:val="20"/>
        </w:rPr>
        <w:t>4合同文件的优先顺序</w:t>
      </w:r>
    </w:p>
    <w:p w14:paraId="49DCBB91">
      <w:pPr>
        <w:pStyle w:val="2"/>
        <w:spacing w:before="165" w:line="219" w:lineRule="auto"/>
        <w:ind w:left="439"/>
        <w:rPr>
          <w:sz w:val="20"/>
          <w:szCs w:val="20"/>
        </w:rPr>
      </w:pPr>
      <w:r>
        <w:rPr>
          <w:spacing w:val="6"/>
          <w:sz w:val="20"/>
          <w:szCs w:val="20"/>
        </w:rPr>
        <w:t>合同文件的优先解释顺序如下：</w:t>
      </w:r>
    </w:p>
    <w:p w14:paraId="45D225B1">
      <w:pPr>
        <w:pStyle w:val="2"/>
        <w:spacing w:before="161" w:line="219" w:lineRule="auto"/>
        <w:ind w:left="439"/>
        <w:rPr>
          <w:sz w:val="20"/>
          <w:szCs w:val="20"/>
        </w:rPr>
      </w:pPr>
      <w:r>
        <w:rPr>
          <w:spacing w:val="-1"/>
          <w:sz w:val="20"/>
          <w:szCs w:val="20"/>
        </w:rPr>
        <w:t>(1)合同协议书；</w:t>
      </w:r>
    </w:p>
    <w:p w14:paraId="2488E2AA">
      <w:pPr>
        <w:pStyle w:val="2"/>
        <w:spacing w:before="152" w:line="219" w:lineRule="auto"/>
        <w:ind w:left="439"/>
        <w:rPr>
          <w:sz w:val="20"/>
          <w:szCs w:val="20"/>
        </w:rPr>
      </w:pPr>
      <w:r>
        <w:rPr>
          <w:spacing w:val="-1"/>
          <w:sz w:val="20"/>
          <w:szCs w:val="20"/>
        </w:rPr>
        <w:t>(2)中标通知书：</w:t>
      </w:r>
    </w:p>
    <w:p w14:paraId="724F6873">
      <w:pPr>
        <w:pStyle w:val="2"/>
        <w:spacing w:before="173" w:line="219" w:lineRule="auto"/>
        <w:ind w:left="439"/>
        <w:rPr>
          <w:sz w:val="20"/>
          <w:szCs w:val="20"/>
        </w:rPr>
      </w:pPr>
      <w:r>
        <w:rPr>
          <w:spacing w:val="3"/>
          <w:sz w:val="20"/>
          <w:szCs w:val="20"/>
        </w:rPr>
        <w:t>(3)投标函及投标函附录；</w:t>
      </w:r>
    </w:p>
    <w:p w14:paraId="211F7582">
      <w:pPr>
        <w:pStyle w:val="2"/>
        <w:spacing w:before="164" w:line="219" w:lineRule="auto"/>
        <w:ind w:left="439"/>
        <w:rPr>
          <w:sz w:val="20"/>
          <w:szCs w:val="20"/>
        </w:rPr>
      </w:pPr>
      <w:r>
        <w:rPr>
          <w:spacing w:val="1"/>
          <w:sz w:val="20"/>
          <w:szCs w:val="20"/>
        </w:rPr>
        <w:t>(4)专用合同条款：</w:t>
      </w:r>
    </w:p>
    <w:p w14:paraId="7A759F59">
      <w:pPr>
        <w:pStyle w:val="2"/>
        <w:spacing w:before="143" w:line="219" w:lineRule="auto"/>
        <w:ind w:left="439"/>
        <w:rPr>
          <w:sz w:val="20"/>
          <w:szCs w:val="20"/>
        </w:rPr>
      </w:pPr>
      <w:r>
        <w:rPr>
          <w:spacing w:val="1"/>
          <w:sz w:val="20"/>
          <w:szCs w:val="20"/>
        </w:rPr>
        <w:t>(5)通用合同条款：</w:t>
      </w:r>
    </w:p>
    <w:p w14:paraId="7FFCB57F">
      <w:pPr>
        <w:pStyle w:val="2"/>
        <w:spacing w:before="216" w:line="222" w:lineRule="auto"/>
        <w:ind w:left="439"/>
        <w:rPr>
          <w:sz w:val="10"/>
          <w:szCs w:val="10"/>
        </w:rPr>
      </w:pPr>
      <w:r>
        <w:rPr>
          <w:spacing w:val="-15"/>
          <w:sz w:val="20"/>
          <w:szCs w:val="20"/>
        </w:rPr>
        <w:t>(6)</w:t>
      </w:r>
      <w:r>
        <w:rPr>
          <w:spacing w:val="-76"/>
          <w:sz w:val="20"/>
          <w:szCs w:val="20"/>
        </w:rPr>
        <w:t xml:space="preserve"> </w:t>
      </w:r>
      <w:r>
        <w:rPr>
          <w:spacing w:val="1"/>
          <w:sz w:val="20"/>
          <w:szCs w:val="20"/>
          <w:u w:val="single" w:color="auto"/>
        </w:rPr>
        <w:t xml:space="preserve">                                                 </w:t>
      </w:r>
      <w:r>
        <w:rPr>
          <w:spacing w:val="-79"/>
          <w:sz w:val="20"/>
          <w:szCs w:val="20"/>
        </w:rPr>
        <w:t xml:space="preserve"> </w:t>
      </w:r>
      <w:r>
        <w:rPr>
          <w:position w:val="3"/>
          <w:sz w:val="10"/>
          <w:szCs w:val="10"/>
        </w:rPr>
        <w:t>;</w:t>
      </w:r>
    </w:p>
    <w:p w14:paraId="4EBDD01E">
      <w:pPr>
        <w:pStyle w:val="2"/>
        <w:spacing w:before="149" w:line="222" w:lineRule="auto"/>
        <w:ind w:left="439"/>
        <w:rPr>
          <w:sz w:val="14"/>
          <w:szCs w:val="14"/>
        </w:rPr>
      </w:pPr>
      <w:r>
        <w:rPr>
          <w:spacing w:val="-11"/>
          <w:sz w:val="20"/>
          <w:szCs w:val="20"/>
        </w:rPr>
        <w:t>(7)</w:t>
      </w:r>
      <w:r>
        <w:rPr>
          <w:spacing w:val="-57"/>
          <w:sz w:val="20"/>
          <w:szCs w:val="20"/>
        </w:rPr>
        <w:t xml:space="preserve"> </w:t>
      </w:r>
      <w:r>
        <w:rPr>
          <w:spacing w:val="2"/>
          <w:sz w:val="20"/>
          <w:szCs w:val="20"/>
          <w:u w:val="single" w:color="auto"/>
        </w:rPr>
        <w:t xml:space="preserve">                              </w:t>
      </w:r>
      <w:r>
        <w:rPr>
          <w:spacing w:val="1"/>
          <w:sz w:val="20"/>
          <w:szCs w:val="20"/>
          <w:u w:val="single" w:color="auto"/>
        </w:rPr>
        <w:t xml:space="preserve">                   </w:t>
      </w:r>
      <w:r>
        <w:rPr>
          <w:spacing w:val="-79"/>
          <w:sz w:val="20"/>
          <w:szCs w:val="20"/>
        </w:rPr>
        <w:t xml:space="preserve"> </w:t>
      </w:r>
      <w:r>
        <w:rPr>
          <w:spacing w:val="-11"/>
          <w:sz w:val="14"/>
          <w:szCs w:val="14"/>
        </w:rPr>
        <w:t>;</w:t>
      </w:r>
    </w:p>
    <w:p w14:paraId="1484DF7B">
      <w:pPr>
        <w:pStyle w:val="2"/>
        <w:spacing w:before="140" w:line="216" w:lineRule="auto"/>
        <w:ind w:left="439"/>
        <w:rPr>
          <w:sz w:val="14"/>
          <w:szCs w:val="14"/>
        </w:rPr>
      </w:pPr>
      <w:r>
        <w:rPr>
          <w:spacing w:val="-10"/>
          <w:w w:val="82"/>
          <w:sz w:val="20"/>
          <w:szCs w:val="20"/>
        </w:rPr>
        <w:t>(8)_</w:t>
      </w:r>
      <w:r>
        <w:rPr>
          <w:spacing w:val="-90"/>
          <w:sz w:val="20"/>
          <w:szCs w:val="20"/>
        </w:rPr>
        <w:t xml:space="preserve"> </w:t>
      </w:r>
      <w:r>
        <w:rPr>
          <w:spacing w:val="1"/>
          <w:sz w:val="20"/>
          <w:szCs w:val="20"/>
          <w:u w:val="single" w:color="auto"/>
        </w:rPr>
        <w:t xml:space="preserve">                                       </w:t>
      </w:r>
      <w:r>
        <w:rPr>
          <w:sz w:val="20"/>
          <w:szCs w:val="20"/>
          <w:u w:val="single" w:color="auto"/>
        </w:rPr>
        <w:t xml:space="preserve">          </w:t>
      </w:r>
      <w:r>
        <w:rPr>
          <w:spacing w:val="-89"/>
          <w:sz w:val="20"/>
          <w:szCs w:val="20"/>
        </w:rPr>
        <w:t xml:space="preserve"> </w:t>
      </w:r>
      <w:r>
        <w:rPr>
          <w:spacing w:val="1"/>
          <w:position w:val="-2"/>
          <w:sz w:val="14"/>
          <w:szCs w:val="14"/>
        </w:rPr>
        <w:t>;</w:t>
      </w:r>
    </w:p>
    <w:p w14:paraId="1132F518">
      <w:pPr>
        <w:pStyle w:val="2"/>
        <w:spacing w:before="158" w:line="222" w:lineRule="auto"/>
        <w:ind w:left="439"/>
        <w:rPr>
          <w:sz w:val="11"/>
          <w:szCs w:val="11"/>
        </w:rPr>
      </w:pPr>
      <w:r>
        <w:drawing>
          <wp:anchor distT="0" distB="0" distL="0" distR="0" simplePos="0" relativeHeight="251667456" behindDoc="0" locked="0" layoutInCell="1" allowOverlap="1">
            <wp:simplePos x="0" y="0"/>
            <wp:positionH relativeFrom="column">
              <wp:posOffset>469265</wp:posOffset>
            </wp:positionH>
            <wp:positionV relativeFrom="paragraph">
              <wp:posOffset>289560</wp:posOffset>
            </wp:positionV>
            <wp:extent cx="3165475" cy="6350"/>
            <wp:effectExtent l="0" t="0" r="0" b="0"/>
            <wp:wrapNone/>
            <wp:docPr id="30" name="IM 30"/>
            <wp:cNvGraphicFramePr/>
            <a:graphic xmlns:a="http://schemas.openxmlformats.org/drawingml/2006/main">
              <a:graphicData uri="http://schemas.openxmlformats.org/drawingml/2006/picture">
                <pic:pic xmlns:pic="http://schemas.openxmlformats.org/drawingml/2006/picture">
                  <pic:nvPicPr>
                    <pic:cNvPr id="30" name="IM 30"/>
                    <pic:cNvPicPr/>
                  </pic:nvPicPr>
                  <pic:blipFill>
                    <a:blip r:embed="rId421"/>
                    <a:stretch>
                      <a:fillRect/>
                    </a:stretch>
                  </pic:blipFill>
                  <pic:spPr>
                    <a:xfrm>
                      <a:off x="0" y="0"/>
                      <a:ext cx="3165499" cy="6350"/>
                    </a:xfrm>
                    <a:prstGeom prst="rect">
                      <a:avLst/>
                    </a:prstGeom>
                  </pic:spPr>
                </pic:pic>
              </a:graphicData>
            </a:graphic>
          </wp:anchor>
        </w:drawing>
      </w:r>
      <w:r>
        <w:rPr>
          <w:spacing w:val="-6"/>
          <w:sz w:val="11"/>
          <w:szCs w:val="11"/>
        </w:rPr>
        <w:t>(9)</w:t>
      </w:r>
    </w:p>
    <w:p w14:paraId="32EE1F53">
      <w:pPr>
        <w:spacing w:before="265" w:line="356" w:lineRule="auto"/>
        <w:ind w:left="31" w:right="55" w:firstLine="408"/>
        <w:rPr>
          <w:rFonts w:ascii="楷体" w:hAnsi="楷体" w:eastAsia="楷体" w:cs="楷体"/>
          <w:sz w:val="21"/>
          <w:szCs w:val="21"/>
        </w:rPr>
      </w:pPr>
      <w:r>
        <w:rPr>
          <w:rFonts w:ascii="楷体" w:hAnsi="楷体" w:eastAsia="楷体" w:cs="楷体"/>
          <w:spacing w:val="10"/>
          <w:sz w:val="20"/>
          <w:szCs w:val="20"/>
        </w:rPr>
        <w:t>(说明：(6)、(7)、(8)填空内容分别限于技术标准和要求、图纸、已标价工程量清单三</w:t>
      </w:r>
      <w:r>
        <w:rPr>
          <w:rFonts w:ascii="楷体" w:hAnsi="楷体" w:eastAsia="楷体" w:cs="楷体"/>
          <w:spacing w:val="9"/>
          <w:sz w:val="20"/>
          <w:szCs w:val="20"/>
        </w:rPr>
        <w:t>者之</w:t>
      </w:r>
      <w:r>
        <w:rPr>
          <w:rFonts w:ascii="楷体" w:hAnsi="楷体" w:eastAsia="楷体" w:cs="楷体"/>
          <w:sz w:val="20"/>
          <w:szCs w:val="20"/>
        </w:rPr>
        <w:t xml:space="preserve"> </w:t>
      </w:r>
      <w:r>
        <w:rPr>
          <w:rFonts w:ascii="楷体" w:hAnsi="楷体" w:eastAsia="楷体" w:cs="楷体"/>
          <w:i/>
          <w:iCs/>
          <w:spacing w:val="-23"/>
          <w:sz w:val="21"/>
          <w:szCs w:val="21"/>
        </w:rPr>
        <w:t>一。)</w:t>
      </w:r>
    </w:p>
    <w:p w14:paraId="069D0BB7">
      <w:pPr>
        <w:pStyle w:val="2"/>
        <w:spacing w:before="12" w:line="365" w:lineRule="auto"/>
        <w:ind w:right="33" w:firstLine="439"/>
        <w:rPr>
          <w:sz w:val="20"/>
          <w:szCs w:val="20"/>
        </w:rPr>
      </w:pPr>
      <w:r>
        <w:rPr>
          <w:spacing w:val="12"/>
          <w:sz w:val="20"/>
          <w:szCs w:val="20"/>
        </w:rPr>
        <w:t>合同协议书中约定采用总价合同形式的，已标价工程量清单中的各项</w:t>
      </w:r>
      <w:r>
        <w:rPr>
          <w:spacing w:val="11"/>
          <w:sz w:val="20"/>
          <w:szCs w:val="20"/>
        </w:rPr>
        <w:t>工程量对合同双方不具</w:t>
      </w:r>
      <w:r>
        <w:rPr>
          <w:sz w:val="20"/>
          <w:szCs w:val="20"/>
        </w:rPr>
        <w:t xml:space="preserve"> </w:t>
      </w:r>
      <w:r>
        <w:rPr>
          <w:spacing w:val="3"/>
          <w:sz w:val="20"/>
          <w:szCs w:val="20"/>
        </w:rPr>
        <w:t>合同约束力。</w:t>
      </w:r>
    </w:p>
    <w:p w14:paraId="364FB84E">
      <w:pPr>
        <w:pStyle w:val="2"/>
        <w:spacing w:before="1" w:line="218" w:lineRule="auto"/>
        <w:ind w:left="439"/>
        <w:rPr>
          <w:sz w:val="20"/>
          <w:szCs w:val="20"/>
        </w:rPr>
      </w:pPr>
      <w:r>
        <w:rPr>
          <w:spacing w:val="10"/>
          <w:sz w:val="20"/>
          <w:szCs w:val="20"/>
        </w:rPr>
        <w:t>图纸与技术标准和要求之间有矛盾或者不一致的，以其</w:t>
      </w:r>
      <w:r>
        <w:rPr>
          <w:spacing w:val="9"/>
          <w:sz w:val="20"/>
          <w:szCs w:val="20"/>
        </w:rPr>
        <w:t>中要求较严格的标准为准。</w:t>
      </w:r>
    </w:p>
    <w:p w14:paraId="43585175">
      <w:pPr>
        <w:pStyle w:val="2"/>
        <w:spacing w:before="173" w:line="368" w:lineRule="auto"/>
        <w:ind w:right="16" w:firstLine="439"/>
        <w:rPr>
          <w:sz w:val="20"/>
          <w:szCs w:val="20"/>
        </w:rPr>
      </w:pPr>
      <w:r>
        <w:rPr>
          <w:spacing w:val="12"/>
          <w:sz w:val="20"/>
          <w:szCs w:val="20"/>
        </w:rPr>
        <w:t>合同双方在合同履行过程中签订的补充协议亦构成合同文件的组成部分，其解释顺序视其内</w:t>
      </w:r>
      <w:r>
        <w:rPr>
          <w:spacing w:val="6"/>
          <w:sz w:val="20"/>
          <w:szCs w:val="20"/>
        </w:rPr>
        <w:t xml:space="preserve"> </w:t>
      </w:r>
      <w:r>
        <w:rPr>
          <w:spacing w:val="8"/>
          <w:sz w:val="20"/>
          <w:szCs w:val="20"/>
        </w:rPr>
        <w:t>容与其他合同文件的相互关系而定。</w:t>
      </w:r>
    </w:p>
    <w:p w14:paraId="4D57B54C">
      <w:pPr>
        <w:spacing w:before="1" w:line="221" w:lineRule="auto"/>
        <w:ind w:left="2"/>
        <w:rPr>
          <w:rFonts w:ascii="黑体" w:hAnsi="黑体" w:eastAsia="黑体" w:cs="黑体"/>
          <w:sz w:val="20"/>
          <w:szCs w:val="20"/>
        </w:rPr>
      </w:pPr>
      <w:r>
        <w:rPr>
          <w:rFonts w:ascii="黑体" w:hAnsi="黑体" w:eastAsia="黑体" w:cs="黑体"/>
          <w:b/>
          <w:bCs/>
          <w:spacing w:val="17"/>
          <w:sz w:val="20"/>
          <w:szCs w:val="20"/>
        </w:rPr>
        <w:t>1</w:t>
      </w:r>
      <w:r>
        <w:rPr>
          <w:rFonts w:ascii="黑体" w:hAnsi="黑体" w:eastAsia="黑体" w:cs="黑体"/>
          <w:spacing w:val="-42"/>
          <w:sz w:val="20"/>
          <w:szCs w:val="20"/>
        </w:rPr>
        <w:t xml:space="preserve"> </w:t>
      </w:r>
      <w:r>
        <w:rPr>
          <w:rFonts w:ascii="黑体" w:hAnsi="黑体" w:eastAsia="黑体" w:cs="黑体"/>
          <w:b/>
          <w:bCs/>
          <w:spacing w:val="17"/>
          <w:sz w:val="20"/>
          <w:szCs w:val="20"/>
        </w:rPr>
        <w:t>.</w:t>
      </w:r>
      <w:r>
        <w:rPr>
          <w:rFonts w:ascii="黑体" w:hAnsi="黑体" w:eastAsia="黑体" w:cs="黑体"/>
          <w:spacing w:val="-58"/>
          <w:sz w:val="20"/>
          <w:szCs w:val="20"/>
        </w:rPr>
        <w:t xml:space="preserve"> </w:t>
      </w:r>
      <w:r>
        <w:rPr>
          <w:rFonts w:ascii="黑体" w:hAnsi="黑体" w:eastAsia="黑体" w:cs="黑体"/>
          <w:b/>
          <w:bCs/>
          <w:spacing w:val="17"/>
          <w:sz w:val="20"/>
          <w:szCs w:val="20"/>
        </w:rPr>
        <w:t>5合同协议书</w:t>
      </w:r>
    </w:p>
    <w:p w14:paraId="0E87C03B">
      <w:pPr>
        <w:pStyle w:val="2"/>
        <w:spacing w:before="283" w:line="219" w:lineRule="auto"/>
        <w:ind w:left="439"/>
        <w:rPr>
          <w:sz w:val="8"/>
          <w:szCs w:val="8"/>
        </w:rPr>
      </w:pPr>
      <w:r>
        <w:rPr>
          <w:spacing w:val="1"/>
          <w:sz w:val="20"/>
          <w:szCs w:val="20"/>
        </w:rPr>
        <w:t>合同生效的条件：</w:t>
      </w:r>
      <w:r>
        <w:rPr>
          <w:spacing w:val="-50"/>
          <w:sz w:val="20"/>
          <w:szCs w:val="20"/>
        </w:rPr>
        <w:t xml:space="preserve"> </w:t>
      </w:r>
      <w:r>
        <w:rPr>
          <w:spacing w:val="1"/>
          <w:sz w:val="20"/>
          <w:szCs w:val="20"/>
          <w:u w:val="single" w:color="auto"/>
        </w:rPr>
        <w:t xml:space="preserve">                               </w:t>
      </w:r>
      <w:r>
        <w:rPr>
          <w:sz w:val="20"/>
          <w:szCs w:val="20"/>
          <w:u w:val="single" w:color="auto"/>
        </w:rPr>
        <w:t xml:space="preserve">                               </w:t>
      </w:r>
      <w:r>
        <w:rPr>
          <w:sz w:val="8"/>
          <w:szCs w:val="8"/>
        </w:rPr>
        <w:t>口</w:t>
      </w:r>
    </w:p>
    <w:p w14:paraId="46E33B4D">
      <w:pPr>
        <w:spacing w:before="289" w:line="222" w:lineRule="auto"/>
        <w:ind w:left="2"/>
        <w:rPr>
          <w:rFonts w:ascii="黑体" w:hAnsi="黑体" w:eastAsia="黑体" w:cs="黑体"/>
          <w:sz w:val="20"/>
          <w:szCs w:val="20"/>
        </w:rPr>
      </w:pPr>
      <w:r>
        <w:rPr>
          <w:rFonts w:ascii="黑体" w:hAnsi="黑体" w:eastAsia="黑体" w:cs="黑体"/>
          <w:b/>
          <w:bCs/>
          <w:spacing w:val="22"/>
          <w:sz w:val="20"/>
          <w:szCs w:val="20"/>
        </w:rPr>
        <w:t>1</w:t>
      </w:r>
      <w:r>
        <w:rPr>
          <w:rFonts w:ascii="黑体" w:hAnsi="黑体" w:eastAsia="黑体" w:cs="黑体"/>
          <w:spacing w:val="-39"/>
          <w:sz w:val="20"/>
          <w:szCs w:val="20"/>
        </w:rPr>
        <w:t xml:space="preserve"> </w:t>
      </w:r>
      <w:r>
        <w:rPr>
          <w:rFonts w:ascii="黑体" w:hAnsi="黑体" w:eastAsia="黑体" w:cs="黑体"/>
          <w:b/>
          <w:bCs/>
          <w:spacing w:val="22"/>
          <w:sz w:val="20"/>
          <w:szCs w:val="20"/>
        </w:rPr>
        <w:t>.</w:t>
      </w:r>
      <w:r>
        <w:rPr>
          <w:rFonts w:ascii="黑体" w:hAnsi="黑体" w:eastAsia="黑体" w:cs="黑体"/>
          <w:spacing w:val="-54"/>
          <w:sz w:val="20"/>
          <w:szCs w:val="20"/>
        </w:rPr>
        <w:t xml:space="preserve"> </w:t>
      </w:r>
      <w:r>
        <w:rPr>
          <w:rFonts w:ascii="黑体" w:hAnsi="黑体" w:eastAsia="黑体" w:cs="黑体"/>
          <w:b/>
          <w:bCs/>
          <w:spacing w:val="22"/>
          <w:sz w:val="20"/>
          <w:szCs w:val="20"/>
        </w:rPr>
        <w:t>6图纸和承包人文件</w:t>
      </w:r>
    </w:p>
    <w:p w14:paraId="4BE9BAE9">
      <w:pPr>
        <w:pStyle w:val="2"/>
        <w:spacing w:before="259" w:line="219" w:lineRule="auto"/>
        <w:ind w:left="442"/>
        <w:rPr>
          <w:sz w:val="20"/>
          <w:szCs w:val="20"/>
        </w:rPr>
      </w:pPr>
      <w:r>
        <w:rPr>
          <w:b/>
          <w:bCs/>
          <w:spacing w:val="10"/>
          <w:sz w:val="20"/>
          <w:szCs w:val="20"/>
        </w:rPr>
        <w:t>1.6.</w:t>
      </w:r>
      <w:r>
        <w:rPr>
          <w:spacing w:val="-51"/>
          <w:sz w:val="20"/>
          <w:szCs w:val="20"/>
        </w:rPr>
        <w:t xml:space="preserve"> </w:t>
      </w:r>
      <w:r>
        <w:rPr>
          <w:b/>
          <w:bCs/>
          <w:spacing w:val="10"/>
          <w:sz w:val="20"/>
          <w:szCs w:val="20"/>
        </w:rPr>
        <w:t>1图纸的提供</w:t>
      </w:r>
    </w:p>
    <w:p w14:paraId="5EDDF744">
      <w:pPr>
        <w:pStyle w:val="2"/>
        <w:spacing w:before="297" w:line="299" w:lineRule="auto"/>
        <w:ind w:right="35" w:firstLine="439"/>
        <w:rPr>
          <w:sz w:val="20"/>
          <w:szCs w:val="20"/>
        </w:rPr>
      </w:pPr>
      <w:r>
        <w:rPr>
          <w:spacing w:val="9"/>
          <w:sz w:val="20"/>
          <w:szCs w:val="20"/>
        </w:rPr>
        <w:t>(1)发包人按照合同条款本项的约定向承包人提供图纸。承包人需要</w:t>
      </w:r>
      <w:r>
        <w:rPr>
          <w:spacing w:val="8"/>
          <w:sz w:val="20"/>
          <w:szCs w:val="20"/>
        </w:rPr>
        <w:t>增加图纸套数的，发包人</w:t>
      </w:r>
      <w:r>
        <w:rPr>
          <w:sz w:val="20"/>
          <w:szCs w:val="20"/>
        </w:rPr>
        <w:t xml:space="preserve"> </w:t>
      </w:r>
      <w:r>
        <w:rPr>
          <w:spacing w:val="8"/>
          <w:sz w:val="20"/>
          <w:szCs w:val="20"/>
        </w:rPr>
        <w:t>应代为复制，复制费用由承包人承担。</w:t>
      </w:r>
    </w:p>
    <w:p w14:paraId="59A3BB91">
      <w:pPr>
        <w:pStyle w:val="2"/>
        <w:spacing w:before="152" w:line="289" w:lineRule="auto"/>
        <w:ind w:right="34" w:firstLine="439"/>
        <w:rPr>
          <w:sz w:val="20"/>
          <w:szCs w:val="20"/>
        </w:rPr>
      </w:pPr>
      <w:r>
        <w:rPr>
          <w:spacing w:val="12"/>
          <w:sz w:val="20"/>
          <w:szCs w:val="20"/>
        </w:rPr>
        <w:t>(2)在监理人批准合同条款第10.1款约定的合同进度计划或者合同条款10.2款约定的合同进</w:t>
      </w:r>
      <w:r>
        <w:rPr>
          <w:spacing w:val="6"/>
          <w:sz w:val="20"/>
          <w:szCs w:val="20"/>
        </w:rPr>
        <w:t xml:space="preserve"> </w:t>
      </w:r>
      <w:r>
        <w:rPr>
          <w:spacing w:val="15"/>
          <w:sz w:val="20"/>
          <w:szCs w:val="20"/>
        </w:rPr>
        <w:t>度计划修改后7天内，承包人应当根据合同进</w:t>
      </w:r>
      <w:r>
        <w:rPr>
          <w:spacing w:val="14"/>
          <w:sz w:val="20"/>
          <w:szCs w:val="20"/>
        </w:rPr>
        <w:t>度计划和本项约定的图纸提供期限和数量，编制或</w:t>
      </w:r>
    </w:p>
    <w:p w14:paraId="79D431D1">
      <w:pPr>
        <w:spacing w:line="289" w:lineRule="auto"/>
        <w:rPr>
          <w:sz w:val="20"/>
          <w:szCs w:val="20"/>
        </w:rPr>
        <w:sectPr>
          <w:footerReference r:id="rId151" w:type="default"/>
          <w:pgSz w:w="11910" w:h="16840"/>
          <w:pgMar w:top="400" w:right="1515" w:bottom="1017" w:left="1450" w:header="0" w:footer="891" w:gutter="0"/>
          <w:cols w:space="720" w:num="1"/>
        </w:sectPr>
      </w:pPr>
    </w:p>
    <w:p w14:paraId="654C82E2">
      <w:pPr>
        <w:spacing w:line="269" w:lineRule="auto"/>
        <w:rPr>
          <w:rFonts w:ascii="Arial"/>
          <w:sz w:val="21"/>
        </w:rPr>
      </w:pPr>
    </w:p>
    <w:p w14:paraId="0E30B702">
      <w:pPr>
        <w:spacing w:line="269" w:lineRule="auto"/>
        <w:rPr>
          <w:rFonts w:ascii="Arial"/>
          <w:sz w:val="21"/>
        </w:rPr>
      </w:pPr>
    </w:p>
    <w:p w14:paraId="5EE09E05">
      <w:pPr>
        <w:spacing w:line="269" w:lineRule="auto"/>
        <w:rPr>
          <w:rFonts w:ascii="Arial"/>
          <w:sz w:val="21"/>
        </w:rPr>
      </w:pPr>
    </w:p>
    <w:p w14:paraId="7D5A5166">
      <w:pPr>
        <w:spacing w:line="269" w:lineRule="auto"/>
        <w:rPr>
          <w:rFonts w:ascii="Arial"/>
          <w:sz w:val="21"/>
        </w:rPr>
      </w:pPr>
    </w:p>
    <w:p w14:paraId="26272B83">
      <w:pPr>
        <w:spacing w:line="269" w:lineRule="auto"/>
        <w:rPr>
          <w:rFonts w:ascii="Arial"/>
          <w:sz w:val="21"/>
        </w:rPr>
      </w:pPr>
    </w:p>
    <w:p w14:paraId="2465CDB0">
      <w:pPr>
        <w:pStyle w:val="2"/>
        <w:spacing w:before="68" w:line="348" w:lineRule="auto"/>
        <w:ind w:left="30" w:right="188"/>
        <w:jc w:val="both"/>
        <w:rPr>
          <w:sz w:val="21"/>
          <w:szCs w:val="21"/>
        </w:rPr>
      </w:pPr>
      <w:r>
        <w:rPr>
          <w:spacing w:val="-1"/>
          <w:sz w:val="21"/>
          <w:szCs w:val="21"/>
        </w:rPr>
        <w:t>者修改图纸供应计划并报送监理人，其中应当载明承包人对各区段最新版本图纸(包括合同条款第</w:t>
      </w:r>
      <w:r>
        <w:rPr>
          <w:spacing w:val="10"/>
          <w:sz w:val="21"/>
          <w:szCs w:val="21"/>
        </w:rPr>
        <w:t xml:space="preserve"> </w:t>
      </w:r>
      <w:r>
        <w:rPr>
          <w:spacing w:val="4"/>
          <w:sz w:val="21"/>
          <w:szCs w:val="21"/>
        </w:rPr>
        <w:t>1.6.3项约定的图纸修改图)的最迟需求时间，监理人应当在收到图纸供应计划后</w:t>
      </w:r>
      <w:r>
        <w:rPr>
          <w:spacing w:val="3"/>
          <w:sz w:val="21"/>
          <w:szCs w:val="21"/>
        </w:rPr>
        <w:t>7天内批复或提</w:t>
      </w:r>
      <w:r>
        <w:rPr>
          <w:sz w:val="21"/>
          <w:szCs w:val="21"/>
        </w:rPr>
        <w:t xml:space="preserve"> </w:t>
      </w:r>
      <w:r>
        <w:rPr>
          <w:spacing w:val="2"/>
          <w:sz w:val="21"/>
          <w:szCs w:val="21"/>
        </w:rPr>
        <w:t>出修改意见，否则该图纸供应计划视为得到批准。经监理人批准的</w:t>
      </w:r>
      <w:r>
        <w:rPr>
          <w:spacing w:val="1"/>
          <w:sz w:val="21"/>
          <w:szCs w:val="21"/>
        </w:rPr>
        <w:t>最新的图纸供应计划对合同双</w:t>
      </w:r>
      <w:r>
        <w:rPr>
          <w:sz w:val="21"/>
          <w:szCs w:val="21"/>
        </w:rPr>
        <w:t xml:space="preserve"> </w:t>
      </w:r>
      <w:r>
        <w:rPr>
          <w:spacing w:val="2"/>
          <w:sz w:val="21"/>
          <w:szCs w:val="21"/>
        </w:rPr>
        <w:t>方有合同约束力，作为发包人或者监理人向承包人提供图纸的主要依据。发包人或者监理人不按</w:t>
      </w:r>
      <w:r>
        <w:rPr>
          <w:spacing w:val="16"/>
          <w:sz w:val="21"/>
          <w:szCs w:val="21"/>
        </w:rPr>
        <w:t xml:space="preserve"> </w:t>
      </w:r>
      <w:r>
        <w:rPr>
          <w:spacing w:val="2"/>
          <w:sz w:val="21"/>
          <w:szCs w:val="21"/>
        </w:rPr>
        <w:t>照图纸供应计划提供图纸而导致承包人费用增加和(或)工</w:t>
      </w:r>
      <w:r>
        <w:rPr>
          <w:spacing w:val="1"/>
          <w:sz w:val="21"/>
          <w:szCs w:val="21"/>
        </w:rPr>
        <w:t>期延误的，由发包人承担赔偿责任。承</w:t>
      </w:r>
      <w:r>
        <w:rPr>
          <w:sz w:val="21"/>
          <w:szCs w:val="21"/>
        </w:rPr>
        <w:t xml:space="preserve"> </w:t>
      </w:r>
      <w:r>
        <w:rPr>
          <w:spacing w:val="2"/>
          <w:sz w:val="21"/>
          <w:szCs w:val="21"/>
        </w:rPr>
        <w:t>包人未按照本目约定的时间向监理人提交图纸供应计划，致使发包</w:t>
      </w:r>
      <w:r>
        <w:rPr>
          <w:spacing w:val="1"/>
          <w:sz w:val="21"/>
          <w:szCs w:val="21"/>
        </w:rPr>
        <w:t>人或者监理人未能在合理的时</w:t>
      </w:r>
      <w:r>
        <w:rPr>
          <w:sz w:val="21"/>
          <w:szCs w:val="21"/>
        </w:rPr>
        <w:t xml:space="preserve"> </w:t>
      </w:r>
      <w:r>
        <w:rPr>
          <w:spacing w:val="2"/>
          <w:sz w:val="21"/>
          <w:szCs w:val="21"/>
        </w:rPr>
        <w:t>间内提供相应图纸或者承包人未按照图纸供应计划组织施工所造成的费用增加和(或)工期</w:t>
      </w:r>
      <w:r>
        <w:rPr>
          <w:spacing w:val="1"/>
          <w:sz w:val="21"/>
          <w:szCs w:val="21"/>
        </w:rPr>
        <w:t>延误由</w:t>
      </w:r>
      <w:r>
        <w:rPr>
          <w:sz w:val="21"/>
          <w:szCs w:val="21"/>
        </w:rPr>
        <w:t xml:space="preserve"> </w:t>
      </w:r>
      <w:r>
        <w:rPr>
          <w:spacing w:val="-6"/>
          <w:sz w:val="21"/>
          <w:szCs w:val="21"/>
        </w:rPr>
        <w:t>承包人承担。</w:t>
      </w:r>
    </w:p>
    <w:p w14:paraId="323DFAC1">
      <w:pPr>
        <w:pStyle w:val="2"/>
        <w:spacing w:before="98" w:line="219" w:lineRule="auto"/>
        <w:ind w:left="449"/>
        <w:rPr>
          <w:rFonts w:ascii="Arial" w:hAnsi="Arial" w:eastAsia="Arial" w:cs="Arial"/>
          <w:sz w:val="7"/>
          <w:szCs w:val="7"/>
        </w:rPr>
      </w:pPr>
      <w:r>
        <w:rPr>
          <w:spacing w:val="1"/>
          <w:sz w:val="21"/>
          <w:szCs w:val="21"/>
        </w:rPr>
        <w:t>(3)发包人提供图纸的期限：</w:t>
      </w:r>
      <w:r>
        <w:rPr>
          <w:sz w:val="21"/>
          <w:szCs w:val="21"/>
          <w:u w:val="single" w:color="auto"/>
        </w:rPr>
        <w:t xml:space="preserve">                                                  </w:t>
      </w:r>
      <w:r>
        <w:rPr>
          <w:rFonts w:ascii="Arial" w:hAnsi="Arial" w:eastAsia="Arial" w:cs="Arial"/>
          <w:spacing w:val="1"/>
          <w:position w:val="3"/>
          <w:sz w:val="7"/>
          <w:szCs w:val="7"/>
        </w:rPr>
        <w:t>_o</w:t>
      </w:r>
    </w:p>
    <w:p w14:paraId="6D4BD174">
      <w:pPr>
        <w:pStyle w:val="2"/>
        <w:spacing w:before="170" w:line="219" w:lineRule="auto"/>
        <w:ind w:left="449"/>
        <w:rPr>
          <w:sz w:val="21"/>
          <w:szCs w:val="21"/>
        </w:rPr>
      </w:pPr>
      <w:r>
        <w:rPr>
          <w:spacing w:val="1"/>
          <w:sz w:val="21"/>
          <w:szCs w:val="21"/>
        </w:rPr>
        <w:t>(4)发包人提供图纸的数量：</w:t>
      </w:r>
      <w:r>
        <w:rPr>
          <w:spacing w:val="1"/>
          <w:sz w:val="21"/>
          <w:szCs w:val="21"/>
          <w:u w:val="single" w:color="auto"/>
        </w:rPr>
        <w:t xml:space="preserve">          </w:t>
      </w:r>
      <w:r>
        <w:rPr>
          <w:sz w:val="21"/>
          <w:szCs w:val="21"/>
          <w:u w:val="single" w:color="auto"/>
        </w:rPr>
        <w:t xml:space="preserve">                                        </w:t>
      </w:r>
    </w:p>
    <w:p w14:paraId="07B2480F">
      <w:pPr>
        <w:pStyle w:val="2"/>
        <w:spacing w:before="148" w:line="219" w:lineRule="auto"/>
        <w:ind w:left="452"/>
        <w:rPr>
          <w:sz w:val="21"/>
          <w:szCs w:val="21"/>
        </w:rPr>
      </w:pPr>
      <w:r>
        <w:rPr>
          <w:b/>
          <w:bCs/>
          <w:spacing w:val="5"/>
          <w:sz w:val="21"/>
          <w:szCs w:val="21"/>
        </w:rPr>
        <w:t>1.6.2承包人提供的文件</w:t>
      </w:r>
    </w:p>
    <w:p w14:paraId="5A6D584D">
      <w:pPr>
        <w:pStyle w:val="2"/>
        <w:spacing w:before="174" w:line="356" w:lineRule="auto"/>
        <w:ind w:left="30" w:right="221" w:firstLine="419"/>
        <w:jc w:val="both"/>
        <w:rPr>
          <w:sz w:val="21"/>
          <w:szCs w:val="21"/>
        </w:rPr>
      </w:pPr>
      <w:r>
        <w:rPr>
          <w:spacing w:val="1"/>
          <w:sz w:val="21"/>
          <w:szCs w:val="21"/>
        </w:rPr>
        <w:t>(1)除专用合同条款第4.1.10(1)目约定的由承包人提供的设计文件外，本项约定的其他应由</w:t>
      </w:r>
      <w:r>
        <w:rPr>
          <w:spacing w:val="17"/>
          <w:sz w:val="21"/>
          <w:szCs w:val="21"/>
        </w:rPr>
        <w:t xml:space="preserve"> </w:t>
      </w:r>
      <w:r>
        <w:rPr>
          <w:spacing w:val="2"/>
          <w:sz w:val="21"/>
          <w:szCs w:val="21"/>
        </w:rPr>
        <w:t>承包人提供的文件，包括必要的加工图和大样图，均不是</w:t>
      </w:r>
      <w:r>
        <w:rPr>
          <w:spacing w:val="1"/>
          <w:sz w:val="21"/>
          <w:szCs w:val="21"/>
        </w:rPr>
        <w:t>合同计量与支付的依据文件。由承包人</w:t>
      </w:r>
      <w:r>
        <w:rPr>
          <w:sz w:val="21"/>
          <w:szCs w:val="21"/>
        </w:rPr>
        <w:t xml:space="preserve"> </w:t>
      </w:r>
      <w:r>
        <w:rPr>
          <w:spacing w:val="-1"/>
          <w:sz w:val="21"/>
          <w:szCs w:val="21"/>
        </w:rPr>
        <w:t>提供的文件范围：</w:t>
      </w:r>
      <w:r>
        <w:rPr>
          <w:sz w:val="21"/>
          <w:szCs w:val="21"/>
          <w:u w:val="single" w:color="auto"/>
        </w:rPr>
        <w:t xml:space="preserve">                                                         </w:t>
      </w:r>
    </w:p>
    <w:p w14:paraId="125AF6D9">
      <w:pPr>
        <w:tabs>
          <w:tab w:val="left" w:pos="8489"/>
        </w:tabs>
        <w:spacing w:before="1" w:line="239" w:lineRule="auto"/>
        <w:rPr>
          <w:rFonts w:ascii="Arial"/>
          <w:sz w:val="21"/>
        </w:rPr>
      </w:pPr>
      <w:r>
        <w:rPr>
          <w:rFonts w:ascii="Arial" w:hAnsi="Arial" w:eastAsia="Arial" w:cs="Arial"/>
          <w:sz w:val="21"/>
          <w:szCs w:val="21"/>
          <w:u w:val="single" w:color="auto"/>
        </w:rPr>
        <w:tab/>
      </w:r>
    </w:p>
    <w:p w14:paraId="0BA5FDEF">
      <w:pPr>
        <w:spacing w:line="348" w:lineRule="auto"/>
        <w:rPr>
          <w:rFonts w:ascii="Arial"/>
          <w:sz w:val="21"/>
        </w:rPr>
      </w:pPr>
    </w:p>
    <w:p w14:paraId="0420AAFD">
      <w:pPr>
        <w:spacing w:before="1" w:line="10" w:lineRule="exact"/>
      </w:pPr>
      <w:r>
        <w:drawing>
          <wp:inline distT="0" distB="0" distL="0" distR="0">
            <wp:extent cx="5390515" cy="6350"/>
            <wp:effectExtent l="0" t="0" r="0" b="0"/>
            <wp:docPr id="32" name="IM 32"/>
            <wp:cNvGraphicFramePr/>
            <a:graphic xmlns:a="http://schemas.openxmlformats.org/drawingml/2006/main">
              <a:graphicData uri="http://schemas.openxmlformats.org/drawingml/2006/picture">
                <pic:pic xmlns:pic="http://schemas.openxmlformats.org/drawingml/2006/picture">
                  <pic:nvPicPr>
                    <pic:cNvPr id="32" name="IM 32"/>
                    <pic:cNvPicPr/>
                  </pic:nvPicPr>
                  <pic:blipFill>
                    <a:blip r:embed="rId422"/>
                    <a:stretch>
                      <a:fillRect/>
                    </a:stretch>
                  </pic:blipFill>
                  <pic:spPr>
                    <a:xfrm>
                      <a:off x="0" y="0"/>
                      <a:ext cx="5391101" cy="6350"/>
                    </a:xfrm>
                    <a:prstGeom prst="rect">
                      <a:avLst/>
                    </a:prstGeom>
                  </pic:spPr>
                </pic:pic>
              </a:graphicData>
            </a:graphic>
          </wp:inline>
        </w:drawing>
      </w:r>
    </w:p>
    <w:p w14:paraId="14F4149C">
      <w:pPr>
        <w:pStyle w:val="2"/>
        <w:spacing w:before="302" w:line="219" w:lineRule="auto"/>
        <w:ind w:left="479"/>
        <w:rPr>
          <w:sz w:val="22"/>
          <w:szCs w:val="22"/>
        </w:rPr>
      </w:pPr>
      <w:r>
        <w:rPr>
          <w:sz w:val="22"/>
          <w:szCs w:val="22"/>
        </w:rPr>
        <w:t>(2)承包人提供文件的期限：</w:t>
      </w:r>
      <w:r>
        <w:rPr>
          <w:sz w:val="22"/>
          <w:szCs w:val="22"/>
          <w:u w:val="single" w:color="auto"/>
        </w:rPr>
        <w:t xml:space="preserve">                                                 </w:t>
      </w:r>
    </w:p>
    <w:p w14:paraId="2592B818">
      <w:pPr>
        <w:spacing w:line="244" w:lineRule="auto"/>
        <w:rPr>
          <w:rFonts w:ascii="Arial"/>
          <w:sz w:val="21"/>
        </w:rPr>
      </w:pPr>
    </w:p>
    <w:p w14:paraId="2C8C5DAC">
      <w:pPr>
        <w:spacing w:before="1" w:line="10" w:lineRule="exact"/>
      </w:pPr>
      <w:r>
        <w:drawing>
          <wp:inline distT="0" distB="0" distL="0" distR="0">
            <wp:extent cx="5390515" cy="6350"/>
            <wp:effectExtent l="0" t="0" r="0" b="0"/>
            <wp:docPr id="34" name="IM 34"/>
            <wp:cNvGraphicFramePr/>
            <a:graphic xmlns:a="http://schemas.openxmlformats.org/drawingml/2006/main">
              <a:graphicData uri="http://schemas.openxmlformats.org/drawingml/2006/picture">
                <pic:pic xmlns:pic="http://schemas.openxmlformats.org/drawingml/2006/picture">
                  <pic:nvPicPr>
                    <pic:cNvPr id="34" name="IM 34"/>
                    <pic:cNvPicPr/>
                  </pic:nvPicPr>
                  <pic:blipFill>
                    <a:blip r:embed="rId423"/>
                    <a:stretch>
                      <a:fillRect/>
                    </a:stretch>
                  </pic:blipFill>
                  <pic:spPr>
                    <a:xfrm>
                      <a:off x="0" y="0"/>
                      <a:ext cx="5391101" cy="6350"/>
                    </a:xfrm>
                    <a:prstGeom prst="rect">
                      <a:avLst/>
                    </a:prstGeom>
                  </pic:spPr>
                </pic:pic>
              </a:graphicData>
            </a:graphic>
          </wp:inline>
        </w:drawing>
      </w:r>
    </w:p>
    <w:p w14:paraId="590D8137">
      <w:pPr>
        <w:pStyle w:val="2"/>
        <w:tabs>
          <w:tab w:val="left" w:pos="8239"/>
        </w:tabs>
        <w:spacing w:before="224" w:line="276" w:lineRule="auto"/>
        <w:ind w:firstLine="489"/>
        <w:rPr>
          <w:sz w:val="22"/>
          <w:szCs w:val="22"/>
        </w:rPr>
      </w:pPr>
      <w:r>
        <w:rPr>
          <w:spacing w:val="1"/>
          <w:sz w:val="22"/>
          <w:szCs w:val="22"/>
        </w:rPr>
        <w:t>(3)承包人提供文件的数量：</w:t>
      </w:r>
      <w:r>
        <w:rPr>
          <w:spacing w:val="1"/>
          <w:sz w:val="22"/>
          <w:szCs w:val="22"/>
          <w:u w:val="single" w:color="auto"/>
        </w:rPr>
        <w:t xml:space="preserve">                                                     </w:t>
      </w:r>
      <w:r>
        <w:rPr>
          <w:spacing w:val="1"/>
          <w:sz w:val="22"/>
          <w:szCs w:val="22"/>
        </w:rPr>
        <w:t xml:space="preserve"> </w:t>
      </w:r>
      <w:r>
        <w:rPr>
          <w:sz w:val="22"/>
          <w:szCs w:val="22"/>
          <w:u w:val="single" w:color="auto"/>
        </w:rPr>
        <w:tab/>
      </w:r>
      <w:r>
        <w:rPr>
          <w:spacing w:val="-10"/>
          <w:sz w:val="22"/>
          <w:szCs w:val="22"/>
          <w:u w:val="single" w:color="auto"/>
        </w:rPr>
        <w:t>0</w:t>
      </w:r>
      <w:r>
        <w:rPr>
          <w:sz w:val="22"/>
          <w:szCs w:val="22"/>
          <w:u w:val="single" w:color="auto"/>
        </w:rPr>
        <w:t xml:space="preserve">  </w:t>
      </w:r>
    </w:p>
    <w:p w14:paraId="17FC8285">
      <w:pPr>
        <w:pStyle w:val="2"/>
        <w:spacing w:before="171" w:line="219" w:lineRule="auto"/>
        <w:ind w:left="479"/>
        <w:rPr>
          <w:sz w:val="22"/>
          <w:szCs w:val="22"/>
        </w:rPr>
      </w:pPr>
      <w:r>
        <w:rPr>
          <w:spacing w:val="2"/>
          <w:sz w:val="22"/>
          <w:szCs w:val="22"/>
        </w:rPr>
        <w:t>(4)监理人批复承包人提供文件的期限</w:t>
      </w:r>
      <w:r>
        <w:rPr>
          <w:spacing w:val="2"/>
          <w:sz w:val="22"/>
          <w:szCs w:val="22"/>
          <w:u w:val="single" w:color="auto"/>
        </w:rPr>
        <w:t xml:space="preserve">：                   </w:t>
      </w:r>
      <w:r>
        <w:rPr>
          <w:spacing w:val="1"/>
          <w:sz w:val="22"/>
          <w:szCs w:val="22"/>
          <w:u w:val="single" w:color="auto"/>
        </w:rPr>
        <w:t xml:space="preserve">      </w:t>
      </w:r>
    </w:p>
    <w:p w14:paraId="0B0CBB2B">
      <w:pPr>
        <w:pStyle w:val="2"/>
        <w:tabs>
          <w:tab w:val="left" w:pos="8179"/>
        </w:tabs>
        <w:spacing w:before="224" w:line="179" w:lineRule="auto"/>
        <w:ind w:left="8069"/>
        <w:rPr>
          <w:sz w:val="7"/>
          <w:szCs w:val="7"/>
        </w:rPr>
      </w:pPr>
      <w:r>
        <w:rPr>
          <w:sz w:val="7"/>
          <w:szCs w:val="7"/>
          <w:u w:val="dotted" w:color="auto"/>
        </w:rPr>
        <w:tab/>
      </w:r>
      <w:r>
        <w:rPr>
          <w:spacing w:val="-4"/>
          <w:sz w:val="7"/>
          <w:szCs w:val="7"/>
        </w:rPr>
        <w:t xml:space="preserve"> </w:t>
      </w:r>
      <w:r>
        <w:rPr>
          <w:spacing w:val="12"/>
          <w:sz w:val="7"/>
          <w:szCs w:val="7"/>
        </w:rPr>
        <w:t>。</w:t>
      </w:r>
    </w:p>
    <w:p w14:paraId="2E40DAB7">
      <w:pPr>
        <w:spacing w:line="275" w:lineRule="auto"/>
        <w:rPr>
          <w:rFonts w:ascii="Arial"/>
          <w:sz w:val="21"/>
        </w:rPr>
      </w:pPr>
      <w:r>
        <w:pict>
          <v:shape id="_x0000_s1028" o:spid="_x0000_s1028" style="position:absolute;left:0pt;margin-left:0.25pt;margin-top:2.45pt;height:0.5pt;width:424.5pt;z-index:251668480;mso-width-relative:page;mso-height-relative:page;" filled="f" stroked="t" coordsize="8490,10" path="m0,5l8489,5m0,5l8489,5e">
            <v:fill on="f" focussize="0,0"/>
            <v:stroke weight="0.5pt" color="#000000" miterlimit="10" joinstyle="miter"/>
            <v:imagedata o:title=""/>
            <o:lock v:ext="edit"/>
          </v:shape>
        </w:pict>
      </w:r>
    </w:p>
    <w:p w14:paraId="1E679A70">
      <w:pPr>
        <w:pStyle w:val="2"/>
        <w:spacing w:before="73" w:line="220" w:lineRule="auto"/>
        <w:ind w:left="479"/>
        <w:rPr>
          <w:sz w:val="22"/>
          <w:szCs w:val="22"/>
        </w:rPr>
      </w:pPr>
      <w:r>
        <w:rPr>
          <w:spacing w:val="-1"/>
          <w:sz w:val="22"/>
          <w:szCs w:val="22"/>
        </w:rPr>
        <w:t>(5)其他约定：</w:t>
      </w:r>
    </w:p>
    <w:p w14:paraId="54DD1963">
      <w:pPr>
        <w:tabs>
          <w:tab w:val="left" w:pos="8489"/>
        </w:tabs>
        <w:spacing w:before="51"/>
        <w:rPr>
          <w:rFonts w:ascii="Arial"/>
          <w:sz w:val="21"/>
        </w:rPr>
      </w:pPr>
      <w:r>
        <w:rPr>
          <w:rFonts w:ascii="Arial" w:hAnsi="Arial" w:eastAsia="Arial" w:cs="Arial"/>
          <w:sz w:val="21"/>
          <w:szCs w:val="21"/>
          <w:u w:val="single" w:color="auto"/>
        </w:rPr>
        <w:tab/>
      </w:r>
    </w:p>
    <w:p w14:paraId="1A398073">
      <w:pPr>
        <w:pStyle w:val="2"/>
        <w:spacing w:before="181" w:line="219" w:lineRule="auto"/>
        <w:ind w:left="452"/>
        <w:rPr>
          <w:sz w:val="21"/>
          <w:szCs w:val="21"/>
        </w:rPr>
      </w:pPr>
      <w:r>
        <w:rPr>
          <w:b/>
          <w:bCs/>
          <w:spacing w:val="8"/>
          <w:sz w:val="21"/>
          <w:szCs w:val="21"/>
        </w:rPr>
        <w:t>1.6.3图纸的修改</w:t>
      </w:r>
    </w:p>
    <w:p w14:paraId="7AAC14FA">
      <w:pPr>
        <w:pStyle w:val="2"/>
        <w:spacing w:before="152" w:line="337" w:lineRule="auto"/>
        <w:ind w:left="30" w:right="220" w:firstLine="419"/>
        <w:rPr>
          <w:sz w:val="21"/>
          <w:szCs w:val="21"/>
        </w:rPr>
      </w:pPr>
      <w:r>
        <w:rPr>
          <w:spacing w:val="2"/>
          <w:sz w:val="21"/>
          <w:szCs w:val="21"/>
        </w:rPr>
        <w:t>监理人应当按照合同条款第1.6.1(2)目约定的</w:t>
      </w:r>
      <w:r>
        <w:rPr>
          <w:spacing w:val="1"/>
          <w:sz w:val="21"/>
          <w:szCs w:val="21"/>
        </w:rPr>
        <w:t>有合同约束力的图纸供应计划，签发图纸修改</w:t>
      </w:r>
      <w:r>
        <w:rPr>
          <w:sz w:val="21"/>
          <w:szCs w:val="21"/>
        </w:rPr>
        <w:t xml:space="preserve"> </w:t>
      </w:r>
      <w:r>
        <w:rPr>
          <w:spacing w:val="-5"/>
          <w:sz w:val="21"/>
          <w:szCs w:val="21"/>
        </w:rPr>
        <w:t>图给承包人。</w:t>
      </w:r>
    </w:p>
    <w:p w14:paraId="5A80876D">
      <w:pPr>
        <w:spacing w:line="221" w:lineRule="auto"/>
        <w:ind w:left="33"/>
        <w:rPr>
          <w:rFonts w:ascii="黑体" w:hAnsi="黑体" w:eastAsia="黑体" w:cs="黑体"/>
          <w:sz w:val="21"/>
          <w:szCs w:val="21"/>
        </w:rPr>
      </w:pPr>
      <w:r>
        <w:rPr>
          <w:rFonts w:ascii="黑体" w:hAnsi="黑体" w:eastAsia="黑体" w:cs="黑体"/>
          <w:b/>
          <w:bCs/>
          <w:spacing w:val="9"/>
          <w:sz w:val="21"/>
          <w:szCs w:val="21"/>
        </w:rPr>
        <w:t>1</w:t>
      </w:r>
      <w:r>
        <w:rPr>
          <w:rFonts w:ascii="黑体" w:hAnsi="黑体" w:eastAsia="黑体" w:cs="黑体"/>
          <w:spacing w:val="-57"/>
          <w:sz w:val="21"/>
          <w:szCs w:val="21"/>
        </w:rPr>
        <w:t xml:space="preserve"> </w:t>
      </w:r>
      <w:r>
        <w:rPr>
          <w:rFonts w:ascii="黑体" w:hAnsi="黑体" w:eastAsia="黑体" w:cs="黑体"/>
          <w:b/>
          <w:bCs/>
          <w:spacing w:val="9"/>
          <w:sz w:val="21"/>
          <w:szCs w:val="21"/>
        </w:rPr>
        <w:t>.7联络</w:t>
      </w:r>
    </w:p>
    <w:p w14:paraId="07CE918E">
      <w:pPr>
        <w:pStyle w:val="2"/>
        <w:spacing w:before="161" w:line="219" w:lineRule="auto"/>
        <w:ind w:left="452"/>
        <w:rPr>
          <w:sz w:val="21"/>
          <w:szCs w:val="21"/>
        </w:rPr>
      </w:pPr>
      <w:r>
        <w:rPr>
          <w:b/>
          <w:bCs/>
          <w:spacing w:val="3"/>
          <w:sz w:val="21"/>
          <w:szCs w:val="21"/>
        </w:rPr>
        <w:t>1.7.2联络来往函件的送达和接收</w:t>
      </w:r>
    </w:p>
    <w:p w14:paraId="2BEE70D7">
      <w:pPr>
        <w:pStyle w:val="2"/>
        <w:spacing w:before="152" w:line="272" w:lineRule="auto"/>
        <w:ind w:left="30" w:right="230" w:firstLine="419"/>
        <w:rPr>
          <w:sz w:val="21"/>
          <w:szCs w:val="21"/>
        </w:rPr>
      </w:pPr>
      <w:r>
        <w:rPr>
          <w:spacing w:val="-1"/>
          <w:sz w:val="21"/>
          <w:szCs w:val="21"/>
        </w:rPr>
        <w:t>(1)联络来往信函的送达期限：合同约定了发出期限的，送达期限为合同约定的发</w:t>
      </w:r>
      <w:r>
        <w:rPr>
          <w:spacing w:val="-2"/>
          <w:sz w:val="21"/>
          <w:szCs w:val="21"/>
        </w:rPr>
        <w:t>出期限后的</w:t>
      </w:r>
      <w:r>
        <w:rPr>
          <w:sz w:val="21"/>
          <w:szCs w:val="21"/>
        </w:rPr>
        <w:t xml:space="preserve"> </w:t>
      </w:r>
      <w:r>
        <w:rPr>
          <w:spacing w:val="2"/>
          <w:sz w:val="21"/>
          <w:szCs w:val="21"/>
        </w:rPr>
        <w:t>24小时内；合同约定了通知、提供或者报送期限的，通知、提供或者报</w:t>
      </w:r>
      <w:r>
        <w:rPr>
          <w:spacing w:val="1"/>
          <w:sz w:val="21"/>
          <w:szCs w:val="21"/>
        </w:rPr>
        <w:t>送期限即为送达期限。</w:t>
      </w:r>
    </w:p>
    <w:p w14:paraId="3CBF3E9C">
      <w:pPr>
        <w:pStyle w:val="2"/>
        <w:spacing w:before="192" w:line="219" w:lineRule="auto"/>
        <w:ind w:left="449"/>
        <w:rPr>
          <w:sz w:val="20"/>
          <w:szCs w:val="20"/>
        </w:rPr>
      </w:pPr>
      <w:r>
        <w:rPr>
          <w:sz w:val="20"/>
          <w:szCs w:val="20"/>
        </w:rPr>
        <w:t xml:space="preserve">(2)发包人指定的接收地点： </w:t>
      </w:r>
      <w:r>
        <w:rPr>
          <w:sz w:val="20"/>
          <w:szCs w:val="20"/>
          <w:u w:val="single" w:color="auto"/>
        </w:rPr>
        <w:t xml:space="preserve">            </w:t>
      </w:r>
      <w:r>
        <w:rPr>
          <w:spacing w:val="-1"/>
          <w:sz w:val="20"/>
          <w:szCs w:val="20"/>
          <w:u w:val="single" w:color="auto"/>
        </w:rPr>
        <w:t xml:space="preserve">                                         </w:t>
      </w:r>
    </w:p>
    <w:p w14:paraId="2509FB52">
      <w:pPr>
        <w:pStyle w:val="2"/>
        <w:spacing w:before="154" w:line="219" w:lineRule="auto"/>
        <w:ind w:left="449"/>
        <w:rPr>
          <w:rFonts w:ascii="Times New Roman" w:hAnsi="Times New Roman" w:eastAsia="Times New Roman" w:cs="Times New Roman"/>
          <w:sz w:val="21"/>
          <w:szCs w:val="21"/>
        </w:rPr>
      </w:pPr>
      <w:r>
        <w:rPr>
          <w:spacing w:val="-2"/>
          <w:sz w:val="21"/>
          <w:szCs w:val="21"/>
        </w:rPr>
        <w:t>(3)发包人指定的接收人为：</w:t>
      </w:r>
      <w:r>
        <w:rPr>
          <w:spacing w:val="-62"/>
          <w:sz w:val="21"/>
          <w:szCs w:val="21"/>
        </w:rPr>
        <w:t xml:space="preserve"> </w:t>
      </w:r>
      <w:r>
        <w:rPr>
          <w:sz w:val="21"/>
          <w:szCs w:val="21"/>
          <w:u w:val="single" w:color="auto"/>
        </w:rPr>
        <w:t xml:space="preserve">                                                  </w:t>
      </w:r>
      <w:r>
        <w:rPr>
          <w:spacing w:val="-84"/>
          <w:sz w:val="21"/>
          <w:szCs w:val="21"/>
        </w:rPr>
        <w:t xml:space="preserve"> </w:t>
      </w:r>
      <w:r>
        <w:rPr>
          <w:rFonts w:ascii="Times New Roman" w:hAnsi="Times New Roman" w:eastAsia="Times New Roman" w:cs="Times New Roman"/>
          <w:spacing w:val="-2"/>
          <w:sz w:val="21"/>
          <w:szCs w:val="21"/>
        </w:rPr>
        <w:t>0</w:t>
      </w:r>
    </w:p>
    <w:p w14:paraId="74858A83">
      <w:pPr>
        <w:spacing w:line="219" w:lineRule="auto"/>
        <w:rPr>
          <w:rFonts w:ascii="Times New Roman" w:hAnsi="Times New Roman" w:eastAsia="Times New Roman" w:cs="Times New Roman"/>
          <w:sz w:val="21"/>
          <w:szCs w:val="21"/>
        </w:rPr>
        <w:sectPr>
          <w:footerReference r:id="rId152" w:type="default"/>
          <w:pgSz w:w="11910" w:h="16840"/>
          <w:pgMar w:top="400" w:right="1339" w:bottom="1024" w:left="1430" w:header="0" w:footer="889" w:gutter="0"/>
          <w:cols w:space="720" w:num="1"/>
        </w:sectPr>
      </w:pPr>
    </w:p>
    <w:p w14:paraId="4D14E982">
      <w:pPr>
        <w:spacing w:line="271" w:lineRule="auto"/>
        <w:rPr>
          <w:rFonts w:ascii="Arial"/>
          <w:sz w:val="21"/>
        </w:rPr>
      </w:pPr>
    </w:p>
    <w:p w14:paraId="1A482122">
      <w:pPr>
        <w:spacing w:line="271" w:lineRule="auto"/>
        <w:rPr>
          <w:rFonts w:ascii="Arial"/>
          <w:sz w:val="21"/>
        </w:rPr>
      </w:pPr>
    </w:p>
    <w:p w14:paraId="318202B3">
      <w:pPr>
        <w:spacing w:line="271" w:lineRule="auto"/>
        <w:rPr>
          <w:rFonts w:ascii="Arial"/>
          <w:sz w:val="21"/>
        </w:rPr>
      </w:pPr>
    </w:p>
    <w:p w14:paraId="690CD3FE">
      <w:pPr>
        <w:spacing w:line="271" w:lineRule="auto"/>
        <w:rPr>
          <w:rFonts w:ascii="Arial"/>
          <w:sz w:val="21"/>
        </w:rPr>
      </w:pPr>
    </w:p>
    <w:p w14:paraId="11CF1F60">
      <w:pPr>
        <w:spacing w:line="272" w:lineRule="auto"/>
        <w:rPr>
          <w:rFonts w:ascii="Arial"/>
          <w:sz w:val="21"/>
        </w:rPr>
      </w:pPr>
    </w:p>
    <w:p w14:paraId="04D05773">
      <w:pPr>
        <w:pStyle w:val="2"/>
        <w:spacing w:before="75" w:line="219" w:lineRule="auto"/>
        <w:ind w:left="419"/>
        <w:rPr>
          <w:sz w:val="23"/>
          <w:szCs w:val="23"/>
        </w:rPr>
      </w:pPr>
      <w:r>
        <w:rPr>
          <w:spacing w:val="-18"/>
          <w:sz w:val="23"/>
          <w:szCs w:val="23"/>
        </w:rPr>
        <w:t>(4)监理人指定的接收地点：</w:t>
      </w:r>
      <w:r>
        <w:rPr>
          <w:spacing w:val="-90"/>
          <w:sz w:val="23"/>
          <w:szCs w:val="23"/>
        </w:rPr>
        <w:t xml:space="preserve"> </w:t>
      </w:r>
      <w:r>
        <w:rPr>
          <w:sz w:val="23"/>
          <w:szCs w:val="23"/>
          <w:u w:val="single" w:color="auto"/>
        </w:rPr>
        <w:t xml:space="preserve">                                              </w:t>
      </w:r>
    </w:p>
    <w:p w14:paraId="16A5C21A">
      <w:pPr>
        <w:pStyle w:val="2"/>
        <w:spacing w:before="166" w:line="219" w:lineRule="auto"/>
        <w:ind w:left="419"/>
        <w:rPr>
          <w:sz w:val="21"/>
          <w:szCs w:val="21"/>
        </w:rPr>
      </w:pPr>
      <w:r>
        <w:rPr>
          <w:sz w:val="21"/>
          <w:szCs w:val="21"/>
        </w:rPr>
        <w:t>(5)监理人指定的接收人为：</w:t>
      </w:r>
      <w:r>
        <w:rPr>
          <w:spacing w:val="-81"/>
          <w:sz w:val="21"/>
          <w:szCs w:val="21"/>
        </w:rPr>
        <w:t xml:space="preserve"> </w:t>
      </w:r>
      <w:r>
        <w:rPr>
          <w:sz w:val="21"/>
          <w:szCs w:val="21"/>
          <w:u w:val="single" w:color="auto"/>
        </w:rPr>
        <w:t xml:space="preserve">                                                   </w:t>
      </w:r>
    </w:p>
    <w:p w14:paraId="5353C53C">
      <w:pPr>
        <w:pStyle w:val="2"/>
        <w:spacing w:before="129" w:line="325" w:lineRule="auto"/>
        <w:ind w:firstLine="419"/>
        <w:rPr>
          <w:sz w:val="21"/>
          <w:szCs w:val="21"/>
        </w:rPr>
      </w:pPr>
      <w:r>
        <w:rPr>
          <w:spacing w:val="5"/>
          <w:sz w:val="21"/>
          <w:szCs w:val="21"/>
        </w:rPr>
        <w:t>(6)承包人指定的接收人为合同协议书中载明</w:t>
      </w:r>
      <w:r>
        <w:rPr>
          <w:spacing w:val="4"/>
          <w:sz w:val="21"/>
          <w:szCs w:val="21"/>
        </w:rPr>
        <w:t>的承包人项目经理本人或者项目经理的授权代</w:t>
      </w:r>
      <w:r>
        <w:rPr>
          <w:sz w:val="21"/>
          <w:szCs w:val="21"/>
        </w:rPr>
        <w:t xml:space="preserve"> </w:t>
      </w:r>
      <w:r>
        <w:rPr>
          <w:spacing w:val="7"/>
          <w:sz w:val="21"/>
          <w:szCs w:val="21"/>
        </w:rPr>
        <w:t>表。承包人应在收到开工通知后7天内，按照合同条款第4.5.4项的约定，将授权代表其接收来</w:t>
      </w:r>
      <w:r>
        <w:rPr>
          <w:sz w:val="21"/>
          <w:szCs w:val="21"/>
        </w:rPr>
        <w:t xml:space="preserve"> </w:t>
      </w:r>
      <w:r>
        <w:rPr>
          <w:spacing w:val="2"/>
          <w:sz w:val="21"/>
          <w:szCs w:val="21"/>
        </w:rPr>
        <w:t>往信函的项目经理的授权代表姓名和授权范围通知监理人。除合同另有约定外</w:t>
      </w:r>
      <w:r>
        <w:rPr>
          <w:spacing w:val="1"/>
          <w:sz w:val="21"/>
          <w:szCs w:val="21"/>
        </w:rPr>
        <w:t>，承包人施工场地</w:t>
      </w:r>
      <w:r>
        <w:rPr>
          <w:sz w:val="21"/>
          <w:szCs w:val="21"/>
        </w:rPr>
        <w:t xml:space="preserve"> </w:t>
      </w:r>
      <w:r>
        <w:rPr>
          <w:spacing w:val="-2"/>
          <w:sz w:val="21"/>
          <w:szCs w:val="21"/>
        </w:rPr>
        <w:t>管理机构的办公地点即为承包人指定的接收地点。</w:t>
      </w:r>
    </w:p>
    <w:p w14:paraId="2374BDD0">
      <w:pPr>
        <w:pStyle w:val="2"/>
        <w:spacing w:before="162" w:line="325" w:lineRule="auto"/>
        <w:ind w:right="15" w:firstLine="419"/>
        <w:rPr>
          <w:sz w:val="21"/>
          <w:szCs w:val="21"/>
        </w:rPr>
      </w:pPr>
      <w:r>
        <w:rPr>
          <w:spacing w:val="-1"/>
          <w:sz w:val="21"/>
          <w:szCs w:val="21"/>
        </w:rPr>
        <w:t>(7)发包人(包括监理人)和承包人中任何一方指定的接收人或者接收地点发生变动，应当在实</w:t>
      </w:r>
      <w:r>
        <w:rPr>
          <w:spacing w:val="17"/>
          <w:sz w:val="21"/>
          <w:szCs w:val="21"/>
        </w:rPr>
        <w:t xml:space="preserve"> </w:t>
      </w:r>
      <w:r>
        <w:rPr>
          <w:spacing w:val="2"/>
          <w:sz w:val="21"/>
          <w:szCs w:val="21"/>
        </w:rPr>
        <w:t>际变动前提前至少一个工作日以书面方式通知另一方。发包人(包括监理人)</w:t>
      </w:r>
      <w:r>
        <w:rPr>
          <w:spacing w:val="1"/>
          <w:sz w:val="21"/>
          <w:szCs w:val="21"/>
        </w:rPr>
        <w:t>和承包人应当确保其</w:t>
      </w:r>
      <w:r>
        <w:rPr>
          <w:sz w:val="21"/>
          <w:szCs w:val="21"/>
        </w:rPr>
        <w:t xml:space="preserve"> </w:t>
      </w:r>
      <w:r>
        <w:rPr>
          <w:spacing w:val="2"/>
          <w:sz w:val="21"/>
          <w:szCs w:val="21"/>
        </w:rPr>
        <w:t>各自指定的接收人在法定的和(或)符合合同约定的工作时间内始终工作在指定的接收地点</w:t>
      </w:r>
      <w:r>
        <w:rPr>
          <w:spacing w:val="1"/>
          <w:sz w:val="21"/>
          <w:szCs w:val="21"/>
        </w:rPr>
        <w:t>，指定</w:t>
      </w:r>
      <w:r>
        <w:rPr>
          <w:sz w:val="21"/>
          <w:szCs w:val="21"/>
        </w:rPr>
        <w:t xml:space="preserve"> </w:t>
      </w:r>
      <w:r>
        <w:rPr>
          <w:spacing w:val="-2"/>
          <w:sz w:val="21"/>
          <w:szCs w:val="21"/>
        </w:rPr>
        <w:t>接收人离开工作岗位而无法及时签收来往信函构成拒不签收。</w:t>
      </w:r>
    </w:p>
    <w:p w14:paraId="07798749">
      <w:pPr>
        <w:pStyle w:val="2"/>
        <w:spacing w:before="192" w:line="332" w:lineRule="auto"/>
        <w:ind w:right="14" w:firstLine="419"/>
        <w:rPr>
          <w:sz w:val="17"/>
          <w:szCs w:val="17"/>
        </w:rPr>
      </w:pPr>
      <w:r>
        <w:rPr>
          <w:spacing w:val="4"/>
          <w:sz w:val="21"/>
          <w:szCs w:val="21"/>
        </w:rPr>
        <w:t>(8)发包人(包括监理人)和承包人中任何一方均应</w:t>
      </w:r>
      <w:r>
        <w:rPr>
          <w:spacing w:val="3"/>
          <w:sz w:val="21"/>
          <w:szCs w:val="21"/>
        </w:rPr>
        <w:t>当及时签收另一方送达其指定接收地点的</w:t>
      </w:r>
      <w:r>
        <w:rPr>
          <w:sz w:val="21"/>
          <w:szCs w:val="21"/>
        </w:rPr>
        <w:t xml:space="preserve"> </w:t>
      </w:r>
      <w:r>
        <w:rPr>
          <w:spacing w:val="2"/>
          <w:sz w:val="21"/>
          <w:szCs w:val="21"/>
        </w:rPr>
        <w:t>来往信函，拒不签收的，送达信函的一方可以采用挂号或者公证方式送达，由此所造成的直接的</w:t>
      </w:r>
      <w:r>
        <w:rPr>
          <w:spacing w:val="1"/>
          <w:sz w:val="21"/>
          <w:szCs w:val="21"/>
        </w:rPr>
        <w:t xml:space="preserve"> </w:t>
      </w:r>
      <w:r>
        <w:rPr>
          <w:spacing w:val="2"/>
          <w:sz w:val="21"/>
          <w:szCs w:val="21"/>
        </w:rPr>
        <w:t>和间接的费用增加(包括被迫采用特殊送达方式所发生的费用)和(或)</w:t>
      </w:r>
      <w:r>
        <w:rPr>
          <w:spacing w:val="1"/>
          <w:sz w:val="21"/>
          <w:szCs w:val="21"/>
        </w:rPr>
        <w:t>延误的工期由拒绝签收一方</w:t>
      </w:r>
      <w:r>
        <w:rPr>
          <w:sz w:val="21"/>
          <w:szCs w:val="21"/>
        </w:rPr>
        <w:t xml:space="preserve"> </w:t>
      </w:r>
      <w:r>
        <w:rPr>
          <w:spacing w:val="-5"/>
          <w:sz w:val="17"/>
          <w:szCs w:val="17"/>
        </w:rPr>
        <w:t>承</w:t>
      </w:r>
      <w:r>
        <w:rPr>
          <w:spacing w:val="-20"/>
          <w:sz w:val="17"/>
          <w:szCs w:val="17"/>
        </w:rPr>
        <w:t xml:space="preserve"> </w:t>
      </w:r>
      <w:r>
        <w:rPr>
          <w:spacing w:val="-5"/>
          <w:sz w:val="17"/>
          <w:szCs w:val="17"/>
        </w:rPr>
        <w:t>担</w:t>
      </w:r>
      <w:r>
        <w:rPr>
          <w:spacing w:val="-27"/>
          <w:sz w:val="17"/>
          <w:szCs w:val="17"/>
        </w:rPr>
        <w:t xml:space="preserve"> </w:t>
      </w:r>
      <w:r>
        <w:rPr>
          <w:spacing w:val="-5"/>
          <w:sz w:val="17"/>
          <w:szCs w:val="17"/>
        </w:rPr>
        <w:t>。</w:t>
      </w:r>
    </w:p>
    <w:p w14:paraId="5D678988">
      <w:pPr>
        <w:pStyle w:val="2"/>
        <w:spacing w:before="196" w:line="221" w:lineRule="auto"/>
        <w:ind w:left="4"/>
        <w:rPr>
          <w:rFonts w:ascii="黑体" w:hAnsi="黑体" w:eastAsia="黑体" w:cs="黑体"/>
          <w:sz w:val="28"/>
          <w:szCs w:val="28"/>
        </w:rPr>
      </w:pPr>
      <w:r>
        <w:rPr>
          <w:b/>
          <w:bCs/>
          <w:spacing w:val="-4"/>
          <w:sz w:val="28"/>
          <w:szCs w:val="28"/>
        </w:rPr>
        <w:t>2.</w:t>
      </w:r>
      <w:r>
        <w:rPr>
          <w:rFonts w:ascii="黑体" w:hAnsi="黑体" w:eastAsia="黑体" w:cs="黑体"/>
          <w:b/>
          <w:bCs/>
          <w:spacing w:val="-4"/>
          <w:sz w:val="28"/>
          <w:szCs w:val="28"/>
        </w:rPr>
        <w:t>发包人义务</w:t>
      </w:r>
    </w:p>
    <w:p w14:paraId="3DD8F14B">
      <w:pPr>
        <w:spacing w:before="86" w:line="222" w:lineRule="auto"/>
        <w:ind w:left="3"/>
        <w:rPr>
          <w:rFonts w:ascii="黑体" w:hAnsi="黑体" w:eastAsia="黑体" w:cs="黑体"/>
          <w:sz w:val="24"/>
          <w:szCs w:val="24"/>
        </w:rPr>
      </w:pPr>
      <w:r>
        <w:rPr>
          <w:rFonts w:ascii="黑体" w:hAnsi="黑体" w:eastAsia="黑体" w:cs="黑体"/>
          <w:b/>
          <w:bCs/>
          <w:spacing w:val="-4"/>
          <w:sz w:val="24"/>
          <w:szCs w:val="24"/>
        </w:rPr>
        <w:t>2.3提供施工场地</w:t>
      </w:r>
    </w:p>
    <w:p w14:paraId="15E8E793">
      <w:pPr>
        <w:pStyle w:val="2"/>
        <w:spacing w:before="174" w:line="351" w:lineRule="auto"/>
        <w:ind w:firstLine="419"/>
        <w:jc w:val="both"/>
        <w:rPr>
          <w:sz w:val="21"/>
          <w:szCs w:val="21"/>
        </w:rPr>
      </w:pPr>
      <w:r>
        <w:rPr>
          <w:spacing w:val="2"/>
          <w:sz w:val="21"/>
          <w:szCs w:val="21"/>
        </w:rPr>
        <w:t>施工场地应当在监理人发出的开工通知中载明的开工日期前</w:t>
      </w:r>
      <w:r>
        <w:rPr>
          <w:spacing w:val="2"/>
          <w:sz w:val="21"/>
          <w:szCs w:val="21"/>
          <w:u w:val="single" w:color="auto"/>
        </w:rPr>
        <w:t xml:space="preserve">    </w:t>
      </w:r>
      <w:r>
        <w:rPr>
          <w:spacing w:val="-91"/>
          <w:sz w:val="21"/>
          <w:szCs w:val="21"/>
        </w:rPr>
        <w:t xml:space="preserve"> </w:t>
      </w:r>
      <w:r>
        <w:rPr>
          <w:spacing w:val="2"/>
          <w:sz w:val="21"/>
          <w:szCs w:val="21"/>
        </w:rPr>
        <w:t>天具备施工条件并移交给承</w:t>
      </w:r>
      <w:r>
        <w:rPr>
          <w:sz w:val="21"/>
          <w:szCs w:val="21"/>
        </w:rPr>
        <w:t xml:space="preserve"> </w:t>
      </w:r>
      <w:r>
        <w:rPr>
          <w:spacing w:val="2"/>
          <w:sz w:val="21"/>
          <w:szCs w:val="21"/>
        </w:rPr>
        <w:t>包人，具体施工条件在第七章“技术标准和要求”第一节“一般要求”中约定。发包人最迟应当</w:t>
      </w:r>
      <w:r>
        <w:rPr>
          <w:spacing w:val="4"/>
          <w:sz w:val="21"/>
          <w:szCs w:val="21"/>
        </w:rPr>
        <w:t xml:space="preserve"> </w:t>
      </w:r>
      <w:r>
        <w:rPr>
          <w:spacing w:val="2"/>
          <w:sz w:val="21"/>
          <w:szCs w:val="21"/>
        </w:rPr>
        <w:t>在移交施工场地的同时向承包人提供施工场地内地下管线和地下设施等有关资料，并保证资料的</w:t>
      </w:r>
      <w:r>
        <w:rPr>
          <w:spacing w:val="1"/>
          <w:sz w:val="21"/>
          <w:szCs w:val="21"/>
        </w:rPr>
        <w:t xml:space="preserve"> </w:t>
      </w:r>
      <w:r>
        <w:rPr>
          <w:spacing w:val="-5"/>
          <w:sz w:val="21"/>
          <w:szCs w:val="21"/>
        </w:rPr>
        <w:t>真实、准确和完整。</w:t>
      </w:r>
    </w:p>
    <w:p w14:paraId="1B5A6FC4">
      <w:pPr>
        <w:spacing w:line="221" w:lineRule="auto"/>
        <w:ind w:left="3"/>
        <w:rPr>
          <w:rFonts w:ascii="黑体" w:hAnsi="黑体" w:eastAsia="黑体" w:cs="黑体"/>
          <w:sz w:val="24"/>
          <w:szCs w:val="24"/>
        </w:rPr>
      </w:pPr>
      <w:r>
        <w:rPr>
          <w:rFonts w:ascii="黑体" w:hAnsi="黑体" w:eastAsia="黑体" w:cs="黑体"/>
          <w:b/>
          <w:bCs/>
          <w:spacing w:val="-4"/>
          <w:sz w:val="24"/>
          <w:szCs w:val="24"/>
        </w:rPr>
        <w:t>2.5组织设计交底</w:t>
      </w:r>
    </w:p>
    <w:p w14:paraId="0F75BE23">
      <w:pPr>
        <w:pStyle w:val="2"/>
        <w:spacing w:before="163" w:line="349" w:lineRule="auto"/>
        <w:ind w:firstLine="419"/>
        <w:jc w:val="both"/>
        <w:rPr>
          <w:sz w:val="21"/>
          <w:szCs w:val="21"/>
        </w:rPr>
      </w:pPr>
      <w:r>
        <w:rPr>
          <w:spacing w:val="2"/>
          <w:sz w:val="21"/>
          <w:szCs w:val="21"/>
        </w:rPr>
        <w:t>发包人应当在合同条款11.1.1项约定的开工日期前组织设计人向承包人进行合同工程总体设</w:t>
      </w:r>
      <w:r>
        <w:rPr>
          <w:spacing w:val="13"/>
          <w:sz w:val="21"/>
          <w:szCs w:val="21"/>
        </w:rPr>
        <w:t xml:space="preserve"> </w:t>
      </w:r>
      <w:r>
        <w:rPr>
          <w:spacing w:val="2"/>
          <w:sz w:val="21"/>
          <w:szCs w:val="21"/>
        </w:rPr>
        <w:t>计交底(包括图纸会审)。发包人还应按照合同进度计划中载明的阶段性设计</w:t>
      </w:r>
      <w:r>
        <w:rPr>
          <w:spacing w:val="1"/>
          <w:sz w:val="21"/>
          <w:szCs w:val="21"/>
        </w:rPr>
        <w:t>交底时间组织和安排</w:t>
      </w:r>
      <w:r>
        <w:rPr>
          <w:sz w:val="21"/>
          <w:szCs w:val="21"/>
        </w:rPr>
        <w:t xml:space="preserve"> </w:t>
      </w:r>
      <w:r>
        <w:rPr>
          <w:spacing w:val="2"/>
          <w:sz w:val="21"/>
          <w:szCs w:val="21"/>
        </w:rPr>
        <w:t>阶段工程设计交底(包括图纸会审)。承包人可以书面方式通过监理人向发包人申</w:t>
      </w:r>
      <w:r>
        <w:rPr>
          <w:spacing w:val="1"/>
          <w:sz w:val="21"/>
          <w:szCs w:val="21"/>
        </w:rPr>
        <w:t>请增加紧急的设</w:t>
      </w:r>
      <w:r>
        <w:rPr>
          <w:sz w:val="21"/>
          <w:szCs w:val="21"/>
        </w:rPr>
        <w:t xml:space="preserve"> </w:t>
      </w:r>
      <w:r>
        <w:rPr>
          <w:spacing w:val="-1"/>
          <w:sz w:val="21"/>
          <w:szCs w:val="21"/>
        </w:rPr>
        <w:t>计交底，发包人在认为确有必要且条件许可时，应当尽快组织这类</w:t>
      </w:r>
      <w:r>
        <w:rPr>
          <w:spacing w:val="-2"/>
          <w:sz w:val="21"/>
          <w:szCs w:val="21"/>
        </w:rPr>
        <w:t>设计交底。</w:t>
      </w:r>
    </w:p>
    <w:p w14:paraId="675ABB62">
      <w:pPr>
        <w:spacing w:before="2" w:line="220" w:lineRule="auto"/>
        <w:ind w:left="3"/>
        <w:rPr>
          <w:rFonts w:ascii="黑体" w:hAnsi="黑体" w:eastAsia="黑体" w:cs="黑体"/>
          <w:sz w:val="24"/>
          <w:szCs w:val="24"/>
        </w:rPr>
      </w:pPr>
      <w:r>
        <w:rPr>
          <w:rFonts w:ascii="黑体" w:hAnsi="黑体" w:eastAsia="黑体" w:cs="黑体"/>
          <w:b/>
          <w:bCs/>
          <w:spacing w:val="-4"/>
          <w:sz w:val="24"/>
          <w:szCs w:val="24"/>
        </w:rPr>
        <w:t>2.8其他义务</w:t>
      </w:r>
    </w:p>
    <w:p w14:paraId="2D26CF6A">
      <w:pPr>
        <w:pStyle w:val="2"/>
        <w:spacing w:before="179" w:line="352" w:lineRule="auto"/>
        <w:ind w:right="12" w:firstLine="419"/>
        <w:jc w:val="both"/>
        <w:rPr>
          <w:sz w:val="21"/>
          <w:szCs w:val="21"/>
        </w:rPr>
      </w:pPr>
      <w:r>
        <w:rPr>
          <w:spacing w:val="2"/>
          <w:sz w:val="21"/>
          <w:szCs w:val="21"/>
        </w:rPr>
        <w:t>(1)向承包人提交对等的支付担保。在承包人按合同条款第4.2条向发包人递交符合合</w:t>
      </w:r>
      <w:r>
        <w:rPr>
          <w:spacing w:val="1"/>
          <w:sz w:val="21"/>
          <w:szCs w:val="21"/>
        </w:rPr>
        <w:t>同约定</w:t>
      </w:r>
      <w:r>
        <w:rPr>
          <w:sz w:val="21"/>
          <w:szCs w:val="21"/>
        </w:rPr>
        <w:t xml:space="preserve"> </w:t>
      </w:r>
      <w:r>
        <w:rPr>
          <w:spacing w:val="2"/>
          <w:sz w:val="21"/>
          <w:szCs w:val="21"/>
        </w:rPr>
        <w:t>的履约担保的同时，发包人应当按照金额和条件对等的原则和招标文件中规定的</w:t>
      </w:r>
      <w:r>
        <w:rPr>
          <w:spacing w:val="1"/>
          <w:sz w:val="21"/>
          <w:szCs w:val="21"/>
        </w:rPr>
        <w:t>格式或者其他经</w:t>
      </w:r>
      <w:r>
        <w:rPr>
          <w:sz w:val="21"/>
          <w:szCs w:val="21"/>
        </w:rPr>
        <w:t xml:space="preserve"> </w:t>
      </w:r>
      <w:r>
        <w:rPr>
          <w:spacing w:val="2"/>
          <w:sz w:val="21"/>
          <w:szCs w:val="21"/>
        </w:rPr>
        <w:t>过承包人事先认可的格式向承包人递交一份支付担保。支付担保的有效期应当自本合同生效之日 起至发包人实际支付竣工付款之日止。如果发包人无法获得一份不带具体截止</w:t>
      </w:r>
      <w:r>
        <w:rPr>
          <w:spacing w:val="1"/>
          <w:sz w:val="21"/>
          <w:szCs w:val="21"/>
        </w:rPr>
        <w:t>日期的担保，支付</w:t>
      </w:r>
      <w:r>
        <w:rPr>
          <w:sz w:val="21"/>
          <w:szCs w:val="21"/>
        </w:rPr>
        <w:t xml:space="preserve"> </w:t>
      </w:r>
      <w:r>
        <w:rPr>
          <w:spacing w:val="2"/>
          <w:sz w:val="21"/>
          <w:szCs w:val="21"/>
        </w:rPr>
        <w:t>担保中应当有“变更工程竣工付款支付日期的，保证期间按照变更后的竣工付款</w:t>
      </w:r>
      <w:r>
        <w:rPr>
          <w:spacing w:val="1"/>
          <w:sz w:val="21"/>
          <w:szCs w:val="21"/>
        </w:rPr>
        <w:t>支付日期做相应</w:t>
      </w:r>
      <w:r>
        <w:rPr>
          <w:sz w:val="21"/>
          <w:szCs w:val="21"/>
        </w:rPr>
        <w:t xml:space="preserve"> </w:t>
      </w:r>
      <w:r>
        <w:rPr>
          <w:spacing w:val="2"/>
          <w:sz w:val="21"/>
          <w:szCs w:val="21"/>
        </w:rPr>
        <w:t>调整”或类似约定的条款。支付担保应在发包人付清竣工付款之日后28天内退还</w:t>
      </w:r>
      <w:r>
        <w:rPr>
          <w:spacing w:val="1"/>
          <w:sz w:val="21"/>
          <w:szCs w:val="21"/>
        </w:rPr>
        <w:t>给发包人。承包</w:t>
      </w:r>
    </w:p>
    <w:p w14:paraId="31046AF9">
      <w:pPr>
        <w:spacing w:line="352" w:lineRule="auto"/>
        <w:rPr>
          <w:sz w:val="21"/>
          <w:szCs w:val="21"/>
        </w:rPr>
        <w:sectPr>
          <w:footerReference r:id="rId153" w:type="default"/>
          <w:pgSz w:w="11910" w:h="16840"/>
          <w:pgMar w:top="400" w:right="1539" w:bottom="1024" w:left="1450" w:header="0" w:footer="889" w:gutter="0"/>
          <w:cols w:space="720" w:num="1"/>
        </w:sectPr>
      </w:pPr>
    </w:p>
    <w:p w14:paraId="18BE00B7">
      <w:pPr>
        <w:spacing w:line="272" w:lineRule="auto"/>
        <w:rPr>
          <w:rFonts w:ascii="Arial"/>
          <w:sz w:val="21"/>
        </w:rPr>
      </w:pPr>
    </w:p>
    <w:p w14:paraId="2D851F3B">
      <w:pPr>
        <w:spacing w:line="272" w:lineRule="auto"/>
        <w:rPr>
          <w:rFonts w:ascii="Arial"/>
          <w:sz w:val="21"/>
        </w:rPr>
      </w:pPr>
    </w:p>
    <w:p w14:paraId="7E2ED326">
      <w:pPr>
        <w:spacing w:line="272" w:lineRule="auto"/>
        <w:rPr>
          <w:rFonts w:ascii="Arial"/>
          <w:sz w:val="21"/>
        </w:rPr>
      </w:pPr>
    </w:p>
    <w:p w14:paraId="2E026E30">
      <w:pPr>
        <w:spacing w:line="272" w:lineRule="auto"/>
        <w:rPr>
          <w:rFonts w:ascii="Arial"/>
          <w:sz w:val="21"/>
        </w:rPr>
      </w:pPr>
    </w:p>
    <w:p w14:paraId="1F29BEDC">
      <w:pPr>
        <w:spacing w:line="273" w:lineRule="auto"/>
        <w:rPr>
          <w:rFonts w:ascii="Arial"/>
          <w:sz w:val="21"/>
        </w:rPr>
      </w:pPr>
    </w:p>
    <w:p w14:paraId="69B0EA40">
      <w:pPr>
        <w:pStyle w:val="2"/>
        <w:spacing w:before="68" w:line="365" w:lineRule="auto"/>
        <w:ind w:left="10" w:right="111"/>
        <w:rPr>
          <w:sz w:val="21"/>
          <w:szCs w:val="21"/>
        </w:rPr>
      </w:pPr>
      <w:r>
        <w:rPr>
          <w:spacing w:val="1"/>
          <w:sz w:val="21"/>
          <w:szCs w:val="21"/>
        </w:rPr>
        <w:t>人不承担发包人与支付担保有关的任何利息或其它类似的费用或者收益。支付担保是本合同的附</w:t>
      </w:r>
      <w:r>
        <w:rPr>
          <w:spacing w:val="16"/>
          <w:sz w:val="21"/>
          <w:szCs w:val="21"/>
        </w:rPr>
        <w:t xml:space="preserve"> </w:t>
      </w:r>
      <w:r>
        <w:rPr>
          <w:spacing w:val="-10"/>
          <w:sz w:val="21"/>
          <w:szCs w:val="21"/>
        </w:rPr>
        <w:t>件。</w:t>
      </w:r>
    </w:p>
    <w:p w14:paraId="7E0368CA">
      <w:pPr>
        <w:pStyle w:val="2"/>
        <w:spacing w:line="219" w:lineRule="auto"/>
        <w:ind w:left="429"/>
        <w:rPr>
          <w:sz w:val="21"/>
          <w:szCs w:val="21"/>
        </w:rPr>
      </w:pPr>
      <w:r>
        <w:rPr>
          <w:spacing w:val="-3"/>
          <w:sz w:val="21"/>
          <w:szCs w:val="21"/>
        </w:rPr>
        <w:t>(2)按有关规定及时办理工程质量监督手续。</w:t>
      </w:r>
    </w:p>
    <w:p w14:paraId="398C0E9F">
      <w:pPr>
        <w:pStyle w:val="2"/>
        <w:spacing w:before="150" w:line="298" w:lineRule="auto"/>
        <w:ind w:left="10" w:right="68" w:firstLine="419"/>
        <w:rPr>
          <w:sz w:val="21"/>
          <w:szCs w:val="21"/>
        </w:rPr>
      </w:pPr>
      <w:r>
        <w:rPr>
          <w:sz w:val="21"/>
          <w:szCs w:val="21"/>
        </w:rPr>
        <w:t>(3)根据建设行政主管部门和(或)城市建设档案管理机构的规定，收集、整理、立</w:t>
      </w:r>
      <w:r>
        <w:rPr>
          <w:spacing w:val="-1"/>
          <w:sz w:val="21"/>
          <w:szCs w:val="21"/>
        </w:rPr>
        <w:t>卷、归档工</w:t>
      </w:r>
      <w:r>
        <w:rPr>
          <w:sz w:val="21"/>
          <w:szCs w:val="21"/>
        </w:rPr>
        <w:t xml:space="preserve"> 程资料，并按规定时间向建设行政主管部门或者城市建设档案管理机构移交规定</w:t>
      </w:r>
      <w:r>
        <w:rPr>
          <w:spacing w:val="-1"/>
          <w:sz w:val="21"/>
          <w:szCs w:val="21"/>
        </w:rPr>
        <w:t>的工程档案。</w:t>
      </w:r>
    </w:p>
    <w:p w14:paraId="77FCA0BF">
      <w:pPr>
        <w:pStyle w:val="2"/>
        <w:spacing w:before="142" w:line="325" w:lineRule="auto"/>
        <w:ind w:left="10" w:right="63" w:firstLine="419"/>
        <w:rPr>
          <w:sz w:val="21"/>
          <w:szCs w:val="21"/>
        </w:rPr>
      </w:pPr>
      <w:r>
        <w:rPr>
          <w:sz w:val="21"/>
          <w:szCs w:val="21"/>
        </w:rPr>
        <w:t>(4)批准和确认：按合同约定应当由监理人或者发包人回复、批复、批准、确认或提出修</w:t>
      </w:r>
      <w:r>
        <w:rPr>
          <w:spacing w:val="-1"/>
          <w:sz w:val="21"/>
          <w:szCs w:val="21"/>
        </w:rPr>
        <w:t>改意</w:t>
      </w:r>
      <w:r>
        <w:rPr>
          <w:sz w:val="21"/>
          <w:szCs w:val="21"/>
        </w:rPr>
        <w:t xml:space="preserve"> </w:t>
      </w:r>
      <w:r>
        <w:rPr>
          <w:spacing w:val="3"/>
          <w:sz w:val="21"/>
          <w:szCs w:val="21"/>
        </w:rPr>
        <w:t>见的承包人的要求、请求、申请和报批等，自监</w:t>
      </w:r>
      <w:r>
        <w:rPr>
          <w:spacing w:val="2"/>
          <w:sz w:val="21"/>
          <w:szCs w:val="21"/>
        </w:rPr>
        <w:t>理人或者发包人指定的接收人收到承包人发出的</w:t>
      </w:r>
      <w:r>
        <w:rPr>
          <w:sz w:val="21"/>
          <w:szCs w:val="21"/>
        </w:rPr>
        <w:t xml:space="preserve"> </w:t>
      </w:r>
      <w:r>
        <w:rPr>
          <w:spacing w:val="2"/>
          <w:sz w:val="21"/>
          <w:szCs w:val="21"/>
        </w:rPr>
        <w:t>相应要求、请求、申请和报批之日起，如果监理人或者发包人在合同约定的期</w:t>
      </w:r>
      <w:r>
        <w:rPr>
          <w:spacing w:val="1"/>
          <w:sz w:val="21"/>
          <w:szCs w:val="21"/>
        </w:rPr>
        <w:t>限内未予回复、批</w:t>
      </w:r>
      <w:r>
        <w:rPr>
          <w:sz w:val="21"/>
          <w:szCs w:val="21"/>
        </w:rPr>
        <w:t xml:space="preserve"> </w:t>
      </w:r>
      <w:r>
        <w:rPr>
          <w:spacing w:val="-1"/>
          <w:sz w:val="21"/>
          <w:szCs w:val="21"/>
        </w:rPr>
        <w:t>复、批准、确认或提出修改意见的，视为监理人和发包人已经同意</w:t>
      </w:r>
      <w:r>
        <w:rPr>
          <w:spacing w:val="-2"/>
          <w:sz w:val="21"/>
          <w:szCs w:val="21"/>
        </w:rPr>
        <w:t>、确认或者批准。</w:t>
      </w:r>
    </w:p>
    <w:p w14:paraId="7698B521">
      <w:pPr>
        <w:pStyle w:val="2"/>
        <w:spacing w:before="161" w:line="219" w:lineRule="auto"/>
        <w:ind w:left="429"/>
        <w:rPr>
          <w:sz w:val="21"/>
          <w:szCs w:val="21"/>
        </w:rPr>
      </w:pPr>
      <w:r>
        <w:rPr>
          <w:spacing w:val="-1"/>
          <w:sz w:val="21"/>
          <w:szCs w:val="21"/>
        </w:rPr>
        <w:t>(5)发包人应当履行合同约定的其他义务以及下述义务：</w:t>
      </w:r>
      <w:r>
        <w:rPr>
          <w:spacing w:val="-1"/>
          <w:sz w:val="21"/>
          <w:szCs w:val="21"/>
          <w:u w:val="single" w:color="auto"/>
        </w:rPr>
        <w:t xml:space="preserve">                         </w:t>
      </w:r>
      <w:r>
        <w:rPr>
          <w:spacing w:val="-2"/>
          <w:sz w:val="21"/>
          <w:szCs w:val="21"/>
          <w:u w:val="single" w:color="auto"/>
        </w:rPr>
        <w:t xml:space="preserve">   </w:t>
      </w:r>
    </w:p>
    <w:p w14:paraId="70B1C143">
      <w:pPr>
        <w:spacing w:line="251" w:lineRule="auto"/>
        <w:rPr>
          <w:rFonts w:ascii="Arial"/>
          <w:sz w:val="21"/>
        </w:rPr>
      </w:pPr>
    </w:p>
    <w:p w14:paraId="15D28F79">
      <w:pPr>
        <w:spacing w:line="251" w:lineRule="auto"/>
        <w:rPr>
          <w:rFonts w:ascii="Arial"/>
          <w:sz w:val="21"/>
        </w:rPr>
      </w:pPr>
      <w:r>
        <w:drawing>
          <wp:anchor distT="0" distB="0" distL="0" distR="0" simplePos="0" relativeHeight="251670528" behindDoc="0" locked="0" layoutInCell="1" allowOverlap="1">
            <wp:simplePos x="0" y="0"/>
            <wp:positionH relativeFrom="column">
              <wp:posOffset>0</wp:posOffset>
            </wp:positionH>
            <wp:positionV relativeFrom="paragraph">
              <wp:posOffset>75565</wp:posOffset>
            </wp:positionV>
            <wp:extent cx="5245100" cy="6350"/>
            <wp:effectExtent l="0" t="0" r="0" b="0"/>
            <wp:wrapNone/>
            <wp:docPr id="36" name="IM 36"/>
            <wp:cNvGraphicFramePr/>
            <a:graphic xmlns:a="http://schemas.openxmlformats.org/drawingml/2006/main">
              <a:graphicData uri="http://schemas.openxmlformats.org/drawingml/2006/picture">
                <pic:pic xmlns:pic="http://schemas.openxmlformats.org/drawingml/2006/picture">
                  <pic:nvPicPr>
                    <pic:cNvPr id="36" name="IM 36"/>
                    <pic:cNvPicPr/>
                  </pic:nvPicPr>
                  <pic:blipFill>
                    <a:blip r:embed="rId424"/>
                    <a:stretch>
                      <a:fillRect/>
                    </a:stretch>
                  </pic:blipFill>
                  <pic:spPr>
                    <a:xfrm>
                      <a:off x="0" y="0"/>
                      <a:ext cx="5245062" cy="6415"/>
                    </a:xfrm>
                    <a:prstGeom prst="rect">
                      <a:avLst/>
                    </a:prstGeom>
                  </pic:spPr>
                </pic:pic>
              </a:graphicData>
            </a:graphic>
          </wp:anchor>
        </w:drawing>
      </w:r>
    </w:p>
    <w:p w14:paraId="19ACDAFC">
      <w:pPr>
        <w:pStyle w:val="2"/>
        <w:spacing w:before="88" w:line="222" w:lineRule="auto"/>
        <w:ind w:left="13"/>
        <w:rPr>
          <w:sz w:val="27"/>
          <w:szCs w:val="27"/>
        </w:rPr>
      </w:pPr>
      <w:r>
        <w:rPr>
          <w:b/>
          <w:bCs/>
          <w:spacing w:val="-6"/>
          <w:sz w:val="27"/>
          <w:szCs w:val="27"/>
        </w:rPr>
        <w:t>3.监理人</w:t>
      </w:r>
    </w:p>
    <w:p w14:paraId="1C34F900">
      <w:pPr>
        <w:spacing w:before="118" w:line="221" w:lineRule="auto"/>
        <w:ind w:left="13"/>
        <w:rPr>
          <w:rFonts w:ascii="黑体" w:hAnsi="黑体" w:eastAsia="黑体" w:cs="黑体"/>
          <w:sz w:val="21"/>
          <w:szCs w:val="21"/>
        </w:rPr>
      </w:pPr>
      <w:r>
        <w:rPr>
          <w:rFonts w:ascii="黑体" w:hAnsi="黑体" w:eastAsia="黑体" w:cs="黑体"/>
          <w:b/>
          <w:bCs/>
          <w:spacing w:val="15"/>
          <w:sz w:val="21"/>
          <w:szCs w:val="21"/>
        </w:rPr>
        <w:t>3</w:t>
      </w:r>
      <w:r>
        <w:rPr>
          <w:rFonts w:ascii="黑体" w:hAnsi="黑体" w:eastAsia="黑体" w:cs="黑体"/>
          <w:spacing w:val="-53"/>
          <w:sz w:val="21"/>
          <w:szCs w:val="21"/>
        </w:rPr>
        <w:t xml:space="preserve"> </w:t>
      </w:r>
      <w:r>
        <w:rPr>
          <w:rFonts w:ascii="黑体" w:hAnsi="黑体" w:eastAsia="黑体" w:cs="黑体"/>
          <w:b/>
          <w:bCs/>
          <w:spacing w:val="15"/>
          <w:sz w:val="21"/>
          <w:szCs w:val="21"/>
        </w:rPr>
        <w:t>.</w:t>
      </w:r>
      <w:r>
        <w:rPr>
          <w:rFonts w:ascii="黑体" w:hAnsi="黑体" w:eastAsia="黑体" w:cs="黑体"/>
          <w:spacing w:val="-57"/>
          <w:sz w:val="21"/>
          <w:szCs w:val="21"/>
        </w:rPr>
        <w:t xml:space="preserve"> </w:t>
      </w:r>
      <w:r>
        <w:rPr>
          <w:rFonts w:ascii="黑体" w:hAnsi="黑体" w:eastAsia="黑体" w:cs="黑体"/>
          <w:b/>
          <w:bCs/>
          <w:spacing w:val="15"/>
          <w:sz w:val="21"/>
          <w:szCs w:val="21"/>
        </w:rPr>
        <w:t>1监理人的职责和权力</w:t>
      </w:r>
    </w:p>
    <w:p w14:paraId="7B7E04F5">
      <w:pPr>
        <w:pStyle w:val="2"/>
        <w:spacing w:before="193" w:line="219" w:lineRule="auto"/>
        <w:ind w:left="429"/>
        <w:rPr>
          <w:sz w:val="20"/>
          <w:szCs w:val="20"/>
        </w:rPr>
      </w:pPr>
      <w:r>
        <w:rPr>
          <w:spacing w:val="3"/>
          <w:sz w:val="20"/>
          <w:szCs w:val="20"/>
        </w:rPr>
        <w:t xml:space="preserve">3.1.1须经发包人批准行使的权力： </w:t>
      </w:r>
      <w:r>
        <w:rPr>
          <w:spacing w:val="3"/>
          <w:sz w:val="20"/>
          <w:szCs w:val="20"/>
          <w:u w:val="single" w:color="auto"/>
        </w:rPr>
        <w:t xml:space="preserve">          </w:t>
      </w:r>
      <w:r>
        <w:rPr>
          <w:spacing w:val="2"/>
          <w:sz w:val="20"/>
          <w:szCs w:val="20"/>
          <w:u w:val="single" w:color="auto"/>
        </w:rPr>
        <w:t xml:space="preserve">                                    </w:t>
      </w:r>
    </w:p>
    <w:p w14:paraId="1DF49D0F">
      <w:pPr>
        <w:spacing w:line="472" w:lineRule="auto"/>
        <w:rPr>
          <w:rFonts w:ascii="Arial"/>
          <w:sz w:val="21"/>
        </w:rPr>
      </w:pPr>
      <w:r>
        <w:drawing>
          <wp:anchor distT="0" distB="0" distL="0" distR="0" simplePos="0" relativeHeight="251669504" behindDoc="0" locked="0" layoutInCell="1" allowOverlap="1">
            <wp:simplePos x="0" y="0"/>
            <wp:positionH relativeFrom="column">
              <wp:posOffset>6350</wp:posOffset>
            </wp:positionH>
            <wp:positionV relativeFrom="paragraph">
              <wp:posOffset>225425</wp:posOffset>
            </wp:positionV>
            <wp:extent cx="5232400" cy="12700"/>
            <wp:effectExtent l="0" t="0" r="0" b="0"/>
            <wp:wrapNone/>
            <wp:docPr id="38" name="IM 38"/>
            <wp:cNvGraphicFramePr/>
            <a:graphic xmlns:a="http://schemas.openxmlformats.org/drawingml/2006/main">
              <a:graphicData uri="http://schemas.openxmlformats.org/drawingml/2006/picture">
                <pic:pic xmlns:pic="http://schemas.openxmlformats.org/drawingml/2006/picture">
                  <pic:nvPicPr>
                    <pic:cNvPr id="38" name="IM 38"/>
                    <pic:cNvPicPr/>
                  </pic:nvPicPr>
                  <pic:blipFill>
                    <a:blip r:embed="rId425"/>
                    <a:stretch>
                      <a:fillRect/>
                    </a:stretch>
                  </pic:blipFill>
                  <pic:spPr>
                    <a:xfrm>
                      <a:off x="0" y="0"/>
                      <a:ext cx="5232358" cy="12725"/>
                    </a:xfrm>
                    <a:prstGeom prst="rect">
                      <a:avLst/>
                    </a:prstGeom>
                  </pic:spPr>
                </pic:pic>
              </a:graphicData>
            </a:graphic>
          </wp:anchor>
        </w:drawing>
      </w:r>
    </w:p>
    <w:p w14:paraId="1B0969F9">
      <w:pPr>
        <w:pStyle w:val="2"/>
        <w:spacing w:before="69" w:line="327" w:lineRule="auto"/>
        <w:ind w:left="10" w:right="70"/>
        <w:rPr>
          <w:sz w:val="21"/>
          <w:szCs w:val="21"/>
        </w:rPr>
      </w:pPr>
      <w:r>
        <w:rPr>
          <w:spacing w:val="5"/>
          <w:sz w:val="21"/>
          <w:szCs w:val="21"/>
        </w:rPr>
        <w:t>不管通用合同条款第3.1.1项如何约定，监理人履行须经发</w:t>
      </w:r>
      <w:r>
        <w:rPr>
          <w:spacing w:val="4"/>
          <w:sz w:val="21"/>
          <w:szCs w:val="21"/>
        </w:rPr>
        <w:t>包人批准行使的权力时，应当向承包</w:t>
      </w:r>
      <w:r>
        <w:rPr>
          <w:sz w:val="21"/>
          <w:szCs w:val="21"/>
        </w:rPr>
        <w:t xml:space="preserve"> 人出示其行使该权力已经取得发包人批准的文件或者其他合法</w:t>
      </w:r>
      <w:r>
        <w:rPr>
          <w:spacing w:val="-1"/>
          <w:sz w:val="21"/>
          <w:szCs w:val="21"/>
        </w:rPr>
        <w:t>有效的证明。</w:t>
      </w:r>
    </w:p>
    <w:p w14:paraId="49E4E0FC">
      <w:pPr>
        <w:spacing w:before="10" w:line="221" w:lineRule="auto"/>
        <w:ind w:left="13"/>
        <w:rPr>
          <w:rFonts w:ascii="黑体" w:hAnsi="黑体" w:eastAsia="黑体" w:cs="黑体"/>
          <w:sz w:val="21"/>
          <w:szCs w:val="21"/>
        </w:rPr>
      </w:pPr>
      <w:r>
        <w:rPr>
          <w:rFonts w:ascii="黑体" w:hAnsi="黑体" w:eastAsia="黑体" w:cs="黑体"/>
          <w:b/>
          <w:bCs/>
          <w:spacing w:val="15"/>
          <w:sz w:val="21"/>
          <w:szCs w:val="21"/>
        </w:rPr>
        <w:t>3</w:t>
      </w:r>
      <w:r>
        <w:rPr>
          <w:rFonts w:ascii="黑体" w:hAnsi="黑体" w:eastAsia="黑体" w:cs="黑体"/>
          <w:spacing w:val="-56"/>
          <w:sz w:val="21"/>
          <w:szCs w:val="21"/>
        </w:rPr>
        <w:t xml:space="preserve"> </w:t>
      </w:r>
      <w:r>
        <w:rPr>
          <w:rFonts w:ascii="黑体" w:hAnsi="黑体" w:eastAsia="黑体" w:cs="黑体"/>
          <w:b/>
          <w:bCs/>
          <w:spacing w:val="15"/>
          <w:sz w:val="21"/>
          <w:szCs w:val="21"/>
        </w:rPr>
        <w:t>.3监理人员</w:t>
      </w:r>
    </w:p>
    <w:p w14:paraId="1452A6CE">
      <w:pPr>
        <w:pStyle w:val="2"/>
        <w:spacing w:before="163" w:line="346" w:lineRule="auto"/>
        <w:ind w:left="10" w:right="71" w:firstLine="419"/>
        <w:rPr>
          <w:sz w:val="21"/>
          <w:szCs w:val="21"/>
        </w:rPr>
      </w:pPr>
      <w:r>
        <w:rPr>
          <w:spacing w:val="2"/>
          <w:sz w:val="21"/>
          <w:szCs w:val="21"/>
        </w:rPr>
        <w:t>3.3.4总监理工程师不应将第3.5款约定应由总监理工程师作出确定的权力授权或者委托给其</w:t>
      </w:r>
      <w:r>
        <w:rPr>
          <w:spacing w:val="10"/>
          <w:sz w:val="21"/>
          <w:szCs w:val="21"/>
        </w:rPr>
        <w:t xml:space="preserve"> </w:t>
      </w:r>
      <w:r>
        <w:rPr>
          <w:spacing w:val="-6"/>
          <w:sz w:val="21"/>
          <w:szCs w:val="21"/>
        </w:rPr>
        <w:t>他监理人员。</w:t>
      </w:r>
    </w:p>
    <w:p w14:paraId="2E0AFFF4">
      <w:pPr>
        <w:spacing w:line="221" w:lineRule="auto"/>
        <w:ind w:left="13"/>
        <w:rPr>
          <w:rFonts w:ascii="黑体" w:hAnsi="黑体" w:eastAsia="黑体" w:cs="黑体"/>
          <w:sz w:val="21"/>
          <w:szCs w:val="21"/>
        </w:rPr>
      </w:pPr>
      <w:r>
        <w:rPr>
          <w:rFonts w:ascii="黑体" w:hAnsi="黑体" w:eastAsia="黑体" w:cs="黑体"/>
          <w:b/>
          <w:bCs/>
          <w:spacing w:val="17"/>
          <w:sz w:val="21"/>
          <w:szCs w:val="21"/>
        </w:rPr>
        <w:t>3</w:t>
      </w:r>
      <w:r>
        <w:rPr>
          <w:rFonts w:ascii="黑体" w:hAnsi="黑体" w:eastAsia="黑体" w:cs="黑体"/>
          <w:spacing w:val="-56"/>
          <w:sz w:val="21"/>
          <w:szCs w:val="21"/>
        </w:rPr>
        <w:t xml:space="preserve"> </w:t>
      </w:r>
      <w:r>
        <w:rPr>
          <w:rFonts w:ascii="黑体" w:hAnsi="黑体" w:eastAsia="黑体" w:cs="黑体"/>
          <w:b/>
          <w:bCs/>
          <w:spacing w:val="17"/>
          <w:sz w:val="21"/>
          <w:szCs w:val="21"/>
        </w:rPr>
        <w:t>.4监理人的指示</w:t>
      </w:r>
    </w:p>
    <w:p w14:paraId="13533517">
      <w:pPr>
        <w:pStyle w:val="2"/>
        <w:spacing w:before="153" w:line="327" w:lineRule="auto"/>
        <w:ind w:left="10" w:right="43" w:firstLine="419"/>
        <w:rPr>
          <w:sz w:val="21"/>
          <w:szCs w:val="21"/>
        </w:rPr>
      </w:pPr>
      <w:r>
        <w:rPr>
          <w:spacing w:val="3"/>
          <w:sz w:val="21"/>
          <w:szCs w:val="21"/>
        </w:rPr>
        <w:t>3.4.4除通用合同条款已有的专门约定外，承包人只能从总监理工程师或按</w:t>
      </w:r>
      <w:r>
        <w:rPr>
          <w:spacing w:val="2"/>
          <w:sz w:val="21"/>
          <w:szCs w:val="21"/>
        </w:rPr>
        <w:t>第3.3.1项授权的</w:t>
      </w:r>
      <w:r>
        <w:rPr>
          <w:sz w:val="21"/>
          <w:szCs w:val="21"/>
        </w:rPr>
        <w:t xml:space="preserve"> </w:t>
      </w:r>
      <w:r>
        <w:rPr>
          <w:spacing w:val="-1"/>
          <w:sz w:val="21"/>
          <w:szCs w:val="21"/>
        </w:rPr>
        <w:t>监理人员处取得指示，发包人应当通过监理人向承包人发出指示。</w:t>
      </w:r>
    </w:p>
    <w:p w14:paraId="77F57929">
      <w:pPr>
        <w:spacing w:before="20" w:line="221" w:lineRule="auto"/>
        <w:ind w:left="13"/>
        <w:rPr>
          <w:rFonts w:ascii="黑体" w:hAnsi="黑体" w:eastAsia="黑体" w:cs="黑体"/>
          <w:sz w:val="21"/>
          <w:szCs w:val="21"/>
        </w:rPr>
      </w:pPr>
      <w:r>
        <w:rPr>
          <w:rFonts w:ascii="黑体" w:hAnsi="黑体" w:eastAsia="黑体" w:cs="黑体"/>
          <w:b/>
          <w:bCs/>
          <w:spacing w:val="16"/>
          <w:sz w:val="21"/>
          <w:szCs w:val="21"/>
        </w:rPr>
        <w:t>3</w:t>
      </w:r>
      <w:r>
        <w:rPr>
          <w:rFonts w:ascii="黑体" w:hAnsi="黑体" w:eastAsia="黑体" w:cs="黑体"/>
          <w:spacing w:val="-53"/>
          <w:sz w:val="21"/>
          <w:szCs w:val="21"/>
        </w:rPr>
        <w:t xml:space="preserve"> </w:t>
      </w:r>
      <w:r>
        <w:rPr>
          <w:rFonts w:ascii="黑体" w:hAnsi="黑体" w:eastAsia="黑体" w:cs="黑体"/>
          <w:b/>
          <w:bCs/>
          <w:spacing w:val="16"/>
          <w:sz w:val="21"/>
          <w:szCs w:val="21"/>
        </w:rPr>
        <w:t>.6监理人的宽恕</w:t>
      </w:r>
    </w:p>
    <w:p w14:paraId="73E3DEEC">
      <w:pPr>
        <w:pStyle w:val="2"/>
        <w:spacing w:before="162" w:line="336" w:lineRule="auto"/>
        <w:ind w:left="10" w:right="71" w:firstLine="419"/>
        <w:jc w:val="both"/>
        <w:rPr>
          <w:sz w:val="21"/>
          <w:szCs w:val="21"/>
        </w:rPr>
      </w:pPr>
      <w:r>
        <w:rPr>
          <w:spacing w:val="2"/>
          <w:sz w:val="21"/>
          <w:szCs w:val="21"/>
        </w:rPr>
        <w:t>监理人或者发包人就承包人对合同约定的任何责任和义务的某种违约行为的宽恕，不影响监</w:t>
      </w:r>
      <w:r>
        <w:rPr>
          <w:spacing w:val="18"/>
          <w:sz w:val="21"/>
          <w:szCs w:val="21"/>
        </w:rPr>
        <w:t xml:space="preserve"> </w:t>
      </w:r>
      <w:r>
        <w:rPr>
          <w:spacing w:val="2"/>
          <w:sz w:val="21"/>
          <w:szCs w:val="21"/>
        </w:rPr>
        <w:t>理人和发包人在此后的任何时间严格按合同约定处理承包人的其它违约行为，也不意味发包人放</w:t>
      </w:r>
      <w:r>
        <w:rPr>
          <w:spacing w:val="13"/>
          <w:sz w:val="21"/>
          <w:szCs w:val="21"/>
        </w:rPr>
        <w:t xml:space="preserve"> </w:t>
      </w:r>
      <w:r>
        <w:rPr>
          <w:spacing w:val="-2"/>
          <w:sz w:val="21"/>
          <w:szCs w:val="21"/>
        </w:rPr>
        <w:t>弃合同约定的发包人与上述违约有关的任何权利和赔偿要求。</w:t>
      </w:r>
    </w:p>
    <w:p w14:paraId="039725AA">
      <w:pPr>
        <w:pStyle w:val="2"/>
        <w:spacing w:before="54" w:line="219" w:lineRule="auto"/>
        <w:ind w:left="13"/>
        <w:rPr>
          <w:sz w:val="27"/>
          <w:szCs w:val="27"/>
        </w:rPr>
      </w:pPr>
      <w:r>
        <w:rPr>
          <w:b/>
          <w:bCs/>
          <w:spacing w:val="3"/>
          <w:sz w:val="27"/>
          <w:szCs w:val="27"/>
        </w:rPr>
        <w:t>4.承包人</w:t>
      </w:r>
    </w:p>
    <w:p w14:paraId="4D6DC576">
      <w:pPr>
        <w:spacing w:before="126" w:line="221" w:lineRule="auto"/>
        <w:ind w:left="13"/>
        <w:rPr>
          <w:rFonts w:ascii="黑体" w:hAnsi="黑体" w:eastAsia="黑体" w:cs="黑体"/>
          <w:sz w:val="21"/>
          <w:szCs w:val="21"/>
        </w:rPr>
      </w:pPr>
      <w:r>
        <w:rPr>
          <w:rFonts w:ascii="黑体" w:hAnsi="黑体" w:eastAsia="黑体" w:cs="黑体"/>
          <w:b/>
          <w:bCs/>
          <w:spacing w:val="15"/>
          <w:sz w:val="21"/>
          <w:szCs w:val="21"/>
        </w:rPr>
        <w:t>4</w:t>
      </w:r>
      <w:r>
        <w:rPr>
          <w:rFonts w:ascii="黑体" w:hAnsi="黑体" w:eastAsia="黑体" w:cs="黑体"/>
          <w:spacing w:val="-57"/>
          <w:sz w:val="21"/>
          <w:szCs w:val="21"/>
        </w:rPr>
        <w:t xml:space="preserve"> </w:t>
      </w:r>
      <w:r>
        <w:rPr>
          <w:rFonts w:ascii="黑体" w:hAnsi="黑体" w:eastAsia="黑体" w:cs="黑体"/>
          <w:b/>
          <w:bCs/>
          <w:spacing w:val="15"/>
          <w:sz w:val="21"/>
          <w:szCs w:val="21"/>
        </w:rPr>
        <w:t>.</w:t>
      </w:r>
      <w:r>
        <w:rPr>
          <w:rFonts w:ascii="黑体" w:hAnsi="黑体" w:eastAsia="黑体" w:cs="黑体"/>
          <w:spacing w:val="-57"/>
          <w:sz w:val="21"/>
          <w:szCs w:val="21"/>
        </w:rPr>
        <w:t xml:space="preserve"> </w:t>
      </w:r>
      <w:r>
        <w:rPr>
          <w:rFonts w:ascii="黑体" w:hAnsi="黑体" w:eastAsia="黑体" w:cs="黑体"/>
          <w:b/>
          <w:bCs/>
          <w:spacing w:val="15"/>
          <w:sz w:val="21"/>
          <w:szCs w:val="21"/>
        </w:rPr>
        <w:t>1承包人的一般义务</w:t>
      </w:r>
    </w:p>
    <w:p w14:paraId="3A0EDA84">
      <w:pPr>
        <w:pStyle w:val="2"/>
        <w:spacing w:before="152" w:line="302" w:lineRule="auto"/>
        <w:ind w:left="10" w:firstLine="419"/>
        <w:rPr>
          <w:sz w:val="21"/>
          <w:szCs w:val="21"/>
        </w:rPr>
      </w:pPr>
      <w:r>
        <w:rPr>
          <w:spacing w:val="5"/>
          <w:sz w:val="21"/>
          <w:szCs w:val="21"/>
        </w:rPr>
        <w:t>4.1.3除专用合同条款第5.2款约定由发包</w:t>
      </w:r>
      <w:r>
        <w:rPr>
          <w:spacing w:val="4"/>
          <w:sz w:val="21"/>
          <w:szCs w:val="21"/>
        </w:rPr>
        <w:t>人提供的材料和工程设备和第6.2款约定由发包人</w:t>
      </w:r>
      <w:r>
        <w:rPr>
          <w:sz w:val="21"/>
          <w:szCs w:val="21"/>
        </w:rPr>
        <w:t xml:space="preserve"> </w:t>
      </w:r>
      <w:r>
        <w:rPr>
          <w:spacing w:val="-1"/>
          <w:sz w:val="21"/>
          <w:szCs w:val="21"/>
        </w:rPr>
        <w:t>提供的施工设备和临时设施外，承包人应负责提供为完成合同工作所需的劳务、材料、施工设备、</w:t>
      </w:r>
      <w:r>
        <w:rPr>
          <w:spacing w:val="2"/>
          <w:sz w:val="21"/>
          <w:szCs w:val="21"/>
        </w:rPr>
        <w:t xml:space="preserve"> </w:t>
      </w:r>
      <w:r>
        <w:rPr>
          <w:sz w:val="21"/>
          <w:szCs w:val="21"/>
        </w:rPr>
        <w:t>工程设备和其他物品，并按合同约定负责临时设施的设计、建造、运行、维护</w:t>
      </w:r>
      <w:r>
        <w:rPr>
          <w:spacing w:val="-1"/>
          <w:sz w:val="21"/>
          <w:szCs w:val="21"/>
        </w:rPr>
        <w:t>、管理和拆除。</w:t>
      </w:r>
    </w:p>
    <w:p w14:paraId="1A15CE1F">
      <w:pPr>
        <w:pStyle w:val="2"/>
        <w:spacing w:before="147" w:line="219" w:lineRule="auto"/>
        <w:ind w:left="432"/>
        <w:rPr>
          <w:sz w:val="21"/>
          <w:szCs w:val="21"/>
        </w:rPr>
      </w:pPr>
      <w:r>
        <w:rPr>
          <w:b/>
          <w:bCs/>
          <w:spacing w:val="7"/>
          <w:sz w:val="21"/>
          <w:szCs w:val="21"/>
        </w:rPr>
        <w:t>4.1.8为他人提供方便</w:t>
      </w:r>
    </w:p>
    <w:p w14:paraId="3D0A32EC">
      <w:pPr>
        <w:spacing w:line="219" w:lineRule="auto"/>
        <w:rPr>
          <w:sz w:val="21"/>
          <w:szCs w:val="21"/>
        </w:rPr>
        <w:sectPr>
          <w:footerReference r:id="rId154" w:type="default"/>
          <w:pgSz w:w="11910" w:h="16840"/>
          <w:pgMar w:top="400" w:right="1469" w:bottom="1024" w:left="1440" w:header="0" w:footer="889" w:gutter="0"/>
          <w:cols w:space="720" w:num="1"/>
        </w:sectPr>
      </w:pPr>
    </w:p>
    <w:p w14:paraId="3B894270">
      <w:pPr>
        <w:spacing w:line="272" w:lineRule="auto"/>
        <w:rPr>
          <w:rFonts w:ascii="Arial"/>
          <w:sz w:val="21"/>
        </w:rPr>
      </w:pPr>
    </w:p>
    <w:p w14:paraId="007EEFB2">
      <w:pPr>
        <w:spacing w:line="272" w:lineRule="auto"/>
        <w:rPr>
          <w:rFonts w:ascii="Arial"/>
          <w:sz w:val="21"/>
        </w:rPr>
      </w:pPr>
    </w:p>
    <w:p w14:paraId="27D05B25">
      <w:pPr>
        <w:spacing w:line="272" w:lineRule="auto"/>
        <w:rPr>
          <w:rFonts w:ascii="Arial"/>
          <w:sz w:val="21"/>
        </w:rPr>
      </w:pPr>
    </w:p>
    <w:p w14:paraId="119E142D">
      <w:pPr>
        <w:spacing w:line="273" w:lineRule="auto"/>
        <w:rPr>
          <w:rFonts w:ascii="Arial"/>
          <w:sz w:val="21"/>
        </w:rPr>
      </w:pPr>
    </w:p>
    <w:p w14:paraId="5FF76041">
      <w:pPr>
        <w:spacing w:line="273" w:lineRule="auto"/>
        <w:rPr>
          <w:rFonts w:ascii="Arial"/>
          <w:sz w:val="21"/>
        </w:rPr>
      </w:pPr>
    </w:p>
    <w:p w14:paraId="1632B640">
      <w:pPr>
        <w:pStyle w:val="2"/>
        <w:spacing w:before="68" w:line="343" w:lineRule="auto"/>
        <w:ind w:left="20" w:firstLine="409"/>
        <w:jc w:val="both"/>
        <w:rPr>
          <w:sz w:val="21"/>
          <w:szCs w:val="21"/>
        </w:rPr>
      </w:pPr>
      <w:r>
        <w:rPr>
          <w:spacing w:val="4"/>
          <w:sz w:val="21"/>
          <w:szCs w:val="21"/>
        </w:rPr>
        <w:t>(1)承包人应当对在施工场地或者附近实施与合同工程有关的其他工作的独立承包人履行管</w:t>
      </w:r>
      <w:r>
        <w:rPr>
          <w:spacing w:val="11"/>
          <w:sz w:val="21"/>
          <w:szCs w:val="21"/>
        </w:rPr>
        <w:t xml:space="preserve"> </w:t>
      </w:r>
      <w:r>
        <w:rPr>
          <w:sz w:val="21"/>
          <w:szCs w:val="21"/>
        </w:rPr>
        <w:t>理、协调、配合、照管和服务义务，由此发生的费用被认为已经包括在承包人的签约合同价(投标</w:t>
      </w:r>
      <w:r>
        <w:rPr>
          <w:spacing w:val="11"/>
          <w:sz w:val="21"/>
          <w:szCs w:val="21"/>
        </w:rPr>
        <w:t xml:space="preserve"> </w:t>
      </w:r>
      <w:r>
        <w:rPr>
          <w:spacing w:val="1"/>
          <w:sz w:val="21"/>
          <w:szCs w:val="21"/>
        </w:rPr>
        <w:t>总报价)中，具体工作内容和要求包括：</w:t>
      </w:r>
      <w:r>
        <w:rPr>
          <w:spacing w:val="1"/>
          <w:sz w:val="21"/>
          <w:szCs w:val="21"/>
          <w:u w:val="single" w:color="auto"/>
        </w:rPr>
        <w:t xml:space="preserve">           </w:t>
      </w:r>
      <w:r>
        <w:rPr>
          <w:sz w:val="21"/>
          <w:szCs w:val="21"/>
          <w:u w:val="single" w:color="auto"/>
        </w:rPr>
        <w:t xml:space="preserve">                          </w:t>
      </w:r>
    </w:p>
    <w:p w14:paraId="7C035D68">
      <w:pPr>
        <w:spacing w:line="298" w:lineRule="auto"/>
        <w:rPr>
          <w:rFonts w:ascii="Arial"/>
          <w:sz w:val="21"/>
        </w:rPr>
      </w:pPr>
      <w:r>
        <w:drawing>
          <wp:anchor distT="0" distB="0" distL="0" distR="0" simplePos="0" relativeHeight="251671552" behindDoc="0" locked="0" layoutInCell="1" allowOverlap="1">
            <wp:simplePos x="0" y="0"/>
            <wp:positionH relativeFrom="column">
              <wp:posOffset>0</wp:posOffset>
            </wp:positionH>
            <wp:positionV relativeFrom="paragraph">
              <wp:posOffset>127000</wp:posOffset>
            </wp:positionV>
            <wp:extent cx="5257800" cy="6350"/>
            <wp:effectExtent l="0" t="0" r="0" b="0"/>
            <wp:wrapNone/>
            <wp:docPr id="40" name="IM 40"/>
            <wp:cNvGraphicFramePr/>
            <a:graphic xmlns:a="http://schemas.openxmlformats.org/drawingml/2006/main">
              <a:graphicData uri="http://schemas.openxmlformats.org/drawingml/2006/picture">
                <pic:pic xmlns:pic="http://schemas.openxmlformats.org/drawingml/2006/picture">
                  <pic:nvPicPr>
                    <pic:cNvPr id="40" name="IM 40"/>
                    <pic:cNvPicPr/>
                  </pic:nvPicPr>
                  <pic:blipFill>
                    <a:blip r:embed="rId426"/>
                    <a:stretch>
                      <a:fillRect/>
                    </a:stretch>
                  </pic:blipFill>
                  <pic:spPr>
                    <a:xfrm>
                      <a:off x="0" y="0"/>
                      <a:ext cx="5257769" cy="6350"/>
                    </a:xfrm>
                    <a:prstGeom prst="rect">
                      <a:avLst/>
                    </a:prstGeom>
                  </pic:spPr>
                </pic:pic>
              </a:graphicData>
            </a:graphic>
          </wp:anchor>
        </w:drawing>
      </w:r>
    </w:p>
    <w:p w14:paraId="01C6BD67">
      <w:pPr>
        <w:pStyle w:val="2"/>
        <w:spacing w:before="68" w:line="346" w:lineRule="auto"/>
        <w:ind w:left="20" w:right="60" w:firstLine="409"/>
        <w:rPr>
          <w:sz w:val="21"/>
          <w:szCs w:val="21"/>
        </w:rPr>
      </w:pPr>
      <w:r>
        <w:rPr>
          <w:spacing w:val="4"/>
          <w:sz w:val="21"/>
          <w:szCs w:val="21"/>
        </w:rPr>
        <w:t>(2)承包人还应按监理人指示为独立承包人以外的他人在施工场地或者附近实施与合同工程</w:t>
      </w:r>
      <w:r>
        <w:rPr>
          <w:spacing w:val="7"/>
          <w:sz w:val="21"/>
          <w:szCs w:val="21"/>
        </w:rPr>
        <w:t xml:space="preserve"> </w:t>
      </w:r>
      <w:r>
        <w:rPr>
          <w:spacing w:val="3"/>
          <w:sz w:val="21"/>
          <w:szCs w:val="21"/>
        </w:rPr>
        <w:t>有关的其他工作提供可能的条件，可能发生费用由监理</w:t>
      </w:r>
      <w:r>
        <w:rPr>
          <w:spacing w:val="2"/>
          <w:sz w:val="21"/>
          <w:szCs w:val="21"/>
        </w:rPr>
        <w:t>人按第3.5款商定或者确定。</w:t>
      </w:r>
    </w:p>
    <w:p w14:paraId="76A3B6E9">
      <w:pPr>
        <w:pStyle w:val="2"/>
        <w:spacing w:line="219" w:lineRule="auto"/>
        <w:ind w:left="432"/>
        <w:rPr>
          <w:sz w:val="21"/>
          <w:szCs w:val="21"/>
        </w:rPr>
      </w:pPr>
      <w:r>
        <w:rPr>
          <w:b/>
          <w:bCs/>
          <w:spacing w:val="9"/>
          <w:sz w:val="21"/>
          <w:szCs w:val="21"/>
        </w:rPr>
        <w:t>4.1.10其他义务</w:t>
      </w:r>
    </w:p>
    <w:p w14:paraId="6EEAF050">
      <w:pPr>
        <w:pStyle w:val="2"/>
        <w:spacing w:before="136" w:line="352" w:lineRule="auto"/>
        <w:ind w:left="20" w:right="22" w:firstLine="409"/>
        <w:jc w:val="both"/>
        <w:rPr>
          <w:sz w:val="21"/>
          <w:szCs w:val="21"/>
        </w:rPr>
      </w:pPr>
      <w:r>
        <w:rPr>
          <w:spacing w:val="-1"/>
          <w:sz w:val="21"/>
          <w:szCs w:val="21"/>
        </w:rPr>
        <w:t>(1)根据发包人委托，在其设计资质等级和业务允许的范围内，完成施工图设计或</w:t>
      </w:r>
      <w:r>
        <w:rPr>
          <w:spacing w:val="-2"/>
          <w:sz w:val="21"/>
          <w:szCs w:val="21"/>
        </w:rPr>
        <w:t>与工程配套</w:t>
      </w:r>
      <w:r>
        <w:rPr>
          <w:sz w:val="21"/>
          <w:szCs w:val="21"/>
        </w:rPr>
        <w:t xml:space="preserve"> </w:t>
      </w:r>
      <w:r>
        <w:rPr>
          <w:spacing w:val="2"/>
          <w:sz w:val="21"/>
          <w:szCs w:val="21"/>
        </w:rPr>
        <w:t>的设计，经监理人确认后使用，发包人承担由此发生的费用和合理利润。由承包人</w:t>
      </w:r>
      <w:r>
        <w:rPr>
          <w:spacing w:val="1"/>
          <w:sz w:val="21"/>
          <w:szCs w:val="21"/>
        </w:rPr>
        <w:t>负责完成的设</w:t>
      </w:r>
      <w:r>
        <w:rPr>
          <w:sz w:val="21"/>
          <w:szCs w:val="21"/>
        </w:rPr>
        <w:t xml:space="preserve"> </w:t>
      </w:r>
      <w:r>
        <w:rPr>
          <w:spacing w:val="5"/>
          <w:sz w:val="21"/>
          <w:szCs w:val="21"/>
        </w:rPr>
        <w:t>计文件属于合同条款第1.6.2</w:t>
      </w:r>
      <w:r>
        <w:rPr>
          <w:spacing w:val="-18"/>
          <w:sz w:val="21"/>
          <w:szCs w:val="21"/>
        </w:rPr>
        <w:t xml:space="preserve"> </w:t>
      </w:r>
      <w:r>
        <w:rPr>
          <w:spacing w:val="5"/>
          <w:sz w:val="21"/>
          <w:szCs w:val="21"/>
        </w:rPr>
        <w:t>项约定的承包</w:t>
      </w:r>
      <w:r>
        <w:rPr>
          <w:spacing w:val="4"/>
          <w:sz w:val="21"/>
          <w:szCs w:val="21"/>
        </w:rPr>
        <w:t>人提供的文件，承包人应按照专用合同条款第1.6.2</w:t>
      </w:r>
      <w:r>
        <w:rPr>
          <w:sz w:val="21"/>
          <w:szCs w:val="21"/>
        </w:rPr>
        <w:t xml:space="preserve"> </w:t>
      </w:r>
      <w:r>
        <w:rPr>
          <w:spacing w:val="2"/>
          <w:sz w:val="21"/>
          <w:szCs w:val="21"/>
        </w:rPr>
        <w:t>项约定的期限和数量提交，由此发生的费用被认为已经包括在承包人的签约合同价(投标总报价)</w:t>
      </w:r>
      <w:r>
        <w:rPr>
          <w:spacing w:val="8"/>
          <w:sz w:val="21"/>
          <w:szCs w:val="21"/>
        </w:rPr>
        <w:t xml:space="preserve"> </w:t>
      </w:r>
      <w:r>
        <w:rPr>
          <w:spacing w:val="-1"/>
          <w:sz w:val="21"/>
          <w:szCs w:val="21"/>
        </w:rPr>
        <w:t>中。由承包人承担的施工图设计或与工程配套的设计工作内容：</w:t>
      </w:r>
      <w:r>
        <w:rPr>
          <w:spacing w:val="1"/>
          <w:sz w:val="21"/>
          <w:szCs w:val="21"/>
          <w:u w:val="single" w:color="auto"/>
        </w:rPr>
        <w:t xml:space="preserve">         </w:t>
      </w:r>
    </w:p>
    <w:p w14:paraId="7861851B">
      <w:pPr>
        <w:tabs>
          <w:tab w:val="left" w:pos="8229"/>
        </w:tabs>
        <w:spacing w:before="82" w:line="142" w:lineRule="auto"/>
        <w:ind w:left="20"/>
        <w:rPr>
          <w:rFonts w:ascii="Times New Roman" w:hAnsi="Times New Roman" w:eastAsia="Times New Roman" w:cs="Times New Roman"/>
          <w:sz w:val="8"/>
          <w:szCs w:val="8"/>
        </w:rPr>
      </w:pPr>
      <w:r>
        <w:rPr>
          <w:rFonts w:ascii="Times New Roman" w:hAnsi="Times New Roman" w:eastAsia="Times New Roman" w:cs="Times New Roman"/>
          <w:sz w:val="8"/>
          <w:szCs w:val="8"/>
          <w:u w:val="single" w:color="auto"/>
        </w:rPr>
        <w:tab/>
      </w:r>
      <w:r>
        <w:rPr>
          <w:rFonts w:ascii="Times New Roman" w:hAnsi="Times New Roman" w:eastAsia="Times New Roman" w:cs="Times New Roman"/>
          <w:spacing w:val="-10"/>
          <w:sz w:val="8"/>
          <w:szCs w:val="8"/>
        </w:rPr>
        <w:t xml:space="preserve"> </w:t>
      </w:r>
      <w:r>
        <w:rPr>
          <w:rFonts w:ascii="Times New Roman" w:hAnsi="Times New Roman" w:eastAsia="Times New Roman" w:cs="Times New Roman"/>
          <w:sz w:val="8"/>
          <w:szCs w:val="8"/>
          <w:u w:val="dotted" w:color="auto"/>
        </w:rPr>
        <w:t xml:space="preserve">  </w:t>
      </w:r>
      <w:r>
        <w:rPr>
          <w:rFonts w:ascii="Times New Roman" w:hAnsi="Times New Roman" w:eastAsia="Times New Roman" w:cs="Times New Roman"/>
          <w:spacing w:val="-17"/>
          <w:sz w:val="8"/>
          <w:szCs w:val="8"/>
        </w:rPr>
        <w:t xml:space="preserve"> </w:t>
      </w:r>
      <w:r>
        <w:rPr>
          <w:rFonts w:ascii="Times New Roman" w:hAnsi="Times New Roman" w:eastAsia="Times New Roman" w:cs="Times New Roman"/>
          <w:sz w:val="8"/>
          <w:szCs w:val="8"/>
        </w:rPr>
        <w:t>o</w:t>
      </w:r>
    </w:p>
    <w:p w14:paraId="718C3FDD">
      <w:pPr>
        <w:pStyle w:val="2"/>
        <w:spacing w:before="228" w:line="219" w:lineRule="auto"/>
        <w:ind w:left="429"/>
        <w:rPr>
          <w:sz w:val="20"/>
          <w:szCs w:val="20"/>
        </w:rPr>
      </w:pPr>
      <w:r>
        <w:rPr>
          <w:spacing w:val="2"/>
          <w:sz w:val="20"/>
          <w:szCs w:val="20"/>
        </w:rPr>
        <w:t>(2)承包人应履行合同约定的其他义务以及下述义</w:t>
      </w:r>
      <w:r>
        <w:rPr>
          <w:spacing w:val="1"/>
          <w:sz w:val="20"/>
          <w:szCs w:val="20"/>
        </w:rPr>
        <w:t xml:space="preserve">务： </w:t>
      </w:r>
      <w:r>
        <w:rPr>
          <w:spacing w:val="1"/>
          <w:sz w:val="20"/>
          <w:szCs w:val="20"/>
          <w:u w:val="single" w:color="auto"/>
        </w:rPr>
        <w:t xml:space="preserve">                              </w:t>
      </w:r>
    </w:p>
    <w:p w14:paraId="06A708C2">
      <w:pPr>
        <w:tabs>
          <w:tab w:val="left" w:pos="8229"/>
        </w:tabs>
        <w:spacing w:before="261" w:line="142" w:lineRule="auto"/>
        <w:ind w:left="20"/>
        <w:rPr>
          <w:rFonts w:ascii="Times New Roman" w:hAnsi="Times New Roman" w:eastAsia="Times New Roman" w:cs="Times New Roman"/>
          <w:sz w:val="8"/>
          <w:szCs w:val="8"/>
        </w:rPr>
      </w:pPr>
      <w:r>
        <w:rPr>
          <w:rFonts w:ascii="Times New Roman" w:hAnsi="Times New Roman" w:eastAsia="Times New Roman" w:cs="Times New Roman"/>
          <w:sz w:val="8"/>
          <w:szCs w:val="8"/>
          <w:u w:val="single" w:color="auto"/>
        </w:rPr>
        <w:tab/>
      </w:r>
      <w:r>
        <w:rPr>
          <w:rFonts w:ascii="Times New Roman" w:hAnsi="Times New Roman" w:eastAsia="Times New Roman" w:cs="Times New Roman"/>
          <w:spacing w:val="-10"/>
          <w:sz w:val="8"/>
          <w:szCs w:val="8"/>
        </w:rPr>
        <w:t xml:space="preserve"> </w:t>
      </w:r>
      <w:r>
        <w:rPr>
          <w:rFonts w:ascii="Times New Roman" w:hAnsi="Times New Roman" w:eastAsia="Times New Roman" w:cs="Times New Roman"/>
          <w:sz w:val="8"/>
          <w:szCs w:val="8"/>
          <w:u w:val="dotted" w:color="auto"/>
        </w:rPr>
        <w:t xml:space="preserve">  </w:t>
      </w:r>
      <w:r>
        <w:rPr>
          <w:rFonts w:ascii="Times New Roman" w:hAnsi="Times New Roman" w:eastAsia="Times New Roman" w:cs="Times New Roman"/>
          <w:spacing w:val="-17"/>
          <w:sz w:val="8"/>
          <w:szCs w:val="8"/>
        </w:rPr>
        <w:t xml:space="preserve"> </w:t>
      </w:r>
      <w:r>
        <w:rPr>
          <w:rFonts w:ascii="Times New Roman" w:hAnsi="Times New Roman" w:eastAsia="Times New Roman" w:cs="Times New Roman"/>
          <w:sz w:val="8"/>
          <w:szCs w:val="8"/>
        </w:rPr>
        <w:t>o</w:t>
      </w:r>
    </w:p>
    <w:p w14:paraId="12DA7BE4">
      <w:pPr>
        <w:pStyle w:val="2"/>
        <w:spacing w:before="216" w:line="220" w:lineRule="auto"/>
        <w:ind w:left="23"/>
        <w:rPr>
          <w:sz w:val="21"/>
          <w:szCs w:val="21"/>
        </w:rPr>
      </w:pPr>
      <w:r>
        <w:rPr>
          <w:b/>
          <w:bCs/>
          <w:spacing w:val="16"/>
          <w:sz w:val="21"/>
          <w:szCs w:val="21"/>
        </w:rPr>
        <w:t>4</w:t>
      </w:r>
      <w:r>
        <w:rPr>
          <w:spacing w:val="-58"/>
          <w:sz w:val="21"/>
          <w:szCs w:val="21"/>
        </w:rPr>
        <w:t xml:space="preserve"> </w:t>
      </w:r>
      <w:r>
        <w:rPr>
          <w:b/>
          <w:bCs/>
          <w:spacing w:val="16"/>
          <w:sz w:val="21"/>
          <w:szCs w:val="21"/>
        </w:rPr>
        <w:t>.2履约担保</w:t>
      </w:r>
    </w:p>
    <w:p w14:paraId="1B7FE83E">
      <w:pPr>
        <w:pStyle w:val="2"/>
        <w:spacing w:before="149" w:line="219" w:lineRule="auto"/>
        <w:ind w:left="432"/>
        <w:rPr>
          <w:sz w:val="21"/>
          <w:szCs w:val="21"/>
        </w:rPr>
      </w:pPr>
      <w:r>
        <w:rPr>
          <w:b/>
          <w:bCs/>
          <w:spacing w:val="5"/>
          <w:sz w:val="21"/>
          <w:szCs w:val="21"/>
        </w:rPr>
        <w:t>4.2.1履约担保的格式和金额</w:t>
      </w:r>
    </w:p>
    <w:p w14:paraId="337A24F9">
      <w:pPr>
        <w:pStyle w:val="2"/>
        <w:spacing w:before="152" w:line="335" w:lineRule="auto"/>
        <w:ind w:left="20" w:firstLine="409"/>
        <w:jc w:val="both"/>
        <w:rPr>
          <w:sz w:val="21"/>
          <w:szCs w:val="21"/>
        </w:rPr>
      </w:pPr>
      <w:r>
        <w:rPr>
          <w:spacing w:val="2"/>
          <w:sz w:val="21"/>
          <w:szCs w:val="21"/>
        </w:rPr>
        <w:t>承包人应在签订合同前，按照发包人在招标文件中规定的格式或者其他经过发包人认可的格</w:t>
      </w:r>
      <w:r>
        <w:rPr>
          <w:spacing w:val="8"/>
          <w:sz w:val="21"/>
          <w:szCs w:val="21"/>
        </w:rPr>
        <w:t xml:space="preserve"> </w:t>
      </w:r>
      <w:r>
        <w:rPr>
          <w:spacing w:val="2"/>
          <w:sz w:val="21"/>
          <w:szCs w:val="21"/>
        </w:rPr>
        <w:t>式向发包人递交一份履约担保。经过发包人事先书面认可的其他格式的履约担保，其担保条款的</w:t>
      </w:r>
      <w:r>
        <w:rPr>
          <w:spacing w:val="1"/>
          <w:sz w:val="21"/>
          <w:szCs w:val="21"/>
        </w:rPr>
        <w:t xml:space="preserve"> </w:t>
      </w:r>
      <w:r>
        <w:rPr>
          <w:spacing w:val="35"/>
          <w:sz w:val="21"/>
          <w:szCs w:val="21"/>
        </w:rPr>
        <w:t>实质性内容应当与发包人在招标文件中规定的格式内容保持</w:t>
      </w:r>
      <w:r>
        <w:rPr>
          <w:spacing w:val="-36"/>
          <w:sz w:val="21"/>
          <w:szCs w:val="21"/>
        </w:rPr>
        <w:t xml:space="preserve"> </w:t>
      </w:r>
      <w:r>
        <w:rPr>
          <w:spacing w:val="35"/>
          <w:sz w:val="21"/>
          <w:szCs w:val="21"/>
        </w:rPr>
        <w:t>一</w:t>
      </w:r>
      <w:r>
        <w:rPr>
          <w:spacing w:val="-57"/>
          <w:sz w:val="21"/>
          <w:szCs w:val="21"/>
        </w:rPr>
        <w:t xml:space="preserve"> </w:t>
      </w:r>
      <w:r>
        <w:rPr>
          <w:spacing w:val="35"/>
          <w:sz w:val="21"/>
          <w:szCs w:val="21"/>
        </w:rPr>
        <w:t>致。履约担保的金额</w:t>
      </w:r>
      <w:r>
        <w:rPr>
          <w:sz w:val="21"/>
          <w:szCs w:val="21"/>
        </w:rPr>
        <w:t xml:space="preserve"> </w:t>
      </w:r>
      <w:r>
        <w:rPr>
          <w:spacing w:val="-2"/>
          <w:sz w:val="21"/>
          <w:szCs w:val="21"/>
        </w:rPr>
        <w:t>为</w:t>
      </w:r>
      <w:r>
        <w:rPr>
          <w:spacing w:val="-77"/>
          <w:sz w:val="21"/>
          <w:szCs w:val="21"/>
        </w:rPr>
        <w:t xml:space="preserve"> </w:t>
      </w:r>
      <w:r>
        <w:rPr>
          <w:spacing w:val="-2"/>
          <w:sz w:val="21"/>
          <w:szCs w:val="21"/>
          <w:u w:val="single" w:color="auto"/>
        </w:rPr>
        <w:t xml:space="preserve">                 </w:t>
      </w:r>
      <w:r>
        <w:rPr>
          <w:spacing w:val="-2"/>
          <w:sz w:val="21"/>
          <w:szCs w:val="21"/>
        </w:rPr>
        <w:t>。履约担保是本合同的附件。</w:t>
      </w:r>
    </w:p>
    <w:p w14:paraId="093405D9">
      <w:pPr>
        <w:pStyle w:val="2"/>
        <w:spacing w:before="25" w:line="220" w:lineRule="auto"/>
        <w:ind w:left="432"/>
        <w:rPr>
          <w:sz w:val="21"/>
          <w:szCs w:val="21"/>
        </w:rPr>
      </w:pPr>
      <w:r>
        <w:rPr>
          <w:b/>
          <w:bCs/>
          <w:spacing w:val="6"/>
          <w:sz w:val="21"/>
          <w:szCs w:val="21"/>
        </w:rPr>
        <w:t>4.2.2履约担保的有效期</w:t>
      </w:r>
    </w:p>
    <w:p w14:paraId="2AA69B46">
      <w:pPr>
        <w:pStyle w:val="2"/>
        <w:spacing w:before="150" w:line="336" w:lineRule="auto"/>
        <w:ind w:left="20" w:right="40" w:firstLine="409"/>
        <w:jc w:val="both"/>
        <w:rPr>
          <w:sz w:val="21"/>
          <w:szCs w:val="21"/>
        </w:rPr>
      </w:pPr>
      <w:r>
        <w:rPr>
          <w:spacing w:val="2"/>
          <w:sz w:val="21"/>
          <w:szCs w:val="21"/>
        </w:rPr>
        <w:t>履约担保的有效期应当自本合同生效之日起至发包人签认并由监理人向承包人出具工程接收</w:t>
      </w:r>
      <w:r>
        <w:rPr>
          <w:spacing w:val="7"/>
          <w:sz w:val="21"/>
          <w:szCs w:val="21"/>
        </w:rPr>
        <w:t xml:space="preserve"> </w:t>
      </w:r>
      <w:r>
        <w:rPr>
          <w:spacing w:val="2"/>
          <w:sz w:val="21"/>
          <w:szCs w:val="21"/>
        </w:rPr>
        <w:t>证书之日止。如果承包人无法获得一份不带具体截止日期的担保，履约担保中</w:t>
      </w:r>
      <w:r>
        <w:rPr>
          <w:spacing w:val="1"/>
          <w:sz w:val="21"/>
          <w:szCs w:val="21"/>
        </w:rPr>
        <w:t>应当有“变更工程</w:t>
      </w:r>
      <w:r>
        <w:rPr>
          <w:sz w:val="21"/>
          <w:szCs w:val="21"/>
        </w:rPr>
        <w:t xml:space="preserve"> 竣工日期的，保证期间按照变更后的竣工日期做相应调整”或类似</w:t>
      </w:r>
      <w:r>
        <w:rPr>
          <w:spacing w:val="-1"/>
          <w:sz w:val="21"/>
          <w:szCs w:val="21"/>
        </w:rPr>
        <w:t>约定的条款。</w:t>
      </w:r>
    </w:p>
    <w:p w14:paraId="13901457">
      <w:pPr>
        <w:pStyle w:val="2"/>
        <w:spacing w:before="13" w:line="220" w:lineRule="auto"/>
        <w:ind w:left="432"/>
        <w:rPr>
          <w:sz w:val="21"/>
          <w:szCs w:val="21"/>
        </w:rPr>
      </w:pPr>
      <w:r>
        <w:rPr>
          <w:b/>
          <w:bCs/>
          <w:spacing w:val="8"/>
          <w:sz w:val="21"/>
          <w:szCs w:val="21"/>
        </w:rPr>
        <w:t>4.2.3履约担保的退还</w:t>
      </w:r>
    </w:p>
    <w:p w14:paraId="1BDF5A26">
      <w:pPr>
        <w:pStyle w:val="2"/>
        <w:spacing w:before="151" w:line="219" w:lineRule="auto"/>
        <w:ind w:left="429"/>
        <w:rPr>
          <w:sz w:val="21"/>
          <w:szCs w:val="21"/>
        </w:rPr>
      </w:pPr>
      <w:r>
        <w:rPr>
          <w:spacing w:val="3"/>
          <w:sz w:val="21"/>
          <w:szCs w:val="21"/>
        </w:rPr>
        <w:t>履约担保应在监理人向承包人颁发(出具)工程接收证书</w:t>
      </w:r>
      <w:r>
        <w:rPr>
          <w:spacing w:val="2"/>
          <w:sz w:val="21"/>
          <w:szCs w:val="21"/>
        </w:rPr>
        <w:t>之日后28天内退还给承包人。</w:t>
      </w:r>
    </w:p>
    <w:p w14:paraId="21AB6942">
      <w:pPr>
        <w:pStyle w:val="2"/>
        <w:spacing w:before="122" w:line="219" w:lineRule="auto"/>
        <w:ind w:left="429"/>
        <w:rPr>
          <w:sz w:val="21"/>
          <w:szCs w:val="21"/>
        </w:rPr>
      </w:pPr>
      <w:r>
        <w:rPr>
          <w:spacing w:val="-1"/>
          <w:sz w:val="21"/>
          <w:szCs w:val="21"/>
        </w:rPr>
        <w:t>发包人不承担承包人与履约担保有关的任何利息或其它类似的费用或者收益。</w:t>
      </w:r>
    </w:p>
    <w:p w14:paraId="3CDC20AB">
      <w:pPr>
        <w:pStyle w:val="2"/>
        <w:spacing w:before="148" w:line="219" w:lineRule="auto"/>
        <w:ind w:left="432"/>
        <w:rPr>
          <w:sz w:val="21"/>
          <w:szCs w:val="21"/>
        </w:rPr>
      </w:pPr>
      <w:r>
        <w:rPr>
          <w:b/>
          <w:bCs/>
          <w:spacing w:val="11"/>
          <w:sz w:val="21"/>
          <w:szCs w:val="21"/>
        </w:rPr>
        <w:t>4.2.4通知义务</w:t>
      </w:r>
    </w:p>
    <w:p w14:paraId="1807F7B5">
      <w:pPr>
        <w:pStyle w:val="2"/>
        <w:spacing w:before="153" w:line="335" w:lineRule="auto"/>
        <w:ind w:left="20" w:right="32" w:firstLine="409"/>
        <w:jc w:val="both"/>
        <w:rPr>
          <w:sz w:val="21"/>
          <w:szCs w:val="21"/>
        </w:rPr>
      </w:pPr>
      <w:r>
        <w:rPr>
          <w:spacing w:val="2"/>
          <w:sz w:val="21"/>
          <w:szCs w:val="21"/>
        </w:rPr>
        <w:t>不管履约担保条款中如何约定，发包人根据担保条款提出索赔或兑现要求28天前，应通知承</w:t>
      </w:r>
      <w:r>
        <w:rPr>
          <w:spacing w:val="7"/>
          <w:sz w:val="21"/>
          <w:szCs w:val="21"/>
        </w:rPr>
        <w:t xml:space="preserve"> </w:t>
      </w:r>
      <w:r>
        <w:rPr>
          <w:spacing w:val="2"/>
          <w:sz w:val="21"/>
          <w:szCs w:val="21"/>
        </w:rPr>
        <w:t>包人并说明导致此类索赔或兑现的违约性质或原因。相应地，不管专用合同条款2.8(</w:t>
      </w:r>
      <w:r>
        <w:rPr>
          <w:spacing w:val="1"/>
          <w:sz w:val="21"/>
          <w:szCs w:val="21"/>
        </w:rPr>
        <w:t>1)目约定的</w:t>
      </w:r>
      <w:r>
        <w:rPr>
          <w:sz w:val="21"/>
          <w:szCs w:val="21"/>
        </w:rPr>
        <w:t xml:space="preserve"> </w:t>
      </w:r>
      <w:r>
        <w:rPr>
          <w:spacing w:val="2"/>
          <w:sz w:val="21"/>
          <w:szCs w:val="21"/>
        </w:rPr>
        <w:t>支付担保条款中如何约定，承包人根据担保条款提出索赔或兑现要求28天前，</w:t>
      </w:r>
      <w:r>
        <w:rPr>
          <w:spacing w:val="1"/>
          <w:sz w:val="21"/>
          <w:szCs w:val="21"/>
        </w:rPr>
        <w:t>也应通知发包人并</w:t>
      </w:r>
      <w:r>
        <w:rPr>
          <w:sz w:val="21"/>
          <w:szCs w:val="21"/>
        </w:rPr>
        <w:t xml:space="preserve"> </w:t>
      </w:r>
      <w:r>
        <w:rPr>
          <w:spacing w:val="2"/>
          <w:sz w:val="21"/>
          <w:szCs w:val="21"/>
        </w:rPr>
        <w:t>说明导致此类索赔或兑现的违约性质或原因。但是，本项约定的通知不应理解为</w:t>
      </w:r>
      <w:r>
        <w:rPr>
          <w:spacing w:val="1"/>
          <w:sz w:val="21"/>
          <w:szCs w:val="21"/>
        </w:rPr>
        <w:t>是在任何意义上</w:t>
      </w:r>
      <w:r>
        <w:rPr>
          <w:sz w:val="21"/>
          <w:szCs w:val="21"/>
        </w:rPr>
        <w:t xml:space="preserve"> </w:t>
      </w:r>
      <w:r>
        <w:rPr>
          <w:spacing w:val="-3"/>
          <w:sz w:val="21"/>
          <w:szCs w:val="21"/>
        </w:rPr>
        <w:t>寻求承包人或者发包人的同意。</w:t>
      </w:r>
    </w:p>
    <w:p w14:paraId="3D5C94EA">
      <w:pPr>
        <w:spacing w:line="335" w:lineRule="auto"/>
        <w:rPr>
          <w:sz w:val="21"/>
          <w:szCs w:val="21"/>
        </w:rPr>
        <w:sectPr>
          <w:footerReference r:id="rId155" w:type="default"/>
          <w:pgSz w:w="11910" w:h="16840"/>
          <w:pgMar w:top="400" w:right="1511" w:bottom="1024" w:left="1440" w:header="0" w:footer="889" w:gutter="0"/>
          <w:cols w:space="720" w:num="1"/>
        </w:sectPr>
      </w:pPr>
    </w:p>
    <w:p w14:paraId="68BD993A">
      <w:pPr>
        <w:spacing w:line="267" w:lineRule="auto"/>
        <w:rPr>
          <w:rFonts w:ascii="Arial"/>
          <w:sz w:val="21"/>
        </w:rPr>
      </w:pPr>
    </w:p>
    <w:p w14:paraId="59F35FE4">
      <w:pPr>
        <w:spacing w:line="268" w:lineRule="auto"/>
        <w:rPr>
          <w:rFonts w:ascii="Arial"/>
          <w:sz w:val="21"/>
        </w:rPr>
      </w:pPr>
    </w:p>
    <w:p w14:paraId="1F14A3AC">
      <w:pPr>
        <w:spacing w:line="268" w:lineRule="auto"/>
        <w:rPr>
          <w:rFonts w:ascii="Arial"/>
          <w:sz w:val="21"/>
        </w:rPr>
      </w:pPr>
    </w:p>
    <w:p w14:paraId="6DF7059A">
      <w:pPr>
        <w:spacing w:line="268" w:lineRule="auto"/>
        <w:rPr>
          <w:rFonts w:ascii="Arial"/>
          <w:sz w:val="21"/>
        </w:rPr>
      </w:pPr>
    </w:p>
    <w:p w14:paraId="4A6CF37C">
      <w:pPr>
        <w:spacing w:line="268" w:lineRule="auto"/>
        <w:rPr>
          <w:rFonts w:ascii="Arial"/>
          <w:sz w:val="21"/>
        </w:rPr>
      </w:pPr>
    </w:p>
    <w:p w14:paraId="639A089C">
      <w:pPr>
        <w:spacing w:before="68" w:line="222" w:lineRule="auto"/>
        <w:ind w:left="3"/>
        <w:rPr>
          <w:rFonts w:ascii="黑体" w:hAnsi="黑体" w:eastAsia="黑体" w:cs="黑体"/>
          <w:sz w:val="21"/>
          <w:szCs w:val="21"/>
        </w:rPr>
      </w:pPr>
      <w:r>
        <w:rPr>
          <w:rFonts w:ascii="黑体" w:hAnsi="黑体" w:eastAsia="黑体" w:cs="黑体"/>
          <w:b/>
          <w:bCs/>
          <w:spacing w:val="11"/>
          <w:sz w:val="21"/>
          <w:szCs w:val="21"/>
        </w:rPr>
        <w:t>4</w:t>
      </w:r>
      <w:r>
        <w:rPr>
          <w:rFonts w:ascii="黑体" w:hAnsi="黑体" w:eastAsia="黑体" w:cs="黑体"/>
          <w:spacing w:val="-56"/>
          <w:sz w:val="21"/>
          <w:szCs w:val="21"/>
        </w:rPr>
        <w:t xml:space="preserve"> </w:t>
      </w:r>
      <w:r>
        <w:rPr>
          <w:rFonts w:ascii="黑体" w:hAnsi="黑体" w:eastAsia="黑体" w:cs="黑体"/>
          <w:b/>
          <w:bCs/>
          <w:spacing w:val="11"/>
          <w:sz w:val="21"/>
          <w:szCs w:val="21"/>
        </w:rPr>
        <w:t>.3分包</w:t>
      </w:r>
    </w:p>
    <w:p w14:paraId="0891A01B">
      <w:pPr>
        <w:pStyle w:val="2"/>
        <w:spacing w:before="169" w:line="334" w:lineRule="auto"/>
        <w:ind w:right="41" w:firstLine="439"/>
        <w:rPr>
          <w:sz w:val="21"/>
          <w:szCs w:val="21"/>
        </w:rPr>
      </w:pPr>
      <w:r>
        <w:rPr>
          <w:spacing w:val="3"/>
          <w:sz w:val="21"/>
          <w:szCs w:val="21"/>
        </w:rPr>
        <w:t>4.3.2发包人同意承包人分包的非主体、非关键性</w:t>
      </w:r>
      <w:r>
        <w:rPr>
          <w:spacing w:val="2"/>
          <w:sz w:val="21"/>
          <w:szCs w:val="21"/>
        </w:rPr>
        <w:t>工作见投标函附录。除通用合同条款第4.3</w:t>
      </w:r>
      <w:r>
        <w:rPr>
          <w:sz w:val="21"/>
          <w:szCs w:val="21"/>
        </w:rPr>
        <w:t xml:space="preserve"> </w:t>
      </w:r>
      <w:r>
        <w:rPr>
          <w:spacing w:val="-4"/>
          <w:sz w:val="21"/>
          <w:szCs w:val="21"/>
        </w:rPr>
        <w:t>款的约定外，分包还应遵循以下约定：</w:t>
      </w:r>
    </w:p>
    <w:p w14:paraId="7BDCEFDF">
      <w:pPr>
        <w:pStyle w:val="2"/>
        <w:spacing w:before="2" w:line="307" w:lineRule="auto"/>
        <w:ind w:firstLine="439"/>
        <w:rPr>
          <w:sz w:val="21"/>
          <w:szCs w:val="21"/>
        </w:rPr>
      </w:pPr>
      <w:r>
        <w:rPr>
          <w:spacing w:val="-4"/>
          <w:sz w:val="21"/>
          <w:szCs w:val="21"/>
        </w:rPr>
        <w:t>(1)除投标函附录中约定的分包内容外，经过发包人和监理人同意，承包人可以将其他非主体、</w:t>
      </w:r>
      <w:r>
        <w:rPr>
          <w:spacing w:val="10"/>
          <w:sz w:val="21"/>
          <w:szCs w:val="21"/>
        </w:rPr>
        <w:t xml:space="preserve"> </w:t>
      </w:r>
      <w:r>
        <w:rPr>
          <w:spacing w:val="2"/>
          <w:sz w:val="21"/>
          <w:szCs w:val="21"/>
        </w:rPr>
        <w:t>非关键性工作分包给第三人，但分包人应当经过发包人和监理人审批。发包人和监</w:t>
      </w:r>
      <w:r>
        <w:rPr>
          <w:spacing w:val="1"/>
          <w:sz w:val="21"/>
          <w:szCs w:val="21"/>
        </w:rPr>
        <w:t>理人有权拒绝</w:t>
      </w:r>
      <w:r>
        <w:rPr>
          <w:sz w:val="21"/>
          <w:szCs w:val="21"/>
        </w:rPr>
        <w:t xml:space="preserve">  </w:t>
      </w:r>
      <w:r>
        <w:rPr>
          <w:spacing w:val="-2"/>
          <w:sz w:val="21"/>
          <w:szCs w:val="21"/>
        </w:rPr>
        <w:t>承包人的分包请求和承包人选择的分包人。</w:t>
      </w:r>
    </w:p>
    <w:p w14:paraId="2C03D418">
      <w:pPr>
        <w:pStyle w:val="2"/>
        <w:spacing w:before="118" w:line="330" w:lineRule="auto"/>
        <w:ind w:right="74" w:firstLine="439"/>
        <w:rPr>
          <w:sz w:val="17"/>
          <w:szCs w:val="17"/>
        </w:rPr>
      </w:pPr>
      <w:r>
        <w:rPr>
          <w:spacing w:val="-1"/>
          <w:sz w:val="21"/>
          <w:szCs w:val="21"/>
        </w:rPr>
        <w:t>(2)发包人在工程量清单中给定暂估价的专业工程，包括从暂列金额开支的专业工</w:t>
      </w:r>
      <w:r>
        <w:rPr>
          <w:spacing w:val="-2"/>
          <w:sz w:val="21"/>
          <w:szCs w:val="21"/>
        </w:rPr>
        <w:t>程，达到依</w:t>
      </w:r>
      <w:r>
        <w:rPr>
          <w:sz w:val="21"/>
          <w:szCs w:val="21"/>
        </w:rPr>
        <w:t xml:space="preserve"> </w:t>
      </w:r>
      <w:r>
        <w:rPr>
          <w:spacing w:val="2"/>
          <w:sz w:val="21"/>
          <w:szCs w:val="21"/>
        </w:rPr>
        <w:t>法应当招标的规模标准的，以及虽未达到规定的规模标准但合同中约定采用分</w:t>
      </w:r>
      <w:r>
        <w:rPr>
          <w:spacing w:val="1"/>
          <w:sz w:val="21"/>
          <w:szCs w:val="21"/>
        </w:rPr>
        <w:t>包方式或者招标方</w:t>
      </w:r>
      <w:r>
        <w:rPr>
          <w:sz w:val="21"/>
          <w:szCs w:val="21"/>
        </w:rPr>
        <w:t xml:space="preserve"> </w:t>
      </w:r>
      <w:r>
        <w:rPr>
          <w:spacing w:val="2"/>
          <w:sz w:val="21"/>
          <w:szCs w:val="21"/>
        </w:rPr>
        <w:t>式实施的，应当按专用合同条款第15.8.1项的约定，由发包人和承包人以招标方式确定专业分包</w:t>
      </w:r>
      <w:r>
        <w:rPr>
          <w:spacing w:val="9"/>
          <w:sz w:val="21"/>
          <w:szCs w:val="21"/>
        </w:rPr>
        <w:t xml:space="preserve"> </w:t>
      </w:r>
      <w:r>
        <w:rPr>
          <w:spacing w:val="2"/>
          <w:sz w:val="21"/>
          <w:szCs w:val="21"/>
        </w:rPr>
        <w:t>人。除项目审批部门有特别核准外，暂估价的专业工程的招标应当采用与施工</w:t>
      </w:r>
      <w:r>
        <w:rPr>
          <w:spacing w:val="1"/>
          <w:sz w:val="21"/>
          <w:szCs w:val="21"/>
        </w:rPr>
        <w:t>总承包同样的招标</w:t>
      </w:r>
      <w:r>
        <w:rPr>
          <w:sz w:val="21"/>
          <w:szCs w:val="21"/>
        </w:rPr>
        <w:t xml:space="preserve"> </w:t>
      </w:r>
      <w:r>
        <w:rPr>
          <w:spacing w:val="-6"/>
          <w:sz w:val="17"/>
          <w:szCs w:val="17"/>
        </w:rPr>
        <w:t>方</w:t>
      </w:r>
      <w:r>
        <w:rPr>
          <w:spacing w:val="-17"/>
          <w:sz w:val="17"/>
          <w:szCs w:val="17"/>
        </w:rPr>
        <w:t xml:space="preserve"> </w:t>
      </w:r>
      <w:r>
        <w:rPr>
          <w:spacing w:val="-6"/>
          <w:sz w:val="17"/>
          <w:szCs w:val="17"/>
        </w:rPr>
        <w:t>式</w:t>
      </w:r>
      <w:r>
        <w:rPr>
          <w:spacing w:val="-27"/>
          <w:sz w:val="17"/>
          <w:szCs w:val="17"/>
        </w:rPr>
        <w:t xml:space="preserve"> </w:t>
      </w:r>
      <w:r>
        <w:rPr>
          <w:spacing w:val="-6"/>
          <w:sz w:val="17"/>
          <w:szCs w:val="17"/>
        </w:rPr>
        <w:t>。</w:t>
      </w:r>
    </w:p>
    <w:p w14:paraId="1D55FCB3">
      <w:pPr>
        <w:pStyle w:val="2"/>
        <w:spacing w:before="167" w:line="281" w:lineRule="auto"/>
        <w:ind w:right="95" w:firstLine="439"/>
        <w:rPr>
          <w:sz w:val="21"/>
          <w:szCs w:val="21"/>
        </w:rPr>
      </w:pPr>
      <w:r>
        <w:rPr>
          <w:spacing w:val="1"/>
          <w:sz w:val="21"/>
          <w:szCs w:val="21"/>
        </w:rPr>
        <w:t>(3)在相关分包合同签订并报送有关建设行政主管部门备案后7天内，承包人应当将一份副本</w:t>
      </w:r>
      <w:r>
        <w:rPr>
          <w:spacing w:val="16"/>
          <w:sz w:val="21"/>
          <w:szCs w:val="21"/>
        </w:rPr>
        <w:t xml:space="preserve"> </w:t>
      </w:r>
      <w:r>
        <w:rPr>
          <w:spacing w:val="-1"/>
          <w:sz w:val="21"/>
          <w:szCs w:val="21"/>
        </w:rPr>
        <w:t>提交给监理人，承包人应保障分包工作不得再次分包。</w:t>
      </w:r>
    </w:p>
    <w:p w14:paraId="397A10D1">
      <w:pPr>
        <w:pStyle w:val="2"/>
        <w:spacing w:before="140" w:line="312" w:lineRule="auto"/>
        <w:ind w:right="74" w:firstLine="439"/>
        <w:rPr>
          <w:sz w:val="21"/>
          <w:szCs w:val="21"/>
        </w:rPr>
      </w:pPr>
      <w:r>
        <w:rPr>
          <w:spacing w:val="-1"/>
          <w:sz w:val="21"/>
          <w:szCs w:val="21"/>
        </w:rPr>
        <w:t>(4)分包工程价款由承包人与分包人(包括专业分包人)结算。未经承包人同意，发包</w:t>
      </w:r>
      <w:r>
        <w:rPr>
          <w:spacing w:val="-2"/>
          <w:sz w:val="21"/>
          <w:szCs w:val="21"/>
        </w:rPr>
        <w:t>人不得以</w:t>
      </w:r>
      <w:r>
        <w:rPr>
          <w:sz w:val="21"/>
          <w:szCs w:val="21"/>
        </w:rPr>
        <w:t xml:space="preserve"> </w:t>
      </w:r>
      <w:r>
        <w:rPr>
          <w:spacing w:val="2"/>
          <w:sz w:val="21"/>
          <w:szCs w:val="21"/>
        </w:rPr>
        <w:t>任何形式向分包人(包括专业分包人)支付相关分包合同项下的任何工程款项。因发包人未经承包</w:t>
      </w:r>
      <w:r>
        <w:rPr>
          <w:spacing w:val="13"/>
          <w:sz w:val="21"/>
          <w:szCs w:val="21"/>
        </w:rPr>
        <w:t xml:space="preserve"> </w:t>
      </w:r>
      <w:r>
        <w:rPr>
          <w:spacing w:val="2"/>
          <w:sz w:val="21"/>
          <w:szCs w:val="21"/>
        </w:rPr>
        <w:t>人同意直接向分包人(包括专业分包人)支付相关分包合同项下的任何工程款项而影响承包</w:t>
      </w:r>
      <w:r>
        <w:rPr>
          <w:spacing w:val="1"/>
          <w:sz w:val="21"/>
          <w:szCs w:val="21"/>
        </w:rPr>
        <w:t>人工作</w:t>
      </w:r>
      <w:r>
        <w:rPr>
          <w:sz w:val="21"/>
          <w:szCs w:val="21"/>
        </w:rPr>
        <w:t xml:space="preserve"> </w:t>
      </w:r>
      <w:r>
        <w:rPr>
          <w:spacing w:val="-1"/>
          <w:sz w:val="21"/>
          <w:szCs w:val="21"/>
        </w:rPr>
        <w:t>的，所造成的承包人费用增加和(或)延误的工期由发包人承担。</w:t>
      </w:r>
    </w:p>
    <w:p w14:paraId="1D2B3FA6">
      <w:pPr>
        <w:pStyle w:val="2"/>
        <w:spacing w:before="141" w:line="281" w:lineRule="auto"/>
        <w:ind w:right="116" w:firstLine="439"/>
        <w:rPr>
          <w:sz w:val="21"/>
          <w:szCs w:val="21"/>
        </w:rPr>
      </w:pPr>
      <w:r>
        <w:rPr>
          <w:spacing w:val="-2"/>
          <w:sz w:val="21"/>
          <w:szCs w:val="21"/>
        </w:rPr>
        <w:t>(5)未经发包人和监理人审批同意的分包工程和分包人，发包人有权拒绝验收分包工程和支付</w:t>
      </w:r>
      <w:r>
        <w:rPr>
          <w:spacing w:val="16"/>
          <w:sz w:val="21"/>
          <w:szCs w:val="21"/>
        </w:rPr>
        <w:t xml:space="preserve"> </w:t>
      </w:r>
      <w:r>
        <w:rPr>
          <w:spacing w:val="-1"/>
          <w:sz w:val="21"/>
          <w:szCs w:val="21"/>
        </w:rPr>
        <w:t>相应款项，由此引起的承包人费用增加和(或)延误的工期由</w:t>
      </w:r>
      <w:r>
        <w:rPr>
          <w:spacing w:val="-2"/>
          <w:sz w:val="21"/>
          <w:szCs w:val="21"/>
        </w:rPr>
        <w:t>承包人承担。</w:t>
      </w:r>
    </w:p>
    <w:p w14:paraId="6D33B998">
      <w:pPr>
        <w:spacing w:before="126" w:line="222" w:lineRule="auto"/>
        <w:ind w:left="3"/>
        <w:rPr>
          <w:rFonts w:ascii="黑体" w:hAnsi="黑体" w:eastAsia="黑体" w:cs="黑体"/>
          <w:sz w:val="21"/>
          <w:szCs w:val="21"/>
        </w:rPr>
      </w:pPr>
      <w:r>
        <w:rPr>
          <w:rFonts w:ascii="黑体" w:hAnsi="黑体" w:eastAsia="黑体" w:cs="黑体"/>
          <w:b/>
          <w:bCs/>
          <w:spacing w:val="18"/>
          <w:sz w:val="21"/>
          <w:szCs w:val="21"/>
        </w:rPr>
        <w:t>4</w:t>
      </w:r>
      <w:r>
        <w:rPr>
          <w:rFonts w:ascii="黑体" w:hAnsi="黑体" w:eastAsia="黑体" w:cs="黑体"/>
          <w:spacing w:val="-52"/>
          <w:sz w:val="21"/>
          <w:szCs w:val="21"/>
        </w:rPr>
        <w:t xml:space="preserve"> </w:t>
      </w:r>
      <w:r>
        <w:rPr>
          <w:rFonts w:ascii="黑体" w:hAnsi="黑体" w:eastAsia="黑体" w:cs="黑体"/>
          <w:b/>
          <w:bCs/>
          <w:spacing w:val="18"/>
          <w:sz w:val="21"/>
          <w:szCs w:val="21"/>
        </w:rPr>
        <w:t>.5承包人项目经理</w:t>
      </w:r>
    </w:p>
    <w:p w14:paraId="0DA5BB24">
      <w:pPr>
        <w:pStyle w:val="2"/>
        <w:spacing w:before="172" w:line="339" w:lineRule="auto"/>
        <w:ind w:right="41" w:firstLine="439"/>
        <w:jc w:val="both"/>
        <w:rPr>
          <w:sz w:val="21"/>
          <w:szCs w:val="21"/>
        </w:rPr>
      </w:pPr>
      <w:r>
        <w:rPr>
          <w:spacing w:val="8"/>
          <w:sz w:val="21"/>
          <w:szCs w:val="21"/>
        </w:rPr>
        <w:t>4.5.1 承包人项目经理必须与承包人投标时所承诺的人员</w:t>
      </w:r>
      <w:r>
        <w:rPr>
          <w:spacing w:val="7"/>
          <w:sz w:val="21"/>
          <w:szCs w:val="21"/>
        </w:rPr>
        <w:t>一致，并在根据通用合同条款第</w:t>
      </w:r>
      <w:r>
        <w:rPr>
          <w:sz w:val="21"/>
          <w:szCs w:val="21"/>
        </w:rPr>
        <w:t xml:space="preserve"> </w:t>
      </w:r>
      <w:r>
        <w:rPr>
          <w:spacing w:val="2"/>
          <w:sz w:val="21"/>
          <w:szCs w:val="21"/>
        </w:rPr>
        <w:t>11.1.1项确定的开工日期前到任。在监理人向承包人颁发(出</w:t>
      </w:r>
      <w:r>
        <w:rPr>
          <w:spacing w:val="1"/>
          <w:sz w:val="21"/>
          <w:szCs w:val="21"/>
        </w:rPr>
        <w:t>具)工程接收证书前，项目经理不得</w:t>
      </w:r>
      <w:r>
        <w:rPr>
          <w:sz w:val="21"/>
          <w:szCs w:val="21"/>
        </w:rPr>
        <w:t xml:space="preserve"> </w:t>
      </w:r>
      <w:r>
        <w:rPr>
          <w:spacing w:val="2"/>
          <w:sz w:val="21"/>
          <w:szCs w:val="21"/>
        </w:rPr>
        <w:t>同时兼任其他任何项目的项目经理。未经发包人书面许可，承包人不得更换项目经理。承</w:t>
      </w:r>
      <w:r>
        <w:rPr>
          <w:spacing w:val="1"/>
          <w:sz w:val="21"/>
          <w:szCs w:val="21"/>
        </w:rPr>
        <w:t>包人项</w:t>
      </w:r>
      <w:r>
        <w:rPr>
          <w:sz w:val="21"/>
          <w:szCs w:val="21"/>
        </w:rPr>
        <w:t xml:space="preserve"> </w:t>
      </w:r>
      <w:r>
        <w:rPr>
          <w:spacing w:val="1"/>
          <w:sz w:val="21"/>
          <w:szCs w:val="21"/>
        </w:rPr>
        <w:t>目经理的姓名、职称、身份证号、执业资格证书号、注册证书号、执业印章号、安全生产考核合</w:t>
      </w:r>
      <w:r>
        <w:rPr>
          <w:spacing w:val="16"/>
          <w:sz w:val="21"/>
          <w:szCs w:val="21"/>
        </w:rPr>
        <w:t xml:space="preserve"> </w:t>
      </w:r>
      <w:r>
        <w:rPr>
          <w:spacing w:val="-2"/>
          <w:sz w:val="21"/>
          <w:szCs w:val="21"/>
        </w:rPr>
        <w:t>格证书号等细节资料应当在合同协议书中载明。</w:t>
      </w:r>
    </w:p>
    <w:p w14:paraId="4109B265">
      <w:pPr>
        <w:spacing w:before="17" w:line="222" w:lineRule="auto"/>
        <w:ind w:left="3"/>
        <w:rPr>
          <w:rFonts w:ascii="黑体" w:hAnsi="黑体" w:eastAsia="黑体" w:cs="黑体"/>
          <w:sz w:val="21"/>
          <w:szCs w:val="21"/>
        </w:rPr>
      </w:pPr>
      <w:r>
        <w:rPr>
          <w:rFonts w:ascii="黑体" w:hAnsi="黑体" w:eastAsia="黑体" w:cs="黑体"/>
          <w:b/>
          <w:bCs/>
          <w:spacing w:val="12"/>
          <w:sz w:val="21"/>
          <w:szCs w:val="21"/>
        </w:rPr>
        <w:t>4</w:t>
      </w:r>
      <w:r>
        <w:rPr>
          <w:rFonts w:ascii="黑体" w:hAnsi="黑体" w:eastAsia="黑体" w:cs="黑体"/>
          <w:spacing w:val="-60"/>
          <w:sz w:val="21"/>
          <w:szCs w:val="21"/>
        </w:rPr>
        <w:t xml:space="preserve"> </w:t>
      </w:r>
      <w:r>
        <w:rPr>
          <w:rFonts w:ascii="黑体" w:hAnsi="黑体" w:eastAsia="黑体" w:cs="黑体"/>
          <w:b/>
          <w:bCs/>
          <w:spacing w:val="12"/>
          <w:sz w:val="21"/>
          <w:szCs w:val="21"/>
        </w:rPr>
        <w:t>.</w:t>
      </w:r>
      <w:r>
        <w:rPr>
          <w:rFonts w:ascii="黑体" w:hAnsi="黑体" w:eastAsia="黑体" w:cs="黑体"/>
          <w:spacing w:val="-60"/>
          <w:sz w:val="21"/>
          <w:szCs w:val="21"/>
        </w:rPr>
        <w:t xml:space="preserve"> </w:t>
      </w:r>
      <w:r>
        <w:rPr>
          <w:rFonts w:ascii="黑体" w:hAnsi="黑体" w:eastAsia="黑体" w:cs="黑体"/>
          <w:b/>
          <w:bCs/>
          <w:spacing w:val="12"/>
          <w:sz w:val="21"/>
          <w:szCs w:val="21"/>
        </w:rPr>
        <w:t>11不利物质条件</w:t>
      </w:r>
    </w:p>
    <w:p w14:paraId="1F1C7501">
      <w:pPr>
        <w:spacing w:before="151" w:line="222" w:lineRule="auto"/>
        <w:ind w:left="439"/>
        <w:rPr>
          <w:rFonts w:ascii="黑体" w:hAnsi="黑体" w:eastAsia="黑体" w:cs="黑体"/>
          <w:sz w:val="20"/>
          <w:szCs w:val="20"/>
        </w:rPr>
      </w:pPr>
      <w:r>
        <w:rPr>
          <w:rFonts w:ascii="黑体" w:hAnsi="黑体" w:eastAsia="黑体" w:cs="黑体"/>
          <w:spacing w:val="3"/>
          <w:sz w:val="20"/>
          <w:szCs w:val="20"/>
        </w:rPr>
        <w:t xml:space="preserve">4.11.1不利物质条件的范围： </w:t>
      </w:r>
      <w:r>
        <w:rPr>
          <w:rFonts w:ascii="黑体" w:hAnsi="黑体" w:eastAsia="黑体" w:cs="黑体"/>
          <w:spacing w:val="3"/>
          <w:sz w:val="20"/>
          <w:szCs w:val="20"/>
          <w:u w:val="single" w:color="auto"/>
        </w:rPr>
        <w:t xml:space="preserve">             </w:t>
      </w:r>
      <w:r>
        <w:rPr>
          <w:rFonts w:ascii="黑体" w:hAnsi="黑体" w:eastAsia="黑体" w:cs="黑体"/>
          <w:spacing w:val="2"/>
          <w:sz w:val="20"/>
          <w:szCs w:val="20"/>
          <w:u w:val="single" w:color="auto"/>
        </w:rPr>
        <w:t xml:space="preserve">                                       </w:t>
      </w:r>
    </w:p>
    <w:p w14:paraId="7097CA06">
      <w:pPr>
        <w:tabs>
          <w:tab w:val="left" w:pos="8209"/>
        </w:tabs>
        <w:spacing w:before="258" w:line="142" w:lineRule="auto"/>
        <w:rPr>
          <w:rFonts w:ascii="Times New Roman" w:hAnsi="Times New Roman" w:eastAsia="Times New Roman" w:cs="Times New Roman"/>
          <w:sz w:val="8"/>
          <w:szCs w:val="8"/>
        </w:rPr>
      </w:pPr>
      <w:r>
        <w:rPr>
          <w:rFonts w:ascii="Times New Roman" w:hAnsi="Times New Roman" w:eastAsia="Times New Roman" w:cs="Times New Roman"/>
          <w:sz w:val="8"/>
          <w:szCs w:val="8"/>
          <w:u w:val="single" w:color="auto"/>
        </w:rPr>
        <w:tab/>
      </w:r>
      <w:r>
        <w:rPr>
          <w:rFonts w:ascii="Times New Roman" w:hAnsi="Times New Roman" w:eastAsia="Times New Roman" w:cs="Times New Roman"/>
          <w:sz w:val="8"/>
          <w:szCs w:val="8"/>
        </w:rPr>
        <w:t xml:space="preserve"> </w:t>
      </w:r>
      <w:r>
        <w:rPr>
          <w:rFonts w:ascii="Times New Roman" w:hAnsi="Times New Roman" w:eastAsia="Times New Roman" w:cs="Times New Roman"/>
          <w:sz w:val="8"/>
          <w:szCs w:val="8"/>
          <w:u w:val="dotted" w:color="auto"/>
        </w:rPr>
        <w:t xml:space="preserve">  </w:t>
      </w:r>
      <w:r>
        <w:rPr>
          <w:rFonts w:ascii="Times New Roman" w:hAnsi="Times New Roman" w:eastAsia="Times New Roman" w:cs="Times New Roman"/>
          <w:spacing w:val="-17"/>
          <w:sz w:val="8"/>
          <w:szCs w:val="8"/>
        </w:rPr>
        <w:t xml:space="preserve"> </w:t>
      </w:r>
      <w:r>
        <w:rPr>
          <w:rFonts w:ascii="Times New Roman" w:hAnsi="Times New Roman" w:eastAsia="Times New Roman" w:cs="Times New Roman"/>
          <w:sz w:val="8"/>
          <w:szCs w:val="8"/>
        </w:rPr>
        <w:t>o</w:t>
      </w:r>
    </w:p>
    <w:p w14:paraId="1CA91715">
      <w:pPr>
        <w:pStyle w:val="2"/>
        <w:spacing w:before="255" w:line="219" w:lineRule="auto"/>
        <w:ind w:left="4"/>
        <w:rPr>
          <w:sz w:val="28"/>
          <w:szCs w:val="28"/>
        </w:rPr>
      </w:pPr>
      <w:r>
        <w:rPr>
          <w:b/>
          <w:bCs/>
          <w:spacing w:val="-5"/>
          <w:sz w:val="28"/>
          <w:szCs w:val="28"/>
        </w:rPr>
        <w:t>5.材料和工程设备</w:t>
      </w:r>
    </w:p>
    <w:p w14:paraId="274F41E2">
      <w:pPr>
        <w:spacing w:before="137" w:line="222" w:lineRule="auto"/>
        <w:ind w:left="3"/>
        <w:rPr>
          <w:rFonts w:ascii="黑体" w:hAnsi="黑体" w:eastAsia="黑体" w:cs="黑体"/>
          <w:sz w:val="21"/>
          <w:szCs w:val="21"/>
        </w:rPr>
      </w:pPr>
      <w:r>
        <w:rPr>
          <w:rFonts w:ascii="黑体" w:hAnsi="黑体" w:eastAsia="黑体" w:cs="黑体"/>
          <w:b/>
          <w:bCs/>
          <w:spacing w:val="18"/>
          <w:sz w:val="21"/>
          <w:szCs w:val="21"/>
        </w:rPr>
        <w:t>5</w:t>
      </w:r>
      <w:r>
        <w:rPr>
          <w:rFonts w:ascii="黑体" w:hAnsi="黑体" w:eastAsia="黑体" w:cs="黑体"/>
          <w:spacing w:val="-51"/>
          <w:sz w:val="21"/>
          <w:szCs w:val="21"/>
        </w:rPr>
        <w:t xml:space="preserve"> </w:t>
      </w:r>
      <w:r>
        <w:rPr>
          <w:rFonts w:ascii="黑体" w:hAnsi="黑体" w:eastAsia="黑体" w:cs="黑体"/>
          <w:b/>
          <w:bCs/>
          <w:spacing w:val="18"/>
          <w:sz w:val="21"/>
          <w:szCs w:val="21"/>
        </w:rPr>
        <w:t>.</w:t>
      </w:r>
      <w:r>
        <w:rPr>
          <w:rFonts w:ascii="黑体" w:hAnsi="黑体" w:eastAsia="黑体" w:cs="黑体"/>
          <w:spacing w:val="-58"/>
          <w:sz w:val="21"/>
          <w:szCs w:val="21"/>
        </w:rPr>
        <w:t xml:space="preserve"> </w:t>
      </w:r>
      <w:r>
        <w:rPr>
          <w:rFonts w:ascii="黑体" w:hAnsi="黑体" w:eastAsia="黑体" w:cs="黑体"/>
          <w:b/>
          <w:bCs/>
          <w:spacing w:val="18"/>
          <w:sz w:val="21"/>
          <w:szCs w:val="21"/>
        </w:rPr>
        <w:t>1承包人提供的材料和工程设备</w:t>
      </w:r>
    </w:p>
    <w:p w14:paraId="1DA44988">
      <w:pPr>
        <w:pStyle w:val="2"/>
        <w:spacing w:before="172" w:line="361" w:lineRule="auto"/>
        <w:ind w:right="47" w:firstLine="439"/>
        <w:jc w:val="both"/>
        <w:rPr>
          <w:sz w:val="21"/>
          <w:szCs w:val="21"/>
        </w:rPr>
      </w:pPr>
      <w:r>
        <w:rPr>
          <w:spacing w:val="2"/>
          <w:sz w:val="21"/>
          <w:szCs w:val="21"/>
        </w:rPr>
        <w:t>5.1.1除专用合同条款第5.2款约定由发包人提供的材料和工程设备外，由承包人提供的材料</w:t>
      </w:r>
      <w:r>
        <w:rPr>
          <w:spacing w:val="18"/>
          <w:sz w:val="21"/>
          <w:szCs w:val="21"/>
        </w:rPr>
        <w:t xml:space="preserve"> </w:t>
      </w:r>
      <w:r>
        <w:rPr>
          <w:spacing w:val="2"/>
          <w:sz w:val="21"/>
          <w:szCs w:val="21"/>
        </w:rPr>
        <w:t>和工程设备均由承包人负责采购、运输和保管。但是，发包人在工程量清单中</w:t>
      </w:r>
      <w:r>
        <w:rPr>
          <w:spacing w:val="1"/>
          <w:sz w:val="21"/>
          <w:szCs w:val="21"/>
        </w:rPr>
        <w:t>给定暂估价的材料</w:t>
      </w:r>
      <w:r>
        <w:rPr>
          <w:sz w:val="21"/>
          <w:szCs w:val="21"/>
        </w:rPr>
        <w:t xml:space="preserve"> </w:t>
      </w:r>
      <w:r>
        <w:rPr>
          <w:spacing w:val="2"/>
          <w:sz w:val="21"/>
          <w:szCs w:val="21"/>
        </w:rPr>
        <w:t>和工程设备，包括从暂列金额开支的材料和工程设备，其中属于依法必须招标的范围并达到</w:t>
      </w:r>
      <w:r>
        <w:rPr>
          <w:spacing w:val="1"/>
          <w:sz w:val="21"/>
          <w:szCs w:val="21"/>
        </w:rPr>
        <w:t>规定</w:t>
      </w:r>
      <w:r>
        <w:rPr>
          <w:sz w:val="21"/>
          <w:szCs w:val="21"/>
        </w:rPr>
        <w:t xml:space="preserve"> </w:t>
      </w:r>
      <w:r>
        <w:rPr>
          <w:spacing w:val="2"/>
          <w:sz w:val="21"/>
          <w:szCs w:val="21"/>
        </w:rPr>
        <w:t>的规模标准的，以及虽不属于依法必须招标的范围但合同中约定采用招标方式采购的，</w:t>
      </w:r>
      <w:r>
        <w:rPr>
          <w:spacing w:val="1"/>
          <w:sz w:val="21"/>
          <w:szCs w:val="21"/>
        </w:rPr>
        <w:t>应当按专</w:t>
      </w:r>
    </w:p>
    <w:p w14:paraId="13A8762B">
      <w:pPr>
        <w:spacing w:line="361" w:lineRule="auto"/>
        <w:rPr>
          <w:sz w:val="21"/>
          <w:szCs w:val="21"/>
        </w:rPr>
        <w:sectPr>
          <w:footerReference r:id="rId156" w:type="default"/>
          <w:pgSz w:w="11910" w:h="16840"/>
          <w:pgMar w:top="400" w:right="1465" w:bottom="1024" w:left="1450" w:header="0" w:footer="889" w:gutter="0"/>
          <w:cols w:space="720" w:num="1"/>
        </w:sectPr>
      </w:pPr>
    </w:p>
    <w:p w14:paraId="248F19A8">
      <w:pPr>
        <w:spacing w:line="282" w:lineRule="auto"/>
        <w:rPr>
          <w:rFonts w:ascii="Arial"/>
          <w:sz w:val="21"/>
        </w:rPr>
      </w:pPr>
    </w:p>
    <w:p w14:paraId="70907B28">
      <w:pPr>
        <w:spacing w:line="282" w:lineRule="auto"/>
        <w:rPr>
          <w:rFonts w:ascii="Arial"/>
          <w:sz w:val="21"/>
        </w:rPr>
      </w:pPr>
    </w:p>
    <w:p w14:paraId="2AC47505">
      <w:pPr>
        <w:spacing w:line="283" w:lineRule="auto"/>
        <w:rPr>
          <w:rFonts w:ascii="Arial"/>
          <w:sz w:val="21"/>
        </w:rPr>
      </w:pPr>
    </w:p>
    <w:p w14:paraId="0DCA024D">
      <w:pPr>
        <w:spacing w:line="283" w:lineRule="auto"/>
        <w:rPr>
          <w:rFonts w:ascii="Arial"/>
          <w:sz w:val="21"/>
        </w:rPr>
      </w:pPr>
    </w:p>
    <w:p w14:paraId="346B058E">
      <w:pPr>
        <w:spacing w:line="283" w:lineRule="auto"/>
        <w:rPr>
          <w:rFonts w:ascii="Arial"/>
          <w:sz w:val="21"/>
        </w:rPr>
      </w:pPr>
    </w:p>
    <w:p w14:paraId="14B066B3">
      <w:pPr>
        <w:pStyle w:val="2"/>
        <w:spacing w:before="65" w:line="371" w:lineRule="auto"/>
        <w:ind w:right="60"/>
        <w:rPr>
          <w:sz w:val="20"/>
          <w:szCs w:val="20"/>
        </w:rPr>
      </w:pPr>
      <w:r>
        <w:rPr>
          <w:spacing w:val="11"/>
          <w:sz w:val="20"/>
          <w:szCs w:val="20"/>
        </w:rPr>
        <w:t xml:space="preserve">用合同条款第15.8.1项的约定，由发包人和承包人以招标方式确定专项供应商。承包人负责提供 </w:t>
      </w:r>
      <w:r>
        <w:rPr>
          <w:spacing w:val="7"/>
          <w:sz w:val="20"/>
          <w:szCs w:val="20"/>
        </w:rPr>
        <w:t>的主要材料和工程设备清单见第五章“工程量清单”的“承包人提供的材料和工程设备一览表”。</w:t>
      </w:r>
    </w:p>
    <w:p w14:paraId="591CA9CC">
      <w:pPr>
        <w:spacing w:before="15" w:line="221" w:lineRule="auto"/>
        <w:ind w:left="409"/>
        <w:rPr>
          <w:rFonts w:ascii="黑体" w:hAnsi="黑体" w:eastAsia="黑体" w:cs="黑体"/>
          <w:sz w:val="20"/>
          <w:szCs w:val="20"/>
        </w:rPr>
      </w:pPr>
      <w:r>
        <w:rPr>
          <w:rFonts w:ascii="黑体" w:hAnsi="黑体" w:eastAsia="黑体" w:cs="黑体"/>
          <w:spacing w:val="9"/>
          <w:sz w:val="20"/>
          <w:szCs w:val="20"/>
        </w:rPr>
        <w:t>5.1.2承包人将由其提供的材料和工程设备的供货人及品种、规格、数量和供货时间等报送监</w:t>
      </w:r>
    </w:p>
    <w:p w14:paraId="2EFDB562">
      <w:pPr>
        <w:pStyle w:val="2"/>
        <w:spacing w:before="173" w:line="220" w:lineRule="auto"/>
        <w:rPr>
          <w:rFonts w:ascii="Times New Roman" w:hAnsi="Times New Roman" w:eastAsia="Times New Roman" w:cs="Times New Roman"/>
          <w:sz w:val="20"/>
          <w:szCs w:val="20"/>
        </w:rPr>
      </w:pPr>
      <w:r>
        <w:rPr>
          <w:spacing w:val="6"/>
          <w:sz w:val="20"/>
          <w:szCs w:val="20"/>
        </w:rPr>
        <w:t>理人审批的期限：</w:t>
      </w:r>
      <w:r>
        <w:rPr>
          <w:spacing w:val="-76"/>
          <w:sz w:val="20"/>
          <w:szCs w:val="20"/>
        </w:rPr>
        <w:t xml:space="preserve"> </w:t>
      </w:r>
      <w:r>
        <w:rPr>
          <w:spacing w:val="2"/>
          <w:sz w:val="20"/>
          <w:szCs w:val="20"/>
          <w:u w:val="single" w:color="auto"/>
        </w:rPr>
        <w:t xml:space="preserve">                               </w:t>
      </w:r>
      <w:r>
        <w:rPr>
          <w:spacing w:val="1"/>
          <w:sz w:val="20"/>
          <w:szCs w:val="20"/>
          <w:u w:val="single" w:color="auto"/>
        </w:rPr>
        <w:t xml:space="preserve">                           </w:t>
      </w:r>
      <w:r>
        <w:rPr>
          <w:spacing w:val="-78"/>
          <w:sz w:val="20"/>
          <w:szCs w:val="20"/>
        </w:rPr>
        <w:t xml:space="preserve"> </w:t>
      </w:r>
      <w:r>
        <w:rPr>
          <w:rFonts w:ascii="Times New Roman" w:hAnsi="Times New Roman" w:eastAsia="Times New Roman" w:cs="Times New Roman"/>
          <w:spacing w:val="6"/>
          <w:sz w:val="20"/>
          <w:szCs w:val="20"/>
        </w:rPr>
        <w:t>0</w:t>
      </w:r>
    </w:p>
    <w:p w14:paraId="213ED6E8">
      <w:pPr>
        <w:spacing w:before="126" w:line="221" w:lineRule="auto"/>
        <w:ind w:left="3"/>
        <w:rPr>
          <w:rFonts w:ascii="黑体" w:hAnsi="黑体" w:eastAsia="黑体" w:cs="黑体"/>
          <w:sz w:val="24"/>
          <w:szCs w:val="24"/>
        </w:rPr>
      </w:pPr>
      <w:r>
        <w:rPr>
          <w:rFonts w:ascii="黑体" w:hAnsi="黑体" w:eastAsia="黑体" w:cs="黑体"/>
          <w:b/>
          <w:bCs/>
          <w:spacing w:val="-3"/>
          <w:sz w:val="24"/>
          <w:szCs w:val="24"/>
        </w:rPr>
        <w:t>5.2发包人提供的材料和工程设备</w:t>
      </w:r>
    </w:p>
    <w:p w14:paraId="3E57CA4A">
      <w:pPr>
        <w:pStyle w:val="2"/>
        <w:spacing w:before="205" w:line="294" w:lineRule="auto"/>
        <w:ind w:right="53" w:firstLine="409"/>
        <w:rPr>
          <w:sz w:val="20"/>
          <w:szCs w:val="20"/>
        </w:rPr>
      </w:pPr>
      <w:r>
        <w:rPr>
          <w:rFonts w:ascii="黑体" w:hAnsi="黑体" w:eastAsia="黑体" w:cs="黑体"/>
          <w:spacing w:val="9"/>
          <w:sz w:val="20"/>
          <w:szCs w:val="20"/>
        </w:rPr>
        <w:t>5.2.1发包人负责提供的材料和工程设备的名称、规格、数量、价格、交货方式、交货地点和</w:t>
      </w:r>
      <w:r>
        <w:rPr>
          <w:rFonts w:ascii="黑体" w:hAnsi="黑体" w:eastAsia="黑体" w:cs="黑体"/>
          <w:spacing w:val="18"/>
          <w:sz w:val="20"/>
          <w:szCs w:val="20"/>
        </w:rPr>
        <w:t xml:space="preserve"> </w:t>
      </w:r>
      <w:r>
        <w:rPr>
          <w:spacing w:val="7"/>
          <w:sz w:val="20"/>
          <w:szCs w:val="20"/>
        </w:rPr>
        <w:t>计划交货日期等见第五章“工程量清单”的“发</w:t>
      </w:r>
      <w:r>
        <w:rPr>
          <w:spacing w:val="6"/>
          <w:sz w:val="20"/>
          <w:szCs w:val="20"/>
        </w:rPr>
        <w:t>包人提供的材料和工程设备一览表”。</w:t>
      </w:r>
    </w:p>
    <w:p w14:paraId="2BEEDD29">
      <w:pPr>
        <w:spacing w:before="174" w:line="213" w:lineRule="auto"/>
        <w:ind w:left="409"/>
        <w:rPr>
          <w:rFonts w:ascii="黑体" w:hAnsi="黑体" w:eastAsia="黑体" w:cs="黑体"/>
          <w:sz w:val="20"/>
          <w:szCs w:val="20"/>
        </w:rPr>
      </w:pPr>
      <w:r>
        <w:rPr>
          <w:rFonts w:ascii="黑体" w:hAnsi="黑体" w:eastAsia="黑体" w:cs="黑体"/>
          <w:spacing w:val="11"/>
          <w:sz w:val="20"/>
          <w:szCs w:val="20"/>
        </w:rPr>
        <w:t>5.2.3由发包人提供的材料和工程设备验收后，由承包人负</w:t>
      </w:r>
      <w:r>
        <w:rPr>
          <w:rFonts w:ascii="黑体" w:hAnsi="黑体" w:eastAsia="黑体" w:cs="黑体"/>
          <w:spacing w:val="10"/>
          <w:sz w:val="20"/>
          <w:szCs w:val="20"/>
        </w:rPr>
        <w:t>责接收、运输和保管。</w:t>
      </w:r>
    </w:p>
    <w:p w14:paraId="4ADB9428">
      <w:pPr>
        <w:pStyle w:val="2"/>
        <w:spacing w:before="197" w:line="222" w:lineRule="auto"/>
        <w:ind w:left="4"/>
        <w:rPr>
          <w:rFonts w:ascii="黑体" w:hAnsi="黑体" w:eastAsia="黑体" w:cs="黑体"/>
          <w:sz w:val="28"/>
          <w:szCs w:val="28"/>
        </w:rPr>
      </w:pPr>
      <w:r>
        <w:rPr>
          <w:b/>
          <w:bCs/>
          <w:spacing w:val="-8"/>
          <w:sz w:val="28"/>
          <w:szCs w:val="28"/>
        </w:rPr>
        <w:t>6.</w:t>
      </w:r>
      <w:r>
        <w:rPr>
          <w:rFonts w:ascii="黑体" w:hAnsi="黑体" w:eastAsia="黑体" w:cs="黑体"/>
          <w:b/>
          <w:bCs/>
          <w:spacing w:val="-8"/>
          <w:sz w:val="28"/>
          <w:szCs w:val="28"/>
        </w:rPr>
        <w:t>施工设备和临时设施</w:t>
      </w:r>
    </w:p>
    <w:p w14:paraId="3C445D3E">
      <w:pPr>
        <w:spacing w:before="82" w:line="222" w:lineRule="auto"/>
        <w:ind w:left="3"/>
        <w:rPr>
          <w:rFonts w:ascii="黑体" w:hAnsi="黑体" w:eastAsia="黑体" w:cs="黑体"/>
          <w:sz w:val="24"/>
          <w:szCs w:val="24"/>
        </w:rPr>
      </w:pPr>
      <w:r>
        <w:rPr>
          <w:rFonts w:ascii="黑体" w:hAnsi="黑体" w:eastAsia="黑体" w:cs="黑体"/>
          <w:b/>
          <w:bCs/>
          <w:spacing w:val="-3"/>
          <w:sz w:val="24"/>
          <w:szCs w:val="24"/>
        </w:rPr>
        <w:t>6.1承包人提供的施工设备和临时设施</w:t>
      </w:r>
    </w:p>
    <w:p w14:paraId="4CBF1C13">
      <w:pPr>
        <w:pStyle w:val="2"/>
        <w:spacing w:before="283" w:line="272" w:lineRule="auto"/>
        <w:ind w:left="409" w:right="525"/>
        <w:rPr>
          <w:sz w:val="20"/>
          <w:szCs w:val="20"/>
        </w:rPr>
      </w:pPr>
      <w:r>
        <w:rPr>
          <w:rFonts w:ascii="黑体" w:hAnsi="黑体" w:eastAsia="黑体" w:cs="黑体"/>
          <w:spacing w:val="4"/>
          <w:sz w:val="20"/>
          <w:szCs w:val="20"/>
        </w:rPr>
        <w:t>6.1.2发包人承担修建临时设施的费用的范</w:t>
      </w:r>
      <w:r>
        <w:rPr>
          <w:rFonts w:ascii="黑体" w:hAnsi="黑体" w:eastAsia="黑体" w:cs="黑体"/>
          <w:spacing w:val="3"/>
          <w:sz w:val="20"/>
          <w:szCs w:val="20"/>
        </w:rPr>
        <w:t>围：</w:t>
      </w:r>
      <w:r>
        <w:rPr>
          <w:rFonts w:ascii="黑体" w:hAnsi="黑体" w:eastAsia="黑体" w:cs="黑体"/>
          <w:spacing w:val="50"/>
          <w:sz w:val="20"/>
          <w:szCs w:val="20"/>
        </w:rPr>
        <w:t xml:space="preserve"> </w:t>
      </w:r>
      <w:r>
        <w:rPr>
          <w:rFonts w:ascii="黑体" w:hAnsi="黑体" w:eastAsia="黑体" w:cs="黑体"/>
          <w:spacing w:val="2"/>
          <w:sz w:val="20"/>
          <w:szCs w:val="20"/>
          <w:u w:val="single" w:color="auto"/>
        </w:rPr>
        <w:t xml:space="preserve">                                   </w:t>
      </w:r>
      <w:r>
        <w:rPr>
          <w:rFonts w:ascii="黑体" w:hAnsi="黑体" w:eastAsia="黑体" w:cs="黑体"/>
          <w:spacing w:val="-80"/>
          <w:sz w:val="20"/>
          <w:szCs w:val="20"/>
        </w:rPr>
        <w:t xml:space="preserve"> </w:t>
      </w:r>
      <w:r>
        <w:rPr>
          <w:rFonts w:ascii="Times New Roman" w:hAnsi="Times New Roman" w:eastAsia="Times New Roman" w:cs="Times New Roman"/>
          <w:spacing w:val="3"/>
          <w:sz w:val="20"/>
          <w:szCs w:val="20"/>
        </w:rPr>
        <w:t>0</w:t>
      </w:r>
      <w:r>
        <w:rPr>
          <w:rFonts w:ascii="Times New Roman" w:hAnsi="Times New Roman" w:eastAsia="Times New Roman" w:cs="Times New Roman"/>
          <w:sz w:val="20"/>
          <w:szCs w:val="20"/>
        </w:rPr>
        <w:t xml:space="preserve"> </w:t>
      </w:r>
      <w:r>
        <w:rPr>
          <w:spacing w:val="4"/>
          <w:sz w:val="20"/>
          <w:szCs w:val="20"/>
        </w:rPr>
        <w:t>需要发包人办理申请手续和承担相关费用的临时占地：</w:t>
      </w:r>
      <w:r>
        <w:rPr>
          <w:spacing w:val="52"/>
          <w:sz w:val="20"/>
          <w:szCs w:val="20"/>
        </w:rPr>
        <w:t xml:space="preserve"> </w:t>
      </w:r>
      <w:r>
        <w:rPr>
          <w:sz w:val="20"/>
          <w:szCs w:val="20"/>
          <w:u w:val="single" w:color="auto"/>
        </w:rPr>
        <w:t xml:space="preserve">                              </w:t>
      </w:r>
    </w:p>
    <w:p w14:paraId="04A6F7D6">
      <w:pPr>
        <w:spacing w:line="263" w:lineRule="auto"/>
        <w:rPr>
          <w:rFonts w:ascii="Arial"/>
          <w:sz w:val="21"/>
        </w:rPr>
      </w:pPr>
    </w:p>
    <w:p w14:paraId="11C2DCF7">
      <w:pPr>
        <w:tabs>
          <w:tab w:val="left" w:pos="8209"/>
        </w:tabs>
        <w:spacing w:before="18" w:line="188" w:lineRule="auto"/>
        <w:rPr>
          <w:rFonts w:ascii="Times New Roman" w:hAnsi="Times New Roman" w:eastAsia="Times New Roman" w:cs="Times New Roman"/>
          <w:sz w:val="6"/>
          <w:szCs w:val="6"/>
        </w:rPr>
      </w:pPr>
      <w:r>
        <w:rPr>
          <w:rFonts w:ascii="Times New Roman" w:hAnsi="Times New Roman" w:eastAsia="Times New Roman" w:cs="Times New Roman"/>
          <w:sz w:val="6"/>
          <w:szCs w:val="6"/>
          <w:u w:val="single" w:color="auto"/>
        </w:rPr>
        <w:tab/>
      </w:r>
      <w:r>
        <w:rPr>
          <w:rFonts w:ascii="Times New Roman" w:hAnsi="Times New Roman" w:eastAsia="Times New Roman" w:cs="Times New Roman"/>
          <w:spacing w:val="5"/>
          <w:w w:val="106"/>
          <w:sz w:val="6"/>
          <w:szCs w:val="6"/>
        </w:rPr>
        <w:t xml:space="preserve"> </w:t>
      </w:r>
      <w:r>
        <w:rPr>
          <w:rFonts w:ascii="Times New Roman" w:hAnsi="Times New Roman" w:eastAsia="Times New Roman" w:cs="Times New Roman"/>
          <w:sz w:val="6"/>
          <w:szCs w:val="6"/>
        </w:rPr>
        <w:t>0</w:t>
      </w:r>
    </w:p>
    <w:p w14:paraId="00C6146D">
      <w:pPr>
        <w:spacing w:before="162" w:line="221" w:lineRule="auto"/>
        <w:ind w:left="3"/>
        <w:rPr>
          <w:rFonts w:ascii="黑体" w:hAnsi="黑体" w:eastAsia="黑体" w:cs="黑体"/>
          <w:sz w:val="24"/>
          <w:szCs w:val="24"/>
        </w:rPr>
      </w:pPr>
      <w:r>
        <w:rPr>
          <w:rFonts w:ascii="黑体" w:hAnsi="黑体" w:eastAsia="黑体" w:cs="黑体"/>
          <w:b/>
          <w:bCs/>
          <w:spacing w:val="-3"/>
          <w:sz w:val="24"/>
          <w:szCs w:val="24"/>
        </w:rPr>
        <w:t>6.2发包人提供的施工设备和临时设施</w:t>
      </w:r>
    </w:p>
    <w:p w14:paraId="6A11756A">
      <w:pPr>
        <w:pStyle w:val="2"/>
        <w:spacing w:before="216" w:line="219" w:lineRule="auto"/>
        <w:ind w:left="409"/>
        <w:rPr>
          <w:sz w:val="20"/>
          <w:szCs w:val="20"/>
        </w:rPr>
      </w:pPr>
      <w:r>
        <w:rPr>
          <w:spacing w:val="2"/>
          <w:sz w:val="20"/>
          <w:szCs w:val="20"/>
        </w:rPr>
        <w:t>发包人提供的施工设备和临时设施：</w:t>
      </w:r>
      <w:r>
        <w:rPr>
          <w:spacing w:val="-73"/>
          <w:sz w:val="20"/>
          <w:szCs w:val="20"/>
        </w:rPr>
        <w:t xml:space="preserve"> </w:t>
      </w:r>
      <w:r>
        <w:rPr>
          <w:sz w:val="20"/>
          <w:szCs w:val="20"/>
          <w:u w:val="single" w:color="auto"/>
        </w:rPr>
        <w:t xml:space="preserve">                                               </w:t>
      </w:r>
    </w:p>
    <w:p w14:paraId="31545108">
      <w:pPr>
        <w:pStyle w:val="2"/>
        <w:spacing w:before="192" w:line="219" w:lineRule="auto"/>
        <w:ind w:left="409"/>
        <w:rPr>
          <w:sz w:val="20"/>
          <w:szCs w:val="20"/>
        </w:rPr>
      </w:pPr>
      <w:r>
        <w:rPr>
          <w:spacing w:val="7"/>
          <w:sz w:val="20"/>
          <w:szCs w:val="20"/>
        </w:rPr>
        <w:t>发包人提供的施工设备和临时设施的运行、维护、拆除、清运费用</w:t>
      </w:r>
      <w:r>
        <w:rPr>
          <w:spacing w:val="6"/>
          <w:sz w:val="20"/>
          <w:szCs w:val="20"/>
        </w:rPr>
        <w:t xml:space="preserve">的承担人： </w:t>
      </w:r>
      <w:r>
        <w:rPr>
          <w:sz w:val="20"/>
          <w:szCs w:val="20"/>
          <w:u w:val="single" w:color="auto"/>
        </w:rPr>
        <w:t xml:space="preserve">        </w:t>
      </w:r>
    </w:p>
    <w:p w14:paraId="26E1B63D">
      <w:pPr>
        <w:spacing w:before="91" w:line="222" w:lineRule="auto"/>
        <w:ind w:left="3"/>
        <w:rPr>
          <w:rFonts w:ascii="黑体" w:hAnsi="黑体" w:eastAsia="黑体" w:cs="黑体"/>
          <w:sz w:val="24"/>
          <w:szCs w:val="24"/>
        </w:rPr>
      </w:pPr>
      <w:r>
        <w:rPr>
          <w:rFonts w:ascii="黑体" w:hAnsi="黑体" w:eastAsia="黑体" w:cs="黑体"/>
          <w:b/>
          <w:bCs/>
          <w:spacing w:val="-3"/>
          <w:sz w:val="24"/>
          <w:szCs w:val="24"/>
        </w:rPr>
        <w:t>6.4施工设备和临时设施专用于合同工程</w:t>
      </w:r>
    </w:p>
    <w:p w14:paraId="1B965FB2">
      <w:pPr>
        <w:pStyle w:val="2"/>
        <w:spacing w:before="184" w:line="360" w:lineRule="auto"/>
        <w:ind w:firstLine="409"/>
        <w:rPr>
          <w:sz w:val="20"/>
          <w:szCs w:val="20"/>
        </w:rPr>
      </w:pPr>
      <w:r>
        <w:rPr>
          <w:rFonts w:ascii="黑体" w:hAnsi="黑体" w:eastAsia="黑体" w:cs="黑体"/>
          <w:spacing w:val="13"/>
          <w:sz w:val="20"/>
          <w:szCs w:val="20"/>
        </w:rPr>
        <w:t>6.4.1除为专用合同条款第4.1.8</w:t>
      </w:r>
      <w:r>
        <w:rPr>
          <w:rFonts w:ascii="黑体" w:hAnsi="黑体" w:eastAsia="黑体" w:cs="黑体"/>
          <w:spacing w:val="12"/>
          <w:sz w:val="20"/>
          <w:szCs w:val="20"/>
        </w:rPr>
        <w:t>项约定的其他独立承包人和监理人指示的他人提供条件外，</w:t>
      </w:r>
      <w:r>
        <w:rPr>
          <w:rFonts w:ascii="黑体" w:hAnsi="黑体" w:eastAsia="黑体" w:cs="黑体"/>
          <w:sz w:val="20"/>
          <w:szCs w:val="20"/>
        </w:rPr>
        <w:t xml:space="preserve"> </w:t>
      </w:r>
      <w:r>
        <w:rPr>
          <w:spacing w:val="9"/>
          <w:sz w:val="20"/>
          <w:szCs w:val="20"/>
        </w:rPr>
        <w:t>承包人运入施工场地的所有施工设备以及在施工场地建设的临时设施仅限于用于合同工程。</w:t>
      </w:r>
    </w:p>
    <w:p w14:paraId="385E23E4">
      <w:pPr>
        <w:pStyle w:val="2"/>
        <w:spacing w:before="38" w:line="222" w:lineRule="auto"/>
        <w:ind w:left="4"/>
        <w:rPr>
          <w:rFonts w:ascii="黑体" w:hAnsi="黑体" w:eastAsia="黑体" w:cs="黑体"/>
          <w:sz w:val="28"/>
          <w:szCs w:val="28"/>
        </w:rPr>
      </w:pPr>
      <w:r>
        <w:rPr>
          <w:b/>
          <w:bCs/>
          <w:spacing w:val="-9"/>
          <w:sz w:val="28"/>
          <w:szCs w:val="28"/>
        </w:rPr>
        <w:t>7.</w:t>
      </w:r>
      <w:r>
        <w:rPr>
          <w:rFonts w:ascii="黑体" w:hAnsi="黑体" w:eastAsia="黑体" w:cs="黑体"/>
          <w:b/>
          <w:bCs/>
          <w:spacing w:val="-9"/>
          <w:sz w:val="28"/>
          <w:szCs w:val="28"/>
        </w:rPr>
        <w:t>交通运输</w:t>
      </w:r>
    </w:p>
    <w:p w14:paraId="25026D3C">
      <w:pPr>
        <w:spacing w:before="113" w:line="222" w:lineRule="auto"/>
        <w:ind w:left="3"/>
        <w:rPr>
          <w:rFonts w:ascii="黑体" w:hAnsi="黑体" w:eastAsia="黑体" w:cs="黑体"/>
          <w:sz w:val="24"/>
          <w:szCs w:val="24"/>
        </w:rPr>
      </w:pPr>
      <w:r>
        <w:rPr>
          <w:rFonts w:ascii="黑体" w:hAnsi="黑体" w:eastAsia="黑体" w:cs="黑体"/>
          <w:b/>
          <w:bCs/>
          <w:spacing w:val="-4"/>
          <w:sz w:val="24"/>
          <w:szCs w:val="24"/>
        </w:rPr>
        <w:t>7.1道路通行权和场外设施</w:t>
      </w:r>
    </w:p>
    <w:p w14:paraId="7B286521">
      <w:pPr>
        <w:pStyle w:val="2"/>
        <w:spacing w:before="170" w:line="348" w:lineRule="auto"/>
        <w:ind w:right="61" w:firstLine="409"/>
        <w:rPr>
          <w:sz w:val="20"/>
          <w:szCs w:val="20"/>
        </w:rPr>
      </w:pPr>
      <w:r>
        <w:rPr>
          <w:spacing w:val="8"/>
          <w:sz w:val="20"/>
          <w:szCs w:val="20"/>
        </w:rPr>
        <w:t>取得道路通行权、场外设施修建权的办理人：</w:t>
      </w:r>
      <w:r>
        <w:rPr>
          <w:spacing w:val="-93"/>
          <w:sz w:val="20"/>
          <w:szCs w:val="20"/>
        </w:rPr>
        <w:t xml:space="preserve"> </w:t>
      </w:r>
      <w:r>
        <w:rPr>
          <w:spacing w:val="1"/>
          <w:sz w:val="20"/>
          <w:szCs w:val="20"/>
          <w:u w:val="single" w:color="auto"/>
        </w:rPr>
        <w:t xml:space="preserve">                       </w:t>
      </w:r>
      <w:r>
        <w:rPr>
          <w:spacing w:val="-73"/>
          <w:sz w:val="20"/>
          <w:szCs w:val="20"/>
        </w:rPr>
        <w:t xml:space="preserve"> </w:t>
      </w:r>
      <w:r>
        <w:rPr>
          <w:spacing w:val="8"/>
          <w:sz w:val="20"/>
          <w:szCs w:val="20"/>
        </w:rPr>
        <w:t>,其相关费用由发包人</w:t>
      </w:r>
      <w:r>
        <w:rPr>
          <w:sz w:val="20"/>
          <w:szCs w:val="20"/>
        </w:rPr>
        <w:t xml:space="preserve"> </w:t>
      </w:r>
      <w:r>
        <w:rPr>
          <w:spacing w:val="3"/>
          <w:sz w:val="20"/>
          <w:szCs w:val="20"/>
        </w:rPr>
        <w:t>承担。</w:t>
      </w:r>
    </w:p>
    <w:p w14:paraId="3A237124">
      <w:pPr>
        <w:spacing w:before="1" w:line="223" w:lineRule="auto"/>
        <w:ind w:left="3"/>
        <w:rPr>
          <w:rFonts w:ascii="黑体" w:hAnsi="黑体" w:eastAsia="黑体" w:cs="黑体"/>
          <w:sz w:val="24"/>
          <w:szCs w:val="24"/>
        </w:rPr>
      </w:pPr>
      <w:r>
        <w:rPr>
          <w:rFonts w:ascii="黑体" w:hAnsi="黑体" w:eastAsia="黑体" w:cs="黑体"/>
          <w:b/>
          <w:bCs/>
          <w:spacing w:val="-4"/>
          <w:sz w:val="24"/>
          <w:szCs w:val="24"/>
        </w:rPr>
        <w:t>7.2场内施工道路</w:t>
      </w:r>
    </w:p>
    <w:p w14:paraId="526BD19D">
      <w:pPr>
        <w:pStyle w:val="2"/>
        <w:spacing w:before="196" w:line="305" w:lineRule="auto"/>
        <w:ind w:right="60" w:firstLine="409"/>
        <w:rPr>
          <w:sz w:val="20"/>
          <w:szCs w:val="20"/>
        </w:rPr>
      </w:pPr>
      <w:r>
        <w:rPr>
          <w:rFonts w:ascii="黑体" w:hAnsi="黑体" w:eastAsia="黑体" w:cs="黑体"/>
          <w:spacing w:val="7"/>
          <w:sz w:val="20"/>
          <w:szCs w:val="20"/>
        </w:rPr>
        <w:t xml:space="preserve">7.2.1施工所需的场内临时道路和交通设施的修建、维护、养护和管理人： </w:t>
      </w:r>
      <w:r>
        <w:rPr>
          <w:rFonts w:ascii="黑体" w:hAnsi="黑体" w:eastAsia="黑体" w:cs="黑体"/>
          <w:spacing w:val="7"/>
          <w:sz w:val="20"/>
          <w:szCs w:val="20"/>
          <w:u w:val="single" w:color="auto"/>
        </w:rPr>
        <w:t xml:space="preserve">         </w:t>
      </w:r>
      <w:r>
        <w:rPr>
          <w:spacing w:val="7"/>
          <w:sz w:val="20"/>
          <w:szCs w:val="20"/>
        </w:rPr>
        <w:t>,</w:t>
      </w:r>
      <w:r>
        <w:rPr>
          <w:spacing w:val="-19"/>
          <w:sz w:val="20"/>
          <w:szCs w:val="20"/>
        </w:rPr>
        <w:t xml:space="preserve"> </w:t>
      </w:r>
      <w:r>
        <w:rPr>
          <w:spacing w:val="7"/>
          <w:sz w:val="20"/>
          <w:szCs w:val="20"/>
        </w:rPr>
        <w:t>相</w:t>
      </w:r>
      <w:r>
        <w:rPr>
          <w:spacing w:val="-19"/>
          <w:sz w:val="20"/>
          <w:szCs w:val="20"/>
        </w:rPr>
        <w:t xml:space="preserve"> </w:t>
      </w:r>
      <w:r>
        <w:rPr>
          <w:spacing w:val="7"/>
          <w:sz w:val="20"/>
          <w:szCs w:val="20"/>
        </w:rPr>
        <w:t>关</w:t>
      </w:r>
      <w:r>
        <w:rPr>
          <w:sz w:val="20"/>
          <w:szCs w:val="20"/>
        </w:rPr>
        <w:t xml:space="preserve"> </w:t>
      </w:r>
      <w:r>
        <w:rPr>
          <w:spacing w:val="-15"/>
          <w:sz w:val="20"/>
          <w:szCs w:val="20"/>
        </w:rPr>
        <w:t>费用由</w:t>
      </w:r>
      <w:r>
        <w:rPr>
          <w:spacing w:val="-88"/>
          <w:sz w:val="20"/>
          <w:szCs w:val="20"/>
        </w:rPr>
        <w:t xml:space="preserve"> </w:t>
      </w:r>
      <w:r>
        <w:rPr>
          <w:spacing w:val="6"/>
          <w:sz w:val="20"/>
          <w:szCs w:val="20"/>
          <w:u w:val="single" w:color="auto"/>
        </w:rPr>
        <w:t xml:space="preserve">               </w:t>
      </w:r>
      <w:r>
        <w:rPr>
          <w:spacing w:val="-100"/>
          <w:sz w:val="20"/>
          <w:szCs w:val="20"/>
        </w:rPr>
        <w:t xml:space="preserve"> </w:t>
      </w:r>
      <w:r>
        <w:rPr>
          <w:spacing w:val="-15"/>
          <w:sz w:val="20"/>
          <w:szCs w:val="20"/>
        </w:rPr>
        <w:t>承担。</w:t>
      </w:r>
    </w:p>
    <w:p w14:paraId="4BE189B5">
      <w:pPr>
        <w:pStyle w:val="2"/>
        <w:spacing w:before="212" w:line="305" w:lineRule="auto"/>
        <w:ind w:right="58" w:firstLine="409"/>
        <w:rPr>
          <w:sz w:val="20"/>
          <w:szCs w:val="20"/>
        </w:rPr>
      </w:pPr>
      <w:r>
        <w:rPr>
          <w:spacing w:val="11"/>
          <w:sz w:val="20"/>
          <w:szCs w:val="20"/>
        </w:rPr>
        <w:t>7.2.2</w:t>
      </w:r>
      <w:r>
        <w:rPr>
          <w:spacing w:val="43"/>
          <w:sz w:val="20"/>
          <w:szCs w:val="20"/>
        </w:rPr>
        <w:t xml:space="preserve"> </w:t>
      </w:r>
      <w:r>
        <w:rPr>
          <w:rFonts w:ascii="黑体" w:hAnsi="黑体" w:eastAsia="黑体" w:cs="黑体"/>
          <w:spacing w:val="11"/>
          <w:sz w:val="20"/>
          <w:szCs w:val="20"/>
        </w:rPr>
        <w:t>发包人和监理人有权无偿使用承包人修建的临时道路和交通设施，不需要</w:t>
      </w:r>
      <w:r>
        <w:rPr>
          <w:rFonts w:ascii="黑体" w:hAnsi="黑体" w:eastAsia="黑体" w:cs="黑体"/>
          <w:spacing w:val="10"/>
          <w:sz w:val="20"/>
          <w:szCs w:val="20"/>
        </w:rPr>
        <w:t>交纳任何费</w:t>
      </w:r>
      <w:r>
        <w:rPr>
          <w:rFonts w:ascii="黑体" w:hAnsi="黑体" w:eastAsia="黑体" w:cs="黑体"/>
          <w:sz w:val="20"/>
          <w:szCs w:val="20"/>
        </w:rPr>
        <w:t xml:space="preserve"> </w:t>
      </w:r>
      <w:r>
        <w:rPr>
          <w:spacing w:val="-3"/>
          <w:sz w:val="20"/>
          <w:szCs w:val="20"/>
        </w:rPr>
        <w:t>用。</w:t>
      </w:r>
    </w:p>
    <w:p w14:paraId="1D24AEA6">
      <w:pPr>
        <w:spacing w:before="126" w:line="222" w:lineRule="auto"/>
        <w:ind w:left="3"/>
        <w:rPr>
          <w:rFonts w:ascii="黑体" w:hAnsi="黑体" w:eastAsia="黑体" w:cs="黑体"/>
          <w:sz w:val="24"/>
          <w:szCs w:val="24"/>
        </w:rPr>
      </w:pPr>
      <w:r>
        <w:rPr>
          <w:rFonts w:ascii="黑体" w:hAnsi="黑体" w:eastAsia="黑体" w:cs="黑体"/>
          <w:b/>
          <w:bCs/>
          <w:spacing w:val="-4"/>
          <w:sz w:val="24"/>
          <w:szCs w:val="24"/>
        </w:rPr>
        <w:t>7.4超大件和超重件的运输</w:t>
      </w:r>
    </w:p>
    <w:p w14:paraId="116CD669">
      <w:pPr>
        <w:pStyle w:val="2"/>
        <w:spacing w:before="215" w:line="219" w:lineRule="auto"/>
        <w:ind w:left="409"/>
        <w:rPr>
          <w:rFonts w:ascii="Times New Roman" w:hAnsi="Times New Roman" w:eastAsia="Times New Roman" w:cs="Times New Roman"/>
          <w:sz w:val="6"/>
          <w:szCs w:val="6"/>
        </w:rPr>
      </w:pPr>
      <w:r>
        <w:rPr>
          <w:spacing w:val="5"/>
          <w:sz w:val="20"/>
          <w:szCs w:val="20"/>
        </w:rPr>
        <w:t>运输超大件或超重件所需的道路和桥梁临时加固改造等费用的承担人：</w:t>
      </w:r>
      <w:r>
        <w:rPr>
          <w:spacing w:val="-81"/>
          <w:sz w:val="20"/>
          <w:szCs w:val="20"/>
        </w:rPr>
        <w:t xml:space="preserve"> </w:t>
      </w:r>
      <w:r>
        <w:rPr>
          <w:spacing w:val="6"/>
          <w:sz w:val="20"/>
          <w:szCs w:val="20"/>
          <w:u w:val="single" w:color="auto"/>
        </w:rPr>
        <w:t xml:space="preserve">               </w:t>
      </w:r>
      <w:r>
        <w:rPr>
          <w:spacing w:val="-41"/>
          <w:sz w:val="20"/>
          <w:szCs w:val="20"/>
        </w:rPr>
        <w:t xml:space="preserve"> </w:t>
      </w:r>
      <w:r>
        <w:rPr>
          <w:rFonts w:ascii="Times New Roman" w:hAnsi="Times New Roman" w:eastAsia="Times New Roman" w:cs="Times New Roman"/>
          <w:spacing w:val="5"/>
          <w:position w:val="3"/>
          <w:sz w:val="6"/>
          <w:szCs w:val="6"/>
        </w:rPr>
        <w:t>0</w:t>
      </w:r>
    </w:p>
    <w:p w14:paraId="074E508D">
      <w:pPr>
        <w:spacing w:line="219" w:lineRule="auto"/>
        <w:rPr>
          <w:rFonts w:ascii="Times New Roman" w:hAnsi="Times New Roman" w:eastAsia="Times New Roman" w:cs="Times New Roman"/>
          <w:sz w:val="6"/>
          <w:szCs w:val="6"/>
        </w:rPr>
        <w:sectPr>
          <w:footerReference r:id="rId157" w:type="default"/>
          <w:pgSz w:w="11910" w:h="16840"/>
          <w:pgMar w:top="400" w:right="1480" w:bottom="1024" w:left="1460" w:header="0" w:footer="889" w:gutter="0"/>
          <w:cols w:space="720" w:num="1"/>
        </w:sectPr>
      </w:pPr>
    </w:p>
    <w:p w14:paraId="42A556B6">
      <w:pPr>
        <w:spacing w:line="256" w:lineRule="auto"/>
        <w:rPr>
          <w:rFonts w:ascii="Arial"/>
          <w:sz w:val="21"/>
        </w:rPr>
      </w:pPr>
    </w:p>
    <w:p w14:paraId="07ACCBB5">
      <w:pPr>
        <w:spacing w:line="256" w:lineRule="auto"/>
        <w:rPr>
          <w:rFonts w:ascii="Arial"/>
          <w:sz w:val="21"/>
        </w:rPr>
      </w:pPr>
    </w:p>
    <w:p w14:paraId="33033C2D">
      <w:pPr>
        <w:spacing w:line="256" w:lineRule="auto"/>
        <w:rPr>
          <w:rFonts w:ascii="Arial"/>
          <w:sz w:val="21"/>
        </w:rPr>
      </w:pPr>
    </w:p>
    <w:p w14:paraId="47F00FFD">
      <w:pPr>
        <w:spacing w:line="257" w:lineRule="auto"/>
        <w:rPr>
          <w:rFonts w:ascii="Arial"/>
          <w:sz w:val="21"/>
        </w:rPr>
      </w:pPr>
    </w:p>
    <w:p w14:paraId="7A8C62BA">
      <w:pPr>
        <w:spacing w:line="257" w:lineRule="auto"/>
        <w:rPr>
          <w:rFonts w:ascii="Arial"/>
          <w:sz w:val="21"/>
        </w:rPr>
      </w:pPr>
    </w:p>
    <w:p w14:paraId="60D24324">
      <w:pPr>
        <w:pStyle w:val="2"/>
        <w:spacing w:before="88" w:line="220" w:lineRule="auto"/>
        <w:ind w:left="23"/>
        <w:rPr>
          <w:sz w:val="27"/>
          <w:szCs w:val="27"/>
        </w:rPr>
      </w:pPr>
      <w:r>
        <w:rPr>
          <w:b/>
          <w:bCs/>
          <w:spacing w:val="4"/>
          <w:sz w:val="27"/>
          <w:szCs w:val="27"/>
        </w:rPr>
        <w:t>8.测量放线</w:t>
      </w:r>
    </w:p>
    <w:p w14:paraId="658C6858">
      <w:pPr>
        <w:pStyle w:val="2"/>
        <w:spacing w:before="136" w:line="220" w:lineRule="auto"/>
        <w:ind w:left="23"/>
        <w:rPr>
          <w:sz w:val="21"/>
          <w:szCs w:val="21"/>
        </w:rPr>
      </w:pPr>
      <w:r>
        <w:rPr>
          <w:b/>
          <w:bCs/>
          <w:spacing w:val="11"/>
          <w:sz w:val="21"/>
          <w:szCs w:val="21"/>
        </w:rPr>
        <w:t>8</w:t>
      </w:r>
      <w:r>
        <w:rPr>
          <w:spacing w:val="-58"/>
          <w:sz w:val="21"/>
          <w:szCs w:val="21"/>
        </w:rPr>
        <w:t xml:space="preserve"> </w:t>
      </w:r>
      <w:r>
        <w:rPr>
          <w:b/>
          <w:bCs/>
          <w:spacing w:val="11"/>
          <w:sz w:val="21"/>
          <w:szCs w:val="21"/>
        </w:rPr>
        <w:t>.</w:t>
      </w:r>
      <w:r>
        <w:rPr>
          <w:spacing w:val="-50"/>
          <w:sz w:val="21"/>
          <w:szCs w:val="21"/>
        </w:rPr>
        <w:t xml:space="preserve"> </w:t>
      </w:r>
      <w:r>
        <w:rPr>
          <w:b/>
          <w:bCs/>
          <w:spacing w:val="11"/>
          <w:sz w:val="21"/>
          <w:szCs w:val="21"/>
        </w:rPr>
        <w:t>1施工控制网</w:t>
      </w:r>
    </w:p>
    <w:p w14:paraId="7463FC22">
      <w:pPr>
        <w:pStyle w:val="2"/>
        <w:spacing w:before="200" w:line="219" w:lineRule="auto"/>
        <w:ind w:left="449"/>
        <w:rPr>
          <w:sz w:val="21"/>
          <w:szCs w:val="21"/>
        </w:rPr>
      </w:pPr>
      <w:r>
        <w:drawing>
          <wp:anchor distT="0" distB="0" distL="0" distR="0" simplePos="0" relativeHeight="251674624" behindDoc="0" locked="0" layoutInCell="1" allowOverlap="1">
            <wp:simplePos x="0" y="0"/>
            <wp:positionH relativeFrom="column">
              <wp:posOffset>12700</wp:posOffset>
            </wp:positionH>
            <wp:positionV relativeFrom="paragraph">
              <wp:posOffset>430530</wp:posOffset>
            </wp:positionV>
            <wp:extent cx="6642100" cy="6350"/>
            <wp:effectExtent l="0" t="0" r="0" b="0"/>
            <wp:wrapNone/>
            <wp:docPr id="42" name="IM 42"/>
            <wp:cNvGraphicFramePr/>
            <a:graphic xmlns:a="http://schemas.openxmlformats.org/drawingml/2006/main">
              <a:graphicData uri="http://schemas.openxmlformats.org/drawingml/2006/picture">
                <pic:pic xmlns:pic="http://schemas.openxmlformats.org/drawingml/2006/picture">
                  <pic:nvPicPr>
                    <pic:cNvPr id="42" name="IM 42"/>
                    <pic:cNvPicPr/>
                  </pic:nvPicPr>
                  <pic:blipFill>
                    <a:blip r:embed="rId427"/>
                    <a:stretch>
                      <a:fillRect/>
                    </a:stretch>
                  </pic:blipFill>
                  <pic:spPr>
                    <a:xfrm>
                      <a:off x="0" y="0"/>
                      <a:ext cx="6642073" cy="6350"/>
                    </a:xfrm>
                    <a:prstGeom prst="rect">
                      <a:avLst/>
                    </a:prstGeom>
                  </pic:spPr>
                </pic:pic>
              </a:graphicData>
            </a:graphic>
          </wp:anchor>
        </w:drawing>
      </w:r>
      <w:r>
        <w:rPr>
          <w:sz w:val="21"/>
          <w:szCs w:val="21"/>
        </w:rPr>
        <w:t>8.1.1发包人通过监理人提供测量基准点、基准线和水准</w:t>
      </w:r>
      <w:r>
        <w:rPr>
          <w:spacing w:val="-1"/>
          <w:sz w:val="21"/>
          <w:szCs w:val="21"/>
        </w:rPr>
        <w:t>点及其书面资料的期限：</w:t>
      </w:r>
      <w:r>
        <w:rPr>
          <w:spacing w:val="-1"/>
          <w:sz w:val="21"/>
          <w:szCs w:val="21"/>
          <w:u w:val="single" w:color="auto"/>
        </w:rPr>
        <w:t xml:space="preserve">      </w:t>
      </w:r>
    </w:p>
    <w:p w14:paraId="721F386F">
      <w:pPr>
        <w:pStyle w:val="2"/>
        <w:spacing w:before="292" w:line="219" w:lineRule="auto"/>
        <w:ind w:left="449"/>
        <w:rPr>
          <w:sz w:val="21"/>
          <w:szCs w:val="21"/>
        </w:rPr>
      </w:pPr>
      <w:r>
        <w:rPr>
          <w:spacing w:val="-2"/>
          <w:sz w:val="21"/>
          <w:szCs w:val="21"/>
        </w:rPr>
        <w:t>承包人测设施工控制网的要求：</w:t>
      </w:r>
      <w:r>
        <w:rPr>
          <w:spacing w:val="-2"/>
          <w:sz w:val="21"/>
          <w:szCs w:val="21"/>
          <w:u w:val="single" w:color="auto"/>
        </w:rPr>
        <w:t xml:space="preserve">                                                 </w:t>
      </w:r>
    </w:p>
    <w:p w14:paraId="5BC42125">
      <w:pPr>
        <w:spacing w:line="320" w:lineRule="auto"/>
        <w:rPr>
          <w:rFonts w:ascii="Arial"/>
          <w:sz w:val="21"/>
        </w:rPr>
      </w:pPr>
    </w:p>
    <w:p w14:paraId="4D12A3D0">
      <w:pPr>
        <w:spacing w:line="320" w:lineRule="auto"/>
        <w:rPr>
          <w:rFonts w:ascii="Arial"/>
          <w:sz w:val="21"/>
        </w:rPr>
      </w:pPr>
    </w:p>
    <w:p w14:paraId="5DB3AFB1">
      <w:pPr>
        <w:tabs>
          <w:tab w:val="left" w:pos="8229"/>
        </w:tabs>
        <w:spacing w:before="17" w:line="142" w:lineRule="auto"/>
        <w:ind w:left="20"/>
        <w:rPr>
          <w:rFonts w:ascii="Times New Roman" w:hAnsi="Times New Roman" w:eastAsia="Times New Roman" w:cs="Times New Roman"/>
          <w:sz w:val="6"/>
          <w:szCs w:val="6"/>
        </w:rPr>
      </w:pPr>
      <w:r>
        <w:rPr>
          <w:rFonts w:ascii="Times New Roman" w:hAnsi="Times New Roman" w:eastAsia="Times New Roman" w:cs="Times New Roman"/>
          <w:sz w:val="6"/>
          <w:szCs w:val="6"/>
          <w:u w:val="single" w:color="auto"/>
        </w:rPr>
        <w:tab/>
      </w:r>
      <w:r>
        <w:rPr>
          <w:rFonts w:ascii="Times New Roman" w:hAnsi="Times New Roman" w:eastAsia="Times New Roman" w:cs="Times New Roman"/>
          <w:spacing w:val="5"/>
          <w:w w:val="106"/>
          <w:sz w:val="6"/>
          <w:szCs w:val="6"/>
        </w:rPr>
        <w:t xml:space="preserve"> </w:t>
      </w:r>
      <w:r>
        <w:rPr>
          <w:rFonts w:ascii="Times New Roman" w:hAnsi="Times New Roman" w:eastAsia="Times New Roman" w:cs="Times New Roman"/>
          <w:sz w:val="6"/>
          <w:szCs w:val="6"/>
        </w:rPr>
        <w:t>_o</w:t>
      </w:r>
    </w:p>
    <w:p w14:paraId="7CAC4A29">
      <w:pPr>
        <w:pStyle w:val="2"/>
        <w:spacing w:before="269" w:line="219" w:lineRule="auto"/>
        <w:ind w:left="449"/>
        <w:rPr>
          <w:sz w:val="22"/>
          <w:szCs w:val="22"/>
        </w:rPr>
      </w:pPr>
      <w:r>
        <w:rPr>
          <w:spacing w:val="-8"/>
          <w:sz w:val="22"/>
          <w:szCs w:val="22"/>
        </w:rPr>
        <w:t>承包人将施工控制网资料报送监理人审批的期限：</w:t>
      </w:r>
      <w:r>
        <w:rPr>
          <w:sz w:val="22"/>
          <w:szCs w:val="22"/>
          <w:u w:val="single" w:color="auto"/>
        </w:rPr>
        <w:t xml:space="preserve">                               </w:t>
      </w:r>
    </w:p>
    <w:p w14:paraId="482B338A">
      <w:pPr>
        <w:spacing w:line="293" w:lineRule="auto"/>
        <w:rPr>
          <w:rFonts w:ascii="Arial"/>
          <w:sz w:val="21"/>
        </w:rPr>
      </w:pPr>
    </w:p>
    <w:p w14:paraId="573F1C4A">
      <w:pPr>
        <w:tabs>
          <w:tab w:val="left" w:pos="8229"/>
        </w:tabs>
        <w:spacing w:before="32" w:line="142" w:lineRule="auto"/>
        <w:ind w:left="20"/>
        <w:rPr>
          <w:rFonts w:ascii="Times New Roman" w:hAnsi="Times New Roman" w:eastAsia="Times New Roman" w:cs="Times New Roman"/>
          <w:sz w:val="11"/>
          <w:szCs w:val="11"/>
        </w:rPr>
      </w:pPr>
      <w:r>
        <w:rPr>
          <w:rFonts w:ascii="Times New Roman" w:hAnsi="Times New Roman" w:eastAsia="Times New Roman" w:cs="Times New Roman"/>
          <w:sz w:val="11"/>
          <w:szCs w:val="11"/>
          <w:u w:val="single" w:color="auto"/>
        </w:rPr>
        <w:tab/>
      </w:r>
      <w:r>
        <w:rPr>
          <w:rFonts w:ascii="Times New Roman" w:hAnsi="Times New Roman" w:eastAsia="Times New Roman" w:cs="Times New Roman"/>
          <w:spacing w:val="-7"/>
          <w:sz w:val="11"/>
          <w:szCs w:val="11"/>
        </w:rPr>
        <w:t xml:space="preserve"> </w:t>
      </w:r>
      <w:r>
        <w:rPr>
          <w:rFonts w:ascii="Times New Roman" w:hAnsi="Times New Roman" w:eastAsia="Times New Roman" w:cs="Times New Roman"/>
          <w:sz w:val="11"/>
          <w:szCs w:val="11"/>
        </w:rPr>
        <w:t>o</w:t>
      </w:r>
    </w:p>
    <w:p w14:paraId="2D274905">
      <w:pPr>
        <w:pStyle w:val="2"/>
        <w:spacing w:before="226" w:line="220" w:lineRule="auto"/>
        <w:ind w:left="23"/>
        <w:rPr>
          <w:sz w:val="27"/>
          <w:szCs w:val="27"/>
        </w:rPr>
      </w:pPr>
      <w:r>
        <w:rPr>
          <w:b/>
          <w:bCs/>
          <w:spacing w:val="7"/>
          <w:sz w:val="27"/>
          <w:szCs w:val="27"/>
        </w:rPr>
        <w:t>9.施工安全、治安保卫和环境保护</w:t>
      </w:r>
    </w:p>
    <w:p w14:paraId="1DD8D3AB">
      <w:pPr>
        <w:pStyle w:val="2"/>
        <w:spacing w:before="116" w:line="219" w:lineRule="auto"/>
        <w:ind w:left="23"/>
        <w:rPr>
          <w:sz w:val="21"/>
          <w:szCs w:val="21"/>
        </w:rPr>
      </w:pPr>
      <w:r>
        <w:rPr>
          <w:b/>
          <w:bCs/>
          <w:spacing w:val="20"/>
          <w:sz w:val="21"/>
          <w:szCs w:val="21"/>
        </w:rPr>
        <w:t>9</w:t>
      </w:r>
      <w:r>
        <w:rPr>
          <w:spacing w:val="-57"/>
          <w:sz w:val="21"/>
          <w:szCs w:val="21"/>
        </w:rPr>
        <w:t xml:space="preserve"> </w:t>
      </w:r>
      <w:r>
        <w:rPr>
          <w:b/>
          <w:bCs/>
          <w:spacing w:val="20"/>
          <w:sz w:val="21"/>
          <w:szCs w:val="21"/>
        </w:rPr>
        <w:t>.2承包人的施工安全责任</w:t>
      </w:r>
    </w:p>
    <w:p w14:paraId="29BC1313">
      <w:pPr>
        <w:pStyle w:val="2"/>
        <w:spacing w:before="244" w:line="281" w:lineRule="auto"/>
        <w:ind w:left="449" w:right="2115"/>
        <w:rPr>
          <w:sz w:val="21"/>
          <w:szCs w:val="21"/>
        </w:rPr>
      </w:pPr>
      <w:r>
        <w:rPr>
          <w:spacing w:val="-1"/>
          <w:sz w:val="21"/>
          <w:szCs w:val="21"/>
        </w:rPr>
        <w:t>9.2.1承包人向监理人报送施工安全措施计划的期限：</w:t>
      </w:r>
      <w:r>
        <w:rPr>
          <w:spacing w:val="-65"/>
          <w:sz w:val="21"/>
          <w:szCs w:val="21"/>
        </w:rPr>
        <w:t xml:space="preserve"> </w:t>
      </w:r>
      <w:r>
        <w:rPr>
          <w:spacing w:val="1"/>
          <w:sz w:val="21"/>
          <w:szCs w:val="21"/>
          <w:u w:val="single" w:color="auto"/>
        </w:rPr>
        <w:t xml:space="preserve">                        </w:t>
      </w:r>
      <w:r>
        <w:rPr>
          <w:sz w:val="21"/>
          <w:szCs w:val="21"/>
          <w:u w:val="single" w:color="auto"/>
        </w:rPr>
        <w:t xml:space="preserve">   </w:t>
      </w:r>
      <w:r>
        <w:rPr>
          <w:spacing w:val="-104"/>
          <w:sz w:val="21"/>
          <w:szCs w:val="21"/>
        </w:rPr>
        <w:t xml:space="preserve"> </w:t>
      </w:r>
      <w:r>
        <w:rPr>
          <w:rFonts w:ascii="Times New Roman" w:hAnsi="Times New Roman" w:eastAsia="Times New Roman" w:cs="Times New Roman"/>
          <w:spacing w:val="-1"/>
          <w:sz w:val="21"/>
          <w:szCs w:val="21"/>
        </w:rPr>
        <w:t>0</w:t>
      </w:r>
      <w:r>
        <w:rPr>
          <w:rFonts w:ascii="Times New Roman" w:hAnsi="Times New Roman" w:eastAsia="Times New Roman" w:cs="Times New Roman"/>
          <w:sz w:val="21"/>
          <w:szCs w:val="21"/>
        </w:rPr>
        <w:t xml:space="preserve"> </w:t>
      </w:r>
      <w:r>
        <w:rPr>
          <w:spacing w:val="-2"/>
          <w:sz w:val="21"/>
          <w:szCs w:val="21"/>
        </w:rPr>
        <w:t>监理人收到承包人报送的施工安全措施计划后应当在</w:t>
      </w:r>
      <w:r>
        <w:rPr>
          <w:spacing w:val="-73"/>
          <w:sz w:val="21"/>
          <w:szCs w:val="21"/>
        </w:rPr>
        <w:t xml:space="preserve"> </w:t>
      </w:r>
      <w:r>
        <w:rPr>
          <w:spacing w:val="1"/>
          <w:sz w:val="21"/>
          <w:szCs w:val="21"/>
          <w:u w:val="single" w:color="auto"/>
        </w:rPr>
        <w:t xml:space="preserve">          </w:t>
      </w:r>
      <w:r>
        <w:rPr>
          <w:spacing w:val="-85"/>
          <w:sz w:val="21"/>
          <w:szCs w:val="21"/>
        </w:rPr>
        <w:t xml:space="preserve"> </w:t>
      </w:r>
      <w:r>
        <w:rPr>
          <w:spacing w:val="-2"/>
          <w:sz w:val="21"/>
          <w:szCs w:val="21"/>
        </w:rPr>
        <w:t>天内给予批复。</w:t>
      </w:r>
    </w:p>
    <w:p w14:paraId="31E252E4">
      <w:pPr>
        <w:pStyle w:val="2"/>
        <w:spacing w:before="151" w:line="220" w:lineRule="auto"/>
        <w:ind w:left="20"/>
        <w:rPr>
          <w:sz w:val="21"/>
          <w:szCs w:val="21"/>
        </w:rPr>
      </w:pPr>
      <w:r>
        <w:rPr>
          <w:spacing w:val="17"/>
          <w:sz w:val="21"/>
          <w:szCs w:val="21"/>
        </w:rPr>
        <w:t>9</w:t>
      </w:r>
      <w:r>
        <w:rPr>
          <w:spacing w:val="-61"/>
          <w:sz w:val="21"/>
          <w:szCs w:val="21"/>
        </w:rPr>
        <w:t xml:space="preserve"> </w:t>
      </w:r>
      <w:r>
        <w:rPr>
          <w:spacing w:val="17"/>
          <w:sz w:val="21"/>
          <w:szCs w:val="21"/>
        </w:rPr>
        <w:t>.3治安保卫</w:t>
      </w:r>
    </w:p>
    <w:p w14:paraId="589A0438">
      <w:pPr>
        <w:pStyle w:val="2"/>
        <w:spacing w:before="199" w:line="219" w:lineRule="auto"/>
        <w:ind w:left="449"/>
        <w:rPr>
          <w:sz w:val="21"/>
          <w:szCs w:val="21"/>
        </w:rPr>
      </w:pPr>
      <w:r>
        <w:rPr>
          <w:spacing w:val="1"/>
          <w:sz w:val="21"/>
          <w:szCs w:val="21"/>
        </w:rPr>
        <w:t>9.3.1承包人应当负责统一管理施工场地的治安保卫事项，履行合同工程的治安保卫职责。</w:t>
      </w:r>
    </w:p>
    <w:p w14:paraId="0C5764D5">
      <w:pPr>
        <w:pStyle w:val="2"/>
        <w:spacing w:before="211" w:line="219" w:lineRule="auto"/>
        <w:ind w:left="449"/>
        <w:rPr>
          <w:sz w:val="6"/>
          <w:szCs w:val="6"/>
        </w:rPr>
      </w:pPr>
      <w:r>
        <w:rPr>
          <w:sz w:val="21"/>
          <w:szCs w:val="21"/>
        </w:rPr>
        <w:t>9.3.3施工场地治安管理计划和突发治安事件紧急预案的编制责任人：</w:t>
      </w:r>
      <w:r>
        <w:rPr>
          <w:spacing w:val="-32"/>
          <w:sz w:val="21"/>
          <w:szCs w:val="21"/>
        </w:rPr>
        <w:t xml:space="preserve"> </w:t>
      </w:r>
      <w:r>
        <w:rPr>
          <w:spacing w:val="1"/>
          <w:sz w:val="21"/>
          <w:szCs w:val="21"/>
          <w:u w:val="single" w:color="auto"/>
        </w:rPr>
        <w:t xml:space="preserve">               </w:t>
      </w:r>
      <w:r>
        <w:rPr>
          <w:spacing w:val="-95"/>
          <w:sz w:val="21"/>
          <w:szCs w:val="21"/>
        </w:rPr>
        <w:t xml:space="preserve"> </w:t>
      </w:r>
      <w:r>
        <w:rPr>
          <w:position w:val="2"/>
          <w:sz w:val="6"/>
          <w:szCs w:val="6"/>
        </w:rPr>
        <w:t>◎</w:t>
      </w:r>
    </w:p>
    <w:p w14:paraId="101977A8">
      <w:pPr>
        <w:pStyle w:val="2"/>
        <w:spacing w:before="132" w:line="220" w:lineRule="auto"/>
        <w:ind w:left="20"/>
        <w:rPr>
          <w:sz w:val="21"/>
          <w:szCs w:val="21"/>
        </w:rPr>
      </w:pPr>
      <w:r>
        <w:rPr>
          <w:spacing w:val="18"/>
          <w:sz w:val="21"/>
          <w:szCs w:val="21"/>
        </w:rPr>
        <w:t>9</w:t>
      </w:r>
      <w:r>
        <w:rPr>
          <w:spacing w:val="-62"/>
          <w:sz w:val="21"/>
          <w:szCs w:val="21"/>
        </w:rPr>
        <w:t xml:space="preserve"> </w:t>
      </w:r>
      <w:r>
        <w:rPr>
          <w:spacing w:val="18"/>
          <w:sz w:val="21"/>
          <w:szCs w:val="21"/>
        </w:rPr>
        <w:t>.4环境保护</w:t>
      </w:r>
    </w:p>
    <w:p w14:paraId="2632DE9A">
      <w:pPr>
        <w:pStyle w:val="2"/>
        <w:spacing w:before="278" w:line="310" w:lineRule="auto"/>
        <w:ind w:left="449" w:right="1891"/>
        <w:rPr>
          <w:sz w:val="21"/>
          <w:szCs w:val="21"/>
        </w:rPr>
      </w:pPr>
      <w:r>
        <w:rPr>
          <w:spacing w:val="-6"/>
          <w:sz w:val="21"/>
          <w:szCs w:val="21"/>
        </w:rPr>
        <w:t>9.4.2施工环保措施计划报送监理人审批的时间：</w:t>
      </w:r>
      <w:r>
        <w:rPr>
          <w:spacing w:val="-33"/>
          <w:sz w:val="21"/>
          <w:szCs w:val="21"/>
        </w:rPr>
        <w:t xml:space="preserve"> </w:t>
      </w:r>
      <w:r>
        <w:rPr>
          <w:sz w:val="21"/>
          <w:szCs w:val="21"/>
          <w:u w:val="single" w:color="auto"/>
        </w:rPr>
        <w:t xml:space="preserve">                                 </w:t>
      </w:r>
      <w:r>
        <w:rPr>
          <w:spacing w:val="-80"/>
          <w:sz w:val="21"/>
          <w:szCs w:val="21"/>
        </w:rPr>
        <w:t xml:space="preserve"> </w:t>
      </w:r>
      <w:r>
        <w:rPr>
          <w:spacing w:val="-6"/>
          <w:sz w:val="21"/>
          <w:szCs w:val="21"/>
        </w:rPr>
        <w:t>◎</w:t>
      </w:r>
      <w:r>
        <w:rPr>
          <w:sz w:val="21"/>
          <w:szCs w:val="21"/>
        </w:rPr>
        <w:t xml:space="preserve"> </w:t>
      </w:r>
      <w:r>
        <w:rPr>
          <w:spacing w:val="-5"/>
          <w:sz w:val="21"/>
          <w:szCs w:val="21"/>
        </w:rPr>
        <w:t>监理人收到承包人报送的施工环保措施计划后应当在</w:t>
      </w:r>
      <w:r>
        <w:rPr>
          <w:spacing w:val="-83"/>
          <w:sz w:val="21"/>
          <w:szCs w:val="21"/>
        </w:rPr>
        <w:t xml:space="preserve"> </w:t>
      </w:r>
      <w:r>
        <w:rPr>
          <w:sz w:val="21"/>
          <w:szCs w:val="21"/>
          <w:u w:val="single" w:color="auto"/>
        </w:rPr>
        <w:t xml:space="preserve">            </w:t>
      </w:r>
      <w:r>
        <w:rPr>
          <w:spacing w:val="-75"/>
          <w:sz w:val="21"/>
          <w:szCs w:val="21"/>
        </w:rPr>
        <w:t xml:space="preserve"> </w:t>
      </w:r>
      <w:r>
        <w:rPr>
          <w:spacing w:val="-5"/>
          <w:sz w:val="21"/>
          <w:szCs w:val="21"/>
        </w:rPr>
        <w:t>天内给予批复。</w:t>
      </w:r>
    </w:p>
    <w:p w14:paraId="3244345E">
      <w:pPr>
        <w:spacing w:before="72" w:line="222" w:lineRule="auto"/>
        <w:ind w:left="23"/>
        <w:rPr>
          <w:rFonts w:ascii="黑体" w:hAnsi="黑体" w:eastAsia="黑体" w:cs="黑体"/>
          <w:sz w:val="27"/>
          <w:szCs w:val="27"/>
        </w:rPr>
      </w:pPr>
      <w:r>
        <w:rPr>
          <w:rFonts w:ascii="黑体" w:hAnsi="黑体" w:eastAsia="黑体" w:cs="黑体"/>
          <w:b/>
          <w:bCs/>
          <w:spacing w:val="-2"/>
          <w:sz w:val="27"/>
          <w:szCs w:val="27"/>
        </w:rPr>
        <w:t>10.进度计划</w:t>
      </w:r>
    </w:p>
    <w:p w14:paraId="12213D37">
      <w:pPr>
        <w:spacing w:before="135" w:line="222" w:lineRule="auto"/>
        <w:ind w:left="23"/>
        <w:rPr>
          <w:rFonts w:ascii="黑体" w:hAnsi="黑体" w:eastAsia="黑体" w:cs="黑体"/>
          <w:sz w:val="21"/>
          <w:szCs w:val="21"/>
        </w:rPr>
      </w:pPr>
      <w:r>
        <w:rPr>
          <w:rFonts w:ascii="黑体" w:hAnsi="黑体" w:eastAsia="黑体" w:cs="黑体"/>
          <w:b/>
          <w:bCs/>
          <w:spacing w:val="12"/>
          <w:sz w:val="21"/>
          <w:szCs w:val="21"/>
        </w:rPr>
        <w:t>10</w:t>
      </w:r>
      <w:r>
        <w:rPr>
          <w:rFonts w:ascii="黑体" w:hAnsi="黑体" w:eastAsia="黑体" w:cs="黑体"/>
          <w:spacing w:val="-53"/>
          <w:sz w:val="21"/>
          <w:szCs w:val="21"/>
        </w:rPr>
        <w:t xml:space="preserve"> </w:t>
      </w:r>
      <w:r>
        <w:rPr>
          <w:rFonts w:ascii="黑体" w:hAnsi="黑体" w:eastAsia="黑体" w:cs="黑体"/>
          <w:b/>
          <w:bCs/>
          <w:spacing w:val="12"/>
          <w:sz w:val="21"/>
          <w:szCs w:val="21"/>
        </w:rPr>
        <w:t>.</w:t>
      </w:r>
      <w:r>
        <w:rPr>
          <w:rFonts w:ascii="黑体" w:hAnsi="黑体" w:eastAsia="黑体" w:cs="黑体"/>
          <w:spacing w:val="-57"/>
          <w:sz w:val="21"/>
          <w:szCs w:val="21"/>
        </w:rPr>
        <w:t xml:space="preserve"> </w:t>
      </w:r>
      <w:r>
        <w:rPr>
          <w:rFonts w:ascii="黑体" w:hAnsi="黑体" w:eastAsia="黑体" w:cs="黑体"/>
          <w:b/>
          <w:bCs/>
          <w:spacing w:val="12"/>
          <w:sz w:val="21"/>
          <w:szCs w:val="21"/>
        </w:rPr>
        <w:t>1合同进度计划</w:t>
      </w:r>
    </w:p>
    <w:p w14:paraId="49717363">
      <w:pPr>
        <w:pStyle w:val="2"/>
        <w:spacing w:before="200" w:line="406" w:lineRule="auto"/>
        <w:ind w:left="20" w:right="1561" w:firstLine="429"/>
        <w:jc w:val="both"/>
        <w:rPr>
          <w:sz w:val="21"/>
          <w:szCs w:val="21"/>
        </w:rPr>
      </w:pPr>
      <w:r>
        <w:rPr>
          <w:spacing w:val="6"/>
          <w:sz w:val="21"/>
          <w:szCs w:val="21"/>
        </w:rPr>
        <w:t>(1)承包人应当在收到监理人按照通用合同条款第11.1.1项发出的开工通知后7天内，编制</w:t>
      </w:r>
      <w:r>
        <w:rPr>
          <w:spacing w:val="13"/>
          <w:sz w:val="21"/>
          <w:szCs w:val="21"/>
        </w:rPr>
        <w:t xml:space="preserve"> </w:t>
      </w:r>
      <w:r>
        <w:rPr>
          <w:spacing w:val="2"/>
          <w:sz w:val="21"/>
          <w:szCs w:val="21"/>
        </w:rPr>
        <w:t>详细的施工进度计划和施工方案说明并报送监理人。承包人编制施工进度计</w:t>
      </w:r>
      <w:r>
        <w:rPr>
          <w:spacing w:val="1"/>
          <w:sz w:val="21"/>
          <w:szCs w:val="21"/>
        </w:rPr>
        <w:t>划和施工方案说明的</w:t>
      </w:r>
      <w:r>
        <w:rPr>
          <w:sz w:val="21"/>
          <w:szCs w:val="21"/>
        </w:rPr>
        <w:t xml:space="preserve"> </w:t>
      </w:r>
      <w:r>
        <w:rPr>
          <w:spacing w:val="3"/>
          <w:sz w:val="21"/>
          <w:szCs w:val="21"/>
        </w:rPr>
        <w:t>内容：</w:t>
      </w:r>
      <w:r>
        <w:rPr>
          <w:sz w:val="21"/>
          <w:szCs w:val="21"/>
          <w:u w:val="single" w:color="auto"/>
        </w:rPr>
        <w:t xml:space="preserve">                                                                   </w:t>
      </w:r>
    </w:p>
    <w:p w14:paraId="1A92C5FE">
      <w:pPr>
        <w:spacing w:line="444" w:lineRule="auto"/>
        <w:rPr>
          <w:rFonts w:ascii="Arial"/>
          <w:sz w:val="21"/>
        </w:rPr>
      </w:pPr>
      <w:r>
        <w:drawing>
          <wp:anchor distT="0" distB="0" distL="0" distR="0" simplePos="0" relativeHeight="251672576" behindDoc="0" locked="0" layoutInCell="1" allowOverlap="1">
            <wp:simplePos x="0" y="0"/>
            <wp:positionH relativeFrom="column">
              <wp:posOffset>6350</wp:posOffset>
            </wp:positionH>
            <wp:positionV relativeFrom="paragraph">
              <wp:posOffset>125095</wp:posOffset>
            </wp:positionV>
            <wp:extent cx="5372100" cy="12700"/>
            <wp:effectExtent l="0" t="0" r="0" b="0"/>
            <wp:wrapNone/>
            <wp:docPr id="44" name="IM 44"/>
            <wp:cNvGraphicFramePr/>
            <a:graphic xmlns:a="http://schemas.openxmlformats.org/drawingml/2006/main">
              <a:graphicData uri="http://schemas.openxmlformats.org/drawingml/2006/picture">
                <pic:pic xmlns:pic="http://schemas.openxmlformats.org/drawingml/2006/picture">
                  <pic:nvPicPr>
                    <pic:cNvPr id="44" name="IM 44"/>
                    <pic:cNvPicPr/>
                  </pic:nvPicPr>
                  <pic:blipFill>
                    <a:blip r:embed="rId428"/>
                    <a:stretch>
                      <a:fillRect/>
                    </a:stretch>
                  </pic:blipFill>
                  <pic:spPr>
                    <a:xfrm>
                      <a:off x="0" y="0"/>
                      <a:ext cx="5372042" cy="12618"/>
                    </a:xfrm>
                    <a:prstGeom prst="rect">
                      <a:avLst/>
                    </a:prstGeom>
                  </pic:spPr>
                </pic:pic>
              </a:graphicData>
            </a:graphic>
          </wp:anchor>
        </w:drawing>
      </w:r>
    </w:p>
    <w:p w14:paraId="6D0BECDF">
      <w:pPr>
        <w:pStyle w:val="2"/>
        <w:tabs>
          <w:tab w:val="left" w:pos="7809"/>
        </w:tabs>
        <w:spacing w:before="66" w:line="419" w:lineRule="auto"/>
        <w:ind w:left="20" w:right="1538"/>
        <w:rPr>
          <w:sz w:val="21"/>
          <w:szCs w:val="21"/>
        </w:rPr>
      </w:pPr>
      <w:r>
        <w:rPr>
          <w:sz w:val="20"/>
          <w:szCs w:val="20"/>
          <w:u w:val="single" w:color="auto"/>
        </w:rPr>
        <w:tab/>
      </w:r>
      <w:r>
        <w:rPr>
          <w:spacing w:val="-87"/>
          <w:sz w:val="20"/>
          <w:szCs w:val="20"/>
        </w:rPr>
        <w:t xml:space="preserve"> </w:t>
      </w:r>
      <w:r>
        <w:rPr>
          <w:spacing w:val="-9"/>
          <w:sz w:val="20"/>
          <w:szCs w:val="20"/>
        </w:rPr>
        <w:t>,</w:t>
      </w:r>
      <w:r>
        <w:rPr>
          <w:spacing w:val="-35"/>
          <w:sz w:val="20"/>
          <w:szCs w:val="20"/>
        </w:rPr>
        <w:t xml:space="preserve"> </w:t>
      </w:r>
      <w:r>
        <w:rPr>
          <w:spacing w:val="-9"/>
          <w:sz w:val="20"/>
          <w:szCs w:val="20"/>
        </w:rPr>
        <w:t>施</w:t>
      </w:r>
      <w:r>
        <w:rPr>
          <w:spacing w:val="-31"/>
          <w:sz w:val="20"/>
          <w:szCs w:val="20"/>
        </w:rPr>
        <w:t xml:space="preserve"> </w:t>
      </w:r>
      <w:r>
        <w:rPr>
          <w:spacing w:val="-9"/>
          <w:sz w:val="20"/>
          <w:szCs w:val="20"/>
        </w:rPr>
        <w:t>工</w:t>
      </w:r>
      <w:r>
        <w:rPr>
          <w:spacing w:val="-36"/>
          <w:sz w:val="20"/>
          <w:szCs w:val="20"/>
        </w:rPr>
        <w:t xml:space="preserve"> </w:t>
      </w:r>
      <w:r>
        <w:rPr>
          <w:spacing w:val="-9"/>
          <w:sz w:val="20"/>
          <w:szCs w:val="20"/>
        </w:rPr>
        <w:t>进</w:t>
      </w:r>
      <w:r>
        <w:rPr>
          <w:spacing w:val="-35"/>
          <w:sz w:val="20"/>
          <w:szCs w:val="20"/>
        </w:rPr>
        <w:t xml:space="preserve"> </w:t>
      </w:r>
      <w:r>
        <w:rPr>
          <w:spacing w:val="-9"/>
          <w:sz w:val="20"/>
          <w:szCs w:val="20"/>
        </w:rPr>
        <w:t>度</w:t>
      </w:r>
      <w:r>
        <w:rPr>
          <w:sz w:val="20"/>
          <w:szCs w:val="20"/>
        </w:rPr>
        <w:t xml:space="preserve"> </w:t>
      </w:r>
      <w:r>
        <w:rPr>
          <w:spacing w:val="-1"/>
          <w:sz w:val="21"/>
          <w:szCs w:val="21"/>
        </w:rPr>
        <w:t>计划中还应载明要求发包人组织设计人进行阶段性工程设</w:t>
      </w:r>
      <w:r>
        <w:rPr>
          <w:spacing w:val="-2"/>
          <w:sz w:val="21"/>
          <w:szCs w:val="21"/>
        </w:rPr>
        <w:t>计交底的时间。</w:t>
      </w:r>
    </w:p>
    <w:p w14:paraId="02315651">
      <w:pPr>
        <w:pStyle w:val="2"/>
        <w:spacing w:before="3" w:line="316" w:lineRule="auto"/>
        <w:ind w:left="20" w:right="1570" w:firstLine="429"/>
        <w:rPr>
          <w:sz w:val="21"/>
          <w:szCs w:val="21"/>
        </w:rPr>
      </w:pPr>
      <w:r>
        <w:rPr>
          <w:spacing w:val="-1"/>
          <w:sz w:val="21"/>
          <w:szCs w:val="21"/>
        </w:rPr>
        <w:t>(2)监理人批复或对施工进度计划和施工方案说明提出修改意见的期限：自监理人</w:t>
      </w:r>
      <w:r>
        <w:rPr>
          <w:spacing w:val="-2"/>
          <w:sz w:val="21"/>
          <w:szCs w:val="21"/>
        </w:rPr>
        <w:t>收到承包人</w:t>
      </w:r>
      <w:r>
        <w:rPr>
          <w:sz w:val="21"/>
          <w:szCs w:val="21"/>
        </w:rPr>
        <w:t xml:space="preserve"> </w:t>
      </w:r>
      <w:r>
        <w:rPr>
          <w:spacing w:val="4"/>
          <w:sz w:val="21"/>
          <w:szCs w:val="21"/>
        </w:rPr>
        <w:t>报送的相关进度计划和施工方案说明后14天内。</w:t>
      </w:r>
    </w:p>
    <w:p w14:paraId="2A40D329">
      <w:pPr>
        <w:pStyle w:val="2"/>
        <w:spacing w:before="271" w:line="219" w:lineRule="auto"/>
        <w:ind w:left="449"/>
        <w:rPr>
          <w:sz w:val="21"/>
          <w:szCs w:val="21"/>
        </w:rPr>
      </w:pPr>
      <w:r>
        <w:drawing>
          <wp:anchor distT="0" distB="0" distL="0" distR="0" simplePos="0" relativeHeight="251673600" behindDoc="0" locked="0" layoutInCell="1" allowOverlap="1">
            <wp:simplePos x="0" y="0"/>
            <wp:positionH relativeFrom="column">
              <wp:posOffset>0</wp:posOffset>
            </wp:positionH>
            <wp:positionV relativeFrom="paragraph">
              <wp:posOffset>572770</wp:posOffset>
            </wp:positionV>
            <wp:extent cx="5238750" cy="12700"/>
            <wp:effectExtent l="0" t="0" r="0" b="0"/>
            <wp:wrapNone/>
            <wp:docPr id="46" name="IM 46"/>
            <wp:cNvGraphicFramePr/>
            <a:graphic xmlns:a="http://schemas.openxmlformats.org/drawingml/2006/main">
              <a:graphicData uri="http://schemas.openxmlformats.org/drawingml/2006/picture">
                <pic:pic xmlns:pic="http://schemas.openxmlformats.org/drawingml/2006/picture">
                  <pic:nvPicPr>
                    <pic:cNvPr id="46" name="IM 46"/>
                    <pic:cNvPicPr/>
                  </pic:nvPicPr>
                  <pic:blipFill>
                    <a:blip r:embed="rId429"/>
                    <a:stretch>
                      <a:fillRect/>
                    </a:stretch>
                  </pic:blipFill>
                  <pic:spPr>
                    <a:xfrm>
                      <a:off x="0" y="0"/>
                      <a:ext cx="5238710" cy="12725"/>
                    </a:xfrm>
                    <a:prstGeom prst="rect">
                      <a:avLst/>
                    </a:prstGeom>
                  </pic:spPr>
                </pic:pic>
              </a:graphicData>
            </a:graphic>
          </wp:anchor>
        </w:drawing>
      </w:r>
      <w:r>
        <w:rPr>
          <w:spacing w:val="-1"/>
          <w:sz w:val="21"/>
          <w:szCs w:val="21"/>
        </w:rPr>
        <w:t>(3)承包人编制分阶段或分项施工进度计划和施工方案说明的内容：</w:t>
      </w:r>
      <w:r>
        <w:rPr>
          <w:sz w:val="21"/>
          <w:szCs w:val="21"/>
          <w:u w:val="single" w:color="auto"/>
        </w:rPr>
        <w:t xml:space="preserve">                  </w:t>
      </w:r>
    </w:p>
    <w:p w14:paraId="2A8BC29D">
      <w:pPr>
        <w:spacing w:line="219" w:lineRule="auto"/>
        <w:rPr>
          <w:sz w:val="21"/>
          <w:szCs w:val="21"/>
        </w:rPr>
        <w:sectPr>
          <w:footerReference r:id="rId158" w:type="default"/>
          <w:pgSz w:w="11910" w:h="16840"/>
          <w:pgMar w:top="400" w:right="0" w:bottom="1024" w:left="1430" w:header="0" w:footer="889" w:gutter="0"/>
          <w:cols w:space="720" w:num="1"/>
        </w:sectPr>
      </w:pPr>
    </w:p>
    <w:p w14:paraId="0AD10862">
      <w:pPr>
        <w:spacing w:line="277" w:lineRule="auto"/>
        <w:rPr>
          <w:rFonts w:ascii="Arial"/>
          <w:sz w:val="21"/>
        </w:rPr>
      </w:pPr>
    </w:p>
    <w:p w14:paraId="5721493D">
      <w:pPr>
        <w:spacing w:line="277" w:lineRule="auto"/>
        <w:rPr>
          <w:rFonts w:ascii="Arial"/>
          <w:sz w:val="21"/>
        </w:rPr>
      </w:pPr>
    </w:p>
    <w:p w14:paraId="0FC49943">
      <w:pPr>
        <w:spacing w:line="277" w:lineRule="auto"/>
        <w:rPr>
          <w:rFonts w:ascii="Arial"/>
          <w:sz w:val="21"/>
        </w:rPr>
      </w:pPr>
    </w:p>
    <w:p w14:paraId="29D976CC">
      <w:pPr>
        <w:spacing w:line="277" w:lineRule="auto"/>
        <w:rPr>
          <w:rFonts w:ascii="Arial"/>
          <w:sz w:val="21"/>
        </w:rPr>
      </w:pPr>
    </w:p>
    <w:p w14:paraId="41CC9EA8">
      <w:pPr>
        <w:spacing w:line="278" w:lineRule="auto"/>
        <w:rPr>
          <w:rFonts w:ascii="Arial"/>
          <w:sz w:val="21"/>
        </w:rPr>
      </w:pPr>
    </w:p>
    <w:p w14:paraId="2B3DF7CC">
      <w:pPr>
        <w:pStyle w:val="2"/>
        <w:spacing w:before="75" w:line="219" w:lineRule="auto"/>
        <w:ind w:left="429"/>
        <w:rPr>
          <w:sz w:val="23"/>
          <w:szCs w:val="23"/>
        </w:rPr>
      </w:pPr>
      <w:r>
        <w:rPr>
          <w:spacing w:val="-20"/>
          <w:sz w:val="23"/>
          <w:szCs w:val="23"/>
        </w:rPr>
        <w:t>承包人报送分阶段或分项施工进度计划和施工方案说明的期限：</w:t>
      </w:r>
      <w:r>
        <w:rPr>
          <w:sz w:val="23"/>
          <w:szCs w:val="23"/>
          <w:u w:val="single" w:color="auto"/>
        </w:rPr>
        <w:t xml:space="preserve">                      </w:t>
      </w:r>
    </w:p>
    <w:p w14:paraId="18D52B2F">
      <w:pPr>
        <w:spacing w:line="316" w:lineRule="auto"/>
        <w:rPr>
          <w:rFonts w:ascii="Arial"/>
          <w:sz w:val="21"/>
        </w:rPr>
      </w:pPr>
    </w:p>
    <w:p w14:paraId="719299A6">
      <w:pPr>
        <w:tabs>
          <w:tab w:val="left" w:pos="8219"/>
        </w:tabs>
        <w:spacing w:before="17" w:line="188" w:lineRule="auto"/>
        <w:ind w:left="20"/>
        <w:rPr>
          <w:rFonts w:ascii="Times New Roman" w:hAnsi="Times New Roman" w:eastAsia="Times New Roman" w:cs="Times New Roman"/>
          <w:sz w:val="6"/>
          <w:szCs w:val="6"/>
        </w:rPr>
      </w:pPr>
      <w:r>
        <w:rPr>
          <w:rFonts w:ascii="Times New Roman" w:hAnsi="Times New Roman" w:eastAsia="Times New Roman" w:cs="Times New Roman"/>
          <w:sz w:val="6"/>
          <w:szCs w:val="6"/>
          <w:u w:val="single" w:color="auto"/>
        </w:rPr>
        <w:tab/>
      </w:r>
      <w:r>
        <w:rPr>
          <w:rFonts w:ascii="Times New Roman" w:hAnsi="Times New Roman" w:eastAsia="Times New Roman" w:cs="Times New Roman"/>
          <w:sz w:val="6"/>
          <w:szCs w:val="6"/>
        </w:rPr>
        <w:t xml:space="preserve">  0</w:t>
      </w:r>
    </w:p>
    <w:p w14:paraId="5E12117D">
      <w:pPr>
        <w:pStyle w:val="2"/>
        <w:spacing w:before="276" w:line="389" w:lineRule="auto"/>
        <w:ind w:left="20" w:right="86" w:firstLine="409"/>
        <w:rPr>
          <w:sz w:val="21"/>
          <w:szCs w:val="21"/>
        </w:rPr>
      </w:pPr>
      <w:r>
        <w:rPr>
          <w:sz w:val="21"/>
          <w:szCs w:val="21"/>
        </w:rPr>
        <w:t>(4)群体工程中单位工程分期进行施工的，承包人应按照</w:t>
      </w:r>
      <w:r>
        <w:rPr>
          <w:spacing w:val="-1"/>
          <w:sz w:val="21"/>
          <w:szCs w:val="21"/>
        </w:rPr>
        <w:t>发包人提供图纸及有关资料的时间，</w:t>
      </w:r>
      <w:r>
        <w:rPr>
          <w:sz w:val="21"/>
          <w:szCs w:val="21"/>
        </w:rPr>
        <w:t xml:space="preserve"> </w:t>
      </w:r>
      <w:r>
        <w:rPr>
          <w:spacing w:val="-1"/>
          <w:sz w:val="21"/>
          <w:szCs w:val="21"/>
        </w:rPr>
        <w:t>按单位工程编制进度计划和施工方案说明。群体工程中有关进度计划和施工方案说明的要求：</w:t>
      </w:r>
      <w:r>
        <w:rPr>
          <w:spacing w:val="-1"/>
          <w:sz w:val="21"/>
          <w:szCs w:val="21"/>
          <w:u w:val="single" w:color="auto"/>
        </w:rPr>
        <w:t xml:space="preserve">   </w:t>
      </w:r>
    </w:p>
    <w:p w14:paraId="6B3FF1EB">
      <w:pPr>
        <w:tabs>
          <w:tab w:val="left" w:pos="8219"/>
        </w:tabs>
        <w:spacing w:before="164" w:line="188" w:lineRule="auto"/>
        <w:ind w:left="20"/>
        <w:rPr>
          <w:rFonts w:ascii="Times New Roman" w:hAnsi="Times New Roman" w:eastAsia="Times New Roman" w:cs="Times New Roman"/>
          <w:sz w:val="6"/>
          <w:szCs w:val="6"/>
        </w:rPr>
      </w:pPr>
      <w:r>
        <w:rPr>
          <w:rFonts w:ascii="Times New Roman" w:hAnsi="Times New Roman" w:eastAsia="Times New Roman" w:cs="Times New Roman"/>
          <w:sz w:val="6"/>
          <w:szCs w:val="6"/>
          <w:u w:val="single" w:color="auto"/>
        </w:rPr>
        <w:tab/>
      </w:r>
      <w:r>
        <w:rPr>
          <w:rFonts w:ascii="Times New Roman" w:hAnsi="Times New Roman" w:eastAsia="Times New Roman" w:cs="Times New Roman"/>
          <w:spacing w:val="5"/>
          <w:w w:val="106"/>
          <w:sz w:val="6"/>
          <w:szCs w:val="6"/>
        </w:rPr>
        <w:t xml:space="preserve"> </w:t>
      </w:r>
      <w:r>
        <w:rPr>
          <w:rFonts w:ascii="Times New Roman" w:hAnsi="Times New Roman" w:eastAsia="Times New Roman" w:cs="Times New Roman"/>
          <w:sz w:val="6"/>
          <w:szCs w:val="6"/>
        </w:rPr>
        <w:t>8</w:t>
      </w:r>
    </w:p>
    <w:p w14:paraId="2F39B914">
      <w:pPr>
        <w:spacing w:before="231" w:line="222" w:lineRule="auto"/>
        <w:ind w:left="23"/>
        <w:rPr>
          <w:rFonts w:ascii="黑体" w:hAnsi="黑体" w:eastAsia="黑体" w:cs="黑体"/>
          <w:sz w:val="21"/>
          <w:szCs w:val="21"/>
        </w:rPr>
      </w:pPr>
      <w:r>
        <w:rPr>
          <w:rFonts w:ascii="黑体" w:hAnsi="黑体" w:eastAsia="黑体" w:cs="黑体"/>
          <w:b/>
          <w:bCs/>
          <w:spacing w:val="18"/>
          <w:sz w:val="21"/>
          <w:szCs w:val="21"/>
        </w:rPr>
        <w:t>10</w:t>
      </w:r>
      <w:r>
        <w:rPr>
          <w:rFonts w:ascii="黑体" w:hAnsi="黑体" w:eastAsia="黑体" w:cs="黑体"/>
          <w:spacing w:val="-56"/>
          <w:sz w:val="21"/>
          <w:szCs w:val="21"/>
        </w:rPr>
        <w:t xml:space="preserve"> </w:t>
      </w:r>
      <w:r>
        <w:rPr>
          <w:rFonts w:ascii="黑体" w:hAnsi="黑体" w:eastAsia="黑体" w:cs="黑体"/>
          <w:b/>
          <w:bCs/>
          <w:spacing w:val="18"/>
          <w:sz w:val="21"/>
          <w:szCs w:val="21"/>
        </w:rPr>
        <w:t>.2合同进度计划的修订</w:t>
      </w:r>
    </w:p>
    <w:p w14:paraId="7A560194">
      <w:pPr>
        <w:pStyle w:val="2"/>
        <w:spacing w:before="221" w:line="218" w:lineRule="auto"/>
        <w:ind w:left="429"/>
        <w:rPr>
          <w:sz w:val="22"/>
          <w:szCs w:val="22"/>
        </w:rPr>
      </w:pPr>
      <w:r>
        <w:rPr>
          <w:spacing w:val="-12"/>
          <w:sz w:val="22"/>
          <w:szCs w:val="22"/>
        </w:rPr>
        <w:t>(1)承包人报送修订合同进度计划申请报告和相关资料的期限：</w:t>
      </w:r>
      <w:r>
        <w:rPr>
          <w:spacing w:val="-12"/>
          <w:sz w:val="22"/>
          <w:szCs w:val="22"/>
          <w:u w:val="single" w:color="auto"/>
        </w:rPr>
        <w:t xml:space="preserve">                      </w:t>
      </w:r>
    </w:p>
    <w:p w14:paraId="55AEAEC6">
      <w:pPr>
        <w:pStyle w:val="2"/>
        <w:spacing w:before="219" w:line="218" w:lineRule="auto"/>
        <w:ind w:left="429"/>
        <w:rPr>
          <w:sz w:val="20"/>
          <w:szCs w:val="20"/>
        </w:rPr>
      </w:pPr>
      <w:r>
        <w:rPr>
          <w:spacing w:val="2"/>
          <w:sz w:val="20"/>
          <w:szCs w:val="20"/>
        </w:rPr>
        <w:t>(2)监理人批复修订合同进度计划申请报告的期限：</w:t>
      </w:r>
      <w:r>
        <w:rPr>
          <w:spacing w:val="61"/>
          <w:sz w:val="20"/>
          <w:szCs w:val="20"/>
        </w:rPr>
        <w:t xml:space="preserve"> </w:t>
      </w:r>
      <w:r>
        <w:rPr>
          <w:sz w:val="20"/>
          <w:szCs w:val="20"/>
          <w:u w:val="single" w:color="auto"/>
        </w:rPr>
        <w:t xml:space="preserve">                                </w:t>
      </w:r>
    </w:p>
    <w:p w14:paraId="0A9B9AB8">
      <w:pPr>
        <w:pStyle w:val="2"/>
        <w:spacing w:before="246" w:line="219" w:lineRule="auto"/>
        <w:ind w:left="429"/>
        <w:rPr>
          <w:rFonts w:ascii="Times New Roman" w:hAnsi="Times New Roman" w:eastAsia="Times New Roman" w:cs="Times New Roman"/>
          <w:sz w:val="21"/>
          <w:szCs w:val="21"/>
        </w:rPr>
      </w:pPr>
      <w:r>
        <w:rPr>
          <w:sz w:val="21"/>
          <w:szCs w:val="21"/>
        </w:rPr>
        <w:t>(3)监理人批复修订合同进度计划的期限：</w:t>
      </w:r>
      <w:r>
        <w:rPr>
          <w:sz w:val="21"/>
          <w:szCs w:val="21"/>
          <w:u w:val="single" w:color="auto"/>
        </w:rPr>
        <w:t xml:space="preserve">                                 </w:t>
      </w:r>
      <w:r>
        <w:rPr>
          <w:spacing w:val="-1"/>
          <w:sz w:val="21"/>
          <w:szCs w:val="21"/>
          <w:u w:val="single" w:color="auto"/>
        </w:rPr>
        <w:t xml:space="preserve">     </w:t>
      </w:r>
      <w:r>
        <w:rPr>
          <w:spacing w:val="-55"/>
          <w:sz w:val="21"/>
          <w:szCs w:val="21"/>
        </w:rPr>
        <w:t xml:space="preserve"> </w:t>
      </w:r>
      <w:r>
        <w:rPr>
          <w:rFonts w:ascii="Times New Roman" w:hAnsi="Times New Roman" w:eastAsia="Times New Roman" w:cs="Times New Roman"/>
          <w:spacing w:val="-1"/>
          <w:sz w:val="21"/>
          <w:szCs w:val="21"/>
        </w:rPr>
        <w:t>0</w:t>
      </w:r>
    </w:p>
    <w:p w14:paraId="0530A460">
      <w:pPr>
        <w:pStyle w:val="2"/>
        <w:spacing w:before="187" w:line="221" w:lineRule="auto"/>
        <w:ind w:left="23"/>
        <w:rPr>
          <w:rFonts w:ascii="黑体" w:hAnsi="黑体" w:eastAsia="黑体" w:cs="黑体"/>
          <w:sz w:val="27"/>
          <w:szCs w:val="27"/>
        </w:rPr>
      </w:pPr>
      <w:r>
        <w:rPr>
          <w:b/>
          <w:bCs/>
          <w:spacing w:val="-3"/>
          <w:sz w:val="27"/>
          <w:szCs w:val="27"/>
        </w:rPr>
        <w:t>11.</w:t>
      </w:r>
      <w:r>
        <w:rPr>
          <w:rFonts w:ascii="黑体" w:hAnsi="黑体" w:eastAsia="黑体" w:cs="黑体"/>
          <w:b/>
          <w:bCs/>
          <w:spacing w:val="-3"/>
          <w:sz w:val="27"/>
          <w:szCs w:val="27"/>
        </w:rPr>
        <w:t>开工和竣工</w:t>
      </w:r>
    </w:p>
    <w:p w14:paraId="5801BDC9">
      <w:pPr>
        <w:spacing w:before="146" w:line="221" w:lineRule="auto"/>
        <w:ind w:left="23"/>
        <w:rPr>
          <w:rFonts w:ascii="黑体" w:hAnsi="黑体" w:eastAsia="黑体" w:cs="黑体"/>
          <w:sz w:val="21"/>
          <w:szCs w:val="21"/>
        </w:rPr>
      </w:pPr>
      <w:r>
        <w:rPr>
          <w:rFonts w:ascii="黑体" w:hAnsi="黑体" w:eastAsia="黑体" w:cs="黑体"/>
          <w:b/>
          <w:bCs/>
          <w:spacing w:val="18"/>
          <w:sz w:val="21"/>
          <w:szCs w:val="21"/>
        </w:rPr>
        <w:t>11</w:t>
      </w:r>
      <w:r>
        <w:rPr>
          <w:rFonts w:ascii="黑体" w:hAnsi="黑体" w:eastAsia="黑体" w:cs="黑体"/>
          <w:spacing w:val="-56"/>
          <w:sz w:val="21"/>
          <w:szCs w:val="21"/>
        </w:rPr>
        <w:t xml:space="preserve"> </w:t>
      </w:r>
      <w:r>
        <w:rPr>
          <w:rFonts w:ascii="黑体" w:hAnsi="黑体" w:eastAsia="黑体" w:cs="黑体"/>
          <w:b/>
          <w:bCs/>
          <w:spacing w:val="18"/>
          <w:sz w:val="21"/>
          <w:szCs w:val="21"/>
        </w:rPr>
        <w:t>.3发包人的工期延误</w:t>
      </w:r>
    </w:p>
    <w:p w14:paraId="7CA23774">
      <w:pPr>
        <w:pStyle w:val="2"/>
        <w:spacing w:before="203" w:line="390" w:lineRule="auto"/>
        <w:ind w:left="20" w:right="116" w:firstLine="409"/>
        <w:rPr>
          <w:sz w:val="21"/>
          <w:szCs w:val="21"/>
        </w:rPr>
      </w:pPr>
      <w:r>
        <w:rPr>
          <w:spacing w:val="-1"/>
          <w:sz w:val="21"/>
          <w:szCs w:val="21"/>
        </w:rPr>
        <w:t>(7)因发包人原因不能按照监理人发出的开工通知中载明的开工日期开工。除发包</w:t>
      </w:r>
      <w:r>
        <w:rPr>
          <w:spacing w:val="-2"/>
          <w:sz w:val="21"/>
          <w:szCs w:val="21"/>
        </w:rPr>
        <w:t>人原因延期</w:t>
      </w:r>
      <w:r>
        <w:rPr>
          <w:sz w:val="21"/>
          <w:szCs w:val="21"/>
        </w:rPr>
        <w:t xml:space="preserve"> </w:t>
      </w:r>
      <w:r>
        <w:rPr>
          <w:spacing w:val="-1"/>
          <w:sz w:val="21"/>
          <w:szCs w:val="21"/>
        </w:rPr>
        <w:t>开工外，发包人造成工期延误的其他原因还包括：</w:t>
      </w:r>
      <w:r>
        <w:rPr>
          <w:sz w:val="21"/>
          <w:szCs w:val="21"/>
          <w:u w:val="single" w:color="auto"/>
        </w:rPr>
        <w:t xml:space="preserve">                                  </w:t>
      </w:r>
    </w:p>
    <w:p w14:paraId="1CB80045">
      <w:pPr>
        <w:pStyle w:val="2"/>
        <w:tabs>
          <w:tab w:val="left" w:pos="8219"/>
        </w:tabs>
        <w:spacing w:before="12" w:line="381" w:lineRule="auto"/>
        <w:ind w:left="20" w:right="75"/>
        <w:rPr>
          <w:sz w:val="21"/>
          <w:szCs w:val="21"/>
        </w:rPr>
      </w:pPr>
      <w:r>
        <w:rPr>
          <w:sz w:val="21"/>
          <w:szCs w:val="21"/>
          <w:u w:val="single" w:color="auto"/>
        </w:rPr>
        <w:tab/>
      </w:r>
      <w:r>
        <w:rPr>
          <w:spacing w:val="27"/>
          <w:sz w:val="21"/>
          <w:szCs w:val="21"/>
        </w:rPr>
        <w:t>等延误</w:t>
      </w:r>
      <w:r>
        <w:rPr>
          <w:sz w:val="21"/>
          <w:szCs w:val="21"/>
        </w:rPr>
        <w:t xml:space="preserve"> </w:t>
      </w:r>
      <w:r>
        <w:rPr>
          <w:spacing w:val="-3"/>
          <w:sz w:val="21"/>
          <w:szCs w:val="21"/>
        </w:rPr>
        <w:t>承包人关键线路工作的情况。</w:t>
      </w:r>
    </w:p>
    <w:p w14:paraId="1DA9E6BE">
      <w:pPr>
        <w:spacing w:before="1" w:line="220" w:lineRule="auto"/>
        <w:ind w:left="23"/>
        <w:rPr>
          <w:rFonts w:ascii="黑体" w:hAnsi="黑体" w:eastAsia="黑体" w:cs="黑体"/>
          <w:sz w:val="21"/>
          <w:szCs w:val="21"/>
        </w:rPr>
      </w:pPr>
      <w:r>
        <w:rPr>
          <w:rFonts w:ascii="黑体" w:hAnsi="黑体" w:eastAsia="黑体" w:cs="黑体"/>
          <w:b/>
          <w:bCs/>
          <w:spacing w:val="18"/>
          <w:sz w:val="21"/>
          <w:szCs w:val="21"/>
        </w:rPr>
        <w:t>11</w:t>
      </w:r>
      <w:r>
        <w:rPr>
          <w:rFonts w:ascii="黑体" w:hAnsi="黑体" w:eastAsia="黑体" w:cs="黑体"/>
          <w:spacing w:val="-55"/>
          <w:sz w:val="21"/>
          <w:szCs w:val="21"/>
        </w:rPr>
        <w:t xml:space="preserve"> </w:t>
      </w:r>
      <w:r>
        <w:rPr>
          <w:rFonts w:ascii="黑体" w:hAnsi="黑体" w:eastAsia="黑体" w:cs="黑体"/>
          <w:b/>
          <w:bCs/>
          <w:spacing w:val="18"/>
          <w:sz w:val="21"/>
          <w:szCs w:val="21"/>
        </w:rPr>
        <w:t>.4异常恶劣的气候条件</w:t>
      </w:r>
    </w:p>
    <w:p w14:paraId="76876E7F">
      <w:pPr>
        <w:pStyle w:val="2"/>
        <w:spacing w:before="224" w:line="219" w:lineRule="auto"/>
        <w:ind w:left="429"/>
        <w:rPr>
          <w:sz w:val="23"/>
          <w:szCs w:val="23"/>
        </w:rPr>
      </w:pPr>
      <w:r>
        <w:rPr>
          <w:spacing w:val="-20"/>
          <w:sz w:val="23"/>
          <w:szCs w:val="23"/>
        </w:rPr>
        <w:t>异常恶劣的气候条件的范围和标准：</w:t>
      </w:r>
      <w:r>
        <w:rPr>
          <w:sz w:val="23"/>
          <w:szCs w:val="23"/>
          <w:u w:val="single" w:color="auto"/>
        </w:rPr>
        <w:t xml:space="preserve">                                         </w:t>
      </w:r>
    </w:p>
    <w:p w14:paraId="19ED2A17">
      <w:pPr>
        <w:tabs>
          <w:tab w:val="left" w:pos="8459"/>
        </w:tabs>
        <w:spacing w:before="216"/>
        <w:rPr>
          <w:rFonts w:ascii="Arial"/>
          <w:sz w:val="21"/>
        </w:rPr>
      </w:pPr>
      <w:r>
        <w:rPr>
          <w:rFonts w:ascii="Arial" w:hAnsi="Arial" w:eastAsia="Arial" w:cs="Arial"/>
          <w:sz w:val="21"/>
          <w:szCs w:val="21"/>
          <w:u w:val="single" w:color="auto"/>
        </w:rPr>
        <w:tab/>
      </w:r>
    </w:p>
    <w:p w14:paraId="601447A3">
      <w:pPr>
        <w:spacing w:line="271" w:lineRule="auto"/>
        <w:rPr>
          <w:rFonts w:ascii="Arial"/>
          <w:sz w:val="21"/>
        </w:rPr>
      </w:pPr>
    </w:p>
    <w:p w14:paraId="66453255">
      <w:pPr>
        <w:spacing w:line="272" w:lineRule="auto"/>
        <w:rPr>
          <w:rFonts w:ascii="Arial"/>
          <w:sz w:val="21"/>
        </w:rPr>
      </w:pPr>
      <w:r>
        <w:drawing>
          <wp:anchor distT="0" distB="0" distL="0" distR="0" simplePos="0" relativeHeight="251675648" behindDoc="0" locked="0" layoutInCell="1" allowOverlap="1">
            <wp:simplePos x="0" y="0"/>
            <wp:positionH relativeFrom="column">
              <wp:posOffset>0</wp:posOffset>
            </wp:positionH>
            <wp:positionV relativeFrom="paragraph">
              <wp:posOffset>86995</wp:posOffset>
            </wp:positionV>
            <wp:extent cx="5245100" cy="6350"/>
            <wp:effectExtent l="0" t="0" r="0" b="0"/>
            <wp:wrapNone/>
            <wp:docPr id="48" name="IM 48"/>
            <wp:cNvGraphicFramePr/>
            <a:graphic xmlns:a="http://schemas.openxmlformats.org/drawingml/2006/main">
              <a:graphicData uri="http://schemas.openxmlformats.org/drawingml/2006/picture">
                <pic:pic xmlns:pic="http://schemas.openxmlformats.org/drawingml/2006/picture">
                  <pic:nvPicPr>
                    <pic:cNvPr id="48" name="IM 48"/>
                    <pic:cNvPicPr/>
                  </pic:nvPicPr>
                  <pic:blipFill>
                    <a:blip r:embed="rId430"/>
                    <a:stretch>
                      <a:fillRect/>
                    </a:stretch>
                  </pic:blipFill>
                  <pic:spPr>
                    <a:xfrm>
                      <a:off x="0" y="0"/>
                      <a:ext cx="5245062" cy="6350"/>
                    </a:xfrm>
                    <a:prstGeom prst="rect">
                      <a:avLst/>
                    </a:prstGeom>
                  </pic:spPr>
                </pic:pic>
              </a:graphicData>
            </a:graphic>
          </wp:anchor>
        </w:drawing>
      </w:r>
    </w:p>
    <w:p w14:paraId="058C9D03">
      <w:pPr>
        <w:spacing w:before="68" w:line="222" w:lineRule="auto"/>
        <w:ind w:left="23"/>
        <w:rPr>
          <w:rFonts w:ascii="黑体" w:hAnsi="黑体" w:eastAsia="黑体" w:cs="黑体"/>
          <w:sz w:val="21"/>
          <w:szCs w:val="21"/>
        </w:rPr>
      </w:pPr>
      <w:r>
        <w:rPr>
          <w:rFonts w:ascii="黑体" w:hAnsi="黑体" w:eastAsia="黑体" w:cs="黑体"/>
          <w:b/>
          <w:bCs/>
          <w:spacing w:val="18"/>
          <w:sz w:val="21"/>
          <w:szCs w:val="21"/>
        </w:rPr>
        <w:t>11</w:t>
      </w:r>
      <w:r>
        <w:rPr>
          <w:rFonts w:ascii="黑体" w:hAnsi="黑体" w:eastAsia="黑体" w:cs="黑体"/>
          <w:spacing w:val="-56"/>
          <w:sz w:val="21"/>
          <w:szCs w:val="21"/>
        </w:rPr>
        <w:t xml:space="preserve"> </w:t>
      </w:r>
      <w:r>
        <w:rPr>
          <w:rFonts w:ascii="黑体" w:hAnsi="黑体" w:eastAsia="黑体" w:cs="黑体"/>
          <w:b/>
          <w:bCs/>
          <w:spacing w:val="18"/>
          <w:sz w:val="21"/>
          <w:szCs w:val="21"/>
        </w:rPr>
        <w:t>.5承包人的工期延误</w:t>
      </w:r>
    </w:p>
    <w:p w14:paraId="1B3AF661">
      <w:pPr>
        <w:pStyle w:val="2"/>
        <w:spacing w:before="203" w:line="361" w:lineRule="auto"/>
        <w:ind w:left="20" w:firstLine="409"/>
        <w:jc w:val="both"/>
        <w:rPr>
          <w:sz w:val="21"/>
          <w:szCs w:val="21"/>
        </w:rPr>
      </w:pPr>
      <w:r>
        <w:rPr>
          <w:spacing w:val="-1"/>
          <w:sz w:val="21"/>
          <w:szCs w:val="21"/>
        </w:rPr>
        <w:t>由于承包人原因造成不能按期竣工的，在按合同约定确定的竣工日期(包括按合同延长的工期)</w:t>
      </w:r>
      <w:r>
        <w:rPr>
          <w:spacing w:val="7"/>
          <w:sz w:val="21"/>
          <w:szCs w:val="21"/>
        </w:rPr>
        <w:t xml:space="preserve"> </w:t>
      </w:r>
      <w:r>
        <w:rPr>
          <w:spacing w:val="4"/>
          <w:sz w:val="21"/>
          <w:szCs w:val="21"/>
        </w:rPr>
        <w:t>后7天内，监理人应当按通用合同条款第23.4.1项的约定书面通知承包人，说明发包人有权得到</w:t>
      </w:r>
      <w:r>
        <w:rPr>
          <w:spacing w:val="18"/>
          <w:sz w:val="21"/>
          <w:szCs w:val="21"/>
        </w:rPr>
        <w:t xml:space="preserve"> </w:t>
      </w:r>
      <w:r>
        <w:rPr>
          <w:spacing w:val="2"/>
          <w:sz w:val="21"/>
          <w:szCs w:val="21"/>
        </w:rPr>
        <w:t>按本款约定的下列标准和方法计算的逾期竣工违约金，但最终违约金的金额不应超过本款约定的</w:t>
      </w:r>
      <w:r>
        <w:rPr>
          <w:spacing w:val="11"/>
          <w:sz w:val="21"/>
          <w:szCs w:val="21"/>
        </w:rPr>
        <w:t xml:space="preserve"> </w:t>
      </w:r>
      <w:r>
        <w:rPr>
          <w:spacing w:val="2"/>
          <w:sz w:val="21"/>
          <w:szCs w:val="21"/>
        </w:rPr>
        <w:t>逾期竣工违约金最高限额。监理人未在规定的期限内发出本款约定的书面通知的，发包人丧失主</w:t>
      </w:r>
      <w:r>
        <w:rPr>
          <w:spacing w:val="6"/>
          <w:sz w:val="21"/>
          <w:szCs w:val="21"/>
        </w:rPr>
        <w:t xml:space="preserve"> </w:t>
      </w:r>
      <w:r>
        <w:rPr>
          <w:spacing w:val="-4"/>
          <w:sz w:val="21"/>
          <w:szCs w:val="21"/>
        </w:rPr>
        <w:t>张逾期竣工违约金的权利。</w:t>
      </w:r>
    </w:p>
    <w:p w14:paraId="166F94EA">
      <w:pPr>
        <w:pStyle w:val="2"/>
        <w:spacing w:before="176" w:line="219" w:lineRule="auto"/>
        <w:ind w:left="429"/>
        <w:rPr>
          <w:rFonts w:ascii="Arial" w:hAnsi="Arial" w:eastAsia="Arial" w:cs="Arial"/>
          <w:sz w:val="21"/>
          <w:szCs w:val="21"/>
        </w:rPr>
      </w:pPr>
      <w:r>
        <w:rPr>
          <w:sz w:val="21"/>
          <w:szCs w:val="21"/>
        </w:rPr>
        <w:t>逾期竣工违约金的计算标准：</w:t>
      </w:r>
      <w:r>
        <w:rPr>
          <w:sz w:val="21"/>
          <w:szCs w:val="21"/>
          <w:u w:val="single" w:color="auto"/>
        </w:rPr>
        <w:t xml:space="preserve">                                                </w:t>
      </w:r>
      <w:r>
        <w:rPr>
          <w:rFonts w:ascii="Arial" w:hAnsi="Arial" w:eastAsia="Arial" w:cs="Arial"/>
          <w:sz w:val="21"/>
          <w:szCs w:val="21"/>
        </w:rPr>
        <w:t>o</w:t>
      </w:r>
    </w:p>
    <w:p w14:paraId="3F0030C2">
      <w:pPr>
        <w:pStyle w:val="2"/>
        <w:spacing w:before="211" w:line="219" w:lineRule="auto"/>
        <w:ind w:left="429"/>
        <w:rPr>
          <w:sz w:val="21"/>
          <w:szCs w:val="21"/>
        </w:rPr>
      </w:pPr>
      <w:r>
        <w:rPr>
          <w:spacing w:val="-8"/>
          <w:sz w:val="21"/>
          <w:szCs w:val="21"/>
        </w:rPr>
        <w:t>逾期竣工违约金的计算方法：</w:t>
      </w:r>
      <w:r>
        <w:rPr>
          <w:sz w:val="21"/>
          <w:szCs w:val="21"/>
          <w:u w:val="single" w:color="auto"/>
        </w:rPr>
        <w:t xml:space="preserve">                                                  </w:t>
      </w:r>
    </w:p>
    <w:p w14:paraId="06420232">
      <w:pPr>
        <w:pStyle w:val="2"/>
        <w:spacing w:before="203" w:line="213" w:lineRule="auto"/>
        <w:ind w:left="429"/>
        <w:rPr>
          <w:sz w:val="21"/>
          <w:szCs w:val="21"/>
        </w:rPr>
      </w:pPr>
      <w:r>
        <w:rPr>
          <w:sz w:val="21"/>
          <w:szCs w:val="21"/>
        </w:rPr>
        <w:t>逾期竣工违约金最高限额：</w:t>
      </w:r>
      <w:r>
        <w:rPr>
          <w:sz w:val="21"/>
          <w:szCs w:val="21"/>
          <w:u w:val="single" w:color="auto"/>
        </w:rPr>
        <w:t xml:space="preserve">                                                  </w:t>
      </w:r>
      <w:r>
        <w:rPr>
          <w:sz w:val="21"/>
          <w:szCs w:val="21"/>
        </w:rPr>
        <w:t>_</w:t>
      </w:r>
    </w:p>
    <w:p w14:paraId="2855798C">
      <w:pPr>
        <w:spacing w:before="162" w:line="222" w:lineRule="auto"/>
        <w:ind w:left="23"/>
        <w:rPr>
          <w:rFonts w:ascii="黑体" w:hAnsi="黑体" w:eastAsia="黑体" w:cs="黑体"/>
          <w:sz w:val="21"/>
          <w:szCs w:val="21"/>
        </w:rPr>
      </w:pPr>
      <w:r>
        <w:rPr>
          <w:rFonts w:ascii="黑体" w:hAnsi="黑体" w:eastAsia="黑体" w:cs="黑体"/>
          <w:b/>
          <w:bCs/>
          <w:spacing w:val="16"/>
          <w:sz w:val="21"/>
          <w:szCs w:val="21"/>
        </w:rPr>
        <w:t>11.6工期提前</w:t>
      </w:r>
    </w:p>
    <w:p w14:paraId="0EA1E70A">
      <w:pPr>
        <w:pStyle w:val="2"/>
        <w:spacing w:before="141" w:line="219" w:lineRule="auto"/>
        <w:ind w:left="429"/>
        <w:rPr>
          <w:rFonts w:ascii="Arial" w:hAnsi="Arial" w:eastAsia="Arial" w:cs="Arial"/>
          <w:sz w:val="11"/>
          <w:szCs w:val="11"/>
        </w:rPr>
      </w:pPr>
      <w:r>
        <w:rPr>
          <w:sz w:val="21"/>
          <w:szCs w:val="21"/>
        </w:rPr>
        <w:t>提前竣工的奖励办法：</w:t>
      </w:r>
      <w:r>
        <w:rPr>
          <w:spacing w:val="-77"/>
          <w:sz w:val="21"/>
          <w:szCs w:val="21"/>
        </w:rPr>
        <w:t xml:space="preserve"> </w:t>
      </w:r>
      <w:r>
        <w:rPr>
          <w:sz w:val="21"/>
          <w:szCs w:val="21"/>
          <w:u w:val="single" w:color="auto"/>
        </w:rPr>
        <w:t xml:space="preserve">                                             </w:t>
      </w:r>
      <w:r>
        <w:rPr>
          <w:spacing w:val="-1"/>
          <w:sz w:val="21"/>
          <w:szCs w:val="21"/>
          <w:u w:val="single" w:color="auto"/>
        </w:rPr>
        <w:t xml:space="preserve">        </w:t>
      </w:r>
      <w:r>
        <w:rPr>
          <w:spacing w:val="-1"/>
          <w:sz w:val="21"/>
          <w:szCs w:val="21"/>
        </w:rPr>
        <w:t xml:space="preserve"> </w:t>
      </w:r>
      <w:r>
        <w:rPr>
          <w:rFonts w:ascii="Arial" w:hAnsi="Arial" w:eastAsia="Arial" w:cs="Arial"/>
          <w:spacing w:val="-1"/>
          <w:sz w:val="11"/>
          <w:szCs w:val="11"/>
        </w:rPr>
        <w:t>o</w:t>
      </w:r>
    </w:p>
    <w:p w14:paraId="3F64B6BD">
      <w:pPr>
        <w:spacing w:line="219" w:lineRule="auto"/>
        <w:rPr>
          <w:rFonts w:ascii="Arial" w:hAnsi="Arial" w:eastAsia="Arial" w:cs="Arial"/>
          <w:sz w:val="11"/>
          <w:szCs w:val="11"/>
        </w:rPr>
        <w:sectPr>
          <w:footerReference r:id="rId159" w:type="default"/>
          <w:pgSz w:w="11910" w:h="16840"/>
          <w:pgMar w:top="400" w:right="1463" w:bottom="1024" w:left="1440" w:header="0" w:footer="889" w:gutter="0"/>
          <w:cols w:space="720" w:num="1"/>
        </w:sectPr>
      </w:pPr>
    </w:p>
    <w:p w14:paraId="711C77E8">
      <w:pPr>
        <w:spacing w:line="256" w:lineRule="auto"/>
        <w:rPr>
          <w:rFonts w:ascii="Arial"/>
          <w:sz w:val="21"/>
        </w:rPr>
      </w:pPr>
    </w:p>
    <w:p w14:paraId="1FAB69F5">
      <w:pPr>
        <w:spacing w:line="256" w:lineRule="auto"/>
        <w:rPr>
          <w:rFonts w:ascii="Arial"/>
          <w:sz w:val="21"/>
        </w:rPr>
      </w:pPr>
    </w:p>
    <w:p w14:paraId="7728A731">
      <w:pPr>
        <w:spacing w:line="256" w:lineRule="auto"/>
        <w:rPr>
          <w:rFonts w:ascii="Arial"/>
          <w:sz w:val="21"/>
        </w:rPr>
      </w:pPr>
    </w:p>
    <w:p w14:paraId="5E7607CD">
      <w:pPr>
        <w:spacing w:line="257" w:lineRule="auto"/>
        <w:rPr>
          <w:rFonts w:ascii="Arial"/>
          <w:sz w:val="21"/>
        </w:rPr>
      </w:pPr>
    </w:p>
    <w:p w14:paraId="4D42F6DD">
      <w:pPr>
        <w:spacing w:line="257" w:lineRule="auto"/>
        <w:rPr>
          <w:rFonts w:ascii="Arial"/>
          <w:sz w:val="21"/>
        </w:rPr>
      </w:pPr>
    </w:p>
    <w:p w14:paraId="7E763C27">
      <w:pPr>
        <w:spacing w:before="88" w:line="223" w:lineRule="auto"/>
        <w:ind w:left="23"/>
        <w:rPr>
          <w:rFonts w:ascii="黑体" w:hAnsi="黑体" w:eastAsia="黑体" w:cs="黑体"/>
          <w:sz w:val="27"/>
          <w:szCs w:val="27"/>
        </w:rPr>
      </w:pPr>
      <w:r>
        <w:rPr>
          <w:rFonts w:ascii="黑体" w:hAnsi="黑体" w:eastAsia="黑体" w:cs="黑体"/>
          <w:b/>
          <w:bCs/>
          <w:spacing w:val="-2"/>
          <w:sz w:val="27"/>
          <w:szCs w:val="27"/>
        </w:rPr>
        <w:t>12.暂停施工</w:t>
      </w:r>
    </w:p>
    <w:p w14:paraId="1FED3F87">
      <w:pPr>
        <w:spacing w:before="100" w:line="221" w:lineRule="auto"/>
        <w:ind w:left="23"/>
        <w:rPr>
          <w:rFonts w:ascii="黑体" w:hAnsi="黑体" w:eastAsia="黑体" w:cs="黑体"/>
          <w:sz w:val="24"/>
          <w:szCs w:val="24"/>
        </w:rPr>
      </w:pPr>
      <w:r>
        <w:rPr>
          <w:rFonts w:ascii="黑体" w:hAnsi="黑体" w:eastAsia="黑体" w:cs="黑体"/>
          <w:b/>
          <w:bCs/>
          <w:spacing w:val="-4"/>
          <w:sz w:val="24"/>
          <w:szCs w:val="24"/>
        </w:rPr>
        <w:t>12.1承包人暂停施工的责任</w:t>
      </w:r>
    </w:p>
    <w:p w14:paraId="46D3D824">
      <w:pPr>
        <w:pStyle w:val="2"/>
        <w:spacing w:before="276" w:line="219" w:lineRule="auto"/>
        <w:ind w:left="459"/>
        <w:rPr>
          <w:sz w:val="20"/>
          <w:szCs w:val="20"/>
        </w:rPr>
      </w:pPr>
      <w:r>
        <w:rPr>
          <w:spacing w:val="1"/>
          <w:sz w:val="20"/>
          <w:szCs w:val="20"/>
        </w:rPr>
        <w:t xml:space="preserve">(5)承包人承担暂停施工责任的其他情形： </w:t>
      </w:r>
      <w:r>
        <w:rPr>
          <w:spacing w:val="1"/>
          <w:sz w:val="20"/>
          <w:szCs w:val="20"/>
          <w:u w:val="single" w:color="auto"/>
        </w:rPr>
        <w:t xml:space="preserve">                                      </w:t>
      </w:r>
      <w:r>
        <w:rPr>
          <w:sz w:val="20"/>
          <w:szCs w:val="20"/>
          <w:u w:val="single" w:color="auto"/>
        </w:rPr>
        <w:t xml:space="preserve">   </w:t>
      </w:r>
    </w:p>
    <w:p w14:paraId="4854EFC4">
      <w:pPr>
        <w:spacing w:line="421" w:lineRule="auto"/>
        <w:rPr>
          <w:rFonts w:ascii="Arial"/>
          <w:sz w:val="21"/>
        </w:rPr>
      </w:pPr>
    </w:p>
    <w:p w14:paraId="089BF3DB">
      <w:pPr>
        <w:spacing w:line="520" w:lineRule="exact"/>
      </w:pPr>
      <w:r>
        <w:rPr>
          <w:position w:val="-10"/>
        </w:rPr>
        <w:drawing>
          <wp:inline distT="0" distB="0" distL="0" distR="0">
            <wp:extent cx="5377815" cy="330200"/>
            <wp:effectExtent l="0" t="0" r="0" b="0"/>
            <wp:docPr id="50" name="IM 50"/>
            <wp:cNvGraphicFramePr/>
            <a:graphic xmlns:a="http://schemas.openxmlformats.org/drawingml/2006/main">
              <a:graphicData uri="http://schemas.openxmlformats.org/drawingml/2006/picture">
                <pic:pic xmlns:pic="http://schemas.openxmlformats.org/drawingml/2006/picture">
                  <pic:nvPicPr>
                    <pic:cNvPr id="50" name="IM 50"/>
                    <pic:cNvPicPr/>
                  </pic:nvPicPr>
                  <pic:blipFill>
                    <a:blip r:embed="rId431"/>
                    <a:stretch>
                      <a:fillRect/>
                    </a:stretch>
                  </pic:blipFill>
                  <pic:spPr>
                    <a:xfrm>
                      <a:off x="0" y="0"/>
                      <a:ext cx="5378394" cy="330213"/>
                    </a:xfrm>
                    <a:prstGeom prst="rect">
                      <a:avLst/>
                    </a:prstGeom>
                  </pic:spPr>
                </pic:pic>
              </a:graphicData>
            </a:graphic>
          </wp:inline>
        </w:drawing>
      </w:r>
    </w:p>
    <w:p w14:paraId="4D6D4830">
      <w:pPr>
        <w:spacing w:before="234" w:line="222" w:lineRule="auto"/>
        <w:ind w:left="23"/>
        <w:rPr>
          <w:rFonts w:ascii="黑体" w:hAnsi="黑体" w:eastAsia="黑体" w:cs="黑体"/>
          <w:sz w:val="24"/>
          <w:szCs w:val="24"/>
        </w:rPr>
      </w:pPr>
      <w:r>
        <w:rPr>
          <w:rFonts w:ascii="黑体" w:hAnsi="黑体" w:eastAsia="黑体" w:cs="黑体"/>
          <w:b/>
          <w:bCs/>
          <w:spacing w:val="-5"/>
          <w:sz w:val="24"/>
          <w:szCs w:val="24"/>
        </w:rPr>
        <w:t>12.4暂停施工后的复工</w:t>
      </w:r>
    </w:p>
    <w:p w14:paraId="4BFB1B9A">
      <w:pPr>
        <w:pStyle w:val="2"/>
        <w:spacing w:before="185" w:line="339" w:lineRule="auto"/>
        <w:ind w:left="20" w:firstLine="439"/>
        <w:rPr>
          <w:sz w:val="20"/>
          <w:szCs w:val="20"/>
        </w:rPr>
      </w:pPr>
      <w:r>
        <w:rPr>
          <w:spacing w:val="11"/>
          <w:sz w:val="20"/>
          <w:szCs w:val="20"/>
        </w:rPr>
        <w:t>12.4.3根据通用合同条款第12.4.1款的约定，监理人发</w:t>
      </w:r>
      <w:r>
        <w:rPr>
          <w:spacing w:val="10"/>
          <w:sz w:val="20"/>
          <w:szCs w:val="20"/>
        </w:rPr>
        <w:t>出复工通知后，监理人应和承包人一</w:t>
      </w:r>
      <w:r>
        <w:rPr>
          <w:sz w:val="20"/>
          <w:szCs w:val="20"/>
        </w:rPr>
        <w:t xml:space="preserve"> </w:t>
      </w:r>
      <w:r>
        <w:rPr>
          <w:spacing w:val="12"/>
          <w:sz w:val="20"/>
          <w:szCs w:val="20"/>
        </w:rPr>
        <w:t>起对受到暂停施工影响的工程、材料和工程设备进行检查。承包人负责修复在暂停施工期间发生</w:t>
      </w:r>
      <w:r>
        <w:rPr>
          <w:spacing w:val="4"/>
          <w:sz w:val="20"/>
          <w:szCs w:val="20"/>
        </w:rPr>
        <w:t xml:space="preserve"> </w:t>
      </w:r>
      <w:r>
        <w:rPr>
          <w:spacing w:val="12"/>
          <w:sz w:val="20"/>
          <w:szCs w:val="20"/>
        </w:rPr>
        <w:t>在工程、材料和工程设备上的任何损蚀、缺陷或损失，修复费用由承担暂停施工责任的责任人承</w:t>
      </w:r>
      <w:r>
        <w:rPr>
          <w:spacing w:val="4"/>
          <w:sz w:val="20"/>
          <w:szCs w:val="20"/>
        </w:rPr>
        <w:t xml:space="preserve"> </w:t>
      </w:r>
      <w:r>
        <w:rPr>
          <w:sz w:val="20"/>
          <w:szCs w:val="20"/>
        </w:rPr>
        <w:t>担。</w:t>
      </w:r>
    </w:p>
    <w:p w14:paraId="28EBB49B">
      <w:pPr>
        <w:pStyle w:val="2"/>
        <w:spacing w:before="209" w:line="326" w:lineRule="auto"/>
        <w:ind w:left="20" w:firstLine="439"/>
        <w:rPr>
          <w:sz w:val="20"/>
          <w:szCs w:val="20"/>
        </w:rPr>
      </w:pPr>
      <w:r>
        <w:rPr>
          <w:spacing w:val="11"/>
          <w:sz w:val="20"/>
          <w:szCs w:val="20"/>
        </w:rPr>
        <w:t>12.4.4暂停施工持续56天以上，按合同约定由承包人提供的材料和工程设备，由于暂停施工</w:t>
      </w:r>
      <w:r>
        <w:rPr>
          <w:spacing w:val="5"/>
          <w:sz w:val="20"/>
          <w:szCs w:val="20"/>
        </w:rPr>
        <w:t xml:space="preserve"> </w:t>
      </w:r>
      <w:r>
        <w:rPr>
          <w:spacing w:val="12"/>
          <w:sz w:val="20"/>
          <w:szCs w:val="20"/>
        </w:rPr>
        <w:t>原因导致承包人在暂停施工前已经订购但被暂停运至施工现场的，发包人应按照</w:t>
      </w:r>
      <w:r>
        <w:rPr>
          <w:spacing w:val="11"/>
          <w:sz w:val="20"/>
          <w:szCs w:val="20"/>
        </w:rPr>
        <w:t>承包人订购合同</w:t>
      </w:r>
      <w:r>
        <w:rPr>
          <w:sz w:val="20"/>
          <w:szCs w:val="20"/>
        </w:rPr>
        <w:t xml:space="preserve"> </w:t>
      </w:r>
      <w:r>
        <w:rPr>
          <w:spacing w:val="7"/>
          <w:sz w:val="20"/>
          <w:szCs w:val="20"/>
        </w:rPr>
        <w:t>的约定支付相应的订购款项。</w:t>
      </w:r>
    </w:p>
    <w:p w14:paraId="398D7F39">
      <w:pPr>
        <w:spacing w:before="200" w:line="222" w:lineRule="auto"/>
        <w:ind w:left="23"/>
        <w:rPr>
          <w:rFonts w:ascii="黑体" w:hAnsi="黑体" w:eastAsia="黑体" w:cs="黑体"/>
          <w:sz w:val="27"/>
          <w:szCs w:val="27"/>
        </w:rPr>
      </w:pPr>
      <w:r>
        <w:rPr>
          <w:rFonts w:ascii="黑体" w:hAnsi="黑体" w:eastAsia="黑体" w:cs="黑体"/>
          <w:b/>
          <w:bCs/>
          <w:spacing w:val="-6"/>
          <w:sz w:val="27"/>
          <w:szCs w:val="27"/>
        </w:rPr>
        <w:t>13.工程质量</w:t>
      </w:r>
    </w:p>
    <w:p w14:paraId="630755C5">
      <w:pPr>
        <w:spacing w:before="106" w:line="222" w:lineRule="auto"/>
        <w:ind w:left="23"/>
        <w:rPr>
          <w:rFonts w:ascii="黑体" w:hAnsi="黑体" w:eastAsia="黑体" w:cs="黑体"/>
          <w:sz w:val="24"/>
          <w:szCs w:val="24"/>
        </w:rPr>
      </w:pPr>
      <w:r>
        <w:rPr>
          <w:rFonts w:ascii="黑体" w:hAnsi="黑体" w:eastAsia="黑体" w:cs="黑体"/>
          <w:b/>
          <w:bCs/>
          <w:spacing w:val="-5"/>
          <w:sz w:val="24"/>
          <w:szCs w:val="24"/>
        </w:rPr>
        <w:t>13.2承包人的质量管理</w:t>
      </w:r>
    </w:p>
    <w:p w14:paraId="01BDFC2E">
      <w:pPr>
        <w:pStyle w:val="2"/>
        <w:spacing w:before="203" w:line="336" w:lineRule="auto"/>
        <w:ind w:left="459" w:right="691"/>
        <w:rPr>
          <w:sz w:val="20"/>
          <w:szCs w:val="20"/>
        </w:rPr>
      </w:pPr>
      <w:r>
        <w:rPr>
          <w:spacing w:val="5"/>
          <w:sz w:val="20"/>
          <w:szCs w:val="20"/>
        </w:rPr>
        <w:t>13.2.1承包人向监理人提交工程质量保证措施文件的期限：</w:t>
      </w:r>
      <w:r>
        <w:rPr>
          <w:spacing w:val="-91"/>
          <w:sz w:val="20"/>
          <w:szCs w:val="20"/>
        </w:rPr>
        <w:t xml:space="preserve"> </w:t>
      </w:r>
      <w:r>
        <w:rPr>
          <w:spacing w:val="1"/>
          <w:sz w:val="20"/>
          <w:szCs w:val="20"/>
          <w:u w:val="single" w:color="auto"/>
        </w:rPr>
        <w:t xml:space="preserve">                   </w:t>
      </w:r>
      <w:r>
        <w:rPr>
          <w:sz w:val="20"/>
          <w:szCs w:val="20"/>
          <w:u w:val="single" w:color="auto"/>
        </w:rPr>
        <w:t xml:space="preserve">   </w:t>
      </w:r>
      <w:r>
        <w:rPr>
          <w:spacing w:val="-79"/>
          <w:sz w:val="20"/>
          <w:szCs w:val="20"/>
        </w:rPr>
        <w:t xml:space="preserve"> </w:t>
      </w:r>
      <w:r>
        <w:rPr>
          <w:spacing w:val="5"/>
          <w:sz w:val="20"/>
          <w:szCs w:val="20"/>
        </w:rPr>
        <w:t>□</w:t>
      </w:r>
      <w:r>
        <w:rPr>
          <w:sz w:val="20"/>
          <w:szCs w:val="20"/>
        </w:rPr>
        <w:t xml:space="preserve"> </w:t>
      </w:r>
      <w:r>
        <w:rPr>
          <w:spacing w:val="1"/>
          <w:sz w:val="20"/>
          <w:szCs w:val="20"/>
        </w:rPr>
        <w:t>监理人审批工程质量保证措施文件的期限：</w:t>
      </w:r>
      <w:r>
        <w:rPr>
          <w:spacing w:val="48"/>
          <w:sz w:val="20"/>
          <w:szCs w:val="20"/>
        </w:rPr>
        <w:t xml:space="preserve"> </w:t>
      </w:r>
      <w:r>
        <w:rPr>
          <w:spacing w:val="2"/>
          <w:sz w:val="20"/>
          <w:szCs w:val="20"/>
          <w:u w:val="single" w:color="auto"/>
        </w:rPr>
        <w:t xml:space="preserve">                                    </w:t>
      </w:r>
      <w:r>
        <w:rPr>
          <w:spacing w:val="-71"/>
          <w:sz w:val="20"/>
          <w:szCs w:val="20"/>
        </w:rPr>
        <w:t xml:space="preserve"> </w:t>
      </w:r>
      <w:r>
        <w:rPr>
          <w:spacing w:val="1"/>
          <w:sz w:val="20"/>
          <w:szCs w:val="20"/>
        </w:rPr>
        <w:t>_</w:t>
      </w:r>
    </w:p>
    <w:p w14:paraId="455D2826">
      <w:pPr>
        <w:spacing w:before="1" w:line="222" w:lineRule="auto"/>
        <w:ind w:left="23"/>
        <w:rPr>
          <w:rFonts w:ascii="黑体" w:hAnsi="黑体" w:eastAsia="黑体" w:cs="黑体"/>
          <w:sz w:val="24"/>
          <w:szCs w:val="24"/>
        </w:rPr>
      </w:pPr>
      <w:r>
        <w:rPr>
          <w:rFonts w:ascii="黑体" w:hAnsi="黑体" w:eastAsia="黑体" w:cs="黑体"/>
          <w:b/>
          <w:bCs/>
          <w:spacing w:val="-5"/>
          <w:sz w:val="24"/>
          <w:szCs w:val="24"/>
        </w:rPr>
        <w:t>13.3承包人的质量检查</w:t>
      </w:r>
    </w:p>
    <w:p w14:paraId="3D247485">
      <w:pPr>
        <w:pStyle w:val="2"/>
        <w:spacing w:before="223" w:line="219" w:lineRule="auto"/>
        <w:ind w:left="459"/>
        <w:rPr>
          <w:sz w:val="20"/>
          <w:szCs w:val="20"/>
        </w:rPr>
      </w:pPr>
      <w:r>
        <w:rPr>
          <w:spacing w:val="1"/>
          <w:sz w:val="20"/>
          <w:szCs w:val="20"/>
        </w:rPr>
        <w:t xml:space="preserve">承包人向监理人报送工程质量报表的期限： </w:t>
      </w:r>
      <w:r>
        <w:rPr>
          <w:spacing w:val="1"/>
          <w:sz w:val="20"/>
          <w:szCs w:val="20"/>
          <w:u w:val="single" w:color="auto"/>
        </w:rPr>
        <w:t xml:space="preserve">                                      </w:t>
      </w:r>
    </w:p>
    <w:p w14:paraId="7B4022E5">
      <w:pPr>
        <w:pStyle w:val="2"/>
        <w:spacing w:before="252" w:line="219" w:lineRule="auto"/>
        <w:ind w:left="459"/>
        <w:rPr>
          <w:sz w:val="20"/>
          <w:szCs w:val="20"/>
        </w:rPr>
      </w:pPr>
      <w:r>
        <w:rPr>
          <w:spacing w:val="1"/>
          <w:sz w:val="20"/>
          <w:szCs w:val="20"/>
        </w:rPr>
        <w:t>承包人向监理人报送工程质量报表的要求：</w:t>
      </w:r>
      <w:r>
        <w:rPr>
          <w:spacing w:val="49"/>
          <w:sz w:val="20"/>
          <w:szCs w:val="20"/>
        </w:rPr>
        <w:t xml:space="preserve"> </w:t>
      </w:r>
      <w:r>
        <w:rPr>
          <w:sz w:val="20"/>
          <w:szCs w:val="20"/>
          <w:u w:val="single" w:color="auto"/>
        </w:rPr>
        <w:t xml:space="preserve">                                      </w:t>
      </w:r>
    </w:p>
    <w:p w14:paraId="417AA5AD">
      <w:pPr>
        <w:pStyle w:val="2"/>
        <w:spacing w:before="253" w:line="219" w:lineRule="auto"/>
        <w:ind w:left="459"/>
        <w:rPr>
          <w:rFonts w:ascii="Arial" w:hAnsi="Arial" w:eastAsia="Arial" w:cs="Arial"/>
          <w:sz w:val="20"/>
          <w:szCs w:val="20"/>
        </w:rPr>
      </w:pPr>
      <w:r>
        <w:rPr>
          <w:spacing w:val="1"/>
          <w:sz w:val="20"/>
          <w:szCs w:val="20"/>
        </w:rPr>
        <w:t>监理人审查工程质量报表的期限：</w:t>
      </w:r>
      <w:r>
        <w:rPr>
          <w:spacing w:val="-77"/>
          <w:sz w:val="20"/>
          <w:szCs w:val="20"/>
        </w:rPr>
        <w:t xml:space="preserve"> </w:t>
      </w:r>
      <w:r>
        <w:rPr>
          <w:sz w:val="20"/>
          <w:szCs w:val="20"/>
          <w:u w:val="single" w:color="auto"/>
        </w:rPr>
        <w:t xml:space="preserve">                                               </w:t>
      </w:r>
      <w:r>
        <w:rPr>
          <w:spacing w:val="-41"/>
          <w:sz w:val="20"/>
          <w:szCs w:val="20"/>
        </w:rPr>
        <w:t xml:space="preserve"> </w:t>
      </w:r>
      <w:r>
        <w:rPr>
          <w:rFonts w:ascii="Arial" w:hAnsi="Arial" w:eastAsia="Arial" w:cs="Arial"/>
          <w:spacing w:val="1"/>
          <w:sz w:val="20"/>
          <w:szCs w:val="20"/>
        </w:rPr>
        <w:t>o</w:t>
      </w:r>
    </w:p>
    <w:p w14:paraId="0E778D37">
      <w:pPr>
        <w:spacing w:before="131" w:line="222" w:lineRule="auto"/>
        <w:ind w:left="23"/>
        <w:rPr>
          <w:rFonts w:ascii="黑体" w:hAnsi="黑体" w:eastAsia="黑体" w:cs="黑体"/>
          <w:sz w:val="24"/>
          <w:szCs w:val="24"/>
        </w:rPr>
      </w:pPr>
      <w:r>
        <w:rPr>
          <w:rFonts w:ascii="黑体" w:hAnsi="黑体" w:eastAsia="黑体" w:cs="黑体"/>
          <w:b/>
          <w:bCs/>
          <w:spacing w:val="-5"/>
          <w:sz w:val="24"/>
          <w:szCs w:val="24"/>
        </w:rPr>
        <w:t>13.4监理人的质量检查</w:t>
      </w:r>
    </w:p>
    <w:p w14:paraId="26FADB44">
      <w:pPr>
        <w:pStyle w:val="2"/>
        <w:spacing w:before="222" w:line="336" w:lineRule="auto"/>
        <w:ind w:left="20" w:right="22" w:firstLine="439"/>
        <w:rPr>
          <w:sz w:val="20"/>
          <w:szCs w:val="20"/>
        </w:rPr>
      </w:pPr>
      <w:r>
        <w:rPr>
          <w:spacing w:val="12"/>
          <w:sz w:val="20"/>
          <w:szCs w:val="20"/>
        </w:rPr>
        <w:t>承包人应当为监理人的检查和检验提供方便，监理人可以进行</w:t>
      </w:r>
      <w:r>
        <w:rPr>
          <w:spacing w:val="11"/>
          <w:sz w:val="20"/>
          <w:szCs w:val="20"/>
        </w:rPr>
        <w:t>察看和查阅施工原始记录的其</w:t>
      </w:r>
      <w:r>
        <w:rPr>
          <w:sz w:val="20"/>
          <w:szCs w:val="20"/>
        </w:rPr>
        <w:t xml:space="preserve"> 他地方包括：</w:t>
      </w:r>
      <w:r>
        <w:rPr>
          <w:spacing w:val="-41"/>
          <w:sz w:val="20"/>
          <w:szCs w:val="20"/>
        </w:rPr>
        <w:t xml:space="preserve"> </w:t>
      </w:r>
      <w:r>
        <w:rPr>
          <w:sz w:val="20"/>
          <w:szCs w:val="20"/>
          <w:u w:val="single" w:color="auto"/>
        </w:rPr>
        <w:t xml:space="preserve">                                                                   </w:t>
      </w:r>
    </w:p>
    <w:p w14:paraId="2ADB2160">
      <w:pPr>
        <w:spacing w:before="10" w:line="222" w:lineRule="auto"/>
        <w:ind w:left="23"/>
        <w:rPr>
          <w:rFonts w:ascii="黑体" w:hAnsi="黑体" w:eastAsia="黑体" w:cs="黑体"/>
          <w:sz w:val="24"/>
          <w:szCs w:val="24"/>
        </w:rPr>
      </w:pPr>
      <w:r>
        <w:rPr>
          <w:rFonts w:ascii="黑体" w:hAnsi="黑体" w:eastAsia="黑体" w:cs="黑体"/>
          <w:b/>
          <w:bCs/>
          <w:spacing w:val="-3"/>
          <w:sz w:val="24"/>
          <w:szCs w:val="24"/>
        </w:rPr>
        <w:t>13.5工程隐蔽部位覆盖前的检查</w:t>
      </w:r>
    </w:p>
    <w:p w14:paraId="3A99D998">
      <w:pPr>
        <w:pStyle w:val="2"/>
        <w:spacing w:before="145" w:line="219" w:lineRule="auto"/>
        <w:ind w:left="459"/>
        <w:rPr>
          <w:sz w:val="21"/>
          <w:szCs w:val="21"/>
        </w:rPr>
      </w:pPr>
      <w:r>
        <w:rPr>
          <w:sz w:val="21"/>
          <w:szCs w:val="21"/>
        </w:rPr>
        <w:t>13.5.1监理人对工程隐蔽部位进行检查的期限：</w:t>
      </w:r>
      <w:r>
        <w:rPr>
          <w:sz w:val="21"/>
          <w:szCs w:val="21"/>
          <w:u w:val="single" w:color="auto"/>
        </w:rPr>
        <w:t xml:space="preserve">             </w:t>
      </w:r>
      <w:r>
        <w:rPr>
          <w:spacing w:val="-1"/>
          <w:sz w:val="21"/>
          <w:szCs w:val="21"/>
          <w:u w:val="single" w:color="auto"/>
        </w:rPr>
        <w:t xml:space="preserve">                     </w:t>
      </w:r>
    </w:p>
    <w:p w14:paraId="1B523868">
      <w:pPr>
        <w:spacing w:before="107" w:line="222" w:lineRule="auto"/>
        <w:ind w:left="23"/>
        <w:rPr>
          <w:rFonts w:ascii="黑体" w:hAnsi="黑体" w:eastAsia="黑体" w:cs="黑体"/>
          <w:sz w:val="24"/>
          <w:szCs w:val="24"/>
        </w:rPr>
      </w:pPr>
      <w:r>
        <w:rPr>
          <w:rFonts w:ascii="黑体" w:hAnsi="黑体" w:eastAsia="黑体" w:cs="黑体"/>
          <w:b/>
          <w:bCs/>
          <w:spacing w:val="-5"/>
          <w:sz w:val="24"/>
          <w:szCs w:val="24"/>
        </w:rPr>
        <w:t>13.7质量争议</w:t>
      </w:r>
    </w:p>
    <w:p w14:paraId="493EDE4D">
      <w:pPr>
        <w:pStyle w:val="2"/>
        <w:spacing w:before="246" w:line="342" w:lineRule="auto"/>
        <w:ind w:left="20" w:right="6" w:firstLine="439"/>
        <w:jc w:val="both"/>
        <w:rPr>
          <w:sz w:val="20"/>
          <w:szCs w:val="20"/>
        </w:rPr>
      </w:pPr>
      <w:r>
        <w:rPr>
          <w:spacing w:val="12"/>
          <w:sz w:val="20"/>
          <w:szCs w:val="20"/>
        </w:rPr>
        <w:t>发包人和承包人对工程质量有争议的，除可按</w:t>
      </w:r>
      <w:r>
        <w:rPr>
          <w:spacing w:val="11"/>
          <w:sz w:val="20"/>
          <w:szCs w:val="20"/>
        </w:rPr>
        <w:t>合同条款第24条办理外，监理人可提请合同双</w:t>
      </w:r>
      <w:r>
        <w:rPr>
          <w:sz w:val="20"/>
          <w:szCs w:val="20"/>
        </w:rPr>
        <w:t xml:space="preserve"> </w:t>
      </w:r>
      <w:r>
        <w:rPr>
          <w:spacing w:val="11"/>
          <w:sz w:val="20"/>
          <w:szCs w:val="20"/>
        </w:rPr>
        <w:t>方委托有相应资质的工程质量检测机构进行鉴定，所需费用及因此造成的损失，由责任人承担，</w:t>
      </w:r>
      <w:r>
        <w:rPr>
          <w:spacing w:val="16"/>
          <w:sz w:val="20"/>
          <w:szCs w:val="20"/>
        </w:rPr>
        <w:t xml:space="preserve"> </w:t>
      </w:r>
      <w:r>
        <w:rPr>
          <w:spacing w:val="12"/>
          <w:sz w:val="20"/>
          <w:szCs w:val="20"/>
        </w:rPr>
        <w:t>双方均有责任，由双方根据其责任分别承担。经检测，质量确有缺陷的，已竣工验收或已竣工未</w:t>
      </w:r>
      <w:r>
        <w:rPr>
          <w:spacing w:val="5"/>
          <w:sz w:val="20"/>
          <w:szCs w:val="20"/>
        </w:rPr>
        <w:t xml:space="preserve"> </w:t>
      </w:r>
      <w:r>
        <w:rPr>
          <w:spacing w:val="13"/>
          <w:sz w:val="20"/>
          <w:szCs w:val="20"/>
        </w:rPr>
        <w:t>验收但实际投入使用的工程，其处理按工程</w:t>
      </w:r>
      <w:r>
        <w:rPr>
          <w:spacing w:val="12"/>
          <w:sz w:val="20"/>
          <w:szCs w:val="20"/>
        </w:rPr>
        <w:t>保修书的约定执行；已竣工未验收且未实际投入使用</w:t>
      </w:r>
    </w:p>
    <w:p w14:paraId="6CBD72B2">
      <w:pPr>
        <w:spacing w:line="342" w:lineRule="auto"/>
        <w:rPr>
          <w:sz w:val="20"/>
          <w:szCs w:val="20"/>
        </w:rPr>
        <w:sectPr>
          <w:footerReference r:id="rId160" w:type="default"/>
          <w:pgSz w:w="11910" w:h="16840"/>
          <w:pgMar w:top="400" w:right="1528" w:bottom="1024" w:left="1430" w:header="0" w:footer="889" w:gutter="0"/>
          <w:cols w:space="720" w:num="1"/>
        </w:sectPr>
      </w:pPr>
    </w:p>
    <w:p w14:paraId="2B1A23B5">
      <w:pPr>
        <w:spacing w:line="266" w:lineRule="auto"/>
        <w:rPr>
          <w:rFonts w:ascii="Arial"/>
          <w:sz w:val="21"/>
        </w:rPr>
      </w:pPr>
    </w:p>
    <w:p w14:paraId="60084371">
      <w:pPr>
        <w:spacing w:line="266" w:lineRule="auto"/>
        <w:rPr>
          <w:rFonts w:ascii="Arial"/>
          <w:sz w:val="21"/>
        </w:rPr>
      </w:pPr>
    </w:p>
    <w:p w14:paraId="1674C4AA">
      <w:pPr>
        <w:spacing w:line="266" w:lineRule="auto"/>
        <w:rPr>
          <w:rFonts w:ascii="Arial"/>
          <w:sz w:val="21"/>
        </w:rPr>
      </w:pPr>
    </w:p>
    <w:p w14:paraId="2C9C3C35">
      <w:pPr>
        <w:spacing w:line="266" w:lineRule="auto"/>
        <w:rPr>
          <w:rFonts w:ascii="Arial"/>
          <w:sz w:val="21"/>
        </w:rPr>
      </w:pPr>
    </w:p>
    <w:p w14:paraId="15E97D82">
      <w:pPr>
        <w:spacing w:line="267" w:lineRule="auto"/>
        <w:rPr>
          <w:rFonts w:ascii="Arial"/>
          <w:sz w:val="21"/>
        </w:rPr>
      </w:pPr>
    </w:p>
    <w:p w14:paraId="62E4D456">
      <w:pPr>
        <w:pStyle w:val="2"/>
        <w:spacing w:before="68" w:line="385" w:lineRule="auto"/>
        <w:ind w:left="20" w:right="23"/>
        <w:rPr>
          <w:sz w:val="17"/>
          <w:szCs w:val="17"/>
        </w:rPr>
      </w:pPr>
      <w:r>
        <w:rPr>
          <w:spacing w:val="2"/>
          <w:sz w:val="21"/>
          <w:szCs w:val="21"/>
        </w:rPr>
        <w:t>的工程以及停工、停建的工程，根据检测结果确定解决方案，或按工程质量监督机构的处理</w:t>
      </w:r>
      <w:r>
        <w:rPr>
          <w:spacing w:val="1"/>
          <w:sz w:val="21"/>
          <w:szCs w:val="21"/>
        </w:rPr>
        <w:t>决定</w:t>
      </w:r>
      <w:r>
        <w:rPr>
          <w:sz w:val="21"/>
          <w:szCs w:val="21"/>
        </w:rPr>
        <w:t xml:space="preserve"> </w:t>
      </w:r>
      <w:r>
        <w:rPr>
          <w:spacing w:val="-6"/>
          <w:sz w:val="17"/>
          <w:szCs w:val="17"/>
        </w:rPr>
        <w:t>执</w:t>
      </w:r>
      <w:r>
        <w:rPr>
          <w:spacing w:val="-22"/>
          <w:sz w:val="17"/>
          <w:szCs w:val="17"/>
        </w:rPr>
        <w:t xml:space="preserve"> </w:t>
      </w:r>
      <w:r>
        <w:rPr>
          <w:spacing w:val="-6"/>
          <w:sz w:val="17"/>
          <w:szCs w:val="17"/>
        </w:rPr>
        <w:t>行</w:t>
      </w:r>
      <w:r>
        <w:rPr>
          <w:spacing w:val="-32"/>
          <w:sz w:val="17"/>
          <w:szCs w:val="17"/>
        </w:rPr>
        <w:t xml:space="preserve"> </w:t>
      </w:r>
      <w:r>
        <w:rPr>
          <w:spacing w:val="-6"/>
          <w:sz w:val="17"/>
          <w:szCs w:val="17"/>
        </w:rPr>
        <w:t>。</w:t>
      </w:r>
    </w:p>
    <w:p w14:paraId="095721D8">
      <w:pPr>
        <w:spacing w:before="104" w:line="222" w:lineRule="auto"/>
        <w:ind w:left="23"/>
        <w:rPr>
          <w:rFonts w:ascii="黑体" w:hAnsi="黑体" w:eastAsia="黑体" w:cs="黑体"/>
          <w:sz w:val="21"/>
          <w:szCs w:val="21"/>
        </w:rPr>
      </w:pPr>
      <w:r>
        <w:rPr>
          <w:rFonts w:ascii="黑体" w:hAnsi="黑体" w:eastAsia="黑体" w:cs="黑体"/>
          <w:b/>
          <w:bCs/>
          <w:spacing w:val="7"/>
          <w:sz w:val="21"/>
          <w:szCs w:val="21"/>
        </w:rPr>
        <w:t>15</w:t>
      </w:r>
      <w:r>
        <w:rPr>
          <w:rFonts w:ascii="黑体" w:hAnsi="黑体" w:eastAsia="黑体" w:cs="黑体"/>
          <w:spacing w:val="-41"/>
          <w:sz w:val="21"/>
          <w:szCs w:val="21"/>
        </w:rPr>
        <w:t xml:space="preserve"> </w:t>
      </w:r>
      <w:r>
        <w:rPr>
          <w:rFonts w:ascii="黑体" w:hAnsi="黑体" w:eastAsia="黑体" w:cs="黑体"/>
          <w:b/>
          <w:bCs/>
          <w:spacing w:val="7"/>
          <w:sz w:val="21"/>
          <w:szCs w:val="21"/>
        </w:rPr>
        <w:t>.</w:t>
      </w:r>
      <w:r>
        <w:rPr>
          <w:rFonts w:ascii="黑体" w:hAnsi="黑体" w:eastAsia="黑体" w:cs="黑体"/>
          <w:spacing w:val="-45"/>
          <w:sz w:val="21"/>
          <w:szCs w:val="21"/>
        </w:rPr>
        <w:t xml:space="preserve"> </w:t>
      </w:r>
      <w:r>
        <w:rPr>
          <w:rFonts w:ascii="黑体" w:hAnsi="黑体" w:eastAsia="黑体" w:cs="黑体"/>
          <w:b/>
          <w:bCs/>
          <w:spacing w:val="7"/>
          <w:sz w:val="21"/>
          <w:szCs w:val="21"/>
        </w:rPr>
        <w:t>变更</w:t>
      </w:r>
    </w:p>
    <w:p w14:paraId="03D34A2A">
      <w:pPr>
        <w:spacing w:before="137" w:line="222" w:lineRule="auto"/>
        <w:ind w:left="23"/>
        <w:rPr>
          <w:rFonts w:ascii="黑体" w:hAnsi="黑体" w:eastAsia="黑体" w:cs="黑体"/>
          <w:sz w:val="21"/>
          <w:szCs w:val="21"/>
        </w:rPr>
      </w:pPr>
      <w:r>
        <w:rPr>
          <w:rFonts w:ascii="黑体" w:hAnsi="黑体" w:eastAsia="黑体" w:cs="黑体"/>
          <w:b/>
          <w:bCs/>
          <w:spacing w:val="13"/>
          <w:sz w:val="21"/>
          <w:szCs w:val="21"/>
        </w:rPr>
        <w:t>15</w:t>
      </w:r>
      <w:r>
        <w:rPr>
          <w:rFonts w:ascii="黑体" w:hAnsi="黑体" w:eastAsia="黑体" w:cs="黑体"/>
          <w:spacing w:val="-52"/>
          <w:sz w:val="21"/>
          <w:szCs w:val="21"/>
        </w:rPr>
        <w:t xml:space="preserve"> </w:t>
      </w:r>
      <w:r>
        <w:rPr>
          <w:rFonts w:ascii="黑体" w:hAnsi="黑体" w:eastAsia="黑体" w:cs="黑体"/>
          <w:b/>
          <w:bCs/>
          <w:spacing w:val="13"/>
          <w:sz w:val="21"/>
          <w:szCs w:val="21"/>
        </w:rPr>
        <w:t>.</w:t>
      </w:r>
      <w:r>
        <w:rPr>
          <w:rFonts w:ascii="黑体" w:hAnsi="黑体" w:eastAsia="黑体" w:cs="黑体"/>
          <w:spacing w:val="-58"/>
          <w:sz w:val="21"/>
          <w:szCs w:val="21"/>
        </w:rPr>
        <w:t xml:space="preserve"> </w:t>
      </w:r>
      <w:r>
        <w:rPr>
          <w:rFonts w:ascii="黑体" w:hAnsi="黑体" w:eastAsia="黑体" w:cs="黑体"/>
          <w:b/>
          <w:bCs/>
          <w:spacing w:val="13"/>
          <w:sz w:val="21"/>
          <w:szCs w:val="21"/>
        </w:rPr>
        <w:t>1变更的范围和内容</w:t>
      </w:r>
    </w:p>
    <w:p w14:paraId="50E57735">
      <w:pPr>
        <w:pStyle w:val="2"/>
        <w:spacing w:before="192" w:line="220" w:lineRule="auto"/>
        <w:ind w:left="439"/>
        <w:rPr>
          <w:sz w:val="22"/>
          <w:szCs w:val="22"/>
        </w:rPr>
      </w:pPr>
      <w:r>
        <w:rPr>
          <w:spacing w:val="-20"/>
          <w:sz w:val="22"/>
          <w:szCs w:val="22"/>
        </w:rPr>
        <w:t>应当进行变更的其他情形：</w:t>
      </w:r>
      <w:r>
        <w:rPr>
          <w:sz w:val="22"/>
          <w:szCs w:val="22"/>
          <w:u w:val="single" w:color="auto"/>
        </w:rPr>
        <w:t xml:space="preserve">                                                    </w:t>
      </w:r>
    </w:p>
    <w:p w14:paraId="3AE46D6B">
      <w:pPr>
        <w:tabs>
          <w:tab w:val="left" w:pos="8379"/>
        </w:tabs>
        <w:spacing w:before="156"/>
        <w:rPr>
          <w:rFonts w:ascii="Arial"/>
          <w:sz w:val="21"/>
        </w:rPr>
      </w:pPr>
      <w:r>
        <w:rPr>
          <w:rFonts w:ascii="Arial" w:hAnsi="Arial" w:eastAsia="Arial" w:cs="Arial"/>
          <w:sz w:val="21"/>
          <w:szCs w:val="21"/>
          <w:u w:val="single" w:color="auto"/>
        </w:rPr>
        <w:tab/>
      </w:r>
    </w:p>
    <w:p w14:paraId="24FDA16C">
      <w:pPr>
        <w:pStyle w:val="2"/>
        <w:spacing w:before="189" w:line="326" w:lineRule="auto"/>
        <w:ind w:left="20" w:firstLine="419"/>
        <w:jc w:val="both"/>
        <w:rPr>
          <w:sz w:val="21"/>
          <w:szCs w:val="21"/>
        </w:rPr>
      </w:pPr>
      <w:r>
        <w:rPr>
          <w:sz w:val="21"/>
          <w:szCs w:val="21"/>
        </w:rPr>
        <w:t>发包人违背通用合同条款15.1(1)目的约定，将被取消的合同中</w:t>
      </w:r>
      <w:r>
        <w:rPr>
          <w:spacing w:val="-1"/>
          <w:sz w:val="21"/>
          <w:szCs w:val="21"/>
        </w:rPr>
        <w:t>的工作转由发包人或其他人实</w:t>
      </w:r>
      <w:r>
        <w:rPr>
          <w:sz w:val="21"/>
          <w:szCs w:val="21"/>
        </w:rPr>
        <w:t xml:space="preserve"> </w:t>
      </w:r>
      <w:r>
        <w:rPr>
          <w:spacing w:val="2"/>
          <w:sz w:val="21"/>
          <w:szCs w:val="21"/>
        </w:rPr>
        <w:t>施的，承包人可向监理人发出通知，要求发包人采取有效措施纠正违约行为，</w:t>
      </w:r>
      <w:r>
        <w:rPr>
          <w:spacing w:val="1"/>
          <w:sz w:val="21"/>
          <w:szCs w:val="21"/>
        </w:rPr>
        <w:t>发包人在监理人收</w:t>
      </w:r>
      <w:r>
        <w:rPr>
          <w:sz w:val="21"/>
          <w:szCs w:val="21"/>
        </w:rPr>
        <w:t xml:space="preserve"> </w:t>
      </w:r>
      <w:r>
        <w:rPr>
          <w:spacing w:val="2"/>
          <w:sz w:val="21"/>
          <w:szCs w:val="21"/>
        </w:rPr>
        <w:t>到承包人通知后28天内仍不纠正违约行为的，应当赔偿承包人损失(包括</w:t>
      </w:r>
      <w:r>
        <w:rPr>
          <w:spacing w:val="1"/>
          <w:sz w:val="21"/>
          <w:szCs w:val="21"/>
        </w:rPr>
        <w:t>合理的利润)并承担由此</w:t>
      </w:r>
      <w:r>
        <w:rPr>
          <w:sz w:val="21"/>
          <w:szCs w:val="21"/>
        </w:rPr>
        <w:t xml:space="preserve"> </w:t>
      </w:r>
      <w:r>
        <w:rPr>
          <w:spacing w:val="4"/>
          <w:sz w:val="21"/>
          <w:szCs w:val="21"/>
        </w:rPr>
        <w:t>引起的其他责任。承包人应当按通用合同条款第23.1.1(1</w:t>
      </w:r>
      <w:r>
        <w:rPr>
          <w:spacing w:val="3"/>
          <w:sz w:val="21"/>
          <w:szCs w:val="21"/>
        </w:rPr>
        <w:t>)目的约定，在上述28天期限到期后的</w:t>
      </w:r>
      <w:r>
        <w:rPr>
          <w:sz w:val="21"/>
          <w:szCs w:val="21"/>
        </w:rPr>
        <w:t xml:space="preserve"> </w:t>
      </w:r>
      <w:r>
        <w:rPr>
          <w:spacing w:val="4"/>
          <w:sz w:val="21"/>
          <w:szCs w:val="21"/>
        </w:rPr>
        <w:t>28天内，向监理人递交索赔意向通知书，并按通用合同条款第23.1.1(2)目的约</w:t>
      </w:r>
      <w:r>
        <w:rPr>
          <w:spacing w:val="3"/>
          <w:sz w:val="21"/>
          <w:szCs w:val="21"/>
        </w:rPr>
        <w:t>定，及时向监理</w:t>
      </w:r>
      <w:r>
        <w:rPr>
          <w:sz w:val="21"/>
          <w:szCs w:val="21"/>
        </w:rPr>
        <w:t xml:space="preserve"> </w:t>
      </w:r>
      <w:r>
        <w:rPr>
          <w:spacing w:val="2"/>
          <w:sz w:val="21"/>
          <w:szCs w:val="21"/>
        </w:rPr>
        <w:t>人递交正式索赔通知书，说明有权得到的损失赔偿金额并附必要的记录和证明</w:t>
      </w:r>
      <w:r>
        <w:rPr>
          <w:spacing w:val="1"/>
          <w:sz w:val="21"/>
          <w:szCs w:val="21"/>
        </w:rPr>
        <w:t>材料。发包人支付</w:t>
      </w:r>
      <w:r>
        <w:rPr>
          <w:sz w:val="21"/>
          <w:szCs w:val="21"/>
        </w:rPr>
        <w:t xml:space="preserve"> </w:t>
      </w:r>
      <w:r>
        <w:rPr>
          <w:spacing w:val="3"/>
          <w:sz w:val="21"/>
          <w:szCs w:val="21"/>
        </w:rPr>
        <w:t>给承包人的损失赔偿金额应当包括被取消工作的合</w:t>
      </w:r>
      <w:r>
        <w:rPr>
          <w:spacing w:val="2"/>
          <w:sz w:val="21"/>
          <w:szCs w:val="21"/>
        </w:rPr>
        <w:t>同价值中所包含的承包人管理费、利润以及相</w:t>
      </w:r>
      <w:r>
        <w:rPr>
          <w:sz w:val="21"/>
          <w:szCs w:val="21"/>
        </w:rPr>
        <w:t xml:space="preserve"> </w:t>
      </w:r>
      <w:r>
        <w:rPr>
          <w:spacing w:val="-2"/>
          <w:sz w:val="21"/>
          <w:szCs w:val="21"/>
        </w:rPr>
        <w:t>应的税金和规费。</w:t>
      </w:r>
    </w:p>
    <w:p w14:paraId="0DF56C40">
      <w:pPr>
        <w:spacing w:before="99" w:line="222" w:lineRule="auto"/>
        <w:ind w:left="23"/>
        <w:rPr>
          <w:rFonts w:ascii="黑体" w:hAnsi="黑体" w:eastAsia="黑体" w:cs="黑体"/>
          <w:sz w:val="21"/>
          <w:szCs w:val="21"/>
        </w:rPr>
      </w:pPr>
      <w:r>
        <w:rPr>
          <w:rFonts w:ascii="黑体" w:hAnsi="黑体" w:eastAsia="黑体" w:cs="黑体"/>
          <w:b/>
          <w:bCs/>
          <w:spacing w:val="14"/>
          <w:sz w:val="21"/>
          <w:szCs w:val="21"/>
        </w:rPr>
        <w:t>15</w:t>
      </w:r>
      <w:r>
        <w:rPr>
          <w:rFonts w:ascii="黑体" w:hAnsi="黑体" w:eastAsia="黑体" w:cs="黑体"/>
          <w:spacing w:val="-59"/>
          <w:sz w:val="21"/>
          <w:szCs w:val="21"/>
        </w:rPr>
        <w:t xml:space="preserve"> </w:t>
      </w:r>
      <w:r>
        <w:rPr>
          <w:rFonts w:ascii="黑体" w:hAnsi="黑体" w:eastAsia="黑体" w:cs="黑体"/>
          <w:b/>
          <w:bCs/>
          <w:spacing w:val="14"/>
          <w:sz w:val="21"/>
          <w:szCs w:val="21"/>
        </w:rPr>
        <w:t>.3变更程序</w:t>
      </w:r>
    </w:p>
    <w:p w14:paraId="0136EE54">
      <w:pPr>
        <w:spacing w:before="167" w:line="222" w:lineRule="auto"/>
        <w:ind w:left="442"/>
        <w:rPr>
          <w:rFonts w:ascii="黑体" w:hAnsi="黑体" w:eastAsia="黑体" w:cs="黑体"/>
          <w:sz w:val="21"/>
          <w:szCs w:val="21"/>
        </w:rPr>
      </w:pPr>
      <w:r>
        <w:rPr>
          <w:rFonts w:ascii="黑体" w:hAnsi="黑体" w:eastAsia="黑体" w:cs="黑体"/>
          <w:b/>
          <w:bCs/>
          <w:spacing w:val="2"/>
          <w:sz w:val="21"/>
          <w:szCs w:val="21"/>
        </w:rPr>
        <w:t>15.3.2变更估价</w:t>
      </w:r>
    </w:p>
    <w:p w14:paraId="2EC6C785">
      <w:pPr>
        <w:pStyle w:val="2"/>
        <w:spacing w:before="230" w:line="218" w:lineRule="auto"/>
        <w:ind w:left="439"/>
        <w:rPr>
          <w:sz w:val="21"/>
          <w:szCs w:val="21"/>
        </w:rPr>
      </w:pPr>
      <w:r>
        <w:rPr>
          <w:spacing w:val="-2"/>
          <w:sz w:val="21"/>
          <w:szCs w:val="21"/>
        </w:rPr>
        <w:t>(1)承包人提交变更报价书的期限：</w:t>
      </w:r>
      <w:r>
        <w:rPr>
          <w:spacing w:val="-2"/>
          <w:sz w:val="21"/>
          <w:szCs w:val="21"/>
          <w:u w:val="single" w:color="auto"/>
        </w:rPr>
        <w:t xml:space="preserve">                                             </w:t>
      </w:r>
    </w:p>
    <w:p w14:paraId="10855A1E">
      <w:pPr>
        <w:pStyle w:val="2"/>
        <w:spacing w:before="172" w:line="218" w:lineRule="auto"/>
        <w:ind w:left="439"/>
        <w:rPr>
          <w:sz w:val="21"/>
          <w:szCs w:val="21"/>
        </w:rPr>
      </w:pPr>
      <w:r>
        <w:rPr>
          <w:spacing w:val="-2"/>
          <w:sz w:val="21"/>
          <w:szCs w:val="21"/>
        </w:rPr>
        <w:t>(3)监理人商定或确定变更价格的期限：</w:t>
      </w:r>
      <w:r>
        <w:rPr>
          <w:spacing w:val="-2"/>
          <w:sz w:val="21"/>
          <w:szCs w:val="21"/>
          <w:u w:val="single" w:color="auto"/>
        </w:rPr>
        <w:t xml:space="preserve">                                         </w:t>
      </w:r>
    </w:p>
    <w:p w14:paraId="5F63D84E">
      <w:pPr>
        <w:pStyle w:val="2"/>
        <w:spacing w:before="73" w:line="267" w:lineRule="auto"/>
        <w:ind w:left="20" w:right="22" w:firstLine="419"/>
        <w:rPr>
          <w:sz w:val="21"/>
          <w:szCs w:val="21"/>
        </w:rPr>
      </w:pPr>
      <w:r>
        <w:rPr>
          <w:sz w:val="21"/>
          <w:szCs w:val="21"/>
        </w:rPr>
        <w:t>(4)收到变更指示后，如承包人未在规定的期</w:t>
      </w:r>
      <w:r>
        <w:rPr>
          <w:spacing w:val="-1"/>
          <w:sz w:val="21"/>
          <w:szCs w:val="21"/>
        </w:rPr>
        <w:t>限内提交变更报价书的，监理人可自行决定是否</w:t>
      </w:r>
      <w:r>
        <w:rPr>
          <w:sz w:val="21"/>
          <w:szCs w:val="21"/>
        </w:rPr>
        <w:t xml:space="preserve"> </w:t>
      </w:r>
      <w:r>
        <w:rPr>
          <w:spacing w:val="-1"/>
          <w:sz w:val="21"/>
          <w:szCs w:val="21"/>
        </w:rPr>
        <w:t>调整合同价款以及如果监理人决定调整合同价款时，相应调整的具体金额。</w:t>
      </w:r>
    </w:p>
    <w:p w14:paraId="3AF3313C">
      <w:pPr>
        <w:spacing w:before="109" w:line="222" w:lineRule="auto"/>
        <w:ind w:left="23"/>
        <w:rPr>
          <w:rFonts w:ascii="黑体" w:hAnsi="黑体" w:eastAsia="黑体" w:cs="黑体"/>
          <w:sz w:val="21"/>
          <w:szCs w:val="21"/>
        </w:rPr>
      </w:pPr>
      <w:r>
        <w:rPr>
          <w:rFonts w:ascii="黑体" w:hAnsi="黑体" w:eastAsia="黑体" w:cs="黑体"/>
          <w:b/>
          <w:bCs/>
          <w:spacing w:val="16"/>
          <w:sz w:val="21"/>
          <w:szCs w:val="21"/>
        </w:rPr>
        <w:t>15</w:t>
      </w:r>
      <w:r>
        <w:rPr>
          <w:rFonts w:ascii="黑体" w:hAnsi="黑体" w:eastAsia="黑体" w:cs="黑体"/>
          <w:spacing w:val="-52"/>
          <w:sz w:val="21"/>
          <w:szCs w:val="21"/>
        </w:rPr>
        <w:t xml:space="preserve"> </w:t>
      </w:r>
      <w:r>
        <w:rPr>
          <w:rFonts w:ascii="黑体" w:hAnsi="黑体" w:eastAsia="黑体" w:cs="黑体"/>
          <w:b/>
          <w:bCs/>
          <w:spacing w:val="16"/>
          <w:sz w:val="21"/>
          <w:szCs w:val="21"/>
        </w:rPr>
        <w:t>.4变更的估价原则</w:t>
      </w:r>
    </w:p>
    <w:p w14:paraId="61E8DB24">
      <w:pPr>
        <w:pStyle w:val="2"/>
        <w:spacing w:before="149" w:line="273" w:lineRule="auto"/>
        <w:ind w:left="20" w:right="24" w:firstLine="419"/>
        <w:rPr>
          <w:sz w:val="21"/>
          <w:szCs w:val="21"/>
        </w:rPr>
      </w:pPr>
      <w:r>
        <w:rPr>
          <w:spacing w:val="2"/>
          <w:sz w:val="21"/>
          <w:szCs w:val="21"/>
        </w:rPr>
        <w:t>15.4.4因工程量清单漏项(仅适用于合同协议书约定采用单价合同形式时)或</w:t>
      </w:r>
      <w:r>
        <w:rPr>
          <w:spacing w:val="1"/>
          <w:sz w:val="21"/>
          <w:szCs w:val="21"/>
        </w:rPr>
        <w:t>变更引起措施项</w:t>
      </w:r>
      <w:r>
        <w:rPr>
          <w:sz w:val="21"/>
          <w:szCs w:val="21"/>
        </w:rPr>
        <w:t xml:space="preserve"> </w:t>
      </w:r>
      <w:r>
        <w:rPr>
          <w:spacing w:val="1"/>
          <w:sz w:val="21"/>
          <w:szCs w:val="21"/>
        </w:rPr>
        <w:t>目发生变化，原措施项目费中已有的措施项目，采用原措施项目费的组价方法变更；原措施项目</w:t>
      </w:r>
      <w:r>
        <w:rPr>
          <w:spacing w:val="16"/>
          <w:sz w:val="21"/>
          <w:szCs w:val="21"/>
        </w:rPr>
        <w:t xml:space="preserve"> </w:t>
      </w:r>
      <w:r>
        <w:rPr>
          <w:spacing w:val="2"/>
          <w:sz w:val="21"/>
          <w:szCs w:val="21"/>
        </w:rPr>
        <w:t>费中没有的措施项目，由承包人根据措施项目变更情况，提出适当的措施项目费</w:t>
      </w:r>
      <w:r>
        <w:rPr>
          <w:spacing w:val="1"/>
          <w:sz w:val="21"/>
          <w:szCs w:val="21"/>
        </w:rPr>
        <w:t>变更，由监理人</w:t>
      </w:r>
      <w:r>
        <w:rPr>
          <w:sz w:val="21"/>
          <w:szCs w:val="21"/>
        </w:rPr>
        <w:t xml:space="preserve"> </w:t>
      </w:r>
      <w:r>
        <w:rPr>
          <w:spacing w:val="4"/>
          <w:sz w:val="21"/>
          <w:szCs w:val="21"/>
        </w:rPr>
        <w:t>按第3.5款商定或确定变更措施项目的费用。</w:t>
      </w:r>
    </w:p>
    <w:p w14:paraId="6E977AAA">
      <w:pPr>
        <w:pStyle w:val="2"/>
        <w:spacing w:before="138" w:line="283" w:lineRule="auto"/>
        <w:ind w:left="20" w:right="12" w:firstLine="419"/>
        <w:rPr>
          <w:sz w:val="21"/>
          <w:szCs w:val="21"/>
        </w:rPr>
      </w:pPr>
      <w:r>
        <w:rPr>
          <w:spacing w:val="2"/>
          <w:sz w:val="21"/>
          <w:szCs w:val="21"/>
        </w:rPr>
        <w:t>15.4.5合同协议书约定采用单价合同形式时，因非承包人原因引起已标价工程量清单中列明</w:t>
      </w:r>
      <w:r>
        <w:rPr>
          <w:spacing w:val="6"/>
          <w:sz w:val="21"/>
          <w:szCs w:val="21"/>
        </w:rPr>
        <w:t xml:space="preserve"> </w:t>
      </w:r>
      <w:r>
        <w:rPr>
          <w:spacing w:val="-1"/>
          <w:sz w:val="21"/>
          <w:szCs w:val="21"/>
        </w:rPr>
        <w:t>的工程量发生增减，且单个子目工程量变化幅度在</w:t>
      </w:r>
      <w:r>
        <w:rPr>
          <w:spacing w:val="-96"/>
          <w:sz w:val="21"/>
          <w:szCs w:val="21"/>
        </w:rPr>
        <w:t xml:space="preserve"> </w:t>
      </w:r>
      <w:r>
        <w:rPr>
          <w:sz w:val="21"/>
          <w:szCs w:val="21"/>
          <w:u w:val="single" w:color="auto"/>
        </w:rPr>
        <w:t xml:space="preserve">        </w:t>
      </w:r>
      <w:r>
        <w:rPr>
          <w:spacing w:val="-85"/>
          <w:sz w:val="21"/>
          <w:szCs w:val="21"/>
        </w:rPr>
        <w:t xml:space="preserve"> </w:t>
      </w:r>
      <w:r>
        <w:rPr>
          <w:spacing w:val="-1"/>
          <w:sz w:val="21"/>
          <w:szCs w:val="21"/>
        </w:rPr>
        <w:t>%以内</w:t>
      </w:r>
      <w:r>
        <w:rPr>
          <w:spacing w:val="-2"/>
          <w:sz w:val="21"/>
          <w:szCs w:val="21"/>
        </w:rPr>
        <w:t>(含)时，应执行已标价工程量清</w:t>
      </w:r>
      <w:r>
        <w:rPr>
          <w:sz w:val="21"/>
          <w:szCs w:val="21"/>
        </w:rPr>
        <w:t xml:space="preserve"> </w:t>
      </w:r>
      <w:r>
        <w:rPr>
          <w:spacing w:val="3"/>
          <w:sz w:val="21"/>
          <w:szCs w:val="21"/>
        </w:rPr>
        <w:t>单中列明的该子目的单价；单个子目工程量变化幅度在</w:t>
      </w:r>
      <w:r>
        <w:rPr>
          <w:spacing w:val="-55"/>
          <w:sz w:val="21"/>
          <w:szCs w:val="21"/>
        </w:rPr>
        <w:t xml:space="preserve"> </w:t>
      </w:r>
      <w:r>
        <w:rPr>
          <w:sz w:val="21"/>
          <w:szCs w:val="21"/>
          <w:u w:val="single" w:color="auto"/>
        </w:rPr>
        <w:t xml:space="preserve">       </w:t>
      </w:r>
      <w:r>
        <w:rPr>
          <w:spacing w:val="-90"/>
          <w:sz w:val="21"/>
          <w:szCs w:val="21"/>
        </w:rPr>
        <w:t xml:space="preserve"> </w:t>
      </w:r>
      <w:r>
        <w:rPr>
          <w:spacing w:val="3"/>
          <w:sz w:val="21"/>
          <w:szCs w:val="21"/>
        </w:rPr>
        <w:t>%以外(不含),且导致分部分项工</w:t>
      </w:r>
      <w:r>
        <w:rPr>
          <w:sz w:val="21"/>
          <w:szCs w:val="21"/>
        </w:rPr>
        <w:t xml:space="preserve"> </w:t>
      </w:r>
      <w:r>
        <w:rPr>
          <w:spacing w:val="4"/>
          <w:sz w:val="21"/>
          <w:szCs w:val="21"/>
        </w:rPr>
        <w:t>程费总额变化幅度超过</w:t>
      </w:r>
      <w:r>
        <w:rPr>
          <w:spacing w:val="-72"/>
          <w:sz w:val="21"/>
          <w:szCs w:val="21"/>
        </w:rPr>
        <w:t xml:space="preserve"> </w:t>
      </w:r>
      <w:r>
        <w:rPr>
          <w:sz w:val="21"/>
          <w:szCs w:val="21"/>
          <w:u w:val="single" w:color="auto"/>
        </w:rPr>
        <w:t xml:space="preserve">       </w:t>
      </w:r>
      <w:r>
        <w:rPr>
          <w:spacing w:val="-100"/>
          <w:sz w:val="21"/>
          <w:szCs w:val="21"/>
        </w:rPr>
        <w:t xml:space="preserve"> </w:t>
      </w:r>
      <w:r>
        <w:rPr>
          <w:spacing w:val="4"/>
          <w:sz w:val="21"/>
          <w:szCs w:val="21"/>
        </w:rPr>
        <w:t>%时，由承包人提出并由监理人按第3.5款商定或确定新的单价，</w:t>
      </w:r>
      <w:r>
        <w:rPr>
          <w:sz w:val="21"/>
          <w:szCs w:val="21"/>
        </w:rPr>
        <w:t xml:space="preserve"> </w:t>
      </w:r>
      <w:r>
        <w:rPr>
          <w:spacing w:val="-3"/>
          <w:sz w:val="21"/>
          <w:szCs w:val="21"/>
        </w:rPr>
        <w:t>该子目按修正后的新的单价计价。</w:t>
      </w:r>
    </w:p>
    <w:p w14:paraId="2E6FB0D2">
      <w:pPr>
        <w:pStyle w:val="2"/>
        <w:spacing w:before="132" w:line="218" w:lineRule="auto"/>
        <w:ind w:left="439"/>
        <w:rPr>
          <w:sz w:val="22"/>
          <w:szCs w:val="22"/>
        </w:rPr>
      </w:pPr>
      <w:r>
        <w:rPr>
          <w:spacing w:val="-8"/>
          <w:sz w:val="22"/>
          <w:szCs w:val="22"/>
        </w:rPr>
        <w:t>15.4.6因变更引起价格调整的其他处理方式：</w:t>
      </w:r>
      <w:r>
        <w:rPr>
          <w:spacing w:val="-8"/>
          <w:sz w:val="22"/>
          <w:szCs w:val="22"/>
          <w:u w:val="single" w:color="auto"/>
        </w:rPr>
        <w:t xml:space="preserve">    </w:t>
      </w:r>
      <w:r>
        <w:rPr>
          <w:spacing w:val="-9"/>
          <w:sz w:val="22"/>
          <w:szCs w:val="22"/>
          <w:u w:val="single" w:color="auto"/>
        </w:rPr>
        <w:t xml:space="preserve">                                   </w:t>
      </w:r>
    </w:p>
    <w:p w14:paraId="79F97A1A">
      <w:pPr>
        <w:tabs>
          <w:tab w:val="left" w:pos="8219"/>
        </w:tabs>
        <w:spacing w:before="91"/>
        <w:ind w:left="219"/>
        <w:rPr>
          <w:rFonts w:ascii="Arial"/>
          <w:sz w:val="21"/>
        </w:rPr>
      </w:pPr>
      <w:r>
        <w:rPr>
          <w:rFonts w:ascii="Arial" w:hAnsi="Arial" w:eastAsia="Arial" w:cs="Arial"/>
          <w:sz w:val="21"/>
          <w:szCs w:val="21"/>
          <w:u w:val="single" w:color="auto"/>
        </w:rPr>
        <w:tab/>
      </w:r>
    </w:p>
    <w:p w14:paraId="67C0DB51">
      <w:pPr>
        <w:spacing w:before="115" w:line="222" w:lineRule="auto"/>
        <w:ind w:left="23"/>
        <w:rPr>
          <w:rFonts w:ascii="黑体" w:hAnsi="黑体" w:eastAsia="黑体" w:cs="黑体"/>
          <w:sz w:val="21"/>
          <w:szCs w:val="21"/>
        </w:rPr>
      </w:pPr>
      <w:r>
        <w:rPr>
          <w:rFonts w:ascii="黑体" w:hAnsi="黑体" w:eastAsia="黑体" w:cs="黑体"/>
          <w:b/>
          <w:bCs/>
          <w:spacing w:val="18"/>
          <w:sz w:val="21"/>
          <w:szCs w:val="21"/>
        </w:rPr>
        <w:t>15</w:t>
      </w:r>
      <w:r>
        <w:rPr>
          <w:rFonts w:ascii="黑体" w:hAnsi="黑体" w:eastAsia="黑体" w:cs="黑体"/>
          <w:spacing w:val="-56"/>
          <w:sz w:val="21"/>
          <w:szCs w:val="21"/>
        </w:rPr>
        <w:t xml:space="preserve"> </w:t>
      </w:r>
      <w:r>
        <w:rPr>
          <w:rFonts w:ascii="黑体" w:hAnsi="黑体" w:eastAsia="黑体" w:cs="黑体"/>
          <w:b/>
          <w:bCs/>
          <w:spacing w:val="18"/>
          <w:sz w:val="21"/>
          <w:szCs w:val="21"/>
        </w:rPr>
        <w:t>.5承包人的合理化建议</w:t>
      </w:r>
    </w:p>
    <w:p w14:paraId="4EF65A1E">
      <w:pPr>
        <w:pStyle w:val="2"/>
        <w:spacing w:before="152" w:line="219" w:lineRule="auto"/>
        <w:ind w:left="439"/>
        <w:rPr>
          <w:sz w:val="21"/>
          <w:szCs w:val="21"/>
        </w:rPr>
      </w:pPr>
      <w:r>
        <w:rPr>
          <w:spacing w:val="-2"/>
          <w:sz w:val="21"/>
          <w:szCs w:val="21"/>
        </w:rPr>
        <w:t>15.5.2对承包人提出合理化建议的奖励方法：</w:t>
      </w:r>
      <w:r>
        <w:rPr>
          <w:spacing w:val="-2"/>
          <w:sz w:val="21"/>
          <w:szCs w:val="21"/>
          <w:u w:val="single" w:color="auto"/>
        </w:rPr>
        <w:t xml:space="preserve">                           </w:t>
      </w:r>
      <w:r>
        <w:rPr>
          <w:spacing w:val="-3"/>
          <w:sz w:val="21"/>
          <w:szCs w:val="21"/>
          <w:u w:val="single" w:color="auto"/>
        </w:rPr>
        <w:t xml:space="preserve">            </w:t>
      </w:r>
    </w:p>
    <w:p w14:paraId="746C8496">
      <w:pPr>
        <w:tabs>
          <w:tab w:val="left" w:pos="8219"/>
        </w:tabs>
        <w:spacing w:before="90"/>
        <w:ind w:left="219"/>
        <w:rPr>
          <w:rFonts w:ascii="Arial"/>
          <w:sz w:val="21"/>
        </w:rPr>
      </w:pPr>
      <w:r>
        <w:rPr>
          <w:rFonts w:ascii="Arial" w:hAnsi="Arial" w:eastAsia="Arial" w:cs="Arial"/>
          <w:sz w:val="21"/>
          <w:szCs w:val="21"/>
          <w:u w:val="single" w:color="auto"/>
        </w:rPr>
        <w:tab/>
      </w:r>
    </w:p>
    <w:p w14:paraId="42C684E2">
      <w:pPr>
        <w:rPr>
          <w:rFonts w:ascii="Arial" w:hAnsi="Arial" w:eastAsia="Arial" w:cs="Arial"/>
          <w:sz w:val="21"/>
          <w:szCs w:val="21"/>
        </w:rPr>
        <w:sectPr>
          <w:footerReference r:id="rId161" w:type="default"/>
          <w:pgSz w:w="11910" w:h="16840"/>
          <w:pgMar w:top="400" w:right="1522" w:bottom="1024" w:left="1440" w:header="0" w:footer="889" w:gutter="0"/>
          <w:cols w:space="720" w:num="1"/>
        </w:sectPr>
      </w:pPr>
    </w:p>
    <w:p w14:paraId="4D87C500">
      <w:pPr>
        <w:spacing w:line="263" w:lineRule="auto"/>
        <w:rPr>
          <w:rFonts w:ascii="Arial"/>
          <w:sz w:val="21"/>
        </w:rPr>
      </w:pPr>
    </w:p>
    <w:p w14:paraId="060F16F0">
      <w:pPr>
        <w:spacing w:line="263" w:lineRule="auto"/>
        <w:rPr>
          <w:rFonts w:ascii="Arial"/>
          <w:sz w:val="21"/>
        </w:rPr>
      </w:pPr>
    </w:p>
    <w:p w14:paraId="52114CA0">
      <w:pPr>
        <w:spacing w:line="264" w:lineRule="auto"/>
        <w:rPr>
          <w:rFonts w:ascii="Arial"/>
          <w:sz w:val="21"/>
        </w:rPr>
      </w:pPr>
    </w:p>
    <w:p w14:paraId="786D11FD">
      <w:pPr>
        <w:spacing w:line="264" w:lineRule="auto"/>
        <w:rPr>
          <w:rFonts w:ascii="Arial"/>
          <w:sz w:val="21"/>
        </w:rPr>
      </w:pPr>
    </w:p>
    <w:p w14:paraId="250A3757">
      <w:pPr>
        <w:spacing w:line="264" w:lineRule="auto"/>
        <w:rPr>
          <w:rFonts w:ascii="Arial"/>
          <w:sz w:val="21"/>
        </w:rPr>
      </w:pPr>
    </w:p>
    <w:p w14:paraId="33FE14B1">
      <w:pPr>
        <w:spacing w:before="78" w:line="222" w:lineRule="auto"/>
        <w:ind w:left="3"/>
        <w:rPr>
          <w:rFonts w:ascii="黑体" w:hAnsi="黑体" w:eastAsia="黑体" w:cs="黑体"/>
          <w:sz w:val="24"/>
          <w:szCs w:val="24"/>
        </w:rPr>
      </w:pPr>
      <w:r>
        <w:rPr>
          <w:rFonts w:ascii="黑体" w:hAnsi="黑体" w:eastAsia="黑体" w:cs="黑体"/>
          <w:b/>
          <w:bCs/>
          <w:spacing w:val="-6"/>
          <w:sz w:val="24"/>
          <w:szCs w:val="24"/>
        </w:rPr>
        <w:t>15.8暂估价</w:t>
      </w:r>
    </w:p>
    <w:p w14:paraId="65BDA768">
      <w:pPr>
        <w:pStyle w:val="2"/>
        <w:spacing w:before="124" w:line="308" w:lineRule="auto"/>
        <w:ind w:right="83" w:firstLine="429"/>
        <w:jc w:val="both"/>
        <w:rPr>
          <w:sz w:val="21"/>
          <w:szCs w:val="21"/>
        </w:rPr>
      </w:pPr>
      <w:r>
        <w:rPr>
          <w:spacing w:val="2"/>
          <w:sz w:val="21"/>
          <w:szCs w:val="21"/>
        </w:rPr>
        <w:t>15.8.1按合同约定应当由发包人和承包人采用招</w:t>
      </w:r>
      <w:r>
        <w:rPr>
          <w:spacing w:val="1"/>
          <w:sz w:val="21"/>
          <w:szCs w:val="21"/>
        </w:rPr>
        <w:t>标方式选择专项供应商或专业分包人的，应</w:t>
      </w:r>
      <w:r>
        <w:rPr>
          <w:sz w:val="21"/>
          <w:szCs w:val="21"/>
        </w:rPr>
        <w:t xml:space="preserve"> </w:t>
      </w:r>
      <w:r>
        <w:rPr>
          <w:spacing w:val="2"/>
          <w:sz w:val="21"/>
          <w:szCs w:val="21"/>
        </w:rPr>
        <w:t>当由承包人作为招标人，依法组织招标工作并接受有管辖权的建设工程招标投标行政监督部门的</w:t>
      </w:r>
      <w:r>
        <w:rPr>
          <w:spacing w:val="1"/>
          <w:sz w:val="21"/>
          <w:szCs w:val="21"/>
        </w:rPr>
        <w:t xml:space="preserve"> </w:t>
      </w:r>
      <w:r>
        <w:rPr>
          <w:spacing w:val="-1"/>
          <w:sz w:val="21"/>
          <w:szCs w:val="21"/>
        </w:rPr>
        <w:t>监督。与组织招标工作有关的费用应当被认为已经包括在承包人的签约合同价(投标总报价)中：</w:t>
      </w:r>
    </w:p>
    <w:p w14:paraId="73C34174">
      <w:pPr>
        <w:pStyle w:val="2"/>
        <w:spacing w:before="60" w:line="300" w:lineRule="auto"/>
        <w:ind w:right="82" w:firstLine="429"/>
        <w:rPr>
          <w:sz w:val="21"/>
          <w:szCs w:val="21"/>
        </w:rPr>
      </w:pPr>
      <w:r>
        <w:rPr>
          <w:spacing w:val="-1"/>
          <w:sz w:val="21"/>
          <w:szCs w:val="21"/>
        </w:rPr>
        <w:t>(1)在任何招标工作启动前，承包人应当提前至少</w:t>
      </w:r>
      <w:r>
        <w:rPr>
          <w:spacing w:val="-1"/>
          <w:sz w:val="21"/>
          <w:szCs w:val="21"/>
          <w:u w:val="single" w:color="auto"/>
        </w:rPr>
        <w:t xml:space="preserve">      </w:t>
      </w:r>
      <w:r>
        <w:rPr>
          <w:spacing w:val="-75"/>
          <w:sz w:val="21"/>
          <w:szCs w:val="21"/>
        </w:rPr>
        <w:t xml:space="preserve"> </w:t>
      </w:r>
      <w:r>
        <w:rPr>
          <w:spacing w:val="-1"/>
          <w:sz w:val="21"/>
          <w:szCs w:val="21"/>
        </w:rPr>
        <w:t>天编</w:t>
      </w:r>
      <w:r>
        <w:rPr>
          <w:spacing w:val="-2"/>
          <w:sz w:val="21"/>
          <w:szCs w:val="21"/>
        </w:rPr>
        <w:t>制招标工作计划并通过监理人报</w:t>
      </w:r>
      <w:r>
        <w:rPr>
          <w:sz w:val="21"/>
          <w:szCs w:val="21"/>
        </w:rPr>
        <w:t xml:space="preserve"> </w:t>
      </w:r>
      <w:r>
        <w:rPr>
          <w:spacing w:val="2"/>
          <w:sz w:val="21"/>
          <w:szCs w:val="21"/>
        </w:rPr>
        <w:t>请发包人审批，招标工作计划应当包括招标工作的时间安排、拟采用的招标方式</w:t>
      </w:r>
      <w:r>
        <w:rPr>
          <w:spacing w:val="1"/>
          <w:sz w:val="21"/>
          <w:szCs w:val="21"/>
        </w:rPr>
        <w:t>、拟采用的资格</w:t>
      </w:r>
      <w:r>
        <w:rPr>
          <w:sz w:val="21"/>
          <w:szCs w:val="21"/>
        </w:rPr>
        <w:t xml:space="preserve"> </w:t>
      </w:r>
      <w:r>
        <w:rPr>
          <w:spacing w:val="2"/>
          <w:sz w:val="21"/>
          <w:szCs w:val="21"/>
        </w:rPr>
        <w:t>审查方法、主要招标过程文件的编制内容、对投标人的资格条件要求、评标标准</w:t>
      </w:r>
      <w:r>
        <w:rPr>
          <w:spacing w:val="1"/>
          <w:sz w:val="21"/>
          <w:szCs w:val="21"/>
        </w:rPr>
        <w:t>和方法、评标委</w:t>
      </w:r>
      <w:r>
        <w:rPr>
          <w:sz w:val="21"/>
          <w:szCs w:val="21"/>
        </w:rPr>
        <w:t xml:space="preserve"> </w:t>
      </w:r>
      <w:r>
        <w:rPr>
          <w:spacing w:val="1"/>
          <w:sz w:val="21"/>
          <w:szCs w:val="21"/>
        </w:rPr>
        <w:t>员会组成、是否编制招标控制价和(或)标底以及招标控制价和(或)标底编制原则，发包人应当在</w:t>
      </w:r>
      <w:r>
        <w:rPr>
          <w:spacing w:val="16"/>
          <w:sz w:val="21"/>
          <w:szCs w:val="21"/>
        </w:rPr>
        <w:t xml:space="preserve"> </w:t>
      </w:r>
      <w:r>
        <w:rPr>
          <w:spacing w:val="2"/>
          <w:sz w:val="21"/>
          <w:szCs w:val="21"/>
        </w:rPr>
        <w:t>监理人收到承包人报送的招标工作计划后</w:t>
      </w:r>
      <w:r>
        <w:rPr>
          <w:spacing w:val="2"/>
          <w:sz w:val="21"/>
          <w:szCs w:val="21"/>
          <w:u w:val="single" w:color="auto"/>
        </w:rPr>
        <w:t xml:space="preserve">      </w:t>
      </w:r>
      <w:r>
        <w:rPr>
          <w:spacing w:val="2"/>
          <w:sz w:val="21"/>
          <w:szCs w:val="21"/>
        </w:rPr>
        <w:t>天内给予批准或者提</w:t>
      </w:r>
      <w:r>
        <w:rPr>
          <w:spacing w:val="1"/>
          <w:sz w:val="21"/>
          <w:szCs w:val="21"/>
        </w:rPr>
        <w:t>出修改意见。承包人应当严</w:t>
      </w:r>
      <w:r>
        <w:rPr>
          <w:sz w:val="21"/>
          <w:szCs w:val="21"/>
        </w:rPr>
        <w:t xml:space="preserve"> </w:t>
      </w:r>
      <w:r>
        <w:rPr>
          <w:spacing w:val="-2"/>
          <w:sz w:val="21"/>
          <w:szCs w:val="21"/>
        </w:rPr>
        <w:t>格按照经过发包人批准的招标工作计划开展招标工作。</w:t>
      </w:r>
    </w:p>
    <w:p w14:paraId="37EFF9C9">
      <w:pPr>
        <w:pStyle w:val="2"/>
        <w:spacing w:before="166" w:line="301" w:lineRule="auto"/>
        <w:ind w:right="69" w:firstLine="429"/>
        <w:rPr>
          <w:sz w:val="21"/>
          <w:szCs w:val="21"/>
        </w:rPr>
      </w:pPr>
      <w:r>
        <w:rPr>
          <w:spacing w:val="-1"/>
          <w:sz w:val="21"/>
          <w:szCs w:val="21"/>
        </w:rPr>
        <w:t>(2)承包人应当在发出招标公告(或者资格预审公告或者投标邀请书)、资格预审文件</w:t>
      </w:r>
      <w:r>
        <w:rPr>
          <w:spacing w:val="-2"/>
          <w:sz w:val="21"/>
          <w:szCs w:val="21"/>
        </w:rPr>
        <w:t>和招标文</w:t>
      </w:r>
      <w:r>
        <w:rPr>
          <w:sz w:val="21"/>
          <w:szCs w:val="21"/>
        </w:rPr>
        <w:t xml:space="preserve"> </w:t>
      </w:r>
      <w:r>
        <w:rPr>
          <w:spacing w:val="-1"/>
          <w:sz w:val="21"/>
          <w:szCs w:val="21"/>
        </w:rPr>
        <w:t>件前至少</w:t>
      </w:r>
      <w:r>
        <w:rPr>
          <w:spacing w:val="-96"/>
          <w:sz w:val="21"/>
          <w:szCs w:val="21"/>
        </w:rPr>
        <w:t xml:space="preserve"> </w:t>
      </w:r>
      <w:r>
        <w:rPr>
          <w:spacing w:val="-1"/>
          <w:sz w:val="21"/>
          <w:szCs w:val="21"/>
          <w:u w:val="single" w:color="auto"/>
        </w:rPr>
        <w:t xml:space="preserve">       </w:t>
      </w:r>
      <w:r>
        <w:rPr>
          <w:spacing w:val="-1"/>
          <w:sz w:val="21"/>
          <w:szCs w:val="21"/>
        </w:rPr>
        <w:t>天，分别将相关文件通过监理人报请发包人审批，发包人应当在监理人收到承包</w:t>
      </w:r>
      <w:r>
        <w:rPr>
          <w:sz w:val="21"/>
          <w:szCs w:val="21"/>
        </w:rPr>
        <w:t xml:space="preserve"> </w:t>
      </w:r>
      <w:r>
        <w:rPr>
          <w:spacing w:val="2"/>
          <w:sz w:val="21"/>
          <w:szCs w:val="21"/>
        </w:rPr>
        <w:t>人报送的相关文件后</w:t>
      </w:r>
      <w:r>
        <w:rPr>
          <w:spacing w:val="2"/>
          <w:sz w:val="21"/>
          <w:szCs w:val="21"/>
          <w:u w:val="single" w:color="auto"/>
        </w:rPr>
        <w:t xml:space="preserve">      </w:t>
      </w:r>
      <w:r>
        <w:rPr>
          <w:spacing w:val="-85"/>
          <w:sz w:val="21"/>
          <w:szCs w:val="21"/>
        </w:rPr>
        <w:t xml:space="preserve"> </w:t>
      </w:r>
      <w:r>
        <w:rPr>
          <w:spacing w:val="2"/>
          <w:sz w:val="21"/>
          <w:szCs w:val="21"/>
        </w:rPr>
        <w:t>天内给予批准或者提出修改意见，经发包</w:t>
      </w:r>
      <w:r>
        <w:rPr>
          <w:spacing w:val="1"/>
          <w:sz w:val="21"/>
          <w:szCs w:val="21"/>
        </w:rPr>
        <w:t>人批准的相关文件，由承包</w:t>
      </w:r>
      <w:r>
        <w:rPr>
          <w:sz w:val="21"/>
          <w:szCs w:val="21"/>
        </w:rPr>
        <w:t xml:space="preserve"> </w:t>
      </w:r>
      <w:r>
        <w:rPr>
          <w:spacing w:val="2"/>
          <w:sz w:val="21"/>
          <w:szCs w:val="21"/>
        </w:rPr>
        <w:t>人负责誊清整理并准备出开展实际招标工作所需要的份数，通过监理人报发包人核</w:t>
      </w:r>
      <w:r>
        <w:rPr>
          <w:spacing w:val="1"/>
          <w:sz w:val="21"/>
          <w:szCs w:val="21"/>
        </w:rPr>
        <w:t>查并加盖发包</w:t>
      </w:r>
      <w:r>
        <w:rPr>
          <w:sz w:val="21"/>
          <w:szCs w:val="21"/>
        </w:rPr>
        <w:t xml:space="preserve"> </w:t>
      </w:r>
      <w:r>
        <w:rPr>
          <w:spacing w:val="2"/>
          <w:sz w:val="21"/>
          <w:szCs w:val="21"/>
        </w:rPr>
        <w:t>人印章，发包人在相关文件上加盖印章只表明相关文件经过发包人审核批准。最</w:t>
      </w:r>
      <w:r>
        <w:rPr>
          <w:spacing w:val="1"/>
          <w:sz w:val="21"/>
          <w:szCs w:val="21"/>
        </w:rPr>
        <w:t>终发出的文件应</w:t>
      </w:r>
      <w:r>
        <w:rPr>
          <w:sz w:val="21"/>
          <w:szCs w:val="21"/>
        </w:rPr>
        <w:t xml:space="preserve"> </w:t>
      </w:r>
      <w:r>
        <w:rPr>
          <w:spacing w:val="-2"/>
          <w:sz w:val="21"/>
          <w:szCs w:val="21"/>
        </w:rPr>
        <w:t>当分别报送一份给发包人和监理人备查。</w:t>
      </w:r>
    </w:p>
    <w:p w14:paraId="45F28393">
      <w:pPr>
        <w:pStyle w:val="2"/>
        <w:spacing w:before="199" w:line="286" w:lineRule="auto"/>
        <w:ind w:firstLine="429"/>
        <w:rPr>
          <w:sz w:val="21"/>
          <w:szCs w:val="21"/>
        </w:rPr>
      </w:pPr>
      <w:r>
        <w:rPr>
          <w:spacing w:val="-1"/>
          <w:sz w:val="21"/>
          <w:szCs w:val="21"/>
        </w:rPr>
        <w:t>(3)如果发、承包任何一方委派评标代表，评标委员会应当由七人以上单数构成。</w:t>
      </w:r>
      <w:r>
        <w:rPr>
          <w:spacing w:val="-2"/>
          <w:sz w:val="21"/>
          <w:szCs w:val="21"/>
        </w:rPr>
        <w:t>除发包人或</w:t>
      </w:r>
      <w:r>
        <w:rPr>
          <w:sz w:val="21"/>
          <w:szCs w:val="21"/>
        </w:rPr>
        <w:t xml:space="preserve">  </w:t>
      </w:r>
      <w:r>
        <w:rPr>
          <w:spacing w:val="-1"/>
          <w:sz w:val="21"/>
          <w:szCs w:val="21"/>
        </w:rPr>
        <w:t>者承包人自愿放弃委派评标代表的权利外，招标人评标代表应当分别由发包人和承包人等额委派。</w:t>
      </w:r>
    </w:p>
    <w:p w14:paraId="2D8F3D6C">
      <w:pPr>
        <w:pStyle w:val="2"/>
        <w:spacing w:before="159" w:line="308" w:lineRule="auto"/>
        <w:ind w:right="71" w:firstLine="429"/>
        <w:rPr>
          <w:sz w:val="21"/>
          <w:szCs w:val="21"/>
        </w:rPr>
      </w:pPr>
      <w:r>
        <w:rPr>
          <w:spacing w:val="4"/>
          <w:sz w:val="21"/>
          <w:szCs w:val="21"/>
        </w:rPr>
        <w:t>(4)设有标底的，承包人应当在开标前提前48小时将标底报发</w:t>
      </w:r>
      <w:r>
        <w:rPr>
          <w:spacing w:val="3"/>
          <w:sz w:val="21"/>
          <w:szCs w:val="21"/>
        </w:rPr>
        <w:t>包人审核认可，发包人应当在</w:t>
      </w:r>
      <w:r>
        <w:rPr>
          <w:sz w:val="21"/>
          <w:szCs w:val="21"/>
        </w:rPr>
        <w:t xml:space="preserve"> </w:t>
      </w:r>
      <w:r>
        <w:rPr>
          <w:spacing w:val="2"/>
          <w:sz w:val="21"/>
          <w:szCs w:val="21"/>
        </w:rPr>
        <w:t>收到承包人报送的标底后24小时内给予批准或者提出修改意见。承包人和发包人应当共同制定标</w:t>
      </w:r>
      <w:r>
        <w:rPr>
          <w:spacing w:val="10"/>
          <w:sz w:val="21"/>
          <w:szCs w:val="21"/>
        </w:rPr>
        <w:t xml:space="preserve"> </w:t>
      </w:r>
      <w:r>
        <w:rPr>
          <w:spacing w:val="-1"/>
          <w:sz w:val="21"/>
          <w:szCs w:val="21"/>
        </w:rPr>
        <w:t>底保密措施，不得提前泄露标底。标底的最终审核和决定权属于发包人。</w:t>
      </w:r>
    </w:p>
    <w:p w14:paraId="2E2116F4">
      <w:pPr>
        <w:pStyle w:val="2"/>
        <w:spacing w:before="139" w:line="313" w:lineRule="auto"/>
        <w:ind w:right="70" w:firstLine="429"/>
        <w:rPr>
          <w:sz w:val="21"/>
          <w:szCs w:val="21"/>
        </w:rPr>
      </w:pPr>
      <w:r>
        <w:rPr>
          <w:spacing w:val="2"/>
          <w:sz w:val="21"/>
          <w:szCs w:val="21"/>
        </w:rPr>
        <w:t>(5)设有招标控制价的，承包人应当在招标文件发出前提前</w:t>
      </w:r>
      <w:r>
        <w:rPr>
          <w:spacing w:val="1"/>
          <w:sz w:val="21"/>
          <w:szCs w:val="21"/>
        </w:rPr>
        <w:t>7天将招标控制价报发包人审核认</w:t>
      </w:r>
      <w:r>
        <w:rPr>
          <w:sz w:val="21"/>
          <w:szCs w:val="21"/>
        </w:rPr>
        <w:t xml:space="preserve"> </w:t>
      </w:r>
      <w:r>
        <w:rPr>
          <w:spacing w:val="2"/>
          <w:sz w:val="21"/>
          <w:szCs w:val="21"/>
        </w:rPr>
        <w:t>可，发包人应当在收到承包人报送的招标控制价后72小时内给予认可或者提出修改意见。招标控</w:t>
      </w:r>
      <w:r>
        <w:rPr>
          <w:spacing w:val="12"/>
          <w:sz w:val="21"/>
          <w:szCs w:val="21"/>
        </w:rPr>
        <w:t xml:space="preserve"> </w:t>
      </w:r>
      <w:r>
        <w:rPr>
          <w:sz w:val="21"/>
          <w:szCs w:val="21"/>
        </w:rPr>
        <w:t>制价的最终审核和决定权属于发包人，未经发包</w:t>
      </w:r>
      <w:r>
        <w:rPr>
          <w:spacing w:val="-1"/>
          <w:sz w:val="21"/>
          <w:szCs w:val="21"/>
        </w:rPr>
        <w:t>人认可，承包人不得发出招标文件。</w:t>
      </w:r>
    </w:p>
    <w:p w14:paraId="7BEC35BB">
      <w:pPr>
        <w:pStyle w:val="2"/>
        <w:spacing w:before="152" w:line="307" w:lineRule="auto"/>
        <w:ind w:right="89" w:firstLine="429"/>
        <w:rPr>
          <w:sz w:val="21"/>
          <w:szCs w:val="21"/>
        </w:rPr>
      </w:pPr>
      <w:r>
        <w:rPr>
          <w:spacing w:val="4"/>
          <w:sz w:val="21"/>
          <w:szCs w:val="21"/>
        </w:rPr>
        <w:t>(6)承包人在收到相关招标项目评标委员会提交的评标报告</w:t>
      </w:r>
      <w:r>
        <w:rPr>
          <w:spacing w:val="3"/>
          <w:sz w:val="21"/>
          <w:szCs w:val="21"/>
        </w:rPr>
        <w:t>后，应当在24小时内通过监理人</w:t>
      </w:r>
      <w:r>
        <w:rPr>
          <w:sz w:val="21"/>
          <w:szCs w:val="21"/>
        </w:rPr>
        <w:t xml:space="preserve"> </w:t>
      </w:r>
      <w:r>
        <w:rPr>
          <w:spacing w:val="2"/>
          <w:sz w:val="21"/>
          <w:szCs w:val="21"/>
        </w:rPr>
        <w:t>转报发包人核查，发包人应当在监理人收到承包人报送的评标报告后48小时内核</w:t>
      </w:r>
      <w:r>
        <w:rPr>
          <w:spacing w:val="1"/>
          <w:sz w:val="21"/>
          <w:szCs w:val="21"/>
        </w:rPr>
        <w:t>查完毕，评标报</w:t>
      </w:r>
      <w:r>
        <w:rPr>
          <w:sz w:val="21"/>
          <w:szCs w:val="21"/>
        </w:rPr>
        <w:t xml:space="preserve"> 告经过发包人核查认可后，承包人才可以开始后续程序，依法确定中标人并发</w:t>
      </w:r>
      <w:r>
        <w:rPr>
          <w:spacing w:val="-1"/>
          <w:sz w:val="21"/>
          <w:szCs w:val="21"/>
        </w:rPr>
        <w:t>出中标通知书。</w:t>
      </w:r>
    </w:p>
    <w:p w14:paraId="1004460E">
      <w:pPr>
        <w:pStyle w:val="2"/>
        <w:spacing w:before="155" w:line="318" w:lineRule="auto"/>
        <w:ind w:right="81" w:firstLine="429"/>
        <w:rPr>
          <w:sz w:val="21"/>
          <w:szCs w:val="21"/>
        </w:rPr>
      </w:pPr>
      <w:r>
        <w:rPr>
          <w:spacing w:val="-3"/>
          <w:sz w:val="21"/>
          <w:szCs w:val="21"/>
        </w:rPr>
        <w:t>(7)承包人与专业分包人或者专项供应商订立合同前</w:t>
      </w:r>
      <w:r>
        <w:rPr>
          <w:spacing w:val="-73"/>
          <w:sz w:val="21"/>
          <w:szCs w:val="21"/>
        </w:rPr>
        <w:t xml:space="preserve"> </w:t>
      </w:r>
      <w:r>
        <w:rPr>
          <w:spacing w:val="12"/>
          <w:sz w:val="21"/>
          <w:szCs w:val="21"/>
          <w:u w:val="single" w:color="auto"/>
        </w:rPr>
        <w:t xml:space="preserve">    </w:t>
      </w:r>
      <w:r>
        <w:rPr>
          <w:spacing w:val="-93"/>
          <w:sz w:val="21"/>
          <w:szCs w:val="21"/>
        </w:rPr>
        <w:t xml:space="preserve"> </w:t>
      </w:r>
      <w:r>
        <w:rPr>
          <w:spacing w:val="-3"/>
          <w:sz w:val="21"/>
          <w:szCs w:val="21"/>
        </w:rPr>
        <w:t>天，应当将准备用于正式签订的合同</w:t>
      </w:r>
      <w:r>
        <w:rPr>
          <w:sz w:val="21"/>
          <w:szCs w:val="21"/>
        </w:rPr>
        <w:t xml:space="preserve"> </w:t>
      </w:r>
      <w:r>
        <w:rPr>
          <w:spacing w:val="2"/>
          <w:sz w:val="21"/>
          <w:szCs w:val="21"/>
        </w:rPr>
        <w:t>文件通过监理人报发包人审核，发包人应当在监理人收到相关文件后</w:t>
      </w:r>
      <w:r>
        <w:rPr>
          <w:spacing w:val="-100"/>
          <w:sz w:val="21"/>
          <w:szCs w:val="21"/>
        </w:rPr>
        <w:t xml:space="preserve"> </w:t>
      </w:r>
      <w:r>
        <w:rPr>
          <w:spacing w:val="2"/>
          <w:sz w:val="21"/>
          <w:szCs w:val="21"/>
          <w:u w:val="single" w:color="auto"/>
        </w:rPr>
        <w:t xml:space="preserve">    </w:t>
      </w:r>
      <w:r>
        <w:rPr>
          <w:spacing w:val="2"/>
          <w:sz w:val="21"/>
          <w:szCs w:val="21"/>
        </w:rPr>
        <w:t>天内给</w:t>
      </w:r>
      <w:r>
        <w:rPr>
          <w:spacing w:val="1"/>
          <w:sz w:val="21"/>
          <w:szCs w:val="21"/>
        </w:rPr>
        <w:t>予批准或者提出</w:t>
      </w:r>
      <w:r>
        <w:rPr>
          <w:sz w:val="21"/>
          <w:szCs w:val="21"/>
        </w:rPr>
        <w:t xml:space="preserve"> </w:t>
      </w:r>
      <w:r>
        <w:rPr>
          <w:spacing w:val="2"/>
          <w:sz w:val="21"/>
          <w:szCs w:val="21"/>
        </w:rPr>
        <w:t>修改意见，承包人应当按照发包人批准的合同文件签订相关合同，合同订</w:t>
      </w:r>
      <w:r>
        <w:rPr>
          <w:spacing w:val="1"/>
          <w:sz w:val="21"/>
          <w:szCs w:val="21"/>
        </w:rPr>
        <w:t>立后</w:t>
      </w:r>
      <w:r>
        <w:rPr>
          <w:spacing w:val="1"/>
          <w:sz w:val="21"/>
          <w:szCs w:val="21"/>
          <w:u w:val="single" w:color="auto"/>
        </w:rPr>
        <w:t xml:space="preserve">    </w:t>
      </w:r>
      <w:r>
        <w:rPr>
          <w:spacing w:val="1"/>
          <w:sz w:val="21"/>
          <w:szCs w:val="21"/>
        </w:rPr>
        <w:t>天内，承包人</w:t>
      </w:r>
      <w:r>
        <w:rPr>
          <w:sz w:val="21"/>
          <w:szCs w:val="21"/>
        </w:rPr>
        <w:t xml:space="preserve"> 应当将其中的两份副本报送监理人，其中一份由监理人报发</w:t>
      </w:r>
      <w:r>
        <w:rPr>
          <w:spacing w:val="-1"/>
          <w:sz w:val="21"/>
          <w:szCs w:val="21"/>
        </w:rPr>
        <w:t>包人留存。</w:t>
      </w:r>
    </w:p>
    <w:p w14:paraId="096126D1">
      <w:pPr>
        <w:pStyle w:val="2"/>
        <w:spacing w:before="183" w:line="286" w:lineRule="auto"/>
        <w:ind w:right="99" w:firstLine="429"/>
        <w:rPr>
          <w:sz w:val="21"/>
          <w:szCs w:val="21"/>
        </w:rPr>
      </w:pPr>
      <w:r>
        <w:rPr>
          <w:spacing w:val="-1"/>
          <w:sz w:val="21"/>
          <w:szCs w:val="21"/>
        </w:rPr>
        <w:t>(8)发包人对承包人报送文件进行审批或提出的修改意见应当合理，并符合现行有</w:t>
      </w:r>
      <w:r>
        <w:rPr>
          <w:spacing w:val="-2"/>
          <w:sz w:val="21"/>
          <w:szCs w:val="21"/>
        </w:rPr>
        <w:t>关法律法规</w:t>
      </w:r>
      <w:r>
        <w:rPr>
          <w:sz w:val="21"/>
          <w:szCs w:val="21"/>
        </w:rPr>
        <w:t xml:space="preserve"> </w:t>
      </w:r>
      <w:r>
        <w:rPr>
          <w:spacing w:val="-5"/>
          <w:sz w:val="21"/>
          <w:szCs w:val="21"/>
        </w:rPr>
        <w:t>的规定。</w:t>
      </w:r>
    </w:p>
    <w:p w14:paraId="04B52C01">
      <w:pPr>
        <w:pStyle w:val="2"/>
        <w:spacing w:before="157" w:line="219" w:lineRule="auto"/>
        <w:ind w:left="429"/>
        <w:rPr>
          <w:sz w:val="21"/>
          <w:szCs w:val="21"/>
        </w:rPr>
      </w:pPr>
      <w:r>
        <w:rPr>
          <w:spacing w:val="-1"/>
          <w:sz w:val="21"/>
          <w:szCs w:val="21"/>
        </w:rPr>
        <w:t>(9)承包人违背本项上述约定的程序或者未履行本项上述约定的报批手续的，发包人</w:t>
      </w:r>
      <w:r>
        <w:rPr>
          <w:spacing w:val="-2"/>
          <w:sz w:val="21"/>
          <w:szCs w:val="21"/>
        </w:rPr>
        <w:t>有权拒绝</w:t>
      </w:r>
    </w:p>
    <w:p w14:paraId="10489482">
      <w:pPr>
        <w:spacing w:line="219" w:lineRule="auto"/>
        <w:rPr>
          <w:sz w:val="21"/>
          <w:szCs w:val="21"/>
        </w:rPr>
        <w:sectPr>
          <w:footerReference r:id="rId162" w:type="default"/>
          <w:pgSz w:w="11910" w:h="16840"/>
          <w:pgMar w:top="400" w:right="1460" w:bottom="1024" w:left="1460" w:header="0" w:footer="889" w:gutter="0"/>
          <w:cols w:space="720" w:num="1"/>
        </w:sectPr>
      </w:pPr>
    </w:p>
    <w:p w14:paraId="7CBF4B4F">
      <w:pPr>
        <w:spacing w:line="274" w:lineRule="auto"/>
        <w:rPr>
          <w:rFonts w:ascii="Arial"/>
          <w:sz w:val="21"/>
        </w:rPr>
      </w:pPr>
    </w:p>
    <w:p w14:paraId="39BCC460">
      <w:pPr>
        <w:spacing w:line="274" w:lineRule="auto"/>
        <w:rPr>
          <w:rFonts w:ascii="Arial"/>
          <w:sz w:val="21"/>
        </w:rPr>
      </w:pPr>
    </w:p>
    <w:p w14:paraId="66F8E4E9">
      <w:pPr>
        <w:spacing w:line="274" w:lineRule="auto"/>
        <w:rPr>
          <w:rFonts w:ascii="Arial"/>
          <w:sz w:val="21"/>
        </w:rPr>
      </w:pPr>
    </w:p>
    <w:p w14:paraId="2B376867">
      <w:pPr>
        <w:spacing w:line="275" w:lineRule="auto"/>
        <w:rPr>
          <w:rFonts w:ascii="Arial"/>
          <w:sz w:val="21"/>
        </w:rPr>
      </w:pPr>
    </w:p>
    <w:p w14:paraId="4551990E">
      <w:pPr>
        <w:spacing w:line="275" w:lineRule="auto"/>
        <w:rPr>
          <w:rFonts w:ascii="Arial"/>
          <w:sz w:val="21"/>
        </w:rPr>
      </w:pPr>
    </w:p>
    <w:p w14:paraId="6D274346">
      <w:pPr>
        <w:pStyle w:val="2"/>
        <w:spacing w:before="65" w:line="362" w:lineRule="auto"/>
        <w:ind w:right="296"/>
        <w:jc w:val="both"/>
        <w:rPr>
          <w:sz w:val="20"/>
          <w:szCs w:val="20"/>
        </w:rPr>
      </w:pPr>
      <w:r>
        <w:rPr>
          <w:spacing w:val="11"/>
          <w:sz w:val="20"/>
          <w:szCs w:val="20"/>
        </w:rPr>
        <w:t>对相关专业工程或者涉及相关专项供应的材料和工程设备的工程进行验收和拨付相应工程款项，</w:t>
      </w:r>
      <w:r>
        <w:rPr>
          <w:spacing w:val="6"/>
          <w:sz w:val="20"/>
          <w:szCs w:val="20"/>
        </w:rPr>
        <w:t xml:space="preserve"> </w:t>
      </w:r>
      <w:r>
        <w:rPr>
          <w:spacing w:val="12"/>
          <w:sz w:val="20"/>
          <w:szCs w:val="20"/>
        </w:rPr>
        <w:t>所造成的费用增加和(或)工期延误由承包人承担。发包人未按本项上述约</w:t>
      </w:r>
      <w:r>
        <w:rPr>
          <w:spacing w:val="11"/>
          <w:sz w:val="20"/>
          <w:szCs w:val="20"/>
        </w:rPr>
        <w:t>定履行审批手续的，所</w:t>
      </w:r>
      <w:r>
        <w:rPr>
          <w:sz w:val="20"/>
          <w:szCs w:val="20"/>
        </w:rPr>
        <w:t xml:space="preserve"> </w:t>
      </w:r>
      <w:r>
        <w:rPr>
          <w:spacing w:val="8"/>
          <w:sz w:val="20"/>
          <w:szCs w:val="20"/>
        </w:rPr>
        <w:t>造成的费用增加和(或)工期延误由发包人承担。</w:t>
      </w:r>
    </w:p>
    <w:p w14:paraId="0710A519">
      <w:pPr>
        <w:pStyle w:val="2"/>
        <w:spacing w:before="43" w:line="218" w:lineRule="auto"/>
        <w:ind w:left="429"/>
        <w:rPr>
          <w:sz w:val="20"/>
          <w:szCs w:val="20"/>
        </w:rPr>
      </w:pPr>
      <w:r>
        <w:rPr>
          <w:spacing w:val="11"/>
          <w:sz w:val="20"/>
          <w:szCs w:val="20"/>
        </w:rPr>
        <w:t>15.8.3发包人在工程量清单中给定暂估价的专业工程不属于依法必须招标的范围或者未达到</w:t>
      </w:r>
    </w:p>
    <w:p w14:paraId="10A9D06A">
      <w:pPr>
        <w:pStyle w:val="2"/>
        <w:spacing w:before="157" w:line="379" w:lineRule="auto"/>
        <w:rPr>
          <w:sz w:val="20"/>
          <w:szCs w:val="20"/>
        </w:rPr>
      </w:pPr>
      <w:r>
        <w:rPr>
          <w:spacing w:val="8"/>
          <w:sz w:val="20"/>
          <w:szCs w:val="20"/>
        </w:rPr>
        <w:t>依法必须招标的规模标准的，其最终价格的估价人为：</w:t>
      </w:r>
      <w:r>
        <w:rPr>
          <w:spacing w:val="-70"/>
          <w:sz w:val="20"/>
          <w:szCs w:val="20"/>
        </w:rPr>
        <w:t xml:space="preserve"> </w:t>
      </w:r>
      <w:r>
        <w:rPr>
          <w:spacing w:val="2"/>
          <w:sz w:val="20"/>
          <w:szCs w:val="20"/>
          <w:u w:val="single" w:color="auto"/>
        </w:rPr>
        <w:t xml:space="preserve">                            </w:t>
      </w:r>
      <w:r>
        <w:rPr>
          <w:spacing w:val="-66"/>
          <w:sz w:val="20"/>
          <w:szCs w:val="20"/>
        </w:rPr>
        <w:t xml:space="preserve"> </w:t>
      </w:r>
      <w:r>
        <w:rPr>
          <w:spacing w:val="11"/>
          <w:sz w:val="20"/>
          <w:szCs w:val="20"/>
          <w:u w:val="dotted" w:color="auto"/>
        </w:rPr>
        <w:t xml:space="preserve">  </w:t>
      </w:r>
      <w:r>
        <w:rPr>
          <w:spacing w:val="-67"/>
          <w:sz w:val="20"/>
          <w:szCs w:val="20"/>
        </w:rPr>
        <w:t xml:space="preserve"> </w:t>
      </w:r>
      <w:r>
        <w:rPr>
          <w:spacing w:val="7"/>
          <w:sz w:val="20"/>
          <w:szCs w:val="20"/>
        </w:rPr>
        <w:t>或者按照下</w:t>
      </w:r>
      <w:r>
        <w:rPr>
          <w:sz w:val="20"/>
          <w:szCs w:val="20"/>
        </w:rPr>
        <w:t xml:space="preserve"> </w:t>
      </w:r>
      <w:r>
        <w:rPr>
          <w:spacing w:val="-11"/>
          <w:sz w:val="20"/>
          <w:szCs w:val="20"/>
        </w:rPr>
        <w:t>列约定：</w:t>
      </w:r>
      <w:r>
        <w:rPr>
          <w:sz w:val="20"/>
          <w:szCs w:val="20"/>
          <w:u w:val="single" w:color="auto"/>
        </w:rPr>
        <w:t xml:space="preserve">                                                                  </w:t>
      </w:r>
    </w:p>
    <w:p w14:paraId="5EB70248">
      <w:pPr>
        <w:spacing w:before="24" w:line="222" w:lineRule="auto"/>
        <w:ind w:left="3"/>
        <w:rPr>
          <w:rFonts w:ascii="黑体" w:hAnsi="黑体" w:eastAsia="黑体" w:cs="黑体"/>
          <w:sz w:val="27"/>
          <w:szCs w:val="27"/>
        </w:rPr>
      </w:pPr>
      <w:r>
        <w:rPr>
          <w:rFonts w:ascii="黑体" w:hAnsi="黑体" w:eastAsia="黑体" w:cs="黑体"/>
          <w:b/>
          <w:bCs/>
          <w:spacing w:val="-3"/>
          <w:sz w:val="27"/>
          <w:szCs w:val="27"/>
        </w:rPr>
        <w:t>16.价格调整</w:t>
      </w:r>
    </w:p>
    <w:p w14:paraId="36299E4B">
      <w:pPr>
        <w:spacing w:before="84" w:line="222" w:lineRule="auto"/>
        <w:ind w:left="3"/>
        <w:rPr>
          <w:rFonts w:ascii="黑体" w:hAnsi="黑体" w:eastAsia="黑体" w:cs="黑体"/>
          <w:sz w:val="24"/>
          <w:szCs w:val="24"/>
        </w:rPr>
      </w:pPr>
      <w:r>
        <w:rPr>
          <w:rFonts w:ascii="黑体" w:hAnsi="黑体" w:eastAsia="黑体" w:cs="黑体"/>
          <w:b/>
          <w:bCs/>
          <w:spacing w:val="-3"/>
          <w:sz w:val="24"/>
          <w:szCs w:val="24"/>
        </w:rPr>
        <w:t>16.1物价波动引起的价格调整</w:t>
      </w:r>
    </w:p>
    <w:p w14:paraId="37A0090A">
      <w:pPr>
        <w:pStyle w:val="2"/>
        <w:spacing w:before="283" w:line="218" w:lineRule="auto"/>
        <w:ind w:left="429"/>
        <w:rPr>
          <w:rFonts w:ascii="Arial" w:hAnsi="Arial" w:eastAsia="Arial" w:cs="Arial"/>
          <w:sz w:val="20"/>
          <w:szCs w:val="20"/>
        </w:rPr>
      </w:pPr>
      <w:r>
        <w:rPr>
          <w:spacing w:val="8"/>
          <w:sz w:val="20"/>
          <w:szCs w:val="20"/>
        </w:rPr>
        <w:t>物价波动引起的价格调整方法：</w:t>
      </w:r>
      <w:r>
        <w:rPr>
          <w:spacing w:val="-82"/>
          <w:sz w:val="20"/>
          <w:szCs w:val="20"/>
        </w:rPr>
        <w:t xml:space="preserve"> </w:t>
      </w:r>
      <w:r>
        <w:rPr>
          <w:spacing w:val="1"/>
          <w:sz w:val="20"/>
          <w:szCs w:val="20"/>
          <w:u w:val="single" w:color="auto"/>
        </w:rPr>
        <w:t xml:space="preserve">                                                 </w:t>
      </w:r>
      <w:r>
        <w:rPr>
          <w:spacing w:val="-78"/>
          <w:sz w:val="20"/>
          <w:szCs w:val="20"/>
        </w:rPr>
        <w:t xml:space="preserve"> </w:t>
      </w:r>
      <w:r>
        <w:rPr>
          <w:rFonts w:ascii="Arial" w:hAnsi="Arial" w:eastAsia="Arial" w:cs="Arial"/>
          <w:spacing w:val="8"/>
          <w:sz w:val="20"/>
          <w:szCs w:val="20"/>
        </w:rPr>
        <w:t>o</w:t>
      </w:r>
    </w:p>
    <w:p w14:paraId="044DF2A7">
      <w:pPr>
        <w:pStyle w:val="2"/>
        <w:spacing w:before="67" w:line="212" w:lineRule="auto"/>
        <w:ind w:left="429"/>
        <w:rPr>
          <w:rFonts w:ascii="Arial" w:hAnsi="Arial" w:eastAsia="Arial" w:cs="Arial"/>
          <w:sz w:val="20"/>
          <w:szCs w:val="20"/>
        </w:rPr>
      </w:pPr>
      <w:r>
        <w:rPr>
          <w:sz w:val="20"/>
          <w:szCs w:val="20"/>
        </w:rPr>
        <w:t>其他约定：</w:t>
      </w:r>
      <w:r>
        <w:rPr>
          <w:spacing w:val="-41"/>
          <w:sz w:val="20"/>
          <w:szCs w:val="20"/>
        </w:rPr>
        <w:t xml:space="preserve"> </w:t>
      </w:r>
      <w:r>
        <w:rPr>
          <w:spacing w:val="1"/>
          <w:sz w:val="20"/>
          <w:szCs w:val="20"/>
          <w:u w:val="single" w:color="auto"/>
        </w:rPr>
        <w:t xml:space="preserve">                                       </w:t>
      </w:r>
      <w:r>
        <w:rPr>
          <w:sz w:val="20"/>
          <w:szCs w:val="20"/>
          <w:u w:val="single" w:color="auto"/>
        </w:rPr>
        <w:t xml:space="preserve">                             </w:t>
      </w:r>
      <w:r>
        <w:rPr>
          <w:rFonts w:ascii="Arial" w:hAnsi="Arial" w:eastAsia="Arial" w:cs="Arial"/>
          <w:spacing w:val="-10"/>
          <w:w w:val="37"/>
          <w:sz w:val="20"/>
          <w:szCs w:val="20"/>
        </w:rPr>
        <w:t>_</w:t>
      </w:r>
      <w:r>
        <w:rPr>
          <w:rFonts w:ascii="Arial" w:hAnsi="Arial" w:eastAsia="Arial" w:cs="Arial"/>
          <w:sz w:val="20"/>
          <w:szCs w:val="20"/>
        </w:rPr>
        <w:t>o</w:t>
      </w:r>
    </w:p>
    <w:p w14:paraId="74D496D4">
      <w:pPr>
        <w:spacing w:before="230" w:line="224" w:lineRule="auto"/>
        <w:ind w:left="3"/>
        <w:rPr>
          <w:rFonts w:ascii="黑体" w:hAnsi="黑体" w:eastAsia="黑体" w:cs="黑体"/>
          <w:sz w:val="27"/>
          <w:szCs w:val="27"/>
        </w:rPr>
      </w:pPr>
      <w:r>
        <w:rPr>
          <w:rFonts w:ascii="黑体" w:hAnsi="黑体" w:eastAsia="黑体" w:cs="黑体"/>
          <w:b/>
          <w:bCs/>
          <w:spacing w:val="-3"/>
          <w:sz w:val="27"/>
          <w:szCs w:val="27"/>
        </w:rPr>
        <w:t>17.计量与支付</w:t>
      </w:r>
    </w:p>
    <w:p w14:paraId="2D2098A8">
      <w:pPr>
        <w:spacing w:before="94" w:line="225" w:lineRule="auto"/>
        <w:ind w:left="3"/>
        <w:rPr>
          <w:rFonts w:ascii="黑体" w:hAnsi="黑体" w:eastAsia="黑体" w:cs="黑体"/>
          <w:sz w:val="24"/>
          <w:szCs w:val="24"/>
        </w:rPr>
      </w:pPr>
      <w:r>
        <w:rPr>
          <w:rFonts w:ascii="黑体" w:hAnsi="黑体" w:eastAsia="黑体" w:cs="黑体"/>
          <w:b/>
          <w:bCs/>
          <w:spacing w:val="-5"/>
          <w:sz w:val="24"/>
          <w:szCs w:val="24"/>
        </w:rPr>
        <w:t>17.1计量</w:t>
      </w:r>
    </w:p>
    <w:p w14:paraId="249EA9CC">
      <w:pPr>
        <w:spacing w:before="131" w:line="221" w:lineRule="auto"/>
        <w:ind w:left="432"/>
        <w:rPr>
          <w:rFonts w:ascii="黑体" w:hAnsi="黑体" w:eastAsia="黑体" w:cs="黑体"/>
          <w:sz w:val="20"/>
          <w:szCs w:val="20"/>
        </w:rPr>
      </w:pPr>
      <w:r>
        <w:rPr>
          <w:rFonts w:ascii="黑体" w:hAnsi="黑体" w:eastAsia="黑体" w:cs="黑体"/>
          <w:b/>
          <w:bCs/>
          <w:spacing w:val="9"/>
          <w:sz w:val="20"/>
          <w:szCs w:val="20"/>
        </w:rPr>
        <w:t>17.1.2计量方法</w:t>
      </w:r>
    </w:p>
    <w:p w14:paraId="79F779BE">
      <w:pPr>
        <w:pStyle w:val="2"/>
        <w:spacing w:before="123" w:line="337" w:lineRule="auto"/>
        <w:ind w:right="253" w:firstLine="429"/>
        <w:jc w:val="both"/>
        <w:rPr>
          <w:sz w:val="20"/>
          <w:szCs w:val="20"/>
        </w:rPr>
      </w:pPr>
      <w:r>
        <w:rPr>
          <w:spacing w:val="7"/>
          <w:sz w:val="20"/>
          <w:szCs w:val="20"/>
        </w:rPr>
        <w:t>工程量计算规则执行国家标准《建设工程工程量清单计价规范》</w:t>
      </w:r>
      <w:r>
        <w:rPr>
          <w:rFonts w:ascii="Times New Roman" w:hAnsi="Times New Roman" w:eastAsia="Times New Roman" w:cs="Times New Roman"/>
          <w:spacing w:val="7"/>
          <w:sz w:val="20"/>
          <w:szCs w:val="20"/>
        </w:rPr>
        <w:t>(</w:t>
      </w:r>
      <w:r>
        <w:rPr>
          <w:rFonts w:ascii="Times New Roman" w:hAnsi="Times New Roman" w:eastAsia="Times New Roman" w:cs="Times New Roman"/>
          <w:sz w:val="20"/>
          <w:szCs w:val="20"/>
        </w:rPr>
        <w:t>GB</w:t>
      </w:r>
      <w:r>
        <w:rPr>
          <w:rFonts w:ascii="Times New Roman" w:hAnsi="Times New Roman" w:eastAsia="Times New Roman" w:cs="Times New Roman"/>
          <w:spacing w:val="7"/>
          <w:sz w:val="20"/>
          <w:szCs w:val="20"/>
        </w:rPr>
        <w:t>50</w:t>
      </w:r>
      <w:r>
        <w:rPr>
          <w:rFonts w:ascii="Times New Roman" w:hAnsi="Times New Roman" w:eastAsia="Times New Roman" w:cs="Times New Roman"/>
          <w:spacing w:val="6"/>
          <w:sz w:val="20"/>
          <w:szCs w:val="20"/>
        </w:rPr>
        <w:t>500-2013)</w:t>
      </w:r>
      <w:r>
        <w:rPr>
          <w:rFonts w:ascii="Times New Roman" w:hAnsi="Times New Roman" w:eastAsia="Times New Roman" w:cs="Times New Roman"/>
          <w:sz w:val="20"/>
          <w:szCs w:val="20"/>
        </w:rPr>
        <w:t xml:space="preserve">    </w:t>
      </w:r>
      <w:r>
        <w:rPr>
          <w:spacing w:val="6"/>
          <w:sz w:val="20"/>
          <w:szCs w:val="20"/>
        </w:rPr>
        <w:t>和配套的工</w:t>
      </w:r>
      <w:r>
        <w:rPr>
          <w:spacing w:val="1"/>
          <w:sz w:val="20"/>
          <w:szCs w:val="20"/>
        </w:rPr>
        <w:t xml:space="preserve"> </w:t>
      </w:r>
      <w:r>
        <w:rPr>
          <w:spacing w:val="6"/>
          <w:sz w:val="20"/>
          <w:szCs w:val="20"/>
        </w:rPr>
        <w:t>程量计算规范</w:t>
      </w:r>
      <w:r>
        <w:rPr>
          <w:spacing w:val="-42"/>
          <w:sz w:val="20"/>
          <w:szCs w:val="20"/>
        </w:rPr>
        <w:t xml:space="preserve"> </w:t>
      </w:r>
      <w:r>
        <w:rPr>
          <w:rFonts w:ascii="Times New Roman" w:hAnsi="Times New Roman" w:eastAsia="Times New Roman" w:cs="Times New Roman"/>
          <w:spacing w:val="6"/>
          <w:sz w:val="20"/>
          <w:szCs w:val="20"/>
        </w:rPr>
        <w:t>(</w:t>
      </w:r>
      <w:r>
        <w:rPr>
          <w:rFonts w:ascii="Times New Roman" w:hAnsi="Times New Roman" w:eastAsia="Times New Roman" w:cs="Times New Roman"/>
          <w:sz w:val="20"/>
          <w:szCs w:val="20"/>
        </w:rPr>
        <w:t>GB</w:t>
      </w:r>
      <w:r>
        <w:rPr>
          <w:rFonts w:ascii="Times New Roman" w:hAnsi="Times New Roman" w:eastAsia="Times New Roman" w:cs="Times New Roman"/>
          <w:spacing w:val="6"/>
          <w:sz w:val="20"/>
          <w:szCs w:val="20"/>
        </w:rPr>
        <w:t>50854-2013</w:t>
      </w:r>
      <w:r>
        <w:rPr>
          <w:spacing w:val="6"/>
          <w:sz w:val="20"/>
          <w:szCs w:val="20"/>
        </w:rPr>
        <w:t>～</w:t>
      </w:r>
      <w:r>
        <w:rPr>
          <w:rFonts w:ascii="Times New Roman" w:hAnsi="Times New Roman" w:eastAsia="Times New Roman" w:cs="Times New Roman"/>
          <w:sz w:val="20"/>
          <w:szCs w:val="20"/>
        </w:rPr>
        <w:t>GB</w:t>
      </w:r>
      <w:r>
        <w:rPr>
          <w:rFonts w:ascii="Times New Roman" w:hAnsi="Times New Roman" w:eastAsia="Times New Roman" w:cs="Times New Roman"/>
          <w:spacing w:val="6"/>
          <w:sz w:val="20"/>
          <w:szCs w:val="20"/>
        </w:rPr>
        <w:t xml:space="preserve">50862-2013)    </w:t>
      </w:r>
      <w:r>
        <w:rPr>
          <w:rFonts w:ascii="Times New Roman" w:hAnsi="Times New Roman" w:eastAsia="Times New Roman" w:cs="Times New Roman"/>
          <w:spacing w:val="5"/>
          <w:sz w:val="20"/>
          <w:szCs w:val="20"/>
        </w:rPr>
        <w:t xml:space="preserve">   </w:t>
      </w:r>
      <w:r>
        <w:rPr>
          <w:spacing w:val="5"/>
          <w:sz w:val="20"/>
          <w:szCs w:val="20"/>
        </w:rPr>
        <w:t>或其适用的修订版本。除合同另有约定外，承包</w:t>
      </w:r>
      <w:r>
        <w:rPr>
          <w:sz w:val="20"/>
          <w:szCs w:val="20"/>
        </w:rPr>
        <w:t xml:space="preserve"> </w:t>
      </w:r>
      <w:r>
        <w:rPr>
          <w:spacing w:val="10"/>
          <w:sz w:val="20"/>
          <w:szCs w:val="20"/>
        </w:rPr>
        <w:t>人实际完成的工程量按约定的工程量计算规则和有合</w:t>
      </w:r>
      <w:r>
        <w:rPr>
          <w:spacing w:val="9"/>
          <w:sz w:val="20"/>
          <w:szCs w:val="20"/>
        </w:rPr>
        <w:t>同约束力的图纸进行计量。</w:t>
      </w:r>
    </w:p>
    <w:p w14:paraId="38FBA057">
      <w:pPr>
        <w:spacing w:before="134" w:line="223" w:lineRule="auto"/>
        <w:ind w:left="432"/>
        <w:rPr>
          <w:rFonts w:ascii="黑体" w:hAnsi="黑体" w:eastAsia="黑体" w:cs="黑体"/>
          <w:sz w:val="20"/>
          <w:szCs w:val="20"/>
        </w:rPr>
      </w:pPr>
      <w:r>
        <w:rPr>
          <w:rFonts w:ascii="黑体" w:hAnsi="黑体" w:eastAsia="黑体" w:cs="黑体"/>
          <w:b/>
          <w:bCs/>
          <w:spacing w:val="9"/>
          <w:sz w:val="20"/>
          <w:szCs w:val="20"/>
        </w:rPr>
        <w:t>17.1.3计量周期</w:t>
      </w:r>
    </w:p>
    <w:p w14:paraId="7C614DA4">
      <w:pPr>
        <w:pStyle w:val="2"/>
        <w:spacing w:before="159" w:line="281" w:lineRule="auto"/>
        <w:ind w:right="289" w:firstLine="429"/>
        <w:rPr>
          <w:sz w:val="20"/>
          <w:szCs w:val="20"/>
        </w:rPr>
      </w:pPr>
      <w:r>
        <w:rPr>
          <w:spacing w:val="10"/>
          <w:sz w:val="20"/>
          <w:szCs w:val="20"/>
        </w:rPr>
        <w:t>(1)本合同的计量周期为月，每月</w:t>
      </w:r>
      <w:r>
        <w:rPr>
          <w:spacing w:val="-80"/>
          <w:sz w:val="20"/>
          <w:szCs w:val="20"/>
        </w:rPr>
        <w:t xml:space="preserve"> </w:t>
      </w:r>
      <w:r>
        <w:rPr>
          <w:spacing w:val="8"/>
          <w:sz w:val="20"/>
          <w:szCs w:val="20"/>
          <w:u w:val="single" w:color="auto"/>
        </w:rPr>
        <w:t xml:space="preserve">       </w:t>
      </w:r>
      <w:r>
        <w:rPr>
          <w:spacing w:val="-76"/>
          <w:sz w:val="20"/>
          <w:szCs w:val="20"/>
        </w:rPr>
        <w:t xml:space="preserve"> </w:t>
      </w:r>
      <w:r>
        <w:rPr>
          <w:spacing w:val="10"/>
          <w:sz w:val="20"/>
          <w:szCs w:val="20"/>
        </w:rPr>
        <w:t>日为当月计量截止日期(不含当日</w:t>
      </w:r>
      <w:r>
        <w:rPr>
          <w:spacing w:val="9"/>
          <w:sz w:val="20"/>
          <w:szCs w:val="20"/>
        </w:rPr>
        <w:t>)和下月计量起始</w:t>
      </w:r>
      <w:r>
        <w:rPr>
          <w:sz w:val="20"/>
          <w:szCs w:val="20"/>
        </w:rPr>
        <w:t xml:space="preserve"> </w:t>
      </w:r>
      <w:r>
        <w:rPr>
          <w:spacing w:val="2"/>
          <w:sz w:val="20"/>
          <w:szCs w:val="20"/>
        </w:rPr>
        <w:t>日期(含当日)。</w:t>
      </w:r>
    </w:p>
    <w:p w14:paraId="54F6F383">
      <w:pPr>
        <w:pStyle w:val="2"/>
        <w:spacing w:before="119" w:line="301" w:lineRule="auto"/>
        <w:ind w:right="275" w:firstLine="429"/>
        <w:rPr>
          <w:sz w:val="20"/>
          <w:szCs w:val="20"/>
        </w:rPr>
      </w:pPr>
      <w:r>
        <w:rPr>
          <w:spacing w:val="13"/>
          <w:sz w:val="20"/>
          <w:szCs w:val="20"/>
        </w:rPr>
        <w:t>(2)本合同</w:t>
      </w:r>
      <w:r>
        <w:rPr>
          <w:spacing w:val="-68"/>
          <w:sz w:val="20"/>
          <w:szCs w:val="20"/>
        </w:rPr>
        <w:t xml:space="preserve"> </w:t>
      </w:r>
      <w:r>
        <w:rPr>
          <w:sz w:val="20"/>
          <w:szCs w:val="20"/>
          <w:u w:val="single" w:color="auto"/>
        </w:rPr>
        <w:t xml:space="preserve">            </w:t>
      </w:r>
      <w:r>
        <w:rPr>
          <w:spacing w:val="80"/>
          <w:sz w:val="20"/>
          <w:szCs w:val="20"/>
        </w:rPr>
        <w:t xml:space="preserve"> </w:t>
      </w:r>
      <w:r>
        <w:rPr>
          <w:spacing w:val="13"/>
          <w:sz w:val="20"/>
          <w:szCs w:val="20"/>
        </w:rPr>
        <w:t>(执行</w:t>
      </w:r>
      <w:r>
        <w:rPr>
          <w:rFonts w:ascii="楷体" w:hAnsi="楷体" w:eastAsia="楷体" w:cs="楷体"/>
          <w:spacing w:val="13"/>
          <w:sz w:val="20"/>
          <w:szCs w:val="20"/>
        </w:rPr>
        <w:t>(采用单价合同形式时)/</w:t>
      </w:r>
      <w:r>
        <w:rPr>
          <w:spacing w:val="13"/>
          <w:sz w:val="20"/>
          <w:szCs w:val="20"/>
        </w:rPr>
        <w:t>不执行</w:t>
      </w:r>
      <w:r>
        <w:rPr>
          <w:rFonts w:ascii="楷体" w:hAnsi="楷体" w:eastAsia="楷体" w:cs="楷体"/>
          <w:spacing w:val="13"/>
          <w:sz w:val="20"/>
          <w:szCs w:val="20"/>
        </w:rPr>
        <w:t>(</w:t>
      </w:r>
      <w:r>
        <w:rPr>
          <w:rFonts w:ascii="楷体" w:hAnsi="楷体" w:eastAsia="楷体" w:cs="楷体"/>
          <w:spacing w:val="12"/>
          <w:sz w:val="20"/>
          <w:szCs w:val="20"/>
        </w:rPr>
        <w:t>采用总价合同形式时</w:t>
      </w:r>
      <w:r>
        <w:rPr>
          <w:spacing w:val="12"/>
          <w:sz w:val="20"/>
          <w:szCs w:val="20"/>
        </w:rPr>
        <w:t>))通用</w:t>
      </w:r>
      <w:r>
        <w:rPr>
          <w:sz w:val="20"/>
          <w:szCs w:val="20"/>
        </w:rPr>
        <w:t xml:space="preserve"> </w:t>
      </w:r>
      <w:r>
        <w:rPr>
          <w:spacing w:val="12"/>
          <w:sz w:val="20"/>
          <w:szCs w:val="20"/>
        </w:rPr>
        <w:t>合同条款本项约定的单价子目计量。总价子目计量方法按专用合同条款第</w:t>
      </w:r>
      <w:r>
        <w:rPr>
          <w:spacing w:val="11"/>
          <w:sz w:val="20"/>
          <w:szCs w:val="20"/>
        </w:rPr>
        <w:t>17.1.5项总价子目的计</w:t>
      </w:r>
      <w:r>
        <w:rPr>
          <w:sz w:val="20"/>
          <w:szCs w:val="20"/>
        </w:rPr>
        <w:t xml:space="preserve"> </w:t>
      </w:r>
      <w:r>
        <w:rPr>
          <w:spacing w:val="9"/>
          <w:sz w:val="20"/>
          <w:szCs w:val="20"/>
        </w:rPr>
        <w:t>量——</w:t>
      </w:r>
      <w:r>
        <w:rPr>
          <w:spacing w:val="-28"/>
          <w:sz w:val="20"/>
          <w:szCs w:val="20"/>
        </w:rPr>
        <w:t xml:space="preserve"> </w:t>
      </w:r>
      <w:r>
        <w:rPr>
          <w:sz w:val="20"/>
          <w:szCs w:val="20"/>
          <w:u w:val="single" w:color="auto"/>
        </w:rPr>
        <w:t xml:space="preserve">                   </w:t>
      </w:r>
      <w:r>
        <w:rPr>
          <w:spacing w:val="-80"/>
          <w:sz w:val="20"/>
          <w:szCs w:val="20"/>
        </w:rPr>
        <w:t xml:space="preserve"> </w:t>
      </w:r>
      <w:r>
        <w:rPr>
          <w:spacing w:val="9"/>
          <w:sz w:val="20"/>
          <w:szCs w:val="20"/>
        </w:rPr>
        <w:t>(支付分解报告/按实际完成工程量计量)。</w:t>
      </w:r>
    </w:p>
    <w:p w14:paraId="2AD08FFE">
      <w:pPr>
        <w:spacing w:before="232" w:line="222" w:lineRule="auto"/>
        <w:ind w:left="432"/>
        <w:rPr>
          <w:rFonts w:ascii="黑体" w:hAnsi="黑体" w:eastAsia="黑体" w:cs="黑体"/>
          <w:sz w:val="20"/>
          <w:szCs w:val="20"/>
        </w:rPr>
      </w:pPr>
      <w:r>
        <w:rPr>
          <w:rFonts w:ascii="黑体" w:hAnsi="黑体" w:eastAsia="黑体" w:cs="黑体"/>
          <w:b/>
          <w:bCs/>
          <w:spacing w:val="8"/>
          <w:sz w:val="20"/>
          <w:szCs w:val="20"/>
        </w:rPr>
        <w:t>17.1.5总价子目的计量一支付分解报告</w:t>
      </w:r>
    </w:p>
    <w:p w14:paraId="27523CAA">
      <w:pPr>
        <w:pStyle w:val="2"/>
        <w:spacing w:before="182" w:line="333" w:lineRule="auto"/>
        <w:ind w:right="242" w:firstLine="429"/>
        <w:jc w:val="both"/>
        <w:rPr>
          <w:sz w:val="20"/>
          <w:szCs w:val="20"/>
        </w:rPr>
      </w:pPr>
      <w:r>
        <w:rPr>
          <w:spacing w:val="12"/>
          <w:sz w:val="20"/>
          <w:szCs w:val="20"/>
        </w:rPr>
        <w:t>总价子目按照有合同约束力的支付分解表支付。承包人应根</w:t>
      </w:r>
      <w:r>
        <w:rPr>
          <w:spacing w:val="11"/>
          <w:sz w:val="20"/>
          <w:szCs w:val="20"/>
        </w:rPr>
        <w:t>据合同条款第10条约定的合同进</w:t>
      </w:r>
      <w:r>
        <w:rPr>
          <w:sz w:val="20"/>
          <w:szCs w:val="20"/>
        </w:rPr>
        <w:t xml:space="preserve"> </w:t>
      </w:r>
      <w:r>
        <w:rPr>
          <w:spacing w:val="12"/>
          <w:sz w:val="20"/>
          <w:szCs w:val="20"/>
        </w:rPr>
        <w:t>度计划和总价子目的总价构成、费用性质、计划发生时间和相应工作量等因素对各个总价子目的</w:t>
      </w:r>
      <w:r>
        <w:rPr>
          <w:spacing w:val="10"/>
          <w:sz w:val="20"/>
          <w:szCs w:val="20"/>
        </w:rPr>
        <w:t xml:space="preserve"> </w:t>
      </w:r>
      <w:r>
        <w:rPr>
          <w:spacing w:val="14"/>
          <w:sz w:val="20"/>
          <w:szCs w:val="20"/>
        </w:rPr>
        <w:t>总价按月进行分解，形成支付分解报告。承包人应当在收到经过监理人批复的合同进度计划后7</w:t>
      </w:r>
      <w:r>
        <w:rPr>
          <w:spacing w:val="2"/>
          <w:sz w:val="20"/>
          <w:szCs w:val="20"/>
        </w:rPr>
        <w:t xml:space="preserve"> </w:t>
      </w:r>
      <w:r>
        <w:rPr>
          <w:spacing w:val="8"/>
          <w:sz w:val="20"/>
          <w:szCs w:val="20"/>
        </w:rPr>
        <w:t>天内，将支付分解报告以及形成支付分解报告的分项计量和总价分解等支持性资料报监理人审批，</w:t>
      </w:r>
      <w:r>
        <w:rPr>
          <w:spacing w:val="15"/>
          <w:sz w:val="20"/>
          <w:szCs w:val="20"/>
        </w:rPr>
        <w:t xml:space="preserve"> 监理人应当在收到承包人报送的支付分解报告</w:t>
      </w:r>
      <w:r>
        <w:rPr>
          <w:spacing w:val="14"/>
          <w:sz w:val="20"/>
          <w:szCs w:val="20"/>
        </w:rPr>
        <w:t>后7天内给予批复或提出修改意见，经监理人批准</w:t>
      </w:r>
      <w:r>
        <w:rPr>
          <w:sz w:val="20"/>
          <w:szCs w:val="20"/>
        </w:rPr>
        <w:t xml:space="preserve"> </w:t>
      </w:r>
      <w:r>
        <w:rPr>
          <w:spacing w:val="12"/>
          <w:sz w:val="20"/>
          <w:szCs w:val="20"/>
        </w:rPr>
        <w:t>的支付分解报告为有合同约束力的支付分解表。支付分</w:t>
      </w:r>
      <w:r>
        <w:rPr>
          <w:spacing w:val="11"/>
          <w:sz w:val="20"/>
          <w:szCs w:val="20"/>
        </w:rPr>
        <w:t>解表应根据合同条款第10.2款约定的修订</w:t>
      </w:r>
      <w:r>
        <w:rPr>
          <w:sz w:val="20"/>
          <w:szCs w:val="20"/>
        </w:rPr>
        <w:t xml:space="preserve"> </w:t>
      </w:r>
      <w:r>
        <w:rPr>
          <w:spacing w:val="12"/>
          <w:sz w:val="20"/>
          <w:szCs w:val="20"/>
        </w:rPr>
        <w:t>合同进度计划进行修正，修正的程序和期限应当依照本项</w:t>
      </w:r>
      <w:r>
        <w:rPr>
          <w:spacing w:val="11"/>
          <w:sz w:val="20"/>
          <w:szCs w:val="20"/>
        </w:rPr>
        <w:t>上述约定，经修正的支付分解表为有合</w:t>
      </w:r>
      <w:r>
        <w:rPr>
          <w:sz w:val="20"/>
          <w:szCs w:val="20"/>
        </w:rPr>
        <w:t xml:space="preserve"> </w:t>
      </w:r>
      <w:r>
        <w:rPr>
          <w:spacing w:val="6"/>
          <w:sz w:val="20"/>
          <w:szCs w:val="20"/>
        </w:rPr>
        <w:t>同约束力的支付分解表。</w:t>
      </w:r>
    </w:p>
    <w:p w14:paraId="761AC046">
      <w:pPr>
        <w:pStyle w:val="2"/>
        <w:spacing w:before="34" w:line="218" w:lineRule="auto"/>
        <w:ind w:left="429"/>
        <w:rPr>
          <w:sz w:val="21"/>
          <w:szCs w:val="21"/>
        </w:rPr>
      </w:pPr>
      <w:r>
        <w:rPr>
          <w:spacing w:val="-1"/>
          <w:sz w:val="21"/>
          <w:szCs w:val="21"/>
        </w:rPr>
        <w:t>(1)总价子目的价格调整方法：</w:t>
      </w:r>
      <w:r>
        <w:rPr>
          <w:spacing w:val="-1"/>
          <w:sz w:val="21"/>
          <w:szCs w:val="21"/>
          <w:u w:val="single" w:color="auto"/>
        </w:rPr>
        <w:t xml:space="preserve">                                </w:t>
      </w:r>
      <w:r>
        <w:rPr>
          <w:spacing w:val="-2"/>
          <w:sz w:val="21"/>
          <w:szCs w:val="21"/>
          <w:u w:val="single" w:color="auto"/>
        </w:rPr>
        <w:t xml:space="preserve">                 </w:t>
      </w:r>
    </w:p>
    <w:p w14:paraId="0D235839">
      <w:pPr>
        <w:pStyle w:val="2"/>
        <w:spacing w:before="141" w:line="280" w:lineRule="auto"/>
        <w:ind w:right="314" w:firstLine="429"/>
        <w:rPr>
          <w:sz w:val="20"/>
          <w:szCs w:val="20"/>
        </w:rPr>
      </w:pPr>
      <w:r>
        <w:rPr>
          <w:spacing w:val="14"/>
          <w:sz w:val="20"/>
          <w:szCs w:val="20"/>
        </w:rPr>
        <w:t>(2)列入每月进度付款申请单中各总价子目的价值为</w:t>
      </w:r>
      <w:r>
        <w:rPr>
          <w:spacing w:val="13"/>
          <w:sz w:val="20"/>
          <w:szCs w:val="20"/>
        </w:rPr>
        <w:t>有合同约束力的支付分解表中对应月份</w:t>
      </w:r>
      <w:r>
        <w:rPr>
          <w:sz w:val="20"/>
          <w:szCs w:val="20"/>
        </w:rPr>
        <w:t xml:space="preserve"> </w:t>
      </w:r>
      <w:r>
        <w:rPr>
          <w:spacing w:val="5"/>
          <w:sz w:val="20"/>
          <w:szCs w:val="20"/>
        </w:rPr>
        <w:t>的总价子目总价值。</w:t>
      </w:r>
    </w:p>
    <w:p w14:paraId="2C0F9F4E">
      <w:pPr>
        <w:spacing w:line="280" w:lineRule="auto"/>
        <w:rPr>
          <w:sz w:val="20"/>
          <w:szCs w:val="20"/>
        </w:rPr>
        <w:sectPr>
          <w:footerReference r:id="rId163" w:type="default"/>
          <w:pgSz w:w="11910" w:h="16840"/>
          <w:pgMar w:top="400" w:right="1256" w:bottom="1024" w:left="1450" w:header="0" w:footer="889" w:gutter="0"/>
          <w:cols w:space="720" w:num="1"/>
        </w:sectPr>
      </w:pPr>
    </w:p>
    <w:p w14:paraId="5E6E83DE">
      <w:pPr>
        <w:spacing w:line="268" w:lineRule="auto"/>
        <w:rPr>
          <w:rFonts w:ascii="Arial"/>
          <w:sz w:val="21"/>
        </w:rPr>
      </w:pPr>
    </w:p>
    <w:p w14:paraId="3BD36CE7">
      <w:pPr>
        <w:spacing w:line="268" w:lineRule="auto"/>
        <w:rPr>
          <w:rFonts w:ascii="Arial"/>
          <w:sz w:val="21"/>
        </w:rPr>
      </w:pPr>
    </w:p>
    <w:p w14:paraId="6141D104">
      <w:pPr>
        <w:spacing w:line="269" w:lineRule="auto"/>
        <w:rPr>
          <w:rFonts w:ascii="Arial"/>
          <w:sz w:val="21"/>
        </w:rPr>
      </w:pPr>
    </w:p>
    <w:p w14:paraId="48FE936E">
      <w:pPr>
        <w:spacing w:line="269" w:lineRule="auto"/>
        <w:rPr>
          <w:rFonts w:ascii="Arial"/>
          <w:sz w:val="21"/>
        </w:rPr>
      </w:pPr>
    </w:p>
    <w:p w14:paraId="0BBC8264">
      <w:pPr>
        <w:spacing w:line="269" w:lineRule="auto"/>
        <w:rPr>
          <w:rFonts w:ascii="Arial"/>
          <w:sz w:val="21"/>
        </w:rPr>
      </w:pPr>
    </w:p>
    <w:p w14:paraId="0CDC90FB">
      <w:pPr>
        <w:pStyle w:val="2"/>
        <w:spacing w:before="65" w:line="294" w:lineRule="auto"/>
        <w:ind w:right="82" w:firstLine="429"/>
        <w:rPr>
          <w:sz w:val="17"/>
          <w:szCs w:val="17"/>
        </w:rPr>
      </w:pPr>
      <w:r>
        <w:rPr>
          <w:spacing w:val="14"/>
          <w:sz w:val="20"/>
          <w:szCs w:val="20"/>
        </w:rPr>
        <w:t>(3)监理人根据有合同约束力的支付分解表复核列入每月进度付款申请单</w:t>
      </w:r>
      <w:r>
        <w:rPr>
          <w:spacing w:val="13"/>
          <w:sz w:val="20"/>
          <w:szCs w:val="20"/>
        </w:rPr>
        <w:t>中的总价子目的总</w:t>
      </w:r>
      <w:r>
        <w:rPr>
          <w:sz w:val="20"/>
          <w:szCs w:val="20"/>
        </w:rPr>
        <w:t xml:space="preserve"> </w:t>
      </w:r>
      <w:r>
        <w:rPr>
          <w:spacing w:val="-5"/>
          <w:sz w:val="17"/>
          <w:szCs w:val="17"/>
        </w:rPr>
        <w:t>价</w:t>
      </w:r>
      <w:r>
        <w:rPr>
          <w:spacing w:val="-25"/>
          <w:sz w:val="17"/>
          <w:szCs w:val="17"/>
        </w:rPr>
        <w:t xml:space="preserve"> </w:t>
      </w:r>
      <w:r>
        <w:rPr>
          <w:spacing w:val="-5"/>
          <w:sz w:val="17"/>
          <w:szCs w:val="17"/>
        </w:rPr>
        <w:t>值</w:t>
      </w:r>
      <w:r>
        <w:rPr>
          <w:spacing w:val="-32"/>
          <w:sz w:val="17"/>
          <w:szCs w:val="17"/>
        </w:rPr>
        <w:t xml:space="preserve"> </w:t>
      </w:r>
      <w:r>
        <w:rPr>
          <w:spacing w:val="-5"/>
          <w:sz w:val="17"/>
          <w:szCs w:val="17"/>
        </w:rPr>
        <w:t>。</w:t>
      </w:r>
    </w:p>
    <w:p w14:paraId="222BBA49">
      <w:pPr>
        <w:pStyle w:val="2"/>
        <w:spacing w:before="139" w:line="280" w:lineRule="auto"/>
        <w:ind w:right="91" w:firstLine="429"/>
        <w:rPr>
          <w:sz w:val="20"/>
          <w:szCs w:val="20"/>
        </w:rPr>
      </w:pPr>
      <w:r>
        <w:rPr>
          <w:spacing w:val="13"/>
          <w:sz w:val="20"/>
          <w:szCs w:val="20"/>
        </w:rPr>
        <w:t>(4)除按照第15条约定的变更外，在竣工结算时总价子目的工程量不应当重新计量，签约合</w:t>
      </w:r>
      <w:r>
        <w:rPr>
          <w:spacing w:val="11"/>
          <w:sz w:val="20"/>
          <w:szCs w:val="20"/>
        </w:rPr>
        <w:t xml:space="preserve"> </w:t>
      </w:r>
      <w:r>
        <w:rPr>
          <w:spacing w:val="8"/>
          <w:sz w:val="20"/>
          <w:szCs w:val="20"/>
        </w:rPr>
        <w:t>同价所基于的工程量即是用于竣工结算的最终工程量。</w:t>
      </w:r>
    </w:p>
    <w:p w14:paraId="0E2ADEA4">
      <w:pPr>
        <w:spacing w:before="230" w:line="221" w:lineRule="auto"/>
        <w:ind w:left="432"/>
        <w:rPr>
          <w:rFonts w:ascii="黑体" w:hAnsi="黑体" w:eastAsia="黑体" w:cs="黑体"/>
          <w:sz w:val="20"/>
          <w:szCs w:val="20"/>
        </w:rPr>
      </w:pPr>
      <w:r>
        <w:rPr>
          <w:rFonts w:ascii="黑体" w:hAnsi="黑体" w:eastAsia="黑体" w:cs="黑体"/>
          <w:b/>
          <w:bCs/>
          <w:spacing w:val="9"/>
          <w:sz w:val="20"/>
          <w:szCs w:val="20"/>
        </w:rPr>
        <w:t>17.1.5总价子目的计量一按实际完成工程量计量</w:t>
      </w:r>
    </w:p>
    <w:p w14:paraId="41B08B9D">
      <w:pPr>
        <w:pStyle w:val="2"/>
        <w:spacing w:before="184" w:line="218" w:lineRule="auto"/>
        <w:ind w:left="429"/>
        <w:rPr>
          <w:sz w:val="22"/>
          <w:szCs w:val="22"/>
        </w:rPr>
      </w:pPr>
      <w:r>
        <w:rPr>
          <w:spacing w:val="-19"/>
          <w:sz w:val="22"/>
          <w:szCs w:val="22"/>
        </w:rPr>
        <w:t>(1)总价子目的价格调整方法：</w:t>
      </w:r>
      <w:r>
        <w:rPr>
          <w:sz w:val="22"/>
          <w:szCs w:val="22"/>
          <w:u w:val="single" w:color="auto"/>
        </w:rPr>
        <w:t xml:space="preserve">                                               </w:t>
      </w:r>
    </w:p>
    <w:p w14:paraId="32BCE1B2">
      <w:pPr>
        <w:pStyle w:val="2"/>
        <w:spacing w:before="109" w:line="324" w:lineRule="auto"/>
        <w:ind w:right="72"/>
        <w:rPr>
          <w:sz w:val="20"/>
          <w:szCs w:val="20"/>
        </w:rPr>
      </w:pPr>
      <w:r>
        <w:rPr>
          <w:spacing w:val="12"/>
          <w:sz w:val="20"/>
          <w:szCs w:val="20"/>
        </w:rPr>
        <w:t>总价子目的计量和支付应以总价为基础，对承包人实际完成的工程量进行计量，是进行工程目标</w:t>
      </w:r>
      <w:r>
        <w:rPr>
          <w:spacing w:val="2"/>
          <w:sz w:val="20"/>
          <w:szCs w:val="20"/>
        </w:rPr>
        <w:t xml:space="preserve"> </w:t>
      </w:r>
      <w:r>
        <w:rPr>
          <w:spacing w:val="7"/>
          <w:sz w:val="20"/>
          <w:szCs w:val="20"/>
        </w:rPr>
        <w:t>管理和控制进度款支付的依据。</w:t>
      </w:r>
    </w:p>
    <w:p w14:paraId="4FB027D9">
      <w:pPr>
        <w:pStyle w:val="2"/>
        <w:spacing w:before="1" w:line="333" w:lineRule="auto"/>
        <w:ind w:right="84" w:firstLine="429"/>
        <w:rPr>
          <w:sz w:val="20"/>
          <w:szCs w:val="20"/>
        </w:rPr>
      </w:pPr>
      <w:r>
        <w:rPr>
          <w:spacing w:val="10"/>
          <w:sz w:val="20"/>
          <w:szCs w:val="20"/>
        </w:rPr>
        <w:t>(2)承包人在专用合同条款第17.1.3(1)目约定的每月计量截止日期后，对已完成的分部分项</w:t>
      </w:r>
      <w:r>
        <w:rPr>
          <w:spacing w:val="1"/>
          <w:sz w:val="20"/>
          <w:szCs w:val="20"/>
        </w:rPr>
        <w:t xml:space="preserve"> </w:t>
      </w:r>
      <w:r>
        <w:rPr>
          <w:spacing w:val="14"/>
          <w:sz w:val="20"/>
          <w:szCs w:val="20"/>
        </w:rPr>
        <w:t>工程的子目(包括在工程量清单中给出具体工程量的措施项目的相关子目</w:t>
      </w:r>
      <w:r>
        <w:rPr>
          <w:spacing w:val="13"/>
          <w:sz w:val="20"/>
          <w:szCs w:val="20"/>
        </w:rPr>
        <w:t>),按照专用合同条款第</w:t>
      </w:r>
      <w:r>
        <w:rPr>
          <w:sz w:val="20"/>
          <w:szCs w:val="20"/>
        </w:rPr>
        <w:t xml:space="preserve"> </w:t>
      </w:r>
      <w:r>
        <w:rPr>
          <w:spacing w:val="11"/>
          <w:sz w:val="20"/>
          <w:szCs w:val="20"/>
        </w:rPr>
        <w:t>17.1.2项约定的计量方法进行计量，对已完成的工程量清单中没有给出具体工程量的措施项目的</w:t>
      </w:r>
      <w:r>
        <w:rPr>
          <w:sz w:val="20"/>
          <w:szCs w:val="20"/>
        </w:rPr>
        <w:t xml:space="preserve"> </w:t>
      </w:r>
      <w:r>
        <w:rPr>
          <w:spacing w:val="11"/>
          <w:sz w:val="20"/>
          <w:szCs w:val="20"/>
        </w:rPr>
        <w:t>相关子目，按其总价构成、费用性质和实际发生比例进行计量，向监理人提交进度付款申请单、</w:t>
      </w:r>
      <w:r>
        <w:rPr>
          <w:spacing w:val="16"/>
          <w:sz w:val="20"/>
          <w:szCs w:val="20"/>
        </w:rPr>
        <w:t xml:space="preserve"> </w:t>
      </w:r>
      <w:r>
        <w:rPr>
          <w:spacing w:val="7"/>
          <w:sz w:val="20"/>
          <w:szCs w:val="20"/>
        </w:rPr>
        <w:t>已完成工程量报表和有关计量资料。</w:t>
      </w:r>
    </w:p>
    <w:p w14:paraId="3F33C473">
      <w:pPr>
        <w:pStyle w:val="2"/>
        <w:spacing w:before="14" w:line="289" w:lineRule="auto"/>
        <w:ind w:firstLine="429"/>
        <w:rPr>
          <w:sz w:val="20"/>
          <w:szCs w:val="20"/>
        </w:rPr>
      </w:pPr>
      <w:r>
        <w:rPr>
          <w:spacing w:val="6"/>
          <w:sz w:val="20"/>
          <w:szCs w:val="20"/>
        </w:rPr>
        <w:t>(3)监理人对承包人提交的工程量报表进行复核，以确定实际完成的工程量</w:t>
      </w:r>
      <w:r>
        <w:rPr>
          <w:spacing w:val="5"/>
          <w:sz w:val="20"/>
          <w:szCs w:val="20"/>
        </w:rPr>
        <w:t>。对数量有异议的，</w:t>
      </w:r>
      <w:r>
        <w:rPr>
          <w:sz w:val="20"/>
          <w:szCs w:val="20"/>
        </w:rPr>
        <w:t xml:space="preserve"> </w:t>
      </w:r>
      <w:r>
        <w:rPr>
          <w:spacing w:val="11"/>
          <w:sz w:val="20"/>
          <w:szCs w:val="20"/>
        </w:rPr>
        <w:t>可要求承包人进行共同复核。承包人应协助监理人进行复核并按监理人要求提供补充计量资料。</w:t>
      </w:r>
      <w:r>
        <w:rPr>
          <w:spacing w:val="8"/>
          <w:sz w:val="20"/>
          <w:szCs w:val="20"/>
        </w:rPr>
        <w:t xml:space="preserve">  </w:t>
      </w:r>
      <w:r>
        <w:rPr>
          <w:spacing w:val="10"/>
          <w:sz w:val="20"/>
          <w:szCs w:val="20"/>
        </w:rPr>
        <w:t>承包人未按监理人要求参加复核，监理人复核或修正的工程量视为承包人实际完成的工程量。</w:t>
      </w:r>
    </w:p>
    <w:p w14:paraId="6E5F0248">
      <w:pPr>
        <w:pStyle w:val="2"/>
        <w:spacing w:before="142" w:line="270" w:lineRule="auto"/>
        <w:ind w:right="90" w:firstLine="429"/>
        <w:rPr>
          <w:sz w:val="20"/>
          <w:szCs w:val="20"/>
        </w:rPr>
      </w:pPr>
      <w:r>
        <w:rPr>
          <w:spacing w:val="11"/>
          <w:sz w:val="20"/>
          <w:szCs w:val="20"/>
        </w:rPr>
        <w:t>(4)监理人应在收到承包人提交的工程量报表后的7天内进行复核，监理人未在约定</w:t>
      </w:r>
      <w:r>
        <w:rPr>
          <w:spacing w:val="10"/>
          <w:sz w:val="20"/>
          <w:szCs w:val="20"/>
        </w:rPr>
        <w:t>时间内复</w:t>
      </w:r>
      <w:r>
        <w:rPr>
          <w:sz w:val="20"/>
          <w:szCs w:val="20"/>
        </w:rPr>
        <w:t xml:space="preserve"> </w:t>
      </w:r>
      <w:r>
        <w:rPr>
          <w:spacing w:val="10"/>
          <w:sz w:val="20"/>
          <w:szCs w:val="20"/>
        </w:rPr>
        <w:t>核的，承包人提交的工程量报表中的工程量视为承包人实际完成的工程</w:t>
      </w:r>
      <w:r>
        <w:rPr>
          <w:spacing w:val="9"/>
          <w:sz w:val="20"/>
          <w:szCs w:val="20"/>
        </w:rPr>
        <w:t>量，据此计算工程价款。</w:t>
      </w:r>
    </w:p>
    <w:p w14:paraId="050B8932">
      <w:pPr>
        <w:pStyle w:val="2"/>
        <w:spacing w:before="133" w:line="266" w:lineRule="auto"/>
        <w:ind w:right="91" w:firstLine="429"/>
        <w:rPr>
          <w:sz w:val="20"/>
          <w:szCs w:val="20"/>
        </w:rPr>
      </w:pPr>
      <w:r>
        <w:rPr>
          <w:spacing w:val="13"/>
          <w:sz w:val="20"/>
          <w:szCs w:val="20"/>
        </w:rPr>
        <w:t>(5)除按照第15条约定的变更外，在竣工结算时总价子目的工程量不应当重新计量，签约合</w:t>
      </w:r>
      <w:r>
        <w:rPr>
          <w:spacing w:val="11"/>
          <w:sz w:val="20"/>
          <w:szCs w:val="20"/>
        </w:rPr>
        <w:t xml:space="preserve"> </w:t>
      </w:r>
      <w:r>
        <w:rPr>
          <w:spacing w:val="8"/>
          <w:sz w:val="20"/>
          <w:szCs w:val="20"/>
        </w:rPr>
        <w:t>同价所基于的工程量即是用于竣工结算的最终工程量。</w:t>
      </w:r>
    </w:p>
    <w:p w14:paraId="143775D5">
      <w:pPr>
        <w:spacing w:before="113" w:line="222" w:lineRule="auto"/>
        <w:ind w:left="3"/>
        <w:rPr>
          <w:rFonts w:ascii="黑体" w:hAnsi="黑体" w:eastAsia="黑体" w:cs="黑体"/>
          <w:sz w:val="24"/>
          <w:szCs w:val="24"/>
        </w:rPr>
      </w:pPr>
      <w:r>
        <w:rPr>
          <w:rFonts w:ascii="黑体" w:hAnsi="黑体" w:eastAsia="黑体" w:cs="黑体"/>
          <w:b/>
          <w:bCs/>
          <w:spacing w:val="-3"/>
          <w:sz w:val="24"/>
          <w:szCs w:val="24"/>
        </w:rPr>
        <w:t>17.2预付款</w:t>
      </w:r>
    </w:p>
    <w:p w14:paraId="1890EA58">
      <w:pPr>
        <w:spacing w:before="190" w:line="222" w:lineRule="auto"/>
        <w:ind w:left="432"/>
        <w:rPr>
          <w:rFonts w:ascii="黑体" w:hAnsi="黑体" w:eastAsia="黑体" w:cs="黑体"/>
          <w:sz w:val="20"/>
          <w:szCs w:val="20"/>
        </w:rPr>
      </w:pPr>
      <w:r>
        <w:rPr>
          <w:rFonts w:ascii="黑体" w:hAnsi="黑体" w:eastAsia="黑体" w:cs="黑体"/>
          <w:b/>
          <w:bCs/>
          <w:spacing w:val="9"/>
          <w:sz w:val="20"/>
          <w:szCs w:val="20"/>
        </w:rPr>
        <w:t>17.2.1预付款</w:t>
      </w:r>
    </w:p>
    <w:p w14:paraId="3CB3031D">
      <w:pPr>
        <w:spacing w:before="180" w:line="222" w:lineRule="auto"/>
        <w:ind w:left="432"/>
        <w:rPr>
          <w:rFonts w:ascii="黑体" w:hAnsi="黑体" w:eastAsia="黑体" w:cs="黑体"/>
          <w:sz w:val="20"/>
          <w:szCs w:val="20"/>
        </w:rPr>
      </w:pPr>
      <w:r>
        <w:rPr>
          <w:rFonts w:ascii="黑体" w:hAnsi="黑体" w:eastAsia="黑体" w:cs="黑体"/>
          <w:b/>
          <w:bCs/>
          <w:sz w:val="20"/>
          <w:szCs w:val="20"/>
        </w:rPr>
        <w:t>(1)预付款额度</w:t>
      </w:r>
    </w:p>
    <w:p w14:paraId="2286DB44">
      <w:pPr>
        <w:pStyle w:val="2"/>
        <w:spacing w:before="223" w:line="381" w:lineRule="auto"/>
        <w:ind w:left="429" w:right="470"/>
        <w:rPr>
          <w:sz w:val="20"/>
          <w:szCs w:val="20"/>
        </w:rPr>
      </w:pPr>
      <w:r>
        <w:rPr>
          <w:spacing w:val="-7"/>
          <w:sz w:val="20"/>
          <w:szCs w:val="20"/>
        </w:rPr>
        <w:t>分部分项工程部分的预付款额度：</w:t>
      </w:r>
      <w:r>
        <w:rPr>
          <w:spacing w:val="-83"/>
          <w:sz w:val="20"/>
          <w:szCs w:val="20"/>
        </w:rPr>
        <w:t xml:space="preserve"> </w:t>
      </w:r>
      <w:r>
        <w:rPr>
          <w:spacing w:val="1"/>
          <w:sz w:val="20"/>
          <w:szCs w:val="20"/>
          <w:u w:val="single" w:color="auto"/>
        </w:rPr>
        <w:t xml:space="preserve">                             </w:t>
      </w:r>
      <w:r>
        <w:rPr>
          <w:sz w:val="20"/>
          <w:szCs w:val="20"/>
          <w:u w:val="single" w:color="auto"/>
        </w:rPr>
        <w:t xml:space="preserve">                   </w:t>
      </w:r>
      <w:r>
        <w:rPr>
          <w:spacing w:val="-89"/>
          <w:sz w:val="20"/>
          <w:szCs w:val="20"/>
        </w:rPr>
        <w:t xml:space="preserve"> </w:t>
      </w:r>
      <w:r>
        <w:rPr>
          <w:rFonts w:ascii="Arial" w:hAnsi="Arial" w:eastAsia="Arial" w:cs="Arial"/>
          <w:spacing w:val="-7"/>
          <w:sz w:val="20"/>
          <w:szCs w:val="20"/>
        </w:rPr>
        <w:t>_o</w:t>
      </w:r>
      <w:r>
        <w:rPr>
          <w:rFonts w:ascii="Arial" w:hAnsi="Arial" w:eastAsia="Arial" w:cs="Arial"/>
          <w:sz w:val="20"/>
          <w:szCs w:val="20"/>
        </w:rPr>
        <w:t xml:space="preserve">   </w:t>
      </w:r>
      <w:r>
        <w:rPr>
          <w:sz w:val="20"/>
          <w:szCs w:val="20"/>
        </w:rPr>
        <w:t xml:space="preserve">措施项目部分预付款额度： </w:t>
      </w:r>
      <w:r>
        <w:rPr>
          <w:sz w:val="20"/>
          <w:szCs w:val="20"/>
          <w:u w:val="single" w:color="auto"/>
        </w:rPr>
        <w:t xml:space="preserve">             </w:t>
      </w:r>
      <w:r>
        <w:rPr>
          <w:spacing w:val="-1"/>
          <w:sz w:val="20"/>
          <w:szCs w:val="20"/>
          <w:u w:val="single" w:color="auto"/>
        </w:rPr>
        <w:t xml:space="preserve">                                         </w:t>
      </w:r>
      <w:r>
        <w:rPr>
          <w:spacing w:val="-89"/>
          <w:sz w:val="20"/>
          <w:szCs w:val="20"/>
        </w:rPr>
        <w:t xml:space="preserve"> </w:t>
      </w:r>
      <w:r>
        <w:rPr>
          <w:spacing w:val="-1"/>
          <w:sz w:val="20"/>
          <w:szCs w:val="20"/>
        </w:rPr>
        <w:t>_</w:t>
      </w:r>
      <w:r>
        <w:rPr>
          <w:sz w:val="20"/>
          <w:szCs w:val="20"/>
        </w:rPr>
        <w:t xml:space="preserve">  </w:t>
      </w:r>
      <w:r>
        <w:rPr>
          <w:spacing w:val="2"/>
          <w:sz w:val="20"/>
          <w:szCs w:val="20"/>
        </w:rPr>
        <w:t xml:space="preserve">其中：安全文明施工费用预付额度： </w:t>
      </w:r>
      <w:r>
        <w:rPr>
          <w:spacing w:val="1"/>
          <w:sz w:val="20"/>
          <w:szCs w:val="20"/>
          <w:u w:val="single" w:color="auto"/>
        </w:rPr>
        <w:t xml:space="preserve">                      </w:t>
      </w:r>
      <w:r>
        <w:rPr>
          <w:sz w:val="20"/>
          <w:szCs w:val="20"/>
          <w:u w:val="single" w:color="auto"/>
        </w:rPr>
        <w:t xml:space="preserve">                        </w:t>
      </w:r>
      <w:r>
        <w:rPr>
          <w:spacing w:val="-79"/>
          <w:sz w:val="20"/>
          <w:szCs w:val="20"/>
        </w:rPr>
        <w:t xml:space="preserve"> </w:t>
      </w:r>
      <w:r>
        <w:rPr>
          <w:spacing w:val="2"/>
          <w:sz w:val="20"/>
          <w:szCs w:val="20"/>
        </w:rPr>
        <w:t>_</w:t>
      </w:r>
    </w:p>
    <w:p w14:paraId="29EA94A8">
      <w:pPr>
        <w:spacing w:before="8" w:line="221" w:lineRule="auto"/>
        <w:ind w:left="432"/>
        <w:rPr>
          <w:rFonts w:ascii="黑体" w:hAnsi="黑体" w:eastAsia="黑体" w:cs="黑体"/>
          <w:sz w:val="20"/>
          <w:szCs w:val="20"/>
        </w:rPr>
      </w:pPr>
      <w:r>
        <w:rPr>
          <w:rFonts w:ascii="黑体" w:hAnsi="黑体" w:eastAsia="黑体" w:cs="黑体"/>
          <w:b/>
          <w:bCs/>
          <w:spacing w:val="1"/>
          <w:sz w:val="20"/>
          <w:szCs w:val="20"/>
        </w:rPr>
        <w:t>(2)预付办法</w:t>
      </w:r>
    </w:p>
    <w:p w14:paraId="10765C30">
      <w:pPr>
        <w:pStyle w:val="2"/>
        <w:spacing w:before="295" w:line="219" w:lineRule="auto"/>
        <w:ind w:left="429"/>
        <w:rPr>
          <w:sz w:val="20"/>
          <w:szCs w:val="20"/>
        </w:rPr>
      </w:pPr>
      <w:r>
        <w:rPr>
          <w:sz w:val="20"/>
          <w:szCs w:val="20"/>
        </w:rPr>
        <w:t>预付款预付办法：</w:t>
      </w:r>
      <w:r>
        <w:rPr>
          <w:spacing w:val="-30"/>
          <w:sz w:val="20"/>
          <w:szCs w:val="20"/>
        </w:rPr>
        <w:t xml:space="preserve"> </w:t>
      </w:r>
      <w:r>
        <w:rPr>
          <w:sz w:val="20"/>
          <w:szCs w:val="20"/>
          <w:u w:val="single" w:color="auto"/>
        </w:rPr>
        <w:t xml:space="preserve">                                                               </w:t>
      </w:r>
    </w:p>
    <w:p w14:paraId="66059F32">
      <w:pPr>
        <w:pStyle w:val="2"/>
        <w:spacing w:before="183" w:line="219" w:lineRule="auto"/>
        <w:ind w:left="429"/>
        <w:rPr>
          <w:sz w:val="20"/>
          <w:szCs w:val="20"/>
        </w:rPr>
      </w:pPr>
      <w:r>
        <w:rPr>
          <w:spacing w:val="-3"/>
          <w:sz w:val="20"/>
          <w:szCs w:val="20"/>
        </w:rPr>
        <w:t>预付款的支付时间：</w:t>
      </w:r>
      <w:r>
        <w:rPr>
          <w:spacing w:val="-3"/>
          <w:sz w:val="20"/>
          <w:szCs w:val="20"/>
          <w:u w:val="single" w:color="auto"/>
        </w:rPr>
        <w:t xml:space="preserve">                                                          </w:t>
      </w:r>
      <w:r>
        <w:rPr>
          <w:spacing w:val="-4"/>
          <w:sz w:val="20"/>
          <w:szCs w:val="20"/>
          <w:u w:val="single" w:color="auto"/>
        </w:rPr>
        <w:t xml:space="preserve">     </w:t>
      </w:r>
    </w:p>
    <w:p w14:paraId="24CF8CF7">
      <w:pPr>
        <w:pStyle w:val="2"/>
        <w:spacing w:before="141" w:line="407" w:lineRule="auto"/>
        <w:ind w:right="70" w:firstLine="429"/>
        <w:jc w:val="both"/>
        <w:rPr>
          <w:sz w:val="17"/>
          <w:szCs w:val="17"/>
        </w:rPr>
      </w:pPr>
      <w:r>
        <w:rPr>
          <w:spacing w:val="12"/>
          <w:sz w:val="20"/>
          <w:szCs w:val="20"/>
        </w:rPr>
        <w:t>安全文明施工费用的预付不受上述预付办法和支付时间约定的制约，发包人应当在不</w:t>
      </w:r>
      <w:r>
        <w:rPr>
          <w:spacing w:val="11"/>
          <w:sz w:val="20"/>
          <w:szCs w:val="20"/>
        </w:rPr>
        <w:t>迟于通</w:t>
      </w:r>
      <w:r>
        <w:rPr>
          <w:sz w:val="20"/>
          <w:szCs w:val="20"/>
        </w:rPr>
        <w:t xml:space="preserve"> </w:t>
      </w:r>
      <w:r>
        <w:rPr>
          <w:spacing w:val="14"/>
          <w:sz w:val="20"/>
          <w:szCs w:val="20"/>
        </w:rPr>
        <w:t>用合同条款第11.1.1项约定的开工日期前的7</w:t>
      </w:r>
      <w:r>
        <w:rPr>
          <w:spacing w:val="13"/>
          <w:sz w:val="20"/>
          <w:szCs w:val="20"/>
        </w:rPr>
        <w:t>天内将安全文明施工费用的预付款一次性拨付给承</w:t>
      </w:r>
      <w:r>
        <w:rPr>
          <w:sz w:val="20"/>
          <w:szCs w:val="20"/>
        </w:rPr>
        <w:t xml:space="preserve"> </w:t>
      </w:r>
      <w:r>
        <w:rPr>
          <w:spacing w:val="-5"/>
          <w:sz w:val="17"/>
          <w:szCs w:val="17"/>
        </w:rPr>
        <w:t>包</w:t>
      </w:r>
      <w:r>
        <w:rPr>
          <w:spacing w:val="-24"/>
          <w:sz w:val="17"/>
          <w:szCs w:val="17"/>
        </w:rPr>
        <w:t xml:space="preserve"> </w:t>
      </w:r>
      <w:r>
        <w:rPr>
          <w:spacing w:val="-5"/>
          <w:sz w:val="17"/>
          <w:szCs w:val="17"/>
        </w:rPr>
        <w:t>人</w:t>
      </w:r>
      <w:r>
        <w:rPr>
          <w:spacing w:val="-32"/>
          <w:sz w:val="17"/>
          <w:szCs w:val="17"/>
        </w:rPr>
        <w:t xml:space="preserve"> </w:t>
      </w:r>
      <w:r>
        <w:rPr>
          <w:spacing w:val="-5"/>
          <w:sz w:val="17"/>
          <w:szCs w:val="17"/>
        </w:rPr>
        <w:t>。</w:t>
      </w:r>
    </w:p>
    <w:p w14:paraId="55D1F6BF">
      <w:pPr>
        <w:pStyle w:val="2"/>
        <w:spacing w:before="23" w:line="381" w:lineRule="auto"/>
        <w:ind w:right="71" w:firstLine="429"/>
        <w:rPr>
          <w:sz w:val="20"/>
          <w:szCs w:val="20"/>
        </w:rPr>
      </w:pPr>
      <w:r>
        <w:rPr>
          <w:spacing w:val="11"/>
          <w:sz w:val="20"/>
          <w:szCs w:val="20"/>
        </w:rPr>
        <w:t>发包人逾期支付合同约定的预付款，除承担通用合同条款第22.2款约定的违约责任外，还应</w:t>
      </w:r>
      <w:r>
        <w:rPr>
          <w:spacing w:val="15"/>
          <w:sz w:val="20"/>
          <w:szCs w:val="20"/>
        </w:rPr>
        <w:t xml:space="preserve"> </w:t>
      </w:r>
      <w:r>
        <w:rPr>
          <w:spacing w:val="10"/>
          <w:sz w:val="20"/>
          <w:szCs w:val="20"/>
        </w:rPr>
        <w:t>向承包人支付按专用合同条款第17.3.3(2)目约定的标准和方</w:t>
      </w:r>
      <w:r>
        <w:rPr>
          <w:spacing w:val="9"/>
          <w:sz w:val="20"/>
          <w:szCs w:val="20"/>
        </w:rPr>
        <w:t>法计算的逾期付款违约金。</w:t>
      </w:r>
    </w:p>
    <w:p w14:paraId="66A2BA94">
      <w:pPr>
        <w:spacing w:line="381" w:lineRule="auto"/>
        <w:rPr>
          <w:sz w:val="20"/>
          <w:szCs w:val="20"/>
        </w:rPr>
        <w:sectPr>
          <w:footerReference r:id="rId164" w:type="default"/>
          <w:pgSz w:w="11910" w:h="16840"/>
          <w:pgMar w:top="400" w:right="1469" w:bottom="1024" w:left="1460" w:header="0" w:footer="889" w:gutter="0"/>
          <w:cols w:space="720" w:num="1"/>
        </w:sectPr>
      </w:pPr>
    </w:p>
    <w:p w14:paraId="4C664E37">
      <w:pPr>
        <w:spacing w:line="265" w:lineRule="auto"/>
        <w:rPr>
          <w:rFonts w:ascii="Arial"/>
          <w:sz w:val="21"/>
        </w:rPr>
      </w:pPr>
    </w:p>
    <w:p w14:paraId="396D4B85">
      <w:pPr>
        <w:spacing w:line="265" w:lineRule="auto"/>
        <w:rPr>
          <w:rFonts w:ascii="Arial"/>
          <w:sz w:val="21"/>
        </w:rPr>
      </w:pPr>
    </w:p>
    <w:p w14:paraId="74A8479F">
      <w:pPr>
        <w:spacing w:line="265" w:lineRule="auto"/>
        <w:rPr>
          <w:rFonts w:ascii="Arial"/>
          <w:sz w:val="21"/>
        </w:rPr>
      </w:pPr>
    </w:p>
    <w:p w14:paraId="2217719F">
      <w:pPr>
        <w:spacing w:line="266" w:lineRule="auto"/>
        <w:rPr>
          <w:rFonts w:ascii="Arial"/>
          <w:sz w:val="21"/>
        </w:rPr>
      </w:pPr>
    </w:p>
    <w:p w14:paraId="0FFE0E7A">
      <w:pPr>
        <w:spacing w:line="266" w:lineRule="auto"/>
        <w:rPr>
          <w:rFonts w:ascii="Arial"/>
          <w:sz w:val="21"/>
        </w:rPr>
      </w:pPr>
    </w:p>
    <w:p w14:paraId="781CE070">
      <w:pPr>
        <w:spacing w:before="69" w:line="222" w:lineRule="auto"/>
        <w:ind w:left="452"/>
        <w:rPr>
          <w:rFonts w:ascii="黑体" w:hAnsi="黑体" w:eastAsia="黑体" w:cs="黑体"/>
          <w:sz w:val="21"/>
          <w:szCs w:val="21"/>
        </w:rPr>
      </w:pPr>
      <w:r>
        <w:rPr>
          <w:rFonts w:ascii="黑体" w:hAnsi="黑体" w:eastAsia="黑体" w:cs="黑体"/>
          <w:b/>
          <w:bCs/>
          <w:spacing w:val="3"/>
          <w:sz w:val="21"/>
          <w:szCs w:val="21"/>
        </w:rPr>
        <w:t>17.2.2预付款保函</w:t>
      </w:r>
    </w:p>
    <w:p w14:paraId="171C59E7">
      <w:pPr>
        <w:pStyle w:val="2"/>
        <w:spacing w:before="252" w:line="219" w:lineRule="auto"/>
        <w:ind w:left="449"/>
        <w:rPr>
          <w:sz w:val="22"/>
          <w:szCs w:val="22"/>
        </w:rPr>
      </w:pPr>
      <w:r>
        <w:rPr>
          <w:spacing w:val="-11"/>
          <w:sz w:val="22"/>
          <w:szCs w:val="22"/>
        </w:rPr>
        <w:t>预付款保函的金额与预付款金额相同。预付款</w:t>
      </w:r>
      <w:r>
        <w:rPr>
          <w:spacing w:val="-12"/>
          <w:sz w:val="22"/>
          <w:szCs w:val="22"/>
        </w:rPr>
        <w:t>保函的提交时间：</w:t>
      </w:r>
      <w:r>
        <w:rPr>
          <w:spacing w:val="-12"/>
          <w:sz w:val="22"/>
          <w:szCs w:val="22"/>
          <w:u w:val="single" w:color="auto"/>
        </w:rPr>
        <w:t xml:space="preserve">                       </w:t>
      </w:r>
    </w:p>
    <w:p w14:paraId="18462113">
      <w:pPr>
        <w:tabs>
          <w:tab w:val="left" w:pos="8289"/>
        </w:tabs>
        <w:spacing w:before="147"/>
        <w:rPr>
          <w:rFonts w:ascii="Arial"/>
          <w:sz w:val="21"/>
        </w:rPr>
      </w:pPr>
      <w:r>
        <w:rPr>
          <w:rFonts w:ascii="Arial" w:hAnsi="Arial" w:eastAsia="Arial" w:cs="Arial"/>
          <w:sz w:val="21"/>
          <w:szCs w:val="21"/>
          <w:u w:val="single" w:color="auto"/>
        </w:rPr>
        <w:tab/>
      </w:r>
    </w:p>
    <w:p w14:paraId="588D8B59">
      <w:pPr>
        <w:pStyle w:val="2"/>
        <w:spacing w:before="169" w:line="370" w:lineRule="auto"/>
        <w:ind w:left="30" w:right="20" w:firstLine="419"/>
        <w:jc w:val="both"/>
        <w:rPr>
          <w:sz w:val="21"/>
          <w:szCs w:val="21"/>
        </w:rPr>
      </w:pPr>
      <w:r>
        <w:rPr>
          <w:spacing w:val="2"/>
          <w:sz w:val="21"/>
          <w:szCs w:val="21"/>
        </w:rPr>
        <w:t>预付款保函的担保金额应当根据预付款扣回的金额递减，保函条款中可以设立担保金额递减</w:t>
      </w:r>
      <w:r>
        <w:rPr>
          <w:spacing w:val="9"/>
          <w:sz w:val="21"/>
          <w:szCs w:val="21"/>
        </w:rPr>
        <w:t xml:space="preserve"> </w:t>
      </w:r>
      <w:r>
        <w:rPr>
          <w:spacing w:val="2"/>
          <w:sz w:val="21"/>
          <w:szCs w:val="21"/>
        </w:rPr>
        <w:t>的条款。发包人在签认每一期进度付款证书后14天内，应当以书面方式通知出具预付款保函的担 保人并附上一份经其签认的进度付款证书副本，担保人根据发包人的通知和经发包人签认的进度</w:t>
      </w:r>
      <w:r>
        <w:rPr>
          <w:spacing w:val="7"/>
          <w:sz w:val="21"/>
          <w:szCs w:val="21"/>
        </w:rPr>
        <w:t xml:space="preserve"> </w:t>
      </w:r>
      <w:r>
        <w:rPr>
          <w:spacing w:val="2"/>
          <w:sz w:val="21"/>
          <w:szCs w:val="21"/>
        </w:rPr>
        <w:t>付款证书中累计扣回的预付款金额等额调减预付款保函的担保金额。自担保人收到发包人通知之</w:t>
      </w:r>
      <w:r>
        <w:rPr>
          <w:spacing w:val="3"/>
          <w:sz w:val="21"/>
          <w:szCs w:val="21"/>
        </w:rPr>
        <w:t xml:space="preserve"> </w:t>
      </w:r>
      <w:r>
        <w:rPr>
          <w:spacing w:val="-2"/>
          <w:sz w:val="21"/>
          <w:szCs w:val="21"/>
        </w:rPr>
        <w:t>日起，该经过递减的担保金额为预付款保函担保金额。</w:t>
      </w:r>
    </w:p>
    <w:p w14:paraId="2375A4A1">
      <w:pPr>
        <w:spacing w:before="10" w:line="222" w:lineRule="auto"/>
        <w:ind w:left="452"/>
        <w:rPr>
          <w:rFonts w:ascii="黑体" w:hAnsi="黑体" w:eastAsia="黑体" w:cs="黑体"/>
          <w:sz w:val="21"/>
          <w:szCs w:val="21"/>
        </w:rPr>
      </w:pPr>
      <w:r>
        <w:rPr>
          <w:rFonts w:ascii="黑体" w:hAnsi="黑体" w:eastAsia="黑体" w:cs="黑体"/>
          <w:b/>
          <w:bCs/>
          <w:sz w:val="21"/>
          <w:szCs w:val="21"/>
        </w:rPr>
        <w:t>17.2.3预付款的扣回与还清</w:t>
      </w:r>
    </w:p>
    <w:p w14:paraId="19EB265D">
      <w:pPr>
        <w:pStyle w:val="2"/>
        <w:spacing w:before="262" w:line="219" w:lineRule="auto"/>
        <w:ind w:left="449"/>
        <w:rPr>
          <w:sz w:val="20"/>
          <w:szCs w:val="20"/>
        </w:rPr>
      </w:pPr>
      <w:r>
        <w:rPr>
          <w:sz w:val="20"/>
          <w:szCs w:val="20"/>
        </w:rPr>
        <w:t>预付款的扣回办法：</w:t>
      </w:r>
      <w:r>
        <w:rPr>
          <w:spacing w:val="-41"/>
          <w:sz w:val="20"/>
          <w:szCs w:val="20"/>
        </w:rPr>
        <w:t xml:space="preserve"> </w:t>
      </w:r>
      <w:r>
        <w:rPr>
          <w:sz w:val="20"/>
          <w:szCs w:val="20"/>
          <w:u w:val="single" w:color="auto"/>
        </w:rPr>
        <w:t xml:space="preserve">                                                             </w:t>
      </w:r>
    </w:p>
    <w:p w14:paraId="3D00ECD3">
      <w:pPr>
        <w:spacing w:before="169" w:line="222" w:lineRule="auto"/>
        <w:ind w:left="452"/>
        <w:rPr>
          <w:rFonts w:ascii="黑体" w:hAnsi="黑体" w:eastAsia="黑体" w:cs="黑体"/>
          <w:sz w:val="21"/>
          <w:szCs w:val="21"/>
        </w:rPr>
      </w:pPr>
      <w:r>
        <w:rPr>
          <w:rFonts w:ascii="黑体" w:hAnsi="黑体" w:eastAsia="黑体" w:cs="黑体"/>
          <w:b/>
          <w:bCs/>
          <w:spacing w:val="1"/>
          <w:sz w:val="21"/>
          <w:szCs w:val="21"/>
        </w:rPr>
        <w:t>17.2.4预付款保函的格式</w:t>
      </w:r>
    </w:p>
    <w:p w14:paraId="4825D103">
      <w:pPr>
        <w:pStyle w:val="2"/>
        <w:spacing w:before="199" w:line="365" w:lineRule="auto"/>
        <w:ind w:left="30" w:right="10" w:firstLine="419"/>
        <w:jc w:val="both"/>
        <w:rPr>
          <w:sz w:val="17"/>
          <w:szCs w:val="17"/>
        </w:rPr>
      </w:pPr>
      <w:r>
        <w:rPr>
          <w:spacing w:val="2"/>
          <w:sz w:val="21"/>
          <w:szCs w:val="21"/>
        </w:rPr>
        <w:t>承包人应当按照专用合同条款第17.2.2项约定的金额和时间以及发包人在本工程招标文件中</w:t>
      </w:r>
      <w:r>
        <w:rPr>
          <w:spacing w:val="15"/>
          <w:sz w:val="21"/>
          <w:szCs w:val="21"/>
        </w:rPr>
        <w:t xml:space="preserve"> </w:t>
      </w:r>
      <w:r>
        <w:rPr>
          <w:spacing w:val="2"/>
          <w:sz w:val="21"/>
          <w:szCs w:val="21"/>
        </w:rPr>
        <w:t>规定的或者其他经过发包人事先认可的格式向发包人递交一份无条件兑付的和不可撤销的预付款</w:t>
      </w:r>
      <w:r>
        <w:rPr>
          <w:spacing w:val="4"/>
          <w:sz w:val="21"/>
          <w:szCs w:val="21"/>
        </w:rPr>
        <w:t xml:space="preserve"> </w:t>
      </w:r>
      <w:r>
        <w:rPr>
          <w:spacing w:val="-9"/>
          <w:sz w:val="17"/>
          <w:szCs w:val="17"/>
        </w:rPr>
        <w:t>保</w:t>
      </w:r>
      <w:r>
        <w:rPr>
          <w:spacing w:val="-13"/>
          <w:sz w:val="17"/>
          <w:szCs w:val="17"/>
        </w:rPr>
        <w:t xml:space="preserve"> </w:t>
      </w:r>
      <w:r>
        <w:rPr>
          <w:spacing w:val="-9"/>
          <w:sz w:val="17"/>
          <w:szCs w:val="17"/>
        </w:rPr>
        <w:t>函</w:t>
      </w:r>
      <w:r>
        <w:rPr>
          <w:spacing w:val="-32"/>
          <w:sz w:val="17"/>
          <w:szCs w:val="17"/>
        </w:rPr>
        <w:t xml:space="preserve"> </w:t>
      </w:r>
      <w:r>
        <w:rPr>
          <w:spacing w:val="-9"/>
          <w:sz w:val="17"/>
          <w:szCs w:val="17"/>
        </w:rPr>
        <w:t>。</w:t>
      </w:r>
    </w:p>
    <w:p w14:paraId="6629A631">
      <w:pPr>
        <w:spacing w:before="41" w:line="221" w:lineRule="auto"/>
        <w:ind w:left="452"/>
        <w:rPr>
          <w:rFonts w:ascii="黑体" w:hAnsi="黑体" w:eastAsia="黑体" w:cs="黑体"/>
          <w:sz w:val="21"/>
          <w:szCs w:val="21"/>
        </w:rPr>
      </w:pPr>
      <w:r>
        <w:rPr>
          <w:rFonts w:ascii="黑体" w:hAnsi="黑体" w:eastAsia="黑体" w:cs="黑体"/>
          <w:b/>
          <w:bCs/>
          <w:sz w:val="21"/>
          <w:szCs w:val="21"/>
        </w:rPr>
        <w:t>17.2.5预付款保函的有效期</w:t>
      </w:r>
    </w:p>
    <w:p w14:paraId="41739746">
      <w:pPr>
        <w:pStyle w:val="2"/>
        <w:spacing w:before="143" w:line="354" w:lineRule="auto"/>
        <w:ind w:left="30" w:right="44" w:firstLine="419"/>
        <w:rPr>
          <w:sz w:val="21"/>
          <w:szCs w:val="21"/>
        </w:rPr>
      </w:pPr>
      <w:r>
        <w:rPr>
          <w:spacing w:val="2"/>
          <w:sz w:val="21"/>
          <w:szCs w:val="21"/>
        </w:rPr>
        <w:t>预付款保函的有效期应当自预付款支付给承包人之日起至发包</w:t>
      </w:r>
      <w:r>
        <w:rPr>
          <w:spacing w:val="1"/>
          <w:sz w:val="21"/>
          <w:szCs w:val="21"/>
        </w:rPr>
        <w:t>人签认的进度付款证书说明预</w:t>
      </w:r>
      <w:r>
        <w:rPr>
          <w:sz w:val="21"/>
          <w:szCs w:val="21"/>
        </w:rPr>
        <w:t xml:space="preserve"> </w:t>
      </w:r>
      <w:r>
        <w:rPr>
          <w:spacing w:val="-2"/>
          <w:sz w:val="21"/>
          <w:szCs w:val="21"/>
        </w:rPr>
        <w:t>付款已完全扣清之日止。</w:t>
      </w:r>
    </w:p>
    <w:p w14:paraId="19A5E58B">
      <w:pPr>
        <w:spacing w:before="10" w:line="221" w:lineRule="auto"/>
        <w:ind w:left="452"/>
        <w:rPr>
          <w:rFonts w:ascii="黑体" w:hAnsi="黑体" w:eastAsia="黑体" w:cs="黑体"/>
          <w:sz w:val="21"/>
          <w:szCs w:val="21"/>
        </w:rPr>
      </w:pPr>
      <w:r>
        <w:rPr>
          <w:rFonts w:ascii="黑体" w:hAnsi="黑体" w:eastAsia="黑体" w:cs="黑体"/>
          <w:b/>
          <w:bCs/>
          <w:spacing w:val="1"/>
          <w:sz w:val="21"/>
          <w:szCs w:val="21"/>
        </w:rPr>
        <w:t>17.2.6发包人的通知义务</w:t>
      </w:r>
    </w:p>
    <w:p w14:paraId="56D0462B">
      <w:pPr>
        <w:pStyle w:val="2"/>
        <w:spacing w:before="133" w:line="354" w:lineRule="auto"/>
        <w:ind w:left="30" w:right="24" w:firstLine="419"/>
        <w:rPr>
          <w:sz w:val="21"/>
          <w:szCs w:val="21"/>
        </w:rPr>
      </w:pPr>
      <w:r>
        <w:rPr>
          <w:spacing w:val="2"/>
          <w:sz w:val="21"/>
          <w:szCs w:val="21"/>
        </w:rPr>
        <w:t>不管保函条款中如何约定，发包人根据担保提出索赔或兑现要求之前，均应通知承包人并说</w:t>
      </w:r>
      <w:r>
        <w:rPr>
          <w:spacing w:val="8"/>
          <w:sz w:val="21"/>
          <w:szCs w:val="21"/>
        </w:rPr>
        <w:t xml:space="preserve"> </w:t>
      </w:r>
      <w:r>
        <w:rPr>
          <w:sz w:val="21"/>
          <w:szCs w:val="21"/>
        </w:rPr>
        <w:t>明导致此类索赔或兑现的原因，但此类通知不应理解为是在任何意义上寻求</w:t>
      </w:r>
      <w:r>
        <w:rPr>
          <w:spacing w:val="-1"/>
          <w:sz w:val="21"/>
          <w:szCs w:val="21"/>
        </w:rPr>
        <w:t>承包人的同意。</w:t>
      </w:r>
    </w:p>
    <w:p w14:paraId="099D1F16">
      <w:pPr>
        <w:spacing w:before="11" w:line="222" w:lineRule="auto"/>
        <w:ind w:left="452"/>
        <w:rPr>
          <w:rFonts w:ascii="黑体" w:hAnsi="黑体" w:eastAsia="黑体" w:cs="黑体"/>
          <w:sz w:val="21"/>
          <w:szCs w:val="21"/>
        </w:rPr>
      </w:pPr>
      <w:r>
        <w:rPr>
          <w:rFonts w:ascii="黑体" w:hAnsi="黑体" w:eastAsia="黑体" w:cs="黑体"/>
          <w:b/>
          <w:bCs/>
          <w:spacing w:val="1"/>
          <w:sz w:val="21"/>
          <w:szCs w:val="21"/>
        </w:rPr>
        <w:t>17.2.7预付款保函的退还</w:t>
      </w:r>
    </w:p>
    <w:p w14:paraId="711DDC6F">
      <w:pPr>
        <w:pStyle w:val="2"/>
        <w:spacing w:before="152" w:line="324" w:lineRule="auto"/>
        <w:ind w:left="30" w:right="23" w:firstLine="419"/>
        <w:rPr>
          <w:sz w:val="21"/>
          <w:szCs w:val="21"/>
        </w:rPr>
      </w:pPr>
      <w:r>
        <w:rPr>
          <w:spacing w:val="2"/>
          <w:sz w:val="21"/>
          <w:szCs w:val="21"/>
        </w:rPr>
        <w:t>预付款保函应在发包人签认的进度付款证书说明预付款已完全扣清之日后14天内退还给承包</w:t>
      </w:r>
      <w:r>
        <w:rPr>
          <w:spacing w:val="7"/>
          <w:sz w:val="21"/>
          <w:szCs w:val="21"/>
        </w:rPr>
        <w:t xml:space="preserve"> </w:t>
      </w:r>
      <w:r>
        <w:rPr>
          <w:sz w:val="21"/>
          <w:szCs w:val="21"/>
        </w:rPr>
        <w:t>人。发包人不承担承包人与预付款保函有关的任</w:t>
      </w:r>
      <w:r>
        <w:rPr>
          <w:spacing w:val="-1"/>
          <w:sz w:val="21"/>
          <w:szCs w:val="21"/>
        </w:rPr>
        <w:t>何利息或其它类似的费用或者收益。</w:t>
      </w:r>
    </w:p>
    <w:p w14:paraId="17402391">
      <w:pPr>
        <w:spacing w:line="221" w:lineRule="auto"/>
        <w:ind w:left="33"/>
        <w:rPr>
          <w:rFonts w:ascii="黑体" w:hAnsi="黑体" w:eastAsia="黑体" w:cs="黑体"/>
          <w:sz w:val="24"/>
          <w:szCs w:val="24"/>
        </w:rPr>
      </w:pPr>
      <w:r>
        <w:rPr>
          <w:rFonts w:ascii="黑体" w:hAnsi="黑体" w:eastAsia="黑体" w:cs="黑体"/>
          <w:b/>
          <w:bCs/>
          <w:spacing w:val="-3"/>
          <w:sz w:val="24"/>
          <w:szCs w:val="24"/>
        </w:rPr>
        <w:t>17.3工程进度付款</w:t>
      </w:r>
    </w:p>
    <w:p w14:paraId="42353D27">
      <w:pPr>
        <w:spacing w:before="171" w:line="222" w:lineRule="auto"/>
        <w:ind w:left="452"/>
        <w:rPr>
          <w:rFonts w:ascii="黑体" w:hAnsi="黑体" w:eastAsia="黑体" w:cs="黑体"/>
          <w:sz w:val="21"/>
          <w:szCs w:val="21"/>
        </w:rPr>
      </w:pPr>
      <w:r>
        <w:rPr>
          <w:rFonts w:ascii="黑体" w:hAnsi="黑体" w:eastAsia="黑体" w:cs="黑体"/>
          <w:b/>
          <w:bCs/>
          <w:spacing w:val="1"/>
          <w:sz w:val="21"/>
          <w:szCs w:val="21"/>
        </w:rPr>
        <w:t>17.3.2进度付款申请单</w:t>
      </w:r>
    </w:p>
    <w:p w14:paraId="0E9DFBA9">
      <w:pPr>
        <w:pStyle w:val="2"/>
        <w:spacing w:before="232" w:line="219" w:lineRule="auto"/>
        <w:ind w:left="449"/>
        <w:rPr>
          <w:sz w:val="21"/>
          <w:szCs w:val="21"/>
        </w:rPr>
      </w:pPr>
      <w:r>
        <w:rPr>
          <w:sz w:val="21"/>
          <w:szCs w:val="21"/>
        </w:rPr>
        <w:t>进度付款申请单的份数：</w:t>
      </w:r>
      <w:r>
        <w:rPr>
          <w:spacing w:val="1"/>
          <w:sz w:val="21"/>
          <w:szCs w:val="21"/>
          <w:u w:val="single" w:color="auto"/>
        </w:rPr>
        <w:t xml:space="preserve">                       </w:t>
      </w:r>
      <w:r>
        <w:rPr>
          <w:sz w:val="21"/>
          <w:szCs w:val="21"/>
          <w:u w:val="single" w:color="auto"/>
        </w:rPr>
        <w:t xml:space="preserve">                              </w:t>
      </w:r>
      <w:r>
        <w:rPr>
          <w:spacing w:val="-94"/>
          <w:sz w:val="21"/>
          <w:szCs w:val="21"/>
        </w:rPr>
        <w:t xml:space="preserve"> </w:t>
      </w:r>
      <w:r>
        <w:rPr>
          <w:sz w:val="21"/>
          <w:szCs w:val="21"/>
        </w:rPr>
        <w:t>□</w:t>
      </w:r>
    </w:p>
    <w:p w14:paraId="22C544F6">
      <w:pPr>
        <w:pStyle w:val="2"/>
        <w:spacing w:before="81" w:line="219" w:lineRule="auto"/>
        <w:ind w:left="449"/>
        <w:rPr>
          <w:sz w:val="22"/>
          <w:szCs w:val="22"/>
        </w:rPr>
      </w:pPr>
      <w:r>
        <w:rPr>
          <w:spacing w:val="-19"/>
          <w:sz w:val="22"/>
          <w:szCs w:val="22"/>
        </w:rPr>
        <w:t>进度付款申请单的内容：</w:t>
      </w:r>
      <w:r>
        <w:rPr>
          <w:sz w:val="22"/>
          <w:szCs w:val="22"/>
          <w:u w:val="single" w:color="auto"/>
        </w:rPr>
        <w:t xml:space="preserve">                                                    </w:t>
      </w:r>
    </w:p>
    <w:p w14:paraId="635EC3C9">
      <w:pPr>
        <w:spacing w:before="144" w:line="222" w:lineRule="auto"/>
        <w:ind w:left="452"/>
        <w:rPr>
          <w:rFonts w:ascii="黑体" w:hAnsi="黑体" w:eastAsia="黑体" w:cs="黑体"/>
          <w:sz w:val="21"/>
          <w:szCs w:val="21"/>
        </w:rPr>
      </w:pPr>
      <w:r>
        <w:rPr>
          <w:rFonts w:ascii="黑体" w:hAnsi="黑体" w:eastAsia="黑体" w:cs="黑体"/>
          <w:b/>
          <w:bCs/>
          <w:sz w:val="21"/>
          <w:szCs w:val="21"/>
        </w:rPr>
        <w:t>17.3.3进度付款证书和支付时间</w:t>
      </w:r>
    </w:p>
    <w:p w14:paraId="1798EF09">
      <w:pPr>
        <w:pStyle w:val="2"/>
        <w:spacing w:before="134" w:line="343" w:lineRule="auto"/>
        <w:ind w:left="30" w:firstLine="419"/>
        <w:jc w:val="both"/>
        <w:rPr>
          <w:sz w:val="21"/>
          <w:szCs w:val="21"/>
        </w:rPr>
      </w:pPr>
      <w:r>
        <w:rPr>
          <w:spacing w:val="5"/>
          <w:sz w:val="21"/>
          <w:szCs w:val="21"/>
        </w:rPr>
        <w:t xml:space="preserve">(2)发包人未按专用合同条款第17.2.1(2)目、通用合同条款第17.3.3(2)目、第17.5.2(2) </w:t>
      </w:r>
      <w:r>
        <w:rPr>
          <w:sz w:val="21"/>
          <w:szCs w:val="21"/>
        </w:rPr>
        <w:t>目和第17.6.2(2)目约定的期限支付承包人依合同约定应当</w:t>
      </w:r>
      <w:r>
        <w:rPr>
          <w:spacing w:val="-1"/>
          <w:sz w:val="21"/>
          <w:szCs w:val="21"/>
        </w:rPr>
        <w:t>得到的款项，应当从应付之日起向承包</w:t>
      </w:r>
      <w:r>
        <w:rPr>
          <w:sz w:val="21"/>
          <w:szCs w:val="21"/>
        </w:rPr>
        <w:t xml:space="preserve"> 人支付逾期付款违约金。承包人应当按通用合同条款第23.1(1)目的约定</w:t>
      </w:r>
      <w:r>
        <w:rPr>
          <w:spacing w:val="-1"/>
          <w:sz w:val="21"/>
          <w:szCs w:val="21"/>
        </w:rPr>
        <w:t>，在最终付款期限到期后</w:t>
      </w:r>
      <w:r>
        <w:rPr>
          <w:sz w:val="21"/>
          <w:szCs w:val="21"/>
        </w:rPr>
        <w:t xml:space="preserve"> </w:t>
      </w:r>
      <w:r>
        <w:rPr>
          <w:spacing w:val="3"/>
          <w:sz w:val="21"/>
          <w:szCs w:val="21"/>
        </w:rPr>
        <w:t>28天内，向监理人递交索赔意向通知书，说明有权得到按</w:t>
      </w:r>
      <w:r>
        <w:rPr>
          <w:spacing w:val="2"/>
          <w:sz w:val="21"/>
          <w:szCs w:val="21"/>
        </w:rPr>
        <w:t>本款约定的下列标准和方法计算的逾期</w:t>
      </w:r>
    </w:p>
    <w:p w14:paraId="55F378F0">
      <w:pPr>
        <w:spacing w:line="343" w:lineRule="auto"/>
        <w:rPr>
          <w:sz w:val="21"/>
          <w:szCs w:val="21"/>
        </w:rPr>
        <w:sectPr>
          <w:footerReference r:id="rId165" w:type="default"/>
          <w:pgSz w:w="11910" w:h="16840"/>
          <w:pgMar w:top="400" w:right="1516" w:bottom="1024" w:left="1430" w:header="0" w:footer="889" w:gutter="0"/>
          <w:cols w:space="720" w:num="1"/>
        </w:sectPr>
      </w:pPr>
    </w:p>
    <w:p w14:paraId="5F66C77C">
      <w:pPr>
        <w:spacing w:line="270" w:lineRule="auto"/>
        <w:rPr>
          <w:rFonts w:ascii="Arial"/>
          <w:sz w:val="21"/>
        </w:rPr>
      </w:pPr>
    </w:p>
    <w:p w14:paraId="7FC33D39">
      <w:pPr>
        <w:spacing w:line="270" w:lineRule="auto"/>
        <w:rPr>
          <w:rFonts w:ascii="Arial"/>
          <w:sz w:val="21"/>
        </w:rPr>
      </w:pPr>
    </w:p>
    <w:p w14:paraId="5731DBDD">
      <w:pPr>
        <w:spacing w:line="270" w:lineRule="auto"/>
        <w:rPr>
          <w:rFonts w:ascii="Arial"/>
          <w:sz w:val="21"/>
        </w:rPr>
      </w:pPr>
    </w:p>
    <w:p w14:paraId="22173978">
      <w:pPr>
        <w:spacing w:line="271" w:lineRule="auto"/>
        <w:rPr>
          <w:rFonts w:ascii="Arial"/>
          <w:sz w:val="21"/>
        </w:rPr>
      </w:pPr>
    </w:p>
    <w:p w14:paraId="728B54F4">
      <w:pPr>
        <w:spacing w:line="271" w:lineRule="auto"/>
        <w:rPr>
          <w:rFonts w:ascii="Arial"/>
          <w:sz w:val="21"/>
        </w:rPr>
      </w:pPr>
    </w:p>
    <w:p w14:paraId="7ADCBAF6">
      <w:pPr>
        <w:pStyle w:val="2"/>
        <w:spacing w:before="68" w:line="343" w:lineRule="auto"/>
        <w:ind w:right="73"/>
        <w:rPr>
          <w:sz w:val="21"/>
          <w:szCs w:val="21"/>
        </w:rPr>
      </w:pPr>
      <w:r>
        <w:rPr>
          <w:spacing w:val="2"/>
          <w:sz w:val="21"/>
          <w:szCs w:val="21"/>
        </w:rPr>
        <w:t>付款违约金。承包人要求发包人支付逾期付款违约金不影响承包人要求发包人承</w:t>
      </w:r>
      <w:r>
        <w:rPr>
          <w:spacing w:val="1"/>
          <w:sz w:val="21"/>
          <w:szCs w:val="21"/>
        </w:rPr>
        <w:t>担通用合同条款</w:t>
      </w:r>
      <w:r>
        <w:rPr>
          <w:sz w:val="21"/>
          <w:szCs w:val="21"/>
        </w:rPr>
        <w:t xml:space="preserve"> </w:t>
      </w:r>
      <w:r>
        <w:rPr>
          <w:spacing w:val="4"/>
          <w:sz w:val="21"/>
          <w:szCs w:val="21"/>
        </w:rPr>
        <w:t>第22.2款约定的其他违约责任的权利。</w:t>
      </w:r>
    </w:p>
    <w:p w14:paraId="3EE81A1E">
      <w:pPr>
        <w:pStyle w:val="2"/>
        <w:spacing w:line="219" w:lineRule="auto"/>
        <w:ind w:left="419"/>
        <w:rPr>
          <w:sz w:val="23"/>
          <w:szCs w:val="23"/>
        </w:rPr>
      </w:pPr>
      <w:r>
        <w:rPr>
          <w:spacing w:val="-23"/>
          <w:w w:val="98"/>
          <w:sz w:val="23"/>
          <w:szCs w:val="23"/>
        </w:rPr>
        <w:t>逾期付款违约金的计算标准为：</w:t>
      </w:r>
      <w:r>
        <w:rPr>
          <w:sz w:val="23"/>
          <w:szCs w:val="23"/>
          <w:u w:val="single" w:color="auto"/>
        </w:rPr>
        <w:t xml:space="preserve">                                             </w:t>
      </w:r>
    </w:p>
    <w:p w14:paraId="6FACF8A9">
      <w:pPr>
        <w:pStyle w:val="2"/>
        <w:spacing w:before="146" w:line="219" w:lineRule="auto"/>
        <w:ind w:left="419"/>
        <w:rPr>
          <w:sz w:val="21"/>
          <w:szCs w:val="21"/>
        </w:rPr>
      </w:pPr>
      <w:r>
        <w:rPr>
          <w:spacing w:val="-1"/>
          <w:sz w:val="21"/>
          <w:szCs w:val="21"/>
        </w:rPr>
        <w:t>逾期付款违约金的计算方法为：</w:t>
      </w:r>
      <w:r>
        <w:rPr>
          <w:sz w:val="21"/>
          <w:szCs w:val="21"/>
          <w:u w:val="single" w:color="auto"/>
        </w:rPr>
        <w:t xml:space="preserve">                                                  </w:t>
      </w:r>
    </w:p>
    <w:p w14:paraId="43C4FA95">
      <w:pPr>
        <w:spacing w:line="458" w:lineRule="auto"/>
        <w:rPr>
          <w:rFonts w:ascii="Arial"/>
          <w:sz w:val="21"/>
        </w:rPr>
      </w:pPr>
      <w:r>
        <w:drawing>
          <wp:anchor distT="0" distB="0" distL="0" distR="0" simplePos="0" relativeHeight="251676672" behindDoc="0" locked="0" layoutInCell="1" allowOverlap="1">
            <wp:simplePos x="0" y="0"/>
            <wp:positionH relativeFrom="column">
              <wp:posOffset>259715</wp:posOffset>
            </wp:positionH>
            <wp:positionV relativeFrom="paragraph">
              <wp:posOffset>197485</wp:posOffset>
            </wp:positionV>
            <wp:extent cx="4984750" cy="6350"/>
            <wp:effectExtent l="0" t="0" r="0" b="0"/>
            <wp:wrapNone/>
            <wp:docPr id="52" name="IM 52"/>
            <wp:cNvGraphicFramePr/>
            <a:graphic xmlns:a="http://schemas.openxmlformats.org/drawingml/2006/main">
              <a:graphicData uri="http://schemas.openxmlformats.org/drawingml/2006/picture">
                <pic:pic xmlns:pic="http://schemas.openxmlformats.org/drawingml/2006/picture">
                  <pic:nvPicPr>
                    <pic:cNvPr id="52" name="IM 52"/>
                    <pic:cNvPicPr/>
                  </pic:nvPicPr>
                  <pic:blipFill>
                    <a:blip r:embed="rId432"/>
                    <a:stretch>
                      <a:fillRect/>
                    </a:stretch>
                  </pic:blipFill>
                  <pic:spPr>
                    <a:xfrm>
                      <a:off x="0" y="0"/>
                      <a:ext cx="4984750" cy="6415"/>
                    </a:xfrm>
                    <a:prstGeom prst="rect">
                      <a:avLst/>
                    </a:prstGeom>
                  </pic:spPr>
                </pic:pic>
              </a:graphicData>
            </a:graphic>
          </wp:anchor>
        </w:drawing>
      </w:r>
    </w:p>
    <w:p w14:paraId="2A9F741C">
      <w:pPr>
        <w:pStyle w:val="2"/>
        <w:spacing w:before="68" w:line="219" w:lineRule="auto"/>
        <w:ind w:left="419"/>
        <w:rPr>
          <w:sz w:val="21"/>
          <w:szCs w:val="21"/>
        </w:rPr>
      </w:pPr>
      <w:r>
        <w:rPr>
          <w:spacing w:val="-5"/>
          <w:sz w:val="21"/>
          <w:szCs w:val="21"/>
        </w:rPr>
        <w:t>(4)进度付款涉及政府性资金的支付方法：</w:t>
      </w:r>
      <w:r>
        <w:rPr>
          <w:spacing w:val="-5"/>
          <w:sz w:val="21"/>
          <w:szCs w:val="21"/>
          <w:u w:val="single" w:color="auto"/>
        </w:rPr>
        <w:t xml:space="preserve">                                   </w:t>
      </w:r>
      <w:r>
        <w:rPr>
          <w:spacing w:val="-6"/>
          <w:sz w:val="21"/>
          <w:szCs w:val="21"/>
          <w:u w:val="single" w:color="auto"/>
        </w:rPr>
        <w:t xml:space="preserve">      </w:t>
      </w:r>
    </w:p>
    <w:p w14:paraId="6F92FF19">
      <w:pPr>
        <w:spacing w:before="139" w:line="223" w:lineRule="auto"/>
        <w:ind w:left="422"/>
        <w:rPr>
          <w:rFonts w:ascii="黑体" w:hAnsi="黑体" w:eastAsia="黑体" w:cs="黑体"/>
          <w:sz w:val="21"/>
          <w:szCs w:val="21"/>
        </w:rPr>
      </w:pPr>
      <w:r>
        <w:rPr>
          <w:rFonts w:ascii="黑体" w:hAnsi="黑体" w:eastAsia="黑体" w:cs="黑体"/>
          <w:b/>
          <w:bCs/>
          <w:spacing w:val="2"/>
          <w:sz w:val="21"/>
          <w:szCs w:val="21"/>
        </w:rPr>
        <w:t>17.3.5临时付款证书</w:t>
      </w:r>
    </w:p>
    <w:p w14:paraId="5706203C">
      <w:pPr>
        <w:pStyle w:val="2"/>
        <w:spacing w:before="147" w:line="335" w:lineRule="auto"/>
        <w:ind w:right="32" w:firstLine="419"/>
        <w:jc w:val="both"/>
        <w:rPr>
          <w:sz w:val="21"/>
          <w:szCs w:val="21"/>
        </w:rPr>
      </w:pPr>
      <w:r>
        <w:rPr>
          <w:spacing w:val="2"/>
          <w:sz w:val="21"/>
          <w:szCs w:val="21"/>
        </w:rPr>
        <w:t>在合同约定的期限内，承包人和监理人无法对当期已完工程量和按合同约定应当支付</w:t>
      </w:r>
      <w:r>
        <w:rPr>
          <w:spacing w:val="1"/>
          <w:sz w:val="21"/>
          <w:szCs w:val="21"/>
        </w:rPr>
        <w:t>的其他</w:t>
      </w:r>
      <w:r>
        <w:rPr>
          <w:sz w:val="21"/>
          <w:szCs w:val="21"/>
        </w:rPr>
        <w:t xml:space="preserve"> </w:t>
      </w:r>
      <w:r>
        <w:rPr>
          <w:spacing w:val="3"/>
          <w:sz w:val="21"/>
          <w:szCs w:val="21"/>
        </w:rPr>
        <w:t>款项达成一致的，监理人应当在收到承包人报送的进度付款申请单等文件</w:t>
      </w:r>
      <w:r>
        <w:rPr>
          <w:spacing w:val="2"/>
          <w:sz w:val="21"/>
          <w:szCs w:val="21"/>
        </w:rPr>
        <w:t>后14天内，就承包人没</w:t>
      </w:r>
      <w:r>
        <w:rPr>
          <w:sz w:val="21"/>
          <w:szCs w:val="21"/>
        </w:rPr>
        <w:t xml:space="preserve"> </w:t>
      </w:r>
      <w:r>
        <w:rPr>
          <w:spacing w:val="2"/>
          <w:sz w:val="21"/>
          <w:szCs w:val="21"/>
        </w:rPr>
        <w:t>有异议的金额准备一个临时付款证书，报送发包人审查。临时付款证书中应当说明承包人有异议</w:t>
      </w:r>
      <w:r>
        <w:rPr>
          <w:spacing w:val="15"/>
          <w:sz w:val="21"/>
          <w:szCs w:val="21"/>
        </w:rPr>
        <w:t xml:space="preserve"> </w:t>
      </w:r>
      <w:r>
        <w:rPr>
          <w:spacing w:val="2"/>
          <w:sz w:val="21"/>
          <w:szCs w:val="21"/>
        </w:rPr>
        <w:t>部分的金额及其原因，经发包人签认后，由监理人向承包人出具临时付款证书。</w:t>
      </w:r>
      <w:r>
        <w:rPr>
          <w:spacing w:val="1"/>
          <w:sz w:val="21"/>
          <w:szCs w:val="21"/>
        </w:rPr>
        <w:t>发包人应当在监</w:t>
      </w:r>
      <w:r>
        <w:rPr>
          <w:sz w:val="21"/>
          <w:szCs w:val="21"/>
        </w:rPr>
        <w:t xml:space="preserve"> </w:t>
      </w:r>
      <w:r>
        <w:rPr>
          <w:spacing w:val="2"/>
          <w:sz w:val="21"/>
          <w:szCs w:val="21"/>
        </w:rPr>
        <w:t>理人收到进度付款申请单后28天内，将临时付款证书中确定的应付金额支付给承包人。发包人和</w:t>
      </w:r>
      <w:r>
        <w:rPr>
          <w:sz w:val="21"/>
          <w:szCs w:val="21"/>
        </w:rPr>
        <w:t xml:space="preserve"> </w:t>
      </w:r>
      <w:r>
        <w:rPr>
          <w:spacing w:val="-2"/>
          <w:sz w:val="21"/>
          <w:szCs w:val="21"/>
        </w:rPr>
        <w:t>监理人均不得以任何理由延期支付工程进度付款。</w:t>
      </w:r>
    </w:p>
    <w:p w14:paraId="349530E8">
      <w:pPr>
        <w:pStyle w:val="2"/>
        <w:spacing w:before="56" w:line="335" w:lineRule="auto"/>
        <w:ind w:firstLine="419"/>
        <w:jc w:val="both"/>
        <w:rPr>
          <w:sz w:val="21"/>
          <w:szCs w:val="21"/>
        </w:rPr>
      </w:pPr>
      <w:r>
        <w:rPr>
          <w:spacing w:val="2"/>
          <w:sz w:val="21"/>
          <w:szCs w:val="21"/>
        </w:rPr>
        <w:t>对临时付款证书中列明的承包人有异议部分的金额，承包人应当按照监理人要求，提交进一</w:t>
      </w:r>
      <w:r>
        <w:rPr>
          <w:sz w:val="21"/>
          <w:szCs w:val="21"/>
        </w:rPr>
        <w:t xml:space="preserve"> </w:t>
      </w:r>
      <w:r>
        <w:rPr>
          <w:spacing w:val="-1"/>
          <w:sz w:val="21"/>
          <w:szCs w:val="21"/>
        </w:rPr>
        <w:t>步的支持性文件和(或)与监理人做进一步共同复核工作，经监理</w:t>
      </w:r>
      <w:r>
        <w:rPr>
          <w:spacing w:val="-2"/>
          <w:sz w:val="21"/>
          <w:szCs w:val="21"/>
        </w:rPr>
        <w:t>人进一步审核并认可的应付金额，</w:t>
      </w:r>
      <w:r>
        <w:rPr>
          <w:sz w:val="21"/>
          <w:szCs w:val="21"/>
        </w:rPr>
        <w:t xml:space="preserve"> </w:t>
      </w:r>
      <w:r>
        <w:rPr>
          <w:spacing w:val="2"/>
          <w:sz w:val="21"/>
          <w:szCs w:val="21"/>
        </w:rPr>
        <w:t>应当按通用合同条款第17.3.4项的约定纳入到下一期进度付款证书中。经过进一步努力，承包人</w:t>
      </w:r>
      <w:r>
        <w:rPr>
          <w:spacing w:val="8"/>
          <w:sz w:val="21"/>
          <w:szCs w:val="21"/>
        </w:rPr>
        <w:t xml:space="preserve"> </w:t>
      </w:r>
      <w:r>
        <w:rPr>
          <w:spacing w:val="4"/>
          <w:sz w:val="21"/>
          <w:szCs w:val="21"/>
        </w:rPr>
        <w:t>仍有异议的，按合同条款第24条的约定办理。</w:t>
      </w:r>
    </w:p>
    <w:p w14:paraId="63D35539">
      <w:pPr>
        <w:pStyle w:val="2"/>
        <w:spacing w:before="26" w:line="344" w:lineRule="auto"/>
        <w:ind w:right="46" w:firstLine="419"/>
        <w:jc w:val="both"/>
        <w:rPr>
          <w:sz w:val="21"/>
          <w:szCs w:val="21"/>
        </w:rPr>
      </w:pPr>
      <w:r>
        <w:rPr>
          <w:spacing w:val="3"/>
          <w:sz w:val="21"/>
          <w:szCs w:val="21"/>
        </w:rPr>
        <w:t>有异议款项中经监理人进一步审核后认可的或者经过</w:t>
      </w:r>
      <w:r>
        <w:rPr>
          <w:spacing w:val="2"/>
          <w:sz w:val="21"/>
          <w:szCs w:val="21"/>
        </w:rPr>
        <w:t>合同条款第24条约定的争议解决方式确</w:t>
      </w:r>
      <w:r>
        <w:rPr>
          <w:sz w:val="21"/>
          <w:szCs w:val="21"/>
        </w:rPr>
        <w:t xml:space="preserve"> </w:t>
      </w:r>
      <w:r>
        <w:rPr>
          <w:spacing w:val="2"/>
          <w:sz w:val="21"/>
          <w:szCs w:val="21"/>
        </w:rPr>
        <w:t>定的应付金额，其应付之日为引发异议的进度付款证书的应付之日，承包人有权得到按专用合同</w:t>
      </w:r>
      <w:r>
        <w:rPr>
          <w:spacing w:val="4"/>
          <w:sz w:val="21"/>
          <w:szCs w:val="21"/>
        </w:rPr>
        <w:t xml:space="preserve"> </w:t>
      </w:r>
      <w:r>
        <w:rPr>
          <w:spacing w:val="1"/>
          <w:sz w:val="21"/>
          <w:szCs w:val="21"/>
        </w:rPr>
        <w:t>条款17.3.3(2)目约定计算的逾期</w:t>
      </w:r>
      <w:r>
        <w:rPr>
          <w:sz w:val="21"/>
          <w:szCs w:val="21"/>
        </w:rPr>
        <w:t>付款违约金。</w:t>
      </w:r>
    </w:p>
    <w:p w14:paraId="3ABF550D">
      <w:pPr>
        <w:spacing w:before="2" w:line="222" w:lineRule="auto"/>
        <w:ind w:left="3"/>
        <w:rPr>
          <w:rFonts w:ascii="黑体" w:hAnsi="黑体" w:eastAsia="黑体" w:cs="黑体"/>
          <w:sz w:val="21"/>
          <w:szCs w:val="21"/>
        </w:rPr>
      </w:pPr>
      <w:r>
        <w:rPr>
          <w:rFonts w:ascii="黑体" w:hAnsi="黑体" w:eastAsia="黑体" w:cs="黑体"/>
          <w:b/>
          <w:bCs/>
          <w:spacing w:val="18"/>
          <w:sz w:val="21"/>
          <w:szCs w:val="21"/>
        </w:rPr>
        <w:t>17.4质量保证金</w:t>
      </w:r>
    </w:p>
    <w:p w14:paraId="25FF81BB">
      <w:pPr>
        <w:pStyle w:val="2"/>
        <w:spacing w:before="161" w:line="343" w:lineRule="auto"/>
        <w:ind w:right="36" w:firstLine="419"/>
        <w:jc w:val="both"/>
        <w:rPr>
          <w:sz w:val="17"/>
          <w:szCs w:val="17"/>
        </w:rPr>
      </w:pPr>
      <w:r>
        <w:rPr>
          <w:spacing w:val="4"/>
          <w:sz w:val="21"/>
          <w:szCs w:val="21"/>
        </w:rPr>
        <w:t>17.4.1 质量保证金由监理人从第一个付款周期开始按进度付款证书确</w:t>
      </w:r>
      <w:r>
        <w:rPr>
          <w:spacing w:val="3"/>
          <w:sz w:val="21"/>
          <w:szCs w:val="21"/>
        </w:rPr>
        <w:t>认的已实施工程的价</w:t>
      </w:r>
      <w:r>
        <w:rPr>
          <w:sz w:val="21"/>
          <w:szCs w:val="21"/>
        </w:rPr>
        <w:t xml:space="preserve"> </w:t>
      </w:r>
      <w:r>
        <w:rPr>
          <w:spacing w:val="7"/>
          <w:sz w:val="21"/>
          <w:szCs w:val="21"/>
        </w:rPr>
        <w:t>款、根据合同条款第15条增加和扣减的变更金额、根据合同条款</w:t>
      </w:r>
      <w:r>
        <w:rPr>
          <w:spacing w:val="6"/>
          <w:sz w:val="21"/>
          <w:szCs w:val="21"/>
        </w:rPr>
        <w:t>第23条增加和扣减的索赔金额</w:t>
      </w:r>
      <w:r>
        <w:rPr>
          <w:sz w:val="21"/>
          <w:szCs w:val="21"/>
        </w:rPr>
        <w:t xml:space="preserve"> </w:t>
      </w:r>
      <w:r>
        <w:rPr>
          <w:spacing w:val="4"/>
          <w:sz w:val="21"/>
          <w:szCs w:val="21"/>
        </w:rPr>
        <w:t>以及根据合同应增加和扣减的其他金额(不包括预付款的支付、返还、合同</w:t>
      </w:r>
      <w:r>
        <w:rPr>
          <w:spacing w:val="3"/>
          <w:sz w:val="21"/>
          <w:szCs w:val="21"/>
        </w:rPr>
        <w:t>条款第16条约定的价</w:t>
      </w:r>
      <w:r>
        <w:rPr>
          <w:sz w:val="21"/>
          <w:szCs w:val="21"/>
        </w:rPr>
        <w:t xml:space="preserve"> 格调整金额、此前已经按合同约定支付给承包人的进度款以及已经扣留的质</w:t>
      </w:r>
      <w:r>
        <w:rPr>
          <w:spacing w:val="-1"/>
          <w:sz w:val="21"/>
          <w:szCs w:val="21"/>
        </w:rPr>
        <w:t>量保证金)的总额的百</w:t>
      </w:r>
      <w:r>
        <w:rPr>
          <w:sz w:val="21"/>
          <w:szCs w:val="21"/>
        </w:rPr>
        <w:t xml:space="preserve"> </w:t>
      </w:r>
      <w:r>
        <w:rPr>
          <w:spacing w:val="7"/>
          <w:sz w:val="21"/>
          <w:szCs w:val="21"/>
        </w:rPr>
        <w:t>分之一点五(1.5%)扣留，直至质量保证金累计扣留金额达到签约合同价的百分之一点五(1</w:t>
      </w:r>
      <w:r>
        <w:rPr>
          <w:spacing w:val="6"/>
          <w:sz w:val="21"/>
          <w:szCs w:val="21"/>
        </w:rPr>
        <w:t>.5%)</w:t>
      </w:r>
      <w:r>
        <w:rPr>
          <w:sz w:val="21"/>
          <w:szCs w:val="21"/>
        </w:rPr>
        <w:t xml:space="preserve"> </w:t>
      </w:r>
      <w:r>
        <w:rPr>
          <w:spacing w:val="-6"/>
          <w:sz w:val="17"/>
          <w:szCs w:val="17"/>
        </w:rPr>
        <w:t>为</w:t>
      </w:r>
      <w:r>
        <w:rPr>
          <w:spacing w:val="-18"/>
          <w:sz w:val="17"/>
          <w:szCs w:val="17"/>
        </w:rPr>
        <w:t xml:space="preserve"> </w:t>
      </w:r>
      <w:r>
        <w:rPr>
          <w:spacing w:val="-6"/>
          <w:sz w:val="17"/>
          <w:szCs w:val="17"/>
        </w:rPr>
        <w:t>止</w:t>
      </w:r>
      <w:r>
        <w:rPr>
          <w:spacing w:val="-26"/>
          <w:sz w:val="17"/>
          <w:szCs w:val="17"/>
        </w:rPr>
        <w:t xml:space="preserve"> </w:t>
      </w:r>
      <w:r>
        <w:rPr>
          <w:spacing w:val="-6"/>
          <w:sz w:val="17"/>
          <w:szCs w:val="17"/>
        </w:rPr>
        <w:t>。</w:t>
      </w:r>
    </w:p>
    <w:p w14:paraId="21C9CC96">
      <w:pPr>
        <w:spacing w:before="58" w:line="221" w:lineRule="auto"/>
        <w:ind w:left="3"/>
        <w:rPr>
          <w:rFonts w:ascii="黑体" w:hAnsi="黑体" w:eastAsia="黑体" w:cs="黑体"/>
          <w:sz w:val="21"/>
          <w:szCs w:val="21"/>
        </w:rPr>
      </w:pPr>
      <w:r>
        <w:rPr>
          <w:rFonts w:ascii="黑体" w:hAnsi="黑体" w:eastAsia="黑体" w:cs="黑体"/>
          <w:b/>
          <w:bCs/>
          <w:spacing w:val="13"/>
          <w:sz w:val="21"/>
          <w:szCs w:val="21"/>
        </w:rPr>
        <w:t>17</w:t>
      </w:r>
      <w:r>
        <w:rPr>
          <w:rFonts w:ascii="黑体" w:hAnsi="黑体" w:eastAsia="黑体" w:cs="黑体"/>
          <w:spacing w:val="-56"/>
          <w:sz w:val="21"/>
          <w:szCs w:val="21"/>
        </w:rPr>
        <w:t xml:space="preserve"> </w:t>
      </w:r>
      <w:r>
        <w:rPr>
          <w:rFonts w:ascii="黑体" w:hAnsi="黑体" w:eastAsia="黑体" w:cs="黑体"/>
          <w:b/>
          <w:bCs/>
          <w:spacing w:val="13"/>
          <w:sz w:val="21"/>
          <w:szCs w:val="21"/>
        </w:rPr>
        <w:t>.5竣工结算</w:t>
      </w:r>
    </w:p>
    <w:p w14:paraId="2EAB811C">
      <w:pPr>
        <w:spacing w:before="159" w:line="221" w:lineRule="auto"/>
        <w:ind w:left="422"/>
        <w:rPr>
          <w:rFonts w:ascii="黑体" w:hAnsi="黑体" w:eastAsia="黑体" w:cs="黑体"/>
          <w:sz w:val="21"/>
          <w:szCs w:val="21"/>
        </w:rPr>
      </w:pPr>
      <w:r>
        <w:rPr>
          <w:rFonts w:ascii="黑体" w:hAnsi="黑体" w:eastAsia="黑体" w:cs="黑体"/>
          <w:b/>
          <w:bCs/>
          <w:spacing w:val="1"/>
          <w:sz w:val="21"/>
          <w:szCs w:val="21"/>
        </w:rPr>
        <w:t>17.5.1竣工付款申请单</w:t>
      </w:r>
    </w:p>
    <w:sdt>
      <w:sdtPr>
        <w:rPr>
          <w:rFonts w:ascii="宋体" w:hAnsi="宋体" w:eastAsia="宋体" w:cs="宋体"/>
          <w:sz w:val="21"/>
          <w:szCs w:val="21"/>
        </w:rPr>
        <w:id w:val="147468440"/>
        <w:docPartObj>
          <w:docPartGallery w:val="Table of Contents"/>
          <w:docPartUnique/>
        </w:docPartObj>
      </w:sdtPr>
      <w:sdtEndPr>
        <w:rPr>
          <w:rFonts w:ascii="宋体" w:hAnsi="宋体" w:eastAsia="宋体" w:cs="宋体"/>
          <w:sz w:val="21"/>
          <w:szCs w:val="21"/>
        </w:rPr>
      </w:sdtEndPr>
      <w:sdtContent>
        <w:p w14:paraId="33C05306">
          <w:pPr>
            <w:pStyle w:val="2"/>
            <w:spacing w:before="209" w:line="212" w:lineRule="auto"/>
            <w:ind w:left="419"/>
            <w:rPr>
              <w:rFonts w:ascii="Times New Roman" w:hAnsi="Times New Roman" w:eastAsia="Times New Roman" w:cs="Times New Roman"/>
              <w:sz w:val="21"/>
              <w:szCs w:val="21"/>
            </w:rPr>
          </w:pPr>
          <w:r>
            <w:rPr>
              <w:spacing w:val="-4"/>
              <w:sz w:val="21"/>
              <w:szCs w:val="21"/>
            </w:rPr>
            <w:t>承包人提交竣工付款申请单的份数：</w:t>
          </w:r>
          <w:r>
            <w:rPr>
              <w:spacing w:val="1"/>
              <w:sz w:val="21"/>
              <w:szCs w:val="21"/>
              <w:u w:val="single" w:color="auto"/>
            </w:rPr>
            <w:t xml:space="preserve">                           </w:t>
          </w:r>
          <w:r>
            <w:rPr>
              <w:sz w:val="21"/>
              <w:szCs w:val="21"/>
              <w:u w:val="single" w:color="auto"/>
            </w:rPr>
            <w:t xml:space="preserve">                </w:t>
          </w:r>
          <w:r>
            <w:rPr>
              <w:spacing w:val="-94"/>
              <w:sz w:val="21"/>
              <w:szCs w:val="21"/>
            </w:rPr>
            <w:t xml:space="preserve"> </w:t>
          </w:r>
          <w:r>
            <w:rPr>
              <w:rFonts w:ascii="Times New Roman" w:hAnsi="Times New Roman" w:eastAsia="Times New Roman" w:cs="Times New Roman"/>
              <w:spacing w:val="-4"/>
              <w:sz w:val="21"/>
              <w:szCs w:val="21"/>
            </w:rPr>
            <w:t>_o</w:t>
          </w:r>
        </w:p>
        <w:p w14:paraId="725DF227">
          <w:pPr>
            <w:pStyle w:val="2"/>
            <w:spacing w:before="113" w:line="219" w:lineRule="auto"/>
            <w:ind w:left="419"/>
            <w:rPr>
              <w:sz w:val="21"/>
              <w:szCs w:val="21"/>
            </w:rPr>
          </w:pPr>
          <w:r>
            <w:rPr>
              <w:spacing w:val="-1"/>
              <w:sz w:val="21"/>
              <w:szCs w:val="21"/>
            </w:rPr>
            <w:t>承包人提交竣工付款申请单的期限：</w:t>
          </w:r>
          <w:r>
            <w:rPr>
              <w:sz w:val="21"/>
              <w:szCs w:val="21"/>
              <w:u w:val="single" w:color="auto"/>
            </w:rPr>
            <w:t xml:space="preserve">                                            </w:t>
          </w:r>
        </w:p>
        <w:p w14:paraId="10C65BD9">
          <w:pPr>
            <w:pStyle w:val="2"/>
            <w:spacing w:before="57" w:line="212" w:lineRule="auto"/>
            <w:ind w:left="419"/>
            <w:rPr>
              <w:rFonts w:ascii="Times New Roman" w:hAnsi="Times New Roman" w:eastAsia="Times New Roman" w:cs="Times New Roman"/>
              <w:sz w:val="21"/>
              <w:szCs w:val="21"/>
            </w:rPr>
          </w:pPr>
          <w:r>
            <w:rPr>
              <w:spacing w:val="-12"/>
              <w:sz w:val="21"/>
              <w:szCs w:val="21"/>
            </w:rPr>
            <w:t>竣工付款申请单的内容：</w:t>
          </w:r>
          <w:r>
            <w:rPr>
              <w:spacing w:val="2"/>
              <w:sz w:val="21"/>
              <w:szCs w:val="21"/>
              <w:u w:val="single" w:color="auto"/>
            </w:rPr>
            <w:t xml:space="preserve">                                                     </w:t>
          </w:r>
          <w:r>
            <w:rPr>
              <w:spacing w:val="-89"/>
              <w:sz w:val="21"/>
              <w:szCs w:val="21"/>
            </w:rPr>
            <w:t xml:space="preserve"> </w:t>
          </w:r>
          <w:r>
            <w:rPr>
              <w:rFonts w:ascii="Times New Roman" w:hAnsi="Times New Roman" w:eastAsia="Times New Roman" w:cs="Times New Roman"/>
              <w:spacing w:val="-12"/>
              <w:sz w:val="21"/>
              <w:szCs w:val="21"/>
            </w:rPr>
            <w:t>_o</w:t>
          </w:r>
        </w:p>
        <w:p w14:paraId="6DDF168A">
          <w:pPr>
            <w:pStyle w:val="2"/>
            <w:spacing w:before="192" w:line="219" w:lineRule="auto"/>
            <w:ind w:right="33"/>
            <w:jc w:val="right"/>
            <w:rPr>
              <w:sz w:val="21"/>
              <w:szCs w:val="21"/>
            </w:rPr>
          </w:pPr>
          <w:r>
            <w:rPr>
              <w:spacing w:val="5"/>
              <w:sz w:val="21"/>
              <w:szCs w:val="21"/>
            </w:rPr>
            <w:t>承包人未按本项约定的期限和内容提交竣工付款申请单或者未按通用合同条款第17.5.1(</w:t>
          </w:r>
          <w:r>
            <w:fldChar w:fldCharType="begin"/>
          </w:r>
          <w:r>
            <w:instrText xml:space="preserve"> HYPERLINK \l "bookmark295" </w:instrText>
          </w:r>
          <w:r>
            <w:fldChar w:fldCharType="separate"/>
          </w:r>
          <w:r>
            <w:rPr>
              <w:spacing w:val="5"/>
              <w:sz w:val="21"/>
              <w:szCs w:val="21"/>
            </w:rPr>
            <w:t>2)</w:t>
          </w:r>
          <w:r>
            <w:rPr>
              <w:spacing w:val="5"/>
              <w:sz w:val="21"/>
              <w:szCs w:val="21"/>
            </w:rPr>
            <w:fldChar w:fldCharType="end"/>
          </w:r>
        </w:p>
      </w:sdtContent>
    </w:sdt>
    <w:p w14:paraId="22EA1E99">
      <w:pPr>
        <w:pStyle w:val="2"/>
        <w:spacing w:before="141" w:line="219" w:lineRule="auto"/>
        <w:rPr>
          <w:sz w:val="21"/>
          <w:szCs w:val="21"/>
        </w:rPr>
      </w:pPr>
      <w:r>
        <w:rPr>
          <w:spacing w:val="2"/>
          <w:sz w:val="21"/>
          <w:szCs w:val="21"/>
        </w:rPr>
        <w:t>目约定提交修正后的竣工付款申请单，经监理人催促后14天内仍未提交或者没</w:t>
      </w:r>
      <w:r>
        <w:rPr>
          <w:spacing w:val="1"/>
          <w:sz w:val="21"/>
          <w:szCs w:val="21"/>
        </w:rPr>
        <w:t>有明确答复的，监</w:t>
      </w:r>
    </w:p>
    <w:p w14:paraId="4D1FA511">
      <w:pPr>
        <w:spacing w:line="219" w:lineRule="auto"/>
        <w:rPr>
          <w:sz w:val="21"/>
          <w:szCs w:val="21"/>
        </w:rPr>
        <w:sectPr>
          <w:footerReference r:id="rId166" w:type="default"/>
          <w:pgSz w:w="11910" w:h="16840"/>
          <w:pgMar w:top="400" w:right="1487" w:bottom="1024" w:left="1450" w:header="0" w:footer="889" w:gutter="0"/>
          <w:cols w:space="720" w:num="1"/>
        </w:sectPr>
      </w:pPr>
    </w:p>
    <w:p w14:paraId="5C52FCD6">
      <w:pPr>
        <w:spacing w:line="272" w:lineRule="auto"/>
        <w:rPr>
          <w:rFonts w:ascii="Arial"/>
          <w:sz w:val="21"/>
        </w:rPr>
      </w:pPr>
    </w:p>
    <w:p w14:paraId="029E7A9A">
      <w:pPr>
        <w:spacing w:line="272" w:lineRule="auto"/>
        <w:rPr>
          <w:rFonts w:ascii="Arial"/>
          <w:sz w:val="21"/>
        </w:rPr>
      </w:pPr>
    </w:p>
    <w:p w14:paraId="1C4CD222">
      <w:pPr>
        <w:spacing w:line="272" w:lineRule="auto"/>
        <w:rPr>
          <w:rFonts w:ascii="Arial"/>
          <w:sz w:val="21"/>
        </w:rPr>
      </w:pPr>
    </w:p>
    <w:p w14:paraId="2A087D55">
      <w:pPr>
        <w:spacing w:line="272" w:lineRule="auto"/>
        <w:rPr>
          <w:rFonts w:ascii="Arial"/>
          <w:sz w:val="21"/>
        </w:rPr>
      </w:pPr>
    </w:p>
    <w:p w14:paraId="15A2EE04">
      <w:pPr>
        <w:spacing w:line="273" w:lineRule="auto"/>
        <w:rPr>
          <w:rFonts w:ascii="Arial"/>
          <w:sz w:val="21"/>
        </w:rPr>
      </w:pPr>
    </w:p>
    <w:p w14:paraId="6395691D">
      <w:pPr>
        <w:pStyle w:val="2"/>
        <w:spacing w:before="68" w:line="335" w:lineRule="auto"/>
        <w:ind w:right="94"/>
        <w:rPr>
          <w:sz w:val="21"/>
          <w:szCs w:val="21"/>
        </w:rPr>
      </w:pPr>
      <w:r>
        <w:rPr>
          <w:spacing w:val="2"/>
          <w:sz w:val="21"/>
          <w:szCs w:val="21"/>
        </w:rPr>
        <w:t>理人和发包人有权根据已有资料进行审查，审查确定的竣工结算合同总价和竣工付款</w:t>
      </w:r>
      <w:r>
        <w:rPr>
          <w:spacing w:val="1"/>
          <w:sz w:val="21"/>
          <w:szCs w:val="21"/>
        </w:rPr>
        <w:t>金额视同是</w:t>
      </w:r>
      <w:r>
        <w:rPr>
          <w:sz w:val="21"/>
          <w:szCs w:val="21"/>
        </w:rPr>
        <w:t xml:space="preserve"> </w:t>
      </w:r>
      <w:r>
        <w:rPr>
          <w:spacing w:val="-1"/>
          <w:sz w:val="21"/>
          <w:szCs w:val="21"/>
        </w:rPr>
        <w:t>经承包人认可的工程竣工结算合同总价和竣工付款金额。</w:t>
      </w:r>
    </w:p>
    <w:p w14:paraId="6ACDB2B4">
      <w:pPr>
        <w:pStyle w:val="2"/>
        <w:spacing w:before="17" w:line="325" w:lineRule="auto"/>
        <w:ind w:right="75" w:firstLine="429"/>
        <w:rPr>
          <w:sz w:val="21"/>
          <w:szCs w:val="21"/>
        </w:rPr>
      </w:pPr>
      <w:r>
        <w:rPr>
          <w:spacing w:val="2"/>
          <w:sz w:val="21"/>
          <w:szCs w:val="21"/>
        </w:rPr>
        <w:t>不管通用合同条款17.5.2项如何约定，发包人和承包人应当在监理人颁发(出具)工程接收证</w:t>
      </w:r>
      <w:r>
        <w:rPr>
          <w:sz w:val="21"/>
          <w:szCs w:val="21"/>
        </w:rPr>
        <w:t xml:space="preserve"> </w:t>
      </w:r>
      <w:r>
        <w:rPr>
          <w:spacing w:val="4"/>
          <w:sz w:val="21"/>
          <w:szCs w:val="21"/>
        </w:rPr>
        <w:t>书后56天内办清竣工结算和竣工付款。</w:t>
      </w:r>
    </w:p>
    <w:p w14:paraId="42F42F06">
      <w:pPr>
        <w:spacing w:line="223" w:lineRule="auto"/>
        <w:ind w:left="3"/>
        <w:rPr>
          <w:rFonts w:ascii="黑体" w:hAnsi="黑体" w:eastAsia="黑体" w:cs="黑体"/>
          <w:sz w:val="24"/>
          <w:szCs w:val="24"/>
        </w:rPr>
      </w:pPr>
      <w:r>
        <w:rPr>
          <w:rFonts w:ascii="黑体" w:hAnsi="黑体" w:eastAsia="黑体" w:cs="黑体"/>
          <w:b/>
          <w:bCs/>
          <w:spacing w:val="-5"/>
          <w:sz w:val="24"/>
          <w:szCs w:val="24"/>
        </w:rPr>
        <w:t>17.6最终结清</w:t>
      </w:r>
    </w:p>
    <w:p w14:paraId="71DB0068">
      <w:pPr>
        <w:spacing w:before="178" w:line="222" w:lineRule="auto"/>
        <w:ind w:left="432"/>
        <w:rPr>
          <w:rFonts w:ascii="黑体" w:hAnsi="黑体" w:eastAsia="黑体" w:cs="黑体"/>
          <w:sz w:val="21"/>
          <w:szCs w:val="21"/>
        </w:rPr>
      </w:pPr>
      <w:r>
        <w:rPr>
          <w:rFonts w:ascii="黑体" w:hAnsi="黑体" w:eastAsia="黑体" w:cs="黑体"/>
          <w:b/>
          <w:bCs/>
          <w:spacing w:val="1"/>
          <w:sz w:val="21"/>
          <w:szCs w:val="21"/>
        </w:rPr>
        <w:t>17.6.1最终结清申请单</w:t>
      </w:r>
    </w:p>
    <w:p w14:paraId="60F42E20">
      <w:pPr>
        <w:pStyle w:val="2"/>
        <w:spacing w:before="140" w:line="213" w:lineRule="auto"/>
        <w:ind w:left="429"/>
        <w:rPr>
          <w:sz w:val="21"/>
          <w:szCs w:val="21"/>
        </w:rPr>
      </w:pPr>
      <w:r>
        <w:rPr>
          <w:sz w:val="21"/>
          <w:szCs w:val="21"/>
        </w:rPr>
        <w:t xml:space="preserve">承包人提交最终结清申请单的份数：                                       </w:t>
      </w:r>
      <w:r>
        <w:rPr>
          <w:position w:val="-4"/>
          <w:sz w:val="21"/>
          <w:szCs w:val="21"/>
        </w:rPr>
        <w:drawing>
          <wp:inline distT="0" distB="0" distL="0" distR="0">
            <wp:extent cx="317500" cy="25400"/>
            <wp:effectExtent l="0" t="0" r="0" b="0"/>
            <wp:docPr id="54" name="IM 54"/>
            <wp:cNvGraphicFramePr/>
            <a:graphic xmlns:a="http://schemas.openxmlformats.org/drawingml/2006/main">
              <a:graphicData uri="http://schemas.openxmlformats.org/drawingml/2006/picture">
                <pic:pic xmlns:pic="http://schemas.openxmlformats.org/drawingml/2006/picture">
                  <pic:nvPicPr>
                    <pic:cNvPr id="54" name="IM 54"/>
                    <pic:cNvPicPr/>
                  </pic:nvPicPr>
                  <pic:blipFill>
                    <a:blip r:embed="rId433"/>
                    <a:stretch>
                      <a:fillRect/>
                    </a:stretch>
                  </pic:blipFill>
                  <pic:spPr>
                    <a:xfrm>
                      <a:off x="0" y="0"/>
                      <a:ext cx="317563" cy="25450"/>
                    </a:xfrm>
                    <a:prstGeom prst="rect">
                      <a:avLst/>
                    </a:prstGeom>
                  </pic:spPr>
                </pic:pic>
              </a:graphicData>
            </a:graphic>
          </wp:inline>
        </w:drawing>
      </w:r>
    </w:p>
    <w:p w14:paraId="09141F3E">
      <w:pPr>
        <w:pStyle w:val="2"/>
        <w:spacing w:before="124" w:line="219" w:lineRule="auto"/>
        <w:ind w:left="429"/>
        <w:rPr>
          <w:rFonts w:ascii="Times New Roman" w:hAnsi="Times New Roman" w:eastAsia="Times New Roman" w:cs="Times New Roman"/>
          <w:sz w:val="21"/>
          <w:szCs w:val="21"/>
        </w:rPr>
      </w:pPr>
      <w:r>
        <w:rPr>
          <w:spacing w:val="-2"/>
          <w:sz w:val="21"/>
          <w:szCs w:val="21"/>
        </w:rPr>
        <w:t>承包人提交最终结清申请单的期限：</w:t>
      </w:r>
      <w:r>
        <w:rPr>
          <w:spacing w:val="2"/>
          <w:sz w:val="21"/>
          <w:szCs w:val="21"/>
          <w:u w:val="single" w:color="auto"/>
        </w:rPr>
        <w:t xml:space="preserve">                               </w:t>
      </w:r>
      <w:r>
        <w:rPr>
          <w:spacing w:val="1"/>
          <w:sz w:val="21"/>
          <w:szCs w:val="21"/>
          <w:u w:val="single" w:color="auto"/>
        </w:rPr>
        <w:t xml:space="preserve">            </w:t>
      </w:r>
      <w:r>
        <w:rPr>
          <w:spacing w:val="-101"/>
          <w:sz w:val="21"/>
          <w:szCs w:val="21"/>
        </w:rPr>
        <w:t xml:space="preserve"> </w:t>
      </w:r>
      <w:r>
        <w:rPr>
          <w:rFonts w:ascii="Times New Roman" w:hAnsi="Times New Roman" w:eastAsia="Times New Roman" w:cs="Times New Roman"/>
          <w:spacing w:val="-2"/>
          <w:sz w:val="21"/>
          <w:szCs w:val="21"/>
        </w:rPr>
        <w:t>o</w:t>
      </w:r>
    </w:p>
    <w:p w14:paraId="251DD64B">
      <w:pPr>
        <w:pStyle w:val="2"/>
        <w:spacing w:before="211" w:line="221" w:lineRule="auto"/>
        <w:ind w:left="3"/>
        <w:rPr>
          <w:rFonts w:ascii="黑体" w:hAnsi="黑体" w:eastAsia="黑体" w:cs="黑体"/>
          <w:sz w:val="27"/>
          <w:szCs w:val="27"/>
        </w:rPr>
      </w:pPr>
      <w:r>
        <w:rPr>
          <w:b/>
          <w:bCs/>
          <w:spacing w:val="-3"/>
          <w:sz w:val="27"/>
          <w:szCs w:val="27"/>
        </w:rPr>
        <w:t>18.</w:t>
      </w:r>
      <w:r>
        <w:rPr>
          <w:rFonts w:ascii="黑体" w:hAnsi="黑体" w:eastAsia="黑体" w:cs="黑体"/>
          <w:b/>
          <w:bCs/>
          <w:spacing w:val="-3"/>
          <w:sz w:val="27"/>
          <w:szCs w:val="27"/>
        </w:rPr>
        <w:t>竣工验收</w:t>
      </w:r>
    </w:p>
    <w:p w14:paraId="68E3C8CE">
      <w:pPr>
        <w:spacing w:before="86" w:line="221" w:lineRule="auto"/>
        <w:ind w:left="3"/>
        <w:rPr>
          <w:rFonts w:ascii="黑体" w:hAnsi="黑体" w:eastAsia="黑体" w:cs="黑体"/>
          <w:sz w:val="24"/>
          <w:szCs w:val="24"/>
        </w:rPr>
      </w:pPr>
      <w:r>
        <w:rPr>
          <w:rFonts w:ascii="黑体" w:hAnsi="黑体" w:eastAsia="黑体" w:cs="黑体"/>
          <w:b/>
          <w:bCs/>
          <w:spacing w:val="-5"/>
          <w:sz w:val="24"/>
          <w:szCs w:val="24"/>
        </w:rPr>
        <w:t>18.2竣工验收申请报告</w:t>
      </w:r>
    </w:p>
    <w:p w14:paraId="4727C80D">
      <w:pPr>
        <w:pStyle w:val="2"/>
        <w:spacing w:before="146" w:line="353" w:lineRule="auto"/>
        <w:ind w:right="95" w:firstLine="429"/>
        <w:rPr>
          <w:sz w:val="21"/>
          <w:szCs w:val="21"/>
        </w:rPr>
      </w:pPr>
      <w:r>
        <w:drawing>
          <wp:anchor distT="0" distB="0" distL="0" distR="0" simplePos="0" relativeHeight="251677696" behindDoc="0" locked="0" layoutInCell="1" allowOverlap="1">
            <wp:simplePos x="0" y="0"/>
            <wp:positionH relativeFrom="column">
              <wp:posOffset>4609465</wp:posOffset>
            </wp:positionH>
            <wp:positionV relativeFrom="paragraph">
              <wp:posOffset>467995</wp:posOffset>
            </wp:positionV>
            <wp:extent cx="679450" cy="25400"/>
            <wp:effectExtent l="0" t="0" r="0" b="0"/>
            <wp:wrapNone/>
            <wp:docPr id="56" name="IM 56"/>
            <wp:cNvGraphicFramePr/>
            <a:graphic xmlns:a="http://schemas.openxmlformats.org/drawingml/2006/main">
              <a:graphicData uri="http://schemas.openxmlformats.org/drawingml/2006/picture">
                <pic:pic xmlns:pic="http://schemas.openxmlformats.org/drawingml/2006/picture">
                  <pic:nvPicPr>
                    <pic:cNvPr id="56" name="IM 56"/>
                    <pic:cNvPicPr/>
                  </pic:nvPicPr>
                  <pic:blipFill>
                    <a:blip r:embed="rId434"/>
                    <a:stretch>
                      <a:fillRect/>
                    </a:stretch>
                  </pic:blipFill>
                  <pic:spPr>
                    <a:xfrm>
                      <a:off x="0" y="0"/>
                      <a:ext cx="679446" cy="25343"/>
                    </a:xfrm>
                    <a:prstGeom prst="rect">
                      <a:avLst/>
                    </a:prstGeom>
                  </pic:spPr>
                </pic:pic>
              </a:graphicData>
            </a:graphic>
          </wp:anchor>
        </w:drawing>
      </w:r>
      <w:r>
        <w:rPr>
          <w:spacing w:val="4"/>
          <w:sz w:val="21"/>
          <w:szCs w:val="21"/>
        </w:rPr>
        <w:t>(2)承包人负责整理和提交的竣工验收资料应当符合工程所在地建设行政主管部门和(或)城</w:t>
      </w:r>
      <w:r>
        <w:rPr>
          <w:spacing w:val="5"/>
          <w:sz w:val="21"/>
          <w:szCs w:val="21"/>
        </w:rPr>
        <w:t xml:space="preserve"> </w:t>
      </w:r>
      <w:r>
        <w:rPr>
          <w:spacing w:val="-2"/>
          <w:sz w:val="21"/>
          <w:szCs w:val="21"/>
        </w:rPr>
        <w:t>市建设档案管理机构有关施工资料的要求，具体内容包括：</w:t>
      </w:r>
      <w:r>
        <w:rPr>
          <w:spacing w:val="-2"/>
          <w:sz w:val="21"/>
          <w:szCs w:val="21"/>
          <w:u w:val="single" w:color="auto"/>
        </w:rPr>
        <w:t xml:space="preserve">                            </w:t>
      </w:r>
    </w:p>
    <w:p w14:paraId="6976CD00">
      <w:pPr>
        <w:tabs>
          <w:tab w:val="left" w:pos="8209"/>
        </w:tabs>
        <w:spacing w:before="112" w:line="142" w:lineRule="auto"/>
        <w:rPr>
          <w:rFonts w:ascii="Times New Roman" w:hAnsi="Times New Roman" w:eastAsia="Times New Roman" w:cs="Times New Roman"/>
          <w:sz w:val="7"/>
          <w:szCs w:val="7"/>
        </w:rPr>
      </w:pPr>
      <w:r>
        <w:rPr>
          <w:rFonts w:ascii="Times New Roman" w:hAnsi="Times New Roman" w:eastAsia="Times New Roman" w:cs="Times New Roman"/>
          <w:sz w:val="7"/>
          <w:szCs w:val="7"/>
          <w:u w:val="single" w:color="auto"/>
        </w:rPr>
        <w:tab/>
      </w:r>
      <w:r>
        <w:rPr>
          <w:rFonts w:ascii="Times New Roman" w:hAnsi="Times New Roman" w:eastAsia="Times New Roman" w:cs="Times New Roman"/>
          <w:spacing w:val="-7"/>
          <w:sz w:val="7"/>
          <w:szCs w:val="7"/>
        </w:rPr>
        <w:t xml:space="preserve"> </w:t>
      </w:r>
      <w:r>
        <w:rPr>
          <w:rFonts w:ascii="Times New Roman" w:hAnsi="Times New Roman" w:eastAsia="Times New Roman" w:cs="Times New Roman"/>
          <w:sz w:val="7"/>
          <w:szCs w:val="7"/>
          <w:u w:val="dotted" w:color="auto"/>
        </w:rPr>
        <w:t xml:space="preserve">  </w:t>
      </w:r>
      <w:r>
        <w:rPr>
          <w:rFonts w:ascii="Times New Roman" w:hAnsi="Times New Roman" w:eastAsia="Times New Roman" w:cs="Times New Roman"/>
          <w:spacing w:val="-16"/>
          <w:sz w:val="7"/>
          <w:szCs w:val="7"/>
        </w:rPr>
        <w:t xml:space="preserve"> </w:t>
      </w:r>
      <w:r>
        <w:rPr>
          <w:rFonts w:ascii="Times New Roman" w:hAnsi="Times New Roman" w:eastAsia="Times New Roman" w:cs="Times New Roman"/>
          <w:sz w:val="7"/>
          <w:szCs w:val="7"/>
        </w:rPr>
        <w:t>o</w:t>
      </w:r>
    </w:p>
    <w:p w14:paraId="1EA88BE6">
      <w:pPr>
        <w:pStyle w:val="2"/>
        <w:spacing w:before="238" w:line="219" w:lineRule="auto"/>
        <w:ind w:left="429"/>
        <w:rPr>
          <w:sz w:val="21"/>
          <w:szCs w:val="21"/>
        </w:rPr>
      </w:pPr>
      <w:r>
        <w:rPr>
          <w:sz w:val="21"/>
          <w:szCs w:val="21"/>
        </w:rPr>
        <w:t>竣工验收资料的份数：</w:t>
      </w:r>
      <w:r>
        <w:rPr>
          <w:sz w:val="21"/>
          <w:szCs w:val="21"/>
          <w:u w:val="single" w:color="auto"/>
        </w:rPr>
        <w:t xml:space="preserve">                                                       </w:t>
      </w:r>
      <w:r>
        <w:rPr>
          <w:spacing w:val="-91"/>
          <w:sz w:val="21"/>
          <w:szCs w:val="21"/>
        </w:rPr>
        <w:t xml:space="preserve"> </w:t>
      </w:r>
      <w:r>
        <w:rPr>
          <w:position w:val="1"/>
          <w:sz w:val="21"/>
          <w:szCs w:val="21"/>
        </w:rPr>
        <w:drawing>
          <wp:inline distT="0" distB="0" distL="0" distR="0">
            <wp:extent cx="50800" cy="43815"/>
            <wp:effectExtent l="0" t="0" r="0" b="0"/>
            <wp:docPr id="58" name="IM 58"/>
            <wp:cNvGraphicFramePr/>
            <a:graphic xmlns:a="http://schemas.openxmlformats.org/drawingml/2006/main">
              <a:graphicData uri="http://schemas.openxmlformats.org/drawingml/2006/picture">
                <pic:pic xmlns:pic="http://schemas.openxmlformats.org/drawingml/2006/picture">
                  <pic:nvPicPr>
                    <pic:cNvPr id="58" name="IM 58"/>
                    <pic:cNvPicPr/>
                  </pic:nvPicPr>
                  <pic:blipFill>
                    <a:blip r:embed="rId435"/>
                    <a:stretch>
                      <a:fillRect/>
                    </a:stretch>
                  </pic:blipFill>
                  <pic:spPr>
                    <a:xfrm>
                      <a:off x="0" y="0"/>
                      <a:ext cx="50822" cy="44377"/>
                    </a:xfrm>
                    <a:prstGeom prst="rect">
                      <a:avLst/>
                    </a:prstGeom>
                  </pic:spPr>
                </pic:pic>
              </a:graphicData>
            </a:graphic>
          </wp:inline>
        </w:drawing>
      </w:r>
    </w:p>
    <w:p w14:paraId="083F1ED6">
      <w:pPr>
        <w:pStyle w:val="2"/>
        <w:spacing w:before="131" w:line="219" w:lineRule="auto"/>
        <w:ind w:left="429"/>
        <w:rPr>
          <w:sz w:val="5"/>
          <w:szCs w:val="5"/>
        </w:rPr>
      </w:pPr>
      <w:r>
        <w:rPr>
          <w:sz w:val="20"/>
          <w:szCs w:val="20"/>
        </w:rPr>
        <w:t xml:space="preserve">竣工验收资料的费用支付方式： </w:t>
      </w:r>
      <w:r>
        <w:rPr>
          <w:sz w:val="20"/>
          <w:szCs w:val="20"/>
          <w:u w:val="single" w:color="auto"/>
        </w:rPr>
        <w:t xml:space="preserve">                              </w:t>
      </w:r>
      <w:r>
        <w:rPr>
          <w:spacing w:val="-1"/>
          <w:sz w:val="20"/>
          <w:szCs w:val="20"/>
          <w:u w:val="single" w:color="auto"/>
        </w:rPr>
        <w:t xml:space="preserve">                    </w:t>
      </w:r>
      <w:r>
        <w:rPr>
          <w:spacing w:val="-90"/>
          <w:sz w:val="20"/>
          <w:szCs w:val="20"/>
        </w:rPr>
        <w:t xml:space="preserve"> </w:t>
      </w:r>
      <w:r>
        <w:rPr>
          <w:spacing w:val="-1"/>
          <w:position w:val="1"/>
          <w:sz w:val="5"/>
          <w:szCs w:val="5"/>
        </w:rPr>
        <w:t>◎</w:t>
      </w:r>
    </w:p>
    <w:p w14:paraId="2EA6A66D">
      <w:pPr>
        <w:spacing w:before="99" w:line="222" w:lineRule="auto"/>
        <w:ind w:left="3"/>
        <w:rPr>
          <w:rFonts w:ascii="黑体" w:hAnsi="黑体" w:eastAsia="黑体" w:cs="黑体"/>
          <w:sz w:val="24"/>
          <w:szCs w:val="24"/>
        </w:rPr>
      </w:pPr>
      <w:r>
        <w:rPr>
          <w:rFonts w:ascii="黑体" w:hAnsi="黑体" w:eastAsia="黑体" w:cs="黑体"/>
          <w:b/>
          <w:bCs/>
          <w:spacing w:val="-3"/>
          <w:sz w:val="24"/>
          <w:szCs w:val="24"/>
        </w:rPr>
        <w:t>18.3验收</w:t>
      </w:r>
    </w:p>
    <w:p w14:paraId="59C446D7">
      <w:pPr>
        <w:pStyle w:val="2"/>
        <w:spacing w:before="154" w:line="333" w:lineRule="auto"/>
        <w:ind w:right="53" w:firstLine="429"/>
        <w:rPr>
          <w:sz w:val="21"/>
          <w:szCs w:val="21"/>
        </w:rPr>
      </w:pPr>
      <w:r>
        <w:rPr>
          <w:spacing w:val="3"/>
          <w:sz w:val="21"/>
          <w:szCs w:val="21"/>
        </w:rPr>
        <w:t>18.3.5经验收合格的工程，实际竣工日</w:t>
      </w:r>
      <w:r>
        <w:rPr>
          <w:spacing w:val="2"/>
          <w:sz w:val="21"/>
          <w:szCs w:val="21"/>
        </w:rPr>
        <w:t>期为承包人按照第18.2款提交竣工验收申请报告或按</w:t>
      </w:r>
      <w:r>
        <w:rPr>
          <w:sz w:val="21"/>
          <w:szCs w:val="21"/>
        </w:rPr>
        <w:t xml:space="preserve"> </w:t>
      </w:r>
      <w:r>
        <w:rPr>
          <w:spacing w:val="-1"/>
          <w:sz w:val="21"/>
          <w:szCs w:val="21"/>
        </w:rPr>
        <w:t>照本款重新提交竣工验收申请报告的日期(以两者中时间在后者为准)。</w:t>
      </w:r>
    </w:p>
    <w:p w14:paraId="275D8C53">
      <w:pPr>
        <w:spacing w:before="1" w:line="221" w:lineRule="auto"/>
        <w:ind w:left="3"/>
        <w:rPr>
          <w:rFonts w:ascii="黑体" w:hAnsi="黑体" w:eastAsia="黑体" w:cs="黑体"/>
          <w:sz w:val="24"/>
          <w:szCs w:val="24"/>
        </w:rPr>
      </w:pPr>
      <w:r>
        <w:rPr>
          <w:rFonts w:ascii="黑体" w:hAnsi="黑体" w:eastAsia="黑体" w:cs="黑体"/>
          <w:b/>
          <w:bCs/>
          <w:spacing w:val="-3"/>
          <w:sz w:val="24"/>
          <w:szCs w:val="24"/>
        </w:rPr>
        <w:t>18.5施工期运行</w:t>
      </w:r>
    </w:p>
    <w:p w14:paraId="23115DF3">
      <w:pPr>
        <w:pStyle w:val="2"/>
        <w:spacing w:before="146" w:line="220" w:lineRule="auto"/>
        <w:ind w:left="429"/>
        <w:rPr>
          <w:sz w:val="22"/>
          <w:szCs w:val="22"/>
        </w:rPr>
      </w:pPr>
      <w:r>
        <w:rPr>
          <w:spacing w:val="-9"/>
          <w:sz w:val="22"/>
          <w:szCs w:val="22"/>
        </w:rPr>
        <w:t>18.5.1需要施工期运行的单位工程或设备安装工程：</w:t>
      </w:r>
      <w:r>
        <w:rPr>
          <w:spacing w:val="-9"/>
          <w:sz w:val="22"/>
          <w:szCs w:val="22"/>
          <w:u w:val="single" w:color="auto"/>
        </w:rPr>
        <w:t xml:space="preserve">            </w:t>
      </w:r>
      <w:r>
        <w:rPr>
          <w:spacing w:val="-10"/>
          <w:sz w:val="22"/>
          <w:szCs w:val="22"/>
          <w:u w:val="single" w:color="auto"/>
        </w:rPr>
        <w:t xml:space="preserve">                    </w:t>
      </w:r>
    </w:p>
    <w:p w14:paraId="7BE39A60">
      <w:pPr>
        <w:spacing w:before="83" w:line="221" w:lineRule="auto"/>
        <w:ind w:left="3"/>
        <w:rPr>
          <w:rFonts w:ascii="黑体" w:hAnsi="黑体" w:eastAsia="黑体" w:cs="黑体"/>
          <w:sz w:val="24"/>
          <w:szCs w:val="24"/>
        </w:rPr>
      </w:pPr>
      <w:r>
        <w:rPr>
          <w:rFonts w:ascii="黑体" w:hAnsi="黑体" w:eastAsia="黑体" w:cs="黑体"/>
          <w:b/>
          <w:bCs/>
          <w:spacing w:val="-3"/>
          <w:sz w:val="24"/>
          <w:szCs w:val="24"/>
        </w:rPr>
        <w:t>18.6试运行</w:t>
      </w:r>
    </w:p>
    <w:p w14:paraId="237CBAAF">
      <w:pPr>
        <w:pStyle w:val="2"/>
        <w:spacing w:before="147" w:line="219" w:lineRule="auto"/>
        <w:ind w:left="429"/>
        <w:rPr>
          <w:sz w:val="21"/>
          <w:szCs w:val="21"/>
        </w:rPr>
      </w:pPr>
      <w:r>
        <w:rPr>
          <w:spacing w:val="1"/>
          <w:sz w:val="21"/>
          <w:szCs w:val="21"/>
        </w:rPr>
        <w:t>18.6.1工程及工程设备试运行的组织与费用承担</w:t>
      </w:r>
    </w:p>
    <w:p w14:paraId="66F4AECD">
      <w:pPr>
        <w:pStyle w:val="2"/>
        <w:spacing w:before="139" w:line="219" w:lineRule="auto"/>
        <w:ind w:left="529"/>
        <w:rPr>
          <w:sz w:val="21"/>
          <w:szCs w:val="21"/>
        </w:rPr>
      </w:pPr>
      <w:r>
        <w:rPr>
          <w:spacing w:val="2"/>
          <w:sz w:val="21"/>
          <w:szCs w:val="21"/>
        </w:rPr>
        <w:t>(1)工程设备安装具备单机无负荷试运行条件，由承包人组织试运行，费用由承包人承担。</w:t>
      </w:r>
    </w:p>
    <w:p w14:paraId="074BC205">
      <w:pPr>
        <w:pStyle w:val="2"/>
        <w:spacing w:before="133" w:line="219" w:lineRule="auto"/>
        <w:ind w:left="529"/>
        <w:rPr>
          <w:sz w:val="21"/>
          <w:szCs w:val="21"/>
        </w:rPr>
      </w:pPr>
      <w:r>
        <w:rPr>
          <w:spacing w:val="2"/>
          <w:sz w:val="21"/>
          <w:szCs w:val="21"/>
        </w:rPr>
        <w:t>(2)工程设备安装具备无负荷联动试运行条件，由发包人组织试运行，费用由发包人承担。</w:t>
      </w:r>
    </w:p>
    <w:p w14:paraId="57625055">
      <w:pPr>
        <w:pStyle w:val="2"/>
        <w:spacing w:before="160" w:line="277" w:lineRule="auto"/>
        <w:ind w:right="94" w:firstLine="529"/>
        <w:rPr>
          <w:sz w:val="21"/>
          <w:szCs w:val="21"/>
        </w:rPr>
      </w:pPr>
      <w:r>
        <w:rPr>
          <w:spacing w:val="2"/>
          <w:sz w:val="21"/>
          <w:szCs w:val="21"/>
        </w:rPr>
        <w:t>(3)投料试运行应在工程竣工验收后由发包人负责，如发包人要求在工</w:t>
      </w:r>
      <w:r>
        <w:rPr>
          <w:spacing w:val="1"/>
          <w:sz w:val="21"/>
          <w:szCs w:val="21"/>
        </w:rPr>
        <w:t>程竣工验收前进行或</w:t>
      </w:r>
      <w:r>
        <w:rPr>
          <w:sz w:val="21"/>
          <w:szCs w:val="21"/>
        </w:rPr>
        <w:t xml:space="preserve"> </w:t>
      </w:r>
      <w:r>
        <w:rPr>
          <w:spacing w:val="-1"/>
          <w:sz w:val="21"/>
          <w:szCs w:val="21"/>
        </w:rPr>
        <w:t>需要承包人配合时，应征得承包人同意，另行签订补充协议。</w:t>
      </w:r>
    </w:p>
    <w:p w14:paraId="4FD137F3">
      <w:pPr>
        <w:spacing w:before="106" w:line="221" w:lineRule="auto"/>
        <w:ind w:left="3"/>
        <w:rPr>
          <w:rFonts w:ascii="黑体" w:hAnsi="黑体" w:eastAsia="黑体" w:cs="黑体"/>
          <w:sz w:val="24"/>
          <w:szCs w:val="24"/>
        </w:rPr>
      </w:pPr>
      <w:r>
        <w:rPr>
          <w:rFonts w:ascii="黑体" w:hAnsi="黑体" w:eastAsia="黑体" w:cs="黑体"/>
          <w:b/>
          <w:bCs/>
          <w:spacing w:val="-5"/>
          <w:sz w:val="24"/>
          <w:szCs w:val="24"/>
        </w:rPr>
        <w:t>18.7竣工清场</w:t>
      </w:r>
    </w:p>
    <w:p w14:paraId="194CF29C">
      <w:pPr>
        <w:pStyle w:val="2"/>
        <w:spacing w:before="147" w:line="333" w:lineRule="auto"/>
        <w:ind w:right="95" w:firstLine="429"/>
        <w:rPr>
          <w:sz w:val="21"/>
          <w:szCs w:val="21"/>
        </w:rPr>
      </w:pPr>
      <w:r>
        <w:rPr>
          <w:spacing w:val="2"/>
          <w:sz w:val="21"/>
          <w:szCs w:val="21"/>
        </w:rPr>
        <w:t>18.7.1监理人颁发(出具)工程接收证书后，承</w:t>
      </w:r>
      <w:r>
        <w:rPr>
          <w:spacing w:val="1"/>
          <w:sz w:val="21"/>
          <w:szCs w:val="21"/>
        </w:rPr>
        <w:t>包人负责按照通用合同条款本项约定的要求对</w:t>
      </w:r>
      <w:r>
        <w:rPr>
          <w:sz w:val="21"/>
          <w:szCs w:val="21"/>
        </w:rPr>
        <w:t xml:space="preserve"> </w:t>
      </w:r>
      <w:r>
        <w:rPr>
          <w:spacing w:val="-1"/>
          <w:sz w:val="21"/>
          <w:szCs w:val="21"/>
        </w:rPr>
        <w:t>施工场地进行清理并承担相关费用，直至监理人检验合格为止。</w:t>
      </w:r>
    </w:p>
    <w:p w14:paraId="1352D9BD">
      <w:pPr>
        <w:spacing w:line="222" w:lineRule="auto"/>
        <w:ind w:left="3"/>
        <w:rPr>
          <w:rFonts w:ascii="黑体" w:hAnsi="黑体" w:eastAsia="黑体" w:cs="黑体"/>
          <w:sz w:val="24"/>
          <w:szCs w:val="24"/>
        </w:rPr>
      </w:pPr>
      <w:r>
        <w:rPr>
          <w:rFonts w:ascii="黑体" w:hAnsi="黑体" w:eastAsia="黑体" w:cs="黑体"/>
          <w:b/>
          <w:bCs/>
          <w:spacing w:val="-3"/>
          <w:sz w:val="24"/>
          <w:szCs w:val="24"/>
        </w:rPr>
        <w:t>18.8施工队伍的撤离</w:t>
      </w:r>
    </w:p>
    <w:p w14:paraId="39909FC8">
      <w:pPr>
        <w:pStyle w:val="2"/>
        <w:spacing w:before="142" w:line="335" w:lineRule="auto"/>
        <w:ind w:firstLine="429"/>
        <w:jc w:val="both"/>
        <w:rPr>
          <w:sz w:val="21"/>
          <w:szCs w:val="21"/>
        </w:rPr>
      </w:pPr>
      <w:r>
        <w:rPr>
          <w:spacing w:val="2"/>
          <w:sz w:val="21"/>
          <w:szCs w:val="21"/>
        </w:rPr>
        <w:t>承包人按照通用合同条款第18.8款约定撤离施工场地(现</w:t>
      </w:r>
      <w:r>
        <w:rPr>
          <w:spacing w:val="1"/>
          <w:sz w:val="21"/>
          <w:szCs w:val="21"/>
        </w:rPr>
        <w:t>场)时，监理人和承包人应当办理永</w:t>
      </w:r>
      <w:r>
        <w:rPr>
          <w:sz w:val="21"/>
          <w:szCs w:val="21"/>
        </w:rPr>
        <w:t xml:space="preserve">  </w:t>
      </w:r>
      <w:r>
        <w:rPr>
          <w:spacing w:val="2"/>
          <w:sz w:val="21"/>
          <w:szCs w:val="21"/>
        </w:rPr>
        <w:t>久工程和施工场地移交手续，移交手续以书面方式出具，并分别经过发包人、监理人和承包人的</w:t>
      </w:r>
      <w:r>
        <w:rPr>
          <w:sz w:val="21"/>
          <w:szCs w:val="21"/>
        </w:rPr>
        <w:t xml:space="preserve">  </w:t>
      </w:r>
      <w:r>
        <w:rPr>
          <w:spacing w:val="-1"/>
          <w:sz w:val="21"/>
          <w:szCs w:val="21"/>
        </w:rPr>
        <w:t>签认。但是，监理人和发包人未按专用合同条款17.5.1项约定的期限办清竣工结算和竣工付款的，</w:t>
      </w:r>
      <w:r>
        <w:rPr>
          <w:spacing w:val="9"/>
          <w:sz w:val="21"/>
          <w:szCs w:val="21"/>
        </w:rPr>
        <w:t xml:space="preserve"> </w:t>
      </w:r>
      <w:r>
        <w:rPr>
          <w:spacing w:val="3"/>
          <w:sz w:val="21"/>
          <w:szCs w:val="21"/>
        </w:rPr>
        <w:t>本工程不得交付使用，发包人和监理人也无权要求承包人按合同约</w:t>
      </w:r>
      <w:r>
        <w:rPr>
          <w:spacing w:val="2"/>
          <w:sz w:val="21"/>
          <w:szCs w:val="21"/>
        </w:rPr>
        <w:t>定的期限撤离施工场地(现场)</w:t>
      </w:r>
    </w:p>
    <w:p w14:paraId="44F47CB3">
      <w:pPr>
        <w:spacing w:line="335" w:lineRule="auto"/>
        <w:rPr>
          <w:sz w:val="21"/>
          <w:szCs w:val="21"/>
        </w:rPr>
        <w:sectPr>
          <w:footerReference r:id="rId167" w:type="default"/>
          <w:pgSz w:w="11910" w:h="16840"/>
          <w:pgMar w:top="400" w:right="1455" w:bottom="1024" w:left="1460" w:header="0" w:footer="889" w:gutter="0"/>
          <w:cols w:space="720" w:num="1"/>
        </w:sectPr>
      </w:pPr>
    </w:p>
    <w:p w14:paraId="17711839">
      <w:pPr>
        <w:spacing w:line="273" w:lineRule="auto"/>
        <w:rPr>
          <w:rFonts w:ascii="Arial"/>
          <w:sz w:val="21"/>
        </w:rPr>
      </w:pPr>
    </w:p>
    <w:p w14:paraId="5F9D315E">
      <w:pPr>
        <w:spacing w:line="273" w:lineRule="auto"/>
        <w:rPr>
          <w:rFonts w:ascii="Arial"/>
          <w:sz w:val="21"/>
        </w:rPr>
      </w:pPr>
    </w:p>
    <w:p w14:paraId="3E01724B">
      <w:pPr>
        <w:spacing w:line="273" w:lineRule="auto"/>
        <w:rPr>
          <w:rFonts w:ascii="Arial"/>
          <w:sz w:val="21"/>
        </w:rPr>
      </w:pPr>
    </w:p>
    <w:p w14:paraId="7FA571E8">
      <w:pPr>
        <w:spacing w:line="273" w:lineRule="auto"/>
        <w:rPr>
          <w:rFonts w:ascii="Arial"/>
          <w:sz w:val="21"/>
        </w:rPr>
      </w:pPr>
    </w:p>
    <w:p w14:paraId="7F6BA963">
      <w:pPr>
        <w:spacing w:line="273" w:lineRule="auto"/>
        <w:rPr>
          <w:rFonts w:ascii="Arial"/>
          <w:sz w:val="21"/>
        </w:rPr>
      </w:pPr>
    </w:p>
    <w:p w14:paraId="6DB9B108">
      <w:pPr>
        <w:pStyle w:val="2"/>
        <w:spacing w:before="65" w:line="219" w:lineRule="auto"/>
        <w:ind w:left="10"/>
        <w:rPr>
          <w:sz w:val="20"/>
          <w:szCs w:val="20"/>
        </w:rPr>
      </w:pPr>
      <w:r>
        <w:rPr>
          <w:spacing w:val="6"/>
          <w:sz w:val="20"/>
          <w:szCs w:val="20"/>
        </w:rPr>
        <w:t>和办理工程移交手续。</w:t>
      </w:r>
    </w:p>
    <w:p w14:paraId="134F1212">
      <w:pPr>
        <w:pStyle w:val="2"/>
        <w:spacing w:before="142" w:line="219" w:lineRule="auto"/>
        <w:ind w:left="429"/>
        <w:rPr>
          <w:sz w:val="20"/>
          <w:szCs w:val="20"/>
        </w:rPr>
      </w:pPr>
      <w:r>
        <w:rPr>
          <w:spacing w:val="9"/>
          <w:sz w:val="20"/>
          <w:szCs w:val="20"/>
        </w:rPr>
        <w:t>缺陷责任期满时，承包人可以继续在施工场地保留的人员和施工设备以及最终撤离的期限：</w:t>
      </w:r>
    </w:p>
    <w:p w14:paraId="331D9A19">
      <w:pPr>
        <w:spacing w:before="112"/>
      </w:pPr>
    </w:p>
    <w:tbl>
      <w:tblPr>
        <w:tblStyle w:val="5"/>
        <w:tblW w:w="8469" w:type="dxa"/>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8469"/>
      </w:tblGrid>
      <w:tr w14:paraId="2D2CB18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1171" w:hRule="atLeast"/>
        </w:trPr>
        <w:tc>
          <w:tcPr>
            <w:tcW w:w="8469" w:type="dxa"/>
            <w:tcBorders>
              <w:top w:val="single" w:color="000000" w:sz="4" w:space="0"/>
              <w:bottom w:val="single" w:color="000000" w:sz="2" w:space="0"/>
            </w:tcBorders>
            <w:vAlign w:val="top"/>
          </w:tcPr>
          <w:p w14:paraId="15B3CB63">
            <w:pPr>
              <w:spacing w:before="144" w:line="222" w:lineRule="auto"/>
              <w:ind w:left="13"/>
              <w:rPr>
                <w:rFonts w:ascii="黑体" w:hAnsi="黑体" w:eastAsia="黑体" w:cs="黑体"/>
                <w:sz w:val="24"/>
                <w:szCs w:val="24"/>
              </w:rPr>
            </w:pPr>
            <w:r>
              <w:rPr>
                <w:rFonts w:ascii="黑体" w:hAnsi="黑体" w:eastAsia="黑体" w:cs="黑体"/>
                <w:b/>
                <w:bCs/>
                <w:spacing w:val="-6"/>
                <w:sz w:val="24"/>
                <w:szCs w:val="24"/>
              </w:rPr>
              <w:t>18.9中间验收</w:t>
            </w:r>
          </w:p>
          <w:p w14:paraId="30DB2384">
            <w:pPr>
              <w:pStyle w:val="6"/>
              <w:spacing w:before="163" w:line="219" w:lineRule="auto"/>
              <w:ind w:left="429"/>
              <w:rPr>
                <w:sz w:val="20"/>
                <w:szCs w:val="20"/>
              </w:rPr>
            </w:pPr>
            <w:r>
              <w:rPr>
                <w:spacing w:val="7"/>
                <w:sz w:val="20"/>
                <w:szCs w:val="20"/>
              </w:rPr>
              <w:t>本工程需要进行中间验收的部位如下：</w:t>
            </w:r>
          </w:p>
        </w:tc>
      </w:tr>
      <w:tr w14:paraId="1214DD0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89" w:hRule="atLeast"/>
        </w:trPr>
        <w:tc>
          <w:tcPr>
            <w:tcW w:w="8469" w:type="dxa"/>
            <w:tcBorders>
              <w:top w:val="single" w:color="000000" w:sz="2" w:space="0"/>
              <w:bottom w:val="single" w:color="000000" w:sz="2" w:space="0"/>
            </w:tcBorders>
            <w:vAlign w:val="top"/>
          </w:tcPr>
          <w:p w14:paraId="5B663E6D">
            <w:pPr>
              <w:rPr>
                <w:rFonts w:ascii="Arial"/>
                <w:sz w:val="21"/>
              </w:rPr>
            </w:pPr>
          </w:p>
        </w:tc>
      </w:tr>
    </w:tbl>
    <w:p w14:paraId="76671DD4">
      <w:pPr>
        <w:pStyle w:val="2"/>
        <w:spacing w:before="218" w:line="348" w:lineRule="auto"/>
        <w:ind w:left="10" w:firstLine="419"/>
        <w:jc w:val="both"/>
        <w:rPr>
          <w:sz w:val="20"/>
          <w:szCs w:val="20"/>
        </w:rPr>
      </w:pPr>
      <w:r>
        <w:rPr>
          <w:spacing w:val="12"/>
          <w:sz w:val="20"/>
          <w:szCs w:val="20"/>
        </w:rPr>
        <w:t>当工程进度达到本款约定的中间验收部位时，承包人应当进行自检，</w:t>
      </w:r>
      <w:r>
        <w:rPr>
          <w:spacing w:val="11"/>
          <w:sz w:val="20"/>
          <w:szCs w:val="20"/>
        </w:rPr>
        <w:t>并在中间验收前48小时</w:t>
      </w:r>
      <w:r>
        <w:rPr>
          <w:sz w:val="20"/>
          <w:szCs w:val="20"/>
        </w:rPr>
        <w:t xml:space="preserve"> </w:t>
      </w:r>
      <w:r>
        <w:rPr>
          <w:spacing w:val="12"/>
          <w:sz w:val="20"/>
          <w:szCs w:val="20"/>
        </w:rPr>
        <w:t>以书面形式通知监理人验收。书面通知应包括中间验收的内容、验收时间和地点。</w:t>
      </w:r>
      <w:r>
        <w:rPr>
          <w:spacing w:val="11"/>
          <w:sz w:val="20"/>
          <w:szCs w:val="20"/>
        </w:rPr>
        <w:t>承包人应当准</w:t>
      </w:r>
      <w:r>
        <w:rPr>
          <w:sz w:val="20"/>
          <w:szCs w:val="20"/>
        </w:rPr>
        <w:t xml:space="preserve"> </w:t>
      </w:r>
      <w:r>
        <w:rPr>
          <w:spacing w:val="8"/>
          <w:sz w:val="20"/>
          <w:szCs w:val="20"/>
        </w:rPr>
        <w:t>备验收记录。只有监理人验收合格并在验收记录上签字后，承包人方可继续施工。验收不合格的，</w:t>
      </w:r>
      <w:r>
        <w:rPr>
          <w:spacing w:val="15"/>
          <w:sz w:val="20"/>
          <w:szCs w:val="20"/>
        </w:rPr>
        <w:t xml:space="preserve"> </w:t>
      </w:r>
      <w:r>
        <w:rPr>
          <w:spacing w:val="1"/>
          <w:sz w:val="20"/>
          <w:szCs w:val="20"/>
        </w:rPr>
        <w:t>承包人在</w:t>
      </w:r>
      <w:r>
        <w:rPr>
          <w:spacing w:val="-79"/>
          <w:sz w:val="20"/>
          <w:szCs w:val="20"/>
        </w:rPr>
        <w:t xml:space="preserve"> </w:t>
      </w:r>
      <w:r>
        <w:rPr>
          <w:spacing w:val="5"/>
          <w:sz w:val="20"/>
          <w:szCs w:val="20"/>
          <w:u w:val="single" w:color="auto"/>
        </w:rPr>
        <w:t xml:space="preserve">         </w:t>
      </w:r>
      <w:r>
        <w:rPr>
          <w:spacing w:val="1"/>
          <w:sz w:val="20"/>
          <w:szCs w:val="20"/>
        </w:rPr>
        <w:t>_期限内进行修改后重新验收。</w:t>
      </w:r>
    </w:p>
    <w:p w14:paraId="280B3AA9">
      <w:pPr>
        <w:pStyle w:val="2"/>
        <w:spacing w:before="29" w:line="362" w:lineRule="auto"/>
        <w:ind w:left="10" w:right="36" w:firstLine="419"/>
        <w:jc w:val="both"/>
        <w:rPr>
          <w:sz w:val="20"/>
          <w:szCs w:val="20"/>
        </w:rPr>
      </w:pPr>
      <w:r>
        <w:rPr>
          <w:spacing w:val="12"/>
          <w:sz w:val="20"/>
          <w:szCs w:val="20"/>
        </w:rPr>
        <w:t>监理人不能按时进行验收的，应在验收前24小时以书面形式向承包人提出延期要求，延期不</w:t>
      </w:r>
      <w:r>
        <w:rPr>
          <w:spacing w:val="7"/>
          <w:sz w:val="20"/>
          <w:szCs w:val="20"/>
        </w:rPr>
        <w:t xml:space="preserve"> </w:t>
      </w:r>
      <w:r>
        <w:rPr>
          <w:spacing w:val="12"/>
          <w:sz w:val="20"/>
          <w:szCs w:val="20"/>
        </w:rPr>
        <w:t>能超过48小时。监理人未能按本款约定的时限提出延期要求，又未按期进行验收的，承包人可自</w:t>
      </w:r>
      <w:r>
        <w:rPr>
          <w:spacing w:val="6"/>
          <w:sz w:val="20"/>
          <w:szCs w:val="20"/>
        </w:rPr>
        <w:t xml:space="preserve"> </w:t>
      </w:r>
      <w:r>
        <w:rPr>
          <w:spacing w:val="8"/>
          <w:sz w:val="20"/>
          <w:szCs w:val="20"/>
        </w:rPr>
        <w:t>行组织验收，监理人必须认同验收记录。</w:t>
      </w:r>
    </w:p>
    <w:p w14:paraId="4AFCF7A7">
      <w:pPr>
        <w:pStyle w:val="2"/>
        <w:spacing w:before="16" w:line="334" w:lineRule="auto"/>
        <w:ind w:left="10" w:right="61" w:firstLine="419"/>
        <w:rPr>
          <w:sz w:val="20"/>
          <w:szCs w:val="20"/>
        </w:rPr>
      </w:pPr>
      <w:r>
        <w:rPr>
          <w:spacing w:val="12"/>
          <w:sz w:val="20"/>
          <w:szCs w:val="20"/>
        </w:rPr>
        <w:t>经监理人验收后工程质量符合约定的验收标准，但验收24</w:t>
      </w:r>
      <w:r>
        <w:rPr>
          <w:spacing w:val="11"/>
          <w:sz w:val="20"/>
          <w:szCs w:val="20"/>
        </w:rPr>
        <w:t>小时后监理人仍不在验收记录上签</w:t>
      </w:r>
      <w:r>
        <w:rPr>
          <w:sz w:val="20"/>
          <w:szCs w:val="20"/>
        </w:rPr>
        <w:t xml:space="preserve"> </w:t>
      </w:r>
      <w:r>
        <w:rPr>
          <w:spacing w:val="9"/>
          <w:sz w:val="20"/>
          <w:szCs w:val="20"/>
        </w:rPr>
        <w:t>字的，视为监理人已经认可验收记录，承包人可继续施工。</w:t>
      </w:r>
    </w:p>
    <w:p w14:paraId="51484E0D">
      <w:pPr>
        <w:spacing w:before="73" w:line="221" w:lineRule="auto"/>
        <w:ind w:left="13"/>
        <w:rPr>
          <w:rFonts w:ascii="黑体" w:hAnsi="黑体" w:eastAsia="黑体" w:cs="黑体"/>
          <w:sz w:val="27"/>
          <w:szCs w:val="27"/>
        </w:rPr>
      </w:pPr>
      <w:r>
        <w:rPr>
          <w:rFonts w:ascii="黑体" w:hAnsi="黑体" w:eastAsia="黑体" w:cs="黑体"/>
          <w:b/>
          <w:bCs/>
          <w:spacing w:val="1"/>
          <w:sz w:val="27"/>
          <w:szCs w:val="27"/>
        </w:rPr>
        <w:t>19.缺陷责任与保修责任</w:t>
      </w:r>
    </w:p>
    <w:p w14:paraId="73404CA0">
      <w:pPr>
        <w:spacing w:before="96" w:line="221" w:lineRule="auto"/>
        <w:ind w:left="13"/>
        <w:rPr>
          <w:rFonts w:ascii="黑体" w:hAnsi="黑体" w:eastAsia="黑体" w:cs="黑体"/>
          <w:sz w:val="24"/>
          <w:szCs w:val="24"/>
        </w:rPr>
      </w:pPr>
      <w:r>
        <w:rPr>
          <w:rFonts w:ascii="黑体" w:hAnsi="黑体" w:eastAsia="黑体" w:cs="黑体"/>
          <w:b/>
          <w:bCs/>
          <w:spacing w:val="-5"/>
          <w:sz w:val="24"/>
          <w:szCs w:val="24"/>
        </w:rPr>
        <w:t>19.7保修责任</w:t>
      </w:r>
    </w:p>
    <w:p w14:paraId="1036A0DC">
      <w:pPr>
        <w:pStyle w:val="2"/>
        <w:spacing w:before="137" w:line="219" w:lineRule="auto"/>
        <w:ind w:left="429"/>
        <w:rPr>
          <w:sz w:val="21"/>
          <w:szCs w:val="21"/>
        </w:rPr>
      </w:pPr>
      <w:r>
        <w:rPr>
          <w:spacing w:val="-4"/>
          <w:sz w:val="21"/>
          <w:szCs w:val="21"/>
        </w:rPr>
        <w:t>(1)工程质量保修范围：</w:t>
      </w:r>
      <w:r>
        <w:rPr>
          <w:spacing w:val="-33"/>
          <w:sz w:val="21"/>
          <w:szCs w:val="21"/>
        </w:rPr>
        <w:t xml:space="preserve"> </w:t>
      </w:r>
      <w:r>
        <w:rPr>
          <w:sz w:val="21"/>
          <w:szCs w:val="21"/>
          <w:u w:val="single" w:color="auto"/>
        </w:rPr>
        <w:t xml:space="preserve">                                                      </w:t>
      </w:r>
    </w:p>
    <w:p w14:paraId="546A3845">
      <w:pPr>
        <w:pStyle w:val="2"/>
        <w:spacing w:before="191" w:line="219" w:lineRule="auto"/>
        <w:ind w:left="429"/>
        <w:rPr>
          <w:sz w:val="20"/>
          <w:szCs w:val="20"/>
        </w:rPr>
      </w:pPr>
      <w:r>
        <w:rPr>
          <w:spacing w:val="-4"/>
          <w:sz w:val="20"/>
          <w:szCs w:val="20"/>
        </w:rPr>
        <w:t>(2)工程质量保修期限：</w:t>
      </w:r>
      <w:r>
        <w:rPr>
          <w:sz w:val="20"/>
          <w:szCs w:val="20"/>
          <w:u w:val="single" w:color="auto"/>
        </w:rPr>
        <w:t xml:space="preserve">                                                           </w:t>
      </w:r>
    </w:p>
    <w:p w14:paraId="68C3544B">
      <w:pPr>
        <w:pStyle w:val="2"/>
        <w:spacing w:before="112" w:line="219" w:lineRule="auto"/>
        <w:ind w:left="429"/>
        <w:rPr>
          <w:sz w:val="20"/>
          <w:szCs w:val="20"/>
        </w:rPr>
      </w:pPr>
      <w:r>
        <w:rPr>
          <w:sz w:val="20"/>
          <w:szCs w:val="20"/>
        </w:rPr>
        <w:t>(3)工程质量保修责任：</w:t>
      </w:r>
      <w:r>
        <w:rPr>
          <w:spacing w:val="30"/>
          <w:sz w:val="20"/>
          <w:szCs w:val="20"/>
        </w:rPr>
        <w:t xml:space="preserve"> </w:t>
      </w:r>
      <w:r>
        <w:rPr>
          <w:sz w:val="20"/>
          <w:szCs w:val="20"/>
          <w:u w:val="single" w:color="auto"/>
        </w:rPr>
        <w:t xml:space="preserve">                                                         </w:t>
      </w:r>
    </w:p>
    <w:p w14:paraId="7116F257">
      <w:pPr>
        <w:pStyle w:val="2"/>
        <w:spacing w:before="160" w:line="352" w:lineRule="auto"/>
        <w:ind w:left="10" w:right="41" w:firstLine="419"/>
        <w:jc w:val="both"/>
        <w:rPr>
          <w:sz w:val="20"/>
          <w:szCs w:val="20"/>
        </w:rPr>
      </w:pPr>
      <w:r>
        <w:rPr>
          <w:spacing w:val="12"/>
          <w:sz w:val="20"/>
          <w:szCs w:val="20"/>
        </w:rPr>
        <w:t>质量保修书是竣工验收申请报告的组成内容。承包人应当按照有关法律法规规定和合同所附</w:t>
      </w:r>
      <w:r>
        <w:rPr>
          <w:spacing w:val="17"/>
          <w:sz w:val="20"/>
          <w:szCs w:val="20"/>
        </w:rPr>
        <w:t xml:space="preserve"> </w:t>
      </w:r>
      <w:r>
        <w:rPr>
          <w:spacing w:val="12"/>
          <w:sz w:val="20"/>
          <w:szCs w:val="20"/>
        </w:rPr>
        <w:t>的格式出具质量保修书，质量保修书的主要内容应当与本款上述约定内容一致。</w:t>
      </w:r>
      <w:r>
        <w:rPr>
          <w:spacing w:val="11"/>
          <w:sz w:val="20"/>
          <w:szCs w:val="20"/>
        </w:rPr>
        <w:t>承包人在递交合</w:t>
      </w:r>
      <w:r>
        <w:rPr>
          <w:sz w:val="20"/>
          <w:szCs w:val="20"/>
        </w:rPr>
        <w:t xml:space="preserve"> </w:t>
      </w:r>
      <w:r>
        <w:rPr>
          <w:spacing w:val="12"/>
          <w:sz w:val="20"/>
          <w:szCs w:val="20"/>
        </w:rPr>
        <w:t>同条款第18.2款约定的竣工验收报告的同时，将质量保修书一并报送监</w:t>
      </w:r>
      <w:r>
        <w:rPr>
          <w:spacing w:val="11"/>
          <w:sz w:val="20"/>
          <w:szCs w:val="20"/>
        </w:rPr>
        <w:t>理人。</w:t>
      </w:r>
    </w:p>
    <w:p w14:paraId="39FBE4A5">
      <w:pPr>
        <w:pStyle w:val="2"/>
        <w:spacing w:before="58" w:line="222" w:lineRule="auto"/>
        <w:ind w:left="13"/>
        <w:rPr>
          <w:rFonts w:ascii="黑体" w:hAnsi="黑体" w:eastAsia="黑体" w:cs="黑体"/>
          <w:sz w:val="27"/>
          <w:szCs w:val="27"/>
        </w:rPr>
      </w:pPr>
      <w:r>
        <w:rPr>
          <w:b/>
          <w:bCs/>
          <w:spacing w:val="-7"/>
          <w:sz w:val="27"/>
          <w:szCs w:val="27"/>
        </w:rPr>
        <w:t>20.</w:t>
      </w:r>
      <w:r>
        <w:rPr>
          <w:rFonts w:ascii="黑体" w:hAnsi="黑体" w:eastAsia="黑体" w:cs="黑体"/>
          <w:b/>
          <w:bCs/>
          <w:spacing w:val="-7"/>
          <w:sz w:val="27"/>
          <w:szCs w:val="27"/>
        </w:rPr>
        <w:t>保险</w:t>
      </w:r>
    </w:p>
    <w:p w14:paraId="3175205E">
      <w:pPr>
        <w:spacing w:before="103" w:line="222" w:lineRule="auto"/>
        <w:ind w:left="13"/>
        <w:rPr>
          <w:rFonts w:ascii="黑体" w:hAnsi="黑体" w:eastAsia="黑体" w:cs="黑体"/>
          <w:sz w:val="24"/>
          <w:szCs w:val="24"/>
        </w:rPr>
      </w:pPr>
      <w:r>
        <w:rPr>
          <w:rFonts w:ascii="黑体" w:hAnsi="黑体" w:eastAsia="黑体" w:cs="黑体"/>
          <w:b/>
          <w:bCs/>
          <w:spacing w:val="-3"/>
          <w:sz w:val="24"/>
          <w:szCs w:val="24"/>
        </w:rPr>
        <w:t>20.1工程保险</w:t>
      </w:r>
    </w:p>
    <w:p w14:paraId="354BAC5E">
      <w:pPr>
        <w:pStyle w:val="2"/>
        <w:spacing w:before="164" w:line="349" w:lineRule="auto"/>
        <w:ind w:left="10" w:right="15" w:firstLine="419"/>
        <w:rPr>
          <w:sz w:val="20"/>
          <w:szCs w:val="20"/>
        </w:rPr>
      </w:pPr>
      <w:r>
        <w:rPr>
          <w:spacing w:val="20"/>
          <w:sz w:val="20"/>
          <w:szCs w:val="20"/>
        </w:rPr>
        <w:t>本工程</w:t>
      </w:r>
      <w:r>
        <w:rPr>
          <w:spacing w:val="3"/>
          <w:sz w:val="20"/>
          <w:szCs w:val="20"/>
          <w:u w:val="single" w:color="auto"/>
        </w:rPr>
        <w:t xml:space="preserve">                              </w:t>
      </w:r>
      <w:r>
        <w:rPr>
          <w:spacing w:val="20"/>
          <w:sz w:val="20"/>
          <w:szCs w:val="20"/>
        </w:rPr>
        <w:t>(投保/不投保)工程保险。投保工程保险时，险种</w:t>
      </w:r>
      <w:r>
        <w:rPr>
          <w:spacing w:val="13"/>
          <w:sz w:val="20"/>
          <w:szCs w:val="20"/>
        </w:rPr>
        <w:t xml:space="preserve"> </w:t>
      </w:r>
      <w:r>
        <w:rPr>
          <w:spacing w:val="8"/>
          <w:sz w:val="20"/>
          <w:szCs w:val="20"/>
        </w:rPr>
        <w:t>为 ：</w:t>
      </w:r>
      <w:r>
        <w:rPr>
          <w:spacing w:val="3"/>
          <w:sz w:val="20"/>
          <w:szCs w:val="20"/>
          <w:u w:val="single" w:color="auto"/>
        </w:rPr>
        <w:t xml:space="preserve">                 </w:t>
      </w:r>
      <w:r>
        <w:rPr>
          <w:spacing w:val="-69"/>
          <w:sz w:val="20"/>
          <w:szCs w:val="20"/>
        </w:rPr>
        <w:t xml:space="preserve"> </w:t>
      </w:r>
      <w:r>
        <w:rPr>
          <w:spacing w:val="8"/>
          <w:sz w:val="20"/>
          <w:szCs w:val="20"/>
        </w:rPr>
        <w:t>,并符合以下约定。</w:t>
      </w:r>
    </w:p>
    <w:p w14:paraId="6E9B5890">
      <w:pPr>
        <w:pStyle w:val="2"/>
        <w:spacing w:before="45" w:line="220" w:lineRule="auto"/>
        <w:ind w:left="429"/>
        <w:rPr>
          <w:rFonts w:ascii="Arial" w:hAnsi="Arial" w:eastAsia="Arial" w:cs="Arial"/>
          <w:sz w:val="5"/>
          <w:szCs w:val="5"/>
        </w:rPr>
      </w:pPr>
      <w:r>
        <w:rPr>
          <w:sz w:val="20"/>
          <w:szCs w:val="20"/>
        </w:rPr>
        <w:t>(1)投保人：</w:t>
      </w:r>
      <w:r>
        <w:rPr>
          <w:spacing w:val="-30"/>
          <w:sz w:val="20"/>
          <w:szCs w:val="20"/>
        </w:rPr>
        <w:t xml:space="preserve"> </w:t>
      </w:r>
      <w:r>
        <w:rPr>
          <w:spacing w:val="1"/>
          <w:sz w:val="20"/>
          <w:szCs w:val="20"/>
          <w:u w:val="single" w:color="auto"/>
        </w:rPr>
        <w:t xml:space="preserve">                             </w:t>
      </w:r>
      <w:r>
        <w:rPr>
          <w:sz w:val="20"/>
          <w:szCs w:val="20"/>
          <w:u w:val="single" w:color="auto"/>
        </w:rPr>
        <w:t xml:space="preserve">                                      </w:t>
      </w:r>
      <w:r>
        <w:rPr>
          <w:spacing w:val="-89"/>
          <w:sz w:val="20"/>
          <w:szCs w:val="20"/>
        </w:rPr>
        <w:t xml:space="preserve"> </w:t>
      </w:r>
      <w:r>
        <w:rPr>
          <w:rFonts w:ascii="Arial" w:hAnsi="Arial" w:eastAsia="Arial" w:cs="Arial"/>
          <w:position w:val="4"/>
          <w:sz w:val="5"/>
          <w:szCs w:val="5"/>
        </w:rPr>
        <w:t>_o</w:t>
      </w:r>
    </w:p>
    <w:p w14:paraId="334A3B30">
      <w:pPr>
        <w:pStyle w:val="2"/>
        <w:spacing w:before="141" w:line="184" w:lineRule="auto"/>
        <w:ind w:left="429"/>
        <w:rPr>
          <w:sz w:val="20"/>
          <w:szCs w:val="20"/>
        </w:rPr>
      </w:pPr>
      <w:r>
        <w:pict>
          <v:shape id="_x0000_s1029" o:spid="_x0000_s1029" o:spt="202" type="#_x0000_t202" style="position:absolute;left:0pt;margin-left:415.45pt;margin-top:11.5pt;height:5.25pt;width:4.15pt;z-index:251678720;mso-width-relative:page;mso-height-relative:page;" filled="f" stroked="f" coordsize="21600,21600">
            <v:path/>
            <v:fill on="f" focussize="0,0"/>
            <v:stroke on="f"/>
            <v:imagedata o:title=""/>
            <o:lock v:ext="edit" aspectratio="f"/>
            <v:textbox inset="0mm,0mm,0mm,0mm">
              <w:txbxContent>
                <w:p w14:paraId="3920005E">
                  <w:pPr>
                    <w:pStyle w:val="2"/>
                    <w:spacing w:before="19" w:line="239" w:lineRule="auto"/>
                    <w:ind w:left="20"/>
                    <w:rPr>
                      <w:sz w:val="5"/>
                      <w:szCs w:val="5"/>
                    </w:rPr>
                  </w:pPr>
                  <w:r>
                    <w:rPr>
                      <w:sz w:val="5"/>
                      <w:szCs w:val="5"/>
                    </w:rPr>
                    <w:t>□</w:t>
                  </w:r>
                </w:p>
              </w:txbxContent>
            </v:textbox>
          </v:shape>
        </w:pict>
      </w:r>
      <w:r>
        <w:rPr>
          <w:sz w:val="20"/>
          <w:szCs w:val="20"/>
        </w:rPr>
        <w:t>(2)投保内容：</w:t>
      </w:r>
      <w:r>
        <w:rPr>
          <w:spacing w:val="-30"/>
          <w:sz w:val="20"/>
          <w:szCs w:val="20"/>
        </w:rPr>
        <w:t xml:space="preserve"> </w:t>
      </w:r>
      <w:r>
        <w:rPr>
          <w:sz w:val="20"/>
          <w:szCs w:val="20"/>
          <w:u w:val="single" w:color="auto"/>
        </w:rPr>
        <w:t xml:space="preserve">                                                                  </w:t>
      </w:r>
    </w:p>
    <w:p w14:paraId="0993D4DF">
      <w:pPr>
        <w:pStyle w:val="2"/>
        <w:spacing w:before="171" w:line="219" w:lineRule="auto"/>
        <w:ind w:left="429"/>
        <w:rPr>
          <w:sz w:val="20"/>
          <w:szCs w:val="20"/>
        </w:rPr>
      </w:pPr>
      <w:r>
        <w:rPr>
          <w:spacing w:val="7"/>
          <w:sz w:val="20"/>
          <w:szCs w:val="20"/>
        </w:rPr>
        <w:t>(3)保险费率：由投保人与合同双方同意的保险人商定。</w:t>
      </w:r>
    </w:p>
    <w:sdt>
      <w:sdtPr>
        <w:rPr>
          <w:rFonts w:ascii="宋体" w:hAnsi="宋体" w:eastAsia="宋体" w:cs="宋体"/>
          <w:sz w:val="20"/>
          <w:szCs w:val="20"/>
        </w:rPr>
        <w:id w:val="147471193"/>
        <w:docPartObj>
          <w:docPartGallery w:val="Table of Contents"/>
          <w:docPartUnique/>
        </w:docPartObj>
      </w:sdtPr>
      <w:sdtEndPr>
        <w:rPr>
          <w:rFonts w:ascii="Arial" w:hAnsi="Arial" w:eastAsia="Arial" w:cs="Arial"/>
          <w:sz w:val="20"/>
          <w:szCs w:val="20"/>
        </w:rPr>
      </w:sdtEndPr>
      <w:sdtContent>
        <w:p w14:paraId="000EE840">
          <w:pPr>
            <w:pStyle w:val="2"/>
            <w:spacing w:before="183" w:line="219" w:lineRule="auto"/>
            <w:ind w:left="429"/>
            <w:rPr>
              <w:rFonts w:ascii="Times New Roman" w:hAnsi="Times New Roman" w:eastAsia="Times New Roman" w:cs="Times New Roman"/>
              <w:sz w:val="5"/>
              <w:szCs w:val="5"/>
            </w:rPr>
          </w:pPr>
          <w:r>
            <w:rPr>
              <w:sz w:val="20"/>
              <w:szCs w:val="20"/>
            </w:rPr>
            <w:t>(4)保险金额：</w:t>
          </w:r>
          <w:r>
            <w:rPr>
              <w:spacing w:val="-30"/>
              <w:sz w:val="20"/>
              <w:szCs w:val="20"/>
            </w:rPr>
            <w:t xml:space="preserve"> </w:t>
          </w:r>
          <w:r>
            <w:rPr>
              <w:spacing w:val="1"/>
              <w:sz w:val="20"/>
              <w:szCs w:val="20"/>
              <w:u w:val="single" w:color="auto"/>
            </w:rPr>
            <w:t xml:space="preserve">                             </w:t>
          </w:r>
          <w:r>
            <w:rPr>
              <w:sz w:val="20"/>
              <w:szCs w:val="20"/>
              <w:u w:val="single" w:color="auto"/>
            </w:rPr>
            <w:t xml:space="preserve">                                    </w:t>
          </w:r>
          <w:r>
            <w:rPr>
              <w:spacing w:val="-100"/>
              <w:sz w:val="20"/>
              <w:szCs w:val="20"/>
            </w:rPr>
            <w:t xml:space="preserve"> </w:t>
          </w:r>
          <w:r>
            <w:fldChar w:fldCharType="begin"/>
          </w:r>
          <w:r>
            <w:instrText xml:space="preserve"> HYPERLINK \l "bookmark296" </w:instrText>
          </w:r>
          <w:r>
            <w:fldChar w:fldCharType="separate"/>
          </w:r>
          <w:r>
            <w:rPr>
              <w:rFonts w:ascii="Times New Roman" w:hAnsi="Times New Roman" w:eastAsia="Times New Roman" w:cs="Times New Roman"/>
              <w:position w:val="3"/>
              <w:sz w:val="5"/>
              <w:szCs w:val="5"/>
            </w:rPr>
            <w:t>0</w:t>
          </w:r>
          <w:r>
            <w:rPr>
              <w:rFonts w:ascii="Times New Roman" w:hAnsi="Times New Roman" w:eastAsia="Times New Roman" w:cs="Times New Roman"/>
              <w:position w:val="3"/>
              <w:sz w:val="5"/>
              <w:szCs w:val="5"/>
            </w:rPr>
            <w:fldChar w:fldCharType="end"/>
          </w:r>
        </w:p>
        <w:p w14:paraId="68E4D4A7">
          <w:pPr>
            <w:pStyle w:val="2"/>
            <w:spacing w:before="93" w:line="212" w:lineRule="auto"/>
            <w:ind w:left="429"/>
            <w:rPr>
              <w:rFonts w:ascii="Arial" w:hAnsi="Arial" w:eastAsia="Arial" w:cs="Arial"/>
              <w:sz w:val="20"/>
              <w:szCs w:val="20"/>
            </w:rPr>
          </w:pPr>
          <w:r>
            <w:rPr>
              <w:sz w:val="20"/>
              <w:szCs w:val="20"/>
            </w:rPr>
            <w:t>(5)保险期限：</w:t>
          </w:r>
          <w:r>
            <w:rPr>
              <w:spacing w:val="-30"/>
              <w:sz w:val="20"/>
              <w:szCs w:val="20"/>
            </w:rPr>
            <w:t xml:space="preserve"> </w:t>
          </w:r>
          <w:r>
            <w:rPr>
              <w:spacing w:val="1"/>
              <w:sz w:val="20"/>
              <w:szCs w:val="20"/>
              <w:u w:val="single" w:color="auto"/>
            </w:rPr>
            <w:t xml:space="preserve">                             </w:t>
          </w:r>
          <w:r>
            <w:rPr>
              <w:sz w:val="20"/>
              <w:szCs w:val="20"/>
              <w:u w:val="single" w:color="auto"/>
            </w:rPr>
            <w:t xml:space="preserve">                                    </w:t>
          </w:r>
          <w:r>
            <w:rPr>
              <w:spacing w:val="-90"/>
              <w:sz w:val="20"/>
              <w:szCs w:val="20"/>
            </w:rPr>
            <w:t xml:space="preserve"> </w:t>
          </w:r>
          <w:r>
            <w:rPr>
              <w:rFonts w:ascii="Arial" w:hAnsi="Arial" w:eastAsia="Arial" w:cs="Arial"/>
              <w:spacing w:val="-10"/>
              <w:w w:val="37"/>
              <w:sz w:val="20"/>
              <w:szCs w:val="20"/>
            </w:rPr>
            <w:t>_</w:t>
          </w:r>
          <w:r>
            <w:rPr>
              <w:rFonts w:ascii="Arial" w:hAnsi="Arial" w:eastAsia="Arial" w:cs="Arial"/>
              <w:sz w:val="20"/>
              <w:szCs w:val="20"/>
            </w:rPr>
            <w:t>o</w:t>
          </w:r>
        </w:p>
      </w:sdtContent>
    </w:sdt>
    <w:p w14:paraId="27C7C74C">
      <w:pPr>
        <w:spacing w:line="212" w:lineRule="auto"/>
        <w:rPr>
          <w:rFonts w:ascii="Arial" w:hAnsi="Arial" w:eastAsia="Arial" w:cs="Arial"/>
          <w:sz w:val="20"/>
          <w:szCs w:val="20"/>
        </w:rPr>
        <w:sectPr>
          <w:footerReference r:id="rId168" w:type="default"/>
          <w:pgSz w:w="11910" w:h="16840"/>
          <w:pgMar w:top="400" w:right="1499" w:bottom="1024" w:left="1440" w:header="0" w:footer="889" w:gutter="0"/>
          <w:cols w:space="720" w:num="1"/>
        </w:sectPr>
      </w:pPr>
    </w:p>
    <w:p w14:paraId="4C82EB72">
      <w:pPr>
        <w:spacing w:line="271" w:lineRule="auto"/>
        <w:rPr>
          <w:rFonts w:ascii="Arial"/>
          <w:sz w:val="21"/>
        </w:rPr>
      </w:pPr>
    </w:p>
    <w:p w14:paraId="458B8499">
      <w:pPr>
        <w:spacing w:line="271" w:lineRule="auto"/>
        <w:rPr>
          <w:rFonts w:ascii="Arial"/>
          <w:sz w:val="21"/>
        </w:rPr>
      </w:pPr>
    </w:p>
    <w:p w14:paraId="4A211AE7">
      <w:pPr>
        <w:spacing w:line="271" w:lineRule="auto"/>
        <w:rPr>
          <w:rFonts w:ascii="Arial"/>
          <w:sz w:val="21"/>
        </w:rPr>
      </w:pPr>
    </w:p>
    <w:p w14:paraId="61B9959E">
      <w:pPr>
        <w:spacing w:line="272" w:lineRule="auto"/>
        <w:rPr>
          <w:rFonts w:ascii="Arial"/>
          <w:sz w:val="21"/>
        </w:rPr>
      </w:pPr>
    </w:p>
    <w:p w14:paraId="299F112C">
      <w:pPr>
        <w:spacing w:line="272" w:lineRule="auto"/>
        <w:rPr>
          <w:rFonts w:ascii="Arial"/>
          <w:sz w:val="21"/>
        </w:rPr>
      </w:pPr>
    </w:p>
    <w:p w14:paraId="57962A8D">
      <w:pPr>
        <w:spacing w:before="68" w:line="221" w:lineRule="auto"/>
        <w:ind w:left="23"/>
        <w:rPr>
          <w:rFonts w:ascii="黑体" w:hAnsi="黑体" w:eastAsia="黑体" w:cs="黑体"/>
          <w:sz w:val="21"/>
          <w:szCs w:val="21"/>
        </w:rPr>
      </w:pPr>
      <w:r>
        <w:rPr>
          <w:rFonts w:ascii="黑体" w:hAnsi="黑体" w:eastAsia="黑体" w:cs="黑体"/>
          <w:b/>
          <w:bCs/>
          <w:spacing w:val="17"/>
          <w:sz w:val="21"/>
          <w:szCs w:val="21"/>
        </w:rPr>
        <w:t>20</w:t>
      </w:r>
      <w:r>
        <w:rPr>
          <w:rFonts w:ascii="黑体" w:hAnsi="黑体" w:eastAsia="黑体" w:cs="黑体"/>
          <w:spacing w:val="-58"/>
          <w:sz w:val="21"/>
          <w:szCs w:val="21"/>
        </w:rPr>
        <w:t xml:space="preserve"> </w:t>
      </w:r>
      <w:r>
        <w:rPr>
          <w:rFonts w:ascii="黑体" w:hAnsi="黑体" w:eastAsia="黑体" w:cs="黑体"/>
          <w:b/>
          <w:bCs/>
          <w:spacing w:val="17"/>
          <w:sz w:val="21"/>
          <w:szCs w:val="21"/>
        </w:rPr>
        <w:t>.4第三者责任险</w:t>
      </w:r>
    </w:p>
    <w:p w14:paraId="526EEE95">
      <w:pPr>
        <w:pStyle w:val="2"/>
        <w:spacing w:before="156" w:line="332" w:lineRule="auto"/>
        <w:ind w:left="20" w:firstLine="419"/>
        <w:rPr>
          <w:sz w:val="17"/>
          <w:szCs w:val="17"/>
        </w:rPr>
      </w:pPr>
      <w:r>
        <w:rPr>
          <w:spacing w:val="5"/>
          <w:sz w:val="21"/>
          <w:szCs w:val="21"/>
        </w:rPr>
        <w:t>20.4.2保险金额：</w:t>
      </w:r>
      <w:r>
        <w:rPr>
          <w:spacing w:val="5"/>
          <w:sz w:val="21"/>
          <w:szCs w:val="21"/>
          <w:u w:val="single" w:color="auto"/>
        </w:rPr>
        <w:t xml:space="preserve">                  </w:t>
      </w:r>
      <w:r>
        <w:rPr>
          <w:spacing w:val="4"/>
          <w:sz w:val="21"/>
          <w:szCs w:val="21"/>
          <w:u w:val="single" w:color="auto"/>
        </w:rPr>
        <w:t xml:space="preserve">                                     </w:t>
      </w:r>
      <w:r>
        <w:rPr>
          <w:spacing w:val="-92"/>
          <w:sz w:val="21"/>
          <w:szCs w:val="21"/>
        </w:rPr>
        <w:t xml:space="preserve"> </w:t>
      </w:r>
      <w:r>
        <w:rPr>
          <w:spacing w:val="4"/>
          <w:sz w:val="21"/>
          <w:szCs w:val="21"/>
        </w:rPr>
        <w:t>,保险费</w:t>
      </w:r>
      <w:r>
        <w:rPr>
          <w:sz w:val="21"/>
          <w:szCs w:val="21"/>
        </w:rPr>
        <w:t xml:space="preserve"> </w:t>
      </w:r>
      <w:r>
        <w:rPr>
          <w:spacing w:val="-10"/>
          <w:sz w:val="22"/>
          <w:szCs w:val="22"/>
        </w:rPr>
        <w:t>率由承包人与发包人同意的保险人商定，相关保险费由</w:t>
      </w:r>
      <w:r>
        <w:rPr>
          <w:spacing w:val="-95"/>
          <w:sz w:val="22"/>
          <w:szCs w:val="22"/>
        </w:rPr>
        <w:t xml:space="preserve"> </w:t>
      </w:r>
      <w:r>
        <w:rPr>
          <w:spacing w:val="13"/>
          <w:sz w:val="22"/>
          <w:szCs w:val="22"/>
          <w:u w:val="single" w:color="auto"/>
        </w:rPr>
        <w:t xml:space="preserve">      </w:t>
      </w:r>
      <w:r>
        <w:rPr>
          <w:spacing w:val="-79"/>
          <w:sz w:val="22"/>
          <w:szCs w:val="22"/>
        </w:rPr>
        <w:t xml:space="preserve"> </w:t>
      </w:r>
      <w:r>
        <w:rPr>
          <w:spacing w:val="-10"/>
          <w:position w:val="3"/>
          <w:sz w:val="17"/>
          <w:szCs w:val="17"/>
        </w:rPr>
        <w:t>承</w:t>
      </w:r>
      <w:r>
        <w:rPr>
          <w:spacing w:val="-24"/>
          <w:position w:val="3"/>
          <w:sz w:val="17"/>
          <w:szCs w:val="17"/>
        </w:rPr>
        <w:t xml:space="preserve"> </w:t>
      </w:r>
      <w:r>
        <w:rPr>
          <w:spacing w:val="-10"/>
          <w:position w:val="3"/>
          <w:sz w:val="17"/>
          <w:szCs w:val="17"/>
        </w:rPr>
        <w:t>担</w:t>
      </w:r>
      <w:r>
        <w:rPr>
          <w:spacing w:val="-32"/>
          <w:position w:val="3"/>
          <w:sz w:val="17"/>
          <w:szCs w:val="17"/>
        </w:rPr>
        <w:t xml:space="preserve"> </w:t>
      </w:r>
      <w:r>
        <w:rPr>
          <w:spacing w:val="-10"/>
          <w:position w:val="3"/>
          <w:sz w:val="17"/>
          <w:szCs w:val="17"/>
        </w:rPr>
        <w:t>。</w:t>
      </w:r>
    </w:p>
    <w:p w14:paraId="7B86020B">
      <w:pPr>
        <w:spacing w:line="222" w:lineRule="auto"/>
        <w:ind w:left="23"/>
        <w:rPr>
          <w:rFonts w:ascii="黑体" w:hAnsi="黑体" w:eastAsia="黑体" w:cs="黑体"/>
          <w:sz w:val="21"/>
          <w:szCs w:val="21"/>
        </w:rPr>
      </w:pPr>
      <w:r>
        <w:rPr>
          <w:rFonts w:ascii="黑体" w:hAnsi="黑体" w:eastAsia="黑体" w:cs="黑体"/>
          <w:b/>
          <w:bCs/>
          <w:spacing w:val="16"/>
          <w:sz w:val="21"/>
          <w:szCs w:val="21"/>
        </w:rPr>
        <w:t>20.5其他保险</w:t>
      </w:r>
    </w:p>
    <w:p w14:paraId="5D6E3785">
      <w:pPr>
        <w:pStyle w:val="2"/>
        <w:spacing w:before="179" w:line="219" w:lineRule="auto"/>
        <w:ind w:left="439"/>
        <w:rPr>
          <w:sz w:val="21"/>
          <w:szCs w:val="21"/>
        </w:rPr>
      </w:pPr>
      <w:r>
        <w:rPr>
          <w:sz w:val="21"/>
          <w:szCs w:val="21"/>
        </w:rPr>
        <w:t>承包人应为其施工设备、进场材料和工程设备等办理的保险：</w:t>
      </w:r>
      <w:r>
        <w:rPr>
          <w:sz w:val="21"/>
          <w:szCs w:val="21"/>
          <w:u w:val="single" w:color="auto"/>
        </w:rPr>
        <w:t xml:space="preserve">                       </w:t>
      </w:r>
    </w:p>
    <w:p w14:paraId="6C1AED0A">
      <w:pPr>
        <w:spacing w:line="242" w:lineRule="auto"/>
        <w:rPr>
          <w:rFonts w:ascii="Arial"/>
          <w:sz w:val="21"/>
        </w:rPr>
      </w:pPr>
    </w:p>
    <w:p w14:paraId="0EAE17A5">
      <w:pPr>
        <w:tabs>
          <w:tab w:val="left" w:pos="8229"/>
        </w:tabs>
        <w:spacing w:before="15" w:line="188" w:lineRule="auto"/>
        <w:ind w:left="439"/>
        <w:rPr>
          <w:rFonts w:ascii="Times New Roman" w:hAnsi="Times New Roman" w:eastAsia="Times New Roman" w:cs="Times New Roman"/>
          <w:sz w:val="5"/>
          <w:szCs w:val="5"/>
        </w:rPr>
      </w:pPr>
      <w:r>
        <w:rPr>
          <w:rFonts w:ascii="Times New Roman" w:hAnsi="Times New Roman" w:eastAsia="Times New Roman" w:cs="Times New Roman"/>
          <w:sz w:val="5"/>
          <w:szCs w:val="5"/>
          <w:u w:val="single" w:color="auto"/>
        </w:rPr>
        <w:tab/>
      </w:r>
      <w:r>
        <w:rPr>
          <w:rFonts w:ascii="Times New Roman" w:hAnsi="Times New Roman" w:eastAsia="Times New Roman" w:cs="Times New Roman"/>
          <w:spacing w:val="8"/>
          <w:w w:val="103"/>
          <w:sz w:val="5"/>
          <w:szCs w:val="5"/>
        </w:rPr>
        <w:t xml:space="preserve"> </w:t>
      </w:r>
      <w:r>
        <w:rPr>
          <w:rFonts w:ascii="Times New Roman" w:hAnsi="Times New Roman" w:eastAsia="Times New Roman" w:cs="Times New Roman"/>
          <w:sz w:val="5"/>
          <w:szCs w:val="5"/>
        </w:rPr>
        <w:t>0</w:t>
      </w:r>
    </w:p>
    <w:p w14:paraId="3D9DD29A">
      <w:pPr>
        <w:spacing w:before="203" w:line="221" w:lineRule="auto"/>
        <w:ind w:left="23"/>
        <w:rPr>
          <w:rFonts w:ascii="黑体" w:hAnsi="黑体" w:eastAsia="黑体" w:cs="黑体"/>
          <w:sz w:val="21"/>
          <w:szCs w:val="21"/>
        </w:rPr>
      </w:pPr>
      <w:r>
        <w:rPr>
          <w:rFonts w:ascii="黑体" w:hAnsi="黑体" w:eastAsia="黑体" w:cs="黑体"/>
          <w:b/>
          <w:bCs/>
          <w:spacing w:val="20"/>
          <w:sz w:val="21"/>
          <w:szCs w:val="21"/>
        </w:rPr>
        <w:t>20</w:t>
      </w:r>
      <w:r>
        <w:rPr>
          <w:rFonts w:ascii="黑体" w:hAnsi="黑体" w:eastAsia="黑体" w:cs="黑体"/>
          <w:spacing w:val="-61"/>
          <w:sz w:val="21"/>
          <w:szCs w:val="21"/>
        </w:rPr>
        <w:t xml:space="preserve"> </w:t>
      </w:r>
      <w:r>
        <w:rPr>
          <w:rFonts w:ascii="黑体" w:hAnsi="黑体" w:eastAsia="黑体" w:cs="黑体"/>
          <w:b/>
          <w:bCs/>
          <w:spacing w:val="20"/>
          <w:sz w:val="21"/>
          <w:szCs w:val="21"/>
        </w:rPr>
        <w:t>.6对各项保险的一般要求</w:t>
      </w:r>
    </w:p>
    <w:p w14:paraId="1E2D46FE">
      <w:pPr>
        <w:spacing w:before="189" w:line="221" w:lineRule="auto"/>
        <w:ind w:left="23"/>
        <w:rPr>
          <w:rFonts w:ascii="黑体" w:hAnsi="黑体" w:eastAsia="黑体" w:cs="黑体"/>
          <w:sz w:val="21"/>
          <w:szCs w:val="21"/>
        </w:rPr>
      </w:pPr>
      <w:r>
        <w:rPr>
          <w:rFonts w:ascii="黑体" w:hAnsi="黑体" w:eastAsia="黑体" w:cs="黑体"/>
          <w:b/>
          <w:bCs/>
          <w:spacing w:val="4"/>
          <w:sz w:val="21"/>
          <w:szCs w:val="21"/>
        </w:rPr>
        <w:t>20.6.1保险凭证</w:t>
      </w:r>
    </w:p>
    <w:p w14:paraId="7099D98C">
      <w:pPr>
        <w:pStyle w:val="2"/>
        <w:spacing w:before="242" w:line="219" w:lineRule="auto"/>
        <w:ind w:left="439"/>
        <w:rPr>
          <w:sz w:val="20"/>
          <w:szCs w:val="20"/>
        </w:rPr>
      </w:pPr>
      <w:r>
        <w:rPr>
          <w:spacing w:val="5"/>
          <w:sz w:val="20"/>
          <w:szCs w:val="20"/>
        </w:rPr>
        <w:t xml:space="preserve">承包人向发包人提交各项保险生效的证据和保险单副本的期限： </w:t>
      </w:r>
      <w:r>
        <w:rPr>
          <w:sz w:val="20"/>
          <w:szCs w:val="20"/>
          <w:u w:val="single" w:color="auto"/>
        </w:rPr>
        <w:t xml:space="preserve">                     </w:t>
      </w:r>
    </w:p>
    <w:p w14:paraId="5DC9D085">
      <w:pPr>
        <w:tabs>
          <w:tab w:val="left" w:pos="8279"/>
        </w:tabs>
        <w:spacing w:before="163"/>
        <w:ind w:left="20"/>
        <w:rPr>
          <w:rFonts w:ascii="Arial"/>
          <w:sz w:val="21"/>
        </w:rPr>
      </w:pPr>
      <w:r>
        <w:rPr>
          <w:rFonts w:ascii="Arial" w:hAnsi="Arial" w:eastAsia="Arial" w:cs="Arial"/>
          <w:sz w:val="21"/>
          <w:szCs w:val="21"/>
          <w:u w:val="single" w:color="auto"/>
        </w:rPr>
        <w:tab/>
      </w:r>
    </w:p>
    <w:p w14:paraId="3A59FDF4">
      <w:pPr>
        <w:spacing w:before="196" w:line="222" w:lineRule="auto"/>
        <w:ind w:left="23"/>
        <w:rPr>
          <w:rFonts w:ascii="黑体" w:hAnsi="黑体" w:eastAsia="黑体" w:cs="黑体"/>
          <w:sz w:val="21"/>
          <w:szCs w:val="21"/>
        </w:rPr>
      </w:pPr>
      <w:r>
        <w:rPr>
          <w:rFonts w:ascii="黑体" w:hAnsi="黑体" w:eastAsia="黑体" w:cs="黑体"/>
          <w:b/>
          <w:bCs/>
          <w:spacing w:val="2"/>
          <w:sz w:val="21"/>
          <w:szCs w:val="21"/>
        </w:rPr>
        <w:t>20.6.4保险金不足的补偿</w:t>
      </w:r>
    </w:p>
    <w:p w14:paraId="2C8041F0">
      <w:pPr>
        <w:pStyle w:val="2"/>
        <w:spacing w:before="271" w:line="219" w:lineRule="auto"/>
        <w:ind w:left="439"/>
        <w:rPr>
          <w:sz w:val="21"/>
          <w:szCs w:val="21"/>
        </w:rPr>
      </w:pPr>
      <w:r>
        <w:rPr>
          <w:sz w:val="21"/>
          <w:szCs w:val="21"/>
        </w:rPr>
        <w:t>保险金不足以补偿损失时，承包人和发包人负责补偿的责任分摊：</w:t>
      </w:r>
      <w:r>
        <w:rPr>
          <w:sz w:val="21"/>
          <w:szCs w:val="21"/>
          <w:u w:val="single" w:color="auto"/>
        </w:rPr>
        <w:t xml:space="preserve">                    </w:t>
      </w:r>
    </w:p>
    <w:p w14:paraId="1B61C650">
      <w:pPr>
        <w:tabs>
          <w:tab w:val="left" w:pos="8229"/>
        </w:tabs>
        <w:spacing w:before="248" w:line="142" w:lineRule="auto"/>
        <w:ind w:left="20"/>
        <w:rPr>
          <w:rFonts w:ascii="Times New Roman" w:hAnsi="Times New Roman" w:eastAsia="Times New Roman" w:cs="Times New Roman"/>
          <w:sz w:val="8"/>
          <w:szCs w:val="8"/>
        </w:rPr>
      </w:pPr>
      <w:r>
        <w:rPr>
          <w:rFonts w:ascii="Times New Roman" w:hAnsi="Times New Roman" w:eastAsia="Times New Roman" w:cs="Times New Roman"/>
          <w:sz w:val="8"/>
          <w:szCs w:val="8"/>
          <w:u w:val="single" w:color="auto"/>
        </w:rPr>
        <w:tab/>
      </w:r>
      <w:r>
        <w:rPr>
          <w:rFonts w:ascii="Times New Roman" w:hAnsi="Times New Roman" w:eastAsia="Times New Roman" w:cs="Times New Roman"/>
          <w:sz w:val="8"/>
          <w:szCs w:val="8"/>
        </w:rPr>
        <w:t xml:space="preserve"> </w:t>
      </w:r>
      <w:r>
        <w:rPr>
          <w:rFonts w:ascii="Times New Roman" w:hAnsi="Times New Roman" w:eastAsia="Times New Roman" w:cs="Times New Roman"/>
          <w:sz w:val="8"/>
          <w:szCs w:val="8"/>
          <w:u w:val="dotted" w:color="auto"/>
        </w:rPr>
        <w:t xml:space="preserve">  </w:t>
      </w:r>
      <w:r>
        <w:rPr>
          <w:rFonts w:ascii="Times New Roman" w:hAnsi="Times New Roman" w:eastAsia="Times New Roman" w:cs="Times New Roman"/>
          <w:spacing w:val="-17"/>
          <w:sz w:val="8"/>
          <w:szCs w:val="8"/>
        </w:rPr>
        <w:t xml:space="preserve"> </w:t>
      </w:r>
      <w:r>
        <w:rPr>
          <w:rFonts w:ascii="Times New Roman" w:hAnsi="Times New Roman" w:eastAsia="Times New Roman" w:cs="Times New Roman"/>
          <w:sz w:val="8"/>
          <w:szCs w:val="8"/>
        </w:rPr>
        <w:t>o</w:t>
      </w:r>
    </w:p>
    <w:p w14:paraId="1555024D">
      <w:pPr>
        <w:pStyle w:val="2"/>
        <w:spacing w:before="265" w:line="221" w:lineRule="auto"/>
        <w:ind w:left="23"/>
        <w:rPr>
          <w:rFonts w:ascii="黑体" w:hAnsi="黑体" w:eastAsia="黑体" w:cs="黑体"/>
          <w:sz w:val="27"/>
          <w:szCs w:val="27"/>
        </w:rPr>
      </w:pPr>
      <w:r>
        <w:rPr>
          <w:b/>
          <w:bCs/>
          <w:spacing w:val="1"/>
          <w:sz w:val="27"/>
          <w:szCs w:val="27"/>
        </w:rPr>
        <w:t>21.</w:t>
      </w:r>
      <w:r>
        <w:rPr>
          <w:rFonts w:ascii="黑体" w:hAnsi="黑体" w:eastAsia="黑体" w:cs="黑体"/>
          <w:b/>
          <w:bCs/>
          <w:spacing w:val="1"/>
          <w:sz w:val="27"/>
          <w:szCs w:val="27"/>
        </w:rPr>
        <w:t>不可抗力</w:t>
      </w:r>
    </w:p>
    <w:p w14:paraId="4BBA29C4">
      <w:pPr>
        <w:spacing w:before="135" w:line="221" w:lineRule="auto"/>
        <w:ind w:left="23"/>
        <w:rPr>
          <w:rFonts w:ascii="黑体" w:hAnsi="黑体" w:eastAsia="黑体" w:cs="黑体"/>
          <w:sz w:val="21"/>
          <w:szCs w:val="21"/>
        </w:rPr>
      </w:pPr>
      <w:r>
        <w:rPr>
          <w:rFonts w:ascii="黑体" w:hAnsi="黑体" w:eastAsia="黑体" w:cs="黑体"/>
          <w:b/>
          <w:bCs/>
          <w:spacing w:val="13"/>
          <w:sz w:val="21"/>
          <w:szCs w:val="21"/>
        </w:rPr>
        <w:t>21</w:t>
      </w:r>
      <w:r>
        <w:rPr>
          <w:rFonts w:ascii="黑体" w:hAnsi="黑体" w:eastAsia="黑体" w:cs="黑体"/>
          <w:spacing w:val="-57"/>
          <w:sz w:val="21"/>
          <w:szCs w:val="21"/>
        </w:rPr>
        <w:t xml:space="preserve"> </w:t>
      </w:r>
      <w:r>
        <w:rPr>
          <w:rFonts w:ascii="黑体" w:hAnsi="黑体" w:eastAsia="黑体" w:cs="黑体"/>
          <w:b/>
          <w:bCs/>
          <w:spacing w:val="13"/>
          <w:sz w:val="21"/>
          <w:szCs w:val="21"/>
        </w:rPr>
        <w:t>.</w:t>
      </w:r>
      <w:r>
        <w:rPr>
          <w:rFonts w:ascii="黑体" w:hAnsi="黑体" w:eastAsia="黑体" w:cs="黑体"/>
          <w:spacing w:val="-60"/>
          <w:sz w:val="21"/>
          <w:szCs w:val="21"/>
        </w:rPr>
        <w:t xml:space="preserve"> </w:t>
      </w:r>
      <w:r>
        <w:rPr>
          <w:rFonts w:ascii="黑体" w:hAnsi="黑体" w:eastAsia="黑体" w:cs="黑体"/>
          <w:b/>
          <w:bCs/>
          <w:spacing w:val="13"/>
          <w:sz w:val="21"/>
          <w:szCs w:val="21"/>
        </w:rPr>
        <w:t>1不可抗力的确认</w:t>
      </w:r>
    </w:p>
    <w:p w14:paraId="461D37A3">
      <w:pPr>
        <w:pStyle w:val="2"/>
        <w:spacing w:before="164" w:line="219" w:lineRule="auto"/>
        <w:ind w:left="439"/>
        <w:rPr>
          <w:sz w:val="21"/>
          <w:szCs w:val="21"/>
        </w:rPr>
      </w:pPr>
      <w:r>
        <w:rPr>
          <w:spacing w:val="2"/>
          <w:sz w:val="21"/>
          <w:szCs w:val="21"/>
        </w:rPr>
        <w:t>21.1.1通用合同条款第21.1.1项</w:t>
      </w:r>
      <w:r>
        <w:rPr>
          <w:spacing w:val="1"/>
          <w:sz w:val="21"/>
          <w:szCs w:val="21"/>
        </w:rPr>
        <w:t>约定的不可抗力以外的其他情形：</w:t>
      </w:r>
      <w:r>
        <w:rPr>
          <w:spacing w:val="1"/>
          <w:sz w:val="21"/>
          <w:szCs w:val="21"/>
          <w:u w:val="single" w:color="auto"/>
        </w:rPr>
        <w:t xml:space="preserve">                   </w:t>
      </w:r>
    </w:p>
    <w:p w14:paraId="7D331FE4">
      <w:pPr>
        <w:tabs>
          <w:tab w:val="left" w:pos="8269"/>
        </w:tabs>
        <w:spacing w:before="140"/>
        <w:rPr>
          <w:rFonts w:ascii="Arial"/>
          <w:sz w:val="21"/>
        </w:rPr>
      </w:pPr>
      <w:r>
        <w:rPr>
          <w:rFonts w:ascii="Arial" w:hAnsi="Arial" w:eastAsia="Arial" w:cs="Arial"/>
          <w:sz w:val="21"/>
          <w:szCs w:val="21"/>
          <w:u w:val="single" w:color="auto"/>
        </w:rPr>
        <w:tab/>
      </w:r>
    </w:p>
    <w:p w14:paraId="14C6E67C">
      <w:pPr>
        <w:pStyle w:val="2"/>
        <w:spacing w:before="139" w:line="219" w:lineRule="auto"/>
        <w:ind w:left="439"/>
        <w:rPr>
          <w:sz w:val="21"/>
          <w:szCs w:val="21"/>
        </w:rPr>
      </w:pPr>
      <w:r>
        <w:rPr>
          <w:spacing w:val="-1"/>
          <w:sz w:val="21"/>
          <w:szCs w:val="21"/>
        </w:rPr>
        <w:t>不可抗力的等级范围约定：</w:t>
      </w:r>
      <w:r>
        <w:rPr>
          <w:spacing w:val="-1"/>
          <w:sz w:val="21"/>
          <w:szCs w:val="21"/>
          <w:u w:val="single" w:color="auto"/>
        </w:rPr>
        <w:t xml:space="preserve">                                                     </w:t>
      </w:r>
    </w:p>
    <w:p w14:paraId="4A404F9C">
      <w:pPr>
        <w:spacing w:line="279" w:lineRule="auto"/>
        <w:rPr>
          <w:rFonts w:ascii="Arial"/>
          <w:sz w:val="21"/>
        </w:rPr>
      </w:pPr>
    </w:p>
    <w:p w14:paraId="40BD8B43">
      <w:pPr>
        <w:tabs>
          <w:tab w:val="left" w:pos="8229"/>
        </w:tabs>
        <w:spacing w:before="15" w:line="156" w:lineRule="auto"/>
        <w:ind w:left="20"/>
        <w:rPr>
          <w:rFonts w:ascii="Arial" w:hAnsi="Arial" w:eastAsia="Arial" w:cs="Arial"/>
          <w:sz w:val="5"/>
          <w:szCs w:val="5"/>
        </w:rPr>
      </w:pPr>
      <w:r>
        <w:rPr>
          <w:rFonts w:ascii="Arial" w:hAnsi="Arial" w:eastAsia="Arial" w:cs="Arial"/>
          <w:sz w:val="5"/>
          <w:szCs w:val="5"/>
          <w:u w:val="single" w:color="auto"/>
        </w:rPr>
        <w:tab/>
      </w:r>
      <w:r>
        <w:rPr>
          <w:rFonts w:ascii="Arial" w:hAnsi="Arial" w:eastAsia="Arial" w:cs="Arial"/>
          <w:spacing w:val="7"/>
          <w:w w:val="102"/>
          <w:sz w:val="5"/>
          <w:szCs w:val="5"/>
        </w:rPr>
        <w:t xml:space="preserve"> </w:t>
      </w:r>
      <w:r>
        <w:rPr>
          <w:rFonts w:ascii="Arial" w:hAnsi="Arial" w:eastAsia="Arial" w:cs="Arial"/>
          <w:sz w:val="5"/>
          <w:szCs w:val="5"/>
        </w:rPr>
        <w:t>_o</w:t>
      </w:r>
    </w:p>
    <w:p w14:paraId="6285E11C">
      <w:pPr>
        <w:spacing w:before="213" w:line="221" w:lineRule="auto"/>
        <w:ind w:left="23"/>
        <w:rPr>
          <w:rFonts w:ascii="黑体" w:hAnsi="黑体" w:eastAsia="黑体" w:cs="黑体"/>
          <w:sz w:val="21"/>
          <w:szCs w:val="21"/>
        </w:rPr>
      </w:pPr>
      <w:r>
        <w:rPr>
          <w:rFonts w:ascii="黑体" w:hAnsi="黑体" w:eastAsia="黑体" w:cs="黑体"/>
          <w:b/>
          <w:bCs/>
          <w:spacing w:val="19"/>
          <w:sz w:val="21"/>
          <w:szCs w:val="21"/>
        </w:rPr>
        <w:t>21</w:t>
      </w:r>
      <w:r>
        <w:rPr>
          <w:rFonts w:ascii="黑体" w:hAnsi="黑体" w:eastAsia="黑体" w:cs="黑体"/>
          <w:spacing w:val="-51"/>
          <w:sz w:val="21"/>
          <w:szCs w:val="21"/>
        </w:rPr>
        <w:t xml:space="preserve"> </w:t>
      </w:r>
      <w:r>
        <w:rPr>
          <w:rFonts w:ascii="黑体" w:hAnsi="黑体" w:eastAsia="黑体" w:cs="黑体"/>
          <w:b/>
          <w:bCs/>
          <w:spacing w:val="19"/>
          <w:sz w:val="21"/>
          <w:szCs w:val="21"/>
        </w:rPr>
        <w:t>.3不可抗力后果及其处理</w:t>
      </w:r>
    </w:p>
    <w:p w14:paraId="2349DD2D">
      <w:pPr>
        <w:spacing w:before="229" w:line="221" w:lineRule="auto"/>
        <w:ind w:left="23"/>
        <w:rPr>
          <w:rFonts w:ascii="黑体" w:hAnsi="黑体" w:eastAsia="黑体" w:cs="黑体"/>
          <w:sz w:val="21"/>
          <w:szCs w:val="21"/>
        </w:rPr>
      </w:pPr>
      <w:r>
        <w:rPr>
          <w:rFonts w:ascii="黑体" w:hAnsi="黑体" w:eastAsia="黑体" w:cs="黑体"/>
          <w:b/>
          <w:bCs/>
          <w:spacing w:val="1"/>
          <w:sz w:val="21"/>
          <w:szCs w:val="21"/>
        </w:rPr>
        <w:t>21.3.1不可抗力造成损害的责任</w:t>
      </w:r>
    </w:p>
    <w:p w14:paraId="6BD9BB27">
      <w:pPr>
        <w:pStyle w:val="2"/>
        <w:spacing w:before="212" w:line="354" w:lineRule="auto"/>
        <w:ind w:left="20" w:right="27" w:firstLine="419"/>
        <w:rPr>
          <w:sz w:val="21"/>
          <w:szCs w:val="21"/>
        </w:rPr>
      </w:pPr>
      <w:r>
        <w:rPr>
          <w:spacing w:val="2"/>
          <w:sz w:val="21"/>
          <w:szCs w:val="21"/>
        </w:rPr>
        <w:t xml:space="preserve">不可抗力导致的人员伤亡、财产损失、费用增加和(或)工期延误等后果，由合同双方按通用 </w:t>
      </w:r>
      <w:r>
        <w:rPr>
          <w:spacing w:val="4"/>
          <w:sz w:val="21"/>
          <w:szCs w:val="21"/>
        </w:rPr>
        <w:t>合同条款第21.3.1项约定的原则承担。</w:t>
      </w:r>
    </w:p>
    <w:p w14:paraId="7CFF655D">
      <w:pPr>
        <w:pStyle w:val="2"/>
        <w:spacing w:before="53" w:line="222" w:lineRule="auto"/>
        <w:ind w:left="23"/>
        <w:rPr>
          <w:rFonts w:ascii="黑体" w:hAnsi="黑体" w:eastAsia="黑体" w:cs="黑体"/>
          <w:sz w:val="27"/>
          <w:szCs w:val="27"/>
        </w:rPr>
      </w:pPr>
      <w:r>
        <w:rPr>
          <w:b/>
          <w:bCs/>
          <w:spacing w:val="2"/>
          <w:sz w:val="27"/>
          <w:szCs w:val="27"/>
        </w:rPr>
        <w:t>24.</w:t>
      </w:r>
      <w:r>
        <w:rPr>
          <w:rFonts w:ascii="黑体" w:hAnsi="黑体" w:eastAsia="黑体" w:cs="黑体"/>
          <w:b/>
          <w:bCs/>
          <w:spacing w:val="2"/>
          <w:sz w:val="27"/>
          <w:szCs w:val="27"/>
        </w:rPr>
        <w:t>争议的解决</w:t>
      </w:r>
    </w:p>
    <w:p w14:paraId="2A6B4C49">
      <w:pPr>
        <w:spacing w:before="113" w:line="221" w:lineRule="auto"/>
        <w:ind w:left="23"/>
        <w:rPr>
          <w:rFonts w:ascii="黑体" w:hAnsi="黑体" w:eastAsia="黑体" w:cs="黑体"/>
          <w:sz w:val="21"/>
          <w:szCs w:val="21"/>
        </w:rPr>
      </w:pPr>
      <w:r>
        <w:rPr>
          <w:rFonts w:ascii="黑体" w:hAnsi="黑体" w:eastAsia="黑体" w:cs="黑体"/>
          <w:b/>
          <w:bCs/>
          <w:spacing w:val="14"/>
          <w:sz w:val="21"/>
          <w:szCs w:val="21"/>
        </w:rPr>
        <w:t>24</w:t>
      </w:r>
      <w:r>
        <w:rPr>
          <w:rFonts w:ascii="黑体" w:hAnsi="黑体" w:eastAsia="黑体" w:cs="黑体"/>
          <w:spacing w:val="-50"/>
          <w:sz w:val="21"/>
          <w:szCs w:val="21"/>
        </w:rPr>
        <w:t xml:space="preserve"> </w:t>
      </w:r>
      <w:r>
        <w:rPr>
          <w:rFonts w:ascii="黑体" w:hAnsi="黑体" w:eastAsia="黑体" w:cs="黑体"/>
          <w:b/>
          <w:bCs/>
          <w:spacing w:val="14"/>
          <w:sz w:val="21"/>
          <w:szCs w:val="21"/>
        </w:rPr>
        <w:t>.</w:t>
      </w:r>
      <w:r>
        <w:rPr>
          <w:rFonts w:ascii="黑体" w:hAnsi="黑体" w:eastAsia="黑体" w:cs="黑体"/>
          <w:spacing w:val="-58"/>
          <w:sz w:val="21"/>
          <w:szCs w:val="21"/>
        </w:rPr>
        <w:t xml:space="preserve"> </w:t>
      </w:r>
      <w:r>
        <w:rPr>
          <w:rFonts w:ascii="黑体" w:hAnsi="黑体" w:eastAsia="黑体" w:cs="黑体"/>
          <w:b/>
          <w:bCs/>
          <w:spacing w:val="14"/>
          <w:sz w:val="21"/>
          <w:szCs w:val="21"/>
        </w:rPr>
        <w:t>1争议的解决方式</w:t>
      </w:r>
    </w:p>
    <w:p w14:paraId="7AF273BC">
      <w:pPr>
        <w:pStyle w:val="2"/>
        <w:spacing w:before="182" w:line="346" w:lineRule="auto"/>
        <w:ind w:left="20" w:right="34" w:firstLine="419"/>
        <w:rPr>
          <w:sz w:val="21"/>
          <w:szCs w:val="21"/>
        </w:rPr>
      </w:pPr>
      <w:r>
        <w:rPr>
          <w:spacing w:val="2"/>
          <w:sz w:val="21"/>
          <w:szCs w:val="21"/>
        </w:rPr>
        <w:t>因本合同引起的或与本合同有关的任何争议，合同双方友好协商不成、不愿提请争议</w:t>
      </w:r>
      <w:r>
        <w:rPr>
          <w:spacing w:val="1"/>
          <w:sz w:val="21"/>
          <w:szCs w:val="21"/>
        </w:rPr>
        <w:t>组评审</w:t>
      </w:r>
      <w:r>
        <w:rPr>
          <w:sz w:val="21"/>
          <w:szCs w:val="21"/>
        </w:rPr>
        <w:t xml:space="preserve"> </w:t>
      </w:r>
      <w:r>
        <w:rPr>
          <w:spacing w:val="-4"/>
          <w:sz w:val="21"/>
          <w:szCs w:val="21"/>
        </w:rPr>
        <w:t>或者不愿接受争议评审组意见的，选择下列第</w:t>
      </w:r>
      <w:r>
        <w:rPr>
          <w:spacing w:val="-4"/>
          <w:sz w:val="21"/>
          <w:szCs w:val="21"/>
          <w:u w:val="single" w:color="auto"/>
        </w:rPr>
        <w:t xml:space="preserve">        </w:t>
      </w:r>
      <w:r>
        <w:rPr>
          <w:spacing w:val="-90"/>
          <w:sz w:val="21"/>
          <w:szCs w:val="21"/>
        </w:rPr>
        <w:t xml:space="preserve"> </w:t>
      </w:r>
      <w:r>
        <w:rPr>
          <w:spacing w:val="-4"/>
          <w:sz w:val="21"/>
          <w:szCs w:val="21"/>
        </w:rPr>
        <w:t>种方式解决：</w:t>
      </w:r>
    </w:p>
    <w:p w14:paraId="688B6A90">
      <w:pPr>
        <w:pStyle w:val="2"/>
        <w:spacing w:before="3" w:line="286" w:lineRule="auto"/>
        <w:ind w:left="20" w:right="3" w:firstLine="509"/>
        <w:rPr>
          <w:sz w:val="21"/>
          <w:szCs w:val="21"/>
        </w:rPr>
      </w:pPr>
      <w:r>
        <w:rPr>
          <w:sz w:val="21"/>
          <w:szCs w:val="21"/>
          <w:u w:val="single" w:color="auto"/>
        </w:rPr>
        <w:t>( 壹 )</w:t>
      </w:r>
      <w:r>
        <w:rPr>
          <w:sz w:val="21"/>
          <w:szCs w:val="21"/>
        </w:rPr>
        <w:t>提请</w:t>
      </w:r>
      <w:r>
        <w:rPr>
          <w:spacing w:val="-66"/>
          <w:sz w:val="21"/>
          <w:szCs w:val="21"/>
        </w:rPr>
        <w:t xml:space="preserve"> </w:t>
      </w:r>
      <w:r>
        <w:rPr>
          <w:sz w:val="21"/>
          <w:szCs w:val="21"/>
          <w:u w:val="single" w:color="auto"/>
        </w:rPr>
        <w:t xml:space="preserve">            </w:t>
      </w:r>
      <w:r>
        <w:rPr>
          <w:sz w:val="21"/>
          <w:szCs w:val="21"/>
        </w:rPr>
        <w:t>仲裁委员会按照该</w:t>
      </w:r>
      <w:r>
        <w:rPr>
          <w:spacing w:val="-1"/>
          <w:sz w:val="21"/>
          <w:szCs w:val="21"/>
        </w:rPr>
        <w:t>会仲裁规则进行仲裁，仲裁裁决是终局的，对合</w:t>
      </w:r>
      <w:r>
        <w:rPr>
          <w:sz w:val="21"/>
          <w:szCs w:val="21"/>
        </w:rPr>
        <w:t xml:space="preserve"> </w:t>
      </w:r>
      <w:r>
        <w:rPr>
          <w:spacing w:val="-4"/>
          <w:sz w:val="21"/>
          <w:szCs w:val="21"/>
        </w:rPr>
        <w:t>同双方均有约束力。</w:t>
      </w:r>
    </w:p>
    <w:p w14:paraId="23BF3F0A">
      <w:pPr>
        <w:pStyle w:val="2"/>
        <w:spacing w:before="150" w:line="219" w:lineRule="auto"/>
        <w:ind w:left="550"/>
        <w:rPr>
          <w:sz w:val="21"/>
          <w:szCs w:val="21"/>
        </w:rPr>
      </w:pPr>
      <w:r>
        <w:rPr>
          <w:spacing w:val="-6"/>
          <w:sz w:val="21"/>
          <w:szCs w:val="21"/>
          <w:u w:val="single" w:color="auto"/>
        </w:rPr>
        <w:t>( 贰 )</w:t>
      </w:r>
      <w:r>
        <w:rPr>
          <w:spacing w:val="-6"/>
          <w:sz w:val="21"/>
          <w:szCs w:val="21"/>
        </w:rPr>
        <w:t>向有管辖权的人民法院提起诉讼。</w:t>
      </w:r>
    </w:p>
    <w:p w14:paraId="7FAFFFE5">
      <w:pPr>
        <w:spacing w:before="127" w:line="222" w:lineRule="auto"/>
        <w:ind w:left="23"/>
        <w:rPr>
          <w:rFonts w:ascii="黑体" w:hAnsi="黑体" w:eastAsia="黑体" w:cs="黑体"/>
          <w:sz w:val="21"/>
          <w:szCs w:val="21"/>
        </w:rPr>
      </w:pPr>
      <w:r>
        <w:rPr>
          <w:rFonts w:ascii="黑体" w:hAnsi="黑体" w:eastAsia="黑体" w:cs="黑体"/>
          <w:b/>
          <w:bCs/>
          <w:spacing w:val="17"/>
          <w:sz w:val="21"/>
          <w:szCs w:val="21"/>
        </w:rPr>
        <w:t>24.3争议评审</w:t>
      </w:r>
    </w:p>
    <w:p w14:paraId="5E15FEA5">
      <w:pPr>
        <w:pStyle w:val="2"/>
        <w:spacing w:before="191" w:line="219" w:lineRule="auto"/>
        <w:ind w:left="439"/>
        <w:rPr>
          <w:rFonts w:ascii="Arial" w:hAnsi="Arial" w:eastAsia="Arial" w:cs="Arial"/>
          <w:sz w:val="8"/>
          <w:szCs w:val="8"/>
        </w:rPr>
      </w:pPr>
      <w:r>
        <w:rPr>
          <w:sz w:val="21"/>
          <w:szCs w:val="21"/>
        </w:rPr>
        <w:t>24.3.4争议评审组邀请合同双方代表人和有关人员举行调查会的期限：</w:t>
      </w:r>
      <w:r>
        <w:rPr>
          <w:spacing w:val="-14"/>
          <w:sz w:val="21"/>
          <w:szCs w:val="21"/>
        </w:rPr>
        <w:t xml:space="preserve"> </w:t>
      </w:r>
      <w:r>
        <w:rPr>
          <w:spacing w:val="16"/>
          <w:sz w:val="21"/>
          <w:szCs w:val="21"/>
          <w:u w:val="single" w:color="auto"/>
        </w:rPr>
        <w:t xml:space="preserve">      </w:t>
      </w:r>
      <w:r>
        <w:rPr>
          <w:rFonts w:ascii="Arial" w:hAnsi="Arial" w:eastAsia="Arial" w:cs="Arial"/>
          <w:position w:val="4"/>
          <w:sz w:val="8"/>
          <w:szCs w:val="8"/>
        </w:rPr>
        <w:t>_o</w:t>
      </w:r>
    </w:p>
    <w:p w14:paraId="1F256118">
      <w:pPr>
        <w:spacing w:line="219" w:lineRule="auto"/>
        <w:rPr>
          <w:rFonts w:ascii="Arial" w:hAnsi="Arial" w:eastAsia="Arial" w:cs="Arial"/>
          <w:sz w:val="8"/>
          <w:szCs w:val="8"/>
        </w:rPr>
        <w:sectPr>
          <w:footerReference r:id="rId169" w:type="default"/>
          <w:pgSz w:w="11910" w:h="16840"/>
          <w:pgMar w:top="400" w:right="1526" w:bottom="1024" w:left="1430" w:header="0" w:footer="889" w:gutter="0"/>
          <w:cols w:space="720" w:num="1"/>
        </w:sectPr>
      </w:pPr>
    </w:p>
    <w:p w14:paraId="696E8741">
      <w:pPr>
        <w:spacing w:line="276" w:lineRule="auto"/>
        <w:rPr>
          <w:rFonts w:ascii="Arial"/>
          <w:sz w:val="21"/>
        </w:rPr>
      </w:pPr>
    </w:p>
    <w:p w14:paraId="0400883C">
      <w:pPr>
        <w:spacing w:line="276" w:lineRule="auto"/>
        <w:rPr>
          <w:rFonts w:ascii="Arial"/>
          <w:sz w:val="21"/>
        </w:rPr>
      </w:pPr>
    </w:p>
    <w:p w14:paraId="5A35836C">
      <w:pPr>
        <w:spacing w:line="276" w:lineRule="auto"/>
        <w:rPr>
          <w:rFonts w:ascii="Arial"/>
          <w:sz w:val="21"/>
        </w:rPr>
      </w:pPr>
    </w:p>
    <w:p w14:paraId="446C1B67">
      <w:pPr>
        <w:spacing w:line="276" w:lineRule="auto"/>
        <w:rPr>
          <w:rFonts w:ascii="Arial"/>
          <w:sz w:val="21"/>
        </w:rPr>
      </w:pPr>
    </w:p>
    <w:p w14:paraId="2DE51AC4">
      <w:pPr>
        <w:spacing w:line="276" w:lineRule="auto"/>
        <w:rPr>
          <w:rFonts w:ascii="Arial"/>
          <w:sz w:val="21"/>
        </w:rPr>
      </w:pPr>
    </w:p>
    <w:p w14:paraId="4BCFA6ED">
      <w:pPr>
        <w:pStyle w:val="2"/>
        <w:spacing w:before="68" w:line="219" w:lineRule="auto"/>
        <w:ind w:left="103"/>
        <w:rPr>
          <w:rFonts w:ascii="Arial" w:hAnsi="Arial" w:eastAsia="Arial" w:cs="Arial"/>
          <w:sz w:val="8"/>
          <w:szCs w:val="8"/>
        </w:rPr>
      </w:pPr>
      <w:r>
        <w:rPr>
          <w:sz w:val="21"/>
          <w:szCs w:val="21"/>
        </w:rPr>
        <w:t>24.3.5争议评审组在调查会后作出争议评审意见的期限：</w:t>
      </w:r>
      <w:r>
        <w:rPr>
          <w:spacing w:val="-37"/>
          <w:sz w:val="21"/>
          <w:szCs w:val="21"/>
        </w:rPr>
        <w:t xml:space="preserve"> </w:t>
      </w:r>
      <w:r>
        <w:rPr>
          <w:sz w:val="21"/>
          <w:szCs w:val="21"/>
          <w:u w:val="single" w:color="auto"/>
        </w:rPr>
        <w:t xml:space="preserve">                   </w:t>
      </w:r>
      <w:r>
        <w:rPr>
          <w:spacing w:val="-79"/>
          <w:sz w:val="21"/>
          <w:szCs w:val="21"/>
        </w:rPr>
        <w:t xml:space="preserve"> </w:t>
      </w:r>
      <w:r>
        <w:rPr>
          <w:rFonts w:ascii="Arial" w:hAnsi="Arial" w:eastAsia="Arial" w:cs="Arial"/>
          <w:position w:val="2"/>
          <w:sz w:val="8"/>
          <w:szCs w:val="8"/>
        </w:rPr>
        <w:t>n</w:t>
      </w:r>
    </w:p>
    <w:p w14:paraId="20197613">
      <w:pPr>
        <w:spacing w:line="219" w:lineRule="auto"/>
        <w:rPr>
          <w:rFonts w:ascii="Arial" w:hAnsi="Arial" w:eastAsia="Arial" w:cs="Arial"/>
          <w:sz w:val="8"/>
          <w:szCs w:val="8"/>
        </w:rPr>
        <w:sectPr>
          <w:footerReference r:id="rId170" w:type="default"/>
          <w:pgSz w:w="11910" w:h="16840"/>
          <w:pgMar w:top="400" w:right="1786" w:bottom="1024" w:left="1786" w:header="0" w:footer="889" w:gutter="0"/>
          <w:cols w:space="720" w:num="1"/>
        </w:sectPr>
      </w:pPr>
    </w:p>
    <w:p w14:paraId="0A937B29">
      <w:pPr>
        <w:spacing w:line="272" w:lineRule="auto"/>
        <w:rPr>
          <w:rFonts w:ascii="Arial"/>
          <w:sz w:val="21"/>
        </w:rPr>
      </w:pPr>
    </w:p>
    <w:p w14:paraId="4C1C9353">
      <w:pPr>
        <w:spacing w:line="272" w:lineRule="auto"/>
        <w:rPr>
          <w:rFonts w:ascii="Arial"/>
          <w:sz w:val="21"/>
        </w:rPr>
      </w:pPr>
    </w:p>
    <w:p w14:paraId="433F27B4">
      <w:pPr>
        <w:spacing w:line="273" w:lineRule="auto"/>
        <w:rPr>
          <w:rFonts w:ascii="Arial"/>
          <w:sz w:val="21"/>
        </w:rPr>
      </w:pPr>
    </w:p>
    <w:p w14:paraId="28A8E228">
      <w:pPr>
        <w:spacing w:line="273" w:lineRule="auto"/>
        <w:rPr>
          <w:rFonts w:ascii="Arial"/>
          <w:sz w:val="21"/>
        </w:rPr>
      </w:pPr>
    </w:p>
    <w:p w14:paraId="13510541">
      <w:pPr>
        <w:spacing w:line="273" w:lineRule="auto"/>
        <w:rPr>
          <w:rFonts w:ascii="Arial"/>
          <w:sz w:val="21"/>
        </w:rPr>
      </w:pPr>
    </w:p>
    <w:p w14:paraId="70A6346F">
      <w:pPr>
        <w:spacing w:before="94" w:line="222" w:lineRule="auto"/>
        <w:ind w:left="2707"/>
        <w:rPr>
          <w:rFonts w:ascii="黑体" w:hAnsi="黑体" w:eastAsia="黑体" w:cs="黑体"/>
          <w:sz w:val="29"/>
          <w:szCs w:val="29"/>
        </w:rPr>
      </w:pPr>
      <w:r>
        <w:rPr>
          <w:rFonts w:ascii="黑体" w:hAnsi="黑体" w:eastAsia="黑体" w:cs="黑体"/>
          <w:b/>
          <w:bCs/>
          <w:spacing w:val="-6"/>
          <w:sz w:val="29"/>
          <w:szCs w:val="29"/>
        </w:rPr>
        <w:t>第三节</w:t>
      </w:r>
      <w:r>
        <w:rPr>
          <w:rFonts w:ascii="黑体" w:hAnsi="黑体" w:eastAsia="黑体" w:cs="黑体"/>
          <w:spacing w:val="110"/>
          <w:sz w:val="29"/>
          <w:szCs w:val="29"/>
        </w:rPr>
        <w:t xml:space="preserve"> </w:t>
      </w:r>
      <w:r>
        <w:rPr>
          <w:rFonts w:ascii="黑体" w:hAnsi="黑体" w:eastAsia="黑体" w:cs="黑体"/>
          <w:b/>
          <w:bCs/>
          <w:spacing w:val="-6"/>
          <w:sz w:val="29"/>
          <w:szCs w:val="29"/>
        </w:rPr>
        <w:t>合同附件格式</w:t>
      </w:r>
    </w:p>
    <w:p w14:paraId="1766D6AC">
      <w:pPr>
        <w:spacing w:line="222" w:lineRule="auto"/>
        <w:rPr>
          <w:rFonts w:ascii="黑体" w:hAnsi="黑体" w:eastAsia="黑体" w:cs="黑体"/>
          <w:sz w:val="29"/>
          <w:szCs w:val="29"/>
        </w:rPr>
        <w:sectPr>
          <w:footerReference r:id="rId171" w:type="default"/>
          <w:pgSz w:w="11910" w:h="16840"/>
          <w:pgMar w:top="400" w:right="1786" w:bottom="1024" w:left="1786" w:header="0" w:footer="889" w:gutter="0"/>
          <w:cols w:space="720" w:num="1"/>
        </w:sectPr>
      </w:pPr>
    </w:p>
    <w:p w14:paraId="119691C7">
      <w:pPr>
        <w:spacing w:line="262" w:lineRule="auto"/>
        <w:rPr>
          <w:rFonts w:ascii="Arial"/>
          <w:sz w:val="21"/>
        </w:rPr>
      </w:pPr>
    </w:p>
    <w:p w14:paraId="051B5510">
      <w:pPr>
        <w:spacing w:line="262" w:lineRule="auto"/>
        <w:rPr>
          <w:rFonts w:ascii="Arial"/>
          <w:sz w:val="21"/>
        </w:rPr>
      </w:pPr>
    </w:p>
    <w:p w14:paraId="5C57E6D7">
      <w:pPr>
        <w:spacing w:line="262" w:lineRule="auto"/>
        <w:rPr>
          <w:rFonts w:ascii="Arial"/>
          <w:sz w:val="21"/>
        </w:rPr>
      </w:pPr>
    </w:p>
    <w:p w14:paraId="6E054CD3">
      <w:pPr>
        <w:spacing w:line="262" w:lineRule="auto"/>
        <w:rPr>
          <w:rFonts w:ascii="Arial"/>
          <w:sz w:val="21"/>
        </w:rPr>
      </w:pPr>
    </w:p>
    <w:p w14:paraId="65621443">
      <w:pPr>
        <w:spacing w:line="263" w:lineRule="auto"/>
        <w:rPr>
          <w:rFonts w:ascii="Arial"/>
          <w:sz w:val="21"/>
        </w:rPr>
      </w:pPr>
    </w:p>
    <w:p w14:paraId="2C582F6F">
      <w:pPr>
        <w:spacing w:before="75" w:line="222" w:lineRule="auto"/>
        <w:ind w:left="23"/>
        <w:rPr>
          <w:rFonts w:ascii="黑体" w:hAnsi="黑体" w:eastAsia="黑体" w:cs="黑体"/>
          <w:sz w:val="23"/>
          <w:szCs w:val="23"/>
        </w:rPr>
      </w:pPr>
      <w:r>
        <w:rPr>
          <w:rFonts w:ascii="黑体" w:hAnsi="黑体" w:eastAsia="黑体" w:cs="黑体"/>
          <w:b/>
          <w:bCs/>
          <w:spacing w:val="4"/>
          <w:sz w:val="23"/>
          <w:szCs w:val="23"/>
        </w:rPr>
        <w:t>附件一：合同协议书</w:t>
      </w:r>
    </w:p>
    <w:p w14:paraId="24038FE6">
      <w:pPr>
        <w:spacing w:line="397" w:lineRule="auto"/>
        <w:rPr>
          <w:rFonts w:ascii="Arial"/>
          <w:sz w:val="21"/>
        </w:rPr>
      </w:pPr>
    </w:p>
    <w:p w14:paraId="3A8AC377">
      <w:pPr>
        <w:spacing w:before="95" w:line="222" w:lineRule="auto"/>
        <w:ind w:left="4054"/>
        <w:rPr>
          <w:rFonts w:ascii="黑体" w:hAnsi="黑体" w:eastAsia="黑体" w:cs="黑体"/>
          <w:sz w:val="29"/>
          <w:szCs w:val="29"/>
        </w:rPr>
      </w:pPr>
      <w:r>
        <w:rPr>
          <w:rFonts w:ascii="黑体" w:hAnsi="黑体" w:eastAsia="黑体" w:cs="黑体"/>
          <w:b/>
          <w:bCs/>
          <w:spacing w:val="-6"/>
          <w:sz w:val="29"/>
          <w:szCs w:val="29"/>
        </w:rPr>
        <w:t>合同协议书</w:t>
      </w:r>
    </w:p>
    <w:p w14:paraId="6C8C24AA">
      <w:pPr>
        <w:spacing w:line="443" w:lineRule="auto"/>
        <w:rPr>
          <w:rFonts w:ascii="Arial"/>
          <w:sz w:val="21"/>
        </w:rPr>
      </w:pPr>
    </w:p>
    <w:p w14:paraId="61364932">
      <w:pPr>
        <w:pStyle w:val="2"/>
        <w:spacing w:before="68" w:line="219" w:lineRule="auto"/>
        <w:ind w:left="6729"/>
        <w:rPr>
          <w:sz w:val="21"/>
          <w:szCs w:val="21"/>
        </w:rPr>
      </w:pPr>
      <w:r>
        <w:rPr>
          <w:spacing w:val="-4"/>
          <w:sz w:val="21"/>
          <w:szCs w:val="21"/>
        </w:rPr>
        <w:t>编号：</w:t>
      </w:r>
      <w:r>
        <w:rPr>
          <w:sz w:val="21"/>
          <w:szCs w:val="21"/>
          <w:u w:val="single" w:color="auto"/>
        </w:rPr>
        <w:t xml:space="preserve">                </w:t>
      </w:r>
    </w:p>
    <w:p w14:paraId="7F989199">
      <w:pPr>
        <w:pStyle w:val="2"/>
        <w:spacing w:before="142" w:line="179" w:lineRule="auto"/>
        <w:ind w:left="40"/>
        <w:rPr>
          <w:sz w:val="24"/>
          <w:szCs w:val="24"/>
        </w:rPr>
      </w:pPr>
      <w:r>
        <w:rPr>
          <w:spacing w:val="6"/>
          <w:sz w:val="24"/>
          <w:szCs w:val="24"/>
        </w:rPr>
        <w:t>发包人(全称):</w:t>
      </w:r>
    </w:p>
    <w:tbl>
      <w:tblPr>
        <w:tblStyle w:val="5"/>
        <w:tblW w:w="8489" w:type="dxa"/>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8489"/>
      </w:tblGrid>
      <w:tr w14:paraId="3C5DB24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76" w:hRule="atLeast"/>
        </w:trPr>
        <w:tc>
          <w:tcPr>
            <w:tcW w:w="8489" w:type="dxa"/>
            <w:tcBorders>
              <w:top w:val="single" w:color="000000" w:sz="4" w:space="0"/>
              <w:bottom w:val="single" w:color="000000" w:sz="4" w:space="0"/>
            </w:tcBorders>
            <w:vAlign w:val="top"/>
          </w:tcPr>
          <w:p w14:paraId="6A192796">
            <w:pPr>
              <w:pStyle w:val="6"/>
              <w:spacing w:before="67" w:line="219" w:lineRule="auto"/>
              <w:ind w:left="40"/>
              <w:rPr>
                <w:sz w:val="24"/>
                <w:szCs w:val="24"/>
              </w:rPr>
            </w:pPr>
            <w:r>
              <w:rPr>
                <w:spacing w:val="-1"/>
                <w:sz w:val="24"/>
                <w:szCs w:val="24"/>
              </w:rPr>
              <w:t>法定代表人：</w:t>
            </w:r>
          </w:p>
        </w:tc>
      </w:tr>
      <w:tr w14:paraId="079F34B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56" w:hRule="atLeast"/>
        </w:trPr>
        <w:tc>
          <w:tcPr>
            <w:tcW w:w="8489" w:type="dxa"/>
            <w:tcBorders>
              <w:top w:val="single" w:color="000000" w:sz="4" w:space="0"/>
              <w:bottom w:val="single" w:color="000000" w:sz="4" w:space="0"/>
            </w:tcBorders>
            <w:vAlign w:val="top"/>
          </w:tcPr>
          <w:p w14:paraId="17A3F883">
            <w:pPr>
              <w:pStyle w:val="6"/>
              <w:spacing w:before="61" w:line="219" w:lineRule="auto"/>
              <w:ind w:left="40"/>
              <w:rPr>
                <w:sz w:val="24"/>
                <w:szCs w:val="24"/>
              </w:rPr>
            </w:pPr>
            <w:r>
              <w:rPr>
                <w:spacing w:val="-1"/>
                <w:sz w:val="24"/>
                <w:szCs w:val="24"/>
              </w:rPr>
              <w:t>法定注册地址：</w:t>
            </w:r>
          </w:p>
        </w:tc>
      </w:tr>
    </w:tbl>
    <w:p w14:paraId="7AD45043">
      <w:pPr>
        <w:rPr>
          <w:rFonts w:ascii="Arial"/>
          <w:sz w:val="21"/>
        </w:rPr>
      </w:pPr>
    </w:p>
    <w:p w14:paraId="1C8E1715">
      <w:pPr>
        <w:rPr>
          <w:rFonts w:ascii="Arial"/>
          <w:sz w:val="21"/>
        </w:rPr>
      </w:pPr>
    </w:p>
    <w:p w14:paraId="6624C5EA">
      <w:pPr>
        <w:pStyle w:val="2"/>
        <w:spacing w:before="71" w:line="331" w:lineRule="auto"/>
        <w:ind w:left="20" w:right="460"/>
        <w:rPr>
          <w:sz w:val="20"/>
          <w:szCs w:val="20"/>
        </w:rPr>
      </w:pPr>
      <w:r>
        <w:rPr>
          <w:spacing w:val="7"/>
          <w:sz w:val="22"/>
          <w:szCs w:val="22"/>
        </w:rPr>
        <w:t>承包人(全称)</w:t>
      </w:r>
      <w:r>
        <w:rPr>
          <w:spacing w:val="7"/>
          <w:sz w:val="22"/>
          <w:szCs w:val="22"/>
          <w:u w:val="single" w:color="auto"/>
        </w:rPr>
        <w:t xml:space="preserve">                                                            </w:t>
      </w:r>
      <w:r>
        <w:rPr>
          <w:spacing w:val="9"/>
          <w:sz w:val="22"/>
          <w:szCs w:val="22"/>
        </w:rPr>
        <w:t xml:space="preserve"> </w:t>
      </w:r>
      <w:r>
        <w:rPr>
          <w:spacing w:val="-11"/>
          <w:sz w:val="20"/>
          <w:szCs w:val="20"/>
        </w:rPr>
        <w:t>法 定</w:t>
      </w:r>
      <w:r>
        <w:rPr>
          <w:spacing w:val="-20"/>
          <w:sz w:val="20"/>
          <w:szCs w:val="20"/>
        </w:rPr>
        <w:t xml:space="preserve"> </w:t>
      </w:r>
      <w:r>
        <w:rPr>
          <w:spacing w:val="-11"/>
          <w:sz w:val="20"/>
          <w:szCs w:val="20"/>
        </w:rPr>
        <w:t>代</w:t>
      </w:r>
      <w:r>
        <w:rPr>
          <w:spacing w:val="-20"/>
          <w:sz w:val="20"/>
          <w:szCs w:val="20"/>
        </w:rPr>
        <w:t xml:space="preserve"> </w:t>
      </w:r>
      <w:r>
        <w:rPr>
          <w:spacing w:val="-11"/>
          <w:sz w:val="20"/>
          <w:szCs w:val="20"/>
        </w:rPr>
        <w:t>表</w:t>
      </w:r>
      <w:r>
        <w:rPr>
          <w:spacing w:val="-18"/>
          <w:sz w:val="20"/>
          <w:szCs w:val="20"/>
        </w:rPr>
        <w:t xml:space="preserve"> </w:t>
      </w:r>
      <w:r>
        <w:rPr>
          <w:spacing w:val="-11"/>
          <w:sz w:val="20"/>
          <w:szCs w:val="20"/>
        </w:rPr>
        <w:t>人 ：</w:t>
      </w:r>
      <w:r>
        <w:rPr>
          <w:spacing w:val="-56"/>
          <w:sz w:val="20"/>
          <w:szCs w:val="20"/>
        </w:rPr>
        <w:t xml:space="preserve"> </w:t>
      </w:r>
      <w:r>
        <w:rPr>
          <w:sz w:val="20"/>
          <w:szCs w:val="20"/>
          <w:u w:val="single" w:color="auto"/>
        </w:rPr>
        <w:t xml:space="preserve">                                                                     </w:t>
      </w:r>
    </w:p>
    <w:p w14:paraId="51D4DAE3">
      <w:pPr>
        <w:pStyle w:val="2"/>
        <w:spacing w:before="6" w:line="220" w:lineRule="auto"/>
        <w:ind w:left="20"/>
        <w:rPr>
          <w:sz w:val="20"/>
          <w:szCs w:val="20"/>
        </w:rPr>
      </w:pPr>
      <w:r>
        <w:rPr>
          <w:spacing w:val="14"/>
          <w:sz w:val="20"/>
          <w:szCs w:val="20"/>
        </w:rPr>
        <w:t>法定注册地址：</w:t>
      </w:r>
      <w:r>
        <w:rPr>
          <w:spacing w:val="41"/>
          <w:sz w:val="20"/>
          <w:szCs w:val="20"/>
        </w:rPr>
        <w:t xml:space="preserve"> </w:t>
      </w:r>
      <w:r>
        <w:rPr>
          <w:sz w:val="20"/>
          <w:szCs w:val="20"/>
          <w:u w:val="single" w:color="auto"/>
        </w:rPr>
        <w:t xml:space="preserve">                                                                     </w:t>
      </w:r>
    </w:p>
    <w:p w14:paraId="2D00C2AC">
      <w:pPr>
        <w:pStyle w:val="2"/>
        <w:spacing w:before="178" w:line="267" w:lineRule="auto"/>
        <w:ind w:left="20" w:right="20" w:firstLine="439"/>
        <w:jc w:val="both"/>
        <w:rPr>
          <w:sz w:val="20"/>
          <w:szCs w:val="20"/>
        </w:rPr>
      </w:pPr>
      <w:r>
        <w:rPr>
          <w:spacing w:val="-4"/>
          <w:position w:val="-1"/>
          <w:sz w:val="20"/>
          <w:szCs w:val="20"/>
        </w:rPr>
        <w:t>发包人为建设_</w:t>
      </w:r>
      <w:r>
        <w:rPr>
          <w:spacing w:val="-81"/>
          <w:position w:val="-1"/>
          <w:sz w:val="20"/>
          <w:szCs w:val="20"/>
        </w:rPr>
        <w:t xml:space="preserve"> </w:t>
      </w:r>
      <w:r>
        <w:rPr>
          <w:spacing w:val="2"/>
          <w:position w:val="-1"/>
          <w:sz w:val="20"/>
          <w:szCs w:val="20"/>
          <w:u w:val="single" w:color="auto"/>
        </w:rPr>
        <w:t xml:space="preserve">                                  </w:t>
      </w:r>
      <w:r>
        <w:rPr>
          <w:spacing w:val="-18"/>
          <w:position w:val="-1"/>
          <w:sz w:val="20"/>
          <w:szCs w:val="20"/>
        </w:rPr>
        <w:t xml:space="preserve"> </w:t>
      </w:r>
      <w:r>
        <w:rPr>
          <w:spacing w:val="-4"/>
          <w:sz w:val="21"/>
          <w:szCs w:val="21"/>
        </w:rPr>
        <w:t>(以下简称“本工程”),已接受承包</w:t>
      </w:r>
      <w:r>
        <w:rPr>
          <w:spacing w:val="-5"/>
          <w:sz w:val="21"/>
          <w:szCs w:val="21"/>
        </w:rPr>
        <w:t>人提</w:t>
      </w:r>
      <w:r>
        <w:rPr>
          <w:sz w:val="21"/>
          <w:szCs w:val="21"/>
        </w:rPr>
        <w:t xml:space="preserve"> </w:t>
      </w:r>
      <w:r>
        <w:rPr>
          <w:spacing w:val="12"/>
          <w:sz w:val="20"/>
          <w:szCs w:val="20"/>
        </w:rPr>
        <w:t>出的承担本工程的施工、竣工、交付并维修其任何缺陷的投标。依照《中华人民</w:t>
      </w:r>
      <w:r>
        <w:rPr>
          <w:spacing w:val="11"/>
          <w:sz w:val="20"/>
          <w:szCs w:val="20"/>
        </w:rPr>
        <w:t>共和国招标投标</w:t>
      </w:r>
      <w:r>
        <w:rPr>
          <w:sz w:val="20"/>
          <w:szCs w:val="20"/>
        </w:rPr>
        <w:t xml:space="preserve"> </w:t>
      </w:r>
      <w:r>
        <w:rPr>
          <w:spacing w:val="-2"/>
          <w:sz w:val="20"/>
          <w:szCs w:val="20"/>
        </w:rPr>
        <w:t>法》、《中华人民共和国民法典》、《中华人民共和国建筑法》、及其他有关法律、行政法规，遵循平</w:t>
      </w:r>
      <w:r>
        <w:rPr>
          <w:spacing w:val="18"/>
          <w:sz w:val="20"/>
          <w:szCs w:val="20"/>
        </w:rPr>
        <w:t xml:space="preserve"> </w:t>
      </w:r>
      <w:r>
        <w:rPr>
          <w:spacing w:val="9"/>
          <w:sz w:val="20"/>
          <w:szCs w:val="20"/>
        </w:rPr>
        <w:t>等、自愿、公平和诚实信用的原则，双方共同达成并订立如下协议。</w:t>
      </w:r>
    </w:p>
    <w:p w14:paraId="11D380EE">
      <w:pPr>
        <w:spacing w:before="1" w:line="220" w:lineRule="auto"/>
        <w:ind w:left="462"/>
        <w:rPr>
          <w:rFonts w:ascii="黑体" w:hAnsi="黑体" w:eastAsia="黑体" w:cs="黑体"/>
          <w:sz w:val="20"/>
          <w:szCs w:val="20"/>
        </w:rPr>
      </w:pPr>
      <w:r>
        <w:rPr>
          <w:rFonts w:ascii="黑体" w:hAnsi="黑体" w:eastAsia="黑体" w:cs="黑体"/>
          <w:b/>
          <w:bCs/>
          <w:spacing w:val="4"/>
          <w:sz w:val="20"/>
          <w:szCs w:val="20"/>
        </w:rPr>
        <w:t>一、工程概况</w:t>
      </w:r>
    </w:p>
    <w:p w14:paraId="0DF6AB3D">
      <w:pPr>
        <w:pStyle w:val="2"/>
        <w:spacing w:before="65" w:line="220" w:lineRule="auto"/>
        <w:ind w:left="459"/>
        <w:rPr>
          <w:sz w:val="20"/>
          <w:szCs w:val="20"/>
        </w:rPr>
      </w:pPr>
      <w:r>
        <w:rPr>
          <w:sz w:val="20"/>
          <w:szCs w:val="20"/>
        </w:rPr>
        <w:t>工程名称：</w:t>
      </w:r>
      <w:r>
        <w:rPr>
          <w:sz w:val="20"/>
          <w:szCs w:val="20"/>
          <w:u w:val="single" w:color="auto"/>
        </w:rPr>
        <w:t xml:space="preserve">              </w:t>
      </w:r>
      <w:r>
        <w:rPr>
          <w:spacing w:val="-1"/>
          <w:sz w:val="20"/>
          <w:szCs w:val="20"/>
          <w:u w:val="single" w:color="auto"/>
        </w:rPr>
        <w:t xml:space="preserve">   </w:t>
      </w:r>
      <w:r>
        <w:rPr>
          <w:spacing w:val="-1"/>
          <w:sz w:val="20"/>
          <w:szCs w:val="20"/>
        </w:rPr>
        <w:t xml:space="preserve"> (项目名称)</w:t>
      </w:r>
      <w:r>
        <w:rPr>
          <w:spacing w:val="5"/>
          <w:sz w:val="20"/>
          <w:szCs w:val="20"/>
          <w:u w:val="single" w:color="auto"/>
        </w:rPr>
        <w:t xml:space="preserve">             </w:t>
      </w:r>
      <w:r>
        <w:rPr>
          <w:spacing w:val="-1"/>
          <w:sz w:val="20"/>
          <w:szCs w:val="20"/>
        </w:rPr>
        <w:t xml:space="preserve"> (标段名称)</w:t>
      </w:r>
    </w:p>
    <w:p w14:paraId="2D695E87">
      <w:pPr>
        <w:pStyle w:val="2"/>
        <w:spacing w:before="62" w:line="220" w:lineRule="auto"/>
        <w:ind w:left="459"/>
        <w:rPr>
          <w:sz w:val="20"/>
          <w:szCs w:val="20"/>
        </w:rPr>
      </w:pPr>
      <w:r>
        <w:rPr>
          <w:spacing w:val="2"/>
          <w:sz w:val="20"/>
          <w:szCs w:val="20"/>
        </w:rPr>
        <w:t>工程地点：</w:t>
      </w:r>
      <w:r>
        <w:rPr>
          <w:spacing w:val="2"/>
          <w:sz w:val="20"/>
          <w:szCs w:val="20"/>
          <w:u w:val="single" w:color="auto"/>
        </w:rPr>
        <w:t xml:space="preserve">                 </w:t>
      </w:r>
      <w:r>
        <w:rPr>
          <w:spacing w:val="1"/>
          <w:sz w:val="20"/>
          <w:szCs w:val="20"/>
          <w:u w:val="single" w:color="auto"/>
        </w:rPr>
        <w:t xml:space="preserve">                                  </w:t>
      </w:r>
    </w:p>
    <w:p w14:paraId="6898DCDE">
      <w:pPr>
        <w:pStyle w:val="2"/>
        <w:spacing w:before="61" w:line="219" w:lineRule="auto"/>
        <w:ind w:left="459"/>
        <w:rPr>
          <w:sz w:val="20"/>
          <w:szCs w:val="20"/>
        </w:rPr>
      </w:pPr>
      <w:r>
        <w:rPr>
          <w:spacing w:val="2"/>
          <w:sz w:val="20"/>
          <w:szCs w:val="20"/>
        </w:rPr>
        <w:t>工程内容：</w:t>
      </w:r>
      <w:r>
        <w:rPr>
          <w:spacing w:val="2"/>
          <w:sz w:val="20"/>
          <w:szCs w:val="20"/>
          <w:u w:val="single" w:color="auto"/>
        </w:rPr>
        <w:t xml:space="preserve">                 </w:t>
      </w:r>
      <w:r>
        <w:rPr>
          <w:spacing w:val="1"/>
          <w:sz w:val="20"/>
          <w:szCs w:val="20"/>
          <w:u w:val="single" w:color="auto"/>
        </w:rPr>
        <w:t xml:space="preserve">                                  </w:t>
      </w:r>
    </w:p>
    <w:p w14:paraId="4145BC80">
      <w:pPr>
        <w:pStyle w:val="2"/>
        <w:spacing w:before="32" w:line="219" w:lineRule="auto"/>
        <w:ind w:left="459"/>
        <w:rPr>
          <w:sz w:val="20"/>
          <w:szCs w:val="20"/>
        </w:rPr>
      </w:pPr>
      <w:r>
        <w:rPr>
          <w:spacing w:val="9"/>
          <w:sz w:val="20"/>
          <w:szCs w:val="20"/>
        </w:rPr>
        <w:t>群体工程应附“承包人承揽工程项目一览表”(附件1)</w:t>
      </w:r>
    </w:p>
    <w:p w14:paraId="190C1017">
      <w:pPr>
        <w:pStyle w:val="2"/>
        <w:spacing w:before="54" w:line="220" w:lineRule="auto"/>
        <w:ind w:left="459"/>
        <w:rPr>
          <w:sz w:val="20"/>
          <w:szCs w:val="20"/>
        </w:rPr>
      </w:pPr>
      <w:r>
        <w:rPr>
          <w:sz w:val="20"/>
          <w:szCs w:val="20"/>
        </w:rPr>
        <w:t>工程立项批准文号：</w:t>
      </w:r>
      <w:r>
        <w:rPr>
          <w:spacing w:val="-51"/>
          <w:sz w:val="20"/>
          <w:szCs w:val="20"/>
        </w:rPr>
        <w:t xml:space="preserve"> </w:t>
      </w:r>
      <w:r>
        <w:rPr>
          <w:sz w:val="20"/>
          <w:szCs w:val="20"/>
          <w:u w:val="single" w:color="auto"/>
        </w:rPr>
        <w:t xml:space="preserve">                                            </w:t>
      </w:r>
    </w:p>
    <w:p w14:paraId="4E45DCD2">
      <w:pPr>
        <w:pStyle w:val="2"/>
        <w:spacing w:before="51" w:line="219" w:lineRule="auto"/>
        <w:ind w:left="459"/>
        <w:rPr>
          <w:sz w:val="20"/>
          <w:szCs w:val="20"/>
        </w:rPr>
      </w:pPr>
      <w:r>
        <w:rPr>
          <w:spacing w:val="3"/>
          <w:sz w:val="20"/>
          <w:szCs w:val="20"/>
        </w:rPr>
        <w:t>资金来源：</w:t>
      </w:r>
      <w:r>
        <w:rPr>
          <w:sz w:val="20"/>
          <w:szCs w:val="20"/>
          <w:u w:val="single" w:color="auto"/>
        </w:rPr>
        <w:t xml:space="preserve">                                                     </w:t>
      </w:r>
    </w:p>
    <w:p w14:paraId="0FFA9C68">
      <w:pPr>
        <w:spacing w:before="49" w:line="222" w:lineRule="auto"/>
        <w:ind w:left="462"/>
        <w:rPr>
          <w:rFonts w:ascii="黑体" w:hAnsi="黑体" w:eastAsia="黑体" w:cs="黑体"/>
          <w:sz w:val="20"/>
          <w:szCs w:val="20"/>
        </w:rPr>
      </w:pPr>
      <w:r>
        <w:rPr>
          <w:rFonts w:ascii="黑体" w:hAnsi="黑体" w:eastAsia="黑体" w:cs="黑体"/>
          <w:b/>
          <w:bCs/>
          <w:spacing w:val="5"/>
          <w:sz w:val="20"/>
          <w:szCs w:val="20"/>
        </w:rPr>
        <w:t>二、工程承包范围</w:t>
      </w:r>
    </w:p>
    <w:p w14:paraId="1636AB2F">
      <w:pPr>
        <w:pStyle w:val="2"/>
        <w:spacing w:before="54" w:line="219" w:lineRule="auto"/>
        <w:ind w:left="459"/>
        <w:rPr>
          <w:sz w:val="20"/>
          <w:szCs w:val="20"/>
        </w:rPr>
      </w:pPr>
      <w:r>
        <w:rPr>
          <w:spacing w:val="3"/>
          <w:sz w:val="20"/>
          <w:szCs w:val="20"/>
        </w:rPr>
        <w:t>承包范围：</w:t>
      </w:r>
      <w:r>
        <w:rPr>
          <w:sz w:val="20"/>
          <w:szCs w:val="20"/>
          <w:u w:val="single" w:color="auto"/>
        </w:rPr>
        <w:t xml:space="preserve">                                                     </w:t>
      </w:r>
    </w:p>
    <w:p w14:paraId="4C89C139">
      <w:pPr>
        <w:pStyle w:val="2"/>
        <w:spacing w:before="51" w:line="219" w:lineRule="auto"/>
        <w:ind w:left="459"/>
        <w:rPr>
          <w:sz w:val="20"/>
          <w:szCs w:val="20"/>
        </w:rPr>
      </w:pPr>
      <w:r>
        <w:rPr>
          <w:spacing w:val="2"/>
          <w:sz w:val="20"/>
          <w:szCs w:val="20"/>
        </w:rPr>
        <w:t>详细承包范围见第七章“技术标准和要求”。</w:t>
      </w:r>
    </w:p>
    <w:p w14:paraId="0C180C3B">
      <w:pPr>
        <w:spacing w:before="42" w:line="223" w:lineRule="auto"/>
        <w:ind w:left="462"/>
        <w:rPr>
          <w:rFonts w:ascii="黑体" w:hAnsi="黑体" w:eastAsia="黑体" w:cs="黑体"/>
          <w:sz w:val="20"/>
          <w:szCs w:val="20"/>
        </w:rPr>
      </w:pPr>
      <w:r>
        <w:rPr>
          <w:rFonts w:ascii="黑体" w:hAnsi="黑体" w:eastAsia="黑体" w:cs="黑体"/>
          <w:b/>
          <w:bCs/>
          <w:spacing w:val="5"/>
          <w:sz w:val="20"/>
          <w:szCs w:val="20"/>
        </w:rPr>
        <w:t>三、合同工期</w:t>
      </w:r>
    </w:p>
    <w:p w14:paraId="5B3CE0EE">
      <w:pPr>
        <w:pStyle w:val="2"/>
        <w:spacing w:before="43" w:line="213" w:lineRule="auto"/>
        <w:ind w:left="459"/>
        <w:rPr>
          <w:sz w:val="20"/>
          <w:szCs w:val="20"/>
        </w:rPr>
      </w:pPr>
      <w:r>
        <w:rPr>
          <w:spacing w:val="-11"/>
          <w:sz w:val="20"/>
          <w:szCs w:val="20"/>
        </w:rPr>
        <w:t>计划开工日期：</w:t>
      </w:r>
      <w:r>
        <w:rPr>
          <w:spacing w:val="-43"/>
          <w:sz w:val="20"/>
          <w:szCs w:val="20"/>
        </w:rPr>
        <w:t xml:space="preserve"> </w:t>
      </w:r>
      <w:r>
        <w:rPr>
          <w:spacing w:val="5"/>
          <w:sz w:val="20"/>
          <w:szCs w:val="20"/>
          <w:u w:val="single" w:color="auto"/>
        </w:rPr>
        <w:t xml:space="preserve">            </w:t>
      </w:r>
      <w:r>
        <w:rPr>
          <w:spacing w:val="-70"/>
          <w:sz w:val="20"/>
          <w:szCs w:val="20"/>
        </w:rPr>
        <w:t xml:space="preserve"> </w:t>
      </w:r>
      <w:r>
        <w:rPr>
          <w:spacing w:val="-11"/>
          <w:sz w:val="20"/>
          <w:szCs w:val="20"/>
        </w:rPr>
        <w:t>年</w:t>
      </w:r>
      <w:r>
        <w:rPr>
          <w:spacing w:val="-61"/>
          <w:sz w:val="20"/>
          <w:szCs w:val="20"/>
        </w:rPr>
        <w:t xml:space="preserve"> </w:t>
      </w:r>
      <w:r>
        <w:rPr>
          <w:spacing w:val="6"/>
          <w:sz w:val="20"/>
          <w:szCs w:val="20"/>
          <w:u w:val="single" w:color="auto"/>
        </w:rPr>
        <w:t xml:space="preserve">        </w:t>
      </w:r>
      <w:r>
        <w:rPr>
          <w:spacing w:val="-78"/>
          <w:sz w:val="20"/>
          <w:szCs w:val="20"/>
        </w:rPr>
        <w:t xml:space="preserve"> </w:t>
      </w:r>
      <w:r>
        <w:rPr>
          <w:spacing w:val="-11"/>
          <w:sz w:val="20"/>
          <w:szCs w:val="20"/>
        </w:rPr>
        <w:t>_月</w:t>
      </w:r>
      <w:r>
        <w:rPr>
          <w:sz w:val="20"/>
          <w:szCs w:val="20"/>
          <w:u w:val="single" w:color="auto"/>
        </w:rPr>
        <w:t xml:space="preserve">        </w:t>
      </w:r>
      <w:r>
        <w:rPr>
          <w:spacing w:val="-11"/>
          <w:sz w:val="20"/>
          <w:szCs w:val="20"/>
          <w:u w:val="single" w:color="auto"/>
        </w:rPr>
        <w:t>日</w:t>
      </w:r>
    </w:p>
    <w:p w14:paraId="2D583A26">
      <w:pPr>
        <w:pStyle w:val="2"/>
        <w:spacing w:before="77" w:line="219" w:lineRule="auto"/>
        <w:ind w:left="459"/>
        <w:rPr>
          <w:sz w:val="20"/>
          <w:szCs w:val="20"/>
        </w:rPr>
      </w:pPr>
      <w:r>
        <w:rPr>
          <w:spacing w:val="-3"/>
          <w:sz w:val="20"/>
          <w:szCs w:val="20"/>
        </w:rPr>
        <w:t>计划竣工日期：</w:t>
      </w:r>
      <w:r>
        <w:rPr>
          <w:spacing w:val="-33"/>
          <w:sz w:val="20"/>
          <w:szCs w:val="20"/>
        </w:rPr>
        <w:t xml:space="preserve"> </w:t>
      </w:r>
      <w:r>
        <w:rPr>
          <w:spacing w:val="5"/>
          <w:sz w:val="20"/>
          <w:szCs w:val="20"/>
          <w:u w:val="single" w:color="auto"/>
        </w:rPr>
        <w:t xml:space="preserve">            </w:t>
      </w:r>
      <w:r>
        <w:rPr>
          <w:spacing w:val="-100"/>
          <w:sz w:val="20"/>
          <w:szCs w:val="20"/>
        </w:rPr>
        <w:t xml:space="preserve"> </w:t>
      </w:r>
      <w:r>
        <w:rPr>
          <w:spacing w:val="-3"/>
          <w:sz w:val="20"/>
          <w:szCs w:val="20"/>
        </w:rPr>
        <w:t>年</w:t>
      </w:r>
      <w:r>
        <w:rPr>
          <w:spacing w:val="-91"/>
          <w:sz w:val="20"/>
          <w:szCs w:val="20"/>
        </w:rPr>
        <w:t xml:space="preserve"> </w:t>
      </w:r>
      <w:r>
        <w:rPr>
          <w:spacing w:val="6"/>
          <w:sz w:val="20"/>
          <w:szCs w:val="20"/>
          <w:u w:val="single" w:color="auto"/>
        </w:rPr>
        <w:t xml:space="preserve">        </w:t>
      </w:r>
      <w:r>
        <w:rPr>
          <w:spacing w:val="-98"/>
          <w:sz w:val="20"/>
          <w:szCs w:val="20"/>
        </w:rPr>
        <w:t xml:space="preserve"> </w:t>
      </w:r>
      <w:r>
        <w:rPr>
          <w:spacing w:val="-3"/>
          <w:sz w:val="20"/>
          <w:szCs w:val="20"/>
        </w:rPr>
        <w:t>月</w:t>
      </w:r>
      <w:r>
        <w:rPr>
          <w:spacing w:val="-68"/>
          <w:sz w:val="20"/>
          <w:szCs w:val="20"/>
        </w:rPr>
        <w:t xml:space="preserve"> </w:t>
      </w:r>
      <w:r>
        <w:rPr>
          <w:spacing w:val="5"/>
          <w:sz w:val="20"/>
          <w:szCs w:val="20"/>
          <w:u w:val="single" w:color="auto"/>
        </w:rPr>
        <w:t xml:space="preserve">       </w:t>
      </w:r>
      <w:r>
        <w:rPr>
          <w:spacing w:val="-75"/>
          <w:sz w:val="20"/>
          <w:szCs w:val="20"/>
        </w:rPr>
        <w:t xml:space="preserve"> </w:t>
      </w:r>
      <w:r>
        <w:rPr>
          <w:spacing w:val="-3"/>
          <w:sz w:val="20"/>
          <w:szCs w:val="20"/>
        </w:rPr>
        <w:t>日</w:t>
      </w:r>
    </w:p>
    <w:p w14:paraId="36020330">
      <w:pPr>
        <w:pStyle w:val="2"/>
        <w:spacing w:before="62" w:line="242" w:lineRule="auto"/>
        <w:ind w:left="20" w:right="23" w:firstLine="439"/>
        <w:rPr>
          <w:sz w:val="20"/>
          <w:szCs w:val="20"/>
        </w:rPr>
      </w:pPr>
      <w:r>
        <w:rPr>
          <w:spacing w:val="7"/>
          <w:sz w:val="20"/>
          <w:szCs w:val="20"/>
        </w:rPr>
        <w:t>工期总日历天数</w:t>
      </w:r>
      <w:r>
        <w:rPr>
          <w:spacing w:val="7"/>
          <w:sz w:val="20"/>
          <w:szCs w:val="20"/>
          <w:u w:val="single" w:color="auto"/>
        </w:rPr>
        <w:t xml:space="preserve">                           </w:t>
      </w:r>
      <w:r>
        <w:rPr>
          <w:spacing w:val="7"/>
          <w:sz w:val="20"/>
          <w:szCs w:val="20"/>
        </w:rPr>
        <w:t xml:space="preserve">天，自监理人发出的开工通知中载明的开工日 </w:t>
      </w:r>
      <w:r>
        <w:rPr>
          <w:spacing w:val="2"/>
          <w:sz w:val="20"/>
          <w:szCs w:val="20"/>
        </w:rPr>
        <w:t>期起算。</w:t>
      </w:r>
    </w:p>
    <w:p w14:paraId="4604DAAC">
      <w:pPr>
        <w:spacing w:before="36" w:line="222" w:lineRule="auto"/>
        <w:ind w:left="459"/>
        <w:rPr>
          <w:rFonts w:ascii="黑体" w:hAnsi="黑体" w:eastAsia="黑体" w:cs="黑体"/>
          <w:sz w:val="20"/>
          <w:szCs w:val="20"/>
        </w:rPr>
      </w:pPr>
      <w:r>
        <w:rPr>
          <w:rFonts w:ascii="黑体" w:hAnsi="黑体" w:eastAsia="黑体" w:cs="黑体"/>
          <w:sz w:val="20"/>
          <w:szCs w:val="20"/>
        </w:rPr>
        <w:t>四</w:t>
      </w:r>
      <w:r>
        <w:rPr>
          <w:rFonts w:ascii="黑体" w:hAnsi="黑体" w:eastAsia="黑体" w:cs="黑体"/>
          <w:spacing w:val="-51"/>
          <w:sz w:val="20"/>
          <w:szCs w:val="20"/>
        </w:rPr>
        <w:t xml:space="preserve"> </w:t>
      </w:r>
      <w:r>
        <w:rPr>
          <w:rFonts w:ascii="黑体" w:hAnsi="黑体" w:eastAsia="黑体" w:cs="黑体"/>
          <w:sz w:val="20"/>
          <w:szCs w:val="20"/>
        </w:rPr>
        <w:t>、质量标准</w:t>
      </w:r>
    </w:p>
    <w:p w14:paraId="1B028BA8">
      <w:pPr>
        <w:pStyle w:val="2"/>
        <w:spacing w:before="50" w:line="220" w:lineRule="auto"/>
        <w:ind w:left="459"/>
        <w:rPr>
          <w:sz w:val="20"/>
          <w:szCs w:val="20"/>
        </w:rPr>
      </w:pPr>
      <w:r>
        <w:rPr>
          <w:sz w:val="20"/>
          <w:szCs w:val="20"/>
        </w:rPr>
        <w:t>工程质量标准：</w:t>
      </w:r>
      <w:r>
        <w:rPr>
          <w:spacing w:val="-60"/>
          <w:sz w:val="20"/>
          <w:szCs w:val="20"/>
        </w:rPr>
        <w:t xml:space="preserve"> </w:t>
      </w:r>
      <w:r>
        <w:rPr>
          <w:sz w:val="20"/>
          <w:szCs w:val="20"/>
          <w:u w:val="single" w:color="auto"/>
        </w:rPr>
        <w:t xml:space="preserve">                                                  </w:t>
      </w:r>
    </w:p>
    <w:p w14:paraId="5AB81978">
      <w:pPr>
        <w:spacing w:before="52" w:line="223" w:lineRule="auto"/>
        <w:ind w:left="459"/>
        <w:rPr>
          <w:rFonts w:ascii="黑体" w:hAnsi="黑体" w:eastAsia="黑体" w:cs="黑体"/>
          <w:sz w:val="20"/>
          <w:szCs w:val="20"/>
        </w:rPr>
      </w:pPr>
      <w:r>
        <w:rPr>
          <w:rFonts w:ascii="黑体" w:hAnsi="黑体" w:eastAsia="黑体" w:cs="黑体"/>
          <w:spacing w:val="7"/>
          <w:sz w:val="20"/>
          <w:szCs w:val="20"/>
        </w:rPr>
        <w:t>五、合同形式</w:t>
      </w:r>
    </w:p>
    <w:p w14:paraId="4A3123C7">
      <w:pPr>
        <w:pStyle w:val="2"/>
        <w:spacing w:before="47" w:line="219" w:lineRule="auto"/>
        <w:ind w:left="459"/>
        <w:rPr>
          <w:sz w:val="20"/>
          <w:szCs w:val="20"/>
        </w:rPr>
      </w:pPr>
      <w:r>
        <w:rPr>
          <w:spacing w:val="-1"/>
          <w:sz w:val="20"/>
          <w:szCs w:val="20"/>
        </w:rPr>
        <w:t>本合同采用</w:t>
      </w:r>
      <w:r>
        <w:rPr>
          <w:spacing w:val="-1"/>
          <w:sz w:val="20"/>
          <w:szCs w:val="20"/>
          <w:u w:val="single" w:color="auto"/>
        </w:rPr>
        <w:t xml:space="preserve">                                                        </w:t>
      </w:r>
      <w:r>
        <w:rPr>
          <w:spacing w:val="-76"/>
          <w:sz w:val="20"/>
          <w:szCs w:val="20"/>
        </w:rPr>
        <w:t xml:space="preserve"> </w:t>
      </w:r>
      <w:r>
        <w:rPr>
          <w:spacing w:val="-1"/>
          <w:sz w:val="20"/>
          <w:szCs w:val="20"/>
        </w:rPr>
        <w:t>合同形式。</w:t>
      </w:r>
    </w:p>
    <w:p w14:paraId="6CA81696">
      <w:pPr>
        <w:spacing w:before="62" w:line="222" w:lineRule="auto"/>
        <w:ind w:left="459"/>
        <w:rPr>
          <w:rFonts w:ascii="黑体" w:hAnsi="黑体" w:eastAsia="黑体" w:cs="黑体"/>
          <w:sz w:val="20"/>
          <w:szCs w:val="20"/>
        </w:rPr>
      </w:pPr>
      <w:r>
        <w:rPr>
          <w:rFonts w:ascii="黑体" w:hAnsi="黑体" w:eastAsia="黑体" w:cs="黑体"/>
          <w:spacing w:val="9"/>
          <w:sz w:val="20"/>
          <w:szCs w:val="20"/>
        </w:rPr>
        <w:t>六、签约合同价</w:t>
      </w:r>
    </w:p>
    <w:p w14:paraId="7C988B4E">
      <w:pPr>
        <w:pStyle w:val="2"/>
        <w:spacing w:before="50" w:line="219" w:lineRule="auto"/>
        <w:ind w:left="459"/>
        <w:rPr>
          <w:sz w:val="20"/>
          <w:szCs w:val="20"/>
        </w:rPr>
      </w:pPr>
      <w:r>
        <w:rPr>
          <w:spacing w:val="1"/>
          <w:sz w:val="20"/>
          <w:szCs w:val="20"/>
        </w:rPr>
        <w:t xml:space="preserve">金额(大写): </w:t>
      </w:r>
      <w:r>
        <w:rPr>
          <w:spacing w:val="1"/>
          <w:sz w:val="20"/>
          <w:szCs w:val="20"/>
          <w:u w:val="single" w:color="auto"/>
        </w:rPr>
        <w:t xml:space="preserve">                                                       </w:t>
      </w:r>
      <w:r>
        <w:rPr>
          <w:spacing w:val="-89"/>
          <w:sz w:val="20"/>
          <w:szCs w:val="20"/>
        </w:rPr>
        <w:t xml:space="preserve"> </w:t>
      </w:r>
      <w:r>
        <w:rPr>
          <w:spacing w:val="1"/>
          <w:sz w:val="20"/>
          <w:szCs w:val="20"/>
        </w:rPr>
        <w:t>元(人民币)</w:t>
      </w:r>
    </w:p>
    <w:p w14:paraId="02109B2D">
      <w:pPr>
        <w:pStyle w:val="2"/>
        <w:spacing w:before="55" w:line="267" w:lineRule="auto"/>
        <w:ind w:left="459" w:right="579" w:firstLine="219"/>
        <w:rPr>
          <w:sz w:val="20"/>
          <w:szCs w:val="20"/>
        </w:rPr>
      </w:pPr>
      <w:r>
        <w:rPr>
          <w:spacing w:val="6"/>
          <w:sz w:val="20"/>
          <w:szCs w:val="20"/>
        </w:rPr>
        <w:t xml:space="preserve">(小写)¥: </w:t>
      </w:r>
      <w:r>
        <w:rPr>
          <w:spacing w:val="1"/>
          <w:sz w:val="20"/>
          <w:szCs w:val="20"/>
          <w:u w:val="single" w:color="auto"/>
        </w:rPr>
        <w:t xml:space="preserve">                                        </w:t>
      </w:r>
      <w:r>
        <w:rPr>
          <w:sz w:val="20"/>
          <w:szCs w:val="20"/>
          <w:u w:val="single" w:color="auto"/>
        </w:rPr>
        <w:t xml:space="preserve">                         </w:t>
      </w:r>
      <w:r>
        <w:rPr>
          <w:spacing w:val="-79"/>
          <w:sz w:val="20"/>
          <w:szCs w:val="20"/>
        </w:rPr>
        <w:t xml:space="preserve"> </w:t>
      </w:r>
      <w:r>
        <w:rPr>
          <w:spacing w:val="6"/>
          <w:sz w:val="20"/>
          <w:szCs w:val="20"/>
        </w:rPr>
        <w:t>元</w:t>
      </w:r>
      <w:r>
        <w:rPr>
          <w:sz w:val="20"/>
          <w:szCs w:val="20"/>
        </w:rPr>
        <w:t xml:space="preserve"> 其中：安全文明施工费： </w:t>
      </w:r>
      <w:r>
        <w:rPr>
          <w:sz w:val="20"/>
          <w:szCs w:val="20"/>
          <w:u w:val="single" w:color="auto"/>
        </w:rPr>
        <w:t xml:space="preserve">                                           </w:t>
      </w:r>
      <w:r>
        <w:rPr>
          <w:sz w:val="20"/>
          <w:szCs w:val="20"/>
        </w:rPr>
        <w:t>元</w:t>
      </w:r>
    </w:p>
    <w:p w14:paraId="296F8668">
      <w:pPr>
        <w:pStyle w:val="2"/>
        <w:spacing w:line="219" w:lineRule="auto"/>
        <w:ind w:left="1079"/>
        <w:rPr>
          <w:sz w:val="20"/>
          <w:szCs w:val="20"/>
        </w:rPr>
      </w:pPr>
      <w:r>
        <w:rPr>
          <w:spacing w:val="9"/>
          <w:sz w:val="20"/>
          <w:szCs w:val="20"/>
        </w:rPr>
        <w:t>暂列金额：</w:t>
      </w:r>
      <w:r>
        <w:rPr>
          <w:spacing w:val="-27"/>
          <w:sz w:val="20"/>
          <w:szCs w:val="20"/>
        </w:rPr>
        <w:t xml:space="preserve"> </w:t>
      </w:r>
      <w:r>
        <w:rPr>
          <w:sz w:val="20"/>
          <w:szCs w:val="20"/>
          <w:u w:val="single" w:color="auto"/>
        </w:rPr>
        <w:t xml:space="preserve">                   </w:t>
      </w:r>
      <w:r>
        <w:rPr>
          <w:spacing w:val="-100"/>
          <w:sz w:val="20"/>
          <w:szCs w:val="20"/>
        </w:rPr>
        <w:t xml:space="preserve"> </w:t>
      </w:r>
      <w:r>
        <w:rPr>
          <w:spacing w:val="9"/>
          <w:sz w:val="20"/>
          <w:szCs w:val="20"/>
        </w:rPr>
        <w:t>元(其中计日工金额</w:t>
      </w:r>
      <w:r>
        <w:rPr>
          <w:spacing w:val="-88"/>
          <w:sz w:val="20"/>
          <w:szCs w:val="20"/>
        </w:rPr>
        <w:t xml:space="preserve"> </w:t>
      </w:r>
      <w:r>
        <w:rPr>
          <w:spacing w:val="6"/>
          <w:sz w:val="20"/>
          <w:szCs w:val="20"/>
          <w:u w:val="single" w:color="auto"/>
        </w:rPr>
        <w:t xml:space="preserve">          </w:t>
      </w:r>
      <w:r>
        <w:rPr>
          <w:spacing w:val="-100"/>
          <w:sz w:val="20"/>
          <w:szCs w:val="20"/>
        </w:rPr>
        <w:t xml:space="preserve"> </w:t>
      </w:r>
      <w:r>
        <w:rPr>
          <w:spacing w:val="9"/>
          <w:sz w:val="20"/>
          <w:szCs w:val="20"/>
        </w:rPr>
        <w:t>元</w:t>
      </w:r>
      <w:r>
        <w:rPr>
          <w:spacing w:val="-28"/>
          <w:sz w:val="20"/>
          <w:szCs w:val="20"/>
        </w:rPr>
        <w:t xml:space="preserve"> </w:t>
      </w:r>
      <w:r>
        <w:rPr>
          <w:spacing w:val="9"/>
          <w:sz w:val="20"/>
          <w:szCs w:val="20"/>
        </w:rPr>
        <w:t>)</w:t>
      </w:r>
    </w:p>
    <w:p w14:paraId="75002AAA">
      <w:pPr>
        <w:pStyle w:val="2"/>
        <w:spacing w:before="51" w:line="218" w:lineRule="auto"/>
        <w:ind w:left="1079"/>
        <w:rPr>
          <w:sz w:val="20"/>
          <w:szCs w:val="20"/>
        </w:rPr>
      </w:pPr>
      <w:r>
        <w:rPr>
          <w:spacing w:val="-1"/>
          <w:sz w:val="20"/>
          <w:szCs w:val="20"/>
        </w:rPr>
        <w:t>材料和工程设备暂估价：</w:t>
      </w:r>
      <w:r>
        <w:rPr>
          <w:spacing w:val="48"/>
          <w:sz w:val="20"/>
          <w:szCs w:val="20"/>
        </w:rPr>
        <w:t xml:space="preserve"> </w:t>
      </w:r>
      <w:r>
        <w:rPr>
          <w:spacing w:val="-1"/>
          <w:sz w:val="20"/>
          <w:szCs w:val="20"/>
          <w:u w:val="single" w:color="auto"/>
        </w:rPr>
        <w:t xml:space="preserve">                                     </w:t>
      </w:r>
      <w:r>
        <w:rPr>
          <w:spacing w:val="-1"/>
          <w:sz w:val="20"/>
          <w:szCs w:val="20"/>
        </w:rPr>
        <w:t>元</w:t>
      </w:r>
    </w:p>
    <w:p w14:paraId="271626CB">
      <w:pPr>
        <w:pStyle w:val="2"/>
        <w:spacing w:before="54" w:line="218" w:lineRule="auto"/>
        <w:ind w:left="1079"/>
        <w:rPr>
          <w:sz w:val="20"/>
          <w:szCs w:val="20"/>
        </w:rPr>
      </w:pPr>
      <w:r>
        <w:rPr>
          <w:sz w:val="20"/>
          <w:szCs w:val="20"/>
        </w:rPr>
        <w:t>专业工程暂估价：</w:t>
      </w:r>
      <w:r>
        <w:rPr>
          <w:spacing w:val="-40"/>
          <w:sz w:val="20"/>
          <w:szCs w:val="20"/>
        </w:rPr>
        <w:t xml:space="preserve"> </w:t>
      </w:r>
      <w:r>
        <w:rPr>
          <w:sz w:val="20"/>
          <w:szCs w:val="20"/>
          <w:u w:val="single" w:color="auto"/>
        </w:rPr>
        <w:t xml:space="preserve">                                           </w:t>
      </w:r>
      <w:r>
        <w:rPr>
          <w:spacing w:val="-61"/>
          <w:sz w:val="20"/>
          <w:szCs w:val="20"/>
        </w:rPr>
        <w:t xml:space="preserve"> </w:t>
      </w:r>
      <w:r>
        <w:rPr>
          <w:sz w:val="20"/>
          <w:szCs w:val="20"/>
        </w:rPr>
        <w:t>元</w:t>
      </w:r>
    </w:p>
    <w:p w14:paraId="544E16ED">
      <w:pPr>
        <w:spacing w:line="218" w:lineRule="auto"/>
        <w:rPr>
          <w:sz w:val="20"/>
          <w:szCs w:val="20"/>
        </w:rPr>
        <w:sectPr>
          <w:footerReference r:id="rId172" w:type="default"/>
          <w:pgSz w:w="11910" w:h="16840"/>
          <w:pgMar w:top="400" w:right="1509" w:bottom="1024" w:left="1430" w:header="0" w:footer="889" w:gutter="0"/>
          <w:cols w:space="720" w:num="1"/>
        </w:sectPr>
      </w:pPr>
    </w:p>
    <w:p w14:paraId="3861B258">
      <w:pPr>
        <w:spacing w:line="258" w:lineRule="auto"/>
        <w:rPr>
          <w:rFonts w:ascii="Arial"/>
          <w:sz w:val="21"/>
        </w:rPr>
      </w:pPr>
    </w:p>
    <w:p w14:paraId="45A1E599">
      <w:pPr>
        <w:spacing w:line="258" w:lineRule="auto"/>
        <w:rPr>
          <w:rFonts w:ascii="Arial"/>
          <w:sz w:val="21"/>
        </w:rPr>
      </w:pPr>
    </w:p>
    <w:p w14:paraId="22CB5A2C">
      <w:pPr>
        <w:spacing w:line="258" w:lineRule="auto"/>
        <w:rPr>
          <w:rFonts w:ascii="Arial"/>
          <w:sz w:val="21"/>
        </w:rPr>
      </w:pPr>
    </w:p>
    <w:p w14:paraId="214E6116">
      <w:pPr>
        <w:spacing w:line="258" w:lineRule="auto"/>
        <w:rPr>
          <w:rFonts w:ascii="Arial"/>
          <w:sz w:val="21"/>
        </w:rPr>
      </w:pPr>
    </w:p>
    <w:p w14:paraId="500C78CF">
      <w:pPr>
        <w:spacing w:line="259" w:lineRule="auto"/>
        <w:rPr>
          <w:rFonts w:ascii="Arial"/>
          <w:sz w:val="21"/>
        </w:rPr>
      </w:pPr>
    </w:p>
    <w:p w14:paraId="2C5F5383">
      <w:pPr>
        <w:spacing w:before="65" w:line="222" w:lineRule="auto"/>
        <w:ind w:left="422"/>
        <w:rPr>
          <w:rFonts w:ascii="黑体" w:hAnsi="黑体" w:eastAsia="黑体" w:cs="黑体"/>
          <w:sz w:val="20"/>
          <w:szCs w:val="20"/>
        </w:rPr>
      </w:pPr>
      <w:r>
        <w:rPr>
          <w:rFonts w:ascii="黑体" w:hAnsi="黑体" w:eastAsia="黑体" w:cs="黑体"/>
          <w:b/>
          <w:bCs/>
          <w:spacing w:val="4"/>
          <w:sz w:val="20"/>
          <w:szCs w:val="20"/>
        </w:rPr>
        <w:t>七、承包人项目经理：</w:t>
      </w:r>
    </w:p>
    <w:p w14:paraId="5F69EFD4">
      <w:pPr>
        <w:pStyle w:val="2"/>
        <w:spacing w:before="53" w:line="219" w:lineRule="auto"/>
        <w:ind w:left="419"/>
        <w:rPr>
          <w:sz w:val="20"/>
          <w:szCs w:val="20"/>
        </w:rPr>
      </w:pPr>
      <w:r>
        <w:rPr>
          <w:sz w:val="20"/>
          <w:szCs w:val="20"/>
        </w:rPr>
        <w:t>姓名：</w:t>
      </w:r>
      <w:r>
        <w:rPr>
          <w:spacing w:val="-60"/>
          <w:sz w:val="20"/>
          <w:szCs w:val="20"/>
        </w:rPr>
        <w:t xml:space="preserve"> </w:t>
      </w:r>
      <w:r>
        <w:rPr>
          <w:spacing w:val="1"/>
          <w:sz w:val="20"/>
          <w:szCs w:val="20"/>
          <w:u w:val="single" w:color="auto"/>
        </w:rPr>
        <w:t xml:space="preserve">                           </w:t>
      </w:r>
      <w:r>
        <w:rPr>
          <w:spacing w:val="4"/>
          <w:sz w:val="20"/>
          <w:szCs w:val="20"/>
        </w:rPr>
        <w:t xml:space="preserve">       </w:t>
      </w:r>
      <w:r>
        <w:rPr>
          <w:sz w:val="20"/>
          <w:szCs w:val="20"/>
        </w:rPr>
        <w:t>职称：</w:t>
      </w:r>
      <w:r>
        <w:rPr>
          <w:spacing w:val="-66"/>
          <w:sz w:val="20"/>
          <w:szCs w:val="20"/>
        </w:rPr>
        <w:t xml:space="preserve"> </w:t>
      </w:r>
      <w:r>
        <w:rPr>
          <w:sz w:val="20"/>
          <w:szCs w:val="20"/>
          <w:u w:val="single" w:color="auto"/>
        </w:rPr>
        <w:t xml:space="preserve">                              </w:t>
      </w:r>
    </w:p>
    <w:p w14:paraId="130C171D">
      <w:pPr>
        <w:pStyle w:val="2"/>
        <w:spacing w:before="81" w:line="219" w:lineRule="auto"/>
        <w:ind w:left="419"/>
        <w:rPr>
          <w:sz w:val="20"/>
          <w:szCs w:val="20"/>
        </w:rPr>
      </w:pPr>
      <w:r>
        <w:rPr>
          <w:spacing w:val="-1"/>
          <w:sz w:val="20"/>
          <w:szCs w:val="20"/>
        </w:rPr>
        <w:t>身份证号：</w:t>
      </w:r>
      <w:r>
        <w:rPr>
          <w:spacing w:val="4"/>
          <w:sz w:val="20"/>
          <w:szCs w:val="20"/>
          <w:u w:val="single" w:color="auto"/>
        </w:rPr>
        <w:t xml:space="preserve">                       </w:t>
      </w:r>
      <w:r>
        <w:rPr>
          <w:spacing w:val="1"/>
          <w:sz w:val="20"/>
          <w:szCs w:val="20"/>
        </w:rPr>
        <w:t xml:space="preserve">       </w:t>
      </w:r>
      <w:r>
        <w:rPr>
          <w:spacing w:val="-1"/>
          <w:sz w:val="20"/>
          <w:szCs w:val="20"/>
        </w:rPr>
        <w:t xml:space="preserve">建造师执业资格证书号： </w:t>
      </w:r>
      <w:r>
        <w:rPr>
          <w:sz w:val="20"/>
          <w:szCs w:val="20"/>
          <w:u w:val="single" w:color="auto"/>
        </w:rPr>
        <w:t xml:space="preserve">              </w:t>
      </w:r>
    </w:p>
    <w:p w14:paraId="25AD8694">
      <w:pPr>
        <w:pStyle w:val="2"/>
        <w:spacing w:before="82" w:line="219" w:lineRule="auto"/>
        <w:ind w:left="419"/>
        <w:rPr>
          <w:sz w:val="20"/>
          <w:szCs w:val="20"/>
        </w:rPr>
      </w:pPr>
      <w:r>
        <w:drawing>
          <wp:anchor distT="0" distB="0" distL="0" distR="0" simplePos="0" relativeHeight="251679744" behindDoc="0" locked="0" layoutInCell="1" allowOverlap="1">
            <wp:simplePos x="0" y="0"/>
            <wp:positionH relativeFrom="column">
              <wp:posOffset>5060315</wp:posOffset>
            </wp:positionH>
            <wp:positionV relativeFrom="paragraph">
              <wp:posOffset>174625</wp:posOffset>
            </wp:positionV>
            <wp:extent cx="273050" cy="279400"/>
            <wp:effectExtent l="0" t="0" r="0" b="0"/>
            <wp:wrapNone/>
            <wp:docPr id="60" name="IM 60"/>
            <wp:cNvGraphicFramePr/>
            <a:graphic xmlns:a="http://schemas.openxmlformats.org/drawingml/2006/main">
              <a:graphicData uri="http://schemas.openxmlformats.org/drawingml/2006/picture">
                <pic:pic xmlns:pic="http://schemas.openxmlformats.org/drawingml/2006/picture">
                  <pic:nvPicPr>
                    <pic:cNvPr id="60" name="IM 60"/>
                    <pic:cNvPicPr/>
                  </pic:nvPicPr>
                  <pic:blipFill>
                    <a:blip r:embed="rId436"/>
                    <a:stretch>
                      <a:fillRect/>
                    </a:stretch>
                  </pic:blipFill>
                  <pic:spPr>
                    <a:xfrm>
                      <a:off x="0" y="0"/>
                      <a:ext cx="273094" cy="279311"/>
                    </a:xfrm>
                    <a:prstGeom prst="rect">
                      <a:avLst/>
                    </a:prstGeom>
                  </pic:spPr>
                </pic:pic>
              </a:graphicData>
            </a:graphic>
          </wp:anchor>
        </w:drawing>
      </w:r>
      <w:r>
        <w:rPr>
          <w:sz w:val="20"/>
          <w:szCs w:val="20"/>
        </w:rPr>
        <w:t>建造师注册证书号：</w:t>
      </w:r>
      <w:r>
        <w:rPr>
          <w:spacing w:val="-31"/>
          <w:sz w:val="20"/>
          <w:szCs w:val="20"/>
        </w:rPr>
        <w:t xml:space="preserve"> </w:t>
      </w:r>
      <w:r>
        <w:rPr>
          <w:sz w:val="20"/>
          <w:szCs w:val="20"/>
          <w:u w:val="single" w:color="auto"/>
        </w:rPr>
        <w:t xml:space="preserve">                                                             </w:t>
      </w:r>
    </w:p>
    <w:p w14:paraId="3CDF9924">
      <w:pPr>
        <w:pStyle w:val="2"/>
        <w:spacing w:before="163" w:line="219" w:lineRule="auto"/>
        <w:ind w:left="419"/>
        <w:rPr>
          <w:sz w:val="21"/>
          <w:szCs w:val="21"/>
        </w:rPr>
      </w:pPr>
      <w:r>
        <w:rPr>
          <w:spacing w:val="-3"/>
          <w:sz w:val="21"/>
          <w:szCs w:val="21"/>
        </w:rPr>
        <w:t>建造师执业印章号：</w:t>
      </w:r>
      <w:r>
        <w:rPr>
          <w:sz w:val="21"/>
          <w:szCs w:val="21"/>
          <w:u w:val="single" w:color="auto"/>
        </w:rPr>
        <w:t xml:space="preserve">                                                          </w:t>
      </w:r>
    </w:p>
    <w:p w14:paraId="745A0F37">
      <w:pPr>
        <w:pStyle w:val="2"/>
        <w:spacing w:before="190" w:line="219" w:lineRule="auto"/>
        <w:ind w:left="419"/>
        <w:rPr>
          <w:sz w:val="20"/>
          <w:szCs w:val="20"/>
        </w:rPr>
      </w:pPr>
      <w:r>
        <w:rPr>
          <w:spacing w:val="-1"/>
          <w:sz w:val="20"/>
          <w:szCs w:val="20"/>
        </w:rPr>
        <w:t>安全生产考核合格证书号：</w:t>
      </w:r>
      <w:r>
        <w:rPr>
          <w:spacing w:val="31"/>
          <w:sz w:val="20"/>
          <w:szCs w:val="20"/>
        </w:rPr>
        <w:t xml:space="preserve"> </w:t>
      </w:r>
      <w:r>
        <w:rPr>
          <w:sz w:val="20"/>
          <w:szCs w:val="20"/>
          <w:u w:val="single" w:color="auto"/>
        </w:rPr>
        <w:t xml:space="preserve">                                                       </w:t>
      </w:r>
    </w:p>
    <w:p w14:paraId="143E0B96">
      <w:pPr>
        <w:spacing w:before="120" w:line="222" w:lineRule="auto"/>
        <w:ind w:left="422"/>
        <w:rPr>
          <w:rFonts w:ascii="黑体" w:hAnsi="黑体" w:eastAsia="黑体" w:cs="黑体"/>
          <w:sz w:val="20"/>
          <w:szCs w:val="20"/>
        </w:rPr>
      </w:pPr>
      <w:r>
        <w:rPr>
          <w:rFonts w:ascii="黑体" w:hAnsi="黑体" w:eastAsia="黑体" w:cs="黑体"/>
          <w:b/>
          <w:bCs/>
          <w:spacing w:val="8"/>
          <w:sz w:val="20"/>
          <w:szCs w:val="20"/>
        </w:rPr>
        <w:t>八、合同文件的组成</w:t>
      </w:r>
    </w:p>
    <w:p w14:paraId="3D60E580">
      <w:pPr>
        <w:pStyle w:val="2"/>
        <w:spacing w:before="184" w:line="219" w:lineRule="auto"/>
        <w:ind w:left="419"/>
        <w:rPr>
          <w:sz w:val="20"/>
          <w:szCs w:val="20"/>
        </w:rPr>
      </w:pPr>
      <w:r>
        <w:rPr>
          <w:spacing w:val="6"/>
          <w:sz w:val="20"/>
          <w:szCs w:val="20"/>
        </w:rPr>
        <w:t>下列文件共同构成合同文件：</w:t>
      </w:r>
    </w:p>
    <w:p w14:paraId="236973E5">
      <w:pPr>
        <w:pStyle w:val="2"/>
        <w:spacing w:before="161" w:line="219" w:lineRule="auto"/>
        <w:ind w:left="419"/>
        <w:rPr>
          <w:sz w:val="20"/>
          <w:szCs w:val="20"/>
        </w:rPr>
      </w:pPr>
      <w:r>
        <w:rPr>
          <w:spacing w:val="2"/>
          <w:sz w:val="20"/>
          <w:szCs w:val="20"/>
        </w:rPr>
        <w:t>1、本协议书；</w:t>
      </w:r>
    </w:p>
    <w:p w14:paraId="545D7C17">
      <w:pPr>
        <w:pStyle w:val="2"/>
        <w:spacing w:before="153" w:line="219" w:lineRule="auto"/>
        <w:ind w:left="419"/>
        <w:rPr>
          <w:sz w:val="20"/>
          <w:szCs w:val="20"/>
        </w:rPr>
      </w:pPr>
      <w:r>
        <w:rPr>
          <w:spacing w:val="3"/>
          <w:sz w:val="20"/>
          <w:szCs w:val="20"/>
        </w:rPr>
        <w:t>2、中标通知书；</w:t>
      </w:r>
    </w:p>
    <w:p w14:paraId="4D481D05">
      <w:pPr>
        <w:pStyle w:val="2"/>
        <w:spacing w:before="173" w:line="219" w:lineRule="auto"/>
        <w:ind w:left="419"/>
        <w:rPr>
          <w:sz w:val="20"/>
          <w:szCs w:val="20"/>
        </w:rPr>
      </w:pPr>
      <w:r>
        <w:rPr>
          <w:spacing w:val="5"/>
          <w:sz w:val="20"/>
          <w:szCs w:val="20"/>
        </w:rPr>
        <w:t>3、投标函及投标函附录；</w:t>
      </w:r>
    </w:p>
    <w:p w14:paraId="35A4B42A">
      <w:pPr>
        <w:pStyle w:val="2"/>
        <w:spacing w:before="154" w:line="219" w:lineRule="auto"/>
        <w:ind w:left="419"/>
        <w:rPr>
          <w:sz w:val="20"/>
          <w:szCs w:val="20"/>
        </w:rPr>
      </w:pPr>
      <w:r>
        <w:rPr>
          <w:spacing w:val="4"/>
          <w:sz w:val="20"/>
          <w:szCs w:val="20"/>
        </w:rPr>
        <w:t>4、专用合同条款；</w:t>
      </w:r>
    </w:p>
    <w:p w14:paraId="180787F6">
      <w:pPr>
        <w:pStyle w:val="2"/>
        <w:spacing w:before="163" w:line="219" w:lineRule="auto"/>
        <w:ind w:left="419"/>
        <w:rPr>
          <w:sz w:val="20"/>
          <w:szCs w:val="20"/>
        </w:rPr>
      </w:pPr>
      <w:r>
        <w:rPr>
          <w:spacing w:val="4"/>
          <w:sz w:val="20"/>
          <w:szCs w:val="20"/>
        </w:rPr>
        <w:t>5、通用合同条款；</w:t>
      </w:r>
    </w:p>
    <w:p w14:paraId="65C46BF7">
      <w:pPr>
        <w:pStyle w:val="2"/>
        <w:spacing w:before="172" w:line="219" w:lineRule="auto"/>
        <w:ind w:left="419"/>
        <w:rPr>
          <w:sz w:val="20"/>
          <w:szCs w:val="20"/>
        </w:rPr>
      </w:pPr>
      <w:r>
        <w:rPr>
          <w:spacing w:val="5"/>
          <w:sz w:val="20"/>
          <w:szCs w:val="20"/>
        </w:rPr>
        <w:t>6、技术标准和要求；</w:t>
      </w:r>
    </w:p>
    <w:p w14:paraId="47E70FA2">
      <w:pPr>
        <w:pStyle w:val="2"/>
        <w:spacing w:before="154" w:line="221" w:lineRule="auto"/>
        <w:ind w:left="419"/>
        <w:rPr>
          <w:sz w:val="20"/>
          <w:szCs w:val="20"/>
        </w:rPr>
      </w:pPr>
      <w:r>
        <w:rPr>
          <w:spacing w:val="2"/>
          <w:sz w:val="20"/>
          <w:szCs w:val="20"/>
        </w:rPr>
        <w:t>7、图纸；</w:t>
      </w:r>
    </w:p>
    <w:p w14:paraId="64F05B55">
      <w:pPr>
        <w:pStyle w:val="2"/>
        <w:spacing w:before="158" w:line="218" w:lineRule="auto"/>
        <w:ind w:left="419"/>
        <w:rPr>
          <w:sz w:val="20"/>
          <w:szCs w:val="20"/>
        </w:rPr>
      </w:pPr>
      <w:r>
        <w:rPr>
          <w:spacing w:val="5"/>
          <w:sz w:val="20"/>
          <w:szCs w:val="20"/>
        </w:rPr>
        <w:t>8、已标价工程量清单；</w:t>
      </w:r>
    </w:p>
    <w:p w14:paraId="49B190F6">
      <w:pPr>
        <w:pStyle w:val="2"/>
        <w:spacing w:before="175" w:line="219" w:lineRule="auto"/>
        <w:ind w:left="419"/>
        <w:rPr>
          <w:sz w:val="20"/>
          <w:szCs w:val="20"/>
        </w:rPr>
      </w:pPr>
      <w:r>
        <w:rPr>
          <w:spacing w:val="6"/>
          <w:sz w:val="20"/>
          <w:szCs w:val="20"/>
        </w:rPr>
        <w:t>9、其他合同文件。</w:t>
      </w:r>
    </w:p>
    <w:p w14:paraId="505B8C2C">
      <w:pPr>
        <w:pStyle w:val="2"/>
        <w:spacing w:before="273" w:line="219" w:lineRule="auto"/>
        <w:ind w:left="419"/>
        <w:rPr>
          <w:sz w:val="20"/>
          <w:szCs w:val="20"/>
        </w:rPr>
      </w:pPr>
      <w:r>
        <w:rPr>
          <w:spacing w:val="10"/>
          <w:sz w:val="20"/>
          <w:szCs w:val="20"/>
        </w:rPr>
        <w:t>上述文件互相补充和解释，如有不明确或不一致之处，以</w:t>
      </w:r>
      <w:r>
        <w:rPr>
          <w:spacing w:val="9"/>
          <w:sz w:val="20"/>
          <w:szCs w:val="20"/>
        </w:rPr>
        <w:t>合同约定次序在先者为准。</w:t>
      </w:r>
    </w:p>
    <w:p w14:paraId="0573CE47">
      <w:pPr>
        <w:spacing w:before="112" w:line="222" w:lineRule="auto"/>
        <w:ind w:left="419"/>
        <w:rPr>
          <w:rFonts w:ascii="黑体" w:hAnsi="黑体" w:eastAsia="黑体" w:cs="黑体"/>
          <w:sz w:val="20"/>
          <w:szCs w:val="20"/>
        </w:rPr>
      </w:pPr>
      <w:r>
        <w:rPr>
          <w:rFonts w:ascii="黑体" w:hAnsi="黑体" w:eastAsia="黑体" w:cs="黑体"/>
          <w:spacing w:val="8"/>
          <w:sz w:val="20"/>
          <w:szCs w:val="20"/>
        </w:rPr>
        <w:t>九、本协议书中有关词语定义与合同条款中的定义相同。</w:t>
      </w:r>
    </w:p>
    <w:p w14:paraId="6AA13F57">
      <w:pPr>
        <w:pStyle w:val="2"/>
        <w:spacing w:before="109" w:line="267" w:lineRule="auto"/>
        <w:ind w:firstLine="419"/>
        <w:rPr>
          <w:sz w:val="20"/>
          <w:szCs w:val="20"/>
        </w:rPr>
      </w:pPr>
      <w:r>
        <w:rPr>
          <w:spacing w:val="12"/>
          <w:sz w:val="20"/>
          <w:szCs w:val="20"/>
        </w:rPr>
        <w:t>十、承包人承诺按照合同约定进行施工、竣工、交付并在缺陷责任期内对工程缺陷承</w:t>
      </w:r>
      <w:r>
        <w:rPr>
          <w:spacing w:val="11"/>
          <w:sz w:val="20"/>
          <w:szCs w:val="20"/>
        </w:rPr>
        <w:t>担维修</w:t>
      </w:r>
      <w:r>
        <w:rPr>
          <w:sz w:val="20"/>
          <w:szCs w:val="20"/>
        </w:rPr>
        <w:t xml:space="preserve"> 责任。</w:t>
      </w:r>
    </w:p>
    <w:p w14:paraId="6603618A">
      <w:pPr>
        <w:pStyle w:val="2"/>
        <w:spacing w:before="101" w:line="218" w:lineRule="auto"/>
        <w:ind w:left="419"/>
        <w:rPr>
          <w:sz w:val="20"/>
          <w:szCs w:val="20"/>
        </w:rPr>
      </w:pPr>
      <w:r>
        <w:rPr>
          <w:spacing w:val="9"/>
          <w:sz w:val="20"/>
          <w:szCs w:val="20"/>
        </w:rPr>
        <w:t>十一、发包人承诺按照合同约定的条件、期限和方式向承包</w:t>
      </w:r>
      <w:r>
        <w:rPr>
          <w:spacing w:val="8"/>
          <w:sz w:val="20"/>
          <w:szCs w:val="20"/>
        </w:rPr>
        <w:t>人支付合同价款。</w:t>
      </w:r>
    </w:p>
    <w:p w14:paraId="45B7847A">
      <w:pPr>
        <w:pStyle w:val="2"/>
        <w:spacing w:before="124" w:line="258" w:lineRule="auto"/>
        <w:ind w:right="378" w:firstLine="419"/>
        <w:rPr>
          <w:sz w:val="20"/>
          <w:szCs w:val="20"/>
        </w:rPr>
      </w:pPr>
      <w:r>
        <w:rPr>
          <w:spacing w:val="10"/>
          <w:sz w:val="20"/>
          <w:szCs w:val="20"/>
        </w:rPr>
        <w:t>十二、本协议书连同其他合同文件正本一式两份，合同双方各执一份；副</w:t>
      </w:r>
      <w:r>
        <w:rPr>
          <w:spacing w:val="9"/>
          <w:sz w:val="20"/>
          <w:szCs w:val="20"/>
        </w:rPr>
        <w:t>本一式</w:t>
      </w:r>
      <w:r>
        <w:rPr>
          <w:spacing w:val="-88"/>
          <w:sz w:val="20"/>
          <w:szCs w:val="20"/>
        </w:rPr>
        <w:t xml:space="preserve"> </w:t>
      </w:r>
      <w:r>
        <w:rPr>
          <w:spacing w:val="5"/>
          <w:sz w:val="20"/>
          <w:szCs w:val="20"/>
          <w:u w:val="single" w:color="auto"/>
        </w:rPr>
        <w:t xml:space="preserve">       </w:t>
      </w:r>
      <w:r>
        <w:rPr>
          <w:spacing w:val="4"/>
          <w:sz w:val="20"/>
          <w:szCs w:val="20"/>
        </w:rPr>
        <w:t xml:space="preserve"> </w:t>
      </w:r>
      <w:r>
        <w:rPr>
          <w:spacing w:val="9"/>
          <w:sz w:val="20"/>
          <w:szCs w:val="20"/>
        </w:rPr>
        <w:t>份，其中一份在合同报送建设行政主管部门</w:t>
      </w:r>
      <w:r>
        <w:rPr>
          <w:spacing w:val="8"/>
          <w:sz w:val="20"/>
          <w:szCs w:val="20"/>
        </w:rPr>
        <w:t>备案时留存。</w:t>
      </w:r>
    </w:p>
    <w:p w14:paraId="2BCE54B7">
      <w:pPr>
        <w:pStyle w:val="2"/>
        <w:spacing w:before="92" w:line="276" w:lineRule="auto"/>
        <w:ind w:firstLine="419"/>
        <w:rPr>
          <w:sz w:val="20"/>
          <w:szCs w:val="20"/>
        </w:rPr>
      </w:pPr>
      <w:r>
        <w:rPr>
          <w:spacing w:val="12"/>
          <w:sz w:val="20"/>
          <w:szCs w:val="20"/>
        </w:rPr>
        <w:t>十三、合同未尽事宜，双方另行签订补充协议，但不得背离本协议第八条所约定的合</w:t>
      </w:r>
      <w:r>
        <w:rPr>
          <w:spacing w:val="11"/>
          <w:sz w:val="20"/>
          <w:szCs w:val="20"/>
        </w:rPr>
        <w:t>同文件</w:t>
      </w:r>
      <w:r>
        <w:rPr>
          <w:sz w:val="20"/>
          <w:szCs w:val="20"/>
        </w:rPr>
        <w:t xml:space="preserve"> </w:t>
      </w:r>
      <w:r>
        <w:rPr>
          <w:spacing w:val="8"/>
          <w:sz w:val="20"/>
          <w:szCs w:val="20"/>
        </w:rPr>
        <w:t>的实质性内容。补充协议是合同文件的组成部分。</w:t>
      </w:r>
    </w:p>
    <w:p w14:paraId="032055B5">
      <w:pPr>
        <w:spacing w:before="175"/>
      </w:pPr>
    </w:p>
    <w:p w14:paraId="4560E7C6">
      <w:pPr>
        <w:sectPr>
          <w:footerReference r:id="rId173" w:type="default"/>
          <w:pgSz w:w="11910" w:h="16840"/>
          <w:pgMar w:top="400" w:right="1551" w:bottom="1024" w:left="1460" w:header="0" w:footer="889" w:gutter="0"/>
          <w:cols w:equalWidth="0" w:num="1">
            <w:col w:w="8899"/>
          </w:cols>
        </w:sectPr>
      </w:pPr>
    </w:p>
    <w:p w14:paraId="3FD04454">
      <w:pPr>
        <w:pStyle w:val="2"/>
        <w:spacing w:before="45" w:line="348" w:lineRule="auto"/>
        <w:ind w:right="594"/>
        <w:rPr>
          <w:sz w:val="20"/>
          <w:szCs w:val="20"/>
        </w:rPr>
      </w:pPr>
      <w:r>
        <w:rPr>
          <w:spacing w:val="-2"/>
          <w:position w:val="-1"/>
          <w:sz w:val="20"/>
          <w:szCs w:val="20"/>
        </w:rPr>
        <w:t>发包人：</w:t>
      </w:r>
      <w:r>
        <w:rPr>
          <w:spacing w:val="-56"/>
          <w:position w:val="-1"/>
          <w:sz w:val="20"/>
          <w:szCs w:val="20"/>
        </w:rPr>
        <w:t xml:space="preserve"> </w:t>
      </w:r>
      <w:r>
        <w:rPr>
          <w:spacing w:val="5"/>
          <w:position w:val="-1"/>
          <w:sz w:val="20"/>
          <w:szCs w:val="20"/>
          <w:u w:val="single" w:color="auto"/>
        </w:rPr>
        <w:t xml:space="preserve">                </w:t>
      </w:r>
      <w:r>
        <w:rPr>
          <w:spacing w:val="-60"/>
          <w:position w:val="-1"/>
          <w:sz w:val="20"/>
          <w:szCs w:val="20"/>
        </w:rPr>
        <w:t xml:space="preserve"> </w:t>
      </w:r>
      <w:r>
        <w:rPr>
          <w:spacing w:val="-2"/>
          <w:sz w:val="21"/>
          <w:szCs w:val="21"/>
        </w:rPr>
        <w:t>(盖单位章)</w:t>
      </w:r>
      <w:r>
        <w:rPr>
          <w:sz w:val="21"/>
          <w:szCs w:val="21"/>
        </w:rPr>
        <w:t xml:space="preserve"> </w:t>
      </w:r>
      <w:r>
        <w:rPr>
          <w:spacing w:val="11"/>
          <w:sz w:val="20"/>
          <w:szCs w:val="20"/>
        </w:rPr>
        <w:t>法定代表人或其</w:t>
      </w:r>
    </w:p>
    <w:p w14:paraId="79B58A90">
      <w:pPr>
        <w:pStyle w:val="2"/>
        <w:spacing w:before="41" w:line="228" w:lineRule="auto"/>
        <w:rPr>
          <w:sz w:val="20"/>
          <w:szCs w:val="20"/>
        </w:rPr>
      </w:pPr>
      <w:r>
        <w:rPr>
          <w:spacing w:val="-6"/>
          <w:sz w:val="22"/>
          <w:szCs w:val="22"/>
        </w:rPr>
        <w:t>委托代理人：</w:t>
      </w:r>
      <w:r>
        <w:rPr>
          <w:spacing w:val="2"/>
          <w:sz w:val="22"/>
          <w:szCs w:val="22"/>
          <w:u w:val="single" w:color="auto"/>
        </w:rPr>
        <w:t xml:space="preserve">                </w:t>
      </w:r>
      <w:r>
        <w:rPr>
          <w:spacing w:val="-70"/>
          <w:sz w:val="22"/>
          <w:szCs w:val="22"/>
        </w:rPr>
        <w:t xml:space="preserve"> </w:t>
      </w:r>
      <w:r>
        <w:rPr>
          <w:spacing w:val="-6"/>
          <w:position w:val="1"/>
          <w:sz w:val="20"/>
          <w:szCs w:val="20"/>
        </w:rPr>
        <w:t>(签字)</w:t>
      </w:r>
    </w:p>
    <w:p w14:paraId="3A2AE571">
      <w:pPr>
        <w:spacing w:line="57" w:lineRule="auto"/>
        <w:rPr>
          <w:rFonts w:ascii="Arial"/>
          <w:sz w:val="2"/>
        </w:rPr>
      </w:pPr>
    </w:p>
    <w:p w14:paraId="5A85265C">
      <w:pPr>
        <w:spacing w:line="14" w:lineRule="auto"/>
        <w:rPr>
          <w:rFonts w:ascii="Arial"/>
          <w:sz w:val="2"/>
        </w:rPr>
      </w:pPr>
      <w:r>
        <w:rPr>
          <w:rFonts w:ascii="Arial" w:hAnsi="Arial" w:eastAsia="Arial" w:cs="Arial"/>
          <w:sz w:val="2"/>
          <w:szCs w:val="2"/>
        </w:rPr>
        <w:br w:type="column"/>
      </w:r>
    </w:p>
    <w:p w14:paraId="3263AE81">
      <w:pPr>
        <w:pStyle w:val="2"/>
        <w:spacing w:before="45" w:line="369" w:lineRule="auto"/>
        <w:ind w:right="384"/>
        <w:rPr>
          <w:sz w:val="20"/>
          <w:szCs w:val="20"/>
        </w:rPr>
      </w:pPr>
      <w:r>
        <w:rPr>
          <w:spacing w:val="2"/>
          <w:sz w:val="21"/>
          <w:szCs w:val="21"/>
        </w:rPr>
        <w:t>承包人：</w:t>
      </w:r>
      <w:r>
        <w:rPr>
          <w:spacing w:val="2"/>
          <w:sz w:val="21"/>
          <w:szCs w:val="21"/>
          <w:u w:val="single" w:color="auto"/>
        </w:rPr>
        <w:t xml:space="preserve">                     </w:t>
      </w:r>
      <w:r>
        <w:rPr>
          <w:spacing w:val="2"/>
          <w:sz w:val="21"/>
          <w:szCs w:val="21"/>
        </w:rPr>
        <w:t xml:space="preserve"> </w:t>
      </w:r>
      <w:r>
        <w:rPr>
          <w:spacing w:val="2"/>
          <w:sz w:val="20"/>
          <w:szCs w:val="20"/>
        </w:rPr>
        <w:t>(盖单位章)</w:t>
      </w:r>
      <w:r>
        <w:rPr>
          <w:spacing w:val="8"/>
          <w:sz w:val="20"/>
          <w:szCs w:val="20"/>
        </w:rPr>
        <w:t xml:space="preserve"> </w:t>
      </w:r>
      <w:r>
        <w:rPr>
          <w:spacing w:val="11"/>
          <w:sz w:val="20"/>
          <w:szCs w:val="20"/>
        </w:rPr>
        <w:t>法定代表人或其</w:t>
      </w:r>
    </w:p>
    <w:p w14:paraId="45BFC950">
      <w:pPr>
        <w:pStyle w:val="2"/>
        <w:spacing w:before="1" w:line="228" w:lineRule="auto"/>
        <w:ind w:left="50"/>
        <w:rPr>
          <w:sz w:val="20"/>
          <w:szCs w:val="20"/>
        </w:rPr>
      </w:pPr>
      <w:r>
        <w:rPr>
          <w:spacing w:val="1"/>
          <w:sz w:val="20"/>
          <w:szCs w:val="20"/>
        </w:rPr>
        <w:t>委托代理人：</w:t>
      </w:r>
      <w:r>
        <w:rPr>
          <w:spacing w:val="-68"/>
          <w:sz w:val="20"/>
          <w:szCs w:val="20"/>
        </w:rPr>
        <w:t xml:space="preserve"> </w:t>
      </w:r>
      <w:r>
        <w:rPr>
          <w:spacing w:val="3"/>
          <w:sz w:val="20"/>
          <w:szCs w:val="20"/>
          <w:u w:val="single" w:color="auto"/>
        </w:rPr>
        <w:t xml:space="preserve">                     </w:t>
      </w:r>
      <w:r>
        <w:rPr>
          <w:spacing w:val="27"/>
          <w:sz w:val="20"/>
          <w:szCs w:val="20"/>
        </w:rPr>
        <w:t xml:space="preserve"> </w:t>
      </w:r>
      <w:r>
        <w:rPr>
          <w:spacing w:val="1"/>
          <w:sz w:val="20"/>
          <w:szCs w:val="20"/>
        </w:rPr>
        <w:t>(签字)</w:t>
      </w:r>
    </w:p>
    <w:p w14:paraId="364504BE">
      <w:pPr>
        <w:spacing w:line="228" w:lineRule="auto"/>
        <w:rPr>
          <w:sz w:val="20"/>
          <w:szCs w:val="20"/>
        </w:rPr>
        <w:sectPr>
          <w:type w:val="continuous"/>
          <w:pgSz w:w="11910" w:h="16840"/>
          <w:pgMar w:top="400" w:right="1551" w:bottom="1024" w:left="1460" w:header="0" w:footer="889" w:gutter="0"/>
          <w:cols w:equalWidth="0" w:num="2">
            <w:col w:w="4190" w:space="100"/>
            <w:col w:w="4609"/>
          </w:cols>
        </w:sectPr>
      </w:pPr>
    </w:p>
    <w:p w14:paraId="06B87FE6">
      <w:pPr>
        <w:spacing w:line="447" w:lineRule="auto"/>
        <w:rPr>
          <w:rFonts w:ascii="Arial"/>
          <w:sz w:val="21"/>
        </w:rPr>
      </w:pPr>
    </w:p>
    <w:p w14:paraId="40D69594">
      <w:pPr>
        <w:pStyle w:val="2"/>
        <w:tabs>
          <w:tab w:val="left" w:pos="1259"/>
        </w:tabs>
        <w:spacing w:before="65" w:line="241" w:lineRule="auto"/>
        <w:rPr>
          <w:rFonts w:ascii="黑体" w:hAnsi="黑体" w:eastAsia="黑体" w:cs="黑体"/>
          <w:sz w:val="19"/>
          <w:szCs w:val="19"/>
        </w:rPr>
      </w:pPr>
      <w:r>
        <w:rPr>
          <w:rFonts w:ascii="黑体" w:hAnsi="黑体" w:eastAsia="黑体" w:cs="黑体"/>
          <w:position w:val="-1"/>
          <w:sz w:val="20"/>
          <w:szCs w:val="20"/>
          <w:u w:val="single" w:color="auto"/>
        </w:rPr>
        <w:tab/>
      </w:r>
      <w:r>
        <w:rPr>
          <w:rFonts w:ascii="黑体" w:hAnsi="黑体" w:eastAsia="黑体" w:cs="黑体"/>
          <w:spacing w:val="-30"/>
          <w:position w:val="-1"/>
          <w:sz w:val="20"/>
          <w:szCs w:val="20"/>
        </w:rPr>
        <w:t>年</w:t>
      </w:r>
      <w:r>
        <w:rPr>
          <w:rFonts w:ascii="黑体" w:hAnsi="黑体" w:eastAsia="黑体" w:cs="黑体"/>
          <w:spacing w:val="-71"/>
          <w:position w:val="-1"/>
          <w:sz w:val="20"/>
          <w:szCs w:val="20"/>
        </w:rPr>
        <w:t xml:space="preserve"> </w:t>
      </w:r>
      <w:r>
        <w:rPr>
          <w:rFonts w:ascii="黑体" w:hAnsi="黑体" w:eastAsia="黑体" w:cs="黑体"/>
          <w:spacing w:val="5"/>
          <w:position w:val="-1"/>
          <w:sz w:val="20"/>
          <w:szCs w:val="20"/>
          <w:u w:val="single" w:color="auto"/>
        </w:rPr>
        <w:t xml:space="preserve">         </w:t>
      </w:r>
      <w:r>
        <w:rPr>
          <w:spacing w:val="-17"/>
          <w:w w:val="70"/>
          <w:sz w:val="20"/>
          <w:szCs w:val="20"/>
        </w:rPr>
        <w:t>_</w:t>
      </w:r>
      <w:r>
        <w:rPr>
          <w:spacing w:val="-30"/>
          <w:sz w:val="20"/>
          <w:szCs w:val="20"/>
        </w:rPr>
        <w:t>月</w:t>
      </w:r>
      <w:r>
        <w:rPr>
          <w:spacing w:val="-17"/>
          <w:w w:val="70"/>
          <w:sz w:val="20"/>
          <w:szCs w:val="20"/>
        </w:rPr>
        <w:t>_</w:t>
      </w:r>
      <w:r>
        <w:rPr>
          <w:spacing w:val="-85"/>
          <w:sz w:val="20"/>
          <w:szCs w:val="20"/>
        </w:rPr>
        <w:t xml:space="preserve"> </w:t>
      </w:r>
      <w:r>
        <w:rPr>
          <w:spacing w:val="5"/>
          <w:sz w:val="20"/>
          <w:szCs w:val="20"/>
          <w:u w:val="single" w:color="auto"/>
        </w:rPr>
        <w:t xml:space="preserve">         </w:t>
      </w:r>
      <w:r>
        <w:rPr>
          <w:spacing w:val="-65"/>
          <w:sz w:val="20"/>
          <w:szCs w:val="20"/>
        </w:rPr>
        <w:t xml:space="preserve"> </w:t>
      </w:r>
      <w:r>
        <w:rPr>
          <w:rFonts w:ascii="黑体" w:hAnsi="黑体" w:eastAsia="黑体" w:cs="黑体"/>
          <w:spacing w:val="-30"/>
          <w:sz w:val="20"/>
          <w:szCs w:val="20"/>
        </w:rPr>
        <w:t>日</w:t>
      </w:r>
      <w:r>
        <w:rPr>
          <w:rFonts w:ascii="黑体" w:hAnsi="黑体" w:eastAsia="黑体" w:cs="黑体"/>
          <w:spacing w:val="8"/>
          <w:sz w:val="20"/>
          <w:szCs w:val="20"/>
        </w:rPr>
        <w:t xml:space="preserve">      </w:t>
      </w:r>
      <w:r>
        <w:rPr>
          <w:rFonts w:ascii="黑体" w:hAnsi="黑体" w:eastAsia="黑体" w:cs="黑体"/>
          <w:spacing w:val="4"/>
          <w:sz w:val="20"/>
          <w:szCs w:val="20"/>
          <w:u w:val="single" w:color="auto"/>
        </w:rPr>
        <w:t xml:space="preserve">           </w:t>
      </w:r>
      <w:r>
        <w:rPr>
          <w:rFonts w:ascii="黑体" w:hAnsi="黑体" w:eastAsia="黑体" w:cs="黑体"/>
          <w:spacing w:val="-30"/>
          <w:position w:val="-1"/>
          <w:sz w:val="20"/>
          <w:szCs w:val="20"/>
        </w:rPr>
        <w:t>年</w:t>
      </w:r>
      <w:r>
        <w:rPr>
          <w:rFonts w:ascii="黑体" w:hAnsi="黑体" w:eastAsia="黑体" w:cs="黑体"/>
          <w:spacing w:val="9"/>
          <w:position w:val="-1"/>
          <w:sz w:val="20"/>
          <w:szCs w:val="20"/>
          <w:u w:val="single" w:color="auto"/>
        </w:rPr>
        <w:t xml:space="preserve">         </w:t>
      </w:r>
      <w:r>
        <w:rPr>
          <w:rFonts w:ascii="黑体" w:hAnsi="黑体" w:eastAsia="黑体" w:cs="黑体"/>
          <w:spacing w:val="-89"/>
          <w:position w:val="-1"/>
          <w:sz w:val="20"/>
          <w:szCs w:val="20"/>
        </w:rPr>
        <w:t xml:space="preserve"> </w:t>
      </w:r>
      <w:r>
        <w:rPr>
          <w:rFonts w:ascii="黑体" w:hAnsi="黑体" w:eastAsia="黑体" w:cs="黑体"/>
          <w:spacing w:val="-30"/>
          <w:sz w:val="20"/>
          <w:szCs w:val="20"/>
        </w:rPr>
        <w:t>月</w:t>
      </w:r>
      <w:r>
        <w:rPr>
          <w:rFonts w:ascii="黑体" w:hAnsi="黑体" w:eastAsia="黑体" w:cs="黑体"/>
          <w:spacing w:val="-30"/>
          <w:sz w:val="20"/>
          <w:szCs w:val="20"/>
          <w:u w:val="single" w:color="auto"/>
        </w:rPr>
        <w:t xml:space="preserve">            </w:t>
      </w:r>
      <w:r>
        <w:rPr>
          <w:rFonts w:ascii="黑体" w:hAnsi="黑体" w:eastAsia="黑体" w:cs="黑体"/>
          <w:spacing w:val="-70"/>
          <w:sz w:val="20"/>
          <w:szCs w:val="20"/>
        </w:rPr>
        <w:t xml:space="preserve"> </w:t>
      </w:r>
      <w:r>
        <w:rPr>
          <w:rFonts w:ascii="黑体" w:hAnsi="黑体" w:eastAsia="黑体" w:cs="黑体"/>
          <w:spacing w:val="-30"/>
          <w:position w:val="2"/>
          <w:sz w:val="19"/>
          <w:szCs w:val="19"/>
        </w:rPr>
        <w:t>日</w:t>
      </w:r>
    </w:p>
    <w:p w14:paraId="2F7E287A">
      <w:pPr>
        <w:pStyle w:val="2"/>
        <w:spacing w:before="132" w:line="184" w:lineRule="auto"/>
        <w:rPr>
          <w:sz w:val="20"/>
          <w:szCs w:val="20"/>
        </w:rPr>
      </w:pPr>
      <w:r>
        <w:rPr>
          <w:sz w:val="20"/>
          <w:szCs w:val="20"/>
        </w:rPr>
        <w:t>签约地点：</w:t>
      </w:r>
      <w:r>
        <w:rPr>
          <w:spacing w:val="-71"/>
          <w:sz w:val="20"/>
          <w:szCs w:val="20"/>
        </w:rPr>
        <w:t xml:space="preserve"> </w:t>
      </w:r>
      <w:r>
        <w:rPr>
          <w:sz w:val="20"/>
          <w:szCs w:val="20"/>
          <w:u w:val="single" w:color="auto"/>
        </w:rPr>
        <w:t xml:space="preserve">                                                                     </w:t>
      </w:r>
    </w:p>
    <w:p w14:paraId="02265677">
      <w:pPr>
        <w:spacing w:line="184" w:lineRule="auto"/>
        <w:rPr>
          <w:sz w:val="20"/>
          <w:szCs w:val="20"/>
        </w:rPr>
        <w:sectPr>
          <w:type w:val="continuous"/>
          <w:pgSz w:w="11910" w:h="16840"/>
          <w:pgMar w:top="400" w:right="1551" w:bottom="1024" w:left="1460" w:header="0" w:footer="889" w:gutter="0"/>
          <w:cols w:equalWidth="0" w:num="1">
            <w:col w:w="8899"/>
          </w:cols>
        </w:sectPr>
      </w:pPr>
    </w:p>
    <w:p w14:paraId="47EA8075">
      <w:pPr>
        <w:spacing w:line="270" w:lineRule="auto"/>
        <w:rPr>
          <w:rFonts w:ascii="Arial"/>
          <w:sz w:val="21"/>
        </w:rPr>
      </w:pPr>
    </w:p>
    <w:p w14:paraId="068D407A">
      <w:pPr>
        <w:spacing w:line="270" w:lineRule="auto"/>
        <w:rPr>
          <w:rFonts w:ascii="Arial"/>
          <w:sz w:val="21"/>
        </w:rPr>
      </w:pPr>
    </w:p>
    <w:p w14:paraId="17FC61B7">
      <w:pPr>
        <w:spacing w:line="270" w:lineRule="auto"/>
        <w:rPr>
          <w:rFonts w:ascii="Arial"/>
          <w:sz w:val="21"/>
        </w:rPr>
      </w:pPr>
    </w:p>
    <w:p w14:paraId="772C7504">
      <w:pPr>
        <w:spacing w:line="270" w:lineRule="auto"/>
        <w:rPr>
          <w:rFonts w:ascii="Arial"/>
          <w:sz w:val="21"/>
        </w:rPr>
      </w:pPr>
    </w:p>
    <w:p w14:paraId="4B0F03D7">
      <w:pPr>
        <w:spacing w:line="270" w:lineRule="auto"/>
        <w:rPr>
          <w:rFonts w:ascii="Arial"/>
          <w:sz w:val="21"/>
        </w:rPr>
      </w:pPr>
    </w:p>
    <w:p w14:paraId="7FFC3885">
      <w:pPr>
        <w:spacing w:before="65" w:line="222" w:lineRule="auto"/>
        <w:ind w:left="12"/>
        <w:rPr>
          <w:rFonts w:ascii="黑体" w:hAnsi="黑体" w:eastAsia="黑体" w:cs="黑体"/>
          <w:sz w:val="20"/>
          <w:szCs w:val="20"/>
        </w:rPr>
      </w:pPr>
      <w:r>
        <w:rPr>
          <w:rFonts w:ascii="黑体" w:hAnsi="黑体" w:eastAsia="黑体" w:cs="黑体"/>
          <w:b/>
          <w:bCs/>
          <w:spacing w:val="36"/>
          <w:sz w:val="20"/>
          <w:szCs w:val="20"/>
        </w:rPr>
        <w:t>附件二：预付款担保格式</w:t>
      </w:r>
    </w:p>
    <w:p w14:paraId="046BB791">
      <w:pPr>
        <w:spacing w:line="255" w:lineRule="auto"/>
        <w:rPr>
          <w:rFonts w:ascii="Arial"/>
          <w:sz w:val="21"/>
        </w:rPr>
      </w:pPr>
    </w:p>
    <w:p w14:paraId="7697C482">
      <w:pPr>
        <w:spacing w:before="94" w:line="222" w:lineRule="auto"/>
        <w:ind w:left="4034"/>
        <w:rPr>
          <w:rFonts w:ascii="黑体" w:hAnsi="黑体" w:eastAsia="黑体" w:cs="黑体"/>
          <w:sz w:val="29"/>
          <w:szCs w:val="29"/>
        </w:rPr>
      </w:pPr>
      <w:r>
        <w:rPr>
          <w:rFonts w:ascii="黑体" w:hAnsi="黑体" w:eastAsia="黑体" w:cs="黑体"/>
          <w:b/>
          <w:bCs/>
          <w:spacing w:val="-6"/>
          <w:sz w:val="29"/>
          <w:szCs w:val="29"/>
        </w:rPr>
        <w:t>预付款担保</w:t>
      </w:r>
    </w:p>
    <w:p w14:paraId="04803ACA">
      <w:pPr>
        <w:spacing w:line="326" w:lineRule="auto"/>
        <w:rPr>
          <w:rFonts w:ascii="Arial"/>
          <w:sz w:val="21"/>
        </w:rPr>
      </w:pPr>
    </w:p>
    <w:p w14:paraId="62D25DE1">
      <w:pPr>
        <w:pStyle w:val="2"/>
        <w:spacing w:before="65" w:line="219" w:lineRule="auto"/>
        <w:ind w:left="6819"/>
        <w:rPr>
          <w:sz w:val="20"/>
          <w:szCs w:val="20"/>
        </w:rPr>
      </w:pPr>
      <w:r>
        <w:rPr>
          <w:sz w:val="20"/>
          <w:szCs w:val="20"/>
        </w:rPr>
        <w:t>保函编号：</w:t>
      </w:r>
      <w:r>
        <w:rPr>
          <w:spacing w:val="-70"/>
          <w:sz w:val="20"/>
          <w:szCs w:val="20"/>
        </w:rPr>
        <w:t xml:space="preserve"> </w:t>
      </w:r>
      <w:r>
        <w:rPr>
          <w:sz w:val="20"/>
          <w:szCs w:val="20"/>
          <w:u w:val="single" w:color="auto"/>
        </w:rPr>
        <w:t xml:space="preserve">            </w:t>
      </w:r>
    </w:p>
    <w:p w14:paraId="0F373186">
      <w:pPr>
        <w:pStyle w:val="2"/>
        <w:tabs>
          <w:tab w:val="left" w:pos="2678"/>
        </w:tabs>
        <w:spacing w:before="153" w:line="220" w:lineRule="auto"/>
        <w:rPr>
          <w:sz w:val="20"/>
          <w:szCs w:val="20"/>
        </w:rPr>
      </w:pPr>
      <w:r>
        <w:rPr>
          <w:sz w:val="20"/>
          <w:szCs w:val="20"/>
          <w:u w:val="single" w:color="auto"/>
        </w:rPr>
        <w:tab/>
      </w:r>
      <w:r>
        <w:rPr>
          <w:spacing w:val="10"/>
          <w:sz w:val="20"/>
          <w:szCs w:val="20"/>
        </w:rPr>
        <w:t xml:space="preserve"> </w:t>
      </w:r>
      <w:r>
        <w:rPr>
          <w:spacing w:val="5"/>
          <w:sz w:val="20"/>
          <w:szCs w:val="20"/>
        </w:rPr>
        <w:t>(发包人名称):</w:t>
      </w:r>
    </w:p>
    <w:p w14:paraId="0CA1D622">
      <w:pPr>
        <w:pStyle w:val="2"/>
        <w:spacing w:before="174" w:line="368" w:lineRule="auto"/>
        <w:ind w:left="10" w:right="19" w:firstLine="419"/>
        <w:rPr>
          <w:sz w:val="20"/>
          <w:szCs w:val="20"/>
        </w:rPr>
      </w:pPr>
      <w:r>
        <w:rPr>
          <w:sz w:val="20"/>
          <w:szCs w:val="20"/>
        </w:rPr>
        <w:t>鉴于你方作为发包人已经与</w:t>
      </w:r>
      <w:r>
        <w:rPr>
          <w:spacing w:val="-90"/>
          <w:sz w:val="20"/>
          <w:szCs w:val="20"/>
        </w:rPr>
        <w:t xml:space="preserve"> </w:t>
      </w:r>
      <w:r>
        <w:rPr>
          <w:spacing w:val="1"/>
          <w:sz w:val="20"/>
          <w:szCs w:val="20"/>
          <w:u w:val="single" w:color="auto"/>
        </w:rPr>
        <w:t xml:space="preserve">                   </w:t>
      </w:r>
      <w:r>
        <w:rPr>
          <w:sz w:val="20"/>
          <w:szCs w:val="20"/>
          <w:u w:val="single" w:color="auto"/>
        </w:rPr>
        <w:t xml:space="preserve">     </w:t>
      </w:r>
      <w:r>
        <w:rPr>
          <w:spacing w:val="-79"/>
          <w:sz w:val="20"/>
          <w:szCs w:val="20"/>
        </w:rPr>
        <w:t xml:space="preserve"> </w:t>
      </w:r>
      <w:r>
        <w:rPr>
          <w:sz w:val="20"/>
          <w:szCs w:val="20"/>
        </w:rPr>
        <w:t>_</w:t>
      </w:r>
      <w:r>
        <w:rPr>
          <w:spacing w:val="-54"/>
          <w:sz w:val="20"/>
          <w:szCs w:val="20"/>
        </w:rPr>
        <w:t xml:space="preserve"> </w:t>
      </w:r>
      <w:r>
        <w:rPr>
          <w:sz w:val="20"/>
          <w:szCs w:val="20"/>
        </w:rPr>
        <w:t>(承包人名称)(以下称“承</w:t>
      </w:r>
      <w:r>
        <w:rPr>
          <w:spacing w:val="-1"/>
          <w:sz w:val="20"/>
          <w:szCs w:val="20"/>
        </w:rPr>
        <w:t>包人”)于</w:t>
      </w:r>
      <w:r>
        <w:rPr>
          <w:spacing w:val="-97"/>
          <w:sz w:val="20"/>
          <w:szCs w:val="20"/>
        </w:rPr>
        <w:t xml:space="preserve"> </w:t>
      </w:r>
      <w:r>
        <w:rPr>
          <w:spacing w:val="1"/>
          <w:sz w:val="20"/>
          <w:szCs w:val="20"/>
          <w:u w:val="single" w:color="auto"/>
        </w:rPr>
        <w:t xml:space="preserve">   </w:t>
      </w:r>
      <w:r>
        <w:rPr>
          <w:spacing w:val="2"/>
          <w:sz w:val="20"/>
          <w:szCs w:val="20"/>
        </w:rPr>
        <w:t xml:space="preserve"> 年</w:t>
      </w:r>
      <w:r>
        <w:rPr>
          <w:spacing w:val="-82"/>
          <w:sz w:val="20"/>
          <w:szCs w:val="20"/>
        </w:rPr>
        <w:t xml:space="preserve"> </w:t>
      </w:r>
      <w:r>
        <w:rPr>
          <w:spacing w:val="5"/>
          <w:sz w:val="20"/>
          <w:szCs w:val="20"/>
          <w:u w:val="single" w:color="auto"/>
        </w:rPr>
        <w:t xml:space="preserve">       </w:t>
      </w:r>
      <w:r>
        <w:rPr>
          <w:spacing w:val="-95"/>
          <w:sz w:val="20"/>
          <w:szCs w:val="20"/>
        </w:rPr>
        <w:t xml:space="preserve"> </w:t>
      </w:r>
      <w:r>
        <w:rPr>
          <w:spacing w:val="2"/>
          <w:sz w:val="20"/>
          <w:szCs w:val="20"/>
        </w:rPr>
        <w:t>_月</w:t>
      </w:r>
      <w:r>
        <w:rPr>
          <w:spacing w:val="2"/>
          <w:sz w:val="20"/>
          <w:szCs w:val="20"/>
          <w:u w:val="single" w:color="auto"/>
        </w:rPr>
        <w:t xml:space="preserve">      </w:t>
      </w:r>
      <w:r>
        <w:rPr>
          <w:spacing w:val="-90"/>
          <w:sz w:val="20"/>
          <w:szCs w:val="20"/>
        </w:rPr>
        <w:t xml:space="preserve"> </w:t>
      </w:r>
      <w:r>
        <w:rPr>
          <w:spacing w:val="2"/>
          <w:sz w:val="20"/>
          <w:szCs w:val="20"/>
        </w:rPr>
        <w:t>日签订了</w:t>
      </w:r>
      <w:r>
        <w:rPr>
          <w:spacing w:val="2"/>
          <w:sz w:val="20"/>
          <w:szCs w:val="20"/>
          <w:u w:val="single" w:color="auto"/>
        </w:rPr>
        <w:t xml:space="preserve">              </w:t>
      </w:r>
      <w:r>
        <w:rPr>
          <w:spacing w:val="-90"/>
          <w:sz w:val="20"/>
          <w:szCs w:val="20"/>
        </w:rPr>
        <w:t xml:space="preserve"> </w:t>
      </w:r>
      <w:r>
        <w:rPr>
          <w:spacing w:val="2"/>
          <w:sz w:val="20"/>
          <w:szCs w:val="20"/>
        </w:rPr>
        <w:t>(工程名称)施工承包合同(以下称“主合同”)。</w:t>
      </w:r>
    </w:p>
    <w:p w14:paraId="3674136C">
      <w:pPr>
        <w:pStyle w:val="2"/>
        <w:spacing w:before="10" w:line="362" w:lineRule="auto"/>
        <w:ind w:left="10" w:right="71" w:firstLine="419"/>
        <w:jc w:val="both"/>
        <w:rPr>
          <w:sz w:val="20"/>
          <w:szCs w:val="20"/>
        </w:rPr>
      </w:pPr>
      <w:r>
        <w:rPr>
          <w:spacing w:val="7"/>
          <w:sz w:val="20"/>
          <w:szCs w:val="20"/>
        </w:rPr>
        <w:t>鉴于该主合同规定，你方将支付承包人一笔金额为</w:t>
      </w:r>
      <w:r>
        <w:rPr>
          <w:spacing w:val="-86"/>
          <w:sz w:val="20"/>
          <w:szCs w:val="20"/>
        </w:rPr>
        <w:t xml:space="preserve"> </w:t>
      </w:r>
      <w:r>
        <w:rPr>
          <w:spacing w:val="5"/>
          <w:sz w:val="20"/>
          <w:szCs w:val="20"/>
          <w:u w:val="single" w:color="auto"/>
        </w:rPr>
        <w:t xml:space="preserve">       </w:t>
      </w:r>
      <w:r>
        <w:rPr>
          <w:spacing w:val="45"/>
          <w:sz w:val="20"/>
          <w:szCs w:val="20"/>
        </w:rPr>
        <w:t xml:space="preserve"> </w:t>
      </w:r>
      <w:r>
        <w:rPr>
          <w:spacing w:val="7"/>
          <w:sz w:val="20"/>
          <w:szCs w:val="20"/>
        </w:rPr>
        <w:t>(大写：</w:t>
      </w:r>
      <w:r>
        <w:rPr>
          <w:spacing w:val="1"/>
          <w:sz w:val="20"/>
          <w:szCs w:val="20"/>
          <w:u w:val="single" w:color="auto"/>
        </w:rPr>
        <w:t xml:space="preserve">                 </w:t>
      </w:r>
      <w:r>
        <w:rPr>
          <w:spacing w:val="-67"/>
          <w:sz w:val="20"/>
          <w:szCs w:val="20"/>
        </w:rPr>
        <w:t xml:space="preserve"> </w:t>
      </w:r>
      <w:r>
        <w:rPr>
          <w:spacing w:val="7"/>
          <w:sz w:val="20"/>
          <w:szCs w:val="20"/>
        </w:rPr>
        <w:t>)的预</w:t>
      </w:r>
      <w:r>
        <w:rPr>
          <w:sz w:val="20"/>
          <w:szCs w:val="20"/>
        </w:rPr>
        <w:t xml:space="preserve"> </w:t>
      </w:r>
      <w:r>
        <w:rPr>
          <w:spacing w:val="12"/>
          <w:sz w:val="20"/>
          <w:szCs w:val="20"/>
        </w:rPr>
        <w:t>付款(以下称“预付款”),而承包人须向你方提供与预付款等额的不可撤</w:t>
      </w:r>
      <w:r>
        <w:rPr>
          <w:spacing w:val="11"/>
          <w:sz w:val="20"/>
          <w:szCs w:val="20"/>
        </w:rPr>
        <w:t>消和无条件兑现的预付</w:t>
      </w:r>
      <w:r>
        <w:rPr>
          <w:sz w:val="20"/>
          <w:szCs w:val="20"/>
        </w:rPr>
        <w:t xml:space="preserve"> </w:t>
      </w:r>
      <w:r>
        <w:rPr>
          <w:spacing w:val="2"/>
          <w:sz w:val="20"/>
          <w:szCs w:val="20"/>
        </w:rPr>
        <w:t>款保函。</w:t>
      </w:r>
    </w:p>
    <w:p w14:paraId="6E6848E9">
      <w:pPr>
        <w:pStyle w:val="2"/>
        <w:spacing w:before="13" w:line="219" w:lineRule="auto"/>
        <w:ind w:left="429"/>
        <w:rPr>
          <w:sz w:val="20"/>
          <w:szCs w:val="20"/>
        </w:rPr>
      </w:pPr>
      <w:r>
        <w:rPr>
          <w:spacing w:val="8"/>
          <w:sz w:val="20"/>
          <w:szCs w:val="20"/>
        </w:rPr>
        <w:t>我方受承包人委托，为承包人履行主合同规定的义务作出如下不可撤销的保证：</w:t>
      </w:r>
    </w:p>
    <w:p w14:paraId="5340F94C">
      <w:pPr>
        <w:pStyle w:val="2"/>
        <w:spacing w:before="173" w:line="364" w:lineRule="auto"/>
        <w:ind w:left="10" w:right="116" w:firstLine="419"/>
        <w:rPr>
          <w:sz w:val="20"/>
          <w:szCs w:val="20"/>
        </w:rPr>
      </w:pPr>
      <w:r>
        <w:rPr>
          <w:spacing w:val="10"/>
          <w:sz w:val="20"/>
          <w:szCs w:val="20"/>
        </w:rPr>
        <w:t>我方将在收到你方提出要求收回上述预付款金额的部分或全部的索偿通知时，无须你方提出</w:t>
      </w:r>
      <w:r>
        <w:rPr>
          <w:spacing w:val="3"/>
          <w:sz w:val="20"/>
          <w:szCs w:val="20"/>
        </w:rPr>
        <w:t xml:space="preserve"> </w:t>
      </w:r>
      <w:r>
        <w:rPr>
          <w:spacing w:val="8"/>
          <w:sz w:val="20"/>
          <w:szCs w:val="20"/>
        </w:rPr>
        <w:t>任何证明或证据，立即无条件地向你方支付不超</w:t>
      </w:r>
      <w:r>
        <w:rPr>
          <w:spacing w:val="8"/>
          <w:sz w:val="20"/>
          <w:szCs w:val="20"/>
          <w:u w:val="single" w:color="auto"/>
        </w:rPr>
        <w:t>过</w:t>
      </w:r>
      <w:r>
        <w:rPr>
          <w:sz w:val="20"/>
          <w:szCs w:val="20"/>
          <w:u w:val="single" w:color="auto"/>
        </w:rPr>
        <w:t xml:space="preserve">                              </w:t>
      </w:r>
      <w:r>
        <w:rPr>
          <w:spacing w:val="-64"/>
          <w:sz w:val="20"/>
          <w:szCs w:val="20"/>
        </w:rPr>
        <w:t xml:space="preserve"> </w:t>
      </w:r>
      <w:r>
        <w:rPr>
          <w:spacing w:val="8"/>
          <w:sz w:val="20"/>
          <w:szCs w:val="20"/>
        </w:rPr>
        <w:t>(大</w:t>
      </w:r>
    </w:p>
    <w:p w14:paraId="375E7B13">
      <w:pPr>
        <w:pStyle w:val="2"/>
        <w:spacing w:before="2" w:line="364" w:lineRule="auto"/>
        <w:ind w:left="10" w:right="150"/>
        <w:rPr>
          <w:sz w:val="20"/>
          <w:szCs w:val="20"/>
        </w:rPr>
      </w:pPr>
      <w:r>
        <w:rPr>
          <w:spacing w:val="6"/>
          <w:sz w:val="20"/>
          <w:szCs w:val="20"/>
        </w:rPr>
        <w:t>写</w:t>
      </w:r>
      <w:r>
        <w:rPr>
          <w:spacing w:val="-42"/>
          <w:sz w:val="20"/>
          <w:szCs w:val="20"/>
        </w:rPr>
        <w:t xml:space="preserve"> </w:t>
      </w:r>
      <w:r>
        <w:rPr>
          <w:spacing w:val="6"/>
          <w:sz w:val="20"/>
          <w:szCs w:val="20"/>
        </w:rPr>
        <w:t>：</w:t>
      </w:r>
      <w:r>
        <w:rPr>
          <w:spacing w:val="6"/>
          <w:sz w:val="20"/>
          <w:szCs w:val="20"/>
          <w:u w:val="single" w:color="auto"/>
        </w:rPr>
        <w:t xml:space="preserve">                         </w:t>
      </w:r>
      <w:r>
        <w:rPr>
          <w:spacing w:val="6"/>
          <w:sz w:val="20"/>
          <w:szCs w:val="20"/>
        </w:rPr>
        <w:t>)或根据本保函约定递减后的其他金额的任何你方要求的金额，</w:t>
      </w:r>
      <w:r>
        <w:rPr>
          <w:sz w:val="20"/>
          <w:szCs w:val="20"/>
        </w:rPr>
        <w:t xml:space="preserve"> </w:t>
      </w:r>
      <w:r>
        <w:rPr>
          <w:spacing w:val="7"/>
          <w:sz w:val="20"/>
          <w:szCs w:val="20"/>
        </w:rPr>
        <w:t>并放弃向你方追索的权力。</w:t>
      </w:r>
    </w:p>
    <w:p w14:paraId="5C61866C">
      <w:pPr>
        <w:pStyle w:val="2"/>
        <w:spacing w:before="1" w:line="378" w:lineRule="auto"/>
        <w:ind w:left="10" w:right="560" w:firstLine="419"/>
        <w:rPr>
          <w:sz w:val="20"/>
          <w:szCs w:val="20"/>
        </w:rPr>
      </w:pPr>
      <w:r>
        <w:rPr>
          <w:spacing w:val="9"/>
          <w:sz w:val="20"/>
          <w:szCs w:val="20"/>
        </w:rPr>
        <w:t>我方特此确认并同意：我方受本保函制约的责任是连续的，主合同的任何修改、变更、</w:t>
      </w:r>
      <w:r>
        <w:rPr>
          <w:spacing w:val="16"/>
          <w:sz w:val="20"/>
          <w:szCs w:val="20"/>
        </w:rPr>
        <w:t xml:space="preserve"> </w:t>
      </w:r>
      <w:r>
        <w:rPr>
          <w:spacing w:val="8"/>
          <w:sz w:val="20"/>
          <w:szCs w:val="20"/>
        </w:rPr>
        <w:t>中止、终止或失效都不能削弱或影响我方受本保函制约的责任。</w:t>
      </w:r>
    </w:p>
    <w:p w14:paraId="62EC5854">
      <w:pPr>
        <w:pStyle w:val="2"/>
        <w:spacing w:before="1" w:line="362" w:lineRule="auto"/>
        <w:ind w:left="10" w:right="537" w:firstLine="419"/>
        <w:rPr>
          <w:sz w:val="20"/>
          <w:szCs w:val="20"/>
        </w:rPr>
      </w:pPr>
      <w:r>
        <w:rPr>
          <w:spacing w:val="10"/>
          <w:sz w:val="20"/>
          <w:szCs w:val="20"/>
        </w:rPr>
        <w:t>在收到你方的书面通知后，本保函的担保金额将根据你方依主合同签认的进度付款证书</w:t>
      </w:r>
      <w:r>
        <w:rPr>
          <w:spacing w:val="1"/>
          <w:sz w:val="20"/>
          <w:szCs w:val="20"/>
        </w:rPr>
        <w:t xml:space="preserve"> </w:t>
      </w:r>
      <w:r>
        <w:rPr>
          <w:spacing w:val="7"/>
          <w:sz w:val="20"/>
          <w:szCs w:val="20"/>
        </w:rPr>
        <w:t>中累计扣回的预付款金额作等额调减。</w:t>
      </w:r>
    </w:p>
    <w:p w14:paraId="2743A0DD">
      <w:pPr>
        <w:pStyle w:val="2"/>
        <w:spacing w:before="24" w:line="219" w:lineRule="auto"/>
        <w:ind w:left="429"/>
        <w:rPr>
          <w:sz w:val="20"/>
          <w:szCs w:val="20"/>
        </w:rPr>
      </w:pPr>
      <w:r>
        <w:rPr>
          <w:spacing w:val="9"/>
          <w:sz w:val="20"/>
          <w:szCs w:val="20"/>
        </w:rPr>
        <w:t>本保函自预付款支付给承包人起生效，至你方签发的进度付款证书说明已抵扣完毕止。</w:t>
      </w:r>
    </w:p>
    <w:p w14:paraId="35330FFC">
      <w:pPr>
        <w:pStyle w:val="2"/>
        <w:spacing w:before="153" w:line="219" w:lineRule="auto"/>
        <w:ind w:left="429"/>
        <w:rPr>
          <w:sz w:val="20"/>
          <w:szCs w:val="20"/>
        </w:rPr>
      </w:pPr>
      <w:r>
        <w:rPr>
          <w:spacing w:val="10"/>
          <w:sz w:val="20"/>
          <w:szCs w:val="20"/>
        </w:rPr>
        <w:t>除非你方提前终止或解除本保函。本保函失效后请</w:t>
      </w:r>
      <w:r>
        <w:rPr>
          <w:spacing w:val="9"/>
          <w:sz w:val="20"/>
          <w:szCs w:val="20"/>
        </w:rPr>
        <w:t>将本保函退回我方注销。</w:t>
      </w:r>
    </w:p>
    <w:p w14:paraId="2078D26B">
      <w:pPr>
        <w:pStyle w:val="2"/>
        <w:spacing w:before="152" w:line="219" w:lineRule="auto"/>
        <w:ind w:left="429"/>
        <w:rPr>
          <w:sz w:val="20"/>
          <w:szCs w:val="20"/>
        </w:rPr>
      </w:pPr>
      <w:r>
        <w:rPr>
          <w:spacing w:val="9"/>
          <w:sz w:val="20"/>
          <w:szCs w:val="20"/>
        </w:rPr>
        <w:t>本保函项下所有权利和义务均受中华人民共和国法律管辖和制约。</w:t>
      </w:r>
    </w:p>
    <w:p w14:paraId="387E97EF">
      <w:pPr>
        <w:spacing w:line="471" w:lineRule="auto"/>
        <w:rPr>
          <w:rFonts w:ascii="Arial"/>
          <w:sz w:val="21"/>
        </w:rPr>
      </w:pPr>
    </w:p>
    <w:p w14:paraId="46FF9B71">
      <w:pPr>
        <w:pStyle w:val="2"/>
        <w:spacing w:before="70" w:line="231" w:lineRule="auto"/>
        <w:ind w:left="3790"/>
        <w:rPr>
          <w:sz w:val="21"/>
          <w:szCs w:val="21"/>
        </w:rPr>
      </w:pPr>
      <w:r>
        <w:rPr>
          <w:spacing w:val="-2"/>
          <w:position w:val="-2"/>
          <w:sz w:val="20"/>
          <w:szCs w:val="20"/>
        </w:rPr>
        <w:t>担保人：</w:t>
      </w:r>
      <w:r>
        <w:rPr>
          <w:spacing w:val="-44"/>
          <w:position w:val="-2"/>
          <w:sz w:val="20"/>
          <w:szCs w:val="20"/>
        </w:rPr>
        <w:t xml:space="preserve"> </w:t>
      </w:r>
      <w:r>
        <w:rPr>
          <w:spacing w:val="1"/>
          <w:position w:val="-2"/>
          <w:sz w:val="20"/>
          <w:szCs w:val="20"/>
          <w:u w:val="single" w:color="auto"/>
        </w:rPr>
        <w:t xml:space="preserve">                          </w:t>
      </w:r>
      <w:r>
        <w:rPr>
          <w:spacing w:val="-66"/>
          <w:position w:val="-2"/>
          <w:sz w:val="20"/>
          <w:szCs w:val="20"/>
        </w:rPr>
        <w:t xml:space="preserve"> </w:t>
      </w:r>
      <w:r>
        <w:rPr>
          <w:spacing w:val="-2"/>
          <w:position w:val="1"/>
          <w:sz w:val="21"/>
          <w:szCs w:val="21"/>
        </w:rPr>
        <w:t>(盖单位章)</w:t>
      </w:r>
    </w:p>
    <w:p w14:paraId="172C06B7">
      <w:pPr>
        <w:pStyle w:val="2"/>
        <w:spacing w:before="121" w:line="228" w:lineRule="auto"/>
        <w:ind w:left="3790"/>
        <w:rPr>
          <w:sz w:val="21"/>
          <w:szCs w:val="21"/>
        </w:rPr>
      </w:pPr>
      <w:r>
        <w:rPr>
          <w:spacing w:val="-1"/>
          <w:sz w:val="20"/>
          <w:szCs w:val="20"/>
        </w:rPr>
        <w:t>法定代表人或其委托代理人：</w:t>
      </w:r>
      <w:r>
        <w:rPr>
          <w:spacing w:val="40"/>
          <w:sz w:val="20"/>
          <w:szCs w:val="20"/>
        </w:rPr>
        <w:t xml:space="preserve"> </w:t>
      </w:r>
      <w:r>
        <w:rPr>
          <w:spacing w:val="-1"/>
          <w:sz w:val="20"/>
          <w:szCs w:val="20"/>
          <w:u w:val="single" w:color="auto"/>
        </w:rPr>
        <w:t xml:space="preserve">          </w:t>
      </w:r>
      <w:r>
        <w:rPr>
          <w:spacing w:val="-2"/>
          <w:sz w:val="20"/>
          <w:szCs w:val="20"/>
        </w:rPr>
        <w:t xml:space="preserve"> </w:t>
      </w:r>
      <w:r>
        <w:rPr>
          <w:spacing w:val="-2"/>
          <w:sz w:val="21"/>
          <w:szCs w:val="21"/>
        </w:rPr>
        <w:t>(签字)</w:t>
      </w:r>
    </w:p>
    <w:p w14:paraId="3B27F44C">
      <w:pPr>
        <w:pStyle w:val="2"/>
        <w:spacing w:before="160" w:line="229" w:lineRule="auto"/>
        <w:ind w:left="3790"/>
        <w:rPr>
          <w:sz w:val="20"/>
          <w:szCs w:val="20"/>
        </w:rPr>
      </w:pPr>
      <w:r>
        <w:rPr>
          <w:spacing w:val="-3"/>
          <w:sz w:val="20"/>
          <w:szCs w:val="20"/>
        </w:rPr>
        <w:t>地</w:t>
      </w:r>
      <w:r>
        <w:rPr>
          <w:spacing w:val="9"/>
          <w:sz w:val="20"/>
          <w:szCs w:val="20"/>
        </w:rPr>
        <w:t xml:space="preserve">    </w:t>
      </w:r>
      <w:r>
        <w:rPr>
          <w:spacing w:val="-3"/>
          <w:sz w:val="20"/>
          <w:szCs w:val="20"/>
        </w:rPr>
        <w:t>址：</w:t>
      </w:r>
      <w:r>
        <w:rPr>
          <w:sz w:val="20"/>
          <w:szCs w:val="20"/>
          <w:u w:val="single" w:color="auto"/>
        </w:rPr>
        <w:t xml:space="preserve">                                  </w:t>
      </w:r>
    </w:p>
    <w:p w14:paraId="49A96643">
      <w:pPr>
        <w:pStyle w:val="2"/>
        <w:spacing w:before="163" w:line="219" w:lineRule="auto"/>
        <w:ind w:left="3790"/>
        <w:rPr>
          <w:sz w:val="20"/>
          <w:szCs w:val="20"/>
        </w:rPr>
      </w:pPr>
      <w:r>
        <w:rPr>
          <w:sz w:val="20"/>
          <w:szCs w:val="20"/>
        </w:rPr>
        <w:t>邮政编码：</w:t>
      </w:r>
      <w:r>
        <w:rPr>
          <w:spacing w:val="-71"/>
          <w:sz w:val="20"/>
          <w:szCs w:val="20"/>
        </w:rPr>
        <w:t xml:space="preserve"> </w:t>
      </w:r>
      <w:r>
        <w:rPr>
          <w:sz w:val="20"/>
          <w:szCs w:val="20"/>
          <w:u w:val="single" w:color="auto"/>
        </w:rPr>
        <w:t xml:space="preserve">                                 </w:t>
      </w:r>
    </w:p>
    <w:p w14:paraId="4AAECC55">
      <w:pPr>
        <w:pStyle w:val="2"/>
        <w:spacing w:before="165" w:line="221" w:lineRule="auto"/>
        <w:ind w:left="3790"/>
        <w:rPr>
          <w:sz w:val="20"/>
          <w:szCs w:val="20"/>
        </w:rPr>
      </w:pPr>
      <w:r>
        <w:rPr>
          <w:spacing w:val="-15"/>
          <w:sz w:val="20"/>
          <w:szCs w:val="20"/>
        </w:rPr>
        <w:t>电     话 ：</w:t>
      </w:r>
      <w:r>
        <w:rPr>
          <w:sz w:val="20"/>
          <w:szCs w:val="20"/>
          <w:u w:val="single" w:color="auto"/>
        </w:rPr>
        <w:t xml:space="preserve">                                 </w:t>
      </w:r>
    </w:p>
    <w:p w14:paraId="000C0971">
      <w:pPr>
        <w:pStyle w:val="2"/>
        <w:spacing w:before="136" w:line="219" w:lineRule="auto"/>
        <w:ind w:left="3790"/>
        <w:rPr>
          <w:sz w:val="20"/>
          <w:szCs w:val="20"/>
        </w:rPr>
      </w:pPr>
      <w:r>
        <w:rPr>
          <w:spacing w:val="-6"/>
          <w:sz w:val="20"/>
          <w:szCs w:val="20"/>
        </w:rPr>
        <w:t>传</w:t>
      </w:r>
      <w:r>
        <w:rPr>
          <w:spacing w:val="11"/>
          <w:sz w:val="20"/>
          <w:szCs w:val="20"/>
        </w:rPr>
        <w:t xml:space="preserve">    </w:t>
      </w:r>
      <w:r>
        <w:rPr>
          <w:spacing w:val="-6"/>
          <w:sz w:val="20"/>
          <w:szCs w:val="20"/>
        </w:rPr>
        <w:t>真：</w:t>
      </w:r>
      <w:r>
        <w:rPr>
          <w:sz w:val="20"/>
          <w:szCs w:val="20"/>
          <w:u w:val="single" w:color="auto"/>
        </w:rPr>
        <w:t xml:space="preserve">                                  </w:t>
      </w:r>
    </w:p>
    <w:p w14:paraId="46E56C27">
      <w:pPr>
        <w:pStyle w:val="2"/>
        <w:tabs>
          <w:tab w:val="left" w:pos="6279"/>
        </w:tabs>
        <w:spacing w:before="156" w:line="220" w:lineRule="auto"/>
        <w:ind w:left="5440"/>
        <w:rPr>
          <w:rFonts w:ascii="黑体" w:hAnsi="黑体" w:eastAsia="黑体" w:cs="黑体"/>
          <w:sz w:val="19"/>
          <w:szCs w:val="19"/>
        </w:rPr>
      </w:pPr>
      <w:r>
        <w:rPr>
          <w:position w:val="-1"/>
          <w:sz w:val="20"/>
          <w:szCs w:val="20"/>
          <w:u w:val="single" w:color="auto"/>
        </w:rPr>
        <w:tab/>
      </w:r>
      <w:r>
        <w:rPr>
          <w:spacing w:val="-8"/>
          <w:position w:val="-1"/>
          <w:sz w:val="20"/>
          <w:szCs w:val="20"/>
        </w:rPr>
        <w:t>年</w:t>
      </w:r>
      <w:r>
        <w:rPr>
          <w:spacing w:val="-81"/>
          <w:position w:val="-1"/>
          <w:sz w:val="20"/>
          <w:szCs w:val="20"/>
        </w:rPr>
        <w:t xml:space="preserve"> </w:t>
      </w:r>
      <w:r>
        <w:rPr>
          <w:spacing w:val="6"/>
          <w:position w:val="-1"/>
          <w:sz w:val="20"/>
          <w:szCs w:val="20"/>
          <w:u w:val="single" w:color="auto"/>
        </w:rPr>
        <w:t xml:space="preserve">        </w:t>
      </w:r>
      <w:r>
        <w:rPr>
          <w:spacing w:val="-98"/>
          <w:position w:val="-1"/>
          <w:sz w:val="20"/>
          <w:szCs w:val="20"/>
        </w:rPr>
        <w:t xml:space="preserve"> </w:t>
      </w:r>
      <w:r>
        <w:rPr>
          <w:rFonts w:ascii="黑体" w:hAnsi="黑体" w:eastAsia="黑体" w:cs="黑体"/>
          <w:spacing w:val="-8"/>
          <w:sz w:val="23"/>
          <w:szCs w:val="23"/>
        </w:rPr>
        <w:t>月</w:t>
      </w:r>
      <w:r>
        <w:rPr>
          <w:rFonts w:ascii="黑体" w:hAnsi="黑体" w:eastAsia="黑体" w:cs="黑体"/>
          <w:spacing w:val="5"/>
          <w:sz w:val="23"/>
          <w:szCs w:val="23"/>
          <w:u w:val="single" w:color="auto"/>
        </w:rPr>
        <w:t xml:space="preserve">       </w:t>
      </w:r>
      <w:r>
        <w:rPr>
          <w:rFonts w:ascii="黑体" w:hAnsi="黑体" w:eastAsia="黑体" w:cs="黑体"/>
          <w:spacing w:val="-90"/>
          <w:sz w:val="23"/>
          <w:szCs w:val="23"/>
        </w:rPr>
        <w:t xml:space="preserve"> </w:t>
      </w:r>
      <w:r>
        <w:rPr>
          <w:rFonts w:ascii="黑体" w:hAnsi="黑体" w:eastAsia="黑体" w:cs="黑体"/>
          <w:spacing w:val="-8"/>
          <w:position w:val="2"/>
          <w:sz w:val="19"/>
          <w:szCs w:val="19"/>
        </w:rPr>
        <w:t>日</w:t>
      </w:r>
    </w:p>
    <w:p w14:paraId="3337F4E6">
      <w:pPr>
        <w:pStyle w:val="2"/>
        <w:spacing w:before="201" w:line="326" w:lineRule="auto"/>
        <w:ind w:left="649" w:right="44" w:hanging="639"/>
        <w:rPr>
          <w:sz w:val="20"/>
          <w:szCs w:val="20"/>
        </w:rPr>
      </w:pPr>
      <w:r>
        <w:rPr>
          <w:spacing w:val="12"/>
          <w:sz w:val="20"/>
          <w:szCs w:val="20"/>
        </w:rPr>
        <w:t>备注：本预付款担保格式可采用经发包人认可的其他格式，但相关内容不</w:t>
      </w:r>
      <w:r>
        <w:rPr>
          <w:spacing w:val="11"/>
          <w:sz w:val="20"/>
          <w:szCs w:val="20"/>
        </w:rPr>
        <w:t>得违背合同文件约定的</w:t>
      </w:r>
      <w:r>
        <w:rPr>
          <w:sz w:val="20"/>
          <w:szCs w:val="20"/>
        </w:rPr>
        <w:t xml:space="preserve"> </w:t>
      </w:r>
      <w:r>
        <w:rPr>
          <w:spacing w:val="3"/>
          <w:sz w:val="20"/>
          <w:szCs w:val="20"/>
        </w:rPr>
        <w:t>实质性内容。</w:t>
      </w:r>
    </w:p>
    <w:p w14:paraId="2F1EB436">
      <w:pPr>
        <w:spacing w:line="326" w:lineRule="auto"/>
        <w:rPr>
          <w:sz w:val="20"/>
          <w:szCs w:val="20"/>
        </w:rPr>
        <w:sectPr>
          <w:footerReference r:id="rId174" w:type="default"/>
          <w:pgSz w:w="11910" w:h="16840"/>
          <w:pgMar w:top="400" w:right="1509" w:bottom="1024" w:left="1450" w:header="0" w:footer="889" w:gutter="0"/>
          <w:cols w:space="720" w:num="1"/>
        </w:sectPr>
      </w:pPr>
    </w:p>
    <w:p w14:paraId="151B9119">
      <w:pPr>
        <w:spacing w:line="268" w:lineRule="auto"/>
        <w:rPr>
          <w:rFonts w:ascii="Arial"/>
          <w:sz w:val="21"/>
        </w:rPr>
      </w:pPr>
    </w:p>
    <w:p w14:paraId="39DDC7B6">
      <w:pPr>
        <w:spacing w:line="269" w:lineRule="auto"/>
        <w:rPr>
          <w:rFonts w:ascii="Arial"/>
          <w:sz w:val="21"/>
        </w:rPr>
      </w:pPr>
    </w:p>
    <w:p w14:paraId="23126791">
      <w:pPr>
        <w:spacing w:line="269" w:lineRule="auto"/>
        <w:rPr>
          <w:rFonts w:ascii="Arial"/>
          <w:sz w:val="21"/>
        </w:rPr>
      </w:pPr>
    </w:p>
    <w:p w14:paraId="43769660">
      <w:pPr>
        <w:spacing w:line="269" w:lineRule="auto"/>
        <w:rPr>
          <w:rFonts w:ascii="Arial"/>
          <w:sz w:val="21"/>
        </w:rPr>
      </w:pPr>
    </w:p>
    <w:p w14:paraId="4F054DDC">
      <w:pPr>
        <w:spacing w:line="269" w:lineRule="auto"/>
        <w:rPr>
          <w:rFonts w:ascii="Arial"/>
          <w:sz w:val="21"/>
        </w:rPr>
      </w:pPr>
    </w:p>
    <w:p w14:paraId="6B2AD50A">
      <w:pPr>
        <w:spacing w:before="72" w:line="222" w:lineRule="auto"/>
        <w:ind w:left="3"/>
        <w:rPr>
          <w:rFonts w:ascii="黑体" w:hAnsi="黑体" w:eastAsia="黑体" w:cs="黑体"/>
          <w:sz w:val="22"/>
          <w:szCs w:val="22"/>
        </w:rPr>
      </w:pPr>
      <w:r>
        <w:rPr>
          <w:rFonts w:ascii="黑体" w:hAnsi="黑体" w:eastAsia="黑体" w:cs="黑体"/>
          <w:b/>
          <w:bCs/>
          <w:spacing w:val="15"/>
          <w:sz w:val="22"/>
          <w:szCs w:val="22"/>
        </w:rPr>
        <w:t>附件三：履约担保格式</w:t>
      </w:r>
    </w:p>
    <w:p w14:paraId="27262411">
      <w:pPr>
        <w:spacing w:line="383" w:lineRule="auto"/>
        <w:rPr>
          <w:rFonts w:ascii="Arial"/>
          <w:sz w:val="21"/>
        </w:rPr>
      </w:pPr>
    </w:p>
    <w:p w14:paraId="73A85F53">
      <w:pPr>
        <w:spacing w:before="91" w:line="222" w:lineRule="auto"/>
        <w:ind w:left="3743"/>
        <w:rPr>
          <w:rFonts w:ascii="黑体" w:hAnsi="黑体" w:eastAsia="黑体" w:cs="黑体"/>
          <w:sz w:val="28"/>
          <w:szCs w:val="28"/>
        </w:rPr>
      </w:pPr>
      <w:r>
        <w:rPr>
          <w:rFonts w:ascii="黑体" w:hAnsi="黑体" w:eastAsia="黑体" w:cs="黑体"/>
          <w:b/>
          <w:bCs/>
          <w:spacing w:val="4"/>
          <w:sz w:val="28"/>
          <w:szCs w:val="28"/>
        </w:rPr>
        <w:t>承包人履约保函</w:t>
      </w:r>
    </w:p>
    <w:p w14:paraId="1BAE7CEA">
      <w:pPr>
        <w:spacing w:line="389" w:lineRule="auto"/>
        <w:rPr>
          <w:rFonts w:ascii="Arial"/>
          <w:sz w:val="21"/>
        </w:rPr>
      </w:pPr>
    </w:p>
    <w:p w14:paraId="23A76CC1">
      <w:pPr>
        <w:pStyle w:val="2"/>
        <w:tabs>
          <w:tab w:val="left" w:pos="2428"/>
        </w:tabs>
        <w:spacing w:before="65" w:line="220" w:lineRule="auto"/>
        <w:rPr>
          <w:sz w:val="20"/>
          <w:szCs w:val="20"/>
        </w:rPr>
      </w:pPr>
      <w:r>
        <w:rPr>
          <w:sz w:val="20"/>
          <w:szCs w:val="20"/>
          <w:u w:val="single" w:color="auto"/>
        </w:rPr>
        <w:tab/>
      </w:r>
      <w:r>
        <w:rPr>
          <w:spacing w:val="-79"/>
          <w:sz w:val="20"/>
          <w:szCs w:val="20"/>
        </w:rPr>
        <w:t xml:space="preserve"> </w:t>
      </w:r>
      <w:r>
        <w:rPr>
          <w:spacing w:val="5"/>
          <w:sz w:val="20"/>
          <w:szCs w:val="20"/>
        </w:rPr>
        <w:t>(发包人名称):</w:t>
      </w:r>
    </w:p>
    <w:p w14:paraId="2AC14291">
      <w:pPr>
        <w:pStyle w:val="2"/>
        <w:spacing w:before="24" w:line="219" w:lineRule="auto"/>
        <w:ind w:left="419"/>
        <w:rPr>
          <w:sz w:val="19"/>
          <w:szCs w:val="19"/>
        </w:rPr>
      </w:pPr>
      <w:r>
        <w:rPr>
          <w:spacing w:val="21"/>
          <w:sz w:val="19"/>
          <w:szCs w:val="19"/>
        </w:rPr>
        <w:t>鉴于你方作为发包人已经与</w:t>
      </w:r>
      <w:r>
        <w:rPr>
          <w:spacing w:val="-70"/>
          <w:sz w:val="19"/>
          <w:szCs w:val="19"/>
        </w:rPr>
        <w:t xml:space="preserve"> </w:t>
      </w:r>
      <w:r>
        <w:rPr>
          <w:spacing w:val="1"/>
          <w:sz w:val="19"/>
          <w:szCs w:val="19"/>
          <w:u w:val="single" w:color="auto"/>
        </w:rPr>
        <w:t xml:space="preserve">                   </w:t>
      </w:r>
      <w:r>
        <w:rPr>
          <w:sz w:val="19"/>
          <w:szCs w:val="19"/>
          <w:u w:val="single" w:color="auto"/>
        </w:rPr>
        <w:t xml:space="preserve">   </w:t>
      </w:r>
      <w:r>
        <w:rPr>
          <w:spacing w:val="-74"/>
          <w:sz w:val="19"/>
          <w:szCs w:val="19"/>
        </w:rPr>
        <w:t xml:space="preserve"> </w:t>
      </w:r>
      <w:r>
        <w:rPr>
          <w:spacing w:val="19"/>
          <w:sz w:val="19"/>
          <w:szCs w:val="19"/>
          <w:u w:val="single" w:color="auto"/>
        </w:rPr>
        <w:t xml:space="preserve">    </w:t>
      </w:r>
      <w:r>
        <w:rPr>
          <w:spacing w:val="-25"/>
          <w:sz w:val="19"/>
          <w:szCs w:val="19"/>
        </w:rPr>
        <w:t xml:space="preserve"> </w:t>
      </w:r>
      <w:r>
        <w:rPr>
          <w:spacing w:val="21"/>
          <w:sz w:val="19"/>
          <w:szCs w:val="19"/>
        </w:rPr>
        <w:t>(承包人名称)</w:t>
      </w:r>
      <w:r>
        <w:rPr>
          <w:spacing w:val="20"/>
          <w:sz w:val="19"/>
          <w:szCs w:val="19"/>
        </w:rPr>
        <w:t>(以下称“承包人”)于</w:t>
      </w:r>
    </w:p>
    <w:p w14:paraId="21AE8032">
      <w:pPr>
        <w:pStyle w:val="2"/>
        <w:tabs>
          <w:tab w:val="left" w:pos="729"/>
        </w:tabs>
        <w:spacing w:before="53" w:line="280" w:lineRule="auto"/>
        <w:rPr>
          <w:sz w:val="19"/>
          <w:szCs w:val="19"/>
        </w:rPr>
      </w:pPr>
      <w:r>
        <w:rPr>
          <w:sz w:val="19"/>
          <w:szCs w:val="19"/>
          <w:u w:val="single" w:color="auto"/>
        </w:rPr>
        <w:tab/>
      </w:r>
      <w:r>
        <w:rPr>
          <w:spacing w:val="-74"/>
          <w:sz w:val="19"/>
          <w:szCs w:val="19"/>
        </w:rPr>
        <w:t xml:space="preserve"> </w:t>
      </w:r>
      <w:r>
        <w:rPr>
          <w:spacing w:val="12"/>
          <w:sz w:val="19"/>
          <w:szCs w:val="19"/>
        </w:rPr>
        <w:t>年</w:t>
      </w:r>
      <w:r>
        <w:rPr>
          <w:spacing w:val="12"/>
          <w:sz w:val="19"/>
          <w:szCs w:val="19"/>
          <w:u w:val="single" w:color="auto"/>
        </w:rPr>
        <w:t xml:space="preserve">    月</w:t>
      </w:r>
      <w:r>
        <w:rPr>
          <w:spacing w:val="17"/>
          <w:sz w:val="19"/>
          <w:szCs w:val="19"/>
          <w:u w:val="single" w:color="auto"/>
        </w:rPr>
        <w:t xml:space="preserve">     </w:t>
      </w:r>
      <w:r>
        <w:rPr>
          <w:spacing w:val="12"/>
          <w:sz w:val="19"/>
          <w:szCs w:val="19"/>
          <w:u w:val="single" w:color="auto"/>
        </w:rPr>
        <w:t>日</w:t>
      </w:r>
      <w:r>
        <w:rPr>
          <w:spacing w:val="12"/>
          <w:sz w:val="19"/>
          <w:szCs w:val="19"/>
        </w:rPr>
        <w:t>签订了</w:t>
      </w:r>
      <w:r>
        <w:rPr>
          <w:spacing w:val="12"/>
          <w:sz w:val="19"/>
          <w:szCs w:val="19"/>
          <w:u w:val="single" w:color="auto"/>
        </w:rPr>
        <w:t xml:space="preserve">                 </w:t>
      </w:r>
      <w:r>
        <w:rPr>
          <w:spacing w:val="-72"/>
          <w:sz w:val="19"/>
          <w:szCs w:val="19"/>
        </w:rPr>
        <w:t xml:space="preserve"> </w:t>
      </w:r>
      <w:r>
        <w:rPr>
          <w:spacing w:val="15"/>
          <w:sz w:val="19"/>
          <w:szCs w:val="19"/>
          <w:u w:val="single" w:color="auto"/>
        </w:rPr>
        <w:t xml:space="preserve">    </w:t>
      </w:r>
      <w:r>
        <w:rPr>
          <w:spacing w:val="-34"/>
          <w:sz w:val="19"/>
          <w:szCs w:val="19"/>
        </w:rPr>
        <w:t xml:space="preserve"> </w:t>
      </w:r>
      <w:r>
        <w:rPr>
          <w:spacing w:val="12"/>
          <w:sz w:val="19"/>
          <w:szCs w:val="19"/>
        </w:rPr>
        <w:t>(工程名称)施工承包合同(以下称</w:t>
      </w:r>
      <w:r>
        <w:rPr>
          <w:spacing w:val="11"/>
          <w:sz w:val="19"/>
          <w:szCs w:val="19"/>
        </w:rPr>
        <w:t>“主合同”),</w:t>
      </w:r>
      <w:r>
        <w:rPr>
          <w:sz w:val="19"/>
          <w:szCs w:val="19"/>
        </w:rPr>
        <w:t xml:space="preserve"> </w:t>
      </w:r>
      <w:r>
        <w:rPr>
          <w:spacing w:val="19"/>
          <w:sz w:val="19"/>
          <w:szCs w:val="19"/>
        </w:rPr>
        <w:t>应承包人申请，我方愿就承包人履行主合同约定的义务以保证的方式向你方提供如下担保：</w:t>
      </w:r>
    </w:p>
    <w:p w14:paraId="26173C98">
      <w:pPr>
        <w:spacing w:before="7" w:line="222" w:lineRule="auto"/>
        <w:ind w:left="422"/>
        <w:rPr>
          <w:rFonts w:ascii="黑体" w:hAnsi="黑体" w:eastAsia="黑体" w:cs="黑体"/>
          <w:sz w:val="19"/>
          <w:szCs w:val="19"/>
        </w:rPr>
      </w:pPr>
      <w:r>
        <w:rPr>
          <w:rFonts w:ascii="黑体" w:hAnsi="黑体" w:eastAsia="黑体" w:cs="黑体"/>
          <w:b/>
          <w:bCs/>
          <w:spacing w:val="12"/>
          <w:sz w:val="19"/>
          <w:szCs w:val="19"/>
        </w:rPr>
        <w:t>一</w:t>
      </w:r>
      <w:r>
        <w:rPr>
          <w:rFonts w:ascii="黑体" w:hAnsi="黑体" w:eastAsia="黑体" w:cs="黑体"/>
          <w:spacing w:val="-29"/>
          <w:sz w:val="19"/>
          <w:szCs w:val="19"/>
        </w:rPr>
        <w:t xml:space="preserve"> </w:t>
      </w:r>
      <w:r>
        <w:rPr>
          <w:rFonts w:ascii="黑体" w:hAnsi="黑体" w:eastAsia="黑体" w:cs="黑体"/>
          <w:b/>
          <w:bCs/>
          <w:spacing w:val="12"/>
          <w:sz w:val="19"/>
          <w:szCs w:val="19"/>
        </w:rPr>
        <w:t>、保证的范围及保证金额</w:t>
      </w:r>
    </w:p>
    <w:p w14:paraId="28B1CC95">
      <w:pPr>
        <w:pStyle w:val="2"/>
        <w:spacing w:before="25" w:line="219" w:lineRule="auto"/>
        <w:ind w:left="419"/>
        <w:rPr>
          <w:sz w:val="19"/>
          <w:szCs w:val="19"/>
        </w:rPr>
      </w:pPr>
      <w:r>
        <w:rPr>
          <w:spacing w:val="20"/>
          <w:sz w:val="19"/>
          <w:szCs w:val="19"/>
        </w:rPr>
        <w:t>我方的保证范围是承包人未按照主合同的约定履行义务，给你方造成</w:t>
      </w:r>
      <w:r>
        <w:rPr>
          <w:spacing w:val="19"/>
          <w:sz w:val="19"/>
          <w:szCs w:val="19"/>
        </w:rPr>
        <w:t>的实际损失。</w:t>
      </w:r>
    </w:p>
    <w:p w14:paraId="1532F359">
      <w:pPr>
        <w:pStyle w:val="2"/>
        <w:spacing w:before="82" w:line="216" w:lineRule="auto"/>
        <w:ind w:left="419"/>
        <w:rPr>
          <w:sz w:val="19"/>
          <w:szCs w:val="19"/>
        </w:rPr>
      </w:pPr>
      <w:r>
        <w:rPr>
          <w:spacing w:val="15"/>
          <w:sz w:val="19"/>
          <w:szCs w:val="19"/>
        </w:rPr>
        <w:t>我方保证的金额是主合同约定的合同总价款</w:t>
      </w:r>
      <w:r>
        <w:rPr>
          <w:spacing w:val="-56"/>
          <w:sz w:val="19"/>
          <w:szCs w:val="19"/>
        </w:rPr>
        <w:t xml:space="preserve"> </w:t>
      </w:r>
      <w:r>
        <w:rPr>
          <w:spacing w:val="15"/>
          <w:sz w:val="19"/>
          <w:szCs w:val="19"/>
          <w:u w:val="single" w:color="auto"/>
        </w:rPr>
        <w:t xml:space="preserve">       </w:t>
      </w:r>
      <w:r>
        <w:rPr>
          <w:spacing w:val="15"/>
          <w:sz w:val="19"/>
          <w:szCs w:val="19"/>
        </w:rPr>
        <w:t>%,数额最高不超过人民币</w:t>
      </w:r>
      <w:r>
        <w:rPr>
          <w:spacing w:val="15"/>
          <w:sz w:val="19"/>
          <w:szCs w:val="19"/>
          <w:u w:val="single" w:color="auto"/>
        </w:rPr>
        <w:t xml:space="preserve">     </w:t>
      </w:r>
      <w:r>
        <w:rPr>
          <w:spacing w:val="15"/>
          <w:sz w:val="19"/>
          <w:szCs w:val="19"/>
        </w:rPr>
        <w:t>元(大写)。</w:t>
      </w:r>
    </w:p>
    <w:p w14:paraId="34942A05">
      <w:pPr>
        <w:spacing w:before="45" w:line="221" w:lineRule="auto"/>
        <w:ind w:left="422"/>
        <w:rPr>
          <w:rFonts w:ascii="黑体" w:hAnsi="黑体" w:eastAsia="黑体" w:cs="黑体"/>
          <w:sz w:val="19"/>
          <w:szCs w:val="19"/>
        </w:rPr>
      </w:pPr>
      <w:r>
        <w:rPr>
          <w:rFonts w:ascii="黑体" w:hAnsi="黑体" w:eastAsia="黑体" w:cs="黑体"/>
          <w:b/>
          <w:bCs/>
          <w:spacing w:val="13"/>
          <w:sz w:val="19"/>
          <w:szCs w:val="19"/>
        </w:rPr>
        <w:t>二</w:t>
      </w:r>
      <w:r>
        <w:rPr>
          <w:rFonts w:ascii="黑体" w:hAnsi="黑体" w:eastAsia="黑体" w:cs="黑体"/>
          <w:spacing w:val="-34"/>
          <w:sz w:val="19"/>
          <w:szCs w:val="19"/>
        </w:rPr>
        <w:t xml:space="preserve"> </w:t>
      </w:r>
      <w:r>
        <w:rPr>
          <w:rFonts w:ascii="黑体" w:hAnsi="黑体" w:eastAsia="黑体" w:cs="黑体"/>
          <w:b/>
          <w:bCs/>
          <w:spacing w:val="13"/>
          <w:sz w:val="19"/>
          <w:szCs w:val="19"/>
        </w:rPr>
        <w:t>、保证的方式及保证期间</w:t>
      </w:r>
    </w:p>
    <w:p w14:paraId="19979D7F">
      <w:pPr>
        <w:pStyle w:val="2"/>
        <w:spacing w:before="48" w:line="219" w:lineRule="auto"/>
        <w:ind w:left="419"/>
        <w:rPr>
          <w:sz w:val="19"/>
          <w:szCs w:val="19"/>
        </w:rPr>
      </w:pPr>
      <w:r>
        <w:rPr>
          <w:spacing w:val="17"/>
          <w:sz w:val="19"/>
          <w:szCs w:val="19"/>
        </w:rPr>
        <w:t>我方保证的方式为：连带责任保证。</w:t>
      </w:r>
    </w:p>
    <w:p w14:paraId="661B6A31">
      <w:pPr>
        <w:pStyle w:val="2"/>
        <w:spacing w:before="53" w:line="219" w:lineRule="auto"/>
        <w:ind w:left="419"/>
        <w:rPr>
          <w:sz w:val="19"/>
          <w:szCs w:val="19"/>
        </w:rPr>
      </w:pPr>
      <w:r>
        <w:rPr>
          <w:spacing w:val="18"/>
          <w:sz w:val="19"/>
          <w:szCs w:val="19"/>
        </w:rPr>
        <w:t>我方保证的期间为：自本合同生效之日起至主合同约定的工程竣工日期后</w:t>
      </w:r>
      <w:r>
        <w:rPr>
          <w:spacing w:val="-52"/>
          <w:sz w:val="19"/>
          <w:szCs w:val="19"/>
        </w:rPr>
        <w:t xml:space="preserve"> </w:t>
      </w:r>
      <w:r>
        <w:rPr>
          <w:spacing w:val="11"/>
          <w:sz w:val="19"/>
          <w:szCs w:val="19"/>
          <w:u w:val="single" w:color="auto"/>
        </w:rPr>
        <w:t xml:space="preserve">      </w:t>
      </w:r>
      <w:r>
        <w:rPr>
          <w:spacing w:val="-81"/>
          <w:sz w:val="19"/>
          <w:szCs w:val="19"/>
        </w:rPr>
        <w:t xml:space="preserve"> </w:t>
      </w:r>
      <w:r>
        <w:rPr>
          <w:spacing w:val="18"/>
          <w:sz w:val="19"/>
          <w:szCs w:val="19"/>
        </w:rPr>
        <w:t>日内。</w:t>
      </w:r>
    </w:p>
    <w:p w14:paraId="5C663F55">
      <w:pPr>
        <w:pStyle w:val="2"/>
        <w:spacing w:before="54" w:line="275" w:lineRule="auto"/>
        <w:ind w:right="534" w:firstLine="419"/>
        <w:rPr>
          <w:sz w:val="19"/>
          <w:szCs w:val="19"/>
        </w:rPr>
      </w:pPr>
      <w:r>
        <w:rPr>
          <w:spacing w:val="23"/>
          <w:sz w:val="19"/>
          <w:szCs w:val="19"/>
        </w:rPr>
        <w:t>你方与承包人协议变更工程竣工日期的，经我方书面</w:t>
      </w:r>
      <w:r>
        <w:rPr>
          <w:spacing w:val="22"/>
          <w:sz w:val="19"/>
          <w:szCs w:val="19"/>
        </w:rPr>
        <w:t>同意后，保证期间按照变更后的竣工日</w:t>
      </w:r>
      <w:r>
        <w:rPr>
          <w:sz w:val="19"/>
          <w:szCs w:val="19"/>
        </w:rPr>
        <w:t xml:space="preserve"> </w:t>
      </w:r>
      <w:r>
        <w:rPr>
          <w:spacing w:val="14"/>
          <w:sz w:val="19"/>
          <w:szCs w:val="19"/>
        </w:rPr>
        <w:t>期做相应调整。</w:t>
      </w:r>
    </w:p>
    <w:p w14:paraId="05AFD510">
      <w:pPr>
        <w:spacing w:before="11" w:line="221" w:lineRule="auto"/>
        <w:ind w:left="422"/>
        <w:rPr>
          <w:rFonts w:ascii="黑体" w:hAnsi="黑体" w:eastAsia="黑体" w:cs="黑体"/>
          <w:sz w:val="19"/>
          <w:szCs w:val="19"/>
        </w:rPr>
      </w:pPr>
      <w:r>
        <w:rPr>
          <w:rFonts w:ascii="黑体" w:hAnsi="黑体" w:eastAsia="黑体" w:cs="黑体"/>
          <w:b/>
          <w:bCs/>
          <w:spacing w:val="11"/>
          <w:sz w:val="19"/>
          <w:szCs w:val="19"/>
        </w:rPr>
        <w:t>三</w:t>
      </w:r>
      <w:r>
        <w:rPr>
          <w:rFonts w:ascii="黑体" w:hAnsi="黑体" w:eastAsia="黑体" w:cs="黑体"/>
          <w:spacing w:val="-37"/>
          <w:sz w:val="19"/>
          <w:szCs w:val="19"/>
        </w:rPr>
        <w:t xml:space="preserve"> </w:t>
      </w:r>
      <w:r>
        <w:rPr>
          <w:rFonts w:ascii="黑体" w:hAnsi="黑体" w:eastAsia="黑体" w:cs="黑体"/>
          <w:b/>
          <w:bCs/>
          <w:spacing w:val="11"/>
          <w:sz w:val="19"/>
          <w:szCs w:val="19"/>
        </w:rPr>
        <w:t>、承担保证责任的形式</w:t>
      </w:r>
    </w:p>
    <w:p w14:paraId="2351E760">
      <w:pPr>
        <w:pStyle w:val="2"/>
        <w:spacing w:before="47" w:line="219" w:lineRule="auto"/>
        <w:ind w:left="419"/>
        <w:rPr>
          <w:sz w:val="19"/>
          <w:szCs w:val="19"/>
        </w:rPr>
      </w:pPr>
      <w:r>
        <w:rPr>
          <w:spacing w:val="17"/>
          <w:sz w:val="19"/>
          <w:szCs w:val="19"/>
        </w:rPr>
        <w:t>我方按照你方的要求以下列方式之一承担保证责任：</w:t>
      </w:r>
    </w:p>
    <w:p w14:paraId="2FD2314A">
      <w:pPr>
        <w:pStyle w:val="2"/>
        <w:spacing w:before="35" w:line="260" w:lineRule="auto"/>
        <w:ind w:right="557" w:firstLine="419"/>
        <w:rPr>
          <w:sz w:val="19"/>
          <w:szCs w:val="19"/>
        </w:rPr>
      </w:pPr>
      <w:r>
        <w:rPr>
          <w:spacing w:val="19"/>
          <w:sz w:val="19"/>
          <w:szCs w:val="19"/>
        </w:rPr>
        <w:t>(1)由我方提供资金及技术援助，使承包人继续履行主合同义</w:t>
      </w:r>
      <w:r>
        <w:rPr>
          <w:spacing w:val="18"/>
          <w:sz w:val="19"/>
          <w:szCs w:val="19"/>
        </w:rPr>
        <w:t>务，支付金额不超过本保函第一</w:t>
      </w:r>
      <w:r>
        <w:rPr>
          <w:sz w:val="19"/>
          <w:szCs w:val="19"/>
        </w:rPr>
        <w:t xml:space="preserve"> </w:t>
      </w:r>
      <w:r>
        <w:rPr>
          <w:spacing w:val="16"/>
          <w:sz w:val="19"/>
          <w:szCs w:val="19"/>
        </w:rPr>
        <w:t>条规定的保证金额。</w:t>
      </w:r>
    </w:p>
    <w:p w14:paraId="4D35FDF9">
      <w:pPr>
        <w:pStyle w:val="2"/>
        <w:spacing w:before="53" w:line="219" w:lineRule="auto"/>
        <w:ind w:left="419"/>
        <w:rPr>
          <w:sz w:val="19"/>
          <w:szCs w:val="19"/>
        </w:rPr>
      </w:pPr>
      <w:r>
        <w:rPr>
          <w:spacing w:val="17"/>
          <w:sz w:val="19"/>
          <w:szCs w:val="19"/>
        </w:rPr>
        <w:t>(2)由我方在本保函第一条规定的保证金额内赔偿你方的损失。</w:t>
      </w:r>
    </w:p>
    <w:p w14:paraId="4C193060">
      <w:pPr>
        <w:spacing w:before="34" w:line="222" w:lineRule="auto"/>
        <w:ind w:left="422"/>
        <w:rPr>
          <w:rFonts w:ascii="黑体" w:hAnsi="黑体" w:eastAsia="黑体" w:cs="黑体"/>
          <w:sz w:val="19"/>
          <w:szCs w:val="19"/>
        </w:rPr>
      </w:pPr>
      <w:r>
        <w:rPr>
          <w:rFonts w:ascii="黑体" w:hAnsi="黑体" w:eastAsia="黑体" w:cs="黑体"/>
          <w:b/>
          <w:bCs/>
          <w:spacing w:val="9"/>
          <w:sz w:val="19"/>
          <w:szCs w:val="19"/>
        </w:rPr>
        <w:t>四</w:t>
      </w:r>
      <w:r>
        <w:rPr>
          <w:rFonts w:ascii="黑体" w:hAnsi="黑体" w:eastAsia="黑体" w:cs="黑体"/>
          <w:spacing w:val="-31"/>
          <w:sz w:val="19"/>
          <w:szCs w:val="19"/>
        </w:rPr>
        <w:t xml:space="preserve"> </w:t>
      </w:r>
      <w:r>
        <w:rPr>
          <w:rFonts w:ascii="黑体" w:hAnsi="黑体" w:eastAsia="黑体" w:cs="黑体"/>
          <w:b/>
          <w:bCs/>
          <w:spacing w:val="9"/>
          <w:sz w:val="19"/>
          <w:szCs w:val="19"/>
        </w:rPr>
        <w:t>、代偿的安排</w:t>
      </w:r>
    </w:p>
    <w:p w14:paraId="5CDD88A9">
      <w:pPr>
        <w:pStyle w:val="2"/>
        <w:spacing w:before="74" w:line="263" w:lineRule="auto"/>
        <w:ind w:right="559" w:firstLine="419"/>
        <w:jc w:val="both"/>
        <w:rPr>
          <w:sz w:val="19"/>
          <w:szCs w:val="19"/>
        </w:rPr>
      </w:pPr>
      <w:r>
        <w:rPr>
          <w:spacing w:val="22"/>
          <w:sz w:val="19"/>
          <w:szCs w:val="19"/>
        </w:rPr>
        <w:t>你方要求我方承担保证责任的，应向我方发出书面索赔通知及承包人未履行主合同约</w:t>
      </w:r>
      <w:r>
        <w:rPr>
          <w:spacing w:val="21"/>
          <w:sz w:val="19"/>
          <w:szCs w:val="19"/>
        </w:rPr>
        <w:t>定义务</w:t>
      </w:r>
      <w:r>
        <w:rPr>
          <w:sz w:val="19"/>
          <w:szCs w:val="19"/>
        </w:rPr>
        <w:t xml:space="preserve"> </w:t>
      </w:r>
      <w:r>
        <w:rPr>
          <w:spacing w:val="22"/>
          <w:sz w:val="19"/>
          <w:szCs w:val="19"/>
        </w:rPr>
        <w:t>的证明材料。索赔通知应写明要求索赔的金额，支付款项应到达的账号，并</w:t>
      </w:r>
      <w:r>
        <w:rPr>
          <w:spacing w:val="21"/>
          <w:sz w:val="19"/>
          <w:szCs w:val="19"/>
        </w:rPr>
        <w:t>附有说明承包人违反</w:t>
      </w:r>
      <w:r>
        <w:rPr>
          <w:sz w:val="19"/>
          <w:szCs w:val="19"/>
        </w:rPr>
        <w:t xml:space="preserve"> </w:t>
      </w:r>
      <w:r>
        <w:rPr>
          <w:spacing w:val="17"/>
          <w:sz w:val="19"/>
          <w:szCs w:val="19"/>
        </w:rPr>
        <w:t>主合同造成你方损失情况的证明材料。</w:t>
      </w:r>
    </w:p>
    <w:p w14:paraId="37CFBB90">
      <w:pPr>
        <w:pStyle w:val="2"/>
        <w:spacing w:before="28" w:line="262" w:lineRule="auto"/>
        <w:ind w:right="552" w:firstLine="419"/>
        <w:rPr>
          <w:sz w:val="19"/>
          <w:szCs w:val="19"/>
        </w:rPr>
      </w:pPr>
      <w:r>
        <w:rPr>
          <w:spacing w:val="22"/>
          <w:sz w:val="19"/>
          <w:szCs w:val="19"/>
        </w:rPr>
        <w:t>你方以工程质量不符合主合同约定标准为由，向我方提出违约索赔的，还需同时提供符合相</w:t>
      </w:r>
      <w:r>
        <w:rPr>
          <w:spacing w:val="4"/>
          <w:sz w:val="19"/>
          <w:szCs w:val="19"/>
        </w:rPr>
        <w:t xml:space="preserve"> </w:t>
      </w:r>
      <w:r>
        <w:rPr>
          <w:spacing w:val="19"/>
          <w:sz w:val="19"/>
          <w:szCs w:val="19"/>
        </w:rPr>
        <w:t>应条件要求的工程质量检测部门出具的质量说明</w:t>
      </w:r>
      <w:r>
        <w:rPr>
          <w:spacing w:val="18"/>
          <w:sz w:val="19"/>
          <w:szCs w:val="19"/>
        </w:rPr>
        <w:t>材料。</w:t>
      </w:r>
    </w:p>
    <w:p w14:paraId="7CE3E7E7">
      <w:pPr>
        <w:pStyle w:val="2"/>
        <w:spacing w:before="2" w:line="284" w:lineRule="auto"/>
        <w:ind w:right="553" w:firstLine="419"/>
        <w:rPr>
          <w:sz w:val="19"/>
          <w:szCs w:val="19"/>
        </w:rPr>
      </w:pPr>
      <w:r>
        <w:rPr>
          <w:spacing w:val="16"/>
          <w:sz w:val="19"/>
          <w:szCs w:val="19"/>
        </w:rPr>
        <w:t>我方收到你方的书面索赔通知及相应证明材料后，</w:t>
      </w:r>
      <w:r>
        <w:rPr>
          <w:spacing w:val="16"/>
          <w:sz w:val="19"/>
          <w:szCs w:val="19"/>
          <w:u w:val="single" w:color="auto"/>
        </w:rPr>
        <w:t>在</w:t>
      </w:r>
      <w:r>
        <w:rPr>
          <w:spacing w:val="3"/>
          <w:sz w:val="19"/>
          <w:szCs w:val="19"/>
          <w:u w:val="single" w:color="auto"/>
        </w:rPr>
        <w:t xml:space="preserve">      </w:t>
      </w:r>
      <w:r>
        <w:rPr>
          <w:spacing w:val="16"/>
          <w:sz w:val="19"/>
          <w:szCs w:val="19"/>
          <w:u w:val="single" w:color="auto"/>
        </w:rPr>
        <w:t>工</w:t>
      </w:r>
      <w:r>
        <w:rPr>
          <w:spacing w:val="16"/>
          <w:sz w:val="19"/>
          <w:szCs w:val="19"/>
        </w:rPr>
        <w:t>作</w:t>
      </w:r>
      <w:r>
        <w:rPr>
          <w:spacing w:val="-28"/>
          <w:sz w:val="19"/>
          <w:szCs w:val="19"/>
        </w:rPr>
        <w:t xml:space="preserve"> </w:t>
      </w:r>
      <w:r>
        <w:rPr>
          <w:spacing w:val="16"/>
          <w:sz w:val="19"/>
          <w:szCs w:val="19"/>
        </w:rPr>
        <w:t>日内进行核定后按照本保函的</w:t>
      </w:r>
      <w:r>
        <w:rPr>
          <w:sz w:val="19"/>
          <w:szCs w:val="19"/>
        </w:rPr>
        <w:t xml:space="preserve"> </w:t>
      </w:r>
      <w:r>
        <w:rPr>
          <w:spacing w:val="16"/>
          <w:sz w:val="19"/>
          <w:szCs w:val="19"/>
        </w:rPr>
        <w:t>承诺承担保证责任。</w:t>
      </w:r>
    </w:p>
    <w:p w14:paraId="40E83C47">
      <w:pPr>
        <w:spacing w:line="220" w:lineRule="auto"/>
        <w:ind w:left="422"/>
        <w:rPr>
          <w:rFonts w:ascii="黑体" w:hAnsi="黑体" w:eastAsia="黑体" w:cs="黑体"/>
          <w:sz w:val="19"/>
          <w:szCs w:val="19"/>
        </w:rPr>
      </w:pPr>
      <w:r>
        <w:rPr>
          <w:rFonts w:ascii="黑体" w:hAnsi="黑体" w:eastAsia="黑体" w:cs="黑体"/>
          <w:b/>
          <w:bCs/>
          <w:spacing w:val="10"/>
          <w:sz w:val="19"/>
          <w:szCs w:val="19"/>
        </w:rPr>
        <w:t>五</w:t>
      </w:r>
      <w:r>
        <w:rPr>
          <w:rFonts w:ascii="黑体" w:hAnsi="黑体" w:eastAsia="黑体" w:cs="黑体"/>
          <w:spacing w:val="-34"/>
          <w:sz w:val="19"/>
          <w:szCs w:val="19"/>
        </w:rPr>
        <w:t xml:space="preserve"> </w:t>
      </w:r>
      <w:r>
        <w:rPr>
          <w:rFonts w:ascii="黑体" w:hAnsi="黑体" w:eastAsia="黑体" w:cs="黑体"/>
          <w:b/>
          <w:bCs/>
          <w:spacing w:val="10"/>
          <w:sz w:val="19"/>
          <w:szCs w:val="19"/>
        </w:rPr>
        <w:t>、保证责任的解除</w:t>
      </w:r>
    </w:p>
    <w:p w14:paraId="36998E3C">
      <w:pPr>
        <w:pStyle w:val="2"/>
        <w:spacing w:before="47" w:line="241" w:lineRule="auto"/>
        <w:ind w:right="503" w:firstLine="419"/>
        <w:rPr>
          <w:sz w:val="19"/>
          <w:szCs w:val="19"/>
        </w:rPr>
      </w:pPr>
      <w:r>
        <w:rPr>
          <w:spacing w:val="16"/>
          <w:sz w:val="19"/>
          <w:szCs w:val="19"/>
        </w:rPr>
        <w:t>1、在本保函承诺的保证期间内，你方未书</w:t>
      </w:r>
      <w:r>
        <w:rPr>
          <w:spacing w:val="15"/>
          <w:sz w:val="19"/>
          <w:szCs w:val="19"/>
        </w:rPr>
        <w:t>面向我方主张保证责任的，自保证期间届满次日起，</w:t>
      </w:r>
      <w:r>
        <w:rPr>
          <w:sz w:val="19"/>
          <w:szCs w:val="19"/>
        </w:rPr>
        <w:t xml:space="preserve"> </w:t>
      </w:r>
      <w:r>
        <w:rPr>
          <w:spacing w:val="16"/>
          <w:sz w:val="19"/>
          <w:szCs w:val="19"/>
        </w:rPr>
        <w:t>我方保证责任解除。</w:t>
      </w:r>
    </w:p>
    <w:p w14:paraId="5C9379D8">
      <w:pPr>
        <w:pStyle w:val="2"/>
        <w:spacing w:before="74" w:line="236" w:lineRule="auto"/>
        <w:ind w:right="530" w:firstLine="419"/>
        <w:rPr>
          <w:sz w:val="19"/>
          <w:szCs w:val="19"/>
        </w:rPr>
      </w:pPr>
      <w:r>
        <w:rPr>
          <w:spacing w:val="20"/>
          <w:sz w:val="19"/>
          <w:szCs w:val="19"/>
        </w:rPr>
        <w:t>2、承包人按主合同约定履行了义务的，自本保函承诺的保证期间届满次日</w:t>
      </w:r>
      <w:r>
        <w:rPr>
          <w:spacing w:val="19"/>
          <w:sz w:val="19"/>
          <w:szCs w:val="19"/>
        </w:rPr>
        <w:t>起，我方保证责任</w:t>
      </w:r>
      <w:r>
        <w:rPr>
          <w:sz w:val="19"/>
          <w:szCs w:val="19"/>
        </w:rPr>
        <w:t xml:space="preserve"> </w:t>
      </w:r>
      <w:r>
        <w:rPr>
          <w:spacing w:val="11"/>
          <w:sz w:val="19"/>
          <w:szCs w:val="19"/>
        </w:rPr>
        <w:t>解除。</w:t>
      </w:r>
    </w:p>
    <w:p w14:paraId="61377B05">
      <w:pPr>
        <w:pStyle w:val="2"/>
        <w:spacing w:before="43" w:line="261" w:lineRule="auto"/>
        <w:ind w:right="560" w:firstLine="419"/>
        <w:rPr>
          <w:sz w:val="19"/>
          <w:szCs w:val="19"/>
        </w:rPr>
      </w:pPr>
      <w:r>
        <w:rPr>
          <w:spacing w:val="19"/>
          <w:sz w:val="19"/>
          <w:szCs w:val="19"/>
        </w:rPr>
        <w:t>3、我方按照本保函向你方履行保证责任所支付的金额达到本保函保证金额时，自我方向你方</w:t>
      </w:r>
      <w:r>
        <w:rPr>
          <w:spacing w:val="2"/>
          <w:sz w:val="19"/>
          <w:szCs w:val="19"/>
        </w:rPr>
        <w:t xml:space="preserve"> </w:t>
      </w:r>
      <w:r>
        <w:rPr>
          <w:spacing w:val="18"/>
          <w:sz w:val="19"/>
          <w:szCs w:val="19"/>
        </w:rPr>
        <w:t>支付(支付款项从我方帐户划出)之日起，保证责任即</w:t>
      </w:r>
      <w:r>
        <w:rPr>
          <w:spacing w:val="17"/>
          <w:sz w:val="19"/>
          <w:szCs w:val="19"/>
        </w:rPr>
        <w:t>解除。</w:t>
      </w:r>
    </w:p>
    <w:p w14:paraId="7399F946">
      <w:pPr>
        <w:pStyle w:val="2"/>
        <w:spacing w:before="44" w:line="241" w:lineRule="auto"/>
        <w:ind w:right="560" w:firstLine="419"/>
        <w:rPr>
          <w:sz w:val="19"/>
          <w:szCs w:val="19"/>
        </w:rPr>
      </w:pPr>
      <w:r>
        <w:rPr>
          <w:spacing w:val="19"/>
          <w:sz w:val="19"/>
          <w:szCs w:val="19"/>
        </w:rPr>
        <w:t>4、按照法律法规的规定或出现应解除我方保证责任的其它情形的，我方在本保函项下的保证</w:t>
      </w:r>
      <w:r>
        <w:rPr>
          <w:spacing w:val="3"/>
          <w:sz w:val="19"/>
          <w:szCs w:val="19"/>
        </w:rPr>
        <w:t xml:space="preserve"> </w:t>
      </w:r>
      <w:r>
        <w:rPr>
          <w:spacing w:val="12"/>
          <w:sz w:val="19"/>
          <w:szCs w:val="19"/>
        </w:rPr>
        <w:t>责任亦解除。</w:t>
      </w:r>
    </w:p>
    <w:p w14:paraId="35A8F782">
      <w:pPr>
        <w:pStyle w:val="2"/>
        <w:spacing w:before="74" w:line="257" w:lineRule="auto"/>
        <w:ind w:right="561" w:firstLine="419"/>
        <w:rPr>
          <w:sz w:val="19"/>
          <w:szCs w:val="19"/>
        </w:rPr>
      </w:pPr>
      <w:r>
        <w:rPr>
          <w:spacing w:val="17"/>
          <w:sz w:val="19"/>
          <w:szCs w:val="19"/>
        </w:rPr>
        <w:t>我方解除保证责任后，你方应自我方保证责任解除之日</w:t>
      </w:r>
      <w:r>
        <w:rPr>
          <w:spacing w:val="17"/>
          <w:sz w:val="19"/>
          <w:szCs w:val="19"/>
          <w:u w:val="single" w:color="auto"/>
        </w:rPr>
        <w:t>起</w:t>
      </w:r>
      <w:r>
        <w:rPr>
          <w:spacing w:val="4"/>
          <w:sz w:val="19"/>
          <w:szCs w:val="19"/>
          <w:u w:val="single" w:color="auto"/>
        </w:rPr>
        <w:t xml:space="preserve">      </w:t>
      </w:r>
      <w:r>
        <w:rPr>
          <w:spacing w:val="-80"/>
          <w:sz w:val="19"/>
          <w:szCs w:val="19"/>
        </w:rPr>
        <w:t xml:space="preserve"> </w:t>
      </w:r>
      <w:r>
        <w:rPr>
          <w:spacing w:val="17"/>
          <w:sz w:val="19"/>
          <w:szCs w:val="19"/>
        </w:rPr>
        <w:t>个工作日内，将本保函原件返</w:t>
      </w:r>
      <w:r>
        <w:rPr>
          <w:sz w:val="19"/>
          <w:szCs w:val="19"/>
        </w:rPr>
        <w:t xml:space="preserve"> </w:t>
      </w:r>
      <w:r>
        <w:rPr>
          <w:spacing w:val="16"/>
          <w:sz w:val="19"/>
          <w:szCs w:val="19"/>
        </w:rPr>
        <w:t>还我方。</w:t>
      </w:r>
    </w:p>
    <w:p w14:paraId="2EDECE1A">
      <w:pPr>
        <w:spacing w:before="17" w:line="221" w:lineRule="auto"/>
        <w:ind w:left="422"/>
        <w:rPr>
          <w:rFonts w:ascii="黑体" w:hAnsi="黑体" w:eastAsia="黑体" w:cs="黑体"/>
          <w:sz w:val="19"/>
          <w:szCs w:val="19"/>
        </w:rPr>
      </w:pPr>
      <w:r>
        <w:rPr>
          <w:rFonts w:ascii="黑体" w:hAnsi="黑体" w:eastAsia="黑体" w:cs="黑体"/>
          <w:b/>
          <w:bCs/>
          <w:spacing w:val="8"/>
          <w:sz w:val="19"/>
          <w:szCs w:val="19"/>
        </w:rPr>
        <w:t>六</w:t>
      </w:r>
      <w:r>
        <w:rPr>
          <w:rFonts w:ascii="黑体" w:hAnsi="黑体" w:eastAsia="黑体" w:cs="黑体"/>
          <w:spacing w:val="-36"/>
          <w:sz w:val="19"/>
          <w:szCs w:val="19"/>
        </w:rPr>
        <w:t xml:space="preserve"> </w:t>
      </w:r>
      <w:r>
        <w:rPr>
          <w:rFonts w:ascii="黑体" w:hAnsi="黑体" w:eastAsia="黑体" w:cs="黑体"/>
          <w:b/>
          <w:bCs/>
          <w:spacing w:val="8"/>
          <w:sz w:val="19"/>
          <w:szCs w:val="19"/>
        </w:rPr>
        <w:t>、免责条款</w:t>
      </w:r>
    </w:p>
    <w:p w14:paraId="66DDB6B6">
      <w:pPr>
        <w:pStyle w:val="2"/>
        <w:spacing w:before="67" w:line="219" w:lineRule="auto"/>
        <w:ind w:left="419"/>
        <w:rPr>
          <w:sz w:val="19"/>
          <w:szCs w:val="19"/>
        </w:rPr>
      </w:pPr>
      <w:r>
        <w:rPr>
          <w:spacing w:val="17"/>
          <w:sz w:val="19"/>
          <w:szCs w:val="19"/>
        </w:rPr>
        <w:t>1、</w:t>
      </w:r>
      <w:r>
        <w:rPr>
          <w:spacing w:val="-46"/>
          <w:sz w:val="19"/>
          <w:szCs w:val="19"/>
        </w:rPr>
        <w:t xml:space="preserve"> </w:t>
      </w:r>
      <w:r>
        <w:rPr>
          <w:spacing w:val="17"/>
          <w:sz w:val="19"/>
          <w:szCs w:val="19"/>
        </w:rPr>
        <w:t>因你方违约致使承包人不能履行义务的，我方不承担保证责任。</w:t>
      </w:r>
    </w:p>
    <w:p w14:paraId="7458C246">
      <w:pPr>
        <w:pStyle w:val="2"/>
        <w:spacing w:before="44" w:line="246" w:lineRule="auto"/>
        <w:ind w:right="556" w:firstLine="419"/>
        <w:rPr>
          <w:sz w:val="19"/>
          <w:szCs w:val="19"/>
        </w:rPr>
      </w:pPr>
      <w:r>
        <w:rPr>
          <w:spacing w:val="19"/>
          <w:sz w:val="19"/>
          <w:szCs w:val="19"/>
        </w:rPr>
        <w:t>2、依照法律法规的规定或你方与承包人的另行约定，免除承包人部分或全部义务的，我方亦</w:t>
      </w:r>
      <w:r>
        <w:rPr>
          <w:spacing w:val="7"/>
          <w:sz w:val="19"/>
          <w:szCs w:val="19"/>
        </w:rPr>
        <w:t xml:space="preserve"> </w:t>
      </w:r>
      <w:r>
        <w:rPr>
          <w:spacing w:val="15"/>
          <w:sz w:val="19"/>
          <w:szCs w:val="19"/>
        </w:rPr>
        <w:t>免除其相应的保证责任。</w:t>
      </w:r>
    </w:p>
    <w:p w14:paraId="0DB8C7A3">
      <w:pPr>
        <w:pStyle w:val="2"/>
        <w:spacing w:before="42" w:line="251" w:lineRule="auto"/>
        <w:ind w:right="553" w:firstLine="419"/>
        <w:rPr>
          <w:sz w:val="19"/>
          <w:szCs w:val="19"/>
        </w:rPr>
      </w:pPr>
      <w:r>
        <w:rPr>
          <w:spacing w:val="25"/>
          <w:sz w:val="19"/>
          <w:szCs w:val="19"/>
        </w:rPr>
        <w:t>3、你方与承包人协议变更主合同(符合主合同合同条款第15条约定的变更除外),如加重承</w:t>
      </w:r>
      <w:r>
        <w:rPr>
          <w:spacing w:val="18"/>
          <w:sz w:val="19"/>
          <w:szCs w:val="19"/>
        </w:rPr>
        <w:t xml:space="preserve"> </w:t>
      </w:r>
      <w:r>
        <w:rPr>
          <w:spacing w:val="22"/>
          <w:sz w:val="19"/>
          <w:szCs w:val="19"/>
        </w:rPr>
        <w:t>包人责任致使我方保证责任加重的，需征得我方书面同意，否则我方不再承担因此而加重部分的</w:t>
      </w:r>
    </w:p>
    <w:p w14:paraId="0EC6B8F3">
      <w:pPr>
        <w:spacing w:line="251" w:lineRule="auto"/>
        <w:rPr>
          <w:sz w:val="19"/>
          <w:szCs w:val="19"/>
        </w:rPr>
        <w:sectPr>
          <w:footerReference r:id="rId175" w:type="default"/>
          <w:pgSz w:w="11910" w:h="16840"/>
          <w:pgMar w:top="400" w:right="1001" w:bottom="1052" w:left="1450" w:header="0" w:footer="881" w:gutter="0"/>
          <w:cols w:space="720" w:num="1"/>
        </w:sectPr>
      </w:pPr>
    </w:p>
    <w:p w14:paraId="56105B49">
      <w:pPr>
        <w:spacing w:line="253" w:lineRule="auto"/>
        <w:rPr>
          <w:rFonts w:ascii="Arial"/>
          <w:sz w:val="21"/>
        </w:rPr>
      </w:pPr>
    </w:p>
    <w:p w14:paraId="349422D2">
      <w:pPr>
        <w:spacing w:line="253" w:lineRule="auto"/>
        <w:rPr>
          <w:rFonts w:ascii="Arial"/>
          <w:sz w:val="21"/>
        </w:rPr>
      </w:pPr>
    </w:p>
    <w:p w14:paraId="2870939B">
      <w:pPr>
        <w:spacing w:line="253" w:lineRule="auto"/>
        <w:rPr>
          <w:rFonts w:ascii="Arial"/>
          <w:sz w:val="21"/>
        </w:rPr>
      </w:pPr>
    </w:p>
    <w:p w14:paraId="295D1400">
      <w:pPr>
        <w:spacing w:line="253" w:lineRule="auto"/>
        <w:rPr>
          <w:rFonts w:ascii="Arial"/>
          <w:sz w:val="21"/>
        </w:rPr>
      </w:pPr>
    </w:p>
    <w:p w14:paraId="31021527">
      <w:pPr>
        <w:spacing w:line="253" w:lineRule="auto"/>
        <w:rPr>
          <w:rFonts w:ascii="Arial"/>
          <w:sz w:val="21"/>
        </w:rPr>
      </w:pPr>
    </w:p>
    <w:p w14:paraId="3C106744">
      <w:pPr>
        <w:pStyle w:val="2"/>
        <w:spacing w:before="65" w:line="219" w:lineRule="auto"/>
        <w:rPr>
          <w:sz w:val="20"/>
          <w:szCs w:val="20"/>
        </w:rPr>
      </w:pPr>
      <w:r>
        <w:rPr>
          <w:spacing w:val="1"/>
          <w:sz w:val="20"/>
          <w:szCs w:val="20"/>
        </w:rPr>
        <w:t>保证责任。</w:t>
      </w:r>
    </w:p>
    <w:p w14:paraId="667DA64D">
      <w:pPr>
        <w:pStyle w:val="2"/>
        <w:spacing w:before="62" w:line="219" w:lineRule="auto"/>
        <w:ind w:left="419"/>
        <w:rPr>
          <w:sz w:val="20"/>
          <w:szCs w:val="20"/>
        </w:rPr>
      </w:pPr>
      <w:r>
        <w:rPr>
          <w:spacing w:val="9"/>
          <w:sz w:val="20"/>
          <w:szCs w:val="20"/>
        </w:rPr>
        <w:t>4、因不可抗力造成承包人不能履行义务的，我方不承担保证责任。</w:t>
      </w:r>
    </w:p>
    <w:p w14:paraId="63452B24">
      <w:pPr>
        <w:pStyle w:val="2"/>
        <w:spacing w:before="39" w:line="219" w:lineRule="auto"/>
        <w:ind w:left="422"/>
        <w:rPr>
          <w:sz w:val="20"/>
          <w:szCs w:val="20"/>
        </w:rPr>
      </w:pPr>
      <w:r>
        <w:rPr>
          <w:b/>
          <w:bCs/>
          <w:spacing w:val="8"/>
          <w:sz w:val="20"/>
          <w:szCs w:val="20"/>
        </w:rPr>
        <w:t>七、争议的解决</w:t>
      </w:r>
    </w:p>
    <w:p w14:paraId="7D600675">
      <w:pPr>
        <w:pStyle w:val="2"/>
        <w:spacing w:before="27" w:line="261" w:lineRule="auto"/>
        <w:ind w:firstLine="419"/>
        <w:rPr>
          <w:sz w:val="20"/>
          <w:szCs w:val="20"/>
        </w:rPr>
      </w:pPr>
      <w:r>
        <w:rPr>
          <w:spacing w:val="8"/>
          <w:sz w:val="20"/>
          <w:szCs w:val="20"/>
        </w:rPr>
        <w:t>因本保函发生的纠纷，由贵我双方协商解决，协商不成的，任何一方均可提请</w:t>
      </w:r>
      <w:r>
        <w:rPr>
          <w:spacing w:val="-65"/>
          <w:sz w:val="20"/>
          <w:szCs w:val="20"/>
        </w:rPr>
        <w:t xml:space="preserve"> </w:t>
      </w:r>
      <w:r>
        <w:rPr>
          <w:spacing w:val="5"/>
          <w:sz w:val="20"/>
          <w:szCs w:val="20"/>
          <w:u w:val="single" w:color="auto"/>
        </w:rPr>
        <w:t xml:space="preserve">       </w:t>
      </w:r>
      <w:r>
        <w:rPr>
          <w:spacing w:val="-75"/>
          <w:sz w:val="20"/>
          <w:szCs w:val="20"/>
        </w:rPr>
        <w:t xml:space="preserve"> </w:t>
      </w:r>
      <w:r>
        <w:rPr>
          <w:spacing w:val="4"/>
          <w:sz w:val="20"/>
          <w:szCs w:val="20"/>
          <w:u w:val="dotted" w:color="auto"/>
        </w:rPr>
        <w:t xml:space="preserve">  </w:t>
      </w:r>
      <w:r>
        <w:rPr>
          <w:spacing w:val="-82"/>
          <w:sz w:val="20"/>
          <w:szCs w:val="20"/>
        </w:rPr>
        <w:t xml:space="preserve"> </w:t>
      </w:r>
      <w:r>
        <w:rPr>
          <w:spacing w:val="8"/>
          <w:sz w:val="20"/>
          <w:szCs w:val="20"/>
        </w:rPr>
        <w:t>仲裁委</w:t>
      </w:r>
      <w:r>
        <w:rPr>
          <w:sz w:val="20"/>
          <w:szCs w:val="20"/>
        </w:rPr>
        <w:t xml:space="preserve"> </w:t>
      </w:r>
      <w:r>
        <w:rPr>
          <w:spacing w:val="1"/>
          <w:sz w:val="20"/>
          <w:szCs w:val="20"/>
        </w:rPr>
        <w:t>员会仲裁。</w:t>
      </w:r>
    </w:p>
    <w:p w14:paraId="17168015">
      <w:pPr>
        <w:pStyle w:val="2"/>
        <w:spacing w:line="220" w:lineRule="auto"/>
        <w:ind w:left="422"/>
        <w:rPr>
          <w:sz w:val="20"/>
          <w:szCs w:val="20"/>
        </w:rPr>
      </w:pPr>
      <w:r>
        <w:rPr>
          <w:b/>
          <w:bCs/>
          <w:spacing w:val="8"/>
          <w:sz w:val="20"/>
          <w:szCs w:val="20"/>
        </w:rPr>
        <w:t>八、保函的生效</w:t>
      </w:r>
    </w:p>
    <w:p w14:paraId="213F976C">
      <w:pPr>
        <w:pStyle w:val="2"/>
        <w:spacing w:before="33" w:line="219" w:lineRule="auto"/>
        <w:ind w:left="419"/>
        <w:rPr>
          <w:sz w:val="20"/>
          <w:szCs w:val="20"/>
        </w:rPr>
      </w:pPr>
      <w:r>
        <w:rPr>
          <w:spacing w:val="9"/>
          <w:sz w:val="20"/>
          <w:szCs w:val="20"/>
        </w:rPr>
        <w:t>本保函自我方法定代表人(或其授权代理人)签字或加盖公章并交付你方之日起生效。</w:t>
      </w:r>
    </w:p>
    <w:p w14:paraId="4FEFE57D">
      <w:pPr>
        <w:pStyle w:val="2"/>
        <w:spacing w:before="43" w:line="219" w:lineRule="auto"/>
        <w:ind w:left="419"/>
        <w:rPr>
          <w:rFonts w:ascii="Arial" w:hAnsi="Arial" w:eastAsia="Arial" w:cs="Arial"/>
          <w:sz w:val="20"/>
          <w:szCs w:val="20"/>
        </w:rPr>
      </w:pPr>
      <w:r>
        <w:rPr>
          <w:spacing w:val="-1"/>
          <w:sz w:val="20"/>
          <w:szCs w:val="20"/>
        </w:rPr>
        <w:t xml:space="preserve">本条所称交付是指： </w:t>
      </w:r>
      <w:r>
        <w:rPr>
          <w:spacing w:val="2"/>
          <w:sz w:val="20"/>
          <w:szCs w:val="20"/>
          <w:u w:val="single" w:color="auto"/>
        </w:rPr>
        <w:t xml:space="preserve">                              </w:t>
      </w:r>
      <w:r>
        <w:rPr>
          <w:spacing w:val="1"/>
          <w:sz w:val="20"/>
          <w:szCs w:val="20"/>
          <w:u w:val="single" w:color="auto"/>
        </w:rPr>
        <w:t xml:space="preserve">                            </w:t>
      </w:r>
      <w:r>
        <w:rPr>
          <w:spacing w:val="-69"/>
          <w:sz w:val="20"/>
          <w:szCs w:val="20"/>
        </w:rPr>
        <w:t xml:space="preserve"> </w:t>
      </w:r>
      <w:r>
        <w:rPr>
          <w:rFonts w:ascii="Arial" w:hAnsi="Arial" w:eastAsia="Arial" w:cs="Arial"/>
          <w:spacing w:val="-1"/>
          <w:sz w:val="20"/>
          <w:szCs w:val="20"/>
        </w:rPr>
        <w:t>o</w:t>
      </w:r>
    </w:p>
    <w:p w14:paraId="37E10F30">
      <w:pPr>
        <w:spacing w:line="294" w:lineRule="auto"/>
        <w:rPr>
          <w:rFonts w:ascii="Arial"/>
          <w:sz w:val="21"/>
        </w:rPr>
      </w:pPr>
    </w:p>
    <w:p w14:paraId="1FFAB65B">
      <w:pPr>
        <w:pStyle w:val="2"/>
        <w:spacing w:before="69" w:line="227" w:lineRule="auto"/>
        <w:ind w:left="2879"/>
        <w:rPr>
          <w:sz w:val="20"/>
          <w:szCs w:val="20"/>
        </w:rPr>
      </w:pPr>
      <w:r>
        <w:rPr>
          <w:spacing w:val="-1"/>
          <w:sz w:val="21"/>
          <w:szCs w:val="21"/>
        </w:rPr>
        <w:t>担保人：</w:t>
      </w:r>
      <w:r>
        <w:rPr>
          <w:spacing w:val="2"/>
          <w:sz w:val="21"/>
          <w:szCs w:val="21"/>
          <w:u w:val="single" w:color="auto"/>
        </w:rPr>
        <w:t xml:space="preserve">                                 </w:t>
      </w:r>
      <w:r>
        <w:rPr>
          <w:spacing w:val="-1"/>
          <w:sz w:val="21"/>
          <w:szCs w:val="21"/>
        </w:rPr>
        <w:t xml:space="preserve"> </w:t>
      </w:r>
      <w:r>
        <w:rPr>
          <w:spacing w:val="-1"/>
          <w:sz w:val="20"/>
          <w:szCs w:val="20"/>
        </w:rPr>
        <w:t>(盖单位章)</w:t>
      </w:r>
    </w:p>
    <w:p w14:paraId="278416F7">
      <w:pPr>
        <w:pStyle w:val="2"/>
        <w:spacing w:before="101" w:line="219" w:lineRule="auto"/>
        <w:ind w:left="2879"/>
        <w:rPr>
          <w:sz w:val="20"/>
          <w:szCs w:val="20"/>
        </w:rPr>
      </w:pPr>
      <w:r>
        <w:rPr>
          <w:sz w:val="20"/>
          <w:szCs w:val="20"/>
        </w:rPr>
        <w:t xml:space="preserve">法定代表人或其委托代理人： </w:t>
      </w:r>
      <w:r>
        <w:rPr>
          <w:spacing w:val="3"/>
          <w:sz w:val="20"/>
          <w:szCs w:val="20"/>
          <w:u w:val="single" w:color="auto"/>
        </w:rPr>
        <w:t xml:space="preserve">                     </w:t>
      </w:r>
      <w:r>
        <w:rPr>
          <w:sz w:val="20"/>
          <w:szCs w:val="20"/>
        </w:rPr>
        <w:t>(签字)</w:t>
      </w:r>
    </w:p>
    <w:p w14:paraId="0BE5DAD3">
      <w:pPr>
        <w:pStyle w:val="2"/>
        <w:spacing w:before="112" w:line="229" w:lineRule="auto"/>
        <w:ind w:left="2879"/>
        <w:rPr>
          <w:sz w:val="20"/>
          <w:szCs w:val="20"/>
        </w:rPr>
      </w:pPr>
      <w:r>
        <w:rPr>
          <w:spacing w:val="-10"/>
          <w:sz w:val="20"/>
          <w:szCs w:val="20"/>
        </w:rPr>
        <w:t>地</w:t>
      </w:r>
      <w:r>
        <w:rPr>
          <w:spacing w:val="9"/>
          <w:sz w:val="20"/>
          <w:szCs w:val="20"/>
        </w:rPr>
        <w:t xml:space="preserve">    </w:t>
      </w:r>
      <w:r>
        <w:rPr>
          <w:spacing w:val="-10"/>
          <w:sz w:val="20"/>
          <w:szCs w:val="20"/>
        </w:rPr>
        <w:t>址：</w:t>
      </w:r>
      <w:r>
        <w:rPr>
          <w:sz w:val="20"/>
          <w:szCs w:val="20"/>
          <w:u w:val="single" w:color="auto"/>
        </w:rPr>
        <w:t xml:space="preserve">                                         </w:t>
      </w:r>
    </w:p>
    <w:p w14:paraId="687C3999">
      <w:pPr>
        <w:pStyle w:val="2"/>
        <w:spacing w:before="63" w:line="219" w:lineRule="auto"/>
        <w:ind w:left="2879"/>
        <w:rPr>
          <w:sz w:val="21"/>
          <w:szCs w:val="21"/>
        </w:rPr>
      </w:pPr>
      <w:r>
        <w:rPr>
          <w:spacing w:val="-7"/>
          <w:sz w:val="21"/>
          <w:szCs w:val="21"/>
        </w:rPr>
        <w:t>邮政编码：</w:t>
      </w:r>
      <w:r>
        <w:rPr>
          <w:sz w:val="21"/>
          <w:szCs w:val="21"/>
          <w:u w:val="single" w:color="auto"/>
        </w:rPr>
        <w:t xml:space="preserve">                                       </w:t>
      </w:r>
    </w:p>
    <w:p w14:paraId="498535B6">
      <w:pPr>
        <w:pStyle w:val="2"/>
        <w:spacing w:before="113" w:line="221" w:lineRule="auto"/>
        <w:ind w:left="2879"/>
        <w:rPr>
          <w:sz w:val="20"/>
          <w:szCs w:val="20"/>
        </w:rPr>
      </w:pPr>
      <w:r>
        <w:rPr>
          <w:spacing w:val="-21"/>
          <w:sz w:val="20"/>
          <w:szCs w:val="20"/>
        </w:rPr>
        <w:t>电</w:t>
      </w:r>
      <w:r>
        <w:rPr>
          <w:spacing w:val="15"/>
          <w:sz w:val="20"/>
          <w:szCs w:val="20"/>
        </w:rPr>
        <w:t xml:space="preserve">    </w:t>
      </w:r>
      <w:r>
        <w:rPr>
          <w:spacing w:val="-21"/>
          <w:sz w:val="20"/>
          <w:szCs w:val="20"/>
        </w:rPr>
        <w:t>话：</w:t>
      </w:r>
      <w:r>
        <w:rPr>
          <w:sz w:val="20"/>
          <w:szCs w:val="20"/>
          <w:u w:val="single" w:color="auto"/>
        </w:rPr>
        <w:t xml:space="preserve">                                         </w:t>
      </w:r>
    </w:p>
    <w:p w14:paraId="5746DB11">
      <w:pPr>
        <w:pStyle w:val="2"/>
        <w:spacing w:before="97" w:line="219" w:lineRule="auto"/>
        <w:ind w:left="2879"/>
        <w:rPr>
          <w:sz w:val="20"/>
          <w:szCs w:val="20"/>
        </w:rPr>
      </w:pPr>
      <w:r>
        <w:rPr>
          <w:spacing w:val="-9"/>
          <w:sz w:val="20"/>
          <w:szCs w:val="20"/>
        </w:rPr>
        <w:t>传</w:t>
      </w:r>
      <w:r>
        <w:rPr>
          <w:spacing w:val="11"/>
          <w:sz w:val="20"/>
          <w:szCs w:val="20"/>
        </w:rPr>
        <w:t xml:space="preserve">    </w:t>
      </w:r>
      <w:r>
        <w:rPr>
          <w:spacing w:val="-9"/>
          <w:sz w:val="20"/>
          <w:szCs w:val="20"/>
        </w:rPr>
        <w:t>真：</w:t>
      </w:r>
      <w:r>
        <w:rPr>
          <w:sz w:val="20"/>
          <w:szCs w:val="20"/>
          <w:u w:val="single" w:color="auto"/>
        </w:rPr>
        <w:t xml:space="preserve">                                         </w:t>
      </w:r>
    </w:p>
    <w:p w14:paraId="5B46C599">
      <w:pPr>
        <w:pStyle w:val="2"/>
        <w:tabs>
          <w:tab w:val="left" w:pos="7209"/>
        </w:tabs>
        <w:spacing w:before="114" w:line="219" w:lineRule="auto"/>
        <w:ind w:left="6459"/>
        <w:rPr>
          <w:sz w:val="20"/>
          <w:szCs w:val="20"/>
        </w:rPr>
      </w:pPr>
      <w:r>
        <w:rPr>
          <w:sz w:val="20"/>
          <w:szCs w:val="20"/>
          <w:u w:val="single" w:color="auto"/>
        </w:rPr>
        <w:tab/>
      </w:r>
      <w:r>
        <w:rPr>
          <w:spacing w:val="-7"/>
          <w:sz w:val="20"/>
          <w:szCs w:val="20"/>
        </w:rPr>
        <w:t>年</w:t>
      </w:r>
      <w:r>
        <w:rPr>
          <w:spacing w:val="15"/>
          <w:sz w:val="20"/>
          <w:szCs w:val="20"/>
          <w:u w:val="single" w:color="auto"/>
        </w:rPr>
        <w:t xml:space="preserve">     </w:t>
      </w:r>
      <w:r>
        <w:rPr>
          <w:spacing w:val="-7"/>
          <w:sz w:val="20"/>
          <w:szCs w:val="20"/>
        </w:rPr>
        <w:t>月</w:t>
      </w:r>
      <w:r>
        <w:rPr>
          <w:spacing w:val="13"/>
          <w:sz w:val="20"/>
          <w:szCs w:val="20"/>
          <w:u w:val="single" w:color="auto"/>
        </w:rPr>
        <w:t xml:space="preserve">     </w:t>
      </w:r>
      <w:r>
        <w:rPr>
          <w:spacing w:val="-7"/>
          <w:sz w:val="20"/>
          <w:szCs w:val="20"/>
        </w:rPr>
        <w:t>日</w:t>
      </w:r>
    </w:p>
    <w:p w14:paraId="2385CFC1">
      <w:pPr>
        <w:spacing w:line="276" w:lineRule="auto"/>
        <w:rPr>
          <w:rFonts w:ascii="Arial"/>
          <w:sz w:val="21"/>
        </w:rPr>
      </w:pPr>
    </w:p>
    <w:p w14:paraId="60767BDF">
      <w:pPr>
        <w:pStyle w:val="2"/>
        <w:spacing w:before="65" w:line="233" w:lineRule="auto"/>
        <w:ind w:left="639" w:right="246" w:hanging="639"/>
        <w:rPr>
          <w:sz w:val="20"/>
          <w:szCs w:val="20"/>
        </w:rPr>
      </w:pPr>
      <w:r>
        <w:rPr>
          <w:spacing w:val="12"/>
          <w:sz w:val="20"/>
          <w:szCs w:val="20"/>
        </w:rPr>
        <w:t>备注：本履约担保格式可以采用经发包人同意的其他格式，但相关</w:t>
      </w:r>
      <w:r>
        <w:rPr>
          <w:spacing w:val="11"/>
          <w:sz w:val="20"/>
          <w:szCs w:val="20"/>
        </w:rPr>
        <w:t>内容不得违背合同约定的实质</w:t>
      </w:r>
      <w:r>
        <w:rPr>
          <w:sz w:val="20"/>
          <w:szCs w:val="20"/>
        </w:rPr>
        <w:t xml:space="preserve"> </w:t>
      </w:r>
      <w:r>
        <w:rPr>
          <w:spacing w:val="2"/>
          <w:sz w:val="20"/>
          <w:szCs w:val="20"/>
        </w:rPr>
        <w:t>性内容。</w:t>
      </w:r>
    </w:p>
    <w:p w14:paraId="6DD6EFCD">
      <w:pPr>
        <w:spacing w:line="233" w:lineRule="auto"/>
        <w:rPr>
          <w:sz w:val="20"/>
          <w:szCs w:val="20"/>
        </w:rPr>
        <w:sectPr>
          <w:footerReference r:id="rId176" w:type="default"/>
          <w:pgSz w:w="11910" w:h="16840"/>
          <w:pgMar w:top="400" w:right="1311" w:bottom="1024" w:left="1460" w:header="0" w:footer="889" w:gutter="0"/>
          <w:cols w:space="720" w:num="1"/>
        </w:sectPr>
      </w:pPr>
    </w:p>
    <w:p w14:paraId="013A074B">
      <w:pPr>
        <w:spacing w:line="262" w:lineRule="auto"/>
        <w:rPr>
          <w:rFonts w:ascii="Arial"/>
          <w:sz w:val="21"/>
        </w:rPr>
      </w:pPr>
    </w:p>
    <w:p w14:paraId="74CEAD1D">
      <w:pPr>
        <w:spacing w:line="262" w:lineRule="auto"/>
        <w:rPr>
          <w:rFonts w:ascii="Arial"/>
          <w:sz w:val="21"/>
        </w:rPr>
      </w:pPr>
    </w:p>
    <w:p w14:paraId="635E9975">
      <w:pPr>
        <w:spacing w:line="263" w:lineRule="auto"/>
        <w:rPr>
          <w:rFonts w:ascii="Arial"/>
          <w:sz w:val="21"/>
        </w:rPr>
      </w:pPr>
    </w:p>
    <w:p w14:paraId="5D80FF79">
      <w:pPr>
        <w:spacing w:line="263" w:lineRule="auto"/>
        <w:rPr>
          <w:rFonts w:ascii="Arial"/>
          <w:sz w:val="21"/>
        </w:rPr>
      </w:pPr>
    </w:p>
    <w:p w14:paraId="64405DA6">
      <w:pPr>
        <w:spacing w:line="263" w:lineRule="auto"/>
        <w:rPr>
          <w:rFonts w:ascii="Arial"/>
          <w:sz w:val="21"/>
        </w:rPr>
      </w:pPr>
    </w:p>
    <w:p w14:paraId="735FD824">
      <w:pPr>
        <w:spacing w:before="75" w:line="223" w:lineRule="auto"/>
        <w:ind w:left="3"/>
        <w:rPr>
          <w:rFonts w:ascii="黑体" w:hAnsi="黑体" w:eastAsia="黑体" w:cs="黑体"/>
          <w:sz w:val="23"/>
          <w:szCs w:val="23"/>
        </w:rPr>
      </w:pPr>
      <w:r>
        <w:rPr>
          <w:rFonts w:ascii="黑体" w:hAnsi="黑体" w:eastAsia="黑体" w:cs="黑体"/>
          <w:b/>
          <w:bCs/>
          <w:spacing w:val="6"/>
          <w:sz w:val="23"/>
          <w:szCs w:val="23"/>
        </w:rPr>
        <w:t>附件四：支付担保格式</w:t>
      </w:r>
    </w:p>
    <w:p w14:paraId="237E42BF">
      <w:pPr>
        <w:spacing w:line="397" w:lineRule="auto"/>
        <w:rPr>
          <w:rFonts w:ascii="Arial"/>
          <w:sz w:val="21"/>
        </w:rPr>
      </w:pPr>
    </w:p>
    <w:p w14:paraId="0B4F18D0">
      <w:pPr>
        <w:spacing w:before="91" w:line="221" w:lineRule="auto"/>
        <w:ind w:left="3743"/>
        <w:rPr>
          <w:rFonts w:ascii="黑体" w:hAnsi="黑体" w:eastAsia="黑体" w:cs="黑体"/>
          <w:sz w:val="28"/>
          <w:szCs w:val="28"/>
        </w:rPr>
      </w:pPr>
      <w:r>
        <w:rPr>
          <w:rFonts w:ascii="黑体" w:hAnsi="黑体" w:eastAsia="黑体" w:cs="黑体"/>
          <w:b/>
          <w:bCs/>
          <w:spacing w:val="4"/>
          <w:sz w:val="28"/>
          <w:szCs w:val="28"/>
        </w:rPr>
        <w:t>发包人支付保函</w:t>
      </w:r>
    </w:p>
    <w:p w14:paraId="1612E62A">
      <w:pPr>
        <w:spacing w:line="400" w:lineRule="auto"/>
        <w:rPr>
          <w:rFonts w:ascii="Arial"/>
          <w:sz w:val="21"/>
        </w:rPr>
      </w:pPr>
    </w:p>
    <w:p w14:paraId="3DB32F74">
      <w:pPr>
        <w:pStyle w:val="2"/>
        <w:tabs>
          <w:tab w:val="left" w:pos="2428"/>
        </w:tabs>
        <w:spacing w:before="65" w:line="219" w:lineRule="auto"/>
        <w:rPr>
          <w:sz w:val="20"/>
          <w:szCs w:val="20"/>
        </w:rPr>
      </w:pPr>
      <w:r>
        <w:rPr>
          <w:sz w:val="20"/>
          <w:szCs w:val="20"/>
          <w:u w:val="single" w:color="auto"/>
        </w:rPr>
        <w:tab/>
      </w:r>
      <w:r>
        <w:rPr>
          <w:spacing w:val="-78"/>
          <w:sz w:val="20"/>
          <w:szCs w:val="20"/>
        </w:rPr>
        <w:t xml:space="preserve"> </w:t>
      </w:r>
      <w:r>
        <w:rPr>
          <w:spacing w:val="3"/>
          <w:sz w:val="20"/>
          <w:szCs w:val="20"/>
        </w:rPr>
        <w:t>(承包人):</w:t>
      </w:r>
    </w:p>
    <w:p w14:paraId="5B262040">
      <w:pPr>
        <w:pStyle w:val="2"/>
        <w:spacing w:before="52" w:line="276" w:lineRule="auto"/>
        <w:ind w:right="67" w:firstLine="429"/>
        <w:jc w:val="both"/>
        <w:rPr>
          <w:sz w:val="20"/>
          <w:szCs w:val="20"/>
        </w:rPr>
      </w:pPr>
      <w:r>
        <w:rPr>
          <w:spacing w:val="9"/>
          <w:sz w:val="20"/>
          <w:szCs w:val="20"/>
        </w:rPr>
        <w:t>鉴于你方作为承包人已经与</w:t>
      </w:r>
      <w:r>
        <w:rPr>
          <w:spacing w:val="-97"/>
          <w:sz w:val="20"/>
          <w:szCs w:val="20"/>
        </w:rPr>
        <w:t xml:space="preserve"> </w:t>
      </w:r>
      <w:r>
        <w:rPr>
          <w:spacing w:val="9"/>
          <w:sz w:val="20"/>
          <w:szCs w:val="20"/>
          <w:u w:val="single" w:color="auto"/>
        </w:rPr>
        <w:t xml:space="preserve">              包       </w:t>
      </w:r>
      <w:r>
        <w:rPr>
          <w:spacing w:val="40"/>
          <w:sz w:val="20"/>
          <w:szCs w:val="20"/>
        </w:rPr>
        <w:t xml:space="preserve"> </w:t>
      </w:r>
      <w:r>
        <w:rPr>
          <w:spacing w:val="9"/>
          <w:sz w:val="20"/>
          <w:szCs w:val="20"/>
        </w:rPr>
        <w:t>(发包人名称)</w:t>
      </w:r>
      <w:r>
        <w:rPr>
          <w:spacing w:val="8"/>
          <w:sz w:val="20"/>
          <w:szCs w:val="20"/>
        </w:rPr>
        <w:t>(以下称“发包人”)于</w:t>
      </w:r>
      <w:r>
        <w:rPr>
          <w:sz w:val="20"/>
          <w:szCs w:val="20"/>
        </w:rPr>
        <w:t xml:space="preserve"> </w:t>
      </w:r>
      <w:r>
        <w:rPr>
          <w:spacing w:val="8"/>
          <w:sz w:val="20"/>
          <w:szCs w:val="20"/>
        </w:rPr>
        <w:t>年</w:t>
      </w:r>
      <w:r>
        <w:rPr>
          <w:spacing w:val="-57"/>
          <w:sz w:val="20"/>
          <w:szCs w:val="20"/>
        </w:rPr>
        <w:t xml:space="preserve"> </w:t>
      </w:r>
      <w:r>
        <w:rPr>
          <w:spacing w:val="5"/>
          <w:sz w:val="20"/>
          <w:szCs w:val="20"/>
          <w:u w:val="single" w:color="auto"/>
        </w:rPr>
        <w:t xml:space="preserve">        </w:t>
      </w:r>
      <w:r>
        <w:rPr>
          <w:spacing w:val="-80"/>
          <w:sz w:val="20"/>
          <w:szCs w:val="20"/>
        </w:rPr>
        <w:t xml:space="preserve"> </w:t>
      </w:r>
      <w:r>
        <w:rPr>
          <w:spacing w:val="8"/>
          <w:sz w:val="20"/>
          <w:szCs w:val="20"/>
        </w:rPr>
        <w:t>月</w:t>
      </w:r>
      <w:r>
        <w:rPr>
          <w:spacing w:val="-98"/>
          <w:sz w:val="20"/>
          <w:szCs w:val="20"/>
        </w:rPr>
        <w:t xml:space="preserve"> </w:t>
      </w:r>
      <w:r>
        <w:rPr>
          <w:spacing w:val="7"/>
          <w:sz w:val="20"/>
          <w:szCs w:val="20"/>
          <w:u w:val="single" w:color="auto"/>
        </w:rPr>
        <w:t xml:space="preserve">        </w:t>
      </w:r>
      <w:r>
        <w:rPr>
          <w:spacing w:val="-86"/>
          <w:sz w:val="20"/>
          <w:szCs w:val="20"/>
        </w:rPr>
        <w:t xml:space="preserve"> </w:t>
      </w:r>
      <w:r>
        <w:rPr>
          <w:spacing w:val="8"/>
          <w:sz w:val="20"/>
          <w:szCs w:val="20"/>
        </w:rPr>
        <w:t>日签订了</w:t>
      </w:r>
      <w:r>
        <w:rPr>
          <w:spacing w:val="8"/>
          <w:sz w:val="20"/>
          <w:szCs w:val="20"/>
          <w:u w:val="single" w:color="auto"/>
        </w:rPr>
        <w:t xml:space="preserve">      </w:t>
      </w:r>
      <w:r>
        <w:rPr>
          <w:spacing w:val="40"/>
          <w:sz w:val="20"/>
          <w:szCs w:val="20"/>
        </w:rPr>
        <w:t xml:space="preserve"> </w:t>
      </w:r>
      <w:r>
        <w:rPr>
          <w:spacing w:val="8"/>
          <w:sz w:val="20"/>
          <w:szCs w:val="20"/>
        </w:rPr>
        <w:t>(工程名称)施工承包合同(以下称“主合同”),应发包人</w:t>
      </w:r>
      <w:r>
        <w:rPr>
          <w:sz w:val="20"/>
          <w:szCs w:val="20"/>
        </w:rPr>
        <w:t xml:space="preserve"> </w:t>
      </w:r>
      <w:r>
        <w:rPr>
          <w:spacing w:val="10"/>
          <w:sz w:val="20"/>
          <w:szCs w:val="20"/>
        </w:rPr>
        <w:t>的申请，我方愿就发包人履行主合同约定的工</w:t>
      </w:r>
      <w:r>
        <w:rPr>
          <w:spacing w:val="9"/>
          <w:sz w:val="20"/>
          <w:szCs w:val="20"/>
        </w:rPr>
        <w:t>程款支付义务以保证的方式向你方提供如下担保：</w:t>
      </w:r>
    </w:p>
    <w:p w14:paraId="61089695">
      <w:pPr>
        <w:spacing w:line="221" w:lineRule="auto"/>
        <w:ind w:left="432"/>
        <w:rPr>
          <w:rFonts w:ascii="黑体" w:hAnsi="黑体" w:eastAsia="黑体" w:cs="黑体"/>
          <w:sz w:val="20"/>
          <w:szCs w:val="20"/>
        </w:rPr>
      </w:pPr>
      <w:r>
        <w:rPr>
          <w:rFonts w:ascii="黑体" w:hAnsi="黑体" w:eastAsia="黑体" w:cs="黑体"/>
          <w:b/>
          <w:bCs/>
          <w:spacing w:val="7"/>
          <w:sz w:val="20"/>
          <w:szCs w:val="20"/>
        </w:rPr>
        <w:t>一、保证的范围及保证金额</w:t>
      </w:r>
    </w:p>
    <w:p w14:paraId="2032FA0C">
      <w:pPr>
        <w:pStyle w:val="2"/>
        <w:spacing w:before="74" w:line="220" w:lineRule="auto"/>
        <w:ind w:left="429"/>
        <w:rPr>
          <w:sz w:val="20"/>
          <w:szCs w:val="20"/>
        </w:rPr>
      </w:pPr>
      <w:r>
        <w:rPr>
          <w:spacing w:val="8"/>
          <w:sz w:val="20"/>
          <w:szCs w:val="20"/>
        </w:rPr>
        <w:t>我方的保证范围是主合同约定的工程款。</w:t>
      </w:r>
    </w:p>
    <w:p w14:paraId="24C5F72E">
      <w:pPr>
        <w:pStyle w:val="2"/>
        <w:spacing w:before="49" w:line="218" w:lineRule="auto"/>
        <w:ind w:left="429"/>
        <w:rPr>
          <w:sz w:val="20"/>
          <w:szCs w:val="20"/>
        </w:rPr>
      </w:pPr>
      <w:r>
        <w:rPr>
          <w:spacing w:val="9"/>
          <w:sz w:val="20"/>
          <w:szCs w:val="20"/>
        </w:rPr>
        <w:t>本保函所称主合同约定的工程款是指主合同约定的除工程质量保证金以外的合同价款。</w:t>
      </w:r>
    </w:p>
    <w:p w14:paraId="08A50C9D">
      <w:pPr>
        <w:pStyle w:val="2"/>
        <w:spacing w:before="62" w:line="281" w:lineRule="auto"/>
        <w:ind w:right="50" w:firstLine="429"/>
        <w:rPr>
          <w:sz w:val="20"/>
          <w:szCs w:val="20"/>
        </w:rPr>
      </w:pPr>
      <w:r>
        <w:rPr>
          <w:spacing w:val="28"/>
          <w:sz w:val="20"/>
          <w:szCs w:val="20"/>
        </w:rPr>
        <w:t>我方保证的金额是主合同约定的工程款的</w:t>
      </w:r>
      <w:r>
        <w:rPr>
          <w:spacing w:val="28"/>
          <w:sz w:val="20"/>
          <w:szCs w:val="20"/>
          <w:u w:val="single" w:color="auto"/>
        </w:rPr>
        <w:t xml:space="preserve">          </w:t>
      </w:r>
      <w:r>
        <w:rPr>
          <w:spacing w:val="-80"/>
          <w:sz w:val="20"/>
          <w:szCs w:val="20"/>
        </w:rPr>
        <w:t xml:space="preserve"> </w:t>
      </w:r>
      <w:r>
        <w:rPr>
          <w:spacing w:val="28"/>
          <w:sz w:val="20"/>
          <w:szCs w:val="20"/>
        </w:rPr>
        <w:t>%,数额最高不超过</w:t>
      </w:r>
      <w:r>
        <w:rPr>
          <w:spacing w:val="27"/>
          <w:sz w:val="20"/>
          <w:szCs w:val="20"/>
        </w:rPr>
        <w:t>人民币元(大</w:t>
      </w:r>
      <w:r>
        <w:rPr>
          <w:sz w:val="20"/>
          <w:szCs w:val="20"/>
        </w:rPr>
        <w:t xml:space="preserve"> </w:t>
      </w:r>
      <w:r>
        <w:rPr>
          <w:spacing w:val="-4"/>
          <w:sz w:val="20"/>
          <w:szCs w:val="20"/>
        </w:rPr>
        <w:t>写：</w:t>
      </w:r>
      <w:r>
        <w:rPr>
          <w:sz w:val="20"/>
          <w:szCs w:val="20"/>
          <w:u w:val="single" w:color="auto"/>
        </w:rPr>
        <w:t xml:space="preserve">                      </w:t>
      </w:r>
      <w:r>
        <w:rPr>
          <w:spacing w:val="-58"/>
          <w:sz w:val="20"/>
          <w:szCs w:val="20"/>
        </w:rPr>
        <w:t xml:space="preserve"> </w:t>
      </w:r>
      <w:r>
        <w:rPr>
          <w:spacing w:val="-4"/>
          <w:sz w:val="20"/>
          <w:szCs w:val="20"/>
        </w:rPr>
        <w:t>)。</w:t>
      </w:r>
    </w:p>
    <w:p w14:paraId="17807226">
      <w:pPr>
        <w:spacing w:before="1" w:line="220" w:lineRule="auto"/>
        <w:ind w:left="432"/>
        <w:rPr>
          <w:rFonts w:ascii="黑体" w:hAnsi="黑体" w:eastAsia="黑体" w:cs="黑体"/>
          <w:sz w:val="20"/>
          <w:szCs w:val="20"/>
        </w:rPr>
      </w:pPr>
      <w:r>
        <w:rPr>
          <w:rFonts w:ascii="黑体" w:hAnsi="黑体" w:eastAsia="黑体" w:cs="黑体"/>
          <w:b/>
          <w:bCs/>
          <w:spacing w:val="8"/>
          <w:sz w:val="20"/>
          <w:szCs w:val="20"/>
        </w:rPr>
        <w:t>二、保证的方式及保证期间</w:t>
      </w:r>
    </w:p>
    <w:p w14:paraId="3F1B25B0">
      <w:pPr>
        <w:pStyle w:val="2"/>
        <w:spacing w:before="55" w:line="219" w:lineRule="auto"/>
        <w:ind w:left="429"/>
        <w:rPr>
          <w:sz w:val="20"/>
          <w:szCs w:val="20"/>
        </w:rPr>
      </w:pPr>
      <w:r>
        <w:rPr>
          <w:spacing w:val="8"/>
          <w:sz w:val="20"/>
          <w:szCs w:val="20"/>
        </w:rPr>
        <w:t>我方保证的方式为：连带责任保证。</w:t>
      </w:r>
    </w:p>
    <w:p w14:paraId="35723378">
      <w:pPr>
        <w:pStyle w:val="2"/>
        <w:spacing w:before="62" w:line="219" w:lineRule="auto"/>
        <w:ind w:left="429"/>
        <w:rPr>
          <w:sz w:val="20"/>
          <w:szCs w:val="20"/>
        </w:rPr>
      </w:pPr>
      <w:r>
        <w:rPr>
          <w:spacing w:val="8"/>
          <w:sz w:val="20"/>
          <w:szCs w:val="20"/>
        </w:rPr>
        <w:t>我方保证的期间为：自本合同生效之日起至主合同约定的工程款支付之日后</w:t>
      </w:r>
      <w:r>
        <w:rPr>
          <w:spacing w:val="-79"/>
          <w:sz w:val="20"/>
          <w:szCs w:val="20"/>
        </w:rPr>
        <w:t xml:space="preserve"> </w:t>
      </w:r>
      <w:r>
        <w:rPr>
          <w:spacing w:val="6"/>
          <w:sz w:val="20"/>
          <w:szCs w:val="20"/>
          <w:u w:val="single" w:color="auto"/>
        </w:rPr>
        <w:t xml:space="preserve">        </w:t>
      </w:r>
      <w:r>
        <w:rPr>
          <w:spacing w:val="-78"/>
          <w:sz w:val="20"/>
          <w:szCs w:val="20"/>
        </w:rPr>
        <w:t xml:space="preserve"> </w:t>
      </w:r>
      <w:r>
        <w:rPr>
          <w:spacing w:val="8"/>
          <w:sz w:val="20"/>
          <w:szCs w:val="20"/>
        </w:rPr>
        <w:t>日内。</w:t>
      </w:r>
    </w:p>
    <w:p w14:paraId="02BB0A2F">
      <w:pPr>
        <w:pStyle w:val="2"/>
        <w:spacing w:before="62" w:line="280" w:lineRule="auto"/>
        <w:ind w:right="91" w:firstLine="429"/>
        <w:rPr>
          <w:sz w:val="20"/>
          <w:szCs w:val="20"/>
        </w:rPr>
      </w:pPr>
      <w:r>
        <w:rPr>
          <w:spacing w:val="12"/>
          <w:sz w:val="20"/>
          <w:szCs w:val="20"/>
        </w:rPr>
        <w:t>你方与发包人协议变更工程款支付日期的，经我方书面同意后，保证期间按照变更后</w:t>
      </w:r>
      <w:r>
        <w:rPr>
          <w:spacing w:val="11"/>
          <w:sz w:val="20"/>
          <w:szCs w:val="20"/>
        </w:rPr>
        <w:t>的支付</w:t>
      </w:r>
      <w:r>
        <w:rPr>
          <w:sz w:val="20"/>
          <w:szCs w:val="20"/>
        </w:rPr>
        <w:t xml:space="preserve"> </w:t>
      </w:r>
      <w:r>
        <w:rPr>
          <w:spacing w:val="4"/>
          <w:sz w:val="20"/>
          <w:szCs w:val="20"/>
        </w:rPr>
        <w:t>日期做相应调整。</w:t>
      </w:r>
    </w:p>
    <w:p w14:paraId="0CFC692D">
      <w:pPr>
        <w:spacing w:before="1" w:line="221" w:lineRule="auto"/>
        <w:ind w:left="432"/>
        <w:rPr>
          <w:rFonts w:ascii="黑体" w:hAnsi="黑体" w:eastAsia="黑体" w:cs="黑体"/>
          <w:sz w:val="20"/>
          <w:szCs w:val="20"/>
        </w:rPr>
      </w:pPr>
      <w:r>
        <w:rPr>
          <w:rFonts w:ascii="黑体" w:hAnsi="黑体" w:eastAsia="黑体" w:cs="黑体"/>
          <w:b/>
          <w:bCs/>
          <w:spacing w:val="6"/>
          <w:sz w:val="20"/>
          <w:szCs w:val="20"/>
        </w:rPr>
        <w:t>三、承担保证责任的形式</w:t>
      </w:r>
    </w:p>
    <w:p w14:paraId="4585FE97">
      <w:pPr>
        <w:pStyle w:val="2"/>
        <w:spacing w:before="85" w:line="266" w:lineRule="auto"/>
        <w:ind w:right="91" w:firstLine="429"/>
        <w:rPr>
          <w:sz w:val="20"/>
          <w:szCs w:val="20"/>
        </w:rPr>
      </w:pPr>
      <w:r>
        <w:rPr>
          <w:spacing w:val="12"/>
          <w:sz w:val="20"/>
          <w:szCs w:val="20"/>
        </w:rPr>
        <w:t>我方承担保证责任的形式是代为支付。发包人未按主合同约定向你方支付工程款的，</w:t>
      </w:r>
      <w:r>
        <w:rPr>
          <w:spacing w:val="11"/>
          <w:sz w:val="20"/>
          <w:szCs w:val="20"/>
        </w:rPr>
        <w:t>由我方</w:t>
      </w:r>
      <w:r>
        <w:rPr>
          <w:sz w:val="20"/>
          <w:szCs w:val="20"/>
        </w:rPr>
        <w:t xml:space="preserve"> </w:t>
      </w:r>
      <w:r>
        <w:rPr>
          <w:spacing w:val="7"/>
          <w:sz w:val="20"/>
          <w:szCs w:val="20"/>
        </w:rPr>
        <w:t>在保证金额内代为支付。</w:t>
      </w:r>
    </w:p>
    <w:p w14:paraId="0B2EDE0A">
      <w:pPr>
        <w:spacing w:before="1" w:line="222" w:lineRule="auto"/>
        <w:ind w:left="432"/>
        <w:rPr>
          <w:rFonts w:ascii="黑体" w:hAnsi="黑体" w:eastAsia="黑体" w:cs="黑体"/>
          <w:sz w:val="20"/>
          <w:szCs w:val="20"/>
        </w:rPr>
      </w:pPr>
      <w:r>
        <w:rPr>
          <w:rFonts w:ascii="黑体" w:hAnsi="黑体" w:eastAsia="黑体" w:cs="黑体"/>
          <w:b/>
          <w:bCs/>
          <w:spacing w:val="6"/>
          <w:sz w:val="20"/>
          <w:szCs w:val="20"/>
        </w:rPr>
        <w:t>四、代偿的安排</w:t>
      </w:r>
    </w:p>
    <w:p w14:paraId="095C2579">
      <w:pPr>
        <w:pStyle w:val="2"/>
        <w:spacing w:before="70" w:line="273" w:lineRule="auto"/>
        <w:ind w:right="72" w:firstLine="429"/>
        <w:rPr>
          <w:sz w:val="20"/>
          <w:szCs w:val="20"/>
        </w:rPr>
      </w:pPr>
      <w:r>
        <w:rPr>
          <w:spacing w:val="12"/>
          <w:sz w:val="20"/>
          <w:szCs w:val="20"/>
        </w:rPr>
        <w:t>你方要求我方承担保证责任的，应向我方发出书面索赔通知及发包人未支付主合同约定工程</w:t>
      </w:r>
      <w:r>
        <w:rPr>
          <w:spacing w:val="15"/>
          <w:sz w:val="20"/>
          <w:szCs w:val="20"/>
        </w:rPr>
        <w:t xml:space="preserve"> </w:t>
      </w:r>
      <w:r>
        <w:rPr>
          <w:spacing w:val="9"/>
          <w:sz w:val="20"/>
          <w:szCs w:val="20"/>
        </w:rPr>
        <w:t>款的证明材料。索赔通知应写明要求索赔的金额，支付款项应到达的帐号。</w:t>
      </w:r>
    </w:p>
    <w:p w14:paraId="45834195">
      <w:pPr>
        <w:pStyle w:val="2"/>
        <w:spacing w:before="3" w:line="276" w:lineRule="auto"/>
        <w:ind w:right="88" w:firstLine="429"/>
        <w:jc w:val="both"/>
        <w:rPr>
          <w:sz w:val="20"/>
          <w:szCs w:val="20"/>
        </w:rPr>
      </w:pPr>
      <w:r>
        <w:rPr>
          <w:spacing w:val="12"/>
          <w:sz w:val="20"/>
          <w:szCs w:val="20"/>
        </w:rPr>
        <w:t>在出现你方与发包人因工程质量发生争议，发包人拒绝向你方支付工程款的情形时，你方要</w:t>
      </w:r>
      <w:r>
        <w:rPr>
          <w:sz w:val="20"/>
          <w:szCs w:val="20"/>
        </w:rPr>
        <w:t xml:space="preserve"> </w:t>
      </w:r>
      <w:r>
        <w:rPr>
          <w:spacing w:val="12"/>
          <w:sz w:val="20"/>
          <w:szCs w:val="20"/>
        </w:rPr>
        <w:t>求我方履行保证责任代为支付的，还需提供项目总监理工程师、监理人或符合相应条件要求的工</w:t>
      </w:r>
      <w:r>
        <w:rPr>
          <w:spacing w:val="6"/>
          <w:sz w:val="20"/>
          <w:szCs w:val="20"/>
        </w:rPr>
        <w:t xml:space="preserve"> </w:t>
      </w:r>
      <w:r>
        <w:rPr>
          <w:spacing w:val="8"/>
          <w:sz w:val="20"/>
          <w:szCs w:val="20"/>
        </w:rPr>
        <w:t>程质量检测机构出具的质量说明材料。</w:t>
      </w:r>
    </w:p>
    <w:p w14:paraId="78AAFB64">
      <w:pPr>
        <w:pStyle w:val="2"/>
        <w:spacing w:before="1" w:line="279" w:lineRule="auto"/>
        <w:ind w:right="78" w:firstLine="429"/>
        <w:rPr>
          <w:sz w:val="20"/>
          <w:szCs w:val="20"/>
        </w:rPr>
      </w:pPr>
      <w:r>
        <w:rPr>
          <w:spacing w:val="10"/>
          <w:sz w:val="20"/>
          <w:szCs w:val="20"/>
        </w:rPr>
        <w:t>我方收到你方的书面索赔通知及相应证明材料后</w:t>
      </w:r>
      <w:r>
        <w:rPr>
          <w:spacing w:val="9"/>
          <w:sz w:val="20"/>
          <w:szCs w:val="20"/>
        </w:rPr>
        <w:t>，</w:t>
      </w:r>
      <w:r>
        <w:rPr>
          <w:spacing w:val="-40"/>
          <w:sz w:val="20"/>
          <w:szCs w:val="20"/>
        </w:rPr>
        <w:t xml:space="preserve"> </w:t>
      </w:r>
      <w:r>
        <w:rPr>
          <w:spacing w:val="9"/>
          <w:sz w:val="20"/>
          <w:szCs w:val="20"/>
          <w:u w:val="single" w:color="auto"/>
        </w:rPr>
        <w:t xml:space="preserve">在    </w:t>
      </w:r>
      <w:r>
        <w:rPr>
          <w:spacing w:val="-69"/>
          <w:sz w:val="20"/>
          <w:szCs w:val="20"/>
        </w:rPr>
        <w:t xml:space="preserve"> </w:t>
      </w:r>
      <w:r>
        <w:rPr>
          <w:spacing w:val="9"/>
          <w:sz w:val="20"/>
          <w:szCs w:val="20"/>
        </w:rPr>
        <w:t>个工作日内进行核定后按照本保函</w:t>
      </w:r>
      <w:r>
        <w:rPr>
          <w:sz w:val="20"/>
          <w:szCs w:val="20"/>
        </w:rPr>
        <w:t xml:space="preserve"> </w:t>
      </w:r>
      <w:r>
        <w:rPr>
          <w:spacing w:val="8"/>
          <w:sz w:val="20"/>
          <w:szCs w:val="20"/>
        </w:rPr>
        <w:t>的承诺承担保证责任。</w:t>
      </w:r>
    </w:p>
    <w:p w14:paraId="53CE16C6">
      <w:pPr>
        <w:spacing w:line="221" w:lineRule="auto"/>
        <w:ind w:left="432"/>
        <w:rPr>
          <w:rFonts w:ascii="黑体" w:hAnsi="黑体" w:eastAsia="黑体" w:cs="黑体"/>
          <w:sz w:val="20"/>
          <w:szCs w:val="20"/>
        </w:rPr>
      </w:pPr>
      <w:r>
        <w:rPr>
          <w:rFonts w:ascii="黑体" w:hAnsi="黑体" w:eastAsia="黑体" w:cs="黑体"/>
          <w:b/>
          <w:bCs/>
          <w:spacing w:val="6"/>
          <w:sz w:val="20"/>
          <w:szCs w:val="20"/>
        </w:rPr>
        <w:t>五、保证责任的解除</w:t>
      </w:r>
    </w:p>
    <w:p w14:paraId="44A6F4D7">
      <w:pPr>
        <w:pStyle w:val="2"/>
        <w:spacing w:before="54" w:line="244" w:lineRule="auto"/>
        <w:ind w:firstLine="429"/>
        <w:rPr>
          <w:sz w:val="20"/>
          <w:szCs w:val="20"/>
        </w:rPr>
      </w:pPr>
      <w:r>
        <w:rPr>
          <w:spacing w:val="6"/>
          <w:sz w:val="20"/>
          <w:szCs w:val="20"/>
        </w:rPr>
        <w:t>1、在本保函承诺的保证期间内，你方未书面向我方主张保证责任的，自保证期间届满次日起，</w:t>
      </w:r>
      <w:r>
        <w:rPr>
          <w:spacing w:val="16"/>
          <w:sz w:val="20"/>
          <w:szCs w:val="20"/>
        </w:rPr>
        <w:t xml:space="preserve"> </w:t>
      </w:r>
      <w:r>
        <w:rPr>
          <w:spacing w:val="8"/>
          <w:sz w:val="20"/>
          <w:szCs w:val="20"/>
        </w:rPr>
        <w:t>我方保证责任解除。</w:t>
      </w:r>
    </w:p>
    <w:p w14:paraId="21D5B178">
      <w:pPr>
        <w:pStyle w:val="2"/>
        <w:spacing w:before="92" w:line="239" w:lineRule="auto"/>
        <w:ind w:right="63" w:firstLine="429"/>
        <w:rPr>
          <w:sz w:val="20"/>
          <w:szCs w:val="20"/>
        </w:rPr>
      </w:pPr>
      <w:r>
        <w:rPr>
          <w:spacing w:val="10"/>
          <w:sz w:val="20"/>
          <w:szCs w:val="20"/>
        </w:rPr>
        <w:t>2、发包人按主合同约定履行了工程款的全部支付义务的，自本保函承诺的保证期</w:t>
      </w:r>
      <w:r>
        <w:rPr>
          <w:spacing w:val="9"/>
          <w:sz w:val="20"/>
          <w:szCs w:val="20"/>
        </w:rPr>
        <w:t>间届满次日</w:t>
      </w:r>
      <w:r>
        <w:rPr>
          <w:sz w:val="20"/>
          <w:szCs w:val="20"/>
        </w:rPr>
        <w:t xml:space="preserve"> </w:t>
      </w:r>
      <w:r>
        <w:rPr>
          <w:spacing w:val="7"/>
          <w:sz w:val="20"/>
          <w:szCs w:val="20"/>
        </w:rPr>
        <w:t>起，我方保证责任解除。</w:t>
      </w:r>
    </w:p>
    <w:p w14:paraId="035024D3">
      <w:pPr>
        <w:pStyle w:val="2"/>
        <w:spacing w:before="82" w:line="244" w:lineRule="auto"/>
        <w:ind w:right="88" w:firstLine="429"/>
        <w:rPr>
          <w:sz w:val="20"/>
          <w:szCs w:val="20"/>
        </w:rPr>
      </w:pPr>
      <w:r>
        <w:rPr>
          <w:spacing w:val="9"/>
          <w:sz w:val="20"/>
          <w:szCs w:val="20"/>
        </w:rPr>
        <w:t>3、我方按照本保函向你方履行保证责任所支付金额达到本保函保证金额时，自我方向你方支</w:t>
      </w:r>
      <w:r>
        <w:rPr>
          <w:spacing w:val="11"/>
          <w:sz w:val="20"/>
          <w:szCs w:val="20"/>
        </w:rPr>
        <w:t xml:space="preserve"> </w:t>
      </w:r>
      <w:r>
        <w:rPr>
          <w:spacing w:val="8"/>
          <w:sz w:val="20"/>
          <w:szCs w:val="20"/>
        </w:rPr>
        <w:t>付(支付款项从我方帐户划出)之日起，保证责任即解除。</w:t>
      </w:r>
    </w:p>
    <w:p w14:paraId="1A75576B">
      <w:pPr>
        <w:pStyle w:val="2"/>
        <w:spacing w:before="52" w:line="248" w:lineRule="auto"/>
        <w:ind w:right="70" w:firstLine="429"/>
        <w:rPr>
          <w:sz w:val="20"/>
          <w:szCs w:val="20"/>
        </w:rPr>
      </w:pPr>
      <w:r>
        <w:rPr>
          <w:spacing w:val="10"/>
          <w:sz w:val="20"/>
          <w:szCs w:val="20"/>
        </w:rPr>
        <w:t>4、按照法律法规的规定或出现应解除我方保证责任的其它情形</w:t>
      </w:r>
      <w:r>
        <w:rPr>
          <w:spacing w:val="9"/>
          <w:sz w:val="20"/>
          <w:szCs w:val="20"/>
        </w:rPr>
        <w:t>的，我方在本保函项下的保证</w:t>
      </w:r>
      <w:r>
        <w:rPr>
          <w:sz w:val="20"/>
          <w:szCs w:val="20"/>
        </w:rPr>
        <w:t xml:space="preserve"> </w:t>
      </w:r>
      <w:r>
        <w:rPr>
          <w:spacing w:val="3"/>
          <w:sz w:val="20"/>
          <w:szCs w:val="20"/>
        </w:rPr>
        <w:t>责任亦解除。</w:t>
      </w:r>
    </w:p>
    <w:p w14:paraId="57992599">
      <w:pPr>
        <w:pStyle w:val="2"/>
        <w:spacing w:before="63" w:line="275" w:lineRule="auto"/>
        <w:ind w:right="92" w:firstLine="429"/>
        <w:rPr>
          <w:sz w:val="20"/>
          <w:szCs w:val="20"/>
        </w:rPr>
      </w:pPr>
      <w:r>
        <w:rPr>
          <w:spacing w:val="11"/>
          <w:sz w:val="20"/>
          <w:szCs w:val="20"/>
        </w:rPr>
        <w:t>我方解除保证责任后，你方应自我方保证责任解除之日</w:t>
      </w:r>
      <w:r>
        <w:rPr>
          <w:spacing w:val="11"/>
          <w:sz w:val="20"/>
          <w:szCs w:val="20"/>
          <w:u w:val="single" w:color="auto"/>
        </w:rPr>
        <w:t xml:space="preserve">起    </w:t>
      </w:r>
      <w:r>
        <w:rPr>
          <w:spacing w:val="-86"/>
          <w:sz w:val="20"/>
          <w:szCs w:val="20"/>
        </w:rPr>
        <w:t xml:space="preserve"> </w:t>
      </w:r>
      <w:r>
        <w:rPr>
          <w:spacing w:val="11"/>
          <w:sz w:val="20"/>
          <w:szCs w:val="20"/>
        </w:rPr>
        <w:t>个工作日内，将本保函原件返</w:t>
      </w:r>
      <w:r>
        <w:rPr>
          <w:sz w:val="20"/>
          <w:szCs w:val="20"/>
        </w:rPr>
        <w:t xml:space="preserve"> </w:t>
      </w:r>
      <w:r>
        <w:rPr>
          <w:spacing w:val="7"/>
          <w:sz w:val="20"/>
          <w:szCs w:val="20"/>
        </w:rPr>
        <w:t>还我方。</w:t>
      </w:r>
    </w:p>
    <w:p w14:paraId="57EAEF8A">
      <w:pPr>
        <w:spacing w:before="1" w:line="220" w:lineRule="auto"/>
        <w:ind w:left="432"/>
        <w:rPr>
          <w:rFonts w:ascii="黑体" w:hAnsi="黑体" w:eastAsia="黑体" w:cs="黑体"/>
          <w:sz w:val="20"/>
          <w:szCs w:val="20"/>
        </w:rPr>
      </w:pPr>
      <w:r>
        <w:rPr>
          <w:rFonts w:ascii="黑体" w:hAnsi="黑体" w:eastAsia="黑体" w:cs="黑体"/>
          <w:b/>
          <w:bCs/>
          <w:spacing w:val="-2"/>
          <w:sz w:val="20"/>
          <w:szCs w:val="20"/>
        </w:rPr>
        <w:t>六</w:t>
      </w:r>
      <w:r>
        <w:rPr>
          <w:rFonts w:ascii="黑体" w:hAnsi="黑体" w:eastAsia="黑体" w:cs="黑体"/>
          <w:spacing w:val="-42"/>
          <w:sz w:val="20"/>
          <w:szCs w:val="20"/>
        </w:rPr>
        <w:t xml:space="preserve"> </w:t>
      </w:r>
      <w:r>
        <w:rPr>
          <w:rFonts w:ascii="黑体" w:hAnsi="黑体" w:eastAsia="黑体" w:cs="黑体"/>
          <w:b/>
          <w:bCs/>
          <w:spacing w:val="-2"/>
          <w:sz w:val="20"/>
          <w:szCs w:val="20"/>
        </w:rPr>
        <w:t>、免责条款</w:t>
      </w:r>
    </w:p>
    <w:p w14:paraId="4BEA7E4C">
      <w:pPr>
        <w:pStyle w:val="2"/>
        <w:spacing w:before="75" w:line="219" w:lineRule="auto"/>
        <w:ind w:left="429"/>
        <w:rPr>
          <w:sz w:val="20"/>
          <w:szCs w:val="20"/>
        </w:rPr>
      </w:pPr>
      <w:r>
        <w:rPr>
          <w:spacing w:val="9"/>
          <w:sz w:val="20"/>
          <w:szCs w:val="20"/>
        </w:rPr>
        <w:t>1、因你方违约致使发包人不能履行义务的，我方不承担保证责任。</w:t>
      </w:r>
    </w:p>
    <w:p w14:paraId="4A45574B">
      <w:pPr>
        <w:pStyle w:val="2"/>
        <w:spacing w:before="51" w:line="219" w:lineRule="auto"/>
        <w:ind w:left="429"/>
        <w:rPr>
          <w:sz w:val="20"/>
          <w:szCs w:val="20"/>
        </w:rPr>
      </w:pPr>
      <w:r>
        <w:rPr>
          <w:spacing w:val="9"/>
          <w:sz w:val="20"/>
          <w:szCs w:val="20"/>
        </w:rPr>
        <w:t>2、依照法律法规的规定或你方与发包人的另行约定，免除发包人部分或全部义务的，我方亦</w:t>
      </w:r>
    </w:p>
    <w:p w14:paraId="3D429BE0">
      <w:pPr>
        <w:spacing w:line="219" w:lineRule="auto"/>
        <w:rPr>
          <w:sz w:val="20"/>
          <w:szCs w:val="20"/>
        </w:rPr>
        <w:sectPr>
          <w:footerReference r:id="rId177" w:type="default"/>
          <w:pgSz w:w="11910" w:h="16840"/>
          <w:pgMar w:top="400" w:right="1460" w:bottom="1017" w:left="1450" w:header="0" w:footer="891" w:gutter="0"/>
          <w:cols w:space="720" w:num="1"/>
        </w:sectPr>
      </w:pPr>
    </w:p>
    <w:p w14:paraId="219A0FDC">
      <w:pPr>
        <w:spacing w:line="259" w:lineRule="auto"/>
        <w:rPr>
          <w:rFonts w:ascii="Arial"/>
          <w:sz w:val="21"/>
        </w:rPr>
      </w:pPr>
    </w:p>
    <w:p w14:paraId="69C95594">
      <w:pPr>
        <w:spacing w:line="259" w:lineRule="auto"/>
        <w:rPr>
          <w:rFonts w:ascii="Arial"/>
          <w:sz w:val="21"/>
        </w:rPr>
      </w:pPr>
    </w:p>
    <w:p w14:paraId="73477C08">
      <w:pPr>
        <w:spacing w:line="259" w:lineRule="auto"/>
        <w:rPr>
          <w:rFonts w:ascii="Arial"/>
          <w:sz w:val="21"/>
        </w:rPr>
      </w:pPr>
    </w:p>
    <w:p w14:paraId="6B7464D8">
      <w:pPr>
        <w:spacing w:line="259" w:lineRule="auto"/>
        <w:rPr>
          <w:rFonts w:ascii="Arial"/>
          <w:sz w:val="21"/>
        </w:rPr>
      </w:pPr>
    </w:p>
    <w:p w14:paraId="3AE253BC">
      <w:pPr>
        <w:spacing w:line="259" w:lineRule="auto"/>
        <w:rPr>
          <w:rFonts w:ascii="Arial"/>
          <w:sz w:val="21"/>
        </w:rPr>
      </w:pPr>
    </w:p>
    <w:p w14:paraId="5261A0CB">
      <w:pPr>
        <w:pStyle w:val="2"/>
        <w:spacing w:before="65" w:line="219" w:lineRule="auto"/>
        <w:rPr>
          <w:sz w:val="20"/>
          <w:szCs w:val="20"/>
        </w:rPr>
      </w:pPr>
      <w:r>
        <w:rPr>
          <w:spacing w:val="7"/>
          <w:sz w:val="20"/>
          <w:szCs w:val="20"/>
        </w:rPr>
        <w:t>免除其相应的保证责任。</w:t>
      </w:r>
    </w:p>
    <w:p w14:paraId="7C744B78">
      <w:pPr>
        <w:pStyle w:val="2"/>
        <w:spacing w:before="48" w:line="259" w:lineRule="auto"/>
        <w:ind w:firstLine="409"/>
        <w:rPr>
          <w:sz w:val="20"/>
          <w:szCs w:val="20"/>
        </w:rPr>
      </w:pPr>
      <w:r>
        <w:rPr>
          <w:spacing w:val="16"/>
          <w:sz w:val="20"/>
          <w:szCs w:val="20"/>
        </w:rPr>
        <w:t>3、你方与发包人协议变更主合同的(符合主合同合同条款第15条约定的变更除外),如加重</w:t>
      </w:r>
      <w:r>
        <w:rPr>
          <w:spacing w:val="6"/>
          <w:sz w:val="20"/>
          <w:szCs w:val="20"/>
        </w:rPr>
        <w:t xml:space="preserve"> </w:t>
      </w:r>
      <w:r>
        <w:rPr>
          <w:spacing w:val="12"/>
          <w:sz w:val="20"/>
          <w:szCs w:val="20"/>
        </w:rPr>
        <w:t>发包人责任致使我方保证责任加重的，需征得我方书面同</w:t>
      </w:r>
      <w:r>
        <w:rPr>
          <w:spacing w:val="11"/>
          <w:sz w:val="20"/>
          <w:szCs w:val="20"/>
        </w:rPr>
        <w:t>意，否则我方不再承担因此而加重部分</w:t>
      </w:r>
      <w:r>
        <w:rPr>
          <w:sz w:val="20"/>
          <w:szCs w:val="20"/>
        </w:rPr>
        <w:t xml:space="preserve"> </w:t>
      </w:r>
      <w:r>
        <w:rPr>
          <w:spacing w:val="4"/>
          <w:sz w:val="20"/>
          <w:szCs w:val="20"/>
        </w:rPr>
        <w:t>的保证责任。</w:t>
      </w:r>
    </w:p>
    <w:p w14:paraId="7272FBE5">
      <w:pPr>
        <w:pStyle w:val="2"/>
        <w:spacing w:before="62" w:line="219" w:lineRule="auto"/>
        <w:ind w:left="409"/>
        <w:rPr>
          <w:sz w:val="20"/>
          <w:szCs w:val="20"/>
        </w:rPr>
      </w:pPr>
      <w:r>
        <w:rPr>
          <w:spacing w:val="10"/>
          <w:sz w:val="20"/>
          <w:szCs w:val="20"/>
        </w:rPr>
        <w:t>4、因不可抗力造成发包人不能履行义务的</w:t>
      </w:r>
      <w:r>
        <w:rPr>
          <w:spacing w:val="9"/>
          <w:sz w:val="20"/>
          <w:szCs w:val="20"/>
        </w:rPr>
        <w:t>，我方不承担保证责任。</w:t>
      </w:r>
    </w:p>
    <w:p w14:paraId="7DC842B2">
      <w:pPr>
        <w:spacing w:before="58" w:line="222" w:lineRule="auto"/>
        <w:ind w:left="412"/>
        <w:rPr>
          <w:rFonts w:ascii="黑体" w:hAnsi="黑体" w:eastAsia="黑体" w:cs="黑体"/>
          <w:sz w:val="20"/>
          <w:szCs w:val="20"/>
        </w:rPr>
      </w:pPr>
      <w:r>
        <w:rPr>
          <w:rFonts w:ascii="黑体" w:hAnsi="黑体" w:eastAsia="黑体" w:cs="黑体"/>
          <w:b/>
          <w:bCs/>
          <w:spacing w:val="7"/>
          <w:sz w:val="20"/>
          <w:szCs w:val="20"/>
        </w:rPr>
        <w:t>七、争议的解决</w:t>
      </w:r>
    </w:p>
    <w:p w14:paraId="0F77BE03">
      <w:pPr>
        <w:pStyle w:val="2"/>
        <w:spacing w:before="73" w:line="269" w:lineRule="auto"/>
        <w:ind w:right="16" w:firstLine="409"/>
        <w:rPr>
          <w:sz w:val="20"/>
          <w:szCs w:val="20"/>
        </w:rPr>
      </w:pPr>
      <w:r>
        <w:rPr>
          <w:spacing w:val="7"/>
          <w:sz w:val="20"/>
          <w:szCs w:val="20"/>
        </w:rPr>
        <w:t>因本保函发生的纠纷，由贵我双方协商解决，协商不成的，任何一方均可提请</w:t>
      </w:r>
      <w:r>
        <w:rPr>
          <w:spacing w:val="-46"/>
          <w:sz w:val="20"/>
          <w:szCs w:val="20"/>
        </w:rPr>
        <w:t xml:space="preserve"> </w:t>
      </w:r>
      <w:r>
        <w:rPr>
          <w:spacing w:val="7"/>
          <w:sz w:val="20"/>
          <w:szCs w:val="20"/>
          <w:u w:val="single" w:color="auto"/>
        </w:rPr>
        <w:t xml:space="preserve">       </w:t>
      </w:r>
      <w:r>
        <w:rPr>
          <w:spacing w:val="7"/>
          <w:sz w:val="20"/>
          <w:szCs w:val="20"/>
        </w:rPr>
        <w:t>仲裁委</w:t>
      </w:r>
      <w:r>
        <w:rPr>
          <w:sz w:val="20"/>
          <w:szCs w:val="20"/>
        </w:rPr>
        <w:t xml:space="preserve"> </w:t>
      </w:r>
      <w:r>
        <w:rPr>
          <w:spacing w:val="1"/>
          <w:sz w:val="20"/>
          <w:szCs w:val="20"/>
        </w:rPr>
        <w:t>员会仲裁。</w:t>
      </w:r>
    </w:p>
    <w:p w14:paraId="62A0F5FD">
      <w:pPr>
        <w:spacing w:before="13" w:line="221" w:lineRule="auto"/>
        <w:ind w:left="412"/>
        <w:rPr>
          <w:rFonts w:ascii="黑体" w:hAnsi="黑体" w:eastAsia="黑体" w:cs="黑体"/>
          <w:sz w:val="20"/>
          <w:szCs w:val="20"/>
        </w:rPr>
      </w:pPr>
      <w:r>
        <w:rPr>
          <w:rFonts w:ascii="黑体" w:hAnsi="黑体" w:eastAsia="黑体" w:cs="黑体"/>
          <w:b/>
          <w:bCs/>
          <w:spacing w:val="8"/>
          <w:sz w:val="20"/>
          <w:szCs w:val="20"/>
        </w:rPr>
        <w:t>八、保函的生效</w:t>
      </w:r>
    </w:p>
    <w:p w14:paraId="5BE8909F">
      <w:pPr>
        <w:pStyle w:val="2"/>
        <w:spacing w:before="54" w:line="219" w:lineRule="auto"/>
        <w:ind w:left="409"/>
        <w:rPr>
          <w:sz w:val="20"/>
          <w:szCs w:val="20"/>
        </w:rPr>
      </w:pPr>
      <w:r>
        <w:rPr>
          <w:spacing w:val="9"/>
          <w:sz w:val="20"/>
          <w:szCs w:val="20"/>
        </w:rPr>
        <w:t>本保函自我方法定代表人(或其授权代理人)签字或加盖公章并交付你方之日起生效。</w:t>
      </w:r>
    </w:p>
    <w:p w14:paraId="2F37E4F7">
      <w:pPr>
        <w:pStyle w:val="2"/>
        <w:spacing w:before="72" w:line="219" w:lineRule="auto"/>
        <w:ind w:left="409"/>
        <w:rPr>
          <w:sz w:val="6"/>
          <w:szCs w:val="6"/>
        </w:rPr>
      </w:pPr>
      <w:r>
        <w:rPr>
          <w:sz w:val="20"/>
          <w:szCs w:val="20"/>
        </w:rPr>
        <w:t>本条所称交付是指：</w:t>
      </w:r>
      <w:r>
        <w:rPr>
          <w:spacing w:val="-41"/>
          <w:sz w:val="20"/>
          <w:szCs w:val="20"/>
        </w:rPr>
        <w:t xml:space="preserve"> </w:t>
      </w:r>
      <w:r>
        <w:rPr>
          <w:spacing w:val="1"/>
          <w:sz w:val="20"/>
          <w:szCs w:val="20"/>
          <w:u w:val="single" w:color="auto"/>
        </w:rPr>
        <w:t xml:space="preserve">                            </w:t>
      </w:r>
      <w:r>
        <w:rPr>
          <w:sz w:val="20"/>
          <w:szCs w:val="20"/>
          <w:u w:val="single" w:color="auto"/>
        </w:rPr>
        <w:t xml:space="preserve">                            </w:t>
      </w:r>
      <w:r>
        <w:rPr>
          <w:spacing w:val="-99"/>
          <w:sz w:val="20"/>
          <w:szCs w:val="20"/>
        </w:rPr>
        <w:t xml:space="preserve"> </w:t>
      </w:r>
      <w:r>
        <w:rPr>
          <w:sz w:val="6"/>
          <w:szCs w:val="6"/>
        </w:rPr>
        <w:t>◎</w:t>
      </w:r>
    </w:p>
    <w:p w14:paraId="50AFEA15">
      <w:pPr>
        <w:pStyle w:val="2"/>
        <w:spacing w:before="205" w:line="226" w:lineRule="auto"/>
        <w:ind w:left="2869"/>
        <w:rPr>
          <w:sz w:val="20"/>
          <w:szCs w:val="20"/>
        </w:rPr>
      </w:pPr>
      <w:r>
        <w:rPr>
          <w:spacing w:val="1"/>
          <w:sz w:val="20"/>
          <w:szCs w:val="20"/>
        </w:rPr>
        <w:t>担保人：</w:t>
      </w:r>
      <w:r>
        <w:rPr>
          <w:spacing w:val="-59"/>
          <w:sz w:val="20"/>
          <w:szCs w:val="20"/>
        </w:rPr>
        <w:t xml:space="preserve"> </w:t>
      </w:r>
      <w:r>
        <w:rPr>
          <w:spacing w:val="1"/>
          <w:sz w:val="20"/>
          <w:szCs w:val="20"/>
          <w:u w:val="single" w:color="auto"/>
        </w:rPr>
        <w:t xml:space="preserve">                   </w:t>
      </w:r>
      <w:r>
        <w:rPr>
          <w:sz w:val="20"/>
          <w:szCs w:val="20"/>
          <w:u w:val="single" w:color="auto"/>
        </w:rPr>
        <w:t xml:space="preserve">                </w:t>
      </w:r>
      <w:r>
        <w:rPr>
          <w:spacing w:val="1"/>
          <w:sz w:val="20"/>
          <w:szCs w:val="20"/>
        </w:rPr>
        <w:t xml:space="preserve"> (盖单位章)</w:t>
      </w:r>
    </w:p>
    <w:p w14:paraId="252372D4">
      <w:pPr>
        <w:pStyle w:val="2"/>
        <w:spacing w:before="84" w:line="228" w:lineRule="auto"/>
        <w:ind w:left="2869"/>
        <w:rPr>
          <w:sz w:val="20"/>
          <w:szCs w:val="20"/>
        </w:rPr>
      </w:pPr>
      <w:r>
        <w:rPr>
          <w:spacing w:val="-2"/>
          <w:sz w:val="21"/>
          <w:szCs w:val="21"/>
        </w:rPr>
        <w:t>法定代表人或其委托代理人：</w:t>
      </w:r>
      <w:r>
        <w:rPr>
          <w:spacing w:val="3"/>
          <w:sz w:val="21"/>
          <w:szCs w:val="21"/>
          <w:u w:val="single" w:color="auto"/>
        </w:rPr>
        <w:t xml:space="preserve">                    </w:t>
      </w:r>
      <w:r>
        <w:rPr>
          <w:spacing w:val="-2"/>
          <w:sz w:val="20"/>
          <w:szCs w:val="20"/>
        </w:rPr>
        <w:t>(签字)</w:t>
      </w:r>
    </w:p>
    <w:p w14:paraId="4D41FE37">
      <w:pPr>
        <w:pStyle w:val="2"/>
        <w:spacing w:before="111" w:line="229" w:lineRule="auto"/>
        <w:ind w:left="2869"/>
        <w:rPr>
          <w:sz w:val="20"/>
          <w:szCs w:val="20"/>
        </w:rPr>
      </w:pPr>
      <w:r>
        <w:rPr>
          <w:spacing w:val="-10"/>
          <w:sz w:val="20"/>
          <w:szCs w:val="20"/>
        </w:rPr>
        <w:t>地</w:t>
      </w:r>
      <w:r>
        <w:rPr>
          <w:spacing w:val="9"/>
          <w:sz w:val="20"/>
          <w:szCs w:val="20"/>
        </w:rPr>
        <w:t xml:space="preserve">    </w:t>
      </w:r>
      <w:r>
        <w:rPr>
          <w:spacing w:val="-10"/>
          <w:sz w:val="20"/>
          <w:szCs w:val="20"/>
        </w:rPr>
        <w:t>址：</w:t>
      </w:r>
      <w:r>
        <w:rPr>
          <w:sz w:val="20"/>
          <w:szCs w:val="20"/>
          <w:u w:val="single" w:color="auto"/>
        </w:rPr>
        <w:t xml:space="preserve">                                         </w:t>
      </w:r>
    </w:p>
    <w:p w14:paraId="7C7206CC">
      <w:pPr>
        <w:pStyle w:val="2"/>
        <w:spacing w:before="82" w:line="219" w:lineRule="auto"/>
        <w:ind w:left="2869"/>
        <w:rPr>
          <w:sz w:val="20"/>
          <w:szCs w:val="20"/>
        </w:rPr>
      </w:pPr>
      <w:r>
        <w:rPr>
          <w:spacing w:val="2"/>
          <w:sz w:val="20"/>
          <w:szCs w:val="20"/>
        </w:rPr>
        <w:t>邮政编码：</w:t>
      </w:r>
      <w:r>
        <w:rPr>
          <w:spacing w:val="2"/>
          <w:sz w:val="20"/>
          <w:szCs w:val="20"/>
          <w:u w:val="single" w:color="auto"/>
        </w:rPr>
        <w:t xml:space="preserve">                            </w:t>
      </w:r>
      <w:r>
        <w:rPr>
          <w:spacing w:val="1"/>
          <w:sz w:val="20"/>
          <w:szCs w:val="20"/>
          <w:u w:val="single" w:color="auto"/>
        </w:rPr>
        <w:t xml:space="preserve">            </w:t>
      </w:r>
    </w:p>
    <w:p w14:paraId="35063931">
      <w:pPr>
        <w:pStyle w:val="2"/>
        <w:spacing w:before="105" w:line="221" w:lineRule="auto"/>
        <w:ind w:left="2869"/>
        <w:rPr>
          <w:sz w:val="20"/>
          <w:szCs w:val="20"/>
        </w:rPr>
      </w:pPr>
      <w:r>
        <w:rPr>
          <w:spacing w:val="-21"/>
          <w:sz w:val="20"/>
          <w:szCs w:val="20"/>
        </w:rPr>
        <w:t>电</w:t>
      </w:r>
      <w:r>
        <w:rPr>
          <w:spacing w:val="15"/>
          <w:sz w:val="20"/>
          <w:szCs w:val="20"/>
        </w:rPr>
        <w:t xml:space="preserve">    </w:t>
      </w:r>
      <w:r>
        <w:rPr>
          <w:spacing w:val="-21"/>
          <w:sz w:val="20"/>
          <w:szCs w:val="20"/>
        </w:rPr>
        <w:t>话：</w:t>
      </w:r>
      <w:r>
        <w:rPr>
          <w:sz w:val="20"/>
          <w:szCs w:val="20"/>
          <w:u w:val="single" w:color="auto"/>
        </w:rPr>
        <w:t xml:space="preserve">                                         </w:t>
      </w:r>
    </w:p>
    <w:p w14:paraId="1F9E181B">
      <w:pPr>
        <w:pStyle w:val="2"/>
        <w:spacing w:before="97" w:line="219" w:lineRule="auto"/>
        <w:ind w:left="2869"/>
        <w:rPr>
          <w:sz w:val="20"/>
          <w:szCs w:val="20"/>
        </w:rPr>
      </w:pPr>
      <w:r>
        <w:rPr>
          <w:spacing w:val="-9"/>
          <w:sz w:val="20"/>
          <w:szCs w:val="20"/>
        </w:rPr>
        <w:t>传</w:t>
      </w:r>
      <w:r>
        <w:rPr>
          <w:spacing w:val="11"/>
          <w:sz w:val="20"/>
          <w:szCs w:val="20"/>
        </w:rPr>
        <w:t xml:space="preserve">    </w:t>
      </w:r>
      <w:r>
        <w:rPr>
          <w:spacing w:val="-9"/>
          <w:sz w:val="20"/>
          <w:szCs w:val="20"/>
        </w:rPr>
        <w:t>真：</w:t>
      </w:r>
      <w:r>
        <w:rPr>
          <w:sz w:val="20"/>
          <w:szCs w:val="20"/>
          <w:u w:val="single" w:color="auto"/>
        </w:rPr>
        <w:t xml:space="preserve">                                         </w:t>
      </w:r>
    </w:p>
    <w:p w14:paraId="0016D14E">
      <w:pPr>
        <w:pStyle w:val="2"/>
        <w:tabs>
          <w:tab w:val="left" w:pos="6780"/>
        </w:tabs>
        <w:spacing w:before="78" w:line="219" w:lineRule="auto"/>
        <w:ind w:left="5329"/>
        <w:rPr>
          <w:sz w:val="24"/>
          <w:szCs w:val="24"/>
        </w:rPr>
      </w:pPr>
      <w:r>
        <w:rPr>
          <w:sz w:val="24"/>
          <w:szCs w:val="24"/>
          <w:u w:val="single" w:color="auto"/>
        </w:rPr>
        <w:tab/>
      </w:r>
      <w:r>
        <w:rPr>
          <w:spacing w:val="-42"/>
          <w:w w:val="95"/>
          <w:sz w:val="24"/>
          <w:szCs w:val="24"/>
        </w:rPr>
        <w:t>年</w:t>
      </w:r>
      <w:r>
        <w:rPr>
          <w:spacing w:val="-109"/>
          <w:sz w:val="24"/>
          <w:szCs w:val="24"/>
        </w:rPr>
        <w:t xml:space="preserve"> </w:t>
      </w:r>
      <w:r>
        <w:rPr>
          <w:spacing w:val="1"/>
          <w:sz w:val="24"/>
          <w:szCs w:val="24"/>
          <w:u w:val="single" w:color="auto"/>
        </w:rPr>
        <w:t xml:space="preserve">     </w:t>
      </w:r>
      <w:r>
        <w:rPr>
          <w:spacing w:val="-107"/>
          <w:sz w:val="24"/>
          <w:szCs w:val="24"/>
        </w:rPr>
        <w:t xml:space="preserve"> </w:t>
      </w:r>
      <w:r>
        <w:rPr>
          <w:spacing w:val="-42"/>
          <w:w w:val="95"/>
          <w:sz w:val="24"/>
          <w:szCs w:val="24"/>
        </w:rPr>
        <w:t>月</w:t>
      </w:r>
      <w:r>
        <w:rPr>
          <w:spacing w:val="12"/>
          <w:sz w:val="24"/>
          <w:szCs w:val="24"/>
          <w:u w:val="single" w:color="auto"/>
        </w:rPr>
        <w:t xml:space="preserve">    </w:t>
      </w:r>
      <w:r>
        <w:rPr>
          <w:spacing w:val="-42"/>
          <w:w w:val="95"/>
          <w:sz w:val="24"/>
          <w:szCs w:val="24"/>
        </w:rPr>
        <w:t>日</w:t>
      </w:r>
    </w:p>
    <w:p w14:paraId="5390BFB3">
      <w:pPr>
        <w:spacing w:line="343" w:lineRule="auto"/>
        <w:rPr>
          <w:rFonts w:ascii="Arial"/>
          <w:sz w:val="21"/>
        </w:rPr>
      </w:pPr>
    </w:p>
    <w:p w14:paraId="182718C7">
      <w:pPr>
        <w:pStyle w:val="2"/>
        <w:spacing w:before="65" w:line="219" w:lineRule="auto"/>
        <w:rPr>
          <w:sz w:val="20"/>
          <w:szCs w:val="20"/>
        </w:rPr>
      </w:pPr>
      <w:r>
        <w:rPr>
          <w:spacing w:val="10"/>
          <w:sz w:val="20"/>
          <w:szCs w:val="20"/>
        </w:rPr>
        <w:t>备注：本支付担保格式可采用经承包人同意的其他格式，但相关约定应当与履约担保对</w:t>
      </w:r>
      <w:r>
        <w:rPr>
          <w:spacing w:val="9"/>
          <w:sz w:val="20"/>
          <w:szCs w:val="20"/>
        </w:rPr>
        <w:t>等。</w:t>
      </w:r>
    </w:p>
    <w:p w14:paraId="37FD8DD0">
      <w:pPr>
        <w:spacing w:line="219" w:lineRule="auto"/>
        <w:rPr>
          <w:sz w:val="20"/>
          <w:szCs w:val="20"/>
        </w:rPr>
        <w:sectPr>
          <w:footerReference r:id="rId178" w:type="default"/>
          <w:pgSz w:w="11910" w:h="16840"/>
          <w:pgMar w:top="400" w:right="1550" w:bottom="1024" w:left="1470" w:header="0" w:footer="889" w:gutter="0"/>
          <w:cols w:space="720" w:num="1"/>
        </w:sectPr>
      </w:pPr>
    </w:p>
    <w:p w14:paraId="7B4DB38A">
      <w:pPr>
        <w:spacing w:line="259" w:lineRule="auto"/>
        <w:rPr>
          <w:rFonts w:ascii="Arial"/>
          <w:sz w:val="21"/>
        </w:rPr>
      </w:pPr>
    </w:p>
    <w:p w14:paraId="72BF2FFA">
      <w:pPr>
        <w:spacing w:line="259" w:lineRule="auto"/>
        <w:rPr>
          <w:rFonts w:ascii="Arial"/>
          <w:sz w:val="21"/>
        </w:rPr>
      </w:pPr>
    </w:p>
    <w:p w14:paraId="2CE8A944">
      <w:pPr>
        <w:spacing w:line="260" w:lineRule="auto"/>
        <w:rPr>
          <w:rFonts w:ascii="Arial"/>
          <w:sz w:val="21"/>
        </w:rPr>
      </w:pPr>
    </w:p>
    <w:p w14:paraId="3B846CCC">
      <w:pPr>
        <w:spacing w:line="260" w:lineRule="auto"/>
        <w:rPr>
          <w:rFonts w:ascii="Arial"/>
          <w:sz w:val="21"/>
        </w:rPr>
      </w:pPr>
    </w:p>
    <w:p w14:paraId="38B71C6A">
      <w:pPr>
        <w:spacing w:line="260" w:lineRule="auto"/>
        <w:rPr>
          <w:rFonts w:ascii="Arial"/>
          <w:sz w:val="21"/>
        </w:rPr>
      </w:pPr>
    </w:p>
    <w:p w14:paraId="11552BD4">
      <w:pPr>
        <w:spacing w:before="78" w:line="222" w:lineRule="auto"/>
        <w:ind w:left="33"/>
        <w:rPr>
          <w:rFonts w:ascii="黑体" w:hAnsi="黑体" w:eastAsia="黑体" w:cs="黑体"/>
          <w:sz w:val="24"/>
          <w:szCs w:val="24"/>
        </w:rPr>
      </w:pPr>
      <w:r>
        <w:rPr>
          <w:rFonts w:ascii="黑体" w:hAnsi="黑体" w:eastAsia="黑体" w:cs="黑体"/>
          <w:b/>
          <w:bCs/>
          <w:spacing w:val="-5"/>
          <w:sz w:val="24"/>
          <w:szCs w:val="24"/>
        </w:rPr>
        <w:t>附件五：质量保修书格式</w:t>
      </w:r>
    </w:p>
    <w:p w14:paraId="1FC58199">
      <w:pPr>
        <w:spacing w:line="307" w:lineRule="auto"/>
        <w:rPr>
          <w:rFonts w:ascii="Arial"/>
          <w:sz w:val="21"/>
        </w:rPr>
      </w:pPr>
    </w:p>
    <w:p w14:paraId="64D7B257">
      <w:pPr>
        <w:spacing w:before="91" w:line="220" w:lineRule="auto"/>
        <w:ind w:left="3213"/>
        <w:rPr>
          <w:rFonts w:ascii="黑体" w:hAnsi="黑体" w:eastAsia="黑体" w:cs="黑体"/>
          <w:sz w:val="28"/>
          <w:szCs w:val="28"/>
        </w:rPr>
      </w:pPr>
      <w:r>
        <w:rPr>
          <w:rFonts w:ascii="黑体" w:hAnsi="黑体" w:eastAsia="黑体" w:cs="黑体"/>
          <w:b/>
          <w:bCs/>
          <w:spacing w:val="1"/>
          <w:sz w:val="28"/>
          <w:szCs w:val="28"/>
        </w:rPr>
        <w:t>房屋建筑工程质量保修书</w:t>
      </w:r>
    </w:p>
    <w:p w14:paraId="0D51BC0B">
      <w:pPr>
        <w:spacing w:line="328" w:lineRule="auto"/>
        <w:rPr>
          <w:rFonts w:ascii="Arial"/>
          <w:sz w:val="21"/>
        </w:rPr>
      </w:pPr>
    </w:p>
    <w:p w14:paraId="1F07DE3F">
      <w:pPr>
        <w:pStyle w:val="2"/>
        <w:spacing w:before="71" w:line="220" w:lineRule="auto"/>
        <w:ind w:left="439"/>
        <w:rPr>
          <w:sz w:val="22"/>
          <w:szCs w:val="22"/>
        </w:rPr>
      </w:pPr>
      <w:r>
        <w:rPr>
          <w:spacing w:val="-7"/>
          <w:sz w:val="22"/>
          <w:szCs w:val="22"/>
        </w:rPr>
        <w:t>发包人：</w:t>
      </w:r>
      <w:r>
        <w:rPr>
          <w:spacing w:val="-7"/>
          <w:sz w:val="22"/>
          <w:szCs w:val="22"/>
          <w:u w:val="single" w:color="auto"/>
        </w:rPr>
        <w:t xml:space="preserve">                               </w:t>
      </w:r>
      <w:r>
        <w:rPr>
          <w:spacing w:val="-8"/>
          <w:sz w:val="22"/>
          <w:szCs w:val="22"/>
          <w:u w:val="single" w:color="auto"/>
        </w:rPr>
        <w:t xml:space="preserve">                 </w:t>
      </w:r>
    </w:p>
    <w:p w14:paraId="6393F9EF">
      <w:pPr>
        <w:pStyle w:val="2"/>
        <w:spacing w:before="47" w:line="219" w:lineRule="auto"/>
        <w:ind w:left="439"/>
        <w:rPr>
          <w:sz w:val="20"/>
          <w:szCs w:val="20"/>
        </w:rPr>
      </w:pPr>
      <w:r>
        <w:rPr>
          <w:sz w:val="20"/>
          <w:szCs w:val="20"/>
        </w:rPr>
        <w:t>承包人：</w:t>
      </w:r>
      <w:r>
        <w:rPr>
          <w:spacing w:val="-60"/>
          <w:sz w:val="20"/>
          <w:szCs w:val="20"/>
        </w:rPr>
        <w:t xml:space="preserve"> </w:t>
      </w:r>
      <w:r>
        <w:rPr>
          <w:sz w:val="20"/>
          <w:szCs w:val="20"/>
          <w:u w:val="single" w:color="auto"/>
        </w:rPr>
        <w:t xml:space="preserve">                                                  </w:t>
      </w:r>
    </w:p>
    <w:p w14:paraId="14694A2B">
      <w:pPr>
        <w:pStyle w:val="2"/>
        <w:spacing w:before="23" w:line="275" w:lineRule="auto"/>
        <w:ind w:left="30" w:right="29" w:firstLine="409"/>
        <w:rPr>
          <w:sz w:val="20"/>
          <w:szCs w:val="20"/>
        </w:rPr>
      </w:pPr>
      <w:r>
        <w:rPr>
          <w:spacing w:val="7"/>
          <w:sz w:val="20"/>
          <w:szCs w:val="20"/>
        </w:rPr>
        <w:t>发包人、承包人根据《中华人民共和国建筑法》、《建设工程质量管理条例》和《房屋建筑工</w:t>
      </w:r>
      <w:r>
        <w:rPr>
          <w:spacing w:val="3"/>
          <w:sz w:val="20"/>
          <w:szCs w:val="20"/>
        </w:rPr>
        <w:t xml:space="preserve"> </w:t>
      </w:r>
      <w:r>
        <w:rPr>
          <w:spacing w:val="7"/>
          <w:sz w:val="20"/>
          <w:szCs w:val="20"/>
        </w:rPr>
        <w:t>程质量保修办法》,经协商一致，对</w:t>
      </w:r>
      <w:r>
        <w:rPr>
          <w:spacing w:val="-87"/>
          <w:sz w:val="20"/>
          <w:szCs w:val="20"/>
        </w:rPr>
        <w:t xml:space="preserve"> </w:t>
      </w:r>
      <w:r>
        <w:rPr>
          <w:spacing w:val="2"/>
          <w:sz w:val="20"/>
          <w:szCs w:val="20"/>
          <w:u w:val="single" w:color="auto"/>
        </w:rPr>
        <w:t xml:space="preserve">                            </w:t>
      </w:r>
      <w:r>
        <w:rPr>
          <w:spacing w:val="1"/>
          <w:sz w:val="20"/>
          <w:szCs w:val="20"/>
          <w:u w:val="single" w:color="auto"/>
        </w:rPr>
        <w:t xml:space="preserve">   </w:t>
      </w:r>
      <w:r>
        <w:rPr>
          <w:spacing w:val="-69"/>
          <w:sz w:val="20"/>
          <w:szCs w:val="20"/>
        </w:rPr>
        <w:t xml:space="preserve"> </w:t>
      </w:r>
      <w:r>
        <w:rPr>
          <w:spacing w:val="7"/>
          <w:sz w:val="20"/>
          <w:szCs w:val="20"/>
        </w:rPr>
        <w:t>(工程名称)签订保修书。</w:t>
      </w:r>
    </w:p>
    <w:p w14:paraId="34767108">
      <w:pPr>
        <w:spacing w:line="221" w:lineRule="auto"/>
        <w:ind w:left="442"/>
        <w:rPr>
          <w:rFonts w:ascii="黑体" w:hAnsi="黑体" w:eastAsia="黑体" w:cs="黑体"/>
          <w:sz w:val="20"/>
          <w:szCs w:val="20"/>
        </w:rPr>
      </w:pPr>
      <w:r>
        <w:rPr>
          <w:rFonts w:ascii="黑体" w:hAnsi="黑体" w:eastAsia="黑体" w:cs="黑体"/>
          <w:b/>
          <w:bCs/>
          <w:spacing w:val="7"/>
          <w:sz w:val="20"/>
          <w:szCs w:val="20"/>
        </w:rPr>
        <w:t>一、工程保修范围和内容</w:t>
      </w:r>
    </w:p>
    <w:p w14:paraId="619C4919">
      <w:pPr>
        <w:pStyle w:val="2"/>
        <w:spacing w:before="52" w:line="243" w:lineRule="auto"/>
        <w:ind w:left="30" w:right="47" w:firstLine="409"/>
        <w:rPr>
          <w:sz w:val="20"/>
          <w:szCs w:val="20"/>
        </w:rPr>
      </w:pPr>
      <w:r>
        <w:rPr>
          <w:spacing w:val="12"/>
          <w:sz w:val="20"/>
          <w:szCs w:val="20"/>
        </w:rPr>
        <w:t>承包人在保修期内，按照有关法律、法规、规章的管理规定和双方约定，</w:t>
      </w:r>
      <w:r>
        <w:rPr>
          <w:spacing w:val="11"/>
          <w:sz w:val="20"/>
          <w:szCs w:val="20"/>
        </w:rPr>
        <w:t>承担本工程保修责</w:t>
      </w:r>
      <w:r>
        <w:rPr>
          <w:sz w:val="20"/>
          <w:szCs w:val="20"/>
        </w:rPr>
        <w:t xml:space="preserve"> </w:t>
      </w:r>
      <w:r>
        <w:rPr>
          <w:spacing w:val="-1"/>
          <w:sz w:val="20"/>
          <w:szCs w:val="20"/>
        </w:rPr>
        <w:t>任。</w:t>
      </w:r>
    </w:p>
    <w:p w14:paraId="11D699C1">
      <w:pPr>
        <w:pStyle w:val="2"/>
        <w:spacing w:before="65" w:line="260" w:lineRule="auto"/>
        <w:ind w:left="30" w:right="29" w:firstLine="409"/>
        <w:jc w:val="both"/>
        <w:rPr>
          <w:sz w:val="20"/>
          <w:szCs w:val="20"/>
        </w:rPr>
      </w:pPr>
      <w:r>
        <w:rPr>
          <w:spacing w:val="12"/>
          <w:sz w:val="20"/>
          <w:szCs w:val="20"/>
        </w:rPr>
        <w:t>保修责任范围包括地基基础工程、主体结构工程，屋面防水工程、有防水要</w:t>
      </w:r>
      <w:r>
        <w:rPr>
          <w:spacing w:val="11"/>
          <w:sz w:val="20"/>
          <w:szCs w:val="20"/>
        </w:rPr>
        <w:t>求的卫生间、房</w:t>
      </w:r>
      <w:r>
        <w:rPr>
          <w:sz w:val="20"/>
          <w:szCs w:val="20"/>
        </w:rPr>
        <w:t xml:space="preserve"> </w:t>
      </w:r>
      <w:r>
        <w:rPr>
          <w:spacing w:val="12"/>
          <w:sz w:val="20"/>
          <w:szCs w:val="20"/>
        </w:rPr>
        <w:t>间和外墙面的防渗漏，供热与供冷系统，电气管线、给排水管道、设备安装和装修工程</w:t>
      </w:r>
      <w:r>
        <w:rPr>
          <w:spacing w:val="11"/>
          <w:sz w:val="20"/>
          <w:szCs w:val="20"/>
        </w:rPr>
        <w:t>，以及双</w:t>
      </w:r>
      <w:r>
        <w:rPr>
          <w:sz w:val="20"/>
          <w:szCs w:val="20"/>
        </w:rPr>
        <w:t xml:space="preserve"> </w:t>
      </w:r>
      <w:r>
        <w:rPr>
          <w:spacing w:val="8"/>
          <w:sz w:val="20"/>
          <w:szCs w:val="20"/>
        </w:rPr>
        <w:t>方约定的其他项目。具体保修的内容，双方约定</w:t>
      </w:r>
      <w:r>
        <w:rPr>
          <w:spacing w:val="7"/>
          <w:sz w:val="20"/>
          <w:szCs w:val="20"/>
        </w:rPr>
        <w:t>如下：</w:t>
      </w:r>
    </w:p>
    <w:p w14:paraId="08FDB3A4">
      <w:pPr>
        <w:tabs>
          <w:tab w:val="left" w:pos="8349"/>
        </w:tabs>
        <w:spacing w:before="15"/>
        <w:rPr>
          <w:rFonts w:ascii="Arial"/>
          <w:sz w:val="21"/>
        </w:rPr>
      </w:pPr>
      <w:r>
        <w:rPr>
          <w:rFonts w:ascii="Arial" w:hAnsi="Arial" w:eastAsia="Arial" w:cs="Arial"/>
          <w:sz w:val="21"/>
          <w:szCs w:val="21"/>
          <w:u w:val="single" w:color="auto"/>
        </w:rPr>
        <w:tab/>
      </w:r>
    </w:p>
    <w:p w14:paraId="724DF3E5">
      <w:pPr>
        <w:tabs>
          <w:tab w:val="left" w:pos="8349"/>
        </w:tabs>
        <w:spacing w:before="39"/>
        <w:rPr>
          <w:rFonts w:ascii="Arial"/>
          <w:sz w:val="21"/>
        </w:rPr>
      </w:pPr>
      <w:r>
        <w:rPr>
          <w:rFonts w:ascii="Arial" w:hAnsi="Arial" w:eastAsia="Arial" w:cs="Arial"/>
          <w:sz w:val="21"/>
          <w:szCs w:val="21"/>
          <w:u w:val="single" w:color="auto"/>
        </w:rPr>
        <w:tab/>
      </w:r>
    </w:p>
    <w:p w14:paraId="6F2000E2">
      <w:pPr>
        <w:tabs>
          <w:tab w:val="left" w:pos="8359"/>
        </w:tabs>
        <w:spacing w:before="38"/>
        <w:rPr>
          <w:rFonts w:ascii="Arial"/>
          <w:sz w:val="21"/>
        </w:rPr>
      </w:pPr>
      <w:r>
        <w:rPr>
          <w:rFonts w:ascii="Arial" w:hAnsi="Arial" w:eastAsia="Arial" w:cs="Arial"/>
          <w:sz w:val="21"/>
          <w:szCs w:val="21"/>
          <w:u w:val="single" w:color="auto"/>
        </w:rPr>
        <w:tab/>
      </w:r>
    </w:p>
    <w:p w14:paraId="671D2F94">
      <w:pPr>
        <w:tabs>
          <w:tab w:val="left" w:pos="6999"/>
        </w:tabs>
        <w:spacing w:before="69"/>
        <w:rPr>
          <w:rFonts w:ascii="Arial"/>
          <w:sz w:val="21"/>
        </w:rPr>
      </w:pPr>
      <w:r>
        <w:rPr>
          <w:rFonts w:ascii="Arial" w:hAnsi="Arial" w:eastAsia="Arial" w:cs="Arial"/>
          <w:sz w:val="21"/>
          <w:szCs w:val="21"/>
          <w:u w:val="single" w:color="auto"/>
        </w:rPr>
        <w:tab/>
      </w:r>
    </w:p>
    <w:p w14:paraId="54F2FC37">
      <w:pPr>
        <w:spacing w:before="24" w:line="222" w:lineRule="auto"/>
        <w:ind w:left="442"/>
        <w:rPr>
          <w:rFonts w:ascii="黑体" w:hAnsi="黑体" w:eastAsia="黑体" w:cs="黑体"/>
          <w:sz w:val="20"/>
          <w:szCs w:val="20"/>
        </w:rPr>
      </w:pPr>
      <w:r>
        <w:rPr>
          <w:rFonts w:ascii="黑体" w:hAnsi="黑体" w:eastAsia="黑体" w:cs="黑体"/>
          <w:b/>
          <w:bCs/>
          <w:spacing w:val="7"/>
          <w:sz w:val="20"/>
          <w:szCs w:val="20"/>
        </w:rPr>
        <w:t>二、保修期</w:t>
      </w:r>
    </w:p>
    <w:p w14:paraId="2C984033">
      <w:pPr>
        <w:pStyle w:val="2"/>
        <w:spacing w:before="63" w:line="219" w:lineRule="auto"/>
        <w:ind w:left="439"/>
        <w:rPr>
          <w:sz w:val="20"/>
          <w:szCs w:val="20"/>
        </w:rPr>
      </w:pPr>
      <w:r>
        <w:rPr>
          <w:spacing w:val="9"/>
          <w:sz w:val="20"/>
          <w:szCs w:val="20"/>
        </w:rPr>
        <w:t>双方根据《建设工程质量管理条例》及有关规定，约定本工程的保修期如下：</w:t>
      </w:r>
    </w:p>
    <w:p w14:paraId="71F285F2">
      <w:pPr>
        <w:pStyle w:val="2"/>
        <w:spacing w:before="54" w:line="219" w:lineRule="auto"/>
        <w:ind w:left="909"/>
        <w:rPr>
          <w:sz w:val="20"/>
          <w:szCs w:val="20"/>
        </w:rPr>
      </w:pPr>
      <w:r>
        <w:rPr>
          <w:spacing w:val="8"/>
          <w:sz w:val="20"/>
          <w:szCs w:val="20"/>
        </w:rPr>
        <w:t>1、地基基础工程和主体结构工程为设计文件规定的该工程合理使用年限；</w:t>
      </w:r>
    </w:p>
    <w:p w14:paraId="4332A984">
      <w:pPr>
        <w:pStyle w:val="2"/>
        <w:spacing w:before="63" w:line="219" w:lineRule="auto"/>
        <w:ind w:left="909"/>
        <w:rPr>
          <w:sz w:val="20"/>
          <w:szCs w:val="20"/>
        </w:rPr>
      </w:pPr>
      <w:r>
        <w:rPr>
          <w:spacing w:val="7"/>
          <w:sz w:val="20"/>
          <w:szCs w:val="20"/>
        </w:rPr>
        <w:t>2、</w:t>
      </w:r>
      <w:r>
        <w:rPr>
          <w:spacing w:val="-51"/>
          <w:sz w:val="20"/>
          <w:szCs w:val="20"/>
        </w:rPr>
        <w:t xml:space="preserve"> </w:t>
      </w:r>
      <w:r>
        <w:rPr>
          <w:spacing w:val="7"/>
          <w:sz w:val="20"/>
          <w:szCs w:val="20"/>
        </w:rPr>
        <w:t>屋面防水工程、有防水要求的卫生间、房间和外墙面的防渗漏为</w:t>
      </w:r>
      <w:r>
        <w:rPr>
          <w:spacing w:val="7"/>
          <w:sz w:val="20"/>
          <w:szCs w:val="20"/>
          <w:u w:val="single" w:color="auto"/>
        </w:rPr>
        <w:t xml:space="preserve">        </w:t>
      </w:r>
      <w:r>
        <w:rPr>
          <w:spacing w:val="-90"/>
          <w:sz w:val="20"/>
          <w:szCs w:val="20"/>
        </w:rPr>
        <w:t xml:space="preserve"> </w:t>
      </w:r>
      <w:r>
        <w:rPr>
          <w:spacing w:val="7"/>
          <w:sz w:val="20"/>
          <w:szCs w:val="20"/>
        </w:rPr>
        <w:t>年；</w:t>
      </w:r>
    </w:p>
    <w:p w14:paraId="45F0FBC3">
      <w:pPr>
        <w:pStyle w:val="2"/>
        <w:spacing w:before="42" w:line="219" w:lineRule="auto"/>
        <w:ind w:left="909"/>
        <w:rPr>
          <w:sz w:val="20"/>
          <w:szCs w:val="20"/>
        </w:rPr>
      </w:pPr>
      <w:r>
        <w:rPr>
          <w:spacing w:val="5"/>
          <w:sz w:val="20"/>
          <w:szCs w:val="20"/>
        </w:rPr>
        <w:t>3、装修工程为</w:t>
      </w:r>
      <w:r>
        <w:rPr>
          <w:spacing w:val="6"/>
          <w:sz w:val="20"/>
          <w:szCs w:val="20"/>
          <w:u w:val="single" w:color="auto"/>
        </w:rPr>
        <w:t xml:space="preserve">        </w:t>
      </w:r>
      <w:r>
        <w:rPr>
          <w:spacing w:val="5"/>
          <w:sz w:val="20"/>
          <w:szCs w:val="20"/>
        </w:rPr>
        <w:t>年；</w:t>
      </w:r>
    </w:p>
    <w:p w14:paraId="46CC17FE">
      <w:pPr>
        <w:pStyle w:val="2"/>
        <w:spacing w:before="63" w:line="219" w:lineRule="auto"/>
        <w:ind w:left="909"/>
        <w:rPr>
          <w:sz w:val="20"/>
          <w:szCs w:val="20"/>
        </w:rPr>
      </w:pPr>
      <w:r>
        <w:rPr>
          <w:spacing w:val="8"/>
          <w:sz w:val="20"/>
          <w:szCs w:val="20"/>
        </w:rPr>
        <w:t>4、电气管线、给排水管道、设备安装工程为</w:t>
      </w:r>
      <w:r>
        <w:rPr>
          <w:spacing w:val="8"/>
          <w:sz w:val="20"/>
          <w:szCs w:val="20"/>
          <w:u w:val="single" w:color="auto"/>
        </w:rPr>
        <w:t xml:space="preserve">    </w:t>
      </w:r>
      <w:r>
        <w:rPr>
          <w:spacing w:val="7"/>
          <w:sz w:val="20"/>
          <w:szCs w:val="20"/>
          <w:u w:val="single" w:color="auto"/>
        </w:rPr>
        <w:t xml:space="preserve">    </w:t>
      </w:r>
      <w:r>
        <w:rPr>
          <w:spacing w:val="-90"/>
          <w:sz w:val="20"/>
          <w:szCs w:val="20"/>
        </w:rPr>
        <w:t xml:space="preserve"> </w:t>
      </w:r>
      <w:r>
        <w:rPr>
          <w:spacing w:val="7"/>
          <w:sz w:val="20"/>
          <w:szCs w:val="20"/>
        </w:rPr>
        <w:t>年；</w:t>
      </w:r>
    </w:p>
    <w:p w14:paraId="2FE6DB09">
      <w:pPr>
        <w:pStyle w:val="2"/>
        <w:spacing w:before="62" w:line="219" w:lineRule="auto"/>
        <w:ind w:left="909"/>
        <w:rPr>
          <w:sz w:val="20"/>
          <w:szCs w:val="20"/>
        </w:rPr>
      </w:pPr>
      <w:r>
        <w:rPr>
          <w:spacing w:val="7"/>
          <w:sz w:val="20"/>
          <w:szCs w:val="20"/>
        </w:rPr>
        <w:t>5、供热与供冷系统为</w:t>
      </w:r>
      <w:r>
        <w:rPr>
          <w:spacing w:val="-90"/>
          <w:sz w:val="20"/>
          <w:szCs w:val="20"/>
        </w:rPr>
        <w:t xml:space="preserve"> </w:t>
      </w:r>
      <w:r>
        <w:rPr>
          <w:spacing w:val="7"/>
          <w:sz w:val="20"/>
          <w:szCs w:val="20"/>
          <w:u w:val="single" w:color="auto"/>
        </w:rPr>
        <w:t xml:space="preserve">         </w:t>
      </w:r>
      <w:r>
        <w:rPr>
          <w:spacing w:val="6"/>
          <w:sz w:val="20"/>
          <w:szCs w:val="20"/>
          <w:u w:val="single" w:color="auto"/>
        </w:rPr>
        <w:t xml:space="preserve">  </w:t>
      </w:r>
      <w:r>
        <w:rPr>
          <w:spacing w:val="6"/>
          <w:sz w:val="20"/>
          <w:szCs w:val="20"/>
        </w:rPr>
        <w:t>个采暖期、供冷期；</w:t>
      </w:r>
    </w:p>
    <w:p w14:paraId="1FFF1D7F">
      <w:pPr>
        <w:pStyle w:val="2"/>
        <w:spacing w:before="34" w:line="219" w:lineRule="auto"/>
        <w:ind w:left="909"/>
        <w:rPr>
          <w:sz w:val="20"/>
          <w:szCs w:val="20"/>
        </w:rPr>
      </w:pPr>
      <w:r>
        <w:rPr>
          <w:spacing w:val="8"/>
          <w:sz w:val="20"/>
          <w:szCs w:val="20"/>
        </w:rPr>
        <w:t>6、住宅小区内的给排水设施、道路等配套工程为</w:t>
      </w:r>
      <w:r>
        <w:rPr>
          <w:spacing w:val="8"/>
          <w:sz w:val="20"/>
          <w:szCs w:val="20"/>
          <w:u w:val="single" w:color="auto"/>
        </w:rPr>
        <w:t xml:space="preserve">       </w:t>
      </w:r>
      <w:r>
        <w:rPr>
          <w:spacing w:val="7"/>
          <w:sz w:val="20"/>
          <w:szCs w:val="20"/>
          <w:u w:val="single" w:color="auto"/>
        </w:rPr>
        <w:t xml:space="preserve"> </w:t>
      </w:r>
      <w:r>
        <w:rPr>
          <w:spacing w:val="-90"/>
          <w:sz w:val="20"/>
          <w:szCs w:val="20"/>
        </w:rPr>
        <w:t xml:space="preserve"> </w:t>
      </w:r>
      <w:r>
        <w:rPr>
          <w:spacing w:val="7"/>
          <w:sz w:val="20"/>
          <w:szCs w:val="20"/>
        </w:rPr>
        <w:t>年；</w:t>
      </w:r>
    </w:p>
    <w:p w14:paraId="20B16D3A">
      <w:pPr>
        <w:pStyle w:val="2"/>
        <w:spacing w:before="52" w:line="219" w:lineRule="auto"/>
        <w:ind w:left="909"/>
        <w:rPr>
          <w:sz w:val="20"/>
          <w:szCs w:val="20"/>
        </w:rPr>
      </w:pPr>
      <w:r>
        <w:rPr>
          <w:spacing w:val="7"/>
          <w:sz w:val="20"/>
          <w:szCs w:val="20"/>
        </w:rPr>
        <w:t>7、其他项目保修期限约定如下：</w:t>
      </w:r>
    </w:p>
    <w:p w14:paraId="664BF9A6">
      <w:pPr>
        <w:tabs>
          <w:tab w:val="left" w:pos="8359"/>
        </w:tabs>
        <w:spacing w:before="53"/>
        <w:rPr>
          <w:rFonts w:ascii="Arial"/>
          <w:sz w:val="21"/>
        </w:rPr>
      </w:pPr>
      <w:r>
        <w:rPr>
          <w:rFonts w:ascii="Arial" w:hAnsi="Arial" w:eastAsia="Arial" w:cs="Arial"/>
          <w:sz w:val="21"/>
          <w:szCs w:val="21"/>
          <w:u w:val="single" w:color="auto"/>
        </w:rPr>
        <w:tab/>
      </w:r>
    </w:p>
    <w:p w14:paraId="7F9F3D4C">
      <w:pPr>
        <w:tabs>
          <w:tab w:val="left" w:pos="8359"/>
        </w:tabs>
        <w:spacing w:before="48"/>
        <w:rPr>
          <w:rFonts w:ascii="Arial"/>
          <w:sz w:val="21"/>
        </w:rPr>
      </w:pPr>
      <w:r>
        <w:rPr>
          <w:rFonts w:ascii="Arial" w:hAnsi="Arial" w:eastAsia="Arial" w:cs="Arial"/>
          <w:sz w:val="21"/>
          <w:szCs w:val="21"/>
          <w:u w:val="single" w:color="auto"/>
        </w:rPr>
        <w:tab/>
      </w:r>
    </w:p>
    <w:p w14:paraId="17796CAA">
      <w:pPr>
        <w:tabs>
          <w:tab w:val="left" w:pos="8359"/>
        </w:tabs>
        <w:spacing w:before="59"/>
        <w:rPr>
          <w:rFonts w:ascii="Arial"/>
          <w:sz w:val="21"/>
        </w:rPr>
      </w:pPr>
      <w:r>
        <w:rPr>
          <w:rFonts w:ascii="Arial" w:hAnsi="Arial" w:eastAsia="Arial" w:cs="Arial"/>
          <w:sz w:val="21"/>
          <w:szCs w:val="21"/>
          <w:u w:val="single" w:color="auto"/>
        </w:rPr>
        <w:tab/>
      </w:r>
    </w:p>
    <w:p w14:paraId="3FD83141">
      <w:pPr>
        <w:tabs>
          <w:tab w:val="left" w:pos="6909"/>
        </w:tabs>
        <w:spacing w:before="38"/>
        <w:rPr>
          <w:rFonts w:ascii="Arial"/>
          <w:sz w:val="21"/>
        </w:rPr>
      </w:pPr>
      <w:r>
        <w:rPr>
          <w:rFonts w:ascii="Arial" w:hAnsi="Arial" w:eastAsia="Arial" w:cs="Arial"/>
          <w:sz w:val="21"/>
          <w:szCs w:val="21"/>
          <w:u w:val="single" w:color="auto"/>
        </w:rPr>
        <w:tab/>
      </w:r>
    </w:p>
    <w:p w14:paraId="3A9691C3">
      <w:pPr>
        <w:spacing w:before="44" w:line="221" w:lineRule="auto"/>
        <w:ind w:left="442"/>
        <w:rPr>
          <w:rFonts w:ascii="黑体" w:hAnsi="黑体" w:eastAsia="黑体" w:cs="黑体"/>
          <w:sz w:val="20"/>
          <w:szCs w:val="20"/>
        </w:rPr>
      </w:pPr>
      <w:r>
        <w:rPr>
          <w:rFonts w:ascii="黑体" w:hAnsi="黑体" w:eastAsia="黑体" w:cs="黑体"/>
          <w:b/>
          <w:bCs/>
          <w:spacing w:val="5"/>
          <w:sz w:val="20"/>
          <w:szCs w:val="20"/>
        </w:rPr>
        <w:t>三、保修责任</w:t>
      </w:r>
    </w:p>
    <w:p w14:paraId="4B0AF8F1">
      <w:pPr>
        <w:pStyle w:val="2"/>
        <w:spacing w:before="56" w:line="248" w:lineRule="auto"/>
        <w:ind w:left="30" w:right="12" w:firstLine="409"/>
        <w:rPr>
          <w:sz w:val="20"/>
          <w:szCs w:val="20"/>
        </w:rPr>
      </w:pPr>
      <w:r>
        <w:rPr>
          <w:spacing w:val="12"/>
          <w:sz w:val="20"/>
          <w:szCs w:val="20"/>
        </w:rPr>
        <w:t>1、属于责任范围、内容的项目，承包人应当在接到保修通知之日起7天内派人保修。承包人</w:t>
      </w:r>
      <w:r>
        <w:rPr>
          <w:spacing w:val="15"/>
          <w:sz w:val="20"/>
          <w:szCs w:val="20"/>
        </w:rPr>
        <w:t xml:space="preserve"> </w:t>
      </w:r>
      <w:r>
        <w:rPr>
          <w:spacing w:val="9"/>
          <w:sz w:val="20"/>
          <w:szCs w:val="20"/>
        </w:rPr>
        <w:t>不在约定期限内派人保修的，发包人可以委</w:t>
      </w:r>
      <w:r>
        <w:rPr>
          <w:spacing w:val="8"/>
          <w:sz w:val="20"/>
          <w:szCs w:val="20"/>
        </w:rPr>
        <w:t>托他人修理。</w:t>
      </w:r>
    </w:p>
    <w:p w14:paraId="4BC33535">
      <w:pPr>
        <w:pStyle w:val="2"/>
        <w:spacing w:before="42" w:line="219" w:lineRule="auto"/>
        <w:ind w:left="439"/>
        <w:rPr>
          <w:sz w:val="20"/>
          <w:szCs w:val="20"/>
        </w:rPr>
      </w:pPr>
      <w:r>
        <w:rPr>
          <w:spacing w:val="9"/>
          <w:sz w:val="20"/>
          <w:szCs w:val="20"/>
        </w:rPr>
        <w:t>2、发生紧急抢修事故的，承包人在接到事故通知后，应当立即到达事故现场抢修。</w:t>
      </w:r>
    </w:p>
    <w:p w14:paraId="55B68FBB">
      <w:pPr>
        <w:pStyle w:val="2"/>
        <w:spacing w:before="74" w:line="245" w:lineRule="auto"/>
        <w:ind w:left="30" w:firstLine="409"/>
        <w:rPr>
          <w:sz w:val="20"/>
          <w:szCs w:val="20"/>
        </w:rPr>
      </w:pPr>
      <w:r>
        <w:rPr>
          <w:spacing w:val="10"/>
          <w:sz w:val="20"/>
          <w:szCs w:val="20"/>
        </w:rPr>
        <w:t>3、对于涉及结构安全的质量问题，应当按照《房屋建筑工程质量保修办法》的规定，立即向</w:t>
      </w:r>
      <w:r>
        <w:rPr>
          <w:spacing w:val="9"/>
          <w:sz w:val="20"/>
          <w:szCs w:val="20"/>
        </w:rPr>
        <w:t xml:space="preserve"> </w:t>
      </w:r>
      <w:r>
        <w:rPr>
          <w:spacing w:val="12"/>
          <w:sz w:val="20"/>
          <w:szCs w:val="20"/>
        </w:rPr>
        <w:t>当地建设行政主管部门报告，采取安全防范措施；由原设计人或者具有相应资质</w:t>
      </w:r>
      <w:r>
        <w:rPr>
          <w:spacing w:val="11"/>
          <w:sz w:val="20"/>
          <w:szCs w:val="20"/>
        </w:rPr>
        <w:t>等级的设计人提</w:t>
      </w:r>
      <w:r>
        <w:rPr>
          <w:sz w:val="20"/>
          <w:szCs w:val="20"/>
        </w:rPr>
        <w:t xml:space="preserve"> </w:t>
      </w:r>
      <w:r>
        <w:rPr>
          <w:spacing w:val="7"/>
          <w:sz w:val="20"/>
          <w:szCs w:val="20"/>
        </w:rPr>
        <w:t>出保修方案，承包人实施保修。</w:t>
      </w:r>
    </w:p>
    <w:p w14:paraId="68632430">
      <w:pPr>
        <w:pStyle w:val="2"/>
        <w:spacing w:before="63" w:line="219" w:lineRule="auto"/>
        <w:ind w:left="439"/>
        <w:rPr>
          <w:sz w:val="20"/>
          <w:szCs w:val="20"/>
        </w:rPr>
      </w:pPr>
      <w:r>
        <w:rPr>
          <w:spacing w:val="8"/>
          <w:sz w:val="20"/>
          <w:szCs w:val="20"/>
        </w:rPr>
        <w:t>4、质量保修完成后，由发包人组织验收。</w:t>
      </w:r>
    </w:p>
    <w:p w14:paraId="666B65E1">
      <w:pPr>
        <w:spacing w:before="48" w:line="222" w:lineRule="auto"/>
        <w:ind w:left="442"/>
        <w:rPr>
          <w:rFonts w:ascii="黑体" w:hAnsi="黑体" w:eastAsia="黑体" w:cs="黑体"/>
          <w:sz w:val="20"/>
          <w:szCs w:val="20"/>
        </w:rPr>
      </w:pPr>
      <w:r>
        <w:rPr>
          <w:rFonts w:ascii="黑体" w:hAnsi="黑体" w:eastAsia="黑体" w:cs="黑体"/>
          <w:b/>
          <w:bCs/>
          <w:spacing w:val="8"/>
          <w:sz w:val="20"/>
          <w:szCs w:val="20"/>
        </w:rPr>
        <w:t>四、保修费用</w:t>
      </w:r>
    </w:p>
    <w:p w14:paraId="4473B431">
      <w:pPr>
        <w:pStyle w:val="2"/>
        <w:spacing w:before="44" w:line="219" w:lineRule="auto"/>
        <w:ind w:left="439"/>
        <w:rPr>
          <w:sz w:val="20"/>
          <w:szCs w:val="20"/>
        </w:rPr>
      </w:pPr>
      <w:r>
        <w:rPr>
          <w:spacing w:val="8"/>
          <w:sz w:val="20"/>
          <w:szCs w:val="20"/>
        </w:rPr>
        <w:t>保修费用由造成质量缺陷的责任方承担。</w:t>
      </w:r>
    </w:p>
    <w:p w14:paraId="0ABA4FFF">
      <w:pPr>
        <w:spacing w:before="50" w:line="222" w:lineRule="auto"/>
        <w:ind w:left="442"/>
        <w:rPr>
          <w:rFonts w:ascii="黑体" w:hAnsi="黑体" w:eastAsia="黑体" w:cs="黑体"/>
          <w:sz w:val="20"/>
          <w:szCs w:val="20"/>
        </w:rPr>
      </w:pPr>
      <w:r>
        <w:rPr>
          <w:rFonts w:ascii="黑体" w:hAnsi="黑体" w:eastAsia="黑体" w:cs="黑体"/>
          <w:b/>
          <w:bCs/>
          <w:spacing w:val="6"/>
          <w:sz w:val="20"/>
          <w:szCs w:val="20"/>
        </w:rPr>
        <w:t>五、其他</w:t>
      </w:r>
    </w:p>
    <w:p w14:paraId="26AEDE86">
      <w:pPr>
        <w:pStyle w:val="2"/>
        <w:spacing w:before="52" w:line="219" w:lineRule="auto"/>
        <w:ind w:left="439"/>
        <w:rPr>
          <w:sz w:val="20"/>
          <w:szCs w:val="20"/>
        </w:rPr>
      </w:pPr>
      <w:r>
        <w:rPr>
          <w:spacing w:val="7"/>
          <w:sz w:val="20"/>
          <w:szCs w:val="20"/>
        </w:rPr>
        <w:t>双方约定的其他工程保修责任事项：</w:t>
      </w:r>
    </w:p>
    <w:p w14:paraId="4BEC7692">
      <w:pPr>
        <w:tabs>
          <w:tab w:val="left" w:pos="8359"/>
        </w:tabs>
        <w:spacing w:before="53"/>
        <w:rPr>
          <w:rFonts w:ascii="Arial"/>
          <w:sz w:val="21"/>
        </w:rPr>
      </w:pPr>
      <w:r>
        <w:rPr>
          <w:rFonts w:ascii="Arial" w:hAnsi="Arial" w:eastAsia="Arial" w:cs="Arial"/>
          <w:sz w:val="21"/>
          <w:szCs w:val="21"/>
          <w:u w:val="single" w:color="auto"/>
        </w:rPr>
        <w:tab/>
      </w:r>
    </w:p>
    <w:p w14:paraId="159F674A">
      <w:pPr>
        <w:tabs>
          <w:tab w:val="left" w:pos="8349"/>
        </w:tabs>
        <w:spacing w:before="48"/>
        <w:rPr>
          <w:rFonts w:ascii="Arial"/>
          <w:sz w:val="21"/>
        </w:rPr>
      </w:pPr>
      <w:r>
        <w:rPr>
          <w:rFonts w:ascii="Arial" w:hAnsi="Arial" w:eastAsia="Arial" w:cs="Arial"/>
          <w:sz w:val="21"/>
          <w:szCs w:val="21"/>
          <w:u w:val="single" w:color="auto"/>
        </w:rPr>
        <w:tab/>
      </w:r>
    </w:p>
    <w:p w14:paraId="19316271">
      <w:pPr>
        <w:rPr>
          <w:rFonts w:ascii="Arial" w:hAnsi="Arial" w:eastAsia="Arial" w:cs="Arial"/>
          <w:sz w:val="21"/>
          <w:szCs w:val="21"/>
        </w:rPr>
        <w:sectPr>
          <w:footerReference r:id="rId179" w:type="default"/>
          <w:pgSz w:w="11910" w:h="16840"/>
          <w:pgMar w:top="400" w:right="1509" w:bottom="1024" w:left="1440" w:header="0" w:footer="889" w:gutter="0"/>
          <w:cols w:space="720" w:num="1"/>
        </w:sectPr>
      </w:pPr>
    </w:p>
    <w:p w14:paraId="17160851">
      <w:pPr>
        <w:tabs>
          <w:tab w:val="left" w:pos="7179"/>
        </w:tabs>
        <w:spacing w:before="202" w:line="142" w:lineRule="auto"/>
        <w:ind w:left="30"/>
        <w:rPr>
          <w:rFonts w:ascii="Times New Roman" w:hAnsi="Times New Roman" w:eastAsia="Times New Roman" w:cs="Times New Roman"/>
          <w:sz w:val="7"/>
          <w:szCs w:val="7"/>
        </w:rPr>
      </w:pPr>
      <w:r>
        <w:rPr>
          <w:rFonts w:ascii="Times New Roman" w:hAnsi="Times New Roman" w:eastAsia="Times New Roman" w:cs="Times New Roman"/>
          <w:sz w:val="7"/>
          <w:szCs w:val="7"/>
          <w:u w:val="single" w:color="auto"/>
        </w:rPr>
        <w:tab/>
      </w:r>
      <w:r>
        <w:rPr>
          <w:rFonts w:ascii="Times New Roman" w:hAnsi="Times New Roman" w:eastAsia="Times New Roman" w:cs="Times New Roman"/>
          <w:spacing w:val="1"/>
          <w:sz w:val="7"/>
          <w:szCs w:val="7"/>
        </w:rPr>
        <w:t>_o</w:t>
      </w:r>
    </w:p>
    <w:p w14:paraId="2AF421E4">
      <w:pPr>
        <w:pStyle w:val="2"/>
        <w:spacing w:before="166" w:line="300" w:lineRule="auto"/>
        <w:ind w:left="40" w:firstLine="399"/>
        <w:rPr>
          <w:sz w:val="18"/>
          <w:szCs w:val="18"/>
        </w:rPr>
      </w:pPr>
      <w:r>
        <w:rPr>
          <w:spacing w:val="29"/>
          <w:sz w:val="18"/>
          <w:szCs w:val="18"/>
        </w:rPr>
        <w:t>本工程保修书，由施工合同发包人、承包人双</w:t>
      </w:r>
      <w:r>
        <w:rPr>
          <w:spacing w:val="28"/>
          <w:sz w:val="18"/>
          <w:szCs w:val="18"/>
        </w:rPr>
        <w:t>方在竣工验收前共同签署，作为施工合同附件，</w:t>
      </w:r>
      <w:r>
        <w:rPr>
          <w:sz w:val="18"/>
          <w:szCs w:val="18"/>
        </w:rPr>
        <w:t xml:space="preserve"> </w:t>
      </w:r>
      <w:r>
        <w:rPr>
          <w:spacing w:val="25"/>
          <w:sz w:val="18"/>
          <w:szCs w:val="18"/>
        </w:rPr>
        <w:t>其有效期限至保修期满。</w:t>
      </w:r>
    </w:p>
    <w:p w14:paraId="7B4F60C2">
      <w:pPr>
        <w:spacing w:line="246" w:lineRule="auto"/>
        <w:rPr>
          <w:rFonts w:ascii="Arial"/>
          <w:sz w:val="21"/>
        </w:rPr>
      </w:pPr>
    </w:p>
    <w:p w14:paraId="49CCAFE9">
      <w:pPr>
        <w:spacing w:line="246" w:lineRule="auto"/>
        <w:rPr>
          <w:rFonts w:ascii="Arial"/>
          <w:sz w:val="21"/>
        </w:rPr>
      </w:pPr>
    </w:p>
    <w:p w14:paraId="3A612228">
      <w:pPr>
        <w:spacing w:line="246" w:lineRule="auto"/>
        <w:rPr>
          <w:rFonts w:ascii="Arial"/>
          <w:sz w:val="21"/>
        </w:rPr>
      </w:pPr>
    </w:p>
    <w:p w14:paraId="2E380121">
      <w:pPr>
        <w:spacing w:line="246" w:lineRule="auto"/>
        <w:rPr>
          <w:rFonts w:ascii="Arial"/>
          <w:sz w:val="21"/>
        </w:rPr>
      </w:pPr>
    </w:p>
    <w:p w14:paraId="5E589C17">
      <w:pPr>
        <w:spacing w:line="247" w:lineRule="auto"/>
        <w:rPr>
          <w:rFonts w:ascii="Arial"/>
          <w:sz w:val="21"/>
        </w:rPr>
      </w:pPr>
    </w:p>
    <w:p w14:paraId="369612B8">
      <w:pPr>
        <w:pStyle w:val="2"/>
        <w:spacing w:before="69" w:line="220" w:lineRule="auto"/>
        <w:ind w:left="439"/>
        <w:rPr>
          <w:sz w:val="18"/>
          <w:szCs w:val="18"/>
        </w:rPr>
      </w:pPr>
      <w:r>
        <w:rPr>
          <w:spacing w:val="6"/>
          <w:position w:val="-1"/>
          <w:sz w:val="21"/>
          <w:szCs w:val="21"/>
        </w:rPr>
        <w:t>发包人：</w:t>
      </w:r>
      <w:r>
        <w:rPr>
          <w:spacing w:val="6"/>
          <w:position w:val="-1"/>
          <w:sz w:val="21"/>
          <w:szCs w:val="21"/>
          <w:u w:val="single" w:color="auto"/>
        </w:rPr>
        <w:t xml:space="preserve">                    </w:t>
      </w:r>
      <w:r>
        <w:rPr>
          <w:spacing w:val="-85"/>
          <w:position w:val="-1"/>
          <w:sz w:val="21"/>
          <w:szCs w:val="21"/>
        </w:rPr>
        <w:t xml:space="preserve"> </w:t>
      </w:r>
      <w:r>
        <w:rPr>
          <w:spacing w:val="6"/>
          <w:sz w:val="18"/>
          <w:szCs w:val="18"/>
        </w:rPr>
        <w:t>(公章)</w:t>
      </w:r>
      <w:r>
        <w:rPr>
          <w:spacing w:val="10"/>
          <w:sz w:val="18"/>
          <w:szCs w:val="18"/>
        </w:rPr>
        <w:t xml:space="preserve">    </w:t>
      </w:r>
      <w:r>
        <w:rPr>
          <w:spacing w:val="6"/>
          <w:sz w:val="18"/>
          <w:szCs w:val="18"/>
        </w:rPr>
        <w:t>承包人：</w:t>
      </w:r>
      <w:r>
        <w:rPr>
          <w:spacing w:val="51"/>
          <w:sz w:val="18"/>
          <w:szCs w:val="18"/>
        </w:rPr>
        <w:t xml:space="preserve"> </w:t>
      </w:r>
      <w:r>
        <w:rPr>
          <w:spacing w:val="6"/>
          <w:sz w:val="18"/>
          <w:szCs w:val="18"/>
          <w:u w:val="single" w:color="auto"/>
        </w:rPr>
        <w:t xml:space="preserve">          </w:t>
      </w:r>
      <w:r>
        <w:rPr>
          <w:spacing w:val="5"/>
          <w:sz w:val="18"/>
          <w:szCs w:val="18"/>
          <w:u w:val="single" w:color="auto"/>
        </w:rPr>
        <w:t xml:space="preserve">              </w:t>
      </w:r>
      <w:r>
        <w:rPr>
          <w:spacing w:val="5"/>
          <w:sz w:val="18"/>
          <w:szCs w:val="18"/>
        </w:rPr>
        <w:t xml:space="preserve"> (公章)</w:t>
      </w:r>
    </w:p>
    <w:p w14:paraId="20D827DC">
      <w:pPr>
        <w:pStyle w:val="2"/>
        <w:spacing w:before="69" w:line="220" w:lineRule="auto"/>
        <w:ind w:left="439"/>
        <w:rPr>
          <w:sz w:val="18"/>
          <w:szCs w:val="18"/>
        </w:rPr>
      </w:pPr>
      <w:r>
        <w:rPr>
          <w:spacing w:val="2"/>
          <w:sz w:val="20"/>
          <w:szCs w:val="20"/>
        </w:rPr>
        <w:t>法定地址：</w:t>
      </w:r>
      <w:r>
        <w:rPr>
          <w:spacing w:val="2"/>
          <w:sz w:val="20"/>
          <w:szCs w:val="20"/>
          <w:u w:val="single" w:color="auto"/>
        </w:rPr>
        <w:t xml:space="preserve">                    </w:t>
      </w:r>
      <w:r>
        <w:rPr>
          <w:spacing w:val="2"/>
          <w:sz w:val="20"/>
          <w:szCs w:val="20"/>
        </w:rPr>
        <w:t xml:space="preserve">          </w:t>
      </w:r>
      <w:r>
        <w:rPr>
          <w:spacing w:val="2"/>
          <w:sz w:val="18"/>
          <w:szCs w:val="18"/>
        </w:rPr>
        <w:t>法定地址：</w:t>
      </w:r>
      <w:r>
        <w:rPr>
          <w:spacing w:val="58"/>
          <w:w w:val="101"/>
          <w:sz w:val="18"/>
          <w:szCs w:val="18"/>
        </w:rPr>
        <w:t xml:space="preserve"> </w:t>
      </w:r>
      <w:r>
        <w:rPr>
          <w:sz w:val="18"/>
          <w:szCs w:val="18"/>
          <w:u w:val="single" w:color="auto"/>
        </w:rPr>
        <w:t xml:space="preserve">                       </w:t>
      </w:r>
    </w:p>
    <w:p w14:paraId="5BB29FB5">
      <w:pPr>
        <w:pStyle w:val="2"/>
        <w:spacing w:before="71" w:line="219" w:lineRule="auto"/>
        <w:ind w:left="439"/>
        <w:rPr>
          <w:sz w:val="18"/>
          <w:szCs w:val="18"/>
        </w:rPr>
      </w:pPr>
      <w:r>
        <w:rPr>
          <w:spacing w:val="11"/>
          <w:sz w:val="21"/>
          <w:szCs w:val="21"/>
        </w:rPr>
        <w:t xml:space="preserve">法定代表人或其                       </w:t>
      </w:r>
      <w:r>
        <w:rPr>
          <w:spacing w:val="11"/>
          <w:sz w:val="18"/>
          <w:szCs w:val="18"/>
        </w:rPr>
        <w:t>法定代表人或其</w:t>
      </w:r>
    </w:p>
    <w:p w14:paraId="4C981A4E">
      <w:pPr>
        <w:pStyle w:val="2"/>
        <w:spacing w:before="81" w:line="214" w:lineRule="auto"/>
        <w:ind w:left="439"/>
        <w:rPr>
          <w:sz w:val="18"/>
          <w:szCs w:val="18"/>
        </w:rPr>
      </w:pPr>
      <w:r>
        <w:rPr>
          <w:spacing w:val="3"/>
          <w:sz w:val="22"/>
          <w:szCs w:val="22"/>
        </w:rPr>
        <w:t>委托代理人：</w:t>
      </w:r>
      <w:r>
        <w:rPr>
          <w:spacing w:val="3"/>
          <w:sz w:val="22"/>
          <w:szCs w:val="22"/>
          <w:u w:val="single" w:color="auto"/>
        </w:rPr>
        <w:t xml:space="preserve">               </w:t>
      </w:r>
      <w:r>
        <w:rPr>
          <w:spacing w:val="-62"/>
          <w:sz w:val="22"/>
          <w:szCs w:val="22"/>
        </w:rPr>
        <w:t xml:space="preserve"> </w:t>
      </w:r>
      <w:r>
        <w:rPr>
          <w:spacing w:val="3"/>
          <w:position w:val="1"/>
          <w:sz w:val="18"/>
          <w:szCs w:val="18"/>
        </w:rPr>
        <w:t>(签字)</w:t>
      </w:r>
      <w:r>
        <w:rPr>
          <w:spacing w:val="10"/>
          <w:position w:val="1"/>
          <w:sz w:val="18"/>
          <w:szCs w:val="18"/>
        </w:rPr>
        <w:t xml:space="preserve">    </w:t>
      </w:r>
      <w:r>
        <w:rPr>
          <w:spacing w:val="3"/>
          <w:position w:val="-1"/>
          <w:sz w:val="18"/>
          <w:szCs w:val="18"/>
        </w:rPr>
        <w:t>委</w:t>
      </w:r>
      <w:r>
        <w:rPr>
          <w:spacing w:val="-41"/>
          <w:position w:val="-1"/>
          <w:sz w:val="18"/>
          <w:szCs w:val="18"/>
        </w:rPr>
        <w:t xml:space="preserve"> </w:t>
      </w:r>
      <w:r>
        <w:rPr>
          <w:spacing w:val="3"/>
          <w:position w:val="-1"/>
          <w:sz w:val="18"/>
          <w:szCs w:val="18"/>
        </w:rPr>
        <w:t>托</w:t>
      </w:r>
      <w:r>
        <w:rPr>
          <w:spacing w:val="-42"/>
          <w:position w:val="-1"/>
          <w:sz w:val="18"/>
          <w:szCs w:val="18"/>
        </w:rPr>
        <w:t xml:space="preserve"> </w:t>
      </w:r>
      <w:r>
        <w:rPr>
          <w:spacing w:val="3"/>
          <w:position w:val="-1"/>
          <w:sz w:val="18"/>
          <w:szCs w:val="18"/>
        </w:rPr>
        <w:t>代</w:t>
      </w:r>
      <w:r>
        <w:rPr>
          <w:spacing w:val="-39"/>
          <w:position w:val="-1"/>
          <w:sz w:val="18"/>
          <w:szCs w:val="18"/>
        </w:rPr>
        <w:t xml:space="preserve"> </w:t>
      </w:r>
      <w:r>
        <w:rPr>
          <w:spacing w:val="3"/>
          <w:position w:val="-1"/>
          <w:sz w:val="18"/>
          <w:szCs w:val="18"/>
        </w:rPr>
        <w:t>理</w:t>
      </w:r>
      <w:r>
        <w:rPr>
          <w:spacing w:val="-40"/>
          <w:position w:val="-1"/>
          <w:sz w:val="18"/>
          <w:szCs w:val="18"/>
        </w:rPr>
        <w:t xml:space="preserve"> </w:t>
      </w:r>
      <w:r>
        <w:rPr>
          <w:spacing w:val="3"/>
          <w:position w:val="-1"/>
          <w:sz w:val="18"/>
          <w:szCs w:val="18"/>
        </w:rPr>
        <w:t>人</w:t>
      </w:r>
      <w:r>
        <w:rPr>
          <w:spacing w:val="-26"/>
          <w:position w:val="-1"/>
          <w:sz w:val="18"/>
          <w:szCs w:val="18"/>
        </w:rPr>
        <w:t xml:space="preserve"> </w:t>
      </w:r>
      <w:r>
        <w:rPr>
          <w:spacing w:val="3"/>
          <w:position w:val="-1"/>
          <w:sz w:val="18"/>
          <w:szCs w:val="18"/>
        </w:rPr>
        <w:t>：</w:t>
      </w:r>
      <w:r>
        <w:rPr>
          <w:spacing w:val="3"/>
          <w:position w:val="-1"/>
          <w:sz w:val="18"/>
          <w:szCs w:val="18"/>
          <w:u w:val="single" w:color="auto"/>
        </w:rPr>
        <w:t xml:space="preserve">                   </w:t>
      </w:r>
      <w:r>
        <w:rPr>
          <w:spacing w:val="3"/>
          <w:position w:val="-1"/>
          <w:sz w:val="18"/>
          <w:szCs w:val="18"/>
        </w:rPr>
        <w:t xml:space="preserve">  </w:t>
      </w:r>
      <w:r>
        <w:rPr>
          <w:spacing w:val="3"/>
          <w:position w:val="1"/>
          <w:sz w:val="18"/>
          <w:szCs w:val="18"/>
        </w:rPr>
        <w:t>(签字)</w:t>
      </w:r>
    </w:p>
    <w:p w14:paraId="12740797">
      <w:pPr>
        <w:pStyle w:val="2"/>
        <w:spacing w:before="77" w:line="221" w:lineRule="auto"/>
        <w:ind w:left="439"/>
        <w:rPr>
          <w:sz w:val="20"/>
          <w:szCs w:val="20"/>
        </w:rPr>
      </w:pPr>
      <w:r>
        <w:rPr>
          <w:spacing w:val="-2"/>
          <w:sz w:val="20"/>
          <w:szCs w:val="20"/>
        </w:rPr>
        <w:t>电话：</w:t>
      </w:r>
      <w:r>
        <w:rPr>
          <w:spacing w:val="-2"/>
          <w:sz w:val="20"/>
          <w:szCs w:val="20"/>
          <w:u w:val="single" w:color="auto"/>
        </w:rPr>
        <w:t xml:space="preserve">                         </w:t>
      </w:r>
      <w:r>
        <w:rPr>
          <w:spacing w:val="4"/>
          <w:sz w:val="20"/>
          <w:szCs w:val="20"/>
        </w:rPr>
        <w:t xml:space="preserve">          </w:t>
      </w:r>
      <w:r>
        <w:rPr>
          <w:spacing w:val="-2"/>
          <w:sz w:val="20"/>
          <w:szCs w:val="20"/>
        </w:rPr>
        <w:t>电话：</w:t>
      </w:r>
      <w:r>
        <w:rPr>
          <w:sz w:val="20"/>
          <w:szCs w:val="20"/>
          <w:u w:val="single" w:color="auto"/>
        </w:rPr>
        <w:t xml:space="preserve">                         </w:t>
      </w:r>
    </w:p>
    <w:p w14:paraId="4FC9A9E0">
      <w:pPr>
        <w:pStyle w:val="2"/>
        <w:spacing w:before="95" w:line="219" w:lineRule="auto"/>
        <w:ind w:left="439"/>
        <w:rPr>
          <w:sz w:val="18"/>
          <w:szCs w:val="18"/>
        </w:rPr>
      </w:pPr>
      <w:r>
        <w:rPr>
          <w:spacing w:val="-2"/>
          <w:sz w:val="18"/>
          <w:szCs w:val="18"/>
        </w:rPr>
        <w:t>传</w:t>
      </w:r>
      <w:r>
        <w:rPr>
          <w:spacing w:val="-37"/>
          <w:sz w:val="18"/>
          <w:szCs w:val="18"/>
        </w:rPr>
        <w:t xml:space="preserve"> </w:t>
      </w:r>
      <w:r>
        <w:rPr>
          <w:spacing w:val="-2"/>
          <w:sz w:val="18"/>
          <w:szCs w:val="18"/>
        </w:rPr>
        <w:t>真</w:t>
      </w:r>
      <w:r>
        <w:rPr>
          <w:spacing w:val="-46"/>
          <w:sz w:val="18"/>
          <w:szCs w:val="18"/>
        </w:rPr>
        <w:t xml:space="preserve"> </w:t>
      </w:r>
      <w:r>
        <w:rPr>
          <w:spacing w:val="-2"/>
          <w:sz w:val="18"/>
          <w:szCs w:val="18"/>
        </w:rPr>
        <w:t>：</w:t>
      </w:r>
      <w:r>
        <w:rPr>
          <w:spacing w:val="-2"/>
          <w:sz w:val="18"/>
          <w:szCs w:val="18"/>
          <w:u w:val="single" w:color="auto"/>
        </w:rPr>
        <w:t xml:space="preserve">                            </w:t>
      </w:r>
      <w:r>
        <w:rPr>
          <w:sz w:val="18"/>
          <w:szCs w:val="18"/>
        </w:rPr>
        <w:t xml:space="preserve">           </w:t>
      </w:r>
      <w:r>
        <w:rPr>
          <w:spacing w:val="-2"/>
          <w:sz w:val="18"/>
          <w:szCs w:val="18"/>
        </w:rPr>
        <w:t>传真：</w:t>
      </w:r>
      <w:r>
        <w:rPr>
          <w:spacing w:val="-20"/>
          <w:sz w:val="18"/>
          <w:szCs w:val="18"/>
        </w:rPr>
        <w:t xml:space="preserve"> </w:t>
      </w:r>
      <w:r>
        <w:rPr>
          <w:sz w:val="18"/>
          <w:szCs w:val="18"/>
          <w:u w:val="single" w:color="auto"/>
        </w:rPr>
        <w:t xml:space="preserve">                            </w:t>
      </w:r>
    </w:p>
    <w:p w14:paraId="331CDBCA">
      <w:pPr>
        <w:pStyle w:val="2"/>
        <w:spacing w:before="79" w:line="220" w:lineRule="auto"/>
        <w:ind w:left="439"/>
        <w:rPr>
          <w:sz w:val="20"/>
          <w:szCs w:val="20"/>
        </w:rPr>
      </w:pPr>
      <w:r>
        <w:rPr>
          <w:sz w:val="18"/>
          <w:szCs w:val="18"/>
        </w:rPr>
        <w:t>电子邮箱：</w:t>
      </w:r>
      <w:r>
        <w:rPr>
          <w:spacing w:val="29"/>
          <w:w w:val="101"/>
          <w:sz w:val="18"/>
          <w:szCs w:val="18"/>
        </w:rPr>
        <w:t xml:space="preserve"> </w:t>
      </w:r>
      <w:r>
        <w:rPr>
          <w:spacing w:val="2"/>
          <w:sz w:val="18"/>
          <w:szCs w:val="18"/>
          <w:u w:val="single" w:color="auto"/>
        </w:rPr>
        <w:t xml:space="preserve">                      </w:t>
      </w:r>
      <w:r>
        <w:rPr>
          <w:spacing w:val="5"/>
          <w:sz w:val="18"/>
          <w:szCs w:val="18"/>
        </w:rPr>
        <w:t xml:space="preserve">           </w:t>
      </w:r>
      <w:r>
        <w:rPr>
          <w:sz w:val="20"/>
          <w:szCs w:val="20"/>
        </w:rPr>
        <w:t>电子邮箱：</w:t>
      </w:r>
      <w:r>
        <w:rPr>
          <w:sz w:val="20"/>
          <w:szCs w:val="20"/>
          <w:u w:val="single" w:color="auto"/>
        </w:rPr>
        <w:t xml:space="preserve">                     </w:t>
      </w:r>
    </w:p>
    <w:p w14:paraId="1515A5D2">
      <w:pPr>
        <w:pStyle w:val="2"/>
        <w:spacing w:before="92" w:line="220" w:lineRule="auto"/>
        <w:ind w:left="439"/>
        <w:rPr>
          <w:sz w:val="20"/>
          <w:szCs w:val="20"/>
        </w:rPr>
      </w:pPr>
      <w:r>
        <w:rPr>
          <w:spacing w:val="1"/>
          <w:sz w:val="20"/>
          <w:szCs w:val="20"/>
        </w:rPr>
        <w:t>开户银行：</w:t>
      </w:r>
      <w:r>
        <w:rPr>
          <w:spacing w:val="1"/>
          <w:sz w:val="20"/>
          <w:szCs w:val="20"/>
          <w:u w:val="single" w:color="auto"/>
        </w:rPr>
        <w:t xml:space="preserve">                    </w:t>
      </w:r>
      <w:r>
        <w:rPr>
          <w:spacing w:val="1"/>
          <w:sz w:val="20"/>
          <w:szCs w:val="20"/>
        </w:rPr>
        <w:t xml:space="preserve">          开户银行：</w:t>
      </w:r>
      <w:r>
        <w:rPr>
          <w:spacing w:val="1"/>
          <w:sz w:val="20"/>
          <w:szCs w:val="20"/>
          <w:u w:val="single" w:color="auto"/>
        </w:rPr>
        <w:t xml:space="preserve">         </w:t>
      </w:r>
      <w:r>
        <w:rPr>
          <w:sz w:val="20"/>
          <w:szCs w:val="20"/>
          <w:u w:val="single" w:color="auto"/>
        </w:rPr>
        <w:t xml:space="preserve">            </w:t>
      </w:r>
    </w:p>
    <w:p w14:paraId="614739C7">
      <w:pPr>
        <w:pStyle w:val="2"/>
        <w:spacing w:before="64" w:line="221" w:lineRule="auto"/>
        <w:ind w:left="439"/>
        <w:rPr>
          <w:sz w:val="18"/>
          <w:szCs w:val="18"/>
        </w:rPr>
      </w:pPr>
      <w:r>
        <w:rPr>
          <w:spacing w:val="-11"/>
          <w:sz w:val="23"/>
          <w:szCs w:val="23"/>
        </w:rPr>
        <w:t>账号：</w:t>
      </w:r>
      <w:r>
        <w:rPr>
          <w:spacing w:val="-11"/>
          <w:sz w:val="23"/>
          <w:szCs w:val="23"/>
          <w:u w:val="single" w:color="auto"/>
        </w:rPr>
        <w:t xml:space="preserve">                       </w:t>
      </w:r>
      <w:r>
        <w:rPr>
          <w:spacing w:val="13"/>
          <w:sz w:val="23"/>
          <w:szCs w:val="23"/>
        </w:rPr>
        <w:t xml:space="preserve">        </w:t>
      </w:r>
      <w:r>
        <w:rPr>
          <w:spacing w:val="-11"/>
          <w:sz w:val="18"/>
          <w:szCs w:val="18"/>
        </w:rPr>
        <w:t>账</w:t>
      </w:r>
      <w:r>
        <w:rPr>
          <w:spacing w:val="-17"/>
          <w:sz w:val="18"/>
          <w:szCs w:val="18"/>
        </w:rPr>
        <w:t xml:space="preserve"> </w:t>
      </w:r>
      <w:r>
        <w:rPr>
          <w:spacing w:val="-12"/>
          <w:sz w:val="18"/>
          <w:szCs w:val="18"/>
        </w:rPr>
        <w:t>号 ：</w:t>
      </w:r>
      <w:r>
        <w:rPr>
          <w:sz w:val="18"/>
          <w:szCs w:val="18"/>
          <w:u w:val="single" w:color="auto"/>
        </w:rPr>
        <w:t xml:space="preserve">                           </w:t>
      </w:r>
    </w:p>
    <w:p w14:paraId="4BCEF16E">
      <w:pPr>
        <w:pStyle w:val="2"/>
        <w:spacing w:before="61" w:line="219" w:lineRule="auto"/>
        <w:ind w:left="439"/>
        <w:rPr>
          <w:sz w:val="18"/>
          <w:szCs w:val="18"/>
        </w:rPr>
      </w:pPr>
      <w:r>
        <w:rPr>
          <w:sz w:val="18"/>
          <w:szCs w:val="18"/>
        </w:rPr>
        <w:t>邮政编码：</w:t>
      </w:r>
      <w:r>
        <w:rPr>
          <w:spacing w:val="29"/>
          <w:w w:val="101"/>
          <w:sz w:val="18"/>
          <w:szCs w:val="18"/>
        </w:rPr>
        <w:t xml:space="preserve"> </w:t>
      </w:r>
      <w:r>
        <w:rPr>
          <w:spacing w:val="2"/>
          <w:sz w:val="18"/>
          <w:szCs w:val="18"/>
          <w:u w:val="single" w:color="auto"/>
        </w:rPr>
        <w:t xml:space="preserve">                      </w:t>
      </w:r>
      <w:r>
        <w:rPr>
          <w:spacing w:val="5"/>
          <w:sz w:val="18"/>
          <w:szCs w:val="18"/>
        </w:rPr>
        <w:t xml:space="preserve">           </w:t>
      </w:r>
      <w:r>
        <w:rPr>
          <w:sz w:val="18"/>
          <w:szCs w:val="18"/>
        </w:rPr>
        <w:t>邮政编码：</w:t>
      </w:r>
      <w:r>
        <w:rPr>
          <w:spacing w:val="40"/>
          <w:sz w:val="18"/>
          <w:szCs w:val="18"/>
        </w:rPr>
        <w:t xml:space="preserve"> </w:t>
      </w:r>
      <w:r>
        <w:rPr>
          <w:sz w:val="18"/>
          <w:szCs w:val="18"/>
          <w:u w:val="single" w:color="auto"/>
        </w:rPr>
        <w:t xml:space="preserve">                       </w:t>
      </w:r>
    </w:p>
    <w:p w14:paraId="0DB4BFED">
      <w:pPr>
        <w:spacing w:line="219" w:lineRule="auto"/>
        <w:rPr>
          <w:sz w:val="18"/>
          <w:szCs w:val="18"/>
        </w:rPr>
        <w:sectPr>
          <w:headerReference r:id="rId180" w:type="default"/>
          <w:footerReference r:id="rId181" w:type="default"/>
          <w:pgSz w:w="11910" w:h="16840"/>
          <w:pgMar w:top="1980" w:right="1480" w:bottom="1045" w:left="1440" w:header="1960" w:footer="883" w:gutter="0"/>
          <w:cols w:space="720" w:num="1"/>
        </w:sectPr>
      </w:pPr>
    </w:p>
    <w:p w14:paraId="4174BC32">
      <w:pPr>
        <w:spacing w:line="259" w:lineRule="auto"/>
        <w:rPr>
          <w:rFonts w:ascii="Arial"/>
          <w:sz w:val="21"/>
        </w:rPr>
      </w:pPr>
    </w:p>
    <w:p w14:paraId="7D351899">
      <w:pPr>
        <w:spacing w:line="259" w:lineRule="auto"/>
        <w:rPr>
          <w:rFonts w:ascii="Arial"/>
          <w:sz w:val="21"/>
        </w:rPr>
      </w:pPr>
    </w:p>
    <w:p w14:paraId="03913933">
      <w:pPr>
        <w:spacing w:line="260" w:lineRule="auto"/>
        <w:rPr>
          <w:rFonts w:ascii="Arial"/>
          <w:sz w:val="21"/>
        </w:rPr>
      </w:pPr>
    </w:p>
    <w:p w14:paraId="5ECC7FA2">
      <w:pPr>
        <w:spacing w:line="260" w:lineRule="auto"/>
        <w:rPr>
          <w:rFonts w:ascii="Arial"/>
          <w:sz w:val="21"/>
        </w:rPr>
      </w:pPr>
    </w:p>
    <w:p w14:paraId="59689E6C">
      <w:pPr>
        <w:spacing w:line="260" w:lineRule="auto"/>
        <w:rPr>
          <w:rFonts w:ascii="Arial"/>
          <w:sz w:val="21"/>
        </w:rPr>
      </w:pPr>
    </w:p>
    <w:p w14:paraId="0C3CCCAC">
      <w:pPr>
        <w:spacing w:before="78" w:line="221" w:lineRule="auto"/>
        <w:ind w:left="3"/>
        <w:rPr>
          <w:rFonts w:ascii="黑体" w:hAnsi="黑体" w:eastAsia="黑体" w:cs="黑体"/>
          <w:sz w:val="24"/>
          <w:szCs w:val="24"/>
        </w:rPr>
      </w:pPr>
      <w:r>
        <w:rPr>
          <w:rFonts w:ascii="黑体" w:hAnsi="黑体" w:eastAsia="黑体" w:cs="黑体"/>
          <w:b/>
          <w:bCs/>
          <w:spacing w:val="-5"/>
          <w:sz w:val="24"/>
          <w:szCs w:val="24"/>
        </w:rPr>
        <w:t>附件六：廉政责任书格式</w:t>
      </w:r>
    </w:p>
    <w:p w14:paraId="70E48020">
      <w:pPr>
        <w:spacing w:line="320" w:lineRule="auto"/>
        <w:rPr>
          <w:rFonts w:ascii="Arial"/>
          <w:sz w:val="21"/>
        </w:rPr>
      </w:pPr>
    </w:p>
    <w:p w14:paraId="13491032">
      <w:pPr>
        <w:spacing w:before="91" w:line="221" w:lineRule="auto"/>
        <w:ind w:left="3443"/>
        <w:rPr>
          <w:rFonts w:ascii="黑体" w:hAnsi="黑体" w:eastAsia="黑体" w:cs="黑体"/>
          <w:sz w:val="28"/>
          <w:szCs w:val="28"/>
        </w:rPr>
      </w:pPr>
      <w:r>
        <w:rPr>
          <w:rFonts w:ascii="黑体" w:hAnsi="黑体" w:eastAsia="黑体" w:cs="黑体"/>
          <w:b/>
          <w:bCs/>
          <w:spacing w:val="2"/>
          <w:sz w:val="28"/>
          <w:szCs w:val="28"/>
        </w:rPr>
        <w:t>建设工程廉政责任书</w:t>
      </w:r>
    </w:p>
    <w:p w14:paraId="3D2BB953">
      <w:pPr>
        <w:spacing w:line="318" w:lineRule="auto"/>
        <w:rPr>
          <w:rFonts w:ascii="Arial"/>
          <w:sz w:val="21"/>
        </w:rPr>
      </w:pPr>
    </w:p>
    <w:p w14:paraId="6FAE16CE">
      <w:pPr>
        <w:pStyle w:val="2"/>
        <w:spacing w:before="69" w:line="220" w:lineRule="auto"/>
        <w:ind w:left="409"/>
        <w:rPr>
          <w:sz w:val="21"/>
          <w:szCs w:val="21"/>
        </w:rPr>
      </w:pPr>
      <w:r>
        <w:rPr>
          <w:spacing w:val="1"/>
          <w:sz w:val="21"/>
          <w:szCs w:val="21"/>
        </w:rPr>
        <w:t>发包人：</w:t>
      </w:r>
      <w:r>
        <w:rPr>
          <w:spacing w:val="1"/>
          <w:sz w:val="21"/>
          <w:szCs w:val="21"/>
          <w:u w:val="single" w:color="auto"/>
        </w:rPr>
        <w:t xml:space="preserve">                    </w:t>
      </w:r>
      <w:r>
        <w:rPr>
          <w:sz w:val="21"/>
          <w:szCs w:val="21"/>
          <w:u w:val="single" w:color="auto"/>
        </w:rPr>
        <w:t xml:space="preserve">                           </w:t>
      </w:r>
    </w:p>
    <w:p w14:paraId="4FCF2DD6">
      <w:pPr>
        <w:pStyle w:val="2"/>
        <w:spacing w:before="30" w:line="219" w:lineRule="auto"/>
        <w:ind w:left="409"/>
        <w:rPr>
          <w:sz w:val="23"/>
          <w:szCs w:val="23"/>
        </w:rPr>
      </w:pPr>
      <w:r>
        <w:rPr>
          <w:spacing w:val="-18"/>
          <w:sz w:val="23"/>
          <w:szCs w:val="23"/>
        </w:rPr>
        <w:t>承包人：</w:t>
      </w:r>
      <w:r>
        <w:rPr>
          <w:sz w:val="23"/>
          <w:szCs w:val="23"/>
          <w:u w:val="single" w:color="auto"/>
        </w:rPr>
        <w:t xml:space="preserve">                                            </w:t>
      </w:r>
    </w:p>
    <w:p w14:paraId="7F00808E">
      <w:pPr>
        <w:pStyle w:val="2"/>
        <w:spacing w:before="35" w:line="256" w:lineRule="auto"/>
        <w:ind w:right="93" w:firstLine="409"/>
        <w:jc w:val="both"/>
        <w:rPr>
          <w:sz w:val="21"/>
          <w:szCs w:val="21"/>
        </w:rPr>
      </w:pPr>
      <w:r>
        <w:rPr>
          <w:spacing w:val="2"/>
          <w:sz w:val="21"/>
          <w:szCs w:val="21"/>
        </w:rPr>
        <w:t>为加强建设工程廉政建设，规范建设工程各项活动中发包人承包人双方的行为，防止谋取不</w:t>
      </w:r>
      <w:r>
        <w:rPr>
          <w:sz w:val="21"/>
          <w:szCs w:val="21"/>
        </w:rPr>
        <w:t xml:space="preserve"> </w:t>
      </w:r>
      <w:r>
        <w:rPr>
          <w:spacing w:val="2"/>
          <w:sz w:val="21"/>
          <w:szCs w:val="21"/>
        </w:rPr>
        <w:t>正当利益的违法违纪现象的发生，保护国家、集体和当事人</w:t>
      </w:r>
      <w:r>
        <w:rPr>
          <w:spacing w:val="1"/>
          <w:sz w:val="21"/>
          <w:szCs w:val="21"/>
        </w:rPr>
        <w:t>的合法权益，根据国家有关工程建设</w:t>
      </w:r>
      <w:r>
        <w:rPr>
          <w:sz w:val="21"/>
          <w:szCs w:val="21"/>
        </w:rPr>
        <w:t xml:space="preserve"> </w:t>
      </w:r>
      <w:r>
        <w:rPr>
          <w:spacing w:val="-1"/>
          <w:sz w:val="21"/>
          <w:szCs w:val="21"/>
        </w:rPr>
        <w:t>的法律法规和廉政建设的有关规定，订立本廉政责任书。</w:t>
      </w:r>
    </w:p>
    <w:p w14:paraId="7A7318D5">
      <w:pPr>
        <w:spacing w:before="22" w:line="221" w:lineRule="auto"/>
        <w:ind w:left="412"/>
        <w:rPr>
          <w:rFonts w:ascii="黑体" w:hAnsi="黑体" w:eastAsia="黑体" w:cs="黑体"/>
          <w:sz w:val="21"/>
          <w:szCs w:val="21"/>
        </w:rPr>
      </w:pPr>
      <w:r>
        <w:rPr>
          <w:rFonts w:ascii="黑体" w:hAnsi="黑体" w:eastAsia="黑体" w:cs="黑体"/>
          <w:b/>
          <w:bCs/>
          <w:spacing w:val="-5"/>
          <w:sz w:val="21"/>
          <w:szCs w:val="21"/>
        </w:rPr>
        <w:t>一、双方的责任</w:t>
      </w:r>
    </w:p>
    <w:p w14:paraId="115691AD">
      <w:pPr>
        <w:pStyle w:val="2"/>
        <w:spacing w:before="53" w:line="219" w:lineRule="auto"/>
        <w:ind w:right="30"/>
        <w:jc w:val="right"/>
        <w:rPr>
          <w:sz w:val="21"/>
          <w:szCs w:val="21"/>
        </w:rPr>
      </w:pPr>
      <w:r>
        <w:rPr>
          <w:spacing w:val="1"/>
          <w:sz w:val="21"/>
          <w:szCs w:val="21"/>
        </w:rPr>
        <w:t>1.1应严格遵守国家关于建设工程的有关法律、法规，相关政策，以及廉政建设的各项</w:t>
      </w:r>
      <w:r>
        <w:rPr>
          <w:sz w:val="21"/>
          <w:szCs w:val="21"/>
        </w:rPr>
        <w:t>规定。</w:t>
      </w:r>
    </w:p>
    <w:p w14:paraId="404B8B36">
      <w:pPr>
        <w:pStyle w:val="2"/>
        <w:spacing w:before="41" w:line="219" w:lineRule="auto"/>
        <w:ind w:left="409"/>
        <w:rPr>
          <w:sz w:val="21"/>
          <w:szCs w:val="21"/>
        </w:rPr>
      </w:pPr>
      <w:r>
        <w:rPr>
          <w:spacing w:val="1"/>
          <w:sz w:val="21"/>
          <w:szCs w:val="21"/>
        </w:rPr>
        <w:t>1.2严格执行建设工程合同文件，自觉按合同办事。</w:t>
      </w:r>
    </w:p>
    <w:p w14:paraId="06BA16F1">
      <w:pPr>
        <w:pStyle w:val="2"/>
        <w:spacing w:before="58" w:line="242" w:lineRule="auto"/>
        <w:ind w:right="94" w:firstLine="409"/>
        <w:rPr>
          <w:sz w:val="21"/>
          <w:szCs w:val="21"/>
        </w:rPr>
      </w:pPr>
      <w:r>
        <w:rPr>
          <w:spacing w:val="2"/>
          <w:sz w:val="21"/>
          <w:szCs w:val="21"/>
        </w:rPr>
        <w:t>1.3各项活动必须坚持公开、公平、公正、诚信、透明的原则(除法律法规另有规</w:t>
      </w:r>
      <w:r>
        <w:rPr>
          <w:spacing w:val="1"/>
          <w:sz w:val="21"/>
          <w:szCs w:val="21"/>
        </w:rPr>
        <w:t>定者外),不</w:t>
      </w:r>
      <w:r>
        <w:rPr>
          <w:sz w:val="21"/>
          <w:szCs w:val="21"/>
        </w:rPr>
        <w:t xml:space="preserve"> 得为获取不正当的利益，损害国家、集体和对方利益，不得违反建设工程管</w:t>
      </w:r>
      <w:r>
        <w:rPr>
          <w:spacing w:val="-1"/>
          <w:sz w:val="21"/>
          <w:szCs w:val="21"/>
        </w:rPr>
        <w:t>理的规章制度。</w:t>
      </w:r>
    </w:p>
    <w:p w14:paraId="724C90B2">
      <w:pPr>
        <w:pStyle w:val="2"/>
        <w:spacing w:before="31" w:line="250" w:lineRule="auto"/>
        <w:ind w:right="94" w:firstLine="409"/>
        <w:rPr>
          <w:sz w:val="21"/>
          <w:szCs w:val="21"/>
        </w:rPr>
      </w:pPr>
      <w:r>
        <w:rPr>
          <w:spacing w:val="-1"/>
          <w:sz w:val="21"/>
          <w:szCs w:val="21"/>
        </w:rPr>
        <w:t>1.4发现对方在业务活动中有违规、违纪、违法行为的，应及时提醒对方，情节严重的，应向</w:t>
      </w:r>
      <w:r>
        <w:rPr>
          <w:spacing w:val="17"/>
          <w:sz w:val="21"/>
          <w:szCs w:val="21"/>
        </w:rPr>
        <w:t xml:space="preserve"> </w:t>
      </w:r>
      <w:r>
        <w:rPr>
          <w:spacing w:val="-2"/>
          <w:sz w:val="21"/>
          <w:szCs w:val="21"/>
        </w:rPr>
        <w:t>其上级主管部门或纪检监察、司法等有关机关举报。</w:t>
      </w:r>
    </w:p>
    <w:p w14:paraId="19F63AFD">
      <w:pPr>
        <w:spacing w:before="47" w:line="221" w:lineRule="auto"/>
        <w:ind w:left="412"/>
        <w:rPr>
          <w:rFonts w:ascii="黑体" w:hAnsi="黑体" w:eastAsia="黑体" w:cs="黑体"/>
          <w:sz w:val="21"/>
          <w:szCs w:val="21"/>
        </w:rPr>
      </w:pPr>
      <w:r>
        <w:rPr>
          <w:rFonts w:ascii="黑体" w:hAnsi="黑体" w:eastAsia="黑体" w:cs="黑体"/>
          <w:b/>
          <w:bCs/>
          <w:spacing w:val="-3"/>
          <w:sz w:val="21"/>
          <w:szCs w:val="21"/>
        </w:rPr>
        <w:t>二、发包人责任</w:t>
      </w:r>
    </w:p>
    <w:p w14:paraId="517A679F">
      <w:pPr>
        <w:pStyle w:val="2"/>
        <w:spacing w:before="35" w:line="300" w:lineRule="auto"/>
        <w:ind w:right="86" w:firstLine="409"/>
        <w:rPr>
          <w:sz w:val="17"/>
          <w:szCs w:val="17"/>
        </w:rPr>
      </w:pPr>
      <w:r>
        <w:rPr>
          <w:spacing w:val="2"/>
          <w:sz w:val="21"/>
          <w:szCs w:val="21"/>
        </w:rPr>
        <w:t>发包人的领导和从事该建设工程项目的工作人员，在工程建设的事前、事中、事后应遵守以</w:t>
      </w:r>
      <w:r>
        <w:rPr>
          <w:spacing w:val="8"/>
          <w:sz w:val="21"/>
          <w:szCs w:val="21"/>
        </w:rPr>
        <w:t xml:space="preserve"> </w:t>
      </w:r>
      <w:r>
        <w:rPr>
          <w:spacing w:val="21"/>
          <w:sz w:val="17"/>
          <w:szCs w:val="17"/>
        </w:rPr>
        <w:t>下规定</w:t>
      </w:r>
      <w:r>
        <w:rPr>
          <w:spacing w:val="-36"/>
          <w:sz w:val="17"/>
          <w:szCs w:val="17"/>
        </w:rPr>
        <w:t xml:space="preserve"> </w:t>
      </w:r>
      <w:r>
        <w:rPr>
          <w:spacing w:val="21"/>
          <w:sz w:val="17"/>
          <w:szCs w:val="17"/>
        </w:rPr>
        <w:t>：</w:t>
      </w:r>
    </w:p>
    <w:p w14:paraId="33DDA24B">
      <w:pPr>
        <w:pStyle w:val="2"/>
        <w:spacing w:before="1" w:line="237" w:lineRule="auto"/>
        <w:ind w:right="31" w:firstLine="409"/>
        <w:rPr>
          <w:sz w:val="21"/>
          <w:szCs w:val="21"/>
        </w:rPr>
      </w:pPr>
      <w:r>
        <w:rPr>
          <w:spacing w:val="1"/>
          <w:sz w:val="21"/>
          <w:szCs w:val="21"/>
        </w:rPr>
        <w:t>2.1不得向承包人和相关单位索要或接受回扣、礼金、有价证券、贵重物品和好处</w:t>
      </w:r>
      <w:r>
        <w:rPr>
          <w:sz w:val="21"/>
          <w:szCs w:val="21"/>
        </w:rPr>
        <w:t xml:space="preserve">费、感谢费 </w:t>
      </w:r>
      <w:r>
        <w:rPr>
          <w:spacing w:val="-11"/>
          <w:sz w:val="21"/>
          <w:szCs w:val="21"/>
        </w:rPr>
        <w:t>等。</w:t>
      </w:r>
    </w:p>
    <w:p w14:paraId="08DFDCC2">
      <w:pPr>
        <w:pStyle w:val="2"/>
        <w:spacing w:before="61" w:line="219" w:lineRule="auto"/>
        <w:ind w:left="409"/>
        <w:rPr>
          <w:sz w:val="21"/>
          <w:szCs w:val="21"/>
        </w:rPr>
      </w:pPr>
      <w:r>
        <w:rPr>
          <w:spacing w:val="1"/>
          <w:sz w:val="21"/>
          <w:szCs w:val="21"/>
        </w:rPr>
        <w:t>2.2不得在承包人和相关单位报销任何应由发包人或个人支付的费用。</w:t>
      </w:r>
    </w:p>
    <w:p w14:paraId="31A600AC">
      <w:pPr>
        <w:pStyle w:val="2"/>
        <w:spacing w:before="50" w:line="237" w:lineRule="auto"/>
        <w:ind w:right="81" w:firstLine="409"/>
        <w:rPr>
          <w:sz w:val="21"/>
          <w:szCs w:val="21"/>
        </w:rPr>
      </w:pPr>
      <w:r>
        <w:rPr>
          <w:sz w:val="21"/>
          <w:szCs w:val="21"/>
        </w:rPr>
        <w:t>2.3不得要求、暗示或接受承包人和相关单位为个人装修住房、婚</w:t>
      </w:r>
      <w:r>
        <w:rPr>
          <w:spacing w:val="-1"/>
          <w:sz w:val="21"/>
          <w:szCs w:val="21"/>
        </w:rPr>
        <w:t>丧嫁娶、配偶子女的工作安</w:t>
      </w:r>
      <w:r>
        <w:rPr>
          <w:sz w:val="21"/>
          <w:szCs w:val="21"/>
        </w:rPr>
        <w:t xml:space="preserve"> </w:t>
      </w:r>
      <w:r>
        <w:rPr>
          <w:spacing w:val="-3"/>
          <w:sz w:val="21"/>
          <w:szCs w:val="21"/>
        </w:rPr>
        <w:t>排以及出国(境)、旅游等提供方便。</w:t>
      </w:r>
    </w:p>
    <w:p w14:paraId="1E0921B1">
      <w:pPr>
        <w:pStyle w:val="2"/>
        <w:spacing w:before="62" w:line="219" w:lineRule="auto"/>
        <w:ind w:left="409"/>
        <w:rPr>
          <w:sz w:val="21"/>
          <w:szCs w:val="21"/>
        </w:rPr>
      </w:pPr>
      <w:r>
        <w:rPr>
          <w:spacing w:val="2"/>
          <w:sz w:val="21"/>
          <w:szCs w:val="21"/>
        </w:rPr>
        <w:t>2.4不得参加有可能影响公正执行公务的</w:t>
      </w:r>
      <w:r>
        <w:rPr>
          <w:spacing w:val="1"/>
          <w:sz w:val="21"/>
          <w:szCs w:val="21"/>
        </w:rPr>
        <w:t>承包人和相关单位的宴请、健身、娱乐等活动。</w:t>
      </w:r>
    </w:p>
    <w:p w14:paraId="3F995D08">
      <w:pPr>
        <w:pStyle w:val="2"/>
        <w:spacing w:before="49" w:line="237" w:lineRule="auto"/>
        <w:ind w:right="81" w:firstLine="409"/>
        <w:rPr>
          <w:sz w:val="21"/>
          <w:szCs w:val="21"/>
        </w:rPr>
      </w:pPr>
      <w:r>
        <w:rPr>
          <w:sz w:val="21"/>
          <w:szCs w:val="21"/>
        </w:rPr>
        <w:t>2.5不得向承包人和相关单位介绍或为配偶、子女、亲属参与同发</w:t>
      </w:r>
      <w:r>
        <w:rPr>
          <w:spacing w:val="-1"/>
          <w:sz w:val="21"/>
          <w:szCs w:val="21"/>
        </w:rPr>
        <w:t>包人工程建设管理合同有关</w:t>
      </w:r>
      <w:r>
        <w:rPr>
          <w:sz w:val="21"/>
          <w:szCs w:val="21"/>
        </w:rPr>
        <w:t xml:space="preserve"> 的业务活动；不得以任何理由要求承包人和相关单位使用某种产品、</w:t>
      </w:r>
      <w:r>
        <w:rPr>
          <w:spacing w:val="-1"/>
          <w:sz w:val="21"/>
          <w:szCs w:val="21"/>
        </w:rPr>
        <w:t>材料和设备。</w:t>
      </w:r>
    </w:p>
    <w:p w14:paraId="0BE6491B">
      <w:pPr>
        <w:spacing w:before="58" w:line="221" w:lineRule="auto"/>
        <w:ind w:left="412"/>
        <w:rPr>
          <w:rFonts w:ascii="黑体" w:hAnsi="黑体" w:eastAsia="黑体" w:cs="黑体"/>
          <w:sz w:val="21"/>
          <w:szCs w:val="21"/>
        </w:rPr>
      </w:pPr>
      <w:r>
        <w:rPr>
          <w:rFonts w:ascii="黑体" w:hAnsi="黑体" w:eastAsia="黑体" w:cs="黑体"/>
          <w:b/>
          <w:bCs/>
          <w:spacing w:val="-3"/>
          <w:sz w:val="21"/>
          <w:szCs w:val="21"/>
        </w:rPr>
        <w:t>三、承包人责任</w:t>
      </w:r>
    </w:p>
    <w:p w14:paraId="37B9FB6A">
      <w:pPr>
        <w:pStyle w:val="2"/>
        <w:spacing w:before="53" w:line="257" w:lineRule="auto"/>
        <w:ind w:right="96" w:firstLine="409"/>
        <w:rPr>
          <w:sz w:val="21"/>
          <w:szCs w:val="21"/>
        </w:rPr>
      </w:pPr>
      <w:r>
        <w:rPr>
          <w:spacing w:val="2"/>
          <w:sz w:val="21"/>
          <w:szCs w:val="21"/>
        </w:rPr>
        <w:t>应与发包人保持正常的业务交往，按照有关法律法规和程序开展业务工作，严格执行工</w:t>
      </w:r>
      <w:r>
        <w:rPr>
          <w:spacing w:val="1"/>
          <w:sz w:val="21"/>
          <w:szCs w:val="21"/>
        </w:rPr>
        <w:t>程建</w:t>
      </w:r>
      <w:r>
        <w:rPr>
          <w:sz w:val="21"/>
          <w:szCs w:val="21"/>
        </w:rPr>
        <w:t xml:space="preserve"> </w:t>
      </w:r>
      <w:r>
        <w:rPr>
          <w:spacing w:val="-1"/>
          <w:sz w:val="21"/>
          <w:szCs w:val="21"/>
        </w:rPr>
        <w:t>设的有关方针、政策，执行工程建设强制性标准，并遵守</w:t>
      </w:r>
      <w:r>
        <w:rPr>
          <w:spacing w:val="-2"/>
          <w:sz w:val="21"/>
          <w:szCs w:val="21"/>
        </w:rPr>
        <w:t>以下规定：</w:t>
      </w:r>
    </w:p>
    <w:p w14:paraId="09F065E2">
      <w:pPr>
        <w:pStyle w:val="2"/>
        <w:spacing w:before="14" w:line="242" w:lineRule="auto"/>
        <w:ind w:right="82" w:firstLine="409"/>
        <w:rPr>
          <w:sz w:val="21"/>
          <w:szCs w:val="21"/>
        </w:rPr>
      </w:pPr>
      <w:r>
        <w:rPr>
          <w:sz w:val="21"/>
          <w:szCs w:val="21"/>
        </w:rPr>
        <w:t>3.1不得以任何理由向发包人及其工作人员索要、接受或赠送</w:t>
      </w:r>
      <w:r>
        <w:rPr>
          <w:spacing w:val="-1"/>
          <w:sz w:val="21"/>
          <w:szCs w:val="21"/>
        </w:rPr>
        <w:t>礼金、有价证券、贵重物品及回</w:t>
      </w:r>
      <w:r>
        <w:rPr>
          <w:sz w:val="21"/>
          <w:szCs w:val="21"/>
        </w:rPr>
        <w:t xml:space="preserve"> </w:t>
      </w:r>
      <w:r>
        <w:rPr>
          <w:spacing w:val="-4"/>
          <w:sz w:val="21"/>
          <w:szCs w:val="21"/>
        </w:rPr>
        <w:t>扣、好处费、感谢费等。</w:t>
      </w:r>
    </w:p>
    <w:p w14:paraId="04E5BE23">
      <w:pPr>
        <w:pStyle w:val="2"/>
        <w:spacing w:before="41" w:line="219" w:lineRule="auto"/>
        <w:ind w:left="409"/>
        <w:rPr>
          <w:sz w:val="21"/>
          <w:szCs w:val="21"/>
        </w:rPr>
      </w:pPr>
      <w:r>
        <w:rPr>
          <w:spacing w:val="2"/>
          <w:sz w:val="21"/>
          <w:szCs w:val="21"/>
        </w:rPr>
        <w:t>3.2不得以任何理由为发包人和相关单位报销应由对方</w:t>
      </w:r>
      <w:r>
        <w:rPr>
          <w:spacing w:val="1"/>
          <w:sz w:val="21"/>
          <w:szCs w:val="21"/>
        </w:rPr>
        <w:t>或个人支付的费用。</w:t>
      </w:r>
    </w:p>
    <w:p w14:paraId="5BA07F43">
      <w:pPr>
        <w:pStyle w:val="2"/>
        <w:spacing w:before="60" w:line="241" w:lineRule="auto"/>
        <w:ind w:right="82" w:firstLine="409"/>
        <w:rPr>
          <w:sz w:val="21"/>
          <w:szCs w:val="21"/>
        </w:rPr>
      </w:pPr>
      <w:r>
        <w:rPr>
          <w:sz w:val="21"/>
          <w:szCs w:val="21"/>
        </w:rPr>
        <w:t>3.3不得接受或暗示为发包人、相关单位或个人装修住房、婚</w:t>
      </w:r>
      <w:r>
        <w:rPr>
          <w:spacing w:val="-1"/>
          <w:sz w:val="21"/>
          <w:szCs w:val="21"/>
        </w:rPr>
        <w:t>丧嫁娶、配偶子女的工作安排以</w:t>
      </w:r>
      <w:r>
        <w:rPr>
          <w:sz w:val="21"/>
          <w:szCs w:val="21"/>
        </w:rPr>
        <w:t xml:space="preserve"> </w:t>
      </w:r>
      <w:r>
        <w:rPr>
          <w:spacing w:val="-3"/>
          <w:sz w:val="21"/>
          <w:szCs w:val="21"/>
        </w:rPr>
        <w:t>及出国(境)、旅游等提供方便。</w:t>
      </w:r>
    </w:p>
    <w:p w14:paraId="7EB71C73">
      <w:pPr>
        <w:pStyle w:val="2"/>
        <w:spacing w:before="33" w:line="250" w:lineRule="auto"/>
        <w:ind w:firstLine="409"/>
        <w:rPr>
          <w:sz w:val="21"/>
          <w:szCs w:val="21"/>
        </w:rPr>
      </w:pPr>
      <w:r>
        <w:rPr>
          <w:spacing w:val="2"/>
          <w:sz w:val="21"/>
          <w:szCs w:val="21"/>
        </w:rPr>
        <w:t>3.4不得以任何理由为发包人、相关单位或个人组织有可能</w:t>
      </w:r>
      <w:r>
        <w:rPr>
          <w:spacing w:val="1"/>
          <w:sz w:val="21"/>
          <w:szCs w:val="21"/>
        </w:rPr>
        <w:t>影响公正执行公务的宴请、健身、</w:t>
      </w:r>
      <w:r>
        <w:rPr>
          <w:sz w:val="21"/>
          <w:szCs w:val="21"/>
        </w:rPr>
        <w:t xml:space="preserve"> </w:t>
      </w:r>
      <w:r>
        <w:rPr>
          <w:spacing w:val="-6"/>
          <w:sz w:val="21"/>
          <w:szCs w:val="21"/>
        </w:rPr>
        <w:t>娱乐等活动。</w:t>
      </w:r>
    </w:p>
    <w:p w14:paraId="7EFE531F">
      <w:pPr>
        <w:spacing w:before="46" w:line="221" w:lineRule="auto"/>
        <w:ind w:left="412"/>
        <w:rPr>
          <w:rFonts w:ascii="黑体" w:hAnsi="黑体" w:eastAsia="黑体" w:cs="黑体"/>
          <w:sz w:val="21"/>
          <w:szCs w:val="21"/>
        </w:rPr>
      </w:pPr>
      <w:r>
        <w:rPr>
          <w:rFonts w:ascii="黑体" w:hAnsi="黑体" w:eastAsia="黑体" w:cs="黑体"/>
          <w:b/>
          <w:bCs/>
          <w:spacing w:val="-3"/>
          <w:sz w:val="21"/>
          <w:szCs w:val="21"/>
        </w:rPr>
        <w:t>四、违约责任</w:t>
      </w:r>
    </w:p>
    <w:p w14:paraId="08A76F07">
      <w:pPr>
        <w:pStyle w:val="2"/>
        <w:spacing w:before="32" w:line="250" w:lineRule="auto"/>
        <w:ind w:firstLine="409"/>
        <w:rPr>
          <w:sz w:val="21"/>
          <w:szCs w:val="21"/>
        </w:rPr>
      </w:pPr>
      <w:r>
        <w:rPr>
          <w:spacing w:val="2"/>
          <w:sz w:val="21"/>
          <w:szCs w:val="21"/>
        </w:rPr>
        <w:t>4.1发包人工作人员有违反本责任书第一、二条责任行为</w:t>
      </w:r>
      <w:r>
        <w:rPr>
          <w:spacing w:val="1"/>
          <w:sz w:val="21"/>
          <w:szCs w:val="21"/>
        </w:rPr>
        <w:t>的，依据有关法律、法规给予处理；</w:t>
      </w:r>
      <w:r>
        <w:rPr>
          <w:sz w:val="21"/>
          <w:szCs w:val="21"/>
        </w:rPr>
        <w:t xml:space="preserve"> 涉嫌犯罪的，移交司法机关追究刑事责任；给承包人单位造成经济损失的</w:t>
      </w:r>
      <w:r>
        <w:rPr>
          <w:spacing w:val="-1"/>
          <w:sz w:val="21"/>
          <w:szCs w:val="21"/>
        </w:rPr>
        <w:t>，应予以赔偿。</w:t>
      </w:r>
    </w:p>
    <w:p w14:paraId="2B801C48">
      <w:pPr>
        <w:pStyle w:val="2"/>
        <w:spacing w:before="51" w:line="237" w:lineRule="auto"/>
        <w:ind w:right="85" w:firstLine="409"/>
        <w:rPr>
          <w:sz w:val="21"/>
          <w:szCs w:val="21"/>
        </w:rPr>
      </w:pPr>
      <w:r>
        <w:rPr>
          <w:sz w:val="21"/>
          <w:szCs w:val="21"/>
        </w:rPr>
        <w:t>4.2承包人工作人员有违反本责任书第一、三条责任行</w:t>
      </w:r>
      <w:r>
        <w:rPr>
          <w:spacing w:val="-1"/>
          <w:sz w:val="21"/>
          <w:szCs w:val="21"/>
        </w:rPr>
        <w:t>为的，依据有关法律法规处理；涉嫌犯</w:t>
      </w:r>
      <w:r>
        <w:rPr>
          <w:sz w:val="21"/>
          <w:szCs w:val="21"/>
        </w:rPr>
        <w:t xml:space="preserve"> 罪的，移交司法机关追究刑事责任；给发包人单位造成经济损失的，</w:t>
      </w:r>
      <w:r>
        <w:rPr>
          <w:spacing w:val="-1"/>
          <w:sz w:val="21"/>
          <w:szCs w:val="21"/>
        </w:rPr>
        <w:t>应予以赔偿。</w:t>
      </w:r>
    </w:p>
    <w:p w14:paraId="680E8DD8">
      <w:pPr>
        <w:pStyle w:val="2"/>
        <w:spacing w:before="60" w:line="243" w:lineRule="auto"/>
        <w:ind w:right="77" w:firstLine="409"/>
        <w:rPr>
          <w:sz w:val="21"/>
          <w:szCs w:val="21"/>
        </w:rPr>
      </w:pPr>
      <w:r>
        <w:rPr>
          <w:sz w:val="21"/>
          <w:szCs w:val="21"/>
        </w:rPr>
        <w:t>4.3本责任书作为建设工程合同的组成部分，与建设工程合同具有同等法</w:t>
      </w:r>
      <w:r>
        <w:rPr>
          <w:spacing w:val="-1"/>
          <w:sz w:val="21"/>
          <w:szCs w:val="21"/>
        </w:rPr>
        <w:t>律效力。经双方签署</w:t>
      </w:r>
      <w:r>
        <w:rPr>
          <w:sz w:val="21"/>
          <w:szCs w:val="21"/>
        </w:rPr>
        <w:t xml:space="preserve"> </w:t>
      </w:r>
      <w:r>
        <w:rPr>
          <w:spacing w:val="-6"/>
          <w:sz w:val="21"/>
          <w:szCs w:val="21"/>
        </w:rPr>
        <w:t>后立即生效。</w:t>
      </w:r>
    </w:p>
    <w:p w14:paraId="24920DE6">
      <w:pPr>
        <w:spacing w:line="243" w:lineRule="auto"/>
        <w:rPr>
          <w:sz w:val="21"/>
          <w:szCs w:val="21"/>
        </w:rPr>
        <w:sectPr>
          <w:headerReference r:id="rId182" w:type="default"/>
          <w:footerReference r:id="rId183" w:type="default"/>
          <w:pgSz w:w="11910" w:h="16840"/>
          <w:pgMar w:top="400" w:right="1464" w:bottom="1024" w:left="1460" w:header="0" w:footer="889" w:gutter="0"/>
          <w:cols w:space="720" w:num="1"/>
        </w:sectPr>
      </w:pPr>
    </w:p>
    <w:p w14:paraId="5B7602C1">
      <w:pPr>
        <w:spacing w:line="255" w:lineRule="auto"/>
        <w:rPr>
          <w:rFonts w:ascii="Arial"/>
          <w:sz w:val="21"/>
        </w:rPr>
      </w:pPr>
    </w:p>
    <w:p w14:paraId="01AAA5AA">
      <w:pPr>
        <w:spacing w:line="255" w:lineRule="auto"/>
        <w:rPr>
          <w:rFonts w:ascii="Arial"/>
          <w:sz w:val="21"/>
        </w:rPr>
      </w:pPr>
    </w:p>
    <w:p w14:paraId="602382C8">
      <w:pPr>
        <w:spacing w:line="256" w:lineRule="auto"/>
        <w:rPr>
          <w:rFonts w:ascii="Arial"/>
          <w:sz w:val="21"/>
        </w:rPr>
      </w:pPr>
    </w:p>
    <w:p w14:paraId="1DBC94EC">
      <w:pPr>
        <w:spacing w:line="256" w:lineRule="auto"/>
        <w:rPr>
          <w:rFonts w:ascii="Arial"/>
          <w:sz w:val="21"/>
        </w:rPr>
      </w:pPr>
    </w:p>
    <w:p w14:paraId="57DE8E87">
      <w:pPr>
        <w:spacing w:line="256" w:lineRule="auto"/>
        <w:rPr>
          <w:rFonts w:ascii="Arial"/>
          <w:sz w:val="21"/>
        </w:rPr>
      </w:pPr>
    </w:p>
    <w:p w14:paraId="59BF3E61">
      <w:pPr>
        <w:pStyle w:val="2"/>
        <w:spacing w:before="68" w:line="219" w:lineRule="auto"/>
        <w:ind w:left="96"/>
        <w:rPr>
          <w:sz w:val="21"/>
          <w:szCs w:val="21"/>
        </w:rPr>
      </w:pPr>
      <w:r>
        <w:rPr>
          <w:b/>
          <w:bCs/>
          <w:spacing w:val="-3"/>
          <w:sz w:val="21"/>
          <w:szCs w:val="21"/>
        </w:rPr>
        <w:t>五、责任书有效期</w:t>
      </w:r>
    </w:p>
    <w:p w14:paraId="0228B97C">
      <w:pPr>
        <w:pStyle w:val="2"/>
        <w:spacing w:before="43" w:line="219" w:lineRule="auto"/>
        <w:ind w:left="93"/>
        <w:rPr>
          <w:sz w:val="21"/>
          <w:szCs w:val="21"/>
        </w:rPr>
      </w:pPr>
      <w:r>
        <w:rPr>
          <w:sz w:val="21"/>
          <w:szCs w:val="21"/>
        </w:rPr>
        <w:t>本责任书的有效期为双方签署之日起至该工程项目竣工验收合格时止。</w:t>
      </w:r>
    </w:p>
    <w:p w14:paraId="11B2C8F3">
      <w:pPr>
        <w:pStyle w:val="2"/>
        <w:spacing w:before="47" w:line="219" w:lineRule="auto"/>
        <w:ind w:left="96"/>
        <w:rPr>
          <w:sz w:val="21"/>
          <w:szCs w:val="21"/>
        </w:rPr>
      </w:pPr>
      <w:r>
        <w:rPr>
          <w:b/>
          <w:bCs/>
          <w:spacing w:val="-4"/>
          <w:sz w:val="21"/>
          <w:szCs w:val="21"/>
        </w:rPr>
        <w:t>六、责任书份数</w:t>
      </w:r>
    </w:p>
    <w:p w14:paraId="63695CA4">
      <w:pPr>
        <w:pStyle w:val="2"/>
        <w:spacing w:before="64" w:line="219" w:lineRule="auto"/>
        <w:ind w:left="93"/>
        <w:rPr>
          <w:sz w:val="21"/>
          <w:szCs w:val="21"/>
        </w:rPr>
      </w:pPr>
      <w:r>
        <w:rPr>
          <w:spacing w:val="-2"/>
          <w:sz w:val="21"/>
          <w:szCs w:val="21"/>
        </w:rPr>
        <w:t>本责任书一式二份，发包人承包人各执一份，具有同等效力。</w:t>
      </w:r>
    </w:p>
    <w:p w14:paraId="7903FBD7">
      <w:pPr>
        <w:spacing w:line="259" w:lineRule="auto"/>
        <w:rPr>
          <w:rFonts w:ascii="Arial"/>
          <w:sz w:val="21"/>
        </w:rPr>
      </w:pPr>
    </w:p>
    <w:p w14:paraId="1434BEE0">
      <w:pPr>
        <w:spacing w:line="259" w:lineRule="auto"/>
        <w:rPr>
          <w:rFonts w:ascii="Arial"/>
          <w:sz w:val="21"/>
        </w:rPr>
      </w:pPr>
    </w:p>
    <w:p w14:paraId="7A116E38">
      <w:pPr>
        <w:spacing w:line="260" w:lineRule="auto"/>
        <w:rPr>
          <w:rFonts w:ascii="Arial"/>
          <w:sz w:val="21"/>
        </w:rPr>
      </w:pPr>
    </w:p>
    <w:p w14:paraId="43DFB7C0">
      <w:pPr>
        <w:pStyle w:val="2"/>
        <w:spacing w:before="68" w:line="230" w:lineRule="auto"/>
        <w:ind w:left="93"/>
        <w:rPr>
          <w:sz w:val="18"/>
          <w:szCs w:val="18"/>
        </w:rPr>
      </w:pPr>
      <w:r>
        <w:rPr>
          <w:spacing w:val="4"/>
          <w:position w:val="-1"/>
          <w:sz w:val="21"/>
          <w:szCs w:val="21"/>
        </w:rPr>
        <w:t>发包人：</w:t>
      </w:r>
      <w:r>
        <w:rPr>
          <w:position w:val="-1"/>
          <w:sz w:val="21"/>
          <w:szCs w:val="21"/>
          <w:u w:val="single" w:color="auto"/>
        </w:rPr>
        <w:t xml:space="preserve">                     </w:t>
      </w:r>
      <w:r>
        <w:rPr>
          <w:spacing w:val="-66"/>
          <w:position w:val="-1"/>
          <w:sz w:val="21"/>
          <w:szCs w:val="21"/>
        </w:rPr>
        <w:t xml:space="preserve"> </w:t>
      </w:r>
      <w:r>
        <w:rPr>
          <w:spacing w:val="4"/>
          <w:sz w:val="20"/>
          <w:szCs w:val="20"/>
        </w:rPr>
        <w:t>(公章)</w:t>
      </w:r>
      <w:r>
        <w:rPr>
          <w:spacing w:val="1"/>
          <w:sz w:val="20"/>
          <w:szCs w:val="20"/>
        </w:rPr>
        <w:t xml:space="preserve">    </w:t>
      </w:r>
      <w:r>
        <w:rPr>
          <w:spacing w:val="4"/>
          <w:sz w:val="20"/>
          <w:szCs w:val="20"/>
        </w:rPr>
        <w:t>承包人：</w:t>
      </w:r>
      <w:r>
        <w:rPr>
          <w:spacing w:val="-68"/>
          <w:sz w:val="20"/>
          <w:szCs w:val="20"/>
        </w:rPr>
        <w:t xml:space="preserve"> </w:t>
      </w:r>
      <w:r>
        <w:rPr>
          <w:spacing w:val="2"/>
          <w:sz w:val="20"/>
          <w:szCs w:val="20"/>
          <w:u w:val="single" w:color="auto"/>
        </w:rPr>
        <w:t xml:space="preserve">                      </w:t>
      </w:r>
      <w:r>
        <w:rPr>
          <w:spacing w:val="4"/>
          <w:sz w:val="20"/>
          <w:szCs w:val="20"/>
        </w:rPr>
        <w:t xml:space="preserve"> </w:t>
      </w:r>
      <w:r>
        <w:rPr>
          <w:spacing w:val="4"/>
          <w:sz w:val="18"/>
          <w:szCs w:val="18"/>
        </w:rPr>
        <w:t>(公章)</w:t>
      </w:r>
    </w:p>
    <w:p w14:paraId="4637F328">
      <w:pPr>
        <w:pStyle w:val="2"/>
        <w:spacing w:before="50" w:line="220" w:lineRule="auto"/>
        <w:ind w:left="93"/>
        <w:rPr>
          <w:sz w:val="20"/>
          <w:szCs w:val="20"/>
        </w:rPr>
      </w:pPr>
      <w:r>
        <w:rPr>
          <w:spacing w:val="1"/>
          <w:sz w:val="20"/>
          <w:szCs w:val="20"/>
        </w:rPr>
        <w:t>法定地址：</w:t>
      </w:r>
      <w:r>
        <w:rPr>
          <w:spacing w:val="1"/>
          <w:sz w:val="20"/>
          <w:szCs w:val="20"/>
          <w:u w:val="single" w:color="auto"/>
        </w:rPr>
        <w:t xml:space="preserve">                    </w:t>
      </w:r>
      <w:r>
        <w:rPr>
          <w:spacing w:val="1"/>
          <w:sz w:val="20"/>
          <w:szCs w:val="20"/>
        </w:rPr>
        <w:t xml:space="preserve">          法定地址：</w:t>
      </w:r>
      <w:r>
        <w:rPr>
          <w:spacing w:val="1"/>
          <w:sz w:val="20"/>
          <w:szCs w:val="20"/>
          <w:u w:val="single" w:color="auto"/>
        </w:rPr>
        <w:t xml:space="preserve">                     </w:t>
      </w:r>
    </w:p>
    <w:p w14:paraId="4C22D078">
      <w:pPr>
        <w:pStyle w:val="2"/>
        <w:spacing w:before="71" w:line="219" w:lineRule="auto"/>
        <w:ind w:left="93"/>
        <w:rPr>
          <w:sz w:val="18"/>
          <w:szCs w:val="18"/>
        </w:rPr>
      </w:pPr>
      <w:r>
        <w:rPr>
          <w:spacing w:val="14"/>
          <w:sz w:val="21"/>
          <w:szCs w:val="21"/>
        </w:rPr>
        <w:t>法定代表人或其</w:t>
      </w:r>
      <w:r>
        <w:rPr>
          <w:sz w:val="21"/>
          <w:szCs w:val="21"/>
        </w:rPr>
        <w:t xml:space="preserve">                         </w:t>
      </w:r>
      <w:r>
        <w:rPr>
          <w:spacing w:val="14"/>
          <w:sz w:val="18"/>
          <w:szCs w:val="18"/>
        </w:rPr>
        <w:t>法定代表人或其</w:t>
      </w:r>
    </w:p>
    <w:p w14:paraId="4C0D5875">
      <w:pPr>
        <w:pStyle w:val="2"/>
        <w:spacing w:before="82" w:line="219" w:lineRule="auto"/>
        <w:ind w:left="93"/>
        <w:rPr>
          <w:sz w:val="18"/>
          <w:szCs w:val="18"/>
        </w:rPr>
      </w:pPr>
      <w:r>
        <w:rPr>
          <w:spacing w:val="2"/>
          <w:position w:val="-1"/>
          <w:sz w:val="23"/>
          <w:szCs w:val="23"/>
        </w:rPr>
        <w:t>委托代理人：</w:t>
      </w:r>
      <w:r>
        <w:rPr>
          <w:spacing w:val="4"/>
          <w:position w:val="-1"/>
          <w:sz w:val="23"/>
          <w:szCs w:val="23"/>
          <w:u w:val="single" w:color="auto"/>
        </w:rPr>
        <w:t xml:space="preserve">               </w:t>
      </w:r>
      <w:r>
        <w:rPr>
          <w:spacing w:val="-80"/>
          <w:position w:val="-1"/>
          <w:sz w:val="23"/>
          <w:szCs w:val="23"/>
        </w:rPr>
        <w:t xml:space="preserve"> </w:t>
      </w:r>
      <w:r>
        <w:rPr>
          <w:spacing w:val="2"/>
          <w:sz w:val="18"/>
          <w:szCs w:val="18"/>
        </w:rPr>
        <w:t>(签字)</w:t>
      </w:r>
      <w:r>
        <w:rPr>
          <w:spacing w:val="12"/>
          <w:sz w:val="18"/>
          <w:szCs w:val="18"/>
        </w:rPr>
        <w:t xml:space="preserve">    </w:t>
      </w:r>
      <w:r>
        <w:rPr>
          <w:spacing w:val="2"/>
          <w:sz w:val="20"/>
          <w:szCs w:val="20"/>
        </w:rPr>
        <w:t>委托代理人：</w:t>
      </w:r>
      <w:r>
        <w:rPr>
          <w:spacing w:val="2"/>
          <w:sz w:val="20"/>
          <w:szCs w:val="20"/>
          <w:u w:val="single" w:color="auto"/>
        </w:rPr>
        <w:t xml:space="preserve">             </w:t>
      </w:r>
      <w:r>
        <w:rPr>
          <w:spacing w:val="1"/>
          <w:sz w:val="20"/>
          <w:szCs w:val="20"/>
          <w:u w:val="single" w:color="auto"/>
        </w:rPr>
        <w:t xml:space="preserve">     </w:t>
      </w:r>
      <w:r>
        <w:rPr>
          <w:spacing w:val="23"/>
          <w:sz w:val="20"/>
          <w:szCs w:val="20"/>
        </w:rPr>
        <w:t xml:space="preserve"> </w:t>
      </w:r>
      <w:r>
        <w:rPr>
          <w:spacing w:val="1"/>
          <w:position w:val="1"/>
          <w:sz w:val="18"/>
          <w:szCs w:val="18"/>
        </w:rPr>
        <w:t>(签字)</w:t>
      </w:r>
    </w:p>
    <w:p w14:paraId="65907EA4">
      <w:pPr>
        <w:pStyle w:val="2"/>
        <w:spacing w:before="67" w:line="221" w:lineRule="auto"/>
        <w:ind w:left="93"/>
        <w:rPr>
          <w:sz w:val="18"/>
          <w:szCs w:val="18"/>
        </w:rPr>
      </w:pPr>
      <w:r>
        <w:rPr>
          <w:spacing w:val="-1"/>
          <w:sz w:val="18"/>
          <w:szCs w:val="18"/>
        </w:rPr>
        <w:t>电话</w:t>
      </w:r>
      <w:r>
        <w:rPr>
          <w:spacing w:val="-23"/>
          <w:sz w:val="18"/>
          <w:szCs w:val="18"/>
        </w:rPr>
        <w:t xml:space="preserve"> </w:t>
      </w:r>
      <w:r>
        <w:rPr>
          <w:spacing w:val="-1"/>
          <w:sz w:val="18"/>
          <w:szCs w:val="18"/>
        </w:rPr>
        <w:t>：</w:t>
      </w:r>
      <w:r>
        <w:rPr>
          <w:spacing w:val="2"/>
          <w:sz w:val="18"/>
          <w:szCs w:val="18"/>
          <w:u w:val="single" w:color="auto"/>
        </w:rPr>
        <w:t xml:space="preserve">                      </w:t>
      </w:r>
      <w:r>
        <w:rPr>
          <w:spacing w:val="1"/>
          <w:sz w:val="18"/>
          <w:szCs w:val="18"/>
          <w:u w:val="single" w:color="auto"/>
        </w:rPr>
        <w:t xml:space="preserve">     </w:t>
      </w:r>
      <w:r>
        <w:rPr>
          <w:spacing w:val="2"/>
          <w:sz w:val="18"/>
          <w:szCs w:val="18"/>
        </w:rPr>
        <w:t xml:space="preserve">           </w:t>
      </w:r>
      <w:r>
        <w:rPr>
          <w:spacing w:val="-1"/>
          <w:sz w:val="18"/>
          <w:szCs w:val="18"/>
        </w:rPr>
        <w:t>电话</w:t>
      </w:r>
      <w:r>
        <w:rPr>
          <w:spacing w:val="-13"/>
          <w:sz w:val="18"/>
          <w:szCs w:val="18"/>
        </w:rPr>
        <w:t xml:space="preserve"> </w:t>
      </w:r>
      <w:r>
        <w:rPr>
          <w:spacing w:val="-1"/>
          <w:sz w:val="18"/>
          <w:szCs w:val="18"/>
        </w:rPr>
        <w:t>：</w:t>
      </w:r>
      <w:r>
        <w:rPr>
          <w:sz w:val="18"/>
          <w:szCs w:val="18"/>
          <w:u w:val="single" w:color="auto"/>
        </w:rPr>
        <w:t xml:space="preserve">                            </w:t>
      </w:r>
    </w:p>
    <w:p w14:paraId="008F59DC">
      <w:pPr>
        <w:pStyle w:val="2"/>
        <w:spacing w:before="111" w:line="219" w:lineRule="auto"/>
        <w:ind w:left="93"/>
        <w:rPr>
          <w:sz w:val="18"/>
          <w:szCs w:val="18"/>
        </w:rPr>
      </w:pPr>
      <w:r>
        <w:rPr>
          <w:sz w:val="18"/>
          <w:szCs w:val="18"/>
        </w:rPr>
        <w:t>传真：</w:t>
      </w:r>
      <w:r>
        <w:rPr>
          <w:spacing w:val="-20"/>
          <w:sz w:val="18"/>
          <w:szCs w:val="18"/>
        </w:rPr>
        <w:t xml:space="preserve"> </w:t>
      </w:r>
      <w:r>
        <w:rPr>
          <w:spacing w:val="1"/>
          <w:sz w:val="18"/>
          <w:szCs w:val="18"/>
          <w:u w:val="single" w:color="auto"/>
        </w:rPr>
        <w:t xml:space="preserve">                           </w:t>
      </w:r>
      <w:r>
        <w:rPr>
          <w:spacing w:val="3"/>
          <w:sz w:val="18"/>
          <w:szCs w:val="18"/>
        </w:rPr>
        <w:t xml:space="preserve">           </w:t>
      </w:r>
      <w:r>
        <w:rPr>
          <w:sz w:val="18"/>
          <w:szCs w:val="18"/>
        </w:rPr>
        <w:t>传真：</w:t>
      </w:r>
      <w:r>
        <w:rPr>
          <w:spacing w:val="-21"/>
          <w:sz w:val="18"/>
          <w:szCs w:val="18"/>
        </w:rPr>
        <w:t xml:space="preserve"> </w:t>
      </w:r>
      <w:r>
        <w:rPr>
          <w:sz w:val="18"/>
          <w:szCs w:val="18"/>
          <w:u w:val="single" w:color="auto"/>
        </w:rPr>
        <w:t xml:space="preserve">                            </w:t>
      </w:r>
    </w:p>
    <w:p w14:paraId="72775649">
      <w:pPr>
        <w:pStyle w:val="2"/>
        <w:spacing w:before="89" w:line="220" w:lineRule="auto"/>
        <w:ind w:left="93"/>
        <w:rPr>
          <w:sz w:val="20"/>
          <w:szCs w:val="20"/>
        </w:rPr>
      </w:pPr>
      <w:r>
        <w:rPr>
          <w:spacing w:val="1"/>
          <w:sz w:val="20"/>
          <w:szCs w:val="20"/>
        </w:rPr>
        <w:t>电子邮箱：</w:t>
      </w:r>
      <w:r>
        <w:rPr>
          <w:spacing w:val="1"/>
          <w:sz w:val="20"/>
          <w:szCs w:val="20"/>
          <w:u w:val="single" w:color="auto"/>
        </w:rPr>
        <w:t xml:space="preserve">                    </w:t>
      </w:r>
      <w:r>
        <w:rPr>
          <w:spacing w:val="1"/>
          <w:sz w:val="20"/>
          <w:szCs w:val="20"/>
        </w:rPr>
        <w:t xml:space="preserve">          电子邮箱：</w:t>
      </w:r>
      <w:r>
        <w:rPr>
          <w:spacing w:val="1"/>
          <w:sz w:val="20"/>
          <w:szCs w:val="20"/>
          <w:u w:val="single" w:color="auto"/>
        </w:rPr>
        <w:t xml:space="preserve">                     </w:t>
      </w:r>
    </w:p>
    <w:p w14:paraId="6E2A7C8A">
      <w:pPr>
        <w:pStyle w:val="2"/>
        <w:spacing w:before="82" w:line="220" w:lineRule="auto"/>
        <w:ind w:left="93"/>
        <w:rPr>
          <w:sz w:val="20"/>
          <w:szCs w:val="20"/>
        </w:rPr>
      </w:pPr>
      <w:r>
        <w:rPr>
          <w:spacing w:val="1"/>
          <w:sz w:val="20"/>
          <w:szCs w:val="20"/>
        </w:rPr>
        <w:t>开户银行：</w:t>
      </w:r>
      <w:r>
        <w:rPr>
          <w:spacing w:val="1"/>
          <w:sz w:val="20"/>
          <w:szCs w:val="20"/>
          <w:u w:val="single" w:color="auto"/>
        </w:rPr>
        <w:t xml:space="preserve">                    </w:t>
      </w:r>
      <w:r>
        <w:rPr>
          <w:spacing w:val="5"/>
          <w:sz w:val="20"/>
          <w:szCs w:val="20"/>
        </w:rPr>
        <w:t xml:space="preserve">          </w:t>
      </w:r>
      <w:r>
        <w:rPr>
          <w:spacing w:val="1"/>
          <w:sz w:val="20"/>
          <w:szCs w:val="20"/>
        </w:rPr>
        <w:t>开户银行</w:t>
      </w:r>
      <w:r>
        <w:rPr>
          <w:sz w:val="20"/>
          <w:szCs w:val="20"/>
        </w:rPr>
        <w:t>：</w:t>
      </w:r>
      <w:r>
        <w:rPr>
          <w:sz w:val="20"/>
          <w:szCs w:val="20"/>
          <w:u w:val="single" w:color="auto"/>
        </w:rPr>
        <w:t xml:space="preserve">                     </w:t>
      </w:r>
    </w:p>
    <w:p w14:paraId="44E0BA71">
      <w:pPr>
        <w:pStyle w:val="2"/>
        <w:spacing w:before="64" w:line="221" w:lineRule="auto"/>
        <w:ind w:left="93"/>
        <w:rPr>
          <w:sz w:val="18"/>
          <w:szCs w:val="18"/>
        </w:rPr>
      </w:pPr>
      <w:r>
        <w:rPr>
          <w:spacing w:val="-16"/>
          <w:sz w:val="23"/>
          <w:szCs w:val="23"/>
        </w:rPr>
        <w:t>账号：</w:t>
      </w:r>
      <w:r>
        <w:rPr>
          <w:sz w:val="23"/>
          <w:szCs w:val="23"/>
          <w:u w:val="single" w:color="auto"/>
        </w:rPr>
        <w:t xml:space="preserve">                     </w:t>
      </w:r>
      <w:r>
        <w:rPr>
          <w:spacing w:val="2"/>
          <w:sz w:val="23"/>
          <w:szCs w:val="23"/>
        </w:rPr>
        <w:t xml:space="preserve">         </w:t>
      </w:r>
      <w:r>
        <w:rPr>
          <w:spacing w:val="-16"/>
          <w:sz w:val="18"/>
          <w:szCs w:val="18"/>
        </w:rPr>
        <w:t>账</w:t>
      </w:r>
      <w:r>
        <w:rPr>
          <w:spacing w:val="-19"/>
          <w:sz w:val="18"/>
          <w:szCs w:val="18"/>
        </w:rPr>
        <w:t xml:space="preserve"> </w:t>
      </w:r>
      <w:r>
        <w:rPr>
          <w:spacing w:val="-16"/>
          <w:sz w:val="18"/>
          <w:szCs w:val="18"/>
        </w:rPr>
        <w:t>号</w:t>
      </w:r>
      <w:r>
        <w:rPr>
          <w:spacing w:val="-34"/>
          <w:sz w:val="18"/>
          <w:szCs w:val="18"/>
        </w:rPr>
        <w:t xml:space="preserve"> </w:t>
      </w:r>
      <w:r>
        <w:rPr>
          <w:spacing w:val="-16"/>
          <w:sz w:val="18"/>
          <w:szCs w:val="18"/>
        </w:rPr>
        <w:t>：</w:t>
      </w:r>
      <w:r>
        <w:rPr>
          <w:sz w:val="18"/>
          <w:szCs w:val="18"/>
          <w:u w:val="single" w:color="auto"/>
        </w:rPr>
        <w:t xml:space="preserve">                           </w:t>
      </w:r>
    </w:p>
    <w:p w14:paraId="4E534C96">
      <w:pPr>
        <w:pStyle w:val="2"/>
        <w:spacing w:before="62" w:line="219" w:lineRule="auto"/>
        <w:ind w:left="93"/>
        <w:rPr>
          <w:sz w:val="18"/>
          <w:szCs w:val="18"/>
        </w:rPr>
      </w:pPr>
      <w:r>
        <w:rPr>
          <w:spacing w:val="-3"/>
          <w:sz w:val="20"/>
          <w:szCs w:val="20"/>
        </w:rPr>
        <w:t>邮政编码：</w:t>
      </w:r>
      <w:r>
        <w:rPr>
          <w:spacing w:val="2"/>
          <w:sz w:val="20"/>
          <w:szCs w:val="20"/>
          <w:u w:val="single" w:color="auto"/>
        </w:rPr>
        <w:t xml:space="preserve">                    </w:t>
      </w:r>
      <w:r>
        <w:rPr>
          <w:spacing w:val="6"/>
          <w:sz w:val="20"/>
          <w:szCs w:val="20"/>
        </w:rPr>
        <w:t xml:space="preserve">          </w:t>
      </w:r>
      <w:r>
        <w:rPr>
          <w:spacing w:val="-3"/>
          <w:sz w:val="18"/>
          <w:szCs w:val="18"/>
        </w:rPr>
        <w:t>邮政编码：</w:t>
      </w:r>
      <w:r>
        <w:rPr>
          <w:spacing w:val="68"/>
          <w:w w:val="101"/>
          <w:sz w:val="18"/>
          <w:szCs w:val="18"/>
        </w:rPr>
        <w:t xml:space="preserve"> </w:t>
      </w:r>
      <w:r>
        <w:rPr>
          <w:sz w:val="18"/>
          <w:szCs w:val="18"/>
          <w:u w:val="single" w:color="auto"/>
        </w:rPr>
        <w:t xml:space="preserve">                       </w:t>
      </w:r>
    </w:p>
    <w:p w14:paraId="4A2A37F8">
      <w:pPr>
        <w:spacing w:line="219" w:lineRule="auto"/>
        <w:rPr>
          <w:sz w:val="18"/>
          <w:szCs w:val="18"/>
        </w:rPr>
        <w:sectPr>
          <w:footerReference r:id="rId184" w:type="default"/>
          <w:pgSz w:w="11910" w:h="16840"/>
          <w:pgMar w:top="400" w:right="1786" w:bottom="1045" w:left="1786" w:header="0" w:footer="883" w:gutter="0"/>
          <w:cols w:space="720" w:num="1"/>
        </w:sectPr>
      </w:pPr>
    </w:p>
    <w:p w14:paraId="4BD444C3">
      <w:pPr>
        <w:spacing w:line="266" w:lineRule="auto"/>
        <w:rPr>
          <w:rFonts w:ascii="Arial"/>
          <w:sz w:val="21"/>
        </w:rPr>
      </w:pPr>
    </w:p>
    <w:p w14:paraId="1D8F3F0F">
      <w:pPr>
        <w:spacing w:line="267" w:lineRule="auto"/>
        <w:rPr>
          <w:rFonts w:ascii="Arial"/>
          <w:sz w:val="21"/>
        </w:rPr>
      </w:pPr>
    </w:p>
    <w:p w14:paraId="38ABD5F5">
      <w:pPr>
        <w:spacing w:line="267" w:lineRule="auto"/>
        <w:rPr>
          <w:rFonts w:ascii="Arial"/>
          <w:sz w:val="21"/>
        </w:rPr>
      </w:pPr>
    </w:p>
    <w:p w14:paraId="6BF3E3CD">
      <w:pPr>
        <w:spacing w:line="267" w:lineRule="auto"/>
        <w:rPr>
          <w:rFonts w:ascii="Arial"/>
          <w:sz w:val="21"/>
        </w:rPr>
      </w:pPr>
    </w:p>
    <w:p w14:paraId="36FF4F35">
      <w:pPr>
        <w:spacing w:line="267" w:lineRule="auto"/>
        <w:rPr>
          <w:rFonts w:ascii="Arial"/>
          <w:sz w:val="21"/>
        </w:rPr>
      </w:pPr>
    </w:p>
    <w:p w14:paraId="5C2E5877">
      <w:pPr>
        <w:spacing w:before="104" w:line="222" w:lineRule="auto"/>
        <w:ind w:left="2654"/>
        <w:rPr>
          <w:rFonts w:ascii="黑体" w:hAnsi="黑体" w:eastAsia="黑体" w:cs="黑体"/>
          <w:sz w:val="32"/>
          <w:szCs w:val="32"/>
        </w:rPr>
      </w:pPr>
      <w:r>
        <w:rPr>
          <w:rFonts w:ascii="黑体" w:hAnsi="黑体" w:eastAsia="黑体" w:cs="黑体"/>
          <w:b/>
          <w:bCs/>
          <w:spacing w:val="-4"/>
          <w:sz w:val="32"/>
          <w:szCs w:val="32"/>
        </w:rPr>
        <w:t>第四章</w:t>
      </w:r>
      <w:r>
        <w:rPr>
          <w:rFonts w:ascii="黑体" w:hAnsi="黑体" w:eastAsia="黑体" w:cs="黑体"/>
          <w:spacing w:val="19"/>
          <w:sz w:val="32"/>
          <w:szCs w:val="32"/>
        </w:rPr>
        <w:t xml:space="preserve">  </w:t>
      </w:r>
      <w:r>
        <w:rPr>
          <w:rFonts w:ascii="黑体" w:hAnsi="黑体" w:eastAsia="黑体" w:cs="黑体"/>
          <w:b/>
          <w:bCs/>
          <w:spacing w:val="-4"/>
          <w:sz w:val="32"/>
          <w:szCs w:val="32"/>
        </w:rPr>
        <w:t>合同条款及格式</w:t>
      </w:r>
    </w:p>
    <w:p w14:paraId="730BECCD">
      <w:pPr>
        <w:spacing w:line="243" w:lineRule="auto"/>
        <w:rPr>
          <w:rFonts w:ascii="Arial"/>
          <w:sz w:val="21"/>
        </w:rPr>
      </w:pPr>
    </w:p>
    <w:p w14:paraId="3808CB7F">
      <w:pPr>
        <w:spacing w:line="243" w:lineRule="auto"/>
        <w:rPr>
          <w:rFonts w:ascii="Arial"/>
          <w:sz w:val="21"/>
        </w:rPr>
      </w:pPr>
    </w:p>
    <w:p w14:paraId="3AA927D9">
      <w:pPr>
        <w:spacing w:line="243" w:lineRule="auto"/>
        <w:rPr>
          <w:rFonts w:ascii="Arial"/>
          <w:sz w:val="21"/>
        </w:rPr>
      </w:pPr>
    </w:p>
    <w:p w14:paraId="387133D9">
      <w:pPr>
        <w:spacing w:line="243" w:lineRule="auto"/>
        <w:rPr>
          <w:rFonts w:ascii="Arial"/>
          <w:sz w:val="21"/>
        </w:rPr>
      </w:pPr>
    </w:p>
    <w:p w14:paraId="70210C5F">
      <w:pPr>
        <w:spacing w:line="243" w:lineRule="auto"/>
        <w:rPr>
          <w:rFonts w:ascii="Arial"/>
          <w:sz w:val="21"/>
        </w:rPr>
      </w:pPr>
    </w:p>
    <w:p w14:paraId="3BC3EF1B">
      <w:pPr>
        <w:spacing w:line="243" w:lineRule="auto"/>
        <w:rPr>
          <w:rFonts w:ascii="Arial"/>
          <w:sz w:val="21"/>
        </w:rPr>
      </w:pPr>
    </w:p>
    <w:p w14:paraId="622D7D67">
      <w:pPr>
        <w:spacing w:line="243" w:lineRule="auto"/>
        <w:rPr>
          <w:rFonts w:ascii="Arial"/>
          <w:sz w:val="21"/>
        </w:rPr>
      </w:pPr>
    </w:p>
    <w:p w14:paraId="6D3436E3">
      <w:pPr>
        <w:spacing w:line="243" w:lineRule="auto"/>
        <w:rPr>
          <w:rFonts w:ascii="Arial"/>
          <w:sz w:val="21"/>
        </w:rPr>
      </w:pPr>
    </w:p>
    <w:p w14:paraId="550CC57F">
      <w:pPr>
        <w:spacing w:line="243" w:lineRule="auto"/>
        <w:rPr>
          <w:rFonts w:ascii="Arial"/>
          <w:sz w:val="21"/>
        </w:rPr>
      </w:pPr>
    </w:p>
    <w:p w14:paraId="625E4E80">
      <w:pPr>
        <w:spacing w:line="244" w:lineRule="auto"/>
        <w:rPr>
          <w:rFonts w:ascii="Arial"/>
          <w:sz w:val="21"/>
        </w:rPr>
      </w:pPr>
    </w:p>
    <w:p w14:paraId="18182E64">
      <w:pPr>
        <w:spacing w:line="244" w:lineRule="auto"/>
        <w:rPr>
          <w:rFonts w:ascii="Arial"/>
          <w:sz w:val="21"/>
        </w:rPr>
      </w:pPr>
    </w:p>
    <w:p w14:paraId="56AEED50">
      <w:pPr>
        <w:spacing w:line="244" w:lineRule="auto"/>
        <w:rPr>
          <w:rFonts w:ascii="Arial"/>
          <w:sz w:val="21"/>
        </w:rPr>
      </w:pPr>
    </w:p>
    <w:p w14:paraId="2331C87B">
      <w:pPr>
        <w:spacing w:line="244" w:lineRule="auto"/>
        <w:rPr>
          <w:rFonts w:ascii="Arial"/>
          <w:sz w:val="21"/>
        </w:rPr>
      </w:pPr>
    </w:p>
    <w:p w14:paraId="780EFAE5">
      <w:pPr>
        <w:spacing w:line="244" w:lineRule="auto"/>
        <w:rPr>
          <w:rFonts w:ascii="Arial"/>
          <w:sz w:val="21"/>
        </w:rPr>
      </w:pPr>
    </w:p>
    <w:p w14:paraId="56D0E2FC">
      <w:pPr>
        <w:pStyle w:val="2"/>
        <w:spacing w:before="68" w:line="290" w:lineRule="auto"/>
        <w:ind w:left="1059" w:right="31" w:hanging="1059"/>
        <w:rPr>
          <w:sz w:val="21"/>
          <w:szCs w:val="21"/>
        </w:rPr>
      </w:pPr>
      <w:r>
        <w:rPr>
          <w:spacing w:val="7"/>
          <w:sz w:val="21"/>
          <w:szCs w:val="21"/>
        </w:rPr>
        <w:t>备注：1.本合同条款及格式采用2017年9月</w:t>
      </w:r>
      <w:r>
        <w:rPr>
          <w:spacing w:val="6"/>
          <w:sz w:val="21"/>
          <w:szCs w:val="21"/>
        </w:rPr>
        <w:t>22日住房城乡建设部、工商总局以建市〔2017〕214</w:t>
      </w:r>
      <w:r>
        <w:rPr>
          <w:sz w:val="21"/>
          <w:szCs w:val="21"/>
        </w:rPr>
        <w:t xml:space="preserve"> 号文发布的《建设工程施工合同(示范文本)》(GF-2017-0201)。</w:t>
      </w:r>
    </w:p>
    <w:p w14:paraId="71E6F94F">
      <w:pPr>
        <w:pStyle w:val="2"/>
        <w:spacing w:before="2" w:line="281" w:lineRule="auto"/>
        <w:ind w:left="948" w:hanging="219"/>
        <w:rPr>
          <w:sz w:val="21"/>
          <w:szCs w:val="21"/>
        </w:rPr>
      </w:pPr>
      <w:r>
        <w:rPr>
          <w:sz w:val="21"/>
          <w:szCs w:val="21"/>
        </w:rPr>
        <w:t>2.</w:t>
      </w:r>
      <w:r>
        <w:rPr>
          <w:spacing w:val="-12"/>
          <w:sz w:val="21"/>
          <w:szCs w:val="21"/>
        </w:rPr>
        <w:t xml:space="preserve"> </w:t>
      </w:r>
      <w:r>
        <w:rPr>
          <w:sz w:val="21"/>
          <w:szCs w:val="21"/>
        </w:rPr>
        <w:t xml:space="preserve">根据《省人民政府办公厅关于印发持续深化一流营商环境建设若干措施的通知》(鄂政 </w:t>
      </w:r>
      <w:r>
        <w:rPr>
          <w:spacing w:val="6"/>
          <w:sz w:val="21"/>
          <w:szCs w:val="21"/>
        </w:rPr>
        <w:t>办发〔2022〕2号)的要求，预留工程质量保证金的，工程质量保证金预留比例不</w:t>
      </w:r>
      <w:r>
        <w:rPr>
          <w:spacing w:val="5"/>
          <w:sz w:val="21"/>
          <w:szCs w:val="21"/>
        </w:rPr>
        <w:t>得高</w:t>
      </w:r>
      <w:r>
        <w:rPr>
          <w:sz w:val="21"/>
          <w:szCs w:val="21"/>
        </w:rPr>
        <w:t xml:space="preserve"> </w:t>
      </w:r>
      <w:r>
        <w:rPr>
          <w:spacing w:val="2"/>
          <w:sz w:val="21"/>
          <w:szCs w:val="21"/>
        </w:rPr>
        <w:t>于工程价款结算总额的1.5%。</w:t>
      </w:r>
    </w:p>
    <w:p w14:paraId="74389F67">
      <w:pPr>
        <w:spacing w:line="281" w:lineRule="auto"/>
        <w:rPr>
          <w:sz w:val="21"/>
          <w:szCs w:val="21"/>
        </w:rPr>
        <w:sectPr>
          <w:footerReference r:id="rId185" w:type="default"/>
          <w:pgSz w:w="11910" w:h="16840"/>
          <w:pgMar w:top="400" w:right="1490" w:bottom="1024" w:left="1460" w:header="0" w:footer="889" w:gutter="0"/>
          <w:cols w:space="720" w:num="1"/>
        </w:sectPr>
      </w:pPr>
    </w:p>
    <w:p w14:paraId="27748C2F">
      <w:pPr>
        <w:spacing w:line="272" w:lineRule="auto"/>
        <w:rPr>
          <w:rFonts w:ascii="Arial"/>
          <w:sz w:val="21"/>
        </w:rPr>
      </w:pPr>
    </w:p>
    <w:p w14:paraId="6DC16233">
      <w:pPr>
        <w:spacing w:line="272" w:lineRule="auto"/>
        <w:rPr>
          <w:rFonts w:ascii="Arial"/>
          <w:sz w:val="21"/>
        </w:rPr>
      </w:pPr>
    </w:p>
    <w:p w14:paraId="594BC8B1">
      <w:pPr>
        <w:spacing w:line="273" w:lineRule="auto"/>
        <w:rPr>
          <w:rFonts w:ascii="Arial"/>
          <w:sz w:val="21"/>
        </w:rPr>
      </w:pPr>
    </w:p>
    <w:p w14:paraId="28988265">
      <w:pPr>
        <w:spacing w:line="273" w:lineRule="auto"/>
        <w:rPr>
          <w:rFonts w:ascii="Arial"/>
          <w:sz w:val="21"/>
        </w:rPr>
      </w:pPr>
    </w:p>
    <w:p w14:paraId="11388813">
      <w:pPr>
        <w:spacing w:line="273" w:lineRule="auto"/>
        <w:rPr>
          <w:rFonts w:ascii="Arial"/>
          <w:sz w:val="21"/>
        </w:rPr>
      </w:pPr>
    </w:p>
    <w:p w14:paraId="2004D02F">
      <w:pPr>
        <w:spacing w:before="94" w:line="222" w:lineRule="auto"/>
        <w:ind w:left="2787"/>
        <w:rPr>
          <w:rFonts w:ascii="黑体" w:hAnsi="黑体" w:eastAsia="黑体" w:cs="黑体"/>
          <w:sz w:val="29"/>
          <w:szCs w:val="29"/>
        </w:rPr>
      </w:pPr>
      <w:r>
        <w:rPr>
          <w:rFonts w:ascii="黑体" w:hAnsi="黑体" w:eastAsia="黑体" w:cs="黑体"/>
          <w:b/>
          <w:bCs/>
          <w:spacing w:val="6"/>
          <w:sz w:val="29"/>
          <w:szCs w:val="29"/>
        </w:rPr>
        <w:t>第一部分合同协议书</w:t>
      </w:r>
    </w:p>
    <w:p w14:paraId="73A63F21">
      <w:pPr>
        <w:spacing w:line="222" w:lineRule="auto"/>
        <w:rPr>
          <w:rFonts w:ascii="黑体" w:hAnsi="黑体" w:eastAsia="黑体" w:cs="黑体"/>
          <w:sz w:val="29"/>
          <w:szCs w:val="29"/>
        </w:rPr>
        <w:sectPr>
          <w:footerReference r:id="rId186" w:type="default"/>
          <w:pgSz w:w="11910" w:h="16840"/>
          <w:pgMar w:top="400" w:right="1786" w:bottom="1024" w:left="1786" w:header="0" w:footer="889" w:gutter="0"/>
          <w:cols w:space="720" w:num="1"/>
        </w:sectPr>
      </w:pPr>
    </w:p>
    <w:p w14:paraId="0F505C48">
      <w:pPr>
        <w:spacing w:line="250" w:lineRule="auto"/>
        <w:rPr>
          <w:rFonts w:ascii="Arial"/>
          <w:sz w:val="21"/>
        </w:rPr>
      </w:pPr>
    </w:p>
    <w:p w14:paraId="4E174730">
      <w:pPr>
        <w:spacing w:line="250" w:lineRule="auto"/>
        <w:rPr>
          <w:rFonts w:ascii="Arial"/>
          <w:sz w:val="21"/>
        </w:rPr>
      </w:pPr>
    </w:p>
    <w:p w14:paraId="228E6DF3">
      <w:pPr>
        <w:spacing w:line="251" w:lineRule="auto"/>
        <w:rPr>
          <w:rFonts w:ascii="Arial"/>
          <w:sz w:val="21"/>
        </w:rPr>
      </w:pPr>
    </w:p>
    <w:p w14:paraId="1179243C">
      <w:pPr>
        <w:spacing w:line="251" w:lineRule="auto"/>
        <w:rPr>
          <w:rFonts w:ascii="Arial"/>
          <w:sz w:val="21"/>
        </w:rPr>
      </w:pPr>
    </w:p>
    <w:p w14:paraId="5CBB0A04">
      <w:pPr>
        <w:spacing w:line="251" w:lineRule="auto"/>
        <w:rPr>
          <w:rFonts w:ascii="Arial"/>
          <w:sz w:val="21"/>
        </w:rPr>
      </w:pPr>
    </w:p>
    <w:p w14:paraId="76E8BE1A">
      <w:pPr>
        <w:spacing w:before="95" w:line="222" w:lineRule="auto"/>
        <w:ind w:left="4034"/>
        <w:rPr>
          <w:rFonts w:ascii="黑体" w:hAnsi="黑体" w:eastAsia="黑体" w:cs="黑体"/>
          <w:sz w:val="29"/>
          <w:szCs w:val="29"/>
        </w:rPr>
      </w:pPr>
      <w:r>
        <w:rPr>
          <w:rFonts w:ascii="黑体" w:hAnsi="黑体" w:eastAsia="黑体" w:cs="黑体"/>
          <w:b/>
          <w:bCs/>
          <w:spacing w:val="-6"/>
          <w:sz w:val="29"/>
          <w:szCs w:val="29"/>
        </w:rPr>
        <w:t>合同协议书</w:t>
      </w:r>
    </w:p>
    <w:p w14:paraId="7891BE5D">
      <w:pPr>
        <w:spacing w:line="413" w:lineRule="auto"/>
        <w:rPr>
          <w:rFonts w:ascii="Arial"/>
          <w:sz w:val="21"/>
        </w:rPr>
      </w:pPr>
    </w:p>
    <w:p w14:paraId="64757668">
      <w:pPr>
        <w:pStyle w:val="2"/>
        <w:spacing w:before="69" w:line="220" w:lineRule="auto"/>
        <w:rPr>
          <w:sz w:val="21"/>
          <w:szCs w:val="21"/>
        </w:rPr>
      </w:pPr>
      <w:r>
        <w:rPr>
          <w:spacing w:val="12"/>
          <w:sz w:val="21"/>
          <w:szCs w:val="21"/>
        </w:rPr>
        <w:t xml:space="preserve">发包人(全称): </w:t>
      </w:r>
      <w:r>
        <w:rPr>
          <w:sz w:val="21"/>
          <w:szCs w:val="21"/>
          <w:u w:val="single" w:color="auto"/>
        </w:rPr>
        <w:t xml:space="preserve">                                     </w:t>
      </w:r>
    </w:p>
    <w:p w14:paraId="67B59FCD">
      <w:pPr>
        <w:pStyle w:val="2"/>
        <w:spacing w:before="169" w:line="219" w:lineRule="auto"/>
        <w:rPr>
          <w:sz w:val="21"/>
          <w:szCs w:val="21"/>
        </w:rPr>
      </w:pPr>
      <w:r>
        <w:rPr>
          <w:spacing w:val="13"/>
          <w:sz w:val="21"/>
          <w:szCs w:val="21"/>
        </w:rPr>
        <w:t>承包人(全称):</w:t>
      </w:r>
      <w:r>
        <w:rPr>
          <w:spacing w:val="-26"/>
          <w:sz w:val="21"/>
          <w:szCs w:val="21"/>
        </w:rPr>
        <w:t xml:space="preserve"> </w:t>
      </w:r>
      <w:r>
        <w:rPr>
          <w:sz w:val="21"/>
          <w:szCs w:val="21"/>
          <w:u w:val="single" w:color="auto"/>
        </w:rPr>
        <w:t xml:space="preserve">                                     </w:t>
      </w:r>
    </w:p>
    <w:p w14:paraId="46ED1C75">
      <w:pPr>
        <w:pStyle w:val="2"/>
        <w:spacing w:before="139" w:line="219" w:lineRule="auto"/>
        <w:rPr>
          <w:sz w:val="18"/>
          <w:szCs w:val="18"/>
        </w:rPr>
      </w:pPr>
      <w:r>
        <w:rPr>
          <w:spacing w:val="26"/>
          <w:sz w:val="18"/>
          <w:szCs w:val="18"/>
        </w:rPr>
        <w:t>根据《中华人民共和国合同法》、《中华人民共和国建筑法》及有关法律规定，遵循平等、自愿、</w:t>
      </w:r>
    </w:p>
    <w:p w14:paraId="516FF5CB">
      <w:pPr>
        <w:pStyle w:val="2"/>
        <w:spacing w:before="137" w:line="219" w:lineRule="auto"/>
        <w:jc w:val="right"/>
        <w:rPr>
          <w:sz w:val="21"/>
          <w:szCs w:val="21"/>
        </w:rPr>
      </w:pPr>
      <w:r>
        <w:rPr>
          <w:spacing w:val="-2"/>
          <w:sz w:val="21"/>
          <w:szCs w:val="21"/>
        </w:rPr>
        <w:t>公平和诚实信用的原则，双方就</w:t>
      </w:r>
      <w:r>
        <w:rPr>
          <w:spacing w:val="-53"/>
          <w:sz w:val="21"/>
          <w:szCs w:val="21"/>
        </w:rPr>
        <w:t xml:space="preserve"> </w:t>
      </w:r>
      <w:r>
        <w:rPr>
          <w:sz w:val="21"/>
          <w:szCs w:val="21"/>
          <w:u w:val="single" w:color="auto"/>
        </w:rPr>
        <w:t xml:space="preserve">                     </w:t>
      </w:r>
      <w:r>
        <w:rPr>
          <w:spacing w:val="-70"/>
          <w:sz w:val="21"/>
          <w:szCs w:val="21"/>
        </w:rPr>
        <w:t xml:space="preserve"> </w:t>
      </w:r>
      <w:r>
        <w:rPr>
          <w:spacing w:val="-2"/>
          <w:sz w:val="21"/>
          <w:szCs w:val="21"/>
        </w:rPr>
        <w:t>工程施工及有关事项协商一致，共同达成</w:t>
      </w:r>
    </w:p>
    <w:p w14:paraId="1C8B181B">
      <w:pPr>
        <w:pStyle w:val="2"/>
        <w:spacing w:before="160" w:line="220" w:lineRule="auto"/>
        <w:rPr>
          <w:sz w:val="18"/>
          <w:szCs w:val="18"/>
        </w:rPr>
      </w:pPr>
      <w:r>
        <w:rPr>
          <w:spacing w:val="19"/>
          <w:sz w:val="18"/>
          <w:szCs w:val="18"/>
        </w:rPr>
        <w:t>如下协议：</w:t>
      </w:r>
    </w:p>
    <w:p w14:paraId="0117BB6F">
      <w:pPr>
        <w:spacing w:before="31" w:line="221" w:lineRule="auto"/>
        <w:ind w:left="3"/>
        <w:rPr>
          <w:rFonts w:ascii="黑体" w:hAnsi="黑体" w:eastAsia="黑体" w:cs="黑体"/>
          <w:sz w:val="21"/>
          <w:szCs w:val="21"/>
        </w:rPr>
      </w:pPr>
      <w:r>
        <w:rPr>
          <w:rFonts w:ascii="黑体" w:hAnsi="黑体" w:eastAsia="黑体" w:cs="黑体"/>
          <w:b/>
          <w:bCs/>
          <w:spacing w:val="-6"/>
          <w:sz w:val="21"/>
          <w:szCs w:val="21"/>
        </w:rPr>
        <w:t>一</w:t>
      </w:r>
      <w:r>
        <w:rPr>
          <w:rFonts w:ascii="黑体" w:hAnsi="黑体" w:eastAsia="黑体" w:cs="黑体"/>
          <w:spacing w:val="-42"/>
          <w:sz w:val="21"/>
          <w:szCs w:val="21"/>
        </w:rPr>
        <w:t xml:space="preserve"> </w:t>
      </w:r>
      <w:r>
        <w:rPr>
          <w:rFonts w:ascii="黑体" w:hAnsi="黑体" w:eastAsia="黑体" w:cs="黑体"/>
          <w:b/>
          <w:bCs/>
          <w:spacing w:val="-6"/>
          <w:sz w:val="21"/>
          <w:szCs w:val="21"/>
        </w:rPr>
        <w:t>、工程概况</w:t>
      </w:r>
    </w:p>
    <w:p w14:paraId="3033E8A4">
      <w:pPr>
        <w:spacing w:line="352" w:lineRule="auto"/>
        <w:rPr>
          <w:rFonts w:ascii="Arial"/>
          <w:sz w:val="21"/>
        </w:rPr>
      </w:pPr>
    </w:p>
    <w:p w14:paraId="5843CAC5">
      <w:pPr>
        <w:pStyle w:val="2"/>
        <w:spacing w:before="58" w:line="220" w:lineRule="auto"/>
        <w:ind w:left="419"/>
        <w:rPr>
          <w:sz w:val="18"/>
          <w:szCs w:val="18"/>
        </w:rPr>
      </w:pPr>
      <w:r>
        <w:rPr>
          <w:spacing w:val="5"/>
          <w:sz w:val="18"/>
          <w:szCs w:val="18"/>
        </w:rPr>
        <w:t>1.工程名称：</w:t>
      </w:r>
      <w:r>
        <w:rPr>
          <w:spacing w:val="24"/>
          <w:sz w:val="18"/>
          <w:szCs w:val="18"/>
        </w:rPr>
        <w:t xml:space="preserve"> </w:t>
      </w:r>
      <w:r>
        <w:rPr>
          <w:spacing w:val="3"/>
          <w:sz w:val="18"/>
          <w:szCs w:val="18"/>
          <w:u w:val="single" w:color="auto"/>
        </w:rPr>
        <w:t xml:space="preserve">                     </w:t>
      </w:r>
      <w:r>
        <w:rPr>
          <w:spacing w:val="2"/>
          <w:sz w:val="18"/>
          <w:szCs w:val="18"/>
          <w:u w:val="single" w:color="auto"/>
        </w:rPr>
        <w:t xml:space="preserve">             </w:t>
      </w:r>
      <w:r>
        <w:rPr>
          <w:spacing w:val="-69"/>
          <w:sz w:val="18"/>
          <w:szCs w:val="18"/>
        </w:rPr>
        <w:t xml:space="preserve"> </w:t>
      </w:r>
      <w:r>
        <w:rPr>
          <w:sz w:val="18"/>
          <w:szCs w:val="18"/>
        </w:rPr>
        <w:drawing>
          <wp:inline distT="0" distB="0" distL="0" distR="0">
            <wp:extent cx="50800" cy="38100"/>
            <wp:effectExtent l="0" t="0" r="0" b="0"/>
            <wp:docPr id="64" name="IM 64"/>
            <wp:cNvGraphicFramePr/>
            <a:graphic xmlns:a="http://schemas.openxmlformats.org/drawingml/2006/main">
              <a:graphicData uri="http://schemas.openxmlformats.org/drawingml/2006/picture">
                <pic:pic xmlns:pic="http://schemas.openxmlformats.org/drawingml/2006/picture">
                  <pic:nvPicPr>
                    <pic:cNvPr id="64" name="IM 64"/>
                    <pic:cNvPicPr/>
                  </pic:nvPicPr>
                  <pic:blipFill>
                    <a:blip r:embed="rId437"/>
                    <a:stretch>
                      <a:fillRect/>
                    </a:stretch>
                  </pic:blipFill>
                  <pic:spPr>
                    <a:xfrm>
                      <a:off x="0" y="0"/>
                      <a:ext cx="50822" cy="38175"/>
                    </a:xfrm>
                    <a:prstGeom prst="rect">
                      <a:avLst/>
                    </a:prstGeom>
                  </pic:spPr>
                </pic:pic>
              </a:graphicData>
            </a:graphic>
          </wp:inline>
        </w:drawing>
      </w:r>
    </w:p>
    <w:p w14:paraId="66608E2C">
      <w:pPr>
        <w:pStyle w:val="2"/>
        <w:spacing w:before="166" w:line="220" w:lineRule="auto"/>
        <w:ind w:left="419"/>
        <w:rPr>
          <w:rFonts w:ascii="Arial" w:hAnsi="Arial" w:eastAsia="Arial" w:cs="Arial"/>
          <w:sz w:val="7"/>
          <w:szCs w:val="7"/>
        </w:rPr>
      </w:pPr>
      <w:r>
        <w:rPr>
          <w:spacing w:val="5"/>
          <w:sz w:val="18"/>
          <w:szCs w:val="18"/>
        </w:rPr>
        <w:t>2.工程地点：</w:t>
      </w:r>
      <w:r>
        <w:rPr>
          <w:spacing w:val="16"/>
          <w:sz w:val="18"/>
          <w:szCs w:val="18"/>
        </w:rPr>
        <w:t xml:space="preserve"> </w:t>
      </w:r>
      <w:r>
        <w:rPr>
          <w:spacing w:val="3"/>
          <w:sz w:val="18"/>
          <w:szCs w:val="18"/>
          <w:u w:val="single" w:color="auto"/>
        </w:rPr>
        <w:t xml:space="preserve">                    </w:t>
      </w:r>
      <w:r>
        <w:rPr>
          <w:spacing w:val="2"/>
          <w:sz w:val="18"/>
          <w:szCs w:val="18"/>
          <w:u w:val="single" w:color="auto"/>
        </w:rPr>
        <w:t xml:space="preserve">              </w:t>
      </w:r>
      <w:r>
        <w:rPr>
          <w:spacing w:val="-69"/>
          <w:sz w:val="18"/>
          <w:szCs w:val="18"/>
        </w:rPr>
        <w:t xml:space="preserve"> </w:t>
      </w:r>
      <w:r>
        <w:rPr>
          <w:rFonts w:ascii="Arial" w:hAnsi="Arial" w:eastAsia="Arial" w:cs="Arial"/>
          <w:spacing w:val="5"/>
          <w:sz w:val="7"/>
          <w:szCs w:val="7"/>
        </w:rPr>
        <w:t>_o</w:t>
      </w:r>
    </w:p>
    <w:sdt>
      <w:sdtPr>
        <w:rPr>
          <w:rFonts w:ascii="宋体" w:hAnsi="宋体" w:eastAsia="宋体" w:cs="宋体"/>
          <w:sz w:val="20"/>
          <w:szCs w:val="20"/>
        </w:rPr>
        <w:id w:val="147479488"/>
        <w:docPartObj>
          <w:docPartGallery w:val="Table of Contents"/>
          <w:docPartUnique/>
        </w:docPartObj>
      </w:sdtPr>
      <w:sdtEndPr>
        <w:rPr>
          <w:rFonts w:ascii="Times New Roman" w:hAnsi="Times New Roman" w:eastAsia="Times New Roman" w:cs="Times New Roman"/>
          <w:sz w:val="18"/>
          <w:szCs w:val="18"/>
        </w:rPr>
      </w:sdtEndPr>
      <w:sdtContent>
        <w:p w14:paraId="289AFE57">
          <w:pPr>
            <w:pStyle w:val="2"/>
            <w:spacing w:before="156" w:line="220" w:lineRule="auto"/>
            <w:ind w:left="419"/>
            <w:rPr>
              <w:rFonts w:ascii="Times New Roman" w:hAnsi="Times New Roman" w:eastAsia="Times New Roman" w:cs="Times New Roman"/>
              <w:sz w:val="7"/>
              <w:szCs w:val="7"/>
            </w:rPr>
          </w:pPr>
          <w:r>
            <w:rPr>
              <w:sz w:val="20"/>
              <w:szCs w:val="20"/>
            </w:rPr>
            <w:t>3.工程立项批准文号：</w:t>
          </w:r>
          <w:r>
            <w:rPr>
              <w:spacing w:val="-42"/>
              <w:sz w:val="20"/>
              <w:szCs w:val="20"/>
            </w:rPr>
            <w:t xml:space="preserve"> </w:t>
          </w:r>
          <w:r>
            <w:rPr>
              <w:spacing w:val="1"/>
              <w:sz w:val="20"/>
              <w:szCs w:val="20"/>
              <w:u w:val="single" w:color="auto"/>
            </w:rPr>
            <w:t xml:space="preserve">                    </w:t>
          </w:r>
          <w:r>
            <w:rPr>
              <w:sz w:val="20"/>
              <w:szCs w:val="20"/>
              <w:u w:val="single" w:color="auto"/>
            </w:rPr>
            <w:t xml:space="preserve">   </w:t>
          </w:r>
          <w:r>
            <w:rPr>
              <w:spacing w:val="-79"/>
              <w:sz w:val="20"/>
              <w:szCs w:val="20"/>
            </w:rPr>
            <w:t xml:space="preserve"> </w:t>
          </w:r>
          <w:r>
            <w:fldChar w:fldCharType="begin"/>
          </w:r>
          <w:r>
            <w:instrText xml:space="preserve"> HYPERLINK \l "bookmark297" </w:instrText>
          </w:r>
          <w:r>
            <w:fldChar w:fldCharType="separate"/>
          </w:r>
          <w:r>
            <w:rPr>
              <w:rFonts w:ascii="Times New Roman" w:hAnsi="Times New Roman" w:eastAsia="Times New Roman" w:cs="Times New Roman"/>
              <w:position w:val="1"/>
              <w:sz w:val="7"/>
              <w:szCs w:val="7"/>
            </w:rPr>
            <w:t>0</w:t>
          </w:r>
          <w:r>
            <w:rPr>
              <w:rFonts w:ascii="Times New Roman" w:hAnsi="Times New Roman" w:eastAsia="Times New Roman" w:cs="Times New Roman"/>
              <w:position w:val="1"/>
              <w:sz w:val="7"/>
              <w:szCs w:val="7"/>
            </w:rPr>
            <w:fldChar w:fldCharType="end"/>
          </w:r>
        </w:p>
        <w:p w14:paraId="60C52FD3">
          <w:pPr>
            <w:pStyle w:val="2"/>
            <w:spacing w:before="151" w:line="219" w:lineRule="auto"/>
            <w:ind w:left="419"/>
            <w:rPr>
              <w:rFonts w:ascii="Arial" w:hAnsi="Arial" w:eastAsia="Arial" w:cs="Arial"/>
              <w:sz w:val="7"/>
              <w:szCs w:val="7"/>
            </w:rPr>
          </w:pPr>
          <w:r>
            <w:rPr>
              <w:spacing w:val="2"/>
              <w:sz w:val="18"/>
              <w:szCs w:val="18"/>
            </w:rPr>
            <w:t>4.</w:t>
          </w:r>
          <w:r>
            <w:rPr>
              <w:spacing w:val="-50"/>
              <w:sz w:val="18"/>
              <w:szCs w:val="18"/>
            </w:rPr>
            <w:t xml:space="preserve"> </w:t>
          </w:r>
          <w:r>
            <w:rPr>
              <w:spacing w:val="2"/>
              <w:sz w:val="18"/>
              <w:szCs w:val="18"/>
            </w:rPr>
            <w:t xml:space="preserve">资金来源： </w:t>
          </w:r>
          <w:r>
            <w:rPr>
              <w:spacing w:val="3"/>
              <w:sz w:val="18"/>
              <w:szCs w:val="18"/>
              <w:u w:val="single" w:color="auto"/>
            </w:rPr>
            <w:t xml:space="preserve">                     </w:t>
          </w:r>
          <w:r>
            <w:rPr>
              <w:spacing w:val="2"/>
              <w:sz w:val="18"/>
              <w:szCs w:val="18"/>
              <w:u w:val="single" w:color="auto"/>
            </w:rPr>
            <w:t xml:space="preserve">             </w:t>
          </w:r>
          <w:r>
            <w:rPr>
              <w:spacing w:val="-69"/>
              <w:sz w:val="18"/>
              <w:szCs w:val="18"/>
            </w:rPr>
            <w:t xml:space="preserve"> </w:t>
          </w:r>
          <w:r>
            <w:rPr>
              <w:rFonts w:ascii="Arial" w:hAnsi="Arial" w:eastAsia="Arial" w:cs="Arial"/>
              <w:spacing w:val="2"/>
              <w:position w:val="1"/>
              <w:sz w:val="7"/>
              <w:szCs w:val="7"/>
            </w:rPr>
            <w:t>_o</w:t>
          </w:r>
        </w:p>
        <w:p w14:paraId="35BFF4A4">
          <w:pPr>
            <w:pStyle w:val="2"/>
            <w:spacing w:before="256" w:line="219" w:lineRule="auto"/>
            <w:ind w:left="419"/>
            <w:rPr>
              <w:rFonts w:ascii="Times New Roman" w:hAnsi="Times New Roman" w:eastAsia="Times New Roman" w:cs="Times New Roman"/>
              <w:sz w:val="18"/>
              <w:szCs w:val="18"/>
            </w:rPr>
          </w:pPr>
          <w:r>
            <w:rPr>
              <w:spacing w:val="-2"/>
              <w:sz w:val="18"/>
              <w:szCs w:val="18"/>
            </w:rPr>
            <w:t>5.工程内容：</w:t>
          </w:r>
          <w:r>
            <w:rPr>
              <w:spacing w:val="75"/>
              <w:sz w:val="18"/>
              <w:szCs w:val="18"/>
            </w:rPr>
            <w:t xml:space="preserve"> </w:t>
          </w:r>
          <w:r>
            <w:rPr>
              <w:spacing w:val="3"/>
              <w:sz w:val="18"/>
              <w:szCs w:val="18"/>
              <w:u w:val="single" w:color="auto"/>
            </w:rPr>
            <w:t xml:space="preserve">                      </w:t>
          </w:r>
          <w:r>
            <w:rPr>
              <w:spacing w:val="2"/>
              <w:sz w:val="18"/>
              <w:szCs w:val="18"/>
              <w:u w:val="single" w:color="auto"/>
            </w:rPr>
            <w:t xml:space="preserve">           </w:t>
          </w:r>
          <w:r>
            <w:rPr>
              <w:spacing w:val="22"/>
              <w:sz w:val="18"/>
              <w:szCs w:val="18"/>
            </w:rPr>
            <w:t xml:space="preserve"> </w:t>
          </w:r>
          <w:r>
            <w:fldChar w:fldCharType="begin"/>
          </w:r>
          <w:r>
            <w:instrText xml:space="preserve"> HYPERLINK \l "bookmark298" </w:instrText>
          </w:r>
          <w:r>
            <w:fldChar w:fldCharType="separate"/>
          </w:r>
          <w:r>
            <w:rPr>
              <w:rFonts w:ascii="Times New Roman" w:hAnsi="Times New Roman" w:eastAsia="Times New Roman" w:cs="Times New Roman"/>
              <w:spacing w:val="-2"/>
              <w:sz w:val="18"/>
              <w:szCs w:val="18"/>
            </w:rPr>
            <w:t>0</w:t>
          </w:r>
          <w:r>
            <w:rPr>
              <w:rFonts w:ascii="Times New Roman" w:hAnsi="Times New Roman" w:eastAsia="Times New Roman" w:cs="Times New Roman"/>
              <w:spacing w:val="-2"/>
              <w:sz w:val="18"/>
              <w:szCs w:val="18"/>
            </w:rPr>
            <w:fldChar w:fldCharType="end"/>
          </w:r>
        </w:p>
      </w:sdtContent>
    </w:sdt>
    <w:p w14:paraId="59BEA3EA">
      <w:pPr>
        <w:pStyle w:val="2"/>
        <w:spacing w:before="56" w:line="219" w:lineRule="auto"/>
        <w:ind w:left="419"/>
        <w:rPr>
          <w:sz w:val="21"/>
          <w:szCs w:val="21"/>
        </w:rPr>
      </w:pPr>
      <w:r>
        <w:rPr>
          <w:spacing w:val="1"/>
          <w:sz w:val="21"/>
          <w:szCs w:val="21"/>
        </w:rPr>
        <w:t>群体工程应附《承包人承揽工程项目一览表》(附件1)。</w:t>
      </w:r>
    </w:p>
    <w:p w14:paraId="696C0052">
      <w:pPr>
        <w:pStyle w:val="2"/>
        <w:spacing w:before="161" w:line="219" w:lineRule="auto"/>
        <w:ind w:left="419"/>
        <w:rPr>
          <w:sz w:val="18"/>
          <w:szCs w:val="18"/>
        </w:rPr>
      </w:pPr>
      <w:r>
        <w:rPr>
          <w:spacing w:val="16"/>
          <w:sz w:val="18"/>
          <w:szCs w:val="18"/>
        </w:rPr>
        <w:t>6.工程承包范围：</w:t>
      </w:r>
    </w:p>
    <w:p w14:paraId="5DF7812B">
      <w:pPr>
        <w:spacing w:line="308" w:lineRule="auto"/>
        <w:rPr>
          <w:rFonts w:ascii="Arial"/>
          <w:sz w:val="21"/>
        </w:rPr>
      </w:pPr>
    </w:p>
    <w:p w14:paraId="56C5BE47">
      <w:pPr>
        <w:spacing w:line="308" w:lineRule="auto"/>
        <w:rPr>
          <w:rFonts w:ascii="Arial"/>
          <w:sz w:val="21"/>
        </w:rPr>
      </w:pPr>
      <w:r>
        <w:drawing>
          <wp:anchor distT="0" distB="0" distL="0" distR="0" simplePos="0" relativeHeight="251680768" behindDoc="0" locked="0" layoutInCell="1" allowOverlap="1">
            <wp:simplePos x="0" y="0"/>
            <wp:positionH relativeFrom="column">
              <wp:posOffset>253365</wp:posOffset>
            </wp:positionH>
            <wp:positionV relativeFrom="paragraph">
              <wp:posOffset>24765</wp:posOffset>
            </wp:positionV>
            <wp:extent cx="4565650" cy="6350"/>
            <wp:effectExtent l="0" t="0" r="0" b="0"/>
            <wp:wrapNone/>
            <wp:docPr id="66" name="IM 66"/>
            <wp:cNvGraphicFramePr/>
            <a:graphic xmlns:a="http://schemas.openxmlformats.org/drawingml/2006/main">
              <a:graphicData uri="http://schemas.openxmlformats.org/drawingml/2006/picture">
                <pic:pic xmlns:pic="http://schemas.openxmlformats.org/drawingml/2006/picture">
                  <pic:nvPicPr>
                    <pic:cNvPr id="66" name="IM 66"/>
                    <pic:cNvPicPr/>
                  </pic:nvPicPr>
                  <pic:blipFill>
                    <a:blip r:embed="rId438"/>
                    <a:stretch>
                      <a:fillRect/>
                    </a:stretch>
                  </pic:blipFill>
                  <pic:spPr>
                    <a:xfrm>
                      <a:off x="0" y="0"/>
                      <a:ext cx="4565691" cy="6350"/>
                    </a:xfrm>
                    <a:prstGeom prst="rect">
                      <a:avLst/>
                    </a:prstGeom>
                  </pic:spPr>
                </pic:pic>
              </a:graphicData>
            </a:graphic>
          </wp:anchor>
        </w:drawing>
      </w:r>
    </w:p>
    <w:p w14:paraId="5C16F4FF">
      <w:pPr>
        <w:spacing w:before="21" w:line="188" w:lineRule="auto"/>
        <w:ind w:left="7610"/>
        <w:rPr>
          <w:rFonts w:ascii="Times New Roman" w:hAnsi="Times New Roman" w:eastAsia="Times New Roman" w:cs="Times New Roman"/>
          <w:sz w:val="7"/>
          <w:szCs w:val="7"/>
        </w:rPr>
      </w:pPr>
      <w:r>
        <w:drawing>
          <wp:anchor distT="0" distB="0" distL="0" distR="0" simplePos="0" relativeHeight="251681792" behindDoc="0" locked="0" layoutInCell="1" allowOverlap="1">
            <wp:simplePos x="0" y="0"/>
            <wp:positionH relativeFrom="column">
              <wp:posOffset>266065</wp:posOffset>
            </wp:positionH>
            <wp:positionV relativeFrom="paragraph">
              <wp:posOffset>52070</wp:posOffset>
            </wp:positionV>
            <wp:extent cx="4540250" cy="6350"/>
            <wp:effectExtent l="0" t="0" r="0" b="0"/>
            <wp:wrapNone/>
            <wp:docPr id="68" name="IM 68"/>
            <wp:cNvGraphicFramePr/>
            <a:graphic xmlns:a="http://schemas.openxmlformats.org/drawingml/2006/main">
              <a:graphicData uri="http://schemas.openxmlformats.org/drawingml/2006/picture">
                <pic:pic xmlns:pic="http://schemas.openxmlformats.org/drawingml/2006/picture">
                  <pic:nvPicPr>
                    <pic:cNvPr id="68" name="IM 68"/>
                    <pic:cNvPicPr/>
                  </pic:nvPicPr>
                  <pic:blipFill>
                    <a:blip r:embed="rId439"/>
                    <a:stretch>
                      <a:fillRect/>
                    </a:stretch>
                  </pic:blipFill>
                  <pic:spPr>
                    <a:xfrm>
                      <a:off x="0" y="0"/>
                      <a:ext cx="4540281" cy="6350"/>
                    </a:xfrm>
                    <a:prstGeom prst="rect">
                      <a:avLst/>
                    </a:prstGeom>
                  </pic:spPr>
                </pic:pic>
              </a:graphicData>
            </a:graphic>
          </wp:anchor>
        </w:drawing>
      </w:r>
      <w:r>
        <w:rPr>
          <w:rFonts w:ascii="Times New Roman" w:hAnsi="Times New Roman" w:eastAsia="Times New Roman" w:cs="Times New Roman"/>
          <w:sz w:val="7"/>
          <w:szCs w:val="7"/>
        </w:rPr>
        <w:t>0</w:t>
      </w:r>
    </w:p>
    <w:p w14:paraId="23E22103">
      <w:pPr>
        <w:spacing w:before="92" w:line="223" w:lineRule="auto"/>
        <w:ind w:left="3"/>
        <w:rPr>
          <w:rFonts w:ascii="黑体" w:hAnsi="黑体" w:eastAsia="黑体" w:cs="黑体"/>
          <w:sz w:val="21"/>
          <w:szCs w:val="21"/>
        </w:rPr>
      </w:pPr>
      <w:r>
        <w:rPr>
          <w:rFonts w:ascii="黑体" w:hAnsi="黑体" w:eastAsia="黑体" w:cs="黑体"/>
          <w:b/>
          <w:bCs/>
          <w:spacing w:val="-4"/>
          <w:sz w:val="21"/>
          <w:szCs w:val="21"/>
        </w:rPr>
        <w:t>二</w:t>
      </w:r>
      <w:r>
        <w:rPr>
          <w:rFonts w:ascii="黑体" w:hAnsi="黑体" w:eastAsia="黑体" w:cs="黑体"/>
          <w:spacing w:val="-46"/>
          <w:sz w:val="21"/>
          <w:szCs w:val="21"/>
        </w:rPr>
        <w:t xml:space="preserve"> </w:t>
      </w:r>
      <w:r>
        <w:rPr>
          <w:rFonts w:ascii="黑体" w:hAnsi="黑体" w:eastAsia="黑体" w:cs="黑体"/>
          <w:b/>
          <w:bCs/>
          <w:spacing w:val="-4"/>
          <w:sz w:val="21"/>
          <w:szCs w:val="21"/>
        </w:rPr>
        <w:t>、合同工期</w:t>
      </w:r>
    </w:p>
    <w:p w14:paraId="5ED8D649">
      <w:pPr>
        <w:spacing w:line="366" w:lineRule="auto"/>
        <w:rPr>
          <w:rFonts w:ascii="Arial"/>
          <w:sz w:val="21"/>
        </w:rPr>
      </w:pPr>
    </w:p>
    <w:p w14:paraId="0E4C97FB">
      <w:pPr>
        <w:pStyle w:val="2"/>
        <w:spacing w:before="59" w:line="219" w:lineRule="auto"/>
        <w:ind w:left="419"/>
        <w:rPr>
          <w:sz w:val="18"/>
          <w:szCs w:val="18"/>
        </w:rPr>
      </w:pPr>
      <w:r>
        <w:rPr>
          <w:spacing w:val="2"/>
          <w:sz w:val="18"/>
          <w:szCs w:val="18"/>
        </w:rPr>
        <w:t>计划开工日期：</w:t>
      </w:r>
      <w:r>
        <w:rPr>
          <w:spacing w:val="-61"/>
          <w:sz w:val="18"/>
          <w:szCs w:val="18"/>
        </w:rPr>
        <w:t xml:space="preserve"> </w:t>
      </w:r>
      <w:r>
        <w:rPr>
          <w:spacing w:val="5"/>
          <w:sz w:val="18"/>
          <w:szCs w:val="18"/>
          <w:u w:val="single" w:color="auto"/>
        </w:rPr>
        <w:t xml:space="preserve">          </w:t>
      </w:r>
      <w:r>
        <w:rPr>
          <w:spacing w:val="-89"/>
          <w:sz w:val="18"/>
          <w:szCs w:val="18"/>
        </w:rPr>
        <w:t xml:space="preserve"> </w:t>
      </w:r>
      <w:r>
        <w:rPr>
          <w:spacing w:val="2"/>
          <w:sz w:val="18"/>
          <w:szCs w:val="18"/>
        </w:rPr>
        <w:t>年</w:t>
      </w:r>
      <w:r>
        <w:rPr>
          <w:spacing w:val="-63"/>
          <w:sz w:val="18"/>
          <w:szCs w:val="18"/>
        </w:rPr>
        <w:t xml:space="preserve"> </w:t>
      </w:r>
      <w:r>
        <w:rPr>
          <w:spacing w:val="8"/>
          <w:sz w:val="18"/>
          <w:szCs w:val="18"/>
          <w:u w:val="single" w:color="auto"/>
        </w:rPr>
        <w:t xml:space="preserve">      </w:t>
      </w:r>
      <w:r>
        <w:rPr>
          <w:spacing w:val="-68"/>
          <w:sz w:val="18"/>
          <w:szCs w:val="18"/>
        </w:rPr>
        <w:t xml:space="preserve"> </w:t>
      </w:r>
      <w:r>
        <w:rPr>
          <w:spacing w:val="2"/>
          <w:sz w:val="18"/>
          <w:szCs w:val="18"/>
        </w:rPr>
        <w:t>月</w:t>
      </w:r>
      <w:r>
        <w:rPr>
          <w:spacing w:val="6"/>
          <w:sz w:val="18"/>
          <w:szCs w:val="18"/>
          <w:u w:val="single" w:color="auto"/>
        </w:rPr>
        <w:t xml:space="preserve">     </w:t>
      </w:r>
      <w:r>
        <w:rPr>
          <w:spacing w:val="-68"/>
          <w:sz w:val="18"/>
          <w:szCs w:val="18"/>
        </w:rPr>
        <w:t xml:space="preserve"> </w:t>
      </w:r>
      <w:r>
        <w:rPr>
          <w:spacing w:val="2"/>
          <w:sz w:val="18"/>
          <w:szCs w:val="18"/>
        </w:rPr>
        <w:t>日</w:t>
      </w:r>
      <w:r>
        <w:rPr>
          <w:spacing w:val="-46"/>
          <w:sz w:val="18"/>
          <w:szCs w:val="18"/>
        </w:rPr>
        <w:t xml:space="preserve"> </w:t>
      </w:r>
      <w:r>
        <w:rPr>
          <w:spacing w:val="2"/>
          <w:sz w:val="18"/>
          <w:szCs w:val="18"/>
        </w:rPr>
        <w:t>。</w:t>
      </w:r>
    </w:p>
    <w:p w14:paraId="099C742B">
      <w:pPr>
        <w:pStyle w:val="2"/>
        <w:spacing w:before="157" w:line="219" w:lineRule="auto"/>
        <w:ind w:left="419"/>
        <w:rPr>
          <w:sz w:val="18"/>
          <w:szCs w:val="18"/>
        </w:rPr>
      </w:pPr>
      <w:r>
        <w:rPr>
          <w:sz w:val="18"/>
          <w:szCs w:val="18"/>
        </w:rPr>
        <w:t>计划竣工日期：</w:t>
      </w:r>
      <w:r>
        <w:rPr>
          <w:spacing w:val="73"/>
          <w:sz w:val="18"/>
          <w:szCs w:val="18"/>
        </w:rPr>
        <w:t xml:space="preserve"> </w:t>
      </w:r>
      <w:r>
        <w:rPr>
          <w:spacing w:val="4"/>
          <w:sz w:val="18"/>
          <w:szCs w:val="18"/>
          <w:u w:val="single" w:color="auto"/>
        </w:rPr>
        <w:t xml:space="preserve">         </w:t>
      </w:r>
      <w:r>
        <w:rPr>
          <w:spacing w:val="-86"/>
          <w:sz w:val="18"/>
          <w:szCs w:val="18"/>
        </w:rPr>
        <w:t xml:space="preserve"> </w:t>
      </w:r>
      <w:r>
        <w:rPr>
          <w:sz w:val="18"/>
          <w:szCs w:val="18"/>
        </w:rPr>
        <w:t>年</w:t>
      </w:r>
      <w:r>
        <w:rPr>
          <w:spacing w:val="-73"/>
          <w:sz w:val="18"/>
          <w:szCs w:val="18"/>
        </w:rPr>
        <w:t xml:space="preserve"> </w:t>
      </w:r>
      <w:r>
        <w:rPr>
          <w:spacing w:val="5"/>
          <w:sz w:val="18"/>
          <w:szCs w:val="18"/>
          <w:u w:val="single" w:color="auto"/>
        </w:rPr>
        <w:t xml:space="preserve">      </w:t>
      </w:r>
      <w:r>
        <w:rPr>
          <w:spacing w:val="-80"/>
          <w:sz w:val="18"/>
          <w:szCs w:val="18"/>
        </w:rPr>
        <w:t xml:space="preserve"> </w:t>
      </w:r>
      <w:r>
        <w:rPr>
          <w:sz w:val="18"/>
          <w:szCs w:val="18"/>
        </w:rPr>
        <w:t>月</w:t>
      </w:r>
      <w:r>
        <w:rPr>
          <w:sz w:val="18"/>
          <w:szCs w:val="18"/>
          <w:u w:val="single" w:color="auto"/>
        </w:rPr>
        <w:t xml:space="preserve">     </w:t>
      </w:r>
      <w:r>
        <w:rPr>
          <w:sz w:val="18"/>
          <w:szCs w:val="18"/>
        </w:rPr>
        <w:t>日</w:t>
      </w:r>
      <w:r>
        <w:rPr>
          <w:spacing w:val="-35"/>
          <w:sz w:val="18"/>
          <w:szCs w:val="18"/>
        </w:rPr>
        <w:t xml:space="preserve"> </w:t>
      </w:r>
      <w:r>
        <w:rPr>
          <w:sz w:val="18"/>
          <w:szCs w:val="18"/>
        </w:rPr>
        <w:t>。</w:t>
      </w:r>
    </w:p>
    <w:p w14:paraId="2EFCBDED">
      <w:pPr>
        <w:pStyle w:val="2"/>
        <w:spacing w:before="127" w:line="219" w:lineRule="auto"/>
        <w:jc w:val="right"/>
        <w:rPr>
          <w:sz w:val="21"/>
          <w:szCs w:val="21"/>
        </w:rPr>
      </w:pPr>
      <w:r>
        <w:rPr>
          <w:spacing w:val="2"/>
          <w:sz w:val="21"/>
          <w:szCs w:val="21"/>
        </w:rPr>
        <w:t>工期总日历天数：</w:t>
      </w:r>
      <w:r>
        <w:rPr>
          <w:spacing w:val="-74"/>
          <w:sz w:val="21"/>
          <w:szCs w:val="21"/>
        </w:rPr>
        <w:t xml:space="preserve"> </w:t>
      </w:r>
      <w:r>
        <w:rPr>
          <w:spacing w:val="2"/>
          <w:sz w:val="21"/>
          <w:szCs w:val="21"/>
          <w:u w:val="single" w:color="auto"/>
        </w:rPr>
        <w:t xml:space="preserve">        </w:t>
      </w:r>
      <w:r>
        <w:rPr>
          <w:spacing w:val="-81"/>
          <w:sz w:val="21"/>
          <w:szCs w:val="21"/>
        </w:rPr>
        <w:t xml:space="preserve"> </w:t>
      </w:r>
      <w:r>
        <w:rPr>
          <w:spacing w:val="2"/>
          <w:sz w:val="21"/>
          <w:szCs w:val="21"/>
        </w:rPr>
        <w:t>天。工期总日历天数与根据前</w:t>
      </w:r>
      <w:r>
        <w:rPr>
          <w:spacing w:val="1"/>
          <w:sz w:val="21"/>
          <w:szCs w:val="21"/>
        </w:rPr>
        <w:t>述计划开竣工日期计算的工期天数</w:t>
      </w:r>
    </w:p>
    <w:p w14:paraId="5399750A">
      <w:pPr>
        <w:pStyle w:val="2"/>
        <w:spacing w:before="150" w:line="219" w:lineRule="auto"/>
        <w:rPr>
          <w:sz w:val="18"/>
          <w:szCs w:val="18"/>
        </w:rPr>
      </w:pPr>
      <w:r>
        <w:rPr>
          <w:spacing w:val="22"/>
          <w:sz w:val="18"/>
          <w:szCs w:val="18"/>
        </w:rPr>
        <w:t>不</w:t>
      </w:r>
      <w:r>
        <w:rPr>
          <w:spacing w:val="-42"/>
          <w:sz w:val="18"/>
          <w:szCs w:val="18"/>
        </w:rPr>
        <w:t xml:space="preserve"> </w:t>
      </w:r>
      <w:r>
        <w:rPr>
          <w:spacing w:val="22"/>
          <w:sz w:val="18"/>
          <w:szCs w:val="18"/>
        </w:rPr>
        <w:t>一</w:t>
      </w:r>
      <w:r>
        <w:rPr>
          <w:spacing w:val="-51"/>
          <w:sz w:val="18"/>
          <w:szCs w:val="18"/>
        </w:rPr>
        <w:t xml:space="preserve"> </w:t>
      </w:r>
      <w:r>
        <w:rPr>
          <w:spacing w:val="22"/>
          <w:sz w:val="18"/>
          <w:szCs w:val="18"/>
        </w:rPr>
        <w:t>致的，以工期总日历天数为准。</w:t>
      </w:r>
    </w:p>
    <w:p w14:paraId="306D8BDE">
      <w:pPr>
        <w:spacing w:before="75" w:line="222" w:lineRule="auto"/>
        <w:ind w:left="102"/>
        <w:rPr>
          <w:rFonts w:ascii="黑体" w:hAnsi="黑体" w:eastAsia="黑体" w:cs="黑体"/>
          <w:sz w:val="21"/>
          <w:szCs w:val="21"/>
        </w:rPr>
      </w:pPr>
      <w:r>
        <w:rPr>
          <w:rFonts w:ascii="黑体" w:hAnsi="黑体" w:eastAsia="黑体" w:cs="黑体"/>
          <w:b/>
          <w:bCs/>
          <w:spacing w:val="-5"/>
          <w:sz w:val="21"/>
          <w:szCs w:val="21"/>
        </w:rPr>
        <w:t>三</w:t>
      </w:r>
      <w:r>
        <w:rPr>
          <w:rFonts w:ascii="黑体" w:hAnsi="黑体" w:eastAsia="黑体" w:cs="黑体"/>
          <w:spacing w:val="-34"/>
          <w:sz w:val="21"/>
          <w:szCs w:val="21"/>
        </w:rPr>
        <w:t xml:space="preserve"> </w:t>
      </w:r>
      <w:r>
        <w:rPr>
          <w:rFonts w:ascii="黑体" w:hAnsi="黑体" w:eastAsia="黑体" w:cs="黑体"/>
          <w:b/>
          <w:bCs/>
          <w:spacing w:val="-5"/>
          <w:sz w:val="21"/>
          <w:szCs w:val="21"/>
        </w:rPr>
        <w:t>、质量标准</w:t>
      </w:r>
    </w:p>
    <w:p w14:paraId="3A24FD06">
      <w:pPr>
        <w:spacing w:line="317" w:lineRule="auto"/>
        <w:rPr>
          <w:rFonts w:ascii="Arial"/>
          <w:sz w:val="21"/>
        </w:rPr>
      </w:pPr>
    </w:p>
    <w:p w14:paraId="0296050D">
      <w:pPr>
        <w:pStyle w:val="2"/>
        <w:spacing w:before="72" w:line="219" w:lineRule="auto"/>
        <w:ind w:left="419"/>
        <w:rPr>
          <w:sz w:val="18"/>
          <w:szCs w:val="18"/>
        </w:rPr>
      </w:pPr>
      <w:r>
        <w:rPr>
          <w:spacing w:val="-5"/>
          <w:sz w:val="22"/>
          <w:szCs w:val="22"/>
        </w:rPr>
        <w:t>工程质量符合</w:t>
      </w:r>
      <w:r>
        <w:rPr>
          <w:spacing w:val="-87"/>
          <w:sz w:val="22"/>
          <w:szCs w:val="22"/>
        </w:rPr>
        <w:t xml:space="preserve"> </w:t>
      </w:r>
      <w:r>
        <w:rPr>
          <w:spacing w:val="3"/>
          <w:sz w:val="22"/>
          <w:szCs w:val="22"/>
          <w:u w:val="single" w:color="auto"/>
        </w:rPr>
        <w:t xml:space="preserve">                           </w:t>
      </w:r>
      <w:r>
        <w:rPr>
          <w:spacing w:val="-81"/>
          <w:sz w:val="22"/>
          <w:szCs w:val="22"/>
        </w:rPr>
        <w:t xml:space="preserve"> </w:t>
      </w:r>
      <w:r>
        <w:rPr>
          <w:spacing w:val="-5"/>
          <w:position w:val="1"/>
          <w:sz w:val="18"/>
          <w:szCs w:val="18"/>
        </w:rPr>
        <w:t>标准。</w:t>
      </w:r>
    </w:p>
    <w:p w14:paraId="0E5B2E92">
      <w:pPr>
        <w:spacing w:before="14" w:line="222" w:lineRule="auto"/>
        <w:ind w:left="122"/>
        <w:rPr>
          <w:rFonts w:ascii="黑体" w:hAnsi="黑体" w:eastAsia="黑体" w:cs="黑体"/>
          <w:sz w:val="21"/>
          <w:szCs w:val="21"/>
        </w:rPr>
      </w:pPr>
      <w:r>
        <w:rPr>
          <w:rFonts w:ascii="黑体" w:hAnsi="黑体" w:eastAsia="黑体" w:cs="黑体"/>
          <w:b/>
          <w:bCs/>
          <w:spacing w:val="-3"/>
          <w:sz w:val="21"/>
          <w:szCs w:val="21"/>
        </w:rPr>
        <w:t>四</w:t>
      </w:r>
      <w:r>
        <w:rPr>
          <w:rFonts w:ascii="黑体" w:hAnsi="黑体" w:eastAsia="黑体" w:cs="黑体"/>
          <w:spacing w:val="-43"/>
          <w:sz w:val="21"/>
          <w:szCs w:val="21"/>
        </w:rPr>
        <w:t xml:space="preserve"> </w:t>
      </w:r>
      <w:r>
        <w:rPr>
          <w:rFonts w:ascii="黑体" w:hAnsi="黑体" w:eastAsia="黑体" w:cs="黑体"/>
          <w:b/>
          <w:bCs/>
          <w:spacing w:val="-3"/>
          <w:sz w:val="21"/>
          <w:szCs w:val="21"/>
        </w:rPr>
        <w:t>、签约合同价与合同价格形式</w:t>
      </w:r>
    </w:p>
    <w:p w14:paraId="1A1B0394">
      <w:pPr>
        <w:spacing w:line="348" w:lineRule="auto"/>
        <w:rPr>
          <w:rFonts w:ascii="Arial"/>
          <w:sz w:val="21"/>
        </w:rPr>
      </w:pPr>
    </w:p>
    <w:p w14:paraId="7A1C0325">
      <w:pPr>
        <w:pStyle w:val="2"/>
        <w:spacing w:before="59" w:line="218" w:lineRule="auto"/>
        <w:ind w:left="419"/>
        <w:rPr>
          <w:sz w:val="18"/>
          <w:szCs w:val="18"/>
        </w:rPr>
      </w:pPr>
      <w:r>
        <w:rPr>
          <w:spacing w:val="14"/>
          <w:sz w:val="18"/>
          <w:szCs w:val="18"/>
        </w:rPr>
        <w:t>1.签约合同价为：</w:t>
      </w:r>
    </w:p>
    <w:p w14:paraId="6ADD270A">
      <w:pPr>
        <w:pStyle w:val="2"/>
        <w:spacing w:before="149" w:line="219" w:lineRule="auto"/>
        <w:ind w:left="659"/>
        <w:rPr>
          <w:sz w:val="21"/>
          <w:szCs w:val="21"/>
        </w:rPr>
      </w:pPr>
      <w:r>
        <w:rPr>
          <w:spacing w:val="7"/>
          <w:sz w:val="21"/>
          <w:szCs w:val="21"/>
        </w:rPr>
        <w:t>人民币(大写</w:t>
      </w:r>
      <w:r>
        <w:rPr>
          <w:spacing w:val="-48"/>
          <w:sz w:val="21"/>
          <w:szCs w:val="21"/>
        </w:rPr>
        <w:t xml:space="preserve"> </w:t>
      </w:r>
      <w:r>
        <w:rPr>
          <w:spacing w:val="7"/>
          <w:sz w:val="21"/>
          <w:szCs w:val="21"/>
        </w:rPr>
        <w:t>)</w:t>
      </w:r>
      <w:r>
        <w:rPr>
          <w:spacing w:val="3"/>
          <w:sz w:val="21"/>
          <w:szCs w:val="21"/>
          <w:u w:val="single" w:color="auto"/>
        </w:rPr>
        <w:t xml:space="preserve">                   </w:t>
      </w:r>
      <w:r>
        <w:rPr>
          <w:spacing w:val="2"/>
          <w:sz w:val="21"/>
          <w:szCs w:val="21"/>
          <w:u w:val="single" w:color="auto"/>
        </w:rPr>
        <w:t xml:space="preserve">   </w:t>
      </w:r>
      <w:r>
        <w:rPr>
          <w:spacing w:val="7"/>
          <w:sz w:val="21"/>
          <w:szCs w:val="21"/>
        </w:rPr>
        <w:t xml:space="preserve"> (¥ </w:t>
      </w:r>
      <w:r>
        <w:rPr>
          <w:spacing w:val="2"/>
          <w:sz w:val="21"/>
          <w:szCs w:val="21"/>
          <w:u w:val="single" w:color="auto"/>
        </w:rPr>
        <w:t xml:space="preserve">           </w:t>
      </w:r>
      <w:r>
        <w:rPr>
          <w:spacing w:val="7"/>
          <w:sz w:val="21"/>
          <w:szCs w:val="21"/>
        </w:rPr>
        <w:t>元);</w:t>
      </w:r>
    </w:p>
    <w:p w14:paraId="7796B56F">
      <w:pPr>
        <w:pStyle w:val="2"/>
        <w:spacing w:before="151" w:line="220" w:lineRule="auto"/>
        <w:ind w:left="639"/>
        <w:rPr>
          <w:sz w:val="18"/>
          <w:szCs w:val="18"/>
        </w:rPr>
      </w:pPr>
      <w:r>
        <w:rPr>
          <w:spacing w:val="10"/>
          <w:sz w:val="18"/>
          <w:szCs w:val="18"/>
        </w:rPr>
        <w:t>其中：</w:t>
      </w:r>
    </w:p>
    <w:p w14:paraId="2BBE0796">
      <w:pPr>
        <w:pStyle w:val="2"/>
        <w:spacing w:before="156" w:line="219" w:lineRule="auto"/>
        <w:ind w:left="539"/>
        <w:rPr>
          <w:sz w:val="21"/>
          <w:szCs w:val="21"/>
        </w:rPr>
      </w:pPr>
      <w:r>
        <w:rPr>
          <w:spacing w:val="5"/>
          <w:sz w:val="21"/>
          <w:szCs w:val="21"/>
        </w:rPr>
        <w:t>(1)安全文明施工费：</w:t>
      </w:r>
    </w:p>
    <w:p w14:paraId="73BCD671">
      <w:pPr>
        <w:pStyle w:val="2"/>
        <w:spacing w:before="130" w:line="219" w:lineRule="auto"/>
        <w:ind w:left="969"/>
        <w:rPr>
          <w:sz w:val="21"/>
          <w:szCs w:val="21"/>
        </w:rPr>
      </w:pPr>
      <w:r>
        <w:rPr>
          <w:spacing w:val="7"/>
          <w:sz w:val="21"/>
          <w:szCs w:val="21"/>
        </w:rPr>
        <w:t>人民币(大写</w:t>
      </w:r>
      <w:r>
        <w:rPr>
          <w:spacing w:val="-57"/>
          <w:sz w:val="21"/>
          <w:szCs w:val="21"/>
        </w:rPr>
        <w:t xml:space="preserve"> </w:t>
      </w:r>
      <w:r>
        <w:rPr>
          <w:spacing w:val="7"/>
          <w:sz w:val="21"/>
          <w:szCs w:val="21"/>
        </w:rPr>
        <w:t>)</w:t>
      </w:r>
      <w:r>
        <w:rPr>
          <w:spacing w:val="4"/>
          <w:sz w:val="21"/>
          <w:szCs w:val="21"/>
          <w:u w:val="single" w:color="auto"/>
        </w:rPr>
        <w:t xml:space="preserve">                   </w:t>
      </w:r>
      <w:r>
        <w:rPr>
          <w:spacing w:val="7"/>
          <w:sz w:val="21"/>
          <w:szCs w:val="21"/>
        </w:rPr>
        <w:t xml:space="preserve"> (¥ </w:t>
      </w:r>
      <w:r>
        <w:rPr>
          <w:spacing w:val="2"/>
          <w:sz w:val="21"/>
          <w:szCs w:val="21"/>
          <w:u w:val="single" w:color="auto"/>
        </w:rPr>
        <w:t xml:space="preserve">           </w:t>
      </w:r>
      <w:r>
        <w:rPr>
          <w:spacing w:val="7"/>
          <w:sz w:val="21"/>
          <w:szCs w:val="21"/>
        </w:rPr>
        <w:t>元);</w:t>
      </w:r>
    </w:p>
    <w:p w14:paraId="5566FD95">
      <w:pPr>
        <w:pStyle w:val="2"/>
        <w:spacing w:before="130" w:line="218" w:lineRule="auto"/>
        <w:ind w:left="539"/>
        <w:rPr>
          <w:sz w:val="21"/>
          <w:szCs w:val="21"/>
        </w:rPr>
      </w:pPr>
      <w:r>
        <w:rPr>
          <w:spacing w:val="3"/>
          <w:sz w:val="21"/>
          <w:szCs w:val="21"/>
        </w:rPr>
        <w:t>(2)材料和工程设备暂估价金额：</w:t>
      </w:r>
    </w:p>
    <w:p w14:paraId="02215009">
      <w:pPr>
        <w:pStyle w:val="2"/>
        <w:spacing w:before="133" w:line="219" w:lineRule="auto"/>
        <w:ind w:left="969"/>
        <w:rPr>
          <w:sz w:val="21"/>
          <w:szCs w:val="21"/>
        </w:rPr>
      </w:pPr>
      <w:r>
        <w:rPr>
          <w:sz w:val="21"/>
          <w:szCs w:val="21"/>
        </w:rPr>
        <w:t>人民币(大写</w:t>
      </w:r>
      <w:r>
        <w:rPr>
          <w:spacing w:val="-48"/>
          <w:sz w:val="21"/>
          <w:szCs w:val="21"/>
        </w:rPr>
        <w:t xml:space="preserve"> </w:t>
      </w:r>
      <w:r>
        <w:rPr>
          <w:sz w:val="21"/>
          <w:szCs w:val="21"/>
        </w:rPr>
        <w:t>)</w:t>
      </w:r>
      <w:r>
        <w:rPr>
          <w:spacing w:val="4"/>
          <w:sz w:val="21"/>
          <w:szCs w:val="21"/>
          <w:u w:val="single" w:color="auto"/>
        </w:rPr>
        <w:t xml:space="preserve">                   </w:t>
      </w:r>
      <w:r>
        <w:rPr>
          <w:sz w:val="21"/>
          <w:szCs w:val="21"/>
        </w:rPr>
        <w:t xml:space="preserve"> (¥</w:t>
      </w:r>
      <w:r>
        <w:rPr>
          <w:spacing w:val="-94"/>
          <w:sz w:val="21"/>
          <w:szCs w:val="21"/>
        </w:rPr>
        <w:t xml:space="preserve"> </w:t>
      </w:r>
      <w:r>
        <w:rPr>
          <w:sz w:val="21"/>
          <w:szCs w:val="21"/>
          <w:u w:val="single" w:color="auto"/>
        </w:rPr>
        <w:t xml:space="preserve">             </w:t>
      </w:r>
      <w:r>
        <w:rPr>
          <w:sz w:val="21"/>
          <w:szCs w:val="21"/>
        </w:rPr>
        <w:t>元);</w:t>
      </w:r>
    </w:p>
    <w:p w14:paraId="781BEE2D">
      <w:pPr>
        <w:pStyle w:val="2"/>
        <w:spacing w:before="139" w:line="218" w:lineRule="auto"/>
        <w:ind w:left="539"/>
        <w:rPr>
          <w:sz w:val="18"/>
          <w:szCs w:val="18"/>
        </w:rPr>
      </w:pPr>
      <w:r>
        <w:rPr>
          <w:spacing w:val="30"/>
          <w:sz w:val="18"/>
          <w:szCs w:val="18"/>
        </w:rPr>
        <w:t>(3)专业工程暂估价金额：</w:t>
      </w:r>
    </w:p>
    <w:p w14:paraId="2AD6B8AD">
      <w:pPr>
        <w:spacing w:line="218" w:lineRule="auto"/>
        <w:rPr>
          <w:sz w:val="18"/>
          <w:szCs w:val="18"/>
        </w:rPr>
        <w:sectPr>
          <w:footerReference r:id="rId187" w:type="default"/>
          <w:pgSz w:w="11910" w:h="16840"/>
          <w:pgMar w:top="400" w:right="1510" w:bottom="1045" w:left="1450" w:header="0" w:footer="883" w:gutter="0"/>
          <w:cols w:space="720" w:num="1"/>
        </w:sectPr>
      </w:pPr>
    </w:p>
    <w:p w14:paraId="34B0F306">
      <w:pPr>
        <w:spacing w:line="272" w:lineRule="auto"/>
        <w:rPr>
          <w:rFonts w:ascii="Arial"/>
          <w:sz w:val="21"/>
        </w:rPr>
      </w:pPr>
    </w:p>
    <w:p w14:paraId="7F43022D">
      <w:pPr>
        <w:spacing w:line="272" w:lineRule="auto"/>
        <w:rPr>
          <w:rFonts w:ascii="Arial"/>
          <w:sz w:val="21"/>
        </w:rPr>
      </w:pPr>
    </w:p>
    <w:p w14:paraId="4CEEC119">
      <w:pPr>
        <w:spacing w:line="272" w:lineRule="auto"/>
        <w:rPr>
          <w:rFonts w:ascii="Arial"/>
          <w:sz w:val="21"/>
        </w:rPr>
      </w:pPr>
    </w:p>
    <w:p w14:paraId="2C551A1B">
      <w:pPr>
        <w:spacing w:line="273" w:lineRule="auto"/>
        <w:rPr>
          <w:rFonts w:ascii="Arial"/>
          <w:sz w:val="21"/>
        </w:rPr>
      </w:pPr>
    </w:p>
    <w:p w14:paraId="4636BBAF">
      <w:pPr>
        <w:spacing w:line="273" w:lineRule="auto"/>
        <w:rPr>
          <w:rFonts w:ascii="Arial"/>
          <w:sz w:val="21"/>
        </w:rPr>
      </w:pPr>
    </w:p>
    <w:p w14:paraId="7BD7B8C8">
      <w:pPr>
        <w:pStyle w:val="2"/>
        <w:spacing w:before="65" w:line="219" w:lineRule="auto"/>
        <w:ind w:left="969"/>
        <w:rPr>
          <w:sz w:val="20"/>
          <w:szCs w:val="20"/>
        </w:rPr>
      </w:pPr>
      <w:r>
        <w:rPr>
          <w:spacing w:val="-26"/>
          <w:sz w:val="20"/>
          <w:szCs w:val="20"/>
        </w:rPr>
        <w:t>人</w:t>
      </w:r>
      <w:r>
        <w:rPr>
          <w:spacing w:val="-15"/>
          <w:sz w:val="20"/>
          <w:szCs w:val="20"/>
        </w:rPr>
        <w:t xml:space="preserve"> </w:t>
      </w:r>
      <w:r>
        <w:rPr>
          <w:spacing w:val="-26"/>
          <w:sz w:val="20"/>
          <w:szCs w:val="20"/>
        </w:rPr>
        <w:t>民</w:t>
      </w:r>
      <w:r>
        <w:rPr>
          <w:spacing w:val="-20"/>
          <w:sz w:val="20"/>
          <w:szCs w:val="20"/>
        </w:rPr>
        <w:t xml:space="preserve"> </w:t>
      </w:r>
      <w:r>
        <w:rPr>
          <w:spacing w:val="-26"/>
          <w:sz w:val="20"/>
          <w:szCs w:val="20"/>
        </w:rPr>
        <w:t>币 (</w:t>
      </w:r>
      <w:r>
        <w:rPr>
          <w:spacing w:val="-39"/>
          <w:sz w:val="20"/>
          <w:szCs w:val="20"/>
        </w:rPr>
        <w:t xml:space="preserve"> </w:t>
      </w:r>
      <w:r>
        <w:rPr>
          <w:spacing w:val="-26"/>
          <w:sz w:val="20"/>
          <w:szCs w:val="20"/>
        </w:rPr>
        <w:t>大</w:t>
      </w:r>
      <w:r>
        <w:rPr>
          <w:spacing w:val="-36"/>
          <w:sz w:val="20"/>
          <w:szCs w:val="20"/>
        </w:rPr>
        <w:t xml:space="preserve"> </w:t>
      </w:r>
      <w:r>
        <w:rPr>
          <w:spacing w:val="-26"/>
          <w:sz w:val="20"/>
          <w:szCs w:val="20"/>
        </w:rPr>
        <w:t>写</w:t>
      </w:r>
      <w:r>
        <w:rPr>
          <w:spacing w:val="-41"/>
          <w:sz w:val="20"/>
          <w:szCs w:val="20"/>
        </w:rPr>
        <w:t xml:space="preserve"> </w:t>
      </w:r>
      <w:r>
        <w:rPr>
          <w:spacing w:val="-26"/>
          <w:sz w:val="20"/>
          <w:szCs w:val="20"/>
        </w:rPr>
        <w:t>)</w:t>
      </w:r>
      <w:r>
        <w:rPr>
          <w:spacing w:val="2"/>
          <w:sz w:val="20"/>
          <w:szCs w:val="20"/>
          <w:u w:val="single" w:color="auto"/>
        </w:rPr>
        <w:t xml:space="preserve">                    </w:t>
      </w:r>
      <w:r>
        <w:rPr>
          <w:spacing w:val="26"/>
          <w:sz w:val="20"/>
          <w:szCs w:val="20"/>
        </w:rPr>
        <w:t xml:space="preserve"> </w:t>
      </w:r>
      <w:r>
        <w:rPr>
          <w:spacing w:val="-26"/>
          <w:sz w:val="20"/>
          <w:szCs w:val="20"/>
        </w:rPr>
        <w:t>(¥</w:t>
      </w:r>
      <w:r>
        <w:rPr>
          <w:spacing w:val="-82"/>
          <w:sz w:val="20"/>
          <w:szCs w:val="20"/>
        </w:rPr>
        <w:t xml:space="preserve"> </w:t>
      </w:r>
      <w:r>
        <w:rPr>
          <w:spacing w:val="5"/>
          <w:sz w:val="20"/>
          <w:szCs w:val="20"/>
          <w:u w:val="single" w:color="auto"/>
        </w:rPr>
        <w:t xml:space="preserve">             </w:t>
      </w:r>
      <w:r>
        <w:rPr>
          <w:b/>
          <w:bCs/>
          <w:spacing w:val="-26"/>
          <w:sz w:val="20"/>
          <w:szCs w:val="20"/>
        </w:rPr>
        <w:t>元);</w:t>
      </w:r>
    </w:p>
    <w:p w14:paraId="7E32A691">
      <w:pPr>
        <w:pStyle w:val="2"/>
        <w:spacing w:before="155" w:line="219" w:lineRule="auto"/>
        <w:ind w:left="539"/>
        <w:rPr>
          <w:sz w:val="20"/>
          <w:szCs w:val="20"/>
        </w:rPr>
      </w:pPr>
      <w:r>
        <w:rPr>
          <w:spacing w:val="15"/>
          <w:sz w:val="20"/>
          <w:szCs w:val="20"/>
        </w:rPr>
        <w:t>(4)暂列金额：</w:t>
      </w:r>
    </w:p>
    <w:p w14:paraId="6C9DD599">
      <w:pPr>
        <w:pStyle w:val="2"/>
        <w:spacing w:before="141" w:line="219" w:lineRule="auto"/>
        <w:ind w:left="969"/>
        <w:rPr>
          <w:sz w:val="20"/>
          <w:szCs w:val="20"/>
        </w:rPr>
      </w:pPr>
      <w:r>
        <w:rPr>
          <w:spacing w:val="-12"/>
          <w:sz w:val="20"/>
          <w:szCs w:val="20"/>
        </w:rPr>
        <w:t>人</w:t>
      </w:r>
      <w:r>
        <w:rPr>
          <w:spacing w:val="-23"/>
          <w:sz w:val="20"/>
          <w:szCs w:val="20"/>
        </w:rPr>
        <w:t xml:space="preserve"> </w:t>
      </w:r>
      <w:r>
        <w:rPr>
          <w:spacing w:val="-12"/>
          <w:sz w:val="20"/>
          <w:szCs w:val="20"/>
        </w:rPr>
        <w:t>民</w:t>
      </w:r>
      <w:r>
        <w:rPr>
          <w:spacing w:val="-20"/>
          <w:sz w:val="20"/>
          <w:szCs w:val="20"/>
        </w:rPr>
        <w:t xml:space="preserve"> </w:t>
      </w:r>
      <w:r>
        <w:rPr>
          <w:spacing w:val="-12"/>
          <w:sz w:val="20"/>
          <w:szCs w:val="20"/>
        </w:rPr>
        <w:t>币 (</w:t>
      </w:r>
      <w:r>
        <w:rPr>
          <w:spacing w:val="-39"/>
          <w:sz w:val="20"/>
          <w:szCs w:val="20"/>
        </w:rPr>
        <w:t xml:space="preserve"> </w:t>
      </w:r>
      <w:r>
        <w:rPr>
          <w:spacing w:val="-12"/>
          <w:sz w:val="20"/>
          <w:szCs w:val="20"/>
        </w:rPr>
        <w:t>大</w:t>
      </w:r>
      <w:r>
        <w:rPr>
          <w:spacing w:val="-37"/>
          <w:sz w:val="20"/>
          <w:szCs w:val="20"/>
        </w:rPr>
        <w:t xml:space="preserve"> </w:t>
      </w:r>
      <w:r>
        <w:rPr>
          <w:spacing w:val="-12"/>
          <w:sz w:val="20"/>
          <w:szCs w:val="20"/>
        </w:rPr>
        <w:t>写</w:t>
      </w:r>
      <w:r>
        <w:rPr>
          <w:spacing w:val="-41"/>
          <w:sz w:val="20"/>
          <w:szCs w:val="20"/>
        </w:rPr>
        <w:t xml:space="preserve"> </w:t>
      </w:r>
      <w:r>
        <w:rPr>
          <w:spacing w:val="-12"/>
          <w:sz w:val="20"/>
          <w:szCs w:val="20"/>
        </w:rPr>
        <w:t>)</w:t>
      </w:r>
      <w:r>
        <w:rPr>
          <w:spacing w:val="-12"/>
          <w:sz w:val="20"/>
          <w:szCs w:val="20"/>
          <w:u w:val="single" w:color="auto"/>
        </w:rPr>
        <w:t xml:space="preserve">                       </w:t>
      </w:r>
      <w:r>
        <w:rPr>
          <w:spacing w:val="-12"/>
          <w:sz w:val="20"/>
          <w:szCs w:val="20"/>
        </w:rPr>
        <w:t xml:space="preserve"> (¥</w:t>
      </w:r>
      <w:r>
        <w:rPr>
          <w:spacing w:val="-77"/>
          <w:sz w:val="20"/>
          <w:szCs w:val="20"/>
        </w:rPr>
        <w:t xml:space="preserve"> </w:t>
      </w:r>
      <w:r>
        <w:rPr>
          <w:spacing w:val="6"/>
          <w:sz w:val="20"/>
          <w:szCs w:val="20"/>
          <w:u w:val="single" w:color="auto"/>
        </w:rPr>
        <w:t xml:space="preserve">            </w:t>
      </w:r>
      <w:r>
        <w:rPr>
          <w:spacing w:val="-12"/>
          <w:sz w:val="20"/>
          <w:szCs w:val="20"/>
        </w:rPr>
        <w:t>元)。</w:t>
      </w:r>
    </w:p>
    <w:p w14:paraId="370AFD0C">
      <w:pPr>
        <w:pStyle w:val="2"/>
        <w:spacing w:before="122" w:line="218" w:lineRule="auto"/>
        <w:ind w:left="429"/>
        <w:rPr>
          <w:sz w:val="20"/>
          <w:szCs w:val="20"/>
        </w:rPr>
      </w:pPr>
      <w:r>
        <w:rPr>
          <w:spacing w:val="-1"/>
          <w:sz w:val="20"/>
          <w:szCs w:val="20"/>
        </w:rPr>
        <w:t>2.合同价格形式：</w:t>
      </w:r>
      <w:r>
        <w:rPr>
          <w:sz w:val="20"/>
          <w:szCs w:val="20"/>
          <w:u w:val="single" w:color="auto"/>
        </w:rPr>
        <w:t xml:space="preserve">                                </w:t>
      </w:r>
    </w:p>
    <w:p w14:paraId="19BA9330">
      <w:pPr>
        <w:spacing w:before="61" w:line="222" w:lineRule="auto"/>
        <w:ind w:left="2"/>
        <w:rPr>
          <w:rFonts w:ascii="黑体" w:hAnsi="黑体" w:eastAsia="黑体" w:cs="黑体"/>
          <w:sz w:val="20"/>
          <w:szCs w:val="20"/>
        </w:rPr>
      </w:pPr>
      <w:r>
        <w:rPr>
          <w:rFonts w:ascii="黑体" w:hAnsi="黑体" w:eastAsia="黑体" w:cs="黑体"/>
          <w:b/>
          <w:bCs/>
          <w:spacing w:val="2"/>
          <w:sz w:val="20"/>
          <w:szCs w:val="20"/>
        </w:rPr>
        <w:t>五</w:t>
      </w:r>
      <w:r>
        <w:rPr>
          <w:rFonts w:ascii="黑体" w:hAnsi="黑体" w:eastAsia="黑体" w:cs="黑体"/>
          <w:spacing w:val="-34"/>
          <w:sz w:val="20"/>
          <w:szCs w:val="20"/>
        </w:rPr>
        <w:t xml:space="preserve"> </w:t>
      </w:r>
      <w:r>
        <w:rPr>
          <w:rFonts w:ascii="黑体" w:hAnsi="黑体" w:eastAsia="黑体" w:cs="黑体"/>
          <w:b/>
          <w:bCs/>
          <w:spacing w:val="2"/>
          <w:sz w:val="20"/>
          <w:szCs w:val="20"/>
        </w:rPr>
        <w:t>、项目经理</w:t>
      </w:r>
    </w:p>
    <w:p w14:paraId="0D355FB8">
      <w:pPr>
        <w:spacing w:line="326" w:lineRule="auto"/>
        <w:rPr>
          <w:rFonts w:ascii="Arial"/>
          <w:sz w:val="21"/>
        </w:rPr>
      </w:pPr>
    </w:p>
    <w:p w14:paraId="5988BC4F">
      <w:pPr>
        <w:pStyle w:val="2"/>
        <w:spacing w:before="65" w:line="219" w:lineRule="auto"/>
        <w:ind w:left="429"/>
        <w:rPr>
          <w:sz w:val="20"/>
          <w:szCs w:val="20"/>
        </w:rPr>
      </w:pPr>
      <w:r>
        <w:rPr>
          <w:spacing w:val="-2"/>
          <w:sz w:val="20"/>
          <w:szCs w:val="20"/>
        </w:rPr>
        <w:t xml:space="preserve">承包人项目经理： </w:t>
      </w:r>
      <w:r>
        <w:rPr>
          <w:sz w:val="20"/>
          <w:szCs w:val="20"/>
          <w:u w:val="single" w:color="auto"/>
        </w:rPr>
        <w:t xml:space="preserve">                               </w:t>
      </w:r>
    </w:p>
    <w:p w14:paraId="4088139D">
      <w:pPr>
        <w:spacing w:before="38" w:line="222" w:lineRule="auto"/>
        <w:ind w:left="2"/>
        <w:rPr>
          <w:rFonts w:ascii="黑体" w:hAnsi="黑体" w:eastAsia="黑体" w:cs="黑体"/>
          <w:sz w:val="20"/>
          <w:szCs w:val="20"/>
        </w:rPr>
      </w:pPr>
      <w:r>
        <w:rPr>
          <w:rFonts w:ascii="黑体" w:hAnsi="黑体" w:eastAsia="黑体" w:cs="黑体"/>
          <w:b/>
          <w:bCs/>
          <w:spacing w:val="6"/>
          <w:sz w:val="20"/>
          <w:szCs w:val="20"/>
        </w:rPr>
        <w:t>六</w:t>
      </w:r>
      <w:r>
        <w:rPr>
          <w:rFonts w:ascii="黑体" w:hAnsi="黑体" w:eastAsia="黑体" w:cs="黑体"/>
          <w:spacing w:val="-34"/>
          <w:sz w:val="20"/>
          <w:szCs w:val="20"/>
        </w:rPr>
        <w:t xml:space="preserve"> </w:t>
      </w:r>
      <w:r>
        <w:rPr>
          <w:rFonts w:ascii="黑体" w:hAnsi="黑体" w:eastAsia="黑体" w:cs="黑体"/>
          <w:b/>
          <w:bCs/>
          <w:spacing w:val="6"/>
          <w:sz w:val="20"/>
          <w:szCs w:val="20"/>
        </w:rPr>
        <w:t>、合同文件构成</w:t>
      </w:r>
    </w:p>
    <w:p w14:paraId="6E5EFF17">
      <w:pPr>
        <w:spacing w:line="335" w:lineRule="auto"/>
        <w:rPr>
          <w:rFonts w:ascii="Arial"/>
          <w:sz w:val="21"/>
        </w:rPr>
      </w:pPr>
    </w:p>
    <w:p w14:paraId="0961F8A9">
      <w:pPr>
        <w:pStyle w:val="2"/>
        <w:spacing w:before="66" w:line="219" w:lineRule="auto"/>
        <w:ind w:left="429"/>
        <w:rPr>
          <w:sz w:val="20"/>
          <w:szCs w:val="20"/>
        </w:rPr>
      </w:pPr>
      <w:r>
        <w:rPr>
          <w:spacing w:val="7"/>
          <w:sz w:val="20"/>
          <w:szCs w:val="20"/>
        </w:rPr>
        <w:t>本协议书与下列文件一起构成合同文件：</w:t>
      </w:r>
    </w:p>
    <w:p w14:paraId="3AED3B1D">
      <w:pPr>
        <w:pStyle w:val="2"/>
        <w:spacing w:before="143" w:line="219" w:lineRule="auto"/>
        <w:ind w:left="539"/>
        <w:rPr>
          <w:sz w:val="20"/>
          <w:szCs w:val="20"/>
        </w:rPr>
      </w:pPr>
      <w:r>
        <w:rPr>
          <w:spacing w:val="23"/>
          <w:sz w:val="20"/>
          <w:szCs w:val="20"/>
        </w:rPr>
        <w:t>(1)中标通知书(如果有);</w:t>
      </w:r>
    </w:p>
    <w:p w14:paraId="647708C3">
      <w:pPr>
        <w:pStyle w:val="2"/>
        <w:spacing w:before="132" w:line="219" w:lineRule="auto"/>
        <w:ind w:left="539"/>
        <w:rPr>
          <w:sz w:val="20"/>
          <w:szCs w:val="20"/>
        </w:rPr>
      </w:pPr>
      <w:r>
        <w:rPr>
          <w:spacing w:val="21"/>
          <w:sz w:val="20"/>
          <w:szCs w:val="20"/>
        </w:rPr>
        <w:t>(2)投标函及其附录(如果有);</w:t>
      </w:r>
    </w:p>
    <w:p w14:paraId="69AF47CE">
      <w:pPr>
        <w:pStyle w:val="2"/>
        <w:spacing w:before="163" w:line="219" w:lineRule="auto"/>
        <w:ind w:left="539"/>
        <w:rPr>
          <w:sz w:val="20"/>
          <w:szCs w:val="20"/>
        </w:rPr>
      </w:pPr>
      <w:r>
        <w:rPr>
          <w:spacing w:val="12"/>
          <w:sz w:val="20"/>
          <w:szCs w:val="20"/>
        </w:rPr>
        <w:t>(3)专用合同条款及其附件；</w:t>
      </w:r>
    </w:p>
    <w:p w14:paraId="1A235AC0">
      <w:pPr>
        <w:pStyle w:val="2"/>
        <w:spacing w:before="124" w:line="219" w:lineRule="auto"/>
        <w:ind w:left="539"/>
        <w:rPr>
          <w:sz w:val="20"/>
          <w:szCs w:val="20"/>
        </w:rPr>
      </w:pPr>
      <w:r>
        <w:rPr>
          <w:spacing w:val="13"/>
          <w:sz w:val="20"/>
          <w:szCs w:val="20"/>
        </w:rPr>
        <w:t>(4)通用合同条款；</w:t>
      </w:r>
    </w:p>
    <w:p w14:paraId="3485C3D9">
      <w:pPr>
        <w:pStyle w:val="2"/>
        <w:spacing w:before="153" w:line="219" w:lineRule="auto"/>
        <w:ind w:left="539"/>
        <w:rPr>
          <w:sz w:val="20"/>
          <w:szCs w:val="20"/>
        </w:rPr>
      </w:pPr>
      <w:r>
        <w:rPr>
          <w:spacing w:val="13"/>
          <w:sz w:val="20"/>
          <w:szCs w:val="20"/>
        </w:rPr>
        <w:t>(5)技术标准和要求；</w:t>
      </w:r>
    </w:p>
    <w:p w14:paraId="61CE24B4">
      <w:pPr>
        <w:pStyle w:val="2"/>
        <w:spacing w:before="154" w:line="221" w:lineRule="auto"/>
        <w:ind w:left="539"/>
        <w:rPr>
          <w:sz w:val="20"/>
          <w:szCs w:val="20"/>
        </w:rPr>
      </w:pPr>
      <w:r>
        <w:rPr>
          <w:spacing w:val="18"/>
          <w:sz w:val="20"/>
          <w:szCs w:val="20"/>
        </w:rPr>
        <w:t>(6)图纸；</w:t>
      </w:r>
    </w:p>
    <w:p w14:paraId="08EA5756">
      <w:pPr>
        <w:pStyle w:val="2"/>
        <w:spacing w:before="127" w:line="218" w:lineRule="auto"/>
        <w:ind w:left="539"/>
        <w:rPr>
          <w:sz w:val="20"/>
          <w:szCs w:val="20"/>
        </w:rPr>
      </w:pPr>
      <w:r>
        <w:rPr>
          <w:spacing w:val="12"/>
          <w:sz w:val="20"/>
          <w:szCs w:val="20"/>
        </w:rPr>
        <w:t>(7)已标价工程量清单或预算书；</w:t>
      </w:r>
    </w:p>
    <w:p w14:paraId="507DE2A0">
      <w:pPr>
        <w:pStyle w:val="2"/>
        <w:spacing w:before="136" w:line="219" w:lineRule="auto"/>
        <w:ind w:left="539"/>
        <w:rPr>
          <w:sz w:val="20"/>
          <w:szCs w:val="20"/>
        </w:rPr>
      </w:pPr>
      <w:r>
        <w:rPr>
          <w:spacing w:val="16"/>
          <w:sz w:val="20"/>
          <w:szCs w:val="20"/>
        </w:rPr>
        <w:t>(8)其他合同文件。</w:t>
      </w:r>
    </w:p>
    <w:p w14:paraId="04E08FEF">
      <w:pPr>
        <w:pStyle w:val="2"/>
        <w:spacing w:before="163" w:line="219" w:lineRule="auto"/>
        <w:ind w:left="429"/>
        <w:rPr>
          <w:sz w:val="20"/>
          <w:szCs w:val="20"/>
        </w:rPr>
      </w:pPr>
      <w:r>
        <w:rPr>
          <w:spacing w:val="9"/>
          <w:sz w:val="20"/>
          <w:szCs w:val="20"/>
        </w:rPr>
        <w:t>在合同订立及履行过程中形成的与合同有关的文件均构成合同文件组成部分。</w:t>
      </w:r>
    </w:p>
    <w:p w14:paraId="57E18C26">
      <w:pPr>
        <w:pStyle w:val="2"/>
        <w:spacing w:before="123" w:line="317" w:lineRule="auto"/>
        <w:ind w:right="12" w:firstLine="429"/>
        <w:rPr>
          <w:sz w:val="20"/>
          <w:szCs w:val="20"/>
        </w:rPr>
      </w:pPr>
      <w:r>
        <w:rPr>
          <w:spacing w:val="12"/>
          <w:sz w:val="20"/>
          <w:szCs w:val="20"/>
        </w:rPr>
        <w:t>上述各项合同文件包括合同当事人就该项合同文件所作出的补充和修改，属于同一类内容的</w:t>
      </w:r>
      <w:r>
        <w:rPr>
          <w:spacing w:val="4"/>
          <w:sz w:val="20"/>
          <w:szCs w:val="20"/>
        </w:rPr>
        <w:t xml:space="preserve"> </w:t>
      </w:r>
      <w:r>
        <w:rPr>
          <w:spacing w:val="9"/>
          <w:sz w:val="20"/>
          <w:szCs w:val="20"/>
        </w:rPr>
        <w:t>文件，应以最新签署的为准。专用合同条款及其附件须经合同当事人签字或盖章。</w:t>
      </w:r>
    </w:p>
    <w:p w14:paraId="2948BB7B">
      <w:pPr>
        <w:spacing w:line="222" w:lineRule="auto"/>
        <w:ind w:left="2"/>
        <w:rPr>
          <w:rFonts w:ascii="黑体" w:hAnsi="黑体" w:eastAsia="黑体" w:cs="黑体"/>
          <w:sz w:val="20"/>
          <w:szCs w:val="20"/>
        </w:rPr>
      </w:pPr>
      <w:r>
        <w:rPr>
          <w:rFonts w:ascii="黑体" w:hAnsi="黑体" w:eastAsia="黑体" w:cs="黑体"/>
          <w:b/>
          <w:bCs/>
          <w:spacing w:val="21"/>
          <w:sz w:val="20"/>
          <w:szCs w:val="20"/>
        </w:rPr>
        <w:t>七、承诺</w:t>
      </w:r>
    </w:p>
    <w:p w14:paraId="4F64A455">
      <w:pPr>
        <w:spacing w:line="315" w:lineRule="auto"/>
        <w:rPr>
          <w:rFonts w:ascii="Arial"/>
          <w:sz w:val="21"/>
        </w:rPr>
      </w:pPr>
    </w:p>
    <w:p w14:paraId="4EF25C6C">
      <w:pPr>
        <w:pStyle w:val="2"/>
        <w:spacing w:before="66" w:line="288" w:lineRule="auto"/>
        <w:ind w:right="20" w:firstLine="429"/>
        <w:rPr>
          <w:sz w:val="20"/>
          <w:szCs w:val="20"/>
        </w:rPr>
      </w:pPr>
      <w:r>
        <w:rPr>
          <w:spacing w:val="7"/>
          <w:sz w:val="20"/>
          <w:szCs w:val="20"/>
        </w:rPr>
        <w:t>1.发包人承诺按照法律规定履行项目审批手续、筹集</w:t>
      </w:r>
      <w:r>
        <w:rPr>
          <w:spacing w:val="6"/>
          <w:sz w:val="20"/>
          <w:szCs w:val="20"/>
        </w:rPr>
        <w:t>工程建设资金并按照合同约定的期限和方</w:t>
      </w:r>
      <w:r>
        <w:rPr>
          <w:sz w:val="20"/>
          <w:szCs w:val="20"/>
        </w:rPr>
        <w:t xml:space="preserve"> </w:t>
      </w:r>
      <w:r>
        <w:rPr>
          <w:spacing w:val="3"/>
          <w:sz w:val="20"/>
          <w:szCs w:val="20"/>
        </w:rPr>
        <w:t>式支付合同价款。</w:t>
      </w:r>
    </w:p>
    <w:p w14:paraId="24977602">
      <w:pPr>
        <w:pStyle w:val="2"/>
        <w:spacing w:before="165" w:line="276" w:lineRule="auto"/>
        <w:ind w:right="18" w:firstLine="429"/>
        <w:rPr>
          <w:sz w:val="20"/>
          <w:szCs w:val="20"/>
        </w:rPr>
      </w:pPr>
      <w:r>
        <w:rPr>
          <w:spacing w:val="7"/>
          <w:sz w:val="20"/>
          <w:szCs w:val="20"/>
        </w:rPr>
        <w:t>2.承包人承诺按照法律规定及合同约定组织完成工程施工</w:t>
      </w:r>
      <w:r>
        <w:rPr>
          <w:spacing w:val="6"/>
          <w:sz w:val="20"/>
          <w:szCs w:val="20"/>
        </w:rPr>
        <w:t>，确保工程质量和安全，不进行转包</w:t>
      </w:r>
      <w:r>
        <w:rPr>
          <w:sz w:val="20"/>
          <w:szCs w:val="20"/>
        </w:rPr>
        <w:t xml:space="preserve"> </w:t>
      </w:r>
      <w:r>
        <w:rPr>
          <w:spacing w:val="9"/>
          <w:sz w:val="20"/>
          <w:szCs w:val="20"/>
        </w:rPr>
        <w:t>及违法分包，并在缺陷责任期及保修期内承担相应的工程维修责任。</w:t>
      </w:r>
    </w:p>
    <w:p w14:paraId="1D0B11C0">
      <w:pPr>
        <w:pStyle w:val="2"/>
        <w:spacing w:before="132" w:line="219" w:lineRule="auto"/>
        <w:jc w:val="right"/>
        <w:rPr>
          <w:sz w:val="20"/>
          <w:szCs w:val="20"/>
        </w:rPr>
      </w:pPr>
      <w:r>
        <w:rPr>
          <w:spacing w:val="7"/>
          <w:sz w:val="20"/>
          <w:szCs w:val="20"/>
        </w:rPr>
        <w:t>3.发包人和承包人通过招投标形式签订合同的，双方理解并承诺不再就同一工程另行签订与合</w:t>
      </w:r>
    </w:p>
    <w:p w14:paraId="01F044F6">
      <w:pPr>
        <w:pStyle w:val="2"/>
        <w:spacing w:before="163" w:line="219" w:lineRule="auto"/>
        <w:rPr>
          <w:sz w:val="20"/>
          <w:szCs w:val="20"/>
        </w:rPr>
      </w:pPr>
      <w:r>
        <w:rPr>
          <w:spacing w:val="7"/>
          <w:sz w:val="20"/>
          <w:szCs w:val="20"/>
        </w:rPr>
        <w:t>同实质性内容相背离的协议。</w:t>
      </w:r>
    </w:p>
    <w:p w14:paraId="72982E23">
      <w:pPr>
        <w:spacing w:before="40" w:line="222" w:lineRule="auto"/>
        <w:ind w:left="2"/>
        <w:rPr>
          <w:rFonts w:ascii="黑体" w:hAnsi="黑体" w:eastAsia="黑体" w:cs="黑体"/>
          <w:sz w:val="20"/>
          <w:szCs w:val="20"/>
        </w:rPr>
      </w:pPr>
      <w:r>
        <w:rPr>
          <w:rFonts w:ascii="黑体" w:hAnsi="黑体" w:eastAsia="黑体" w:cs="黑体"/>
          <w:b/>
          <w:bCs/>
          <w:spacing w:val="3"/>
          <w:sz w:val="20"/>
          <w:szCs w:val="20"/>
        </w:rPr>
        <w:t>八</w:t>
      </w:r>
      <w:r>
        <w:rPr>
          <w:rFonts w:ascii="黑体" w:hAnsi="黑体" w:eastAsia="黑体" w:cs="黑体"/>
          <w:spacing w:val="-36"/>
          <w:sz w:val="20"/>
          <w:szCs w:val="20"/>
        </w:rPr>
        <w:t xml:space="preserve"> </w:t>
      </w:r>
      <w:r>
        <w:rPr>
          <w:rFonts w:ascii="黑体" w:hAnsi="黑体" w:eastAsia="黑体" w:cs="黑体"/>
          <w:b/>
          <w:bCs/>
          <w:spacing w:val="3"/>
          <w:sz w:val="20"/>
          <w:szCs w:val="20"/>
        </w:rPr>
        <w:t>、词语含义</w:t>
      </w:r>
    </w:p>
    <w:p w14:paraId="2E815C35">
      <w:pPr>
        <w:spacing w:line="313" w:lineRule="auto"/>
        <w:rPr>
          <w:rFonts w:ascii="Arial"/>
          <w:sz w:val="21"/>
        </w:rPr>
      </w:pPr>
    </w:p>
    <w:p w14:paraId="4DAA0E61">
      <w:pPr>
        <w:pStyle w:val="2"/>
        <w:spacing w:before="66" w:line="219" w:lineRule="auto"/>
        <w:ind w:left="429"/>
        <w:rPr>
          <w:sz w:val="20"/>
          <w:szCs w:val="20"/>
        </w:rPr>
      </w:pPr>
      <w:r>
        <w:rPr>
          <w:spacing w:val="9"/>
          <w:sz w:val="20"/>
          <w:szCs w:val="20"/>
        </w:rPr>
        <w:t>本协议书中词语含义与第二部分通用合同条款中赋予的含义相同。</w:t>
      </w:r>
    </w:p>
    <w:p w14:paraId="600477F3">
      <w:pPr>
        <w:spacing w:before="72" w:line="223" w:lineRule="auto"/>
        <w:ind w:left="2"/>
        <w:rPr>
          <w:rFonts w:ascii="黑体" w:hAnsi="黑体" w:eastAsia="黑体" w:cs="黑体"/>
          <w:sz w:val="20"/>
          <w:szCs w:val="20"/>
        </w:rPr>
      </w:pPr>
      <w:r>
        <w:rPr>
          <w:rFonts w:ascii="黑体" w:hAnsi="黑体" w:eastAsia="黑体" w:cs="黑体"/>
          <w:b/>
          <w:bCs/>
          <w:spacing w:val="4"/>
          <w:sz w:val="20"/>
          <w:szCs w:val="20"/>
        </w:rPr>
        <w:t>九</w:t>
      </w:r>
      <w:r>
        <w:rPr>
          <w:rFonts w:ascii="黑体" w:hAnsi="黑体" w:eastAsia="黑体" w:cs="黑体"/>
          <w:spacing w:val="-35"/>
          <w:sz w:val="20"/>
          <w:szCs w:val="20"/>
        </w:rPr>
        <w:t xml:space="preserve"> </w:t>
      </w:r>
      <w:r>
        <w:rPr>
          <w:rFonts w:ascii="黑体" w:hAnsi="黑体" w:eastAsia="黑体" w:cs="黑体"/>
          <w:b/>
          <w:bCs/>
          <w:spacing w:val="4"/>
          <w:sz w:val="20"/>
          <w:szCs w:val="20"/>
        </w:rPr>
        <w:t>、签订时间</w:t>
      </w:r>
    </w:p>
    <w:p w14:paraId="64C5254A">
      <w:pPr>
        <w:spacing w:line="304" w:lineRule="auto"/>
        <w:rPr>
          <w:rFonts w:ascii="Arial"/>
          <w:sz w:val="21"/>
        </w:rPr>
      </w:pPr>
    </w:p>
    <w:p w14:paraId="7402EE35">
      <w:pPr>
        <w:pStyle w:val="2"/>
        <w:spacing w:before="69" w:line="233" w:lineRule="auto"/>
        <w:ind w:left="429"/>
        <w:rPr>
          <w:sz w:val="21"/>
          <w:szCs w:val="21"/>
        </w:rPr>
      </w:pPr>
      <w:r>
        <w:rPr>
          <w:spacing w:val="-11"/>
          <w:position w:val="-1"/>
          <w:sz w:val="20"/>
          <w:szCs w:val="20"/>
        </w:rPr>
        <w:t>本合同于</w:t>
      </w:r>
      <w:r>
        <w:rPr>
          <w:spacing w:val="6"/>
          <w:sz w:val="20"/>
          <w:szCs w:val="20"/>
          <w:u w:val="single" w:color="auto"/>
        </w:rPr>
        <w:t xml:space="preserve">         </w:t>
      </w:r>
      <w:r>
        <w:rPr>
          <w:spacing w:val="-11"/>
          <w:sz w:val="20"/>
          <w:szCs w:val="20"/>
          <w:u w:val="single" w:color="auto"/>
        </w:rPr>
        <w:t xml:space="preserve">年        </w:t>
      </w:r>
      <w:r>
        <w:rPr>
          <w:spacing w:val="-86"/>
          <w:sz w:val="20"/>
          <w:szCs w:val="20"/>
        </w:rPr>
        <w:t xml:space="preserve"> </w:t>
      </w:r>
      <w:r>
        <w:rPr>
          <w:spacing w:val="-11"/>
          <w:sz w:val="20"/>
          <w:szCs w:val="20"/>
        </w:rPr>
        <w:t>月</w:t>
      </w:r>
      <w:r>
        <w:rPr>
          <w:spacing w:val="18"/>
          <w:sz w:val="20"/>
          <w:szCs w:val="20"/>
          <w:u w:val="single" w:color="auto"/>
        </w:rPr>
        <w:t xml:space="preserve">     </w:t>
      </w:r>
      <w:r>
        <w:rPr>
          <w:spacing w:val="-11"/>
          <w:position w:val="1"/>
          <w:sz w:val="21"/>
          <w:szCs w:val="21"/>
        </w:rPr>
        <w:t>日签订。</w:t>
      </w:r>
    </w:p>
    <w:p w14:paraId="42EEF4A8">
      <w:pPr>
        <w:spacing w:before="11" w:line="223" w:lineRule="auto"/>
        <w:ind w:left="2"/>
        <w:rPr>
          <w:rFonts w:ascii="黑体" w:hAnsi="黑体" w:eastAsia="黑体" w:cs="黑体"/>
          <w:sz w:val="20"/>
          <w:szCs w:val="20"/>
        </w:rPr>
      </w:pPr>
      <w:r>
        <w:rPr>
          <w:rFonts w:ascii="黑体" w:hAnsi="黑体" w:eastAsia="黑体" w:cs="黑体"/>
          <w:b/>
          <w:bCs/>
          <w:spacing w:val="3"/>
          <w:sz w:val="20"/>
          <w:szCs w:val="20"/>
        </w:rPr>
        <w:t>十</w:t>
      </w:r>
      <w:r>
        <w:rPr>
          <w:rFonts w:ascii="黑体" w:hAnsi="黑体" w:eastAsia="黑体" w:cs="黑体"/>
          <w:spacing w:val="-38"/>
          <w:sz w:val="20"/>
          <w:szCs w:val="20"/>
        </w:rPr>
        <w:t xml:space="preserve"> </w:t>
      </w:r>
      <w:r>
        <w:rPr>
          <w:rFonts w:ascii="黑体" w:hAnsi="黑体" w:eastAsia="黑体" w:cs="黑体"/>
          <w:b/>
          <w:bCs/>
          <w:spacing w:val="3"/>
          <w:sz w:val="20"/>
          <w:szCs w:val="20"/>
        </w:rPr>
        <w:t>、签订地点</w:t>
      </w:r>
    </w:p>
    <w:p w14:paraId="6DC37165">
      <w:pPr>
        <w:spacing w:line="346" w:lineRule="auto"/>
        <w:rPr>
          <w:rFonts w:ascii="Arial"/>
          <w:sz w:val="21"/>
        </w:rPr>
      </w:pPr>
    </w:p>
    <w:p w14:paraId="5C32B422">
      <w:pPr>
        <w:pStyle w:val="2"/>
        <w:spacing w:before="66" w:line="224" w:lineRule="auto"/>
        <w:ind w:left="429"/>
        <w:rPr>
          <w:sz w:val="20"/>
          <w:szCs w:val="20"/>
        </w:rPr>
      </w:pPr>
      <w:r>
        <w:rPr>
          <w:spacing w:val="4"/>
          <w:position w:val="-1"/>
          <w:sz w:val="20"/>
          <w:szCs w:val="20"/>
        </w:rPr>
        <w:t>本合同在</w:t>
      </w:r>
      <w:r>
        <w:rPr>
          <w:spacing w:val="-89"/>
          <w:position w:val="-1"/>
          <w:sz w:val="20"/>
          <w:szCs w:val="20"/>
        </w:rPr>
        <w:t xml:space="preserve"> </w:t>
      </w:r>
      <w:r>
        <w:rPr>
          <w:spacing w:val="2"/>
          <w:position w:val="-1"/>
          <w:sz w:val="20"/>
          <w:szCs w:val="20"/>
          <w:u w:val="single" w:color="auto"/>
        </w:rPr>
        <w:t xml:space="preserve">                                     </w:t>
      </w:r>
      <w:r>
        <w:rPr>
          <w:spacing w:val="-84"/>
          <w:position w:val="-1"/>
          <w:sz w:val="20"/>
          <w:szCs w:val="20"/>
        </w:rPr>
        <w:t xml:space="preserve"> </w:t>
      </w:r>
      <w:r>
        <w:rPr>
          <w:spacing w:val="4"/>
          <w:position w:val="1"/>
          <w:sz w:val="20"/>
          <w:szCs w:val="20"/>
        </w:rPr>
        <w:t>签订。</w:t>
      </w:r>
    </w:p>
    <w:p w14:paraId="513F388F">
      <w:pPr>
        <w:spacing w:before="20" w:line="222" w:lineRule="auto"/>
        <w:ind w:left="2"/>
        <w:rPr>
          <w:rFonts w:ascii="黑体" w:hAnsi="黑体" w:eastAsia="黑体" w:cs="黑体"/>
          <w:sz w:val="20"/>
          <w:szCs w:val="20"/>
        </w:rPr>
      </w:pPr>
      <w:r>
        <w:rPr>
          <w:rFonts w:ascii="黑体" w:hAnsi="黑体" w:eastAsia="黑体" w:cs="黑体"/>
          <w:b/>
          <w:bCs/>
          <w:spacing w:val="-1"/>
          <w:sz w:val="20"/>
          <w:szCs w:val="20"/>
        </w:rPr>
        <w:t>十</w:t>
      </w:r>
      <w:r>
        <w:rPr>
          <w:rFonts w:ascii="黑体" w:hAnsi="黑体" w:eastAsia="黑体" w:cs="黑体"/>
          <w:spacing w:val="-32"/>
          <w:sz w:val="20"/>
          <w:szCs w:val="20"/>
        </w:rPr>
        <w:t xml:space="preserve"> </w:t>
      </w:r>
      <w:r>
        <w:rPr>
          <w:rFonts w:ascii="黑体" w:hAnsi="黑体" w:eastAsia="黑体" w:cs="黑体"/>
          <w:b/>
          <w:bCs/>
          <w:spacing w:val="-1"/>
          <w:sz w:val="20"/>
          <w:szCs w:val="20"/>
        </w:rPr>
        <w:t>一</w:t>
      </w:r>
      <w:r>
        <w:rPr>
          <w:rFonts w:ascii="黑体" w:hAnsi="黑体" w:eastAsia="黑体" w:cs="黑体"/>
          <w:spacing w:val="-44"/>
          <w:sz w:val="20"/>
          <w:szCs w:val="20"/>
        </w:rPr>
        <w:t xml:space="preserve"> </w:t>
      </w:r>
      <w:r>
        <w:rPr>
          <w:rFonts w:ascii="黑体" w:hAnsi="黑体" w:eastAsia="黑体" w:cs="黑体"/>
          <w:b/>
          <w:bCs/>
          <w:spacing w:val="-1"/>
          <w:sz w:val="20"/>
          <w:szCs w:val="20"/>
        </w:rPr>
        <w:t>、补充协议</w:t>
      </w:r>
    </w:p>
    <w:p w14:paraId="50E13B1D">
      <w:pPr>
        <w:spacing w:line="222" w:lineRule="auto"/>
        <w:rPr>
          <w:rFonts w:ascii="黑体" w:hAnsi="黑体" w:eastAsia="黑体" w:cs="黑体"/>
          <w:sz w:val="20"/>
          <w:szCs w:val="20"/>
        </w:rPr>
        <w:sectPr>
          <w:footerReference r:id="rId188" w:type="default"/>
          <w:pgSz w:w="11910" w:h="16840"/>
          <w:pgMar w:top="400" w:right="1531" w:bottom="1024" w:left="1450" w:header="0" w:footer="889" w:gutter="0"/>
          <w:cols w:space="720" w:num="1"/>
        </w:sectPr>
      </w:pPr>
    </w:p>
    <w:p w14:paraId="687F6033">
      <w:pPr>
        <w:spacing w:line="271" w:lineRule="auto"/>
        <w:rPr>
          <w:rFonts w:ascii="Arial"/>
          <w:sz w:val="21"/>
        </w:rPr>
      </w:pPr>
    </w:p>
    <w:p w14:paraId="3F072828">
      <w:pPr>
        <w:spacing w:line="271" w:lineRule="auto"/>
        <w:rPr>
          <w:rFonts w:ascii="Arial"/>
          <w:sz w:val="21"/>
        </w:rPr>
      </w:pPr>
    </w:p>
    <w:p w14:paraId="22EE7312">
      <w:pPr>
        <w:spacing w:line="271" w:lineRule="auto"/>
        <w:rPr>
          <w:rFonts w:ascii="Arial"/>
          <w:sz w:val="21"/>
        </w:rPr>
      </w:pPr>
    </w:p>
    <w:p w14:paraId="5CF7B01D">
      <w:pPr>
        <w:spacing w:line="272" w:lineRule="auto"/>
        <w:rPr>
          <w:rFonts w:ascii="Arial"/>
          <w:sz w:val="21"/>
        </w:rPr>
      </w:pPr>
    </w:p>
    <w:p w14:paraId="435BD8D9">
      <w:pPr>
        <w:spacing w:line="272" w:lineRule="auto"/>
        <w:rPr>
          <w:rFonts w:ascii="Arial"/>
          <w:sz w:val="21"/>
        </w:rPr>
      </w:pPr>
    </w:p>
    <w:p w14:paraId="58949834">
      <w:pPr>
        <w:pStyle w:val="2"/>
        <w:spacing w:before="62" w:line="219" w:lineRule="auto"/>
        <w:ind w:left="417"/>
        <w:rPr>
          <w:sz w:val="19"/>
          <w:szCs w:val="19"/>
        </w:rPr>
      </w:pPr>
      <w:r>
        <w:rPr>
          <w:spacing w:val="19"/>
          <w:sz w:val="19"/>
          <w:szCs w:val="19"/>
        </w:rPr>
        <w:t>合同未尽事宜，合同当事人另行签订补充协议，补充协议是合同的组成部分。</w:t>
      </w:r>
    </w:p>
    <w:p w14:paraId="06A9C1F7">
      <w:pPr>
        <w:spacing w:before="69" w:line="221" w:lineRule="auto"/>
        <w:ind w:left="10"/>
        <w:rPr>
          <w:rFonts w:ascii="黑体" w:hAnsi="黑体" w:eastAsia="黑体" w:cs="黑体"/>
          <w:sz w:val="19"/>
          <w:szCs w:val="19"/>
        </w:rPr>
      </w:pPr>
      <w:r>
        <w:rPr>
          <w:rFonts w:ascii="黑体" w:hAnsi="黑体" w:eastAsia="黑体" w:cs="黑体"/>
          <w:b/>
          <w:bCs/>
          <w:spacing w:val="7"/>
          <w:sz w:val="19"/>
          <w:szCs w:val="19"/>
        </w:rPr>
        <w:t>十</w:t>
      </w:r>
      <w:r>
        <w:rPr>
          <w:rFonts w:ascii="黑体" w:hAnsi="黑体" w:eastAsia="黑体" w:cs="黑体"/>
          <w:spacing w:val="-26"/>
          <w:sz w:val="19"/>
          <w:szCs w:val="19"/>
        </w:rPr>
        <w:t xml:space="preserve"> </w:t>
      </w:r>
      <w:r>
        <w:rPr>
          <w:rFonts w:ascii="黑体" w:hAnsi="黑体" w:eastAsia="黑体" w:cs="黑体"/>
          <w:b/>
          <w:bCs/>
          <w:spacing w:val="7"/>
          <w:sz w:val="19"/>
          <w:szCs w:val="19"/>
        </w:rPr>
        <w:t>二</w:t>
      </w:r>
      <w:r>
        <w:rPr>
          <w:rFonts w:ascii="黑体" w:hAnsi="黑体" w:eastAsia="黑体" w:cs="黑体"/>
          <w:spacing w:val="-37"/>
          <w:sz w:val="19"/>
          <w:szCs w:val="19"/>
        </w:rPr>
        <w:t xml:space="preserve"> </w:t>
      </w:r>
      <w:r>
        <w:rPr>
          <w:rFonts w:ascii="黑体" w:hAnsi="黑体" w:eastAsia="黑体" w:cs="黑体"/>
          <w:b/>
          <w:bCs/>
          <w:spacing w:val="7"/>
          <w:sz w:val="19"/>
          <w:szCs w:val="19"/>
        </w:rPr>
        <w:t>、合同生效</w:t>
      </w:r>
    </w:p>
    <w:p w14:paraId="53575AF9">
      <w:pPr>
        <w:spacing w:line="331" w:lineRule="auto"/>
        <w:rPr>
          <w:rFonts w:ascii="Arial"/>
          <w:sz w:val="21"/>
        </w:rPr>
      </w:pPr>
    </w:p>
    <w:p w14:paraId="0135A07C">
      <w:pPr>
        <w:pStyle w:val="2"/>
        <w:spacing w:before="65" w:line="227" w:lineRule="auto"/>
        <w:ind w:left="417"/>
        <w:rPr>
          <w:sz w:val="20"/>
          <w:szCs w:val="20"/>
        </w:rPr>
      </w:pPr>
      <w:r>
        <w:rPr>
          <w:spacing w:val="9"/>
          <w:sz w:val="19"/>
          <w:szCs w:val="19"/>
        </w:rPr>
        <w:t>本合同自</w:t>
      </w:r>
      <w:r>
        <w:rPr>
          <w:spacing w:val="2"/>
          <w:sz w:val="19"/>
          <w:szCs w:val="19"/>
          <w:u w:val="single" w:color="auto"/>
        </w:rPr>
        <w:t xml:space="preserve">                     </w:t>
      </w:r>
      <w:r>
        <w:rPr>
          <w:spacing w:val="1"/>
          <w:sz w:val="19"/>
          <w:szCs w:val="19"/>
          <w:u w:val="single" w:color="auto"/>
        </w:rPr>
        <w:t xml:space="preserve">                 </w:t>
      </w:r>
      <w:r>
        <w:rPr>
          <w:spacing w:val="-84"/>
          <w:sz w:val="19"/>
          <w:szCs w:val="19"/>
        </w:rPr>
        <w:t xml:space="preserve"> </w:t>
      </w:r>
      <w:r>
        <w:rPr>
          <w:spacing w:val="9"/>
          <w:position w:val="1"/>
          <w:sz w:val="20"/>
          <w:szCs w:val="20"/>
        </w:rPr>
        <w:t>生效。</w:t>
      </w:r>
    </w:p>
    <w:p w14:paraId="7AF1289D">
      <w:pPr>
        <w:spacing w:before="53" w:line="222" w:lineRule="auto"/>
        <w:rPr>
          <w:rFonts w:ascii="黑体" w:hAnsi="黑体" w:eastAsia="黑体" w:cs="黑体"/>
          <w:sz w:val="19"/>
          <w:szCs w:val="19"/>
        </w:rPr>
      </w:pPr>
      <w:r>
        <w:rPr>
          <w:rFonts w:ascii="黑体" w:hAnsi="黑体" w:eastAsia="黑体" w:cs="黑体"/>
          <w:b/>
          <w:bCs/>
          <w:spacing w:val="7"/>
          <w:sz w:val="19"/>
          <w:szCs w:val="19"/>
        </w:rPr>
        <w:t>十</w:t>
      </w:r>
      <w:r>
        <w:rPr>
          <w:rFonts w:ascii="黑体" w:hAnsi="黑体" w:eastAsia="黑体" w:cs="黑体"/>
          <w:spacing w:val="-16"/>
          <w:sz w:val="19"/>
          <w:szCs w:val="19"/>
        </w:rPr>
        <w:t xml:space="preserve"> </w:t>
      </w:r>
      <w:r>
        <w:rPr>
          <w:rFonts w:ascii="黑体" w:hAnsi="黑体" w:eastAsia="黑体" w:cs="黑体"/>
          <w:b/>
          <w:bCs/>
          <w:spacing w:val="7"/>
          <w:sz w:val="19"/>
          <w:szCs w:val="19"/>
        </w:rPr>
        <w:t>三</w:t>
      </w:r>
      <w:r>
        <w:rPr>
          <w:rFonts w:ascii="黑体" w:hAnsi="黑体" w:eastAsia="黑体" w:cs="黑体"/>
          <w:spacing w:val="-33"/>
          <w:sz w:val="19"/>
          <w:szCs w:val="19"/>
        </w:rPr>
        <w:t xml:space="preserve"> </w:t>
      </w:r>
      <w:r>
        <w:rPr>
          <w:rFonts w:ascii="黑体" w:hAnsi="黑体" w:eastAsia="黑体" w:cs="黑体"/>
          <w:b/>
          <w:bCs/>
          <w:spacing w:val="7"/>
          <w:sz w:val="19"/>
          <w:szCs w:val="19"/>
        </w:rPr>
        <w:t>、合同份数</w:t>
      </w:r>
    </w:p>
    <w:p w14:paraId="112CEB2E">
      <w:pPr>
        <w:spacing w:line="313" w:lineRule="auto"/>
        <w:rPr>
          <w:rFonts w:ascii="Arial"/>
          <w:sz w:val="21"/>
        </w:rPr>
      </w:pPr>
    </w:p>
    <w:p w14:paraId="39E3FC10">
      <w:pPr>
        <w:pStyle w:val="2"/>
        <w:spacing w:before="68" w:line="222" w:lineRule="auto"/>
        <w:ind w:left="417"/>
        <w:rPr>
          <w:rFonts w:ascii="黑体" w:hAnsi="黑体" w:eastAsia="黑体" w:cs="黑体"/>
          <w:sz w:val="19"/>
          <w:szCs w:val="19"/>
        </w:rPr>
      </w:pPr>
      <w:r>
        <w:rPr>
          <w:spacing w:val="-6"/>
          <w:sz w:val="21"/>
          <w:szCs w:val="21"/>
        </w:rPr>
        <w:t>本合同一式</w:t>
      </w:r>
      <w:r>
        <w:rPr>
          <w:spacing w:val="-93"/>
          <w:sz w:val="21"/>
          <w:szCs w:val="21"/>
        </w:rPr>
        <w:t xml:space="preserve"> </w:t>
      </w:r>
      <w:r>
        <w:rPr>
          <w:spacing w:val="20"/>
          <w:sz w:val="21"/>
          <w:szCs w:val="21"/>
          <w:u w:val="single" w:color="auto"/>
        </w:rPr>
        <w:t xml:space="preserve">    </w:t>
      </w:r>
      <w:r>
        <w:rPr>
          <w:spacing w:val="-95"/>
          <w:sz w:val="21"/>
          <w:szCs w:val="21"/>
        </w:rPr>
        <w:t xml:space="preserve"> </w:t>
      </w:r>
      <w:r>
        <w:rPr>
          <w:spacing w:val="-6"/>
          <w:sz w:val="21"/>
          <w:szCs w:val="21"/>
        </w:rPr>
        <w:t>份，均具有同等法律效力，发包人执</w:t>
      </w:r>
      <w:r>
        <w:rPr>
          <w:spacing w:val="12"/>
          <w:sz w:val="21"/>
          <w:szCs w:val="21"/>
          <w:u w:val="single" w:color="auto"/>
        </w:rPr>
        <w:t xml:space="preserve">    </w:t>
      </w:r>
      <w:r>
        <w:rPr>
          <w:spacing w:val="-6"/>
          <w:sz w:val="21"/>
          <w:szCs w:val="21"/>
        </w:rPr>
        <w:t>份，</w:t>
      </w:r>
      <w:r>
        <w:rPr>
          <w:spacing w:val="-7"/>
          <w:sz w:val="21"/>
          <w:szCs w:val="21"/>
        </w:rPr>
        <w:t>承包人执</w:t>
      </w:r>
      <w:r>
        <w:rPr>
          <w:spacing w:val="-102"/>
          <w:sz w:val="21"/>
          <w:szCs w:val="21"/>
        </w:rPr>
        <w:t xml:space="preserve"> </w:t>
      </w:r>
      <w:r>
        <w:rPr>
          <w:spacing w:val="17"/>
          <w:sz w:val="21"/>
          <w:szCs w:val="21"/>
          <w:u w:val="single" w:color="auto"/>
        </w:rPr>
        <w:t xml:space="preserve">    </w:t>
      </w:r>
      <w:r>
        <w:rPr>
          <w:spacing w:val="-93"/>
          <w:sz w:val="21"/>
          <w:szCs w:val="21"/>
        </w:rPr>
        <w:t xml:space="preserve"> </w:t>
      </w:r>
      <w:r>
        <w:rPr>
          <w:rFonts w:ascii="黑体" w:hAnsi="黑体" w:eastAsia="黑体" w:cs="黑体"/>
          <w:spacing w:val="-7"/>
          <w:sz w:val="19"/>
          <w:szCs w:val="19"/>
        </w:rPr>
        <w:t>份。</w:t>
      </w:r>
    </w:p>
    <w:p w14:paraId="4AB6501D">
      <w:pPr>
        <w:spacing w:before="39"/>
      </w:pPr>
    </w:p>
    <w:p w14:paraId="0D73B201">
      <w:pPr>
        <w:spacing w:before="39"/>
      </w:pPr>
    </w:p>
    <w:p w14:paraId="69A0DD29">
      <w:pPr>
        <w:spacing w:before="38"/>
      </w:pPr>
    </w:p>
    <w:p w14:paraId="58D676CE">
      <w:pPr>
        <w:spacing w:before="38"/>
      </w:pPr>
    </w:p>
    <w:p w14:paraId="2143B7BC">
      <w:pPr>
        <w:spacing w:before="38"/>
      </w:pPr>
    </w:p>
    <w:p w14:paraId="4BFEC4B4">
      <w:pPr>
        <w:sectPr>
          <w:footerReference r:id="rId189" w:type="default"/>
          <w:pgSz w:w="11910" w:h="16840"/>
          <w:pgMar w:top="400" w:right="1786" w:bottom="1024" w:left="1452" w:header="0" w:footer="889" w:gutter="0"/>
          <w:cols w:equalWidth="0" w:num="1">
            <w:col w:w="8671"/>
          </w:cols>
        </w:sectPr>
      </w:pPr>
    </w:p>
    <w:p w14:paraId="2B51A9BB">
      <w:pPr>
        <w:pStyle w:val="2"/>
        <w:spacing w:before="38" w:line="219" w:lineRule="auto"/>
        <w:ind w:left="417"/>
        <w:rPr>
          <w:sz w:val="19"/>
          <w:szCs w:val="19"/>
        </w:rPr>
      </w:pPr>
      <w:r>
        <w:rPr>
          <w:spacing w:val="5"/>
          <w:sz w:val="19"/>
          <w:szCs w:val="19"/>
        </w:rPr>
        <w:t>发包人：</w:t>
      </w:r>
      <w:r>
        <w:rPr>
          <w:spacing w:val="35"/>
          <w:sz w:val="19"/>
          <w:szCs w:val="19"/>
        </w:rPr>
        <w:t xml:space="preserve">  </w:t>
      </w:r>
      <w:r>
        <w:rPr>
          <w:spacing w:val="5"/>
          <w:sz w:val="19"/>
          <w:szCs w:val="19"/>
        </w:rPr>
        <w:t>(公章)</w:t>
      </w:r>
    </w:p>
    <w:p w14:paraId="7B833E7F">
      <w:pPr>
        <w:spacing w:line="461" w:lineRule="auto"/>
        <w:rPr>
          <w:rFonts w:ascii="Arial"/>
          <w:sz w:val="21"/>
        </w:rPr>
      </w:pPr>
    </w:p>
    <w:p w14:paraId="4F43900A">
      <w:pPr>
        <w:pStyle w:val="2"/>
        <w:spacing w:before="62" w:line="219" w:lineRule="auto"/>
        <w:ind w:left="417"/>
        <w:rPr>
          <w:sz w:val="19"/>
          <w:szCs w:val="19"/>
        </w:rPr>
      </w:pPr>
      <w:r>
        <w:rPr>
          <w:spacing w:val="15"/>
          <w:sz w:val="19"/>
          <w:szCs w:val="19"/>
        </w:rPr>
        <w:t>法定代表人或其委托代理人：</w:t>
      </w:r>
    </w:p>
    <w:p w14:paraId="0611C143">
      <w:pPr>
        <w:pStyle w:val="2"/>
        <w:spacing w:before="144" w:line="219" w:lineRule="auto"/>
        <w:ind w:left="537"/>
        <w:rPr>
          <w:sz w:val="19"/>
          <w:szCs w:val="19"/>
        </w:rPr>
      </w:pPr>
      <w:r>
        <w:rPr>
          <w:spacing w:val="-15"/>
          <w:sz w:val="19"/>
          <w:szCs w:val="19"/>
        </w:rPr>
        <w:t>(</w:t>
      </w:r>
      <w:r>
        <w:rPr>
          <w:spacing w:val="-38"/>
          <w:sz w:val="19"/>
          <w:szCs w:val="19"/>
        </w:rPr>
        <w:t xml:space="preserve"> </w:t>
      </w:r>
      <w:r>
        <w:rPr>
          <w:spacing w:val="-15"/>
          <w:sz w:val="19"/>
          <w:szCs w:val="19"/>
        </w:rPr>
        <w:t>签</w:t>
      </w:r>
      <w:r>
        <w:rPr>
          <w:spacing w:val="-39"/>
          <w:sz w:val="19"/>
          <w:szCs w:val="19"/>
        </w:rPr>
        <w:t xml:space="preserve"> </w:t>
      </w:r>
      <w:r>
        <w:rPr>
          <w:spacing w:val="-15"/>
          <w:sz w:val="19"/>
          <w:szCs w:val="19"/>
        </w:rPr>
        <w:t>字</w:t>
      </w:r>
      <w:r>
        <w:rPr>
          <w:spacing w:val="-40"/>
          <w:sz w:val="19"/>
          <w:szCs w:val="19"/>
        </w:rPr>
        <w:t xml:space="preserve"> </w:t>
      </w:r>
      <w:r>
        <w:rPr>
          <w:spacing w:val="-15"/>
          <w:sz w:val="19"/>
          <w:szCs w:val="19"/>
        </w:rPr>
        <w:t>)</w:t>
      </w:r>
    </w:p>
    <w:p w14:paraId="41BECF5C">
      <w:pPr>
        <w:spacing w:line="465" w:lineRule="auto"/>
        <w:rPr>
          <w:rFonts w:ascii="Arial"/>
          <w:sz w:val="21"/>
        </w:rPr>
      </w:pPr>
    </w:p>
    <w:p w14:paraId="61FBB5CC">
      <w:pPr>
        <w:pStyle w:val="2"/>
        <w:spacing w:before="66" w:line="219" w:lineRule="auto"/>
        <w:ind w:left="417"/>
        <w:rPr>
          <w:sz w:val="20"/>
          <w:szCs w:val="20"/>
        </w:rPr>
      </w:pPr>
      <w:r>
        <w:rPr>
          <w:sz w:val="20"/>
          <w:szCs w:val="20"/>
        </w:rPr>
        <w:t>组织机构代码：</w:t>
      </w:r>
      <w:r>
        <w:rPr>
          <w:spacing w:val="-50"/>
          <w:sz w:val="20"/>
          <w:szCs w:val="20"/>
        </w:rPr>
        <w:t xml:space="preserve"> </w:t>
      </w:r>
      <w:r>
        <w:rPr>
          <w:sz w:val="20"/>
          <w:szCs w:val="20"/>
          <w:u w:val="single" w:color="auto"/>
        </w:rPr>
        <w:t xml:space="preserve">                </w:t>
      </w:r>
    </w:p>
    <w:p w14:paraId="0C829578">
      <w:pPr>
        <w:pStyle w:val="2"/>
        <w:spacing w:before="153" w:line="229" w:lineRule="auto"/>
        <w:ind w:left="417"/>
        <w:rPr>
          <w:sz w:val="19"/>
          <w:szCs w:val="19"/>
        </w:rPr>
      </w:pPr>
      <w:r>
        <w:rPr>
          <w:spacing w:val="-13"/>
          <w:sz w:val="19"/>
          <w:szCs w:val="19"/>
        </w:rPr>
        <w:t>地</w:t>
      </w:r>
      <w:r>
        <w:rPr>
          <w:spacing w:val="18"/>
          <w:sz w:val="19"/>
          <w:szCs w:val="19"/>
        </w:rPr>
        <w:t xml:space="preserve">  </w:t>
      </w:r>
      <w:r>
        <w:rPr>
          <w:spacing w:val="-13"/>
          <w:sz w:val="19"/>
          <w:szCs w:val="19"/>
        </w:rPr>
        <w:t>址</w:t>
      </w:r>
      <w:r>
        <w:rPr>
          <w:spacing w:val="-23"/>
          <w:sz w:val="19"/>
          <w:szCs w:val="19"/>
        </w:rPr>
        <w:t xml:space="preserve"> </w:t>
      </w:r>
      <w:r>
        <w:rPr>
          <w:spacing w:val="-13"/>
          <w:sz w:val="19"/>
          <w:szCs w:val="19"/>
        </w:rPr>
        <w:t>：</w:t>
      </w:r>
      <w:r>
        <w:rPr>
          <w:sz w:val="19"/>
          <w:szCs w:val="19"/>
          <w:u w:val="single" w:color="auto"/>
        </w:rPr>
        <w:t xml:space="preserve">                       </w:t>
      </w:r>
    </w:p>
    <w:p w14:paraId="3221017D">
      <w:pPr>
        <w:pStyle w:val="2"/>
        <w:spacing w:before="126" w:line="219" w:lineRule="auto"/>
        <w:ind w:left="417"/>
        <w:rPr>
          <w:sz w:val="21"/>
          <w:szCs w:val="21"/>
        </w:rPr>
      </w:pPr>
      <w:r>
        <w:rPr>
          <w:spacing w:val="-3"/>
          <w:sz w:val="21"/>
          <w:szCs w:val="21"/>
        </w:rPr>
        <w:t>邮政编码：</w:t>
      </w:r>
      <w:r>
        <w:rPr>
          <w:spacing w:val="-3"/>
          <w:sz w:val="21"/>
          <w:szCs w:val="21"/>
          <w:u w:val="single" w:color="auto"/>
        </w:rPr>
        <w:t xml:space="preserve">                   </w:t>
      </w:r>
    </w:p>
    <w:p w14:paraId="508D68F6">
      <w:pPr>
        <w:pStyle w:val="2"/>
        <w:spacing w:before="131" w:line="219" w:lineRule="auto"/>
        <w:ind w:left="417"/>
        <w:rPr>
          <w:sz w:val="21"/>
          <w:szCs w:val="21"/>
        </w:rPr>
      </w:pPr>
      <w:r>
        <w:rPr>
          <w:spacing w:val="-2"/>
          <w:sz w:val="21"/>
          <w:szCs w:val="21"/>
        </w:rPr>
        <w:t>法定代表人：</w:t>
      </w:r>
      <w:r>
        <w:rPr>
          <w:sz w:val="21"/>
          <w:szCs w:val="21"/>
          <w:u w:val="single" w:color="auto"/>
        </w:rPr>
        <w:t xml:space="preserve">                 </w:t>
      </w:r>
    </w:p>
    <w:p w14:paraId="0ED49ABA">
      <w:pPr>
        <w:pStyle w:val="2"/>
        <w:spacing w:before="121" w:line="219" w:lineRule="auto"/>
        <w:ind w:left="417"/>
        <w:rPr>
          <w:sz w:val="21"/>
          <w:szCs w:val="21"/>
        </w:rPr>
      </w:pPr>
      <w:r>
        <w:rPr>
          <w:spacing w:val="-2"/>
          <w:sz w:val="21"/>
          <w:szCs w:val="21"/>
        </w:rPr>
        <w:t>委托代理人：</w:t>
      </w:r>
      <w:r>
        <w:rPr>
          <w:sz w:val="21"/>
          <w:szCs w:val="21"/>
          <w:u w:val="single" w:color="auto"/>
        </w:rPr>
        <w:t xml:space="preserve">                 </w:t>
      </w:r>
    </w:p>
    <w:p w14:paraId="2C1D8EC0">
      <w:pPr>
        <w:pStyle w:val="2"/>
        <w:spacing w:before="162" w:line="221" w:lineRule="auto"/>
        <w:ind w:left="417"/>
        <w:rPr>
          <w:sz w:val="19"/>
          <w:szCs w:val="19"/>
        </w:rPr>
      </w:pPr>
      <w:r>
        <w:rPr>
          <w:spacing w:val="-20"/>
          <w:sz w:val="19"/>
          <w:szCs w:val="19"/>
        </w:rPr>
        <w:t>电</w:t>
      </w:r>
      <w:r>
        <w:rPr>
          <w:spacing w:val="24"/>
          <w:sz w:val="19"/>
          <w:szCs w:val="19"/>
        </w:rPr>
        <w:t xml:space="preserve">  </w:t>
      </w:r>
      <w:r>
        <w:rPr>
          <w:spacing w:val="-20"/>
          <w:sz w:val="19"/>
          <w:szCs w:val="19"/>
        </w:rPr>
        <w:t>话</w:t>
      </w:r>
      <w:r>
        <w:rPr>
          <w:spacing w:val="-14"/>
          <w:sz w:val="19"/>
          <w:szCs w:val="19"/>
        </w:rPr>
        <w:t xml:space="preserve"> </w:t>
      </w:r>
      <w:r>
        <w:rPr>
          <w:spacing w:val="-20"/>
          <w:sz w:val="19"/>
          <w:szCs w:val="19"/>
        </w:rPr>
        <w:t>：</w:t>
      </w:r>
      <w:r>
        <w:rPr>
          <w:sz w:val="19"/>
          <w:szCs w:val="19"/>
          <w:u w:val="single" w:color="auto"/>
        </w:rPr>
        <w:t xml:space="preserve">                       </w:t>
      </w:r>
    </w:p>
    <w:p w14:paraId="3DBE9C88">
      <w:pPr>
        <w:pStyle w:val="2"/>
        <w:spacing w:before="169" w:line="219" w:lineRule="auto"/>
        <w:ind w:left="417"/>
        <w:rPr>
          <w:sz w:val="19"/>
          <w:szCs w:val="19"/>
        </w:rPr>
      </w:pPr>
      <w:r>
        <w:rPr>
          <w:spacing w:val="-15"/>
          <w:sz w:val="19"/>
          <w:szCs w:val="19"/>
        </w:rPr>
        <w:t>传</w:t>
      </w:r>
      <w:r>
        <w:rPr>
          <w:spacing w:val="22"/>
          <w:sz w:val="19"/>
          <w:szCs w:val="19"/>
        </w:rPr>
        <w:t xml:space="preserve">  </w:t>
      </w:r>
      <w:r>
        <w:rPr>
          <w:spacing w:val="-15"/>
          <w:sz w:val="19"/>
          <w:szCs w:val="19"/>
        </w:rPr>
        <w:t>真</w:t>
      </w:r>
      <w:r>
        <w:rPr>
          <w:spacing w:val="-25"/>
          <w:sz w:val="19"/>
          <w:szCs w:val="19"/>
        </w:rPr>
        <w:t xml:space="preserve"> </w:t>
      </w:r>
      <w:r>
        <w:rPr>
          <w:spacing w:val="-15"/>
          <w:sz w:val="19"/>
          <w:szCs w:val="19"/>
        </w:rPr>
        <w:t>：</w:t>
      </w:r>
      <w:r>
        <w:rPr>
          <w:sz w:val="19"/>
          <w:szCs w:val="19"/>
          <w:u w:val="single" w:color="auto"/>
        </w:rPr>
        <w:t xml:space="preserve">                       </w:t>
      </w:r>
    </w:p>
    <w:p w14:paraId="3EE573D6">
      <w:pPr>
        <w:pStyle w:val="2"/>
        <w:spacing w:before="107" w:line="219" w:lineRule="auto"/>
        <w:ind w:left="417"/>
        <w:rPr>
          <w:sz w:val="21"/>
          <w:szCs w:val="21"/>
        </w:rPr>
      </w:pPr>
      <w:r>
        <w:rPr>
          <w:spacing w:val="-3"/>
          <w:sz w:val="21"/>
          <w:szCs w:val="21"/>
        </w:rPr>
        <w:t>电子信箱：</w:t>
      </w:r>
      <w:r>
        <w:rPr>
          <w:spacing w:val="-3"/>
          <w:sz w:val="21"/>
          <w:szCs w:val="21"/>
          <w:u w:val="single" w:color="auto"/>
        </w:rPr>
        <w:t xml:space="preserve">                   </w:t>
      </w:r>
    </w:p>
    <w:p w14:paraId="5D0E57D1">
      <w:pPr>
        <w:pStyle w:val="2"/>
        <w:spacing w:before="141" w:line="220" w:lineRule="auto"/>
        <w:ind w:left="417"/>
        <w:rPr>
          <w:sz w:val="21"/>
          <w:szCs w:val="21"/>
        </w:rPr>
      </w:pPr>
      <w:r>
        <w:rPr>
          <w:spacing w:val="-3"/>
          <w:sz w:val="21"/>
          <w:szCs w:val="21"/>
        </w:rPr>
        <w:t>开户银行：</w:t>
      </w:r>
      <w:r>
        <w:rPr>
          <w:spacing w:val="-3"/>
          <w:sz w:val="21"/>
          <w:szCs w:val="21"/>
          <w:u w:val="single" w:color="auto"/>
        </w:rPr>
        <w:t xml:space="preserve">                   </w:t>
      </w:r>
    </w:p>
    <w:p w14:paraId="15A1FD87">
      <w:pPr>
        <w:pStyle w:val="2"/>
        <w:spacing w:before="150" w:line="204" w:lineRule="auto"/>
        <w:ind w:left="417"/>
        <w:rPr>
          <w:sz w:val="19"/>
          <w:szCs w:val="19"/>
        </w:rPr>
      </w:pPr>
      <w:r>
        <w:rPr>
          <w:spacing w:val="-4"/>
          <w:sz w:val="19"/>
          <w:szCs w:val="19"/>
        </w:rPr>
        <w:t>账</w:t>
      </w:r>
      <w:r>
        <w:rPr>
          <w:spacing w:val="25"/>
          <w:sz w:val="19"/>
          <w:szCs w:val="19"/>
        </w:rPr>
        <w:t xml:space="preserve">  </w:t>
      </w:r>
      <w:r>
        <w:rPr>
          <w:spacing w:val="-4"/>
          <w:sz w:val="19"/>
          <w:szCs w:val="19"/>
        </w:rPr>
        <w:t>号：</w:t>
      </w:r>
      <w:r>
        <w:rPr>
          <w:spacing w:val="-64"/>
          <w:sz w:val="19"/>
          <w:szCs w:val="19"/>
        </w:rPr>
        <w:t xml:space="preserve"> </w:t>
      </w:r>
      <w:r>
        <w:rPr>
          <w:sz w:val="19"/>
          <w:szCs w:val="19"/>
          <w:u w:val="single" w:color="auto"/>
        </w:rPr>
        <w:t xml:space="preserve">                       </w:t>
      </w:r>
    </w:p>
    <w:p w14:paraId="46CDFB9A">
      <w:pPr>
        <w:spacing w:line="14" w:lineRule="auto"/>
        <w:rPr>
          <w:rFonts w:ascii="Arial"/>
          <w:sz w:val="2"/>
        </w:rPr>
      </w:pPr>
      <w:r>
        <w:rPr>
          <w:rFonts w:ascii="Arial" w:hAnsi="Arial" w:eastAsia="Arial" w:cs="Arial"/>
          <w:sz w:val="2"/>
          <w:szCs w:val="2"/>
        </w:rPr>
        <w:br w:type="column"/>
      </w:r>
    </w:p>
    <w:p w14:paraId="0D193C8E">
      <w:pPr>
        <w:pStyle w:val="2"/>
        <w:spacing w:before="36" w:line="219" w:lineRule="auto"/>
        <w:rPr>
          <w:sz w:val="19"/>
          <w:szCs w:val="19"/>
        </w:rPr>
      </w:pPr>
      <w:r>
        <w:rPr>
          <w:spacing w:val="2"/>
          <w:sz w:val="19"/>
          <w:szCs w:val="19"/>
        </w:rPr>
        <w:t>承包人：</w:t>
      </w:r>
      <w:r>
        <w:rPr>
          <w:spacing w:val="47"/>
          <w:sz w:val="19"/>
          <w:szCs w:val="19"/>
        </w:rPr>
        <w:t xml:space="preserve">  </w:t>
      </w:r>
      <w:r>
        <w:rPr>
          <w:spacing w:val="2"/>
          <w:sz w:val="19"/>
          <w:szCs w:val="19"/>
        </w:rPr>
        <w:t>(公章)</w:t>
      </w:r>
    </w:p>
    <w:p w14:paraId="791F5A7E">
      <w:pPr>
        <w:spacing w:line="461" w:lineRule="auto"/>
        <w:rPr>
          <w:rFonts w:ascii="Arial"/>
          <w:sz w:val="21"/>
        </w:rPr>
      </w:pPr>
    </w:p>
    <w:p w14:paraId="1AF6BE00">
      <w:pPr>
        <w:pStyle w:val="2"/>
        <w:spacing w:before="62" w:line="219" w:lineRule="auto"/>
        <w:rPr>
          <w:sz w:val="19"/>
          <w:szCs w:val="19"/>
        </w:rPr>
      </w:pPr>
      <w:r>
        <w:rPr>
          <w:spacing w:val="15"/>
          <w:sz w:val="19"/>
          <w:szCs w:val="19"/>
        </w:rPr>
        <w:t>法定代表人或其委托代理人：</w:t>
      </w:r>
    </w:p>
    <w:p w14:paraId="1AA3676C">
      <w:pPr>
        <w:pStyle w:val="2"/>
        <w:spacing w:before="145" w:line="219" w:lineRule="auto"/>
        <w:ind w:left="119"/>
        <w:rPr>
          <w:sz w:val="19"/>
          <w:szCs w:val="19"/>
        </w:rPr>
      </w:pPr>
      <w:r>
        <w:rPr>
          <w:spacing w:val="-15"/>
          <w:sz w:val="19"/>
          <w:szCs w:val="19"/>
        </w:rPr>
        <w:t>(</w:t>
      </w:r>
      <w:r>
        <w:rPr>
          <w:spacing w:val="-38"/>
          <w:sz w:val="19"/>
          <w:szCs w:val="19"/>
        </w:rPr>
        <w:t xml:space="preserve"> </w:t>
      </w:r>
      <w:r>
        <w:rPr>
          <w:spacing w:val="-15"/>
          <w:sz w:val="19"/>
          <w:szCs w:val="19"/>
        </w:rPr>
        <w:t>签</w:t>
      </w:r>
      <w:r>
        <w:rPr>
          <w:spacing w:val="-39"/>
          <w:sz w:val="19"/>
          <w:szCs w:val="19"/>
        </w:rPr>
        <w:t xml:space="preserve"> </w:t>
      </w:r>
      <w:r>
        <w:rPr>
          <w:spacing w:val="-15"/>
          <w:sz w:val="19"/>
          <w:szCs w:val="19"/>
        </w:rPr>
        <w:t>字</w:t>
      </w:r>
      <w:r>
        <w:rPr>
          <w:spacing w:val="-40"/>
          <w:sz w:val="19"/>
          <w:szCs w:val="19"/>
        </w:rPr>
        <w:t xml:space="preserve"> </w:t>
      </w:r>
      <w:r>
        <w:rPr>
          <w:spacing w:val="-15"/>
          <w:sz w:val="19"/>
          <w:szCs w:val="19"/>
        </w:rPr>
        <w:t>)</w:t>
      </w:r>
    </w:p>
    <w:p w14:paraId="1126FC35">
      <w:pPr>
        <w:spacing w:line="478" w:lineRule="auto"/>
        <w:rPr>
          <w:rFonts w:ascii="Arial"/>
          <w:sz w:val="21"/>
        </w:rPr>
      </w:pPr>
    </w:p>
    <w:p w14:paraId="2A6C5D0B">
      <w:pPr>
        <w:pStyle w:val="2"/>
        <w:spacing w:before="62" w:line="219" w:lineRule="auto"/>
        <w:rPr>
          <w:sz w:val="19"/>
          <w:szCs w:val="19"/>
        </w:rPr>
      </w:pPr>
      <w:r>
        <w:rPr>
          <w:spacing w:val="-2"/>
          <w:sz w:val="19"/>
          <w:szCs w:val="19"/>
        </w:rPr>
        <w:t>组织机构代码：</w:t>
      </w:r>
      <w:r>
        <w:rPr>
          <w:spacing w:val="57"/>
          <w:sz w:val="19"/>
          <w:szCs w:val="19"/>
        </w:rPr>
        <w:t xml:space="preserve"> </w:t>
      </w:r>
      <w:r>
        <w:rPr>
          <w:sz w:val="19"/>
          <w:szCs w:val="19"/>
          <w:u w:val="single" w:color="auto"/>
        </w:rPr>
        <w:t xml:space="preserve">                  </w:t>
      </w:r>
    </w:p>
    <w:p w14:paraId="79353FD4">
      <w:pPr>
        <w:pStyle w:val="2"/>
        <w:spacing w:before="145" w:line="229" w:lineRule="auto"/>
        <w:rPr>
          <w:sz w:val="19"/>
          <w:szCs w:val="19"/>
        </w:rPr>
      </w:pPr>
      <w:r>
        <w:rPr>
          <w:spacing w:val="-9"/>
          <w:sz w:val="19"/>
          <w:szCs w:val="19"/>
        </w:rPr>
        <w:t>地</w:t>
      </w:r>
      <w:r>
        <w:rPr>
          <w:spacing w:val="31"/>
          <w:sz w:val="19"/>
          <w:szCs w:val="19"/>
        </w:rPr>
        <w:t xml:space="preserve">  </w:t>
      </w:r>
      <w:r>
        <w:rPr>
          <w:spacing w:val="-9"/>
          <w:sz w:val="19"/>
          <w:szCs w:val="19"/>
        </w:rPr>
        <w:t>址</w:t>
      </w:r>
      <w:r>
        <w:rPr>
          <w:spacing w:val="-38"/>
          <w:sz w:val="19"/>
          <w:szCs w:val="19"/>
        </w:rPr>
        <w:t xml:space="preserve"> </w:t>
      </w:r>
      <w:r>
        <w:rPr>
          <w:spacing w:val="-9"/>
          <w:sz w:val="19"/>
          <w:szCs w:val="19"/>
        </w:rPr>
        <w:t>：</w:t>
      </w:r>
      <w:r>
        <w:rPr>
          <w:spacing w:val="-9"/>
          <w:sz w:val="19"/>
          <w:szCs w:val="19"/>
          <w:u w:val="single" w:color="auto"/>
        </w:rPr>
        <w:t xml:space="preserve">                          </w:t>
      </w:r>
    </w:p>
    <w:p w14:paraId="31C0EEF8">
      <w:pPr>
        <w:pStyle w:val="2"/>
        <w:spacing w:before="155" w:line="219" w:lineRule="auto"/>
        <w:rPr>
          <w:sz w:val="19"/>
          <w:szCs w:val="19"/>
        </w:rPr>
      </w:pPr>
      <w:r>
        <w:rPr>
          <w:spacing w:val="-1"/>
          <w:sz w:val="19"/>
          <w:szCs w:val="19"/>
        </w:rPr>
        <w:t xml:space="preserve">邮政编码： </w:t>
      </w:r>
      <w:r>
        <w:rPr>
          <w:sz w:val="19"/>
          <w:szCs w:val="19"/>
          <w:u w:val="single" w:color="auto"/>
        </w:rPr>
        <w:t xml:space="preserve">                      </w:t>
      </w:r>
    </w:p>
    <w:p w14:paraId="16C47C70">
      <w:pPr>
        <w:pStyle w:val="2"/>
        <w:spacing w:before="146" w:line="219" w:lineRule="auto"/>
        <w:rPr>
          <w:sz w:val="20"/>
          <w:szCs w:val="20"/>
        </w:rPr>
      </w:pPr>
      <w:r>
        <w:rPr>
          <w:spacing w:val="3"/>
          <w:sz w:val="20"/>
          <w:szCs w:val="20"/>
        </w:rPr>
        <w:t>法定代表人：</w:t>
      </w:r>
      <w:r>
        <w:rPr>
          <w:sz w:val="20"/>
          <w:szCs w:val="20"/>
          <w:u w:val="single" w:color="auto"/>
        </w:rPr>
        <w:t xml:space="preserve">                   </w:t>
      </w:r>
    </w:p>
    <w:p w14:paraId="6D780C3F">
      <w:pPr>
        <w:pStyle w:val="2"/>
        <w:spacing w:before="123" w:line="219" w:lineRule="auto"/>
        <w:rPr>
          <w:sz w:val="21"/>
          <w:szCs w:val="21"/>
        </w:rPr>
      </w:pPr>
      <w:r>
        <w:rPr>
          <w:spacing w:val="-3"/>
          <w:sz w:val="21"/>
          <w:szCs w:val="21"/>
        </w:rPr>
        <w:t>委托代理人：</w:t>
      </w:r>
      <w:r>
        <w:rPr>
          <w:spacing w:val="-3"/>
          <w:sz w:val="21"/>
          <w:szCs w:val="21"/>
          <w:u w:val="single" w:color="auto"/>
        </w:rPr>
        <w:t xml:space="preserve">                  </w:t>
      </w:r>
    </w:p>
    <w:p w14:paraId="61F7437B">
      <w:pPr>
        <w:pStyle w:val="2"/>
        <w:spacing w:before="152" w:line="221" w:lineRule="auto"/>
        <w:rPr>
          <w:sz w:val="19"/>
          <w:szCs w:val="19"/>
        </w:rPr>
      </w:pPr>
      <w:r>
        <w:rPr>
          <w:spacing w:val="-9"/>
          <w:sz w:val="19"/>
          <w:szCs w:val="19"/>
        </w:rPr>
        <w:t>电</w:t>
      </w:r>
      <w:r>
        <w:rPr>
          <w:spacing w:val="36"/>
          <w:sz w:val="19"/>
          <w:szCs w:val="19"/>
        </w:rPr>
        <w:t xml:space="preserve">  </w:t>
      </w:r>
      <w:r>
        <w:rPr>
          <w:spacing w:val="-9"/>
          <w:sz w:val="19"/>
          <w:szCs w:val="19"/>
        </w:rPr>
        <w:t>话</w:t>
      </w:r>
      <w:r>
        <w:rPr>
          <w:spacing w:val="-48"/>
          <w:sz w:val="19"/>
          <w:szCs w:val="19"/>
        </w:rPr>
        <w:t xml:space="preserve"> </w:t>
      </w:r>
      <w:r>
        <w:rPr>
          <w:spacing w:val="-9"/>
          <w:sz w:val="19"/>
          <w:szCs w:val="19"/>
        </w:rPr>
        <w:t>：</w:t>
      </w:r>
      <w:r>
        <w:rPr>
          <w:spacing w:val="-9"/>
          <w:sz w:val="19"/>
          <w:szCs w:val="19"/>
          <w:u w:val="single" w:color="auto"/>
        </w:rPr>
        <w:t xml:space="preserve">                          </w:t>
      </w:r>
    </w:p>
    <w:p w14:paraId="38898F73">
      <w:pPr>
        <w:pStyle w:val="2"/>
        <w:spacing w:before="159" w:line="219" w:lineRule="auto"/>
        <w:rPr>
          <w:sz w:val="19"/>
          <w:szCs w:val="19"/>
        </w:rPr>
      </w:pPr>
      <w:r>
        <w:rPr>
          <w:spacing w:val="-5"/>
          <w:sz w:val="19"/>
          <w:szCs w:val="19"/>
        </w:rPr>
        <w:t>传</w:t>
      </w:r>
      <w:r>
        <w:rPr>
          <w:spacing w:val="22"/>
          <w:sz w:val="19"/>
          <w:szCs w:val="19"/>
        </w:rPr>
        <w:t xml:space="preserve">  </w:t>
      </w:r>
      <w:r>
        <w:rPr>
          <w:spacing w:val="-5"/>
          <w:sz w:val="19"/>
          <w:szCs w:val="19"/>
        </w:rPr>
        <w:t>真</w:t>
      </w:r>
      <w:r>
        <w:rPr>
          <w:spacing w:val="-46"/>
          <w:sz w:val="19"/>
          <w:szCs w:val="19"/>
        </w:rPr>
        <w:t xml:space="preserve"> </w:t>
      </w:r>
      <w:r>
        <w:rPr>
          <w:spacing w:val="-5"/>
          <w:sz w:val="19"/>
          <w:szCs w:val="19"/>
        </w:rPr>
        <w:t>：</w:t>
      </w:r>
      <w:r>
        <w:rPr>
          <w:spacing w:val="-5"/>
          <w:sz w:val="19"/>
          <w:szCs w:val="19"/>
          <w:u w:val="single" w:color="auto"/>
        </w:rPr>
        <w:t xml:space="preserve">                         </w:t>
      </w:r>
    </w:p>
    <w:p w14:paraId="2137ACCA">
      <w:pPr>
        <w:pStyle w:val="2"/>
        <w:spacing w:before="146" w:line="219" w:lineRule="auto"/>
        <w:rPr>
          <w:sz w:val="20"/>
          <w:szCs w:val="20"/>
        </w:rPr>
      </w:pPr>
      <w:r>
        <w:rPr>
          <w:spacing w:val="-1"/>
          <w:sz w:val="20"/>
          <w:szCs w:val="20"/>
        </w:rPr>
        <w:t>电子信箱：</w:t>
      </w:r>
      <w:r>
        <w:rPr>
          <w:sz w:val="20"/>
          <w:szCs w:val="20"/>
          <w:u w:val="single" w:color="auto"/>
        </w:rPr>
        <w:t xml:space="preserve">                     </w:t>
      </w:r>
    </w:p>
    <w:p w14:paraId="1FAADDD0">
      <w:pPr>
        <w:pStyle w:val="2"/>
        <w:spacing w:before="134" w:line="220" w:lineRule="auto"/>
        <w:rPr>
          <w:sz w:val="21"/>
          <w:szCs w:val="21"/>
        </w:rPr>
      </w:pPr>
      <w:r>
        <w:rPr>
          <w:spacing w:val="-3"/>
          <w:sz w:val="21"/>
          <w:szCs w:val="21"/>
        </w:rPr>
        <w:t>开户银行：</w:t>
      </w:r>
      <w:r>
        <w:rPr>
          <w:sz w:val="21"/>
          <w:szCs w:val="21"/>
          <w:u w:val="single" w:color="auto"/>
        </w:rPr>
        <w:t xml:space="preserve">                    </w:t>
      </w:r>
    </w:p>
    <w:p w14:paraId="58002C74">
      <w:pPr>
        <w:pStyle w:val="2"/>
        <w:spacing w:before="170" w:line="184" w:lineRule="auto"/>
        <w:rPr>
          <w:sz w:val="19"/>
          <w:szCs w:val="19"/>
        </w:rPr>
      </w:pPr>
      <w:r>
        <w:rPr>
          <w:spacing w:val="-15"/>
          <w:sz w:val="19"/>
          <w:szCs w:val="19"/>
        </w:rPr>
        <w:t>账</w:t>
      </w:r>
      <w:r>
        <w:rPr>
          <w:spacing w:val="25"/>
          <w:sz w:val="19"/>
          <w:szCs w:val="19"/>
        </w:rPr>
        <w:t xml:space="preserve">  </w:t>
      </w:r>
      <w:r>
        <w:rPr>
          <w:spacing w:val="-15"/>
          <w:sz w:val="19"/>
          <w:szCs w:val="19"/>
        </w:rPr>
        <w:t>号</w:t>
      </w:r>
      <w:r>
        <w:rPr>
          <w:spacing w:val="-11"/>
          <w:sz w:val="19"/>
          <w:szCs w:val="19"/>
        </w:rPr>
        <w:t xml:space="preserve"> </w:t>
      </w:r>
      <w:r>
        <w:rPr>
          <w:spacing w:val="-15"/>
          <w:sz w:val="19"/>
          <w:szCs w:val="19"/>
        </w:rPr>
        <w:t>：</w:t>
      </w:r>
      <w:r>
        <w:rPr>
          <w:sz w:val="19"/>
          <w:szCs w:val="19"/>
          <w:u w:val="single" w:color="auto"/>
        </w:rPr>
        <w:t xml:space="preserve">                        </w:t>
      </w:r>
    </w:p>
    <w:p w14:paraId="49FB435F">
      <w:pPr>
        <w:spacing w:line="184" w:lineRule="auto"/>
        <w:rPr>
          <w:sz w:val="19"/>
          <w:szCs w:val="19"/>
        </w:rPr>
        <w:sectPr>
          <w:type w:val="continuous"/>
          <w:pgSz w:w="11910" w:h="16840"/>
          <w:pgMar w:top="400" w:right="1786" w:bottom="1024" w:left="1452" w:header="0" w:footer="889" w:gutter="0"/>
          <w:cols w:equalWidth="0" w:num="2">
            <w:col w:w="4528" w:space="100"/>
            <w:col w:w="4044"/>
          </w:cols>
        </w:sectPr>
      </w:pPr>
    </w:p>
    <w:p w14:paraId="2E8282D2">
      <w:pPr>
        <w:spacing w:line="272" w:lineRule="auto"/>
        <w:rPr>
          <w:rFonts w:ascii="Arial"/>
          <w:sz w:val="21"/>
        </w:rPr>
      </w:pPr>
    </w:p>
    <w:p w14:paraId="483F892B">
      <w:pPr>
        <w:spacing w:line="272" w:lineRule="auto"/>
        <w:rPr>
          <w:rFonts w:ascii="Arial"/>
          <w:sz w:val="21"/>
        </w:rPr>
      </w:pPr>
    </w:p>
    <w:p w14:paraId="5B96B54A">
      <w:pPr>
        <w:spacing w:line="273" w:lineRule="auto"/>
        <w:rPr>
          <w:rFonts w:ascii="Arial"/>
          <w:sz w:val="21"/>
        </w:rPr>
      </w:pPr>
    </w:p>
    <w:p w14:paraId="55AD12F7">
      <w:pPr>
        <w:spacing w:line="273" w:lineRule="auto"/>
        <w:rPr>
          <w:rFonts w:ascii="Arial"/>
          <w:sz w:val="21"/>
        </w:rPr>
      </w:pPr>
    </w:p>
    <w:p w14:paraId="19798043">
      <w:pPr>
        <w:spacing w:line="273" w:lineRule="auto"/>
        <w:rPr>
          <w:rFonts w:ascii="Arial"/>
          <w:sz w:val="21"/>
        </w:rPr>
      </w:pPr>
    </w:p>
    <w:p w14:paraId="77470D3D">
      <w:pPr>
        <w:spacing w:before="94" w:line="222" w:lineRule="auto"/>
        <w:ind w:left="2657"/>
        <w:rPr>
          <w:rFonts w:ascii="黑体" w:hAnsi="黑体" w:eastAsia="黑体" w:cs="黑体"/>
          <w:sz w:val="29"/>
          <w:szCs w:val="29"/>
        </w:rPr>
      </w:pPr>
      <w:r>
        <w:rPr>
          <w:rFonts w:ascii="黑体" w:hAnsi="黑体" w:eastAsia="黑体" w:cs="黑体"/>
          <w:b/>
          <w:bCs/>
          <w:spacing w:val="3"/>
          <w:sz w:val="29"/>
          <w:szCs w:val="29"/>
        </w:rPr>
        <w:t>第二部分通用合同条款</w:t>
      </w:r>
    </w:p>
    <w:p w14:paraId="20B32C5F">
      <w:pPr>
        <w:spacing w:line="222" w:lineRule="auto"/>
        <w:rPr>
          <w:rFonts w:ascii="黑体" w:hAnsi="黑体" w:eastAsia="黑体" w:cs="黑体"/>
          <w:sz w:val="29"/>
          <w:szCs w:val="29"/>
        </w:rPr>
        <w:sectPr>
          <w:footerReference r:id="rId190" w:type="default"/>
          <w:pgSz w:w="11910" w:h="16840"/>
          <w:pgMar w:top="400" w:right="1786" w:bottom="1024" w:left="1786" w:header="0" w:footer="889" w:gutter="0"/>
          <w:cols w:space="720" w:num="1"/>
        </w:sectPr>
      </w:pPr>
    </w:p>
    <w:p w14:paraId="03B0496C">
      <w:pPr>
        <w:spacing w:line="251" w:lineRule="auto"/>
        <w:rPr>
          <w:rFonts w:ascii="Arial"/>
          <w:sz w:val="21"/>
        </w:rPr>
      </w:pPr>
    </w:p>
    <w:p w14:paraId="7EBD3B5C">
      <w:pPr>
        <w:spacing w:line="251" w:lineRule="auto"/>
        <w:rPr>
          <w:rFonts w:ascii="Arial"/>
          <w:sz w:val="21"/>
        </w:rPr>
      </w:pPr>
    </w:p>
    <w:p w14:paraId="5567C584">
      <w:pPr>
        <w:spacing w:line="251" w:lineRule="auto"/>
        <w:rPr>
          <w:rFonts w:ascii="Arial"/>
          <w:sz w:val="21"/>
        </w:rPr>
      </w:pPr>
    </w:p>
    <w:p w14:paraId="552F8B0B">
      <w:pPr>
        <w:spacing w:line="251" w:lineRule="auto"/>
        <w:rPr>
          <w:rFonts w:ascii="Arial"/>
          <w:sz w:val="21"/>
        </w:rPr>
      </w:pPr>
    </w:p>
    <w:p w14:paraId="38D3AEE9">
      <w:pPr>
        <w:spacing w:line="251" w:lineRule="auto"/>
        <w:rPr>
          <w:rFonts w:ascii="Arial"/>
          <w:sz w:val="21"/>
        </w:rPr>
      </w:pPr>
    </w:p>
    <w:p w14:paraId="0B7F01A6">
      <w:pPr>
        <w:spacing w:before="95" w:line="222" w:lineRule="auto"/>
        <w:ind w:left="3594"/>
        <w:rPr>
          <w:rFonts w:ascii="黑体" w:hAnsi="黑体" w:eastAsia="黑体" w:cs="黑体"/>
          <w:sz w:val="29"/>
          <w:szCs w:val="29"/>
        </w:rPr>
      </w:pPr>
      <w:r>
        <w:rPr>
          <w:rFonts w:ascii="黑体" w:hAnsi="黑体" w:eastAsia="黑体" w:cs="黑体"/>
          <w:b/>
          <w:bCs/>
          <w:spacing w:val="-5"/>
          <w:sz w:val="29"/>
          <w:szCs w:val="29"/>
        </w:rPr>
        <w:t>通用合同条款</w:t>
      </w:r>
    </w:p>
    <w:p w14:paraId="0E8C8A13">
      <w:pPr>
        <w:spacing w:line="445" w:lineRule="auto"/>
        <w:rPr>
          <w:rFonts w:ascii="Arial"/>
          <w:sz w:val="21"/>
        </w:rPr>
      </w:pPr>
    </w:p>
    <w:p w14:paraId="44BACFE9">
      <w:pPr>
        <w:pStyle w:val="2"/>
        <w:spacing w:before="94" w:line="220" w:lineRule="auto"/>
        <w:ind w:left="4"/>
        <w:rPr>
          <w:sz w:val="29"/>
          <w:szCs w:val="29"/>
        </w:rPr>
      </w:pPr>
      <w:r>
        <w:rPr>
          <w:b/>
          <w:bCs/>
          <w:spacing w:val="-6"/>
          <w:sz w:val="29"/>
          <w:szCs w:val="29"/>
        </w:rPr>
        <w:t>1.</w:t>
      </w:r>
      <w:r>
        <w:rPr>
          <w:spacing w:val="-68"/>
          <w:sz w:val="29"/>
          <w:szCs w:val="29"/>
        </w:rPr>
        <w:t xml:space="preserve"> </w:t>
      </w:r>
      <w:r>
        <w:rPr>
          <w:b/>
          <w:bCs/>
          <w:spacing w:val="-6"/>
          <w:sz w:val="29"/>
          <w:szCs w:val="29"/>
        </w:rPr>
        <w:t>一般约定</w:t>
      </w:r>
    </w:p>
    <w:p w14:paraId="2EE5EECB">
      <w:pPr>
        <w:pStyle w:val="2"/>
        <w:spacing w:before="92" w:line="219" w:lineRule="auto"/>
        <w:ind w:left="3"/>
      </w:pPr>
      <w:r>
        <w:rPr>
          <w:b/>
          <w:bCs/>
          <w:spacing w:val="-6"/>
        </w:rPr>
        <w:t>1.1词语定义与解释</w:t>
      </w:r>
    </w:p>
    <w:p w14:paraId="3BE0B233">
      <w:pPr>
        <w:pStyle w:val="2"/>
        <w:spacing w:before="123" w:line="219" w:lineRule="auto"/>
        <w:ind w:left="419"/>
        <w:rPr>
          <w:sz w:val="20"/>
          <w:szCs w:val="20"/>
        </w:rPr>
      </w:pPr>
      <w:r>
        <w:rPr>
          <w:spacing w:val="9"/>
          <w:sz w:val="20"/>
          <w:szCs w:val="20"/>
        </w:rPr>
        <w:t>合同协议书、通用合同条款、专用合同条款中的下列词语具有本款所</w:t>
      </w:r>
      <w:r>
        <w:rPr>
          <w:spacing w:val="8"/>
          <w:sz w:val="20"/>
          <w:szCs w:val="20"/>
        </w:rPr>
        <w:t>赋予的含义：</w:t>
      </w:r>
    </w:p>
    <w:p w14:paraId="6DBDA9B4">
      <w:pPr>
        <w:pStyle w:val="2"/>
        <w:spacing w:before="176" w:line="221" w:lineRule="auto"/>
        <w:ind w:left="419"/>
        <w:rPr>
          <w:sz w:val="20"/>
          <w:szCs w:val="20"/>
        </w:rPr>
      </w:pPr>
      <w:r>
        <w:rPr>
          <w:spacing w:val="6"/>
          <w:sz w:val="20"/>
          <w:szCs w:val="20"/>
        </w:rPr>
        <w:t>1.1.1合同</w:t>
      </w:r>
    </w:p>
    <w:p w14:paraId="2018AFC4">
      <w:pPr>
        <w:pStyle w:val="2"/>
        <w:spacing w:before="149" w:line="318" w:lineRule="auto"/>
        <w:ind w:right="71" w:firstLine="419"/>
        <w:rPr>
          <w:sz w:val="20"/>
          <w:szCs w:val="20"/>
        </w:rPr>
      </w:pPr>
      <w:r>
        <w:rPr>
          <w:spacing w:val="7"/>
          <w:sz w:val="20"/>
          <w:szCs w:val="20"/>
        </w:rPr>
        <w:t>1.1.1.1 合同：是指根据法律规定和合同当事人约定</w:t>
      </w:r>
      <w:r>
        <w:rPr>
          <w:spacing w:val="6"/>
          <w:sz w:val="20"/>
          <w:szCs w:val="20"/>
        </w:rPr>
        <w:t>具有约束力的文件，构成合同的文件包括</w:t>
      </w:r>
      <w:r>
        <w:rPr>
          <w:sz w:val="20"/>
          <w:szCs w:val="20"/>
        </w:rPr>
        <w:t xml:space="preserve"> </w:t>
      </w:r>
      <w:r>
        <w:rPr>
          <w:spacing w:val="17"/>
          <w:sz w:val="20"/>
          <w:szCs w:val="20"/>
        </w:rPr>
        <w:t>合同协议书、中标通知书(如果有)、投标函及其附录</w:t>
      </w:r>
      <w:r>
        <w:rPr>
          <w:spacing w:val="16"/>
          <w:sz w:val="20"/>
          <w:szCs w:val="20"/>
        </w:rPr>
        <w:t>(如果有)、专用合同条款及其附件、通用</w:t>
      </w:r>
      <w:r>
        <w:rPr>
          <w:sz w:val="20"/>
          <w:szCs w:val="20"/>
        </w:rPr>
        <w:t xml:space="preserve"> </w:t>
      </w:r>
      <w:r>
        <w:rPr>
          <w:spacing w:val="10"/>
          <w:sz w:val="20"/>
          <w:szCs w:val="20"/>
        </w:rPr>
        <w:t>合同条款、技术标准和要求、图纸、已标价工程量清单或</w:t>
      </w:r>
      <w:r>
        <w:rPr>
          <w:spacing w:val="9"/>
          <w:sz w:val="20"/>
          <w:szCs w:val="20"/>
        </w:rPr>
        <w:t>预算书以及其他合同文件。</w:t>
      </w:r>
    </w:p>
    <w:p w14:paraId="2B02C210">
      <w:pPr>
        <w:pStyle w:val="2"/>
        <w:spacing w:before="184" w:line="305" w:lineRule="auto"/>
        <w:ind w:right="91" w:firstLine="422"/>
        <w:rPr>
          <w:sz w:val="17"/>
          <w:szCs w:val="17"/>
        </w:rPr>
      </w:pPr>
      <w:r>
        <w:rPr>
          <w:b/>
          <w:bCs/>
          <w:spacing w:val="1"/>
          <w:sz w:val="20"/>
          <w:szCs w:val="20"/>
        </w:rPr>
        <w:t>1.1.1.2</w:t>
      </w:r>
      <w:r>
        <w:rPr>
          <w:spacing w:val="1"/>
          <w:sz w:val="20"/>
          <w:szCs w:val="20"/>
        </w:rPr>
        <w:t xml:space="preserve"> 合同协议书：是指构成合同的由发包人和承包人共同签署的称为“合同协议书”的书面</w:t>
      </w:r>
      <w:r>
        <w:rPr>
          <w:spacing w:val="14"/>
          <w:sz w:val="20"/>
          <w:szCs w:val="20"/>
        </w:rPr>
        <w:t xml:space="preserve"> </w:t>
      </w:r>
      <w:r>
        <w:rPr>
          <w:spacing w:val="-5"/>
          <w:sz w:val="17"/>
          <w:szCs w:val="17"/>
        </w:rPr>
        <w:t>文</w:t>
      </w:r>
      <w:r>
        <w:rPr>
          <w:spacing w:val="-26"/>
          <w:sz w:val="17"/>
          <w:szCs w:val="17"/>
        </w:rPr>
        <w:t xml:space="preserve"> </w:t>
      </w:r>
      <w:r>
        <w:rPr>
          <w:spacing w:val="-5"/>
          <w:sz w:val="17"/>
          <w:szCs w:val="17"/>
        </w:rPr>
        <w:t>件</w:t>
      </w:r>
      <w:r>
        <w:rPr>
          <w:spacing w:val="-31"/>
          <w:sz w:val="17"/>
          <w:szCs w:val="17"/>
        </w:rPr>
        <w:t xml:space="preserve"> </w:t>
      </w:r>
      <w:r>
        <w:rPr>
          <w:spacing w:val="-5"/>
          <w:sz w:val="17"/>
          <w:szCs w:val="17"/>
        </w:rPr>
        <w:t>。</w:t>
      </w:r>
    </w:p>
    <w:p w14:paraId="3920E6F9">
      <w:pPr>
        <w:pStyle w:val="2"/>
        <w:spacing w:before="179" w:line="219" w:lineRule="auto"/>
        <w:ind w:left="419"/>
        <w:rPr>
          <w:sz w:val="20"/>
          <w:szCs w:val="20"/>
        </w:rPr>
      </w:pPr>
      <w:r>
        <w:rPr>
          <w:rFonts w:ascii="Times New Roman" w:hAnsi="Times New Roman" w:eastAsia="Times New Roman" w:cs="Times New Roman"/>
          <w:b/>
          <w:bCs/>
          <w:spacing w:val="7"/>
          <w:sz w:val="20"/>
          <w:szCs w:val="20"/>
        </w:rPr>
        <w:t>1.1.1.3</w:t>
      </w:r>
      <w:r>
        <w:rPr>
          <w:rFonts w:ascii="Times New Roman" w:hAnsi="Times New Roman" w:eastAsia="Times New Roman" w:cs="Times New Roman"/>
          <w:b/>
          <w:bCs/>
          <w:spacing w:val="25"/>
          <w:sz w:val="20"/>
          <w:szCs w:val="20"/>
        </w:rPr>
        <w:t xml:space="preserve">  </w:t>
      </w:r>
      <w:r>
        <w:rPr>
          <w:spacing w:val="7"/>
          <w:sz w:val="20"/>
          <w:szCs w:val="20"/>
        </w:rPr>
        <w:t>中标通知书：是指构成合同的由发包人通知承包人中标的书面文件。</w:t>
      </w:r>
    </w:p>
    <w:p w14:paraId="1E0FD5BA">
      <w:pPr>
        <w:pStyle w:val="2"/>
        <w:spacing w:before="174" w:line="219" w:lineRule="auto"/>
        <w:ind w:left="419"/>
        <w:rPr>
          <w:sz w:val="20"/>
          <w:szCs w:val="20"/>
        </w:rPr>
      </w:pPr>
      <w:r>
        <w:rPr>
          <w:rFonts w:ascii="Times New Roman" w:hAnsi="Times New Roman" w:eastAsia="Times New Roman" w:cs="Times New Roman"/>
          <w:b/>
          <w:bCs/>
          <w:spacing w:val="2"/>
          <w:sz w:val="20"/>
          <w:szCs w:val="20"/>
        </w:rPr>
        <w:t xml:space="preserve">1.1.1.4   </w:t>
      </w:r>
      <w:r>
        <w:rPr>
          <w:spacing w:val="2"/>
          <w:sz w:val="20"/>
          <w:szCs w:val="20"/>
        </w:rPr>
        <w:t>投标函：是指构成合同的由承包人填写并签署的用于投标的称为“投标函”的文件。</w:t>
      </w:r>
    </w:p>
    <w:p w14:paraId="22780D83">
      <w:pPr>
        <w:pStyle w:val="2"/>
        <w:spacing w:before="141" w:line="219" w:lineRule="auto"/>
        <w:ind w:left="419"/>
        <w:rPr>
          <w:sz w:val="20"/>
          <w:szCs w:val="20"/>
        </w:rPr>
      </w:pPr>
      <w:r>
        <w:rPr>
          <w:rFonts w:ascii="Times New Roman" w:hAnsi="Times New Roman" w:eastAsia="Times New Roman" w:cs="Times New Roman"/>
          <w:b/>
          <w:bCs/>
          <w:spacing w:val="1"/>
          <w:sz w:val="20"/>
          <w:szCs w:val="20"/>
        </w:rPr>
        <w:t>1.1.1.5</w:t>
      </w:r>
      <w:r>
        <w:rPr>
          <w:rFonts w:ascii="Times New Roman" w:hAnsi="Times New Roman" w:eastAsia="Times New Roman" w:cs="Times New Roman"/>
          <w:b/>
          <w:bCs/>
          <w:spacing w:val="24"/>
          <w:sz w:val="20"/>
          <w:szCs w:val="20"/>
        </w:rPr>
        <w:t xml:space="preserve">  </w:t>
      </w:r>
      <w:r>
        <w:rPr>
          <w:spacing w:val="1"/>
          <w:sz w:val="20"/>
          <w:szCs w:val="20"/>
        </w:rPr>
        <w:t>投标函附录：是指构成合同的附在投标函后的称为“投标函附录”的文件。</w:t>
      </w:r>
    </w:p>
    <w:p w14:paraId="519626A6">
      <w:pPr>
        <w:pStyle w:val="2"/>
        <w:spacing w:before="185" w:line="294" w:lineRule="auto"/>
        <w:ind w:right="83" w:firstLine="422"/>
        <w:rPr>
          <w:sz w:val="20"/>
          <w:szCs w:val="20"/>
        </w:rPr>
      </w:pPr>
      <w:r>
        <w:rPr>
          <w:b/>
          <w:bCs/>
          <w:spacing w:val="6"/>
          <w:sz w:val="20"/>
          <w:szCs w:val="20"/>
        </w:rPr>
        <w:t>1.1.1.6</w:t>
      </w:r>
      <w:r>
        <w:rPr>
          <w:spacing w:val="6"/>
          <w:sz w:val="20"/>
          <w:szCs w:val="20"/>
        </w:rPr>
        <w:t xml:space="preserve"> 技术标准和要求：是指构成合同的施工应当遵守的或指导施工的国家、行业或</w:t>
      </w:r>
      <w:r>
        <w:rPr>
          <w:spacing w:val="5"/>
          <w:sz w:val="20"/>
          <w:szCs w:val="20"/>
        </w:rPr>
        <w:t>地方的</w:t>
      </w:r>
      <w:r>
        <w:rPr>
          <w:sz w:val="20"/>
          <w:szCs w:val="20"/>
        </w:rPr>
        <w:t xml:space="preserve"> </w:t>
      </w:r>
      <w:r>
        <w:rPr>
          <w:spacing w:val="8"/>
          <w:sz w:val="20"/>
          <w:szCs w:val="20"/>
        </w:rPr>
        <w:t>技术标准和要求，以及合同约定的技术标准和要求。</w:t>
      </w:r>
    </w:p>
    <w:p w14:paraId="03C30431">
      <w:pPr>
        <w:pStyle w:val="2"/>
        <w:spacing w:before="130" w:line="326" w:lineRule="auto"/>
        <w:ind w:right="91" w:firstLine="422"/>
        <w:rPr>
          <w:sz w:val="20"/>
          <w:szCs w:val="20"/>
        </w:rPr>
      </w:pPr>
      <w:r>
        <w:rPr>
          <w:b/>
          <w:bCs/>
          <w:spacing w:val="6"/>
          <w:sz w:val="20"/>
          <w:szCs w:val="20"/>
        </w:rPr>
        <w:t>1.1.1.7</w:t>
      </w:r>
      <w:r>
        <w:rPr>
          <w:spacing w:val="6"/>
          <w:sz w:val="20"/>
          <w:szCs w:val="20"/>
        </w:rPr>
        <w:t xml:space="preserve"> 图纸：是指构成合同的图纸，包括由发包人按照合同约定提供</w:t>
      </w:r>
      <w:r>
        <w:rPr>
          <w:spacing w:val="5"/>
          <w:sz w:val="20"/>
          <w:szCs w:val="20"/>
        </w:rPr>
        <w:t>或经发包人批准的设计</w:t>
      </w:r>
      <w:r>
        <w:rPr>
          <w:sz w:val="20"/>
          <w:szCs w:val="20"/>
        </w:rPr>
        <w:t xml:space="preserve"> </w:t>
      </w:r>
      <w:r>
        <w:rPr>
          <w:spacing w:val="12"/>
          <w:sz w:val="20"/>
          <w:szCs w:val="20"/>
        </w:rPr>
        <w:t>文件、施工图、鸟瞰图及模型等，以及在合同履行过程中形成的图纸文件。图纸</w:t>
      </w:r>
      <w:r>
        <w:rPr>
          <w:spacing w:val="11"/>
          <w:sz w:val="20"/>
          <w:szCs w:val="20"/>
        </w:rPr>
        <w:t>应当按照法律规</w:t>
      </w:r>
      <w:r>
        <w:rPr>
          <w:sz w:val="20"/>
          <w:szCs w:val="20"/>
        </w:rPr>
        <w:t xml:space="preserve"> </w:t>
      </w:r>
      <w:r>
        <w:rPr>
          <w:spacing w:val="4"/>
          <w:sz w:val="20"/>
          <w:szCs w:val="20"/>
        </w:rPr>
        <w:t>定审查合格。</w:t>
      </w:r>
    </w:p>
    <w:p w14:paraId="2456F790">
      <w:pPr>
        <w:pStyle w:val="2"/>
        <w:spacing w:before="171" w:line="295" w:lineRule="auto"/>
        <w:ind w:right="91" w:firstLine="422"/>
        <w:rPr>
          <w:sz w:val="20"/>
          <w:szCs w:val="20"/>
        </w:rPr>
      </w:pPr>
      <w:r>
        <w:rPr>
          <w:b/>
          <w:bCs/>
          <w:spacing w:val="6"/>
          <w:sz w:val="20"/>
          <w:szCs w:val="20"/>
        </w:rPr>
        <w:t>1.1.1.8</w:t>
      </w:r>
      <w:r>
        <w:rPr>
          <w:spacing w:val="6"/>
          <w:sz w:val="20"/>
          <w:szCs w:val="20"/>
        </w:rPr>
        <w:t xml:space="preserve"> 已标价工程量清单：是指构成合同的由承包人按照规定的格式</w:t>
      </w:r>
      <w:r>
        <w:rPr>
          <w:spacing w:val="5"/>
          <w:sz w:val="20"/>
          <w:szCs w:val="20"/>
        </w:rPr>
        <w:t>和要求填写并标明价格</w:t>
      </w:r>
      <w:r>
        <w:rPr>
          <w:sz w:val="20"/>
          <w:szCs w:val="20"/>
        </w:rPr>
        <w:t xml:space="preserve"> </w:t>
      </w:r>
      <w:r>
        <w:rPr>
          <w:spacing w:val="7"/>
          <w:sz w:val="20"/>
          <w:szCs w:val="20"/>
        </w:rPr>
        <w:t>的工程量清单，包括说明和表格。</w:t>
      </w:r>
    </w:p>
    <w:p w14:paraId="785C162E">
      <w:pPr>
        <w:pStyle w:val="2"/>
        <w:spacing w:before="171" w:line="219" w:lineRule="auto"/>
        <w:jc w:val="right"/>
        <w:rPr>
          <w:sz w:val="20"/>
          <w:szCs w:val="20"/>
        </w:rPr>
      </w:pPr>
      <w:r>
        <w:rPr>
          <w:rFonts w:ascii="Times New Roman" w:hAnsi="Times New Roman" w:eastAsia="Times New Roman" w:cs="Times New Roman"/>
          <w:b/>
          <w:bCs/>
          <w:spacing w:val="6"/>
          <w:sz w:val="20"/>
          <w:szCs w:val="20"/>
        </w:rPr>
        <w:t>1.1.1.9</w:t>
      </w:r>
      <w:r>
        <w:rPr>
          <w:rFonts w:ascii="Times New Roman" w:hAnsi="Times New Roman" w:eastAsia="Times New Roman" w:cs="Times New Roman"/>
          <w:b/>
          <w:bCs/>
          <w:spacing w:val="1"/>
          <w:sz w:val="20"/>
          <w:szCs w:val="20"/>
        </w:rPr>
        <w:t xml:space="preserve">   </w:t>
      </w:r>
      <w:r>
        <w:rPr>
          <w:spacing w:val="6"/>
          <w:sz w:val="20"/>
          <w:szCs w:val="20"/>
        </w:rPr>
        <w:t>预算书：是指构成合同的由承包人按照发包人规定的格式和要求编制的工程</w:t>
      </w:r>
      <w:r>
        <w:rPr>
          <w:spacing w:val="5"/>
          <w:sz w:val="20"/>
          <w:szCs w:val="20"/>
        </w:rPr>
        <w:t>预算文件。</w:t>
      </w:r>
    </w:p>
    <w:p w14:paraId="4A7AD16F">
      <w:pPr>
        <w:pStyle w:val="2"/>
        <w:spacing w:before="134" w:line="303" w:lineRule="auto"/>
        <w:ind w:right="90" w:firstLine="422"/>
        <w:rPr>
          <w:sz w:val="20"/>
          <w:szCs w:val="20"/>
        </w:rPr>
      </w:pPr>
      <w:r>
        <w:fldChar w:fldCharType="begin"/>
      </w:r>
      <w:r>
        <w:instrText xml:space="preserve"> HYPERLINK "1.1.1.10" </w:instrText>
      </w:r>
      <w:r>
        <w:fldChar w:fldCharType="separate"/>
      </w:r>
      <w:r>
        <w:rPr>
          <w:b/>
          <w:bCs/>
          <w:spacing w:val="4"/>
          <w:sz w:val="20"/>
          <w:szCs w:val="20"/>
        </w:rPr>
        <w:t>1.1.1.10</w:t>
      </w:r>
      <w:r>
        <w:rPr>
          <w:b/>
          <w:bCs/>
          <w:spacing w:val="4"/>
          <w:sz w:val="20"/>
          <w:szCs w:val="20"/>
        </w:rPr>
        <w:fldChar w:fldCharType="end"/>
      </w:r>
      <w:r>
        <w:rPr>
          <w:spacing w:val="4"/>
          <w:sz w:val="20"/>
          <w:szCs w:val="20"/>
        </w:rPr>
        <w:t xml:space="preserve"> 其他合同文件：是指经合同</w:t>
      </w:r>
      <w:r>
        <w:rPr>
          <w:spacing w:val="3"/>
          <w:sz w:val="20"/>
          <w:szCs w:val="20"/>
        </w:rPr>
        <w:t>当事人约定的与工程施工有关的具有合同约束力的文件或</w:t>
      </w:r>
      <w:r>
        <w:rPr>
          <w:sz w:val="20"/>
          <w:szCs w:val="20"/>
        </w:rPr>
        <w:t xml:space="preserve"> </w:t>
      </w:r>
      <w:r>
        <w:rPr>
          <w:spacing w:val="8"/>
          <w:sz w:val="20"/>
          <w:szCs w:val="20"/>
        </w:rPr>
        <w:t>书面协议。合同当事人可以在专用合同条款中进行约定。</w:t>
      </w:r>
    </w:p>
    <w:p w14:paraId="6D54189D">
      <w:pPr>
        <w:pStyle w:val="2"/>
        <w:spacing w:before="174" w:line="220" w:lineRule="auto"/>
        <w:ind w:left="419"/>
        <w:rPr>
          <w:sz w:val="20"/>
          <w:szCs w:val="20"/>
        </w:rPr>
      </w:pPr>
      <w:r>
        <w:rPr>
          <w:rFonts w:ascii="Times New Roman" w:hAnsi="Times New Roman" w:eastAsia="Times New Roman" w:cs="Times New Roman"/>
          <w:b/>
          <w:bCs/>
          <w:spacing w:val="7"/>
          <w:sz w:val="20"/>
          <w:szCs w:val="20"/>
        </w:rPr>
        <w:t xml:space="preserve">1.1.2  </w:t>
      </w:r>
      <w:r>
        <w:rPr>
          <w:spacing w:val="7"/>
          <w:sz w:val="20"/>
          <w:szCs w:val="20"/>
        </w:rPr>
        <w:t>合同当事人及其他相关方</w:t>
      </w:r>
    </w:p>
    <w:p w14:paraId="0DDD684A">
      <w:pPr>
        <w:pStyle w:val="2"/>
        <w:spacing w:before="142" w:line="219" w:lineRule="auto"/>
        <w:ind w:left="419"/>
        <w:rPr>
          <w:sz w:val="20"/>
          <w:szCs w:val="20"/>
        </w:rPr>
      </w:pPr>
      <w:r>
        <w:rPr>
          <w:rFonts w:ascii="Times New Roman" w:hAnsi="Times New Roman" w:eastAsia="Times New Roman" w:cs="Times New Roman"/>
          <w:spacing w:val="13"/>
          <w:sz w:val="20"/>
          <w:szCs w:val="20"/>
        </w:rPr>
        <w:t>1.1.2.1</w:t>
      </w:r>
      <w:r>
        <w:rPr>
          <w:rFonts w:ascii="Times New Roman" w:hAnsi="Times New Roman" w:eastAsia="Times New Roman" w:cs="Times New Roman"/>
          <w:spacing w:val="1"/>
          <w:sz w:val="20"/>
          <w:szCs w:val="20"/>
        </w:rPr>
        <w:t xml:space="preserve">   </w:t>
      </w:r>
      <w:r>
        <w:rPr>
          <w:spacing w:val="13"/>
          <w:sz w:val="20"/>
          <w:szCs w:val="20"/>
        </w:rPr>
        <w:t>合同当事人：是指发包人和(或)承</w:t>
      </w:r>
      <w:r>
        <w:rPr>
          <w:spacing w:val="12"/>
          <w:sz w:val="20"/>
          <w:szCs w:val="20"/>
        </w:rPr>
        <w:t>包人。</w:t>
      </w:r>
    </w:p>
    <w:p w14:paraId="3396FD88">
      <w:pPr>
        <w:pStyle w:val="2"/>
        <w:spacing w:before="171" w:line="219" w:lineRule="auto"/>
        <w:ind w:left="419"/>
        <w:rPr>
          <w:sz w:val="20"/>
          <w:szCs w:val="20"/>
        </w:rPr>
      </w:pPr>
      <w:r>
        <w:rPr>
          <w:rFonts w:ascii="Times New Roman" w:hAnsi="Times New Roman" w:eastAsia="Times New Roman" w:cs="Times New Roman"/>
          <w:spacing w:val="8"/>
          <w:sz w:val="20"/>
          <w:szCs w:val="20"/>
        </w:rPr>
        <w:t>1.1.2.2</w:t>
      </w:r>
      <w:r>
        <w:rPr>
          <w:rFonts w:ascii="Times New Roman" w:hAnsi="Times New Roman" w:eastAsia="Times New Roman" w:cs="Times New Roman"/>
          <w:spacing w:val="1"/>
          <w:sz w:val="20"/>
          <w:szCs w:val="20"/>
        </w:rPr>
        <w:t xml:space="preserve">   </w:t>
      </w:r>
      <w:r>
        <w:rPr>
          <w:spacing w:val="8"/>
          <w:sz w:val="20"/>
          <w:szCs w:val="20"/>
        </w:rPr>
        <w:t>发包人：是指与承包人签订合同协议书的当事人及取得该当事人资格</w:t>
      </w:r>
      <w:r>
        <w:rPr>
          <w:spacing w:val="7"/>
          <w:sz w:val="20"/>
          <w:szCs w:val="20"/>
        </w:rPr>
        <w:t>的合法继承人。</w:t>
      </w:r>
    </w:p>
    <w:p w14:paraId="65F19595">
      <w:pPr>
        <w:pStyle w:val="2"/>
        <w:spacing w:before="174" w:line="285" w:lineRule="auto"/>
        <w:ind w:right="90" w:firstLine="419"/>
        <w:rPr>
          <w:sz w:val="20"/>
          <w:szCs w:val="20"/>
        </w:rPr>
      </w:pPr>
      <w:r>
        <w:rPr>
          <w:spacing w:val="6"/>
          <w:sz w:val="20"/>
          <w:szCs w:val="20"/>
        </w:rPr>
        <w:t>1.1.2.3 承包人：是指与发包人签订合同协议书的，具有相应工程施工承包资质的当事人及取</w:t>
      </w:r>
      <w:r>
        <w:rPr>
          <w:spacing w:val="8"/>
          <w:sz w:val="20"/>
          <w:szCs w:val="20"/>
        </w:rPr>
        <w:t xml:space="preserve"> </w:t>
      </w:r>
      <w:r>
        <w:rPr>
          <w:spacing w:val="7"/>
          <w:sz w:val="20"/>
          <w:szCs w:val="20"/>
        </w:rPr>
        <w:t>得该当事人资格的合法继承人。</w:t>
      </w:r>
    </w:p>
    <w:p w14:paraId="2797C757">
      <w:pPr>
        <w:pStyle w:val="2"/>
        <w:spacing w:before="173" w:line="219" w:lineRule="auto"/>
        <w:ind w:left="419"/>
        <w:rPr>
          <w:sz w:val="20"/>
          <w:szCs w:val="20"/>
        </w:rPr>
      </w:pPr>
      <w:r>
        <w:rPr>
          <w:spacing w:val="6"/>
          <w:sz w:val="20"/>
          <w:szCs w:val="20"/>
        </w:rPr>
        <w:t>1.1.2.4 监理人：是指在专用合同条款中指明的，受发包人委托按照法律规定进行工程监督管</w:t>
      </w:r>
    </w:p>
    <w:p w14:paraId="173EF40E">
      <w:pPr>
        <w:pStyle w:val="2"/>
        <w:spacing w:before="173" w:line="220" w:lineRule="auto"/>
        <w:rPr>
          <w:sz w:val="20"/>
          <w:szCs w:val="20"/>
        </w:rPr>
      </w:pPr>
      <w:r>
        <w:rPr>
          <w:spacing w:val="6"/>
          <w:sz w:val="20"/>
          <w:szCs w:val="20"/>
        </w:rPr>
        <w:t>理的法人或其他组织。</w:t>
      </w:r>
    </w:p>
    <w:p w14:paraId="67E4C1AC">
      <w:pPr>
        <w:pStyle w:val="2"/>
        <w:spacing w:before="130" w:line="391" w:lineRule="auto"/>
        <w:ind w:right="92" w:firstLine="419"/>
        <w:rPr>
          <w:sz w:val="20"/>
          <w:szCs w:val="20"/>
        </w:rPr>
      </w:pPr>
      <w:r>
        <w:rPr>
          <w:spacing w:val="6"/>
          <w:sz w:val="20"/>
          <w:szCs w:val="20"/>
        </w:rPr>
        <w:t>1.1.2.5 设计人：是指在专用合同条款中指明的，受发包人委托负责工程设计并具备相应工程</w:t>
      </w:r>
      <w:r>
        <w:rPr>
          <w:spacing w:val="5"/>
          <w:sz w:val="20"/>
          <w:szCs w:val="20"/>
        </w:rPr>
        <w:t xml:space="preserve"> </w:t>
      </w:r>
      <w:r>
        <w:rPr>
          <w:spacing w:val="7"/>
          <w:sz w:val="20"/>
          <w:szCs w:val="20"/>
        </w:rPr>
        <w:t>设计资质的法人或其他组织。</w:t>
      </w:r>
    </w:p>
    <w:p w14:paraId="3F690BA1">
      <w:pPr>
        <w:spacing w:line="391" w:lineRule="auto"/>
        <w:rPr>
          <w:sz w:val="20"/>
          <w:szCs w:val="20"/>
        </w:rPr>
        <w:sectPr>
          <w:footerReference r:id="rId191" w:type="default"/>
          <w:pgSz w:w="11910" w:h="16840"/>
          <w:pgMar w:top="400" w:right="1460" w:bottom="1017" w:left="1460" w:header="0" w:footer="891" w:gutter="0"/>
          <w:cols w:space="720" w:num="1"/>
        </w:sectPr>
      </w:pPr>
    </w:p>
    <w:p w14:paraId="5F81DE1C">
      <w:pPr>
        <w:spacing w:line="273" w:lineRule="auto"/>
        <w:rPr>
          <w:rFonts w:ascii="Arial"/>
          <w:sz w:val="21"/>
        </w:rPr>
      </w:pPr>
    </w:p>
    <w:p w14:paraId="3185DA94">
      <w:pPr>
        <w:spacing w:line="273" w:lineRule="auto"/>
        <w:rPr>
          <w:rFonts w:ascii="Arial"/>
          <w:sz w:val="21"/>
        </w:rPr>
      </w:pPr>
    </w:p>
    <w:p w14:paraId="406263D8">
      <w:pPr>
        <w:spacing w:line="273" w:lineRule="auto"/>
        <w:rPr>
          <w:rFonts w:ascii="Arial"/>
          <w:sz w:val="21"/>
        </w:rPr>
      </w:pPr>
    </w:p>
    <w:p w14:paraId="0B97AB92">
      <w:pPr>
        <w:spacing w:line="273" w:lineRule="auto"/>
        <w:rPr>
          <w:rFonts w:ascii="Arial"/>
          <w:sz w:val="21"/>
        </w:rPr>
      </w:pPr>
    </w:p>
    <w:p w14:paraId="556D115E">
      <w:pPr>
        <w:spacing w:line="273" w:lineRule="auto"/>
        <w:rPr>
          <w:rFonts w:ascii="Arial"/>
          <w:sz w:val="21"/>
        </w:rPr>
      </w:pPr>
    </w:p>
    <w:p w14:paraId="606DBE0A">
      <w:pPr>
        <w:pStyle w:val="2"/>
        <w:spacing w:before="65" w:line="290" w:lineRule="auto"/>
        <w:ind w:right="7" w:firstLine="429"/>
        <w:rPr>
          <w:sz w:val="20"/>
          <w:szCs w:val="20"/>
        </w:rPr>
      </w:pPr>
      <w:r>
        <w:rPr>
          <w:spacing w:val="6"/>
          <w:sz w:val="20"/>
          <w:szCs w:val="20"/>
        </w:rPr>
        <w:t>1.1.2.6 分包人：是指按照法律规定和合同约定，分包部分工程或工作，并与承包人签订分包</w:t>
      </w:r>
      <w:r>
        <w:rPr>
          <w:spacing w:val="18"/>
          <w:sz w:val="20"/>
          <w:szCs w:val="20"/>
        </w:rPr>
        <w:t xml:space="preserve"> </w:t>
      </w:r>
      <w:r>
        <w:rPr>
          <w:spacing w:val="7"/>
          <w:sz w:val="20"/>
          <w:szCs w:val="20"/>
        </w:rPr>
        <w:t>合同的具有相应资质的法人。</w:t>
      </w:r>
    </w:p>
    <w:p w14:paraId="3DEB85AB">
      <w:pPr>
        <w:pStyle w:val="2"/>
        <w:spacing w:before="161" w:line="317" w:lineRule="auto"/>
        <w:ind w:right="1" w:firstLine="429"/>
        <w:rPr>
          <w:sz w:val="17"/>
          <w:szCs w:val="17"/>
        </w:rPr>
      </w:pPr>
      <w:r>
        <w:rPr>
          <w:spacing w:val="7"/>
          <w:sz w:val="20"/>
          <w:szCs w:val="20"/>
        </w:rPr>
        <w:t>1.1.2.7 发包人代表：是指由发包人任命并</w:t>
      </w:r>
      <w:r>
        <w:rPr>
          <w:spacing w:val="6"/>
          <w:sz w:val="20"/>
          <w:szCs w:val="20"/>
        </w:rPr>
        <w:t>派驻施工现场在发包人授权范围内行使发包人权利</w:t>
      </w:r>
      <w:r>
        <w:rPr>
          <w:sz w:val="20"/>
          <w:szCs w:val="20"/>
        </w:rPr>
        <w:t xml:space="preserve"> </w:t>
      </w:r>
      <w:r>
        <w:rPr>
          <w:spacing w:val="-10"/>
          <w:sz w:val="17"/>
          <w:szCs w:val="17"/>
        </w:rPr>
        <w:t>的</w:t>
      </w:r>
      <w:r>
        <w:rPr>
          <w:spacing w:val="-17"/>
          <w:sz w:val="17"/>
          <w:szCs w:val="17"/>
        </w:rPr>
        <w:t xml:space="preserve"> </w:t>
      </w:r>
      <w:r>
        <w:rPr>
          <w:spacing w:val="-10"/>
          <w:sz w:val="17"/>
          <w:szCs w:val="17"/>
        </w:rPr>
        <w:t>人</w:t>
      </w:r>
      <w:r>
        <w:rPr>
          <w:spacing w:val="-25"/>
          <w:sz w:val="17"/>
          <w:szCs w:val="17"/>
        </w:rPr>
        <w:t xml:space="preserve"> </w:t>
      </w:r>
      <w:r>
        <w:rPr>
          <w:spacing w:val="-10"/>
          <w:sz w:val="17"/>
          <w:szCs w:val="17"/>
        </w:rPr>
        <w:t>。</w:t>
      </w:r>
    </w:p>
    <w:p w14:paraId="6DE9F55D">
      <w:pPr>
        <w:pStyle w:val="2"/>
        <w:spacing w:before="162" w:line="304" w:lineRule="auto"/>
        <w:ind w:right="36" w:firstLine="429"/>
        <w:rPr>
          <w:sz w:val="20"/>
          <w:szCs w:val="20"/>
        </w:rPr>
      </w:pPr>
      <w:r>
        <w:rPr>
          <w:rFonts w:ascii="Times New Roman" w:hAnsi="Times New Roman" w:eastAsia="Times New Roman" w:cs="Times New Roman"/>
          <w:spacing w:val="8"/>
          <w:sz w:val="20"/>
          <w:szCs w:val="20"/>
        </w:rPr>
        <w:t xml:space="preserve">1.1.2.8   </w:t>
      </w:r>
      <w:r>
        <w:rPr>
          <w:spacing w:val="8"/>
          <w:sz w:val="20"/>
          <w:szCs w:val="20"/>
        </w:rPr>
        <w:t>项目经理：是指由承包人任命并派驻施工现</w:t>
      </w:r>
      <w:r>
        <w:rPr>
          <w:spacing w:val="7"/>
          <w:sz w:val="20"/>
          <w:szCs w:val="20"/>
        </w:rPr>
        <w:t>场，在承包人授权范围内负责合同履行，</w:t>
      </w:r>
      <w:r>
        <w:rPr>
          <w:sz w:val="20"/>
          <w:szCs w:val="20"/>
        </w:rPr>
        <w:t xml:space="preserve"> </w:t>
      </w:r>
      <w:r>
        <w:rPr>
          <w:spacing w:val="8"/>
          <w:sz w:val="20"/>
          <w:szCs w:val="20"/>
        </w:rPr>
        <w:t>且按照法律规定具有相应资格的项目负责人。</w:t>
      </w:r>
    </w:p>
    <w:p w14:paraId="414B753E">
      <w:pPr>
        <w:pStyle w:val="2"/>
        <w:spacing w:before="142" w:line="219" w:lineRule="auto"/>
        <w:ind w:left="429"/>
        <w:rPr>
          <w:sz w:val="20"/>
          <w:szCs w:val="20"/>
        </w:rPr>
      </w:pPr>
      <w:r>
        <w:rPr>
          <w:rFonts w:ascii="Times New Roman" w:hAnsi="Times New Roman" w:eastAsia="Times New Roman" w:cs="Times New Roman"/>
          <w:spacing w:val="8"/>
          <w:sz w:val="20"/>
          <w:szCs w:val="20"/>
        </w:rPr>
        <w:t>1.1.2.9</w:t>
      </w:r>
      <w:r>
        <w:rPr>
          <w:rFonts w:ascii="Times New Roman" w:hAnsi="Times New Roman" w:eastAsia="Times New Roman" w:cs="Times New Roman"/>
          <w:spacing w:val="1"/>
          <w:sz w:val="20"/>
          <w:szCs w:val="20"/>
        </w:rPr>
        <w:t xml:space="preserve">   </w:t>
      </w:r>
      <w:r>
        <w:rPr>
          <w:spacing w:val="8"/>
          <w:sz w:val="20"/>
          <w:szCs w:val="20"/>
        </w:rPr>
        <w:t>总监理工程师：是指由监理人任命并派驻施工现</w:t>
      </w:r>
      <w:r>
        <w:rPr>
          <w:spacing w:val="7"/>
          <w:sz w:val="20"/>
          <w:szCs w:val="20"/>
        </w:rPr>
        <w:t>场进行工程监理的总负责人。</w:t>
      </w:r>
    </w:p>
    <w:p w14:paraId="6D07CEDC">
      <w:pPr>
        <w:pStyle w:val="2"/>
        <w:spacing w:before="183" w:line="220" w:lineRule="auto"/>
        <w:ind w:left="429"/>
        <w:rPr>
          <w:sz w:val="20"/>
          <w:szCs w:val="20"/>
        </w:rPr>
      </w:pPr>
      <w:r>
        <w:rPr>
          <w:rFonts w:ascii="Times New Roman" w:hAnsi="Times New Roman" w:eastAsia="Times New Roman" w:cs="Times New Roman"/>
          <w:b/>
          <w:bCs/>
          <w:spacing w:val="3"/>
          <w:sz w:val="20"/>
          <w:szCs w:val="20"/>
        </w:rPr>
        <w:t>1.1.3</w:t>
      </w:r>
      <w:r>
        <w:rPr>
          <w:rFonts w:ascii="Times New Roman" w:hAnsi="Times New Roman" w:eastAsia="Times New Roman" w:cs="Times New Roman"/>
          <w:b/>
          <w:bCs/>
          <w:spacing w:val="19"/>
          <w:sz w:val="20"/>
          <w:szCs w:val="20"/>
        </w:rPr>
        <w:t xml:space="preserve">  </w:t>
      </w:r>
      <w:r>
        <w:rPr>
          <w:spacing w:val="3"/>
          <w:sz w:val="20"/>
          <w:szCs w:val="20"/>
        </w:rPr>
        <w:t>工程和设备</w:t>
      </w:r>
    </w:p>
    <w:p w14:paraId="4DBB6433">
      <w:pPr>
        <w:pStyle w:val="2"/>
        <w:spacing w:before="150" w:line="219" w:lineRule="auto"/>
        <w:ind w:left="429"/>
        <w:rPr>
          <w:sz w:val="20"/>
          <w:szCs w:val="20"/>
        </w:rPr>
      </w:pPr>
      <w:r>
        <w:rPr>
          <w:rFonts w:ascii="Times New Roman" w:hAnsi="Times New Roman" w:eastAsia="Times New Roman" w:cs="Times New Roman"/>
          <w:b/>
          <w:bCs/>
          <w:spacing w:val="13"/>
          <w:sz w:val="20"/>
          <w:szCs w:val="20"/>
        </w:rPr>
        <w:t>1.1.3.1</w:t>
      </w:r>
      <w:r>
        <w:rPr>
          <w:rFonts w:ascii="Times New Roman" w:hAnsi="Times New Roman" w:eastAsia="Times New Roman" w:cs="Times New Roman"/>
          <w:b/>
          <w:bCs/>
          <w:spacing w:val="1"/>
          <w:sz w:val="20"/>
          <w:szCs w:val="20"/>
        </w:rPr>
        <w:t xml:space="preserve">   </w:t>
      </w:r>
      <w:r>
        <w:rPr>
          <w:spacing w:val="13"/>
          <w:sz w:val="20"/>
          <w:szCs w:val="20"/>
        </w:rPr>
        <w:t>工程：是指与合同协议书中工程承包</w:t>
      </w:r>
      <w:r>
        <w:rPr>
          <w:spacing w:val="12"/>
          <w:sz w:val="20"/>
          <w:szCs w:val="20"/>
        </w:rPr>
        <w:t>范围对应的永久工程和(或)临时工程。</w:t>
      </w:r>
    </w:p>
    <w:p w14:paraId="109DDD21">
      <w:pPr>
        <w:pStyle w:val="2"/>
        <w:spacing w:before="164" w:line="219" w:lineRule="auto"/>
        <w:ind w:left="429"/>
        <w:rPr>
          <w:sz w:val="20"/>
          <w:szCs w:val="20"/>
        </w:rPr>
      </w:pPr>
      <w:r>
        <w:rPr>
          <w:rFonts w:ascii="Times New Roman" w:hAnsi="Times New Roman" w:eastAsia="Times New Roman" w:cs="Times New Roman"/>
          <w:spacing w:val="7"/>
          <w:sz w:val="20"/>
          <w:szCs w:val="20"/>
        </w:rPr>
        <w:t>1.1.3.2</w:t>
      </w:r>
      <w:r>
        <w:rPr>
          <w:rFonts w:ascii="Times New Roman" w:hAnsi="Times New Roman" w:eastAsia="Times New Roman" w:cs="Times New Roman"/>
          <w:spacing w:val="5"/>
          <w:sz w:val="20"/>
          <w:szCs w:val="20"/>
        </w:rPr>
        <w:t xml:space="preserve">   </w:t>
      </w:r>
      <w:r>
        <w:rPr>
          <w:spacing w:val="7"/>
          <w:sz w:val="20"/>
          <w:szCs w:val="20"/>
        </w:rPr>
        <w:t>永久工程：是指按合同约定建造并移交给发包人的工程，包括工程设备。</w:t>
      </w:r>
    </w:p>
    <w:p w14:paraId="4BC62A5A">
      <w:pPr>
        <w:pStyle w:val="2"/>
        <w:spacing w:before="153" w:line="305" w:lineRule="auto"/>
        <w:ind w:right="7" w:firstLine="429"/>
        <w:rPr>
          <w:sz w:val="20"/>
          <w:szCs w:val="20"/>
        </w:rPr>
      </w:pPr>
      <w:r>
        <w:rPr>
          <w:spacing w:val="6"/>
          <w:sz w:val="20"/>
          <w:szCs w:val="20"/>
        </w:rPr>
        <w:t>1.1.3.3 临时工程：是指为完成合同约定的永久工程所修建的各类临时性工程，不包括施工设</w:t>
      </w:r>
      <w:r>
        <w:rPr>
          <w:spacing w:val="18"/>
          <w:sz w:val="20"/>
          <w:szCs w:val="20"/>
        </w:rPr>
        <w:t xml:space="preserve"> </w:t>
      </w:r>
      <w:r>
        <w:rPr>
          <w:spacing w:val="-3"/>
          <w:sz w:val="20"/>
          <w:szCs w:val="20"/>
        </w:rPr>
        <w:t>备。</w:t>
      </w:r>
    </w:p>
    <w:p w14:paraId="5AEFA4CC">
      <w:pPr>
        <w:pStyle w:val="2"/>
        <w:spacing w:before="127" w:line="305" w:lineRule="auto"/>
        <w:ind w:firstLine="429"/>
        <w:rPr>
          <w:sz w:val="20"/>
          <w:szCs w:val="20"/>
        </w:rPr>
      </w:pPr>
      <w:r>
        <w:rPr>
          <w:spacing w:val="7"/>
          <w:sz w:val="20"/>
          <w:szCs w:val="20"/>
        </w:rPr>
        <w:t>1.1.3.4 单位工程：是指在合同协议书中指明</w:t>
      </w:r>
      <w:r>
        <w:rPr>
          <w:spacing w:val="6"/>
          <w:sz w:val="20"/>
          <w:szCs w:val="20"/>
        </w:rPr>
        <w:t>的，具备独立施工条件并能形成独立使用功能的</w:t>
      </w:r>
      <w:r>
        <w:rPr>
          <w:sz w:val="20"/>
          <w:szCs w:val="20"/>
        </w:rPr>
        <w:t xml:space="preserve"> </w:t>
      </w:r>
      <w:r>
        <w:rPr>
          <w:spacing w:val="3"/>
          <w:sz w:val="20"/>
          <w:szCs w:val="20"/>
        </w:rPr>
        <w:t>永久工程。</w:t>
      </w:r>
    </w:p>
    <w:p w14:paraId="518BEDF3">
      <w:pPr>
        <w:pStyle w:val="2"/>
        <w:spacing w:before="180" w:line="306" w:lineRule="auto"/>
        <w:ind w:firstLine="429"/>
        <w:rPr>
          <w:sz w:val="17"/>
          <w:szCs w:val="17"/>
        </w:rPr>
      </w:pPr>
      <w:r>
        <w:rPr>
          <w:spacing w:val="7"/>
          <w:sz w:val="20"/>
          <w:szCs w:val="20"/>
        </w:rPr>
        <w:t>1.1.3.5 工程设备：是指构成永久工程的机电设</w:t>
      </w:r>
      <w:r>
        <w:rPr>
          <w:spacing w:val="6"/>
          <w:sz w:val="20"/>
          <w:szCs w:val="20"/>
        </w:rPr>
        <w:t>备、金属结构设备、仪器及其他类似的设备和</w:t>
      </w:r>
      <w:r>
        <w:rPr>
          <w:sz w:val="20"/>
          <w:szCs w:val="20"/>
        </w:rPr>
        <w:t xml:space="preserve"> </w:t>
      </w:r>
      <w:r>
        <w:rPr>
          <w:spacing w:val="-4"/>
          <w:sz w:val="17"/>
          <w:szCs w:val="17"/>
        </w:rPr>
        <w:t>装</w:t>
      </w:r>
      <w:r>
        <w:rPr>
          <w:spacing w:val="-27"/>
          <w:sz w:val="17"/>
          <w:szCs w:val="17"/>
        </w:rPr>
        <w:t xml:space="preserve"> </w:t>
      </w:r>
      <w:r>
        <w:rPr>
          <w:spacing w:val="-4"/>
          <w:sz w:val="17"/>
          <w:szCs w:val="17"/>
        </w:rPr>
        <w:t>置</w:t>
      </w:r>
      <w:r>
        <w:rPr>
          <w:spacing w:val="-32"/>
          <w:sz w:val="17"/>
          <w:szCs w:val="17"/>
        </w:rPr>
        <w:t xml:space="preserve"> </w:t>
      </w:r>
      <w:r>
        <w:rPr>
          <w:spacing w:val="-4"/>
          <w:sz w:val="17"/>
          <w:szCs w:val="17"/>
        </w:rPr>
        <w:t>。</w:t>
      </w:r>
    </w:p>
    <w:p w14:paraId="6E3ECDEE">
      <w:pPr>
        <w:pStyle w:val="2"/>
        <w:spacing w:before="177" w:line="294" w:lineRule="auto"/>
        <w:ind w:right="8" w:firstLine="429"/>
        <w:rPr>
          <w:sz w:val="20"/>
          <w:szCs w:val="20"/>
        </w:rPr>
      </w:pPr>
      <w:r>
        <w:rPr>
          <w:spacing w:val="6"/>
          <w:sz w:val="20"/>
          <w:szCs w:val="20"/>
        </w:rPr>
        <w:t>1.1.3.6 施工设备：是指为完成合同约定的各项工作所需的设备、器具和其他物品，但不包括</w:t>
      </w:r>
      <w:r>
        <w:rPr>
          <w:spacing w:val="17"/>
          <w:sz w:val="20"/>
          <w:szCs w:val="20"/>
        </w:rPr>
        <w:t xml:space="preserve"> </w:t>
      </w:r>
      <w:r>
        <w:rPr>
          <w:spacing w:val="7"/>
          <w:sz w:val="20"/>
          <w:szCs w:val="20"/>
        </w:rPr>
        <w:t>工程设备、临时工程和材料。</w:t>
      </w:r>
    </w:p>
    <w:p w14:paraId="423C3CF7">
      <w:pPr>
        <w:pStyle w:val="2"/>
        <w:spacing w:before="154" w:line="299" w:lineRule="auto"/>
        <w:ind w:right="6" w:firstLine="429"/>
        <w:rPr>
          <w:sz w:val="20"/>
          <w:szCs w:val="20"/>
        </w:rPr>
      </w:pPr>
      <w:r>
        <w:rPr>
          <w:spacing w:val="6"/>
          <w:sz w:val="20"/>
          <w:szCs w:val="20"/>
        </w:rPr>
        <w:t>1.1.3.7 施工现场：是指用于工程施工的场所，以及在专用合同条款中指明作为施工场所组成</w:t>
      </w:r>
      <w:r>
        <w:rPr>
          <w:spacing w:val="18"/>
          <w:sz w:val="20"/>
          <w:szCs w:val="20"/>
        </w:rPr>
        <w:t xml:space="preserve"> </w:t>
      </w:r>
      <w:r>
        <w:rPr>
          <w:spacing w:val="8"/>
          <w:sz w:val="20"/>
          <w:szCs w:val="20"/>
        </w:rPr>
        <w:t>部分的其他场所，包括永久占地和临时占地。</w:t>
      </w:r>
    </w:p>
    <w:p w14:paraId="639FDEE4">
      <w:pPr>
        <w:pStyle w:val="2"/>
        <w:spacing w:before="172" w:line="219" w:lineRule="auto"/>
        <w:ind w:left="429"/>
        <w:rPr>
          <w:sz w:val="20"/>
          <w:szCs w:val="20"/>
        </w:rPr>
      </w:pPr>
      <w:r>
        <w:rPr>
          <w:rFonts w:ascii="Times New Roman" w:hAnsi="Times New Roman" w:eastAsia="Times New Roman" w:cs="Times New Roman"/>
          <w:spacing w:val="8"/>
          <w:sz w:val="20"/>
          <w:szCs w:val="20"/>
        </w:rPr>
        <w:t xml:space="preserve">1.1.3.8  </w:t>
      </w:r>
      <w:r>
        <w:rPr>
          <w:spacing w:val="8"/>
          <w:sz w:val="20"/>
          <w:szCs w:val="20"/>
        </w:rPr>
        <w:t>临时设施：是指为完成合同约定的各项工作所服务的临时性生产和</w:t>
      </w:r>
      <w:r>
        <w:rPr>
          <w:spacing w:val="7"/>
          <w:sz w:val="20"/>
          <w:szCs w:val="20"/>
        </w:rPr>
        <w:t>生活设施。</w:t>
      </w:r>
    </w:p>
    <w:p w14:paraId="6FE28471">
      <w:pPr>
        <w:pStyle w:val="2"/>
        <w:spacing w:before="143" w:line="219" w:lineRule="auto"/>
        <w:ind w:left="429"/>
        <w:rPr>
          <w:sz w:val="20"/>
          <w:szCs w:val="20"/>
        </w:rPr>
      </w:pPr>
      <w:r>
        <w:rPr>
          <w:rFonts w:ascii="Times New Roman" w:hAnsi="Times New Roman" w:eastAsia="Times New Roman" w:cs="Times New Roman"/>
          <w:spacing w:val="7"/>
          <w:sz w:val="20"/>
          <w:szCs w:val="20"/>
        </w:rPr>
        <w:t>1.1.3.9</w:t>
      </w:r>
      <w:r>
        <w:rPr>
          <w:rFonts w:ascii="Times New Roman" w:hAnsi="Times New Roman" w:eastAsia="Times New Roman" w:cs="Times New Roman"/>
          <w:spacing w:val="6"/>
          <w:sz w:val="20"/>
          <w:szCs w:val="20"/>
        </w:rPr>
        <w:t xml:space="preserve">   </w:t>
      </w:r>
      <w:r>
        <w:rPr>
          <w:spacing w:val="7"/>
          <w:sz w:val="20"/>
          <w:szCs w:val="20"/>
        </w:rPr>
        <w:t>永久占地：是指专用合同条款中指明为实施工程需永久占用的土地。</w:t>
      </w:r>
    </w:p>
    <w:p w14:paraId="5854413F">
      <w:pPr>
        <w:pStyle w:val="2"/>
        <w:spacing w:before="163" w:line="219" w:lineRule="auto"/>
        <w:ind w:left="429"/>
        <w:rPr>
          <w:sz w:val="20"/>
          <w:szCs w:val="20"/>
        </w:rPr>
      </w:pPr>
      <w:r>
        <w:fldChar w:fldCharType="begin"/>
      </w:r>
      <w:r>
        <w:instrText xml:space="preserve"> HYPERLINK "1.1.3.10" </w:instrText>
      </w:r>
      <w:r>
        <w:fldChar w:fldCharType="separate"/>
      </w:r>
      <w:r>
        <w:rPr>
          <w:rFonts w:ascii="Times New Roman" w:hAnsi="Times New Roman" w:eastAsia="Times New Roman" w:cs="Times New Roman"/>
          <w:b/>
          <w:bCs/>
          <w:spacing w:val="7"/>
          <w:sz w:val="20"/>
          <w:szCs w:val="20"/>
        </w:rPr>
        <w:t>1.1.3.10</w:t>
      </w:r>
      <w:r>
        <w:rPr>
          <w:rFonts w:ascii="Times New Roman" w:hAnsi="Times New Roman" w:eastAsia="Times New Roman" w:cs="Times New Roman"/>
          <w:b/>
          <w:bCs/>
          <w:spacing w:val="7"/>
          <w:sz w:val="20"/>
          <w:szCs w:val="20"/>
        </w:rPr>
        <w:fldChar w:fldCharType="end"/>
      </w:r>
      <w:r>
        <w:rPr>
          <w:rFonts w:ascii="Times New Roman" w:hAnsi="Times New Roman" w:eastAsia="Times New Roman" w:cs="Times New Roman"/>
          <w:b/>
          <w:bCs/>
          <w:spacing w:val="5"/>
          <w:sz w:val="20"/>
          <w:szCs w:val="20"/>
        </w:rPr>
        <w:t xml:space="preserve">   </w:t>
      </w:r>
      <w:r>
        <w:rPr>
          <w:spacing w:val="7"/>
          <w:sz w:val="20"/>
          <w:szCs w:val="20"/>
        </w:rPr>
        <w:t>临时占地：是指专用合同条款中指明为实施工程需要临时占用的土地。</w:t>
      </w:r>
    </w:p>
    <w:p w14:paraId="7673A4B5">
      <w:pPr>
        <w:pStyle w:val="2"/>
        <w:spacing w:before="173" w:line="220" w:lineRule="auto"/>
        <w:ind w:left="429"/>
        <w:rPr>
          <w:sz w:val="20"/>
          <w:szCs w:val="20"/>
        </w:rPr>
      </w:pPr>
      <w:r>
        <w:rPr>
          <w:rFonts w:ascii="Times New Roman" w:hAnsi="Times New Roman" w:eastAsia="Times New Roman" w:cs="Times New Roman"/>
          <w:b/>
          <w:bCs/>
          <w:spacing w:val="2"/>
          <w:sz w:val="20"/>
          <w:szCs w:val="20"/>
        </w:rPr>
        <w:t>1.1.4</w:t>
      </w:r>
      <w:r>
        <w:rPr>
          <w:rFonts w:ascii="Times New Roman" w:hAnsi="Times New Roman" w:eastAsia="Times New Roman" w:cs="Times New Roman"/>
          <w:b/>
          <w:bCs/>
          <w:spacing w:val="24"/>
          <w:w w:val="101"/>
          <w:sz w:val="20"/>
          <w:szCs w:val="20"/>
        </w:rPr>
        <w:t xml:space="preserve">  </w:t>
      </w:r>
      <w:r>
        <w:rPr>
          <w:spacing w:val="2"/>
          <w:sz w:val="20"/>
          <w:szCs w:val="20"/>
        </w:rPr>
        <w:t>日期和期限</w:t>
      </w:r>
    </w:p>
    <w:p w14:paraId="4883E9C4">
      <w:pPr>
        <w:pStyle w:val="2"/>
        <w:spacing w:before="151" w:line="366" w:lineRule="auto"/>
        <w:ind w:firstLine="429"/>
        <w:jc w:val="both"/>
        <w:rPr>
          <w:sz w:val="20"/>
          <w:szCs w:val="20"/>
        </w:rPr>
      </w:pPr>
      <w:r>
        <w:rPr>
          <w:spacing w:val="7"/>
          <w:sz w:val="20"/>
          <w:szCs w:val="20"/>
        </w:rPr>
        <w:t>1.1.4.1</w:t>
      </w:r>
      <w:r>
        <w:rPr>
          <w:spacing w:val="-14"/>
          <w:sz w:val="20"/>
          <w:szCs w:val="20"/>
        </w:rPr>
        <w:t xml:space="preserve"> </w:t>
      </w:r>
      <w:r>
        <w:rPr>
          <w:spacing w:val="7"/>
          <w:sz w:val="20"/>
          <w:szCs w:val="20"/>
        </w:rPr>
        <w:t>开工日期：包括计划开工日期和实际开工日期。计划开工日期是指合同协议书约定的</w:t>
      </w:r>
      <w:r>
        <w:rPr>
          <w:sz w:val="20"/>
          <w:szCs w:val="20"/>
        </w:rPr>
        <w:t xml:space="preserve"> </w:t>
      </w:r>
      <w:r>
        <w:rPr>
          <w:spacing w:val="9"/>
          <w:sz w:val="20"/>
          <w:szCs w:val="20"/>
        </w:rPr>
        <w:t>开工日期；实际开工日期是指监理人按照第7.3.2项〔开工通知〕约定发出的符合法律规定的开工</w:t>
      </w:r>
      <w:r>
        <w:rPr>
          <w:spacing w:val="14"/>
          <w:sz w:val="20"/>
          <w:szCs w:val="20"/>
        </w:rPr>
        <w:t xml:space="preserve"> </w:t>
      </w:r>
      <w:r>
        <w:rPr>
          <w:spacing w:val="8"/>
          <w:sz w:val="20"/>
          <w:szCs w:val="20"/>
        </w:rPr>
        <w:t>通知中载明的开工日期。</w:t>
      </w:r>
    </w:p>
    <w:p w14:paraId="6E8C5BBA">
      <w:pPr>
        <w:pStyle w:val="2"/>
        <w:spacing w:line="299" w:lineRule="auto"/>
        <w:ind w:firstLine="429"/>
        <w:rPr>
          <w:sz w:val="20"/>
          <w:szCs w:val="20"/>
        </w:rPr>
      </w:pPr>
      <w:r>
        <w:rPr>
          <w:spacing w:val="7"/>
          <w:sz w:val="20"/>
          <w:szCs w:val="20"/>
        </w:rPr>
        <w:t>1.1.4.2 竣工日期：包括计划竣工日期和实际</w:t>
      </w:r>
      <w:r>
        <w:rPr>
          <w:spacing w:val="6"/>
          <w:sz w:val="20"/>
          <w:szCs w:val="20"/>
        </w:rPr>
        <w:t>竣工日期。计划竣工日期是指合同协议书约定的</w:t>
      </w:r>
      <w:r>
        <w:rPr>
          <w:sz w:val="20"/>
          <w:szCs w:val="20"/>
        </w:rPr>
        <w:t xml:space="preserve"> </w:t>
      </w:r>
      <w:r>
        <w:rPr>
          <w:spacing w:val="10"/>
          <w:sz w:val="20"/>
          <w:szCs w:val="20"/>
        </w:rPr>
        <w:t>竣工日期；实际竣工日期按照第13.2.3项〔</w:t>
      </w:r>
      <w:r>
        <w:rPr>
          <w:spacing w:val="9"/>
          <w:sz w:val="20"/>
          <w:szCs w:val="20"/>
        </w:rPr>
        <w:t>竣工日期〕的约定确定。</w:t>
      </w:r>
    </w:p>
    <w:p w14:paraId="1D201277">
      <w:pPr>
        <w:pStyle w:val="2"/>
        <w:spacing w:before="182" w:line="286" w:lineRule="auto"/>
        <w:ind w:right="2" w:firstLine="429"/>
        <w:rPr>
          <w:sz w:val="20"/>
          <w:szCs w:val="20"/>
        </w:rPr>
      </w:pPr>
      <w:r>
        <w:rPr>
          <w:spacing w:val="7"/>
          <w:sz w:val="20"/>
          <w:szCs w:val="20"/>
        </w:rPr>
        <w:t>1.1.4.3 工期：是指在合同协议书约定的</w:t>
      </w:r>
      <w:r>
        <w:rPr>
          <w:spacing w:val="6"/>
          <w:sz w:val="20"/>
          <w:szCs w:val="20"/>
        </w:rPr>
        <w:t>承包人完成工程所需的期限，包括按照合同约定所作</w:t>
      </w:r>
      <w:r>
        <w:rPr>
          <w:sz w:val="20"/>
          <w:szCs w:val="20"/>
        </w:rPr>
        <w:t xml:space="preserve"> </w:t>
      </w:r>
      <w:r>
        <w:rPr>
          <w:spacing w:val="4"/>
          <w:sz w:val="20"/>
          <w:szCs w:val="20"/>
        </w:rPr>
        <w:t>的期限变更。</w:t>
      </w:r>
    </w:p>
    <w:p w14:paraId="37EFB0D7">
      <w:pPr>
        <w:pStyle w:val="2"/>
        <w:spacing w:before="150" w:line="304" w:lineRule="auto"/>
        <w:ind w:left="109" w:right="7" w:firstLine="320"/>
        <w:rPr>
          <w:sz w:val="20"/>
          <w:szCs w:val="20"/>
        </w:rPr>
      </w:pPr>
      <w:r>
        <w:rPr>
          <w:spacing w:val="6"/>
          <w:sz w:val="20"/>
          <w:szCs w:val="20"/>
        </w:rPr>
        <w:t>1.1.4.4 缺陷责任期：是指承包人按照合同约定承担缺陷修复义务，且发包人预留质量保证金</w:t>
      </w:r>
      <w:r>
        <w:rPr>
          <w:spacing w:val="17"/>
          <w:sz w:val="20"/>
          <w:szCs w:val="20"/>
        </w:rPr>
        <w:t xml:space="preserve"> </w:t>
      </w:r>
      <w:r>
        <w:rPr>
          <w:spacing w:val="12"/>
          <w:sz w:val="20"/>
          <w:szCs w:val="20"/>
        </w:rPr>
        <w:t>(已缴纳履约保证金的除外)的期限，自工程实际竣工日期起计算。</w:t>
      </w:r>
    </w:p>
    <w:p w14:paraId="1374CB5E">
      <w:pPr>
        <w:spacing w:line="304" w:lineRule="auto"/>
        <w:rPr>
          <w:sz w:val="20"/>
          <w:szCs w:val="20"/>
        </w:rPr>
        <w:sectPr>
          <w:footerReference r:id="rId192" w:type="default"/>
          <w:pgSz w:w="11910" w:h="16840"/>
          <w:pgMar w:top="400" w:right="1533" w:bottom="1017" w:left="1450" w:header="0" w:footer="891" w:gutter="0"/>
          <w:cols w:space="720" w:num="1"/>
        </w:sectPr>
      </w:pPr>
    </w:p>
    <w:p w14:paraId="5DE1B3B6">
      <w:pPr>
        <w:spacing w:line="273" w:lineRule="auto"/>
        <w:rPr>
          <w:rFonts w:ascii="Arial"/>
          <w:sz w:val="21"/>
        </w:rPr>
      </w:pPr>
    </w:p>
    <w:p w14:paraId="533518B9">
      <w:pPr>
        <w:spacing w:line="273" w:lineRule="auto"/>
        <w:rPr>
          <w:rFonts w:ascii="Arial"/>
          <w:sz w:val="21"/>
        </w:rPr>
      </w:pPr>
    </w:p>
    <w:p w14:paraId="37FFBEDB">
      <w:pPr>
        <w:spacing w:line="273" w:lineRule="auto"/>
        <w:rPr>
          <w:rFonts w:ascii="Arial"/>
          <w:sz w:val="21"/>
        </w:rPr>
      </w:pPr>
    </w:p>
    <w:p w14:paraId="0B65BF67">
      <w:pPr>
        <w:spacing w:line="273" w:lineRule="auto"/>
        <w:rPr>
          <w:rFonts w:ascii="Arial"/>
          <w:sz w:val="21"/>
        </w:rPr>
      </w:pPr>
    </w:p>
    <w:p w14:paraId="4F7A3F25">
      <w:pPr>
        <w:spacing w:line="273" w:lineRule="auto"/>
        <w:rPr>
          <w:rFonts w:ascii="Arial"/>
          <w:sz w:val="21"/>
        </w:rPr>
      </w:pPr>
    </w:p>
    <w:p w14:paraId="56259282">
      <w:pPr>
        <w:pStyle w:val="2"/>
        <w:spacing w:before="65" w:line="294" w:lineRule="auto"/>
        <w:ind w:right="91" w:firstLine="419"/>
        <w:rPr>
          <w:sz w:val="20"/>
          <w:szCs w:val="20"/>
        </w:rPr>
      </w:pPr>
      <w:r>
        <w:rPr>
          <w:spacing w:val="6"/>
          <w:sz w:val="20"/>
          <w:szCs w:val="20"/>
        </w:rPr>
        <w:t>1.1.4.5 保修期：是指承包人按照合同约定对工程承担保修责任的期限，从工程竣工验收合格</w:t>
      </w:r>
      <w:r>
        <w:rPr>
          <w:spacing w:val="7"/>
          <w:sz w:val="20"/>
          <w:szCs w:val="20"/>
        </w:rPr>
        <w:t xml:space="preserve"> </w:t>
      </w:r>
      <w:r>
        <w:rPr>
          <w:spacing w:val="4"/>
          <w:sz w:val="20"/>
          <w:szCs w:val="20"/>
        </w:rPr>
        <w:t>之日起计算。</w:t>
      </w:r>
    </w:p>
    <w:p w14:paraId="0DBD38A7">
      <w:pPr>
        <w:pStyle w:val="2"/>
        <w:spacing w:before="152" w:line="295" w:lineRule="auto"/>
        <w:ind w:right="73" w:firstLine="419"/>
        <w:rPr>
          <w:sz w:val="20"/>
          <w:szCs w:val="20"/>
        </w:rPr>
      </w:pPr>
      <w:r>
        <w:rPr>
          <w:spacing w:val="7"/>
          <w:sz w:val="20"/>
          <w:szCs w:val="20"/>
        </w:rPr>
        <w:t>1.1.4.6 基准日期：招标发包的工</w:t>
      </w:r>
      <w:r>
        <w:rPr>
          <w:spacing w:val="6"/>
          <w:sz w:val="20"/>
          <w:szCs w:val="20"/>
        </w:rPr>
        <w:t>程以投标截止日前28天的日期为基准日期，直接发包的工程</w:t>
      </w:r>
      <w:r>
        <w:rPr>
          <w:sz w:val="20"/>
          <w:szCs w:val="20"/>
        </w:rPr>
        <w:t xml:space="preserve"> </w:t>
      </w:r>
      <w:r>
        <w:rPr>
          <w:spacing w:val="13"/>
          <w:sz w:val="20"/>
          <w:szCs w:val="20"/>
        </w:rPr>
        <w:t>以合同签订日前28天的日期为基准日期。</w:t>
      </w:r>
    </w:p>
    <w:p w14:paraId="39CDA7F6">
      <w:pPr>
        <w:pStyle w:val="2"/>
        <w:spacing w:before="161" w:line="219" w:lineRule="auto"/>
        <w:ind w:left="419"/>
        <w:rPr>
          <w:sz w:val="20"/>
          <w:szCs w:val="20"/>
        </w:rPr>
      </w:pPr>
      <w:r>
        <w:rPr>
          <w:spacing w:val="7"/>
          <w:sz w:val="20"/>
          <w:szCs w:val="20"/>
        </w:rPr>
        <w:t>1.1.4.7 天：除特别指明外，均指日历天。合同中按天计算时间的，</w:t>
      </w:r>
      <w:r>
        <w:rPr>
          <w:spacing w:val="6"/>
          <w:sz w:val="20"/>
          <w:szCs w:val="20"/>
        </w:rPr>
        <w:t>开始当天不计入，从次日</w:t>
      </w:r>
    </w:p>
    <w:p w14:paraId="60B30261">
      <w:pPr>
        <w:pStyle w:val="2"/>
        <w:spacing w:before="182" w:line="219" w:lineRule="auto"/>
        <w:rPr>
          <w:sz w:val="20"/>
          <w:szCs w:val="20"/>
        </w:rPr>
      </w:pPr>
      <w:r>
        <w:rPr>
          <w:spacing w:val="10"/>
          <w:sz w:val="20"/>
          <w:szCs w:val="20"/>
        </w:rPr>
        <w:t>开始计算，期限最后一天的截止时间为当天24:00时。</w:t>
      </w:r>
    </w:p>
    <w:p w14:paraId="0E3EF975">
      <w:pPr>
        <w:pStyle w:val="2"/>
        <w:spacing w:before="140" w:line="218" w:lineRule="auto"/>
        <w:ind w:left="419"/>
        <w:rPr>
          <w:sz w:val="20"/>
          <w:szCs w:val="20"/>
        </w:rPr>
      </w:pPr>
      <w:r>
        <w:rPr>
          <w:rFonts w:ascii="Times New Roman" w:hAnsi="Times New Roman" w:eastAsia="Times New Roman" w:cs="Times New Roman"/>
          <w:b/>
          <w:bCs/>
          <w:spacing w:val="5"/>
          <w:sz w:val="20"/>
          <w:szCs w:val="20"/>
        </w:rPr>
        <w:t>1.1.5</w:t>
      </w:r>
      <w:r>
        <w:rPr>
          <w:rFonts w:ascii="Times New Roman" w:hAnsi="Times New Roman" w:eastAsia="Times New Roman" w:cs="Times New Roman"/>
          <w:b/>
          <w:bCs/>
          <w:spacing w:val="16"/>
          <w:w w:val="101"/>
          <w:sz w:val="20"/>
          <w:szCs w:val="20"/>
        </w:rPr>
        <w:t xml:space="preserve">  </w:t>
      </w:r>
      <w:r>
        <w:rPr>
          <w:spacing w:val="5"/>
          <w:sz w:val="20"/>
          <w:szCs w:val="20"/>
        </w:rPr>
        <w:t>合同价格和费用</w:t>
      </w:r>
    </w:p>
    <w:p w14:paraId="44740A8F">
      <w:pPr>
        <w:pStyle w:val="2"/>
        <w:spacing w:before="184" w:line="289" w:lineRule="auto"/>
        <w:ind w:right="89" w:firstLine="419"/>
        <w:rPr>
          <w:sz w:val="20"/>
          <w:szCs w:val="20"/>
        </w:rPr>
      </w:pPr>
      <w:r>
        <w:rPr>
          <w:spacing w:val="6"/>
          <w:sz w:val="20"/>
          <w:szCs w:val="20"/>
        </w:rPr>
        <w:t>1.1.5.1 签约合同价：是指发包人和承包人在合同协议书中确定的总金额，包括安全文明施工</w:t>
      </w:r>
      <w:r>
        <w:rPr>
          <w:spacing w:val="9"/>
          <w:sz w:val="20"/>
          <w:szCs w:val="20"/>
        </w:rPr>
        <w:t xml:space="preserve"> </w:t>
      </w:r>
      <w:r>
        <w:rPr>
          <w:spacing w:val="7"/>
          <w:sz w:val="20"/>
          <w:szCs w:val="20"/>
        </w:rPr>
        <w:t>费、暂估价及暂列金额等。</w:t>
      </w:r>
    </w:p>
    <w:p w14:paraId="76A27AAF">
      <w:pPr>
        <w:pStyle w:val="2"/>
        <w:spacing w:before="164" w:line="298" w:lineRule="auto"/>
        <w:ind w:firstLine="419"/>
        <w:rPr>
          <w:sz w:val="20"/>
          <w:szCs w:val="20"/>
        </w:rPr>
      </w:pPr>
      <w:r>
        <w:rPr>
          <w:spacing w:val="4"/>
          <w:sz w:val="20"/>
          <w:szCs w:val="20"/>
        </w:rPr>
        <w:t>1.1.5.2 合同价格：是指发包人用于支付承包人按照合同约定</w:t>
      </w:r>
      <w:r>
        <w:rPr>
          <w:spacing w:val="3"/>
          <w:sz w:val="20"/>
          <w:szCs w:val="20"/>
        </w:rPr>
        <w:t>完成承包范围内全部工作的金额，</w:t>
      </w:r>
      <w:r>
        <w:rPr>
          <w:sz w:val="20"/>
          <w:szCs w:val="20"/>
        </w:rPr>
        <w:t xml:space="preserve"> </w:t>
      </w:r>
      <w:r>
        <w:rPr>
          <w:spacing w:val="8"/>
          <w:sz w:val="20"/>
          <w:szCs w:val="20"/>
        </w:rPr>
        <w:t>包括合同履行过程中按合同约定发生的价格变化。</w:t>
      </w:r>
    </w:p>
    <w:p w14:paraId="45A4AA3B">
      <w:pPr>
        <w:pStyle w:val="2"/>
        <w:spacing w:before="165" w:line="286" w:lineRule="auto"/>
        <w:ind w:right="92" w:firstLine="419"/>
        <w:rPr>
          <w:sz w:val="20"/>
          <w:szCs w:val="20"/>
        </w:rPr>
      </w:pPr>
      <w:r>
        <w:rPr>
          <w:spacing w:val="6"/>
          <w:sz w:val="20"/>
          <w:szCs w:val="20"/>
        </w:rPr>
        <w:t>1.1.5.3 费用：是指为履行合同所发生的或将要发生的所有必需的开支，包括管理费和应分摊 的其他费用，但不包括利润。</w:t>
      </w:r>
    </w:p>
    <w:p w14:paraId="2948CAD6">
      <w:pPr>
        <w:pStyle w:val="2"/>
        <w:spacing w:before="179" w:line="289" w:lineRule="auto"/>
        <w:ind w:right="84" w:firstLine="419"/>
        <w:rPr>
          <w:sz w:val="20"/>
          <w:szCs w:val="20"/>
        </w:rPr>
      </w:pPr>
      <w:r>
        <w:rPr>
          <w:spacing w:val="6"/>
          <w:sz w:val="20"/>
          <w:szCs w:val="20"/>
        </w:rPr>
        <w:t>1.1.5.4 暂估价：是指发包人在工程量清单或预算书中提供的用于支付必然发生但暂时不能确</w:t>
      </w:r>
      <w:r>
        <w:rPr>
          <w:spacing w:val="14"/>
          <w:sz w:val="20"/>
          <w:szCs w:val="20"/>
        </w:rPr>
        <w:t xml:space="preserve"> </w:t>
      </w:r>
      <w:r>
        <w:rPr>
          <w:spacing w:val="9"/>
          <w:sz w:val="20"/>
          <w:szCs w:val="20"/>
        </w:rPr>
        <w:t>定价格的材料、工程设备的单价、专业工程以及服务工作的金额。</w:t>
      </w:r>
    </w:p>
    <w:p w14:paraId="51E30AC8">
      <w:pPr>
        <w:pStyle w:val="2"/>
        <w:spacing w:before="164" w:line="326" w:lineRule="auto"/>
        <w:ind w:firstLine="419"/>
        <w:rPr>
          <w:sz w:val="20"/>
          <w:szCs w:val="20"/>
        </w:rPr>
      </w:pPr>
      <w:r>
        <w:rPr>
          <w:spacing w:val="4"/>
          <w:sz w:val="20"/>
          <w:szCs w:val="20"/>
        </w:rPr>
        <w:t>1.1.5.5 暂列金额：是指发包人在工程量清单或预算书中暂定</w:t>
      </w:r>
      <w:r>
        <w:rPr>
          <w:spacing w:val="3"/>
          <w:sz w:val="20"/>
          <w:szCs w:val="20"/>
        </w:rPr>
        <w:t>并包括在合同价格中的一笔款项，</w:t>
      </w:r>
      <w:r>
        <w:rPr>
          <w:sz w:val="20"/>
          <w:szCs w:val="20"/>
        </w:rPr>
        <w:t xml:space="preserve"> </w:t>
      </w:r>
      <w:r>
        <w:rPr>
          <w:spacing w:val="12"/>
          <w:sz w:val="20"/>
          <w:szCs w:val="20"/>
        </w:rPr>
        <w:t>用于工程合同签订时尚未确定或者不可预见的所需材料、工程设备、服务的采购</w:t>
      </w:r>
      <w:r>
        <w:rPr>
          <w:spacing w:val="11"/>
          <w:sz w:val="20"/>
          <w:szCs w:val="20"/>
        </w:rPr>
        <w:t>，施工中可能发</w:t>
      </w:r>
      <w:r>
        <w:rPr>
          <w:sz w:val="20"/>
          <w:szCs w:val="20"/>
        </w:rPr>
        <w:t xml:space="preserve">  </w:t>
      </w:r>
      <w:r>
        <w:rPr>
          <w:spacing w:val="12"/>
          <w:sz w:val="20"/>
          <w:szCs w:val="20"/>
        </w:rPr>
        <w:t>生的工程变更、合同约定调整因素出现时的合同价格调整以及发生的索赔、现场签证确认</w:t>
      </w:r>
      <w:r>
        <w:rPr>
          <w:spacing w:val="11"/>
          <w:sz w:val="20"/>
          <w:szCs w:val="20"/>
        </w:rPr>
        <w:t>等的费</w:t>
      </w:r>
      <w:r>
        <w:rPr>
          <w:sz w:val="20"/>
          <w:szCs w:val="20"/>
        </w:rPr>
        <w:t xml:space="preserve">  </w:t>
      </w:r>
      <w:r>
        <w:rPr>
          <w:spacing w:val="-1"/>
          <w:sz w:val="20"/>
          <w:szCs w:val="20"/>
        </w:rPr>
        <w:t>用。</w:t>
      </w:r>
    </w:p>
    <w:p w14:paraId="5B813CAD">
      <w:pPr>
        <w:pStyle w:val="2"/>
        <w:spacing w:before="198" w:line="298" w:lineRule="auto"/>
        <w:ind w:right="89" w:firstLine="419"/>
        <w:rPr>
          <w:sz w:val="20"/>
          <w:szCs w:val="20"/>
        </w:rPr>
      </w:pPr>
      <w:r>
        <w:rPr>
          <w:spacing w:val="6"/>
          <w:sz w:val="20"/>
          <w:szCs w:val="20"/>
        </w:rPr>
        <w:t>1.1.5.6 计日工：是指合同履行过程中，承包人完成发包人提出的零星工作或需要采用计日工</w:t>
      </w:r>
      <w:r>
        <w:rPr>
          <w:spacing w:val="9"/>
          <w:sz w:val="20"/>
          <w:szCs w:val="20"/>
        </w:rPr>
        <w:t xml:space="preserve"> 计价的变更工作时，按合同中约定的单价计价的</w:t>
      </w:r>
      <w:r>
        <w:rPr>
          <w:spacing w:val="8"/>
          <w:sz w:val="20"/>
          <w:szCs w:val="20"/>
        </w:rPr>
        <w:t>一种方式。</w:t>
      </w:r>
    </w:p>
    <w:p w14:paraId="17D251E0">
      <w:pPr>
        <w:pStyle w:val="2"/>
        <w:spacing w:before="135" w:line="299" w:lineRule="auto"/>
        <w:ind w:right="66" w:firstLine="419"/>
        <w:rPr>
          <w:sz w:val="20"/>
          <w:szCs w:val="20"/>
        </w:rPr>
      </w:pPr>
      <w:r>
        <w:rPr>
          <w:spacing w:val="7"/>
          <w:sz w:val="20"/>
          <w:szCs w:val="20"/>
        </w:rPr>
        <w:t>1.1.5.7 质量保证金：是指按照第1</w:t>
      </w:r>
      <w:r>
        <w:rPr>
          <w:spacing w:val="6"/>
          <w:sz w:val="20"/>
          <w:szCs w:val="20"/>
        </w:rPr>
        <w:t>5.3款〔质量保证金〕约定承包人用于保证其在缺陷责任期</w:t>
      </w:r>
      <w:r>
        <w:rPr>
          <w:sz w:val="20"/>
          <w:szCs w:val="20"/>
        </w:rPr>
        <w:t xml:space="preserve"> </w:t>
      </w:r>
      <w:r>
        <w:rPr>
          <w:spacing w:val="6"/>
          <w:sz w:val="20"/>
          <w:szCs w:val="20"/>
        </w:rPr>
        <w:t>内履行缺陷修补义务的担保。</w:t>
      </w:r>
    </w:p>
    <w:p w14:paraId="60BEFB28">
      <w:pPr>
        <w:pStyle w:val="2"/>
        <w:spacing w:before="161" w:line="298" w:lineRule="auto"/>
        <w:ind w:right="92" w:firstLine="419"/>
        <w:rPr>
          <w:sz w:val="20"/>
          <w:szCs w:val="20"/>
        </w:rPr>
      </w:pPr>
      <w:r>
        <w:rPr>
          <w:spacing w:val="6"/>
          <w:sz w:val="20"/>
          <w:szCs w:val="20"/>
        </w:rPr>
        <w:t xml:space="preserve">1.1.5.8 总价项目：是指在现行国家、行业以及地方的计量规则中无工程量计算规则，在已标 </w:t>
      </w:r>
      <w:r>
        <w:rPr>
          <w:spacing w:val="9"/>
          <w:sz w:val="20"/>
          <w:szCs w:val="20"/>
        </w:rPr>
        <w:t>价工程量清单或预算书中以总价或以费率形式</w:t>
      </w:r>
      <w:r>
        <w:rPr>
          <w:spacing w:val="8"/>
          <w:sz w:val="20"/>
          <w:szCs w:val="20"/>
        </w:rPr>
        <w:t>计算的项目。</w:t>
      </w:r>
    </w:p>
    <w:p w14:paraId="3B8B5016">
      <w:pPr>
        <w:pStyle w:val="2"/>
        <w:spacing w:before="157" w:line="220" w:lineRule="auto"/>
        <w:ind w:left="419"/>
        <w:rPr>
          <w:sz w:val="20"/>
          <w:szCs w:val="20"/>
        </w:rPr>
      </w:pPr>
      <w:r>
        <w:rPr>
          <w:spacing w:val="6"/>
          <w:sz w:val="20"/>
          <w:szCs w:val="20"/>
        </w:rPr>
        <w:t>1.1.6其他</w:t>
      </w:r>
    </w:p>
    <w:p w14:paraId="64120432">
      <w:pPr>
        <w:pStyle w:val="2"/>
        <w:spacing w:before="179" w:line="219" w:lineRule="auto"/>
        <w:ind w:left="419"/>
        <w:rPr>
          <w:sz w:val="20"/>
          <w:szCs w:val="20"/>
        </w:rPr>
      </w:pPr>
      <w:r>
        <w:rPr>
          <w:spacing w:val="6"/>
          <w:sz w:val="20"/>
          <w:szCs w:val="20"/>
        </w:rPr>
        <w:t>1.1.6.1 书面形式：是指合同文件、信函、电报、传真</w:t>
      </w:r>
      <w:r>
        <w:rPr>
          <w:spacing w:val="5"/>
          <w:sz w:val="20"/>
          <w:szCs w:val="20"/>
        </w:rPr>
        <w:t>等可以有形地表现所载内容的形式。</w:t>
      </w:r>
    </w:p>
    <w:p w14:paraId="5B06F364">
      <w:pPr>
        <w:pStyle w:val="2"/>
        <w:spacing w:before="103" w:line="219" w:lineRule="auto"/>
        <w:ind w:left="3"/>
      </w:pPr>
      <w:r>
        <w:rPr>
          <w:b/>
          <w:bCs/>
          <w:spacing w:val="-7"/>
        </w:rPr>
        <w:t>1.2语言文字</w:t>
      </w:r>
    </w:p>
    <w:p w14:paraId="0BF13E07">
      <w:pPr>
        <w:pStyle w:val="2"/>
        <w:spacing w:before="153" w:line="346" w:lineRule="auto"/>
        <w:ind w:right="85" w:firstLine="419"/>
        <w:rPr>
          <w:sz w:val="20"/>
          <w:szCs w:val="20"/>
        </w:rPr>
      </w:pPr>
      <w:r>
        <w:rPr>
          <w:spacing w:val="12"/>
          <w:sz w:val="20"/>
          <w:szCs w:val="20"/>
        </w:rPr>
        <w:t>合同以中国的汉语简体文字编写、解释和说明。合同当事人在专用合同条款中约定使用两种</w:t>
      </w:r>
      <w:r>
        <w:rPr>
          <w:spacing w:val="4"/>
          <w:sz w:val="20"/>
          <w:szCs w:val="20"/>
        </w:rPr>
        <w:t xml:space="preserve"> </w:t>
      </w:r>
      <w:r>
        <w:rPr>
          <w:spacing w:val="8"/>
          <w:sz w:val="20"/>
          <w:szCs w:val="20"/>
        </w:rPr>
        <w:t>以上语言时，汉语为优先解释和说明合同的语言。</w:t>
      </w:r>
    </w:p>
    <w:p w14:paraId="39FF7323">
      <w:pPr>
        <w:pStyle w:val="2"/>
        <w:spacing w:before="1" w:line="219" w:lineRule="auto"/>
        <w:ind w:left="3"/>
      </w:pPr>
      <w:r>
        <w:rPr>
          <w:b/>
          <w:bCs/>
          <w:spacing w:val="-8"/>
        </w:rPr>
        <w:t>1.3法律</w:t>
      </w:r>
    </w:p>
    <w:p w14:paraId="0A66DFE3">
      <w:pPr>
        <w:pStyle w:val="2"/>
        <w:spacing w:before="133" w:line="390" w:lineRule="auto"/>
        <w:ind w:right="73" w:firstLine="419"/>
        <w:rPr>
          <w:sz w:val="20"/>
          <w:szCs w:val="20"/>
        </w:rPr>
      </w:pPr>
      <w:r>
        <w:rPr>
          <w:spacing w:val="12"/>
          <w:sz w:val="20"/>
          <w:szCs w:val="20"/>
        </w:rPr>
        <w:t>合同所称法律是指中华人民共和国法律、行政法规、部门规章，以及工程所在地的地方性法</w:t>
      </w:r>
      <w:r>
        <w:rPr>
          <w:spacing w:val="15"/>
          <w:sz w:val="20"/>
          <w:szCs w:val="20"/>
        </w:rPr>
        <w:t xml:space="preserve"> </w:t>
      </w:r>
      <w:r>
        <w:rPr>
          <w:spacing w:val="9"/>
          <w:sz w:val="20"/>
          <w:szCs w:val="20"/>
        </w:rPr>
        <w:t>规、自治条例、单行条例和地方政府规章等。</w:t>
      </w:r>
    </w:p>
    <w:p w14:paraId="011E3B76">
      <w:pPr>
        <w:spacing w:line="390" w:lineRule="auto"/>
        <w:rPr>
          <w:sz w:val="20"/>
          <w:szCs w:val="20"/>
        </w:rPr>
        <w:sectPr>
          <w:footerReference r:id="rId193" w:type="default"/>
          <w:pgSz w:w="11910" w:h="16840"/>
          <w:pgMar w:top="400" w:right="1459" w:bottom="1024" w:left="1460" w:header="0" w:footer="889" w:gutter="0"/>
          <w:cols w:space="720" w:num="1"/>
        </w:sectPr>
      </w:pPr>
    </w:p>
    <w:p w14:paraId="4ED747EC">
      <w:pPr>
        <w:spacing w:line="270" w:lineRule="auto"/>
        <w:rPr>
          <w:rFonts w:ascii="Arial"/>
          <w:sz w:val="21"/>
        </w:rPr>
      </w:pPr>
    </w:p>
    <w:p w14:paraId="5E1E50E3">
      <w:pPr>
        <w:spacing w:line="270" w:lineRule="auto"/>
        <w:rPr>
          <w:rFonts w:ascii="Arial"/>
          <w:sz w:val="21"/>
        </w:rPr>
      </w:pPr>
    </w:p>
    <w:p w14:paraId="599FECA2">
      <w:pPr>
        <w:spacing w:line="270" w:lineRule="auto"/>
        <w:rPr>
          <w:rFonts w:ascii="Arial"/>
          <w:sz w:val="21"/>
        </w:rPr>
      </w:pPr>
    </w:p>
    <w:p w14:paraId="2601815B">
      <w:pPr>
        <w:spacing w:line="271" w:lineRule="auto"/>
        <w:rPr>
          <w:rFonts w:ascii="Arial"/>
          <w:sz w:val="21"/>
        </w:rPr>
      </w:pPr>
    </w:p>
    <w:p w14:paraId="32764FDA">
      <w:pPr>
        <w:spacing w:line="271" w:lineRule="auto"/>
        <w:rPr>
          <w:rFonts w:ascii="Arial"/>
          <w:sz w:val="21"/>
        </w:rPr>
      </w:pPr>
    </w:p>
    <w:p w14:paraId="5CC98BF4">
      <w:pPr>
        <w:pStyle w:val="2"/>
        <w:spacing w:before="68" w:line="219" w:lineRule="auto"/>
        <w:ind w:left="419"/>
        <w:rPr>
          <w:sz w:val="21"/>
          <w:szCs w:val="21"/>
        </w:rPr>
      </w:pPr>
      <w:r>
        <w:rPr>
          <w:spacing w:val="-1"/>
          <w:sz w:val="21"/>
          <w:szCs w:val="21"/>
        </w:rPr>
        <w:t>合同当事人可以在专用合同条款中约定合同适</w:t>
      </w:r>
      <w:r>
        <w:rPr>
          <w:spacing w:val="-2"/>
          <w:sz w:val="21"/>
          <w:szCs w:val="21"/>
        </w:rPr>
        <w:t>用的其他规范性文件。</w:t>
      </w:r>
    </w:p>
    <w:p w14:paraId="7964F94F">
      <w:pPr>
        <w:pStyle w:val="2"/>
        <w:spacing w:before="119" w:line="220" w:lineRule="auto"/>
        <w:ind w:left="3"/>
      </w:pPr>
      <w:r>
        <w:rPr>
          <w:b/>
          <w:bCs/>
          <w:spacing w:val="-15"/>
        </w:rPr>
        <w:t>1.4</w:t>
      </w:r>
      <w:r>
        <w:rPr>
          <w:spacing w:val="19"/>
        </w:rPr>
        <w:t xml:space="preserve"> </w:t>
      </w:r>
      <w:r>
        <w:rPr>
          <w:b/>
          <w:bCs/>
          <w:spacing w:val="-15"/>
        </w:rPr>
        <w:t>标准和规范</w:t>
      </w:r>
    </w:p>
    <w:p w14:paraId="443C2667">
      <w:pPr>
        <w:pStyle w:val="2"/>
        <w:spacing w:before="123" w:line="351" w:lineRule="auto"/>
        <w:ind w:right="66" w:firstLine="419"/>
        <w:rPr>
          <w:sz w:val="21"/>
          <w:szCs w:val="21"/>
        </w:rPr>
      </w:pPr>
      <w:r>
        <w:rPr>
          <w:spacing w:val="-2"/>
          <w:sz w:val="21"/>
          <w:szCs w:val="21"/>
        </w:rPr>
        <w:t>1.4.1</w:t>
      </w:r>
      <w:r>
        <w:rPr>
          <w:spacing w:val="-24"/>
          <w:sz w:val="21"/>
          <w:szCs w:val="21"/>
        </w:rPr>
        <w:t xml:space="preserve"> </w:t>
      </w:r>
      <w:r>
        <w:rPr>
          <w:spacing w:val="-2"/>
          <w:sz w:val="21"/>
          <w:szCs w:val="21"/>
        </w:rPr>
        <w:t>适用于工程的国家标准、行业标准、工程所在地的地方性标准，以及相应的规范、规程</w:t>
      </w:r>
      <w:r>
        <w:rPr>
          <w:sz w:val="21"/>
          <w:szCs w:val="21"/>
        </w:rPr>
        <w:t xml:space="preserve"> </w:t>
      </w:r>
      <w:r>
        <w:rPr>
          <w:spacing w:val="-1"/>
          <w:sz w:val="21"/>
          <w:szCs w:val="21"/>
        </w:rPr>
        <w:t>等，合同当事人有特别要求的，应在专用合同条款中约定。</w:t>
      </w:r>
    </w:p>
    <w:p w14:paraId="612A5EC6">
      <w:pPr>
        <w:pStyle w:val="2"/>
        <w:spacing w:before="1" w:line="347" w:lineRule="auto"/>
        <w:ind w:right="59" w:firstLine="419"/>
        <w:rPr>
          <w:sz w:val="21"/>
          <w:szCs w:val="21"/>
        </w:rPr>
      </w:pPr>
      <w:r>
        <w:rPr>
          <w:spacing w:val="-2"/>
          <w:sz w:val="21"/>
          <w:szCs w:val="21"/>
        </w:rPr>
        <w:t>1.4.2 发包人要求使用国外标准、规范的，发包人负责提供</w:t>
      </w:r>
      <w:r>
        <w:rPr>
          <w:spacing w:val="-3"/>
          <w:sz w:val="21"/>
          <w:szCs w:val="21"/>
        </w:rPr>
        <w:t>原文版本和中文译本，并在专用合</w:t>
      </w:r>
      <w:r>
        <w:rPr>
          <w:sz w:val="21"/>
          <w:szCs w:val="21"/>
        </w:rPr>
        <w:t xml:space="preserve"> </w:t>
      </w:r>
      <w:r>
        <w:rPr>
          <w:spacing w:val="-2"/>
          <w:sz w:val="21"/>
          <w:szCs w:val="21"/>
        </w:rPr>
        <w:t>同条款中约定提供标准规范的名称、份数和时间。</w:t>
      </w:r>
    </w:p>
    <w:p w14:paraId="5E0247E6">
      <w:pPr>
        <w:pStyle w:val="2"/>
        <w:spacing w:line="345" w:lineRule="auto"/>
        <w:ind w:right="59" w:firstLine="419"/>
        <w:jc w:val="both"/>
        <w:rPr>
          <w:sz w:val="21"/>
          <w:szCs w:val="21"/>
        </w:rPr>
      </w:pPr>
      <w:r>
        <w:rPr>
          <w:spacing w:val="-2"/>
          <w:sz w:val="21"/>
          <w:szCs w:val="21"/>
        </w:rPr>
        <w:t>1.4.3 发包人对工程的技术标准、功能要求高于或严于现行</w:t>
      </w:r>
      <w:r>
        <w:rPr>
          <w:spacing w:val="-3"/>
          <w:sz w:val="21"/>
          <w:szCs w:val="21"/>
        </w:rPr>
        <w:t>国家、行业或地方标准的，应当在</w:t>
      </w:r>
      <w:r>
        <w:rPr>
          <w:sz w:val="21"/>
          <w:szCs w:val="21"/>
        </w:rPr>
        <w:t xml:space="preserve"> </w:t>
      </w:r>
      <w:r>
        <w:rPr>
          <w:spacing w:val="2"/>
          <w:sz w:val="21"/>
          <w:szCs w:val="21"/>
        </w:rPr>
        <w:t>专用合同条款中予以明确。除专用合同条款另有约定外，应视为承包人在签订合同前已充分预见</w:t>
      </w:r>
      <w:r>
        <w:rPr>
          <w:spacing w:val="6"/>
          <w:sz w:val="21"/>
          <w:szCs w:val="21"/>
        </w:rPr>
        <w:t xml:space="preserve"> </w:t>
      </w:r>
      <w:r>
        <w:rPr>
          <w:spacing w:val="-1"/>
          <w:sz w:val="21"/>
          <w:szCs w:val="21"/>
        </w:rPr>
        <w:t>前述技术标准和功能要求的复杂程度，签约合同价中已包含</w:t>
      </w:r>
      <w:r>
        <w:rPr>
          <w:spacing w:val="-2"/>
          <w:sz w:val="21"/>
          <w:szCs w:val="21"/>
        </w:rPr>
        <w:t>由此产生的费用。</w:t>
      </w:r>
    </w:p>
    <w:p w14:paraId="18460380">
      <w:pPr>
        <w:pStyle w:val="2"/>
        <w:spacing w:before="1" w:line="219" w:lineRule="auto"/>
        <w:ind w:left="3"/>
      </w:pPr>
      <w:r>
        <w:rPr>
          <w:b/>
          <w:bCs/>
          <w:spacing w:val="-10"/>
        </w:rPr>
        <w:t>1.5</w:t>
      </w:r>
      <w:r>
        <w:rPr>
          <w:spacing w:val="-10"/>
        </w:rPr>
        <w:t xml:space="preserve"> </w:t>
      </w:r>
      <w:r>
        <w:rPr>
          <w:b/>
          <w:bCs/>
          <w:spacing w:val="-10"/>
        </w:rPr>
        <w:t>合同文件的优先顺序</w:t>
      </w:r>
    </w:p>
    <w:p w14:paraId="1A3B7595">
      <w:pPr>
        <w:pStyle w:val="2"/>
        <w:spacing w:before="154" w:line="343" w:lineRule="auto"/>
        <w:ind w:right="71" w:firstLine="419"/>
        <w:rPr>
          <w:sz w:val="21"/>
          <w:szCs w:val="21"/>
        </w:rPr>
      </w:pPr>
      <w:r>
        <w:rPr>
          <w:spacing w:val="2"/>
          <w:sz w:val="21"/>
          <w:szCs w:val="21"/>
        </w:rPr>
        <w:t>组成合同的各项文件应互相解释，互为说明。除专用合同条款另有约定外，解释合同文件的</w:t>
      </w:r>
      <w:r>
        <w:rPr>
          <w:spacing w:val="15"/>
          <w:sz w:val="21"/>
          <w:szCs w:val="21"/>
        </w:rPr>
        <w:t xml:space="preserve"> </w:t>
      </w:r>
      <w:r>
        <w:rPr>
          <w:spacing w:val="-5"/>
          <w:sz w:val="21"/>
          <w:szCs w:val="21"/>
        </w:rPr>
        <w:t>优先顺序如下：</w:t>
      </w:r>
    </w:p>
    <w:p w14:paraId="36B638DD">
      <w:pPr>
        <w:pStyle w:val="2"/>
        <w:spacing w:line="218" w:lineRule="auto"/>
        <w:ind w:left="519"/>
        <w:rPr>
          <w:sz w:val="21"/>
          <w:szCs w:val="21"/>
        </w:rPr>
      </w:pPr>
      <w:r>
        <w:rPr>
          <w:spacing w:val="8"/>
          <w:sz w:val="21"/>
          <w:szCs w:val="21"/>
        </w:rPr>
        <w:t>(1)合同协议书；</w:t>
      </w:r>
    </w:p>
    <w:p w14:paraId="195F020D">
      <w:pPr>
        <w:pStyle w:val="2"/>
        <w:spacing w:before="171" w:line="219" w:lineRule="auto"/>
        <w:ind w:left="519"/>
        <w:rPr>
          <w:sz w:val="21"/>
          <w:szCs w:val="21"/>
        </w:rPr>
      </w:pPr>
      <w:r>
        <w:rPr>
          <w:spacing w:val="14"/>
          <w:sz w:val="21"/>
          <w:szCs w:val="21"/>
        </w:rPr>
        <w:t>(2)中标通知书(如果有);</w:t>
      </w:r>
    </w:p>
    <w:p w14:paraId="06952374">
      <w:pPr>
        <w:pStyle w:val="2"/>
        <w:spacing w:before="141" w:line="219" w:lineRule="auto"/>
        <w:ind w:left="519"/>
        <w:rPr>
          <w:sz w:val="21"/>
          <w:szCs w:val="21"/>
        </w:rPr>
      </w:pPr>
      <w:r>
        <w:rPr>
          <w:spacing w:val="14"/>
          <w:sz w:val="21"/>
          <w:szCs w:val="21"/>
        </w:rPr>
        <w:t>(3)投标函及其附录(如果有);</w:t>
      </w:r>
    </w:p>
    <w:p w14:paraId="4C89F42B">
      <w:pPr>
        <w:pStyle w:val="2"/>
        <w:spacing w:before="151" w:line="219" w:lineRule="auto"/>
        <w:ind w:left="519"/>
        <w:rPr>
          <w:sz w:val="21"/>
          <w:szCs w:val="21"/>
        </w:rPr>
      </w:pPr>
      <w:r>
        <w:rPr>
          <w:spacing w:val="5"/>
          <w:sz w:val="21"/>
          <w:szCs w:val="21"/>
        </w:rPr>
        <w:t>(4)专用合同条款及其附件；</w:t>
      </w:r>
    </w:p>
    <w:p w14:paraId="561CA35D">
      <w:pPr>
        <w:pStyle w:val="2"/>
        <w:spacing w:before="162" w:line="219" w:lineRule="auto"/>
        <w:ind w:left="519"/>
        <w:rPr>
          <w:sz w:val="21"/>
          <w:szCs w:val="21"/>
        </w:rPr>
      </w:pPr>
      <w:r>
        <w:rPr>
          <w:spacing w:val="6"/>
          <w:sz w:val="21"/>
          <w:szCs w:val="21"/>
        </w:rPr>
        <w:t>(5)通用合同条款；</w:t>
      </w:r>
    </w:p>
    <w:p w14:paraId="1B54068C">
      <w:pPr>
        <w:pStyle w:val="2"/>
        <w:spacing w:before="151" w:line="219" w:lineRule="auto"/>
        <w:ind w:left="519"/>
        <w:rPr>
          <w:sz w:val="21"/>
          <w:szCs w:val="21"/>
        </w:rPr>
      </w:pPr>
      <w:r>
        <w:rPr>
          <w:spacing w:val="6"/>
          <w:sz w:val="21"/>
          <w:szCs w:val="21"/>
        </w:rPr>
        <w:t>(6)技术标准和要求；</w:t>
      </w:r>
    </w:p>
    <w:p w14:paraId="6740403B">
      <w:pPr>
        <w:pStyle w:val="2"/>
        <w:spacing w:before="132" w:line="221" w:lineRule="auto"/>
        <w:ind w:left="519"/>
        <w:rPr>
          <w:sz w:val="21"/>
          <w:szCs w:val="21"/>
        </w:rPr>
      </w:pPr>
      <w:r>
        <w:rPr>
          <w:spacing w:val="13"/>
          <w:sz w:val="21"/>
          <w:szCs w:val="21"/>
        </w:rPr>
        <w:t>(7)图纸；</w:t>
      </w:r>
    </w:p>
    <w:p w14:paraId="257AE28D">
      <w:pPr>
        <w:pStyle w:val="2"/>
        <w:spacing w:before="166" w:line="218" w:lineRule="auto"/>
        <w:ind w:left="519"/>
        <w:rPr>
          <w:sz w:val="21"/>
          <w:szCs w:val="21"/>
        </w:rPr>
      </w:pPr>
      <w:r>
        <w:rPr>
          <w:spacing w:val="3"/>
          <w:sz w:val="21"/>
          <w:szCs w:val="21"/>
        </w:rPr>
        <w:t>(8)已标价工程量清单或预算书；</w:t>
      </w:r>
    </w:p>
    <w:p w14:paraId="0832E756">
      <w:pPr>
        <w:pStyle w:val="2"/>
        <w:spacing w:before="144" w:line="219" w:lineRule="auto"/>
        <w:ind w:left="519"/>
        <w:rPr>
          <w:sz w:val="21"/>
          <w:szCs w:val="21"/>
        </w:rPr>
      </w:pPr>
      <w:r>
        <w:rPr>
          <w:spacing w:val="7"/>
          <w:sz w:val="21"/>
          <w:szCs w:val="21"/>
        </w:rPr>
        <w:t>(9)其他合同文件。</w:t>
      </w:r>
    </w:p>
    <w:p w14:paraId="6119D65C">
      <w:pPr>
        <w:pStyle w:val="2"/>
        <w:spacing w:before="140" w:line="356" w:lineRule="auto"/>
        <w:ind w:right="91" w:firstLine="419"/>
        <w:rPr>
          <w:sz w:val="21"/>
          <w:szCs w:val="21"/>
        </w:rPr>
      </w:pPr>
      <w:r>
        <w:rPr>
          <w:spacing w:val="2"/>
          <w:sz w:val="21"/>
          <w:szCs w:val="21"/>
        </w:rPr>
        <w:t>上述各项合同文件包括合同当事人就该项合同文件所作出的补充和修改，属于同</w:t>
      </w:r>
      <w:r>
        <w:rPr>
          <w:spacing w:val="1"/>
          <w:sz w:val="21"/>
          <w:szCs w:val="21"/>
        </w:rPr>
        <w:t>一类内容的</w:t>
      </w:r>
      <w:r>
        <w:rPr>
          <w:sz w:val="21"/>
          <w:szCs w:val="21"/>
        </w:rPr>
        <w:t xml:space="preserve"> </w:t>
      </w:r>
      <w:r>
        <w:rPr>
          <w:spacing w:val="-3"/>
          <w:sz w:val="21"/>
          <w:szCs w:val="21"/>
        </w:rPr>
        <w:t>文件，应以最新签署的为准。</w:t>
      </w:r>
    </w:p>
    <w:p w14:paraId="5C0F7D62">
      <w:pPr>
        <w:pStyle w:val="2"/>
        <w:spacing w:line="342" w:lineRule="auto"/>
        <w:ind w:right="64" w:firstLine="419"/>
        <w:rPr>
          <w:sz w:val="21"/>
          <w:szCs w:val="21"/>
        </w:rPr>
      </w:pPr>
      <w:r>
        <w:rPr>
          <w:spacing w:val="3"/>
          <w:sz w:val="21"/>
          <w:szCs w:val="21"/>
        </w:rPr>
        <w:t>在合同订立及履行过程中形成的与合同有关的文件</w:t>
      </w:r>
      <w:r>
        <w:rPr>
          <w:spacing w:val="2"/>
          <w:sz w:val="21"/>
          <w:szCs w:val="21"/>
        </w:rPr>
        <w:t>均构成合同文件组成部分，并根据其性质</w:t>
      </w:r>
      <w:r>
        <w:rPr>
          <w:sz w:val="21"/>
          <w:szCs w:val="21"/>
        </w:rPr>
        <w:t xml:space="preserve"> </w:t>
      </w:r>
      <w:r>
        <w:rPr>
          <w:spacing w:val="-4"/>
          <w:sz w:val="21"/>
          <w:szCs w:val="21"/>
        </w:rPr>
        <w:t>确定优先解释顺序。</w:t>
      </w:r>
    </w:p>
    <w:p w14:paraId="7EB2FE54">
      <w:pPr>
        <w:pStyle w:val="2"/>
        <w:spacing w:before="1" w:line="219" w:lineRule="auto"/>
        <w:ind w:left="3"/>
      </w:pPr>
      <w:r>
        <w:rPr>
          <w:b/>
          <w:bCs/>
          <w:spacing w:val="-6"/>
        </w:rPr>
        <w:t>1.6图纸和承包人文件</w:t>
      </w:r>
    </w:p>
    <w:p w14:paraId="6620D8F0">
      <w:pPr>
        <w:pStyle w:val="2"/>
        <w:spacing w:before="144" w:line="219" w:lineRule="auto"/>
        <w:ind w:left="419"/>
        <w:rPr>
          <w:sz w:val="21"/>
          <w:szCs w:val="21"/>
        </w:rPr>
      </w:pPr>
      <w:r>
        <w:rPr>
          <w:sz w:val="21"/>
          <w:szCs w:val="21"/>
        </w:rPr>
        <w:t>1.6.1图纸的提供和交底</w:t>
      </w:r>
    </w:p>
    <w:p w14:paraId="7AACCB52">
      <w:pPr>
        <w:pStyle w:val="2"/>
        <w:spacing w:before="119" w:line="358" w:lineRule="auto"/>
        <w:ind w:firstLine="419"/>
        <w:rPr>
          <w:sz w:val="21"/>
          <w:szCs w:val="21"/>
        </w:rPr>
      </w:pPr>
      <w:r>
        <w:rPr>
          <w:spacing w:val="-1"/>
          <w:sz w:val="21"/>
          <w:szCs w:val="21"/>
        </w:rPr>
        <w:t>发包人应按照专用合同条款约定的期限、数量和内容向承包人免费提供图纸，并组织承包</w:t>
      </w:r>
      <w:r>
        <w:rPr>
          <w:spacing w:val="-2"/>
          <w:sz w:val="21"/>
          <w:szCs w:val="21"/>
        </w:rPr>
        <w:t>人、</w:t>
      </w:r>
      <w:r>
        <w:rPr>
          <w:sz w:val="21"/>
          <w:szCs w:val="21"/>
        </w:rPr>
        <w:t xml:space="preserve"> 监理人和设计人进行图纸会审和设计交底。发包人至迟不得晚于第7.3.2</w:t>
      </w:r>
      <w:r>
        <w:rPr>
          <w:spacing w:val="-1"/>
          <w:sz w:val="21"/>
          <w:szCs w:val="21"/>
        </w:rPr>
        <w:t>项〔开工通知〕载明的开</w:t>
      </w:r>
      <w:r>
        <w:rPr>
          <w:sz w:val="21"/>
          <w:szCs w:val="21"/>
        </w:rPr>
        <w:t xml:space="preserve"> </w:t>
      </w:r>
      <w:r>
        <w:rPr>
          <w:spacing w:val="5"/>
          <w:sz w:val="21"/>
          <w:szCs w:val="21"/>
        </w:rPr>
        <w:t>工日期前14天向承包人提供图纸。</w:t>
      </w:r>
    </w:p>
    <w:p w14:paraId="60C84ED4">
      <w:pPr>
        <w:pStyle w:val="2"/>
        <w:spacing w:before="2" w:line="345" w:lineRule="auto"/>
        <w:ind w:right="66" w:firstLine="419"/>
        <w:rPr>
          <w:sz w:val="21"/>
          <w:szCs w:val="21"/>
        </w:rPr>
      </w:pPr>
      <w:r>
        <w:rPr>
          <w:sz w:val="21"/>
          <w:szCs w:val="21"/>
        </w:rPr>
        <w:t>因发包人未按合同约定提供图纸导致承包人费用增加和(或)工期延误的，按照第7.5</w:t>
      </w:r>
      <w:r>
        <w:rPr>
          <w:spacing w:val="-1"/>
          <w:sz w:val="21"/>
          <w:szCs w:val="21"/>
        </w:rPr>
        <w:t>.1项〔因</w:t>
      </w:r>
      <w:r>
        <w:rPr>
          <w:sz w:val="21"/>
          <w:szCs w:val="21"/>
        </w:rPr>
        <w:t xml:space="preserve"> </w:t>
      </w:r>
      <w:r>
        <w:rPr>
          <w:spacing w:val="-3"/>
          <w:sz w:val="21"/>
          <w:szCs w:val="21"/>
        </w:rPr>
        <w:t>发包人原因导致工期延误〕约定办理。</w:t>
      </w:r>
    </w:p>
    <w:p w14:paraId="2B44E7D6">
      <w:pPr>
        <w:pStyle w:val="2"/>
        <w:spacing w:before="16" w:line="221" w:lineRule="auto"/>
        <w:ind w:left="419"/>
        <w:rPr>
          <w:sz w:val="21"/>
          <w:szCs w:val="21"/>
        </w:rPr>
      </w:pPr>
      <w:r>
        <w:rPr>
          <w:spacing w:val="-11"/>
          <w:sz w:val="21"/>
          <w:szCs w:val="21"/>
        </w:rPr>
        <w:t>1.6.2</w:t>
      </w:r>
      <w:r>
        <w:rPr>
          <w:spacing w:val="-15"/>
          <w:sz w:val="21"/>
          <w:szCs w:val="21"/>
        </w:rPr>
        <w:t xml:space="preserve"> </w:t>
      </w:r>
      <w:r>
        <w:rPr>
          <w:spacing w:val="-11"/>
          <w:sz w:val="21"/>
          <w:szCs w:val="21"/>
        </w:rPr>
        <w:t>图纸的错误</w:t>
      </w:r>
    </w:p>
    <w:p w14:paraId="465E0284">
      <w:pPr>
        <w:spacing w:line="221" w:lineRule="auto"/>
        <w:rPr>
          <w:sz w:val="21"/>
          <w:szCs w:val="21"/>
        </w:rPr>
        <w:sectPr>
          <w:footerReference r:id="rId194" w:type="default"/>
          <w:pgSz w:w="11910" w:h="16840"/>
          <w:pgMar w:top="400" w:right="1462" w:bottom="1017" w:left="1460" w:header="0" w:footer="891" w:gutter="0"/>
          <w:cols w:space="720" w:num="1"/>
        </w:sectPr>
      </w:pPr>
    </w:p>
    <w:p w14:paraId="51812BEE">
      <w:pPr>
        <w:spacing w:line="273" w:lineRule="auto"/>
        <w:rPr>
          <w:rFonts w:ascii="Arial"/>
          <w:sz w:val="21"/>
        </w:rPr>
      </w:pPr>
    </w:p>
    <w:p w14:paraId="542246F7">
      <w:pPr>
        <w:spacing w:line="273" w:lineRule="auto"/>
        <w:rPr>
          <w:rFonts w:ascii="Arial"/>
          <w:sz w:val="21"/>
        </w:rPr>
      </w:pPr>
    </w:p>
    <w:p w14:paraId="76FCADEF">
      <w:pPr>
        <w:spacing w:line="273" w:lineRule="auto"/>
        <w:rPr>
          <w:rFonts w:ascii="Arial"/>
          <w:sz w:val="21"/>
        </w:rPr>
      </w:pPr>
    </w:p>
    <w:p w14:paraId="42CA2B08">
      <w:pPr>
        <w:spacing w:line="273" w:lineRule="auto"/>
        <w:rPr>
          <w:rFonts w:ascii="Arial"/>
          <w:sz w:val="21"/>
        </w:rPr>
      </w:pPr>
    </w:p>
    <w:p w14:paraId="25D8B6E5">
      <w:pPr>
        <w:spacing w:line="273" w:lineRule="auto"/>
        <w:rPr>
          <w:rFonts w:ascii="Arial"/>
          <w:sz w:val="21"/>
        </w:rPr>
      </w:pPr>
    </w:p>
    <w:p w14:paraId="671BB99E">
      <w:pPr>
        <w:pStyle w:val="2"/>
        <w:spacing w:before="65" w:line="369" w:lineRule="auto"/>
        <w:ind w:firstLine="419"/>
        <w:jc w:val="both"/>
        <w:rPr>
          <w:sz w:val="20"/>
          <w:szCs w:val="20"/>
        </w:rPr>
      </w:pPr>
      <w:r>
        <w:rPr>
          <w:spacing w:val="9"/>
          <w:sz w:val="20"/>
          <w:szCs w:val="20"/>
        </w:rPr>
        <w:t>承包人在收到发包人提供的图纸后，发现图纸存在差错、遗漏或缺陷的，应及时通知监理人。</w:t>
      </w:r>
      <w:r>
        <w:rPr>
          <w:sz w:val="20"/>
          <w:szCs w:val="20"/>
        </w:rPr>
        <w:t xml:space="preserve"> </w:t>
      </w:r>
      <w:r>
        <w:rPr>
          <w:spacing w:val="12"/>
          <w:sz w:val="20"/>
          <w:szCs w:val="20"/>
        </w:rPr>
        <w:t>监理人接到该通知后，应附具相关意见并立即报送发包人，发包人应在收到监理人报送的通知后</w:t>
      </w:r>
      <w:r>
        <w:rPr>
          <w:sz w:val="20"/>
          <w:szCs w:val="20"/>
        </w:rPr>
        <w:t xml:space="preserve">  </w:t>
      </w:r>
      <w:r>
        <w:rPr>
          <w:spacing w:val="12"/>
          <w:sz w:val="20"/>
          <w:szCs w:val="20"/>
        </w:rPr>
        <w:t>的合理时间内作出决定。合理时间是指发包人在收到监理人的报送通知后，尽其</w:t>
      </w:r>
      <w:r>
        <w:rPr>
          <w:spacing w:val="11"/>
          <w:sz w:val="20"/>
          <w:szCs w:val="20"/>
        </w:rPr>
        <w:t>努力且不懈怠地</w:t>
      </w:r>
      <w:r>
        <w:rPr>
          <w:sz w:val="20"/>
          <w:szCs w:val="20"/>
        </w:rPr>
        <w:t xml:space="preserve">  </w:t>
      </w:r>
      <w:r>
        <w:rPr>
          <w:spacing w:val="7"/>
          <w:sz w:val="20"/>
          <w:szCs w:val="20"/>
        </w:rPr>
        <w:t>完成图纸修改补充所需的时间。</w:t>
      </w:r>
    </w:p>
    <w:p w14:paraId="11F79DCC">
      <w:pPr>
        <w:pStyle w:val="2"/>
        <w:spacing w:line="219" w:lineRule="auto"/>
        <w:ind w:left="422"/>
        <w:rPr>
          <w:sz w:val="20"/>
          <w:szCs w:val="20"/>
        </w:rPr>
      </w:pPr>
      <w:r>
        <w:rPr>
          <w:b/>
          <w:bCs/>
          <w:spacing w:val="-1"/>
          <w:sz w:val="20"/>
          <w:szCs w:val="20"/>
        </w:rPr>
        <w:t>1.6.3</w:t>
      </w:r>
      <w:r>
        <w:rPr>
          <w:spacing w:val="-1"/>
          <w:sz w:val="20"/>
          <w:szCs w:val="20"/>
        </w:rPr>
        <w:t xml:space="preserve"> 图纸的修改和补充</w:t>
      </w:r>
    </w:p>
    <w:p w14:paraId="5C45DB2A">
      <w:pPr>
        <w:pStyle w:val="2"/>
        <w:spacing w:before="172" w:line="353" w:lineRule="auto"/>
        <w:ind w:right="91" w:firstLine="419"/>
        <w:rPr>
          <w:sz w:val="20"/>
          <w:szCs w:val="20"/>
        </w:rPr>
      </w:pPr>
      <w:r>
        <w:rPr>
          <w:spacing w:val="12"/>
          <w:sz w:val="20"/>
          <w:szCs w:val="20"/>
        </w:rPr>
        <w:t>图纸需要修改和补充的，应经图纸原设计人及审批部门同意，并由监理人在工程或工</w:t>
      </w:r>
      <w:r>
        <w:rPr>
          <w:spacing w:val="11"/>
          <w:sz w:val="20"/>
          <w:szCs w:val="20"/>
        </w:rPr>
        <w:t>程相应</w:t>
      </w:r>
      <w:r>
        <w:rPr>
          <w:sz w:val="20"/>
          <w:szCs w:val="20"/>
        </w:rPr>
        <w:t xml:space="preserve"> </w:t>
      </w:r>
      <w:r>
        <w:rPr>
          <w:spacing w:val="10"/>
          <w:sz w:val="20"/>
          <w:szCs w:val="20"/>
        </w:rPr>
        <w:t>部位施工前将修改后的图纸或补充图纸提交给承包人，承包人应按</w:t>
      </w:r>
      <w:r>
        <w:rPr>
          <w:spacing w:val="9"/>
          <w:sz w:val="20"/>
          <w:szCs w:val="20"/>
        </w:rPr>
        <w:t>修改或补充后的图纸施工。</w:t>
      </w:r>
    </w:p>
    <w:p w14:paraId="365CBB04">
      <w:pPr>
        <w:pStyle w:val="2"/>
        <w:spacing w:before="35" w:line="219" w:lineRule="auto"/>
        <w:ind w:left="419"/>
        <w:rPr>
          <w:sz w:val="20"/>
          <w:szCs w:val="20"/>
        </w:rPr>
      </w:pPr>
      <w:r>
        <w:rPr>
          <w:spacing w:val="6"/>
          <w:sz w:val="20"/>
          <w:szCs w:val="20"/>
        </w:rPr>
        <w:t>1.6.4承包人文件</w:t>
      </w:r>
    </w:p>
    <w:p w14:paraId="4F05CDC5">
      <w:pPr>
        <w:pStyle w:val="2"/>
        <w:spacing w:before="141" w:line="379" w:lineRule="auto"/>
        <w:ind w:right="75" w:firstLine="419"/>
        <w:rPr>
          <w:sz w:val="20"/>
          <w:szCs w:val="20"/>
        </w:rPr>
      </w:pPr>
      <w:r>
        <w:rPr>
          <w:spacing w:val="12"/>
          <w:sz w:val="20"/>
          <w:szCs w:val="20"/>
        </w:rPr>
        <w:t>承包人应按照专用合同条款的约定提供应当由其编制的与工程施工有关的文件，并按照专用</w:t>
      </w:r>
      <w:r>
        <w:rPr>
          <w:spacing w:val="13"/>
          <w:sz w:val="20"/>
          <w:szCs w:val="20"/>
        </w:rPr>
        <w:t xml:space="preserve"> </w:t>
      </w:r>
      <w:r>
        <w:rPr>
          <w:spacing w:val="9"/>
          <w:sz w:val="20"/>
          <w:szCs w:val="20"/>
        </w:rPr>
        <w:t>合同条款约定的期限、数量和形式提交监理人，并由监理人报送发包人。</w:t>
      </w:r>
    </w:p>
    <w:p w14:paraId="79D572FA">
      <w:pPr>
        <w:pStyle w:val="2"/>
        <w:spacing w:before="1" w:line="361" w:lineRule="auto"/>
        <w:ind w:right="90" w:firstLine="419"/>
        <w:jc w:val="both"/>
        <w:rPr>
          <w:sz w:val="20"/>
          <w:szCs w:val="20"/>
        </w:rPr>
      </w:pPr>
      <w:r>
        <w:rPr>
          <w:spacing w:val="14"/>
          <w:sz w:val="20"/>
          <w:szCs w:val="20"/>
        </w:rPr>
        <w:t>除专用合同条款另有约定外，监理人应在收到承包人文件后7天内审查完毕，监理人对承包</w:t>
      </w:r>
      <w:r>
        <w:rPr>
          <w:spacing w:val="18"/>
          <w:sz w:val="20"/>
          <w:szCs w:val="20"/>
        </w:rPr>
        <w:t xml:space="preserve"> </w:t>
      </w:r>
      <w:r>
        <w:rPr>
          <w:spacing w:val="12"/>
          <w:sz w:val="20"/>
          <w:szCs w:val="20"/>
        </w:rPr>
        <w:t>人文件有异议的，承包人应予以修改，并重新报送监理人。监理人的审查并不减</w:t>
      </w:r>
      <w:r>
        <w:rPr>
          <w:spacing w:val="11"/>
          <w:sz w:val="20"/>
          <w:szCs w:val="20"/>
        </w:rPr>
        <w:t>轻或免除承包人</w:t>
      </w:r>
      <w:r>
        <w:rPr>
          <w:sz w:val="20"/>
          <w:szCs w:val="20"/>
        </w:rPr>
        <w:t xml:space="preserve"> </w:t>
      </w:r>
      <w:r>
        <w:rPr>
          <w:spacing w:val="7"/>
          <w:sz w:val="20"/>
          <w:szCs w:val="20"/>
        </w:rPr>
        <w:t>根据合同约定应当承担的责任。</w:t>
      </w:r>
    </w:p>
    <w:p w14:paraId="525F77E2">
      <w:pPr>
        <w:pStyle w:val="2"/>
        <w:spacing w:before="26" w:line="219" w:lineRule="auto"/>
        <w:ind w:left="419"/>
        <w:rPr>
          <w:sz w:val="20"/>
          <w:szCs w:val="20"/>
        </w:rPr>
      </w:pPr>
      <w:r>
        <w:rPr>
          <w:spacing w:val="8"/>
          <w:sz w:val="20"/>
          <w:szCs w:val="20"/>
        </w:rPr>
        <w:t>1.6.5图纸和承包人文件的保管</w:t>
      </w:r>
    </w:p>
    <w:p w14:paraId="33ED8D49">
      <w:pPr>
        <w:pStyle w:val="2"/>
        <w:spacing w:before="152" w:line="354" w:lineRule="auto"/>
        <w:ind w:right="110" w:firstLine="419"/>
        <w:rPr>
          <w:sz w:val="20"/>
          <w:szCs w:val="20"/>
        </w:rPr>
      </w:pPr>
      <w:r>
        <w:rPr>
          <w:spacing w:val="11"/>
          <w:sz w:val="20"/>
          <w:szCs w:val="20"/>
        </w:rPr>
        <w:t>除专用合同条款另有约定外，承包人应在施工现场另外保存一套完整的图纸和承包人文件，</w:t>
      </w:r>
      <w:r>
        <w:rPr>
          <w:spacing w:val="18"/>
          <w:sz w:val="20"/>
          <w:szCs w:val="20"/>
        </w:rPr>
        <w:t xml:space="preserve"> </w:t>
      </w:r>
      <w:r>
        <w:rPr>
          <w:spacing w:val="8"/>
          <w:sz w:val="20"/>
          <w:szCs w:val="20"/>
        </w:rPr>
        <w:t>供发包人、监理人及有关人员进行工程检查时使用。</w:t>
      </w:r>
    </w:p>
    <w:p w14:paraId="4D5DDF64">
      <w:pPr>
        <w:spacing w:before="1" w:line="220" w:lineRule="auto"/>
        <w:ind w:left="3"/>
        <w:rPr>
          <w:rFonts w:ascii="黑体" w:hAnsi="黑体" w:eastAsia="黑体" w:cs="黑体"/>
          <w:sz w:val="25"/>
          <w:szCs w:val="25"/>
        </w:rPr>
      </w:pPr>
      <w:r>
        <w:rPr>
          <w:rFonts w:ascii="黑体" w:hAnsi="黑体" w:eastAsia="黑体" w:cs="黑体"/>
          <w:b/>
          <w:bCs/>
          <w:spacing w:val="-7"/>
          <w:sz w:val="25"/>
          <w:szCs w:val="25"/>
        </w:rPr>
        <w:t>1.7联络</w:t>
      </w:r>
    </w:p>
    <w:p w14:paraId="12AAB8CA">
      <w:pPr>
        <w:pStyle w:val="2"/>
        <w:spacing w:before="143" w:line="294" w:lineRule="auto"/>
        <w:ind w:right="47" w:firstLine="419"/>
        <w:rPr>
          <w:sz w:val="20"/>
          <w:szCs w:val="20"/>
        </w:rPr>
      </w:pPr>
      <w:r>
        <w:rPr>
          <w:spacing w:val="7"/>
          <w:sz w:val="20"/>
          <w:szCs w:val="20"/>
        </w:rPr>
        <w:t>1.7.1 与合同有关的通知、批准、证明、证书、指示、指令、要求、请求、同意、意见、确定</w:t>
      </w:r>
      <w:r>
        <w:rPr>
          <w:spacing w:val="14"/>
          <w:sz w:val="20"/>
          <w:szCs w:val="20"/>
        </w:rPr>
        <w:t xml:space="preserve"> </w:t>
      </w:r>
      <w:r>
        <w:rPr>
          <w:spacing w:val="9"/>
          <w:sz w:val="20"/>
          <w:szCs w:val="20"/>
        </w:rPr>
        <w:t>和决定等，均应采用书面形式，并应在合同约定的期限内送达接收人和送达地点。</w:t>
      </w:r>
    </w:p>
    <w:p w14:paraId="6E882906">
      <w:pPr>
        <w:pStyle w:val="2"/>
        <w:spacing w:before="164" w:line="289" w:lineRule="auto"/>
        <w:ind w:right="62" w:firstLine="419"/>
        <w:rPr>
          <w:sz w:val="20"/>
          <w:szCs w:val="20"/>
        </w:rPr>
      </w:pPr>
      <w:r>
        <w:rPr>
          <w:spacing w:val="10"/>
          <w:sz w:val="20"/>
          <w:szCs w:val="20"/>
        </w:rPr>
        <w:t>1.7.2发包人和承包人应在专用合同条款</w:t>
      </w:r>
      <w:r>
        <w:rPr>
          <w:spacing w:val="9"/>
          <w:sz w:val="20"/>
          <w:szCs w:val="20"/>
        </w:rPr>
        <w:t>中约定各自的送达接收人和送达地点。任何一方合同</w:t>
      </w:r>
      <w:r>
        <w:rPr>
          <w:sz w:val="20"/>
          <w:szCs w:val="20"/>
        </w:rPr>
        <w:t xml:space="preserve"> </w:t>
      </w:r>
      <w:r>
        <w:rPr>
          <w:spacing w:val="13"/>
          <w:sz w:val="20"/>
          <w:szCs w:val="20"/>
        </w:rPr>
        <w:t>当事人指定的接收人或送达地点发生变动的</w:t>
      </w:r>
      <w:r>
        <w:rPr>
          <w:spacing w:val="12"/>
          <w:sz w:val="20"/>
          <w:szCs w:val="20"/>
        </w:rPr>
        <w:t>，应提前3天以书面形式通知对方。</w:t>
      </w:r>
    </w:p>
    <w:p w14:paraId="3A915FFC">
      <w:pPr>
        <w:pStyle w:val="2"/>
        <w:spacing w:before="154" w:line="219" w:lineRule="auto"/>
        <w:ind w:left="419"/>
        <w:rPr>
          <w:sz w:val="20"/>
          <w:szCs w:val="20"/>
        </w:rPr>
      </w:pPr>
      <w:r>
        <w:rPr>
          <w:spacing w:val="7"/>
          <w:sz w:val="20"/>
          <w:szCs w:val="20"/>
        </w:rPr>
        <w:t>1.7.3 发包人和承包人应当及时签收另一方送达至送达地点和指定接</w:t>
      </w:r>
      <w:r>
        <w:rPr>
          <w:spacing w:val="6"/>
          <w:sz w:val="20"/>
          <w:szCs w:val="20"/>
        </w:rPr>
        <w:t>收人的来往信函。拒不签</w:t>
      </w:r>
    </w:p>
    <w:p w14:paraId="648656BC">
      <w:pPr>
        <w:pStyle w:val="2"/>
        <w:spacing w:before="183" w:line="219" w:lineRule="auto"/>
        <w:rPr>
          <w:sz w:val="20"/>
          <w:szCs w:val="20"/>
        </w:rPr>
      </w:pPr>
      <w:r>
        <w:rPr>
          <w:spacing w:val="16"/>
          <w:sz w:val="20"/>
          <w:szCs w:val="20"/>
        </w:rPr>
        <w:t>收的，由此增加的费用和(或)延误的工期由拒绝接收</w:t>
      </w:r>
      <w:r>
        <w:rPr>
          <w:spacing w:val="15"/>
          <w:sz w:val="20"/>
          <w:szCs w:val="20"/>
        </w:rPr>
        <w:t>一方承担。</w:t>
      </w:r>
    </w:p>
    <w:p w14:paraId="54047DB5">
      <w:pPr>
        <w:spacing w:before="120" w:line="222" w:lineRule="auto"/>
        <w:ind w:left="3"/>
        <w:rPr>
          <w:rFonts w:ascii="黑体" w:hAnsi="黑体" w:eastAsia="黑体" w:cs="黑体"/>
          <w:sz w:val="25"/>
          <w:szCs w:val="25"/>
        </w:rPr>
      </w:pPr>
      <w:r>
        <w:rPr>
          <w:rFonts w:ascii="黑体" w:hAnsi="黑体" w:eastAsia="黑体" w:cs="黑体"/>
          <w:b/>
          <w:bCs/>
          <w:spacing w:val="-6"/>
          <w:sz w:val="25"/>
          <w:szCs w:val="25"/>
        </w:rPr>
        <w:t>1.8严禁贿赂</w:t>
      </w:r>
    </w:p>
    <w:p w14:paraId="6EF90B82">
      <w:pPr>
        <w:pStyle w:val="2"/>
        <w:spacing w:before="142" w:line="362" w:lineRule="auto"/>
        <w:ind w:right="90" w:firstLine="419"/>
        <w:rPr>
          <w:sz w:val="20"/>
          <w:szCs w:val="20"/>
        </w:rPr>
      </w:pPr>
      <w:r>
        <w:rPr>
          <w:spacing w:val="12"/>
          <w:sz w:val="20"/>
          <w:szCs w:val="20"/>
        </w:rPr>
        <w:t>合同当事人不得以贿赂或变相贿赂的方式，谋取非法利益或损害对方权益。因一方合同</w:t>
      </w:r>
      <w:r>
        <w:rPr>
          <w:spacing w:val="11"/>
          <w:sz w:val="20"/>
          <w:szCs w:val="20"/>
        </w:rPr>
        <w:t>当事</w:t>
      </w:r>
      <w:r>
        <w:rPr>
          <w:sz w:val="20"/>
          <w:szCs w:val="20"/>
        </w:rPr>
        <w:t xml:space="preserve"> </w:t>
      </w:r>
      <w:r>
        <w:rPr>
          <w:spacing w:val="8"/>
          <w:sz w:val="20"/>
          <w:szCs w:val="20"/>
        </w:rPr>
        <w:t>人的贿赂造成对方损失的，应赔偿损失，并承担相应的法律责任。</w:t>
      </w:r>
    </w:p>
    <w:p w14:paraId="1D2020A0">
      <w:pPr>
        <w:pStyle w:val="2"/>
        <w:spacing w:before="26" w:line="353" w:lineRule="auto"/>
        <w:ind w:right="90" w:firstLine="419"/>
        <w:jc w:val="both"/>
        <w:rPr>
          <w:sz w:val="20"/>
          <w:szCs w:val="20"/>
        </w:rPr>
      </w:pPr>
      <w:r>
        <w:rPr>
          <w:spacing w:val="12"/>
          <w:sz w:val="20"/>
          <w:szCs w:val="20"/>
        </w:rPr>
        <w:t>承包人不得与监理人或发包人聘请的第三方串通损害发包人利益。未经发包人书面同意</w:t>
      </w:r>
      <w:r>
        <w:rPr>
          <w:spacing w:val="11"/>
          <w:sz w:val="20"/>
          <w:szCs w:val="20"/>
        </w:rPr>
        <w:t>，承</w:t>
      </w:r>
      <w:r>
        <w:rPr>
          <w:sz w:val="20"/>
          <w:szCs w:val="20"/>
        </w:rPr>
        <w:t xml:space="preserve"> </w:t>
      </w:r>
      <w:r>
        <w:rPr>
          <w:spacing w:val="12"/>
          <w:sz w:val="20"/>
          <w:szCs w:val="20"/>
        </w:rPr>
        <w:t>包人不得为监理人提供合同约定以外的通讯设备、交通工具及其他任何形式的</w:t>
      </w:r>
      <w:r>
        <w:rPr>
          <w:spacing w:val="11"/>
          <w:sz w:val="20"/>
          <w:szCs w:val="20"/>
        </w:rPr>
        <w:t>利益，不得向监理</w:t>
      </w:r>
      <w:r>
        <w:rPr>
          <w:sz w:val="20"/>
          <w:szCs w:val="20"/>
        </w:rPr>
        <w:t xml:space="preserve"> </w:t>
      </w:r>
      <w:r>
        <w:rPr>
          <w:spacing w:val="3"/>
          <w:sz w:val="20"/>
          <w:szCs w:val="20"/>
        </w:rPr>
        <w:t>人支付报酬。</w:t>
      </w:r>
    </w:p>
    <w:p w14:paraId="101E4C52">
      <w:pPr>
        <w:spacing w:before="1" w:line="221" w:lineRule="auto"/>
        <w:ind w:left="3"/>
        <w:rPr>
          <w:rFonts w:ascii="黑体" w:hAnsi="黑体" w:eastAsia="黑体" w:cs="黑体"/>
          <w:sz w:val="25"/>
          <w:szCs w:val="25"/>
        </w:rPr>
      </w:pPr>
      <w:r>
        <w:rPr>
          <w:rFonts w:ascii="黑体" w:hAnsi="黑体" w:eastAsia="黑体" w:cs="黑体"/>
          <w:b/>
          <w:bCs/>
          <w:spacing w:val="-6"/>
          <w:sz w:val="25"/>
          <w:szCs w:val="25"/>
        </w:rPr>
        <w:t>1.9化石、文物</w:t>
      </w:r>
    </w:p>
    <w:p w14:paraId="3A4AAB8D">
      <w:pPr>
        <w:pStyle w:val="2"/>
        <w:spacing w:before="141" w:line="370" w:lineRule="auto"/>
        <w:ind w:right="86" w:firstLine="419"/>
        <w:jc w:val="both"/>
        <w:rPr>
          <w:sz w:val="20"/>
          <w:szCs w:val="20"/>
        </w:rPr>
      </w:pPr>
      <w:r>
        <w:rPr>
          <w:spacing w:val="12"/>
          <w:sz w:val="20"/>
          <w:szCs w:val="20"/>
        </w:rPr>
        <w:t>在施工现场发掘的所有文物、古迹以及具有地质研究或考古价值的其他遗迹、化石、钱</w:t>
      </w:r>
      <w:r>
        <w:rPr>
          <w:spacing w:val="11"/>
          <w:sz w:val="20"/>
          <w:szCs w:val="20"/>
        </w:rPr>
        <w:t>币或</w:t>
      </w:r>
      <w:r>
        <w:rPr>
          <w:sz w:val="20"/>
          <w:szCs w:val="20"/>
        </w:rPr>
        <w:t xml:space="preserve"> </w:t>
      </w:r>
      <w:r>
        <w:rPr>
          <w:spacing w:val="9"/>
          <w:sz w:val="20"/>
          <w:szCs w:val="20"/>
        </w:rPr>
        <w:t>物品属于国家所有。 一旦发现上述文物，承包人应采取合理有效的保护措施，防止任何人员移动</w:t>
      </w:r>
      <w:r>
        <w:rPr>
          <w:spacing w:val="15"/>
          <w:sz w:val="20"/>
          <w:szCs w:val="20"/>
        </w:rPr>
        <w:t xml:space="preserve"> </w:t>
      </w:r>
      <w:r>
        <w:rPr>
          <w:spacing w:val="10"/>
          <w:sz w:val="20"/>
          <w:szCs w:val="20"/>
        </w:rPr>
        <w:t>或损坏上述物品，并立即报告有关政府行政管</w:t>
      </w:r>
      <w:r>
        <w:rPr>
          <w:spacing w:val="9"/>
          <w:sz w:val="20"/>
          <w:szCs w:val="20"/>
        </w:rPr>
        <w:t>理部门，同时通知监理人。</w:t>
      </w:r>
    </w:p>
    <w:p w14:paraId="20006BD1">
      <w:pPr>
        <w:spacing w:line="370" w:lineRule="auto"/>
        <w:rPr>
          <w:sz w:val="20"/>
          <w:szCs w:val="20"/>
        </w:rPr>
        <w:sectPr>
          <w:footerReference r:id="rId195" w:type="default"/>
          <w:pgSz w:w="11910" w:h="16840"/>
          <w:pgMar w:top="400" w:right="1459" w:bottom="1024" w:left="1460" w:header="0" w:footer="889" w:gutter="0"/>
          <w:cols w:space="720" w:num="1"/>
        </w:sectPr>
      </w:pPr>
    </w:p>
    <w:p w14:paraId="5E18922D">
      <w:pPr>
        <w:spacing w:line="272" w:lineRule="auto"/>
        <w:rPr>
          <w:rFonts w:ascii="Arial"/>
          <w:sz w:val="21"/>
        </w:rPr>
      </w:pPr>
    </w:p>
    <w:p w14:paraId="77B1E2E1">
      <w:pPr>
        <w:spacing w:line="273" w:lineRule="auto"/>
        <w:rPr>
          <w:rFonts w:ascii="Arial"/>
          <w:sz w:val="21"/>
        </w:rPr>
      </w:pPr>
    </w:p>
    <w:p w14:paraId="4A889576">
      <w:pPr>
        <w:spacing w:line="273" w:lineRule="auto"/>
        <w:rPr>
          <w:rFonts w:ascii="Arial"/>
          <w:sz w:val="21"/>
        </w:rPr>
      </w:pPr>
    </w:p>
    <w:p w14:paraId="2DFF4D17">
      <w:pPr>
        <w:spacing w:line="273" w:lineRule="auto"/>
        <w:rPr>
          <w:rFonts w:ascii="Arial"/>
          <w:sz w:val="21"/>
        </w:rPr>
      </w:pPr>
    </w:p>
    <w:p w14:paraId="40114B0D">
      <w:pPr>
        <w:spacing w:line="273" w:lineRule="auto"/>
        <w:rPr>
          <w:rFonts w:ascii="Arial"/>
          <w:sz w:val="21"/>
        </w:rPr>
      </w:pPr>
    </w:p>
    <w:p w14:paraId="3ABFDC11">
      <w:pPr>
        <w:pStyle w:val="2"/>
        <w:spacing w:before="65" w:line="364" w:lineRule="auto"/>
        <w:ind w:right="8" w:firstLine="419"/>
        <w:rPr>
          <w:sz w:val="20"/>
          <w:szCs w:val="20"/>
        </w:rPr>
      </w:pPr>
      <w:r>
        <w:rPr>
          <w:spacing w:val="12"/>
          <w:sz w:val="20"/>
          <w:szCs w:val="20"/>
        </w:rPr>
        <w:t>发包人、监理人和承包人应按有关政府行政管理部门要求采取妥善的保护措施，由此增加的</w:t>
      </w:r>
      <w:r>
        <w:rPr>
          <w:spacing w:val="4"/>
          <w:sz w:val="20"/>
          <w:szCs w:val="20"/>
        </w:rPr>
        <w:t xml:space="preserve"> </w:t>
      </w:r>
      <w:r>
        <w:rPr>
          <w:spacing w:val="18"/>
          <w:sz w:val="20"/>
          <w:szCs w:val="20"/>
        </w:rPr>
        <w:t>费用和(或)延误的工期由发包人承担。</w:t>
      </w:r>
    </w:p>
    <w:p w14:paraId="6D747F14">
      <w:pPr>
        <w:pStyle w:val="2"/>
        <w:spacing w:line="355" w:lineRule="auto"/>
        <w:ind w:right="7" w:firstLine="419"/>
        <w:rPr>
          <w:sz w:val="20"/>
          <w:szCs w:val="20"/>
        </w:rPr>
      </w:pPr>
      <w:r>
        <w:rPr>
          <w:spacing w:val="12"/>
          <w:sz w:val="20"/>
          <w:szCs w:val="20"/>
        </w:rPr>
        <w:t>承包人发现文物后不及时报告或隐瞒不报，致使文物丢失或损坏的，应赔偿损失，并承担相</w:t>
      </w:r>
      <w:r>
        <w:rPr>
          <w:spacing w:val="5"/>
          <w:sz w:val="20"/>
          <w:szCs w:val="20"/>
        </w:rPr>
        <w:t xml:space="preserve"> 应的法律责任。</w:t>
      </w:r>
    </w:p>
    <w:p w14:paraId="599F05A1">
      <w:pPr>
        <w:pStyle w:val="2"/>
        <w:spacing w:line="219" w:lineRule="auto"/>
        <w:ind w:left="3"/>
      </w:pPr>
      <w:r>
        <w:rPr>
          <w:b/>
          <w:bCs/>
          <w:spacing w:val="-6"/>
        </w:rPr>
        <w:t>1.10交通运输</w:t>
      </w:r>
    </w:p>
    <w:p w14:paraId="507F53EF">
      <w:pPr>
        <w:pStyle w:val="2"/>
        <w:spacing w:before="154" w:line="219" w:lineRule="auto"/>
        <w:ind w:left="419"/>
        <w:rPr>
          <w:sz w:val="20"/>
          <w:szCs w:val="20"/>
        </w:rPr>
      </w:pPr>
      <w:r>
        <w:rPr>
          <w:spacing w:val="-1"/>
          <w:sz w:val="20"/>
          <w:szCs w:val="20"/>
        </w:rPr>
        <w:t>1.10.1 出入现场的权利</w:t>
      </w:r>
    </w:p>
    <w:p w14:paraId="355DDDD2">
      <w:pPr>
        <w:pStyle w:val="2"/>
        <w:spacing w:before="134" w:line="375" w:lineRule="auto"/>
        <w:ind w:right="14" w:firstLine="419"/>
        <w:rPr>
          <w:sz w:val="20"/>
          <w:szCs w:val="20"/>
        </w:rPr>
      </w:pPr>
      <w:r>
        <w:rPr>
          <w:spacing w:val="12"/>
          <w:sz w:val="20"/>
          <w:szCs w:val="20"/>
        </w:rPr>
        <w:t>除专用合同条款另有约定外，发包人应根据施工需要，负责取得出入施工现场所需的</w:t>
      </w:r>
      <w:r>
        <w:rPr>
          <w:spacing w:val="11"/>
          <w:sz w:val="20"/>
          <w:szCs w:val="20"/>
        </w:rPr>
        <w:t>批准手</w:t>
      </w:r>
      <w:r>
        <w:rPr>
          <w:sz w:val="20"/>
          <w:szCs w:val="20"/>
        </w:rPr>
        <w:t xml:space="preserve"> </w:t>
      </w:r>
      <w:r>
        <w:rPr>
          <w:spacing w:val="12"/>
          <w:sz w:val="20"/>
          <w:szCs w:val="20"/>
        </w:rPr>
        <w:t>续和全部权利，以及取得因施工所需修建道路、桥梁以及其他基础设施的权利，并</w:t>
      </w:r>
      <w:r>
        <w:rPr>
          <w:spacing w:val="11"/>
          <w:sz w:val="20"/>
          <w:szCs w:val="20"/>
        </w:rPr>
        <w:t>承担相关手续</w:t>
      </w:r>
      <w:r>
        <w:rPr>
          <w:sz w:val="20"/>
          <w:szCs w:val="20"/>
        </w:rPr>
        <w:t xml:space="preserve"> </w:t>
      </w:r>
      <w:r>
        <w:rPr>
          <w:spacing w:val="9"/>
          <w:sz w:val="20"/>
          <w:szCs w:val="20"/>
        </w:rPr>
        <w:t>费用和建设费用。承包人应协助发包人办理修建场内外道路、桥梁以及其他基础设施的手续。</w:t>
      </w:r>
    </w:p>
    <w:p w14:paraId="76DD5EA2">
      <w:pPr>
        <w:pStyle w:val="2"/>
        <w:spacing w:before="1" w:line="366" w:lineRule="auto"/>
        <w:ind w:firstLine="419"/>
        <w:jc w:val="both"/>
        <w:rPr>
          <w:sz w:val="20"/>
          <w:szCs w:val="20"/>
        </w:rPr>
      </w:pPr>
      <w:r>
        <w:rPr>
          <w:spacing w:val="12"/>
          <w:sz w:val="20"/>
          <w:szCs w:val="20"/>
        </w:rPr>
        <w:t>承包人应在订立合同前查勘施工现场，并根据工程规模及技术参数合理预见工程施工所需的</w:t>
      </w:r>
      <w:r>
        <w:rPr>
          <w:spacing w:val="4"/>
          <w:sz w:val="20"/>
          <w:szCs w:val="20"/>
        </w:rPr>
        <w:t xml:space="preserve"> </w:t>
      </w:r>
      <w:r>
        <w:rPr>
          <w:spacing w:val="17"/>
          <w:sz w:val="20"/>
          <w:szCs w:val="20"/>
        </w:rPr>
        <w:t>进出施工现场的方式、手段、路径等。因承包人未合理预见所增加的费用和(或)延误的工</w:t>
      </w:r>
      <w:r>
        <w:rPr>
          <w:spacing w:val="16"/>
          <w:sz w:val="20"/>
          <w:szCs w:val="20"/>
        </w:rPr>
        <w:t>期由</w:t>
      </w:r>
      <w:r>
        <w:rPr>
          <w:sz w:val="20"/>
          <w:szCs w:val="20"/>
        </w:rPr>
        <w:t xml:space="preserve"> </w:t>
      </w:r>
      <w:r>
        <w:rPr>
          <w:spacing w:val="4"/>
          <w:sz w:val="20"/>
          <w:szCs w:val="20"/>
        </w:rPr>
        <w:t>承包人承担。</w:t>
      </w:r>
    </w:p>
    <w:p w14:paraId="6F36F18C">
      <w:pPr>
        <w:pStyle w:val="2"/>
        <w:spacing w:line="220" w:lineRule="auto"/>
        <w:ind w:left="419"/>
        <w:rPr>
          <w:sz w:val="20"/>
          <w:szCs w:val="20"/>
        </w:rPr>
      </w:pPr>
      <w:r>
        <w:rPr>
          <w:spacing w:val="7"/>
          <w:sz w:val="20"/>
          <w:szCs w:val="20"/>
        </w:rPr>
        <w:t>1.10.2场外交通</w:t>
      </w:r>
    </w:p>
    <w:p w14:paraId="63DA1848">
      <w:pPr>
        <w:pStyle w:val="2"/>
        <w:spacing w:before="179" w:line="362" w:lineRule="auto"/>
        <w:ind w:right="1" w:firstLine="419"/>
        <w:rPr>
          <w:sz w:val="20"/>
          <w:szCs w:val="20"/>
        </w:rPr>
      </w:pPr>
      <w:r>
        <w:rPr>
          <w:spacing w:val="12"/>
          <w:sz w:val="20"/>
          <w:szCs w:val="20"/>
        </w:rPr>
        <w:t>发包人应提供场外交通设施的技术参数和具体条件，承包人应遵守有关交通法规，严格按照</w:t>
      </w:r>
      <w:r>
        <w:rPr>
          <w:spacing w:val="5"/>
          <w:sz w:val="20"/>
          <w:szCs w:val="20"/>
        </w:rPr>
        <w:t xml:space="preserve"> </w:t>
      </w:r>
      <w:r>
        <w:rPr>
          <w:spacing w:val="12"/>
          <w:sz w:val="20"/>
          <w:szCs w:val="20"/>
        </w:rPr>
        <w:t>道路和桥梁的限制荷载行驶，执行有关道路限速、限行、禁止超载的规定，并配合交通管理部门</w:t>
      </w:r>
      <w:r>
        <w:rPr>
          <w:spacing w:val="7"/>
          <w:sz w:val="20"/>
          <w:szCs w:val="20"/>
        </w:rPr>
        <w:t xml:space="preserve"> </w:t>
      </w:r>
      <w:r>
        <w:rPr>
          <w:spacing w:val="10"/>
          <w:sz w:val="20"/>
          <w:szCs w:val="20"/>
        </w:rPr>
        <w:t>的监督和检查。场外交通设施无法满足工程施工需要的，由发包人</w:t>
      </w:r>
      <w:r>
        <w:rPr>
          <w:spacing w:val="9"/>
          <w:sz w:val="20"/>
          <w:szCs w:val="20"/>
        </w:rPr>
        <w:t>负责完善并承担相关费用。</w:t>
      </w:r>
    </w:p>
    <w:p w14:paraId="053EB924">
      <w:pPr>
        <w:pStyle w:val="2"/>
        <w:spacing w:before="26" w:line="219" w:lineRule="auto"/>
        <w:ind w:left="419"/>
        <w:rPr>
          <w:sz w:val="20"/>
          <w:szCs w:val="20"/>
        </w:rPr>
      </w:pPr>
      <w:r>
        <w:rPr>
          <w:spacing w:val="3"/>
          <w:sz w:val="20"/>
          <w:szCs w:val="20"/>
        </w:rPr>
        <w:t>1.10.3场内交通</w:t>
      </w:r>
    </w:p>
    <w:p w14:paraId="1CF834B6">
      <w:pPr>
        <w:pStyle w:val="2"/>
        <w:spacing w:before="151" w:line="371" w:lineRule="auto"/>
        <w:ind w:right="13" w:firstLine="419"/>
        <w:rPr>
          <w:sz w:val="20"/>
          <w:szCs w:val="20"/>
        </w:rPr>
      </w:pPr>
      <w:r>
        <w:rPr>
          <w:spacing w:val="12"/>
          <w:sz w:val="20"/>
          <w:szCs w:val="20"/>
        </w:rPr>
        <w:t>发包人应提供场内交通设施的技术参数和具体条件，并应按照专用合同条款的约定向</w:t>
      </w:r>
      <w:r>
        <w:rPr>
          <w:spacing w:val="11"/>
          <w:sz w:val="20"/>
          <w:szCs w:val="20"/>
        </w:rPr>
        <w:t>承包人</w:t>
      </w:r>
      <w:r>
        <w:rPr>
          <w:sz w:val="20"/>
          <w:szCs w:val="20"/>
        </w:rPr>
        <w:t xml:space="preserve"> </w:t>
      </w:r>
      <w:r>
        <w:rPr>
          <w:spacing w:val="12"/>
          <w:sz w:val="20"/>
          <w:szCs w:val="20"/>
        </w:rPr>
        <w:t>免费提供满足工程施工所需的场内道路和交通设施。因承包人原因造成上述道路或交</w:t>
      </w:r>
      <w:r>
        <w:rPr>
          <w:spacing w:val="11"/>
          <w:sz w:val="20"/>
          <w:szCs w:val="20"/>
        </w:rPr>
        <w:t>通设施损坏</w:t>
      </w:r>
      <w:r>
        <w:rPr>
          <w:sz w:val="20"/>
          <w:szCs w:val="20"/>
        </w:rPr>
        <w:t xml:space="preserve"> </w:t>
      </w:r>
      <w:r>
        <w:rPr>
          <w:spacing w:val="8"/>
          <w:sz w:val="20"/>
          <w:szCs w:val="20"/>
        </w:rPr>
        <w:t>的，承包人负责修复并承担由此增加的费用。</w:t>
      </w:r>
    </w:p>
    <w:p w14:paraId="723159F5">
      <w:pPr>
        <w:pStyle w:val="2"/>
        <w:spacing w:before="14" w:line="362" w:lineRule="auto"/>
        <w:ind w:right="15" w:firstLine="419"/>
        <w:jc w:val="both"/>
        <w:rPr>
          <w:sz w:val="20"/>
          <w:szCs w:val="20"/>
        </w:rPr>
      </w:pPr>
      <w:r>
        <w:rPr>
          <w:spacing w:val="12"/>
          <w:sz w:val="20"/>
          <w:szCs w:val="20"/>
        </w:rPr>
        <w:t>除发包人按照合同约定提供的场内道路和交通设施外，承包人负责修建、维修、养</w:t>
      </w:r>
      <w:r>
        <w:rPr>
          <w:spacing w:val="11"/>
          <w:sz w:val="20"/>
          <w:szCs w:val="20"/>
        </w:rPr>
        <w:t>护和管理</w:t>
      </w:r>
      <w:r>
        <w:rPr>
          <w:sz w:val="20"/>
          <w:szCs w:val="20"/>
        </w:rPr>
        <w:t xml:space="preserve"> </w:t>
      </w:r>
      <w:r>
        <w:rPr>
          <w:spacing w:val="12"/>
          <w:sz w:val="20"/>
          <w:szCs w:val="20"/>
        </w:rPr>
        <w:t>施工所需的其他场内临时道路和交通设施。发包人和监理人可以为实现合同目的</w:t>
      </w:r>
      <w:r>
        <w:rPr>
          <w:spacing w:val="11"/>
          <w:sz w:val="20"/>
          <w:szCs w:val="20"/>
        </w:rPr>
        <w:t>使用承包人修建</w:t>
      </w:r>
      <w:r>
        <w:rPr>
          <w:sz w:val="20"/>
          <w:szCs w:val="20"/>
        </w:rPr>
        <w:t xml:space="preserve"> </w:t>
      </w:r>
      <w:r>
        <w:rPr>
          <w:spacing w:val="7"/>
          <w:sz w:val="20"/>
          <w:szCs w:val="20"/>
        </w:rPr>
        <w:t>的场内临时道路和交通设施。</w:t>
      </w:r>
    </w:p>
    <w:p w14:paraId="43D9D92B">
      <w:pPr>
        <w:pStyle w:val="2"/>
        <w:spacing w:before="15" w:line="219" w:lineRule="auto"/>
        <w:ind w:left="419"/>
        <w:rPr>
          <w:sz w:val="20"/>
          <w:szCs w:val="20"/>
        </w:rPr>
      </w:pPr>
      <w:r>
        <w:rPr>
          <w:spacing w:val="9"/>
          <w:sz w:val="20"/>
          <w:szCs w:val="20"/>
        </w:rPr>
        <w:t>场外交通和场内交通的边界由合同当事人在专用合同条款中约定。</w:t>
      </w:r>
    </w:p>
    <w:p w14:paraId="1EC26274">
      <w:pPr>
        <w:pStyle w:val="2"/>
        <w:spacing w:before="163" w:line="219" w:lineRule="auto"/>
        <w:ind w:left="419"/>
        <w:rPr>
          <w:sz w:val="20"/>
          <w:szCs w:val="20"/>
        </w:rPr>
      </w:pPr>
      <w:r>
        <w:rPr>
          <w:spacing w:val="1"/>
          <w:sz w:val="20"/>
          <w:szCs w:val="20"/>
        </w:rPr>
        <w:t>1.10.4 超大件和超重件的运输</w:t>
      </w:r>
    </w:p>
    <w:p w14:paraId="2FE91D66">
      <w:pPr>
        <w:pStyle w:val="2"/>
        <w:spacing w:before="141" w:line="371" w:lineRule="auto"/>
        <w:ind w:right="14" w:firstLine="419"/>
        <w:rPr>
          <w:sz w:val="20"/>
          <w:szCs w:val="20"/>
        </w:rPr>
      </w:pPr>
      <w:r>
        <w:rPr>
          <w:spacing w:val="12"/>
          <w:sz w:val="20"/>
          <w:szCs w:val="20"/>
        </w:rPr>
        <w:t>由承包人负责运输的超大件或超重件，应由承包人负责向交通管理部门办理申请手续，</w:t>
      </w:r>
      <w:r>
        <w:rPr>
          <w:spacing w:val="11"/>
          <w:sz w:val="20"/>
          <w:szCs w:val="20"/>
        </w:rPr>
        <w:t>发包</w:t>
      </w:r>
      <w:r>
        <w:rPr>
          <w:sz w:val="20"/>
          <w:szCs w:val="20"/>
        </w:rPr>
        <w:t xml:space="preserve"> </w:t>
      </w:r>
      <w:r>
        <w:rPr>
          <w:spacing w:val="12"/>
          <w:sz w:val="20"/>
          <w:szCs w:val="20"/>
        </w:rPr>
        <w:t>人给予协助。运输超大件或超重件所需的道路和桥梁临时加固改造费用和其他有关</w:t>
      </w:r>
      <w:r>
        <w:rPr>
          <w:spacing w:val="11"/>
          <w:sz w:val="20"/>
          <w:szCs w:val="20"/>
        </w:rPr>
        <w:t>费用，由承包</w:t>
      </w:r>
      <w:r>
        <w:rPr>
          <w:sz w:val="20"/>
          <w:szCs w:val="20"/>
        </w:rPr>
        <w:t xml:space="preserve"> </w:t>
      </w:r>
      <w:r>
        <w:rPr>
          <w:spacing w:val="7"/>
          <w:sz w:val="20"/>
          <w:szCs w:val="20"/>
        </w:rPr>
        <w:t>人承担，但专用合同条款另有约定除外。</w:t>
      </w:r>
    </w:p>
    <w:p w14:paraId="5E050340">
      <w:pPr>
        <w:pStyle w:val="2"/>
        <w:spacing w:before="16" w:line="219" w:lineRule="auto"/>
        <w:ind w:left="419"/>
        <w:rPr>
          <w:sz w:val="20"/>
          <w:szCs w:val="20"/>
        </w:rPr>
      </w:pPr>
      <w:r>
        <w:rPr>
          <w:spacing w:val="1"/>
          <w:sz w:val="20"/>
          <w:szCs w:val="20"/>
        </w:rPr>
        <w:t>1.10.5 道路和桥梁的损坏责任</w:t>
      </w:r>
    </w:p>
    <w:p w14:paraId="69FD6572">
      <w:pPr>
        <w:pStyle w:val="2"/>
        <w:spacing w:before="172" w:line="360" w:lineRule="auto"/>
        <w:ind w:firstLine="419"/>
        <w:rPr>
          <w:sz w:val="20"/>
          <w:szCs w:val="20"/>
        </w:rPr>
      </w:pPr>
      <w:r>
        <w:rPr>
          <w:spacing w:val="12"/>
          <w:sz w:val="20"/>
          <w:szCs w:val="20"/>
        </w:rPr>
        <w:t>因承包人运输造成施工场地内外公共道路和桥梁损坏的，由承包人承担修复损坏的全部费用</w:t>
      </w:r>
      <w:r>
        <w:rPr>
          <w:spacing w:val="13"/>
          <w:sz w:val="20"/>
          <w:szCs w:val="20"/>
        </w:rPr>
        <w:t xml:space="preserve"> </w:t>
      </w:r>
      <w:r>
        <w:rPr>
          <w:spacing w:val="6"/>
          <w:sz w:val="20"/>
          <w:szCs w:val="20"/>
        </w:rPr>
        <w:t>和可能引起的赔偿。</w:t>
      </w:r>
    </w:p>
    <w:p w14:paraId="096D1C62">
      <w:pPr>
        <w:pStyle w:val="2"/>
        <w:spacing w:before="1" w:line="219" w:lineRule="auto"/>
        <w:ind w:left="419"/>
        <w:rPr>
          <w:sz w:val="20"/>
          <w:szCs w:val="20"/>
        </w:rPr>
      </w:pPr>
      <w:r>
        <w:rPr>
          <w:spacing w:val="6"/>
          <w:sz w:val="20"/>
          <w:szCs w:val="20"/>
        </w:rPr>
        <w:t>1.10.6水路和航空运输</w:t>
      </w:r>
    </w:p>
    <w:p w14:paraId="1A93E09D">
      <w:pPr>
        <w:pStyle w:val="2"/>
        <w:spacing w:before="181" w:line="219" w:lineRule="auto"/>
        <w:ind w:right="17"/>
        <w:jc w:val="right"/>
        <w:rPr>
          <w:sz w:val="20"/>
          <w:szCs w:val="20"/>
        </w:rPr>
      </w:pPr>
      <w:r>
        <w:rPr>
          <w:spacing w:val="2"/>
          <w:sz w:val="20"/>
          <w:szCs w:val="20"/>
        </w:rPr>
        <w:t>本款前述各项的内容适用于水路运输和航空运输，其中“道路”一词的涵义</w:t>
      </w:r>
      <w:r>
        <w:rPr>
          <w:spacing w:val="1"/>
          <w:sz w:val="20"/>
          <w:szCs w:val="20"/>
        </w:rPr>
        <w:t>包括河道、航线、船</w:t>
      </w:r>
    </w:p>
    <w:p w14:paraId="7DB592F9">
      <w:pPr>
        <w:spacing w:line="219" w:lineRule="auto"/>
        <w:rPr>
          <w:sz w:val="20"/>
          <w:szCs w:val="20"/>
        </w:rPr>
        <w:sectPr>
          <w:footerReference r:id="rId196" w:type="default"/>
          <w:pgSz w:w="11910" w:h="16840"/>
          <w:pgMar w:top="400" w:right="1535" w:bottom="1017" w:left="1460" w:header="0" w:footer="891" w:gutter="0"/>
          <w:cols w:space="720" w:num="1"/>
        </w:sectPr>
      </w:pPr>
    </w:p>
    <w:p w14:paraId="11F02960">
      <w:pPr>
        <w:spacing w:line="274" w:lineRule="auto"/>
        <w:rPr>
          <w:rFonts w:ascii="Arial"/>
          <w:sz w:val="21"/>
        </w:rPr>
      </w:pPr>
    </w:p>
    <w:p w14:paraId="6C999BE1">
      <w:pPr>
        <w:spacing w:line="274" w:lineRule="auto"/>
        <w:rPr>
          <w:rFonts w:ascii="Arial"/>
          <w:sz w:val="21"/>
        </w:rPr>
      </w:pPr>
    </w:p>
    <w:p w14:paraId="6B19FD5B">
      <w:pPr>
        <w:spacing w:line="275" w:lineRule="auto"/>
        <w:rPr>
          <w:rFonts w:ascii="Arial"/>
          <w:sz w:val="21"/>
        </w:rPr>
      </w:pPr>
    </w:p>
    <w:p w14:paraId="6A883687">
      <w:pPr>
        <w:spacing w:line="275" w:lineRule="auto"/>
        <w:rPr>
          <w:rFonts w:ascii="Arial"/>
          <w:sz w:val="21"/>
        </w:rPr>
      </w:pPr>
    </w:p>
    <w:p w14:paraId="38F5DC47">
      <w:pPr>
        <w:spacing w:line="275" w:lineRule="auto"/>
        <w:rPr>
          <w:rFonts w:ascii="Arial"/>
          <w:sz w:val="21"/>
        </w:rPr>
      </w:pPr>
    </w:p>
    <w:p w14:paraId="3098C636">
      <w:pPr>
        <w:pStyle w:val="2"/>
        <w:spacing w:before="65" w:line="355" w:lineRule="auto"/>
        <w:ind w:right="72"/>
        <w:rPr>
          <w:sz w:val="20"/>
          <w:szCs w:val="20"/>
        </w:rPr>
      </w:pPr>
      <w:r>
        <w:rPr>
          <w:spacing w:val="2"/>
          <w:sz w:val="20"/>
          <w:szCs w:val="20"/>
        </w:rPr>
        <w:t>闸、机场、码头、堤防以及水路或航空运输中其他相似结构物；“车辆”一词的涵义包括船舶和</w:t>
      </w:r>
      <w:r>
        <w:rPr>
          <w:spacing w:val="1"/>
          <w:sz w:val="20"/>
          <w:szCs w:val="20"/>
        </w:rPr>
        <w:t>飞机</w:t>
      </w:r>
      <w:r>
        <w:rPr>
          <w:sz w:val="20"/>
          <w:szCs w:val="20"/>
        </w:rPr>
        <w:t xml:space="preserve"> </w:t>
      </w:r>
      <w:r>
        <w:rPr>
          <w:spacing w:val="-3"/>
          <w:sz w:val="20"/>
          <w:szCs w:val="20"/>
        </w:rPr>
        <w:t>等。</w:t>
      </w:r>
    </w:p>
    <w:p w14:paraId="242B20C0">
      <w:pPr>
        <w:spacing w:line="222" w:lineRule="auto"/>
        <w:ind w:left="3"/>
        <w:rPr>
          <w:rFonts w:ascii="黑体" w:hAnsi="黑体" w:eastAsia="黑体" w:cs="黑体"/>
          <w:sz w:val="24"/>
          <w:szCs w:val="24"/>
        </w:rPr>
      </w:pPr>
      <w:r>
        <w:rPr>
          <w:rFonts w:ascii="黑体" w:hAnsi="黑体" w:eastAsia="黑体" w:cs="黑体"/>
          <w:b/>
          <w:bCs/>
          <w:spacing w:val="3"/>
          <w:sz w:val="24"/>
          <w:szCs w:val="24"/>
        </w:rPr>
        <w:t>1.11知识产权</w:t>
      </w:r>
    </w:p>
    <w:p w14:paraId="06E351A3">
      <w:pPr>
        <w:pStyle w:val="2"/>
        <w:spacing w:before="111" w:line="334" w:lineRule="auto"/>
        <w:ind w:right="47" w:firstLine="432"/>
        <w:rPr>
          <w:sz w:val="20"/>
          <w:szCs w:val="20"/>
        </w:rPr>
      </w:pPr>
      <w:r>
        <w:rPr>
          <w:b/>
          <w:bCs/>
          <w:spacing w:val="9"/>
          <w:sz w:val="20"/>
          <w:szCs w:val="20"/>
        </w:rPr>
        <w:t>1.11.1</w:t>
      </w:r>
      <w:r>
        <w:rPr>
          <w:spacing w:val="-22"/>
          <w:sz w:val="20"/>
          <w:szCs w:val="20"/>
        </w:rPr>
        <w:t xml:space="preserve"> </w:t>
      </w:r>
      <w:r>
        <w:rPr>
          <w:rFonts w:ascii="黑体" w:hAnsi="黑体" w:eastAsia="黑体" w:cs="黑体"/>
          <w:spacing w:val="9"/>
          <w:sz w:val="20"/>
          <w:szCs w:val="20"/>
        </w:rPr>
        <w:t>除专用合同条款另有约定外，发包人提供给承包人的图纸、发包人为实施工程自行编</w:t>
      </w:r>
      <w:r>
        <w:rPr>
          <w:rFonts w:ascii="黑体" w:hAnsi="黑体" w:eastAsia="黑体" w:cs="黑体"/>
          <w:sz w:val="20"/>
          <w:szCs w:val="20"/>
        </w:rPr>
        <w:t xml:space="preserve"> </w:t>
      </w:r>
      <w:r>
        <w:rPr>
          <w:spacing w:val="12"/>
          <w:sz w:val="20"/>
          <w:szCs w:val="20"/>
        </w:rPr>
        <w:t>制或委托编制的技术规范以及反映发包人要求的或其他类似性质的文件的著作权属于发包人，承</w:t>
      </w:r>
      <w:r>
        <w:rPr>
          <w:spacing w:val="4"/>
          <w:sz w:val="20"/>
          <w:szCs w:val="20"/>
        </w:rPr>
        <w:t xml:space="preserve"> </w:t>
      </w:r>
      <w:r>
        <w:rPr>
          <w:spacing w:val="12"/>
          <w:sz w:val="20"/>
          <w:szCs w:val="20"/>
        </w:rPr>
        <w:t>包人可以为实现合同目的而复制、使用此类文件，但不能用于与合同无关的其他事项。未经发包</w:t>
      </w:r>
      <w:r>
        <w:rPr>
          <w:spacing w:val="4"/>
          <w:sz w:val="20"/>
          <w:szCs w:val="20"/>
        </w:rPr>
        <w:t xml:space="preserve"> </w:t>
      </w:r>
      <w:r>
        <w:rPr>
          <w:spacing w:val="10"/>
          <w:sz w:val="20"/>
          <w:szCs w:val="20"/>
        </w:rPr>
        <w:t>人书面同意，承包人不得为了合同以外的目的而复制、使用上述文件或</w:t>
      </w:r>
      <w:r>
        <w:rPr>
          <w:spacing w:val="9"/>
          <w:sz w:val="20"/>
          <w:szCs w:val="20"/>
        </w:rPr>
        <w:t>将之提供给任何第三方。</w:t>
      </w:r>
    </w:p>
    <w:p w14:paraId="26DBC6F0">
      <w:pPr>
        <w:pStyle w:val="2"/>
        <w:spacing w:before="182" w:line="327" w:lineRule="auto"/>
        <w:ind w:right="49" w:firstLine="432"/>
        <w:rPr>
          <w:sz w:val="20"/>
          <w:szCs w:val="20"/>
        </w:rPr>
      </w:pPr>
      <w:r>
        <w:rPr>
          <w:b/>
          <w:bCs/>
          <w:spacing w:val="8"/>
          <w:sz w:val="20"/>
          <w:szCs w:val="20"/>
        </w:rPr>
        <w:t>1.11.2</w:t>
      </w:r>
      <w:r>
        <w:rPr>
          <w:spacing w:val="8"/>
          <w:sz w:val="20"/>
          <w:szCs w:val="20"/>
        </w:rPr>
        <w:t xml:space="preserve"> </w:t>
      </w:r>
      <w:r>
        <w:rPr>
          <w:rFonts w:ascii="黑体" w:hAnsi="黑体" w:eastAsia="黑体" w:cs="黑体"/>
          <w:spacing w:val="8"/>
          <w:sz w:val="20"/>
          <w:szCs w:val="20"/>
        </w:rPr>
        <w:t>除专用合同条款另有约定外，承包人为实施工程所编制的文件，除署名权以外的著作</w:t>
      </w:r>
      <w:r>
        <w:rPr>
          <w:rFonts w:ascii="黑体" w:hAnsi="黑体" w:eastAsia="黑体" w:cs="黑体"/>
          <w:spacing w:val="12"/>
          <w:sz w:val="20"/>
          <w:szCs w:val="20"/>
        </w:rPr>
        <w:t xml:space="preserve"> </w:t>
      </w:r>
      <w:r>
        <w:rPr>
          <w:spacing w:val="12"/>
          <w:sz w:val="20"/>
          <w:szCs w:val="20"/>
        </w:rPr>
        <w:t>权属于发包人，承包人可因实施工程的运行、调试、维修、</w:t>
      </w:r>
      <w:r>
        <w:rPr>
          <w:spacing w:val="11"/>
          <w:sz w:val="20"/>
          <w:szCs w:val="20"/>
        </w:rPr>
        <w:t>改造等目的而复制、使用此类文件，</w:t>
      </w:r>
      <w:r>
        <w:rPr>
          <w:sz w:val="20"/>
          <w:szCs w:val="20"/>
        </w:rPr>
        <w:t xml:space="preserve"> </w:t>
      </w:r>
      <w:r>
        <w:rPr>
          <w:spacing w:val="12"/>
          <w:sz w:val="20"/>
          <w:szCs w:val="20"/>
        </w:rPr>
        <w:t>但不能用于与合同无关的其他事项。未经发包人书面同意，</w:t>
      </w:r>
      <w:r>
        <w:rPr>
          <w:spacing w:val="11"/>
          <w:sz w:val="20"/>
          <w:szCs w:val="20"/>
        </w:rPr>
        <w:t>承包人不得为了合同以外的目的而复</w:t>
      </w:r>
      <w:r>
        <w:rPr>
          <w:sz w:val="20"/>
          <w:szCs w:val="20"/>
        </w:rPr>
        <w:t xml:space="preserve"> </w:t>
      </w:r>
      <w:r>
        <w:rPr>
          <w:spacing w:val="8"/>
          <w:sz w:val="20"/>
          <w:szCs w:val="20"/>
        </w:rPr>
        <w:t>制、使用上述文件或将之提供给任何第三方。</w:t>
      </w:r>
    </w:p>
    <w:p w14:paraId="74F620A7">
      <w:pPr>
        <w:pStyle w:val="2"/>
        <w:spacing w:before="193" w:line="325" w:lineRule="auto"/>
        <w:ind w:firstLine="432"/>
        <w:rPr>
          <w:sz w:val="20"/>
          <w:szCs w:val="20"/>
        </w:rPr>
      </w:pPr>
      <w:r>
        <w:rPr>
          <w:b/>
          <w:bCs/>
          <w:spacing w:val="8"/>
          <w:sz w:val="20"/>
          <w:szCs w:val="20"/>
        </w:rPr>
        <w:t>1.11.3</w:t>
      </w:r>
      <w:r>
        <w:rPr>
          <w:spacing w:val="8"/>
          <w:sz w:val="20"/>
          <w:szCs w:val="20"/>
        </w:rPr>
        <w:t xml:space="preserve"> </w:t>
      </w:r>
      <w:r>
        <w:rPr>
          <w:rFonts w:ascii="黑体" w:hAnsi="黑体" w:eastAsia="黑体" w:cs="黑体"/>
          <w:spacing w:val="8"/>
          <w:sz w:val="20"/>
          <w:szCs w:val="20"/>
        </w:rPr>
        <w:t>合同当事人保证在履行合同过程中不侵犯对方及第三方的知识产权。承包人在使用材</w:t>
      </w:r>
      <w:r>
        <w:rPr>
          <w:rFonts w:ascii="黑体" w:hAnsi="黑体" w:eastAsia="黑体" w:cs="黑体"/>
          <w:spacing w:val="11"/>
          <w:sz w:val="20"/>
          <w:szCs w:val="20"/>
        </w:rPr>
        <w:t xml:space="preserve"> </w:t>
      </w:r>
      <w:r>
        <w:rPr>
          <w:spacing w:val="8"/>
          <w:sz w:val="20"/>
          <w:szCs w:val="20"/>
        </w:rPr>
        <w:t>料、施工设备、工程设备或采用施工工艺时，因侵犯他人的专利权或其他知识产权所引起的责任，</w:t>
      </w:r>
      <w:r>
        <w:rPr>
          <w:spacing w:val="15"/>
          <w:sz w:val="20"/>
          <w:szCs w:val="20"/>
        </w:rPr>
        <w:t xml:space="preserve"> </w:t>
      </w:r>
      <w:r>
        <w:rPr>
          <w:spacing w:val="12"/>
          <w:sz w:val="20"/>
          <w:szCs w:val="20"/>
        </w:rPr>
        <w:t>由承包人承担；因发包人提供的材料、施工设备、工程设备</w:t>
      </w:r>
      <w:r>
        <w:rPr>
          <w:spacing w:val="11"/>
          <w:sz w:val="20"/>
          <w:szCs w:val="20"/>
        </w:rPr>
        <w:t>或施工工艺导致侵权的，由发包人承</w:t>
      </w:r>
      <w:r>
        <w:rPr>
          <w:sz w:val="20"/>
          <w:szCs w:val="20"/>
        </w:rPr>
        <w:t xml:space="preserve"> </w:t>
      </w:r>
      <w:r>
        <w:rPr>
          <w:spacing w:val="2"/>
          <w:sz w:val="20"/>
          <w:szCs w:val="20"/>
        </w:rPr>
        <w:t>担责任。</w:t>
      </w:r>
    </w:p>
    <w:p w14:paraId="6648BB22">
      <w:pPr>
        <w:pStyle w:val="2"/>
        <w:spacing w:before="153" w:line="213" w:lineRule="auto"/>
        <w:ind w:left="429"/>
        <w:rPr>
          <w:rFonts w:ascii="黑体" w:hAnsi="黑体" w:eastAsia="黑体" w:cs="黑体"/>
          <w:sz w:val="20"/>
          <w:szCs w:val="20"/>
        </w:rPr>
      </w:pPr>
      <w:r>
        <w:rPr>
          <w:spacing w:val="9"/>
          <w:sz w:val="20"/>
          <w:szCs w:val="20"/>
        </w:rPr>
        <w:t xml:space="preserve">1.11.4 </w:t>
      </w:r>
      <w:r>
        <w:rPr>
          <w:rFonts w:ascii="黑体" w:hAnsi="黑体" w:eastAsia="黑体" w:cs="黑体"/>
          <w:spacing w:val="9"/>
          <w:sz w:val="20"/>
          <w:szCs w:val="20"/>
        </w:rPr>
        <w:t>除专用合同条款另有约定外，承包人在合同签订前</w:t>
      </w:r>
      <w:r>
        <w:rPr>
          <w:rFonts w:ascii="黑体" w:hAnsi="黑体" w:eastAsia="黑体" w:cs="黑体"/>
          <w:spacing w:val="8"/>
          <w:sz w:val="20"/>
          <w:szCs w:val="20"/>
        </w:rPr>
        <w:t>和签订时已确定采用的专利、专有</w:t>
      </w:r>
    </w:p>
    <w:p w14:paraId="2A05C465">
      <w:pPr>
        <w:pStyle w:val="2"/>
        <w:spacing w:before="197" w:line="218" w:lineRule="auto"/>
        <w:rPr>
          <w:sz w:val="20"/>
          <w:szCs w:val="20"/>
        </w:rPr>
      </w:pPr>
      <w:r>
        <w:rPr>
          <w:spacing w:val="8"/>
          <w:sz w:val="20"/>
          <w:szCs w:val="20"/>
        </w:rPr>
        <w:t>技术、技术秘密的使用费已包含在签约合同价中。</w:t>
      </w:r>
    </w:p>
    <w:p w14:paraId="4FD5A23D">
      <w:pPr>
        <w:spacing w:before="132" w:line="221" w:lineRule="auto"/>
        <w:ind w:left="3"/>
        <w:rPr>
          <w:rFonts w:ascii="黑体" w:hAnsi="黑体" w:eastAsia="黑体" w:cs="黑体"/>
          <w:sz w:val="24"/>
          <w:szCs w:val="24"/>
        </w:rPr>
      </w:pPr>
      <w:r>
        <w:rPr>
          <w:rFonts w:ascii="黑体" w:hAnsi="黑体" w:eastAsia="黑体" w:cs="黑体"/>
          <w:b/>
          <w:bCs/>
          <w:spacing w:val="-5"/>
          <w:sz w:val="24"/>
          <w:szCs w:val="24"/>
        </w:rPr>
        <w:t>1.12保密</w:t>
      </w:r>
    </w:p>
    <w:p w14:paraId="4B622D49">
      <w:pPr>
        <w:pStyle w:val="2"/>
        <w:spacing w:before="135" w:line="374" w:lineRule="auto"/>
        <w:ind w:right="41" w:firstLine="429"/>
        <w:rPr>
          <w:sz w:val="20"/>
          <w:szCs w:val="20"/>
        </w:rPr>
      </w:pPr>
      <w:r>
        <w:rPr>
          <w:spacing w:val="12"/>
          <w:sz w:val="20"/>
          <w:szCs w:val="20"/>
        </w:rPr>
        <w:t>除法律规定或合同另有约定外，未经发包人同意，承包人不得将发包人提供的图纸、文件以</w:t>
      </w:r>
      <w:r>
        <w:rPr>
          <w:spacing w:val="7"/>
          <w:sz w:val="20"/>
          <w:szCs w:val="20"/>
        </w:rPr>
        <w:t xml:space="preserve"> </w:t>
      </w:r>
      <w:r>
        <w:rPr>
          <w:spacing w:val="8"/>
          <w:sz w:val="20"/>
          <w:szCs w:val="20"/>
        </w:rPr>
        <w:t>及声明需要保密的资料信息等商业秘密泄露给第三方。</w:t>
      </w:r>
    </w:p>
    <w:p w14:paraId="19B61B3E">
      <w:pPr>
        <w:pStyle w:val="2"/>
        <w:spacing w:before="2" w:line="349" w:lineRule="auto"/>
        <w:ind w:right="46" w:firstLine="429"/>
        <w:rPr>
          <w:sz w:val="20"/>
          <w:szCs w:val="20"/>
        </w:rPr>
      </w:pPr>
      <w:r>
        <w:rPr>
          <w:spacing w:val="12"/>
          <w:sz w:val="20"/>
          <w:szCs w:val="20"/>
        </w:rPr>
        <w:t>除法律规定或合同另有约定外，未经承包人同意，发包人不得将承包人提供的技术秘密及声</w:t>
      </w:r>
      <w:r>
        <w:rPr>
          <w:spacing w:val="2"/>
          <w:sz w:val="20"/>
          <w:szCs w:val="20"/>
        </w:rPr>
        <w:t xml:space="preserve"> </w:t>
      </w:r>
      <w:r>
        <w:rPr>
          <w:spacing w:val="8"/>
          <w:sz w:val="20"/>
          <w:szCs w:val="20"/>
        </w:rPr>
        <w:t>明需要保密的资料信息等商业秘密泄露给第三方。</w:t>
      </w:r>
    </w:p>
    <w:p w14:paraId="193A4542">
      <w:pPr>
        <w:spacing w:before="1" w:line="221" w:lineRule="auto"/>
        <w:ind w:left="3"/>
        <w:rPr>
          <w:rFonts w:ascii="黑体" w:hAnsi="黑体" w:eastAsia="黑体" w:cs="黑体"/>
          <w:sz w:val="24"/>
          <w:szCs w:val="24"/>
        </w:rPr>
      </w:pPr>
      <w:r>
        <w:rPr>
          <w:rFonts w:ascii="黑体" w:hAnsi="黑体" w:eastAsia="黑体" w:cs="黑体"/>
          <w:b/>
          <w:bCs/>
          <w:spacing w:val="1"/>
          <w:sz w:val="24"/>
          <w:szCs w:val="24"/>
        </w:rPr>
        <w:t>1.13工程量清单错误的修正</w:t>
      </w:r>
    </w:p>
    <w:p w14:paraId="330457C3">
      <w:pPr>
        <w:pStyle w:val="2"/>
        <w:spacing w:before="154" w:line="365" w:lineRule="auto"/>
        <w:ind w:right="52" w:firstLine="429"/>
        <w:rPr>
          <w:sz w:val="20"/>
          <w:szCs w:val="20"/>
        </w:rPr>
      </w:pPr>
      <w:r>
        <w:rPr>
          <w:spacing w:val="12"/>
          <w:sz w:val="20"/>
          <w:szCs w:val="20"/>
        </w:rPr>
        <w:t>除专用合同条款另有约定外，发包人提供的工程量清单，应被认为是准确的和完整的</w:t>
      </w:r>
      <w:r>
        <w:rPr>
          <w:spacing w:val="11"/>
          <w:sz w:val="20"/>
          <w:szCs w:val="20"/>
        </w:rPr>
        <w:t>。出现</w:t>
      </w:r>
      <w:r>
        <w:rPr>
          <w:sz w:val="20"/>
          <w:szCs w:val="20"/>
        </w:rPr>
        <w:t xml:space="preserve"> </w:t>
      </w:r>
      <w:r>
        <w:rPr>
          <w:spacing w:val="8"/>
          <w:sz w:val="20"/>
          <w:szCs w:val="20"/>
        </w:rPr>
        <w:t>下列情形之一时，发包人应予以修正，并相</w:t>
      </w:r>
      <w:r>
        <w:rPr>
          <w:spacing w:val="7"/>
          <w:sz w:val="20"/>
          <w:szCs w:val="20"/>
        </w:rPr>
        <w:t>应调整合同价格：</w:t>
      </w:r>
    </w:p>
    <w:p w14:paraId="240662F4">
      <w:pPr>
        <w:pStyle w:val="2"/>
        <w:spacing w:line="219" w:lineRule="auto"/>
        <w:ind w:left="550"/>
        <w:rPr>
          <w:sz w:val="20"/>
          <w:szCs w:val="20"/>
        </w:rPr>
      </w:pPr>
      <w:r>
        <w:rPr>
          <w:spacing w:val="11"/>
          <w:sz w:val="20"/>
          <w:szCs w:val="20"/>
        </w:rPr>
        <w:t>(1)工程量清单存在缺项、漏项的；</w:t>
      </w:r>
    </w:p>
    <w:p w14:paraId="2A6FA517">
      <w:pPr>
        <w:pStyle w:val="2"/>
        <w:spacing w:before="183" w:line="219" w:lineRule="auto"/>
        <w:ind w:left="550"/>
        <w:rPr>
          <w:sz w:val="20"/>
          <w:szCs w:val="20"/>
        </w:rPr>
      </w:pPr>
      <w:r>
        <w:rPr>
          <w:spacing w:val="11"/>
          <w:sz w:val="20"/>
          <w:szCs w:val="20"/>
        </w:rPr>
        <w:t>(2)工程量清单偏差超出专用合同条款约定的工程量偏差范围的；</w:t>
      </w:r>
    </w:p>
    <w:p w14:paraId="12760931">
      <w:pPr>
        <w:pStyle w:val="2"/>
        <w:spacing w:before="143" w:line="219" w:lineRule="auto"/>
        <w:ind w:left="550"/>
        <w:rPr>
          <w:sz w:val="20"/>
          <w:szCs w:val="20"/>
        </w:rPr>
      </w:pPr>
      <w:r>
        <w:rPr>
          <w:spacing w:val="12"/>
          <w:sz w:val="20"/>
          <w:szCs w:val="20"/>
        </w:rPr>
        <w:t>(3)未按照国家现行计量规范强制性规定计量的。</w:t>
      </w:r>
    </w:p>
    <w:p w14:paraId="58F627BB">
      <w:pPr>
        <w:pStyle w:val="2"/>
        <w:spacing w:before="180" w:line="221" w:lineRule="auto"/>
        <w:ind w:left="4"/>
        <w:rPr>
          <w:rFonts w:ascii="黑体" w:hAnsi="黑体" w:eastAsia="黑体" w:cs="黑体"/>
          <w:sz w:val="31"/>
          <w:szCs w:val="31"/>
        </w:rPr>
      </w:pPr>
      <w:r>
        <w:rPr>
          <w:b/>
          <w:bCs/>
          <w:sz w:val="31"/>
          <w:szCs w:val="31"/>
        </w:rPr>
        <w:t>2.</w:t>
      </w:r>
      <w:r>
        <w:rPr>
          <w:rFonts w:ascii="黑体" w:hAnsi="黑体" w:eastAsia="黑体" w:cs="黑体"/>
          <w:b/>
          <w:bCs/>
          <w:sz w:val="31"/>
          <w:szCs w:val="31"/>
        </w:rPr>
        <w:t>发包人</w:t>
      </w:r>
    </w:p>
    <w:p w14:paraId="36DB8584">
      <w:pPr>
        <w:pStyle w:val="2"/>
        <w:spacing w:before="88" w:line="222" w:lineRule="auto"/>
        <w:ind w:left="3"/>
        <w:rPr>
          <w:rFonts w:ascii="黑体" w:hAnsi="黑体" w:eastAsia="黑体" w:cs="黑体"/>
          <w:sz w:val="24"/>
          <w:szCs w:val="24"/>
        </w:rPr>
      </w:pPr>
      <w:r>
        <w:rPr>
          <w:b/>
          <w:bCs/>
          <w:sz w:val="24"/>
          <w:szCs w:val="24"/>
        </w:rPr>
        <w:t>2.1</w:t>
      </w:r>
      <w:r>
        <w:rPr>
          <w:spacing w:val="-15"/>
          <w:sz w:val="24"/>
          <w:szCs w:val="24"/>
        </w:rPr>
        <w:t xml:space="preserve"> </w:t>
      </w:r>
      <w:r>
        <w:rPr>
          <w:rFonts w:ascii="黑体" w:hAnsi="黑体" w:eastAsia="黑体" w:cs="黑体"/>
          <w:b/>
          <w:bCs/>
          <w:sz w:val="24"/>
          <w:szCs w:val="24"/>
        </w:rPr>
        <w:t>许可或批准</w:t>
      </w:r>
    </w:p>
    <w:p w14:paraId="126CBD52">
      <w:pPr>
        <w:pStyle w:val="2"/>
        <w:spacing w:before="133" w:line="371" w:lineRule="auto"/>
        <w:ind w:right="51" w:firstLine="429"/>
        <w:jc w:val="both"/>
        <w:rPr>
          <w:sz w:val="20"/>
          <w:szCs w:val="20"/>
        </w:rPr>
      </w:pPr>
      <w:r>
        <w:rPr>
          <w:spacing w:val="12"/>
          <w:sz w:val="20"/>
          <w:szCs w:val="20"/>
        </w:rPr>
        <w:t>发包人应遵守法律，并办理法律规定由其办理的许可、批准或备案，包括但不限于建</w:t>
      </w:r>
      <w:r>
        <w:rPr>
          <w:spacing w:val="11"/>
          <w:sz w:val="20"/>
          <w:szCs w:val="20"/>
        </w:rPr>
        <w:t>设用地</w:t>
      </w:r>
      <w:r>
        <w:rPr>
          <w:sz w:val="20"/>
          <w:szCs w:val="20"/>
        </w:rPr>
        <w:t xml:space="preserve"> </w:t>
      </w:r>
      <w:r>
        <w:rPr>
          <w:spacing w:val="12"/>
          <w:sz w:val="20"/>
          <w:szCs w:val="20"/>
        </w:rPr>
        <w:t>规划许可证、建设工程规划许可证、建设工程施工许可证、施工所需临时用水、临时用电、中断</w:t>
      </w:r>
      <w:r>
        <w:rPr>
          <w:spacing w:val="3"/>
          <w:sz w:val="20"/>
          <w:szCs w:val="20"/>
        </w:rPr>
        <w:t xml:space="preserve"> </w:t>
      </w:r>
      <w:r>
        <w:rPr>
          <w:spacing w:val="12"/>
          <w:sz w:val="20"/>
          <w:szCs w:val="20"/>
        </w:rPr>
        <w:t>道路交通、临时占用土地等许可和批准。发包人应协助承包人办理法律规定的有关施工证件和批</w:t>
      </w:r>
    </w:p>
    <w:p w14:paraId="3A6B2EEA">
      <w:pPr>
        <w:spacing w:line="371" w:lineRule="auto"/>
        <w:rPr>
          <w:sz w:val="20"/>
          <w:szCs w:val="20"/>
        </w:rPr>
        <w:sectPr>
          <w:footerReference r:id="rId197" w:type="default"/>
          <w:pgSz w:w="11910" w:h="16840"/>
          <w:pgMar w:top="400" w:right="1499" w:bottom="1024" w:left="1450" w:header="0" w:footer="889" w:gutter="0"/>
          <w:cols w:space="720" w:num="1"/>
        </w:sectPr>
      </w:pPr>
    </w:p>
    <w:p w14:paraId="4DD708D4">
      <w:pPr>
        <w:spacing w:line="270" w:lineRule="auto"/>
        <w:rPr>
          <w:rFonts w:ascii="Arial"/>
          <w:sz w:val="21"/>
        </w:rPr>
      </w:pPr>
    </w:p>
    <w:p w14:paraId="251EFA02">
      <w:pPr>
        <w:spacing w:line="271" w:lineRule="auto"/>
        <w:rPr>
          <w:rFonts w:ascii="Arial"/>
          <w:sz w:val="21"/>
        </w:rPr>
      </w:pPr>
    </w:p>
    <w:p w14:paraId="15D26FD6">
      <w:pPr>
        <w:spacing w:line="271" w:lineRule="auto"/>
        <w:rPr>
          <w:rFonts w:ascii="Arial"/>
          <w:sz w:val="21"/>
        </w:rPr>
      </w:pPr>
    </w:p>
    <w:p w14:paraId="38DFAD04">
      <w:pPr>
        <w:spacing w:line="271" w:lineRule="auto"/>
        <w:rPr>
          <w:rFonts w:ascii="Arial"/>
          <w:sz w:val="21"/>
        </w:rPr>
      </w:pPr>
    </w:p>
    <w:p w14:paraId="662B512C">
      <w:pPr>
        <w:spacing w:line="271" w:lineRule="auto"/>
        <w:rPr>
          <w:rFonts w:ascii="Arial"/>
          <w:sz w:val="21"/>
        </w:rPr>
      </w:pPr>
    </w:p>
    <w:p w14:paraId="2D1FA508">
      <w:pPr>
        <w:pStyle w:val="2"/>
        <w:spacing w:before="65" w:line="219" w:lineRule="auto"/>
        <w:rPr>
          <w:sz w:val="20"/>
          <w:szCs w:val="20"/>
        </w:rPr>
      </w:pPr>
      <w:r>
        <w:rPr>
          <w:sz w:val="20"/>
          <w:szCs w:val="20"/>
        </w:rPr>
        <w:t>件。</w:t>
      </w:r>
    </w:p>
    <w:p w14:paraId="123B1781">
      <w:pPr>
        <w:pStyle w:val="2"/>
        <w:spacing w:before="182" w:line="341" w:lineRule="auto"/>
        <w:ind w:right="26" w:firstLine="419"/>
        <w:rPr>
          <w:sz w:val="20"/>
          <w:szCs w:val="20"/>
        </w:rPr>
      </w:pPr>
      <w:r>
        <w:rPr>
          <w:spacing w:val="8"/>
          <w:sz w:val="20"/>
          <w:szCs w:val="20"/>
        </w:rPr>
        <w:t>因发包人原因未能及时办理完毕前述许可、批准或备案，由发包人承担由此增加的费用和(或)</w:t>
      </w:r>
      <w:r>
        <w:rPr>
          <w:spacing w:val="16"/>
          <w:sz w:val="20"/>
          <w:szCs w:val="20"/>
        </w:rPr>
        <w:t xml:space="preserve"> </w:t>
      </w:r>
      <w:r>
        <w:rPr>
          <w:spacing w:val="8"/>
          <w:sz w:val="20"/>
          <w:szCs w:val="20"/>
        </w:rPr>
        <w:t>延误的工期，并支付承包人合理的利润。</w:t>
      </w:r>
    </w:p>
    <w:p w14:paraId="5646A686">
      <w:pPr>
        <w:pStyle w:val="2"/>
        <w:spacing w:line="219" w:lineRule="auto"/>
        <w:ind w:left="3"/>
      </w:pPr>
      <w:r>
        <w:rPr>
          <w:b/>
          <w:bCs/>
          <w:spacing w:val="-11"/>
        </w:rPr>
        <w:t>2.2</w:t>
      </w:r>
      <w:r>
        <w:rPr>
          <w:spacing w:val="-11"/>
        </w:rPr>
        <w:t xml:space="preserve"> </w:t>
      </w:r>
      <w:r>
        <w:rPr>
          <w:b/>
          <w:bCs/>
          <w:spacing w:val="-11"/>
        </w:rPr>
        <w:t>发包人代表</w:t>
      </w:r>
    </w:p>
    <w:p w14:paraId="4533AFE3">
      <w:pPr>
        <w:pStyle w:val="2"/>
        <w:spacing w:before="145" w:line="369" w:lineRule="auto"/>
        <w:ind w:right="88" w:firstLine="419"/>
        <w:jc w:val="both"/>
        <w:rPr>
          <w:sz w:val="20"/>
          <w:szCs w:val="20"/>
        </w:rPr>
      </w:pPr>
      <w:r>
        <w:rPr>
          <w:spacing w:val="12"/>
          <w:sz w:val="20"/>
          <w:szCs w:val="20"/>
        </w:rPr>
        <w:t>发包人应在专用合同条款中明确其派驻施工现场的发包人代表的姓名、职务、联系方式及授</w:t>
      </w:r>
      <w:r>
        <w:rPr>
          <w:spacing w:val="8"/>
          <w:sz w:val="20"/>
          <w:szCs w:val="20"/>
        </w:rPr>
        <w:t xml:space="preserve"> </w:t>
      </w:r>
      <w:r>
        <w:rPr>
          <w:spacing w:val="12"/>
          <w:sz w:val="20"/>
          <w:szCs w:val="20"/>
        </w:rPr>
        <w:t>权范围等事项。发包人代表在发包人的授权范围内，负责处理合同履行过程中与发包人有关的具</w:t>
      </w:r>
      <w:r>
        <w:rPr>
          <w:spacing w:val="6"/>
          <w:sz w:val="20"/>
          <w:szCs w:val="20"/>
        </w:rPr>
        <w:t xml:space="preserve"> </w:t>
      </w:r>
      <w:r>
        <w:rPr>
          <w:spacing w:val="12"/>
          <w:sz w:val="20"/>
          <w:szCs w:val="20"/>
        </w:rPr>
        <w:t>体事宜。发包人代表在授权范围内的行为由发包人承担法律责任。发包人更换发包人代表的，应</w:t>
      </w:r>
      <w:r>
        <w:rPr>
          <w:spacing w:val="3"/>
          <w:sz w:val="20"/>
          <w:szCs w:val="20"/>
        </w:rPr>
        <w:t xml:space="preserve"> </w:t>
      </w:r>
      <w:r>
        <w:rPr>
          <w:spacing w:val="16"/>
          <w:sz w:val="20"/>
          <w:szCs w:val="20"/>
        </w:rPr>
        <w:t>提前7天书面通知承包人。</w:t>
      </w:r>
    </w:p>
    <w:p w14:paraId="70A1FBB6">
      <w:pPr>
        <w:pStyle w:val="2"/>
        <w:spacing w:before="1" w:line="378" w:lineRule="auto"/>
        <w:ind w:right="91" w:firstLine="419"/>
        <w:rPr>
          <w:sz w:val="20"/>
          <w:szCs w:val="20"/>
        </w:rPr>
      </w:pPr>
      <w:r>
        <w:rPr>
          <w:spacing w:val="12"/>
          <w:sz w:val="20"/>
          <w:szCs w:val="20"/>
        </w:rPr>
        <w:t>发包人代表不能按照合同约定履行其职责及义务，并导致合同无法继续正常履行的，承包人</w:t>
      </w:r>
      <w:r>
        <w:rPr>
          <w:spacing w:val="7"/>
          <w:sz w:val="20"/>
          <w:szCs w:val="20"/>
        </w:rPr>
        <w:t xml:space="preserve"> 可以要求发包人撤换发包人代表。</w:t>
      </w:r>
    </w:p>
    <w:p w14:paraId="035155A8">
      <w:pPr>
        <w:pStyle w:val="2"/>
        <w:spacing w:line="219" w:lineRule="auto"/>
        <w:jc w:val="right"/>
        <w:rPr>
          <w:sz w:val="20"/>
          <w:szCs w:val="20"/>
        </w:rPr>
      </w:pPr>
      <w:r>
        <w:rPr>
          <w:spacing w:val="9"/>
          <w:sz w:val="20"/>
          <w:szCs w:val="20"/>
        </w:rPr>
        <w:t>不属于法定必须监理的工程，监理人的职权可以由发包人代表或发包人指定的其他人员行使。</w:t>
      </w:r>
    </w:p>
    <w:p w14:paraId="2FA3B903">
      <w:pPr>
        <w:pStyle w:val="2"/>
        <w:spacing w:before="122" w:line="220" w:lineRule="auto"/>
        <w:ind w:left="3"/>
      </w:pPr>
      <w:r>
        <w:rPr>
          <w:b/>
          <w:bCs/>
          <w:spacing w:val="-6"/>
        </w:rPr>
        <w:t>2.3</w:t>
      </w:r>
      <w:r>
        <w:rPr>
          <w:spacing w:val="-6"/>
        </w:rPr>
        <w:t xml:space="preserve"> </w:t>
      </w:r>
      <w:r>
        <w:rPr>
          <w:b/>
          <w:bCs/>
          <w:spacing w:val="-6"/>
        </w:rPr>
        <w:t>发包人人员</w:t>
      </w:r>
    </w:p>
    <w:p w14:paraId="52BBF5CD">
      <w:pPr>
        <w:pStyle w:val="2"/>
        <w:spacing w:before="111" w:line="379" w:lineRule="auto"/>
        <w:ind w:right="90" w:firstLine="419"/>
        <w:rPr>
          <w:sz w:val="20"/>
          <w:szCs w:val="20"/>
        </w:rPr>
      </w:pPr>
      <w:r>
        <w:rPr>
          <w:spacing w:val="12"/>
          <w:sz w:val="20"/>
          <w:szCs w:val="20"/>
        </w:rPr>
        <w:t>发包人应要求在施工现场的发包人人员遵守法律及有关安全、质量、环境保护、文明施工等</w:t>
      </w:r>
      <w:r>
        <w:rPr>
          <w:spacing w:val="8"/>
          <w:sz w:val="20"/>
          <w:szCs w:val="20"/>
        </w:rPr>
        <w:t xml:space="preserve"> </w:t>
      </w:r>
      <w:r>
        <w:rPr>
          <w:spacing w:val="10"/>
          <w:sz w:val="20"/>
          <w:szCs w:val="20"/>
        </w:rPr>
        <w:t>规定，并保障承包人免于承受因发包人人员未遵守上述要求给</w:t>
      </w:r>
      <w:r>
        <w:rPr>
          <w:spacing w:val="9"/>
          <w:sz w:val="20"/>
          <w:szCs w:val="20"/>
        </w:rPr>
        <w:t>承包人造成的损失和责任。</w:t>
      </w:r>
    </w:p>
    <w:p w14:paraId="002CCB40">
      <w:pPr>
        <w:pStyle w:val="2"/>
        <w:spacing w:before="1" w:line="219" w:lineRule="auto"/>
        <w:ind w:left="419"/>
        <w:rPr>
          <w:sz w:val="20"/>
          <w:szCs w:val="20"/>
        </w:rPr>
      </w:pPr>
      <w:r>
        <w:rPr>
          <w:spacing w:val="9"/>
          <w:sz w:val="20"/>
          <w:szCs w:val="20"/>
        </w:rPr>
        <w:t>发包人人员包括发包人代表及其他由发包人派驻施工现场的人员。</w:t>
      </w:r>
    </w:p>
    <w:p w14:paraId="6A2388F8">
      <w:pPr>
        <w:pStyle w:val="2"/>
        <w:spacing w:before="109" w:line="219" w:lineRule="auto"/>
        <w:ind w:left="2"/>
      </w:pPr>
      <w:r>
        <w:rPr>
          <w:b/>
          <w:bCs/>
          <w:spacing w:val="-10"/>
        </w:rPr>
        <w:t>2.4</w:t>
      </w:r>
      <w:r>
        <w:rPr>
          <w:spacing w:val="-10"/>
        </w:rPr>
        <w:t xml:space="preserve"> </w:t>
      </w:r>
      <w:r>
        <w:rPr>
          <w:b/>
          <w:bCs/>
          <w:spacing w:val="-10"/>
        </w:rPr>
        <w:t>施工现场、施工条件和基础资料的提供</w:t>
      </w:r>
    </w:p>
    <w:p w14:paraId="4F61C562">
      <w:pPr>
        <w:pStyle w:val="2"/>
        <w:spacing w:before="155" w:line="219" w:lineRule="auto"/>
        <w:ind w:left="419"/>
        <w:rPr>
          <w:sz w:val="20"/>
          <w:szCs w:val="20"/>
        </w:rPr>
      </w:pPr>
      <w:r>
        <w:rPr>
          <w:spacing w:val="8"/>
          <w:sz w:val="20"/>
          <w:szCs w:val="20"/>
        </w:rPr>
        <w:t>2.4.1提供施工现场</w:t>
      </w:r>
    </w:p>
    <w:p w14:paraId="354914C3">
      <w:pPr>
        <w:pStyle w:val="2"/>
        <w:spacing w:before="174" w:line="219" w:lineRule="auto"/>
        <w:ind w:left="419"/>
        <w:rPr>
          <w:sz w:val="20"/>
          <w:szCs w:val="20"/>
        </w:rPr>
      </w:pPr>
      <w:r>
        <w:rPr>
          <w:spacing w:val="13"/>
          <w:sz w:val="20"/>
          <w:szCs w:val="20"/>
        </w:rPr>
        <w:t>除专用合同条款另有约定外，发包人应最迟于开工</w:t>
      </w:r>
      <w:r>
        <w:rPr>
          <w:spacing w:val="12"/>
          <w:sz w:val="20"/>
          <w:szCs w:val="20"/>
        </w:rPr>
        <w:t>日期7天前向承包人移交施工现场。</w:t>
      </w:r>
    </w:p>
    <w:p w14:paraId="7BE404EE">
      <w:pPr>
        <w:pStyle w:val="2"/>
        <w:spacing w:before="162" w:line="219" w:lineRule="auto"/>
        <w:ind w:left="419"/>
        <w:rPr>
          <w:sz w:val="20"/>
          <w:szCs w:val="20"/>
        </w:rPr>
      </w:pPr>
      <w:r>
        <w:rPr>
          <w:spacing w:val="8"/>
          <w:sz w:val="20"/>
          <w:szCs w:val="20"/>
        </w:rPr>
        <w:t>2.4.2提供施工条件</w:t>
      </w:r>
    </w:p>
    <w:p w14:paraId="137F1FAA">
      <w:pPr>
        <w:pStyle w:val="2"/>
        <w:spacing w:before="163" w:line="219" w:lineRule="auto"/>
        <w:ind w:left="419"/>
        <w:rPr>
          <w:sz w:val="20"/>
          <w:szCs w:val="20"/>
        </w:rPr>
      </w:pPr>
      <w:r>
        <w:rPr>
          <w:spacing w:val="9"/>
          <w:sz w:val="20"/>
          <w:szCs w:val="20"/>
        </w:rPr>
        <w:t>除专用合同条款另有约定外，发包人应负责提供施工所需要的条件，包括：</w:t>
      </w:r>
    </w:p>
    <w:p w14:paraId="1964B5DF">
      <w:pPr>
        <w:pStyle w:val="2"/>
        <w:spacing w:before="174" w:line="219" w:lineRule="auto"/>
        <w:ind w:left="550"/>
        <w:rPr>
          <w:sz w:val="20"/>
          <w:szCs w:val="20"/>
        </w:rPr>
      </w:pPr>
      <w:r>
        <w:rPr>
          <w:spacing w:val="11"/>
          <w:sz w:val="20"/>
          <w:szCs w:val="20"/>
        </w:rPr>
        <w:t>(1)将施工用水、电力、通讯线路等施工所必需的条件接至施工现场内；</w:t>
      </w:r>
    </w:p>
    <w:p w14:paraId="2C9AEB93">
      <w:pPr>
        <w:pStyle w:val="2"/>
        <w:spacing w:before="141" w:line="219" w:lineRule="auto"/>
        <w:ind w:left="550"/>
        <w:rPr>
          <w:sz w:val="20"/>
          <w:szCs w:val="20"/>
        </w:rPr>
      </w:pPr>
      <w:r>
        <w:rPr>
          <w:spacing w:val="11"/>
          <w:sz w:val="20"/>
          <w:szCs w:val="20"/>
        </w:rPr>
        <w:t>(2)保证向承包人提供正常施工所需要的进入施工现场的交通条件；</w:t>
      </w:r>
    </w:p>
    <w:p w14:paraId="1CD436BB">
      <w:pPr>
        <w:pStyle w:val="2"/>
        <w:spacing w:before="174" w:line="295" w:lineRule="auto"/>
        <w:ind w:right="60" w:firstLine="550"/>
        <w:rPr>
          <w:sz w:val="20"/>
          <w:szCs w:val="20"/>
        </w:rPr>
      </w:pPr>
      <w:r>
        <w:rPr>
          <w:spacing w:val="12"/>
          <w:sz w:val="20"/>
          <w:szCs w:val="20"/>
        </w:rPr>
        <w:t>(3)协调处理施工现场周围地下管线和邻近建筑物、构筑物、古树名木的保护工作</w:t>
      </w:r>
      <w:r>
        <w:rPr>
          <w:spacing w:val="11"/>
          <w:sz w:val="20"/>
          <w:szCs w:val="20"/>
        </w:rPr>
        <w:t>，并承担</w:t>
      </w:r>
      <w:r>
        <w:rPr>
          <w:sz w:val="20"/>
          <w:szCs w:val="20"/>
        </w:rPr>
        <w:t xml:space="preserve"> </w:t>
      </w:r>
      <w:r>
        <w:rPr>
          <w:spacing w:val="-1"/>
          <w:sz w:val="20"/>
          <w:szCs w:val="20"/>
        </w:rPr>
        <w:t>相关费用；</w:t>
      </w:r>
    </w:p>
    <w:p w14:paraId="5153A8E8">
      <w:pPr>
        <w:pStyle w:val="2"/>
        <w:spacing w:before="160" w:line="219" w:lineRule="auto"/>
        <w:ind w:left="550"/>
        <w:rPr>
          <w:sz w:val="20"/>
          <w:szCs w:val="20"/>
        </w:rPr>
      </w:pPr>
      <w:r>
        <w:rPr>
          <w:spacing w:val="12"/>
          <w:sz w:val="20"/>
          <w:szCs w:val="20"/>
        </w:rPr>
        <w:t>(4)按照专用合同条款约定应提供的其他设施和条件。</w:t>
      </w:r>
    </w:p>
    <w:p w14:paraId="641CCAD0">
      <w:pPr>
        <w:pStyle w:val="2"/>
        <w:spacing w:before="152" w:line="219" w:lineRule="auto"/>
        <w:ind w:left="419"/>
        <w:rPr>
          <w:sz w:val="20"/>
          <w:szCs w:val="20"/>
        </w:rPr>
      </w:pPr>
      <w:r>
        <w:rPr>
          <w:spacing w:val="7"/>
          <w:sz w:val="20"/>
          <w:szCs w:val="20"/>
        </w:rPr>
        <w:t>2.4.3提供基础资料</w:t>
      </w:r>
    </w:p>
    <w:p w14:paraId="480C242C">
      <w:pPr>
        <w:pStyle w:val="2"/>
        <w:spacing w:before="185" w:line="361" w:lineRule="auto"/>
        <w:ind w:right="85" w:firstLine="419"/>
        <w:rPr>
          <w:sz w:val="20"/>
          <w:szCs w:val="20"/>
        </w:rPr>
      </w:pPr>
      <w:r>
        <w:rPr>
          <w:spacing w:val="12"/>
          <w:sz w:val="20"/>
          <w:szCs w:val="20"/>
        </w:rPr>
        <w:t>发包人应当在移交施工现场前向承包人提供施工现场及工程施工所</w:t>
      </w:r>
      <w:r>
        <w:rPr>
          <w:spacing w:val="11"/>
          <w:sz w:val="20"/>
          <w:szCs w:val="20"/>
        </w:rPr>
        <w:t>必需的毗邻区域内供水、</w:t>
      </w:r>
      <w:r>
        <w:rPr>
          <w:sz w:val="20"/>
          <w:szCs w:val="20"/>
        </w:rPr>
        <w:t xml:space="preserve"> </w:t>
      </w:r>
      <w:r>
        <w:rPr>
          <w:spacing w:val="12"/>
          <w:sz w:val="20"/>
          <w:szCs w:val="20"/>
        </w:rPr>
        <w:t>排水、供电、供气、供热、通信、广播电视等地下管线资料，气象和水文观测资料，地质勘察资</w:t>
      </w:r>
      <w:r>
        <w:rPr>
          <w:spacing w:val="9"/>
          <w:sz w:val="20"/>
          <w:szCs w:val="20"/>
        </w:rPr>
        <w:t xml:space="preserve"> </w:t>
      </w:r>
      <w:r>
        <w:rPr>
          <w:spacing w:val="12"/>
          <w:sz w:val="20"/>
          <w:szCs w:val="20"/>
        </w:rPr>
        <w:t>料，相邻建筑物、构筑物和地下工程等有关基础资料，并对所提供资料的真实性、准确性和完整</w:t>
      </w:r>
      <w:r>
        <w:rPr>
          <w:spacing w:val="5"/>
          <w:sz w:val="20"/>
          <w:szCs w:val="20"/>
        </w:rPr>
        <w:t xml:space="preserve"> </w:t>
      </w:r>
      <w:r>
        <w:rPr>
          <w:spacing w:val="2"/>
          <w:sz w:val="20"/>
          <w:szCs w:val="20"/>
        </w:rPr>
        <w:t>性负责。</w:t>
      </w:r>
    </w:p>
    <w:p w14:paraId="0029FC60">
      <w:pPr>
        <w:pStyle w:val="2"/>
        <w:spacing w:before="24" w:line="362" w:lineRule="auto"/>
        <w:ind w:right="88" w:firstLine="419"/>
        <w:rPr>
          <w:sz w:val="20"/>
          <w:szCs w:val="20"/>
        </w:rPr>
      </w:pPr>
      <w:r>
        <w:rPr>
          <w:spacing w:val="12"/>
          <w:sz w:val="20"/>
          <w:szCs w:val="20"/>
        </w:rPr>
        <w:t>按照法律规定确需在开工后方能提供的基础资料，发包人应尽其努力及时地在相应工程施工</w:t>
      </w:r>
      <w:r>
        <w:rPr>
          <w:spacing w:val="10"/>
          <w:sz w:val="20"/>
          <w:szCs w:val="20"/>
        </w:rPr>
        <w:t xml:space="preserve"> </w:t>
      </w:r>
      <w:r>
        <w:rPr>
          <w:spacing w:val="9"/>
          <w:sz w:val="20"/>
          <w:szCs w:val="20"/>
        </w:rPr>
        <w:t>前的合理期限内提供，合理期限应以不影响承包人的正常施工为</w:t>
      </w:r>
      <w:r>
        <w:rPr>
          <w:spacing w:val="8"/>
          <w:sz w:val="20"/>
          <w:szCs w:val="20"/>
        </w:rPr>
        <w:t>限。</w:t>
      </w:r>
    </w:p>
    <w:p w14:paraId="2BA9D7FC">
      <w:pPr>
        <w:pStyle w:val="2"/>
        <w:spacing w:before="16" w:line="219" w:lineRule="auto"/>
        <w:ind w:left="419"/>
        <w:rPr>
          <w:sz w:val="20"/>
          <w:szCs w:val="20"/>
        </w:rPr>
      </w:pPr>
      <w:r>
        <w:rPr>
          <w:spacing w:val="9"/>
          <w:sz w:val="20"/>
          <w:szCs w:val="20"/>
        </w:rPr>
        <w:t>2.4.4逾期提供的责任</w:t>
      </w:r>
    </w:p>
    <w:p w14:paraId="28A69B68">
      <w:pPr>
        <w:spacing w:line="219" w:lineRule="auto"/>
        <w:rPr>
          <w:sz w:val="20"/>
          <w:szCs w:val="20"/>
        </w:rPr>
        <w:sectPr>
          <w:footerReference r:id="rId198" w:type="default"/>
          <w:pgSz w:w="11910" w:h="16840"/>
          <w:pgMar w:top="400" w:right="1460" w:bottom="1024" w:left="1450" w:header="0" w:footer="889" w:gutter="0"/>
          <w:cols w:space="720" w:num="1"/>
        </w:sectPr>
      </w:pPr>
    </w:p>
    <w:p w14:paraId="71B52842">
      <w:pPr>
        <w:spacing w:line="270" w:lineRule="auto"/>
        <w:rPr>
          <w:rFonts w:ascii="Arial"/>
          <w:sz w:val="21"/>
        </w:rPr>
      </w:pPr>
    </w:p>
    <w:p w14:paraId="77CC40A6">
      <w:pPr>
        <w:spacing w:line="270" w:lineRule="auto"/>
        <w:rPr>
          <w:rFonts w:ascii="Arial"/>
          <w:sz w:val="21"/>
        </w:rPr>
      </w:pPr>
    </w:p>
    <w:p w14:paraId="726A3257">
      <w:pPr>
        <w:spacing w:line="271" w:lineRule="auto"/>
        <w:rPr>
          <w:rFonts w:ascii="Arial"/>
          <w:sz w:val="21"/>
        </w:rPr>
      </w:pPr>
    </w:p>
    <w:p w14:paraId="7FD0785E">
      <w:pPr>
        <w:spacing w:line="271" w:lineRule="auto"/>
        <w:rPr>
          <w:rFonts w:ascii="Arial"/>
          <w:sz w:val="21"/>
        </w:rPr>
      </w:pPr>
    </w:p>
    <w:p w14:paraId="1FD1624B">
      <w:pPr>
        <w:spacing w:line="271" w:lineRule="auto"/>
        <w:rPr>
          <w:rFonts w:ascii="Arial"/>
          <w:sz w:val="21"/>
        </w:rPr>
      </w:pPr>
    </w:p>
    <w:p w14:paraId="4BA89879">
      <w:pPr>
        <w:pStyle w:val="2"/>
        <w:spacing w:before="65" w:line="359" w:lineRule="auto"/>
        <w:ind w:right="90" w:firstLine="439"/>
        <w:rPr>
          <w:sz w:val="20"/>
          <w:szCs w:val="20"/>
        </w:rPr>
      </w:pPr>
      <w:r>
        <w:rPr>
          <w:spacing w:val="12"/>
          <w:sz w:val="20"/>
          <w:szCs w:val="20"/>
        </w:rPr>
        <w:t>因发包人原因未能按合同约定及时向承包人提供施工现场、施工条件、基础资料的，由</w:t>
      </w:r>
      <w:r>
        <w:rPr>
          <w:spacing w:val="11"/>
          <w:sz w:val="20"/>
          <w:szCs w:val="20"/>
        </w:rPr>
        <w:t>发包</w:t>
      </w:r>
      <w:r>
        <w:rPr>
          <w:sz w:val="20"/>
          <w:szCs w:val="20"/>
        </w:rPr>
        <w:t xml:space="preserve"> </w:t>
      </w:r>
      <w:r>
        <w:rPr>
          <w:spacing w:val="18"/>
          <w:sz w:val="20"/>
          <w:szCs w:val="20"/>
        </w:rPr>
        <w:t>人承担由此增加的费用和(或)延误的工期。</w:t>
      </w:r>
    </w:p>
    <w:p w14:paraId="25FC2905">
      <w:pPr>
        <w:pStyle w:val="2"/>
        <w:spacing w:before="1" w:line="220" w:lineRule="auto"/>
        <w:ind w:left="3"/>
        <w:rPr>
          <w:rFonts w:ascii="黑体" w:hAnsi="黑体" w:eastAsia="黑体" w:cs="黑体"/>
        </w:rPr>
      </w:pPr>
      <w:r>
        <w:rPr>
          <w:b/>
          <w:bCs/>
          <w:spacing w:val="-9"/>
        </w:rPr>
        <w:t>2.5</w:t>
      </w:r>
      <w:r>
        <w:rPr>
          <w:spacing w:val="-9"/>
        </w:rPr>
        <w:t xml:space="preserve"> </w:t>
      </w:r>
      <w:r>
        <w:rPr>
          <w:rFonts w:ascii="黑体" w:hAnsi="黑体" w:eastAsia="黑体" w:cs="黑体"/>
          <w:b/>
          <w:bCs/>
          <w:spacing w:val="-9"/>
        </w:rPr>
        <w:t>资金来源证明及支付担保</w:t>
      </w:r>
    </w:p>
    <w:p w14:paraId="4F004E83">
      <w:pPr>
        <w:pStyle w:val="2"/>
        <w:spacing w:before="123" w:line="379" w:lineRule="auto"/>
        <w:ind w:right="88" w:firstLine="439"/>
        <w:rPr>
          <w:sz w:val="20"/>
          <w:szCs w:val="20"/>
        </w:rPr>
      </w:pPr>
      <w:r>
        <w:rPr>
          <w:spacing w:val="12"/>
          <w:sz w:val="20"/>
          <w:szCs w:val="20"/>
        </w:rPr>
        <w:t>除专用合同条款另有约定外，发包人应在收到承包人要求提供资金来</w:t>
      </w:r>
      <w:r>
        <w:rPr>
          <w:spacing w:val="11"/>
          <w:sz w:val="20"/>
          <w:szCs w:val="20"/>
        </w:rPr>
        <w:t>源证明的书面通知后28</w:t>
      </w:r>
      <w:r>
        <w:rPr>
          <w:sz w:val="20"/>
          <w:szCs w:val="20"/>
        </w:rPr>
        <w:t xml:space="preserve"> </w:t>
      </w:r>
      <w:r>
        <w:rPr>
          <w:spacing w:val="10"/>
          <w:sz w:val="20"/>
          <w:szCs w:val="20"/>
        </w:rPr>
        <w:t>天内，向承包人提供能够按照合同约定支付合同价</w:t>
      </w:r>
      <w:r>
        <w:rPr>
          <w:spacing w:val="9"/>
          <w:sz w:val="20"/>
          <w:szCs w:val="20"/>
        </w:rPr>
        <w:t>款的相应资金来源证明。</w:t>
      </w:r>
    </w:p>
    <w:p w14:paraId="6D9D8707">
      <w:pPr>
        <w:pStyle w:val="2"/>
        <w:spacing w:before="9" w:line="353" w:lineRule="auto"/>
        <w:ind w:right="92" w:firstLine="439"/>
        <w:jc w:val="both"/>
        <w:rPr>
          <w:sz w:val="20"/>
          <w:szCs w:val="20"/>
        </w:rPr>
      </w:pPr>
      <w:r>
        <w:rPr>
          <w:spacing w:val="12"/>
          <w:sz w:val="20"/>
          <w:szCs w:val="20"/>
        </w:rPr>
        <w:t>除专用合同条款另有约定外，发包人要求承包人提供履约担保的，发包人应当向承</w:t>
      </w:r>
      <w:r>
        <w:rPr>
          <w:spacing w:val="11"/>
          <w:sz w:val="20"/>
          <w:szCs w:val="20"/>
        </w:rPr>
        <w:t>包人提供</w:t>
      </w:r>
      <w:r>
        <w:rPr>
          <w:sz w:val="20"/>
          <w:szCs w:val="20"/>
        </w:rPr>
        <w:t xml:space="preserve"> </w:t>
      </w:r>
      <w:r>
        <w:rPr>
          <w:spacing w:val="12"/>
          <w:sz w:val="20"/>
          <w:szCs w:val="20"/>
        </w:rPr>
        <w:t>支付担保。支付担保可以采用银行保函或担保公司担保等形式，具体由合同当事</w:t>
      </w:r>
      <w:r>
        <w:rPr>
          <w:spacing w:val="11"/>
          <w:sz w:val="20"/>
          <w:szCs w:val="20"/>
        </w:rPr>
        <w:t>人在专用合同条</w:t>
      </w:r>
      <w:r>
        <w:rPr>
          <w:sz w:val="20"/>
          <w:szCs w:val="20"/>
        </w:rPr>
        <w:t xml:space="preserve"> </w:t>
      </w:r>
      <w:r>
        <w:rPr>
          <w:spacing w:val="3"/>
          <w:sz w:val="20"/>
          <w:szCs w:val="20"/>
        </w:rPr>
        <w:t>款中约定。</w:t>
      </w:r>
    </w:p>
    <w:p w14:paraId="7F6F31D5">
      <w:pPr>
        <w:pStyle w:val="2"/>
        <w:spacing w:line="221" w:lineRule="auto"/>
        <w:ind w:left="3"/>
        <w:rPr>
          <w:rFonts w:ascii="黑体" w:hAnsi="黑体" w:eastAsia="黑体" w:cs="黑体"/>
        </w:rPr>
      </w:pPr>
      <w:r>
        <w:rPr>
          <w:b/>
          <w:bCs/>
          <w:spacing w:val="-10"/>
        </w:rPr>
        <w:t>2.6</w:t>
      </w:r>
      <w:r>
        <w:rPr>
          <w:spacing w:val="-10"/>
        </w:rPr>
        <w:t xml:space="preserve"> </w:t>
      </w:r>
      <w:r>
        <w:rPr>
          <w:rFonts w:ascii="黑体" w:hAnsi="黑体" w:eastAsia="黑体" w:cs="黑体"/>
          <w:b/>
          <w:bCs/>
          <w:spacing w:val="-10"/>
        </w:rPr>
        <w:t>支付合同价款</w:t>
      </w:r>
    </w:p>
    <w:p w14:paraId="17E413B7">
      <w:pPr>
        <w:pStyle w:val="2"/>
        <w:spacing w:before="131" w:line="218" w:lineRule="auto"/>
        <w:ind w:left="439"/>
        <w:rPr>
          <w:sz w:val="20"/>
          <w:szCs w:val="20"/>
        </w:rPr>
      </w:pPr>
      <w:r>
        <w:rPr>
          <w:spacing w:val="8"/>
          <w:sz w:val="20"/>
          <w:szCs w:val="20"/>
        </w:rPr>
        <w:t>发包人应按合同约定向承包人及时支付合同价款。</w:t>
      </w:r>
    </w:p>
    <w:p w14:paraId="28E3E7F3">
      <w:pPr>
        <w:pStyle w:val="2"/>
        <w:spacing w:before="132" w:line="221" w:lineRule="auto"/>
        <w:ind w:left="3"/>
        <w:rPr>
          <w:rFonts w:ascii="黑体" w:hAnsi="黑体" w:eastAsia="黑体" w:cs="黑体"/>
        </w:rPr>
      </w:pPr>
      <w:r>
        <w:rPr>
          <w:b/>
          <w:bCs/>
          <w:spacing w:val="-11"/>
        </w:rPr>
        <w:t>2.7</w:t>
      </w:r>
      <w:r>
        <w:rPr>
          <w:spacing w:val="-11"/>
        </w:rPr>
        <w:t xml:space="preserve"> </w:t>
      </w:r>
      <w:r>
        <w:rPr>
          <w:rFonts w:ascii="黑体" w:hAnsi="黑体" w:eastAsia="黑体" w:cs="黑体"/>
          <w:b/>
          <w:bCs/>
          <w:spacing w:val="-11"/>
        </w:rPr>
        <w:t>组织竣工验收</w:t>
      </w:r>
    </w:p>
    <w:p w14:paraId="4FC6D3A0">
      <w:pPr>
        <w:pStyle w:val="2"/>
        <w:spacing w:before="145" w:line="219" w:lineRule="auto"/>
        <w:ind w:left="439"/>
        <w:rPr>
          <w:sz w:val="20"/>
          <w:szCs w:val="20"/>
        </w:rPr>
      </w:pPr>
      <w:r>
        <w:rPr>
          <w:spacing w:val="8"/>
          <w:sz w:val="20"/>
          <w:szCs w:val="20"/>
        </w:rPr>
        <w:t>发包人应按合同约定及时组织竣工验收。</w:t>
      </w:r>
    </w:p>
    <w:p w14:paraId="6F7B1EEB">
      <w:pPr>
        <w:pStyle w:val="2"/>
        <w:spacing w:before="109" w:line="221" w:lineRule="auto"/>
        <w:ind w:left="3"/>
        <w:rPr>
          <w:rFonts w:ascii="黑体" w:hAnsi="黑体" w:eastAsia="黑体" w:cs="黑体"/>
        </w:rPr>
      </w:pPr>
      <w:r>
        <w:rPr>
          <w:b/>
          <w:bCs/>
          <w:spacing w:val="-10"/>
        </w:rPr>
        <w:t>2.8</w:t>
      </w:r>
      <w:r>
        <w:rPr>
          <w:spacing w:val="-10"/>
        </w:rPr>
        <w:t xml:space="preserve"> </w:t>
      </w:r>
      <w:r>
        <w:rPr>
          <w:rFonts w:ascii="黑体" w:hAnsi="黑体" w:eastAsia="黑体" w:cs="黑体"/>
          <w:b/>
          <w:bCs/>
          <w:spacing w:val="-10"/>
        </w:rPr>
        <w:t>现场统一管理协议</w:t>
      </w:r>
    </w:p>
    <w:p w14:paraId="42EAE6C0">
      <w:pPr>
        <w:pStyle w:val="2"/>
        <w:spacing w:before="145" w:line="369" w:lineRule="auto"/>
        <w:ind w:right="78" w:firstLine="439"/>
        <w:rPr>
          <w:sz w:val="20"/>
          <w:szCs w:val="20"/>
        </w:rPr>
      </w:pPr>
      <w:r>
        <w:rPr>
          <w:spacing w:val="12"/>
          <w:sz w:val="20"/>
          <w:szCs w:val="20"/>
        </w:rPr>
        <w:t>发包人应与承包人、由发包人直接发包的专业工程的承包人签订施工现场统一管理协议，明</w:t>
      </w:r>
      <w:r>
        <w:rPr>
          <w:spacing w:val="11"/>
          <w:sz w:val="20"/>
          <w:szCs w:val="20"/>
        </w:rPr>
        <w:t xml:space="preserve"> </w:t>
      </w:r>
      <w:r>
        <w:rPr>
          <w:spacing w:val="9"/>
          <w:sz w:val="20"/>
          <w:szCs w:val="20"/>
        </w:rPr>
        <w:t>确各方的权利义务。施工现场统一管理协议作为专用合同条款的附件。</w:t>
      </w:r>
    </w:p>
    <w:p w14:paraId="43106B49">
      <w:pPr>
        <w:pStyle w:val="2"/>
        <w:spacing w:line="222" w:lineRule="auto"/>
        <w:ind w:left="4"/>
        <w:rPr>
          <w:rFonts w:ascii="黑体" w:hAnsi="黑体" w:eastAsia="黑体" w:cs="黑体"/>
          <w:sz w:val="32"/>
          <w:szCs w:val="32"/>
        </w:rPr>
      </w:pPr>
      <w:r>
        <w:rPr>
          <w:b/>
          <w:bCs/>
          <w:spacing w:val="-4"/>
          <w:sz w:val="32"/>
          <w:szCs w:val="32"/>
        </w:rPr>
        <w:t>3.</w:t>
      </w:r>
      <w:r>
        <w:rPr>
          <w:rFonts w:ascii="黑体" w:hAnsi="黑体" w:eastAsia="黑体" w:cs="黑体"/>
          <w:b/>
          <w:bCs/>
          <w:spacing w:val="-4"/>
          <w:sz w:val="32"/>
          <w:szCs w:val="32"/>
        </w:rPr>
        <w:t>承包人</w:t>
      </w:r>
    </w:p>
    <w:p w14:paraId="71E01B22">
      <w:pPr>
        <w:pStyle w:val="2"/>
        <w:spacing w:before="81" w:line="221" w:lineRule="auto"/>
        <w:ind w:left="3"/>
        <w:rPr>
          <w:rFonts w:ascii="黑体" w:hAnsi="黑体" w:eastAsia="黑体" w:cs="黑体"/>
        </w:rPr>
      </w:pPr>
      <w:r>
        <w:rPr>
          <w:b/>
          <w:bCs/>
          <w:spacing w:val="-9"/>
        </w:rPr>
        <w:t>3.1</w:t>
      </w:r>
      <w:r>
        <w:rPr>
          <w:spacing w:val="-9"/>
        </w:rPr>
        <w:t xml:space="preserve"> </w:t>
      </w:r>
      <w:r>
        <w:rPr>
          <w:rFonts w:ascii="黑体" w:hAnsi="黑体" w:eastAsia="黑体" w:cs="黑体"/>
          <w:b/>
          <w:bCs/>
          <w:spacing w:val="-9"/>
        </w:rPr>
        <w:t>承包人的一般义务</w:t>
      </w:r>
    </w:p>
    <w:p w14:paraId="6A79FD80">
      <w:pPr>
        <w:pStyle w:val="2"/>
        <w:spacing w:before="125" w:line="219" w:lineRule="auto"/>
        <w:ind w:left="439"/>
        <w:rPr>
          <w:sz w:val="20"/>
          <w:szCs w:val="20"/>
        </w:rPr>
      </w:pPr>
      <w:r>
        <w:rPr>
          <w:spacing w:val="9"/>
          <w:sz w:val="20"/>
          <w:szCs w:val="20"/>
        </w:rPr>
        <w:t>承包人在履行合同过程中应遵守法律和工程建设标准规范，</w:t>
      </w:r>
      <w:r>
        <w:rPr>
          <w:spacing w:val="8"/>
          <w:sz w:val="20"/>
          <w:szCs w:val="20"/>
        </w:rPr>
        <w:t>并履行以下义务：</w:t>
      </w:r>
    </w:p>
    <w:p w14:paraId="051216A8">
      <w:pPr>
        <w:pStyle w:val="2"/>
        <w:spacing w:before="171" w:line="219" w:lineRule="auto"/>
        <w:ind w:left="550"/>
        <w:rPr>
          <w:sz w:val="20"/>
          <w:szCs w:val="20"/>
        </w:rPr>
      </w:pPr>
      <w:r>
        <w:rPr>
          <w:spacing w:val="12"/>
          <w:sz w:val="20"/>
          <w:szCs w:val="20"/>
        </w:rPr>
        <w:t>(1)办理法律规定应由承包人办理的许可</w:t>
      </w:r>
      <w:r>
        <w:rPr>
          <w:spacing w:val="11"/>
          <w:sz w:val="20"/>
          <w:szCs w:val="20"/>
        </w:rPr>
        <w:t>和批准，并将办理结果书面报送发包人留存；</w:t>
      </w:r>
    </w:p>
    <w:p w14:paraId="6BC2167C">
      <w:pPr>
        <w:pStyle w:val="2"/>
        <w:spacing w:before="174" w:line="219" w:lineRule="auto"/>
        <w:ind w:left="550"/>
        <w:rPr>
          <w:sz w:val="20"/>
          <w:szCs w:val="20"/>
        </w:rPr>
      </w:pPr>
      <w:r>
        <w:rPr>
          <w:spacing w:val="12"/>
          <w:sz w:val="20"/>
          <w:szCs w:val="20"/>
        </w:rPr>
        <w:t>(2)按法律规定和合同约定完成工程，并在保修期内承担保</w:t>
      </w:r>
      <w:r>
        <w:rPr>
          <w:spacing w:val="11"/>
          <w:sz w:val="20"/>
          <w:szCs w:val="20"/>
        </w:rPr>
        <w:t>修义务；</w:t>
      </w:r>
    </w:p>
    <w:p w14:paraId="115F7E2E">
      <w:pPr>
        <w:pStyle w:val="2"/>
        <w:spacing w:before="151" w:line="299" w:lineRule="auto"/>
        <w:ind w:firstLine="550"/>
        <w:rPr>
          <w:sz w:val="20"/>
          <w:szCs w:val="20"/>
        </w:rPr>
      </w:pPr>
      <w:r>
        <w:rPr>
          <w:spacing w:val="9"/>
          <w:sz w:val="20"/>
          <w:szCs w:val="20"/>
        </w:rPr>
        <w:t>(3)按法律规定和合同约定采取施工安全和环境保</w:t>
      </w:r>
      <w:r>
        <w:rPr>
          <w:spacing w:val="8"/>
          <w:sz w:val="20"/>
          <w:szCs w:val="20"/>
        </w:rPr>
        <w:t>护措施，办理工伤保险，确保工程及人员、</w:t>
      </w:r>
      <w:r>
        <w:rPr>
          <w:sz w:val="20"/>
          <w:szCs w:val="20"/>
        </w:rPr>
        <w:t xml:space="preserve"> </w:t>
      </w:r>
      <w:r>
        <w:rPr>
          <w:spacing w:val="5"/>
          <w:sz w:val="20"/>
          <w:szCs w:val="20"/>
        </w:rPr>
        <w:t>材料、设备和设施的安全；</w:t>
      </w:r>
    </w:p>
    <w:p w14:paraId="0A7C1301">
      <w:pPr>
        <w:pStyle w:val="2"/>
        <w:spacing w:before="185" w:line="280" w:lineRule="auto"/>
        <w:ind w:right="90" w:firstLine="550"/>
        <w:rPr>
          <w:sz w:val="20"/>
          <w:szCs w:val="20"/>
        </w:rPr>
      </w:pPr>
      <w:r>
        <w:rPr>
          <w:spacing w:val="11"/>
          <w:sz w:val="20"/>
          <w:szCs w:val="20"/>
        </w:rPr>
        <w:t>(4)按合同约定的工作内容和施工进度要求，编制施工组织设计和施工措施计划，并对所有</w:t>
      </w:r>
      <w:r>
        <w:rPr>
          <w:spacing w:val="17"/>
          <w:sz w:val="20"/>
          <w:szCs w:val="20"/>
        </w:rPr>
        <w:t xml:space="preserve"> </w:t>
      </w:r>
      <w:r>
        <w:rPr>
          <w:spacing w:val="7"/>
          <w:sz w:val="20"/>
          <w:szCs w:val="20"/>
        </w:rPr>
        <w:t>施工作业和施工方法的完备性和安全可靠性负责；</w:t>
      </w:r>
    </w:p>
    <w:p w14:paraId="1641EC93">
      <w:pPr>
        <w:pStyle w:val="2"/>
        <w:spacing w:before="163" w:line="319" w:lineRule="auto"/>
        <w:ind w:right="60" w:firstLine="550"/>
        <w:rPr>
          <w:sz w:val="20"/>
          <w:szCs w:val="20"/>
        </w:rPr>
      </w:pPr>
      <w:r>
        <w:rPr>
          <w:spacing w:val="12"/>
          <w:sz w:val="20"/>
          <w:szCs w:val="20"/>
        </w:rPr>
        <w:t>(5)在进行合同约定的各项工作时，不得侵害发包人与他人使用公用道路、水源、市政管网</w:t>
      </w:r>
      <w:r>
        <w:rPr>
          <w:spacing w:val="6"/>
          <w:sz w:val="20"/>
          <w:szCs w:val="20"/>
        </w:rPr>
        <w:t xml:space="preserve"> </w:t>
      </w:r>
      <w:r>
        <w:rPr>
          <w:spacing w:val="12"/>
          <w:sz w:val="20"/>
          <w:szCs w:val="20"/>
        </w:rPr>
        <w:t>等公共设施的权利，避免对邻近的公共设施产生干扰。承包人占用或使用他人的施工场地，影响</w:t>
      </w:r>
      <w:r>
        <w:rPr>
          <w:spacing w:val="1"/>
          <w:sz w:val="20"/>
          <w:szCs w:val="20"/>
        </w:rPr>
        <w:t xml:space="preserve"> </w:t>
      </w:r>
      <w:r>
        <w:rPr>
          <w:spacing w:val="7"/>
          <w:sz w:val="20"/>
          <w:szCs w:val="20"/>
        </w:rPr>
        <w:t>他人作业或生活的，应承担相应责任；</w:t>
      </w:r>
    </w:p>
    <w:p w14:paraId="0F144078">
      <w:pPr>
        <w:pStyle w:val="2"/>
        <w:spacing w:before="173" w:line="219" w:lineRule="auto"/>
        <w:ind w:left="550"/>
        <w:rPr>
          <w:sz w:val="20"/>
          <w:szCs w:val="20"/>
        </w:rPr>
      </w:pPr>
      <w:r>
        <w:rPr>
          <w:spacing w:val="13"/>
          <w:sz w:val="20"/>
          <w:szCs w:val="20"/>
        </w:rPr>
        <w:t>(6)按照第6.3款〔环境保护〕约定负责施</w:t>
      </w:r>
      <w:r>
        <w:rPr>
          <w:spacing w:val="12"/>
          <w:sz w:val="20"/>
          <w:szCs w:val="20"/>
        </w:rPr>
        <w:t>工场地及其周边环境与生态的保护工作；</w:t>
      </w:r>
    </w:p>
    <w:p w14:paraId="4491DB13">
      <w:pPr>
        <w:pStyle w:val="2"/>
        <w:spacing w:before="181" w:line="281" w:lineRule="auto"/>
        <w:ind w:right="90" w:firstLine="550"/>
        <w:rPr>
          <w:sz w:val="20"/>
          <w:szCs w:val="20"/>
        </w:rPr>
      </w:pPr>
      <w:r>
        <w:rPr>
          <w:spacing w:val="14"/>
          <w:sz w:val="20"/>
          <w:szCs w:val="20"/>
        </w:rPr>
        <w:t>(7)按第6.1款〔安全文明施工〕约定采取施</w:t>
      </w:r>
      <w:r>
        <w:rPr>
          <w:spacing w:val="13"/>
          <w:sz w:val="20"/>
          <w:szCs w:val="20"/>
        </w:rPr>
        <w:t>工安全措施，确保工程及其人员、材料、设备</w:t>
      </w:r>
      <w:r>
        <w:rPr>
          <w:sz w:val="20"/>
          <w:szCs w:val="20"/>
        </w:rPr>
        <w:t xml:space="preserve"> </w:t>
      </w:r>
      <w:r>
        <w:rPr>
          <w:spacing w:val="8"/>
          <w:sz w:val="20"/>
          <w:szCs w:val="20"/>
        </w:rPr>
        <w:t>和设施的安全，防止因工程施工造成的人身伤害和财产损失；</w:t>
      </w:r>
    </w:p>
    <w:p w14:paraId="48F56E56">
      <w:pPr>
        <w:pStyle w:val="2"/>
        <w:spacing w:before="180" w:line="294" w:lineRule="auto"/>
        <w:ind w:right="90" w:firstLine="550"/>
        <w:rPr>
          <w:sz w:val="20"/>
          <w:szCs w:val="20"/>
        </w:rPr>
      </w:pPr>
      <w:r>
        <w:rPr>
          <w:spacing w:val="11"/>
          <w:sz w:val="20"/>
          <w:szCs w:val="20"/>
        </w:rPr>
        <w:t>(8)将发包人按合同约定支付的各项价款专用于合同工程，且应及时支付其雇用人员工资，</w:t>
      </w:r>
      <w:r>
        <w:rPr>
          <w:spacing w:val="18"/>
          <w:sz w:val="20"/>
          <w:szCs w:val="20"/>
        </w:rPr>
        <w:t xml:space="preserve"> </w:t>
      </w:r>
      <w:r>
        <w:rPr>
          <w:spacing w:val="6"/>
          <w:sz w:val="20"/>
          <w:szCs w:val="20"/>
        </w:rPr>
        <w:t>并及时向分包人支付合同价款；</w:t>
      </w:r>
    </w:p>
    <w:p w14:paraId="667CEF53">
      <w:pPr>
        <w:pStyle w:val="2"/>
        <w:spacing w:before="155" w:line="219" w:lineRule="auto"/>
        <w:ind w:left="550"/>
        <w:rPr>
          <w:sz w:val="20"/>
          <w:szCs w:val="20"/>
        </w:rPr>
      </w:pPr>
      <w:r>
        <w:rPr>
          <w:spacing w:val="11"/>
          <w:sz w:val="20"/>
          <w:szCs w:val="20"/>
        </w:rPr>
        <w:t>(9)按照法律规定和合同约定编制竣工资料，完成竣工资料立卷及归档，并按专用合同条款</w:t>
      </w:r>
    </w:p>
    <w:p w14:paraId="618C04CB">
      <w:pPr>
        <w:spacing w:line="219" w:lineRule="auto"/>
        <w:rPr>
          <w:sz w:val="20"/>
          <w:szCs w:val="20"/>
        </w:rPr>
        <w:sectPr>
          <w:footerReference r:id="rId199" w:type="default"/>
          <w:pgSz w:w="11910" w:h="16840"/>
          <w:pgMar w:top="400" w:right="1459" w:bottom="1017" w:left="1440" w:header="0" w:footer="891" w:gutter="0"/>
          <w:cols w:space="720" w:num="1"/>
        </w:sectPr>
      </w:pPr>
    </w:p>
    <w:p w14:paraId="086BC1F0">
      <w:pPr>
        <w:spacing w:line="270" w:lineRule="auto"/>
        <w:rPr>
          <w:rFonts w:ascii="Arial"/>
          <w:sz w:val="21"/>
        </w:rPr>
      </w:pPr>
    </w:p>
    <w:p w14:paraId="2EB6E6AD">
      <w:pPr>
        <w:spacing w:line="271" w:lineRule="auto"/>
        <w:rPr>
          <w:rFonts w:ascii="Arial"/>
          <w:sz w:val="21"/>
        </w:rPr>
      </w:pPr>
    </w:p>
    <w:p w14:paraId="21DA2A1B">
      <w:pPr>
        <w:spacing w:line="271" w:lineRule="auto"/>
        <w:rPr>
          <w:rFonts w:ascii="Arial"/>
          <w:sz w:val="21"/>
        </w:rPr>
      </w:pPr>
    </w:p>
    <w:p w14:paraId="3E333D8A">
      <w:pPr>
        <w:spacing w:line="271" w:lineRule="auto"/>
        <w:rPr>
          <w:rFonts w:ascii="Arial"/>
          <w:sz w:val="21"/>
        </w:rPr>
      </w:pPr>
    </w:p>
    <w:p w14:paraId="652D5A49">
      <w:pPr>
        <w:spacing w:line="271" w:lineRule="auto"/>
        <w:rPr>
          <w:rFonts w:ascii="Arial"/>
          <w:sz w:val="21"/>
        </w:rPr>
      </w:pPr>
    </w:p>
    <w:p w14:paraId="15C94964">
      <w:pPr>
        <w:pStyle w:val="2"/>
        <w:spacing w:before="65" w:line="219" w:lineRule="auto"/>
        <w:rPr>
          <w:sz w:val="20"/>
          <w:szCs w:val="20"/>
        </w:rPr>
      </w:pPr>
      <w:r>
        <w:rPr>
          <w:spacing w:val="8"/>
          <w:sz w:val="20"/>
          <w:szCs w:val="20"/>
        </w:rPr>
        <w:t>约定的竣工资料的套数、内容、时间等要求移交发包人；</w:t>
      </w:r>
    </w:p>
    <w:p w14:paraId="273D98D3">
      <w:pPr>
        <w:pStyle w:val="2"/>
        <w:spacing w:before="182" w:line="219" w:lineRule="auto"/>
        <w:ind w:left="519"/>
        <w:rPr>
          <w:sz w:val="20"/>
          <w:szCs w:val="20"/>
        </w:rPr>
      </w:pPr>
      <w:r>
        <w:rPr>
          <w:spacing w:val="15"/>
          <w:sz w:val="20"/>
          <w:szCs w:val="20"/>
        </w:rPr>
        <w:t>(10)应履行的其他义务。</w:t>
      </w:r>
    </w:p>
    <w:p w14:paraId="0399E618">
      <w:pPr>
        <w:pStyle w:val="2"/>
        <w:spacing w:before="109" w:line="222" w:lineRule="auto"/>
        <w:ind w:left="3"/>
        <w:rPr>
          <w:rFonts w:ascii="黑体" w:hAnsi="黑体" w:eastAsia="黑体" w:cs="黑体"/>
        </w:rPr>
      </w:pPr>
      <w:r>
        <w:rPr>
          <w:b/>
          <w:bCs/>
          <w:spacing w:val="-10"/>
        </w:rPr>
        <w:t>3.2</w:t>
      </w:r>
      <w:r>
        <w:rPr>
          <w:spacing w:val="-10"/>
        </w:rPr>
        <w:t xml:space="preserve"> </w:t>
      </w:r>
      <w:r>
        <w:rPr>
          <w:rFonts w:ascii="黑体" w:hAnsi="黑体" w:eastAsia="黑体" w:cs="黑体"/>
          <w:b/>
          <w:bCs/>
          <w:spacing w:val="-10"/>
        </w:rPr>
        <w:t>项目经理</w:t>
      </w:r>
    </w:p>
    <w:p w14:paraId="15D96D39">
      <w:pPr>
        <w:pStyle w:val="2"/>
        <w:spacing w:before="132" w:line="370" w:lineRule="auto"/>
        <w:ind w:right="2" w:firstLine="419"/>
        <w:jc w:val="both"/>
        <w:rPr>
          <w:sz w:val="20"/>
          <w:szCs w:val="20"/>
        </w:rPr>
      </w:pPr>
      <w:r>
        <w:rPr>
          <w:spacing w:val="10"/>
          <w:sz w:val="20"/>
          <w:szCs w:val="20"/>
        </w:rPr>
        <w:t>3.2.1项目经理应为合同当事人所确认的人选</w:t>
      </w:r>
      <w:r>
        <w:rPr>
          <w:spacing w:val="9"/>
          <w:sz w:val="20"/>
          <w:szCs w:val="20"/>
        </w:rPr>
        <w:t>，并在专用合同条款中明确项目经理的姓名、职</w:t>
      </w:r>
      <w:r>
        <w:rPr>
          <w:sz w:val="20"/>
          <w:szCs w:val="20"/>
        </w:rPr>
        <w:t xml:space="preserve"> </w:t>
      </w:r>
      <w:r>
        <w:rPr>
          <w:spacing w:val="13"/>
          <w:sz w:val="20"/>
          <w:szCs w:val="20"/>
        </w:rPr>
        <w:t>称、注册执业证书编号、联系方式及授权范围等事项，项目经理</w:t>
      </w:r>
      <w:r>
        <w:rPr>
          <w:spacing w:val="12"/>
          <w:sz w:val="20"/>
          <w:szCs w:val="20"/>
        </w:rPr>
        <w:t>经承包人授权后代表承包人负责</w:t>
      </w:r>
      <w:r>
        <w:rPr>
          <w:sz w:val="20"/>
          <w:szCs w:val="20"/>
        </w:rPr>
        <w:t xml:space="preserve"> </w:t>
      </w:r>
      <w:r>
        <w:rPr>
          <w:spacing w:val="12"/>
          <w:sz w:val="20"/>
          <w:szCs w:val="20"/>
        </w:rPr>
        <w:t>履行合同。项目经理应是承包人正式聘用的员工，承包人应向发包人提交项目经理与承包人之间</w:t>
      </w:r>
      <w:r>
        <w:rPr>
          <w:spacing w:val="14"/>
          <w:sz w:val="20"/>
          <w:szCs w:val="20"/>
        </w:rPr>
        <w:t xml:space="preserve"> </w:t>
      </w:r>
      <w:r>
        <w:rPr>
          <w:spacing w:val="12"/>
          <w:sz w:val="20"/>
          <w:szCs w:val="20"/>
        </w:rPr>
        <w:t>的劳动合同，以及承包人为项目经理缴纳社会保险的有效证明。承包人不提交上述文件的，项目</w:t>
      </w:r>
      <w:r>
        <w:rPr>
          <w:spacing w:val="2"/>
          <w:sz w:val="20"/>
          <w:szCs w:val="20"/>
        </w:rPr>
        <w:t xml:space="preserve"> </w:t>
      </w:r>
      <w:r>
        <w:rPr>
          <w:spacing w:val="17"/>
          <w:sz w:val="20"/>
          <w:szCs w:val="20"/>
        </w:rPr>
        <w:t>经理无权履行职责，发包人有权要求更换项目经理，由此增加的费用和(或)延误</w:t>
      </w:r>
      <w:r>
        <w:rPr>
          <w:spacing w:val="16"/>
          <w:sz w:val="20"/>
          <w:szCs w:val="20"/>
        </w:rPr>
        <w:t>的工期由承包</w:t>
      </w:r>
      <w:r>
        <w:rPr>
          <w:sz w:val="20"/>
          <w:szCs w:val="20"/>
        </w:rPr>
        <w:t xml:space="preserve"> </w:t>
      </w:r>
      <w:r>
        <w:rPr>
          <w:spacing w:val="-1"/>
          <w:sz w:val="20"/>
          <w:szCs w:val="20"/>
        </w:rPr>
        <w:t>人承担。</w:t>
      </w:r>
    </w:p>
    <w:p w14:paraId="7D8173CA">
      <w:pPr>
        <w:pStyle w:val="2"/>
        <w:spacing w:before="15" w:line="361" w:lineRule="auto"/>
        <w:ind w:right="25" w:firstLine="419"/>
        <w:jc w:val="both"/>
        <w:rPr>
          <w:sz w:val="20"/>
          <w:szCs w:val="20"/>
        </w:rPr>
      </w:pPr>
      <w:r>
        <w:rPr>
          <w:spacing w:val="12"/>
          <w:sz w:val="20"/>
          <w:szCs w:val="20"/>
        </w:rPr>
        <w:t>项目经理应常驻施工现场，且每月在施工现场时间不得少于专用合同条款约定的天数。项目</w:t>
      </w:r>
      <w:r>
        <w:rPr>
          <w:spacing w:val="7"/>
          <w:sz w:val="20"/>
          <w:szCs w:val="20"/>
        </w:rPr>
        <w:t xml:space="preserve"> </w:t>
      </w:r>
      <w:r>
        <w:rPr>
          <w:spacing w:val="12"/>
          <w:sz w:val="20"/>
          <w:szCs w:val="20"/>
        </w:rPr>
        <w:t>经理不得同时担任其他项目的项目经理。项目经理确需离开施工现场时，应事先通知监理人，并</w:t>
      </w:r>
      <w:r>
        <w:rPr>
          <w:spacing w:val="3"/>
          <w:sz w:val="20"/>
          <w:szCs w:val="20"/>
        </w:rPr>
        <w:t xml:space="preserve"> </w:t>
      </w:r>
      <w:r>
        <w:rPr>
          <w:spacing w:val="12"/>
          <w:sz w:val="20"/>
          <w:szCs w:val="20"/>
        </w:rPr>
        <w:t>取得发包人的书面同意。项目经理的通知中应当载明临时代行其职责的人员的注册执业资格、管</w:t>
      </w:r>
      <w:r>
        <w:rPr>
          <w:spacing w:val="6"/>
          <w:sz w:val="20"/>
          <w:szCs w:val="20"/>
        </w:rPr>
        <w:t xml:space="preserve"> </w:t>
      </w:r>
      <w:r>
        <w:rPr>
          <w:spacing w:val="8"/>
          <w:sz w:val="20"/>
          <w:szCs w:val="20"/>
        </w:rPr>
        <w:t>理经验等资料，该人员应具备履行相应职责的能力。</w:t>
      </w:r>
    </w:p>
    <w:p w14:paraId="027C3394">
      <w:pPr>
        <w:pStyle w:val="2"/>
        <w:spacing w:before="36" w:line="219" w:lineRule="auto"/>
        <w:ind w:left="419"/>
        <w:rPr>
          <w:sz w:val="20"/>
          <w:szCs w:val="20"/>
        </w:rPr>
      </w:pPr>
      <w:r>
        <w:rPr>
          <w:spacing w:val="10"/>
          <w:sz w:val="20"/>
          <w:szCs w:val="20"/>
        </w:rPr>
        <w:t>承包人违反上述约定的，应按照专用合同条款的约定，承担违约责任。</w:t>
      </w:r>
    </w:p>
    <w:p w14:paraId="4BAADE34">
      <w:pPr>
        <w:pStyle w:val="2"/>
        <w:spacing w:before="164" w:line="318" w:lineRule="auto"/>
        <w:ind w:right="9" w:firstLine="419"/>
        <w:rPr>
          <w:sz w:val="20"/>
          <w:szCs w:val="20"/>
        </w:rPr>
      </w:pPr>
      <w:r>
        <w:rPr>
          <w:spacing w:val="7"/>
          <w:sz w:val="20"/>
          <w:szCs w:val="20"/>
        </w:rPr>
        <w:t>3.2.2 项目经理按合同约定组织工程实施。在紧急情况下为确保施工安全和人员安全，</w:t>
      </w:r>
      <w:r>
        <w:rPr>
          <w:spacing w:val="6"/>
          <w:sz w:val="20"/>
          <w:szCs w:val="20"/>
        </w:rPr>
        <w:t>在无法</w:t>
      </w:r>
      <w:r>
        <w:rPr>
          <w:sz w:val="20"/>
          <w:szCs w:val="20"/>
        </w:rPr>
        <w:t xml:space="preserve"> </w:t>
      </w:r>
      <w:r>
        <w:rPr>
          <w:spacing w:val="12"/>
          <w:sz w:val="20"/>
          <w:szCs w:val="20"/>
        </w:rPr>
        <w:t>与发包人代表和总监理工程师及时取得联系时，项目经理有权采取必要的措施保证与工程有关的</w:t>
      </w:r>
      <w:r>
        <w:rPr>
          <w:spacing w:val="10"/>
          <w:sz w:val="20"/>
          <w:szCs w:val="20"/>
        </w:rPr>
        <w:t xml:space="preserve"> </w:t>
      </w:r>
      <w:r>
        <w:rPr>
          <w:spacing w:val="12"/>
          <w:sz w:val="20"/>
          <w:szCs w:val="20"/>
        </w:rPr>
        <w:t>人身、财产和工程的安全，但应在48小时内向发包人代表和总监理工程师提交书面报告。</w:t>
      </w:r>
    </w:p>
    <w:p w14:paraId="7FCEB9ED">
      <w:pPr>
        <w:pStyle w:val="2"/>
        <w:spacing w:before="174" w:line="332" w:lineRule="auto"/>
        <w:ind w:right="2" w:firstLine="419"/>
        <w:rPr>
          <w:sz w:val="20"/>
          <w:szCs w:val="20"/>
        </w:rPr>
      </w:pPr>
      <w:r>
        <w:rPr>
          <w:rFonts w:ascii="Times New Roman" w:hAnsi="Times New Roman" w:eastAsia="Times New Roman" w:cs="Times New Roman"/>
          <w:spacing w:val="13"/>
          <w:sz w:val="20"/>
          <w:szCs w:val="20"/>
        </w:rPr>
        <w:t>3.2.3</w:t>
      </w:r>
      <w:r>
        <w:rPr>
          <w:rFonts w:ascii="Times New Roman" w:hAnsi="Times New Roman" w:eastAsia="Times New Roman" w:cs="Times New Roman"/>
          <w:spacing w:val="26"/>
          <w:w w:val="101"/>
          <w:sz w:val="20"/>
          <w:szCs w:val="20"/>
        </w:rPr>
        <w:t xml:space="preserve">  </w:t>
      </w:r>
      <w:r>
        <w:rPr>
          <w:spacing w:val="13"/>
          <w:sz w:val="20"/>
          <w:szCs w:val="20"/>
        </w:rPr>
        <w:t>承包人需要更换项目经理的，应提前14天书面通知发包人和监理人，并征得发包人书</w:t>
      </w:r>
      <w:r>
        <w:rPr>
          <w:sz w:val="20"/>
          <w:szCs w:val="20"/>
        </w:rPr>
        <w:t xml:space="preserve"> </w:t>
      </w:r>
      <w:r>
        <w:rPr>
          <w:spacing w:val="12"/>
          <w:sz w:val="20"/>
          <w:szCs w:val="20"/>
        </w:rPr>
        <w:t>面同意。通知中应当载明继任项目经理的注册执业资格、管理经验等资料，继任项目经理继续履</w:t>
      </w:r>
      <w:r>
        <w:rPr>
          <w:spacing w:val="3"/>
          <w:sz w:val="20"/>
          <w:szCs w:val="20"/>
        </w:rPr>
        <w:t xml:space="preserve"> </w:t>
      </w:r>
      <w:r>
        <w:rPr>
          <w:spacing w:val="9"/>
          <w:sz w:val="20"/>
          <w:szCs w:val="20"/>
        </w:rPr>
        <w:t>行第3.2.1项约定的职责。未经发包人书面同意，承包人不得擅自更换项目经理。承包人擅自更换</w:t>
      </w:r>
      <w:r>
        <w:rPr>
          <w:spacing w:val="2"/>
          <w:sz w:val="20"/>
          <w:szCs w:val="20"/>
        </w:rPr>
        <w:t xml:space="preserve"> </w:t>
      </w:r>
      <w:r>
        <w:rPr>
          <w:spacing w:val="8"/>
          <w:sz w:val="20"/>
          <w:szCs w:val="20"/>
        </w:rPr>
        <w:t>项目经理的，应按照专用合同条款的约定承担违约责任。</w:t>
      </w:r>
    </w:p>
    <w:p w14:paraId="606AE798">
      <w:pPr>
        <w:pStyle w:val="2"/>
        <w:spacing w:before="144" w:line="339" w:lineRule="auto"/>
        <w:ind w:right="20" w:firstLine="419"/>
        <w:rPr>
          <w:sz w:val="20"/>
          <w:szCs w:val="20"/>
        </w:rPr>
      </w:pPr>
      <w:r>
        <w:rPr>
          <w:spacing w:val="7"/>
          <w:sz w:val="20"/>
          <w:szCs w:val="20"/>
        </w:rPr>
        <w:t>3.2.4 发包人有权书面通知承包人更换其认为不称职的项目经</w:t>
      </w:r>
      <w:r>
        <w:rPr>
          <w:spacing w:val="6"/>
          <w:sz w:val="20"/>
          <w:szCs w:val="20"/>
        </w:rPr>
        <w:t>理，通知中应当载明要求更换的</w:t>
      </w:r>
      <w:r>
        <w:rPr>
          <w:sz w:val="20"/>
          <w:szCs w:val="20"/>
        </w:rPr>
        <w:t xml:space="preserve"> </w:t>
      </w:r>
      <w:r>
        <w:rPr>
          <w:spacing w:val="12"/>
          <w:sz w:val="20"/>
          <w:szCs w:val="20"/>
        </w:rPr>
        <w:t>理由。承包人应在接到更换通知后14天内向发包人提出书面的改进报告。发包人收到改进</w:t>
      </w:r>
      <w:r>
        <w:rPr>
          <w:spacing w:val="11"/>
          <w:sz w:val="20"/>
          <w:szCs w:val="20"/>
        </w:rPr>
        <w:t>报告后</w:t>
      </w:r>
      <w:r>
        <w:rPr>
          <w:sz w:val="20"/>
          <w:szCs w:val="20"/>
        </w:rPr>
        <w:t xml:space="preserve"> </w:t>
      </w:r>
      <w:r>
        <w:rPr>
          <w:spacing w:val="12"/>
          <w:sz w:val="20"/>
          <w:szCs w:val="20"/>
        </w:rPr>
        <w:t>仍要求更换的，承包人应在接到第二次更换通知的28天内进行更换，并将新任命</w:t>
      </w:r>
      <w:r>
        <w:rPr>
          <w:spacing w:val="11"/>
          <w:sz w:val="20"/>
          <w:szCs w:val="20"/>
        </w:rPr>
        <w:t>的项目经理的注</w:t>
      </w:r>
      <w:r>
        <w:rPr>
          <w:sz w:val="20"/>
          <w:szCs w:val="20"/>
        </w:rPr>
        <w:t xml:space="preserve"> </w:t>
      </w:r>
      <w:r>
        <w:rPr>
          <w:spacing w:val="9"/>
          <w:sz w:val="20"/>
          <w:szCs w:val="20"/>
        </w:rPr>
        <w:t>册执业资格、管理经验等资料书面通知发包人。继任项目经理继续履行第3.2.1项约定的职责。承</w:t>
      </w:r>
      <w:r>
        <w:rPr>
          <w:spacing w:val="3"/>
          <w:sz w:val="20"/>
          <w:szCs w:val="20"/>
        </w:rPr>
        <w:t xml:space="preserve"> </w:t>
      </w:r>
      <w:r>
        <w:rPr>
          <w:spacing w:val="10"/>
          <w:sz w:val="20"/>
          <w:szCs w:val="20"/>
        </w:rPr>
        <w:t>包人无正当理由拒绝更换项目经理的，应按照专用合同</w:t>
      </w:r>
      <w:r>
        <w:rPr>
          <w:spacing w:val="9"/>
          <w:sz w:val="20"/>
          <w:szCs w:val="20"/>
        </w:rPr>
        <w:t>条款的约定承担违约责任。</w:t>
      </w:r>
    </w:p>
    <w:p w14:paraId="3EBF1551">
      <w:pPr>
        <w:pStyle w:val="2"/>
        <w:spacing w:before="191" w:line="315" w:lineRule="auto"/>
        <w:ind w:firstLine="419"/>
        <w:rPr>
          <w:sz w:val="20"/>
          <w:szCs w:val="20"/>
        </w:rPr>
      </w:pPr>
      <w:r>
        <w:rPr>
          <w:spacing w:val="7"/>
          <w:sz w:val="20"/>
          <w:szCs w:val="20"/>
        </w:rPr>
        <w:t xml:space="preserve">3.2.5 项目经理因特殊情况授权其下属人员履行其某项工作职责的，该下属人员应具备履行相 </w:t>
      </w:r>
      <w:r>
        <w:rPr>
          <w:spacing w:val="15"/>
          <w:sz w:val="20"/>
          <w:szCs w:val="20"/>
        </w:rPr>
        <w:t>应职责的能力，并应提前7天将上述人员的</w:t>
      </w:r>
      <w:r>
        <w:rPr>
          <w:spacing w:val="14"/>
          <w:sz w:val="20"/>
          <w:szCs w:val="20"/>
        </w:rPr>
        <w:t>姓名和授权范围书面通知监理人，并征得发包人书面</w:t>
      </w:r>
      <w:r>
        <w:rPr>
          <w:sz w:val="20"/>
          <w:szCs w:val="20"/>
        </w:rPr>
        <w:t xml:space="preserve"> </w:t>
      </w:r>
      <w:r>
        <w:rPr>
          <w:spacing w:val="-3"/>
          <w:sz w:val="20"/>
          <w:szCs w:val="20"/>
        </w:rPr>
        <w:t>同意。</w:t>
      </w:r>
    </w:p>
    <w:p w14:paraId="11E13767">
      <w:pPr>
        <w:pStyle w:val="2"/>
        <w:spacing w:before="114" w:line="221" w:lineRule="auto"/>
        <w:ind w:left="3"/>
        <w:rPr>
          <w:rFonts w:ascii="黑体" w:hAnsi="黑体" w:eastAsia="黑体" w:cs="黑体"/>
        </w:rPr>
      </w:pPr>
      <w:r>
        <w:rPr>
          <w:b/>
          <w:bCs/>
          <w:spacing w:val="-9"/>
        </w:rPr>
        <w:t>3.3</w:t>
      </w:r>
      <w:r>
        <w:rPr>
          <w:spacing w:val="-9"/>
        </w:rPr>
        <w:t xml:space="preserve"> </w:t>
      </w:r>
      <w:r>
        <w:rPr>
          <w:rFonts w:ascii="黑体" w:hAnsi="黑体" w:eastAsia="黑体" w:cs="黑体"/>
          <w:b/>
          <w:bCs/>
          <w:spacing w:val="-9"/>
        </w:rPr>
        <w:t>承包人人员</w:t>
      </w:r>
    </w:p>
    <w:p w14:paraId="28519810">
      <w:pPr>
        <w:pStyle w:val="2"/>
        <w:spacing w:before="155" w:line="361" w:lineRule="auto"/>
        <w:ind w:right="7" w:firstLine="419"/>
        <w:rPr>
          <w:sz w:val="20"/>
          <w:szCs w:val="20"/>
        </w:rPr>
      </w:pPr>
      <w:r>
        <w:rPr>
          <w:spacing w:val="9"/>
          <w:sz w:val="20"/>
          <w:szCs w:val="20"/>
        </w:rPr>
        <w:t>3.3.1 除专用合同条款另有约定外，承包人应在接到开工通知后7天内，向监理人提交承包人</w:t>
      </w:r>
      <w:r>
        <w:rPr>
          <w:spacing w:val="11"/>
          <w:sz w:val="20"/>
          <w:szCs w:val="20"/>
        </w:rPr>
        <w:t xml:space="preserve"> 项目管理机构及施工现场人员安排的报告，其内容应包括合同管理、施工、技术、材料、质量、</w:t>
      </w:r>
      <w:r>
        <w:rPr>
          <w:spacing w:val="16"/>
          <w:sz w:val="20"/>
          <w:szCs w:val="20"/>
        </w:rPr>
        <w:t xml:space="preserve"> </w:t>
      </w:r>
      <w:r>
        <w:rPr>
          <w:spacing w:val="12"/>
          <w:sz w:val="20"/>
          <w:szCs w:val="20"/>
        </w:rPr>
        <w:t>安全、财务等主要施工管理人员名单及其岗位、注册执业资格等，以及各工种技术工人的安排情</w:t>
      </w:r>
    </w:p>
    <w:p w14:paraId="4FB23CED">
      <w:pPr>
        <w:spacing w:line="361" w:lineRule="auto"/>
        <w:rPr>
          <w:sz w:val="20"/>
          <w:szCs w:val="20"/>
        </w:rPr>
        <w:sectPr>
          <w:footerReference r:id="rId200" w:type="default"/>
          <w:pgSz w:w="11910" w:h="16840"/>
          <w:pgMar w:top="400" w:right="1513" w:bottom="1024" w:left="1460" w:header="0" w:footer="889" w:gutter="0"/>
          <w:cols w:space="720" w:num="1"/>
        </w:sectPr>
      </w:pPr>
    </w:p>
    <w:p w14:paraId="1B760A4C">
      <w:pPr>
        <w:spacing w:line="270" w:lineRule="auto"/>
        <w:rPr>
          <w:rFonts w:ascii="Arial"/>
          <w:sz w:val="21"/>
        </w:rPr>
      </w:pPr>
    </w:p>
    <w:p w14:paraId="3770C70B">
      <w:pPr>
        <w:spacing w:line="270" w:lineRule="auto"/>
        <w:rPr>
          <w:rFonts w:ascii="Arial"/>
          <w:sz w:val="21"/>
        </w:rPr>
      </w:pPr>
    </w:p>
    <w:p w14:paraId="414363B4">
      <w:pPr>
        <w:spacing w:line="270" w:lineRule="auto"/>
        <w:rPr>
          <w:rFonts w:ascii="Arial"/>
          <w:sz w:val="21"/>
        </w:rPr>
      </w:pPr>
    </w:p>
    <w:p w14:paraId="1DF3A7DA">
      <w:pPr>
        <w:spacing w:line="270" w:lineRule="auto"/>
        <w:rPr>
          <w:rFonts w:ascii="Arial"/>
          <w:sz w:val="21"/>
        </w:rPr>
      </w:pPr>
    </w:p>
    <w:p w14:paraId="0E181E00">
      <w:pPr>
        <w:spacing w:line="270" w:lineRule="auto"/>
        <w:rPr>
          <w:rFonts w:ascii="Arial"/>
          <w:sz w:val="21"/>
        </w:rPr>
      </w:pPr>
    </w:p>
    <w:p w14:paraId="0F4372A5">
      <w:pPr>
        <w:pStyle w:val="2"/>
        <w:spacing w:before="69" w:line="219" w:lineRule="auto"/>
        <w:rPr>
          <w:sz w:val="21"/>
          <w:szCs w:val="21"/>
        </w:rPr>
      </w:pPr>
      <w:r>
        <w:rPr>
          <w:sz w:val="21"/>
          <w:szCs w:val="21"/>
        </w:rPr>
        <w:t>况，并同时提交主要施工管理人员与承包人之间的劳动关系证明和缴纳社会保险</w:t>
      </w:r>
      <w:r>
        <w:rPr>
          <w:spacing w:val="-1"/>
          <w:sz w:val="21"/>
          <w:szCs w:val="21"/>
        </w:rPr>
        <w:t>的有效证明。</w:t>
      </w:r>
    </w:p>
    <w:p w14:paraId="3550CAC2">
      <w:pPr>
        <w:pStyle w:val="2"/>
        <w:spacing w:before="161" w:line="344" w:lineRule="auto"/>
        <w:ind w:firstLine="419"/>
        <w:jc w:val="both"/>
        <w:rPr>
          <w:sz w:val="21"/>
          <w:szCs w:val="21"/>
        </w:rPr>
      </w:pPr>
      <w:r>
        <w:rPr>
          <w:spacing w:val="-2"/>
          <w:sz w:val="21"/>
          <w:szCs w:val="21"/>
        </w:rPr>
        <w:t>3.3.2 承包人派驻到施工现场的主要施工管理人员应相对稳定。施工过程中如有变动，承</w:t>
      </w:r>
      <w:r>
        <w:rPr>
          <w:spacing w:val="-3"/>
          <w:sz w:val="21"/>
          <w:szCs w:val="21"/>
        </w:rPr>
        <w:t>包人</w:t>
      </w:r>
      <w:r>
        <w:rPr>
          <w:sz w:val="21"/>
          <w:szCs w:val="21"/>
        </w:rPr>
        <w:t xml:space="preserve"> </w:t>
      </w:r>
      <w:r>
        <w:rPr>
          <w:spacing w:val="5"/>
          <w:sz w:val="21"/>
          <w:szCs w:val="21"/>
        </w:rPr>
        <w:t>应及时向监理人提交施工现场人员变动情况的报告。承包人更换</w:t>
      </w:r>
      <w:r>
        <w:rPr>
          <w:spacing w:val="4"/>
          <w:sz w:val="21"/>
          <w:szCs w:val="21"/>
        </w:rPr>
        <w:t>主要施工管理人员时，应提前7</w:t>
      </w:r>
      <w:r>
        <w:rPr>
          <w:sz w:val="21"/>
          <w:szCs w:val="21"/>
        </w:rPr>
        <w:t xml:space="preserve"> </w:t>
      </w:r>
      <w:r>
        <w:rPr>
          <w:spacing w:val="2"/>
          <w:sz w:val="21"/>
          <w:szCs w:val="21"/>
        </w:rPr>
        <w:t>天书面通知监理人，并征得发包人书面同意。通知中应当载明继任人员的注册执业资格、管理经</w:t>
      </w:r>
      <w:r>
        <w:rPr>
          <w:spacing w:val="4"/>
          <w:sz w:val="21"/>
          <w:szCs w:val="21"/>
        </w:rPr>
        <w:t xml:space="preserve"> </w:t>
      </w:r>
      <w:r>
        <w:rPr>
          <w:spacing w:val="-7"/>
          <w:sz w:val="21"/>
          <w:szCs w:val="21"/>
        </w:rPr>
        <w:t>验等资料。</w:t>
      </w:r>
    </w:p>
    <w:p w14:paraId="3EA03DB5">
      <w:pPr>
        <w:pStyle w:val="2"/>
        <w:spacing w:before="35" w:line="219" w:lineRule="auto"/>
        <w:ind w:left="419"/>
        <w:rPr>
          <w:sz w:val="21"/>
          <w:szCs w:val="21"/>
        </w:rPr>
      </w:pPr>
      <w:r>
        <w:rPr>
          <w:spacing w:val="-1"/>
          <w:sz w:val="21"/>
          <w:szCs w:val="21"/>
        </w:rPr>
        <w:t>特殊工种作业人员均应持有相应的资格证明，监理人可以随时检查。</w:t>
      </w:r>
    </w:p>
    <w:p w14:paraId="732919B6">
      <w:pPr>
        <w:pStyle w:val="2"/>
        <w:spacing w:before="118" w:line="319" w:lineRule="auto"/>
        <w:ind w:right="12" w:firstLine="419"/>
        <w:rPr>
          <w:sz w:val="21"/>
          <w:szCs w:val="21"/>
        </w:rPr>
      </w:pPr>
      <w:r>
        <w:rPr>
          <w:spacing w:val="-2"/>
          <w:sz w:val="21"/>
          <w:szCs w:val="21"/>
        </w:rPr>
        <w:t>3.3.3 发包人对于承包人主要施工管理人员的资格或能力有</w:t>
      </w:r>
      <w:r>
        <w:rPr>
          <w:spacing w:val="-3"/>
          <w:sz w:val="21"/>
          <w:szCs w:val="21"/>
        </w:rPr>
        <w:t>异议的，承包人应提供资料证明被</w:t>
      </w:r>
      <w:r>
        <w:rPr>
          <w:sz w:val="21"/>
          <w:szCs w:val="21"/>
        </w:rPr>
        <w:t xml:space="preserve"> </w:t>
      </w:r>
      <w:r>
        <w:rPr>
          <w:spacing w:val="2"/>
          <w:sz w:val="21"/>
          <w:szCs w:val="21"/>
        </w:rPr>
        <w:t>质疑人员有能力完成其岗位工作或不存在发包人所质疑的情形。发包人要求撤换不能按照合同约</w:t>
      </w:r>
      <w:r>
        <w:rPr>
          <w:spacing w:val="14"/>
          <w:sz w:val="21"/>
          <w:szCs w:val="21"/>
        </w:rPr>
        <w:t xml:space="preserve"> </w:t>
      </w:r>
      <w:r>
        <w:rPr>
          <w:spacing w:val="3"/>
          <w:sz w:val="21"/>
          <w:szCs w:val="21"/>
        </w:rPr>
        <w:t>定履行职责及义务的主要施工管理人员的，承包人应</w:t>
      </w:r>
      <w:r>
        <w:rPr>
          <w:spacing w:val="2"/>
          <w:sz w:val="21"/>
          <w:szCs w:val="21"/>
        </w:rPr>
        <w:t>当撤换。承包人无正当理由拒绝撤换的，应</w:t>
      </w:r>
      <w:r>
        <w:rPr>
          <w:sz w:val="21"/>
          <w:szCs w:val="21"/>
        </w:rPr>
        <w:t xml:space="preserve"> </w:t>
      </w:r>
      <w:r>
        <w:rPr>
          <w:spacing w:val="-1"/>
          <w:sz w:val="21"/>
          <w:szCs w:val="21"/>
        </w:rPr>
        <w:t>按照专用合同条款的约定承担违约责任。</w:t>
      </w:r>
    </w:p>
    <w:p w14:paraId="661751C4">
      <w:pPr>
        <w:pStyle w:val="2"/>
        <w:spacing w:before="178" w:line="319" w:lineRule="auto"/>
        <w:ind w:right="12" w:firstLine="419"/>
        <w:rPr>
          <w:sz w:val="21"/>
          <w:szCs w:val="21"/>
        </w:rPr>
      </w:pPr>
      <w:r>
        <w:rPr>
          <w:spacing w:val="-2"/>
          <w:sz w:val="21"/>
          <w:szCs w:val="21"/>
        </w:rPr>
        <w:t>3.3.4 除专用合同条款另有约定外，承</w:t>
      </w:r>
      <w:r>
        <w:rPr>
          <w:spacing w:val="-3"/>
          <w:sz w:val="21"/>
          <w:szCs w:val="21"/>
        </w:rPr>
        <w:t>包人的主要施工管理人员离开施工现场每月累计不超过</w:t>
      </w:r>
      <w:r>
        <w:rPr>
          <w:sz w:val="21"/>
          <w:szCs w:val="21"/>
        </w:rPr>
        <w:t xml:space="preserve"> </w:t>
      </w:r>
      <w:r>
        <w:rPr>
          <w:spacing w:val="3"/>
          <w:sz w:val="21"/>
          <w:szCs w:val="21"/>
        </w:rPr>
        <w:t>5天的，应报监理人同意；离开施工现场每月累计</w:t>
      </w:r>
      <w:r>
        <w:rPr>
          <w:spacing w:val="2"/>
          <w:sz w:val="21"/>
          <w:szCs w:val="21"/>
        </w:rPr>
        <w:t>超过5天的，应通知监理人，并征得发包人书面</w:t>
      </w:r>
      <w:r>
        <w:rPr>
          <w:sz w:val="21"/>
          <w:szCs w:val="21"/>
        </w:rPr>
        <w:t xml:space="preserve"> </w:t>
      </w:r>
      <w:r>
        <w:rPr>
          <w:spacing w:val="2"/>
          <w:sz w:val="21"/>
          <w:szCs w:val="21"/>
        </w:rPr>
        <w:t>同意。主要施工管理人员离开施工现场前应指定一名有经验的人</w:t>
      </w:r>
      <w:r>
        <w:rPr>
          <w:spacing w:val="1"/>
          <w:sz w:val="21"/>
          <w:szCs w:val="21"/>
        </w:rPr>
        <w:t>员临时代行其职责，该人员应具</w:t>
      </w:r>
      <w:r>
        <w:rPr>
          <w:sz w:val="21"/>
          <w:szCs w:val="21"/>
        </w:rPr>
        <w:t xml:space="preserve"> </w:t>
      </w:r>
      <w:r>
        <w:rPr>
          <w:spacing w:val="-2"/>
          <w:sz w:val="21"/>
          <w:szCs w:val="21"/>
        </w:rPr>
        <w:t>备履行相应职责的资格和能力，且应征得监理人或发包人的同意。</w:t>
      </w:r>
    </w:p>
    <w:p w14:paraId="21AAF272">
      <w:pPr>
        <w:pStyle w:val="2"/>
        <w:spacing w:before="130" w:line="290" w:lineRule="auto"/>
        <w:ind w:right="20" w:firstLine="419"/>
        <w:rPr>
          <w:sz w:val="21"/>
          <w:szCs w:val="21"/>
        </w:rPr>
      </w:pPr>
      <w:r>
        <w:rPr>
          <w:spacing w:val="-2"/>
          <w:sz w:val="21"/>
          <w:szCs w:val="21"/>
        </w:rPr>
        <w:t>3.3.5 承包人擅自更换主要施工管理人员，</w:t>
      </w:r>
      <w:r>
        <w:rPr>
          <w:spacing w:val="-3"/>
          <w:sz w:val="21"/>
          <w:szCs w:val="21"/>
        </w:rPr>
        <w:t>或前述人员未经监理人或发包人同意擅自离开施工</w:t>
      </w:r>
      <w:r>
        <w:rPr>
          <w:sz w:val="21"/>
          <w:szCs w:val="21"/>
        </w:rPr>
        <w:t xml:space="preserve"> </w:t>
      </w:r>
      <w:r>
        <w:rPr>
          <w:spacing w:val="-2"/>
          <w:sz w:val="21"/>
          <w:szCs w:val="21"/>
        </w:rPr>
        <w:t>现场的，应按照专用合同条款约定承担违约责任。</w:t>
      </w:r>
    </w:p>
    <w:p w14:paraId="4671936C">
      <w:pPr>
        <w:pStyle w:val="2"/>
        <w:spacing w:before="119" w:line="219" w:lineRule="auto"/>
        <w:ind w:left="2"/>
      </w:pPr>
      <w:r>
        <w:rPr>
          <w:b/>
          <w:bCs/>
          <w:spacing w:val="-9"/>
        </w:rPr>
        <w:t>3.4</w:t>
      </w:r>
      <w:r>
        <w:rPr>
          <w:spacing w:val="-9"/>
        </w:rPr>
        <w:t xml:space="preserve"> </w:t>
      </w:r>
      <w:r>
        <w:rPr>
          <w:b/>
          <w:bCs/>
          <w:spacing w:val="-9"/>
        </w:rPr>
        <w:t>承包人现场查勘</w:t>
      </w:r>
    </w:p>
    <w:p w14:paraId="2E389E09">
      <w:pPr>
        <w:pStyle w:val="2"/>
        <w:spacing w:before="133" w:line="346" w:lineRule="auto"/>
        <w:ind w:right="25" w:firstLine="419"/>
        <w:rPr>
          <w:sz w:val="21"/>
          <w:szCs w:val="21"/>
        </w:rPr>
      </w:pPr>
      <w:r>
        <w:rPr>
          <w:sz w:val="21"/>
          <w:szCs w:val="21"/>
        </w:rPr>
        <w:t>承包人应对基于发包人按照第2.4.3项〔提供基础资料〕提交的基础资</w:t>
      </w:r>
      <w:r>
        <w:rPr>
          <w:spacing w:val="-1"/>
          <w:sz w:val="21"/>
          <w:szCs w:val="21"/>
        </w:rPr>
        <w:t>料所做出的解释和推断</w:t>
      </w:r>
      <w:r>
        <w:rPr>
          <w:sz w:val="21"/>
          <w:szCs w:val="21"/>
        </w:rPr>
        <w:t xml:space="preserve"> </w:t>
      </w:r>
      <w:r>
        <w:rPr>
          <w:spacing w:val="-1"/>
          <w:sz w:val="21"/>
          <w:szCs w:val="21"/>
        </w:rPr>
        <w:t>负责，但因基础资料存在错误、遗漏导致承包人解释或推断失实的，由发包人承担责任。</w:t>
      </w:r>
    </w:p>
    <w:p w14:paraId="73556713">
      <w:pPr>
        <w:pStyle w:val="2"/>
        <w:spacing w:before="24" w:line="340" w:lineRule="auto"/>
        <w:ind w:right="30" w:firstLine="419"/>
        <w:rPr>
          <w:sz w:val="21"/>
          <w:szCs w:val="21"/>
        </w:rPr>
      </w:pPr>
      <w:r>
        <w:rPr>
          <w:spacing w:val="2"/>
          <w:sz w:val="21"/>
          <w:szCs w:val="21"/>
        </w:rPr>
        <w:t>承包人应对施工现场和施工条件进行查勘，并充分了解工程所在地的气象条件</w:t>
      </w:r>
      <w:r>
        <w:rPr>
          <w:spacing w:val="1"/>
          <w:sz w:val="21"/>
          <w:szCs w:val="21"/>
        </w:rPr>
        <w:t>、交通条件、</w:t>
      </w:r>
      <w:r>
        <w:rPr>
          <w:sz w:val="21"/>
          <w:szCs w:val="21"/>
        </w:rPr>
        <w:t xml:space="preserve"> </w:t>
      </w:r>
      <w:r>
        <w:rPr>
          <w:spacing w:val="2"/>
          <w:sz w:val="21"/>
          <w:szCs w:val="21"/>
        </w:rPr>
        <w:t>风俗习惯以及其他与完成合同工作有关的其他资料。因承包人未能充分查勘、了解前述情况或未</w:t>
      </w:r>
      <w:r>
        <w:rPr>
          <w:spacing w:val="6"/>
          <w:sz w:val="21"/>
          <w:szCs w:val="21"/>
        </w:rPr>
        <w:t xml:space="preserve"> </w:t>
      </w:r>
      <w:r>
        <w:rPr>
          <w:spacing w:val="5"/>
          <w:sz w:val="21"/>
          <w:szCs w:val="21"/>
        </w:rPr>
        <w:t>能充分估计前述情况所可能产生后果的，承包人承担由此增加的费用和(或)延误的工期。</w:t>
      </w:r>
    </w:p>
    <w:p w14:paraId="7CA4090F">
      <w:pPr>
        <w:pStyle w:val="2"/>
        <w:spacing w:line="220" w:lineRule="auto"/>
        <w:ind w:left="3"/>
      </w:pPr>
      <w:r>
        <w:rPr>
          <w:b/>
          <w:bCs/>
          <w:spacing w:val="-14"/>
        </w:rPr>
        <w:t>3.5</w:t>
      </w:r>
      <w:r>
        <w:rPr>
          <w:spacing w:val="10"/>
        </w:rPr>
        <w:t xml:space="preserve"> </w:t>
      </w:r>
      <w:r>
        <w:rPr>
          <w:b/>
          <w:bCs/>
          <w:spacing w:val="-14"/>
        </w:rPr>
        <w:t>分包</w:t>
      </w:r>
    </w:p>
    <w:p w14:paraId="77D4F81E">
      <w:pPr>
        <w:pStyle w:val="2"/>
        <w:spacing w:before="144" w:line="220" w:lineRule="auto"/>
        <w:ind w:left="419"/>
        <w:rPr>
          <w:sz w:val="21"/>
          <w:szCs w:val="21"/>
        </w:rPr>
      </w:pPr>
      <w:r>
        <w:rPr>
          <w:sz w:val="21"/>
          <w:szCs w:val="21"/>
        </w:rPr>
        <w:t>3.5.1分包的一般约定</w:t>
      </w:r>
    </w:p>
    <w:p w14:paraId="1CAEE1D3">
      <w:pPr>
        <w:pStyle w:val="2"/>
        <w:spacing w:before="148" w:line="357" w:lineRule="auto"/>
        <w:ind w:right="22" w:firstLine="419"/>
        <w:rPr>
          <w:sz w:val="17"/>
          <w:szCs w:val="17"/>
        </w:rPr>
      </w:pPr>
      <w:r>
        <w:rPr>
          <w:spacing w:val="2"/>
          <w:sz w:val="21"/>
          <w:szCs w:val="21"/>
        </w:rPr>
        <w:t>承包人不得将其承包的全部工程转包给第三人，或将其承包的全部工程肢解后以分包的名义</w:t>
      </w:r>
      <w:r>
        <w:rPr>
          <w:spacing w:val="9"/>
          <w:sz w:val="21"/>
          <w:szCs w:val="21"/>
        </w:rPr>
        <w:t xml:space="preserve"> </w:t>
      </w:r>
      <w:r>
        <w:rPr>
          <w:spacing w:val="2"/>
          <w:sz w:val="21"/>
          <w:szCs w:val="21"/>
        </w:rPr>
        <w:t>转包给第三人。承包人不得将工程主体结构、关键性工作及专用合同条款中禁止分包的专业工程 分包给第三人，主体结构、关键性工作的范围由合同当事人按照法律规定在专用合同条款中予以</w:t>
      </w:r>
      <w:r>
        <w:rPr>
          <w:spacing w:val="14"/>
          <w:sz w:val="21"/>
          <w:szCs w:val="21"/>
        </w:rPr>
        <w:t xml:space="preserve"> </w:t>
      </w:r>
      <w:r>
        <w:rPr>
          <w:spacing w:val="-10"/>
          <w:sz w:val="17"/>
          <w:szCs w:val="17"/>
        </w:rPr>
        <w:t>明</w:t>
      </w:r>
      <w:r>
        <w:rPr>
          <w:spacing w:val="-23"/>
          <w:sz w:val="17"/>
          <w:szCs w:val="17"/>
        </w:rPr>
        <w:t xml:space="preserve"> </w:t>
      </w:r>
      <w:r>
        <w:rPr>
          <w:spacing w:val="-10"/>
          <w:sz w:val="17"/>
          <w:szCs w:val="17"/>
        </w:rPr>
        <w:t>确</w:t>
      </w:r>
      <w:r>
        <w:rPr>
          <w:spacing w:val="-29"/>
          <w:sz w:val="17"/>
          <w:szCs w:val="17"/>
        </w:rPr>
        <w:t xml:space="preserve"> </w:t>
      </w:r>
      <w:r>
        <w:rPr>
          <w:spacing w:val="-10"/>
          <w:sz w:val="17"/>
          <w:szCs w:val="17"/>
        </w:rPr>
        <w:t>。</w:t>
      </w:r>
    </w:p>
    <w:p w14:paraId="529DE959">
      <w:pPr>
        <w:pStyle w:val="2"/>
        <w:spacing w:before="54" w:line="219" w:lineRule="auto"/>
        <w:ind w:left="419"/>
        <w:rPr>
          <w:sz w:val="21"/>
          <w:szCs w:val="21"/>
        </w:rPr>
      </w:pPr>
      <w:r>
        <w:rPr>
          <w:spacing w:val="-1"/>
          <w:sz w:val="21"/>
          <w:szCs w:val="21"/>
        </w:rPr>
        <w:t>承包人不得以劳务分包的名义转包或违法分包工程。</w:t>
      </w:r>
    </w:p>
    <w:p w14:paraId="2BBA0B9A">
      <w:pPr>
        <w:pStyle w:val="2"/>
        <w:spacing w:before="151" w:line="220" w:lineRule="auto"/>
        <w:ind w:left="419"/>
        <w:rPr>
          <w:sz w:val="21"/>
          <w:szCs w:val="21"/>
        </w:rPr>
      </w:pPr>
      <w:r>
        <w:rPr>
          <w:sz w:val="21"/>
          <w:szCs w:val="21"/>
        </w:rPr>
        <w:t>3.5.2分包的确定</w:t>
      </w:r>
    </w:p>
    <w:p w14:paraId="2FEFBB77">
      <w:pPr>
        <w:pStyle w:val="2"/>
        <w:spacing w:before="147" w:line="354" w:lineRule="auto"/>
        <w:ind w:right="27" w:firstLine="419"/>
        <w:rPr>
          <w:sz w:val="21"/>
          <w:szCs w:val="21"/>
        </w:rPr>
      </w:pPr>
      <w:r>
        <w:rPr>
          <w:spacing w:val="2"/>
          <w:sz w:val="21"/>
          <w:szCs w:val="21"/>
        </w:rPr>
        <w:t>承包人应按专用合同条款的约定进行分包，确定分包人。已标价工程量清单或预算书中给定</w:t>
      </w:r>
      <w:r>
        <w:rPr>
          <w:spacing w:val="12"/>
          <w:sz w:val="21"/>
          <w:szCs w:val="21"/>
        </w:rPr>
        <w:t xml:space="preserve"> </w:t>
      </w:r>
      <w:r>
        <w:rPr>
          <w:spacing w:val="2"/>
          <w:sz w:val="21"/>
          <w:szCs w:val="21"/>
        </w:rPr>
        <w:t>暂估价的专业工程，按照第10.7款〔暂估价〕确定分包人。按照合同约定进行分包的，承包人应</w:t>
      </w:r>
      <w:r>
        <w:rPr>
          <w:sz w:val="21"/>
          <w:szCs w:val="21"/>
        </w:rPr>
        <w:t xml:space="preserve"> </w:t>
      </w:r>
      <w:r>
        <w:rPr>
          <w:spacing w:val="2"/>
          <w:sz w:val="21"/>
          <w:szCs w:val="21"/>
        </w:rPr>
        <w:t>确保分包人具有相应的资质和能力。工程分包不减轻或免除承包人的责任和义务，承包人和分包</w:t>
      </w:r>
    </w:p>
    <w:p w14:paraId="689C8EBA">
      <w:pPr>
        <w:spacing w:line="354" w:lineRule="auto"/>
        <w:rPr>
          <w:sz w:val="21"/>
          <w:szCs w:val="21"/>
        </w:rPr>
        <w:sectPr>
          <w:footerReference r:id="rId201" w:type="default"/>
          <w:pgSz w:w="11910" w:h="16840"/>
          <w:pgMar w:top="400" w:right="1518" w:bottom="1024" w:left="1450" w:header="0" w:footer="889" w:gutter="0"/>
          <w:cols w:space="720" w:num="1"/>
        </w:sectPr>
      </w:pPr>
    </w:p>
    <w:p w14:paraId="4A041B2C">
      <w:pPr>
        <w:spacing w:line="273" w:lineRule="auto"/>
        <w:rPr>
          <w:rFonts w:ascii="Arial"/>
          <w:sz w:val="21"/>
        </w:rPr>
      </w:pPr>
    </w:p>
    <w:p w14:paraId="6E6B04CF">
      <w:pPr>
        <w:spacing w:line="273" w:lineRule="auto"/>
        <w:rPr>
          <w:rFonts w:ascii="Arial"/>
          <w:sz w:val="21"/>
        </w:rPr>
      </w:pPr>
    </w:p>
    <w:p w14:paraId="05E98F2C">
      <w:pPr>
        <w:spacing w:line="273" w:lineRule="auto"/>
        <w:rPr>
          <w:rFonts w:ascii="Arial"/>
          <w:sz w:val="21"/>
        </w:rPr>
      </w:pPr>
    </w:p>
    <w:p w14:paraId="7A31DA55">
      <w:pPr>
        <w:spacing w:line="273" w:lineRule="auto"/>
        <w:rPr>
          <w:rFonts w:ascii="Arial"/>
          <w:sz w:val="21"/>
        </w:rPr>
      </w:pPr>
    </w:p>
    <w:p w14:paraId="5B07E706">
      <w:pPr>
        <w:spacing w:line="273" w:lineRule="auto"/>
        <w:rPr>
          <w:rFonts w:ascii="Arial"/>
          <w:sz w:val="21"/>
        </w:rPr>
      </w:pPr>
    </w:p>
    <w:p w14:paraId="39BAC9C6">
      <w:pPr>
        <w:pStyle w:val="2"/>
        <w:spacing w:before="65" w:line="369" w:lineRule="auto"/>
        <w:ind w:right="72"/>
        <w:rPr>
          <w:sz w:val="20"/>
          <w:szCs w:val="20"/>
        </w:rPr>
      </w:pPr>
      <w:r>
        <w:rPr>
          <w:spacing w:val="14"/>
          <w:sz w:val="20"/>
          <w:szCs w:val="20"/>
        </w:rPr>
        <w:t>人就分包工程向发包人承担连带责任。除合同另有约定外，承包人应在分包合同签订后7天内向</w:t>
      </w:r>
      <w:r>
        <w:rPr>
          <w:spacing w:val="1"/>
          <w:sz w:val="20"/>
          <w:szCs w:val="20"/>
        </w:rPr>
        <w:t xml:space="preserve"> </w:t>
      </w:r>
      <w:r>
        <w:rPr>
          <w:spacing w:val="8"/>
          <w:sz w:val="20"/>
          <w:szCs w:val="20"/>
        </w:rPr>
        <w:t>发包人和监理人提交分包合同副本。</w:t>
      </w:r>
    </w:p>
    <w:p w14:paraId="7287EA65">
      <w:pPr>
        <w:pStyle w:val="2"/>
        <w:spacing w:line="219" w:lineRule="auto"/>
        <w:ind w:left="419"/>
        <w:rPr>
          <w:sz w:val="20"/>
          <w:szCs w:val="20"/>
        </w:rPr>
      </w:pPr>
      <w:r>
        <w:rPr>
          <w:spacing w:val="6"/>
          <w:sz w:val="20"/>
          <w:szCs w:val="20"/>
        </w:rPr>
        <w:t>3.5.3分包管理</w:t>
      </w:r>
    </w:p>
    <w:p w14:paraId="6F14E5BB">
      <w:pPr>
        <w:pStyle w:val="2"/>
        <w:spacing w:before="163" w:line="371" w:lineRule="auto"/>
        <w:ind w:right="62" w:firstLine="419"/>
        <w:rPr>
          <w:sz w:val="20"/>
          <w:szCs w:val="20"/>
        </w:rPr>
      </w:pPr>
      <w:r>
        <w:rPr>
          <w:spacing w:val="12"/>
          <w:sz w:val="20"/>
          <w:szCs w:val="20"/>
        </w:rPr>
        <w:t>承包人应向监理人提交分包人的主要施工管理人员表，并对分包人的施工人员进行实名制管</w:t>
      </w:r>
      <w:r>
        <w:rPr>
          <w:sz w:val="20"/>
          <w:szCs w:val="20"/>
        </w:rPr>
        <w:t xml:space="preserve"> </w:t>
      </w:r>
      <w:r>
        <w:rPr>
          <w:spacing w:val="9"/>
          <w:sz w:val="20"/>
          <w:szCs w:val="20"/>
        </w:rPr>
        <w:t>理，包括但不限于进出场管理、登记造册以及各种证照的办理。</w:t>
      </w:r>
    </w:p>
    <w:p w14:paraId="60E7E078">
      <w:pPr>
        <w:pStyle w:val="2"/>
        <w:spacing w:before="3" w:line="218" w:lineRule="auto"/>
        <w:ind w:left="419"/>
        <w:rPr>
          <w:sz w:val="20"/>
          <w:szCs w:val="20"/>
        </w:rPr>
      </w:pPr>
      <w:r>
        <w:rPr>
          <w:spacing w:val="8"/>
          <w:sz w:val="20"/>
          <w:szCs w:val="20"/>
        </w:rPr>
        <w:t>3.5.4分包合同价款</w:t>
      </w:r>
    </w:p>
    <w:p w14:paraId="730A8891">
      <w:pPr>
        <w:pStyle w:val="2"/>
        <w:spacing w:before="133" w:line="374" w:lineRule="auto"/>
        <w:ind w:right="65" w:firstLine="529"/>
        <w:rPr>
          <w:sz w:val="20"/>
          <w:szCs w:val="20"/>
        </w:rPr>
      </w:pPr>
      <w:r>
        <w:rPr>
          <w:spacing w:val="19"/>
          <w:sz w:val="20"/>
          <w:szCs w:val="20"/>
        </w:rPr>
        <w:t>(1)除本项第(2)目约定的情况或专用合同条款另有约定外，</w:t>
      </w:r>
      <w:r>
        <w:rPr>
          <w:spacing w:val="18"/>
          <w:sz w:val="20"/>
          <w:szCs w:val="20"/>
        </w:rPr>
        <w:t>分包合同价款由承包人与分</w:t>
      </w:r>
      <w:r>
        <w:rPr>
          <w:sz w:val="20"/>
          <w:szCs w:val="20"/>
        </w:rPr>
        <w:t xml:space="preserve"> </w:t>
      </w:r>
      <w:r>
        <w:rPr>
          <w:spacing w:val="9"/>
          <w:sz w:val="20"/>
          <w:szCs w:val="20"/>
        </w:rPr>
        <w:t>包人结算，未经承包人同意，发包人不得向分包</w:t>
      </w:r>
      <w:r>
        <w:rPr>
          <w:spacing w:val="8"/>
          <w:sz w:val="20"/>
          <w:szCs w:val="20"/>
        </w:rPr>
        <w:t>人支付分包工程价款；</w:t>
      </w:r>
    </w:p>
    <w:p w14:paraId="34E880CD">
      <w:pPr>
        <w:pStyle w:val="2"/>
        <w:spacing w:line="379" w:lineRule="auto"/>
        <w:ind w:right="67" w:firstLine="529"/>
        <w:rPr>
          <w:sz w:val="20"/>
          <w:szCs w:val="20"/>
        </w:rPr>
      </w:pPr>
      <w:r>
        <w:rPr>
          <w:spacing w:val="11"/>
          <w:sz w:val="20"/>
          <w:szCs w:val="20"/>
        </w:rPr>
        <w:t>(2)生效法律文书要求发包人向分包人支付分包合同价款的，发包人有权从应付承包人工程</w:t>
      </w:r>
      <w:r>
        <w:rPr>
          <w:spacing w:val="14"/>
          <w:sz w:val="20"/>
          <w:szCs w:val="20"/>
        </w:rPr>
        <w:t xml:space="preserve"> </w:t>
      </w:r>
      <w:r>
        <w:rPr>
          <w:spacing w:val="6"/>
          <w:sz w:val="20"/>
          <w:szCs w:val="20"/>
        </w:rPr>
        <w:t>款中扣除该部分款项。</w:t>
      </w:r>
    </w:p>
    <w:p w14:paraId="0246DEED">
      <w:pPr>
        <w:pStyle w:val="2"/>
        <w:spacing w:line="219" w:lineRule="auto"/>
        <w:ind w:left="419"/>
        <w:rPr>
          <w:sz w:val="20"/>
          <w:szCs w:val="20"/>
        </w:rPr>
      </w:pPr>
      <w:r>
        <w:rPr>
          <w:spacing w:val="8"/>
          <w:sz w:val="20"/>
          <w:szCs w:val="20"/>
        </w:rPr>
        <w:t>3.5.5分包合同权益的转让</w:t>
      </w:r>
    </w:p>
    <w:p w14:paraId="1BFCAD9B">
      <w:pPr>
        <w:pStyle w:val="2"/>
        <w:spacing w:before="164" w:line="356" w:lineRule="auto"/>
        <w:ind w:right="55" w:firstLine="419"/>
        <w:rPr>
          <w:sz w:val="20"/>
          <w:szCs w:val="20"/>
        </w:rPr>
      </w:pPr>
      <w:r>
        <w:rPr>
          <w:spacing w:val="12"/>
          <w:sz w:val="20"/>
          <w:szCs w:val="20"/>
        </w:rPr>
        <w:t>分包人在分包合同项下的义务持续到缺陷责任期届满以后的，发包人有权在缺陷责任期</w:t>
      </w:r>
      <w:r>
        <w:rPr>
          <w:spacing w:val="11"/>
          <w:sz w:val="20"/>
          <w:szCs w:val="20"/>
        </w:rPr>
        <w:t>届满</w:t>
      </w:r>
      <w:r>
        <w:rPr>
          <w:sz w:val="20"/>
          <w:szCs w:val="20"/>
        </w:rPr>
        <w:t xml:space="preserve"> </w:t>
      </w:r>
      <w:r>
        <w:rPr>
          <w:spacing w:val="12"/>
          <w:sz w:val="20"/>
          <w:szCs w:val="20"/>
        </w:rPr>
        <w:t>前，要求承包人将其在分包合同项下的权益转让给发包人，承包人应当转让。除转让合同另有约</w:t>
      </w:r>
      <w:r>
        <w:rPr>
          <w:spacing w:val="3"/>
          <w:sz w:val="20"/>
          <w:szCs w:val="20"/>
        </w:rPr>
        <w:t xml:space="preserve"> </w:t>
      </w:r>
      <w:r>
        <w:rPr>
          <w:spacing w:val="8"/>
          <w:sz w:val="20"/>
          <w:szCs w:val="20"/>
        </w:rPr>
        <w:t>定外，转让合同生效后，由分包人向发包人履行义务。</w:t>
      </w:r>
    </w:p>
    <w:p w14:paraId="05B9A822">
      <w:pPr>
        <w:pStyle w:val="2"/>
        <w:spacing w:before="1" w:line="219" w:lineRule="auto"/>
        <w:ind w:left="3"/>
      </w:pPr>
      <w:r>
        <w:rPr>
          <w:b/>
          <w:bCs/>
          <w:spacing w:val="-10"/>
        </w:rPr>
        <w:t>3.6</w:t>
      </w:r>
      <w:r>
        <w:rPr>
          <w:spacing w:val="-10"/>
        </w:rPr>
        <w:t xml:space="preserve"> </w:t>
      </w:r>
      <w:r>
        <w:rPr>
          <w:b/>
          <w:bCs/>
          <w:spacing w:val="-10"/>
        </w:rPr>
        <w:t>工程照管与成品、半成品保护</w:t>
      </w:r>
    </w:p>
    <w:p w14:paraId="0AAD2890">
      <w:pPr>
        <w:pStyle w:val="2"/>
        <w:spacing w:before="113" w:line="308" w:lineRule="auto"/>
        <w:ind w:right="27" w:firstLine="529"/>
        <w:rPr>
          <w:sz w:val="20"/>
          <w:szCs w:val="20"/>
        </w:rPr>
      </w:pPr>
      <w:r>
        <w:rPr>
          <w:spacing w:val="12"/>
          <w:sz w:val="20"/>
          <w:szCs w:val="20"/>
        </w:rPr>
        <w:t>(1)除专用合同条款另有约定外，自发包人向承包人移交施工现场之日起，承包人应负责照</w:t>
      </w:r>
      <w:r>
        <w:rPr>
          <w:spacing w:val="13"/>
          <w:sz w:val="20"/>
          <w:szCs w:val="20"/>
        </w:rPr>
        <w:t xml:space="preserve"> </w:t>
      </w:r>
      <w:r>
        <w:rPr>
          <w:spacing w:val="9"/>
          <w:sz w:val="20"/>
          <w:szCs w:val="20"/>
        </w:rPr>
        <w:t>管工程及工程相关的材料、工程设备，直到颁</w:t>
      </w:r>
      <w:r>
        <w:rPr>
          <w:spacing w:val="8"/>
          <w:sz w:val="20"/>
          <w:szCs w:val="20"/>
        </w:rPr>
        <w:t>发工程接收证书之日止。</w:t>
      </w:r>
    </w:p>
    <w:p w14:paraId="7BE74886">
      <w:pPr>
        <w:pStyle w:val="2"/>
        <w:spacing w:before="153" w:line="290" w:lineRule="auto"/>
        <w:ind w:right="23" w:firstLine="529"/>
        <w:rPr>
          <w:sz w:val="20"/>
          <w:szCs w:val="20"/>
        </w:rPr>
      </w:pPr>
      <w:r>
        <w:rPr>
          <w:spacing w:val="12"/>
          <w:sz w:val="20"/>
          <w:szCs w:val="20"/>
        </w:rPr>
        <w:t>(2)在承包人负责照管期间，因承包人原因造成工程、材料、工程设备损坏的，由承包人负</w:t>
      </w:r>
      <w:r>
        <w:rPr>
          <w:spacing w:val="17"/>
          <w:sz w:val="20"/>
          <w:szCs w:val="20"/>
        </w:rPr>
        <w:t xml:space="preserve"> </w:t>
      </w:r>
      <w:r>
        <w:rPr>
          <w:spacing w:val="16"/>
          <w:sz w:val="20"/>
          <w:szCs w:val="20"/>
        </w:rPr>
        <w:t>责修复或更换，并承担由此增加的费用和(或)延误</w:t>
      </w:r>
      <w:r>
        <w:rPr>
          <w:spacing w:val="15"/>
          <w:sz w:val="20"/>
          <w:szCs w:val="20"/>
        </w:rPr>
        <w:t>的工期。</w:t>
      </w:r>
    </w:p>
    <w:p w14:paraId="292B127C">
      <w:pPr>
        <w:pStyle w:val="2"/>
        <w:spacing w:before="181" w:line="314" w:lineRule="auto"/>
        <w:ind w:firstLine="529"/>
        <w:rPr>
          <w:sz w:val="20"/>
          <w:szCs w:val="20"/>
        </w:rPr>
      </w:pPr>
      <w:r>
        <w:rPr>
          <w:spacing w:val="11"/>
          <w:sz w:val="20"/>
          <w:szCs w:val="20"/>
        </w:rPr>
        <w:t>(3)对合同内分期完成的成品和半成品，在工程接收证书颁发前，由承包人承担保护责任。</w:t>
      </w:r>
      <w:r>
        <w:rPr>
          <w:spacing w:val="8"/>
          <w:sz w:val="20"/>
          <w:szCs w:val="20"/>
        </w:rPr>
        <w:t xml:space="preserve"> 因承包人原因造成成品或半成品损坏的，由承包人负责修复或更换，并承担由此增加的费用和(或)</w:t>
      </w:r>
      <w:r>
        <w:rPr>
          <w:spacing w:val="10"/>
          <w:sz w:val="20"/>
          <w:szCs w:val="20"/>
        </w:rPr>
        <w:t xml:space="preserve"> </w:t>
      </w:r>
      <w:r>
        <w:rPr>
          <w:spacing w:val="4"/>
          <w:sz w:val="20"/>
          <w:szCs w:val="20"/>
        </w:rPr>
        <w:t>延误的工期。</w:t>
      </w:r>
    </w:p>
    <w:p w14:paraId="46AF94F9">
      <w:pPr>
        <w:pStyle w:val="2"/>
        <w:spacing w:before="130" w:line="220" w:lineRule="auto"/>
        <w:ind w:left="3"/>
      </w:pPr>
      <w:r>
        <w:rPr>
          <w:b/>
          <w:bCs/>
          <w:spacing w:val="-8"/>
        </w:rPr>
        <w:t>3.7</w:t>
      </w:r>
      <w:r>
        <w:rPr>
          <w:spacing w:val="-8"/>
        </w:rPr>
        <w:t xml:space="preserve"> </w:t>
      </w:r>
      <w:r>
        <w:rPr>
          <w:b/>
          <w:bCs/>
          <w:spacing w:val="-8"/>
        </w:rPr>
        <w:t>履约担保</w:t>
      </w:r>
    </w:p>
    <w:p w14:paraId="176A2C24">
      <w:pPr>
        <w:pStyle w:val="2"/>
        <w:spacing w:before="142" w:line="371" w:lineRule="auto"/>
        <w:ind w:right="65" w:firstLine="419"/>
        <w:rPr>
          <w:sz w:val="20"/>
          <w:szCs w:val="20"/>
        </w:rPr>
      </w:pPr>
      <w:r>
        <w:rPr>
          <w:spacing w:val="12"/>
          <w:sz w:val="20"/>
          <w:szCs w:val="20"/>
        </w:rPr>
        <w:t>发包人需要承包人提供履约担保的，由合同当事人在专用合同条款</w:t>
      </w:r>
      <w:r>
        <w:rPr>
          <w:spacing w:val="11"/>
          <w:sz w:val="20"/>
          <w:szCs w:val="20"/>
        </w:rPr>
        <w:t>中约定履约担保的方式、</w:t>
      </w:r>
      <w:r>
        <w:rPr>
          <w:sz w:val="20"/>
          <w:szCs w:val="20"/>
        </w:rPr>
        <w:t xml:space="preserve"> </w:t>
      </w:r>
      <w:r>
        <w:rPr>
          <w:spacing w:val="12"/>
          <w:sz w:val="20"/>
          <w:szCs w:val="20"/>
        </w:rPr>
        <w:t>金额及期限等。履约担保可以采用银行保函或担保公司担保等形式，具体由合同</w:t>
      </w:r>
      <w:r>
        <w:rPr>
          <w:spacing w:val="11"/>
          <w:sz w:val="20"/>
          <w:szCs w:val="20"/>
        </w:rPr>
        <w:t>当事人在专用合</w:t>
      </w:r>
      <w:r>
        <w:rPr>
          <w:sz w:val="20"/>
          <w:szCs w:val="20"/>
        </w:rPr>
        <w:t xml:space="preserve"> </w:t>
      </w:r>
      <w:r>
        <w:rPr>
          <w:spacing w:val="5"/>
          <w:sz w:val="20"/>
          <w:szCs w:val="20"/>
        </w:rPr>
        <w:t>同条款中约定。</w:t>
      </w:r>
    </w:p>
    <w:p w14:paraId="15A0F9FD">
      <w:pPr>
        <w:pStyle w:val="2"/>
        <w:spacing w:before="15" w:line="342" w:lineRule="auto"/>
        <w:ind w:right="64" w:firstLine="419"/>
        <w:rPr>
          <w:sz w:val="20"/>
          <w:szCs w:val="20"/>
        </w:rPr>
      </w:pPr>
      <w:r>
        <w:rPr>
          <w:spacing w:val="12"/>
          <w:sz w:val="20"/>
          <w:szCs w:val="20"/>
        </w:rPr>
        <w:t>因承包人原因导致工期延长的，继续提供履约担保所增加的费用由承包人承担；非因</w:t>
      </w:r>
      <w:r>
        <w:rPr>
          <w:spacing w:val="11"/>
          <w:sz w:val="20"/>
          <w:szCs w:val="20"/>
        </w:rPr>
        <w:t>承包人</w:t>
      </w:r>
      <w:r>
        <w:rPr>
          <w:sz w:val="20"/>
          <w:szCs w:val="20"/>
        </w:rPr>
        <w:t xml:space="preserve"> </w:t>
      </w:r>
      <w:r>
        <w:rPr>
          <w:spacing w:val="10"/>
          <w:sz w:val="20"/>
          <w:szCs w:val="20"/>
        </w:rPr>
        <w:t>原因导致工期延长的，继续提供履约担保所</w:t>
      </w:r>
      <w:r>
        <w:rPr>
          <w:spacing w:val="9"/>
          <w:sz w:val="20"/>
          <w:szCs w:val="20"/>
        </w:rPr>
        <w:t>增加的费用由发包人承担。</w:t>
      </w:r>
    </w:p>
    <w:p w14:paraId="67DDD5ED">
      <w:pPr>
        <w:pStyle w:val="2"/>
        <w:spacing w:before="1" w:line="220" w:lineRule="auto"/>
        <w:ind w:left="3"/>
      </w:pPr>
      <w:r>
        <w:rPr>
          <w:b/>
          <w:bCs/>
          <w:spacing w:val="-9"/>
        </w:rPr>
        <w:t>3.8</w:t>
      </w:r>
      <w:r>
        <w:rPr>
          <w:spacing w:val="-9"/>
        </w:rPr>
        <w:t xml:space="preserve"> </w:t>
      </w:r>
      <w:r>
        <w:rPr>
          <w:b/>
          <w:bCs/>
          <w:spacing w:val="-9"/>
        </w:rPr>
        <w:t>联合体</w:t>
      </w:r>
    </w:p>
    <w:p w14:paraId="16C8A433">
      <w:pPr>
        <w:pStyle w:val="2"/>
        <w:spacing w:before="139" w:line="295" w:lineRule="auto"/>
        <w:ind w:right="35" w:firstLine="419"/>
        <w:rPr>
          <w:sz w:val="20"/>
          <w:szCs w:val="20"/>
        </w:rPr>
      </w:pPr>
      <w:r>
        <w:rPr>
          <w:spacing w:val="10"/>
          <w:sz w:val="20"/>
          <w:szCs w:val="20"/>
        </w:rPr>
        <w:t>3.8.1联合体各方应共同与发包人签订合</w:t>
      </w:r>
      <w:r>
        <w:rPr>
          <w:spacing w:val="9"/>
          <w:sz w:val="20"/>
          <w:szCs w:val="20"/>
        </w:rPr>
        <w:t>同协议书。联合体各方应为履行合同向发包人承担连</w:t>
      </w:r>
      <w:r>
        <w:rPr>
          <w:sz w:val="20"/>
          <w:szCs w:val="20"/>
        </w:rPr>
        <w:t xml:space="preserve"> </w:t>
      </w:r>
      <w:r>
        <w:rPr>
          <w:spacing w:val="2"/>
          <w:sz w:val="20"/>
          <w:szCs w:val="20"/>
        </w:rPr>
        <w:t>带责任。</w:t>
      </w:r>
    </w:p>
    <w:p w14:paraId="5F68894B">
      <w:pPr>
        <w:pStyle w:val="2"/>
        <w:spacing w:before="151" w:line="304" w:lineRule="auto"/>
        <w:ind w:right="35" w:firstLine="419"/>
        <w:rPr>
          <w:sz w:val="20"/>
          <w:szCs w:val="20"/>
        </w:rPr>
      </w:pPr>
      <w:r>
        <w:rPr>
          <w:spacing w:val="7"/>
          <w:sz w:val="20"/>
          <w:szCs w:val="20"/>
        </w:rPr>
        <w:t>3.8.2 联合体协议经发包人确认后作为合同附件。在履行合同过程中，未经发包人同意，</w:t>
      </w:r>
      <w:r>
        <w:rPr>
          <w:spacing w:val="6"/>
          <w:sz w:val="20"/>
          <w:szCs w:val="20"/>
        </w:rPr>
        <w:t>不得</w:t>
      </w:r>
      <w:r>
        <w:rPr>
          <w:sz w:val="20"/>
          <w:szCs w:val="20"/>
        </w:rPr>
        <w:t xml:space="preserve"> </w:t>
      </w:r>
      <w:r>
        <w:rPr>
          <w:spacing w:val="6"/>
          <w:sz w:val="20"/>
          <w:szCs w:val="20"/>
        </w:rPr>
        <w:t>修改联合体协议。</w:t>
      </w:r>
    </w:p>
    <w:p w14:paraId="5EDE9DA3">
      <w:pPr>
        <w:spacing w:line="304" w:lineRule="auto"/>
        <w:rPr>
          <w:sz w:val="20"/>
          <w:szCs w:val="20"/>
        </w:rPr>
        <w:sectPr>
          <w:footerReference r:id="rId202" w:type="default"/>
          <w:pgSz w:w="11910" w:h="16840"/>
          <w:pgMar w:top="400" w:right="1496" w:bottom="1024" w:left="1450" w:header="0" w:footer="889" w:gutter="0"/>
          <w:cols w:space="720" w:num="1"/>
        </w:sectPr>
      </w:pPr>
    </w:p>
    <w:p w14:paraId="13577BE7">
      <w:pPr>
        <w:spacing w:line="272" w:lineRule="auto"/>
        <w:rPr>
          <w:rFonts w:ascii="Arial"/>
          <w:sz w:val="21"/>
        </w:rPr>
      </w:pPr>
    </w:p>
    <w:p w14:paraId="4C0A6355">
      <w:pPr>
        <w:spacing w:line="272" w:lineRule="auto"/>
        <w:rPr>
          <w:rFonts w:ascii="Arial"/>
          <w:sz w:val="21"/>
        </w:rPr>
      </w:pPr>
    </w:p>
    <w:p w14:paraId="67CC7F87">
      <w:pPr>
        <w:spacing w:line="273" w:lineRule="auto"/>
        <w:rPr>
          <w:rFonts w:ascii="Arial"/>
          <w:sz w:val="21"/>
        </w:rPr>
      </w:pPr>
    </w:p>
    <w:p w14:paraId="59414441">
      <w:pPr>
        <w:spacing w:line="273" w:lineRule="auto"/>
        <w:rPr>
          <w:rFonts w:ascii="Arial"/>
          <w:sz w:val="21"/>
        </w:rPr>
      </w:pPr>
    </w:p>
    <w:p w14:paraId="7332BAFF">
      <w:pPr>
        <w:spacing w:line="273" w:lineRule="auto"/>
        <w:rPr>
          <w:rFonts w:ascii="Arial"/>
          <w:sz w:val="21"/>
        </w:rPr>
      </w:pPr>
    </w:p>
    <w:p w14:paraId="156FB901">
      <w:pPr>
        <w:pStyle w:val="2"/>
        <w:spacing w:before="65" w:line="373" w:lineRule="auto"/>
        <w:ind w:right="41" w:firstLine="439"/>
        <w:rPr>
          <w:sz w:val="20"/>
          <w:szCs w:val="20"/>
        </w:rPr>
      </w:pPr>
      <w:r>
        <w:rPr>
          <w:spacing w:val="7"/>
          <w:sz w:val="20"/>
          <w:szCs w:val="20"/>
        </w:rPr>
        <w:t>3.8.3 联合体牵头人负责与发包人和监理人联系，并接受指示，负责组织联合体各成员全面履</w:t>
      </w:r>
      <w:r>
        <w:rPr>
          <w:spacing w:val="9"/>
          <w:sz w:val="20"/>
          <w:szCs w:val="20"/>
        </w:rPr>
        <w:t xml:space="preserve"> </w:t>
      </w:r>
      <w:r>
        <w:rPr>
          <w:spacing w:val="2"/>
          <w:sz w:val="20"/>
          <w:szCs w:val="20"/>
        </w:rPr>
        <w:t>行合同。</w:t>
      </w:r>
    </w:p>
    <w:p w14:paraId="59CD9465">
      <w:pPr>
        <w:pStyle w:val="2"/>
        <w:spacing w:before="7" w:line="224" w:lineRule="auto"/>
        <w:ind w:left="4"/>
        <w:rPr>
          <w:rFonts w:ascii="黑体" w:hAnsi="黑体" w:eastAsia="黑体" w:cs="黑体"/>
          <w:sz w:val="31"/>
          <w:szCs w:val="31"/>
        </w:rPr>
      </w:pPr>
      <w:r>
        <w:rPr>
          <w:b/>
          <w:bCs/>
          <w:spacing w:val="-1"/>
          <w:sz w:val="31"/>
          <w:szCs w:val="31"/>
        </w:rPr>
        <w:t>4.</w:t>
      </w:r>
      <w:r>
        <w:rPr>
          <w:rFonts w:ascii="黑体" w:hAnsi="黑体" w:eastAsia="黑体" w:cs="黑体"/>
          <w:b/>
          <w:bCs/>
          <w:spacing w:val="-1"/>
          <w:sz w:val="31"/>
          <w:szCs w:val="31"/>
        </w:rPr>
        <w:t>监理人</w:t>
      </w:r>
    </w:p>
    <w:p w14:paraId="5C8E5261">
      <w:pPr>
        <w:spacing w:before="65" w:line="221" w:lineRule="auto"/>
        <w:ind w:left="3"/>
        <w:rPr>
          <w:rFonts w:ascii="黑体" w:hAnsi="黑体" w:eastAsia="黑体" w:cs="黑体"/>
          <w:sz w:val="25"/>
          <w:szCs w:val="25"/>
        </w:rPr>
      </w:pPr>
      <w:r>
        <w:rPr>
          <w:rFonts w:ascii="黑体" w:hAnsi="黑体" w:eastAsia="黑体" w:cs="黑体"/>
          <w:b/>
          <w:bCs/>
          <w:spacing w:val="-3"/>
          <w:sz w:val="25"/>
          <w:szCs w:val="25"/>
        </w:rPr>
        <w:t>4.1监理人的一般规定</w:t>
      </w:r>
    </w:p>
    <w:p w14:paraId="693296A3">
      <w:pPr>
        <w:pStyle w:val="2"/>
        <w:spacing w:before="135" w:line="370" w:lineRule="auto"/>
        <w:ind w:firstLine="439"/>
        <w:jc w:val="both"/>
        <w:rPr>
          <w:sz w:val="20"/>
          <w:szCs w:val="20"/>
        </w:rPr>
      </w:pPr>
      <w:r>
        <w:rPr>
          <w:spacing w:val="12"/>
          <w:sz w:val="20"/>
          <w:szCs w:val="20"/>
        </w:rPr>
        <w:t>工程实行监理的，发包人和承包人应在专用合同条款中明确监理</w:t>
      </w:r>
      <w:r>
        <w:rPr>
          <w:spacing w:val="11"/>
          <w:sz w:val="20"/>
          <w:szCs w:val="20"/>
        </w:rPr>
        <w:t>人的监理内容及监理权限等</w:t>
      </w:r>
      <w:r>
        <w:rPr>
          <w:sz w:val="20"/>
          <w:szCs w:val="20"/>
        </w:rPr>
        <w:t xml:space="preserve">  </w:t>
      </w:r>
      <w:r>
        <w:rPr>
          <w:spacing w:val="9"/>
          <w:sz w:val="20"/>
          <w:szCs w:val="20"/>
        </w:rPr>
        <w:t>事项。监理人应当根据发包人授权及法律规定，代表发包人对工程施工相关事项进行检查、查验、</w:t>
      </w:r>
      <w:r>
        <w:rPr>
          <w:spacing w:val="12"/>
          <w:sz w:val="20"/>
          <w:szCs w:val="20"/>
        </w:rPr>
        <w:t xml:space="preserve"> 审核、验收，并签发相关指示，但监理人无权修改合同，且无权减轻或免</w:t>
      </w:r>
      <w:r>
        <w:rPr>
          <w:spacing w:val="11"/>
          <w:sz w:val="20"/>
          <w:szCs w:val="20"/>
        </w:rPr>
        <w:t>除合同约定的承包人的</w:t>
      </w:r>
      <w:r>
        <w:rPr>
          <w:sz w:val="20"/>
          <w:szCs w:val="20"/>
        </w:rPr>
        <w:t xml:space="preserve">  </w:t>
      </w:r>
      <w:r>
        <w:rPr>
          <w:spacing w:val="5"/>
          <w:sz w:val="20"/>
          <w:szCs w:val="20"/>
        </w:rPr>
        <w:t>任何责任与义务。</w:t>
      </w:r>
    </w:p>
    <w:p w14:paraId="2033BC99">
      <w:pPr>
        <w:pStyle w:val="2"/>
        <w:spacing w:before="4" w:line="350" w:lineRule="auto"/>
        <w:ind w:right="91" w:firstLine="439"/>
        <w:rPr>
          <w:sz w:val="20"/>
          <w:szCs w:val="20"/>
        </w:rPr>
      </w:pPr>
      <w:r>
        <w:rPr>
          <w:spacing w:val="12"/>
          <w:sz w:val="20"/>
          <w:szCs w:val="20"/>
        </w:rPr>
        <w:t>除专用合同条款另有约定外，监理人在施工现场的办公场所、</w:t>
      </w:r>
      <w:r>
        <w:rPr>
          <w:spacing w:val="11"/>
          <w:sz w:val="20"/>
          <w:szCs w:val="20"/>
        </w:rPr>
        <w:t>生活场所由承包人提供，所发</w:t>
      </w:r>
      <w:r>
        <w:rPr>
          <w:sz w:val="20"/>
          <w:szCs w:val="20"/>
        </w:rPr>
        <w:t xml:space="preserve"> </w:t>
      </w:r>
      <w:r>
        <w:rPr>
          <w:spacing w:val="7"/>
          <w:sz w:val="20"/>
          <w:szCs w:val="20"/>
        </w:rPr>
        <w:t>生的费用由发包人承担。</w:t>
      </w:r>
    </w:p>
    <w:p w14:paraId="2DA614BE">
      <w:pPr>
        <w:spacing w:before="1" w:line="220" w:lineRule="auto"/>
        <w:ind w:left="3"/>
        <w:rPr>
          <w:rFonts w:ascii="黑体" w:hAnsi="黑体" w:eastAsia="黑体" w:cs="黑体"/>
          <w:sz w:val="25"/>
          <w:szCs w:val="25"/>
        </w:rPr>
      </w:pPr>
      <w:r>
        <w:rPr>
          <w:rFonts w:ascii="黑体" w:hAnsi="黑体" w:eastAsia="黑体" w:cs="黑体"/>
          <w:b/>
          <w:bCs/>
          <w:spacing w:val="-3"/>
          <w:sz w:val="25"/>
          <w:szCs w:val="25"/>
        </w:rPr>
        <w:t>4.2监理人员</w:t>
      </w:r>
    </w:p>
    <w:p w14:paraId="2AAA4AED">
      <w:pPr>
        <w:pStyle w:val="2"/>
        <w:spacing w:before="124" w:line="364" w:lineRule="auto"/>
        <w:ind w:right="72" w:firstLine="439"/>
        <w:jc w:val="both"/>
        <w:rPr>
          <w:sz w:val="20"/>
          <w:szCs w:val="20"/>
        </w:rPr>
      </w:pPr>
      <w:r>
        <w:rPr>
          <w:spacing w:val="12"/>
          <w:sz w:val="20"/>
          <w:szCs w:val="20"/>
        </w:rPr>
        <w:t>发包人授予监理人对工程实施监理的权利由监理人派驻施工现场的监理人员行使，监理人员</w:t>
      </w:r>
      <w:r>
        <w:rPr>
          <w:spacing w:val="6"/>
          <w:sz w:val="20"/>
          <w:szCs w:val="20"/>
        </w:rPr>
        <w:t xml:space="preserve"> </w:t>
      </w:r>
      <w:r>
        <w:rPr>
          <w:spacing w:val="12"/>
          <w:sz w:val="20"/>
          <w:szCs w:val="20"/>
        </w:rPr>
        <w:t>包括总监理工程师及监理工程师。监理人应将授权的总监理工程师和监理工程师的姓名及授权范</w:t>
      </w:r>
      <w:r>
        <w:rPr>
          <w:spacing w:val="7"/>
          <w:sz w:val="20"/>
          <w:szCs w:val="20"/>
        </w:rPr>
        <w:t xml:space="preserve"> </w:t>
      </w:r>
      <w:r>
        <w:rPr>
          <w:spacing w:val="15"/>
          <w:sz w:val="20"/>
          <w:szCs w:val="20"/>
        </w:rPr>
        <w:t>围以书面形式提前通知承包人。更换总监理</w:t>
      </w:r>
      <w:r>
        <w:rPr>
          <w:spacing w:val="14"/>
          <w:sz w:val="20"/>
          <w:szCs w:val="20"/>
        </w:rPr>
        <w:t>工程师的，监理人应提前7天书面通知承包人；更换</w:t>
      </w:r>
      <w:r>
        <w:rPr>
          <w:sz w:val="20"/>
          <w:szCs w:val="20"/>
        </w:rPr>
        <w:t xml:space="preserve"> </w:t>
      </w:r>
      <w:r>
        <w:rPr>
          <w:spacing w:val="12"/>
          <w:sz w:val="20"/>
          <w:szCs w:val="20"/>
        </w:rPr>
        <w:t>其他监理人员，监理人应提前48小时书面通知承包人。</w:t>
      </w:r>
    </w:p>
    <w:p w14:paraId="01836447">
      <w:pPr>
        <w:spacing w:before="1" w:line="221" w:lineRule="auto"/>
        <w:ind w:left="3"/>
        <w:rPr>
          <w:rFonts w:ascii="黑体" w:hAnsi="黑体" w:eastAsia="黑体" w:cs="黑体"/>
          <w:sz w:val="25"/>
          <w:szCs w:val="25"/>
        </w:rPr>
      </w:pPr>
      <w:r>
        <w:rPr>
          <w:rFonts w:ascii="黑体" w:hAnsi="黑体" w:eastAsia="黑体" w:cs="黑体"/>
          <w:b/>
          <w:bCs/>
          <w:spacing w:val="-3"/>
          <w:sz w:val="25"/>
          <w:szCs w:val="25"/>
        </w:rPr>
        <w:t>4.3监理人的指示</w:t>
      </w:r>
    </w:p>
    <w:p w14:paraId="5C304EEE">
      <w:pPr>
        <w:pStyle w:val="2"/>
        <w:spacing w:before="151" w:line="365" w:lineRule="auto"/>
        <w:ind w:right="71" w:firstLine="439"/>
        <w:jc w:val="both"/>
        <w:rPr>
          <w:sz w:val="20"/>
          <w:szCs w:val="20"/>
        </w:rPr>
      </w:pPr>
      <w:r>
        <w:rPr>
          <w:spacing w:val="12"/>
          <w:sz w:val="20"/>
          <w:szCs w:val="20"/>
        </w:rPr>
        <w:t>监理人应按照发包人的授权发出监理指示。监理人的指示应采</w:t>
      </w:r>
      <w:r>
        <w:rPr>
          <w:spacing w:val="11"/>
          <w:sz w:val="20"/>
          <w:szCs w:val="20"/>
        </w:rPr>
        <w:t>用书面形式，并经其授权的监</w:t>
      </w:r>
      <w:r>
        <w:rPr>
          <w:sz w:val="20"/>
          <w:szCs w:val="20"/>
        </w:rPr>
        <w:t xml:space="preserve"> </w:t>
      </w:r>
      <w:r>
        <w:rPr>
          <w:spacing w:val="13"/>
          <w:sz w:val="20"/>
          <w:szCs w:val="20"/>
        </w:rPr>
        <w:t>理人员签字。紧急情况下，为了保证施工人员的安全</w:t>
      </w:r>
      <w:r>
        <w:rPr>
          <w:spacing w:val="12"/>
          <w:sz w:val="20"/>
          <w:szCs w:val="20"/>
        </w:rPr>
        <w:t>或避免工程受损，监理人员可以口头形式发</w:t>
      </w:r>
      <w:r>
        <w:rPr>
          <w:sz w:val="20"/>
          <w:szCs w:val="20"/>
        </w:rPr>
        <w:t xml:space="preserve"> </w:t>
      </w:r>
      <w:r>
        <w:rPr>
          <w:spacing w:val="12"/>
          <w:sz w:val="20"/>
          <w:szCs w:val="20"/>
        </w:rPr>
        <w:t>出指示，该指示与书面形式的指示具有同等法律效力，但必须在发出口头指示后24小时</w:t>
      </w:r>
      <w:r>
        <w:rPr>
          <w:spacing w:val="11"/>
          <w:sz w:val="20"/>
          <w:szCs w:val="20"/>
        </w:rPr>
        <w:t>内补发书</w:t>
      </w:r>
      <w:r>
        <w:rPr>
          <w:sz w:val="20"/>
          <w:szCs w:val="20"/>
        </w:rPr>
        <w:t xml:space="preserve"> </w:t>
      </w:r>
      <w:r>
        <w:rPr>
          <w:spacing w:val="9"/>
          <w:sz w:val="20"/>
          <w:szCs w:val="20"/>
        </w:rPr>
        <w:t>面监理指示，补发的书面监理指示应与口头指</w:t>
      </w:r>
      <w:r>
        <w:rPr>
          <w:spacing w:val="8"/>
          <w:sz w:val="20"/>
          <w:szCs w:val="20"/>
        </w:rPr>
        <w:t>示一致。</w:t>
      </w:r>
    </w:p>
    <w:p w14:paraId="2411058D">
      <w:pPr>
        <w:pStyle w:val="2"/>
        <w:spacing w:before="1" w:line="370" w:lineRule="auto"/>
        <w:ind w:right="82" w:firstLine="439"/>
        <w:jc w:val="both"/>
        <w:rPr>
          <w:sz w:val="20"/>
          <w:szCs w:val="20"/>
        </w:rPr>
      </w:pPr>
      <w:r>
        <w:rPr>
          <w:spacing w:val="12"/>
          <w:sz w:val="20"/>
          <w:szCs w:val="20"/>
        </w:rPr>
        <w:t>监理人发出的指示应送达承包人项目经理或经项目经理授权接</w:t>
      </w:r>
      <w:r>
        <w:rPr>
          <w:spacing w:val="11"/>
          <w:sz w:val="20"/>
          <w:szCs w:val="20"/>
        </w:rPr>
        <w:t>收的人员。因监理人未能按合</w:t>
      </w:r>
      <w:r>
        <w:rPr>
          <w:sz w:val="20"/>
          <w:szCs w:val="20"/>
        </w:rPr>
        <w:t xml:space="preserve"> </w:t>
      </w:r>
      <w:r>
        <w:rPr>
          <w:spacing w:val="17"/>
          <w:sz w:val="20"/>
          <w:szCs w:val="20"/>
        </w:rPr>
        <w:t>同约定发出指示、指示延误或发出了错误指示而导致承包人费用增加和(或)工</w:t>
      </w:r>
      <w:r>
        <w:rPr>
          <w:spacing w:val="16"/>
          <w:sz w:val="20"/>
          <w:szCs w:val="20"/>
        </w:rPr>
        <w:t>期延误的，由发</w:t>
      </w:r>
      <w:r>
        <w:rPr>
          <w:sz w:val="20"/>
          <w:szCs w:val="20"/>
        </w:rPr>
        <w:t xml:space="preserve"> </w:t>
      </w:r>
      <w:r>
        <w:rPr>
          <w:spacing w:val="10"/>
          <w:sz w:val="20"/>
          <w:szCs w:val="20"/>
        </w:rPr>
        <w:t>包人承担相应责任。除专用合同条款另有约定</w:t>
      </w:r>
      <w:r>
        <w:rPr>
          <w:spacing w:val="9"/>
          <w:sz w:val="20"/>
          <w:szCs w:val="20"/>
        </w:rPr>
        <w:t>外，总监理工程师不应将第4.4款〔商定或确定〕约</w:t>
      </w:r>
      <w:r>
        <w:rPr>
          <w:sz w:val="20"/>
          <w:szCs w:val="20"/>
        </w:rPr>
        <w:t xml:space="preserve"> </w:t>
      </w:r>
      <w:r>
        <w:rPr>
          <w:spacing w:val="9"/>
          <w:sz w:val="20"/>
          <w:szCs w:val="20"/>
        </w:rPr>
        <w:t>定应由总监理工程师作出确定的权力授权或委托给其他监理人</w:t>
      </w:r>
      <w:r>
        <w:rPr>
          <w:spacing w:val="8"/>
          <w:sz w:val="20"/>
          <w:szCs w:val="20"/>
        </w:rPr>
        <w:t>员。</w:t>
      </w:r>
    </w:p>
    <w:p w14:paraId="5E44FF9D">
      <w:pPr>
        <w:pStyle w:val="2"/>
        <w:spacing w:before="15" w:line="369" w:lineRule="auto"/>
        <w:ind w:right="69" w:firstLine="439"/>
        <w:rPr>
          <w:sz w:val="20"/>
          <w:szCs w:val="20"/>
        </w:rPr>
      </w:pPr>
      <w:r>
        <w:rPr>
          <w:spacing w:val="12"/>
          <w:sz w:val="20"/>
          <w:szCs w:val="20"/>
        </w:rPr>
        <w:t>承包人对监理人发出的指示有疑问的，应向监理人提出书面异议，监理人应在48小时</w:t>
      </w:r>
      <w:r>
        <w:rPr>
          <w:spacing w:val="11"/>
          <w:sz w:val="20"/>
          <w:szCs w:val="20"/>
        </w:rPr>
        <w:t>内对该</w:t>
      </w:r>
      <w:r>
        <w:rPr>
          <w:sz w:val="20"/>
          <w:szCs w:val="20"/>
        </w:rPr>
        <w:t xml:space="preserve"> </w:t>
      </w:r>
      <w:r>
        <w:rPr>
          <w:spacing w:val="9"/>
          <w:sz w:val="20"/>
          <w:szCs w:val="20"/>
        </w:rPr>
        <w:t>指示予以确认、更改或撤销，监理人逾期未回复的，承包人有权拒绝执行上述指示。</w:t>
      </w:r>
    </w:p>
    <w:p w14:paraId="4E6C71CD">
      <w:pPr>
        <w:pStyle w:val="2"/>
        <w:spacing w:before="2" w:line="356" w:lineRule="auto"/>
        <w:ind w:right="75" w:firstLine="439"/>
        <w:jc w:val="both"/>
        <w:rPr>
          <w:sz w:val="20"/>
          <w:szCs w:val="20"/>
        </w:rPr>
      </w:pPr>
      <w:r>
        <w:rPr>
          <w:spacing w:val="12"/>
          <w:sz w:val="20"/>
          <w:szCs w:val="20"/>
        </w:rPr>
        <w:t>监理人对承包人的任何工作、工程或其采用的材料和工程设备未在约定的或合理期限内提出</w:t>
      </w:r>
      <w:r>
        <w:rPr>
          <w:spacing w:val="3"/>
          <w:sz w:val="20"/>
          <w:szCs w:val="20"/>
        </w:rPr>
        <w:t xml:space="preserve"> </w:t>
      </w:r>
      <w:r>
        <w:rPr>
          <w:spacing w:val="12"/>
          <w:sz w:val="20"/>
          <w:szCs w:val="20"/>
        </w:rPr>
        <w:t>意见的，视为批准，但不免除或减轻承包人对该工作、工程、材料、工程设</w:t>
      </w:r>
      <w:r>
        <w:rPr>
          <w:spacing w:val="11"/>
          <w:sz w:val="20"/>
          <w:szCs w:val="20"/>
        </w:rPr>
        <w:t>备等应承担的责任和</w:t>
      </w:r>
      <w:r>
        <w:rPr>
          <w:sz w:val="20"/>
          <w:szCs w:val="20"/>
        </w:rPr>
        <w:t xml:space="preserve"> 义务。</w:t>
      </w:r>
    </w:p>
    <w:p w14:paraId="6D2C6FA4">
      <w:pPr>
        <w:pStyle w:val="2"/>
        <w:spacing w:line="221" w:lineRule="auto"/>
        <w:ind w:left="3"/>
        <w:rPr>
          <w:rFonts w:ascii="黑体" w:hAnsi="黑体" w:eastAsia="黑体" w:cs="黑体"/>
        </w:rPr>
      </w:pPr>
      <w:r>
        <w:rPr>
          <w:b/>
          <w:bCs/>
          <w:spacing w:val="-13"/>
        </w:rPr>
        <w:t>4.4</w:t>
      </w:r>
      <w:r>
        <w:rPr>
          <w:spacing w:val="27"/>
        </w:rPr>
        <w:t xml:space="preserve"> </w:t>
      </w:r>
      <w:r>
        <w:rPr>
          <w:rFonts w:ascii="黑体" w:hAnsi="黑体" w:eastAsia="黑体" w:cs="黑体"/>
          <w:b/>
          <w:bCs/>
          <w:spacing w:val="-13"/>
        </w:rPr>
        <w:t>商定或确定</w:t>
      </w:r>
    </w:p>
    <w:p w14:paraId="04D4DC12">
      <w:pPr>
        <w:pStyle w:val="2"/>
        <w:spacing w:before="142" w:line="369" w:lineRule="auto"/>
        <w:ind w:right="120" w:firstLine="439"/>
        <w:rPr>
          <w:sz w:val="20"/>
          <w:szCs w:val="20"/>
        </w:rPr>
      </w:pPr>
      <w:r>
        <w:rPr>
          <w:spacing w:val="11"/>
          <w:sz w:val="20"/>
          <w:szCs w:val="20"/>
        </w:rPr>
        <w:t>合同当事人进行商定或确定时，总监理工程师应当会同合同当事人尽量通过协商达成一</w:t>
      </w:r>
      <w:r>
        <w:rPr>
          <w:spacing w:val="10"/>
          <w:sz w:val="20"/>
          <w:szCs w:val="20"/>
        </w:rPr>
        <w:t>致，</w:t>
      </w:r>
      <w:r>
        <w:rPr>
          <w:sz w:val="20"/>
          <w:szCs w:val="20"/>
        </w:rPr>
        <w:t xml:space="preserve"> </w:t>
      </w:r>
      <w:r>
        <w:rPr>
          <w:spacing w:val="9"/>
          <w:sz w:val="20"/>
          <w:szCs w:val="20"/>
        </w:rPr>
        <w:t>不能达成一致的，由总监理工程师按照合同约定审慎做出公正的确定。</w:t>
      </w:r>
    </w:p>
    <w:p w14:paraId="6A44EF4C">
      <w:pPr>
        <w:pStyle w:val="2"/>
        <w:spacing w:before="1" w:line="218" w:lineRule="auto"/>
        <w:ind w:left="439"/>
        <w:rPr>
          <w:sz w:val="20"/>
          <w:szCs w:val="20"/>
        </w:rPr>
      </w:pPr>
      <w:r>
        <w:rPr>
          <w:spacing w:val="12"/>
          <w:sz w:val="20"/>
          <w:szCs w:val="20"/>
        </w:rPr>
        <w:t>总监理工程师应将确定以书面形式通知发包人和承包人，并附</w:t>
      </w:r>
      <w:r>
        <w:rPr>
          <w:spacing w:val="11"/>
          <w:sz w:val="20"/>
          <w:szCs w:val="20"/>
        </w:rPr>
        <w:t>详细依据。合同当事人对总监</w:t>
      </w:r>
    </w:p>
    <w:p w14:paraId="637A0A74">
      <w:pPr>
        <w:spacing w:line="218" w:lineRule="auto"/>
        <w:rPr>
          <w:sz w:val="20"/>
          <w:szCs w:val="20"/>
        </w:rPr>
        <w:sectPr>
          <w:footerReference r:id="rId203" w:type="default"/>
          <w:pgSz w:w="11910" w:h="16840"/>
          <w:pgMar w:top="400" w:right="1469" w:bottom="1024" w:left="1440" w:header="0" w:footer="889" w:gutter="0"/>
          <w:cols w:space="720" w:num="1"/>
        </w:sectPr>
      </w:pPr>
    </w:p>
    <w:p w14:paraId="7797E471">
      <w:pPr>
        <w:spacing w:line="270" w:lineRule="auto"/>
        <w:rPr>
          <w:rFonts w:ascii="Arial"/>
          <w:sz w:val="21"/>
        </w:rPr>
      </w:pPr>
    </w:p>
    <w:p w14:paraId="7D87D48C">
      <w:pPr>
        <w:spacing w:line="270" w:lineRule="auto"/>
        <w:rPr>
          <w:rFonts w:ascii="Arial"/>
          <w:sz w:val="21"/>
        </w:rPr>
      </w:pPr>
    </w:p>
    <w:p w14:paraId="67ABD1C7">
      <w:pPr>
        <w:spacing w:line="270" w:lineRule="auto"/>
        <w:rPr>
          <w:rFonts w:ascii="Arial"/>
          <w:sz w:val="21"/>
        </w:rPr>
      </w:pPr>
    </w:p>
    <w:p w14:paraId="1695A7C6">
      <w:pPr>
        <w:spacing w:line="270" w:lineRule="auto"/>
        <w:rPr>
          <w:rFonts w:ascii="Arial"/>
          <w:sz w:val="21"/>
        </w:rPr>
      </w:pPr>
    </w:p>
    <w:p w14:paraId="09652449">
      <w:pPr>
        <w:spacing w:line="270" w:lineRule="auto"/>
        <w:rPr>
          <w:rFonts w:ascii="Arial"/>
          <w:sz w:val="21"/>
        </w:rPr>
      </w:pPr>
    </w:p>
    <w:p w14:paraId="6DEE1C19">
      <w:pPr>
        <w:pStyle w:val="2"/>
        <w:spacing w:before="68" w:line="350" w:lineRule="auto"/>
        <w:ind w:right="23"/>
        <w:jc w:val="both"/>
        <w:rPr>
          <w:sz w:val="21"/>
          <w:szCs w:val="21"/>
        </w:rPr>
      </w:pPr>
      <w:r>
        <w:rPr>
          <w:spacing w:val="2"/>
          <w:sz w:val="21"/>
          <w:szCs w:val="21"/>
        </w:rPr>
        <w:t>理工程师的确定没有异议的，按照总监理工程师的确定执行。任何一方合同当事人有异议，按照</w:t>
      </w:r>
      <w:r>
        <w:rPr>
          <w:spacing w:val="12"/>
          <w:sz w:val="21"/>
          <w:szCs w:val="21"/>
        </w:rPr>
        <w:t xml:space="preserve"> </w:t>
      </w:r>
      <w:r>
        <w:rPr>
          <w:spacing w:val="3"/>
          <w:sz w:val="21"/>
          <w:szCs w:val="21"/>
        </w:rPr>
        <w:t>第20条〔争议解决〕约定处理。争议解决前</w:t>
      </w:r>
      <w:r>
        <w:rPr>
          <w:spacing w:val="2"/>
          <w:sz w:val="21"/>
          <w:szCs w:val="21"/>
        </w:rPr>
        <w:t>，合同当事人暂按总监理工程师的确定执行；争议解</w:t>
      </w:r>
      <w:r>
        <w:rPr>
          <w:sz w:val="21"/>
          <w:szCs w:val="21"/>
        </w:rPr>
        <w:t xml:space="preserve"> </w:t>
      </w:r>
      <w:r>
        <w:rPr>
          <w:spacing w:val="2"/>
          <w:sz w:val="21"/>
          <w:szCs w:val="21"/>
        </w:rPr>
        <w:t>决后，争议解决的结果与总监理工程师的确定不一致的，按照争议解决的结果执行，由此造成的</w:t>
      </w:r>
      <w:r>
        <w:rPr>
          <w:spacing w:val="11"/>
          <w:sz w:val="21"/>
          <w:szCs w:val="21"/>
        </w:rPr>
        <w:t xml:space="preserve"> </w:t>
      </w:r>
      <w:r>
        <w:rPr>
          <w:spacing w:val="-4"/>
          <w:sz w:val="21"/>
          <w:szCs w:val="21"/>
        </w:rPr>
        <w:t>损失由责任人承担。</w:t>
      </w:r>
    </w:p>
    <w:p w14:paraId="28423255">
      <w:pPr>
        <w:pStyle w:val="2"/>
        <w:spacing w:before="36" w:line="222" w:lineRule="auto"/>
        <w:ind w:left="4"/>
        <w:rPr>
          <w:rFonts w:ascii="黑体" w:hAnsi="黑体" w:eastAsia="黑体" w:cs="黑体"/>
          <w:sz w:val="30"/>
          <w:szCs w:val="30"/>
        </w:rPr>
      </w:pPr>
      <w:r>
        <w:rPr>
          <w:b/>
          <w:bCs/>
          <w:spacing w:val="1"/>
          <w:sz w:val="30"/>
          <w:szCs w:val="30"/>
        </w:rPr>
        <w:t>5.</w:t>
      </w:r>
      <w:r>
        <w:rPr>
          <w:rFonts w:ascii="黑体" w:hAnsi="黑体" w:eastAsia="黑体" w:cs="黑体"/>
          <w:b/>
          <w:bCs/>
          <w:spacing w:val="1"/>
          <w:sz w:val="30"/>
          <w:szCs w:val="30"/>
        </w:rPr>
        <w:t>工程质量</w:t>
      </w:r>
    </w:p>
    <w:p w14:paraId="3F0665C1">
      <w:pPr>
        <w:spacing w:before="79" w:line="222" w:lineRule="auto"/>
        <w:ind w:left="3"/>
        <w:rPr>
          <w:rFonts w:ascii="黑体" w:hAnsi="黑体" w:eastAsia="黑体" w:cs="黑体"/>
          <w:sz w:val="25"/>
          <w:szCs w:val="25"/>
        </w:rPr>
      </w:pPr>
      <w:r>
        <w:rPr>
          <w:rFonts w:ascii="黑体" w:hAnsi="黑体" w:eastAsia="黑体" w:cs="黑体"/>
          <w:b/>
          <w:bCs/>
          <w:spacing w:val="-3"/>
          <w:sz w:val="25"/>
          <w:szCs w:val="25"/>
        </w:rPr>
        <w:t>5.1质量要求</w:t>
      </w:r>
    </w:p>
    <w:p w14:paraId="49592B8D">
      <w:pPr>
        <w:pStyle w:val="2"/>
        <w:spacing w:before="121" w:line="290" w:lineRule="auto"/>
        <w:ind w:right="12" w:firstLine="429"/>
        <w:rPr>
          <w:sz w:val="21"/>
          <w:szCs w:val="21"/>
        </w:rPr>
      </w:pPr>
      <w:r>
        <w:rPr>
          <w:spacing w:val="-2"/>
          <w:sz w:val="21"/>
          <w:szCs w:val="21"/>
        </w:rPr>
        <w:t>5.1.1 工程质量标准必须符合现行国家有关工程施工质量验收</w:t>
      </w:r>
      <w:r>
        <w:rPr>
          <w:spacing w:val="-3"/>
          <w:sz w:val="21"/>
          <w:szCs w:val="21"/>
        </w:rPr>
        <w:t>规范和标准的要求。有关工程质</w:t>
      </w:r>
      <w:r>
        <w:rPr>
          <w:sz w:val="21"/>
          <w:szCs w:val="21"/>
        </w:rPr>
        <w:t xml:space="preserve"> </w:t>
      </w:r>
      <w:r>
        <w:rPr>
          <w:spacing w:val="-1"/>
          <w:sz w:val="21"/>
          <w:szCs w:val="21"/>
        </w:rPr>
        <w:t>量的特殊标准或要求由合同当事人在专用合同条款中约定。</w:t>
      </w:r>
    </w:p>
    <w:p w14:paraId="1DA2EC09">
      <w:pPr>
        <w:pStyle w:val="2"/>
        <w:spacing w:before="150" w:line="290" w:lineRule="auto"/>
        <w:ind w:left="119" w:right="34" w:firstLine="310"/>
        <w:rPr>
          <w:sz w:val="21"/>
          <w:szCs w:val="21"/>
        </w:rPr>
      </w:pPr>
      <w:r>
        <w:rPr>
          <w:spacing w:val="2"/>
          <w:sz w:val="21"/>
          <w:szCs w:val="21"/>
        </w:rPr>
        <w:t>5.1.2 因发包人原因造成工程质量未达到合同约定标准的，由发包人承担由此增加的费用和</w:t>
      </w:r>
      <w:r>
        <w:rPr>
          <w:sz w:val="21"/>
          <w:szCs w:val="21"/>
        </w:rPr>
        <w:t xml:space="preserve"> </w:t>
      </w:r>
      <w:r>
        <w:rPr>
          <w:spacing w:val="4"/>
          <w:sz w:val="21"/>
          <w:szCs w:val="21"/>
        </w:rPr>
        <w:t>(或)延误的工期，并支付承包人合理的利润。</w:t>
      </w:r>
    </w:p>
    <w:p w14:paraId="5D0F7671">
      <w:pPr>
        <w:pStyle w:val="2"/>
        <w:spacing w:before="131" w:line="285" w:lineRule="auto"/>
        <w:ind w:firstLine="429"/>
        <w:rPr>
          <w:sz w:val="21"/>
          <w:szCs w:val="21"/>
        </w:rPr>
      </w:pPr>
      <w:r>
        <w:rPr>
          <w:spacing w:val="-2"/>
          <w:sz w:val="21"/>
          <w:szCs w:val="21"/>
        </w:rPr>
        <w:t>5.1.3 因承包人原因造成工程质量未达到合同约定标准的，发包人有权要求承包人返工直</w:t>
      </w:r>
      <w:r>
        <w:rPr>
          <w:spacing w:val="-3"/>
          <w:sz w:val="21"/>
          <w:szCs w:val="21"/>
        </w:rPr>
        <w:t>至工</w:t>
      </w:r>
      <w:r>
        <w:rPr>
          <w:sz w:val="21"/>
          <w:szCs w:val="21"/>
        </w:rPr>
        <w:t xml:space="preserve"> </w:t>
      </w:r>
      <w:r>
        <w:rPr>
          <w:spacing w:val="5"/>
          <w:sz w:val="21"/>
          <w:szCs w:val="21"/>
        </w:rPr>
        <w:t>程质量达到合同约定的标准为止，并由承包人承担由此增加的费用和(或)延误的工期。</w:t>
      </w:r>
    </w:p>
    <w:p w14:paraId="446A24E2">
      <w:pPr>
        <w:spacing w:before="139" w:line="222" w:lineRule="auto"/>
        <w:ind w:left="3"/>
        <w:rPr>
          <w:rFonts w:ascii="黑体" w:hAnsi="黑体" w:eastAsia="黑体" w:cs="黑体"/>
          <w:sz w:val="25"/>
          <w:szCs w:val="25"/>
        </w:rPr>
      </w:pPr>
      <w:r>
        <w:rPr>
          <w:rFonts w:ascii="黑体" w:hAnsi="黑体" w:eastAsia="黑体" w:cs="黑体"/>
          <w:b/>
          <w:bCs/>
          <w:spacing w:val="-3"/>
          <w:sz w:val="25"/>
          <w:szCs w:val="25"/>
        </w:rPr>
        <w:t>5.2质量保证措施</w:t>
      </w:r>
    </w:p>
    <w:p w14:paraId="0BD5CD5B">
      <w:pPr>
        <w:pStyle w:val="2"/>
        <w:spacing w:before="132" w:line="219" w:lineRule="auto"/>
        <w:ind w:left="429"/>
        <w:rPr>
          <w:sz w:val="21"/>
          <w:szCs w:val="21"/>
        </w:rPr>
      </w:pPr>
      <w:r>
        <w:rPr>
          <w:spacing w:val="-8"/>
          <w:sz w:val="21"/>
          <w:szCs w:val="21"/>
        </w:rPr>
        <w:t>5.2.1 发包人的质量管理</w:t>
      </w:r>
    </w:p>
    <w:p w14:paraId="7E2C3894">
      <w:pPr>
        <w:pStyle w:val="2"/>
        <w:spacing w:before="130" w:line="219" w:lineRule="auto"/>
        <w:ind w:left="429"/>
        <w:rPr>
          <w:sz w:val="21"/>
          <w:szCs w:val="21"/>
        </w:rPr>
      </w:pPr>
      <w:r>
        <w:rPr>
          <w:spacing w:val="-1"/>
          <w:sz w:val="21"/>
          <w:szCs w:val="21"/>
        </w:rPr>
        <w:t>发包人应按照法律规定及合同约定完成与工程质量有关的各项工作。</w:t>
      </w:r>
    </w:p>
    <w:p w14:paraId="3865E6E7">
      <w:pPr>
        <w:pStyle w:val="2"/>
        <w:spacing w:before="171" w:line="219" w:lineRule="auto"/>
        <w:ind w:left="429"/>
        <w:rPr>
          <w:sz w:val="21"/>
          <w:szCs w:val="21"/>
        </w:rPr>
      </w:pPr>
      <w:r>
        <w:rPr>
          <w:spacing w:val="-1"/>
          <w:sz w:val="21"/>
          <w:szCs w:val="21"/>
        </w:rPr>
        <w:t>5.2.2承包人的质量管理</w:t>
      </w:r>
    </w:p>
    <w:p w14:paraId="3CD72170">
      <w:pPr>
        <w:pStyle w:val="2"/>
        <w:spacing w:before="150" w:line="349" w:lineRule="auto"/>
        <w:ind w:right="24" w:firstLine="429"/>
        <w:rPr>
          <w:sz w:val="21"/>
          <w:szCs w:val="21"/>
        </w:rPr>
      </w:pPr>
      <w:r>
        <w:rPr>
          <w:sz w:val="21"/>
          <w:szCs w:val="21"/>
        </w:rPr>
        <w:t>承包人按照第7.1款〔施工组织设计〕约定向发包人和监理人提交工程</w:t>
      </w:r>
      <w:r>
        <w:rPr>
          <w:spacing w:val="-1"/>
          <w:sz w:val="21"/>
          <w:szCs w:val="21"/>
        </w:rPr>
        <w:t>质量保证体系及措施文</w:t>
      </w:r>
      <w:r>
        <w:rPr>
          <w:sz w:val="21"/>
          <w:szCs w:val="21"/>
        </w:rPr>
        <w:t xml:space="preserve"> </w:t>
      </w:r>
      <w:r>
        <w:rPr>
          <w:spacing w:val="2"/>
          <w:sz w:val="21"/>
          <w:szCs w:val="21"/>
        </w:rPr>
        <w:t>件，建立完善的质量检查制度，并提交相应的工程质量文件。对于发包人和监理人违反法律规定</w:t>
      </w:r>
      <w:r>
        <w:rPr>
          <w:spacing w:val="8"/>
          <w:sz w:val="21"/>
          <w:szCs w:val="21"/>
        </w:rPr>
        <w:t xml:space="preserve"> </w:t>
      </w:r>
      <w:r>
        <w:rPr>
          <w:spacing w:val="-2"/>
          <w:sz w:val="21"/>
          <w:szCs w:val="21"/>
        </w:rPr>
        <w:t>和合同约定的错误指示，承包人有权拒绝实施。</w:t>
      </w:r>
    </w:p>
    <w:p w14:paraId="3AF1B293">
      <w:pPr>
        <w:pStyle w:val="2"/>
        <w:spacing w:before="2" w:line="344" w:lineRule="auto"/>
        <w:ind w:right="41" w:firstLine="429"/>
        <w:rPr>
          <w:sz w:val="21"/>
          <w:szCs w:val="21"/>
        </w:rPr>
      </w:pPr>
      <w:r>
        <w:rPr>
          <w:spacing w:val="2"/>
          <w:sz w:val="21"/>
          <w:szCs w:val="21"/>
        </w:rPr>
        <w:t>承包人应对施工人员进行质量教育和技术培训，定期考核施工人员的劳动技能，严格执</w:t>
      </w:r>
      <w:r>
        <w:rPr>
          <w:spacing w:val="1"/>
          <w:sz w:val="21"/>
          <w:szCs w:val="21"/>
        </w:rPr>
        <w:t>行施</w:t>
      </w:r>
      <w:r>
        <w:rPr>
          <w:sz w:val="21"/>
          <w:szCs w:val="21"/>
        </w:rPr>
        <w:t xml:space="preserve"> </w:t>
      </w:r>
      <w:r>
        <w:rPr>
          <w:spacing w:val="-5"/>
          <w:sz w:val="21"/>
          <w:szCs w:val="21"/>
        </w:rPr>
        <w:t>工规范和操作规程。</w:t>
      </w:r>
    </w:p>
    <w:p w14:paraId="209F9996">
      <w:pPr>
        <w:pStyle w:val="2"/>
        <w:spacing w:before="24" w:line="352" w:lineRule="auto"/>
        <w:ind w:right="39" w:firstLine="429"/>
        <w:jc w:val="both"/>
        <w:rPr>
          <w:sz w:val="21"/>
          <w:szCs w:val="21"/>
        </w:rPr>
      </w:pPr>
      <w:r>
        <w:rPr>
          <w:spacing w:val="2"/>
          <w:sz w:val="21"/>
          <w:szCs w:val="21"/>
        </w:rPr>
        <w:t>承包人应按照法律规定和发包人的要求，对材料、工程设备以及工程的所有部位及其施工工</w:t>
      </w:r>
      <w:r>
        <w:rPr>
          <w:sz w:val="21"/>
          <w:szCs w:val="21"/>
        </w:rPr>
        <w:t xml:space="preserve"> </w:t>
      </w:r>
      <w:r>
        <w:rPr>
          <w:spacing w:val="1"/>
          <w:sz w:val="21"/>
          <w:szCs w:val="21"/>
        </w:rPr>
        <w:t>艺进行全过程的质量检查和检验，并作详细记录，编制工程质量报表，报送监</w:t>
      </w:r>
      <w:r>
        <w:rPr>
          <w:sz w:val="21"/>
          <w:szCs w:val="21"/>
        </w:rPr>
        <w:t xml:space="preserve">理人审查。此外， </w:t>
      </w:r>
      <w:r>
        <w:rPr>
          <w:spacing w:val="2"/>
          <w:sz w:val="21"/>
          <w:szCs w:val="21"/>
        </w:rPr>
        <w:t>承包人还应按照法律规定和发包人的要求，进行施工现场取样试验、工程复核测量和设备性能检</w:t>
      </w:r>
      <w:r>
        <w:rPr>
          <w:spacing w:val="4"/>
          <w:sz w:val="21"/>
          <w:szCs w:val="21"/>
        </w:rPr>
        <w:t xml:space="preserve"> </w:t>
      </w:r>
      <w:r>
        <w:rPr>
          <w:spacing w:val="-2"/>
          <w:sz w:val="21"/>
          <w:szCs w:val="21"/>
        </w:rPr>
        <w:t>测，提供试验样品、提交试验报告和测量成果以及其他工作。</w:t>
      </w:r>
    </w:p>
    <w:p w14:paraId="2F7FFF9A">
      <w:pPr>
        <w:pStyle w:val="2"/>
        <w:spacing w:line="219" w:lineRule="auto"/>
        <w:ind w:left="432"/>
        <w:rPr>
          <w:sz w:val="21"/>
          <w:szCs w:val="21"/>
        </w:rPr>
      </w:pPr>
      <w:r>
        <w:rPr>
          <w:b/>
          <w:bCs/>
          <w:spacing w:val="-8"/>
          <w:sz w:val="21"/>
          <w:szCs w:val="21"/>
        </w:rPr>
        <w:t>5.2.3</w:t>
      </w:r>
      <w:r>
        <w:rPr>
          <w:spacing w:val="-8"/>
          <w:sz w:val="21"/>
          <w:szCs w:val="21"/>
        </w:rPr>
        <w:t xml:space="preserve"> 监理人的质量检查和检验</w:t>
      </w:r>
    </w:p>
    <w:p w14:paraId="0BF32E08">
      <w:pPr>
        <w:pStyle w:val="2"/>
        <w:spacing w:before="149" w:line="352" w:lineRule="auto"/>
        <w:ind w:right="42" w:firstLine="429"/>
        <w:rPr>
          <w:sz w:val="21"/>
          <w:szCs w:val="21"/>
        </w:rPr>
      </w:pPr>
      <w:r>
        <w:rPr>
          <w:spacing w:val="2"/>
          <w:sz w:val="21"/>
          <w:szCs w:val="21"/>
        </w:rPr>
        <w:t>监理人按照法律规定和发包人授权对工程的所有部位及其施工工艺、材料和工程设备进</w:t>
      </w:r>
      <w:r>
        <w:rPr>
          <w:spacing w:val="1"/>
          <w:sz w:val="21"/>
          <w:szCs w:val="21"/>
        </w:rPr>
        <w:t>行检</w:t>
      </w:r>
      <w:r>
        <w:rPr>
          <w:sz w:val="21"/>
          <w:szCs w:val="21"/>
        </w:rPr>
        <w:t xml:space="preserve"> </w:t>
      </w:r>
      <w:r>
        <w:rPr>
          <w:spacing w:val="2"/>
          <w:sz w:val="21"/>
          <w:szCs w:val="21"/>
        </w:rPr>
        <w:t>查和检验。承包人应为监理人的检查和检验提供方便，包括监理人到施工现场，或制造、加工地</w:t>
      </w:r>
      <w:r>
        <w:rPr>
          <w:spacing w:val="3"/>
          <w:sz w:val="21"/>
          <w:szCs w:val="21"/>
        </w:rPr>
        <w:t xml:space="preserve"> </w:t>
      </w:r>
      <w:r>
        <w:rPr>
          <w:spacing w:val="2"/>
          <w:sz w:val="21"/>
          <w:szCs w:val="21"/>
        </w:rPr>
        <w:t>点，或合同约定的其他地方进行察看和查阅施工原始记录</w:t>
      </w:r>
      <w:r>
        <w:rPr>
          <w:spacing w:val="1"/>
          <w:sz w:val="21"/>
          <w:szCs w:val="21"/>
        </w:rPr>
        <w:t>。监理人为此进行的检查和检验，不免</w:t>
      </w:r>
      <w:r>
        <w:rPr>
          <w:sz w:val="21"/>
          <w:szCs w:val="21"/>
        </w:rPr>
        <w:t xml:space="preserve"> </w:t>
      </w:r>
      <w:r>
        <w:rPr>
          <w:spacing w:val="-2"/>
          <w:sz w:val="21"/>
          <w:szCs w:val="21"/>
        </w:rPr>
        <w:t>除或减轻承包人按照合同约定应当承担的责任。</w:t>
      </w:r>
    </w:p>
    <w:p w14:paraId="7EA0AE4E">
      <w:pPr>
        <w:pStyle w:val="2"/>
        <w:spacing w:before="3" w:line="352" w:lineRule="auto"/>
        <w:ind w:right="41" w:firstLine="429"/>
        <w:jc w:val="both"/>
        <w:rPr>
          <w:sz w:val="21"/>
          <w:szCs w:val="21"/>
        </w:rPr>
      </w:pPr>
      <w:r>
        <w:rPr>
          <w:spacing w:val="2"/>
          <w:sz w:val="21"/>
          <w:szCs w:val="21"/>
        </w:rPr>
        <w:t>监理人的检查和检验不应影响施工正常进行。监理人的检查和检验影响施工正常进行的</w:t>
      </w:r>
      <w:r>
        <w:rPr>
          <w:spacing w:val="1"/>
          <w:sz w:val="21"/>
          <w:szCs w:val="21"/>
        </w:rPr>
        <w:t>，且</w:t>
      </w:r>
      <w:r>
        <w:rPr>
          <w:sz w:val="21"/>
          <w:szCs w:val="21"/>
        </w:rPr>
        <w:t xml:space="preserve"> </w:t>
      </w:r>
      <w:r>
        <w:rPr>
          <w:spacing w:val="1"/>
          <w:sz w:val="21"/>
          <w:szCs w:val="21"/>
        </w:rPr>
        <w:t>经检查检验不合格的，影响正常施工的费用由承包人承担，工期不予顺延；经检查检验合格的，</w:t>
      </w:r>
      <w:r>
        <w:rPr>
          <w:spacing w:val="11"/>
          <w:sz w:val="21"/>
          <w:szCs w:val="21"/>
        </w:rPr>
        <w:t xml:space="preserve"> </w:t>
      </w:r>
      <w:r>
        <w:rPr>
          <w:spacing w:val="7"/>
          <w:sz w:val="21"/>
          <w:szCs w:val="21"/>
        </w:rPr>
        <w:t>由此增加的费用和(或)延误的工期由发包人承担。</w:t>
      </w:r>
    </w:p>
    <w:p w14:paraId="7DBC825A">
      <w:pPr>
        <w:spacing w:line="352" w:lineRule="auto"/>
        <w:rPr>
          <w:sz w:val="21"/>
          <w:szCs w:val="21"/>
        </w:rPr>
        <w:sectPr>
          <w:footerReference r:id="rId204" w:type="default"/>
          <w:pgSz w:w="11910" w:h="16840"/>
          <w:pgMar w:top="400" w:right="1508" w:bottom="1024" w:left="1450" w:header="0" w:footer="889" w:gutter="0"/>
          <w:cols w:space="720" w:num="1"/>
        </w:sectPr>
      </w:pPr>
    </w:p>
    <w:p w14:paraId="1187D95C">
      <w:pPr>
        <w:spacing w:line="259" w:lineRule="auto"/>
        <w:rPr>
          <w:rFonts w:ascii="Arial"/>
          <w:sz w:val="21"/>
        </w:rPr>
      </w:pPr>
    </w:p>
    <w:p w14:paraId="24009F00">
      <w:pPr>
        <w:spacing w:line="259" w:lineRule="auto"/>
        <w:rPr>
          <w:rFonts w:ascii="Arial"/>
          <w:sz w:val="21"/>
        </w:rPr>
      </w:pPr>
    </w:p>
    <w:p w14:paraId="20083845">
      <w:pPr>
        <w:spacing w:line="259" w:lineRule="auto"/>
        <w:rPr>
          <w:rFonts w:ascii="Arial"/>
          <w:sz w:val="21"/>
        </w:rPr>
      </w:pPr>
    </w:p>
    <w:p w14:paraId="547A74BD">
      <w:pPr>
        <w:spacing w:line="260" w:lineRule="auto"/>
        <w:rPr>
          <w:rFonts w:ascii="Arial"/>
          <w:sz w:val="21"/>
        </w:rPr>
      </w:pPr>
    </w:p>
    <w:p w14:paraId="78427504">
      <w:pPr>
        <w:spacing w:line="260" w:lineRule="auto"/>
        <w:rPr>
          <w:rFonts w:ascii="Arial"/>
          <w:sz w:val="21"/>
        </w:rPr>
      </w:pPr>
    </w:p>
    <w:p w14:paraId="6B0F0095">
      <w:pPr>
        <w:pStyle w:val="2"/>
        <w:spacing w:before="81" w:line="219" w:lineRule="auto"/>
        <w:ind w:left="3"/>
      </w:pPr>
      <w:r>
        <w:rPr>
          <w:b/>
          <w:bCs/>
          <w:spacing w:val="-9"/>
        </w:rPr>
        <w:t>5.3</w:t>
      </w:r>
      <w:r>
        <w:rPr>
          <w:spacing w:val="-9"/>
        </w:rPr>
        <w:t xml:space="preserve"> </w:t>
      </w:r>
      <w:r>
        <w:rPr>
          <w:b/>
          <w:bCs/>
          <w:spacing w:val="-9"/>
        </w:rPr>
        <w:t>隐蔽工程检查</w:t>
      </w:r>
    </w:p>
    <w:p w14:paraId="0D3932C7">
      <w:pPr>
        <w:pStyle w:val="2"/>
        <w:spacing w:before="164" w:line="219" w:lineRule="auto"/>
        <w:ind w:left="419"/>
        <w:rPr>
          <w:sz w:val="20"/>
          <w:szCs w:val="20"/>
        </w:rPr>
      </w:pPr>
      <w:r>
        <w:rPr>
          <w:spacing w:val="3"/>
          <w:sz w:val="20"/>
          <w:szCs w:val="20"/>
        </w:rPr>
        <w:t>5.3.1承包人自检</w:t>
      </w:r>
    </w:p>
    <w:p w14:paraId="6DCD1B69">
      <w:pPr>
        <w:pStyle w:val="2"/>
        <w:spacing w:before="162" w:line="219" w:lineRule="auto"/>
        <w:ind w:left="419"/>
        <w:rPr>
          <w:sz w:val="20"/>
          <w:szCs w:val="20"/>
        </w:rPr>
      </w:pPr>
      <w:r>
        <w:rPr>
          <w:spacing w:val="9"/>
          <w:sz w:val="20"/>
          <w:szCs w:val="20"/>
        </w:rPr>
        <w:t>承包人应当对工程隐蔽部位进行自检，并经自检确认是否具备覆盖条件。</w:t>
      </w:r>
    </w:p>
    <w:p w14:paraId="50756175">
      <w:pPr>
        <w:pStyle w:val="2"/>
        <w:spacing w:before="143" w:line="219" w:lineRule="auto"/>
        <w:ind w:left="419"/>
        <w:rPr>
          <w:sz w:val="20"/>
          <w:szCs w:val="20"/>
        </w:rPr>
      </w:pPr>
      <w:r>
        <w:rPr>
          <w:spacing w:val="5"/>
          <w:sz w:val="20"/>
          <w:szCs w:val="20"/>
        </w:rPr>
        <w:t>5.3.2检查程序</w:t>
      </w:r>
    </w:p>
    <w:p w14:paraId="0E73E7BD">
      <w:pPr>
        <w:pStyle w:val="2"/>
        <w:spacing w:before="161" w:line="371" w:lineRule="auto"/>
        <w:ind w:right="43" w:firstLine="419"/>
        <w:rPr>
          <w:sz w:val="20"/>
          <w:szCs w:val="20"/>
        </w:rPr>
      </w:pPr>
      <w:r>
        <w:rPr>
          <w:spacing w:val="12"/>
          <w:sz w:val="20"/>
          <w:szCs w:val="20"/>
        </w:rPr>
        <w:t>除专用合同条款另有约定外，工程隐蔽部位经承包人自检确认具备覆盖条件的，承包人应在</w:t>
      </w:r>
      <w:r>
        <w:rPr>
          <w:sz w:val="20"/>
          <w:szCs w:val="20"/>
        </w:rPr>
        <w:t xml:space="preserve"> </w:t>
      </w:r>
      <w:r>
        <w:rPr>
          <w:spacing w:val="12"/>
          <w:sz w:val="20"/>
          <w:szCs w:val="20"/>
        </w:rPr>
        <w:t>共同检查前48小时书面通知监理人检查，通知中应载明隐</w:t>
      </w:r>
      <w:r>
        <w:rPr>
          <w:spacing w:val="11"/>
          <w:sz w:val="20"/>
          <w:szCs w:val="20"/>
        </w:rPr>
        <w:t>蔽检查的内容、时间和地点，并应附有</w:t>
      </w:r>
      <w:r>
        <w:rPr>
          <w:sz w:val="20"/>
          <w:szCs w:val="20"/>
        </w:rPr>
        <w:t xml:space="preserve"> </w:t>
      </w:r>
      <w:r>
        <w:rPr>
          <w:spacing w:val="6"/>
          <w:sz w:val="20"/>
          <w:szCs w:val="20"/>
        </w:rPr>
        <w:t>自检记录和必要的检查资料。</w:t>
      </w:r>
    </w:p>
    <w:p w14:paraId="50C4A024">
      <w:pPr>
        <w:pStyle w:val="2"/>
        <w:spacing w:before="16" w:line="369" w:lineRule="auto"/>
        <w:ind w:right="38" w:firstLine="419"/>
        <w:jc w:val="both"/>
        <w:rPr>
          <w:sz w:val="20"/>
          <w:szCs w:val="20"/>
        </w:rPr>
      </w:pPr>
      <w:r>
        <w:rPr>
          <w:spacing w:val="12"/>
          <w:sz w:val="20"/>
          <w:szCs w:val="20"/>
        </w:rPr>
        <w:t>监理人应按时到场并对隐蔽工程及其施工工艺、材料和工程设备进行检查。经监理人检查确</w:t>
      </w:r>
      <w:r>
        <w:rPr>
          <w:spacing w:val="4"/>
          <w:sz w:val="20"/>
          <w:szCs w:val="20"/>
        </w:rPr>
        <w:t xml:space="preserve"> </w:t>
      </w:r>
      <w:r>
        <w:rPr>
          <w:spacing w:val="12"/>
          <w:sz w:val="20"/>
          <w:szCs w:val="20"/>
        </w:rPr>
        <w:t>认质量符合隐蔽要求，并在验收记录上签字后，承包人才能进行覆盖。经监理人</w:t>
      </w:r>
      <w:r>
        <w:rPr>
          <w:spacing w:val="11"/>
          <w:sz w:val="20"/>
          <w:szCs w:val="20"/>
        </w:rPr>
        <w:t>检查质量不合格</w:t>
      </w:r>
      <w:r>
        <w:rPr>
          <w:sz w:val="20"/>
          <w:szCs w:val="20"/>
        </w:rPr>
        <w:t xml:space="preserve"> </w:t>
      </w:r>
      <w:r>
        <w:rPr>
          <w:spacing w:val="15"/>
          <w:sz w:val="20"/>
          <w:szCs w:val="20"/>
        </w:rPr>
        <w:t>的，承包人应在监理人指示的时间内完成修复，并由监理人重新检查，由此增加的费用和(或)</w:t>
      </w:r>
      <w:r>
        <w:rPr>
          <w:spacing w:val="13"/>
          <w:sz w:val="20"/>
          <w:szCs w:val="20"/>
        </w:rPr>
        <w:t xml:space="preserve"> </w:t>
      </w:r>
      <w:r>
        <w:rPr>
          <w:spacing w:val="6"/>
          <w:sz w:val="20"/>
          <w:szCs w:val="20"/>
        </w:rPr>
        <w:t>延误的工期由承包人承担。</w:t>
      </w:r>
    </w:p>
    <w:p w14:paraId="2B328E38">
      <w:pPr>
        <w:pStyle w:val="2"/>
        <w:spacing w:before="5" w:line="360" w:lineRule="auto"/>
        <w:ind w:right="5" w:firstLine="419"/>
        <w:jc w:val="both"/>
        <w:rPr>
          <w:sz w:val="20"/>
          <w:szCs w:val="20"/>
        </w:rPr>
      </w:pPr>
      <w:r>
        <w:rPr>
          <w:spacing w:val="12"/>
          <w:sz w:val="20"/>
          <w:szCs w:val="20"/>
        </w:rPr>
        <w:t>除专用合同条款另有约定外，监理人不能按时进行检查的，</w:t>
      </w:r>
      <w:r>
        <w:rPr>
          <w:spacing w:val="11"/>
          <w:sz w:val="20"/>
          <w:szCs w:val="20"/>
        </w:rPr>
        <w:t>应在检查前24小时向承包人提交</w:t>
      </w:r>
      <w:r>
        <w:rPr>
          <w:sz w:val="20"/>
          <w:szCs w:val="20"/>
        </w:rPr>
        <w:t xml:space="preserve"> </w:t>
      </w:r>
      <w:r>
        <w:rPr>
          <w:spacing w:val="12"/>
          <w:sz w:val="20"/>
          <w:szCs w:val="20"/>
        </w:rPr>
        <w:t>书面延期要求，但延期不能超过48小时，由此导致工期延误</w:t>
      </w:r>
      <w:r>
        <w:rPr>
          <w:spacing w:val="11"/>
          <w:sz w:val="20"/>
          <w:szCs w:val="20"/>
        </w:rPr>
        <w:t>的，工期应予以顺延。监理人未按时</w:t>
      </w:r>
      <w:r>
        <w:rPr>
          <w:sz w:val="20"/>
          <w:szCs w:val="20"/>
        </w:rPr>
        <w:t xml:space="preserve"> </w:t>
      </w:r>
      <w:r>
        <w:rPr>
          <w:spacing w:val="12"/>
          <w:sz w:val="20"/>
          <w:szCs w:val="20"/>
        </w:rPr>
        <w:t>进行检查，也未提出延期要求的，视为隐蔽工程检查合格，承包人可自行完成覆盖工作，并作相</w:t>
      </w:r>
      <w:r>
        <w:rPr>
          <w:spacing w:val="1"/>
          <w:sz w:val="20"/>
          <w:szCs w:val="20"/>
        </w:rPr>
        <w:t xml:space="preserve"> </w:t>
      </w:r>
      <w:r>
        <w:rPr>
          <w:spacing w:val="10"/>
          <w:sz w:val="20"/>
          <w:szCs w:val="20"/>
        </w:rPr>
        <w:t>应记录报送监理人，监理人应签字确认。监理人事后对检查记录有疑问的</w:t>
      </w:r>
      <w:r>
        <w:rPr>
          <w:spacing w:val="9"/>
          <w:sz w:val="20"/>
          <w:szCs w:val="20"/>
        </w:rPr>
        <w:t>，可按第5.3.3项〔重新</w:t>
      </w:r>
      <w:r>
        <w:rPr>
          <w:sz w:val="20"/>
          <w:szCs w:val="20"/>
        </w:rPr>
        <w:t xml:space="preserve"> </w:t>
      </w:r>
      <w:r>
        <w:rPr>
          <w:spacing w:val="8"/>
          <w:sz w:val="20"/>
          <w:szCs w:val="20"/>
        </w:rPr>
        <w:t>检查〕的约定重新检查。</w:t>
      </w:r>
    </w:p>
    <w:p w14:paraId="34107170">
      <w:pPr>
        <w:pStyle w:val="2"/>
        <w:spacing w:before="46" w:line="219" w:lineRule="auto"/>
        <w:ind w:left="419"/>
        <w:rPr>
          <w:sz w:val="20"/>
          <w:szCs w:val="20"/>
        </w:rPr>
      </w:pPr>
      <w:r>
        <w:rPr>
          <w:spacing w:val="7"/>
          <w:sz w:val="20"/>
          <w:szCs w:val="20"/>
        </w:rPr>
        <w:t>5.3.3重新检查</w:t>
      </w:r>
    </w:p>
    <w:p w14:paraId="26CF17E4">
      <w:pPr>
        <w:pStyle w:val="2"/>
        <w:spacing w:before="164" w:line="367" w:lineRule="auto"/>
        <w:ind w:right="42" w:firstLine="419"/>
        <w:rPr>
          <w:sz w:val="20"/>
          <w:szCs w:val="20"/>
        </w:rPr>
      </w:pPr>
      <w:r>
        <w:rPr>
          <w:spacing w:val="12"/>
          <w:sz w:val="20"/>
          <w:szCs w:val="20"/>
        </w:rPr>
        <w:t>承包人覆盖工程隐蔽部位后，发包人或监理人对质量有疑问的，可要求承包人对已覆盖的部</w:t>
      </w:r>
      <w:r>
        <w:rPr>
          <w:sz w:val="20"/>
          <w:szCs w:val="20"/>
        </w:rPr>
        <w:t xml:space="preserve"> </w:t>
      </w:r>
      <w:r>
        <w:rPr>
          <w:spacing w:val="12"/>
          <w:sz w:val="20"/>
          <w:szCs w:val="20"/>
        </w:rPr>
        <w:t>位进行钻孔探测或揭开重新检查，承包人应遵照执行，并在检查后重新覆盖恢复</w:t>
      </w:r>
      <w:r>
        <w:rPr>
          <w:spacing w:val="11"/>
          <w:sz w:val="20"/>
          <w:szCs w:val="20"/>
        </w:rPr>
        <w:t>原状。经检查证</w:t>
      </w:r>
      <w:r>
        <w:rPr>
          <w:sz w:val="20"/>
          <w:szCs w:val="20"/>
        </w:rPr>
        <w:t xml:space="preserve"> </w:t>
      </w:r>
      <w:r>
        <w:rPr>
          <w:spacing w:val="17"/>
          <w:sz w:val="20"/>
          <w:szCs w:val="20"/>
        </w:rPr>
        <w:t>明工程质量符合合同要求的，由发包人承担由此增加的费</w:t>
      </w:r>
      <w:r>
        <w:rPr>
          <w:spacing w:val="16"/>
          <w:sz w:val="20"/>
          <w:szCs w:val="20"/>
        </w:rPr>
        <w:t>用和(或)延误的工期，并支付承包人</w:t>
      </w:r>
      <w:r>
        <w:rPr>
          <w:sz w:val="20"/>
          <w:szCs w:val="20"/>
        </w:rPr>
        <w:t xml:space="preserve"> </w:t>
      </w:r>
      <w:r>
        <w:rPr>
          <w:spacing w:val="17"/>
          <w:sz w:val="20"/>
          <w:szCs w:val="20"/>
        </w:rPr>
        <w:t>合理的利润；经检查证明工程质量不符合合同要求的，由此</w:t>
      </w:r>
      <w:r>
        <w:rPr>
          <w:spacing w:val="16"/>
          <w:sz w:val="20"/>
          <w:szCs w:val="20"/>
        </w:rPr>
        <w:t>增加的费用和(或)延误的工期由承</w:t>
      </w:r>
      <w:r>
        <w:rPr>
          <w:sz w:val="20"/>
          <w:szCs w:val="20"/>
        </w:rPr>
        <w:t xml:space="preserve"> </w:t>
      </w:r>
      <w:r>
        <w:rPr>
          <w:spacing w:val="3"/>
          <w:sz w:val="20"/>
          <w:szCs w:val="20"/>
        </w:rPr>
        <w:t>包人承担。</w:t>
      </w:r>
    </w:p>
    <w:p w14:paraId="46895E0A">
      <w:pPr>
        <w:pStyle w:val="2"/>
        <w:spacing w:before="1" w:line="219" w:lineRule="auto"/>
        <w:ind w:left="419"/>
        <w:rPr>
          <w:sz w:val="20"/>
          <w:szCs w:val="20"/>
        </w:rPr>
      </w:pPr>
      <w:r>
        <w:rPr>
          <w:spacing w:val="9"/>
          <w:sz w:val="20"/>
          <w:szCs w:val="20"/>
        </w:rPr>
        <w:t>5.3.4承包人私自覆盖</w:t>
      </w:r>
    </w:p>
    <w:p w14:paraId="3E0FA1E6">
      <w:pPr>
        <w:pStyle w:val="2"/>
        <w:spacing w:before="160" w:line="360" w:lineRule="auto"/>
        <w:ind w:right="26" w:firstLine="419"/>
        <w:rPr>
          <w:sz w:val="20"/>
          <w:szCs w:val="20"/>
        </w:rPr>
      </w:pPr>
      <w:r>
        <w:rPr>
          <w:spacing w:val="12"/>
          <w:sz w:val="20"/>
          <w:szCs w:val="20"/>
        </w:rPr>
        <w:t>承包人未通知监理人到场检查，私自将工程隐蔽部位覆盖的，监理人有权指示承包人钻孔探</w:t>
      </w:r>
      <w:r>
        <w:rPr>
          <w:spacing w:val="16"/>
          <w:sz w:val="20"/>
          <w:szCs w:val="20"/>
        </w:rPr>
        <w:t xml:space="preserve"> </w:t>
      </w:r>
      <w:r>
        <w:rPr>
          <w:spacing w:val="17"/>
          <w:sz w:val="20"/>
          <w:szCs w:val="20"/>
        </w:rPr>
        <w:t>测或揭开检查，无论工程隐蔽部位质量是否合格，由此增加</w:t>
      </w:r>
      <w:r>
        <w:rPr>
          <w:spacing w:val="16"/>
          <w:sz w:val="20"/>
          <w:szCs w:val="20"/>
        </w:rPr>
        <w:t>的费用和(或)延误的工期均由承包</w:t>
      </w:r>
      <w:r>
        <w:rPr>
          <w:sz w:val="20"/>
          <w:szCs w:val="20"/>
        </w:rPr>
        <w:t xml:space="preserve"> </w:t>
      </w:r>
      <w:r>
        <w:rPr>
          <w:spacing w:val="-1"/>
          <w:sz w:val="20"/>
          <w:szCs w:val="20"/>
        </w:rPr>
        <w:t>人承担。</w:t>
      </w:r>
    </w:p>
    <w:p w14:paraId="6F797FFA">
      <w:pPr>
        <w:pStyle w:val="2"/>
        <w:spacing w:before="1" w:line="219" w:lineRule="auto"/>
        <w:ind w:left="3"/>
      </w:pPr>
      <w:r>
        <w:rPr>
          <w:b/>
          <w:bCs/>
          <w:spacing w:val="-4"/>
        </w:rPr>
        <w:t>5.4不合格工程的处理</w:t>
      </w:r>
    </w:p>
    <w:p w14:paraId="6BF1B708">
      <w:pPr>
        <w:pStyle w:val="2"/>
        <w:spacing w:before="124" w:line="299" w:lineRule="auto"/>
        <w:ind w:firstLine="419"/>
        <w:rPr>
          <w:sz w:val="20"/>
          <w:szCs w:val="20"/>
        </w:rPr>
      </w:pPr>
      <w:r>
        <w:rPr>
          <w:spacing w:val="10"/>
          <w:sz w:val="20"/>
          <w:szCs w:val="20"/>
        </w:rPr>
        <w:t>5.4.1因承包人原因造成工程不合格的，发包人有权随时要求承包人采取补救</w:t>
      </w:r>
      <w:r>
        <w:rPr>
          <w:spacing w:val="9"/>
          <w:sz w:val="20"/>
          <w:szCs w:val="20"/>
        </w:rPr>
        <w:t>措施，直至达到</w:t>
      </w:r>
      <w:r>
        <w:rPr>
          <w:sz w:val="20"/>
          <w:szCs w:val="20"/>
        </w:rPr>
        <w:t xml:space="preserve"> </w:t>
      </w:r>
      <w:r>
        <w:rPr>
          <w:spacing w:val="17"/>
          <w:sz w:val="20"/>
          <w:szCs w:val="20"/>
        </w:rPr>
        <w:t>合同要求的质量标准，由此增加的费用和(或)延误的工期由承包人</w:t>
      </w:r>
      <w:r>
        <w:rPr>
          <w:spacing w:val="16"/>
          <w:sz w:val="20"/>
          <w:szCs w:val="20"/>
        </w:rPr>
        <w:t>承担。无法补救的，按照第</w:t>
      </w:r>
    </w:p>
    <w:p w14:paraId="21D26E93">
      <w:pPr>
        <w:pStyle w:val="2"/>
        <w:spacing w:before="173" w:line="219" w:lineRule="auto"/>
        <w:rPr>
          <w:sz w:val="20"/>
          <w:szCs w:val="20"/>
        </w:rPr>
      </w:pPr>
      <w:r>
        <w:rPr>
          <w:spacing w:val="6"/>
          <w:sz w:val="20"/>
          <w:szCs w:val="20"/>
        </w:rPr>
        <w:t>13.2.4项〔拒绝接收全部或部分工程〕约定执行。</w:t>
      </w:r>
    </w:p>
    <w:p w14:paraId="66099A74">
      <w:pPr>
        <w:pStyle w:val="2"/>
        <w:spacing w:before="162" w:line="290" w:lineRule="auto"/>
        <w:ind w:right="14" w:firstLine="419"/>
        <w:rPr>
          <w:sz w:val="20"/>
          <w:szCs w:val="20"/>
        </w:rPr>
      </w:pPr>
      <w:r>
        <w:rPr>
          <w:spacing w:val="12"/>
          <w:sz w:val="20"/>
          <w:szCs w:val="20"/>
        </w:rPr>
        <w:t>5.4.2 因发包人原因造成工程不合格的，由此增</w:t>
      </w:r>
      <w:r>
        <w:rPr>
          <w:spacing w:val="11"/>
          <w:sz w:val="20"/>
          <w:szCs w:val="20"/>
        </w:rPr>
        <w:t>加的费用和(或)延误的工期由发包人承担，</w:t>
      </w:r>
      <w:r>
        <w:rPr>
          <w:sz w:val="20"/>
          <w:szCs w:val="20"/>
        </w:rPr>
        <w:t xml:space="preserve"> </w:t>
      </w:r>
      <w:r>
        <w:rPr>
          <w:spacing w:val="6"/>
          <w:sz w:val="20"/>
          <w:szCs w:val="20"/>
        </w:rPr>
        <w:t>并支付承包人合理的利润。</w:t>
      </w:r>
    </w:p>
    <w:p w14:paraId="7C2EAFC5">
      <w:pPr>
        <w:spacing w:line="290" w:lineRule="auto"/>
        <w:rPr>
          <w:sz w:val="20"/>
          <w:szCs w:val="20"/>
        </w:rPr>
        <w:sectPr>
          <w:footerReference r:id="rId205" w:type="default"/>
          <w:pgSz w:w="11910" w:h="16840"/>
          <w:pgMar w:top="400" w:right="1515" w:bottom="1024" w:left="1450" w:header="0" w:footer="889" w:gutter="0"/>
          <w:cols w:space="720" w:num="1"/>
        </w:sectPr>
      </w:pPr>
    </w:p>
    <w:p w14:paraId="7B6CC90F">
      <w:pPr>
        <w:spacing w:line="259" w:lineRule="auto"/>
        <w:rPr>
          <w:rFonts w:ascii="Arial"/>
          <w:sz w:val="21"/>
        </w:rPr>
      </w:pPr>
    </w:p>
    <w:p w14:paraId="7F23D6D0">
      <w:pPr>
        <w:spacing w:line="259" w:lineRule="auto"/>
        <w:rPr>
          <w:rFonts w:ascii="Arial"/>
          <w:sz w:val="21"/>
        </w:rPr>
      </w:pPr>
    </w:p>
    <w:p w14:paraId="421EA235">
      <w:pPr>
        <w:spacing w:line="259" w:lineRule="auto"/>
        <w:rPr>
          <w:rFonts w:ascii="Arial"/>
          <w:sz w:val="21"/>
        </w:rPr>
      </w:pPr>
    </w:p>
    <w:p w14:paraId="7E704AB1">
      <w:pPr>
        <w:spacing w:line="260" w:lineRule="auto"/>
        <w:rPr>
          <w:rFonts w:ascii="Arial"/>
          <w:sz w:val="21"/>
        </w:rPr>
      </w:pPr>
    </w:p>
    <w:p w14:paraId="4C98B5B5">
      <w:pPr>
        <w:spacing w:line="260" w:lineRule="auto"/>
        <w:rPr>
          <w:rFonts w:ascii="Arial"/>
          <w:sz w:val="21"/>
        </w:rPr>
      </w:pPr>
    </w:p>
    <w:p w14:paraId="470553E9">
      <w:pPr>
        <w:pStyle w:val="2"/>
        <w:spacing w:before="81" w:line="219" w:lineRule="auto"/>
        <w:ind w:left="2"/>
      </w:pPr>
      <w:r>
        <w:rPr>
          <w:b/>
          <w:bCs/>
          <w:spacing w:val="-11"/>
        </w:rPr>
        <w:t>5.5</w:t>
      </w:r>
      <w:r>
        <w:rPr>
          <w:spacing w:val="-11"/>
        </w:rPr>
        <w:t xml:space="preserve"> </w:t>
      </w:r>
      <w:r>
        <w:rPr>
          <w:b/>
          <w:bCs/>
          <w:spacing w:val="-11"/>
        </w:rPr>
        <w:t>质量争议检测</w:t>
      </w:r>
    </w:p>
    <w:p w14:paraId="7553B0FA">
      <w:pPr>
        <w:pStyle w:val="2"/>
        <w:spacing w:before="154" w:line="343" w:lineRule="auto"/>
        <w:ind w:right="16" w:firstLine="409"/>
        <w:rPr>
          <w:sz w:val="21"/>
          <w:szCs w:val="21"/>
        </w:rPr>
      </w:pPr>
      <w:r>
        <w:rPr>
          <w:spacing w:val="2"/>
          <w:sz w:val="21"/>
          <w:szCs w:val="21"/>
        </w:rPr>
        <w:t xml:space="preserve">合同当事人对工程质量有争议的，由双方协商确定的工程质量检测机构鉴定，由此产生的费 </w:t>
      </w:r>
      <w:r>
        <w:rPr>
          <w:spacing w:val="-1"/>
          <w:sz w:val="21"/>
          <w:szCs w:val="21"/>
        </w:rPr>
        <w:t>用及因此造成的损失，由责任方承担。</w:t>
      </w:r>
    </w:p>
    <w:p w14:paraId="1E1293AC">
      <w:pPr>
        <w:pStyle w:val="2"/>
        <w:spacing w:before="1" w:line="362" w:lineRule="auto"/>
        <w:ind w:right="15" w:firstLine="409"/>
        <w:rPr>
          <w:sz w:val="21"/>
          <w:szCs w:val="21"/>
        </w:rPr>
      </w:pPr>
      <w:r>
        <w:rPr>
          <w:spacing w:val="2"/>
          <w:sz w:val="21"/>
          <w:szCs w:val="21"/>
        </w:rPr>
        <w:t xml:space="preserve">合同当事人均有责任的，由双方根据其责任分别承担。合同当事人无法达成一致的，按照第 </w:t>
      </w:r>
      <w:r>
        <w:rPr>
          <w:sz w:val="21"/>
          <w:szCs w:val="21"/>
        </w:rPr>
        <w:t>4.4款〔商定或确定〕执行。</w:t>
      </w:r>
    </w:p>
    <w:p w14:paraId="5F780351">
      <w:pPr>
        <w:pStyle w:val="2"/>
        <w:spacing w:before="24" w:line="219" w:lineRule="auto"/>
        <w:ind w:left="4"/>
        <w:rPr>
          <w:sz w:val="29"/>
          <w:szCs w:val="29"/>
        </w:rPr>
      </w:pPr>
      <w:r>
        <w:rPr>
          <w:b/>
          <w:bCs/>
          <w:spacing w:val="-6"/>
          <w:sz w:val="29"/>
          <w:szCs w:val="29"/>
        </w:rPr>
        <w:t>6.</w:t>
      </w:r>
      <w:r>
        <w:rPr>
          <w:spacing w:val="-74"/>
          <w:sz w:val="29"/>
          <w:szCs w:val="29"/>
        </w:rPr>
        <w:t xml:space="preserve"> </w:t>
      </w:r>
      <w:r>
        <w:rPr>
          <w:b/>
          <w:bCs/>
          <w:spacing w:val="-6"/>
          <w:sz w:val="29"/>
          <w:szCs w:val="29"/>
        </w:rPr>
        <w:t>安全文明施工与环境保护</w:t>
      </w:r>
    </w:p>
    <w:p w14:paraId="3F8B2A4B">
      <w:pPr>
        <w:pStyle w:val="2"/>
        <w:spacing w:before="85" w:line="219" w:lineRule="auto"/>
        <w:ind w:left="3"/>
      </w:pPr>
      <w:r>
        <w:rPr>
          <w:b/>
          <w:bCs/>
          <w:spacing w:val="-4"/>
        </w:rPr>
        <w:t>6.1安全文明施工</w:t>
      </w:r>
    </w:p>
    <w:p w14:paraId="4C0A121D">
      <w:pPr>
        <w:pStyle w:val="2"/>
        <w:spacing w:before="145" w:line="219" w:lineRule="auto"/>
        <w:ind w:left="409"/>
        <w:rPr>
          <w:sz w:val="21"/>
          <w:szCs w:val="21"/>
        </w:rPr>
      </w:pPr>
      <w:r>
        <w:rPr>
          <w:spacing w:val="-1"/>
          <w:sz w:val="21"/>
          <w:szCs w:val="21"/>
        </w:rPr>
        <w:t>6.1.1安全生产要求</w:t>
      </w:r>
    </w:p>
    <w:p w14:paraId="10ADD2E6">
      <w:pPr>
        <w:pStyle w:val="2"/>
        <w:spacing w:before="140" w:line="352" w:lineRule="auto"/>
        <w:ind w:right="20" w:firstLine="409"/>
        <w:rPr>
          <w:sz w:val="21"/>
          <w:szCs w:val="21"/>
        </w:rPr>
      </w:pPr>
      <w:r>
        <w:rPr>
          <w:spacing w:val="2"/>
          <w:sz w:val="21"/>
          <w:szCs w:val="21"/>
        </w:rPr>
        <w:t>合同履行期间，合同当事人均应当遵守国家和工程所在地有关安全生产的要求，合同当</w:t>
      </w:r>
      <w:r>
        <w:rPr>
          <w:spacing w:val="1"/>
          <w:sz w:val="21"/>
          <w:szCs w:val="21"/>
        </w:rPr>
        <w:t>事人</w:t>
      </w:r>
      <w:r>
        <w:rPr>
          <w:sz w:val="21"/>
          <w:szCs w:val="21"/>
        </w:rPr>
        <w:t xml:space="preserve"> </w:t>
      </w:r>
      <w:r>
        <w:rPr>
          <w:spacing w:val="2"/>
          <w:sz w:val="21"/>
          <w:szCs w:val="21"/>
        </w:rPr>
        <w:t>有特别要求的，应在专用合同条款中明确施工项目安全生</w:t>
      </w:r>
      <w:r>
        <w:rPr>
          <w:spacing w:val="1"/>
          <w:sz w:val="21"/>
          <w:szCs w:val="21"/>
        </w:rPr>
        <w:t>产标准化达标目标及相应事项。承包人</w:t>
      </w:r>
      <w:r>
        <w:rPr>
          <w:sz w:val="21"/>
          <w:szCs w:val="21"/>
        </w:rPr>
        <w:t xml:space="preserve"> </w:t>
      </w:r>
      <w:r>
        <w:rPr>
          <w:spacing w:val="-1"/>
          <w:sz w:val="21"/>
          <w:szCs w:val="21"/>
        </w:rPr>
        <w:t>有权拒绝发包人及监理人强令承包人违章作业、冒险施工的任何指示。</w:t>
      </w:r>
    </w:p>
    <w:p w14:paraId="0567BC91">
      <w:pPr>
        <w:pStyle w:val="2"/>
        <w:spacing w:before="2" w:line="348" w:lineRule="auto"/>
        <w:ind w:firstLine="409"/>
        <w:jc w:val="both"/>
        <w:rPr>
          <w:sz w:val="21"/>
          <w:szCs w:val="21"/>
        </w:rPr>
      </w:pPr>
      <w:r>
        <w:rPr>
          <w:spacing w:val="2"/>
          <w:sz w:val="21"/>
          <w:szCs w:val="21"/>
        </w:rPr>
        <w:t>在施工过程中，如遇到突发的地质变动、事先未知的地下施工障碍等影响施工安全的紧急情</w:t>
      </w:r>
      <w:r>
        <w:rPr>
          <w:sz w:val="21"/>
          <w:szCs w:val="21"/>
        </w:rPr>
        <w:t xml:space="preserve"> </w:t>
      </w:r>
      <w:r>
        <w:rPr>
          <w:spacing w:val="2"/>
          <w:sz w:val="21"/>
          <w:szCs w:val="21"/>
        </w:rPr>
        <w:t>况，承包人应及时报告监理人和发包人，发包人应当及时下令停工并报政府有关行政管理部门采</w:t>
      </w:r>
      <w:r>
        <w:rPr>
          <w:spacing w:val="4"/>
          <w:sz w:val="21"/>
          <w:szCs w:val="21"/>
        </w:rPr>
        <w:t xml:space="preserve"> </w:t>
      </w:r>
      <w:r>
        <w:rPr>
          <w:spacing w:val="-6"/>
          <w:sz w:val="21"/>
          <w:szCs w:val="21"/>
        </w:rPr>
        <w:t>取应急措施。</w:t>
      </w:r>
    </w:p>
    <w:p w14:paraId="6D2263A1">
      <w:pPr>
        <w:pStyle w:val="2"/>
        <w:spacing w:line="219" w:lineRule="auto"/>
        <w:ind w:left="409"/>
        <w:rPr>
          <w:sz w:val="21"/>
          <w:szCs w:val="21"/>
        </w:rPr>
      </w:pPr>
      <w:r>
        <w:rPr>
          <w:spacing w:val="1"/>
          <w:sz w:val="21"/>
          <w:szCs w:val="21"/>
        </w:rPr>
        <w:t>因安全生产需要暂停施工的，按照第7.8款〔暂停施工〕的约定执行。</w:t>
      </w:r>
    </w:p>
    <w:p w14:paraId="49F1610B">
      <w:pPr>
        <w:pStyle w:val="2"/>
        <w:spacing w:before="161" w:line="219" w:lineRule="auto"/>
        <w:ind w:left="409"/>
        <w:rPr>
          <w:sz w:val="21"/>
          <w:szCs w:val="21"/>
        </w:rPr>
      </w:pPr>
      <w:r>
        <w:rPr>
          <w:spacing w:val="-1"/>
          <w:sz w:val="21"/>
          <w:szCs w:val="21"/>
        </w:rPr>
        <w:t>6.1.2安全生产保证措施</w:t>
      </w:r>
    </w:p>
    <w:p w14:paraId="1FB03538">
      <w:pPr>
        <w:pStyle w:val="2"/>
        <w:spacing w:before="162" w:line="352" w:lineRule="auto"/>
        <w:ind w:right="11" w:firstLine="409"/>
        <w:rPr>
          <w:sz w:val="21"/>
          <w:szCs w:val="21"/>
        </w:rPr>
      </w:pPr>
      <w:r>
        <w:rPr>
          <w:spacing w:val="2"/>
          <w:sz w:val="21"/>
          <w:szCs w:val="21"/>
        </w:rPr>
        <w:t>承包人应当按照有关规定编制安全技术措施或者专项施工方案，建立安全生产责任制度、治</w:t>
      </w:r>
      <w:r>
        <w:rPr>
          <w:spacing w:val="6"/>
          <w:sz w:val="21"/>
          <w:szCs w:val="21"/>
        </w:rPr>
        <w:t xml:space="preserve"> </w:t>
      </w:r>
      <w:r>
        <w:rPr>
          <w:spacing w:val="2"/>
          <w:sz w:val="21"/>
          <w:szCs w:val="21"/>
        </w:rPr>
        <w:t>安保卫制度及安全生产教育培训制度，并按安全生产法律规定及合同约定</w:t>
      </w:r>
      <w:r>
        <w:rPr>
          <w:spacing w:val="1"/>
          <w:sz w:val="21"/>
          <w:szCs w:val="21"/>
        </w:rPr>
        <w:t>履行安全职责，如实编</w:t>
      </w:r>
      <w:r>
        <w:rPr>
          <w:sz w:val="21"/>
          <w:szCs w:val="21"/>
        </w:rPr>
        <w:t xml:space="preserve"> 制工程安全生产的有关记录，接受发包人、监理人及政府安全监督部门的</w:t>
      </w:r>
      <w:r>
        <w:rPr>
          <w:spacing w:val="-1"/>
          <w:sz w:val="21"/>
          <w:szCs w:val="21"/>
        </w:rPr>
        <w:t>检查与监督。</w:t>
      </w:r>
    </w:p>
    <w:p w14:paraId="75C14C31">
      <w:pPr>
        <w:pStyle w:val="2"/>
        <w:spacing w:before="8" w:line="219" w:lineRule="auto"/>
        <w:ind w:left="409"/>
        <w:rPr>
          <w:sz w:val="21"/>
          <w:szCs w:val="21"/>
        </w:rPr>
      </w:pPr>
      <w:r>
        <w:rPr>
          <w:rFonts w:ascii="Times New Roman" w:hAnsi="Times New Roman" w:eastAsia="Times New Roman" w:cs="Times New Roman"/>
          <w:b/>
          <w:bCs/>
          <w:sz w:val="21"/>
          <w:szCs w:val="21"/>
        </w:rPr>
        <w:t>6.1.3</w:t>
      </w:r>
      <w:r>
        <w:rPr>
          <w:rFonts w:ascii="Times New Roman" w:hAnsi="Times New Roman" w:eastAsia="Times New Roman" w:cs="Times New Roman"/>
          <w:b/>
          <w:bCs/>
          <w:spacing w:val="19"/>
          <w:w w:val="101"/>
          <w:sz w:val="21"/>
          <w:szCs w:val="21"/>
        </w:rPr>
        <w:t xml:space="preserve"> </w:t>
      </w:r>
      <w:r>
        <w:rPr>
          <w:sz w:val="21"/>
          <w:szCs w:val="21"/>
        </w:rPr>
        <w:t>特别安全生产事项</w:t>
      </w:r>
    </w:p>
    <w:p w14:paraId="704825B4">
      <w:pPr>
        <w:pStyle w:val="2"/>
        <w:spacing w:before="121" w:line="357" w:lineRule="auto"/>
        <w:ind w:right="19" w:firstLine="409"/>
        <w:rPr>
          <w:sz w:val="21"/>
          <w:szCs w:val="21"/>
        </w:rPr>
      </w:pPr>
      <w:r>
        <w:rPr>
          <w:spacing w:val="2"/>
          <w:sz w:val="21"/>
          <w:szCs w:val="21"/>
        </w:rPr>
        <w:t>承包人应按照法律规定进行施工，开工前做好安全技术交底工作，施工过程中做好各项</w:t>
      </w:r>
      <w:r>
        <w:rPr>
          <w:spacing w:val="1"/>
          <w:sz w:val="21"/>
          <w:szCs w:val="21"/>
        </w:rPr>
        <w:t>安全</w:t>
      </w:r>
      <w:r>
        <w:rPr>
          <w:sz w:val="21"/>
          <w:szCs w:val="21"/>
        </w:rPr>
        <w:t xml:space="preserve"> </w:t>
      </w:r>
      <w:r>
        <w:rPr>
          <w:spacing w:val="2"/>
          <w:sz w:val="21"/>
          <w:szCs w:val="21"/>
        </w:rPr>
        <w:t>防护措施。承包人为实施合同而雇用的特殊工种的人员</w:t>
      </w:r>
      <w:r>
        <w:rPr>
          <w:spacing w:val="1"/>
          <w:sz w:val="21"/>
          <w:szCs w:val="21"/>
        </w:rPr>
        <w:t>应受过专门的培训并已取得政府有关管理</w:t>
      </w:r>
      <w:r>
        <w:rPr>
          <w:sz w:val="21"/>
          <w:szCs w:val="21"/>
        </w:rPr>
        <w:t xml:space="preserve"> </w:t>
      </w:r>
      <w:r>
        <w:rPr>
          <w:spacing w:val="-4"/>
          <w:sz w:val="21"/>
          <w:szCs w:val="21"/>
        </w:rPr>
        <w:t>机构颁发的上岗证书。</w:t>
      </w:r>
    </w:p>
    <w:p w14:paraId="451906C9">
      <w:pPr>
        <w:pStyle w:val="2"/>
        <w:spacing w:before="1" w:line="345" w:lineRule="auto"/>
        <w:ind w:right="19" w:firstLine="409"/>
        <w:rPr>
          <w:sz w:val="21"/>
          <w:szCs w:val="21"/>
        </w:rPr>
      </w:pPr>
      <w:r>
        <w:rPr>
          <w:spacing w:val="2"/>
          <w:sz w:val="21"/>
          <w:szCs w:val="21"/>
        </w:rPr>
        <w:t>承包人在动力设备、输电线路、地下管道、密封防震车间、易燃易爆地段以及临街交通</w:t>
      </w:r>
      <w:r>
        <w:rPr>
          <w:spacing w:val="1"/>
          <w:sz w:val="21"/>
          <w:szCs w:val="21"/>
        </w:rPr>
        <w:t>要道</w:t>
      </w:r>
      <w:r>
        <w:rPr>
          <w:sz w:val="21"/>
          <w:szCs w:val="21"/>
        </w:rPr>
        <w:t xml:space="preserve"> 附近施工时，施工开始前应向发包人和监理人提出安全防护措施，经发包人</w:t>
      </w:r>
      <w:r>
        <w:rPr>
          <w:spacing w:val="-1"/>
          <w:sz w:val="21"/>
          <w:szCs w:val="21"/>
        </w:rPr>
        <w:t>认可后实施。</w:t>
      </w:r>
    </w:p>
    <w:p w14:paraId="705E44E0">
      <w:pPr>
        <w:pStyle w:val="2"/>
        <w:spacing w:before="5" w:line="354" w:lineRule="auto"/>
        <w:ind w:right="21" w:firstLine="409"/>
        <w:jc w:val="both"/>
        <w:rPr>
          <w:sz w:val="21"/>
          <w:szCs w:val="21"/>
        </w:rPr>
      </w:pPr>
      <w:r>
        <w:rPr>
          <w:spacing w:val="7"/>
          <w:sz w:val="21"/>
          <w:szCs w:val="21"/>
        </w:rPr>
        <w:t>实施爆破作业，在放射、毒害性环境中施工(含储存、运输、使用)及使用毒害性、腐蚀性</w:t>
      </w:r>
      <w:r>
        <w:rPr>
          <w:spacing w:val="6"/>
          <w:sz w:val="21"/>
          <w:szCs w:val="21"/>
        </w:rPr>
        <w:t xml:space="preserve"> </w:t>
      </w:r>
      <w:r>
        <w:rPr>
          <w:spacing w:val="4"/>
          <w:sz w:val="21"/>
          <w:szCs w:val="21"/>
        </w:rPr>
        <w:t>物品施工时，承包人应在施工前7天以书面通知发包人和监理人，并报送</w:t>
      </w:r>
      <w:r>
        <w:rPr>
          <w:spacing w:val="3"/>
          <w:sz w:val="21"/>
          <w:szCs w:val="21"/>
        </w:rPr>
        <w:t>相应的安全防护措施，</w:t>
      </w:r>
      <w:r>
        <w:rPr>
          <w:sz w:val="21"/>
          <w:szCs w:val="21"/>
        </w:rPr>
        <w:t xml:space="preserve"> </w:t>
      </w:r>
      <w:r>
        <w:rPr>
          <w:spacing w:val="-4"/>
          <w:sz w:val="21"/>
          <w:szCs w:val="21"/>
        </w:rPr>
        <w:t>经发包人认可后实施。</w:t>
      </w:r>
    </w:p>
    <w:p w14:paraId="688640BF">
      <w:pPr>
        <w:pStyle w:val="2"/>
        <w:spacing w:before="12" w:line="345" w:lineRule="auto"/>
        <w:ind w:right="20" w:firstLine="409"/>
        <w:rPr>
          <w:sz w:val="21"/>
          <w:szCs w:val="21"/>
        </w:rPr>
      </w:pPr>
      <w:r>
        <w:rPr>
          <w:spacing w:val="2"/>
          <w:sz w:val="21"/>
          <w:szCs w:val="21"/>
        </w:rPr>
        <w:t>需单独编制危险性较大分部分项专项工程施工方案的，及要求进行专家论证的超过一定</w:t>
      </w:r>
      <w:r>
        <w:rPr>
          <w:spacing w:val="1"/>
          <w:sz w:val="21"/>
          <w:szCs w:val="21"/>
        </w:rPr>
        <w:t>规模</w:t>
      </w:r>
      <w:r>
        <w:rPr>
          <w:sz w:val="21"/>
          <w:szCs w:val="21"/>
        </w:rPr>
        <w:t xml:space="preserve"> </w:t>
      </w:r>
      <w:r>
        <w:rPr>
          <w:spacing w:val="-1"/>
          <w:sz w:val="21"/>
          <w:szCs w:val="21"/>
        </w:rPr>
        <w:t>的危险性较大的分部分项工程，承包人应及时编制和组织论证。</w:t>
      </w:r>
    </w:p>
    <w:p w14:paraId="0D8BFBBB">
      <w:pPr>
        <w:pStyle w:val="2"/>
        <w:spacing w:before="6" w:line="220" w:lineRule="auto"/>
        <w:ind w:left="409"/>
        <w:rPr>
          <w:sz w:val="21"/>
          <w:szCs w:val="21"/>
        </w:rPr>
      </w:pPr>
      <w:r>
        <w:rPr>
          <w:rFonts w:ascii="Times New Roman" w:hAnsi="Times New Roman" w:eastAsia="Times New Roman" w:cs="Times New Roman"/>
          <w:b/>
          <w:bCs/>
          <w:sz w:val="21"/>
          <w:szCs w:val="21"/>
        </w:rPr>
        <w:t>6.1.4</w:t>
      </w:r>
      <w:r>
        <w:rPr>
          <w:rFonts w:ascii="Times New Roman" w:hAnsi="Times New Roman" w:eastAsia="Times New Roman" w:cs="Times New Roman"/>
          <w:b/>
          <w:bCs/>
          <w:spacing w:val="6"/>
          <w:sz w:val="21"/>
          <w:szCs w:val="21"/>
        </w:rPr>
        <w:t xml:space="preserve">  </w:t>
      </w:r>
      <w:r>
        <w:rPr>
          <w:sz w:val="21"/>
          <w:szCs w:val="21"/>
        </w:rPr>
        <w:t>治安保卫</w:t>
      </w:r>
    </w:p>
    <w:p w14:paraId="7E5A3CDB">
      <w:pPr>
        <w:pStyle w:val="2"/>
        <w:spacing w:before="157" w:line="346" w:lineRule="auto"/>
        <w:ind w:right="20" w:firstLine="409"/>
        <w:rPr>
          <w:sz w:val="21"/>
          <w:szCs w:val="21"/>
        </w:rPr>
      </w:pPr>
      <w:r>
        <w:rPr>
          <w:spacing w:val="2"/>
          <w:sz w:val="21"/>
          <w:szCs w:val="21"/>
        </w:rPr>
        <w:t>除专用合同条款另有约定外，发包人应与当地公安部门协商，在现场建立治安管理机</w:t>
      </w:r>
      <w:r>
        <w:rPr>
          <w:spacing w:val="1"/>
          <w:sz w:val="21"/>
          <w:szCs w:val="21"/>
        </w:rPr>
        <w:t>构或联</w:t>
      </w:r>
      <w:r>
        <w:rPr>
          <w:sz w:val="21"/>
          <w:szCs w:val="21"/>
        </w:rPr>
        <w:t xml:space="preserve"> </w:t>
      </w:r>
      <w:r>
        <w:rPr>
          <w:spacing w:val="-1"/>
          <w:sz w:val="21"/>
          <w:szCs w:val="21"/>
        </w:rPr>
        <w:t>防组织，统一管理施工场地的治安保卫事项，履行合同工程的治安保卫职责。</w:t>
      </w:r>
    </w:p>
    <w:p w14:paraId="4EE8D119">
      <w:pPr>
        <w:spacing w:line="346" w:lineRule="auto"/>
        <w:rPr>
          <w:sz w:val="21"/>
          <w:szCs w:val="21"/>
        </w:rPr>
        <w:sectPr>
          <w:footerReference r:id="rId206" w:type="default"/>
          <w:pgSz w:w="11910" w:h="16840"/>
          <w:pgMar w:top="400" w:right="1540" w:bottom="1024" w:left="1460" w:header="0" w:footer="889" w:gutter="0"/>
          <w:cols w:space="720" w:num="1"/>
        </w:sectPr>
      </w:pPr>
    </w:p>
    <w:p w14:paraId="4A507C3C">
      <w:pPr>
        <w:spacing w:line="270" w:lineRule="auto"/>
        <w:rPr>
          <w:rFonts w:ascii="Arial"/>
          <w:sz w:val="21"/>
        </w:rPr>
      </w:pPr>
    </w:p>
    <w:p w14:paraId="4DE2B03A">
      <w:pPr>
        <w:spacing w:line="270" w:lineRule="auto"/>
        <w:rPr>
          <w:rFonts w:ascii="Arial"/>
          <w:sz w:val="21"/>
        </w:rPr>
      </w:pPr>
    </w:p>
    <w:p w14:paraId="074A5A88">
      <w:pPr>
        <w:spacing w:line="270" w:lineRule="auto"/>
        <w:rPr>
          <w:rFonts w:ascii="Arial"/>
          <w:sz w:val="21"/>
        </w:rPr>
      </w:pPr>
    </w:p>
    <w:p w14:paraId="4C21F9DB">
      <w:pPr>
        <w:spacing w:line="270" w:lineRule="auto"/>
        <w:rPr>
          <w:rFonts w:ascii="Arial"/>
          <w:sz w:val="21"/>
        </w:rPr>
      </w:pPr>
    </w:p>
    <w:p w14:paraId="09B6ACF2">
      <w:pPr>
        <w:spacing w:line="270" w:lineRule="auto"/>
        <w:rPr>
          <w:rFonts w:ascii="Arial"/>
          <w:sz w:val="21"/>
        </w:rPr>
      </w:pPr>
    </w:p>
    <w:p w14:paraId="3A54B7E0">
      <w:pPr>
        <w:pStyle w:val="2"/>
        <w:spacing w:before="68" w:line="348" w:lineRule="auto"/>
        <w:ind w:right="94" w:firstLine="419"/>
        <w:rPr>
          <w:sz w:val="21"/>
          <w:szCs w:val="21"/>
        </w:rPr>
      </w:pPr>
      <w:r>
        <w:rPr>
          <w:spacing w:val="2"/>
          <w:sz w:val="21"/>
          <w:szCs w:val="21"/>
        </w:rPr>
        <w:t>发包人和承包人除应协助现场治安管理机构或联防组织维护施工场地的社会治安外，还应做</w:t>
      </w:r>
      <w:r>
        <w:rPr>
          <w:sz w:val="21"/>
          <w:szCs w:val="21"/>
        </w:rPr>
        <w:t xml:space="preserve"> </w:t>
      </w:r>
      <w:r>
        <w:rPr>
          <w:spacing w:val="-2"/>
          <w:sz w:val="21"/>
          <w:szCs w:val="21"/>
        </w:rPr>
        <w:t>好包括生活区在内的各自管辖区的治安保卫工作。</w:t>
      </w:r>
    </w:p>
    <w:p w14:paraId="16C09911">
      <w:pPr>
        <w:pStyle w:val="2"/>
        <w:spacing w:before="4" w:line="362" w:lineRule="auto"/>
        <w:ind w:right="92" w:firstLine="419"/>
        <w:jc w:val="both"/>
        <w:rPr>
          <w:sz w:val="17"/>
          <w:szCs w:val="17"/>
        </w:rPr>
      </w:pPr>
      <w:r>
        <w:rPr>
          <w:spacing w:val="5"/>
          <w:sz w:val="21"/>
          <w:szCs w:val="21"/>
        </w:rPr>
        <w:t>除专用合同条款另有约定外，发包人和承包人应在工程开工</w:t>
      </w:r>
      <w:r>
        <w:rPr>
          <w:spacing w:val="4"/>
          <w:sz w:val="21"/>
          <w:szCs w:val="21"/>
        </w:rPr>
        <w:t>后7天内共同编制施工场地治安</w:t>
      </w:r>
      <w:r>
        <w:rPr>
          <w:sz w:val="21"/>
          <w:szCs w:val="21"/>
        </w:rPr>
        <w:t xml:space="preserve"> </w:t>
      </w:r>
      <w:r>
        <w:rPr>
          <w:spacing w:val="2"/>
          <w:sz w:val="21"/>
          <w:szCs w:val="21"/>
        </w:rPr>
        <w:t>管理计划，并制定应对突发治安事件的紧急预案。在工程施工过程中，发生暴乱、爆</w:t>
      </w:r>
      <w:r>
        <w:rPr>
          <w:spacing w:val="1"/>
          <w:sz w:val="21"/>
          <w:szCs w:val="21"/>
        </w:rPr>
        <w:t>炸等恐怖事</w:t>
      </w:r>
      <w:r>
        <w:rPr>
          <w:sz w:val="21"/>
          <w:szCs w:val="21"/>
        </w:rPr>
        <w:t xml:space="preserve"> </w:t>
      </w:r>
      <w:r>
        <w:rPr>
          <w:spacing w:val="2"/>
          <w:sz w:val="21"/>
          <w:szCs w:val="21"/>
        </w:rPr>
        <w:t>件，以及群殴、械斗等群体性突发治安事件的，发包人和承包人应立即向当地政</w:t>
      </w:r>
      <w:r>
        <w:rPr>
          <w:spacing w:val="1"/>
          <w:sz w:val="21"/>
          <w:szCs w:val="21"/>
        </w:rPr>
        <w:t>府报告。发包人</w:t>
      </w:r>
      <w:r>
        <w:rPr>
          <w:sz w:val="21"/>
          <w:szCs w:val="21"/>
        </w:rPr>
        <w:t xml:space="preserve"> </w:t>
      </w:r>
      <w:r>
        <w:rPr>
          <w:spacing w:val="2"/>
          <w:sz w:val="21"/>
          <w:szCs w:val="21"/>
        </w:rPr>
        <w:t>和承包人应积极协助当地有关部门采取措施平息事态，防止事态扩大，尽量避免人员伤亡</w:t>
      </w:r>
      <w:r>
        <w:rPr>
          <w:spacing w:val="1"/>
          <w:sz w:val="21"/>
          <w:szCs w:val="21"/>
        </w:rPr>
        <w:t>和财产</w:t>
      </w:r>
      <w:r>
        <w:rPr>
          <w:sz w:val="21"/>
          <w:szCs w:val="21"/>
        </w:rPr>
        <w:t xml:space="preserve"> </w:t>
      </w:r>
      <w:r>
        <w:rPr>
          <w:spacing w:val="-6"/>
          <w:sz w:val="17"/>
          <w:szCs w:val="17"/>
        </w:rPr>
        <w:t>损</w:t>
      </w:r>
      <w:r>
        <w:rPr>
          <w:spacing w:val="-17"/>
          <w:sz w:val="17"/>
          <w:szCs w:val="17"/>
        </w:rPr>
        <w:t xml:space="preserve"> </w:t>
      </w:r>
      <w:r>
        <w:rPr>
          <w:spacing w:val="-6"/>
          <w:sz w:val="17"/>
          <w:szCs w:val="17"/>
        </w:rPr>
        <w:t>失</w:t>
      </w:r>
      <w:r>
        <w:rPr>
          <w:spacing w:val="-27"/>
          <w:sz w:val="17"/>
          <w:szCs w:val="17"/>
        </w:rPr>
        <w:t xml:space="preserve"> </w:t>
      </w:r>
      <w:r>
        <w:rPr>
          <w:spacing w:val="-6"/>
          <w:sz w:val="17"/>
          <w:szCs w:val="17"/>
        </w:rPr>
        <w:t>。</w:t>
      </w:r>
    </w:p>
    <w:p w14:paraId="1EB2A2AB">
      <w:pPr>
        <w:pStyle w:val="2"/>
        <w:spacing w:before="35" w:line="219" w:lineRule="auto"/>
        <w:ind w:left="419"/>
        <w:rPr>
          <w:sz w:val="21"/>
          <w:szCs w:val="21"/>
        </w:rPr>
      </w:pPr>
      <w:r>
        <w:rPr>
          <w:rFonts w:ascii="Times New Roman" w:hAnsi="Times New Roman" w:eastAsia="Times New Roman" w:cs="Times New Roman"/>
          <w:b/>
          <w:bCs/>
          <w:sz w:val="21"/>
          <w:szCs w:val="21"/>
        </w:rPr>
        <w:t>6.1.5</w:t>
      </w:r>
      <w:r>
        <w:rPr>
          <w:rFonts w:ascii="Times New Roman" w:hAnsi="Times New Roman" w:eastAsia="Times New Roman" w:cs="Times New Roman"/>
          <w:b/>
          <w:bCs/>
          <w:spacing w:val="7"/>
          <w:sz w:val="21"/>
          <w:szCs w:val="21"/>
        </w:rPr>
        <w:t xml:space="preserve">  </w:t>
      </w:r>
      <w:r>
        <w:rPr>
          <w:sz w:val="21"/>
          <w:szCs w:val="21"/>
        </w:rPr>
        <w:t>文明施工</w:t>
      </w:r>
    </w:p>
    <w:p w14:paraId="3D6E9A97">
      <w:pPr>
        <w:pStyle w:val="2"/>
        <w:spacing w:before="131" w:line="357" w:lineRule="auto"/>
        <w:ind w:right="86" w:firstLine="419"/>
        <w:rPr>
          <w:sz w:val="21"/>
          <w:szCs w:val="21"/>
        </w:rPr>
      </w:pPr>
      <w:r>
        <w:rPr>
          <w:spacing w:val="2"/>
          <w:sz w:val="21"/>
          <w:szCs w:val="21"/>
        </w:rPr>
        <w:t>承包人在工程施工期间，应当采取措施保持施工现场平整，物料堆放整齐。工程所在地</w:t>
      </w:r>
      <w:r>
        <w:rPr>
          <w:spacing w:val="1"/>
          <w:sz w:val="21"/>
          <w:szCs w:val="21"/>
        </w:rPr>
        <w:t>有关</w:t>
      </w:r>
      <w:r>
        <w:rPr>
          <w:sz w:val="21"/>
          <w:szCs w:val="21"/>
        </w:rPr>
        <w:t xml:space="preserve"> </w:t>
      </w:r>
      <w:r>
        <w:rPr>
          <w:spacing w:val="2"/>
          <w:sz w:val="21"/>
          <w:szCs w:val="21"/>
        </w:rPr>
        <w:t>政府行政管理部门有特殊要求的，按照其要求执行。合同当事人对文明施工有其他要求的，可以</w:t>
      </w:r>
      <w:r>
        <w:rPr>
          <w:spacing w:val="3"/>
          <w:sz w:val="21"/>
          <w:szCs w:val="21"/>
        </w:rPr>
        <w:t xml:space="preserve"> </w:t>
      </w:r>
      <w:r>
        <w:rPr>
          <w:spacing w:val="-4"/>
          <w:sz w:val="21"/>
          <w:szCs w:val="21"/>
        </w:rPr>
        <w:t>在专用合同条款中明确。</w:t>
      </w:r>
    </w:p>
    <w:p w14:paraId="50857F1E">
      <w:pPr>
        <w:pStyle w:val="2"/>
        <w:spacing w:before="3" w:line="348" w:lineRule="auto"/>
        <w:ind w:right="86" w:firstLine="419"/>
        <w:jc w:val="both"/>
        <w:rPr>
          <w:sz w:val="21"/>
          <w:szCs w:val="21"/>
        </w:rPr>
      </w:pPr>
      <w:r>
        <w:rPr>
          <w:spacing w:val="2"/>
          <w:sz w:val="21"/>
          <w:szCs w:val="21"/>
        </w:rPr>
        <w:t>在工程移交之前，承包人应当从施工现场清除承包人的全部工程设备、多余材料、垃圾和各</w:t>
      </w:r>
      <w:r>
        <w:rPr>
          <w:sz w:val="21"/>
          <w:szCs w:val="21"/>
        </w:rPr>
        <w:t xml:space="preserve"> </w:t>
      </w:r>
      <w:r>
        <w:rPr>
          <w:spacing w:val="2"/>
          <w:sz w:val="21"/>
          <w:szCs w:val="21"/>
        </w:rPr>
        <w:t>种临时工程，并保持施工现场清洁整齐。经发包人书面同意，承包人可在发包人指定的地点保留</w:t>
      </w:r>
      <w:r>
        <w:rPr>
          <w:spacing w:val="3"/>
          <w:sz w:val="21"/>
          <w:szCs w:val="21"/>
        </w:rPr>
        <w:t xml:space="preserve"> </w:t>
      </w:r>
      <w:r>
        <w:rPr>
          <w:spacing w:val="-1"/>
          <w:sz w:val="21"/>
          <w:szCs w:val="21"/>
        </w:rPr>
        <w:t>承包人履行保修期内的各项义务所需要的材料、施工</w:t>
      </w:r>
      <w:r>
        <w:rPr>
          <w:spacing w:val="-2"/>
          <w:sz w:val="21"/>
          <w:szCs w:val="21"/>
        </w:rPr>
        <w:t>设备和临时工程。</w:t>
      </w:r>
    </w:p>
    <w:p w14:paraId="6203C053">
      <w:pPr>
        <w:pStyle w:val="2"/>
        <w:spacing w:line="219" w:lineRule="auto"/>
        <w:ind w:left="419"/>
        <w:rPr>
          <w:sz w:val="21"/>
          <w:szCs w:val="21"/>
        </w:rPr>
      </w:pPr>
      <w:r>
        <w:rPr>
          <w:spacing w:val="-7"/>
          <w:sz w:val="21"/>
          <w:szCs w:val="21"/>
        </w:rPr>
        <w:t>6.1.6 安全文明施工费</w:t>
      </w:r>
    </w:p>
    <w:p w14:paraId="2B63B5FA">
      <w:pPr>
        <w:pStyle w:val="2"/>
        <w:spacing w:before="141" w:line="360" w:lineRule="auto"/>
        <w:ind w:right="106" w:firstLine="419"/>
        <w:rPr>
          <w:sz w:val="21"/>
          <w:szCs w:val="21"/>
        </w:rPr>
      </w:pPr>
      <w:r>
        <w:rPr>
          <w:spacing w:val="2"/>
          <w:sz w:val="21"/>
          <w:szCs w:val="21"/>
        </w:rPr>
        <w:t>安全文明施工费由发包人承担，发包人不得以任何形式扣减该</w:t>
      </w:r>
      <w:r>
        <w:rPr>
          <w:spacing w:val="1"/>
          <w:sz w:val="21"/>
          <w:szCs w:val="21"/>
        </w:rPr>
        <w:t>部分费用。因基准日期后合同</w:t>
      </w:r>
      <w:r>
        <w:rPr>
          <w:sz w:val="21"/>
          <w:szCs w:val="21"/>
        </w:rPr>
        <w:t xml:space="preserve"> 所适用的法律或政府有关规定发生变化，增</w:t>
      </w:r>
      <w:r>
        <w:rPr>
          <w:spacing w:val="-1"/>
          <w:sz w:val="21"/>
          <w:szCs w:val="21"/>
        </w:rPr>
        <w:t>加的安全文明施工费由发包人承担。</w:t>
      </w:r>
    </w:p>
    <w:p w14:paraId="53A06BF5">
      <w:pPr>
        <w:pStyle w:val="2"/>
        <w:spacing w:before="1" w:line="353" w:lineRule="auto"/>
        <w:ind w:right="92" w:firstLine="419"/>
        <w:jc w:val="both"/>
        <w:rPr>
          <w:sz w:val="21"/>
          <w:szCs w:val="21"/>
        </w:rPr>
      </w:pPr>
      <w:r>
        <w:rPr>
          <w:spacing w:val="2"/>
          <w:sz w:val="21"/>
          <w:szCs w:val="21"/>
        </w:rPr>
        <w:t>承包人经发包人同意采取合同约定以外的安全措施所产生的费用，由发包人承担。未经</w:t>
      </w:r>
      <w:r>
        <w:rPr>
          <w:spacing w:val="1"/>
          <w:sz w:val="21"/>
          <w:szCs w:val="21"/>
        </w:rPr>
        <w:t>发包</w:t>
      </w:r>
      <w:r>
        <w:rPr>
          <w:sz w:val="21"/>
          <w:szCs w:val="21"/>
        </w:rPr>
        <w:t xml:space="preserve"> </w:t>
      </w:r>
      <w:r>
        <w:rPr>
          <w:spacing w:val="2"/>
          <w:sz w:val="21"/>
          <w:szCs w:val="21"/>
        </w:rPr>
        <w:t>人同意的，如果该措施避免了发包人的损失，则发包人在避免损失的额度内承担该措施</w:t>
      </w:r>
      <w:r>
        <w:rPr>
          <w:spacing w:val="1"/>
          <w:sz w:val="21"/>
          <w:szCs w:val="21"/>
        </w:rPr>
        <w:t>费。如果</w:t>
      </w:r>
      <w:r>
        <w:rPr>
          <w:sz w:val="21"/>
          <w:szCs w:val="21"/>
        </w:rPr>
        <w:t xml:space="preserve"> </w:t>
      </w:r>
      <w:r>
        <w:rPr>
          <w:spacing w:val="-2"/>
          <w:sz w:val="21"/>
          <w:szCs w:val="21"/>
        </w:rPr>
        <w:t>该措施避免了承包人的损失，由承包人承担该措施费。</w:t>
      </w:r>
    </w:p>
    <w:p w14:paraId="2FA1135A">
      <w:pPr>
        <w:pStyle w:val="2"/>
        <w:spacing w:before="1" w:line="345" w:lineRule="auto"/>
        <w:ind w:right="75" w:firstLine="419"/>
        <w:jc w:val="both"/>
        <w:rPr>
          <w:sz w:val="21"/>
          <w:szCs w:val="21"/>
        </w:rPr>
      </w:pPr>
      <w:r>
        <w:rPr>
          <w:spacing w:val="7"/>
          <w:sz w:val="21"/>
          <w:szCs w:val="21"/>
        </w:rPr>
        <w:t>除专用合同条款另有约定外，发包人应在开工后28天内预付安全文明施工费总额的50%,其</w:t>
      </w:r>
      <w:r>
        <w:rPr>
          <w:spacing w:val="14"/>
          <w:sz w:val="21"/>
          <w:szCs w:val="21"/>
        </w:rPr>
        <w:t xml:space="preserve"> </w:t>
      </w:r>
      <w:r>
        <w:rPr>
          <w:spacing w:val="4"/>
          <w:sz w:val="21"/>
          <w:szCs w:val="21"/>
        </w:rPr>
        <w:t>余部分与进度款同期支付。发包人逾期支付安全文明施工费超过7天的，承包人有权向发包人发</w:t>
      </w:r>
      <w:r>
        <w:rPr>
          <w:spacing w:val="14"/>
          <w:sz w:val="21"/>
          <w:szCs w:val="21"/>
        </w:rPr>
        <w:t xml:space="preserve"> </w:t>
      </w:r>
      <w:r>
        <w:rPr>
          <w:spacing w:val="-5"/>
          <w:sz w:val="21"/>
          <w:szCs w:val="21"/>
        </w:rPr>
        <w:t>出要求预付的催告通知，发包人收到通知后7天内仍未支付的，承包人有权暂停施工，并按第16.1.1</w:t>
      </w:r>
      <w:r>
        <w:rPr>
          <w:spacing w:val="9"/>
          <w:sz w:val="21"/>
          <w:szCs w:val="21"/>
        </w:rPr>
        <w:t xml:space="preserve"> </w:t>
      </w:r>
      <w:r>
        <w:rPr>
          <w:spacing w:val="-3"/>
          <w:sz w:val="21"/>
          <w:szCs w:val="21"/>
        </w:rPr>
        <w:t>项〔发包人违约的情形〕执行。</w:t>
      </w:r>
    </w:p>
    <w:p w14:paraId="1C7391C0">
      <w:pPr>
        <w:pStyle w:val="2"/>
        <w:spacing w:before="23" w:line="349" w:lineRule="auto"/>
        <w:ind w:firstLine="419"/>
        <w:jc w:val="both"/>
        <w:rPr>
          <w:sz w:val="21"/>
          <w:szCs w:val="21"/>
        </w:rPr>
      </w:pPr>
      <w:r>
        <w:rPr>
          <w:spacing w:val="-1"/>
          <w:sz w:val="21"/>
          <w:szCs w:val="21"/>
        </w:rPr>
        <w:t>承包人对安全文明施工费应专款专用，承包人应在财务账目中单独列项备查，不得挪作他用，</w:t>
      </w:r>
      <w:r>
        <w:rPr>
          <w:spacing w:val="4"/>
          <w:sz w:val="21"/>
          <w:szCs w:val="21"/>
        </w:rPr>
        <w:t xml:space="preserve"> 否则发包人有权责令其限期改正；逾期未改正的，可以责</w:t>
      </w:r>
      <w:r>
        <w:rPr>
          <w:spacing w:val="3"/>
          <w:sz w:val="21"/>
          <w:szCs w:val="21"/>
        </w:rPr>
        <w:t>令其暂停施工，由此增加的费用和(或)</w:t>
      </w:r>
      <w:r>
        <w:rPr>
          <w:sz w:val="21"/>
          <w:szCs w:val="21"/>
        </w:rPr>
        <w:t xml:space="preserve"> </w:t>
      </w:r>
      <w:r>
        <w:rPr>
          <w:spacing w:val="-4"/>
          <w:sz w:val="21"/>
          <w:szCs w:val="21"/>
        </w:rPr>
        <w:t>延误的工期由承包人承担。</w:t>
      </w:r>
    </w:p>
    <w:p w14:paraId="7218EA72">
      <w:pPr>
        <w:pStyle w:val="2"/>
        <w:spacing w:before="1" w:line="219" w:lineRule="auto"/>
        <w:ind w:left="419"/>
        <w:rPr>
          <w:sz w:val="21"/>
          <w:szCs w:val="21"/>
        </w:rPr>
      </w:pPr>
      <w:r>
        <w:rPr>
          <w:spacing w:val="-1"/>
          <w:sz w:val="21"/>
          <w:szCs w:val="21"/>
        </w:rPr>
        <w:t>6.1.7紧急情况处理</w:t>
      </w:r>
    </w:p>
    <w:p w14:paraId="20C4DDD9">
      <w:pPr>
        <w:pStyle w:val="2"/>
        <w:spacing w:before="160" w:line="349" w:lineRule="auto"/>
        <w:ind w:right="66" w:firstLine="419"/>
        <w:rPr>
          <w:sz w:val="21"/>
          <w:szCs w:val="21"/>
        </w:rPr>
      </w:pPr>
      <w:r>
        <w:rPr>
          <w:spacing w:val="2"/>
          <w:sz w:val="21"/>
          <w:szCs w:val="21"/>
        </w:rPr>
        <w:t>在工程实施期间或缺陷责任期内发生危及工程安全的事件，监理人通知承包人进行抢救，承</w:t>
      </w:r>
      <w:r>
        <w:rPr>
          <w:sz w:val="21"/>
          <w:szCs w:val="21"/>
        </w:rPr>
        <w:t xml:space="preserve"> </w:t>
      </w:r>
      <w:r>
        <w:rPr>
          <w:spacing w:val="3"/>
          <w:sz w:val="21"/>
          <w:szCs w:val="21"/>
        </w:rPr>
        <w:t>包人声明无能力或不愿立即执行的，发包人有权雇佣</w:t>
      </w:r>
      <w:r>
        <w:rPr>
          <w:spacing w:val="2"/>
          <w:sz w:val="21"/>
          <w:szCs w:val="21"/>
        </w:rPr>
        <w:t>其他人员进行抢救。此类抢救按合同约定属</w:t>
      </w:r>
      <w:r>
        <w:rPr>
          <w:sz w:val="21"/>
          <w:szCs w:val="21"/>
        </w:rPr>
        <w:t xml:space="preserve"> </w:t>
      </w:r>
      <w:r>
        <w:rPr>
          <w:spacing w:val="6"/>
          <w:sz w:val="21"/>
          <w:szCs w:val="21"/>
        </w:rPr>
        <w:t>于承包人义务的，由此增加的费用和(或)延误的工期由承包人</w:t>
      </w:r>
      <w:r>
        <w:rPr>
          <w:spacing w:val="5"/>
          <w:sz w:val="21"/>
          <w:szCs w:val="21"/>
        </w:rPr>
        <w:t>承担。</w:t>
      </w:r>
    </w:p>
    <w:p w14:paraId="49CE76F3">
      <w:pPr>
        <w:pStyle w:val="2"/>
        <w:spacing w:line="220" w:lineRule="auto"/>
        <w:ind w:left="419"/>
        <w:rPr>
          <w:sz w:val="21"/>
          <w:szCs w:val="21"/>
        </w:rPr>
      </w:pPr>
      <w:r>
        <w:rPr>
          <w:rFonts w:ascii="Times New Roman" w:hAnsi="Times New Roman" w:eastAsia="Times New Roman" w:cs="Times New Roman"/>
          <w:b/>
          <w:bCs/>
          <w:spacing w:val="-2"/>
          <w:sz w:val="21"/>
          <w:szCs w:val="21"/>
        </w:rPr>
        <w:t>6.1.8</w:t>
      </w:r>
      <w:r>
        <w:rPr>
          <w:rFonts w:ascii="Times New Roman" w:hAnsi="Times New Roman" w:eastAsia="Times New Roman" w:cs="Times New Roman"/>
          <w:b/>
          <w:bCs/>
          <w:spacing w:val="7"/>
          <w:sz w:val="21"/>
          <w:szCs w:val="21"/>
        </w:rPr>
        <w:t xml:space="preserve">  </w:t>
      </w:r>
      <w:r>
        <w:rPr>
          <w:spacing w:val="-2"/>
          <w:sz w:val="21"/>
          <w:szCs w:val="21"/>
        </w:rPr>
        <w:t>事故处理</w:t>
      </w:r>
    </w:p>
    <w:p w14:paraId="3A0369BE">
      <w:pPr>
        <w:pStyle w:val="2"/>
        <w:spacing w:before="159" w:line="219" w:lineRule="auto"/>
        <w:ind w:left="419"/>
        <w:rPr>
          <w:sz w:val="21"/>
          <w:szCs w:val="21"/>
        </w:rPr>
      </w:pPr>
      <w:r>
        <w:rPr>
          <w:spacing w:val="2"/>
          <w:sz w:val="21"/>
          <w:szCs w:val="21"/>
        </w:rPr>
        <w:t>工程施工过程中发生事故的，承包人应立即通知监理人，监理人应立即通知发包人。发包人</w:t>
      </w:r>
    </w:p>
    <w:p w14:paraId="073C2703">
      <w:pPr>
        <w:spacing w:line="219" w:lineRule="auto"/>
        <w:rPr>
          <w:sz w:val="21"/>
          <w:szCs w:val="21"/>
        </w:rPr>
        <w:sectPr>
          <w:footerReference r:id="rId207" w:type="default"/>
          <w:pgSz w:w="11910" w:h="16840"/>
          <w:pgMar w:top="400" w:right="1455" w:bottom="1024" w:left="1460" w:header="0" w:footer="889" w:gutter="0"/>
          <w:cols w:space="720" w:num="1"/>
        </w:sectPr>
      </w:pPr>
    </w:p>
    <w:p w14:paraId="555E77BF">
      <w:pPr>
        <w:spacing w:line="274" w:lineRule="auto"/>
        <w:rPr>
          <w:rFonts w:ascii="Arial"/>
          <w:sz w:val="21"/>
        </w:rPr>
      </w:pPr>
    </w:p>
    <w:p w14:paraId="4F6AFC2B">
      <w:pPr>
        <w:spacing w:line="275" w:lineRule="auto"/>
        <w:rPr>
          <w:rFonts w:ascii="Arial"/>
          <w:sz w:val="21"/>
        </w:rPr>
      </w:pPr>
    </w:p>
    <w:p w14:paraId="3E9698C4">
      <w:pPr>
        <w:spacing w:line="275" w:lineRule="auto"/>
        <w:rPr>
          <w:rFonts w:ascii="Arial"/>
          <w:sz w:val="21"/>
        </w:rPr>
      </w:pPr>
    </w:p>
    <w:p w14:paraId="367CA079">
      <w:pPr>
        <w:spacing w:line="275" w:lineRule="auto"/>
        <w:rPr>
          <w:rFonts w:ascii="Arial"/>
          <w:sz w:val="21"/>
        </w:rPr>
      </w:pPr>
    </w:p>
    <w:p w14:paraId="6825123F">
      <w:pPr>
        <w:spacing w:line="275" w:lineRule="auto"/>
        <w:rPr>
          <w:rFonts w:ascii="Arial"/>
          <w:sz w:val="21"/>
        </w:rPr>
      </w:pPr>
    </w:p>
    <w:p w14:paraId="6B2DE5C6">
      <w:pPr>
        <w:pStyle w:val="2"/>
        <w:spacing w:before="65" w:line="361" w:lineRule="auto"/>
        <w:jc w:val="both"/>
        <w:rPr>
          <w:sz w:val="20"/>
          <w:szCs w:val="20"/>
        </w:rPr>
      </w:pPr>
      <w:r>
        <w:rPr>
          <w:spacing w:val="9"/>
          <w:sz w:val="20"/>
          <w:szCs w:val="20"/>
        </w:rPr>
        <w:t>和承包人应立即组织人员和设备进行紧急抢救和抢修，减</w:t>
      </w:r>
      <w:r>
        <w:rPr>
          <w:spacing w:val="8"/>
          <w:sz w:val="20"/>
          <w:szCs w:val="20"/>
        </w:rPr>
        <w:t>少人员伤亡和财产损失，防止事故扩大，</w:t>
      </w:r>
      <w:r>
        <w:rPr>
          <w:sz w:val="20"/>
          <w:szCs w:val="20"/>
        </w:rPr>
        <w:t xml:space="preserve"> </w:t>
      </w:r>
      <w:r>
        <w:rPr>
          <w:spacing w:val="12"/>
          <w:sz w:val="20"/>
          <w:szCs w:val="20"/>
        </w:rPr>
        <w:t>并保护事故现场。需要移动现场物品时，应作出标记和书面记录，妥善保管有关证据。发包人和</w:t>
      </w:r>
      <w:r>
        <w:rPr>
          <w:spacing w:val="1"/>
          <w:sz w:val="20"/>
          <w:szCs w:val="20"/>
        </w:rPr>
        <w:t xml:space="preserve"> </w:t>
      </w:r>
      <w:r>
        <w:rPr>
          <w:spacing w:val="12"/>
          <w:sz w:val="20"/>
          <w:szCs w:val="20"/>
        </w:rPr>
        <w:t>承包人应按国家有关规定，及时如实地向有关部门报告事故发生的情况，以及正在采取的紧急措</w:t>
      </w:r>
      <w:r>
        <w:rPr>
          <w:spacing w:val="16"/>
          <w:sz w:val="20"/>
          <w:szCs w:val="20"/>
        </w:rPr>
        <w:t xml:space="preserve"> </w:t>
      </w:r>
      <w:r>
        <w:rPr>
          <w:sz w:val="20"/>
          <w:szCs w:val="20"/>
        </w:rPr>
        <w:t>施等。</w:t>
      </w:r>
    </w:p>
    <w:p w14:paraId="190E8503">
      <w:pPr>
        <w:pStyle w:val="2"/>
        <w:spacing w:before="25" w:line="219" w:lineRule="auto"/>
        <w:ind w:left="419"/>
        <w:rPr>
          <w:sz w:val="20"/>
          <w:szCs w:val="20"/>
        </w:rPr>
      </w:pPr>
      <w:r>
        <w:rPr>
          <w:rFonts w:ascii="Times New Roman" w:hAnsi="Times New Roman" w:eastAsia="Times New Roman" w:cs="Times New Roman"/>
          <w:b/>
          <w:bCs/>
          <w:spacing w:val="5"/>
          <w:sz w:val="20"/>
          <w:szCs w:val="20"/>
        </w:rPr>
        <w:t>6.1.9</w:t>
      </w:r>
      <w:r>
        <w:rPr>
          <w:rFonts w:ascii="Times New Roman" w:hAnsi="Times New Roman" w:eastAsia="Times New Roman" w:cs="Times New Roman"/>
          <w:b/>
          <w:bCs/>
          <w:spacing w:val="21"/>
          <w:sz w:val="20"/>
          <w:szCs w:val="20"/>
        </w:rPr>
        <w:t xml:space="preserve">  </w:t>
      </w:r>
      <w:r>
        <w:rPr>
          <w:spacing w:val="5"/>
          <w:sz w:val="20"/>
          <w:szCs w:val="20"/>
        </w:rPr>
        <w:t>安全生产责任</w:t>
      </w:r>
    </w:p>
    <w:p w14:paraId="0FD93736">
      <w:pPr>
        <w:pStyle w:val="2"/>
        <w:spacing w:before="172" w:line="219" w:lineRule="auto"/>
        <w:ind w:left="419"/>
        <w:rPr>
          <w:sz w:val="20"/>
          <w:szCs w:val="20"/>
        </w:rPr>
      </w:pPr>
      <w:r>
        <w:rPr>
          <w:spacing w:val="5"/>
          <w:sz w:val="20"/>
          <w:szCs w:val="20"/>
        </w:rPr>
        <w:t>6.1.9.1发包人的安全责任</w:t>
      </w:r>
    </w:p>
    <w:p w14:paraId="726BA013">
      <w:pPr>
        <w:pStyle w:val="2"/>
        <w:spacing w:before="143" w:line="219" w:lineRule="auto"/>
        <w:ind w:left="419"/>
        <w:rPr>
          <w:sz w:val="20"/>
          <w:szCs w:val="20"/>
        </w:rPr>
      </w:pPr>
      <w:r>
        <w:rPr>
          <w:spacing w:val="8"/>
          <w:sz w:val="20"/>
          <w:szCs w:val="20"/>
        </w:rPr>
        <w:t>发包人应负责赔偿以下各种情况造成的损失：</w:t>
      </w:r>
    </w:p>
    <w:p w14:paraId="3F3AA763">
      <w:pPr>
        <w:pStyle w:val="2"/>
        <w:spacing w:before="182" w:line="219" w:lineRule="auto"/>
        <w:ind w:left="539"/>
        <w:rPr>
          <w:sz w:val="20"/>
          <w:szCs w:val="20"/>
        </w:rPr>
      </w:pPr>
      <w:r>
        <w:rPr>
          <w:spacing w:val="12"/>
          <w:sz w:val="20"/>
          <w:szCs w:val="20"/>
        </w:rPr>
        <w:t>(1)工程或工程的任何部分对土地的占用所造成的第三者财</w:t>
      </w:r>
      <w:r>
        <w:rPr>
          <w:spacing w:val="11"/>
          <w:sz w:val="20"/>
          <w:szCs w:val="20"/>
        </w:rPr>
        <w:t>产损失；</w:t>
      </w:r>
    </w:p>
    <w:p w14:paraId="6F30CA9D">
      <w:pPr>
        <w:pStyle w:val="2"/>
        <w:spacing w:before="153" w:line="219" w:lineRule="auto"/>
        <w:ind w:left="539"/>
        <w:rPr>
          <w:sz w:val="20"/>
          <w:szCs w:val="20"/>
        </w:rPr>
      </w:pPr>
      <w:r>
        <w:rPr>
          <w:spacing w:val="11"/>
          <w:sz w:val="20"/>
          <w:szCs w:val="20"/>
        </w:rPr>
        <w:t>(2)由于发包人原因在施工场地及其毗邻地带造成的第三者人身伤亡和财产损失；</w:t>
      </w:r>
    </w:p>
    <w:p w14:paraId="56A2E997">
      <w:pPr>
        <w:pStyle w:val="2"/>
        <w:spacing w:before="153" w:line="219" w:lineRule="auto"/>
        <w:ind w:left="539"/>
        <w:rPr>
          <w:sz w:val="20"/>
          <w:szCs w:val="20"/>
        </w:rPr>
      </w:pPr>
      <w:r>
        <w:rPr>
          <w:spacing w:val="12"/>
          <w:sz w:val="20"/>
          <w:szCs w:val="20"/>
        </w:rPr>
        <w:t>(3)由于发包人原因对承包人、监理人造成的人员人身伤</w:t>
      </w:r>
      <w:r>
        <w:rPr>
          <w:spacing w:val="11"/>
          <w:sz w:val="20"/>
          <w:szCs w:val="20"/>
        </w:rPr>
        <w:t>亡和财产损失；</w:t>
      </w:r>
    </w:p>
    <w:p w14:paraId="6C0721DB">
      <w:pPr>
        <w:pStyle w:val="2"/>
        <w:spacing w:before="183" w:line="219" w:lineRule="auto"/>
        <w:ind w:left="539"/>
        <w:rPr>
          <w:sz w:val="20"/>
          <w:szCs w:val="20"/>
        </w:rPr>
      </w:pPr>
      <w:r>
        <w:rPr>
          <w:spacing w:val="12"/>
          <w:sz w:val="20"/>
          <w:szCs w:val="20"/>
        </w:rPr>
        <w:t>(4)由于发包人原因造成的发包人自身人员的人身伤害以</w:t>
      </w:r>
      <w:r>
        <w:rPr>
          <w:spacing w:val="11"/>
          <w:sz w:val="20"/>
          <w:szCs w:val="20"/>
        </w:rPr>
        <w:t>及财产损失。</w:t>
      </w:r>
    </w:p>
    <w:p w14:paraId="4C220326">
      <w:pPr>
        <w:pStyle w:val="2"/>
        <w:spacing w:before="162" w:line="219" w:lineRule="auto"/>
        <w:ind w:left="419"/>
        <w:rPr>
          <w:sz w:val="20"/>
          <w:szCs w:val="20"/>
        </w:rPr>
      </w:pPr>
      <w:r>
        <w:rPr>
          <w:spacing w:val="5"/>
          <w:sz w:val="20"/>
          <w:szCs w:val="20"/>
        </w:rPr>
        <w:t>6.1.9.2承包人的安全责任</w:t>
      </w:r>
    </w:p>
    <w:p w14:paraId="269580D2">
      <w:pPr>
        <w:pStyle w:val="2"/>
        <w:spacing w:before="143" w:line="350" w:lineRule="auto"/>
        <w:ind w:right="92" w:firstLine="419"/>
        <w:rPr>
          <w:sz w:val="20"/>
          <w:szCs w:val="20"/>
        </w:rPr>
      </w:pPr>
      <w:r>
        <w:rPr>
          <w:spacing w:val="11"/>
          <w:sz w:val="20"/>
          <w:szCs w:val="20"/>
        </w:rPr>
        <w:t>由于承包人原因在施工场地内及其毗邻地带造成的发包人、监理人以及第三者人员伤亡和财</w:t>
      </w:r>
      <w:r>
        <w:rPr>
          <w:spacing w:val="16"/>
          <w:sz w:val="20"/>
          <w:szCs w:val="20"/>
        </w:rPr>
        <w:t xml:space="preserve"> </w:t>
      </w:r>
      <w:r>
        <w:rPr>
          <w:spacing w:val="8"/>
          <w:sz w:val="20"/>
          <w:szCs w:val="20"/>
        </w:rPr>
        <w:t>产损失，由承包人负责赔偿。</w:t>
      </w:r>
    </w:p>
    <w:p w14:paraId="0C39C1E8">
      <w:pPr>
        <w:pStyle w:val="2"/>
        <w:spacing w:line="219" w:lineRule="auto"/>
        <w:ind w:left="3"/>
        <w:rPr>
          <w:sz w:val="26"/>
          <w:szCs w:val="26"/>
        </w:rPr>
      </w:pPr>
      <w:r>
        <w:rPr>
          <w:b/>
          <w:bCs/>
          <w:spacing w:val="-14"/>
          <w:sz w:val="26"/>
          <w:szCs w:val="26"/>
        </w:rPr>
        <w:t>6.2</w:t>
      </w:r>
      <w:r>
        <w:rPr>
          <w:spacing w:val="-14"/>
          <w:sz w:val="26"/>
          <w:szCs w:val="26"/>
        </w:rPr>
        <w:t xml:space="preserve"> </w:t>
      </w:r>
      <w:r>
        <w:rPr>
          <w:b/>
          <w:bCs/>
          <w:spacing w:val="-14"/>
          <w:sz w:val="26"/>
          <w:szCs w:val="26"/>
        </w:rPr>
        <w:t>职业健康</w:t>
      </w:r>
    </w:p>
    <w:p w14:paraId="2877586D">
      <w:pPr>
        <w:pStyle w:val="2"/>
        <w:spacing w:before="143" w:line="219" w:lineRule="auto"/>
        <w:ind w:left="419"/>
        <w:rPr>
          <w:sz w:val="20"/>
          <w:szCs w:val="20"/>
        </w:rPr>
      </w:pPr>
      <w:r>
        <w:rPr>
          <w:spacing w:val="9"/>
          <w:sz w:val="20"/>
          <w:szCs w:val="20"/>
        </w:rPr>
        <w:t>6.2.1劳动保护</w:t>
      </w:r>
    </w:p>
    <w:p w14:paraId="2F9B929A">
      <w:pPr>
        <w:pStyle w:val="2"/>
        <w:spacing w:before="182" w:line="361" w:lineRule="auto"/>
        <w:ind w:right="63" w:firstLine="419"/>
        <w:rPr>
          <w:sz w:val="20"/>
          <w:szCs w:val="20"/>
        </w:rPr>
      </w:pPr>
      <w:r>
        <w:rPr>
          <w:spacing w:val="12"/>
          <w:sz w:val="20"/>
          <w:szCs w:val="20"/>
        </w:rPr>
        <w:t>承包人应按照法律规定安排现场施工人员的劳动和休息时间，保障劳动者的休息时间，并支</w:t>
      </w:r>
      <w:r>
        <w:rPr>
          <w:sz w:val="20"/>
          <w:szCs w:val="20"/>
        </w:rPr>
        <w:t xml:space="preserve"> </w:t>
      </w:r>
      <w:r>
        <w:rPr>
          <w:spacing w:val="12"/>
          <w:sz w:val="20"/>
          <w:szCs w:val="20"/>
        </w:rPr>
        <w:t>付合理的报酬和费用。承包人应依法为其履行合同所雇用的人员办理必要的证件、许可、保险和</w:t>
      </w:r>
      <w:r>
        <w:rPr>
          <w:spacing w:val="1"/>
          <w:sz w:val="20"/>
          <w:szCs w:val="20"/>
        </w:rPr>
        <w:t xml:space="preserve"> </w:t>
      </w:r>
      <w:r>
        <w:rPr>
          <w:spacing w:val="10"/>
          <w:sz w:val="20"/>
          <w:szCs w:val="20"/>
        </w:rPr>
        <w:t>注册等，承包人应督促其分包人为分包人所雇用的人员办理必要的证件</w:t>
      </w:r>
      <w:r>
        <w:rPr>
          <w:spacing w:val="9"/>
          <w:sz w:val="20"/>
          <w:szCs w:val="20"/>
        </w:rPr>
        <w:t>、许可、保险和注册等。</w:t>
      </w:r>
    </w:p>
    <w:p w14:paraId="429CBBC3">
      <w:pPr>
        <w:pStyle w:val="2"/>
        <w:spacing w:before="18" w:line="369" w:lineRule="auto"/>
        <w:ind w:right="63" w:firstLine="419"/>
        <w:rPr>
          <w:sz w:val="20"/>
          <w:szCs w:val="20"/>
        </w:rPr>
      </w:pPr>
      <w:r>
        <w:rPr>
          <w:spacing w:val="7"/>
          <w:sz w:val="20"/>
          <w:szCs w:val="20"/>
        </w:rPr>
        <w:t>承包人应按照法律规定保障现场施工人员的劳动安全，并提供劳动保护，并应按国家</w:t>
      </w:r>
      <w:r>
        <w:rPr>
          <w:spacing w:val="6"/>
          <w:sz w:val="20"/>
          <w:szCs w:val="20"/>
        </w:rPr>
        <w:t>有关劳动</w:t>
      </w:r>
      <w:r>
        <w:rPr>
          <w:sz w:val="20"/>
          <w:szCs w:val="20"/>
        </w:rPr>
        <w:t xml:space="preserve"> </w:t>
      </w:r>
      <w:r>
        <w:rPr>
          <w:spacing w:val="12"/>
          <w:sz w:val="20"/>
          <w:szCs w:val="20"/>
        </w:rPr>
        <w:t>保护的规定，采取有效的防止粉尘、降低噪声、控制有害气体和保障高温、高寒</w:t>
      </w:r>
      <w:r>
        <w:rPr>
          <w:spacing w:val="11"/>
          <w:sz w:val="20"/>
          <w:szCs w:val="20"/>
        </w:rPr>
        <w:t>、高空作业安全</w:t>
      </w:r>
      <w:r>
        <w:rPr>
          <w:sz w:val="20"/>
          <w:szCs w:val="20"/>
        </w:rPr>
        <w:t xml:space="preserve"> </w:t>
      </w:r>
      <w:r>
        <w:rPr>
          <w:spacing w:val="12"/>
          <w:sz w:val="20"/>
          <w:szCs w:val="20"/>
        </w:rPr>
        <w:t>等劳动保护措施。承包人雇佣人员在施工中受到伤害的，承包人应立即采取有效措施进行抢救和</w:t>
      </w:r>
      <w:r>
        <w:rPr>
          <w:spacing w:val="1"/>
          <w:sz w:val="20"/>
          <w:szCs w:val="20"/>
        </w:rPr>
        <w:t xml:space="preserve"> </w:t>
      </w:r>
      <w:r>
        <w:rPr>
          <w:sz w:val="20"/>
          <w:szCs w:val="20"/>
        </w:rPr>
        <w:t>治疗。</w:t>
      </w:r>
    </w:p>
    <w:p w14:paraId="32214024">
      <w:pPr>
        <w:pStyle w:val="2"/>
        <w:spacing w:before="1" w:line="369" w:lineRule="auto"/>
        <w:ind w:right="64" w:firstLine="419"/>
        <w:jc w:val="both"/>
        <w:rPr>
          <w:sz w:val="20"/>
          <w:szCs w:val="20"/>
        </w:rPr>
      </w:pPr>
      <w:r>
        <w:rPr>
          <w:spacing w:val="12"/>
          <w:sz w:val="20"/>
          <w:szCs w:val="20"/>
        </w:rPr>
        <w:t>承包人应按法律规定安排工作时间，保证其雇佣人员享有休息和休假的权利。因工程施工的</w:t>
      </w:r>
      <w:r>
        <w:rPr>
          <w:spacing w:val="4"/>
          <w:sz w:val="20"/>
          <w:szCs w:val="20"/>
        </w:rPr>
        <w:t xml:space="preserve"> </w:t>
      </w:r>
      <w:r>
        <w:rPr>
          <w:spacing w:val="12"/>
          <w:sz w:val="20"/>
          <w:szCs w:val="20"/>
        </w:rPr>
        <w:t>特殊需要占用休假日或延长工作时间的，应不超过法律规定的限度，并按法律规</w:t>
      </w:r>
      <w:r>
        <w:rPr>
          <w:spacing w:val="11"/>
          <w:sz w:val="20"/>
          <w:szCs w:val="20"/>
        </w:rPr>
        <w:t>定给予补休或付</w:t>
      </w:r>
      <w:r>
        <w:rPr>
          <w:sz w:val="20"/>
          <w:szCs w:val="20"/>
        </w:rPr>
        <w:t xml:space="preserve"> 酬。</w:t>
      </w:r>
    </w:p>
    <w:p w14:paraId="5788CA4F">
      <w:pPr>
        <w:pStyle w:val="2"/>
        <w:spacing w:before="1" w:line="219" w:lineRule="auto"/>
        <w:ind w:left="419"/>
        <w:rPr>
          <w:sz w:val="20"/>
          <w:szCs w:val="20"/>
        </w:rPr>
      </w:pPr>
      <w:r>
        <w:rPr>
          <w:spacing w:val="8"/>
          <w:sz w:val="20"/>
          <w:szCs w:val="20"/>
        </w:rPr>
        <w:t>6.2.2生活条件</w:t>
      </w:r>
    </w:p>
    <w:p w14:paraId="25035FE2">
      <w:pPr>
        <w:pStyle w:val="2"/>
        <w:spacing w:before="152" w:line="360" w:lineRule="auto"/>
        <w:ind w:right="47" w:firstLine="419"/>
        <w:rPr>
          <w:sz w:val="20"/>
          <w:szCs w:val="20"/>
        </w:rPr>
      </w:pPr>
      <w:r>
        <w:rPr>
          <w:spacing w:val="12"/>
          <w:sz w:val="20"/>
          <w:szCs w:val="20"/>
        </w:rPr>
        <w:t>承包人应为其履行合同所雇用的人员提供必要的膳宿条件和生活环境；承包人应采取有效措</w:t>
      </w:r>
      <w:r>
        <w:rPr>
          <w:sz w:val="20"/>
          <w:szCs w:val="20"/>
        </w:rPr>
        <w:t xml:space="preserve"> </w:t>
      </w:r>
      <w:r>
        <w:rPr>
          <w:spacing w:val="12"/>
          <w:sz w:val="20"/>
          <w:szCs w:val="20"/>
        </w:rPr>
        <w:t>施预防传染病，保证施工人员的健康，并定期对施工现场、施工人员生活基地和工程进行防疫和</w:t>
      </w:r>
      <w:r>
        <w:rPr>
          <w:spacing w:val="1"/>
          <w:sz w:val="20"/>
          <w:szCs w:val="20"/>
        </w:rPr>
        <w:t xml:space="preserve"> </w:t>
      </w:r>
      <w:r>
        <w:rPr>
          <w:spacing w:val="8"/>
          <w:sz w:val="20"/>
          <w:szCs w:val="20"/>
        </w:rPr>
        <w:t>卫生的专业检查和处理，在远离城镇的施工场</w:t>
      </w:r>
      <w:r>
        <w:rPr>
          <w:spacing w:val="7"/>
          <w:sz w:val="20"/>
          <w:szCs w:val="20"/>
        </w:rPr>
        <w:t>地，还应配备必要的伤病防治和急救的医务人员与医</w:t>
      </w:r>
      <w:r>
        <w:rPr>
          <w:sz w:val="20"/>
          <w:szCs w:val="20"/>
        </w:rPr>
        <w:t xml:space="preserve"> </w:t>
      </w:r>
      <w:r>
        <w:rPr>
          <w:spacing w:val="4"/>
          <w:sz w:val="20"/>
          <w:szCs w:val="20"/>
        </w:rPr>
        <w:t>疗设施。</w:t>
      </w:r>
    </w:p>
    <w:p w14:paraId="030AE422">
      <w:pPr>
        <w:pStyle w:val="2"/>
        <w:spacing w:line="220" w:lineRule="auto"/>
        <w:ind w:left="3"/>
        <w:rPr>
          <w:sz w:val="26"/>
          <w:szCs w:val="26"/>
        </w:rPr>
      </w:pPr>
      <w:r>
        <w:rPr>
          <w:b/>
          <w:bCs/>
          <w:spacing w:val="-15"/>
          <w:sz w:val="26"/>
          <w:szCs w:val="26"/>
        </w:rPr>
        <w:t>6.3</w:t>
      </w:r>
      <w:r>
        <w:rPr>
          <w:spacing w:val="-15"/>
          <w:sz w:val="26"/>
          <w:szCs w:val="26"/>
        </w:rPr>
        <w:t xml:space="preserve"> </w:t>
      </w:r>
      <w:r>
        <w:rPr>
          <w:b/>
          <w:bCs/>
          <w:spacing w:val="-15"/>
          <w:sz w:val="26"/>
          <w:szCs w:val="26"/>
        </w:rPr>
        <w:t>环境保护</w:t>
      </w:r>
    </w:p>
    <w:p w14:paraId="59769E71">
      <w:pPr>
        <w:pStyle w:val="2"/>
        <w:spacing w:before="139" w:line="219" w:lineRule="auto"/>
        <w:ind w:left="419"/>
        <w:rPr>
          <w:sz w:val="20"/>
          <w:szCs w:val="20"/>
        </w:rPr>
      </w:pPr>
      <w:r>
        <w:rPr>
          <w:spacing w:val="12"/>
          <w:sz w:val="20"/>
          <w:szCs w:val="20"/>
        </w:rPr>
        <w:t>承包人应在施工组织设计中列明环境保护的具体措施。在合同履行期间，承包人应采取合理</w:t>
      </w:r>
    </w:p>
    <w:p w14:paraId="2ABC9010">
      <w:pPr>
        <w:spacing w:line="219" w:lineRule="auto"/>
        <w:rPr>
          <w:sz w:val="20"/>
          <w:szCs w:val="20"/>
        </w:rPr>
        <w:sectPr>
          <w:footerReference r:id="rId208" w:type="default"/>
          <w:pgSz w:w="11910" w:h="16840"/>
          <w:pgMar w:top="400" w:right="1489" w:bottom="1024" w:left="1450" w:header="0" w:footer="889" w:gutter="0"/>
          <w:cols w:space="720" w:num="1"/>
        </w:sectPr>
      </w:pPr>
    </w:p>
    <w:p w14:paraId="190C9AD3">
      <w:pPr>
        <w:spacing w:line="270" w:lineRule="auto"/>
        <w:rPr>
          <w:rFonts w:ascii="Arial"/>
          <w:sz w:val="21"/>
        </w:rPr>
      </w:pPr>
    </w:p>
    <w:p w14:paraId="6AB7A5AB">
      <w:pPr>
        <w:spacing w:line="270" w:lineRule="auto"/>
        <w:rPr>
          <w:rFonts w:ascii="Arial"/>
          <w:sz w:val="21"/>
        </w:rPr>
      </w:pPr>
    </w:p>
    <w:p w14:paraId="066D06A9">
      <w:pPr>
        <w:spacing w:line="270" w:lineRule="auto"/>
        <w:rPr>
          <w:rFonts w:ascii="Arial"/>
          <w:sz w:val="21"/>
        </w:rPr>
      </w:pPr>
    </w:p>
    <w:p w14:paraId="3F3272CD">
      <w:pPr>
        <w:spacing w:line="270" w:lineRule="auto"/>
        <w:rPr>
          <w:rFonts w:ascii="Arial"/>
          <w:sz w:val="21"/>
        </w:rPr>
      </w:pPr>
    </w:p>
    <w:p w14:paraId="285BBB56">
      <w:pPr>
        <w:spacing w:line="270" w:lineRule="auto"/>
        <w:rPr>
          <w:rFonts w:ascii="Arial"/>
          <w:sz w:val="21"/>
        </w:rPr>
      </w:pPr>
    </w:p>
    <w:p w14:paraId="21008486">
      <w:pPr>
        <w:pStyle w:val="2"/>
        <w:spacing w:before="68" w:line="348" w:lineRule="auto"/>
        <w:ind w:right="84"/>
        <w:rPr>
          <w:sz w:val="21"/>
          <w:szCs w:val="21"/>
        </w:rPr>
      </w:pPr>
      <w:r>
        <w:rPr>
          <w:spacing w:val="2"/>
          <w:sz w:val="21"/>
          <w:szCs w:val="21"/>
        </w:rPr>
        <w:t>措施保护施工现场环境。对施工作业过程中可能引起的大气、水</w:t>
      </w:r>
      <w:r>
        <w:rPr>
          <w:spacing w:val="1"/>
          <w:sz w:val="21"/>
          <w:szCs w:val="21"/>
        </w:rPr>
        <w:t>、噪音以及固体废物污染采取具</w:t>
      </w:r>
      <w:r>
        <w:rPr>
          <w:sz w:val="21"/>
          <w:szCs w:val="21"/>
        </w:rPr>
        <w:t xml:space="preserve"> </w:t>
      </w:r>
      <w:r>
        <w:rPr>
          <w:spacing w:val="-4"/>
          <w:sz w:val="21"/>
          <w:szCs w:val="21"/>
        </w:rPr>
        <w:t>体可行的防范措施。</w:t>
      </w:r>
    </w:p>
    <w:p w14:paraId="3E67BD41">
      <w:pPr>
        <w:pStyle w:val="2"/>
        <w:spacing w:before="1" w:line="353" w:lineRule="auto"/>
        <w:ind w:right="82" w:firstLine="429"/>
        <w:rPr>
          <w:sz w:val="21"/>
          <w:szCs w:val="21"/>
        </w:rPr>
      </w:pPr>
      <w:r>
        <w:rPr>
          <w:spacing w:val="2"/>
          <w:sz w:val="21"/>
          <w:szCs w:val="21"/>
        </w:rPr>
        <w:t>承包人应当承担因其原因引起的环境污染侵权损害</w:t>
      </w:r>
      <w:r>
        <w:rPr>
          <w:spacing w:val="1"/>
          <w:sz w:val="21"/>
          <w:szCs w:val="21"/>
        </w:rPr>
        <w:t>赔偿责任，因上述环境污染引起纠纷而导</w:t>
      </w:r>
      <w:r>
        <w:rPr>
          <w:sz w:val="21"/>
          <w:szCs w:val="21"/>
        </w:rPr>
        <w:t xml:space="preserve"> </w:t>
      </w:r>
      <w:r>
        <w:rPr>
          <w:spacing w:val="7"/>
          <w:sz w:val="21"/>
          <w:szCs w:val="21"/>
        </w:rPr>
        <w:t>致暂停施工的，由此增加的费用和(或)延误的工期</w:t>
      </w:r>
      <w:r>
        <w:rPr>
          <w:spacing w:val="6"/>
          <w:sz w:val="21"/>
          <w:szCs w:val="21"/>
        </w:rPr>
        <w:t>由承包人承担。</w:t>
      </w:r>
    </w:p>
    <w:p w14:paraId="359345AE">
      <w:pPr>
        <w:pStyle w:val="2"/>
        <w:spacing w:before="45" w:line="220" w:lineRule="auto"/>
        <w:ind w:left="4"/>
        <w:rPr>
          <w:sz w:val="29"/>
          <w:szCs w:val="29"/>
        </w:rPr>
      </w:pPr>
      <w:r>
        <w:rPr>
          <w:b/>
          <w:bCs/>
          <w:spacing w:val="-3"/>
          <w:sz w:val="29"/>
          <w:szCs w:val="29"/>
        </w:rPr>
        <w:t>7.</w:t>
      </w:r>
      <w:r>
        <w:rPr>
          <w:spacing w:val="-77"/>
          <w:sz w:val="29"/>
          <w:szCs w:val="29"/>
        </w:rPr>
        <w:t xml:space="preserve"> </w:t>
      </w:r>
      <w:r>
        <w:rPr>
          <w:b/>
          <w:bCs/>
          <w:spacing w:val="-3"/>
          <w:sz w:val="29"/>
          <w:szCs w:val="29"/>
        </w:rPr>
        <w:t>工期和进度</w:t>
      </w:r>
    </w:p>
    <w:p w14:paraId="31597374">
      <w:pPr>
        <w:pStyle w:val="2"/>
        <w:spacing w:before="73" w:line="221" w:lineRule="auto"/>
        <w:ind w:left="3"/>
      </w:pPr>
      <w:r>
        <w:rPr>
          <w:b/>
          <w:bCs/>
          <w:spacing w:val="-4"/>
        </w:rPr>
        <w:t>7.1施工组织设计</w:t>
      </w:r>
    </w:p>
    <w:p w14:paraId="70A1BBB1">
      <w:pPr>
        <w:pStyle w:val="2"/>
        <w:spacing w:before="141" w:line="219" w:lineRule="auto"/>
        <w:ind w:left="429"/>
        <w:rPr>
          <w:sz w:val="21"/>
          <w:szCs w:val="21"/>
        </w:rPr>
      </w:pPr>
      <w:r>
        <w:rPr>
          <w:spacing w:val="-1"/>
          <w:sz w:val="21"/>
          <w:szCs w:val="21"/>
        </w:rPr>
        <w:t>7.1.1施工组织设计的内容</w:t>
      </w:r>
    </w:p>
    <w:p w14:paraId="6FD97C66">
      <w:pPr>
        <w:pStyle w:val="2"/>
        <w:spacing w:before="161" w:line="219" w:lineRule="auto"/>
        <w:ind w:left="429"/>
        <w:rPr>
          <w:sz w:val="21"/>
          <w:szCs w:val="21"/>
        </w:rPr>
      </w:pPr>
      <w:r>
        <w:rPr>
          <w:spacing w:val="-3"/>
          <w:sz w:val="21"/>
          <w:szCs w:val="21"/>
        </w:rPr>
        <w:t>施工组织设计应包含以下内容：</w:t>
      </w:r>
    </w:p>
    <w:p w14:paraId="5A27EE5F">
      <w:pPr>
        <w:pStyle w:val="2"/>
        <w:spacing w:before="142" w:line="220" w:lineRule="auto"/>
        <w:ind w:left="529"/>
        <w:rPr>
          <w:sz w:val="21"/>
          <w:szCs w:val="21"/>
        </w:rPr>
      </w:pPr>
      <w:r>
        <w:rPr>
          <w:spacing w:val="8"/>
          <w:sz w:val="21"/>
          <w:szCs w:val="21"/>
        </w:rPr>
        <w:t>(1)施工方案；</w:t>
      </w:r>
    </w:p>
    <w:p w14:paraId="41BEAEBA">
      <w:pPr>
        <w:pStyle w:val="2"/>
        <w:spacing w:before="157" w:line="219" w:lineRule="auto"/>
        <w:ind w:left="529"/>
        <w:rPr>
          <w:sz w:val="21"/>
          <w:szCs w:val="21"/>
        </w:rPr>
      </w:pPr>
      <w:r>
        <w:rPr>
          <w:spacing w:val="3"/>
          <w:sz w:val="21"/>
          <w:szCs w:val="21"/>
        </w:rPr>
        <w:t>(2)施工现场平面布置图；</w:t>
      </w:r>
    </w:p>
    <w:p w14:paraId="238A5635">
      <w:pPr>
        <w:pStyle w:val="2"/>
        <w:spacing w:before="143" w:line="220" w:lineRule="auto"/>
        <w:ind w:left="529"/>
        <w:rPr>
          <w:sz w:val="21"/>
          <w:szCs w:val="21"/>
        </w:rPr>
      </w:pPr>
      <w:r>
        <w:rPr>
          <w:spacing w:val="4"/>
          <w:sz w:val="21"/>
          <w:szCs w:val="21"/>
        </w:rPr>
        <w:t>(3)施工进度计划和保证措施；</w:t>
      </w:r>
    </w:p>
    <w:p w14:paraId="6F8E4959">
      <w:pPr>
        <w:pStyle w:val="2"/>
        <w:spacing w:before="138" w:line="219" w:lineRule="auto"/>
        <w:ind w:left="529"/>
        <w:rPr>
          <w:sz w:val="21"/>
          <w:szCs w:val="21"/>
        </w:rPr>
      </w:pPr>
      <w:r>
        <w:rPr>
          <w:spacing w:val="3"/>
          <w:sz w:val="21"/>
          <w:szCs w:val="21"/>
        </w:rPr>
        <w:t>(4)劳动力及材料供应计划；</w:t>
      </w:r>
    </w:p>
    <w:p w14:paraId="7535B4A2">
      <w:pPr>
        <w:pStyle w:val="2"/>
        <w:spacing w:before="161" w:line="219" w:lineRule="auto"/>
        <w:ind w:left="529"/>
        <w:rPr>
          <w:sz w:val="21"/>
          <w:szCs w:val="21"/>
        </w:rPr>
      </w:pPr>
      <w:r>
        <w:rPr>
          <w:spacing w:val="5"/>
          <w:sz w:val="21"/>
          <w:szCs w:val="21"/>
        </w:rPr>
        <w:t>(5)施工机械设备的选用；</w:t>
      </w:r>
    </w:p>
    <w:p w14:paraId="1FA5EA1C">
      <w:pPr>
        <w:pStyle w:val="2"/>
        <w:spacing w:before="163" w:line="220" w:lineRule="auto"/>
        <w:ind w:left="529"/>
        <w:rPr>
          <w:sz w:val="21"/>
          <w:szCs w:val="21"/>
        </w:rPr>
      </w:pPr>
      <w:r>
        <w:rPr>
          <w:spacing w:val="5"/>
          <w:sz w:val="21"/>
          <w:szCs w:val="21"/>
        </w:rPr>
        <w:t>(6)质量保证体系及措施；</w:t>
      </w:r>
    </w:p>
    <w:p w14:paraId="397BB51F">
      <w:pPr>
        <w:pStyle w:val="2"/>
        <w:spacing w:before="129" w:line="219" w:lineRule="auto"/>
        <w:ind w:left="529"/>
        <w:rPr>
          <w:sz w:val="21"/>
          <w:szCs w:val="21"/>
        </w:rPr>
      </w:pPr>
      <w:r>
        <w:rPr>
          <w:spacing w:val="4"/>
          <w:sz w:val="21"/>
          <w:szCs w:val="21"/>
        </w:rPr>
        <w:t>(7)安全生产、文明施工措施；</w:t>
      </w:r>
    </w:p>
    <w:p w14:paraId="5CDF0163">
      <w:pPr>
        <w:pStyle w:val="2"/>
        <w:spacing w:before="169" w:line="219" w:lineRule="auto"/>
        <w:ind w:left="529"/>
        <w:rPr>
          <w:sz w:val="21"/>
          <w:szCs w:val="21"/>
        </w:rPr>
      </w:pPr>
      <w:r>
        <w:rPr>
          <w:spacing w:val="4"/>
          <w:sz w:val="21"/>
          <w:szCs w:val="21"/>
        </w:rPr>
        <w:t>(8)环境保护、成本控制措施；</w:t>
      </w:r>
    </w:p>
    <w:p w14:paraId="179309B4">
      <w:pPr>
        <w:pStyle w:val="2"/>
        <w:spacing w:before="143" w:line="219" w:lineRule="auto"/>
        <w:ind w:left="529"/>
        <w:rPr>
          <w:sz w:val="21"/>
          <w:szCs w:val="21"/>
        </w:rPr>
      </w:pPr>
      <w:r>
        <w:rPr>
          <w:spacing w:val="5"/>
          <w:sz w:val="21"/>
          <w:szCs w:val="21"/>
        </w:rPr>
        <w:t>(9)合同当事人约定的其他内容。</w:t>
      </w:r>
    </w:p>
    <w:p w14:paraId="675405AF">
      <w:pPr>
        <w:pStyle w:val="2"/>
        <w:spacing w:before="141" w:line="219" w:lineRule="auto"/>
        <w:ind w:left="429"/>
        <w:rPr>
          <w:sz w:val="21"/>
          <w:szCs w:val="21"/>
        </w:rPr>
      </w:pPr>
      <w:r>
        <w:rPr>
          <w:sz w:val="21"/>
          <w:szCs w:val="21"/>
        </w:rPr>
        <w:t>7.1.2施工组织设计的提交和修改</w:t>
      </w:r>
    </w:p>
    <w:p w14:paraId="5EA39710">
      <w:pPr>
        <w:pStyle w:val="2"/>
        <w:spacing w:before="147" w:line="353" w:lineRule="auto"/>
        <w:ind w:right="27" w:firstLine="429"/>
        <w:rPr>
          <w:sz w:val="21"/>
          <w:szCs w:val="21"/>
        </w:rPr>
      </w:pPr>
      <w:r>
        <w:rPr>
          <w:sz w:val="21"/>
          <w:szCs w:val="21"/>
        </w:rPr>
        <w:t>除专用合同条款另有约定外，承包人应在合同签订后14天内，但至迟不得晚于第7.3.2项〔开</w:t>
      </w:r>
      <w:r>
        <w:rPr>
          <w:spacing w:val="12"/>
          <w:sz w:val="21"/>
          <w:szCs w:val="21"/>
        </w:rPr>
        <w:t xml:space="preserve"> </w:t>
      </w:r>
      <w:r>
        <w:rPr>
          <w:spacing w:val="4"/>
          <w:sz w:val="21"/>
          <w:szCs w:val="21"/>
        </w:rPr>
        <w:t>工通知〕载明的开工日期前7天，向监理人提交详细的施工组织设计，并由监理人报送发包人。</w:t>
      </w:r>
      <w:r>
        <w:rPr>
          <w:sz w:val="21"/>
          <w:szCs w:val="21"/>
        </w:rPr>
        <w:t xml:space="preserve"> </w:t>
      </w:r>
      <w:r>
        <w:rPr>
          <w:spacing w:val="5"/>
          <w:sz w:val="21"/>
          <w:szCs w:val="21"/>
        </w:rPr>
        <w:t>除专用合同条款另有约定外，发包人和监理人应</w:t>
      </w:r>
      <w:r>
        <w:rPr>
          <w:spacing w:val="4"/>
          <w:sz w:val="21"/>
          <w:szCs w:val="21"/>
        </w:rPr>
        <w:t>在监理人收到施工组织设计后7天内确认或提出</w:t>
      </w:r>
      <w:r>
        <w:rPr>
          <w:sz w:val="21"/>
          <w:szCs w:val="21"/>
        </w:rPr>
        <w:t xml:space="preserve"> </w:t>
      </w:r>
      <w:r>
        <w:rPr>
          <w:spacing w:val="2"/>
          <w:sz w:val="21"/>
          <w:szCs w:val="21"/>
        </w:rPr>
        <w:t>修改意见。对发包人和监理人提出的合理意见和要求，承包</w:t>
      </w:r>
      <w:r>
        <w:rPr>
          <w:spacing w:val="1"/>
          <w:sz w:val="21"/>
          <w:szCs w:val="21"/>
        </w:rPr>
        <w:t>人应自费修改完善。根据工程实际情</w:t>
      </w:r>
      <w:r>
        <w:rPr>
          <w:sz w:val="21"/>
          <w:szCs w:val="21"/>
        </w:rPr>
        <w:t xml:space="preserve"> 况需要修改施工组织设计的，承包人应向发包人和监理人提交修改后的施</w:t>
      </w:r>
      <w:r>
        <w:rPr>
          <w:spacing w:val="-1"/>
          <w:sz w:val="21"/>
          <w:szCs w:val="21"/>
        </w:rPr>
        <w:t>工组织设计。</w:t>
      </w:r>
    </w:p>
    <w:p w14:paraId="0704AD14">
      <w:pPr>
        <w:pStyle w:val="2"/>
        <w:spacing w:before="6" w:line="219" w:lineRule="auto"/>
        <w:ind w:left="429"/>
        <w:rPr>
          <w:sz w:val="21"/>
          <w:szCs w:val="21"/>
        </w:rPr>
      </w:pPr>
      <w:r>
        <w:rPr>
          <w:spacing w:val="2"/>
          <w:sz w:val="21"/>
          <w:szCs w:val="21"/>
        </w:rPr>
        <w:t>施工进度计划的编制和修改按照第7.2款〔施工进度计划〕执行。</w:t>
      </w:r>
    </w:p>
    <w:p w14:paraId="78263E20">
      <w:pPr>
        <w:pStyle w:val="2"/>
        <w:spacing w:before="119" w:line="220" w:lineRule="auto"/>
        <w:ind w:left="3"/>
      </w:pPr>
      <w:r>
        <w:rPr>
          <w:b/>
          <w:bCs/>
          <w:spacing w:val="-10"/>
        </w:rPr>
        <w:t>7.2</w:t>
      </w:r>
      <w:r>
        <w:rPr>
          <w:spacing w:val="-10"/>
        </w:rPr>
        <w:t xml:space="preserve"> </w:t>
      </w:r>
      <w:r>
        <w:rPr>
          <w:b/>
          <w:bCs/>
          <w:spacing w:val="-10"/>
        </w:rPr>
        <w:t>施工进度计划</w:t>
      </w:r>
    </w:p>
    <w:p w14:paraId="11291D73">
      <w:pPr>
        <w:pStyle w:val="2"/>
        <w:spacing w:before="144" w:line="219" w:lineRule="auto"/>
        <w:ind w:left="429"/>
        <w:rPr>
          <w:sz w:val="21"/>
          <w:szCs w:val="21"/>
        </w:rPr>
      </w:pPr>
      <w:r>
        <w:rPr>
          <w:spacing w:val="-1"/>
          <w:sz w:val="21"/>
          <w:szCs w:val="21"/>
        </w:rPr>
        <w:t>7.2.1施工进度计划的编制</w:t>
      </w:r>
    </w:p>
    <w:p w14:paraId="75B14CCF">
      <w:pPr>
        <w:pStyle w:val="2"/>
        <w:spacing w:before="149" w:line="352" w:lineRule="auto"/>
        <w:ind w:right="49" w:firstLine="429"/>
        <w:rPr>
          <w:sz w:val="21"/>
          <w:szCs w:val="21"/>
        </w:rPr>
      </w:pPr>
      <w:r>
        <w:rPr>
          <w:sz w:val="21"/>
          <w:szCs w:val="21"/>
        </w:rPr>
        <w:t>承包人应按照第7.1款〔施工组织设计〕约定提交详细的施工进度计划</w:t>
      </w:r>
      <w:r>
        <w:rPr>
          <w:spacing w:val="-1"/>
          <w:sz w:val="21"/>
          <w:szCs w:val="21"/>
        </w:rPr>
        <w:t>，施工进度计划的编制</w:t>
      </w:r>
      <w:r>
        <w:rPr>
          <w:sz w:val="21"/>
          <w:szCs w:val="21"/>
        </w:rPr>
        <w:t xml:space="preserve"> </w:t>
      </w:r>
      <w:r>
        <w:rPr>
          <w:spacing w:val="2"/>
          <w:sz w:val="21"/>
          <w:szCs w:val="21"/>
        </w:rPr>
        <w:t>应当符合国家法律规定和一般工程实践惯例，施工进度计划经发包人批准</w:t>
      </w:r>
      <w:r>
        <w:rPr>
          <w:spacing w:val="1"/>
          <w:sz w:val="21"/>
          <w:szCs w:val="21"/>
        </w:rPr>
        <w:t>后实施。施工进度计划</w:t>
      </w:r>
      <w:r>
        <w:rPr>
          <w:sz w:val="21"/>
          <w:szCs w:val="21"/>
        </w:rPr>
        <w:t xml:space="preserve"> 是控制工程进度的依据，发包人和监理人有权按照施工进度计划检查</w:t>
      </w:r>
      <w:r>
        <w:rPr>
          <w:spacing w:val="-1"/>
          <w:sz w:val="21"/>
          <w:szCs w:val="21"/>
        </w:rPr>
        <w:t>工程进度情况。</w:t>
      </w:r>
    </w:p>
    <w:p w14:paraId="708FB55D">
      <w:pPr>
        <w:pStyle w:val="2"/>
        <w:spacing w:line="219" w:lineRule="auto"/>
        <w:ind w:left="429"/>
        <w:rPr>
          <w:sz w:val="21"/>
          <w:szCs w:val="21"/>
        </w:rPr>
      </w:pPr>
      <w:r>
        <w:rPr>
          <w:spacing w:val="-1"/>
          <w:sz w:val="21"/>
          <w:szCs w:val="21"/>
        </w:rPr>
        <w:t>7.2.2施工进度计划的修订</w:t>
      </w:r>
    </w:p>
    <w:p w14:paraId="0257419D">
      <w:pPr>
        <w:pStyle w:val="2"/>
        <w:spacing w:before="151" w:line="353" w:lineRule="auto"/>
        <w:ind w:firstLine="429"/>
        <w:rPr>
          <w:sz w:val="21"/>
          <w:szCs w:val="21"/>
        </w:rPr>
      </w:pPr>
      <w:r>
        <w:rPr>
          <w:spacing w:val="2"/>
          <w:sz w:val="21"/>
          <w:szCs w:val="21"/>
        </w:rPr>
        <w:t>施工进度计划不符合合同要求或与工程的实际进度不一致的，承包人应向监理人提交修订的</w:t>
      </w:r>
      <w:r>
        <w:rPr>
          <w:spacing w:val="15"/>
          <w:sz w:val="21"/>
          <w:szCs w:val="21"/>
        </w:rPr>
        <w:t xml:space="preserve"> </w:t>
      </w:r>
      <w:r>
        <w:rPr>
          <w:spacing w:val="-1"/>
          <w:sz w:val="21"/>
          <w:szCs w:val="21"/>
        </w:rPr>
        <w:t>施工进度计划，并附具有关措施和相关资料，由监理人报送发包人。</w:t>
      </w:r>
      <w:r>
        <w:rPr>
          <w:spacing w:val="-2"/>
          <w:sz w:val="21"/>
          <w:szCs w:val="21"/>
        </w:rPr>
        <w:t>除专用合同条款另有约定外，</w:t>
      </w:r>
      <w:r>
        <w:rPr>
          <w:sz w:val="21"/>
          <w:szCs w:val="21"/>
        </w:rPr>
        <w:t xml:space="preserve"> </w:t>
      </w:r>
      <w:r>
        <w:rPr>
          <w:spacing w:val="4"/>
          <w:sz w:val="21"/>
          <w:szCs w:val="21"/>
        </w:rPr>
        <w:t>发包人和监理人应在收到修订的施工进度计划后7天内完成审核和批准或提出修改意见。发包人</w:t>
      </w:r>
    </w:p>
    <w:p w14:paraId="38E4BA73">
      <w:pPr>
        <w:spacing w:line="353" w:lineRule="auto"/>
        <w:rPr>
          <w:sz w:val="21"/>
          <w:szCs w:val="21"/>
        </w:rPr>
        <w:sectPr>
          <w:footerReference r:id="rId209" w:type="default"/>
          <w:pgSz w:w="11910" w:h="16840"/>
          <w:pgMar w:top="400" w:right="1484" w:bottom="1024" w:left="1450" w:header="0" w:footer="889" w:gutter="0"/>
          <w:cols w:space="720" w:num="1"/>
        </w:sectPr>
      </w:pPr>
    </w:p>
    <w:p w14:paraId="44D2C9AE">
      <w:pPr>
        <w:spacing w:line="269" w:lineRule="auto"/>
        <w:rPr>
          <w:rFonts w:ascii="Arial"/>
          <w:sz w:val="21"/>
        </w:rPr>
      </w:pPr>
    </w:p>
    <w:p w14:paraId="6514B234">
      <w:pPr>
        <w:spacing w:line="269" w:lineRule="auto"/>
        <w:rPr>
          <w:rFonts w:ascii="Arial"/>
          <w:sz w:val="21"/>
        </w:rPr>
      </w:pPr>
    </w:p>
    <w:p w14:paraId="6EB80DD9">
      <w:pPr>
        <w:spacing w:line="269" w:lineRule="auto"/>
        <w:rPr>
          <w:rFonts w:ascii="Arial"/>
          <w:sz w:val="21"/>
        </w:rPr>
      </w:pPr>
    </w:p>
    <w:p w14:paraId="5C050EBE">
      <w:pPr>
        <w:spacing w:line="269" w:lineRule="auto"/>
        <w:rPr>
          <w:rFonts w:ascii="Arial"/>
          <w:sz w:val="21"/>
        </w:rPr>
      </w:pPr>
    </w:p>
    <w:p w14:paraId="67FDB63A">
      <w:pPr>
        <w:spacing w:line="269" w:lineRule="auto"/>
        <w:rPr>
          <w:rFonts w:ascii="Arial"/>
          <w:sz w:val="21"/>
        </w:rPr>
      </w:pPr>
    </w:p>
    <w:p w14:paraId="4C726382">
      <w:pPr>
        <w:pStyle w:val="2"/>
        <w:spacing w:before="65" w:line="365" w:lineRule="auto"/>
        <w:ind w:right="46"/>
        <w:rPr>
          <w:sz w:val="20"/>
          <w:szCs w:val="20"/>
        </w:rPr>
      </w:pPr>
      <w:r>
        <w:rPr>
          <w:spacing w:val="13"/>
          <w:sz w:val="20"/>
          <w:szCs w:val="20"/>
        </w:rPr>
        <w:t>和监理人对承包人提交的施工进度计划的确认，不能减轻或免除</w:t>
      </w:r>
      <w:r>
        <w:rPr>
          <w:spacing w:val="12"/>
          <w:sz w:val="20"/>
          <w:szCs w:val="20"/>
        </w:rPr>
        <w:t>承包人根据法律规定和合同约定</w:t>
      </w:r>
      <w:r>
        <w:rPr>
          <w:sz w:val="20"/>
          <w:szCs w:val="20"/>
        </w:rPr>
        <w:t xml:space="preserve"> </w:t>
      </w:r>
      <w:r>
        <w:rPr>
          <w:spacing w:val="8"/>
          <w:sz w:val="20"/>
          <w:szCs w:val="20"/>
        </w:rPr>
        <w:t>应承担的任何责任或义务。</w:t>
      </w:r>
    </w:p>
    <w:p w14:paraId="63CB4886">
      <w:pPr>
        <w:pStyle w:val="2"/>
        <w:spacing w:line="224" w:lineRule="auto"/>
        <w:ind w:left="3"/>
        <w:rPr>
          <w:rFonts w:ascii="黑体" w:hAnsi="黑体" w:eastAsia="黑体" w:cs="黑体"/>
        </w:rPr>
      </w:pPr>
      <w:r>
        <w:rPr>
          <w:b/>
          <w:bCs/>
          <w:spacing w:val="-12"/>
        </w:rPr>
        <w:t>7.3</w:t>
      </w:r>
      <w:r>
        <w:rPr>
          <w:spacing w:val="-12"/>
        </w:rPr>
        <w:t xml:space="preserve"> </w:t>
      </w:r>
      <w:r>
        <w:rPr>
          <w:rFonts w:ascii="黑体" w:hAnsi="黑体" w:eastAsia="黑体" w:cs="黑体"/>
          <w:b/>
          <w:bCs/>
          <w:spacing w:val="-12"/>
        </w:rPr>
        <w:t>开工</w:t>
      </w:r>
    </w:p>
    <w:p w14:paraId="3C93C587">
      <w:pPr>
        <w:spacing w:before="125" w:line="223" w:lineRule="auto"/>
        <w:ind w:left="429"/>
        <w:rPr>
          <w:rFonts w:ascii="黑体" w:hAnsi="黑体" w:eastAsia="黑体" w:cs="黑体"/>
          <w:sz w:val="20"/>
          <w:szCs w:val="20"/>
        </w:rPr>
      </w:pPr>
      <w:r>
        <w:rPr>
          <w:rFonts w:ascii="黑体" w:hAnsi="黑体" w:eastAsia="黑体" w:cs="黑体"/>
          <w:spacing w:val="7"/>
          <w:sz w:val="20"/>
          <w:szCs w:val="20"/>
        </w:rPr>
        <w:t>7.3.1开工准备</w:t>
      </w:r>
    </w:p>
    <w:p w14:paraId="4DCDFF07">
      <w:pPr>
        <w:pStyle w:val="2"/>
        <w:spacing w:before="146" w:line="371" w:lineRule="auto"/>
        <w:ind w:right="51" w:firstLine="429"/>
        <w:rPr>
          <w:sz w:val="20"/>
          <w:szCs w:val="20"/>
        </w:rPr>
      </w:pPr>
      <w:r>
        <w:rPr>
          <w:spacing w:val="10"/>
          <w:sz w:val="20"/>
          <w:szCs w:val="20"/>
        </w:rPr>
        <w:t>除专用合同条款另有约定外，承包人应按照</w:t>
      </w:r>
      <w:r>
        <w:rPr>
          <w:spacing w:val="9"/>
          <w:sz w:val="20"/>
          <w:szCs w:val="20"/>
        </w:rPr>
        <w:t>第7.1款〔施工组织设计〕约定的期限，向监理人</w:t>
      </w:r>
      <w:r>
        <w:rPr>
          <w:sz w:val="20"/>
          <w:szCs w:val="20"/>
        </w:rPr>
        <w:t xml:space="preserve"> </w:t>
      </w:r>
      <w:r>
        <w:rPr>
          <w:spacing w:val="12"/>
          <w:sz w:val="20"/>
          <w:szCs w:val="20"/>
        </w:rPr>
        <w:t>提交工程开工报审表，经监理人报发包人批准后执行。开工报审表应详细说明按施工进度计划正</w:t>
      </w:r>
      <w:r>
        <w:rPr>
          <w:spacing w:val="7"/>
          <w:sz w:val="20"/>
          <w:szCs w:val="20"/>
        </w:rPr>
        <w:t xml:space="preserve"> </w:t>
      </w:r>
      <w:r>
        <w:rPr>
          <w:spacing w:val="12"/>
          <w:sz w:val="20"/>
          <w:szCs w:val="20"/>
        </w:rPr>
        <w:t>常施工所需的施工道路、临时设施、材料、工程设备、施工设备、施工人员等落实情况以及工程</w:t>
      </w:r>
      <w:r>
        <w:rPr>
          <w:spacing w:val="2"/>
          <w:sz w:val="20"/>
          <w:szCs w:val="20"/>
        </w:rPr>
        <w:t xml:space="preserve"> </w:t>
      </w:r>
      <w:r>
        <w:rPr>
          <w:spacing w:val="3"/>
          <w:sz w:val="20"/>
          <w:szCs w:val="20"/>
        </w:rPr>
        <w:t>的进度安排。</w:t>
      </w:r>
    </w:p>
    <w:p w14:paraId="5E3AFC70">
      <w:pPr>
        <w:pStyle w:val="2"/>
        <w:spacing w:before="4" w:line="219" w:lineRule="auto"/>
        <w:ind w:left="429"/>
        <w:rPr>
          <w:sz w:val="20"/>
          <w:szCs w:val="20"/>
        </w:rPr>
      </w:pPr>
      <w:r>
        <w:rPr>
          <w:spacing w:val="10"/>
          <w:sz w:val="20"/>
          <w:szCs w:val="20"/>
        </w:rPr>
        <w:t>除专用合同条款另有约定外，合同当事人应按约定完成开工准备工作。</w:t>
      </w:r>
    </w:p>
    <w:p w14:paraId="244669DE">
      <w:pPr>
        <w:spacing w:before="152" w:line="222" w:lineRule="auto"/>
        <w:ind w:left="429"/>
        <w:rPr>
          <w:rFonts w:ascii="黑体" w:hAnsi="黑体" w:eastAsia="黑体" w:cs="黑体"/>
          <w:sz w:val="20"/>
          <w:szCs w:val="20"/>
        </w:rPr>
      </w:pPr>
      <w:r>
        <w:rPr>
          <w:rFonts w:ascii="黑体" w:hAnsi="黑体" w:eastAsia="黑体" w:cs="黑体"/>
          <w:spacing w:val="8"/>
          <w:sz w:val="20"/>
          <w:szCs w:val="20"/>
        </w:rPr>
        <w:t>7.3.2开工通知</w:t>
      </w:r>
    </w:p>
    <w:p w14:paraId="16E25837">
      <w:pPr>
        <w:pStyle w:val="2"/>
        <w:spacing w:before="158" w:line="371" w:lineRule="auto"/>
        <w:ind w:right="63" w:firstLine="429"/>
        <w:rPr>
          <w:sz w:val="20"/>
          <w:szCs w:val="20"/>
        </w:rPr>
      </w:pPr>
      <w:r>
        <w:rPr>
          <w:spacing w:val="12"/>
          <w:sz w:val="20"/>
          <w:szCs w:val="20"/>
        </w:rPr>
        <w:t>发包人应按照法律规定获得工程施工所需的许可。经发包人同意后，监理人发出的开工通知</w:t>
      </w:r>
      <w:r>
        <w:rPr>
          <w:spacing w:val="4"/>
          <w:sz w:val="20"/>
          <w:szCs w:val="20"/>
        </w:rPr>
        <w:t xml:space="preserve"> </w:t>
      </w:r>
      <w:r>
        <w:rPr>
          <w:spacing w:val="15"/>
          <w:sz w:val="20"/>
          <w:szCs w:val="20"/>
        </w:rPr>
        <w:t>应符合法律规定。监理人应在计划开工日期</w:t>
      </w:r>
      <w:r>
        <w:rPr>
          <w:spacing w:val="14"/>
          <w:sz w:val="20"/>
          <w:szCs w:val="20"/>
        </w:rPr>
        <w:t>7天前向承包人发出开工通知，工期自开工通知中载</w:t>
      </w:r>
      <w:r>
        <w:rPr>
          <w:sz w:val="20"/>
          <w:szCs w:val="20"/>
        </w:rPr>
        <w:t xml:space="preserve"> </w:t>
      </w:r>
      <w:r>
        <w:rPr>
          <w:spacing w:val="6"/>
          <w:sz w:val="20"/>
          <w:szCs w:val="20"/>
        </w:rPr>
        <w:t>明的开工日期起算。</w:t>
      </w:r>
    </w:p>
    <w:p w14:paraId="14DA0CFB">
      <w:pPr>
        <w:pStyle w:val="2"/>
        <w:spacing w:before="16" w:line="352" w:lineRule="auto"/>
        <w:ind w:right="50" w:firstLine="429"/>
        <w:jc w:val="both"/>
        <w:rPr>
          <w:sz w:val="20"/>
          <w:szCs w:val="20"/>
        </w:rPr>
      </w:pPr>
      <w:r>
        <w:rPr>
          <w:spacing w:val="12"/>
          <w:sz w:val="20"/>
          <w:szCs w:val="20"/>
        </w:rPr>
        <w:t>除专用合同条款另有约定外，因发包人原因造成监理人未能在计划开工日期之日起90天内发</w:t>
      </w:r>
      <w:r>
        <w:rPr>
          <w:spacing w:val="5"/>
          <w:sz w:val="20"/>
          <w:szCs w:val="20"/>
        </w:rPr>
        <w:t xml:space="preserve"> </w:t>
      </w:r>
      <w:r>
        <w:rPr>
          <w:spacing w:val="12"/>
          <w:sz w:val="20"/>
          <w:szCs w:val="20"/>
        </w:rPr>
        <w:t>出开工通知的，承包人有权提出价格调整要求，或者解除合同。发包人应当承担由此增加的</w:t>
      </w:r>
      <w:r>
        <w:rPr>
          <w:spacing w:val="11"/>
          <w:sz w:val="20"/>
          <w:szCs w:val="20"/>
        </w:rPr>
        <w:t>费用</w:t>
      </w:r>
      <w:r>
        <w:rPr>
          <w:sz w:val="20"/>
          <w:szCs w:val="20"/>
        </w:rPr>
        <w:t xml:space="preserve"> </w:t>
      </w:r>
      <w:r>
        <w:rPr>
          <w:spacing w:val="17"/>
          <w:sz w:val="20"/>
          <w:szCs w:val="20"/>
        </w:rPr>
        <w:t>和(或)延误的工期，并向承包人支付合理利润。</w:t>
      </w:r>
    </w:p>
    <w:p w14:paraId="3F9F79B0">
      <w:pPr>
        <w:spacing w:before="1" w:line="219" w:lineRule="auto"/>
        <w:ind w:left="3"/>
        <w:rPr>
          <w:rFonts w:ascii="黑体" w:hAnsi="黑体" w:eastAsia="黑体" w:cs="黑体"/>
          <w:sz w:val="25"/>
          <w:szCs w:val="25"/>
        </w:rPr>
      </w:pPr>
      <w:r>
        <w:rPr>
          <w:rFonts w:ascii="黑体" w:hAnsi="黑体" w:eastAsia="黑体" w:cs="黑体"/>
          <w:b/>
          <w:bCs/>
          <w:spacing w:val="-5"/>
          <w:sz w:val="25"/>
          <w:szCs w:val="25"/>
        </w:rPr>
        <w:t>7.4测量放线</w:t>
      </w:r>
    </w:p>
    <w:p w14:paraId="4F23A3BB">
      <w:pPr>
        <w:pStyle w:val="2"/>
        <w:spacing w:before="138" w:line="374" w:lineRule="auto"/>
        <w:ind w:right="12" w:firstLine="429"/>
        <w:jc w:val="both"/>
        <w:rPr>
          <w:sz w:val="20"/>
          <w:szCs w:val="20"/>
        </w:rPr>
      </w:pPr>
      <w:r>
        <w:rPr>
          <w:spacing w:val="11"/>
          <w:sz w:val="20"/>
          <w:szCs w:val="20"/>
        </w:rPr>
        <w:t>7.4.1</w:t>
      </w:r>
      <w:r>
        <w:rPr>
          <w:spacing w:val="-37"/>
          <w:sz w:val="20"/>
          <w:szCs w:val="20"/>
        </w:rPr>
        <w:t xml:space="preserve"> </w:t>
      </w:r>
      <w:r>
        <w:rPr>
          <w:rFonts w:ascii="黑体" w:hAnsi="黑体" w:eastAsia="黑体" w:cs="黑体"/>
          <w:spacing w:val="11"/>
          <w:sz w:val="20"/>
          <w:szCs w:val="20"/>
        </w:rPr>
        <w:t>除专用合同条款另有约定外，发包人应在</w:t>
      </w:r>
      <w:r>
        <w:rPr>
          <w:rFonts w:ascii="黑体" w:hAnsi="黑体" w:eastAsia="黑体" w:cs="黑体"/>
          <w:spacing w:val="10"/>
          <w:sz w:val="20"/>
          <w:szCs w:val="20"/>
        </w:rPr>
        <w:t>至迟不得晚于第7.3.2项〔开工通知〕载明的</w:t>
      </w:r>
      <w:r>
        <w:rPr>
          <w:rFonts w:ascii="黑体" w:hAnsi="黑体" w:eastAsia="黑体" w:cs="黑体"/>
          <w:sz w:val="20"/>
          <w:szCs w:val="20"/>
        </w:rPr>
        <w:t xml:space="preserve"> </w:t>
      </w:r>
      <w:r>
        <w:rPr>
          <w:spacing w:val="15"/>
          <w:sz w:val="20"/>
          <w:szCs w:val="20"/>
        </w:rPr>
        <w:t>开工日期前7天通过监理人向承包人提供测</w:t>
      </w:r>
      <w:r>
        <w:rPr>
          <w:spacing w:val="14"/>
          <w:sz w:val="20"/>
          <w:szCs w:val="20"/>
        </w:rPr>
        <w:t>量基准点、基准线和水准点及其书面资料。发包人应</w:t>
      </w:r>
      <w:r>
        <w:rPr>
          <w:sz w:val="20"/>
          <w:szCs w:val="20"/>
        </w:rPr>
        <w:t xml:space="preserve"> </w:t>
      </w:r>
      <w:r>
        <w:rPr>
          <w:spacing w:val="10"/>
          <w:sz w:val="20"/>
          <w:szCs w:val="20"/>
        </w:rPr>
        <w:t>对其提供的测量基准点、基准线和水准点及其书面资料的真实</w:t>
      </w:r>
      <w:r>
        <w:rPr>
          <w:spacing w:val="9"/>
          <w:sz w:val="20"/>
          <w:szCs w:val="20"/>
        </w:rPr>
        <w:t>性、准确性和完整性负责。</w:t>
      </w:r>
    </w:p>
    <w:p w14:paraId="190BCE30">
      <w:pPr>
        <w:pStyle w:val="2"/>
        <w:spacing w:before="14" w:line="360" w:lineRule="auto"/>
        <w:ind w:right="70" w:firstLine="429"/>
        <w:jc w:val="both"/>
        <w:rPr>
          <w:sz w:val="20"/>
          <w:szCs w:val="20"/>
        </w:rPr>
      </w:pPr>
      <w:r>
        <w:rPr>
          <w:spacing w:val="12"/>
          <w:sz w:val="20"/>
          <w:szCs w:val="20"/>
        </w:rPr>
        <w:t>承包人发现发包人提供的测量基准点、基准线和水准点及其书面资料存在错误或疏漏</w:t>
      </w:r>
      <w:r>
        <w:rPr>
          <w:spacing w:val="11"/>
          <w:sz w:val="20"/>
          <w:szCs w:val="20"/>
        </w:rPr>
        <w:t>的，应</w:t>
      </w:r>
      <w:r>
        <w:rPr>
          <w:sz w:val="20"/>
          <w:szCs w:val="20"/>
        </w:rPr>
        <w:t xml:space="preserve"> </w:t>
      </w:r>
      <w:r>
        <w:rPr>
          <w:spacing w:val="12"/>
          <w:sz w:val="20"/>
          <w:szCs w:val="20"/>
        </w:rPr>
        <w:t>及时通知监理人。监理人应及时报告发包人，并会同发包人和承包人予以核实。发包人应就如何</w:t>
      </w:r>
      <w:r>
        <w:rPr>
          <w:spacing w:val="2"/>
          <w:sz w:val="20"/>
          <w:szCs w:val="20"/>
        </w:rPr>
        <w:t xml:space="preserve"> </w:t>
      </w:r>
      <w:r>
        <w:rPr>
          <w:spacing w:val="8"/>
          <w:sz w:val="20"/>
          <w:szCs w:val="20"/>
        </w:rPr>
        <w:t>处理和是否继续施工作出决定，并通知监理人和承包人。</w:t>
      </w:r>
    </w:p>
    <w:p w14:paraId="0EE859D1">
      <w:pPr>
        <w:pStyle w:val="2"/>
        <w:spacing w:before="2" w:line="374" w:lineRule="auto"/>
        <w:ind w:right="42" w:firstLine="429"/>
        <w:jc w:val="both"/>
        <w:rPr>
          <w:sz w:val="20"/>
          <w:szCs w:val="20"/>
        </w:rPr>
      </w:pPr>
      <w:r>
        <w:rPr>
          <w:rFonts w:ascii="黑体" w:hAnsi="黑体" w:eastAsia="黑体" w:cs="黑体"/>
          <w:spacing w:val="10"/>
          <w:sz w:val="20"/>
          <w:szCs w:val="20"/>
        </w:rPr>
        <w:t>7.4.2承包人负责施工过程中的全部施</w:t>
      </w:r>
      <w:r>
        <w:rPr>
          <w:rFonts w:ascii="黑体" w:hAnsi="黑体" w:eastAsia="黑体" w:cs="黑体"/>
          <w:spacing w:val="9"/>
          <w:sz w:val="20"/>
          <w:szCs w:val="20"/>
        </w:rPr>
        <w:t>工测量放线工作，并配置具有相应资质的人员、合格的</w:t>
      </w:r>
      <w:r>
        <w:rPr>
          <w:rFonts w:ascii="黑体" w:hAnsi="黑体" w:eastAsia="黑体" w:cs="黑体"/>
          <w:sz w:val="20"/>
          <w:szCs w:val="20"/>
        </w:rPr>
        <w:t xml:space="preserve"> </w:t>
      </w:r>
      <w:r>
        <w:rPr>
          <w:spacing w:val="12"/>
          <w:sz w:val="20"/>
          <w:szCs w:val="20"/>
        </w:rPr>
        <w:t>仪器、设备和其他物品。承包人应矫正工程的位置、标高</w:t>
      </w:r>
      <w:r>
        <w:rPr>
          <w:spacing w:val="11"/>
          <w:sz w:val="20"/>
          <w:szCs w:val="20"/>
        </w:rPr>
        <w:t>、尺寸或准线中出现的任何差错，并对</w:t>
      </w:r>
      <w:r>
        <w:rPr>
          <w:sz w:val="20"/>
          <w:szCs w:val="20"/>
        </w:rPr>
        <w:t xml:space="preserve"> </w:t>
      </w:r>
      <w:r>
        <w:rPr>
          <w:spacing w:val="6"/>
          <w:sz w:val="20"/>
          <w:szCs w:val="20"/>
        </w:rPr>
        <w:t>工程各部分的定位负责。</w:t>
      </w:r>
    </w:p>
    <w:p w14:paraId="35B929DD">
      <w:pPr>
        <w:pStyle w:val="2"/>
        <w:spacing w:before="13" w:line="219" w:lineRule="auto"/>
        <w:ind w:left="429"/>
        <w:rPr>
          <w:sz w:val="20"/>
          <w:szCs w:val="20"/>
        </w:rPr>
      </w:pPr>
      <w:r>
        <w:rPr>
          <w:spacing w:val="10"/>
          <w:sz w:val="20"/>
          <w:szCs w:val="20"/>
        </w:rPr>
        <w:t>施工过程中对施工现场内水准点等测量标志物</w:t>
      </w:r>
      <w:r>
        <w:rPr>
          <w:spacing w:val="9"/>
          <w:sz w:val="20"/>
          <w:szCs w:val="20"/>
        </w:rPr>
        <w:t>的保护工作由承包人负责。</w:t>
      </w:r>
    </w:p>
    <w:p w14:paraId="2616821D">
      <w:pPr>
        <w:pStyle w:val="2"/>
        <w:spacing w:before="100" w:line="222" w:lineRule="auto"/>
        <w:ind w:left="2"/>
        <w:rPr>
          <w:rFonts w:ascii="黑体" w:hAnsi="黑体" w:eastAsia="黑体" w:cs="黑体"/>
        </w:rPr>
      </w:pPr>
      <w:r>
        <w:rPr>
          <w:b/>
          <w:bCs/>
          <w:spacing w:val="-11"/>
        </w:rPr>
        <w:t>7.5</w:t>
      </w:r>
      <w:r>
        <w:rPr>
          <w:spacing w:val="11"/>
        </w:rPr>
        <w:t xml:space="preserve"> </w:t>
      </w:r>
      <w:r>
        <w:rPr>
          <w:rFonts w:ascii="黑体" w:hAnsi="黑体" w:eastAsia="黑体" w:cs="黑体"/>
          <w:b/>
          <w:bCs/>
          <w:spacing w:val="-11"/>
        </w:rPr>
        <w:t>工期延误</w:t>
      </w:r>
    </w:p>
    <w:p w14:paraId="2525ABBB">
      <w:pPr>
        <w:spacing w:before="150" w:line="221" w:lineRule="auto"/>
        <w:ind w:left="429"/>
        <w:rPr>
          <w:rFonts w:ascii="黑体" w:hAnsi="黑体" w:eastAsia="黑体" w:cs="黑体"/>
          <w:sz w:val="20"/>
          <w:szCs w:val="20"/>
        </w:rPr>
      </w:pPr>
      <w:r>
        <w:rPr>
          <w:rFonts w:ascii="黑体" w:hAnsi="黑体" w:eastAsia="黑体" w:cs="黑体"/>
          <w:spacing w:val="8"/>
          <w:sz w:val="20"/>
          <w:szCs w:val="20"/>
        </w:rPr>
        <w:t>7.5.1因发包人原因导致工期延误</w:t>
      </w:r>
    </w:p>
    <w:p w14:paraId="66C07450">
      <w:pPr>
        <w:pStyle w:val="2"/>
        <w:spacing w:before="172" w:line="360" w:lineRule="auto"/>
        <w:ind w:right="69" w:firstLine="429"/>
        <w:rPr>
          <w:sz w:val="20"/>
          <w:szCs w:val="20"/>
        </w:rPr>
      </w:pPr>
      <w:r>
        <w:rPr>
          <w:spacing w:val="17"/>
          <w:sz w:val="20"/>
          <w:szCs w:val="20"/>
        </w:rPr>
        <w:t>在合同履行过程中，因下列情况导致工期延误和(或)费用增加的，由发包人承担由此延误</w:t>
      </w:r>
      <w:r>
        <w:rPr>
          <w:sz w:val="20"/>
          <w:szCs w:val="20"/>
        </w:rPr>
        <w:t xml:space="preserve"> </w:t>
      </w:r>
      <w:r>
        <w:rPr>
          <w:spacing w:val="15"/>
          <w:sz w:val="20"/>
          <w:szCs w:val="20"/>
        </w:rPr>
        <w:t>的工期和(或)增加的费用，且发包人应支付承包人合理的利润：</w:t>
      </w:r>
    </w:p>
    <w:p w14:paraId="54AFDC5F">
      <w:pPr>
        <w:pStyle w:val="2"/>
        <w:spacing w:before="1" w:line="218" w:lineRule="auto"/>
        <w:ind w:left="529"/>
        <w:rPr>
          <w:sz w:val="20"/>
          <w:szCs w:val="20"/>
        </w:rPr>
      </w:pPr>
      <w:r>
        <w:rPr>
          <w:spacing w:val="12"/>
          <w:sz w:val="20"/>
          <w:szCs w:val="20"/>
        </w:rPr>
        <w:t>(1)发包人未能按合同约定提供图纸或所提供图纸不符合合</w:t>
      </w:r>
      <w:r>
        <w:rPr>
          <w:spacing w:val="11"/>
          <w:sz w:val="20"/>
          <w:szCs w:val="20"/>
        </w:rPr>
        <w:t>同约定的；</w:t>
      </w:r>
    </w:p>
    <w:p w14:paraId="78CA314D">
      <w:pPr>
        <w:pStyle w:val="2"/>
        <w:spacing w:before="172" w:line="219" w:lineRule="auto"/>
        <w:jc w:val="right"/>
        <w:rPr>
          <w:sz w:val="20"/>
          <w:szCs w:val="20"/>
        </w:rPr>
      </w:pPr>
      <w:r>
        <w:rPr>
          <w:spacing w:val="8"/>
          <w:sz w:val="20"/>
          <w:szCs w:val="20"/>
        </w:rPr>
        <w:t>(2)发包人未能按合同约定提供施工现场、施工条件、基础资料、许可、批准等开工条件的；</w:t>
      </w:r>
    </w:p>
    <w:p w14:paraId="1CE27278">
      <w:pPr>
        <w:spacing w:line="219" w:lineRule="auto"/>
        <w:rPr>
          <w:sz w:val="20"/>
          <w:szCs w:val="20"/>
        </w:rPr>
        <w:sectPr>
          <w:footerReference r:id="rId210" w:type="default"/>
          <w:pgSz w:w="11910" w:h="16840"/>
          <w:pgMar w:top="400" w:right="1480" w:bottom="1024" w:left="1450" w:header="0" w:footer="889" w:gutter="0"/>
          <w:cols w:space="720" w:num="1"/>
        </w:sectPr>
      </w:pPr>
    </w:p>
    <w:p w14:paraId="3D798953">
      <w:pPr>
        <w:spacing w:line="270" w:lineRule="auto"/>
        <w:rPr>
          <w:rFonts w:ascii="Arial"/>
          <w:sz w:val="21"/>
        </w:rPr>
      </w:pPr>
    </w:p>
    <w:p w14:paraId="4DEDB429">
      <w:pPr>
        <w:spacing w:line="270" w:lineRule="auto"/>
        <w:rPr>
          <w:rFonts w:ascii="Arial"/>
          <w:sz w:val="21"/>
        </w:rPr>
      </w:pPr>
    </w:p>
    <w:p w14:paraId="44EDEC85">
      <w:pPr>
        <w:spacing w:line="270" w:lineRule="auto"/>
        <w:rPr>
          <w:rFonts w:ascii="Arial"/>
          <w:sz w:val="21"/>
        </w:rPr>
      </w:pPr>
    </w:p>
    <w:p w14:paraId="456239CE">
      <w:pPr>
        <w:spacing w:line="270" w:lineRule="auto"/>
        <w:rPr>
          <w:rFonts w:ascii="Arial"/>
          <w:sz w:val="21"/>
        </w:rPr>
      </w:pPr>
    </w:p>
    <w:p w14:paraId="2329A49C">
      <w:pPr>
        <w:spacing w:line="270" w:lineRule="auto"/>
        <w:rPr>
          <w:rFonts w:ascii="Arial"/>
          <w:sz w:val="21"/>
        </w:rPr>
      </w:pPr>
    </w:p>
    <w:p w14:paraId="4344B393">
      <w:pPr>
        <w:pStyle w:val="2"/>
        <w:spacing w:before="69" w:line="219" w:lineRule="auto"/>
        <w:ind w:left="519"/>
        <w:rPr>
          <w:sz w:val="21"/>
          <w:szCs w:val="21"/>
        </w:rPr>
      </w:pPr>
      <w:r>
        <w:rPr>
          <w:spacing w:val="2"/>
          <w:sz w:val="21"/>
          <w:szCs w:val="21"/>
        </w:rPr>
        <w:t>(3)发包人提供的测量基准点、基准线和水准点及其书面资料存在错误或疏漏的；</w:t>
      </w:r>
    </w:p>
    <w:p w14:paraId="3374B0D6">
      <w:pPr>
        <w:pStyle w:val="2"/>
        <w:spacing w:before="152" w:line="219" w:lineRule="auto"/>
        <w:ind w:left="519"/>
        <w:rPr>
          <w:sz w:val="21"/>
          <w:szCs w:val="21"/>
        </w:rPr>
      </w:pPr>
      <w:r>
        <w:rPr>
          <w:spacing w:val="6"/>
          <w:sz w:val="21"/>
          <w:szCs w:val="21"/>
        </w:rPr>
        <w:t>(4)发包人未能在计划开工日期之日起7天内同意下达开工通知的；</w:t>
      </w:r>
    </w:p>
    <w:p w14:paraId="33806549">
      <w:pPr>
        <w:pStyle w:val="2"/>
        <w:spacing w:before="150" w:line="219" w:lineRule="auto"/>
        <w:ind w:left="519"/>
        <w:rPr>
          <w:sz w:val="21"/>
          <w:szCs w:val="21"/>
        </w:rPr>
      </w:pPr>
      <w:r>
        <w:rPr>
          <w:spacing w:val="2"/>
          <w:sz w:val="21"/>
          <w:szCs w:val="21"/>
        </w:rPr>
        <w:t>(5)发包人未能按合同约定日期支付工程预付款、进度款或竣工结算款的；</w:t>
      </w:r>
    </w:p>
    <w:p w14:paraId="7A7790E3">
      <w:pPr>
        <w:pStyle w:val="2"/>
        <w:spacing w:before="151" w:line="219" w:lineRule="auto"/>
        <w:ind w:left="519"/>
        <w:rPr>
          <w:sz w:val="21"/>
          <w:szCs w:val="21"/>
        </w:rPr>
      </w:pPr>
      <w:r>
        <w:rPr>
          <w:spacing w:val="3"/>
          <w:sz w:val="21"/>
          <w:szCs w:val="21"/>
        </w:rPr>
        <w:t>(6)监理人未按合同约定发出指示、批准等文件的；</w:t>
      </w:r>
    </w:p>
    <w:p w14:paraId="0B6C7613">
      <w:pPr>
        <w:pStyle w:val="2"/>
        <w:spacing w:before="150" w:line="219" w:lineRule="auto"/>
        <w:ind w:left="519"/>
        <w:rPr>
          <w:sz w:val="21"/>
          <w:szCs w:val="21"/>
        </w:rPr>
      </w:pPr>
      <w:r>
        <w:rPr>
          <w:spacing w:val="4"/>
          <w:sz w:val="21"/>
          <w:szCs w:val="21"/>
        </w:rPr>
        <w:t>(7)专用合同条款中约定的其他情形。</w:t>
      </w:r>
    </w:p>
    <w:p w14:paraId="5F366680">
      <w:pPr>
        <w:pStyle w:val="2"/>
        <w:spacing w:before="171" w:line="344" w:lineRule="auto"/>
        <w:ind w:right="20" w:firstLine="409"/>
        <w:jc w:val="both"/>
        <w:rPr>
          <w:sz w:val="21"/>
          <w:szCs w:val="21"/>
        </w:rPr>
      </w:pPr>
      <w:r>
        <w:rPr>
          <w:spacing w:val="2"/>
          <w:sz w:val="21"/>
          <w:szCs w:val="21"/>
        </w:rPr>
        <w:t>因发包人原因未按计划开工日期开工的，发包人应按实际开工日期顺延竣工日期，确保实际</w:t>
      </w:r>
      <w:r>
        <w:rPr>
          <w:spacing w:val="8"/>
          <w:sz w:val="21"/>
          <w:szCs w:val="21"/>
        </w:rPr>
        <w:t xml:space="preserve"> </w:t>
      </w:r>
      <w:r>
        <w:rPr>
          <w:spacing w:val="1"/>
          <w:sz w:val="21"/>
          <w:szCs w:val="21"/>
        </w:rPr>
        <w:t>工期不低于合同约定的工期总日历天数。因发包人原因导致工期延误需要修订施工进度计划的，</w:t>
      </w:r>
      <w:r>
        <w:rPr>
          <w:spacing w:val="11"/>
          <w:sz w:val="21"/>
          <w:szCs w:val="21"/>
        </w:rPr>
        <w:t xml:space="preserve"> </w:t>
      </w:r>
      <w:r>
        <w:rPr>
          <w:sz w:val="21"/>
          <w:szCs w:val="21"/>
        </w:rPr>
        <w:t>按照第7.2.2项〔施工进度计划的修订〕执行。</w:t>
      </w:r>
    </w:p>
    <w:p w14:paraId="1288CD3D">
      <w:pPr>
        <w:pStyle w:val="2"/>
        <w:spacing w:before="5" w:line="219" w:lineRule="auto"/>
        <w:ind w:left="409"/>
        <w:rPr>
          <w:sz w:val="21"/>
          <w:szCs w:val="21"/>
        </w:rPr>
      </w:pPr>
      <w:r>
        <w:rPr>
          <w:sz w:val="21"/>
          <w:szCs w:val="21"/>
        </w:rPr>
        <w:t>7.5.2因承包人原因导致工期延误</w:t>
      </w:r>
    </w:p>
    <w:p w14:paraId="66D41267">
      <w:pPr>
        <w:pStyle w:val="2"/>
        <w:spacing w:before="161" w:line="362" w:lineRule="auto"/>
        <w:ind w:right="14" w:firstLine="409"/>
        <w:rPr>
          <w:sz w:val="17"/>
          <w:szCs w:val="17"/>
        </w:rPr>
      </w:pPr>
      <w:r>
        <w:rPr>
          <w:spacing w:val="2"/>
          <w:sz w:val="21"/>
          <w:szCs w:val="21"/>
        </w:rPr>
        <w:t>因承包人原因造成工期延误的，可以在专用合同条款中约定逾期竣工违约金的计算方法和逾</w:t>
      </w:r>
      <w:r>
        <w:rPr>
          <w:spacing w:val="8"/>
          <w:sz w:val="21"/>
          <w:szCs w:val="21"/>
        </w:rPr>
        <w:t xml:space="preserve"> </w:t>
      </w:r>
      <w:r>
        <w:rPr>
          <w:spacing w:val="2"/>
          <w:sz w:val="21"/>
          <w:szCs w:val="21"/>
        </w:rPr>
        <w:t>期竣工违约金的上限。承包人支付逾期竣工违约金后，不免除承包人继续完成工程及修补缺陷的</w:t>
      </w:r>
      <w:r>
        <w:rPr>
          <w:spacing w:val="1"/>
          <w:sz w:val="21"/>
          <w:szCs w:val="21"/>
        </w:rPr>
        <w:t xml:space="preserve"> </w:t>
      </w:r>
      <w:r>
        <w:rPr>
          <w:spacing w:val="-6"/>
          <w:sz w:val="17"/>
          <w:szCs w:val="17"/>
        </w:rPr>
        <w:t>义</w:t>
      </w:r>
      <w:r>
        <w:rPr>
          <w:spacing w:val="-23"/>
          <w:sz w:val="17"/>
          <w:szCs w:val="17"/>
        </w:rPr>
        <w:t xml:space="preserve"> </w:t>
      </w:r>
      <w:r>
        <w:rPr>
          <w:spacing w:val="-6"/>
          <w:sz w:val="17"/>
          <w:szCs w:val="17"/>
        </w:rPr>
        <w:t>务</w:t>
      </w:r>
      <w:r>
        <w:rPr>
          <w:spacing w:val="-31"/>
          <w:sz w:val="17"/>
          <w:szCs w:val="17"/>
        </w:rPr>
        <w:t xml:space="preserve"> </w:t>
      </w:r>
      <w:r>
        <w:rPr>
          <w:spacing w:val="-6"/>
          <w:sz w:val="17"/>
          <w:szCs w:val="17"/>
        </w:rPr>
        <w:t>。</w:t>
      </w:r>
    </w:p>
    <w:p w14:paraId="047B9B92">
      <w:pPr>
        <w:pStyle w:val="2"/>
        <w:spacing w:before="1" w:line="221" w:lineRule="auto"/>
        <w:ind w:left="3"/>
        <w:rPr>
          <w:rFonts w:ascii="黑体" w:hAnsi="黑体" w:eastAsia="黑体" w:cs="黑体"/>
        </w:rPr>
      </w:pPr>
      <w:r>
        <w:rPr>
          <w:b/>
          <w:bCs/>
          <w:spacing w:val="-11"/>
        </w:rPr>
        <w:t>7.6</w:t>
      </w:r>
      <w:r>
        <w:rPr>
          <w:spacing w:val="-11"/>
        </w:rPr>
        <w:t xml:space="preserve"> </w:t>
      </w:r>
      <w:r>
        <w:rPr>
          <w:rFonts w:ascii="黑体" w:hAnsi="黑体" w:eastAsia="黑体" w:cs="黑体"/>
          <w:b/>
          <w:bCs/>
          <w:spacing w:val="-11"/>
        </w:rPr>
        <w:t>不利物质条件</w:t>
      </w:r>
    </w:p>
    <w:p w14:paraId="381AC754">
      <w:pPr>
        <w:pStyle w:val="2"/>
        <w:spacing w:before="154" w:line="344" w:lineRule="auto"/>
        <w:ind w:firstLine="409"/>
        <w:jc w:val="both"/>
        <w:rPr>
          <w:sz w:val="21"/>
          <w:szCs w:val="21"/>
        </w:rPr>
      </w:pPr>
      <w:r>
        <w:rPr>
          <w:spacing w:val="2"/>
          <w:sz w:val="21"/>
          <w:szCs w:val="21"/>
        </w:rPr>
        <w:t>不利物质条件是指有经验的承包人在施工现场遇到的不可预见的自然物质条件、非自然的物</w:t>
      </w:r>
      <w:r>
        <w:rPr>
          <w:spacing w:val="9"/>
          <w:sz w:val="21"/>
          <w:szCs w:val="21"/>
        </w:rPr>
        <w:t xml:space="preserve"> </w:t>
      </w:r>
      <w:r>
        <w:rPr>
          <w:spacing w:val="2"/>
          <w:sz w:val="21"/>
          <w:szCs w:val="21"/>
        </w:rPr>
        <w:t>质障碍和污染物，包括地表以下物质条件和水文条件以及专用合同条款约定的其他情形，但不包</w:t>
      </w:r>
      <w:r>
        <w:rPr>
          <w:spacing w:val="15"/>
          <w:sz w:val="21"/>
          <w:szCs w:val="21"/>
        </w:rPr>
        <w:t xml:space="preserve"> </w:t>
      </w:r>
      <w:r>
        <w:rPr>
          <w:spacing w:val="-6"/>
          <w:sz w:val="21"/>
          <w:szCs w:val="21"/>
        </w:rPr>
        <w:t>括气候条件。</w:t>
      </w:r>
    </w:p>
    <w:p w14:paraId="170DDB1B">
      <w:pPr>
        <w:pStyle w:val="2"/>
        <w:spacing w:before="25" w:line="342" w:lineRule="auto"/>
        <w:ind w:right="2" w:firstLine="409"/>
        <w:jc w:val="both"/>
        <w:rPr>
          <w:sz w:val="21"/>
          <w:szCs w:val="21"/>
        </w:rPr>
      </w:pPr>
      <w:r>
        <w:rPr>
          <w:spacing w:val="2"/>
          <w:sz w:val="21"/>
          <w:szCs w:val="21"/>
        </w:rPr>
        <w:t>承包人遇到不利物质条件时，应采取克服不利物质条件的合理措施继续施工，并及时通知发</w:t>
      </w:r>
      <w:r>
        <w:rPr>
          <w:spacing w:val="8"/>
          <w:sz w:val="21"/>
          <w:szCs w:val="21"/>
        </w:rPr>
        <w:t xml:space="preserve"> </w:t>
      </w:r>
      <w:r>
        <w:rPr>
          <w:spacing w:val="2"/>
          <w:sz w:val="21"/>
          <w:szCs w:val="21"/>
        </w:rPr>
        <w:t>包人和监理人。通知应载明不利物质条件的内容以及承包人认为不可预见的理由。</w:t>
      </w:r>
      <w:r>
        <w:rPr>
          <w:spacing w:val="1"/>
          <w:sz w:val="21"/>
          <w:szCs w:val="21"/>
        </w:rPr>
        <w:t>监理人经发包</w:t>
      </w:r>
      <w:r>
        <w:rPr>
          <w:sz w:val="21"/>
          <w:szCs w:val="21"/>
        </w:rPr>
        <w:t xml:space="preserve"> </w:t>
      </w:r>
      <w:r>
        <w:rPr>
          <w:spacing w:val="2"/>
          <w:sz w:val="21"/>
          <w:szCs w:val="21"/>
        </w:rPr>
        <w:t>人同意后应当及时发出指示，指示构成变更的，按第10条〔变更〕约定执行。承包人因采取合理</w:t>
      </w:r>
      <w:r>
        <w:rPr>
          <w:spacing w:val="10"/>
          <w:sz w:val="21"/>
          <w:szCs w:val="21"/>
        </w:rPr>
        <w:t xml:space="preserve"> </w:t>
      </w:r>
      <w:r>
        <w:rPr>
          <w:spacing w:val="7"/>
          <w:sz w:val="21"/>
          <w:szCs w:val="21"/>
        </w:rPr>
        <w:t>措施而增加的费用和(或)延误的工期由发包人承担。</w:t>
      </w:r>
    </w:p>
    <w:p w14:paraId="32DF2FA5">
      <w:pPr>
        <w:pStyle w:val="2"/>
        <w:spacing w:before="1" w:line="220" w:lineRule="auto"/>
        <w:ind w:left="3"/>
        <w:rPr>
          <w:rFonts w:ascii="黑体" w:hAnsi="黑体" w:eastAsia="黑体" w:cs="黑体"/>
        </w:rPr>
      </w:pPr>
      <w:r>
        <w:rPr>
          <w:b/>
          <w:bCs/>
          <w:spacing w:val="-9"/>
        </w:rPr>
        <w:t>7.7</w:t>
      </w:r>
      <w:r>
        <w:rPr>
          <w:spacing w:val="-9"/>
        </w:rPr>
        <w:t xml:space="preserve"> </w:t>
      </w:r>
      <w:r>
        <w:rPr>
          <w:rFonts w:ascii="黑体" w:hAnsi="黑体" w:eastAsia="黑体" w:cs="黑体"/>
          <w:b/>
          <w:bCs/>
          <w:spacing w:val="-9"/>
        </w:rPr>
        <w:t>异常恶劣的气候条件</w:t>
      </w:r>
    </w:p>
    <w:p w14:paraId="3A8CB2EC">
      <w:pPr>
        <w:pStyle w:val="2"/>
        <w:spacing w:before="125" w:line="353" w:lineRule="auto"/>
        <w:ind w:right="18" w:firstLine="409"/>
        <w:jc w:val="both"/>
        <w:rPr>
          <w:sz w:val="21"/>
          <w:szCs w:val="21"/>
        </w:rPr>
      </w:pPr>
      <w:r>
        <w:rPr>
          <w:spacing w:val="2"/>
          <w:sz w:val="21"/>
          <w:szCs w:val="21"/>
        </w:rPr>
        <w:t>异常恶劣的气候条件是指在施工过程中遇到的，有经</w:t>
      </w:r>
      <w:r>
        <w:rPr>
          <w:spacing w:val="1"/>
          <w:sz w:val="21"/>
          <w:szCs w:val="21"/>
        </w:rPr>
        <w:t>验的承包人在签订合同时不可预见的，</w:t>
      </w:r>
      <w:r>
        <w:rPr>
          <w:sz w:val="21"/>
          <w:szCs w:val="21"/>
        </w:rPr>
        <w:t xml:space="preserve"> </w:t>
      </w:r>
      <w:r>
        <w:rPr>
          <w:spacing w:val="2"/>
          <w:sz w:val="21"/>
          <w:szCs w:val="21"/>
        </w:rPr>
        <w:t>对合同履行造成实质性影响的，但尚未构成不可抗力事件的恶劣气候条件。合同当事人</w:t>
      </w:r>
      <w:r>
        <w:rPr>
          <w:spacing w:val="1"/>
          <w:sz w:val="21"/>
          <w:szCs w:val="21"/>
        </w:rPr>
        <w:t>可以在专</w:t>
      </w:r>
      <w:r>
        <w:rPr>
          <w:sz w:val="21"/>
          <w:szCs w:val="21"/>
        </w:rPr>
        <w:t xml:space="preserve"> </w:t>
      </w:r>
      <w:r>
        <w:rPr>
          <w:spacing w:val="-2"/>
          <w:sz w:val="21"/>
          <w:szCs w:val="21"/>
        </w:rPr>
        <w:t>用合同条款中约定异常恶劣的气候条件的具体情形。</w:t>
      </w:r>
    </w:p>
    <w:p w14:paraId="54782BA8">
      <w:pPr>
        <w:pStyle w:val="2"/>
        <w:spacing w:before="14" w:line="337" w:lineRule="auto"/>
        <w:ind w:firstLine="409"/>
        <w:rPr>
          <w:sz w:val="21"/>
          <w:szCs w:val="21"/>
        </w:rPr>
      </w:pPr>
      <w:r>
        <w:rPr>
          <w:spacing w:val="2"/>
          <w:sz w:val="21"/>
          <w:szCs w:val="21"/>
        </w:rPr>
        <w:t>承包人应采取克服异常恶劣的气候条件的合理措施继续</w:t>
      </w:r>
      <w:r>
        <w:rPr>
          <w:spacing w:val="1"/>
          <w:sz w:val="21"/>
          <w:szCs w:val="21"/>
        </w:rPr>
        <w:t>施工，并及时通知发包人和监理人。</w:t>
      </w:r>
      <w:r>
        <w:rPr>
          <w:sz w:val="21"/>
          <w:szCs w:val="21"/>
        </w:rPr>
        <w:t xml:space="preserve"> </w:t>
      </w:r>
      <w:r>
        <w:rPr>
          <w:spacing w:val="2"/>
          <w:sz w:val="21"/>
          <w:szCs w:val="21"/>
        </w:rPr>
        <w:t>监理人经发包人同意后应当及时发出指示，指示构成变更的，按第10条〔变更〕约定办理。承包</w:t>
      </w:r>
      <w:r>
        <w:rPr>
          <w:spacing w:val="13"/>
          <w:sz w:val="21"/>
          <w:szCs w:val="21"/>
        </w:rPr>
        <w:t xml:space="preserve"> </w:t>
      </w:r>
      <w:r>
        <w:rPr>
          <w:spacing w:val="6"/>
          <w:sz w:val="21"/>
          <w:szCs w:val="21"/>
        </w:rPr>
        <w:t>人因采取合理措施而增加的费用和(或)延误的工期</w:t>
      </w:r>
      <w:r>
        <w:rPr>
          <w:spacing w:val="5"/>
          <w:sz w:val="21"/>
          <w:szCs w:val="21"/>
        </w:rPr>
        <w:t>由发包人承担。</w:t>
      </w:r>
    </w:p>
    <w:p w14:paraId="2C89E090">
      <w:pPr>
        <w:pStyle w:val="2"/>
        <w:spacing w:line="223" w:lineRule="auto"/>
        <w:ind w:left="3"/>
        <w:rPr>
          <w:rFonts w:ascii="黑体" w:hAnsi="黑体" w:eastAsia="黑体" w:cs="黑体"/>
        </w:rPr>
      </w:pPr>
      <w:r>
        <w:rPr>
          <w:b/>
          <w:bCs/>
          <w:spacing w:val="-9"/>
        </w:rPr>
        <w:t>7.8</w:t>
      </w:r>
      <w:r>
        <w:rPr>
          <w:spacing w:val="-9"/>
        </w:rPr>
        <w:t xml:space="preserve"> </w:t>
      </w:r>
      <w:r>
        <w:rPr>
          <w:rFonts w:ascii="黑体" w:hAnsi="黑体" w:eastAsia="黑体" w:cs="黑体"/>
          <w:b/>
          <w:bCs/>
          <w:spacing w:val="-9"/>
        </w:rPr>
        <w:t>暂停施工</w:t>
      </w:r>
    </w:p>
    <w:p w14:paraId="24CE2CAA">
      <w:pPr>
        <w:pStyle w:val="2"/>
        <w:spacing w:before="140" w:line="220" w:lineRule="auto"/>
        <w:ind w:left="409"/>
        <w:rPr>
          <w:sz w:val="21"/>
          <w:szCs w:val="21"/>
        </w:rPr>
      </w:pPr>
      <w:r>
        <w:rPr>
          <w:spacing w:val="-1"/>
          <w:sz w:val="21"/>
          <w:szCs w:val="21"/>
        </w:rPr>
        <w:t>7.8.1发包人原因引起的暂停施工</w:t>
      </w:r>
    </w:p>
    <w:p w14:paraId="2B290274">
      <w:pPr>
        <w:pStyle w:val="2"/>
        <w:spacing w:before="150" w:line="347" w:lineRule="auto"/>
        <w:ind w:right="20" w:firstLine="409"/>
        <w:rPr>
          <w:sz w:val="21"/>
          <w:szCs w:val="21"/>
        </w:rPr>
      </w:pPr>
      <w:r>
        <w:rPr>
          <w:spacing w:val="2"/>
          <w:sz w:val="21"/>
          <w:szCs w:val="21"/>
        </w:rPr>
        <w:t>因发包人原因引起暂停施工的，监理人经发包人同意后，应及时下达暂停施工指示。情况紧</w:t>
      </w:r>
      <w:r>
        <w:rPr>
          <w:spacing w:val="8"/>
          <w:sz w:val="21"/>
          <w:szCs w:val="21"/>
        </w:rPr>
        <w:t xml:space="preserve"> </w:t>
      </w:r>
      <w:r>
        <w:rPr>
          <w:spacing w:val="1"/>
          <w:sz w:val="21"/>
          <w:szCs w:val="21"/>
        </w:rPr>
        <w:t>急且监理人未及时下达暂停施工指示的，按</w:t>
      </w:r>
      <w:r>
        <w:rPr>
          <w:sz w:val="21"/>
          <w:szCs w:val="21"/>
        </w:rPr>
        <w:t>照第7.8.4项〔紧急情况下的暂停施工〕执行。</w:t>
      </w:r>
    </w:p>
    <w:p w14:paraId="7C0407BE">
      <w:pPr>
        <w:pStyle w:val="2"/>
        <w:spacing w:before="1" w:line="362" w:lineRule="auto"/>
        <w:ind w:right="52" w:firstLine="409"/>
        <w:rPr>
          <w:sz w:val="21"/>
          <w:szCs w:val="21"/>
        </w:rPr>
      </w:pPr>
      <w:r>
        <w:rPr>
          <w:spacing w:val="7"/>
          <w:sz w:val="21"/>
          <w:szCs w:val="21"/>
        </w:rPr>
        <w:t>因发包人原因引起的暂停施工，发包人应承担由此增加的费</w:t>
      </w:r>
      <w:r>
        <w:rPr>
          <w:spacing w:val="6"/>
          <w:sz w:val="21"/>
          <w:szCs w:val="21"/>
        </w:rPr>
        <w:t>用和(或)延误的工期，并支付</w:t>
      </w:r>
      <w:r>
        <w:rPr>
          <w:sz w:val="21"/>
          <w:szCs w:val="21"/>
        </w:rPr>
        <w:t xml:space="preserve"> </w:t>
      </w:r>
      <w:r>
        <w:rPr>
          <w:spacing w:val="-4"/>
          <w:sz w:val="21"/>
          <w:szCs w:val="21"/>
        </w:rPr>
        <w:t>承包人合理的利润。</w:t>
      </w:r>
    </w:p>
    <w:p w14:paraId="77C44AA8">
      <w:pPr>
        <w:spacing w:line="362" w:lineRule="auto"/>
        <w:rPr>
          <w:sz w:val="21"/>
          <w:szCs w:val="21"/>
        </w:rPr>
        <w:sectPr>
          <w:footerReference r:id="rId211" w:type="default"/>
          <w:pgSz w:w="11910" w:h="16840"/>
          <w:pgMar w:top="400" w:right="1529" w:bottom="1016" w:left="1460" w:header="0" w:footer="889" w:gutter="0"/>
          <w:cols w:space="720" w:num="1"/>
        </w:sectPr>
      </w:pPr>
    </w:p>
    <w:p w14:paraId="1DCDC898">
      <w:pPr>
        <w:spacing w:line="270" w:lineRule="auto"/>
        <w:rPr>
          <w:rFonts w:ascii="Arial"/>
          <w:sz w:val="21"/>
        </w:rPr>
      </w:pPr>
    </w:p>
    <w:p w14:paraId="6ABBBF37">
      <w:pPr>
        <w:spacing w:line="270" w:lineRule="auto"/>
        <w:rPr>
          <w:rFonts w:ascii="Arial"/>
          <w:sz w:val="21"/>
        </w:rPr>
      </w:pPr>
    </w:p>
    <w:p w14:paraId="7052268C">
      <w:pPr>
        <w:spacing w:line="270" w:lineRule="auto"/>
        <w:rPr>
          <w:rFonts w:ascii="Arial"/>
          <w:sz w:val="21"/>
        </w:rPr>
      </w:pPr>
    </w:p>
    <w:p w14:paraId="0E2873DE">
      <w:pPr>
        <w:spacing w:line="271" w:lineRule="auto"/>
        <w:rPr>
          <w:rFonts w:ascii="Arial"/>
          <w:sz w:val="21"/>
        </w:rPr>
      </w:pPr>
    </w:p>
    <w:p w14:paraId="68A91A3B">
      <w:pPr>
        <w:spacing w:line="271" w:lineRule="auto"/>
        <w:rPr>
          <w:rFonts w:ascii="Arial"/>
          <w:sz w:val="21"/>
        </w:rPr>
      </w:pPr>
    </w:p>
    <w:p w14:paraId="3EE02830">
      <w:pPr>
        <w:pStyle w:val="2"/>
        <w:spacing w:before="68" w:line="219" w:lineRule="auto"/>
        <w:ind w:left="419"/>
        <w:rPr>
          <w:sz w:val="21"/>
          <w:szCs w:val="21"/>
        </w:rPr>
      </w:pPr>
      <w:r>
        <w:rPr>
          <w:rFonts w:ascii="Times New Roman" w:hAnsi="Times New Roman" w:eastAsia="Times New Roman" w:cs="Times New Roman"/>
          <w:b/>
          <w:bCs/>
          <w:spacing w:val="-1"/>
          <w:sz w:val="21"/>
          <w:szCs w:val="21"/>
        </w:rPr>
        <w:t xml:space="preserve">7.8.2  </w:t>
      </w:r>
      <w:r>
        <w:rPr>
          <w:spacing w:val="-1"/>
          <w:sz w:val="21"/>
          <w:szCs w:val="21"/>
        </w:rPr>
        <w:t>承包人原因引起的暂停施工</w:t>
      </w:r>
    </w:p>
    <w:p w14:paraId="1BDABA2D">
      <w:pPr>
        <w:pStyle w:val="2"/>
        <w:spacing w:before="161" w:line="344" w:lineRule="auto"/>
        <w:ind w:right="94" w:firstLine="419"/>
        <w:rPr>
          <w:sz w:val="21"/>
          <w:szCs w:val="21"/>
        </w:rPr>
      </w:pPr>
      <w:r>
        <w:rPr>
          <w:spacing w:val="7"/>
          <w:sz w:val="21"/>
          <w:szCs w:val="21"/>
        </w:rPr>
        <w:t>因承包人原因引起的暂停施工，承包人应承担由此增加的费用和(或)延误的工期，且承包</w:t>
      </w:r>
      <w:r>
        <w:rPr>
          <w:spacing w:val="18"/>
          <w:sz w:val="21"/>
          <w:szCs w:val="21"/>
        </w:rPr>
        <w:t xml:space="preserve"> </w:t>
      </w:r>
      <w:r>
        <w:rPr>
          <w:spacing w:val="8"/>
          <w:sz w:val="21"/>
          <w:szCs w:val="21"/>
        </w:rPr>
        <w:t>人在收到监理人复工指示后84天内仍未复工的，视为第16.2.1项〔承包人违</w:t>
      </w:r>
      <w:r>
        <w:rPr>
          <w:spacing w:val="7"/>
          <w:sz w:val="21"/>
          <w:szCs w:val="21"/>
        </w:rPr>
        <w:t>约的情形〕第(7)</w:t>
      </w:r>
      <w:r>
        <w:rPr>
          <w:sz w:val="21"/>
          <w:szCs w:val="21"/>
        </w:rPr>
        <w:t xml:space="preserve"> </w:t>
      </w:r>
      <w:r>
        <w:rPr>
          <w:spacing w:val="-3"/>
          <w:sz w:val="21"/>
          <w:szCs w:val="21"/>
        </w:rPr>
        <w:t>目约定的承包人无法继续履行合同的情形。</w:t>
      </w:r>
    </w:p>
    <w:p w14:paraId="372AFB33">
      <w:pPr>
        <w:pStyle w:val="2"/>
        <w:spacing w:before="16" w:line="220" w:lineRule="auto"/>
        <w:ind w:left="419"/>
        <w:rPr>
          <w:sz w:val="21"/>
          <w:szCs w:val="21"/>
        </w:rPr>
      </w:pPr>
      <w:r>
        <w:rPr>
          <w:spacing w:val="-2"/>
          <w:sz w:val="21"/>
          <w:szCs w:val="21"/>
        </w:rPr>
        <w:t>7.8.3指示暂停施工</w:t>
      </w:r>
    </w:p>
    <w:p w14:paraId="550BDFF9">
      <w:pPr>
        <w:pStyle w:val="2"/>
        <w:spacing w:before="159" w:line="337" w:lineRule="auto"/>
        <w:ind w:right="95" w:firstLine="419"/>
        <w:rPr>
          <w:sz w:val="21"/>
          <w:szCs w:val="21"/>
        </w:rPr>
      </w:pPr>
      <w:r>
        <w:rPr>
          <w:spacing w:val="2"/>
          <w:sz w:val="21"/>
          <w:szCs w:val="21"/>
        </w:rPr>
        <w:t>监理人认为有必要时，并经发包人批准后，可向承包人作出暂停施工的指示，承包人应按监</w:t>
      </w:r>
      <w:r>
        <w:rPr>
          <w:spacing w:val="8"/>
          <w:sz w:val="21"/>
          <w:szCs w:val="21"/>
        </w:rPr>
        <w:t xml:space="preserve"> </w:t>
      </w:r>
      <w:r>
        <w:rPr>
          <w:spacing w:val="-2"/>
          <w:sz w:val="21"/>
          <w:szCs w:val="21"/>
        </w:rPr>
        <w:t>理人指示暂停施工。</w:t>
      </w:r>
    </w:p>
    <w:p w14:paraId="1E756F89">
      <w:pPr>
        <w:pStyle w:val="2"/>
        <w:spacing w:before="33" w:line="219" w:lineRule="auto"/>
        <w:ind w:left="419"/>
        <w:rPr>
          <w:sz w:val="21"/>
          <w:szCs w:val="21"/>
        </w:rPr>
      </w:pPr>
      <w:r>
        <w:rPr>
          <w:spacing w:val="-1"/>
          <w:sz w:val="21"/>
          <w:szCs w:val="21"/>
        </w:rPr>
        <w:t>7.8.4紧急情况下的暂停施工</w:t>
      </w:r>
    </w:p>
    <w:p w14:paraId="24601BCC">
      <w:pPr>
        <w:pStyle w:val="2"/>
        <w:spacing w:before="129" w:line="352" w:lineRule="auto"/>
        <w:ind w:right="91" w:firstLine="419"/>
        <w:rPr>
          <w:sz w:val="21"/>
          <w:szCs w:val="21"/>
        </w:rPr>
      </w:pPr>
      <w:r>
        <w:rPr>
          <w:spacing w:val="2"/>
          <w:sz w:val="21"/>
          <w:szCs w:val="21"/>
        </w:rPr>
        <w:t>因紧急情况需暂停施工，且监理人未及时下达暂停施工指示的，承包</w:t>
      </w:r>
      <w:r>
        <w:rPr>
          <w:spacing w:val="1"/>
          <w:sz w:val="21"/>
          <w:szCs w:val="21"/>
        </w:rPr>
        <w:t>人可先暂停施工，并及</w:t>
      </w:r>
      <w:r>
        <w:rPr>
          <w:sz w:val="21"/>
          <w:szCs w:val="21"/>
        </w:rPr>
        <w:t xml:space="preserve"> </w:t>
      </w:r>
      <w:r>
        <w:rPr>
          <w:spacing w:val="2"/>
          <w:sz w:val="21"/>
          <w:szCs w:val="21"/>
        </w:rPr>
        <w:t>时通知监理人。监理人应在接到通知后24小时内发出指示</w:t>
      </w:r>
      <w:r>
        <w:rPr>
          <w:spacing w:val="1"/>
          <w:sz w:val="21"/>
          <w:szCs w:val="21"/>
        </w:rPr>
        <w:t>，逾期未发出指示，视为同意承包人暂</w:t>
      </w:r>
      <w:r>
        <w:rPr>
          <w:sz w:val="21"/>
          <w:szCs w:val="21"/>
        </w:rPr>
        <w:t xml:space="preserve"> </w:t>
      </w:r>
      <w:r>
        <w:rPr>
          <w:spacing w:val="2"/>
          <w:sz w:val="21"/>
          <w:szCs w:val="21"/>
        </w:rPr>
        <w:t>停施工。监理人不同意承包人暂停施工的，应说明理由，承包人对监理人的答复有异议，按照第</w:t>
      </w:r>
      <w:r>
        <w:rPr>
          <w:spacing w:val="8"/>
          <w:sz w:val="21"/>
          <w:szCs w:val="21"/>
        </w:rPr>
        <w:t xml:space="preserve"> </w:t>
      </w:r>
      <w:r>
        <w:rPr>
          <w:spacing w:val="2"/>
          <w:sz w:val="21"/>
          <w:szCs w:val="21"/>
        </w:rPr>
        <w:t>20条〔争议解决〕约定处理。</w:t>
      </w:r>
    </w:p>
    <w:p w14:paraId="6C1802D8">
      <w:pPr>
        <w:pStyle w:val="2"/>
        <w:spacing w:line="220" w:lineRule="auto"/>
        <w:ind w:left="419"/>
        <w:rPr>
          <w:sz w:val="21"/>
          <w:szCs w:val="21"/>
        </w:rPr>
      </w:pPr>
      <w:r>
        <w:rPr>
          <w:spacing w:val="-9"/>
          <w:sz w:val="21"/>
          <w:szCs w:val="21"/>
        </w:rPr>
        <w:t>7.8.5 暂停施工后的复工</w:t>
      </w:r>
    </w:p>
    <w:p w14:paraId="2BE4298D">
      <w:pPr>
        <w:pStyle w:val="2"/>
        <w:spacing w:before="166" w:line="345" w:lineRule="auto"/>
        <w:ind w:right="95" w:firstLine="419"/>
        <w:rPr>
          <w:sz w:val="21"/>
          <w:szCs w:val="21"/>
        </w:rPr>
      </w:pPr>
      <w:r>
        <w:rPr>
          <w:spacing w:val="2"/>
          <w:sz w:val="21"/>
          <w:szCs w:val="21"/>
        </w:rPr>
        <w:t>暂停施工后，发包人和承包人应采取有效措施积极消除暂停施工的影响。在工程复工前，监</w:t>
      </w:r>
      <w:r>
        <w:rPr>
          <w:spacing w:val="8"/>
          <w:sz w:val="21"/>
          <w:szCs w:val="21"/>
        </w:rPr>
        <w:t xml:space="preserve"> </w:t>
      </w:r>
      <w:r>
        <w:rPr>
          <w:spacing w:val="2"/>
          <w:sz w:val="21"/>
          <w:szCs w:val="21"/>
        </w:rPr>
        <w:t>理人会同发包人和承包人确定因暂停施工造成的损失，并确定工程复工条件。当工程具备复工条</w:t>
      </w:r>
      <w:r>
        <w:rPr>
          <w:spacing w:val="4"/>
          <w:sz w:val="21"/>
          <w:szCs w:val="21"/>
        </w:rPr>
        <w:t xml:space="preserve"> </w:t>
      </w:r>
      <w:r>
        <w:rPr>
          <w:sz w:val="21"/>
          <w:szCs w:val="21"/>
        </w:rPr>
        <w:t>件时，监理人应经发包人批准后向承包人发出复工通知，承包人应按照复工通</w:t>
      </w:r>
      <w:r>
        <w:rPr>
          <w:spacing w:val="-1"/>
          <w:sz w:val="21"/>
          <w:szCs w:val="21"/>
        </w:rPr>
        <w:t>知要求复工。</w:t>
      </w:r>
    </w:p>
    <w:p w14:paraId="2F89C7E8">
      <w:pPr>
        <w:pStyle w:val="2"/>
        <w:spacing w:before="25" w:line="343" w:lineRule="auto"/>
        <w:ind w:right="95" w:firstLine="419"/>
        <w:rPr>
          <w:sz w:val="21"/>
          <w:szCs w:val="21"/>
        </w:rPr>
      </w:pPr>
      <w:r>
        <w:rPr>
          <w:spacing w:val="7"/>
          <w:sz w:val="21"/>
          <w:szCs w:val="21"/>
        </w:rPr>
        <w:t>承包人无故拖延和拒绝复工的，承包人承担由此增加的费用和(或)延误的工期；因发包人</w:t>
      </w:r>
      <w:r>
        <w:rPr>
          <w:spacing w:val="18"/>
          <w:sz w:val="21"/>
          <w:szCs w:val="21"/>
        </w:rPr>
        <w:t xml:space="preserve"> </w:t>
      </w:r>
      <w:r>
        <w:rPr>
          <w:sz w:val="21"/>
          <w:szCs w:val="21"/>
        </w:rPr>
        <w:t>原因无法按时复工的，按照第7.5.1项〔因发包人原因导致工期延误〕约定办理。</w:t>
      </w:r>
    </w:p>
    <w:p w14:paraId="5E773AAF">
      <w:pPr>
        <w:pStyle w:val="2"/>
        <w:spacing w:line="219" w:lineRule="auto"/>
        <w:ind w:left="419"/>
        <w:rPr>
          <w:sz w:val="21"/>
          <w:szCs w:val="21"/>
        </w:rPr>
      </w:pPr>
      <w:r>
        <w:rPr>
          <w:spacing w:val="8"/>
          <w:sz w:val="21"/>
          <w:szCs w:val="21"/>
        </w:rPr>
        <w:t>7.8.6暂停施工持续56天以上</w:t>
      </w:r>
    </w:p>
    <w:p w14:paraId="06B2966D">
      <w:pPr>
        <w:pStyle w:val="2"/>
        <w:spacing w:before="169" w:line="352" w:lineRule="auto"/>
        <w:ind w:right="88" w:firstLine="419"/>
        <w:rPr>
          <w:sz w:val="21"/>
          <w:szCs w:val="21"/>
        </w:rPr>
      </w:pPr>
      <w:r>
        <w:rPr>
          <w:sz w:val="21"/>
          <w:szCs w:val="21"/>
        </w:rPr>
        <w:t>监理人发出暂停施工指示后56天内未向承包人发出复工通知，除该项停工</w:t>
      </w:r>
      <w:r>
        <w:rPr>
          <w:spacing w:val="-1"/>
          <w:sz w:val="21"/>
          <w:szCs w:val="21"/>
        </w:rPr>
        <w:t>属于第7.8.2项〔承</w:t>
      </w:r>
      <w:r>
        <w:rPr>
          <w:sz w:val="21"/>
          <w:szCs w:val="21"/>
        </w:rPr>
        <w:t xml:space="preserve"> </w:t>
      </w:r>
      <w:r>
        <w:rPr>
          <w:spacing w:val="5"/>
          <w:sz w:val="21"/>
          <w:szCs w:val="21"/>
        </w:rPr>
        <w:t>包人原因引起的暂停施工)及第17条〔不可</w:t>
      </w:r>
      <w:r>
        <w:rPr>
          <w:spacing w:val="4"/>
          <w:sz w:val="21"/>
          <w:szCs w:val="21"/>
        </w:rPr>
        <w:t>抗力〕约定的情形外，承包人可向发包人提交书面通</w:t>
      </w:r>
      <w:r>
        <w:rPr>
          <w:sz w:val="21"/>
          <w:szCs w:val="21"/>
        </w:rPr>
        <w:t xml:space="preserve"> </w:t>
      </w:r>
      <w:r>
        <w:rPr>
          <w:spacing w:val="2"/>
          <w:sz w:val="21"/>
          <w:szCs w:val="21"/>
        </w:rPr>
        <w:t>知，要求发包人在收到书面通知后28天内准许已暂停施工的部分或全部工程继续施工。发包人逾 期不予批准的，则承包人可以通知发包人，将工程受影响的部分视为按第10.1款〔变更的范围〕</w:t>
      </w:r>
      <w:r>
        <w:rPr>
          <w:spacing w:val="5"/>
          <w:sz w:val="21"/>
          <w:szCs w:val="21"/>
        </w:rPr>
        <w:t xml:space="preserve"> </w:t>
      </w:r>
      <w:r>
        <w:rPr>
          <w:spacing w:val="15"/>
          <w:sz w:val="21"/>
          <w:szCs w:val="21"/>
        </w:rPr>
        <w:t>第(2)项的可取消工作。</w:t>
      </w:r>
    </w:p>
    <w:p w14:paraId="0FE1C31C">
      <w:pPr>
        <w:pStyle w:val="2"/>
        <w:spacing w:before="2" w:line="348" w:lineRule="auto"/>
        <w:ind w:right="87" w:firstLine="419"/>
        <w:jc w:val="both"/>
        <w:rPr>
          <w:sz w:val="21"/>
          <w:szCs w:val="21"/>
        </w:rPr>
      </w:pPr>
      <w:r>
        <w:rPr>
          <w:spacing w:val="5"/>
          <w:sz w:val="21"/>
          <w:szCs w:val="21"/>
        </w:rPr>
        <w:t>暂停施工持续84天以上不复工的，且不属于第7.8.</w:t>
      </w:r>
      <w:r>
        <w:rPr>
          <w:spacing w:val="4"/>
          <w:sz w:val="21"/>
          <w:szCs w:val="21"/>
        </w:rPr>
        <w:t>2项〔承包人原因引起的暂停施工〕及第</w:t>
      </w:r>
      <w:r>
        <w:rPr>
          <w:sz w:val="21"/>
          <w:szCs w:val="21"/>
        </w:rPr>
        <w:t xml:space="preserve"> </w:t>
      </w:r>
      <w:r>
        <w:rPr>
          <w:spacing w:val="2"/>
          <w:sz w:val="21"/>
          <w:szCs w:val="21"/>
        </w:rPr>
        <w:t>17条〔不可抗力〕约定的情形，并影响到整个工程以及合同目的实现的，承包人有权提出价格调</w:t>
      </w:r>
      <w:r>
        <w:rPr>
          <w:spacing w:val="10"/>
          <w:sz w:val="21"/>
          <w:szCs w:val="21"/>
        </w:rPr>
        <w:t xml:space="preserve"> </w:t>
      </w:r>
      <w:r>
        <w:rPr>
          <w:sz w:val="21"/>
          <w:szCs w:val="21"/>
        </w:rPr>
        <w:t>整要求，或者解除合同。解除合同的，按照第16.1.3项〔因发包人违约解除合同〕执行。</w:t>
      </w:r>
    </w:p>
    <w:p w14:paraId="2780E380">
      <w:pPr>
        <w:pStyle w:val="2"/>
        <w:spacing w:before="1" w:line="219" w:lineRule="auto"/>
        <w:ind w:left="419"/>
        <w:rPr>
          <w:sz w:val="21"/>
          <w:szCs w:val="21"/>
        </w:rPr>
      </w:pPr>
      <w:r>
        <w:rPr>
          <w:spacing w:val="-1"/>
          <w:sz w:val="21"/>
          <w:szCs w:val="21"/>
        </w:rPr>
        <w:t>7.8.7暂停施工期间的工程照管</w:t>
      </w:r>
    </w:p>
    <w:p w14:paraId="3476FF88">
      <w:pPr>
        <w:pStyle w:val="2"/>
        <w:spacing w:before="149" w:line="219" w:lineRule="auto"/>
        <w:jc w:val="right"/>
        <w:rPr>
          <w:sz w:val="21"/>
          <w:szCs w:val="21"/>
        </w:rPr>
      </w:pPr>
      <w:r>
        <w:rPr>
          <w:spacing w:val="-1"/>
          <w:sz w:val="21"/>
          <w:szCs w:val="21"/>
        </w:rPr>
        <w:t>暂停施工期间，承包人应负责妥善照管工程并提供安全保障，由此增加的费用由责任方承担。</w:t>
      </w:r>
    </w:p>
    <w:p w14:paraId="00D7FCAA">
      <w:pPr>
        <w:pStyle w:val="2"/>
        <w:spacing w:before="173" w:line="220" w:lineRule="auto"/>
        <w:ind w:left="419"/>
        <w:rPr>
          <w:sz w:val="21"/>
          <w:szCs w:val="21"/>
        </w:rPr>
      </w:pPr>
      <w:r>
        <w:rPr>
          <w:spacing w:val="-2"/>
          <w:sz w:val="21"/>
          <w:szCs w:val="21"/>
        </w:rPr>
        <w:t>7.8.8暂停施工的措施</w:t>
      </w:r>
    </w:p>
    <w:p w14:paraId="7AFC9CE3">
      <w:pPr>
        <w:pStyle w:val="2"/>
        <w:spacing w:before="137" w:line="347" w:lineRule="auto"/>
        <w:ind w:right="93" w:firstLine="419"/>
        <w:rPr>
          <w:sz w:val="21"/>
          <w:szCs w:val="21"/>
        </w:rPr>
      </w:pPr>
      <w:r>
        <w:rPr>
          <w:spacing w:val="2"/>
          <w:sz w:val="21"/>
          <w:szCs w:val="21"/>
        </w:rPr>
        <w:t>暂停施工期间，发包人和承包人均应采取必要的措施确保工程质量及安全，防止因暂停施工</w:t>
      </w:r>
      <w:r>
        <w:rPr>
          <w:spacing w:val="10"/>
          <w:sz w:val="21"/>
          <w:szCs w:val="21"/>
        </w:rPr>
        <w:t xml:space="preserve"> </w:t>
      </w:r>
      <w:r>
        <w:rPr>
          <w:spacing w:val="-3"/>
          <w:sz w:val="21"/>
          <w:szCs w:val="21"/>
        </w:rPr>
        <w:t>扩大损失。</w:t>
      </w:r>
    </w:p>
    <w:p w14:paraId="5DBC33E7">
      <w:pPr>
        <w:spacing w:line="347" w:lineRule="auto"/>
        <w:rPr>
          <w:sz w:val="21"/>
          <w:szCs w:val="21"/>
        </w:rPr>
        <w:sectPr>
          <w:footerReference r:id="rId212" w:type="default"/>
          <w:pgSz w:w="11910" w:h="16840"/>
          <w:pgMar w:top="400" w:right="1445" w:bottom="1016" w:left="1460" w:header="0" w:footer="889" w:gutter="0"/>
          <w:cols w:space="720" w:num="1"/>
        </w:sectPr>
      </w:pPr>
    </w:p>
    <w:p w14:paraId="5A71636C">
      <w:pPr>
        <w:spacing w:line="259" w:lineRule="auto"/>
        <w:rPr>
          <w:rFonts w:ascii="Arial"/>
          <w:sz w:val="21"/>
        </w:rPr>
      </w:pPr>
    </w:p>
    <w:p w14:paraId="46E1262E">
      <w:pPr>
        <w:spacing w:line="259" w:lineRule="auto"/>
        <w:rPr>
          <w:rFonts w:ascii="Arial"/>
          <w:sz w:val="21"/>
        </w:rPr>
      </w:pPr>
    </w:p>
    <w:p w14:paraId="18A6B93E">
      <w:pPr>
        <w:spacing w:line="259" w:lineRule="auto"/>
        <w:rPr>
          <w:rFonts w:ascii="Arial"/>
          <w:sz w:val="21"/>
        </w:rPr>
      </w:pPr>
    </w:p>
    <w:p w14:paraId="35DC4EC4">
      <w:pPr>
        <w:spacing w:line="260" w:lineRule="auto"/>
        <w:rPr>
          <w:rFonts w:ascii="Arial"/>
          <w:sz w:val="21"/>
        </w:rPr>
      </w:pPr>
    </w:p>
    <w:p w14:paraId="78E93ED8">
      <w:pPr>
        <w:spacing w:line="260" w:lineRule="auto"/>
        <w:rPr>
          <w:rFonts w:ascii="Arial"/>
          <w:sz w:val="21"/>
        </w:rPr>
      </w:pPr>
    </w:p>
    <w:p w14:paraId="30540781">
      <w:pPr>
        <w:pStyle w:val="2"/>
        <w:spacing w:before="81" w:line="219" w:lineRule="auto"/>
        <w:ind w:left="3"/>
      </w:pPr>
      <w:r>
        <w:rPr>
          <w:b/>
          <w:bCs/>
          <w:spacing w:val="-5"/>
        </w:rPr>
        <w:t>7.9提前竣工</w:t>
      </w:r>
    </w:p>
    <w:p w14:paraId="6B172093">
      <w:pPr>
        <w:pStyle w:val="2"/>
        <w:spacing w:before="155" w:line="322" w:lineRule="auto"/>
        <w:ind w:right="93" w:firstLine="419"/>
        <w:rPr>
          <w:sz w:val="21"/>
          <w:szCs w:val="21"/>
        </w:rPr>
      </w:pPr>
      <w:r>
        <w:rPr>
          <w:spacing w:val="-2"/>
          <w:sz w:val="21"/>
          <w:szCs w:val="21"/>
        </w:rPr>
        <w:t>7.9.1 发包人要求承包人提前竣工的，</w:t>
      </w:r>
      <w:r>
        <w:rPr>
          <w:spacing w:val="-3"/>
          <w:sz w:val="21"/>
          <w:szCs w:val="21"/>
        </w:rPr>
        <w:t>发包人应通过监理人向承包人下达提前竣工指示，承包</w:t>
      </w:r>
      <w:r>
        <w:rPr>
          <w:sz w:val="21"/>
          <w:szCs w:val="21"/>
        </w:rPr>
        <w:t xml:space="preserve"> </w:t>
      </w:r>
      <w:r>
        <w:rPr>
          <w:spacing w:val="1"/>
          <w:sz w:val="21"/>
          <w:szCs w:val="21"/>
        </w:rPr>
        <w:t>人应向发包人和监理人提交提前竣工建议书，提前竣工建议书应包括实施的方案、缩短的时间、</w:t>
      </w:r>
      <w:r>
        <w:rPr>
          <w:spacing w:val="11"/>
          <w:sz w:val="21"/>
          <w:szCs w:val="21"/>
        </w:rPr>
        <w:t xml:space="preserve"> </w:t>
      </w:r>
      <w:r>
        <w:rPr>
          <w:spacing w:val="2"/>
          <w:sz w:val="21"/>
          <w:szCs w:val="21"/>
        </w:rPr>
        <w:t>增加的合同价格等内容。发包人接受该提前竣工建议书的，监理人应与发包人和承包人协商采取</w:t>
      </w:r>
      <w:r>
        <w:rPr>
          <w:spacing w:val="15"/>
          <w:sz w:val="21"/>
          <w:szCs w:val="21"/>
        </w:rPr>
        <w:t xml:space="preserve"> </w:t>
      </w:r>
      <w:r>
        <w:rPr>
          <w:spacing w:val="2"/>
          <w:sz w:val="21"/>
          <w:szCs w:val="21"/>
        </w:rPr>
        <w:t>加快工程进度的措施，并修订施工进度计划，由此增加的费用由发包人承担。承包人认为提前竣</w:t>
      </w:r>
      <w:r>
        <w:rPr>
          <w:spacing w:val="16"/>
          <w:sz w:val="21"/>
          <w:szCs w:val="21"/>
        </w:rPr>
        <w:t xml:space="preserve"> </w:t>
      </w:r>
      <w:r>
        <w:rPr>
          <w:spacing w:val="5"/>
          <w:sz w:val="21"/>
          <w:szCs w:val="21"/>
        </w:rPr>
        <w:t>工指示无法执行的，应向监理人和发包人提出书面异议，发包人和监理人应在收</w:t>
      </w:r>
      <w:r>
        <w:rPr>
          <w:spacing w:val="4"/>
          <w:sz w:val="21"/>
          <w:szCs w:val="21"/>
        </w:rPr>
        <w:t>到异议后7天内</w:t>
      </w:r>
      <w:r>
        <w:rPr>
          <w:sz w:val="21"/>
          <w:szCs w:val="21"/>
        </w:rPr>
        <w:t xml:space="preserve"> </w:t>
      </w:r>
      <w:r>
        <w:rPr>
          <w:spacing w:val="-1"/>
          <w:sz w:val="21"/>
          <w:szCs w:val="21"/>
        </w:rPr>
        <w:t>予以答复。任何情况下，发包人不得压缩合理工</w:t>
      </w:r>
      <w:r>
        <w:rPr>
          <w:spacing w:val="-2"/>
          <w:sz w:val="21"/>
          <w:szCs w:val="21"/>
        </w:rPr>
        <w:t>期。</w:t>
      </w:r>
    </w:p>
    <w:p w14:paraId="2CA9C50D">
      <w:pPr>
        <w:pStyle w:val="2"/>
        <w:spacing w:before="202" w:line="281" w:lineRule="auto"/>
        <w:ind w:right="99" w:firstLine="419"/>
        <w:rPr>
          <w:sz w:val="21"/>
          <w:szCs w:val="21"/>
        </w:rPr>
      </w:pPr>
      <w:r>
        <w:rPr>
          <w:spacing w:val="-3"/>
          <w:sz w:val="21"/>
          <w:szCs w:val="21"/>
        </w:rPr>
        <w:t>7.9.2 发包人要求承包人提前竣工，或承包人提出提前竣工的建议能够给发包人带来效益的，</w:t>
      </w:r>
      <w:r>
        <w:rPr>
          <w:spacing w:val="16"/>
          <w:sz w:val="21"/>
          <w:szCs w:val="21"/>
        </w:rPr>
        <w:t xml:space="preserve"> </w:t>
      </w:r>
      <w:r>
        <w:rPr>
          <w:spacing w:val="-2"/>
          <w:sz w:val="21"/>
          <w:szCs w:val="21"/>
        </w:rPr>
        <w:t>合同当事人可以在专用合同条款中约定提前竣工的奖励。</w:t>
      </w:r>
    </w:p>
    <w:p w14:paraId="31937B2F">
      <w:pPr>
        <w:pStyle w:val="2"/>
        <w:spacing w:before="178" w:line="219" w:lineRule="auto"/>
        <w:ind w:left="4"/>
        <w:rPr>
          <w:sz w:val="30"/>
          <w:szCs w:val="30"/>
        </w:rPr>
      </w:pPr>
      <w:r>
        <w:rPr>
          <w:b/>
          <w:bCs/>
          <w:spacing w:val="-2"/>
          <w:sz w:val="30"/>
          <w:szCs w:val="30"/>
        </w:rPr>
        <w:t>8.材料与设备</w:t>
      </w:r>
    </w:p>
    <w:p w14:paraId="489223D7">
      <w:pPr>
        <w:pStyle w:val="2"/>
        <w:spacing w:before="93" w:line="219" w:lineRule="auto"/>
        <w:ind w:left="3"/>
      </w:pPr>
      <w:r>
        <w:rPr>
          <w:b/>
          <w:bCs/>
          <w:spacing w:val="-6"/>
        </w:rPr>
        <w:t>8.1发包人供应材料与工程设备</w:t>
      </w:r>
    </w:p>
    <w:p w14:paraId="48EAD9F8">
      <w:pPr>
        <w:pStyle w:val="2"/>
        <w:spacing w:before="105" w:line="365" w:lineRule="auto"/>
        <w:ind w:firstLine="419"/>
        <w:rPr>
          <w:sz w:val="21"/>
          <w:szCs w:val="21"/>
        </w:rPr>
      </w:pPr>
      <w:r>
        <w:rPr>
          <w:spacing w:val="2"/>
          <w:sz w:val="21"/>
          <w:szCs w:val="21"/>
        </w:rPr>
        <w:t>发包人自行供应材料、工程设备的，应在签订合同时在专用合同条款的附件《发包</w:t>
      </w:r>
      <w:r>
        <w:rPr>
          <w:spacing w:val="1"/>
          <w:sz w:val="21"/>
          <w:szCs w:val="21"/>
        </w:rPr>
        <w:t>人供应材</w:t>
      </w:r>
      <w:r>
        <w:rPr>
          <w:sz w:val="21"/>
          <w:szCs w:val="21"/>
        </w:rPr>
        <w:t xml:space="preserve">  料设备一览表》中明确材料、工程设备的品种、规格、型号</w:t>
      </w:r>
      <w:r>
        <w:rPr>
          <w:spacing w:val="-1"/>
          <w:sz w:val="21"/>
          <w:szCs w:val="21"/>
        </w:rPr>
        <w:t>、数量、单价、质量等级和送达地点。</w:t>
      </w:r>
    </w:p>
    <w:p w14:paraId="69C0188F">
      <w:pPr>
        <w:pStyle w:val="2"/>
        <w:spacing w:before="1" w:line="339" w:lineRule="auto"/>
        <w:ind w:right="87" w:firstLine="419"/>
        <w:rPr>
          <w:sz w:val="21"/>
          <w:szCs w:val="21"/>
        </w:rPr>
      </w:pPr>
      <w:r>
        <w:rPr>
          <w:spacing w:val="3"/>
          <w:sz w:val="21"/>
          <w:szCs w:val="21"/>
        </w:rPr>
        <w:t>承包人应提前30天通过监理人以书面形式通知发包人</w:t>
      </w:r>
      <w:r>
        <w:rPr>
          <w:spacing w:val="2"/>
          <w:sz w:val="21"/>
          <w:szCs w:val="21"/>
        </w:rPr>
        <w:t>供应材料与工程设备进场。承包人按照</w:t>
      </w:r>
      <w:r>
        <w:rPr>
          <w:sz w:val="21"/>
          <w:szCs w:val="21"/>
        </w:rPr>
        <w:t xml:space="preserve"> 第7.2.2项〔施工进度计划的修订〕约定修订施工进度计划时，需同时提交</w:t>
      </w:r>
      <w:r>
        <w:rPr>
          <w:spacing w:val="-1"/>
          <w:sz w:val="21"/>
          <w:szCs w:val="21"/>
        </w:rPr>
        <w:t>经修订后的发包人供应</w:t>
      </w:r>
      <w:r>
        <w:rPr>
          <w:sz w:val="21"/>
          <w:szCs w:val="21"/>
        </w:rPr>
        <w:t xml:space="preserve"> </w:t>
      </w:r>
      <w:r>
        <w:rPr>
          <w:spacing w:val="-3"/>
          <w:sz w:val="21"/>
          <w:szCs w:val="21"/>
        </w:rPr>
        <w:t>材料与工程设备的进场计划。</w:t>
      </w:r>
    </w:p>
    <w:p w14:paraId="05199D09">
      <w:pPr>
        <w:pStyle w:val="2"/>
        <w:spacing w:before="1" w:line="218" w:lineRule="auto"/>
        <w:ind w:left="3"/>
      </w:pPr>
      <w:r>
        <w:rPr>
          <w:b/>
          <w:bCs/>
          <w:spacing w:val="-6"/>
        </w:rPr>
        <w:t>8.2承包人采购材料与工程设备</w:t>
      </w:r>
    </w:p>
    <w:p w14:paraId="0F0D95D8">
      <w:pPr>
        <w:pStyle w:val="2"/>
        <w:spacing w:before="125" w:line="347" w:lineRule="auto"/>
        <w:ind w:right="101" w:firstLine="419"/>
        <w:jc w:val="both"/>
        <w:rPr>
          <w:sz w:val="21"/>
          <w:szCs w:val="21"/>
        </w:rPr>
      </w:pPr>
      <w:r>
        <w:rPr>
          <w:spacing w:val="2"/>
          <w:sz w:val="21"/>
          <w:szCs w:val="21"/>
        </w:rPr>
        <w:t>承包人负责采购材料、工程设备的，应按照设计和有关标准要求采购，并提供产品合格证明</w:t>
      </w:r>
      <w:r>
        <w:rPr>
          <w:spacing w:val="12"/>
          <w:sz w:val="21"/>
          <w:szCs w:val="21"/>
        </w:rPr>
        <w:t xml:space="preserve"> </w:t>
      </w:r>
      <w:r>
        <w:rPr>
          <w:spacing w:val="2"/>
          <w:sz w:val="21"/>
          <w:szCs w:val="21"/>
        </w:rPr>
        <w:t>及出厂证明，对材料、工程设备质量负责。合同约定由承包人采购的材料、工程设备，</w:t>
      </w:r>
      <w:r>
        <w:rPr>
          <w:spacing w:val="1"/>
          <w:sz w:val="21"/>
          <w:szCs w:val="21"/>
        </w:rPr>
        <w:t>发包人不</w:t>
      </w:r>
      <w:r>
        <w:rPr>
          <w:sz w:val="21"/>
          <w:szCs w:val="21"/>
        </w:rPr>
        <w:t xml:space="preserve"> </w:t>
      </w:r>
      <w:r>
        <w:rPr>
          <w:spacing w:val="2"/>
          <w:sz w:val="21"/>
          <w:szCs w:val="21"/>
        </w:rPr>
        <w:t>得指定生产厂家或供应商，发包人违反本款约定指定生产厂家或供应商的，承包</w:t>
      </w:r>
      <w:r>
        <w:rPr>
          <w:spacing w:val="1"/>
          <w:sz w:val="21"/>
          <w:szCs w:val="21"/>
        </w:rPr>
        <w:t>人有权拒绝，并</w:t>
      </w:r>
      <w:r>
        <w:rPr>
          <w:sz w:val="21"/>
          <w:szCs w:val="21"/>
        </w:rPr>
        <w:t xml:space="preserve"> </w:t>
      </w:r>
      <w:r>
        <w:rPr>
          <w:spacing w:val="-3"/>
          <w:sz w:val="21"/>
          <w:szCs w:val="21"/>
        </w:rPr>
        <w:t>由发包人承担相应责任。</w:t>
      </w:r>
    </w:p>
    <w:p w14:paraId="464E8FBE">
      <w:pPr>
        <w:pStyle w:val="2"/>
        <w:spacing w:before="1" w:line="218" w:lineRule="auto"/>
        <w:ind w:left="3"/>
      </w:pPr>
      <w:r>
        <w:rPr>
          <w:b/>
          <w:bCs/>
          <w:spacing w:val="-7"/>
        </w:rPr>
        <w:t>8.3材料与工程设备的接收与拒收</w:t>
      </w:r>
    </w:p>
    <w:p w14:paraId="57168BF6">
      <w:pPr>
        <w:pStyle w:val="2"/>
        <w:spacing w:before="135" w:line="352" w:lineRule="auto"/>
        <w:ind w:right="99" w:firstLine="419"/>
        <w:jc w:val="both"/>
        <w:rPr>
          <w:sz w:val="21"/>
          <w:szCs w:val="21"/>
        </w:rPr>
      </w:pPr>
      <w:r>
        <w:rPr>
          <w:spacing w:val="-3"/>
          <w:sz w:val="21"/>
          <w:szCs w:val="21"/>
        </w:rPr>
        <w:t>8.3.1 发包人应按《发包人供应材料设备一览表》约定的内容提供材料和工程设备，并向承包</w:t>
      </w:r>
      <w:r>
        <w:rPr>
          <w:sz w:val="21"/>
          <w:szCs w:val="21"/>
        </w:rPr>
        <w:t xml:space="preserve"> </w:t>
      </w:r>
      <w:r>
        <w:rPr>
          <w:spacing w:val="2"/>
          <w:sz w:val="21"/>
          <w:szCs w:val="21"/>
        </w:rPr>
        <w:t>人提供产品合格证明及出厂证明，对其质量负责。发包人应提前24小时以书面形式通知承包人、</w:t>
      </w:r>
      <w:r>
        <w:rPr>
          <w:spacing w:val="7"/>
          <w:sz w:val="21"/>
          <w:szCs w:val="21"/>
        </w:rPr>
        <w:t xml:space="preserve"> </w:t>
      </w:r>
      <w:r>
        <w:rPr>
          <w:sz w:val="21"/>
          <w:szCs w:val="21"/>
        </w:rPr>
        <w:t>监理人材料和工程设备到货时间，承包人负责材料和工程设备的清点、</w:t>
      </w:r>
      <w:r>
        <w:rPr>
          <w:spacing w:val="-1"/>
          <w:sz w:val="21"/>
          <w:szCs w:val="21"/>
        </w:rPr>
        <w:t>检验和接收。</w:t>
      </w:r>
    </w:p>
    <w:p w14:paraId="4D090B08">
      <w:pPr>
        <w:pStyle w:val="2"/>
        <w:spacing w:line="356" w:lineRule="auto"/>
        <w:ind w:right="116" w:firstLine="419"/>
        <w:rPr>
          <w:sz w:val="21"/>
          <w:szCs w:val="21"/>
        </w:rPr>
      </w:pPr>
      <w:r>
        <w:rPr>
          <w:spacing w:val="2"/>
          <w:sz w:val="21"/>
          <w:szCs w:val="21"/>
        </w:rPr>
        <w:t>发包人提供的材料和工程设备的规格、数量或质量不符合合同约定的，或因发包人原</w:t>
      </w:r>
      <w:r>
        <w:rPr>
          <w:spacing w:val="1"/>
          <w:sz w:val="21"/>
          <w:szCs w:val="21"/>
        </w:rPr>
        <w:t>因导致</w:t>
      </w:r>
      <w:r>
        <w:rPr>
          <w:sz w:val="21"/>
          <w:szCs w:val="21"/>
        </w:rPr>
        <w:t xml:space="preserve"> </w:t>
      </w:r>
      <w:r>
        <w:rPr>
          <w:spacing w:val="1"/>
          <w:sz w:val="21"/>
          <w:szCs w:val="21"/>
        </w:rPr>
        <w:t>交货日期延误或交货地点变更等情况的，按照第16.1款〔发包人违约〕约定办理。</w:t>
      </w:r>
    </w:p>
    <w:p w14:paraId="32EB808B">
      <w:pPr>
        <w:pStyle w:val="2"/>
        <w:spacing w:line="344" w:lineRule="auto"/>
        <w:ind w:right="73" w:firstLine="419"/>
        <w:jc w:val="both"/>
        <w:rPr>
          <w:sz w:val="21"/>
          <w:szCs w:val="21"/>
        </w:rPr>
      </w:pPr>
      <w:r>
        <w:rPr>
          <w:spacing w:val="-2"/>
          <w:sz w:val="21"/>
          <w:szCs w:val="21"/>
        </w:rPr>
        <w:t>8.3.2 承包人采购的材料和工程设备，应保证产品质量合格，承包人应在材料和工程设备</w:t>
      </w:r>
      <w:r>
        <w:rPr>
          <w:spacing w:val="-3"/>
          <w:sz w:val="21"/>
          <w:szCs w:val="21"/>
        </w:rPr>
        <w:t>到货</w:t>
      </w:r>
      <w:r>
        <w:rPr>
          <w:sz w:val="21"/>
          <w:szCs w:val="21"/>
        </w:rPr>
        <w:t xml:space="preserve"> </w:t>
      </w:r>
      <w:r>
        <w:rPr>
          <w:spacing w:val="2"/>
          <w:sz w:val="21"/>
          <w:szCs w:val="21"/>
        </w:rPr>
        <w:t>前24小时通知监理人检验。承包人进行永久设备、材料的制造和生产的，应符合相关质量标准，</w:t>
      </w:r>
      <w:r>
        <w:rPr>
          <w:spacing w:val="8"/>
          <w:sz w:val="21"/>
          <w:szCs w:val="21"/>
        </w:rPr>
        <w:t xml:space="preserve"> </w:t>
      </w:r>
      <w:r>
        <w:rPr>
          <w:sz w:val="21"/>
          <w:szCs w:val="21"/>
        </w:rPr>
        <w:t>并向监理人提交材料的样本以及有关资料，并应在使用该材料或工程设备之前获得监理人同意。</w:t>
      </w:r>
    </w:p>
    <w:p w14:paraId="2209506F">
      <w:pPr>
        <w:pStyle w:val="2"/>
        <w:spacing w:before="27" w:line="353" w:lineRule="auto"/>
        <w:ind w:right="97" w:firstLine="550"/>
        <w:jc w:val="both"/>
        <w:rPr>
          <w:sz w:val="21"/>
          <w:szCs w:val="21"/>
        </w:rPr>
      </w:pPr>
      <w:r>
        <w:rPr>
          <w:spacing w:val="-1"/>
          <w:sz w:val="21"/>
          <w:szCs w:val="21"/>
        </w:rPr>
        <w:t>承包人采购的材料和工程设备不符合设计或有关标准要求时，承包人应在监理人要求的合理</w:t>
      </w:r>
      <w:r>
        <w:rPr>
          <w:spacing w:val="6"/>
          <w:sz w:val="21"/>
          <w:szCs w:val="21"/>
        </w:rPr>
        <w:t xml:space="preserve"> </w:t>
      </w:r>
      <w:r>
        <w:rPr>
          <w:spacing w:val="2"/>
          <w:sz w:val="21"/>
          <w:szCs w:val="21"/>
        </w:rPr>
        <w:t>期限内将不符合设计或有关标准要求的材料、工程设备运出施工现场，并重新</w:t>
      </w:r>
      <w:r>
        <w:rPr>
          <w:spacing w:val="1"/>
          <w:sz w:val="21"/>
          <w:szCs w:val="21"/>
        </w:rPr>
        <w:t>采购符合要求的材</w:t>
      </w:r>
      <w:r>
        <w:rPr>
          <w:sz w:val="21"/>
          <w:szCs w:val="21"/>
        </w:rPr>
        <w:t xml:space="preserve"> </w:t>
      </w:r>
      <w:r>
        <w:rPr>
          <w:spacing w:val="6"/>
          <w:sz w:val="21"/>
          <w:szCs w:val="21"/>
        </w:rPr>
        <w:t>料、工程设备，由此增加的费用和(或)延误的工期，由承包人承</w:t>
      </w:r>
      <w:r>
        <w:rPr>
          <w:spacing w:val="5"/>
          <w:sz w:val="21"/>
          <w:szCs w:val="21"/>
        </w:rPr>
        <w:t>担。</w:t>
      </w:r>
    </w:p>
    <w:p w14:paraId="38304F9F">
      <w:pPr>
        <w:spacing w:line="353" w:lineRule="auto"/>
        <w:rPr>
          <w:sz w:val="21"/>
          <w:szCs w:val="21"/>
        </w:rPr>
        <w:sectPr>
          <w:footerReference r:id="rId213" w:type="default"/>
          <w:pgSz w:w="11910" w:h="16840"/>
          <w:pgMar w:top="400" w:right="1445" w:bottom="1024" w:left="1450" w:header="0" w:footer="889" w:gutter="0"/>
          <w:cols w:space="720" w:num="1"/>
        </w:sectPr>
      </w:pPr>
    </w:p>
    <w:p w14:paraId="62635040">
      <w:pPr>
        <w:spacing w:line="261" w:lineRule="auto"/>
        <w:rPr>
          <w:rFonts w:ascii="Arial"/>
          <w:sz w:val="21"/>
        </w:rPr>
      </w:pPr>
    </w:p>
    <w:p w14:paraId="63847B93">
      <w:pPr>
        <w:spacing w:line="261" w:lineRule="auto"/>
        <w:rPr>
          <w:rFonts w:ascii="Arial"/>
          <w:sz w:val="21"/>
        </w:rPr>
      </w:pPr>
    </w:p>
    <w:p w14:paraId="3880B735">
      <w:pPr>
        <w:spacing w:line="262" w:lineRule="auto"/>
        <w:rPr>
          <w:rFonts w:ascii="Arial"/>
          <w:sz w:val="21"/>
        </w:rPr>
      </w:pPr>
    </w:p>
    <w:p w14:paraId="1622D041">
      <w:pPr>
        <w:spacing w:line="262" w:lineRule="auto"/>
        <w:rPr>
          <w:rFonts w:ascii="Arial"/>
          <w:sz w:val="21"/>
        </w:rPr>
      </w:pPr>
    </w:p>
    <w:p w14:paraId="789077D7">
      <w:pPr>
        <w:spacing w:line="262" w:lineRule="auto"/>
        <w:rPr>
          <w:rFonts w:ascii="Arial"/>
          <w:sz w:val="21"/>
        </w:rPr>
      </w:pPr>
    </w:p>
    <w:p w14:paraId="1575455A">
      <w:pPr>
        <w:spacing w:before="78" w:line="222" w:lineRule="auto"/>
        <w:ind w:left="3"/>
        <w:rPr>
          <w:rFonts w:ascii="黑体" w:hAnsi="黑体" w:eastAsia="黑体" w:cs="黑体"/>
          <w:sz w:val="24"/>
          <w:szCs w:val="24"/>
        </w:rPr>
      </w:pPr>
      <w:r>
        <w:rPr>
          <w:rFonts w:ascii="黑体" w:hAnsi="黑体" w:eastAsia="黑体" w:cs="黑体"/>
          <w:b/>
          <w:bCs/>
          <w:spacing w:val="1"/>
          <w:sz w:val="24"/>
          <w:szCs w:val="24"/>
        </w:rPr>
        <w:t>8.4材料与工程设备的保管与使用</w:t>
      </w:r>
    </w:p>
    <w:p w14:paraId="45E481FF">
      <w:pPr>
        <w:pStyle w:val="2"/>
        <w:spacing w:before="153" w:line="219" w:lineRule="auto"/>
        <w:ind w:left="419"/>
        <w:rPr>
          <w:sz w:val="21"/>
          <w:szCs w:val="21"/>
        </w:rPr>
      </w:pPr>
      <w:r>
        <w:rPr>
          <w:spacing w:val="-3"/>
          <w:sz w:val="21"/>
          <w:szCs w:val="21"/>
        </w:rPr>
        <w:t>8.4.1</w:t>
      </w:r>
      <w:r>
        <w:rPr>
          <w:spacing w:val="-23"/>
          <w:sz w:val="21"/>
          <w:szCs w:val="21"/>
        </w:rPr>
        <w:t xml:space="preserve"> </w:t>
      </w:r>
      <w:r>
        <w:rPr>
          <w:spacing w:val="-3"/>
          <w:sz w:val="21"/>
          <w:szCs w:val="21"/>
        </w:rPr>
        <w:t>发包人供应材料与工程设备的保管与使用</w:t>
      </w:r>
    </w:p>
    <w:p w14:paraId="3DDC9441">
      <w:pPr>
        <w:pStyle w:val="2"/>
        <w:spacing w:before="161" w:line="344" w:lineRule="auto"/>
        <w:ind w:right="11" w:firstLine="419"/>
        <w:rPr>
          <w:sz w:val="21"/>
          <w:szCs w:val="21"/>
        </w:rPr>
      </w:pPr>
      <w:r>
        <w:rPr>
          <w:spacing w:val="1"/>
          <w:sz w:val="21"/>
          <w:szCs w:val="21"/>
        </w:rPr>
        <w:t>发包人供应的材料和工程设备，承包人清点后由承包人妥善保管，保管费用由发包人承担，</w:t>
      </w:r>
      <w:r>
        <w:rPr>
          <w:spacing w:val="13"/>
          <w:sz w:val="21"/>
          <w:szCs w:val="21"/>
        </w:rPr>
        <w:t xml:space="preserve"> </w:t>
      </w:r>
      <w:r>
        <w:rPr>
          <w:spacing w:val="3"/>
          <w:sz w:val="21"/>
          <w:szCs w:val="21"/>
        </w:rPr>
        <w:t>但已标价工程量清单或预算书已经列支或专用合同条款</w:t>
      </w:r>
      <w:r>
        <w:rPr>
          <w:spacing w:val="2"/>
          <w:sz w:val="21"/>
          <w:szCs w:val="21"/>
        </w:rPr>
        <w:t>另有约定除外。因承包人原因发生丢失毁</w:t>
      </w:r>
      <w:r>
        <w:rPr>
          <w:sz w:val="21"/>
          <w:szCs w:val="21"/>
        </w:rPr>
        <w:t xml:space="preserve"> </w:t>
      </w:r>
      <w:r>
        <w:rPr>
          <w:spacing w:val="1"/>
          <w:sz w:val="21"/>
          <w:szCs w:val="21"/>
        </w:rPr>
        <w:t>损的，由承包人负责赔偿；监理人未通知承包人清点的，承包人不负责材料和工程设备的保管，</w:t>
      </w:r>
      <w:r>
        <w:rPr>
          <w:spacing w:val="11"/>
          <w:sz w:val="21"/>
          <w:szCs w:val="21"/>
        </w:rPr>
        <w:t xml:space="preserve"> </w:t>
      </w:r>
      <w:r>
        <w:rPr>
          <w:spacing w:val="-3"/>
          <w:sz w:val="21"/>
          <w:szCs w:val="21"/>
        </w:rPr>
        <w:t>由此导致丢失毁损的由发包人负责。</w:t>
      </w:r>
    </w:p>
    <w:p w14:paraId="38DCDCD4">
      <w:pPr>
        <w:pStyle w:val="2"/>
        <w:spacing w:before="23" w:line="346" w:lineRule="auto"/>
        <w:ind w:right="52" w:firstLine="419"/>
        <w:rPr>
          <w:sz w:val="21"/>
          <w:szCs w:val="21"/>
        </w:rPr>
      </w:pPr>
      <w:r>
        <w:rPr>
          <w:spacing w:val="2"/>
          <w:sz w:val="21"/>
          <w:szCs w:val="21"/>
        </w:rPr>
        <w:t>发包人供应的材料和工程设备使用前，由承包人负责检验，检</w:t>
      </w:r>
      <w:r>
        <w:rPr>
          <w:spacing w:val="1"/>
          <w:sz w:val="21"/>
          <w:szCs w:val="21"/>
        </w:rPr>
        <w:t>验费用由发包人承担，不合格</w:t>
      </w:r>
      <w:r>
        <w:rPr>
          <w:sz w:val="21"/>
          <w:szCs w:val="21"/>
        </w:rPr>
        <w:t xml:space="preserve"> </w:t>
      </w:r>
      <w:r>
        <w:rPr>
          <w:spacing w:val="-4"/>
          <w:sz w:val="21"/>
          <w:szCs w:val="21"/>
        </w:rPr>
        <w:t>的不得使用。</w:t>
      </w:r>
    </w:p>
    <w:p w14:paraId="13F730B4">
      <w:pPr>
        <w:pStyle w:val="2"/>
        <w:spacing w:before="4" w:line="219" w:lineRule="auto"/>
        <w:ind w:left="419"/>
        <w:rPr>
          <w:sz w:val="21"/>
          <w:szCs w:val="21"/>
        </w:rPr>
      </w:pPr>
      <w:r>
        <w:rPr>
          <w:spacing w:val="1"/>
          <w:sz w:val="21"/>
          <w:szCs w:val="21"/>
        </w:rPr>
        <w:t>8.4.2承包人采购材料与工程设备的保</w:t>
      </w:r>
      <w:r>
        <w:rPr>
          <w:sz w:val="21"/>
          <w:szCs w:val="21"/>
        </w:rPr>
        <w:t>管与使用</w:t>
      </w:r>
    </w:p>
    <w:p w14:paraId="79BD3192">
      <w:pPr>
        <w:pStyle w:val="2"/>
        <w:spacing w:before="160" w:line="346" w:lineRule="auto"/>
        <w:ind w:right="31" w:firstLine="419"/>
        <w:rPr>
          <w:sz w:val="21"/>
          <w:szCs w:val="21"/>
        </w:rPr>
      </w:pPr>
      <w:r>
        <w:rPr>
          <w:spacing w:val="2"/>
          <w:sz w:val="21"/>
          <w:szCs w:val="21"/>
        </w:rPr>
        <w:t>承包人采购的材料和工程设备由承包人妥善保管，保管费用由承包人承担。法律规</w:t>
      </w:r>
      <w:r>
        <w:rPr>
          <w:spacing w:val="1"/>
          <w:sz w:val="21"/>
          <w:szCs w:val="21"/>
        </w:rPr>
        <w:t>定材料和</w:t>
      </w:r>
      <w:r>
        <w:rPr>
          <w:sz w:val="21"/>
          <w:szCs w:val="21"/>
        </w:rPr>
        <w:t xml:space="preserve"> </w:t>
      </w:r>
      <w:r>
        <w:rPr>
          <w:spacing w:val="2"/>
          <w:sz w:val="21"/>
          <w:szCs w:val="21"/>
        </w:rPr>
        <w:t>工程设备使用前必须进行检验或试验的，承包人应按监理人的要求进行检验或试验，检验或试验</w:t>
      </w:r>
      <w:r>
        <w:rPr>
          <w:spacing w:val="4"/>
          <w:sz w:val="21"/>
          <w:szCs w:val="21"/>
        </w:rPr>
        <w:t xml:space="preserve"> </w:t>
      </w:r>
      <w:r>
        <w:rPr>
          <w:spacing w:val="-3"/>
          <w:sz w:val="21"/>
          <w:szCs w:val="21"/>
        </w:rPr>
        <w:t>费用由承包人承担，不合格的不得使用。</w:t>
      </w:r>
    </w:p>
    <w:p w14:paraId="45AB2901">
      <w:pPr>
        <w:pStyle w:val="2"/>
        <w:spacing w:before="2" w:line="350" w:lineRule="auto"/>
        <w:ind w:right="31" w:firstLine="419"/>
        <w:rPr>
          <w:sz w:val="21"/>
          <w:szCs w:val="21"/>
        </w:rPr>
      </w:pPr>
      <w:r>
        <w:rPr>
          <w:spacing w:val="2"/>
          <w:sz w:val="21"/>
          <w:szCs w:val="21"/>
        </w:rPr>
        <w:t>发包人或监理人发现承包人使用不符合设计或有关标准要求的材料和工程设备时，有权要求</w:t>
      </w:r>
      <w:r>
        <w:rPr>
          <w:spacing w:val="8"/>
          <w:sz w:val="21"/>
          <w:szCs w:val="21"/>
        </w:rPr>
        <w:t xml:space="preserve"> </w:t>
      </w:r>
      <w:r>
        <w:rPr>
          <w:spacing w:val="5"/>
          <w:sz w:val="21"/>
          <w:szCs w:val="21"/>
        </w:rPr>
        <w:t>承包人进行修复、拆除或重新采购，由此增加的费用和(或)延误的工期，由承包人承担。</w:t>
      </w:r>
    </w:p>
    <w:p w14:paraId="33B3DADD">
      <w:pPr>
        <w:spacing w:before="1" w:line="221" w:lineRule="auto"/>
        <w:ind w:left="3"/>
        <w:rPr>
          <w:rFonts w:ascii="黑体" w:hAnsi="黑体" w:eastAsia="黑体" w:cs="黑体"/>
          <w:sz w:val="24"/>
          <w:szCs w:val="24"/>
        </w:rPr>
      </w:pPr>
      <w:r>
        <w:rPr>
          <w:rFonts w:ascii="黑体" w:hAnsi="黑体" w:eastAsia="黑体" w:cs="黑体"/>
          <w:b/>
          <w:bCs/>
          <w:spacing w:val="2"/>
          <w:sz w:val="24"/>
          <w:szCs w:val="24"/>
        </w:rPr>
        <w:t>8.5禁止使用不合格的材料和工程设备</w:t>
      </w:r>
    </w:p>
    <w:p w14:paraId="1113DAB2">
      <w:pPr>
        <w:pStyle w:val="2"/>
        <w:spacing w:before="113" w:line="295" w:lineRule="auto"/>
        <w:ind w:firstLine="419"/>
        <w:rPr>
          <w:sz w:val="21"/>
          <w:szCs w:val="21"/>
        </w:rPr>
      </w:pPr>
      <w:r>
        <w:rPr>
          <w:spacing w:val="-2"/>
          <w:sz w:val="21"/>
          <w:szCs w:val="21"/>
        </w:rPr>
        <w:t>8.5.1 监理人有权拒绝承包人提供的不合格材料或工程设备，并要求承包人立即进行更</w:t>
      </w:r>
      <w:r>
        <w:rPr>
          <w:spacing w:val="-3"/>
          <w:sz w:val="21"/>
          <w:szCs w:val="21"/>
        </w:rPr>
        <w:t>换。监</w:t>
      </w:r>
      <w:r>
        <w:rPr>
          <w:sz w:val="21"/>
          <w:szCs w:val="21"/>
        </w:rPr>
        <w:t xml:space="preserve"> </w:t>
      </w:r>
      <w:r>
        <w:rPr>
          <w:spacing w:val="5"/>
          <w:sz w:val="21"/>
          <w:szCs w:val="21"/>
        </w:rPr>
        <w:t>理人应在更换后再次进行检查和检验，由此增加的费用和(或)延误的工期由承包人承担。</w:t>
      </w:r>
    </w:p>
    <w:p w14:paraId="73C23237">
      <w:pPr>
        <w:pStyle w:val="2"/>
        <w:spacing w:before="170" w:line="276" w:lineRule="auto"/>
        <w:ind w:right="20" w:firstLine="419"/>
        <w:rPr>
          <w:sz w:val="21"/>
          <w:szCs w:val="21"/>
        </w:rPr>
      </w:pPr>
      <w:r>
        <w:rPr>
          <w:spacing w:val="-2"/>
          <w:sz w:val="21"/>
          <w:szCs w:val="21"/>
        </w:rPr>
        <w:t>8.5.2 监理人发现承包人使用了不合格的</w:t>
      </w:r>
      <w:r>
        <w:rPr>
          <w:spacing w:val="-3"/>
          <w:sz w:val="21"/>
          <w:szCs w:val="21"/>
        </w:rPr>
        <w:t>材料和工程设备，承包人应按照监理人的指示立即改</w:t>
      </w:r>
      <w:r>
        <w:rPr>
          <w:sz w:val="21"/>
          <w:szCs w:val="21"/>
        </w:rPr>
        <w:t xml:space="preserve"> </w:t>
      </w:r>
      <w:r>
        <w:rPr>
          <w:spacing w:val="-1"/>
          <w:sz w:val="21"/>
          <w:szCs w:val="21"/>
        </w:rPr>
        <w:t>正，并禁止在工程中继续使用不合格的材料和工程设备。</w:t>
      </w:r>
    </w:p>
    <w:p w14:paraId="389BA097">
      <w:pPr>
        <w:pStyle w:val="2"/>
        <w:spacing w:before="163" w:line="281" w:lineRule="auto"/>
        <w:ind w:right="12" w:firstLine="419"/>
        <w:rPr>
          <w:sz w:val="21"/>
          <w:szCs w:val="21"/>
        </w:rPr>
      </w:pPr>
      <w:r>
        <w:rPr>
          <w:spacing w:val="-2"/>
          <w:sz w:val="21"/>
          <w:szCs w:val="21"/>
        </w:rPr>
        <w:t>8.5.3 发包人提供的材料或工程设备不符合合同要求的，承</w:t>
      </w:r>
      <w:r>
        <w:rPr>
          <w:spacing w:val="-3"/>
          <w:sz w:val="21"/>
          <w:szCs w:val="21"/>
        </w:rPr>
        <w:t>包人有权拒绝，并可要求发包人更</w:t>
      </w:r>
      <w:r>
        <w:rPr>
          <w:sz w:val="21"/>
          <w:szCs w:val="21"/>
        </w:rPr>
        <w:t xml:space="preserve"> </w:t>
      </w:r>
      <w:r>
        <w:rPr>
          <w:spacing w:val="5"/>
          <w:sz w:val="21"/>
          <w:szCs w:val="21"/>
        </w:rPr>
        <w:t>换，由此增加的费用和(或)延误的工期由发包人承担，并支付承包人合理的利润。</w:t>
      </w:r>
    </w:p>
    <w:p w14:paraId="24653E31">
      <w:pPr>
        <w:pStyle w:val="2"/>
        <w:spacing w:before="119" w:line="224" w:lineRule="auto"/>
        <w:ind w:left="3"/>
        <w:rPr>
          <w:rFonts w:ascii="黑体" w:hAnsi="黑体" w:eastAsia="黑体" w:cs="黑体"/>
          <w:sz w:val="24"/>
          <w:szCs w:val="24"/>
        </w:rPr>
      </w:pPr>
      <w:r>
        <w:rPr>
          <w:b/>
          <w:bCs/>
          <w:spacing w:val="-5"/>
          <w:sz w:val="24"/>
          <w:szCs w:val="24"/>
        </w:rPr>
        <w:t>8.6</w:t>
      </w:r>
      <w:r>
        <w:rPr>
          <w:spacing w:val="-5"/>
          <w:sz w:val="24"/>
          <w:szCs w:val="24"/>
        </w:rPr>
        <w:t xml:space="preserve"> </w:t>
      </w:r>
      <w:r>
        <w:rPr>
          <w:rFonts w:ascii="黑体" w:hAnsi="黑体" w:eastAsia="黑体" w:cs="黑体"/>
          <w:b/>
          <w:bCs/>
          <w:spacing w:val="-5"/>
          <w:sz w:val="24"/>
          <w:szCs w:val="24"/>
        </w:rPr>
        <w:t>样品</w:t>
      </w:r>
    </w:p>
    <w:p w14:paraId="6BB8B8DC">
      <w:pPr>
        <w:pStyle w:val="2"/>
        <w:spacing w:before="130" w:line="219" w:lineRule="auto"/>
        <w:ind w:left="419"/>
        <w:rPr>
          <w:sz w:val="21"/>
          <w:szCs w:val="21"/>
        </w:rPr>
      </w:pPr>
      <w:r>
        <w:rPr>
          <w:spacing w:val="-1"/>
          <w:sz w:val="21"/>
          <w:szCs w:val="21"/>
        </w:rPr>
        <w:t>8.6.1样品的报送与封存</w:t>
      </w:r>
    </w:p>
    <w:p w14:paraId="062B6E14">
      <w:pPr>
        <w:pStyle w:val="2"/>
        <w:spacing w:before="180" w:line="328" w:lineRule="auto"/>
        <w:ind w:right="35" w:firstLine="419"/>
        <w:rPr>
          <w:sz w:val="21"/>
          <w:szCs w:val="21"/>
        </w:rPr>
      </w:pPr>
      <w:r>
        <w:rPr>
          <w:spacing w:val="2"/>
          <w:sz w:val="21"/>
          <w:szCs w:val="21"/>
        </w:rPr>
        <w:t>需要承包人报送样品的材料或工程设备，样品的种类、名称、规格、数量等要求均应在专用</w:t>
      </w:r>
      <w:r>
        <w:rPr>
          <w:spacing w:val="4"/>
          <w:sz w:val="21"/>
          <w:szCs w:val="21"/>
        </w:rPr>
        <w:t xml:space="preserve"> </w:t>
      </w:r>
      <w:r>
        <w:rPr>
          <w:spacing w:val="-4"/>
          <w:sz w:val="21"/>
          <w:szCs w:val="21"/>
        </w:rPr>
        <w:t>合同条款中约定。样品的报送程序如下：</w:t>
      </w:r>
    </w:p>
    <w:p w14:paraId="41D17FF4">
      <w:pPr>
        <w:pStyle w:val="2"/>
        <w:spacing w:before="44" w:line="302" w:lineRule="auto"/>
        <w:ind w:right="13" w:firstLine="550"/>
        <w:rPr>
          <w:sz w:val="21"/>
          <w:szCs w:val="21"/>
        </w:rPr>
      </w:pPr>
      <w:r>
        <w:rPr>
          <w:spacing w:val="7"/>
          <w:sz w:val="21"/>
          <w:szCs w:val="21"/>
        </w:rPr>
        <w:t>(1)承包人应在计划采购前28天向监理人报送样品。承包人报送的样品均应来自供应材料</w:t>
      </w:r>
      <w:r>
        <w:rPr>
          <w:spacing w:val="4"/>
          <w:sz w:val="21"/>
          <w:szCs w:val="21"/>
        </w:rPr>
        <w:t xml:space="preserve"> </w:t>
      </w:r>
      <w:r>
        <w:rPr>
          <w:spacing w:val="2"/>
          <w:sz w:val="21"/>
          <w:szCs w:val="21"/>
        </w:rPr>
        <w:t>的实际生产地，且提供的样品的规格、数量足以表明材料或工程设备的质量、型号、颜色、表面</w:t>
      </w:r>
      <w:r>
        <w:rPr>
          <w:spacing w:val="4"/>
          <w:sz w:val="21"/>
          <w:szCs w:val="21"/>
        </w:rPr>
        <w:t xml:space="preserve"> </w:t>
      </w:r>
      <w:r>
        <w:rPr>
          <w:spacing w:val="-3"/>
          <w:sz w:val="21"/>
          <w:szCs w:val="21"/>
        </w:rPr>
        <w:t>处理、质地、误差和其他要求的特征。</w:t>
      </w:r>
    </w:p>
    <w:p w14:paraId="386D1B2B">
      <w:pPr>
        <w:pStyle w:val="2"/>
        <w:spacing w:before="149" w:line="308" w:lineRule="auto"/>
        <w:ind w:right="13" w:firstLine="550"/>
        <w:rPr>
          <w:sz w:val="21"/>
          <w:szCs w:val="21"/>
        </w:rPr>
      </w:pPr>
      <w:r>
        <w:rPr>
          <w:spacing w:val="2"/>
          <w:sz w:val="21"/>
          <w:szCs w:val="21"/>
        </w:rPr>
        <w:t>(2)承包人每次报送样品时应随附申报单，申报单应载明报送样品的相关数据和资料，并标</w:t>
      </w:r>
      <w:r>
        <w:rPr>
          <w:sz w:val="21"/>
          <w:szCs w:val="21"/>
        </w:rPr>
        <w:t xml:space="preserve"> </w:t>
      </w:r>
      <w:r>
        <w:rPr>
          <w:spacing w:val="4"/>
          <w:sz w:val="21"/>
          <w:szCs w:val="21"/>
        </w:rPr>
        <w:t>明每件样品对应的图纸号，预留监理人批复意见栏。监理人应在收到承包人报送的样品后7天向</w:t>
      </w:r>
      <w:r>
        <w:rPr>
          <w:spacing w:val="17"/>
          <w:sz w:val="21"/>
          <w:szCs w:val="21"/>
        </w:rPr>
        <w:t xml:space="preserve"> </w:t>
      </w:r>
      <w:r>
        <w:rPr>
          <w:spacing w:val="-2"/>
          <w:sz w:val="21"/>
          <w:szCs w:val="21"/>
        </w:rPr>
        <w:t>承包人回复经发包人签认的样品审批意见。</w:t>
      </w:r>
    </w:p>
    <w:p w14:paraId="02377B95">
      <w:pPr>
        <w:pStyle w:val="2"/>
        <w:spacing w:before="151" w:line="289" w:lineRule="auto"/>
        <w:ind w:right="10" w:firstLine="550"/>
        <w:rPr>
          <w:sz w:val="21"/>
          <w:szCs w:val="21"/>
        </w:rPr>
      </w:pPr>
      <w:r>
        <w:rPr>
          <w:spacing w:val="2"/>
          <w:sz w:val="21"/>
          <w:szCs w:val="21"/>
        </w:rPr>
        <w:t xml:space="preserve">(3)经发包人和监理人审批确认的样品应按约定的方法封样，封存的样品作为检验工程相关 </w:t>
      </w:r>
      <w:r>
        <w:rPr>
          <w:sz w:val="21"/>
          <w:szCs w:val="21"/>
        </w:rPr>
        <w:t>部分的标准之一。承包人在施工过程中不得使用与样品不符的材料</w:t>
      </w:r>
      <w:r>
        <w:rPr>
          <w:spacing w:val="-1"/>
          <w:sz w:val="21"/>
          <w:szCs w:val="21"/>
        </w:rPr>
        <w:t>或工程设备。</w:t>
      </w:r>
    </w:p>
    <w:p w14:paraId="61203D83">
      <w:pPr>
        <w:spacing w:line="289" w:lineRule="auto"/>
        <w:rPr>
          <w:sz w:val="21"/>
          <w:szCs w:val="21"/>
        </w:rPr>
        <w:sectPr>
          <w:footerReference r:id="rId214" w:type="default"/>
          <w:pgSz w:w="11910" w:h="16840"/>
          <w:pgMar w:top="400" w:right="1519" w:bottom="1016" w:left="1450" w:header="0" w:footer="889" w:gutter="0"/>
          <w:cols w:space="720" w:num="1"/>
        </w:sectPr>
      </w:pPr>
    </w:p>
    <w:p w14:paraId="464A5699">
      <w:pPr>
        <w:spacing w:line="270" w:lineRule="auto"/>
        <w:rPr>
          <w:rFonts w:ascii="Arial"/>
          <w:sz w:val="21"/>
        </w:rPr>
      </w:pPr>
    </w:p>
    <w:p w14:paraId="604E2BEF">
      <w:pPr>
        <w:spacing w:line="270" w:lineRule="auto"/>
        <w:rPr>
          <w:rFonts w:ascii="Arial"/>
          <w:sz w:val="21"/>
        </w:rPr>
      </w:pPr>
    </w:p>
    <w:p w14:paraId="262D6DBE">
      <w:pPr>
        <w:spacing w:line="270" w:lineRule="auto"/>
        <w:rPr>
          <w:rFonts w:ascii="Arial"/>
          <w:sz w:val="21"/>
        </w:rPr>
      </w:pPr>
    </w:p>
    <w:p w14:paraId="269A6939">
      <w:pPr>
        <w:spacing w:line="270" w:lineRule="auto"/>
        <w:rPr>
          <w:rFonts w:ascii="Arial"/>
          <w:sz w:val="21"/>
        </w:rPr>
      </w:pPr>
    </w:p>
    <w:p w14:paraId="7B685CC9">
      <w:pPr>
        <w:spacing w:line="270" w:lineRule="auto"/>
        <w:rPr>
          <w:rFonts w:ascii="Arial"/>
          <w:sz w:val="21"/>
        </w:rPr>
      </w:pPr>
    </w:p>
    <w:p w14:paraId="0C39EFAE">
      <w:pPr>
        <w:pStyle w:val="2"/>
        <w:spacing w:before="68" w:line="352" w:lineRule="auto"/>
        <w:ind w:right="91" w:firstLine="519"/>
        <w:jc w:val="both"/>
        <w:rPr>
          <w:sz w:val="21"/>
          <w:szCs w:val="21"/>
        </w:rPr>
      </w:pPr>
      <w:r>
        <w:rPr>
          <w:spacing w:val="2"/>
          <w:sz w:val="21"/>
          <w:szCs w:val="21"/>
        </w:rPr>
        <w:t>(4)发包人和监理人对样品的审批确认仅为确认相关材料或工程设备的特征或用途，不得被</w:t>
      </w:r>
      <w:r>
        <w:rPr>
          <w:sz w:val="21"/>
          <w:szCs w:val="21"/>
        </w:rPr>
        <w:t xml:space="preserve"> </w:t>
      </w:r>
      <w:r>
        <w:rPr>
          <w:spacing w:val="2"/>
          <w:sz w:val="21"/>
          <w:szCs w:val="21"/>
        </w:rPr>
        <w:t>理解为对合同的修改或改变，也并不减轻或免除承包人任何的责任和义务。如果</w:t>
      </w:r>
      <w:r>
        <w:rPr>
          <w:spacing w:val="1"/>
          <w:sz w:val="21"/>
          <w:szCs w:val="21"/>
        </w:rPr>
        <w:t>封存的样品修改</w:t>
      </w:r>
      <w:r>
        <w:rPr>
          <w:sz w:val="21"/>
          <w:szCs w:val="21"/>
        </w:rPr>
        <w:t xml:space="preserve"> </w:t>
      </w:r>
      <w:r>
        <w:rPr>
          <w:spacing w:val="-1"/>
          <w:sz w:val="21"/>
          <w:szCs w:val="21"/>
        </w:rPr>
        <w:t>或改变了合同约定，合同当事人应当以书面协议予以确认。</w:t>
      </w:r>
    </w:p>
    <w:p w14:paraId="7FD1197B">
      <w:pPr>
        <w:pStyle w:val="2"/>
        <w:spacing w:line="219" w:lineRule="auto"/>
        <w:ind w:left="409"/>
        <w:rPr>
          <w:sz w:val="21"/>
          <w:szCs w:val="21"/>
        </w:rPr>
      </w:pPr>
      <w:r>
        <w:rPr>
          <w:spacing w:val="1"/>
          <w:sz w:val="21"/>
          <w:szCs w:val="21"/>
        </w:rPr>
        <w:t>8.6.2样品的保管</w:t>
      </w:r>
    </w:p>
    <w:p w14:paraId="420CE9B1">
      <w:pPr>
        <w:pStyle w:val="2"/>
        <w:spacing w:before="139" w:line="342" w:lineRule="auto"/>
        <w:ind w:right="86" w:firstLine="409"/>
        <w:rPr>
          <w:sz w:val="21"/>
          <w:szCs w:val="21"/>
        </w:rPr>
      </w:pPr>
      <w:r>
        <w:rPr>
          <w:spacing w:val="2"/>
          <w:sz w:val="21"/>
          <w:szCs w:val="21"/>
        </w:rPr>
        <w:t>经批准的样品应由监理人负责封存于现场，承包人应在现场为保存样品提供适当和固定的场</w:t>
      </w:r>
      <w:r>
        <w:rPr>
          <w:spacing w:val="12"/>
          <w:sz w:val="21"/>
          <w:szCs w:val="21"/>
        </w:rPr>
        <w:t xml:space="preserve"> </w:t>
      </w:r>
      <w:r>
        <w:rPr>
          <w:spacing w:val="-3"/>
          <w:sz w:val="21"/>
          <w:szCs w:val="21"/>
        </w:rPr>
        <w:t>所并保持适当和良好的存储环境条件。</w:t>
      </w:r>
    </w:p>
    <w:p w14:paraId="55B8DC45">
      <w:pPr>
        <w:pStyle w:val="2"/>
        <w:spacing w:line="218" w:lineRule="auto"/>
        <w:ind w:left="3"/>
      </w:pPr>
      <w:r>
        <w:rPr>
          <w:b/>
          <w:bCs/>
          <w:spacing w:val="-6"/>
        </w:rPr>
        <w:t>8.7材料与工程设备的替代</w:t>
      </w:r>
    </w:p>
    <w:p w14:paraId="1D7BFF64">
      <w:pPr>
        <w:pStyle w:val="2"/>
        <w:spacing w:before="145" w:line="348" w:lineRule="auto"/>
        <w:ind w:right="60" w:firstLine="409"/>
        <w:rPr>
          <w:sz w:val="21"/>
          <w:szCs w:val="21"/>
        </w:rPr>
      </w:pPr>
      <w:r>
        <w:rPr>
          <w:sz w:val="21"/>
          <w:szCs w:val="21"/>
        </w:rPr>
        <w:t>8.7.1 出现下列情况需要使用替代材料和工程设备的，承包人应按照第8.7.2项约定的程序执</w:t>
      </w:r>
      <w:r>
        <w:rPr>
          <w:spacing w:val="13"/>
          <w:sz w:val="21"/>
          <w:szCs w:val="21"/>
        </w:rPr>
        <w:t xml:space="preserve"> </w:t>
      </w:r>
      <w:r>
        <w:rPr>
          <w:spacing w:val="-15"/>
          <w:sz w:val="21"/>
          <w:szCs w:val="21"/>
        </w:rPr>
        <w:t>行：</w:t>
      </w:r>
    </w:p>
    <w:p w14:paraId="423C74CC">
      <w:pPr>
        <w:pStyle w:val="2"/>
        <w:spacing w:before="1" w:line="219" w:lineRule="auto"/>
        <w:ind w:left="519"/>
        <w:rPr>
          <w:sz w:val="21"/>
          <w:szCs w:val="21"/>
        </w:rPr>
      </w:pPr>
      <w:r>
        <w:rPr>
          <w:spacing w:val="3"/>
          <w:sz w:val="21"/>
          <w:szCs w:val="21"/>
        </w:rPr>
        <w:t>(1)基准日期后生效的法律规定禁止使用的；</w:t>
      </w:r>
    </w:p>
    <w:p w14:paraId="30CFB7D8">
      <w:pPr>
        <w:pStyle w:val="2"/>
        <w:spacing w:before="151" w:line="219" w:lineRule="auto"/>
        <w:ind w:left="519"/>
        <w:rPr>
          <w:sz w:val="21"/>
          <w:szCs w:val="21"/>
        </w:rPr>
      </w:pPr>
      <w:r>
        <w:rPr>
          <w:spacing w:val="4"/>
          <w:sz w:val="21"/>
          <w:szCs w:val="21"/>
        </w:rPr>
        <w:t>(2)发包人要求使用替代品的；</w:t>
      </w:r>
    </w:p>
    <w:p w14:paraId="0A56D0A9">
      <w:pPr>
        <w:pStyle w:val="2"/>
        <w:spacing w:before="160" w:line="219" w:lineRule="auto"/>
        <w:ind w:left="519"/>
        <w:rPr>
          <w:sz w:val="21"/>
          <w:szCs w:val="21"/>
        </w:rPr>
      </w:pPr>
      <w:r>
        <w:rPr>
          <w:spacing w:val="5"/>
          <w:sz w:val="21"/>
          <w:szCs w:val="21"/>
        </w:rPr>
        <w:t>(3)因其他原因必须使用替代品的。</w:t>
      </w:r>
    </w:p>
    <w:p w14:paraId="7FF520DF">
      <w:pPr>
        <w:pStyle w:val="2"/>
        <w:spacing w:before="150" w:line="219" w:lineRule="auto"/>
        <w:ind w:left="409"/>
        <w:rPr>
          <w:sz w:val="21"/>
          <w:szCs w:val="21"/>
        </w:rPr>
      </w:pPr>
      <w:r>
        <w:rPr>
          <w:spacing w:val="3"/>
          <w:sz w:val="21"/>
          <w:szCs w:val="21"/>
        </w:rPr>
        <w:t>8.7.2承包人应在使用替代材料和工程</w:t>
      </w:r>
      <w:r>
        <w:rPr>
          <w:spacing w:val="2"/>
          <w:sz w:val="21"/>
          <w:szCs w:val="21"/>
        </w:rPr>
        <w:t>设备28天前书面通知监理人，并附下列文件：</w:t>
      </w:r>
    </w:p>
    <w:p w14:paraId="6237307A">
      <w:pPr>
        <w:pStyle w:val="2"/>
        <w:spacing w:before="150" w:line="287" w:lineRule="auto"/>
        <w:ind w:right="54" w:firstLine="519"/>
        <w:rPr>
          <w:sz w:val="21"/>
          <w:szCs w:val="21"/>
        </w:rPr>
      </w:pPr>
      <w:r>
        <w:rPr>
          <w:spacing w:val="3"/>
          <w:sz w:val="21"/>
          <w:szCs w:val="21"/>
        </w:rPr>
        <w:t>(1)被替代的材料和工程设备的名称、数量、规格、型号、品牌、性能、价格及其</w:t>
      </w:r>
      <w:r>
        <w:rPr>
          <w:spacing w:val="2"/>
          <w:sz w:val="21"/>
          <w:szCs w:val="21"/>
        </w:rPr>
        <w:t>他相关资</w:t>
      </w:r>
      <w:r>
        <w:rPr>
          <w:sz w:val="21"/>
          <w:szCs w:val="21"/>
        </w:rPr>
        <w:t xml:space="preserve"> </w:t>
      </w:r>
      <w:r>
        <w:rPr>
          <w:spacing w:val="-15"/>
          <w:sz w:val="21"/>
          <w:szCs w:val="21"/>
        </w:rPr>
        <w:t>料；</w:t>
      </w:r>
    </w:p>
    <w:p w14:paraId="192360DF">
      <w:pPr>
        <w:pStyle w:val="2"/>
        <w:spacing w:before="137" w:line="218" w:lineRule="auto"/>
        <w:ind w:left="519"/>
        <w:rPr>
          <w:sz w:val="21"/>
          <w:szCs w:val="21"/>
        </w:rPr>
      </w:pPr>
      <w:r>
        <w:rPr>
          <w:spacing w:val="2"/>
          <w:sz w:val="21"/>
          <w:szCs w:val="21"/>
        </w:rPr>
        <w:t>(2)替代品的名称、数量、规格、型号、品牌、性能、价格及其他相关资料；</w:t>
      </w:r>
    </w:p>
    <w:p w14:paraId="77CF2D53">
      <w:pPr>
        <w:pStyle w:val="2"/>
        <w:spacing w:before="164" w:line="219" w:lineRule="auto"/>
        <w:ind w:left="519"/>
        <w:rPr>
          <w:sz w:val="21"/>
          <w:szCs w:val="21"/>
        </w:rPr>
      </w:pPr>
      <w:r>
        <w:rPr>
          <w:spacing w:val="2"/>
          <w:sz w:val="21"/>
          <w:szCs w:val="21"/>
        </w:rPr>
        <w:t>(3)替代品与被替代产品之间的差异以及使用替代品</w:t>
      </w:r>
      <w:r>
        <w:rPr>
          <w:spacing w:val="1"/>
          <w:sz w:val="21"/>
          <w:szCs w:val="21"/>
        </w:rPr>
        <w:t>可能对工程产生的影响；</w:t>
      </w:r>
    </w:p>
    <w:p w14:paraId="18DDFC6E">
      <w:pPr>
        <w:pStyle w:val="2"/>
        <w:spacing w:before="149" w:line="218" w:lineRule="auto"/>
        <w:ind w:left="519"/>
        <w:rPr>
          <w:sz w:val="21"/>
          <w:szCs w:val="21"/>
        </w:rPr>
      </w:pPr>
      <w:r>
        <w:rPr>
          <w:spacing w:val="3"/>
          <w:sz w:val="21"/>
          <w:szCs w:val="21"/>
        </w:rPr>
        <w:t>(4)替代品与被替代产品的价格差异；</w:t>
      </w:r>
    </w:p>
    <w:p w14:paraId="58E20106">
      <w:pPr>
        <w:pStyle w:val="2"/>
        <w:spacing w:before="154" w:line="219" w:lineRule="auto"/>
        <w:ind w:left="519"/>
        <w:rPr>
          <w:sz w:val="21"/>
          <w:szCs w:val="21"/>
        </w:rPr>
      </w:pPr>
      <w:r>
        <w:rPr>
          <w:spacing w:val="4"/>
          <w:sz w:val="21"/>
          <w:szCs w:val="21"/>
        </w:rPr>
        <w:t>(5)使用替代品的理由和原因说明；</w:t>
      </w:r>
    </w:p>
    <w:p w14:paraId="168D14CE">
      <w:pPr>
        <w:pStyle w:val="2"/>
        <w:spacing w:before="151" w:line="219" w:lineRule="auto"/>
        <w:ind w:left="519"/>
        <w:rPr>
          <w:sz w:val="21"/>
          <w:szCs w:val="21"/>
        </w:rPr>
      </w:pPr>
      <w:r>
        <w:rPr>
          <w:spacing w:val="5"/>
          <w:sz w:val="21"/>
          <w:szCs w:val="21"/>
        </w:rPr>
        <w:t>(6)监理人要求的其他文件。</w:t>
      </w:r>
    </w:p>
    <w:p w14:paraId="572C433E">
      <w:pPr>
        <w:pStyle w:val="2"/>
        <w:spacing w:before="149" w:line="346" w:lineRule="auto"/>
        <w:ind w:right="90" w:firstLine="409"/>
        <w:rPr>
          <w:sz w:val="21"/>
          <w:szCs w:val="21"/>
        </w:rPr>
      </w:pPr>
      <w:r>
        <w:rPr>
          <w:spacing w:val="2"/>
          <w:sz w:val="21"/>
          <w:szCs w:val="21"/>
        </w:rPr>
        <w:t>监理人应在收到通知后14天内向承包人发出经发包人签认的书面指示；监理人逾期发出书面</w:t>
      </w:r>
      <w:r>
        <w:rPr>
          <w:spacing w:val="6"/>
          <w:sz w:val="21"/>
          <w:szCs w:val="21"/>
        </w:rPr>
        <w:t xml:space="preserve"> </w:t>
      </w:r>
      <w:r>
        <w:rPr>
          <w:spacing w:val="-2"/>
          <w:sz w:val="21"/>
          <w:szCs w:val="21"/>
        </w:rPr>
        <w:t>指示的，视为发包人和监理人同意使用替代品。</w:t>
      </w:r>
    </w:p>
    <w:p w14:paraId="3C04B7CB">
      <w:pPr>
        <w:pStyle w:val="2"/>
        <w:spacing w:before="11" w:line="344" w:lineRule="auto"/>
        <w:ind w:right="53" w:firstLine="409"/>
        <w:jc w:val="both"/>
        <w:rPr>
          <w:sz w:val="21"/>
          <w:szCs w:val="21"/>
        </w:rPr>
      </w:pPr>
      <w:r>
        <w:rPr>
          <w:spacing w:val="-2"/>
          <w:sz w:val="21"/>
          <w:szCs w:val="21"/>
        </w:rPr>
        <w:t>8.7.3 发包人认可使用替代材料和工程设备的，替代材料和</w:t>
      </w:r>
      <w:r>
        <w:rPr>
          <w:spacing w:val="-3"/>
          <w:sz w:val="21"/>
          <w:szCs w:val="21"/>
        </w:rPr>
        <w:t>工程设备的价格，按照已标价工程</w:t>
      </w:r>
      <w:r>
        <w:rPr>
          <w:sz w:val="21"/>
          <w:szCs w:val="21"/>
        </w:rPr>
        <w:t xml:space="preserve"> </w:t>
      </w:r>
      <w:r>
        <w:rPr>
          <w:spacing w:val="2"/>
          <w:sz w:val="21"/>
          <w:szCs w:val="21"/>
        </w:rPr>
        <w:t>量清单或预算书相同项目的价格认定；无相同项目的，参考相似项目价格认定；既无相同</w:t>
      </w:r>
      <w:r>
        <w:rPr>
          <w:spacing w:val="1"/>
          <w:sz w:val="21"/>
          <w:szCs w:val="21"/>
        </w:rPr>
        <w:t>项目也</w:t>
      </w:r>
      <w:r>
        <w:rPr>
          <w:sz w:val="21"/>
          <w:szCs w:val="21"/>
        </w:rPr>
        <w:t xml:space="preserve"> 无相似项目的，按照合理的成本与利润构成的原则，由合同当事人按照第4.4款〔商定或确定〕确</w:t>
      </w:r>
      <w:r>
        <w:rPr>
          <w:spacing w:val="10"/>
          <w:sz w:val="21"/>
          <w:szCs w:val="21"/>
        </w:rPr>
        <w:t xml:space="preserve"> </w:t>
      </w:r>
      <w:r>
        <w:rPr>
          <w:spacing w:val="-9"/>
          <w:sz w:val="21"/>
          <w:szCs w:val="21"/>
        </w:rPr>
        <w:t>定价格。</w:t>
      </w:r>
    </w:p>
    <w:p w14:paraId="7FABBA47">
      <w:pPr>
        <w:pStyle w:val="2"/>
        <w:spacing w:before="7" w:line="219" w:lineRule="auto"/>
        <w:ind w:left="3"/>
      </w:pPr>
      <w:r>
        <w:rPr>
          <w:b/>
          <w:bCs/>
          <w:spacing w:val="-4"/>
        </w:rPr>
        <w:t>8.8施工设备和临时设施</w:t>
      </w:r>
    </w:p>
    <w:p w14:paraId="49AEE2F6">
      <w:pPr>
        <w:pStyle w:val="2"/>
        <w:spacing w:before="124" w:line="219" w:lineRule="auto"/>
        <w:ind w:left="409"/>
        <w:rPr>
          <w:sz w:val="21"/>
          <w:szCs w:val="21"/>
        </w:rPr>
      </w:pPr>
      <w:r>
        <w:rPr>
          <w:spacing w:val="1"/>
          <w:sz w:val="21"/>
          <w:szCs w:val="21"/>
        </w:rPr>
        <w:t>8.8.1承包人提供的施工设备和临时设施</w:t>
      </w:r>
    </w:p>
    <w:p w14:paraId="51151CE6">
      <w:pPr>
        <w:pStyle w:val="2"/>
        <w:spacing w:before="143" w:line="360" w:lineRule="auto"/>
        <w:ind w:firstLine="409"/>
        <w:rPr>
          <w:sz w:val="21"/>
          <w:szCs w:val="21"/>
        </w:rPr>
      </w:pPr>
      <w:r>
        <w:rPr>
          <w:spacing w:val="2"/>
          <w:sz w:val="21"/>
          <w:szCs w:val="21"/>
        </w:rPr>
        <w:t>承包人应按合同进度计划的要求，及时配置施工设备和修建临时设施。进入施工场地的承包</w:t>
      </w:r>
      <w:r>
        <w:rPr>
          <w:spacing w:val="4"/>
          <w:sz w:val="21"/>
          <w:szCs w:val="21"/>
        </w:rPr>
        <w:t xml:space="preserve">  </w:t>
      </w:r>
      <w:r>
        <w:rPr>
          <w:spacing w:val="-1"/>
          <w:sz w:val="21"/>
          <w:szCs w:val="21"/>
        </w:rPr>
        <w:t>人设备需经监理人核查后才能投入使用。承包人更换合同约定的承包人设备的，应报监理人批准。</w:t>
      </w:r>
    </w:p>
    <w:p w14:paraId="57B54CE9">
      <w:pPr>
        <w:pStyle w:val="2"/>
        <w:spacing w:before="2" w:line="344" w:lineRule="auto"/>
        <w:ind w:right="90" w:firstLine="409"/>
        <w:rPr>
          <w:sz w:val="21"/>
          <w:szCs w:val="21"/>
        </w:rPr>
      </w:pPr>
      <w:r>
        <w:rPr>
          <w:spacing w:val="2"/>
          <w:sz w:val="21"/>
          <w:szCs w:val="21"/>
        </w:rPr>
        <w:t>除专用合同条款另有约定外，承包人应自行承担修建临时设施的费用，需要临时占地的，应</w:t>
      </w:r>
      <w:r>
        <w:rPr>
          <w:spacing w:val="8"/>
          <w:sz w:val="21"/>
          <w:szCs w:val="21"/>
        </w:rPr>
        <w:t xml:space="preserve"> </w:t>
      </w:r>
      <w:r>
        <w:rPr>
          <w:spacing w:val="-2"/>
          <w:sz w:val="21"/>
          <w:szCs w:val="21"/>
        </w:rPr>
        <w:t>由发包人办理申请手续并承担相应费用。</w:t>
      </w:r>
    </w:p>
    <w:p w14:paraId="68EACEEB">
      <w:pPr>
        <w:pStyle w:val="2"/>
        <w:spacing w:before="24" w:line="219" w:lineRule="auto"/>
        <w:ind w:left="409"/>
        <w:rPr>
          <w:sz w:val="21"/>
          <w:szCs w:val="21"/>
        </w:rPr>
      </w:pPr>
      <w:r>
        <w:rPr>
          <w:spacing w:val="-1"/>
          <w:sz w:val="21"/>
          <w:szCs w:val="21"/>
        </w:rPr>
        <w:t>8.8.2发包人提供的施工设备和临时设施</w:t>
      </w:r>
    </w:p>
    <w:p w14:paraId="1122758B">
      <w:pPr>
        <w:spacing w:line="219" w:lineRule="auto"/>
        <w:rPr>
          <w:sz w:val="21"/>
          <w:szCs w:val="21"/>
        </w:rPr>
        <w:sectPr>
          <w:footerReference r:id="rId215" w:type="default"/>
          <w:pgSz w:w="11910" w:h="16840"/>
          <w:pgMar w:top="400" w:right="1460" w:bottom="1024" w:left="1460" w:header="0" w:footer="889" w:gutter="0"/>
          <w:cols w:space="720" w:num="1"/>
        </w:sectPr>
      </w:pPr>
    </w:p>
    <w:p w14:paraId="17DA064C">
      <w:pPr>
        <w:spacing w:line="270" w:lineRule="auto"/>
        <w:rPr>
          <w:rFonts w:ascii="Arial"/>
          <w:sz w:val="21"/>
        </w:rPr>
      </w:pPr>
    </w:p>
    <w:p w14:paraId="3AFB5E6A">
      <w:pPr>
        <w:spacing w:line="270" w:lineRule="auto"/>
        <w:rPr>
          <w:rFonts w:ascii="Arial"/>
          <w:sz w:val="21"/>
        </w:rPr>
      </w:pPr>
    </w:p>
    <w:p w14:paraId="2A1E1E00">
      <w:pPr>
        <w:spacing w:line="270" w:lineRule="auto"/>
        <w:rPr>
          <w:rFonts w:ascii="Arial"/>
          <w:sz w:val="21"/>
        </w:rPr>
      </w:pPr>
    </w:p>
    <w:p w14:paraId="78719ABE">
      <w:pPr>
        <w:spacing w:line="270" w:lineRule="auto"/>
        <w:rPr>
          <w:rFonts w:ascii="Arial"/>
          <w:sz w:val="21"/>
        </w:rPr>
      </w:pPr>
    </w:p>
    <w:p w14:paraId="6298572C">
      <w:pPr>
        <w:spacing w:line="270" w:lineRule="auto"/>
        <w:rPr>
          <w:rFonts w:ascii="Arial"/>
          <w:sz w:val="21"/>
        </w:rPr>
      </w:pPr>
    </w:p>
    <w:p w14:paraId="0EE07424">
      <w:pPr>
        <w:pStyle w:val="2"/>
        <w:spacing w:before="69" w:line="219" w:lineRule="auto"/>
        <w:ind w:left="419"/>
        <w:rPr>
          <w:sz w:val="21"/>
          <w:szCs w:val="21"/>
        </w:rPr>
      </w:pPr>
      <w:r>
        <w:rPr>
          <w:spacing w:val="-2"/>
          <w:sz w:val="21"/>
          <w:szCs w:val="21"/>
        </w:rPr>
        <w:t>发包人提供的施工设备或临时设施在专用合同条款中约定。</w:t>
      </w:r>
    </w:p>
    <w:p w14:paraId="13D372BF">
      <w:pPr>
        <w:pStyle w:val="2"/>
        <w:spacing w:before="162" w:line="219" w:lineRule="auto"/>
        <w:ind w:left="419"/>
        <w:rPr>
          <w:sz w:val="21"/>
          <w:szCs w:val="21"/>
        </w:rPr>
      </w:pPr>
      <w:r>
        <w:rPr>
          <w:spacing w:val="-1"/>
          <w:sz w:val="21"/>
          <w:szCs w:val="21"/>
        </w:rPr>
        <w:t>8.8.3要求承包人增加或更换施工设备</w:t>
      </w:r>
    </w:p>
    <w:p w14:paraId="025DE3FC">
      <w:pPr>
        <w:pStyle w:val="2"/>
        <w:spacing w:before="141" w:line="365" w:lineRule="auto"/>
        <w:ind w:right="96" w:firstLine="419"/>
        <w:rPr>
          <w:sz w:val="17"/>
          <w:szCs w:val="17"/>
        </w:rPr>
      </w:pPr>
      <w:r>
        <w:rPr>
          <w:spacing w:val="7"/>
          <w:sz w:val="21"/>
          <w:szCs w:val="21"/>
        </w:rPr>
        <w:t>承包人使用的施工设备不能满足合同进度计划和(或)质量要求时，监理人有权要求承包人 增加或更换施工设备，承包人应及时增加或更换，由此增加的费用和(或)延误</w:t>
      </w:r>
      <w:r>
        <w:rPr>
          <w:spacing w:val="6"/>
          <w:sz w:val="21"/>
          <w:szCs w:val="21"/>
        </w:rPr>
        <w:t>的工期由承包人</w:t>
      </w:r>
      <w:r>
        <w:rPr>
          <w:sz w:val="21"/>
          <w:szCs w:val="21"/>
        </w:rPr>
        <w:t xml:space="preserve"> </w:t>
      </w:r>
      <w:r>
        <w:rPr>
          <w:spacing w:val="-5"/>
          <w:sz w:val="17"/>
          <w:szCs w:val="17"/>
        </w:rPr>
        <w:t>承</w:t>
      </w:r>
      <w:r>
        <w:rPr>
          <w:spacing w:val="-20"/>
          <w:sz w:val="17"/>
          <w:szCs w:val="17"/>
        </w:rPr>
        <w:t xml:space="preserve"> </w:t>
      </w:r>
      <w:r>
        <w:rPr>
          <w:spacing w:val="-5"/>
          <w:sz w:val="17"/>
          <w:szCs w:val="17"/>
        </w:rPr>
        <w:t>担</w:t>
      </w:r>
      <w:r>
        <w:rPr>
          <w:spacing w:val="-27"/>
          <w:sz w:val="17"/>
          <w:szCs w:val="17"/>
        </w:rPr>
        <w:t xml:space="preserve"> </w:t>
      </w:r>
      <w:r>
        <w:rPr>
          <w:spacing w:val="-5"/>
          <w:sz w:val="17"/>
          <w:szCs w:val="17"/>
        </w:rPr>
        <w:t>。</w:t>
      </w:r>
    </w:p>
    <w:p w14:paraId="56FF8547">
      <w:pPr>
        <w:pStyle w:val="2"/>
        <w:spacing w:line="218" w:lineRule="auto"/>
        <w:ind w:left="3"/>
      </w:pPr>
      <w:r>
        <w:rPr>
          <w:b/>
          <w:bCs/>
          <w:spacing w:val="-4"/>
        </w:rPr>
        <w:t>8.9材料与设备专用要求</w:t>
      </w:r>
    </w:p>
    <w:p w14:paraId="42F8F61E">
      <w:pPr>
        <w:pStyle w:val="2"/>
        <w:spacing w:before="127" w:line="353" w:lineRule="auto"/>
        <w:ind w:right="91" w:firstLine="419"/>
        <w:jc w:val="both"/>
        <w:rPr>
          <w:sz w:val="21"/>
          <w:szCs w:val="21"/>
        </w:rPr>
      </w:pPr>
      <w:r>
        <w:rPr>
          <w:spacing w:val="2"/>
          <w:sz w:val="21"/>
          <w:szCs w:val="21"/>
        </w:rPr>
        <w:t>承包人运入施工现场的材料、工程设备、施工设备以及在施工场地建设的临时设施，包</w:t>
      </w:r>
      <w:r>
        <w:rPr>
          <w:spacing w:val="1"/>
          <w:sz w:val="21"/>
          <w:szCs w:val="21"/>
        </w:rPr>
        <w:t>括备</w:t>
      </w:r>
      <w:r>
        <w:rPr>
          <w:sz w:val="21"/>
          <w:szCs w:val="21"/>
        </w:rPr>
        <w:t xml:space="preserve"> </w:t>
      </w:r>
      <w:r>
        <w:rPr>
          <w:spacing w:val="2"/>
          <w:sz w:val="21"/>
          <w:szCs w:val="21"/>
        </w:rPr>
        <w:t>品备件、安装工具与资料，必须专用于工程。未经发包人批准，承包人不得运出施工现场或</w:t>
      </w:r>
      <w:r>
        <w:rPr>
          <w:spacing w:val="1"/>
          <w:sz w:val="21"/>
          <w:szCs w:val="21"/>
        </w:rPr>
        <w:t>挪作</w:t>
      </w:r>
      <w:r>
        <w:rPr>
          <w:sz w:val="21"/>
          <w:szCs w:val="21"/>
        </w:rPr>
        <w:t xml:space="preserve"> 他用；经发包人批准，承包人可以根据施工进度计划撤走闲置的施工设</w:t>
      </w:r>
      <w:r>
        <w:rPr>
          <w:spacing w:val="-1"/>
          <w:sz w:val="21"/>
          <w:szCs w:val="21"/>
        </w:rPr>
        <w:t>备和其他物品。</w:t>
      </w:r>
    </w:p>
    <w:p w14:paraId="28A0D19D">
      <w:pPr>
        <w:pStyle w:val="2"/>
        <w:spacing w:before="34" w:line="219" w:lineRule="auto"/>
        <w:ind w:left="4"/>
        <w:rPr>
          <w:sz w:val="30"/>
          <w:szCs w:val="30"/>
        </w:rPr>
      </w:pPr>
      <w:r>
        <w:rPr>
          <w:b/>
          <w:bCs/>
          <w:spacing w:val="-5"/>
          <w:sz w:val="30"/>
          <w:szCs w:val="30"/>
        </w:rPr>
        <w:t>9.试验与检验</w:t>
      </w:r>
    </w:p>
    <w:p w14:paraId="2E43F346">
      <w:pPr>
        <w:pStyle w:val="2"/>
        <w:spacing w:before="94" w:line="221" w:lineRule="auto"/>
        <w:ind w:left="3"/>
      </w:pPr>
      <w:r>
        <w:rPr>
          <w:b/>
          <w:bCs/>
          <w:spacing w:val="-4"/>
        </w:rPr>
        <w:t>9.1试验设备与试验人员</w:t>
      </w:r>
    </w:p>
    <w:p w14:paraId="4D01312E">
      <w:pPr>
        <w:pStyle w:val="2"/>
        <w:spacing w:before="131" w:line="307" w:lineRule="auto"/>
        <w:ind w:right="53" w:firstLine="419"/>
        <w:rPr>
          <w:sz w:val="21"/>
          <w:szCs w:val="21"/>
        </w:rPr>
      </w:pPr>
      <w:r>
        <w:rPr>
          <w:spacing w:val="-2"/>
          <w:sz w:val="21"/>
          <w:szCs w:val="21"/>
        </w:rPr>
        <w:t>9.1.1 承包人根据合同约定或监理人指示进行的现场材料试验，应由承包人提供试验场所</w:t>
      </w:r>
      <w:r>
        <w:rPr>
          <w:spacing w:val="-3"/>
          <w:sz w:val="21"/>
          <w:szCs w:val="21"/>
        </w:rPr>
        <w:t>、试</w:t>
      </w:r>
      <w:r>
        <w:rPr>
          <w:sz w:val="21"/>
          <w:szCs w:val="21"/>
        </w:rPr>
        <w:t xml:space="preserve"> </w:t>
      </w:r>
      <w:r>
        <w:rPr>
          <w:spacing w:val="2"/>
          <w:sz w:val="21"/>
          <w:szCs w:val="21"/>
        </w:rPr>
        <w:t>验人员、试验设备以及其他必要的试验条件。监理人在必要时可以使用承包人提供的试验场所、</w:t>
      </w:r>
      <w:r>
        <w:rPr>
          <w:sz w:val="21"/>
          <w:szCs w:val="21"/>
        </w:rPr>
        <w:t xml:space="preserve"> 试验设备以及其他试验条件，进行以工程质量检查为目的的材料复核试验，承包人</w:t>
      </w:r>
      <w:r>
        <w:rPr>
          <w:spacing w:val="-1"/>
          <w:sz w:val="21"/>
          <w:szCs w:val="21"/>
        </w:rPr>
        <w:t>应予以协助。</w:t>
      </w:r>
    </w:p>
    <w:p w14:paraId="0B2F29A9">
      <w:pPr>
        <w:pStyle w:val="2"/>
        <w:spacing w:before="132" w:line="295" w:lineRule="auto"/>
        <w:ind w:right="53" w:firstLine="419"/>
        <w:rPr>
          <w:sz w:val="21"/>
          <w:szCs w:val="21"/>
        </w:rPr>
      </w:pPr>
      <w:r>
        <w:rPr>
          <w:spacing w:val="-2"/>
          <w:sz w:val="21"/>
          <w:szCs w:val="21"/>
        </w:rPr>
        <w:t>9.1.2 承包人应按专用合同条款的约定提供试验设备、取样装置、试验场所和试验条件，</w:t>
      </w:r>
      <w:r>
        <w:rPr>
          <w:spacing w:val="-3"/>
          <w:sz w:val="21"/>
          <w:szCs w:val="21"/>
        </w:rPr>
        <w:t>并向</w:t>
      </w:r>
      <w:r>
        <w:rPr>
          <w:sz w:val="21"/>
          <w:szCs w:val="21"/>
        </w:rPr>
        <w:t xml:space="preserve"> </w:t>
      </w:r>
      <w:r>
        <w:rPr>
          <w:spacing w:val="-3"/>
          <w:sz w:val="21"/>
          <w:szCs w:val="21"/>
        </w:rPr>
        <w:t>监理人提交相应进场计划表。</w:t>
      </w:r>
    </w:p>
    <w:p w14:paraId="4F82B3D0">
      <w:pPr>
        <w:pStyle w:val="2"/>
        <w:spacing w:before="139" w:line="345" w:lineRule="auto"/>
        <w:ind w:right="92" w:firstLine="419"/>
        <w:rPr>
          <w:sz w:val="21"/>
          <w:szCs w:val="21"/>
        </w:rPr>
      </w:pPr>
      <w:r>
        <w:rPr>
          <w:spacing w:val="2"/>
          <w:sz w:val="21"/>
          <w:szCs w:val="21"/>
        </w:rPr>
        <w:t>承包人配置的试验设备要符合相应试验规程的要求并经过具有资质的检测单位检测，且在正</w:t>
      </w:r>
      <w:r>
        <w:rPr>
          <w:spacing w:val="1"/>
          <w:sz w:val="21"/>
          <w:szCs w:val="21"/>
        </w:rPr>
        <w:t xml:space="preserve"> </w:t>
      </w:r>
      <w:r>
        <w:rPr>
          <w:spacing w:val="-1"/>
          <w:sz w:val="21"/>
          <w:szCs w:val="21"/>
        </w:rPr>
        <w:t>式使用该试验设备前，需要经过监理人与承包人共同校定。</w:t>
      </w:r>
    </w:p>
    <w:p w14:paraId="670DF26B">
      <w:pPr>
        <w:pStyle w:val="2"/>
        <w:spacing w:before="16" w:line="333" w:lineRule="auto"/>
        <w:ind w:right="79" w:firstLine="419"/>
        <w:rPr>
          <w:sz w:val="21"/>
          <w:szCs w:val="21"/>
        </w:rPr>
      </w:pPr>
      <w:r>
        <w:rPr>
          <w:sz w:val="21"/>
          <w:szCs w:val="21"/>
        </w:rPr>
        <w:t>9.1.3承包人应向监理人提交试验人员的名单及其岗位、资格等证明</w:t>
      </w:r>
      <w:r>
        <w:rPr>
          <w:spacing w:val="-1"/>
          <w:sz w:val="21"/>
          <w:szCs w:val="21"/>
        </w:rPr>
        <w:t>资料，试验人员必须能够</w:t>
      </w:r>
      <w:r>
        <w:rPr>
          <w:sz w:val="21"/>
          <w:szCs w:val="21"/>
        </w:rPr>
        <w:t xml:space="preserve"> 熟练进行相应的检测试验，承包人对试验人员的试验程序和试验结果</w:t>
      </w:r>
      <w:r>
        <w:rPr>
          <w:spacing w:val="-1"/>
          <w:sz w:val="21"/>
          <w:szCs w:val="21"/>
        </w:rPr>
        <w:t>的正确性负责。</w:t>
      </w:r>
    </w:p>
    <w:p w14:paraId="739777A4">
      <w:pPr>
        <w:pStyle w:val="2"/>
        <w:spacing w:line="219" w:lineRule="auto"/>
        <w:ind w:left="3"/>
      </w:pPr>
      <w:r>
        <w:rPr>
          <w:b/>
          <w:bCs/>
          <w:spacing w:val="-4"/>
        </w:rPr>
        <w:t>9.2取样</w:t>
      </w:r>
    </w:p>
    <w:p w14:paraId="2DBF06D0">
      <w:pPr>
        <w:pStyle w:val="2"/>
        <w:spacing w:before="165" w:line="324" w:lineRule="auto"/>
        <w:ind w:right="20" w:firstLine="419"/>
        <w:rPr>
          <w:sz w:val="21"/>
          <w:szCs w:val="21"/>
        </w:rPr>
      </w:pPr>
      <w:r>
        <w:rPr>
          <w:spacing w:val="-1"/>
          <w:sz w:val="21"/>
          <w:szCs w:val="21"/>
        </w:rPr>
        <w:t>试验属于自检性质的，承包人可以单独取样。试验属于监</w:t>
      </w:r>
      <w:r>
        <w:rPr>
          <w:spacing w:val="-2"/>
          <w:sz w:val="21"/>
          <w:szCs w:val="21"/>
        </w:rPr>
        <w:t>理人抽检性质的，可由监理人取样，</w:t>
      </w:r>
      <w:r>
        <w:rPr>
          <w:sz w:val="21"/>
          <w:szCs w:val="21"/>
        </w:rPr>
        <w:t xml:space="preserve"> </w:t>
      </w:r>
      <w:r>
        <w:rPr>
          <w:spacing w:val="-2"/>
          <w:sz w:val="21"/>
          <w:szCs w:val="21"/>
        </w:rPr>
        <w:t>也可由承包人的试验人员在监理人的监督下取样。</w:t>
      </w:r>
    </w:p>
    <w:p w14:paraId="35AFC68B">
      <w:pPr>
        <w:pStyle w:val="2"/>
        <w:spacing w:before="1" w:line="218" w:lineRule="auto"/>
        <w:ind w:left="3"/>
      </w:pPr>
      <w:r>
        <w:rPr>
          <w:b/>
          <w:bCs/>
          <w:spacing w:val="-8"/>
        </w:rPr>
        <w:t>9.3材料、工程设备和工程的试验和检验</w:t>
      </w:r>
    </w:p>
    <w:p w14:paraId="6C2A6054">
      <w:pPr>
        <w:pStyle w:val="2"/>
        <w:spacing w:before="147" w:line="307" w:lineRule="auto"/>
        <w:ind w:firstLine="419"/>
        <w:rPr>
          <w:sz w:val="21"/>
          <w:szCs w:val="21"/>
        </w:rPr>
      </w:pPr>
      <w:r>
        <w:rPr>
          <w:spacing w:val="-3"/>
          <w:sz w:val="21"/>
          <w:szCs w:val="21"/>
        </w:rPr>
        <w:t>9.3.1承包人应按合同约定进行材料、工程设备和工程的试验和检验，并为</w:t>
      </w:r>
      <w:r>
        <w:rPr>
          <w:spacing w:val="-4"/>
          <w:sz w:val="21"/>
          <w:szCs w:val="21"/>
        </w:rPr>
        <w:t>监理人对上述材料、</w:t>
      </w:r>
      <w:r>
        <w:rPr>
          <w:sz w:val="21"/>
          <w:szCs w:val="21"/>
        </w:rPr>
        <w:t xml:space="preserve"> </w:t>
      </w:r>
      <w:r>
        <w:rPr>
          <w:spacing w:val="2"/>
          <w:sz w:val="21"/>
          <w:szCs w:val="21"/>
        </w:rPr>
        <w:t>工程设备和工程的质量检查提供必要的试验资料和原始记录。按合同约定应由监</w:t>
      </w:r>
      <w:r>
        <w:rPr>
          <w:spacing w:val="1"/>
          <w:sz w:val="21"/>
          <w:szCs w:val="21"/>
        </w:rPr>
        <w:t>理人与承包人共</w:t>
      </w:r>
      <w:r>
        <w:rPr>
          <w:sz w:val="21"/>
          <w:szCs w:val="21"/>
        </w:rPr>
        <w:t xml:space="preserve">  </w:t>
      </w:r>
      <w:r>
        <w:rPr>
          <w:spacing w:val="-1"/>
          <w:sz w:val="21"/>
          <w:szCs w:val="21"/>
        </w:rPr>
        <w:t>同进行试验和检验的，由承包人负责提供必要的试验资料和</w:t>
      </w:r>
      <w:r>
        <w:rPr>
          <w:spacing w:val="-2"/>
          <w:sz w:val="21"/>
          <w:szCs w:val="21"/>
        </w:rPr>
        <w:t>原始记录。</w:t>
      </w:r>
    </w:p>
    <w:p w14:paraId="03CF728F">
      <w:pPr>
        <w:pStyle w:val="2"/>
        <w:spacing w:before="172" w:line="312" w:lineRule="auto"/>
        <w:ind w:right="79" w:firstLine="419"/>
        <w:rPr>
          <w:sz w:val="21"/>
          <w:szCs w:val="21"/>
        </w:rPr>
      </w:pPr>
      <w:r>
        <w:rPr>
          <w:sz w:val="21"/>
          <w:szCs w:val="21"/>
        </w:rPr>
        <w:t>9.3.2试验属于自检性质的，承包人可以单独进行试验。试验属于监</w:t>
      </w:r>
      <w:r>
        <w:rPr>
          <w:spacing w:val="-1"/>
          <w:sz w:val="21"/>
          <w:szCs w:val="21"/>
        </w:rPr>
        <w:t>理人抽检性质的，监理人</w:t>
      </w:r>
      <w:r>
        <w:rPr>
          <w:sz w:val="21"/>
          <w:szCs w:val="21"/>
        </w:rPr>
        <w:t xml:space="preserve"> </w:t>
      </w:r>
      <w:r>
        <w:rPr>
          <w:spacing w:val="2"/>
          <w:sz w:val="21"/>
          <w:szCs w:val="21"/>
        </w:rPr>
        <w:t>可以单独进行试验，也可由承包人与监理人共同进行。承包人对由监理人单独进行的</w:t>
      </w:r>
      <w:r>
        <w:rPr>
          <w:spacing w:val="1"/>
          <w:sz w:val="21"/>
          <w:szCs w:val="21"/>
        </w:rPr>
        <w:t>试验结果有</w:t>
      </w:r>
      <w:r>
        <w:rPr>
          <w:sz w:val="21"/>
          <w:szCs w:val="21"/>
        </w:rPr>
        <w:t xml:space="preserve"> </w:t>
      </w:r>
      <w:r>
        <w:rPr>
          <w:spacing w:val="2"/>
          <w:sz w:val="21"/>
          <w:szCs w:val="21"/>
        </w:rPr>
        <w:t>异议的，可以申请重新共同进行试验。约定共同进行试验的，监理人未按照约定参</w:t>
      </w:r>
      <w:r>
        <w:rPr>
          <w:spacing w:val="1"/>
          <w:sz w:val="21"/>
          <w:szCs w:val="21"/>
        </w:rPr>
        <w:t>加试验的，承</w:t>
      </w:r>
      <w:r>
        <w:rPr>
          <w:sz w:val="21"/>
          <w:szCs w:val="21"/>
        </w:rPr>
        <w:t xml:space="preserve"> </w:t>
      </w:r>
      <w:r>
        <w:rPr>
          <w:spacing w:val="-1"/>
          <w:sz w:val="21"/>
          <w:szCs w:val="21"/>
        </w:rPr>
        <w:t>包人可自行试验，并将试验结果报送监理人，监理人应承</w:t>
      </w:r>
      <w:r>
        <w:rPr>
          <w:spacing w:val="-2"/>
          <w:sz w:val="21"/>
          <w:szCs w:val="21"/>
        </w:rPr>
        <w:t>认该试验结果。</w:t>
      </w:r>
    </w:p>
    <w:p w14:paraId="73A0BFE3">
      <w:pPr>
        <w:pStyle w:val="2"/>
        <w:spacing w:before="190" w:line="277" w:lineRule="auto"/>
        <w:ind w:right="79" w:firstLine="419"/>
        <w:rPr>
          <w:sz w:val="21"/>
          <w:szCs w:val="21"/>
        </w:rPr>
      </w:pPr>
      <w:r>
        <w:rPr>
          <w:sz w:val="21"/>
          <w:szCs w:val="21"/>
        </w:rPr>
        <w:t>9.3.3监理人对承包人的试验和检验结果有异议的，或为查清承包人</w:t>
      </w:r>
      <w:r>
        <w:rPr>
          <w:spacing w:val="-1"/>
          <w:sz w:val="21"/>
          <w:szCs w:val="21"/>
        </w:rPr>
        <w:t>试验和检验成果的可靠性</w:t>
      </w:r>
      <w:r>
        <w:rPr>
          <w:sz w:val="21"/>
          <w:szCs w:val="21"/>
        </w:rPr>
        <w:t xml:space="preserve"> </w:t>
      </w:r>
      <w:r>
        <w:rPr>
          <w:spacing w:val="2"/>
          <w:sz w:val="21"/>
          <w:szCs w:val="21"/>
        </w:rPr>
        <w:t>要求承包人重新试验和检验的，可由监理人与承包人共同进行。重新试验和检验的结果证</w:t>
      </w:r>
      <w:r>
        <w:rPr>
          <w:spacing w:val="1"/>
          <w:sz w:val="21"/>
          <w:szCs w:val="21"/>
        </w:rPr>
        <w:t>明该项</w:t>
      </w:r>
    </w:p>
    <w:p w14:paraId="6370598B">
      <w:pPr>
        <w:spacing w:line="277" w:lineRule="auto"/>
        <w:rPr>
          <w:sz w:val="21"/>
          <w:szCs w:val="21"/>
        </w:rPr>
        <w:sectPr>
          <w:footerReference r:id="rId216" w:type="default"/>
          <w:pgSz w:w="11910" w:h="16840"/>
          <w:pgMar w:top="400" w:right="1454" w:bottom="1024" w:left="1460" w:header="0" w:footer="889" w:gutter="0"/>
          <w:cols w:space="720" w:num="1"/>
        </w:sectPr>
      </w:pPr>
    </w:p>
    <w:p w14:paraId="0DE95D6E">
      <w:pPr>
        <w:spacing w:line="270" w:lineRule="auto"/>
        <w:rPr>
          <w:rFonts w:ascii="Arial"/>
          <w:sz w:val="21"/>
        </w:rPr>
      </w:pPr>
    </w:p>
    <w:p w14:paraId="3AC3400E">
      <w:pPr>
        <w:spacing w:line="270" w:lineRule="auto"/>
        <w:rPr>
          <w:rFonts w:ascii="Arial"/>
          <w:sz w:val="21"/>
        </w:rPr>
      </w:pPr>
    </w:p>
    <w:p w14:paraId="1A7FBBDA">
      <w:pPr>
        <w:spacing w:line="270" w:lineRule="auto"/>
        <w:rPr>
          <w:rFonts w:ascii="Arial"/>
          <w:sz w:val="21"/>
        </w:rPr>
      </w:pPr>
    </w:p>
    <w:p w14:paraId="55FD69DC">
      <w:pPr>
        <w:spacing w:line="270" w:lineRule="auto"/>
        <w:rPr>
          <w:rFonts w:ascii="Arial"/>
          <w:sz w:val="21"/>
        </w:rPr>
      </w:pPr>
    </w:p>
    <w:p w14:paraId="2E42AAE9">
      <w:pPr>
        <w:spacing w:line="271" w:lineRule="auto"/>
        <w:rPr>
          <w:rFonts w:ascii="Arial"/>
          <w:sz w:val="21"/>
        </w:rPr>
      </w:pPr>
    </w:p>
    <w:p w14:paraId="75991593">
      <w:pPr>
        <w:pStyle w:val="2"/>
        <w:tabs>
          <w:tab w:val="left" w:pos="108"/>
        </w:tabs>
        <w:spacing w:before="68" w:line="339" w:lineRule="auto"/>
        <w:jc w:val="both"/>
        <w:rPr>
          <w:sz w:val="21"/>
          <w:szCs w:val="21"/>
        </w:rPr>
      </w:pPr>
      <w:r>
        <w:rPr>
          <w:spacing w:val="7"/>
          <w:sz w:val="21"/>
          <w:szCs w:val="21"/>
        </w:rPr>
        <w:t>材料、工程设备或工程的质量不符合合同要求的，由此增加的费用和(或)延误</w:t>
      </w:r>
      <w:r>
        <w:rPr>
          <w:spacing w:val="6"/>
          <w:sz w:val="21"/>
          <w:szCs w:val="21"/>
        </w:rPr>
        <w:t>的工期由承包人</w:t>
      </w:r>
      <w:r>
        <w:rPr>
          <w:sz w:val="21"/>
          <w:szCs w:val="21"/>
        </w:rPr>
        <w:t xml:space="preserve"> </w:t>
      </w:r>
      <w:r>
        <w:rPr>
          <w:spacing w:val="3"/>
          <w:sz w:val="21"/>
          <w:szCs w:val="21"/>
        </w:rPr>
        <w:t>承担；重新试验和检验结果证明该项材料、工程设</w:t>
      </w:r>
      <w:r>
        <w:rPr>
          <w:spacing w:val="2"/>
          <w:sz w:val="21"/>
          <w:szCs w:val="21"/>
        </w:rPr>
        <w:t>备和工程符合合同要求的，由此增加的费用和</w:t>
      </w:r>
      <w:r>
        <w:rPr>
          <w:sz w:val="21"/>
          <w:szCs w:val="21"/>
        </w:rPr>
        <w:t xml:space="preserve"> </w:t>
      </w:r>
      <w:r>
        <w:rPr>
          <w:sz w:val="21"/>
          <w:szCs w:val="21"/>
        </w:rPr>
        <w:tab/>
      </w:r>
      <w:r>
        <w:rPr>
          <w:spacing w:val="6"/>
          <w:sz w:val="21"/>
          <w:szCs w:val="21"/>
        </w:rPr>
        <w:t>(或)延误的工期由发包人承担。</w:t>
      </w:r>
    </w:p>
    <w:p w14:paraId="66F9DB61">
      <w:pPr>
        <w:spacing w:before="1" w:line="220" w:lineRule="auto"/>
        <w:ind w:left="3"/>
        <w:rPr>
          <w:rFonts w:ascii="黑体" w:hAnsi="黑体" w:eastAsia="黑体" w:cs="黑体"/>
          <w:sz w:val="25"/>
          <w:szCs w:val="25"/>
        </w:rPr>
      </w:pPr>
      <w:r>
        <w:rPr>
          <w:rFonts w:ascii="黑体" w:hAnsi="黑体" w:eastAsia="黑体" w:cs="黑体"/>
          <w:b/>
          <w:bCs/>
          <w:spacing w:val="-3"/>
          <w:sz w:val="25"/>
          <w:szCs w:val="25"/>
        </w:rPr>
        <w:t>9.4现场工艺试验</w:t>
      </w:r>
    </w:p>
    <w:p w14:paraId="3E98BC33">
      <w:pPr>
        <w:pStyle w:val="2"/>
        <w:spacing w:before="134" w:line="364" w:lineRule="auto"/>
        <w:ind w:right="26" w:firstLine="409"/>
        <w:rPr>
          <w:sz w:val="21"/>
          <w:szCs w:val="21"/>
        </w:rPr>
      </w:pPr>
      <w:r>
        <w:rPr>
          <w:spacing w:val="2"/>
          <w:sz w:val="21"/>
          <w:szCs w:val="21"/>
        </w:rPr>
        <w:t>承包人应按合同约定或监理人指示进行现场工艺试验。对大型的现场工艺试验，监理人认为</w:t>
      </w:r>
      <w:r>
        <w:rPr>
          <w:spacing w:val="9"/>
          <w:sz w:val="21"/>
          <w:szCs w:val="21"/>
        </w:rPr>
        <w:t xml:space="preserve"> </w:t>
      </w:r>
      <w:r>
        <w:rPr>
          <w:sz w:val="21"/>
          <w:szCs w:val="21"/>
        </w:rPr>
        <w:t>必要时，承包人应根据监理人提出的工艺试验要求，编制工艺试验措施计划，报送</w:t>
      </w:r>
      <w:r>
        <w:rPr>
          <w:spacing w:val="-1"/>
          <w:sz w:val="21"/>
          <w:szCs w:val="21"/>
        </w:rPr>
        <w:t>监理人审查。</w:t>
      </w:r>
    </w:p>
    <w:p w14:paraId="03CE1260">
      <w:pPr>
        <w:pStyle w:val="2"/>
        <w:spacing w:line="221" w:lineRule="auto"/>
        <w:ind w:left="4"/>
        <w:rPr>
          <w:rFonts w:ascii="黑体" w:hAnsi="黑体" w:eastAsia="黑体" w:cs="黑体"/>
          <w:sz w:val="30"/>
          <w:szCs w:val="30"/>
        </w:rPr>
      </w:pPr>
      <w:r>
        <w:rPr>
          <w:b/>
          <w:bCs/>
          <w:spacing w:val="2"/>
          <w:sz w:val="30"/>
          <w:szCs w:val="30"/>
        </w:rPr>
        <w:t>10.</w:t>
      </w:r>
      <w:r>
        <w:rPr>
          <w:rFonts w:ascii="黑体" w:hAnsi="黑体" w:eastAsia="黑体" w:cs="黑体"/>
          <w:b/>
          <w:bCs/>
          <w:spacing w:val="2"/>
          <w:sz w:val="30"/>
          <w:szCs w:val="30"/>
        </w:rPr>
        <w:t>变更</w:t>
      </w:r>
    </w:p>
    <w:p w14:paraId="4DD44FD6">
      <w:pPr>
        <w:spacing w:before="88" w:line="222" w:lineRule="auto"/>
        <w:ind w:left="3"/>
        <w:rPr>
          <w:rFonts w:ascii="黑体" w:hAnsi="黑体" w:eastAsia="黑体" w:cs="黑体"/>
          <w:sz w:val="25"/>
          <w:szCs w:val="25"/>
        </w:rPr>
      </w:pPr>
      <w:r>
        <w:rPr>
          <w:rFonts w:ascii="黑体" w:hAnsi="黑体" w:eastAsia="黑体" w:cs="黑体"/>
          <w:b/>
          <w:bCs/>
          <w:spacing w:val="-5"/>
          <w:sz w:val="25"/>
          <w:szCs w:val="25"/>
        </w:rPr>
        <w:t>10.1变更的范围</w:t>
      </w:r>
    </w:p>
    <w:p w14:paraId="52E90EBA">
      <w:pPr>
        <w:pStyle w:val="2"/>
        <w:spacing w:before="132" w:line="219" w:lineRule="auto"/>
        <w:ind w:left="409"/>
        <w:rPr>
          <w:sz w:val="21"/>
          <w:szCs w:val="21"/>
        </w:rPr>
      </w:pPr>
      <w:r>
        <w:rPr>
          <w:spacing w:val="-1"/>
          <w:sz w:val="21"/>
          <w:szCs w:val="21"/>
        </w:rPr>
        <w:t>除专用合同条款另有约定外，合同履行过程中发生以下情形的，应按照本条约定进行变更：</w:t>
      </w:r>
    </w:p>
    <w:p w14:paraId="3475020A">
      <w:pPr>
        <w:pStyle w:val="2"/>
        <w:spacing w:before="162" w:line="219" w:lineRule="auto"/>
        <w:ind w:left="519"/>
        <w:rPr>
          <w:sz w:val="21"/>
          <w:szCs w:val="21"/>
        </w:rPr>
      </w:pPr>
      <w:r>
        <w:rPr>
          <w:spacing w:val="3"/>
          <w:sz w:val="21"/>
          <w:szCs w:val="21"/>
        </w:rPr>
        <w:t>(1)增加或减少合同中任何工作，或追加额外的工作；</w:t>
      </w:r>
    </w:p>
    <w:p w14:paraId="0FD94ABB">
      <w:pPr>
        <w:pStyle w:val="2"/>
        <w:spacing w:before="141" w:line="219" w:lineRule="auto"/>
        <w:ind w:left="519"/>
        <w:rPr>
          <w:sz w:val="21"/>
          <w:szCs w:val="21"/>
        </w:rPr>
      </w:pPr>
      <w:r>
        <w:rPr>
          <w:spacing w:val="2"/>
          <w:sz w:val="21"/>
          <w:szCs w:val="21"/>
        </w:rPr>
        <w:t>(2)取消合同中任何工作，但转由他人实施的工作除外；</w:t>
      </w:r>
    </w:p>
    <w:p w14:paraId="3623EB6C">
      <w:pPr>
        <w:pStyle w:val="2"/>
        <w:spacing w:before="151" w:line="219" w:lineRule="auto"/>
        <w:ind w:left="519"/>
        <w:rPr>
          <w:sz w:val="21"/>
          <w:szCs w:val="21"/>
        </w:rPr>
      </w:pPr>
      <w:r>
        <w:rPr>
          <w:spacing w:val="3"/>
          <w:sz w:val="21"/>
          <w:szCs w:val="21"/>
        </w:rPr>
        <w:t>(3)改变合同中任何工作的质量标准或其他特性；</w:t>
      </w:r>
    </w:p>
    <w:p w14:paraId="02B1886C">
      <w:pPr>
        <w:pStyle w:val="2"/>
        <w:spacing w:before="159" w:line="219" w:lineRule="auto"/>
        <w:ind w:left="519"/>
        <w:rPr>
          <w:sz w:val="21"/>
          <w:szCs w:val="21"/>
        </w:rPr>
      </w:pPr>
      <w:r>
        <w:rPr>
          <w:spacing w:val="3"/>
          <w:sz w:val="21"/>
          <w:szCs w:val="21"/>
        </w:rPr>
        <w:t>(4)改变工程的基线、标高、位置和尺寸；</w:t>
      </w:r>
    </w:p>
    <w:p w14:paraId="357AFF9B">
      <w:pPr>
        <w:pStyle w:val="2"/>
        <w:spacing w:before="153" w:line="219" w:lineRule="auto"/>
        <w:ind w:left="519"/>
        <w:rPr>
          <w:sz w:val="21"/>
          <w:szCs w:val="21"/>
        </w:rPr>
      </w:pPr>
      <w:r>
        <w:rPr>
          <w:spacing w:val="4"/>
          <w:sz w:val="21"/>
          <w:szCs w:val="21"/>
        </w:rPr>
        <w:t>(5)改变工程的时间安排或实施顺序。</w:t>
      </w:r>
    </w:p>
    <w:p w14:paraId="21EF4C3B">
      <w:pPr>
        <w:spacing w:before="107" w:line="222" w:lineRule="auto"/>
        <w:ind w:left="3"/>
        <w:rPr>
          <w:rFonts w:ascii="黑体" w:hAnsi="黑体" w:eastAsia="黑体" w:cs="黑体"/>
          <w:sz w:val="25"/>
          <w:szCs w:val="25"/>
        </w:rPr>
      </w:pPr>
      <w:r>
        <w:rPr>
          <w:rFonts w:ascii="黑体" w:hAnsi="黑体" w:eastAsia="黑体" w:cs="黑体"/>
          <w:b/>
          <w:bCs/>
          <w:spacing w:val="-6"/>
          <w:sz w:val="25"/>
          <w:szCs w:val="25"/>
        </w:rPr>
        <w:t>10.2变更权</w:t>
      </w:r>
    </w:p>
    <w:p w14:paraId="129701EC">
      <w:pPr>
        <w:pStyle w:val="2"/>
        <w:spacing w:before="143" w:line="344" w:lineRule="auto"/>
        <w:ind w:right="27" w:firstLine="409"/>
        <w:jc w:val="both"/>
        <w:rPr>
          <w:sz w:val="21"/>
          <w:szCs w:val="21"/>
        </w:rPr>
      </w:pPr>
      <w:r>
        <w:rPr>
          <w:spacing w:val="2"/>
          <w:sz w:val="21"/>
          <w:szCs w:val="21"/>
        </w:rPr>
        <w:t>发包人和监理人均可以提出变更。变更指示均通过监理人发出，监理人发出变更指示前应征</w:t>
      </w:r>
      <w:r>
        <w:rPr>
          <w:spacing w:val="8"/>
          <w:sz w:val="21"/>
          <w:szCs w:val="21"/>
        </w:rPr>
        <w:t xml:space="preserve"> </w:t>
      </w:r>
      <w:r>
        <w:rPr>
          <w:spacing w:val="2"/>
          <w:sz w:val="21"/>
          <w:szCs w:val="21"/>
        </w:rPr>
        <w:t>得发包人同意。承包人收到经发包人签认的变更指示后，方可实施变更。未经</w:t>
      </w:r>
      <w:r>
        <w:rPr>
          <w:spacing w:val="1"/>
          <w:sz w:val="21"/>
          <w:szCs w:val="21"/>
        </w:rPr>
        <w:t>许可，承包人不得</w:t>
      </w:r>
      <w:r>
        <w:rPr>
          <w:sz w:val="21"/>
          <w:szCs w:val="21"/>
        </w:rPr>
        <w:t xml:space="preserve"> </w:t>
      </w:r>
      <w:r>
        <w:rPr>
          <w:spacing w:val="-3"/>
          <w:sz w:val="21"/>
          <w:szCs w:val="21"/>
        </w:rPr>
        <w:t>擅自对工程的任何部分进行变更。</w:t>
      </w:r>
    </w:p>
    <w:p w14:paraId="342C0DB4">
      <w:pPr>
        <w:pStyle w:val="2"/>
        <w:spacing w:before="26" w:line="333" w:lineRule="auto"/>
        <w:ind w:right="28" w:firstLine="409"/>
        <w:rPr>
          <w:sz w:val="21"/>
          <w:szCs w:val="21"/>
        </w:rPr>
      </w:pPr>
      <w:r>
        <w:rPr>
          <w:spacing w:val="2"/>
          <w:sz w:val="21"/>
          <w:szCs w:val="21"/>
        </w:rPr>
        <w:t>涉及设计变更的，应由设计人提供变更后的图纸和说明。如变更超过原设计标准或批准的建</w:t>
      </w:r>
      <w:r>
        <w:rPr>
          <w:spacing w:val="8"/>
          <w:sz w:val="21"/>
          <w:szCs w:val="21"/>
        </w:rPr>
        <w:t xml:space="preserve"> </w:t>
      </w:r>
      <w:r>
        <w:rPr>
          <w:spacing w:val="-2"/>
          <w:sz w:val="21"/>
          <w:szCs w:val="21"/>
        </w:rPr>
        <w:t>设规模时，发包人应及时办理规划、设计变更等审批手续。</w:t>
      </w:r>
    </w:p>
    <w:p w14:paraId="3F5D5EF5">
      <w:pPr>
        <w:spacing w:line="221" w:lineRule="auto"/>
        <w:ind w:left="3"/>
        <w:rPr>
          <w:rFonts w:ascii="黑体" w:hAnsi="黑体" w:eastAsia="黑体" w:cs="黑体"/>
          <w:sz w:val="25"/>
          <w:szCs w:val="25"/>
        </w:rPr>
      </w:pPr>
      <w:r>
        <w:rPr>
          <w:rFonts w:ascii="黑体" w:hAnsi="黑体" w:eastAsia="黑体" w:cs="黑体"/>
          <w:b/>
          <w:bCs/>
          <w:spacing w:val="-6"/>
          <w:sz w:val="25"/>
          <w:szCs w:val="25"/>
        </w:rPr>
        <w:t>10.3变更程序</w:t>
      </w:r>
    </w:p>
    <w:p w14:paraId="051CAAAB">
      <w:pPr>
        <w:pStyle w:val="2"/>
        <w:spacing w:before="144" w:line="220" w:lineRule="auto"/>
        <w:ind w:left="409"/>
        <w:rPr>
          <w:sz w:val="21"/>
          <w:szCs w:val="21"/>
        </w:rPr>
      </w:pPr>
      <w:r>
        <w:rPr>
          <w:spacing w:val="-8"/>
          <w:sz w:val="21"/>
          <w:szCs w:val="21"/>
        </w:rPr>
        <w:t>10.3.1 发包人提出变更</w:t>
      </w:r>
    </w:p>
    <w:p w14:paraId="2DFB7DFF">
      <w:pPr>
        <w:pStyle w:val="2"/>
        <w:spacing w:before="159" w:line="336" w:lineRule="auto"/>
        <w:ind w:right="29" w:firstLine="409"/>
        <w:rPr>
          <w:sz w:val="21"/>
          <w:szCs w:val="21"/>
        </w:rPr>
      </w:pPr>
      <w:r>
        <w:rPr>
          <w:spacing w:val="2"/>
          <w:sz w:val="21"/>
          <w:szCs w:val="21"/>
        </w:rPr>
        <w:t>发包人提出变更的，应通过监理人向承包人发出变更指示，变更指示应说明计划变更的工程</w:t>
      </w:r>
      <w:r>
        <w:rPr>
          <w:spacing w:val="6"/>
          <w:sz w:val="21"/>
          <w:szCs w:val="21"/>
        </w:rPr>
        <w:t xml:space="preserve"> </w:t>
      </w:r>
      <w:r>
        <w:rPr>
          <w:spacing w:val="-5"/>
          <w:sz w:val="21"/>
          <w:szCs w:val="21"/>
        </w:rPr>
        <w:t>范围和变更的内容。</w:t>
      </w:r>
    </w:p>
    <w:p w14:paraId="6D89A63B">
      <w:pPr>
        <w:pStyle w:val="2"/>
        <w:spacing w:before="26" w:line="220" w:lineRule="auto"/>
        <w:ind w:left="409"/>
        <w:rPr>
          <w:sz w:val="21"/>
          <w:szCs w:val="21"/>
        </w:rPr>
      </w:pPr>
      <w:r>
        <w:rPr>
          <w:spacing w:val="-7"/>
          <w:sz w:val="21"/>
          <w:szCs w:val="21"/>
        </w:rPr>
        <w:t>10.3.2 监理人提出变更建议</w:t>
      </w:r>
    </w:p>
    <w:p w14:paraId="48E280C7">
      <w:pPr>
        <w:pStyle w:val="2"/>
        <w:spacing w:before="139" w:line="353" w:lineRule="auto"/>
        <w:ind w:right="15" w:firstLine="409"/>
        <w:rPr>
          <w:sz w:val="21"/>
          <w:szCs w:val="21"/>
        </w:rPr>
      </w:pPr>
      <w:r>
        <w:rPr>
          <w:spacing w:val="2"/>
          <w:sz w:val="21"/>
          <w:szCs w:val="21"/>
        </w:rPr>
        <w:t>监理人提出变更建议的，需要向发包人以书面形式提出变更</w:t>
      </w:r>
      <w:r>
        <w:rPr>
          <w:spacing w:val="1"/>
          <w:sz w:val="21"/>
          <w:szCs w:val="21"/>
        </w:rPr>
        <w:t>计划，说明计划变更工程范围和</w:t>
      </w:r>
      <w:r>
        <w:rPr>
          <w:sz w:val="21"/>
          <w:szCs w:val="21"/>
        </w:rPr>
        <w:t xml:space="preserve"> </w:t>
      </w:r>
      <w:r>
        <w:rPr>
          <w:spacing w:val="2"/>
          <w:sz w:val="21"/>
          <w:szCs w:val="21"/>
        </w:rPr>
        <w:t>变更的内容、理由，以及实施该变更对合同价格和工期的影响。发包人同意变更的，由监理人向</w:t>
      </w:r>
      <w:r>
        <w:rPr>
          <w:spacing w:val="6"/>
          <w:sz w:val="21"/>
          <w:szCs w:val="21"/>
        </w:rPr>
        <w:t xml:space="preserve"> </w:t>
      </w:r>
      <w:r>
        <w:rPr>
          <w:spacing w:val="-1"/>
          <w:sz w:val="21"/>
          <w:szCs w:val="21"/>
        </w:rPr>
        <w:t>承包人发出变更指示。发包人不同意变更的，监理人无权擅自发出</w:t>
      </w:r>
      <w:r>
        <w:rPr>
          <w:spacing w:val="-2"/>
          <w:sz w:val="21"/>
          <w:szCs w:val="21"/>
        </w:rPr>
        <w:t>变更指示。</w:t>
      </w:r>
    </w:p>
    <w:p w14:paraId="75C2D64D">
      <w:pPr>
        <w:pStyle w:val="2"/>
        <w:spacing w:before="16" w:line="219" w:lineRule="auto"/>
        <w:ind w:left="409"/>
        <w:rPr>
          <w:sz w:val="21"/>
          <w:szCs w:val="21"/>
        </w:rPr>
      </w:pPr>
      <w:r>
        <w:rPr>
          <w:spacing w:val="-3"/>
          <w:sz w:val="21"/>
          <w:szCs w:val="21"/>
        </w:rPr>
        <w:t>10.3.3变更执行</w:t>
      </w:r>
    </w:p>
    <w:p w14:paraId="73209EF0">
      <w:pPr>
        <w:pStyle w:val="2"/>
        <w:spacing w:before="119" w:line="361" w:lineRule="auto"/>
        <w:ind w:right="28" w:firstLine="409"/>
        <w:rPr>
          <w:sz w:val="21"/>
          <w:szCs w:val="21"/>
        </w:rPr>
      </w:pPr>
      <w:r>
        <w:rPr>
          <w:spacing w:val="2"/>
          <w:sz w:val="21"/>
          <w:szCs w:val="21"/>
        </w:rPr>
        <w:t>承包人收到监理人下达的变更指示后，认为不能执行，应立即提出不能执行该变更指示的理</w:t>
      </w:r>
      <w:r>
        <w:rPr>
          <w:spacing w:val="6"/>
          <w:sz w:val="21"/>
          <w:szCs w:val="21"/>
        </w:rPr>
        <w:t xml:space="preserve"> </w:t>
      </w:r>
      <w:r>
        <w:rPr>
          <w:spacing w:val="2"/>
          <w:sz w:val="21"/>
          <w:szCs w:val="21"/>
        </w:rPr>
        <w:t>由。承包人认为可以执行变更的，应当书面说明实施该变更指示对合同价格和工</w:t>
      </w:r>
      <w:r>
        <w:rPr>
          <w:spacing w:val="1"/>
          <w:sz w:val="21"/>
          <w:szCs w:val="21"/>
        </w:rPr>
        <w:t>期的影响，且合</w:t>
      </w:r>
      <w:r>
        <w:rPr>
          <w:sz w:val="21"/>
          <w:szCs w:val="21"/>
        </w:rPr>
        <w:t xml:space="preserve"> </w:t>
      </w:r>
      <w:r>
        <w:rPr>
          <w:spacing w:val="2"/>
          <w:sz w:val="21"/>
          <w:szCs w:val="21"/>
        </w:rPr>
        <w:t>同当事人应当按照第10.4款〔变更估价〕约定确定变更估价。</w:t>
      </w:r>
    </w:p>
    <w:p w14:paraId="6A688452">
      <w:pPr>
        <w:spacing w:line="361" w:lineRule="auto"/>
        <w:rPr>
          <w:sz w:val="21"/>
          <w:szCs w:val="21"/>
        </w:rPr>
        <w:sectPr>
          <w:footerReference r:id="rId217" w:type="default"/>
          <w:pgSz w:w="11910" w:h="16840"/>
          <w:pgMar w:top="400" w:right="1522" w:bottom="1024" w:left="1460" w:header="0" w:footer="889" w:gutter="0"/>
          <w:cols w:space="720" w:num="1"/>
        </w:sectPr>
      </w:pPr>
    </w:p>
    <w:p w14:paraId="6D83EC43">
      <w:pPr>
        <w:spacing w:line="259" w:lineRule="auto"/>
        <w:rPr>
          <w:rFonts w:ascii="Arial"/>
          <w:sz w:val="21"/>
        </w:rPr>
      </w:pPr>
    </w:p>
    <w:p w14:paraId="538C8370">
      <w:pPr>
        <w:spacing w:line="259" w:lineRule="auto"/>
        <w:rPr>
          <w:rFonts w:ascii="Arial"/>
          <w:sz w:val="21"/>
        </w:rPr>
      </w:pPr>
    </w:p>
    <w:p w14:paraId="637B7033">
      <w:pPr>
        <w:spacing w:line="259" w:lineRule="auto"/>
        <w:rPr>
          <w:rFonts w:ascii="Arial"/>
          <w:sz w:val="21"/>
        </w:rPr>
      </w:pPr>
    </w:p>
    <w:p w14:paraId="3B8C941A">
      <w:pPr>
        <w:spacing w:line="259" w:lineRule="auto"/>
        <w:rPr>
          <w:rFonts w:ascii="Arial"/>
          <w:sz w:val="21"/>
        </w:rPr>
      </w:pPr>
    </w:p>
    <w:p w14:paraId="6E619728">
      <w:pPr>
        <w:spacing w:line="259" w:lineRule="auto"/>
        <w:rPr>
          <w:rFonts w:ascii="Arial"/>
          <w:sz w:val="21"/>
        </w:rPr>
      </w:pPr>
    </w:p>
    <w:p w14:paraId="46E95DCA">
      <w:pPr>
        <w:spacing w:before="82" w:line="222" w:lineRule="auto"/>
        <w:ind w:left="3"/>
        <w:rPr>
          <w:rFonts w:ascii="黑体" w:hAnsi="黑体" w:eastAsia="黑体" w:cs="黑体"/>
          <w:sz w:val="25"/>
          <w:szCs w:val="25"/>
        </w:rPr>
      </w:pPr>
      <w:r>
        <w:rPr>
          <w:rFonts w:ascii="黑体" w:hAnsi="黑体" w:eastAsia="黑体" w:cs="黑体"/>
          <w:b/>
          <w:bCs/>
          <w:spacing w:val="-6"/>
          <w:sz w:val="25"/>
          <w:szCs w:val="25"/>
        </w:rPr>
        <w:t>10.4变更估价</w:t>
      </w:r>
    </w:p>
    <w:p w14:paraId="1D8EAE43">
      <w:pPr>
        <w:pStyle w:val="2"/>
        <w:spacing w:before="150" w:line="218" w:lineRule="auto"/>
        <w:ind w:left="409"/>
        <w:rPr>
          <w:sz w:val="21"/>
          <w:szCs w:val="21"/>
        </w:rPr>
      </w:pPr>
      <w:r>
        <w:rPr>
          <w:sz w:val="21"/>
          <w:szCs w:val="21"/>
        </w:rPr>
        <w:t>10.4.1变更估价原则</w:t>
      </w:r>
    </w:p>
    <w:p w14:paraId="38CFFF82">
      <w:pPr>
        <w:pStyle w:val="2"/>
        <w:spacing w:before="152" w:line="218" w:lineRule="auto"/>
        <w:ind w:left="409"/>
        <w:rPr>
          <w:sz w:val="21"/>
          <w:szCs w:val="21"/>
        </w:rPr>
      </w:pPr>
      <w:r>
        <w:rPr>
          <w:spacing w:val="-2"/>
          <w:sz w:val="21"/>
          <w:szCs w:val="21"/>
        </w:rPr>
        <w:t>除专用合同条款另有约定外，变更估价按照本款约定处理：</w:t>
      </w:r>
    </w:p>
    <w:p w14:paraId="539E08A5">
      <w:pPr>
        <w:pStyle w:val="2"/>
        <w:spacing w:before="131" w:line="218" w:lineRule="auto"/>
        <w:ind w:left="519"/>
        <w:rPr>
          <w:sz w:val="21"/>
          <w:szCs w:val="21"/>
        </w:rPr>
      </w:pPr>
      <w:r>
        <w:rPr>
          <w:spacing w:val="2"/>
          <w:sz w:val="21"/>
          <w:szCs w:val="21"/>
        </w:rPr>
        <w:t>(1)已标价工程量清单或预算书有相同项目的，按照相同项目单价认定；</w:t>
      </w:r>
    </w:p>
    <w:p w14:paraId="29D61D94">
      <w:pPr>
        <w:pStyle w:val="2"/>
        <w:spacing w:before="162" w:line="218" w:lineRule="auto"/>
        <w:jc w:val="right"/>
        <w:rPr>
          <w:sz w:val="21"/>
          <w:szCs w:val="21"/>
        </w:rPr>
      </w:pPr>
      <w:r>
        <w:rPr>
          <w:spacing w:val="-1"/>
          <w:sz w:val="21"/>
          <w:szCs w:val="21"/>
        </w:rPr>
        <w:t>(2)已标价工程量清单或预算书中无相同项目，但有类似项目的，参照类似项目的单价认定；</w:t>
      </w:r>
    </w:p>
    <w:p w14:paraId="491C232F">
      <w:pPr>
        <w:pStyle w:val="2"/>
        <w:spacing w:before="173" w:line="301" w:lineRule="auto"/>
        <w:ind w:right="88" w:firstLine="519"/>
        <w:rPr>
          <w:sz w:val="21"/>
          <w:szCs w:val="21"/>
        </w:rPr>
      </w:pPr>
      <w:r>
        <w:rPr>
          <w:spacing w:val="2"/>
          <w:sz w:val="21"/>
          <w:szCs w:val="21"/>
        </w:rPr>
        <w:t>(3)变更导致实际完成的变更工程量与已标价工程量清单或预算书中列明的该项目工程</w:t>
      </w:r>
      <w:r>
        <w:rPr>
          <w:spacing w:val="1"/>
          <w:sz w:val="21"/>
          <w:szCs w:val="21"/>
        </w:rPr>
        <w:t>量的</w:t>
      </w:r>
      <w:r>
        <w:rPr>
          <w:sz w:val="21"/>
          <w:szCs w:val="21"/>
        </w:rPr>
        <w:t xml:space="preserve"> </w:t>
      </w:r>
      <w:r>
        <w:rPr>
          <w:spacing w:val="4"/>
          <w:sz w:val="21"/>
          <w:szCs w:val="21"/>
        </w:rPr>
        <w:t>变化幅度超过15%的，或已标价工程量清单或预算书中无相同项目及类似项目单价的，按照合理</w:t>
      </w:r>
      <w:r>
        <w:rPr>
          <w:sz w:val="21"/>
          <w:szCs w:val="21"/>
        </w:rPr>
        <w:t xml:space="preserve"> </w:t>
      </w:r>
      <w:r>
        <w:rPr>
          <w:spacing w:val="1"/>
          <w:sz w:val="21"/>
          <w:szCs w:val="21"/>
        </w:rPr>
        <w:t>的成本与利润构成的原则，由合同当事人按照第4.4款〔商定或确定〕确定变更工作的单价。</w:t>
      </w:r>
    </w:p>
    <w:p w14:paraId="6122A060">
      <w:pPr>
        <w:pStyle w:val="2"/>
        <w:spacing w:before="152" w:line="218" w:lineRule="auto"/>
        <w:ind w:left="409"/>
        <w:rPr>
          <w:sz w:val="21"/>
          <w:szCs w:val="21"/>
        </w:rPr>
      </w:pPr>
      <w:r>
        <w:rPr>
          <w:spacing w:val="-2"/>
          <w:sz w:val="21"/>
          <w:szCs w:val="21"/>
        </w:rPr>
        <w:t>10.4.2变更估价程序</w:t>
      </w:r>
    </w:p>
    <w:p w14:paraId="05AD4BA2">
      <w:pPr>
        <w:pStyle w:val="2"/>
        <w:spacing w:before="160" w:line="344" w:lineRule="auto"/>
        <w:ind w:right="47" w:firstLine="409"/>
        <w:rPr>
          <w:sz w:val="21"/>
          <w:szCs w:val="21"/>
        </w:rPr>
      </w:pPr>
      <w:r>
        <w:rPr>
          <w:spacing w:val="2"/>
          <w:sz w:val="21"/>
          <w:szCs w:val="21"/>
        </w:rPr>
        <w:t>承包人应在收到变更指示后14天内，向监理人提交变更估价申请。监理人应在收到承包人提</w:t>
      </w:r>
      <w:r>
        <w:rPr>
          <w:spacing w:val="16"/>
          <w:sz w:val="21"/>
          <w:szCs w:val="21"/>
        </w:rPr>
        <w:t xml:space="preserve"> </w:t>
      </w:r>
      <w:r>
        <w:rPr>
          <w:spacing w:val="4"/>
          <w:sz w:val="21"/>
          <w:szCs w:val="21"/>
        </w:rPr>
        <w:t xml:space="preserve">交的变更估价申请后7天内审查完毕并报送发包人，监理人对变更估价申请有异议，通知承包人 </w:t>
      </w:r>
      <w:r>
        <w:rPr>
          <w:spacing w:val="3"/>
          <w:sz w:val="21"/>
          <w:szCs w:val="21"/>
        </w:rPr>
        <w:t>修改后重新提交。发包人应在承包人提交变更估价申请后14天内审</w:t>
      </w:r>
      <w:r>
        <w:rPr>
          <w:spacing w:val="2"/>
          <w:sz w:val="21"/>
          <w:szCs w:val="21"/>
        </w:rPr>
        <w:t>批完毕。发包人逾期未完成审</w:t>
      </w:r>
      <w:r>
        <w:rPr>
          <w:sz w:val="21"/>
          <w:szCs w:val="21"/>
        </w:rPr>
        <w:t xml:space="preserve"> </w:t>
      </w:r>
      <w:r>
        <w:rPr>
          <w:spacing w:val="-2"/>
          <w:sz w:val="21"/>
          <w:szCs w:val="21"/>
        </w:rPr>
        <w:t>批或未提出异议的，视为认可承包人提交的变更估价申请。</w:t>
      </w:r>
    </w:p>
    <w:p w14:paraId="7CD1DD43">
      <w:pPr>
        <w:pStyle w:val="2"/>
        <w:spacing w:before="26" w:line="218" w:lineRule="auto"/>
        <w:ind w:left="409"/>
        <w:rPr>
          <w:sz w:val="21"/>
          <w:szCs w:val="21"/>
        </w:rPr>
      </w:pPr>
      <w:r>
        <w:rPr>
          <w:spacing w:val="-2"/>
          <w:sz w:val="21"/>
          <w:szCs w:val="21"/>
        </w:rPr>
        <w:t>因变更引起的价格调整应计入最近一期的进度款中支付。</w:t>
      </w:r>
    </w:p>
    <w:p w14:paraId="30CFABD9">
      <w:pPr>
        <w:spacing w:before="131" w:line="222" w:lineRule="auto"/>
        <w:ind w:left="3"/>
        <w:rPr>
          <w:rFonts w:ascii="黑体" w:hAnsi="黑体" w:eastAsia="黑体" w:cs="黑体"/>
          <w:sz w:val="25"/>
          <w:szCs w:val="25"/>
        </w:rPr>
      </w:pPr>
      <w:r>
        <w:rPr>
          <w:rFonts w:ascii="黑体" w:hAnsi="黑体" w:eastAsia="黑体" w:cs="黑体"/>
          <w:b/>
          <w:bCs/>
          <w:spacing w:val="-7"/>
          <w:sz w:val="25"/>
          <w:szCs w:val="25"/>
        </w:rPr>
        <w:t>10.5承包人的合理化建议</w:t>
      </w:r>
    </w:p>
    <w:p w14:paraId="25036C2A">
      <w:pPr>
        <w:pStyle w:val="2"/>
        <w:spacing w:before="132" w:line="352" w:lineRule="auto"/>
        <w:ind w:right="93" w:firstLine="409"/>
        <w:rPr>
          <w:sz w:val="21"/>
          <w:szCs w:val="21"/>
        </w:rPr>
      </w:pPr>
      <w:r>
        <w:rPr>
          <w:spacing w:val="2"/>
          <w:sz w:val="21"/>
          <w:szCs w:val="21"/>
        </w:rPr>
        <w:t>承包人提出合理化建议的，应向监理人提交合理化建议说明，说明建议的内容和理由，以及</w:t>
      </w:r>
      <w:r>
        <w:rPr>
          <w:sz w:val="21"/>
          <w:szCs w:val="21"/>
        </w:rPr>
        <w:t xml:space="preserve"> </w:t>
      </w:r>
      <w:r>
        <w:rPr>
          <w:spacing w:val="-3"/>
          <w:sz w:val="21"/>
          <w:szCs w:val="21"/>
        </w:rPr>
        <w:t>实施该建议对合同价格和工期的影响。</w:t>
      </w:r>
    </w:p>
    <w:p w14:paraId="4C34A008">
      <w:pPr>
        <w:pStyle w:val="2"/>
        <w:spacing w:before="3" w:line="349" w:lineRule="auto"/>
        <w:ind w:right="88" w:firstLine="409"/>
        <w:jc w:val="both"/>
        <w:rPr>
          <w:sz w:val="21"/>
          <w:szCs w:val="21"/>
        </w:rPr>
      </w:pPr>
      <w:r>
        <w:rPr>
          <w:spacing w:val="5"/>
          <w:sz w:val="21"/>
          <w:szCs w:val="21"/>
        </w:rPr>
        <w:t>除专用合同条款另有约定外，监理人应在收到承包</w:t>
      </w:r>
      <w:r>
        <w:rPr>
          <w:spacing w:val="4"/>
          <w:sz w:val="21"/>
          <w:szCs w:val="21"/>
        </w:rPr>
        <w:t>人提交的合理化建议后7天内审查完毕并</w:t>
      </w:r>
      <w:r>
        <w:rPr>
          <w:sz w:val="21"/>
          <w:szCs w:val="21"/>
        </w:rPr>
        <w:t xml:space="preserve"> </w:t>
      </w:r>
      <w:r>
        <w:rPr>
          <w:spacing w:val="2"/>
          <w:sz w:val="21"/>
          <w:szCs w:val="21"/>
        </w:rPr>
        <w:t>报送发包人，发现其中存在技术上的缺陷，应通知承包人</w:t>
      </w:r>
      <w:r>
        <w:rPr>
          <w:spacing w:val="1"/>
          <w:sz w:val="21"/>
          <w:szCs w:val="21"/>
        </w:rPr>
        <w:t>修改。发包人应在收到监理人报送的合</w:t>
      </w:r>
      <w:r>
        <w:rPr>
          <w:sz w:val="21"/>
          <w:szCs w:val="21"/>
        </w:rPr>
        <w:t xml:space="preserve"> </w:t>
      </w:r>
      <w:r>
        <w:rPr>
          <w:spacing w:val="4"/>
          <w:sz w:val="21"/>
          <w:szCs w:val="21"/>
        </w:rPr>
        <w:t>理化建议后7天内审批完毕。合理化建议经发包人批准的，监理人应及时发出变更指示，由此引</w:t>
      </w:r>
      <w:r>
        <w:rPr>
          <w:spacing w:val="12"/>
          <w:sz w:val="21"/>
          <w:szCs w:val="21"/>
        </w:rPr>
        <w:t xml:space="preserve"> </w:t>
      </w:r>
      <w:r>
        <w:rPr>
          <w:spacing w:val="2"/>
          <w:sz w:val="21"/>
          <w:szCs w:val="21"/>
        </w:rPr>
        <w:t>起的合同价格调整按照第10.4款〔变更估价〕约</w:t>
      </w:r>
      <w:r>
        <w:rPr>
          <w:spacing w:val="1"/>
          <w:sz w:val="21"/>
          <w:szCs w:val="21"/>
        </w:rPr>
        <w:t>定执行。发包人不同意变更的，监理人应书面通</w:t>
      </w:r>
      <w:r>
        <w:rPr>
          <w:sz w:val="21"/>
          <w:szCs w:val="21"/>
        </w:rPr>
        <w:t xml:space="preserve"> </w:t>
      </w:r>
      <w:r>
        <w:rPr>
          <w:spacing w:val="-7"/>
          <w:sz w:val="21"/>
          <w:szCs w:val="21"/>
        </w:rPr>
        <w:t>知承包人。</w:t>
      </w:r>
    </w:p>
    <w:p w14:paraId="1C1C16B8">
      <w:pPr>
        <w:pStyle w:val="2"/>
        <w:spacing w:before="1" w:line="333" w:lineRule="auto"/>
        <w:ind w:right="93" w:firstLine="409"/>
        <w:rPr>
          <w:sz w:val="21"/>
          <w:szCs w:val="21"/>
        </w:rPr>
      </w:pPr>
      <w:r>
        <w:rPr>
          <w:spacing w:val="2"/>
          <w:sz w:val="21"/>
          <w:szCs w:val="21"/>
        </w:rPr>
        <w:t>合理化建议降低了合同价格或者提高了工程经济效益的，发包人可对承包人给予奖励，奖励</w:t>
      </w:r>
      <w:r>
        <w:rPr>
          <w:sz w:val="21"/>
          <w:szCs w:val="21"/>
        </w:rPr>
        <w:t xml:space="preserve"> </w:t>
      </w:r>
      <w:r>
        <w:rPr>
          <w:spacing w:val="-2"/>
          <w:sz w:val="21"/>
          <w:szCs w:val="21"/>
        </w:rPr>
        <w:t>的方法和金额在专用合同条款中约定。</w:t>
      </w:r>
    </w:p>
    <w:p w14:paraId="065B2907">
      <w:pPr>
        <w:spacing w:before="1" w:line="221" w:lineRule="auto"/>
        <w:ind w:left="3"/>
        <w:rPr>
          <w:rFonts w:ascii="黑体" w:hAnsi="黑体" w:eastAsia="黑体" w:cs="黑体"/>
          <w:sz w:val="25"/>
          <w:szCs w:val="25"/>
        </w:rPr>
      </w:pPr>
      <w:r>
        <w:rPr>
          <w:rFonts w:ascii="黑体" w:hAnsi="黑体" w:eastAsia="黑体" w:cs="黑体"/>
          <w:b/>
          <w:bCs/>
          <w:spacing w:val="-6"/>
          <w:sz w:val="25"/>
          <w:szCs w:val="25"/>
        </w:rPr>
        <w:t>10.6变更引起的工期调整</w:t>
      </w:r>
    </w:p>
    <w:p w14:paraId="495303F4">
      <w:pPr>
        <w:pStyle w:val="2"/>
        <w:spacing w:before="164" w:line="328" w:lineRule="auto"/>
        <w:ind w:right="94" w:firstLine="409"/>
        <w:rPr>
          <w:sz w:val="21"/>
          <w:szCs w:val="21"/>
        </w:rPr>
      </w:pPr>
      <w:r>
        <w:rPr>
          <w:spacing w:val="-1"/>
          <w:sz w:val="21"/>
          <w:szCs w:val="21"/>
        </w:rPr>
        <w:t>因变更引起工期变化的，合同当事人均可要求调整合同工期，由合同当事人按照第4.4款〔商</w:t>
      </w:r>
      <w:r>
        <w:rPr>
          <w:spacing w:val="16"/>
          <w:sz w:val="21"/>
          <w:szCs w:val="21"/>
        </w:rPr>
        <w:t xml:space="preserve"> </w:t>
      </w:r>
      <w:r>
        <w:rPr>
          <w:spacing w:val="3"/>
          <w:sz w:val="21"/>
          <w:szCs w:val="21"/>
        </w:rPr>
        <w:t>定或确定)并参考工程所在地的工期定额标准确定增减工期天数。</w:t>
      </w:r>
    </w:p>
    <w:p w14:paraId="7CBCC4A1">
      <w:pPr>
        <w:spacing w:before="1" w:line="221" w:lineRule="auto"/>
        <w:ind w:left="3"/>
        <w:rPr>
          <w:rFonts w:ascii="黑体" w:hAnsi="黑体" w:eastAsia="黑体" w:cs="黑体"/>
          <w:sz w:val="25"/>
          <w:szCs w:val="25"/>
        </w:rPr>
      </w:pPr>
      <w:r>
        <w:rPr>
          <w:rFonts w:ascii="黑体" w:hAnsi="黑体" w:eastAsia="黑体" w:cs="黑体"/>
          <w:b/>
          <w:bCs/>
          <w:spacing w:val="-6"/>
          <w:sz w:val="25"/>
          <w:szCs w:val="25"/>
        </w:rPr>
        <w:t>10.7暂估价</w:t>
      </w:r>
    </w:p>
    <w:p w14:paraId="71F0F318">
      <w:pPr>
        <w:pStyle w:val="2"/>
        <w:spacing w:before="131" w:line="218" w:lineRule="auto"/>
        <w:ind w:left="409"/>
        <w:rPr>
          <w:sz w:val="21"/>
          <w:szCs w:val="21"/>
        </w:rPr>
      </w:pPr>
      <w:r>
        <w:rPr>
          <w:sz w:val="21"/>
          <w:szCs w:val="21"/>
        </w:rPr>
        <w:t>暂估价专业分包工程、服务、材料和工程设备的明细由合同当事人在专用合</w:t>
      </w:r>
      <w:r>
        <w:rPr>
          <w:spacing w:val="-1"/>
          <w:sz w:val="21"/>
          <w:szCs w:val="21"/>
        </w:rPr>
        <w:t>同条款中约定。</w:t>
      </w:r>
    </w:p>
    <w:p w14:paraId="305780DE">
      <w:pPr>
        <w:pStyle w:val="2"/>
        <w:spacing w:before="162" w:line="218" w:lineRule="auto"/>
        <w:ind w:left="409"/>
        <w:rPr>
          <w:sz w:val="21"/>
          <w:szCs w:val="21"/>
        </w:rPr>
      </w:pPr>
      <w:r>
        <w:rPr>
          <w:sz w:val="21"/>
          <w:szCs w:val="21"/>
        </w:rPr>
        <w:t>10.7.1依法必须招标的暂估价项目</w:t>
      </w:r>
    </w:p>
    <w:p w14:paraId="57777B0C">
      <w:pPr>
        <w:pStyle w:val="2"/>
        <w:spacing w:before="161" w:line="338" w:lineRule="auto"/>
        <w:ind w:right="85" w:firstLine="409"/>
        <w:rPr>
          <w:sz w:val="21"/>
          <w:szCs w:val="21"/>
        </w:rPr>
      </w:pPr>
      <w:r>
        <w:rPr>
          <w:spacing w:val="5"/>
          <w:sz w:val="21"/>
          <w:szCs w:val="21"/>
        </w:rPr>
        <w:t>对于依法必须招标的暂估价项目，采取以下第1种方式确定。合同当事人</w:t>
      </w:r>
      <w:r>
        <w:rPr>
          <w:spacing w:val="4"/>
          <w:sz w:val="21"/>
          <w:szCs w:val="21"/>
        </w:rPr>
        <w:t>也可以在专用合同</w:t>
      </w:r>
      <w:r>
        <w:rPr>
          <w:sz w:val="21"/>
          <w:szCs w:val="21"/>
        </w:rPr>
        <w:t xml:space="preserve"> </w:t>
      </w:r>
      <w:r>
        <w:rPr>
          <w:spacing w:val="-4"/>
          <w:sz w:val="21"/>
          <w:szCs w:val="21"/>
        </w:rPr>
        <w:t>条款中选择其他招标方式。</w:t>
      </w:r>
    </w:p>
    <w:p w14:paraId="0DC06C27">
      <w:pPr>
        <w:pStyle w:val="2"/>
        <w:spacing w:before="22" w:line="218" w:lineRule="auto"/>
        <w:ind w:left="409"/>
        <w:rPr>
          <w:sz w:val="21"/>
          <w:szCs w:val="21"/>
        </w:rPr>
      </w:pPr>
      <w:r>
        <w:rPr>
          <w:spacing w:val="5"/>
          <w:sz w:val="21"/>
          <w:szCs w:val="21"/>
        </w:rPr>
        <w:t>第1种方式：对于依法必须招标的暂估价项目，由承包人招标，对该暂估价项目的确认和批</w:t>
      </w:r>
    </w:p>
    <w:p w14:paraId="14D2CA37">
      <w:pPr>
        <w:spacing w:line="218" w:lineRule="auto"/>
        <w:rPr>
          <w:sz w:val="21"/>
          <w:szCs w:val="21"/>
        </w:rPr>
        <w:sectPr>
          <w:footerReference r:id="rId218" w:type="default"/>
          <w:pgSz w:w="11910" w:h="16840"/>
          <w:pgMar w:top="400" w:right="1465" w:bottom="1024" w:left="1460" w:header="0" w:footer="889" w:gutter="0"/>
          <w:cols w:space="720" w:num="1"/>
        </w:sectPr>
      </w:pPr>
    </w:p>
    <w:p w14:paraId="04794EC7">
      <w:pPr>
        <w:spacing w:line="270" w:lineRule="auto"/>
        <w:rPr>
          <w:rFonts w:ascii="Arial"/>
          <w:sz w:val="21"/>
        </w:rPr>
      </w:pPr>
    </w:p>
    <w:p w14:paraId="13040D04">
      <w:pPr>
        <w:spacing w:line="270" w:lineRule="auto"/>
        <w:rPr>
          <w:rFonts w:ascii="Arial"/>
          <w:sz w:val="21"/>
        </w:rPr>
      </w:pPr>
    </w:p>
    <w:p w14:paraId="671536ED">
      <w:pPr>
        <w:spacing w:line="270" w:lineRule="auto"/>
        <w:rPr>
          <w:rFonts w:ascii="Arial"/>
          <w:sz w:val="21"/>
        </w:rPr>
      </w:pPr>
    </w:p>
    <w:p w14:paraId="73E40D45">
      <w:pPr>
        <w:spacing w:line="271" w:lineRule="auto"/>
        <w:rPr>
          <w:rFonts w:ascii="Arial"/>
          <w:sz w:val="21"/>
        </w:rPr>
      </w:pPr>
    </w:p>
    <w:p w14:paraId="27CD02DE">
      <w:pPr>
        <w:spacing w:line="271" w:lineRule="auto"/>
        <w:rPr>
          <w:rFonts w:ascii="Arial"/>
          <w:sz w:val="21"/>
        </w:rPr>
      </w:pPr>
    </w:p>
    <w:p w14:paraId="7D9A95BF">
      <w:pPr>
        <w:pStyle w:val="2"/>
        <w:spacing w:before="68" w:line="219" w:lineRule="auto"/>
        <w:rPr>
          <w:sz w:val="21"/>
          <w:szCs w:val="21"/>
        </w:rPr>
      </w:pPr>
      <w:r>
        <w:rPr>
          <w:spacing w:val="-6"/>
          <w:sz w:val="21"/>
          <w:szCs w:val="21"/>
        </w:rPr>
        <w:t>准按照以下约定执行：</w:t>
      </w:r>
    </w:p>
    <w:p w14:paraId="7674F2A1">
      <w:pPr>
        <w:pStyle w:val="2"/>
        <w:spacing w:before="159" w:line="302" w:lineRule="auto"/>
        <w:ind w:right="51" w:firstLine="550"/>
        <w:rPr>
          <w:sz w:val="21"/>
          <w:szCs w:val="21"/>
        </w:rPr>
      </w:pPr>
      <w:r>
        <w:rPr>
          <w:spacing w:val="7"/>
          <w:sz w:val="21"/>
          <w:szCs w:val="21"/>
        </w:rPr>
        <w:t>(1)承包人应当根据施工进度计划，在招标工作启动前14</w:t>
      </w:r>
      <w:r>
        <w:rPr>
          <w:spacing w:val="6"/>
          <w:sz w:val="21"/>
          <w:szCs w:val="21"/>
        </w:rPr>
        <w:t>天将招标方案通过监理人报送发</w:t>
      </w:r>
      <w:r>
        <w:rPr>
          <w:sz w:val="21"/>
          <w:szCs w:val="21"/>
        </w:rPr>
        <w:t xml:space="preserve"> </w:t>
      </w:r>
      <w:r>
        <w:rPr>
          <w:spacing w:val="5"/>
          <w:sz w:val="21"/>
          <w:szCs w:val="21"/>
        </w:rPr>
        <w:t>包人审查，发包人应当在收到承包人报送的招标方案后7天内批准或提出修改意见</w:t>
      </w:r>
      <w:r>
        <w:rPr>
          <w:spacing w:val="4"/>
          <w:sz w:val="21"/>
          <w:szCs w:val="21"/>
        </w:rPr>
        <w:t>。承包人应当</w:t>
      </w:r>
      <w:r>
        <w:rPr>
          <w:sz w:val="21"/>
          <w:szCs w:val="21"/>
        </w:rPr>
        <w:t xml:space="preserve"> </w:t>
      </w:r>
      <w:r>
        <w:rPr>
          <w:spacing w:val="-3"/>
          <w:sz w:val="21"/>
          <w:szCs w:val="21"/>
        </w:rPr>
        <w:t>按照经过发包人批准的招标方案开展招标工作；</w:t>
      </w:r>
    </w:p>
    <w:p w14:paraId="39D7E20B">
      <w:pPr>
        <w:pStyle w:val="2"/>
        <w:spacing w:before="149" w:line="307" w:lineRule="auto"/>
        <w:ind w:right="62" w:firstLine="550"/>
        <w:rPr>
          <w:sz w:val="21"/>
          <w:szCs w:val="21"/>
        </w:rPr>
      </w:pPr>
      <w:r>
        <w:rPr>
          <w:spacing w:val="7"/>
          <w:sz w:val="21"/>
          <w:szCs w:val="21"/>
        </w:rPr>
        <w:t>(2)承包人应当根据施工进度计划，提前14天将招标文件</w:t>
      </w:r>
      <w:r>
        <w:rPr>
          <w:spacing w:val="6"/>
          <w:sz w:val="21"/>
          <w:szCs w:val="21"/>
        </w:rPr>
        <w:t>通过监理人报送发包人审批，发</w:t>
      </w:r>
      <w:r>
        <w:rPr>
          <w:sz w:val="21"/>
          <w:szCs w:val="21"/>
        </w:rPr>
        <w:t xml:space="preserve"> </w:t>
      </w:r>
      <w:r>
        <w:rPr>
          <w:spacing w:val="5"/>
          <w:sz w:val="21"/>
          <w:szCs w:val="21"/>
        </w:rPr>
        <w:t>包人应当在收到承包人报送的相关文件后7天内完成审</w:t>
      </w:r>
      <w:r>
        <w:rPr>
          <w:spacing w:val="4"/>
          <w:sz w:val="21"/>
          <w:szCs w:val="21"/>
        </w:rPr>
        <w:t>批或提出修改意见；发包人有权确定招标</w:t>
      </w:r>
      <w:r>
        <w:rPr>
          <w:sz w:val="21"/>
          <w:szCs w:val="21"/>
        </w:rPr>
        <w:t xml:space="preserve"> </w:t>
      </w:r>
      <w:r>
        <w:rPr>
          <w:spacing w:val="-4"/>
          <w:sz w:val="21"/>
          <w:szCs w:val="21"/>
        </w:rPr>
        <w:t>控制价并按照法律规定参加评标；</w:t>
      </w:r>
    </w:p>
    <w:p w14:paraId="46C139CF">
      <w:pPr>
        <w:pStyle w:val="2"/>
        <w:spacing w:before="172" w:line="301" w:lineRule="auto"/>
        <w:ind w:right="37" w:firstLine="550"/>
        <w:rPr>
          <w:sz w:val="21"/>
          <w:szCs w:val="21"/>
        </w:rPr>
      </w:pPr>
      <w:r>
        <w:rPr>
          <w:spacing w:val="5"/>
          <w:sz w:val="21"/>
          <w:szCs w:val="21"/>
        </w:rPr>
        <w:t>(3)承包人与供应商、分包人在签订暂估价合同前，应当提前7</w:t>
      </w:r>
      <w:r>
        <w:rPr>
          <w:spacing w:val="4"/>
          <w:sz w:val="21"/>
          <w:szCs w:val="21"/>
        </w:rPr>
        <w:t>天将确定的中标候选供应商</w:t>
      </w:r>
      <w:r>
        <w:rPr>
          <w:sz w:val="21"/>
          <w:szCs w:val="21"/>
        </w:rPr>
        <w:t xml:space="preserve"> </w:t>
      </w:r>
      <w:r>
        <w:rPr>
          <w:spacing w:val="4"/>
          <w:sz w:val="21"/>
          <w:szCs w:val="21"/>
        </w:rPr>
        <w:t>或中标候选分包人的资料报送发包人，发包人应在收</w:t>
      </w:r>
      <w:r>
        <w:rPr>
          <w:spacing w:val="3"/>
          <w:sz w:val="21"/>
          <w:szCs w:val="21"/>
        </w:rPr>
        <w:t>到资料后3天内与承包人共同确定中标人；</w:t>
      </w:r>
      <w:r>
        <w:rPr>
          <w:sz w:val="21"/>
          <w:szCs w:val="21"/>
        </w:rPr>
        <w:t xml:space="preserve"> </w:t>
      </w:r>
      <w:r>
        <w:rPr>
          <w:spacing w:val="3"/>
          <w:sz w:val="21"/>
          <w:szCs w:val="21"/>
        </w:rPr>
        <w:t>承包人应当在签订合同后7天内，将暂估价合同副本报送发包人留存。</w:t>
      </w:r>
    </w:p>
    <w:p w14:paraId="2EE9789C">
      <w:pPr>
        <w:pStyle w:val="2"/>
        <w:spacing w:before="174" w:line="349" w:lineRule="auto"/>
        <w:ind w:right="63" w:firstLine="429"/>
        <w:jc w:val="both"/>
        <w:rPr>
          <w:sz w:val="21"/>
          <w:szCs w:val="21"/>
        </w:rPr>
      </w:pPr>
      <w:r>
        <w:rPr>
          <w:spacing w:val="5"/>
          <w:sz w:val="21"/>
          <w:szCs w:val="21"/>
        </w:rPr>
        <w:t>第2种方式：对于依法必须招标的暂估价项目，由</w:t>
      </w:r>
      <w:r>
        <w:rPr>
          <w:spacing w:val="4"/>
          <w:sz w:val="21"/>
          <w:szCs w:val="21"/>
        </w:rPr>
        <w:t>发包人和承包人共同招标确定暂估价供应</w:t>
      </w:r>
      <w:r>
        <w:rPr>
          <w:sz w:val="21"/>
          <w:szCs w:val="21"/>
        </w:rPr>
        <w:t xml:space="preserve"> </w:t>
      </w:r>
      <w:r>
        <w:rPr>
          <w:spacing w:val="2"/>
          <w:sz w:val="21"/>
          <w:szCs w:val="21"/>
        </w:rPr>
        <w:t>商或分包人的，承包人应按照施工进度计划，在招标工作</w:t>
      </w:r>
      <w:r>
        <w:rPr>
          <w:spacing w:val="1"/>
          <w:sz w:val="21"/>
          <w:szCs w:val="21"/>
        </w:rPr>
        <w:t>启动前14天通知发包人，并提交暂估价</w:t>
      </w:r>
      <w:r>
        <w:rPr>
          <w:sz w:val="21"/>
          <w:szCs w:val="21"/>
        </w:rPr>
        <w:t xml:space="preserve"> </w:t>
      </w:r>
      <w:r>
        <w:rPr>
          <w:spacing w:val="5"/>
          <w:sz w:val="21"/>
          <w:szCs w:val="21"/>
        </w:rPr>
        <w:t>招标方案和工作分工。发包人应在收到后7天内确认。</w:t>
      </w:r>
      <w:r>
        <w:rPr>
          <w:spacing w:val="4"/>
          <w:sz w:val="21"/>
          <w:szCs w:val="21"/>
        </w:rPr>
        <w:t>确定中标人后，由发包人、承包人与中标</w:t>
      </w:r>
      <w:r>
        <w:rPr>
          <w:sz w:val="21"/>
          <w:szCs w:val="21"/>
        </w:rPr>
        <w:t xml:space="preserve"> </w:t>
      </w:r>
      <w:r>
        <w:rPr>
          <w:spacing w:val="-4"/>
          <w:sz w:val="21"/>
          <w:szCs w:val="21"/>
        </w:rPr>
        <w:t>人共同签订暂估价合同。</w:t>
      </w:r>
    </w:p>
    <w:p w14:paraId="2A565D63">
      <w:pPr>
        <w:pStyle w:val="2"/>
        <w:spacing w:before="1" w:line="217" w:lineRule="auto"/>
        <w:ind w:left="429"/>
        <w:rPr>
          <w:sz w:val="21"/>
          <w:szCs w:val="21"/>
        </w:rPr>
      </w:pPr>
      <w:r>
        <w:rPr>
          <w:spacing w:val="-2"/>
          <w:sz w:val="21"/>
          <w:szCs w:val="21"/>
        </w:rPr>
        <w:t>10.7.2不属于依法必须招标的暂估价项目</w:t>
      </w:r>
    </w:p>
    <w:p w14:paraId="3A78F942">
      <w:pPr>
        <w:pStyle w:val="2"/>
        <w:spacing w:before="143" w:line="398" w:lineRule="auto"/>
        <w:ind w:right="63" w:firstLine="429"/>
        <w:rPr>
          <w:sz w:val="17"/>
          <w:szCs w:val="17"/>
        </w:rPr>
      </w:pPr>
      <w:r>
        <w:rPr>
          <w:spacing w:val="5"/>
          <w:sz w:val="21"/>
          <w:szCs w:val="21"/>
        </w:rPr>
        <w:t>除专用合同条款另有约定外，对于不属于依法必须</w:t>
      </w:r>
      <w:r>
        <w:rPr>
          <w:spacing w:val="4"/>
          <w:sz w:val="21"/>
          <w:szCs w:val="21"/>
        </w:rPr>
        <w:t>招标的暂估价项目，采取以下第1种方式</w:t>
      </w:r>
      <w:r>
        <w:rPr>
          <w:sz w:val="21"/>
          <w:szCs w:val="21"/>
        </w:rPr>
        <w:t xml:space="preserve"> </w:t>
      </w:r>
      <w:r>
        <w:rPr>
          <w:spacing w:val="-6"/>
          <w:sz w:val="17"/>
          <w:szCs w:val="17"/>
        </w:rPr>
        <w:t>确</w:t>
      </w:r>
      <w:r>
        <w:rPr>
          <w:spacing w:val="-19"/>
          <w:sz w:val="17"/>
          <w:szCs w:val="17"/>
        </w:rPr>
        <w:t xml:space="preserve"> </w:t>
      </w:r>
      <w:r>
        <w:rPr>
          <w:spacing w:val="-6"/>
          <w:sz w:val="17"/>
          <w:szCs w:val="17"/>
        </w:rPr>
        <w:t>定</w:t>
      </w:r>
      <w:r>
        <w:rPr>
          <w:spacing w:val="-30"/>
          <w:sz w:val="17"/>
          <w:szCs w:val="17"/>
        </w:rPr>
        <w:t xml:space="preserve"> </w:t>
      </w:r>
      <w:r>
        <w:rPr>
          <w:spacing w:val="-6"/>
          <w:sz w:val="17"/>
          <w:szCs w:val="17"/>
        </w:rPr>
        <w:t>：</w:t>
      </w:r>
    </w:p>
    <w:p w14:paraId="4EDA4C17">
      <w:pPr>
        <w:pStyle w:val="2"/>
        <w:spacing w:before="1" w:line="217" w:lineRule="auto"/>
        <w:ind w:left="429"/>
        <w:rPr>
          <w:sz w:val="21"/>
          <w:szCs w:val="21"/>
        </w:rPr>
      </w:pPr>
      <w:r>
        <w:rPr>
          <w:spacing w:val="2"/>
          <w:sz w:val="21"/>
          <w:szCs w:val="21"/>
        </w:rPr>
        <w:t>第1种方式：对于不属于依法必须招标的暂估价项目，按本项约定确认和批</w:t>
      </w:r>
      <w:r>
        <w:rPr>
          <w:spacing w:val="1"/>
          <w:sz w:val="21"/>
          <w:szCs w:val="21"/>
        </w:rPr>
        <w:t>准：</w:t>
      </w:r>
    </w:p>
    <w:p w14:paraId="7A06E09D">
      <w:pPr>
        <w:pStyle w:val="2"/>
        <w:spacing w:before="133" w:line="313" w:lineRule="auto"/>
        <w:ind w:firstLine="550"/>
        <w:rPr>
          <w:sz w:val="21"/>
          <w:szCs w:val="21"/>
        </w:rPr>
      </w:pPr>
      <w:r>
        <w:rPr>
          <w:spacing w:val="7"/>
          <w:sz w:val="21"/>
          <w:szCs w:val="21"/>
        </w:rPr>
        <w:t>(1)承包人应根据施工进度计划，在签订暂估价项目的</w:t>
      </w:r>
      <w:r>
        <w:rPr>
          <w:spacing w:val="6"/>
          <w:sz w:val="21"/>
          <w:szCs w:val="21"/>
        </w:rPr>
        <w:t>采购合同、分包合同前28天向监理</w:t>
      </w:r>
      <w:r>
        <w:rPr>
          <w:sz w:val="21"/>
          <w:szCs w:val="21"/>
        </w:rPr>
        <w:t xml:space="preserve"> </w:t>
      </w:r>
      <w:r>
        <w:rPr>
          <w:spacing w:val="5"/>
          <w:sz w:val="21"/>
          <w:szCs w:val="21"/>
        </w:rPr>
        <w:t>人提出书面申请。监理人应当在收到申请后3天内报送发包人，发包人应当在收到申请后1</w:t>
      </w:r>
      <w:r>
        <w:rPr>
          <w:spacing w:val="4"/>
          <w:sz w:val="21"/>
          <w:szCs w:val="21"/>
        </w:rPr>
        <w:t>4天内</w:t>
      </w:r>
      <w:r>
        <w:rPr>
          <w:sz w:val="21"/>
          <w:szCs w:val="21"/>
        </w:rPr>
        <w:t xml:space="preserve"> </w:t>
      </w:r>
      <w:r>
        <w:rPr>
          <w:spacing w:val="-1"/>
          <w:sz w:val="21"/>
          <w:szCs w:val="21"/>
        </w:rPr>
        <w:t>给予批准或提出修改意见，发包人逾期未予批准或提出修改</w:t>
      </w:r>
      <w:r>
        <w:rPr>
          <w:spacing w:val="-2"/>
          <w:sz w:val="21"/>
          <w:szCs w:val="21"/>
        </w:rPr>
        <w:t>意见的，视为该书面申请已获得同意；</w:t>
      </w:r>
    </w:p>
    <w:p w14:paraId="3F33E72C">
      <w:pPr>
        <w:pStyle w:val="2"/>
        <w:spacing w:before="132" w:line="293" w:lineRule="auto"/>
        <w:ind w:right="52" w:firstLine="550"/>
        <w:rPr>
          <w:sz w:val="21"/>
          <w:szCs w:val="21"/>
        </w:rPr>
      </w:pPr>
      <w:r>
        <w:rPr>
          <w:spacing w:val="2"/>
          <w:sz w:val="21"/>
          <w:szCs w:val="21"/>
        </w:rPr>
        <w:t>(2)发包人认为承包人确定的供应商、分包人无法满足工程质量或合同</w:t>
      </w:r>
      <w:r>
        <w:rPr>
          <w:spacing w:val="1"/>
          <w:sz w:val="21"/>
          <w:szCs w:val="21"/>
        </w:rPr>
        <w:t>要求的，发包人可以</w:t>
      </w:r>
      <w:r>
        <w:rPr>
          <w:sz w:val="21"/>
          <w:szCs w:val="21"/>
        </w:rPr>
        <w:t xml:space="preserve"> </w:t>
      </w:r>
      <w:r>
        <w:rPr>
          <w:spacing w:val="-3"/>
          <w:sz w:val="21"/>
          <w:szCs w:val="21"/>
        </w:rPr>
        <w:t>要求承包人重新确定暂估价项目的供应商、分包人；</w:t>
      </w:r>
    </w:p>
    <w:p w14:paraId="7891B6D2">
      <w:pPr>
        <w:pStyle w:val="2"/>
        <w:spacing w:before="152" w:line="218" w:lineRule="auto"/>
        <w:ind w:left="550"/>
        <w:rPr>
          <w:sz w:val="21"/>
          <w:szCs w:val="21"/>
        </w:rPr>
      </w:pPr>
      <w:r>
        <w:rPr>
          <w:spacing w:val="6"/>
          <w:sz w:val="21"/>
          <w:szCs w:val="21"/>
        </w:rPr>
        <w:t>(3)承包人应当在签订暂估价合同后7天</w:t>
      </w:r>
      <w:r>
        <w:rPr>
          <w:spacing w:val="5"/>
          <w:sz w:val="21"/>
          <w:szCs w:val="21"/>
        </w:rPr>
        <w:t>内，将暂估价合同副本报送发包人留存。</w:t>
      </w:r>
    </w:p>
    <w:p w14:paraId="54FE3B24">
      <w:pPr>
        <w:pStyle w:val="2"/>
        <w:spacing w:before="153" w:line="344" w:lineRule="auto"/>
        <w:ind w:right="57" w:firstLine="429"/>
        <w:rPr>
          <w:sz w:val="21"/>
          <w:szCs w:val="21"/>
        </w:rPr>
      </w:pPr>
      <w:r>
        <w:rPr>
          <w:spacing w:val="7"/>
          <w:sz w:val="21"/>
          <w:szCs w:val="21"/>
        </w:rPr>
        <w:t>第2种方式：承包人按照第10.7.1项〔依法必须招标的暂估价项目〕约定</w:t>
      </w:r>
      <w:r>
        <w:rPr>
          <w:spacing w:val="6"/>
          <w:sz w:val="21"/>
          <w:szCs w:val="21"/>
        </w:rPr>
        <w:t>的第1种方式确定</w:t>
      </w:r>
      <w:r>
        <w:rPr>
          <w:sz w:val="21"/>
          <w:szCs w:val="21"/>
        </w:rPr>
        <w:t xml:space="preserve"> </w:t>
      </w:r>
      <w:r>
        <w:rPr>
          <w:spacing w:val="-7"/>
          <w:sz w:val="21"/>
          <w:szCs w:val="21"/>
        </w:rPr>
        <w:t>暂估价项目。</w:t>
      </w:r>
    </w:p>
    <w:p w14:paraId="09440DA1">
      <w:pPr>
        <w:pStyle w:val="2"/>
        <w:spacing w:before="26" w:line="218" w:lineRule="auto"/>
        <w:ind w:left="429"/>
        <w:rPr>
          <w:sz w:val="21"/>
          <w:szCs w:val="21"/>
        </w:rPr>
      </w:pPr>
      <w:r>
        <w:rPr>
          <w:spacing w:val="6"/>
          <w:sz w:val="21"/>
          <w:szCs w:val="21"/>
        </w:rPr>
        <w:t>第3种方式：承包人直接实施的暂估价项目</w:t>
      </w:r>
    </w:p>
    <w:p w14:paraId="0ACD3A2C">
      <w:pPr>
        <w:pStyle w:val="2"/>
        <w:spacing w:before="122" w:line="362" w:lineRule="auto"/>
        <w:ind w:right="36" w:firstLine="429"/>
        <w:rPr>
          <w:sz w:val="21"/>
          <w:szCs w:val="21"/>
        </w:rPr>
      </w:pPr>
      <w:r>
        <w:rPr>
          <w:spacing w:val="3"/>
          <w:sz w:val="21"/>
          <w:szCs w:val="21"/>
        </w:rPr>
        <w:t>承包人具备实施暂估价项目的资格和条件的，经发包人</w:t>
      </w:r>
      <w:r>
        <w:rPr>
          <w:spacing w:val="2"/>
          <w:sz w:val="21"/>
          <w:szCs w:val="21"/>
        </w:rPr>
        <w:t>和承包人协商一致后，可由承包人自</w:t>
      </w:r>
      <w:r>
        <w:rPr>
          <w:sz w:val="21"/>
          <w:szCs w:val="21"/>
        </w:rPr>
        <w:t xml:space="preserve"> </w:t>
      </w:r>
      <w:r>
        <w:rPr>
          <w:spacing w:val="-1"/>
          <w:sz w:val="21"/>
          <w:szCs w:val="21"/>
        </w:rPr>
        <w:t>行实施暂估价项目，合同当事人可以在专用合同条款约定具体事项。</w:t>
      </w:r>
    </w:p>
    <w:p w14:paraId="479B0EB5">
      <w:pPr>
        <w:pStyle w:val="2"/>
        <w:spacing w:before="7" w:line="345" w:lineRule="auto"/>
        <w:ind w:right="60" w:firstLine="429"/>
        <w:jc w:val="both"/>
        <w:rPr>
          <w:sz w:val="21"/>
          <w:szCs w:val="21"/>
        </w:rPr>
      </w:pPr>
      <w:r>
        <w:rPr>
          <w:spacing w:val="4"/>
          <w:sz w:val="21"/>
          <w:szCs w:val="21"/>
        </w:rPr>
        <w:t>10.7.3 因发包人原因导致暂估价合同订立和履行迟延的，由此增加的费用和(或)延误的工</w:t>
      </w:r>
      <w:r>
        <w:rPr>
          <w:spacing w:val="9"/>
          <w:sz w:val="21"/>
          <w:szCs w:val="21"/>
        </w:rPr>
        <w:t xml:space="preserve"> </w:t>
      </w:r>
      <w:r>
        <w:rPr>
          <w:spacing w:val="1"/>
          <w:sz w:val="21"/>
          <w:szCs w:val="21"/>
        </w:rPr>
        <w:t xml:space="preserve">期由发包人承担，并支付承包人合理的利润。因承包人原因导致暂估价合同订立和履行迟延的， </w:t>
      </w:r>
      <w:r>
        <w:rPr>
          <w:spacing w:val="8"/>
          <w:sz w:val="21"/>
          <w:szCs w:val="21"/>
        </w:rPr>
        <w:t>由此增加的费用和(或)延误的工期由承包人承担。</w:t>
      </w:r>
    </w:p>
    <w:p w14:paraId="2518F560">
      <w:pPr>
        <w:spacing w:line="345" w:lineRule="auto"/>
        <w:rPr>
          <w:sz w:val="21"/>
          <w:szCs w:val="21"/>
        </w:rPr>
        <w:sectPr>
          <w:footerReference r:id="rId219" w:type="default"/>
          <w:pgSz w:w="11910" w:h="16840"/>
          <w:pgMar w:top="400" w:right="1488" w:bottom="1024" w:left="1450" w:header="0" w:footer="889" w:gutter="0"/>
          <w:cols w:space="720" w:num="1"/>
        </w:sectPr>
      </w:pPr>
    </w:p>
    <w:p w14:paraId="1C08179B">
      <w:pPr>
        <w:spacing w:line="262" w:lineRule="auto"/>
        <w:rPr>
          <w:rFonts w:ascii="Arial"/>
          <w:sz w:val="21"/>
        </w:rPr>
      </w:pPr>
    </w:p>
    <w:p w14:paraId="3CD399A1">
      <w:pPr>
        <w:spacing w:line="262" w:lineRule="auto"/>
        <w:rPr>
          <w:rFonts w:ascii="Arial"/>
          <w:sz w:val="21"/>
        </w:rPr>
      </w:pPr>
    </w:p>
    <w:p w14:paraId="6B5587CD">
      <w:pPr>
        <w:spacing w:line="262" w:lineRule="auto"/>
        <w:rPr>
          <w:rFonts w:ascii="Arial"/>
          <w:sz w:val="21"/>
        </w:rPr>
      </w:pPr>
    </w:p>
    <w:p w14:paraId="5F6DD044">
      <w:pPr>
        <w:spacing w:line="263" w:lineRule="auto"/>
        <w:rPr>
          <w:rFonts w:ascii="Arial"/>
          <w:sz w:val="21"/>
        </w:rPr>
      </w:pPr>
    </w:p>
    <w:p w14:paraId="137CF4CA">
      <w:pPr>
        <w:spacing w:line="263" w:lineRule="auto"/>
        <w:rPr>
          <w:rFonts w:ascii="Arial"/>
          <w:sz w:val="21"/>
        </w:rPr>
      </w:pPr>
    </w:p>
    <w:p w14:paraId="2C17A64C">
      <w:pPr>
        <w:spacing w:before="78" w:line="222" w:lineRule="auto"/>
        <w:ind w:left="20"/>
        <w:rPr>
          <w:rFonts w:ascii="黑体" w:hAnsi="黑体" w:eastAsia="黑体" w:cs="黑体"/>
          <w:sz w:val="24"/>
          <w:szCs w:val="24"/>
        </w:rPr>
      </w:pPr>
      <w:r>
        <w:rPr>
          <w:rFonts w:ascii="黑体" w:hAnsi="黑体" w:eastAsia="黑体" w:cs="黑体"/>
          <w:spacing w:val="6"/>
          <w:sz w:val="24"/>
          <w:szCs w:val="24"/>
        </w:rPr>
        <w:t>10.8暂列金额</w:t>
      </w:r>
    </w:p>
    <w:p w14:paraId="0FF13ADA">
      <w:pPr>
        <w:pStyle w:val="2"/>
        <w:spacing w:before="151" w:line="336" w:lineRule="auto"/>
        <w:ind w:left="10" w:right="87" w:firstLine="429"/>
        <w:rPr>
          <w:sz w:val="21"/>
          <w:szCs w:val="21"/>
        </w:rPr>
      </w:pPr>
      <w:r>
        <w:rPr>
          <w:spacing w:val="2"/>
          <w:sz w:val="21"/>
          <w:szCs w:val="21"/>
        </w:rPr>
        <w:t>暂列金额应按照发包人的要求使用，发包人的要求应通过监理人发出。合同当事人可以在专</w:t>
      </w:r>
      <w:r>
        <w:rPr>
          <w:sz w:val="21"/>
          <w:szCs w:val="21"/>
        </w:rPr>
        <w:t xml:space="preserve"> </w:t>
      </w:r>
      <w:r>
        <w:rPr>
          <w:spacing w:val="-1"/>
          <w:sz w:val="21"/>
          <w:szCs w:val="21"/>
        </w:rPr>
        <w:t>用合同条款中协商确定有关事项。</w:t>
      </w:r>
    </w:p>
    <w:p w14:paraId="19DF9552">
      <w:pPr>
        <w:spacing w:line="224" w:lineRule="auto"/>
        <w:ind w:left="10"/>
        <w:rPr>
          <w:rFonts w:ascii="黑体" w:hAnsi="黑体" w:eastAsia="黑体" w:cs="黑体"/>
          <w:sz w:val="24"/>
          <w:szCs w:val="24"/>
        </w:rPr>
      </w:pPr>
      <w:r>
        <w:rPr>
          <w:rFonts w:ascii="黑体" w:hAnsi="黑体" w:eastAsia="黑体" w:cs="黑体"/>
          <w:spacing w:val="5"/>
          <w:sz w:val="24"/>
          <w:szCs w:val="24"/>
        </w:rPr>
        <w:t>10.9计日工</w:t>
      </w:r>
    </w:p>
    <w:p w14:paraId="5F82E822">
      <w:pPr>
        <w:pStyle w:val="2"/>
        <w:spacing w:before="144" w:line="349" w:lineRule="auto"/>
        <w:ind w:left="10" w:right="79" w:firstLine="439"/>
        <w:jc w:val="both"/>
        <w:rPr>
          <w:sz w:val="21"/>
          <w:szCs w:val="21"/>
        </w:rPr>
      </w:pPr>
      <w:r>
        <w:rPr>
          <w:spacing w:val="2"/>
          <w:sz w:val="21"/>
          <w:szCs w:val="21"/>
        </w:rPr>
        <w:t>需要采用计日工方式的，经发包人同意后，由监理人通知承包人</w:t>
      </w:r>
      <w:r>
        <w:rPr>
          <w:spacing w:val="1"/>
          <w:sz w:val="21"/>
          <w:szCs w:val="21"/>
        </w:rPr>
        <w:t>以计日工计价方式实施相应</w:t>
      </w:r>
      <w:r>
        <w:rPr>
          <w:sz w:val="21"/>
          <w:szCs w:val="21"/>
        </w:rPr>
        <w:t xml:space="preserve"> </w:t>
      </w:r>
      <w:r>
        <w:rPr>
          <w:spacing w:val="2"/>
          <w:sz w:val="21"/>
          <w:szCs w:val="21"/>
        </w:rPr>
        <w:t>的工作，其价款按列入已标价工程量清单或预算书中的计日工计价项目及其单价进行计算；已标</w:t>
      </w:r>
      <w:r>
        <w:rPr>
          <w:spacing w:val="13"/>
          <w:sz w:val="21"/>
          <w:szCs w:val="21"/>
        </w:rPr>
        <w:t xml:space="preserve"> </w:t>
      </w:r>
      <w:r>
        <w:rPr>
          <w:spacing w:val="2"/>
          <w:sz w:val="21"/>
          <w:szCs w:val="21"/>
        </w:rPr>
        <w:t>价工程量清单或预算书中无相应的计日工单价的，按照合理的成本与利润构成的原则，由合同当</w:t>
      </w:r>
      <w:r>
        <w:rPr>
          <w:spacing w:val="14"/>
          <w:sz w:val="21"/>
          <w:szCs w:val="21"/>
        </w:rPr>
        <w:t xml:space="preserve"> </w:t>
      </w:r>
      <w:r>
        <w:rPr>
          <w:spacing w:val="3"/>
          <w:sz w:val="21"/>
          <w:szCs w:val="21"/>
        </w:rPr>
        <w:t>事人按照第4.4款〔商定或确定〕确定计</w:t>
      </w:r>
      <w:r>
        <w:rPr>
          <w:spacing w:val="2"/>
          <w:sz w:val="21"/>
          <w:szCs w:val="21"/>
        </w:rPr>
        <w:t>日工的单价。</w:t>
      </w:r>
    </w:p>
    <w:p w14:paraId="609654A5">
      <w:pPr>
        <w:pStyle w:val="2"/>
        <w:spacing w:before="2" w:line="354" w:lineRule="auto"/>
        <w:ind w:left="30" w:right="88" w:firstLine="419"/>
        <w:rPr>
          <w:sz w:val="21"/>
          <w:szCs w:val="21"/>
        </w:rPr>
      </w:pPr>
      <w:r>
        <w:rPr>
          <w:spacing w:val="2"/>
          <w:sz w:val="21"/>
          <w:szCs w:val="21"/>
        </w:rPr>
        <w:t>采用计日工计价的任何一项工作，承包人应在该项工作实施过程中</w:t>
      </w:r>
      <w:r>
        <w:rPr>
          <w:spacing w:val="1"/>
          <w:sz w:val="21"/>
          <w:szCs w:val="21"/>
        </w:rPr>
        <w:t>，每天提交以下报表和有</w:t>
      </w:r>
      <w:r>
        <w:rPr>
          <w:sz w:val="21"/>
          <w:szCs w:val="21"/>
        </w:rPr>
        <w:t xml:space="preserve"> </w:t>
      </w:r>
      <w:r>
        <w:rPr>
          <w:spacing w:val="-5"/>
          <w:sz w:val="21"/>
          <w:szCs w:val="21"/>
        </w:rPr>
        <w:t>关凭证报送监理人审查：</w:t>
      </w:r>
    </w:p>
    <w:p w14:paraId="6A07AAD9">
      <w:pPr>
        <w:pStyle w:val="2"/>
        <w:spacing w:before="4" w:line="219" w:lineRule="auto"/>
        <w:ind w:left="529"/>
        <w:rPr>
          <w:sz w:val="21"/>
          <w:szCs w:val="21"/>
        </w:rPr>
      </w:pPr>
      <w:r>
        <w:rPr>
          <w:spacing w:val="5"/>
          <w:sz w:val="21"/>
          <w:szCs w:val="21"/>
        </w:rPr>
        <w:t>(1)工作名称、内容和数量；</w:t>
      </w:r>
    </w:p>
    <w:p w14:paraId="556685CB">
      <w:pPr>
        <w:pStyle w:val="2"/>
        <w:spacing w:before="151" w:line="219" w:lineRule="auto"/>
        <w:ind w:left="529"/>
        <w:rPr>
          <w:sz w:val="21"/>
          <w:szCs w:val="21"/>
        </w:rPr>
      </w:pPr>
      <w:r>
        <w:rPr>
          <w:spacing w:val="2"/>
          <w:sz w:val="21"/>
          <w:szCs w:val="21"/>
        </w:rPr>
        <w:t>(2)投入该工作的所有人员的姓名、专业、工种、级别和耗用工时；</w:t>
      </w:r>
    </w:p>
    <w:p w14:paraId="243921BF">
      <w:pPr>
        <w:pStyle w:val="2"/>
        <w:spacing w:before="129" w:line="219" w:lineRule="auto"/>
        <w:ind w:left="539"/>
        <w:rPr>
          <w:sz w:val="21"/>
          <w:szCs w:val="21"/>
        </w:rPr>
      </w:pPr>
      <w:r>
        <w:rPr>
          <w:spacing w:val="4"/>
          <w:sz w:val="21"/>
          <w:szCs w:val="21"/>
        </w:rPr>
        <w:t>(3)投入该工作的材料类别和数量；</w:t>
      </w:r>
    </w:p>
    <w:p w14:paraId="0A64C7E6">
      <w:pPr>
        <w:pStyle w:val="2"/>
        <w:spacing w:before="162" w:line="219" w:lineRule="auto"/>
        <w:ind w:left="539"/>
        <w:rPr>
          <w:sz w:val="21"/>
          <w:szCs w:val="21"/>
        </w:rPr>
      </w:pPr>
      <w:r>
        <w:rPr>
          <w:spacing w:val="3"/>
          <w:sz w:val="21"/>
          <w:szCs w:val="21"/>
        </w:rPr>
        <w:t>(4)投入该工作的施工设备型号、台数和耗用台时；</w:t>
      </w:r>
    </w:p>
    <w:p w14:paraId="0737222D">
      <w:pPr>
        <w:pStyle w:val="2"/>
        <w:spacing w:before="151" w:line="219" w:lineRule="auto"/>
        <w:ind w:left="550"/>
        <w:rPr>
          <w:sz w:val="21"/>
          <w:szCs w:val="21"/>
        </w:rPr>
      </w:pPr>
      <w:r>
        <w:rPr>
          <w:spacing w:val="6"/>
          <w:sz w:val="21"/>
          <w:szCs w:val="21"/>
        </w:rPr>
        <w:t>(5)其他有关资料和凭证。</w:t>
      </w:r>
    </w:p>
    <w:p w14:paraId="2B713E5A">
      <w:pPr>
        <w:pStyle w:val="2"/>
        <w:spacing w:before="150" w:line="363" w:lineRule="auto"/>
        <w:ind w:left="10" w:right="57" w:firstLine="550"/>
        <w:rPr>
          <w:sz w:val="21"/>
          <w:szCs w:val="21"/>
        </w:rPr>
      </w:pPr>
      <w:r>
        <w:rPr>
          <w:sz w:val="21"/>
          <w:szCs w:val="21"/>
        </w:rPr>
        <w:t>计日工由承包人汇总后，列入最近一期进度付款申请单，由监理人审</w:t>
      </w:r>
      <w:r>
        <w:rPr>
          <w:spacing w:val="-1"/>
          <w:sz w:val="21"/>
          <w:szCs w:val="21"/>
        </w:rPr>
        <w:t>查并经发包人批准后列</w:t>
      </w:r>
      <w:r>
        <w:rPr>
          <w:sz w:val="21"/>
          <w:szCs w:val="21"/>
        </w:rPr>
        <w:t xml:space="preserve"> </w:t>
      </w:r>
      <w:r>
        <w:rPr>
          <w:spacing w:val="-3"/>
          <w:sz w:val="21"/>
          <w:szCs w:val="21"/>
        </w:rPr>
        <w:t>入进度付款。</w:t>
      </w:r>
    </w:p>
    <w:p w14:paraId="513E909D">
      <w:pPr>
        <w:spacing w:before="94" w:line="222" w:lineRule="auto"/>
        <w:ind w:left="30"/>
        <w:rPr>
          <w:rFonts w:ascii="黑体" w:hAnsi="黑体" w:eastAsia="黑体" w:cs="黑体"/>
          <w:sz w:val="21"/>
          <w:szCs w:val="21"/>
        </w:rPr>
      </w:pPr>
      <w:r>
        <w:rPr>
          <w:rFonts w:ascii="黑体" w:hAnsi="黑体" w:eastAsia="黑体" w:cs="黑体"/>
          <w:spacing w:val="-7"/>
          <w:sz w:val="21"/>
          <w:szCs w:val="21"/>
        </w:rPr>
        <w:t>11.</w:t>
      </w:r>
      <w:r>
        <w:rPr>
          <w:rFonts w:ascii="黑体" w:hAnsi="黑体" w:eastAsia="黑体" w:cs="黑体"/>
          <w:spacing w:val="42"/>
          <w:sz w:val="21"/>
          <w:szCs w:val="21"/>
        </w:rPr>
        <w:t xml:space="preserve"> </w:t>
      </w:r>
      <w:r>
        <w:rPr>
          <w:rFonts w:ascii="黑体" w:hAnsi="黑体" w:eastAsia="黑体" w:cs="黑体"/>
          <w:spacing w:val="-7"/>
          <w:sz w:val="21"/>
          <w:szCs w:val="21"/>
        </w:rPr>
        <w:t>价</w:t>
      </w:r>
      <w:r>
        <w:rPr>
          <w:rFonts w:ascii="黑体" w:hAnsi="黑体" w:eastAsia="黑体" w:cs="黑体"/>
          <w:spacing w:val="26"/>
          <w:sz w:val="21"/>
          <w:szCs w:val="21"/>
        </w:rPr>
        <w:t xml:space="preserve"> </w:t>
      </w:r>
      <w:r>
        <w:rPr>
          <w:rFonts w:ascii="黑体" w:hAnsi="黑体" w:eastAsia="黑体" w:cs="黑体"/>
          <w:spacing w:val="-7"/>
          <w:sz w:val="21"/>
          <w:szCs w:val="21"/>
        </w:rPr>
        <w:t>格</w:t>
      </w:r>
      <w:r>
        <w:rPr>
          <w:rFonts w:ascii="黑体" w:hAnsi="黑体" w:eastAsia="黑体" w:cs="黑体"/>
          <w:spacing w:val="27"/>
          <w:sz w:val="21"/>
          <w:szCs w:val="21"/>
        </w:rPr>
        <w:t xml:space="preserve"> </w:t>
      </w:r>
      <w:r>
        <w:rPr>
          <w:rFonts w:ascii="黑体" w:hAnsi="黑体" w:eastAsia="黑体" w:cs="黑体"/>
          <w:spacing w:val="-7"/>
          <w:sz w:val="21"/>
          <w:szCs w:val="21"/>
        </w:rPr>
        <w:t>调</w:t>
      </w:r>
      <w:r>
        <w:rPr>
          <w:rFonts w:ascii="黑体" w:hAnsi="黑体" w:eastAsia="黑体" w:cs="黑体"/>
          <w:spacing w:val="24"/>
          <w:sz w:val="21"/>
          <w:szCs w:val="21"/>
        </w:rPr>
        <w:t xml:space="preserve"> </w:t>
      </w:r>
      <w:r>
        <w:rPr>
          <w:rFonts w:ascii="黑体" w:hAnsi="黑体" w:eastAsia="黑体" w:cs="黑体"/>
          <w:spacing w:val="-7"/>
          <w:sz w:val="21"/>
          <w:szCs w:val="21"/>
        </w:rPr>
        <w:t>整</w:t>
      </w:r>
    </w:p>
    <w:p w14:paraId="501C0896">
      <w:pPr>
        <w:spacing w:before="108" w:line="222" w:lineRule="auto"/>
        <w:ind w:left="20"/>
        <w:rPr>
          <w:rFonts w:ascii="黑体" w:hAnsi="黑体" w:eastAsia="黑体" w:cs="黑体"/>
          <w:sz w:val="24"/>
          <w:szCs w:val="24"/>
        </w:rPr>
      </w:pPr>
      <w:r>
        <w:rPr>
          <w:rFonts w:ascii="黑体" w:hAnsi="黑体" w:eastAsia="黑体" w:cs="黑体"/>
          <w:spacing w:val="4"/>
          <w:sz w:val="24"/>
          <w:szCs w:val="24"/>
        </w:rPr>
        <w:t>11.1市场价格波动引起的调整</w:t>
      </w:r>
    </w:p>
    <w:p w14:paraId="26954E00">
      <w:pPr>
        <w:pStyle w:val="2"/>
        <w:spacing w:before="151" w:line="344" w:lineRule="auto"/>
        <w:ind w:firstLine="449"/>
        <w:rPr>
          <w:sz w:val="21"/>
          <w:szCs w:val="21"/>
        </w:rPr>
      </w:pPr>
      <w:r>
        <w:rPr>
          <w:spacing w:val="-1"/>
          <w:sz w:val="21"/>
          <w:szCs w:val="21"/>
        </w:rPr>
        <w:t>除专用合同条款另有约定外，市场价格波动超过合同当事人约定的</w:t>
      </w:r>
      <w:r>
        <w:rPr>
          <w:spacing w:val="-2"/>
          <w:sz w:val="21"/>
          <w:szCs w:val="21"/>
        </w:rPr>
        <w:t>范围，合同价格应当调整。</w:t>
      </w:r>
      <w:r>
        <w:rPr>
          <w:sz w:val="21"/>
          <w:szCs w:val="21"/>
        </w:rPr>
        <w:t xml:space="preserve"> 合同当事人可以在专用合同条款中约定选择以下</w:t>
      </w:r>
      <w:r>
        <w:rPr>
          <w:spacing w:val="-1"/>
          <w:sz w:val="21"/>
          <w:szCs w:val="21"/>
        </w:rPr>
        <w:t>一种方式对合同价格进行调整：</w:t>
      </w:r>
    </w:p>
    <w:p w14:paraId="0FC840B9">
      <w:pPr>
        <w:pStyle w:val="2"/>
        <w:spacing w:before="7" w:line="218" w:lineRule="auto"/>
        <w:ind w:left="439"/>
        <w:rPr>
          <w:sz w:val="21"/>
          <w:szCs w:val="21"/>
        </w:rPr>
      </w:pPr>
      <w:r>
        <w:rPr>
          <w:spacing w:val="4"/>
          <w:sz w:val="21"/>
          <w:szCs w:val="21"/>
        </w:rPr>
        <w:t>第1种方式：采用价格指数进行价格调整。</w:t>
      </w:r>
    </w:p>
    <w:p w14:paraId="5CCB0DEC">
      <w:pPr>
        <w:pStyle w:val="2"/>
        <w:spacing w:before="152" w:line="218" w:lineRule="auto"/>
        <w:ind w:left="539"/>
        <w:rPr>
          <w:sz w:val="21"/>
          <w:szCs w:val="21"/>
        </w:rPr>
      </w:pPr>
      <w:r>
        <w:rPr>
          <w:spacing w:val="12"/>
          <w:sz w:val="21"/>
          <w:szCs w:val="21"/>
        </w:rPr>
        <w:t>(1)价格调整公式</w:t>
      </w:r>
    </w:p>
    <w:p w14:paraId="472C09F4">
      <w:pPr>
        <w:pStyle w:val="2"/>
        <w:spacing w:before="152" w:line="296" w:lineRule="auto"/>
        <w:ind w:left="39" w:right="85" w:firstLine="400"/>
        <w:rPr>
          <w:sz w:val="21"/>
          <w:szCs w:val="21"/>
        </w:rPr>
      </w:pPr>
      <w:r>
        <w:rPr>
          <w:spacing w:val="2"/>
          <w:sz w:val="21"/>
          <w:szCs w:val="21"/>
        </w:rPr>
        <w:t xml:space="preserve">因人工、材料和设备等价格波动影响合同价格时，根据专用合同条款中约定的数据，按以下 </w:t>
      </w:r>
      <w:r>
        <w:rPr>
          <w:spacing w:val="-5"/>
          <w:sz w:val="21"/>
          <w:szCs w:val="21"/>
        </w:rPr>
        <w:t>公式计算差额并调整合同价格：</w:t>
      </w:r>
    </w:p>
    <w:p w14:paraId="73E8F29B">
      <w:pPr>
        <w:spacing w:line="779" w:lineRule="exact"/>
        <w:ind w:firstLine="1090"/>
      </w:pPr>
      <w:r>
        <w:rPr>
          <w:position w:val="-15"/>
        </w:rPr>
        <w:drawing>
          <wp:inline distT="0" distB="0" distL="0" distR="0">
            <wp:extent cx="3910965" cy="494665"/>
            <wp:effectExtent l="0" t="0" r="0" b="0"/>
            <wp:docPr id="70" name="IM 70"/>
            <wp:cNvGraphicFramePr/>
            <a:graphic xmlns:a="http://schemas.openxmlformats.org/drawingml/2006/main">
              <a:graphicData uri="http://schemas.openxmlformats.org/drawingml/2006/picture">
                <pic:pic xmlns:pic="http://schemas.openxmlformats.org/drawingml/2006/picture">
                  <pic:nvPicPr>
                    <pic:cNvPr id="70" name="IM 70"/>
                    <pic:cNvPicPr/>
                  </pic:nvPicPr>
                  <pic:blipFill>
                    <a:blip r:embed="rId440"/>
                    <a:stretch>
                      <a:fillRect/>
                    </a:stretch>
                  </pic:blipFill>
                  <pic:spPr>
                    <a:xfrm>
                      <a:off x="0" y="0"/>
                      <a:ext cx="3911581" cy="495211"/>
                    </a:xfrm>
                    <a:prstGeom prst="rect">
                      <a:avLst/>
                    </a:prstGeom>
                  </pic:spPr>
                </pic:pic>
              </a:graphicData>
            </a:graphic>
          </wp:inline>
        </w:drawing>
      </w:r>
    </w:p>
    <w:p w14:paraId="152A140A">
      <w:pPr>
        <w:spacing w:line="264" w:lineRule="auto"/>
        <w:rPr>
          <w:rFonts w:ascii="Arial"/>
          <w:sz w:val="21"/>
        </w:rPr>
      </w:pPr>
    </w:p>
    <w:p w14:paraId="20A60866">
      <w:pPr>
        <w:spacing w:line="264" w:lineRule="auto"/>
        <w:rPr>
          <w:rFonts w:ascii="Arial"/>
          <w:sz w:val="21"/>
        </w:rPr>
      </w:pPr>
    </w:p>
    <w:p w14:paraId="0F967D95">
      <w:pPr>
        <w:spacing w:line="264" w:lineRule="auto"/>
        <w:rPr>
          <w:rFonts w:ascii="Arial"/>
          <w:sz w:val="21"/>
        </w:rPr>
      </w:pPr>
    </w:p>
    <w:p w14:paraId="2B2A4568">
      <w:pPr>
        <w:spacing w:line="264" w:lineRule="auto"/>
        <w:rPr>
          <w:rFonts w:ascii="Arial"/>
          <w:sz w:val="21"/>
        </w:rPr>
      </w:pPr>
    </w:p>
    <w:p w14:paraId="34DB43AD">
      <w:pPr>
        <w:spacing w:line="264" w:lineRule="auto"/>
        <w:rPr>
          <w:rFonts w:ascii="Arial"/>
          <w:sz w:val="21"/>
        </w:rPr>
      </w:pPr>
    </w:p>
    <w:p w14:paraId="4BFEFF07">
      <w:pPr>
        <w:pStyle w:val="2"/>
        <w:spacing w:before="69" w:line="229" w:lineRule="auto"/>
        <w:ind w:left="449"/>
        <w:rPr>
          <w:sz w:val="21"/>
          <w:szCs w:val="21"/>
        </w:rPr>
      </w:pPr>
      <w:r>
        <w:rPr>
          <w:spacing w:val="-9"/>
          <w:sz w:val="21"/>
          <w:szCs w:val="21"/>
        </w:rPr>
        <w:t>公式中：    △</w:t>
      </w:r>
      <w:r>
        <w:rPr>
          <w:rFonts w:ascii="Times New Roman" w:hAnsi="Times New Roman" w:eastAsia="Times New Roman" w:cs="Times New Roman"/>
          <w:spacing w:val="-9"/>
          <w:sz w:val="21"/>
          <w:szCs w:val="21"/>
        </w:rPr>
        <w:t>P——</w:t>
      </w:r>
      <w:r>
        <w:rPr>
          <w:spacing w:val="-9"/>
          <w:sz w:val="21"/>
          <w:szCs w:val="21"/>
        </w:rPr>
        <w:t>需调整的价格差额；</w:t>
      </w:r>
    </w:p>
    <w:p w14:paraId="430BFC99">
      <w:pPr>
        <w:pStyle w:val="2"/>
        <w:spacing w:before="172" w:line="343" w:lineRule="auto"/>
        <w:ind w:left="20" w:right="85" w:firstLine="1779"/>
        <w:rPr>
          <w:sz w:val="21"/>
          <w:szCs w:val="21"/>
        </w:rPr>
      </w:pPr>
      <w:r>
        <w:rPr>
          <w:sz w:val="21"/>
          <w:szCs w:val="21"/>
        </w:rPr>
        <w:t>P</w:t>
      </w:r>
      <w:r>
        <w:rPr>
          <w:rFonts w:ascii="Calibri" w:hAnsi="Calibri" w:eastAsia="Calibri" w:cs="Calibri"/>
          <w:sz w:val="21"/>
          <w:szCs w:val="21"/>
        </w:rPr>
        <w:t>₀</w:t>
      </w:r>
      <w:r>
        <w:rPr>
          <w:sz w:val="21"/>
          <w:szCs w:val="21"/>
        </w:rPr>
        <w:t>——约定的付款证书中承包人应得到的已完成工程量的金额。此项金额应不</w:t>
      </w:r>
      <w:r>
        <w:rPr>
          <w:spacing w:val="3"/>
          <w:sz w:val="21"/>
          <w:szCs w:val="21"/>
        </w:rPr>
        <w:t xml:space="preserve"> </w:t>
      </w:r>
      <w:r>
        <w:rPr>
          <w:spacing w:val="2"/>
          <w:sz w:val="21"/>
          <w:szCs w:val="21"/>
        </w:rPr>
        <w:t>包括价格调整、不计质量保证金的扣留和支付、预付款的支付和扣回。约定的变更及其他金</w:t>
      </w:r>
      <w:r>
        <w:rPr>
          <w:spacing w:val="1"/>
          <w:sz w:val="21"/>
          <w:szCs w:val="21"/>
        </w:rPr>
        <w:t>额已</w:t>
      </w:r>
    </w:p>
    <w:p w14:paraId="407C053C">
      <w:pPr>
        <w:spacing w:line="343" w:lineRule="auto"/>
        <w:rPr>
          <w:sz w:val="21"/>
          <w:szCs w:val="21"/>
        </w:rPr>
        <w:sectPr>
          <w:footerReference r:id="rId220" w:type="default"/>
          <w:pgSz w:w="11910" w:h="16840"/>
          <w:pgMar w:top="400" w:right="1451" w:bottom="1100" w:left="1450" w:header="0" w:footer="827" w:gutter="0"/>
          <w:cols w:space="720" w:num="1"/>
        </w:sectPr>
      </w:pPr>
    </w:p>
    <w:p w14:paraId="209F33C1">
      <w:pPr>
        <w:spacing w:line="270" w:lineRule="auto"/>
        <w:rPr>
          <w:rFonts w:ascii="Arial"/>
          <w:sz w:val="21"/>
        </w:rPr>
      </w:pPr>
    </w:p>
    <w:p w14:paraId="0F8AC751">
      <w:pPr>
        <w:spacing w:line="270" w:lineRule="auto"/>
        <w:rPr>
          <w:rFonts w:ascii="Arial"/>
          <w:sz w:val="21"/>
        </w:rPr>
      </w:pPr>
    </w:p>
    <w:p w14:paraId="49CF79A8">
      <w:pPr>
        <w:spacing w:line="270" w:lineRule="auto"/>
        <w:rPr>
          <w:rFonts w:ascii="Arial"/>
          <w:sz w:val="21"/>
        </w:rPr>
      </w:pPr>
    </w:p>
    <w:p w14:paraId="0CCE333E">
      <w:pPr>
        <w:spacing w:line="270" w:lineRule="auto"/>
        <w:rPr>
          <w:rFonts w:ascii="Arial"/>
          <w:sz w:val="21"/>
        </w:rPr>
      </w:pPr>
    </w:p>
    <w:p w14:paraId="0E10849D">
      <w:pPr>
        <w:spacing w:line="270" w:lineRule="auto"/>
        <w:rPr>
          <w:rFonts w:ascii="Arial"/>
          <w:sz w:val="21"/>
        </w:rPr>
      </w:pPr>
    </w:p>
    <w:p w14:paraId="678F80C0">
      <w:pPr>
        <w:pStyle w:val="2"/>
        <w:spacing w:before="68" w:line="218" w:lineRule="auto"/>
        <w:rPr>
          <w:sz w:val="21"/>
          <w:szCs w:val="21"/>
        </w:rPr>
      </w:pPr>
      <w:r>
        <w:rPr>
          <w:spacing w:val="-4"/>
          <w:sz w:val="21"/>
          <w:szCs w:val="21"/>
        </w:rPr>
        <w:t>按现行价格计价的，也不计在内；</w:t>
      </w:r>
    </w:p>
    <w:p w14:paraId="09E7EDBE">
      <w:pPr>
        <w:pStyle w:val="2"/>
        <w:spacing w:before="163" w:line="219" w:lineRule="auto"/>
        <w:ind w:left="1789"/>
        <w:rPr>
          <w:sz w:val="21"/>
          <w:szCs w:val="21"/>
        </w:rPr>
      </w:pPr>
      <w:r>
        <w:rPr>
          <w:spacing w:val="5"/>
          <w:sz w:val="21"/>
          <w:szCs w:val="21"/>
        </w:rPr>
        <w:t>A——定值权重(即不调部分的权重);</w:t>
      </w:r>
    </w:p>
    <w:p w14:paraId="5D6128DB">
      <w:pPr>
        <w:pStyle w:val="2"/>
        <w:spacing w:before="126" w:line="352" w:lineRule="auto"/>
        <w:ind w:firstLine="429"/>
        <w:rPr>
          <w:sz w:val="21"/>
          <w:szCs w:val="21"/>
        </w:rPr>
      </w:pPr>
      <w:r>
        <w:rPr>
          <w:rFonts w:ascii="Times New Roman" w:hAnsi="Times New Roman" w:eastAsia="Times New Roman" w:cs="Times New Roman"/>
          <w:spacing w:val="5"/>
          <w:sz w:val="21"/>
          <w:szCs w:val="21"/>
        </w:rPr>
        <w:t xml:space="preserve">B₁;B₂;B₃……Bₙ——  </w:t>
      </w:r>
      <w:r>
        <w:rPr>
          <w:spacing w:val="5"/>
          <w:sz w:val="21"/>
          <w:szCs w:val="21"/>
        </w:rPr>
        <w:t>各可调因子的变值权重(即可调部分的权重),为各可调因子在签约</w:t>
      </w:r>
      <w:r>
        <w:rPr>
          <w:spacing w:val="4"/>
          <w:sz w:val="21"/>
          <w:szCs w:val="21"/>
        </w:rPr>
        <w:t>合同</w:t>
      </w:r>
      <w:r>
        <w:rPr>
          <w:sz w:val="21"/>
          <w:szCs w:val="21"/>
        </w:rPr>
        <w:t xml:space="preserve"> </w:t>
      </w:r>
      <w:r>
        <w:rPr>
          <w:spacing w:val="-7"/>
          <w:sz w:val="21"/>
          <w:szCs w:val="21"/>
        </w:rPr>
        <w:t>价中所占的比例；</w:t>
      </w:r>
    </w:p>
    <w:p w14:paraId="63D1881C">
      <w:pPr>
        <w:pStyle w:val="2"/>
        <w:spacing w:line="356" w:lineRule="auto"/>
        <w:ind w:right="49" w:firstLine="429"/>
        <w:rPr>
          <w:sz w:val="21"/>
          <w:szCs w:val="21"/>
        </w:rPr>
      </w:pPr>
      <w:r>
        <w:rPr>
          <w:rFonts w:ascii="Times New Roman" w:hAnsi="Times New Roman" w:eastAsia="Times New Roman" w:cs="Times New Roman"/>
          <w:spacing w:val="-3"/>
          <w:sz w:val="21"/>
          <w:szCs w:val="21"/>
        </w:rPr>
        <w:t>Ft₁;F+₂;F+3……Ftn——</w:t>
      </w:r>
      <w:r>
        <w:rPr>
          <w:spacing w:val="-3"/>
          <w:sz w:val="21"/>
          <w:szCs w:val="21"/>
        </w:rPr>
        <w:t>各可调因子的现行价格指数，指约定的付款证书相</w:t>
      </w:r>
      <w:r>
        <w:rPr>
          <w:spacing w:val="-4"/>
          <w:sz w:val="21"/>
          <w:szCs w:val="21"/>
        </w:rPr>
        <w:t>关周期最后一天的前</w:t>
      </w:r>
      <w:r>
        <w:rPr>
          <w:sz w:val="21"/>
          <w:szCs w:val="21"/>
        </w:rPr>
        <w:t xml:space="preserve"> </w:t>
      </w:r>
      <w:r>
        <w:rPr>
          <w:spacing w:val="2"/>
          <w:sz w:val="21"/>
          <w:szCs w:val="21"/>
        </w:rPr>
        <w:t>42天的各可调因子的价格指数；</w:t>
      </w:r>
    </w:p>
    <w:p w14:paraId="6B8A547C">
      <w:pPr>
        <w:pStyle w:val="2"/>
        <w:spacing w:line="212" w:lineRule="auto"/>
        <w:ind w:left="429"/>
        <w:rPr>
          <w:sz w:val="21"/>
          <w:szCs w:val="21"/>
        </w:rPr>
      </w:pPr>
      <w:r>
        <w:rPr>
          <w:rFonts w:ascii="Times New Roman" w:hAnsi="Times New Roman" w:eastAsia="Times New Roman" w:cs="Times New Roman"/>
          <w:spacing w:val="-3"/>
          <w:sz w:val="21"/>
          <w:szCs w:val="21"/>
        </w:rPr>
        <w:t>Fo1;Fo₂;Fo₃…·Fon——</w:t>
      </w:r>
      <w:r>
        <w:rPr>
          <w:spacing w:val="-3"/>
          <w:sz w:val="21"/>
          <w:szCs w:val="21"/>
        </w:rPr>
        <w:t>各可调因子的基本价格指数，指基准日期的各可调因子的价格指数。</w:t>
      </w:r>
    </w:p>
    <w:p w14:paraId="1F5FA796">
      <w:pPr>
        <w:pStyle w:val="2"/>
        <w:spacing w:before="152" w:line="352" w:lineRule="auto"/>
        <w:ind w:right="26" w:firstLine="429"/>
        <w:rPr>
          <w:sz w:val="21"/>
          <w:szCs w:val="21"/>
        </w:rPr>
      </w:pPr>
      <w:r>
        <w:rPr>
          <w:spacing w:val="2"/>
          <w:sz w:val="21"/>
          <w:szCs w:val="21"/>
        </w:rPr>
        <w:t>以上价格调整公式中的各可调因子、定值和变值权重，以及基本价格指数及其来源在投标函</w:t>
      </w:r>
      <w:r>
        <w:rPr>
          <w:spacing w:val="11"/>
          <w:sz w:val="21"/>
          <w:szCs w:val="21"/>
        </w:rPr>
        <w:t xml:space="preserve"> </w:t>
      </w:r>
      <w:r>
        <w:rPr>
          <w:spacing w:val="2"/>
          <w:sz w:val="21"/>
          <w:szCs w:val="21"/>
        </w:rPr>
        <w:t>附录价格指数和权重表中约定，非招标订立的合同，由合同当事人在专用合同条款中约定。价格</w:t>
      </w:r>
      <w:r>
        <w:rPr>
          <w:spacing w:val="4"/>
          <w:sz w:val="21"/>
          <w:szCs w:val="21"/>
        </w:rPr>
        <w:t xml:space="preserve"> </w:t>
      </w:r>
      <w:r>
        <w:rPr>
          <w:spacing w:val="2"/>
          <w:sz w:val="21"/>
          <w:szCs w:val="21"/>
        </w:rPr>
        <w:t>指数应首先采用工程造价管理机构发布的价格指数，无前述价格指数时，可采用工程造价管理机</w:t>
      </w:r>
      <w:r>
        <w:rPr>
          <w:spacing w:val="3"/>
          <w:sz w:val="21"/>
          <w:szCs w:val="21"/>
        </w:rPr>
        <w:t xml:space="preserve"> </w:t>
      </w:r>
      <w:r>
        <w:rPr>
          <w:spacing w:val="-5"/>
          <w:sz w:val="21"/>
          <w:szCs w:val="21"/>
        </w:rPr>
        <w:t>构发布的价格代替。</w:t>
      </w:r>
    </w:p>
    <w:p w14:paraId="55ACFC59">
      <w:pPr>
        <w:pStyle w:val="2"/>
        <w:spacing w:before="18" w:line="219" w:lineRule="auto"/>
        <w:ind w:left="529"/>
        <w:rPr>
          <w:sz w:val="21"/>
          <w:szCs w:val="21"/>
        </w:rPr>
      </w:pPr>
      <w:r>
        <w:rPr>
          <w:spacing w:val="10"/>
          <w:sz w:val="21"/>
          <w:szCs w:val="21"/>
        </w:rPr>
        <w:t>(2)暂时确定调整差额</w:t>
      </w:r>
    </w:p>
    <w:p w14:paraId="5401FAF8">
      <w:pPr>
        <w:pStyle w:val="2"/>
        <w:spacing w:before="129" w:line="357" w:lineRule="auto"/>
        <w:ind w:right="34" w:firstLine="429"/>
        <w:rPr>
          <w:sz w:val="21"/>
          <w:szCs w:val="21"/>
        </w:rPr>
      </w:pPr>
      <w:r>
        <w:rPr>
          <w:spacing w:val="2"/>
          <w:sz w:val="21"/>
          <w:szCs w:val="21"/>
        </w:rPr>
        <w:t xml:space="preserve">在计算调整差额时无现行价格指数的，合同当事人同意暂用前次价格指数计算。实际价格指 </w:t>
      </w:r>
      <w:r>
        <w:rPr>
          <w:spacing w:val="-3"/>
          <w:sz w:val="21"/>
          <w:szCs w:val="21"/>
        </w:rPr>
        <w:t>数有调整的，合同当事人进行相应调整。</w:t>
      </w:r>
    </w:p>
    <w:p w14:paraId="6DF64AA9">
      <w:pPr>
        <w:pStyle w:val="2"/>
        <w:spacing w:line="219" w:lineRule="auto"/>
        <w:ind w:left="529"/>
        <w:rPr>
          <w:sz w:val="21"/>
          <w:szCs w:val="21"/>
        </w:rPr>
      </w:pPr>
      <w:r>
        <w:rPr>
          <w:spacing w:val="15"/>
          <w:sz w:val="21"/>
          <w:szCs w:val="21"/>
        </w:rPr>
        <w:t>(3)权重的调整</w:t>
      </w:r>
    </w:p>
    <w:p w14:paraId="0B108999">
      <w:pPr>
        <w:pStyle w:val="2"/>
        <w:spacing w:before="151" w:line="219" w:lineRule="auto"/>
        <w:ind w:left="429"/>
        <w:rPr>
          <w:sz w:val="21"/>
          <w:szCs w:val="21"/>
        </w:rPr>
      </w:pPr>
      <w:r>
        <w:rPr>
          <w:spacing w:val="2"/>
          <w:sz w:val="21"/>
          <w:szCs w:val="21"/>
        </w:rPr>
        <w:t>因变更导致合同约定的权重不合理时，按照第4.4款</w:t>
      </w:r>
      <w:r>
        <w:rPr>
          <w:spacing w:val="1"/>
          <w:sz w:val="21"/>
          <w:szCs w:val="21"/>
        </w:rPr>
        <w:t>〔商定或确定〕执行。</w:t>
      </w:r>
    </w:p>
    <w:p w14:paraId="163DB582">
      <w:pPr>
        <w:pStyle w:val="2"/>
        <w:spacing w:before="159" w:line="218" w:lineRule="auto"/>
        <w:ind w:left="529"/>
        <w:rPr>
          <w:sz w:val="21"/>
          <w:szCs w:val="21"/>
        </w:rPr>
      </w:pPr>
      <w:r>
        <w:rPr>
          <w:spacing w:val="6"/>
          <w:sz w:val="21"/>
          <w:szCs w:val="21"/>
        </w:rPr>
        <w:t>(4)因承包人原因工期延误后的价格调整</w:t>
      </w:r>
    </w:p>
    <w:p w14:paraId="03451B76">
      <w:pPr>
        <w:pStyle w:val="2"/>
        <w:spacing w:before="142" w:line="356" w:lineRule="auto"/>
        <w:ind w:right="36" w:firstLine="429"/>
        <w:rPr>
          <w:sz w:val="21"/>
          <w:szCs w:val="21"/>
        </w:rPr>
      </w:pPr>
      <w:r>
        <w:rPr>
          <w:spacing w:val="2"/>
          <w:sz w:val="21"/>
          <w:szCs w:val="21"/>
        </w:rPr>
        <w:t>因承包人原因未按期竣工的，对合同约定的竣工日期后继续施工的工程，在使用价格调整公</w:t>
      </w:r>
      <w:r>
        <w:rPr>
          <w:spacing w:val="1"/>
          <w:sz w:val="21"/>
          <w:szCs w:val="21"/>
        </w:rPr>
        <w:t xml:space="preserve"> </w:t>
      </w:r>
      <w:r>
        <w:rPr>
          <w:sz w:val="21"/>
          <w:szCs w:val="21"/>
        </w:rPr>
        <w:t>式时，应采用计划竣工日期与实际竣工日期的两个价格指数中较低的一个作为现行</w:t>
      </w:r>
      <w:r>
        <w:rPr>
          <w:spacing w:val="-1"/>
          <w:sz w:val="21"/>
          <w:szCs w:val="21"/>
        </w:rPr>
        <w:t>价格指数。</w:t>
      </w:r>
    </w:p>
    <w:p w14:paraId="01F8CCF2">
      <w:pPr>
        <w:pStyle w:val="2"/>
        <w:spacing w:before="1" w:line="217" w:lineRule="auto"/>
        <w:ind w:left="429"/>
        <w:rPr>
          <w:sz w:val="21"/>
          <w:szCs w:val="21"/>
        </w:rPr>
      </w:pPr>
      <w:r>
        <w:rPr>
          <w:spacing w:val="4"/>
          <w:sz w:val="21"/>
          <w:szCs w:val="21"/>
        </w:rPr>
        <w:t>第2种方式：采用造价信息进行价格调整。</w:t>
      </w:r>
    </w:p>
    <w:p w14:paraId="424006C6">
      <w:pPr>
        <w:pStyle w:val="2"/>
        <w:spacing w:before="160" w:line="344" w:lineRule="auto"/>
        <w:ind w:right="39" w:firstLine="429"/>
        <w:rPr>
          <w:sz w:val="21"/>
          <w:szCs w:val="21"/>
        </w:rPr>
      </w:pPr>
      <w:r>
        <w:rPr>
          <w:spacing w:val="2"/>
          <w:sz w:val="21"/>
          <w:szCs w:val="21"/>
        </w:rPr>
        <w:t>合同履行期间，因人工、材料、工程设备和机械台班价格波动影响合同价格时，人工、</w:t>
      </w:r>
      <w:r>
        <w:rPr>
          <w:spacing w:val="1"/>
          <w:sz w:val="21"/>
          <w:szCs w:val="21"/>
        </w:rPr>
        <w:t>机械</w:t>
      </w:r>
      <w:r>
        <w:rPr>
          <w:sz w:val="21"/>
          <w:szCs w:val="21"/>
        </w:rPr>
        <w:t xml:space="preserve"> </w:t>
      </w:r>
      <w:r>
        <w:rPr>
          <w:spacing w:val="2"/>
          <w:sz w:val="21"/>
          <w:szCs w:val="21"/>
        </w:rPr>
        <w:t>使用费按照国家或省、自治区、直辖市建设行政管理部门、行业建设管理部门或其授权的工程造</w:t>
      </w:r>
      <w:r>
        <w:rPr>
          <w:spacing w:val="3"/>
          <w:sz w:val="21"/>
          <w:szCs w:val="21"/>
        </w:rPr>
        <w:t xml:space="preserve"> </w:t>
      </w:r>
      <w:r>
        <w:rPr>
          <w:spacing w:val="2"/>
          <w:sz w:val="21"/>
          <w:szCs w:val="21"/>
        </w:rPr>
        <w:t>价管理机构发布的人工、机械使用费系数进行调整；需要进行价格调整的材料，其单价和采购数</w:t>
      </w:r>
      <w:r>
        <w:rPr>
          <w:spacing w:val="4"/>
          <w:sz w:val="21"/>
          <w:szCs w:val="21"/>
        </w:rPr>
        <w:t xml:space="preserve"> </w:t>
      </w:r>
      <w:r>
        <w:rPr>
          <w:sz w:val="21"/>
          <w:szCs w:val="21"/>
        </w:rPr>
        <w:t>量应由发包人审批，发包人确认需调整的材料单价</w:t>
      </w:r>
      <w:r>
        <w:rPr>
          <w:spacing w:val="-1"/>
          <w:sz w:val="21"/>
          <w:szCs w:val="21"/>
        </w:rPr>
        <w:t>及数量，作为调整合同价格的依据。</w:t>
      </w:r>
    </w:p>
    <w:p w14:paraId="029466CB">
      <w:pPr>
        <w:pStyle w:val="2"/>
        <w:spacing w:before="26" w:line="346" w:lineRule="auto"/>
        <w:ind w:right="39" w:firstLine="529"/>
        <w:jc w:val="both"/>
        <w:rPr>
          <w:sz w:val="21"/>
          <w:szCs w:val="21"/>
        </w:rPr>
      </w:pPr>
      <w:r>
        <w:rPr>
          <w:spacing w:val="2"/>
          <w:sz w:val="21"/>
          <w:szCs w:val="21"/>
        </w:rPr>
        <w:t>(1)人工单价发生变化且符合省级或行业建设主管部门发布的人工费调整规定，合同当事人</w:t>
      </w:r>
      <w:r>
        <w:rPr>
          <w:sz w:val="21"/>
          <w:szCs w:val="21"/>
        </w:rPr>
        <w:t xml:space="preserve"> </w:t>
      </w:r>
      <w:r>
        <w:rPr>
          <w:spacing w:val="1"/>
          <w:sz w:val="21"/>
          <w:szCs w:val="21"/>
        </w:rPr>
        <w:t>应按省级或行业建设主管部门或其授权的工程造价管理机构发布的人工费等文件调整合同价格，</w:t>
      </w:r>
      <w:r>
        <w:rPr>
          <w:spacing w:val="11"/>
          <w:sz w:val="21"/>
          <w:szCs w:val="21"/>
        </w:rPr>
        <w:t xml:space="preserve"> </w:t>
      </w:r>
      <w:r>
        <w:rPr>
          <w:spacing w:val="-1"/>
          <w:sz w:val="21"/>
          <w:szCs w:val="21"/>
        </w:rPr>
        <w:t>但承包人对人工费或人工单价的报价高于发布价格的除外。</w:t>
      </w:r>
    </w:p>
    <w:p w14:paraId="1038501C">
      <w:pPr>
        <w:pStyle w:val="2"/>
        <w:spacing w:before="1" w:line="413" w:lineRule="auto"/>
        <w:ind w:right="34" w:firstLine="529"/>
        <w:rPr>
          <w:sz w:val="16"/>
          <w:szCs w:val="16"/>
        </w:rPr>
      </w:pPr>
      <w:r>
        <w:rPr>
          <w:spacing w:val="2"/>
          <w:sz w:val="21"/>
          <w:szCs w:val="21"/>
        </w:rPr>
        <w:t>(2)材料、工程设备价格变化的价款调整按照发包人提供的基准价格，按以下风险范围规定</w:t>
      </w:r>
      <w:r>
        <w:rPr>
          <w:spacing w:val="6"/>
          <w:sz w:val="21"/>
          <w:szCs w:val="21"/>
        </w:rPr>
        <w:t xml:space="preserve"> </w:t>
      </w:r>
      <w:r>
        <w:rPr>
          <w:spacing w:val="-6"/>
          <w:sz w:val="16"/>
          <w:szCs w:val="16"/>
        </w:rPr>
        <w:t>执</w:t>
      </w:r>
      <w:r>
        <w:rPr>
          <w:spacing w:val="-8"/>
          <w:sz w:val="16"/>
          <w:szCs w:val="16"/>
        </w:rPr>
        <w:t xml:space="preserve"> </w:t>
      </w:r>
      <w:r>
        <w:rPr>
          <w:spacing w:val="-6"/>
          <w:sz w:val="16"/>
          <w:szCs w:val="16"/>
        </w:rPr>
        <w:t>行</w:t>
      </w:r>
      <w:r>
        <w:rPr>
          <w:spacing w:val="-19"/>
          <w:sz w:val="16"/>
          <w:szCs w:val="16"/>
        </w:rPr>
        <w:t xml:space="preserve"> </w:t>
      </w:r>
      <w:r>
        <w:rPr>
          <w:spacing w:val="-6"/>
          <w:sz w:val="16"/>
          <w:szCs w:val="16"/>
        </w:rPr>
        <w:t>：</w:t>
      </w:r>
    </w:p>
    <w:p w14:paraId="680D4DC8">
      <w:pPr>
        <w:pStyle w:val="2"/>
        <w:spacing w:before="2" w:line="301" w:lineRule="auto"/>
        <w:ind w:right="9" w:firstLine="649"/>
        <w:rPr>
          <w:sz w:val="21"/>
          <w:szCs w:val="21"/>
        </w:rPr>
      </w:pPr>
      <w:r>
        <w:rPr>
          <w:spacing w:val="3"/>
          <w:sz w:val="21"/>
          <w:szCs w:val="21"/>
        </w:rPr>
        <w:t>①承包人在已标价工程量清单或预算书中载明</w:t>
      </w:r>
      <w:r>
        <w:rPr>
          <w:spacing w:val="2"/>
          <w:sz w:val="21"/>
          <w:szCs w:val="21"/>
        </w:rPr>
        <w:t>材料单价低于基准价格的：除专用合同条款</w:t>
      </w:r>
      <w:r>
        <w:rPr>
          <w:sz w:val="21"/>
          <w:szCs w:val="21"/>
        </w:rPr>
        <w:t xml:space="preserve"> </w:t>
      </w:r>
      <w:r>
        <w:rPr>
          <w:spacing w:val="2"/>
          <w:sz w:val="21"/>
          <w:szCs w:val="21"/>
        </w:rPr>
        <w:t>另有约定外，合同履行期间材料单价涨幅以基准价格为</w:t>
      </w:r>
      <w:r>
        <w:rPr>
          <w:spacing w:val="1"/>
          <w:sz w:val="21"/>
          <w:szCs w:val="21"/>
        </w:rPr>
        <w:t>基础超过5%时，或材料单价跌幅以在已标</w:t>
      </w:r>
      <w:r>
        <w:rPr>
          <w:sz w:val="21"/>
          <w:szCs w:val="21"/>
        </w:rPr>
        <w:t xml:space="preserve"> </w:t>
      </w:r>
      <w:r>
        <w:rPr>
          <w:spacing w:val="2"/>
          <w:sz w:val="21"/>
          <w:szCs w:val="21"/>
        </w:rPr>
        <w:t>价工程量清单或预算书中载明材料单价为基础超过5%时，其超过部分据实调整。</w:t>
      </w:r>
    </w:p>
    <w:p w14:paraId="0BD280D2">
      <w:pPr>
        <w:pStyle w:val="2"/>
        <w:spacing w:before="162" w:line="217" w:lineRule="auto"/>
        <w:ind w:left="639"/>
        <w:rPr>
          <w:sz w:val="21"/>
          <w:szCs w:val="21"/>
        </w:rPr>
      </w:pPr>
      <w:r>
        <w:rPr>
          <w:spacing w:val="2"/>
          <w:sz w:val="21"/>
          <w:szCs w:val="21"/>
        </w:rPr>
        <w:t>②承包人在已标价工程量清单或预算书中载明材料单价高于基准价格的：除专用合同条款</w:t>
      </w:r>
    </w:p>
    <w:p w14:paraId="62598D94">
      <w:pPr>
        <w:spacing w:line="217" w:lineRule="auto"/>
        <w:rPr>
          <w:sz w:val="21"/>
          <w:szCs w:val="21"/>
        </w:rPr>
        <w:sectPr>
          <w:footerReference r:id="rId221" w:type="default"/>
          <w:pgSz w:w="11910" w:h="16840"/>
          <w:pgMar w:top="400" w:right="1511" w:bottom="1016" w:left="1450" w:header="0" w:footer="889" w:gutter="0"/>
          <w:cols w:space="720" w:num="1"/>
        </w:sectPr>
      </w:pPr>
    </w:p>
    <w:p w14:paraId="70136FFD">
      <w:pPr>
        <w:spacing w:line="270" w:lineRule="auto"/>
        <w:rPr>
          <w:rFonts w:ascii="Arial"/>
          <w:sz w:val="21"/>
        </w:rPr>
      </w:pPr>
    </w:p>
    <w:p w14:paraId="0A5FA4E9">
      <w:pPr>
        <w:spacing w:line="270" w:lineRule="auto"/>
        <w:rPr>
          <w:rFonts w:ascii="Arial"/>
          <w:sz w:val="21"/>
        </w:rPr>
      </w:pPr>
    </w:p>
    <w:p w14:paraId="5CFDF47C">
      <w:pPr>
        <w:spacing w:line="270" w:lineRule="auto"/>
        <w:rPr>
          <w:rFonts w:ascii="Arial"/>
          <w:sz w:val="21"/>
        </w:rPr>
      </w:pPr>
    </w:p>
    <w:p w14:paraId="77016F73">
      <w:pPr>
        <w:spacing w:line="270" w:lineRule="auto"/>
        <w:rPr>
          <w:rFonts w:ascii="Arial"/>
          <w:sz w:val="21"/>
        </w:rPr>
      </w:pPr>
    </w:p>
    <w:p w14:paraId="29E7930B">
      <w:pPr>
        <w:spacing w:line="270" w:lineRule="auto"/>
        <w:rPr>
          <w:rFonts w:ascii="Arial"/>
          <w:sz w:val="21"/>
        </w:rPr>
      </w:pPr>
    </w:p>
    <w:p w14:paraId="53C59641">
      <w:pPr>
        <w:pStyle w:val="2"/>
        <w:spacing w:before="68" w:line="347" w:lineRule="auto"/>
        <w:ind w:right="65"/>
        <w:rPr>
          <w:sz w:val="21"/>
          <w:szCs w:val="21"/>
        </w:rPr>
      </w:pPr>
      <w:r>
        <w:rPr>
          <w:spacing w:val="1"/>
          <w:sz w:val="21"/>
          <w:szCs w:val="21"/>
        </w:rPr>
        <w:t>另有约定外，合同履行期间材料单价跌幅以基准价格为基础超过5%时，材料单价涨幅以在已标价</w:t>
      </w:r>
      <w:r>
        <w:rPr>
          <w:spacing w:val="15"/>
          <w:sz w:val="21"/>
          <w:szCs w:val="21"/>
        </w:rPr>
        <w:t xml:space="preserve"> </w:t>
      </w:r>
      <w:r>
        <w:rPr>
          <w:spacing w:val="2"/>
          <w:sz w:val="21"/>
          <w:szCs w:val="21"/>
        </w:rPr>
        <w:t>工程量清单或预算书中载明材料单价为基础超过5%时，其超过部分据实调整。</w:t>
      </w:r>
    </w:p>
    <w:p w14:paraId="16ABCA16">
      <w:pPr>
        <w:pStyle w:val="2"/>
        <w:spacing w:line="285" w:lineRule="auto"/>
        <w:ind w:firstLine="629"/>
        <w:rPr>
          <w:sz w:val="21"/>
          <w:szCs w:val="21"/>
        </w:rPr>
      </w:pPr>
      <w:r>
        <w:rPr>
          <w:spacing w:val="3"/>
          <w:sz w:val="21"/>
          <w:szCs w:val="21"/>
        </w:rPr>
        <w:t>③承包人在已标价工程量清单或预算书中载明</w:t>
      </w:r>
      <w:r>
        <w:rPr>
          <w:spacing w:val="2"/>
          <w:sz w:val="21"/>
          <w:szCs w:val="21"/>
        </w:rPr>
        <w:t>材料单价等于基准价格的：除专用合同条款</w:t>
      </w:r>
      <w:r>
        <w:rPr>
          <w:sz w:val="21"/>
          <w:szCs w:val="21"/>
        </w:rPr>
        <w:t xml:space="preserve"> </w:t>
      </w:r>
      <w:r>
        <w:rPr>
          <w:spacing w:val="-2"/>
          <w:sz w:val="21"/>
          <w:szCs w:val="21"/>
        </w:rPr>
        <w:t>另有约定外，合同履行期间材料单价涨跌幅以基准价格为基础超过±5%时，其超过部分据实调整。</w:t>
      </w:r>
    </w:p>
    <w:p w14:paraId="311E5E57">
      <w:pPr>
        <w:pStyle w:val="2"/>
        <w:spacing w:before="153" w:line="318" w:lineRule="auto"/>
        <w:ind w:right="27" w:firstLine="639"/>
        <w:rPr>
          <w:sz w:val="21"/>
          <w:szCs w:val="21"/>
        </w:rPr>
      </w:pPr>
      <w:r>
        <w:rPr>
          <w:spacing w:val="2"/>
          <w:sz w:val="21"/>
          <w:szCs w:val="21"/>
        </w:rPr>
        <w:t>④承包人应在采购材料前将采购数量和新的材料单价报发包人核对，发包人确认用于工程</w:t>
      </w:r>
      <w:r>
        <w:rPr>
          <w:spacing w:val="8"/>
          <w:sz w:val="21"/>
          <w:szCs w:val="21"/>
        </w:rPr>
        <w:t xml:space="preserve"> </w:t>
      </w:r>
      <w:r>
        <w:rPr>
          <w:spacing w:val="4"/>
          <w:sz w:val="21"/>
          <w:szCs w:val="21"/>
        </w:rPr>
        <w:t>时，发包人应确认采购材料的数量和单价。发包人在收到承包人报送的确认资料后5天内不予答</w:t>
      </w:r>
      <w:r>
        <w:rPr>
          <w:spacing w:val="13"/>
          <w:sz w:val="21"/>
          <w:szCs w:val="21"/>
        </w:rPr>
        <w:t xml:space="preserve"> </w:t>
      </w:r>
      <w:r>
        <w:rPr>
          <w:spacing w:val="2"/>
          <w:sz w:val="21"/>
          <w:szCs w:val="21"/>
        </w:rPr>
        <w:t>复的视为认可，作为调整合同价格的依据。未经发包人事先核对，承包人自行采购</w:t>
      </w:r>
      <w:r>
        <w:rPr>
          <w:spacing w:val="1"/>
          <w:sz w:val="21"/>
          <w:szCs w:val="21"/>
        </w:rPr>
        <w:t>材料的，发包</w:t>
      </w:r>
      <w:r>
        <w:rPr>
          <w:sz w:val="21"/>
          <w:szCs w:val="21"/>
        </w:rPr>
        <w:t xml:space="preserve"> </w:t>
      </w:r>
      <w:r>
        <w:rPr>
          <w:spacing w:val="-2"/>
          <w:sz w:val="21"/>
          <w:szCs w:val="21"/>
        </w:rPr>
        <w:t>人有权不予调整合同价格。发包人同意的，可以调整合同价格。</w:t>
      </w:r>
    </w:p>
    <w:p w14:paraId="3A822028">
      <w:pPr>
        <w:pStyle w:val="2"/>
        <w:spacing w:before="153" w:line="360" w:lineRule="auto"/>
        <w:ind w:right="44" w:firstLine="419"/>
        <w:rPr>
          <w:sz w:val="21"/>
          <w:szCs w:val="21"/>
        </w:rPr>
      </w:pPr>
      <w:r>
        <w:rPr>
          <w:spacing w:val="2"/>
          <w:sz w:val="21"/>
          <w:szCs w:val="21"/>
        </w:rPr>
        <w:t>前述基准价格是指由发包人在招标文件或专用合同条款中给定的材料、工程设备的价格，该</w:t>
      </w:r>
      <w:r>
        <w:rPr>
          <w:sz w:val="21"/>
          <w:szCs w:val="21"/>
        </w:rPr>
        <w:t xml:space="preserve"> 价格原则上应当按照省级或行业建设主管部门或其授权的工程造价管理机构发布的</w:t>
      </w:r>
      <w:r>
        <w:rPr>
          <w:spacing w:val="-1"/>
          <w:sz w:val="21"/>
          <w:szCs w:val="21"/>
        </w:rPr>
        <w:t>信息价编制。</w:t>
      </w:r>
    </w:p>
    <w:p w14:paraId="02541955">
      <w:pPr>
        <w:pStyle w:val="2"/>
        <w:spacing w:before="1" w:line="343" w:lineRule="auto"/>
        <w:ind w:right="38" w:firstLine="550"/>
        <w:rPr>
          <w:sz w:val="21"/>
          <w:szCs w:val="21"/>
        </w:rPr>
      </w:pPr>
      <w:r>
        <w:rPr>
          <w:spacing w:val="2"/>
          <w:sz w:val="21"/>
          <w:szCs w:val="21"/>
        </w:rPr>
        <w:t>(3)施工机械台班单价或施工机械使用费</w:t>
      </w:r>
      <w:r>
        <w:rPr>
          <w:spacing w:val="1"/>
          <w:sz w:val="21"/>
          <w:szCs w:val="21"/>
        </w:rPr>
        <w:t>发生变化超过省级或行业建设主管部门或其授权的</w:t>
      </w:r>
      <w:r>
        <w:rPr>
          <w:sz w:val="21"/>
          <w:szCs w:val="21"/>
        </w:rPr>
        <w:t xml:space="preserve"> </w:t>
      </w:r>
      <w:r>
        <w:rPr>
          <w:spacing w:val="-2"/>
          <w:sz w:val="21"/>
          <w:szCs w:val="21"/>
        </w:rPr>
        <w:t>工程造价管理机构规定的范围时，按规定调整合同价格。</w:t>
      </w:r>
    </w:p>
    <w:p w14:paraId="379C9E88">
      <w:pPr>
        <w:pStyle w:val="2"/>
        <w:spacing w:line="219" w:lineRule="auto"/>
        <w:ind w:left="419"/>
        <w:rPr>
          <w:sz w:val="21"/>
          <w:szCs w:val="21"/>
        </w:rPr>
      </w:pPr>
      <w:r>
        <w:rPr>
          <w:spacing w:val="5"/>
          <w:sz w:val="21"/>
          <w:szCs w:val="21"/>
        </w:rPr>
        <w:t>第3种方式：专用合同条款约定的其他方式。</w:t>
      </w:r>
    </w:p>
    <w:p w14:paraId="6EC6E6B6">
      <w:pPr>
        <w:spacing w:before="137" w:line="222" w:lineRule="auto"/>
        <w:ind w:left="3"/>
        <w:rPr>
          <w:rFonts w:ascii="黑体" w:hAnsi="黑体" w:eastAsia="黑体" w:cs="黑体"/>
          <w:sz w:val="25"/>
          <w:szCs w:val="25"/>
        </w:rPr>
      </w:pPr>
      <w:r>
        <w:rPr>
          <w:rFonts w:ascii="黑体" w:hAnsi="黑体" w:eastAsia="黑体" w:cs="黑体"/>
          <w:b/>
          <w:bCs/>
          <w:spacing w:val="-6"/>
          <w:sz w:val="25"/>
          <w:szCs w:val="25"/>
        </w:rPr>
        <w:t>11.2法律变化引起的调整</w:t>
      </w:r>
    </w:p>
    <w:p w14:paraId="7CEEB4EA">
      <w:pPr>
        <w:pStyle w:val="2"/>
        <w:spacing w:before="140" w:line="345" w:lineRule="auto"/>
        <w:ind w:right="46" w:firstLine="419"/>
        <w:jc w:val="both"/>
        <w:rPr>
          <w:sz w:val="21"/>
          <w:szCs w:val="21"/>
        </w:rPr>
      </w:pPr>
      <w:r>
        <w:rPr>
          <w:spacing w:val="2"/>
          <w:sz w:val="21"/>
          <w:szCs w:val="21"/>
        </w:rPr>
        <w:t>基准日期后，法律变化导致承包人在合同履行过程中所需要的费用发生除第11</w:t>
      </w:r>
      <w:r>
        <w:rPr>
          <w:spacing w:val="1"/>
          <w:sz w:val="21"/>
          <w:szCs w:val="21"/>
        </w:rPr>
        <w:t>.1款〔市场价</w:t>
      </w:r>
      <w:r>
        <w:rPr>
          <w:sz w:val="21"/>
          <w:szCs w:val="21"/>
        </w:rPr>
        <w:t xml:space="preserve"> </w:t>
      </w:r>
      <w:r>
        <w:rPr>
          <w:spacing w:val="2"/>
          <w:sz w:val="21"/>
          <w:szCs w:val="21"/>
        </w:rPr>
        <w:t>格波动引起的调整〕约定以外的增加时，由发包人承担由此增加的费用；减少时</w:t>
      </w:r>
      <w:r>
        <w:rPr>
          <w:spacing w:val="1"/>
          <w:sz w:val="21"/>
          <w:szCs w:val="21"/>
        </w:rPr>
        <w:t>，应从合同价格</w:t>
      </w:r>
      <w:r>
        <w:rPr>
          <w:sz w:val="21"/>
          <w:szCs w:val="21"/>
        </w:rPr>
        <w:t xml:space="preserve"> </w:t>
      </w:r>
      <w:r>
        <w:rPr>
          <w:spacing w:val="-1"/>
          <w:sz w:val="21"/>
          <w:szCs w:val="21"/>
        </w:rPr>
        <w:t>中予以扣减。基准日期后，因法律变化造成工期延误时，工期应予以顺</w:t>
      </w:r>
      <w:r>
        <w:rPr>
          <w:spacing w:val="-2"/>
          <w:sz w:val="21"/>
          <w:szCs w:val="21"/>
        </w:rPr>
        <w:t>延。</w:t>
      </w:r>
    </w:p>
    <w:p w14:paraId="18C50EC0">
      <w:pPr>
        <w:pStyle w:val="2"/>
        <w:spacing w:before="12" w:line="339" w:lineRule="auto"/>
        <w:ind w:right="41" w:firstLine="419"/>
        <w:rPr>
          <w:sz w:val="21"/>
          <w:szCs w:val="21"/>
        </w:rPr>
      </w:pPr>
      <w:r>
        <w:rPr>
          <w:spacing w:val="2"/>
          <w:sz w:val="21"/>
          <w:szCs w:val="21"/>
        </w:rPr>
        <w:t xml:space="preserve">因法律变化引起的合同价格和工期调整，合同当事人无法达成一致的，由总监理工程师按第 </w:t>
      </w:r>
      <w:r>
        <w:rPr>
          <w:sz w:val="21"/>
          <w:szCs w:val="21"/>
        </w:rPr>
        <w:t>4.4款〔商定或确定〕的约定处理。</w:t>
      </w:r>
    </w:p>
    <w:p w14:paraId="13FFFBB2">
      <w:pPr>
        <w:pStyle w:val="2"/>
        <w:spacing w:before="31" w:line="354" w:lineRule="auto"/>
        <w:ind w:right="42" w:firstLine="419"/>
        <w:rPr>
          <w:sz w:val="21"/>
          <w:szCs w:val="21"/>
        </w:rPr>
      </w:pPr>
      <w:r>
        <w:rPr>
          <w:spacing w:val="7"/>
          <w:sz w:val="21"/>
          <w:szCs w:val="21"/>
        </w:rPr>
        <w:t>因承包人原因造成工期延误，在工期延误期间出现法律变化的，由此增加的费用和(或)延</w:t>
      </w:r>
      <w:r>
        <w:rPr>
          <w:spacing w:val="11"/>
          <w:sz w:val="21"/>
          <w:szCs w:val="21"/>
        </w:rPr>
        <w:t xml:space="preserve"> </w:t>
      </w:r>
      <w:r>
        <w:rPr>
          <w:spacing w:val="-4"/>
          <w:sz w:val="21"/>
          <w:szCs w:val="21"/>
        </w:rPr>
        <w:t>误的工期由承包人承担。</w:t>
      </w:r>
    </w:p>
    <w:p w14:paraId="0F664D4E">
      <w:pPr>
        <w:pStyle w:val="2"/>
        <w:spacing w:before="12" w:line="222" w:lineRule="auto"/>
        <w:ind w:left="4"/>
        <w:rPr>
          <w:rFonts w:ascii="黑体" w:hAnsi="黑体" w:eastAsia="黑体" w:cs="黑体"/>
          <w:sz w:val="29"/>
          <w:szCs w:val="29"/>
        </w:rPr>
      </w:pPr>
      <w:r>
        <w:rPr>
          <w:b/>
          <w:bCs/>
          <w:spacing w:val="-2"/>
          <w:sz w:val="29"/>
          <w:szCs w:val="29"/>
        </w:rPr>
        <w:t>12.</w:t>
      </w:r>
      <w:r>
        <w:rPr>
          <w:rFonts w:ascii="黑体" w:hAnsi="黑体" w:eastAsia="黑体" w:cs="黑体"/>
          <w:b/>
          <w:bCs/>
          <w:spacing w:val="-2"/>
          <w:sz w:val="29"/>
          <w:szCs w:val="29"/>
        </w:rPr>
        <w:t>合同价格、计量与支付</w:t>
      </w:r>
    </w:p>
    <w:p w14:paraId="18A7217F">
      <w:pPr>
        <w:pStyle w:val="2"/>
        <w:spacing w:before="101" w:line="222" w:lineRule="auto"/>
        <w:ind w:left="3"/>
        <w:rPr>
          <w:rFonts w:ascii="黑体" w:hAnsi="黑体" w:eastAsia="黑体" w:cs="黑体"/>
        </w:rPr>
      </w:pPr>
      <w:r>
        <w:rPr>
          <w:b/>
          <w:bCs/>
          <w:spacing w:val="-10"/>
        </w:rPr>
        <w:t>12.1</w:t>
      </w:r>
      <w:r>
        <w:rPr>
          <w:spacing w:val="-10"/>
        </w:rPr>
        <w:t xml:space="preserve"> </w:t>
      </w:r>
      <w:r>
        <w:rPr>
          <w:rFonts w:ascii="黑体" w:hAnsi="黑体" w:eastAsia="黑体" w:cs="黑体"/>
          <w:b/>
          <w:bCs/>
          <w:spacing w:val="-10"/>
        </w:rPr>
        <w:t>合同价格形式</w:t>
      </w:r>
    </w:p>
    <w:p w14:paraId="714175B3">
      <w:pPr>
        <w:pStyle w:val="2"/>
        <w:spacing w:before="121" w:line="218" w:lineRule="auto"/>
        <w:ind w:left="419"/>
        <w:rPr>
          <w:sz w:val="21"/>
          <w:szCs w:val="21"/>
        </w:rPr>
      </w:pPr>
      <w:r>
        <w:rPr>
          <w:spacing w:val="-1"/>
          <w:sz w:val="21"/>
          <w:szCs w:val="21"/>
        </w:rPr>
        <w:t>发包人和承包人应在合同协议书中选择下列一种合同价格形式：</w:t>
      </w:r>
    </w:p>
    <w:p w14:paraId="4BABED2D">
      <w:pPr>
        <w:pStyle w:val="2"/>
        <w:spacing w:before="162" w:line="218" w:lineRule="auto"/>
        <w:ind w:left="419"/>
        <w:rPr>
          <w:sz w:val="21"/>
          <w:szCs w:val="21"/>
        </w:rPr>
      </w:pPr>
      <w:r>
        <w:rPr>
          <w:spacing w:val="-9"/>
          <w:sz w:val="21"/>
          <w:szCs w:val="21"/>
        </w:rPr>
        <w:t>1.单价合同</w:t>
      </w:r>
    </w:p>
    <w:p w14:paraId="6C7F13DB">
      <w:pPr>
        <w:pStyle w:val="2"/>
        <w:spacing w:before="141" w:line="352" w:lineRule="auto"/>
        <w:ind w:right="38" w:firstLine="419"/>
        <w:rPr>
          <w:sz w:val="21"/>
          <w:szCs w:val="21"/>
        </w:rPr>
      </w:pPr>
      <w:r>
        <w:rPr>
          <w:spacing w:val="2"/>
          <w:sz w:val="21"/>
          <w:szCs w:val="21"/>
        </w:rPr>
        <w:t>单价合同是指合同当事人约定以工程量清单及其综合单价进行合同价格计算、调整和确认的</w:t>
      </w:r>
      <w:r>
        <w:rPr>
          <w:spacing w:val="5"/>
          <w:sz w:val="21"/>
          <w:szCs w:val="21"/>
        </w:rPr>
        <w:t xml:space="preserve"> </w:t>
      </w:r>
      <w:r>
        <w:rPr>
          <w:spacing w:val="2"/>
          <w:sz w:val="21"/>
          <w:szCs w:val="21"/>
        </w:rPr>
        <w:t>建设工程施工合同，在约定的范围内合同单价不作调整。合同当事人应在专用合</w:t>
      </w:r>
      <w:r>
        <w:rPr>
          <w:spacing w:val="1"/>
          <w:sz w:val="21"/>
          <w:szCs w:val="21"/>
        </w:rPr>
        <w:t>同条款中约定综</w:t>
      </w:r>
      <w:r>
        <w:rPr>
          <w:sz w:val="21"/>
          <w:szCs w:val="21"/>
        </w:rPr>
        <w:t xml:space="preserve"> </w:t>
      </w:r>
      <w:r>
        <w:rPr>
          <w:spacing w:val="2"/>
          <w:sz w:val="21"/>
          <w:szCs w:val="21"/>
        </w:rPr>
        <w:t>合单价包含的风险范围和风险费用的计算方法，并约定风险范围以外的合同价格</w:t>
      </w:r>
      <w:r>
        <w:rPr>
          <w:spacing w:val="1"/>
          <w:sz w:val="21"/>
          <w:szCs w:val="21"/>
        </w:rPr>
        <w:t>的调整方法，其</w:t>
      </w:r>
      <w:r>
        <w:rPr>
          <w:sz w:val="21"/>
          <w:szCs w:val="21"/>
        </w:rPr>
        <w:t xml:space="preserve"> </w:t>
      </w:r>
      <w:r>
        <w:rPr>
          <w:spacing w:val="1"/>
          <w:sz w:val="21"/>
          <w:szCs w:val="21"/>
        </w:rPr>
        <w:t>中因市场价格波动引起的调整按第11.1款〔市场价格波动引起的调整〕约定执行。</w:t>
      </w:r>
    </w:p>
    <w:p w14:paraId="26411539">
      <w:pPr>
        <w:pStyle w:val="2"/>
        <w:spacing w:before="1" w:line="217" w:lineRule="auto"/>
        <w:ind w:left="419"/>
        <w:rPr>
          <w:sz w:val="21"/>
          <w:szCs w:val="21"/>
        </w:rPr>
      </w:pPr>
      <w:r>
        <w:rPr>
          <w:spacing w:val="-6"/>
          <w:sz w:val="21"/>
          <w:szCs w:val="21"/>
        </w:rPr>
        <w:t>2.总价合同</w:t>
      </w:r>
    </w:p>
    <w:p w14:paraId="4CFAFEAC">
      <w:pPr>
        <w:pStyle w:val="2"/>
        <w:spacing w:before="160" w:line="353" w:lineRule="auto"/>
        <w:ind w:right="43" w:firstLine="419"/>
        <w:rPr>
          <w:sz w:val="21"/>
          <w:szCs w:val="21"/>
        </w:rPr>
      </w:pPr>
      <w:r>
        <w:rPr>
          <w:spacing w:val="2"/>
          <w:sz w:val="21"/>
          <w:szCs w:val="21"/>
        </w:rPr>
        <w:t>总价合同是指合同当事人约定以施工图、已标价工程量清单或预算书及有关条件进行</w:t>
      </w:r>
      <w:r>
        <w:rPr>
          <w:spacing w:val="1"/>
          <w:sz w:val="21"/>
          <w:szCs w:val="21"/>
        </w:rPr>
        <w:t>合同价</w:t>
      </w:r>
      <w:r>
        <w:rPr>
          <w:sz w:val="21"/>
          <w:szCs w:val="21"/>
        </w:rPr>
        <w:t xml:space="preserve"> </w:t>
      </w:r>
      <w:r>
        <w:rPr>
          <w:spacing w:val="2"/>
          <w:sz w:val="21"/>
          <w:szCs w:val="21"/>
        </w:rPr>
        <w:t>格计算、调整和确认的建设工程施工合同，在约定的范围内合同总价不作调整。合同当</w:t>
      </w:r>
      <w:r>
        <w:rPr>
          <w:spacing w:val="1"/>
          <w:sz w:val="21"/>
          <w:szCs w:val="21"/>
        </w:rPr>
        <w:t>事人应在</w:t>
      </w:r>
      <w:r>
        <w:rPr>
          <w:sz w:val="21"/>
          <w:szCs w:val="21"/>
        </w:rPr>
        <w:t xml:space="preserve"> </w:t>
      </w:r>
      <w:r>
        <w:rPr>
          <w:spacing w:val="2"/>
          <w:sz w:val="21"/>
          <w:szCs w:val="21"/>
        </w:rPr>
        <w:t>专用合同条款中约定总价包含的风险范围和风险费用的计算方法，并约定风险范</w:t>
      </w:r>
      <w:r>
        <w:rPr>
          <w:spacing w:val="1"/>
          <w:sz w:val="21"/>
          <w:szCs w:val="21"/>
        </w:rPr>
        <w:t>围以外的合同价</w:t>
      </w:r>
    </w:p>
    <w:p w14:paraId="774FBA4E">
      <w:pPr>
        <w:spacing w:line="353" w:lineRule="auto"/>
        <w:rPr>
          <w:sz w:val="21"/>
          <w:szCs w:val="21"/>
        </w:rPr>
        <w:sectPr>
          <w:footerReference r:id="rId222" w:type="default"/>
          <w:pgSz w:w="11910" w:h="16840"/>
          <w:pgMar w:top="400" w:right="1515" w:bottom="1016" w:left="1450" w:header="0" w:footer="889" w:gutter="0"/>
          <w:cols w:space="720" w:num="1"/>
        </w:sectPr>
      </w:pPr>
    </w:p>
    <w:p w14:paraId="2ED295DD">
      <w:pPr>
        <w:spacing w:line="266" w:lineRule="auto"/>
        <w:rPr>
          <w:rFonts w:ascii="Arial"/>
          <w:sz w:val="21"/>
        </w:rPr>
      </w:pPr>
    </w:p>
    <w:p w14:paraId="38D5C839">
      <w:pPr>
        <w:spacing w:line="266" w:lineRule="auto"/>
        <w:rPr>
          <w:rFonts w:ascii="Arial"/>
          <w:sz w:val="21"/>
        </w:rPr>
      </w:pPr>
    </w:p>
    <w:p w14:paraId="29CADFFC">
      <w:pPr>
        <w:spacing w:line="266" w:lineRule="auto"/>
        <w:rPr>
          <w:rFonts w:ascii="Arial"/>
          <w:sz w:val="21"/>
        </w:rPr>
      </w:pPr>
    </w:p>
    <w:p w14:paraId="7DBABFC9">
      <w:pPr>
        <w:spacing w:line="266" w:lineRule="auto"/>
        <w:rPr>
          <w:rFonts w:ascii="Arial"/>
          <w:sz w:val="21"/>
        </w:rPr>
      </w:pPr>
    </w:p>
    <w:p w14:paraId="589EE1FE">
      <w:pPr>
        <w:spacing w:line="267" w:lineRule="auto"/>
        <w:rPr>
          <w:rFonts w:ascii="Arial"/>
          <w:sz w:val="21"/>
        </w:rPr>
      </w:pPr>
    </w:p>
    <w:p w14:paraId="2836FB61">
      <w:pPr>
        <w:pStyle w:val="2"/>
        <w:spacing w:before="68" w:line="360" w:lineRule="auto"/>
        <w:ind w:right="77"/>
        <w:rPr>
          <w:sz w:val="21"/>
          <w:szCs w:val="21"/>
        </w:rPr>
      </w:pPr>
      <w:r>
        <w:rPr>
          <w:spacing w:val="-2"/>
          <w:sz w:val="21"/>
          <w:szCs w:val="21"/>
        </w:rPr>
        <w:t>格的调整方法，其中因市场价格波动引起的调整按第11.1款〔市场价</w:t>
      </w:r>
      <w:r>
        <w:rPr>
          <w:spacing w:val="-3"/>
          <w:sz w:val="21"/>
          <w:szCs w:val="21"/>
        </w:rPr>
        <w:t>格波动引起的调整〕、因法律</w:t>
      </w:r>
      <w:r>
        <w:rPr>
          <w:sz w:val="21"/>
          <w:szCs w:val="21"/>
        </w:rPr>
        <w:t xml:space="preserve"> </w:t>
      </w:r>
      <w:r>
        <w:rPr>
          <w:spacing w:val="2"/>
          <w:sz w:val="21"/>
          <w:szCs w:val="21"/>
        </w:rPr>
        <w:t>变化引起的调整按第11.2款〔法律变化引起的调整〕约定执行。</w:t>
      </w:r>
    </w:p>
    <w:p w14:paraId="2F1AD1F3">
      <w:pPr>
        <w:pStyle w:val="2"/>
        <w:spacing w:before="1" w:line="217" w:lineRule="auto"/>
        <w:ind w:left="429"/>
        <w:rPr>
          <w:sz w:val="21"/>
          <w:szCs w:val="21"/>
        </w:rPr>
      </w:pPr>
      <w:r>
        <w:rPr>
          <w:spacing w:val="-5"/>
          <w:sz w:val="21"/>
          <w:szCs w:val="21"/>
        </w:rPr>
        <w:t>3.其它价格形式</w:t>
      </w:r>
    </w:p>
    <w:p w14:paraId="1AE62E55">
      <w:pPr>
        <w:pStyle w:val="2"/>
        <w:spacing w:before="152" w:line="218" w:lineRule="auto"/>
        <w:ind w:left="429"/>
        <w:rPr>
          <w:sz w:val="21"/>
          <w:szCs w:val="21"/>
        </w:rPr>
      </w:pPr>
      <w:r>
        <w:rPr>
          <w:spacing w:val="-2"/>
          <w:sz w:val="21"/>
          <w:szCs w:val="21"/>
        </w:rPr>
        <w:t>合同当事人可在专用合同条款中约定其他合同价格形式。</w:t>
      </w:r>
    </w:p>
    <w:p w14:paraId="33A95070">
      <w:pPr>
        <w:spacing w:before="129" w:line="222" w:lineRule="auto"/>
        <w:ind w:left="3"/>
        <w:rPr>
          <w:rFonts w:ascii="黑体" w:hAnsi="黑体" w:eastAsia="黑体" w:cs="黑体"/>
          <w:sz w:val="24"/>
          <w:szCs w:val="24"/>
        </w:rPr>
      </w:pPr>
      <w:r>
        <w:rPr>
          <w:rFonts w:ascii="黑体" w:hAnsi="黑体" w:eastAsia="黑体" w:cs="黑体"/>
          <w:b/>
          <w:bCs/>
          <w:spacing w:val="-2"/>
          <w:sz w:val="24"/>
          <w:szCs w:val="24"/>
        </w:rPr>
        <w:t>12.2预付款</w:t>
      </w:r>
    </w:p>
    <w:p w14:paraId="5E82BE20">
      <w:pPr>
        <w:pStyle w:val="2"/>
        <w:spacing w:before="145" w:line="219" w:lineRule="auto"/>
        <w:ind w:left="429"/>
        <w:rPr>
          <w:sz w:val="21"/>
          <w:szCs w:val="21"/>
        </w:rPr>
      </w:pPr>
      <w:r>
        <w:rPr>
          <w:spacing w:val="-2"/>
          <w:sz w:val="21"/>
          <w:szCs w:val="21"/>
        </w:rPr>
        <w:t>12.2.1预付款的支付</w:t>
      </w:r>
    </w:p>
    <w:p w14:paraId="572323F0">
      <w:pPr>
        <w:pStyle w:val="2"/>
        <w:spacing w:before="120" w:line="356" w:lineRule="auto"/>
        <w:ind w:firstLine="429"/>
        <w:rPr>
          <w:sz w:val="21"/>
          <w:szCs w:val="21"/>
        </w:rPr>
      </w:pPr>
      <w:r>
        <w:rPr>
          <w:spacing w:val="2"/>
          <w:sz w:val="21"/>
          <w:szCs w:val="21"/>
        </w:rPr>
        <w:t>预付款的支付按照专用合同条款约定执行，但至迟应在开工通知</w:t>
      </w:r>
      <w:r>
        <w:rPr>
          <w:spacing w:val="1"/>
          <w:sz w:val="21"/>
          <w:szCs w:val="21"/>
        </w:rPr>
        <w:t>载明的开工日期7天前支付。</w:t>
      </w:r>
      <w:r>
        <w:rPr>
          <w:sz w:val="21"/>
          <w:szCs w:val="21"/>
        </w:rPr>
        <w:t xml:space="preserve"> </w:t>
      </w:r>
      <w:r>
        <w:rPr>
          <w:spacing w:val="-1"/>
          <w:sz w:val="21"/>
          <w:szCs w:val="21"/>
        </w:rPr>
        <w:t>预付款应当用于材料、工程设备、施工设备的采购及修建临时工程、组织施工队伍进场等。</w:t>
      </w:r>
    </w:p>
    <w:p w14:paraId="081C03BC">
      <w:pPr>
        <w:pStyle w:val="2"/>
        <w:spacing w:line="360" w:lineRule="auto"/>
        <w:ind w:right="96" w:firstLine="429"/>
        <w:rPr>
          <w:sz w:val="21"/>
          <w:szCs w:val="21"/>
        </w:rPr>
      </w:pPr>
      <w:r>
        <w:rPr>
          <w:spacing w:val="2"/>
          <w:sz w:val="21"/>
          <w:szCs w:val="21"/>
        </w:rPr>
        <w:t>除专用合同条款另有约定外，预付款在进度付款中同比例扣回。在颁发工程接收证书前</w:t>
      </w:r>
      <w:r>
        <w:rPr>
          <w:spacing w:val="1"/>
          <w:sz w:val="21"/>
          <w:szCs w:val="21"/>
        </w:rPr>
        <w:t>，提</w:t>
      </w:r>
      <w:r>
        <w:rPr>
          <w:sz w:val="21"/>
          <w:szCs w:val="21"/>
        </w:rPr>
        <w:t xml:space="preserve"> </w:t>
      </w:r>
      <w:r>
        <w:rPr>
          <w:spacing w:val="-2"/>
          <w:sz w:val="21"/>
          <w:szCs w:val="21"/>
        </w:rPr>
        <w:t>前解除合同的，尚未扣完的预付款应与合同价款一并结算。</w:t>
      </w:r>
    </w:p>
    <w:p w14:paraId="5598DF66">
      <w:pPr>
        <w:pStyle w:val="2"/>
        <w:spacing w:before="2" w:line="345" w:lineRule="auto"/>
        <w:ind w:right="76" w:firstLine="429"/>
        <w:jc w:val="both"/>
        <w:rPr>
          <w:sz w:val="21"/>
          <w:szCs w:val="21"/>
        </w:rPr>
      </w:pPr>
      <w:r>
        <w:rPr>
          <w:spacing w:val="5"/>
          <w:sz w:val="21"/>
          <w:szCs w:val="21"/>
        </w:rPr>
        <w:t>发包人逾期支付预付款超过7天的，承包人有权向发</w:t>
      </w:r>
      <w:r>
        <w:rPr>
          <w:spacing w:val="4"/>
          <w:sz w:val="21"/>
          <w:szCs w:val="21"/>
        </w:rPr>
        <w:t>包人发出要求预付的催告通知，发包人</w:t>
      </w:r>
      <w:r>
        <w:rPr>
          <w:sz w:val="21"/>
          <w:szCs w:val="21"/>
        </w:rPr>
        <w:t xml:space="preserve"> </w:t>
      </w:r>
      <w:r>
        <w:rPr>
          <w:spacing w:val="5"/>
          <w:sz w:val="21"/>
          <w:szCs w:val="21"/>
        </w:rPr>
        <w:t>收到通知后7天内仍未支付的，承包人有权暂停施工，并按第16.1.1</w:t>
      </w:r>
      <w:r>
        <w:rPr>
          <w:spacing w:val="4"/>
          <w:sz w:val="21"/>
          <w:szCs w:val="21"/>
        </w:rPr>
        <w:t>项〔发包人违约的情形〕执</w:t>
      </w:r>
      <w:r>
        <w:rPr>
          <w:sz w:val="21"/>
          <w:szCs w:val="21"/>
        </w:rPr>
        <w:t xml:space="preserve"> </w:t>
      </w:r>
      <w:r>
        <w:rPr>
          <w:spacing w:val="-11"/>
          <w:sz w:val="21"/>
          <w:szCs w:val="21"/>
        </w:rPr>
        <w:t>行。</w:t>
      </w:r>
    </w:p>
    <w:p w14:paraId="0C0A07A1">
      <w:pPr>
        <w:pStyle w:val="2"/>
        <w:spacing w:before="12" w:line="219" w:lineRule="auto"/>
        <w:ind w:left="429"/>
        <w:rPr>
          <w:sz w:val="21"/>
          <w:szCs w:val="21"/>
        </w:rPr>
      </w:pPr>
      <w:r>
        <w:rPr>
          <w:sz w:val="21"/>
          <w:szCs w:val="21"/>
        </w:rPr>
        <w:t>12.2.2预付款担保</w:t>
      </w:r>
    </w:p>
    <w:p w14:paraId="090D5319">
      <w:pPr>
        <w:pStyle w:val="2"/>
        <w:spacing w:before="172" w:line="344" w:lineRule="auto"/>
        <w:ind w:firstLine="429"/>
        <w:rPr>
          <w:sz w:val="21"/>
          <w:szCs w:val="21"/>
        </w:rPr>
      </w:pPr>
      <w:r>
        <w:rPr>
          <w:spacing w:val="2"/>
          <w:sz w:val="21"/>
          <w:szCs w:val="21"/>
        </w:rPr>
        <w:t>发包人要求承包人提供预付款担保的，承包人应在发包人支付预</w:t>
      </w:r>
      <w:r>
        <w:rPr>
          <w:spacing w:val="1"/>
          <w:sz w:val="21"/>
          <w:szCs w:val="21"/>
        </w:rPr>
        <w:t>付款7天前提供预付款担保，</w:t>
      </w:r>
      <w:r>
        <w:rPr>
          <w:sz w:val="21"/>
          <w:szCs w:val="21"/>
        </w:rPr>
        <w:t xml:space="preserve"> </w:t>
      </w:r>
      <w:r>
        <w:rPr>
          <w:spacing w:val="2"/>
          <w:sz w:val="21"/>
          <w:szCs w:val="21"/>
        </w:rPr>
        <w:t>专用合同条款另有约定除外。预付款担保可采用银行保函、担保公司担保等形式，具体由合同当</w:t>
      </w:r>
      <w:r>
        <w:rPr>
          <w:spacing w:val="7"/>
          <w:sz w:val="21"/>
          <w:szCs w:val="21"/>
        </w:rPr>
        <w:t xml:space="preserve">  </w:t>
      </w:r>
      <w:r>
        <w:rPr>
          <w:sz w:val="21"/>
          <w:szCs w:val="21"/>
        </w:rPr>
        <w:t>事人在专用合同条款中约定。在预付款完全扣回之前，承包人应保证预付款担</w:t>
      </w:r>
      <w:r>
        <w:rPr>
          <w:spacing w:val="-1"/>
          <w:sz w:val="21"/>
          <w:szCs w:val="21"/>
        </w:rPr>
        <w:t>保持续有效。</w:t>
      </w:r>
    </w:p>
    <w:p w14:paraId="1C301853">
      <w:pPr>
        <w:pStyle w:val="2"/>
        <w:spacing w:before="5" w:line="345" w:lineRule="auto"/>
        <w:ind w:right="96" w:firstLine="429"/>
        <w:rPr>
          <w:sz w:val="21"/>
          <w:szCs w:val="21"/>
        </w:rPr>
      </w:pPr>
      <w:r>
        <w:rPr>
          <w:spacing w:val="2"/>
          <w:sz w:val="21"/>
          <w:szCs w:val="21"/>
        </w:rPr>
        <w:t>发包人在工程款中逐期扣回预付款后，预付款担保额度应相应减少，但剩余的预付款</w:t>
      </w:r>
      <w:r>
        <w:rPr>
          <w:spacing w:val="1"/>
          <w:sz w:val="21"/>
          <w:szCs w:val="21"/>
        </w:rPr>
        <w:t>担保金</w:t>
      </w:r>
      <w:r>
        <w:rPr>
          <w:sz w:val="21"/>
          <w:szCs w:val="21"/>
        </w:rPr>
        <w:t xml:space="preserve"> </w:t>
      </w:r>
      <w:r>
        <w:rPr>
          <w:spacing w:val="-1"/>
          <w:sz w:val="21"/>
          <w:szCs w:val="21"/>
        </w:rPr>
        <w:t>额不得低于未被扣回的预付款金额。</w:t>
      </w:r>
    </w:p>
    <w:p w14:paraId="7A461D91">
      <w:pPr>
        <w:spacing w:before="7" w:line="225" w:lineRule="auto"/>
        <w:ind w:left="3"/>
        <w:rPr>
          <w:rFonts w:ascii="黑体" w:hAnsi="黑体" w:eastAsia="黑体" w:cs="黑体"/>
          <w:sz w:val="24"/>
          <w:szCs w:val="24"/>
        </w:rPr>
      </w:pPr>
      <w:r>
        <w:rPr>
          <w:rFonts w:ascii="黑体" w:hAnsi="黑体" w:eastAsia="黑体" w:cs="黑体"/>
          <w:b/>
          <w:bCs/>
          <w:sz w:val="24"/>
          <w:szCs w:val="24"/>
        </w:rPr>
        <w:t>12.3计量</w:t>
      </w:r>
    </w:p>
    <w:p w14:paraId="1EC360B2">
      <w:pPr>
        <w:pStyle w:val="2"/>
        <w:spacing w:before="117" w:line="220" w:lineRule="auto"/>
        <w:ind w:left="429"/>
        <w:rPr>
          <w:sz w:val="21"/>
          <w:szCs w:val="21"/>
        </w:rPr>
      </w:pPr>
      <w:r>
        <w:rPr>
          <w:rFonts w:ascii="Times New Roman" w:hAnsi="Times New Roman" w:eastAsia="Times New Roman" w:cs="Times New Roman"/>
          <w:b/>
          <w:bCs/>
          <w:spacing w:val="-3"/>
          <w:sz w:val="21"/>
          <w:szCs w:val="21"/>
        </w:rPr>
        <w:t>12.3.1</w:t>
      </w:r>
      <w:r>
        <w:rPr>
          <w:rFonts w:ascii="Times New Roman" w:hAnsi="Times New Roman" w:eastAsia="Times New Roman" w:cs="Times New Roman"/>
          <w:b/>
          <w:bCs/>
          <w:spacing w:val="16"/>
          <w:sz w:val="21"/>
          <w:szCs w:val="21"/>
        </w:rPr>
        <w:t xml:space="preserve">  </w:t>
      </w:r>
      <w:r>
        <w:rPr>
          <w:spacing w:val="-3"/>
          <w:sz w:val="21"/>
          <w:szCs w:val="21"/>
        </w:rPr>
        <w:t>计量原则</w:t>
      </w:r>
    </w:p>
    <w:p w14:paraId="017204EF">
      <w:pPr>
        <w:pStyle w:val="2"/>
        <w:spacing w:before="138" w:line="361" w:lineRule="auto"/>
        <w:ind w:right="66" w:firstLine="429"/>
        <w:rPr>
          <w:sz w:val="21"/>
          <w:szCs w:val="21"/>
        </w:rPr>
      </w:pPr>
      <w:r>
        <w:rPr>
          <w:spacing w:val="3"/>
          <w:sz w:val="21"/>
          <w:szCs w:val="21"/>
        </w:rPr>
        <w:t>工程量计量按照合同约定的工程量计算规则、图纸及变更指示</w:t>
      </w:r>
      <w:r>
        <w:rPr>
          <w:spacing w:val="2"/>
          <w:sz w:val="21"/>
          <w:szCs w:val="21"/>
        </w:rPr>
        <w:t>等进行计量。工程量计算规则</w:t>
      </w:r>
      <w:r>
        <w:rPr>
          <w:sz w:val="21"/>
          <w:szCs w:val="21"/>
        </w:rPr>
        <w:t xml:space="preserve"> 应以相关的国家标准、行业标准等为依据，由合同当事人在专用合同</w:t>
      </w:r>
      <w:r>
        <w:rPr>
          <w:spacing w:val="-1"/>
          <w:sz w:val="21"/>
          <w:szCs w:val="21"/>
        </w:rPr>
        <w:t>条款中约定。</w:t>
      </w:r>
    </w:p>
    <w:p w14:paraId="15695D97">
      <w:pPr>
        <w:pStyle w:val="2"/>
        <w:spacing w:line="220" w:lineRule="auto"/>
        <w:ind w:left="429"/>
        <w:rPr>
          <w:sz w:val="21"/>
          <w:szCs w:val="21"/>
        </w:rPr>
      </w:pPr>
      <w:r>
        <w:rPr>
          <w:spacing w:val="-9"/>
          <w:sz w:val="21"/>
          <w:szCs w:val="21"/>
        </w:rPr>
        <w:t>12.3.2</w:t>
      </w:r>
      <w:r>
        <w:rPr>
          <w:spacing w:val="-23"/>
          <w:sz w:val="21"/>
          <w:szCs w:val="21"/>
        </w:rPr>
        <w:t xml:space="preserve"> </w:t>
      </w:r>
      <w:r>
        <w:rPr>
          <w:spacing w:val="-9"/>
          <w:sz w:val="21"/>
          <w:szCs w:val="21"/>
        </w:rPr>
        <w:t>计量周期</w:t>
      </w:r>
    </w:p>
    <w:p w14:paraId="514E6A96">
      <w:pPr>
        <w:pStyle w:val="2"/>
        <w:spacing w:before="149" w:line="219" w:lineRule="auto"/>
        <w:ind w:left="429"/>
        <w:rPr>
          <w:sz w:val="21"/>
          <w:szCs w:val="21"/>
        </w:rPr>
      </w:pPr>
      <w:r>
        <w:rPr>
          <w:spacing w:val="-1"/>
          <w:sz w:val="21"/>
          <w:szCs w:val="21"/>
        </w:rPr>
        <w:t>除专用合同条款另有约定外，工程量的计量按月进行。</w:t>
      </w:r>
    </w:p>
    <w:p w14:paraId="557D0025">
      <w:pPr>
        <w:pStyle w:val="2"/>
        <w:spacing w:before="139" w:line="218" w:lineRule="auto"/>
        <w:ind w:left="429"/>
        <w:rPr>
          <w:sz w:val="21"/>
          <w:szCs w:val="21"/>
        </w:rPr>
      </w:pPr>
      <w:r>
        <w:rPr>
          <w:sz w:val="21"/>
          <w:szCs w:val="21"/>
        </w:rPr>
        <w:t>12.3.3单价合同的计量</w:t>
      </w:r>
    </w:p>
    <w:p w14:paraId="5D6E9EC4">
      <w:pPr>
        <w:pStyle w:val="2"/>
        <w:spacing w:before="172" w:line="218" w:lineRule="auto"/>
        <w:ind w:left="429"/>
        <w:rPr>
          <w:sz w:val="21"/>
          <w:szCs w:val="21"/>
        </w:rPr>
      </w:pPr>
      <w:r>
        <w:rPr>
          <w:spacing w:val="-1"/>
          <w:sz w:val="21"/>
          <w:szCs w:val="21"/>
        </w:rPr>
        <w:t>除专用合同条款另有约定外，单价合同的计量按照本项约定执行：</w:t>
      </w:r>
    </w:p>
    <w:p w14:paraId="2CC2843B">
      <w:pPr>
        <w:pStyle w:val="2"/>
        <w:spacing w:before="122" w:line="295" w:lineRule="auto"/>
        <w:ind w:right="96" w:firstLine="529"/>
        <w:rPr>
          <w:sz w:val="21"/>
          <w:szCs w:val="21"/>
        </w:rPr>
      </w:pPr>
      <w:r>
        <w:rPr>
          <w:spacing w:val="12"/>
          <w:sz w:val="21"/>
          <w:szCs w:val="21"/>
        </w:rPr>
        <w:t>(1)承包人应于每月25日向监理人报送上月20日至当月19日已完成的工程量报告，并附</w:t>
      </w:r>
      <w:r>
        <w:rPr>
          <w:sz w:val="21"/>
          <w:szCs w:val="21"/>
        </w:rPr>
        <w:t xml:space="preserve"> </w:t>
      </w:r>
      <w:r>
        <w:rPr>
          <w:spacing w:val="-2"/>
          <w:sz w:val="21"/>
          <w:szCs w:val="21"/>
        </w:rPr>
        <w:t>具进度付款申请单、已完成工程量报表和有关资料。</w:t>
      </w:r>
    </w:p>
    <w:p w14:paraId="635FCBEE">
      <w:pPr>
        <w:pStyle w:val="2"/>
        <w:spacing w:before="161" w:line="312" w:lineRule="auto"/>
        <w:ind w:right="67" w:firstLine="560"/>
        <w:rPr>
          <w:sz w:val="21"/>
          <w:szCs w:val="21"/>
        </w:rPr>
      </w:pPr>
      <w:r>
        <w:rPr>
          <w:spacing w:val="5"/>
          <w:sz w:val="21"/>
          <w:szCs w:val="21"/>
        </w:rPr>
        <w:t>(2)监理人应在收到承包人提交的工程量报告后</w:t>
      </w:r>
      <w:r>
        <w:rPr>
          <w:spacing w:val="4"/>
          <w:sz w:val="21"/>
          <w:szCs w:val="21"/>
        </w:rPr>
        <w:t>7天内完成对承包人提交的工程量报表的审</w:t>
      </w:r>
      <w:r>
        <w:rPr>
          <w:sz w:val="21"/>
          <w:szCs w:val="21"/>
        </w:rPr>
        <w:t xml:space="preserve"> </w:t>
      </w:r>
      <w:r>
        <w:rPr>
          <w:spacing w:val="2"/>
          <w:sz w:val="21"/>
          <w:szCs w:val="21"/>
        </w:rPr>
        <w:t>核并报送发包人，以确定当月实际完成的工程量。监理人对工程量有异议的，有权要求承包人进</w:t>
      </w:r>
      <w:r>
        <w:rPr>
          <w:spacing w:val="3"/>
          <w:sz w:val="21"/>
          <w:szCs w:val="21"/>
        </w:rPr>
        <w:t xml:space="preserve"> </w:t>
      </w:r>
      <w:r>
        <w:rPr>
          <w:spacing w:val="2"/>
          <w:sz w:val="21"/>
          <w:szCs w:val="21"/>
        </w:rPr>
        <w:t>行共同复核或抽样复测。承包人应协助监理人进行复核或抽样复测，并按监理人要求提供补充计</w:t>
      </w:r>
      <w:r>
        <w:rPr>
          <w:spacing w:val="4"/>
          <w:sz w:val="21"/>
          <w:szCs w:val="21"/>
        </w:rPr>
        <w:t xml:space="preserve"> </w:t>
      </w:r>
      <w:r>
        <w:rPr>
          <w:spacing w:val="2"/>
          <w:sz w:val="21"/>
          <w:szCs w:val="21"/>
        </w:rPr>
        <w:t>量资料。承包人未按监理人要求参加复核或抽样复测的，监理人复核或修正的工程量视为承包人</w:t>
      </w:r>
    </w:p>
    <w:p w14:paraId="6A4D36C3">
      <w:pPr>
        <w:spacing w:line="312" w:lineRule="auto"/>
        <w:rPr>
          <w:sz w:val="21"/>
          <w:szCs w:val="21"/>
        </w:rPr>
        <w:sectPr>
          <w:footerReference r:id="rId223" w:type="default"/>
          <w:pgSz w:w="11910" w:h="16840"/>
          <w:pgMar w:top="400" w:right="1454" w:bottom="1024" w:left="1450" w:header="0" w:footer="889" w:gutter="0"/>
          <w:cols w:space="720" w:num="1"/>
        </w:sectPr>
      </w:pPr>
    </w:p>
    <w:p w14:paraId="242F9084">
      <w:pPr>
        <w:spacing w:line="270" w:lineRule="auto"/>
        <w:rPr>
          <w:rFonts w:ascii="Arial"/>
          <w:sz w:val="21"/>
        </w:rPr>
      </w:pPr>
    </w:p>
    <w:p w14:paraId="0EAFF7D9">
      <w:pPr>
        <w:spacing w:line="271" w:lineRule="auto"/>
        <w:rPr>
          <w:rFonts w:ascii="Arial"/>
          <w:sz w:val="21"/>
        </w:rPr>
      </w:pPr>
    </w:p>
    <w:p w14:paraId="6B99F4C6">
      <w:pPr>
        <w:spacing w:line="271" w:lineRule="auto"/>
        <w:rPr>
          <w:rFonts w:ascii="Arial"/>
          <w:sz w:val="21"/>
        </w:rPr>
      </w:pPr>
    </w:p>
    <w:p w14:paraId="52613F2D">
      <w:pPr>
        <w:spacing w:line="271" w:lineRule="auto"/>
        <w:rPr>
          <w:rFonts w:ascii="Arial"/>
          <w:sz w:val="21"/>
        </w:rPr>
      </w:pPr>
    </w:p>
    <w:p w14:paraId="3A46BB31">
      <w:pPr>
        <w:spacing w:line="271" w:lineRule="auto"/>
        <w:rPr>
          <w:rFonts w:ascii="Arial"/>
          <w:sz w:val="21"/>
        </w:rPr>
      </w:pPr>
    </w:p>
    <w:p w14:paraId="26C7451C">
      <w:pPr>
        <w:pStyle w:val="2"/>
        <w:spacing w:before="65" w:line="219" w:lineRule="auto"/>
        <w:rPr>
          <w:sz w:val="20"/>
          <w:szCs w:val="20"/>
        </w:rPr>
      </w:pPr>
      <w:r>
        <w:rPr>
          <w:spacing w:val="5"/>
          <w:sz w:val="20"/>
          <w:szCs w:val="20"/>
        </w:rPr>
        <w:t>实际完成的工程量。</w:t>
      </w:r>
    </w:p>
    <w:p w14:paraId="56C4F517">
      <w:pPr>
        <w:pStyle w:val="2"/>
        <w:spacing w:before="182" w:line="360" w:lineRule="auto"/>
        <w:ind w:right="92" w:firstLine="519"/>
        <w:rPr>
          <w:sz w:val="20"/>
          <w:szCs w:val="20"/>
        </w:rPr>
      </w:pPr>
      <w:r>
        <w:rPr>
          <w:spacing w:val="14"/>
          <w:sz w:val="20"/>
          <w:szCs w:val="20"/>
        </w:rPr>
        <w:t>(3)监理人未在收到承包人提交的工程量报表后的7天内完成审核的，承包人报送的工程量</w:t>
      </w:r>
      <w:r>
        <w:rPr>
          <w:spacing w:val="12"/>
          <w:sz w:val="20"/>
          <w:szCs w:val="20"/>
        </w:rPr>
        <w:t xml:space="preserve"> </w:t>
      </w:r>
      <w:r>
        <w:rPr>
          <w:spacing w:val="9"/>
          <w:sz w:val="20"/>
          <w:szCs w:val="20"/>
        </w:rPr>
        <w:t>报告中的工程量视为承包人实际完成的工程量，据此计算工程价</w:t>
      </w:r>
      <w:r>
        <w:rPr>
          <w:spacing w:val="8"/>
          <w:sz w:val="20"/>
          <w:szCs w:val="20"/>
        </w:rPr>
        <w:t>款。</w:t>
      </w:r>
    </w:p>
    <w:p w14:paraId="1DFC036C">
      <w:pPr>
        <w:pStyle w:val="2"/>
        <w:spacing w:before="8" w:line="218" w:lineRule="auto"/>
        <w:ind w:left="422"/>
        <w:rPr>
          <w:sz w:val="20"/>
          <w:szCs w:val="20"/>
        </w:rPr>
      </w:pPr>
      <w:r>
        <w:rPr>
          <w:b/>
          <w:bCs/>
          <w:spacing w:val="-1"/>
          <w:sz w:val="20"/>
          <w:szCs w:val="20"/>
        </w:rPr>
        <w:t>12.3.4</w:t>
      </w:r>
      <w:r>
        <w:rPr>
          <w:spacing w:val="-1"/>
          <w:sz w:val="20"/>
          <w:szCs w:val="20"/>
        </w:rPr>
        <w:t xml:space="preserve"> 总价合同的计量</w:t>
      </w:r>
    </w:p>
    <w:p w14:paraId="73628345">
      <w:pPr>
        <w:pStyle w:val="2"/>
        <w:spacing w:before="163" w:line="218" w:lineRule="auto"/>
        <w:ind w:left="419"/>
        <w:rPr>
          <w:sz w:val="20"/>
          <w:szCs w:val="20"/>
        </w:rPr>
      </w:pPr>
      <w:r>
        <w:rPr>
          <w:spacing w:val="9"/>
          <w:sz w:val="20"/>
          <w:szCs w:val="20"/>
        </w:rPr>
        <w:t>除专用合同条款另有约定外，按月计量支付的总价合同，按照本项约定执行：</w:t>
      </w:r>
    </w:p>
    <w:p w14:paraId="5D097D16">
      <w:pPr>
        <w:pStyle w:val="2"/>
        <w:spacing w:before="174" w:line="286" w:lineRule="auto"/>
        <w:ind w:right="131" w:firstLine="519"/>
        <w:rPr>
          <w:sz w:val="20"/>
          <w:szCs w:val="20"/>
        </w:rPr>
      </w:pPr>
      <w:r>
        <w:rPr>
          <w:spacing w:val="20"/>
          <w:sz w:val="20"/>
          <w:szCs w:val="20"/>
        </w:rPr>
        <w:t>(1)承包人应于每月25日向监理人报送上月20日至当月19日已完成的工程量报告，并附</w:t>
      </w:r>
      <w:r>
        <w:rPr>
          <w:spacing w:val="7"/>
          <w:sz w:val="20"/>
          <w:szCs w:val="20"/>
        </w:rPr>
        <w:t xml:space="preserve"> </w:t>
      </w:r>
      <w:r>
        <w:rPr>
          <w:spacing w:val="8"/>
          <w:sz w:val="20"/>
          <w:szCs w:val="20"/>
        </w:rPr>
        <w:t>具进度付款申请单、已完成工程量报表和有关资料。</w:t>
      </w:r>
    </w:p>
    <w:p w14:paraId="19E55B5C">
      <w:pPr>
        <w:pStyle w:val="2"/>
        <w:spacing w:before="178" w:line="340" w:lineRule="auto"/>
        <w:ind w:right="90" w:firstLine="519"/>
        <w:rPr>
          <w:sz w:val="20"/>
          <w:szCs w:val="20"/>
        </w:rPr>
      </w:pPr>
      <w:r>
        <w:rPr>
          <w:spacing w:val="14"/>
          <w:sz w:val="20"/>
          <w:szCs w:val="20"/>
        </w:rPr>
        <w:t>(2)监理人应在收到承包人提交的工程量报告后7</w:t>
      </w:r>
      <w:r>
        <w:rPr>
          <w:spacing w:val="13"/>
          <w:sz w:val="20"/>
          <w:szCs w:val="20"/>
        </w:rPr>
        <w:t>天内完成对承包人提交的工程量报表的审</w:t>
      </w:r>
      <w:r>
        <w:rPr>
          <w:sz w:val="20"/>
          <w:szCs w:val="20"/>
        </w:rPr>
        <w:t xml:space="preserve"> </w:t>
      </w:r>
      <w:r>
        <w:rPr>
          <w:spacing w:val="12"/>
          <w:sz w:val="20"/>
          <w:szCs w:val="20"/>
        </w:rPr>
        <w:t>核并报送发包人，以确定当月实际完成的工程量。监理人对工程量有异议的，有权要求承包人进</w:t>
      </w:r>
      <w:r>
        <w:rPr>
          <w:spacing w:val="3"/>
          <w:sz w:val="20"/>
          <w:szCs w:val="20"/>
        </w:rPr>
        <w:t xml:space="preserve"> </w:t>
      </w:r>
      <w:r>
        <w:rPr>
          <w:spacing w:val="12"/>
          <w:sz w:val="20"/>
          <w:szCs w:val="20"/>
        </w:rPr>
        <w:t>行共同复核或抽样复测。承包人应协助监理人进行复核或抽样复测并按监理人要求提供补充计量</w:t>
      </w:r>
      <w:r>
        <w:rPr>
          <w:spacing w:val="3"/>
          <w:sz w:val="20"/>
          <w:szCs w:val="20"/>
        </w:rPr>
        <w:t xml:space="preserve"> </w:t>
      </w:r>
      <w:r>
        <w:rPr>
          <w:spacing w:val="12"/>
          <w:sz w:val="20"/>
          <w:szCs w:val="20"/>
        </w:rPr>
        <w:t>资料。承包人未按监理人要求参加复核或抽样复测的，监理人审核或修正的工程量视为承包人实</w:t>
      </w:r>
      <w:r>
        <w:rPr>
          <w:spacing w:val="5"/>
          <w:sz w:val="20"/>
          <w:szCs w:val="20"/>
        </w:rPr>
        <w:t xml:space="preserve"> </w:t>
      </w:r>
      <w:r>
        <w:rPr>
          <w:spacing w:val="4"/>
          <w:sz w:val="20"/>
          <w:szCs w:val="20"/>
        </w:rPr>
        <w:t>际完成的工程量。</w:t>
      </w:r>
    </w:p>
    <w:p w14:paraId="17C90E19">
      <w:pPr>
        <w:pStyle w:val="2"/>
        <w:spacing w:before="132" w:line="307" w:lineRule="auto"/>
        <w:ind w:right="92" w:firstLine="519"/>
        <w:rPr>
          <w:sz w:val="20"/>
          <w:szCs w:val="20"/>
        </w:rPr>
      </w:pPr>
      <w:r>
        <w:rPr>
          <w:spacing w:val="14"/>
          <w:sz w:val="20"/>
          <w:szCs w:val="20"/>
        </w:rPr>
        <w:t>(3)监理人未在收到承包人提交的工程量报表后的7天内完成复核的，承包人提交的工程量</w:t>
      </w:r>
      <w:r>
        <w:rPr>
          <w:spacing w:val="12"/>
          <w:sz w:val="20"/>
          <w:szCs w:val="20"/>
        </w:rPr>
        <w:t xml:space="preserve"> </w:t>
      </w:r>
      <w:r>
        <w:rPr>
          <w:spacing w:val="8"/>
          <w:sz w:val="20"/>
          <w:szCs w:val="20"/>
        </w:rPr>
        <w:t>报告中的工程量视为承包人实际完成的工程量。</w:t>
      </w:r>
    </w:p>
    <w:p w14:paraId="36633EAC">
      <w:pPr>
        <w:pStyle w:val="2"/>
        <w:spacing w:before="174" w:line="284" w:lineRule="auto"/>
        <w:ind w:right="66" w:firstLine="419"/>
        <w:rPr>
          <w:sz w:val="20"/>
          <w:szCs w:val="20"/>
        </w:rPr>
      </w:pPr>
      <w:r>
        <w:rPr>
          <w:spacing w:val="9"/>
          <w:sz w:val="20"/>
          <w:szCs w:val="20"/>
        </w:rPr>
        <w:t>12.3.5 总价合同采用支付分解表计量支付的，可以按照第12.3.4项</w:t>
      </w:r>
      <w:r>
        <w:rPr>
          <w:spacing w:val="8"/>
          <w:sz w:val="20"/>
          <w:szCs w:val="20"/>
        </w:rPr>
        <w:t>〔总价合同的计量〕约定</w:t>
      </w:r>
      <w:r>
        <w:rPr>
          <w:sz w:val="20"/>
          <w:szCs w:val="20"/>
        </w:rPr>
        <w:t xml:space="preserve"> </w:t>
      </w:r>
      <w:r>
        <w:rPr>
          <w:spacing w:val="8"/>
          <w:sz w:val="20"/>
          <w:szCs w:val="20"/>
        </w:rPr>
        <w:t>进行计量，但合同价款按照支付分解表进行支付。</w:t>
      </w:r>
    </w:p>
    <w:p w14:paraId="3C391EC9">
      <w:pPr>
        <w:pStyle w:val="2"/>
        <w:spacing w:before="174" w:line="218" w:lineRule="auto"/>
        <w:ind w:left="419"/>
        <w:rPr>
          <w:sz w:val="20"/>
          <w:szCs w:val="20"/>
        </w:rPr>
      </w:pPr>
      <w:r>
        <w:rPr>
          <w:spacing w:val="8"/>
          <w:sz w:val="20"/>
          <w:szCs w:val="20"/>
        </w:rPr>
        <w:t>12.3.6其他价格形式合同的计量</w:t>
      </w:r>
    </w:p>
    <w:p w14:paraId="20E875AB">
      <w:pPr>
        <w:pStyle w:val="2"/>
        <w:spacing w:before="164" w:line="218" w:lineRule="auto"/>
        <w:ind w:left="419"/>
        <w:rPr>
          <w:sz w:val="20"/>
          <w:szCs w:val="20"/>
        </w:rPr>
      </w:pPr>
      <w:r>
        <w:rPr>
          <w:spacing w:val="9"/>
          <w:sz w:val="20"/>
          <w:szCs w:val="20"/>
        </w:rPr>
        <w:t>合同当事人可在专用合同条款中约定其他价格形式合同的计量方式和程序。</w:t>
      </w:r>
    </w:p>
    <w:p w14:paraId="77A5EEF1">
      <w:pPr>
        <w:spacing w:before="112" w:line="222" w:lineRule="auto"/>
        <w:ind w:left="3"/>
        <w:rPr>
          <w:rFonts w:ascii="黑体" w:hAnsi="黑体" w:eastAsia="黑体" w:cs="黑体"/>
          <w:sz w:val="25"/>
          <w:szCs w:val="25"/>
        </w:rPr>
      </w:pPr>
      <w:r>
        <w:rPr>
          <w:rFonts w:ascii="黑体" w:hAnsi="黑体" w:eastAsia="黑体" w:cs="黑体"/>
          <w:b/>
          <w:bCs/>
          <w:spacing w:val="-5"/>
          <w:sz w:val="25"/>
          <w:szCs w:val="25"/>
        </w:rPr>
        <w:t>12.4工程进度款支付</w:t>
      </w:r>
    </w:p>
    <w:p w14:paraId="1F2349A0">
      <w:pPr>
        <w:pStyle w:val="2"/>
        <w:spacing w:before="143" w:line="219" w:lineRule="auto"/>
        <w:ind w:left="419"/>
        <w:rPr>
          <w:sz w:val="20"/>
          <w:szCs w:val="20"/>
        </w:rPr>
      </w:pPr>
      <w:r>
        <w:rPr>
          <w:spacing w:val="8"/>
          <w:sz w:val="20"/>
          <w:szCs w:val="20"/>
        </w:rPr>
        <w:t>12.4.1付款周期</w:t>
      </w:r>
    </w:p>
    <w:p w14:paraId="3806D687">
      <w:pPr>
        <w:pStyle w:val="2"/>
        <w:spacing w:before="182" w:line="353" w:lineRule="auto"/>
        <w:ind w:right="93" w:firstLine="419"/>
        <w:rPr>
          <w:sz w:val="20"/>
          <w:szCs w:val="20"/>
        </w:rPr>
      </w:pPr>
      <w:r>
        <w:rPr>
          <w:spacing w:val="11"/>
          <w:sz w:val="20"/>
          <w:szCs w:val="20"/>
        </w:rPr>
        <w:t>除专用合同条款另有约定外，付款周期应按照第12.3.2项〔计量周期〕的约定与计量周期保</w:t>
      </w:r>
      <w:r>
        <w:rPr>
          <w:spacing w:val="12"/>
          <w:sz w:val="20"/>
          <w:szCs w:val="20"/>
        </w:rPr>
        <w:t xml:space="preserve"> </w:t>
      </w:r>
      <w:r>
        <w:rPr>
          <w:spacing w:val="2"/>
          <w:sz w:val="20"/>
          <w:szCs w:val="20"/>
        </w:rPr>
        <w:t>持一致。</w:t>
      </w:r>
    </w:p>
    <w:p w14:paraId="2D482DB6">
      <w:pPr>
        <w:pStyle w:val="2"/>
        <w:spacing w:before="26" w:line="219" w:lineRule="auto"/>
        <w:ind w:left="419"/>
        <w:rPr>
          <w:sz w:val="20"/>
          <w:szCs w:val="20"/>
        </w:rPr>
      </w:pPr>
      <w:r>
        <w:rPr>
          <w:spacing w:val="8"/>
          <w:sz w:val="20"/>
          <w:szCs w:val="20"/>
        </w:rPr>
        <w:t>12.4.2进度付款申请单的编制</w:t>
      </w:r>
    </w:p>
    <w:p w14:paraId="731C65FA">
      <w:pPr>
        <w:pStyle w:val="2"/>
        <w:spacing w:before="163" w:line="219" w:lineRule="auto"/>
        <w:ind w:left="419"/>
        <w:rPr>
          <w:sz w:val="20"/>
          <w:szCs w:val="20"/>
        </w:rPr>
      </w:pPr>
      <w:r>
        <w:rPr>
          <w:spacing w:val="9"/>
          <w:sz w:val="20"/>
          <w:szCs w:val="20"/>
        </w:rPr>
        <w:t>除专用合同条款另有约定外，进度付款申请单应包括下</w:t>
      </w:r>
      <w:r>
        <w:rPr>
          <w:spacing w:val="8"/>
          <w:sz w:val="20"/>
          <w:szCs w:val="20"/>
        </w:rPr>
        <w:t>列内容：</w:t>
      </w:r>
    </w:p>
    <w:p w14:paraId="6CBB559C">
      <w:pPr>
        <w:pStyle w:val="2"/>
        <w:spacing w:before="161" w:line="219" w:lineRule="auto"/>
        <w:ind w:left="519"/>
        <w:rPr>
          <w:sz w:val="20"/>
          <w:szCs w:val="20"/>
        </w:rPr>
      </w:pPr>
      <w:r>
        <w:rPr>
          <w:spacing w:val="11"/>
          <w:sz w:val="20"/>
          <w:szCs w:val="20"/>
        </w:rPr>
        <w:t>(1)截至本次付款周期已完成工作对应的金额；</w:t>
      </w:r>
    </w:p>
    <w:p w14:paraId="371A976A">
      <w:pPr>
        <w:pStyle w:val="2"/>
        <w:spacing w:before="154" w:line="219" w:lineRule="auto"/>
        <w:ind w:left="519"/>
        <w:rPr>
          <w:sz w:val="20"/>
          <w:szCs w:val="20"/>
        </w:rPr>
      </w:pPr>
      <w:r>
        <w:rPr>
          <w:spacing w:val="16"/>
          <w:sz w:val="20"/>
          <w:szCs w:val="20"/>
        </w:rPr>
        <w:t>(2)根据第10条〔变更〕应增加和扣减的变更金</w:t>
      </w:r>
      <w:r>
        <w:rPr>
          <w:spacing w:val="15"/>
          <w:sz w:val="20"/>
          <w:szCs w:val="20"/>
        </w:rPr>
        <w:t>额；</w:t>
      </w:r>
    </w:p>
    <w:p w14:paraId="37DFC909">
      <w:pPr>
        <w:pStyle w:val="2"/>
        <w:spacing w:before="183" w:line="219" w:lineRule="auto"/>
        <w:ind w:left="519"/>
        <w:rPr>
          <w:sz w:val="20"/>
          <w:szCs w:val="20"/>
        </w:rPr>
      </w:pPr>
      <w:r>
        <w:rPr>
          <w:spacing w:val="13"/>
          <w:sz w:val="20"/>
          <w:szCs w:val="20"/>
        </w:rPr>
        <w:t>(3)根据第12.2款〔预付款〕约定应支付的预付款和扣减的返还预付款；</w:t>
      </w:r>
    </w:p>
    <w:p w14:paraId="60096A92">
      <w:pPr>
        <w:pStyle w:val="2"/>
        <w:spacing w:before="143" w:line="219" w:lineRule="auto"/>
        <w:ind w:left="519"/>
        <w:rPr>
          <w:sz w:val="20"/>
          <w:szCs w:val="20"/>
        </w:rPr>
      </w:pPr>
      <w:r>
        <w:rPr>
          <w:spacing w:val="13"/>
          <w:sz w:val="20"/>
          <w:szCs w:val="20"/>
        </w:rPr>
        <w:t>(4)根据第15.3款〔质量保证金〕约定应扣减的质量保证</w:t>
      </w:r>
      <w:r>
        <w:rPr>
          <w:spacing w:val="12"/>
          <w:sz w:val="20"/>
          <w:szCs w:val="20"/>
        </w:rPr>
        <w:t>金；</w:t>
      </w:r>
    </w:p>
    <w:p w14:paraId="1E81E71B">
      <w:pPr>
        <w:pStyle w:val="2"/>
        <w:spacing w:before="163" w:line="219" w:lineRule="auto"/>
        <w:ind w:left="519"/>
        <w:rPr>
          <w:sz w:val="20"/>
          <w:szCs w:val="20"/>
        </w:rPr>
      </w:pPr>
      <w:r>
        <w:rPr>
          <w:spacing w:val="16"/>
          <w:sz w:val="20"/>
          <w:szCs w:val="20"/>
        </w:rPr>
        <w:t>(5)根据第19条〔索赔〕应增加和扣减的索赔金</w:t>
      </w:r>
      <w:r>
        <w:rPr>
          <w:spacing w:val="15"/>
          <w:sz w:val="20"/>
          <w:szCs w:val="20"/>
        </w:rPr>
        <w:t>额；</w:t>
      </w:r>
    </w:p>
    <w:p w14:paraId="2C38074D">
      <w:pPr>
        <w:pStyle w:val="2"/>
        <w:spacing w:before="181" w:line="219" w:lineRule="auto"/>
        <w:jc w:val="right"/>
        <w:rPr>
          <w:sz w:val="20"/>
          <w:szCs w:val="20"/>
        </w:rPr>
      </w:pPr>
      <w:r>
        <w:rPr>
          <w:spacing w:val="9"/>
          <w:sz w:val="20"/>
          <w:szCs w:val="20"/>
        </w:rPr>
        <w:t>(6)对已签发的进度款支付证书中出现错误的修正，应在本次进度付款中支付或扣除的金额；</w:t>
      </w:r>
    </w:p>
    <w:p w14:paraId="4FE857B2">
      <w:pPr>
        <w:pStyle w:val="2"/>
        <w:spacing w:before="154" w:line="219" w:lineRule="auto"/>
        <w:ind w:left="519"/>
        <w:rPr>
          <w:sz w:val="20"/>
          <w:szCs w:val="20"/>
        </w:rPr>
      </w:pPr>
      <w:r>
        <w:rPr>
          <w:spacing w:val="13"/>
          <w:sz w:val="20"/>
          <w:szCs w:val="20"/>
        </w:rPr>
        <w:t>(7)根据合同约定应增加和扣减的其他金额。</w:t>
      </w:r>
    </w:p>
    <w:p w14:paraId="164ED775">
      <w:pPr>
        <w:pStyle w:val="2"/>
        <w:spacing w:before="153" w:line="219" w:lineRule="auto"/>
        <w:ind w:left="419"/>
        <w:rPr>
          <w:sz w:val="20"/>
          <w:szCs w:val="20"/>
        </w:rPr>
      </w:pPr>
      <w:r>
        <w:rPr>
          <w:spacing w:val="8"/>
          <w:sz w:val="20"/>
          <w:szCs w:val="20"/>
        </w:rPr>
        <w:t>12.4.3进度付款申请单的提交</w:t>
      </w:r>
    </w:p>
    <w:p w14:paraId="229D32A6">
      <w:pPr>
        <w:pStyle w:val="2"/>
        <w:spacing w:before="171" w:line="218" w:lineRule="auto"/>
        <w:ind w:left="519"/>
        <w:rPr>
          <w:sz w:val="20"/>
          <w:szCs w:val="20"/>
        </w:rPr>
      </w:pPr>
      <w:r>
        <w:rPr>
          <w:spacing w:val="15"/>
          <w:sz w:val="20"/>
          <w:szCs w:val="20"/>
        </w:rPr>
        <w:t>(1)单价合同进度付款申请单的提交</w:t>
      </w:r>
    </w:p>
    <w:p w14:paraId="41575AD4">
      <w:pPr>
        <w:spacing w:line="218" w:lineRule="auto"/>
        <w:rPr>
          <w:sz w:val="20"/>
          <w:szCs w:val="20"/>
        </w:rPr>
        <w:sectPr>
          <w:footerReference r:id="rId224" w:type="default"/>
          <w:pgSz w:w="11910" w:h="16840"/>
          <w:pgMar w:top="400" w:right="1449" w:bottom="1016" w:left="1460" w:header="0" w:footer="889" w:gutter="0"/>
          <w:cols w:space="720" w:num="1"/>
        </w:sectPr>
      </w:pPr>
    </w:p>
    <w:p w14:paraId="13B00BD4">
      <w:pPr>
        <w:spacing w:line="269" w:lineRule="auto"/>
        <w:rPr>
          <w:rFonts w:ascii="Arial"/>
          <w:sz w:val="21"/>
        </w:rPr>
      </w:pPr>
    </w:p>
    <w:p w14:paraId="2AA56805">
      <w:pPr>
        <w:spacing w:line="270" w:lineRule="auto"/>
        <w:rPr>
          <w:rFonts w:ascii="Arial"/>
          <w:sz w:val="21"/>
        </w:rPr>
      </w:pPr>
    </w:p>
    <w:p w14:paraId="58ACE6BC">
      <w:pPr>
        <w:spacing w:line="270" w:lineRule="auto"/>
        <w:rPr>
          <w:rFonts w:ascii="Arial"/>
          <w:sz w:val="21"/>
        </w:rPr>
      </w:pPr>
    </w:p>
    <w:p w14:paraId="3B8BF907">
      <w:pPr>
        <w:spacing w:line="270" w:lineRule="auto"/>
        <w:rPr>
          <w:rFonts w:ascii="Arial"/>
          <w:sz w:val="21"/>
        </w:rPr>
      </w:pPr>
    </w:p>
    <w:p w14:paraId="1049283E">
      <w:pPr>
        <w:spacing w:line="270" w:lineRule="auto"/>
        <w:rPr>
          <w:rFonts w:ascii="Arial"/>
          <w:sz w:val="21"/>
        </w:rPr>
      </w:pPr>
    </w:p>
    <w:p w14:paraId="5B87112E">
      <w:pPr>
        <w:pStyle w:val="2"/>
        <w:spacing w:before="68" w:line="352" w:lineRule="auto"/>
        <w:ind w:right="67" w:firstLine="429"/>
        <w:jc w:val="both"/>
        <w:rPr>
          <w:sz w:val="21"/>
          <w:szCs w:val="21"/>
        </w:rPr>
      </w:pPr>
      <w:r>
        <w:rPr>
          <w:spacing w:val="2"/>
          <w:sz w:val="21"/>
          <w:szCs w:val="21"/>
        </w:rPr>
        <w:t>单价合同的进度付款申请单，按照第12.3.3项〔单价合同的计量〕约定的</w:t>
      </w:r>
      <w:r>
        <w:rPr>
          <w:spacing w:val="1"/>
          <w:sz w:val="21"/>
          <w:szCs w:val="21"/>
        </w:rPr>
        <w:t>时间按月向监理人</w:t>
      </w:r>
      <w:r>
        <w:rPr>
          <w:sz w:val="21"/>
          <w:szCs w:val="21"/>
        </w:rPr>
        <w:t xml:space="preserve"> </w:t>
      </w:r>
      <w:r>
        <w:rPr>
          <w:spacing w:val="2"/>
          <w:sz w:val="21"/>
          <w:szCs w:val="21"/>
        </w:rPr>
        <w:t>提交，并附上已完成工程量报表和有关资料。单价合同中的总价项目按月进行支付分解，并汇总</w:t>
      </w:r>
      <w:r>
        <w:rPr>
          <w:spacing w:val="13"/>
          <w:sz w:val="21"/>
          <w:szCs w:val="21"/>
        </w:rPr>
        <w:t xml:space="preserve"> </w:t>
      </w:r>
      <w:r>
        <w:rPr>
          <w:spacing w:val="-4"/>
          <w:sz w:val="21"/>
          <w:szCs w:val="21"/>
        </w:rPr>
        <w:t>列入当期进度付款申请单。</w:t>
      </w:r>
    </w:p>
    <w:p w14:paraId="1E5026DA">
      <w:pPr>
        <w:pStyle w:val="2"/>
        <w:spacing w:before="1" w:line="217" w:lineRule="auto"/>
        <w:ind w:left="529"/>
        <w:rPr>
          <w:sz w:val="21"/>
          <w:szCs w:val="21"/>
        </w:rPr>
      </w:pPr>
      <w:r>
        <w:rPr>
          <w:spacing w:val="6"/>
          <w:sz w:val="21"/>
          <w:szCs w:val="21"/>
        </w:rPr>
        <w:t>(2)总价合同进度付款申请单的提交</w:t>
      </w:r>
    </w:p>
    <w:p w14:paraId="1891C474">
      <w:pPr>
        <w:pStyle w:val="2"/>
        <w:spacing w:before="142" w:line="347" w:lineRule="auto"/>
        <w:ind w:right="57" w:firstLine="429"/>
        <w:rPr>
          <w:sz w:val="21"/>
          <w:szCs w:val="21"/>
        </w:rPr>
      </w:pPr>
      <w:r>
        <w:rPr>
          <w:spacing w:val="2"/>
          <w:sz w:val="21"/>
          <w:szCs w:val="21"/>
        </w:rPr>
        <w:t>总价合同按月计量支付的，承包人按照第12.3.4项〔总价合同的计量〕约定的时间按月向监</w:t>
      </w:r>
      <w:r>
        <w:rPr>
          <w:spacing w:val="11"/>
          <w:sz w:val="21"/>
          <w:szCs w:val="21"/>
        </w:rPr>
        <w:t xml:space="preserve"> </w:t>
      </w:r>
      <w:r>
        <w:rPr>
          <w:spacing w:val="-2"/>
          <w:sz w:val="21"/>
          <w:szCs w:val="21"/>
        </w:rPr>
        <w:t>理人提交进度付款申请单，并附上已完成工程量报表和有关资料。</w:t>
      </w:r>
    </w:p>
    <w:p w14:paraId="62E37D4F">
      <w:pPr>
        <w:pStyle w:val="2"/>
        <w:spacing w:line="360" w:lineRule="auto"/>
        <w:ind w:right="78" w:firstLine="429"/>
        <w:rPr>
          <w:sz w:val="21"/>
          <w:szCs w:val="21"/>
        </w:rPr>
      </w:pPr>
      <w:r>
        <w:rPr>
          <w:spacing w:val="2"/>
          <w:sz w:val="21"/>
          <w:szCs w:val="21"/>
        </w:rPr>
        <w:t>总价合同按支付分解表支付的，承包人应按照第12.4.6项〔支</w:t>
      </w:r>
      <w:r>
        <w:rPr>
          <w:spacing w:val="1"/>
          <w:sz w:val="21"/>
          <w:szCs w:val="21"/>
        </w:rPr>
        <w:t>付分解表〕及第12.4.2项〔进</w:t>
      </w:r>
      <w:r>
        <w:rPr>
          <w:sz w:val="21"/>
          <w:szCs w:val="21"/>
        </w:rPr>
        <w:t xml:space="preserve"> </w:t>
      </w:r>
      <w:r>
        <w:rPr>
          <w:spacing w:val="-2"/>
          <w:sz w:val="21"/>
          <w:szCs w:val="21"/>
        </w:rPr>
        <w:t>度付款申请单的编制〕的约定向监理人提交进度付款申请单。</w:t>
      </w:r>
    </w:p>
    <w:p w14:paraId="3C48D1F9">
      <w:pPr>
        <w:pStyle w:val="2"/>
        <w:spacing w:before="1" w:line="217" w:lineRule="auto"/>
        <w:ind w:left="529"/>
        <w:rPr>
          <w:sz w:val="21"/>
          <w:szCs w:val="21"/>
        </w:rPr>
      </w:pPr>
      <w:r>
        <w:rPr>
          <w:spacing w:val="4"/>
          <w:sz w:val="21"/>
          <w:szCs w:val="21"/>
        </w:rPr>
        <w:t>(3)其他价格形式合同的进度付款申请单的提交</w:t>
      </w:r>
    </w:p>
    <w:p w14:paraId="1F91D3E4">
      <w:pPr>
        <w:pStyle w:val="2"/>
        <w:spacing w:before="133" w:line="365" w:lineRule="auto"/>
        <w:ind w:right="38" w:firstLine="429"/>
        <w:rPr>
          <w:sz w:val="21"/>
          <w:szCs w:val="21"/>
        </w:rPr>
      </w:pPr>
      <w:r>
        <w:rPr>
          <w:spacing w:val="8"/>
          <w:sz w:val="21"/>
          <w:szCs w:val="21"/>
        </w:rPr>
        <w:t>合同当事人可在专用合同条款中约定其他价格形式合同的进度付款申请单的编制和提交程</w:t>
      </w:r>
      <w:r>
        <w:rPr>
          <w:spacing w:val="14"/>
          <w:sz w:val="21"/>
          <w:szCs w:val="21"/>
        </w:rPr>
        <w:t xml:space="preserve"> </w:t>
      </w:r>
      <w:r>
        <w:rPr>
          <w:spacing w:val="-4"/>
          <w:sz w:val="21"/>
          <w:szCs w:val="21"/>
        </w:rPr>
        <w:t>序。</w:t>
      </w:r>
    </w:p>
    <w:p w14:paraId="3310338C">
      <w:pPr>
        <w:pStyle w:val="2"/>
        <w:spacing w:line="219" w:lineRule="auto"/>
        <w:ind w:left="429"/>
        <w:rPr>
          <w:sz w:val="21"/>
          <w:szCs w:val="21"/>
        </w:rPr>
      </w:pPr>
      <w:r>
        <w:rPr>
          <w:spacing w:val="-2"/>
          <w:sz w:val="21"/>
          <w:szCs w:val="21"/>
        </w:rPr>
        <w:t>12.4.4进度款审核和支付</w:t>
      </w:r>
    </w:p>
    <w:p w14:paraId="679741D8">
      <w:pPr>
        <w:pStyle w:val="2"/>
        <w:spacing w:before="122" w:line="357" w:lineRule="auto"/>
        <w:ind w:right="73" w:firstLine="529"/>
        <w:jc w:val="both"/>
        <w:rPr>
          <w:sz w:val="21"/>
          <w:szCs w:val="21"/>
        </w:rPr>
      </w:pPr>
      <w:r>
        <w:rPr>
          <w:spacing w:val="5"/>
          <w:sz w:val="21"/>
          <w:szCs w:val="21"/>
        </w:rPr>
        <w:t>(1)除专用合同条款另有约定外，监理人应在收到承包人进</w:t>
      </w:r>
      <w:r>
        <w:rPr>
          <w:spacing w:val="4"/>
          <w:sz w:val="21"/>
          <w:szCs w:val="21"/>
        </w:rPr>
        <w:t>度付款申请单以及相关资料后7</w:t>
      </w:r>
      <w:r>
        <w:rPr>
          <w:sz w:val="21"/>
          <w:szCs w:val="21"/>
        </w:rPr>
        <w:t xml:space="preserve"> </w:t>
      </w:r>
      <w:r>
        <w:rPr>
          <w:spacing w:val="5"/>
          <w:sz w:val="21"/>
          <w:szCs w:val="21"/>
        </w:rPr>
        <w:t>天内完成审查并报送发包人，发包人应在收到后7天内完</w:t>
      </w:r>
      <w:r>
        <w:rPr>
          <w:spacing w:val="4"/>
          <w:sz w:val="21"/>
          <w:szCs w:val="21"/>
        </w:rPr>
        <w:t>成审批并签发进度款支付证书。发包人</w:t>
      </w:r>
      <w:r>
        <w:rPr>
          <w:sz w:val="21"/>
          <w:szCs w:val="21"/>
        </w:rPr>
        <w:t xml:space="preserve"> </w:t>
      </w:r>
      <w:r>
        <w:rPr>
          <w:spacing w:val="-1"/>
          <w:sz w:val="21"/>
          <w:szCs w:val="21"/>
        </w:rPr>
        <w:t>逾期未完成审批且未提出异议的，视为已签</w:t>
      </w:r>
      <w:r>
        <w:rPr>
          <w:spacing w:val="-2"/>
          <w:sz w:val="21"/>
          <w:szCs w:val="21"/>
        </w:rPr>
        <w:t>发进度款支付证书。</w:t>
      </w:r>
    </w:p>
    <w:p w14:paraId="1A785E99">
      <w:pPr>
        <w:pStyle w:val="2"/>
        <w:spacing w:before="3" w:line="352" w:lineRule="auto"/>
        <w:ind w:right="4" w:firstLine="429"/>
        <w:jc w:val="both"/>
        <w:rPr>
          <w:sz w:val="21"/>
          <w:szCs w:val="21"/>
        </w:rPr>
      </w:pPr>
      <w:r>
        <w:rPr>
          <w:spacing w:val="-1"/>
          <w:sz w:val="21"/>
          <w:szCs w:val="21"/>
        </w:rPr>
        <w:t>发包人和监理人对承包人的进度付款申请单有异议</w:t>
      </w:r>
      <w:r>
        <w:rPr>
          <w:spacing w:val="-2"/>
          <w:sz w:val="21"/>
          <w:szCs w:val="21"/>
        </w:rPr>
        <w:t>的，有权要求承包人修正和提供补充资料，</w:t>
      </w:r>
      <w:r>
        <w:rPr>
          <w:sz w:val="21"/>
          <w:szCs w:val="21"/>
        </w:rPr>
        <w:t xml:space="preserve"> </w:t>
      </w:r>
      <w:r>
        <w:rPr>
          <w:spacing w:val="2"/>
          <w:sz w:val="21"/>
          <w:szCs w:val="21"/>
        </w:rPr>
        <w:t>承包人应提交修正后的进度付款申请单。监理人应在收到承包人修正后的进度付款申请单及相关</w:t>
      </w:r>
      <w:r>
        <w:rPr>
          <w:spacing w:val="5"/>
          <w:sz w:val="21"/>
          <w:szCs w:val="21"/>
        </w:rPr>
        <w:t xml:space="preserve"> 资料后7天内完成审查并报送发包人，发包人应在收</w:t>
      </w:r>
      <w:r>
        <w:rPr>
          <w:spacing w:val="4"/>
          <w:sz w:val="21"/>
          <w:szCs w:val="21"/>
        </w:rPr>
        <w:t>到监理人报送的进度付款申请单及相关资料</w:t>
      </w:r>
      <w:r>
        <w:rPr>
          <w:sz w:val="21"/>
          <w:szCs w:val="21"/>
        </w:rPr>
        <w:t xml:space="preserve"> </w:t>
      </w:r>
      <w:r>
        <w:rPr>
          <w:spacing w:val="5"/>
          <w:sz w:val="21"/>
          <w:szCs w:val="21"/>
        </w:rPr>
        <w:t>后7天内，向承包人签发无异议部分的临时进度</w:t>
      </w:r>
      <w:r>
        <w:rPr>
          <w:spacing w:val="4"/>
          <w:sz w:val="21"/>
          <w:szCs w:val="21"/>
        </w:rPr>
        <w:t>款支付证书。存在争议的部分，按照第20条〔争</w:t>
      </w:r>
      <w:r>
        <w:rPr>
          <w:sz w:val="21"/>
          <w:szCs w:val="21"/>
        </w:rPr>
        <w:t xml:space="preserve"> </w:t>
      </w:r>
      <w:r>
        <w:rPr>
          <w:spacing w:val="-4"/>
          <w:sz w:val="21"/>
          <w:szCs w:val="21"/>
        </w:rPr>
        <w:t>议解决〕的约定处理。</w:t>
      </w:r>
    </w:p>
    <w:p w14:paraId="5D4E2B69">
      <w:pPr>
        <w:pStyle w:val="2"/>
        <w:spacing w:before="14" w:line="302" w:lineRule="auto"/>
        <w:ind w:right="76" w:firstLine="529"/>
        <w:rPr>
          <w:sz w:val="21"/>
          <w:szCs w:val="21"/>
        </w:rPr>
      </w:pPr>
      <w:r>
        <w:rPr>
          <w:spacing w:val="2"/>
          <w:sz w:val="21"/>
          <w:szCs w:val="21"/>
        </w:rPr>
        <w:t>(2)除专用合同条款另有约定外，发包人应在进度款支付证书</w:t>
      </w:r>
      <w:r>
        <w:rPr>
          <w:spacing w:val="1"/>
          <w:sz w:val="21"/>
          <w:szCs w:val="21"/>
        </w:rPr>
        <w:t>或临时进度款支付证书签发后</w:t>
      </w:r>
      <w:r>
        <w:rPr>
          <w:sz w:val="21"/>
          <w:szCs w:val="21"/>
        </w:rPr>
        <w:t xml:space="preserve"> </w:t>
      </w:r>
      <w:r>
        <w:rPr>
          <w:spacing w:val="2"/>
          <w:sz w:val="21"/>
          <w:szCs w:val="21"/>
        </w:rPr>
        <w:t xml:space="preserve">14天内完成支付，发包人逾期支付进度款的，应按照中国人民银行发布的同期同类贷款基准利率 </w:t>
      </w:r>
      <w:r>
        <w:rPr>
          <w:spacing w:val="-6"/>
          <w:sz w:val="21"/>
          <w:szCs w:val="21"/>
        </w:rPr>
        <w:t>支付违约金。</w:t>
      </w:r>
    </w:p>
    <w:p w14:paraId="0A576386">
      <w:pPr>
        <w:pStyle w:val="2"/>
        <w:spacing w:before="151" w:line="290" w:lineRule="auto"/>
        <w:ind w:right="77" w:firstLine="529"/>
        <w:rPr>
          <w:sz w:val="21"/>
          <w:szCs w:val="21"/>
        </w:rPr>
      </w:pPr>
      <w:r>
        <w:rPr>
          <w:spacing w:val="2"/>
          <w:sz w:val="21"/>
          <w:szCs w:val="21"/>
        </w:rPr>
        <w:t>(3)发包人签发进度款支付证书或临时进度款支付证书，不表明发包人已同意、批准或接受</w:t>
      </w:r>
      <w:r>
        <w:rPr>
          <w:sz w:val="21"/>
          <w:szCs w:val="21"/>
        </w:rPr>
        <w:t xml:space="preserve"> </w:t>
      </w:r>
      <w:r>
        <w:rPr>
          <w:spacing w:val="-4"/>
          <w:sz w:val="21"/>
          <w:szCs w:val="21"/>
        </w:rPr>
        <w:t>了承包人完成的相应部分的工作。</w:t>
      </w:r>
    </w:p>
    <w:p w14:paraId="29C55D41">
      <w:pPr>
        <w:pStyle w:val="2"/>
        <w:spacing w:before="141" w:line="219" w:lineRule="auto"/>
        <w:ind w:left="429"/>
        <w:rPr>
          <w:sz w:val="21"/>
          <w:szCs w:val="21"/>
        </w:rPr>
      </w:pPr>
      <w:r>
        <w:rPr>
          <w:sz w:val="21"/>
          <w:szCs w:val="21"/>
        </w:rPr>
        <w:t>12.4.5进度付款的修正</w:t>
      </w:r>
    </w:p>
    <w:p w14:paraId="7B832B48">
      <w:pPr>
        <w:pStyle w:val="2"/>
        <w:spacing w:before="169" w:line="337" w:lineRule="auto"/>
        <w:ind w:right="76" w:firstLine="429"/>
        <w:rPr>
          <w:sz w:val="21"/>
          <w:szCs w:val="21"/>
        </w:rPr>
      </w:pPr>
      <w:r>
        <w:rPr>
          <w:spacing w:val="2"/>
          <w:sz w:val="21"/>
          <w:szCs w:val="21"/>
        </w:rPr>
        <w:t>在对已签发的进度款支付证书进行阶段汇总和复核中发现错误、遗漏或重复的，发包人和承</w:t>
      </w:r>
      <w:r>
        <w:rPr>
          <w:sz w:val="21"/>
          <w:szCs w:val="21"/>
        </w:rPr>
        <w:t xml:space="preserve"> 包人均有权提出修正申请。经发包人和承包人同意的修正，应在下期进度付款中</w:t>
      </w:r>
      <w:r>
        <w:rPr>
          <w:spacing w:val="-1"/>
          <w:sz w:val="21"/>
          <w:szCs w:val="21"/>
        </w:rPr>
        <w:t>支付或扣除。</w:t>
      </w:r>
    </w:p>
    <w:p w14:paraId="3A8A6661">
      <w:pPr>
        <w:pStyle w:val="2"/>
        <w:spacing w:before="25" w:line="219" w:lineRule="auto"/>
        <w:ind w:left="429"/>
        <w:rPr>
          <w:sz w:val="21"/>
          <w:szCs w:val="21"/>
        </w:rPr>
      </w:pPr>
      <w:r>
        <w:rPr>
          <w:spacing w:val="-1"/>
          <w:sz w:val="21"/>
          <w:szCs w:val="21"/>
        </w:rPr>
        <w:t>12.4.6支付分解表</w:t>
      </w:r>
    </w:p>
    <w:p w14:paraId="649FA837">
      <w:pPr>
        <w:pStyle w:val="2"/>
        <w:spacing w:before="161" w:line="219" w:lineRule="auto"/>
        <w:ind w:left="429"/>
        <w:rPr>
          <w:sz w:val="21"/>
          <w:szCs w:val="21"/>
        </w:rPr>
      </w:pPr>
      <w:r>
        <w:rPr>
          <w:spacing w:val="-2"/>
          <w:sz w:val="21"/>
          <w:szCs w:val="21"/>
        </w:rPr>
        <w:t>1.支付分解表的编制要求</w:t>
      </w:r>
    </w:p>
    <w:p w14:paraId="35D8EDE1">
      <w:pPr>
        <w:pStyle w:val="2"/>
        <w:spacing w:before="140" w:line="280" w:lineRule="auto"/>
        <w:ind w:firstLine="529"/>
        <w:rPr>
          <w:sz w:val="21"/>
          <w:szCs w:val="21"/>
        </w:rPr>
      </w:pPr>
      <w:r>
        <w:rPr>
          <w:spacing w:val="6"/>
          <w:sz w:val="21"/>
          <w:szCs w:val="21"/>
        </w:rPr>
        <w:t>(1)支付分解表中所列的每期付款金额，应为第12.4.2项〔进度付款申请单的编制</w:t>
      </w:r>
      <w:r>
        <w:rPr>
          <w:spacing w:val="5"/>
          <w:sz w:val="21"/>
          <w:szCs w:val="21"/>
        </w:rPr>
        <w:t>〕第(1)</w:t>
      </w:r>
      <w:r>
        <w:rPr>
          <w:sz w:val="21"/>
          <w:szCs w:val="21"/>
        </w:rPr>
        <w:t xml:space="preserve"> </w:t>
      </w:r>
      <w:r>
        <w:rPr>
          <w:spacing w:val="-8"/>
          <w:sz w:val="21"/>
          <w:szCs w:val="21"/>
        </w:rPr>
        <w:t>目的估算金额；</w:t>
      </w:r>
    </w:p>
    <w:p w14:paraId="0FAD27B1">
      <w:pPr>
        <w:pStyle w:val="2"/>
        <w:spacing w:before="164" w:line="219" w:lineRule="auto"/>
        <w:ind w:left="529"/>
        <w:rPr>
          <w:sz w:val="21"/>
          <w:szCs w:val="21"/>
        </w:rPr>
      </w:pPr>
      <w:r>
        <w:rPr>
          <w:spacing w:val="4"/>
          <w:sz w:val="21"/>
          <w:szCs w:val="21"/>
        </w:rPr>
        <w:t>(2)实际进度与施工进度计划不一致的，合同当事人可按照第4.4款〔商定或确定〕修改支</w:t>
      </w:r>
    </w:p>
    <w:p w14:paraId="6B65A8F2">
      <w:pPr>
        <w:spacing w:line="219" w:lineRule="auto"/>
        <w:rPr>
          <w:sz w:val="21"/>
          <w:szCs w:val="21"/>
        </w:rPr>
        <w:sectPr>
          <w:footerReference r:id="rId225" w:type="default"/>
          <w:pgSz w:w="11910" w:h="16840"/>
          <w:pgMar w:top="400" w:right="1473" w:bottom="1024" w:left="1450" w:header="0" w:footer="889" w:gutter="0"/>
          <w:cols w:space="720" w:num="1"/>
        </w:sectPr>
      </w:pPr>
    </w:p>
    <w:p w14:paraId="33C2A7F7">
      <w:pPr>
        <w:spacing w:line="270" w:lineRule="auto"/>
        <w:rPr>
          <w:rFonts w:ascii="Arial"/>
          <w:sz w:val="21"/>
        </w:rPr>
      </w:pPr>
    </w:p>
    <w:p w14:paraId="3B52E3D4">
      <w:pPr>
        <w:spacing w:line="271" w:lineRule="auto"/>
        <w:rPr>
          <w:rFonts w:ascii="Arial"/>
          <w:sz w:val="21"/>
        </w:rPr>
      </w:pPr>
    </w:p>
    <w:p w14:paraId="5CDD050F">
      <w:pPr>
        <w:spacing w:line="271" w:lineRule="auto"/>
        <w:rPr>
          <w:rFonts w:ascii="Arial"/>
          <w:sz w:val="21"/>
        </w:rPr>
      </w:pPr>
    </w:p>
    <w:p w14:paraId="4C4B7BAB">
      <w:pPr>
        <w:spacing w:line="271" w:lineRule="auto"/>
        <w:rPr>
          <w:rFonts w:ascii="Arial"/>
          <w:sz w:val="21"/>
        </w:rPr>
      </w:pPr>
    </w:p>
    <w:p w14:paraId="775F3FCB">
      <w:pPr>
        <w:spacing w:line="271" w:lineRule="auto"/>
        <w:rPr>
          <w:rFonts w:ascii="Arial"/>
          <w:sz w:val="21"/>
        </w:rPr>
      </w:pPr>
    </w:p>
    <w:p w14:paraId="75A7B982">
      <w:pPr>
        <w:pStyle w:val="2"/>
        <w:spacing w:before="65" w:line="219" w:lineRule="auto"/>
        <w:rPr>
          <w:sz w:val="20"/>
          <w:szCs w:val="20"/>
        </w:rPr>
      </w:pPr>
      <w:r>
        <w:rPr>
          <w:spacing w:val="1"/>
          <w:sz w:val="20"/>
          <w:szCs w:val="20"/>
        </w:rPr>
        <w:t>付分解表；</w:t>
      </w:r>
    </w:p>
    <w:p w14:paraId="1DEF2D20">
      <w:pPr>
        <w:pStyle w:val="2"/>
        <w:spacing w:before="191" w:line="354" w:lineRule="auto"/>
        <w:ind w:right="119" w:firstLine="519"/>
        <w:rPr>
          <w:sz w:val="20"/>
          <w:szCs w:val="20"/>
        </w:rPr>
      </w:pPr>
      <w:r>
        <w:rPr>
          <w:spacing w:val="11"/>
          <w:sz w:val="20"/>
          <w:szCs w:val="20"/>
        </w:rPr>
        <w:t>(3)不采用支付分解表的，承包人应向发包人和监理人提交按季度编制的支付估算分</w:t>
      </w:r>
      <w:r>
        <w:rPr>
          <w:spacing w:val="10"/>
          <w:sz w:val="20"/>
          <w:szCs w:val="20"/>
        </w:rPr>
        <w:t>解表，</w:t>
      </w:r>
      <w:r>
        <w:rPr>
          <w:sz w:val="20"/>
          <w:szCs w:val="20"/>
        </w:rPr>
        <w:t xml:space="preserve"> </w:t>
      </w:r>
      <w:r>
        <w:rPr>
          <w:spacing w:val="5"/>
          <w:sz w:val="20"/>
          <w:szCs w:val="20"/>
        </w:rPr>
        <w:t>用于支付参考。</w:t>
      </w:r>
    </w:p>
    <w:p w14:paraId="089A7357">
      <w:pPr>
        <w:pStyle w:val="2"/>
        <w:spacing w:before="2" w:line="218" w:lineRule="auto"/>
        <w:ind w:left="419"/>
        <w:rPr>
          <w:sz w:val="20"/>
          <w:szCs w:val="20"/>
        </w:rPr>
      </w:pPr>
      <w:r>
        <w:rPr>
          <w:spacing w:val="7"/>
          <w:sz w:val="20"/>
          <w:szCs w:val="20"/>
        </w:rPr>
        <w:t>2.总价合同支付分解表的编制与审批</w:t>
      </w:r>
    </w:p>
    <w:p w14:paraId="49D9BCF4">
      <w:pPr>
        <w:pStyle w:val="2"/>
        <w:spacing w:before="174" w:line="332" w:lineRule="auto"/>
        <w:ind w:right="87" w:firstLine="519"/>
        <w:rPr>
          <w:sz w:val="20"/>
          <w:szCs w:val="20"/>
        </w:rPr>
      </w:pPr>
      <w:r>
        <w:rPr>
          <w:spacing w:val="14"/>
          <w:sz w:val="20"/>
          <w:szCs w:val="20"/>
        </w:rPr>
        <w:t>(1)除专用合同条款另有约定外，承包人应根据第7.2款〔施工进度计划</w:t>
      </w:r>
      <w:r>
        <w:rPr>
          <w:spacing w:val="13"/>
          <w:sz w:val="20"/>
          <w:szCs w:val="20"/>
        </w:rPr>
        <w:t>〕约定的施工进度</w:t>
      </w:r>
      <w:r>
        <w:rPr>
          <w:sz w:val="20"/>
          <w:szCs w:val="20"/>
        </w:rPr>
        <w:t xml:space="preserve"> </w:t>
      </w:r>
      <w:r>
        <w:rPr>
          <w:spacing w:val="12"/>
          <w:sz w:val="20"/>
          <w:szCs w:val="20"/>
        </w:rPr>
        <w:t>计划、签约合同价和工程量等因素对总价合同按月进行分解，编制支付分解表。</w:t>
      </w:r>
      <w:r>
        <w:rPr>
          <w:spacing w:val="11"/>
          <w:sz w:val="20"/>
          <w:szCs w:val="20"/>
        </w:rPr>
        <w:t>承包人应当在收</w:t>
      </w:r>
      <w:r>
        <w:rPr>
          <w:sz w:val="20"/>
          <w:szCs w:val="20"/>
        </w:rPr>
        <w:t xml:space="preserve"> </w:t>
      </w:r>
      <w:r>
        <w:rPr>
          <w:spacing w:val="14"/>
          <w:sz w:val="20"/>
          <w:szCs w:val="20"/>
        </w:rPr>
        <w:t>到监理人和发包人批准的施工进度计划后7天内，将支付分解表及编制支付分解表的支持性资料</w:t>
      </w:r>
      <w:r>
        <w:rPr>
          <w:spacing w:val="7"/>
          <w:sz w:val="20"/>
          <w:szCs w:val="20"/>
        </w:rPr>
        <w:t xml:space="preserve"> </w:t>
      </w:r>
      <w:r>
        <w:rPr>
          <w:spacing w:val="4"/>
          <w:sz w:val="20"/>
          <w:szCs w:val="20"/>
        </w:rPr>
        <w:t>报送监理人。</w:t>
      </w:r>
    </w:p>
    <w:p w14:paraId="0148B38D">
      <w:pPr>
        <w:pStyle w:val="2"/>
        <w:spacing w:before="163" w:line="294" w:lineRule="auto"/>
        <w:ind w:right="91" w:firstLine="519"/>
        <w:rPr>
          <w:sz w:val="20"/>
          <w:szCs w:val="20"/>
        </w:rPr>
      </w:pPr>
      <w:r>
        <w:rPr>
          <w:spacing w:val="14"/>
          <w:sz w:val="20"/>
          <w:szCs w:val="20"/>
        </w:rPr>
        <w:t>(2)监理人应在收到支付分解表后7天内完成审核并报送发包人。发包人应在收到经监理人</w:t>
      </w:r>
      <w:r>
        <w:rPr>
          <w:spacing w:val="3"/>
          <w:sz w:val="20"/>
          <w:szCs w:val="20"/>
        </w:rPr>
        <w:t xml:space="preserve"> </w:t>
      </w:r>
      <w:r>
        <w:rPr>
          <w:spacing w:val="12"/>
          <w:sz w:val="20"/>
          <w:szCs w:val="20"/>
        </w:rPr>
        <w:t>审核的支付分解表后7天内完成审批，经发包人批准的支付分解表为有约束力的支付分解表。</w:t>
      </w:r>
    </w:p>
    <w:p w14:paraId="695D4FB8">
      <w:pPr>
        <w:pStyle w:val="2"/>
        <w:spacing w:before="181" w:line="290" w:lineRule="auto"/>
        <w:ind w:right="19" w:firstLine="519"/>
        <w:rPr>
          <w:sz w:val="20"/>
          <w:szCs w:val="20"/>
        </w:rPr>
      </w:pPr>
      <w:r>
        <w:rPr>
          <w:spacing w:val="8"/>
          <w:sz w:val="20"/>
          <w:szCs w:val="20"/>
        </w:rPr>
        <w:t>(3)发包人逾期未完成支付分解表审批的，也未及时要求承包人进行修正和提供补充资料的，</w:t>
      </w:r>
      <w:r>
        <w:rPr>
          <w:spacing w:val="13"/>
          <w:sz w:val="20"/>
          <w:szCs w:val="20"/>
        </w:rPr>
        <w:t xml:space="preserve"> </w:t>
      </w:r>
      <w:r>
        <w:rPr>
          <w:spacing w:val="8"/>
          <w:sz w:val="20"/>
          <w:szCs w:val="20"/>
        </w:rPr>
        <w:t>则承包人提交的支付分解表视为已经获得发包人批准。</w:t>
      </w:r>
    </w:p>
    <w:p w14:paraId="75E9E91F">
      <w:pPr>
        <w:pStyle w:val="2"/>
        <w:spacing w:before="141" w:line="218" w:lineRule="auto"/>
        <w:ind w:left="419"/>
        <w:rPr>
          <w:sz w:val="20"/>
          <w:szCs w:val="20"/>
        </w:rPr>
      </w:pPr>
      <w:r>
        <w:rPr>
          <w:spacing w:val="8"/>
          <w:sz w:val="20"/>
          <w:szCs w:val="20"/>
        </w:rPr>
        <w:t>3.单价合同的总价项目支付分解表的编制与审批</w:t>
      </w:r>
    </w:p>
    <w:p w14:paraId="394691E9">
      <w:pPr>
        <w:pStyle w:val="2"/>
        <w:spacing w:before="195" w:line="350" w:lineRule="auto"/>
        <w:ind w:right="61" w:firstLine="419"/>
        <w:rPr>
          <w:sz w:val="20"/>
          <w:szCs w:val="20"/>
        </w:rPr>
      </w:pPr>
      <w:r>
        <w:rPr>
          <w:spacing w:val="13"/>
          <w:sz w:val="20"/>
          <w:szCs w:val="20"/>
        </w:rPr>
        <w:t>除专用合同条款另有约定外，单价合同的总价项目，由承包人</w:t>
      </w:r>
      <w:r>
        <w:rPr>
          <w:spacing w:val="12"/>
          <w:sz w:val="20"/>
          <w:szCs w:val="20"/>
        </w:rPr>
        <w:t>根据施工进度计划和总价项目</w:t>
      </w:r>
      <w:r>
        <w:rPr>
          <w:sz w:val="20"/>
          <w:szCs w:val="20"/>
        </w:rPr>
        <w:t xml:space="preserve"> </w:t>
      </w:r>
      <w:r>
        <w:rPr>
          <w:spacing w:val="12"/>
          <w:sz w:val="20"/>
          <w:szCs w:val="20"/>
        </w:rPr>
        <w:t>的总价构成、费用性质、计划发生时间和相应工程量等因素按月进行分解，形成</w:t>
      </w:r>
      <w:r>
        <w:rPr>
          <w:spacing w:val="11"/>
          <w:sz w:val="20"/>
          <w:szCs w:val="20"/>
        </w:rPr>
        <w:t>支付分解表，其</w:t>
      </w:r>
      <w:r>
        <w:rPr>
          <w:sz w:val="20"/>
          <w:szCs w:val="20"/>
        </w:rPr>
        <w:t xml:space="preserve"> </w:t>
      </w:r>
      <w:r>
        <w:rPr>
          <w:spacing w:val="8"/>
          <w:sz w:val="20"/>
          <w:szCs w:val="20"/>
        </w:rPr>
        <w:t>编制与审批参照总价合同支付分解表的编制与审批执行。</w:t>
      </w:r>
    </w:p>
    <w:p w14:paraId="6F137D43">
      <w:pPr>
        <w:spacing w:before="1" w:line="220" w:lineRule="auto"/>
        <w:ind w:left="3"/>
        <w:rPr>
          <w:rFonts w:ascii="黑体" w:hAnsi="黑体" w:eastAsia="黑体" w:cs="黑体"/>
          <w:sz w:val="25"/>
          <w:szCs w:val="25"/>
        </w:rPr>
      </w:pPr>
      <w:r>
        <w:rPr>
          <w:rFonts w:ascii="黑体" w:hAnsi="黑体" w:eastAsia="黑体" w:cs="黑体"/>
          <w:b/>
          <w:bCs/>
          <w:spacing w:val="-6"/>
          <w:sz w:val="25"/>
          <w:szCs w:val="25"/>
        </w:rPr>
        <w:t>12.5支付账户</w:t>
      </w:r>
    </w:p>
    <w:p w14:paraId="6F9CAE7D">
      <w:pPr>
        <w:pStyle w:val="2"/>
        <w:spacing w:before="153" w:line="218" w:lineRule="auto"/>
        <w:ind w:left="419"/>
        <w:rPr>
          <w:sz w:val="20"/>
          <w:szCs w:val="20"/>
        </w:rPr>
      </w:pPr>
      <w:r>
        <w:rPr>
          <w:spacing w:val="9"/>
          <w:sz w:val="20"/>
          <w:szCs w:val="20"/>
        </w:rPr>
        <w:t>发包人应将合同价款支付至合同协议书中约定的承包人账户。</w:t>
      </w:r>
    </w:p>
    <w:p w14:paraId="31AE0C05">
      <w:pPr>
        <w:pStyle w:val="2"/>
        <w:spacing w:before="182" w:line="221" w:lineRule="auto"/>
        <w:ind w:left="4"/>
        <w:rPr>
          <w:rFonts w:ascii="黑体" w:hAnsi="黑体" w:eastAsia="黑体" w:cs="黑体"/>
          <w:sz w:val="29"/>
          <w:szCs w:val="29"/>
        </w:rPr>
      </w:pPr>
      <w:r>
        <w:rPr>
          <w:b/>
          <w:bCs/>
          <w:spacing w:val="-3"/>
          <w:sz w:val="29"/>
          <w:szCs w:val="29"/>
        </w:rPr>
        <w:t>13.</w:t>
      </w:r>
      <w:r>
        <w:rPr>
          <w:rFonts w:ascii="黑体" w:hAnsi="黑体" w:eastAsia="黑体" w:cs="黑体"/>
          <w:b/>
          <w:bCs/>
          <w:spacing w:val="-3"/>
          <w:sz w:val="29"/>
          <w:szCs w:val="29"/>
        </w:rPr>
        <w:t>验收和工程试车</w:t>
      </w:r>
    </w:p>
    <w:p w14:paraId="47F4EC2E">
      <w:pPr>
        <w:spacing w:before="103" w:line="222" w:lineRule="auto"/>
        <w:ind w:left="3"/>
        <w:rPr>
          <w:rFonts w:ascii="黑体" w:hAnsi="黑体" w:eastAsia="黑体" w:cs="黑体"/>
          <w:sz w:val="25"/>
          <w:szCs w:val="25"/>
        </w:rPr>
      </w:pPr>
      <w:r>
        <w:rPr>
          <w:rFonts w:ascii="黑体" w:hAnsi="黑体" w:eastAsia="黑体" w:cs="黑体"/>
          <w:b/>
          <w:bCs/>
          <w:spacing w:val="-5"/>
          <w:sz w:val="25"/>
          <w:szCs w:val="25"/>
        </w:rPr>
        <w:t>13.1分部分项工程验收</w:t>
      </w:r>
    </w:p>
    <w:p w14:paraId="4ECF5A6F">
      <w:pPr>
        <w:pStyle w:val="2"/>
        <w:spacing w:before="111" w:line="304" w:lineRule="auto"/>
        <w:ind w:right="88" w:firstLine="419"/>
        <w:rPr>
          <w:sz w:val="20"/>
          <w:szCs w:val="20"/>
        </w:rPr>
      </w:pPr>
      <w:r>
        <w:rPr>
          <w:spacing w:val="11"/>
          <w:sz w:val="20"/>
          <w:szCs w:val="20"/>
        </w:rPr>
        <w:t>13.1.1分部分项工程质量应符合国家有关工程施工验收规范、标准及合同约定，承包人应按</w:t>
      </w:r>
      <w:r>
        <w:rPr>
          <w:spacing w:val="7"/>
          <w:sz w:val="20"/>
          <w:szCs w:val="20"/>
        </w:rPr>
        <w:t xml:space="preserve"> </w:t>
      </w:r>
      <w:r>
        <w:rPr>
          <w:spacing w:val="8"/>
          <w:sz w:val="20"/>
          <w:szCs w:val="20"/>
        </w:rPr>
        <w:t>照施工组织设计的要求完成分部分项工程施工。</w:t>
      </w:r>
    </w:p>
    <w:p w14:paraId="5FF0B103">
      <w:pPr>
        <w:pStyle w:val="2"/>
        <w:spacing w:before="183" w:line="333" w:lineRule="auto"/>
        <w:ind w:firstLine="419"/>
        <w:rPr>
          <w:sz w:val="20"/>
          <w:szCs w:val="20"/>
        </w:rPr>
      </w:pPr>
      <w:r>
        <w:rPr>
          <w:spacing w:val="9"/>
          <w:sz w:val="20"/>
          <w:szCs w:val="20"/>
        </w:rPr>
        <w:t>13.1.2 除专用合同条款另有约定外，分部分项工程</w:t>
      </w:r>
      <w:r>
        <w:rPr>
          <w:spacing w:val="8"/>
          <w:sz w:val="20"/>
          <w:szCs w:val="20"/>
        </w:rPr>
        <w:t>经承包人自检合格并具备验收条件的，承</w:t>
      </w:r>
      <w:r>
        <w:rPr>
          <w:sz w:val="20"/>
          <w:szCs w:val="20"/>
        </w:rPr>
        <w:t xml:space="preserve">  </w:t>
      </w:r>
      <w:r>
        <w:rPr>
          <w:spacing w:val="17"/>
          <w:sz w:val="20"/>
          <w:szCs w:val="20"/>
        </w:rPr>
        <w:t>包人应提前48小时通知监理人进行验收。监理人不能按时进行验收的，应在验收前24小</w:t>
      </w:r>
      <w:r>
        <w:rPr>
          <w:spacing w:val="16"/>
          <w:sz w:val="20"/>
          <w:szCs w:val="20"/>
        </w:rPr>
        <w:t>时向承</w:t>
      </w:r>
      <w:r>
        <w:rPr>
          <w:sz w:val="20"/>
          <w:szCs w:val="20"/>
        </w:rPr>
        <w:t xml:space="preserve"> </w:t>
      </w:r>
      <w:r>
        <w:rPr>
          <w:spacing w:val="9"/>
          <w:sz w:val="20"/>
          <w:szCs w:val="20"/>
        </w:rPr>
        <w:t>包人提交书面延期要求，但延期不能超过48小时。监理人未按时进行验收，也未</w:t>
      </w:r>
      <w:r>
        <w:rPr>
          <w:spacing w:val="8"/>
          <w:sz w:val="20"/>
          <w:szCs w:val="20"/>
        </w:rPr>
        <w:t>提出延期要求的，</w:t>
      </w:r>
      <w:r>
        <w:rPr>
          <w:sz w:val="20"/>
          <w:szCs w:val="20"/>
        </w:rPr>
        <w:t xml:space="preserve"> </w:t>
      </w:r>
      <w:r>
        <w:rPr>
          <w:spacing w:val="12"/>
          <w:sz w:val="20"/>
          <w:szCs w:val="20"/>
        </w:rPr>
        <w:t>承包人有权自行验收，监理人应认可验收结果。分部分项工程未经验收的，不得进入下</w:t>
      </w:r>
      <w:r>
        <w:rPr>
          <w:spacing w:val="11"/>
          <w:sz w:val="20"/>
          <w:szCs w:val="20"/>
        </w:rPr>
        <w:t>一道工序</w:t>
      </w:r>
      <w:r>
        <w:rPr>
          <w:sz w:val="20"/>
          <w:szCs w:val="20"/>
        </w:rPr>
        <w:t xml:space="preserve">  施工。</w:t>
      </w:r>
    </w:p>
    <w:p w14:paraId="20F7BE2A">
      <w:pPr>
        <w:pStyle w:val="2"/>
        <w:spacing w:before="146" w:line="219" w:lineRule="auto"/>
        <w:ind w:left="419"/>
        <w:rPr>
          <w:sz w:val="20"/>
          <w:szCs w:val="20"/>
        </w:rPr>
      </w:pPr>
      <w:r>
        <w:rPr>
          <w:spacing w:val="9"/>
          <w:sz w:val="20"/>
          <w:szCs w:val="20"/>
        </w:rPr>
        <w:t>分部分项工程的验收资料应当作为竣工资料的组成部分。</w:t>
      </w:r>
    </w:p>
    <w:p w14:paraId="1E16EE36">
      <w:pPr>
        <w:spacing w:before="149" w:line="221" w:lineRule="auto"/>
        <w:ind w:left="3"/>
        <w:rPr>
          <w:rFonts w:ascii="黑体" w:hAnsi="黑体" w:eastAsia="黑体" w:cs="黑体"/>
          <w:sz w:val="25"/>
          <w:szCs w:val="25"/>
        </w:rPr>
      </w:pPr>
      <w:r>
        <w:rPr>
          <w:rFonts w:ascii="黑体" w:hAnsi="黑体" w:eastAsia="黑体" w:cs="黑体"/>
          <w:b/>
          <w:bCs/>
          <w:spacing w:val="-6"/>
          <w:sz w:val="25"/>
          <w:szCs w:val="25"/>
        </w:rPr>
        <w:t>13.2竣工验收</w:t>
      </w:r>
    </w:p>
    <w:p w14:paraId="312F6DC6">
      <w:pPr>
        <w:pStyle w:val="2"/>
        <w:spacing w:before="135" w:line="219" w:lineRule="auto"/>
        <w:ind w:left="419"/>
        <w:rPr>
          <w:sz w:val="20"/>
          <w:szCs w:val="20"/>
        </w:rPr>
      </w:pPr>
      <w:r>
        <w:rPr>
          <w:spacing w:val="5"/>
          <w:sz w:val="20"/>
          <w:szCs w:val="20"/>
        </w:rPr>
        <w:t>13.2.1竣工验收条件</w:t>
      </w:r>
    </w:p>
    <w:p w14:paraId="52478250">
      <w:pPr>
        <w:pStyle w:val="2"/>
        <w:spacing w:before="162" w:line="219" w:lineRule="auto"/>
        <w:ind w:left="419"/>
        <w:rPr>
          <w:sz w:val="20"/>
          <w:szCs w:val="20"/>
        </w:rPr>
      </w:pPr>
      <w:r>
        <w:rPr>
          <w:spacing w:val="8"/>
          <w:sz w:val="20"/>
          <w:szCs w:val="20"/>
        </w:rPr>
        <w:t>工程具备以下条件的，承包人可以申请竣工验收：</w:t>
      </w:r>
    </w:p>
    <w:p w14:paraId="12EAC313">
      <w:pPr>
        <w:pStyle w:val="2"/>
        <w:spacing w:before="192" w:line="353" w:lineRule="auto"/>
        <w:ind w:right="90" w:firstLine="519"/>
        <w:rPr>
          <w:sz w:val="20"/>
          <w:szCs w:val="20"/>
        </w:rPr>
      </w:pPr>
      <w:r>
        <w:rPr>
          <w:spacing w:val="12"/>
          <w:sz w:val="20"/>
          <w:szCs w:val="20"/>
        </w:rPr>
        <w:t>(1)除发包人同意的甩项工作和缺陷修补工作外，合同范围</w:t>
      </w:r>
      <w:r>
        <w:rPr>
          <w:spacing w:val="11"/>
          <w:sz w:val="20"/>
          <w:szCs w:val="20"/>
        </w:rPr>
        <w:t>内的全部工程以及有关工作，包</w:t>
      </w:r>
      <w:r>
        <w:rPr>
          <w:sz w:val="20"/>
          <w:szCs w:val="20"/>
        </w:rPr>
        <w:t xml:space="preserve"> </w:t>
      </w:r>
      <w:r>
        <w:rPr>
          <w:spacing w:val="8"/>
          <w:sz w:val="20"/>
          <w:szCs w:val="20"/>
        </w:rPr>
        <w:t>括合同要求的试验、试运行以及检验均已完成，并符合合同要求；</w:t>
      </w:r>
    </w:p>
    <w:p w14:paraId="5402B8DF">
      <w:pPr>
        <w:spacing w:line="353" w:lineRule="auto"/>
        <w:rPr>
          <w:sz w:val="20"/>
          <w:szCs w:val="20"/>
        </w:rPr>
        <w:sectPr>
          <w:footerReference r:id="rId226" w:type="default"/>
          <w:pgSz w:w="11910" w:h="16840"/>
          <w:pgMar w:top="400" w:right="1460" w:bottom="1024" w:left="1460" w:header="0" w:footer="889" w:gutter="0"/>
          <w:cols w:space="720" w:num="1"/>
        </w:sectPr>
      </w:pPr>
    </w:p>
    <w:p w14:paraId="159BAA6E">
      <w:pPr>
        <w:spacing w:line="270" w:lineRule="auto"/>
        <w:rPr>
          <w:rFonts w:ascii="Arial"/>
          <w:sz w:val="21"/>
        </w:rPr>
      </w:pPr>
    </w:p>
    <w:p w14:paraId="361B1622">
      <w:pPr>
        <w:spacing w:line="270" w:lineRule="auto"/>
        <w:rPr>
          <w:rFonts w:ascii="Arial"/>
          <w:sz w:val="21"/>
        </w:rPr>
      </w:pPr>
    </w:p>
    <w:p w14:paraId="47D40A05">
      <w:pPr>
        <w:spacing w:line="270" w:lineRule="auto"/>
        <w:rPr>
          <w:rFonts w:ascii="Arial"/>
          <w:sz w:val="21"/>
        </w:rPr>
      </w:pPr>
    </w:p>
    <w:p w14:paraId="6D5F18E9">
      <w:pPr>
        <w:spacing w:line="271" w:lineRule="auto"/>
        <w:rPr>
          <w:rFonts w:ascii="Arial"/>
          <w:sz w:val="21"/>
        </w:rPr>
      </w:pPr>
    </w:p>
    <w:p w14:paraId="6A5CCDC7">
      <w:pPr>
        <w:spacing w:line="271" w:lineRule="auto"/>
        <w:rPr>
          <w:rFonts w:ascii="Arial"/>
          <w:sz w:val="21"/>
        </w:rPr>
      </w:pPr>
    </w:p>
    <w:p w14:paraId="5AFF505F">
      <w:pPr>
        <w:pStyle w:val="2"/>
        <w:spacing w:before="68" w:line="219" w:lineRule="auto"/>
        <w:ind w:left="529"/>
        <w:rPr>
          <w:sz w:val="21"/>
          <w:szCs w:val="21"/>
        </w:rPr>
      </w:pPr>
      <w:r>
        <w:rPr>
          <w:spacing w:val="2"/>
          <w:sz w:val="21"/>
          <w:szCs w:val="21"/>
        </w:rPr>
        <w:t>(2)已按合同约定编制了甩项工作和缺陷修补工作清单以及相应的施工计划；</w:t>
      </w:r>
    </w:p>
    <w:p w14:paraId="4049C3D3">
      <w:pPr>
        <w:pStyle w:val="2"/>
        <w:spacing w:before="160" w:line="219" w:lineRule="auto"/>
        <w:ind w:left="529"/>
        <w:rPr>
          <w:sz w:val="21"/>
          <w:szCs w:val="21"/>
        </w:rPr>
      </w:pPr>
      <w:r>
        <w:rPr>
          <w:spacing w:val="4"/>
          <w:sz w:val="21"/>
          <w:szCs w:val="21"/>
        </w:rPr>
        <w:t>(3)已按合同约定的内容和份数备齐竣工资料。</w:t>
      </w:r>
    </w:p>
    <w:p w14:paraId="0E44D7DA">
      <w:pPr>
        <w:pStyle w:val="2"/>
        <w:spacing w:before="140" w:line="219" w:lineRule="auto"/>
        <w:ind w:left="419"/>
        <w:rPr>
          <w:sz w:val="21"/>
          <w:szCs w:val="21"/>
        </w:rPr>
      </w:pPr>
      <w:r>
        <w:rPr>
          <w:spacing w:val="-2"/>
          <w:sz w:val="21"/>
          <w:szCs w:val="21"/>
        </w:rPr>
        <w:t>13.2.2竣工验收程序</w:t>
      </w:r>
    </w:p>
    <w:p w14:paraId="6A4FC4FF">
      <w:pPr>
        <w:pStyle w:val="2"/>
        <w:spacing w:before="141" w:line="219" w:lineRule="auto"/>
        <w:ind w:left="419"/>
        <w:rPr>
          <w:sz w:val="21"/>
          <w:szCs w:val="21"/>
        </w:rPr>
      </w:pPr>
      <w:r>
        <w:rPr>
          <w:spacing w:val="-1"/>
          <w:sz w:val="21"/>
          <w:szCs w:val="21"/>
        </w:rPr>
        <w:t>除专用合同条款另有约定外，承包人申请竣工验收的，应当按照以下程序进行：</w:t>
      </w:r>
    </w:p>
    <w:p w14:paraId="0B1CFAA8">
      <w:pPr>
        <w:pStyle w:val="2"/>
        <w:spacing w:before="150" w:line="318" w:lineRule="auto"/>
        <w:ind w:right="2" w:firstLine="529"/>
        <w:rPr>
          <w:sz w:val="21"/>
          <w:szCs w:val="21"/>
        </w:rPr>
      </w:pPr>
      <w:r>
        <w:rPr>
          <w:spacing w:val="7"/>
          <w:sz w:val="21"/>
          <w:szCs w:val="21"/>
        </w:rPr>
        <w:t>(1)承包人向监理人报送竣工验收申请报告，监理人应在收到竣工验收申请报告后14天内</w:t>
      </w:r>
      <w:r>
        <w:rPr>
          <w:spacing w:val="15"/>
          <w:sz w:val="21"/>
          <w:szCs w:val="21"/>
        </w:rPr>
        <w:t xml:space="preserve"> </w:t>
      </w:r>
      <w:r>
        <w:rPr>
          <w:spacing w:val="2"/>
          <w:sz w:val="21"/>
          <w:szCs w:val="21"/>
        </w:rPr>
        <w:t>完成审查并报送发包人。监理人审查后认为尚不具备验收条件的，应通知承包人在</w:t>
      </w:r>
      <w:r>
        <w:rPr>
          <w:spacing w:val="1"/>
          <w:sz w:val="21"/>
          <w:szCs w:val="21"/>
        </w:rPr>
        <w:t>竣工验收前承</w:t>
      </w:r>
      <w:r>
        <w:rPr>
          <w:sz w:val="21"/>
          <w:szCs w:val="21"/>
        </w:rPr>
        <w:t xml:space="preserve"> </w:t>
      </w:r>
      <w:r>
        <w:rPr>
          <w:spacing w:val="2"/>
          <w:sz w:val="21"/>
          <w:szCs w:val="21"/>
        </w:rPr>
        <w:t>包人还需完成的工作内容，承包人应在完成监理人通知的全部工作内容后，再次提交竣工验收申</w:t>
      </w:r>
      <w:r>
        <w:rPr>
          <w:spacing w:val="13"/>
          <w:sz w:val="21"/>
          <w:szCs w:val="21"/>
        </w:rPr>
        <w:t xml:space="preserve"> </w:t>
      </w:r>
      <w:r>
        <w:rPr>
          <w:spacing w:val="-7"/>
          <w:sz w:val="21"/>
          <w:szCs w:val="21"/>
        </w:rPr>
        <w:t>请报告。</w:t>
      </w:r>
    </w:p>
    <w:p w14:paraId="3417DCA4">
      <w:pPr>
        <w:pStyle w:val="2"/>
        <w:spacing w:before="151" w:line="314" w:lineRule="auto"/>
        <w:ind w:right="21" w:firstLine="529"/>
        <w:rPr>
          <w:sz w:val="21"/>
          <w:szCs w:val="21"/>
        </w:rPr>
      </w:pPr>
      <w:r>
        <w:rPr>
          <w:spacing w:val="2"/>
          <w:sz w:val="21"/>
          <w:szCs w:val="21"/>
        </w:rPr>
        <w:t>(2)监理人审查后认为已具备竣工验收条件的，应将竣工验收申请报告</w:t>
      </w:r>
      <w:r>
        <w:rPr>
          <w:spacing w:val="1"/>
          <w:sz w:val="21"/>
          <w:szCs w:val="21"/>
        </w:rPr>
        <w:t>提交发包人，发包人</w:t>
      </w:r>
      <w:r>
        <w:rPr>
          <w:sz w:val="21"/>
          <w:szCs w:val="21"/>
        </w:rPr>
        <w:t xml:space="preserve"> </w:t>
      </w:r>
      <w:r>
        <w:rPr>
          <w:spacing w:val="2"/>
          <w:sz w:val="21"/>
          <w:szCs w:val="21"/>
        </w:rPr>
        <w:t>应在收到经监理人审核的竣工验收申请报告后28天内审批完毕并组织监理人、承</w:t>
      </w:r>
      <w:r>
        <w:rPr>
          <w:spacing w:val="1"/>
          <w:sz w:val="21"/>
          <w:szCs w:val="21"/>
        </w:rPr>
        <w:t>包人、设计人等</w:t>
      </w:r>
      <w:r>
        <w:rPr>
          <w:sz w:val="21"/>
          <w:szCs w:val="21"/>
        </w:rPr>
        <w:t xml:space="preserve"> </w:t>
      </w:r>
      <w:r>
        <w:rPr>
          <w:spacing w:val="-4"/>
          <w:sz w:val="21"/>
          <w:szCs w:val="21"/>
        </w:rPr>
        <w:t>相关单位完成竣工验收。</w:t>
      </w:r>
    </w:p>
    <w:p w14:paraId="5B534D99">
      <w:pPr>
        <w:pStyle w:val="2"/>
        <w:spacing w:before="151" w:line="276" w:lineRule="auto"/>
        <w:ind w:right="22" w:firstLine="529"/>
        <w:rPr>
          <w:sz w:val="21"/>
          <w:szCs w:val="21"/>
        </w:rPr>
      </w:pPr>
      <w:r>
        <w:rPr>
          <w:spacing w:val="7"/>
          <w:sz w:val="21"/>
          <w:szCs w:val="21"/>
        </w:rPr>
        <w:t>(3)竣工验收合格的，发包人应在验收合格后14天内向承包人签发工程接收证</w:t>
      </w:r>
      <w:r>
        <w:rPr>
          <w:spacing w:val="6"/>
          <w:sz w:val="21"/>
          <w:szCs w:val="21"/>
        </w:rPr>
        <w:t>书。发包人</w:t>
      </w:r>
      <w:r>
        <w:rPr>
          <w:sz w:val="21"/>
          <w:szCs w:val="21"/>
        </w:rPr>
        <w:t xml:space="preserve"> </w:t>
      </w:r>
      <w:r>
        <w:rPr>
          <w:spacing w:val="3"/>
          <w:sz w:val="21"/>
          <w:szCs w:val="21"/>
        </w:rPr>
        <w:t>无正当理由逾期不颁发工程接收证书的，自验收合</w:t>
      </w:r>
      <w:r>
        <w:rPr>
          <w:spacing w:val="2"/>
          <w:sz w:val="21"/>
          <w:szCs w:val="21"/>
        </w:rPr>
        <w:t>格后第15天起视为已颁发工程接收证书。</w:t>
      </w:r>
    </w:p>
    <w:p w14:paraId="129E9AA8">
      <w:pPr>
        <w:pStyle w:val="2"/>
        <w:spacing w:before="170" w:line="319" w:lineRule="auto"/>
        <w:ind w:right="14" w:firstLine="529"/>
        <w:rPr>
          <w:sz w:val="21"/>
          <w:szCs w:val="21"/>
        </w:rPr>
      </w:pPr>
      <w:r>
        <w:rPr>
          <w:spacing w:val="2"/>
          <w:sz w:val="21"/>
          <w:szCs w:val="21"/>
        </w:rPr>
        <w:t>(4)竣工验收不合格的，监理人应按照验收意见发出指示，要求承包人对不合格工</w:t>
      </w:r>
      <w:r>
        <w:rPr>
          <w:spacing w:val="1"/>
          <w:sz w:val="21"/>
          <w:szCs w:val="21"/>
        </w:rPr>
        <w:t>程返工、</w:t>
      </w:r>
      <w:r>
        <w:rPr>
          <w:sz w:val="21"/>
          <w:szCs w:val="21"/>
        </w:rPr>
        <w:t xml:space="preserve"> </w:t>
      </w:r>
      <w:r>
        <w:rPr>
          <w:spacing w:val="7"/>
          <w:sz w:val="21"/>
          <w:szCs w:val="21"/>
        </w:rPr>
        <w:t>修复或采取其他补救措施，由此增加的费用和(或)延误的工期由承包人承担。承包人</w:t>
      </w:r>
      <w:r>
        <w:rPr>
          <w:spacing w:val="6"/>
          <w:sz w:val="21"/>
          <w:szCs w:val="21"/>
        </w:rPr>
        <w:t>在完成不</w:t>
      </w:r>
      <w:r>
        <w:rPr>
          <w:sz w:val="21"/>
          <w:szCs w:val="21"/>
        </w:rPr>
        <w:t xml:space="preserve"> </w:t>
      </w:r>
      <w:r>
        <w:rPr>
          <w:spacing w:val="2"/>
          <w:sz w:val="21"/>
          <w:szCs w:val="21"/>
        </w:rPr>
        <w:t>合格工程的返工、修复或采取其他补救措施后，应重新提交竣工验收申请报告，并按本项约定的</w:t>
      </w:r>
      <w:r>
        <w:rPr>
          <w:spacing w:val="1"/>
          <w:sz w:val="21"/>
          <w:szCs w:val="21"/>
        </w:rPr>
        <w:t xml:space="preserve"> </w:t>
      </w:r>
      <w:r>
        <w:rPr>
          <w:spacing w:val="-4"/>
          <w:sz w:val="21"/>
          <w:szCs w:val="21"/>
        </w:rPr>
        <w:t>程序重新进行验收。</w:t>
      </w:r>
    </w:p>
    <w:p w14:paraId="350D0EC6">
      <w:pPr>
        <w:pStyle w:val="2"/>
        <w:spacing w:before="141" w:line="307" w:lineRule="auto"/>
        <w:ind w:firstLine="529"/>
        <w:rPr>
          <w:sz w:val="21"/>
          <w:szCs w:val="21"/>
        </w:rPr>
      </w:pPr>
      <w:r>
        <w:rPr>
          <w:spacing w:val="4"/>
          <w:sz w:val="21"/>
          <w:szCs w:val="21"/>
        </w:rPr>
        <w:t>(5)工程未经验收或验收不合格，发包人擅自使用的，应在转移占有工程后7天内向承包人</w:t>
      </w:r>
      <w:r>
        <w:rPr>
          <w:spacing w:val="13"/>
          <w:sz w:val="21"/>
          <w:szCs w:val="21"/>
        </w:rPr>
        <w:t xml:space="preserve"> </w:t>
      </w:r>
      <w:r>
        <w:rPr>
          <w:spacing w:val="2"/>
          <w:sz w:val="21"/>
          <w:szCs w:val="21"/>
        </w:rPr>
        <w:t>颁发工程接收证书；发包人无正当理由逾期不颁发工程接收证书的，自转移占有后第15天起视为</w:t>
      </w:r>
      <w:r>
        <w:rPr>
          <w:spacing w:val="14"/>
          <w:sz w:val="21"/>
          <w:szCs w:val="21"/>
        </w:rPr>
        <w:t xml:space="preserve"> </w:t>
      </w:r>
      <w:r>
        <w:rPr>
          <w:spacing w:val="-4"/>
          <w:sz w:val="21"/>
          <w:szCs w:val="21"/>
        </w:rPr>
        <w:t>已颁发工程接收证书。</w:t>
      </w:r>
    </w:p>
    <w:p w14:paraId="682C9C31">
      <w:pPr>
        <w:pStyle w:val="2"/>
        <w:spacing w:before="171" w:line="349" w:lineRule="auto"/>
        <w:ind w:right="12" w:firstLine="419"/>
        <w:jc w:val="both"/>
        <w:rPr>
          <w:sz w:val="21"/>
          <w:szCs w:val="21"/>
        </w:rPr>
      </w:pPr>
      <w:r>
        <w:rPr>
          <w:spacing w:val="2"/>
          <w:sz w:val="21"/>
          <w:szCs w:val="21"/>
        </w:rPr>
        <w:t>除专用合同条款另有约定外，发包人不按照本项约定组</w:t>
      </w:r>
      <w:r>
        <w:rPr>
          <w:spacing w:val="1"/>
          <w:sz w:val="21"/>
          <w:szCs w:val="21"/>
        </w:rPr>
        <w:t>织竣工验收、颁发工程接收证书的，</w:t>
      </w:r>
      <w:r>
        <w:rPr>
          <w:sz w:val="21"/>
          <w:szCs w:val="21"/>
        </w:rPr>
        <w:t xml:space="preserve"> </w:t>
      </w:r>
      <w:r>
        <w:rPr>
          <w:spacing w:val="2"/>
          <w:sz w:val="21"/>
          <w:szCs w:val="21"/>
        </w:rPr>
        <w:t>每逾期一天，应以签约合同价为基数，按照中国人民银行发布的同期同类贷款基准利率支付违约</w:t>
      </w:r>
      <w:r>
        <w:rPr>
          <w:spacing w:val="3"/>
          <w:sz w:val="21"/>
          <w:szCs w:val="21"/>
        </w:rPr>
        <w:t xml:space="preserve"> </w:t>
      </w:r>
      <w:r>
        <w:rPr>
          <w:spacing w:val="-11"/>
          <w:sz w:val="21"/>
          <w:szCs w:val="21"/>
        </w:rPr>
        <w:t>金。</w:t>
      </w:r>
    </w:p>
    <w:p w14:paraId="49365BBE">
      <w:pPr>
        <w:pStyle w:val="2"/>
        <w:spacing w:line="219" w:lineRule="auto"/>
        <w:ind w:left="419"/>
        <w:rPr>
          <w:sz w:val="21"/>
          <w:szCs w:val="21"/>
        </w:rPr>
      </w:pPr>
      <w:r>
        <w:rPr>
          <w:spacing w:val="-3"/>
          <w:sz w:val="21"/>
          <w:szCs w:val="21"/>
        </w:rPr>
        <w:t>13.2.3竣工日期</w:t>
      </w:r>
    </w:p>
    <w:p w14:paraId="268C3CC6">
      <w:pPr>
        <w:pStyle w:val="2"/>
        <w:spacing w:before="151" w:line="344" w:lineRule="auto"/>
        <w:ind w:right="13" w:firstLine="419"/>
        <w:rPr>
          <w:sz w:val="21"/>
          <w:szCs w:val="21"/>
        </w:rPr>
      </w:pPr>
      <w:r>
        <w:rPr>
          <w:spacing w:val="2"/>
          <w:sz w:val="21"/>
          <w:szCs w:val="21"/>
        </w:rPr>
        <w:t>工程经竣工验收合格的，以承包人提交竣工验收申请报告之日为实际竣工日期，并在</w:t>
      </w:r>
      <w:r>
        <w:rPr>
          <w:spacing w:val="1"/>
          <w:sz w:val="21"/>
          <w:szCs w:val="21"/>
        </w:rPr>
        <w:t>工程接</w:t>
      </w:r>
      <w:r>
        <w:rPr>
          <w:sz w:val="21"/>
          <w:szCs w:val="21"/>
        </w:rPr>
        <w:t xml:space="preserve"> </w:t>
      </w:r>
      <w:r>
        <w:rPr>
          <w:spacing w:val="2"/>
          <w:sz w:val="21"/>
          <w:szCs w:val="21"/>
        </w:rPr>
        <w:t>收证书中载明；因发包人原因，未在监理人收到承包人提交的竣工验收申请报告42</w:t>
      </w:r>
      <w:r>
        <w:rPr>
          <w:spacing w:val="1"/>
          <w:sz w:val="21"/>
          <w:szCs w:val="21"/>
        </w:rPr>
        <w:t>天内完成竣工</w:t>
      </w:r>
      <w:r>
        <w:rPr>
          <w:sz w:val="21"/>
          <w:szCs w:val="21"/>
        </w:rPr>
        <w:t xml:space="preserve"> </w:t>
      </w:r>
      <w:r>
        <w:rPr>
          <w:spacing w:val="2"/>
          <w:sz w:val="21"/>
          <w:szCs w:val="21"/>
        </w:rPr>
        <w:t xml:space="preserve">验收，或完成竣工验收不予签发工程接收证书的，以提交竣工验收申请报告的日期为实际竣工日 </w:t>
      </w:r>
      <w:r>
        <w:rPr>
          <w:sz w:val="21"/>
          <w:szCs w:val="21"/>
        </w:rPr>
        <w:t>期；工程未经竣工验收，发包人擅自使用的，以转移占有工程之日为</w:t>
      </w:r>
      <w:r>
        <w:rPr>
          <w:spacing w:val="-1"/>
          <w:sz w:val="21"/>
          <w:szCs w:val="21"/>
        </w:rPr>
        <w:t>实际竣工日期。</w:t>
      </w:r>
    </w:p>
    <w:p w14:paraId="18D2F469">
      <w:pPr>
        <w:pStyle w:val="2"/>
        <w:spacing w:before="35" w:line="219" w:lineRule="auto"/>
        <w:ind w:left="422"/>
        <w:rPr>
          <w:sz w:val="21"/>
          <w:szCs w:val="21"/>
        </w:rPr>
      </w:pPr>
      <w:r>
        <w:rPr>
          <w:b/>
          <w:bCs/>
          <w:spacing w:val="-8"/>
          <w:sz w:val="21"/>
          <w:szCs w:val="21"/>
        </w:rPr>
        <w:t>13.2.4</w:t>
      </w:r>
      <w:r>
        <w:rPr>
          <w:spacing w:val="-8"/>
          <w:sz w:val="21"/>
          <w:szCs w:val="21"/>
        </w:rPr>
        <w:t xml:space="preserve"> 拒绝接收全部或部分工程</w:t>
      </w:r>
    </w:p>
    <w:p w14:paraId="58F3ADB2">
      <w:pPr>
        <w:pStyle w:val="2"/>
        <w:spacing w:before="160" w:line="344" w:lineRule="auto"/>
        <w:ind w:right="18" w:firstLine="419"/>
        <w:rPr>
          <w:sz w:val="21"/>
          <w:szCs w:val="21"/>
        </w:rPr>
      </w:pPr>
      <w:r>
        <w:rPr>
          <w:spacing w:val="2"/>
          <w:sz w:val="21"/>
          <w:szCs w:val="21"/>
        </w:rPr>
        <w:t>对于竣工验收不合格的工程，承包人完成整改后，应当重新进行竣工验收，经重新组</w:t>
      </w:r>
      <w:r>
        <w:rPr>
          <w:spacing w:val="1"/>
          <w:sz w:val="21"/>
          <w:szCs w:val="21"/>
        </w:rPr>
        <w:t>织验收</w:t>
      </w:r>
      <w:r>
        <w:rPr>
          <w:sz w:val="21"/>
          <w:szCs w:val="21"/>
        </w:rPr>
        <w:t xml:space="preserve"> </w:t>
      </w:r>
      <w:r>
        <w:rPr>
          <w:spacing w:val="2"/>
          <w:sz w:val="21"/>
          <w:szCs w:val="21"/>
        </w:rPr>
        <w:t>仍不合格的且无法采取措施补救的，则发包人可以拒绝接收不合格工程，因不</w:t>
      </w:r>
      <w:r>
        <w:rPr>
          <w:spacing w:val="1"/>
          <w:sz w:val="21"/>
          <w:szCs w:val="21"/>
        </w:rPr>
        <w:t>合格工程导致其他</w:t>
      </w:r>
      <w:r>
        <w:rPr>
          <w:sz w:val="21"/>
          <w:szCs w:val="21"/>
        </w:rPr>
        <w:t xml:space="preserve"> </w:t>
      </w:r>
      <w:r>
        <w:rPr>
          <w:spacing w:val="7"/>
          <w:sz w:val="21"/>
          <w:szCs w:val="21"/>
        </w:rPr>
        <w:t>工程不能正常使用的，承包人应采取措施确保相关工程的正常使用，由此增加的费用和(</w:t>
      </w:r>
      <w:r>
        <w:rPr>
          <w:spacing w:val="6"/>
          <w:sz w:val="21"/>
          <w:szCs w:val="21"/>
        </w:rPr>
        <w:t>或)延</w:t>
      </w:r>
      <w:r>
        <w:rPr>
          <w:sz w:val="21"/>
          <w:szCs w:val="21"/>
        </w:rPr>
        <w:t xml:space="preserve"> </w:t>
      </w:r>
      <w:r>
        <w:rPr>
          <w:spacing w:val="-4"/>
          <w:sz w:val="21"/>
          <w:szCs w:val="21"/>
        </w:rPr>
        <w:t>误的工期由承包人承担。</w:t>
      </w:r>
    </w:p>
    <w:p w14:paraId="61D7BCD3">
      <w:pPr>
        <w:spacing w:line="344" w:lineRule="auto"/>
        <w:rPr>
          <w:sz w:val="21"/>
          <w:szCs w:val="21"/>
        </w:rPr>
        <w:sectPr>
          <w:footerReference r:id="rId227" w:type="default"/>
          <w:pgSz w:w="11910" w:h="16840"/>
          <w:pgMar w:top="400" w:right="1528" w:bottom="1024" w:left="1460" w:header="0" w:footer="889" w:gutter="0"/>
          <w:cols w:space="720" w:num="1"/>
        </w:sectPr>
      </w:pPr>
    </w:p>
    <w:p w14:paraId="3C9D974E">
      <w:pPr>
        <w:spacing w:line="270" w:lineRule="auto"/>
        <w:rPr>
          <w:rFonts w:ascii="Arial"/>
          <w:sz w:val="21"/>
        </w:rPr>
      </w:pPr>
    </w:p>
    <w:p w14:paraId="5605B343">
      <w:pPr>
        <w:spacing w:line="270" w:lineRule="auto"/>
        <w:rPr>
          <w:rFonts w:ascii="Arial"/>
          <w:sz w:val="21"/>
        </w:rPr>
      </w:pPr>
    </w:p>
    <w:p w14:paraId="19B906B8">
      <w:pPr>
        <w:spacing w:line="270" w:lineRule="auto"/>
        <w:rPr>
          <w:rFonts w:ascii="Arial"/>
          <w:sz w:val="21"/>
        </w:rPr>
      </w:pPr>
    </w:p>
    <w:p w14:paraId="4BFDFEBA">
      <w:pPr>
        <w:spacing w:line="271" w:lineRule="auto"/>
        <w:rPr>
          <w:rFonts w:ascii="Arial"/>
          <w:sz w:val="21"/>
        </w:rPr>
      </w:pPr>
    </w:p>
    <w:p w14:paraId="22F8A2AC">
      <w:pPr>
        <w:spacing w:line="271" w:lineRule="auto"/>
        <w:rPr>
          <w:rFonts w:ascii="Arial"/>
          <w:sz w:val="21"/>
        </w:rPr>
      </w:pPr>
    </w:p>
    <w:p w14:paraId="17778C23">
      <w:pPr>
        <w:pStyle w:val="2"/>
        <w:spacing w:before="68" w:line="219" w:lineRule="auto"/>
        <w:ind w:left="409"/>
        <w:rPr>
          <w:sz w:val="21"/>
          <w:szCs w:val="21"/>
        </w:rPr>
      </w:pPr>
      <w:r>
        <w:rPr>
          <w:rFonts w:ascii="Times New Roman" w:hAnsi="Times New Roman" w:eastAsia="Times New Roman" w:cs="Times New Roman"/>
          <w:b/>
          <w:bCs/>
          <w:sz w:val="21"/>
          <w:szCs w:val="21"/>
        </w:rPr>
        <w:t xml:space="preserve">13.2.5  </w:t>
      </w:r>
      <w:r>
        <w:rPr>
          <w:sz w:val="21"/>
          <w:szCs w:val="21"/>
        </w:rPr>
        <w:t>移交、接收全部与部分工程</w:t>
      </w:r>
    </w:p>
    <w:p w14:paraId="7A44590B">
      <w:pPr>
        <w:pStyle w:val="2"/>
        <w:spacing w:before="159" w:line="219" w:lineRule="auto"/>
        <w:jc w:val="right"/>
        <w:rPr>
          <w:sz w:val="21"/>
          <w:szCs w:val="21"/>
        </w:rPr>
      </w:pPr>
      <w:r>
        <w:rPr>
          <w:spacing w:val="2"/>
          <w:sz w:val="21"/>
          <w:szCs w:val="21"/>
        </w:rPr>
        <w:t>除专用合同条款另有约定外，合同当事人应当在颁发工程接收证书后7天内完成工程的</w:t>
      </w:r>
      <w:r>
        <w:rPr>
          <w:spacing w:val="1"/>
          <w:sz w:val="21"/>
          <w:szCs w:val="21"/>
        </w:rPr>
        <w:t>移交。</w:t>
      </w:r>
    </w:p>
    <w:p w14:paraId="2B4C30E5">
      <w:pPr>
        <w:pStyle w:val="2"/>
        <w:spacing w:before="142" w:line="344" w:lineRule="auto"/>
        <w:ind w:right="17" w:firstLine="409"/>
        <w:rPr>
          <w:sz w:val="21"/>
          <w:szCs w:val="21"/>
        </w:rPr>
      </w:pPr>
      <w:r>
        <w:rPr>
          <w:spacing w:val="-1"/>
          <w:sz w:val="21"/>
          <w:szCs w:val="21"/>
        </w:rPr>
        <w:t>发包人无正当理由不接收工程的，发包人自应当接收工程之日起，承担工程照管、成品保</w:t>
      </w:r>
      <w:r>
        <w:rPr>
          <w:spacing w:val="-2"/>
          <w:sz w:val="21"/>
          <w:szCs w:val="21"/>
        </w:rPr>
        <w:t>护、</w:t>
      </w:r>
      <w:r>
        <w:rPr>
          <w:sz w:val="21"/>
          <w:szCs w:val="21"/>
        </w:rPr>
        <w:t xml:space="preserve"> </w:t>
      </w:r>
      <w:r>
        <w:rPr>
          <w:spacing w:val="2"/>
          <w:sz w:val="21"/>
          <w:szCs w:val="21"/>
        </w:rPr>
        <w:t>保管等与工程有关的各项费用，合同当事人可以在专用合同条款中另行约定发</w:t>
      </w:r>
      <w:r>
        <w:rPr>
          <w:spacing w:val="1"/>
          <w:sz w:val="21"/>
          <w:szCs w:val="21"/>
        </w:rPr>
        <w:t>包人逾期接收工程</w:t>
      </w:r>
      <w:r>
        <w:rPr>
          <w:sz w:val="21"/>
          <w:szCs w:val="21"/>
        </w:rPr>
        <w:t xml:space="preserve"> </w:t>
      </w:r>
      <w:r>
        <w:rPr>
          <w:spacing w:val="-5"/>
          <w:sz w:val="21"/>
          <w:szCs w:val="21"/>
        </w:rPr>
        <w:t>的违约责任。</w:t>
      </w:r>
    </w:p>
    <w:p w14:paraId="43F3E825">
      <w:pPr>
        <w:pStyle w:val="2"/>
        <w:spacing w:before="36" w:line="332" w:lineRule="auto"/>
        <w:ind w:right="6" w:firstLine="409"/>
        <w:rPr>
          <w:sz w:val="21"/>
          <w:szCs w:val="21"/>
        </w:rPr>
      </w:pPr>
      <w:r>
        <w:rPr>
          <w:spacing w:val="2"/>
          <w:sz w:val="21"/>
          <w:szCs w:val="21"/>
        </w:rPr>
        <w:t>承包人无正当理由不移交工程的，承包人应承担工程照管、成品保护、保管等与工程有关的</w:t>
      </w:r>
      <w:r>
        <w:rPr>
          <w:spacing w:val="15"/>
          <w:sz w:val="21"/>
          <w:szCs w:val="21"/>
        </w:rPr>
        <w:t xml:space="preserve"> </w:t>
      </w:r>
      <w:r>
        <w:rPr>
          <w:spacing w:val="-1"/>
          <w:sz w:val="21"/>
          <w:szCs w:val="21"/>
        </w:rPr>
        <w:t>各项费用，合同当事人可以在专用合同条款中另行约定承包人无正当理由不移交工程的违约责任。</w:t>
      </w:r>
    </w:p>
    <w:p w14:paraId="6F17D3B4">
      <w:pPr>
        <w:spacing w:before="1" w:line="220" w:lineRule="auto"/>
        <w:ind w:left="3"/>
        <w:rPr>
          <w:rFonts w:ascii="黑体" w:hAnsi="黑体" w:eastAsia="黑体" w:cs="黑体"/>
          <w:sz w:val="25"/>
          <w:szCs w:val="25"/>
        </w:rPr>
      </w:pPr>
      <w:r>
        <w:rPr>
          <w:rFonts w:ascii="黑体" w:hAnsi="黑体" w:eastAsia="黑体" w:cs="黑体"/>
          <w:b/>
          <w:bCs/>
          <w:spacing w:val="-6"/>
          <w:sz w:val="25"/>
          <w:szCs w:val="25"/>
        </w:rPr>
        <w:t>13.3工程试车</w:t>
      </w:r>
    </w:p>
    <w:p w14:paraId="45233992">
      <w:pPr>
        <w:pStyle w:val="2"/>
        <w:spacing w:before="135" w:line="219" w:lineRule="auto"/>
        <w:ind w:left="409"/>
        <w:rPr>
          <w:sz w:val="21"/>
          <w:szCs w:val="21"/>
        </w:rPr>
      </w:pPr>
      <w:r>
        <w:rPr>
          <w:spacing w:val="-2"/>
          <w:sz w:val="21"/>
          <w:szCs w:val="21"/>
        </w:rPr>
        <w:t>13.3.1试车程序</w:t>
      </w:r>
    </w:p>
    <w:p w14:paraId="2A27DFFC">
      <w:pPr>
        <w:pStyle w:val="2"/>
        <w:spacing w:before="129" w:line="365" w:lineRule="auto"/>
        <w:ind w:right="96" w:firstLine="409"/>
        <w:rPr>
          <w:sz w:val="21"/>
          <w:szCs w:val="21"/>
        </w:rPr>
      </w:pPr>
      <w:r>
        <w:rPr>
          <w:spacing w:val="2"/>
          <w:sz w:val="21"/>
          <w:szCs w:val="21"/>
        </w:rPr>
        <w:t>工程需要试车的，除专用合同条款另有约定外，试车内容应与承包人承包范围相一致，试车</w:t>
      </w:r>
      <w:r>
        <w:rPr>
          <w:spacing w:val="8"/>
          <w:sz w:val="21"/>
          <w:szCs w:val="21"/>
        </w:rPr>
        <w:t xml:space="preserve"> </w:t>
      </w:r>
      <w:r>
        <w:rPr>
          <w:spacing w:val="-3"/>
          <w:sz w:val="21"/>
          <w:szCs w:val="21"/>
        </w:rPr>
        <w:t>费用由承包人承担。工程试车应按如下程序进行：</w:t>
      </w:r>
    </w:p>
    <w:p w14:paraId="1D6884BC">
      <w:pPr>
        <w:pStyle w:val="2"/>
        <w:spacing w:before="2" w:line="349" w:lineRule="auto"/>
        <w:ind w:right="70" w:firstLine="529"/>
        <w:jc w:val="both"/>
        <w:rPr>
          <w:sz w:val="21"/>
          <w:szCs w:val="21"/>
        </w:rPr>
      </w:pPr>
      <w:r>
        <w:rPr>
          <w:spacing w:val="7"/>
          <w:sz w:val="21"/>
          <w:szCs w:val="21"/>
        </w:rPr>
        <w:t>(1)具备单机无负荷试车条件，承包人组织试车，并在试车前48小时书面通</w:t>
      </w:r>
      <w:r>
        <w:rPr>
          <w:spacing w:val="6"/>
          <w:sz w:val="21"/>
          <w:szCs w:val="21"/>
        </w:rPr>
        <w:t>知监理人，通</w:t>
      </w:r>
      <w:r>
        <w:rPr>
          <w:sz w:val="21"/>
          <w:szCs w:val="21"/>
        </w:rPr>
        <w:t xml:space="preserve"> </w:t>
      </w:r>
      <w:r>
        <w:rPr>
          <w:spacing w:val="2"/>
          <w:sz w:val="21"/>
          <w:szCs w:val="21"/>
        </w:rPr>
        <w:t>知中应载明试车内容、时间、地点。承包人准备试车记录，发包人根据承包人要求为试车提供必</w:t>
      </w:r>
      <w:r>
        <w:rPr>
          <w:spacing w:val="1"/>
          <w:sz w:val="21"/>
          <w:szCs w:val="21"/>
        </w:rPr>
        <w:t xml:space="preserve"> </w:t>
      </w:r>
      <w:r>
        <w:rPr>
          <w:spacing w:val="3"/>
          <w:sz w:val="21"/>
          <w:szCs w:val="21"/>
        </w:rPr>
        <w:t>要条件。试车合格的，监理人在试车记录上</w:t>
      </w:r>
      <w:r>
        <w:rPr>
          <w:spacing w:val="2"/>
          <w:sz w:val="21"/>
          <w:szCs w:val="21"/>
        </w:rPr>
        <w:t>签字。监理人在试车合格后不在试车记录上签字，自</w:t>
      </w:r>
      <w:r>
        <w:rPr>
          <w:sz w:val="21"/>
          <w:szCs w:val="21"/>
        </w:rPr>
        <w:t xml:space="preserve"> </w:t>
      </w:r>
      <w:r>
        <w:rPr>
          <w:spacing w:val="3"/>
          <w:sz w:val="21"/>
          <w:szCs w:val="21"/>
        </w:rPr>
        <w:t>试车结束满24小时后视为监理人已经认可试车记录，承包人可继</w:t>
      </w:r>
      <w:r>
        <w:rPr>
          <w:spacing w:val="2"/>
          <w:sz w:val="21"/>
          <w:szCs w:val="21"/>
        </w:rPr>
        <w:t>续施工或办理竣工验收手续。</w:t>
      </w:r>
    </w:p>
    <w:p w14:paraId="1C9E5AB8">
      <w:pPr>
        <w:pStyle w:val="2"/>
        <w:spacing w:before="1" w:line="353" w:lineRule="auto"/>
        <w:ind w:firstLine="409"/>
        <w:jc w:val="both"/>
        <w:rPr>
          <w:sz w:val="21"/>
          <w:szCs w:val="21"/>
        </w:rPr>
      </w:pPr>
      <w:r>
        <w:rPr>
          <w:spacing w:val="2"/>
          <w:sz w:val="21"/>
          <w:szCs w:val="21"/>
        </w:rPr>
        <w:t>监理人不能按时参加试车，应在试车前24小时以书面形式向承包人提出延期要求，但延期不</w:t>
      </w:r>
      <w:r>
        <w:rPr>
          <w:spacing w:val="4"/>
          <w:sz w:val="21"/>
          <w:szCs w:val="21"/>
        </w:rPr>
        <w:t xml:space="preserve">  </w:t>
      </w:r>
      <w:r>
        <w:rPr>
          <w:spacing w:val="-1"/>
          <w:sz w:val="21"/>
          <w:szCs w:val="21"/>
        </w:rPr>
        <w:t>能超过48小时，由此导致工期延误的，工期应予以顺延。监理人未能在前述期限内提出延期要求，</w:t>
      </w:r>
      <w:r>
        <w:rPr>
          <w:spacing w:val="8"/>
          <w:sz w:val="21"/>
          <w:szCs w:val="21"/>
        </w:rPr>
        <w:t xml:space="preserve"> </w:t>
      </w:r>
      <w:r>
        <w:rPr>
          <w:spacing w:val="-3"/>
          <w:sz w:val="21"/>
          <w:szCs w:val="21"/>
        </w:rPr>
        <w:t>又不参加试车的，视为认可试车记录。</w:t>
      </w:r>
    </w:p>
    <w:p w14:paraId="55A50ECE">
      <w:pPr>
        <w:pStyle w:val="2"/>
        <w:spacing w:before="4" w:line="349" w:lineRule="auto"/>
        <w:ind w:right="94" w:firstLine="529"/>
        <w:jc w:val="both"/>
        <w:rPr>
          <w:sz w:val="21"/>
          <w:szCs w:val="21"/>
        </w:rPr>
      </w:pPr>
      <w:r>
        <w:rPr>
          <w:spacing w:val="7"/>
          <w:sz w:val="21"/>
          <w:szCs w:val="21"/>
        </w:rPr>
        <w:t>(2)具备无负荷联动试车条件，发包人组织试车，并在试车前48小时以书面形式通</w:t>
      </w:r>
      <w:r>
        <w:rPr>
          <w:spacing w:val="6"/>
          <w:sz w:val="21"/>
          <w:szCs w:val="21"/>
        </w:rPr>
        <w:t>知承包</w:t>
      </w:r>
      <w:r>
        <w:rPr>
          <w:sz w:val="21"/>
          <w:szCs w:val="21"/>
        </w:rPr>
        <w:t xml:space="preserve"> </w:t>
      </w:r>
      <w:r>
        <w:rPr>
          <w:spacing w:val="2"/>
          <w:sz w:val="21"/>
          <w:szCs w:val="21"/>
        </w:rPr>
        <w:t>人。通知中应载明试车内容、时间、地点和对承包人的要求，承包人按要求做好</w:t>
      </w:r>
      <w:r>
        <w:rPr>
          <w:spacing w:val="1"/>
          <w:sz w:val="21"/>
          <w:szCs w:val="21"/>
        </w:rPr>
        <w:t>准备工作。试车</w:t>
      </w:r>
      <w:r>
        <w:rPr>
          <w:sz w:val="21"/>
          <w:szCs w:val="21"/>
        </w:rPr>
        <w:t xml:space="preserve"> 合格，合同当事人在试车记录上签字。承包人无正当理由不参加试车的，视为认</w:t>
      </w:r>
      <w:r>
        <w:rPr>
          <w:spacing w:val="-1"/>
          <w:sz w:val="21"/>
          <w:szCs w:val="21"/>
        </w:rPr>
        <w:t>可试车记录。</w:t>
      </w:r>
    </w:p>
    <w:p w14:paraId="3F69BE27">
      <w:pPr>
        <w:pStyle w:val="2"/>
        <w:spacing w:before="1" w:line="219" w:lineRule="auto"/>
        <w:ind w:left="409"/>
        <w:rPr>
          <w:sz w:val="21"/>
          <w:szCs w:val="21"/>
        </w:rPr>
      </w:pPr>
      <w:r>
        <w:rPr>
          <w:spacing w:val="-9"/>
          <w:sz w:val="21"/>
          <w:szCs w:val="21"/>
        </w:rPr>
        <w:t>13.3.2 试车中的责任</w:t>
      </w:r>
    </w:p>
    <w:p w14:paraId="3C61052F">
      <w:pPr>
        <w:pStyle w:val="2"/>
        <w:spacing w:before="161" w:line="344" w:lineRule="auto"/>
        <w:ind w:right="25" w:firstLine="409"/>
        <w:rPr>
          <w:sz w:val="21"/>
          <w:szCs w:val="21"/>
        </w:rPr>
      </w:pPr>
      <w:r>
        <w:rPr>
          <w:spacing w:val="2"/>
          <w:sz w:val="21"/>
          <w:szCs w:val="21"/>
        </w:rPr>
        <w:t>因设计原因导致试车达不到验收要求，发包人应要求设计人修改设计，承包人按修改后的设</w:t>
      </w:r>
      <w:r>
        <w:rPr>
          <w:spacing w:val="9"/>
          <w:sz w:val="21"/>
          <w:szCs w:val="21"/>
        </w:rPr>
        <w:t xml:space="preserve"> </w:t>
      </w:r>
      <w:r>
        <w:rPr>
          <w:spacing w:val="2"/>
          <w:sz w:val="21"/>
          <w:szCs w:val="21"/>
        </w:rPr>
        <w:t>计重新安装。发包人承担修改设计、拆除及重新安装的全部费用，工期相应顺延。因承包人原因</w:t>
      </w:r>
      <w:r>
        <w:rPr>
          <w:spacing w:val="6"/>
          <w:sz w:val="21"/>
          <w:szCs w:val="21"/>
        </w:rPr>
        <w:t xml:space="preserve"> </w:t>
      </w:r>
      <w:r>
        <w:rPr>
          <w:spacing w:val="-1"/>
          <w:sz w:val="21"/>
          <w:szCs w:val="21"/>
        </w:rPr>
        <w:t>导致试车达不到验收要求，承包人按监理人要求重新安</w:t>
      </w:r>
      <w:r>
        <w:rPr>
          <w:spacing w:val="-2"/>
          <w:sz w:val="21"/>
          <w:szCs w:val="21"/>
        </w:rPr>
        <w:t>装和试车，并承担重新安装和试车的费用，</w:t>
      </w:r>
      <w:r>
        <w:rPr>
          <w:sz w:val="21"/>
          <w:szCs w:val="21"/>
        </w:rPr>
        <w:t xml:space="preserve"> </w:t>
      </w:r>
      <w:r>
        <w:rPr>
          <w:spacing w:val="-6"/>
          <w:sz w:val="21"/>
          <w:szCs w:val="21"/>
        </w:rPr>
        <w:t>工期不予顺延。</w:t>
      </w:r>
    </w:p>
    <w:p w14:paraId="5C7C69BF">
      <w:pPr>
        <w:pStyle w:val="2"/>
        <w:spacing w:before="43" w:line="344" w:lineRule="auto"/>
        <w:ind w:right="80" w:firstLine="409"/>
        <w:jc w:val="both"/>
        <w:rPr>
          <w:sz w:val="21"/>
          <w:szCs w:val="21"/>
        </w:rPr>
      </w:pPr>
      <w:r>
        <w:rPr>
          <w:spacing w:val="2"/>
          <w:sz w:val="21"/>
          <w:szCs w:val="21"/>
        </w:rPr>
        <w:t>因工程设备制造原因导致试车达不到验收要求的，由采购该工程</w:t>
      </w:r>
      <w:r>
        <w:rPr>
          <w:spacing w:val="1"/>
          <w:sz w:val="21"/>
          <w:szCs w:val="21"/>
        </w:rPr>
        <w:t>设备的合同当事人负责重新</w:t>
      </w:r>
      <w:r>
        <w:rPr>
          <w:sz w:val="21"/>
          <w:szCs w:val="21"/>
        </w:rPr>
        <w:t xml:space="preserve"> </w:t>
      </w:r>
      <w:r>
        <w:rPr>
          <w:spacing w:val="2"/>
          <w:sz w:val="21"/>
          <w:szCs w:val="21"/>
        </w:rPr>
        <w:t>购置或修理，承包人负责拆除和重新安装，由此增加的修理、重新购置、拆除及重新安装的费用</w:t>
      </w:r>
      <w:r>
        <w:rPr>
          <w:spacing w:val="10"/>
          <w:sz w:val="21"/>
          <w:szCs w:val="21"/>
        </w:rPr>
        <w:t xml:space="preserve"> </w:t>
      </w:r>
      <w:r>
        <w:rPr>
          <w:spacing w:val="-2"/>
          <w:sz w:val="21"/>
          <w:szCs w:val="21"/>
        </w:rPr>
        <w:t>及延误的工期由采购该工程设备的合同当事人承担。</w:t>
      </w:r>
    </w:p>
    <w:p w14:paraId="6624D718">
      <w:pPr>
        <w:pStyle w:val="2"/>
        <w:spacing w:before="7" w:line="219" w:lineRule="auto"/>
        <w:ind w:left="409"/>
        <w:rPr>
          <w:sz w:val="21"/>
          <w:szCs w:val="21"/>
        </w:rPr>
      </w:pPr>
      <w:r>
        <w:rPr>
          <w:sz w:val="21"/>
          <w:szCs w:val="21"/>
        </w:rPr>
        <w:t>13.3.3投料试车</w:t>
      </w:r>
    </w:p>
    <w:p w14:paraId="093BC45A">
      <w:pPr>
        <w:pStyle w:val="2"/>
        <w:spacing w:before="160" w:line="352" w:lineRule="auto"/>
        <w:ind w:right="96" w:firstLine="409"/>
        <w:rPr>
          <w:sz w:val="21"/>
          <w:szCs w:val="21"/>
        </w:rPr>
      </w:pPr>
      <w:r>
        <w:rPr>
          <w:spacing w:val="2"/>
          <w:sz w:val="21"/>
          <w:szCs w:val="21"/>
        </w:rPr>
        <w:t>如需进行投料试车的，发包人应在工程竣工验收后组织投料试车。发包人要求在工程竣工验</w:t>
      </w:r>
      <w:r>
        <w:rPr>
          <w:spacing w:val="8"/>
          <w:sz w:val="21"/>
          <w:szCs w:val="21"/>
        </w:rPr>
        <w:t xml:space="preserve"> </w:t>
      </w:r>
      <w:r>
        <w:rPr>
          <w:spacing w:val="-1"/>
          <w:sz w:val="21"/>
          <w:szCs w:val="21"/>
        </w:rPr>
        <w:t>收前进行或需要承包人配合时，应征得承包人同意，并在专用合同条款中约定有关事项。</w:t>
      </w:r>
    </w:p>
    <w:p w14:paraId="38EA1435">
      <w:pPr>
        <w:pStyle w:val="2"/>
        <w:spacing w:before="1" w:line="219" w:lineRule="auto"/>
        <w:ind w:left="409"/>
        <w:rPr>
          <w:sz w:val="21"/>
          <w:szCs w:val="21"/>
        </w:rPr>
      </w:pPr>
      <w:r>
        <w:rPr>
          <w:spacing w:val="2"/>
          <w:sz w:val="21"/>
          <w:szCs w:val="21"/>
        </w:rPr>
        <w:t>投料试车合格的，费用由发包人承担；因承包人原因造成投料试车不合格的，承包人应按照</w:t>
      </w:r>
    </w:p>
    <w:p w14:paraId="40893ADA">
      <w:pPr>
        <w:spacing w:line="219" w:lineRule="auto"/>
        <w:rPr>
          <w:sz w:val="21"/>
          <w:szCs w:val="21"/>
        </w:rPr>
        <w:sectPr>
          <w:footerReference r:id="rId228" w:type="default"/>
          <w:pgSz w:w="11910" w:h="16840"/>
          <w:pgMar w:top="400" w:right="1444" w:bottom="1024" w:left="1470" w:header="0" w:footer="889" w:gutter="0"/>
          <w:cols w:space="720" w:num="1"/>
        </w:sectPr>
      </w:pPr>
    </w:p>
    <w:p w14:paraId="7269ACA2">
      <w:pPr>
        <w:spacing w:line="273" w:lineRule="auto"/>
        <w:rPr>
          <w:rFonts w:ascii="Arial"/>
          <w:sz w:val="21"/>
        </w:rPr>
      </w:pPr>
    </w:p>
    <w:p w14:paraId="40FCB52D">
      <w:pPr>
        <w:spacing w:line="273" w:lineRule="auto"/>
        <w:rPr>
          <w:rFonts w:ascii="Arial"/>
          <w:sz w:val="21"/>
        </w:rPr>
      </w:pPr>
    </w:p>
    <w:p w14:paraId="0686E0A6">
      <w:pPr>
        <w:spacing w:line="273" w:lineRule="auto"/>
        <w:rPr>
          <w:rFonts w:ascii="Arial"/>
          <w:sz w:val="21"/>
        </w:rPr>
      </w:pPr>
    </w:p>
    <w:p w14:paraId="225EBFAB">
      <w:pPr>
        <w:spacing w:line="273" w:lineRule="auto"/>
        <w:rPr>
          <w:rFonts w:ascii="Arial"/>
          <w:sz w:val="21"/>
        </w:rPr>
      </w:pPr>
    </w:p>
    <w:p w14:paraId="378D1F11">
      <w:pPr>
        <w:spacing w:line="273" w:lineRule="auto"/>
        <w:rPr>
          <w:rFonts w:ascii="Arial"/>
          <w:sz w:val="21"/>
        </w:rPr>
      </w:pPr>
    </w:p>
    <w:p w14:paraId="24AFE91C">
      <w:pPr>
        <w:pStyle w:val="2"/>
        <w:spacing w:before="65" w:line="354" w:lineRule="auto"/>
        <w:ind w:right="90"/>
        <w:rPr>
          <w:sz w:val="20"/>
          <w:szCs w:val="20"/>
        </w:rPr>
      </w:pPr>
      <w:r>
        <w:rPr>
          <w:spacing w:val="12"/>
          <w:sz w:val="20"/>
          <w:szCs w:val="20"/>
        </w:rPr>
        <w:t>发包人要求进行整改，由此产生的整改费用由承包人承担；非因承包人原因导致投料试车不合格</w:t>
      </w:r>
      <w:r>
        <w:rPr>
          <w:spacing w:val="3"/>
          <w:sz w:val="20"/>
          <w:szCs w:val="20"/>
        </w:rPr>
        <w:t xml:space="preserve"> </w:t>
      </w:r>
      <w:r>
        <w:rPr>
          <w:spacing w:val="9"/>
          <w:sz w:val="20"/>
          <w:szCs w:val="20"/>
        </w:rPr>
        <w:t>的，如发包人要求承包人进行整改的，由此产生的费用由发包人承担。</w:t>
      </w:r>
    </w:p>
    <w:p w14:paraId="6D83B539">
      <w:pPr>
        <w:spacing w:line="221" w:lineRule="auto"/>
        <w:ind w:left="3"/>
        <w:rPr>
          <w:rFonts w:ascii="黑体" w:hAnsi="黑体" w:eastAsia="黑体" w:cs="黑体"/>
          <w:sz w:val="25"/>
          <w:szCs w:val="25"/>
        </w:rPr>
      </w:pPr>
      <w:r>
        <w:rPr>
          <w:rFonts w:ascii="黑体" w:hAnsi="黑体" w:eastAsia="黑体" w:cs="黑体"/>
          <w:b/>
          <w:bCs/>
          <w:spacing w:val="-7"/>
          <w:sz w:val="25"/>
          <w:szCs w:val="25"/>
        </w:rPr>
        <w:t>13.4提前交付单位工程的验收</w:t>
      </w:r>
    </w:p>
    <w:p w14:paraId="175B5123">
      <w:pPr>
        <w:pStyle w:val="2"/>
        <w:spacing w:before="111" w:line="383" w:lineRule="auto"/>
        <w:ind w:firstLine="419"/>
        <w:rPr>
          <w:sz w:val="20"/>
          <w:szCs w:val="20"/>
        </w:rPr>
      </w:pPr>
      <w:r>
        <w:rPr>
          <w:spacing w:val="10"/>
          <w:sz w:val="20"/>
          <w:szCs w:val="20"/>
        </w:rPr>
        <w:t>13.4.1</w:t>
      </w:r>
      <w:r>
        <w:rPr>
          <w:spacing w:val="-27"/>
          <w:sz w:val="20"/>
          <w:szCs w:val="20"/>
        </w:rPr>
        <w:t xml:space="preserve"> </w:t>
      </w:r>
      <w:r>
        <w:rPr>
          <w:spacing w:val="10"/>
          <w:sz w:val="20"/>
          <w:szCs w:val="20"/>
        </w:rPr>
        <w:t>发包人需要在工程竣工前使用单位工程的，或承包人提</w:t>
      </w:r>
      <w:r>
        <w:rPr>
          <w:spacing w:val="9"/>
          <w:sz w:val="20"/>
          <w:szCs w:val="20"/>
        </w:rPr>
        <w:t>出提前交付已经竣工的单位工</w:t>
      </w:r>
      <w:r>
        <w:rPr>
          <w:sz w:val="20"/>
          <w:szCs w:val="20"/>
        </w:rPr>
        <w:t xml:space="preserve">  </w:t>
      </w:r>
      <w:r>
        <w:rPr>
          <w:spacing w:val="9"/>
          <w:sz w:val="20"/>
          <w:szCs w:val="20"/>
        </w:rPr>
        <w:t>程且经发包人同意的，可进行单位工程验收，验收的程序按照第13.2款〔竣工验收</w:t>
      </w:r>
      <w:r>
        <w:rPr>
          <w:spacing w:val="8"/>
          <w:sz w:val="20"/>
          <w:szCs w:val="20"/>
        </w:rPr>
        <w:t>〕的约定进行。</w:t>
      </w:r>
    </w:p>
    <w:p w14:paraId="31EC857A">
      <w:pPr>
        <w:pStyle w:val="2"/>
        <w:spacing w:before="1" w:line="360" w:lineRule="auto"/>
        <w:ind w:right="90" w:firstLine="419"/>
        <w:rPr>
          <w:sz w:val="20"/>
          <w:szCs w:val="20"/>
        </w:rPr>
      </w:pPr>
      <w:r>
        <w:rPr>
          <w:spacing w:val="12"/>
          <w:sz w:val="20"/>
          <w:szCs w:val="20"/>
        </w:rPr>
        <w:t>验收合格后，由监理人向承包人出具经发包人签认的单位工程接收证书。已签发单位工程接</w:t>
      </w:r>
      <w:r>
        <w:rPr>
          <w:spacing w:val="6"/>
          <w:sz w:val="20"/>
          <w:szCs w:val="20"/>
        </w:rPr>
        <w:t xml:space="preserve"> </w:t>
      </w:r>
      <w:r>
        <w:rPr>
          <w:spacing w:val="12"/>
          <w:sz w:val="20"/>
          <w:szCs w:val="20"/>
        </w:rPr>
        <w:t>收证书的单位工程由发包人负责照管。单位工程的验收成果和结论作为整体工程竣工验收申请报</w:t>
      </w:r>
      <w:r>
        <w:rPr>
          <w:spacing w:val="4"/>
          <w:sz w:val="20"/>
          <w:szCs w:val="20"/>
        </w:rPr>
        <w:t xml:space="preserve"> </w:t>
      </w:r>
      <w:r>
        <w:rPr>
          <w:spacing w:val="1"/>
          <w:sz w:val="20"/>
          <w:szCs w:val="20"/>
        </w:rPr>
        <w:t>告的附件。</w:t>
      </w:r>
    </w:p>
    <w:p w14:paraId="3A0A8872">
      <w:pPr>
        <w:pStyle w:val="2"/>
        <w:spacing w:before="10" w:line="354" w:lineRule="auto"/>
        <w:ind w:right="89" w:firstLine="419"/>
        <w:rPr>
          <w:sz w:val="20"/>
          <w:szCs w:val="20"/>
        </w:rPr>
      </w:pPr>
      <w:r>
        <w:rPr>
          <w:spacing w:val="16"/>
          <w:sz w:val="20"/>
          <w:szCs w:val="20"/>
        </w:rPr>
        <w:t>13.4.2发包人要求在工程竣工前交付单位工程，由此导致承包人费用增加和(或)工期延误</w:t>
      </w:r>
      <w:r>
        <w:rPr>
          <w:spacing w:val="1"/>
          <w:sz w:val="20"/>
          <w:szCs w:val="20"/>
        </w:rPr>
        <w:t xml:space="preserve"> </w:t>
      </w:r>
      <w:r>
        <w:rPr>
          <w:spacing w:val="15"/>
          <w:sz w:val="20"/>
          <w:szCs w:val="20"/>
        </w:rPr>
        <w:t>的，由发包人承担由此增加的费用和(或)延误的工期，并支付承包人合理的利润。</w:t>
      </w:r>
    </w:p>
    <w:p w14:paraId="0AA50EC8">
      <w:pPr>
        <w:pStyle w:val="2"/>
        <w:spacing w:line="221" w:lineRule="auto"/>
        <w:ind w:left="3"/>
        <w:rPr>
          <w:rFonts w:ascii="黑体" w:hAnsi="黑体" w:eastAsia="黑体" w:cs="黑体"/>
        </w:rPr>
      </w:pPr>
      <w:r>
        <w:rPr>
          <w:b/>
          <w:bCs/>
          <w:spacing w:val="-9"/>
        </w:rPr>
        <w:t>13.5</w:t>
      </w:r>
      <w:r>
        <w:rPr>
          <w:spacing w:val="-9"/>
        </w:rPr>
        <w:t xml:space="preserve"> </w:t>
      </w:r>
      <w:r>
        <w:rPr>
          <w:rFonts w:ascii="黑体" w:hAnsi="黑体" w:eastAsia="黑体" w:cs="黑体"/>
          <w:b/>
          <w:bCs/>
          <w:spacing w:val="-9"/>
        </w:rPr>
        <w:t>施工期运行</w:t>
      </w:r>
    </w:p>
    <w:p w14:paraId="119BF193">
      <w:pPr>
        <w:pStyle w:val="2"/>
        <w:spacing w:before="152" w:line="319" w:lineRule="auto"/>
        <w:ind w:right="89" w:firstLine="419"/>
        <w:rPr>
          <w:sz w:val="20"/>
          <w:szCs w:val="20"/>
        </w:rPr>
      </w:pPr>
      <w:r>
        <w:rPr>
          <w:spacing w:val="11"/>
          <w:sz w:val="20"/>
          <w:szCs w:val="20"/>
        </w:rPr>
        <w:t>13.5.1施工期运行是指合同工程尚未全部竣工，其中某项或某几项单位工程或工程设备安装</w:t>
      </w:r>
      <w:r>
        <w:rPr>
          <w:spacing w:val="15"/>
          <w:sz w:val="20"/>
          <w:szCs w:val="20"/>
        </w:rPr>
        <w:t xml:space="preserve"> </w:t>
      </w:r>
      <w:r>
        <w:rPr>
          <w:spacing w:val="11"/>
          <w:sz w:val="20"/>
          <w:szCs w:val="20"/>
        </w:rPr>
        <w:t>已竣工，根据专用合同条款约定，需要投入施工期运行的，经发包人按第13.4</w:t>
      </w:r>
      <w:r>
        <w:rPr>
          <w:spacing w:val="10"/>
          <w:sz w:val="20"/>
          <w:szCs w:val="20"/>
        </w:rPr>
        <w:t>款〔提前交付单位</w:t>
      </w:r>
      <w:r>
        <w:rPr>
          <w:sz w:val="20"/>
          <w:szCs w:val="20"/>
        </w:rPr>
        <w:t xml:space="preserve"> </w:t>
      </w:r>
      <w:r>
        <w:rPr>
          <w:spacing w:val="9"/>
          <w:sz w:val="20"/>
          <w:szCs w:val="20"/>
        </w:rPr>
        <w:t>工程的验收〕的约定验收合格，证明能确保安全后，才能在施工期投入运行。</w:t>
      </w:r>
    </w:p>
    <w:p w14:paraId="6C463553">
      <w:pPr>
        <w:pStyle w:val="2"/>
        <w:spacing w:before="163" w:line="290" w:lineRule="auto"/>
        <w:ind w:right="83" w:firstLine="419"/>
        <w:rPr>
          <w:sz w:val="20"/>
          <w:szCs w:val="20"/>
        </w:rPr>
      </w:pPr>
      <w:r>
        <w:rPr>
          <w:spacing w:val="9"/>
          <w:sz w:val="20"/>
          <w:szCs w:val="20"/>
        </w:rPr>
        <w:t>13.5.2 在施工期运行中发现工程或工程设备损坏或</w:t>
      </w:r>
      <w:r>
        <w:rPr>
          <w:spacing w:val="8"/>
          <w:sz w:val="20"/>
          <w:szCs w:val="20"/>
        </w:rPr>
        <w:t>存在缺陷的，由承包人按第15.2款〔缺陷</w:t>
      </w:r>
      <w:r>
        <w:rPr>
          <w:sz w:val="20"/>
          <w:szCs w:val="20"/>
        </w:rPr>
        <w:t xml:space="preserve"> </w:t>
      </w:r>
      <w:r>
        <w:rPr>
          <w:spacing w:val="7"/>
          <w:sz w:val="20"/>
          <w:szCs w:val="20"/>
        </w:rPr>
        <w:t>责任期〕约定进行修复。</w:t>
      </w:r>
    </w:p>
    <w:p w14:paraId="71287603">
      <w:pPr>
        <w:pStyle w:val="2"/>
        <w:spacing w:before="119" w:line="221" w:lineRule="auto"/>
        <w:ind w:left="3"/>
        <w:rPr>
          <w:rFonts w:ascii="黑体" w:hAnsi="黑体" w:eastAsia="黑体" w:cs="黑体"/>
        </w:rPr>
      </w:pPr>
      <w:r>
        <w:rPr>
          <w:b/>
          <w:bCs/>
          <w:spacing w:val="-9"/>
        </w:rPr>
        <w:t>13.6</w:t>
      </w:r>
      <w:r>
        <w:rPr>
          <w:spacing w:val="-9"/>
        </w:rPr>
        <w:t xml:space="preserve"> </w:t>
      </w:r>
      <w:r>
        <w:rPr>
          <w:rFonts w:ascii="黑体" w:hAnsi="黑体" w:eastAsia="黑体" w:cs="黑体"/>
          <w:b/>
          <w:bCs/>
          <w:spacing w:val="-9"/>
        </w:rPr>
        <w:t>竣工退场</w:t>
      </w:r>
    </w:p>
    <w:p w14:paraId="6D60C904">
      <w:pPr>
        <w:pStyle w:val="2"/>
        <w:spacing w:before="155" w:line="219" w:lineRule="auto"/>
        <w:ind w:left="419"/>
        <w:rPr>
          <w:sz w:val="20"/>
          <w:szCs w:val="20"/>
        </w:rPr>
      </w:pPr>
      <w:r>
        <w:rPr>
          <w:spacing w:val="-1"/>
          <w:sz w:val="20"/>
          <w:szCs w:val="20"/>
        </w:rPr>
        <w:t>13.6.1</w:t>
      </w:r>
      <w:r>
        <w:rPr>
          <w:spacing w:val="-19"/>
          <w:sz w:val="20"/>
          <w:szCs w:val="20"/>
        </w:rPr>
        <w:t xml:space="preserve"> </w:t>
      </w:r>
      <w:r>
        <w:rPr>
          <w:spacing w:val="-1"/>
          <w:sz w:val="20"/>
          <w:szCs w:val="20"/>
        </w:rPr>
        <w:t>竣工退场</w:t>
      </w:r>
    </w:p>
    <w:p w14:paraId="2F6ADDE8">
      <w:pPr>
        <w:pStyle w:val="2"/>
        <w:spacing w:before="161" w:line="219" w:lineRule="auto"/>
        <w:ind w:left="419"/>
        <w:rPr>
          <w:sz w:val="20"/>
          <w:szCs w:val="20"/>
        </w:rPr>
      </w:pPr>
      <w:r>
        <w:rPr>
          <w:spacing w:val="9"/>
          <w:sz w:val="20"/>
          <w:szCs w:val="20"/>
        </w:rPr>
        <w:t>颁发工程接收证书后，承包人应按以下要求对施工现场进行</w:t>
      </w:r>
      <w:r>
        <w:rPr>
          <w:spacing w:val="8"/>
          <w:sz w:val="20"/>
          <w:szCs w:val="20"/>
        </w:rPr>
        <w:t>清理：</w:t>
      </w:r>
    </w:p>
    <w:p w14:paraId="684E2F43">
      <w:pPr>
        <w:pStyle w:val="2"/>
        <w:spacing w:before="164" w:line="219" w:lineRule="auto"/>
        <w:ind w:left="529"/>
        <w:rPr>
          <w:sz w:val="20"/>
          <w:szCs w:val="20"/>
        </w:rPr>
      </w:pPr>
      <w:r>
        <w:rPr>
          <w:spacing w:val="12"/>
          <w:sz w:val="20"/>
          <w:szCs w:val="20"/>
        </w:rPr>
        <w:t>(1)施工现场内残留的垃圾已全部清除出场；</w:t>
      </w:r>
    </w:p>
    <w:p w14:paraId="269E593B">
      <w:pPr>
        <w:pStyle w:val="2"/>
        <w:spacing w:before="173" w:line="219" w:lineRule="auto"/>
        <w:ind w:left="529"/>
        <w:rPr>
          <w:sz w:val="20"/>
          <w:szCs w:val="20"/>
        </w:rPr>
      </w:pPr>
      <w:r>
        <w:rPr>
          <w:spacing w:val="11"/>
          <w:sz w:val="20"/>
          <w:szCs w:val="20"/>
        </w:rPr>
        <w:t>(2)临时工程已拆除，场地已进行清理、平整或复原；</w:t>
      </w:r>
    </w:p>
    <w:p w14:paraId="382051D2">
      <w:pPr>
        <w:pStyle w:val="2"/>
        <w:spacing w:before="131" w:line="304" w:lineRule="auto"/>
        <w:ind w:right="29" w:firstLine="529"/>
        <w:rPr>
          <w:sz w:val="20"/>
          <w:szCs w:val="20"/>
        </w:rPr>
      </w:pPr>
      <w:r>
        <w:rPr>
          <w:spacing w:val="8"/>
          <w:sz w:val="20"/>
          <w:szCs w:val="20"/>
        </w:rPr>
        <w:t>(3)按合同约定应撤离的人员、承包人施工设备和剩余的材料，包括废弃的施工设备和材料，</w:t>
      </w:r>
      <w:r>
        <w:rPr>
          <w:spacing w:val="2"/>
          <w:sz w:val="20"/>
          <w:szCs w:val="20"/>
        </w:rPr>
        <w:t xml:space="preserve"> </w:t>
      </w:r>
      <w:r>
        <w:rPr>
          <w:spacing w:val="4"/>
          <w:sz w:val="20"/>
          <w:szCs w:val="20"/>
        </w:rPr>
        <w:t>已按计划撤离施工现场；</w:t>
      </w:r>
    </w:p>
    <w:p w14:paraId="4FEA9177">
      <w:pPr>
        <w:pStyle w:val="2"/>
        <w:spacing w:before="162" w:line="219" w:lineRule="auto"/>
        <w:ind w:left="529"/>
        <w:rPr>
          <w:sz w:val="20"/>
          <w:szCs w:val="20"/>
        </w:rPr>
      </w:pPr>
      <w:r>
        <w:rPr>
          <w:spacing w:val="11"/>
          <w:sz w:val="20"/>
          <w:szCs w:val="20"/>
        </w:rPr>
        <w:t>(4)施工现场周边及其附近道路、河道的施工堆积物，已全部清理；</w:t>
      </w:r>
    </w:p>
    <w:p w14:paraId="73727F7A">
      <w:pPr>
        <w:pStyle w:val="2"/>
        <w:spacing w:before="164" w:line="219" w:lineRule="auto"/>
        <w:ind w:left="529"/>
        <w:rPr>
          <w:sz w:val="20"/>
          <w:szCs w:val="20"/>
        </w:rPr>
      </w:pPr>
      <w:r>
        <w:rPr>
          <w:spacing w:val="12"/>
          <w:sz w:val="20"/>
          <w:szCs w:val="20"/>
        </w:rPr>
        <w:t>(5)施工现场其他场地清理工作已全部完成。</w:t>
      </w:r>
    </w:p>
    <w:p w14:paraId="51DB768B">
      <w:pPr>
        <w:pStyle w:val="2"/>
        <w:spacing w:before="141" w:line="371" w:lineRule="auto"/>
        <w:ind w:right="89" w:firstLine="419"/>
        <w:jc w:val="both"/>
        <w:rPr>
          <w:sz w:val="20"/>
          <w:szCs w:val="20"/>
        </w:rPr>
      </w:pPr>
      <w:r>
        <w:rPr>
          <w:spacing w:val="12"/>
          <w:sz w:val="20"/>
          <w:szCs w:val="20"/>
        </w:rPr>
        <w:t>施工现场的竣工退场费用由承包人承担。承包人应在专用合同条款约定的期限内完成竣工退</w:t>
      </w:r>
      <w:r>
        <w:rPr>
          <w:spacing w:val="6"/>
          <w:sz w:val="20"/>
          <w:szCs w:val="20"/>
        </w:rPr>
        <w:t xml:space="preserve"> </w:t>
      </w:r>
      <w:r>
        <w:rPr>
          <w:spacing w:val="12"/>
          <w:sz w:val="20"/>
          <w:szCs w:val="20"/>
        </w:rPr>
        <w:t>场，逾期未完成的，发包人有权出售或另行处理承包人遗留的物品，由此支出的费用由承包人承</w:t>
      </w:r>
      <w:r>
        <w:rPr>
          <w:spacing w:val="4"/>
          <w:sz w:val="20"/>
          <w:szCs w:val="20"/>
        </w:rPr>
        <w:t xml:space="preserve"> </w:t>
      </w:r>
      <w:r>
        <w:rPr>
          <w:spacing w:val="9"/>
          <w:sz w:val="20"/>
          <w:szCs w:val="20"/>
        </w:rPr>
        <w:t>担，发包人出售承包人遗留物品所得款项在扣除必要费用后应返还承包人。</w:t>
      </w:r>
    </w:p>
    <w:p w14:paraId="07731106">
      <w:pPr>
        <w:pStyle w:val="2"/>
        <w:spacing w:before="17" w:line="221" w:lineRule="auto"/>
        <w:ind w:left="419"/>
        <w:rPr>
          <w:sz w:val="20"/>
          <w:szCs w:val="20"/>
        </w:rPr>
      </w:pPr>
      <w:r>
        <w:rPr>
          <w:spacing w:val="7"/>
          <w:sz w:val="20"/>
          <w:szCs w:val="20"/>
        </w:rPr>
        <w:t>13.6.2地表还原</w:t>
      </w:r>
    </w:p>
    <w:p w14:paraId="2445DFF8">
      <w:pPr>
        <w:pStyle w:val="2"/>
        <w:spacing w:before="170" w:line="361" w:lineRule="auto"/>
        <w:ind w:right="89" w:firstLine="419"/>
        <w:rPr>
          <w:sz w:val="20"/>
          <w:szCs w:val="20"/>
        </w:rPr>
      </w:pPr>
      <w:r>
        <w:rPr>
          <w:spacing w:val="12"/>
          <w:sz w:val="20"/>
          <w:szCs w:val="20"/>
        </w:rPr>
        <w:t>承包人应按发包人要求恢复临时占地及清理</w:t>
      </w:r>
      <w:r>
        <w:rPr>
          <w:spacing w:val="11"/>
          <w:sz w:val="20"/>
          <w:szCs w:val="20"/>
        </w:rPr>
        <w:t>场地，承包人未按发包人的要求恢复临时占地，</w:t>
      </w:r>
      <w:r>
        <w:rPr>
          <w:sz w:val="20"/>
          <w:szCs w:val="20"/>
        </w:rPr>
        <w:t xml:space="preserve"> </w:t>
      </w:r>
      <w:r>
        <w:rPr>
          <w:spacing w:val="12"/>
          <w:sz w:val="20"/>
          <w:szCs w:val="20"/>
        </w:rPr>
        <w:t>或者场地清理未达到合同约定要求的，发包人有权委托其他人恢复或清理，所发生的费用由承包</w:t>
      </w:r>
      <w:r>
        <w:rPr>
          <w:spacing w:val="4"/>
          <w:sz w:val="20"/>
          <w:szCs w:val="20"/>
        </w:rPr>
        <w:t xml:space="preserve"> </w:t>
      </w:r>
      <w:r>
        <w:rPr>
          <w:spacing w:val="2"/>
          <w:sz w:val="20"/>
          <w:szCs w:val="20"/>
        </w:rPr>
        <w:t>人承担。</w:t>
      </w:r>
    </w:p>
    <w:p w14:paraId="6B971DC1">
      <w:pPr>
        <w:spacing w:line="361" w:lineRule="auto"/>
        <w:rPr>
          <w:sz w:val="20"/>
          <w:szCs w:val="20"/>
        </w:rPr>
        <w:sectPr>
          <w:footerReference r:id="rId229" w:type="default"/>
          <w:pgSz w:w="11910" w:h="16840"/>
          <w:pgMar w:top="400" w:right="1450" w:bottom="1024" w:left="1460" w:header="0" w:footer="889" w:gutter="0"/>
          <w:cols w:space="720" w:num="1"/>
        </w:sectPr>
      </w:pPr>
    </w:p>
    <w:p w14:paraId="3D07762A">
      <w:pPr>
        <w:spacing w:line="250" w:lineRule="auto"/>
        <w:rPr>
          <w:rFonts w:ascii="Arial"/>
          <w:sz w:val="21"/>
        </w:rPr>
      </w:pPr>
    </w:p>
    <w:p w14:paraId="07089BC6">
      <w:pPr>
        <w:spacing w:line="250" w:lineRule="auto"/>
        <w:rPr>
          <w:rFonts w:ascii="Arial"/>
          <w:sz w:val="21"/>
        </w:rPr>
      </w:pPr>
    </w:p>
    <w:p w14:paraId="7E101C64">
      <w:pPr>
        <w:spacing w:line="250" w:lineRule="auto"/>
        <w:rPr>
          <w:rFonts w:ascii="Arial"/>
          <w:sz w:val="21"/>
        </w:rPr>
      </w:pPr>
    </w:p>
    <w:p w14:paraId="0D2CE788">
      <w:pPr>
        <w:spacing w:line="250" w:lineRule="auto"/>
        <w:rPr>
          <w:rFonts w:ascii="Arial"/>
          <w:sz w:val="21"/>
        </w:rPr>
      </w:pPr>
    </w:p>
    <w:p w14:paraId="60E8FDCB">
      <w:pPr>
        <w:spacing w:line="250" w:lineRule="auto"/>
        <w:rPr>
          <w:rFonts w:ascii="Arial"/>
          <w:sz w:val="21"/>
        </w:rPr>
      </w:pPr>
    </w:p>
    <w:p w14:paraId="53F24E52">
      <w:pPr>
        <w:pStyle w:val="2"/>
        <w:spacing w:before="97" w:line="221" w:lineRule="auto"/>
        <w:ind w:left="4"/>
        <w:rPr>
          <w:rFonts w:ascii="黑体" w:hAnsi="黑体" w:eastAsia="黑体" w:cs="黑体"/>
          <w:sz w:val="30"/>
          <w:szCs w:val="30"/>
        </w:rPr>
      </w:pPr>
      <w:r>
        <w:rPr>
          <w:b/>
          <w:bCs/>
          <w:spacing w:val="-2"/>
          <w:sz w:val="30"/>
          <w:szCs w:val="30"/>
        </w:rPr>
        <w:t>14.</w:t>
      </w:r>
      <w:r>
        <w:rPr>
          <w:rFonts w:ascii="黑体" w:hAnsi="黑体" w:eastAsia="黑体" w:cs="黑体"/>
          <w:b/>
          <w:bCs/>
          <w:spacing w:val="-2"/>
          <w:sz w:val="30"/>
          <w:szCs w:val="30"/>
        </w:rPr>
        <w:t>竣工结算</w:t>
      </w:r>
    </w:p>
    <w:p w14:paraId="7B6B6342">
      <w:pPr>
        <w:pStyle w:val="2"/>
        <w:spacing w:before="79" w:line="221" w:lineRule="auto"/>
        <w:ind w:left="3"/>
        <w:rPr>
          <w:rFonts w:ascii="黑体" w:hAnsi="黑体" w:eastAsia="黑体" w:cs="黑体"/>
        </w:rPr>
      </w:pPr>
      <w:r>
        <w:rPr>
          <w:b/>
          <w:bCs/>
          <w:spacing w:val="-11"/>
        </w:rPr>
        <w:t>14.1</w:t>
      </w:r>
      <w:r>
        <w:rPr>
          <w:spacing w:val="-11"/>
        </w:rPr>
        <w:t xml:space="preserve"> </w:t>
      </w:r>
      <w:r>
        <w:rPr>
          <w:rFonts w:ascii="黑体" w:hAnsi="黑体" w:eastAsia="黑体" w:cs="黑体"/>
          <w:b/>
          <w:bCs/>
          <w:spacing w:val="-11"/>
        </w:rPr>
        <w:t>竣工结算申请</w:t>
      </w:r>
    </w:p>
    <w:p w14:paraId="31CE5434">
      <w:pPr>
        <w:pStyle w:val="2"/>
        <w:spacing w:before="145" w:line="344" w:lineRule="auto"/>
        <w:ind w:right="66" w:firstLine="429"/>
        <w:jc w:val="both"/>
        <w:rPr>
          <w:sz w:val="21"/>
          <w:szCs w:val="21"/>
        </w:rPr>
      </w:pPr>
      <w:r>
        <w:rPr>
          <w:spacing w:val="2"/>
          <w:sz w:val="21"/>
          <w:szCs w:val="21"/>
        </w:rPr>
        <w:t>除专用合同条款另有约定外，承包人应在工程竣工验收合格后28天内向发包人和监理人提交</w:t>
      </w:r>
      <w:r>
        <w:rPr>
          <w:spacing w:val="6"/>
          <w:sz w:val="21"/>
          <w:szCs w:val="21"/>
        </w:rPr>
        <w:t xml:space="preserve"> </w:t>
      </w:r>
      <w:r>
        <w:rPr>
          <w:spacing w:val="3"/>
          <w:sz w:val="21"/>
          <w:szCs w:val="21"/>
        </w:rPr>
        <w:t>竣工结算申请单，并提交完整的结算资料，有关竣工结</w:t>
      </w:r>
      <w:r>
        <w:rPr>
          <w:spacing w:val="2"/>
          <w:sz w:val="21"/>
          <w:szCs w:val="21"/>
        </w:rPr>
        <w:t>算申请单的资料清单和份数等要求由合同</w:t>
      </w:r>
      <w:r>
        <w:rPr>
          <w:sz w:val="21"/>
          <w:szCs w:val="21"/>
        </w:rPr>
        <w:t xml:space="preserve"> </w:t>
      </w:r>
      <w:r>
        <w:rPr>
          <w:spacing w:val="-4"/>
          <w:sz w:val="21"/>
          <w:szCs w:val="21"/>
        </w:rPr>
        <w:t>当事人在专用合同条款中约定。</w:t>
      </w:r>
    </w:p>
    <w:p w14:paraId="4D80D29F">
      <w:pPr>
        <w:pStyle w:val="2"/>
        <w:spacing w:before="25" w:line="219" w:lineRule="auto"/>
        <w:ind w:left="429"/>
        <w:rPr>
          <w:sz w:val="21"/>
          <w:szCs w:val="21"/>
        </w:rPr>
      </w:pPr>
      <w:r>
        <w:rPr>
          <w:spacing w:val="-1"/>
          <w:sz w:val="21"/>
          <w:szCs w:val="21"/>
        </w:rPr>
        <w:t>除专用合同条款另有约定外，竣工结算申请单应</w:t>
      </w:r>
      <w:r>
        <w:rPr>
          <w:spacing w:val="-2"/>
          <w:sz w:val="21"/>
          <w:szCs w:val="21"/>
        </w:rPr>
        <w:t>包括以下内容：</w:t>
      </w:r>
    </w:p>
    <w:p w14:paraId="03762BBC">
      <w:pPr>
        <w:pStyle w:val="2"/>
        <w:spacing w:before="129" w:line="218" w:lineRule="auto"/>
        <w:ind w:left="539"/>
        <w:rPr>
          <w:sz w:val="21"/>
          <w:szCs w:val="21"/>
        </w:rPr>
      </w:pPr>
      <w:r>
        <w:rPr>
          <w:spacing w:val="4"/>
          <w:sz w:val="21"/>
          <w:szCs w:val="21"/>
        </w:rPr>
        <w:t>(1)竣工结算合同价格；</w:t>
      </w:r>
    </w:p>
    <w:p w14:paraId="33231228">
      <w:pPr>
        <w:pStyle w:val="2"/>
        <w:spacing w:before="174" w:line="219" w:lineRule="auto"/>
        <w:ind w:left="539"/>
        <w:rPr>
          <w:sz w:val="21"/>
          <w:szCs w:val="21"/>
        </w:rPr>
      </w:pPr>
      <w:r>
        <w:rPr>
          <w:spacing w:val="3"/>
          <w:sz w:val="21"/>
          <w:szCs w:val="21"/>
        </w:rPr>
        <w:t>(2)发包人已支付承包人的款项；</w:t>
      </w:r>
    </w:p>
    <w:p w14:paraId="378CCD9F">
      <w:pPr>
        <w:pStyle w:val="2"/>
        <w:spacing w:before="150" w:line="219" w:lineRule="auto"/>
        <w:ind w:left="539"/>
        <w:rPr>
          <w:sz w:val="21"/>
          <w:szCs w:val="21"/>
        </w:rPr>
      </w:pPr>
      <w:r>
        <w:rPr>
          <w:spacing w:val="2"/>
          <w:sz w:val="21"/>
          <w:szCs w:val="21"/>
        </w:rPr>
        <w:t>(3)应扣留的质量保证金。已缴纳履约保证金的或提供其他工程质量担保方式的除外；</w:t>
      </w:r>
    </w:p>
    <w:p w14:paraId="38E78637">
      <w:pPr>
        <w:pStyle w:val="2"/>
        <w:spacing w:before="140" w:line="218" w:lineRule="auto"/>
        <w:ind w:left="539"/>
        <w:rPr>
          <w:sz w:val="21"/>
          <w:szCs w:val="21"/>
        </w:rPr>
      </w:pPr>
      <w:r>
        <w:rPr>
          <w:spacing w:val="4"/>
          <w:sz w:val="21"/>
          <w:szCs w:val="21"/>
        </w:rPr>
        <w:t>(4)发包人应支付承包人的合同价款。</w:t>
      </w:r>
    </w:p>
    <w:p w14:paraId="679B5ED6">
      <w:pPr>
        <w:pStyle w:val="2"/>
        <w:spacing w:before="130" w:line="221" w:lineRule="auto"/>
        <w:ind w:left="3"/>
        <w:rPr>
          <w:rFonts w:ascii="黑体" w:hAnsi="黑体" w:eastAsia="黑体" w:cs="黑体"/>
        </w:rPr>
      </w:pPr>
      <w:r>
        <w:rPr>
          <w:b/>
          <w:bCs/>
          <w:spacing w:val="-10"/>
        </w:rPr>
        <w:t>14.2</w:t>
      </w:r>
      <w:r>
        <w:rPr>
          <w:spacing w:val="-10"/>
        </w:rPr>
        <w:t xml:space="preserve"> </w:t>
      </w:r>
      <w:r>
        <w:rPr>
          <w:rFonts w:ascii="黑体" w:hAnsi="黑体" w:eastAsia="黑体" w:cs="黑体"/>
          <w:b/>
          <w:bCs/>
          <w:spacing w:val="-10"/>
        </w:rPr>
        <w:t>竣工结算审核</w:t>
      </w:r>
    </w:p>
    <w:p w14:paraId="1191FD33">
      <w:pPr>
        <w:pStyle w:val="2"/>
        <w:spacing w:before="116" w:line="352" w:lineRule="auto"/>
        <w:ind w:right="75" w:firstLine="539"/>
        <w:jc w:val="both"/>
        <w:rPr>
          <w:sz w:val="21"/>
          <w:szCs w:val="21"/>
        </w:rPr>
      </w:pPr>
      <w:r>
        <w:rPr>
          <w:spacing w:val="7"/>
          <w:sz w:val="21"/>
          <w:szCs w:val="21"/>
        </w:rPr>
        <w:t>(1)除专用合同条款另有约定外，监理人应在收到竣工结算申请单后14天内完成核查并报</w:t>
      </w:r>
      <w:r>
        <w:rPr>
          <w:spacing w:val="6"/>
          <w:sz w:val="21"/>
          <w:szCs w:val="21"/>
        </w:rPr>
        <w:t xml:space="preserve"> </w:t>
      </w:r>
      <w:r>
        <w:rPr>
          <w:spacing w:val="2"/>
          <w:sz w:val="21"/>
          <w:szCs w:val="21"/>
        </w:rPr>
        <w:t>送发包人。发包人应在收到监理人提交的经审核的竣工结算申请单后14天内完成审批，并由监理</w:t>
      </w:r>
      <w:r>
        <w:rPr>
          <w:spacing w:val="10"/>
          <w:sz w:val="21"/>
          <w:szCs w:val="21"/>
        </w:rPr>
        <w:t xml:space="preserve"> </w:t>
      </w:r>
      <w:r>
        <w:rPr>
          <w:spacing w:val="2"/>
          <w:sz w:val="21"/>
          <w:szCs w:val="21"/>
        </w:rPr>
        <w:t>人向承包人签发经发包人签认的竣工付款证书。监理人或发包人对竣工结算申请单有</w:t>
      </w:r>
      <w:r>
        <w:rPr>
          <w:spacing w:val="1"/>
          <w:sz w:val="21"/>
          <w:szCs w:val="21"/>
        </w:rPr>
        <w:t>异议的，有</w:t>
      </w:r>
      <w:r>
        <w:rPr>
          <w:sz w:val="21"/>
          <w:szCs w:val="21"/>
        </w:rPr>
        <w:t xml:space="preserve"> 权要求承包人进行修正和提供补充资料，承包</w:t>
      </w:r>
      <w:r>
        <w:rPr>
          <w:spacing w:val="-1"/>
          <w:sz w:val="21"/>
          <w:szCs w:val="21"/>
        </w:rPr>
        <w:t>人应提交修正后的竣工结算申请单。</w:t>
      </w:r>
    </w:p>
    <w:p w14:paraId="08599FAE">
      <w:pPr>
        <w:pStyle w:val="2"/>
        <w:spacing w:before="5" w:line="349" w:lineRule="auto"/>
        <w:ind w:right="75" w:firstLine="429"/>
        <w:jc w:val="both"/>
        <w:rPr>
          <w:sz w:val="21"/>
          <w:szCs w:val="21"/>
        </w:rPr>
      </w:pPr>
      <w:r>
        <w:rPr>
          <w:spacing w:val="2"/>
          <w:sz w:val="21"/>
          <w:szCs w:val="21"/>
        </w:rPr>
        <w:t>发包人在收到承包人提交竣工结算申请书后28天内未完成审批且未提出异议的，视为发包人</w:t>
      </w:r>
      <w:r>
        <w:rPr>
          <w:spacing w:val="6"/>
          <w:sz w:val="21"/>
          <w:szCs w:val="21"/>
        </w:rPr>
        <w:t xml:space="preserve"> </w:t>
      </w:r>
      <w:r>
        <w:rPr>
          <w:spacing w:val="2"/>
          <w:sz w:val="21"/>
          <w:szCs w:val="21"/>
        </w:rPr>
        <w:t>认可承包人提交的竣工结算申请单，并自发包人收到承包人提交的竣工结算申请单后第29天起视</w:t>
      </w:r>
      <w:r>
        <w:rPr>
          <w:spacing w:val="11"/>
          <w:sz w:val="21"/>
          <w:szCs w:val="21"/>
        </w:rPr>
        <w:t xml:space="preserve"> </w:t>
      </w:r>
      <w:r>
        <w:rPr>
          <w:spacing w:val="-4"/>
          <w:sz w:val="21"/>
          <w:szCs w:val="21"/>
        </w:rPr>
        <w:t>为已签发竣工付款证书。</w:t>
      </w:r>
    </w:p>
    <w:p w14:paraId="27CE0AD3">
      <w:pPr>
        <w:pStyle w:val="2"/>
        <w:spacing w:before="1" w:line="313" w:lineRule="auto"/>
        <w:ind w:right="24" w:firstLine="539"/>
        <w:rPr>
          <w:sz w:val="21"/>
          <w:szCs w:val="21"/>
        </w:rPr>
      </w:pPr>
      <w:r>
        <w:rPr>
          <w:spacing w:val="7"/>
          <w:sz w:val="21"/>
          <w:szCs w:val="21"/>
        </w:rPr>
        <w:t>(2)除专用合同条款另有约定外，发包人应在签发竣工付款</w:t>
      </w:r>
      <w:r>
        <w:rPr>
          <w:spacing w:val="6"/>
          <w:sz w:val="21"/>
          <w:szCs w:val="21"/>
        </w:rPr>
        <w:t>证书后的14天内，完成对承包</w:t>
      </w:r>
      <w:r>
        <w:rPr>
          <w:sz w:val="21"/>
          <w:szCs w:val="21"/>
        </w:rPr>
        <w:t xml:space="preserve"> </w:t>
      </w:r>
      <w:r>
        <w:rPr>
          <w:spacing w:val="-1"/>
          <w:sz w:val="21"/>
          <w:szCs w:val="21"/>
        </w:rPr>
        <w:t>人的竣工付款。发包人逾期支付的，按照中国人民银行发</w:t>
      </w:r>
      <w:r>
        <w:rPr>
          <w:spacing w:val="-2"/>
          <w:sz w:val="21"/>
          <w:szCs w:val="21"/>
        </w:rPr>
        <w:t>布的同期同类贷款基准利率支付违约金；</w:t>
      </w:r>
      <w:r>
        <w:rPr>
          <w:sz w:val="21"/>
          <w:szCs w:val="21"/>
        </w:rPr>
        <w:t xml:space="preserve"> </w:t>
      </w:r>
      <w:r>
        <w:rPr>
          <w:spacing w:val="3"/>
          <w:sz w:val="21"/>
          <w:szCs w:val="21"/>
        </w:rPr>
        <w:t>逾期支付超过56天的，按照中国人民银行发布的同期同类贷款基准利率</w:t>
      </w:r>
      <w:r>
        <w:rPr>
          <w:spacing w:val="2"/>
          <w:sz w:val="21"/>
          <w:szCs w:val="21"/>
        </w:rPr>
        <w:t>的两倍支付违约金。</w:t>
      </w:r>
    </w:p>
    <w:p w14:paraId="2C639458">
      <w:pPr>
        <w:pStyle w:val="2"/>
        <w:spacing w:before="133" w:line="318" w:lineRule="auto"/>
        <w:ind w:firstLine="539"/>
        <w:rPr>
          <w:sz w:val="21"/>
          <w:szCs w:val="21"/>
        </w:rPr>
      </w:pPr>
      <w:r>
        <w:rPr>
          <w:spacing w:val="2"/>
          <w:sz w:val="21"/>
          <w:szCs w:val="21"/>
        </w:rPr>
        <w:t>(3)承包人对发包人签认的竣工付款证书有异议的，对于有异议部分应在收到发包人签认的</w:t>
      </w:r>
      <w:r>
        <w:rPr>
          <w:spacing w:val="8"/>
          <w:sz w:val="21"/>
          <w:szCs w:val="21"/>
        </w:rPr>
        <w:t xml:space="preserve"> </w:t>
      </w:r>
      <w:r>
        <w:rPr>
          <w:spacing w:val="2"/>
          <w:sz w:val="21"/>
          <w:szCs w:val="21"/>
        </w:rPr>
        <w:t>竣工付款证书后7天内提出异议，并由合同当事人按照专用</w:t>
      </w:r>
      <w:r>
        <w:rPr>
          <w:spacing w:val="1"/>
          <w:sz w:val="21"/>
          <w:szCs w:val="21"/>
        </w:rPr>
        <w:t>合同条款约定的方式和程序进行复核，</w:t>
      </w:r>
      <w:r>
        <w:rPr>
          <w:sz w:val="21"/>
          <w:szCs w:val="21"/>
        </w:rPr>
        <w:t xml:space="preserve"> </w:t>
      </w:r>
      <w:r>
        <w:rPr>
          <w:spacing w:val="3"/>
          <w:sz w:val="21"/>
          <w:szCs w:val="21"/>
        </w:rPr>
        <w:t>或按照第20条〔争议解决〕约定处理。对于无异议部分，发包人应签发临时</w:t>
      </w:r>
      <w:r>
        <w:rPr>
          <w:spacing w:val="2"/>
          <w:sz w:val="21"/>
          <w:szCs w:val="21"/>
        </w:rPr>
        <w:t>竣工付款证书，并按</w:t>
      </w:r>
      <w:r>
        <w:rPr>
          <w:sz w:val="21"/>
          <w:szCs w:val="21"/>
        </w:rPr>
        <w:t xml:space="preserve"> </w:t>
      </w:r>
      <w:r>
        <w:rPr>
          <w:spacing w:val="5"/>
          <w:sz w:val="21"/>
          <w:szCs w:val="21"/>
        </w:rPr>
        <w:t>本款第(2)项完成付款。承包人逾期未提出异议的，视为认可发包人的审批结果。</w:t>
      </w:r>
    </w:p>
    <w:p w14:paraId="3233DF62">
      <w:pPr>
        <w:pStyle w:val="2"/>
        <w:spacing w:before="128" w:line="221" w:lineRule="auto"/>
        <w:ind w:left="3"/>
        <w:rPr>
          <w:rFonts w:ascii="黑体" w:hAnsi="黑体" w:eastAsia="黑体" w:cs="黑体"/>
        </w:rPr>
      </w:pPr>
      <w:r>
        <w:rPr>
          <w:b/>
          <w:bCs/>
          <w:spacing w:val="-11"/>
        </w:rPr>
        <w:t>14.3</w:t>
      </w:r>
      <w:r>
        <w:rPr>
          <w:spacing w:val="-11"/>
        </w:rPr>
        <w:t xml:space="preserve"> </w:t>
      </w:r>
      <w:r>
        <w:rPr>
          <w:rFonts w:ascii="黑体" w:hAnsi="黑体" w:eastAsia="黑体" w:cs="黑体"/>
          <w:b/>
          <w:bCs/>
          <w:spacing w:val="-11"/>
        </w:rPr>
        <w:t>甩项竣工协议</w:t>
      </w:r>
    </w:p>
    <w:p w14:paraId="20984D69">
      <w:pPr>
        <w:pStyle w:val="2"/>
        <w:spacing w:before="143" w:line="340" w:lineRule="auto"/>
        <w:ind w:right="54" w:firstLine="429"/>
        <w:jc w:val="both"/>
        <w:rPr>
          <w:sz w:val="21"/>
          <w:szCs w:val="21"/>
        </w:rPr>
      </w:pPr>
      <w:r>
        <w:rPr>
          <w:spacing w:val="2"/>
          <w:sz w:val="21"/>
          <w:szCs w:val="21"/>
        </w:rPr>
        <w:t>发包人要求甩项竣工的，合同当事人应签订甩项竣工协议。在甩项竣工协议中应明确</w:t>
      </w:r>
      <w:r>
        <w:rPr>
          <w:spacing w:val="1"/>
          <w:sz w:val="21"/>
          <w:szCs w:val="21"/>
        </w:rPr>
        <w:t>，合同</w:t>
      </w:r>
      <w:r>
        <w:rPr>
          <w:sz w:val="21"/>
          <w:szCs w:val="21"/>
        </w:rPr>
        <w:t xml:space="preserve"> </w:t>
      </w:r>
      <w:r>
        <w:rPr>
          <w:spacing w:val="3"/>
          <w:sz w:val="21"/>
          <w:szCs w:val="21"/>
        </w:rPr>
        <w:t>当事人按照第14.1款〔竣工结算申请〕及14.2款〔竣</w:t>
      </w:r>
      <w:r>
        <w:rPr>
          <w:spacing w:val="2"/>
          <w:sz w:val="21"/>
          <w:szCs w:val="21"/>
        </w:rPr>
        <w:t>工结算审核〕的约定，对已完合格工程进行</w:t>
      </w:r>
      <w:r>
        <w:rPr>
          <w:sz w:val="21"/>
          <w:szCs w:val="21"/>
        </w:rPr>
        <w:t xml:space="preserve"> </w:t>
      </w:r>
      <w:r>
        <w:rPr>
          <w:spacing w:val="-4"/>
          <w:sz w:val="21"/>
          <w:szCs w:val="21"/>
        </w:rPr>
        <w:t>结算，并支付相应合同价款。</w:t>
      </w:r>
    </w:p>
    <w:p w14:paraId="1D7C9289">
      <w:pPr>
        <w:pStyle w:val="2"/>
        <w:spacing w:line="223" w:lineRule="auto"/>
        <w:ind w:left="3"/>
        <w:rPr>
          <w:rFonts w:ascii="黑体" w:hAnsi="黑体" w:eastAsia="黑体" w:cs="黑体"/>
        </w:rPr>
      </w:pPr>
      <w:r>
        <w:rPr>
          <w:b/>
          <w:bCs/>
          <w:spacing w:val="-13"/>
        </w:rPr>
        <w:t>14.4</w:t>
      </w:r>
      <w:r>
        <w:rPr>
          <w:spacing w:val="15"/>
        </w:rPr>
        <w:t xml:space="preserve"> </w:t>
      </w:r>
      <w:r>
        <w:rPr>
          <w:rFonts w:ascii="黑体" w:hAnsi="黑体" w:eastAsia="黑体" w:cs="黑体"/>
          <w:b/>
          <w:bCs/>
          <w:spacing w:val="-13"/>
        </w:rPr>
        <w:t>最终结清</w:t>
      </w:r>
    </w:p>
    <w:p w14:paraId="19B405D2">
      <w:pPr>
        <w:pStyle w:val="2"/>
        <w:spacing w:before="140" w:line="219" w:lineRule="auto"/>
        <w:ind w:left="429"/>
        <w:rPr>
          <w:sz w:val="21"/>
          <w:szCs w:val="21"/>
        </w:rPr>
      </w:pPr>
      <w:r>
        <w:rPr>
          <w:rFonts w:ascii="Times New Roman" w:hAnsi="Times New Roman" w:eastAsia="Times New Roman" w:cs="Times New Roman"/>
          <w:b/>
          <w:bCs/>
          <w:sz w:val="21"/>
          <w:szCs w:val="21"/>
        </w:rPr>
        <w:t>14.4.1</w:t>
      </w:r>
      <w:r>
        <w:rPr>
          <w:rFonts w:ascii="Times New Roman" w:hAnsi="Times New Roman" w:eastAsia="Times New Roman" w:cs="Times New Roman"/>
          <w:b/>
          <w:bCs/>
          <w:spacing w:val="50"/>
          <w:sz w:val="21"/>
          <w:szCs w:val="21"/>
        </w:rPr>
        <w:t xml:space="preserve"> </w:t>
      </w:r>
      <w:r>
        <w:rPr>
          <w:sz w:val="21"/>
          <w:szCs w:val="21"/>
        </w:rPr>
        <w:t>最终结清申请单</w:t>
      </w:r>
    </w:p>
    <w:p w14:paraId="0B05DD25">
      <w:pPr>
        <w:pStyle w:val="2"/>
        <w:spacing w:before="150" w:line="362" w:lineRule="auto"/>
        <w:ind w:right="75" w:firstLine="539"/>
        <w:rPr>
          <w:sz w:val="21"/>
          <w:szCs w:val="21"/>
        </w:rPr>
      </w:pPr>
      <w:r>
        <w:rPr>
          <w:spacing w:val="5"/>
          <w:sz w:val="21"/>
          <w:szCs w:val="21"/>
        </w:rPr>
        <w:t>(1)除专用合同条款另有约定外，承包人应在缺陷责</w:t>
      </w:r>
      <w:r>
        <w:rPr>
          <w:spacing w:val="4"/>
          <w:sz w:val="21"/>
          <w:szCs w:val="21"/>
        </w:rPr>
        <w:t>任期终止证书颁发后7天内，按专用合</w:t>
      </w:r>
      <w:r>
        <w:rPr>
          <w:sz w:val="21"/>
          <w:szCs w:val="21"/>
        </w:rPr>
        <w:t xml:space="preserve"> </w:t>
      </w:r>
      <w:r>
        <w:rPr>
          <w:spacing w:val="-1"/>
          <w:sz w:val="21"/>
          <w:szCs w:val="21"/>
        </w:rPr>
        <w:t>同条款约定的份数向发包人提交最终结清申请单，并提供相关证明材料。</w:t>
      </w:r>
    </w:p>
    <w:p w14:paraId="254C4E88">
      <w:pPr>
        <w:spacing w:line="362" w:lineRule="auto"/>
        <w:rPr>
          <w:sz w:val="21"/>
          <w:szCs w:val="21"/>
        </w:rPr>
        <w:sectPr>
          <w:footerReference r:id="rId230" w:type="default"/>
          <w:pgSz w:w="11910" w:h="16840"/>
          <w:pgMar w:top="400" w:right="1464" w:bottom="1024" w:left="1450" w:header="0" w:footer="889" w:gutter="0"/>
          <w:cols w:space="720" w:num="1"/>
        </w:sectPr>
      </w:pPr>
    </w:p>
    <w:p w14:paraId="0E071BAB">
      <w:pPr>
        <w:spacing w:line="270" w:lineRule="auto"/>
        <w:rPr>
          <w:rFonts w:ascii="Arial"/>
          <w:sz w:val="21"/>
        </w:rPr>
      </w:pPr>
    </w:p>
    <w:p w14:paraId="14F69A41">
      <w:pPr>
        <w:spacing w:line="270" w:lineRule="auto"/>
        <w:rPr>
          <w:rFonts w:ascii="Arial"/>
          <w:sz w:val="21"/>
        </w:rPr>
      </w:pPr>
    </w:p>
    <w:p w14:paraId="1764F9EB">
      <w:pPr>
        <w:spacing w:line="270" w:lineRule="auto"/>
        <w:rPr>
          <w:rFonts w:ascii="Arial"/>
          <w:sz w:val="21"/>
        </w:rPr>
      </w:pPr>
    </w:p>
    <w:p w14:paraId="578DA12A">
      <w:pPr>
        <w:spacing w:line="270" w:lineRule="auto"/>
        <w:rPr>
          <w:rFonts w:ascii="Arial"/>
          <w:sz w:val="21"/>
        </w:rPr>
      </w:pPr>
    </w:p>
    <w:p w14:paraId="5F82E504">
      <w:pPr>
        <w:spacing w:line="271" w:lineRule="auto"/>
        <w:rPr>
          <w:rFonts w:ascii="Arial"/>
          <w:sz w:val="21"/>
        </w:rPr>
      </w:pPr>
    </w:p>
    <w:p w14:paraId="7AC6E568">
      <w:pPr>
        <w:pStyle w:val="2"/>
        <w:spacing w:before="69" w:line="347" w:lineRule="auto"/>
        <w:ind w:right="136" w:firstLine="419"/>
        <w:rPr>
          <w:sz w:val="21"/>
          <w:szCs w:val="21"/>
        </w:rPr>
      </w:pPr>
      <w:r>
        <w:rPr>
          <w:spacing w:val="2"/>
          <w:sz w:val="21"/>
          <w:szCs w:val="21"/>
        </w:rPr>
        <w:t>除专用合同条款另有约定外，最终结清申请单应列明质量保证金、应扣除的质量保证</w:t>
      </w:r>
      <w:r>
        <w:rPr>
          <w:spacing w:val="1"/>
          <w:sz w:val="21"/>
          <w:szCs w:val="21"/>
        </w:rPr>
        <w:t>金、缺</w:t>
      </w:r>
      <w:r>
        <w:rPr>
          <w:sz w:val="21"/>
          <w:szCs w:val="21"/>
        </w:rPr>
        <w:t xml:space="preserve"> </w:t>
      </w:r>
      <w:r>
        <w:rPr>
          <w:spacing w:val="-2"/>
          <w:sz w:val="21"/>
          <w:szCs w:val="21"/>
        </w:rPr>
        <w:t>陷责任期内发生的增减费用。</w:t>
      </w:r>
    </w:p>
    <w:p w14:paraId="11921B46">
      <w:pPr>
        <w:pStyle w:val="2"/>
        <w:spacing w:line="356" w:lineRule="auto"/>
        <w:ind w:right="134" w:firstLine="539"/>
        <w:rPr>
          <w:sz w:val="21"/>
          <w:szCs w:val="21"/>
        </w:rPr>
      </w:pPr>
      <w:r>
        <w:rPr>
          <w:spacing w:val="2"/>
          <w:sz w:val="21"/>
          <w:szCs w:val="21"/>
        </w:rPr>
        <w:t>(2)发包人对最终结清申请单内容有异议的，有权</w:t>
      </w:r>
      <w:r>
        <w:rPr>
          <w:spacing w:val="1"/>
          <w:sz w:val="21"/>
          <w:szCs w:val="21"/>
        </w:rPr>
        <w:t>要求承包人进行修正和提供补充资料，承</w:t>
      </w:r>
      <w:r>
        <w:rPr>
          <w:sz w:val="21"/>
          <w:szCs w:val="21"/>
        </w:rPr>
        <w:t xml:space="preserve"> </w:t>
      </w:r>
      <w:r>
        <w:rPr>
          <w:spacing w:val="-2"/>
          <w:sz w:val="21"/>
          <w:szCs w:val="21"/>
        </w:rPr>
        <w:t>包人应向发包人提交修正后的最终结清申请单。</w:t>
      </w:r>
    </w:p>
    <w:p w14:paraId="31B17BBA">
      <w:pPr>
        <w:pStyle w:val="2"/>
        <w:spacing w:line="218" w:lineRule="auto"/>
        <w:ind w:left="419"/>
        <w:rPr>
          <w:sz w:val="21"/>
          <w:szCs w:val="21"/>
        </w:rPr>
      </w:pPr>
      <w:r>
        <w:rPr>
          <w:rFonts w:ascii="Times New Roman" w:hAnsi="Times New Roman" w:eastAsia="Times New Roman" w:cs="Times New Roman"/>
          <w:b/>
          <w:bCs/>
          <w:spacing w:val="-1"/>
          <w:sz w:val="21"/>
          <w:szCs w:val="21"/>
        </w:rPr>
        <w:t xml:space="preserve">14.4.2  </w:t>
      </w:r>
      <w:r>
        <w:rPr>
          <w:spacing w:val="-1"/>
          <w:sz w:val="21"/>
          <w:szCs w:val="21"/>
        </w:rPr>
        <w:t>最终结清证书和支付</w:t>
      </w:r>
    </w:p>
    <w:p w14:paraId="4C93A579">
      <w:pPr>
        <w:pStyle w:val="2"/>
        <w:spacing w:before="160" w:line="312" w:lineRule="auto"/>
        <w:ind w:right="115" w:firstLine="539"/>
        <w:rPr>
          <w:sz w:val="21"/>
          <w:szCs w:val="21"/>
        </w:rPr>
      </w:pPr>
      <w:r>
        <w:rPr>
          <w:spacing w:val="7"/>
          <w:sz w:val="21"/>
          <w:szCs w:val="21"/>
        </w:rPr>
        <w:t>(1)除专用合同条款另有约定外，发包人应在收到承包人提交的最终结清申请单后14天内</w:t>
      </w:r>
      <w:r>
        <w:rPr>
          <w:spacing w:val="6"/>
          <w:sz w:val="21"/>
          <w:szCs w:val="21"/>
        </w:rPr>
        <w:t xml:space="preserve"> </w:t>
      </w:r>
      <w:r>
        <w:rPr>
          <w:spacing w:val="2"/>
          <w:sz w:val="21"/>
          <w:szCs w:val="21"/>
        </w:rPr>
        <w:t>完成审批并向承包人颁发最终结清证书。发包人逾期未完成审批，又未提出修改</w:t>
      </w:r>
      <w:r>
        <w:rPr>
          <w:spacing w:val="1"/>
          <w:sz w:val="21"/>
          <w:szCs w:val="21"/>
        </w:rPr>
        <w:t>意见的，视为发</w:t>
      </w:r>
      <w:r>
        <w:rPr>
          <w:sz w:val="21"/>
          <w:szCs w:val="21"/>
        </w:rPr>
        <w:t xml:space="preserve"> </w:t>
      </w:r>
      <w:r>
        <w:rPr>
          <w:spacing w:val="2"/>
          <w:sz w:val="21"/>
          <w:szCs w:val="21"/>
        </w:rPr>
        <w:t>包人同意承包人提交的最终结清申请单，且自发包人收到承包人提交的最终结清</w:t>
      </w:r>
      <w:r>
        <w:rPr>
          <w:spacing w:val="1"/>
          <w:sz w:val="21"/>
          <w:szCs w:val="21"/>
        </w:rPr>
        <w:t>申请单后15天起</w:t>
      </w:r>
      <w:r>
        <w:rPr>
          <w:sz w:val="21"/>
          <w:szCs w:val="21"/>
        </w:rPr>
        <w:t xml:space="preserve"> </w:t>
      </w:r>
      <w:r>
        <w:rPr>
          <w:spacing w:val="-3"/>
          <w:sz w:val="21"/>
          <w:szCs w:val="21"/>
        </w:rPr>
        <w:t>视为已颁发最终结清证书。</w:t>
      </w:r>
    </w:p>
    <w:p w14:paraId="38606950">
      <w:pPr>
        <w:pStyle w:val="2"/>
        <w:spacing w:before="172" w:line="307" w:lineRule="auto"/>
        <w:ind w:right="58" w:firstLine="539"/>
        <w:rPr>
          <w:sz w:val="21"/>
          <w:szCs w:val="21"/>
        </w:rPr>
      </w:pPr>
      <w:r>
        <w:rPr>
          <w:spacing w:val="4"/>
          <w:sz w:val="21"/>
          <w:szCs w:val="21"/>
        </w:rPr>
        <w:t xml:space="preserve">(2)除专用合同条款另有约定外，发包人应在颁发最终结清证书后7天内完成支付。发包人 </w:t>
      </w:r>
      <w:r>
        <w:rPr>
          <w:spacing w:val="-1"/>
          <w:sz w:val="21"/>
          <w:szCs w:val="21"/>
        </w:rPr>
        <w:t>逾期支付的，按照中国人民银行发布的同期同类贷款基准利率支付违约金；</w:t>
      </w:r>
      <w:r>
        <w:rPr>
          <w:spacing w:val="-2"/>
          <w:sz w:val="21"/>
          <w:szCs w:val="21"/>
        </w:rPr>
        <w:t>逾期支付超过56天的，</w:t>
      </w:r>
      <w:r>
        <w:rPr>
          <w:sz w:val="21"/>
          <w:szCs w:val="21"/>
        </w:rPr>
        <w:t xml:space="preserve"> </w:t>
      </w:r>
      <w:r>
        <w:rPr>
          <w:spacing w:val="-1"/>
          <w:sz w:val="21"/>
          <w:szCs w:val="21"/>
        </w:rPr>
        <w:t>按照中国人民银行发布的同期同类贷款基准利</w:t>
      </w:r>
      <w:r>
        <w:rPr>
          <w:spacing w:val="-2"/>
          <w:sz w:val="21"/>
          <w:szCs w:val="21"/>
        </w:rPr>
        <w:t>率的两倍支付违约金。</w:t>
      </w:r>
    </w:p>
    <w:p w14:paraId="4C2DA318">
      <w:pPr>
        <w:pStyle w:val="2"/>
        <w:spacing w:before="140" w:line="219" w:lineRule="auto"/>
        <w:ind w:left="539"/>
        <w:rPr>
          <w:sz w:val="21"/>
          <w:szCs w:val="21"/>
        </w:rPr>
      </w:pPr>
      <w:r>
        <w:rPr>
          <w:spacing w:val="5"/>
          <w:sz w:val="21"/>
          <w:szCs w:val="21"/>
        </w:rPr>
        <w:t>(3)承包人对发包人颁发的最终结清证书有异议的，按第20条〔争议解决〕的约定办理。</w:t>
      </w:r>
    </w:p>
    <w:p w14:paraId="50431B80">
      <w:pPr>
        <w:pStyle w:val="2"/>
        <w:spacing w:before="209" w:line="221" w:lineRule="auto"/>
        <w:ind w:left="4"/>
        <w:rPr>
          <w:rFonts w:ascii="黑体" w:hAnsi="黑体" w:eastAsia="黑体" w:cs="黑体"/>
          <w:sz w:val="29"/>
          <w:szCs w:val="29"/>
        </w:rPr>
      </w:pPr>
      <w:r>
        <w:rPr>
          <w:b/>
          <w:bCs/>
          <w:spacing w:val="-3"/>
          <w:sz w:val="29"/>
          <w:szCs w:val="29"/>
        </w:rPr>
        <w:t>15.</w:t>
      </w:r>
      <w:r>
        <w:rPr>
          <w:rFonts w:ascii="黑体" w:hAnsi="黑体" w:eastAsia="黑体" w:cs="黑体"/>
          <w:b/>
          <w:bCs/>
          <w:spacing w:val="-3"/>
          <w:sz w:val="29"/>
          <w:szCs w:val="29"/>
        </w:rPr>
        <w:t>缺陷责任与保修</w:t>
      </w:r>
    </w:p>
    <w:p w14:paraId="4B70C165">
      <w:pPr>
        <w:pStyle w:val="2"/>
        <w:spacing w:before="72" w:line="222" w:lineRule="auto"/>
        <w:ind w:left="3"/>
        <w:rPr>
          <w:rFonts w:ascii="黑体" w:hAnsi="黑体" w:eastAsia="黑体" w:cs="黑体"/>
        </w:rPr>
      </w:pPr>
      <w:r>
        <w:rPr>
          <w:b/>
          <w:bCs/>
          <w:spacing w:val="-10"/>
        </w:rPr>
        <w:t>15.1</w:t>
      </w:r>
      <w:r>
        <w:rPr>
          <w:spacing w:val="-10"/>
        </w:rPr>
        <w:t xml:space="preserve"> </w:t>
      </w:r>
      <w:r>
        <w:rPr>
          <w:rFonts w:ascii="黑体" w:hAnsi="黑体" w:eastAsia="黑体" w:cs="黑体"/>
          <w:b/>
          <w:bCs/>
          <w:spacing w:val="-10"/>
        </w:rPr>
        <w:t>工程保修的原则</w:t>
      </w:r>
    </w:p>
    <w:p w14:paraId="01F2618B">
      <w:pPr>
        <w:pStyle w:val="2"/>
        <w:spacing w:before="143" w:line="328" w:lineRule="auto"/>
        <w:ind w:right="134" w:firstLine="419"/>
        <w:rPr>
          <w:sz w:val="21"/>
          <w:szCs w:val="21"/>
        </w:rPr>
      </w:pPr>
      <w:r>
        <w:rPr>
          <w:spacing w:val="2"/>
          <w:sz w:val="21"/>
          <w:szCs w:val="21"/>
        </w:rPr>
        <w:t>在工程移交发包人后，因承包人原因产生的质量缺陷，承包人应承担质量缺陷责任和保修义</w:t>
      </w:r>
      <w:r>
        <w:rPr>
          <w:sz w:val="21"/>
          <w:szCs w:val="21"/>
        </w:rPr>
        <w:t xml:space="preserve"> </w:t>
      </w:r>
      <w:r>
        <w:rPr>
          <w:spacing w:val="-1"/>
          <w:sz w:val="21"/>
          <w:szCs w:val="21"/>
        </w:rPr>
        <w:t>务。缺陷责任期届满，承包人仍应按合同约定的工程各部位保修年限承担保</w:t>
      </w:r>
      <w:r>
        <w:rPr>
          <w:spacing w:val="-2"/>
          <w:sz w:val="21"/>
          <w:szCs w:val="21"/>
        </w:rPr>
        <w:t>修义务。</w:t>
      </w:r>
    </w:p>
    <w:p w14:paraId="33FFEC10">
      <w:pPr>
        <w:pStyle w:val="2"/>
        <w:spacing w:before="1" w:line="220" w:lineRule="auto"/>
        <w:ind w:left="3"/>
        <w:rPr>
          <w:rFonts w:ascii="黑体" w:hAnsi="黑体" w:eastAsia="黑体" w:cs="黑体"/>
        </w:rPr>
      </w:pPr>
      <w:r>
        <w:rPr>
          <w:b/>
          <w:bCs/>
          <w:spacing w:val="-12"/>
        </w:rPr>
        <w:t>15.2</w:t>
      </w:r>
      <w:r>
        <w:rPr>
          <w:spacing w:val="-12"/>
        </w:rPr>
        <w:t xml:space="preserve"> </w:t>
      </w:r>
      <w:r>
        <w:rPr>
          <w:rFonts w:ascii="黑体" w:hAnsi="黑体" w:eastAsia="黑体" w:cs="黑体"/>
          <w:b/>
          <w:bCs/>
          <w:spacing w:val="-12"/>
        </w:rPr>
        <w:t>缺陷责任期</w:t>
      </w:r>
    </w:p>
    <w:p w14:paraId="79EB1981">
      <w:pPr>
        <w:pStyle w:val="2"/>
        <w:spacing w:before="134" w:line="352" w:lineRule="auto"/>
        <w:ind w:right="128" w:firstLine="419"/>
        <w:rPr>
          <w:sz w:val="21"/>
          <w:szCs w:val="21"/>
        </w:rPr>
      </w:pPr>
      <w:r>
        <w:rPr>
          <w:spacing w:val="2"/>
          <w:sz w:val="21"/>
          <w:szCs w:val="21"/>
        </w:rPr>
        <w:t>15.2.1缺陷责任期从工程通过竣工验收之日起计算，合同当事人应在专用合同条款约定缺陷</w:t>
      </w:r>
      <w:r>
        <w:rPr>
          <w:sz w:val="21"/>
          <w:szCs w:val="21"/>
        </w:rPr>
        <w:t xml:space="preserve"> </w:t>
      </w:r>
      <w:r>
        <w:rPr>
          <w:spacing w:val="4"/>
          <w:sz w:val="21"/>
          <w:szCs w:val="21"/>
        </w:rPr>
        <w:t>责任期的具体期限，但该期限最长不超过24个月。</w:t>
      </w:r>
    </w:p>
    <w:p w14:paraId="00A1475A">
      <w:pPr>
        <w:pStyle w:val="2"/>
        <w:spacing w:before="3" w:line="352" w:lineRule="auto"/>
        <w:ind w:right="62" w:firstLine="419"/>
        <w:jc w:val="both"/>
        <w:rPr>
          <w:sz w:val="21"/>
          <w:szCs w:val="21"/>
        </w:rPr>
      </w:pPr>
      <w:r>
        <w:rPr>
          <w:spacing w:val="2"/>
          <w:sz w:val="21"/>
          <w:szCs w:val="21"/>
        </w:rPr>
        <w:t>单位工程先于全部工程进行验收，经验收合格并交付使用的，该单位工程缺陷责任期</w:t>
      </w:r>
      <w:r>
        <w:rPr>
          <w:spacing w:val="1"/>
          <w:sz w:val="21"/>
          <w:szCs w:val="21"/>
        </w:rPr>
        <w:t>自单位</w:t>
      </w:r>
      <w:r>
        <w:rPr>
          <w:sz w:val="21"/>
          <w:szCs w:val="21"/>
        </w:rPr>
        <w:t xml:space="preserve"> </w:t>
      </w:r>
      <w:r>
        <w:rPr>
          <w:spacing w:val="2"/>
          <w:sz w:val="21"/>
          <w:szCs w:val="21"/>
        </w:rPr>
        <w:t>工程验收合格之日起算。因承包人原因导致工程无法按合同约定期限进行竣工验</w:t>
      </w:r>
      <w:r>
        <w:rPr>
          <w:spacing w:val="1"/>
          <w:sz w:val="21"/>
          <w:szCs w:val="21"/>
        </w:rPr>
        <w:t>收的，缺陷责任</w:t>
      </w:r>
      <w:r>
        <w:rPr>
          <w:sz w:val="21"/>
          <w:szCs w:val="21"/>
        </w:rPr>
        <w:t xml:space="preserve"> </w:t>
      </w:r>
      <w:r>
        <w:rPr>
          <w:spacing w:val="-1"/>
          <w:sz w:val="21"/>
          <w:szCs w:val="21"/>
        </w:rPr>
        <w:t>期从实际通过竣工验收之日起计算。因发包人原因导致工程无</w:t>
      </w:r>
      <w:r>
        <w:rPr>
          <w:spacing w:val="-2"/>
          <w:sz w:val="21"/>
          <w:szCs w:val="21"/>
        </w:rPr>
        <w:t>法按合同约定期限进行竣工验收的，</w:t>
      </w:r>
      <w:r>
        <w:rPr>
          <w:sz w:val="21"/>
          <w:szCs w:val="21"/>
        </w:rPr>
        <w:t xml:space="preserve"> </w:t>
      </w:r>
      <w:r>
        <w:rPr>
          <w:spacing w:val="2"/>
          <w:sz w:val="21"/>
          <w:szCs w:val="21"/>
        </w:rPr>
        <w:t>在承包人提交竣工验收报告90天后，工程自动进入缺陷责任期；发包人未经竣工验</w:t>
      </w:r>
      <w:r>
        <w:rPr>
          <w:spacing w:val="1"/>
          <w:sz w:val="21"/>
          <w:szCs w:val="21"/>
        </w:rPr>
        <w:t>收擅自使用工</w:t>
      </w:r>
      <w:r>
        <w:rPr>
          <w:sz w:val="21"/>
          <w:szCs w:val="21"/>
        </w:rPr>
        <w:t xml:space="preserve"> </w:t>
      </w:r>
      <w:r>
        <w:rPr>
          <w:spacing w:val="-2"/>
          <w:sz w:val="21"/>
          <w:szCs w:val="21"/>
        </w:rPr>
        <w:t>程的，缺陷责任期自工程转移占有之日起开始计算。</w:t>
      </w:r>
    </w:p>
    <w:p w14:paraId="6730DD2C">
      <w:pPr>
        <w:pStyle w:val="2"/>
        <w:spacing w:before="8" w:line="352" w:lineRule="auto"/>
        <w:ind w:firstLine="419"/>
        <w:jc w:val="both"/>
        <w:rPr>
          <w:sz w:val="21"/>
          <w:szCs w:val="21"/>
        </w:rPr>
      </w:pPr>
      <w:r>
        <w:rPr>
          <w:rFonts w:ascii="Times New Roman" w:hAnsi="Times New Roman" w:eastAsia="Times New Roman" w:cs="Times New Roman"/>
          <w:spacing w:val="-4"/>
          <w:sz w:val="21"/>
          <w:szCs w:val="21"/>
        </w:rPr>
        <w:t>15.2.2</w:t>
      </w:r>
      <w:r>
        <w:rPr>
          <w:rFonts w:ascii="Times New Roman" w:hAnsi="Times New Roman" w:eastAsia="Times New Roman" w:cs="Times New Roman"/>
          <w:spacing w:val="37"/>
          <w:w w:val="101"/>
          <w:sz w:val="21"/>
          <w:szCs w:val="21"/>
        </w:rPr>
        <w:t xml:space="preserve"> </w:t>
      </w:r>
      <w:r>
        <w:rPr>
          <w:spacing w:val="-4"/>
          <w:sz w:val="21"/>
          <w:szCs w:val="21"/>
        </w:rPr>
        <w:t>缺陷责任期内，由承包人原因造成的缺陷，承包人应负责维修，</w:t>
      </w:r>
      <w:r>
        <w:rPr>
          <w:spacing w:val="-5"/>
          <w:sz w:val="21"/>
          <w:szCs w:val="21"/>
        </w:rPr>
        <w:t>并承担鉴定及维修费用。</w:t>
      </w:r>
      <w:r>
        <w:rPr>
          <w:sz w:val="21"/>
          <w:szCs w:val="21"/>
        </w:rPr>
        <w:t xml:space="preserve"> </w:t>
      </w:r>
      <w:r>
        <w:rPr>
          <w:spacing w:val="2"/>
          <w:sz w:val="21"/>
          <w:szCs w:val="21"/>
        </w:rPr>
        <w:t>如承包人不维修也不承担费用，发包人可按合同约定从保证金或银行保函中扣除</w:t>
      </w:r>
      <w:r>
        <w:rPr>
          <w:spacing w:val="1"/>
          <w:sz w:val="21"/>
          <w:szCs w:val="21"/>
        </w:rPr>
        <w:t>，费用超出保证</w:t>
      </w:r>
      <w:r>
        <w:rPr>
          <w:sz w:val="21"/>
          <w:szCs w:val="21"/>
        </w:rPr>
        <w:t xml:space="preserve">  </w:t>
      </w:r>
      <w:r>
        <w:rPr>
          <w:spacing w:val="2"/>
          <w:sz w:val="21"/>
          <w:szCs w:val="21"/>
        </w:rPr>
        <w:t>金额的，发包人可按合同约定向承包人进行索赔。承包人维修并承担相应费用</w:t>
      </w:r>
      <w:r>
        <w:rPr>
          <w:spacing w:val="1"/>
          <w:sz w:val="21"/>
          <w:szCs w:val="21"/>
        </w:rPr>
        <w:t>后，不免除对工程</w:t>
      </w:r>
      <w:r>
        <w:rPr>
          <w:sz w:val="21"/>
          <w:szCs w:val="21"/>
        </w:rPr>
        <w:t xml:space="preserve">  </w:t>
      </w:r>
      <w:r>
        <w:rPr>
          <w:spacing w:val="2"/>
          <w:sz w:val="21"/>
          <w:szCs w:val="21"/>
        </w:rPr>
        <w:t>的损失赔偿责任。发包人有权要求承包人延长缺陷责任期，并应在原缺陷责任期届</w:t>
      </w:r>
      <w:r>
        <w:rPr>
          <w:spacing w:val="1"/>
          <w:sz w:val="21"/>
          <w:szCs w:val="21"/>
        </w:rPr>
        <w:t>满前发出延长</w:t>
      </w:r>
      <w:r>
        <w:rPr>
          <w:sz w:val="21"/>
          <w:szCs w:val="21"/>
        </w:rPr>
        <w:t xml:space="preserve">  </w:t>
      </w:r>
      <w:r>
        <w:rPr>
          <w:spacing w:val="11"/>
          <w:sz w:val="21"/>
          <w:szCs w:val="21"/>
        </w:rPr>
        <w:t>通知。但缺陷责任期(含延长部分)最长不能超过24个月。</w:t>
      </w:r>
    </w:p>
    <w:p w14:paraId="7E24B35C">
      <w:pPr>
        <w:pStyle w:val="2"/>
        <w:spacing w:before="4" w:line="352" w:lineRule="auto"/>
        <w:ind w:right="155" w:firstLine="419"/>
        <w:rPr>
          <w:sz w:val="21"/>
          <w:szCs w:val="21"/>
        </w:rPr>
      </w:pPr>
      <w:r>
        <w:rPr>
          <w:spacing w:val="1"/>
          <w:sz w:val="21"/>
          <w:szCs w:val="21"/>
        </w:rPr>
        <w:t>由他人原因造成的缺陷，发包人负责组织维修，承包人不承担费用，且发包人不得从保证金</w:t>
      </w:r>
      <w:r>
        <w:rPr>
          <w:spacing w:val="18"/>
          <w:sz w:val="21"/>
          <w:szCs w:val="21"/>
        </w:rPr>
        <w:t xml:space="preserve"> </w:t>
      </w:r>
      <w:r>
        <w:rPr>
          <w:spacing w:val="-5"/>
          <w:sz w:val="21"/>
          <w:szCs w:val="21"/>
        </w:rPr>
        <w:t>中扣除费用。</w:t>
      </w:r>
    </w:p>
    <w:p w14:paraId="2EEFC846">
      <w:pPr>
        <w:pStyle w:val="2"/>
        <w:spacing w:before="1" w:line="219" w:lineRule="auto"/>
        <w:ind w:left="419"/>
        <w:rPr>
          <w:sz w:val="21"/>
          <w:szCs w:val="21"/>
        </w:rPr>
      </w:pPr>
      <w:r>
        <w:rPr>
          <w:rFonts w:ascii="Times New Roman" w:hAnsi="Times New Roman" w:eastAsia="Times New Roman" w:cs="Times New Roman"/>
          <w:b/>
          <w:bCs/>
          <w:spacing w:val="2"/>
          <w:sz w:val="21"/>
          <w:szCs w:val="21"/>
        </w:rPr>
        <w:t xml:space="preserve">15.2.3  </w:t>
      </w:r>
      <w:r>
        <w:rPr>
          <w:spacing w:val="2"/>
          <w:sz w:val="21"/>
          <w:szCs w:val="21"/>
        </w:rPr>
        <w:t>任何一项缺陷或损坏修复后，经检查证明其影响了工程或</w:t>
      </w:r>
      <w:r>
        <w:rPr>
          <w:spacing w:val="1"/>
          <w:sz w:val="21"/>
          <w:szCs w:val="21"/>
        </w:rPr>
        <w:t>工程设备的使用性能，承包</w:t>
      </w:r>
    </w:p>
    <w:p w14:paraId="38AA25A4">
      <w:pPr>
        <w:spacing w:line="219" w:lineRule="auto"/>
        <w:rPr>
          <w:sz w:val="21"/>
          <w:szCs w:val="21"/>
        </w:rPr>
        <w:sectPr>
          <w:footerReference r:id="rId231" w:type="default"/>
          <w:pgSz w:w="11910" w:h="16840"/>
          <w:pgMar w:top="400" w:right="1414" w:bottom="1024" w:left="1460" w:header="0" w:footer="889" w:gutter="0"/>
          <w:cols w:space="720" w:num="1"/>
        </w:sectPr>
      </w:pPr>
    </w:p>
    <w:p w14:paraId="3645618A">
      <w:pPr>
        <w:spacing w:line="268" w:lineRule="auto"/>
        <w:rPr>
          <w:rFonts w:ascii="Arial"/>
          <w:sz w:val="21"/>
        </w:rPr>
      </w:pPr>
    </w:p>
    <w:p w14:paraId="53220744">
      <w:pPr>
        <w:spacing w:line="268" w:lineRule="auto"/>
        <w:rPr>
          <w:rFonts w:ascii="Arial"/>
          <w:sz w:val="21"/>
        </w:rPr>
      </w:pPr>
    </w:p>
    <w:p w14:paraId="386BCA17">
      <w:pPr>
        <w:spacing w:line="268" w:lineRule="auto"/>
        <w:rPr>
          <w:rFonts w:ascii="Arial"/>
          <w:sz w:val="21"/>
        </w:rPr>
      </w:pPr>
    </w:p>
    <w:p w14:paraId="1789817A">
      <w:pPr>
        <w:spacing w:line="269" w:lineRule="auto"/>
        <w:rPr>
          <w:rFonts w:ascii="Arial"/>
          <w:sz w:val="21"/>
        </w:rPr>
      </w:pPr>
    </w:p>
    <w:p w14:paraId="3FB6A7BF">
      <w:pPr>
        <w:spacing w:line="269" w:lineRule="auto"/>
        <w:rPr>
          <w:rFonts w:ascii="Arial"/>
          <w:sz w:val="21"/>
        </w:rPr>
      </w:pPr>
    </w:p>
    <w:p w14:paraId="1126B6F5">
      <w:pPr>
        <w:pStyle w:val="2"/>
        <w:spacing w:before="68" w:line="219" w:lineRule="auto"/>
        <w:rPr>
          <w:sz w:val="21"/>
          <w:szCs w:val="21"/>
        </w:rPr>
      </w:pPr>
      <w:r>
        <w:rPr>
          <w:sz w:val="21"/>
          <w:szCs w:val="21"/>
        </w:rPr>
        <w:t>人应重新进行合同约定的试验和试运行，试验和</w:t>
      </w:r>
      <w:r>
        <w:rPr>
          <w:spacing w:val="-1"/>
          <w:sz w:val="21"/>
          <w:szCs w:val="21"/>
        </w:rPr>
        <w:t>试运行的全部费用应由责任方承担。</w:t>
      </w:r>
    </w:p>
    <w:p w14:paraId="57729914">
      <w:pPr>
        <w:pStyle w:val="2"/>
        <w:spacing w:before="171" w:line="340" w:lineRule="auto"/>
        <w:ind w:right="2" w:firstLine="419"/>
        <w:jc w:val="both"/>
        <w:rPr>
          <w:sz w:val="21"/>
          <w:szCs w:val="21"/>
        </w:rPr>
      </w:pPr>
      <w:r>
        <w:rPr>
          <w:spacing w:val="2"/>
          <w:sz w:val="21"/>
          <w:szCs w:val="21"/>
        </w:rPr>
        <w:t>15.2.4 除专用合同条款另有约定外，承包人应于缺陷责任期届满后7天内向发包人发出缺陷</w:t>
      </w:r>
      <w:r>
        <w:rPr>
          <w:spacing w:val="17"/>
          <w:sz w:val="21"/>
          <w:szCs w:val="21"/>
        </w:rPr>
        <w:t xml:space="preserve"> </w:t>
      </w:r>
      <w:r>
        <w:rPr>
          <w:spacing w:val="-1"/>
          <w:sz w:val="21"/>
          <w:szCs w:val="21"/>
        </w:rPr>
        <w:t>责任期届满通知，发包人应在收到缺陷责任期满通知后</w:t>
      </w:r>
      <w:r>
        <w:rPr>
          <w:spacing w:val="-2"/>
          <w:sz w:val="21"/>
          <w:szCs w:val="21"/>
        </w:rPr>
        <w:t>14天内核实承包人是否履行缺陷修复义务，</w:t>
      </w:r>
      <w:r>
        <w:rPr>
          <w:sz w:val="21"/>
          <w:szCs w:val="21"/>
        </w:rPr>
        <w:t xml:space="preserve"> </w:t>
      </w:r>
      <w:r>
        <w:rPr>
          <w:spacing w:val="3"/>
          <w:sz w:val="21"/>
          <w:szCs w:val="21"/>
        </w:rPr>
        <w:t>承包人未能履行缺陷修复义务的，发包人有</w:t>
      </w:r>
      <w:r>
        <w:rPr>
          <w:spacing w:val="2"/>
          <w:sz w:val="21"/>
          <w:szCs w:val="21"/>
        </w:rPr>
        <w:t>权扣除相应金额的维修费用。发包人应在收到缺陷责</w:t>
      </w:r>
      <w:r>
        <w:rPr>
          <w:sz w:val="21"/>
          <w:szCs w:val="21"/>
        </w:rPr>
        <w:t xml:space="preserve"> </w:t>
      </w:r>
      <w:r>
        <w:rPr>
          <w:spacing w:val="3"/>
          <w:sz w:val="21"/>
          <w:szCs w:val="21"/>
        </w:rPr>
        <w:t>任期届满通知后14天内，向承包人颁发缺陷责任期终止证书。</w:t>
      </w:r>
    </w:p>
    <w:p w14:paraId="3D956BDF">
      <w:pPr>
        <w:pStyle w:val="2"/>
        <w:spacing w:line="222" w:lineRule="auto"/>
        <w:ind w:left="3"/>
        <w:rPr>
          <w:rFonts w:ascii="黑体" w:hAnsi="黑体" w:eastAsia="黑体" w:cs="黑体"/>
          <w:sz w:val="26"/>
          <w:szCs w:val="26"/>
        </w:rPr>
      </w:pPr>
      <w:r>
        <w:rPr>
          <w:b/>
          <w:bCs/>
          <w:spacing w:val="-17"/>
          <w:sz w:val="26"/>
          <w:szCs w:val="26"/>
        </w:rPr>
        <w:t>15.3</w:t>
      </w:r>
      <w:r>
        <w:rPr>
          <w:spacing w:val="-17"/>
          <w:sz w:val="26"/>
          <w:szCs w:val="26"/>
        </w:rPr>
        <w:t xml:space="preserve"> </w:t>
      </w:r>
      <w:r>
        <w:rPr>
          <w:rFonts w:ascii="黑体" w:hAnsi="黑体" w:eastAsia="黑体" w:cs="黑体"/>
          <w:b/>
          <w:bCs/>
          <w:spacing w:val="-17"/>
          <w:sz w:val="26"/>
          <w:szCs w:val="26"/>
        </w:rPr>
        <w:t>质量保证金</w:t>
      </w:r>
    </w:p>
    <w:p w14:paraId="63493CD2">
      <w:pPr>
        <w:pStyle w:val="2"/>
        <w:spacing w:before="119" w:line="219" w:lineRule="auto"/>
        <w:ind w:left="419"/>
        <w:rPr>
          <w:sz w:val="21"/>
          <w:szCs w:val="21"/>
        </w:rPr>
      </w:pPr>
      <w:r>
        <w:rPr>
          <w:sz w:val="21"/>
          <w:szCs w:val="21"/>
        </w:rPr>
        <w:t>经合同当事人协商一致扣留质量保证金的，应在专用合同条款</w:t>
      </w:r>
      <w:r>
        <w:rPr>
          <w:spacing w:val="-1"/>
          <w:sz w:val="21"/>
          <w:szCs w:val="21"/>
        </w:rPr>
        <w:t>中予以明确。</w:t>
      </w:r>
    </w:p>
    <w:p w14:paraId="1ECD25FC">
      <w:pPr>
        <w:pStyle w:val="2"/>
        <w:spacing w:before="169" w:line="219" w:lineRule="auto"/>
        <w:ind w:left="419"/>
        <w:rPr>
          <w:sz w:val="21"/>
          <w:szCs w:val="21"/>
        </w:rPr>
      </w:pPr>
      <w:r>
        <w:rPr>
          <w:sz w:val="21"/>
          <w:szCs w:val="21"/>
        </w:rPr>
        <w:t>在工程项目竣工前，承包人已经提供履约担保的，发包人不得同时预留工程质量保证金。</w:t>
      </w:r>
    </w:p>
    <w:p w14:paraId="2756D659">
      <w:pPr>
        <w:pStyle w:val="2"/>
        <w:spacing w:before="131" w:line="219" w:lineRule="auto"/>
        <w:ind w:left="419"/>
        <w:rPr>
          <w:sz w:val="21"/>
          <w:szCs w:val="21"/>
        </w:rPr>
      </w:pPr>
      <w:r>
        <w:rPr>
          <w:rFonts w:ascii="Times New Roman" w:hAnsi="Times New Roman" w:eastAsia="Times New Roman" w:cs="Times New Roman"/>
          <w:sz w:val="21"/>
          <w:szCs w:val="21"/>
        </w:rPr>
        <w:t xml:space="preserve">15.3.1  </w:t>
      </w:r>
      <w:r>
        <w:rPr>
          <w:sz w:val="21"/>
          <w:szCs w:val="21"/>
        </w:rPr>
        <w:t>承包人提供质量保证金的方式</w:t>
      </w:r>
    </w:p>
    <w:p w14:paraId="48CCB473">
      <w:pPr>
        <w:pStyle w:val="2"/>
        <w:spacing w:before="160" w:line="219" w:lineRule="auto"/>
        <w:ind w:left="419"/>
        <w:rPr>
          <w:sz w:val="21"/>
          <w:szCs w:val="21"/>
        </w:rPr>
      </w:pPr>
      <w:r>
        <w:rPr>
          <w:spacing w:val="-2"/>
          <w:sz w:val="21"/>
          <w:szCs w:val="21"/>
        </w:rPr>
        <w:t>承包人提供质量保证金有以下三种方式：</w:t>
      </w:r>
    </w:p>
    <w:p w14:paraId="1F283410">
      <w:pPr>
        <w:pStyle w:val="2"/>
        <w:spacing w:before="163" w:line="220" w:lineRule="auto"/>
        <w:ind w:left="519"/>
        <w:rPr>
          <w:sz w:val="21"/>
          <w:szCs w:val="21"/>
        </w:rPr>
      </w:pPr>
      <w:r>
        <w:rPr>
          <w:spacing w:val="6"/>
          <w:sz w:val="21"/>
          <w:szCs w:val="21"/>
        </w:rPr>
        <w:t>(1)质量保证金保函；</w:t>
      </w:r>
    </w:p>
    <w:p w14:paraId="353FB21A">
      <w:pPr>
        <w:pStyle w:val="2"/>
        <w:spacing w:before="150" w:line="220" w:lineRule="auto"/>
        <w:ind w:left="519"/>
        <w:rPr>
          <w:sz w:val="21"/>
          <w:szCs w:val="21"/>
        </w:rPr>
      </w:pPr>
      <w:r>
        <w:rPr>
          <w:spacing w:val="5"/>
          <w:sz w:val="21"/>
          <w:szCs w:val="21"/>
        </w:rPr>
        <w:t>(2)相应比例的工程款；</w:t>
      </w:r>
    </w:p>
    <w:p w14:paraId="5402FD7D">
      <w:pPr>
        <w:pStyle w:val="2"/>
        <w:spacing w:before="130" w:line="220" w:lineRule="auto"/>
        <w:ind w:left="519"/>
        <w:rPr>
          <w:sz w:val="21"/>
          <w:szCs w:val="21"/>
        </w:rPr>
      </w:pPr>
      <w:r>
        <w:rPr>
          <w:spacing w:val="1"/>
          <w:sz w:val="21"/>
          <w:szCs w:val="21"/>
        </w:rPr>
        <w:t>(3</w:t>
      </w:r>
      <w:r>
        <w:rPr>
          <w:spacing w:val="-30"/>
          <w:sz w:val="21"/>
          <w:szCs w:val="21"/>
        </w:rPr>
        <w:t xml:space="preserve"> </w:t>
      </w:r>
      <w:r>
        <w:rPr>
          <w:spacing w:val="1"/>
          <w:sz w:val="21"/>
          <w:szCs w:val="21"/>
        </w:rPr>
        <w:t>)双方约定的其他方式。</w:t>
      </w:r>
    </w:p>
    <w:p w14:paraId="46FAAC7A">
      <w:pPr>
        <w:pStyle w:val="2"/>
        <w:spacing w:before="168" w:line="219" w:lineRule="auto"/>
        <w:ind w:left="419"/>
        <w:rPr>
          <w:sz w:val="21"/>
          <w:szCs w:val="21"/>
        </w:rPr>
      </w:pPr>
      <w:r>
        <w:rPr>
          <w:spacing w:val="6"/>
          <w:sz w:val="21"/>
          <w:szCs w:val="21"/>
        </w:rPr>
        <w:t>除专用合同条款另有约定外，质量保证金原则上采用上</w:t>
      </w:r>
      <w:r>
        <w:rPr>
          <w:spacing w:val="5"/>
          <w:sz w:val="21"/>
          <w:szCs w:val="21"/>
        </w:rPr>
        <w:t>述第(1)种方式。</w:t>
      </w:r>
    </w:p>
    <w:p w14:paraId="6649140D">
      <w:pPr>
        <w:pStyle w:val="2"/>
        <w:spacing w:before="152" w:line="220" w:lineRule="auto"/>
        <w:ind w:left="419"/>
        <w:rPr>
          <w:sz w:val="21"/>
          <w:szCs w:val="21"/>
        </w:rPr>
      </w:pPr>
      <w:r>
        <w:rPr>
          <w:sz w:val="21"/>
          <w:szCs w:val="21"/>
        </w:rPr>
        <w:t>15.3.2质量保证金的扣留</w:t>
      </w:r>
    </w:p>
    <w:p w14:paraId="22F9B4D7">
      <w:pPr>
        <w:pStyle w:val="2"/>
        <w:spacing w:before="130" w:line="220" w:lineRule="auto"/>
        <w:ind w:left="419"/>
        <w:rPr>
          <w:sz w:val="21"/>
          <w:szCs w:val="21"/>
        </w:rPr>
      </w:pPr>
      <w:r>
        <w:rPr>
          <w:spacing w:val="-3"/>
          <w:sz w:val="21"/>
          <w:szCs w:val="21"/>
        </w:rPr>
        <w:t>质量保证金的扣留有以下三种方式：</w:t>
      </w:r>
    </w:p>
    <w:p w14:paraId="0CAC1536">
      <w:pPr>
        <w:pStyle w:val="2"/>
        <w:spacing w:before="169" w:line="284" w:lineRule="auto"/>
        <w:ind w:right="78" w:firstLine="519"/>
        <w:rPr>
          <w:sz w:val="21"/>
          <w:szCs w:val="21"/>
        </w:rPr>
      </w:pPr>
      <w:r>
        <w:rPr>
          <w:spacing w:val="2"/>
          <w:sz w:val="21"/>
          <w:szCs w:val="21"/>
        </w:rPr>
        <w:t>(1)在支付工程进度款时逐次扣留，在此情形下，质量保证金的计算基数不</w:t>
      </w:r>
      <w:r>
        <w:rPr>
          <w:spacing w:val="1"/>
          <w:sz w:val="21"/>
          <w:szCs w:val="21"/>
        </w:rPr>
        <w:t>包括预付款的支</w:t>
      </w:r>
      <w:r>
        <w:rPr>
          <w:sz w:val="21"/>
          <w:szCs w:val="21"/>
        </w:rPr>
        <w:t xml:space="preserve"> </w:t>
      </w:r>
      <w:r>
        <w:rPr>
          <w:spacing w:val="-4"/>
          <w:sz w:val="21"/>
          <w:szCs w:val="21"/>
        </w:rPr>
        <w:t>付、扣回以及价格调整的金额；</w:t>
      </w:r>
    </w:p>
    <w:p w14:paraId="6DA4E5E3">
      <w:pPr>
        <w:pStyle w:val="2"/>
        <w:spacing w:before="134" w:line="219" w:lineRule="auto"/>
        <w:ind w:left="519"/>
        <w:rPr>
          <w:sz w:val="21"/>
          <w:szCs w:val="21"/>
        </w:rPr>
      </w:pPr>
      <w:r>
        <w:rPr>
          <w:spacing w:val="2"/>
          <w:sz w:val="21"/>
          <w:szCs w:val="21"/>
        </w:rPr>
        <w:t>(2)工程竣工结算时一次性扣留质量保证金；</w:t>
      </w:r>
    </w:p>
    <w:p w14:paraId="5C47D073">
      <w:pPr>
        <w:pStyle w:val="2"/>
        <w:spacing w:before="172" w:line="220" w:lineRule="auto"/>
        <w:ind w:left="519"/>
        <w:rPr>
          <w:sz w:val="21"/>
          <w:szCs w:val="21"/>
        </w:rPr>
      </w:pPr>
      <w:r>
        <w:rPr>
          <w:spacing w:val="4"/>
          <w:sz w:val="21"/>
          <w:szCs w:val="21"/>
        </w:rPr>
        <w:t>(3)双方约定的其他扣留方式。</w:t>
      </w:r>
    </w:p>
    <w:p w14:paraId="06F2C32E">
      <w:pPr>
        <w:pStyle w:val="2"/>
        <w:spacing w:before="157" w:line="219" w:lineRule="auto"/>
        <w:ind w:left="419"/>
        <w:rPr>
          <w:sz w:val="21"/>
          <w:szCs w:val="21"/>
        </w:rPr>
      </w:pPr>
      <w:r>
        <w:rPr>
          <w:spacing w:val="6"/>
          <w:sz w:val="21"/>
          <w:szCs w:val="21"/>
        </w:rPr>
        <w:t>除专用合同条款另有约定外，质量保证金的</w:t>
      </w:r>
      <w:r>
        <w:rPr>
          <w:spacing w:val="5"/>
          <w:sz w:val="21"/>
          <w:szCs w:val="21"/>
        </w:rPr>
        <w:t>扣留原则上采用上述第(1)种方式。</w:t>
      </w:r>
    </w:p>
    <w:p w14:paraId="2A1C80EB">
      <w:pPr>
        <w:pStyle w:val="2"/>
        <w:spacing w:before="141" w:line="352" w:lineRule="auto"/>
        <w:ind w:firstLine="419"/>
        <w:rPr>
          <w:sz w:val="21"/>
          <w:szCs w:val="21"/>
        </w:rPr>
      </w:pPr>
      <w:r>
        <w:rPr>
          <w:spacing w:val="2"/>
          <w:sz w:val="21"/>
          <w:szCs w:val="21"/>
        </w:rPr>
        <w:t>发包人累计扣留的质量保证金不得超过工程价款结算总额的1.5%。如承包人在发包人签发竣</w:t>
      </w:r>
      <w:r>
        <w:rPr>
          <w:spacing w:val="16"/>
          <w:sz w:val="21"/>
          <w:szCs w:val="21"/>
        </w:rPr>
        <w:t xml:space="preserve"> </w:t>
      </w:r>
      <w:r>
        <w:rPr>
          <w:spacing w:val="-1"/>
          <w:sz w:val="21"/>
          <w:szCs w:val="21"/>
        </w:rPr>
        <w:t>工付款证书后28天内提交质量保证金保函，发包人应同时退</w:t>
      </w:r>
      <w:r>
        <w:rPr>
          <w:spacing w:val="-2"/>
          <w:sz w:val="21"/>
          <w:szCs w:val="21"/>
        </w:rPr>
        <w:t>还扣留的作为质量保证金的工程价款；</w:t>
      </w:r>
      <w:r>
        <w:rPr>
          <w:sz w:val="21"/>
          <w:szCs w:val="21"/>
        </w:rPr>
        <w:t xml:space="preserve"> </w:t>
      </w:r>
      <w:r>
        <w:rPr>
          <w:spacing w:val="4"/>
          <w:sz w:val="21"/>
          <w:szCs w:val="21"/>
        </w:rPr>
        <w:t>保函金额不得超过工程价款结算总额的1.5%。</w:t>
      </w:r>
    </w:p>
    <w:p w14:paraId="187FD701">
      <w:pPr>
        <w:pStyle w:val="2"/>
        <w:spacing w:line="218" w:lineRule="auto"/>
        <w:ind w:left="419"/>
        <w:rPr>
          <w:sz w:val="21"/>
          <w:szCs w:val="21"/>
        </w:rPr>
      </w:pPr>
      <w:r>
        <w:rPr>
          <w:spacing w:val="-1"/>
          <w:sz w:val="21"/>
          <w:szCs w:val="21"/>
        </w:rPr>
        <w:t>发包人在退还质量保证金的同时按照中国人民银行发布的同期同类贷款基准利率支付利</w:t>
      </w:r>
      <w:r>
        <w:rPr>
          <w:spacing w:val="-2"/>
          <w:sz w:val="21"/>
          <w:szCs w:val="21"/>
        </w:rPr>
        <w:t>息。</w:t>
      </w:r>
    </w:p>
    <w:p w14:paraId="16509589">
      <w:pPr>
        <w:pStyle w:val="2"/>
        <w:spacing w:before="143" w:line="220" w:lineRule="auto"/>
        <w:ind w:left="419"/>
        <w:rPr>
          <w:sz w:val="21"/>
          <w:szCs w:val="21"/>
        </w:rPr>
      </w:pPr>
      <w:r>
        <w:rPr>
          <w:spacing w:val="-1"/>
          <w:sz w:val="21"/>
          <w:szCs w:val="21"/>
        </w:rPr>
        <w:t>15.3.3质量保证金的退还</w:t>
      </w:r>
    </w:p>
    <w:p w14:paraId="3EE0053C">
      <w:pPr>
        <w:pStyle w:val="2"/>
        <w:spacing w:before="169" w:line="346" w:lineRule="auto"/>
        <w:ind w:right="50" w:firstLine="419"/>
        <w:rPr>
          <w:sz w:val="21"/>
          <w:szCs w:val="21"/>
        </w:rPr>
      </w:pPr>
      <w:r>
        <w:rPr>
          <w:spacing w:val="2"/>
          <w:sz w:val="21"/>
          <w:szCs w:val="21"/>
        </w:rPr>
        <w:t>缺陷责任期内，承包人认真履行合同约定的责任，到期后，承包人可向发包人申请返还保证</w:t>
      </w:r>
      <w:r>
        <w:rPr>
          <w:spacing w:val="18"/>
          <w:sz w:val="21"/>
          <w:szCs w:val="21"/>
        </w:rPr>
        <w:t xml:space="preserve"> </w:t>
      </w:r>
      <w:r>
        <w:rPr>
          <w:spacing w:val="-11"/>
          <w:sz w:val="21"/>
          <w:szCs w:val="21"/>
        </w:rPr>
        <w:t>金。</w:t>
      </w:r>
    </w:p>
    <w:p w14:paraId="5C243351">
      <w:pPr>
        <w:pStyle w:val="2"/>
        <w:spacing w:before="6" w:line="352" w:lineRule="auto"/>
        <w:ind w:right="48" w:firstLine="419"/>
        <w:jc w:val="both"/>
        <w:rPr>
          <w:sz w:val="21"/>
          <w:szCs w:val="21"/>
        </w:rPr>
      </w:pPr>
      <w:r>
        <w:rPr>
          <w:spacing w:val="3"/>
          <w:sz w:val="21"/>
          <w:szCs w:val="21"/>
        </w:rPr>
        <w:t>发包人在接到承包人返还保证金申请后，应</w:t>
      </w:r>
      <w:r>
        <w:rPr>
          <w:spacing w:val="2"/>
          <w:sz w:val="21"/>
          <w:szCs w:val="21"/>
        </w:rPr>
        <w:t>于14天内会同承包人按照合同约定的内容进行核</w:t>
      </w:r>
      <w:r>
        <w:rPr>
          <w:sz w:val="21"/>
          <w:szCs w:val="21"/>
        </w:rPr>
        <w:t xml:space="preserve"> </w:t>
      </w:r>
      <w:r>
        <w:rPr>
          <w:spacing w:val="2"/>
          <w:sz w:val="21"/>
          <w:szCs w:val="21"/>
        </w:rPr>
        <w:t>实。如无异议，发包人应当按照约定将保证金返还给承包人。对返还期限没有约定或者约</w:t>
      </w:r>
      <w:r>
        <w:rPr>
          <w:spacing w:val="1"/>
          <w:sz w:val="21"/>
          <w:szCs w:val="21"/>
        </w:rPr>
        <w:t>定不明</w:t>
      </w:r>
      <w:r>
        <w:rPr>
          <w:sz w:val="21"/>
          <w:szCs w:val="21"/>
        </w:rPr>
        <w:t xml:space="preserve"> </w:t>
      </w:r>
      <w:r>
        <w:rPr>
          <w:spacing w:val="2"/>
          <w:sz w:val="21"/>
          <w:szCs w:val="21"/>
        </w:rPr>
        <w:t>确的，发包人应当在核实后14天内将保证金返还承包人，逾期未返还的，依法承担违约责任。发</w:t>
      </w:r>
      <w:r>
        <w:rPr>
          <w:spacing w:val="12"/>
          <w:sz w:val="21"/>
          <w:szCs w:val="21"/>
        </w:rPr>
        <w:t xml:space="preserve"> </w:t>
      </w:r>
      <w:r>
        <w:rPr>
          <w:spacing w:val="7"/>
          <w:sz w:val="21"/>
          <w:szCs w:val="21"/>
        </w:rPr>
        <w:t xml:space="preserve">包人在接到承包人返还保证金申请后14天内不予答复，经催告后14天内仍不予答复，视同认可 </w:t>
      </w:r>
      <w:r>
        <w:rPr>
          <w:spacing w:val="-3"/>
          <w:sz w:val="21"/>
          <w:szCs w:val="21"/>
        </w:rPr>
        <w:t>承包人的返还保证金申请。</w:t>
      </w:r>
    </w:p>
    <w:p w14:paraId="181D82FA">
      <w:pPr>
        <w:spacing w:line="352" w:lineRule="auto"/>
        <w:rPr>
          <w:sz w:val="21"/>
          <w:szCs w:val="21"/>
        </w:rPr>
        <w:sectPr>
          <w:footerReference r:id="rId232" w:type="default"/>
          <w:pgSz w:w="11910" w:h="16840"/>
          <w:pgMar w:top="400" w:right="1479" w:bottom="1024" w:left="1460" w:header="0" w:footer="889" w:gutter="0"/>
          <w:cols w:space="720" w:num="1"/>
        </w:sectPr>
      </w:pPr>
    </w:p>
    <w:p w14:paraId="2DBE33F8">
      <w:pPr>
        <w:spacing w:line="270" w:lineRule="auto"/>
        <w:rPr>
          <w:rFonts w:ascii="Arial"/>
          <w:sz w:val="21"/>
        </w:rPr>
      </w:pPr>
    </w:p>
    <w:p w14:paraId="29F97990">
      <w:pPr>
        <w:spacing w:line="270" w:lineRule="auto"/>
        <w:rPr>
          <w:rFonts w:ascii="Arial"/>
          <w:sz w:val="21"/>
        </w:rPr>
      </w:pPr>
    </w:p>
    <w:p w14:paraId="7094B1E9">
      <w:pPr>
        <w:spacing w:line="270" w:lineRule="auto"/>
        <w:rPr>
          <w:rFonts w:ascii="Arial"/>
          <w:sz w:val="21"/>
        </w:rPr>
      </w:pPr>
    </w:p>
    <w:p w14:paraId="69394257">
      <w:pPr>
        <w:spacing w:line="270" w:lineRule="auto"/>
        <w:rPr>
          <w:rFonts w:ascii="Arial"/>
          <w:sz w:val="21"/>
        </w:rPr>
      </w:pPr>
    </w:p>
    <w:p w14:paraId="651CF517">
      <w:pPr>
        <w:spacing w:line="271" w:lineRule="auto"/>
        <w:rPr>
          <w:rFonts w:ascii="Arial"/>
          <w:sz w:val="21"/>
        </w:rPr>
      </w:pPr>
    </w:p>
    <w:p w14:paraId="1E005430">
      <w:pPr>
        <w:pStyle w:val="2"/>
        <w:spacing w:before="69" w:line="333" w:lineRule="auto"/>
        <w:ind w:right="86" w:firstLine="419"/>
        <w:rPr>
          <w:sz w:val="21"/>
          <w:szCs w:val="21"/>
        </w:rPr>
      </w:pPr>
      <w:r>
        <w:rPr>
          <w:spacing w:val="2"/>
          <w:sz w:val="21"/>
          <w:szCs w:val="21"/>
        </w:rPr>
        <w:t>发包人和承包人对保证金预留、返还以及工程维修质量、费用有争议的，按本合同第20条约</w:t>
      </w:r>
      <w:r>
        <w:rPr>
          <w:spacing w:val="6"/>
          <w:sz w:val="21"/>
          <w:szCs w:val="21"/>
        </w:rPr>
        <w:t xml:space="preserve"> </w:t>
      </w:r>
      <w:r>
        <w:rPr>
          <w:spacing w:val="-3"/>
          <w:sz w:val="21"/>
          <w:szCs w:val="21"/>
        </w:rPr>
        <w:t>定的争议和纠纷解决程序处理。</w:t>
      </w:r>
    </w:p>
    <w:p w14:paraId="4F640F5F">
      <w:pPr>
        <w:pStyle w:val="2"/>
        <w:spacing w:line="221" w:lineRule="auto"/>
        <w:ind w:left="3"/>
        <w:rPr>
          <w:rFonts w:ascii="黑体" w:hAnsi="黑体" w:eastAsia="黑体" w:cs="黑体"/>
          <w:sz w:val="26"/>
          <w:szCs w:val="26"/>
        </w:rPr>
      </w:pPr>
      <w:r>
        <w:rPr>
          <w:b/>
          <w:bCs/>
          <w:spacing w:val="-22"/>
          <w:sz w:val="26"/>
          <w:szCs w:val="26"/>
        </w:rPr>
        <w:t>15.4</w:t>
      </w:r>
      <w:r>
        <w:rPr>
          <w:spacing w:val="1"/>
          <w:sz w:val="26"/>
          <w:szCs w:val="26"/>
        </w:rPr>
        <w:t xml:space="preserve"> </w:t>
      </w:r>
      <w:r>
        <w:rPr>
          <w:rFonts w:ascii="黑体" w:hAnsi="黑体" w:eastAsia="黑体" w:cs="黑体"/>
          <w:b/>
          <w:bCs/>
          <w:spacing w:val="-22"/>
          <w:sz w:val="26"/>
          <w:szCs w:val="26"/>
        </w:rPr>
        <w:t>保修</w:t>
      </w:r>
    </w:p>
    <w:p w14:paraId="60415B75">
      <w:pPr>
        <w:pStyle w:val="2"/>
        <w:spacing w:before="130" w:line="219" w:lineRule="auto"/>
        <w:ind w:left="419"/>
        <w:rPr>
          <w:sz w:val="21"/>
          <w:szCs w:val="21"/>
        </w:rPr>
      </w:pPr>
      <w:r>
        <w:rPr>
          <w:spacing w:val="-2"/>
          <w:sz w:val="21"/>
          <w:szCs w:val="21"/>
        </w:rPr>
        <w:t>15.4.1保修责任</w:t>
      </w:r>
    </w:p>
    <w:p w14:paraId="133C0775">
      <w:pPr>
        <w:pStyle w:val="2"/>
        <w:spacing w:before="140" w:line="353" w:lineRule="auto"/>
        <w:ind w:right="80" w:firstLine="419"/>
        <w:rPr>
          <w:sz w:val="21"/>
          <w:szCs w:val="21"/>
        </w:rPr>
      </w:pPr>
      <w:r>
        <w:rPr>
          <w:spacing w:val="2"/>
          <w:sz w:val="21"/>
          <w:szCs w:val="21"/>
        </w:rPr>
        <w:t>工程保修期从工程竣工验收合格之日起算，具体分部分项工程的保修期由合同当事人在专用</w:t>
      </w:r>
      <w:r>
        <w:rPr>
          <w:spacing w:val="14"/>
          <w:sz w:val="21"/>
          <w:szCs w:val="21"/>
        </w:rPr>
        <w:t xml:space="preserve"> </w:t>
      </w:r>
      <w:r>
        <w:rPr>
          <w:spacing w:val="2"/>
          <w:sz w:val="21"/>
          <w:szCs w:val="21"/>
        </w:rPr>
        <w:t>合同条款中约定，但不得低于法定最低保修年限。在工程保修期内，承包人应当</w:t>
      </w:r>
      <w:r>
        <w:rPr>
          <w:spacing w:val="1"/>
          <w:sz w:val="21"/>
          <w:szCs w:val="21"/>
        </w:rPr>
        <w:t>根据有关法律规</w:t>
      </w:r>
      <w:r>
        <w:rPr>
          <w:sz w:val="21"/>
          <w:szCs w:val="21"/>
        </w:rPr>
        <w:t xml:space="preserve"> </w:t>
      </w:r>
      <w:r>
        <w:rPr>
          <w:spacing w:val="-3"/>
          <w:sz w:val="21"/>
          <w:szCs w:val="21"/>
        </w:rPr>
        <w:t>定以及合同约定承担保修责任。</w:t>
      </w:r>
    </w:p>
    <w:p w14:paraId="1FD238BF">
      <w:pPr>
        <w:pStyle w:val="2"/>
        <w:spacing w:before="15" w:line="219" w:lineRule="auto"/>
        <w:ind w:left="419"/>
        <w:rPr>
          <w:sz w:val="21"/>
          <w:szCs w:val="21"/>
        </w:rPr>
      </w:pPr>
      <w:r>
        <w:rPr>
          <w:spacing w:val="-1"/>
          <w:sz w:val="21"/>
          <w:szCs w:val="21"/>
        </w:rPr>
        <w:t>发包人未经竣工验收擅自使用工程的，保修期自转移占有之日起算。</w:t>
      </w:r>
    </w:p>
    <w:p w14:paraId="41880261">
      <w:pPr>
        <w:pStyle w:val="2"/>
        <w:spacing w:before="151" w:line="219" w:lineRule="auto"/>
        <w:ind w:left="419"/>
        <w:rPr>
          <w:sz w:val="21"/>
          <w:szCs w:val="21"/>
        </w:rPr>
      </w:pPr>
      <w:r>
        <w:rPr>
          <w:spacing w:val="-8"/>
          <w:sz w:val="21"/>
          <w:szCs w:val="21"/>
        </w:rPr>
        <w:t>15.4.2</w:t>
      </w:r>
      <w:r>
        <w:rPr>
          <w:spacing w:val="-11"/>
          <w:sz w:val="21"/>
          <w:szCs w:val="21"/>
        </w:rPr>
        <w:t xml:space="preserve"> </w:t>
      </w:r>
      <w:r>
        <w:rPr>
          <w:spacing w:val="-8"/>
          <w:sz w:val="21"/>
          <w:szCs w:val="21"/>
        </w:rPr>
        <w:t>修复费用</w:t>
      </w:r>
    </w:p>
    <w:p w14:paraId="5AB8645A">
      <w:pPr>
        <w:pStyle w:val="2"/>
        <w:spacing w:before="141" w:line="219" w:lineRule="auto"/>
        <w:ind w:left="419"/>
        <w:rPr>
          <w:sz w:val="21"/>
          <w:szCs w:val="21"/>
        </w:rPr>
      </w:pPr>
      <w:r>
        <w:rPr>
          <w:spacing w:val="-2"/>
          <w:sz w:val="21"/>
          <w:szCs w:val="21"/>
        </w:rPr>
        <w:t>保修期内，修复的费用按照以下约定处理：</w:t>
      </w:r>
    </w:p>
    <w:p w14:paraId="7F8BCBD7">
      <w:pPr>
        <w:pStyle w:val="2"/>
        <w:spacing w:before="162" w:line="285" w:lineRule="auto"/>
        <w:ind w:right="52" w:firstLine="539"/>
        <w:rPr>
          <w:sz w:val="21"/>
          <w:szCs w:val="21"/>
        </w:rPr>
      </w:pPr>
      <w:r>
        <w:rPr>
          <w:spacing w:val="3"/>
          <w:sz w:val="21"/>
          <w:szCs w:val="21"/>
        </w:rPr>
        <w:t>(1)保修期内，因承包人原因造成工程的缺陷、损坏</w:t>
      </w:r>
      <w:r>
        <w:rPr>
          <w:spacing w:val="2"/>
          <w:sz w:val="21"/>
          <w:szCs w:val="21"/>
        </w:rPr>
        <w:t>，承包人应负责修复，并承担修复的费</w:t>
      </w:r>
      <w:r>
        <w:rPr>
          <w:sz w:val="21"/>
          <w:szCs w:val="21"/>
        </w:rPr>
        <w:t xml:space="preserve"> </w:t>
      </w:r>
      <w:r>
        <w:rPr>
          <w:spacing w:val="-3"/>
          <w:sz w:val="21"/>
          <w:szCs w:val="21"/>
        </w:rPr>
        <w:t>用以及因工程的缺陷、损坏造成的人身伤害和财产损失；</w:t>
      </w:r>
    </w:p>
    <w:p w14:paraId="393109E8">
      <w:pPr>
        <w:pStyle w:val="2"/>
        <w:spacing w:before="120" w:line="299" w:lineRule="auto"/>
        <w:ind w:right="56" w:firstLine="539"/>
        <w:rPr>
          <w:sz w:val="21"/>
          <w:szCs w:val="21"/>
        </w:rPr>
      </w:pPr>
      <w:r>
        <w:rPr>
          <w:spacing w:val="3"/>
          <w:sz w:val="21"/>
          <w:szCs w:val="21"/>
        </w:rPr>
        <w:t>(2)保修期内，因发包人使用不当造成工程</w:t>
      </w:r>
      <w:r>
        <w:rPr>
          <w:spacing w:val="2"/>
          <w:sz w:val="21"/>
          <w:szCs w:val="21"/>
        </w:rPr>
        <w:t>的缺陷、损坏，可以委托承包人修复，但发包人</w:t>
      </w:r>
      <w:r>
        <w:rPr>
          <w:sz w:val="21"/>
          <w:szCs w:val="21"/>
        </w:rPr>
        <w:t xml:space="preserve"> </w:t>
      </w:r>
      <w:r>
        <w:rPr>
          <w:spacing w:val="-2"/>
          <w:sz w:val="21"/>
          <w:szCs w:val="21"/>
        </w:rPr>
        <w:t>应承担修复的费用，并支付承包人合理利润；</w:t>
      </w:r>
    </w:p>
    <w:p w14:paraId="7AC05B02">
      <w:pPr>
        <w:pStyle w:val="2"/>
        <w:spacing w:before="140" w:line="281" w:lineRule="auto"/>
        <w:ind w:right="90" w:firstLine="539"/>
        <w:rPr>
          <w:sz w:val="21"/>
          <w:szCs w:val="21"/>
        </w:rPr>
      </w:pPr>
      <w:r>
        <w:rPr>
          <w:spacing w:val="2"/>
          <w:sz w:val="21"/>
          <w:szCs w:val="21"/>
        </w:rPr>
        <w:t>(3)因其他原因造成工程的缺陷、损坏，可以委托承包人修</w:t>
      </w:r>
      <w:r>
        <w:rPr>
          <w:spacing w:val="1"/>
          <w:sz w:val="21"/>
          <w:szCs w:val="21"/>
        </w:rPr>
        <w:t>复，发包人应承担修复的费用，</w:t>
      </w:r>
      <w:r>
        <w:rPr>
          <w:sz w:val="21"/>
          <w:szCs w:val="21"/>
        </w:rPr>
        <w:t xml:space="preserve"> 并支付承包人合理的利润，因工程的缺陷、损坏造成的人身伤害和财产损失由责任方承担。</w:t>
      </w:r>
    </w:p>
    <w:p w14:paraId="7783C363">
      <w:pPr>
        <w:pStyle w:val="2"/>
        <w:spacing w:before="171" w:line="219" w:lineRule="auto"/>
        <w:ind w:left="419"/>
        <w:rPr>
          <w:sz w:val="21"/>
          <w:szCs w:val="21"/>
        </w:rPr>
      </w:pPr>
      <w:r>
        <w:rPr>
          <w:spacing w:val="-10"/>
          <w:sz w:val="21"/>
          <w:szCs w:val="21"/>
        </w:rPr>
        <w:t>15.4.3</w:t>
      </w:r>
      <w:r>
        <w:rPr>
          <w:spacing w:val="-13"/>
          <w:sz w:val="21"/>
          <w:szCs w:val="21"/>
        </w:rPr>
        <w:t xml:space="preserve"> </w:t>
      </w:r>
      <w:r>
        <w:rPr>
          <w:spacing w:val="-10"/>
          <w:sz w:val="21"/>
          <w:szCs w:val="21"/>
        </w:rPr>
        <w:t>修复通知</w:t>
      </w:r>
    </w:p>
    <w:p w14:paraId="42ECD21D">
      <w:pPr>
        <w:pStyle w:val="2"/>
        <w:spacing w:before="139" w:line="352" w:lineRule="auto"/>
        <w:ind w:right="68" w:firstLine="419"/>
        <w:rPr>
          <w:sz w:val="21"/>
          <w:szCs w:val="21"/>
        </w:rPr>
      </w:pPr>
      <w:r>
        <w:rPr>
          <w:spacing w:val="2"/>
          <w:sz w:val="21"/>
          <w:szCs w:val="21"/>
        </w:rPr>
        <w:t>在保修期内，发包人在使用过程中，发现已接收的工程存在缺陷或损坏的，应书面通知承包</w:t>
      </w:r>
      <w:r>
        <w:rPr>
          <w:sz w:val="21"/>
          <w:szCs w:val="21"/>
        </w:rPr>
        <w:t xml:space="preserve"> </w:t>
      </w:r>
      <w:r>
        <w:rPr>
          <w:spacing w:val="2"/>
          <w:sz w:val="21"/>
          <w:szCs w:val="21"/>
        </w:rPr>
        <w:t>人予以修复，但情况紧急必须立即修复缺陷或损坏的，发包人可以口头通知承包人并在口头通知</w:t>
      </w:r>
      <w:r>
        <w:rPr>
          <w:spacing w:val="1"/>
          <w:sz w:val="21"/>
          <w:szCs w:val="21"/>
        </w:rPr>
        <w:t xml:space="preserve"> </w:t>
      </w:r>
      <w:r>
        <w:rPr>
          <w:spacing w:val="3"/>
          <w:sz w:val="21"/>
          <w:szCs w:val="21"/>
        </w:rPr>
        <w:t>后48小时内书面确认，承包人应在专用合</w:t>
      </w:r>
      <w:r>
        <w:rPr>
          <w:spacing w:val="2"/>
          <w:sz w:val="21"/>
          <w:szCs w:val="21"/>
        </w:rPr>
        <w:t>同条款约定的合理期限内到达工程现场并修复缺陷或损</w:t>
      </w:r>
      <w:r>
        <w:rPr>
          <w:sz w:val="21"/>
          <w:szCs w:val="21"/>
        </w:rPr>
        <w:t xml:space="preserve"> </w:t>
      </w:r>
      <w:r>
        <w:rPr>
          <w:spacing w:val="-4"/>
          <w:sz w:val="21"/>
          <w:szCs w:val="21"/>
        </w:rPr>
        <w:t>坏。</w:t>
      </w:r>
    </w:p>
    <w:p w14:paraId="5243B896">
      <w:pPr>
        <w:pStyle w:val="2"/>
        <w:spacing w:before="1" w:line="219" w:lineRule="auto"/>
        <w:ind w:left="419"/>
        <w:rPr>
          <w:sz w:val="21"/>
          <w:szCs w:val="21"/>
        </w:rPr>
      </w:pPr>
      <w:r>
        <w:rPr>
          <w:spacing w:val="-1"/>
          <w:sz w:val="21"/>
          <w:szCs w:val="21"/>
        </w:rPr>
        <w:t>15.4.4未能修复</w:t>
      </w:r>
    </w:p>
    <w:p w14:paraId="52238B44">
      <w:pPr>
        <w:pStyle w:val="2"/>
        <w:spacing w:before="159" w:line="349" w:lineRule="auto"/>
        <w:ind w:firstLine="419"/>
        <w:rPr>
          <w:sz w:val="21"/>
          <w:szCs w:val="21"/>
        </w:rPr>
      </w:pPr>
      <w:r>
        <w:rPr>
          <w:spacing w:val="-1"/>
          <w:sz w:val="21"/>
          <w:szCs w:val="21"/>
        </w:rPr>
        <w:t>因承包人原因造成工程的缺陷或损坏，承包人拒绝维修或未能在合理期限内修复缺陷或损坏，</w:t>
      </w:r>
      <w:r>
        <w:rPr>
          <w:spacing w:val="5"/>
          <w:sz w:val="21"/>
          <w:szCs w:val="21"/>
        </w:rPr>
        <w:t xml:space="preserve"> </w:t>
      </w:r>
      <w:r>
        <w:rPr>
          <w:spacing w:val="2"/>
          <w:sz w:val="21"/>
          <w:szCs w:val="21"/>
        </w:rPr>
        <w:t>且经发包人书面催告后仍未修复的，发包人有权自行修复或委托第三方修复，所</w:t>
      </w:r>
      <w:r>
        <w:rPr>
          <w:spacing w:val="1"/>
          <w:sz w:val="21"/>
          <w:szCs w:val="21"/>
        </w:rPr>
        <w:t>需费用由承包人</w:t>
      </w:r>
      <w:r>
        <w:rPr>
          <w:sz w:val="21"/>
          <w:szCs w:val="21"/>
        </w:rPr>
        <w:t xml:space="preserve">  承担。但修复范围超出缺陷或损坏范围的，超出范围部分的修复费用由</w:t>
      </w:r>
      <w:r>
        <w:rPr>
          <w:spacing w:val="-1"/>
          <w:sz w:val="21"/>
          <w:szCs w:val="21"/>
        </w:rPr>
        <w:t>发包人承担。</w:t>
      </w:r>
    </w:p>
    <w:p w14:paraId="4B275606">
      <w:pPr>
        <w:pStyle w:val="2"/>
        <w:spacing w:line="219" w:lineRule="auto"/>
        <w:ind w:left="419"/>
        <w:rPr>
          <w:sz w:val="21"/>
          <w:szCs w:val="21"/>
        </w:rPr>
      </w:pPr>
      <w:r>
        <w:rPr>
          <w:sz w:val="21"/>
          <w:szCs w:val="21"/>
        </w:rPr>
        <w:t>15.4.5承包人出入权</w:t>
      </w:r>
    </w:p>
    <w:p w14:paraId="076F2352">
      <w:pPr>
        <w:pStyle w:val="2"/>
        <w:spacing w:before="60" w:line="239" w:lineRule="auto"/>
        <w:ind w:right="76"/>
        <w:jc w:val="both"/>
        <w:rPr>
          <w:sz w:val="21"/>
          <w:szCs w:val="21"/>
        </w:rPr>
      </w:pPr>
      <w:r>
        <w:rPr>
          <w:spacing w:val="2"/>
          <w:sz w:val="21"/>
          <w:szCs w:val="21"/>
        </w:rPr>
        <w:t>在保修期内，为了修复缺陷或损坏，承包人有权出入工程现场，除情况紧急必须立</w:t>
      </w:r>
      <w:r>
        <w:rPr>
          <w:spacing w:val="1"/>
          <w:sz w:val="21"/>
          <w:szCs w:val="21"/>
        </w:rPr>
        <w:t>即修复缺陷或</w:t>
      </w:r>
      <w:r>
        <w:rPr>
          <w:sz w:val="21"/>
          <w:szCs w:val="21"/>
        </w:rPr>
        <w:t xml:space="preserve"> </w:t>
      </w:r>
      <w:r>
        <w:rPr>
          <w:spacing w:val="2"/>
          <w:sz w:val="21"/>
          <w:szCs w:val="21"/>
        </w:rPr>
        <w:t>损坏外，承包人应提前24小时通知发包人进场修复的时间。承包人进入工程现场前应获得发包人</w:t>
      </w:r>
      <w:r>
        <w:rPr>
          <w:spacing w:val="12"/>
          <w:sz w:val="21"/>
          <w:szCs w:val="21"/>
        </w:rPr>
        <w:t xml:space="preserve"> </w:t>
      </w:r>
      <w:r>
        <w:rPr>
          <w:sz w:val="21"/>
          <w:szCs w:val="21"/>
        </w:rPr>
        <w:t>同意，且不应影响发包人正常的生产经营，并应遵守发包人有关保安</w:t>
      </w:r>
      <w:r>
        <w:rPr>
          <w:spacing w:val="-1"/>
          <w:sz w:val="21"/>
          <w:szCs w:val="21"/>
        </w:rPr>
        <w:t>和保密等规定。</w:t>
      </w:r>
    </w:p>
    <w:p w14:paraId="3B23A775">
      <w:pPr>
        <w:pStyle w:val="2"/>
        <w:spacing w:before="116" w:line="223" w:lineRule="auto"/>
        <w:ind w:left="4"/>
        <w:rPr>
          <w:rFonts w:ascii="黑体" w:hAnsi="黑体" w:eastAsia="黑体" w:cs="黑体"/>
          <w:sz w:val="31"/>
          <w:szCs w:val="31"/>
        </w:rPr>
      </w:pPr>
      <w:r>
        <w:rPr>
          <w:b/>
          <w:bCs/>
          <w:spacing w:val="-6"/>
          <w:sz w:val="31"/>
          <w:szCs w:val="31"/>
        </w:rPr>
        <w:t>16.</w:t>
      </w:r>
      <w:r>
        <w:rPr>
          <w:rFonts w:ascii="黑体" w:hAnsi="黑体" w:eastAsia="黑体" w:cs="黑体"/>
          <w:b/>
          <w:bCs/>
          <w:spacing w:val="-6"/>
          <w:sz w:val="31"/>
          <w:szCs w:val="31"/>
        </w:rPr>
        <w:t>违约</w:t>
      </w:r>
    </w:p>
    <w:p w14:paraId="5C21F360">
      <w:pPr>
        <w:pStyle w:val="2"/>
        <w:spacing w:before="71" w:line="221" w:lineRule="auto"/>
        <w:ind w:left="3"/>
        <w:rPr>
          <w:rFonts w:ascii="黑体" w:hAnsi="黑体" w:eastAsia="黑体" w:cs="黑体"/>
          <w:sz w:val="26"/>
          <w:szCs w:val="26"/>
        </w:rPr>
      </w:pPr>
      <w:r>
        <w:rPr>
          <w:b/>
          <w:bCs/>
          <w:spacing w:val="-17"/>
          <w:sz w:val="26"/>
          <w:szCs w:val="26"/>
        </w:rPr>
        <w:t>16.1</w:t>
      </w:r>
      <w:r>
        <w:rPr>
          <w:spacing w:val="-17"/>
          <w:sz w:val="26"/>
          <w:szCs w:val="26"/>
        </w:rPr>
        <w:t xml:space="preserve"> </w:t>
      </w:r>
      <w:r>
        <w:rPr>
          <w:rFonts w:ascii="黑体" w:hAnsi="黑体" w:eastAsia="黑体" w:cs="黑体"/>
          <w:b/>
          <w:bCs/>
          <w:spacing w:val="-17"/>
          <w:sz w:val="26"/>
          <w:szCs w:val="26"/>
        </w:rPr>
        <w:t>发包人违约</w:t>
      </w:r>
    </w:p>
    <w:p w14:paraId="048A0C32">
      <w:pPr>
        <w:pStyle w:val="2"/>
        <w:spacing w:before="134" w:line="220" w:lineRule="auto"/>
        <w:ind w:left="419"/>
        <w:rPr>
          <w:sz w:val="21"/>
          <w:szCs w:val="21"/>
        </w:rPr>
      </w:pPr>
      <w:r>
        <w:rPr>
          <w:spacing w:val="-8"/>
          <w:sz w:val="21"/>
          <w:szCs w:val="21"/>
        </w:rPr>
        <w:t>16.1.1 发包人违约的情形</w:t>
      </w:r>
    </w:p>
    <w:p w14:paraId="28235582">
      <w:pPr>
        <w:pStyle w:val="2"/>
        <w:spacing w:before="139" w:line="220" w:lineRule="auto"/>
        <w:ind w:left="419"/>
        <w:rPr>
          <w:sz w:val="21"/>
          <w:szCs w:val="21"/>
        </w:rPr>
      </w:pPr>
      <w:r>
        <w:rPr>
          <w:spacing w:val="-2"/>
          <w:sz w:val="21"/>
          <w:szCs w:val="21"/>
        </w:rPr>
        <w:t>在合同履行过程中发生的下列情形，属于发包人违约：</w:t>
      </w:r>
    </w:p>
    <w:p w14:paraId="4EF6D2F9">
      <w:pPr>
        <w:pStyle w:val="2"/>
        <w:spacing w:before="159" w:line="219" w:lineRule="auto"/>
        <w:ind w:left="539"/>
        <w:rPr>
          <w:sz w:val="21"/>
          <w:szCs w:val="21"/>
        </w:rPr>
      </w:pPr>
      <w:r>
        <w:rPr>
          <w:spacing w:val="6"/>
          <w:sz w:val="21"/>
          <w:szCs w:val="21"/>
        </w:rPr>
        <w:t>(1)因发包人原因未能在计划开工日期前7天内下达开工通知的；</w:t>
      </w:r>
    </w:p>
    <w:p w14:paraId="0EE15710">
      <w:pPr>
        <w:spacing w:line="219" w:lineRule="auto"/>
        <w:rPr>
          <w:sz w:val="21"/>
          <w:szCs w:val="21"/>
        </w:rPr>
        <w:sectPr>
          <w:footerReference r:id="rId233" w:type="default"/>
          <w:pgSz w:w="11910" w:h="16840"/>
          <w:pgMar w:top="400" w:right="1464" w:bottom="1024" w:left="1450" w:header="0" w:footer="889" w:gutter="0"/>
          <w:cols w:space="720" w:num="1"/>
        </w:sectPr>
      </w:pPr>
    </w:p>
    <w:p w14:paraId="173D883D">
      <w:pPr>
        <w:spacing w:line="272" w:lineRule="auto"/>
        <w:rPr>
          <w:rFonts w:ascii="Arial"/>
          <w:sz w:val="21"/>
        </w:rPr>
      </w:pPr>
    </w:p>
    <w:p w14:paraId="655F2CD0">
      <w:pPr>
        <w:spacing w:line="272" w:lineRule="auto"/>
        <w:rPr>
          <w:rFonts w:ascii="Arial"/>
          <w:sz w:val="21"/>
        </w:rPr>
      </w:pPr>
    </w:p>
    <w:p w14:paraId="6BF0DBFB">
      <w:pPr>
        <w:spacing w:line="273" w:lineRule="auto"/>
        <w:rPr>
          <w:rFonts w:ascii="Arial"/>
          <w:sz w:val="21"/>
        </w:rPr>
      </w:pPr>
    </w:p>
    <w:p w14:paraId="4A2E2218">
      <w:pPr>
        <w:spacing w:line="273" w:lineRule="auto"/>
        <w:rPr>
          <w:rFonts w:ascii="Arial"/>
          <w:sz w:val="21"/>
        </w:rPr>
      </w:pPr>
    </w:p>
    <w:p w14:paraId="249FFAA7">
      <w:pPr>
        <w:spacing w:line="273" w:lineRule="auto"/>
        <w:rPr>
          <w:rFonts w:ascii="Arial"/>
          <w:sz w:val="21"/>
        </w:rPr>
      </w:pPr>
    </w:p>
    <w:p w14:paraId="27535194">
      <w:pPr>
        <w:pStyle w:val="2"/>
        <w:spacing w:before="65" w:line="218" w:lineRule="auto"/>
        <w:ind w:left="519"/>
        <w:rPr>
          <w:sz w:val="20"/>
          <w:szCs w:val="20"/>
        </w:rPr>
      </w:pPr>
      <w:r>
        <w:rPr>
          <w:spacing w:val="11"/>
          <w:sz w:val="20"/>
          <w:szCs w:val="20"/>
        </w:rPr>
        <w:t>(2)因发包人原因未能按合同约定支付合同价款的；</w:t>
      </w:r>
    </w:p>
    <w:p w14:paraId="342AC4D0">
      <w:pPr>
        <w:pStyle w:val="2"/>
        <w:spacing w:before="176" w:line="290" w:lineRule="auto"/>
        <w:ind w:right="122" w:firstLine="519"/>
        <w:rPr>
          <w:sz w:val="20"/>
          <w:szCs w:val="20"/>
        </w:rPr>
      </w:pPr>
      <w:r>
        <w:rPr>
          <w:spacing w:val="17"/>
          <w:sz w:val="20"/>
          <w:szCs w:val="20"/>
        </w:rPr>
        <w:t>(3)发包人违反第10.</w:t>
      </w:r>
      <w:r>
        <w:rPr>
          <w:spacing w:val="-58"/>
          <w:sz w:val="20"/>
          <w:szCs w:val="20"/>
        </w:rPr>
        <w:t xml:space="preserve"> </w:t>
      </w:r>
      <w:r>
        <w:rPr>
          <w:spacing w:val="17"/>
          <w:sz w:val="20"/>
          <w:szCs w:val="20"/>
        </w:rPr>
        <w:t>1款〔变更的范围〕第(2)项</w:t>
      </w:r>
      <w:r>
        <w:rPr>
          <w:spacing w:val="16"/>
          <w:sz w:val="20"/>
          <w:szCs w:val="20"/>
        </w:rPr>
        <w:t>约定，自行实施被取消的工作或转由他</w:t>
      </w:r>
      <w:r>
        <w:rPr>
          <w:sz w:val="20"/>
          <w:szCs w:val="20"/>
        </w:rPr>
        <w:t xml:space="preserve"> </w:t>
      </w:r>
      <w:r>
        <w:rPr>
          <w:spacing w:val="-2"/>
          <w:sz w:val="20"/>
          <w:szCs w:val="20"/>
        </w:rPr>
        <w:t>人实施的；</w:t>
      </w:r>
    </w:p>
    <w:p w14:paraId="37F4BBAC">
      <w:pPr>
        <w:pStyle w:val="2"/>
        <w:spacing w:before="160" w:line="294" w:lineRule="auto"/>
        <w:ind w:right="87" w:firstLine="519"/>
        <w:rPr>
          <w:sz w:val="20"/>
          <w:szCs w:val="20"/>
        </w:rPr>
      </w:pPr>
      <w:r>
        <w:rPr>
          <w:spacing w:val="12"/>
          <w:sz w:val="20"/>
          <w:szCs w:val="20"/>
        </w:rPr>
        <w:t>(4)发包人提供的材料、工程设备的规格、数量或质量不符合合同约定，或因发包人原因导</w:t>
      </w:r>
      <w:r>
        <w:rPr>
          <w:sz w:val="20"/>
          <w:szCs w:val="20"/>
        </w:rPr>
        <w:t xml:space="preserve"> </w:t>
      </w:r>
      <w:r>
        <w:rPr>
          <w:spacing w:val="7"/>
          <w:sz w:val="20"/>
          <w:szCs w:val="20"/>
        </w:rPr>
        <w:t>致交货日期延误或交货地点变更等情况的；</w:t>
      </w:r>
    </w:p>
    <w:p w14:paraId="5B9CF063">
      <w:pPr>
        <w:pStyle w:val="2"/>
        <w:spacing w:before="174" w:line="220" w:lineRule="auto"/>
        <w:ind w:left="519"/>
        <w:rPr>
          <w:sz w:val="20"/>
          <w:szCs w:val="20"/>
        </w:rPr>
      </w:pPr>
      <w:r>
        <w:rPr>
          <w:spacing w:val="11"/>
          <w:sz w:val="20"/>
          <w:szCs w:val="20"/>
        </w:rPr>
        <w:t>(5)因发包人违反合同约定造成暂停施工的；</w:t>
      </w:r>
    </w:p>
    <w:p w14:paraId="2F06527F">
      <w:pPr>
        <w:pStyle w:val="2"/>
        <w:spacing w:before="141" w:line="219" w:lineRule="auto"/>
        <w:ind w:left="519"/>
        <w:rPr>
          <w:sz w:val="20"/>
          <w:szCs w:val="20"/>
        </w:rPr>
      </w:pPr>
      <w:r>
        <w:rPr>
          <w:spacing w:val="11"/>
          <w:sz w:val="20"/>
          <w:szCs w:val="20"/>
        </w:rPr>
        <w:t>(6)发包人无正当理由没有在约定期限内发出复工指示，导致承包人无法复工的；</w:t>
      </w:r>
    </w:p>
    <w:p w14:paraId="2CD52EB5">
      <w:pPr>
        <w:pStyle w:val="2"/>
        <w:spacing w:before="182" w:line="219" w:lineRule="auto"/>
        <w:ind w:left="519"/>
        <w:rPr>
          <w:sz w:val="20"/>
          <w:szCs w:val="20"/>
        </w:rPr>
      </w:pPr>
      <w:r>
        <w:rPr>
          <w:spacing w:val="12"/>
          <w:sz w:val="20"/>
          <w:szCs w:val="20"/>
        </w:rPr>
        <w:t>(7)发包人明确表示或者以其行为表明不履行合同主要义务的；</w:t>
      </w:r>
    </w:p>
    <w:p w14:paraId="75C83144">
      <w:pPr>
        <w:pStyle w:val="2"/>
        <w:spacing w:before="152" w:line="219" w:lineRule="auto"/>
        <w:ind w:left="519"/>
        <w:rPr>
          <w:sz w:val="20"/>
          <w:szCs w:val="20"/>
        </w:rPr>
      </w:pPr>
      <w:r>
        <w:rPr>
          <w:spacing w:val="13"/>
          <w:sz w:val="20"/>
          <w:szCs w:val="20"/>
        </w:rPr>
        <w:t>(8)发包人未能按照合同约定履行其他义务的。</w:t>
      </w:r>
    </w:p>
    <w:p w14:paraId="1E128D7B">
      <w:pPr>
        <w:pStyle w:val="2"/>
        <w:spacing w:before="163" w:line="366" w:lineRule="auto"/>
        <w:ind w:right="71" w:firstLine="409"/>
        <w:jc w:val="both"/>
        <w:rPr>
          <w:sz w:val="20"/>
          <w:szCs w:val="20"/>
        </w:rPr>
      </w:pPr>
      <w:r>
        <w:rPr>
          <w:spacing w:val="15"/>
          <w:sz w:val="20"/>
          <w:szCs w:val="20"/>
        </w:rPr>
        <w:t>发包人发生除本项第(7)目以外的违约情况时，承包人可向发包人发出通知，要求发包人采</w:t>
      </w:r>
      <w:r>
        <w:rPr>
          <w:spacing w:val="2"/>
          <w:sz w:val="20"/>
          <w:szCs w:val="20"/>
        </w:rPr>
        <w:t xml:space="preserve"> </w:t>
      </w:r>
      <w:r>
        <w:rPr>
          <w:spacing w:val="12"/>
          <w:sz w:val="20"/>
          <w:szCs w:val="20"/>
        </w:rPr>
        <w:t>取有效措施纠正违约行为。发包人收到承包人通知后28天内仍不纠正违约行为</w:t>
      </w:r>
      <w:r>
        <w:rPr>
          <w:spacing w:val="11"/>
          <w:sz w:val="20"/>
          <w:szCs w:val="20"/>
        </w:rPr>
        <w:t>的，承包人有权暂</w:t>
      </w:r>
      <w:r>
        <w:rPr>
          <w:sz w:val="20"/>
          <w:szCs w:val="20"/>
        </w:rPr>
        <w:t xml:space="preserve"> </w:t>
      </w:r>
      <w:r>
        <w:rPr>
          <w:spacing w:val="7"/>
          <w:sz w:val="20"/>
          <w:szCs w:val="20"/>
        </w:rPr>
        <w:t>停相应部位工程施工，并通知监理人。</w:t>
      </w:r>
    </w:p>
    <w:p w14:paraId="375C5327">
      <w:pPr>
        <w:pStyle w:val="2"/>
        <w:spacing w:line="219" w:lineRule="auto"/>
        <w:ind w:left="409"/>
        <w:rPr>
          <w:sz w:val="20"/>
          <w:szCs w:val="20"/>
        </w:rPr>
      </w:pPr>
      <w:r>
        <w:rPr>
          <w:spacing w:val="7"/>
          <w:sz w:val="20"/>
          <w:szCs w:val="20"/>
        </w:rPr>
        <w:t>16.1.2发包人违约的责任</w:t>
      </w:r>
    </w:p>
    <w:p w14:paraId="15DB3C7A">
      <w:pPr>
        <w:pStyle w:val="2"/>
        <w:spacing w:before="183" w:line="362" w:lineRule="auto"/>
        <w:ind w:firstLine="409"/>
        <w:rPr>
          <w:sz w:val="20"/>
          <w:szCs w:val="20"/>
        </w:rPr>
      </w:pPr>
      <w:r>
        <w:rPr>
          <w:spacing w:val="14"/>
          <w:sz w:val="20"/>
          <w:szCs w:val="20"/>
        </w:rPr>
        <w:t>发包人应承担因其违约给承包人增加的费用和(或)延误的工期，并支付承包人合理的利润。</w:t>
      </w:r>
      <w:r>
        <w:rPr>
          <w:spacing w:val="15"/>
          <w:sz w:val="20"/>
          <w:szCs w:val="20"/>
        </w:rPr>
        <w:t xml:space="preserve"> </w:t>
      </w:r>
      <w:r>
        <w:rPr>
          <w:spacing w:val="10"/>
          <w:sz w:val="20"/>
          <w:szCs w:val="20"/>
        </w:rPr>
        <w:t>此外，合同当事人可在专用合同条款中另行约定发包人违约责</w:t>
      </w:r>
      <w:r>
        <w:rPr>
          <w:spacing w:val="9"/>
          <w:sz w:val="20"/>
          <w:szCs w:val="20"/>
        </w:rPr>
        <w:t>任的承担方式和计算方法。</w:t>
      </w:r>
    </w:p>
    <w:p w14:paraId="3A856982">
      <w:pPr>
        <w:pStyle w:val="2"/>
        <w:spacing w:before="6" w:line="219" w:lineRule="auto"/>
        <w:ind w:left="409"/>
        <w:rPr>
          <w:sz w:val="20"/>
          <w:szCs w:val="20"/>
        </w:rPr>
      </w:pPr>
      <w:r>
        <w:rPr>
          <w:spacing w:val="2"/>
          <w:sz w:val="20"/>
          <w:szCs w:val="20"/>
        </w:rPr>
        <w:t>16.1.3 因发包人违约解除合同</w:t>
      </w:r>
    </w:p>
    <w:p w14:paraId="11F43F0E">
      <w:pPr>
        <w:pStyle w:val="2"/>
        <w:spacing w:before="172" w:line="367" w:lineRule="auto"/>
        <w:ind w:right="69" w:firstLine="409"/>
        <w:rPr>
          <w:sz w:val="20"/>
          <w:szCs w:val="20"/>
        </w:rPr>
      </w:pPr>
      <w:r>
        <w:rPr>
          <w:spacing w:val="11"/>
          <w:sz w:val="20"/>
          <w:szCs w:val="20"/>
        </w:rPr>
        <w:t>除专用合同条款另有约定外，承包人按第16.1.1项〔发包人违约的情形〕约定暂停施工满28</w:t>
      </w:r>
      <w:r>
        <w:rPr>
          <w:spacing w:val="16"/>
          <w:sz w:val="20"/>
          <w:szCs w:val="20"/>
        </w:rPr>
        <w:t xml:space="preserve"> </w:t>
      </w:r>
      <w:r>
        <w:rPr>
          <w:spacing w:val="12"/>
          <w:sz w:val="20"/>
          <w:szCs w:val="20"/>
        </w:rPr>
        <w:t>天后，发包人仍不纠正其违约行为并致使合同目</w:t>
      </w:r>
      <w:r>
        <w:rPr>
          <w:spacing w:val="11"/>
          <w:sz w:val="20"/>
          <w:szCs w:val="20"/>
        </w:rPr>
        <w:t>的不能实现的，或出现第16.1.1项〔发包人违约</w:t>
      </w:r>
      <w:r>
        <w:rPr>
          <w:sz w:val="20"/>
          <w:szCs w:val="20"/>
        </w:rPr>
        <w:t xml:space="preserve"> </w:t>
      </w:r>
      <w:r>
        <w:rPr>
          <w:spacing w:val="17"/>
          <w:sz w:val="20"/>
          <w:szCs w:val="20"/>
        </w:rPr>
        <w:t>的情形)第(7)目约定的违约情况，承包人有权解除合同，发包人应承担由此增加的费用，</w:t>
      </w:r>
      <w:r>
        <w:rPr>
          <w:spacing w:val="16"/>
          <w:sz w:val="20"/>
          <w:szCs w:val="20"/>
        </w:rPr>
        <w:t>并支</w:t>
      </w:r>
      <w:r>
        <w:rPr>
          <w:sz w:val="20"/>
          <w:szCs w:val="20"/>
        </w:rPr>
        <w:t xml:space="preserve"> </w:t>
      </w:r>
      <w:r>
        <w:rPr>
          <w:spacing w:val="5"/>
          <w:sz w:val="20"/>
          <w:szCs w:val="20"/>
        </w:rPr>
        <w:t>付承包人合理的利润。</w:t>
      </w:r>
    </w:p>
    <w:p w14:paraId="76EBE2AA">
      <w:pPr>
        <w:pStyle w:val="2"/>
        <w:spacing w:line="219" w:lineRule="auto"/>
        <w:ind w:left="412"/>
        <w:rPr>
          <w:sz w:val="20"/>
          <w:szCs w:val="20"/>
        </w:rPr>
      </w:pPr>
      <w:r>
        <w:rPr>
          <w:b/>
          <w:bCs/>
          <w:spacing w:val="2"/>
          <w:sz w:val="20"/>
          <w:szCs w:val="20"/>
        </w:rPr>
        <w:t>16.1.4</w:t>
      </w:r>
      <w:r>
        <w:rPr>
          <w:spacing w:val="2"/>
          <w:sz w:val="20"/>
          <w:szCs w:val="20"/>
        </w:rPr>
        <w:t xml:space="preserve"> 因发包人违约解除合同后的付款</w:t>
      </w:r>
    </w:p>
    <w:p w14:paraId="773DDA24">
      <w:pPr>
        <w:pStyle w:val="2"/>
        <w:spacing w:before="152" w:line="378" w:lineRule="auto"/>
        <w:ind w:right="82" w:firstLine="409"/>
        <w:rPr>
          <w:sz w:val="20"/>
          <w:szCs w:val="20"/>
        </w:rPr>
      </w:pPr>
      <w:r>
        <w:rPr>
          <w:spacing w:val="12"/>
          <w:sz w:val="20"/>
          <w:szCs w:val="20"/>
        </w:rPr>
        <w:t>承包人按照本款约定解除合同的，发包人应在解除合同后28天内支付下列款项，并解除履约</w:t>
      </w:r>
      <w:r>
        <w:rPr>
          <w:spacing w:val="15"/>
          <w:sz w:val="20"/>
          <w:szCs w:val="20"/>
        </w:rPr>
        <w:t xml:space="preserve"> </w:t>
      </w:r>
      <w:r>
        <w:rPr>
          <w:spacing w:val="-3"/>
          <w:sz w:val="20"/>
          <w:szCs w:val="20"/>
        </w:rPr>
        <w:t>担保：</w:t>
      </w:r>
    </w:p>
    <w:p w14:paraId="0118C659">
      <w:pPr>
        <w:pStyle w:val="2"/>
        <w:spacing w:before="1" w:line="217" w:lineRule="auto"/>
        <w:ind w:left="519"/>
        <w:rPr>
          <w:sz w:val="20"/>
          <w:szCs w:val="20"/>
        </w:rPr>
      </w:pPr>
      <w:r>
        <w:rPr>
          <w:spacing w:val="11"/>
          <w:sz w:val="20"/>
          <w:szCs w:val="20"/>
        </w:rPr>
        <w:t>(1)合同解除前所完成工作的价款；</w:t>
      </w:r>
    </w:p>
    <w:p w14:paraId="3FDE03C5">
      <w:pPr>
        <w:pStyle w:val="2"/>
        <w:spacing w:before="164" w:line="218" w:lineRule="auto"/>
        <w:ind w:left="519"/>
        <w:rPr>
          <w:sz w:val="20"/>
          <w:szCs w:val="20"/>
        </w:rPr>
      </w:pPr>
      <w:r>
        <w:rPr>
          <w:spacing w:val="11"/>
          <w:sz w:val="20"/>
          <w:szCs w:val="20"/>
        </w:rPr>
        <w:t>(2)承包人为工程施工订购并已付款的材料、工程设备和其他物品的价款；</w:t>
      </w:r>
    </w:p>
    <w:p w14:paraId="5BF23016">
      <w:pPr>
        <w:pStyle w:val="2"/>
        <w:spacing w:before="156" w:line="219" w:lineRule="auto"/>
        <w:ind w:left="519"/>
        <w:rPr>
          <w:sz w:val="20"/>
          <w:szCs w:val="20"/>
        </w:rPr>
      </w:pPr>
      <w:r>
        <w:rPr>
          <w:spacing w:val="11"/>
          <w:sz w:val="20"/>
          <w:szCs w:val="20"/>
        </w:rPr>
        <w:t>(3)承包人撤离施工现场以及遣散承包人人员的款项；</w:t>
      </w:r>
    </w:p>
    <w:p w14:paraId="3B7C7B64">
      <w:pPr>
        <w:pStyle w:val="2"/>
        <w:spacing w:before="182" w:line="219" w:lineRule="auto"/>
        <w:ind w:left="519"/>
        <w:rPr>
          <w:sz w:val="20"/>
          <w:szCs w:val="20"/>
        </w:rPr>
      </w:pPr>
      <w:r>
        <w:rPr>
          <w:spacing w:val="12"/>
          <w:sz w:val="20"/>
          <w:szCs w:val="20"/>
        </w:rPr>
        <w:t>(4)按照合同约定在合同解除前应支付的违约金；</w:t>
      </w:r>
    </w:p>
    <w:p w14:paraId="585CC6B8">
      <w:pPr>
        <w:pStyle w:val="2"/>
        <w:spacing w:before="143" w:line="219" w:lineRule="auto"/>
        <w:ind w:left="519"/>
        <w:rPr>
          <w:sz w:val="20"/>
          <w:szCs w:val="20"/>
        </w:rPr>
      </w:pPr>
      <w:r>
        <w:rPr>
          <w:spacing w:val="12"/>
          <w:sz w:val="20"/>
          <w:szCs w:val="20"/>
        </w:rPr>
        <w:t>(5)按照合同约定应当支付给承包人的其他款项；</w:t>
      </w:r>
    </w:p>
    <w:p w14:paraId="2AC5B60A">
      <w:pPr>
        <w:pStyle w:val="2"/>
        <w:spacing w:before="173" w:line="219" w:lineRule="auto"/>
        <w:ind w:left="519"/>
        <w:rPr>
          <w:sz w:val="20"/>
          <w:szCs w:val="20"/>
        </w:rPr>
      </w:pPr>
      <w:r>
        <w:rPr>
          <w:spacing w:val="13"/>
          <w:sz w:val="20"/>
          <w:szCs w:val="20"/>
        </w:rPr>
        <w:t>(6)按照合同约定应退还的质量保证金；</w:t>
      </w:r>
    </w:p>
    <w:p w14:paraId="33FCB34F">
      <w:pPr>
        <w:pStyle w:val="2"/>
        <w:spacing w:before="173" w:line="219" w:lineRule="auto"/>
        <w:ind w:left="519"/>
        <w:rPr>
          <w:sz w:val="20"/>
          <w:szCs w:val="20"/>
        </w:rPr>
      </w:pPr>
      <w:r>
        <w:rPr>
          <w:spacing w:val="13"/>
          <w:sz w:val="20"/>
          <w:szCs w:val="20"/>
        </w:rPr>
        <w:t>(7)因解除合同给承包人造成的损失。</w:t>
      </w:r>
    </w:p>
    <w:p w14:paraId="3338D7E5">
      <w:pPr>
        <w:pStyle w:val="2"/>
        <w:spacing w:before="152" w:line="219" w:lineRule="auto"/>
        <w:ind w:left="409"/>
        <w:rPr>
          <w:sz w:val="20"/>
          <w:szCs w:val="20"/>
        </w:rPr>
      </w:pPr>
      <w:r>
        <w:rPr>
          <w:spacing w:val="12"/>
          <w:sz w:val="20"/>
          <w:szCs w:val="20"/>
        </w:rPr>
        <w:t>合同当事人未能就解除合同后的结清达成一致的，按照第20条〔争议解决〕的约定处理。</w:t>
      </w:r>
    </w:p>
    <w:p w14:paraId="7DC3889C">
      <w:pPr>
        <w:pStyle w:val="2"/>
        <w:spacing w:before="162" w:line="371" w:lineRule="auto"/>
        <w:ind w:right="91" w:firstLine="409"/>
        <w:rPr>
          <w:sz w:val="20"/>
          <w:szCs w:val="20"/>
        </w:rPr>
      </w:pPr>
      <w:r>
        <w:rPr>
          <w:spacing w:val="12"/>
          <w:sz w:val="20"/>
          <w:szCs w:val="20"/>
        </w:rPr>
        <w:t>承包人应妥善做好已完工程和与工程有关的已购材料、工程设备的保护和移交工作，并将施</w:t>
      </w:r>
      <w:r>
        <w:rPr>
          <w:spacing w:val="18"/>
          <w:sz w:val="20"/>
          <w:szCs w:val="20"/>
        </w:rPr>
        <w:t xml:space="preserve"> </w:t>
      </w:r>
      <w:r>
        <w:rPr>
          <w:spacing w:val="9"/>
          <w:sz w:val="20"/>
          <w:szCs w:val="20"/>
        </w:rPr>
        <w:t>工设备和人员撤出施工现场，发包人应为承包人撤出提供必要条件。</w:t>
      </w:r>
    </w:p>
    <w:p w14:paraId="31D14F0A">
      <w:pPr>
        <w:spacing w:line="371" w:lineRule="auto"/>
        <w:rPr>
          <w:sz w:val="20"/>
          <w:szCs w:val="20"/>
        </w:rPr>
        <w:sectPr>
          <w:footerReference r:id="rId234" w:type="default"/>
          <w:pgSz w:w="11910" w:h="16840"/>
          <w:pgMar w:top="400" w:right="1449" w:bottom="1024" w:left="1460" w:header="0" w:footer="889" w:gutter="0"/>
          <w:cols w:space="720" w:num="1"/>
        </w:sectPr>
      </w:pPr>
    </w:p>
    <w:p w14:paraId="3972EB75">
      <w:pPr>
        <w:spacing w:line="256" w:lineRule="auto"/>
        <w:rPr>
          <w:rFonts w:ascii="Arial"/>
          <w:sz w:val="21"/>
        </w:rPr>
      </w:pPr>
    </w:p>
    <w:p w14:paraId="37F7374D">
      <w:pPr>
        <w:spacing w:line="257" w:lineRule="auto"/>
        <w:rPr>
          <w:rFonts w:ascii="Arial"/>
          <w:sz w:val="21"/>
        </w:rPr>
      </w:pPr>
    </w:p>
    <w:p w14:paraId="359BD392">
      <w:pPr>
        <w:spacing w:line="257" w:lineRule="auto"/>
        <w:rPr>
          <w:rFonts w:ascii="Arial"/>
          <w:sz w:val="21"/>
        </w:rPr>
      </w:pPr>
    </w:p>
    <w:p w14:paraId="7F15758A">
      <w:pPr>
        <w:spacing w:line="257" w:lineRule="auto"/>
        <w:rPr>
          <w:rFonts w:ascii="Arial"/>
          <w:sz w:val="21"/>
        </w:rPr>
      </w:pPr>
    </w:p>
    <w:p w14:paraId="6A156CA1">
      <w:pPr>
        <w:spacing w:line="257" w:lineRule="auto"/>
        <w:rPr>
          <w:rFonts w:ascii="Arial"/>
          <w:sz w:val="21"/>
        </w:rPr>
      </w:pPr>
    </w:p>
    <w:p w14:paraId="3F7AB083">
      <w:pPr>
        <w:pStyle w:val="2"/>
        <w:spacing w:before="85" w:line="222" w:lineRule="auto"/>
        <w:ind w:left="3"/>
        <w:rPr>
          <w:rFonts w:ascii="黑体" w:hAnsi="黑体" w:eastAsia="黑体" w:cs="黑体"/>
          <w:sz w:val="26"/>
          <w:szCs w:val="26"/>
        </w:rPr>
      </w:pPr>
      <w:r>
        <w:rPr>
          <w:b/>
          <w:bCs/>
          <w:spacing w:val="-17"/>
          <w:sz w:val="26"/>
          <w:szCs w:val="26"/>
        </w:rPr>
        <w:t>16.2</w:t>
      </w:r>
      <w:r>
        <w:rPr>
          <w:spacing w:val="-17"/>
          <w:sz w:val="26"/>
          <w:szCs w:val="26"/>
        </w:rPr>
        <w:t xml:space="preserve"> </w:t>
      </w:r>
      <w:r>
        <w:rPr>
          <w:rFonts w:ascii="黑体" w:hAnsi="黑体" w:eastAsia="黑体" w:cs="黑体"/>
          <w:b/>
          <w:bCs/>
          <w:spacing w:val="-17"/>
          <w:sz w:val="26"/>
          <w:szCs w:val="26"/>
        </w:rPr>
        <w:t>承包人违约</w:t>
      </w:r>
    </w:p>
    <w:p w14:paraId="353A0CF5">
      <w:pPr>
        <w:pStyle w:val="2"/>
        <w:spacing w:before="148" w:line="219" w:lineRule="auto"/>
        <w:ind w:left="439"/>
        <w:rPr>
          <w:sz w:val="21"/>
          <w:szCs w:val="21"/>
        </w:rPr>
      </w:pPr>
      <w:r>
        <w:rPr>
          <w:spacing w:val="-2"/>
          <w:sz w:val="21"/>
          <w:szCs w:val="21"/>
        </w:rPr>
        <w:t>16.2.1承包人违约的情形</w:t>
      </w:r>
    </w:p>
    <w:p w14:paraId="0F2B5D46">
      <w:pPr>
        <w:pStyle w:val="2"/>
        <w:spacing w:before="151" w:line="219" w:lineRule="auto"/>
        <w:ind w:left="439"/>
        <w:rPr>
          <w:sz w:val="21"/>
          <w:szCs w:val="21"/>
        </w:rPr>
      </w:pPr>
      <w:r>
        <w:rPr>
          <w:spacing w:val="-3"/>
          <w:sz w:val="21"/>
          <w:szCs w:val="21"/>
        </w:rPr>
        <w:t>在合同履行过程中发生的下列情形，属于承包人违约：</w:t>
      </w:r>
    </w:p>
    <w:p w14:paraId="6B2B9625">
      <w:pPr>
        <w:pStyle w:val="2"/>
        <w:spacing w:before="130" w:line="219" w:lineRule="auto"/>
        <w:ind w:left="529"/>
        <w:rPr>
          <w:sz w:val="21"/>
          <w:szCs w:val="21"/>
        </w:rPr>
      </w:pPr>
      <w:r>
        <w:rPr>
          <w:spacing w:val="3"/>
          <w:sz w:val="21"/>
          <w:szCs w:val="21"/>
        </w:rPr>
        <w:t>(1)承包人违反合同约定进行转包或违法分包的；</w:t>
      </w:r>
    </w:p>
    <w:p w14:paraId="6BB0183C">
      <w:pPr>
        <w:pStyle w:val="2"/>
        <w:spacing w:before="159" w:line="219" w:lineRule="auto"/>
        <w:ind w:left="529"/>
        <w:rPr>
          <w:sz w:val="21"/>
          <w:szCs w:val="21"/>
        </w:rPr>
      </w:pPr>
      <w:r>
        <w:rPr>
          <w:spacing w:val="3"/>
          <w:sz w:val="21"/>
          <w:szCs w:val="21"/>
        </w:rPr>
        <w:t>(2)承包人违反合同约定采购和使用不合</w:t>
      </w:r>
      <w:r>
        <w:rPr>
          <w:spacing w:val="2"/>
          <w:sz w:val="21"/>
          <w:szCs w:val="21"/>
        </w:rPr>
        <w:t>格的材料和工程设备的；</w:t>
      </w:r>
    </w:p>
    <w:p w14:paraId="7DAACCCF">
      <w:pPr>
        <w:pStyle w:val="2"/>
        <w:spacing w:before="162" w:line="219" w:lineRule="auto"/>
        <w:ind w:left="529"/>
        <w:rPr>
          <w:sz w:val="21"/>
          <w:szCs w:val="21"/>
        </w:rPr>
      </w:pPr>
      <w:r>
        <w:rPr>
          <w:spacing w:val="3"/>
          <w:sz w:val="21"/>
          <w:szCs w:val="21"/>
        </w:rPr>
        <w:t>(3)因承包人原因导致工程质量不符合合同要求的；</w:t>
      </w:r>
    </w:p>
    <w:p w14:paraId="72DB9B00">
      <w:pPr>
        <w:pStyle w:val="2"/>
        <w:spacing w:before="139" w:line="290" w:lineRule="auto"/>
        <w:ind w:right="126" w:firstLine="529"/>
        <w:rPr>
          <w:sz w:val="21"/>
          <w:szCs w:val="21"/>
        </w:rPr>
      </w:pPr>
      <w:r>
        <w:rPr>
          <w:spacing w:val="4"/>
          <w:sz w:val="21"/>
          <w:szCs w:val="21"/>
        </w:rPr>
        <w:t>(4)承包人违反第8.9款〔材料与设备专用要求〕的约定，未经批准，私自将已按照合同约</w:t>
      </w:r>
      <w:r>
        <w:rPr>
          <w:spacing w:val="9"/>
          <w:sz w:val="21"/>
          <w:szCs w:val="21"/>
        </w:rPr>
        <w:t xml:space="preserve"> </w:t>
      </w:r>
      <w:r>
        <w:rPr>
          <w:spacing w:val="-3"/>
          <w:sz w:val="21"/>
          <w:szCs w:val="21"/>
        </w:rPr>
        <w:t>定进入施工现场的材料或设备撤离施工现场的；</w:t>
      </w:r>
    </w:p>
    <w:p w14:paraId="2F77177C">
      <w:pPr>
        <w:pStyle w:val="2"/>
        <w:spacing w:before="142" w:line="219" w:lineRule="auto"/>
        <w:ind w:left="529"/>
        <w:rPr>
          <w:sz w:val="21"/>
          <w:szCs w:val="21"/>
        </w:rPr>
      </w:pPr>
      <w:r>
        <w:rPr>
          <w:spacing w:val="2"/>
          <w:sz w:val="21"/>
          <w:szCs w:val="21"/>
        </w:rPr>
        <w:t>(5)承包人未能按施工进度计划及时完成合同约定的工作，造成工期延误的；</w:t>
      </w:r>
    </w:p>
    <w:p w14:paraId="7CB0C0C8">
      <w:pPr>
        <w:pStyle w:val="2"/>
        <w:spacing w:before="151" w:line="290" w:lineRule="auto"/>
        <w:ind w:right="115" w:firstLine="529"/>
        <w:rPr>
          <w:sz w:val="21"/>
          <w:szCs w:val="21"/>
        </w:rPr>
      </w:pPr>
      <w:r>
        <w:rPr>
          <w:spacing w:val="2"/>
          <w:sz w:val="21"/>
          <w:szCs w:val="21"/>
        </w:rPr>
        <w:t xml:space="preserve">(6)承包人在缺陷责任期及保修期内，未能在合理期限对工程缺陷进行修复，或拒绝按发包 </w:t>
      </w:r>
      <w:r>
        <w:rPr>
          <w:spacing w:val="-6"/>
          <w:sz w:val="21"/>
          <w:szCs w:val="21"/>
        </w:rPr>
        <w:t>人要求进行修复的；</w:t>
      </w:r>
    </w:p>
    <w:p w14:paraId="62CE1FCA">
      <w:pPr>
        <w:pStyle w:val="2"/>
        <w:spacing w:before="150" w:line="219" w:lineRule="auto"/>
        <w:ind w:left="529"/>
        <w:rPr>
          <w:sz w:val="21"/>
          <w:szCs w:val="21"/>
        </w:rPr>
      </w:pPr>
      <w:r>
        <w:rPr>
          <w:spacing w:val="2"/>
          <w:sz w:val="21"/>
          <w:szCs w:val="21"/>
        </w:rPr>
        <w:t>(7)承包人明确表示或者以其行为表明不履行合同主要义务的；</w:t>
      </w:r>
    </w:p>
    <w:p w14:paraId="443A3302">
      <w:pPr>
        <w:pStyle w:val="2"/>
        <w:spacing w:before="131" w:line="219" w:lineRule="auto"/>
        <w:ind w:left="529"/>
        <w:rPr>
          <w:sz w:val="21"/>
          <w:szCs w:val="21"/>
        </w:rPr>
      </w:pPr>
      <w:r>
        <w:rPr>
          <w:spacing w:val="4"/>
          <w:sz w:val="21"/>
          <w:szCs w:val="21"/>
        </w:rPr>
        <w:t>(8)承包人未能按照合同约定履行其他义务的。</w:t>
      </w:r>
    </w:p>
    <w:p w14:paraId="2E997BDC">
      <w:pPr>
        <w:pStyle w:val="2"/>
        <w:spacing w:before="151" w:line="356" w:lineRule="auto"/>
        <w:ind w:right="110" w:firstLine="439"/>
        <w:rPr>
          <w:sz w:val="21"/>
          <w:szCs w:val="21"/>
        </w:rPr>
      </w:pPr>
      <w:r>
        <w:rPr>
          <w:spacing w:val="4"/>
          <w:sz w:val="21"/>
          <w:szCs w:val="21"/>
        </w:rPr>
        <w:t>承包人发生除本项第(7)目约定以外的其他违约情况时，监理人可向承包人发出整改通知，</w:t>
      </w:r>
      <w:r>
        <w:rPr>
          <w:spacing w:val="15"/>
          <w:sz w:val="21"/>
          <w:szCs w:val="21"/>
        </w:rPr>
        <w:t xml:space="preserve"> </w:t>
      </w:r>
      <w:r>
        <w:rPr>
          <w:spacing w:val="-2"/>
          <w:sz w:val="21"/>
          <w:szCs w:val="21"/>
        </w:rPr>
        <w:t>要求其在指定的期限内改正。</w:t>
      </w:r>
    </w:p>
    <w:p w14:paraId="6BBAB39C">
      <w:pPr>
        <w:pStyle w:val="2"/>
        <w:spacing w:line="219" w:lineRule="auto"/>
        <w:ind w:left="439"/>
        <w:rPr>
          <w:sz w:val="21"/>
          <w:szCs w:val="21"/>
        </w:rPr>
      </w:pPr>
      <w:r>
        <w:rPr>
          <w:spacing w:val="-2"/>
          <w:sz w:val="21"/>
          <w:szCs w:val="21"/>
        </w:rPr>
        <w:t>16.2.2承包人违约的责任</w:t>
      </w:r>
    </w:p>
    <w:p w14:paraId="1C36EE69">
      <w:pPr>
        <w:pStyle w:val="2"/>
        <w:spacing w:before="161" w:line="347" w:lineRule="auto"/>
        <w:ind w:right="100" w:firstLine="439"/>
        <w:rPr>
          <w:sz w:val="21"/>
          <w:szCs w:val="21"/>
        </w:rPr>
      </w:pPr>
      <w:r>
        <w:rPr>
          <w:spacing w:val="7"/>
          <w:sz w:val="21"/>
          <w:szCs w:val="21"/>
        </w:rPr>
        <w:t>承包人应承担因其违约行为而增加的费用和(或)延误的工期。此外，合同当事人可在专用</w:t>
      </w:r>
      <w:r>
        <w:rPr>
          <w:spacing w:val="14"/>
          <w:sz w:val="21"/>
          <w:szCs w:val="21"/>
        </w:rPr>
        <w:t xml:space="preserve"> </w:t>
      </w:r>
      <w:r>
        <w:rPr>
          <w:spacing w:val="-2"/>
          <w:sz w:val="21"/>
          <w:szCs w:val="21"/>
        </w:rPr>
        <w:t>合同条款中另行约定承包人违约责任的承担方式和计算方法。</w:t>
      </w:r>
    </w:p>
    <w:p w14:paraId="60DEDAF7">
      <w:pPr>
        <w:pStyle w:val="2"/>
        <w:spacing w:before="1" w:line="219" w:lineRule="auto"/>
        <w:ind w:left="439"/>
        <w:rPr>
          <w:sz w:val="21"/>
          <w:szCs w:val="21"/>
        </w:rPr>
      </w:pPr>
      <w:r>
        <w:rPr>
          <w:spacing w:val="-7"/>
          <w:sz w:val="21"/>
          <w:szCs w:val="21"/>
        </w:rPr>
        <w:t>16.2.3 因承包人违约解除合同</w:t>
      </w:r>
    </w:p>
    <w:p w14:paraId="582787C6">
      <w:pPr>
        <w:pStyle w:val="2"/>
        <w:spacing w:before="143" w:line="352" w:lineRule="auto"/>
        <w:ind w:right="75" w:firstLine="439"/>
        <w:rPr>
          <w:sz w:val="21"/>
          <w:szCs w:val="21"/>
        </w:rPr>
      </w:pPr>
      <w:r>
        <w:rPr>
          <w:spacing w:val="5"/>
          <w:sz w:val="21"/>
          <w:szCs w:val="21"/>
        </w:rPr>
        <w:t>除专用合同条款另有约定外，出现第16.2.1项〔承包人违约的情形〕第(7)目</w:t>
      </w:r>
      <w:r>
        <w:rPr>
          <w:spacing w:val="4"/>
          <w:sz w:val="21"/>
          <w:szCs w:val="21"/>
        </w:rPr>
        <w:t>约定的违约情</w:t>
      </w:r>
      <w:r>
        <w:rPr>
          <w:sz w:val="21"/>
          <w:szCs w:val="21"/>
        </w:rPr>
        <w:t xml:space="preserve"> </w:t>
      </w:r>
      <w:r>
        <w:rPr>
          <w:spacing w:val="2"/>
          <w:sz w:val="21"/>
          <w:szCs w:val="21"/>
        </w:rPr>
        <w:t>况时，或监理人发出整改通知后，承包人在指定的合理期限内仍不纠正违约行为并致使合同目的</w:t>
      </w:r>
      <w:r>
        <w:rPr>
          <w:spacing w:val="11"/>
          <w:sz w:val="21"/>
          <w:szCs w:val="21"/>
        </w:rPr>
        <w:t xml:space="preserve"> </w:t>
      </w:r>
      <w:r>
        <w:rPr>
          <w:spacing w:val="2"/>
          <w:sz w:val="21"/>
          <w:szCs w:val="21"/>
        </w:rPr>
        <w:t>不能实现的，发包人有权解除合同。合同解除后，因继续完成工程的需要，发包人有权使用承包</w:t>
      </w:r>
      <w:r>
        <w:rPr>
          <w:spacing w:val="5"/>
          <w:sz w:val="21"/>
          <w:szCs w:val="21"/>
        </w:rPr>
        <w:t xml:space="preserve"> </w:t>
      </w:r>
      <w:r>
        <w:rPr>
          <w:spacing w:val="2"/>
          <w:sz w:val="21"/>
          <w:szCs w:val="21"/>
        </w:rPr>
        <w:t>人在施工现场的材料、设备、临时工程、承包人文件和由承包人或以其名义编制的其他文件，合</w:t>
      </w:r>
      <w:r>
        <w:rPr>
          <w:spacing w:val="4"/>
          <w:sz w:val="21"/>
          <w:szCs w:val="21"/>
        </w:rPr>
        <w:t xml:space="preserve"> </w:t>
      </w:r>
      <w:r>
        <w:rPr>
          <w:spacing w:val="2"/>
          <w:sz w:val="21"/>
          <w:szCs w:val="21"/>
        </w:rPr>
        <w:t>同当事人应在专用合同条款约定相应费用的承担方式。发包人继续使用的行为不免除或减轻承包</w:t>
      </w:r>
      <w:r>
        <w:rPr>
          <w:spacing w:val="5"/>
          <w:sz w:val="21"/>
          <w:szCs w:val="21"/>
        </w:rPr>
        <w:t xml:space="preserve"> </w:t>
      </w:r>
      <w:r>
        <w:rPr>
          <w:spacing w:val="-4"/>
          <w:sz w:val="21"/>
          <w:szCs w:val="21"/>
        </w:rPr>
        <w:t>人应承担的违约责任。</w:t>
      </w:r>
    </w:p>
    <w:p w14:paraId="3EFB08C4">
      <w:pPr>
        <w:pStyle w:val="2"/>
        <w:spacing w:before="15" w:line="219" w:lineRule="auto"/>
        <w:ind w:left="439"/>
        <w:rPr>
          <w:sz w:val="21"/>
          <w:szCs w:val="21"/>
        </w:rPr>
      </w:pPr>
      <w:r>
        <w:rPr>
          <w:spacing w:val="-2"/>
          <w:sz w:val="21"/>
          <w:szCs w:val="21"/>
        </w:rPr>
        <w:t>16.2.4因承包人违约解除合同后的处理</w:t>
      </w:r>
    </w:p>
    <w:p w14:paraId="1FF49594">
      <w:pPr>
        <w:pStyle w:val="2"/>
        <w:spacing w:before="158" w:line="339" w:lineRule="auto"/>
        <w:ind w:firstLine="439"/>
        <w:rPr>
          <w:sz w:val="21"/>
          <w:szCs w:val="21"/>
        </w:rPr>
      </w:pPr>
      <w:r>
        <w:rPr>
          <w:spacing w:val="-1"/>
          <w:sz w:val="21"/>
          <w:szCs w:val="21"/>
        </w:rPr>
        <w:t>因承包人原因导致合同解除的，则合同当事人应在合同解除后28天内完成估价、付款和清算，</w:t>
      </w:r>
      <w:r>
        <w:rPr>
          <w:spacing w:val="16"/>
          <w:sz w:val="21"/>
          <w:szCs w:val="21"/>
        </w:rPr>
        <w:t xml:space="preserve"> </w:t>
      </w:r>
      <w:r>
        <w:rPr>
          <w:spacing w:val="-7"/>
          <w:sz w:val="21"/>
          <w:szCs w:val="21"/>
        </w:rPr>
        <w:t>并按以下约定执行：</w:t>
      </w:r>
    </w:p>
    <w:p w14:paraId="6550CD2A">
      <w:pPr>
        <w:pStyle w:val="2"/>
        <w:spacing w:before="2" w:line="293" w:lineRule="auto"/>
        <w:ind w:right="115" w:firstLine="529"/>
        <w:rPr>
          <w:sz w:val="21"/>
          <w:szCs w:val="21"/>
        </w:rPr>
      </w:pPr>
      <w:r>
        <w:rPr>
          <w:spacing w:val="5"/>
          <w:sz w:val="21"/>
          <w:szCs w:val="21"/>
        </w:rPr>
        <w:t>(1)合同解除后，按第4.4款〔商定或确</w:t>
      </w:r>
      <w:r>
        <w:rPr>
          <w:spacing w:val="4"/>
          <w:sz w:val="21"/>
          <w:szCs w:val="21"/>
        </w:rPr>
        <w:t>定〕商定或确定承包人实际完成工作对应的合同价</w:t>
      </w:r>
      <w:r>
        <w:rPr>
          <w:sz w:val="21"/>
          <w:szCs w:val="21"/>
        </w:rPr>
        <w:t xml:space="preserve"> </w:t>
      </w:r>
      <w:r>
        <w:rPr>
          <w:spacing w:val="-1"/>
          <w:sz w:val="21"/>
          <w:szCs w:val="21"/>
        </w:rPr>
        <w:t>款，以及承包人已提供的材料、工程设备、施工设备和临时工程等的价值；</w:t>
      </w:r>
    </w:p>
    <w:p w14:paraId="60D2CBF2">
      <w:pPr>
        <w:pStyle w:val="2"/>
        <w:spacing w:before="153" w:line="219" w:lineRule="auto"/>
        <w:ind w:left="529"/>
        <w:rPr>
          <w:sz w:val="21"/>
          <w:szCs w:val="21"/>
        </w:rPr>
      </w:pPr>
      <w:r>
        <w:rPr>
          <w:spacing w:val="2"/>
          <w:sz w:val="21"/>
          <w:szCs w:val="21"/>
        </w:rPr>
        <w:t>(2)合同解除后，承包人应支付的违约金；</w:t>
      </w:r>
    </w:p>
    <w:p w14:paraId="6EEB40C7">
      <w:pPr>
        <w:pStyle w:val="2"/>
        <w:spacing w:before="141" w:line="219" w:lineRule="auto"/>
        <w:ind w:left="529"/>
        <w:rPr>
          <w:sz w:val="21"/>
          <w:szCs w:val="21"/>
        </w:rPr>
      </w:pPr>
      <w:r>
        <w:rPr>
          <w:spacing w:val="3"/>
          <w:sz w:val="21"/>
          <w:szCs w:val="21"/>
        </w:rPr>
        <w:t>(3)合同解除后，因解除合同给发包人造成的损失；</w:t>
      </w:r>
    </w:p>
    <w:p w14:paraId="644684B2">
      <w:pPr>
        <w:pStyle w:val="2"/>
        <w:spacing w:before="171" w:line="219" w:lineRule="auto"/>
        <w:ind w:left="529"/>
        <w:rPr>
          <w:sz w:val="21"/>
          <w:szCs w:val="21"/>
        </w:rPr>
      </w:pPr>
      <w:r>
        <w:rPr>
          <w:spacing w:val="2"/>
          <w:sz w:val="21"/>
          <w:szCs w:val="21"/>
        </w:rPr>
        <w:t>(4)合同解除后，承包人应按照发包人要求和监理人的指示完成现场的清理和撤离；</w:t>
      </w:r>
    </w:p>
    <w:p w14:paraId="794512DD">
      <w:pPr>
        <w:spacing w:line="219" w:lineRule="auto"/>
        <w:rPr>
          <w:sz w:val="21"/>
          <w:szCs w:val="21"/>
        </w:rPr>
        <w:sectPr>
          <w:footerReference r:id="rId235" w:type="default"/>
          <w:pgSz w:w="11910" w:h="16840"/>
          <w:pgMar w:top="400" w:right="1434" w:bottom="1024" w:left="1450" w:header="0" w:footer="889" w:gutter="0"/>
          <w:cols w:space="720" w:num="1"/>
        </w:sectPr>
      </w:pPr>
    </w:p>
    <w:p w14:paraId="0B48C9F9">
      <w:pPr>
        <w:spacing w:line="270" w:lineRule="auto"/>
        <w:rPr>
          <w:rFonts w:ascii="Arial"/>
          <w:sz w:val="21"/>
        </w:rPr>
      </w:pPr>
    </w:p>
    <w:p w14:paraId="0F45BF86">
      <w:pPr>
        <w:spacing w:line="270" w:lineRule="auto"/>
        <w:rPr>
          <w:rFonts w:ascii="Arial"/>
          <w:sz w:val="21"/>
        </w:rPr>
      </w:pPr>
    </w:p>
    <w:p w14:paraId="75D993AD">
      <w:pPr>
        <w:spacing w:line="270" w:lineRule="auto"/>
        <w:rPr>
          <w:rFonts w:ascii="Arial"/>
          <w:sz w:val="21"/>
        </w:rPr>
      </w:pPr>
    </w:p>
    <w:p w14:paraId="6400A8E0">
      <w:pPr>
        <w:spacing w:line="270" w:lineRule="auto"/>
        <w:rPr>
          <w:rFonts w:ascii="Arial"/>
          <w:sz w:val="21"/>
        </w:rPr>
      </w:pPr>
    </w:p>
    <w:p w14:paraId="4DE57E4E">
      <w:pPr>
        <w:spacing w:line="270" w:lineRule="auto"/>
        <w:rPr>
          <w:rFonts w:ascii="Arial"/>
          <w:sz w:val="21"/>
        </w:rPr>
      </w:pPr>
    </w:p>
    <w:p w14:paraId="1E94FF19">
      <w:pPr>
        <w:pStyle w:val="2"/>
        <w:spacing w:before="69" w:line="219" w:lineRule="auto"/>
        <w:ind w:left="519"/>
        <w:rPr>
          <w:sz w:val="21"/>
          <w:szCs w:val="21"/>
        </w:rPr>
      </w:pPr>
      <w:r>
        <w:rPr>
          <w:spacing w:val="3"/>
          <w:sz w:val="21"/>
          <w:szCs w:val="21"/>
        </w:rPr>
        <w:t>(5)发包人和承包人应在合同解除后进行清算，出具最终结清付</w:t>
      </w:r>
      <w:r>
        <w:rPr>
          <w:spacing w:val="2"/>
          <w:sz w:val="21"/>
          <w:szCs w:val="21"/>
        </w:rPr>
        <w:t>款证书，结清全部款项。</w:t>
      </w:r>
    </w:p>
    <w:p w14:paraId="32B730F3">
      <w:pPr>
        <w:pStyle w:val="2"/>
        <w:spacing w:before="171" w:line="367" w:lineRule="auto"/>
        <w:ind w:right="84" w:firstLine="419"/>
        <w:rPr>
          <w:sz w:val="17"/>
          <w:szCs w:val="17"/>
        </w:rPr>
      </w:pPr>
      <w:r>
        <w:rPr>
          <w:spacing w:val="2"/>
          <w:sz w:val="21"/>
          <w:szCs w:val="21"/>
        </w:rPr>
        <w:t>因承包人违约解除合同的，发包人有权暂停对承包人的付款，查清各项付款和已扣款项</w:t>
      </w:r>
      <w:r>
        <w:rPr>
          <w:spacing w:val="1"/>
          <w:sz w:val="21"/>
          <w:szCs w:val="21"/>
        </w:rPr>
        <w:t>。发</w:t>
      </w:r>
      <w:r>
        <w:rPr>
          <w:sz w:val="21"/>
          <w:szCs w:val="21"/>
        </w:rPr>
        <w:t xml:space="preserve"> </w:t>
      </w:r>
      <w:r>
        <w:rPr>
          <w:spacing w:val="2"/>
          <w:sz w:val="21"/>
          <w:szCs w:val="21"/>
        </w:rPr>
        <w:t>包人和承包人未能就合同解除后的清算和款项支付达成一致的，按照第20条〔争议解决〕</w:t>
      </w:r>
      <w:r>
        <w:rPr>
          <w:spacing w:val="1"/>
          <w:sz w:val="21"/>
          <w:szCs w:val="21"/>
        </w:rPr>
        <w:t>的约定</w:t>
      </w:r>
      <w:r>
        <w:rPr>
          <w:sz w:val="21"/>
          <w:szCs w:val="21"/>
        </w:rPr>
        <w:t xml:space="preserve"> </w:t>
      </w:r>
      <w:r>
        <w:rPr>
          <w:spacing w:val="-7"/>
          <w:sz w:val="17"/>
          <w:szCs w:val="17"/>
        </w:rPr>
        <w:t>处</w:t>
      </w:r>
      <w:r>
        <w:rPr>
          <w:spacing w:val="-21"/>
          <w:sz w:val="17"/>
          <w:szCs w:val="17"/>
        </w:rPr>
        <w:t xml:space="preserve"> </w:t>
      </w:r>
      <w:r>
        <w:rPr>
          <w:spacing w:val="-7"/>
          <w:sz w:val="17"/>
          <w:szCs w:val="17"/>
        </w:rPr>
        <w:t>理</w:t>
      </w:r>
      <w:r>
        <w:rPr>
          <w:spacing w:val="-30"/>
          <w:sz w:val="17"/>
          <w:szCs w:val="17"/>
        </w:rPr>
        <w:t xml:space="preserve"> </w:t>
      </w:r>
      <w:r>
        <w:rPr>
          <w:spacing w:val="-7"/>
          <w:sz w:val="17"/>
          <w:szCs w:val="17"/>
        </w:rPr>
        <w:t>。</w:t>
      </w:r>
    </w:p>
    <w:p w14:paraId="2F80A61E">
      <w:pPr>
        <w:pStyle w:val="2"/>
        <w:spacing w:before="6" w:line="219" w:lineRule="auto"/>
        <w:ind w:left="419"/>
        <w:rPr>
          <w:sz w:val="21"/>
          <w:szCs w:val="21"/>
        </w:rPr>
      </w:pPr>
      <w:r>
        <w:rPr>
          <w:spacing w:val="-2"/>
          <w:sz w:val="21"/>
          <w:szCs w:val="21"/>
        </w:rPr>
        <w:t>16.2.5采购合同权益转让</w:t>
      </w:r>
    </w:p>
    <w:p w14:paraId="49DA6A6C">
      <w:pPr>
        <w:pStyle w:val="2"/>
        <w:spacing w:before="172" w:line="339" w:lineRule="auto"/>
        <w:ind w:right="69" w:firstLine="419"/>
        <w:rPr>
          <w:sz w:val="21"/>
          <w:szCs w:val="21"/>
        </w:rPr>
      </w:pPr>
      <w:r>
        <w:rPr>
          <w:spacing w:val="2"/>
          <w:sz w:val="21"/>
          <w:szCs w:val="21"/>
        </w:rPr>
        <w:t>因承包人违约解除合同的，发包人有权要求承包人将其为实施合同而签订的材料和设备的采</w:t>
      </w:r>
      <w:r>
        <w:rPr>
          <w:spacing w:val="18"/>
          <w:sz w:val="21"/>
          <w:szCs w:val="21"/>
        </w:rPr>
        <w:t xml:space="preserve"> </w:t>
      </w:r>
      <w:r>
        <w:rPr>
          <w:spacing w:val="2"/>
          <w:sz w:val="21"/>
          <w:szCs w:val="21"/>
        </w:rPr>
        <w:t>购合同的权益转让给发包人，承包人应在收到解除合同通知后14天内，协助发包人与采购合同的</w:t>
      </w:r>
      <w:r>
        <w:rPr>
          <w:sz w:val="21"/>
          <w:szCs w:val="21"/>
        </w:rPr>
        <w:t xml:space="preserve"> </w:t>
      </w:r>
      <w:r>
        <w:rPr>
          <w:spacing w:val="-3"/>
          <w:sz w:val="21"/>
          <w:szCs w:val="21"/>
        </w:rPr>
        <w:t>供应商达成相关的转让协议。</w:t>
      </w:r>
    </w:p>
    <w:p w14:paraId="72129C10">
      <w:pPr>
        <w:pStyle w:val="2"/>
        <w:spacing w:line="221" w:lineRule="auto"/>
        <w:ind w:left="3"/>
        <w:rPr>
          <w:rFonts w:ascii="黑体" w:hAnsi="黑体" w:eastAsia="黑体" w:cs="黑体"/>
        </w:rPr>
      </w:pPr>
      <w:r>
        <w:rPr>
          <w:b/>
          <w:bCs/>
          <w:spacing w:val="-9"/>
        </w:rPr>
        <w:t>16.3</w:t>
      </w:r>
      <w:r>
        <w:rPr>
          <w:spacing w:val="-9"/>
        </w:rPr>
        <w:t xml:space="preserve"> </w:t>
      </w:r>
      <w:r>
        <w:rPr>
          <w:rFonts w:ascii="黑体" w:hAnsi="黑体" w:eastAsia="黑体" w:cs="黑体"/>
          <w:b/>
          <w:bCs/>
          <w:spacing w:val="-9"/>
        </w:rPr>
        <w:t>第三人造成的违约</w:t>
      </w:r>
    </w:p>
    <w:p w14:paraId="657C43B5">
      <w:pPr>
        <w:pStyle w:val="2"/>
        <w:spacing w:before="133" w:line="344" w:lineRule="auto"/>
        <w:ind w:right="84" w:firstLine="419"/>
        <w:rPr>
          <w:sz w:val="21"/>
          <w:szCs w:val="21"/>
        </w:rPr>
      </w:pPr>
      <w:r>
        <w:rPr>
          <w:spacing w:val="2"/>
          <w:sz w:val="21"/>
          <w:szCs w:val="21"/>
        </w:rPr>
        <w:t xml:space="preserve">在履行合同过程中，一方当事人因第三人的原因造成违约的，应当向对方当事人承担违约责 </w:t>
      </w:r>
      <w:r>
        <w:rPr>
          <w:sz w:val="21"/>
          <w:szCs w:val="21"/>
        </w:rPr>
        <w:t>任。一方当事人和第三人之间的纠纷，依照法律规定或者按</w:t>
      </w:r>
      <w:r>
        <w:rPr>
          <w:spacing w:val="-1"/>
          <w:sz w:val="21"/>
          <w:szCs w:val="21"/>
        </w:rPr>
        <w:t>照约定解决。</w:t>
      </w:r>
    </w:p>
    <w:p w14:paraId="5142C663">
      <w:pPr>
        <w:pStyle w:val="2"/>
        <w:spacing w:before="34" w:line="221" w:lineRule="auto"/>
        <w:ind w:left="4"/>
        <w:rPr>
          <w:rFonts w:ascii="黑体" w:hAnsi="黑体" w:eastAsia="黑体" w:cs="黑体"/>
          <w:sz w:val="30"/>
          <w:szCs w:val="30"/>
        </w:rPr>
      </w:pPr>
      <w:r>
        <w:rPr>
          <w:b/>
          <w:bCs/>
          <w:spacing w:val="-4"/>
          <w:sz w:val="30"/>
          <w:szCs w:val="30"/>
        </w:rPr>
        <w:t>17.</w:t>
      </w:r>
      <w:r>
        <w:rPr>
          <w:rFonts w:ascii="黑体" w:hAnsi="黑体" w:eastAsia="黑体" w:cs="黑体"/>
          <w:b/>
          <w:bCs/>
          <w:spacing w:val="-4"/>
          <w:sz w:val="30"/>
          <w:szCs w:val="30"/>
        </w:rPr>
        <w:t>不可抗力</w:t>
      </w:r>
    </w:p>
    <w:p w14:paraId="4850D8DF">
      <w:pPr>
        <w:pStyle w:val="2"/>
        <w:spacing w:before="80" w:line="221" w:lineRule="auto"/>
        <w:ind w:left="3"/>
        <w:rPr>
          <w:rFonts w:ascii="黑体" w:hAnsi="黑体" w:eastAsia="黑体" w:cs="黑体"/>
        </w:rPr>
      </w:pPr>
      <w:r>
        <w:rPr>
          <w:b/>
          <w:bCs/>
          <w:spacing w:val="-11"/>
        </w:rPr>
        <w:t>17.1</w:t>
      </w:r>
      <w:r>
        <w:rPr>
          <w:spacing w:val="-11"/>
        </w:rPr>
        <w:t xml:space="preserve"> </w:t>
      </w:r>
      <w:r>
        <w:rPr>
          <w:rFonts w:ascii="黑体" w:hAnsi="黑体" w:eastAsia="黑体" w:cs="黑体"/>
          <w:b/>
          <w:bCs/>
          <w:spacing w:val="-11"/>
        </w:rPr>
        <w:t>不可抗力的确认</w:t>
      </w:r>
    </w:p>
    <w:p w14:paraId="25FA978C">
      <w:pPr>
        <w:pStyle w:val="2"/>
        <w:spacing w:before="133" w:line="354" w:lineRule="auto"/>
        <w:ind w:right="62" w:firstLine="419"/>
        <w:jc w:val="both"/>
        <w:rPr>
          <w:sz w:val="21"/>
          <w:szCs w:val="21"/>
        </w:rPr>
      </w:pPr>
      <w:r>
        <w:rPr>
          <w:spacing w:val="3"/>
          <w:sz w:val="21"/>
          <w:szCs w:val="21"/>
        </w:rPr>
        <w:t>不可抗力是指合同当事人在签订合同时不可预见，在合同</w:t>
      </w:r>
      <w:r>
        <w:rPr>
          <w:spacing w:val="2"/>
          <w:sz w:val="21"/>
          <w:szCs w:val="21"/>
        </w:rPr>
        <w:t>履行过程中不可避免且不能克服的</w:t>
      </w:r>
      <w:r>
        <w:rPr>
          <w:sz w:val="21"/>
          <w:szCs w:val="21"/>
        </w:rPr>
        <w:t xml:space="preserve"> </w:t>
      </w:r>
      <w:r>
        <w:rPr>
          <w:spacing w:val="2"/>
          <w:sz w:val="21"/>
          <w:szCs w:val="21"/>
        </w:rPr>
        <w:t>自然灾害和社会性突发事件，如地震、海啸、瘟疫、骚乱、戒严、暴动、战争和专用合同条款中</w:t>
      </w:r>
      <w:r>
        <w:rPr>
          <w:spacing w:val="7"/>
          <w:sz w:val="21"/>
          <w:szCs w:val="21"/>
        </w:rPr>
        <w:t xml:space="preserve"> </w:t>
      </w:r>
      <w:r>
        <w:rPr>
          <w:spacing w:val="-5"/>
          <w:sz w:val="21"/>
          <w:szCs w:val="21"/>
        </w:rPr>
        <w:t>约定的其他情形。</w:t>
      </w:r>
    </w:p>
    <w:p w14:paraId="0129ABA7">
      <w:pPr>
        <w:pStyle w:val="2"/>
        <w:spacing w:before="23" w:line="333" w:lineRule="auto"/>
        <w:ind w:right="71" w:firstLine="419"/>
        <w:jc w:val="both"/>
        <w:rPr>
          <w:sz w:val="21"/>
          <w:szCs w:val="21"/>
        </w:rPr>
      </w:pPr>
      <w:r>
        <w:rPr>
          <w:spacing w:val="2"/>
          <w:sz w:val="21"/>
          <w:szCs w:val="21"/>
        </w:rPr>
        <w:t>不可抗力发生后，发包人和承包人应收集证明不可抗力发生及不可抗力造成损失的证</w:t>
      </w:r>
      <w:r>
        <w:rPr>
          <w:spacing w:val="1"/>
          <w:sz w:val="21"/>
          <w:szCs w:val="21"/>
        </w:rPr>
        <w:t>据，并</w:t>
      </w:r>
      <w:r>
        <w:rPr>
          <w:sz w:val="21"/>
          <w:szCs w:val="21"/>
        </w:rPr>
        <w:t xml:space="preserve"> </w:t>
      </w:r>
      <w:r>
        <w:rPr>
          <w:spacing w:val="2"/>
          <w:sz w:val="21"/>
          <w:szCs w:val="21"/>
        </w:rPr>
        <w:t>及时认真统计所造成的损失。合同当事人对是否属于不可抗力或其损失的意见不一致的，由监理</w:t>
      </w:r>
      <w:r>
        <w:rPr>
          <w:spacing w:val="12"/>
          <w:sz w:val="21"/>
          <w:szCs w:val="21"/>
        </w:rPr>
        <w:t xml:space="preserve"> </w:t>
      </w:r>
      <w:r>
        <w:rPr>
          <w:spacing w:val="4"/>
          <w:sz w:val="21"/>
          <w:szCs w:val="21"/>
        </w:rPr>
        <w:t>人按第4.4款〔商定或确定〕的约定处理。发生争议时，按第20条〔争议解决〕的约定处理。</w:t>
      </w:r>
    </w:p>
    <w:p w14:paraId="63A9A037">
      <w:pPr>
        <w:pStyle w:val="2"/>
        <w:spacing w:before="1" w:line="220" w:lineRule="auto"/>
        <w:ind w:left="3"/>
        <w:rPr>
          <w:rFonts w:ascii="黑体" w:hAnsi="黑体" w:eastAsia="黑体" w:cs="黑体"/>
        </w:rPr>
      </w:pPr>
      <w:r>
        <w:rPr>
          <w:b/>
          <w:bCs/>
          <w:spacing w:val="-11"/>
        </w:rPr>
        <w:t>17.2</w:t>
      </w:r>
      <w:r>
        <w:rPr>
          <w:spacing w:val="-11"/>
        </w:rPr>
        <w:t xml:space="preserve"> </w:t>
      </w:r>
      <w:r>
        <w:rPr>
          <w:rFonts w:ascii="黑体" w:hAnsi="黑体" w:eastAsia="黑体" w:cs="黑体"/>
          <w:b/>
          <w:bCs/>
          <w:spacing w:val="-11"/>
        </w:rPr>
        <w:t>不可抗力的通知</w:t>
      </w:r>
    </w:p>
    <w:p w14:paraId="47D2CFE9">
      <w:pPr>
        <w:pStyle w:val="2"/>
        <w:spacing w:before="124" w:line="369" w:lineRule="auto"/>
        <w:ind w:right="90" w:firstLine="419"/>
        <w:rPr>
          <w:sz w:val="21"/>
          <w:szCs w:val="21"/>
        </w:rPr>
      </w:pPr>
      <w:r>
        <w:rPr>
          <w:spacing w:val="2"/>
          <w:sz w:val="21"/>
          <w:szCs w:val="21"/>
        </w:rPr>
        <w:t>合同一方当事人遇到不可抗力事件，使其履行合同义务受到阻碍时，应立即通知合同</w:t>
      </w:r>
      <w:r>
        <w:rPr>
          <w:spacing w:val="1"/>
          <w:sz w:val="21"/>
          <w:szCs w:val="21"/>
        </w:rPr>
        <w:t>另一方</w:t>
      </w:r>
      <w:r>
        <w:rPr>
          <w:sz w:val="21"/>
          <w:szCs w:val="21"/>
        </w:rPr>
        <w:t xml:space="preserve"> </w:t>
      </w:r>
      <w:r>
        <w:rPr>
          <w:spacing w:val="-2"/>
          <w:sz w:val="21"/>
          <w:szCs w:val="21"/>
        </w:rPr>
        <w:t>当事人和监理人，书面说明不可抗力和受阻碍的详细情况，并提供必要的证明。</w:t>
      </w:r>
    </w:p>
    <w:p w14:paraId="5AD9BEC4">
      <w:pPr>
        <w:pStyle w:val="2"/>
        <w:spacing w:before="2" w:line="326" w:lineRule="auto"/>
        <w:ind w:firstLine="419"/>
        <w:rPr>
          <w:sz w:val="21"/>
          <w:szCs w:val="21"/>
        </w:rPr>
      </w:pPr>
      <w:r>
        <w:rPr>
          <w:spacing w:val="1"/>
          <w:sz w:val="21"/>
          <w:szCs w:val="21"/>
        </w:rPr>
        <w:t>不可抗力持续发生的，合同一方当事人应及时向合同另一方当事人和监理人提交中间报告，</w:t>
      </w:r>
      <w:r>
        <w:rPr>
          <w:spacing w:val="2"/>
          <w:sz w:val="21"/>
          <w:szCs w:val="21"/>
        </w:rPr>
        <w:t xml:space="preserve">  </w:t>
      </w:r>
      <w:r>
        <w:rPr>
          <w:spacing w:val="-1"/>
          <w:sz w:val="21"/>
          <w:szCs w:val="21"/>
        </w:rPr>
        <w:t>说明不可抗力和履行合同受阻的情况，并于不可抗力事件结束后28天内提交最终报告及有关资料。</w:t>
      </w:r>
    </w:p>
    <w:p w14:paraId="49C2F8B9">
      <w:pPr>
        <w:pStyle w:val="2"/>
        <w:spacing w:before="4" w:line="221" w:lineRule="auto"/>
        <w:ind w:left="3"/>
        <w:rPr>
          <w:rFonts w:ascii="黑体" w:hAnsi="黑体" w:eastAsia="黑体" w:cs="黑体"/>
        </w:rPr>
      </w:pPr>
      <w:r>
        <w:rPr>
          <w:b/>
          <w:bCs/>
          <w:spacing w:val="-10"/>
        </w:rPr>
        <w:t>17.3</w:t>
      </w:r>
      <w:r>
        <w:rPr>
          <w:spacing w:val="-10"/>
        </w:rPr>
        <w:t xml:space="preserve"> </w:t>
      </w:r>
      <w:r>
        <w:rPr>
          <w:rFonts w:ascii="黑体" w:hAnsi="黑体" w:eastAsia="黑体" w:cs="黑体"/>
          <w:b/>
          <w:bCs/>
          <w:spacing w:val="-10"/>
        </w:rPr>
        <w:t>不可抗力后果的承担</w:t>
      </w:r>
    </w:p>
    <w:p w14:paraId="685481CE">
      <w:pPr>
        <w:pStyle w:val="2"/>
        <w:spacing w:before="134" w:line="286" w:lineRule="auto"/>
        <w:ind w:right="93" w:firstLine="419"/>
        <w:rPr>
          <w:sz w:val="21"/>
          <w:szCs w:val="21"/>
        </w:rPr>
      </w:pPr>
      <w:r>
        <w:rPr>
          <w:spacing w:val="-1"/>
          <w:sz w:val="21"/>
          <w:szCs w:val="21"/>
        </w:rPr>
        <w:t>17.3.1 不可抗力引起的后果及造成的损失由合同当事人按照法律规定及合同约定各自承担。</w:t>
      </w:r>
      <w:r>
        <w:rPr>
          <w:spacing w:val="13"/>
          <w:sz w:val="21"/>
          <w:szCs w:val="21"/>
        </w:rPr>
        <w:t xml:space="preserve"> </w:t>
      </w:r>
      <w:r>
        <w:rPr>
          <w:spacing w:val="-2"/>
          <w:sz w:val="21"/>
          <w:szCs w:val="21"/>
        </w:rPr>
        <w:t>不可抗力发生前已完成的工程应当按照合同约定进行计量支付。</w:t>
      </w:r>
    </w:p>
    <w:p w14:paraId="5132813B">
      <w:pPr>
        <w:pStyle w:val="2"/>
        <w:spacing w:before="159" w:line="286" w:lineRule="auto"/>
        <w:ind w:right="79" w:firstLine="419"/>
        <w:rPr>
          <w:sz w:val="21"/>
          <w:szCs w:val="21"/>
        </w:rPr>
      </w:pPr>
      <w:r>
        <w:rPr>
          <w:spacing w:val="4"/>
          <w:sz w:val="21"/>
          <w:szCs w:val="21"/>
        </w:rPr>
        <w:t>17.3.2 不可抗力导致的人员伤亡、财产损失、费用增加和(或)工期延误等后果，由合同当</w:t>
      </w:r>
      <w:r>
        <w:rPr>
          <w:spacing w:val="17"/>
          <w:sz w:val="21"/>
          <w:szCs w:val="21"/>
        </w:rPr>
        <w:t xml:space="preserve"> </w:t>
      </w:r>
      <w:r>
        <w:rPr>
          <w:spacing w:val="-6"/>
          <w:sz w:val="21"/>
          <w:szCs w:val="21"/>
        </w:rPr>
        <w:t>事人按以下原则承担：</w:t>
      </w:r>
    </w:p>
    <w:p w14:paraId="61293E88">
      <w:pPr>
        <w:pStyle w:val="2"/>
        <w:spacing w:before="130" w:line="290" w:lineRule="auto"/>
        <w:ind w:right="90" w:firstLine="519"/>
        <w:rPr>
          <w:sz w:val="21"/>
          <w:szCs w:val="21"/>
        </w:rPr>
      </w:pPr>
      <w:r>
        <w:rPr>
          <w:spacing w:val="2"/>
          <w:sz w:val="21"/>
          <w:szCs w:val="21"/>
        </w:rPr>
        <w:t>(1)永久工程、已运至施工现场的材料和工程设备的损坏，以及因工程损坏造成的第三人人</w:t>
      </w:r>
      <w:r>
        <w:rPr>
          <w:sz w:val="21"/>
          <w:szCs w:val="21"/>
        </w:rPr>
        <w:t xml:space="preserve"> </w:t>
      </w:r>
      <w:r>
        <w:rPr>
          <w:spacing w:val="-5"/>
          <w:sz w:val="21"/>
          <w:szCs w:val="21"/>
        </w:rPr>
        <w:t>员伤亡和财产损失由发包人承担；</w:t>
      </w:r>
    </w:p>
    <w:p w14:paraId="5E56D8BF">
      <w:pPr>
        <w:pStyle w:val="2"/>
        <w:spacing w:before="161" w:line="219" w:lineRule="auto"/>
        <w:ind w:left="519"/>
        <w:rPr>
          <w:sz w:val="21"/>
          <w:szCs w:val="21"/>
        </w:rPr>
      </w:pPr>
      <w:r>
        <w:rPr>
          <w:spacing w:val="2"/>
          <w:sz w:val="21"/>
          <w:szCs w:val="21"/>
        </w:rPr>
        <w:t>(2)承包人施工设备的损坏由承包人承担；</w:t>
      </w:r>
    </w:p>
    <w:p w14:paraId="59C8F4D7">
      <w:pPr>
        <w:pStyle w:val="2"/>
        <w:spacing w:before="141" w:line="219" w:lineRule="auto"/>
        <w:ind w:left="519"/>
        <w:rPr>
          <w:sz w:val="21"/>
          <w:szCs w:val="21"/>
        </w:rPr>
      </w:pPr>
      <w:r>
        <w:rPr>
          <w:sz w:val="21"/>
          <w:szCs w:val="21"/>
        </w:rPr>
        <w:t>(3)发包人和承包人承担各自人员伤亡和财产的损失；</w:t>
      </w:r>
    </w:p>
    <w:p w14:paraId="0710F119">
      <w:pPr>
        <w:spacing w:line="219" w:lineRule="auto"/>
        <w:rPr>
          <w:sz w:val="21"/>
          <w:szCs w:val="21"/>
        </w:rPr>
        <w:sectPr>
          <w:footerReference r:id="rId236" w:type="default"/>
          <w:pgSz w:w="11910" w:h="16840"/>
          <w:pgMar w:top="400" w:right="1461" w:bottom="1024" w:left="1460" w:header="0" w:footer="889" w:gutter="0"/>
          <w:cols w:space="720" w:num="1"/>
        </w:sectPr>
      </w:pPr>
    </w:p>
    <w:p w14:paraId="41524AB1">
      <w:pPr>
        <w:spacing w:line="273" w:lineRule="auto"/>
        <w:rPr>
          <w:rFonts w:ascii="Arial"/>
          <w:sz w:val="21"/>
        </w:rPr>
      </w:pPr>
    </w:p>
    <w:p w14:paraId="73D75471">
      <w:pPr>
        <w:spacing w:line="273" w:lineRule="auto"/>
        <w:rPr>
          <w:rFonts w:ascii="Arial"/>
          <w:sz w:val="21"/>
        </w:rPr>
      </w:pPr>
    </w:p>
    <w:p w14:paraId="4A09650B">
      <w:pPr>
        <w:spacing w:line="273" w:lineRule="auto"/>
        <w:rPr>
          <w:rFonts w:ascii="Arial"/>
          <w:sz w:val="21"/>
        </w:rPr>
      </w:pPr>
    </w:p>
    <w:p w14:paraId="54A3A476">
      <w:pPr>
        <w:spacing w:line="273" w:lineRule="auto"/>
        <w:rPr>
          <w:rFonts w:ascii="Arial"/>
          <w:sz w:val="21"/>
        </w:rPr>
      </w:pPr>
    </w:p>
    <w:p w14:paraId="55F746A7">
      <w:pPr>
        <w:spacing w:line="273" w:lineRule="auto"/>
        <w:rPr>
          <w:rFonts w:ascii="Arial"/>
          <w:sz w:val="21"/>
        </w:rPr>
      </w:pPr>
    </w:p>
    <w:p w14:paraId="6D5A909B">
      <w:pPr>
        <w:pStyle w:val="2"/>
        <w:spacing w:before="65" w:line="319" w:lineRule="auto"/>
        <w:ind w:right="87" w:firstLine="519"/>
        <w:rPr>
          <w:sz w:val="20"/>
          <w:szCs w:val="20"/>
        </w:rPr>
      </w:pPr>
      <w:r>
        <w:rPr>
          <w:spacing w:val="12"/>
          <w:sz w:val="20"/>
          <w:szCs w:val="20"/>
        </w:rPr>
        <w:t>(4)因不可抗力影响承包人履行合同约定的义务，已经引起或将</w:t>
      </w:r>
      <w:r>
        <w:rPr>
          <w:spacing w:val="11"/>
          <w:sz w:val="20"/>
          <w:szCs w:val="20"/>
        </w:rPr>
        <w:t>引起工期延误的，应当顺延</w:t>
      </w:r>
      <w:r>
        <w:rPr>
          <w:sz w:val="20"/>
          <w:szCs w:val="20"/>
        </w:rPr>
        <w:t xml:space="preserve"> </w:t>
      </w:r>
      <w:r>
        <w:rPr>
          <w:spacing w:val="12"/>
          <w:sz w:val="20"/>
          <w:szCs w:val="20"/>
        </w:rPr>
        <w:t>工期，由此导致承包人停工的费用损失由发包人和承包人合理分担，停工期间必须支</w:t>
      </w:r>
      <w:r>
        <w:rPr>
          <w:spacing w:val="11"/>
          <w:sz w:val="20"/>
          <w:szCs w:val="20"/>
        </w:rPr>
        <w:t>付的工人工</w:t>
      </w:r>
      <w:r>
        <w:rPr>
          <w:sz w:val="20"/>
          <w:szCs w:val="20"/>
        </w:rPr>
        <w:t xml:space="preserve"> </w:t>
      </w:r>
      <w:r>
        <w:rPr>
          <w:spacing w:val="3"/>
          <w:sz w:val="20"/>
          <w:szCs w:val="20"/>
        </w:rPr>
        <w:t>资由发包人承担；</w:t>
      </w:r>
    </w:p>
    <w:p w14:paraId="25FE07F9">
      <w:pPr>
        <w:pStyle w:val="2"/>
        <w:spacing w:before="141" w:line="304" w:lineRule="auto"/>
        <w:ind w:right="90" w:firstLine="519"/>
        <w:rPr>
          <w:sz w:val="20"/>
          <w:szCs w:val="20"/>
        </w:rPr>
      </w:pPr>
      <w:r>
        <w:rPr>
          <w:spacing w:val="12"/>
          <w:sz w:val="20"/>
          <w:szCs w:val="20"/>
        </w:rPr>
        <w:t>(5)因不可抗力引起或将引起工期延误，发包人要求赶工</w:t>
      </w:r>
      <w:r>
        <w:rPr>
          <w:spacing w:val="11"/>
          <w:sz w:val="20"/>
          <w:szCs w:val="20"/>
        </w:rPr>
        <w:t>的，由此增加的赶工费用由发包人</w:t>
      </w:r>
      <w:r>
        <w:rPr>
          <w:sz w:val="20"/>
          <w:szCs w:val="20"/>
        </w:rPr>
        <w:t xml:space="preserve"> </w:t>
      </w:r>
      <w:r>
        <w:rPr>
          <w:spacing w:val="-3"/>
          <w:sz w:val="20"/>
          <w:szCs w:val="20"/>
        </w:rPr>
        <w:t>承担；</w:t>
      </w:r>
    </w:p>
    <w:p w14:paraId="792BD6A9">
      <w:pPr>
        <w:pStyle w:val="2"/>
        <w:spacing w:before="172" w:line="219" w:lineRule="auto"/>
        <w:ind w:left="519"/>
        <w:rPr>
          <w:sz w:val="20"/>
          <w:szCs w:val="20"/>
        </w:rPr>
      </w:pPr>
      <w:r>
        <w:rPr>
          <w:spacing w:val="12"/>
          <w:sz w:val="20"/>
          <w:szCs w:val="20"/>
        </w:rPr>
        <w:t>(6)承包人在停工期间按照发包人要求照管、</w:t>
      </w:r>
      <w:r>
        <w:rPr>
          <w:spacing w:val="11"/>
          <w:sz w:val="20"/>
          <w:szCs w:val="20"/>
        </w:rPr>
        <w:t>清理和修复工程的费用由发包人承担。</w:t>
      </w:r>
    </w:p>
    <w:p w14:paraId="3DD6AC0C">
      <w:pPr>
        <w:pStyle w:val="2"/>
        <w:spacing w:before="161" w:line="365" w:lineRule="auto"/>
        <w:ind w:right="89" w:firstLine="419"/>
        <w:rPr>
          <w:sz w:val="20"/>
          <w:szCs w:val="20"/>
        </w:rPr>
      </w:pPr>
      <w:r>
        <w:rPr>
          <w:spacing w:val="12"/>
          <w:sz w:val="20"/>
          <w:szCs w:val="20"/>
        </w:rPr>
        <w:t>不可抗力发生后，合同当事人均应采取措施尽量避免和减少损失的扩大，任何一方当事</w:t>
      </w:r>
      <w:r>
        <w:rPr>
          <w:spacing w:val="11"/>
          <w:sz w:val="20"/>
          <w:szCs w:val="20"/>
        </w:rPr>
        <w:t>人没</w:t>
      </w:r>
      <w:r>
        <w:rPr>
          <w:sz w:val="20"/>
          <w:szCs w:val="20"/>
        </w:rPr>
        <w:t xml:space="preserve"> </w:t>
      </w:r>
      <w:r>
        <w:rPr>
          <w:spacing w:val="9"/>
          <w:sz w:val="20"/>
          <w:szCs w:val="20"/>
        </w:rPr>
        <w:t>有采取有效措施导致损失扩大的，应对扩大的损失承</w:t>
      </w:r>
      <w:r>
        <w:rPr>
          <w:spacing w:val="8"/>
          <w:sz w:val="20"/>
          <w:szCs w:val="20"/>
        </w:rPr>
        <w:t>担责任。</w:t>
      </w:r>
    </w:p>
    <w:p w14:paraId="6F1D7C49">
      <w:pPr>
        <w:pStyle w:val="2"/>
        <w:spacing w:line="219" w:lineRule="auto"/>
        <w:ind w:left="419"/>
        <w:rPr>
          <w:sz w:val="20"/>
          <w:szCs w:val="20"/>
        </w:rPr>
      </w:pPr>
      <w:r>
        <w:rPr>
          <w:spacing w:val="9"/>
          <w:sz w:val="20"/>
          <w:szCs w:val="20"/>
        </w:rPr>
        <w:t>因合同一方迟延履行合同义务，在迟延履行期间遭遇不可抗力的，不免除其违</w:t>
      </w:r>
      <w:r>
        <w:rPr>
          <w:spacing w:val="8"/>
          <w:sz w:val="20"/>
          <w:szCs w:val="20"/>
        </w:rPr>
        <w:t>约责任。</w:t>
      </w:r>
    </w:p>
    <w:p w14:paraId="4729F4CE">
      <w:pPr>
        <w:pStyle w:val="2"/>
        <w:spacing w:before="109" w:line="221" w:lineRule="auto"/>
        <w:ind w:left="3"/>
        <w:rPr>
          <w:rFonts w:ascii="黑体" w:hAnsi="黑体" w:eastAsia="黑体" w:cs="黑体"/>
        </w:rPr>
      </w:pPr>
      <w:r>
        <w:rPr>
          <w:b/>
          <w:bCs/>
          <w:spacing w:val="-11"/>
        </w:rPr>
        <w:t>17.4</w:t>
      </w:r>
      <w:r>
        <w:rPr>
          <w:spacing w:val="-11"/>
        </w:rPr>
        <w:t xml:space="preserve"> </w:t>
      </w:r>
      <w:r>
        <w:rPr>
          <w:rFonts w:ascii="黑体" w:hAnsi="黑体" w:eastAsia="黑体" w:cs="黑体"/>
          <w:b/>
          <w:bCs/>
          <w:spacing w:val="-11"/>
        </w:rPr>
        <w:t>因不可抗力解除合同</w:t>
      </w:r>
    </w:p>
    <w:p w14:paraId="7A81E703">
      <w:pPr>
        <w:pStyle w:val="2"/>
        <w:spacing w:before="164" w:line="362" w:lineRule="auto"/>
        <w:ind w:firstLine="419"/>
        <w:jc w:val="both"/>
        <w:rPr>
          <w:sz w:val="20"/>
          <w:szCs w:val="20"/>
        </w:rPr>
      </w:pPr>
      <w:r>
        <w:rPr>
          <w:spacing w:val="14"/>
          <w:sz w:val="20"/>
          <w:szCs w:val="20"/>
        </w:rPr>
        <w:t>因不可抗力导致合同无法履行连续超过84天或累计超过140天</w:t>
      </w:r>
      <w:r>
        <w:rPr>
          <w:spacing w:val="13"/>
          <w:sz w:val="20"/>
          <w:szCs w:val="20"/>
        </w:rPr>
        <w:t>的，发包人和承包人均有权解</w:t>
      </w:r>
      <w:r>
        <w:rPr>
          <w:sz w:val="20"/>
          <w:szCs w:val="20"/>
        </w:rPr>
        <w:t xml:space="preserve">  </w:t>
      </w:r>
      <w:r>
        <w:rPr>
          <w:spacing w:val="6"/>
          <w:sz w:val="20"/>
          <w:szCs w:val="20"/>
        </w:rPr>
        <w:t>除合同。合同解除后，由双方当事人按照第4.4款〔商定或确定〕商定或确定发包人应支付的款项，</w:t>
      </w:r>
      <w:r>
        <w:rPr>
          <w:spacing w:val="18"/>
          <w:sz w:val="20"/>
          <w:szCs w:val="20"/>
        </w:rPr>
        <w:t xml:space="preserve"> </w:t>
      </w:r>
      <w:r>
        <w:rPr>
          <w:sz w:val="20"/>
          <w:szCs w:val="20"/>
        </w:rPr>
        <w:t>该款项包括：</w:t>
      </w:r>
    </w:p>
    <w:p w14:paraId="3F805B0F">
      <w:pPr>
        <w:pStyle w:val="2"/>
        <w:spacing w:before="22" w:line="218" w:lineRule="auto"/>
        <w:ind w:left="519"/>
        <w:rPr>
          <w:sz w:val="20"/>
          <w:szCs w:val="20"/>
        </w:rPr>
      </w:pPr>
      <w:r>
        <w:rPr>
          <w:spacing w:val="12"/>
          <w:sz w:val="20"/>
          <w:szCs w:val="20"/>
        </w:rPr>
        <w:t>(1)合同解除前承包人已完成工作的价款；</w:t>
      </w:r>
    </w:p>
    <w:p w14:paraId="46EEAFC4">
      <w:pPr>
        <w:pStyle w:val="2"/>
        <w:spacing w:before="155" w:line="293" w:lineRule="auto"/>
        <w:ind w:right="102" w:firstLine="519"/>
        <w:rPr>
          <w:sz w:val="20"/>
          <w:szCs w:val="20"/>
        </w:rPr>
      </w:pPr>
      <w:r>
        <w:rPr>
          <w:spacing w:val="11"/>
          <w:sz w:val="20"/>
          <w:szCs w:val="20"/>
        </w:rPr>
        <w:t>(2)承包人为工程订购的并已交付给承包人，或承包人有责任接受交付的材料、工程设备和</w:t>
      </w:r>
      <w:r>
        <w:rPr>
          <w:spacing w:val="14"/>
          <w:sz w:val="20"/>
          <w:szCs w:val="20"/>
        </w:rPr>
        <w:t xml:space="preserve"> </w:t>
      </w:r>
      <w:r>
        <w:rPr>
          <w:spacing w:val="-2"/>
          <w:sz w:val="20"/>
          <w:szCs w:val="20"/>
        </w:rPr>
        <w:t>其他物品的价款；</w:t>
      </w:r>
    </w:p>
    <w:p w14:paraId="3CB6D9D6">
      <w:pPr>
        <w:pStyle w:val="2"/>
        <w:spacing w:before="155" w:line="305" w:lineRule="auto"/>
        <w:ind w:right="90" w:firstLine="519"/>
        <w:rPr>
          <w:sz w:val="20"/>
          <w:szCs w:val="20"/>
        </w:rPr>
      </w:pPr>
      <w:r>
        <w:rPr>
          <w:spacing w:val="12"/>
          <w:sz w:val="20"/>
          <w:szCs w:val="20"/>
        </w:rPr>
        <w:t>(3)发包人要求承包人退货或解除订货合同而产生的费用，</w:t>
      </w:r>
      <w:r>
        <w:rPr>
          <w:spacing w:val="11"/>
          <w:sz w:val="20"/>
          <w:szCs w:val="20"/>
        </w:rPr>
        <w:t>或因不能退货或解除合同而产生</w:t>
      </w:r>
      <w:r>
        <w:rPr>
          <w:sz w:val="20"/>
          <w:szCs w:val="20"/>
        </w:rPr>
        <w:t xml:space="preserve"> </w:t>
      </w:r>
      <w:r>
        <w:rPr>
          <w:spacing w:val="-2"/>
          <w:sz w:val="20"/>
          <w:szCs w:val="20"/>
        </w:rPr>
        <w:t>的损失；</w:t>
      </w:r>
    </w:p>
    <w:p w14:paraId="6D187024">
      <w:pPr>
        <w:pStyle w:val="2"/>
        <w:spacing w:before="160" w:line="219" w:lineRule="auto"/>
        <w:ind w:left="519"/>
        <w:rPr>
          <w:sz w:val="20"/>
          <w:szCs w:val="20"/>
        </w:rPr>
      </w:pPr>
      <w:r>
        <w:rPr>
          <w:spacing w:val="11"/>
          <w:sz w:val="20"/>
          <w:szCs w:val="20"/>
        </w:rPr>
        <w:t>(4)承包人撤离施工现场以及遣散承包人人员的费用；</w:t>
      </w:r>
    </w:p>
    <w:p w14:paraId="006C0456">
      <w:pPr>
        <w:pStyle w:val="2"/>
        <w:spacing w:before="163" w:line="219" w:lineRule="auto"/>
        <w:ind w:left="519"/>
        <w:rPr>
          <w:sz w:val="20"/>
          <w:szCs w:val="20"/>
        </w:rPr>
      </w:pPr>
      <w:r>
        <w:rPr>
          <w:spacing w:val="11"/>
          <w:sz w:val="20"/>
          <w:szCs w:val="20"/>
        </w:rPr>
        <w:t>(5)按照合同约定在合同解除前应支付给承包人的其他款项；</w:t>
      </w:r>
    </w:p>
    <w:p w14:paraId="5C15A37A">
      <w:pPr>
        <w:pStyle w:val="2"/>
        <w:spacing w:before="173" w:line="219" w:lineRule="auto"/>
        <w:ind w:left="519"/>
        <w:rPr>
          <w:sz w:val="20"/>
          <w:szCs w:val="20"/>
        </w:rPr>
      </w:pPr>
      <w:r>
        <w:rPr>
          <w:spacing w:val="11"/>
          <w:sz w:val="20"/>
          <w:szCs w:val="20"/>
        </w:rPr>
        <w:t>(6)扣减承包人按照合同约定应向发包人支付的款项；</w:t>
      </w:r>
    </w:p>
    <w:p w14:paraId="1199DB0E">
      <w:pPr>
        <w:pStyle w:val="2"/>
        <w:spacing w:before="143" w:line="220" w:lineRule="auto"/>
        <w:ind w:left="519"/>
        <w:rPr>
          <w:sz w:val="20"/>
          <w:szCs w:val="20"/>
        </w:rPr>
      </w:pPr>
      <w:r>
        <w:rPr>
          <w:spacing w:val="13"/>
          <w:sz w:val="20"/>
          <w:szCs w:val="20"/>
        </w:rPr>
        <w:t>(7)双方商定或确定的其他款项。</w:t>
      </w:r>
    </w:p>
    <w:p w14:paraId="12506D1C">
      <w:pPr>
        <w:pStyle w:val="2"/>
        <w:spacing w:before="171" w:line="369" w:lineRule="auto"/>
        <w:ind w:right="90" w:firstLine="419"/>
        <w:rPr>
          <w:sz w:val="20"/>
          <w:szCs w:val="20"/>
        </w:rPr>
      </w:pPr>
      <w:r>
        <w:rPr>
          <w:spacing w:val="12"/>
          <w:sz w:val="20"/>
          <w:szCs w:val="20"/>
        </w:rPr>
        <w:t>除专用合同条款另有约定外，合同解除后，发包人应在商定</w:t>
      </w:r>
      <w:r>
        <w:rPr>
          <w:spacing w:val="11"/>
          <w:sz w:val="20"/>
          <w:szCs w:val="20"/>
        </w:rPr>
        <w:t>或确定上述款项后28天内完成上</w:t>
      </w:r>
      <w:r>
        <w:rPr>
          <w:sz w:val="20"/>
          <w:szCs w:val="20"/>
        </w:rPr>
        <w:t xml:space="preserve"> </w:t>
      </w:r>
      <w:r>
        <w:rPr>
          <w:spacing w:val="7"/>
          <w:sz w:val="20"/>
          <w:szCs w:val="20"/>
        </w:rPr>
        <w:t>述款项的支付。</w:t>
      </w:r>
    </w:p>
    <w:p w14:paraId="5BBF4AF5">
      <w:pPr>
        <w:pStyle w:val="2"/>
        <w:spacing w:line="222" w:lineRule="auto"/>
        <w:ind w:left="4"/>
        <w:rPr>
          <w:rFonts w:ascii="黑体" w:hAnsi="黑体" w:eastAsia="黑体" w:cs="黑体"/>
          <w:sz w:val="30"/>
          <w:szCs w:val="30"/>
        </w:rPr>
      </w:pPr>
      <w:r>
        <w:rPr>
          <w:b/>
          <w:bCs/>
          <w:spacing w:val="-11"/>
          <w:sz w:val="30"/>
          <w:szCs w:val="30"/>
        </w:rPr>
        <w:t>18.</w:t>
      </w:r>
      <w:r>
        <w:rPr>
          <w:spacing w:val="-87"/>
          <w:sz w:val="30"/>
          <w:szCs w:val="30"/>
        </w:rPr>
        <w:t xml:space="preserve"> </w:t>
      </w:r>
      <w:r>
        <w:rPr>
          <w:rFonts w:ascii="黑体" w:hAnsi="黑体" w:eastAsia="黑体" w:cs="黑体"/>
          <w:b/>
          <w:bCs/>
          <w:spacing w:val="-11"/>
          <w:sz w:val="30"/>
          <w:szCs w:val="30"/>
        </w:rPr>
        <w:t>保险</w:t>
      </w:r>
    </w:p>
    <w:p w14:paraId="71989F63">
      <w:pPr>
        <w:pStyle w:val="2"/>
        <w:spacing w:before="97" w:line="222" w:lineRule="auto"/>
        <w:ind w:left="3"/>
        <w:rPr>
          <w:rFonts w:ascii="黑体" w:hAnsi="黑体" w:eastAsia="黑体" w:cs="黑体"/>
        </w:rPr>
      </w:pPr>
      <w:r>
        <w:rPr>
          <w:b/>
          <w:bCs/>
          <w:spacing w:val="-8"/>
        </w:rPr>
        <w:t>18.1</w:t>
      </w:r>
      <w:r>
        <w:rPr>
          <w:spacing w:val="-22"/>
        </w:rPr>
        <w:t xml:space="preserve"> </w:t>
      </w:r>
      <w:r>
        <w:rPr>
          <w:rFonts w:ascii="黑体" w:hAnsi="黑体" w:eastAsia="黑体" w:cs="黑体"/>
          <w:b/>
          <w:bCs/>
          <w:spacing w:val="-8"/>
        </w:rPr>
        <w:t>工程保险</w:t>
      </w:r>
    </w:p>
    <w:p w14:paraId="4220D078">
      <w:pPr>
        <w:pStyle w:val="2"/>
        <w:spacing w:before="142" w:line="350" w:lineRule="auto"/>
        <w:ind w:right="91" w:firstLine="419"/>
        <w:rPr>
          <w:sz w:val="20"/>
          <w:szCs w:val="20"/>
        </w:rPr>
      </w:pPr>
      <w:r>
        <w:rPr>
          <w:spacing w:val="12"/>
          <w:sz w:val="20"/>
          <w:szCs w:val="20"/>
        </w:rPr>
        <w:t>除专用合同条款另有约定外，发包人应投保建筑工程一切险或安装工程一切险；发包</w:t>
      </w:r>
      <w:r>
        <w:rPr>
          <w:spacing w:val="11"/>
          <w:sz w:val="20"/>
          <w:szCs w:val="20"/>
        </w:rPr>
        <w:t>人委托</w:t>
      </w:r>
      <w:r>
        <w:rPr>
          <w:sz w:val="20"/>
          <w:szCs w:val="20"/>
        </w:rPr>
        <w:t xml:space="preserve"> </w:t>
      </w:r>
      <w:r>
        <w:rPr>
          <w:spacing w:val="9"/>
          <w:sz w:val="20"/>
          <w:szCs w:val="20"/>
        </w:rPr>
        <w:t>承包人投保的，因投保产生的保险费和其他相关费用由发包人承担。</w:t>
      </w:r>
    </w:p>
    <w:p w14:paraId="424AC794">
      <w:pPr>
        <w:pStyle w:val="2"/>
        <w:spacing w:line="222" w:lineRule="auto"/>
        <w:ind w:left="3"/>
        <w:rPr>
          <w:rFonts w:ascii="黑体" w:hAnsi="黑体" w:eastAsia="黑体" w:cs="黑体"/>
        </w:rPr>
      </w:pPr>
      <w:r>
        <w:rPr>
          <w:b/>
          <w:bCs/>
          <w:spacing w:val="-10"/>
        </w:rPr>
        <w:t>18.2</w:t>
      </w:r>
      <w:r>
        <w:rPr>
          <w:spacing w:val="-10"/>
        </w:rPr>
        <w:t xml:space="preserve"> </w:t>
      </w:r>
      <w:r>
        <w:rPr>
          <w:rFonts w:ascii="黑体" w:hAnsi="黑体" w:eastAsia="黑体" w:cs="黑体"/>
          <w:b/>
          <w:bCs/>
          <w:spacing w:val="-10"/>
        </w:rPr>
        <w:t>工伤保险</w:t>
      </w:r>
    </w:p>
    <w:p w14:paraId="3F593C5B">
      <w:pPr>
        <w:pStyle w:val="2"/>
        <w:spacing w:before="140" w:line="294" w:lineRule="auto"/>
        <w:ind w:right="92" w:firstLine="419"/>
        <w:rPr>
          <w:sz w:val="20"/>
          <w:szCs w:val="20"/>
        </w:rPr>
      </w:pPr>
      <w:r>
        <w:rPr>
          <w:spacing w:val="11"/>
          <w:sz w:val="20"/>
          <w:szCs w:val="20"/>
        </w:rPr>
        <w:t>18.2.1发包人应依照法律规定参加工伤保险，并为在施工现场的全部员工办理工伤保险，缴</w:t>
      </w:r>
      <w:r>
        <w:rPr>
          <w:spacing w:val="3"/>
          <w:sz w:val="20"/>
          <w:szCs w:val="20"/>
        </w:rPr>
        <w:t xml:space="preserve"> </w:t>
      </w:r>
      <w:r>
        <w:rPr>
          <w:spacing w:val="10"/>
          <w:sz w:val="20"/>
          <w:szCs w:val="20"/>
        </w:rPr>
        <w:t>纳工伤保险费，并要求监理人及由发包人为履行合同聘请的第</w:t>
      </w:r>
      <w:r>
        <w:rPr>
          <w:spacing w:val="9"/>
          <w:sz w:val="20"/>
          <w:szCs w:val="20"/>
        </w:rPr>
        <w:t>三方依法参加工伤保险。</w:t>
      </w:r>
    </w:p>
    <w:p w14:paraId="4D4C9193">
      <w:pPr>
        <w:pStyle w:val="2"/>
        <w:spacing w:before="174" w:line="289" w:lineRule="auto"/>
        <w:ind w:right="92" w:firstLine="419"/>
        <w:rPr>
          <w:sz w:val="20"/>
          <w:szCs w:val="20"/>
        </w:rPr>
      </w:pPr>
      <w:r>
        <w:rPr>
          <w:spacing w:val="9"/>
          <w:sz w:val="20"/>
          <w:szCs w:val="20"/>
        </w:rPr>
        <w:t>18.2.2 承包人应依照法律规定参加工伤保险，</w:t>
      </w:r>
      <w:r>
        <w:rPr>
          <w:spacing w:val="8"/>
          <w:sz w:val="20"/>
          <w:szCs w:val="20"/>
        </w:rPr>
        <w:t>并为其履行合同的全部员工办理工伤保险，缴</w:t>
      </w:r>
      <w:r>
        <w:rPr>
          <w:sz w:val="20"/>
          <w:szCs w:val="20"/>
        </w:rPr>
        <w:t xml:space="preserve"> </w:t>
      </w:r>
      <w:r>
        <w:rPr>
          <w:spacing w:val="10"/>
          <w:sz w:val="20"/>
          <w:szCs w:val="20"/>
        </w:rPr>
        <w:t>纳工伤保险费，并要求分包人及由承包人为履行合同聘请的第</w:t>
      </w:r>
      <w:r>
        <w:rPr>
          <w:spacing w:val="9"/>
          <w:sz w:val="20"/>
          <w:szCs w:val="20"/>
        </w:rPr>
        <w:t>三方依法参加工伤保险。</w:t>
      </w:r>
    </w:p>
    <w:p w14:paraId="7DA201D0">
      <w:pPr>
        <w:spacing w:line="289" w:lineRule="auto"/>
        <w:rPr>
          <w:sz w:val="20"/>
          <w:szCs w:val="20"/>
        </w:rPr>
        <w:sectPr>
          <w:footerReference r:id="rId237" w:type="default"/>
          <w:pgSz w:w="11910" w:h="16840"/>
          <w:pgMar w:top="400" w:right="1460" w:bottom="1024" w:left="1460" w:header="0" w:footer="889" w:gutter="0"/>
          <w:cols w:space="720" w:num="1"/>
        </w:sectPr>
      </w:pPr>
    </w:p>
    <w:p w14:paraId="3C5D68C8">
      <w:pPr>
        <w:spacing w:line="259" w:lineRule="auto"/>
        <w:rPr>
          <w:rFonts w:ascii="Arial"/>
          <w:sz w:val="21"/>
        </w:rPr>
      </w:pPr>
    </w:p>
    <w:p w14:paraId="088C9AA1">
      <w:pPr>
        <w:spacing w:line="259" w:lineRule="auto"/>
        <w:rPr>
          <w:rFonts w:ascii="Arial"/>
          <w:sz w:val="21"/>
        </w:rPr>
      </w:pPr>
    </w:p>
    <w:p w14:paraId="5DDED6CF">
      <w:pPr>
        <w:spacing w:line="259" w:lineRule="auto"/>
        <w:rPr>
          <w:rFonts w:ascii="Arial"/>
          <w:sz w:val="21"/>
        </w:rPr>
      </w:pPr>
    </w:p>
    <w:p w14:paraId="567CF441">
      <w:pPr>
        <w:spacing w:line="260" w:lineRule="auto"/>
        <w:rPr>
          <w:rFonts w:ascii="Arial"/>
          <w:sz w:val="21"/>
        </w:rPr>
      </w:pPr>
    </w:p>
    <w:p w14:paraId="21856EED">
      <w:pPr>
        <w:spacing w:line="260" w:lineRule="auto"/>
        <w:rPr>
          <w:rFonts w:ascii="Arial"/>
          <w:sz w:val="21"/>
        </w:rPr>
      </w:pPr>
    </w:p>
    <w:p w14:paraId="1BC37437">
      <w:pPr>
        <w:spacing w:before="81" w:line="222" w:lineRule="auto"/>
        <w:ind w:left="3"/>
        <w:rPr>
          <w:rFonts w:ascii="黑体" w:hAnsi="黑体" w:eastAsia="黑体" w:cs="黑体"/>
          <w:sz w:val="25"/>
          <w:szCs w:val="25"/>
        </w:rPr>
      </w:pPr>
      <w:r>
        <w:rPr>
          <w:rFonts w:ascii="黑体" w:hAnsi="黑体" w:eastAsia="黑体" w:cs="黑体"/>
          <w:b/>
          <w:bCs/>
          <w:spacing w:val="-6"/>
          <w:sz w:val="25"/>
          <w:szCs w:val="25"/>
        </w:rPr>
        <w:t>18.3其他保险</w:t>
      </w:r>
    </w:p>
    <w:p w14:paraId="03D63BE7">
      <w:pPr>
        <w:pStyle w:val="2"/>
        <w:spacing w:before="141" w:line="347" w:lineRule="auto"/>
        <w:ind w:right="17" w:firstLine="409"/>
        <w:rPr>
          <w:sz w:val="21"/>
          <w:szCs w:val="21"/>
        </w:rPr>
      </w:pPr>
      <w:r>
        <w:rPr>
          <w:spacing w:val="2"/>
          <w:sz w:val="21"/>
          <w:szCs w:val="21"/>
        </w:rPr>
        <w:t>发包人和承包人可以为其施工现场的全部人员办理意外伤害保险并支付保险费，包括其员工</w:t>
      </w:r>
      <w:r>
        <w:rPr>
          <w:spacing w:val="10"/>
          <w:sz w:val="21"/>
          <w:szCs w:val="21"/>
        </w:rPr>
        <w:t xml:space="preserve"> </w:t>
      </w:r>
      <w:r>
        <w:rPr>
          <w:sz w:val="21"/>
          <w:szCs w:val="21"/>
        </w:rPr>
        <w:t>及为履行合同聘请的第三方的人员，具体事项</w:t>
      </w:r>
      <w:r>
        <w:rPr>
          <w:spacing w:val="-1"/>
          <w:sz w:val="21"/>
          <w:szCs w:val="21"/>
        </w:rPr>
        <w:t>由合同当事人在专用合同条款约定。</w:t>
      </w:r>
    </w:p>
    <w:p w14:paraId="36F6E84D">
      <w:pPr>
        <w:pStyle w:val="2"/>
        <w:spacing w:line="219" w:lineRule="auto"/>
        <w:ind w:left="409"/>
        <w:rPr>
          <w:sz w:val="21"/>
          <w:szCs w:val="21"/>
        </w:rPr>
      </w:pPr>
      <w:r>
        <w:rPr>
          <w:spacing w:val="-1"/>
          <w:sz w:val="21"/>
          <w:szCs w:val="21"/>
        </w:rPr>
        <w:t>除专用合同条款另有约定外，承包人应为其施工设备等办理财产保险。</w:t>
      </w:r>
    </w:p>
    <w:p w14:paraId="46ACE566">
      <w:pPr>
        <w:spacing w:before="118" w:line="222" w:lineRule="auto"/>
        <w:ind w:left="3"/>
        <w:rPr>
          <w:rFonts w:ascii="黑体" w:hAnsi="黑体" w:eastAsia="黑体" w:cs="黑体"/>
          <w:sz w:val="25"/>
          <w:szCs w:val="25"/>
        </w:rPr>
      </w:pPr>
      <w:r>
        <w:rPr>
          <w:rFonts w:ascii="黑体" w:hAnsi="黑体" w:eastAsia="黑体" w:cs="黑体"/>
          <w:b/>
          <w:bCs/>
          <w:spacing w:val="-6"/>
          <w:sz w:val="25"/>
          <w:szCs w:val="25"/>
        </w:rPr>
        <w:t>18.4持续保险</w:t>
      </w:r>
    </w:p>
    <w:p w14:paraId="47CCEED3">
      <w:pPr>
        <w:pStyle w:val="2"/>
        <w:spacing w:before="141" w:line="337" w:lineRule="auto"/>
        <w:ind w:right="20" w:firstLine="409"/>
        <w:rPr>
          <w:sz w:val="21"/>
          <w:szCs w:val="21"/>
        </w:rPr>
      </w:pPr>
      <w:r>
        <w:rPr>
          <w:spacing w:val="2"/>
          <w:sz w:val="21"/>
          <w:szCs w:val="21"/>
        </w:rPr>
        <w:t>合同当事人应与保险人保持联系，使保险人能够随时了解工程实施中的变动，并确保按保险</w:t>
      </w:r>
      <w:r>
        <w:rPr>
          <w:spacing w:val="8"/>
          <w:sz w:val="21"/>
          <w:szCs w:val="21"/>
        </w:rPr>
        <w:t xml:space="preserve"> </w:t>
      </w:r>
      <w:r>
        <w:rPr>
          <w:spacing w:val="-4"/>
          <w:sz w:val="21"/>
          <w:szCs w:val="21"/>
        </w:rPr>
        <w:t>合同条款要求持续保险。</w:t>
      </w:r>
    </w:p>
    <w:p w14:paraId="70F0B2CC">
      <w:pPr>
        <w:pStyle w:val="2"/>
        <w:spacing w:before="1" w:line="220" w:lineRule="auto"/>
        <w:ind w:left="3"/>
        <w:rPr>
          <w:rFonts w:ascii="黑体" w:hAnsi="黑体" w:eastAsia="黑体" w:cs="黑体"/>
        </w:rPr>
      </w:pPr>
      <w:r>
        <w:rPr>
          <w:b/>
          <w:bCs/>
          <w:spacing w:val="-10"/>
        </w:rPr>
        <w:t>18.5</w:t>
      </w:r>
      <w:r>
        <w:rPr>
          <w:spacing w:val="-10"/>
        </w:rPr>
        <w:t xml:space="preserve"> </w:t>
      </w:r>
      <w:r>
        <w:rPr>
          <w:rFonts w:ascii="黑体" w:hAnsi="黑体" w:eastAsia="黑体" w:cs="黑体"/>
          <w:b/>
          <w:bCs/>
          <w:spacing w:val="-10"/>
        </w:rPr>
        <w:t>保险凭证</w:t>
      </w:r>
    </w:p>
    <w:p w14:paraId="7DA36B82">
      <w:pPr>
        <w:pStyle w:val="2"/>
        <w:spacing w:before="135" w:line="219" w:lineRule="auto"/>
        <w:ind w:left="409"/>
        <w:rPr>
          <w:sz w:val="21"/>
          <w:szCs w:val="21"/>
        </w:rPr>
      </w:pPr>
      <w:r>
        <w:rPr>
          <w:sz w:val="21"/>
          <w:szCs w:val="21"/>
        </w:rPr>
        <w:t>合同当事人应及时向另一方当事人提交其已投保</w:t>
      </w:r>
      <w:r>
        <w:rPr>
          <w:spacing w:val="-1"/>
          <w:sz w:val="21"/>
          <w:szCs w:val="21"/>
        </w:rPr>
        <w:t>的各项保险的凭证和保险单复印件。</w:t>
      </w:r>
    </w:p>
    <w:p w14:paraId="6192A745">
      <w:pPr>
        <w:pStyle w:val="2"/>
        <w:spacing w:before="119" w:line="222" w:lineRule="auto"/>
        <w:ind w:left="3"/>
        <w:rPr>
          <w:rFonts w:ascii="黑体" w:hAnsi="黑体" w:eastAsia="黑体" w:cs="黑体"/>
        </w:rPr>
      </w:pPr>
      <w:r>
        <w:rPr>
          <w:b/>
          <w:bCs/>
          <w:spacing w:val="-11"/>
        </w:rPr>
        <w:t>18.6</w:t>
      </w:r>
      <w:r>
        <w:rPr>
          <w:spacing w:val="-11"/>
        </w:rPr>
        <w:t xml:space="preserve"> </w:t>
      </w:r>
      <w:r>
        <w:rPr>
          <w:rFonts w:ascii="黑体" w:hAnsi="黑体" w:eastAsia="黑体" w:cs="黑体"/>
          <w:b/>
          <w:bCs/>
          <w:spacing w:val="-11"/>
        </w:rPr>
        <w:t>未按约定投保的补救</w:t>
      </w:r>
    </w:p>
    <w:p w14:paraId="49A934CE">
      <w:pPr>
        <w:pStyle w:val="2"/>
        <w:spacing w:before="132" w:line="309" w:lineRule="auto"/>
        <w:ind w:right="14" w:firstLine="409"/>
        <w:rPr>
          <w:sz w:val="21"/>
          <w:szCs w:val="21"/>
        </w:rPr>
      </w:pPr>
      <w:r>
        <w:rPr>
          <w:spacing w:val="-3"/>
          <w:sz w:val="21"/>
          <w:szCs w:val="21"/>
        </w:rPr>
        <w:t>18.6.1发包人未按合同约定办理保险，或未能使保险持续有效的，则承包人可代为办理，所需</w:t>
      </w:r>
      <w:r>
        <w:rPr>
          <w:spacing w:val="13"/>
          <w:sz w:val="21"/>
          <w:szCs w:val="21"/>
        </w:rPr>
        <w:t xml:space="preserve"> </w:t>
      </w:r>
      <w:r>
        <w:rPr>
          <w:spacing w:val="2"/>
          <w:sz w:val="21"/>
          <w:szCs w:val="21"/>
        </w:rPr>
        <w:t>费用由发包人承担。发包人未按合同约定办理保险，导致未能得到足额赔偿的，由发包人负责补</w:t>
      </w:r>
      <w:r>
        <w:rPr>
          <w:sz w:val="21"/>
          <w:szCs w:val="21"/>
        </w:rPr>
        <w:t xml:space="preserve"> </w:t>
      </w:r>
      <w:r>
        <w:rPr>
          <w:spacing w:val="-11"/>
          <w:sz w:val="21"/>
          <w:szCs w:val="21"/>
        </w:rPr>
        <w:t>足。</w:t>
      </w:r>
    </w:p>
    <w:p w14:paraId="2DE5399E">
      <w:pPr>
        <w:pStyle w:val="2"/>
        <w:spacing w:before="143" w:line="310" w:lineRule="auto"/>
        <w:ind w:right="14" w:firstLine="409"/>
        <w:rPr>
          <w:sz w:val="21"/>
          <w:szCs w:val="21"/>
        </w:rPr>
      </w:pPr>
      <w:r>
        <w:rPr>
          <w:spacing w:val="-3"/>
          <w:sz w:val="21"/>
          <w:szCs w:val="21"/>
        </w:rPr>
        <w:t>18.6.2承包人未按合同约定办理保险，或未能使保险持续有效的，则发包人可代为办理，所需</w:t>
      </w:r>
      <w:r>
        <w:rPr>
          <w:spacing w:val="13"/>
          <w:sz w:val="21"/>
          <w:szCs w:val="21"/>
        </w:rPr>
        <w:t xml:space="preserve"> </w:t>
      </w:r>
      <w:r>
        <w:rPr>
          <w:spacing w:val="2"/>
          <w:sz w:val="21"/>
          <w:szCs w:val="21"/>
        </w:rPr>
        <w:t>费用由承包人承担。承包人未按合同约定办理保险，导致未能得到足额赔偿的，由承包人负责补</w:t>
      </w:r>
      <w:r>
        <w:rPr>
          <w:sz w:val="21"/>
          <w:szCs w:val="21"/>
        </w:rPr>
        <w:t xml:space="preserve"> </w:t>
      </w:r>
      <w:r>
        <w:rPr>
          <w:spacing w:val="-11"/>
          <w:sz w:val="21"/>
          <w:szCs w:val="21"/>
        </w:rPr>
        <w:t>足。</w:t>
      </w:r>
    </w:p>
    <w:p w14:paraId="4A253764">
      <w:pPr>
        <w:pStyle w:val="2"/>
        <w:spacing w:before="110" w:line="221" w:lineRule="auto"/>
        <w:ind w:left="3"/>
        <w:rPr>
          <w:rFonts w:ascii="黑体" w:hAnsi="黑体" w:eastAsia="黑体" w:cs="黑体"/>
        </w:rPr>
      </w:pPr>
      <w:r>
        <w:rPr>
          <w:b/>
          <w:bCs/>
          <w:spacing w:val="-10"/>
        </w:rPr>
        <w:t>18.7</w:t>
      </w:r>
      <w:r>
        <w:rPr>
          <w:spacing w:val="-10"/>
        </w:rPr>
        <w:t xml:space="preserve"> </w:t>
      </w:r>
      <w:r>
        <w:rPr>
          <w:rFonts w:ascii="黑体" w:hAnsi="黑体" w:eastAsia="黑体" w:cs="黑体"/>
          <w:b/>
          <w:bCs/>
          <w:spacing w:val="-10"/>
        </w:rPr>
        <w:t>通知义务</w:t>
      </w:r>
    </w:p>
    <w:p w14:paraId="5C0BB886">
      <w:pPr>
        <w:pStyle w:val="2"/>
        <w:spacing w:before="144" w:line="346" w:lineRule="auto"/>
        <w:ind w:right="19" w:firstLine="409"/>
        <w:jc w:val="both"/>
        <w:rPr>
          <w:sz w:val="21"/>
          <w:szCs w:val="21"/>
        </w:rPr>
      </w:pPr>
      <w:r>
        <w:rPr>
          <w:spacing w:val="2"/>
          <w:sz w:val="21"/>
          <w:szCs w:val="21"/>
        </w:rPr>
        <w:t>除专用合同条款另有约定外，发包人变更除工伤保险之外的保险合同时，应事先征得承包人</w:t>
      </w:r>
      <w:r>
        <w:rPr>
          <w:spacing w:val="8"/>
          <w:sz w:val="21"/>
          <w:szCs w:val="21"/>
        </w:rPr>
        <w:t xml:space="preserve"> </w:t>
      </w:r>
      <w:r>
        <w:rPr>
          <w:spacing w:val="2"/>
          <w:sz w:val="21"/>
          <w:szCs w:val="21"/>
        </w:rPr>
        <w:t>同意，并通知监理人；承包人变更除工伤保险之外的保险合同时，应事先征得</w:t>
      </w:r>
      <w:r>
        <w:rPr>
          <w:spacing w:val="1"/>
          <w:sz w:val="21"/>
          <w:szCs w:val="21"/>
        </w:rPr>
        <w:t>发包人同意，并通</w:t>
      </w:r>
      <w:r>
        <w:rPr>
          <w:sz w:val="21"/>
          <w:szCs w:val="21"/>
        </w:rPr>
        <w:t xml:space="preserve"> </w:t>
      </w:r>
      <w:r>
        <w:rPr>
          <w:spacing w:val="-3"/>
          <w:sz w:val="21"/>
          <w:szCs w:val="21"/>
        </w:rPr>
        <w:t>知监理人。</w:t>
      </w:r>
    </w:p>
    <w:p w14:paraId="11943CB3">
      <w:pPr>
        <w:pStyle w:val="2"/>
        <w:spacing w:before="19" w:line="338" w:lineRule="auto"/>
        <w:ind w:right="19" w:firstLine="409"/>
        <w:rPr>
          <w:sz w:val="21"/>
          <w:szCs w:val="21"/>
        </w:rPr>
      </w:pPr>
      <w:r>
        <w:rPr>
          <w:spacing w:val="2"/>
          <w:sz w:val="21"/>
          <w:szCs w:val="21"/>
        </w:rPr>
        <w:t>保险事故发生时，投保人应按照保险合同规定的条件和期限及时向保险人报告。发包人和承</w:t>
      </w:r>
      <w:r>
        <w:rPr>
          <w:spacing w:val="9"/>
          <w:sz w:val="21"/>
          <w:szCs w:val="21"/>
        </w:rPr>
        <w:t xml:space="preserve"> </w:t>
      </w:r>
      <w:r>
        <w:rPr>
          <w:spacing w:val="-1"/>
          <w:sz w:val="21"/>
          <w:szCs w:val="21"/>
        </w:rPr>
        <w:t>包人应当在知道保险事故发生后及时通知对方。</w:t>
      </w:r>
    </w:p>
    <w:p w14:paraId="36F30C0E">
      <w:pPr>
        <w:pStyle w:val="2"/>
        <w:spacing w:before="59" w:line="222" w:lineRule="auto"/>
        <w:ind w:left="4"/>
        <w:rPr>
          <w:rFonts w:ascii="黑体" w:hAnsi="黑体" w:eastAsia="黑体" w:cs="黑体"/>
          <w:sz w:val="30"/>
          <w:szCs w:val="30"/>
        </w:rPr>
      </w:pPr>
      <w:r>
        <w:rPr>
          <w:b/>
          <w:bCs/>
          <w:spacing w:val="-12"/>
          <w:sz w:val="30"/>
          <w:szCs w:val="30"/>
        </w:rPr>
        <w:t>19.</w:t>
      </w:r>
      <w:r>
        <w:rPr>
          <w:spacing w:val="-86"/>
          <w:sz w:val="30"/>
          <w:szCs w:val="30"/>
        </w:rPr>
        <w:t xml:space="preserve"> </w:t>
      </w:r>
      <w:r>
        <w:rPr>
          <w:rFonts w:ascii="黑体" w:hAnsi="黑体" w:eastAsia="黑体" w:cs="黑体"/>
          <w:b/>
          <w:bCs/>
          <w:spacing w:val="-12"/>
          <w:sz w:val="30"/>
          <w:szCs w:val="30"/>
        </w:rPr>
        <w:t>索赔</w:t>
      </w:r>
    </w:p>
    <w:p w14:paraId="29EE4623">
      <w:pPr>
        <w:spacing w:before="68" w:line="222" w:lineRule="auto"/>
        <w:ind w:left="3"/>
        <w:rPr>
          <w:rFonts w:ascii="黑体" w:hAnsi="黑体" w:eastAsia="黑体" w:cs="黑体"/>
          <w:sz w:val="25"/>
          <w:szCs w:val="25"/>
        </w:rPr>
      </w:pPr>
      <w:r>
        <w:rPr>
          <w:rFonts w:ascii="黑体" w:hAnsi="黑体" w:eastAsia="黑体" w:cs="黑体"/>
          <w:b/>
          <w:bCs/>
          <w:spacing w:val="-5"/>
          <w:sz w:val="25"/>
          <w:szCs w:val="25"/>
        </w:rPr>
        <w:t>19.1承包人的索赔</w:t>
      </w:r>
    </w:p>
    <w:p w14:paraId="09D5673C">
      <w:pPr>
        <w:pStyle w:val="2"/>
        <w:spacing w:before="134" w:line="360" w:lineRule="auto"/>
        <w:ind w:right="20" w:firstLine="409"/>
        <w:rPr>
          <w:sz w:val="21"/>
          <w:szCs w:val="21"/>
        </w:rPr>
      </w:pPr>
      <w:r>
        <w:rPr>
          <w:spacing w:val="7"/>
          <w:sz w:val="21"/>
          <w:szCs w:val="21"/>
        </w:rPr>
        <w:t>根据合同约定，承包人认为有权得到追加付款和(或)延长工期的，应按以下程序向发包人</w:t>
      </w:r>
      <w:r>
        <w:rPr>
          <w:spacing w:val="18"/>
          <w:sz w:val="21"/>
          <w:szCs w:val="21"/>
        </w:rPr>
        <w:t xml:space="preserve"> </w:t>
      </w:r>
      <w:r>
        <w:rPr>
          <w:spacing w:val="-6"/>
          <w:sz w:val="21"/>
          <w:szCs w:val="21"/>
        </w:rPr>
        <w:t>提出索赔：</w:t>
      </w:r>
    </w:p>
    <w:p w14:paraId="5299D9F5">
      <w:pPr>
        <w:pStyle w:val="2"/>
        <w:spacing w:before="2" w:line="301" w:lineRule="auto"/>
        <w:ind w:firstLine="519"/>
        <w:rPr>
          <w:sz w:val="21"/>
          <w:szCs w:val="21"/>
        </w:rPr>
      </w:pPr>
      <w:r>
        <w:rPr>
          <w:spacing w:val="7"/>
          <w:sz w:val="21"/>
          <w:szCs w:val="21"/>
        </w:rPr>
        <w:t>(1)承包人应在知道或应当知道索赔事件发生后</w:t>
      </w:r>
      <w:r>
        <w:rPr>
          <w:spacing w:val="6"/>
          <w:sz w:val="21"/>
          <w:szCs w:val="21"/>
        </w:rPr>
        <w:t>28天内，向监理人递交索赔意向通知书，</w:t>
      </w:r>
      <w:r>
        <w:rPr>
          <w:sz w:val="21"/>
          <w:szCs w:val="21"/>
        </w:rPr>
        <w:t xml:space="preserve"> </w:t>
      </w:r>
      <w:r>
        <w:rPr>
          <w:spacing w:val="2"/>
          <w:sz w:val="21"/>
          <w:szCs w:val="21"/>
        </w:rPr>
        <w:t>并说明发生索赔事件的事由；承包人未在前述28天内发出索赔意向通知书的，丧失要求追加付款</w:t>
      </w:r>
      <w:r>
        <w:rPr>
          <w:spacing w:val="12"/>
          <w:sz w:val="21"/>
          <w:szCs w:val="21"/>
        </w:rPr>
        <w:t xml:space="preserve"> </w:t>
      </w:r>
      <w:r>
        <w:rPr>
          <w:spacing w:val="14"/>
          <w:sz w:val="21"/>
          <w:szCs w:val="21"/>
        </w:rPr>
        <w:t>和(或)延长工期的权利；</w:t>
      </w:r>
    </w:p>
    <w:p w14:paraId="0778F92A">
      <w:pPr>
        <w:pStyle w:val="2"/>
        <w:spacing w:before="170" w:line="281" w:lineRule="auto"/>
        <w:ind w:right="20" w:firstLine="519"/>
        <w:rPr>
          <w:sz w:val="21"/>
          <w:szCs w:val="21"/>
        </w:rPr>
      </w:pPr>
      <w:r>
        <w:rPr>
          <w:spacing w:val="7"/>
          <w:sz w:val="21"/>
          <w:szCs w:val="21"/>
        </w:rPr>
        <w:t>(2)承包人应在发出索赔意向通知书后28天内，向监理人正式递交索赔报告；索赔报告应</w:t>
      </w:r>
      <w:r>
        <w:rPr>
          <w:spacing w:val="6"/>
          <w:sz w:val="21"/>
          <w:szCs w:val="21"/>
        </w:rPr>
        <w:t xml:space="preserve"> </w:t>
      </w:r>
      <w:r>
        <w:rPr>
          <w:spacing w:val="4"/>
          <w:sz w:val="21"/>
          <w:szCs w:val="21"/>
        </w:rPr>
        <w:t>详细说明索赔理由以及要求追加的付款金额和(或)延长的工期，并附必要的记录和</w:t>
      </w:r>
      <w:r>
        <w:rPr>
          <w:spacing w:val="3"/>
          <w:sz w:val="21"/>
          <w:szCs w:val="21"/>
        </w:rPr>
        <w:t>证明材料；</w:t>
      </w:r>
    </w:p>
    <w:p w14:paraId="1083002E">
      <w:pPr>
        <w:pStyle w:val="2"/>
        <w:spacing w:before="171" w:line="277" w:lineRule="auto"/>
        <w:ind w:right="18" w:firstLine="519"/>
        <w:rPr>
          <w:sz w:val="21"/>
          <w:szCs w:val="21"/>
        </w:rPr>
      </w:pPr>
      <w:r>
        <w:rPr>
          <w:spacing w:val="2"/>
          <w:sz w:val="21"/>
          <w:szCs w:val="21"/>
        </w:rPr>
        <w:t>(3)索赔事件具有持续影响的，承包人应按合理时间间隔继续递交延续索赔通知，说明持续</w:t>
      </w:r>
      <w:r>
        <w:rPr>
          <w:spacing w:val="3"/>
          <w:sz w:val="21"/>
          <w:szCs w:val="21"/>
        </w:rPr>
        <w:t xml:space="preserve"> </w:t>
      </w:r>
      <w:r>
        <w:rPr>
          <w:spacing w:val="5"/>
          <w:sz w:val="21"/>
          <w:szCs w:val="21"/>
        </w:rPr>
        <w:t>影响的实际情况和记录，列出累计的追加付款金额和(或)工期延长天</w:t>
      </w:r>
      <w:r>
        <w:rPr>
          <w:spacing w:val="4"/>
          <w:sz w:val="21"/>
          <w:szCs w:val="21"/>
        </w:rPr>
        <w:t>数；</w:t>
      </w:r>
    </w:p>
    <w:p w14:paraId="4778CCE5">
      <w:pPr>
        <w:spacing w:line="277" w:lineRule="auto"/>
        <w:rPr>
          <w:sz w:val="21"/>
          <w:szCs w:val="21"/>
        </w:rPr>
        <w:sectPr>
          <w:footerReference r:id="rId238" w:type="default"/>
          <w:pgSz w:w="11910" w:h="16840"/>
          <w:pgMar w:top="400" w:right="1530" w:bottom="1024" w:left="1460" w:header="0" w:footer="889" w:gutter="0"/>
          <w:cols w:space="720" w:num="1"/>
        </w:sectPr>
      </w:pPr>
    </w:p>
    <w:p w14:paraId="245E2DC8">
      <w:pPr>
        <w:spacing w:line="272" w:lineRule="auto"/>
        <w:rPr>
          <w:rFonts w:ascii="Arial"/>
          <w:sz w:val="21"/>
        </w:rPr>
      </w:pPr>
    </w:p>
    <w:p w14:paraId="4E79D36B">
      <w:pPr>
        <w:spacing w:line="272" w:lineRule="auto"/>
        <w:rPr>
          <w:rFonts w:ascii="Arial"/>
          <w:sz w:val="21"/>
        </w:rPr>
      </w:pPr>
    </w:p>
    <w:p w14:paraId="7DA93E37">
      <w:pPr>
        <w:spacing w:line="272" w:lineRule="auto"/>
        <w:rPr>
          <w:rFonts w:ascii="Arial"/>
          <w:sz w:val="21"/>
        </w:rPr>
      </w:pPr>
    </w:p>
    <w:p w14:paraId="720CC358">
      <w:pPr>
        <w:spacing w:line="272" w:lineRule="auto"/>
        <w:rPr>
          <w:rFonts w:ascii="Arial"/>
          <w:sz w:val="21"/>
        </w:rPr>
      </w:pPr>
    </w:p>
    <w:p w14:paraId="5A2263E9">
      <w:pPr>
        <w:spacing w:line="272" w:lineRule="auto"/>
        <w:rPr>
          <w:rFonts w:ascii="Arial"/>
          <w:sz w:val="21"/>
        </w:rPr>
      </w:pPr>
    </w:p>
    <w:p w14:paraId="06FF6E0A">
      <w:pPr>
        <w:pStyle w:val="2"/>
        <w:spacing w:before="68" w:line="338" w:lineRule="auto"/>
        <w:ind w:right="41" w:firstLine="529"/>
        <w:rPr>
          <w:sz w:val="21"/>
          <w:szCs w:val="21"/>
        </w:rPr>
      </w:pPr>
      <w:r>
        <w:rPr>
          <w:spacing w:val="7"/>
          <w:sz w:val="21"/>
          <w:szCs w:val="21"/>
        </w:rPr>
        <w:t>(4)在索赔事件影响结束后28天内，承包人应向监理人递交最终索赔报告，说明最终要求</w:t>
      </w:r>
      <w:r>
        <w:rPr>
          <w:spacing w:val="6"/>
          <w:sz w:val="21"/>
          <w:szCs w:val="21"/>
        </w:rPr>
        <w:t xml:space="preserve"> </w:t>
      </w:r>
      <w:r>
        <w:rPr>
          <w:spacing w:val="7"/>
          <w:sz w:val="21"/>
          <w:szCs w:val="21"/>
        </w:rPr>
        <w:t>索赔的追加付款金额和(或)延长的工期，并附必</w:t>
      </w:r>
      <w:r>
        <w:rPr>
          <w:spacing w:val="6"/>
          <w:sz w:val="21"/>
          <w:szCs w:val="21"/>
        </w:rPr>
        <w:t>要的记录和证明材料。</w:t>
      </w:r>
    </w:p>
    <w:p w14:paraId="77DA484C">
      <w:pPr>
        <w:pStyle w:val="2"/>
        <w:spacing w:line="221" w:lineRule="auto"/>
        <w:ind w:left="3"/>
        <w:rPr>
          <w:rFonts w:ascii="黑体" w:hAnsi="黑体" w:eastAsia="黑体" w:cs="黑体"/>
        </w:rPr>
      </w:pPr>
      <w:r>
        <w:rPr>
          <w:b/>
          <w:bCs/>
          <w:spacing w:val="-9"/>
        </w:rPr>
        <w:t>19.2</w:t>
      </w:r>
      <w:r>
        <w:rPr>
          <w:spacing w:val="-9"/>
        </w:rPr>
        <w:t xml:space="preserve"> </w:t>
      </w:r>
      <w:r>
        <w:rPr>
          <w:rFonts w:ascii="黑体" w:hAnsi="黑体" w:eastAsia="黑体" w:cs="黑体"/>
          <w:b/>
          <w:bCs/>
          <w:spacing w:val="-9"/>
        </w:rPr>
        <w:t>对承包人索赔的处理</w:t>
      </w:r>
    </w:p>
    <w:p w14:paraId="18BAAC8D">
      <w:pPr>
        <w:pStyle w:val="2"/>
        <w:spacing w:before="113" w:line="219" w:lineRule="auto"/>
        <w:ind w:left="429"/>
        <w:rPr>
          <w:sz w:val="21"/>
          <w:szCs w:val="21"/>
        </w:rPr>
      </w:pPr>
      <w:r>
        <w:rPr>
          <w:spacing w:val="-5"/>
          <w:sz w:val="21"/>
          <w:szCs w:val="21"/>
        </w:rPr>
        <w:t>对承包人索赔的处理如下：</w:t>
      </w:r>
    </w:p>
    <w:p w14:paraId="7567C17E">
      <w:pPr>
        <w:pStyle w:val="2"/>
        <w:spacing w:before="158" w:line="290" w:lineRule="auto"/>
        <w:ind w:right="38" w:firstLine="529"/>
        <w:rPr>
          <w:sz w:val="21"/>
          <w:szCs w:val="21"/>
        </w:rPr>
      </w:pPr>
      <w:r>
        <w:rPr>
          <w:spacing w:val="7"/>
          <w:sz w:val="21"/>
          <w:szCs w:val="21"/>
        </w:rPr>
        <w:t>(1)监理人应在收到索赔报告后14天内完成审查并报送发包人。监理人对索赔报告存在异</w:t>
      </w:r>
      <w:r>
        <w:rPr>
          <w:spacing w:val="10"/>
          <w:sz w:val="21"/>
          <w:szCs w:val="21"/>
        </w:rPr>
        <w:t xml:space="preserve"> </w:t>
      </w:r>
      <w:r>
        <w:rPr>
          <w:spacing w:val="-3"/>
          <w:sz w:val="21"/>
          <w:szCs w:val="21"/>
        </w:rPr>
        <w:t>议的，有权要求承包人提交全部原始记录副本；</w:t>
      </w:r>
    </w:p>
    <w:p w14:paraId="21A0E61A">
      <w:pPr>
        <w:pStyle w:val="2"/>
        <w:spacing w:before="130" w:line="295" w:lineRule="auto"/>
        <w:ind w:firstLine="529"/>
        <w:rPr>
          <w:sz w:val="21"/>
          <w:szCs w:val="21"/>
        </w:rPr>
      </w:pPr>
      <w:r>
        <w:rPr>
          <w:spacing w:val="7"/>
          <w:sz w:val="21"/>
          <w:szCs w:val="21"/>
        </w:rPr>
        <w:t>(2)发包人应在监理人收到索赔报告或有关索赔的进一步证</w:t>
      </w:r>
      <w:r>
        <w:rPr>
          <w:spacing w:val="6"/>
          <w:sz w:val="21"/>
          <w:szCs w:val="21"/>
        </w:rPr>
        <w:t>明材料后的28天内，由监理人</w:t>
      </w:r>
      <w:r>
        <w:rPr>
          <w:sz w:val="21"/>
          <w:szCs w:val="21"/>
        </w:rPr>
        <w:t xml:space="preserve"> </w:t>
      </w:r>
      <w:r>
        <w:rPr>
          <w:spacing w:val="-2"/>
          <w:sz w:val="21"/>
          <w:szCs w:val="21"/>
        </w:rPr>
        <w:t>向承包人出具经发包人签认的索赔处理结果。发包人逾期答复的，则视为认可承包人的索赔要求；</w:t>
      </w:r>
    </w:p>
    <w:p w14:paraId="28308DF8">
      <w:pPr>
        <w:pStyle w:val="2"/>
        <w:spacing w:before="141" w:line="285" w:lineRule="auto"/>
        <w:ind w:right="42" w:firstLine="529"/>
        <w:rPr>
          <w:sz w:val="21"/>
          <w:szCs w:val="21"/>
        </w:rPr>
      </w:pPr>
      <w:r>
        <w:rPr>
          <w:spacing w:val="2"/>
          <w:sz w:val="21"/>
          <w:szCs w:val="21"/>
        </w:rPr>
        <w:t>(3)承包人接受索赔处理结果的，索赔款项在当期进度款中进行支付；承包人不接受索赔处</w:t>
      </w:r>
      <w:r>
        <w:rPr>
          <w:sz w:val="21"/>
          <w:szCs w:val="21"/>
        </w:rPr>
        <w:t xml:space="preserve"> </w:t>
      </w:r>
      <w:r>
        <w:rPr>
          <w:spacing w:val="4"/>
          <w:sz w:val="21"/>
          <w:szCs w:val="21"/>
        </w:rPr>
        <w:t>理结果的，按照第20条〔争议解决〕约定处理。</w:t>
      </w:r>
    </w:p>
    <w:p w14:paraId="2CFCC3EC">
      <w:pPr>
        <w:spacing w:before="127" w:line="221" w:lineRule="auto"/>
        <w:ind w:left="3"/>
        <w:rPr>
          <w:rFonts w:ascii="黑体" w:hAnsi="黑体" w:eastAsia="黑体" w:cs="黑体"/>
          <w:sz w:val="25"/>
          <w:szCs w:val="25"/>
        </w:rPr>
      </w:pPr>
      <w:r>
        <w:rPr>
          <w:rFonts w:ascii="黑体" w:hAnsi="黑体" w:eastAsia="黑体" w:cs="黑体"/>
          <w:b/>
          <w:bCs/>
          <w:spacing w:val="-5"/>
          <w:sz w:val="25"/>
          <w:szCs w:val="25"/>
        </w:rPr>
        <w:t>19.3发包人的索赔</w:t>
      </w:r>
    </w:p>
    <w:p w14:paraId="75405216">
      <w:pPr>
        <w:pStyle w:val="2"/>
        <w:spacing w:before="146" w:line="326" w:lineRule="auto"/>
        <w:ind w:right="41" w:firstLine="429"/>
        <w:rPr>
          <w:sz w:val="21"/>
          <w:szCs w:val="21"/>
        </w:rPr>
      </w:pPr>
      <w:r>
        <w:rPr>
          <w:spacing w:val="7"/>
          <w:sz w:val="21"/>
          <w:szCs w:val="21"/>
        </w:rPr>
        <w:t>根据合同约定，发包人认为有权得到赔付金额和(或)延长缺陷责任期的，监理人应向承包</w:t>
      </w:r>
      <w:r>
        <w:rPr>
          <w:spacing w:val="8"/>
          <w:sz w:val="21"/>
          <w:szCs w:val="21"/>
        </w:rPr>
        <w:t xml:space="preserve"> </w:t>
      </w:r>
      <w:r>
        <w:rPr>
          <w:spacing w:val="-3"/>
          <w:sz w:val="21"/>
          <w:szCs w:val="21"/>
        </w:rPr>
        <w:t>人发出通知并附有详细的证明。</w:t>
      </w:r>
    </w:p>
    <w:p w14:paraId="23E1B86E">
      <w:pPr>
        <w:pStyle w:val="2"/>
        <w:spacing w:before="56" w:line="339" w:lineRule="auto"/>
        <w:ind w:right="34" w:firstLine="429"/>
        <w:jc w:val="both"/>
        <w:rPr>
          <w:sz w:val="21"/>
          <w:szCs w:val="21"/>
        </w:rPr>
      </w:pPr>
      <w:r>
        <w:rPr>
          <w:spacing w:val="7"/>
          <w:sz w:val="21"/>
          <w:szCs w:val="21"/>
        </w:rPr>
        <w:t>发包人应在知道或应当知道索赔事件发生后28天内通过监理人向承包人提出索赔意向通知</w:t>
      </w:r>
      <w:r>
        <w:rPr>
          <w:spacing w:val="15"/>
          <w:sz w:val="21"/>
          <w:szCs w:val="21"/>
        </w:rPr>
        <w:t xml:space="preserve"> </w:t>
      </w:r>
      <w:r>
        <w:rPr>
          <w:spacing w:val="7"/>
          <w:sz w:val="21"/>
          <w:szCs w:val="21"/>
        </w:rPr>
        <w:t>书，发包人未在前述28天内发出索赔意向通知书的，丧失要求赔付金额和(或)延长缺陷责任期</w:t>
      </w:r>
      <w:r>
        <w:rPr>
          <w:spacing w:val="1"/>
          <w:sz w:val="21"/>
          <w:szCs w:val="21"/>
        </w:rPr>
        <w:t xml:space="preserve"> </w:t>
      </w:r>
      <w:r>
        <w:rPr>
          <w:spacing w:val="3"/>
          <w:sz w:val="21"/>
          <w:szCs w:val="21"/>
        </w:rPr>
        <w:t>的权利。发包人应在发出索赔意向通知书后</w:t>
      </w:r>
      <w:r>
        <w:rPr>
          <w:spacing w:val="2"/>
          <w:sz w:val="21"/>
          <w:szCs w:val="21"/>
        </w:rPr>
        <w:t>28天内，通过监理人向承包人正式递交索赔报告。</w:t>
      </w:r>
    </w:p>
    <w:p w14:paraId="112F3E8E">
      <w:pPr>
        <w:pStyle w:val="2"/>
        <w:spacing w:before="2" w:line="220" w:lineRule="auto"/>
        <w:ind w:left="3"/>
        <w:rPr>
          <w:rFonts w:ascii="黑体" w:hAnsi="黑体" w:eastAsia="黑体" w:cs="黑体"/>
        </w:rPr>
      </w:pPr>
      <w:r>
        <w:rPr>
          <w:b/>
          <w:bCs/>
          <w:spacing w:val="-9"/>
        </w:rPr>
        <w:t>19.4</w:t>
      </w:r>
      <w:r>
        <w:rPr>
          <w:spacing w:val="-9"/>
        </w:rPr>
        <w:t xml:space="preserve"> </w:t>
      </w:r>
      <w:r>
        <w:rPr>
          <w:rFonts w:ascii="黑体" w:hAnsi="黑体" w:eastAsia="黑体" w:cs="黑体"/>
          <w:b/>
          <w:bCs/>
          <w:spacing w:val="-9"/>
        </w:rPr>
        <w:t>对发包人索赔的处理</w:t>
      </w:r>
    </w:p>
    <w:p w14:paraId="080B7815">
      <w:pPr>
        <w:pStyle w:val="2"/>
        <w:spacing w:before="135" w:line="219" w:lineRule="auto"/>
        <w:ind w:left="429"/>
        <w:rPr>
          <w:sz w:val="21"/>
          <w:szCs w:val="21"/>
        </w:rPr>
      </w:pPr>
      <w:r>
        <w:rPr>
          <w:spacing w:val="-5"/>
          <w:sz w:val="21"/>
          <w:szCs w:val="21"/>
        </w:rPr>
        <w:t>对发包人索赔的处理如下：</w:t>
      </w:r>
    </w:p>
    <w:p w14:paraId="02972E90">
      <w:pPr>
        <w:pStyle w:val="2"/>
        <w:spacing w:before="138" w:line="287" w:lineRule="auto"/>
        <w:ind w:right="64" w:firstLine="529"/>
        <w:rPr>
          <w:sz w:val="21"/>
          <w:szCs w:val="21"/>
        </w:rPr>
      </w:pPr>
      <w:r>
        <w:rPr>
          <w:spacing w:val="2"/>
          <w:sz w:val="21"/>
          <w:szCs w:val="21"/>
        </w:rPr>
        <w:t>(1)承包人收到发包人提交的索赔报告后，</w:t>
      </w:r>
      <w:r>
        <w:rPr>
          <w:spacing w:val="1"/>
          <w:sz w:val="21"/>
          <w:szCs w:val="21"/>
        </w:rPr>
        <w:t>应及时审查索赔报告的内容、查验发包人证明材</w:t>
      </w:r>
      <w:r>
        <w:rPr>
          <w:sz w:val="21"/>
          <w:szCs w:val="21"/>
        </w:rPr>
        <w:t xml:space="preserve"> </w:t>
      </w:r>
      <w:r>
        <w:rPr>
          <w:spacing w:val="-15"/>
          <w:sz w:val="21"/>
          <w:szCs w:val="21"/>
        </w:rPr>
        <w:t>料；</w:t>
      </w:r>
    </w:p>
    <w:p w14:paraId="5BC269B4">
      <w:pPr>
        <w:pStyle w:val="2"/>
        <w:spacing w:before="178" w:line="273" w:lineRule="auto"/>
        <w:ind w:right="43" w:firstLine="529"/>
        <w:rPr>
          <w:sz w:val="21"/>
          <w:szCs w:val="21"/>
        </w:rPr>
      </w:pPr>
      <w:r>
        <w:rPr>
          <w:spacing w:val="7"/>
          <w:sz w:val="21"/>
          <w:szCs w:val="21"/>
        </w:rPr>
        <w:t>(2)承包人应在收到索赔报告或有关索赔的进一步证明材料后28天内，将索赔处理结果答</w:t>
      </w:r>
      <w:r>
        <w:rPr>
          <w:spacing w:val="5"/>
          <w:sz w:val="21"/>
          <w:szCs w:val="21"/>
        </w:rPr>
        <w:t xml:space="preserve"> </w:t>
      </w:r>
      <w:r>
        <w:rPr>
          <w:spacing w:val="-1"/>
          <w:sz w:val="21"/>
          <w:szCs w:val="21"/>
        </w:rPr>
        <w:t>复发包人。如果承包人未在上述期限内作出答复的，则视为对发包人索赔要求的认可；</w:t>
      </w:r>
    </w:p>
    <w:p w14:paraId="1F2FE90A">
      <w:pPr>
        <w:pStyle w:val="2"/>
        <w:spacing w:before="168" w:line="282" w:lineRule="auto"/>
        <w:ind w:right="43" w:firstLine="529"/>
        <w:rPr>
          <w:sz w:val="21"/>
          <w:szCs w:val="21"/>
        </w:rPr>
      </w:pPr>
      <w:r>
        <w:rPr>
          <w:spacing w:val="2"/>
          <w:sz w:val="21"/>
          <w:szCs w:val="21"/>
        </w:rPr>
        <w:t>(3)承包人接受索赔处理结果的，发包人可从应支付给承包人的合同价款中扣除赔付的金额</w:t>
      </w:r>
      <w:r>
        <w:rPr>
          <w:sz w:val="21"/>
          <w:szCs w:val="21"/>
        </w:rPr>
        <w:t xml:space="preserve"> </w:t>
      </w:r>
      <w:r>
        <w:rPr>
          <w:spacing w:val="2"/>
          <w:sz w:val="21"/>
          <w:szCs w:val="21"/>
        </w:rPr>
        <w:t>或延长缺陷责任期；发包人不接受索赔处理结果的，按第20条〔争议解决〕约定处理。</w:t>
      </w:r>
    </w:p>
    <w:p w14:paraId="6C182BC6">
      <w:pPr>
        <w:pStyle w:val="2"/>
        <w:spacing w:before="107" w:line="222" w:lineRule="auto"/>
        <w:ind w:left="3"/>
        <w:rPr>
          <w:rFonts w:ascii="黑体" w:hAnsi="黑体" w:eastAsia="黑体" w:cs="黑体"/>
        </w:rPr>
      </w:pPr>
      <w:r>
        <w:rPr>
          <w:b/>
          <w:bCs/>
          <w:spacing w:val="-12"/>
        </w:rPr>
        <w:t>19.5</w:t>
      </w:r>
      <w:r>
        <w:rPr>
          <w:spacing w:val="20"/>
        </w:rPr>
        <w:t xml:space="preserve"> </w:t>
      </w:r>
      <w:r>
        <w:rPr>
          <w:rFonts w:ascii="黑体" w:hAnsi="黑体" w:eastAsia="黑体" w:cs="黑体"/>
          <w:b/>
          <w:bCs/>
          <w:spacing w:val="-12"/>
        </w:rPr>
        <w:t>提出索赔的期限</w:t>
      </w:r>
    </w:p>
    <w:p w14:paraId="0DFF4FE9">
      <w:pPr>
        <w:pStyle w:val="2"/>
        <w:spacing w:before="132" w:line="294" w:lineRule="auto"/>
        <w:ind w:right="26" w:firstLine="529"/>
        <w:rPr>
          <w:sz w:val="21"/>
          <w:szCs w:val="21"/>
        </w:rPr>
      </w:pPr>
      <w:r>
        <w:rPr>
          <w:spacing w:val="2"/>
          <w:sz w:val="21"/>
          <w:szCs w:val="21"/>
        </w:rPr>
        <w:t>(1)承包人按第14.2款〔竣工结算审核〕约定接收竣工付款证书后，应被视为已无权再提出</w:t>
      </w:r>
      <w:r>
        <w:rPr>
          <w:spacing w:val="13"/>
          <w:sz w:val="21"/>
          <w:szCs w:val="21"/>
        </w:rPr>
        <w:t xml:space="preserve"> </w:t>
      </w:r>
      <w:r>
        <w:rPr>
          <w:spacing w:val="-2"/>
          <w:sz w:val="21"/>
          <w:szCs w:val="21"/>
        </w:rPr>
        <w:t>在工程接收证书颁发前所发生的任何索赔。</w:t>
      </w:r>
    </w:p>
    <w:p w14:paraId="4E97E287">
      <w:pPr>
        <w:pStyle w:val="2"/>
        <w:spacing w:before="132" w:line="285" w:lineRule="auto"/>
        <w:ind w:right="22" w:firstLine="529"/>
        <w:rPr>
          <w:sz w:val="21"/>
          <w:szCs w:val="21"/>
        </w:rPr>
      </w:pPr>
      <w:r>
        <w:rPr>
          <w:spacing w:val="2"/>
          <w:sz w:val="21"/>
          <w:szCs w:val="21"/>
        </w:rPr>
        <w:t>(2)承包人按第14.4款〔最终结清〕提交的最终结清申请单中，只限于提出工程接收证书颁</w:t>
      </w:r>
      <w:r>
        <w:rPr>
          <w:spacing w:val="16"/>
          <w:sz w:val="21"/>
          <w:szCs w:val="21"/>
        </w:rPr>
        <w:t xml:space="preserve"> </w:t>
      </w:r>
      <w:r>
        <w:rPr>
          <w:spacing w:val="-1"/>
          <w:sz w:val="21"/>
          <w:szCs w:val="21"/>
        </w:rPr>
        <w:t>发后发生的索赔。提出索赔的期限自接受最终结清证书时终止。</w:t>
      </w:r>
    </w:p>
    <w:p w14:paraId="3898F671">
      <w:pPr>
        <w:pStyle w:val="2"/>
        <w:spacing w:before="189" w:line="222" w:lineRule="auto"/>
        <w:ind w:left="4"/>
        <w:rPr>
          <w:rFonts w:ascii="黑体" w:hAnsi="黑体" w:eastAsia="黑体" w:cs="黑体"/>
          <w:sz w:val="30"/>
          <w:szCs w:val="30"/>
        </w:rPr>
      </w:pPr>
      <w:r>
        <w:rPr>
          <w:b/>
          <w:bCs/>
          <w:sz w:val="30"/>
          <w:szCs w:val="30"/>
        </w:rPr>
        <w:t>20.</w:t>
      </w:r>
      <w:r>
        <w:rPr>
          <w:rFonts w:ascii="黑体" w:hAnsi="黑体" w:eastAsia="黑体" w:cs="黑体"/>
          <w:b/>
          <w:bCs/>
          <w:sz w:val="30"/>
          <w:szCs w:val="30"/>
        </w:rPr>
        <w:t>争议解决</w:t>
      </w:r>
    </w:p>
    <w:p w14:paraId="48D15AF2">
      <w:pPr>
        <w:spacing w:before="70" w:line="222" w:lineRule="auto"/>
        <w:ind w:left="3"/>
        <w:rPr>
          <w:rFonts w:ascii="黑体" w:hAnsi="黑体" w:eastAsia="黑体" w:cs="黑体"/>
          <w:sz w:val="25"/>
          <w:szCs w:val="25"/>
        </w:rPr>
      </w:pPr>
      <w:r>
        <w:rPr>
          <w:rFonts w:ascii="黑体" w:hAnsi="黑体" w:eastAsia="黑体" w:cs="黑体"/>
          <w:b/>
          <w:bCs/>
          <w:spacing w:val="-3"/>
          <w:sz w:val="25"/>
          <w:szCs w:val="25"/>
        </w:rPr>
        <w:t>20.1和解</w:t>
      </w:r>
    </w:p>
    <w:p w14:paraId="086E000C">
      <w:pPr>
        <w:pStyle w:val="2"/>
        <w:spacing w:before="141" w:line="354" w:lineRule="auto"/>
        <w:ind w:right="19" w:firstLine="429"/>
        <w:rPr>
          <w:sz w:val="21"/>
          <w:szCs w:val="21"/>
        </w:rPr>
      </w:pPr>
      <w:r>
        <w:rPr>
          <w:spacing w:val="3"/>
          <w:sz w:val="21"/>
          <w:szCs w:val="21"/>
        </w:rPr>
        <w:t>合同当事人可以就争议自行和解，自行和解达</w:t>
      </w:r>
      <w:r>
        <w:rPr>
          <w:spacing w:val="2"/>
          <w:sz w:val="21"/>
          <w:szCs w:val="21"/>
        </w:rPr>
        <w:t>成协议的经双方签字并盖章后作为合同补充文</w:t>
      </w:r>
      <w:r>
        <w:rPr>
          <w:sz w:val="21"/>
          <w:szCs w:val="21"/>
        </w:rPr>
        <w:t xml:space="preserve"> </w:t>
      </w:r>
      <w:r>
        <w:rPr>
          <w:spacing w:val="-2"/>
          <w:sz w:val="21"/>
          <w:szCs w:val="21"/>
        </w:rPr>
        <w:t>件，双方均应遵照执行。</w:t>
      </w:r>
    </w:p>
    <w:p w14:paraId="22CB1565">
      <w:pPr>
        <w:spacing w:line="354" w:lineRule="auto"/>
        <w:rPr>
          <w:sz w:val="21"/>
          <w:szCs w:val="21"/>
        </w:rPr>
        <w:sectPr>
          <w:footerReference r:id="rId239" w:type="default"/>
          <w:pgSz w:w="11910" w:h="16840"/>
          <w:pgMar w:top="400" w:right="1508" w:bottom="1024" w:left="1450" w:header="0" w:footer="889" w:gutter="0"/>
          <w:cols w:space="720" w:num="1"/>
        </w:sectPr>
      </w:pPr>
    </w:p>
    <w:p w14:paraId="1273BDCE">
      <w:pPr>
        <w:spacing w:line="259" w:lineRule="auto"/>
        <w:rPr>
          <w:rFonts w:ascii="Arial"/>
          <w:sz w:val="21"/>
        </w:rPr>
      </w:pPr>
    </w:p>
    <w:p w14:paraId="67458BA8">
      <w:pPr>
        <w:spacing w:line="259" w:lineRule="auto"/>
        <w:rPr>
          <w:rFonts w:ascii="Arial"/>
          <w:sz w:val="21"/>
        </w:rPr>
      </w:pPr>
    </w:p>
    <w:p w14:paraId="230E9C28">
      <w:pPr>
        <w:spacing w:line="259" w:lineRule="auto"/>
        <w:rPr>
          <w:rFonts w:ascii="Arial"/>
          <w:sz w:val="21"/>
        </w:rPr>
      </w:pPr>
    </w:p>
    <w:p w14:paraId="6BB22DB2">
      <w:pPr>
        <w:spacing w:line="260" w:lineRule="auto"/>
        <w:rPr>
          <w:rFonts w:ascii="Arial"/>
          <w:sz w:val="21"/>
        </w:rPr>
      </w:pPr>
    </w:p>
    <w:p w14:paraId="3F642024">
      <w:pPr>
        <w:spacing w:line="260" w:lineRule="auto"/>
        <w:rPr>
          <w:rFonts w:ascii="Arial"/>
          <w:sz w:val="21"/>
        </w:rPr>
      </w:pPr>
    </w:p>
    <w:p w14:paraId="1F2A1D0D">
      <w:pPr>
        <w:spacing w:before="81" w:line="222" w:lineRule="auto"/>
        <w:ind w:left="3"/>
        <w:rPr>
          <w:rFonts w:ascii="黑体" w:hAnsi="黑体" w:eastAsia="黑体" w:cs="黑体"/>
          <w:sz w:val="25"/>
          <w:szCs w:val="25"/>
        </w:rPr>
      </w:pPr>
      <w:r>
        <w:rPr>
          <w:rFonts w:ascii="黑体" w:hAnsi="黑体" w:eastAsia="黑体" w:cs="黑体"/>
          <w:b/>
          <w:bCs/>
          <w:spacing w:val="-4"/>
          <w:sz w:val="25"/>
          <w:szCs w:val="25"/>
        </w:rPr>
        <w:t>20.2调解</w:t>
      </w:r>
    </w:p>
    <w:p w14:paraId="406A8B95">
      <w:pPr>
        <w:pStyle w:val="2"/>
        <w:spacing w:before="170" w:line="336" w:lineRule="auto"/>
        <w:ind w:right="18" w:firstLine="429"/>
        <w:rPr>
          <w:sz w:val="20"/>
          <w:szCs w:val="20"/>
        </w:rPr>
      </w:pPr>
      <w:r>
        <w:rPr>
          <w:spacing w:val="12"/>
          <w:sz w:val="20"/>
          <w:szCs w:val="20"/>
        </w:rPr>
        <w:t>合同当事人可以就争议请求建设行政主管部门、行业协会或其他</w:t>
      </w:r>
      <w:r>
        <w:rPr>
          <w:spacing w:val="11"/>
          <w:sz w:val="20"/>
          <w:szCs w:val="20"/>
        </w:rPr>
        <w:t>第三方进行调解，调解达成</w:t>
      </w:r>
      <w:r>
        <w:rPr>
          <w:sz w:val="20"/>
          <w:szCs w:val="20"/>
        </w:rPr>
        <w:t xml:space="preserve"> </w:t>
      </w:r>
      <w:r>
        <w:rPr>
          <w:spacing w:val="9"/>
          <w:sz w:val="20"/>
          <w:szCs w:val="20"/>
        </w:rPr>
        <w:t>协议的，经双方签字并盖章后作为合同补充文件</w:t>
      </w:r>
      <w:r>
        <w:rPr>
          <w:spacing w:val="8"/>
          <w:sz w:val="20"/>
          <w:szCs w:val="20"/>
        </w:rPr>
        <w:t>，双方均应遵照执行。</w:t>
      </w:r>
    </w:p>
    <w:p w14:paraId="349E9017">
      <w:pPr>
        <w:spacing w:line="221" w:lineRule="auto"/>
        <w:ind w:left="3"/>
        <w:rPr>
          <w:rFonts w:ascii="黑体" w:hAnsi="黑体" w:eastAsia="黑体" w:cs="黑体"/>
          <w:sz w:val="25"/>
          <w:szCs w:val="25"/>
        </w:rPr>
      </w:pPr>
      <w:r>
        <w:rPr>
          <w:rFonts w:ascii="黑体" w:hAnsi="黑体" w:eastAsia="黑体" w:cs="黑体"/>
          <w:b/>
          <w:bCs/>
          <w:spacing w:val="-4"/>
          <w:sz w:val="25"/>
          <w:szCs w:val="25"/>
        </w:rPr>
        <w:t>20.3争议评审</w:t>
      </w:r>
    </w:p>
    <w:p w14:paraId="3B1C17FD">
      <w:pPr>
        <w:pStyle w:val="2"/>
        <w:spacing w:before="152" w:line="369" w:lineRule="auto"/>
        <w:ind w:right="14" w:firstLine="429"/>
        <w:rPr>
          <w:sz w:val="20"/>
          <w:szCs w:val="20"/>
        </w:rPr>
      </w:pPr>
      <w:r>
        <w:rPr>
          <w:spacing w:val="12"/>
          <w:sz w:val="20"/>
          <w:szCs w:val="20"/>
        </w:rPr>
        <w:t>合同当事人在专用合同条款中约定采取争议评审方式解决争议以及评审规</w:t>
      </w:r>
      <w:r>
        <w:rPr>
          <w:spacing w:val="11"/>
          <w:sz w:val="20"/>
          <w:szCs w:val="20"/>
        </w:rPr>
        <w:t>则，并按下列约定</w:t>
      </w:r>
      <w:r>
        <w:rPr>
          <w:sz w:val="20"/>
          <w:szCs w:val="20"/>
        </w:rPr>
        <w:t xml:space="preserve"> </w:t>
      </w:r>
      <w:r>
        <w:rPr>
          <w:spacing w:val="-3"/>
          <w:sz w:val="20"/>
          <w:szCs w:val="20"/>
        </w:rPr>
        <w:t>执行：</w:t>
      </w:r>
    </w:p>
    <w:p w14:paraId="5A37DF73">
      <w:pPr>
        <w:pStyle w:val="2"/>
        <w:spacing w:line="219" w:lineRule="auto"/>
        <w:ind w:left="429"/>
        <w:rPr>
          <w:sz w:val="20"/>
          <w:szCs w:val="20"/>
        </w:rPr>
      </w:pPr>
      <w:r>
        <w:rPr>
          <w:spacing w:val="7"/>
          <w:sz w:val="20"/>
          <w:szCs w:val="20"/>
        </w:rPr>
        <w:t>20.3.1争议评审小组的确定</w:t>
      </w:r>
    </w:p>
    <w:p w14:paraId="36819BD9">
      <w:pPr>
        <w:pStyle w:val="2"/>
        <w:spacing w:before="183" w:line="353" w:lineRule="auto"/>
        <w:ind w:right="17" w:firstLine="429"/>
        <w:rPr>
          <w:sz w:val="20"/>
          <w:szCs w:val="20"/>
        </w:rPr>
      </w:pPr>
      <w:r>
        <w:rPr>
          <w:spacing w:val="12"/>
          <w:sz w:val="20"/>
          <w:szCs w:val="20"/>
        </w:rPr>
        <w:t>合同当事人可以共同选择一名或三名争议评审员，组成争议评审小</w:t>
      </w:r>
      <w:r>
        <w:rPr>
          <w:spacing w:val="11"/>
          <w:sz w:val="20"/>
          <w:szCs w:val="20"/>
        </w:rPr>
        <w:t>组。除专用合同条款另有</w:t>
      </w:r>
      <w:r>
        <w:rPr>
          <w:sz w:val="20"/>
          <w:szCs w:val="20"/>
        </w:rPr>
        <w:t xml:space="preserve"> </w:t>
      </w:r>
      <w:r>
        <w:rPr>
          <w:spacing w:val="15"/>
          <w:sz w:val="20"/>
          <w:szCs w:val="20"/>
        </w:rPr>
        <w:t>约定外，合同当事人应当自合同签订后28天内，或者争议发生后14</w:t>
      </w:r>
      <w:r>
        <w:rPr>
          <w:spacing w:val="14"/>
          <w:sz w:val="20"/>
          <w:szCs w:val="20"/>
        </w:rPr>
        <w:t>天内，选定争议评审员。</w:t>
      </w:r>
    </w:p>
    <w:p w14:paraId="32A26EB7">
      <w:pPr>
        <w:pStyle w:val="2"/>
        <w:spacing w:before="16" w:line="366" w:lineRule="auto"/>
        <w:ind w:right="1" w:firstLine="429"/>
        <w:jc w:val="both"/>
        <w:rPr>
          <w:sz w:val="20"/>
          <w:szCs w:val="20"/>
        </w:rPr>
      </w:pPr>
      <w:r>
        <w:rPr>
          <w:spacing w:val="11"/>
          <w:sz w:val="20"/>
          <w:szCs w:val="20"/>
        </w:rPr>
        <w:t>选择一名争议评审员的，由合同当事人共同确定；选择三名争议评审员的，各自选定一名，</w:t>
      </w:r>
      <w:r>
        <w:rPr>
          <w:spacing w:val="8"/>
          <w:sz w:val="20"/>
          <w:szCs w:val="20"/>
        </w:rPr>
        <w:t xml:space="preserve"> </w:t>
      </w:r>
      <w:r>
        <w:rPr>
          <w:spacing w:val="12"/>
          <w:sz w:val="20"/>
          <w:szCs w:val="20"/>
        </w:rPr>
        <w:t xml:space="preserve">第三名成员为首席争议评审员，由合同当事人共同确定或由合同当事人委托已选定的争议评审员 </w:t>
      </w:r>
      <w:r>
        <w:rPr>
          <w:spacing w:val="9"/>
          <w:sz w:val="20"/>
          <w:szCs w:val="20"/>
        </w:rPr>
        <w:t>共同确定，或由专用合同条款约定的评审机构指定第三名首席争议评审员。</w:t>
      </w:r>
    </w:p>
    <w:p w14:paraId="2FC13024">
      <w:pPr>
        <w:pStyle w:val="2"/>
        <w:spacing w:line="219" w:lineRule="auto"/>
        <w:ind w:left="429"/>
        <w:rPr>
          <w:sz w:val="20"/>
          <w:szCs w:val="20"/>
        </w:rPr>
      </w:pPr>
      <w:r>
        <w:rPr>
          <w:spacing w:val="9"/>
          <w:sz w:val="20"/>
          <w:szCs w:val="20"/>
        </w:rPr>
        <w:t>除专用合同条款另有约定外，评审员报酬由发包人和承包人各承担一半。</w:t>
      </w:r>
    </w:p>
    <w:p w14:paraId="68A40328">
      <w:pPr>
        <w:pStyle w:val="2"/>
        <w:spacing w:before="173" w:line="219" w:lineRule="auto"/>
        <w:ind w:left="429"/>
        <w:rPr>
          <w:sz w:val="20"/>
          <w:szCs w:val="20"/>
        </w:rPr>
      </w:pPr>
      <w:r>
        <w:rPr>
          <w:spacing w:val="7"/>
          <w:sz w:val="20"/>
          <w:szCs w:val="20"/>
        </w:rPr>
        <w:t>20.3.2争议评审小组的决定</w:t>
      </w:r>
    </w:p>
    <w:p w14:paraId="49DD8AE8">
      <w:pPr>
        <w:pStyle w:val="2"/>
        <w:spacing w:before="170" w:line="365" w:lineRule="auto"/>
        <w:ind w:right="12" w:firstLine="429"/>
        <w:rPr>
          <w:sz w:val="20"/>
          <w:szCs w:val="20"/>
        </w:rPr>
      </w:pPr>
      <w:r>
        <w:rPr>
          <w:spacing w:val="12"/>
          <w:sz w:val="20"/>
          <w:szCs w:val="20"/>
        </w:rPr>
        <w:t>合同当事人可在任何时间将与合同有关的任何争议共同提请</w:t>
      </w:r>
      <w:r>
        <w:rPr>
          <w:spacing w:val="11"/>
          <w:sz w:val="20"/>
          <w:szCs w:val="20"/>
        </w:rPr>
        <w:t>争议评审小组进行评审。争议评</w:t>
      </w:r>
      <w:r>
        <w:rPr>
          <w:sz w:val="20"/>
          <w:szCs w:val="20"/>
        </w:rPr>
        <w:t xml:space="preserve"> </w:t>
      </w:r>
      <w:r>
        <w:rPr>
          <w:spacing w:val="12"/>
          <w:sz w:val="20"/>
          <w:szCs w:val="20"/>
        </w:rPr>
        <w:t>审小组应秉持客观、公正原则，充分听取合同当事人的意见，依据相关法律、规范、标准、案例</w:t>
      </w:r>
      <w:r>
        <w:rPr>
          <w:sz w:val="20"/>
          <w:szCs w:val="20"/>
        </w:rPr>
        <w:t xml:space="preserve"> </w:t>
      </w:r>
      <w:r>
        <w:rPr>
          <w:spacing w:val="12"/>
          <w:sz w:val="20"/>
          <w:szCs w:val="20"/>
        </w:rPr>
        <w:t>经验及商业惯例等，自收到争议评审申请报告后14天</w:t>
      </w:r>
      <w:r>
        <w:rPr>
          <w:spacing w:val="11"/>
          <w:sz w:val="20"/>
          <w:szCs w:val="20"/>
        </w:rPr>
        <w:t>内作出书面决定，并说明理由。合同当事人</w:t>
      </w:r>
      <w:r>
        <w:rPr>
          <w:sz w:val="20"/>
          <w:szCs w:val="20"/>
        </w:rPr>
        <w:t xml:space="preserve"> </w:t>
      </w:r>
      <w:r>
        <w:rPr>
          <w:spacing w:val="8"/>
          <w:sz w:val="20"/>
          <w:szCs w:val="20"/>
        </w:rPr>
        <w:t>可以在专用合同条款中对本项事项另行约定。</w:t>
      </w:r>
    </w:p>
    <w:p w14:paraId="1FEC08AA">
      <w:pPr>
        <w:pStyle w:val="2"/>
        <w:spacing w:before="1" w:line="219" w:lineRule="auto"/>
        <w:ind w:left="429"/>
        <w:rPr>
          <w:sz w:val="20"/>
          <w:szCs w:val="20"/>
        </w:rPr>
      </w:pPr>
      <w:r>
        <w:rPr>
          <w:spacing w:val="8"/>
          <w:sz w:val="20"/>
          <w:szCs w:val="20"/>
        </w:rPr>
        <w:t>20.3.3争议评审小组决定的效力</w:t>
      </w:r>
    </w:p>
    <w:p w14:paraId="54B9BED3">
      <w:pPr>
        <w:pStyle w:val="2"/>
        <w:spacing w:before="191" w:line="364" w:lineRule="auto"/>
        <w:ind w:right="19" w:firstLine="429"/>
        <w:rPr>
          <w:sz w:val="20"/>
          <w:szCs w:val="20"/>
        </w:rPr>
      </w:pPr>
      <w:r>
        <w:rPr>
          <w:spacing w:val="12"/>
          <w:sz w:val="20"/>
          <w:szCs w:val="20"/>
        </w:rPr>
        <w:t>争议评审小组作出的书面决定经合同当事人签字确认后，对双</w:t>
      </w:r>
      <w:r>
        <w:rPr>
          <w:spacing w:val="11"/>
          <w:sz w:val="20"/>
          <w:szCs w:val="20"/>
        </w:rPr>
        <w:t>方具有约束力，双方应遵照执</w:t>
      </w:r>
      <w:r>
        <w:rPr>
          <w:sz w:val="20"/>
          <w:szCs w:val="20"/>
        </w:rPr>
        <w:t xml:space="preserve"> </w:t>
      </w:r>
      <w:r>
        <w:rPr>
          <w:spacing w:val="-3"/>
          <w:sz w:val="20"/>
          <w:szCs w:val="20"/>
        </w:rPr>
        <w:t>行。</w:t>
      </w:r>
    </w:p>
    <w:p w14:paraId="4769F230">
      <w:pPr>
        <w:pStyle w:val="2"/>
        <w:spacing w:before="12" w:line="349" w:lineRule="auto"/>
        <w:ind w:right="19" w:firstLine="429"/>
        <w:rPr>
          <w:sz w:val="20"/>
          <w:szCs w:val="20"/>
        </w:rPr>
      </w:pPr>
      <w:r>
        <w:rPr>
          <w:spacing w:val="12"/>
          <w:sz w:val="20"/>
          <w:szCs w:val="20"/>
        </w:rPr>
        <w:t>任何一方当事人不接受争议评审小组决定或不履行争议评审小</w:t>
      </w:r>
      <w:r>
        <w:rPr>
          <w:spacing w:val="11"/>
          <w:sz w:val="20"/>
          <w:szCs w:val="20"/>
        </w:rPr>
        <w:t>组决定的，双方可选择采用其</w:t>
      </w:r>
      <w:r>
        <w:rPr>
          <w:sz w:val="20"/>
          <w:szCs w:val="20"/>
        </w:rPr>
        <w:t xml:space="preserve"> </w:t>
      </w:r>
      <w:r>
        <w:rPr>
          <w:spacing w:val="4"/>
          <w:sz w:val="20"/>
          <w:szCs w:val="20"/>
        </w:rPr>
        <w:t>他争议解决方式。</w:t>
      </w:r>
    </w:p>
    <w:p w14:paraId="0F6A2B52">
      <w:pPr>
        <w:spacing w:line="220" w:lineRule="auto"/>
        <w:ind w:left="3"/>
        <w:rPr>
          <w:rFonts w:ascii="黑体" w:hAnsi="黑体" w:eastAsia="黑体" w:cs="黑体"/>
          <w:sz w:val="25"/>
          <w:szCs w:val="25"/>
        </w:rPr>
      </w:pPr>
      <w:r>
        <w:rPr>
          <w:rFonts w:ascii="黑体" w:hAnsi="黑体" w:eastAsia="黑体" w:cs="黑体"/>
          <w:b/>
          <w:bCs/>
          <w:spacing w:val="-4"/>
          <w:sz w:val="25"/>
          <w:szCs w:val="25"/>
        </w:rPr>
        <w:t>20.4仲裁或诉讼</w:t>
      </w:r>
    </w:p>
    <w:p w14:paraId="1A8A8BFA">
      <w:pPr>
        <w:pStyle w:val="2"/>
        <w:spacing w:before="127" w:line="371" w:lineRule="auto"/>
        <w:ind w:right="21" w:firstLine="429"/>
        <w:rPr>
          <w:sz w:val="20"/>
          <w:szCs w:val="20"/>
        </w:rPr>
      </w:pPr>
      <w:r>
        <w:rPr>
          <w:spacing w:val="12"/>
          <w:sz w:val="20"/>
          <w:szCs w:val="20"/>
        </w:rPr>
        <w:t>因合同及合同有关事项产生的争议，合同当事人可以在专用</w:t>
      </w:r>
      <w:r>
        <w:rPr>
          <w:spacing w:val="11"/>
          <w:sz w:val="20"/>
          <w:szCs w:val="20"/>
        </w:rPr>
        <w:t>合同条款中约定以下一种方式解</w:t>
      </w:r>
      <w:r>
        <w:rPr>
          <w:sz w:val="20"/>
          <w:szCs w:val="20"/>
        </w:rPr>
        <w:t xml:space="preserve"> </w:t>
      </w:r>
      <w:r>
        <w:rPr>
          <w:spacing w:val="-2"/>
          <w:sz w:val="20"/>
          <w:szCs w:val="20"/>
        </w:rPr>
        <w:t>决争议：</w:t>
      </w:r>
    </w:p>
    <w:p w14:paraId="09B8F519">
      <w:pPr>
        <w:pStyle w:val="2"/>
        <w:spacing w:before="14" w:line="219" w:lineRule="auto"/>
        <w:ind w:left="529"/>
        <w:rPr>
          <w:sz w:val="20"/>
          <w:szCs w:val="20"/>
        </w:rPr>
      </w:pPr>
      <w:r>
        <w:rPr>
          <w:spacing w:val="12"/>
          <w:sz w:val="20"/>
          <w:szCs w:val="20"/>
        </w:rPr>
        <w:t>(1)向约定的仲裁委员会申请仲裁；</w:t>
      </w:r>
    </w:p>
    <w:p w14:paraId="2FC5B6C8">
      <w:pPr>
        <w:pStyle w:val="2"/>
        <w:spacing w:before="143" w:line="219" w:lineRule="auto"/>
        <w:ind w:left="539"/>
        <w:rPr>
          <w:sz w:val="20"/>
          <w:szCs w:val="20"/>
        </w:rPr>
      </w:pPr>
      <w:r>
        <w:rPr>
          <w:spacing w:val="14"/>
          <w:sz w:val="20"/>
          <w:szCs w:val="20"/>
        </w:rPr>
        <w:t>(2)向有管辖权的人民法院起诉。</w:t>
      </w:r>
    </w:p>
    <w:p w14:paraId="2A264E50">
      <w:pPr>
        <w:spacing w:before="131" w:line="221" w:lineRule="auto"/>
        <w:ind w:left="3"/>
        <w:rPr>
          <w:rFonts w:ascii="黑体" w:hAnsi="黑体" w:eastAsia="黑体" w:cs="黑体"/>
          <w:sz w:val="25"/>
          <w:szCs w:val="25"/>
        </w:rPr>
      </w:pPr>
      <w:r>
        <w:rPr>
          <w:rFonts w:ascii="黑体" w:hAnsi="黑体" w:eastAsia="黑体" w:cs="黑体"/>
          <w:b/>
          <w:bCs/>
          <w:spacing w:val="-6"/>
          <w:sz w:val="25"/>
          <w:szCs w:val="25"/>
        </w:rPr>
        <w:t>20.5争议解决条款效力</w:t>
      </w:r>
    </w:p>
    <w:p w14:paraId="65D9A677">
      <w:pPr>
        <w:pStyle w:val="2"/>
        <w:spacing w:before="144" w:line="362" w:lineRule="auto"/>
        <w:ind w:firstLine="429"/>
        <w:rPr>
          <w:sz w:val="20"/>
          <w:szCs w:val="20"/>
        </w:rPr>
      </w:pPr>
      <w:r>
        <w:rPr>
          <w:spacing w:val="12"/>
          <w:sz w:val="20"/>
          <w:szCs w:val="20"/>
        </w:rPr>
        <w:t>合同有关争议解决的条款独立存在，合同的变更、解除、终止、无效或者被撤销均不影响其</w:t>
      </w:r>
      <w:r>
        <w:rPr>
          <w:spacing w:val="7"/>
          <w:sz w:val="20"/>
          <w:szCs w:val="20"/>
        </w:rPr>
        <w:t xml:space="preserve"> </w:t>
      </w:r>
      <w:r>
        <w:rPr>
          <w:spacing w:val="-3"/>
          <w:sz w:val="20"/>
          <w:szCs w:val="20"/>
        </w:rPr>
        <w:t>效力。</w:t>
      </w:r>
    </w:p>
    <w:p w14:paraId="0C423C7C">
      <w:pPr>
        <w:spacing w:line="362" w:lineRule="auto"/>
        <w:rPr>
          <w:sz w:val="20"/>
          <w:szCs w:val="20"/>
        </w:rPr>
        <w:sectPr>
          <w:footerReference r:id="rId240" w:type="default"/>
          <w:pgSz w:w="11910" w:h="16840"/>
          <w:pgMar w:top="400" w:right="1541" w:bottom="1024" w:left="1450" w:header="0" w:footer="889" w:gutter="0"/>
          <w:cols w:space="720" w:num="1"/>
        </w:sectPr>
      </w:pPr>
    </w:p>
    <w:p w14:paraId="4FB21526">
      <w:pPr>
        <w:spacing w:line="272" w:lineRule="auto"/>
        <w:rPr>
          <w:rFonts w:ascii="Arial"/>
          <w:sz w:val="21"/>
        </w:rPr>
      </w:pPr>
    </w:p>
    <w:p w14:paraId="3F86F97D">
      <w:pPr>
        <w:spacing w:line="272" w:lineRule="auto"/>
        <w:rPr>
          <w:rFonts w:ascii="Arial"/>
          <w:sz w:val="21"/>
        </w:rPr>
      </w:pPr>
    </w:p>
    <w:p w14:paraId="09040C57">
      <w:pPr>
        <w:spacing w:line="273" w:lineRule="auto"/>
        <w:rPr>
          <w:rFonts w:ascii="Arial"/>
          <w:sz w:val="21"/>
        </w:rPr>
      </w:pPr>
    </w:p>
    <w:p w14:paraId="0D77799E">
      <w:pPr>
        <w:spacing w:line="273" w:lineRule="auto"/>
        <w:rPr>
          <w:rFonts w:ascii="Arial"/>
          <w:sz w:val="21"/>
        </w:rPr>
      </w:pPr>
    </w:p>
    <w:p w14:paraId="60F2DD50">
      <w:pPr>
        <w:spacing w:line="273" w:lineRule="auto"/>
        <w:rPr>
          <w:rFonts w:ascii="Arial"/>
          <w:sz w:val="21"/>
        </w:rPr>
      </w:pPr>
    </w:p>
    <w:p w14:paraId="354C9586">
      <w:pPr>
        <w:spacing w:before="94" w:line="222" w:lineRule="auto"/>
        <w:ind w:left="2657"/>
        <w:rPr>
          <w:rFonts w:ascii="黑体" w:hAnsi="黑体" w:eastAsia="黑体" w:cs="黑体"/>
          <w:sz w:val="29"/>
          <w:szCs w:val="29"/>
        </w:rPr>
      </w:pPr>
      <w:r>
        <w:rPr>
          <w:rFonts w:ascii="黑体" w:hAnsi="黑体" w:eastAsia="黑体" w:cs="黑体"/>
          <w:b/>
          <w:bCs/>
          <w:spacing w:val="3"/>
          <w:sz w:val="29"/>
          <w:szCs w:val="29"/>
        </w:rPr>
        <w:t>第三部分专用合同条款</w:t>
      </w:r>
    </w:p>
    <w:p w14:paraId="041728B5">
      <w:pPr>
        <w:spacing w:line="222" w:lineRule="auto"/>
        <w:rPr>
          <w:rFonts w:ascii="黑体" w:hAnsi="黑体" w:eastAsia="黑体" w:cs="黑体"/>
          <w:sz w:val="29"/>
          <w:szCs w:val="29"/>
        </w:rPr>
        <w:sectPr>
          <w:footerReference r:id="rId241" w:type="default"/>
          <w:pgSz w:w="11910" w:h="16840"/>
          <w:pgMar w:top="400" w:right="1786" w:bottom="1016" w:left="1786" w:header="0" w:footer="889" w:gutter="0"/>
          <w:cols w:space="720" w:num="1"/>
        </w:sectPr>
      </w:pPr>
    </w:p>
    <w:p w14:paraId="4989EBEA">
      <w:pPr>
        <w:spacing w:line="256" w:lineRule="auto"/>
        <w:rPr>
          <w:rFonts w:ascii="Arial"/>
          <w:sz w:val="21"/>
        </w:rPr>
      </w:pPr>
    </w:p>
    <w:p w14:paraId="56EF734B">
      <w:pPr>
        <w:spacing w:line="256" w:lineRule="auto"/>
        <w:rPr>
          <w:rFonts w:ascii="Arial"/>
          <w:sz w:val="21"/>
        </w:rPr>
      </w:pPr>
    </w:p>
    <w:p w14:paraId="5C1FD08C">
      <w:pPr>
        <w:spacing w:line="256" w:lineRule="auto"/>
        <w:rPr>
          <w:rFonts w:ascii="Arial"/>
          <w:sz w:val="21"/>
        </w:rPr>
      </w:pPr>
    </w:p>
    <w:p w14:paraId="78700DD0">
      <w:pPr>
        <w:spacing w:line="257" w:lineRule="auto"/>
        <w:rPr>
          <w:rFonts w:ascii="Arial"/>
          <w:sz w:val="21"/>
        </w:rPr>
      </w:pPr>
    </w:p>
    <w:p w14:paraId="51205957">
      <w:pPr>
        <w:spacing w:line="257" w:lineRule="auto"/>
        <w:rPr>
          <w:rFonts w:ascii="Arial"/>
          <w:sz w:val="21"/>
        </w:rPr>
      </w:pPr>
    </w:p>
    <w:p w14:paraId="757D4FF6">
      <w:pPr>
        <w:spacing w:before="88" w:line="223" w:lineRule="auto"/>
        <w:ind w:left="3610"/>
        <w:rPr>
          <w:rFonts w:ascii="黑体" w:hAnsi="黑体" w:eastAsia="黑体" w:cs="黑体"/>
          <w:sz w:val="27"/>
          <w:szCs w:val="27"/>
        </w:rPr>
      </w:pPr>
      <w:r>
        <w:rPr>
          <w:rFonts w:ascii="黑体" w:hAnsi="黑体" w:eastAsia="黑体" w:cs="黑体"/>
          <w:b/>
          <w:bCs/>
          <w:spacing w:val="12"/>
          <w:sz w:val="27"/>
          <w:szCs w:val="27"/>
        </w:rPr>
        <w:t>专用合同条款</w:t>
      </w:r>
    </w:p>
    <w:p w14:paraId="10C9DFD8">
      <w:pPr>
        <w:spacing w:line="251" w:lineRule="auto"/>
        <w:rPr>
          <w:rFonts w:ascii="Arial"/>
          <w:sz w:val="21"/>
        </w:rPr>
      </w:pPr>
    </w:p>
    <w:p w14:paraId="38990214">
      <w:pPr>
        <w:spacing w:line="252" w:lineRule="auto"/>
        <w:rPr>
          <w:rFonts w:ascii="Arial"/>
          <w:sz w:val="21"/>
        </w:rPr>
      </w:pPr>
    </w:p>
    <w:p w14:paraId="4D5E74F1">
      <w:pPr>
        <w:pStyle w:val="2"/>
        <w:spacing w:before="87" w:line="220" w:lineRule="auto"/>
        <w:rPr>
          <w:sz w:val="27"/>
          <w:szCs w:val="27"/>
        </w:rPr>
      </w:pPr>
      <w:r>
        <w:rPr>
          <w:b/>
          <w:bCs/>
          <w:spacing w:val="4"/>
          <w:sz w:val="27"/>
          <w:szCs w:val="27"/>
        </w:rPr>
        <w:t>1.</w:t>
      </w:r>
      <w:r>
        <w:rPr>
          <w:spacing w:val="-45"/>
          <w:sz w:val="27"/>
          <w:szCs w:val="27"/>
        </w:rPr>
        <w:t xml:space="preserve"> </w:t>
      </w:r>
      <w:r>
        <w:rPr>
          <w:b/>
          <w:bCs/>
          <w:spacing w:val="4"/>
          <w:sz w:val="27"/>
          <w:szCs w:val="27"/>
        </w:rPr>
        <w:t>一</w:t>
      </w:r>
      <w:r>
        <w:rPr>
          <w:spacing w:val="-77"/>
          <w:sz w:val="27"/>
          <w:szCs w:val="27"/>
        </w:rPr>
        <w:t xml:space="preserve"> </w:t>
      </w:r>
      <w:r>
        <w:rPr>
          <w:b/>
          <w:bCs/>
          <w:spacing w:val="4"/>
          <w:sz w:val="27"/>
          <w:szCs w:val="27"/>
        </w:rPr>
        <w:t>般约定</w:t>
      </w:r>
    </w:p>
    <w:p w14:paraId="761BDB76">
      <w:pPr>
        <w:pStyle w:val="2"/>
        <w:spacing w:before="58" w:line="220" w:lineRule="auto"/>
        <w:rPr>
          <w:sz w:val="27"/>
          <w:szCs w:val="27"/>
        </w:rPr>
      </w:pPr>
      <w:r>
        <w:rPr>
          <w:b/>
          <w:bCs/>
          <w:spacing w:val="-23"/>
          <w:sz w:val="27"/>
          <w:szCs w:val="27"/>
        </w:rPr>
        <w:t>1.1</w:t>
      </w:r>
      <w:r>
        <w:rPr>
          <w:spacing w:val="-23"/>
          <w:sz w:val="27"/>
          <w:szCs w:val="27"/>
        </w:rPr>
        <w:t xml:space="preserve"> </w:t>
      </w:r>
      <w:r>
        <w:rPr>
          <w:b/>
          <w:bCs/>
          <w:spacing w:val="-23"/>
          <w:sz w:val="27"/>
          <w:szCs w:val="27"/>
        </w:rPr>
        <w:t>词语定义</w:t>
      </w:r>
    </w:p>
    <w:p w14:paraId="44EFF9B2">
      <w:pPr>
        <w:pStyle w:val="2"/>
        <w:spacing w:before="151" w:line="221" w:lineRule="auto"/>
        <w:ind w:left="406"/>
        <w:rPr>
          <w:sz w:val="20"/>
          <w:szCs w:val="20"/>
        </w:rPr>
      </w:pPr>
      <w:r>
        <w:rPr>
          <w:spacing w:val="2"/>
          <w:sz w:val="20"/>
          <w:szCs w:val="20"/>
        </w:rPr>
        <w:t>1.</w:t>
      </w:r>
      <w:r>
        <w:rPr>
          <w:spacing w:val="-52"/>
          <w:sz w:val="20"/>
          <w:szCs w:val="20"/>
        </w:rPr>
        <w:t xml:space="preserve"> </w:t>
      </w:r>
      <w:r>
        <w:rPr>
          <w:spacing w:val="2"/>
          <w:sz w:val="20"/>
          <w:szCs w:val="20"/>
        </w:rPr>
        <w:t>1.</w:t>
      </w:r>
      <w:r>
        <w:rPr>
          <w:spacing w:val="-56"/>
          <w:sz w:val="20"/>
          <w:szCs w:val="20"/>
        </w:rPr>
        <w:t xml:space="preserve"> </w:t>
      </w:r>
      <w:r>
        <w:rPr>
          <w:spacing w:val="2"/>
          <w:sz w:val="20"/>
          <w:szCs w:val="20"/>
        </w:rPr>
        <w:t>1合同</w:t>
      </w:r>
    </w:p>
    <w:p w14:paraId="080DC186">
      <w:pPr>
        <w:pStyle w:val="2"/>
        <w:spacing w:before="148" w:line="219" w:lineRule="auto"/>
        <w:ind w:left="406"/>
        <w:rPr>
          <w:sz w:val="20"/>
          <w:szCs w:val="20"/>
        </w:rPr>
      </w:pPr>
      <w:r>
        <w:rPr>
          <w:spacing w:val="3"/>
          <w:sz w:val="20"/>
          <w:szCs w:val="20"/>
        </w:rPr>
        <w:t>1.1.1.10其他合同文件包括：</w:t>
      </w:r>
      <w:r>
        <w:rPr>
          <w:spacing w:val="38"/>
          <w:sz w:val="20"/>
          <w:szCs w:val="20"/>
        </w:rPr>
        <w:t xml:space="preserve"> </w:t>
      </w:r>
      <w:r>
        <w:rPr>
          <w:sz w:val="20"/>
          <w:szCs w:val="20"/>
          <w:u w:val="single" w:color="auto"/>
        </w:rPr>
        <w:t xml:space="preserve">                                                         </w:t>
      </w:r>
    </w:p>
    <w:p w14:paraId="5E30D241">
      <w:pPr>
        <w:pStyle w:val="2"/>
        <w:tabs>
          <w:tab w:val="left" w:pos="8295"/>
        </w:tabs>
        <w:spacing w:before="239"/>
        <w:ind w:left="406"/>
        <w:rPr>
          <w:sz w:val="11"/>
          <w:szCs w:val="11"/>
        </w:rPr>
      </w:pPr>
      <w:r>
        <w:rPr>
          <w:sz w:val="11"/>
          <w:szCs w:val="11"/>
          <w:u w:val="single" w:color="auto"/>
        </w:rPr>
        <w:tab/>
      </w:r>
      <w:r>
        <w:rPr>
          <w:spacing w:val="-35"/>
          <w:sz w:val="11"/>
          <w:szCs w:val="11"/>
        </w:rPr>
        <w:t xml:space="preserve"> </w:t>
      </w:r>
      <w:r>
        <w:rPr>
          <w:spacing w:val="-7"/>
          <w:w w:val="96"/>
          <w:sz w:val="11"/>
          <w:szCs w:val="11"/>
        </w:rPr>
        <w:t>-0</w:t>
      </w:r>
    </w:p>
    <w:p w14:paraId="681D1659">
      <w:pPr>
        <w:pStyle w:val="2"/>
        <w:spacing w:before="190" w:line="220" w:lineRule="auto"/>
        <w:ind w:left="406"/>
        <w:rPr>
          <w:sz w:val="20"/>
          <w:szCs w:val="20"/>
        </w:rPr>
      </w:pPr>
      <w:r>
        <w:rPr>
          <w:spacing w:val="5"/>
          <w:sz w:val="20"/>
          <w:szCs w:val="20"/>
        </w:rPr>
        <w:t>1.1.2</w:t>
      </w:r>
      <w:r>
        <w:rPr>
          <w:spacing w:val="66"/>
          <w:sz w:val="20"/>
          <w:szCs w:val="20"/>
        </w:rPr>
        <w:t xml:space="preserve"> </w:t>
      </w:r>
      <w:r>
        <w:rPr>
          <w:spacing w:val="5"/>
          <w:sz w:val="20"/>
          <w:szCs w:val="20"/>
        </w:rPr>
        <w:t>合同当事人及其他相关方</w:t>
      </w:r>
    </w:p>
    <w:p w14:paraId="47E985F8">
      <w:pPr>
        <w:pStyle w:val="2"/>
        <w:spacing w:before="144" w:line="222" w:lineRule="auto"/>
        <w:ind w:left="406"/>
        <w:rPr>
          <w:sz w:val="20"/>
          <w:szCs w:val="20"/>
        </w:rPr>
      </w:pPr>
      <w:r>
        <w:rPr>
          <w:spacing w:val="8"/>
          <w:sz w:val="20"/>
          <w:szCs w:val="20"/>
        </w:rPr>
        <w:t>1.1.2.4监理人：</w:t>
      </w:r>
    </w:p>
    <w:p w14:paraId="3F664016">
      <w:pPr>
        <w:pStyle w:val="2"/>
        <w:spacing w:before="209" w:line="221" w:lineRule="auto"/>
        <w:ind w:left="406"/>
        <w:rPr>
          <w:sz w:val="20"/>
          <w:szCs w:val="20"/>
        </w:rPr>
      </w:pPr>
      <w:r>
        <w:rPr>
          <w:spacing w:val="-3"/>
          <w:sz w:val="20"/>
          <w:szCs w:val="20"/>
        </w:rPr>
        <w:t>名</w:t>
      </w:r>
      <w:r>
        <w:rPr>
          <w:spacing w:val="7"/>
          <w:sz w:val="20"/>
          <w:szCs w:val="20"/>
        </w:rPr>
        <w:t xml:space="preserve">    </w:t>
      </w:r>
      <w:r>
        <w:rPr>
          <w:spacing w:val="-3"/>
          <w:sz w:val="20"/>
          <w:szCs w:val="20"/>
        </w:rPr>
        <w:t>称：</w:t>
      </w:r>
      <w:r>
        <w:rPr>
          <w:spacing w:val="-58"/>
          <w:sz w:val="20"/>
          <w:szCs w:val="20"/>
        </w:rPr>
        <w:t xml:space="preserve"> </w:t>
      </w:r>
      <w:r>
        <w:rPr>
          <w:sz w:val="20"/>
          <w:szCs w:val="20"/>
          <w:u w:val="single" w:color="auto"/>
        </w:rPr>
        <w:t xml:space="preserve">                                         </w:t>
      </w:r>
      <w:r>
        <w:rPr>
          <w:spacing w:val="-79"/>
          <w:sz w:val="20"/>
          <w:szCs w:val="20"/>
        </w:rPr>
        <w:t xml:space="preserve"> </w:t>
      </w:r>
      <w:r>
        <w:rPr>
          <w:spacing w:val="-3"/>
          <w:sz w:val="20"/>
          <w:szCs w:val="20"/>
        </w:rPr>
        <w:t>;</w:t>
      </w:r>
    </w:p>
    <w:p w14:paraId="236C0F68">
      <w:pPr>
        <w:pStyle w:val="2"/>
        <w:spacing w:before="148" w:line="219" w:lineRule="auto"/>
        <w:ind w:left="406"/>
        <w:rPr>
          <w:sz w:val="20"/>
          <w:szCs w:val="20"/>
        </w:rPr>
      </w:pPr>
      <w:r>
        <w:rPr>
          <w:sz w:val="20"/>
          <w:szCs w:val="20"/>
        </w:rPr>
        <w:t xml:space="preserve">资质类别和等级： </w:t>
      </w:r>
      <w:r>
        <w:rPr>
          <w:spacing w:val="2"/>
          <w:sz w:val="20"/>
          <w:szCs w:val="20"/>
          <w:u w:val="single" w:color="auto"/>
        </w:rPr>
        <w:t xml:space="preserve">                                  </w:t>
      </w:r>
      <w:r>
        <w:rPr>
          <w:spacing w:val="-89"/>
          <w:sz w:val="20"/>
          <w:szCs w:val="20"/>
        </w:rPr>
        <w:t xml:space="preserve"> </w:t>
      </w:r>
      <w:r>
        <w:rPr>
          <w:sz w:val="20"/>
          <w:szCs w:val="20"/>
        </w:rPr>
        <w:t>;</w:t>
      </w:r>
    </w:p>
    <w:p w14:paraId="365F1FFB">
      <w:pPr>
        <w:pStyle w:val="2"/>
        <w:spacing w:before="156" w:line="221" w:lineRule="auto"/>
        <w:ind w:left="406"/>
        <w:rPr>
          <w:sz w:val="20"/>
          <w:szCs w:val="20"/>
        </w:rPr>
      </w:pPr>
      <w:r>
        <w:rPr>
          <w:sz w:val="20"/>
          <w:szCs w:val="20"/>
        </w:rPr>
        <w:t>联系电话：</w:t>
      </w:r>
      <w:r>
        <w:rPr>
          <w:spacing w:val="-41"/>
          <w:sz w:val="20"/>
          <w:szCs w:val="20"/>
        </w:rPr>
        <w:t xml:space="preserve"> </w:t>
      </w:r>
      <w:r>
        <w:rPr>
          <w:sz w:val="20"/>
          <w:szCs w:val="20"/>
          <w:u w:val="single" w:color="auto"/>
        </w:rPr>
        <w:t xml:space="preserve">                                         </w:t>
      </w:r>
      <w:r>
        <w:rPr>
          <w:spacing w:val="-80"/>
          <w:sz w:val="20"/>
          <w:szCs w:val="20"/>
        </w:rPr>
        <w:t xml:space="preserve"> </w:t>
      </w:r>
      <w:r>
        <w:rPr>
          <w:sz w:val="20"/>
          <w:szCs w:val="20"/>
        </w:rPr>
        <w:t>;</w:t>
      </w:r>
    </w:p>
    <w:p w14:paraId="7FB05BF5">
      <w:pPr>
        <w:pStyle w:val="2"/>
        <w:spacing w:before="148" w:line="219" w:lineRule="auto"/>
        <w:ind w:left="406"/>
        <w:rPr>
          <w:sz w:val="20"/>
          <w:szCs w:val="20"/>
        </w:rPr>
      </w:pPr>
      <w:r>
        <w:rPr>
          <w:sz w:val="20"/>
          <w:szCs w:val="20"/>
        </w:rPr>
        <w:t>电子信箱：</w:t>
      </w:r>
      <w:r>
        <w:rPr>
          <w:spacing w:val="-41"/>
          <w:sz w:val="20"/>
          <w:szCs w:val="20"/>
        </w:rPr>
        <w:t xml:space="preserve"> </w:t>
      </w:r>
      <w:r>
        <w:rPr>
          <w:sz w:val="20"/>
          <w:szCs w:val="20"/>
          <w:u w:val="single" w:color="auto"/>
        </w:rPr>
        <w:t xml:space="preserve">                                         </w:t>
      </w:r>
      <w:r>
        <w:rPr>
          <w:spacing w:val="-80"/>
          <w:sz w:val="20"/>
          <w:szCs w:val="20"/>
        </w:rPr>
        <w:t xml:space="preserve"> </w:t>
      </w:r>
      <w:r>
        <w:rPr>
          <w:sz w:val="20"/>
          <w:szCs w:val="20"/>
        </w:rPr>
        <w:t>;</w:t>
      </w:r>
    </w:p>
    <w:p w14:paraId="64F0FB39">
      <w:pPr>
        <w:pStyle w:val="2"/>
        <w:spacing w:before="152" w:line="219" w:lineRule="auto"/>
        <w:ind w:left="406"/>
        <w:rPr>
          <w:rFonts w:ascii="Times New Roman" w:hAnsi="Times New Roman" w:eastAsia="Times New Roman" w:cs="Times New Roman"/>
          <w:sz w:val="20"/>
          <w:szCs w:val="20"/>
        </w:rPr>
      </w:pPr>
      <w:r>
        <w:rPr>
          <w:spacing w:val="3"/>
          <w:sz w:val="20"/>
          <w:szCs w:val="20"/>
        </w:rPr>
        <w:t>通信地址：</w:t>
      </w:r>
      <w:r>
        <w:rPr>
          <w:spacing w:val="1"/>
          <w:sz w:val="20"/>
          <w:szCs w:val="20"/>
          <w:u w:val="single" w:color="auto"/>
        </w:rPr>
        <w:t xml:space="preserve">                                         </w:t>
      </w:r>
      <w:r>
        <w:rPr>
          <w:spacing w:val="-80"/>
          <w:sz w:val="20"/>
          <w:szCs w:val="20"/>
        </w:rPr>
        <w:t xml:space="preserve"> </w:t>
      </w:r>
      <w:r>
        <w:rPr>
          <w:rFonts w:ascii="Times New Roman" w:hAnsi="Times New Roman" w:eastAsia="Times New Roman" w:cs="Times New Roman"/>
          <w:spacing w:val="3"/>
          <w:sz w:val="20"/>
          <w:szCs w:val="20"/>
        </w:rPr>
        <w:t>o</w:t>
      </w:r>
    </w:p>
    <w:p w14:paraId="3337A758">
      <w:pPr>
        <w:pStyle w:val="2"/>
        <w:spacing w:before="154" w:line="221" w:lineRule="auto"/>
        <w:ind w:left="406"/>
        <w:rPr>
          <w:sz w:val="20"/>
          <w:szCs w:val="20"/>
        </w:rPr>
      </w:pPr>
      <w:r>
        <w:rPr>
          <w:spacing w:val="-3"/>
          <w:sz w:val="20"/>
          <w:szCs w:val="20"/>
        </w:rPr>
        <w:t>1.1.2.5</w:t>
      </w:r>
      <w:r>
        <w:rPr>
          <w:spacing w:val="54"/>
          <w:sz w:val="20"/>
          <w:szCs w:val="20"/>
        </w:rPr>
        <w:t xml:space="preserve"> </w:t>
      </w:r>
      <w:r>
        <w:rPr>
          <w:spacing w:val="-3"/>
          <w:sz w:val="20"/>
          <w:szCs w:val="20"/>
        </w:rPr>
        <w:t>设计人：</w:t>
      </w:r>
    </w:p>
    <w:p w14:paraId="21A12A72">
      <w:pPr>
        <w:pStyle w:val="2"/>
        <w:spacing w:before="222" w:line="221" w:lineRule="auto"/>
        <w:ind w:left="406"/>
        <w:rPr>
          <w:sz w:val="20"/>
          <w:szCs w:val="20"/>
        </w:rPr>
      </w:pPr>
      <w:r>
        <w:rPr>
          <w:spacing w:val="-3"/>
          <w:sz w:val="20"/>
          <w:szCs w:val="20"/>
        </w:rPr>
        <w:t>名</w:t>
      </w:r>
      <w:r>
        <w:rPr>
          <w:spacing w:val="5"/>
          <w:sz w:val="20"/>
          <w:szCs w:val="20"/>
        </w:rPr>
        <w:t xml:space="preserve">    </w:t>
      </w:r>
      <w:r>
        <w:rPr>
          <w:spacing w:val="-3"/>
          <w:sz w:val="20"/>
          <w:szCs w:val="20"/>
        </w:rPr>
        <w:t>称：</w:t>
      </w:r>
      <w:r>
        <w:rPr>
          <w:spacing w:val="-50"/>
          <w:sz w:val="20"/>
          <w:szCs w:val="20"/>
        </w:rPr>
        <w:t xml:space="preserve"> </w:t>
      </w:r>
      <w:r>
        <w:rPr>
          <w:sz w:val="20"/>
          <w:szCs w:val="20"/>
          <w:u w:val="single" w:color="auto"/>
        </w:rPr>
        <w:t xml:space="preserve">                                         </w:t>
      </w:r>
      <w:r>
        <w:rPr>
          <w:spacing w:val="-79"/>
          <w:sz w:val="20"/>
          <w:szCs w:val="20"/>
        </w:rPr>
        <w:t xml:space="preserve"> </w:t>
      </w:r>
      <w:r>
        <w:rPr>
          <w:spacing w:val="-3"/>
          <w:sz w:val="20"/>
          <w:szCs w:val="20"/>
        </w:rPr>
        <w:t>;</w:t>
      </w:r>
    </w:p>
    <w:p w14:paraId="1607D1AF">
      <w:pPr>
        <w:pStyle w:val="2"/>
        <w:spacing w:before="138" w:line="219" w:lineRule="auto"/>
        <w:ind w:left="406"/>
        <w:rPr>
          <w:sz w:val="20"/>
          <w:szCs w:val="20"/>
        </w:rPr>
      </w:pPr>
      <w:r>
        <w:rPr>
          <w:sz w:val="20"/>
          <w:szCs w:val="20"/>
        </w:rPr>
        <w:t>资质类别和等级：</w:t>
      </w:r>
      <w:r>
        <w:rPr>
          <w:spacing w:val="-30"/>
          <w:sz w:val="20"/>
          <w:szCs w:val="20"/>
        </w:rPr>
        <w:t xml:space="preserve"> </w:t>
      </w:r>
      <w:r>
        <w:rPr>
          <w:spacing w:val="2"/>
          <w:sz w:val="20"/>
          <w:szCs w:val="20"/>
          <w:u w:val="single" w:color="auto"/>
        </w:rPr>
        <w:t xml:space="preserve">                                  </w:t>
      </w:r>
      <w:r>
        <w:rPr>
          <w:spacing w:val="-59"/>
          <w:sz w:val="20"/>
          <w:szCs w:val="20"/>
        </w:rPr>
        <w:t xml:space="preserve"> </w:t>
      </w:r>
      <w:r>
        <w:rPr>
          <w:sz w:val="20"/>
          <w:szCs w:val="20"/>
        </w:rPr>
        <w:t>;</w:t>
      </w:r>
    </w:p>
    <w:p w14:paraId="19CFA7D7">
      <w:pPr>
        <w:pStyle w:val="2"/>
        <w:spacing w:before="146" w:line="221" w:lineRule="auto"/>
        <w:ind w:left="406"/>
        <w:rPr>
          <w:sz w:val="20"/>
          <w:szCs w:val="20"/>
        </w:rPr>
      </w:pPr>
      <w:r>
        <w:rPr>
          <w:sz w:val="20"/>
          <w:szCs w:val="20"/>
        </w:rPr>
        <w:t>联系电话：</w:t>
      </w:r>
      <w:r>
        <w:rPr>
          <w:spacing w:val="-41"/>
          <w:sz w:val="20"/>
          <w:szCs w:val="20"/>
        </w:rPr>
        <w:t xml:space="preserve"> </w:t>
      </w:r>
      <w:r>
        <w:rPr>
          <w:sz w:val="20"/>
          <w:szCs w:val="20"/>
          <w:u w:val="single" w:color="auto"/>
        </w:rPr>
        <w:t xml:space="preserve">                                         </w:t>
      </w:r>
      <w:r>
        <w:rPr>
          <w:spacing w:val="-80"/>
          <w:sz w:val="20"/>
          <w:szCs w:val="20"/>
        </w:rPr>
        <w:t xml:space="preserve"> </w:t>
      </w:r>
      <w:r>
        <w:rPr>
          <w:sz w:val="20"/>
          <w:szCs w:val="20"/>
        </w:rPr>
        <w:t>;</w:t>
      </w:r>
    </w:p>
    <w:p w14:paraId="362BAFDC">
      <w:pPr>
        <w:pStyle w:val="2"/>
        <w:spacing w:before="138" w:line="219" w:lineRule="auto"/>
        <w:ind w:left="406"/>
        <w:rPr>
          <w:sz w:val="20"/>
          <w:szCs w:val="20"/>
        </w:rPr>
      </w:pPr>
      <w:r>
        <w:rPr>
          <w:sz w:val="20"/>
          <w:szCs w:val="20"/>
        </w:rPr>
        <w:t>电子信箱：</w:t>
      </w:r>
      <w:r>
        <w:rPr>
          <w:spacing w:val="-41"/>
          <w:sz w:val="20"/>
          <w:szCs w:val="20"/>
        </w:rPr>
        <w:t xml:space="preserve"> </w:t>
      </w:r>
      <w:r>
        <w:rPr>
          <w:sz w:val="20"/>
          <w:szCs w:val="20"/>
          <w:u w:val="single" w:color="auto"/>
        </w:rPr>
        <w:t xml:space="preserve">                                         </w:t>
      </w:r>
      <w:r>
        <w:rPr>
          <w:spacing w:val="-80"/>
          <w:sz w:val="20"/>
          <w:szCs w:val="20"/>
        </w:rPr>
        <w:t xml:space="preserve"> </w:t>
      </w:r>
      <w:r>
        <w:rPr>
          <w:sz w:val="20"/>
          <w:szCs w:val="20"/>
        </w:rPr>
        <w:t>;</w:t>
      </w:r>
    </w:p>
    <w:p w14:paraId="2BE55251">
      <w:pPr>
        <w:pStyle w:val="2"/>
        <w:spacing w:before="142" w:line="219" w:lineRule="auto"/>
        <w:ind w:left="406"/>
        <w:rPr>
          <w:rFonts w:ascii="Times New Roman" w:hAnsi="Times New Roman" w:eastAsia="Times New Roman" w:cs="Times New Roman"/>
          <w:sz w:val="20"/>
          <w:szCs w:val="20"/>
        </w:rPr>
      </w:pPr>
      <w:r>
        <w:rPr>
          <w:sz w:val="20"/>
          <w:szCs w:val="20"/>
        </w:rPr>
        <w:t>通信地址：</w:t>
      </w:r>
      <w:r>
        <w:rPr>
          <w:spacing w:val="-71"/>
          <w:sz w:val="20"/>
          <w:szCs w:val="20"/>
        </w:rPr>
        <w:t xml:space="preserve"> </w:t>
      </w:r>
      <w:r>
        <w:rPr>
          <w:spacing w:val="1"/>
          <w:sz w:val="20"/>
          <w:szCs w:val="20"/>
          <w:u w:val="single" w:color="auto"/>
        </w:rPr>
        <w:t xml:space="preserve">                                       </w:t>
      </w:r>
      <w:r>
        <w:rPr>
          <w:sz w:val="20"/>
          <w:szCs w:val="20"/>
          <w:u w:val="single" w:color="auto"/>
        </w:rPr>
        <w:t xml:space="preserve">  </w:t>
      </w:r>
      <w:r>
        <w:rPr>
          <w:spacing w:val="-89"/>
          <w:sz w:val="20"/>
          <w:szCs w:val="20"/>
        </w:rPr>
        <w:t xml:space="preserve"> </w:t>
      </w:r>
      <w:r>
        <w:rPr>
          <w:rFonts w:ascii="Times New Roman" w:hAnsi="Times New Roman" w:eastAsia="Times New Roman" w:cs="Times New Roman"/>
          <w:sz w:val="20"/>
          <w:szCs w:val="20"/>
        </w:rPr>
        <w:t>o</w:t>
      </w:r>
    </w:p>
    <w:p w14:paraId="219F1A83">
      <w:pPr>
        <w:pStyle w:val="2"/>
        <w:spacing w:before="184" w:line="220" w:lineRule="auto"/>
        <w:ind w:left="406"/>
        <w:rPr>
          <w:sz w:val="20"/>
          <w:szCs w:val="20"/>
        </w:rPr>
      </w:pPr>
      <w:r>
        <w:rPr>
          <w:spacing w:val="2"/>
          <w:sz w:val="20"/>
          <w:szCs w:val="20"/>
        </w:rPr>
        <w:t>1.1.3</w:t>
      </w:r>
      <w:r>
        <w:rPr>
          <w:spacing w:val="48"/>
          <w:sz w:val="20"/>
          <w:szCs w:val="20"/>
        </w:rPr>
        <w:t xml:space="preserve"> </w:t>
      </w:r>
      <w:r>
        <w:rPr>
          <w:spacing w:val="2"/>
          <w:sz w:val="20"/>
          <w:szCs w:val="20"/>
        </w:rPr>
        <w:t>工程和设备</w:t>
      </w:r>
    </w:p>
    <w:p w14:paraId="554B2FE5">
      <w:pPr>
        <w:pStyle w:val="2"/>
        <w:spacing w:before="181" w:line="219" w:lineRule="auto"/>
        <w:ind w:left="406"/>
        <w:rPr>
          <w:sz w:val="20"/>
          <w:szCs w:val="20"/>
        </w:rPr>
      </w:pPr>
      <w:r>
        <w:fldChar w:fldCharType="begin"/>
      </w:r>
      <w:r>
        <w:instrText xml:space="preserve"> HYPERLINK "1.1.3.7" </w:instrText>
      </w:r>
      <w:r>
        <w:fldChar w:fldCharType="separate"/>
      </w:r>
      <w:r>
        <w:rPr>
          <w:spacing w:val="2"/>
          <w:sz w:val="20"/>
          <w:szCs w:val="20"/>
        </w:rPr>
        <w:t>1.1.3.7</w:t>
      </w:r>
      <w:r>
        <w:rPr>
          <w:spacing w:val="2"/>
          <w:sz w:val="20"/>
          <w:szCs w:val="20"/>
        </w:rPr>
        <w:fldChar w:fldCharType="end"/>
      </w:r>
      <w:r>
        <w:rPr>
          <w:spacing w:val="2"/>
          <w:sz w:val="20"/>
          <w:szCs w:val="20"/>
        </w:rPr>
        <w:t xml:space="preserve"> 作为施工现场组成部分的其他场所</w:t>
      </w:r>
      <w:r>
        <w:rPr>
          <w:spacing w:val="1"/>
          <w:sz w:val="20"/>
          <w:szCs w:val="20"/>
        </w:rPr>
        <w:t>包括：</w:t>
      </w:r>
      <w:r>
        <w:rPr>
          <w:spacing w:val="29"/>
          <w:sz w:val="20"/>
          <w:szCs w:val="20"/>
        </w:rPr>
        <w:t xml:space="preserve"> </w:t>
      </w:r>
      <w:r>
        <w:rPr>
          <w:sz w:val="20"/>
          <w:szCs w:val="20"/>
          <w:u w:val="single" w:color="auto"/>
        </w:rPr>
        <w:t xml:space="preserve">                                       </w:t>
      </w:r>
    </w:p>
    <w:p w14:paraId="52F509E8">
      <w:pPr>
        <w:spacing w:line="272" w:lineRule="auto"/>
        <w:rPr>
          <w:rFonts w:ascii="Arial"/>
          <w:sz w:val="21"/>
        </w:rPr>
      </w:pPr>
    </w:p>
    <w:p w14:paraId="6DBA4589">
      <w:pPr>
        <w:spacing w:line="80" w:lineRule="exact"/>
        <w:ind w:firstLine="406"/>
      </w:pPr>
      <w:r>
        <w:rPr>
          <w:position w:val="-1"/>
        </w:rPr>
        <w:drawing>
          <wp:inline distT="0" distB="0" distL="0" distR="0">
            <wp:extent cx="5010150" cy="50165"/>
            <wp:effectExtent l="0" t="0" r="0" b="0"/>
            <wp:docPr id="72" name="IM 72"/>
            <wp:cNvGraphicFramePr/>
            <a:graphic xmlns:a="http://schemas.openxmlformats.org/drawingml/2006/main">
              <a:graphicData uri="http://schemas.openxmlformats.org/drawingml/2006/picture">
                <pic:pic xmlns:pic="http://schemas.openxmlformats.org/drawingml/2006/picture">
                  <pic:nvPicPr>
                    <pic:cNvPr id="72" name="IM 72"/>
                    <pic:cNvPicPr/>
                  </pic:nvPicPr>
                  <pic:blipFill>
                    <a:blip r:embed="rId441"/>
                    <a:stretch>
                      <a:fillRect/>
                    </a:stretch>
                  </pic:blipFill>
                  <pic:spPr>
                    <a:xfrm>
                      <a:off x="0" y="0"/>
                      <a:ext cx="5010160" cy="50707"/>
                    </a:xfrm>
                    <a:prstGeom prst="rect">
                      <a:avLst/>
                    </a:prstGeom>
                  </pic:spPr>
                </pic:pic>
              </a:graphicData>
            </a:graphic>
          </wp:inline>
        </w:drawing>
      </w:r>
    </w:p>
    <w:p w14:paraId="3B9FFBFC">
      <w:pPr>
        <w:pStyle w:val="2"/>
        <w:spacing w:before="211" w:line="221" w:lineRule="auto"/>
        <w:ind w:left="406"/>
        <w:rPr>
          <w:rFonts w:ascii="Arial" w:hAnsi="Arial" w:eastAsia="Arial" w:cs="Arial"/>
          <w:sz w:val="6"/>
          <w:szCs w:val="6"/>
        </w:rPr>
      </w:pPr>
      <w:r>
        <w:rPr>
          <w:spacing w:val="-5"/>
          <w:sz w:val="22"/>
          <w:szCs w:val="22"/>
        </w:rPr>
        <w:t>1.1.3.9永久占地包括：</w:t>
      </w:r>
      <w:r>
        <w:rPr>
          <w:spacing w:val="-5"/>
          <w:sz w:val="22"/>
          <w:szCs w:val="22"/>
          <w:u w:val="single" w:color="auto"/>
        </w:rPr>
        <w:t xml:space="preserve">                      </w:t>
      </w:r>
      <w:r>
        <w:rPr>
          <w:spacing w:val="-6"/>
          <w:sz w:val="22"/>
          <w:szCs w:val="22"/>
          <w:u w:val="single" w:color="auto"/>
        </w:rPr>
        <w:t xml:space="preserve">        </w:t>
      </w:r>
      <w:r>
        <w:rPr>
          <w:spacing w:val="-90"/>
          <w:sz w:val="22"/>
          <w:szCs w:val="22"/>
        </w:rPr>
        <w:t xml:space="preserve"> </w:t>
      </w:r>
      <w:r>
        <w:rPr>
          <w:rFonts w:ascii="Arial" w:hAnsi="Arial" w:eastAsia="Arial" w:cs="Arial"/>
          <w:spacing w:val="-6"/>
          <w:position w:val="4"/>
          <w:sz w:val="6"/>
          <w:szCs w:val="6"/>
        </w:rPr>
        <w:t>_o</w:t>
      </w:r>
    </w:p>
    <w:p w14:paraId="36A76710">
      <w:pPr>
        <w:pStyle w:val="2"/>
        <w:spacing w:before="135" w:line="219" w:lineRule="auto"/>
        <w:ind w:left="406"/>
        <w:rPr>
          <w:rFonts w:ascii="Times New Roman" w:hAnsi="Times New Roman" w:eastAsia="Times New Roman" w:cs="Times New Roman"/>
          <w:sz w:val="6"/>
          <w:szCs w:val="6"/>
        </w:rPr>
      </w:pPr>
      <w:r>
        <w:rPr>
          <w:spacing w:val="6"/>
          <w:sz w:val="20"/>
          <w:szCs w:val="20"/>
        </w:rPr>
        <w:t>1.1.3.10临时占地包括：</w:t>
      </w:r>
      <w:r>
        <w:rPr>
          <w:spacing w:val="32"/>
          <w:sz w:val="20"/>
          <w:szCs w:val="20"/>
        </w:rPr>
        <w:t xml:space="preserve"> </w:t>
      </w:r>
      <w:r>
        <w:rPr>
          <w:spacing w:val="1"/>
          <w:sz w:val="20"/>
          <w:szCs w:val="20"/>
          <w:u w:val="single" w:color="auto"/>
        </w:rPr>
        <w:t xml:space="preserve">                             </w:t>
      </w:r>
      <w:r>
        <w:rPr>
          <w:spacing w:val="-59"/>
          <w:sz w:val="20"/>
          <w:szCs w:val="20"/>
        </w:rPr>
        <w:t xml:space="preserve"> </w:t>
      </w:r>
      <w:r>
        <w:rPr>
          <w:rFonts w:ascii="Times New Roman" w:hAnsi="Times New Roman" w:eastAsia="Times New Roman" w:cs="Times New Roman"/>
          <w:spacing w:val="6"/>
          <w:sz w:val="6"/>
          <w:szCs w:val="6"/>
        </w:rPr>
        <w:t>0</w:t>
      </w:r>
    </w:p>
    <w:p w14:paraId="351C6CB2">
      <w:pPr>
        <w:pStyle w:val="2"/>
        <w:spacing w:before="101" w:line="219" w:lineRule="auto"/>
        <w:rPr>
          <w:sz w:val="27"/>
          <w:szCs w:val="27"/>
        </w:rPr>
      </w:pPr>
      <w:r>
        <w:rPr>
          <w:b/>
          <w:bCs/>
          <w:spacing w:val="-18"/>
          <w:sz w:val="27"/>
          <w:szCs w:val="27"/>
        </w:rPr>
        <w:t>1.3法律</w:t>
      </w:r>
    </w:p>
    <w:p w14:paraId="1D058CCB">
      <w:pPr>
        <w:pStyle w:val="2"/>
        <w:spacing w:before="121" w:line="219" w:lineRule="auto"/>
        <w:ind w:left="406"/>
        <w:rPr>
          <w:sz w:val="21"/>
          <w:szCs w:val="21"/>
        </w:rPr>
      </w:pPr>
      <w:r>
        <w:rPr>
          <w:spacing w:val="-1"/>
          <w:sz w:val="21"/>
          <w:szCs w:val="21"/>
        </w:rPr>
        <w:t>适用于合同的其他规范性文件：</w:t>
      </w:r>
      <w:r>
        <w:rPr>
          <w:sz w:val="21"/>
          <w:szCs w:val="21"/>
          <w:u w:val="single" w:color="auto"/>
        </w:rPr>
        <w:t xml:space="preserve">                                                     </w:t>
      </w:r>
    </w:p>
    <w:p w14:paraId="286DD8E3">
      <w:pPr>
        <w:spacing w:line="281" w:lineRule="auto"/>
        <w:rPr>
          <w:rFonts w:ascii="Arial"/>
          <w:sz w:val="21"/>
        </w:rPr>
      </w:pPr>
    </w:p>
    <w:p w14:paraId="6FC8AE0E">
      <w:pPr>
        <w:tabs>
          <w:tab w:val="left" w:pos="8195"/>
        </w:tabs>
        <w:spacing w:before="18" w:line="188" w:lineRule="auto"/>
        <w:ind w:left="406"/>
        <w:rPr>
          <w:rFonts w:ascii="Times New Roman" w:hAnsi="Times New Roman" w:eastAsia="Times New Roman" w:cs="Times New Roman"/>
          <w:sz w:val="6"/>
          <w:szCs w:val="6"/>
        </w:rPr>
      </w:pPr>
      <w:r>
        <w:rPr>
          <w:rFonts w:ascii="Times New Roman" w:hAnsi="Times New Roman" w:eastAsia="Times New Roman" w:cs="Times New Roman"/>
          <w:sz w:val="6"/>
          <w:szCs w:val="6"/>
          <w:u w:val="single" w:color="auto"/>
        </w:rPr>
        <w:tab/>
      </w:r>
      <w:r>
        <w:rPr>
          <w:rFonts w:ascii="Times New Roman" w:hAnsi="Times New Roman" w:eastAsia="Times New Roman" w:cs="Times New Roman"/>
          <w:spacing w:val="5"/>
          <w:w w:val="106"/>
          <w:sz w:val="6"/>
          <w:szCs w:val="6"/>
        </w:rPr>
        <w:t xml:space="preserve"> </w:t>
      </w:r>
      <w:r>
        <w:rPr>
          <w:rFonts w:ascii="Times New Roman" w:hAnsi="Times New Roman" w:eastAsia="Times New Roman" w:cs="Times New Roman"/>
          <w:sz w:val="6"/>
          <w:szCs w:val="6"/>
        </w:rPr>
        <w:t>0</w:t>
      </w:r>
    </w:p>
    <w:p w14:paraId="3D856AAB">
      <w:pPr>
        <w:pStyle w:val="2"/>
        <w:spacing w:before="156" w:line="220" w:lineRule="auto"/>
        <w:rPr>
          <w:sz w:val="27"/>
          <w:szCs w:val="27"/>
        </w:rPr>
      </w:pPr>
      <w:r>
        <w:rPr>
          <w:b/>
          <w:bCs/>
          <w:spacing w:val="-27"/>
          <w:sz w:val="27"/>
          <w:szCs w:val="27"/>
        </w:rPr>
        <w:t>1.4</w:t>
      </w:r>
      <w:r>
        <w:rPr>
          <w:spacing w:val="9"/>
          <w:sz w:val="27"/>
          <w:szCs w:val="27"/>
        </w:rPr>
        <w:t xml:space="preserve"> </w:t>
      </w:r>
      <w:r>
        <w:rPr>
          <w:b/>
          <w:bCs/>
          <w:spacing w:val="-27"/>
          <w:sz w:val="27"/>
          <w:szCs w:val="27"/>
        </w:rPr>
        <w:t>标准和规范</w:t>
      </w:r>
    </w:p>
    <w:p w14:paraId="4B59D6A7">
      <w:pPr>
        <w:pStyle w:val="2"/>
        <w:spacing w:before="149" w:line="220" w:lineRule="auto"/>
        <w:ind w:left="406"/>
        <w:rPr>
          <w:sz w:val="20"/>
          <w:szCs w:val="20"/>
        </w:rPr>
      </w:pPr>
      <w:r>
        <w:rPr>
          <w:spacing w:val="5"/>
          <w:sz w:val="20"/>
          <w:szCs w:val="20"/>
        </w:rPr>
        <w:t>1.4.1适用于工程的标准规范包括：</w:t>
      </w:r>
      <w:r>
        <w:rPr>
          <w:spacing w:val="49"/>
          <w:sz w:val="20"/>
          <w:szCs w:val="20"/>
        </w:rPr>
        <w:t xml:space="preserve"> </w:t>
      </w:r>
      <w:r>
        <w:rPr>
          <w:sz w:val="20"/>
          <w:szCs w:val="20"/>
          <w:u w:val="single" w:color="auto"/>
        </w:rPr>
        <w:t xml:space="preserve">                                                    </w:t>
      </w:r>
    </w:p>
    <w:p w14:paraId="31D6C9F0">
      <w:pPr>
        <w:spacing w:line="262" w:lineRule="auto"/>
        <w:rPr>
          <w:rFonts w:ascii="Arial"/>
          <w:sz w:val="21"/>
        </w:rPr>
      </w:pPr>
    </w:p>
    <w:p w14:paraId="22C28C31">
      <w:pPr>
        <w:tabs>
          <w:tab w:val="left" w:pos="8195"/>
        </w:tabs>
        <w:spacing w:before="17" w:line="188" w:lineRule="auto"/>
        <w:ind w:left="406"/>
        <w:rPr>
          <w:rFonts w:ascii="Times New Roman" w:hAnsi="Times New Roman" w:eastAsia="Times New Roman" w:cs="Times New Roman"/>
          <w:sz w:val="6"/>
          <w:szCs w:val="6"/>
        </w:rPr>
      </w:pPr>
      <w:r>
        <w:rPr>
          <w:rFonts w:ascii="Times New Roman" w:hAnsi="Times New Roman" w:eastAsia="Times New Roman" w:cs="Times New Roman"/>
          <w:sz w:val="6"/>
          <w:szCs w:val="6"/>
          <w:u w:val="single" w:color="auto"/>
        </w:rPr>
        <w:tab/>
      </w:r>
      <w:r>
        <w:rPr>
          <w:rFonts w:ascii="Times New Roman" w:hAnsi="Times New Roman" w:eastAsia="Times New Roman" w:cs="Times New Roman"/>
          <w:spacing w:val="5"/>
          <w:w w:val="106"/>
          <w:sz w:val="6"/>
          <w:szCs w:val="6"/>
        </w:rPr>
        <w:t xml:space="preserve"> </w:t>
      </w:r>
      <w:r>
        <w:rPr>
          <w:rFonts w:ascii="Times New Roman" w:hAnsi="Times New Roman" w:eastAsia="Times New Roman" w:cs="Times New Roman"/>
          <w:sz w:val="6"/>
          <w:szCs w:val="6"/>
        </w:rPr>
        <w:t>0</w:t>
      </w:r>
    </w:p>
    <w:p w14:paraId="3EA280DD">
      <w:pPr>
        <w:pStyle w:val="2"/>
        <w:spacing w:before="215" w:line="219" w:lineRule="auto"/>
        <w:ind w:left="406"/>
        <w:rPr>
          <w:sz w:val="20"/>
          <w:szCs w:val="20"/>
        </w:rPr>
      </w:pPr>
      <w:r>
        <w:rPr>
          <w:spacing w:val="-1"/>
          <w:sz w:val="20"/>
          <w:szCs w:val="20"/>
        </w:rPr>
        <w:t>1.4.2</w:t>
      </w:r>
      <w:r>
        <w:rPr>
          <w:spacing w:val="70"/>
          <w:sz w:val="20"/>
          <w:szCs w:val="20"/>
        </w:rPr>
        <w:t xml:space="preserve"> </w:t>
      </w:r>
      <w:r>
        <w:rPr>
          <w:spacing w:val="-1"/>
          <w:sz w:val="20"/>
          <w:szCs w:val="20"/>
        </w:rPr>
        <w:t>发包人提供国外标准、规范的名称：</w:t>
      </w:r>
      <w:r>
        <w:rPr>
          <w:spacing w:val="59"/>
          <w:sz w:val="20"/>
          <w:szCs w:val="20"/>
        </w:rPr>
        <w:t xml:space="preserve"> </w:t>
      </w:r>
      <w:r>
        <w:rPr>
          <w:sz w:val="20"/>
          <w:szCs w:val="20"/>
          <w:u w:val="single" w:color="auto"/>
        </w:rPr>
        <w:t xml:space="preserve">                                             </w:t>
      </w:r>
    </w:p>
    <w:p w14:paraId="7248DABE">
      <w:pPr>
        <w:spacing w:line="252" w:lineRule="auto"/>
        <w:rPr>
          <w:rFonts w:ascii="Arial"/>
          <w:sz w:val="21"/>
        </w:rPr>
      </w:pPr>
    </w:p>
    <w:p w14:paraId="11205734">
      <w:pPr>
        <w:pStyle w:val="2"/>
        <w:tabs>
          <w:tab w:val="left" w:pos="8195"/>
        </w:tabs>
        <w:spacing w:before="20" w:line="237" w:lineRule="auto"/>
        <w:ind w:left="406"/>
        <w:rPr>
          <w:sz w:val="6"/>
          <w:szCs w:val="6"/>
        </w:rPr>
      </w:pPr>
      <w:r>
        <w:rPr>
          <w:sz w:val="6"/>
          <w:szCs w:val="6"/>
          <w:u w:val="single" w:color="auto"/>
        </w:rPr>
        <w:tab/>
      </w:r>
      <w:r>
        <w:rPr>
          <w:sz w:val="6"/>
          <w:szCs w:val="6"/>
        </w:rPr>
        <w:t xml:space="preserve"> ◎</w:t>
      </w:r>
    </w:p>
    <w:p w14:paraId="179E55C4">
      <w:pPr>
        <w:spacing w:line="237" w:lineRule="auto"/>
        <w:rPr>
          <w:sz w:val="6"/>
          <w:szCs w:val="6"/>
        </w:rPr>
        <w:sectPr>
          <w:footerReference r:id="rId242" w:type="default"/>
          <w:pgSz w:w="11910" w:h="16840"/>
          <w:pgMar w:top="400" w:right="1539" w:bottom="995" w:left="1463" w:header="0" w:footer="896" w:gutter="0"/>
          <w:cols w:space="720" w:num="1"/>
        </w:sectPr>
      </w:pPr>
    </w:p>
    <w:p w14:paraId="38BB4268">
      <w:pPr>
        <w:spacing w:line="254" w:lineRule="auto"/>
        <w:rPr>
          <w:rFonts w:ascii="Arial"/>
          <w:sz w:val="21"/>
        </w:rPr>
      </w:pPr>
    </w:p>
    <w:p w14:paraId="2221959B">
      <w:pPr>
        <w:spacing w:line="254" w:lineRule="auto"/>
        <w:rPr>
          <w:rFonts w:ascii="Arial"/>
          <w:sz w:val="21"/>
        </w:rPr>
      </w:pPr>
    </w:p>
    <w:p w14:paraId="628A9F0D">
      <w:pPr>
        <w:spacing w:line="254" w:lineRule="auto"/>
        <w:rPr>
          <w:rFonts w:ascii="Arial"/>
          <w:sz w:val="21"/>
        </w:rPr>
      </w:pPr>
    </w:p>
    <w:p w14:paraId="5604E69C">
      <w:pPr>
        <w:spacing w:line="254" w:lineRule="auto"/>
        <w:rPr>
          <w:rFonts w:ascii="Arial"/>
          <w:sz w:val="21"/>
        </w:rPr>
      </w:pPr>
    </w:p>
    <w:p w14:paraId="030E02CA">
      <w:pPr>
        <w:spacing w:line="255" w:lineRule="auto"/>
        <w:rPr>
          <w:rFonts w:ascii="Arial"/>
          <w:sz w:val="21"/>
        </w:rPr>
      </w:pPr>
    </w:p>
    <w:p w14:paraId="719F0285">
      <w:pPr>
        <w:spacing w:line="255" w:lineRule="auto"/>
        <w:rPr>
          <w:rFonts w:ascii="Arial"/>
          <w:sz w:val="21"/>
        </w:rPr>
      </w:pPr>
    </w:p>
    <w:p w14:paraId="413EDFE5">
      <w:pPr>
        <w:spacing w:line="255" w:lineRule="auto"/>
        <w:rPr>
          <w:rFonts w:ascii="Arial"/>
          <w:sz w:val="21"/>
        </w:rPr>
      </w:pPr>
    </w:p>
    <w:p w14:paraId="5E9CB598">
      <w:pPr>
        <w:pStyle w:val="2"/>
        <w:spacing w:before="65" w:line="219" w:lineRule="auto"/>
        <w:ind w:left="439"/>
        <w:rPr>
          <w:sz w:val="20"/>
          <w:szCs w:val="20"/>
        </w:rPr>
      </w:pPr>
      <w:r>
        <w:rPr>
          <w:spacing w:val="3"/>
          <w:sz w:val="20"/>
          <w:szCs w:val="20"/>
        </w:rPr>
        <w:t>发包人提供国外标准、规范的份数：</w:t>
      </w:r>
      <w:r>
        <w:rPr>
          <w:spacing w:val="-76"/>
          <w:sz w:val="20"/>
          <w:szCs w:val="20"/>
        </w:rPr>
        <w:t xml:space="preserve"> </w:t>
      </w:r>
      <w:r>
        <w:rPr>
          <w:spacing w:val="3"/>
          <w:sz w:val="20"/>
          <w:szCs w:val="20"/>
          <w:u w:val="single" w:color="auto"/>
        </w:rPr>
        <w:t xml:space="preserve">                                               </w:t>
      </w:r>
      <w:r>
        <w:rPr>
          <w:spacing w:val="3"/>
          <w:sz w:val="20"/>
          <w:szCs w:val="20"/>
        </w:rPr>
        <w:t xml:space="preserve"> ;</w:t>
      </w:r>
    </w:p>
    <w:p w14:paraId="4C0EC4F8">
      <w:pPr>
        <w:pStyle w:val="2"/>
        <w:spacing w:before="142" w:line="219" w:lineRule="auto"/>
        <w:ind w:left="439"/>
        <w:rPr>
          <w:sz w:val="20"/>
          <w:szCs w:val="20"/>
        </w:rPr>
      </w:pPr>
      <w:r>
        <w:drawing>
          <wp:anchor distT="0" distB="0" distL="0" distR="0" simplePos="0" relativeHeight="251684864" behindDoc="0" locked="0" layoutInCell="1" allowOverlap="1">
            <wp:simplePos x="0" y="0"/>
            <wp:positionH relativeFrom="column">
              <wp:posOffset>4793615</wp:posOffset>
            </wp:positionH>
            <wp:positionV relativeFrom="paragraph">
              <wp:posOffset>212725</wp:posOffset>
            </wp:positionV>
            <wp:extent cx="762000" cy="25400"/>
            <wp:effectExtent l="0" t="0" r="0" b="0"/>
            <wp:wrapNone/>
            <wp:docPr id="74" name="IM 74"/>
            <wp:cNvGraphicFramePr/>
            <a:graphic xmlns:a="http://schemas.openxmlformats.org/drawingml/2006/main">
              <a:graphicData uri="http://schemas.openxmlformats.org/drawingml/2006/picture">
                <pic:pic xmlns:pic="http://schemas.openxmlformats.org/drawingml/2006/picture">
                  <pic:nvPicPr>
                    <pic:cNvPr id="74" name="IM 74"/>
                    <pic:cNvPicPr/>
                  </pic:nvPicPr>
                  <pic:blipFill>
                    <a:blip r:embed="rId442"/>
                    <a:stretch>
                      <a:fillRect/>
                    </a:stretch>
                  </pic:blipFill>
                  <pic:spPr>
                    <a:xfrm>
                      <a:off x="0" y="0"/>
                      <a:ext cx="761957" cy="25450"/>
                    </a:xfrm>
                    <a:prstGeom prst="rect">
                      <a:avLst/>
                    </a:prstGeom>
                  </pic:spPr>
                </pic:pic>
              </a:graphicData>
            </a:graphic>
          </wp:anchor>
        </w:drawing>
      </w:r>
      <w:r>
        <w:rPr>
          <w:sz w:val="20"/>
          <w:szCs w:val="20"/>
        </w:rPr>
        <w:t>发包人提供国外标准、规范的名称：</w:t>
      </w:r>
      <w:r>
        <w:rPr>
          <w:spacing w:val="79"/>
          <w:sz w:val="20"/>
          <w:szCs w:val="20"/>
        </w:rPr>
        <w:t xml:space="preserve"> </w:t>
      </w:r>
      <w:r>
        <w:rPr>
          <w:sz w:val="20"/>
          <w:szCs w:val="20"/>
          <w:u w:val="single" w:color="auto"/>
        </w:rPr>
        <w:t xml:space="preserve">                                                </w:t>
      </w:r>
    </w:p>
    <w:p w14:paraId="77288665">
      <w:pPr>
        <w:pStyle w:val="2"/>
        <w:spacing w:before="164" w:line="219" w:lineRule="auto"/>
        <w:ind w:left="439"/>
        <w:rPr>
          <w:sz w:val="20"/>
          <w:szCs w:val="20"/>
        </w:rPr>
      </w:pPr>
      <w:r>
        <w:rPr>
          <w:spacing w:val="9"/>
          <w:sz w:val="20"/>
          <w:szCs w:val="20"/>
        </w:rPr>
        <w:t>1.4.3发包人对工程的技术标准和功能要求的特殊要求：</w:t>
      </w:r>
    </w:p>
    <w:p w14:paraId="64156801">
      <w:pPr>
        <w:spacing w:line="277" w:lineRule="auto"/>
        <w:rPr>
          <w:rFonts w:ascii="Arial"/>
          <w:sz w:val="21"/>
        </w:rPr>
      </w:pPr>
    </w:p>
    <w:p w14:paraId="5DD5437A">
      <w:pPr>
        <w:spacing w:line="277" w:lineRule="auto"/>
        <w:rPr>
          <w:rFonts w:ascii="Arial"/>
          <w:sz w:val="21"/>
        </w:rPr>
      </w:pPr>
      <w:r>
        <w:drawing>
          <wp:anchor distT="0" distB="0" distL="0" distR="0" simplePos="0" relativeHeight="251682816" behindDoc="0" locked="0" layoutInCell="1" allowOverlap="1">
            <wp:simplePos x="0" y="0"/>
            <wp:positionH relativeFrom="column">
              <wp:posOffset>0</wp:posOffset>
            </wp:positionH>
            <wp:positionV relativeFrom="paragraph">
              <wp:posOffset>53975</wp:posOffset>
            </wp:positionV>
            <wp:extent cx="5645150" cy="6350"/>
            <wp:effectExtent l="0" t="0" r="0" b="0"/>
            <wp:wrapNone/>
            <wp:docPr id="76" name="IM 76"/>
            <wp:cNvGraphicFramePr/>
            <a:graphic xmlns:a="http://schemas.openxmlformats.org/drawingml/2006/main">
              <a:graphicData uri="http://schemas.openxmlformats.org/drawingml/2006/picture">
                <pic:pic xmlns:pic="http://schemas.openxmlformats.org/drawingml/2006/picture">
                  <pic:nvPicPr>
                    <pic:cNvPr id="76" name="IM 76"/>
                    <pic:cNvPicPr/>
                  </pic:nvPicPr>
                  <pic:blipFill>
                    <a:blip r:embed="rId443"/>
                    <a:stretch>
                      <a:fillRect/>
                    </a:stretch>
                  </pic:blipFill>
                  <pic:spPr>
                    <a:xfrm>
                      <a:off x="0" y="0"/>
                      <a:ext cx="5645138" cy="6415"/>
                    </a:xfrm>
                    <a:prstGeom prst="rect">
                      <a:avLst/>
                    </a:prstGeom>
                  </pic:spPr>
                </pic:pic>
              </a:graphicData>
            </a:graphic>
          </wp:anchor>
        </w:drawing>
      </w:r>
    </w:p>
    <w:p w14:paraId="74208753">
      <w:pPr>
        <w:spacing w:line="278" w:lineRule="auto"/>
        <w:rPr>
          <w:rFonts w:ascii="Arial"/>
          <w:sz w:val="21"/>
        </w:rPr>
      </w:pPr>
      <w:r>
        <w:drawing>
          <wp:anchor distT="0" distB="0" distL="0" distR="0" simplePos="0" relativeHeight="251683840" behindDoc="0" locked="0" layoutInCell="1" allowOverlap="1">
            <wp:simplePos x="0" y="0"/>
            <wp:positionH relativeFrom="column">
              <wp:posOffset>6350</wp:posOffset>
            </wp:positionH>
            <wp:positionV relativeFrom="paragraph">
              <wp:posOffset>137160</wp:posOffset>
            </wp:positionV>
            <wp:extent cx="5588000" cy="6350"/>
            <wp:effectExtent l="0" t="0" r="0" b="0"/>
            <wp:wrapNone/>
            <wp:docPr id="78" name="IM 78"/>
            <wp:cNvGraphicFramePr/>
            <a:graphic xmlns:a="http://schemas.openxmlformats.org/drawingml/2006/main">
              <a:graphicData uri="http://schemas.openxmlformats.org/drawingml/2006/picture">
                <pic:pic xmlns:pic="http://schemas.openxmlformats.org/drawingml/2006/picture">
                  <pic:nvPicPr>
                    <pic:cNvPr id="78" name="IM 78"/>
                    <pic:cNvPicPr/>
                  </pic:nvPicPr>
                  <pic:blipFill>
                    <a:blip r:embed="rId444"/>
                    <a:stretch>
                      <a:fillRect/>
                    </a:stretch>
                  </pic:blipFill>
                  <pic:spPr>
                    <a:xfrm>
                      <a:off x="0" y="0"/>
                      <a:ext cx="5587962" cy="6350"/>
                    </a:xfrm>
                    <a:prstGeom prst="rect">
                      <a:avLst/>
                    </a:prstGeom>
                  </pic:spPr>
                </pic:pic>
              </a:graphicData>
            </a:graphic>
          </wp:anchor>
        </w:drawing>
      </w:r>
    </w:p>
    <w:p w14:paraId="4060656C">
      <w:pPr>
        <w:pStyle w:val="2"/>
        <w:spacing w:before="81" w:line="221" w:lineRule="auto"/>
        <w:ind w:left="33"/>
        <w:rPr>
          <w:rFonts w:ascii="黑体" w:hAnsi="黑体" w:eastAsia="黑体" w:cs="黑体"/>
        </w:rPr>
      </w:pPr>
      <w:r>
        <w:rPr>
          <w:b/>
          <w:bCs/>
          <w:spacing w:val="-10"/>
        </w:rPr>
        <w:t>1.5</w:t>
      </w:r>
      <w:r>
        <w:rPr>
          <w:spacing w:val="-10"/>
        </w:rPr>
        <w:t xml:space="preserve"> </w:t>
      </w:r>
      <w:r>
        <w:rPr>
          <w:rFonts w:ascii="黑体" w:hAnsi="黑体" w:eastAsia="黑体" w:cs="黑体"/>
          <w:b/>
          <w:bCs/>
          <w:spacing w:val="-10"/>
        </w:rPr>
        <w:t>合同文件的优先顺序</w:t>
      </w:r>
    </w:p>
    <w:p w14:paraId="072F7921">
      <w:pPr>
        <w:pStyle w:val="2"/>
        <w:spacing w:before="144" w:line="219" w:lineRule="auto"/>
        <w:ind w:left="439"/>
        <w:rPr>
          <w:sz w:val="20"/>
          <w:szCs w:val="20"/>
        </w:rPr>
      </w:pPr>
      <w:r>
        <w:rPr>
          <w:spacing w:val="6"/>
          <w:sz w:val="20"/>
          <w:szCs w:val="20"/>
        </w:rPr>
        <w:t>合同文件组成及优先顺序为：</w:t>
      </w:r>
    </w:p>
    <w:p w14:paraId="70C06C17">
      <w:pPr>
        <w:spacing w:line="372" w:lineRule="auto"/>
        <w:rPr>
          <w:rFonts w:ascii="Arial"/>
          <w:sz w:val="21"/>
        </w:rPr>
      </w:pPr>
    </w:p>
    <w:p w14:paraId="7A9F8898">
      <w:pPr>
        <w:spacing w:line="400" w:lineRule="exact"/>
        <w:ind w:firstLine="10"/>
      </w:pPr>
      <w:r>
        <w:rPr>
          <w:position w:val="-7"/>
        </w:rPr>
        <w:drawing>
          <wp:inline distT="0" distB="0" distL="0" distR="0">
            <wp:extent cx="5644515" cy="253365"/>
            <wp:effectExtent l="0" t="0" r="0" b="0"/>
            <wp:docPr id="80" name="IM 80"/>
            <wp:cNvGraphicFramePr/>
            <a:graphic xmlns:a="http://schemas.openxmlformats.org/drawingml/2006/main">
              <a:graphicData uri="http://schemas.openxmlformats.org/drawingml/2006/picture">
                <pic:pic xmlns:pic="http://schemas.openxmlformats.org/drawingml/2006/picture">
                  <pic:nvPicPr>
                    <pic:cNvPr id="80" name="IM 80"/>
                    <pic:cNvPicPr/>
                  </pic:nvPicPr>
                  <pic:blipFill>
                    <a:blip r:embed="rId445"/>
                    <a:stretch>
                      <a:fillRect/>
                    </a:stretch>
                  </pic:blipFill>
                  <pic:spPr>
                    <a:xfrm>
                      <a:off x="0" y="0"/>
                      <a:ext cx="5645136" cy="253968"/>
                    </a:xfrm>
                    <a:prstGeom prst="rect">
                      <a:avLst/>
                    </a:prstGeom>
                  </pic:spPr>
                </pic:pic>
              </a:graphicData>
            </a:graphic>
          </wp:inline>
        </w:drawing>
      </w:r>
    </w:p>
    <w:p w14:paraId="5D002C4D">
      <w:pPr>
        <w:pStyle w:val="2"/>
        <w:spacing w:before="155" w:line="222" w:lineRule="auto"/>
        <w:ind w:left="33"/>
        <w:rPr>
          <w:rFonts w:ascii="黑体" w:hAnsi="黑体" w:eastAsia="黑体" w:cs="黑体"/>
        </w:rPr>
      </w:pPr>
      <w:r>
        <w:rPr>
          <w:b/>
          <w:bCs/>
          <w:spacing w:val="-10"/>
        </w:rPr>
        <w:t>1.6</w:t>
      </w:r>
      <w:r>
        <w:rPr>
          <w:spacing w:val="-10"/>
        </w:rPr>
        <w:t xml:space="preserve"> </w:t>
      </w:r>
      <w:r>
        <w:rPr>
          <w:rFonts w:ascii="黑体" w:hAnsi="黑体" w:eastAsia="黑体" w:cs="黑体"/>
          <w:b/>
          <w:bCs/>
          <w:spacing w:val="-10"/>
        </w:rPr>
        <w:t>图纸和承包人文件</w:t>
      </w:r>
    </w:p>
    <w:p w14:paraId="489F78DC">
      <w:pPr>
        <w:pStyle w:val="2"/>
        <w:spacing w:before="141" w:line="219" w:lineRule="auto"/>
        <w:ind w:left="439"/>
        <w:rPr>
          <w:sz w:val="20"/>
          <w:szCs w:val="20"/>
        </w:rPr>
      </w:pPr>
      <w:r>
        <w:rPr>
          <w:spacing w:val="1"/>
          <w:sz w:val="20"/>
          <w:szCs w:val="20"/>
        </w:rPr>
        <w:t>1.6.1</w:t>
      </w:r>
      <w:r>
        <w:rPr>
          <w:spacing w:val="66"/>
          <w:sz w:val="20"/>
          <w:szCs w:val="20"/>
        </w:rPr>
        <w:t xml:space="preserve"> </w:t>
      </w:r>
      <w:r>
        <w:rPr>
          <w:spacing w:val="1"/>
          <w:sz w:val="20"/>
          <w:szCs w:val="20"/>
        </w:rPr>
        <w:t>图纸的提供</w:t>
      </w:r>
    </w:p>
    <w:p w14:paraId="3245E279">
      <w:pPr>
        <w:pStyle w:val="2"/>
        <w:spacing w:before="133" w:line="219" w:lineRule="auto"/>
        <w:ind w:left="439"/>
        <w:rPr>
          <w:sz w:val="20"/>
          <w:szCs w:val="20"/>
        </w:rPr>
      </w:pPr>
      <w:r>
        <w:rPr>
          <w:sz w:val="20"/>
          <w:szCs w:val="20"/>
        </w:rPr>
        <w:t>发包人向承包人提供图纸的期限：</w:t>
      </w:r>
      <w:r>
        <w:rPr>
          <w:spacing w:val="49"/>
          <w:sz w:val="20"/>
          <w:szCs w:val="20"/>
        </w:rPr>
        <w:t xml:space="preserve"> </w:t>
      </w:r>
      <w:r>
        <w:rPr>
          <w:sz w:val="20"/>
          <w:szCs w:val="20"/>
          <w:u w:val="single" w:color="auto"/>
        </w:rPr>
        <w:t xml:space="preserve">                      </w:t>
      </w:r>
    </w:p>
    <w:p w14:paraId="35968E29">
      <w:pPr>
        <w:pStyle w:val="2"/>
        <w:spacing w:before="81" w:line="102" w:lineRule="exact"/>
        <w:ind w:left="5710"/>
        <w:rPr>
          <w:sz w:val="14"/>
          <w:szCs w:val="14"/>
        </w:rPr>
      </w:pPr>
      <w:r>
        <w:rPr>
          <w:position w:val="1"/>
          <w:sz w:val="14"/>
          <w:szCs w:val="14"/>
        </w:rPr>
        <w:t>_;</w:t>
      </w:r>
    </w:p>
    <w:p w14:paraId="328AF5E0">
      <w:pPr>
        <w:pStyle w:val="2"/>
        <w:spacing w:before="1" w:line="218" w:lineRule="auto"/>
        <w:ind w:left="439"/>
        <w:rPr>
          <w:sz w:val="20"/>
          <w:szCs w:val="20"/>
        </w:rPr>
      </w:pPr>
      <w:r>
        <w:rPr>
          <w:sz w:val="20"/>
          <w:szCs w:val="20"/>
        </w:rPr>
        <w:t>发包人向承包人提供图纸的数量：</w:t>
      </w:r>
      <w:r>
        <w:rPr>
          <w:spacing w:val="49"/>
          <w:sz w:val="20"/>
          <w:szCs w:val="20"/>
        </w:rPr>
        <w:t xml:space="preserve"> </w:t>
      </w:r>
      <w:r>
        <w:rPr>
          <w:sz w:val="20"/>
          <w:szCs w:val="20"/>
          <w:u w:val="single" w:color="auto"/>
        </w:rPr>
        <w:t xml:space="preserve">                      </w:t>
      </w:r>
    </w:p>
    <w:p w14:paraId="6EF30158">
      <w:pPr>
        <w:pStyle w:val="2"/>
        <w:spacing w:before="81" w:line="82" w:lineRule="exact"/>
        <w:ind w:left="5710"/>
        <w:rPr>
          <w:sz w:val="14"/>
          <w:szCs w:val="14"/>
        </w:rPr>
      </w:pPr>
      <w:r>
        <w:rPr>
          <w:sz w:val="14"/>
          <w:szCs w:val="14"/>
        </w:rPr>
        <w:t>_;</w:t>
      </w:r>
    </w:p>
    <w:p w14:paraId="6A45A1D0">
      <w:pPr>
        <w:pStyle w:val="2"/>
        <w:spacing w:before="1" w:line="209" w:lineRule="auto"/>
        <w:ind w:left="439"/>
        <w:rPr>
          <w:rFonts w:ascii="Times New Roman" w:hAnsi="Times New Roman" w:eastAsia="Times New Roman" w:cs="Times New Roman"/>
          <w:sz w:val="20"/>
          <w:szCs w:val="20"/>
        </w:rPr>
      </w:pPr>
      <w:r>
        <w:rPr>
          <w:spacing w:val="-4"/>
          <w:sz w:val="20"/>
          <w:szCs w:val="20"/>
        </w:rPr>
        <w:t>发包人向承包人提供图纸的内容：</w:t>
      </w:r>
      <w:r>
        <w:rPr>
          <w:spacing w:val="39"/>
          <w:sz w:val="20"/>
          <w:szCs w:val="20"/>
        </w:rPr>
        <w:t xml:space="preserve"> </w:t>
      </w:r>
      <w:r>
        <w:rPr>
          <w:spacing w:val="1"/>
          <w:sz w:val="20"/>
          <w:szCs w:val="20"/>
          <w:u w:val="single" w:color="auto"/>
        </w:rPr>
        <w:t xml:space="preserve">                   </w:t>
      </w:r>
      <w:r>
        <w:rPr>
          <w:sz w:val="20"/>
          <w:szCs w:val="20"/>
          <w:u w:val="single" w:color="auto"/>
        </w:rPr>
        <w:t xml:space="preserve">  </w:t>
      </w:r>
      <w:r>
        <w:rPr>
          <w:spacing w:val="-79"/>
          <w:sz w:val="20"/>
          <w:szCs w:val="20"/>
        </w:rPr>
        <w:t xml:space="preserve"> </w:t>
      </w:r>
      <w:r>
        <w:rPr>
          <w:rFonts w:ascii="Times New Roman" w:hAnsi="Times New Roman" w:eastAsia="Times New Roman" w:cs="Times New Roman"/>
          <w:spacing w:val="-4"/>
          <w:sz w:val="20"/>
          <w:szCs w:val="20"/>
        </w:rPr>
        <w:t>_o</w:t>
      </w:r>
    </w:p>
    <w:p w14:paraId="56EFEF0C">
      <w:pPr>
        <w:pStyle w:val="2"/>
        <w:spacing w:before="173" w:line="219" w:lineRule="auto"/>
        <w:ind w:left="439"/>
        <w:rPr>
          <w:sz w:val="20"/>
          <w:szCs w:val="20"/>
        </w:rPr>
      </w:pPr>
      <w:r>
        <w:rPr>
          <w:spacing w:val="17"/>
          <w:sz w:val="20"/>
          <w:szCs w:val="20"/>
        </w:rPr>
        <w:t>1.6.4承包人文件</w:t>
      </w:r>
    </w:p>
    <w:p w14:paraId="434A1C33">
      <w:pPr>
        <w:pStyle w:val="2"/>
        <w:spacing w:before="202" w:line="219" w:lineRule="auto"/>
        <w:ind w:left="439"/>
        <w:rPr>
          <w:sz w:val="20"/>
          <w:szCs w:val="20"/>
        </w:rPr>
      </w:pPr>
      <w:r>
        <w:rPr>
          <w:sz w:val="20"/>
          <w:szCs w:val="20"/>
        </w:rPr>
        <w:t>需要由承包人提供的文件，包括：</w:t>
      </w:r>
      <w:r>
        <w:rPr>
          <w:spacing w:val="39"/>
          <w:sz w:val="20"/>
          <w:szCs w:val="20"/>
        </w:rPr>
        <w:t xml:space="preserve"> </w:t>
      </w:r>
      <w:r>
        <w:rPr>
          <w:sz w:val="20"/>
          <w:szCs w:val="20"/>
          <w:u w:val="single" w:color="auto"/>
        </w:rPr>
        <w:t xml:space="preserve">                                                     </w:t>
      </w:r>
    </w:p>
    <w:p w14:paraId="2F6CE8A6">
      <w:pPr>
        <w:tabs>
          <w:tab w:val="left" w:pos="7600"/>
        </w:tabs>
        <w:spacing w:before="144"/>
        <w:ind w:left="449"/>
        <w:rPr>
          <w:rFonts w:ascii="Arial"/>
          <w:sz w:val="21"/>
        </w:rPr>
      </w:pPr>
      <w:r>
        <w:rPr>
          <w:rFonts w:ascii="Arial" w:hAnsi="Arial" w:eastAsia="Arial" w:cs="Arial"/>
          <w:sz w:val="21"/>
          <w:szCs w:val="21"/>
          <w:u w:val="single" w:color="auto"/>
        </w:rPr>
        <w:tab/>
      </w:r>
    </w:p>
    <w:p w14:paraId="5A1EB0B3">
      <w:pPr>
        <w:pStyle w:val="2"/>
        <w:spacing w:before="157" w:line="219" w:lineRule="auto"/>
        <w:ind w:left="439"/>
        <w:rPr>
          <w:sz w:val="20"/>
          <w:szCs w:val="20"/>
        </w:rPr>
      </w:pPr>
      <w:r>
        <w:rPr>
          <w:spacing w:val="-2"/>
          <w:sz w:val="20"/>
          <w:szCs w:val="20"/>
        </w:rPr>
        <w:t>承包人提供的文件的期限为：</w:t>
      </w:r>
      <w:r>
        <w:rPr>
          <w:spacing w:val="37"/>
          <w:sz w:val="20"/>
          <w:szCs w:val="20"/>
        </w:rPr>
        <w:t xml:space="preserve"> </w:t>
      </w:r>
      <w:r>
        <w:rPr>
          <w:spacing w:val="1"/>
          <w:sz w:val="20"/>
          <w:szCs w:val="20"/>
          <w:u w:val="single" w:color="auto"/>
        </w:rPr>
        <w:t xml:space="preserve">                         </w:t>
      </w:r>
      <w:r>
        <w:rPr>
          <w:spacing w:val="-65"/>
          <w:sz w:val="20"/>
          <w:szCs w:val="20"/>
        </w:rPr>
        <w:t xml:space="preserve"> </w:t>
      </w:r>
      <w:r>
        <w:rPr>
          <w:spacing w:val="-2"/>
          <w:sz w:val="20"/>
          <w:szCs w:val="20"/>
        </w:rPr>
        <w:t>;</w:t>
      </w:r>
    </w:p>
    <w:p w14:paraId="4049A9BC">
      <w:pPr>
        <w:pStyle w:val="2"/>
        <w:spacing w:before="143" w:line="214" w:lineRule="auto"/>
        <w:ind w:left="439"/>
        <w:rPr>
          <w:sz w:val="14"/>
          <w:szCs w:val="14"/>
        </w:rPr>
      </w:pPr>
      <w:r>
        <w:rPr>
          <w:spacing w:val="-2"/>
          <w:sz w:val="20"/>
          <w:szCs w:val="20"/>
        </w:rPr>
        <w:t>承包人提供的文件的数量为：</w:t>
      </w:r>
      <w:r>
        <w:rPr>
          <w:spacing w:val="59"/>
          <w:sz w:val="20"/>
          <w:szCs w:val="20"/>
        </w:rPr>
        <w:t xml:space="preserve"> </w:t>
      </w:r>
      <w:r>
        <w:rPr>
          <w:spacing w:val="1"/>
          <w:sz w:val="20"/>
          <w:szCs w:val="20"/>
          <w:u w:val="single" w:color="auto"/>
        </w:rPr>
        <w:t xml:space="preserve">                   </w:t>
      </w:r>
      <w:r>
        <w:rPr>
          <w:sz w:val="20"/>
          <w:szCs w:val="20"/>
          <w:u w:val="single" w:color="auto"/>
        </w:rPr>
        <w:t xml:space="preserve">      </w:t>
      </w:r>
      <w:r>
        <w:rPr>
          <w:spacing w:val="-79"/>
          <w:sz w:val="20"/>
          <w:szCs w:val="20"/>
        </w:rPr>
        <w:t xml:space="preserve"> </w:t>
      </w:r>
      <w:r>
        <w:rPr>
          <w:spacing w:val="-2"/>
          <w:position w:val="-4"/>
          <w:sz w:val="14"/>
          <w:szCs w:val="14"/>
        </w:rPr>
        <w:t>_;</w:t>
      </w:r>
    </w:p>
    <w:p w14:paraId="36A5441D">
      <w:pPr>
        <w:pStyle w:val="2"/>
        <w:spacing w:before="156" w:line="214" w:lineRule="auto"/>
        <w:ind w:left="439"/>
        <w:rPr>
          <w:sz w:val="14"/>
          <w:szCs w:val="14"/>
        </w:rPr>
      </w:pPr>
      <w:r>
        <w:rPr>
          <w:sz w:val="20"/>
          <w:szCs w:val="20"/>
        </w:rPr>
        <w:t>承包人提供的文件的形式为：</w:t>
      </w:r>
      <w:r>
        <w:rPr>
          <w:spacing w:val="29"/>
          <w:sz w:val="20"/>
          <w:szCs w:val="20"/>
        </w:rPr>
        <w:t xml:space="preserve"> </w:t>
      </w:r>
      <w:r>
        <w:rPr>
          <w:spacing w:val="1"/>
          <w:sz w:val="20"/>
          <w:szCs w:val="20"/>
          <w:u w:val="single" w:color="auto"/>
        </w:rPr>
        <w:t xml:space="preserve">                   </w:t>
      </w:r>
      <w:r>
        <w:rPr>
          <w:sz w:val="20"/>
          <w:szCs w:val="20"/>
          <w:u w:val="single" w:color="auto"/>
        </w:rPr>
        <w:t xml:space="preserve">      </w:t>
      </w:r>
      <w:r>
        <w:rPr>
          <w:spacing w:val="-79"/>
          <w:sz w:val="20"/>
          <w:szCs w:val="20"/>
        </w:rPr>
        <w:t xml:space="preserve"> </w:t>
      </w:r>
      <w:r>
        <w:rPr>
          <w:position w:val="-3"/>
          <w:sz w:val="14"/>
          <w:szCs w:val="14"/>
        </w:rPr>
        <w:t>_;</w:t>
      </w:r>
    </w:p>
    <w:p w14:paraId="61813BC3">
      <w:pPr>
        <w:pStyle w:val="2"/>
        <w:spacing w:before="137" w:line="219" w:lineRule="auto"/>
        <w:ind w:left="439"/>
        <w:rPr>
          <w:rFonts w:ascii="Arial" w:hAnsi="Arial" w:eastAsia="Arial" w:cs="Arial"/>
          <w:sz w:val="20"/>
          <w:szCs w:val="20"/>
        </w:rPr>
      </w:pPr>
      <w:r>
        <w:rPr>
          <w:spacing w:val="2"/>
          <w:sz w:val="20"/>
          <w:szCs w:val="20"/>
        </w:rPr>
        <w:t>发包人审批承包人文件的期限：</w:t>
      </w:r>
      <w:r>
        <w:rPr>
          <w:spacing w:val="-62"/>
          <w:sz w:val="20"/>
          <w:szCs w:val="20"/>
        </w:rPr>
        <w:t xml:space="preserve"> </w:t>
      </w:r>
      <w:r>
        <w:rPr>
          <w:spacing w:val="1"/>
          <w:sz w:val="20"/>
          <w:szCs w:val="20"/>
          <w:u w:val="single" w:color="auto"/>
        </w:rPr>
        <w:t xml:space="preserve">                        </w:t>
      </w:r>
      <w:r>
        <w:rPr>
          <w:spacing w:val="-79"/>
          <w:sz w:val="20"/>
          <w:szCs w:val="20"/>
        </w:rPr>
        <w:t xml:space="preserve"> </w:t>
      </w:r>
      <w:r>
        <w:rPr>
          <w:rFonts w:ascii="Arial" w:hAnsi="Arial" w:eastAsia="Arial" w:cs="Arial"/>
          <w:spacing w:val="2"/>
          <w:sz w:val="20"/>
          <w:szCs w:val="20"/>
        </w:rPr>
        <w:t>o</w:t>
      </w:r>
    </w:p>
    <w:p w14:paraId="4785936D">
      <w:pPr>
        <w:pStyle w:val="2"/>
        <w:spacing w:before="173" w:line="220" w:lineRule="auto"/>
        <w:ind w:left="439"/>
        <w:rPr>
          <w:sz w:val="20"/>
          <w:szCs w:val="20"/>
        </w:rPr>
      </w:pPr>
      <w:r>
        <w:rPr>
          <w:spacing w:val="16"/>
          <w:sz w:val="20"/>
          <w:szCs w:val="20"/>
        </w:rPr>
        <w:t>1.6.5现场图纸准备</w:t>
      </w:r>
    </w:p>
    <w:p w14:paraId="3EEF41CC">
      <w:pPr>
        <w:pStyle w:val="2"/>
        <w:spacing w:before="182" w:line="220" w:lineRule="auto"/>
        <w:ind w:left="439"/>
        <w:rPr>
          <w:rFonts w:ascii="Times New Roman" w:hAnsi="Times New Roman" w:eastAsia="Times New Roman" w:cs="Times New Roman"/>
          <w:sz w:val="8"/>
          <w:szCs w:val="8"/>
        </w:rPr>
      </w:pPr>
      <w:r>
        <w:rPr>
          <w:spacing w:val="-5"/>
          <w:sz w:val="22"/>
          <w:szCs w:val="22"/>
        </w:rPr>
        <w:t>关于现场图纸准备的约定：</w:t>
      </w:r>
      <w:r>
        <w:rPr>
          <w:spacing w:val="1"/>
          <w:sz w:val="22"/>
          <w:szCs w:val="22"/>
          <w:u w:val="single" w:color="auto"/>
        </w:rPr>
        <w:t xml:space="preserve">                        </w:t>
      </w:r>
      <w:r>
        <w:rPr>
          <w:spacing w:val="-74"/>
          <w:sz w:val="22"/>
          <w:szCs w:val="22"/>
        </w:rPr>
        <w:t xml:space="preserve"> </w:t>
      </w:r>
      <w:r>
        <w:rPr>
          <w:rFonts w:ascii="Times New Roman" w:hAnsi="Times New Roman" w:eastAsia="Times New Roman" w:cs="Times New Roman"/>
          <w:spacing w:val="-5"/>
          <w:position w:val="4"/>
          <w:sz w:val="8"/>
          <w:szCs w:val="8"/>
        </w:rPr>
        <w:t>_o</w:t>
      </w:r>
    </w:p>
    <w:p w14:paraId="79FF07C6">
      <w:pPr>
        <w:pStyle w:val="2"/>
        <w:spacing w:before="73" w:line="221" w:lineRule="auto"/>
        <w:ind w:left="33"/>
        <w:rPr>
          <w:rFonts w:ascii="黑体" w:hAnsi="黑体" w:eastAsia="黑体" w:cs="黑体"/>
        </w:rPr>
      </w:pPr>
      <w:r>
        <w:rPr>
          <w:b/>
          <w:bCs/>
          <w:spacing w:val="-20"/>
        </w:rPr>
        <w:t>1.7</w:t>
      </w:r>
      <w:r>
        <w:t xml:space="preserve"> </w:t>
      </w:r>
      <w:r>
        <w:rPr>
          <w:rFonts w:ascii="黑体" w:hAnsi="黑体" w:eastAsia="黑体" w:cs="黑体"/>
          <w:b/>
          <w:bCs/>
          <w:spacing w:val="-20"/>
        </w:rPr>
        <w:t>联络</w:t>
      </w:r>
    </w:p>
    <w:p w14:paraId="7FAA22CB">
      <w:pPr>
        <w:pStyle w:val="2"/>
        <w:spacing w:before="163" w:line="285" w:lineRule="auto"/>
        <w:ind w:left="30" w:firstLine="409"/>
        <w:rPr>
          <w:sz w:val="20"/>
          <w:szCs w:val="20"/>
        </w:rPr>
      </w:pPr>
      <w:r>
        <w:rPr>
          <w:spacing w:val="11"/>
          <w:sz w:val="20"/>
          <w:szCs w:val="20"/>
        </w:rPr>
        <w:t>1.7.1发包人和承包人应当在</w:t>
      </w:r>
      <w:r>
        <w:rPr>
          <w:spacing w:val="11"/>
          <w:sz w:val="20"/>
          <w:szCs w:val="20"/>
          <w:u w:val="single" w:color="auto"/>
        </w:rPr>
        <w:t xml:space="preserve">     </w:t>
      </w:r>
      <w:r>
        <w:rPr>
          <w:spacing w:val="-90"/>
          <w:sz w:val="20"/>
          <w:szCs w:val="20"/>
        </w:rPr>
        <w:t xml:space="preserve"> </w:t>
      </w:r>
      <w:r>
        <w:rPr>
          <w:spacing w:val="11"/>
          <w:sz w:val="20"/>
          <w:szCs w:val="20"/>
        </w:rPr>
        <w:t>天内将与合同有关的通知、</w:t>
      </w:r>
      <w:r>
        <w:rPr>
          <w:spacing w:val="10"/>
          <w:sz w:val="20"/>
          <w:szCs w:val="20"/>
        </w:rPr>
        <w:t>批准、证明、证书、指示、指</w:t>
      </w:r>
      <w:r>
        <w:rPr>
          <w:sz w:val="20"/>
          <w:szCs w:val="20"/>
        </w:rPr>
        <w:t xml:space="preserve"> </w:t>
      </w:r>
      <w:r>
        <w:rPr>
          <w:spacing w:val="10"/>
          <w:sz w:val="20"/>
          <w:szCs w:val="20"/>
        </w:rPr>
        <w:t>令、要求、请求、同意、意见、确定和决定等书</w:t>
      </w:r>
      <w:r>
        <w:rPr>
          <w:spacing w:val="9"/>
          <w:sz w:val="20"/>
          <w:szCs w:val="20"/>
        </w:rPr>
        <w:t>面函件送达对方当事人。</w:t>
      </w:r>
    </w:p>
    <w:p w14:paraId="72DE63B6">
      <w:pPr>
        <w:pStyle w:val="2"/>
        <w:spacing w:before="164" w:line="219" w:lineRule="auto"/>
        <w:ind w:left="439"/>
        <w:rPr>
          <w:sz w:val="20"/>
          <w:szCs w:val="20"/>
        </w:rPr>
      </w:pPr>
      <w:r>
        <w:rPr>
          <w:spacing w:val="-2"/>
          <w:sz w:val="20"/>
          <w:szCs w:val="20"/>
        </w:rPr>
        <w:t>1.7.2</w:t>
      </w:r>
      <w:r>
        <w:rPr>
          <w:spacing w:val="51"/>
          <w:sz w:val="20"/>
          <w:szCs w:val="20"/>
        </w:rPr>
        <w:t xml:space="preserve"> </w:t>
      </w:r>
      <w:r>
        <w:rPr>
          <w:spacing w:val="-2"/>
          <w:sz w:val="20"/>
          <w:szCs w:val="20"/>
        </w:rPr>
        <w:t>发包人接收文件的地点：</w:t>
      </w:r>
      <w:r>
        <w:rPr>
          <w:spacing w:val="29"/>
          <w:sz w:val="20"/>
          <w:szCs w:val="20"/>
        </w:rPr>
        <w:t xml:space="preserve"> </w:t>
      </w:r>
      <w:r>
        <w:rPr>
          <w:sz w:val="20"/>
          <w:szCs w:val="20"/>
          <w:u w:val="single" w:color="auto"/>
        </w:rPr>
        <w:t xml:space="preserve">                          </w:t>
      </w:r>
    </w:p>
    <w:sdt>
      <w:sdtPr>
        <w:rPr>
          <w:rFonts w:ascii="宋体" w:hAnsi="宋体" w:eastAsia="宋体" w:cs="宋体"/>
          <w:sz w:val="24"/>
          <w:szCs w:val="24"/>
        </w:rPr>
        <w:id w:val="147455321"/>
        <w:docPartObj>
          <w:docPartGallery w:val="Table of Contents"/>
          <w:docPartUnique/>
        </w:docPartObj>
      </w:sdtPr>
      <w:sdtEndPr>
        <w:rPr>
          <w:rFonts w:ascii="Times New Roman" w:hAnsi="Times New Roman" w:eastAsia="Times New Roman" w:cs="Times New Roman"/>
          <w:sz w:val="20"/>
          <w:szCs w:val="20"/>
        </w:rPr>
      </w:sdtEndPr>
      <w:sdtContent>
        <w:p w14:paraId="615DFFD3">
          <w:pPr>
            <w:pStyle w:val="2"/>
            <w:spacing w:before="164" w:line="219" w:lineRule="auto"/>
            <w:ind w:left="439"/>
            <w:rPr>
              <w:rFonts w:ascii="Times New Roman" w:hAnsi="Times New Roman" w:eastAsia="Times New Roman" w:cs="Times New Roman"/>
              <w:sz w:val="24"/>
              <w:szCs w:val="24"/>
            </w:rPr>
          </w:pPr>
          <w:r>
            <w:rPr>
              <w:spacing w:val="-25"/>
              <w:w w:val="98"/>
              <w:sz w:val="24"/>
              <w:szCs w:val="24"/>
            </w:rPr>
            <w:t>发包人指定的接收人为：</w:t>
          </w:r>
          <w:r>
            <w:rPr>
              <w:spacing w:val="2"/>
              <w:sz w:val="24"/>
              <w:szCs w:val="24"/>
              <w:u w:val="single" w:color="auto"/>
            </w:rPr>
            <w:t xml:space="preserve">                         </w:t>
          </w:r>
          <w:r>
            <w:rPr>
              <w:spacing w:val="-56"/>
              <w:sz w:val="24"/>
              <w:szCs w:val="24"/>
            </w:rPr>
            <w:t xml:space="preserve"> </w:t>
          </w:r>
          <w:r>
            <w:fldChar w:fldCharType="begin"/>
          </w:r>
          <w:r>
            <w:instrText xml:space="preserve"> HYPERLINK \l "bookmark299" </w:instrText>
          </w:r>
          <w:r>
            <w:fldChar w:fldCharType="separate"/>
          </w:r>
          <w:r>
            <w:rPr>
              <w:rFonts w:ascii="Times New Roman" w:hAnsi="Times New Roman" w:eastAsia="Times New Roman" w:cs="Times New Roman"/>
              <w:spacing w:val="-25"/>
              <w:w w:val="98"/>
              <w:sz w:val="24"/>
              <w:szCs w:val="24"/>
            </w:rPr>
            <w:t>0</w:t>
          </w:r>
          <w:r>
            <w:rPr>
              <w:rFonts w:ascii="Times New Roman" w:hAnsi="Times New Roman" w:eastAsia="Times New Roman" w:cs="Times New Roman"/>
              <w:spacing w:val="-25"/>
              <w:w w:val="98"/>
              <w:sz w:val="24"/>
              <w:szCs w:val="24"/>
            </w:rPr>
            <w:fldChar w:fldCharType="end"/>
          </w:r>
        </w:p>
        <w:p w14:paraId="53BF71C4">
          <w:pPr>
            <w:pStyle w:val="2"/>
            <w:spacing w:before="144" w:line="219" w:lineRule="auto"/>
            <w:ind w:left="439"/>
            <w:rPr>
              <w:sz w:val="20"/>
              <w:szCs w:val="20"/>
            </w:rPr>
          </w:pPr>
          <w:r>
            <w:rPr>
              <w:spacing w:val="-3"/>
              <w:sz w:val="20"/>
              <w:szCs w:val="20"/>
            </w:rPr>
            <w:t>承包人接收文件的地点：</w:t>
          </w:r>
          <w:r>
            <w:rPr>
              <w:spacing w:val="61"/>
              <w:sz w:val="20"/>
              <w:szCs w:val="20"/>
            </w:rPr>
            <w:t xml:space="preserve"> </w:t>
          </w:r>
          <w:r>
            <w:rPr>
              <w:sz w:val="20"/>
              <w:szCs w:val="20"/>
              <w:u w:val="single" w:color="auto"/>
            </w:rPr>
            <w:t xml:space="preserve">                               </w:t>
          </w:r>
        </w:p>
        <w:p w14:paraId="638ED585">
          <w:pPr>
            <w:pStyle w:val="2"/>
            <w:spacing w:before="114" w:line="219" w:lineRule="auto"/>
            <w:ind w:left="439"/>
            <w:rPr>
              <w:rFonts w:ascii="Times New Roman" w:hAnsi="Times New Roman" w:eastAsia="Times New Roman" w:cs="Times New Roman"/>
              <w:sz w:val="24"/>
              <w:szCs w:val="24"/>
            </w:rPr>
          </w:pPr>
          <w:r>
            <w:rPr>
              <w:spacing w:val="-24"/>
              <w:w w:val="98"/>
              <w:sz w:val="24"/>
              <w:szCs w:val="24"/>
            </w:rPr>
            <w:t>承包人指定的接收人为：</w:t>
          </w:r>
          <w:r>
            <w:rPr>
              <w:spacing w:val="2"/>
              <w:sz w:val="24"/>
              <w:szCs w:val="24"/>
              <w:u w:val="single" w:color="auto"/>
            </w:rPr>
            <w:t xml:space="preserve">                         </w:t>
          </w:r>
          <w:r>
            <w:rPr>
              <w:spacing w:val="-68"/>
              <w:sz w:val="24"/>
              <w:szCs w:val="24"/>
            </w:rPr>
            <w:t xml:space="preserve"> </w:t>
          </w:r>
          <w:r>
            <w:fldChar w:fldCharType="begin"/>
          </w:r>
          <w:r>
            <w:instrText xml:space="preserve"> HYPERLINK \l "bookmark300" </w:instrText>
          </w:r>
          <w:r>
            <w:fldChar w:fldCharType="separate"/>
          </w:r>
          <w:r>
            <w:rPr>
              <w:rFonts w:ascii="Times New Roman" w:hAnsi="Times New Roman" w:eastAsia="Times New Roman" w:cs="Times New Roman"/>
              <w:spacing w:val="-24"/>
              <w:w w:val="98"/>
              <w:sz w:val="24"/>
              <w:szCs w:val="24"/>
            </w:rPr>
            <w:t>0</w:t>
          </w:r>
          <w:r>
            <w:rPr>
              <w:rFonts w:ascii="Times New Roman" w:hAnsi="Times New Roman" w:eastAsia="Times New Roman" w:cs="Times New Roman"/>
              <w:spacing w:val="-24"/>
              <w:w w:val="98"/>
              <w:sz w:val="24"/>
              <w:szCs w:val="24"/>
            </w:rPr>
            <w:fldChar w:fldCharType="end"/>
          </w:r>
        </w:p>
        <w:p w14:paraId="5C3EFBFE">
          <w:pPr>
            <w:pStyle w:val="2"/>
            <w:spacing w:before="144" w:line="219" w:lineRule="auto"/>
            <w:ind w:left="439"/>
            <w:rPr>
              <w:sz w:val="20"/>
              <w:szCs w:val="20"/>
            </w:rPr>
          </w:pPr>
          <w:r>
            <w:rPr>
              <w:spacing w:val="-3"/>
              <w:sz w:val="20"/>
              <w:szCs w:val="20"/>
            </w:rPr>
            <w:t>监理人接收文件的地点：</w:t>
          </w:r>
          <w:r>
            <w:rPr>
              <w:spacing w:val="32"/>
              <w:sz w:val="20"/>
              <w:szCs w:val="20"/>
            </w:rPr>
            <w:t xml:space="preserve"> </w:t>
          </w:r>
          <w:r>
            <w:rPr>
              <w:sz w:val="20"/>
              <w:szCs w:val="20"/>
              <w:u w:val="single" w:color="auto"/>
            </w:rPr>
            <w:t xml:space="preserve">                               </w:t>
          </w:r>
        </w:p>
        <w:p w14:paraId="51649688">
          <w:pPr>
            <w:pStyle w:val="2"/>
            <w:spacing w:before="153" w:line="219" w:lineRule="auto"/>
            <w:ind w:left="439"/>
            <w:rPr>
              <w:rFonts w:ascii="Times New Roman" w:hAnsi="Times New Roman" w:eastAsia="Times New Roman" w:cs="Times New Roman"/>
              <w:sz w:val="20"/>
              <w:szCs w:val="20"/>
            </w:rPr>
          </w:pPr>
          <w:r>
            <w:rPr>
              <w:sz w:val="20"/>
              <w:szCs w:val="20"/>
            </w:rPr>
            <w:t>监理人指定的接收人为：</w:t>
          </w:r>
          <w:r>
            <w:rPr>
              <w:spacing w:val="-71"/>
              <w:sz w:val="20"/>
              <w:szCs w:val="20"/>
            </w:rPr>
            <w:t xml:space="preserve"> </w:t>
          </w:r>
          <w:r>
            <w:rPr>
              <w:spacing w:val="1"/>
              <w:sz w:val="20"/>
              <w:szCs w:val="20"/>
              <w:u w:val="single" w:color="auto"/>
            </w:rPr>
            <w:t xml:space="preserve">                               </w:t>
          </w:r>
          <w:r>
            <w:rPr>
              <w:spacing w:val="-62"/>
              <w:sz w:val="20"/>
              <w:szCs w:val="20"/>
            </w:rPr>
            <w:t xml:space="preserve"> </w:t>
          </w:r>
          <w:r>
            <w:fldChar w:fldCharType="begin"/>
          </w:r>
          <w:r>
            <w:instrText xml:space="preserve"> HYPERLINK \l "bookmark301" </w:instrText>
          </w:r>
          <w:r>
            <w:fldChar w:fldCharType="separate"/>
          </w:r>
          <w:r>
            <w:rPr>
              <w:rFonts w:ascii="Times New Roman" w:hAnsi="Times New Roman" w:eastAsia="Times New Roman" w:cs="Times New Roman"/>
              <w:sz w:val="20"/>
              <w:szCs w:val="20"/>
            </w:rPr>
            <w:t>0</w:t>
          </w:r>
          <w:r>
            <w:rPr>
              <w:rFonts w:ascii="Times New Roman" w:hAnsi="Times New Roman" w:eastAsia="Times New Roman" w:cs="Times New Roman"/>
              <w:sz w:val="20"/>
              <w:szCs w:val="20"/>
            </w:rPr>
            <w:fldChar w:fldCharType="end"/>
          </w:r>
        </w:p>
      </w:sdtContent>
    </w:sdt>
    <w:p w14:paraId="77F2CC74">
      <w:pPr>
        <w:spacing w:line="219" w:lineRule="auto"/>
        <w:rPr>
          <w:rFonts w:ascii="Times New Roman" w:hAnsi="Times New Roman" w:eastAsia="Times New Roman" w:cs="Times New Roman"/>
          <w:sz w:val="20"/>
          <w:szCs w:val="20"/>
        </w:rPr>
        <w:sectPr>
          <w:footerReference r:id="rId243" w:type="default"/>
          <w:pgSz w:w="11910" w:h="16840"/>
          <w:pgMar w:top="400" w:right="1546" w:bottom="1017" w:left="1430" w:header="0" w:footer="891" w:gutter="0"/>
          <w:cols w:space="720" w:num="1"/>
        </w:sectPr>
      </w:pPr>
    </w:p>
    <w:p w14:paraId="38D68A28">
      <w:pPr>
        <w:spacing w:line="259" w:lineRule="auto"/>
        <w:rPr>
          <w:rFonts w:ascii="Arial"/>
          <w:sz w:val="21"/>
        </w:rPr>
      </w:pPr>
    </w:p>
    <w:p w14:paraId="682D3970">
      <w:pPr>
        <w:spacing w:line="259" w:lineRule="auto"/>
        <w:rPr>
          <w:rFonts w:ascii="Arial"/>
          <w:sz w:val="21"/>
        </w:rPr>
      </w:pPr>
    </w:p>
    <w:p w14:paraId="2E096411">
      <w:pPr>
        <w:spacing w:line="259" w:lineRule="auto"/>
        <w:rPr>
          <w:rFonts w:ascii="Arial"/>
          <w:sz w:val="21"/>
        </w:rPr>
      </w:pPr>
    </w:p>
    <w:p w14:paraId="73F714A5">
      <w:pPr>
        <w:spacing w:line="260" w:lineRule="auto"/>
        <w:rPr>
          <w:rFonts w:ascii="Arial"/>
          <w:sz w:val="21"/>
        </w:rPr>
      </w:pPr>
    </w:p>
    <w:p w14:paraId="12D773B5">
      <w:pPr>
        <w:spacing w:line="260" w:lineRule="auto"/>
        <w:rPr>
          <w:rFonts w:ascii="Arial"/>
          <w:sz w:val="21"/>
        </w:rPr>
      </w:pPr>
    </w:p>
    <w:p w14:paraId="003C694B">
      <w:pPr>
        <w:pStyle w:val="2"/>
        <w:spacing w:before="81" w:line="219" w:lineRule="auto"/>
        <w:ind w:left="3"/>
      </w:pPr>
      <w:r>
        <w:rPr>
          <w:b/>
          <w:bCs/>
          <w:spacing w:val="-11"/>
        </w:rPr>
        <w:t>1.10</w:t>
      </w:r>
      <w:r>
        <w:rPr>
          <w:spacing w:val="-11"/>
        </w:rPr>
        <w:t xml:space="preserve"> </w:t>
      </w:r>
      <w:r>
        <w:rPr>
          <w:b/>
          <w:bCs/>
          <w:spacing w:val="-11"/>
        </w:rPr>
        <w:t>交通运输</w:t>
      </w:r>
    </w:p>
    <w:p w14:paraId="2A711DA6">
      <w:pPr>
        <w:pStyle w:val="2"/>
        <w:spacing w:before="164" w:line="219" w:lineRule="auto"/>
        <w:ind w:left="409"/>
        <w:rPr>
          <w:sz w:val="20"/>
          <w:szCs w:val="20"/>
        </w:rPr>
      </w:pPr>
      <w:r>
        <w:rPr>
          <w:spacing w:val="4"/>
          <w:sz w:val="20"/>
          <w:szCs w:val="20"/>
        </w:rPr>
        <w:t>1.10.1</w:t>
      </w:r>
      <w:r>
        <w:rPr>
          <w:spacing w:val="52"/>
          <w:sz w:val="20"/>
          <w:szCs w:val="20"/>
        </w:rPr>
        <w:t xml:space="preserve"> </w:t>
      </w:r>
      <w:r>
        <w:rPr>
          <w:spacing w:val="4"/>
          <w:sz w:val="20"/>
          <w:szCs w:val="20"/>
        </w:rPr>
        <w:t>出入现场的权利</w:t>
      </w:r>
    </w:p>
    <w:p w14:paraId="41D486F7">
      <w:pPr>
        <w:pStyle w:val="2"/>
        <w:spacing w:before="162" w:line="219" w:lineRule="auto"/>
        <w:ind w:left="409"/>
        <w:rPr>
          <w:sz w:val="20"/>
          <w:szCs w:val="20"/>
        </w:rPr>
      </w:pPr>
      <w:r>
        <w:rPr>
          <w:spacing w:val="6"/>
          <w:sz w:val="20"/>
          <w:szCs w:val="20"/>
        </w:rPr>
        <w:t>关于出入现场的权利的约定：</w:t>
      </w:r>
    </w:p>
    <w:p w14:paraId="058ADA02">
      <w:pPr>
        <w:spacing w:line="293" w:lineRule="auto"/>
        <w:rPr>
          <w:rFonts w:ascii="Arial"/>
          <w:sz w:val="21"/>
        </w:rPr>
      </w:pPr>
    </w:p>
    <w:p w14:paraId="3E2A959F">
      <w:pPr>
        <w:spacing w:line="293" w:lineRule="auto"/>
        <w:rPr>
          <w:rFonts w:ascii="Arial"/>
          <w:sz w:val="21"/>
        </w:rPr>
      </w:pPr>
      <w:r>
        <w:pict>
          <v:shape id="_x0000_s1030" o:spid="_x0000_s1030" style="position:absolute;left:0pt;margin-left:19.2pt;margin-top:1.95pt;height:0.5pt;width:386.05pt;z-index:251693056;mso-width-relative:page;mso-height-relative:page;" filled="f" stroked="t" coordsize="7720,10" path="m0,5l7720,5e">
            <v:fill on="f" focussize="0,0"/>
            <v:stroke weight="0.5pt" color="#000000" miterlimit="10" joinstyle="miter"/>
            <v:imagedata o:title=""/>
            <o:lock v:ext="edit"/>
          </v:shape>
        </w:pict>
      </w:r>
    </w:p>
    <w:p w14:paraId="7F707F8D">
      <w:pPr>
        <w:spacing w:line="293" w:lineRule="auto"/>
        <w:rPr>
          <w:rFonts w:ascii="Arial"/>
          <w:sz w:val="21"/>
        </w:rPr>
      </w:pPr>
      <w:r>
        <w:pict>
          <v:shape id="_x0000_s1031" o:spid="_x0000_s1031" style="position:absolute;left:0pt;margin-left:19.2pt;margin-top:9.75pt;height:0.5pt;width:386.05pt;z-index:251691008;mso-width-relative:page;mso-height-relative:page;" filled="f" stroked="t" coordsize="7720,10" path="m0,5l7720,5m0,5l7720,5e">
            <v:fill on="f" focussize="0,0"/>
            <v:stroke weight="0.5pt" color="#000000" miterlimit="10" joinstyle="miter"/>
            <v:imagedata o:title=""/>
            <o:lock v:ext="edit"/>
          </v:shape>
        </w:pict>
      </w:r>
    </w:p>
    <w:p w14:paraId="60AE6551">
      <w:pPr>
        <w:pStyle w:val="2"/>
        <w:spacing w:before="69" w:line="219" w:lineRule="auto"/>
        <w:ind w:left="439"/>
        <w:rPr>
          <w:sz w:val="21"/>
          <w:szCs w:val="21"/>
        </w:rPr>
      </w:pPr>
      <w:r>
        <w:rPr>
          <w:sz w:val="21"/>
          <w:szCs w:val="21"/>
        </w:rPr>
        <w:t>1.10.3场内交通</w:t>
      </w:r>
    </w:p>
    <w:p w14:paraId="5BE00E75">
      <w:pPr>
        <w:pStyle w:val="2"/>
        <w:spacing w:before="141" w:line="219" w:lineRule="auto"/>
        <w:ind w:left="439"/>
        <w:rPr>
          <w:sz w:val="21"/>
          <w:szCs w:val="21"/>
        </w:rPr>
      </w:pPr>
      <w:r>
        <w:rPr>
          <w:spacing w:val="-1"/>
          <w:sz w:val="21"/>
          <w:szCs w:val="21"/>
        </w:rPr>
        <w:t>关于场外交通和场内交通的边界的约定：</w:t>
      </w:r>
    </w:p>
    <w:p w14:paraId="0274AAC5">
      <w:pPr>
        <w:spacing w:line="321" w:lineRule="auto"/>
        <w:rPr>
          <w:rFonts w:ascii="Arial"/>
          <w:sz w:val="21"/>
        </w:rPr>
      </w:pPr>
    </w:p>
    <w:p w14:paraId="7FAFEC85">
      <w:pPr>
        <w:spacing w:line="321" w:lineRule="auto"/>
        <w:rPr>
          <w:rFonts w:ascii="Arial"/>
          <w:sz w:val="21"/>
        </w:rPr>
      </w:pPr>
    </w:p>
    <w:p w14:paraId="05561840">
      <w:pPr>
        <w:pStyle w:val="2"/>
        <w:spacing w:before="26" w:line="213" w:lineRule="auto"/>
        <w:ind w:left="8309"/>
        <w:rPr>
          <w:sz w:val="8"/>
          <w:szCs w:val="8"/>
        </w:rPr>
      </w:pPr>
      <w:r>
        <w:rPr>
          <w:sz w:val="8"/>
          <w:szCs w:val="8"/>
        </w:rPr>
        <w:t>_o</w:t>
      </w:r>
    </w:p>
    <w:p w14:paraId="62783D1D">
      <w:pPr>
        <w:pStyle w:val="2"/>
        <w:spacing w:before="175" w:line="219" w:lineRule="auto"/>
        <w:ind w:left="429"/>
        <w:rPr>
          <w:sz w:val="21"/>
          <w:szCs w:val="21"/>
        </w:rPr>
      </w:pPr>
      <w:r>
        <w:rPr>
          <w:sz w:val="21"/>
          <w:szCs w:val="21"/>
        </w:rPr>
        <w:t>关于发包人向承包人免费提供满足工程施工需要的场内道路和交通设施的约定：</w:t>
      </w:r>
    </w:p>
    <w:p w14:paraId="6448D752">
      <w:pPr>
        <w:spacing w:line="300" w:lineRule="auto"/>
        <w:rPr>
          <w:rFonts w:ascii="Arial"/>
          <w:sz w:val="21"/>
        </w:rPr>
      </w:pPr>
    </w:p>
    <w:p w14:paraId="5C4E9899">
      <w:pPr>
        <w:spacing w:line="300" w:lineRule="auto"/>
        <w:rPr>
          <w:rFonts w:ascii="Arial"/>
          <w:sz w:val="21"/>
        </w:rPr>
      </w:pPr>
      <w:r>
        <w:pict>
          <v:shape id="_x0000_s1032" o:spid="_x0000_s1032" style="position:absolute;left:0pt;margin-left:19.2pt;margin-top:2.6pt;height:0.5pt;width:386.05pt;z-index:251692032;mso-width-relative:page;mso-height-relative:page;" filled="f" stroked="t" coordsize="7720,10" path="m0,5l7720,5e">
            <v:fill on="f" focussize="0,0"/>
            <v:stroke weight="0.5pt" color="#000000" miterlimit="10" joinstyle="miter"/>
            <v:imagedata o:title=""/>
            <o:lock v:ext="edit"/>
          </v:shape>
        </w:pict>
      </w:r>
    </w:p>
    <w:p w14:paraId="31408A79">
      <w:pPr>
        <w:spacing w:line="301" w:lineRule="auto"/>
        <w:rPr>
          <w:rFonts w:ascii="Arial"/>
          <w:sz w:val="21"/>
        </w:rPr>
      </w:pPr>
    </w:p>
    <w:p w14:paraId="5D1417F8">
      <w:pPr>
        <w:pStyle w:val="2"/>
        <w:spacing w:before="65" w:line="219" w:lineRule="auto"/>
        <w:ind w:left="409"/>
        <w:rPr>
          <w:sz w:val="20"/>
          <w:szCs w:val="20"/>
        </w:rPr>
      </w:pPr>
      <w:r>
        <w:rPr>
          <w:spacing w:val="10"/>
          <w:sz w:val="20"/>
          <w:szCs w:val="20"/>
        </w:rPr>
        <w:t>1.10.4超大件和超重件的运输</w:t>
      </w:r>
    </w:p>
    <w:p w14:paraId="03FFF045">
      <w:pPr>
        <w:pStyle w:val="2"/>
        <w:spacing w:before="163" w:line="378" w:lineRule="auto"/>
        <w:ind w:firstLine="409"/>
        <w:rPr>
          <w:sz w:val="17"/>
          <w:szCs w:val="17"/>
        </w:rPr>
      </w:pPr>
      <w:r>
        <w:rPr>
          <w:spacing w:val="21"/>
          <w:sz w:val="20"/>
          <w:szCs w:val="20"/>
        </w:rPr>
        <w:t>运输超大件或超重件所需的道路和桥梁临时加固改造费用和其他有关费用由</w:t>
      </w:r>
      <w:r>
        <w:rPr>
          <w:spacing w:val="21"/>
          <w:sz w:val="20"/>
          <w:szCs w:val="20"/>
          <w:u w:val="single" w:color="auto"/>
        </w:rPr>
        <w:t xml:space="preserve">      </w:t>
      </w:r>
      <w:r>
        <w:rPr>
          <w:spacing w:val="20"/>
          <w:sz w:val="20"/>
          <w:szCs w:val="20"/>
          <w:u w:val="single" w:color="auto"/>
        </w:rPr>
        <w:t xml:space="preserve">    </w:t>
      </w:r>
      <w:r>
        <w:rPr>
          <w:sz w:val="20"/>
          <w:szCs w:val="20"/>
        </w:rPr>
        <w:t xml:space="preserve"> </w:t>
      </w:r>
      <w:r>
        <w:rPr>
          <w:spacing w:val="-5"/>
          <w:sz w:val="17"/>
          <w:szCs w:val="17"/>
        </w:rPr>
        <w:t>承</w:t>
      </w:r>
      <w:r>
        <w:rPr>
          <w:spacing w:val="-25"/>
          <w:sz w:val="17"/>
          <w:szCs w:val="17"/>
        </w:rPr>
        <w:t xml:space="preserve"> </w:t>
      </w:r>
      <w:r>
        <w:rPr>
          <w:spacing w:val="-5"/>
          <w:sz w:val="17"/>
          <w:szCs w:val="17"/>
        </w:rPr>
        <w:t>担</w:t>
      </w:r>
      <w:r>
        <w:rPr>
          <w:spacing w:val="-32"/>
          <w:sz w:val="17"/>
          <w:szCs w:val="17"/>
        </w:rPr>
        <w:t xml:space="preserve"> </w:t>
      </w:r>
      <w:r>
        <w:rPr>
          <w:spacing w:val="-5"/>
          <w:sz w:val="17"/>
          <w:szCs w:val="17"/>
        </w:rPr>
        <w:t>。</w:t>
      </w:r>
    </w:p>
    <w:p w14:paraId="4ED6D6F0">
      <w:pPr>
        <w:pStyle w:val="2"/>
        <w:spacing w:before="1" w:line="219" w:lineRule="auto"/>
        <w:ind w:left="3"/>
      </w:pPr>
      <w:r>
        <w:rPr>
          <w:b/>
          <w:bCs/>
          <w:spacing w:val="-14"/>
        </w:rPr>
        <w:t>1.11</w:t>
      </w:r>
      <w:r>
        <w:rPr>
          <w:spacing w:val="14"/>
        </w:rPr>
        <w:t xml:space="preserve"> </w:t>
      </w:r>
      <w:r>
        <w:rPr>
          <w:b/>
          <w:bCs/>
          <w:spacing w:val="-14"/>
        </w:rPr>
        <w:t>知识产权</w:t>
      </w:r>
    </w:p>
    <w:p w14:paraId="5203A848">
      <w:pPr>
        <w:pStyle w:val="2"/>
        <w:spacing w:before="153" w:line="363" w:lineRule="auto"/>
        <w:ind w:right="17" w:firstLine="409"/>
        <w:rPr>
          <w:sz w:val="20"/>
          <w:szCs w:val="20"/>
        </w:rPr>
      </w:pPr>
      <w:r>
        <w:pict>
          <v:shape id="_x0000_s1033" o:spid="_x0000_s1033" style="position:absolute;left:0pt;margin-left:19.7pt;margin-top:56.75pt;height:0.5pt;width:419pt;z-index:251685888;mso-width-relative:page;mso-height-relative:page;" filled="f" stroked="t" coordsize="8380,10" path="m0,5l8379,5e">
            <v:fill on="f" focussize="0,0"/>
            <v:stroke weight="0.5pt" color="#000000" miterlimit="10" joinstyle="miter"/>
            <v:imagedata o:title=""/>
            <o:lock v:ext="edit"/>
          </v:shape>
        </w:pict>
      </w:r>
      <w:r>
        <w:rPr>
          <w:spacing w:val="11"/>
          <w:sz w:val="20"/>
          <w:szCs w:val="20"/>
        </w:rPr>
        <w:t>1.11.1关于发包人提供给承包人的图纸、发包人为实施工程自行编制或委托编制的技术规范</w:t>
      </w:r>
      <w:r>
        <w:rPr>
          <w:spacing w:val="8"/>
          <w:sz w:val="20"/>
          <w:szCs w:val="20"/>
        </w:rPr>
        <w:t xml:space="preserve"> </w:t>
      </w:r>
      <w:r>
        <w:rPr>
          <w:spacing w:val="9"/>
          <w:sz w:val="20"/>
          <w:szCs w:val="20"/>
        </w:rPr>
        <w:t>以及反映发包人关于合同要求或其他类似性质</w:t>
      </w:r>
      <w:r>
        <w:rPr>
          <w:spacing w:val="8"/>
          <w:sz w:val="20"/>
          <w:szCs w:val="20"/>
        </w:rPr>
        <w:t>的文件的著作权的归属：</w:t>
      </w:r>
    </w:p>
    <w:p w14:paraId="724F0D11">
      <w:pPr>
        <w:spacing w:before="65"/>
      </w:pPr>
    </w:p>
    <w:p w14:paraId="76F3E2C3">
      <w:pPr>
        <w:spacing w:before="64"/>
      </w:pPr>
    </w:p>
    <w:tbl>
      <w:tblPr>
        <w:tblStyle w:val="5"/>
        <w:tblW w:w="8379" w:type="dxa"/>
        <w:tblInd w:w="389"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8379"/>
      </w:tblGrid>
      <w:tr w14:paraId="584FAFE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801" w:hRule="atLeast"/>
        </w:trPr>
        <w:tc>
          <w:tcPr>
            <w:tcW w:w="8379" w:type="dxa"/>
            <w:tcBorders>
              <w:top w:val="single" w:color="000000" w:sz="4" w:space="0"/>
              <w:bottom w:val="single" w:color="000000" w:sz="4" w:space="0"/>
            </w:tcBorders>
            <w:vAlign w:val="top"/>
          </w:tcPr>
          <w:p w14:paraId="7EE419F5">
            <w:pPr>
              <w:pStyle w:val="6"/>
              <w:spacing w:before="292" w:line="219" w:lineRule="auto"/>
              <w:ind w:left="20"/>
              <w:rPr>
                <w:sz w:val="22"/>
                <w:szCs w:val="22"/>
              </w:rPr>
            </w:pPr>
            <w:r>
              <w:rPr>
                <w:spacing w:val="-1"/>
                <w:sz w:val="22"/>
                <w:szCs w:val="22"/>
              </w:rPr>
              <w:t>关于发包人提供的上述文件的使用限制的要求：</w:t>
            </w:r>
          </w:p>
        </w:tc>
      </w:tr>
      <w:tr w14:paraId="09AF09F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68" w:hRule="atLeast"/>
        </w:trPr>
        <w:tc>
          <w:tcPr>
            <w:tcW w:w="8379" w:type="dxa"/>
            <w:tcBorders>
              <w:top w:val="single" w:color="000000" w:sz="4" w:space="0"/>
              <w:bottom w:val="single" w:color="000000" w:sz="4" w:space="0"/>
            </w:tcBorders>
            <w:vAlign w:val="top"/>
          </w:tcPr>
          <w:p w14:paraId="5C33CBAD">
            <w:pPr>
              <w:pStyle w:val="6"/>
              <w:tabs>
                <w:tab w:val="left" w:pos="240"/>
              </w:tabs>
              <w:spacing w:before="216" w:line="179" w:lineRule="auto"/>
              <w:ind w:left="20"/>
              <w:rPr>
                <w:sz w:val="7"/>
                <w:szCs w:val="7"/>
              </w:rPr>
            </w:pPr>
            <w:r>
              <w:rPr>
                <w:sz w:val="7"/>
                <w:szCs w:val="7"/>
                <w:u w:val="dotted" w:color="auto"/>
              </w:rPr>
              <w:tab/>
            </w:r>
            <w:r>
              <w:rPr>
                <w:spacing w:val="-5"/>
                <w:sz w:val="7"/>
                <w:szCs w:val="7"/>
              </w:rPr>
              <w:t xml:space="preserve"> </w:t>
            </w:r>
            <w:r>
              <w:rPr>
                <w:spacing w:val="12"/>
                <w:sz w:val="7"/>
                <w:szCs w:val="7"/>
              </w:rPr>
              <w:t>。</w:t>
            </w:r>
          </w:p>
        </w:tc>
      </w:tr>
      <w:tr w14:paraId="54FB5FF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781" w:hRule="atLeast"/>
        </w:trPr>
        <w:tc>
          <w:tcPr>
            <w:tcW w:w="8379" w:type="dxa"/>
            <w:tcBorders>
              <w:top w:val="single" w:color="000000" w:sz="4" w:space="0"/>
              <w:bottom w:val="single" w:color="000000" w:sz="4" w:space="0"/>
            </w:tcBorders>
            <w:vAlign w:val="top"/>
          </w:tcPr>
          <w:p w14:paraId="372618C4">
            <w:pPr>
              <w:pStyle w:val="6"/>
              <w:spacing w:before="285" w:line="219" w:lineRule="auto"/>
              <w:ind w:left="20"/>
              <w:rPr>
                <w:sz w:val="22"/>
                <w:szCs w:val="22"/>
              </w:rPr>
            </w:pPr>
            <w:r>
              <w:rPr>
                <w:sz w:val="22"/>
                <w:szCs w:val="22"/>
              </w:rPr>
              <w:t>1.11.2关于承包人为实施工程所编制文件的著作权的归属：</w:t>
            </w:r>
          </w:p>
        </w:tc>
      </w:tr>
    </w:tbl>
    <w:p w14:paraId="1A99334F">
      <w:pPr>
        <w:spacing w:line="333" w:lineRule="auto"/>
        <w:rPr>
          <w:rFonts w:ascii="Arial"/>
          <w:sz w:val="21"/>
        </w:rPr>
      </w:pPr>
    </w:p>
    <w:p w14:paraId="655204E6">
      <w:pPr>
        <w:spacing w:line="333" w:lineRule="auto"/>
        <w:rPr>
          <w:rFonts w:ascii="Arial"/>
          <w:sz w:val="21"/>
        </w:rPr>
      </w:pPr>
      <w:r>
        <w:pict>
          <v:shape id="_x0000_s1034" o:spid="_x0000_s1034" style="position:absolute;left:0pt;margin-left:19.7pt;margin-top:6.45pt;height:0.5pt;width:419pt;z-index:251686912;mso-width-relative:page;mso-height-relative:page;" filled="f" stroked="t" coordsize="8380,10" path="m0,5l8379,5m0,5l8379,5e">
            <v:fill on="f" focussize="0,0"/>
            <v:stroke weight="0.5pt" color="#000000" miterlimit="10" joinstyle="miter"/>
            <v:imagedata o:title=""/>
            <o:lock v:ext="edit"/>
          </v:shape>
        </w:pict>
      </w:r>
    </w:p>
    <w:p w14:paraId="1EDDFAB1">
      <w:pPr>
        <w:pStyle w:val="2"/>
        <w:spacing w:before="72" w:line="219" w:lineRule="auto"/>
        <w:ind w:left="409"/>
        <w:rPr>
          <w:sz w:val="22"/>
          <w:szCs w:val="22"/>
        </w:rPr>
      </w:pPr>
      <w:r>
        <w:rPr>
          <w:spacing w:val="-1"/>
          <w:sz w:val="22"/>
          <w:szCs w:val="22"/>
        </w:rPr>
        <w:t>关于承包人提供的上述文件的使用限制的要求：</w:t>
      </w:r>
    </w:p>
    <w:p w14:paraId="7310400C">
      <w:pPr>
        <w:spacing w:line="260" w:lineRule="auto"/>
        <w:rPr>
          <w:rFonts w:ascii="Arial"/>
          <w:sz w:val="21"/>
        </w:rPr>
      </w:pPr>
      <w:r>
        <w:pict>
          <v:shape id="_x0000_s1035" o:spid="_x0000_s1035" style="position:absolute;left:0pt;margin-left:19.7pt;margin-top:11pt;height:0.5pt;width:419pt;z-index:251688960;mso-width-relative:page;mso-height-relative:page;" filled="f" stroked="t" coordsize="8380,10" path="m0,5l8379,5m0,5l8379,5e">
            <v:fill on="f" focussize="0,0"/>
            <v:stroke weight="0.5pt" color="#000000" miterlimit="10" joinstyle="miter"/>
            <v:imagedata o:title=""/>
            <o:lock v:ext="edit"/>
          </v:shape>
        </w:pict>
      </w:r>
    </w:p>
    <w:p w14:paraId="149B4E49">
      <w:pPr>
        <w:spacing w:line="261" w:lineRule="auto"/>
        <w:rPr>
          <w:rFonts w:ascii="Arial"/>
          <w:sz w:val="21"/>
        </w:rPr>
      </w:pPr>
    </w:p>
    <w:p w14:paraId="4C64B4EF">
      <w:pPr>
        <w:spacing w:line="261" w:lineRule="auto"/>
        <w:rPr>
          <w:rFonts w:ascii="Arial"/>
          <w:sz w:val="21"/>
        </w:rPr>
      </w:pPr>
      <w:r>
        <w:pict>
          <v:shape id="_x0000_s1036" o:spid="_x0000_s1036" style="position:absolute;left:0pt;margin-left:19.7pt;margin-top:4.8pt;height:0.5pt;width:419pt;z-index:251687936;mso-width-relative:page;mso-height-relative:page;" filled="f" stroked="t" coordsize="8380,10" path="m0,5l8379,5m0,5l8379,5e">
            <v:fill on="f" focussize="0,0"/>
            <v:stroke weight="0.5pt" color="#000000" miterlimit="10" joinstyle="miter"/>
            <v:imagedata o:title=""/>
            <o:lock v:ext="edit"/>
          </v:shape>
        </w:pict>
      </w:r>
    </w:p>
    <w:p w14:paraId="36CFC029">
      <w:pPr>
        <w:pStyle w:val="2"/>
        <w:spacing w:before="73" w:line="219" w:lineRule="auto"/>
        <w:ind w:left="409"/>
        <w:rPr>
          <w:sz w:val="22"/>
          <w:szCs w:val="22"/>
        </w:rPr>
      </w:pPr>
      <w:r>
        <w:rPr>
          <w:sz w:val="22"/>
          <w:szCs w:val="22"/>
        </w:rPr>
        <w:t>1.11.4承包人在施工过程中所采用的专利、专有技术、技术秘密的使用费的承担方</w:t>
      </w:r>
      <w:r>
        <w:rPr>
          <w:spacing w:val="-1"/>
          <w:sz w:val="22"/>
          <w:szCs w:val="22"/>
        </w:rPr>
        <w:t>式：</w:t>
      </w:r>
    </w:p>
    <w:p w14:paraId="4C398F12">
      <w:pPr>
        <w:spacing w:line="364" w:lineRule="auto"/>
        <w:rPr>
          <w:rFonts w:ascii="Arial"/>
          <w:sz w:val="21"/>
        </w:rPr>
      </w:pPr>
      <w:r>
        <w:pict>
          <v:shape id="_x0000_s1037" o:spid="_x0000_s1037" style="position:absolute;left:0pt;margin-left:19.7pt;margin-top:9.05pt;height:0.5pt;width:419pt;z-index:251689984;mso-width-relative:page;mso-height-relative:page;" filled="f" stroked="t" coordsize="8380,10" path="m0,5l8379,5e">
            <v:fill on="f" focussize="0,0"/>
            <v:stroke weight="0.5pt" color="#000000" miterlimit="10" joinstyle="miter"/>
            <v:imagedata o:title=""/>
            <o:lock v:ext="edit"/>
          </v:shape>
        </w:pict>
      </w:r>
    </w:p>
    <w:p w14:paraId="7C014420">
      <w:pPr>
        <w:pStyle w:val="2"/>
        <w:spacing w:before="82" w:line="219" w:lineRule="auto"/>
        <w:ind w:left="3"/>
      </w:pPr>
      <w:r>
        <w:rPr>
          <w:b/>
          <w:bCs/>
          <w:spacing w:val="-7"/>
        </w:rPr>
        <w:t>1.13工程量清单错误的修正</w:t>
      </w:r>
    </w:p>
    <w:p w14:paraId="2A21C20F">
      <w:pPr>
        <w:pStyle w:val="2"/>
        <w:spacing w:before="143" w:line="218" w:lineRule="auto"/>
        <w:ind w:left="409"/>
        <w:rPr>
          <w:sz w:val="20"/>
          <w:szCs w:val="20"/>
        </w:rPr>
      </w:pPr>
      <w:r>
        <w:rPr>
          <w:spacing w:val="7"/>
          <w:sz w:val="20"/>
          <w:szCs w:val="20"/>
        </w:rPr>
        <w:t>出现工程量清单错误时，是否调整合同价格：</w:t>
      </w:r>
    </w:p>
    <w:p w14:paraId="4F096F5F">
      <w:pPr>
        <w:spacing w:line="218" w:lineRule="auto"/>
        <w:rPr>
          <w:sz w:val="20"/>
          <w:szCs w:val="20"/>
        </w:rPr>
        <w:sectPr>
          <w:footerReference r:id="rId244" w:type="default"/>
          <w:pgSz w:w="11910" w:h="16840"/>
          <w:pgMar w:top="400" w:right="1539" w:bottom="1016" w:left="1460" w:header="0" w:footer="889" w:gutter="0"/>
          <w:cols w:space="720" w:num="1"/>
        </w:sectPr>
      </w:pPr>
    </w:p>
    <w:p w14:paraId="5C15E305">
      <w:pPr>
        <w:pStyle w:val="2"/>
        <w:spacing w:before="197" w:line="218" w:lineRule="auto"/>
        <w:ind w:left="416"/>
        <w:rPr>
          <w:sz w:val="20"/>
          <w:szCs w:val="20"/>
        </w:rPr>
      </w:pPr>
      <w:r>
        <w:rPr>
          <w:spacing w:val="7"/>
          <w:sz w:val="20"/>
          <w:szCs w:val="20"/>
        </w:rPr>
        <w:t>允许调整合同价格的工程量偏差范围：</w:t>
      </w:r>
    </w:p>
    <w:p w14:paraId="45533F5D">
      <w:pPr>
        <w:tabs>
          <w:tab w:val="left" w:pos="8735"/>
        </w:tabs>
        <w:spacing w:before="185"/>
        <w:ind w:left="426"/>
        <w:rPr>
          <w:rFonts w:ascii="Arial"/>
          <w:sz w:val="21"/>
        </w:rPr>
      </w:pPr>
      <w:r>
        <w:rPr>
          <w:rFonts w:ascii="Arial" w:hAnsi="Arial" w:eastAsia="Arial" w:cs="Arial"/>
          <w:sz w:val="21"/>
          <w:szCs w:val="21"/>
          <w:u w:val="single" w:color="auto"/>
        </w:rPr>
        <w:tab/>
      </w:r>
    </w:p>
    <w:p w14:paraId="3620A88B">
      <w:pPr>
        <w:pStyle w:val="2"/>
        <w:tabs>
          <w:tab w:val="left" w:pos="8627"/>
        </w:tabs>
        <w:spacing w:before="250" w:line="239" w:lineRule="auto"/>
        <w:ind w:left="416"/>
        <w:rPr>
          <w:sz w:val="7"/>
          <w:szCs w:val="7"/>
        </w:rPr>
      </w:pPr>
      <w:r>
        <w:rPr>
          <w:sz w:val="7"/>
          <w:szCs w:val="7"/>
          <w:u w:val="single" w:color="auto"/>
        </w:rPr>
        <w:tab/>
      </w:r>
      <w:r>
        <w:rPr>
          <w:spacing w:val="8"/>
          <w:sz w:val="7"/>
          <w:szCs w:val="7"/>
        </w:rPr>
        <w:t xml:space="preserve">   </w:t>
      </w:r>
      <w:r>
        <w:rPr>
          <w:spacing w:val="-10"/>
          <w:sz w:val="7"/>
          <w:szCs w:val="7"/>
        </w:rPr>
        <w:t>□</w:t>
      </w:r>
    </w:p>
    <w:p w14:paraId="0ECD6FBE">
      <w:pPr>
        <w:pStyle w:val="2"/>
        <w:spacing w:before="205" w:line="221" w:lineRule="auto"/>
        <w:ind w:left="1"/>
        <w:rPr>
          <w:rFonts w:ascii="黑体" w:hAnsi="黑体" w:eastAsia="黑体" w:cs="黑体"/>
          <w:sz w:val="31"/>
          <w:szCs w:val="31"/>
        </w:rPr>
      </w:pPr>
      <w:r>
        <w:rPr>
          <w:b/>
          <w:bCs/>
          <w:spacing w:val="3"/>
          <w:sz w:val="31"/>
          <w:szCs w:val="31"/>
        </w:rPr>
        <w:t>2.</w:t>
      </w:r>
      <w:r>
        <w:rPr>
          <w:rFonts w:ascii="黑体" w:hAnsi="黑体" w:eastAsia="黑体" w:cs="黑体"/>
          <w:b/>
          <w:bCs/>
          <w:spacing w:val="3"/>
          <w:sz w:val="31"/>
          <w:szCs w:val="31"/>
        </w:rPr>
        <w:t>发包人</w:t>
      </w:r>
    </w:p>
    <w:p w14:paraId="11F0334D">
      <w:pPr>
        <w:pStyle w:val="2"/>
        <w:spacing w:before="77" w:line="221" w:lineRule="auto"/>
        <w:rPr>
          <w:rFonts w:ascii="黑体" w:hAnsi="黑体" w:eastAsia="黑体" w:cs="黑体"/>
        </w:rPr>
      </w:pPr>
      <w:r>
        <w:rPr>
          <w:b/>
          <w:bCs/>
          <w:spacing w:val="-9"/>
        </w:rPr>
        <w:t>2.2</w:t>
      </w:r>
      <w:r>
        <w:rPr>
          <w:spacing w:val="-9"/>
        </w:rPr>
        <w:t xml:space="preserve"> </w:t>
      </w:r>
      <w:r>
        <w:rPr>
          <w:rFonts w:ascii="黑体" w:hAnsi="黑体" w:eastAsia="黑体" w:cs="黑体"/>
          <w:b/>
          <w:bCs/>
          <w:spacing w:val="-9"/>
        </w:rPr>
        <w:t>发包人代表</w:t>
      </w:r>
    </w:p>
    <w:p w14:paraId="5648D165">
      <w:pPr>
        <w:pStyle w:val="2"/>
        <w:spacing w:before="144" w:line="219" w:lineRule="auto"/>
        <w:ind w:left="416"/>
        <w:rPr>
          <w:sz w:val="20"/>
          <w:szCs w:val="20"/>
        </w:rPr>
      </w:pPr>
      <w:r>
        <w:rPr>
          <w:spacing w:val="1"/>
          <w:sz w:val="20"/>
          <w:szCs w:val="20"/>
        </w:rPr>
        <w:t>发包人代表：</w:t>
      </w:r>
    </w:p>
    <w:p w14:paraId="010EEB17">
      <w:pPr>
        <w:pStyle w:val="2"/>
        <w:spacing w:before="213" w:line="219" w:lineRule="auto"/>
        <w:ind w:left="416"/>
        <w:rPr>
          <w:sz w:val="20"/>
          <w:szCs w:val="20"/>
        </w:rPr>
      </w:pPr>
      <w:r>
        <w:rPr>
          <w:spacing w:val="2"/>
          <w:sz w:val="20"/>
          <w:szCs w:val="20"/>
        </w:rPr>
        <w:t>姓</w:t>
      </w:r>
      <w:r>
        <w:rPr>
          <w:spacing w:val="10"/>
          <w:sz w:val="20"/>
          <w:szCs w:val="20"/>
        </w:rPr>
        <w:t xml:space="preserve">    </w:t>
      </w:r>
      <w:r>
        <w:rPr>
          <w:spacing w:val="2"/>
          <w:sz w:val="20"/>
          <w:szCs w:val="20"/>
        </w:rPr>
        <w:t>名：</w:t>
      </w:r>
      <w:r>
        <w:rPr>
          <w:spacing w:val="2"/>
          <w:sz w:val="20"/>
          <w:szCs w:val="20"/>
          <w:u w:val="single" w:color="auto"/>
        </w:rPr>
        <w:t xml:space="preserve">                                  </w:t>
      </w:r>
      <w:r>
        <w:rPr>
          <w:spacing w:val="-68"/>
          <w:sz w:val="20"/>
          <w:szCs w:val="20"/>
        </w:rPr>
        <w:t xml:space="preserve"> </w:t>
      </w:r>
      <w:r>
        <w:rPr>
          <w:spacing w:val="2"/>
          <w:sz w:val="20"/>
          <w:szCs w:val="20"/>
        </w:rPr>
        <w:t>;</w:t>
      </w:r>
    </w:p>
    <w:p w14:paraId="19F43BA4">
      <w:pPr>
        <w:pStyle w:val="2"/>
        <w:spacing w:before="153" w:line="219" w:lineRule="auto"/>
        <w:ind w:left="416"/>
        <w:rPr>
          <w:sz w:val="20"/>
          <w:szCs w:val="20"/>
        </w:rPr>
      </w:pPr>
      <w:r>
        <w:rPr>
          <w:sz w:val="20"/>
          <w:szCs w:val="20"/>
        </w:rPr>
        <w:t>身份证号：</w:t>
      </w:r>
      <w:r>
        <w:rPr>
          <w:spacing w:val="-51"/>
          <w:sz w:val="20"/>
          <w:szCs w:val="20"/>
        </w:rPr>
        <w:t xml:space="preserve"> </w:t>
      </w:r>
      <w:r>
        <w:rPr>
          <w:spacing w:val="2"/>
          <w:sz w:val="20"/>
          <w:szCs w:val="20"/>
          <w:u w:val="single" w:color="auto"/>
        </w:rPr>
        <w:t xml:space="preserve">                          </w:t>
      </w:r>
      <w:r>
        <w:rPr>
          <w:spacing w:val="1"/>
          <w:sz w:val="20"/>
          <w:szCs w:val="20"/>
          <w:u w:val="single" w:color="auto"/>
        </w:rPr>
        <w:t xml:space="preserve">       </w:t>
      </w:r>
      <w:r>
        <w:rPr>
          <w:spacing w:val="-79"/>
          <w:sz w:val="20"/>
          <w:szCs w:val="20"/>
        </w:rPr>
        <w:t xml:space="preserve"> </w:t>
      </w:r>
      <w:r>
        <w:rPr>
          <w:sz w:val="20"/>
          <w:szCs w:val="20"/>
        </w:rPr>
        <w:t>;</w:t>
      </w:r>
    </w:p>
    <w:p w14:paraId="5CF6EB20">
      <w:pPr>
        <w:pStyle w:val="2"/>
        <w:spacing w:before="145" w:line="213" w:lineRule="auto"/>
        <w:ind w:left="416"/>
        <w:rPr>
          <w:sz w:val="20"/>
          <w:szCs w:val="20"/>
        </w:rPr>
      </w:pPr>
      <w:r>
        <w:rPr>
          <w:spacing w:val="-3"/>
          <w:sz w:val="20"/>
          <w:szCs w:val="20"/>
        </w:rPr>
        <w:t>职</w:t>
      </w:r>
      <w:r>
        <w:rPr>
          <w:spacing w:val="7"/>
          <w:sz w:val="20"/>
          <w:szCs w:val="20"/>
        </w:rPr>
        <w:t xml:space="preserve">    </w:t>
      </w:r>
      <w:r>
        <w:rPr>
          <w:spacing w:val="-3"/>
          <w:sz w:val="20"/>
          <w:szCs w:val="20"/>
        </w:rPr>
        <w:t>务：</w:t>
      </w:r>
      <w:r>
        <w:rPr>
          <w:spacing w:val="-67"/>
          <w:sz w:val="20"/>
          <w:szCs w:val="20"/>
        </w:rPr>
        <w:t xml:space="preserve"> </w:t>
      </w:r>
      <w:r>
        <w:rPr>
          <w:spacing w:val="2"/>
          <w:sz w:val="20"/>
          <w:szCs w:val="20"/>
          <w:u w:val="single" w:color="auto"/>
        </w:rPr>
        <w:t xml:space="preserve">                          </w:t>
      </w:r>
      <w:r>
        <w:rPr>
          <w:spacing w:val="1"/>
          <w:sz w:val="20"/>
          <w:szCs w:val="20"/>
          <w:u w:val="single" w:color="auto"/>
        </w:rPr>
        <w:t xml:space="preserve">       </w:t>
      </w:r>
      <w:r>
        <w:rPr>
          <w:spacing w:val="-79"/>
          <w:sz w:val="20"/>
          <w:szCs w:val="20"/>
        </w:rPr>
        <w:t xml:space="preserve"> </w:t>
      </w:r>
      <w:r>
        <w:rPr>
          <w:spacing w:val="-17"/>
          <w:w w:val="70"/>
          <w:sz w:val="20"/>
          <w:szCs w:val="20"/>
        </w:rPr>
        <w:t>_</w:t>
      </w:r>
      <w:r>
        <w:rPr>
          <w:spacing w:val="-3"/>
          <w:sz w:val="20"/>
          <w:szCs w:val="20"/>
        </w:rPr>
        <w:t>;</w:t>
      </w:r>
    </w:p>
    <w:p w14:paraId="6B202616">
      <w:pPr>
        <w:pStyle w:val="2"/>
        <w:spacing w:before="170" w:line="221" w:lineRule="auto"/>
        <w:ind w:left="416"/>
        <w:rPr>
          <w:sz w:val="20"/>
          <w:szCs w:val="20"/>
        </w:rPr>
      </w:pPr>
      <w:r>
        <w:rPr>
          <w:spacing w:val="-5"/>
          <w:sz w:val="20"/>
          <w:szCs w:val="20"/>
        </w:rPr>
        <w:t>联系电话：</w:t>
      </w:r>
      <w:r>
        <w:rPr>
          <w:spacing w:val="2"/>
          <w:sz w:val="20"/>
          <w:szCs w:val="20"/>
          <w:u w:val="single" w:color="auto"/>
        </w:rPr>
        <w:t xml:space="preserve">                                   </w:t>
      </w:r>
      <w:r>
        <w:rPr>
          <w:spacing w:val="-92"/>
          <w:sz w:val="20"/>
          <w:szCs w:val="20"/>
        </w:rPr>
        <w:t xml:space="preserve"> </w:t>
      </w:r>
      <w:r>
        <w:rPr>
          <w:spacing w:val="-5"/>
          <w:sz w:val="20"/>
          <w:szCs w:val="20"/>
        </w:rPr>
        <w:t>;</w:t>
      </w:r>
    </w:p>
    <w:p w14:paraId="321C3DEA">
      <w:pPr>
        <w:pStyle w:val="2"/>
        <w:spacing w:before="148" w:line="219" w:lineRule="auto"/>
        <w:ind w:left="416"/>
        <w:rPr>
          <w:sz w:val="20"/>
          <w:szCs w:val="20"/>
        </w:rPr>
      </w:pPr>
      <w:r>
        <w:rPr>
          <w:sz w:val="20"/>
          <w:szCs w:val="20"/>
        </w:rPr>
        <w:t>电子信箱：</w:t>
      </w:r>
      <w:r>
        <w:rPr>
          <w:spacing w:val="-51"/>
          <w:sz w:val="20"/>
          <w:szCs w:val="20"/>
        </w:rPr>
        <w:t xml:space="preserve"> </w:t>
      </w:r>
      <w:r>
        <w:rPr>
          <w:spacing w:val="2"/>
          <w:sz w:val="20"/>
          <w:szCs w:val="20"/>
          <w:u w:val="single" w:color="auto"/>
        </w:rPr>
        <w:t xml:space="preserve">                                  </w:t>
      </w:r>
      <w:r>
        <w:rPr>
          <w:spacing w:val="-69"/>
          <w:sz w:val="20"/>
          <w:szCs w:val="20"/>
        </w:rPr>
        <w:t xml:space="preserve"> </w:t>
      </w:r>
      <w:r>
        <w:rPr>
          <w:sz w:val="20"/>
          <w:szCs w:val="20"/>
        </w:rPr>
        <w:t>;</w:t>
      </w:r>
    </w:p>
    <w:p w14:paraId="096424C5">
      <w:pPr>
        <w:pStyle w:val="2"/>
        <w:spacing w:before="152" w:line="219" w:lineRule="auto"/>
        <w:ind w:left="416"/>
        <w:rPr>
          <w:sz w:val="20"/>
          <w:szCs w:val="20"/>
        </w:rPr>
      </w:pPr>
      <w:r>
        <w:rPr>
          <w:sz w:val="20"/>
          <w:szCs w:val="20"/>
        </w:rPr>
        <w:t>通信地址：</w:t>
      </w:r>
      <w:r>
        <w:rPr>
          <w:spacing w:val="-61"/>
          <w:sz w:val="20"/>
          <w:szCs w:val="20"/>
        </w:rPr>
        <w:t xml:space="preserve"> </w:t>
      </w:r>
      <w:r>
        <w:rPr>
          <w:sz w:val="20"/>
          <w:szCs w:val="20"/>
          <w:u w:val="single" w:color="auto"/>
        </w:rPr>
        <w:t xml:space="preserve">                                  </w:t>
      </w:r>
    </w:p>
    <w:p w14:paraId="0EDCD321">
      <w:pPr>
        <w:pStyle w:val="2"/>
        <w:spacing w:before="153" w:line="219" w:lineRule="auto"/>
        <w:ind w:left="416"/>
        <w:rPr>
          <w:sz w:val="20"/>
          <w:szCs w:val="20"/>
        </w:rPr>
      </w:pPr>
      <w:r>
        <w:rPr>
          <w:spacing w:val="7"/>
          <w:sz w:val="20"/>
          <w:szCs w:val="20"/>
        </w:rPr>
        <w:t>发包人对发包人代表的授权范围如下：</w:t>
      </w:r>
    </w:p>
    <w:p w14:paraId="77BDC047">
      <w:pPr>
        <w:tabs>
          <w:tab w:val="left" w:pos="8647"/>
        </w:tabs>
        <w:spacing w:before="182"/>
        <w:ind w:left="396"/>
        <w:rPr>
          <w:rFonts w:ascii="Arial"/>
          <w:sz w:val="21"/>
        </w:rPr>
      </w:pPr>
      <w:r>
        <w:rPr>
          <w:rFonts w:ascii="Arial" w:hAnsi="Arial" w:eastAsia="Arial" w:cs="Arial"/>
          <w:sz w:val="21"/>
          <w:szCs w:val="21"/>
          <w:u w:val="single" w:color="auto"/>
        </w:rPr>
        <w:tab/>
      </w:r>
    </w:p>
    <w:p w14:paraId="22784E8C">
      <w:pPr>
        <w:spacing w:line="260" w:lineRule="auto"/>
        <w:rPr>
          <w:rFonts w:ascii="Arial"/>
          <w:sz w:val="21"/>
        </w:rPr>
      </w:pPr>
    </w:p>
    <w:p w14:paraId="6DD48057">
      <w:pPr>
        <w:spacing w:before="21" w:line="188" w:lineRule="auto"/>
        <w:ind w:left="8516"/>
        <w:rPr>
          <w:rFonts w:ascii="Times New Roman" w:hAnsi="Times New Roman" w:eastAsia="Times New Roman" w:cs="Times New Roman"/>
          <w:sz w:val="7"/>
          <w:szCs w:val="7"/>
        </w:rPr>
      </w:pPr>
      <w:r>
        <w:drawing>
          <wp:anchor distT="0" distB="0" distL="0" distR="0" simplePos="0" relativeHeight="251697152" behindDoc="0" locked="0" layoutInCell="1" allowOverlap="1">
            <wp:simplePos x="0" y="0"/>
            <wp:positionH relativeFrom="column">
              <wp:posOffset>264160</wp:posOffset>
            </wp:positionH>
            <wp:positionV relativeFrom="paragraph">
              <wp:posOffset>48260</wp:posOffset>
            </wp:positionV>
            <wp:extent cx="5143500" cy="6350"/>
            <wp:effectExtent l="0" t="0" r="0" b="0"/>
            <wp:wrapNone/>
            <wp:docPr id="84" name="IM 84"/>
            <wp:cNvGraphicFramePr/>
            <a:graphic xmlns:a="http://schemas.openxmlformats.org/drawingml/2006/main">
              <a:graphicData uri="http://schemas.openxmlformats.org/drawingml/2006/picture">
                <pic:pic xmlns:pic="http://schemas.openxmlformats.org/drawingml/2006/picture">
                  <pic:nvPicPr>
                    <pic:cNvPr id="84" name="IM 84"/>
                    <pic:cNvPicPr/>
                  </pic:nvPicPr>
                  <pic:blipFill>
                    <a:blip r:embed="rId446"/>
                    <a:stretch>
                      <a:fillRect/>
                    </a:stretch>
                  </pic:blipFill>
                  <pic:spPr>
                    <a:xfrm>
                      <a:off x="0" y="0"/>
                      <a:ext cx="5143493" cy="6350"/>
                    </a:xfrm>
                    <a:prstGeom prst="rect">
                      <a:avLst/>
                    </a:prstGeom>
                  </pic:spPr>
                </pic:pic>
              </a:graphicData>
            </a:graphic>
          </wp:anchor>
        </w:drawing>
      </w:r>
      <w:r>
        <w:rPr>
          <w:rFonts w:ascii="Times New Roman" w:hAnsi="Times New Roman" w:eastAsia="Times New Roman" w:cs="Times New Roman"/>
          <w:sz w:val="7"/>
          <w:szCs w:val="7"/>
        </w:rPr>
        <w:t>0</w:t>
      </w:r>
    </w:p>
    <w:p w14:paraId="6959EAD9">
      <w:pPr>
        <w:pStyle w:val="2"/>
        <w:spacing w:before="180" w:line="221" w:lineRule="auto"/>
        <w:rPr>
          <w:rFonts w:ascii="黑体" w:hAnsi="黑体" w:eastAsia="黑体" w:cs="黑体"/>
        </w:rPr>
      </w:pPr>
      <w:r>
        <w:rPr>
          <w:b/>
          <w:bCs/>
          <w:spacing w:val="-10"/>
        </w:rPr>
        <w:t>2.4</w:t>
      </w:r>
      <w:r>
        <w:rPr>
          <w:spacing w:val="-10"/>
        </w:rPr>
        <w:t xml:space="preserve"> </w:t>
      </w:r>
      <w:r>
        <w:rPr>
          <w:rFonts w:ascii="黑体" w:hAnsi="黑体" w:eastAsia="黑体" w:cs="黑体"/>
          <w:b/>
          <w:bCs/>
          <w:spacing w:val="-10"/>
        </w:rPr>
        <w:t>施工现场、施工条件和基础资料的提供</w:t>
      </w:r>
    </w:p>
    <w:p w14:paraId="423A6DC7">
      <w:pPr>
        <w:pStyle w:val="2"/>
        <w:spacing w:before="133" w:line="222" w:lineRule="auto"/>
        <w:ind w:left="416"/>
        <w:rPr>
          <w:rFonts w:ascii="黑体" w:hAnsi="黑体" w:eastAsia="黑体" w:cs="黑体"/>
          <w:sz w:val="20"/>
          <w:szCs w:val="20"/>
        </w:rPr>
      </w:pPr>
      <w:r>
        <w:rPr>
          <w:spacing w:val="5"/>
          <w:sz w:val="20"/>
          <w:szCs w:val="20"/>
        </w:rPr>
        <w:t>2.4.1</w:t>
      </w:r>
      <w:r>
        <w:rPr>
          <w:spacing w:val="36"/>
          <w:sz w:val="20"/>
          <w:szCs w:val="20"/>
        </w:rPr>
        <w:t xml:space="preserve"> </w:t>
      </w:r>
      <w:r>
        <w:rPr>
          <w:rFonts w:ascii="黑体" w:hAnsi="黑体" w:eastAsia="黑体" w:cs="黑体"/>
          <w:spacing w:val="5"/>
          <w:sz w:val="20"/>
          <w:szCs w:val="20"/>
        </w:rPr>
        <w:t>提供施工现场</w:t>
      </w:r>
    </w:p>
    <w:p w14:paraId="5182D2EA">
      <w:pPr>
        <w:pStyle w:val="2"/>
        <w:spacing w:before="151" w:line="220" w:lineRule="auto"/>
        <w:ind w:left="416"/>
        <w:rPr>
          <w:sz w:val="20"/>
          <w:szCs w:val="20"/>
        </w:rPr>
      </w:pPr>
      <w:r>
        <w:rPr>
          <w:spacing w:val="7"/>
          <w:sz w:val="20"/>
          <w:szCs w:val="20"/>
        </w:rPr>
        <w:t>关于发包人移交施工现场的期限要求：</w:t>
      </w:r>
    </w:p>
    <w:p w14:paraId="767A5F5C">
      <w:pPr>
        <w:spacing w:line="328" w:lineRule="auto"/>
        <w:rPr>
          <w:rFonts w:ascii="Arial"/>
          <w:sz w:val="21"/>
        </w:rPr>
      </w:pPr>
    </w:p>
    <w:p w14:paraId="6EB2936A">
      <w:pPr>
        <w:spacing w:line="329" w:lineRule="auto"/>
        <w:rPr>
          <w:rFonts w:ascii="Arial"/>
          <w:sz w:val="21"/>
        </w:rPr>
      </w:pPr>
      <w:r>
        <w:drawing>
          <wp:anchor distT="0" distB="0" distL="0" distR="0" simplePos="0" relativeHeight="251694080" behindDoc="0" locked="0" layoutInCell="1" allowOverlap="1">
            <wp:simplePos x="0" y="0"/>
            <wp:positionH relativeFrom="column">
              <wp:posOffset>257810</wp:posOffset>
            </wp:positionH>
            <wp:positionV relativeFrom="paragraph">
              <wp:posOffset>26670</wp:posOffset>
            </wp:positionV>
            <wp:extent cx="5232400" cy="12700"/>
            <wp:effectExtent l="0" t="0" r="0" b="0"/>
            <wp:wrapNone/>
            <wp:docPr id="86" name="IM 86"/>
            <wp:cNvGraphicFramePr/>
            <a:graphic xmlns:a="http://schemas.openxmlformats.org/drawingml/2006/main">
              <a:graphicData uri="http://schemas.openxmlformats.org/drawingml/2006/picture">
                <pic:pic xmlns:pic="http://schemas.openxmlformats.org/drawingml/2006/picture">
                  <pic:nvPicPr>
                    <pic:cNvPr id="86" name="IM 86"/>
                    <pic:cNvPicPr/>
                  </pic:nvPicPr>
                  <pic:blipFill>
                    <a:blip r:embed="rId447"/>
                    <a:stretch>
                      <a:fillRect/>
                    </a:stretch>
                  </pic:blipFill>
                  <pic:spPr>
                    <a:xfrm>
                      <a:off x="0" y="0"/>
                      <a:ext cx="5232433" cy="12725"/>
                    </a:xfrm>
                    <a:prstGeom prst="rect">
                      <a:avLst/>
                    </a:prstGeom>
                  </pic:spPr>
                </pic:pic>
              </a:graphicData>
            </a:graphic>
          </wp:anchor>
        </w:drawing>
      </w:r>
    </w:p>
    <w:p w14:paraId="73A8A559">
      <w:pPr>
        <w:tabs>
          <w:tab w:val="left" w:pos="8515"/>
        </w:tabs>
        <w:spacing w:before="21" w:line="156" w:lineRule="auto"/>
        <w:ind w:left="416"/>
        <w:rPr>
          <w:rFonts w:ascii="Arial" w:hAnsi="Arial" w:eastAsia="Arial" w:cs="Arial"/>
          <w:sz w:val="7"/>
          <w:szCs w:val="7"/>
        </w:rPr>
      </w:pPr>
      <w:r>
        <w:rPr>
          <w:rFonts w:ascii="Arial" w:hAnsi="Arial" w:eastAsia="Arial" w:cs="Arial"/>
          <w:sz w:val="7"/>
          <w:szCs w:val="7"/>
          <w:u w:val="single" w:color="auto"/>
        </w:rPr>
        <w:tab/>
      </w:r>
      <w:r>
        <w:rPr>
          <w:rFonts w:ascii="Arial" w:hAnsi="Arial" w:eastAsia="Arial" w:cs="Arial"/>
          <w:spacing w:val="-8"/>
          <w:sz w:val="7"/>
          <w:szCs w:val="7"/>
        </w:rPr>
        <w:t xml:space="preserve"> </w:t>
      </w:r>
      <w:r>
        <w:rPr>
          <w:rFonts w:ascii="Arial" w:hAnsi="Arial" w:eastAsia="Arial" w:cs="Arial"/>
          <w:sz w:val="7"/>
          <w:szCs w:val="7"/>
        </w:rPr>
        <w:t>_o</w:t>
      </w:r>
    </w:p>
    <w:p w14:paraId="09512703">
      <w:pPr>
        <w:pStyle w:val="2"/>
        <w:spacing w:before="247" w:line="222" w:lineRule="auto"/>
        <w:ind w:left="416"/>
        <w:rPr>
          <w:rFonts w:ascii="黑体" w:hAnsi="黑体" w:eastAsia="黑体" w:cs="黑体"/>
          <w:sz w:val="20"/>
          <w:szCs w:val="20"/>
        </w:rPr>
      </w:pPr>
      <w:r>
        <w:rPr>
          <w:spacing w:val="5"/>
          <w:sz w:val="20"/>
          <w:szCs w:val="20"/>
        </w:rPr>
        <w:t>2.4.2</w:t>
      </w:r>
      <w:r>
        <w:rPr>
          <w:spacing w:val="53"/>
          <w:sz w:val="20"/>
          <w:szCs w:val="20"/>
        </w:rPr>
        <w:t xml:space="preserve"> </w:t>
      </w:r>
      <w:r>
        <w:rPr>
          <w:rFonts w:ascii="黑体" w:hAnsi="黑体" w:eastAsia="黑体" w:cs="黑体"/>
          <w:spacing w:val="5"/>
          <w:sz w:val="20"/>
          <w:szCs w:val="20"/>
        </w:rPr>
        <w:t>提供施工条件</w:t>
      </w:r>
    </w:p>
    <w:p w14:paraId="4BAC91F6">
      <w:pPr>
        <w:pStyle w:val="2"/>
        <w:spacing w:before="148" w:line="219" w:lineRule="auto"/>
        <w:ind w:left="416"/>
        <w:rPr>
          <w:sz w:val="20"/>
          <w:szCs w:val="20"/>
        </w:rPr>
      </w:pPr>
      <w:r>
        <w:rPr>
          <w:spacing w:val="8"/>
          <w:sz w:val="20"/>
          <w:szCs w:val="20"/>
        </w:rPr>
        <w:t>关于发包人应负责提供施工所需要的条件，包括：</w:t>
      </w:r>
    </w:p>
    <w:p w14:paraId="5E1EE808">
      <w:pPr>
        <w:spacing w:line="336" w:lineRule="auto"/>
        <w:rPr>
          <w:rFonts w:ascii="Arial"/>
          <w:sz w:val="21"/>
        </w:rPr>
      </w:pPr>
    </w:p>
    <w:p w14:paraId="6CF0528B">
      <w:pPr>
        <w:spacing w:line="337" w:lineRule="auto"/>
        <w:rPr>
          <w:rFonts w:ascii="Arial"/>
          <w:sz w:val="21"/>
        </w:rPr>
      </w:pPr>
      <w:r>
        <w:drawing>
          <wp:anchor distT="0" distB="0" distL="0" distR="0" simplePos="0" relativeHeight="251696128" behindDoc="0" locked="0" layoutInCell="1" allowOverlap="1">
            <wp:simplePos x="0" y="0"/>
            <wp:positionH relativeFrom="column">
              <wp:posOffset>315595</wp:posOffset>
            </wp:positionH>
            <wp:positionV relativeFrom="paragraph">
              <wp:posOffset>10795</wp:posOffset>
            </wp:positionV>
            <wp:extent cx="5238750" cy="6350"/>
            <wp:effectExtent l="0" t="0" r="0" b="0"/>
            <wp:wrapNone/>
            <wp:docPr id="88" name="IM 88"/>
            <wp:cNvGraphicFramePr/>
            <a:graphic xmlns:a="http://schemas.openxmlformats.org/drawingml/2006/main">
              <a:graphicData uri="http://schemas.openxmlformats.org/drawingml/2006/picture">
                <pic:pic xmlns:pic="http://schemas.openxmlformats.org/drawingml/2006/picture">
                  <pic:nvPicPr>
                    <pic:cNvPr id="88" name="IM 88"/>
                    <pic:cNvPicPr/>
                  </pic:nvPicPr>
                  <pic:blipFill>
                    <a:blip r:embed="rId448"/>
                    <a:stretch>
                      <a:fillRect/>
                    </a:stretch>
                  </pic:blipFill>
                  <pic:spPr>
                    <a:xfrm>
                      <a:off x="0" y="0"/>
                      <a:ext cx="5238710" cy="6350"/>
                    </a:xfrm>
                    <a:prstGeom prst="rect">
                      <a:avLst/>
                    </a:prstGeom>
                  </pic:spPr>
                </pic:pic>
              </a:graphicData>
            </a:graphic>
          </wp:anchor>
        </w:drawing>
      </w:r>
    </w:p>
    <w:p w14:paraId="2FE19374">
      <w:pPr>
        <w:tabs>
          <w:tab w:val="left" w:pos="8515"/>
        </w:tabs>
        <w:spacing w:before="21" w:line="157" w:lineRule="auto"/>
        <w:ind w:left="416"/>
        <w:rPr>
          <w:rFonts w:ascii="Arial" w:hAnsi="Arial" w:eastAsia="Arial" w:cs="Arial"/>
          <w:sz w:val="7"/>
          <w:szCs w:val="7"/>
        </w:rPr>
      </w:pPr>
      <w:r>
        <w:rPr>
          <w:rFonts w:ascii="Arial" w:hAnsi="Arial" w:eastAsia="Arial" w:cs="Arial"/>
          <w:sz w:val="7"/>
          <w:szCs w:val="7"/>
          <w:u w:val="single" w:color="auto"/>
        </w:rPr>
        <w:tab/>
      </w:r>
      <w:r>
        <w:rPr>
          <w:rFonts w:ascii="Arial" w:hAnsi="Arial" w:eastAsia="Arial" w:cs="Arial"/>
          <w:spacing w:val="-9"/>
          <w:sz w:val="7"/>
          <w:szCs w:val="7"/>
        </w:rPr>
        <w:t xml:space="preserve"> </w:t>
      </w:r>
      <w:r>
        <w:rPr>
          <w:rFonts w:ascii="Arial" w:hAnsi="Arial" w:eastAsia="Arial" w:cs="Arial"/>
          <w:sz w:val="7"/>
          <w:szCs w:val="7"/>
        </w:rPr>
        <w:t>n</w:t>
      </w:r>
    </w:p>
    <w:p w14:paraId="044308FD">
      <w:pPr>
        <w:pStyle w:val="2"/>
        <w:spacing w:before="170" w:line="221" w:lineRule="auto"/>
        <w:rPr>
          <w:rFonts w:ascii="黑体" w:hAnsi="黑体" w:eastAsia="黑体" w:cs="黑体"/>
        </w:rPr>
      </w:pPr>
      <w:r>
        <w:rPr>
          <w:b/>
          <w:bCs/>
          <w:spacing w:val="-10"/>
        </w:rPr>
        <w:t>2.5</w:t>
      </w:r>
      <w:r>
        <w:rPr>
          <w:spacing w:val="-10"/>
        </w:rPr>
        <w:t xml:space="preserve"> </w:t>
      </w:r>
      <w:r>
        <w:rPr>
          <w:rFonts w:ascii="黑体" w:hAnsi="黑体" w:eastAsia="黑体" w:cs="黑体"/>
          <w:b/>
          <w:bCs/>
          <w:spacing w:val="-10"/>
        </w:rPr>
        <w:t>资金来源证明及支付担保</w:t>
      </w:r>
    </w:p>
    <w:sdt>
      <w:sdtPr>
        <w:rPr>
          <w:rFonts w:ascii="宋体" w:hAnsi="宋体" w:eastAsia="宋体" w:cs="宋体"/>
          <w:sz w:val="20"/>
          <w:szCs w:val="20"/>
        </w:rPr>
        <w:id w:val="147456434"/>
        <w:docPartObj>
          <w:docPartGallery w:val="Table of Contents"/>
          <w:docPartUnique/>
        </w:docPartObj>
      </w:sdtPr>
      <w:sdtEndPr>
        <w:rPr>
          <w:rFonts w:ascii="Times New Roman" w:hAnsi="Times New Roman" w:eastAsia="Times New Roman" w:cs="Times New Roman"/>
          <w:sz w:val="20"/>
          <w:szCs w:val="20"/>
        </w:rPr>
      </w:sdtEndPr>
      <w:sdtContent>
        <w:p w14:paraId="1141A109">
          <w:pPr>
            <w:pStyle w:val="2"/>
            <w:spacing w:before="223" w:line="219" w:lineRule="auto"/>
            <w:ind w:left="416"/>
            <w:rPr>
              <w:rFonts w:ascii="Times New Roman" w:hAnsi="Times New Roman" w:eastAsia="Times New Roman" w:cs="Times New Roman"/>
              <w:sz w:val="20"/>
              <w:szCs w:val="20"/>
            </w:rPr>
          </w:pPr>
          <w:r>
            <w:rPr>
              <w:spacing w:val="1"/>
              <w:sz w:val="20"/>
              <w:szCs w:val="20"/>
            </w:rPr>
            <w:t>发包人提供资金来源证明的期限要求：</w:t>
          </w:r>
          <w:r>
            <w:rPr>
              <w:spacing w:val="71"/>
              <w:sz w:val="20"/>
              <w:szCs w:val="20"/>
            </w:rPr>
            <w:t xml:space="preserve"> </w:t>
          </w:r>
          <w:r>
            <w:rPr>
              <w:spacing w:val="5"/>
              <w:sz w:val="20"/>
              <w:szCs w:val="20"/>
              <w:u w:val="single" w:color="auto"/>
            </w:rPr>
            <w:t xml:space="preserve">                   </w:t>
          </w:r>
          <w:r>
            <w:rPr>
              <w:spacing w:val="-76"/>
              <w:sz w:val="20"/>
              <w:szCs w:val="20"/>
            </w:rPr>
            <w:t xml:space="preserve"> </w:t>
          </w:r>
          <w:r>
            <w:fldChar w:fldCharType="begin"/>
          </w:r>
          <w:r>
            <w:instrText xml:space="preserve"> HYPERLINK \l "bookmark302" </w:instrText>
          </w:r>
          <w:r>
            <w:fldChar w:fldCharType="separate"/>
          </w:r>
          <w:r>
            <w:rPr>
              <w:rFonts w:ascii="Times New Roman" w:hAnsi="Times New Roman" w:eastAsia="Times New Roman" w:cs="Times New Roman"/>
              <w:spacing w:val="1"/>
              <w:sz w:val="20"/>
              <w:szCs w:val="20"/>
            </w:rPr>
            <w:t>9</w:t>
          </w:r>
          <w:r>
            <w:rPr>
              <w:rFonts w:ascii="Times New Roman" w:hAnsi="Times New Roman" w:eastAsia="Times New Roman" w:cs="Times New Roman"/>
              <w:spacing w:val="1"/>
              <w:sz w:val="20"/>
              <w:szCs w:val="20"/>
            </w:rPr>
            <w:fldChar w:fldCharType="end"/>
          </w:r>
        </w:p>
        <w:p w14:paraId="16A6551B">
          <w:pPr>
            <w:pStyle w:val="2"/>
            <w:spacing w:before="113" w:line="219" w:lineRule="auto"/>
            <w:ind w:left="416"/>
            <w:rPr>
              <w:sz w:val="21"/>
              <w:szCs w:val="21"/>
            </w:rPr>
          </w:pPr>
          <w:r>
            <w:rPr>
              <w:spacing w:val="-1"/>
              <w:sz w:val="21"/>
              <w:szCs w:val="21"/>
            </w:rPr>
            <w:t>发包人是否提供支付担保：</w:t>
          </w:r>
          <w:r>
            <w:rPr>
              <w:spacing w:val="-74"/>
              <w:sz w:val="21"/>
              <w:szCs w:val="21"/>
            </w:rPr>
            <w:t xml:space="preserve"> </w:t>
          </w:r>
          <w:r>
            <w:rPr>
              <w:sz w:val="21"/>
              <w:szCs w:val="21"/>
              <w:u w:val="single" w:color="auto"/>
            </w:rPr>
            <w:t xml:space="preserve">                              </w:t>
          </w:r>
        </w:p>
        <w:p w14:paraId="0A19BEFD">
          <w:pPr>
            <w:pStyle w:val="2"/>
            <w:spacing w:before="121" w:line="219" w:lineRule="auto"/>
            <w:ind w:left="416"/>
            <w:rPr>
              <w:rFonts w:ascii="Times New Roman" w:hAnsi="Times New Roman" w:eastAsia="Times New Roman" w:cs="Times New Roman"/>
              <w:sz w:val="20"/>
              <w:szCs w:val="20"/>
            </w:rPr>
          </w:pPr>
          <w:r>
            <w:rPr>
              <w:spacing w:val="1"/>
              <w:sz w:val="20"/>
              <w:szCs w:val="20"/>
            </w:rPr>
            <w:t>发包人提供支付担保的形式：</w:t>
          </w:r>
          <w:r>
            <w:rPr>
              <w:spacing w:val="-96"/>
              <w:sz w:val="20"/>
              <w:szCs w:val="20"/>
            </w:rPr>
            <w:t xml:space="preserve"> </w:t>
          </w:r>
          <w:r>
            <w:rPr>
              <w:spacing w:val="2"/>
              <w:sz w:val="20"/>
              <w:szCs w:val="20"/>
              <w:u w:val="single" w:color="auto"/>
            </w:rPr>
            <w:t xml:space="preserve">                     </w:t>
          </w:r>
          <w:r>
            <w:rPr>
              <w:spacing w:val="1"/>
              <w:sz w:val="20"/>
              <w:szCs w:val="20"/>
              <w:u w:val="single" w:color="auto"/>
            </w:rPr>
            <w:t xml:space="preserve">        </w:t>
          </w:r>
          <w:r>
            <w:rPr>
              <w:spacing w:val="-60"/>
              <w:sz w:val="20"/>
              <w:szCs w:val="20"/>
            </w:rPr>
            <w:t xml:space="preserve"> </w:t>
          </w:r>
          <w:r>
            <w:fldChar w:fldCharType="begin"/>
          </w:r>
          <w:r>
            <w:instrText xml:space="preserve"> HYPERLINK \l "bookmark303" </w:instrText>
          </w:r>
          <w:r>
            <w:fldChar w:fldCharType="separate"/>
          </w:r>
          <w:r>
            <w:rPr>
              <w:rFonts w:ascii="Times New Roman" w:hAnsi="Times New Roman" w:eastAsia="Times New Roman" w:cs="Times New Roman"/>
              <w:spacing w:val="1"/>
              <w:sz w:val="20"/>
              <w:szCs w:val="20"/>
            </w:rPr>
            <w:t>9</w:t>
          </w:r>
          <w:r>
            <w:rPr>
              <w:rFonts w:ascii="Times New Roman" w:hAnsi="Times New Roman" w:eastAsia="Times New Roman" w:cs="Times New Roman"/>
              <w:spacing w:val="1"/>
              <w:sz w:val="20"/>
              <w:szCs w:val="20"/>
            </w:rPr>
            <w:fldChar w:fldCharType="end"/>
          </w:r>
        </w:p>
      </w:sdtContent>
    </w:sdt>
    <w:p w14:paraId="6D40CBA7">
      <w:pPr>
        <w:pStyle w:val="2"/>
        <w:spacing w:before="164" w:line="222" w:lineRule="auto"/>
        <w:ind w:left="1"/>
        <w:rPr>
          <w:rFonts w:ascii="黑体" w:hAnsi="黑体" w:eastAsia="黑体" w:cs="黑体"/>
          <w:sz w:val="31"/>
          <w:szCs w:val="31"/>
        </w:rPr>
      </w:pPr>
      <w:r>
        <w:rPr>
          <w:b/>
          <w:bCs/>
          <w:spacing w:val="3"/>
          <w:sz w:val="31"/>
          <w:szCs w:val="31"/>
        </w:rPr>
        <w:t>3.</w:t>
      </w:r>
      <w:r>
        <w:rPr>
          <w:rFonts w:ascii="黑体" w:hAnsi="黑体" w:eastAsia="黑体" w:cs="黑体"/>
          <w:b/>
          <w:bCs/>
          <w:spacing w:val="3"/>
          <w:sz w:val="31"/>
          <w:szCs w:val="31"/>
        </w:rPr>
        <w:t>承包人</w:t>
      </w:r>
    </w:p>
    <w:p w14:paraId="172A9E6A">
      <w:pPr>
        <w:pStyle w:val="2"/>
        <w:spacing w:before="83" w:line="221" w:lineRule="auto"/>
        <w:rPr>
          <w:rFonts w:ascii="黑体" w:hAnsi="黑体" w:eastAsia="黑体" w:cs="黑体"/>
        </w:rPr>
      </w:pPr>
      <w:r>
        <w:rPr>
          <w:b/>
          <w:bCs/>
          <w:spacing w:val="-9"/>
        </w:rPr>
        <w:t>3.1</w:t>
      </w:r>
      <w:r>
        <w:rPr>
          <w:spacing w:val="-9"/>
        </w:rPr>
        <w:t xml:space="preserve"> </w:t>
      </w:r>
      <w:r>
        <w:rPr>
          <w:rFonts w:ascii="黑体" w:hAnsi="黑体" w:eastAsia="黑体" w:cs="黑体"/>
          <w:b/>
          <w:bCs/>
          <w:spacing w:val="-9"/>
        </w:rPr>
        <w:t>承包人的一般义务</w:t>
      </w:r>
    </w:p>
    <w:p w14:paraId="4E67439E">
      <w:pPr>
        <w:pStyle w:val="2"/>
        <w:spacing w:before="145" w:line="219" w:lineRule="auto"/>
        <w:ind w:left="537"/>
        <w:rPr>
          <w:sz w:val="20"/>
          <w:szCs w:val="20"/>
        </w:rPr>
      </w:pPr>
      <w:r>
        <w:drawing>
          <wp:anchor distT="0" distB="0" distL="0" distR="0" simplePos="0" relativeHeight="251695104" behindDoc="0" locked="0" layoutInCell="1" allowOverlap="1">
            <wp:simplePos x="0" y="0"/>
            <wp:positionH relativeFrom="column">
              <wp:posOffset>251460</wp:posOffset>
            </wp:positionH>
            <wp:positionV relativeFrom="paragraph">
              <wp:posOffset>473710</wp:posOffset>
            </wp:positionV>
            <wp:extent cx="5238750" cy="6350"/>
            <wp:effectExtent l="0" t="0" r="0" b="0"/>
            <wp:wrapNone/>
            <wp:docPr id="90" name="IM 90"/>
            <wp:cNvGraphicFramePr/>
            <a:graphic xmlns:a="http://schemas.openxmlformats.org/drawingml/2006/main">
              <a:graphicData uri="http://schemas.openxmlformats.org/drawingml/2006/picture">
                <pic:pic xmlns:pic="http://schemas.openxmlformats.org/drawingml/2006/picture">
                  <pic:nvPicPr>
                    <pic:cNvPr id="90" name="IM 90"/>
                    <pic:cNvPicPr/>
                  </pic:nvPicPr>
                  <pic:blipFill>
                    <a:blip r:embed="rId449"/>
                    <a:stretch>
                      <a:fillRect/>
                    </a:stretch>
                  </pic:blipFill>
                  <pic:spPr>
                    <a:xfrm>
                      <a:off x="0" y="0"/>
                      <a:ext cx="5238785" cy="6350"/>
                    </a:xfrm>
                    <a:prstGeom prst="rect">
                      <a:avLst/>
                    </a:prstGeom>
                  </pic:spPr>
                </pic:pic>
              </a:graphicData>
            </a:graphic>
          </wp:anchor>
        </w:drawing>
      </w:r>
      <w:r>
        <w:rPr>
          <w:spacing w:val="12"/>
          <w:sz w:val="20"/>
          <w:szCs w:val="20"/>
        </w:rPr>
        <w:t>(9)承包人提交的竣工资料的内容：</w:t>
      </w:r>
    </w:p>
    <w:p w14:paraId="66760B1F">
      <w:pPr>
        <w:spacing w:line="219" w:lineRule="auto"/>
        <w:rPr>
          <w:sz w:val="20"/>
          <w:szCs w:val="20"/>
        </w:rPr>
        <w:sectPr>
          <w:headerReference r:id="rId245" w:type="default"/>
          <w:footerReference r:id="rId246" w:type="default"/>
          <w:pgSz w:w="11910" w:h="16840"/>
          <w:pgMar w:top="2038" w:right="1639" w:bottom="1024" w:left="1453" w:header="1931" w:footer="889" w:gutter="0"/>
          <w:cols w:space="720" w:num="1"/>
        </w:sectPr>
      </w:pPr>
    </w:p>
    <w:p w14:paraId="4C92843E">
      <w:pPr>
        <w:pStyle w:val="2"/>
        <w:tabs>
          <w:tab w:val="left" w:pos="525"/>
        </w:tabs>
        <w:spacing w:before="175" w:line="364" w:lineRule="auto"/>
        <w:ind w:left="416" w:right="2534"/>
        <w:jc w:val="both"/>
        <w:rPr>
          <w:sz w:val="20"/>
          <w:szCs w:val="20"/>
        </w:rPr>
      </w:pPr>
      <w:r>
        <w:rPr>
          <w:spacing w:val="-4"/>
          <w:sz w:val="20"/>
          <w:szCs w:val="20"/>
        </w:rPr>
        <w:t>承包人需要提交的竣工资料套数：</w:t>
      </w:r>
      <w:r>
        <w:rPr>
          <w:spacing w:val="-80"/>
          <w:sz w:val="20"/>
          <w:szCs w:val="20"/>
        </w:rPr>
        <w:t xml:space="preserve"> </w:t>
      </w:r>
      <w:r>
        <w:rPr>
          <w:spacing w:val="1"/>
          <w:sz w:val="20"/>
          <w:szCs w:val="20"/>
          <w:u w:val="single" w:color="auto"/>
        </w:rPr>
        <w:t xml:space="preserve">                         </w:t>
      </w:r>
      <w:r>
        <w:rPr>
          <w:spacing w:val="-76"/>
          <w:sz w:val="20"/>
          <w:szCs w:val="20"/>
        </w:rPr>
        <w:t xml:space="preserve"> </w:t>
      </w:r>
      <w:r>
        <w:rPr>
          <w:rFonts w:ascii="Times New Roman" w:hAnsi="Times New Roman" w:eastAsia="Times New Roman" w:cs="Times New Roman"/>
          <w:spacing w:val="-4"/>
          <w:sz w:val="20"/>
          <w:szCs w:val="20"/>
        </w:rPr>
        <w:t>_o</w:t>
      </w:r>
      <w:r>
        <w:rPr>
          <w:rFonts w:ascii="Times New Roman" w:hAnsi="Times New Roman" w:eastAsia="Times New Roman" w:cs="Times New Roman"/>
          <w:sz w:val="20"/>
          <w:szCs w:val="20"/>
        </w:rPr>
        <w:t xml:space="preserve"> </w:t>
      </w:r>
      <w:r>
        <w:rPr>
          <w:spacing w:val="-6"/>
          <w:sz w:val="20"/>
          <w:szCs w:val="20"/>
        </w:rPr>
        <w:t xml:space="preserve">承包人提交的竣工资料的费用承担： </w:t>
      </w:r>
      <w:r>
        <w:rPr>
          <w:spacing w:val="-6"/>
          <w:sz w:val="20"/>
          <w:szCs w:val="20"/>
          <w:u w:val="single" w:color="auto"/>
        </w:rPr>
        <w:t xml:space="preserve">                       </w:t>
      </w:r>
      <w:r>
        <w:rPr>
          <w:spacing w:val="-52"/>
          <w:sz w:val="20"/>
          <w:szCs w:val="20"/>
        </w:rPr>
        <w:t xml:space="preserve"> </w:t>
      </w:r>
      <w:r>
        <w:rPr>
          <w:spacing w:val="-6"/>
          <w:sz w:val="20"/>
          <w:szCs w:val="20"/>
        </w:rPr>
        <w:t>_</w:t>
      </w:r>
      <w:r>
        <w:rPr>
          <w:spacing w:val="-88"/>
          <w:sz w:val="20"/>
          <w:szCs w:val="20"/>
        </w:rPr>
        <w:t xml:space="preserve"> </w:t>
      </w:r>
      <w:r>
        <w:rPr>
          <w:spacing w:val="-6"/>
          <w:sz w:val="20"/>
          <w:szCs w:val="20"/>
        </w:rPr>
        <w:t>°</w:t>
      </w:r>
      <w:r>
        <w:rPr>
          <w:sz w:val="20"/>
          <w:szCs w:val="20"/>
        </w:rPr>
        <w:t xml:space="preserve"> </w:t>
      </w:r>
      <w:r>
        <w:rPr>
          <w:spacing w:val="-3"/>
          <w:sz w:val="20"/>
          <w:szCs w:val="20"/>
        </w:rPr>
        <w:t>承包人提交的竣工资料移交时间：</w:t>
      </w:r>
      <w:r>
        <w:rPr>
          <w:spacing w:val="31"/>
          <w:sz w:val="20"/>
          <w:szCs w:val="20"/>
        </w:rPr>
        <w:t xml:space="preserve"> </w:t>
      </w:r>
      <w:r>
        <w:rPr>
          <w:spacing w:val="1"/>
          <w:sz w:val="20"/>
          <w:szCs w:val="20"/>
          <w:u w:val="single" w:color="auto"/>
        </w:rPr>
        <w:t xml:space="preserve">                        </w:t>
      </w:r>
      <w:r>
        <w:rPr>
          <w:spacing w:val="-84"/>
          <w:sz w:val="20"/>
          <w:szCs w:val="20"/>
        </w:rPr>
        <w:t xml:space="preserve"> </w:t>
      </w:r>
      <w:r>
        <w:rPr>
          <w:rFonts w:ascii="Times New Roman" w:hAnsi="Times New Roman" w:eastAsia="Times New Roman" w:cs="Times New Roman"/>
          <w:spacing w:val="-3"/>
          <w:sz w:val="20"/>
          <w:szCs w:val="20"/>
        </w:rPr>
        <w:t>o</w:t>
      </w:r>
      <w:r>
        <w:rPr>
          <w:rFonts w:ascii="Times New Roman" w:hAnsi="Times New Roman" w:eastAsia="Times New Roman" w:cs="Times New Roman"/>
          <w:sz w:val="20"/>
          <w:szCs w:val="20"/>
        </w:rPr>
        <w:t xml:space="preserve">   </w:t>
      </w:r>
      <w:r>
        <w:rPr>
          <w:spacing w:val="-7"/>
          <w:sz w:val="20"/>
          <w:szCs w:val="20"/>
        </w:rPr>
        <w:t>承包人提交的竣工资料形式要求：</w:t>
      </w:r>
      <w:r>
        <w:rPr>
          <w:spacing w:val="40"/>
          <w:sz w:val="20"/>
          <w:szCs w:val="20"/>
        </w:rPr>
        <w:t xml:space="preserve"> </w:t>
      </w:r>
      <w:r>
        <w:rPr>
          <w:spacing w:val="1"/>
          <w:sz w:val="20"/>
          <w:szCs w:val="20"/>
          <w:u w:val="single" w:color="auto"/>
        </w:rPr>
        <w:t xml:space="preserve">                   </w:t>
      </w:r>
      <w:r>
        <w:rPr>
          <w:sz w:val="20"/>
          <w:szCs w:val="20"/>
          <w:u w:val="single" w:color="auto"/>
        </w:rPr>
        <w:t xml:space="preserve">     </w:t>
      </w:r>
      <w:r>
        <w:rPr>
          <w:spacing w:val="-89"/>
          <w:sz w:val="20"/>
          <w:szCs w:val="20"/>
        </w:rPr>
        <w:t xml:space="preserve"> </w:t>
      </w:r>
      <w:r>
        <w:rPr>
          <w:rFonts w:ascii="Times New Roman" w:hAnsi="Times New Roman" w:eastAsia="Times New Roman" w:cs="Times New Roman"/>
          <w:spacing w:val="-7"/>
          <w:sz w:val="20"/>
          <w:szCs w:val="20"/>
        </w:rPr>
        <w:t>_o</w:t>
      </w:r>
      <w:r>
        <w:rPr>
          <w:rFonts w:ascii="Times New Roman" w:hAnsi="Times New Roman" w:eastAsia="Times New Roman" w:cs="Times New Roman"/>
          <w:sz w:val="20"/>
          <w:szCs w:val="20"/>
        </w:rPr>
        <w:t xml:space="preserve">  </w:t>
      </w:r>
      <w:r>
        <w:rPr>
          <w:sz w:val="20"/>
          <w:szCs w:val="20"/>
        </w:rPr>
        <w:tab/>
      </w:r>
      <w:r>
        <w:rPr>
          <w:spacing w:val="11"/>
          <w:sz w:val="20"/>
          <w:szCs w:val="20"/>
        </w:rPr>
        <w:t>(10)承包人应履行的其他义务：</w:t>
      </w:r>
    </w:p>
    <w:p w14:paraId="15079660">
      <w:pPr>
        <w:spacing w:line="254" w:lineRule="auto"/>
        <w:rPr>
          <w:rFonts w:ascii="Arial"/>
          <w:sz w:val="21"/>
        </w:rPr>
      </w:pPr>
      <w:r>
        <w:drawing>
          <wp:anchor distT="0" distB="0" distL="0" distR="0" simplePos="0" relativeHeight="251699200" behindDoc="0" locked="0" layoutInCell="1" allowOverlap="1">
            <wp:simplePos x="0" y="0"/>
            <wp:positionH relativeFrom="column">
              <wp:posOffset>251460</wp:posOffset>
            </wp:positionH>
            <wp:positionV relativeFrom="paragraph">
              <wp:posOffset>141605</wp:posOffset>
            </wp:positionV>
            <wp:extent cx="5226050" cy="12700"/>
            <wp:effectExtent l="0" t="0" r="0" b="0"/>
            <wp:wrapNone/>
            <wp:docPr id="94" name="IM 94"/>
            <wp:cNvGraphicFramePr/>
            <a:graphic xmlns:a="http://schemas.openxmlformats.org/drawingml/2006/main">
              <a:graphicData uri="http://schemas.openxmlformats.org/drawingml/2006/picture">
                <pic:pic xmlns:pic="http://schemas.openxmlformats.org/drawingml/2006/picture">
                  <pic:nvPicPr>
                    <pic:cNvPr id="94" name="IM 94"/>
                    <pic:cNvPicPr/>
                  </pic:nvPicPr>
                  <pic:blipFill>
                    <a:blip r:embed="rId429"/>
                    <a:stretch>
                      <a:fillRect/>
                    </a:stretch>
                  </pic:blipFill>
                  <pic:spPr>
                    <a:xfrm>
                      <a:off x="0" y="0"/>
                      <a:ext cx="5226080" cy="12725"/>
                    </a:xfrm>
                    <a:prstGeom prst="rect">
                      <a:avLst/>
                    </a:prstGeom>
                  </pic:spPr>
                </pic:pic>
              </a:graphicData>
            </a:graphic>
          </wp:anchor>
        </w:drawing>
      </w:r>
    </w:p>
    <w:p w14:paraId="1A6685B8">
      <w:pPr>
        <w:spacing w:line="254" w:lineRule="auto"/>
        <w:rPr>
          <w:rFonts w:ascii="Arial"/>
          <w:sz w:val="21"/>
        </w:rPr>
      </w:pPr>
    </w:p>
    <w:p w14:paraId="699644CB">
      <w:pPr>
        <w:tabs>
          <w:tab w:val="left" w:pos="8515"/>
        </w:tabs>
        <w:spacing w:before="23" w:line="156" w:lineRule="auto"/>
        <w:ind w:left="416"/>
        <w:rPr>
          <w:rFonts w:ascii="Arial" w:hAnsi="Arial" w:eastAsia="Arial" w:cs="Arial"/>
          <w:sz w:val="8"/>
          <w:szCs w:val="8"/>
        </w:rPr>
      </w:pPr>
      <w:r>
        <w:rPr>
          <w:rFonts w:ascii="Arial" w:hAnsi="Arial" w:eastAsia="Arial" w:cs="Arial"/>
          <w:sz w:val="8"/>
          <w:szCs w:val="8"/>
          <w:u w:val="single" w:color="auto"/>
        </w:rPr>
        <w:tab/>
      </w:r>
      <w:r>
        <w:rPr>
          <w:rFonts w:ascii="Arial" w:hAnsi="Arial" w:eastAsia="Arial" w:cs="Arial"/>
          <w:w w:val="86"/>
          <w:sz w:val="8"/>
          <w:szCs w:val="8"/>
        </w:rPr>
        <w:t>_o</w:t>
      </w:r>
    </w:p>
    <w:p w14:paraId="723E067C">
      <w:pPr>
        <w:pStyle w:val="2"/>
        <w:spacing w:before="176" w:line="220" w:lineRule="auto"/>
        <w:rPr>
          <w:sz w:val="26"/>
          <w:szCs w:val="26"/>
        </w:rPr>
      </w:pPr>
      <w:r>
        <w:rPr>
          <w:b/>
          <w:bCs/>
          <w:spacing w:val="-15"/>
          <w:sz w:val="26"/>
          <w:szCs w:val="26"/>
        </w:rPr>
        <w:t>3.2</w:t>
      </w:r>
      <w:r>
        <w:rPr>
          <w:spacing w:val="-15"/>
          <w:sz w:val="26"/>
          <w:szCs w:val="26"/>
        </w:rPr>
        <w:t xml:space="preserve"> </w:t>
      </w:r>
      <w:r>
        <w:rPr>
          <w:b/>
          <w:bCs/>
          <w:spacing w:val="-15"/>
          <w:sz w:val="26"/>
          <w:szCs w:val="26"/>
        </w:rPr>
        <w:t>项目经理</w:t>
      </w:r>
    </w:p>
    <w:p w14:paraId="445FB2C4">
      <w:pPr>
        <w:pStyle w:val="2"/>
        <w:spacing w:before="131" w:line="220" w:lineRule="auto"/>
        <w:ind w:left="416"/>
        <w:rPr>
          <w:sz w:val="20"/>
          <w:szCs w:val="20"/>
        </w:rPr>
      </w:pPr>
      <w:r>
        <w:rPr>
          <w:spacing w:val="-1"/>
          <w:sz w:val="20"/>
          <w:szCs w:val="20"/>
        </w:rPr>
        <w:t>3.2.1</w:t>
      </w:r>
      <w:r>
        <w:rPr>
          <w:spacing w:val="38"/>
          <w:sz w:val="20"/>
          <w:szCs w:val="20"/>
        </w:rPr>
        <w:t xml:space="preserve"> </w:t>
      </w:r>
      <w:r>
        <w:rPr>
          <w:spacing w:val="-1"/>
          <w:sz w:val="20"/>
          <w:szCs w:val="20"/>
        </w:rPr>
        <w:t>项目经理：</w:t>
      </w:r>
    </w:p>
    <w:p w14:paraId="1792961D">
      <w:pPr>
        <w:pStyle w:val="2"/>
        <w:spacing w:before="171" w:line="219" w:lineRule="auto"/>
        <w:ind w:left="416"/>
        <w:rPr>
          <w:sz w:val="20"/>
          <w:szCs w:val="20"/>
        </w:rPr>
      </w:pPr>
      <w:r>
        <w:rPr>
          <w:spacing w:val="2"/>
          <w:sz w:val="20"/>
          <w:szCs w:val="20"/>
        </w:rPr>
        <w:t>姓</w:t>
      </w:r>
      <w:r>
        <w:rPr>
          <w:spacing w:val="13"/>
          <w:sz w:val="20"/>
          <w:szCs w:val="20"/>
        </w:rPr>
        <w:t xml:space="preserve">    </w:t>
      </w:r>
      <w:r>
        <w:rPr>
          <w:spacing w:val="2"/>
          <w:sz w:val="20"/>
          <w:szCs w:val="20"/>
        </w:rPr>
        <w:t>名：</w:t>
      </w:r>
      <w:r>
        <w:rPr>
          <w:spacing w:val="2"/>
          <w:sz w:val="20"/>
          <w:szCs w:val="20"/>
          <w:u w:val="single" w:color="auto"/>
        </w:rPr>
        <w:t xml:space="preserve">                                      </w:t>
      </w:r>
      <w:r>
        <w:rPr>
          <w:spacing w:val="2"/>
          <w:sz w:val="20"/>
          <w:szCs w:val="20"/>
        </w:rPr>
        <w:t>;</w:t>
      </w:r>
    </w:p>
    <w:p w14:paraId="4447A6B5">
      <w:pPr>
        <w:pStyle w:val="2"/>
        <w:spacing w:before="162" w:line="219" w:lineRule="auto"/>
        <w:ind w:left="416"/>
        <w:rPr>
          <w:sz w:val="20"/>
          <w:szCs w:val="20"/>
        </w:rPr>
      </w:pPr>
      <w:r>
        <w:rPr>
          <w:sz w:val="20"/>
          <w:szCs w:val="20"/>
        </w:rPr>
        <w:t>身份证号：</w:t>
      </w:r>
      <w:r>
        <w:rPr>
          <w:spacing w:val="-41"/>
          <w:sz w:val="20"/>
          <w:szCs w:val="20"/>
        </w:rPr>
        <w:t xml:space="preserve"> </w:t>
      </w:r>
      <w:r>
        <w:rPr>
          <w:spacing w:val="2"/>
          <w:sz w:val="20"/>
          <w:szCs w:val="20"/>
          <w:u w:val="single" w:color="auto"/>
        </w:rPr>
        <w:t xml:space="preserve">                                      </w:t>
      </w:r>
      <w:r>
        <w:rPr>
          <w:sz w:val="20"/>
          <w:szCs w:val="20"/>
        </w:rPr>
        <w:t>;</w:t>
      </w:r>
    </w:p>
    <w:p w14:paraId="0086C2D3">
      <w:pPr>
        <w:pStyle w:val="2"/>
        <w:spacing w:before="152" w:line="219" w:lineRule="auto"/>
        <w:ind w:left="416"/>
        <w:rPr>
          <w:sz w:val="14"/>
          <w:szCs w:val="14"/>
        </w:rPr>
      </w:pPr>
      <w:r>
        <w:rPr>
          <w:spacing w:val="1"/>
          <w:sz w:val="20"/>
          <w:szCs w:val="20"/>
        </w:rPr>
        <w:t xml:space="preserve">建造师执业资格等级： </w:t>
      </w:r>
      <w:r>
        <w:rPr>
          <w:spacing w:val="1"/>
          <w:sz w:val="20"/>
          <w:szCs w:val="20"/>
          <w:u w:val="single" w:color="auto"/>
        </w:rPr>
        <w:t xml:space="preserve">                            </w:t>
      </w:r>
      <w:r>
        <w:rPr>
          <w:spacing w:val="1"/>
          <w:position w:val="-4"/>
          <w:sz w:val="14"/>
          <w:szCs w:val="14"/>
        </w:rPr>
        <w:t>;</w:t>
      </w:r>
    </w:p>
    <w:p w14:paraId="7C5458D3">
      <w:pPr>
        <w:pStyle w:val="2"/>
        <w:spacing w:before="149" w:line="214" w:lineRule="auto"/>
        <w:ind w:left="416"/>
        <w:rPr>
          <w:sz w:val="14"/>
          <w:szCs w:val="14"/>
        </w:rPr>
      </w:pPr>
      <w:r>
        <w:rPr>
          <w:spacing w:val="-2"/>
          <w:sz w:val="20"/>
          <w:szCs w:val="20"/>
        </w:rPr>
        <w:t>建造师注册证书号：</w:t>
      </w:r>
      <w:r>
        <w:rPr>
          <w:spacing w:val="-16"/>
          <w:sz w:val="20"/>
          <w:szCs w:val="20"/>
        </w:rPr>
        <w:t xml:space="preserve"> </w:t>
      </w:r>
      <w:r>
        <w:rPr>
          <w:spacing w:val="2"/>
          <w:sz w:val="20"/>
          <w:szCs w:val="20"/>
          <w:u w:val="single" w:color="auto"/>
        </w:rPr>
        <w:t xml:space="preserve">                   </w:t>
      </w:r>
      <w:r>
        <w:rPr>
          <w:spacing w:val="1"/>
          <w:sz w:val="20"/>
          <w:szCs w:val="20"/>
          <w:u w:val="single" w:color="auto"/>
        </w:rPr>
        <w:t xml:space="preserve">           </w:t>
      </w:r>
      <w:r>
        <w:rPr>
          <w:spacing w:val="-89"/>
          <w:sz w:val="20"/>
          <w:szCs w:val="20"/>
        </w:rPr>
        <w:t xml:space="preserve"> </w:t>
      </w:r>
      <w:r>
        <w:rPr>
          <w:spacing w:val="-2"/>
          <w:position w:val="-4"/>
          <w:sz w:val="14"/>
          <w:szCs w:val="14"/>
        </w:rPr>
        <w:t>_;</w:t>
      </w:r>
    </w:p>
    <w:p w14:paraId="15B27F49">
      <w:pPr>
        <w:pStyle w:val="2"/>
        <w:spacing w:before="156" w:line="214" w:lineRule="auto"/>
        <w:ind w:left="416"/>
        <w:rPr>
          <w:sz w:val="14"/>
          <w:szCs w:val="14"/>
        </w:rPr>
      </w:pPr>
      <w:r>
        <w:rPr>
          <w:spacing w:val="-2"/>
          <w:sz w:val="20"/>
          <w:szCs w:val="20"/>
        </w:rPr>
        <w:t>建造师执业印章号：</w:t>
      </w:r>
      <w:r>
        <w:rPr>
          <w:spacing w:val="-46"/>
          <w:sz w:val="20"/>
          <w:szCs w:val="20"/>
        </w:rPr>
        <w:t xml:space="preserve"> </w:t>
      </w:r>
      <w:r>
        <w:rPr>
          <w:spacing w:val="2"/>
          <w:sz w:val="20"/>
          <w:szCs w:val="20"/>
          <w:u w:val="single" w:color="auto"/>
        </w:rPr>
        <w:t xml:space="preserve">                   </w:t>
      </w:r>
      <w:r>
        <w:rPr>
          <w:spacing w:val="1"/>
          <w:sz w:val="20"/>
          <w:szCs w:val="20"/>
          <w:u w:val="single" w:color="auto"/>
        </w:rPr>
        <w:t xml:space="preserve">           </w:t>
      </w:r>
      <w:r>
        <w:rPr>
          <w:spacing w:val="-59"/>
          <w:sz w:val="20"/>
          <w:szCs w:val="20"/>
        </w:rPr>
        <w:t xml:space="preserve"> </w:t>
      </w:r>
      <w:r>
        <w:rPr>
          <w:spacing w:val="-2"/>
          <w:position w:val="-3"/>
          <w:sz w:val="14"/>
          <w:szCs w:val="14"/>
        </w:rPr>
        <w:t>_;</w:t>
      </w:r>
    </w:p>
    <w:p w14:paraId="5A725076">
      <w:pPr>
        <w:pStyle w:val="2"/>
        <w:spacing w:before="155" w:line="219" w:lineRule="auto"/>
        <w:ind w:left="416"/>
        <w:rPr>
          <w:sz w:val="20"/>
          <w:szCs w:val="20"/>
        </w:rPr>
      </w:pPr>
      <w:r>
        <w:rPr>
          <w:spacing w:val="1"/>
          <w:sz w:val="20"/>
          <w:szCs w:val="20"/>
        </w:rPr>
        <w:t xml:space="preserve">安全生产考核合格证书号： </w:t>
      </w:r>
      <w:r>
        <w:rPr>
          <w:spacing w:val="1"/>
          <w:sz w:val="20"/>
          <w:szCs w:val="20"/>
          <w:u w:val="single" w:color="auto"/>
        </w:rPr>
        <w:t xml:space="preserve">                </w:t>
      </w:r>
      <w:r>
        <w:rPr>
          <w:sz w:val="20"/>
          <w:szCs w:val="20"/>
          <w:u w:val="single" w:color="auto"/>
        </w:rPr>
        <w:t xml:space="preserve">        </w:t>
      </w:r>
      <w:r>
        <w:rPr>
          <w:spacing w:val="-90"/>
          <w:sz w:val="20"/>
          <w:szCs w:val="20"/>
        </w:rPr>
        <w:t xml:space="preserve"> </w:t>
      </w:r>
      <w:r>
        <w:rPr>
          <w:sz w:val="20"/>
          <w:szCs w:val="20"/>
        </w:rPr>
        <w:t>;</w:t>
      </w:r>
    </w:p>
    <w:p w14:paraId="3A31035A">
      <w:pPr>
        <w:pStyle w:val="2"/>
        <w:spacing w:before="157" w:line="221" w:lineRule="auto"/>
        <w:ind w:left="416"/>
        <w:rPr>
          <w:sz w:val="20"/>
          <w:szCs w:val="20"/>
        </w:rPr>
      </w:pPr>
      <w:r>
        <w:rPr>
          <w:sz w:val="20"/>
          <w:szCs w:val="20"/>
        </w:rPr>
        <w:t>联系电话：</w:t>
      </w:r>
      <w:r>
        <w:rPr>
          <w:spacing w:val="-51"/>
          <w:sz w:val="20"/>
          <w:szCs w:val="20"/>
        </w:rPr>
        <w:t xml:space="preserve"> </w:t>
      </w:r>
      <w:r>
        <w:rPr>
          <w:spacing w:val="2"/>
          <w:sz w:val="20"/>
          <w:szCs w:val="20"/>
          <w:u w:val="single" w:color="auto"/>
        </w:rPr>
        <w:t xml:space="preserve">                                      </w:t>
      </w:r>
      <w:r>
        <w:rPr>
          <w:sz w:val="20"/>
          <w:szCs w:val="20"/>
        </w:rPr>
        <w:t>;</w:t>
      </w:r>
    </w:p>
    <w:p w14:paraId="0E2D0D7D">
      <w:pPr>
        <w:pStyle w:val="2"/>
        <w:spacing w:before="188" w:line="219" w:lineRule="auto"/>
        <w:ind w:left="416"/>
        <w:rPr>
          <w:sz w:val="20"/>
          <w:szCs w:val="20"/>
        </w:rPr>
      </w:pPr>
      <w:r>
        <w:rPr>
          <w:spacing w:val="1"/>
          <w:sz w:val="20"/>
          <w:szCs w:val="20"/>
        </w:rPr>
        <w:t>电子信箱：</w:t>
      </w:r>
      <w:r>
        <w:rPr>
          <w:spacing w:val="1"/>
          <w:sz w:val="20"/>
          <w:szCs w:val="20"/>
          <w:u w:val="single" w:color="auto"/>
        </w:rPr>
        <w:t xml:space="preserve">                                  </w:t>
      </w:r>
      <w:r>
        <w:rPr>
          <w:sz w:val="20"/>
          <w:szCs w:val="20"/>
          <w:u w:val="single" w:color="auto"/>
        </w:rPr>
        <w:t xml:space="preserve">     </w:t>
      </w:r>
      <w:r>
        <w:rPr>
          <w:sz w:val="20"/>
          <w:szCs w:val="20"/>
        </w:rPr>
        <w:t>;</w:t>
      </w:r>
    </w:p>
    <w:p w14:paraId="6F1E94DE">
      <w:pPr>
        <w:pStyle w:val="2"/>
        <w:spacing w:before="153" w:line="219" w:lineRule="auto"/>
        <w:ind w:left="416"/>
        <w:rPr>
          <w:sz w:val="20"/>
          <w:szCs w:val="20"/>
        </w:rPr>
      </w:pPr>
      <w:r>
        <w:rPr>
          <w:spacing w:val="-3"/>
          <w:sz w:val="20"/>
          <w:szCs w:val="20"/>
        </w:rPr>
        <w:t>通信地址：</w:t>
      </w:r>
      <w:r>
        <w:rPr>
          <w:spacing w:val="-3"/>
          <w:sz w:val="20"/>
          <w:szCs w:val="20"/>
          <w:u w:val="single" w:color="auto"/>
        </w:rPr>
        <w:t xml:space="preserve">                      </w:t>
      </w:r>
      <w:r>
        <w:rPr>
          <w:spacing w:val="-4"/>
          <w:sz w:val="20"/>
          <w:szCs w:val="20"/>
          <w:u w:val="single" w:color="auto"/>
        </w:rPr>
        <w:t xml:space="preserve">                   </w:t>
      </w:r>
      <w:r>
        <w:rPr>
          <w:spacing w:val="-4"/>
          <w:sz w:val="20"/>
          <w:szCs w:val="20"/>
        </w:rPr>
        <w:t>;</w:t>
      </w:r>
    </w:p>
    <w:p w14:paraId="49A41D31">
      <w:pPr>
        <w:pStyle w:val="2"/>
        <w:spacing w:before="153" w:line="219" w:lineRule="auto"/>
        <w:ind w:left="416"/>
        <w:rPr>
          <w:sz w:val="20"/>
          <w:szCs w:val="20"/>
        </w:rPr>
      </w:pPr>
      <w:r>
        <w:rPr>
          <w:spacing w:val="6"/>
          <w:sz w:val="20"/>
          <w:szCs w:val="20"/>
        </w:rPr>
        <w:t>承包人对项目经理的授权范围如下：</w:t>
      </w:r>
    </w:p>
    <w:p w14:paraId="2CF92110">
      <w:pPr>
        <w:spacing w:line="319" w:lineRule="auto"/>
        <w:rPr>
          <w:rFonts w:ascii="Arial"/>
          <w:sz w:val="21"/>
        </w:rPr>
      </w:pPr>
    </w:p>
    <w:p w14:paraId="5D67D303">
      <w:pPr>
        <w:spacing w:line="319" w:lineRule="auto"/>
        <w:rPr>
          <w:rFonts w:ascii="Arial"/>
          <w:sz w:val="21"/>
        </w:rPr>
      </w:pPr>
      <w:r>
        <w:drawing>
          <wp:anchor distT="0" distB="0" distL="0" distR="0" simplePos="0" relativeHeight="251702272" behindDoc="0" locked="0" layoutInCell="1" allowOverlap="1">
            <wp:simplePos x="0" y="0"/>
            <wp:positionH relativeFrom="column">
              <wp:posOffset>245110</wp:posOffset>
            </wp:positionH>
            <wp:positionV relativeFrom="paragraph">
              <wp:posOffset>27305</wp:posOffset>
            </wp:positionV>
            <wp:extent cx="5238750" cy="6350"/>
            <wp:effectExtent l="0" t="0" r="0" b="0"/>
            <wp:wrapNone/>
            <wp:docPr id="96" name="IM 96"/>
            <wp:cNvGraphicFramePr/>
            <a:graphic xmlns:a="http://schemas.openxmlformats.org/drawingml/2006/main">
              <a:graphicData uri="http://schemas.openxmlformats.org/drawingml/2006/picture">
                <pic:pic xmlns:pic="http://schemas.openxmlformats.org/drawingml/2006/picture">
                  <pic:nvPicPr>
                    <pic:cNvPr id="96" name="IM 96"/>
                    <pic:cNvPicPr/>
                  </pic:nvPicPr>
                  <pic:blipFill>
                    <a:blip r:embed="rId450"/>
                    <a:stretch>
                      <a:fillRect/>
                    </a:stretch>
                  </pic:blipFill>
                  <pic:spPr>
                    <a:xfrm>
                      <a:off x="0" y="0"/>
                      <a:ext cx="5238785" cy="6415"/>
                    </a:xfrm>
                    <a:prstGeom prst="rect">
                      <a:avLst/>
                    </a:prstGeom>
                  </pic:spPr>
                </pic:pic>
              </a:graphicData>
            </a:graphic>
          </wp:anchor>
        </w:drawing>
      </w:r>
    </w:p>
    <w:p w14:paraId="13ED8E95">
      <w:pPr>
        <w:tabs>
          <w:tab w:val="left" w:pos="8515"/>
        </w:tabs>
        <w:spacing w:before="23" w:line="156" w:lineRule="auto"/>
        <w:ind w:left="416"/>
        <w:rPr>
          <w:rFonts w:ascii="Arial" w:hAnsi="Arial" w:eastAsia="Arial" w:cs="Arial"/>
          <w:sz w:val="8"/>
          <w:szCs w:val="8"/>
        </w:rPr>
      </w:pPr>
      <w:r>
        <w:rPr>
          <w:rFonts w:ascii="Arial" w:hAnsi="Arial" w:eastAsia="Arial" w:cs="Arial"/>
          <w:sz w:val="8"/>
          <w:szCs w:val="8"/>
          <w:u w:val="single" w:color="auto"/>
        </w:rPr>
        <w:tab/>
      </w:r>
      <w:r>
        <w:rPr>
          <w:rFonts w:ascii="Arial" w:hAnsi="Arial" w:eastAsia="Arial" w:cs="Arial"/>
          <w:w w:val="86"/>
          <w:sz w:val="8"/>
          <w:szCs w:val="8"/>
        </w:rPr>
        <w:t>_o</w:t>
      </w:r>
    </w:p>
    <w:p w14:paraId="63805ED2">
      <w:pPr>
        <w:pStyle w:val="2"/>
        <w:spacing w:before="228" w:line="219" w:lineRule="auto"/>
        <w:ind w:left="416"/>
        <w:rPr>
          <w:sz w:val="20"/>
          <w:szCs w:val="20"/>
        </w:rPr>
      </w:pPr>
      <w:r>
        <w:rPr>
          <w:spacing w:val="7"/>
          <w:sz w:val="20"/>
          <w:szCs w:val="20"/>
        </w:rPr>
        <w:t>关于项目经理每月在施工现场的时间要求：</w:t>
      </w:r>
    </w:p>
    <w:p w14:paraId="0CBB8021">
      <w:pPr>
        <w:spacing w:line="326" w:lineRule="auto"/>
        <w:rPr>
          <w:rFonts w:ascii="Arial"/>
          <w:sz w:val="21"/>
        </w:rPr>
      </w:pPr>
    </w:p>
    <w:p w14:paraId="187EDA1D">
      <w:pPr>
        <w:spacing w:line="327" w:lineRule="auto"/>
        <w:rPr>
          <w:rFonts w:ascii="Arial"/>
          <w:sz w:val="21"/>
        </w:rPr>
      </w:pPr>
      <w:r>
        <w:drawing>
          <wp:anchor distT="0" distB="0" distL="0" distR="0" simplePos="0" relativeHeight="251701248" behindDoc="0" locked="0" layoutInCell="1" allowOverlap="1">
            <wp:simplePos x="0" y="0"/>
            <wp:positionH relativeFrom="column">
              <wp:posOffset>245110</wp:posOffset>
            </wp:positionH>
            <wp:positionV relativeFrom="paragraph">
              <wp:posOffset>29210</wp:posOffset>
            </wp:positionV>
            <wp:extent cx="5238750" cy="6350"/>
            <wp:effectExtent l="0" t="0" r="0" b="0"/>
            <wp:wrapNone/>
            <wp:docPr id="98" name="IM 98"/>
            <wp:cNvGraphicFramePr/>
            <a:graphic xmlns:a="http://schemas.openxmlformats.org/drawingml/2006/main">
              <a:graphicData uri="http://schemas.openxmlformats.org/drawingml/2006/picture">
                <pic:pic xmlns:pic="http://schemas.openxmlformats.org/drawingml/2006/picture">
                  <pic:nvPicPr>
                    <pic:cNvPr id="98" name="IM 98"/>
                    <pic:cNvPicPr/>
                  </pic:nvPicPr>
                  <pic:blipFill>
                    <a:blip r:embed="rId451"/>
                    <a:stretch>
                      <a:fillRect/>
                    </a:stretch>
                  </pic:blipFill>
                  <pic:spPr>
                    <a:xfrm>
                      <a:off x="0" y="0"/>
                      <a:ext cx="5238785" cy="6415"/>
                    </a:xfrm>
                    <a:prstGeom prst="rect">
                      <a:avLst/>
                    </a:prstGeom>
                  </pic:spPr>
                </pic:pic>
              </a:graphicData>
            </a:graphic>
          </wp:anchor>
        </w:drawing>
      </w:r>
    </w:p>
    <w:p w14:paraId="6EE2289E">
      <w:pPr>
        <w:tabs>
          <w:tab w:val="left" w:pos="8515"/>
        </w:tabs>
        <w:spacing w:before="23" w:line="142" w:lineRule="auto"/>
        <w:ind w:left="416"/>
        <w:rPr>
          <w:rFonts w:ascii="Times New Roman" w:hAnsi="Times New Roman" w:eastAsia="Times New Roman" w:cs="Times New Roman"/>
          <w:sz w:val="8"/>
          <w:szCs w:val="8"/>
        </w:rPr>
      </w:pPr>
      <w:r>
        <w:rPr>
          <w:rFonts w:ascii="Times New Roman" w:hAnsi="Times New Roman" w:eastAsia="Times New Roman" w:cs="Times New Roman"/>
          <w:sz w:val="8"/>
          <w:szCs w:val="8"/>
          <w:u w:val="single" w:color="auto"/>
        </w:rPr>
        <w:tab/>
      </w:r>
      <w:r>
        <w:rPr>
          <w:rFonts w:ascii="Times New Roman" w:hAnsi="Times New Roman" w:eastAsia="Times New Roman" w:cs="Times New Roman"/>
          <w:spacing w:val="-20"/>
          <w:sz w:val="8"/>
          <w:szCs w:val="8"/>
        </w:rPr>
        <w:t xml:space="preserve"> </w:t>
      </w:r>
      <w:r>
        <w:rPr>
          <w:rFonts w:ascii="Times New Roman" w:hAnsi="Times New Roman" w:eastAsia="Times New Roman" w:cs="Times New Roman"/>
          <w:sz w:val="8"/>
          <w:szCs w:val="8"/>
          <w:u w:val="dotted" w:color="auto"/>
        </w:rPr>
        <w:t xml:space="preserve">  </w:t>
      </w:r>
      <w:r>
        <w:rPr>
          <w:rFonts w:ascii="Times New Roman" w:hAnsi="Times New Roman" w:eastAsia="Times New Roman" w:cs="Times New Roman"/>
          <w:spacing w:val="-17"/>
          <w:sz w:val="8"/>
          <w:szCs w:val="8"/>
        </w:rPr>
        <w:t xml:space="preserve"> </w:t>
      </w:r>
      <w:r>
        <w:rPr>
          <w:rFonts w:ascii="Times New Roman" w:hAnsi="Times New Roman" w:eastAsia="Times New Roman" w:cs="Times New Roman"/>
          <w:sz w:val="8"/>
          <w:szCs w:val="8"/>
        </w:rPr>
        <w:t>o</w:t>
      </w:r>
    </w:p>
    <w:p w14:paraId="1F3DE903">
      <w:pPr>
        <w:pStyle w:val="2"/>
        <w:spacing w:before="227" w:line="219" w:lineRule="auto"/>
        <w:ind w:left="416"/>
        <w:rPr>
          <w:sz w:val="20"/>
          <w:szCs w:val="20"/>
        </w:rPr>
      </w:pPr>
      <w:r>
        <w:rPr>
          <w:spacing w:val="9"/>
          <w:sz w:val="20"/>
          <w:szCs w:val="20"/>
        </w:rPr>
        <w:t>承包人未提交劳动合同，以及没有为项目经理缴纳社会保险证明的违约责任：</w:t>
      </w:r>
    </w:p>
    <w:p w14:paraId="7A9EC3EE">
      <w:pPr>
        <w:spacing w:line="325" w:lineRule="auto"/>
        <w:rPr>
          <w:rFonts w:ascii="Arial"/>
          <w:sz w:val="21"/>
        </w:rPr>
      </w:pPr>
    </w:p>
    <w:p w14:paraId="3F440F47">
      <w:pPr>
        <w:spacing w:line="325" w:lineRule="auto"/>
        <w:rPr>
          <w:rFonts w:ascii="Arial"/>
          <w:sz w:val="21"/>
        </w:rPr>
      </w:pPr>
      <w:r>
        <w:drawing>
          <wp:anchor distT="0" distB="0" distL="0" distR="0" simplePos="0" relativeHeight="251698176" behindDoc="0" locked="0" layoutInCell="1" allowOverlap="1">
            <wp:simplePos x="0" y="0"/>
            <wp:positionH relativeFrom="column">
              <wp:posOffset>251460</wp:posOffset>
            </wp:positionH>
            <wp:positionV relativeFrom="paragraph">
              <wp:posOffset>30480</wp:posOffset>
            </wp:positionV>
            <wp:extent cx="5232400" cy="12700"/>
            <wp:effectExtent l="0" t="0" r="0" b="0"/>
            <wp:wrapNone/>
            <wp:docPr id="100" name="IM 100"/>
            <wp:cNvGraphicFramePr/>
            <a:graphic xmlns:a="http://schemas.openxmlformats.org/drawingml/2006/main">
              <a:graphicData uri="http://schemas.openxmlformats.org/drawingml/2006/picture">
                <pic:pic xmlns:pic="http://schemas.openxmlformats.org/drawingml/2006/picture">
                  <pic:nvPicPr>
                    <pic:cNvPr id="100" name="IM 100"/>
                    <pic:cNvPicPr/>
                  </pic:nvPicPr>
                  <pic:blipFill>
                    <a:blip r:embed="rId452"/>
                    <a:stretch>
                      <a:fillRect/>
                    </a:stretch>
                  </pic:blipFill>
                  <pic:spPr>
                    <a:xfrm>
                      <a:off x="0" y="0"/>
                      <a:ext cx="5232433" cy="12725"/>
                    </a:xfrm>
                    <a:prstGeom prst="rect">
                      <a:avLst/>
                    </a:prstGeom>
                  </pic:spPr>
                </pic:pic>
              </a:graphicData>
            </a:graphic>
          </wp:anchor>
        </w:drawing>
      </w:r>
    </w:p>
    <w:p w14:paraId="70D476C0">
      <w:pPr>
        <w:tabs>
          <w:tab w:val="left" w:pos="8515"/>
        </w:tabs>
        <w:spacing w:before="23" w:line="156" w:lineRule="auto"/>
        <w:ind w:left="416"/>
        <w:rPr>
          <w:rFonts w:ascii="Arial" w:hAnsi="Arial" w:eastAsia="Arial" w:cs="Arial"/>
          <w:sz w:val="8"/>
          <w:szCs w:val="8"/>
        </w:rPr>
      </w:pPr>
      <w:r>
        <w:rPr>
          <w:rFonts w:ascii="Arial" w:hAnsi="Arial" w:eastAsia="Arial" w:cs="Arial"/>
          <w:sz w:val="8"/>
          <w:szCs w:val="8"/>
          <w:u w:val="single" w:color="auto"/>
        </w:rPr>
        <w:tab/>
      </w:r>
      <w:r>
        <w:rPr>
          <w:rFonts w:ascii="Arial" w:hAnsi="Arial" w:eastAsia="Arial" w:cs="Arial"/>
          <w:w w:val="86"/>
          <w:sz w:val="8"/>
          <w:szCs w:val="8"/>
        </w:rPr>
        <w:t>_o</w:t>
      </w:r>
    </w:p>
    <w:p w14:paraId="3626828B">
      <w:pPr>
        <w:pStyle w:val="2"/>
        <w:spacing w:before="227" w:line="219" w:lineRule="auto"/>
        <w:ind w:left="416"/>
        <w:rPr>
          <w:sz w:val="20"/>
          <w:szCs w:val="20"/>
        </w:rPr>
      </w:pPr>
      <w:r>
        <w:rPr>
          <w:spacing w:val="8"/>
          <w:sz w:val="20"/>
          <w:szCs w:val="20"/>
        </w:rPr>
        <w:t>项目经理未经批准，擅自离开施工现场的违约责任：</w:t>
      </w:r>
    </w:p>
    <w:p w14:paraId="15A35FC0">
      <w:pPr>
        <w:spacing w:line="325" w:lineRule="auto"/>
        <w:rPr>
          <w:rFonts w:ascii="Arial"/>
          <w:sz w:val="21"/>
        </w:rPr>
      </w:pPr>
    </w:p>
    <w:p w14:paraId="235B092F">
      <w:pPr>
        <w:spacing w:line="326" w:lineRule="auto"/>
        <w:rPr>
          <w:rFonts w:ascii="Arial"/>
          <w:sz w:val="21"/>
        </w:rPr>
      </w:pPr>
      <w:r>
        <w:drawing>
          <wp:anchor distT="0" distB="0" distL="0" distR="0" simplePos="0" relativeHeight="251703296" behindDoc="0" locked="0" layoutInCell="1" allowOverlap="1">
            <wp:simplePos x="0" y="0"/>
            <wp:positionH relativeFrom="column">
              <wp:posOffset>245110</wp:posOffset>
            </wp:positionH>
            <wp:positionV relativeFrom="paragraph">
              <wp:posOffset>29845</wp:posOffset>
            </wp:positionV>
            <wp:extent cx="5238750" cy="6350"/>
            <wp:effectExtent l="0" t="0" r="0" b="0"/>
            <wp:wrapNone/>
            <wp:docPr id="102" name="IM 102"/>
            <wp:cNvGraphicFramePr/>
            <a:graphic xmlns:a="http://schemas.openxmlformats.org/drawingml/2006/main">
              <a:graphicData uri="http://schemas.openxmlformats.org/drawingml/2006/picture">
                <pic:pic xmlns:pic="http://schemas.openxmlformats.org/drawingml/2006/picture">
                  <pic:nvPicPr>
                    <pic:cNvPr id="102" name="IM 102"/>
                    <pic:cNvPicPr/>
                  </pic:nvPicPr>
                  <pic:blipFill>
                    <a:blip r:embed="rId453"/>
                    <a:stretch>
                      <a:fillRect/>
                    </a:stretch>
                  </pic:blipFill>
                  <pic:spPr>
                    <a:xfrm>
                      <a:off x="0" y="0"/>
                      <a:ext cx="5238785" cy="6350"/>
                    </a:xfrm>
                    <a:prstGeom prst="rect">
                      <a:avLst/>
                    </a:prstGeom>
                  </pic:spPr>
                </pic:pic>
              </a:graphicData>
            </a:graphic>
          </wp:anchor>
        </w:drawing>
      </w:r>
    </w:p>
    <w:p w14:paraId="3AA51E6C">
      <w:pPr>
        <w:tabs>
          <w:tab w:val="left" w:pos="8515"/>
        </w:tabs>
        <w:spacing w:before="24" w:line="188" w:lineRule="auto"/>
        <w:ind w:left="416"/>
        <w:rPr>
          <w:rFonts w:ascii="Times New Roman" w:hAnsi="Times New Roman" w:eastAsia="Times New Roman" w:cs="Times New Roman"/>
          <w:sz w:val="8"/>
          <w:szCs w:val="8"/>
        </w:rPr>
      </w:pPr>
      <w:r>
        <w:rPr>
          <w:rFonts w:ascii="Times New Roman" w:hAnsi="Times New Roman" w:eastAsia="Times New Roman" w:cs="Times New Roman"/>
          <w:sz w:val="8"/>
          <w:szCs w:val="8"/>
          <w:u w:val="single" w:color="auto"/>
        </w:rPr>
        <w:tab/>
      </w:r>
      <w:r>
        <w:rPr>
          <w:rFonts w:ascii="Times New Roman" w:hAnsi="Times New Roman" w:eastAsia="Times New Roman" w:cs="Times New Roman"/>
          <w:sz w:val="8"/>
          <w:szCs w:val="8"/>
        </w:rPr>
        <w:t>0</w:t>
      </w:r>
    </w:p>
    <w:p w14:paraId="44CB16E5">
      <w:pPr>
        <w:pStyle w:val="2"/>
        <w:spacing w:before="212" w:line="219" w:lineRule="auto"/>
        <w:ind w:left="416"/>
        <w:rPr>
          <w:sz w:val="20"/>
          <w:szCs w:val="20"/>
        </w:rPr>
      </w:pPr>
      <w:r>
        <w:drawing>
          <wp:anchor distT="0" distB="0" distL="0" distR="0" simplePos="0" relativeHeight="251700224" behindDoc="0" locked="0" layoutInCell="1" allowOverlap="1">
            <wp:simplePos x="0" y="0"/>
            <wp:positionH relativeFrom="column">
              <wp:posOffset>251460</wp:posOffset>
            </wp:positionH>
            <wp:positionV relativeFrom="paragraph">
              <wp:posOffset>528955</wp:posOffset>
            </wp:positionV>
            <wp:extent cx="5226050" cy="12700"/>
            <wp:effectExtent l="0" t="0" r="0" b="0"/>
            <wp:wrapNone/>
            <wp:docPr id="104" name="IM 104"/>
            <wp:cNvGraphicFramePr/>
            <a:graphic xmlns:a="http://schemas.openxmlformats.org/drawingml/2006/main">
              <a:graphicData uri="http://schemas.openxmlformats.org/drawingml/2006/picture">
                <pic:pic xmlns:pic="http://schemas.openxmlformats.org/drawingml/2006/picture">
                  <pic:nvPicPr>
                    <pic:cNvPr id="104" name="IM 104"/>
                    <pic:cNvPicPr/>
                  </pic:nvPicPr>
                  <pic:blipFill>
                    <a:blip r:embed="rId429"/>
                    <a:stretch>
                      <a:fillRect/>
                    </a:stretch>
                  </pic:blipFill>
                  <pic:spPr>
                    <a:xfrm>
                      <a:off x="0" y="0"/>
                      <a:ext cx="5226080" cy="12725"/>
                    </a:xfrm>
                    <a:prstGeom prst="rect">
                      <a:avLst/>
                    </a:prstGeom>
                  </pic:spPr>
                </pic:pic>
              </a:graphicData>
            </a:graphic>
          </wp:anchor>
        </w:drawing>
      </w:r>
      <w:r>
        <w:rPr>
          <w:spacing w:val="12"/>
          <w:sz w:val="20"/>
          <w:szCs w:val="20"/>
        </w:rPr>
        <w:t>3.2.3承包人擅自更换项目经理的违约责任：</w:t>
      </w:r>
    </w:p>
    <w:p w14:paraId="63F40DEB">
      <w:pPr>
        <w:spacing w:line="219" w:lineRule="auto"/>
        <w:rPr>
          <w:sz w:val="20"/>
          <w:szCs w:val="20"/>
        </w:rPr>
        <w:sectPr>
          <w:headerReference r:id="rId247" w:type="default"/>
          <w:footerReference r:id="rId248" w:type="default"/>
          <w:pgSz w:w="11910" w:h="16840"/>
          <w:pgMar w:top="2070" w:right="1786" w:bottom="1017" w:left="1463" w:header="1929" w:footer="891" w:gutter="0"/>
          <w:cols w:space="720" w:num="1"/>
        </w:sectPr>
      </w:pPr>
    </w:p>
    <w:p w14:paraId="7C9DEDE5">
      <w:pPr>
        <w:pStyle w:val="2"/>
        <w:spacing w:before="166" w:line="219" w:lineRule="auto"/>
        <w:ind w:left="416"/>
        <w:rPr>
          <w:sz w:val="20"/>
          <w:szCs w:val="20"/>
        </w:rPr>
      </w:pPr>
      <w:r>
        <w:rPr>
          <w:spacing w:val="11"/>
          <w:sz w:val="20"/>
          <w:szCs w:val="20"/>
        </w:rPr>
        <w:t>3.2.4承包人无正当理由拒绝更换项目经理的违约责任：</w:t>
      </w:r>
    </w:p>
    <w:p w14:paraId="3FAC01D7">
      <w:pPr>
        <w:spacing w:before="132"/>
      </w:pPr>
    </w:p>
    <w:tbl>
      <w:tblPr>
        <w:tblStyle w:val="5"/>
        <w:tblW w:w="8646" w:type="dxa"/>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8646"/>
      </w:tblGrid>
      <w:tr w14:paraId="6FF9831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7185" w:hRule="atLeast"/>
        </w:trPr>
        <w:tc>
          <w:tcPr>
            <w:tcW w:w="8646" w:type="dxa"/>
            <w:tcBorders>
              <w:top w:val="single" w:color="000000" w:sz="2" w:space="0"/>
              <w:bottom w:val="single" w:color="000000" w:sz="4" w:space="0"/>
            </w:tcBorders>
            <w:vAlign w:val="top"/>
          </w:tcPr>
          <w:p w14:paraId="589C493A">
            <w:pPr>
              <w:spacing w:line="284" w:lineRule="auto"/>
              <w:rPr>
                <w:rFonts w:ascii="Arial"/>
                <w:sz w:val="21"/>
              </w:rPr>
            </w:pPr>
          </w:p>
          <w:p w14:paraId="0CDF8C7E">
            <w:pPr>
              <w:tabs>
                <w:tab w:val="left" w:pos="8505"/>
              </w:tabs>
              <w:spacing w:before="20" w:line="188" w:lineRule="auto"/>
              <w:ind w:left="416"/>
              <w:rPr>
                <w:rFonts w:ascii="Times New Roman" w:hAnsi="Times New Roman" w:eastAsia="Times New Roman" w:cs="Times New Roman"/>
                <w:sz w:val="7"/>
                <w:szCs w:val="7"/>
              </w:rPr>
            </w:pPr>
            <w:r>
              <w:rPr>
                <w:rFonts w:ascii="Times New Roman" w:hAnsi="Times New Roman" w:eastAsia="Times New Roman" w:cs="Times New Roman"/>
                <w:sz w:val="7"/>
                <w:szCs w:val="7"/>
                <w:u w:val="single" w:color="auto"/>
              </w:rPr>
              <w:tab/>
            </w:r>
            <w:r>
              <w:rPr>
                <w:rFonts w:ascii="Times New Roman" w:hAnsi="Times New Roman" w:eastAsia="Times New Roman" w:cs="Times New Roman"/>
                <w:spacing w:val="3"/>
                <w:sz w:val="7"/>
                <w:szCs w:val="7"/>
              </w:rPr>
              <w:t xml:space="preserve"> </w:t>
            </w:r>
            <w:r>
              <w:rPr>
                <w:rFonts w:ascii="Times New Roman" w:hAnsi="Times New Roman" w:eastAsia="Times New Roman" w:cs="Times New Roman"/>
                <w:sz w:val="7"/>
                <w:szCs w:val="7"/>
              </w:rPr>
              <w:t>0</w:t>
            </w:r>
          </w:p>
          <w:p w14:paraId="6D0D3724">
            <w:pPr>
              <w:pStyle w:val="6"/>
              <w:spacing w:before="172" w:line="219" w:lineRule="auto"/>
              <w:rPr>
                <w:sz w:val="25"/>
                <w:szCs w:val="25"/>
              </w:rPr>
            </w:pPr>
            <w:r>
              <w:rPr>
                <w:b/>
                <w:bCs/>
                <w:spacing w:val="-6"/>
                <w:sz w:val="25"/>
                <w:szCs w:val="25"/>
              </w:rPr>
              <w:t>3.3</w:t>
            </w:r>
            <w:r>
              <w:rPr>
                <w:spacing w:val="-6"/>
                <w:sz w:val="25"/>
                <w:szCs w:val="25"/>
              </w:rPr>
              <w:t xml:space="preserve"> </w:t>
            </w:r>
            <w:r>
              <w:rPr>
                <w:b/>
                <w:bCs/>
                <w:spacing w:val="-6"/>
                <w:sz w:val="25"/>
                <w:szCs w:val="25"/>
              </w:rPr>
              <w:t>承包人人员</w:t>
            </w:r>
          </w:p>
          <w:p w14:paraId="12EE59B6">
            <w:pPr>
              <w:pStyle w:val="6"/>
              <w:spacing w:before="143" w:line="218" w:lineRule="auto"/>
              <w:ind w:left="416"/>
              <w:rPr>
                <w:sz w:val="20"/>
                <w:szCs w:val="20"/>
              </w:rPr>
            </w:pPr>
            <w:r>
              <w:rPr>
                <w:spacing w:val="7"/>
                <w:sz w:val="20"/>
                <w:szCs w:val="20"/>
              </w:rPr>
              <w:t>3.3.1</w:t>
            </w:r>
            <w:r>
              <w:rPr>
                <w:spacing w:val="57"/>
                <w:sz w:val="20"/>
                <w:szCs w:val="20"/>
              </w:rPr>
              <w:t xml:space="preserve"> </w:t>
            </w:r>
            <w:r>
              <w:rPr>
                <w:spacing w:val="7"/>
                <w:sz w:val="20"/>
                <w:szCs w:val="20"/>
              </w:rPr>
              <w:t>承包人提交项目管理机构及施工现场管理人员安排报告的期限：</w:t>
            </w:r>
          </w:p>
          <w:p w14:paraId="4185D8D7">
            <w:pPr>
              <w:spacing w:line="266" w:lineRule="auto"/>
              <w:rPr>
                <w:rFonts w:ascii="Arial"/>
                <w:sz w:val="21"/>
              </w:rPr>
            </w:pPr>
          </w:p>
          <w:p w14:paraId="63D41C52">
            <w:pPr>
              <w:tabs>
                <w:tab w:val="left" w:pos="8505"/>
              </w:tabs>
              <w:spacing w:before="21" w:line="188" w:lineRule="auto"/>
              <w:ind w:left="416"/>
              <w:rPr>
                <w:rFonts w:ascii="Times New Roman" w:hAnsi="Times New Roman" w:eastAsia="Times New Roman" w:cs="Times New Roman"/>
                <w:sz w:val="7"/>
                <w:szCs w:val="7"/>
              </w:rPr>
            </w:pPr>
            <w:r>
              <w:rPr>
                <w:rFonts w:ascii="Times New Roman" w:hAnsi="Times New Roman" w:eastAsia="Times New Roman" w:cs="Times New Roman"/>
                <w:sz w:val="7"/>
                <w:szCs w:val="7"/>
                <w:u w:val="single" w:color="auto"/>
              </w:rPr>
              <w:tab/>
            </w:r>
            <w:r>
              <w:rPr>
                <w:rFonts w:ascii="Times New Roman" w:hAnsi="Times New Roman" w:eastAsia="Times New Roman" w:cs="Times New Roman"/>
                <w:spacing w:val="3"/>
                <w:sz w:val="7"/>
                <w:szCs w:val="7"/>
              </w:rPr>
              <w:t xml:space="preserve"> </w:t>
            </w:r>
            <w:r>
              <w:rPr>
                <w:rFonts w:ascii="Times New Roman" w:hAnsi="Times New Roman" w:eastAsia="Times New Roman" w:cs="Times New Roman"/>
                <w:sz w:val="7"/>
                <w:szCs w:val="7"/>
              </w:rPr>
              <w:t>0</w:t>
            </w:r>
          </w:p>
          <w:p w14:paraId="7E0F93A4">
            <w:pPr>
              <w:pStyle w:val="6"/>
              <w:spacing w:before="214" w:line="219" w:lineRule="auto"/>
              <w:ind w:left="416"/>
              <w:rPr>
                <w:sz w:val="20"/>
                <w:szCs w:val="20"/>
              </w:rPr>
            </w:pPr>
            <w:r>
              <w:rPr>
                <w:spacing w:val="7"/>
                <w:sz w:val="20"/>
                <w:szCs w:val="20"/>
              </w:rPr>
              <w:t>3.3.3</w:t>
            </w:r>
            <w:r>
              <w:rPr>
                <w:spacing w:val="42"/>
                <w:sz w:val="20"/>
                <w:szCs w:val="20"/>
              </w:rPr>
              <w:t xml:space="preserve"> </w:t>
            </w:r>
            <w:r>
              <w:rPr>
                <w:spacing w:val="7"/>
                <w:sz w:val="20"/>
                <w:szCs w:val="20"/>
              </w:rPr>
              <w:t>承包人无正当理由拒绝撤换主要施工管理人员的违约责任：</w:t>
            </w:r>
          </w:p>
          <w:p w14:paraId="58F98734">
            <w:pPr>
              <w:pStyle w:val="6"/>
              <w:tabs>
                <w:tab w:val="left" w:pos="8535"/>
              </w:tabs>
              <w:spacing w:before="238" w:line="237" w:lineRule="auto"/>
              <w:ind w:left="406"/>
              <w:rPr>
                <w:sz w:val="11"/>
                <w:szCs w:val="11"/>
              </w:rPr>
            </w:pPr>
            <w:r>
              <w:rPr>
                <w:sz w:val="11"/>
                <w:szCs w:val="11"/>
                <w:u w:val="single" w:color="auto"/>
              </w:rPr>
              <w:tab/>
            </w:r>
            <w:r>
              <w:rPr>
                <w:sz w:val="11"/>
                <w:szCs w:val="11"/>
              </w:rPr>
              <w:t>口</w:t>
            </w:r>
          </w:p>
          <w:p w14:paraId="38E71E85">
            <w:pPr>
              <w:pStyle w:val="6"/>
              <w:spacing w:before="172" w:line="219" w:lineRule="auto"/>
              <w:ind w:left="416"/>
              <w:rPr>
                <w:sz w:val="20"/>
                <w:szCs w:val="20"/>
              </w:rPr>
            </w:pPr>
            <w:r>
              <w:rPr>
                <w:spacing w:val="7"/>
                <w:sz w:val="20"/>
                <w:szCs w:val="20"/>
              </w:rPr>
              <w:t>3.3.4</w:t>
            </w:r>
            <w:r>
              <w:rPr>
                <w:spacing w:val="32"/>
                <w:sz w:val="20"/>
                <w:szCs w:val="20"/>
              </w:rPr>
              <w:t xml:space="preserve"> </w:t>
            </w:r>
            <w:r>
              <w:rPr>
                <w:spacing w:val="7"/>
                <w:sz w:val="20"/>
                <w:szCs w:val="20"/>
              </w:rPr>
              <w:t>承包人主要施工管理人员离开施</w:t>
            </w:r>
            <w:r>
              <w:rPr>
                <w:spacing w:val="6"/>
                <w:sz w:val="20"/>
                <w:szCs w:val="20"/>
              </w:rPr>
              <w:t>工现场的批准要求：</w:t>
            </w:r>
          </w:p>
          <w:p w14:paraId="0DDF31D1">
            <w:pPr>
              <w:pStyle w:val="6"/>
              <w:tabs>
                <w:tab w:val="left" w:pos="8505"/>
              </w:tabs>
              <w:spacing w:before="241"/>
              <w:ind w:left="416"/>
              <w:rPr>
                <w:sz w:val="12"/>
                <w:szCs w:val="12"/>
              </w:rPr>
            </w:pPr>
            <w:r>
              <w:rPr>
                <w:sz w:val="12"/>
                <w:szCs w:val="12"/>
                <w:u w:val="single" w:color="auto"/>
              </w:rPr>
              <w:tab/>
            </w:r>
            <w:r>
              <w:rPr>
                <w:spacing w:val="-40"/>
                <w:sz w:val="12"/>
                <w:szCs w:val="12"/>
              </w:rPr>
              <w:t xml:space="preserve"> </w:t>
            </w:r>
            <w:r>
              <w:rPr>
                <w:spacing w:val="-8"/>
                <w:w w:val="94"/>
                <w:sz w:val="12"/>
                <w:szCs w:val="12"/>
              </w:rPr>
              <w:t>-0</w:t>
            </w:r>
          </w:p>
          <w:p w14:paraId="5BA0B90D">
            <w:pPr>
              <w:pStyle w:val="6"/>
              <w:spacing w:before="186" w:line="219" w:lineRule="auto"/>
              <w:ind w:left="416"/>
              <w:rPr>
                <w:sz w:val="20"/>
                <w:szCs w:val="20"/>
              </w:rPr>
            </w:pPr>
            <w:r>
              <w:rPr>
                <w:spacing w:val="10"/>
                <w:sz w:val="20"/>
                <w:szCs w:val="20"/>
              </w:rPr>
              <w:t>3.3.5承包人擅自更换主要施工管理人员的违约责任：</w:t>
            </w:r>
          </w:p>
          <w:p w14:paraId="1298864C">
            <w:pPr>
              <w:spacing w:line="253" w:lineRule="auto"/>
              <w:rPr>
                <w:rFonts w:ascii="Arial"/>
                <w:sz w:val="21"/>
              </w:rPr>
            </w:pPr>
          </w:p>
          <w:p w14:paraId="4EEEBAA1">
            <w:pPr>
              <w:tabs>
                <w:tab w:val="left" w:pos="8415"/>
              </w:tabs>
              <w:spacing w:before="21" w:line="188" w:lineRule="auto"/>
              <w:ind w:left="416"/>
              <w:rPr>
                <w:rFonts w:ascii="Times New Roman" w:hAnsi="Times New Roman" w:eastAsia="Times New Roman" w:cs="Times New Roman"/>
                <w:sz w:val="7"/>
                <w:szCs w:val="7"/>
              </w:rPr>
            </w:pPr>
            <w:r>
              <w:rPr>
                <w:rFonts w:ascii="Times New Roman" w:hAnsi="Times New Roman" w:eastAsia="Times New Roman" w:cs="Times New Roman"/>
                <w:sz w:val="7"/>
                <w:szCs w:val="7"/>
                <w:u w:val="single" w:color="auto"/>
              </w:rPr>
              <w:tab/>
            </w:r>
            <w:r>
              <w:rPr>
                <w:rFonts w:ascii="Times New Roman" w:hAnsi="Times New Roman" w:eastAsia="Times New Roman" w:cs="Times New Roman"/>
                <w:sz w:val="7"/>
                <w:szCs w:val="7"/>
              </w:rPr>
              <w:t xml:space="preserve">      0</w:t>
            </w:r>
          </w:p>
          <w:p w14:paraId="45AF1482">
            <w:pPr>
              <w:pStyle w:val="6"/>
              <w:spacing w:before="224" w:line="219" w:lineRule="auto"/>
              <w:ind w:left="416"/>
              <w:rPr>
                <w:sz w:val="20"/>
                <w:szCs w:val="20"/>
              </w:rPr>
            </w:pPr>
            <w:r>
              <w:rPr>
                <w:spacing w:val="8"/>
                <w:sz w:val="20"/>
                <w:szCs w:val="20"/>
              </w:rPr>
              <w:t>承包人主要施工管理人员擅自离开施工现场的违约责任：</w:t>
            </w:r>
          </w:p>
          <w:p w14:paraId="2687D34F">
            <w:pPr>
              <w:spacing w:line="261" w:lineRule="auto"/>
              <w:rPr>
                <w:rFonts w:ascii="Arial"/>
                <w:sz w:val="21"/>
              </w:rPr>
            </w:pPr>
          </w:p>
          <w:p w14:paraId="698EE3B1">
            <w:pPr>
              <w:tabs>
                <w:tab w:val="left" w:pos="8505"/>
              </w:tabs>
              <w:spacing w:before="20" w:line="156" w:lineRule="auto"/>
              <w:ind w:left="416"/>
              <w:rPr>
                <w:rFonts w:ascii="Arial" w:hAnsi="Arial" w:eastAsia="Arial" w:cs="Arial"/>
                <w:sz w:val="7"/>
                <w:szCs w:val="7"/>
              </w:rPr>
            </w:pPr>
            <w:r>
              <w:rPr>
                <w:rFonts w:ascii="Arial" w:hAnsi="Arial" w:eastAsia="Arial" w:cs="Arial"/>
                <w:sz w:val="7"/>
                <w:szCs w:val="7"/>
                <w:u w:val="single" w:color="auto"/>
              </w:rPr>
              <w:tab/>
            </w:r>
            <w:r>
              <w:rPr>
                <w:rFonts w:ascii="Arial" w:hAnsi="Arial" w:eastAsia="Arial" w:cs="Arial"/>
                <w:spacing w:val="2"/>
                <w:sz w:val="7"/>
                <w:szCs w:val="7"/>
              </w:rPr>
              <w:t xml:space="preserve"> </w:t>
            </w:r>
            <w:r>
              <w:rPr>
                <w:rFonts w:ascii="Arial" w:hAnsi="Arial" w:eastAsia="Arial" w:cs="Arial"/>
                <w:sz w:val="7"/>
                <w:szCs w:val="7"/>
              </w:rPr>
              <w:t>_o</w:t>
            </w:r>
          </w:p>
          <w:p w14:paraId="1DD56A58">
            <w:pPr>
              <w:pStyle w:val="6"/>
              <w:spacing w:before="167" w:line="220" w:lineRule="auto"/>
              <w:rPr>
                <w:sz w:val="25"/>
                <w:szCs w:val="25"/>
              </w:rPr>
            </w:pPr>
            <w:r>
              <w:rPr>
                <w:b/>
                <w:bCs/>
                <w:spacing w:val="-18"/>
                <w:sz w:val="25"/>
                <w:szCs w:val="25"/>
              </w:rPr>
              <w:t>3.5</w:t>
            </w:r>
            <w:r>
              <w:rPr>
                <w:spacing w:val="9"/>
                <w:sz w:val="25"/>
                <w:szCs w:val="25"/>
              </w:rPr>
              <w:t xml:space="preserve"> </w:t>
            </w:r>
            <w:r>
              <w:rPr>
                <w:b/>
                <w:bCs/>
                <w:spacing w:val="-18"/>
                <w:sz w:val="25"/>
                <w:szCs w:val="25"/>
              </w:rPr>
              <w:t>分包</w:t>
            </w:r>
          </w:p>
          <w:p w14:paraId="58AA49A0">
            <w:pPr>
              <w:pStyle w:val="6"/>
              <w:spacing w:before="164" w:line="289" w:lineRule="auto"/>
              <w:ind w:left="416" w:right="6125"/>
              <w:rPr>
                <w:sz w:val="20"/>
                <w:szCs w:val="20"/>
              </w:rPr>
            </w:pPr>
            <w:r>
              <w:rPr>
                <w:spacing w:val="5"/>
                <w:sz w:val="20"/>
                <w:szCs w:val="20"/>
              </w:rPr>
              <w:t>3.5.1</w:t>
            </w:r>
            <w:r>
              <w:rPr>
                <w:spacing w:val="42"/>
                <w:sz w:val="20"/>
                <w:szCs w:val="20"/>
              </w:rPr>
              <w:t xml:space="preserve"> </w:t>
            </w:r>
            <w:r>
              <w:rPr>
                <w:spacing w:val="5"/>
                <w:sz w:val="20"/>
                <w:szCs w:val="20"/>
              </w:rPr>
              <w:t>分包的一般约定</w:t>
            </w:r>
            <w:r>
              <w:rPr>
                <w:sz w:val="20"/>
                <w:szCs w:val="20"/>
              </w:rPr>
              <w:t xml:space="preserve"> </w:t>
            </w:r>
            <w:r>
              <w:rPr>
                <w:spacing w:val="5"/>
                <w:sz w:val="20"/>
                <w:szCs w:val="20"/>
              </w:rPr>
              <w:t>禁止分包的工程包括：</w:t>
            </w:r>
          </w:p>
          <w:p w14:paraId="40534039">
            <w:pPr>
              <w:spacing w:line="264" w:lineRule="auto"/>
              <w:rPr>
                <w:rFonts w:ascii="Arial"/>
                <w:sz w:val="21"/>
              </w:rPr>
            </w:pPr>
          </w:p>
          <w:p w14:paraId="52B55C2F">
            <w:pPr>
              <w:tabs>
                <w:tab w:val="left" w:pos="8415"/>
              </w:tabs>
              <w:spacing w:before="21" w:line="142" w:lineRule="auto"/>
              <w:ind w:left="416"/>
              <w:rPr>
                <w:rFonts w:ascii="Times New Roman" w:hAnsi="Times New Roman" w:eastAsia="Times New Roman" w:cs="Times New Roman"/>
                <w:sz w:val="7"/>
                <w:szCs w:val="7"/>
              </w:rPr>
            </w:pPr>
            <w:r>
              <w:rPr>
                <w:rFonts w:ascii="Times New Roman" w:hAnsi="Times New Roman" w:eastAsia="Times New Roman" w:cs="Times New Roman"/>
                <w:sz w:val="7"/>
                <w:szCs w:val="7"/>
                <w:u w:val="single" w:color="auto"/>
              </w:rPr>
              <w:tab/>
            </w:r>
            <w:r>
              <w:rPr>
                <w:rFonts w:ascii="Times New Roman" w:hAnsi="Times New Roman" w:eastAsia="Times New Roman" w:cs="Times New Roman"/>
                <w:spacing w:val="3"/>
                <w:sz w:val="7"/>
                <w:szCs w:val="7"/>
              </w:rPr>
              <w:t xml:space="preserve"> </w:t>
            </w:r>
            <w:r>
              <w:rPr>
                <w:rFonts w:ascii="Times New Roman" w:hAnsi="Times New Roman" w:eastAsia="Times New Roman" w:cs="Times New Roman"/>
                <w:sz w:val="7"/>
                <w:szCs w:val="7"/>
              </w:rPr>
              <w:t>_o</w:t>
            </w:r>
          </w:p>
          <w:p w14:paraId="6A09FE25">
            <w:pPr>
              <w:pStyle w:val="6"/>
              <w:spacing w:before="239" w:line="220" w:lineRule="auto"/>
              <w:ind w:left="416"/>
              <w:rPr>
                <w:sz w:val="20"/>
                <w:szCs w:val="20"/>
              </w:rPr>
            </w:pPr>
            <w:r>
              <w:rPr>
                <w:spacing w:val="6"/>
                <w:sz w:val="20"/>
                <w:szCs w:val="20"/>
              </w:rPr>
              <w:t>主体结构、关键性工作的范围：</w:t>
            </w:r>
          </w:p>
        </w:tc>
      </w:tr>
      <w:tr w14:paraId="3FA3031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400" w:hRule="atLeast"/>
        </w:trPr>
        <w:tc>
          <w:tcPr>
            <w:tcW w:w="8646" w:type="dxa"/>
            <w:tcBorders>
              <w:top w:val="single" w:color="000000" w:sz="4" w:space="0"/>
              <w:bottom w:val="single" w:color="000000" w:sz="8" w:space="0"/>
            </w:tcBorders>
            <w:vAlign w:val="top"/>
          </w:tcPr>
          <w:p w14:paraId="0381826A">
            <w:pPr>
              <w:spacing w:line="290" w:lineRule="auto"/>
              <w:rPr>
                <w:rFonts w:ascii="Arial"/>
                <w:sz w:val="21"/>
              </w:rPr>
            </w:pPr>
          </w:p>
          <w:p w14:paraId="1382BF50">
            <w:pPr>
              <w:tabs>
                <w:tab w:val="left" w:pos="8415"/>
              </w:tabs>
              <w:spacing w:before="20" w:line="142" w:lineRule="auto"/>
              <w:ind w:left="416"/>
              <w:rPr>
                <w:rFonts w:ascii="Times New Roman" w:hAnsi="Times New Roman" w:eastAsia="Times New Roman" w:cs="Times New Roman"/>
                <w:sz w:val="7"/>
                <w:szCs w:val="7"/>
              </w:rPr>
            </w:pPr>
            <w:r>
              <w:rPr>
                <w:rFonts w:ascii="Times New Roman" w:hAnsi="Times New Roman" w:eastAsia="Times New Roman" w:cs="Times New Roman"/>
                <w:sz w:val="7"/>
                <w:szCs w:val="7"/>
                <w:u w:val="single" w:color="auto"/>
              </w:rPr>
              <w:tab/>
            </w:r>
            <w:r>
              <w:rPr>
                <w:rFonts w:ascii="Times New Roman" w:hAnsi="Times New Roman" w:eastAsia="Times New Roman" w:cs="Times New Roman"/>
                <w:spacing w:val="3"/>
                <w:sz w:val="7"/>
                <w:szCs w:val="7"/>
              </w:rPr>
              <w:t xml:space="preserve"> </w:t>
            </w:r>
            <w:r>
              <w:rPr>
                <w:rFonts w:ascii="Times New Roman" w:hAnsi="Times New Roman" w:eastAsia="Times New Roman" w:cs="Times New Roman"/>
                <w:sz w:val="7"/>
                <w:szCs w:val="7"/>
                <w:u w:val="dotted" w:color="auto"/>
              </w:rPr>
              <w:t xml:space="preserve">  </w:t>
            </w:r>
            <w:r>
              <w:rPr>
                <w:rFonts w:ascii="Times New Roman" w:hAnsi="Times New Roman" w:eastAsia="Times New Roman" w:cs="Times New Roman"/>
                <w:spacing w:val="-16"/>
                <w:sz w:val="7"/>
                <w:szCs w:val="7"/>
              </w:rPr>
              <w:t xml:space="preserve"> </w:t>
            </w:r>
            <w:r>
              <w:rPr>
                <w:rFonts w:ascii="Times New Roman" w:hAnsi="Times New Roman" w:eastAsia="Times New Roman" w:cs="Times New Roman"/>
                <w:sz w:val="7"/>
                <w:szCs w:val="7"/>
              </w:rPr>
              <w:t>o</w:t>
            </w:r>
          </w:p>
          <w:p w14:paraId="30F85311">
            <w:pPr>
              <w:pStyle w:val="6"/>
              <w:spacing w:before="218" w:line="220" w:lineRule="auto"/>
              <w:ind w:left="416"/>
              <w:rPr>
                <w:sz w:val="20"/>
                <w:szCs w:val="20"/>
              </w:rPr>
            </w:pPr>
            <w:r>
              <w:rPr>
                <w:spacing w:val="14"/>
                <w:sz w:val="20"/>
                <w:szCs w:val="20"/>
              </w:rPr>
              <w:t>3.5.2分包的确定</w:t>
            </w:r>
          </w:p>
          <w:p w14:paraId="53942F88">
            <w:pPr>
              <w:pStyle w:val="6"/>
              <w:spacing w:before="171" w:line="219" w:lineRule="auto"/>
              <w:ind w:left="416"/>
              <w:rPr>
                <w:sz w:val="20"/>
                <w:szCs w:val="20"/>
              </w:rPr>
            </w:pPr>
            <w:r>
              <w:rPr>
                <w:spacing w:val="6"/>
                <w:sz w:val="20"/>
                <w:szCs w:val="20"/>
              </w:rPr>
              <w:t>允许分包的专业工程包括：</w:t>
            </w:r>
          </w:p>
          <w:p w14:paraId="149883D1">
            <w:pPr>
              <w:spacing w:line="313" w:lineRule="auto"/>
              <w:rPr>
                <w:rFonts w:ascii="Arial"/>
                <w:sz w:val="21"/>
              </w:rPr>
            </w:pPr>
          </w:p>
          <w:p w14:paraId="69C6E912">
            <w:pPr>
              <w:tabs>
                <w:tab w:val="left" w:pos="8432"/>
              </w:tabs>
              <w:spacing w:before="9" w:line="142" w:lineRule="auto"/>
              <w:ind w:left="416"/>
              <w:rPr>
                <w:rFonts w:ascii="Times New Roman" w:hAnsi="Times New Roman" w:eastAsia="Times New Roman" w:cs="Times New Roman"/>
                <w:sz w:val="3"/>
                <w:szCs w:val="3"/>
              </w:rPr>
            </w:pPr>
            <w:r>
              <w:pict>
                <v:shape id="_x0000_s1038" o:spid="_x0000_s1038" o:spt="202" type="#_x0000_t202" style="position:absolute;left:0pt;margin-left:375.8pt;margin-top:-12.1pt;height:14.1pt;width:30.05pt;z-index:251704320;mso-width-relative:page;mso-height-relative:page;" filled="f" stroked="f" coordsize="21600,21600">
                  <v:path/>
                  <v:fill on="f" focussize="0,0"/>
                  <v:stroke on="f"/>
                  <v:imagedata o:title=""/>
                  <o:lock v:ext="edit" aspectratio="f"/>
                  <v:textbox inset="0mm,0mm,0mm,0mm">
                    <w:txbxContent>
                      <w:p w14:paraId="568D44FB">
                        <w:pPr>
                          <w:tabs>
                            <w:tab w:val="left" w:pos="580"/>
                          </w:tabs>
                          <w:spacing w:before="19"/>
                          <w:ind w:left="20"/>
                          <w:rPr>
                            <w:rFonts w:ascii="Arial"/>
                            <w:sz w:val="21"/>
                          </w:rPr>
                        </w:pPr>
                        <w:r>
                          <w:rPr>
                            <w:rFonts w:ascii="Arial" w:hAnsi="Arial" w:eastAsia="Arial" w:cs="Arial"/>
                            <w:sz w:val="21"/>
                            <w:szCs w:val="21"/>
                            <w:u w:val="single" w:color="FFFFFF"/>
                          </w:rPr>
                          <w:tab/>
                        </w:r>
                      </w:p>
                    </w:txbxContent>
                  </v:textbox>
                </v:shape>
              </w:pict>
            </w:r>
            <w:r>
              <w:rPr>
                <w:rFonts w:ascii="Times New Roman" w:hAnsi="Times New Roman" w:eastAsia="Times New Roman" w:cs="Times New Roman"/>
                <w:sz w:val="3"/>
                <w:szCs w:val="3"/>
                <w:u w:val="single" w:color="auto"/>
              </w:rPr>
              <w:tab/>
            </w:r>
            <w:r>
              <w:rPr>
                <w:rFonts w:ascii="Times New Roman" w:hAnsi="Times New Roman" w:eastAsia="Times New Roman" w:cs="Times New Roman"/>
                <w:sz w:val="3"/>
                <w:szCs w:val="3"/>
              </w:rPr>
              <w:t>o</w:t>
            </w:r>
          </w:p>
          <w:p w14:paraId="76DFAEE6">
            <w:pPr>
              <w:pStyle w:val="6"/>
              <w:spacing w:before="218" w:line="220" w:lineRule="auto"/>
              <w:ind w:left="416"/>
              <w:rPr>
                <w:sz w:val="20"/>
                <w:szCs w:val="20"/>
              </w:rPr>
            </w:pPr>
            <w:r>
              <w:rPr>
                <w:spacing w:val="6"/>
                <w:sz w:val="20"/>
                <w:szCs w:val="20"/>
              </w:rPr>
              <w:t>其他关于分包的约定：</w:t>
            </w:r>
          </w:p>
        </w:tc>
      </w:tr>
    </w:tbl>
    <w:p w14:paraId="6733CE13">
      <w:pPr>
        <w:spacing w:line="270" w:lineRule="auto"/>
        <w:rPr>
          <w:rFonts w:ascii="Arial"/>
          <w:sz w:val="21"/>
        </w:rPr>
      </w:pPr>
    </w:p>
    <w:p w14:paraId="49694B79">
      <w:pPr>
        <w:tabs>
          <w:tab w:val="left" w:pos="8415"/>
        </w:tabs>
        <w:spacing w:before="20" w:line="142" w:lineRule="auto"/>
        <w:ind w:left="416"/>
        <w:rPr>
          <w:rFonts w:ascii="Times New Roman" w:hAnsi="Times New Roman" w:eastAsia="Times New Roman" w:cs="Times New Roman"/>
          <w:sz w:val="7"/>
          <w:szCs w:val="7"/>
        </w:rPr>
      </w:pPr>
      <w:r>
        <w:rPr>
          <w:rFonts w:ascii="Times New Roman" w:hAnsi="Times New Roman" w:eastAsia="Times New Roman" w:cs="Times New Roman"/>
          <w:sz w:val="7"/>
          <w:szCs w:val="7"/>
          <w:u w:val="single" w:color="auto"/>
        </w:rPr>
        <w:tab/>
      </w:r>
      <w:r>
        <w:rPr>
          <w:rFonts w:ascii="Times New Roman" w:hAnsi="Times New Roman" w:eastAsia="Times New Roman" w:cs="Times New Roman"/>
          <w:spacing w:val="3"/>
          <w:sz w:val="7"/>
          <w:szCs w:val="7"/>
        </w:rPr>
        <w:t xml:space="preserve"> </w:t>
      </w:r>
      <w:r>
        <w:rPr>
          <w:rFonts w:ascii="Times New Roman" w:hAnsi="Times New Roman" w:eastAsia="Times New Roman" w:cs="Times New Roman"/>
          <w:sz w:val="7"/>
          <w:szCs w:val="7"/>
          <w:u w:val="dotted" w:color="auto"/>
        </w:rPr>
        <w:t xml:space="preserve">  </w:t>
      </w:r>
      <w:r>
        <w:rPr>
          <w:rFonts w:ascii="Times New Roman" w:hAnsi="Times New Roman" w:eastAsia="Times New Roman" w:cs="Times New Roman"/>
          <w:spacing w:val="-16"/>
          <w:sz w:val="7"/>
          <w:szCs w:val="7"/>
        </w:rPr>
        <w:t xml:space="preserve"> </w:t>
      </w:r>
      <w:r>
        <w:rPr>
          <w:rFonts w:ascii="Times New Roman" w:hAnsi="Times New Roman" w:eastAsia="Times New Roman" w:cs="Times New Roman"/>
          <w:sz w:val="7"/>
          <w:szCs w:val="7"/>
        </w:rPr>
        <w:t>o</w:t>
      </w:r>
    </w:p>
    <w:p w14:paraId="40A377C0">
      <w:pPr>
        <w:pStyle w:val="2"/>
        <w:spacing w:before="236" w:line="218" w:lineRule="auto"/>
        <w:ind w:left="416"/>
        <w:rPr>
          <w:sz w:val="20"/>
          <w:szCs w:val="20"/>
        </w:rPr>
      </w:pPr>
      <w:r>
        <w:rPr>
          <w:spacing w:val="5"/>
          <w:sz w:val="20"/>
          <w:szCs w:val="20"/>
        </w:rPr>
        <w:t>3.5.4</w:t>
      </w:r>
      <w:r>
        <w:rPr>
          <w:spacing w:val="42"/>
          <w:sz w:val="20"/>
          <w:szCs w:val="20"/>
        </w:rPr>
        <w:t xml:space="preserve"> </w:t>
      </w:r>
      <w:r>
        <w:rPr>
          <w:spacing w:val="5"/>
          <w:sz w:val="20"/>
          <w:szCs w:val="20"/>
        </w:rPr>
        <w:t>分包合同价款</w:t>
      </w:r>
    </w:p>
    <w:p w14:paraId="6876757D">
      <w:pPr>
        <w:pStyle w:val="2"/>
        <w:spacing w:before="174" w:line="218" w:lineRule="auto"/>
        <w:ind w:left="416"/>
        <w:rPr>
          <w:sz w:val="20"/>
          <w:szCs w:val="20"/>
        </w:rPr>
      </w:pPr>
      <w:r>
        <w:rPr>
          <w:spacing w:val="6"/>
          <w:sz w:val="20"/>
          <w:szCs w:val="20"/>
        </w:rPr>
        <w:t>关于分包合同价款支付的约定：</w:t>
      </w:r>
    </w:p>
    <w:p w14:paraId="2C6B4141">
      <w:pPr>
        <w:pStyle w:val="2"/>
        <w:tabs>
          <w:tab w:val="left" w:pos="8415"/>
        </w:tabs>
        <w:spacing w:before="257" w:line="237" w:lineRule="auto"/>
        <w:ind w:left="416"/>
        <w:rPr>
          <w:sz w:val="7"/>
          <w:szCs w:val="7"/>
        </w:rPr>
      </w:pPr>
      <w:r>
        <w:rPr>
          <w:sz w:val="7"/>
          <w:szCs w:val="7"/>
          <w:u w:val="single" w:color="auto"/>
        </w:rPr>
        <w:tab/>
      </w:r>
      <w:r>
        <w:rPr>
          <w:spacing w:val="-15"/>
          <w:sz w:val="7"/>
          <w:szCs w:val="7"/>
        </w:rPr>
        <w:t xml:space="preserve"> </w:t>
      </w:r>
      <w:r>
        <w:rPr>
          <w:sz w:val="7"/>
          <w:szCs w:val="7"/>
        </w:rPr>
        <w:t>◎</w:t>
      </w:r>
    </w:p>
    <w:p w14:paraId="38A2CB70">
      <w:pPr>
        <w:pStyle w:val="2"/>
        <w:spacing w:before="168" w:line="219" w:lineRule="auto"/>
      </w:pPr>
      <w:r>
        <w:rPr>
          <w:b/>
          <w:bCs/>
          <w:spacing w:val="-10"/>
        </w:rPr>
        <w:t>3.6</w:t>
      </w:r>
      <w:r>
        <w:rPr>
          <w:spacing w:val="-10"/>
        </w:rPr>
        <w:t xml:space="preserve"> </w:t>
      </w:r>
      <w:r>
        <w:rPr>
          <w:b/>
          <w:bCs/>
          <w:spacing w:val="-10"/>
        </w:rPr>
        <w:t>工程照管与成品、半成品保护</w:t>
      </w:r>
    </w:p>
    <w:p w14:paraId="0C723C63">
      <w:pPr>
        <w:pStyle w:val="2"/>
        <w:spacing w:before="153" w:line="219" w:lineRule="auto"/>
        <w:ind w:left="416"/>
        <w:rPr>
          <w:sz w:val="20"/>
          <w:szCs w:val="20"/>
        </w:rPr>
      </w:pPr>
      <w:r>
        <w:rPr>
          <w:spacing w:val="9"/>
          <w:sz w:val="20"/>
          <w:szCs w:val="20"/>
        </w:rPr>
        <w:t>承包人负责照管工程及工程相关的材料、工程设备的起始</w:t>
      </w:r>
      <w:r>
        <w:rPr>
          <w:spacing w:val="8"/>
          <w:sz w:val="20"/>
          <w:szCs w:val="20"/>
        </w:rPr>
        <w:t>时间：</w:t>
      </w:r>
    </w:p>
    <w:p w14:paraId="19DC0402">
      <w:pPr>
        <w:spacing w:line="219" w:lineRule="auto"/>
        <w:rPr>
          <w:sz w:val="20"/>
          <w:szCs w:val="20"/>
        </w:rPr>
        <w:sectPr>
          <w:headerReference r:id="rId249" w:type="default"/>
          <w:footerReference r:id="rId250" w:type="default"/>
          <w:pgSz w:w="11910" w:h="16840"/>
          <w:pgMar w:top="2071" w:right="1786" w:bottom="1024" w:left="1453" w:header="1919" w:footer="889" w:gutter="0"/>
          <w:cols w:space="720" w:num="1"/>
        </w:sectPr>
      </w:pPr>
    </w:p>
    <w:p w14:paraId="61480CF3">
      <w:pPr>
        <w:spacing w:line="243" w:lineRule="auto"/>
        <w:rPr>
          <w:rFonts w:ascii="Arial"/>
          <w:sz w:val="21"/>
        </w:rPr>
      </w:pPr>
    </w:p>
    <w:p w14:paraId="6C0A61B3">
      <w:pPr>
        <w:spacing w:line="243" w:lineRule="auto"/>
        <w:rPr>
          <w:rFonts w:ascii="Arial"/>
          <w:sz w:val="21"/>
        </w:rPr>
      </w:pPr>
    </w:p>
    <w:p w14:paraId="29CB2FDD">
      <w:pPr>
        <w:spacing w:line="243" w:lineRule="auto"/>
        <w:rPr>
          <w:rFonts w:ascii="Arial"/>
          <w:sz w:val="21"/>
        </w:rPr>
      </w:pPr>
    </w:p>
    <w:p w14:paraId="49D03B32">
      <w:pPr>
        <w:spacing w:line="243" w:lineRule="auto"/>
        <w:rPr>
          <w:rFonts w:ascii="Arial"/>
          <w:sz w:val="21"/>
        </w:rPr>
      </w:pPr>
    </w:p>
    <w:p w14:paraId="0206697E">
      <w:pPr>
        <w:spacing w:line="243" w:lineRule="auto"/>
        <w:rPr>
          <w:rFonts w:ascii="Arial"/>
          <w:sz w:val="21"/>
        </w:rPr>
      </w:pPr>
    </w:p>
    <w:p w14:paraId="3367714A">
      <w:pPr>
        <w:spacing w:line="244" w:lineRule="auto"/>
        <w:rPr>
          <w:rFonts w:ascii="Arial"/>
          <w:sz w:val="21"/>
        </w:rPr>
      </w:pPr>
    </w:p>
    <w:p w14:paraId="752F1FA0">
      <w:pPr>
        <w:spacing w:line="244" w:lineRule="auto"/>
        <w:rPr>
          <w:rFonts w:ascii="Arial"/>
          <w:sz w:val="21"/>
        </w:rPr>
      </w:pPr>
      <w:r>
        <w:drawing>
          <wp:anchor distT="0" distB="0" distL="0" distR="0" simplePos="0" relativeHeight="251707392" behindDoc="0" locked="0" layoutInCell="1" allowOverlap="1">
            <wp:simplePos x="0" y="0"/>
            <wp:positionH relativeFrom="column">
              <wp:posOffset>264795</wp:posOffset>
            </wp:positionH>
            <wp:positionV relativeFrom="paragraph">
              <wp:posOffset>108585</wp:posOffset>
            </wp:positionV>
            <wp:extent cx="5118100" cy="6350"/>
            <wp:effectExtent l="0" t="0" r="0" b="0"/>
            <wp:wrapNone/>
            <wp:docPr id="108" name="IM 108"/>
            <wp:cNvGraphicFramePr/>
            <a:graphic xmlns:a="http://schemas.openxmlformats.org/drawingml/2006/main">
              <a:graphicData uri="http://schemas.openxmlformats.org/drawingml/2006/picture">
                <pic:pic xmlns:pic="http://schemas.openxmlformats.org/drawingml/2006/picture">
                  <pic:nvPicPr>
                    <pic:cNvPr id="108" name="IM 108"/>
                    <pic:cNvPicPr/>
                  </pic:nvPicPr>
                  <pic:blipFill>
                    <a:blip r:embed="rId454"/>
                    <a:stretch>
                      <a:fillRect/>
                    </a:stretch>
                  </pic:blipFill>
                  <pic:spPr>
                    <a:xfrm>
                      <a:off x="0" y="0"/>
                      <a:ext cx="5118083" cy="6350"/>
                    </a:xfrm>
                    <a:prstGeom prst="rect">
                      <a:avLst/>
                    </a:prstGeom>
                  </pic:spPr>
                </pic:pic>
              </a:graphicData>
            </a:graphic>
          </wp:anchor>
        </w:drawing>
      </w:r>
    </w:p>
    <w:p w14:paraId="52E0FD38">
      <w:pPr>
        <w:pStyle w:val="2"/>
        <w:spacing w:before="81" w:line="222" w:lineRule="auto"/>
        <w:rPr>
          <w:rFonts w:ascii="黑体" w:hAnsi="黑体" w:eastAsia="黑体" w:cs="黑体"/>
        </w:rPr>
      </w:pPr>
      <w:r>
        <w:rPr>
          <w:b/>
          <w:bCs/>
          <w:spacing w:val="-11"/>
        </w:rPr>
        <w:t>3.7</w:t>
      </w:r>
      <w:r>
        <w:rPr>
          <w:spacing w:val="9"/>
        </w:rPr>
        <w:t xml:space="preserve"> </w:t>
      </w:r>
      <w:r>
        <w:rPr>
          <w:rFonts w:ascii="黑体" w:hAnsi="黑体" w:eastAsia="黑体" w:cs="黑体"/>
          <w:b/>
          <w:bCs/>
          <w:spacing w:val="-11"/>
        </w:rPr>
        <w:t>履约担保</w:t>
      </w:r>
    </w:p>
    <w:p w14:paraId="2813AE19">
      <w:pPr>
        <w:pStyle w:val="2"/>
        <w:spacing w:before="151" w:line="219" w:lineRule="auto"/>
        <w:ind w:left="427"/>
        <w:rPr>
          <w:sz w:val="20"/>
          <w:szCs w:val="20"/>
        </w:rPr>
      </w:pPr>
      <w:r>
        <w:rPr>
          <w:spacing w:val="6"/>
          <w:sz w:val="20"/>
          <w:szCs w:val="20"/>
        </w:rPr>
        <w:t>承包人是否提供履约担保：</w:t>
      </w:r>
    </w:p>
    <w:p w14:paraId="70B4C08A">
      <w:pPr>
        <w:spacing w:line="242" w:lineRule="auto"/>
        <w:rPr>
          <w:rFonts w:ascii="Arial"/>
          <w:sz w:val="21"/>
        </w:rPr>
      </w:pPr>
    </w:p>
    <w:p w14:paraId="1C639074">
      <w:pPr>
        <w:spacing w:line="242" w:lineRule="auto"/>
        <w:rPr>
          <w:rFonts w:ascii="Arial"/>
          <w:sz w:val="21"/>
        </w:rPr>
      </w:pPr>
      <w:r>
        <w:drawing>
          <wp:anchor distT="0" distB="0" distL="0" distR="0" simplePos="0" relativeHeight="251708416" behindDoc="0" locked="0" layoutInCell="1" allowOverlap="1">
            <wp:simplePos x="0" y="0"/>
            <wp:positionH relativeFrom="column">
              <wp:posOffset>264795</wp:posOffset>
            </wp:positionH>
            <wp:positionV relativeFrom="paragraph">
              <wp:posOffset>70485</wp:posOffset>
            </wp:positionV>
            <wp:extent cx="5111750" cy="6350"/>
            <wp:effectExtent l="0" t="0" r="0" b="0"/>
            <wp:wrapNone/>
            <wp:docPr id="110" name="IM 110"/>
            <wp:cNvGraphicFramePr/>
            <a:graphic xmlns:a="http://schemas.openxmlformats.org/drawingml/2006/main">
              <a:graphicData uri="http://schemas.openxmlformats.org/drawingml/2006/picture">
                <pic:pic xmlns:pic="http://schemas.openxmlformats.org/drawingml/2006/picture">
                  <pic:nvPicPr>
                    <pic:cNvPr id="110" name="IM 110"/>
                    <pic:cNvPicPr/>
                  </pic:nvPicPr>
                  <pic:blipFill>
                    <a:blip r:embed="rId455"/>
                    <a:stretch>
                      <a:fillRect/>
                    </a:stretch>
                  </pic:blipFill>
                  <pic:spPr>
                    <a:xfrm>
                      <a:off x="0" y="0"/>
                      <a:ext cx="5111729" cy="6350"/>
                    </a:xfrm>
                    <a:prstGeom prst="rect">
                      <a:avLst/>
                    </a:prstGeom>
                  </pic:spPr>
                </pic:pic>
              </a:graphicData>
            </a:graphic>
          </wp:anchor>
        </w:drawing>
      </w:r>
    </w:p>
    <w:p w14:paraId="33CC37D3">
      <w:pPr>
        <w:pStyle w:val="2"/>
        <w:spacing w:before="65" w:line="219" w:lineRule="auto"/>
        <w:ind w:left="427"/>
        <w:rPr>
          <w:sz w:val="20"/>
          <w:szCs w:val="20"/>
        </w:rPr>
      </w:pPr>
      <w:r>
        <w:rPr>
          <w:spacing w:val="8"/>
          <w:sz w:val="20"/>
          <w:szCs w:val="20"/>
        </w:rPr>
        <w:t>承包人提供履约担保的形式、金额及期限的：</w:t>
      </w:r>
    </w:p>
    <w:p w14:paraId="156132CF">
      <w:pPr>
        <w:spacing w:line="477" w:lineRule="auto"/>
        <w:rPr>
          <w:rFonts w:ascii="Arial"/>
          <w:sz w:val="21"/>
        </w:rPr>
      </w:pPr>
      <w:r>
        <w:drawing>
          <wp:anchor distT="0" distB="0" distL="0" distR="0" simplePos="0" relativeHeight="251706368" behindDoc="0" locked="0" layoutInCell="1" allowOverlap="1">
            <wp:simplePos x="0" y="0"/>
            <wp:positionH relativeFrom="column">
              <wp:posOffset>264795</wp:posOffset>
            </wp:positionH>
            <wp:positionV relativeFrom="paragraph">
              <wp:posOffset>238760</wp:posOffset>
            </wp:positionV>
            <wp:extent cx="5118100" cy="6350"/>
            <wp:effectExtent l="0" t="0" r="0" b="0"/>
            <wp:wrapNone/>
            <wp:docPr id="112" name="IM 112"/>
            <wp:cNvGraphicFramePr/>
            <a:graphic xmlns:a="http://schemas.openxmlformats.org/drawingml/2006/main">
              <a:graphicData uri="http://schemas.openxmlformats.org/drawingml/2006/picture">
                <pic:pic xmlns:pic="http://schemas.openxmlformats.org/drawingml/2006/picture">
                  <pic:nvPicPr>
                    <pic:cNvPr id="112" name="IM 112"/>
                    <pic:cNvPicPr/>
                  </pic:nvPicPr>
                  <pic:blipFill>
                    <a:blip r:embed="rId456"/>
                    <a:stretch>
                      <a:fillRect/>
                    </a:stretch>
                  </pic:blipFill>
                  <pic:spPr>
                    <a:xfrm>
                      <a:off x="0" y="0"/>
                      <a:ext cx="5118083" cy="6350"/>
                    </a:xfrm>
                    <a:prstGeom prst="rect">
                      <a:avLst/>
                    </a:prstGeom>
                  </pic:spPr>
                </pic:pic>
              </a:graphicData>
            </a:graphic>
          </wp:anchor>
        </w:drawing>
      </w:r>
    </w:p>
    <w:p w14:paraId="034240BE">
      <w:pPr>
        <w:pStyle w:val="2"/>
        <w:spacing w:before="97" w:line="224" w:lineRule="auto"/>
        <w:ind w:left="1"/>
        <w:rPr>
          <w:rFonts w:ascii="黑体" w:hAnsi="黑体" w:eastAsia="黑体" w:cs="黑体"/>
          <w:sz w:val="30"/>
          <w:szCs w:val="30"/>
        </w:rPr>
      </w:pPr>
      <w:r>
        <w:rPr>
          <w:b/>
          <w:bCs/>
          <w:spacing w:val="11"/>
          <w:sz w:val="30"/>
          <w:szCs w:val="30"/>
        </w:rPr>
        <w:t>4.</w:t>
      </w:r>
      <w:r>
        <w:rPr>
          <w:rFonts w:ascii="黑体" w:hAnsi="黑体" w:eastAsia="黑体" w:cs="黑体"/>
          <w:b/>
          <w:bCs/>
          <w:spacing w:val="11"/>
          <w:sz w:val="30"/>
          <w:szCs w:val="30"/>
        </w:rPr>
        <w:t>监理人</w:t>
      </w:r>
    </w:p>
    <w:p w14:paraId="5EF9F8FB">
      <w:pPr>
        <w:spacing w:before="78" w:line="221" w:lineRule="auto"/>
        <w:rPr>
          <w:rFonts w:ascii="黑体" w:hAnsi="黑体" w:eastAsia="黑体" w:cs="黑体"/>
          <w:sz w:val="25"/>
          <w:szCs w:val="25"/>
        </w:rPr>
      </w:pPr>
      <w:r>
        <w:rPr>
          <w:rFonts w:ascii="黑体" w:hAnsi="黑体" w:eastAsia="黑体" w:cs="黑体"/>
          <w:b/>
          <w:bCs/>
          <w:spacing w:val="-3"/>
          <w:sz w:val="25"/>
          <w:szCs w:val="25"/>
        </w:rPr>
        <w:t>4.1监理人的一般规定</w:t>
      </w:r>
    </w:p>
    <w:p w14:paraId="0E201090">
      <w:pPr>
        <w:pStyle w:val="2"/>
        <w:spacing w:before="145" w:line="219" w:lineRule="auto"/>
        <w:ind w:left="427"/>
        <w:rPr>
          <w:sz w:val="20"/>
          <w:szCs w:val="20"/>
        </w:rPr>
      </w:pPr>
      <w:r>
        <w:rPr>
          <w:spacing w:val="6"/>
          <w:sz w:val="20"/>
          <w:szCs w:val="20"/>
        </w:rPr>
        <w:t>关于监理人的监理内容：</w:t>
      </w:r>
    </w:p>
    <w:p w14:paraId="02EA0B14">
      <w:pPr>
        <w:spacing w:line="255" w:lineRule="auto"/>
        <w:rPr>
          <w:rFonts w:ascii="Arial"/>
          <w:sz w:val="21"/>
        </w:rPr>
      </w:pPr>
    </w:p>
    <w:p w14:paraId="6DE23B0F">
      <w:pPr>
        <w:tabs>
          <w:tab w:val="left" w:pos="8427"/>
        </w:tabs>
        <w:spacing w:before="23" w:line="142" w:lineRule="auto"/>
        <w:ind w:left="427"/>
        <w:rPr>
          <w:rFonts w:ascii="Times New Roman" w:hAnsi="Times New Roman" w:eastAsia="Times New Roman" w:cs="Times New Roman"/>
          <w:sz w:val="8"/>
          <w:szCs w:val="8"/>
        </w:rPr>
      </w:pPr>
      <w:r>
        <w:rPr>
          <w:rFonts w:ascii="Times New Roman" w:hAnsi="Times New Roman" w:eastAsia="Times New Roman" w:cs="Times New Roman"/>
          <w:sz w:val="8"/>
          <w:szCs w:val="8"/>
          <w:u w:val="single" w:color="auto"/>
        </w:rPr>
        <w:tab/>
      </w:r>
      <w:r>
        <w:rPr>
          <w:rFonts w:ascii="Times New Roman" w:hAnsi="Times New Roman" w:eastAsia="Times New Roman" w:cs="Times New Roman"/>
          <w:spacing w:val="-11"/>
          <w:sz w:val="8"/>
          <w:szCs w:val="8"/>
        </w:rPr>
        <w:t xml:space="preserve"> </w:t>
      </w:r>
      <w:r>
        <w:rPr>
          <w:rFonts w:ascii="Times New Roman" w:hAnsi="Times New Roman" w:eastAsia="Times New Roman" w:cs="Times New Roman"/>
          <w:sz w:val="8"/>
          <w:szCs w:val="8"/>
          <w:u w:val="dotted" w:color="auto"/>
        </w:rPr>
        <w:t xml:space="preserve">  </w:t>
      </w:r>
      <w:r>
        <w:rPr>
          <w:rFonts w:ascii="Times New Roman" w:hAnsi="Times New Roman" w:eastAsia="Times New Roman" w:cs="Times New Roman"/>
          <w:spacing w:val="-17"/>
          <w:sz w:val="8"/>
          <w:szCs w:val="8"/>
        </w:rPr>
        <w:t xml:space="preserve"> </w:t>
      </w:r>
      <w:r>
        <w:rPr>
          <w:rFonts w:ascii="Times New Roman" w:hAnsi="Times New Roman" w:eastAsia="Times New Roman" w:cs="Times New Roman"/>
          <w:sz w:val="8"/>
          <w:szCs w:val="8"/>
        </w:rPr>
        <w:t>o</w:t>
      </w:r>
    </w:p>
    <w:p w14:paraId="4E09C4B6">
      <w:pPr>
        <w:pStyle w:val="2"/>
        <w:spacing w:before="229" w:line="219" w:lineRule="auto"/>
        <w:ind w:left="427"/>
        <w:rPr>
          <w:sz w:val="20"/>
          <w:szCs w:val="20"/>
        </w:rPr>
      </w:pPr>
      <w:r>
        <w:rPr>
          <w:spacing w:val="6"/>
          <w:sz w:val="20"/>
          <w:szCs w:val="20"/>
        </w:rPr>
        <w:t>关于监理人的监理权限：</w:t>
      </w:r>
    </w:p>
    <w:p w14:paraId="28412233">
      <w:pPr>
        <w:spacing w:line="255" w:lineRule="auto"/>
        <w:rPr>
          <w:rFonts w:ascii="Arial"/>
          <w:sz w:val="21"/>
        </w:rPr>
      </w:pPr>
    </w:p>
    <w:p w14:paraId="44D78414">
      <w:pPr>
        <w:tabs>
          <w:tab w:val="left" w:pos="8427"/>
        </w:tabs>
        <w:spacing w:before="23" w:line="142" w:lineRule="auto"/>
        <w:ind w:left="427"/>
        <w:rPr>
          <w:rFonts w:ascii="Times New Roman" w:hAnsi="Times New Roman" w:eastAsia="Times New Roman" w:cs="Times New Roman"/>
          <w:sz w:val="8"/>
          <w:szCs w:val="8"/>
        </w:rPr>
      </w:pPr>
      <w:r>
        <w:rPr>
          <w:rFonts w:ascii="Times New Roman" w:hAnsi="Times New Roman" w:eastAsia="Times New Roman" w:cs="Times New Roman"/>
          <w:sz w:val="8"/>
          <w:szCs w:val="8"/>
          <w:u w:val="single" w:color="auto"/>
        </w:rPr>
        <w:tab/>
      </w:r>
      <w:r>
        <w:rPr>
          <w:rFonts w:ascii="Times New Roman" w:hAnsi="Times New Roman" w:eastAsia="Times New Roman" w:cs="Times New Roman"/>
          <w:spacing w:val="-11"/>
          <w:sz w:val="8"/>
          <w:szCs w:val="8"/>
        </w:rPr>
        <w:t xml:space="preserve"> </w:t>
      </w:r>
      <w:r>
        <w:rPr>
          <w:rFonts w:ascii="Times New Roman" w:hAnsi="Times New Roman" w:eastAsia="Times New Roman" w:cs="Times New Roman"/>
          <w:sz w:val="8"/>
          <w:szCs w:val="8"/>
          <w:u w:val="dotted" w:color="auto"/>
        </w:rPr>
        <w:t xml:space="preserve">  </w:t>
      </w:r>
      <w:r>
        <w:rPr>
          <w:rFonts w:ascii="Times New Roman" w:hAnsi="Times New Roman" w:eastAsia="Times New Roman" w:cs="Times New Roman"/>
          <w:spacing w:val="-17"/>
          <w:sz w:val="8"/>
          <w:szCs w:val="8"/>
        </w:rPr>
        <w:t xml:space="preserve"> </w:t>
      </w:r>
      <w:r>
        <w:rPr>
          <w:rFonts w:ascii="Times New Roman" w:hAnsi="Times New Roman" w:eastAsia="Times New Roman" w:cs="Times New Roman"/>
          <w:sz w:val="8"/>
          <w:szCs w:val="8"/>
        </w:rPr>
        <w:t>o</w:t>
      </w:r>
    </w:p>
    <w:p w14:paraId="79D811AE">
      <w:pPr>
        <w:pStyle w:val="2"/>
        <w:spacing w:before="237" w:line="219" w:lineRule="auto"/>
        <w:ind w:left="427"/>
        <w:rPr>
          <w:sz w:val="20"/>
          <w:szCs w:val="20"/>
        </w:rPr>
      </w:pPr>
      <w:r>
        <w:rPr>
          <w:spacing w:val="9"/>
          <w:sz w:val="20"/>
          <w:szCs w:val="20"/>
        </w:rPr>
        <w:t>关于监理人在施工现场的办公场所、生活场所的提供和费用承担的约定：</w:t>
      </w:r>
    </w:p>
    <w:p w14:paraId="0B3DC85C">
      <w:pPr>
        <w:spacing w:line="256" w:lineRule="auto"/>
        <w:rPr>
          <w:rFonts w:ascii="Arial"/>
          <w:sz w:val="21"/>
        </w:rPr>
      </w:pPr>
    </w:p>
    <w:p w14:paraId="36167FD8">
      <w:pPr>
        <w:tabs>
          <w:tab w:val="left" w:pos="8427"/>
        </w:tabs>
        <w:spacing w:before="24" w:line="142" w:lineRule="auto"/>
        <w:ind w:left="427"/>
        <w:rPr>
          <w:rFonts w:ascii="Times New Roman" w:hAnsi="Times New Roman" w:eastAsia="Times New Roman" w:cs="Times New Roman"/>
          <w:sz w:val="8"/>
          <w:szCs w:val="8"/>
        </w:rPr>
      </w:pPr>
      <w:r>
        <w:rPr>
          <w:rFonts w:ascii="Times New Roman" w:hAnsi="Times New Roman" w:eastAsia="Times New Roman" w:cs="Times New Roman"/>
          <w:sz w:val="8"/>
          <w:szCs w:val="8"/>
          <w:u w:val="single" w:color="auto"/>
        </w:rPr>
        <w:tab/>
      </w:r>
      <w:r>
        <w:rPr>
          <w:rFonts w:ascii="Times New Roman" w:hAnsi="Times New Roman" w:eastAsia="Times New Roman" w:cs="Times New Roman"/>
          <w:spacing w:val="-11"/>
          <w:sz w:val="8"/>
          <w:szCs w:val="8"/>
        </w:rPr>
        <w:t xml:space="preserve"> </w:t>
      </w:r>
      <w:r>
        <w:rPr>
          <w:rFonts w:ascii="Times New Roman" w:hAnsi="Times New Roman" w:eastAsia="Times New Roman" w:cs="Times New Roman"/>
          <w:sz w:val="8"/>
          <w:szCs w:val="8"/>
          <w:u w:val="dotted" w:color="auto"/>
        </w:rPr>
        <w:t xml:space="preserve">  </w:t>
      </w:r>
      <w:r>
        <w:rPr>
          <w:rFonts w:ascii="Times New Roman" w:hAnsi="Times New Roman" w:eastAsia="Times New Roman" w:cs="Times New Roman"/>
          <w:spacing w:val="-17"/>
          <w:sz w:val="8"/>
          <w:szCs w:val="8"/>
        </w:rPr>
        <w:t xml:space="preserve"> </w:t>
      </w:r>
      <w:r>
        <w:rPr>
          <w:rFonts w:ascii="Times New Roman" w:hAnsi="Times New Roman" w:eastAsia="Times New Roman" w:cs="Times New Roman"/>
          <w:sz w:val="8"/>
          <w:szCs w:val="8"/>
        </w:rPr>
        <w:t>o</w:t>
      </w:r>
    </w:p>
    <w:p w14:paraId="4F9A66A5">
      <w:pPr>
        <w:pStyle w:val="2"/>
        <w:spacing w:before="174" w:line="221" w:lineRule="auto"/>
        <w:rPr>
          <w:rFonts w:ascii="黑体" w:hAnsi="黑体" w:eastAsia="黑体" w:cs="黑体"/>
        </w:rPr>
      </w:pPr>
      <w:r>
        <w:rPr>
          <w:b/>
          <w:bCs/>
          <w:spacing w:val="-14"/>
        </w:rPr>
        <w:t>4.2</w:t>
      </w:r>
      <w:r>
        <w:rPr>
          <w:spacing w:val="22"/>
        </w:rPr>
        <w:t xml:space="preserve"> </w:t>
      </w:r>
      <w:r>
        <w:rPr>
          <w:rFonts w:ascii="黑体" w:hAnsi="黑体" w:eastAsia="黑体" w:cs="黑体"/>
          <w:b/>
          <w:bCs/>
          <w:spacing w:val="-14"/>
        </w:rPr>
        <w:t>监理人员</w:t>
      </w:r>
    </w:p>
    <w:p w14:paraId="0612F5FF">
      <w:pPr>
        <w:pStyle w:val="2"/>
        <w:spacing w:before="155" w:line="219" w:lineRule="auto"/>
        <w:ind w:left="427"/>
        <w:rPr>
          <w:sz w:val="20"/>
          <w:szCs w:val="20"/>
        </w:rPr>
      </w:pPr>
      <w:r>
        <w:rPr>
          <w:spacing w:val="4"/>
          <w:sz w:val="20"/>
          <w:szCs w:val="20"/>
        </w:rPr>
        <w:t>总监理工程师：</w:t>
      </w:r>
    </w:p>
    <w:p w14:paraId="34C2FD7E">
      <w:pPr>
        <w:pStyle w:val="2"/>
        <w:spacing w:before="162" w:line="224" w:lineRule="auto"/>
        <w:ind w:left="427"/>
        <w:rPr>
          <w:sz w:val="20"/>
          <w:szCs w:val="20"/>
        </w:rPr>
      </w:pPr>
      <w:r>
        <w:rPr>
          <w:spacing w:val="-5"/>
          <w:sz w:val="20"/>
          <w:szCs w:val="20"/>
        </w:rPr>
        <w:t>姓</w:t>
      </w:r>
      <w:r>
        <w:rPr>
          <w:spacing w:val="14"/>
          <w:sz w:val="20"/>
          <w:szCs w:val="20"/>
        </w:rPr>
        <w:t xml:space="preserve">    </w:t>
      </w:r>
      <w:r>
        <w:rPr>
          <w:spacing w:val="-5"/>
          <w:sz w:val="20"/>
          <w:szCs w:val="20"/>
        </w:rPr>
        <w:t>名：</w:t>
      </w:r>
      <w:r>
        <w:rPr>
          <w:spacing w:val="-78"/>
          <w:sz w:val="20"/>
          <w:szCs w:val="20"/>
        </w:rPr>
        <w:t xml:space="preserve"> </w:t>
      </w:r>
      <w:r>
        <w:rPr>
          <w:spacing w:val="2"/>
          <w:sz w:val="20"/>
          <w:szCs w:val="20"/>
          <w:u w:val="single" w:color="auto"/>
        </w:rPr>
        <w:t xml:space="preserve">                                </w:t>
      </w:r>
      <w:r>
        <w:rPr>
          <w:spacing w:val="-73"/>
          <w:sz w:val="20"/>
          <w:szCs w:val="20"/>
        </w:rPr>
        <w:t xml:space="preserve"> </w:t>
      </w:r>
      <w:r>
        <w:rPr>
          <w:spacing w:val="-5"/>
          <w:position w:val="-2"/>
          <w:sz w:val="20"/>
          <w:szCs w:val="20"/>
        </w:rPr>
        <w:t>;</w:t>
      </w:r>
    </w:p>
    <w:p w14:paraId="4FEADEAD">
      <w:pPr>
        <w:pStyle w:val="2"/>
        <w:spacing w:before="118" w:line="219" w:lineRule="auto"/>
        <w:ind w:left="427"/>
        <w:rPr>
          <w:sz w:val="20"/>
          <w:szCs w:val="20"/>
        </w:rPr>
      </w:pPr>
      <w:r>
        <w:rPr>
          <w:spacing w:val="-3"/>
          <w:sz w:val="20"/>
          <w:szCs w:val="20"/>
        </w:rPr>
        <w:t>职</w:t>
      </w:r>
      <w:r>
        <w:rPr>
          <w:spacing w:val="10"/>
          <w:sz w:val="20"/>
          <w:szCs w:val="20"/>
        </w:rPr>
        <w:t xml:space="preserve">    </w:t>
      </w:r>
      <w:r>
        <w:rPr>
          <w:spacing w:val="-3"/>
          <w:sz w:val="20"/>
          <w:szCs w:val="20"/>
        </w:rPr>
        <w:t>务：</w:t>
      </w:r>
      <w:r>
        <w:rPr>
          <w:spacing w:val="-70"/>
          <w:sz w:val="20"/>
          <w:szCs w:val="20"/>
        </w:rPr>
        <w:t xml:space="preserve"> </w:t>
      </w:r>
      <w:r>
        <w:rPr>
          <w:spacing w:val="2"/>
          <w:sz w:val="20"/>
          <w:szCs w:val="20"/>
          <w:u w:val="single" w:color="auto"/>
        </w:rPr>
        <w:t xml:space="preserve">                                </w:t>
      </w:r>
      <w:r>
        <w:rPr>
          <w:spacing w:val="-83"/>
          <w:sz w:val="20"/>
          <w:szCs w:val="20"/>
        </w:rPr>
        <w:t xml:space="preserve"> </w:t>
      </w:r>
      <w:r>
        <w:rPr>
          <w:spacing w:val="-3"/>
          <w:sz w:val="20"/>
          <w:szCs w:val="20"/>
        </w:rPr>
        <w:t>;</w:t>
      </w:r>
    </w:p>
    <w:p w14:paraId="4D6ACBF8">
      <w:pPr>
        <w:pStyle w:val="2"/>
        <w:spacing w:before="161" w:line="219" w:lineRule="auto"/>
        <w:ind w:left="427"/>
        <w:rPr>
          <w:sz w:val="20"/>
          <w:szCs w:val="20"/>
        </w:rPr>
      </w:pPr>
      <w:r>
        <w:rPr>
          <w:spacing w:val="-2"/>
          <w:sz w:val="20"/>
          <w:szCs w:val="20"/>
        </w:rPr>
        <w:t>监理工程师执业资格证书号：</w:t>
      </w:r>
      <w:r>
        <w:rPr>
          <w:spacing w:val="77"/>
          <w:sz w:val="20"/>
          <w:szCs w:val="20"/>
        </w:rPr>
        <w:t xml:space="preserve"> </w:t>
      </w:r>
      <w:r>
        <w:rPr>
          <w:spacing w:val="5"/>
          <w:sz w:val="20"/>
          <w:szCs w:val="20"/>
          <w:u w:val="single" w:color="auto"/>
        </w:rPr>
        <w:t xml:space="preserve">               </w:t>
      </w:r>
      <w:r>
        <w:rPr>
          <w:spacing w:val="-85"/>
          <w:sz w:val="20"/>
          <w:szCs w:val="20"/>
        </w:rPr>
        <w:t xml:space="preserve"> </w:t>
      </w:r>
      <w:r>
        <w:rPr>
          <w:spacing w:val="-2"/>
          <w:sz w:val="20"/>
          <w:szCs w:val="20"/>
        </w:rPr>
        <w:t>;</w:t>
      </w:r>
    </w:p>
    <w:p w14:paraId="1DE23CA1">
      <w:pPr>
        <w:pStyle w:val="2"/>
        <w:spacing w:before="187" w:line="221" w:lineRule="auto"/>
        <w:ind w:left="427"/>
        <w:rPr>
          <w:sz w:val="20"/>
          <w:szCs w:val="20"/>
        </w:rPr>
      </w:pPr>
      <w:r>
        <w:rPr>
          <w:sz w:val="20"/>
          <w:szCs w:val="20"/>
        </w:rPr>
        <w:t>联系电话：</w:t>
      </w:r>
      <w:r>
        <w:rPr>
          <w:spacing w:val="-41"/>
          <w:sz w:val="20"/>
          <w:szCs w:val="20"/>
        </w:rPr>
        <w:t xml:space="preserve"> </w:t>
      </w:r>
      <w:r>
        <w:rPr>
          <w:spacing w:val="2"/>
          <w:sz w:val="20"/>
          <w:szCs w:val="20"/>
          <w:u w:val="single" w:color="auto"/>
        </w:rPr>
        <w:t xml:space="preserve">                                </w:t>
      </w:r>
      <w:r>
        <w:rPr>
          <w:spacing w:val="-84"/>
          <w:sz w:val="20"/>
          <w:szCs w:val="20"/>
        </w:rPr>
        <w:t xml:space="preserve"> </w:t>
      </w:r>
      <w:r>
        <w:rPr>
          <w:sz w:val="20"/>
          <w:szCs w:val="20"/>
        </w:rPr>
        <w:t>;</w:t>
      </w:r>
    </w:p>
    <w:p w14:paraId="13F5D6F7">
      <w:pPr>
        <w:pStyle w:val="2"/>
        <w:spacing w:before="148" w:line="219" w:lineRule="auto"/>
        <w:ind w:left="427"/>
        <w:rPr>
          <w:sz w:val="20"/>
          <w:szCs w:val="20"/>
        </w:rPr>
      </w:pPr>
      <w:r>
        <w:rPr>
          <w:spacing w:val="-2"/>
          <w:sz w:val="20"/>
          <w:szCs w:val="20"/>
        </w:rPr>
        <w:t>电子信箱：</w:t>
      </w:r>
      <w:r>
        <w:rPr>
          <w:spacing w:val="1"/>
          <w:sz w:val="20"/>
          <w:szCs w:val="20"/>
          <w:u w:val="single" w:color="auto"/>
        </w:rPr>
        <w:t xml:space="preserve">                                 </w:t>
      </w:r>
      <w:r>
        <w:rPr>
          <w:spacing w:val="-82"/>
          <w:sz w:val="20"/>
          <w:szCs w:val="20"/>
        </w:rPr>
        <w:t xml:space="preserve"> </w:t>
      </w:r>
      <w:r>
        <w:rPr>
          <w:spacing w:val="-2"/>
          <w:sz w:val="20"/>
          <w:szCs w:val="20"/>
        </w:rPr>
        <w:t>;</w:t>
      </w:r>
    </w:p>
    <w:p w14:paraId="420DC6CC">
      <w:pPr>
        <w:pStyle w:val="2"/>
        <w:spacing w:before="173" w:line="219" w:lineRule="auto"/>
        <w:ind w:left="427"/>
        <w:rPr>
          <w:sz w:val="20"/>
          <w:szCs w:val="20"/>
        </w:rPr>
      </w:pPr>
      <w:r>
        <w:rPr>
          <w:sz w:val="20"/>
          <w:szCs w:val="20"/>
        </w:rPr>
        <w:t>通信地址：</w:t>
      </w:r>
      <w:r>
        <w:rPr>
          <w:spacing w:val="-41"/>
          <w:sz w:val="20"/>
          <w:szCs w:val="20"/>
        </w:rPr>
        <w:t xml:space="preserve"> </w:t>
      </w:r>
      <w:r>
        <w:rPr>
          <w:spacing w:val="2"/>
          <w:sz w:val="20"/>
          <w:szCs w:val="20"/>
          <w:u w:val="single" w:color="auto"/>
        </w:rPr>
        <w:t xml:space="preserve">                                </w:t>
      </w:r>
      <w:r>
        <w:rPr>
          <w:spacing w:val="-84"/>
          <w:sz w:val="20"/>
          <w:szCs w:val="20"/>
        </w:rPr>
        <w:t xml:space="preserve"> </w:t>
      </w:r>
      <w:r>
        <w:rPr>
          <w:sz w:val="20"/>
          <w:szCs w:val="20"/>
        </w:rPr>
        <w:drawing>
          <wp:inline distT="0" distB="0" distL="0" distR="0">
            <wp:extent cx="25400" cy="56515"/>
            <wp:effectExtent l="0" t="0" r="0" b="0"/>
            <wp:docPr id="114" name="IM 114"/>
            <wp:cNvGraphicFramePr/>
            <a:graphic xmlns:a="http://schemas.openxmlformats.org/drawingml/2006/main">
              <a:graphicData uri="http://schemas.openxmlformats.org/drawingml/2006/picture">
                <pic:pic xmlns:pic="http://schemas.openxmlformats.org/drawingml/2006/picture">
                  <pic:nvPicPr>
                    <pic:cNvPr id="114" name="IM 114"/>
                    <pic:cNvPicPr/>
                  </pic:nvPicPr>
                  <pic:blipFill>
                    <a:blip r:embed="rId457"/>
                    <a:stretch>
                      <a:fillRect/>
                    </a:stretch>
                  </pic:blipFill>
                  <pic:spPr>
                    <a:xfrm>
                      <a:off x="0" y="0"/>
                      <a:ext cx="25411" cy="57102"/>
                    </a:xfrm>
                    <a:prstGeom prst="rect">
                      <a:avLst/>
                    </a:prstGeom>
                  </pic:spPr>
                </pic:pic>
              </a:graphicData>
            </a:graphic>
          </wp:inline>
        </w:drawing>
      </w:r>
    </w:p>
    <w:p w14:paraId="000D6904">
      <w:pPr>
        <w:pStyle w:val="2"/>
        <w:spacing w:before="145" w:line="220" w:lineRule="auto"/>
        <w:ind w:left="427"/>
        <w:rPr>
          <w:rFonts w:ascii="Arial" w:hAnsi="Arial" w:eastAsia="Arial" w:cs="Arial"/>
          <w:sz w:val="23"/>
          <w:szCs w:val="23"/>
        </w:rPr>
      </w:pPr>
      <w:r>
        <w:rPr>
          <w:spacing w:val="-17"/>
          <w:sz w:val="23"/>
          <w:szCs w:val="23"/>
        </w:rPr>
        <w:t>关于监理人的其他约定：</w:t>
      </w:r>
      <w:r>
        <w:rPr>
          <w:spacing w:val="2"/>
          <w:sz w:val="23"/>
          <w:szCs w:val="23"/>
          <w:u w:val="single" w:color="auto"/>
        </w:rPr>
        <w:t xml:space="preserve">                 </w:t>
      </w:r>
      <w:r>
        <w:rPr>
          <w:spacing w:val="-91"/>
          <w:sz w:val="23"/>
          <w:szCs w:val="23"/>
        </w:rPr>
        <w:t xml:space="preserve"> </w:t>
      </w:r>
      <w:r>
        <w:rPr>
          <w:rFonts w:ascii="Arial" w:hAnsi="Arial" w:eastAsia="Arial" w:cs="Arial"/>
          <w:spacing w:val="-17"/>
          <w:sz w:val="23"/>
          <w:szCs w:val="23"/>
        </w:rPr>
        <w:t>o</w:t>
      </w:r>
    </w:p>
    <w:p w14:paraId="424F4FDE">
      <w:pPr>
        <w:pStyle w:val="2"/>
        <w:spacing w:before="90" w:line="222" w:lineRule="auto"/>
        <w:rPr>
          <w:rFonts w:ascii="黑体" w:hAnsi="黑体" w:eastAsia="黑体" w:cs="黑体"/>
        </w:rPr>
      </w:pPr>
      <w:r>
        <w:rPr>
          <w:b/>
          <w:bCs/>
          <w:spacing w:val="-14"/>
        </w:rPr>
        <w:t>4.4</w:t>
      </w:r>
      <w:r>
        <w:rPr>
          <w:spacing w:val="35"/>
        </w:rPr>
        <w:t xml:space="preserve"> </w:t>
      </w:r>
      <w:r>
        <w:rPr>
          <w:rFonts w:ascii="黑体" w:hAnsi="黑体" w:eastAsia="黑体" w:cs="黑体"/>
          <w:b/>
          <w:bCs/>
          <w:spacing w:val="-14"/>
        </w:rPr>
        <w:t>商定或确定</w:t>
      </w:r>
    </w:p>
    <w:p w14:paraId="5FDB9D21">
      <w:pPr>
        <w:pStyle w:val="2"/>
        <w:spacing w:before="153" w:line="219" w:lineRule="auto"/>
        <w:jc w:val="right"/>
        <w:rPr>
          <w:sz w:val="20"/>
          <w:szCs w:val="20"/>
        </w:rPr>
      </w:pPr>
      <w:r>
        <w:rPr>
          <w:spacing w:val="9"/>
          <w:sz w:val="20"/>
          <w:szCs w:val="20"/>
        </w:rPr>
        <w:t>在发包人和承包人不能通过协商达成一致意见时，发包人授权监理人对以下事项进行确定：</w:t>
      </w:r>
    </w:p>
    <w:p w14:paraId="0B5A7BC1">
      <w:pPr>
        <w:pStyle w:val="2"/>
        <w:spacing w:before="175" w:line="222" w:lineRule="auto"/>
        <w:ind w:left="547"/>
        <w:rPr>
          <w:sz w:val="18"/>
          <w:szCs w:val="18"/>
        </w:rPr>
      </w:pPr>
      <w:r>
        <w:rPr>
          <w:spacing w:val="-13"/>
          <w:sz w:val="18"/>
          <w:szCs w:val="18"/>
        </w:rPr>
        <w:t>(1)</w:t>
      </w:r>
      <w:r>
        <w:rPr>
          <w:spacing w:val="88"/>
          <w:sz w:val="18"/>
          <w:szCs w:val="18"/>
        </w:rPr>
        <w:t xml:space="preserve"> </w:t>
      </w:r>
      <w:r>
        <w:rPr>
          <w:sz w:val="18"/>
          <w:szCs w:val="18"/>
          <w:u w:val="single" w:color="auto"/>
        </w:rPr>
        <w:t xml:space="preserve">                                          </w:t>
      </w:r>
    </w:p>
    <w:p w14:paraId="78E36C88">
      <w:pPr>
        <w:pStyle w:val="2"/>
        <w:spacing w:before="106" w:line="219" w:lineRule="auto"/>
        <w:ind w:left="547"/>
        <w:rPr>
          <w:sz w:val="14"/>
          <w:szCs w:val="14"/>
        </w:rPr>
      </w:pPr>
      <w:r>
        <w:rPr>
          <w:spacing w:val="-18"/>
        </w:rPr>
        <w:t>(2)</w:t>
      </w:r>
      <w:r>
        <w:rPr>
          <w:u w:val="single" w:color="auto"/>
        </w:rPr>
        <w:t xml:space="preserve">                              </w:t>
      </w:r>
      <w:r>
        <w:rPr>
          <w:position w:val="-4"/>
          <w:sz w:val="14"/>
          <w:szCs w:val="14"/>
        </w:rPr>
        <w:t>;</w:t>
      </w:r>
    </w:p>
    <w:p w14:paraId="43F5ABD8">
      <w:pPr>
        <w:pStyle w:val="2"/>
        <w:spacing w:before="144" w:line="222" w:lineRule="auto"/>
        <w:ind w:left="547"/>
        <w:rPr>
          <w:sz w:val="20"/>
          <w:szCs w:val="20"/>
        </w:rPr>
      </w:pPr>
      <w:r>
        <w:rPr>
          <w:spacing w:val="-15"/>
          <w:sz w:val="20"/>
          <w:szCs w:val="20"/>
        </w:rPr>
        <w:t>(3)</w:t>
      </w:r>
      <w:r>
        <w:rPr>
          <w:spacing w:val="33"/>
          <w:sz w:val="20"/>
          <w:szCs w:val="20"/>
        </w:rPr>
        <w:t xml:space="preserve"> </w:t>
      </w:r>
      <w:r>
        <w:rPr>
          <w:sz w:val="20"/>
          <w:szCs w:val="20"/>
          <w:u w:val="single" w:color="auto"/>
        </w:rPr>
        <w:t xml:space="preserve">                                     </w:t>
      </w:r>
    </w:p>
    <w:p w14:paraId="55DD7921">
      <w:pPr>
        <w:pStyle w:val="2"/>
        <w:spacing w:before="204" w:line="222" w:lineRule="auto"/>
        <w:ind w:left="1"/>
        <w:rPr>
          <w:rFonts w:ascii="黑体" w:hAnsi="黑体" w:eastAsia="黑体" w:cs="黑体"/>
          <w:sz w:val="30"/>
          <w:szCs w:val="30"/>
        </w:rPr>
      </w:pPr>
      <w:r>
        <w:rPr>
          <w:b/>
          <w:bCs/>
          <w:spacing w:val="5"/>
          <w:sz w:val="30"/>
          <w:szCs w:val="30"/>
        </w:rPr>
        <w:t>5.</w:t>
      </w:r>
      <w:r>
        <w:rPr>
          <w:rFonts w:ascii="黑体" w:hAnsi="黑体" w:eastAsia="黑体" w:cs="黑体"/>
          <w:b/>
          <w:bCs/>
          <w:spacing w:val="5"/>
          <w:sz w:val="30"/>
          <w:szCs w:val="30"/>
        </w:rPr>
        <w:t>工程质量</w:t>
      </w:r>
    </w:p>
    <w:p w14:paraId="37972357">
      <w:pPr>
        <w:pStyle w:val="2"/>
        <w:spacing w:before="70" w:line="222" w:lineRule="auto"/>
        <w:rPr>
          <w:rFonts w:ascii="黑体" w:hAnsi="黑体" w:eastAsia="黑体" w:cs="黑体"/>
        </w:rPr>
      </w:pPr>
      <w:r>
        <w:rPr>
          <w:b/>
          <w:bCs/>
          <w:spacing w:val="-8"/>
        </w:rPr>
        <w:t>5.1</w:t>
      </w:r>
      <w:r>
        <w:rPr>
          <w:spacing w:val="-8"/>
        </w:rPr>
        <w:t xml:space="preserve"> </w:t>
      </w:r>
      <w:r>
        <w:rPr>
          <w:rFonts w:ascii="黑体" w:hAnsi="黑体" w:eastAsia="黑体" w:cs="黑体"/>
          <w:b/>
          <w:bCs/>
          <w:spacing w:val="-8"/>
        </w:rPr>
        <w:t>质量要求</w:t>
      </w:r>
    </w:p>
    <w:p w14:paraId="402E377B">
      <w:pPr>
        <w:pStyle w:val="2"/>
        <w:spacing w:before="141" w:line="219" w:lineRule="auto"/>
        <w:ind w:left="427"/>
        <w:rPr>
          <w:sz w:val="20"/>
          <w:szCs w:val="20"/>
        </w:rPr>
      </w:pPr>
      <w:r>
        <w:rPr>
          <w:spacing w:val="3"/>
          <w:sz w:val="20"/>
          <w:szCs w:val="20"/>
        </w:rPr>
        <w:t>5.1.1</w:t>
      </w:r>
      <w:r>
        <w:rPr>
          <w:spacing w:val="54"/>
          <w:sz w:val="20"/>
          <w:szCs w:val="20"/>
        </w:rPr>
        <w:t xml:space="preserve"> </w:t>
      </w:r>
      <w:r>
        <w:rPr>
          <w:spacing w:val="3"/>
          <w:sz w:val="20"/>
          <w:szCs w:val="20"/>
        </w:rPr>
        <w:t>特殊质量标准和要求：</w:t>
      </w:r>
    </w:p>
    <w:p w14:paraId="710353FD">
      <w:pPr>
        <w:spacing w:line="247" w:lineRule="auto"/>
        <w:rPr>
          <w:rFonts w:ascii="Arial"/>
          <w:sz w:val="21"/>
        </w:rPr>
      </w:pPr>
    </w:p>
    <w:p w14:paraId="37945410">
      <w:pPr>
        <w:spacing w:line="248" w:lineRule="auto"/>
        <w:rPr>
          <w:rFonts w:ascii="Arial"/>
          <w:sz w:val="21"/>
        </w:rPr>
      </w:pPr>
      <w:r>
        <w:drawing>
          <wp:anchor distT="0" distB="0" distL="0" distR="0" simplePos="0" relativeHeight="251705344" behindDoc="0" locked="0" layoutInCell="1" allowOverlap="1">
            <wp:simplePos x="0" y="0"/>
            <wp:positionH relativeFrom="column">
              <wp:posOffset>271145</wp:posOffset>
            </wp:positionH>
            <wp:positionV relativeFrom="paragraph">
              <wp:posOffset>73025</wp:posOffset>
            </wp:positionV>
            <wp:extent cx="5105400" cy="6350"/>
            <wp:effectExtent l="0" t="0" r="0" b="0"/>
            <wp:wrapNone/>
            <wp:docPr id="116" name="IM 116"/>
            <wp:cNvGraphicFramePr/>
            <a:graphic xmlns:a="http://schemas.openxmlformats.org/drawingml/2006/main">
              <a:graphicData uri="http://schemas.openxmlformats.org/drawingml/2006/picture">
                <pic:pic xmlns:pic="http://schemas.openxmlformats.org/drawingml/2006/picture">
                  <pic:nvPicPr>
                    <pic:cNvPr id="116" name="IM 116"/>
                    <pic:cNvPicPr/>
                  </pic:nvPicPr>
                  <pic:blipFill>
                    <a:blip r:embed="rId458"/>
                    <a:stretch>
                      <a:fillRect/>
                    </a:stretch>
                  </pic:blipFill>
                  <pic:spPr>
                    <a:xfrm>
                      <a:off x="0" y="0"/>
                      <a:ext cx="5105377" cy="6416"/>
                    </a:xfrm>
                    <a:prstGeom prst="rect">
                      <a:avLst/>
                    </a:prstGeom>
                  </pic:spPr>
                </pic:pic>
              </a:graphicData>
            </a:graphic>
          </wp:anchor>
        </w:drawing>
      </w:r>
    </w:p>
    <w:p w14:paraId="6AEA6BA5">
      <w:pPr>
        <w:pStyle w:val="2"/>
        <w:spacing w:before="65" w:line="220" w:lineRule="auto"/>
        <w:ind w:left="427"/>
        <w:rPr>
          <w:sz w:val="20"/>
          <w:szCs w:val="20"/>
        </w:rPr>
      </w:pPr>
      <w:r>
        <w:rPr>
          <w:spacing w:val="6"/>
          <w:sz w:val="20"/>
          <w:szCs w:val="20"/>
        </w:rPr>
        <w:t>关于工程奖项的约定：</w:t>
      </w:r>
    </w:p>
    <w:p w14:paraId="03C30600">
      <w:pPr>
        <w:spacing w:line="220" w:lineRule="auto"/>
        <w:rPr>
          <w:sz w:val="20"/>
          <w:szCs w:val="20"/>
        </w:rPr>
        <w:sectPr>
          <w:headerReference r:id="rId251" w:type="default"/>
          <w:footerReference r:id="rId252" w:type="default"/>
          <w:pgSz w:w="11910" w:h="16840"/>
          <w:pgMar w:top="400" w:right="1670" w:bottom="1017" w:left="1442" w:header="0" w:footer="891" w:gutter="0"/>
          <w:cols w:space="720" w:num="1"/>
        </w:sectPr>
      </w:pPr>
    </w:p>
    <w:p w14:paraId="18FA7041">
      <w:pPr>
        <w:pStyle w:val="2"/>
        <w:spacing w:before="160" w:line="222" w:lineRule="auto"/>
        <w:rPr>
          <w:rFonts w:ascii="黑体" w:hAnsi="黑体" w:eastAsia="黑体" w:cs="黑体"/>
        </w:rPr>
      </w:pPr>
      <w:r>
        <w:rPr>
          <w:b/>
          <w:bCs/>
          <w:spacing w:val="-11"/>
        </w:rPr>
        <w:t>5.3</w:t>
      </w:r>
      <w:r>
        <w:rPr>
          <w:spacing w:val="-11"/>
        </w:rPr>
        <w:t xml:space="preserve"> </w:t>
      </w:r>
      <w:r>
        <w:rPr>
          <w:rFonts w:ascii="黑体" w:hAnsi="黑体" w:eastAsia="黑体" w:cs="黑体"/>
          <w:b/>
          <w:bCs/>
          <w:spacing w:val="-11"/>
        </w:rPr>
        <w:t>隐蔽工程检查</w:t>
      </w:r>
    </w:p>
    <w:p w14:paraId="7DBD3452">
      <w:pPr>
        <w:pStyle w:val="2"/>
        <w:spacing w:before="142" w:line="219" w:lineRule="auto"/>
        <w:ind w:left="427"/>
        <w:rPr>
          <w:sz w:val="20"/>
          <w:szCs w:val="20"/>
        </w:rPr>
      </w:pPr>
      <w:r>
        <w:rPr>
          <w:spacing w:val="10"/>
          <w:sz w:val="20"/>
          <w:szCs w:val="20"/>
        </w:rPr>
        <w:t>5.3.2承包人提前通知监理人隐蔽工程检查的期限的约定：</w:t>
      </w:r>
    </w:p>
    <w:p w14:paraId="4DF07399">
      <w:pPr>
        <w:spacing w:line="273" w:lineRule="auto"/>
        <w:rPr>
          <w:rFonts w:ascii="Arial"/>
          <w:sz w:val="21"/>
        </w:rPr>
      </w:pPr>
    </w:p>
    <w:p w14:paraId="4BCE2C78">
      <w:pPr>
        <w:tabs>
          <w:tab w:val="left" w:pos="8425"/>
        </w:tabs>
        <w:spacing w:before="18" w:line="188" w:lineRule="auto"/>
        <w:ind w:left="427"/>
        <w:rPr>
          <w:rFonts w:ascii="Times New Roman" w:hAnsi="Times New Roman" w:eastAsia="Times New Roman" w:cs="Times New Roman"/>
          <w:sz w:val="6"/>
          <w:szCs w:val="6"/>
        </w:rPr>
      </w:pPr>
      <w:r>
        <w:rPr>
          <w:rFonts w:ascii="Times New Roman" w:hAnsi="Times New Roman" w:eastAsia="Times New Roman" w:cs="Times New Roman"/>
          <w:sz w:val="6"/>
          <w:szCs w:val="6"/>
          <w:u w:val="single" w:color="auto"/>
        </w:rPr>
        <w:tab/>
      </w:r>
      <w:r>
        <w:rPr>
          <w:rFonts w:ascii="Times New Roman" w:hAnsi="Times New Roman" w:eastAsia="Times New Roman" w:cs="Times New Roman"/>
          <w:spacing w:val="-5"/>
          <w:sz w:val="6"/>
          <w:szCs w:val="6"/>
        </w:rPr>
        <w:t xml:space="preserve"> </w:t>
      </w:r>
      <w:r>
        <w:rPr>
          <w:rFonts w:ascii="Times New Roman" w:hAnsi="Times New Roman" w:eastAsia="Times New Roman" w:cs="Times New Roman"/>
          <w:sz w:val="6"/>
          <w:szCs w:val="6"/>
        </w:rPr>
        <w:t>0</w:t>
      </w:r>
    </w:p>
    <w:p w14:paraId="4316DF19">
      <w:pPr>
        <w:pStyle w:val="2"/>
        <w:spacing w:before="205" w:line="219" w:lineRule="auto"/>
        <w:ind w:left="427"/>
        <w:rPr>
          <w:sz w:val="21"/>
          <w:szCs w:val="21"/>
        </w:rPr>
      </w:pPr>
      <w:r>
        <w:rPr>
          <w:spacing w:val="-5"/>
          <w:sz w:val="21"/>
          <w:szCs w:val="21"/>
        </w:rPr>
        <w:t>监理人不能按时进行检查时，应提前</w:t>
      </w:r>
      <w:r>
        <w:rPr>
          <w:spacing w:val="-63"/>
          <w:sz w:val="21"/>
          <w:szCs w:val="21"/>
        </w:rPr>
        <w:t xml:space="preserve"> </w:t>
      </w:r>
      <w:r>
        <w:rPr>
          <w:spacing w:val="-5"/>
          <w:sz w:val="21"/>
          <w:szCs w:val="21"/>
          <w:u w:val="single" w:color="auto"/>
        </w:rPr>
        <w:t xml:space="preserve">        </w:t>
      </w:r>
      <w:r>
        <w:rPr>
          <w:spacing w:val="-5"/>
          <w:sz w:val="21"/>
          <w:szCs w:val="21"/>
        </w:rPr>
        <w:t>小时提交书面延期要求。</w:t>
      </w:r>
    </w:p>
    <w:p w14:paraId="5DDB4E31">
      <w:pPr>
        <w:pStyle w:val="2"/>
        <w:spacing w:before="152" w:line="219" w:lineRule="auto"/>
        <w:ind w:left="427"/>
        <w:rPr>
          <w:sz w:val="21"/>
          <w:szCs w:val="21"/>
        </w:rPr>
      </w:pPr>
      <w:r>
        <w:rPr>
          <w:spacing w:val="-1"/>
          <w:sz w:val="21"/>
          <w:szCs w:val="21"/>
        </w:rPr>
        <w:t>关于延期最长不得超过：</w:t>
      </w:r>
      <w:r>
        <w:rPr>
          <w:spacing w:val="-1"/>
          <w:sz w:val="21"/>
          <w:szCs w:val="21"/>
          <w:u w:val="single" w:color="auto"/>
        </w:rPr>
        <w:t xml:space="preserve">         </w:t>
      </w:r>
      <w:r>
        <w:rPr>
          <w:spacing w:val="-95"/>
          <w:sz w:val="21"/>
          <w:szCs w:val="21"/>
        </w:rPr>
        <w:t xml:space="preserve"> </w:t>
      </w:r>
      <w:r>
        <w:rPr>
          <w:spacing w:val="-2"/>
          <w:sz w:val="21"/>
          <w:szCs w:val="21"/>
        </w:rPr>
        <w:t>小时。</w:t>
      </w:r>
    </w:p>
    <w:p w14:paraId="382F7D0F">
      <w:pPr>
        <w:pStyle w:val="2"/>
        <w:spacing w:before="187" w:line="221" w:lineRule="auto"/>
        <w:ind w:left="1"/>
        <w:rPr>
          <w:rFonts w:ascii="黑体" w:hAnsi="黑体" w:eastAsia="黑体" w:cs="黑体"/>
          <w:sz w:val="29"/>
          <w:szCs w:val="29"/>
        </w:rPr>
      </w:pPr>
      <w:r>
        <w:rPr>
          <w:b/>
          <w:bCs/>
          <w:spacing w:val="-6"/>
          <w:sz w:val="29"/>
          <w:szCs w:val="29"/>
        </w:rPr>
        <w:t>6.</w:t>
      </w:r>
      <w:r>
        <w:rPr>
          <w:spacing w:val="-79"/>
          <w:sz w:val="29"/>
          <w:szCs w:val="29"/>
        </w:rPr>
        <w:t xml:space="preserve"> </w:t>
      </w:r>
      <w:r>
        <w:rPr>
          <w:rFonts w:ascii="黑体" w:hAnsi="黑体" w:eastAsia="黑体" w:cs="黑体"/>
          <w:b/>
          <w:bCs/>
          <w:spacing w:val="-6"/>
          <w:sz w:val="29"/>
          <w:szCs w:val="29"/>
        </w:rPr>
        <w:t>安全文明施工与环境保护</w:t>
      </w:r>
    </w:p>
    <w:p w14:paraId="33C2DE96">
      <w:pPr>
        <w:spacing w:before="82" w:line="221" w:lineRule="auto"/>
        <w:rPr>
          <w:rFonts w:ascii="黑体" w:hAnsi="黑体" w:eastAsia="黑体" w:cs="黑体"/>
          <w:sz w:val="25"/>
          <w:szCs w:val="25"/>
        </w:rPr>
      </w:pPr>
      <w:r>
        <w:rPr>
          <w:rFonts w:ascii="黑体" w:hAnsi="黑体" w:eastAsia="黑体" w:cs="黑体"/>
          <w:b/>
          <w:bCs/>
          <w:spacing w:val="-4"/>
          <w:sz w:val="25"/>
          <w:szCs w:val="25"/>
        </w:rPr>
        <w:t>6.1安全文明施工</w:t>
      </w:r>
    </w:p>
    <w:p w14:paraId="5E604FBB">
      <w:pPr>
        <w:pStyle w:val="2"/>
        <w:spacing w:before="144" w:line="219" w:lineRule="auto"/>
        <w:ind w:left="427"/>
        <w:rPr>
          <w:sz w:val="20"/>
          <w:szCs w:val="20"/>
        </w:rPr>
      </w:pPr>
      <w:r>
        <w:rPr>
          <w:spacing w:val="11"/>
          <w:sz w:val="20"/>
          <w:szCs w:val="20"/>
        </w:rPr>
        <w:t>6.1.1项目安全生产的达标目标及相应事项的约定：</w:t>
      </w:r>
    </w:p>
    <w:p w14:paraId="72B05E19">
      <w:pPr>
        <w:spacing w:line="247" w:lineRule="auto"/>
        <w:rPr>
          <w:rFonts w:ascii="Arial"/>
          <w:sz w:val="21"/>
        </w:rPr>
      </w:pPr>
    </w:p>
    <w:p w14:paraId="7C27E634">
      <w:pPr>
        <w:spacing w:line="247" w:lineRule="auto"/>
        <w:rPr>
          <w:rFonts w:ascii="Arial"/>
          <w:sz w:val="21"/>
        </w:rPr>
      </w:pPr>
      <w:r>
        <w:drawing>
          <wp:anchor distT="0" distB="0" distL="0" distR="0" simplePos="0" relativeHeight="251711488" behindDoc="0" locked="0" layoutInCell="1" allowOverlap="1">
            <wp:simplePos x="0" y="0"/>
            <wp:positionH relativeFrom="column">
              <wp:posOffset>271145</wp:posOffset>
            </wp:positionH>
            <wp:positionV relativeFrom="paragraph">
              <wp:posOffset>48260</wp:posOffset>
            </wp:positionV>
            <wp:extent cx="5080000" cy="6350"/>
            <wp:effectExtent l="0" t="0" r="0" b="0"/>
            <wp:wrapNone/>
            <wp:docPr id="120" name="IM 120"/>
            <wp:cNvGraphicFramePr/>
            <a:graphic xmlns:a="http://schemas.openxmlformats.org/drawingml/2006/main">
              <a:graphicData uri="http://schemas.openxmlformats.org/drawingml/2006/picture">
                <pic:pic xmlns:pic="http://schemas.openxmlformats.org/drawingml/2006/picture">
                  <pic:nvPicPr>
                    <pic:cNvPr id="120" name="IM 120"/>
                    <pic:cNvPicPr/>
                  </pic:nvPicPr>
                  <pic:blipFill>
                    <a:blip r:embed="rId459"/>
                    <a:stretch>
                      <a:fillRect/>
                    </a:stretch>
                  </pic:blipFill>
                  <pic:spPr>
                    <a:xfrm>
                      <a:off x="0" y="0"/>
                      <a:ext cx="5079966" cy="6350"/>
                    </a:xfrm>
                    <a:prstGeom prst="rect">
                      <a:avLst/>
                    </a:prstGeom>
                  </pic:spPr>
                </pic:pic>
              </a:graphicData>
            </a:graphic>
          </wp:anchor>
        </w:drawing>
      </w:r>
    </w:p>
    <w:p w14:paraId="4092C01C">
      <w:pPr>
        <w:pStyle w:val="2"/>
        <w:spacing w:before="66" w:line="219" w:lineRule="auto"/>
        <w:ind w:left="427"/>
        <w:rPr>
          <w:sz w:val="20"/>
          <w:szCs w:val="20"/>
        </w:rPr>
      </w:pPr>
      <w:r>
        <w:rPr>
          <w:spacing w:val="6"/>
          <w:sz w:val="20"/>
          <w:szCs w:val="20"/>
        </w:rPr>
        <w:t>6.1.4 关于治安保卫的特别约定：</w:t>
      </w:r>
    </w:p>
    <w:p w14:paraId="467D74FA">
      <w:pPr>
        <w:spacing w:line="252" w:lineRule="auto"/>
        <w:rPr>
          <w:rFonts w:ascii="Arial"/>
          <w:sz w:val="21"/>
        </w:rPr>
      </w:pPr>
    </w:p>
    <w:p w14:paraId="12ED7C7C">
      <w:pPr>
        <w:spacing w:line="252" w:lineRule="auto"/>
        <w:rPr>
          <w:rFonts w:ascii="Arial"/>
          <w:sz w:val="21"/>
        </w:rPr>
      </w:pPr>
    </w:p>
    <w:p w14:paraId="56C30FD6">
      <w:pPr>
        <w:pStyle w:val="2"/>
        <w:spacing w:before="66" w:line="219" w:lineRule="auto"/>
        <w:ind w:left="427"/>
        <w:rPr>
          <w:sz w:val="20"/>
          <w:szCs w:val="20"/>
        </w:rPr>
      </w:pPr>
      <w:r>
        <w:rPr>
          <w:spacing w:val="7"/>
          <w:sz w:val="20"/>
          <w:szCs w:val="20"/>
        </w:rPr>
        <w:t>关于编制施工场地治安管理计划的约定：</w:t>
      </w:r>
    </w:p>
    <w:p w14:paraId="062E5997">
      <w:pPr>
        <w:spacing w:line="274" w:lineRule="auto"/>
        <w:rPr>
          <w:rFonts w:ascii="Arial"/>
          <w:sz w:val="21"/>
        </w:rPr>
      </w:pPr>
    </w:p>
    <w:p w14:paraId="4378ADF8">
      <w:pPr>
        <w:tabs>
          <w:tab w:val="left" w:pos="8417"/>
        </w:tabs>
        <w:spacing w:before="18" w:line="142" w:lineRule="auto"/>
        <w:ind w:left="427"/>
        <w:rPr>
          <w:rFonts w:ascii="Times New Roman" w:hAnsi="Times New Roman" w:eastAsia="Times New Roman" w:cs="Times New Roman"/>
          <w:sz w:val="6"/>
          <w:szCs w:val="6"/>
        </w:rPr>
      </w:pPr>
      <w:r>
        <w:rPr>
          <w:rFonts w:ascii="Times New Roman" w:hAnsi="Times New Roman" w:eastAsia="Times New Roman" w:cs="Times New Roman"/>
          <w:sz w:val="6"/>
          <w:szCs w:val="6"/>
          <w:u w:val="single" w:color="auto"/>
        </w:rPr>
        <w:tab/>
      </w:r>
      <w:r>
        <w:rPr>
          <w:rFonts w:ascii="Times New Roman" w:hAnsi="Times New Roman" w:eastAsia="Times New Roman" w:cs="Times New Roman"/>
          <w:sz w:val="6"/>
          <w:szCs w:val="6"/>
        </w:rPr>
        <w:t>_o</w:t>
      </w:r>
    </w:p>
    <w:p w14:paraId="4424272B">
      <w:pPr>
        <w:pStyle w:val="2"/>
        <w:spacing w:before="218" w:line="219" w:lineRule="auto"/>
        <w:ind w:left="427"/>
        <w:rPr>
          <w:sz w:val="20"/>
          <w:szCs w:val="20"/>
        </w:rPr>
      </w:pPr>
      <w:r>
        <w:rPr>
          <w:spacing w:val="3"/>
          <w:sz w:val="20"/>
          <w:szCs w:val="20"/>
        </w:rPr>
        <w:t>6.1.5</w:t>
      </w:r>
      <w:r>
        <w:rPr>
          <w:spacing w:val="43"/>
          <w:sz w:val="20"/>
          <w:szCs w:val="20"/>
        </w:rPr>
        <w:t xml:space="preserve"> </w:t>
      </w:r>
      <w:r>
        <w:rPr>
          <w:spacing w:val="3"/>
          <w:sz w:val="20"/>
          <w:szCs w:val="20"/>
        </w:rPr>
        <w:t>文明施工</w:t>
      </w:r>
    </w:p>
    <w:p w14:paraId="668DBCE9">
      <w:pPr>
        <w:pStyle w:val="2"/>
        <w:spacing w:before="173" w:line="219" w:lineRule="auto"/>
        <w:ind w:left="427"/>
        <w:rPr>
          <w:sz w:val="20"/>
          <w:szCs w:val="20"/>
        </w:rPr>
      </w:pPr>
      <w:r>
        <w:rPr>
          <w:spacing w:val="6"/>
          <w:sz w:val="20"/>
          <w:szCs w:val="20"/>
        </w:rPr>
        <w:t>合同当事人对文明施工的要求：</w:t>
      </w:r>
    </w:p>
    <w:p w14:paraId="33490E7E">
      <w:pPr>
        <w:spacing w:line="274" w:lineRule="auto"/>
        <w:rPr>
          <w:rFonts w:ascii="Arial"/>
          <w:sz w:val="21"/>
        </w:rPr>
      </w:pPr>
    </w:p>
    <w:p w14:paraId="59048EBA">
      <w:pPr>
        <w:tabs>
          <w:tab w:val="left" w:pos="8417"/>
        </w:tabs>
        <w:spacing w:before="18" w:line="142" w:lineRule="auto"/>
        <w:ind w:left="427"/>
        <w:rPr>
          <w:rFonts w:ascii="Times New Roman" w:hAnsi="Times New Roman" w:eastAsia="Times New Roman" w:cs="Times New Roman"/>
          <w:sz w:val="6"/>
          <w:szCs w:val="6"/>
        </w:rPr>
      </w:pPr>
      <w:r>
        <w:rPr>
          <w:rFonts w:ascii="Times New Roman" w:hAnsi="Times New Roman" w:eastAsia="Times New Roman" w:cs="Times New Roman"/>
          <w:sz w:val="6"/>
          <w:szCs w:val="6"/>
          <w:u w:val="single" w:color="auto"/>
        </w:rPr>
        <w:tab/>
      </w:r>
      <w:r>
        <w:rPr>
          <w:rFonts w:ascii="Times New Roman" w:hAnsi="Times New Roman" w:eastAsia="Times New Roman" w:cs="Times New Roman"/>
          <w:sz w:val="6"/>
          <w:szCs w:val="6"/>
        </w:rPr>
        <w:t>_o</w:t>
      </w:r>
    </w:p>
    <w:p w14:paraId="1486F8F9">
      <w:pPr>
        <w:pStyle w:val="2"/>
        <w:spacing w:before="218" w:line="219" w:lineRule="auto"/>
        <w:ind w:left="427"/>
        <w:rPr>
          <w:sz w:val="20"/>
          <w:szCs w:val="20"/>
        </w:rPr>
      </w:pPr>
      <w:r>
        <w:rPr>
          <w:spacing w:val="11"/>
          <w:sz w:val="20"/>
          <w:szCs w:val="20"/>
        </w:rPr>
        <w:t>6.1.6关于安全文明施工费支付比例和支付期限的约定：</w:t>
      </w:r>
    </w:p>
    <w:p w14:paraId="41DD2F0E">
      <w:pPr>
        <w:spacing w:line="246" w:lineRule="auto"/>
        <w:rPr>
          <w:rFonts w:ascii="Arial"/>
          <w:sz w:val="21"/>
        </w:rPr>
      </w:pPr>
    </w:p>
    <w:p w14:paraId="6FB0FC08">
      <w:pPr>
        <w:spacing w:line="246" w:lineRule="auto"/>
        <w:rPr>
          <w:rFonts w:ascii="Arial"/>
          <w:sz w:val="21"/>
        </w:rPr>
      </w:pPr>
      <w:r>
        <w:drawing>
          <wp:anchor distT="0" distB="0" distL="0" distR="0" simplePos="0" relativeHeight="251710464" behindDoc="0" locked="0" layoutInCell="1" allowOverlap="1">
            <wp:simplePos x="0" y="0"/>
            <wp:positionH relativeFrom="column">
              <wp:posOffset>257810</wp:posOffset>
            </wp:positionH>
            <wp:positionV relativeFrom="paragraph">
              <wp:posOffset>80010</wp:posOffset>
            </wp:positionV>
            <wp:extent cx="5111750" cy="6350"/>
            <wp:effectExtent l="0" t="0" r="0" b="0"/>
            <wp:wrapNone/>
            <wp:docPr id="122" name="IM 122"/>
            <wp:cNvGraphicFramePr/>
            <a:graphic xmlns:a="http://schemas.openxmlformats.org/drawingml/2006/main">
              <a:graphicData uri="http://schemas.openxmlformats.org/drawingml/2006/picture">
                <pic:pic xmlns:pic="http://schemas.openxmlformats.org/drawingml/2006/picture">
                  <pic:nvPicPr>
                    <pic:cNvPr id="122" name="IM 122"/>
                    <pic:cNvPicPr/>
                  </pic:nvPicPr>
                  <pic:blipFill>
                    <a:blip r:embed="rId460"/>
                    <a:stretch>
                      <a:fillRect/>
                    </a:stretch>
                  </pic:blipFill>
                  <pic:spPr>
                    <a:xfrm>
                      <a:off x="0" y="0"/>
                      <a:ext cx="5111729" cy="6350"/>
                    </a:xfrm>
                    <a:prstGeom prst="rect">
                      <a:avLst/>
                    </a:prstGeom>
                  </pic:spPr>
                </pic:pic>
              </a:graphicData>
            </a:graphic>
          </wp:anchor>
        </w:drawing>
      </w:r>
    </w:p>
    <w:p w14:paraId="44AF42FB">
      <w:pPr>
        <w:pStyle w:val="2"/>
        <w:spacing w:before="95" w:line="222" w:lineRule="auto"/>
        <w:ind w:left="1"/>
        <w:rPr>
          <w:rFonts w:ascii="黑体" w:hAnsi="黑体" w:eastAsia="黑体" w:cs="黑体"/>
          <w:sz w:val="29"/>
          <w:szCs w:val="29"/>
        </w:rPr>
      </w:pPr>
      <w:r>
        <w:rPr>
          <w:b/>
          <w:bCs/>
          <w:spacing w:val="-4"/>
          <w:sz w:val="29"/>
          <w:szCs w:val="29"/>
        </w:rPr>
        <w:t>7.</w:t>
      </w:r>
      <w:r>
        <w:rPr>
          <w:spacing w:val="-75"/>
          <w:sz w:val="29"/>
          <w:szCs w:val="29"/>
        </w:rPr>
        <w:t xml:space="preserve"> </w:t>
      </w:r>
      <w:r>
        <w:rPr>
          <w:rFonts w:ascii="黑体" w:hAnsi="黑体" w:eastAsia="黑体" w:cs="黑体"/>
          <w:b/>
          <w:bCs/>
          <w:spacing w:val="-4"/>
          <w:sz w:val="29"/>
          <w:szCs w:val="29"/>
        </w:rPr>
        <w:t>工期和进度</w:t>
      </w:r>
    </w:p>
    <w:p w14:paraId="45E1EA35">
      <w:pPr>
        <w:pStyle w:val="2"/>
        <w:spacing w:before="81" w:line="222" w:lineRule="auto"/>
        <w:rPr>
          <w:rFonts w:ascii="黑体" w:hAnsi="黑体" w:eastAsia="黑体" w:cs="黑体"/>
        </w:rPr>
      </w:pPr>
      <w:r>
        <w:rPr>
          <w:b/>
          <w:bCs/>
          <w:spacing w:val="-9"/>
        </w:rPr>
        <w:t>7.1</w:t>
      </w:r>
      <w:r>
        <w:rPr>
          <w:spacing w:val="-9"/>
        </w:rPr>
        <w:t xml:space="preserve"> </w:t>
      </w:r>
      <w:r>
        <w:rPr>
          <w:rFonts w:ascii="黑体" w:hAnsi="黑体" w:eastAsia="黑体" w:cs="黑体"/>
          <w:b/>
          <w:bCs/>
          <w:spacing w:val="-9"/>
        </w:rPr>
        <w:t>施工组织设计</w:t>
      </w:r>
    </w:p>
    <w:p w14:paraId="0D1F1F44">
      <w:pPr>
        <w:pStyle w:val="2"/>
        <w:spacing w:before="152" w:line="219" w:lineRule="auto"/>
        <w:ind w:left="427"/>
        <w:rPr>
          <w:sz w:val="20"/>
          <w:szCs w:val="20"/>
        </w:rPr>
      </w:pPr>
      <w:r>
        <w:rPr>
          <w:spacing w:val="6"/>
          <w:sz w:val="20"/>
          <w:szCs w:val="20"/>
        </w:rPr>
        <w:t>7.1.1</w:t>
      </w:r>
      <w:r>
        <w:rPr>
          <w:spacing w:val="50"/>
          <w:sz w:val="20"/>
          <w:szCs w:val="20"/>
        </w:rPr>
        <w:t xml:space="preserve"> </w:t>
      </w:r>
      <w:r>
        <w:rPr>
          <w:spacing w:val="6"/>
          <w:sz w:val="20"/>
          <w:szCs w:val="20"/>
        </w:rPr>
        <w:t>合同当事人约定的施工组织设计应包括的其他内容：</w:t>
      </w:r>
    </w:p>
    <w:p w14:paraId="1EB29A5F">
      <w:pPr>
        <w:spacing w:line="262" w:lineRule="auto"/>
        <w:rPr>
          <w:rFonts w:ascii="Arial"/>
          <w:sz w:val="21"/>
        </w:rPr>
      </w:pPr>
    </w:p>
    <w:p w14:paraId="5EED1944">
      <w:pPr>
        <w:spacing w:before="1" w:line="80" w:lineRule="exact"/>
        <w:ind w:firstLine="427"/>
      </w:pPr>
      <w:r>
        <w:rPr>
          <w:position w:val="-1"/>
        </w:rPr>
        <w:drawing>
          <wp:inline distT="0" distB="0" distL="0" distR="0">
            <wp:extent cx="5136515" cy="50165"/>
            <wp:effectExtent l="0" t="0" r="0" b="0"/>
            <wp:docPr id="124" name="IM 124"/>
            <wp:cNvGraphicFramePr/>
            <a:graphic xmlns:a="http://schemas.openxmlformats.org/drawingml/2006/main">
              <a:graphicData uri="http://schemas.openxmlformats.org/drawingml/2006/picture">
                <pic:pic xmlns:pic="http://schemas.openxmlformats.org/drawingml/2006/picture">
                  <pic:nvPicPr>
                    <pic:cNvPr id="124" name="IM 124"/>
                    <pic:cNvPicPr/>
                  </pic:nvPicPr>
                  <pic:blipFill>
                    <a:blip r:embed="rId461"/>
                    <a:stretch>
                      <a:fillRect/>
                    </a:stretch>
                  </pic:blipFill>
                  <pic:spPr>
                    <a:xfrm>
                      <a:off x="0" y="0"/>
                      <a:ext cx="5137141" cy="50600"/>
                    </a:xfrm>
                    <a:prstGeom prst="rect">
                      <a:avLst/>
                    </a:prstGeom>
                  </pic:spPr>
                </pic:pic>
              </a:graphicData>
            </a:graphic>
          </wp:inline>
        </w:drawing>
      </w:r>
    </w:p>
    <w:p w14:paraId="65709AFF">
      <w:pPr>
        <w:pStyle w:val="2"/>
        <w:spacing w:before="199" w:line="219" w:lineRule="auto"/>
        <w:ind w:left="427"/>
        <w:rPr>
          <w:sz w:val="20"/>
          <w:szCs w:val="20"/>
        </w:rPr>
      </w:pPr>
      <w:r>
        <w:rPr>
          <w:spacing w:val="13"/>
          <w:sz w:val="20"/>
          <w:szCs w:val="20"/>
        </w:rPr>
        <w:t>7.</w:t>
      </w:r>
      <w:r>
        <w:rPr>
          <w:spacing w:val="-54"/>
          <w:sz w:val="20"/>
          <w:szCs w:val="20"/>
        </w:rPr>
        <w:t xml:space="preserve"> </w:t>
      </w:r>
      <w:r>
        <w:rPr>
          <w:spacing w:val="13"/>
          <w:sz w:val="20"/>
          <w:szCs w:val="20"/>
        </w:rPr>
        <w:t>1.2施工组织设计的提交和修改</w:t>
      </w:r>
    </w:p>
    <w:p w14:paraId="4627CA0D">
      <w:pPr>
        <w:pStyle w:val="2"/>
        <w:spacing w:before="182" w:line="219" w:lineRule="auto"/>
        <w:ind w:left="427"/>
        <w:rPr>
          <w:sz w:val="20"/>
          <w:szCs w:val="20"/>
        </w:rPr>
      </w:pPr>
      <w:r>
        <w:rPr>
          <w:spacing w:val="7"/>
          <w:sz w:val="20"/>
          <w:szCs w:val="20"/>
        </w:rPr>
        <w:t>承包人提交详细施工组织设计的期限的约定：</w:t>
      </w:r>
    </w:p>
    <w:p w14:paraId="33F19BEB">
      <w:pPr>
        <w:spacing w:line="264" w:lineRule="auto"/>
        <w:rPr>
          <w:rFonts w:ascii="Arial"/>
          <w:sz w:val="21"/>
        </w:rPr>
      </w:pPr>
    </w:p>
    <w:p w14:paraId="509BE7C2">
      <w:pPr>
        <w:spacing w:before="18" w:line="39" w:lineRule="exact"/>
        <w:ind w:left="8449"/>
        <w:rPr>
          <w:rFonts w:ascii="Times New Roman" w:hAnsi="Times New Roman" w:eastAsia="Times New Roman" w:cs="Times New Roman"/>
          <w:sz w:val="6"/>
          <w:szCs w:val="6"/>
        </w:rPr>
      </w:pPr>
      <w:r>
        <w:rPr>
          <w:rFonts w:ascii="Times New Roman" w:hAnsi="Times New Roman" w:eastAsia="Times New Roman" w:cs="Times New Roman"/>
          <w:sz w:val="6"/>
          <w:szCs w:val="6"/>
        </w:rPr>
        <w:t>o</w:t>
      </w:r>
    </w:p>
    <w:p w14:paraId="52866ABE">
      <w:pPr>
        <w:spacing w:line="22" w:lineRule="exact"/>
        <w:ind w:firstLine="427"/>
      </w:pPr>
      <w:r>
        <w:drawing>
          <wp:inline distT="0" distB="0" distL="0" distR="0">
            <wp:extent cx="5093335" cy="13970"/>
            <wp:effectExtent l="0" t="0" r="0" b="0"/>
            <wp:docPr id="126" name="IM 126"/>
            <wp:cNvGraphicFramePr/>
            <a:graphic xmlns:a="http://schemas.openxmlformats.org/drawingml/2006/main">
              <a:graphicData uri="http://schemas.openxmlformats.org/drawingml/2006/picture">
                <pic:pic xmlns:pic="http://schemas.openxmlformats.org/drawingml/2006/picture">
                  <pic:nvPicPr>
                    <pic:cNvPr id="126" name="IM 126"/>
                    <pic:cNvPicPr/>
                  </pic:nvPicPr>
                  <pic:blipFill>
                    <a:blip r:embed="rId462"/>
                    <a:stretch>
                      <a:fillRect/>
                    </a:stretch>
                  </pic:blipFill>
                  <pic:spPr>
                    <a:xfrm>
                      <a:off x="0" y="0"/>
                      <a:ext cx="5093348" cy="14017"/>
                    </a:xfrm>
                    <a:prstGeom prst="rect">
                      <a:avLst/>
                    </a:prstGeom>
                  </pic:spPr>
                </pic:pic>
              </a:graphicData>
            </a:graphic>
          </wp:inline>
        </w:drawing>
      </w:r>
    </w:p>
    <w:p w14:paraId="17ACA13E">
      <w:pPr>
        <w:pStyle w:val="2"/>
        <w:spacing w:before="208" w:line="219" w:lineRule="auto"/>
        <w:ind w:left="427"/>
        <w:rPr>
          <w:sz w:val="20"/>
          <w:szCs w:val="20"/>
        </w:rPr>
      </w:pPr>
      <w:r>
        <w:rPr>
          <w:spacing w:val="9"/>
          <w:sz w:val="20"/>
          <w:szCs w:val="20"/>
        </w:rPr>
        <w:t>发包人和监理人在收到详细的施工组织设计后确认或提出修改意见的期限：</w:t>
      </w:r>
    </w:p>
    <w:p w14:paraId="1C561B9C">
      <w:pPr>
        <w:spacing w:line="435" w:lineRule="auto"/>
        <w:rPr>
          <w:rFonts w:ascii="Arial"/>
          <w:sz w:val="21"/>
        </w:rPr>
      </w:pPr>
      <w:r>
        <w:drawing>
          <wp:anchor distT="0" distB="0" distL="0" distR="0" simplePos="0" relativeHeight="251709440" behindDoc="0" locked="0" layoutInCell="1" allowOverlap="1">
            <wp:simplePos x="0" y="0"/>
            <wp:positionH relativeFrom="column">
              <wp:posOffset>257810</wp:posOffset>
            </wp:positionH>
            <wp:positionV relativeFrom="paragraph">
              <wp:posOffset>236855</wp:posOffset>
            </wp:positionV>
            <wp:extent cx="5111750" cy="12700"/>
            <wp:effectExtent l="0" t="0" r="0" b="0"/>
            <wp:wrapNone/>
            <wp:docPr id="128" name="IM 128"/>
            <wp:cNvGraphicFramePr/>
            <a:graphic xmlns:a="http://schemas.openxmlformats.org/drawingml/2006/main">
              <a:graphicData uri="http://schemas.openxmlformats.org/drawingml/2006/picture">
                <pic:pic xmlns:pic="http://schemas.openxmlformats.org/drawingml/2006/picture">
                  <pic:nvPicPr>
                    <pic:cNvPr id="128" name="IM 128"/>
                    <pic:cNvPicPr/>
                  </pic:nvPicPr>
                  <pic:blipFill>
                    <a:blip r:embed="rId463"/>
                    <a:stretch>
                      <a:fillRect/>
                    </a:stretch>
                  </pic:blipFill>
                  <pic:spPr>
                    <a:xfrm>
                      <a:off x="0" y="0"/>
                      <a:ext cx="5111729" cy="12725"/>
                    </a:xfrm>
                    <a:prstGeom prst="rect">
                      <a:avLst/>
                    </a:prstGeom>
                  </pic:spPr>
                </pic:pic>
              </a:graphicData>
            </a:graphic>
          </wp:anchor>
        </w:drawing>
      </w:r>
    </w:p>
    <w:p w14:paraId="676B5DD7">
      <w:pPr>
        <w:pStyle w:val="2"/>
        <w:spacing w:before="82" w:line="222" w:lineRule="auto"/>
        <w:rPr>
          <w:rFonts w:ascii="黑体" w:hAnsi="黑体" w:eastAsia="黑体" w:cs="黑体"/>
        </w:rPr>
      </w:pPr>
      <w:r>
        <w:rPr>
          <w:b/>
          <w:bCs/>
          <w:spacing w:val="-13"/>
        </w:rPr>
        <w:t>7.2</w:t>
      </w:r>
      <w:r>
        <w:rPr>
          <w:spacing w:val="26"/>
        </w:rPr>
        <w:t xml:space="preserve"> </w:t>
      </w:r>
      <w:r>
        <w:rPr>
          <w:rFonts w:ascii="黑体" w:hAnsi="黑体" w:eastAsia="黑体" w:cs="黑体"/>
          <w:b/>
          <w:bCs/>
          <w:spacing w:val="-13"/>
        </w:rPr>
        <w:t>施工进度计划</w:t>
      </w:r>
    </w:p>
    <w:p w14:paraId="0E72B239">
      <w:pPr>
        <w:pStyle w:val="2"/>
        <w:spacing w:before="153" w:line="219" w:lineRule="auto"/>
        <w:ind w:left="427"/>
        <w:rPr>
          <w:sz w:val="20"/>
          <w:szCs w:val="20"/>
        </w:rPr>
      </w:pPr>
      <w:r>
        <w:rPr>
          <w:spacing w:val="6"/>
          <w:sz w:val="20"/>
          <w:szCs w:val="20"/>
        </w:rPr>
        <w:t>7.2.2</w:t>
      </w:r>
      <w:r>
        <w:rPr>
          <w:spacing w:val="45"/>
          <w:sz w:val="20"/>
          <w:szCs w:val="20"/>
        </w:rPr>
        <w:t xml:space="preserve"> </w:t>
      </w:r>
      <w:r>
        <w:rPr>
          <w:spacing w:val="6"/>
          <w:sz w:val="20"/>
          <w:szCs w:val="20"/>
        </w:rPr>
        <w:t>施工进度计划的修订</w:t>
      </w:r>
    </w:p>
    <w:p w14:paraId="7A97F1A2">
      <w:pPr>
        <w:pStyle w:val="2"/>
        <w:spacing w:before="163" w:line="219" w:lineRule="auto"/>
        <w:ind w:left="427"/>
        <w:rPr>
          <w:sz w:val="20"/>
          <w:szCs w:val="20"/>
        </w:rPr>
      </w:pPr>
      <w:r>
        <w:rPr>
          <w:spacing w:val="9"/>
          <w:sz w:val="20"/>
          <w:szCs w:val="20"/>
        </w:rPr>
        <w:t>发包人和监理人在收到修订的施工进度计划后确认或提出修改意见的期限：</w:t>
      </w:r>
    </w:p>
    <w:p w14:paraId="3A665114">
      <w:pPr>
        <w:spacing w:line="251" w:lineRule="auto"/>
        <w:rPr>
          <w:rFonts w:ascii="Arial"/>
          <w:sz w:val="21"/>
        </w:rPr>
      </w:pPr>
    </w:p>
    <w:p w14:paraId="1FA33C8F">
      <w:pPr>
        <w:pStyle w:val="2"/>
        <w:tabs>
          <w:tab w:val="left" w:pos="8417"/>
        </w:tabs>
        <w:spacing w:before="19" w:line="237" w:lineRule="auto"/>
        <w:ind w:left="427"/>
        <w:rPr>
          <w:sz w:val="6"/>
          <w:szCs w:val="6"/>
        </w:rPr>
      </w:pPr>
      <w:r>
        <w:rPr>
          <w:sz w:val="6"/>
          <w:szCs w:val="6"/>
          <w:u w:val="single" w:color="auto"/>
        </w:rPr>
        <w:tab/>
      </w:r>
      <w:r>
        <w:rPr>
          <w:sz w:val="6"/>
          <w:szCs w:val="6"/>
        </w:rPr>
        <w:t>◎</w:t>
      </w:r>
    </w:p>
    <w:p w14:paraId="08C72139">
      <w:pPr>
        <w:spacing w:line="237" w:lineRule="auto"/>
        <w:rPr>
          <w:sz w:val="6"/>
          <w:szCs w:val="6"/>
        </w:rPr>
        <w:sectPr>
          <w:headerReference r:id="rId253" w:type="default"/>
          <w:footerReference r:id="rId254" w:type="default"/>
          <w:pgSz w:w="11910" w:h="16840"/>
          <w:pgMar w:top="2034" w:right="1786" w:bottom="1024" w:left="1452" w:header="1941" w:footer="889" w:gutter="0"/>
          <w:cols w:space="720" w:num="1"/>
        </w:sectPr>
      </w:pPr>
    </w:p>
    <w:p w14:paraId="10A4DA22">
      <w:pPr>
        <w:spacing w:line="259" w:lineRule="auto"/>
        <w:rPr>
          <w:rFonts w:ascii="Arial"/>
          <w:sz w:val="21"/>
        </w:rPr>
      </w:pPr>
    </w:p>
    <w:p w14:paraId="56AB8021">
      <w:pPr>
        <w:spacing w:line="259" w:lineRule="auto"/>
        <w:rPr>
          <w:rFonts w:ascii="Arial"/>
          <w:sz w:val="21"/>
        </w:rPr>
      </w:pPr>
    </w:p>
    <w:p w14:paraId="0A0A1F1B">
      <w:pPr>
        <w:spacing w:line="259" w:lineRule="auto"/>
        <w:rPr>
          <w:rFonts w:ascii="Arial"/>
          <w:sz w:val="21"/>
        </w:rPr>
      </w:pPr>
    </w:p>
    <w:p w14:paraId="2B3A2249">
      <w:pPr>
        <w:spacing w:line="259" w:lineRule="auto"/>
        <w:rPr>
          <w:rFonts w:ascii="Arial"/>
          <w:sz w:val="21"/>
        </w:rPr>
      </w:pPr>
    </w:p>
    <w:p w14:paraId="39CCAA40">
      <w:pPr>
        <w:spacing w:line="259" w:lineRule="auto"/>
        <w:rPr>
          <w:rFonts w:ascii="Arial"/>
          <w:sz w:val="21"/>
        </w:rPr>
      </w:pPr>
    </w:p>
    <w:p w14:paraId="384678AE">
      <w:pPr>
        <w:pStyle w:val="2"/>
        <w:spacing w:before="85" w:line="221" w:lineRule="auto"/>
        <w:ind w:left="3"/>
        <w:rPr>
          <w:sz w:val="26"/>
          <w:szCs w:val="26"/>
        </w:rPr>
      </w:pPr>
      <w:r>
        <w:rPr>
          <w:b/>
          <w:bCs/>
          <w:spacing w:val="-19"/>
          <w:sz w:val="26"/>
          <w:szCs w:val="26"/>
        </w:rPr>
        <w:t>7.3</w:t>
      </w:r>
      <w:r>
        <w:rPr>
          <w:spacing w:val="-19"/>
          <w:sz w:val="26"/>
          <w:szCs w:val="26"/>
        </w:rPr>
        <w:t xml:space="preserve"> </w:t>
      </w:r>
      <w:r>
        <w:rPr>
          <w:b/>
          <w:bCs/>
          <w:spacing w:val="-19"/>
          <w:sz w:val="26"/>
          <w:szCs w:val="26"/>
        </w:rPr>
        <w:t>开工</w:t>
      </w:r>
    </w:p>
    <w:p w14:paraId="4D44AF48">
      <w:pPr>
        <w:pStyle w:val="2"/>
        <w:spacing w:before="120" w:line="221" w:lineRule="auto"/>
        <w:ind w:left="429"/>
        <w:rPr>
          <w:sz w:val="22"/>
          <w:szCs w:val="22"/>
        </w:rPr>
      </w:pPr>
      <w:r>
        <w:rPr>
          <w:spacing w:val="4"/>
          <w:sz w:val="22"/>
          <w:szCs w:val="22"/>
        </w:rPr>
        <w:t>7.3.1开工准备</w:t>
      </w:r>
    </w:p>
    <w:p w14:paraId="194458BD">
      <w:pPr>
        <w:pStyle w:val="2"/>
        <w:spacing w:before="145" w:line="219" w:lineRule="auto"/>
        <w:ind w:left="429"/>
        <w:rPr>
          <w:sz w:val="22"/>
          <w:szCs w:val="22"/>
        </w:rPr>
      </w:pPr>
      <w:r>
        <w:rPr>
          <w:spacing w:val="-12"/>
          <w:sz w:val="22"/>
          <w:szCs w:val="22"/>
        </w:rPr>
        <w:t>关于承包人提交工程开工报审表的期限：</w:t>
      </w:r>
    </w:p>
    <w:p w14:paraId="26FD8E26">
      <w:pPr>
        <w:spacing w:line="385" w:lineRule="auto"/>
        <w:rPr>
          <w:rFonts w:ascii="Arial"/>
          <w:sz w:val="21"/>
        </w:rPr>
      </w:pPr>
      <w:r>
        <w:pict>
          <v:shape id="_x0000_s1039" o:spid="_x0000_s1039" style="position:absolute;left:0pt;margin-left:20.2pt;margin-top:15.45pt;height:0.5pt;width:410.55pt;z-index:251712512;mso-width-relative:page;mso-height-relative:page;" filled="f" stroked="t" coordsize="8210,10" path="m0,5l8210,5e">
            <v:fill on="f" focussize="0,0"/>
            <v:stroke weight="0.5pt" color="#000000" miterlimit="10" joinstyle="miter"/>
            <v:imagedata o:title=""/>
            <o:lock v:ext="edit"/>
          </v:shape>
        </w:pict>
      </w:r>
    </w:p>
    <w:p w14:paraId="3851D87F">
      <w:pPr>
        <w:pStyle w:val="2"/>
        <w:spacing w:before="68" w:line="332" w:lineRule="exact"/>
        <w:ind w:left="449"/>
        <w:rPr>
          <w:sz w:val="21"/>
          <w:szCs w:val="21"/>
        </w:rPr>
      </w:pPr>
      <w:r>
        <w:rPr>
          <w:spacing w:val="1"/>
          <w:position w:val="-2"/>
          <w:sz w:val="21"/>
          <w:szCs w:val="21"/>
        </w:rPr>
        <w:t xml:space="preserve">关于发包人应完成的其他开工准备工作及期限：                      </w:t>
      </w:r>
      <w:r>
        <w:rPr>
          <w:position w:val="-2"/>
          <w:sz w:val="21"/>
          <w:szCs w:val="21"/>
        </w:rPr>
        <w:t xml:space="preserve">         </w:t>
      </w:r>
      <w:r>
        <w:rPr>
          <w:position w:val="19"/>
          <w:sz w:val="21"/>
          <w:szCs w:val="21"/>
        </w:rPr>
        <w:t>_。</w:t>
      </w:r>
    </w:p>
    <w:p w14:paraId="1D486B8A">
      <w:pPr>
        <w:spacing w:line="264" w:lineRule="auto"/>
        <w:rPr>
          <w:rFonts w:ascii="Arial"/>
          <w:sz w:val="21"/>
        </w:rPr>
      </w:pPr>
      <w:r>
        <w:pict>
          <v:shape id="_x0000_s1040" o:spid="_x0000_s1040" style="position:absolute;left:0pt;margin-left:20.2pt;margin-top:13.1pt;height:0.5pt;width:410.55pt;z-index:251713536;mso-width-relative:page;mso-height-relative:page;" filled="f" stroked="t" coordsize="8210,10" path="m0,5l8210,5m0,5l8210,5e">
            <v:fill on="f" focussize="0,0"/>
            <v:stroke weight="0.5pt" color="#000000" miterlimit="10" joinstyle="miter"/>
            <v:imagedata o:title=""/>
            <o:lock v:ext="edit"/>
          </v:shape>
        </w:pict>
      </w:r>
    </w:p>
    <w:p w14:paraId="446D789B">
      <w:pPr>
        <w:spacing w:line="265" w:lineRule="auto"/>
        <w:rPr>
          <w:rFonts w:ascii="Arial"/>
          <w:sz w:val="21"/>
        </w:rPr>
      </w:pPr>
    </w:p>
    <w:p w14:paraId="63B46C6B">
      <w:pPr>
        <w:pStyle w:val="2"/>
        <w:spacing w:before="68" w:line="219" w:lineRule="auto"/>
        <w:ind w:left="439"/>
        <w:rPr>
          <w:sz w:val="21"/>
          <w:szCs w:val="21"/>
        </w:rPr>
      </w:pPr>
      <w:r>
        <w:rPr>
          <w:sz w:val="21"/>
          <w:szCs w:val="21"/>
        </w:rPr>
        <w:t>关于承包人应完成的其他开工准备工作及期限：</w:t>
      </w:r>
    </w:p>
    <w:p w14:paraId="544EF84D">
      <w:pPr>
        <w:spacing w:line="418" w:lineRule="auto"/>
        <w:rPr>
          <w:rFonts w:ascii="Arial"/>
          <w:sz w:val="21"/>
        </w:rPr>
      </w:pPr>
      <w:r>
        <w:pict>
          <v:shape id="_x0000_s1041" o:spid="_x0000_s1041" style="position:absolute;left:0pt;margin-left:20.2pt;margin-top:14.05pt;height:0.5pt;width:410.55pt;z-index:251714560;mso-width-relative:page;mso-height-relative:page;" filled="f" stroked="t" coordsize="8210,10" path="m0,5l8210,5e">
            <v:fill on="f" focussize="0,0"/>
            <v:stroke weight="0.5pt" color="#000000" miterlimit="10" joinstyle="miter"/>
            <v:imagedata o:title=""/>
            <o:lock v:ext="edit"/>
          </v:shape>
        </w:pict>
      </w:r>
    </w:p>
    <w:p w14:paraId="3DDA256A">
      <w:pPr>
        <w:pStyle w:val="2"/>
        <w:spacing w:before="72" w:line="221" w:lineRule="auto"/>
        <w:ind w:left="429"/>
        <w:rPr>
          <w:sz w:val="22"/>
          <w:szCs w:val="22"/>
        </w:rPr>
      </w:pPr>
      <w:r>
        <w:rPr>
          <w:sz w:val="22"/>
          <w:szCs w:val="22"/>
        </w:rPr>
        <w:t>7.3.2开工通知</w:t>
      </w:r>
    </w:p>
    <w:p w14:paraId="0C08540E">
      <w:pPr>
        <w:pStyle w:val="2"/>
        <w:spacing w:before="125" w:line="343" w:lineRule="auto"/>
        <w:ind w:firstLine="429"/>
        <w:rPr>
          <w:sz w:val="22"/>
          <w:szCs w:val="22"/>
        </w:rPr>
      </w:pPr>
      <w:r>
        <w:rPr>
          <w:spacing w:val="-13"/>
          <w:sz w:val="22"/>
          <w:szCs w:val="22"/>
        </w:rPr>
        <w:t>因发包</w:t>
      </w:r>
      <w:r>
        <w:rPr>
          <w:spacing w:val="-12"/>
          <w:sz w:val="22"/>
          <w:szCs w:val="22"/>
        </w:rPr>
        <w:t>人原因造成监理人未能在计划开工日期之日起</w:t>
      </w:r>
      <w:r>
        <w:rPr>
          <w:spacing w:val="-88"/>
          <w:sz w:val="22"/>
          <w:szCs w:val="22"/>
        </w:rPr>
        <w:t xml:space="preserve"> </w:t>
      </w:r>
      <w:r>
        <w:rPr>
          <w:sz w:val="22"/>
          <w:szCs w:val="22"/>
          <w:u w:val="single" w:color="auto"/>
        </w:rPr>
        <w:t xml:space="preserve">      </w:t>
      </w:r>
      <w:r>
        <w:rPr>
          <w:spacing w:val="-89"/>
          <w:sz w:val="22"/>
          <w:szCs w:val="22"/>
        </w:rPr>
        <w:t xml:space="preserve"> </w:t>
      </w:r>
      <w:r>
        <w:rPr>
          <w:spacing w:val="-12"/>
          <w:sz w:val="22"/>
          <w:szCs w:val="22"/>
        </w:rPr>
        <w:t>天内发出开工通知的，承包人有</w:t>
      </w:r>
      <w:r>
        <w:rPr>
          <w:spacing w:val="-9"/>
          <w:sz w:val="22"/>
          <w:szCs w:val="22"/>
        </w:rPr>
        <w:t>权</w:t>
      </w:r>
      <w:r>
        <w:rPr>
          <w:sz w:val="22"/>
          <w:szCs w:val="22"/>
        </w:rPr>
        <w:t xml:space="preserve"> </w:t>
      </w:r>
      <w:r>
        <w:rPr>
          <w:spacing w:val="-11"/>
          <w:sz w:val="22"/>
          <w:szCs w:val="22"/>
        </w:rPr>
        <w:t>提出价格调整要求，或者解除合同。</w:t>
      </w:r>
    </w:p>
    <w:p w14:paraId="4AB3BFFE">
      <w:pPr>
        <w:pStyle w:val="2"/>
        <w:spacing w:line="220" w:lineRule="auto"/>
        <w:ind w:left="3"/>
        <w:rPr>
          <w:sz w:val="22"/>
          <w:szCs w:val="22"/>
        </w:rPr>
      </w:pPr>
      <w:r>
        <w:rPr>
          <w:b/>
          <w:bCs/>
          <w:spacing w:val="15"/>
          <w:sz w:val="22"/>
          <w:szCs w:val="22"/>
        </w:rPr>
        <w:t>7.4</w:t>
      </w:r>
      <w:r>
        <w:rPr>
          <w:spacing w:val="15"/>
          <w:sz w:val="22"/>
          <w:szCs w:val="22"/>
        </w:rPr>
        <w:t xml:space="preserve"> </w:t>
      </w:r>
      <w:r>
        <w:rPr>
          <w:b/>
          <w:bCs/>
          <w:spacing w:val="15"/>
          <w:sz w:val="22"/>
          <w:szCs w:val="22"/>
        </w:rPr>
        <w:t>测量放线</w:t>
      </w:r>
    </w:p>
    <w:p w14:paraId="6AC6D1C9">
      <w:pPr>
        <w:pStyle w:val="2"/>
        <w:spacing w:before="119" w:line="219" w:lineRule="auto"/>
        <w:ind w:left="429"/>
        <w:rPr>
          <w:sz w:val="22"/>
          <w:szCs w:val="22"/>
        </w:rPr>
      </w:pPr>
      <w:r>
        <w:rPr>
          <w:spacing w:val="-8"/>
          <w:sz w:val="22"/>
          <w:szCs w:val="22"/>
        </w:rPr>
        <w:t>7.4.1发包人通过监理人向承包人提供测量基准点、基准线和水准点及其书面</w:t>
      </w:r>
      <w:r>
        <w:rPr>
          <w:spacing w:val="-9"/>
          <w:sz w:val="22"/>
          <w:szCs w:val="22"/>
        </w:rPr>
        <w:t>资料的期限：</w:t>
      </w:r>
    </w:p>
    <w:p w14:paraId="211B4D55">
      <w:pPr>
        <w:tabs>
          <w:tab w:val="left" w:pos="8769"/>
        </w:tabs>
        <w:spacing w:before="180"/>
        <w:ind w:left="399"/>
        <w:rPr>
          <w:rFonts w:ascii="Arial"/>
          <w:sz w:val="21"/>
        </w:rPr>
      </w:pPr>
      <w:r>
        <w:rPr>
          <w:rFonts w:ascii="Arial" w:hAnsi="Arial" w:eastAsia="Arial" w:cs="Arial"/>
          <w:sz w:val="21"/>
          <w:szCs w:val="21"/>
          <w:u w:val="single" w:color="auto"/>
        </w:rPr>
        <w:tab/>
      </w:r>
    </w:p>
    <w:p w14:paraId="6591CD45">
      <w:pPr>
        <w:pStyle w:val="2"/>
        <w:spacing w:before="137" w:line="220" w:lineRule="auto"/>
        <w:ind w:left="3"/>
        <w:rPr>
          <w:sz w:val="22"/>
          <w:szCs w:val="22"/>
        </w:rPr>
      </w:pPr>
      <w:r>
        <w:rPr>
          <w:b/>
          <w:bCs/>
          <w:spacing w:val="13"/>
          <w:sz w:val="22"/>
          <w:szCs w:val="22"/>
        </w:rPr>
        <w:t>7.5</w:t>
      </w:r>
      <w:r>
        <w:rPr>
          <w:spacing w:val="26"/>
          <w:sz w:val="22"/>
          <w:szCs w:val="22"/>
        </w:rPr>
        <w:t xml:space="preserve"> </w:t>
      </w:r>
      <w:r>
        <w:rPr>
          <w:b/>
          <w:bCs/>
          <w:spacing w:val="13"/>
          <w:sz w:val="22"/>
          <w:szCs w:val="22"/>
        </w:rPr>
        <w:t>工期延误</w:t>
      </w:r>
    </w:p>
    <w:p w14:paraId="0B4DB82F">
      <w:pPr>
        <w:pStyle w:val="2"/>
        <w:spacing w:before="131" w:line="220" w:lineRule="auto"/>
        <w:ind w:left="429"/>
        <w:rPr>
          <w:sz w:val="22"/>
          <w:szCs w:val="22"/>
        </w:rPr>
      </w:pPr>
      <w:r>
        <w:rPr>
          <w:spacing w:val="-8"/>
          <w:sz w:val="22"/>
          <w:szCs w:val="22"/>
        </w:rPr>
        <w:t>7.5.1 因发包人原因导致工期延误</w:t>
      </w:r>
    </w:p>
    <w:p w14:paraId="6E7DE17E">
      <w:pPr>
        <w:pStyle w:val="2"/>
        <w:spacing w:before="148" w:line="220" w:lineRule="auto"/>
        <w:ind w:left="539"/>
        <w:rPr>
          <w:sz w:val="22"/>
          <w:szCs w:val="22"/>
        </w:rPr>
      </w:pPr>
      <w:r>
        <w:rPr>
          <w:spacing w:val="-6"/>
          <w:sz w:val="22"/>
          <w:szCs w:val="22"/>
        </w:rPr>
        <w:t>(7)因发包人原因导致工期延误的其他情形：</w:t>
      </w:r>
    </w:p>
    <w:p w14:paraId="402A06E8">
      <w:pPr>
        <w:spacing w:line="268" w:lineRule="auto"/>
        <w:rPr>
          <w:rFonts w:ascii="Arial"/>
          <w:sz w:val="21"/>
        </w:rPr>
      </w:pPr>
    </w:p>
    <w:p w14:paraId="03F1EE8E">
      <w:pPr>
        <w:tabs>
          <w:tab w:val="left" w:pos="8429"/>
        </w:tabs>
        <w:spacing w:before="17" w:line="142" w:lineRule="auto"/>
        <w:ind w:left="429"/>
        <w:rPr>
          <w:rFonts w:ascii="Times New Roman" w:hAnsi="Times New Roman" w:eastAsia="Times New Roman" w:cs="Times New Roman"/>
          <w:sz w:val="6"/>
          <w:szCs w:val="6"/>
        </w:rPr>
      </w:pPr>
      <w:r>
        <w:rPr>
          <w:rFonts w:ascii="Times New Roman" w:hAnsi="Times New Roman" w:eastAsia="Times New Roman" w:cs="Times New Roman"/>
          <w:sz w:val="6"/>
          <w:szCs w:val="6"/>
          <w:u w:val="single" w:color="auto"/>
        </w:rPr>
        <w:tab/>
      </w:r>
      <w:r>
        <w:rPr>
          <w:rFonts w:ascii="Times New Roman" w:hAnsi="Times New Roman" w:eastAsia="Times New Roman" w:cs="Times New Roman"/>
          <w:spacing w:val="-5"/>
          <w:sz w:val="6"/>
          <w:szCs w:val="6"/>
        </w:rPr>
        <w:t xml:space="preserve"> </w:t>
      </w:r>
      <w:r>
        <w:rPr>
          <w:rFonts w:ascii="Times New Roman" w:hAnsi="Times New Roman" w:eastAsia="Times New Roman" w:cs="Times New Roman"/>
          <w:sz w:val="6"/>
          <w:szCs w:val="6"/>
        </w:rPr>
        <w:t>_o</w:t>
      </w:r>
    </w:p>
    <w:p w14:paraId="09699F8E">
      <w:pPr>
        <w:pStyle w:val="2"/>
        <w:spacing w:before="209" w:line="219" w:lineRule="auto"/>
        <w:ind w:left="429"/>
        <w:rPr>
          <w:sz w:val="22"/>
          <w:szCs w:val="22"/>
        </w:rPr>
      </w:pPr>
      <w:r>
        <w:rPr>
          <w:spacing w:val="-8"/>
          <w:sz w:val="22"/>
          <w:szCs w:val="22"/>
        </w:rPr>
        <w:t>7.5.2 因承包人原因导致工期延误</w:t>
      </w:r>
    </w:p>
    <w:p w14:paraId="6C232D46">
      <w:pPr>
        <w:pStyle w:val="2"/>
        <w:spacing w:before="129" w:line="219" w:lineRule="auto"/>
        <w:ind w:left="429"/>
        <w:rPr>
          <w:sz w:val="22"/>
          <w:szCs w:val="22"/>
        </w:rPr>
      </w:pPr>
      <w:r>
        <w:rPr>
          <w:spacing w:val="-11"/>
          <w:sz w:val="22"/>
          <w:szCs w:val="22"/>
        </w:rPr>
        <w:t>因承包人原因造成工期延误，逾期竣工违约金的计算方法为：</w:t>
      </w:r>
    </w:p>
    <w:p w14:paraId="34BA4D2B">
      <w:pPr>
        <w:spacing w:line="280" w:lineRule="auto"/>
        <w:rPr>
          <w:rFonts w:ascii="Arial"/>
          <w:sz w:val="21"/>
        </w:rPr>
      </w:pPr>
    </w:p>
    <w:p w14:paraId="2293753F">
      <w:pPr>
        <w:tabs>
          <w:tab w:val="left" w:pos="8429"/>
        </w:tabs>
        <w:spacing w:before="18" w:line="142" w:lineRule="auto"/>
        <w:ind w:left="429"/>
        <w:rPr>
          <w:rFonts w:ascii="Times New Roman" w:hAnsi="Times New Roman" w:eastAsia="Times New Roman" w:cs="Times New Roman"/>
          <w:sz w:val="6"/>
          <w:szCs w:val="6"/>
        </w:rPr>
      </w:pPr>
      <w:r>
        <w:rPr>
          <w:rFonts w:ascii="Times New Roman" w:hAnsi="Times New Roman" w:eastAsia="Times New Roman" w:cs="Times New Roman"/>
          <w:sz w:val="6"/>
          <w:szCs w:val="6"/>
          <w:u w:val="single" w:color="auto"/>
        </w:rPr>
        <w:tab/>
      </w:r>
      <w:r>
        <w:rPr>
          <w:rFonts w:ascii="Times New Roman" w:hAnsi="Times New Roman" w:eastAsia="Times New Roman" w:cs="Times New Roman"/>
          <w:spacing w:val="-5"/>
          <w:sz w:val="6"/>
          <w:szCs w:val="6"/>
        </w:rPr>
        <w:t xml:space="preserve"> </w:t>
      </w:r>
      <w:r>
        <w:rPr>
          <w:rFonts w:ascii="Times New Roman" w:hAnsi="Times New Roman" w:eastAsia="Times New Roman" w:cs="Times New Roman"/>
          <w:sz w:val="6"/>
          <w:szCs w:val="6"/>
        </w:rPr>
        <w:t>_o</w:t>
      </w:r>
    </w:p>
    <w:p w14:paraId="6E393A09">
      <w:pPr>
        <w:pStyle w:val="2"/>
        <w:spacing w:before="189" w:line="219" w:lineRule="auto"/>
        <w:ind w:left="429"/>
        <w:rPr>
          <w:sz w:val="22"/>
          <w:szCs w:val="22"/>
        </w:rPr>
      </w:pPr>
      <w:r>
        <w:rPr>
          <w:spacing w:val="-11"/>
          <w:sz w:val="22"/>
          <w:szCs w:val="22"/>
        </w:rPr>
        <w:t>因承包人原因造成工期延误，逾期竣工违约金的上限：</w:t>
      </w:r>
    </w:p>
    <w:p w14:paraId="0E894404">
      <w:pPr>
        <w:spacing w:line="289" w:lineRule="auto"/>
        <w:rPr>
          <w:rFonts w:ascii="Arial"/>
          <w:sz w:val="21"/>
        </w:rPr>
      </w:pPr>
    </w:p>
    <w:p w14:paraId="13097DB4">
      <w:pPr>
        <w:tabs>
          <w:tab w:val="left" w:pos="8429"/>
        </w:tabs>
        <w:spacing w:before="17" w:line="188" w:lineRule="auto"/>
        <w:ind w:left="429"/>
        <w:rPr>
          <w:rFonts w:ascii="Times New Roman" w:hAnsi="Times New Roman" w:eastAsia="Times New Roman" w:cs="Times New Roman"/>
          <w:sz w:val="6"/>
          <w:szCs w:val="6"/>
        </w:rPr>
      </w:pPr>
      <w:r>
        <w:rPr>
          <w:rFonts w:ascii="Times New Roman" w:hAnsi="Times New Roman" w:eastAsia="Times New Roman" w:cs="Times New Roman"/>
          <w:sz w:val="6"/>
          <w:szCs w:val="6"/>
          <w:u w:val="single" w:color="auto"/>
        </w:rPr>
        <w:tab/>
      </w:r>
      <w:r>
        <w:rPr>
          <w:rFonts w:ascii="Times New Roman" w:hAnsi="Times New Roman" w:eastAsia="Times New Roman" w:cs="Times New Roman"/>
          <w:spacing w:val="-5"/>
          <w:sz w:val="6"/>
          <w:szCs w:val="6"/>
        </w:rPr>
        <w:t xml:space="preserve"> </w:t>
      </w:r>
      <w:r>
        <w:rPr>
          <w:rFonts w:ascii="Times New Roman" w:hAnsi="Times New Roman" w:eastAsia="Times New Roman" w:cs="Times New Roman"/>
          <w:sz w:val="6"/>
          <w:szCs w:val="6"/>
        </w:rPr>
        <w:t>0</w:t>
      </w:r>
    </w:p>
    <w:p w14:paraId="58516F7F">
      <w:pPr>
        <w:pStyle w:val="2"/>
        <w:spacing w:before="214" w:line="219" w:lineRule="auto"/>
        <w:ind w:left="3"/>
        <w:rPr>
          <w:sz w:val="22"/>
          <w:szCs w:val="22"/>
        </w:rPr>
      </w:pPr>
      <w:r>
        <w:rPr>
          <w:b/>
          <w:bCs/>
          <w:spacing w:val="14"/>
          <w:sz w:val="22"/>
          <w:szCs w:val="22"/>
        </w:rPr>
        <w:t>7.6</w:t>
      </w:r>
      <w:r>
        <w:rPr>
          <w:spacing w:val="14"/>
          <w:sz w:val="22"/>
          <w:szCs w:val="22"/>
        </w:rPr>
        <w:t xml:space="preserve"> </w:t>
      </w:r>
      <w:r>
        <w:rPr>
          <w:b/>
          <w:bCs/>
          <w:spacing w:val="14"/>
          <w:sz w:val="22"/>
          <w:szCs w:val="22"/>
        </w:rPr>
        <w:t>不利物质条件</w:t>
      </w:r>
    </w:p>
    <w:p w14:paraId="21D1F0B1">
      <w:pPr>
        <w:pStyle w:val="2"/>
        <w:spacing w:before="112" w:line="219" w:lineRule="auto"/>
        <w:ind w:left="429"/>
        <w:rPr>
          <w:sz w:val="22"/>
          <w:szCs w:val="22"/>
        </w:rPr>
      </w:pPr>
      <w:r>
        <w:rPr>
          <w:spacing w:val="-12"/>
          <w:sz w:val="22"/>
          <w:szCs w:val="22"/>
        </w:rPr>
        <w:t>不利物质条件的其他情形和有关约定：</w:t>
      </w:r>
    </w:p>
    <w:p w14:paraId="44D1BA51">
      <w:pPr>
        <w:tabs>
          <w:tab w:val="left" w:pos="8439"/>
        </w:tabs>
        <w:spacing w:before="178"/>
        <w:ind w:left="439"/>
        <w:rPr>
          <w:rFonts w:ascii="Arial"/>
          <w:sz w:val="21"/>
        </w:rPr>
      </w:pPr>
      <w:r>
        <w:rPr>
          <w:rFonts w:ascii="Arial" w:hAnsi="Arial" w:eastAsia="Arial" w:cs="Arial"/>
          <w:sz w:val="21"/>
          <w:szCs w:val="21"/>
          <w:u w:val="single" w:color="auto"/>
        </w:rPr>
        <w:tab/>
      </w:r>
    </w:p>
    <w:p w14:paraId="0B84909D">
      <w:pPr>
        <w:pStyle w:val="2"/>
        <w:spacing w:before="136" w:line="219" w:lineRule="auto"/>
        <w:ind w:left="3"/>
        <w:rPr>
          <w:sz w:val="22"/>
          <w:szCs w:val="22"/>
        </w:rPr>
      </w:pPr>
      <w:r>
        <w:rPr>
          <w:b/>
          <w:bCs/>
          <w:spacing w:val="22"/>
          <w:sz w:val="22"/>
          <w:szCs w:val="22"/>
        </w:rPr>
        <w:t>7.7异常恶劣的气候条件</w:t>
      </w:r>
    </w:p>
    <w:sdt>
      <w:sdtPr>
        <w:rPr>
          <w:rFonts w:ascii="宋体" w:hAnsi="宋体" w:eastAsia="宋体" w:cs="宋体"/>
          <w:sz w:val="22"/>
          <w:szCs w:val="22"/>
        </w:rPr>
        <w:id w:val="147465360"/>
        <w:docPartObj>
          <w:docPartGallery w:val="Table of Contents"/>
          <w:docPartUnique/>
        </w:docPartObj>
      </w:sdtPr>
      <w:sdtEndPr>
        <w:rPr>
          <w:rFonts w:ascii="Times New Roman" w:hAnsi="Times New Roman" w:eastAsia="Times New Roman" w:cs="Times New Roman"/>
          <w:sz w:val="22"/>
          <w:szCs w:val="22"/>
        </w:rPr>
      </w:sdtEndPr>
      <w:sdtContent>
        <w:p w14:paraId="08744439">
          <w:pPr>
            <w:pStyle w:val="2"/>
            <w:spacing w:before="123" w:line="219" w:lineRule="auto"/>
            <w:ind w:left="429"/>
            <w:rPr>
              <w:sz w:val="22"/>
              <w:szCs w:val="22"/>
            </w:rPr>
          </w:pPr>
          <w:r>
            <w:rPr>
              <w:spacing w:val="-11"/>
              <w:sz w:val="22"/>
              <w:szCs w:val="22"/>
            </w:rPr>
            <w:t>发包人和承包人同意以下情形视为异常恶劣的气候条件：</w:t>
          </w:r>
        </w:p>
        <w:p w14:paraId="14BDD6D6">
          <w:pPr>
            <w:pStyle w:val="2"/>
            <w:spacing w:before="182" w:line="222" w:lineRule="auto"/>
            <w:ind w:left="539"/>
            <w:rPr>
              <w:sz w:val="14"/>
              <w:szCs w:val="14"/>
            </w:rPr>
          </w:pPr>
          <w:r>
            <w:rPr>
              <w:spacing w:val="-16"/>
              <w:sz w:val="22"/>
              <w:szCs w:val="22"/>
            </w:rPr>
            <w:t>(1)</w:t>
          </w:r>
          <w:r>
            <w:rPr>
              <w:spacing w:val="17"/>
              <w:sz w:val="22"/>
              <w:szCs w:val="22"/>
            </w:rPr>
            <w:t xml:space="preserve"> </w:t>
          </w:r>
          <w:r>
            <w:rPr>
              <w:sz w:val="22"/>
              <w:szCs w:val="22"/>
              <w:u w:val="single" w:color="auto"/>
            </w:rPr>
            <w:t xml:space="preserve">                                         </w:t>
          </w:r>
          <w:r>
            <w:rPr>
              <w:spacing w:val="-91"/>
              <w:sz w:val="22"/>
              <w:szCs w:val="22"/>
            </w:rPr>
            <w:t xml:space="preserve"> </w:t>
          </w:r>
          <w:r>
            <w:rPr>
              <w:sz w:val="14"/>
              <w:szCs w:val="14"/>
            </w:rPr>
            <w:t>;</w:t>
          </w:r>
        </w:p>
        <w:p w14:paraId="1FDDA98C">
          <w:pPr>
            <w:pStyle w:val="2"/>
            <w:spacing w:before="98" w:line="222" w:lineRule="auto"/>
            <w:ind w:left="539"/>
            <w:rPr>
              <w:sz w:val="13"/>
              <w:szCs w:val="13"/>
            </w:rPr>
          </w:pPr>
          <w:r>
            <w:rPr>
              <w:spacing w:val="-19"/>
              <w:sz w:val="26"/>
              <w:szCs w:val="26"/>
            </w:rPr>
            <w:t>(2)</w:t>
          </w:r>
          <w:r>
            <w:rPr>
              <w:spacing w:val="-55"/>
              <w:sz w:val="26"/>
              <w:szCs w:val="26"/>
            </w:rPr>
            <w:t xml:space="preserve"> </w:t>
          </w:r>
          <w:r>
            <w:rPr>
              <w:spacing w:val="3"/>
              <w:sz w:val="26"/>
              <w:szCs w:val="26"/>
              <w:u w:val="single" w:color="auto"/>
            </w:rPr>
            <w:t xml:space="preserve">                                  </w:t>
          </w:r>
          <w:r>
            <w:rPr>
              <w:spacing w:val="-122"/>
              <w:sz w:val="26"/>
              <w:szCs w:val="26"/>
            </w:rPr>
            <w:t xml:space="preserve"> </w:t>
          </w:r>
          <w:r>
            <w:rPr>
              <w:sz w:val="13"/>
              <w:szCs w:val="13"/>
            </w:rPr>
            <w:t>;</w:t>
          </w:r>
        </w:p>
        <w:p w14:paraId="640026F8">
          <w:pPr>
            <w:pStyle w:val="2"/>
            <w:spacing w:before="105" w:line="222" w:lineRule="auto"/>
            <w:ind w:left="539"/>
            <w:rPr>
              <w:rFonts w:ascii="Times New Roman" w:hAnsi="Times New Roman" w:eastAsia="Times New Roman" w:cs="Times New Roman"/>
              <w:sz w:val="22"/>
              <w:szCs w:val="22"/>
            </w:rPr>
          </w:pPr>
          <w:r>
            <w:rPr>
              <w:spacing w:val="-12"/>
              <w:sz w:val="22"/>
              <w:szCs w:val="22"/>
            </w:rPr>
            <w:t>(3)</w:t>
          </w:r>
          <w:r>
            <w:rPr>
              <w:spacing w:val="17"/>
              <w:sz w:val="22"/>
              <w:szCs w:val="22"/>
            </w:rPr>
            <w:t xml:space="preserve"> </w:t>
          </w:r>
          <w:r>
            <w:rPr>
              <w:sz w:val="22"/>
              <w:szCs w:val="22"/>
              <w:u w:val="single" w:color="auto"/>
            </w:rPr>
            <w:t xml:space="preserve">                                         </w:t>
          </w:r>
          <w:r>
            <w:rPr>
              <w:spacing w:val="-81"/>
              <w:sz w:val="22"/>
              <w:szCs w:val="22"/>
            </w:rPr>
            <w:t xml:space="preserve"> </w:t>
          </w:r>
          <w:r>
            <w:fldChar w:fldCharType="begin"/>
          </w:r>
          <w:r>
            <w:instrText xml:space="preserve"> HYPERLINK \l "bookmark300" </w:instrText>
          </w:r>
          <w:r>
            <w:fldChar w:fldCharType="separate"/>
          </w:r>
          <w:r>
            <w:rPr>
              <w:rFonts w:ascii="Times New Roman" w:hAnsi="Times New Roman" w:eastAsia="Times New Roman" w:cs="Times New Roman"/>
              <w:spacing w:val="-12"/>
              <w:sz w:val="22"/>
              <w:szCs w:val="22"/>
            </w:rPr>
            <w:t>0</w:t>
          </w:r>
          <w:r>
            <w:rPr>
              <w:rFonts w:ascii="Times New Roman" w:hAnsi="Times New Roman" w:eastAsia="Times New Roman" w:cs="Times New Roman"/>
              <w:spacing w:val="-12"/>
              <w:sz w:val="22"/>
              <w:szCs w:val="22"/>
            </w:rPr>
            <w:fldChar w:fldCharType="end"/>
          </w:r>
        </w:p>
      </w:sdtContent>
    </w:sdt>
    <w:p w14:paraId="74AFCA43">
      <w:pPr>
        <w:pStyle w:val="2"/>
        <w:spacing w:before="129" w:line="219" w:lineRule="auto"/>
        <w:ind w:left="3"/>
        <w:rPr>
          <w:sz w:val="22"/>
          <w:szCs w:val="22"/>
        </w:rPr>
      </w:pPr>
      <w:r>
        <w:rPr>
          <w:b/>
          <w:bCs/>
          <w:spacing w:val="14"/>
          <w:sz w:val="22"/>
          <w:szCs w:val="22"/>
        </w:rPr>
        <w:t>7.9</w:t>
      </w:r>
      <w:r>
        <w:rPr>
          <w:spacing w:val="14"/>
          <w:sz w:val="22"/>
          <w:szCs w:val="22"/>
        </w:rPr>
        <w:t xml:space="preserve"> </w:t>
      </w:r>
      <w:r>
        <w:rPr>
          <w:b/>
          <w:bCs/>
          <w:spacing w:val="14"/>
          <w:sz w:val="22"/>
          <w:szCs w:val="22"/>
        </w:rPr>
        <w:t>提前竣工的奖励</w:t>
      </w:r>
    </w:p>
    <w:p w14:paraId="7B76ED75">
      <w:pPr>
        <w:pStyle w:val="2"/>
        <w:spacing w:before="142" w:line="219" w:lineRule="auto"/>
        <w:ind w:left="429"/>
        <w:rPr>
          <w:sz w:val="22"/>
          <w:szCs w:val="22"/>
        </w:rPr>
      </w:pPr>
      <w:r>
        <w:rPr>
          <w:spacing w:val="-5"/>
          <w:sz w:val="22"/>
          <w:szCs w:val="22"/>
        </w:rPr>
        <w:t>7.9.2提前竣工的奖励：</w:t>
      </w:r>
    </w:p>
    <w:p w14:paraId="71491BB5">
      <w:pPr>
        <w:spacing w:line="219" w:lineRule="auto"/>
        <w:rPr>
          <w:sz w:val="22"/>
          <w:szCs w:val="22"/>
        </w:rPr>
        <w:sectPr>
          <w:headerReference r:id="rId255" w:type="default"/>
          <w:footerReference r:id="rId256" w:type="default"/>
          <w:pgSz w:w="11910" w:h="16840"/>
          <w:pgMar w:top="400" w:right="1421" w:bottom="1010" w:left="1450" w:header="0" w:footer="893" w:gutter="0"/>
          <w:cols w:space="720" w:num="1"/>
        </w:sectPr>
      </w:pPr>
    </w:p>
    <w:p w14:paraId="0B6E94DD">
      <w:pPr>
        <w:spacing w:line="250" w:lineRule="auto"/>
        <w:rPr>
          <w:rFonts w:ascii="Arial"/>
          <w:sz w:val="21"/>
        </w:rPr>
      </w:pPr>
    </w:p>
    <w:p w14:paraId="2FC9AAED">
      <w:pPr>
        <w:spacing w:line="250" w:lineRule="auto"/>
        <w:rPr>
          <w:rFonts w:ascii="Arial"/>
          <w:sz w:val="21"/>
        </w:rPr>
      </w:pPr>
    </w:p>
    <w:p w14:paraId="4C85F99D">
      <w:pPr>
        <w:spacing w:line="250" w:lineRule="auto"/>
        <w:rPr>
          <w:rFonts w:ascii="Arial"/>
          <w:sz w:val="21"/>
        </w:rPr>
      </w:pPr>
    </w:p>
    <w:p w14:paraId="6C6BA17B">
      <w:pPr>
        <w:spacing w:line="250" w:lineRule="auto"/>
        <w:rPr>
          <w:rFonts w:ascii="Arial"/>
          <w:sz w:val="21"/>
        </w:rPr>
      </w:pPr>
    </w:p>
    <w:p w14:paraId="627F138D">
      <w:pPr>
        <w:spacing w:line="250" w:lineRule="auto"/>
        <w:rPr>
          <w:rFonts w:ascii="Arial"/>
          <w:sz w:val="21"/>
        </w:rPr>
      </w:pPr>
    </w:p>
    <w:p w14:paraId="325C8237">
      <w:pPr>
        <w:spacing w:line="250" w:lineRule="auto"/>
        <w:rPr>
          <w:rFonts w:ascii="Arial"/>
          <w:sz w:val="21"/>
        </w:rPr>
      </w:pPr>
    </w:p>
    <w:p w14:paraId="11368A34">
      <w:pPr>
        <w:spacing w:line="250" w:lineRule="auto"/>
        <w:rPr>
          <w:rFonts w:ascii="Arial"/>
          <w:sz w:val="21"/>
        </w:rPr>
      </w:pPr>
      <w:r>
        <w:drawing>
          <wp:anchor distT="0" distB="0" distL="0" distR="0" simplePos="0" relativeHeight="251716608" behindDoc="0" locked="0" layoutInCell="1" allowOverlap="1">
            <wp:simplePos x="0" y="0"/>
            <wp:positionH relativeFrom="column">
              <wp:posOffset>251460</wp:posOffset>
            </wp:positionH>
            <wp:positionV relativeFrom="paragraph">
              <wp:posOffset>82550</wp:posOffset>
            </wp:positionV>
            <wp:extent cx="5118100" cy="6350"/>
            <wp:effectExtent l="0" t="0" r="0" b="0"/>
            <wp:wrapNone/>
            <wp:docPr id="130" name="IM 130"/>
            <wp:cNvGraphicFramePr/>
            <a:graphic xmlns:a="http://schemas.openxmlformats.org/drawingml/2006/main">
              <a:graphicData uri="http://schemas.openxmlformats.org/drawingml/2006/picture">
                <pic:pic xmlns:pic="http://schemas.openxmlformats.org/drawingml/2006/picture">
                  <pic:nvPicPr>
                    <pic:cNvPr id="130" name="IM 130"/>
                    <pic:cNvPicPr/>
                  </pic:nvPicPr>
                  <pic:blipFill>
                    <a:blip r:embed="rId454"/>
                    <a:stretch>
                      <a:fillRect/>
                    </a:stretch>
                  </pic:blipFill>
                  <pic:spPr>
                    <a:xfrm>
                      <a:off x="0" y="0"/>
                      <a:ext cx="5118083" cy="6350"/>
                    </a:xfrm>
                    <a:prstGeom prst="rect">
                      <a:avLst/>
                    </a:prstGeom>
                  </pic:spPr>
                </pic:pic>
              </a:graphicData>
            </a:graphic>
          </wp:anchor>
        </w:drawing>
      </w:r>
    </w:p>
    <w:p w14:paraId="7767D0CF">
      <w:pPr>
        <w:pStyle w:val="2"/>
        <w:spacing w:before="95" w:line="222" w:lineRule="auto"/>
        <w:ind w:left="1"/>
        <w:rPr>
          <w:rFonts w:ascii="黑体" w:hAnsi="黑体" w:eastAsia="黑体" w:cs="黑体"/>
          <w:sz w:val="29"/>
          <w:szCs w:val="29"/>
        </w:rPr>
      </w:pPr>
      <w:r>
        <w:rPr>
          <w:b/>
          <w:bCs/>
          <w:spacing w:val="-4"/>
          <w:sz w:val="29"/>
          <w:szCs w:val="29"/>
        </w:rPr>
        <w:t>8.</w:t>
      </w:r>
      <w:r>
        <w:rPr>
          <w:spacing w:val="-78"/>
          <w:sz w:val="29"/>
          <w:szCs w:val="29"/>
        </w:rPr>
        <w:t xml:space="preserve"> </w:t>
      </w:r>
      <w:r>
        <w:rPr>
          <w:rFonts w:ascii="黑体" w:hAnsi="黑体" w:eastAsia="黑体" w:cs="黑体"/>
          <w:b/>
          <w:bCs/>
          <w:spacing w:val="-4"/>
          <w:sz w:val="29"/>
          <w:szCs w:val="29"/>
        </w:rPr>
        <w:t>材料与设备</w:t>
      </w:r>
    </w:p>
    <w:p w14:paraId="338921A4">
      <w:pPr>
        <w:spacing w:before="119" w:line="222" w:lineRule="auto"/>
        <w:rPr>
          <w:rFonts w:ascii="黑体" w:hAnsi="黑体" w:eastAsia="黑体" w:cs="黑体"/>
          <w:sz w:val="22"/>
          <w:szCs w:val="22"/>
        </w:rPr>
      </w:pPr>
      <w:r>
        <w:rPr>
          <w:rFonts w:ascii="黑体" w:hAnsi="黑体" w:eastAsia="黑体" w:cs="黑体"/>
          <w:b/>
          <w:bCs/>
          <w:spacing w:val="20"/>
          <w:sz w:val="22"/>
          <w:szCs w:val="22"/>
        </w:rPr>
        <w:t>8.4材料与工程设备的保管与使用</w:t>
      </w:r>
    </w:p>
    <w:p w14:paraId="2D5C375E">
      <w:pPr>
        <w:pStyle w:val="2"/>
        <w:spacing w:before="138" w:line="219" w:lineRule="auto"/>
        <w:ind w:left="406"/>
        <w:rPr>
          <w:sz w:val="22"/>
          <w:szCs w:val="22"/>
        </w:rPr>
      </w:pPr>
      <w:r>
        <w:rPr>
          <w:spacing w:val="-7"/>
          <w:sz w:val="22"/>
          <w:szCs w:val="22"/>
        </w:rPr>
        <w:t>8.4.1发包人供应的材料设备的保管费用</w:t>
      </w:r>
      <w:r>
        <w:rPr>
          <w:spacing w:val="-8"/>
          <w:sz w:val="22"/>
          <w:szCs w:val="22"/>
        </w:rPr>
        <w:t>的承担：</w:t>
      </w:r>
    </w:p>
    <w:p w14:paraId="539131C2">
      <w:pPr>
        <w:spacing w:line="270" w:lineRule="auto"/>
        <w:rPr>
          <w:rFonts w:ascii="Arial"/>
          <w:sz w:val="21"/>
        </w:rPr>
      </w:pPr>
    </w:p>
    <w:p w14:paraId="63E140EB">
      <w:pPr>
        <w:spacing w:before="17" w:line="188" w:lineRule="auto"/>
        <w:ind w:left="8406"/>
        <w:rPr>
          <w:rFonts w:ascii="Times New Roman" w:hAnsi="Times New Roman" w:eastAsia="Times New Roman" w:cs="Times New Roman"/>
          <w:sz w:val="6"/>
          <w:szCs w:val="6"/>
        </w:rPr>
      </w:pPr>
      <w:r>
        <w:drawing>
          <wp:anchor distT="0" distB="0" distL="0" distR="0" simplePos="0" relativeHeight="251717632" behindDoc="0" locked="0" layoutInCell="1" allowOverlap="1">
            <wp:simplePos x="0" y="0"/>
            <wp:positionH relativeFrom="column">
              <wp:posOffset>257810</wp:posOffset>
            </wp:positionH>
            <wp:positionV relativeFrom="paragraph">
              <wp:posOffset>41275</wp:posOffset>
            </wp:positionV>
            <wp:extent cx="5080000" cy="6350"/>
            <wp:effectExtent l="0" t="0" r="0" b="0"/>
            <wp:wrapNone/>
            <wp:docPr id="132" name="IM 132"/>
            <wp:cNvGraphicFramePr/>
            <a:graphic xmlns:a="http://schemas.openxmlformats.org/drawingml/2006/main">
              <a:graphicData uri="http://schemas.openxmlformats.org/drawingml/2006/picture">
                <pic:pic xmlns:pic="http://schemas.openxmlformats.org/drawingml/2006/picture">
                  <pic:nvPicPr>
                    <pic:cNvPr id="132" name="IM 132"/>
                    <pic:cNvPicPr/>
                  </pic:nvPicPr>
                  <pic:blipFill>
                    <a:blip r:embed="rId464"/>
                    <a:stretch>
                      <a:fillRect/>
                    </a:stretch>
                  </pic:blipFill>
                  <pic:spPr>
                    <a:xfrm>
                      <a:off x="0" y="0"/>
                      <a:ext cx="5080041" cy="6350"/>
                    </a:xfrm>
                    <a:prstGeom prst="rect">
                      <a:avLst/>
                    </a:prstGeom>
                  </pic:spPr>
                </pic:pic>
              </a:graphicData>
            </a:graphic>
          </wp:anchor>
        </w:drawing>
      </w:r>
      <w:r>
        <w:rPr>
          <w:rFonts w:ascii="Times New Roman" w:hAnsi="Times New Roman" w:eastAsia="Times New Roman" w:cs="Times New Roman"/>
          <w:sz w:val="6"/>
          <w:szCs w:val="6"/>
        </w:rPr>
        <w:t>0</w:t>
      </w:r>
    </w:p>
    <w:p w14:paraId="3170A33F">
      <w:pPr>
        <w:pStyle w:val="2"/>
        <w:spacing w:before="195" w:line="224" w:lineRule="auto"/>
        <w:rPr>
          <w:rFonts w:ascii="黑体" w:hAnsi="黑体" w:eastAsia="黑体" w:cs="黑体"/>
          <w:sz w:val="22"/>
          <w:szCs w:val="22"/>
        </w:rPr>
      </w:pPr>
      <w:r>
        <w:rPr>
          <w:b/>
          <w:bCs/>
          <w:spacing w:val="-6"/>
          <w:sz w:val="22"/>
          <w:szCs w:val="22"/>
        </w:rPr>
        <w:t>8.6</w:t>
      </w:r>
      <w:r>
        <w:rPr>
          <w:spacing w:val="-6"/>
          <w:sz w:val="22"/>
          <w:szCs w:val="22"/>
        </w:rPr>
        <w:t xml:space="preserve"> </w:t>
      </w:r>
      <w:r>
        <w:rPr>
          <w:rFonts w:ascii="黑体" w:hAnsi="黑体" w:eastAsia="黑体" w:cs="黑体"/>
          <w:b/>
          <w:bCs/>
          <w:spacing w:val="-6"/>
          <w:sz w:val="22"/>
          <w:szCs w:val="22"/>
        </w:rPr>
        <w:t>样</w:t>
      </w:r>
      <w:r>
        <w:rPr>
          <w:rFonts w:ascii="黑体" w:hAnsi="黑体" w:eastAsia="黑体" w:cs="黑体"/>
          <w:spacing w:val="-6"/>
          <w:sz w:val="22"/>
          <w:szCs w:val="22"/>
        </w:rPr>
        <w:t xml:space="preserve"> </w:t>
      </w:r>
      <w:r>
        <w:rPr>
          <w:rFonts w:ascii="黑体" w:hAnsi="黑体" w:eastAsia="黑体" w:cs="黑体"/>
          <w:b/>
          <w:bCs/>
          <w:spacing w:val="-6"/>
          <w:sz w:val="22"/>
          <w:szCs w:val="22"/>
        </w:rPr>
        <w:t>品</w:t>
      </w:r>
    </w:p>
    <w:p w14:paraId="1BF7A447">
      <w:pPr>
        <w:pStyle w:val="2"/>
        <w:spacing w:before="125" w:line="219" w:lineRule="auto"/>
        <w:ind w:left="406"/>
        <w:rPr>
          <w:sz w:val="22"/>
          <w:szCs w:val="22"/>
        </w:rPr>
      </w:pPr>
      <w:r>
        <w:rPr>
          <w:spacing w:val="-3"/>
          <w:sz w:val="22"/>
          <w:szCs w:val="22"/>
        </w:rPr>
        <w:t>8.6.1样品的报送与封存</w:t>
      </w:r>
    </w:p>
    <w:p w14:paraId="4C09A4D7">
      <w:pPr>
        <w:pStyle w:val="2"/>
        <w:spacing w:before="138" w:line="219" w:lineRule="auto"/>
        <w:ind w:left="406"/>
        <w:rPr>
          <w:sz w:val="22"/>
          <w:szCs w:val="22"/>
        </w:rPr>
      </w:pPr>
      <w:r>
        <w:rPr>
          <w:spacing w:val="-10"/>
          <w:sz w:val="22"/>
          <w:szCs w:val="22"/>
        </w:rPr>
        <w:t>需要承包人报送样品的材料或工程设备，样品的种类、</w:t>
      </w:r>
      <w:r>
        <w:rPr>
          <w:spacing w:val="-11"/>
          <w:sz w:val="22"/>
          <w:szCs w:val="22"/>
        </w:rPr>
        <w:t>名称、规格、数量要求：</w:t>
      </w:r>
    </w:p>
    <w:p w14:paraId="799DDB91">
      <w:pPr>
        <w:spacing w:line="270" w:lineRule="auto"/>
        <w:rPr>
          <w:rFonts w:ascii="Arial"/>
          <w:sz w:val="21"/>
        </w:rPr>
      </w:pPr>
    </w:p>
    <w:p w14:paraId="0DAFA4D4">
      <w:pPr>
        <w:tabs>
          <w:tab w:val="left" w:pos="8405"/>
        </w:tabs>
        <w:spacing w:before="17" w:line="188" w:lineRule="auto"/>
        <w:ind w:left="406"/>
        <w:rPr>
          <w:rFonts w:ascii="Times New Roman" w:hAnsi="Times New Roman" w:eastAsia="Times New Roman" w:cs="Times New Roman"/>
          <w:sz w:val="6"/>
          <w:szCs w:val="6"/>
        </w:rPr>
      </w:pPr>
      <w:r>
        <w:rPr>
          <w:rFonts w:ascii="Times New Roman" w:hAnsi="Times New Roman" w:eastAsia="Times New Roman" w:cs="Times New Roman"/>
          <w:sz w:val="6"/>
          <w:szCs w:val="6"/>
          <w:u w:val="single" w:color="auto"/>
        </w:rPr>
        <w:tab/>
      </w:r>
      <w:r>
        <w:rPr>
          <w:rFonts w:ascii="Times New Roman" w:hAnsi="Times New Roman" w:eastAsia="Times New Roman" w:cs="Times New Roman"/>
          <w:spacing w:val="-5"/>
          <w:sz w:val="6"/>
          <w:szCs w:val="6"/>
        </w:rPr>
        <w:t xml:space="preserve"> </w:t>
      </w:r>
      <w:r>
        <w:rPr>
          <w:rFonts w:ascii="Times New Roman" w:hAnsi="Times New Roman" w:eastAsia="Times New Roman" w:cs="Times New Roman"/>
          <w:sz w:val="6"/>
          <w:szCs w:val="6"/>
        </w:rPr>
        <w:t>0</w:t>
      </w:r>
    </w:p>
    <w:p w14:paraId="4DAD0689">
      <w:pPr>
        <w:pStyle w:val="2"/>
        <w:spacing w:before="213" w:line="222" w:lineRule="auto"/>
        <w:rPr>
          <w:rFonts w:ascii="黑体" w:hAnsi="黑体" w:eastAsia="黑体" w:cs="黑体"/>
          <w:sz w:val="22"/>
          <w:szCs w:val="22"/>
        </w:rPr>
      </w:pPr>
      <w:r>
        <w:rPr>
          <w:b/>
          <w:bCs/>
          <w:spacing w:val="15"/>
          <w:sz w:val="22"/>
          <w:szCs w:val="22"/>
        </w:rPr>
        <w:t>8.8</w:t>
      </w:r>
      <w:r>
        <w:rPr>
          <w:spacing w:val="15"/>
          <w:sz w:val="22"/>
          <w:szCs w:val="22"/>
        </w:rPr>
        <w:t xml:space="preserve"> </w:t>
      </w:r>
      <w:r>
        <w:rPr>
          <w:rFonts w:ascii="黑体" w:hAnsi="黑体" w:eastAsia="黑体" w:cs="黑体"/>
          <w:b/>
          <w:bCs/>
          <w:spacing w:val="15"/>
          <w:sz w:val="22"/>
          <w:szCs w:val="22"/>
        </w:rPr>
        <w:t>施工设备和临时设施</w:t>
      </w:r>
    </w:p>
    <w:p w14:paraId="2226934E">
      <w:pPr>
        <w:pStyle w:val="2"/>
        <w:spacing w:before="128" w:line="219" w:lineRule="auto"/>
        <w:ind w:left="406"/>
        <w:rPr>
          <w:sz w:val="22"/>
          <w:szCs w:val="22"/>
        </w:rPr>
      </w:pPr>
      <w:r>
        <w:rPr>
          <w:spacing w:val="-8"/>
          <w:sz w:val="22"/>
          <w:szCs w:val="22"/>
        </w:rPr>
        <w:t>8.8.1 承包人提供的施工设备和临时设施</w:t>
      </w:r>
    </w:p>
    <w:p w14:paraId="099B144E">
      <w:pPr>
        <w:pStyle w:val="2"/>
        <w:spacing w:before="121" w:line="219" w:lineRule="auto"/>
        <w:ind w:left="406"/>
        <w:rPr>
          <w:sz w:val="22"/>
          <w:szCs w:val="22"/>
        </w:rPr>
      </w:pPr>
      <w:r>
        <w:rPr>
          <w:spacing w:val="-12"/>
          <w:sz w:val="22"/>
          <w:szCs w:val="22"/>
        </w:rPr>
        <w:t>关于修建临时设施费用承担的约定：</w:t>
      </w:r>
    </w:p>
    <w:p w14:paraId="5910767B">
      <w:pPr>
        <w:spacing w:line="266" w:lineRule="auto"/>
        <w:rPr>
          <w:rFonts w:ascii="Arial"/>
          <w:sz w:val="21"/>
        </w:rPr>
      </w:pPr>
    </w:p>
    <w:p w14:paraId="3CAA92E6">
      <w:pPr>
        <w:pStyle w:val="2"/>
        <w:tabs>
          <w:tab w:val="left" w:pos="8405"/>
        </w:tabs>
        <w:spacing w:before="20" w:line="237" w:lineRule="auto"/>
        <w:ind w:left="406"/>
        <w:rPr>
          <w:sz w:val="6"/>
          <w:szCs w:val="6"/>
        </w:rPr>
      </w:pPr>
      <w:r>
        <w:rPr>
          <w:sz w:val="6"/>
          <w:szCs w:val="6"/>
          <w:u w:val="single" w:color="auto"/>
        </w:rPr>
        <w:tab/>
      </w:r>
      <w:r>
        <w:rPr>
          <w:spacing w:val="-10"/>
          <w:sz w:val="6"/>
          <w:szCs w:val="6"/>
        </w:rPr>
        <w:t xml:space="preserve"> </w:t>
      </w:r>
      <w:r>
        <w:rPr>
          <w:sz w:val="6"/>
          <w:szCs w:val="6"/>
        </w:rPr>
        <w:t>◎</w:t>
      </w:r>
    </w:p>
    <w:p w14:paraId="169BBC67">
      <w:pPr>
        <w:pStyle w:val="2"/>
        <w:spacing w:before="240" w:line="221" w:lineRule="auto"/>
        <w:ind w:left="1"/>
        <w:rPr>
          <w:rFonts w:ascii="黑体" w:hAnsi="黑体" w:eastAsia="黑体" w:cs="黑体"/>
          <w:sz w:val="29"/>
          <w:szCs w:val="29"/>
        </w:rPr>
      </w:pPr>
      <w:r>
        <w:rPr>
          <w:b/>
          <w:bCs/>
          <w:spacing w:val="-3"/>
          <w:sz w:val="29"/>
          <w:szCs w:val="29"/>
        </w:rPr>
        <w:t>9.</w:t>
      </w:r>
      <w:r>
        <w:rPr>
          <w:spacing w:val="-83"/>
          <w:sz w:val="29"/>
          <w:szCs w:val="29"/>
        </w:rPr>
        <w:t xml:space="preserve"> </w:t>
      </w:r>
      <w:r>
        <w:rPr>
          <w:rFonts w:ascii="黑体" w:hAnsi="黑体" w:eastAsia="黑体" w:cs="黑体"/>
          <w:b/>
          <w:bCs/>
          <w:spacing w:val="-3"/>
          <w:sz w:val="29"/>
          <w:szCs w:val="29"/>
        </w:rPr>
        <w:t>试验与检验</w:t>
      </w:r>
    </w:p>
    <w:p w14:paraId="75760477">
      <w:pPr>
        <w:spacing w:before="112" w:line="221" w:lineRule="auto"/>
        <w:rPr>
          <w:rFonts w:ascii="黑体" w:hAnsi="黑体" w:eastAsia="黑体" w:cs="黑体"/>
          <w:sz w:val="22"/>
          <w:szCs w:val="22"/>
        </w:rPr>
      </w:pPr>
      <w:r>
        <w:rPr>
          <w:rFonts w:ascii="黑体" w:hAnsi="黑体" w:eastAsia="黑体" w:cs="黑体"/>
          <w:b/>
          <w:bCs/>
          <w:spacing w:val="16"/>
          <w:sz w:val="22"/>
          <w:szCs w:val="22"/>
        </w:rPr>
        <w:t>9.</w:t>
      </w:r>
      <w:r>
        <w:rPr>
          <w:rFonts w:ascii="黑体" w:hAnsi="黑体" w:eastAsia="黑体" w:cs="黑体"/>
          <w:spacing w:val="-56"/>
          <w:sz w:val="22"/>
          <w:szCs w:val="22"/>
        </w:rPr>
        <w:t xml:space="preserve"> </w:t>
      </w:r>
      <w:r>
        <w:rPr>
          <w:rFonts w:ascii="黑体" w:hAnsi="黑体" w:eastAsia="黑体" w:cs="黑体"/>
          <w:b/>
          <w:bCs/>
          <w:spacing w:val="16"/>
          <w:sz w:val="22"/>
          <w:szCs w:val="22"/>
        </w:rPr>
        <w:t>1试验设备与试验人员</w:t>
      </w:r>
    </w:p>
    <w:p w14:paraId="079FF170">
      <w:pPr>
        <w:pStyle w:val="2"/>
        <w:spacing w:before="123" w:line="221" w:lineRule="auto"/>
        <w:ind w:left="406"/>
        <w:rPr>
          <w:sz w:val="22"/>
          <w:szCs w:val="22"/>
        </w:rPr>
      </w:pPr>
      <w:r>
        <w:rPr>
          <w:spacing w:val="-5"/>
          <w:sz w:val="22"/>
          <w:szCs w:val="22"/>
        </w:rPr>
        <w:t>9.1.2 试验设备</w:t>
      </w:r>
    </w:p>
    <w:p w14:paraId="537AE35D">
      <w:pPr>
        <w:pStyle w:val="2"/>
        <w:spacing w:before="126" w:line="220" w:lineRule="auto"/>
        <w:ind w:left="406"/>
        <w:rPr>
          <w:sz w:val="22"/>
          <w:szCs w:val="22"/>
        </w:rPr>
      </w:pPr>
      <w:r>
        <w:rPr>
          <w:spacing w:val="-11"/>
          <w:sz w:val="22"/>
          <w:szCs w:val="22"/>
        </w:rPr>
        <w:t>施工现场需要配置的试验场所：</w:t>
      </w:r>
    </w:p>
    <w:p w14:paraId="416B67C5">
      <w:pPr>
        <w:tabs>
          <w:tab w:val="left" w:pos="8445"/>
        </w:tabs>
        <w:spacing w:before="176"/>
        <w:ind w:left="396"/>
        <w:rPr>
          <w:rFonts w:ascii="Arial"/>
          <w:sz w:val="21"/>
        </w:rPr>
      </w:pPr>
      <w:r>
        <w:rPr>
          <w:rFonts w:ascii="Arial" w:hAnsi="Arial" w:eastAsia="Arial" w:cs="Arial"/>
          <w:sz w:val="21"/>
          <w:szCs w:val="21"/>
          <w:u w:val="single" w:color="auto"/>
        </w:rPr>
        <w:tab/>
      </w:r>
    </w:p>
    <w:p w14:paraId="1A436220">
      <w:pPr>
        <w:pStyle w:val="2"/>
        <w:spacing w:before="140" w:line="220" w:lineRule="auto"/>
        <w:ind w:left="406"/>
        <w:rPr>
          <w:sz w:val="22"/>
          <w:szCs w:val="22"/>
        </w:rPr>
      </w:pPr>
      <w:r>
        <w:rPr>
          <w:spacing w:val="-12"/>
          <w:sz w:val="22"/>
          <w:szCs w:val="22"/>
        </w:rPr>
        <w:t>施工现场需要配备的试验设备：</w:t>
      </w:r>
    </w:p>
    <w:p w14:paraId="46A5AA84">
      <w:pPr>
        <w:spacing w:line="452" w:lineRule="auto"/>
        <w:rPr>
          <w:rFonts w:ascii="Arial"/>
          <w:sz w:val="21"/>
        </w:rPr>
      </w:pPr>
      <w:r>
        <w:drawing>
          <wp:anchor distT="0" distB="0" distL="0" distR="0" simplePos="0" relativeHeight="251715584" behindDoc="0" locked="0" layoutInCell="1" allowOverlap="1">
            <wp:simplePos x="0" y="0"/>
            <wp:positionH relativeFrom="column">
              <wp:posOffset>251460</wp:posOffset>
            </wp:positionH>
            <wp:positionV relativeFrom="paragraph">
              <wp:posOffset>220980</wp:posOffset>
            </wp:positionV>
            <wp:extent cx="5111750" cy="12700"/>
            <wp:effectExtent l="0" t="0" r="0" b="0"/>
            <wp:wrapNone/>
            <wp:docPr id="134" name="IM 134"/>
            <wp:cNvGraphicFramePr/>
            <a:graphic xmlns:a="http://schemas.openxmlformats.org/drawingml/2006/main">
              <a:graphicData uri="http://schemas.openxmlformats.org/drawingml/2006/picture">
                <pic:pic xmlns:pic="http://schemas.openxmlformats.org/drawingml/2006/picture">
                  <pic:nvPicPr>
                    <pic:cNvPr id="134" name="IM 134"/>
                    <pic:cNvPicPr/>
                  </pic:nvPicPr>
                  <pic:blipFill>
                    <a:blip r:embed="rId465"/>
                    <a:stretch>
                      <a:fillRect/>
                    </a:stretch>
                  </pic:blipFill>
                  <pic:spPr>
                    <a:xfrm>
                      <a:off x="0" y="0"/>
                      <a:ext cx="5111729" cy="12725"/>
                    </a:xfrm>
                    <a:prstGeom prst="rect">
                      <a:avLst/>
                    </a:prstGeom>
                  </pic:spPr>
                </pic:pic>
              </a:graphicData>
            </a:graphic>
          </wp:anchor>
        </w:drawing>
      </w:r>
    </w:p>
    <w:p w14:paraId="5E5573F2">
      <w:pPr>
        <w:pStyle w:val="2"/>
        <w:spacing w:before="73" w:line="219" w:lineRule="auto"/>
        <w:ind w:left="406"/>
        <w:rPr>
          <w:sz w:val="22"/>
          <w:szCs w:val="22"/>
        </w:rPr>
      </w:pPr>
      <w:r>
        <w:rPr>
          <w:spacing w:val="-12"/>
          <w:sz w:val="22"/>
          <w:szCs w:val="22"/>
        </w:rPr>
        <w:t>施工现场需要具备的其他试验条件：</w:t>
      </w:r>
    </w:p>
    <w:p w14:paraId="6C1A88D2">
      <w:pPr>
        <w:spacing w:line="280" w:lineRule="auto"/>
        <w:rPr>
          <w:rFonts w:ascii="Arial"/>
          <w:sz w:val="21"/>
        </w:rPr>
      </w:pPr>
    </w:p>
    <w:p w14:paraId="3362B9A2">
      <w:pPr>
        <w:tabs>
          <w:tab w:val="left" w:pos="8405"/>
        </w:tabs>
        <w:spacing w:before="17" w:line="142" w:lineRule="auto"/>
        <w:ind w:left="406"/>
        <w:rPr>
          <w:rFonts w:ascii="Times New Roman" w:hAnsi="Times New Roman" w:eastAsia="Times New Roman" w:cs="Times New Roman"/>
          <w:sz w:val="6"/>
          <w:szCs w:val="6"/>
        </w:rPr>
      </w:pPr>
      <w:r>
        <w:rPr>
          <w:rFonts w:ascii="Times New Roman" w:hAnsi="Times New Roman" w:eastAsia="Times New Roman" w:cs="Times New Roman"/>
          <w:sz w:val="6"/>
          <w:szCs w:val="6"/>
          <w:u w:val="single" w:color="auto"/>
        </w:rPr>
        <w:tab/>
      </w:r>
      <w:r>
        <w:rPr>
          <w:rFonts w:ascii="Times New Roman" w:hAnsi="Times New Roman" w:eastAsia="Times New Roman" w:cs="Times New Roman"/>
          <w:spacing w:val="5"/>
          <w:w w:val="105"/>
          <w:sz w:val="6"/>
          <w:szCs w:val="6"/>
        </w:rPr>
        <w:t xml:space="preserve"> </w:t>
      </w:r>
      <w:r>
        <w:rPr>
          <w:rFonts w:ascii="Times New Roman" w:hAnsi="Times New Roman" w:eastAsia="Times New Roman" w:cs="Times New Roman"/>
          <w:sz w:val="6"/>
          <w:szCs w:val="6"/>
        </w:rPr>
        <w:t>_o</w:t>
      </w:r>
    </w:p>
    <w:p w14:paraId="51D8131D">
      <w:pPr>
        <w:pStyle w:val="2"/>
        <w:spacing w:before="204" w:line="221" w:lineRule="auto"/>
        <w:rPr>
          <w:rFonts w:ascii="黑体" w:hAnsi="黑体" w:eastAsia="黑体" w:cs="黑体"/>
          <w:sz w:val="22"/>
          <w:szCs w:val="22"/>
        </w:rPr>
      </w:pPr>
      <w:r>
        <w:rPr>
          <w:b/>
          <w:bCs/>
          <w:spacing w:val="15"/>
          <w:sz w:val="22"/>
          <w:szCs w:val="22"/>
        </w:rPr>
        <w:t>9.4</w:t>
      </w:r>
      <w:r>
        <w:rPr>
          <w:spacing w:val="15"/>
          <w:sz w:val="22"/>
          <w:szCs w:val="22"/>
        </w:rPr>
        <w:t xml:space="preserve"> </w:t>
      </w:r>
      <w:r>
        <w:rPr>
          <w:rFonts w:ascii="黑体" w:hAnsi="黑体" w:eastAsia="黑体" w:cs="黑体"/>
          <w:b/>
          <w:bCs/>
          <w:spacing w:val="15"/>
          <w:sz w:val="22"/>
          <w:szCs w:val="22"/>
        </w:rPr>
        <w:t>现场工艺试验</w:t>
      </w:r>
    </w:p>
    <w:p w14:paraId="01F390DE">
      <w:pPr>
        <w:pStyle w:val="2"/>
        <w:spacing w:before="132" w:line="220" w:lineRule="auto"/>
        <w:ind w:left="406"/>
        <w:rPr>
          <w:sz w:val="22"/>
          <w:szCs w:val="22"/>
        </w:rPr>
      </w:pPr>
      <w:r>
        <w:rPr>
          <w:spacing w:val="-12"/>
          <w:sz w:val="22"/>
          <w:szCs w:val="22"/>
        </w:rPr>
        <w:t>现场工艺试验的有关约定：</w:t>
      </w:r>
    </w:p>
    <w:p w14:paraId="09EDADE4">
      <w:pPr>
        <w:tabs>
          <w:tab w:val="left" w:pos="8445"/>
        </w:tabs>
        <w:spacing w:before="177"/>
        <w:ind w:left="396"/>
        <w:rPr>
          <w:rFonts w:ascii="Arial"/>
          <w:sz w:val="21"/>
        </w:rPr>
      </w:pPr>
      <w:r>
        <w:rPr>
          <w:rFonts w:ascii="Arial" w:hAnsi="Arial" w:eastAsia="Arial" w:cs="Arial"/>
          <w:sz w:val="21"/>
          <w:szCs w:val="21"/>
          <w:u w:val="single" w:color="auto"/>
        </w:rPr>
        <w:tab/>
      </w:r>
    </w:p>
    <w:p w14:paraId="70109468">
      <w:pPr>
        <w:pStyle w:val="2"/>
        <w:spacing w:before="156" w:line="222" w:lineRule="auto"/>
        <w:ind w:left="1"/>
        <w:rPr>
          <w:rFonts w:ascii="黑体" w:hAnsi="黑体" w:eastAsia="黑体" w:cs="黑体"/>
          <w:sz w:val="29"/>
          <w:szCs w:val="29"/>
        </w:rPr>
      </w:pPr>
      <w:r>
        <w:rPr>
          <w:b/>
          <w:bCs/>
          <w:spacing w:val="-6"/>
          <w:sz w:val="29"/>
          <w:szCs w:val="29"/>
        </w:rPr>
        <w:t>10.</w:t>
      </w:r>
      <w:r>
        <w:rPr>
          <w:spacing w:val="-67"/>
          <w:sz w:val="29"/>
          <w:szCs w:val="29"/>
        </w:rPr>
        <w:t xml:space="preserve"> </w:t>
      </w:r>
      <w:r>
        <w:rPr>
          <w:rFonts w:ascii="黑体" w:hAnsi="黑体" w:eastAsia="黑体" w:cs="黑体"/>
          <w:b/>
          <w:bCs/>
          <w:spacing w:val="-6"/>
          <w:sz w:val="29"/>
          <w:szCs w:val="29"/>
        </w:rPr>
        <w:t>变更</w:t>
      </w:r>
    </w:p>
    <w:p w14:paraId="7B08C6B6">
      <w:pPr>
        <w:spacing w:before="130" w:line="222" w:lineRule="auto"/>
        <w:rPr>
          <w:rFonts w:ascii="黑体" w:hAnsi="黑体" w:eastAsia="黑体" w:cs="黑体"/>
          <w:sz w:val="22"/>
          <w:szCs w:val="22"/>
        </w:rPr>
      </w:pPr>
      <w:r>
        <w:rPr>
          <w:rFonts w:ascii="黑体" w:hAnsi="黑体" w:eastAsia="黑体" w:cs="黑体"/>
          <w:b/>
          <w:bCs/>
          <w:spacing w:val="10"/>
          <w:sz w:val="22"/>
          <w:szCs w:val="22"/>
        </w:rPr>
        <w:t>10</w:t>
      </w:r>
      <w:r>
        <w:rPr>
          <w:rFonts w:ascii="黑体" w:hAnsi="黑体" w:eastAsia="黑体" w:cs="黑体"/>
          <w:spacing w:val="-65"/>
          <w:sz w:val="22"/>
          <w:szCs w:val="22"/>
        </w:rPr>
        <w:t xml:space="preserve"> </w:t>
      </w:r>
      <w:r>
        <w:rPr>
          <w:rFonts w:ascii="黑体" w:hAnsi="黑体" w:eastAsia="黑体" w:cs="黑体"/>
          <w:b/>
          <w:bCs/>
          <w:spacing w:val="10"/>
          <w:sz w:val="22"/>
          <w:szCs w:val="22"/>
        </w:rPr>
        <w:t>.</w:t>
      </w:r>
      <w:r>
        <w:rPr>
          <w:rFonts w:ascii="黑体" w:hAnsi="黑体" w:eastAsia="黑体" w:cs="黑体"/>
          <w:spacing w:val="-62"/>
          <w:sz w:val="22"/>
          <w:szCs w:val="22"/>
        </w:rPr>
        <w:t xml:space="preserve"> </w:t>
      </w:r>
      <w:r>
        <w:rPr>
          <w:rFonts w:ascii="黑体" w:hAnsi="黑体" w:eastAsia="黑体" w:cs="黑体"/>
          <w:b/>
          <w:bCs/>
          <w:spacing w:val="10"/>
          <w:sz w:val="22"/>
          <w:szCs w:val="22"/>
        </w:rPr>
        <w:t>1变更的范围</w:t>
      </w:r>
    </w:p>
    <w:p w14:paraId="04E9D279">
      <w:pPr>
        <w:pStyle w:val="2"/>
        <w:spacing w:before="120" w:line="220" w:lineRule="auto"/>
        <w:ind w:left="406"/>
        <w:rPr>
          <w:sz w:val="22"/>
          <w:szCs w:val="22"/>
        </w:rPr>
      </w:pPr>
      <w:r>
        <w:rPr>
          <w:spacing w:val="-12"/>
          <w:sz w:val="22"/>
          <w:szCs w:val="22"/>
        </w:rPr>
        <w:t>关于变更的范围的约定：</w:t>
      </w:r>
    </w:p>
    <w:p w14:paraId="53DAD6FC">
      <w:pPr>
        <w:spacing w:line="277" w:lineRule="auto"/>
        <w:rPr>
          <w:rFonts w:ascii="Arial"/>
          <w:sz w:val="21"/>
        </w:rPr>
      </w:pPr>
    </w:p>
    <w:p w14:paraId="4F17ED8E">
      <w:pPr>
        <w:tabs>
          <w:tab w:val="left" w:pos="8405"/>
        </w:tabs>
        <w:spacing w:before="18" w:line="188" w:lineRule="auto"/>
        <w:ind w:left="406"/>
        <w:rPr>
          <w:rFonts w:ascii="Times New Roman" w:hAnsi="Times New Roman" w:eastAsia="Times New Roman" w:cs="Times New Roman"/>
          <w:sz w:val="6"/>
          <w:szCs w:val="6"/>
        </w:rPr>
      </w:pPr>
      <w:r>
        <w:rPr>
          <w:rFonts w:ascii="Times New Roman" w:hAnsi="Times New Roman" w:eastAsia="Times New Roman" w:cs="Times New Roman"/>
          <w:sz w:val="6"/>
          <w:szCs w:val="6"/>
          <w:u w:val="single" w:color="auto"/>
        </w:rPr>
        <w:tab/>
      </w:r>
      <w:r>
        <w:rPr>
          <w:rFonts w:ascii="Times New Roman" w:hAnsi="Times New Roman" w:eastAsia="Times New Roman" w:cs="Times New Roman"/>
          <w:spacing w:val="-5"/>
          <w:sz w:val="6"/>
          <w:szCs w:val="6"/>
        </w:rPr>
        <w:t xml:space="preserve"> </w:t>
      </w:r>
      <w:r>
        <w:rPr>
          <w:rFonts w:ascii="Times New Roman" w:hAnsi="Times New Roman" w:eastAsia="Times New Roman" w:cs="Times New Roman"/>
          <w:sz w:val="6"/>
          <w:szCs w:val="6"/>
        </w:rPr>
        <w:t>0</w:t>
      </w:r>
    </w:p>
    <w:p w14:paraId="52B6968E">
      <w:pPr>
        <w:pStyle w:val="2"/>
        <w:spacing w:before="202" w:line="222" w:lineRule="auto"/>
        <w:rPr>
          <w:rFonts w:ascii="黑体" w:hAnsi="黑体" w:eastAsia="黑体" w:cs="黑体"/>
          <w:sz w:val="22"/>
          <w:szCs w:val="22"/>
        </w:rPr>
      </w:pPr>
      <w:r>
        <w:rPr>
          <w:b/>
          <w:bCs/>
          <w:spacing w:val="11"/>
          <w:sz w:val="22"/>
          <w:szCs w:val="22"/>
        </w:rPr>
        <w:t>10.4</w:t>
      </w:r>
      <w:r>
        <w:rPr>
          <w:spacing w:val="11"/>
          <w:sz w:val="22"/>
          <w:szCs w:val="22"/>
        </w:rPr>
        <w:t xml:space="preserve"> </w:t>
      </w:r>
      <w:r>
        <w:rPr>
          <w:rFonts w:ascii="黑体" w:hAnsi="黑体" w:eastAsia="黑体" w:cs="黑体"/>
          <w:b/>
          <w:bCs/>
          <w:spacing w:val="11"/>
          <w:sz w:val="22"/>
          <w:szCs w:val="22"/>
        </w:rPr>
        <w:t>变更估价</w:t>
      </w:r>
    </w:p>
    <w:p w14:paraId="6DC02919">
      <w:pPr>
        <w:pStyle w:val="2"/>
        <w:spacing w:before="128" w:line="218" w:lineRule="auto"/>
        <w:ind w:left="406"/>
        <w:rPr>
          <w:sz w:val="22"/>
          <w:szCs w:val="22"/>
        </w:rPr>
      </w:pPr>
      <w:r>
        <w:rPr>
          <w:sz w:val="22"/>
          <w:szCs w:val="22"/>
        </w:rPr>
        <w:t>10.4.1变更估价原则</w:t>
      </w:r>
    </w:p>
    <w:p w14:paraId="0022531B">
      <w:pPr>
        <w:pStyle w:val="2"/>
        <w:spacing w:before="141" w:line="218" w:lineRule="auto"/>
        <w:ind w:left="406"/>
        <w:rPr>
          <w:sz w:val="22"/>
          <w:szCs w:val="22"/>
        </w:rPr>
      </w:pPr>
      <w:r>
        <w:rPr>
          <w:spacing w:val="-12"/>
          <w:sz w:val="22"/>
          <w:szCs w:val="22"/>
        </w:rPr>
        <w:t>关于变更估价的约定：</w:t>
      </w:r>
    </w:p>
    <w:p w14:paraId="7C50DDBA">
      <w:pPr>
        <w:tabs>
          <w:tab w:val="left" w:pos="8445"/>
        </w:tabs>
        <w:spacing w:before="171"/>
        <w:ind w:left="396"/>
        <w:rPr>
          <w:rFonts w:ascii="Arial"/>
          <w:sz w:val="21"/>
        </w:rPr>
      </w:pPr>
      <w:r>
        <w:rPr>
          <w:rFonts w:ascii="Arial" w:hAnsi="Arial" w:eastAsia="Arial" w:cs="Arial"/>
          <w:sz w:val="21"/>
          <w:szCs w:val="21"/>
          <w:u w:val="single" w:color="auto"/>
        </w:rPr>
        <w:tab/>
      </w:r>
    </w:p>
    <w:p w14:paraId="3CDBC364">
      <w:pPr>
        <w:rPr>
          <w:rFonts w:ascii="Arial" w:hAnsi="Arial" w:eastAsia="Arial" w:cs="Arial"/>
          <w:sz w:val="21"/>
          <w:szCs w:val="21"/>
        </w:rPr>
        <w:sectPr>
          <w:footerReference r:id="rId257" w:type="default"/>
          <w:pgSz w:w="11910" w:h="16840"/>
          <w:pgMar w:top="400" w:right="1786" w:bottom="1024" w:left="1463" w:header="0" w:footer="889" w:gutter="0"/>
          <w:cols w:space="720" w:num="1"/>
        </w:sectPr>
      </w:pPr>
    </w:p>
    <w:p w14:paraId="0FBE0354">
      <w:pPr>
        <w:spacing w:line="259" w:lineRule="auto"/>
        <w:rPr>
          <w:rFonts w:ascii="Arial"/>
          <w:sz w:val="21"/>
        </w:rPr>
      </w:pPr>
    </w:p>
    <w:p w14:paraId="36C53C42">
      <w:pPr>
        <w:spacing w:line="259" w:lineRule="auto"/>
        <w:rPr>
          <w:rFonts w:ascii="Arial"/>
          <w:sz w:val="21"/>
        </w:rPr>
      </w:pPr>
    </w:p>
    <w:p w14:paraId="54B89DC7">
      <w:pPr>
        <w:spacing w:line="259" w:lineRule="auto"/>
        <w:rPr>
          <w:rFonts w:ascii="Arial"/>
          <w:sz w:val="21"/>
        </w:rPr>
      </w:pPr>
    </w:p>
    <w:p w14:paraId="2EB6F28C">
      <w:pPr>
        <w:spacing w:line="259" w:lineRule="auto"/>
        <w:rPr>
          <w:rFonts w:ascii="Arial"/>
          <w:sz w:val="21"/>
        </w:rPr>
      </w:pPr>
    </w:p>
    <w:p w14:paraId="25477172">
      <w:pPr>
        <w:spacing w:line="259" w:lineRule="auto"/>
        <w:rPr>
          <w:rFonts w:ascii="Arial"/>
          <w:sz w:val="21"/>
        </w:rPr>
      </w:pPr>
    </w:p>
    <w:p w14:paraId="4F59AF77">
      <w:pPr>
        <w:spacing w:before="82" w:line="222" w:lineRule="auto"/>
        <w:ind w:left="3"/>
        <w:rPr>
          <w:rFonts w:ascii="黑体" w:hAnsi="黑体" w:eastAsia="黑体" w:cs="黑体"/>
          <w:sz w:val="25"/>
          <w:szCs w:val="25"/>
        </w:rPr>
      </w:pPr>
      <w:r>
        <w:rPr>
          <w:rFonts w:ascii="黑体" w:hAnsi="黑体" w:eastAsia="黑体" w:cs="黑体"/>
          <w:b/>
          <w:bCs/>
          <w:spacing w:val="-5"/>
          <w:sz w:val="25"/>
          <w:szCs w:val="25"/>
        </w:rPr>
        <w:t>10.5承包人的合理化建议</w:t>
      </w:r>
    </w:p>
    <w:sdt>
      <w:sdtPr>
        <w:rPr>
          <w:rFonts w:ascii="宋体" w:hAnsi="宋体" w:eastAsia="宋体" w:cs="宋体"/>
          <w:sz w:val="20"/>
          <w:szCs w:val="20"/>
        </w:rPr>
        <w:id w:val="147466828"/>
        <w:docPartObj>
          <w:docPartGallery w:val="Table of Contents"/>
          <w:docPartUnique/>
        </w:docPartObj>
      </w:sdtPr>
      <w:sdtEndPr>
        <w:rPr>
          <w:rFonts w:ascii="宋体" w:hAnsi="宋体" w:eastAsia="宋体" w:cs="宋体"/>
          <w:sz w:val="6"/>
          <w:szCs w:val="6"/>
        </w:rPr>
      </w:sdtEndPr>
      <w:sdtContent>
        <w:p w14:paraId="0E60ACAB">
          <w:pPr>
            <w:pStyle w:val="2"/>
            <w:spacing w:before="182" w:line="219" w:lineRule="auto"/>
            <w:ind w:left="419"/>
            <w:rPr>
              <w:sz w:val="20"/>
              <w:szCs w:val="20"/>
            </w:rPr>
          </w:pPr>
          <w:r>
            <w:rPr>
              <w:spacing w:val="-2"/>
              <w:sz w:val="20"/>
              <w:szCs w:val="20"/>
            </w:rPr>
            <w:t>监理人审查承包人合理化建议的期限：</w:t>
          </w:r>
          <w:r>
            <w:rPr>
              <w:spacing w:val="53"/>
              <w:sz w:val="20"/>
              <w:szCs w:val="20"/>
            </w:rPr>
            <w:t xml:space="preserve"> </w:t>
          </w:r>
          <w:r>
            <w:rPr>
              <w:sz w:val="20"/>
              <w:szCs w:val="20"/>
              <w:u w:val="single" w:color="auto"/>
            </w:rPr>
            <w:t xml:space="preserve">                     </w:t>
          </w:r>
          <w:r>
            <w:rPr>
              <w:spacing w:val="-80"/>
              <w:sz w:val="20"/>
              <w:szCs w:val="20"/>
            </w:rPr>
            <w:t xml:space="preserve"> </w:t>
          </w:r>
          <w:r>
            <w:rPr>
              <w:spacing w:val="-2"/>
              <w:sz w:val="20"/>
              <w:szCs w:val="20"/>
            </w:rPr>
            <w:t>-</w:t>
          </w:r>
          <w:r>
            <w:fldChar w:fldCharType="begin"/>
          </w:r>
          <w:r>
            <w:instrText xml:space="preserve"> HYPERLINK \l "bookmark304" </w:instrText>
          </w:r>
          <w:r>
            <w:fldChar w:fldCharType="separate"/>
          </w:r>
          <w:r>
            <w:rPr>
              <w:spacing w:val="-2"/>
              <w:sz w:val="20"/>
              <w:szCs w:val="20"/>
            </w:rPr>
            <w:t>0</w:t>
          </w:r>
          <w:r>
            <w:rPr>
              <w:spacing w:val="-2"/>
              <w:sz w:val="20"/>
              <w:szCs w:val="20"/>
            </w:rPr>
            <w:fldChar w:fldCharType="end"/>
          </w:r>
        </w:p>
        <w:p w14:paraId="6F43F4F0">
          <w:pPr>
            <w:pStyle w:val="2"/>
            <w:spacing w:before="142" w:line="219" w:lineRule="auto"/>
            <w:ind w:left="419"/>
            <w:rPr>
              <w:sz w:val="6"/>
              <w:szCs w:val="6"/>
            </w:rPr>
          </w:pPr>
          <w:r>
            <w:rPr>
              <w:spacing w:val="1"/>
              <w:sz w:val="20"/>
              <w:szCs w:val="20"/>
            </w:rPr>
            <w:t>发包人审批承包人合理化建议的期限：</w:t>
          </w:r>
          <w:r>
            <w:rPr>
              <w:spacing w:val="31"/>
              <w:sz w:val="20"/>
              <w:szCs w:val="20"/>
            </w:rPr>
            <w:t xml:space="preserve"> </w:t>
          </w:r>
          <w:r>
            <w:rPr>
              <w:sz w:val="20"/>
              <w:szCs w:val="20"/>
              <w:u w:val="single" w:color="auto"/>
            </w:rPr>
            <w:t xml:space="preserve">                     </w:t>
          </w:r>
          <w:r>
            <w:rPr>
              <w:spacing w:val="-50"/>
              <w:sz w:val="20"/>
              <w:szCs w:val="20"/>
            </w:rPr>
            <w:t xml:space="preserve"> </w:t>
          </w:r>
          <w:r>
            <w:rPr>
              <w:spacing w:val="1"/>
              <w:sz w:val="6"/>
              <w:szCs w:val="6"/>
            </w:rPr>
            <w:t>C</w:t>
          </w:r>
        </w:p>
      </w:sdtContent>
    </w:sdt>
    <w:p w14:paraId="22D54BC1">
      <w:pPr>
        <w:pStyle w:val="2"/>
        <w:spacing w:before="140" w:line="218" w:lineRule="auto"/>
        <w:ind w:left="419"/>
        <w:rPr>
          <w:sz w:val="20"/>
          <w:szCs w:val="20"/>
        </w:rPr>
      </w:pPr>
      <w:r>
        <w:rPr>
          <w:spacing w:val="9"/>
          <w:sz w:val="20"/>
          <w:szCs w:val="20"/>
        </w:rPr>
        <w:t>承包人提出的合理化建议降低了合同价格或者提高了工程经济效益的奖励的方法和金额为：</w:t>
      </w:r>
    </w:p>
    <w:p w14:paraId="562C7FB7">
      <w:pPr>
        <w:spacing w:line="274" w:lineRule="auto"/>
        <w:rPr>
          <w:rFonts w:ascii="Arial"/>
          <w:sz w:val="21"/>
        </w:rPr>
      </w:pPr>
    </w:p>
    <w:p w14:paraId="7CC71CBD">
      <w:pPr>
        <w:pStyle w:val="2"/>
        <w:spacing w:before="19" w:line="237" w:lineRule="auto"/>
        <w:ind w:left="8449"/>
        <w:rPr>
          <w:sz w:val="6"/>
          <w:szCs w:val="6"/>
        </w:rPr>
      </w:pPr>
      <w:r>
        <w:drawing>
          <wp:anchor distT="0" distB="0" distL="0" distR="0" simplePos="0" relativeHeight="251720704" behindDoc="0" locked="0" layoutInCell="1" allowOverlap="1">
            <wp:simplePos x="0" y="0"/>
            <wp:positionH relativeFrom="column">
              <wp:posOffset>266065</wp:posOffset>
            </wp:positionH>
            <wp:positionV relativeFrom="paragraph">
              <wp:posOffset>57785</wp:posOffset>
            </wp:positionV>
            <wp:extent cx="5105400" cy="6350"/>
            <wp:effectExtent l="0" t="0" r="0" b="0"/>
            <wp:wrapNone/>
            <wp:docPr id="136" name="IM 136"/>
            <wp:cNvGraphicFramePr/>
            <a:graphic xmlns:a="http://schemas.openxmlformats.org/drawingml/2006/main">
              <a:graphicData uri="http://schemas.openxmlformats.org/drawingml/2006/picture">
                <pic:pic xmlns:pic="http://schemas.openxmlformats.org/drawingml/2006/picture">
                  <pic:nvPicPr>
                    <pic:cNvPr id="136" name="IM 136"/>
                    <pic:cNvPicPr/>
                  </pic:nvPicPr>
                  <pic:blipFill>
                    <a:blip r:embed="rId466"/>
                    <a:stretch>
                      <a:fillRect/>
                    </a:stretch>
                  </pic:blipFill>
                  <pic:spPr>
                    <a:xfrm>
                      <a:off x="0" y="0"/>
                      <a:ext cx="5105377" cy="6350"/>
                    </a:xfrm>
                    <a:prstGeom prst="rect">
                      <a:avLst/>
                    </a:prstGeom>
                  </pic:spPr>
                </pic:pic>
              </a:graphicData>
            </a:graphic>
          </wp:anchor>
        </w:drawing>
      </w:r>
      <w:r>
        <w:rPr>
          <w:sz w:val="6"/>
          <w:szCs w:val="6"/>
        </w:rPr>
        <w:t>◎</w:t>
      </w:r>
    </w:p>
    <w:p w14:paraId="67D5D261">
      <w:pPr>
        <w:pStyle w:val="2"/>
        <w:spacing w:before="171" w:line="222" w:lineRule="auto"/>
        <w:ind w:left="3"/>
        <w:rPr>
          <w:rFonts w:ascii="黑体" w:hAnsi="黑体" w:eastAsia="黑体" w:cs="黑体"/>
        </w:rPr>
      </w:pPr>
      <w:r>
        <w:rPr>
          <w:b/>
          <w:bCs/>
          <w:spacing w:val="-11"/>
        </w:rPr>
        <w:t>10.7</w:t>
      </w:r>
      <w:r>
        <w:rPr>
          <w:spacing w:val="-11"/>
        </w:rPr>
        <w:t xml:space="preserve"> </w:t>
      </w:r>
      <w:r>
        <w:rPr>
          <w:rFonts w:ascii="黑体" w:hAnsi="黑体" w:eastAsia="黑体" w:cs="黑体"/>
          <w:b/>
          <w:bCs/>
          <w:spacing w:val="-11"/>
        </w:rPr>
        <w:t>暂估价</w:t>
      </w:r>
    </w:p>
    <w:p w14:paraId="14E639DE">
      <w:pPr>
        <w:pStyle w:val="2"/>
        <w:spacing w:before="130" w:line="218" w:lineRule="auto"/>
        <w:ind w:left="419"/>
        <w:rPr>
          <w:sz w:val="20"/>
          <w:szCs w:val="20"/>
        </w:rPr>
      </w:pPr>
      <w:r>
        <w:rPr>
          <w:spacing w:val="7"/>
          <w:sz w:val="20"/>
          <w:szCs w:val="20"/>
        </w:rPr>
        <w:t>暂估价材料和工程设备的明细详见附件11:《暂估价一</w:t>
      </w:r>
      <w:r>
        <w:rPr>
          <w:spacing w:val="6"/>
          <w:sz w:val="20"/>
          <w:szCs w:val="20"/>
        </w:rPr>
        <w:t>览表》。</w:t>
      </w:r>
    </w:p>
    <w:p w14:paraId="755B684E">
      <w:pPr>
        <w:pStyle w:val="2"/>
        <w:spacing w:before="174" w:line="218" w:lineRule="auto"/>
        <w:ind w:left="419"/>
        <w:rPr>
          <w:sz w:val="20"/>
          <w:szCs w:val="20"/>
        </w:rPr>
      </w:pPr>
      <w:r>
        <w:rPr>
          <w:spacing w:val="5"/>
          <w:sz w:val="20"/>
          <w:szCs w:val="20"/>
        </w:rPr>
        <w:t>10.7.1</w:t>
      </w:r>
      <w:r>
        <w:rPr>
          <w:spacing w:val="57"/>
          <w:sz w:val="20"/>
          <w:szCs w:val="20"/>
        </w:rPr>
        <w:t xml:space="preserve"> </w:t>
      </w:r>
      <w:r>
        <w:rPr>
          <w:spacing w:val="5"/>
          <w:sz w:val="20"/>
          <w:szCs w:val="20"/>
        </w:rPr>
        <w:t>依法必须招标的暂估价项目</w:t>
      </w:r>
    </w:p>
    <w:p w14:paraId="112390B6">
      <w:pPr>
        <w:pStyle w:val="2"/>
        <w:spacing w:before="184" w:line="218" w:lineRule="auto"/>
        <w:ind w:left="419"/>
        <w:rPr>
          <w:sz w:val="20"/>
          <w:szCs w:val="20"/>
        </w:rPr>
      </w:pPr>
      <w:r>
        <w:rPr>
          <w:spacing w:val="9"/>
          <w:sz w:val="20"/>
          <w:szCs w:val="20"/>
        </w:rPr>
        <w:t>对于依法必须招标的暂估价项目的确认和批准采取</w:t>
      </w:r>
      <w:r>
        <w:rPr>
          <w:spacing w:val="8"/>
          <w:sz w:val="20"/>
          <w:szCs w:val="20"/>
        </w:rPr>
        <w:t>第</w:t>
      </w:r>
      <w:r>
        <w:rPr>
          <w:spacing w:val="-93"/>
          <w:sz w:val="20"/>
          <w:szCs w:val="20"/>
        </w:rPr>
        <w:t xml:space="preserve"> </w:t>
      </w:r>
      <w:r>
        <w:rPr>
          <w:spacing w:val="8"/>
          <w:sz w:val="20"/>
          <w:szCs w:val="20"/>
          <w:u w:val="single" w:color="auto"/>
        </w:rPr>
        <w:t xml:space="preserve">      </w:t>
      </w:r>
      <w:r>
        <w:rPr>
          <w:spacing w:val="8"/>
          <w:sz w:val="20"/>
          <w:szCs w:val="20"/>
        </w:rPr>
        <w:t>种方式确定。</w:t>
      </w:r>
    </w:p>
    <w:p w14:paraId="1B3038F3">
      <w:pPr>
        <w:pStyle w:val="2"/>
        <w:spacing w:before="134" w:line="218" w:lineRule="auto"/>
        <w:ind w:left="419"/>
        <w:rPr>
          <w:sz w:val="20"/>
          <w:szCs w:val="20"/>
        </w:rPr>
      </w:pPr>
      <w:r>
        <w:rPr>
          <w:spacing w:val="6"/>
          <w:sz w:val="20"/>
          <w:szCs w:val="20"/>
        </w:rPr>
        <w:t>10.7.2</w:t>
      </w:r>
      <w:r>
        <w:rPr>
          <w:spacing w:val="61"/>
          <w:sz w:val="20"/>
          <w:szCs w:val="20"/>
        </w:rPr>
        <w:t xml:space="preserve"> </w:t>
      </w:r>
      <w:r>
        <w:rPr>
          <w:spacing w:val="6"/>
          <w:sz w:val="20"/>
          <w:szCs w:val="20"/>
        </w:rPr>
        <w:t>不属于依法必须招标的暂估价项目</w:t>
      </w:r>
    </w:p>
    <w:p w14:paraId="030E3040">
      <w:pPr>
        <w:pStyle w:val="2"/>
        <w:spacing w:before="174" w:line="369" w:lineRule="auto"/>
        <w:ind w:left="419" w:right="1159"/>
        <w:rPr>
          <w:sz w:val="20"/>
          <w:szCs w:val="20"/>
        </w:rPr>
      </w:pPr>
      <w:r>
        <w:rPr>
          <w:spacing w:val="6"/>
          <w:sz w:val="20"/>
          <w:szCs w:val="20"/>
        </w:rPr>
        <w:t>对于不属于依法必须招标的暂估价项目的确认和批准采取第</w:t>
      </w:r>
      <w:r>
        <w:rPr>
          <w:spacing w:val="-94"/>
          <w:sz w:val="20"/>
          <w:szCs w:val="20"/>
        </w:rPr>
        <w:t xml:space="preserve"> </w:t>
      </w:r>
      <w:r>
        <w:rPr>
          <w:spacing w:val="7"/>
          <w:sz w:val="20"/>
          <w:szCs w:val="20"/>
          <w:u w:val="single" w:color="auto"/>
        </w:rPr>
        <w:t xml:space="preserve">       </w:t>
      </w:r>
      <w:r>
        <w:rPr>
          <w:spacing w:val="-99"/>
          <w:sz w:val="20"/>
          <w:szCs w:val="20"/>
        </w:rPr>
        <w:t xml:space="preserve"> </w:t>
      </w:r>
      <w:r>
        <w:rPr>
          <w:spacing w:val="6"/>
          <w:sz w:val="20"/>
          <w:szCs w:val="20"/>
        </w:rPr>
        <w:t>种方式确定。</w:t>
      </w:r>
      <w:r>
        <w:rPr>
          <w:sz w:val="20"/>
          <w:szCs w:val="20"/>
        </w:rPr>
        <w:t xml:space="preserve"> </w:t>
      </w:r>
      <w:r>
        <w:rPr>
          <w:spacing w:val="15"/>
          <w:sz w:val="20"/>
          <w:szCs w:val="20"/>
        </w:rPr>
        <w:t>第3种方式：承包人直接实施的暂估价项目</w:t>
      </w:r>
    </w:p>
    <w:p w14:paraId="53CAE63A">
      <w:pPr>
        <w:pStyle w:val="2"/>
        <w:spacing w:before="1" w:line="217" w:lineRule="auto"/>
        <w:ind w:left="419"/>
        <w:rPr>
          <w:sz w:val="20"/>
          <w:szCs w:val="20"/>
        </w:rPr>
      </w:pPr>
      <w:r>
        <w:rPr>
          <w:spacing w:val="7"/>
          <w:sz w:val="20"/>
          <w:szCs w:val="20"/>
        </w:rPr>
        <w:t>承包人直接实施的暂估价项目的约定：</w:t>
      </w:r>
    </w:p>
    <w:p w14:paraId="61C396AE">
      <w:pPr>
        <w:spacing w:line="265" w:lineRule="auto"/>
        <w:rPr>
          <w:rFonts w:ascii="Arial"/>
          <w:sz w:val="21"/>
        </w:rPr>
      </w:pPr>
    </w:p>
    <w:p w14:paraId="643DEA70">
      <w:pPr>
        <w:spacing w:before="1" w:line="80" w:lineRule="exact"/>
        <w:ind w:firstLine="419"/>
      </w:pPr>
      <w:r>
        <w:rPr>
          <w:position w:val="-1"/>
        </w:rPr>
        <w:drawing>
          <wp:inline distT="0" distB="0" distL="0" distR="0">
            <wp:extent cx="5142865" cy="50165"/>
            <wp:effectExtent l="0" t="0" r="0" b="0"/>
            <wp:docPr id="138" name="IM 138"/>
            <wp:cNvGraphicFramePr/>
            <a:graphic xmlns:a="http://schemas.openxmlformats.org/drawingml/2006/main">
              <a:graphicData uri="http://schemas.openxmlformats.org/drawingml/2006/picture">
                <pic:pic xmlns:pic="http://schemas.openxmlformats.org/drawingml/2006/picture">
                  <pic:nvPicPr>
                    <pic:cNvPr id="138" name="IM 138"/>
                    <pic:cNvPicPr/>
                  </pic:nvPicPr>
                  <pic:blipFill>
                    <a:blip r:embed="rId467"/>
                    <a:stretch>
                      <a:fillRect/>
                    </a:stretch>
                  </pic:blipFill>
                  <pic:spPr>
                    <a:xfrm>
                      <a:off x="0" y="0"/>
                      <a:ext cx="5143493" cy="50707"/>
                    </a:xfrm>
                    <a:prstGeom prst="rect">
                      <a:avLst/>
                    </a:prstGeom>
                  </pic:spPr>
                </pic:pic>
              </a:graphicData>
            </a:graphic>
          </wp:inline>
        </w:drawing>
      </w:r>
    </w:p>
    <w:p w14:paraId="75C64BF5">
      <w:pPr>
        <w:pStyle w:val="2"/>
        <w:spacing w:before="175" w:line="222" w:lineRule="auto"/>
        <w:ind w:left="3"/>
        <w:rPr>
          <w:rFonts w:ascii="黑体" w:hAnsi="黑体" w:eastAsia="黑体" w:cs="黑体"/>
        </w:rPr>
      </w:pPr>
      <w:r>
        <w:rPr>
          <w:b/>
          <w:bCs/>
          <w:spacing w:val="-9"/>
        </w:rPr>
        <w:t>10.8</w:t>
      </w:r>
      <w:r>
        <w:rPr>
          <w:spacing w:val="-9"/>
        </w:rPr>
        <w:t xml:space="preserve"> </w:t>
      </w:r>
      <w:r>
        <w:rPr>
          <w:rFonts w:ascii="黑体" w:hAnsi="黑体" w:eastAsia="黑体" w:cs="黑体"/>
          <w:b/>
          <w:bCs/>
          <w:spacing w:val="-9"/>
        </w:rPr>
        <w:t>暂列金额</w:t>
      </w:r>
    </w:p>
    <w:p w14:paraId="53A69F8F">
      <w:pPr>
        <w:pStyle w:val="2"/>
        <w:spacing w:before="133" w:line="219" w:lineRule="auto"/>
        <w:ind w:left="419"/>
        <w:rPr>
          <w:sz w:val="20"/>
          <w:szCs w:val="20"/>
        </w:rPr>
      </w:pPr>
      <w:r>
        <w:rPr>
          <w:spacing w:val="7"/>
          <w:sz w:val="20"/>
          <w:szCs w:val="20"/>
        </w:rPr>
        <w:t>合同当事人关于暂列金额使用的约定：</w:t>
      </w:r>
    </w:p>
    <w:p w14:paraId="2A5BB2B0">
      <w:pPr>
        <w:spacing w:line="249" w:lineRule="auto"/>
        <w:rPr>
          <w:rFonts w:ascii="Arial"/>
          <w:sz w:val="21"/>
        </w:rPr>
      </w:pPr>
    </w:p>
    <w:p w14:paraId="03190E58">
      <w:pPr>
        <w:pStyle w:val="2"/>
        <w:spacing w:before="23" w:line="237" w:lineRule="auto"/>
        <w:ind w:left="8449"/>
        <w:rPr>
          <w:sz w:val="7"/>
          <w:szCs w:val="7"/>
        </w:rPr>
      </w:pPr>
      <w:r>
        <w:drawing>
          <wp:anchor distT="0" distB="0" distL="0" distR="0" simplePos="0" relativeHeight="251721728" behindDoc="0" locked="0" layoutInCell="1" allowOverlap="1">
            <wp:simplePos x="0" y="0"/>
            <wp:positionH relativeFrom="column">
              <wp:posOffset>266065</wp:posOffset>
            </wp:positionH>
            <wp:positionV relativeFrom="paragraph">
              <wp:posOffset>60960</wp:posOffset>
            </wp:positionV>
            <wp:extent cx="5080000" cy="6350"/>
            <wp:effectExtent l="0" t="0" r="0" b="0"/>
            <wp:wrapNone/>
            <wp:docPr id="140" name="IM 140"/>
            <wp:cNvGraphicFramePr/>
            <a:graphic xmlns:a="http://schemas.openxmlformats.org/drawingml/2006/main">
              <a:graphicData uri="http://schemas.openxmlformats.org/drawingml/2006/picture">
                <pic:pic xmlns:pic="http://schemas.openxmlformats.org/drawingml/2006/picture">
                  <pic:nvPicPr>
                    <pic:cNvPr id="140" name="IM 140"/>
                    <pic:cNvPicPr/>
                  </pic:nvPicPr>
                  <pic:blipFill>
                    <a:blip r:embed="rId468"/>
                    <a:stretch>
                      <a:fillRect/>
                    </a:stretch>
                  </pic:blipFill>
                  <pic:spPr>
                    <a:xfrm>
                      <a:off x="0" y="0"/>
                      <a:ext cx="5080041" cy="6350"/>
                    </a:xfrm>
                    <a:prstGeom prst="rect">
                      <a:avLst/>
                    </a:prstGeom>
                  </pic:spPr>
                </pic:pic>
              </a:graphicData>
            </a:graphic>
          </wp:anchor>
        </w:drawing>
      </w:r>
      <w:r>
        <w:rPr>
          <w:sz w:val="7"/>
          <w:szCs w:val="7"/>
        </w:rPr>
        <w:t>◎</w:t>
      </w:r>
    </w:p>
    <w:p w14:paraId="36F62CDB">
      <w:pPr>
        <w:pStyle w:val="2"/>
        <w:spacing w:before="217" w:line="222" w:lineRule="auto"/>
        <w:ind w:left="4"/>
        <w:rPr>
          <w:rFonts w:ascii="黑体" w:hAnsi="黑体" w:eastAsia="黑体" w:cs="黑体"/>
          <w:sz w:val="30"/>
          <w:szCs w:val="30"/>
        </w:rPr>
      </w:pPr>
      <w:r>
        <w:rPr>
          <w:b/>
          <w:bCs/>
          <w:spacing w:val="-5"/>
          <w:sz w:val="30"/>
          <w:szCs w:val="30"/>
        </w:rPr>
        <w:t>11.</w:t>
      </w:r>
      <w:r>
        <w:rPr>
          <w:rFonts w:ascii="黑体" w:hAnsi="黑体" w:eastAsia="黑体" w:cs="黑体"/>
          <w:b/>
          <w:bCs/>
          <w:spacing w:val="-5"/>
          <w:sz w:val="30"/>
          <w:szCs w:val="30"/>
        </w:rPr>
        <w:t>价格调整</w:t>
      </w:r>
    </w:p>
    <w:p w14:paraId="2959485D">
      <w:pPr>
        <w:pStyle w:val="2"/>
        <w:spacing w:before="78" w:line="222" w:lineRule="auto"/>
        <w:ind w:left="3"/>
        <w:rPr>
          <w:rFonts w:ascii="黑体" w:hAnsi="黑体" w:eastAsia="黑体" w:cs="黑体"/>
        </w:rPr>
      </w:pPr>
      <w:r>
        <w:rPr>
          <w:b/>
          <w:bCs/>
          <w:spacing w:val="-11"/>
        </w:rPr>
        <w:t>11.1</w:t>
      </w:r>
      <w:r>
        <w:rPr>
          <w:spacing w:val="-11"/>
        </w:rPr>
        <w:t xml:space="preserve"> </w:t>
      </w:r>
      <w:r>
        <w:rPr>
          <w:rFonts w:ascii="黑体" w:hAnsi="黑体" w:eastAsia="黑体" w:cs="黑体"/>
          <w:b/>
          <w:bCs/>
          <w:spacing w:val="-11"/>
        </w:rPr>
        <w:t>市场价格波动引起的调整</w:t>
      </w:r>
    </w:p>
    <w:p w14:paraId="1D92E6FD">
      <w:pPr>
        <w:pStyle w:val="2"/>
        <w:spacing w:before="151" w:line="218" w:lineRule="auto"/>
        <w:ind w:left="419"/>
        <w:rPr>
          <w:sz w:val="20"/>
          <w:szCs w:val="20"/>
        </w:rPr>
      </w:pPr>
      <w:r>
        <w:rPr>
          <w:spacing w:val="6"/>
          <w:sz w:val="20"/>
          <w:szCs w:val="20"/>
        </w:rPr>
        <w:t>市场价格波动是否调整合同价格的约定：</w:t>
      </w:r>
    </w:p>
    <w:p w14:paraId="46CBBCF4">
      <w:pPr>
        <w:pStyle w:val="2"/>
        <w:spacing w:before="260"/>
        <w:ind w:left="8439"/>
        <w:rPr>
          <w:sz w:val="9"/>
          <w:szCs w:val="9"/>
        </w:rPr>
      </w:pPr>
      <w:r>
        <w:drawing>
          <wp:anchor distT="0" distB="0" distL="0" distR="0" simplePos="0" relativeHeight="251722752" behindDoc="0" locked="0" layoutInCell="1" allowOverlap="1">
            <wp:simplePos x="0" y="0"/>
            <wp:positionH relativeFrom="column">
              <wp:posOffset>259715</wp:posOffset>
            </wp:positionH>
            <wp:positionV relativeFrom="paragraph">
              <wp:posOffset>220345</wp:posOffset>
            </wp:positionV>
            <wp:extent cx="5118100" cy="6350"/>
            <wp:effectExtent l="0" t="0" r="0" b="0"/>
            <wp:wrapNone/>
            <wp:docPr id="142" name="IM 142"/>
            <wp:cNvGraphicFramePr/>
            <a:graphic xmlns:a="http://schemas.openxmlformats.org/drawingml/2006/main">
              <a:graphicData uri="http://schemas.openxmlformats.org/drawingml/2006/picture">
                <pic:pic xmlns:pic="http://schemas.openxmlformats.org/drawingml/2006/picture">
                  <pic:nvPicPr>
                    <pic:cNvPr id="142" name="IM 142"/>
                    <pic:cNvPicPr/>
                  </pic:nvPicPr>
                  <pic:blipFill>
                    <a:blip r:embed="rId469"/>
                    <a:stretch>
                      <a:fillRect/>
                    </a:stretch>
                  </pic:blipFill>
                  <pic:spPr>
                    <a:xfrm>
                      <a:off x="0" y="0"/>
                      <a:ext cx="5118083" cy="6415"/>
                    </a:xfrm>
                    <a:prstGeom prst="rect">
                      <a:avLst/>
                    </a:prstGeom>
                  </pic:spPr>
                </pic:pic>
              </a:graphicData>
            </a:graphic>
          </wp:anchor>
        </w:drawing>
      </w:r>
      <w:r>
        <w:rPr>
          <w:sz w:val="9"/>
          <w:szCs w:val="9"/>
        </w:rPr>
        <w:t>0</w:t>
      </w:r>
    </w:p>
    <w:p w14:paraId="49594962">
      <w:pPr>
        <w:pStyle w:val="2"/>
        <w:spacing w:before="207" w:line="352" w:lineRule="auto"/>
        <w:ind w:left="419" w:right="1069"/>
        <w:rPr>
          <w:sz w:val="20"/>
          <w:szCs w:val="20"/>
        </w:rPr>
      </w:pPr>
      <w:r>
        <w:rPr>
          <w:spacing w:val="8"/>
          <w:sz w:val="20"/>
          <w:szCs w:val="20"/>
        </w:rPr>
        <w:t>因市场价格波动调整合同价格，采用以下第</w:t>
      </w:r>
      <w:r>
        <w:rPr>
          <w:spacing w:val="-88"/>
          <w:sz w:val="20"/>
          <w:szCs w:val="20"/>
        </w:rPr>
        <w:t xml:space="preserve"> </w:t>
      </w:r>
      <w:r>
        <w:rPr>
          <w:spacing w:val="5"/>
          <w:sz w:val="20"/>
          <w:szCs w:val="20"/>
          <w:u w:val="single" w:color="auto"/>
        </w:rPr>
        <w:t xml:space="preserve">       </w:t>
      </w:r>
      <w:r>
        <w:rPr>
          <w:spacing w:val="-64"/>
          <w:sz w:val="20"/>
          <w:szCs w:val="20"/>
        </w:rPr>
        <w:t xml:space="preserve"> </w:t>
      </w:r>
      <w:r>
        <w:rPr>
          <w:spacing w:val="8"/>
          <w:sz w:val="20"/>
          <w:szCs w:val="20"/>
        </w:rPr>
        <w:t>种方式对合同价格进行调整：</w:t>
      </w:r>
      <w:r>
        <w:rPr>
          <w:sz w:val="20"/>
          <w:szCs w:val="20"/>
        </w:rPr>
        <w:t xml:space="preserve"> </w:t>
      </w:r>
      <w:r>
        <w:rPr>
          <w:spacing w:val="14"/>
          <w:sz w:val="20"/>
          <w:szCs w:val="20"/>
        </w:rPr>
        <w:t>第1种方式：采用价格指数进行价格调整。</w:t>
      </w:r>
    </w:p>
    <w:p w14:paraId="637BE5CA">
      <w:pPr>
        <w:pStyle w:val="2"/>
        <w:spacing w:before="17" w:line="218" w:lineRule="auto"/>
        <w:ind w:left="419"/>
        <w:rPr>
          <w:sz w:val="20"/>
          <w:szCs w:val="20"/>
        </w:rPr>
      </w:pPr>
      <w:r>
        <w:rPr>
          <w:spacing w:val="9"/>
          <w:sz w:val="20"/>
          <w:szCs w:val="20"/>
        </w:rPr>
        <w:t>关于各可调因子、定值和变值权重，以及基本价格指</w:t>
      </w:r>
      <w:r>
        <w:rPr>
          <w:spacing w:val="8"/>
          <w:sz w:val="20"/>
          <w:szCs w:val="20"/>
        </w:rPr>
        <w:t>数及其来源的约定：</w:t>
      </w:r>
    </w:p>
    <w:p w14:paraId="10ECA0E7">
      <w:pPr>
        <w:spacing w:line="247" w:lineRule="auto"/>
        <w:rPr>
          <w:rFonts w:ascii="Arial"/>
          <w:sz w:val="21"/>
        </w:rPr>
      </w:pPr>
    </w:p>
    <w:p w14:paraId="6747900F">
      <w:pPr>
        <w:spacing w:line="248" w:lineRule="auto"/>
        <w:rPr>
          <w:rFonts w:ascii="Arial"/>
          <w:sz w:val="21"/>
        </w:rPr>
      </w:pPr>
      <w:r>
        <mc:AlternateContent>
          <mc:Choice Requires="wps">
            <w:drawing>
              <wp:anchor distT="0" distB="0" distL="0" distR="0" simplePos="0" relativeHeight="251718656" behindDoc="0" locked="0" layoutInCell="1" allowOverlap="1">
                <wp:simplePos x="0" y="0"/>
                <wp:positionH relativeFrom="column">
                  <wp:posOffset>5344160</wp:posOffset>
                </wp:positionH>
                <wp:positionV relativeFrom="paragraph">
                  <wp:posOffset>9525</wp:posOffset>
                </wp:positionV>
                <wp:extent cx="52070" cy="118110"/>
                <wp:effectExtent l="0" t="0" r="0" b="0"/>
                <wp:wrapNone/>
                <wp:docPr id="144" name="TextBox 144"/>
                <wp:cNvGraphicFramePr/>
                <a:graphic xmlns:a="http://schemas.openxmlformats.org/drawingml/2006/main">
                  <a:graphicData uri="http://schemas.microsoft.com/office/word/2010/wordprocessingShape">
                    <wps:wsp>
                      <wps:cNvSpPr txBox="1"/>
                      <wps:spPr>
                        <a:xfrm rot="16200000">
                          <a:off x="5344569" y="9688"/>
                          <a:ext cx="52069" cy="118110"/>
                        </a:xfrm>
                        <a:prstGeom prst="rect">
                          <a:avLst/>
                        </a:prstGeom>
                        <a:noFill/>
                        <a:ln w="0" cap="flat">
                          <a:noFill/>
                          <a:prstDash val="solid"/>
                          <a:miter lim="0"/>
                        </a:ln>
                      </wps:spPr>
                      <wps:style>
                        <a:lnRef idx="0">
                          <a:schemeClr val="accent1"/>
                        </a:lnRef>
                        <a:fillRef idx="0">
                          <a:schemeClr val="accent1"/>
                        </a:fillRef>
                        <a:effectRef idx="0">
                          <a:schemeClr val="accent1"/>
                        </a:effectRef>
                        <a:fontRef idx="minor">
                          <a:schemeClr val="dk1"/>
                        </a:fontRef>
                      </wps:style>
                      <wps:txbx>
                        <w:txbxContent>
                          <w:p w14:paraId="00EF018C">
                            <w:pPr>
                              <w:pStyle w:val="2"/>
                              <w:spacing w:before="47" w:line="241" w:lineRule="auto"/>
                              <w:ind w:left="20"/>
                              <w:rPr>
                                <w:sz w:val="9"/>
                                <w:szCs w:val="9"/>
                              </w:rPr>
                            </w:pPr>
                            <w:r>
                              <w:rPr>
                                <w:sz w:val="9"/>
                                <w:szCs w:val="9"/>
                              </w:rPr>
                              <w:t>4</w:t>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TextBox 144" o:spid="_x0000_s1026" o:spt="202" type="#_x0000_t202" style="position:absolute;left:0pt;margin-left:420.8pt;margin-top:0.75pt;height:9.3pt;width:4.1pt;rotation:-5898240f;z-index:251718656;mso-width-relative:page;mso-height-relative:page;" filled="f" stroked="f" coordsize="21600,21600" o:gfxdata="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BbZykV1gAAAAgBAAAPAAAAAAAA&#10;AAEAIAAAACIAAABkcnMvZG93bnJldi54bWxQSwECFAAUAAAACACHTuJAYMiZEk0CAAChBAAADgAA&#10;AAAAAAABACAAAAAlAQAAZHJzL2Uyb0RvYy54bWxQSwUGAAAAAAYABgBZAQAA5AUAAAAA&#10;">
                <v:fill on="f" focussize="0,0"/>
                <v:stroke on="f" weight="0pt" miterlimit="0" joinstyle="miter"/>
                <v:imagedata o:title=""/>
                <o:lock v:ext="edit" aspectratio="f"/>
                <v:textbox inset="0mm,0mm,0mm,0mm">
                  <w:txbxContent>
                    <w:p w14:paraId="00EF018C">
                      <w:pPr>
                        <w:pStyle w:val="2"/>
                        <w:spacing w:before="47" w:line="241" w:lineRule="auto"/>
                        <w:ind w:left="20"/>
                        <w:rPr>
                          <w:sz w:val="9"/>
                          <w:szCs w:val="9"/>
                        </w:rPr>
                      </w:pPr>
                      <w:r>
                        <w:rPr>
                          <w:sz w:val="9"/>
                          <w:szCs w:val="9"/>
                        </w:rPr>
                        <w:t>4</w:t>
                      </w:r>
                    </w:p>
                  </w:txbxContent>
                </v:textbox>
              </v:shape>
            </w:pict>
          </mc:Fallback>
        </mc:AlternateContent>
      </w:r>
      <w:r>
        <w:drawing>
          <wp:anchor distT="0" distB="0" distL="0" distR="0" simplePos="0" relativeHeight="251719680" behindDoc="0" locked="0" layoutInCell="1" allowOverlap="1">
            <wp:simplePos x="0" y="0"/>
            <wp:positionH relativeFrom="column">
              <wp:posOffset>266065</wp:posOffset>
            </wp:positionH>
            <wp:positionV relativeFrom="paragraph">
              <wp:posOffset>68580</wp:posOffset>
            </wp:positionV>
            <wp:extent cx="5118100" cy="12700"/>
            <wp:effectExtent l="0" t="0" r="0" b="0"/>
            <wp:wrapNone/>
            <wp:docPr id="146" name="IM 146"/>
            <wp:cNvGraphicFramePr/>
            <a:graphic xmlns:a="http://schemas.openxmlformats.org/drawingml/2006/main">
              <a:graphicData uri="http://schemas.openxmlformats.org/drawingml/2006/picture">
                <pic:pic xmlns:pic="http://schemas.openxmlformats.org/drawingml/2006/picture">
                  <pic:nvPicPr>
                    <pic:cNvPr id="146" name="IM 146"/>
                    <pic:cNvPicPr/>
                  </pic:nvPicPr>
                  <pic:blipFill>
                    <a:blip r:embed="rId470"/>
                    <a:stretch>
                      <a:fillRect/>
                    </a:stretch>
                  </pic:blipFill>
                  <pic:spPr>
                    <a:xfrm>
                      <a:off x="0" y="0"/>
                      <a:ext cx="5118083" cy="12725"/>
                    </a:xfrm>
                    <a:prstGeom prst="rect">
                      <a:avLst/>
                    </a:prstGeom>
                  </pic:spPr>
                </pic:pic>
              </a:graphicData>
            </a:graphic>
          </wp:anchor>
        </w:drawing>
      </w:r>
    </w:p>
    <w:p w14:paraId="5DB8AFE4">
      <w:pPr>
        <w:pStyle w:val="2"/>
        <w:spacing w:before="66" w:line="218" w:lineRule="auto"/>
        <w:ind w:left="419"/>
        <w:rPr>
          <w:sz w:val="20"/>
          <w:szCs w:val="20"/>
        </w:rPr>
      </w:pPr>
      <w:r>
        <w:rPr>
          <w:spacing w:val="14"/>
          <w:sz w:val="20"/>
          <w:szCs w:val="20"/>
        </w:rPr>
        <w:t>第2种方式：采用造价信息进行价格调整。</w:t>
      </w:r>
    </w:p>
    <w:p w14:paraId="5FB4B295">
      <w:pPr>
        <w:pStyle w:val="2"/>
        <w:spacing w:before="164" w:line="218" w:lineRule="auto"/>
        <w:ind w:left="529"/>
        <w:rPr>
          <w:sz w:val="7"/>
          <w:szCs w:val="7"/>
        </w:rPr>
      </w:pPr>
      <w:r>
        <w:rPr>
          <w:spacing w:val="4"/>
          <w:sz w:val="20"/>
          <w:szCs w:val="20"/>
        </w:rPr>
        <w:t>(2)关于基准价格的约定：</w:t>
      </w:r>
      <w:r>
        <w:rPr>
          <w:spacing w:val="54"/>
          <w:sz w:val="20"/>
          <w:szCs w:val="20"/>
        </w:rPr>
        <w:t xml:space="preserve"> </w:t>
      </w:r>
      <w:r>
        <w:rPr>
          <w:spacing w:val="4"/>
          <w:sz w:val="20"/>
          <w:szCs w:val="20"/>
          <w:u w:val="single" w:color="auto"/>
        </w:rPr>
        <w:t xml:space="preserve">                                                   </w:t>
      </w:r>
      <w:r>
        <w:rPr>
          <w:spacing w:val="4"/>
          <w:sz w:val="20"/>
          <w:szCs w:val="20"/>
        </w:rPr>
        <w:t xml:space="preserve"> </w:t>
      </w:r>
      <w:r>
        <w:rPr>
          <w:spacing w:val="4"/>
          <w:sz w:val="7"/>
          <w:szCs w:val="7"/>
        </w:rPr>
        <w:t>◎</w:t>
      </w:r>
    </w:p>
    <w:p w14:paraId="657191D0">
      <w:pPr>
        <w:pStyle w:val="2"/>
        <w:spacing w:before="174" w:line="361" w:lineRule="auto"/>
        <w:ind w:right="1" w:firstLine="419"/>
        <w:rPr>
          <w:sz w:val="20"/>
          <w:szCs w:val="20"/>
        </w:rPr>
      </w:pPr>
      <w:r>
        <w:rPr>
          <w:spacing w:val="12"/>
          <w:sz w:val="20"/>
          <w:szCs w:val="20"/>
        </w:rPr>
        <w:t>专用合同条款①承包人在已标价工程量清单或预算书中载明的材料单</w:t>
      </w:r>
      <w:r>
        <w:rPr>
          <w:spacing w:val="11"/>
          <w:sz w:val="20"/>
          <w:szCs w:val="20"/>
        </w:rPr>
        <w:t>价低于基准价格的：专</w:t>
      </w:r>
      <w:r>
        <w:rPr>
          <w:sz w:val="20"/>
          <w:szCs w:val="20"/>
        </w:rPr>
        <w:t xml:space="preserve"> </w:t>
      </w:r>
      <w:r>
        <w:rPr>
          <w:spacing w:val="9"/>
          <w:sz w:val="20"/>
          <w:szCs w:val="20"/>
        </w:rPr>
        <w:t>用合同条款合同履行期间材料单价涨幅以基准价格为基础超过</w:t>
      </w:r>
      <w:r>
        <w:rPr>
          <w:spacing w:val="-98"/>
          <w:sz w:val="20"/>
          <w:szCs w:val="20"/>
        </w:rPr>
        <w:t xml:space="preserve"> </w:t>
      </w:r>
      <w:r>
        <w:rPr>
          <w:spacing w:val="6"/>
          <w:sz w:val="20"/>
          <w:szCs w:val="20"/>
          <w:u w:val="single" w:color="auto"/>
        </w:rPr>
        <w:t xml:space="preserve">      </w:t>
      </w:r>
      <w:r>
        <w:rPr>
          <w:spacing w:val="-66"/>
          <w:sz w:val="20"/>
          <w:szCs w:val="20"/>
        </w:rPr>
        <w:t xml:space="preserve"> </w:t>
      </w:r>
      <w:r>
        <w:rPr>
          <w:spacing w:val="9"/>
          <w:sz w:val="20"/>
          <w:szCs w:val="20"/>
        </w:rPr>
        <w:t>%时，或材料单</w:t>
      </w:r>
      <w:r>
        <w:rPr>
          <w:spacing w:val="8"/>
          <w:sz w:val="20"/>
          <w:szCs w:val="20"/>
        </w:rPr>
        <w:t>价跌幅以已标</w:t>
      </w:r>
      <w:r>
        <w:rPr>
          <w:sz w:val="20"/>
          <w:szCs w:val="20"/>
        </w:rPr>
        <w:t xml:space="preserve"> </w:t>
      </w:r>
      <w:r>
        <w:rPr>
          <w:spacing w:val="9"/>
          <w:sz w:val="20"/>
          <w:szCs w:val="20"/>
        </w:rPr>
        <w:t>价工程量清单或预算书中载明材料单价为基础</w:t>
      </w:r>
      <w:r>
        <w:rPr>
          <w:spacing w:val="9"/>
          <w:sz w:val="20"/>
          <w:szCs w:val="20"/>
          <w:u w:val="single" w:color="auto"/>
        </w:rPr>
        <w:t xml:space="preserve">超 过     </w:t>
      </w:r>
      <w:r>
        <w:rPr>
          <w:spacing w:val="9"/>
          <w:sz w:val="20"/>
          <w:szCs w:val="20"/>
        </w:rPr>
        <w:t>%时，</w:t>
      </w:r>
      <w:r>
        <w:rPr>
          <w:spacing w:val="8"/>
          <w:sz w:val="20"/>
          <w:szCs w:val="20"/>
        </w:rPr>
        <w:t>其超过部分据实调整。</w:t>
      </w:r>
    </w:p>
    <w:p w14:paraId="44530938">
      <w:pPr>
        <w:pStyle w:val="2"/>
        <w:spacing w:before="24" w:line="371" w:lineRule="auto"/>
        <w:ind w:firstLine="419"/>
        <w:jc w:val="both"/>
        <w:rPr>
          <w:sz w:val="20"/>
          <w:szCs w:val="20"/>
        </w:rPr>
      </w:pPr>
      <w:r>
        <w:rPr>
          <w:spacing w:val="12"/>
          <w:sz w:val="20"/>
          <w:szCs w:val="20"/>
        </w:rPr>
        <w:t>②承包人在已标价工程量清单或预算书中载明的材料单价高于</w:t>
      </w:r>
      <w:r>
        <w:rPr>
          <w:spacing w:val="11"/>
          <w:sz w:val="20"/>
          <w:szCs w:val="20"/>
        </w:rPr>
        <w:t>基准价格的：专用合同条款合</w:t>
      </w:r>
      <w:r>
        <w:rPr>
          <w:sz w:val="20"/>
          <w:szCs w:val="20"/>
        </w:rPr>
        <w:t xml:space="preserve"> </w:t>
      </w:r>
      <w:r>
        <w:rPr>
          <w:spacing w:val="9"/>
          <w:sz w:val="20"/>
          <w:szCs w:val="20"/>
        </w:rPr>
        <w:t>同履行期间材料单价跌幅以基准价格为基础超</w:t>
      </w:r>
      <w:r>
        <w:rPr>
          <w:spacing w:val="9"/>
          <w:sz w:val="20"/>
          <w:szCs w:val="20"/>
          <w:u w:val="single" w:color="auto"/>
        </w:rPr>
        <w:t xml:space="preserve">过      </w:t>
      </w:r>
      <w:r>
        <w:rPr>
          <w:spacing w:val="-70"/>
          <w:sz w:val="20"/>
          <w:szCs w:val="20"/>
        </w:rPr>
        <w:t xml:space="preserve"> </w:t>
      </w:r>
      <w:r>
        <w:rPr>
          <w:spacing w:val="9"/>
          <w:sz w:val="20"/>
          <w:szCs w:val="20"/>
        </w:rPr>
        <w:t>%时，</w:t>
      </w:r>
      <w:r>
        <w:rPr>
          <w:spacing w:val="8"/>
          <w:sz w:val="20"/>
          <w:szCs w:val="20"/>
        </w:rPr>
        <w:t>材料单价涨幅以已标价工程量清单或</w:t>
      </w:r>
      <w:r>
        <w:rPr>
          <w:sz w:val="20"/>
          <w:szCs w:val="20"/>
        </w:rPr>
        <w:t xml:space="preserve"> </w:t>
      </w:r>
      <w:r>
        <w:rPr>
          <w:spacing w:val="8"/>
          <w:sz w:val="20"/>
          <w:szCs w:val="20"/>
        </w:rPr>
        <w:t>预算书中载明材料单价为基础超过</w:t>
      </w:r>
      <w:r>
        <w:rPr>
          <w:spacing w:val="-86"/>
          <w:sz w:val="20"/>
          <w:szCs w:val="20"/>
        </w:rPr>
        <w:t xml:space="preserve"> </w:t>
      </w:r>
      <w:r>
        <w:rPr>
          <w:spacing w:val="6"/>
          <w:sz w:val="20"/>
          <w:szCs w:val="20"/>
          <w:u w:val="single" w:color="auto"/>
        </w:rPr>
        <w:t xml:space="preserve">      </w:t>
      </w:r>
      <w:r>
        <w:rPr>
          <w:spacing w:val="-76"/>
          <w:sz w:val="20"/>
          <w:szCs w:val="20"/>
        </w:rPr>
        <w:t xml:space="preserve"> </w:t>
      </w:r>
      <w:r>
        <w:rPr>
          <w:spacing w:val="8"/>
          <w:sz w:val="20"/>
          <w:szCs w:val="20"/>
        </w:rPr>
        <w:t>%时，其超过部分据实调整。</w:t>
      </w:r>
    </w:p>
    <w:p w14:paraId="25BC54B8">
      <w:pPr>
        <w:spacing w:line="371" w:lineRule="auto"/>
        <w:rPr>
          <w:sz w:val="20"/>
          <w:szCs w:val="20"/>
        </w:rPr>
        <w:sectPr>
          <w:footerReference r:id="rId258" w:type="default"/>
          <w:pgSz w:w="11910" w:h="16840"/>
          <w:pgMar w:top="400" w:right="1530" w:bottom="1017" w:left="1450" w:header="0" w:footer="891" w:gutter="0"/>
          <w:cols w:space="720" w:num="1"/>
        </w:sectPr>
      </w:pPr>
    </w:p>
    <w:p w14:paraId="3AF5AFA8">
      <w:pPr>
        <w:spacing w:line="270" w:lineRule="auto"/>
        <w:rPr>
          <w:rFonts w:ascii="Arial"/>
          <w:sz w:val="21"/>
        </w:rPr>
      </w:pPr>
    </w:p>
    <w:p w14:paraId="15CF222C">
      <w:pPr>
        <w:spacing w:line="270" w:lineRule="auto"/>
        <w:rPr>
          <w:rFonts w:ascii="Arial"/>
          <w:sz w:val="21"/>
        </w:rPr>
      </w:pPr>
    </w:p>
    <w:p w14:paraId="56E63B5E">
      <w:pPr>
        <w:spacing w:line="270" w:lineRule="auto"/>
        <w:rPr>
          <w:rFonts w:ascii="Arial"/>
          <w:sz w:val="21"/>
        </w:rPr>
      </w:pPr>
    </w:p>
    <w:p w14:paraId="7A25A021">
      <w:pPr>
        <w:spacing w:line="271" w:lineRule="auto"/>
        <w:rPr>
          <w:rFonts w:ascii="Arial"/>
          <w:sz w:val="21"/>
        </w:rPr>
      </w:pPr>
    </w:p>
    <w:p w14:paraId="01595759">
      <w:pPr>
        <w:spacing w:line="271" w:lineRule="auto"/>
        <w:rPr>
          <w:rFonts w:ascii="Arial"/>
          <w:sz w:val="21"/>
        </w:rPr>
      </w:pPr>
    </w:p>
    <w:p w14:paraId="43B9CB01">
      <w:pPr>
        <w:pStyle w:val="2"/>
        <w:spacing w:before="65" w:line="374" w:lineRule="auto"/>
        <w:ind w:right="1531" w:firstLine="409"/>
        <w:rPr>
          <w:sz w:val="20"/>
          <w:szCs w:val="20"/>
        </w:rPr>
      </w:pPr>
      <w:r>
        <w:rPr>
          <w:spacing w:val="13"/>
          <w:sz w:val="20"/>
          <w:szCs w:val="20"/>
        </w:rPr>
        <w:t>③承包人在已标价工程量清单或预算书中载明的材料单价等于</w:t>
      </w:r>
      <w:r>
        <w:rPr>
          <w:spacing w:val="12"/>
          <w:sz w:val="20"/>
          <w:szCs w:val="20"/>
        </w:rPr>
        <w:t>基准单价的：专用合同条款合</w:t>
      </w:r>
      <w:r>
        <w:rPr>
          <w:sz w:val="20"/>
          <w:szCs w:val="20"/>
        </w:rPr>
        <w:t xml:space="preserve"> </w:t>
      </w:r>
      <w:r>
        <w:rPr>
          <w:spacing w:val="8"/>
          <w:sz w:val="20"/>
          <w:szCs w:val="20"/>
        </w:rPr>
        <w:t>同履行期间材料单价涨跌幅以基准单价为基础超过</w:t>
      </w:r>
      <w:r>
        <w:rPr>
          <w:spacing w:val="8"/>
          <w:sz w:val="20"/>
          <w:szCs w:val="20"/>
          <w:u w:val="single" w:color="auto"/>
        </w:rPr>
        <w:t xml:space="preserve">±      </w:t>
      </w:r>
      <w:r>
        <w:rPr>
          <w:spacing w:val="-77"/>
          <w:sz w:val="20"/>
          <w:szCs w:val="20"/>
        </w:rPr>
        <w:t xml:space="preserve"> </w:t>
      </w:r>
      <w:r>
        <w:rPr>
          <w:spacing w:val="8"/>
          <w:sz w:val="20"/>
          <w:szCs w:val="20"/>
        </w:rPr>
        <w:t>%时，其超过部分据实调整。</w:t>
      </w:r>
    </w:p>
    <w:p w14:paraId="7B326929">
      <w:pPr>
        <w:pStyle w:val="2"/>
        <w:spacing w:line="217" w:lineRule="auto"/>
        <w:ind w:left="409"/>
        <w:rPr>
          <w:sz w:val="20"/>
          <w:szCs w:val="20"/>
        </w:rPr>
      </w:pPr>
      <w:r>
        <w:rPr>
          <w:spacing w:val="13"/>
          <w:sz w:val="20"/>
          <w:szCs w:val="20"/>
        </w:rPr>
        <w:t>第3种方式：其他价格调整方式：</w:t>
      </w:r>
    </w:p>
    <w:p w14:paraId="025137B4">
      <w:pPr>
        <w:spacing w:line="252" w:lineRule="auto"/>
        <w:rPr>
          <w:rFonts w:ascii="Arial"/>
          <w:sz w:val="21"/>
        </w:rPr>
      </w:pPr>
    </w:p>
    <w:p w14:paraId="10059B40">
      <w:pPr>
        <w:pStyle w:val="2"/>
        <w:spacing w:before="23" w:line="237" w:lineRule="auto"/>
        <w:ind w:left="8410"/>
        <w:rPr>
          <w:sz w:val="7"/>
          <w:szCs w:val="7"/>
        </w:rPr>
      </w:pPr>
      <w:r>
        <w:drawing>
          <wp:anchor distT="0" distB="0" distL="0" distR="0" simplePos="0" relativeHeight="251727872" behindDoc="0" locked="0" layoutInCell="1" allowOverlap="1">
            <wp:simplePos x="0" y="0"/>
            <wp:positionH relativeFrom="column">
              <wp:posOffset>259715</wp:posOffset>
            </wp:positionH>
            <wp:positionV relativeFrom="paragraph">
              <wp:posOffset>54610</wp:posOffset>
            </wp:positionV>
            <wp:extent cx="5080000" cy="6350"/>
            <wp:effectExtent l="0" t="0" r="0" b="0"/>
            <wp:wrapNone/>
            <wp:docPr id="148" name="IM 148"/>
            <wp:cNvGraphicFramePr/>
            <a:graphic xmlns:a="http://schemas.openxmlformats.org/drawingml/2006/main">
              <a:graphicData uri="http://schemas.openxmlformats.org/drawingml/2006/picture">
                <pic:pic xmlns:pic="http://schemas.openxmlformats.org/drawingml/2006/picture">
                  <pic:nvPicPr>
                    <pic:cNvPr id="148" name="IM 148"/>
                    <pic:cNvPicPr/>
                  </pic:nvPicPr>
                  <pic:blipFill>
                    <a:blip r:embed="rId468"/>
                    <a:stretch>
                      <a:fillRect/>
                    </a:stretch>
                  </pic:blipFill>
                  <pic:spPr>
                    <a:xfrm>
                      <a:off x="0" y="0"/>
                      <a:ext cx="5080041" cy="6350"/>
                    </a:xfrm>
                    <a:prstGeom prst="rect">
                      <a:avLst/>
                    </a:prstGeom>
                  </pic:spPr>
                </pic:pic>
              </a:graphicData>
            </a:graphic>
          </wp:anchor>
        </w:drawing>
      </w:r>
      <w:r>
        <w:rPr>
          <w:sz w:val="7"/>
          <w:szCs w:val="7"/>
        </w:rPr>
        <w:t>◎</w:t>
      </w:r>
    </w:p>
    <w:p w14:paraId="4F251820">
      <w:pPr>
        <w:pStyle w:val="2"/>
        <w:spacing w:before="237" w:line="266" w:lineRule="auto"/>
        <w:ind w:left="3" w:right="7098"/>
        <w:rPr>
          <w:rFonts w:ascii="黑体" w:hAnsi="黑体" w:eastAsia="黑体" w:cs="黑体"/>
        </w:rPr>
      </w:pPr>
      <w:r>
        <w:rPr>
          <w:b/>
          <w:bCs/>
          <w:spacing w:val="-3"/>
          <w:sz w:val="29"/>
          <w:szCs w:val="29"/>
        </w:rPr>
        <w:t>12.</w:t>
      </w:r>
      <w:r>
        <w:rPr>
          <w:rFonts w:ascii="黑体" w:hAnsi="黑体" w:eastAsia="黑体" w:cs="黑体"/>
          <w:b/>
          <w:bCs/>
          <w:spacing w:val="-3"/>
          <w:sz w:val="29"/>
          <w:szCs w:val="29"/>
        </w:rPr>
        <w:t>合同价格、计量与支付</w:t>
      </w:r>
      <w:r>
        <w:rPr>
          <w:rFonts w:ascii="黑体" w:hAnsi="黑体" w:eastAsia="黑体" w:cs="黑体"/>
          <w:spacing w:val="10"/>
          <w:sz w:val="29"/>
          <w:szCs w:val="29"/>
        </w:rPr>
        <w:t xml:space="preserve"> </w:t>
      </w:r>
      <w:r>
        <w:rPr>
          <w:b/>
          <w:bCs/>
          <w:spacing w:val="-10"/>
        </w:rPr>
        <w:t>12.1</w:t>
      </w:r>
      <w:r>
        <w:rPr>
          <w:spacing w:val="-21"/>
        </w:rPr>
        <w:t xml:space="preserve"> </w:t>
      </w:r>
      <w:r>
        <w:rPr>
          <w:rFonts w:ascii="黑体" w:hAnsi="黑体" w:eastAsia="黑体" w:cs="黑体"/>
          <w:b/>
          <w:bCs/>
          <w:spacing w:val="-10"/>
        </w:rPr>
        <w:t>合同价格形式</w:t>
      </w:r>
    </w:p>
    <w:p w14:paraId="64BA1D30">
      <w:pPr>
        <w:pStyle w:val="2"/>
        <w:spacing w:before="82" w:line="218" w:lineRule="auto"/>
        <w:ind w:left="409"/>
        <w:rPr>
          <w:sz w:val="20"/>
          <w:szCs w:val="20"/>
        </w:rPr>
      </w:pPr>
      <w:r>
        <w:rPr>
          <w:spacing w:val="5"/>
          <w:sz w:val="20"/>
          <w:szCs w:val="20"/>
        </w:rPr>
        <w:t>1、单价合同。</w:t>
      </w:r>
    </w:p>
    <w:p w14:paraId="5AC8F18F">
      <w:pPr>
        <w:pStyle w:val="2"/>
        <w:spacing w:before="174" w:line="218" w:lineRule="auto"/>
        <w:ind w:left="409"/>
        <w:rPr>
          <w:sz w:val="20"/>
          <w:szCs w:val="20"/>
        </w:rPr>
      </w:pPr>
      <w:r>
        <w:rPr>
          <w:spacing w:val="6"/>
          <w:sz w:val="20"/>
          <w:szCs w:val="20"/>
        </w:rPr>
        <w:t>综合单价包含的风险范围：</w:t>
      </w:r>
    </w:p>
    <w:p w14:paraId="4DFAC28F">
      <w:pPr>
        <w:spacing w:line="426" w:lineRule="auto"/>
        <w:rPr>
          <w:rFonts w:ascii="Arial"/>
          <w:sz w:val="21"/>
        </w:rPr>
      </w:pPr>
      <w:r>
        <w:drawing>
          <wp:anchor distT="0" distB="0" distL="0" distR="0" simplePos="0" relativeHeight="251725824" behindDoc="0" locked="0" layoutInCell="1" allowOverlap="1">
            <wp:simplePos x="0" y="0"/>
            <wp:positionH relativeFrom="column">
              <wp:posOffset>259715</wp:posOffset>
            </wp:positionH>
            <wp:positionV relativeFrom="paragraph">
              <wp:posOffset>291465</wp:posOffset>
            </wp:positionV>
            <wp:extent cx="5080000" cy="6350"/>
            <wp:effectExtent l="0" t="0" r="0" b="0"/>
            <wp:wrapNone/>
            <wp:docPr id="150" name="IM 150"/>
            <wp:cNvGraphicFramePr/>
            <a:graphic xmlns:a="http://schemas.openxmlformats.org/drawingml/2006/main">
              <a:graphicData uri="http://schemas.openxmlformats.org/drawingml/2006/picture">
                <pic:pic xmlns:pic="http://schemas.openxmlformats.org/drawingml/2006/picture">
                  <pic:nvPicPr>
                    <pic:cNvPr id="150" name="IM 150"/>
                    <pic:cNvPicPr/>
                  </pic:nvPicPr>
                  <pic:blipFill>
                    <a:blip r:embed="rId471"/>
                    <a:stretch>
                      <a:fillRect/>
                    </a:stretch>
                  </pic:blipFill>
                  <pic:spPr>
                    <a:xfrm>
                      <a:off x="0" y="0"/>
                      <a:ext cx="5080041" cy="6350"/>
                    </a:xfrm>
                    <a:prstGeom prst="rect">
                      <a:avLst/>
                    </a:prstGeom>
                  </pic:spPr>
                </pic:pic>
              </a:graphicData>
            </a:graphic>
          </wp:anchor>
        </w:drawing>
      </w:r>
    </w:p>
    <w:p w14:paraId="4D5F9536">
      <w:pPr>
        <w:pStyle w:val="2"/>
        <w:spacing w:before="36" w:line="19" w:lineRule="exact"/>
        <w:ind w:left="8410"/>
        <w:rPr>
          <w:sz w:val="11"/>
          <w:szCs w:val="11"/>
        </w:rPr>
      </w:pPr>
      <w:r>
        <w:rPr>
          <w:position w:val="1"/>
          <w:sz w:val="11"/>
          <w:szCs w:val="11"/>
        </w:rPr>
        <w:t>_</w:t>
      </w:r>
    </w:p>
    <w:p w14:paraId="27C7A83C">
      <w:pPr>
        <w:pStyle w:val="2"/>
        <w:spacing w:before="72" w:line="219" w:lineRule="auto"/>
        <w:ind w:left="409"/>
        <w:rPr>
          <w:sz w:val="20"/>
          <w:szCs w:val="20"/>
        </w:rPr>
      </w:pPr>
      <w:r>
        <w:rPr>
          <w:spacing w:val="6"/>
          <w:sz w:val="20"/>
          <w:szCs w:val="20"/>
        </w:rPr>
        <w:t>风险费用的计算方法：</w:t>
      </w:r>
    </w:p>
    <w:p w14:paraId="55A7AB8F">
      <w:pPr>
        <w:spacing w:line="246" w:lineRule="auto"/>
        <w:rPr>
          <w:rFonts w:ascii="Arial"/>
          <w:sz w:val="21"/>
        </w:rPr>
      </w:pPr>
    </w:p>
    <w:p w14:paraId="15A54F18">
      <w:pPr>
        <w:spacing w:line="246" w:lineRule="auto"/>
        <w:rPr>
          <w:rFonts w:ascii="Arial"/>
          <w:sz w:val="21"/>
        </w:rPr>
      </w:pPr>
      <w:r>
        <w:drawing>
          <wp:anchor distT="0" distB="0" distL="0" distR="0" simplePos="0" relativeHeight="251723776" behindDoc="0" locked="0" layoutInCell="1" allowOverlap="1">
            <wp:simplePos x="0" y="0"/>
            <wp:positionH relativeFrom="column">
              <wp:posOffset>253365</wp:posOffset>
            </wp:positionH>
            <wp:positionV relativeFrom="paragraph">
              <wp:posOffset>80010</wp:posOffset>
            </wp:positionV>
            <wp:extent cx="5118100" cy="6350"/>
            <wp:effectExtent l="0" t="0" r="0" b="0"/>
            <wp:wrapNone/>
            <wp:docPr id="152" name="IM 152"/>
            <wp:cNvGraphicFramePr/>
            <a:graphic xmlns:a="http://schemas.openxmlformats.org/drawingml/2006/main">
              <a:graphicData uri="http://schemas.openxmlformats.org/drawingml/2006/picture">
                <pic:pic xmlns:pic="http://schemas.openxmlformats.org/drawingml/2006/picture">
                  <pic:nvPicPr>
                    <pic:cNvPr id="152" name="IM 152"/>
                    <pic:cNvPicPr/>
                  </pic:nvPicPr>
                  <pic:blipFill>
                    <a:blip r:embed="rId472"/>
                    <a:stretch>
                      <a:fillRect/>
                    </a:stretch>
                  </pic:blipFill>
                  <pic:spPr>
                    <a:xfrm>
                      <a:off x="0" y="0"/>
                      <a:ext cx="5118083" cy="6415"/>
                    </a:xfrm>
                    <a:prstGeom prst="rect">
                      <a:avLst/>
                    </a:prstGeom>
                  </pic:spPr>
                </pic:pic>
              </a:graphicData>
            </a:graphic>
          </wp:anchor>
        </w:drawing>
      </w:r>
    </w:p>
    <w:p w14:paraId="31B64855">
      <w:pPr>
        <w:pStyle w:val="2"/>
        <w:spacing w:before="66" w:line="218" w:lineRule="auto"/>
        <w:ind w:left="409"/>
        <w:rPr>
          <w:sz w:val="20"/>
          <w:szCs w:val="20"/>
        </w:rPr>
      </w:pPr>
      <w:r>
        <w:rPr>
          <w:spacing w:val="6"/>
          <w:sz w:val="20"/>
          <w:szCs w:val="20"/>
        </w:rPr>
        <w:t>风险范围以外合同价格的调整方法：</w:t>
      </w:r>
    </w:p>
    <w:p w14:paraId="21EDF162">
      <w:pPr>
        <w:spacing w:line="257" w:lineRule="auto"/>
        <w:rPr>
          <w:rFonts w:ascii="Arial"/>
          <w:sz w:val="21"/>
        </w:rPr>
      </w:pPr>
    </w:p>
    <w:p w14:paraId="1A72CFF3">
      <w:pPr>
        <w:spacing w:line="258" w:lineRule="auto"/>
        <w:rPr>
          <w:rFonts w:ascii="Arial"/>
          <w:sz w:val="21"/>
        </w:rPr>
      </w:pPr>
      <w:r>
        <w:drawing>
          <wp:anchor distT="0" distB="0" distL="0" distR="0" simplePos="0" relativeHeight="251724800" behindDoc="0" locked="0" layoutInCell="1" allowOverlap="1">
            <wp:simplePos x="0" y="0"/>
            <wp:positionH relativeFrom="column">
              <wp:posOffset>259715</wp:posOffset>
            </wp:positionH>
            <wp:positionV relativeFrom="paragraph">
              <wp:posOffset>68580</wp:posOffset>
            </wp:positionV>
            <wp:extent cx="5105400" cy="6350"/>
            <wp:effectExtent l="0" t="0" r="0" b="0"/>
            <wp:wrapNone/>
            <wp:docPr id="154" name="IM 154"/>
            <wp:cNvGraphicFramePr/>
            <a:graphic xmlns:a="http://schemas.openxmlformats.org/drawingml/2006/main">
              <a:graphicData uri="http://schemas.openxmlformats.org/drawingml/2006/picture">
                <pic:pic xmlns:pic="http://schemas.openxmlformats.org/drawingml/2006/picture">
                  <pic:nvPicPr>
                    <pic:cNvPr id="154" name="IM 154"/>
                    <pic:cNvPicPr/>
                  </pic:nvPicPr>
                  <pic:blipFill>
                    <a:blip r:embed="rId473"/>
                    <a:stretch>
                      <a:fillRect/>
                    </a:stretch>
                  </pic:blipFill>
                  <pic:spPr>
                    <a:xfrm>
                      <a:off x="0" y="0"/>
                      <a:ext cx="5105377" cy="6415"/>
                    </a:xfrm>
                    <a:prstGeom prst="rect">
                      <a:avLst/>
                    </a:prstGeom>
                  </pic:spPr>
                </pic:pic>
              </a:graphicData>
            </a:graphic>
          </wp:anchor>
        </w:drawing>
      </w:r>
    </w:p>
    <w:p w14:paraId="65E1FBCE">
      <w:pPr>
        <w:pStyle w:val="2"/>
        <w:spacing w:before="65" w:line="218" w:lineRule="auto"/>
        <w:ind w:left="409"/>
        <w:rPr>
          <w:sz w:val="20"/>
          <w:szCs w:val="20"/>
        </w:rPr>
      </w:pPr>
      <w:r>
        <w:rPr>
          <w:spacing w:val="5"/>
          <w:sz w:val="20"/>
          <w:szCs w:val="20"/>
        </w:rPr>
        <w:t>2、总价合同。</w:t>
      </w:r>
    </w:p>
    <w:p w14:paraId="39429252">
      <w:pPr>
        <w:pStyle w:val="2"/>
        <w:spacing w:before="144" w:line="218" w:lineRule="auto"/>
        <w:ind w:left="409"/>
        <w:rPr>
          <w:sz w:val="20"/>
          <w:szCs w:val="20"/>
        </w:rPr>
      </w:pPr>
      <w:r>
        <w:rPr>
          <w:spacing w:val="5"/>
          <w:sz w:val="20"/>
          <w:szCs w:val="20"/>
        </w:rPr>
        <w:t>总价包含的风险范围：</w:t>
      </w:r>
    </w:p>
    <w:p w14:paraId="7BBCA6D5">
      <w:pPr>
        <w:spacing w:line="253" w:lineRule="auto"/>
        <w:rPr>
          <w:rFonts w:ascii="Arial"/>
          <w:sz w:val="21"/>
        </w:rPr>
      </w:pPr>
    </w:p>
    <w:p w14:paraId="34C06671">
      <w:pPr>
        <w:spacing w:line="254" w:lineRule="auto"/>
        <w:rPr>
          <w:rFonts w:ascii="Arial"/>
          <w:sz w:val="21"/>
        </w:rPr>
      </w:pPr>
      <w:r>
        <w:drawing>
          <wp:anchor distT="0" distB="0" distL="0" distR="0" simplePos="0" relativeHeight="251726848" behindDoc="0" locked="0" layoutInCell="1" allowOverlap="1">
            <wp:simplePos x="0" y="0"/>
            <wp:positionH relativeFrom="column">
              <wp:posOffset>259715</wp:posOffset>
            </wp:positionH>
            <wp:positionV relativeFrom="paragraph">
              <wp:posOffset>155575</wp:posOffset>
            </wp:positionV>
            <wp:extent cx="6375400" cy="6350"/>
            <wp:effectExtent l="0" t="0" r="0" b="0"/>
            <wp:wrapNone/>
            <wp:docPr id="156" name="IM 156"/>
            <wp:cNvGraphicFramePr/>
            <a:graphic xmlns:a="http://schemas.openxmlformats.org/drawingml/2006/main">
              <a:graphicData uri="http://schemas.openxmlformats.org/drawingml/2006/picture">
                <pic:pic xmlns:pic="http://schemas.openxmlformats.org/drawingml/2006/picture">
                  <pic:nvPicPr>
                    <pic:cNvPr id="156" name="IM 156"/>
                    <pic:cNvPicPr/>
                  </pic:nvPicPr>
                  <pic:blipFill>
                    <a:blip r:embed="rId474"/>
                    <a:stretch>
                      <a:fillRect/>
                    </a:stretch>
                  </pic:blipFill>
                  <pic:spPr>
                    <a:xfrm>
                      <a:off x="0" y="0"/>
                      <a:ext cx="6375406" cy="6350"/>
                    </a:xfrm>
                    <a:prstGeom prst="rect">
                      <a:avLst/>
                    </a:prstGeom>
                  </pic:spPr>
                </pic:pic>
              </a:graphicData>
            </a:graphic>
          </wp:anchor>
        </w:drawing>
      </w:r>
    </w:p>
    <w:p w14:paraId="68D839F9">
      <w:pPr>
        <w:pStyle w:val="2"/>
        <w:spacing w:before="66" w:line="219" w:lineRule="auto"/>
        <w:ind w:left="409"/>
        <w:rPr>
          <w:sz w:val="20"/>
          <w:szCs w:val="20"/>
        </w:rPr>
      </w:pPr>
      <w:r>
        <w:rPr>
          <w:spacing w:val="6"/>
          <w:sz w:val="20"/>
          <w:szCs w:val="20"/>
        </w:rPr>
        <w:t>风险费用的计算方法：</w:t>
      </w:r>
    </w:p>
    <w:p w14:paraId="4D13167B">
      <w:pPr>
        <w:spacing w:line="254" w:lineRule="auto"/>
        <w:rPr>
          <w:rFonts w:ascii="Arial"/>
          <w:sz w:val="21"/>
        </w:rPr>
      </w:pPr>
    </w:p>
    <w:p w14:paraId="25B54C08">
      <w:pPr>
        <w:spacing w:before="21" w:line="45" w:lineRule="exact"/>
        <w:ind w:left="8467"/>
        <w:rPr>
          <w:rFonts w:ascii="Times New Roman" w:hAnsi="Times New Roman" w:eastAsia="Times New Roman" w:cs="Times New Roman"/>
          <w:sz w:val="7"/>
          <w:szCs w:val="7"/>
        </w:rPr>
      </w:pPr>
      <w:r>
        <w:rPr>
          <w:rFonts w:ascii="Times New Roman" w:hAnsi="Times New Roman" w:eastAsia="Times New Roman" w:cs="Times New Roman"/>
          <w:sz w:val="7"/>
          <w:szCs w:val="7"/>
        </w:rPr>
        <w:t>o</w:t>
      </w:r>
    </w:p>
    <w:tbl>
      <w:tblPr>
        <w:tblStyle w:val="5"/>
        <w:tblW w:w="8099" w:type="dxa"/>
        <w:tblInd w:w="409"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8099"/>
      </w:tblGrid>
      <w:tr w14:paraId="582913B7">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823" w:hRule="atLeast"/>
        </w:trPr>
        <w:tc>
          <w:tcPr>
            <w:tcW w:w="8099" w:type="dxa"/>
            <w:tcBorders>
              <w:top w:val="single" w:color="000000" w:sz="2" w:space="0"/>
              <w:bottom w:val="single" w:color="000000" w:sz="2" w:space="0"/>
            </w:tcBorders>
            <w:vAlign w:val="top"/>
          </w:tcPr>
          <w:p w14:paraId="737A8ED0">
            <w:pPr>
              <w:pStyle w:val="6"/>
              <w:spacing w:before="234" w:line="218" w:lineRule="auto"/>
              <w:rPr>
                <w:sz w:val="20"/>
                <w:szCs w:val="20"/>
              </w:rPr>
            </w:pPr>
            <w:r>
              <w:rPr>
                <w:spacing w:val="6"/>
                <w:sz w:val="20"/>
                <w:szCs w:val="20"/>
              </w:rPr>
              <w:t>风险范围以外合同价格的调整方法：</w:t>
            </w:r>
          </w:p>
          <w:p w14:paraId="7ED9E32B">
            <w:pPr>
              <w:spacing w:line="275" w:lineRule="auto"/>
              <w:rPr>
                <w:rFonts w:ascii="Arial"/>
                <w:sz w:val="21"/>
              </w:rPr>
            </w:pPr>
          </w:p>
          <w:p w14:paraId="60BF4B76">
            <w:pPr>
              <w:spacing w:line="65" w:lineRule="exact"/>
              <w:ind w:firstLine="8019"/>
            </w:pPr>
            <w:r>
              <w:rPr>
                <w:position w:val="-1"/>
              </w:rPr>
              <w:drawing>
                <wp:inline distT="0" distB="0" distL="0" distR="0">
                  <wp:extent cx="50165" cy="41275"/>
                  <wp:effectExtent l="0" t="0" r="0" b="0"/>
                  <wp:docPr id="158" name="IM 158"/>
                  <wp:cNvGraphicFramePr/>
                  <a:graphic xmlns:a="http://schemas.openxmlformats.org/drawingml/2006/main">
                    <a:graphicData uri="http://schemas.openxmlformats.org/drawingml/2006/picture">
                      <pic:pic xmlns:pic="http://schemas.openxmlformats.org/drawingml/2006/picture">
                        <pic:nvPicPr>
                          <pic:cNvPr id="158" name="IM 158"/>
                          <pic:cNvPicPr/>
                        </pic:nvPicPr>
                        <pic:blipFill>
                          <a:blip r:embed="rId475"/>
                          <a:stretch>
                            <a:fillRect/>
                          </a:stretch>
                        </pic:blipFill>
                        <pic:spPr>
                          <a:xfrm>
                            <a:off x="0" y="0"/>
                            <a:ext cx="50193" cy="41519"/>
                          </a:xfrm>
                          <a:prstGeom prst="rect">
                            <a:avLst/>
                          </a:prstGeom>
                        </pic:spPr>
                      </pic:pic>
                    </a:graphicData>
                  </a:graphic>
                </wp:inline>
              </w:drawing>
            </w:r>
          </w:p>
        </w:tc>
      </w:tr>
      <w:tr w14:paraId="148D265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788" w:hRule="atLeast"/>
        </w:trPr>
        <w:tc>
          <w:tcPr>
            <w:tcW w:w="8099" w:type="dxa"/>
            <w:tcBorders>
              <w:top w:val="single" w:color="000000" w:sz="2" w:space="0"/>
              <w:bottom w:val="single" w:color="000000" w:sz="2" w:space="0"/>
            </w:tcBorders>
            <w:vAlign w:val="top"/>
          </w:tcPr>
          <w:p w14:paraId="06095D2E">
            <w:pPr>
              <w:pStyle w:val="6"/>
              <w:spacing w:before="206" w:line="218" w:lineRule="auto"/>
              <w:rPr>
                <w:sz w:val="20"/>
                <w:szCs w:val="20"/>
              </w:rPr>
            </w:pPr>
            <w:r>
              <w:rPr>
                <w:spacing w:val="5"/>
                <w:sz w:val="20"/>
                <w:szCs w:val="20"/>
              </w:rPr>
              <w:t>3、其他价格方式：</w:t>
            </w:r>
          </w:p>
          <w:p w14:paraId="7F2D2765">
            <w:pPr>
              <w:spacing w:line="266" w:lineRule="auto"/>
              <w:rPr>
                <w:rFonts w:ascii="Arial"/>
                <w:sz w:val="21"/>
              </w:rPr>
            </w:pPr>
          </w:p>
          <w:p w14:paraId="4A8BA6C6">
            <w:pPr>
              <w:spacing w:before="20" w:line="47" w:lineRule="exact"/>
              <w:ind w:left="8009"/>
              <w:rPr>
                <w:rFonts w:ascii="Times New Roman" w:hAnsi="Times New Roman" w:eastAsia="Times New Roman" w:cs="Times New Roman"/>
                <w:sz w:val="7"/>
                <w:szCs w:val="7"/>
              </w:rPr>
            </w:pPr>
            <w:r>
              <w:rPr>
                <w:rFonts w:ascii="Times New Roman" w:hAnsi="Times New Roman" w:eastAsia="Times New Roman" w:cs="Times New Roman"/>
                <w:position w:val="-1"/>
                <w:sz w:val="7"/>
                <w:szCs w:val="7"/>
              </w:rPr>
              <w:t>0</w:t>
            </w:r>
          </w:p>
        </w:tc>
      </w:tr>
    </w:tbl>
    <w:p w14:paraId="2EA8625D">
      <w:pPr>
        <w:pStyle w:val="2"/>
        <w:spacing w:before="160" w:line="222" w:lineRule="auto"/>
        <w:ind w:left="3"/>
        <w:rPr>
          <w:rFonts w:ascii="黑体" w:hAnsi="黑体" w:eastAsia="黑体" w:cs="黑体"/>
        </w:rPr>
      </w:pPr>
      <w:r>
        <w:rPr>
          <w:b/>
          <w:bCs/>
          <w:spacing w:val="-11"/>
        </w:rPr>
        <w:t>12.2</w:t>
      </w:r>
      <w:r>
        <w:rPr>
          <w:spacing w:val="-11"/>
        </w:rPr>
        <w:t xml:space="preserve"> </w:t>
      </w:r>
      <w:r>
        <w:rPr>
          <w:rFonts w:ascii="黑体" w:hAnsi="黑体" w:eastAsia="黑体" w:cs="黑体"/>
          <w:b/>
          <w:bCs/>
          <w:spacing w:val="-11"/>
        </w:rPr>
        <w:t>预付款</w:t>
      </w:r>
    </w:p>
    <w:sdt>
      <w:sdtPr>
        <w:rPr>
          <w:rFonts w:ascii="宋体" w:hAnsi="宋体" w:eastAsia="宋体" w:cs="宋体"/>
          <w:sz w:val="20"/>
          <w:szCs w:val="20"/>
        </w:rPr>
        <w:id w:val="147461089"/>
        <w:docPartObj>
          <w:docPartGallery w:val="Table of Contents"/>
          <w:docPartUnique/>
        </w:docPartObj>
      </w:sdtPr>
      <w:sdtEndPr>
        <w:rPr>
          <w:rFonts w:ascii="Times New Roman" w:hAnsi="Times New Roman" w:eastAsia="Times New Roman" w:cs="Times New Roman"/>
          <w:position w:val="1"/>
          <w:sz w:val="7"/>
          <w:szCs w:val="7"/>
        </w:rPr>
      </w:sdtEndPr>
      <w:sdtContent>
        <w:p w14:paraId="49931A87">
          <w:pPr>
            <w:pStyle w:val="2"/>
            <w:spacing w:before="153" w:line="219" w:lineRule="auto"/>
            <w:ind w:left="409"/>
            <w:rPr>
              <w:sz w:val="20"/>
              <w:szCs w:val="20"/>
            </w:rPr>
          </w:pPr>
          <w:r>
            <w:rPr>
              <w:spacing w:val="13"/>
              <w:sz w:val="20"/>
              <w:szCs w:val="20"/>
            </w:rPr>
            <w:t>12.2.1预付款的支付</w:t>
          </w:r>
        </w:p>
        <w:p w14:paraId="3B5E5A79">
          <w:pPr>
            <w:pStyle w:val="2"/>
            <w:spacing w:before="153" w:line="219" w:lineRule="auto"/>
            <w:ind w:left="409"/>
            <w:rPr>
              <w:rFonts w:ascii="Times New Roman" w:hAnsi="Times New Roman" w:eastAsia="Times New Roman" w:cs="Times New Roman"/>
              <w:sz w:val="20"/>
              <w:szCs w:val="20"/>
            </w:rPr>
          </w:pPr>
          <w:r>
            <w:rPr>
              <w:sz w:val="20"/>
              <w:szCs w:val="20"/>
            </w:rPr>
            <w:t xml:space="preserve">预付款支付比例或金额： </w:t>
          </w:r>
          <w:r>
            <w:rPr>
              <w:spacing w:val="2"/>
              <w:sz w:val="20"/>
              <w:szCs w:val="20"/>
              <w:u w:val="single" w:color="auto"/>
            </w:rPr>
            <w:t xml:space="preserve">                                 </w:t>
          </w:r>
          <w:r>
            <w:rPr>
              <w:spacing w:val="-77"/>
              <w:sz w:val="20"/>
              <w:szCs w:val="20"/>
            </w:rPr>
            <w:t xml:space="preserve"> </w:t>
          </w:r>
          <w:r>
            <w:fldChar w:fldCharType="begin"/>
          </w:r>
          <w:r>
            <w:instrText xml:space="preserve"> HYPERLINK \l "bookmark305" </w:instrText>
          </w:r>
          <w:r>
            <w:fldChar w:fldCharType="separate"/>
          </w:r>
          <w:r>
            <w:rPr>
              <w:rFonts w:ascii="Times New Roman" w:hAnsi="Times New Roman" w:eastAsia="Times New Roman" w:cs="Times New Roman"/>
              <w:sz w:val="20"/>
              <w:szCs w:val="20"/>
            </w:rPr>
            <w:t>0</w:t>
          </w:r>
          <w:r>
            <w:rPr>
              <w:rFonts w:ascii="Times New Roman" w:hAnsi="Times New Roman" w:eastAsia="Times New Roman" w:cs="Times New Roman"/>
              <w:sz w:val="20"/>
              <w:szCs w:val="20"/>
            </w:rPr>
            <w:fldChar w:fldCharType="end"/>
          </w:r>
        </w:p>
        <w:p w14:paraId="162CB91F">
          <w:pPr>
            <w:pStyle w:val="2"/>
            <w:spacing w:before="153" w:line="219" w:lineRule="auto"/>
            <w:ind w:left="409"/>
            <w:rPr>
              <w:sz w:val="20"/>
              <w:szCs w:val="20"/>
            </w:rPr>
          </w:pPr>
          <w:r>
            <w:rPr>
              <w:spacing w:val="-3"/>
              <w:sz w:val="20"/>
              <w:szCs w:val="20"/>
            </w:rPr>
            <w:t xml:space="preserve">预付款支付期限： </w:t>
          </w:r>
          <w:r>
            <w:rPr>
              <w:spacing w:val="-3"/>
              <w:sz w:val="20"/>
              <w:szCs w:val="20"/>
              <w:u w:val="single" w:color="auto"/>
            </w:rPr>
            <w:t xml:space="preserve">                       </w:t>
          </w:r>
          <w:r>
            <w:rPr>
              <w:spacing w:val="-4"/>
              <w:sz w:val="20"/>
              <w:szCs w:val="20"/>
              <w:u w:val="single" w:color="auto"/>
            </w:rPr>
            <w:t xml:space="preserve">                  </w:t>
          </w:r>
          <w:r>
            <w:rPr>
              <w:spacing w:val="-100"/>
              <w:sz w:val="20"/>
              <w:szCs w:val="20"/>
            </w:rPr>
            <w:t xml:space="preserve"> </w:t>
          </w:r>
          <w:r>
            <w:rPr>
              <w:spacing w:val="-4"/>
              <w:sz w:val="20"/>
              <w:szCs w:val="20"/>
            </w:rPr>
            <w:t>-</w:t>
          </w:r>
          <w:r>
            <w:fldChar w:fldCharType="begin"/>
          </w:r>
          <w:r>
            <w:instrText xml:space="preserve"> HYPERLINK \l "bookmark306" </w:instrText>
          </w:r>
          <w:r>
            <w:fldChar w:fldCharType="separate"/>
          </w:r>
          <w:r>
            <w:rPr>
              <w:spacing w:val="-4"/>
              <w:sz w:val="20"/>
              <w:szCs w:val="20"/>
            </w:rPr>
            <w:t>0</w:t>
          </w:r>
          <w:r>
            <w:rPr>
              <w:spacing w:val="-4"/>
              <w:sz w:val="20"/>
              <w:szCs w:val="20"/>
            </w:rPr>
            <w:fldChar w:fldCharType="end"/>
          </w:r>
        </w:p>
        <w:p w14:paraId="7DFA1BB1">
          <w:pPr>
            <w:pStyle w:val="2"/>
            <w:spacing w:before="152" w:line="219" w:lineRule="auto"/>
            <w:ind w:left="409"/>
            <w:rPr>
              <w:sz w:val="20"/>
              <w:szCs w:val="20"/>
            </w:rPr>
          </w:pPr>
          <w:r>
            <w:rPr>
              <w:spacing w:val="-3"/>
              <w:sz w:val="20"/>
              <w:szCs w:val="20"/>
            </w:rPr>
            <w:t xml:space="preserve">预付款扣回的方式： </w:t>
          </w:r>
          <w:r>
            <w:rPr>
              <w:spacing w:val="-3"/>
              <w:sz w:val="20"/>
              <w:szCs w:val="20"/>
              <w:u w:val="single" w:color="auto"/>
            </w:rPr>
            <w:t xml:space="preserve">                  </w:t>
          </w:r>
          <w:r>
            <w:rPr>
              <w:spacing w:val="-4"/>
              <w:sz w:val="20"/>
              <w:szCs w:val="20"/>
              <w:u w:val="single" w:color="auto"/>
            </w:rPr>
            <w:t xml:space="preserve">                     </w:t>
          </w:r>
          <w:r>
            <w:rPr>
              <w:spacing w:val="-4"/>
              <w:sz w:val="20"/>
              <w:szCs w:val="20"/>
            </w:rPr>
            <w:t>-</w:t>
          </w:r>
          <w:r>
            <w:fldChar w:fldCharType="begin"/>
          </w:r>
          <w:r>
            <w:instrText xml:space="preserve"> HYPERLINK \l "bookmark307" </w:instrText>
          </w:r>
          <w:r>
            <w:fldChar w:fldCharType="separate"/>
          </w:r>
          <w:r>
            <w:rPr>
              <w:spacing w:val="-4"/>
              <w:sz w:val="20"/>
              <w:szCs w:val="20"/>
            </w:rPr>
            <w:t>0</w:t>
          </w:r>
          <w:r>
            <w:rPr>
              <w:spacing w:val="-4"/>
              <w:sz w:val="20"/>
              <w:szCs w:val="20"/>
            </w:rPr>
            <w:fldChar w:fldCharType="end"/>
          </w:r>
        </w:p>
        <w:p w14:paraId="74ACCC06">
          <w:pPr>
            <w:pStyle w:val="2"/>
            <w:spacing w:before="193" w:line="219" w:lineRule="auto"/>
            <w:ind w:left="409"/>
            <w:rPr>
              <w:sz w:val="20"/>
              <w:szCs w:val="20"/>
            </w:rPr>
          </w:pPr>
          <w:r>
            <w:rPr>
              <w:spacing w:val="2"/>
              <w:sz w:val="20"/>
              <w:szCs w:val="20"/>
            </w:rPr>
            <w:t>12.2.2</w:t>
          </w:r>
          <w:r>
            <w:rPr>
              <w:spacing w:val="54"/>
              <w:sz w:val="20"/>
              <w:szCs w:val="20"/>
            </w:rPr>
            <w:t xml:space="preserve"> </w:t>
          </w:r>
          <w:r>
            <w:rPr>
              <w:spacing w:val="2"/>
              <w:sz w:val="20"/>
              <w:szCs w:val="20"/>
            </w:rPr>
            <w:t>预付款担保</w:t>
          </w:r>
        </w:p>
        <w:p w14:paraId="29185868">
          <w:pPr>
            <w:pStyle w:val="2"/>
            <w:spacing w:before="43" w:line="219" w:lineRule="auto"/>
            <w:ind w:left="409"/>
            <w:rPr>
              <w:sz w:val="20"/>
              <w:szCs w:val="20"/>
            </w:rPr>
          </w:pPr>
          <w:r>
            <w:rPr>
              <w:spacing w:val="-5"/>
              <w:sz w:val="20"/>
              <w:szCs w:val="20"/>
            </w:rPr>
            <w:t>承包人提交预付款担保的期限：</w:t>
          </w:r>
          <w:r>
            <w:rPr>
              <w:spacing w:val="74"/>
              <w:sz w:val="20"/>
              <w:szCs w:val="20"/>
            </w:rPr>
            <w:t xml:space="preserve"> </w:t>
          </w:r>
          <w:r>
            <w:rPr>
              <w:spacing w:val="1"/>
              <w:sz w:val="20"/>
              <w:szCs w:val="20"/>
              <w:u w:val="single" w:color="auto"/>
            </w:rPr>
            <w:t xml:space="preserve">                           </w:t>
          </w:r>
          <w:r>
            <w:rPr>
              <w:spacing w:val="-5"/>
              <w:sz w:val="20"/>
              <w:szCs w:val="20"/>
            </w:rPr>
            <w:t>-</w:t>
          </w:r>
          <w:r>
            <w:fldChar w:fldCharType="begin"/>
          </w:r>
          <w:r>
            <w:instrText xml:space="preserve"> HYPERLINK \l "bookmark308" </w:instrText>
          </w:r>
          <w:r>
            <w:fldChar w:fldCharType="separate"/>
          </w:r>
          <w:r>
            <w:rPr>
              <w:spacing w:val="-5"/>
              <w:sz w:val="20"/>
              <w:szCs w:val="20"/>
            </w:rPr>
            <w:t>0</w:t>
          </w:r>
          <w:r>
            <w:rPr>
              <w:spacing w:val="-5"/>
              <w:sz w:val="20"/>
              <w:szCs w:val="20"/>
            </w:rPr>
            <w:fldChar w:fldCharType="end"/>
          </w:r>
        </w:p>
        <w:p w14:paraId="43A97B58">
          <w:pPr>
            <w:pStyle w:val="2"/>
            <w:spacing w:before="283" w:line="219" w:lineRule="auto"/>
            <w:ind w:left="409"/>
            <w:rPr>
              <w:sz w:val="20"/>
              <w:szCs w:val="20"/>
            </w:rPr>
          </w:pPr>
          <w:r>
            <w:rPr>
              <w:sz w:val="20"/>
              <w:szCs w:val="20"/>
            </w:rPr>
            <w:t>预付款担保的形式为：</w:t>
          </w:r>
          <w:r>
            <w:rPr>
              <w:spacing w:val="-70"/>
              <w:sz w:val="20"/>
              <w:szCs w:val="20"/>
            </w:rPr>
            <w:t xml:space="preserve"> </w:t>
          </w:r>
          <w:r>
            <w:rPr>
              <w:sz w:val="20"/>
              <w:szCs w:val="20"/>
              <w:u w:val="single" w:color="auto"/>
            </w:rPr>
            <w:t xml:space="preserve">                                </w:t>
          </w:r>
          <w:r>
            <w:rPr>
              <w:spacing w:val="-1"/>
              <w:sz w:val="20"/>
              <w:szCs w:val="20"/>
              <w:u w:val="single" w:color="auto"/>
            </w:rPr>
            <w:t xml:space="preserve">    </w:t>
          </w:r>
          <w:r>
            <w:rPr>
              <w:spacing w:val="-1"/>
              <w:sz w:val="20"/>
              <w:szCs w:val="20"/>
            </w:rPr>
            <w:t>-</w:t>
          </w:r>
          <w:r>
            <w:fldChar w:fldCharType="begin"/>
          </w:r>
          <w:r>
            <w:instrText xml:space="preserve"> HYPERLINK \l "bookmark309" </w:instrText>
          </w:r>
          <w:r>
            <w:fldChar w:fldCharType="separate"/>
          </w:r>
          <w:r>
            <w:rPr>
              <w:spacing w:val="-1"/>
              <w:sz w:val="20"/>
              <w:szCs w:val="20"/>
            </w:rPr>
            <w:t>0</w:t>
          </w:r>
          <w:r>
            <w:rPr>
              <w:spacing w:val="-1"/>
              <w:sz w:val="20"/>
              <w:szCs w:val="20"/>
            </w:rPr>
            <w:fldChar w:fldCharType="end"/>
          </w:r>
        </w:p>
        <w:p w14:paraId="080BF087">
          <w:pPr>
            <w:pStyle w:val="2"/>
            <w:spacing w:before="125" w:line="225" w:lineRule="auto"/>
            <w:ind w:left="3"/>
            <w:rPr>
              <w:rFonts w:ascii="黑体" w:hAnsi="黑体" w:eastAsia="黑体" w:cs="黑体"/>
            </w:rPr>
          </w:pPr>
          <w:r>
            <w:rPr>
              <w:b/>
              <w:bCs/>
              <w:spacing w:val="-12"/>
            </w:rPr>
            <w:t>12.3</w:t>
          </w:r>
          <w:r>
            <w:rPr>
              <w:spacing w:val="-12"/>
            </w:rPr>
            <w:t xml:space="preserve"> </w:t>
          </w:r>
          <w:r>
            <w:rPr>
              <w:rFonts w:ascii="黑体" w:hAnsi="黑体" w:eastAsia="黑体" w:cs="黑体"/>
              <w:b/>
              <w:bCs/>
              <w:spacing w:val="-12"/>
            </w:rPr>
            <w:t>计量</w:t>
          </w:r>
        </w:p>
        <w:p w14:paraId="5AFE1E22">
          <w:pPr>
            <w:pStyle w:val="2"/>
            <w:spacing w:before="123" w:line="220" w:lineRule="auto"/>
            <w:ind w:left="409"/>
            <w:rPr>
              <w:sz w:val="20"/>
              <w:szCs w:val="20"/>
            </w:rPr>
          </w:pPr>
          <w:r>
            <w:rPr>
              <w:spacing w:val="1"/>
              <w:sz w:val="20"/>
              <w:szCs w:val="20"/>
            </w:rPr>
            <w:t>12.3.1</w:t>
          </w:r>
          <w:r>
            <w:rPr>
              <w:spacing w:val="66"/>
              <w:sz w:val="20"/>
              <w:szCs w:val="20"/>
            </w:rPr>
            <w:t xml:space="preserve"> </w:t>
          </w:r>
          <w:r>
            <w:rPr>
              <w:spacing w:val="1"/>
              <w:sz w:val="20"/>
              <w:szCs w:val="20"/>
            </w:rPr>
            <w:t>计量原则</w:t>
          </w:r>
        </w:p>
        <w:p w14:paraId="3DBAC6D8">
          <w:pPr>
            <w:pStyle w:val="2"/>
            <w:spacing w:before="191" w:line="219" w:lineRule="auto"/>
            <w:ind w:left="409"/>
            <w:rPr>
              <w:rFonts w:ascii="Times New Roman" w:hAnsi="Times New Roman" w:eastAsia="Times New Roman" w:cs="Times New Roman"/>
              <w:sz w:val="7"/>
              <w:szCs w:val="7"/>
            </w:rPr>
          </w:pPr>
          <w:r>
            <w:rPr>
              <w:sz w:val="20"/>
              <w:szCs w:val="20"/>
            </w:rPr>
            <w:t xml:space="preserve">工程量计算规则： </w:t>
          </w:r>
          <w:r>
            <w:rPr>
              <w:spacing w:val="2"/>
              <w:sz w:val="20"/>
              <w:szCs w:val="20"/>
              <w:u w:val="single" w:color="auto"/>
            </w:rPr>
            <w:t xml:space="preserve">                                       </w:t>
          </w:r>
          <w:r>
            <w:rPr>
              <w:spacing w:val="-89"/>
              <w:sz w:val="20"/>
              <w:szCs w:val="20"/>
            </w:rPr>
            <w:t xml:space="preserve"> </w:t>
          </w:r>
          <w:r>
            <w:fldChar w:fldCharType="begin"/>
          </w:r>
          <w:r>
            <w:instrText xml:space="preserve"> HYPERLINK \l "bookmark310" </w:instrText>
          </w:r>
          <w:r>
            <w:fldChar w:fldCharType="separate"/>
          </w:r>
          <w:r>
            <w:rPr>
              <w:rFonts w:ascii="Times New Roman" w:hAnsi="Times New Roman" w:eastAsia="Times New Roman" w:cs="Times New Roman"/>
              <w:position w:val="3"/>
              <w:sz w:val="7"/>
              <w:szCs w:val="7"/>
            </w:rPr>
            <w:t>0</w:t>
          </w:r>
          <w:r>
            <w:rPr>
              <w:rFonts w:ascii="Times New Roman" w:hAnsi="Times New Roman" w:eastAsia="Times New Roman" w:cs="Times New Roman"/>
              <w:position w:val="3"/>
              <w:sz w:val="7"/>
              <w:szCs w:val="7"/>
            </w:rPr>
            <w:fldChar w:fldCharType="end"/>
          </w:r>
        </w:p>
      </w:sdtContent>
    </w:sdt>
    <w:p w14:paraId="0F9EB730">
      <w:pPr>
        <w:spacing w:line="219" w:lineRule="auto"/>
        <w:rPr>
          <w:rFonts w:ascii="Times New Roman" w:hAnsi="Times New Roman" w:eastAsia="Times New Roman" w:cs="Times New Roman"/>
          <w:sz w:val="7"/>
          <w:szCs w:val="7"/>
        </w:rPr>
        <w:sectPr>
          <w:footerReference r:id="rId259" w:type="default"/>
          <w:pgSz w:w="11910" w:h="16840"/>
          <w:pgMar w:top="400" w:right="0" w:bottom="1024" w:left="1460" w:header="0" w:footer="889" w:gutter="0"/>
          <w:cols w:space="720" w:num="1"/>
        </w:sectPr>
      </w:pPr>
    </w:p>
    <w:p w14:paraId="79245308">
      <w:pPr>
        <w:spacing w:line="273" w:lineRule="auto"/>
        <w:rPr>
          <w:rFonts w:ascii="Arial"/>
          <w:sz w:val="21"/>
        </w:rPr>
      </w:pPr>
    </w:p>
    <w:p w14:paraId="7E7976C1">
      <w:pPr>
        <w:spacing w:line="273" w:lineRule="auto"/>
        <w:rPr>
          <w:rFonts w:ascii="Arial"/>
          <w:sz w:val="21"/>
        </w:rPr>
      </w:pPr>
    </w:p>
    <w:p w14:paraId="7083894B">
      <w:pPr>
        <w:spacing w:line="273" w:lineRule="auto"/>
        <w:rPr>
          <w:rFonts w:ascii="Arial"/>
          <w:sz w:val="21"/>
        </w:rPr>
      </w:pPr>
    </w:p>
    <w:p w14:paraId="494C2AAB">
      <w:pPr>
        <w:spacing w:line="273" w:lineRule="auto"/>
        <w:rPr>
          <w:rFonts w:ascii="Arial"/>
          <w:sz w:val="21"/>
        </w:rPr>
      </w:pPr>
    </w:p>
    <w:p w14:paraId="10C53EA8">
      <w:pPr>
        <w:spacing w:line="273" w:lineRule="auto"/>
        <w:rPr>
          <w:rFonts w:ascii="Arial"/>
          <w:sz w:val="21"/>
        </w:rPr>
      </w:pPr>
    </w:p>
    <w:p w14:paraId="22FA9B6E">
      <w:pPr>
        <w:pStyle w:val="2"/>
        <w:spacing w:before="65" w:line="220" w:lineRule="auto"/>
        <w:ind w:left="409"/>
        <w:rPr>
          <w:sz w:val="20"/>
          <w:szCs w:val="20"/>
        </w:rPr>
      </w:pPr>
      <w:r>
        <w:rPr>
          <w:spacing w:val="1"/>
          <w:sz w:val="20"/>
          <w:szCs w:val="20"/>
        </w:rPr>
        <w:t>12.3.2</w:t>
      </w:r>
      <w:r>
        <w:rPr>
          <w:spacing w:val="52"/>
          <w:sz w:val="20"/>
          <w:szCs w:val="20"/>
        </w:rPr>
        <w:t xml:space="preserve"> </w:t>
      </w:r>
      <w:r>
        <w:rPr>
          <w:spacing w:val="1"/>
          <w:sz w:val="20"/>
          <w:szCs w:val="20"/>
        </w:rPr>
        <w:t>计量周期</w:t>
      </w:r>
    </w:p>
    <w:p w14:paraId="2995C6F9">
      <w:pPr>
        <w:pStyle w:val="2"/>
        <w:spacing w:before="172" w:line="220" w:lineRule="auto"/>
        <w:ind w:left="409"/>
        <w:rPr>
          <w:sz w:val="22"/>
          <w:szCs w:val="22"/>
        </w:rPr>
      </w:pPr>
      <w:r>
        <w:rPr>
          <w:spacing w:val="-21"/>
          <w:sz w:val="22"/>
          <w:szCs w:val="22"/>
        </w:rPr>
        <w:t>关于计量周期的约定：</w:t>
      </w:r>
      <w:r>
        <w:rPr>
          <w:sz w:val="22"/>
          <w:szCs w:val="22"/>
          <w:u w:val="single" w:color="auto"/>
        </w:rPr>
        <w:t xml:space="preserve">                                  </w:t>
      </w:r>
    </w:p>
    <w:p w14:paraId="1126910A">
      <w:pPr>
        <w:pStyle w:val="2"/>
        <w:spacing w:before="124" w:line="218" w:lineRule="auto"/>
        <w:ind w:left="409"/>
        <w:rPr>
          <w:sz w:val="20"/>
          <w:szCs w:val="20"/>
        </w:rPr>
      </w:pPr>
      <w:r>
        <w:rPr>
          <w:spacing w:val="4"/>
          <w:sz w:val="20"/>
          <w:szCs w:val="20"/>
        </w:rPr>
        <w:t>12.3.3</w:t>
      </w:r>
      <w:r>
        <w:rPr>
          <w:spacing w:val="44"/>
          <w:sz w:val="20"/>
          <w:szCs w:val="20"/>
        </w:rPr>
        <w:t xml:space="preserve"> </w:t>
      </w:r>
      <w:r>
        <w:rPr>
          <w:spacing w:val="4"/>
          <w:sz w:val="20"/>
          <w:szCs w:val="20"/>
        </w:rPr>
        <w:t>单价合同的计量</w:t>
      </w:r>
    </w:p>
    <w:p w14:paraId="58A536D6">
      <w:pPr>
        <w:pStyle w:val="2"/>
        <w:spacing w:before="153" w:line="218" w:lineRule="auto"/>
        <w:ind w:left="409"/>
        <w:rPr>
          <w:sz w:val="20"/>
          <w:szCs w:val="20"/>
        </w:rPr>
      </w:pPr>
      <w:r>
        <w:rPr>
          <w:spacing w:val="-1"/>
          <w:sz w:val="20"/>
          <w:szCs w:val="20"/>
        </w:rPr>
        <w:t>关于单价合同计量的约定：</w:t>
      </w:r>
      <w:r>
        <w:rPr>
          <w:spacing w:val="51"/>
          <w:sz w:val="20"/>
          <w:szCs w:val="20"/>
        </w:rPr>
        <w:t xml:space="preserve"> </w:t>
      </w:r>
      <w:r>
        <w:rPr>
          <w:spacing w:val="2"/>
          <w:sz w:val="20"/>
          <w:szCs w:val="20"/>
          <w:u w:val="single" w:color="auto"/>
        </w:rPr>
        <w:t xml:space="preserve">                            </w:t>
      </w:r>
      <w:r>
        <w:rPr>
          <w:spacing w:val="1"/>
          <w:sz w:val="20"/>
          <w:szCs w:val="20"/>
          <w:u w:val="single" w:color="auto"/>
        </w:rPr>
        <w:t xml:space="preserve">   </w:t>
      </w:r>
      <w:r>
        <w:rPr>
          <w:spacing w:val="-94"/>
          <w:sz w:val="20"/>
          <w:szCs w:val="20"/>
        </w:rPr>
        <w:t xml:space="preserve"> </w:t>
      </w:r>
      <w:r>
        <w:rPr>
          <w:position w:val="-1"/>
          <w:sz w:val="20"/>
          <w:szCs w:val="20"/>
        </w:rPr>
        <w:drawing>
          <wp:inline distT="0" distB="0" distL="0" distR="0">
            <wp:extent cx="41275" cy="37465"/>
            <wp:effectExtent l="0" t="0" r="0" b="0"/>
            <wp:docPr id="160" name="IM 160"/>
            <wp:cNvGraphicFramePr/>
            <a:graphic xmlns:a="http://schemas.openxmlformats.org/drawingml/2006/main">
              <a:graphicData uri="http://schemas.openxmlformats.org/drawingml/2006/picture">
                <pic:pic xmlns:pic="http://schemas.openxmlformats.org/drawingml/2006/picture">
                  <pic:nvPicPr>
                    <pic:cNvPr id="160" name="IM 160"/>
                    <pic:cNvPicPr/>
                  </pic:nvPicPr>
                  <pic:blipFill>
                    <a:blip r:embed="rId476"/>
                    <a:stretch>
                      <a:fillRect/>
                    </a:stretch>
                  </pic:blipFill>
                  <pic:spPr>
                    <a:xfrm>
                      <a:off x="0" y="0"/>
                      <a:ext cx="41293" cy="38068"/>
                    </a:xfrm>
                    <a:prstGeom prst="rect">
                      <a:avLst/>
                    </a:prstGeom>
                  </pic:spPr>
                </pic:pic>
              </a:graphicData>
            </a:graphic>
          </wp:inline>
        </w:drawing>
      </w:r>
    </w:p>
    <w:p w14:paraId="3C0B00B8">
      <w:pPr>
        <w:pStyle w:val="2"/>
        <w:spacing w:before="174" w:line="218" w:lineRule="auto"/>
        <w:ind w:left="409"/>
        <w:rPr>
          <w:sz w:val="20"/>
          <w:szCs w:val="20"/>
        </w:rPr>
      </w:pPr>
      <w:r>
        <w:rPr>
          <w:spacing w:val="15"/>
          <w:sz w:val="20"/>
          <w:szCs w:val="20"/>
        </w:rPr>
        <w:t>12.3.4总价合同的计量</w:t>
      </w:r>
    </w:p>
    <w:p w14:paraId="49228777">
      <w:pPr>
        <w:pStyle w:val="2"/>
        <w:spacing w:before="173" w:line="218" w:lineRule="auto"/>
        <w:ind w:left="409"/>
        <w:rPr>
          <w:sz w:val="20"/>
          <w:szCs w:val="20"/>
        </w:rPr>
      </w:pPr>
      <w:r>
        <w:rPr>
          <w:sz w:val="20"/>
          <w:szCs w:val="20"/>
        </w:rPr>
        <w:t xml:space="preserve">关于总价合同计量的约定： </w:t>
      </w:r>
      <w:r>
        <w:rPr>
          <w:spacing w:val="2"/>
          <w:sz w:val="20"/>
          <w:szCs w:val="20"/>
          <w:u w:val="single" w:color="auto"/>
        </w:rPr>
        <w:t xml:space="preserve">                               </w:t>
      </w:r>
      <w:r>
        <w:rPr>
          <w:spacing w:val="-53"/>
          <w:sz w:val="20"/>
          <w:szCs w:val="20"/>
        </w:rPr>
        <w:t xml:space="preserve"> </w:t>
      </w:r>
      <w:r>
        <w:rPr>
          <w:sz w:val="20"/>
          <w:szCs w:val="20"/>
        </w:rPr>
        <w:drawing>
          <wp:inline distT="0" distB="0" distL="0" distR="0">
            <wp:extent cx="38100" cy="41275"/>
            <wp:effectExtent l="0" t="0" r="0" b="0"/>
            <wp:docPr id="162" name="IM 162"/>
            <wp:cNvGraphicFramePr/>
            <a:graphic xmlns:a="http://schemas.openxmlformats.org/drawingml/2006/main">
              <a:graphicData uri="http://schemas.openxmlformats.org/drawingml/2006/picture">
                <pic:pic xmlns:pic="http://schemas.openxmlformats.org/drawingml/2006/picture">
                  <pic:nvPicPr>
                    <pic:cNvPr id="162" name="IM 162"/>
                    <pic:cNvPicPr/>
                  </pic:nvPicPr>
                  <pic:blipFill>
                    <a:blip r:embed="rId477"/>
                    <a:stretch>
                      <a:fillRect/>
                    </a:stretch>
                  </pic:blipFill>
                  <pic:spPr>
                    <a:xfrm>
                      <a:off x="0" y="0"/>
                      <a:ext cx="38116" cy="41276"/>
                    </a:xfrm>
                    <a:prstGeom prst="rect">
                      <a:avLst/>
                    </a:prstGeom>
                  </pic:spPr>
                </pic:pic>
              </a:graphicData>
            </a:graphic>
          </wp:inline>
        </w:drawing>
      </w:r>
    </w:p>
    <w:p w14:paraId="3C20A678">
      <w:pPr>
        <w:pStyle w:val="2"/>
        <w:spacing w:before="144" w:line="305" w:lineRule="auto"/>
        <w:ind w:firstLine="409"/>
        <w:rPr>
          <w:sz w:val="20"/>
          <w:szCs w:val="20"/>
        </w:rPr>
      </w:pPr>
      <w:r>
        <w:rPr>
          <w:spacing w:val="13"/>
          <w:sz w:val="20"/>
          <w:szCs w:val="20"/>
        </w:rPr>
        <w:t>12.3.5总价合同采用支付分解表计量支付的，是</w:t>
      </w:r>
      <w:r>
        <w:rPr>
          <w:spacing w:val="12"/>
          <w:sz w:val="20"/>
          <w:szCs w:val="20"/>
        </w:rPr>
        <w:t>否适用第12.3.4 项〔总价合同的计量〕约</w:t>
      </w:r>
      <w:r>
        <w:rPr>
          <w:sz w:val="20"/>
          <w:szCs w:val="20"/>
        </w:rPr>
        <w:t xml:space="preserve"> </w:t>
      </w:r>
      <w:r>
        <w:rPr>
          <w:spacing w:val="-21"/>
          <w:sz w:val="20"/>
          <w:szCs w:val="20"/>
        </w:rPr>
        <w:t>定进行计量：</w:t>
      </w:r>
      <w:r>
        <w:rPr>
          <w:spacing w:val="-66"/>
          <w:sz w:val="20"/>
          <w:szCs w:val="20"/>
        </w:rPr>
        <w:t xml:space="preserve"> </w:t>
      </w:r>
      <w:r>
        <w:rPr>
          <w:spacing w:val="1"/>
          <w:sz w:val="20"/>
          <w:szCs w:val="20"/>
          <w:u w:val="single" w:color="auto"/>
        </w:rPr>
        <w:t xml:space="preserve">                                                                     </w:t>
      </w:r>
      <w:r>
        <w:rPr>
          <w:sz w:val="20"/>
          <w:szCs w:val="20"/>
          <w:u w:val="single" w:color="auto"/>
        </w:rPr>
        <w:t xml:space="preserve">     </w:t>
      </w:r>
      <w:r>
        <w:rPr>
          <w:spacing w:val="21"/>
          <w:sz w:val="20"/>
          <w:szCs w:val="20"/>
        </w:rPr>
        <w:t xml:space="preserve"> </w:t>
      </w:r>
      <w:r>
        <w:rPr>
          <w:spacing w:val="-21"/>
          <w:sz w:val="20"/>
          <w:szCs w:val="20"/>
        </w:rPr>
        <w:t>◎</w:t>
      </w:r>
    </w:p>
    <w:p w14:paraId="745F4D52">
      <w:pPr>
        <w:pStyle w:val="2"/>
        <w:spacing w:before="150" w:line="218" w:lineRule="auto"/>
        <w:ind w:left="409"/>
        <w:rPr>
          <w:sz w:val="20"/>
          <w:szCs w:val="20"/>
        </w:rPr>
      </w:pPr>
      <w:r>
        <w:rPr>
          <w:spacing w:val="13"/>
          <w:sz w:val="20"/>
          <w:szCs w:val="20"/>
        </w:rPr>
        <w:t>12.3.6其他价格形式合同的计量</w:t>
      </w:r>
    </w:p>
    <w:p w14:paraId="64D17B94">
      <w:pPr>
        <w:pStyle w:val="2"/>
        <w:spacing w:before="163" w:line="218" w:lineRule="auto"/>
        <w:ind w:left="409"/>
        <w:rPr>
          <w:sz w:val="20"/>
          <w:szCs w:val="20"/>
        </w:rPr>
      </w:pPr>
      <w:r>
        <w:rPr>
          <w:spacing w:val="6"/>
          <w:sz w:val="20"/>
          <w:szCs w:val="20"/>
        </w:rPr>
        <w:t>其他价格形式的计量方式和程序：</w:t>
      </w:r>
    </w:p>
    <w:p w14:paraId="23D66429">
      <w:pPr>
        <w:spacing w:line="268" w:lineRule="auto"/>
        <w:rPr>
          <w:rFonts w:ascii="Arial"/>
          <w:sz w:val="21"/>
        </w:rPr>
      </w:pPr>
    </w:p>
    <w:p w14:paraId="3A6E8B80">
      <w:pPr>
        <w:tabs>
          <w:tab w:val="left" w:pos="8410"/>
        </w:tabs>
        <w:spacing w:before="21" w:line="142" w:lineRule="auto"/>
        <w:ind w:left="409"/>
        <w:rPr>
          <w:rFonts w:ascii="Times New Roman" w:hAnsi="Times New Roman" w:eastAsia="Times New Roman" w:cs="Times New Roman"/>
          <w:sz w:val="7"/>
          <w:szCs w:val="7"/>
        </w:rPr>
      </w:pPr>
      <w:r>
        <w:rPr>
          <w:rFonts w:ascii="Times New Roman" w:hAnsi="Times New Roman" w:eastAsia="Times New Roman" w:cs="Times New Roman"/>
          <w:sz w:val="7"/>
          <w:szCs w:val="7"/>
          <w:u w:val="single" w:color="auto"/>
        </w:rPr>
        <w:tab/>
      </w:r>
      <w:r>
        <w:rPr>
          <w:rFonts w:ascii="Times New Roman" w:hAnsi="Times New Roman" w:eastAsia="Times New Roman" w:cs="Times New Roman"/>
          <w:spacing w:val="-8"/>
          <w:sz w:val="7"/>
          <w:szCs w:val="7"/>
        </w:rPr>
        <w:t xml:space="preserve"> </w:t>
      </w:r>
      <w:r>
        <w:rPr>
          <w:rFonts w:ascii="Times New Roman" w:hAnsi="Times New Roman" w:eastAsia="Times New Roman" w:cs="Times New Roman"/>
          <w:sz w:val="7"/>
          <w:szCs w:val="7"/>
          <w:u w:val="dotted" w:color="auto"/>
        </w:rPr>
        <w:t xml:space="preserve">  </w:t>
      </w:r>
      <w:r>
        <w:rPr>
          <w:rFonts w:ascii="Times New Roman" w:hAnsi="Times New Roman" w:eastAsia="Times New Roman" w:cs="Times New Roman"/>
          <w:spacing w:val="-16"/>
          <w:sz w:val="7"/>
          <w:szCs w:val="7"/>
        </w:rPr>
        <w:t xml:space="preserve"> </w:t>
      </w:r>
      <w:r>
        <w:rPr>
          <w:rFonts w:ascii="Times New Roman" w:hAnsi="Times New Roman" w:eastAsia="Times New Roman" w:cs="Times New Roman"/>
          <w:sz w:val="7"/>
          <w:szCs w:val="7"/>
        </w:rPr>
        <w:t>o</w:t>
      </w:r>
    </w:p>
    <w:p w14:paraId="6B062F7F">
      <w:pPr>
        <w:spacing w:before="185" w:line="222" w:lineRule="auto"/>
        <w:ind w:left="3"/>
        <w:rPr>
          <w:rFonts w:ascii="黑体" w:hAnsi="黑体" w:eastAsia="黑体" w:cs="黑体"/>
          <w:sz w:val="25"/>
          <w:szCs w:val="25"/>
        </w:rPr>
      </w:pPr>
      <w:r>
        <w:rPr>
          <w:rFonts w:ascii="黑体" w:hAnsi="黑体" w:eastAsia="黑体" w:cs="黑体"/>
          <w:b/>
          <w:bCs/>
          <w:spacing w:val="-1"/>
          <w:sz w:val="25"/>
          <w:szCs w:val="25"/>
        </w:rPr>
        <w:t>12.4工程进度款支付</w:t>
      </w:r>
    </w:p>
    <w:p w14:paraId="6A15FCF2">
      <w:pPr>
        <w:pStyle w:val="2"/>
        <w:spacing w:before="132" w:line="219" w:lineRule="auto"/>
        <w:ind w:left="409"/>
        <w:rPr>
          <w:sz w:val="20"/>
          <w:szCs w:val="20"/>
        </w:rPr>
      </w:pPr>
      <w:r>
        <w:rPr>
          <w:spacing w:val="3"/>
          <w:sz w:val="20"/>
          <w:szCs w:val="20"/>
        </w:rPr>
        <w:t>12.4.1</w:t>
      </w:r>
      <w:r>
        <w:rPr>
          <w:spacing w:val="32"/>
          <w:sz w:val="20"/>
          <w:szCs w:val="20"/>
        </w:rPr>
        <w:t xml:space="preserve"> </w:t>
      </w:r>
      <w:r>
        <w:rPr>
          <w:spacing w:val="3"/>
          <w:sz w:val="20"/>
          <w:szCs w:val="20"/>
        </w:rPr>
        <w:t>付款周期</w:t>
      </w:r>
    </w:p>
    <w:p w14:paraId="1B85FD13">
      <w:pPr>
        <w:pStyle w:val="2"/>
        <w:spacing w:before="173" w:line="219" w:lineRule="auto"/>
        <w:ind w:left="409"/>
        <w:rPr>
          <w:sz w:val="20"/>
          <w:szCs w:val="20"/>
        </w:rPr>
      </w:pPr>
      <w:r>
        <w:rPr>
          <w:spacing w:val="6"/>
          <w:sz w:val="20"/>
          <w:szCs w:val="20"/>
        </w:rPr>
        <w:t>关于付款周期的约定：</w:t>
      </w:r>
    </w:p>
    <w:p w14:paraId="2EAE286B">
      <w:pPr>
        <w:spacing w:line="274" w:lineRule="auto"/>
        <w:rPr>
          <w:rFonts w:ascii="Arial"/>
          <w:sz w:val="21"/>
        </w:rPr>
      </w:pPr>
    </w:p>
    <w:p w14:paraId="4277D1CA">
      <w:pPr>
        <w:tabs>
          <w:tab w:val="left" w:pos="8410"/>
        </w:tabs>
        <w:spacing w:before="21" w:line="142" w:lineRule="auto"/>
        <w:ind w:left="409"/>
        <w:rPr>
          <w:rFonts w:ascii="Times New Roman" w:hAnsi="Times New Roman" w:eastAsia="Times New Roman" w:cs="Times New Roman"/>
          <w:sz w:val="7"/>
          <w:szCs w:val="7"/>
        </w:rPr>
      </w:pPr>
      <w:r>
        <w:rPr>
          <w:rFonts w:ascii="Times New Roman" w:hAnsi="Times New Roman" w:eastAsia="Times New Roman" w:cs="Times New Roman"/>
          <w:sz w:val="7"/>
          <w:szCs w:val="7"/>
          <w:u w:val="single" w:color="auto"/>
        </w:rPr>
        <w:tab/>
      </w:r>
      <w:r>
        <w:rPr>
          <w:rFonts w:ascii="Times New Roman" w:hAnsi="Times New Roman" w:eastAsia="Times New Roman" w:cs="Times New Roman"/>
          <w:spacing w:val="-8"/>
          <w:sz w:val="7"/>
          <w:szCs w:val="7"/>
        </w:rPr>
        <w:t xml:space="preserve"> </w:t>
      </w:r>
      <w:r>
        <w:rPr>
          <w:rFonts w:ascii="Times New Roman" w:hAnsi="Times New Roman" w:eastAsia="Times New Roman" w:cs="Times New Roman"/>
          <w:sz w:val="7"/>
          <w:szCs w:val="7"/>
        </w:rPr>
        <w:t>_o</w:t>
      </w:r>
    </w:p>
    <w:p w14:paraId="6BE710B9">
      <w:pPr>
        <w:pStyle w:val="2"/>
        <w:spacing w:before="228" w:line="219" w:lineRule="auto"/>
        <w:ind w:left="409"/>
        <w:rPr>
          <w:sz w:val="20"/>
          <w:szCs w:val="20"/>
        </w:rPr>
      </w:pPr>
      <w:r>
        <w:rPr>
          <w:spacing w:val="14"/>
          <w:sz w:val="20"/>
          <w:szCs w:val="20"/>
        </w:rPr>
        <w:t>12.4.2进度付款申请单的编制</w:t>
      </w:r>
    </w:p>
    <w:p w14:paraId="33CFE810">
      <w:pPr>
        <w:pStyle w:val="2"/>
        <w:spacing w:before="163" w:line="219" w:lineRule="auto"/>
        <w:ind w:left="409"/>
        <w:rPr>
          <w:sz w:val="20"/>
          <w:szCs w:val="20"/>
        </w:rPr>
      </w:pPr>
      <w:r>
        <w:rPr>
          <w:spacing w:val="6"/>
          <w:sz w:val="20"/>
          <w:szCs w:val="20"/>
        </w:rPr>
        <w:t>关于进度付款申请单编制的约定：</w:t>
      </w:r>
    </w:p>
    <w:p w14:paraId="215D1011">
      <w:pPr>
        <w:spacing w:line="264" w:lineRule="auto"/>
        <w:rPr>
          <w:rFonts w:ascii="Arial"/>
          <w:sz w:val="21"/>
        </w:rPr>
      </w:pPr>
    </w:p>
    <w:p w14:paraId="67EAD778">
      <w:pPr>
        <w:tabs>
          <w:tab w:val="left" w:pos="8410"/>
        </w:tabs>
        <w:spacing w:before="21" w:line="142" w:lineRule="auto"/>
        <w:ind w:left="409"/>
        <w:rPr>
          <w:rFonts w:ascii="Times New Roman" w:hAnsi="Times New Roman" w:eastAsia="Times New Roman" w:cs="Times New Roman"/>
          <w:sz w:val="7"/>
          <w:szCs w:val="7"/>
        </w:rPr>
      </w:pPr>
      <w:r>
        <w:rPr>
          <w:rFonts w:ascii="Times New Roman" w:hAnsi="Times New Roman" w:eastAsia="Times New Roman" w:cs="Times New Roman"/>
          <w:sz w:val="7"/>
          <w:szCs w:val="7"/>
          <w:u w:val="single" w:color="auto"/>
        </w:rPr>
        <w:tab/>
      </w:r>
      <w:r>
        <w:rPr>
          <w:rFonts w:ascii="Times New Roman" w:hAnsi="Times New Roman" w:eastAsia="Times New Roman" w:cs="Times New Roman"/>
          <w:spacing w:val="-8"/>
          <w:sz w:val="7"/>
          <w:szCs w:val="7"/>
        </w:rPr>
        <w:t xml:space="preserve"> </w:t>
      </w:r>
      <w:r>
        <w:rPr>
          <w:rFonts w:ascii="Times New Roman" w:hAnsi="Times New Roman" w:eastAsia="Times New Roman" w:cs="Times New Roman"/>
          <w:sz w:val="7"/>
          <w:szCs w:val="7"/>
        </w:rPr>
        <w:t>_o</w:t>
      </w:r>
    </w:p>
    <w:p w14:paraId="0263000F">
      <w:pPr>
        <w:pStyle w:val="2"/>
        <w:spacing w:before="219" w:line="219" w:lineRule="auto"/>
        <w:ind w:left="409"/>
        <w:rPr>
          <w:sz w:val="20"/>
          <w:szCs w:val="20"/>
        </w:rPr>
      </w:pPr>
      <w:r>
        <w:rPr>
          <w:spacing w:val="13"/>
          <w:sz w:val="20"/>
          <w:szCs w:val="20"/>
        </w:rPr>
        <w:t>12.4.3进度付款申请单的提交</w:t>
      </w:r>
    </w:p>
    <w:p w14:paraId="277B660E">
      <w:pPr>
        <w:pStyle w:val="2"/>
        <w:spacing w:before="160" w:line="218" w:lineRule="auto"/>
        <w:ind w:left="519"/>
        <w:rPr>
          <w:sz w:val="20"/>
          <w:szCs w:val="20"/>
        </w:rPr>
      </w:pPr>
      <w:r>
        <w:rPr>
          <w:spacing w:val="12"/>
          <w:sz w:val="20"/>
          <w:szCs w:val="20"/>
        </w:rPr>
        <w:t>(1)单价合同进度付款申请单提交的约定：</w:t>
      </w:r>
    </w:p>
    <w:p w14:paraId="2017F51A">
      <w:pPr>
        <w:spacing w:line="277" w:lineRule="auto"/>
        <w:rPr>
          <w:rFonts w:ascii="Arial"/>
          <w:sz w:val="21"/>
        </w:rPr>
      </w:pPr>
    </w:p>
    <w:p w14:paraId="0209BBE4">
      <w:pPr>
        <w:tabs>
          <w:tab w:val="left" w:pos="8410"/>
        </w:tabs>
        <w:spacing w:before="22" w:line="142" w:lineRule="auto"/>
        <w:ind w:left="409"/>
        <w:rPr>
          <w:rFonts w:ascii="Times New Roman" w:hAnsi="Times New Roman" w:eastAsia="Times New Roman" w:cs="Times New Roman"/>
          <w:sz w:val="7"/>
          <w:szCs w:val="7"/>
        </w:rPr>
      </w:pPr>
      <w:r>
        <w:rPr>
          <w:rFonts w:ascii="Times New Roman" w:hAnsi="Times New Roman" w:eastAsia="Times New Roman" w:cs="Times New Roman"/>
          <w:sz w:val="7"/>
          <w:szCs w:val="7"/>
          <w:u w:val="single" w:color="auto"/>
        </w:rPr>
        <w:tab/>
      </w:r>
      <w:r>
        <w:rPr>
          <w:rFonts w:ascii="Times New Roman" w:hAnsi="Times New Roman" w:eastAsia="Times New Roman" w:cs="Times New Roman"/>
          <w:spacing w:val="-8"/>
          <w:sz w:val="7"/>
          <w:szCs w:val="7"/>
        </w:rPr>
        <w:t xml:space="preserve"> </w:t>
      </w:r>
      <w:r>
        <w:rPr>
          <w:rFonts w:ascii="Times New Roman" w:hAnsi="Times New Roman" w:eastAsia="Times New Roman" w:cs="Times New Roman"/>
          <w:sz w:val="7"/>
          <w:szCs w:val="7"/>
        </w:rPr>
        <w:t>_o</w:t>
      </w:r>
    </w:p>
    <w:p w14:paraId="0D09C978">
      <w:pPr>
        <w:pStyle w:val="2"/>
        <w:spacing w:before="216" w:line="218" w:lineRule="auto"/>
        <w:ind w:left="519"/>
        <w:rPr>
          <w:sz w:val="20"/>
          <w:szCs w:val="20"/>
        </w:rPr>
      </w:pPr>
      <w:r>
        <w:rPr>
          <w:spacing w:val="12"/>
          <w:sz w:val="20"/>
          <w:szCs w:val="20"/>
        </w:rPr>
        <w:t>(2)总价合同进度付款申请单提交的约定：</w:t>
      </w:r>
    </w:p>
    <w:p w14:paraId="33B36725">
      <w:pPr>
        <w:spacing w:line="252" w:lineRule="auto"/>
        <w:rPr>
          <w:rFonts w:ascii="Arial"/>
          <w:sz w:val="21"/>
        </w:rPr>
      </w:pPr>
    </w:p>
    <w:p w14:paraId="74F43A76">
      <w:pPr>
        <w:spacing w:line="253" w:lineRule="auto"/>
        <w:rPr>
          <w:rFonts w:ascii="Arial"/>
          <w:sz w:val="21"/>
        </w:rPr>
      </w:pPr>
      <w:r>
        <w:drawing>
          <wp:anchor distT="0" distB="0" distL="0" distR="0" simplePos="0" relativeHeight="251728896" behindDoc="0" locked="0" layoutInCell="1" allowOverlap="1">
            <wp:simplePos x="0" y="0"/>
            <wp:positionH relativeFrom="column">
              <wp:posOffset>272415</wp:posOffset>
            </wp:positionH>
            <wp:positionV relativeFrom="paragraph">
              <wp:posOffset>78105</wp:posOffset>
            </wp:positionV>
            <wp:extent cx="5080000" cy="6350"/>
            <wp:effectExtent l="0" t="0" r="0" b="0"/>
            <wp:wrapNone/>
            <wp:docPr id="164" name="IM 164"/>
            <wp:cNvGraphicFramePr/>
            <a:graphic xmlns:a="http://schemas.openxmlformats.org/drawingml/2006/main">
              <a:graphicData uri="http://schemas.openxmlformats.org/drawingml/2006/picture">
                <pic:pic xmlns:pic="http://schemas.openxmlformats.org/drawingml/2006/picture">
                  <pic:nvPicPr>
                    <pic:cNvPr id="164" name="IM 164"/>
                    <pic:cNvPicPr/>
                  </pic:nvPicPr>
                  <pic:blipFill>
                    <a:blip r:embed="rId459"/>
                    <a:stretch>
                      <a:fillRect/>
                    </a:stretch>
                  </pic:blipFill>
                  <pic:spPr>
                    <a:xfrm>
                      <a:off x="0" y="0"/>
                      <a:ext cx="5079966" cy="6350"/>
                    </a:xfrm>
                    <a:prstGeom prst="rect">
                      <a:avLst/>
                    </a:prstGeom>
                  </pic:spPr>
                </pic:pic>
              </a:graphicData>
            </a:graphic>
          </wp:anchor>
        </w:drawing>
      </w:r>
    </w:p>
    <w:p w14:paraId="2E3C6E77">
      <w:pPr>
        <w:pStyle w:val="2"/>
        <w:spacing w:before="66" w:line="218" w:lineRule="auto"/>
        <w:ind w:left="519"/>
        <w:rPr>
          <w:sz w:val="20"/>
          <w:szCs w:val="20"/>
        </w:rPr>
      </w:pPr>
      <w:r>
        <w:rPr>
          <w:spacing w:val="12"/>
          <w:sz w:val="20"/>
          <w:szCs w:val="20"/>
        </w:rPr>
        <w:t>(3)其他价格形式合同进度付款申请单提交的约定：</w:t>
      </w:r>
    </w:p>
    <w:p w14:paraId="7C1B6A38">
      <w:pPr>
        <w:spacing w:line="258" w:lineRule="auto"/>
        <w:rPr>
          <w:rFonts w:ascii="Arial"/>
          <w:sz w:val="21"/>
        </w:rPr>
      </w:pPr>
    </w:p>
    <w:p w14:paraId="0B7AD257">
      <w:pPr>
        <w:tabs>
          <w:tab w:val="left" w:pos="8410"/>
        </w:tabs>
        <w:spacing w:before="20" w:line="142" w:lineRule="auto"/>
        <w:ind w:left="409"/>
        <w:rPr>
          <w:rFonts w:ascii="Times New Roman" w:hAnsi="Times New Roman" w:eastAsia="Times New Roman" w:cs="Times New Roman"/>
          <w:sz w:val="7"/>
          <w:szCs w:val="7"/>
        </w:rPr>
      </w:pPr>
      <w:r>
        <w:rPr>
          <w:rFonts w:ascii="Times New Roman" w:hAnsi="Times New Roman" w:eastAsia="Times New Roman" w:cs="Times New Roman"/>
          <w:sz w:val="7"/>
          <w:szCs w:val="7"/>
          <w:u w:val="single" w:color="auto"/>
        </w:rPr>
        <w:tab/>
      </w:r>
      <w:r>
        <w:rPr>
          <w:rFonts w:ascii="Times New Roman" w:hAnsi="Times New Roman" w:eastAsia="Times New Roman" w:cs="Times New Roman"/>
          <w:spacing w:val="-8"/>
          <w:sz w:val="7"/>
          <w:szCs w:val="7"/>
        </w:rPr>
        <w:t xml:space="preserve"> </w:t>
      </w:r>
      <w:r>
        <w:rPr>
          <w:rFonts w:ascii="Times New Roman" w:hAnsi="Times New Roman" w:eastAsia="Times New Roman" w:cs="Times New Roman"/>
          <w:sz w:val="7"/>
          <w:szCs w:val="7"/>
          <w:u w:val="dotted" w:color="auto"/>
        </w:rPr>
        <w:t xml:space="preserve">  </w:t>
      </w:r>
      <w:r>
        <w:rPr>
          <w:rFonts w:ascii="Times New Roman" w:hAnsi="Times New Roman" w:eastAsia="Times New Roman" w:cs="Times New Roman"/>
          <w:spacing w:val="-16"/>
          <w:sz w:val="7"/>
          <w:szCs w:val="7"/>
        </w:rPr>
        <w:t xml:space="preserve"> </w:t>
      </w:r>
      <w:r>
        <w:rPr>
          <w:rFonts w:ascii="Times New Roman" w:hAnsi="Times New Roman" w:eastAsia="Times New Roman" w:cs="Times New Roman"/>
          <w:sz w:val="7"/>
          <w:szCs w:val="7"/>
        </w:rPr>
        <w:t>o</w:t>
      </w:r>
    </w:p>
    <w:p w14:paraId="52650EA5">
      <w:pPr>
        <w:pStyle w:val="2"/>
        <w:spacing w:before="228" w:line="219" w:lineRule="auto"/>
        <w:ind w:left="409"/>
        <w:rPr>
          <w:sz w:val="20"/>
          <w:szCs w:val="20"/>
        </w:rPr>
      </w:pPr>
      <w:r>
        <w:rPr>
          <w:spacing w:val="14"/>
          <w:sz w:val="20"/>
          <w:szCs w:val="20"/>
        </w:rPr>
        <w:t>12.4.4进度款审核和支付</w:t>
      </w:r>
    </w:p>
    <w:p w14:paraId="0FE8912A">
      <w:pPr>
        <w:pStyle w:val="2"/>
        <w:spacing w:before="173" w:line="283" w:lineRule="auto"/>
        <w:ind w:left="409" w:right="2815" w:firstLine="110"/>
        <w:rPr>
          <w:sz w:val="21"/>
          <w:szCs w:val="21"/>
        </w:rPr>
      </w:pPr>
      <w:r>
        <w:rPr>
          <w:spacing w:val="6"/>
          <w:sz w:val="20"/>
          <w:szCs w:val="20"/>
        </w:rPr>
        <w:t>(1)监理人审查并报送发包人的期限：</w:t>
      </w:r>
      <w:r>
        <w:rPr>
          <w:spacing w:val="23"/>
          <w:sz w:val="20"/>
          <w:szCs w:val="20"/>
        </w:rPr>
        <w:t xml:space="preserve">  </w:t>
      </w:r>
      <w:r>
        <w:rPr>
          <w:spacing w:val="1"/>
          <w:sz w:val="20"/>
          <w:szCs w:val="20"/>
          <w:u w:val="single" w:color="auto"/>
        </w:rPr>
        <w:t xml:space="preserve">                  </w:t>
      </w:r>
      <w:r>
        <w:rPr>
          <w:spacing w:val="6"/>
          <w:sz w:val="6"/>
          <w:szCs w:val="6"/>
        </w:rPr>
        <w:t>◎</w:t>
      </w:r>
      <w:r>
        <w:rPr>
          <w:spacing w:val="13"/>
          <w:w w:val="101"/>
          <w:sz w:val="6"/>
          <w:szCs w:val="6"/>
        </w:rPr>
        <w:t xml:space="preserve"> </w:t>
      </w:r>
      <w:r>
        <w:rPr>
          <w:spacing w:val="-2"/>
          <w:sz w:val="21"/>
          <w:szCs w:val="21"/>
        </w:rPr>
        <w:t>发包人完成审批并签发进度款支付证书的期限：</w:t>
      </w:r>
      <w:r>
        <w:rPr>
          <w:spacing w:val="-2"/>
          <w:sz w:val="21"/>
          <w:szCs w:val="21"/>
          <w:u w:val="single" w:color="auto"/>
        </w:rPr>
        <w:t xml:space="preserve">            </w:t>
      </w:r>
    </w:p>
    <w:p w14:paraId="345D68F1">
      <w:pPr>
        <w:pStyle w:val="2"/>
        <w:spacing w:before="190" w:line="290" w:lineRule="auto"/>
        <w:ind w:left="409" w:right="2888" w:firstLine="110"/>
        <w:rPr>
          <w:sz w:val="20"/>
          <w:szCs w:val="20"/>
        </w:rPr>
      </w:pPr>
      <w:r>
        <w:rPr>
          <w:spacing w:val="7"/>
          <w:sz w:val="20"/>
          <w:szCs w:val="20"/>
        </w:rPr>
        <w:t xml:space="preserve">(2)发包人支付进度款的期限： </w:t>
      </w:r>
      <w:r>
        <w:rPr>
          <w:spacing w:val="7"/>
          <w:sz w:val="20"/>
          <w:szCs w:val="20"/>
          <w:u w:val="single" w:color="auto"/>
        </w:rPr>
        <w:t xml:space="preserve">                      </w:t>
      </w:r>
      <w:r>
        <w:rPr>
          <w:spacing w:val="6"/>
          <w:sz w:val="20"/>
          <w:szCs w:val="20"/>
          <w:u w:val="single" w:color="auto"/>
        </w:rPr>
        <w:t xml:space="preserve">  </w:t>
      </w:r>
      <w:r>
        <w:rPr>
          <w:sz w:val="20"/>
          <w:szCs w:val="20"/>
        </w:rPr>
        <w:t xml:space="preserve"> </w:t>
      </w:r>
      <w:r>
        <w:rPr>
          <w:spacing w:val="7"/>
          <w:sz w:val="20"/>
          <w:szCs w:val="20"/>
        </w:rPr>
        <w:t>发包人逾期支付进度款的违约金的计算方式：</w:t>
      </w:r>
    </w:p>
    <w:p w14:paraId="79612751">
      <w:pPr>
        <w:pStyle w:val="2"/>
        <w:tabs>
          <w:tab w:val="left" w:pos="8410"/>
        </w:tabs>
        <w:spacing w:before="254" w:line="237" w:lineRule="auto"/>
        <w:ind w:left="409"/>
        <w:rPr>
          <w:sz w:val="7"/>
          <w:szCs w:val="7"/>
        </w:rPr>
      </w:pPr>
      <w:r>
        <w:rPr>
          <w:sz w:val="7"/>
          <w:szCs w:val="7"/>
          <w:u w:val="single" w:color="auto"/>
        </w:rPr>
        <w:tab/>
      </w:r>
      <w:r>
        <w:rPr>
          <w:spacing w:val="-26"/>
          <w:sz w:val="7"/>
          <w:szCs w:val="7"/>
        </w:rPr>
        <w:t xml:space="preserve"> </w:t>
      </w:r>
      <w:r>
        <w:rPr>
          <w:sz w:val="7"/>
          <w:szCs w:val="7"/>
        </w:rPr>
        <w:t>◎</w:t>
      </w:r>
    </w:p>
    <w:p w14:paraId="1AFA1F69">
      <w:pPr>
        <w:pStyle w:val="2"/>
        <w:spacing w:before="199" w:line="219" w:lineRule="auto"/>
        <w:ind w:left="409"/>
        <w:rPr>
          <w:sz w:val="20"/>
          <w:szCs w:val="20"/>
        </w:rPr>
      </w:pPr>
      <w:r>
        <w:rPr>
          <w:spacing w:val="14"/>
          <w:sz w:val="20"/>
          <w:szCs w:val="20"/>
        </w:rPr>
        <w:t>12.4.6支付分解表的编制</w:t>
      </w:r>
    </w:p>
    <w:p w14:paraId="3CD5B88D">
      <w:pPr>
        <w:pStyle w:val="2"/>
        <w:spacing w:before="171" w:line="218" w:lineRule="auto"/>
        <w:ind w:left="409"/>
        <w:rPr>
          <w:sz w:val="20"/>
          <w:szCs w:val="20"/>
        </w:rPr>
      </w:pPr>
      <w:r>
        <w:rPr>
          <w:spacing w:val="7"/>
          <w:sz w:val="20"/>
          <w:szCs w:val="20"/>
        </w:rPr>
        <w:t>2、总价合同支付分解表的编制与审批：</w:t>
      </w:r>
    </w:p>
    <w:p w14:paraId="0E3C043A">
      <w:pPr>
        <w:spacing w:line="218" w:lineRule="auto"/>
        <w:rPr>
          <w:sz w:val="20"/>
          <w:szCs w:val="20"/>
        </w:rPr>
        <w:sectPr>
          <w:footerReference r:id="rId260" w:type="default"/>
          <w:pgSz w:w="11910" w:h="16840"/>
          <w:pgMar w:top="400" w:right="1562" w:bottom="1024" w:left="1460" w:header="0" w:footer="889" w:gutter="0"/>
          <w:cols w:space="720" w:num="1"/>
        </w:sectPr>
      </w:pPr>
    </w:p>
    <w:p w14:paraId="7C52F9A7">
      <w:pPr>
        <w:spacing w:line="251" w:lineRule="auto"/>
        <w:rPr>
          <w:rFonts w:ascii="Arial"/>
          <w:sz w:val="21"/>
        </w:rPr>
      </w:pPr>
    </w:p>
    <w:p w14:paraId="585B161E">
      <w:pPr>
        <w:spacing w:line="251" w:lineRule="auto"/>
        <w:rPr>
          <w:rFonts w:ascii="Arial"/>
          <w:sz w:val="21"/>
        </w:rPr>
      </w:pPr>
    </w:p>
    <w:p w14:paraId="2CA71583">
      <w:pPr>
        <w:spacing w:line="251" w:lineRule="auto"/>
        <w:rPr>
          <w:rFonts w:ascii="Arial"/>
          <w:sz w:val="21"/>
        </w:rPr>
      </w:pPr>
    </w:p>
    <w:p w14:paraId="3100113C">
      <w:pPr>
        <w:spacing w:line="251" w:lineRule="auto"/>
        <w:rPr>
          <w:rFonts w:ascii="Arial"/>
          <w:sz w:val="21"/>
        </w:rPr>
      </w:pPr>
    </w:p>
    <w:p w14:paraId="639EF030">
      <w:pPr>
        <w:spacing w:line="252" w:lineRule="auto"/>
        <w:rPr>
          <w:rFonts w:ascii="Arial"/>
          <w:sz w:val="21"/>
        </w:rPr>
      </w:pPr>
    </w:p>
    <w:p w14:paraId="3D990A5E">
      <w:pPr>
        <w:spacing w:line="252" w:lineRule="auto"/>
        <w:rPr>
          <w:rFonts w:ascii="Arial"/>
          <w:sz w:val="21"/>
        </w:rPr>
      </w:pPr>
    </w:p>
    <w:p w14:paraId="26994072">
      <w:pPr>
        <w:spacing w:line="252" w:lineRule="auto"/>
        <w:rPr>
          <w:rFonts w:ascii="Arial"/>
          <w:sz w:val="21"/>
        </w:rPr>
      </w:pPr>
      <w:r>
        <w:drawing>
          <wp:anchor distT="0" distB="0" distL="0" distR="0" simplePos="0" relativeHeight="251731968" behindDoc="0" locked="0" layoutInCell="1" allowOverlap="1">
            <wp:simplePos x="0" y="0"/>
            <wp:positionH relativeFrom="column">
              <wp:posOffset>251460</wp:posOffset>
            </wp:positionH>
            <wp:positionV relativeFrom="paragraph">
              <wp:posOffset>77470</wp:posOffset>
            </wp:positionV>
            <wp:extent cx="5111750" cy="6350"/>
            <wp:effectExtent l="0" t="0" r="0" b="0"/>
            <wp:wrapNone/>
            <wp:docPr id="166" name="IM 166"/>
            <wp:cNvGraphicFramePr/>
            <a:graphic xmlns:a="http://schemas.openxmlformats.org/drawingml/2006/main">
              <a:graphicData uri="http://schemas.openxmlformats.org/drawingml/2006/picture">
                <pic:pic xmlns:pic="http://schemas.openxmlformats.org/drawingml/2006/picture">
                  <pic:nvPicPr>
                    <pic:cNvPr id="166" name="IM 166"/>
                    <pic:cNvPicPr/>
                  </pic:nvPicPr>
                  <pic:blipFill>
                    <a:blip r:embed="rId478"/>
                    <a:stretch>
                      <a:fillRect/>
                    </a:stretch>
                  </pic:blipFill>
                  <pic:spPr>
                    <a:xfrm>
                      <a:off x="0" y="0"/>
                      <a:ext cx="5111729" cy="6350"/>
                    </a:xfrm>
                    <a:prstGeom prst="rect">
                      <a:avLst/>
                    </a:prstGeom>
                  </pic:spPr>
                </pic:pic>
              </a:graphicData>
            </a:graphic>
          </wp:anchor>
        </w:drawing>
      </w:r>
    </w:p>
    <w:p w14:paraId="166119D4">
      <w:pPr>
        <w:pStyle w:val="2"/>
        <w:spacing w:before="65" w:line="218" w:lineRule="auto"/>
        <w:ind w:left="416"/>
        <w:rPr>
          <w:sz w:val="20"/>
          <w:szCs w:val="20"/>
        </w:rPr>
      </w:pPr>
      <w:r>
        <w:rPr>
          <w:spacing w:val="8"/>
          <w:sz w:val="20"/>
          <w:szCs w:val="20"/>
        </w:rPr>
        <w:t>3、单价合同的总价项目支付分解表的编制与审批：</w:t>
      </w:r>
    </w:p>
    <w:p w14:paraId="24B903C5">
      <w:pPr>
        <w:spacing w:line="242" w:lineRule="auto"/>
        <w:rPr>
          <w:rFonts w:ascii="Arial"/>
          <w:sz w:val="21"/>
        </w:rPr>
      </w:pPr>
    </w:p>
    <w:p w14:paraId="5231D950">
      <w:pPr>
        <w:spacing w:line="243" w:lineRule="auto"/>
        <w:rPr>
          <w:rFonts w:ascii="Arial"/>
          <w:sz w:val="21"/>
        </w:rPr>
      </w:pPr>
      <w:r>
        <w:drawing>
          <wp:anchor distT="0" distB="0" distL="0" distR="0" simplePos="0" relativeHeight="251730944" behindDoc="0" locked="0" layoutInCell="1" allowOverlap="1">
            <wp:simplePos x="0" y="0"/>
            <wp:positionH relativeFrom="column">
              <wp:posOffset>251460</wp:posOffset>
            </wp:positionH>
            <wp:positionV relativeFrom="paragraph">
              <wp:posOffset>84455</wp:posOffset>
            </wp:positionV>
            <wp:extent cx="5118100" cy="6350"/>
            <wp:effectExtent l="0" t="0" r="0" b="0"/>
            <wp:wrapNone/>
            <wp:docPr id="168" name="IM 168"/>
            <wp:cNvGraphicFramePr/>
            <a:graphic xmlns:a="http://schemas.openxmlformats.org/drawingml/2006/main">
              <a:graphicData uri="http://schemas.openxmlformats.org/drawingml/2006/picture">
                <pic:pic xmlns:pic="http://schemas.openxmlformats.org/drawingml/2006/picture">
                  <pic:nvPicPr>
                    <pic:cNvPr id="168" name="IM 168"/>
                    <pic:cNvPicPr/>
                  </pic:nvPicPr>
                  <pic:blipFill>
                    <a:blip r:embed="rId456"/>
                    <a:stretch>
                      <a:fillRect/>
                    </a:stretch>
                  </pic:blipFill>
                  <pic:spPr>
                    <a:xfrm>
                      <a:off x="0" y="0"/>
                      <a:ext cx="5118083" cy="6350"/>
                    </a:xfrm>
                    <a:prstGeom prst="rect">
                      <a:avLst/>
                    </a:prstGeom>
                  </pic:spPr>
                </pic:pic>
              </a:graphicData>
            </a:graphic>
          </wp:anchor>
        </w:drawing>
      </w:r>
    </w:p>
    <w:p w14:paraId="25EAB2F0">
      <w:pPr>
        <w:pStyle w:val="2"/>
        <w:spacing w:before="94" w:line="221" w:lineRule="auto"/>
        <w:ind w:left="1"/>
        <w:rPr>
          <w:rFonts w:ascii="黑体" w:hAnsi="黑体" w:eastAsia="黑体" w:cs="黑体"/>
          <w:sz w:val="29"/>
          <w:szCs w:val="29"/>
        </w:rPr>
      </w:pPr>
      <w:r>
        <w:rPr>
          <w:b/>
          <w:bCs/>
          <w:spacing w:val="-8"/>
          <w:sz w:val="29"/>
          <w:szCs w:val="29"/>
        </w:rPr>
        <w:t>13.</w:t>
      </w:r>
      <w:r>
        <w:rPr>
          <w:spacing w:val="-70"/>
          <w:sz w:val="29"/>
          <w:szCs w:val="29"/>
        </w:rPr>
        <w:t xml:space="preserve"> </w:t>
      </w:r>
      <w:r>
        <w:rPr>
          <w:rFonts w:ascii="黑体" w:hAnsi="黑体" w:eastAsia="黑体" w:cs="黑体"/>
          <w:b/>
          <w:bCs/>
          <w:spacing w:val="-8"/>
          <w:sz w:val="29"/>
          <w:szCs w:val="29"/>
        </w:rPr>
        <w:t>验收和工程试车</w:t>
      </w:r>
    </w:p>
    <w:p w14:paraId="58C8A294">
      <w:pPr>
        <w:pStyle w:val="2"/>
        <w:spacing w:before="92" w:line="222" w:lineRule="auto"/>
        <w:rPr>
          <w:rFonts w:ascii="黑体" w:hAnsi="黑体" w:eastAsia="黑体" w:cs="黑体"/>
        </w:rPr>
      </w:pPr>
      <w:r>
        <w:rPr>
          <w:b/>
          <w:bCs/>
          <w:spacing w:val="-10"/>
        </w:rPr>
        <w:t>13.1</w:t>
      </w:r>
      <w:r>
        <w:rPr>
          <w:spacing w:val="-10"/>
        </w:rPr>
        <w:t xml:space="preserve"> </w:t>
      </w:r>
      <w:r>
        <w:rPr>
          <w:rFonts w:ascii="黑体" w:hAnsi="黑体" w:eastAsia="黑体" w:cs="黑体"/>
          <w:b/>
          <w:bCs/>
          <w:spacing w:val="-10"/>
        </w:rPr>
        <w:t>分部分项工程验收</w:t>
      </w:r>
    </w:p>
    <w:p w14:paraId="426A8CE8">
      <w:pPr>
        <w:pStyle w:val="2"/>
        <w:spacing w:before="131" w:line="219" w:lineRule="auto"/>
        <w:ind w:left="416"/>
        <w:rPr>
          <w:sz w:val="20"/>
          <w:szCs w:val="20"/>
        </w:rPr>
      </w:pPr>
      <w:r>
        <w:rPr>
          <w:spacing w:val="7"/>
          <w:sz w:val="20"/>
          <w:szCs w:val="20"/>
        </w:rPr>
        <w:t>13.1.2监理人不能按时进行验收时，应提前</w:t>
      </w:r>
      <w:r>
        <w:rPr>
          <w:spacing w:val="-91"/>
          <w:sz w:val="20"/>
          <w:szCs w:val="20"/>
        </w:rPr>
        <w:t xml:space="preserve"> </w:t>
      </w:r>
      <w:r>
        <w:rPr>
          <w:spacing w:val="7"/>
          <w:sz w:val="20"/>
          <w:szCs w:val="20"/>
          <w:u w:val="single" w:color="auto"/>
        </w:rPr>
        <w:t xml:space="preserve"> </w:t>
      </w:r>
      <w:r>
        <w:rPr>
          <w:spacing w:val="6"/>
          <w:sz w:val="20"/>
          <w:szCs w:val="20"/>
          <w:u w:val="single" w:color="auto"/>
        </w:rPr>
        <w:t xml:space="preserve">       </w:t>
      </w:r>
      <w:r>
        <w:rPr>
          <w:spacing w:val="6"/>
          <w:sz w:val="20"/>
          <w:szCs w:val="20"/>
        </w:rPr>
        <w:t>小时提交书面延期要求。</w:t>
      </w:r>
    </w:p>
    <w:p w14:paraId="2DEE339F">
      <w:pPr>
        <w:pStyle w:val="2"/>
        <w:spacing w:before="184" w:line="219" w:lineRule="auto"/>
        <w:ind w:left="416"/>
        <w:rPr>
          <w:sz w:val="20"/>
          <w:szCs w:val="20"/>
        </w:rPr>
      </w:pPr>
      <w:r>
        <w:rPr>
          <w:sz w:val="20"/>
          <w:szCs w:val="20"/>
        </w:rPr>
        <w:t xml:space="preserve">关于延期最长不得超过： </w:t>
      </w:r>
      <w:r>
        <w:rPr>
          <w:spacing w:val="5"/>
          <w:sz w:val="20"/>
          <w:szCs w:val="20"/>
          <w:u w:val="single" w:color="auto"/>
        </w:rPr>
        <w:t xml:space="preserve">         </w:t>
      </w:r>
      <w:r>
        <w:rPr>
          <w:spacing w:val="-76"/>
          <w:sz w:val="20"/>
          <w:szCs w:val="20"/>
        </w:rPr>
        <w:t xml:space="preserve"> </w:t>
      </w:r>
      <w:r>
        <w:rPr>
          <w:sz w:val="20"/>
          <w:szCs w:val="20"/>
        </w:rPr>
        <w:t>小时。</w:t>
      </w:r>
    </w:p>
    <w:p w14:paraId="5E4B56D9">
      <w:pPr>
        <w:pStyle w:val="2"/>
        <w:spacing w:before="119" w:line="221" w:lineRule="auto"/>
        <w:rPr>
          <w:rFonts w:ascii="黑体" w:hAnsi="黑体" w:eastAsia="黑体" w:cs="黑体"/>
        </w:rPr>
      </w:pPr>
      <w:r>
        <w:rPr>
          <w:b/>
          <w:bCs/>
          <w:spacing w:val="-10"/>
        </w:rPr>
        <w:t>13.2</w:t>
      </w:r>
      <w:r>
        <w:rPr>
          <w:spacing w:val="-10"/>
        </w:rPr>
        <w:t xml:space="preserve"> </w:t>
      </w:r>
      <w:r>
        <w:rPr>
          <w:rFonts w:ascii="黑体" w:hAnsi="黑体" w:eastAsia="黑体" w:cs="黑体"/>
          <w:b/>
          <w:bCs/>
          <w:spacing w:val="-10"/>
        </w:rPr>
        <w:t>竣工验收</w:t>
      </w:r>
    </w:p>
    <w:p w14:paraId="117ECD72">
      <w:pPr>
        <w:pStyle w:val="2"/>
        <w:spacing w:before="124" w:line="219" w:lineRule="auto"/>
        <w:ind w:left="416"/>
        <w:rPr>
          <w:sz w:val="20"/>
          <w:szCs w:val="20"/>
        </w:rPr>
      </w:pPr>
      <w:r>
        <w:rPr>
          <w:spacing w:val="11"/>
          <w:sz w:val="20"/>
          <w:szCs w:val="20"/>
        </w:rPr>
        <w:t>13.2.2竣工验收程序</w:t>
      </w:r>
    </w:p>
    <w:p w14:paraId="2C4B4F11">
      <w:pPr>
        <w:pStyle w:val="2"/>
        <w:spacing w:before="183" w:line="219" w:lineRule="auto"/>
        <w:ind w:left="416"/>
        <w:rPr>
          <w:sz w:val="20"/>
          <w:szCs w:val="20"/>
        </w:rPr>
      </w:pPr>
      <w:r>
        <w:rPr>
          <w:spacing w:val="5"/>
          <w:sz w:val="20"/>
          <w:szCs w:val="20"/>
        </w:rPr>
        <w:t>关于竣工验收程序的约定：</w:t>
      </w:r>
    </w:p>
    <w:p w14:paraId="3BACE0EA">
      <w:pPr>
        <w:spacing w:line="271" w:lineRule="auto"/>
        <w:rPr>
          <w:rFonts w:ascii="Arial"/>
          <w:sz w:val="21"/>
        </w:rPr>
      </w:pPr>
    </w:p>
    <w:p w14:paraId="1BBC6729">
      <w:pPr>
        <w:tabs>
          <w:tab w:val="left" w:pos="8415"/>
        </w:tabs>
        <w:spacing w:before="18" w:line="156" w:lineRule="auto"/>
        <w:ind w:left="416"/>
        <w:rPr>
          <w:rFonts w:ascii="Arial" w:hAnsi="Arial" w:eastAsia="Arial" w:cs="Arial"/>
          <w:sz w:val="6"/>
          <w:szCs w:val="6"/>
        </w:rPr>
      </w:pPr>
      <w:r>
        <w:rPr>
          <w:rFonts w:ascii="Arial" w:hAnsi="Arial" w:eastAsia="Arial" w:cs="Arial"/>
          <w:sz w:val="6"/>
          <w:szCs w:val="6"/>
          <w:u w:val="single" w:color="auto"/>
        </w:rPr>
        <w:tab/>
      </w:r>
      <w:r>
        <w:rPr>
          <w:rFonts w:ascii="Arial" w:hAnsi="Arial" w:eastAsia="Arial" w:cs="Arial"/>
          <w:spacing w:val="-6"/>
          <w:sz w:val="6"/>
          <w:szCs w:val="6"/>
        </w:rPr>
        <w:t xml:space="preserve"> </w:t>
      </w:r>
      <w:r>
        <w:rPr>
          <w:rFonts w:ascii="Arial" w:hAnsi="Arial" w:eastAsia="Arial" w:cs="Arial"/>
          <w:sz w:val="6"/>
          <w:szCs w:val="6"/>
        </w:rPr>
        <w:t>_o</w:t>
      </w:r>
    </w:p>
    <w:p w14:paraId="1545CC52">
      <w:pPr>
        <w:pStyle w:val="2"/>
        <w:spacing w:before="206" w:line="219" w:lineRule="auto"/>
        <w:ind w:left="416"/>
        <w:rPr>
          <w:sz w:val="20"/>
          <w:szCs w:val="20"/>
        </w:rPr>
      </w:pPr>
      <w:r>
        <w:rPr>
          <w:spacing w:val="9"/>
          <w:sz w:val="20"/>
          <w:szCs w:val="20"/>
        </w:rPr>
        <w:t>发包人不按照本项约定组织竣工验收、颁发工程接收证书的违约金的计算方法：</w:t>
      </w:r>
    </w:p>
    <w:p w14:paraId="1171AE44">
      <w:pPr>
        <w:spacing w:before="144"/>
      </w:pPr>
    </w:p>
    <w:tbl>
      <w:tblPr>
        <w:tblStyle w:val="5"/>
        <w:tblW w:w="8090" w:type="dxa"/>
        <w:tblInd w:w="396"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8090"/>
      </w:tblGrid>
      <w:tr w14:paraId="49E4402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1163" w:hRule="atLeast"/>
        </w:trPr>
        <w:tc>
          <w:tcPr>
            <w:tcW w:w="8090" w:type="dxa"/>
            <w:tcBorders>
              <w:top w:val="single" w:color="000000" w:sz="2" w:space="0"/>
              <w:bottom w:val="single" w:color="000000" w:sz="2" w:space="0"/>
            </w:tcBorders>
            <w:vAlign w:val="top"/>
          </w:tcPr>
          <w:p w14:paraId="2C8D82C9">
            <w:pPr>
              <w:pStyle w:val="6"/>
              <w:spacing w:before="202" w:line="353" w:lineRule="auto"/>
              <w:ind w:left="20" w:right="4863"/>
              <w:rPr>
                <w:sz w:val="20"/>
                <w:szCs w:val="20"/>
              </w:rPr>
            </w:pPr>
            <w:r>
              <w:rPr>
                <w:spacing w:val="11"/>
                <w:sz w:val="20"/>
                <w:szCs w:val="20"/>
              </w:rPr>
              <w:t>13.2.5移交、接收全部与部分工程</w:t>
            </w:r>
            <w:r>
              <w:rPr>
                <w:spacing w:val="7"/>
                <w:sz w:val="20"/>
                <w:szCs w:val="20"/>
              </w:rPr>
              <w:t xml:space="preserve"> </w:t>
            </w:r>
            <w:r>
              <w:rPr>
                <w:spacing w:val="6"/>
                <w:sz w:val="20"/>
                <w:szCs w:val="20"/>
              </w:rPr>
              <w:t>承包人向发包人移交工程的期限：</w:t>
            </w:r>
          </w:p>
          <w:p w14:paraId="4312D4E5">
            <w:pPr>
              <w:pStyle w:val="6"/>
              <w:spacing w:before="145" w:line="40" w:lineRule="exact"/>
              <w:ind w:left="8029"/>
              <w:rPr>
                <w:sz w:val="3"/>
                <w:szCs w:val="3"/>
              </w:rPr>
            </w:pPr>
            <w:r>
              <w:rPr>
                <w:spacing w:val="14"/>
                <w:w w:val="128"/>
                <w:sz w:val="3"/>
                <w:szCs w:val="3"/>
              </w:rPr>
              <w:t>◎</w:t>
            </w:r>
          </w:p>
        </w:tc>
      </w:tr>
      <w:tr w14:paraId="668E14F7">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791" w:hRule="atLeast"/>
        </w:trPr>
        <w:tc>
          <w:tcPr>
            <w:tcW w:w="8090" w:type="dxa"/>
            <w:tcBorders>
              <w:top w:val="single" w:color="000000" w:sz="2" w:space="0"/>
              <w:bottom w:val="single" w:color="000000" w:sz="2" w:space="0"/>
            </w:tcBorders>
            <w:vAlign w:val="top"/>
          </w:tcPr>
          <w:p w14:paraId="02FA24AF">
            <w:pPr>
              <w:pStyle w:val="6"/>
              <w:spacing w:before="224" w:line="219" w:lineRule="auto"/>
              <w:ind w:left="20"/>
              <w:rPr>
                <w:sz w:val="20"/>
                <w:szCs w:val="20"/>
              </w:rPr>
            </w:pPr>
            <w:r>
              <w:rPr>
                <w:spacing w:val="9"/>
                <w:sz w:val="20"/>
                <w:szCs w:val="20"/>
              </w:rPr>
              <w:t>发包人未按本合同约定接收全部或部分工程的，</w:t>
            </w:r>
            <w:r>
              <w:rPr>
                <w:spacing w:val="8"/>
                <w:sz w:val="20"/>
                <w:szCs w:val="20"/>
              </w:rPr>
              <w:t>违约金的计算方法为：</w:t>
            </w:r>
          </w:p>
          <w:p w14:paraId="6D63FFD0">
            <w:pPr>
              <w:spacing w:line="266" w:lineRule="auto"/>
              <w:rPr>
                <w:rFonts w:ascii="Arial"/>
                <w:sz w:val="21"/>
              </w:rPr>
            </w:pPr>
          </w:p>
          <w:p w14:paraId="0BF4F7D2">
            <w:pPr>
              <w:tabs>
                <w:tab w:val="left" w:pos="8060"/>
              </w:tabs>
              <w:spacing w:before="17" w:line="121" w:lineRule="auto"/>
              <w:ind w:left="8029"/>
              <w:rPr>
                <w:rFonts w:ascii="Times New Roman" w:hAnsi="Times New Roman" w:eastAsia="Times New Roman" w:cs="Times New Roman"/>
                <w:sz w:val="6"/>
                <w:szCs w:val="6"/>
              </w:rPr>
            </w:pPr>
            <w:r>
              <w:rPr>
                <w:rFonts w:ascii="Times New Roman" w:hAnsi="Times New Roman" w:eastAsia="Times New Roman" w:cs="Times New Roman"/>
                <w:sz w:val="6"/>
                <w:szCs w:val="6"/>
                <w:u w:val="dotted" w:color="auto"/>
              </w:rPr>
              <w:tab/>
            </w:r>
            <w:r>
              <w:rPr>
                <w:rFonts w:ascii="Times New Roman" w:hAnsi="Times New Roman" w:eastAsia="Times New Roman" w:cs="Times New Roman"/>
                <w:spacing w:val="-13"/>
                <w:sz w:val="6"/>
                <w:szCs w:val="6"/>
              </w:rPr>
              <w:t xml:space="preserve"> </w:t>
            </w:r>
            <w:r>
              <w:rPr>
                <w:rFonts w:ascii="Times New Roman" w:hAnsi="Times New Roman" w:eastAsia="Times New Roman" w:cs="Times New Roman"/>
                <w:spacing w:val="-3"/>
                <w:sz w:val="6"/>
                <w:szCs w:val="6"/>
              </w:rPr>
              <w:t>o</w:t>
            </w:r>
          </w:p>
        </w:tc>
      </w:tr>
      <w:tr w14:paraId="2065705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831" w:hRule="atLeast"/>
        </w:trPr>
        <w:tc>
          <w:tcPr>
            <w:tcW w:w="8090" w:type="dxa"/>
            <w:tcBorders>
              <w:top w:val="single" w:color="000000" w:sz="2" w:space="0"/>
              <w:bottom w:val="single" w:color="000000" w:sz="8" w:space="0"/>
            </w:tcBorders>
            <w:vAlign w:val="top"/>
          </w:tcPr>
          <w:p w14:paraId="57290138">
            <w:pPr>
              <w:pStyle w:val="6"/>
              <w:spacing w:before="219" w:line="219" w:lineRule="auto"/>
              <w:ind w:left="20"/>
              <w:rPr>
                <w:sz w:val="20"/>
                <w:szCs w:val="20"/>
              </w:rPr>
            </w:pPr>
            <w:r>
              <w:rPr>
                <w:spacing w:val="7"/>
                <w:sz w:val="20"/>
                <w:szCs w:val="20"/>
              </w:rPr>
              <w:t>承包人未按时移交工程的，违约金的计算方法为：</w:t>
            </w:r>
          </w:p>
        </w:tc>
      </w:tr>
    </w:tbl>
    <w:p w14:paraId="664DAA3C">
      <w:pPr>
        <w:pStyle w:val="2"/>
        <w:spacing w:before="125" w:line="221" w:lineRule="auto"/>
        <w:rPr>
          <w:rFonts w:ascii="黑体" w:hAnsi="黑体" w:eastAsia="黑体" w:cs="黑体"/>
        </w:rPr>
      </w:pPr>
      <w:r>
        <w:rPr>
          <w:b/>
          <w:bCs/>
          <w:spacing w:val="-9"/>
        </w:rPr>
        <w:t>13.3</w:t>
      </w:r>
      <w:r>
        <w:rPr>
          <w:spacing w:val="-9"/>
        </w:rPr>
        <w:t xml:space="preserve"> </w:t>
      </w:r>
      <w:r>
        <w:rPr>
          <w:rFonts w:ascii="黑体" w:hAnsi="黑体" w:eastAsia="黑体" w:cs="黑体"/>
          <w:b/>
          <w:bCs/>
          <w:spacing w:val="-9"/>
        </w:rPr>
        <w:t>工程试车</w:t>
      </w:r>
    </w:p>
    <w:p w14:paraId="74E968DA">
      <w:pPr>
        <w:pStyle w:val="2"/>
        <w:spacing w:before="154" w:line="219" w:lineRule="auto"/>
        <w:ind w:left="416"/>
        <w:rPr>
          <w:sz w:val="20"/>
          <w:szCs w:val="20"/>
        </w:rPr>
      </w:pPr>
      <w:r>
        <w:rPr>
          <w:sz w:val="20"/>
          <w:szCs w:val="20"/>
        </w:rPr>
        <w:t>13.3.1</w:t>
      </w:r>
      <w:r>
        <w:rPr>
          <w:spacing w:val="70"/>
          <w:sz w:val="20"/>
          <w:szCs w:val="20"/>
        </w:rPr>
        <w:t xml:space="preserve"> </w:t>
      </w:r>
      <w:r>
        <w:rPr>
          <w:sz w:val="20"/>
          <w:szCs w:val="20"/>
        </w:rPr>
        <w:t>试车程序</w:t>
      </w:r>
    </w:p>
    <w:p w14:paraId="2A2D5BA3">
      <w:pPr>
        <w:pStyle w:val="2"/>
        <w:spacing w:before="153" w:line="219" w:lineRule="auto"/>
        <w:ind w:left="416"/>
        <w:rPr>
          <w:sz w:val="20"/>
          <w:szCs w:val="20"/>
        </w:rPr>
      </w:pPr>
      <w:r>
        <w:rPr>
          <w:spacing w:val="5"/>
          <w:sz w:val="20"/>
          <w:szCs w:val="20"/>
        </w:rPr>
        <w:t>工程试车内容：</w:t>
      </w:r>
    </w:p>
    <w:p w14:paraId="27F82BB6">
      <w:pPr>
        <w:spacing w:line="271" w:lineRule="auto"/>
        <w:rPr>
          <w:rFonts w:ascii="Arial"/>
          <w:sz w:val="21"/>
        </w:rPr>
      </w:pPr>
    </w:p>
    <w:p w14:paraId="3D77C011">
      <w:pPr>
        <w:tabs>
          <w:tab w:val="left" w:pos="8525"/>
        </w:tabs>
        <w:spacing w:before="18" w:line="156" w:lineRule="auto"/>
        <w:ind w:left="526"/>
        <w:rPr>
          <w:rFonts w:ascii="Arial" w:hAnsi="Arial" w:eastAsia="Arial" w:cs="Arial"/>
          <w:sz w:val="6"/>
          <w:szCs w:val="6"/>
        </w:rPr>
      </w:pPr>
      <w:r>
        <w:rPr>
          <w:rFonts w:ascii="Arial" w:hAnsi="Arial" w:eastAsia="Arial" w:cs="Arial"/>
          <w:sz w:val="6"/>
          <w:szCs w:val="6"/>
          <w:u w:val="single" w:color="auto"/>
        </w:rPr>
        <w:tab/>
      </w:r>
      <w:r>
        <w:rPr>
          <w:rFonts w:ascii="Arial" w:hAnsi="Arial" w:eastAsia="Arial" w:cs="Arial"/>
          <w:spacing w:val="1"/>
          <w:sz w:val="6"/>
          <w:szCs w:val="6"/>
        </w:rPr>
        <w:t>_o</w:t>
      </w:r>
    </w:p>
    <w:p w14:paraId="178BFC83">
      <w:pPr>
        <w:pStyle w:val="2"/>
        <w:spacing w:before="256" w:line="219" w:lineRule="auto"/>
        <w:ind w:left="526"/>
        <w:rPr>
          <w:sz w:val="16"/>
          <w:szCs w:val="16"/>
        </w:rPr>
      </w:pPr>
      <w:r>
        <w:rPr>
          <w:spacing w:val="12"/>
          <w:sz w:val="20"/>
          <w:szCs w:val="20"/>
        </w:rPr>
        <w:t xml:space="preserve">(1)单机无负荷试车费用由 </w:t>
      </w:r>
      <w:r>
        <w:rPr>
          <w:sz w:val="20"/>
          <w:szCs w:val="20"/>
          <w:u w:val="single" w:color="auto"/>
        </w:rPr>
        <w:t xml:space="preserve">                     </w:t>
      </w:r>
      <w:r>
        <w:rPr>
          <w:spacing w:val="12"/>
          <w:position w:val="1"/>
          <w:sz w:val="16"/>
          <w:szCs w:val="16"/>
        </w:rPr>
        <w:t>承</w:t>
      </w:r>
      <w:r>
        <w:rPr>
          <w:position w:val="1"/>
          <w:sz w:val="16"/>
          <w:szCs w:val="16"/>
        </w:rPr>
        <w:t xml:space="preserve"> </w:t>
      </w:r>
      <w:r>
        <w:rPr>
          <w:spacing w:val="12"/>
          <w:position w:val="1"/>
          <w:sz w:val="16"/>
          <w:szCs w:val="16"/>
        </w:rPr>
        <w:t>担</w:t>
      </w:r>
      <w:r>
        <w:rPr>
          <w:spacing w:val="-18"/>
          <w:position w:val="1"/>
          <w:sz w:val="16"/>
          <w:szCs w:val="16"/>
        </w:rPr>
        <w:t xml:space="preserve"> </w:t>
      </w:r>
      <w:r>
        <w:rPr>
          <w:spacing w:val="12"/>
          <w:position w:val="1"/>
          <w:sz w:val="16"/>
          <w:szCs w:val="16"/>
        </w:rPr>
        <w:t>；</w:t>
      </w:r>
    </w:p>
    <w:p w14:paraId="5025D99E">
      <w:pPr>
        <w:pStyle w:val="2"/>
        <w:spacing w:before="155" w:line="219" w:lineRule="auto"/>
        <w:ind w:left="526"/>
        <w:rPr>
          <w:sz w:val="16"/>
          <w:szCs w:val="16"/>
        </w:rPr>
      </w:pPr>
      <w:r>
        <w:rPr>
          <w:spacing w:val="-9"/>
          <w:sz w:val="22"/>
          <w:szCs w:val="22"/>
        </w:rPr>
        <w:t>(2)无负荷联动试车费用由</w:t>
      </w:r>
      <w:r>
        <w:rPr>
          <w:spacing w:val="-105"/>
          <w:sz w:val="22"/>
          <w:szCs w:val="22"/>
        </w:rPr>
        <w:t xml:space="preserve"> </w:t>
      </w:r>
      <w:r>
        <w:rPr>
          <w:sz w:val="22"/>
          <w:szCs w:val="22"/>
          <w:u w:val="single" w:color="auto"/>
        </w:rPr>
        <w:t xml:space="preserve">                     </w:t>
      </w:r>
      <w:r>
        <w:rPr>
          <w:spacing w:val="-101"/>
          <w:sz w:val="22"/>
          <w:szCs w:val="22"/>
        </w:rPr>
        <w:t xml:space="preserve"> </w:t>
      </w:r>
      <w:r>
        <w:rPr>
          <w:spacing w:val="-9"/>
          <w:position w:val="2"/>
          <w:sz w:val="16"/>
          <w:szCs w:val="16"/>
        </w:rPr>
        <w:t>承 担 。</w:t>
      </w:r>
    </w:p>
    <w:p w14:paraId="4B42888D">
      <w:pPr>
        <w:pStyle w:val="2"/>
        <w:spacing w:before="118" w:line="219" w:lineRule="auto"/>
        <w:ind w:left="416"/>
        <w:rPr>
          <w:sz w:val="20"/>
          <w:szCs w:val="20"/>
        </w:rPr>
      </w:pPr>
      <w:r>
        <w:rPr>
          <w:spacing w:val="16"/>
          <w:sz w:val="20"/>
          <w:szCs w:val="20"/>
        </w:rPr>
        <w:t>13.3.3投料试车</w:t>
      </w:r>
    </w:p>
    <w:p w14:paraId="003B11C6">
      <w:pPr>
        <w:pStyle w:val="2"/>
        <w:spacing w:before="163" w:line="219" w:lineRule="auto"/>
        <w:ind w:left="416"/>
        <w:rPr>
          <w:sz w:val="20"/>
          <w:szCs w:val="20"/>
        </w:rPr>
      </w:pPr>
      <w:r>
        <w:rPr>
          <w:spacing w:val="6"/>
          <w:sz w:val="20"/>
          <w:szCs w:val="20"/>
        </w:rPr>
        <w:t>关于投料试车相关事项的约定：</w:t>
      </w:r>
    </w:p>
    <w:p w14:paraId="4E6EE885">
      <w:pPr>
        <w:spacing w:line="444" w:lineRule="auto"/>
        <w:rPr>
          <w:rFonts w:ascii="Arial"/>
          <w:sz w:val="21"/>
        </w:rPr>
      </w:pPr>
      <w:r>
        <w:drawing>
          <wp:anchor distT="0" distB="0" distL="0" distR="0" simplePos="0" relativeHeight="251729920" behindDoc="0" locked="0" layoutInCell="1" allowOverlap="1">
            <wp:simplePos x="0" y="0"/>
            <wp:positionH relativeFrom="column">
              <wp:posOffset>245110</wp:posOffset>
            </wp:positionH>
            <wp:positionV relativeFrom="paragraph">
              <wp:posOffset>237490</wp:posOffset>
            </wp:positionV>
            <wp:extent cx="5124450" cy="6350"/>
            <wp:effectExtent l="0" t="0" r="0" b="0"/>
            <wp:wrapNone/>
            <wp:docPr id="170" name="IM 170"/>
            <wp:cNvGraphicFramePr/>
            <a:graphic xmlns:a="http://schemas.openxmlformats.org/drawingml/2006/main">
              <a:graphicData uri="http://schemas.openxmlformats.org/drawingml/2006/picture">
                <pic:pic xmlns:pic="http://schemas.openxmlformats.org/drawingml/2006/picture">
                  <pic:nvPicPr>
                    <pic:cNvPr id="170" name="IM 170"/>
                    <pic:cNvPicPr/>
                  </pic:nvPicPr>
                  <pic:blipFill>
                    <a:blip r:embed="rId479"/>
                    <a:stretch>
                      <a:fillRect/>
                    </a:stretch>
                  </pic:blipFill>
                  <pic:spPr>
                    <a:xfrm>
                      <a:off x="0" y="0"/>
                      <a:ext cx="5124435" cy="6350"/>
                    </a:xfrm>
                    <a:prstGeom prst="rect">
                      <a:avLst/>
                    </a:prstGeom>
                  </pic:spPr>
                </pic:pic>
              </a:graphicData>
            </a:graphic>
          </wp:anchor>
        </w:drawing>
      </w:r>
    </w:p>
    <w:p w14:paraId="708D30A3">
      <w:pPr>
        <w:pStyle w:val="2"/>
        <w:spacing w:before="82" w:line="221" w:lineRule="auto"/>
        <w:rPr>
          <w:rFonts w:ascii="黑体" w:hAnsi="黑体" w:eastAsia="黑体" w:cs="黑体"/>
        </w:rPr>
      </w:pPr>
      <w:r>
        <w:rPr>
          <w:b/>
          <w:bCs/>
          <w:spacing w:val="-11"/>
        </w:rPr>
        <w:t>13.6</w:t>
      </w:r>
      <w:r>
        <w:rPr>
          <w:spacing w:val="10"/>
        </w:rPr>
        <w:t xml:space="preserve"> </w:t>
      </w:r>
      <w:r>
        <w:rPr>
          <w:rFonts w:ascii="黑体" w:hAnsi="黑体" w:eastAsia="黑体" w:cs="黑体"/>
          <w:b/>
          <w:bCs/>
          <w:spacing w:val="-11"/>
        </w:rPr>
        <w:t>竣工退场</w:t>
      </w:r>
    </w:p>
    <w:p w14:paraId="09157A18">
      <w:pPr>
        <w:pStyle w:val="2"/>
        <w:spacing w:before="134" w:line="219" w:lineRule="auto"/>
        <w:ind w:left="416"/>
        <w:rPr>
          <w:sz w:val="20"/>
          <w:szCs w:val="20"/>
        </w:rPr>
      </w:pPr>
      <w:r>
        <w:rPr>
          <w:spacing w:val="2"/>
          <w:sz w:val="20"/>
          <w:szCs w:val="20"/>
        </w:rPr>
        <w:t>13.6.1</w:t>
      </w:r>
      <w:r>
        <w:rPr>
          <w:spacing w:val="51"/>
          <w:sz w:val="20"/>
          <w:szCs w:val="20"/>
        </w:rPr>
        <w:t xml:space="preserve"> </w:t>
      </w:r>
      <w:r>
        <w:rPr>
          <w:spacing w:val="2"/>
          <w:sz w:val="20"/>
          <w:szCs w:val="20"/>
        </w:rPr>
        <w:t>竣工退场</w:t>
      </w:r>
    </w:p>
    <w:p w14:paraId="4D5CE7CB">
      <w:pPr>
        <w:pStyle w:val="2"/>
        <w:spacing w:before="184" w:line="219" w:lineRule="auto"/>
        <w:ind w:left="416"/>
        <w:rPr>
          <w:sz w:val="22"/>
          <w:szCs w:val="22"/>
        </w:rPr>
      </w:pPr>
      <w:r>
        <w:rPr>
          <w:spacing w:val="-8"/>
          <w:sz w:val="22"/>
          <w:szCs w:val="22"/>
        </w:rPr>
        <w:t>承包人完成竣工退场的期限：</w:t>
      </w:r>
      <w:r>
        <w:rPr>
          <w:sz w:val="22"/>
          <w:szCs w:val="22"/>
          <w:u w:val="single" w:color="auto"/>
        </w:rPr>
        <w:t xml:space="preserve">                           </w:t>
      </w:r>
    </w:p>
    <w:p w14:paraId="10DA54F3">
      <w:pPr>
        <w:spacing w:line="219" w:lineRule="auto"/>
        <w:rPr>
          <w:sz w:val="22"/>
          <w:szCs w:val="22"/>
        </w:rPr>
        <w:sectPr>
          <w:footerReference r:id="rId261" w:type="default"/>
          <w:pgSz w:w="11910" w:h="16840"/>
          <w:pgMar w:top="400" w:right="1786" w:bottom="1031" w:left="1463" w:header="0" w:footer="887" w:gutter="0"/>
          <w:cols w:space="720" w:num="1"/>
        </w:sectPr>
      </w:pPr>
    </w:p>
    <w:p w14:paraId="01037C64">
      <w:pPr>
        <w:spacing w:line="252" w:lineRule="auto"/>
        <w:rPr>
          <w:rFonts w:ascii="Arial"/>
          <w:sz w:val="21"/>
        </w:rPr>
      </w:pPr>
    </w:p>
    <w:p w14:paraId="2B522CF0">
      <w:pPr>
        <w:spacing w:line="252" w:lineRule="auto"/>
        <w:rPr>
          <w:rFonts w:ascii="Arial"/>
          <w:sz w:val="21"/>
        </w:rPr>
      </w:pPr>
    </w:p>
    <w:p w14:paraId="149DA172">
      <w:pPr>
        <w:spacing w:line="253" w:lineRule="auto"/>
        <w:rPr>
          <w:rFonts w:ascii="Arial"/>
          <w:sz w:val="21"/>
        </w:rPr>
      </w:pPr>
    </w:p>
    <w:p w14:paraId="3AAE8B33">
      <w:pPr>
        <w:spacing w:line="253" w:lineRule="auto"/>
        <w:rPr>
          <w:rFonts w:ascii="Arial"/>
          <w:sz w:val="21"/>
        </w:rPr>
      </w:pPr>
    </w:p>
    <w:p w14:paraId="64F2DC0B">
      <w:pPr>
        <w:spacing w:line="253" w:lineRule="auto"/>
        <w:rPr>
          <w:rFonts w:ascii="Arial"/>
          <w:sz w:val="21"/>
        </w:rPr>
      </w:pPr>
    </w:p>
    <w:p w14:paraId="02C46991">
      <w:pPr>
        <w:pStyle w:val="2"/>
        <w:spacing w:before="94" w:line="221" w:lineRule="auto"/>
        <w:ind w:left="4"/>
        <w:rPr>
          <w:rFonts w:ascii="黑体" w:hAnsi="黑体" w:eastAsia="黑体" w:cs="黑体"/>
          <w:sz w:val="29"/>
          <w:szCs w:val="29"/>
        </w:rPr>
      </w:pPr>
      <w:r>
        <w:rPr>
          <w:b/>
          <w:bCs/>
          <w:spacing w:val="-4"/>
          <w:sz w:val="29"/>
          <w:szCs w:val="29"/>
        </w:rPr>
        <w:t>14.</w:t>
      </w:r>
      <w:r>
        <w:rPr>
          <w:spacing w:val="-72"/>
          <w:sz w:val="29"/>
          <w:szCs w:val="29"/>
        </w:rPr>
        <w:t xml:space="preserve"> </w:t>
      </w:r>
      <w:r>
        <w:rPr>
          <w:rFonts w:ascii="黑体" w:hAnsi="黑体" w:eastAsia="黑体" w:cs="黑体"/>
          <w:b/>
          <w:bCs/>
          <w:spacing w:val="-4"/>
          <w:sz w:val="29"/>
          <w:szCs w:val="29"/>
        </w:rPr>
        <w:t>竣工结算</w:t>
      </w:r>
    </w:p>
    <w:p w14:paraId="3B7D7949">
      <w:pPr>
        <w:pStyle w:val="2"/>
        <w:spacing w:before="82" w:line="221" w:lineRule="auto"/>
        <w:ind w:left="3"/>
        <w:rPr>
          <w:rFonts w:ascii="黑体" w:hAnsi="黑体" w:eastAsia="黑体" w:cs="黑体"/>
        </w:rPr>
      </w:pPr>
      <w:r>
        <w:rPr>
          <w:b/>
          <w:bCs/>
          <w:spacing w:val="-10"/>
        </w:rPr>
        <w:t>14.1</w:t>
      </w:r>
      <w:r>
        <w:rPr>
          <w:spacing w:val="-19"/>
        </w:rPr>
        <w:t xml:space="preserve"> </w:t>
      </w:r>
      <w:r>
        <w:rPr>
          <w:rFonts w:ascii="黑体" w:hAnsi="黑体" w:eastAsia="黑体" w:cs="黑体"/>
          <w:b/>
          <w:bCs/>
          <w:spacing w:val="-10"/>
        </w:rPr>
        <w:t>竣工结算申请</w:t>
      </w:r>
    </w:p>
    <w:p w14:paraId="412F39AB">
      <w:pPr>
        <w:pStyle w:val="2"/>
        <w:spacing w:before="184" w:line="219" w:lineRule="auto"/>
        <w:ind w:left="429"/>
        <w:rPr>
          <w:rFonts w:ascii="Times New Roman" w:hAnsi="Times New Roman" w:eastAsia="Times New Roman" w:cs="Times New Roman"/>
          <w:sz w:val="20"/>
          <w:szCs w:val="20"/>
        </w:rPr>
      </w:pPr>
      <w:r>
        <w:rPr>
          <w:spacing w:val="1"/>
          <w:sz w:val="20"/>
          <w:szCs w:val="20"/>
        </w:rPr>
        <w:t>承包人提交竣工结算申请单的期限：</w:t>
      </w:r>
      <w:r>
        <w:rPr>
          <w:spacing w:val="39"/>
          <w:sz w:val="20"/>
          <w:szCs w:val="20"/>
        </w:rPr>
        <w:t xml:space="preserve"> </w:t>
      </w:r>
      <w:r>
        <w:rPr>
          <w:spacing w:val="1"/>
          <w:sz w:val="20"/>
          <w:szCs w:val="20"/>
          <w:u w:val="single" w:color="auto"/>
        </w:rPr>
        <w:t xml:space="preserve">             </w:t>
      </w:r>
      <w:r>
        <w:rPr>
          <w:sz w:val="20"/>
          <w:szCs w:val="20"/>
          <w:u w:val="single" w:color="auto"/>
        </w:rPr>
        <w:t xml:space="preserve">         </w:t>
      </w:r>
      <w:r>
        <w:rPr>
          <w:sz w:val="20"/>
          <w:szCs w:val="20"/>
        </w:rPr>
        <w:t xml:space="preserve"> </w:t>
      </w:r>
      <w:r>
        <w:rPr>
          <w:rFonts w:ascii="Times New Roman" w:hAnsi="Times New Roman" w:eastAsia="Times New Roman" w:cs="Times New Roman"/>
          <w:sz w:val="20"/>
          <w:szCs w:val="20"/>
        </w:rPr>
        <w:t>C</w:t>
      </w:r>
    </w:p>
    <w:p w14:paraId="724D9109">
      <w:pPr>
        <w:pStyle w:val="2"/>
        <w:spacing w:before="112" w:line="219" w:lineRule="auto"/>
        <w:ind w:left="429"/>
        <w:rPr>
          <w:sz w:val="20"/>
          <w:szCs w:val="20"/>
        </w:rPr>
      </w:pPr>
      <w:r>
        <w:rPr>
          <w:spacing w:val="6"/>
          <w:sz w:val="20"/>
          <w:szCs w:val="20"/>
        </w:rPr>
        <w:t>竣工结算申请单应包括的内容：</w:t>
      </w:r>
    </w:p>
    <w:p w14:paraId="7B0D1085">
      <w:pPr>
        <w:spacing w:line="265" w:lineRule="auto"/>
        <w:rPr>
          <w:rFonts w:ascii="Arial"/>
          <w:sz w:val="21"/>
        </w:rPr>
      </w:pPr>
    </w:p>
    <w:p w14:paraId="2A1DC84F">
      <w:pPr>
        <w:tabs>
          <w:tab w:val="left" w:pos="8429"/>
        </w:tabs>
        <w:spacing w:before="23" w:line="142" w:lineRule="auto"/>
        <w:ind w:left="429"/>
        <w:rPr>
          <w:rFonts w:ascii="Times New Roman" w:hAnsi="Times New Roman" w:eastAsia="Times New Roman" w:cs="Times New Roman"/>
          <w:sz w:val="8"/>
          <w:szCs w:val="8"/>
        </w:rPr>
      </w:pPr>
      <w:r>
        <w:rPr>
          <w:rFonts w:ascii="Times New Roman" w:hAnsi="Times New Roman" w:eastAsia="Times New Roman" w:cs="Times New Roman"/>
          <w:sz w:val="8"/>
          <w:szCs w:val="8"/>
          <w:u w:val="single" w:color="auto"/>
        </w:rPr>
        <w:tab/>
      </w:r>
      <w:r>
        <w:rPr>
          <w:rFonts w:ascii="Times New Roman" w:hAnsi="Times New Roman" w:eastAsia="Times New Roman" w:cs="Times New Roman"/>
          <w:spacing w:val="1"/>
          <w:sz w:val="8"/>
          <w:szCs w:val="8"/>
          <w:u w:val="dotted" w:color="auto"/>
        </w:rPr>
        <w:t xml:space="preserve">  </w:t>
      </w:r>
      <w:r>
        <w:rPr>
          <w:rFonts w:ascii="Times New Roman" w:hAnsi="Times New Roman" w:eastAsia="Times New Roman" w:cs="Times New Roman"/>
          <w:spacing w:val="-19"/>
          <w:sz w:val="8"/>
          <w:szCs w:val="8"/>
        </w:rPr>
        <w:t xml:space="preserve"> </w:t>
      </w:r>
      <w:r>
        <w:rPr>
          <w:rFonts w:ascii="Times New Roman" w:hAnsi="Times New Roman" w:eastAsia="Times New Roman" w:cs="Times New Roman"/>
          <w:sz w:val="8"/>
          <w:szCs w:val="8"/>
        </w:rPr>
        <w:t>o</w:t>
      </w:r>
    </w:p>
    <w:p w14:paraId="33DC2277">
      <w:pPr>
        <w:pStyle w:val="2"/>
        <w:spacing w:before="184" w:line="221" w:lineRule="auto"/>
        <w:ind w:left="3"/>
        <w:rPr>
          <w:rFonts w:ascii="黑体" w:hAnsi="黑体" w:eastAsia="黑体" w:cs="黑体"/>
        </w:rPr>
      </w:pPr>
      <w:r>
        <w:rPr>
          <w:b/>
          <w:bCs/>
          <w:spacing w:val="-11"/>
        </w:rPr>
        <w:t>14.2</w:t>
      </w:r>
      <w:r>
        <w:rPr>
          <w:spacing w:val="-11"/>
        </w:rPr>
        <w:t xml:space="preserve"> </w:t>
      </w:r>
      <w:r>
        <w:rPr>
          <w:rFonts w:ascii="黑体" w:hAnsi="黑体" w:eastAsia="黑体" w:cs="黑体"/>
          <w:b/>
          <w:bCs/>
          <w:spacing w:val="-11"/>
        </w:rPr>
        <w:t>竣工结算审核</w:t>
      </w:r>
    </w:p>
    <w:sdt>
      <w:sdtPr>
        <w:rPr>
          <w:rFonts w:ascii="宋体" w:hAnsi="宋体" w:eastAsia="宋体" w:cs="宋体"/>
          <w:sz w:val="20"/>
          <w:szCs w:val="20"/>
        </w:rPr>
        <w:id w:val="147477845"/>
        <w:docPartObj>
          <w:docPartGallery w:val="Table of Contents"/>
          <w:docPartUnique/>
        </w:docPartObj>
      </w:sdtPr>
      <w:sdtEndPr>
        <w:rPr>
          <w:rFonts w:ascii="宋体" w:hAnsi="宋体" w:eastAsia="宋体" w:cs="宋体"/>
          <w:sz w:val="20"/>
          <w:szCs w:val="20"/>
        </w:rPr>
      </w:sdtEndPr>
      <w:sdtContent>
        <w:p w14:paraId="2C828EB0">
          <w:pPr>
            <w:pStyle w:val="2"/>
            <w:spacing w:before="167" w:line="213" w:lineRule="auto"/>
            <w:ind w:left="429"/>
            <w:rPr>
              <w:sz w:val="20"/>
              <w:szCs w:val="20"/>
            </w:rPr>
          </w:pPr>
          <w:r>
            <w:rPr>
              <w:spacing w:val="1"/>
              <w:sz w:val="20"/>
              <w:szCs w:val="20"/>
            </w:rPr>
            <w:t>发包人审批竣工付款申请单的期限：</w:t>
          </w:r>
          <w:r>
            <w:rPr>
              <w:spacing w:val="41"/>
              <w:sz w:val="20"/>
              <w:szCs w:val="20"/>
            </w:rPr>
            <w:t xml:space="preserve"> </w:t>
          </w:r>
          <w:r>
            <w:rPr>
              <w:sz w:val="20"/>
              <w:szCs w:val="20"/>
              <w:u w:val="single" w:color="auto"/>
            </w:rPr>
            <w:t xml:space="preserve">                       </w:t>
          </w:r>
          <w:r>
            <w:rPr>
              <w:spacing w:val="-70"/>
              <w:sz w:val="20"/>
              <w:szCs w:val="20"/>
            </w:rPr>
            <w:t xml:space="preserve"> </w:t>
          </w:r>
          <w:r>
            <w:rPr>
              <w:spacing w:val="1"/>
              <w:sz w:val="20"/>
              <w:szCs w:val="20"/>
            </w:rPr>
            <w:t>_。</w:t>
          </w:r>
        </w:p>
        <w:p w14:paraId="286A805F">
          <w:pPr>
            <w:pStyle w:val="2"/>
            <w:spacing w:before="167" w:line="219" w:lineRule="auto"/>
            <w:ind w:left="429"/>
            <w:rPr>
              <w:sz w:val="20"/>
              <w:szCs w:val="20"/>
            </w:rPr>
          </w:pPr>
          <w:r>
            <w:rPr>
              <w:spacing w:val="-3"/>
              <w:sz w:val="20"/>
              <w:szCs w:val="20"/>
            </w:rPr>
            <w:t>发包人完成竣工付款的期限：</w:t>
          </w:r>
          <w:r>
            <w:rPr>
              <w:spacing w:val="44"/>
              <w:sz w:val="20"/>
              <w:szCs w:val="20"/>
            </w:rPr>
            <w:t xml:space="preserve"> </w:t>
          </w:r>
          <w:r>
            <w:rPr>
              <w:spacing w:val="-3"/>
              <w:sz w:val="20"/>
              <w:szCs w:val="20"/>
              <w:u w:val="single" w:color="auto"/>
            </w:rPr>
            <w:t xml:space="preserve">                              </w:t>
          </w:r>
          <w:r>
            <w:rPr>
              <w:spacing w:val="-3"/>
              <w:sz w:val="20"/>
              <w:szCs w:val="20"/>
            </w:rPr>
            <w:t>-</w:t>
          </w:r>
          <w:r>
            <w:fldChar w:fldCharType="begin"/>
          </w:r>
          <w:r>
            <w:instrText xml:space="preserve"> HYPERLINK \l "bookmark309" </w:instrText>
          </w:r>
          <w:r>
            <w:fldChar w:fldCharType="separate"/>
          </w:r>
          <w:r>
            <w:rPr>
              <w:spacing w:val="-3"/>
              <w:sz w:val="20"/>
              <w:szCs w:val="20"/>
            </w:rPr>
            <w:t>0</w:t>
          </w:r>
          <w:r>
            <w:rPr>
              <w:spacing w:val="-3"/>
              <w:sz w:val="20"/>
              <w:szCs w:val="20"/>
            </w:rPr>
            <w:fldChar w:fldCharType="end"/>
          </w:r>
        </w:p>
      </w:sdtContent>
    </w:sdt>
    <w:p w14:paraId="0EF02603">
      <w:pPr>
        <w:pStyle w:val="2"/>
        <w:spacing w:before="151" w:line="219" w:lineRule="auto"/>
        <w:ind w:left="429"/>
        <w:rPr>
          <w:sz w:val="20"/>
          <w:szCs w:val="20"/>
        </w:rPr>
      </w:pPr>
      <w:r>
        <w:rPr>
          <w:spacing w:val="7"/>
          <w:sz w:val="20"/>
          <w:szCs w:val="20"/>
        </w:rPr>
        <w:t>关于竣工付款证书异议部分复核的方式和程序：</w:t>
      </w:r>
    </w:p>
    <w:p w14:paraId="0450FC4F">
      <w:pPr>
        <w:spacing w:line="247" w:lineRule="auto"/>
        <w:rPr>
          <w:rFonts w:ascii="Arial"/>
          <w:sz w:val="21"/>
        </w:rPr>
      </w:pPr>
    </w:p>
    <w:p w14:paraId="749CA929">
      <w:pPr>
        <w:tabs>
          <w:tab w:val="left" w:pos="8429"/>
        </w:tabs>
        <w:spacing w:before="23" w:line="142" w:lineRule="auto"/>
        <w:ind w:left="429"/>
        <w:rPr>
          <w:rFonts w:ascii="Times New Roman" w:hAnsi="Times New Roman" w:eastAsia="Times New Roman" w:cs="Times New Roman"/>
          <w:sz w:val="8"/>
          <w:szCs w:val="8"/>
        </w:rPr>
      </w:pPr>
      <w:r>
        <w:rPr>
          <w:rFonts w:ascii="Times New Roman" w:hAnsi="Times New Roman" w:eastAsia="Times New Roman" w:cs="Times New Roman"/>
          <w:sz w:val="8"/>
          <w:szCs w:val="8"/>
          <w:u w:val="single" w:color="auto"/>
        </w:rPr>
        <w:tab/>
      </w:r>
      <w:r>
        <w:rPr>
          <w:rFonts w:ascii="Times New Roman" w:hAnsi="Times New Roman" w:eastAsia="Times New Roman" w:cs="Times New Roman"/>
          <w:spacing w:val="1"/>
          <w:sz w:val="8"/>
          <w:szCs w:val="8"/>
          <w:u w:val="dotted" w:color="auto"/>
        </w:rPr>
        <w:t xml:space="preserve">  </w:t>
      </w:r>
      <w:r>
        <w:rPr>
          <w:rFonts w:ascii="Times New Roman" w:hAnsi="Times New Roman" w:eastAsia="Times New Roman" w:cs="Times New Roman"/>
          <w:spacing w:val="-19"/>
          <w:sz w:val="8"/>
          <w:szCs w:val="8"/>
        </w:rPr>
        <w:t xml:space="preserve"> </w:t>
      </w:r>
      <w:r>
        <w:rPr>
          <w:rFonts w:ascii="Times New Roman" w:hAnsi="Times New Roman" w:eastAsia="Times New Roman" w:cs="Times New Roman"/>
          <w:sz w:val="8"/>
          <w:szCs w:val="8"/>
        </w:rPr>
        <w:t>o</w:t>
      </w:r>
    </w:p>
    <w:p w14:paraId="594CE79C">
      <w:pPr>
        <w:pStyle w:val="2"/>
        <w:spacing w:before="178" w:line="223" w:lineRule="auto"/>
        <w:ind w:left="3"/>
        <w:rPr>
          <w:rFonts w:ascii="黑体" w:hAnsi="黑体" w:eastAsia="黑体" w:cs="黑体"/>
        </w:rPr>
      </w:pPr>
      <w:r>
        <w:rPr>
          <w:b/>
          <w:bCs/>
          <w:spacing w:val="-10"/>
        </w:rPr>
        <w:t>14.4</w:t>
      </w:r>
      <w:r>
        <w:rPr>
          <w:spacing w:val="-10"/>
        </w:rPr>
        <w:t xml:space="preserve"> </w:t>
      </w:r>
      <w:r>
        <w:rPr>
          <w:rFonts w:ascii="黑体" w:hAnsi="黑体" w:eastAsia="黑体" w:cs="黑体"/>
          <w:b/>
          <w:bCs/>
          <w:spacing w:val="-10"/>
        </w:rPr>
        <w:t>最终结清</w:t>
      </w:r>
    </w:p>
    <w:p w14:paraId="50E88C45">
      <w:pPr>
        <w:pStyle w:val="2"/>
        <w:spacing w:before="159" w:line="219" w:lineRule="auto"/>
        <w:ind w:left="429"/>
        <w:rPr>
          <w:sz w:val="20"/>
          <w:szCs w:val="20"/>
        </w:rPr>
      </w:pPr>
      <w:r>
        <w:rPr>
          <w:spacing w:val="4"/>
          <w:sz w:val="20"/>
          <w:szCs w:val="20"/>
        </w:rPr>
        <w:t>14.4.1</w:t>
      </w:r>
      <w:r>
        <w:rPr>
          <w:spacing w:val="45"/>
          <w:sz w:val="20"/>
          <w:szCs w:val="20"/>
        </w:rPr>
        <w:t xml:space="preserve"> </w:t>
      </w:r>
      <w:r>
        <w:rPr>
          <w:spacing w:val="4"/>
          <w:sz w:val="20"/>
          <w:szCs w:val="20"/>
        </w:rPr>
        <w:t>最终结清申请单</w:t>
      </w:r>
    </w:p>
    <w:p w14:paraId="03E3473D">
      <w:pPr>
        <w:pStyle w:val="2"/>
        <w:spacing w:before="242" w:line="219" w:lineRule="auto"/>
        <w:ind w:left="429"/>
        <w:rPr>
          <w:rFonts w:ascii="Arial" w:hAnsi="Arial" w:eastAsia="Arial" w:cs="Arial"/>
          <w:sz w:val="20"/>
          <w:szCs w:val="20"/>
        </w:rPr>
      </w:pPr>
      <w:r>
        <w:rPr>
          <w:spacing w:val="1"/>
          <w:sz w:val="20"/>
          <w:szCs w:val="20"/>
        </w:rPr>
        <w:t>承包人提交最终结清申请单的份数：</w:t>
      </w:r>
      <w:r>
        <w:rPr>
          <w:spacing w:val="42"/>
          <w:sz w:val="20"/>
          <w:szCs w:val="20"/>
        </w:rPr>
        <w:t xml:space="preserve"> </w:t>
      </w:r>
      <w:r>
        <w:rPr>
          <w:sz w:val="20"/>
          <w:szCs w:val="20"/>
          <w:u w:val="single" w:color="auto"/>
        </w:rPr>
        <w:t xml:space="preserve">                       </w:t>
      </w:r>
      <w:r>
        <w:rPr>
          <w:spacing w:val="-91"/>
          <w:sz w:val="20"/>
          <w:szCs w:val="20"/>
        </w:rPr>
        <w:t xml:space="preserve"> </w:t>
      </w:r>
      <w:r>
        <w:rPr>
          <w:rFonts w:ascii="Arial" w:hAnsi="Arial" w:eastAsia="Arial" w:cs="Arial"/>
          <w:spacing w:val="1"/>
          <w:sz w:val="20"/>
          <w:szCs w:val="20"/>
        </w:rPr>
        <w:t>o</w:t>
      </w:r>
    </w:p>
    <w:p w14:paraId="3A01C8D6">
      <w:pPr>
        <w:pStyle w:val="2"/>
        <w:spacing w:before="73" w:line="219" w:lineRule="auto"/>
        <w:ind w:left="429"/>
        <w:rPr>
          <w:sz w:val="20"/>
          <w:szCs w:val="20"/>
        </w:rPr>
      </w:pPr>
      <w:r>
        <w:rPr>
          <w:sz w:val="20"/>
          <w:szCs w:val="20"/>
        </w:rPr>
        <w:t>承包人提交最终结算申请单的期限：</w:t>
      </w:r>
      <w:r>
        <w:rPr>
          <w:spacing w:val="59"/>
          <w:sz w:val="20"/>
          <w:szCs w:val="20"/>
        </w:rPr>
        <w:t xml:space="preserve"> </w:t>
      </w:r>
      <w:r>
        <w:rPr>
          <w:sz w:val="20"/>
          <w:szCs w:val="20"/>
          <w:u w:val="single" w:color="auto"/>
        </w:rPr>
        <w:t xml:space="preserve">                        </w:t>
      </w:r>
    </w:p>
    <w:p w14:paraId="5502A56E">
      <w:pPr>
        <w:pStyle w:val="2"/>
        <w:spacing w:before="182" w:line="219" w:lineRule="auto"/>
        <w:ind w:left="429"/>
        <w:rPr>
          <w:sz w:val="20"/>
          <w:szCs w:val="20"/>
        </w:rPr>
      </w:pPr>
      <w:r>
        <w:rPr>
          <w:spacing w:val="3"/>
          <w:sz w:val="20"/>
          <w:szCs w:val="20"/>
        </w:rPr>
        <w:t>14.4.2</w:t>
      </w:r>
      <w:r>
        <w:rPr>
          <w:spacing w:val="52"/>
          <w:sz w:val="20"/>
          <w:szCs w:val="20"/>
        </w:rPr>
        <w:t xml:space="preserve"> </w:t>
      </w:r>
      <w:r>
        <w:rPr>
          <w:spacing w:val="3"/>
          <w:sz w:val="20"/>
          <w:szCs w:val="20"/>
        </w:rPr>
        <w:t>最终结清证书和支付</w:t>
      </w:r>
    </w:p>
    <w:p w14:paraId="49ED624C">
      <w:pPr>
        <w:pStyle w:val="2"/>
        <w:spacing w:before="142" w:line="219" w:lineRule="auto"/>
        <w:ind w:left="519"/>
        <w:rPr>
          <w:sz w:val="20"/>
          <w:szCs w:val="20"/>
        </w:rPr>
      </w:pPr>
      <w:r>
        <w:rPr>
          <w:spacing w:val="12"/>
          <w:sz w:val="20"/>
          <w:szCs w:val="20"/>
        </w:rPr>
        <w:t>(1)发包人完成最终结清申请单的审批并颁发最终结清证书的</w:t>
      </w:r>
      <w:r>
        <w:rPr>
          <w:spacing w:val="11"/>
          <w:sz w:val="20"/>
          <w:szCs w:val="20"/>
        </w:rPr>
        <w:t>期限：</w:t>
      </w:r>
    </w:p>
    <w:p w14:paraId="7785CF79">
      <w:pPr>
        <w:pStyle w:val="2"/>
        <w:tabs>
          <w:tab w:val="left" w:pos="8429"/>
        </w:tabs>
        <w:spacing w:before="267" w:line="237" w:lineRule="auto"/>
        <w:ind w:left="429"/>
        <w:rPr>
          <w:sz w:val="8"/>
          <w:szCs w:val="8"/>
        </w:rPr>
      </w:pPr>
      <w:r>
        <w:rPr>
          <w:sz w:val="8"/>
          <w:szCs w:val="8"/>
          <w:u w:val="single" w:color="auto"/>
        </w:rPr>
        <w:tab/>
      </w:r>
      <w:r>
        <w:rPr>
          <w:sz w:val="8"/>
          <w:szCs w:val="8"/>
        </w:rPr>
        <w:t>◎</w:t>
      </w:r>
    </w:p>
    <w:p w14:paraId="71C7C9AB">
      <w:pPr>
        <w:pStyle w:val="2"/>
        <w:spacing w:before="205" w:line="219" w:lineRule="auto"/>
        <w:ind w:left="519"/>
        <w:rPr>
          <w:sz w:val="20"/>
          <w:szCs w:val="20"/>
        </w:rPr>
      </w:pPr>
      <w:r>
        <w:rPr>
          <w:spacing w:val="12"/>
          <w:sz w:val="20"/>
          <w:szCs w:val="20"/>
        </w:rPr>
        <w:t>(2)发包人完成支付的期限：</w:t>
      </w:r>
    </w:p>
    <w:p w14:paraId="1AFEC341">
      <w:pPr>
        <w:spacing w:line="245" w:lineRule="auto"/>
        <w:rPr>
          <w:rFonts w:ascii="Arial"/>
          <w:sz w:val="21"/>
        </w:rPr>
      </w:pPr>
    </w:p>
    <w:p w14:paraId="3543181C">
      <w:pPr>
        <w:tabs>
          <w:tab w:val="left" w:pos="8429"/>
        </w:tabs>
        <w:spacing w:before="23" w:line="142" w:lineRule="auto"/>
        <w:ind w:left="429"/>
        <w:rPr>
          <w:rFonts w:ascii="Times New Roman" w:hAnsi="Times New Roman" w:eastAsia="Times New Roman" w:cs="Times New Roman"/>
          <w:sz w:val="8"/>
          <w:szCs w:val="8"/>
        </w:rPr>
      </w:pPr>
      <w:r>
        <w:rPr>
          <w:rFonts w:ascii="Times New Roman" w:hAnsi="Times New Roman" w:eastAsia="Times New Roman" w:cs="Times New Roman"/>
          <w:sz w:val="8"/>
          <w:szCs w:val="8"/>
          <w:u w:val="single" w:color="auto"/>
        </w:rPr>
        <w:tab/>
      </w:r>
      <w:r>
        <w:rPr>
          <w:rFonts w:ascii="Times New Roman" w:hAnsi="Times New Roman" w:eastAsia="Times New Roman" w:cs="Times New Roman"/>
          <w:spacing w:val="1"/>
          <w:sz w:val="8"/>
          <w:szCs w:val="8"/>
          <w:u w:val="dotted" w:color="auto"/>
        </w:rPr>
        <w:t xml:space="preserve">  </w:t>
      </w:r>
      <w:r>
        <w:rPr>
          <w:rFonts w:ascii="Times New Roman" w:hAnsi="Times New Roman" w:eastAsia="Times New Roman" w:cs="Times New Roman"/>
          <w:spacing w:val="-19"/>
          <w:sz w:val="8"/>
          <w:szCs w:val="8"/>
        </w:rPr>
        <w:t xml:space="preserve"> </w:t>
      </w:r>
      <w:r>
        <w:rPr>
          <w:rFonts w:ascii="Times New Roman" w:hAnsi="Times New Roman" w:eastAsia="Times New Roman" w:cs="Times New Roman"/>
          <w:sz w:val="8"/>
          <w:szCs w:val="8"/>
        </w:rPr>
        <w:t>o</w:t>
      </w:r>
    </w:p>
    <w:p w14:paraId="18D9FCF9">
      <w:pPr>
        <w:pStyle w:val="2"/>
        <w:spacing w:before="265" w:line="221" w:lineRule="auto"/>
        <w:ind w:left="4"/>
        <w:rPr>
          <w:rFonts w:ascii="黑体" w:hAnsi="黑体" w:eastAsia="黑体" w:cs="黑体"/>
          <w:sz w:val="29"/>
          <w:szCs w:val="29"/>
        </w:rPr>
      </w:pPr>
      <w:r>
        <w:rPr>
          <w:b/>
          <w:bCs/>
          <w:spacing w:val="-3"/>
          <w:sz w:val="29"/>
          <w:szCs w:val="29"/>
        </w:rPr>
        <w:t>15.</w:t>
      </w:r>
      <w:r>
        <w:rPr>
          <w:rFonts w:ascii="黑体" w:hAnsi="黑体" w:eastAsia="黑体" w:cs="黑体"/>
          <w:b/>
          <w:bCs/>
          <w:spacing w:val="-3"/>
          <w:sz w:val="29"/>
          <w:szCs w:val="29"/>
        </w:rPr>
        <w:t>缺陷责任期与保修</w:t>
      </w:r>
    </w:p>
    <w:p w14:paraId="604D9222">
      <w:pPr>
        <w:spacing w:before="72" w:line="221" w:lineRule="auto"/>
        <w:ind w:left="3"/>
        <w:rPr>
          <w:rFonts w:ascii="黑体" w:hAnsi="黑体" w:eastAsia="黑体" w:cs="黑体"/>
          <w:sz w:val="25"/>
          <w:szCs w:val="25"/>
        </w:rPr>
      </w:pPr>
      <w:r>
        <w:rPr>
          <w:rFonts w:ascii="黑体" w:hAnsi="黑体" w:eastAsia="黑体" w:cs="黑体"/>
          <w:b/>
          <w:bCs/>
          <w:spacing w:val="-3"/>
          <w:sz w:val="25"/>
          <w:szCs w:val="25"/>
        </w:rPr>
        <w:t>15.2缺陷责任期</w:t>
      </w:r>
    </w:p>
    <w:p w14:paraId="4B0D82AF">
      <w:pPr>
        <w:pStyle w:val="2"/>
        <w:spacing w:before="145" w:line="219" w:lineRule="auto"/>
        <w:ind w:left="429"/>
        <w:rPr>
          <w:sz w:val="20"/>
          <w:szCs w:val="20"/>
        </w:rPr>
      </w:pPr>
      <w:r>
        <w:rPr>
          <w:spacing w:val="5"/>
          <w:sz w:val="20"/>
          <w:szCs w:val="20"/>
        </w:rPr>
        <w:t>缺陷责任期的具体期限：</w:t>
      </w:r>
    </w:p>
    <w:p w14:paraId="08A96D0D">
      <w:pPr>
        <w:spacing w:line="265" w:lineRule="auto"/>
        <w:rPr>
          <w:rFonts w:ascii="Arial"/>
          <w:sz w:val="21"/>
        </w:rPr>
      </w:pPr>
    </w:p>
    <w:p w14:paraId="3EA8C003">
      <w:pPr>
        <w:tabs>
          <w:tab w:val="left" w:pos="8429"/>
        </w:tabs>
        <w:spacing w:before="24" w:line="142" w:lineRule="auto"/>
        <w:ind w:left="429"/>
        <w:rPr>
          <w:rFonts w:ascii="Times New Roman" w:hAnsi="Times New Roman" w:eastAsia="Times New Roman" w:cs="Times New Roman"/>
          <w:sz w:val="8"/>
          <w:szCs w:val="8"/>
        </w:rPr>
      </w:pPr>
      <w:r>
        <w:rPr>
          <w:rFonts w:ascii="Times New Roman" w:hAnsi="Times New Roman" w:eastAsia="Times New Roman" w:cs="Times New Roman"/>
          <w:sz w:val="8"/>
          <w:szCs w:val="8"/>
          <w:u w:val="single" w:color="auto"/>
        </w:rPr>
        <w:tab/>
      </w:r>
      <w:r>
        <w:rPr>
          <w:rFonts w:ascii="Times New Roman" w:hAnsi="Times New Roman" w:eastAsia="Times New Roman" w:cs="Times New Roman"/>
          <w:spacing w:val="1"/>
          <w:sz w:val="8"/>
          <w:szCs w:val="8"/>
          <w:u w:val="dotted" w:color="auto"/>
        </w:rPr>
        <w:t xml:space="preserve">  </w:t>
      </w:r>
      <w:r>
        <w:rPr>
          <w:rFonts w:ascii="Times New Roman" w:hAnsi="Times New Roman" w:eastAsia="Times New Roman" w:cs="Times New Roman"/>
          <w:spacing w:val="-19"/>
          <w:sz w:val="8"/>
          <w:szCs w:val="8"/>
        </w:rPr>
        <w:t xml:space="preserve"> </w:t>
      </w:r>
      <w:r>
        <w:rPr>
          <w:rFonts w:ascii="Times New Roman" w:hAnsi="Times New Roman" w:eastAsia="Times New Roman" w:cs="Times New Roman"/>
          <w:sz w:val="8"/>
          <w:szCs w:val="8"/>
        </w:rPr>
        <w:t>o</w:t>
      </w:r>
    </w:p>
    <w:p w14:paraId="3B7EFB15">
      <w:pPr>
        <w:pStyle w:val="2"/>
        <w:spacing w:before="176" w:line="222" w:lineRule="auto"/>
        <w:ind w:left="3"/>
        <w:rPr>
          <w:rFonts w:ascii="黑体" w:hAnsi="黑体" w:eastAsia="黑体" w:cs="黑体"/>
        </w:rPr>
      </w:pPr>
      <w:r>
        <w:rPr>
          <w:b/>
          <w:bCs/>
          <w:spacing w:val="-11"/>
        </w:rPr>
        <w:t>15.3</w:t>
      </w:r>
      <w:r>
        <w:rPr>
          <w:spacing w:val="-11"/>
        </w:rPr>
        <w:t xml:space="preserve"> </w:t>
      </w:r>
      <w:r>
        <w:rPr>
          <w:rFonts w:ascii="黑体" w:hAnsi="黑体" w:eastAsia="黑体" w:cs="黑体"/>
          <w:b/>
          <w:bCs/>
          <w:spacing w:val="-11"/>
        </w:rPr>
        <w:t>质量保证金</w:t>
      </w:r>
    </w:p>
    <w:p w14:paraId="46B84376">
      <w:pPr>
        <w:pStyle w:val="2"/>
        <w:spacing w:before="142" w:line="220" w:lineRule="auto"/>
        <w:ind w:left="429"/>
        <w:rPr>
          <w:sz w:val="20"/>
          <w:szCs w:val="20"/>
        </w:rPr>
      </w:pPr>
      <w:r>
        <w:rPr>
          <w:spacing w:val="6"/>
          <w:sz w:val="20"/>
          <w:szCs w:val="20"/>
        </w:rPr>
        <w:t>关于是否扣留质量保证金的约定：</w:t>
      </w:r>
    </w:p>
    <w:p w14:paraId="23EEC38E">
      <w:pPr>
        <w:spacing w:line="263" w:lineRule="auto"/>
        <w:rPr>
          <w:rFonts w:ascii="Arial"/>
          <w:sz w:val="21"/>
        </w:rPr>
      </w:pPr>
    </w:p>
    <w:p w14:paraId="14FCEA50">
      <w:pPr>
        <w:tabs>
          <w:tab w:val="left" w:pos="8429"/>
        </w:tabs>
        <w:spacing w:before="23" w:line="142" w:lineRule="auto"/>
        <w:ind w:left="429"/>
        <w:rPr>
          <w:rFonts w:ascii="Times New Roman" w:hAnsi="Times New Roman" w:eastAsia="Times New Roman" w:cs="Times New Roman"/>
          <w:sz w:val="8"/>
          <w:szCs w:val="8"/>
        </w:rPr>
      </w:pPr>
      <w:r>
        <w:rPr>
          <w:rFonts w:ascii="Times New Roman" w:hAnsi="Times New Roman" w:eastAsia="Times New Roman" w:cs="Times New Roman"/>
          <w:sz w:val="8"/>
          <w:szCs w:val="8"/>
          <w:u w:val="single" w:color="auto"/>
        </w:rPr>
        <w:tab/>
      </w:r>
      <w:r>
        <w:rPr>
          <w:rFonts w:ascii="Times New Roman" w:hAnsi="Times New Roman" w:eastAsia="Times New Roman" w:cs="Times New Roman"/>
          <w:spacing w:val="1"/>
          <w:sz w:val="8"/>
          <w:szCs w:val="8"/>
          <w:u w:val="dotted" w:color="auto"/>
        </w:rPr>
        <w:t xml:space="preserve">  </w:t>
      </w:r>
      <w:r>
        <w:rPr>
          <w:rFonts w:ascii="Times New Roman" w:hAnsi="Times New Roman" w:eastAsia="Times New Roman" w:cs="Times New Roman"/>
          <w:spacing w:val="-19"/>
          <w:sz w:val="8"/>
          <w:szCs w:val="8"/>
        </w:rPr>
        <w:t xml:space="preserve"> </w:t>
      </w:r>
      <w:r>
        <w:rPr>
          <w:rFonts w:ascii="Times New Roman" w:hAnsi="Times New Roman" w:eastAsia="Times New Roman" w:cs="Times New Roman"/>
          <w:sz w:val="8"/>
          <w:szCs w:val="8"/>
        </w:rPr>
        <w:t>o</w:t>
      </w:r>
    </w:p>
    <w:p w14:paraId="3D883204">
      <w:pPr>
        <w:pStyle w:val="2"/>
        <w:spacing w:before="217" w:line="379" w:lineRule="auto"/>
        <w:ind w:firstLine="429"/>
        <w:rPr>
          <w:sz w:val="20"/>
          <w:szCs w:val="20"/>
        </w:rPr>
      </w:pPr>
      <w:r>
        <w:rPr>
          <w:spacing w:val="14"/>
          <w:sz w:val="20"/>
          <w:szCs w:val="20"/>
        </w:rPr>
        <w:t>在工程项目竣工前，承包人按专用合同条款第3.7条提供履约担保的，发包人不得同时预留</w:t>
      </w:r>
      <w:r>
        <w:rPr>
          <w:spacing w:val="2"/>
          <w:sz w:val="20"/>
          <w:szCs w:val="20"/>
        </w:rPr>
        <w:t xml:space="preserve"> </w:t>
      </w:r>
      <w:r>
        <w:rPr>
          <w:spacing w:val="6"/>
          <w:sz w:val="20"/>
          <w:szCs w:val="20"/>
        </w:rPr>
        <w:t>工程质量保证金。</w:t>
      </w:r>
    </w:p>
    <w:p w14:paraId="143902F0">
      <w:pPr>
        <w:pStyle w:val="2"/>
        <w:spacing w:line="218" w:lineRule="auto"/>
        <w:ind w:left="429"/>
        <w:rPr>
          <w:sz w:val="20"/>
          <w:szCs w:val="20"/>
        </w:rPr>
      </w:pPr>
      <w:r>
        <w:rPr>
          <w:spacing w:val="6"/>
          <w:sz w:val="20"/>
          <w:szCs w:val="20"/>
        </w:rPr>
        <w:t>15.3.1</w:t>
      </w:r>
      <w:r>
        <w:rPr>
          <w:spacing w:val="52"/>
          <w:sz w:val="20"/>
          <w:szCs w:val="20"/>
        </w:rPr>
        <w:t xml:space="preserve"> </w:t>
      </w:r>
      <w:r>
        <w:rPr>
          <w:spacing w:val="6"/>
          <w:sz w:val="20"/>
          <w:szCs w:val="20"/>
        </w:rPr>
        <w:t>承包人提供质量保证金的方式</w:t>
      </w:r>
    </w:p>
    <w:p w14:paraId="39CC40EF">
      <w:pPr>
        <w:pStyle w:val="2"/>
        <w:spacing w:before="153" w:line="219" w:lineRule="auto"/>
        <w:ind w:left="429"/>
        <w:rPr>
          <w:sz w:val="20"/>
          <w:szCs w:val="20"/>
        </w:rPr>
      </w:pPr>
      <w:r>
        <w:rPr>
          <w:spacing w:val="-2"/>
          <w:sz w:val="20"/>
          <w:szCs w:val="20"/>
        </w:rPr>
        <w:t>质量保证金采用以下第</w:t>
      </w:r>
      <w:r>
        <w:rPr>
          <w:spacing w:val="7"/>
          <w:sz w:val="20"/>
          <w:szCs w:val="20"/>
          <w:u w:val="single" w:color="auto"/>
        </w:rPr>
        <w:t xml:space="preserve">        </w:t>
      </w:r>
      <w:r>
        <w:rPr>
          <w:spacing w:val="-2"/>
          <w:sz w:val="20"/>
          <w:szCs w:val="20"/>
        </w:rPr>
        <w:t>种方式：</w:t>
      </w:r>
    </w:p>
    <w:p w14:paraId="2429F4F8">
      <w:pPr>
        <w:pStyle w:val="2"/>
        <w:spacing w:before="164" w:line="219" w:lineRule="auto"/>
        <w:ind w:left="519"/>
        <w:rPr>
          <w:sz w:val="11"/>
          <w:szCs w:val="11"/>
        </w:rPr>
      </w:pPr>
      <w:r>
        <w:rPr>
          <w:spacing w:val="5"/>
          <w:sz w:val="20"/>
          <w:szCs w:val="20"/>
        </w:rPr>
        <w:t>(1)质量保证金保函，保证金额为：</w:t>
      </w:r>
      <w:r>
        <w:rPr>
          <w:spacing w:val="83"/>
          <w:sz w:val="20"/>
          <w:szCs w:val="20"/>
        </w:rPr>
        <w:t xml:space="preserve"> </w:t>
      </w:r>
      <w:r>
        <w:rPr>
          <w:spacing w:val="5"/>
          <w:sz w:val="20"/>
          <w:szCs w:val="20"/>
          <w:u w:val="single" w:color="auto"/>
        </w:rPr>
        <w:t xml:space="preserve">                   </w:t>
      </w:r>
      <w:r>
        <w:rPr>
          <w:spacing w:val="5"/>
          <w:sz w:val="11"/>
          <w:szCs w:val="11"/>
        </w:rPr>
        <w:t>;</w:t>
      </w:r>
    </w:p>
    <w:p w14:paraId="2C1D434A">
      <w:pPr>
        <w:pStyle w:val="2"/>
        <w:spacing w:before="173" w:line="220" w:lineRule="auto"/>
        <w:ind w:left="519"/>
        <w:rPr>
          <w:sz w:val="20"/>
          <w:szCs w:val="20"/>
        </w:rPr>
      </w:pPr>
      <w:r>
        <w:rPr>
          <w:spacing w:val="-6"/>
          <w:sz w:val="20"/>
          <w:szCs w:val="20"/>
        </w:rPr>
        <w:t>(2)</w:t>
      </w:r>
      <w:r>
        <w:rPr>
          <w:spacing w:val="87"/>
          <w:sz w:val="20"/>
          <w:szCs w:val="20"/>
        </w:rPr>
        <w:t xml:space="preserve"> </w:t>
      </w:r>
      <w:r>
        <w:rPr>
          <w:rFonts w:ascii="Times New Roman" w:hAnsi="Times New Roman" w:eastAsia="Times New Roman" w:cs="Times New Roman"/>
          <w:spacing w:val="4"/>
          <w:sz w:val="20"/>
          <w:szCs w:val="20"/>
          <w:u w:val="single" w:color="auto"/>
        </w:rPr>
        <w:t xml:space="preserve">      </w:t>
      </w:r>
      <w:r>
        <w:rPr>
          <w:rFonts w:ascii="Times New Roman" w:hAnsi="Times New Roman" w:eastAsia="Times New Roman" w:cs="Times New Roman"/>
          <w:spacing w:val="-6"/>
          <w:sz w:val="20"/>
          <w:szCs w:val="20"/>
          <w:u w:val="single" w:color="auto"/>
        </w:rPr>
        <w:t>1.5</w:t>
      </w:r>
      <w:r>
        <w:rPr>
          <w:rFonts w:ascii="Times New Roman" w:hAnsi="Times New Roman" w:eastAsia="Times New Roman" w:cs="Times New Roman"/>
          <w:spacing w:val="4"/>
          <w:sz w:val="20"/>
          <w:szCs w:val="20"/>
          <w:u w:val="single" w:color="auto"/>
        </w:rPr>
        <w:t xml:space="preserve">           </w:t>
      </w:r>
      <w:r>
        <w:rPr>
          <w:spacing w:val="-6"/>
          <w:sz w:val="20"/>
          <w:szCs w:val="20"/>
        </w:rPr>
        <w:t>%的工程款；</w:t>
      </w:r>
    </w:p>
    <w:p w14:paraId="799F3488">
      <w:pPr>
        <w:pStyle w:val="2"/>
        <w:spacing w:before="133" w:line="220" w:lineRule="auto"/>
        <w:ind w:left="519"/>
        <w:rPr>
          <w:sz w:val="21"/>
          <w:szCs w:val="21"/>
        </w:rPr>
      </w:pPr>
      <w:r>
        <w:rPr>
          <w:spacing w:val="-3"/>
          <w:sz w:val="21"/>
          <w:szCs w:val="21"/>
        </w:rPr>
        <w:t xml:space="preserve">(3)其他方式： </w:t>
      </w:r>
      <w:r>
        <w:rPr>
          <w:sz w:val="21"/>
          <w:szCs w:val="21"/>
          <w:u w:val="single" w:color="auto"/>
        </w:rPr>
        <w:t xml:space="preserve">                                       </w:t>
      </w:r>
    </w:p>
    <w:p w14:paraId="7DD22D22">
      <w:pPr>
        <w:spacing w:line="220" w:lineRule="auto"/>
        <w:rPr>
          <w:sz w:val="21"/>
          <w:szCs w:val="21"/>
        </w:rPr>
        <w:sectPr>
          <w:footerReference r:id="rId262" w:type="default"/>
          <w:pgSz w:w="11910" w:h="16840"/>
          <w:pgMar w:top="400" w:right="1542" w:bottom="1024" w:left="1460" w:header="0" w:footer="889" w:gutter="0"/>
          <w:cols w:space="720" w:num="1"/>
        </w:sectPr>
      </w:pPr>
    </w:p>
    <w:p w14:paraId="27EADDF9">
      <w:pPr>
        <w:spacing w:line="273" w:lineRule="auto"/>
        <w:rPr>
          <w:rFonts w:ascii="Arial"/>
          <w:sz w:val="21"/>
        </w:rPr>
      </w:pPr>
    </w:p>
    <w:p w14:paraId="2702CED0">
      <w:pPr>
        <w:spacing w:line="273" w:lineRule="auto"/>
        <w:rPr>
          <w:rFonts w:ascii="Arial"/>
          <w:sz w:val="21"/>
        </w:rPr>
      </w:pPr>
    </w:p>
    <w:p w14:paraId="07D0FB72">
      <w:pPr>
        <w:spacing w:line="273" w:lineRule="auto"/>
        <w:rPr>
          <w:rFonts w:ascii="Arial"/>
          <w:sz w:val="21"/>
        </w:rPr>
      </w:pPr>
    </w:p>
    <w:p w14:paraId="19944862">
      <w:pPr>
        <w:spacing w:line="273" w:lineRule="auto"/>
        <w:rPr>
          <w:rFonts w:ascii="Arial"/>
          <w:sz w:val="21"/>
        </w:rPr>
      </w:pPr>
    </w:p>
    <w:p w14:paraId="2F5CDFAD">
      <w:pPr>
        <w:spacing w:line="273" w:lineRule="auto"/>
        <w:rPr>
          <w:rFonts w:ascii="Arial"/>
          <w:sz w:val="21"/>
        </w:rPr>
      </w:pPr>
    </w:p>
    <w:p w14:paraId="70033770">
      <w:pPr>
        <w:pStyle w:val="2"/>
        <w:spacing w:before="65" w:line="220" w:lineRule="auto"/>
        <w:ind w:left="419"/>
        <w:rPr>
          <w:sz w:val="20"/>
          <w:szCs w:val="20"/>
        </w:rPr>
      </w:pPr>
      <w:r>
        <w:rPr>
          <w:spacing w:val="2"/>
          <w:sz w:val="20"/>
          <w:szCs w:val="20"/>
        </w:rPr>
        <w:t>15.3.2</w:t>
      </w:r>
      <w:r>
        <w:rPr>
          <w:spacing w:val="59"/>
          <w:sz w:val="20"/>
          <w:szCs w:val="20"/>
        </w:rPr>
        <w:t xml:space="preserve"> </w:t>
      </w:r>
      <w:r>
        <w:rPr>
          <w:spacing w:val="2"/>
          <w:sz w:val="20"/>
          <w:szCs w:val="20"/>
        </w:rPr>
        <w:t>质量保证金的扣留</w:t>
      </w:r>
    </w:p>
    <w:p w14:paraId="7C5EDDDD">
      <w:pPr>
        <w:pStyle w:val="2"/>
        <w:spacing w:before="160" w:line="219" w:lineRule="auto"/>
        <w:ind w:left="419"/>
        <w:rPr>
          <w:sz w:val="22"/>
          <w:szCs w:val="22"/>
        </w:rPr>
      </w:pPr>
      <w:r>
        <w:rPr>
          <w:spacing w:val="-10"/>
          <w:sz w:val="22"/>
          <w:szCs w:val="22"/>
        </w:rPr>
        <w:t>质量保证金的扣留采取以下第</w:t>
      </w:r>
      <w:r>
        <w:rPr>
          <w:spacing w:val="-81"/>
          <w:sz w:val="22"/>
          <w:szCs w:val="22"/>
        </w:rPr>
        <w:t xml:space="preserve"> </w:t>
      </w:r>
      <w:r>
        <w:rPr>
          <w:spacing w:val="-10"/>
          <w:sz w:val="22"/>
          <w:szCs w:val="22"/>
          <w:u w:val="single" w:color="auto"/>
        </w:rPr>
        <w:t xml:space="preserve">       </w:t>
      </w:r>
      <w:r>
        <w:rPr>
          <w:spacing w:val="-10"/>
          <w:sz w:val="22"/>
          <w:szCs w:val="22"/>
        </w:rPr>
        <w:t>种方式：</w:t>
      </w:r>
    </w:p>
    <w:p w14:paraId="7DD98C97">
      <w:pPr>
        <w:pStyle w:val="2"/>
        <w:spacing w:before="128" w:line="298" w:lineRule="auto"/>
        <w:ind w:right="22" w:firstLine="519"/>
        <w:rPr>
          <w:sz w:val="20"/>
          <w:szCs w:val="20"/>
        </w:rPr>
      </w:pPr>
      <w:r>
        <w:rPr>
          <w:spacing w:val="12"/>
          <w:sz w:val="20"/>
          <w:szCs w:val="20"/>
        </w:rPr>
        <w:t>(1)在支付工程进度款时逐次扣留，在此情形下，质量保证金的计算基数不包括预付</w:t>
      </w:r>
      <w:r>
        <w:rPr>
          <w:spacing w:val="11"/>
          <w:sz w:val="20"/>
          <w:szCs w:val="20"/>
        </w:rPr>
        <w:t>款的支</w:t>
      </w:r>
      <w:r>
        <w:rPr>
          <w:sz w:val="20"/>
          <w:szCs w:val="20"/>
        </w:rPr>
        <w:t xml:space="preserve"> </w:t>
      </w:r>
      <w:r>
        <w:rPr>
          <w:spacing w:val="6"/>
          <w:sz w:val="20"/>
          <w:szCs w:val="20"/>
        </w:rPr>
        <w:t>付、扣回以及价格调整的金额；</w:t>
      </w:r>
    </w:p>
    <w:p w14:paraId="0A0AD5CF">
      <w:pPr>
        <w:pStyle w:val="2"/>
        <w:spacing w:before="165" w:line="219" w:lineRule="auto"/>
        <w:ind w:left="519"/>
        <w:rPr>
          <w:sz w:val="20"/>
          <w:szCs w:val="20"/>
        </w:rPr>
      </w:pPr>
      <w:r>
        <w:rPr>
          <w:spacing w:val="11"/>
          <w:sz w:val="20"/>
          <w:szCs w:val="20"/>
        </w:rPr>
        <w:t>(2)工程竣工结算时一次性扣留质量保证金；</w:t>
      </w:r>
    </w:p>
    <w:p w14:paraId="68B5326B">
      <w:pPr>
        <w:pStyle w:val="2"/>
        <w:spacing w:before="243" w:line="253" w:lineRule="auto"/>
        <w:ind w:left="419" w:right="348" w:firstLine="100"/>
        <w:rPr>
          <w:sz w:val="20"/>
          <w:szCs w:val="20"/>
        </w:rPr>
      </w:pPr>
      <w:r>
        <w:rPr>
          <w:spacing w:val="-1"/>
          <w:sz w:val="20"/>
          <w:szCs w:val="20"/>
        </w:rPr>
        <w:t>(3)其他扣留方式：</w:t>
      </w:r>
      <w:r>
        <w:rPr>
          <w:spacing w:val="54"/>
          <w:sz w:val="20"/>
          <w:szCs w:val="20"/>
        </w:rPr>
        <w:t xml:space="preserve"> </w:t>
      </w:r>
      <w:r>
        <w:rPr>
          <w:sz w:val="20"/>
          <w:szCs w:val="20"/>
          <w:u w:val="single" w:color="auto"/>
        </w:rPr>
        <w:t xml:space="preserve">                                                             </w:t>
      </w:r>
      <w:r>
        <w:rPr>
          <w:spacing w:val="-80"/>
          <w:sz w:val="20"/>
          <w:szCs w:val="20"/>
        </w:rPr>
        <w:t xml:space="preserve"> </w:t>
      </w:r>
      <w:r>
        <w:rPr>
          <w:rFonts w:ascii="Times New Roman" w:hAnsi="Times New Roman" w:eastAsia="Times New Roman" w:cs="Times New Roman"/>
          <w:spacing w:val="-1"/>
          <w:sz w:val="20"/>
          <w:szCs w:val="20"/>
        </w:rPr>
        <w:t>0</w:t>
      </w:r>
      <w:r>
        <w:rPr>
          <w:rFonts w:ascii="Times New Roman" w:hAnsi="Times New Roman" w:eastAsia="Times New Roman" w:cs="Times New Roman"/>
          <w:sz w:val="20"/>
          <w:szCs w:val="20"/>
        </w:rPr>
        <w:t xml:space="preserve"> </w:t>
      </w:r>
      <w:r>
        <w:rPr>
          <w:spacing w:val="6"/>
          <w:sz w:val="20"/>
          <w:szCs w:val="20"/>
        </w:rPr>
        <w:t>关于质量保证金的补充约定：</w:t>
      </w:r>
    </w:p>
    <w:p w14:paraId="5EE699E1">
      <w:pPr>
        <w:spacing w:line="263" w:lineRule="auto"/>
        <w:rPr>
          <w:rFonts w:ascii="Arial"/>
          <w:sz w:val="21"/>
        </w:rPr>
      </w:pPr>
    </w:p>
    <w:p w14:paraId="5699FB2F">
      <w:pPr>
        <w:tabs>
          <w:tab w:val="left" w:pos="8419"/>
        </w:tabs>
        <w:spacing w:before="24" w:line="142" w:lineRule="auto"/>
        <w:ind w:left="419"/>
        <w:rPr>
          <w:rFonts w:ascii="Times New Roman" w:hAnsi="Times New Roman" w:eastAsia="Times New Roman" w:cs="Times New Roman"/>
          <w:sz w:val="8"/>
          <w:szCs w:val="8"/>
        </w:rPr>
      </w:pPr>
      <w:r>
        <w:rPr>
          <w:rFonts w:ascii="Times New Roman" w:hAnsi="Times New Roman" w:eastAsia="Times New Roman" w:cs="Times New Roman"/>
          <w:sz w:val="8"/>
          <w:szCs w:val="8"/>
          <w:u w:val="single" w:color="auto"/>
        </w:rPr>
        <w:tab/>
      </w:r>
      <w:r>
        <w:rPr>
          <w:rFonts w:ascii="Times New Roman" w:hAnsi="Times New Roman" w:eastAsia="Times New Roman" w:cs="Times New Roman"/>
          <w:spacing w:val="-10"/>
          <w:sz w:val="8"/>
          <w:szCs w:val="8"/>
        </w:rPr>
        <w:t xml:space="preserve"> </w:t>
      </w:r>
      <w:r>
        <w:rPr>
          <w:rFonts w:ascii="Times New Roman" w:hAnsi="Times New Roman" w:eastAsia="Times New Roman" w:cs="Times New Roman"/>
          <w:sz w:val="8"/>
          <w:szCs w:val="8"/>
          <w:u w:val="dotted" w:color="auto"/>
        </w:rPr>
        <w:t xml:space="preserve">  </w:t>
      </w:r>
      <w:r>
        <w:rPr>
          <w:rFonts w:ascii="Times New Roman" w:hAnsi="Times New Roman" w:eastAsia="Times New Roman" w:cs="Times New Roman"/>
          <w:spacing w:val="-17"/>
          <w:sz w:val="8"/>
          <w:szCs w:val="8"/>
        </w:rPr>
        <w:t xml:space="preserve"> </w:t>
      </w:r>
      <w:r>
        <w:rPr>
          <w:rFonts w:ascii="Times New Roman" w:hAnsi="Times New Roman" w:eastAsia="Times New Roman" w:cs="Times New Roman"/>
          <w:sz w:val="8"/>
          <w:szCs w:val="8"/>
        </w:rPr>
        <w:t>o</w:t>
      </w:r>
    </w:p>
    <w:p w14:paraId="1AD243D3">
      <w:pPr>
        <w:spacing w:before="185" w:line="222" w:lineRule="auto"/>
        <w:ind w:left="3"/>
        <w:rPr>
          <w:rFonts w:ascii="黑体" w:hAnsi="黑体" w:eastAsia="黑体" w:cs="黑体"/>
          <w:sz w:val="25"/>
          <w:szCs w:val="25"/>
        </w:rPr>
      </w:pPr>
      <w:r>
        <w:rPr>
          <w:rFonts w:ascii="黑体" w:hAnsi="黑体" w:eastAsia="黑体" w:cs="黑体"/>
          <w:b/>
          <w:bCs/>
          <w:spacing w:val="-7"/>
          <w:sz w:val="25"/>
          <w:szCs w:val="25"/>
        </w:rPr>
        <w:t>15.4保修</w:t>
      </w:r>
    </w:p>
    <w:p w14:paraId="1C758635">
      <w:pPr>
        <w:pStyle w:val="2"/>
        <w:spacing w:before="142" w:line="219" w:lineRule="auto"/>
        <w:ind w:left="419"/>
        <w:rPr>
          <w:sz w:val="20"/>
          <w:szCs w:val="20"/>
        </w:rPr>
      </w:pPr>
      <w:r>
        <w:rPr>
          <w:sz w:val="20"/>
          <w:szCs w:val="20"/>
        </w:rPr>
        <w:t>15.4.1</w:t>
      </w:r>
      <w:r>
        <w:rPr>
          <w:spacing w:val="67"/>
          <w:sz w:val="20"/>
          <w:szCs w:val="20"/>
        </w:rPr>
        <w:t xml:space="preserve"> </w:t>
      </w:r>
      <w:r>
        <w:rPr>
          <w:sz w:val="20"/>
          <w:szCs w:val="20"/>
        </w:rPr>
        <w:t>保修责任</w:t>
      </w:r>
    </w:p>
    <w:p w14:paraId="74584B8B">
      <w:pPr>
        <w:pStyle w:val="2"/>
        <w:spacing w:before="173" w:line="219" w:lineRule="auto"/>
        <w:ind w:left="419"/>
        <w:rPr>
          <w:sz w:val="20"/>
          <w:szCs w:val="20"/>
        </w:rPr>
      </w:pPr>
      <w:r>
        <w:rPr>
          <w:spacing w:val="2"/>
          <w:sz w:val="20"/>
          <w:szCs w:val="20"/>
        </w:rPr>
        <w:t>工程保修期为：</w:t>
      </w:r>
    </w:p>
    <w:p w14:paraId="263943FE">
      <w:pPr>
        <w:spacing w:line="255" w:lineRule="auto"/>
        <w:rPr>
          <w:rFonts w:ascii="Arial"/>
          <w:sz w:val="21"/>
        </w:rPr>
      </w:pPr>
    </w:p>
    <w:p w14:paraId="008132C7">
      <w:pPr>
        <w:tabs>
          <w:tab w:val="left" w:pos="8419"/>
        </w:tabs>
        <w:spacing w:before="24" w:line="142" w:lineRule="auto"/>
        <w:ind w:left="419"/>
        <w:rPr>
          <w:rFonts w:ascii="Times New Roman" w:hAnsi="Times New Roman" w:eastAsia="Times New Roman" w:cs="Times New Roman"/>
          <w:sz w:val="8"/>
          <w:szCs w:val="8"/>
        </w:rPr>
      </w:pPr>
      <w:r>
        <w:rPr>
          <w:rFonts w:ascii="Times New Roman" w:hAnsi="Times New Roman" w:eastAsia="Times New Roman" w:cs="Times New Roman"/>
          <w:sz w:val="8"/>
          <w:szCs w:val="8"/>
          <w:u w:val="single" w:color="auto"/>
        </w:rPr>
        <w:tab/>
      </w:r>
      <w:r>
        <w:rPr>
          <w:rFonts w:ascii="Times New Roman" w:hAnsi="Times New Roman" w:eastAsia="Times New Roman" w:cs="Times New Roman"/>
          <w:spacing w:val="-10"/>
          <w:sz w:val="8"/>
          <w:szCs w:val="8"/>
        </w:rPr>
        <w:t xml:space="preserve"> </w:t>
      </w:r>
      <w:r>
        <w:rPr>
          <w:rFonts w:ascii="Times New Roman" w:hAnsi="Times New Roman" w:eastAsia="Times New Roman" w:cs="Times New Roman"/>
          <w:sz w:val="8"/>
          <w:szCs w:val="8"/>
          <w:u w:val="dotted" w:color="auto"/>
        </w:rPr>
        <w:t xml:space="preserve">  </w:t>
      </w:r>
      <w:r>
        <w:rPr>
          <w:rFonts w:ascii="Times New Roman" w:hAnsi="Times New Roman" w:eastAsia="Times New Roman" w:cs="Times New Roman"/>
          <w:spacing w:val="-17"/>
          <w:sz w:val="8"/>
          <w:szCs w:val="8"/>
        </w:rPr>
        <w:t xml:space="preserve"> </w:t>
      </w:r>
      <w:r>
        <w:rPr>
          <w:rFonts w:ascii="Times New Roman" w:hAnsi="Times New Roman" w:eastAsia="Times New Roman" w:cs="Times New Roman"/>
          <w:sz w:val="8"/>
          <w:szCs w:val="8"/>
        </w:rPr>
        <w:t>o</w:t>
      </w:r>
    </w:p>
    <w:p w14:paraId="763B7A27">
      <w:pPr>
        <w:pStyle w:val="2"/>
        <w:spacing w:before="208" w:line="219" w:lineRule="auto"/>
        <w:ind w:left="419"/>
        <w:rPr>
          <w:sz w:val="20"/>
          <w:szCs w:val="20"/>
        </w:rPr>
      </w:pPr>
      <w:r>
        <w:rPr>
          <w:sz w:val="20"/>
          <w:szCs w:val="20"/>
        </w:rPr>
        <w:t>15.4.3</w:t>
      </w:r>
      <w:r>
        <w:rPr>
          <w:spacing w:val="74"/>
          <w:sz w:val="20"/>
          <w:szCs w:val="20"/>
        </w:rPr>
        <w:t xml:space="preserve"> </w:t>
      </w:r>
      <w:r>
        <w:rPr>
          <w:sz w:val="20"/>
          <w:szCs w:val="20"/>
        </w:rPr>
        <w:t>修复通知</w:t>
      </w:r>
    </w:p>
    <w:p w14:paraId="008D70F5">
      <w:pPr>
        <w:pStyle w:val="2"/>
        <w:spacing w:before="183" w:line="219" w:lineRule="auto"/>
        <w:ind w:left="419"/>
        <w:rPr>
          <w:sz w:val="20"/>
          <w:szCs w:val="20"/>
        </w:rPr>
      </w:pPr>
      <w:r>
        <w:rPr>
          <w:spacing w:val="8"/>
          <w:sz w:val="20"/>
          <w:szCs w:val="20"/>
        </w:rPr>
        <w:t>承包人收到保修通知并到达工程现场的合理时间：</w:t>
      </w:r>
    </w:p>
    <w:p w14:paraId="6AD47FCB">
      <w:pPr>
        <w:spacing w:line="255" w:lineRule="auto"/>
        <w:rPr>
          <w:rFonts w:ascii="Arial"/>
          <w:sz w:val="21"/>
        </w:rPr>
      </w:pPr>
    </w:p>
    <w:p w14:paraId="20C7A6A1">
      <w:pPr>
        <w:tabs>
          <w:tab w:val="left" w:pos="8419"/>
        </w:tabs>
        <w:spacing w:before="23" w:line="142" w:lineRule="auto"/>
        <w:ind w:left="419"/>
        <w:rPr>
          <w:rFonts w:ascii="Times New Roman" w:hAnsi="Times New Roman" w:eastAsia="Times New Roman" w:cs="Times New Roman"/>
          <w:sz w:val="8"/>
          <w:szCs w:val="8"/>
        </w:rPr>
      </w:pPr>
      <w:r>
        <w:rPr>
          <w:rFonts w:ascii="Times New Roman" w:hAnsi="Times New Roman" w:eastAsia="Times New Roman" w:cs="Times New Roman"/>
          <w:sz w:val="8"/>
          <w:szCs w:val="8"/>
          <w:u w:val="single" w:color="auto"/>
        </w:rPr>
        <w:tab/>
      </w:r>
      <w:r>
        <w:rPr>
          <w:rFonts w:ascii="Times New Roman" w:hAnsi="Times New Roman" w:eastAsia="Times New Roman" w:cs="Times New Roman"/>
          <w:spacing w:val="-10"/>
          <w:sz w:val="8"/>
          <w:szCs w:val="8"/>
        </w:rPr>
        <w:t xml:space="preserve"> </w:t>
      </w:r>
      <w:r>
        <w:rPr>
          <w:rFonts w:ascii="Times New Roman" w:hAnsi="Times New Roman" w:eastAsia="Times New Roman" w:cs="Times New Roman"/>
          <w:sz w:val="8"/>
          <w:szCs w:val="8"/>
          <w:u w:val="dotted" w:color="auto"/>
        </w:rPr>
        <w:t xml:space="preserve">  </w:t>
      </w:r>
      <w:r>
        <w:rPr>
          <w:rFonts w:ascii="Times New Roman" w:hAnsi="Times New Roman" w:eastAsia="Times New Roman" w:cs="Times New Roman"/>
          <w:spacing w:val="-17"/>
          <w:sz w:val="8"/>
          <w:szCs w:val="8"/>
        </w:rPr>
        <w:t xml:space="preserve"> </w:t>
      </w:r>
      <w:r>
        <w:rPr>
          <w:rFonts w:ascii="Times New Roman" w:hAnsi="Times New Roman" w:eastAsia="Times New Roman" w:cs="Times New Roman"/>
          <w:sz w:val="8"/>
          <w:szCs w:val="8"/>
        </w:rPr>
        <w:t>o</w:t>
      </w:r>
    </w:p>
    <w:p w14:paraId="1B73235E">
      <w:pPr>
        <w:pStyle w:val="2"/>
        <w:spacing w:before="229" w:line="223" w:lineRule="auto"/>
        <w:ind w:left="4"/>
        <w:rPr>
          <w:rFonts w:ascii="黑体" w:hAnsi="黑体" w:eastAsia="黑体" w:cs="黑体"/>
          <w:sz w:val="31"/>
          <w:szCs w:val="31"/>
        </w:rPr>
      </w:pPr>
      <w:r>
        <w:rPr>
          <w:b/>
          <w:bCs/>
          <w:spacing w:val="-6"/>
          <w:sz w:val="31"/>
          <w:szCs w:val="31"/>
        </w:rPr>
        <w:t>16.</w:t>
      </w:r>
      <w:r>
        <w:rPr>
          <w:rFonts w:ascii="黑体" w:hAnsi="黑体" w:eastAsia="黑体" w:cs="黑体"/>
          <w:b/>
          <w:bCs/>
          <w:spacing w:val="-6"/>
          <w:sz w:val="31"/>
          <w:szCs w:val="31"/>
        </w:rPr>
        <w:t>违约</w:t>
      </w:r>
    </w:p>
    <w:p w14:paraId="3345B231">
      <w:pPr>
        <w:pStyle w:val="2"/>
        <w:spacing w:before="81" w:line="221" w:lineRule="auto"/>
        <w:ind w:left="3"/>
        <w:rPr>
          <w:rFonts w:ascii="黑体" w:hAnsi="黑体" w:eastAsia="黑体" w:cs="黑体"/>
        </w:rPr>
      </w:pPr>
      <w:r>
        <w:rPr>
          <w:b/>
          <w:bCs/>
          <w:spacing w:val="-10"/>
        </w:rPr>
        <w:t>16.1</w:t>
      </w:r>
      <w:r>
        <w:rPr>
          <w:spacing w:val="-10"/>
        </w:rPr>
        <w:t xml:space="preserve"> </w:t>
      </w:r>
      <w:r>
        <w:rPr>
          <w:rFonts w:ascii="黑体" w:hAnsi="黑体" w:eastAsia="黑体" w:cs="黑体"/>
          <w:b/>
          <w:bCs/>
          <w:spacing w:val="-10"/>
        </w:rPr>
        <w:t>发包人违约</w:t>
      </w:r>
    </w:p>
    <w:p w14:paraId="61D3F6E4">
      <w:pPr>
        <w:pStyle w:val="2"/>
        <w:spacing w:before="135" w:line="220" w:lineRule="auto"/>
        <w:ind w:left="419"/>
        <w:rPr>
          <w:sz w:val="20"/>
          <w:szCs w:val="20"/>
        </w:rPr>
      </w:pPr>
      <w:r>
        <w:rPr>
          <w:spacing w:val="12"/>
          <w:sz w:val="20"/>
          <w:szCs w:val="20"/>
        </w:rPr>
        <w:t>16.1.1发包人违约的情形</w:t>
      </w:r>
    </w:p>
    <w:p w14:paraId="2626B241">
      <w:pPr>
        <w:pStyle w:val="2"/>
        <w:spacing w:before="172" w:line="220" w:lineRule="auto"/>
        <w:ind w:left="419"/>
        <w:rPr>
          <w:sz w:val="20"/>
          <w:szCs w:val="20"/>
        </w:rPr>
      </w:pPr>
      <w:r>
        <w:rPr>
          <w:spacing w:val="5"/>
          <w:sz w:val="20"/>
          <w:szCs w:val="20"/>
        </w:rPr>
        <w:t>发包人违约的其他情形：</w:t>
      </w:r>
    </w:p>
    <w:p w14:paraId="3F4988F8">
      <w:pPr>
        <w:spacing w:line="253" w:lineRule="auto"/>
        <w:rPr>
          <w:rFonts w:ascii="Arial"/>
          <w:sz w:val="21"/>
        </w:rPr>
      </w:pPr>
    </w:p>
    <w:p w14:paraId="71BC438D">
      <w:pPr>
        <w:tabs>
          <w:tab w:val="left" w:pos="8419"/>
        </w:tabs>
        <w:spacing w:before="24" w:line="142" w:lineRule="auto"/>
        <w:ind w:left="419"/>
        <w:rPr>
          <w:rFonts w:ascii="Times New Roman" w:hAnsi="Times New Roman" w:eastAsia="Times New Roman" w:cs="Times New Roman"/>
          <w:sz w:val="8"/>
          <w:szCs w:val="8"/>
        </w:rPr>
      </w:pPr>
      <w:r>
        <w:rPr>
          <w:rFonts w:ascii="Times New Roman" w:hAnsi="Times New Roman" w:eastAsia="Times New Roman" w:cs="Times New Roman"/>
          <w:sz w:val="8"/>
          <w:szCs w:val="8"/>
          <w:u w:val="single" w:color="auto"/>
        </w:rPr>
        <w:tab/>
      </w:r>
      <w:r>
        <w:rPr>
          <w:rFonts w:ascii="Times New Roman" w:hAnsi="Times New Roman" w:eastAsia="Times New Roman" w:cs="Times New Roman"/>
          <w:spacing w:val="-10"/>
          <w:sz w:val="8"/>
          <w:szCs w:val="8"/>
        </w:rPr>
        <w:t xml:space="preserve"> </w:t>
      </w:r>
      <w:r>
        <w:rPr>
          <w:rFonts w:ascii="Times New Roman" w:hAnsi="Times New Roman" w:eastAsia="Times New Roman" w:cs="Times New Roman"/>
          <w:sz w:val="8"/>
          <w:szCs w:val="8"/>
          <w:u w:val="dotted" w:color="auto"/>
        </w:rPr>
        <w:t xml:space="preserve">  </w:t>
      </w:r>
      <w:r>
        <w:rPr>
          <w:rFonts w:ascii="Times New Roman" w:hAnsi="Times New Roman" w:eastAsia="Times New Roman" w:cs="Times New Roman"/>
          <w:spacing w:val="-17"/>
          <w:sz w:val="8"/>
          <w:szCs w:val="8"/>
        </w:rPr>
        <w:t xml:space="preserve"> </w:t>
      </w:r>
      <w:r>
        <w:rPr>
          <w:rFonts w:ascii="Times New Roman" w:hAnsi="Times New Roman" w:eastAsia="Times New Roman" w:cs="Times New Roman"/>
          <w:sz w:val="8"/>
          <w:szCs w:val="8"/>
        </w:rPr>
        <w:t>o</w:t>
      </w:r>
    </w:p>
    <w:p w14:paraId="60ECF648">
      <w:pPr>
        <w:pStyle w:val="2"/>
        <w:spacing w:before="218" w:line="219" w:lineRule="auto"/>
        <w:ind w:left="419"/>
        <w:rPr>
          <w:sz w:val="20"/>
          <w:szCs w:val="20"/>
        </w:rPr>
      </w:pPr>
      <w:r>
        <w:rPr>
          <w:spacing w:val="4"/>
          <w:sz w:val="20"/>
          <w:szCs w:val="20"/>
        </w:rPr>
        <w:t>16.1.2</w:t>
      </w:r>
      <w:r>
        <w:rPr>
          <w:spacing w:val="51"/>
          <w:sz w:val="20"/>
          <w:szCs w:val="20"/>
        </w:rPr>
        <w:t xml:space="preserve"> </w:t>
      </w:r>
      <w:r>
        <w:rPr>
          <w:spacing w:val="4"/>
          <w:sz w:val="20"/>
          <w:szCs w:val="20"/>
        </w:rPr>
        <w:t>发包人违约的责任</w:t>
      </w:r>
    </w:p>
    <w:p w14:paraId="3561F6C2">
      <w:pPr>
        <w:pStyle w:val="2"/>
        <w:spacing w:before="163" w:line="219" w:lineRule="auto"/>
        <w:ind w:left="419"/>
        <w:rPr>
          <w:sz w:val="20"/>
          <w:szCs w:val="20"/>
        </w:rPr>
      </w:pPr>
      <w:r>
        <w:rPr>
          <w:spacing w:val="7"/>
          <w:sz w:val="20"/>
          <w:szCs w:val="20"/>
        </w:rPr>
        <w:t>发包人违约责任的承担方式和计算方法：</w:t>
      </w:r>
    </w:p>
    <w:p w14:paraId="240C8EB6">
      <w:pPr>
        <w:pStyle w:val="2"/>
        <w:spacing w:before="163" w:line="219" w:lineRule="auto"/>
        <w:ind w:left="519"/>
        <w:rPr>
          <w:sz w:val="20"/>
          <w:szCs w:val="20"/>
        </w:rPr>
      </w:pPr>
      <w:r>
        <w:rPr>
          <w:spacing w:val="15"/>
          <w:sz w:val="20"/>
          <w:szCs w:val="20"/>
        </w:rPr>
        <w:t>(1)因发包人原因未能在计划开工日期前7天内</w:t>
      </w:r>
      <w:r>
        <w:rPr>
          <w:spacing w:val="14"/>
          <w:sz w:val="20"/>
          <w:szCs w:val="20"/>
        </w:rPr>
        <w:t>下达开工通知的违约责任：</w:t>
      </w:r>
    </w:p>
    <w:p w14:paraId="00AB252B">
      <w:pPr>
        <w:spacing w:line="271" w:lineRule="auto"/>
        <w:rPr>
          <w:rFonts w:ascii="Arial"/>
          <w:sz w:val="21"/>
        </w:rPr>
      </w:pPr>
    </w:p>
    <w:p w14:paraId="0C755740">
      <w:pPr>
        <w:tabs>
          <w:tab w:val="left" w:pos="8519"/>
        </w:tabs>
        <w:spacing w:before="17" w:line="156" w:lineRule="auto"/>
        <w:ind w:left="519"/>
        <w:rPr>
          <w:rFonts w:ascii="Arial" w:hAnsi="Arial" w:eastAsia="Arial" w:cs="Arial"/>
          <w:sz w:val="6"/>
          <w:szCs w:val="6"/>
        </w:rPr>
      </w:pPr>
      <w:r>
        <w:rPr>
          <w:rFonts w:ascii="Arial" w:hAnsi="Arial" w:eastAsia="Arial" w:cs="Arial"/>
          <w:sz w:val="6"/>
          <w:szCs w:val="6"/>
          <w:u w:val="single" w:color="auto"/>
        </w:rPr>
        <w:tab/>
      </w:r>
      <w:r>
        <w:rPr>
          <w:rFonts w:ascii="Arial" w:hAnsi="Arial" w:eastAsia="Arial" w:cs="Arial"/>
          <w:spacing w:val="1"/>
          <w:sz w:val="6"/>
          <w:szCs w:val="6"/>
        </w:rPr>
        <w:t>_o</w:t>
      </w:r>
    </w:p>
    <w:p w14:paraId="3F4C4740">
      <w:pPr>
        <w:pStyle w:val="2"/>
        <w:spacing w:before="226" w:line="218" w:lineRule="auto"/>
        <w:ind w:left="519"/>
        <w:rPr>
          <w:sz w:val="20"/>
          <w:szCs w:val="20"/>
        </w:rPr>
      </w:pPr>
      <w:r>
        <w:rPr>
          <w:spacing w:val="12"/>
          <w:sz w:val="20"/>
          <w:szCs w:val="20"/>
        </w:rPr>
        <w:t>(2)因发包人原因未能按合同约定支付合同价款的违约责任：</w:t>
      </w:r>
    </w:p>
    <w:p w14:paraId="70C2358E">
      <w:pPr>
        <w:spacing w:line="253" w:lineRule="auto"/>
        <w:rPr>
          <w:rFonts w:ascii="Arial"/>
          <w:sz w:val="21"/>
        </w:rPr>
      </w:pPr>
    </w:p>
    <w:p w14:paraId="795D2181">
      <w:pPr>
        <w:spacing w:line="254" w:lineRule="auto"/>
        <w:rPr>
          <w:rFonts w:ascii="Arial"/>
          <w:sz w:val="21"/>
        </w:rPr>
      </w:pPr>
      <w:r>
        <w:drawing>
          <wp:anchor distT="0" distB="0" distL="0" distR="0" simplePos="0" relativeHeight="251732992" behindDoc="0" locked="0" layoutInCell="1" allowOverlap="1">
            <wp:simplePos x="0" y="0"/>
            <wp:positionH relativeFrom="column">
              <wp:posOffset>253365</wp:posOffset>
            </wp:positionH>
            <wp:positionV relativeFrom="paragraph">
              <wp:posOffset>71755</wp:posOffset>
            </wp:positionV>
            <wp:extent cx="5118100" cy="6350"/>
            <wp:effectExtent l="0" t="0" r="0" b="0"/>
            <wp:wrapNone/>
            <wp:docPr id="172" name="IM 172"/>
            <wp:cNvGraphicFramePr/>
            <a:graphic xmlns:a="http://schemas.openxmlformats.org/drawingml/2006/main">
              <a:graphicData uri="http://schemas.openxmlformats.org/drawingml/2006/picture">
                <pic:pic xmlns:pic="http://schemas.openxmlformats.org/drawingml/2006/picture">
                  <pic:nvPicPr>
                    <pic:cNvPr id="172" name="IM 172"/>
                    <pic:cNvPicPr/>
                  </pic:nvPicPr>
                  <pic:blipFill>
                    <a:blip r:embed="rId472"/>
                    <a:stretch>
                      <a:fillRect/>
                    </a:stretch>
                  </pic:blipFill>
                  <pic:spPr>
                    <a:xfrm>
                      <a:off x="0" y="0"/>
                      <a:ext cx="5118083" cy="6416"/>
                    </a:xfrm>
                    <a:prstGeom prst="rect">
                      <a:avLst/>
                    </a:prstGeom>
                  </pic:spPr>
                </pic:pic>
              </a:graphicData>
            </a:graphic>
          </wp:anchor>
        </w:drawing>
      </w:r>
    </w:p>
    <w:p w14:paraId="0C5B7F07">
      <w:pPr>
        <w:pStyle w:val="2"/>
        <w:spacing w:before="66" w:line="371" w:lineRule="auto"/>
        <w:ind w:right="5" w:firstLine="519"/>
        <w:rPr>
          <w:sz w:val="20"/>
          <w:szCs w:val="20"/>
        </w:rPr>
      </w:pPr>
      <w:r>
        <w:rPr>
          <w:spacing w:val="18"/>
          <w:sz w:val="20"/>
          <w:szCs w:val="20"/>
        </w:rPr>
        <w:t>(3)发包人违反第10.</w:t>
      </w:r>
      <w:r>
        <w:rPr>
          <w:spacing w:val="-58"/>
          <w:sz w:val="20"/>
          <w:szCs w:val="20"/>
        </w:rPr>
        <w:t xml:space="preserve"> </w:t>
      </w:r>
      <w:r>
        <w:rPr>
          <w:spacing w:val="18"/>
          <w:sz w:val="20"/>
          <w:szCs w:val="20"/>
        </w:rPr>
        <w:t>1款〔变更的范围〕第(2)项约定，自行实施</w:t>
      </w:r>
      <w:r>
        <w:rPr>
          <w:spacing w:val="17"/>
          <w:sz w:val="20"/>
          <w:szCs w:val="20"/>
        </w:rPr>
        <w:t>被取消的工作或转由他</w:t>
      </w:r>
      <w:r>
        <w:rPr>
          <w:sz w:val="20"/>
          <w:szCs w:val="20"/>
        </w:rPr>
        <w:t xml:space="preserve"> </w:t>
      </w:r>
      <w:r>
        <w:rPr>
          <w:spacing w:val="4"/>
          <w:sz w:val="20"/>
          <w:szCs w:val="20"/>
        </w:rPr>
        <w:t>人实施的违约责任：</w:t>
      </w:r>
    </w:p>
    <w:p w14:paraId="108FBA2D">
      <w:pPr>
        <w:spacing w:before="123" w:line="40" w:lineRule="exact"/>
        <w:ind w:left="8556"/>
        <w:rPr>
          <w:rFonts w:ascii="Arial" w:hAnsi="Arial" w:eastAsia="Arial" w:cs="Arial"/>
          <w:sz w:val="6"/>
          <w:szCs w:val="6"/>
        </w:rPr>
      </w:pPr>
      <w:r>
        <w:rPr>
          <w:rFonts w:ascii="Arial" w:hAnsi="Arial" w:eastAsia="Arial" w:cs="Arial"/>
          <w:sz w:val="6"/>
          <w:szCs w:val="6"/>
        </w:rPr>
        <w:t>o</w:t>
      </w:r>
    </w:p>
    <w:p w14:paraId="0B7D3B53">
      <w:pPr>
        <w:spacing w:line="24" w:lineRule="exact"/>
        <w:ind w:firstLine="519"/>
      </w:pPr>
      <w:r>
        <w:drawing>
          <wp:inline distT="0" distB="0" distL="0" distR="0">
            <wp:extent cx="5101590" cy="14605"/>
            <wp:effectExtent l="0" t="0" r="0" b="0"/>
            <wp:docPr id="174" name="IM 174"/>
            <wp:cNvGraphicFramePr/>
            <a:graphic xmlns:a="http://schemas.openxmlformats.org/drawingml/2006/main">
              <a:graphicData uri="http://schemas.openxmlformats.org/drawingml/2006/picture">
                <pic:pic xmlns:pic="http://schemas.openxmlformats.org/drawingml/2006/picture">
                  <pic:nvPicPr>
                    <pic:cNvPr id="174" name="IM 174"/>
                    <pic:cNvPicPr/>
                  </pic:nvPicPr>
                  <pic:blipFill>
                    <a:blip r:embed="rId480"/>
                    <a:stretch>
                      <a:fillRect/>
                    </a:stretch>
                  </pic:blipFill>
                  <pic:spPr>
                    <a:xfrm>
                      <a:off x="0" y="0"/>
                      <a:ext cx="5102102" cy="15000"/>
                    </a:xfrm>
                    <a:prstGeom prst="rect">
                      <a:avLst/>
                    </a:prstGeom>
                  </pic:spPr>
                </pic:pic>
              </a:graphicData>
            </a:graphic>
          </wp:inline>
        </w:drawing>
      </w:r>
    </w:p>
    <w:p w14:paraId="709802BB">
      <w:pPr>
        <w:pStyle w:val="2"/>
        <w:spacing w:before="189" w:line="389" w:lineRule="auto"/>
        <w:ind w:firstLine="519"/>
        <w:rPr>
          <w:sz w:val="20"/>
          <w:szCs w:val="20"/>
        </w:rPr>
      </w:pPr>
      <w:r>
        <w:rPr>
          <w:spacing w:val="13"/>
          <w:sz w:val="20"/>
          <w:szCs w:val="20"/>
        </w:rPr>
        <w:t>(4)发包人提供的材料、工程设备的规格、</w:t>
      </w:r>
      <w:r>
        <w:rPr>
          <w:spacing w:val="12"/>
          <w:sz w:val="20"/>
          <w:szCs w:val="20"/>
        </w:rPr>
        <w:t>数量或质量不符合合同约定，或因发包人原因导</w:t>
      </w:r>
      <w:r>
        <w:rPr>
          <w:sz w:val="20"/>
          <w:szCs w:val="20"/>
        </w:rPr>
        <w:t xml:space="preserve"> </w:t>
      </w:r>
      <w:r>
        <w:rPr>
          <w:spacing w:val="7"/>
          <w:sz w:val="20"/>
          <w:szCs w:val="20"/>
        </w:rPr>
        <w:t>致交货日期延误或交货地点变更等情况的违约责任：</w:t>
      </w:r>
    </w:p>
    <w:p w14:paraId="734C1AA7">
      <w:pPr>
        <w:spacing w:line="310" w:lineRule="auto"/>
        <w:rPr>
          <w:rFonts w:ascii="Arial"/>
          <w:sz w:val="21"/>
        </w:rPr>
      </w:pPr>
      <w:r>
        <w:drawing>
          <wp:anchor distT="0" distB="0" distL="0" distR="0" simplePos="0" relativeHeight="251734016" behindDoc="0" locked="0" layoutInCell="1" allowOverlap="1">
            <wp:simplePos x="0" y="0"/>
            <wp:positionH relativeFrom="column">
              <wp:posOffset>310515</wp:posOffset>
            </wp:positionH>
            <wp:positionV relativeFrom="paragraph">
              <wp:posOffset>107315</wp:posOffset>
            </wp:positionV>
            <wp:extent cx="5124450" cy="6350"/>
            <wp:effectExtent l="0" t="0" r="0" b="0"/>
            <wp:wrapNone/>
            <wp:docPr id="176" name="IM 176"/>
            <wp:cNvGraphicFramePr/>
            <a:graphic xmlns:a="http://schemas.openxmlformats.org/drawingml/2006/main">
              <a:graphicData uri="http://schemas.openxmlformats.org/drawingml/2006/picture">
                <pic:pic xmlns:pic="http://schemas.openxmlformats.org/drawingml/2006/picture">
                  <pic:nvPicPr>
                    <pic:cNvPr id="176" name="IM 176"/>
                    <pic:cNvPicPr/>
                  </pic:nvPicPr>
                  <pic:blipFill>
                    <a:blip r:embed="rId481"/>
                    <a:stretch>
                      <a:fillRect/>
                    </a:stretch>
                  </pic:blipFill>
                  <pic:spPr>
                    <a:xfrm>
                      <a:off x="0" y="0"/>
                      <a:ext cx="5124435" cy="6350"/>
                    </a:xfrm>
                    <a:prstGeom prst="rect">
                      <a:avLst/>
                    </a:prstGeom>
                  </pic:spPr>
                </pic:pic>
              </a:graphicData>
            </a:graphic>
          </wp:anchor>
        </w:drawing>
      </w:r>
    </w:p>
    <w:p w14:paraId="0F14447A">
      <w:pPr>
        <w:pStyle w:val="2"/>
        <w:spacing w:before="65" w:line="219" w:lineRule="auto"/>
        <w:ind w:left="519"/>
        <w:rPr>
          <w:sz w:val="20"/>
          <w:szCs w:val="20"/>
        </w:rPr>
      </w:pPr>
      <w:r>
        <w:rPr>
          <w:spacing w:val="12"/>
          <w:sz w:val="20"/>
          <w:szCs w:val="20"/>
        </w:rPr>
        <w:t>(5)因发包人违反合同约定造成暂停施工的违约责任：</w:t>
      </w:r>
    </w:p>
    <w:p w14:paraId="016D3BF6">
      <w:pPr>
        <w:spacing w:line="219" w:lineRule="auto"/>
        <w:rPr>
          <w:sz w:val="20"/>
          <w:szCs w:val="20"/>
        </w:rPr>
        <w:sectPr>
          <w:footerReference r:id="rId263" w:type="default"/>
          <w:pgSz w:w="11910" w:h="16840"/>
          <w:pgMar w:top="400" w:right="1516" w:bottom="1024" w:left="1460" w:header="0" w:footer="889" w:gutter="0"/>
          <w:cols w:space="720" w:num="1"/>
        </w:sectPr>
      </w:pPr>
    </w:p>
    <w:p w14:paraId="56B8CB0E">
      <w:pPr>
        <w:pStyle w:val="2"/>
        <w:spacing w:before="181" w:line="219" w:lineRule="auto"/>
        <w:ind w:right="27"/>
        <w:jc w:val="right"/>
        <w:rPr>
          <w:sz w:val="20"/>
          <w:szCs w:val="20"/>
        </w:rPr>
      </w:pPr>
      <w:r>
        <w:rPr>
          <w:spacing w:val="12"/>
          <w:sz w:val="20"/>
          <w:szCs w:val="20"/>
        </w:rPr>
        <w:t>(6)发包人无正当理由没有在约定期限内发出复工指示，导致承包人无法复工的违约</w:t>
      </w:r>
      <w:r>
        <w:rPr>
          <w:spacing w:val="11"/>
          <w:sz w:val="20"/>
          <w:szCs w:val="20"/>
        </w:rPr>
        <w:t>责任：</w:t>
      </w:r>
    </w:p>
    <w:p w14:paraId="11D4D9C8">
      <w:pPr>
        <w:spacing w:line="282" w:lineRule="auto"/>
        <w:rPr>
          <w:rFonts w:ascii="Arial"/>
          <w:sz w:val="21"/>
        </w:rPr>
      </w:pPr>
    </w:p>
    <w:p w14:paraId="4EE69E63">
      <w:pPr>
        <w:tabs>
          <w:tab w:val="left" w:pos="8519"/>
        </w:tabs>
        <w:spacing w:before="23" w:line="143" w:lineRule="auto"/>
        <w:ind w:left="519"/>
        <w:rPr>
          <w:rFonts w:ascii="Times New Roman" w:hAnsi="Times New Roman" w:eastAsia="Times New Roman" w:cs="Times New Roman"/>
          <w:sz w:val="8"/>
          <w:szCs w:val="8"/>
        </w:rPr>
      </w:pPr>
      <w:r>
        <w:rPr>
          <w:rFonts w:ascii="Times New Roman" w:hAnsi="Times New Roman" w:eastAsia="Times New Roman" w:cs="Times New Roman"/>
          <w:sz w:val="8"/>
          <w:szCs w:val="8"/>
          <w:u w:val="single" w:color="auto"/>
        </w:rPr>
        <w:tab/>
      </w:r>
      <w:r>
        <w:rPr>
          <w:rFonts w:ascii="Times New Roman" w:hAnsi="Times New Roman" w:eastAsia="Times New Roman" w:cs="Times New Roman"/>
          <w:spacing w:val="-10"/>
          <w:sz w:val="8"/>
          <w:szCs w:val="8"/>
        </w:rPr>
        <w:t xml:space="preserve"> </w:t>
      </w:r>
      <w:r>
        <w:rPr>
          <w:rFonts w:ascii="Times New Roman" w:hAnsi="Times New Roman" w:eastAsia="Times New Roman" w:cs="Times New Roman"/>
          <w:sz w:val="8"/>
          <w:szCs w:val="8"/>
        </w:rPr>
        <w:t>n</w:t>
      </w:r>
    </w:p>
    <w:p w14:paraId="3E8664F9">
      <w:pPr>
        <w:pStyle w:val="2"/>
        <w:spacing w:before="191" w:line="220" w:lineRule="auto"/>
        <w:ind w:left="519"/>
        <w:rPr>
          <w:sz w:val="20"/>
          <w:szCs w:val="20"/>
        </w:rPr>
      </w:pPr>
      <w:r>
        <w:rPr>
          <w:spacing w:val="16"/>
          <w:sz w:val="20"/>
          <w:szCs w:val="20"/>
        </w:rPr>
        <w:t>(7)其他：</w:t>
      </w:r>
    </w:p>
    <w:p w14:paraId="70A7BC28">
      <w:pPr>
        <w:spacing w:line="256" w:lineRule="auto"/>
        <w:rPr>
          <w:rFonts w:ascii="Arial"/>
          <w:sz w:val="21"/>
        </w:rPr>
      </w:pPr>
    </w:p>
    <w:p w14:paraId="541B9B34">
      <w:pPr>
        <w:pStyle w:val="2"/>
        <w:tabs>
          <w:tab w:val="left" w:pos="8509"/>
        </w:tabs>
        <w:spacing w:before="26"/>
        <w:ind w:left="519"/>
        <w:rPr>
          <w:sz w:val="8"/>
          <w:szCs w:val="8"/>
        </w:rPr>
      </w:pPr>
      <w:r>
        <w:rPr>
          <w:sz w:val="8"/>
          <w:szCs w:val="8"/>
          <w:u w:val="single" w:color="auto"/>
        </w:rPr>
        <w:tab/>
      </w:r>
      <w:r>
        <w:rPr>
          <w:spacing w:val="-1"/>
          <w:sz w:val="8"/>
          <w:szCs w:val="8"/>
        </w:rPr>
        <w:t>-0</w:t>
      </w:r>
    </w:p>
    <w:p w14:paraId="51522397">
      <w:pPr>
        <w:pStyle w:val="2"/>
        <w:spacing w:before="193" w:line="219" w:lineRule="auto"/>
        <w:ind w:left="419"/>
        <w:rPr>
          <w:sz w:val="20"/>
          <w:szCs w:val="20"/>
        </w:rPr>
      </w:pPr>
      <w:r>
        <w:rPr>
          <w:spacing w:val="4"/>
          <w:sz w:val="20"/>
          <w:szCs w:val="20"/>
        </w:rPr>
        <w:t>16.1.3</w:t>
      </w:r>
      <w:r>
        <w:rPr>
          <w:spacing w:val="63"/>
          <w:sz w:val="20"/>
          <w:szCs w:val="20"/>
        </w:rPr>
        <w:t xml:space="preserve"> </w:t>
      </w:r>
      <w:r>
        <w:rPr>
          <w:spacing w:val="4"/>
          <w:sz w:val="20"/>
          <w:szCs w:val="20"/>
        </w:rPr>
        <w:t>因发包人违约解除合同</w:t>
      </w:r>
    </w:p>
    <w:p w14:paraId="10CA7239">
      <w:pPr>
        <w:pStyle w:val="2"/>
        <w:spacing w:before="151" w:line="355" w:lineRule="auto"/>
        <w:ind w:firstLine="419"/>
        <w:rPr>
          <w:sz w:val="20"/>
          <w:szCs w:val="20"/>
        </w:rPr>
      </w:pPr>
      <w:r>
        <w:rPr>
          <w:spacing w:val="9"/>
          <w:sz w:val="20"/>
          <w:szCs w:val="20"/>
        </w:rPr>
        <w:t>承包人按16.1.1项〔发包人违约的情形〕约定暂停施工满</w:t>
      </w:r>
      <w:r>
        <w:rPr>
          <w:spacing w:val="-99"/>
          <w:sz w:val="20"/>
          <w:szCs w:val="20"/>
        </w:rPr>
        <w:t xml:space="preserve"> </w:t>
      </w:r>
      <w:r>
        <w:rPr>
          <w:spacing w:val="7"/>
          <w:sz w:val="20"/>
          <w:szCs w:val="20"/>
          <w:u w:val="single" w:color="auto"/>
        </w:rPr>
        <w:t xml:space="preserve">       </w:t>
      </w:r>
      <w:r>
        <w:rPr>
          <w:spacing w:val="-89"/>
          <w:sz w:val="20"/>
          <w:szCs w:val="20"/>
        </w:rPr>
        <w:t xml:space="preserve"> </w:t>
      </w:r>
      <w:r>
        <w:rPr>
          <w:spacing w:val="9"/>
          <w:sz w:val="20"/>
          <w:szCs w:val="20"/>
        </w:rPr>
        <w:t>天后发包人仍不纠</w:t>
      </w:r>
      <w:r>
        <w:rPr>
          <w:spacing w:val="8"/>
          <w:sz w:val="20"/>
          <w:szCs w:val="20"/>
        </w:rPr>
        <w:t>正其违约</w:t>
      </w:r>
      <w:r>
        <w:rPr>
          <w:sz w:val="20"/>
          <w:szCs w:val="20"/>
        </w:rPr>
        <w:t xml:space="preserve"> </w:t>
      </w:r>
      <w:r>
        <w:rPr>
          <w:spacing w:val="9"/>
          <w:sz w:val="20"/>
          <w:szCs w:val="20"/>
        </w:rPr>
        <w:t>行为并致使合同目的不能实现的，承包人有权解除合同。</w:t>
      </w:r>
    </w:p>
    <w:p w14:paraId="4D7A7445">
      <w:pPr>
        <w:pStyle w:val="2"/>
        <w:spacing w:line="222" w:lineRule="auto"/>
        <w:ind w:left="3"/>
        <w:rPr>
          <w:rFonts w:ascii="黑体" w:hAnsi="黑体" w:eastAsia="黑体" w:cs="黑体"/>
        </w:rPr>
      </w:pPr>
      <w:r>
        <w:rPr>
          <w:b/>
          <w:bCs/>
          <w:spacing w:val="-11"/>
        </w:rPr>
        <w:t>16.2</w:t>
      </w:r>
      <w:r>
        <w:rPr>
          <w:spacing w:val="-11"/>
        </w:rPr>
        <w:t xml:space="preserve"> </w:t>
      </w:r>
      <w:r>
        <w:rPr>
          <w:rFonts w:ascii="黑体" w:hAnsi="黑体" w:eastAsia="黑体" w:cs="黑体"/>
          <w:b/>
          <w:bCs/>
          <w:spacing w:val="-11"/>
        </w:rPr>
        <w:t>承包人违约</w:t>
      </w:r>
    </w:p>
    <w:p w14:paraId="71554A61">
      <w:pPr>
        <w:pStyle w:val="2"/>
        <w:spacing w:before="121" w:line="219" w:lineRule="auto"/>
        <w:ind w:left="419"/>
        <w:rPr>
          <w:sz w:val="20"/>
          <w:szCs w:val="20"/>
        </w:rPr>
      </w:pPr>
      <w:r>
        <w:rPr>
          <w:spacing w:val="5"/>
          <w:sz w:val="20"/>
          <w:szCs w:val="20"/>
        </w:rPr>
        <w:t>16.2.1</w:t>
      </w:r>
      <w:r>
        <w:rPr>
          <w:spacing w:val="38"/>
          <w:sz w:val="20"/>
          <w:szCs w:val="20"/>
        </w:rPr>
        <w:t xml:space="preserve"> </w:t>
      </w:r>
      <w:r>
        <w:rPr>
          <w:spacing w:val="5"/>
          <w:sz w:val="20"/>
          <w:szCs w:val="20"/>
        </w:rPr>
        <w:t>承包人违约的情形</w:t>
      </w:r>
    </w:p>
    <w:p w14:paraId="4696F8A0">
      <w:pPr>
        <w:pStyle w:val="2"/>
        <w:spacing w:before="183" w:line="219" w:lineRule="auto"/>
        <w:ind w:left="419"/>
        <w:rPr>
          <w:sz w:val="20"/>
          <w:szCs w:val="20"/>
        </w:rPr>
      </w:pPr>
      <w:r>
        <w:rPr>
          <w:spacing w:val="5"/>
          <w:sz w:val="20"/>
          <w:szCs w:val="20"/>
        </w:rPr>
        <w:t>承包人违约的其他情形：</w:t>
      </w:r>
    </w:p>
    <w:p w14:paraId="4E24FCFC">
      <w:pPr>
        <w:spacing w:before="123"/>
      </w:pPr>
    </w:p>
    <w:tbl>
      <w:tblPr>
        <w:tblStyle w:val="5"/>
        <w:tblW w:w="8110" w:type="dxa"/>
        <w:tblInd w:w="389"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8110"/>
      </w:tblGrid>
      <w:tr w14:paraId="5275E2E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1173" w:hRule="atLeast"/>
        </w:trPr>
        <w:tc>
          <w:tcPr>
            <w:tcW w:w="8110" w:type="dxa"/>
            <w:tcBorders>
              <w:top w:val="single" w:color="000000" w:sz="2" w:space="0"/>
              <w:bottom w:val="single" w:color="000000" w:sz="2" w:space="0"/>
            </w:tcBorders>
            <w:vAlign w:val="top"/>
          </w:tcPr>
          <w:p w14:paraId="15033E05">
            <w:pPr>
              <w:pStyle w:val="6"/>
              <w:spacing w:before="183" w:line="219" w:lineRule="auto"/>
              <w:ind w:left="30"/>
              <w:rPr>
                <w:sz w:val="20"/>
                <w:szCs w:val="20"/>
              </w:rPr>
            </w:pPr>
            <w:r>
              <w:rPr>
                <w:spacing w:val="12"/>
                <w:sz w:val="20"/>
                <w:szCs w:val="20"/>
              </w:rPr>
              <w:t>16.2.2承包人违约的责任</w:t>
            </w:r>
          </w:p>
          <w:p w14:paraId="017A6F97">
            <w:pPr>
              <w:pStyle w:val="6"/>
              <w:spacing w:before="172" w:line="219" w:lineRule="auto"/>
              <w:ind w:left="30"/>
              <w:rPr>
                <w:sz w:val="20"/>
                <w:szCs w:val="20"/>
              </w:rPr>
            </w:pPr>
            <w:r>
              <w:rPr>
                <w:spacing w:val="7"/>
                <w:sz w:val="20"/>
                <w:szCs w:val="20"/>
              </w:rPr>
              <w:t>承包人违约责任的承担方式和计算方法：</w:t>
            </w:r>
          </w:p>
          <w:p w14:paraId="5D06E1B6">
            <w:pPr>
              <w:spacing w:line="255" w:lineRule="auto"/>
              <w:rPr>
                <w:rFonts w:ascii="Arial"/>
                <w:sz w:val="21"/>
              </w:rPr>
            </w:pPr>
          </w:p>
          <w:p w14:paraId="4192C0E1">
            <w:pPr>
              <w:tabs>
                <w:tab w:val="left" w:pos="8070"/>
              </w:tabs>
              <w:spacing w:before="23" w:line="137" w:lineRule="auto"/>
              <w:ind w:left="8029"/>
              <w:rPr>
                <w:rFonts w:ascii="Times New Roman" w:hAnsi="Times New Roman" w:eastAsia="Times New Roman" w:cs="Times New Roman"/>
                <w:sz w:val="8"/>
                <w:szCs w:val="8"/>
              </w:rPr>
            </w:pPr>
            <w:r>
              <w:rPr>
                <w:rFonts w:ascii="Times New Roman" w:hAnsi="Times New Roman" w:eastAsia="Times New Roman" w:cs="Times New Roman"/>
                <w:sz w:val="8"/>
                <w:szCs w:val="8"/>
                <w:u w:val="dotted" w:color="auto"/>
              </w:rPr>
              <w:tab/>
            </w:r>
            <w:r>
              <w:rPr>
                <w:rFonts w:ascii="Times New Roman" w:hAnsi="Times New Roman" w:eastAsia="Times New Roman" w:cs="Times New Roman"/>
                <w:spacing w:val="-18"/>
                <w:sz w:val="8"/>
                <w:szCs w:val="8"/>
              </w:rPr>
              <w:t xml:space="preserve"> </w:t>
            </w:r>
            <w:r>
              <w:rPr>
                <w:rFonts w:ascii="Times New Roman" w:hAnsi="Times New Roman" w:eastAsia="Times New Roman" w:cs="Times New Roman"/>
                <w:spacing w:val="-3"/>
                <w:sz w:val="8"/>
                <w:szCs w:val="8"/>
              </w:rPr>
              <w:t>o</w:t>
            </w:r>
          </w:p>
        </w:tc>
      </w:tr>
      <w:tr w14:paraId="75B0C7A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1216" w:hRule="atLeast"/>
        </w:trPr>
        <w:tc>
          <w:tcPr>
            <w:tcW w:w="8110" w:type="dxa"/>
            <w:tcBorders>
              <w:top w:val="single" w:color="000000" w:sz="2" w:space="0"/>
              <w:bottom w:val="single" w:color="000000" w:sz="8" w:space="0"/>
            </w:tcBorders>
            <w:vAlign w:val="top"/>
          </w:tcPr>
          <w:p w14:paraId="31CAB1D2">
            <w:pPr>
              <w:pStyle w:val="6"/>
              <w:spacing w:before="225" w:line="219" w:lineRule="auto"/>
              <w:ind w:left="30"/>
              <w:rPr>
                <w:sz w:val="20"/>
                <w:szCs w:val="20"/>
              </w:rPr>
            </w:pPr>
            <w:r>
              <w:rPr>
                <w:spacing w:val="4"/>
                <w:sz w:val="20"/>
                <w:szCs w:val="20"/>
              </w:rPr>
              <w:t>16.2.3</w:t>
            </w:r>
            <w:r>
              <w:rPr>
                <w:spacing w:val="63"/>
                <w:sz w:val="20"/>
                <w:szCs w:val="20"/>
              </w:rPr>
              <w:t xml:space="preserve"> </w:t>
            </w:r>
            <w:r>
              <w:rPr>
                <w:spacing w:val="4"/>
                <w:sz w:val="20"/>
                <w:szCs w:val="20"/>
              </w:rPr>
              <w:t>因承包人违约解除合同</w:t>
            </w:r>
          </w:p>
          <w:p w14:paraId="7A025A74">
            <w:pPr>
              <w:pStyle w:val="6"/>
              <w:spacing w:before="142" w:line="219" w:lineRule="auto"/>
              <w:ind w:left="30"/>
              <w:rPr>
                <w:sz w:val="20"/>
                <w:szCs w:val="20"/>
              </w:rPr>
            </w:pPr>
            <w:r>
              <w:rPr>
                <w:spacing w:val="7"/>
                <w:sz w:val="20"/>
                <w:szCs w:val="20"/>
              </w:rPr>
              <w:t>关于承包人违约解除合同的特别约定：</w:t>
            </w:r>
          </w:p>
        </w:tc>
      </w:tr>
    </w:tbl>
    <w:p w14:paraId="25FF0293">
      <w:pPr>
        <w:pStyle w:val="2"/>
        <w:spacing w:before="198" w:line="353" w:lineRule="auto"/>
        <w:ind w:right="29" w:firstLine="419"/>
        <w:rPr>
          <w:sz w:val="20"/>
          <w:szCs w:val="20"/>
        </w:rPr>
      </w:pPr>
      <w:r>
        <w:rPr>
          <w:spacing w:val="12"/>
          <w:sz w:val="20"/>
          <w:szCs w:val="20"/>
        </w:rPr>
        <w:t>发包人继续使用承包人在施工现场的材料、设备、临时工程、承包人文件和由承包人或以其</w:t>
      </w:r>
      <w:r>
        <w:rPr>
          <w:spacing w:val="7"/>
          <w:sz w:val="20"/>
          <w:szCs w:val="20"/>
        </w:rPr>
        <w:t xml:space="preserve"> </w:t>
      </w:r>
      <w:r>
        <w:rPr>
          <w:spacing w:val="6"/>
          <w:sz w:val="20"/>
          <w:szCs w:val="20"/>
        </w:rPr>
        <w:t>名义编制的其他文件的费用承担方式：</w:t>
      </w:r>
    </w:p>
    <w:p w14:paraId="0E7DCB52">
      <w:pPr>
        <w:tabs>
          <w:tab w:val="left" w:pos="8419"/>
        </w:tabs>
        <w:spacing w:before="133" w:line="142" w:lineRule="auto"/>
        <w:ind w:left="419"/>
        <w:rPr>
          <w:rFonts w:ascii="Times New Roman" w:hAnsi="Times New Roman" w:eastAsia="Times New Roman" w:cs="Times New Roman"/>
          <w:sz w:val="8"/>
          <w:szCs w:val="8"/>
        </w:rPr>
      </w:pPr>
      <w:r>
        <w:rPr>
          <w:rFonts w:ascii="Times New Roman" w:hAnsi="Times New Roman" w:eastAsia="Times New Roman" w:cs="Times New Roman"/>
          <w:sz w:val="8"/>
          <w:szCs w:val="8"/>
          <w:u w:val="single" w:color="auto"/>
        </w:rPr>
        <w:tab/>
      </w:r>
      <w:r>
        <w:rPr>
          <w:rFonts w:ascii="Times New Roman" w:hAnsi="Times New Roman" w:eastAsia="Times New Roman" w:cs="Times New Roman"/>
          <w:spacing w:val="1"/>
          <w:sz w:val="8"/>
          <w:szCs w:val="8"/>
          <w:u w:val="dotted" w:color="auto"/>
        </w:rPr>
        <w:t xml:space="preserve">  </w:t>
      </w:r>
      <w:r>
        <w:rPr>
          <w:rFonts w:ascii="Times New Roman" w:hAnsi="Times New Roman" w:eastAsia="Times New Roman" w:cs="Times New Roman"/>
          <w:spacing w:val="-19"/>
          <w:sz w:val="8"/>
          <w:szCs w:val="8"/>
        </w:rPr>
        <w:t xml:space="preserve"> </w:t>
      </w:r>
      <w:r>
        <w:rPr>
          <w:rFonts w:ascii="Times New Roman" w:hAnsi="Times New Roman" w:eastAsia="Times New Roman" w:cs="Times New Roman"/>
          <w:sz w:val="8"/>
          <w:szCs w:val="8"/>
        </w:rPr>
        <w:t>o</w:t>
      </w:r>
    </w:p>
    <w:p w14:paraId="06F8AE67">
      <w:pPr>
        <w:pStyle w:val="2"/>
        <w:spacing w:before="225" w:line="221" w:lineRule="auto"/>
        <w:ind w:left="4"/>
        <w:rPr>
          <w:rFonts w:ascii="黑体" w:hAnsi="黑体" w:eastAsia="黑体" w:cs="黑体"/>
          <w:sz w:val="30"/>
          <w:szCs w:val="30"/>
        </w:rPr>
      </w:pPr>
      <w:r>
        <w:rPr>
          <w:b/>
          <w:bCs/>
          <w:spacing w:val="-4"/>
          <w:sz w:val="30"/>
          <w:szCs w:val="30"/>
        </w:rPr>
        <w:t>17.</w:t>
      </w:r>
      <w:r>
        <w:rPr>
          <w:rFonts w:ascii="黑体" w:hAnsi="黑体" w:eastAsia="黑体" w:cs="黑体"/>
          <w:b/>
          <w:bCs/>
          <w:spacing w:val="-4"/>
          <w:sz w:val="30"/>
          <w:szCs w:val="30"/>
        </w:rPr>
        <w:t>不可抗力</w:t>
      </w:r>
    </w:p>
    <w:p w14:paraId="36385B9B">
      <w:pPr>
        <w:pStyle w:val="2"/>
        <w:spacing w:before="100" w:line="221" w:lineRule="auto"/>
        <w:ind w:left="3"/>
        <w:rPr>
          <w:rFonts w:ascii="黑体" w:hAnsi="黑体" w:eastAsia="黑体" w:cs="黑体"/>
        </w:rPr>
      </w:pPr>
      <w:r>
        <w:rPr>
          <w:b/>
          <w:bCs/>
          <w:spacing w:val="-11"/>
        </w:rPr>
        <w:t>17.1</w:t>
      </w:r>
      <w:r>
        <w:rPr>
          <w:spacing w:val="-11"/>
        </w:rPr>
        <w:t xml:space="preserve"> </w:t>
      </w:r>
      <w:r>
        <w:rPr>
          <w:rFonts w:ascii="黑体" w:hAnsi="黑体" w:eastAsia="黑体" w:cs="黑体"/>
          <w:b/>
          <w:bCs/>
          <w:spacing w:val="-11"/>
        </w:rPr>
        <w:t>不可抗力的确认</w:t>
      </w:r>
    </w:p>
    <w:p w14:paraId="0B12EC33">
      <w:pPr>
        <w:pStyle w:val="2"/>
        <w:spacing w:before="134" w:line="219" w:lineRule="auto"/>
        <w:ind w:left="419"/>
        <w:rPr>
          <w:sz w:val="20"/>
          <w:szCs w:val="20"/>
        </w:rPr>
      </w:pPr>
      <w:r>
        <w:rPr>
          <w:spacing w:val="9"/>
          <w:sz w:val="20"/>
          <w:szCs w:val="20"/>
        </w:rPr>
        <w:t>除通用合同条款约定的不可抗力事件之外，视</w:t>
      </w:r>
      <w:r>
        <w:rPr>
          <w:spacing w:val="8"/>
          <w:sz w:val="20"/>
          <w:szCs w:val="20"/>
        </w:rPr>
        <w:t>为不可抗力的其他情形：</w:t>
      </w:r>
    </w:p>
    <w:p w14:paraId="3AAB3140">
      <w:pPr>
        <w:spacing w:line="444" w:lineRule="auto"/>
        <w:rPr>
          <w:rFonts w:ascii="Arial"/>
          <w:sz w:val="21"/>
        </w:rPr>
      </w:pPr>
      <w:r>
        <mc:AlternateContent>
          <mc:Choice Requires="wps">
            <w:drawing>
              <wp:anchor distT="0" distB="0" distL="0" distR="0" simplePos="0" relativeHeight="251736064" behindDoc="0" locked="0" layoutInCell="1" allowOverlap="1">
                <wp:simplePos x="0" y="0"/>
                <wp:positionH relativeFrom="column">
                  <wp:posOffset>5348605</wp:posOffset>
                </wp:positionH>
                <wp:positionV relativeFrom="paragraph">
                  <wp:posOffset>153670</wp:posOffset>
                </wp:positionV>
                <wp:extent cx="48895" cy="106680"/>
                <wp:effectExtent l="0" t="0" r="0" b="0"/>
                <wp:wrapNone/>
                <wp:docPr id="180" name="TextBox 180"/>
                <wp:cNvGraphicFramePr/>
                <a:graphic xmlns:a="http://schemas.openxmlformats.org/drawingml/2006/main">
                  <a:graphicData uri="http://schemas.microsoft.com/office/word/2010/wordprocessingShape">
                    <wps:wsp>
                      <wps:cNvSpPr txBox="1"/>
                      <wps:spPr>
                        <a:xfrm rot="16200000">
                          <a:off x="5348632" y="153822"/>
                          <a:ext cx="48894" cy="106679"/>
                        </a:xfrm>
                        <a:prstGeom prst="rect">
                          <a:avLst/>
                        </a:prstGeom>
                        <a:noFill/>
                        <a:ln w="0" cap="flat">
                          <a:noFill/>
                          <a:prstDash val="solid"/>
                          <a:miter lim="0"/>
                        </a:ln>
                      </wps:spPr>
                      <wps:style>
                        <a:lnRef idx="0">
                          <a:schemeClr val="accent1"/>
                        </a:lnRef>
                        <a:fillRef idx="0">
                          <a:schemeClr val="accent1"/>
                        </a:fillRef>
                        <a:effectRef idx="0">
                          <a:schemeClr val="accent1"/>
                        </a:effectRef>
                        <a:fontRef idx="minor">
                          <a:schemeClr val="dk1"/>
                        </a:fontRef>
                      </wps:style>
                      <wps:txbx>
                        <w:txbxContent>
                          <w:p w14:paraId="5B12DF6E">
                            <w:pPr>
                              <w:pStyle w:val="2"/>
                              <w:spacing w:before="43"/>
                              <w:ind w:left="20"/>
                              <w:rPr>
                                <w:sz w:val="8"/>
                                <w:szCs w:val="8"/>
                              </w:rPr>
                            </w:pPr>
                            <w:r>
                              <w:rPr>
                                <w:sz w:val="8"/>
                                <w:szCs w:val="8"/>
                              </w:rPr>
                              <w:t>0</w:t>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TextBox 180" o:spid="_x0000_s1026" o:spt="202" type="#_x0000_t202" style="position:absolute;left:0pt;margin-left:421.15pt;margin-top:12.1pt;height:8.4pt;width:3.85pt;rotation:-5898240f;z-index:251736064;mso-width-relative:page;mso-height-relative:page;" filled="f" stroked="f" coordsize="21600,21600" o:gfxdata="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">
                <v:fill on="f" focussize="0,0"/>
                <v:stroke on="f" weight="0pt" miterlimit="0" joinstyle="miter"/>
                <v:imagedata o:title=""/>
                <o:lock v:ext="edit" aspectratio="f"/>
                <v:textbox inset="0mm,0mm,0mm,0mm">
                  <w:txbxContent>
                    <w:p w14:paraId="5B12DF6E">
                      <w:pPr>
                        <w:pStyle w:val="2"/>
                        <w:spacing w:before="43"/>
                        <w:ind w:left="20"/>
                        <w:rPr>
                          <w:sz w:val="8"/>
                          <w:szCs w:val="8"/>
                        </w:rPr>
                      </w:pPr>
                      <w:r>
                        <w:rPr>
                          <w:sz w:val="8"/>
                          <w:szCs w:val="8"/>
                        </w:rPr>
                        <w:t>0</w:t>
                      </w:r>
                    </w:p>
                  </w:txbxContent>
                </v:textbox>
              </v:shape>
            </w:pict>
          </mc:Fallback>
        </mc:AlternateContent>
      </w:r>
      <w:r>
        <w:drawing>
          <wp:anchor distT="0" distB="0" distL="0" distR="0" simplePos="0" relativeHeight="251735040" behindDoc="0" locked="0" layoutInCell="1" allowOverlap="1">
            <wp:simplePos x="0" y="0"/>
            <wp:positionH relativeFrom="column">
              <wp:posOffset>253365</wp:posOffset>
            </wp:positionH>
            <wp:positionV relativeFrom="paragraph">
              <wp:posOffset>231140</wp:posOffset>
            </wp:positionV>
            <wp:extent cx="5105400" cy="6350"/>
            <wp:effectExtent l="0" t="0" r="0" b="0"/>
            <wp:wrapNone/>
            <wp:docPr id="182" name="IM 182"/>
            <wp:cNvGraphicFramePr/>
            <a:graphic xmlns:a="http://schemas.openxmlformats.org/drawingml/2006/main">
              <a:graphicData uri="http://schemas.openxmlformats.org/drawingml/2006/picture">
                <pic:pic xmlns:pic="http://schemas.openxmlformats.org/drawingml/2006/picture">
                  <pic:nvPicPr>
                    <pic:cNvPr id="182" name="IM 182"/>
                    <pic:cNvPicPr/>
                  </pic:nvPicPr>
                  <pic:blipFill>
                    <a:blip r:embed="rId466"/>
                    <a:stretch>
                      <a:fillRect/>
                    </a:stretch>
                  </pic:blipFill>
                  <pic:spPr>
                    <a:xfrm>
                      <a:off x="0" y="0"/>
                      <a:ext cx="5105377" cy="6350"/>
                    </a:xfrm>
                    <a:prstGeom prst="rect">
                      <a:avLst/>
                    </a:prstGeom>
                  </pic:spPr>
                </pic:pic>
              </a:graphicData>
            </a:graphic>
          </wp:anchor>
        </w:drawing>
      </w:r>
    </w:p>
    <w:p w14:paraId="6EB0E3A0">
      <w:pPr>
        <w:pStyle w:val="2"/>
        <w:spacing w:before="83" w:line="221" w:lineRule="auto"/>
        <w:ind w:left="3"/>
        <w:rPr>
          <w:rFonts w:ascii="黑体" w:hAnsi="黑体" w:eastAsia="黑体" w:cs="黑体"/>
        </w:rPr>
      </w:pPr>
      <w:r>
        <w:rPr>
          <w:b/>
          <w:bCs/>
          <w:spacing w:val="-12"/>
        </w:rPr>
        <w:t>17.4</w:t>
      </w:r>
      <w:r>
        <w:rPr>
          <w:spacing w:val="33"/>
        </w:rPr>
        <w:t xml:space="preserve"> </w:t>
      </w:r>
      <w:r>
        <w:rPr>
          <w:rFonts w:ascii="黑体" w:hAnsi="黑体" w:eastAsia="黑体" w:cs="黑体"/>
          <w:b/>
          <w:bCs/>
          <w:spacing w:val="-12"/>
        </w:rPr>
        <w:t>因不可抗力解除合同</w:t>
      </w:r>
    </w:p>
    <w:p w14:paraId="13A5B88E">
      <w:pPr>
        <w:pStyle w:val="2"/>
        <w:spacing w:before="133" w:line="229" w:lineRule="auto"/>
        <w:ind w:left="419"/>
        <w:rPr>
          <w:sz w:val="20"/>
          <w:szCs w:val="20"/>
        </w:rPr>
      </w:pPr>
      <w:r>
        <w:rPr>
          <w:spacing w:val="9"/>
          <w:sz w:val="20"/>
          <w:szCs w:val="20"/>
        </w:rPr>
        <w:t>合同解除后，发包人应在商定或确定发包人应支付款项后</w:t>
      </w:r>
      <w:r>
        <w:rPr>
          <w:spacing w:val="-84"/>
          <w:sz w:val="20"/>
          <w:szCs w:val="20"/>
        </w:rPr>
        <w:t xml:space="preserve"> </w:t>
      </w:r>
      <w:r>
        <w:rPr>
          <w:spacing w:val="8"/>
          <w:sz w:val="20"/>
          <w:szCs w:val="20"/>
          <w:u w:val="single" w:color="auto"/>
        </w:rPr>
        <w:t xml:space="preserve">      </w:t>
      </w:r>
      <w:r>
        <w:rPr>
          <w:spacing w:val="8"/>
          <w:position w:val="1"/>
          <w:sz w:val="20"/>
          <w:szCs w:val="20"/>
        </w:rPr>
        <w:t>天内完成款项的支付。</w:t>
      </w:r>
    </w:p>
    <w:p w14:paraId="62E75F96">
      <w:pPr>
        <w:pStyle w:val="2"/>
        <w:spacing w:before="163" w:line="222" w:lineRule="auto"/>
        <w:ind w:left="4"/>
        <w:rPr>
          <w:rFonts w:ascii="黑体" w:hAnsi="黑体" w:eastAsia="黑体" w:cs="黑体"/>
          <w:sz w:val="30"/>
          <w:szCs w:val="30"/>
        </w:rPr>
      </w:pPr>
      <w:r>
        <w:rPr>
          <w:b/>
          <w:bCs/>
          <w:spacing w:val="-11"/>
          <w:sz w:val="30"/>
          <w:szCs w:val="30"/>
        </w:rPr>
        <w:t>18.</w:t>
      </w:r>
      <w:r>
        <w:rPr>
          <w:spacing w:val="-87"/>
          <w:sz w:val="30"/>
          <w:szCs w:val="30"/>
        </w:rPr>
        <w:t xml:space="preserve"> </w:t>
      </w:r>
      <w:r>
        <w:rPr>
          <w:rFonts w:ascii="黑体" w:hAnsi="黑体" w:eastAsia="黑体" w:cs="黑体"/>
          <w:b/>
          <w:bCs/>
          <w:spacing w:val="-11"/>
          <w:sz w:val="30"/>
          <w:szCs w:val="30"/>
        </w:rPr>
        <w:t>保险</w:t>
      </w:r>
    </w:p>
    <w:p w14:paraId="756157E4">
      <w:pPr>
        <w:pStyle w:val="2"/>
        <w:spacing w:before="86" w:line="222" w:lineRule="auto"/>
        <w:ind w:left="3"/>
        <w:rPr>
          <w:rFonts w:ascii="黑体" w:hAnsi="黑体" w:eastAsia="黑体" w:cs="黑体"/>
        </w:rPr>
      </w:pPr>
      <w:r>
        <w:rPr>
          <w:b/>
          <w:bCs/>
          <w:spacing w:val="-10"/>
        </w:rPr>
        <w:t>18.1</w:t>
      </w:r>
      <w:r>
        <w:rPr>
          <w:spacing w:val="-10"/>
        </w:rPr>
        <w:t xml:space="preserve"> </w:t>
      </w:r>
      <w:r>
        <w:rPr>
          <w:rFonts w:ascii="黑体" w:hAnsi="黑体" w:eastAsia="黑体" w:cs="黑体"/>
          <w:b/>
          <w:bCs/>
          <w:spacing w:val="-10"/>
        </w:rPr>
        <w:t>工程保险</w:t>
      </w:r>
    </w:p>
    <w:p w14:paraId="6F065DE2">
      <w:pPr>
        <w:pStyle w:val="2"/>
        <w:spacing w:before="133" w:line="219" w:lineRule="auto"/>
        <w:ind w:left="419"/>
        <w:rPr>
          <w:sz w:val="20"/>
          <w:szCs w:val="20"/>
        </w:rPr>
      </w:pPr>
      <w:r>
        <w:rPr>
          <w:spacing w:val="6"/>
          <w:sz w:val="20"/>
          <w:szCs w:val="20"/>
        </w:rPr>
        <w:t>关于工程保险的特别约定：</w:t>
      </w:r>
    </w:p>
    <w:p w14:paraId="76C1F22F">
      <w:pPr>
        <w:spacing w:line="265" w:lineRule="auto"/>
        <w:rPr>
          <w:rFonts w:ascii="Arial"/>
          <w:sz w:val="21"/>
        </w:rPr>
      </w:pPr>
    </w:p>
    <w:p w14:paraId="7C996ED1">
      <w:pPr>
        <w:tabs>
          <w:tab w:val="left" w:pos="8419"/>
        </w:tabs>
        <w:spacing w:before="23" w:line="142" w:lineRule="auto"/>
        <w:ind w:left="419"/>
        <w:rPr>
          <w:rFonts w:ascii="Times New Roman" w:hAnsi="Times New Roman" w:eastAsia="Times New Roman" w:cs="Times New Roman"/>
          <w:sz w:val="8"/>
          <w:szCs w:val="8"/>
        </w:rPr>
      </w:pPr>
      <w:r>
        <w:rPr>
          <w:rFonts w:ascii="Times New Roman" w:hAnsi="Times New Roman" w:eastAsia="Times New Roman" w:cs="Times New Roman"/>
          <w:sz w:val="8"/>
          <w:szCs w:val="8"/>
          <w:u w:val="single" w:color="auto"/>
        </w:rPr>
        <w:tab/>
      </w:r>
      <w:r>
        <w:rPr>
          <w:rFonts w:ascii="Times New Roman" w:hAnsi="Times New Roman" w:eastAsia="Times New Roman" w:cs="Times New Roman"/>
          <w:spacing w:val="1"/>
          <w:sz w:val="8"/>
          <w:szCs w:val="8"/>
          <w:u w:val="dotted" w:color="auto"/>
        </w:rPr>
        <w:t xml:space="preserve">  </w:t>
      </w:r>
      <w:r>
        <w:rPr>
          <w:rFonts w:ascii="Times New Roman" w:hAnsi="Times New Roman" w:eastAsia="Times New Roman" w:cs="Times New Roman"/>
          <w:spacing w:val="-19"/>
          <w:sz w:val="8"/>
          <w:szCs w:val="8"/>
        </w:rPr>
        <w:t xml:space="preserve"> </w:t>
      </w:r>
      <w:r>
        <w:rPr>
          <w:rFonts w:ascii="Times New Roman" w:hAnsi="Times New Roman" w:eastAsia="Times New Roman" w:cs="Times New Roman"/>
          <w:sz w:val="8"/>
          <w:szCs w:val="8"/>
        </w:rPr>
        <w:t>o</w:t>
      </w:r>
    </w:p>
    <w:p w14:paraId="624EF51B">
      <w:pPr>
        <w:pStyle w:val="2"/>
        <w:spacing w:before="177" w:line="222" w:lineRule="auto"/>
        <w:ind w:left="3"/>
        <w:rPr>
          <w:rFonts w:ascii="黑体" w:hAnsi="黑体" w:eastAsia="黑体" w:cs="黑体"/>
        </w:rPr>
      </w:pPr>
      <w:r>
        <w:rPr>
          <w:b/>
          <w:bCs/>
          <w:spacing w:val="-10"/>
        </w:rPr>
        <w:t>18.3</w:t>
      </w:r>
      <w:r>
        <w:rPr>
          <w:spacing w:val="-10"/>
        </w:rPr>
        <w:t xml:space="preserve"> </w:t>
      </w:r>
      <w:r>
        <w:rPr>
          <w:rFonts w:ascii="黑体" w:hAnsi="黑体" w:eastAsia="黑体" w:cs="黑体"/>
          <w:b/>
          <w:bCs/>
          <w:spacing w:val="-10"/>
        </w:rPr>
        <w:t>其他保险</w:t>
      </w:r>
    </w:p>
    <w:p w14:paraId="652369F0">
      <w:pPr>
        <w:pStyle w:val="2"/>
        <w:spacing w:before="151" w:line="220" w:lineRule="auto"/>
        <w:ind w:left="419"/>
        <w:rPr>
          <w:sz w:val="20"/>
          <w:szCs w:val="20"/>
        </w:rPr>
      </w:pPr>
      <w:r>
        <w:rPr>
          <w:spacing w:val="6"/>
          <w:sz w:val="20"/>
          <w:szCs w:val="20"/>
        </w:rPr>
        <w:t>关于其他保险的约定：</w:t>
      </w:r>
    </w:p>
    <w:p w14:paraId="4DEE00BF">
      <w:pPr>
        <w:spacing w:line="220" w:lineRule="auto"/>
        <w:rPr>
          <w:sz w:val="20"/>
          <w:szCs w:val="20"/>
        </w:rPr>
        <w:sectPr>
          <w:headerReference r:id="rId264" w:type="default"/>
          <w:footerReference r:id="rId265" w:type="default"/>
          <w:pgSz w:w="11910" w:h="16840"/>
          <w:pgMar w:top="2057" w:right="1511" w:bottom="1024" w:left="1460" w:header="1916" w:footer="889" w:gutter="0"/>
          <w:cols w:space="720" w:num="1"/>
        </w:sectPr>
      </w:pPr>
    </w:p>
    <w:p w14:paraId="409693D8">
      <w:pPr>
        <w:spacing w:line="251" w:lineRule="auto"/>
        <w:rPr>
          <w:rFonts w:ascii="Arial"/>
          <w:sz w:val="21"/>
        </w:rPr>
      </w:pPr>
    </w:p>
    <w:p w14:paraId="3D87D475">
      <w:pPr>
        <w:spacing w:line="251" w:lineRule="auto"/>
        <w:rPr>
          <w:rFonts w:ascii="Arial"/>
          <w:sz w:val="21"/>
        </w:rPr>
      </w:pPr>
    </w:p>
    <w:p w14:paraId="2FF90ACA">
      <w:pPr>
        <w:spacing w:line="252" w:lineRule="auto"/>
        <w:rPr>
          <w:rFonts w:ascii="Arial"/>
          <w:sz w:val="21"/>
        </w:rPr>
      </w:pPr>
    </w:p>
    <w:p w14:paraId="2F069907">
      <w:pPr>
        <w:spacing w:line="252" w:lineRule="auto"/>
        <w:rPr>
          <w:rFonts w:ascii="Arial"/>
          <w:sz w:val="21"/>
        </w:rPr>
      </w:pPr>
    </w:p>
    <w:p w14:paraId="173CABE7">
      <w:pPr>
        <w:spacing w:line="252" w:lineRule="auto"/>
        <w:rPr>
          <w:rFonts w:ascii="Arial"/>
          <w:sz w:val="21"/>
        </w:rPr>
      </w:pPr>
    </w:p>
    <w:p w14:paraId="69EBD18E">
      <w:pPr>
        <w:spacing w:line="252" w:lineRule="auto"/>
        <w:rPr>
          <w:rFonts w:ascii="Arial"/>
          <w:sz w:val="21"/>
        </w:rPr>
      </w:pPr>
    </w:p>
    <w:p w14:paraId="6893DC9E">
      <w:pPr>
        <w:spacing w:line="252" w:lineRule="auto"/>
        <w:rPr>
          <w:rFonts w:ascii="Arial"/>
          <w:sz w:val="21"/>
        </w:rPr>
      </w:pPr>
      <w:r>
        <w:drawing>
          <wp:anchor distT="0" distB="0" distL="0" distR="0" simplePos="0" relativeHeight="251738112" behindDoc="0" locked="0" layoutInCell="1" allowOverlap="1">
            <wp:simplePos x="0" y="0"/>
            <wp:positionH relativeFrom="column">
              <wp:posOffset>258445</wp:posOffset>
            </wp:positionH>
            <wp:positionV relativeFrom="paragraph">
              <wp:posOffset>76835</wp:posOffset>
            </wp:positionV>
            <wp:extent cx="5111750" cy="6350"/>
            <wp:effectExtent l="0" t="0" r="0" b="0"/>
            <wp:wrapNone/>
            <wp:docPr id="184" name="IM 184"/>
            <wp:cNvGraphicFramePr/>
            <a:graphic xmlns:a="http://schemas.openxmlformats.org/drawingml/2006/main">
              <a:graphicData uri="http://schemas.openxmlformats.org/drawingml/2006/picture">
                <pic:pic xmlns:pic="http://schemas.openxmlformats.org/drawingml/2006/picture">
                  <pic:nvPicPr>
                    <pic:cNvPr id="184" name="IM 184"/>
                    <pic:cNvPicPr/>
                  </pic:nvPicPr>
                  <pic:blipFill>
                    <a:blip r:embed="rId478"/>
                    <a:stretch>
                      <a:fillRect/>
                    </a:stretch>
                  </pic:blipFill>
                  <pic:spPr>
                    <a:xfrm>
                      <a:off x="0" y="0"/>
                      <a:ext cx="5111729" cy="6350"/>
                    </a:xfrm>
                    <a:prstGeom prst="rect">
                      <a:avLst/>
                    </a:prstGeom>
                  </pic:spPr>
                </pic:pic>
              </a:graphicData>
            </a:graphic>
          </wp:anchor>
        </w:drawing>
      </w:r>
    </w:p>
    <w:p w14:paraId="01A637E0">
      <w:pPr>
        <w:pStyle w:val="2"/>
        <w:spacing w:before="65" w:line="219" w:lineRule="auto"/>
        <w:ind w:left="427"/>
        <w:rPr>
          <w:sz w:val="20"/>
          <w:szCs w:val="20"/>
        </w:rPr>
      </w:pPr>
      <w:r>
        <w:rPr>
          <w:spacing w:val="7"/>
          <w:sz w:val="20"/>
          <w:szCs w:val="20"/>
        </w:rPr>
        <w:t>承包人是否应为其施工设备等办理财产保险：</w:t>
      </w:r>
    </w:p>
    <w:p w14:paraId="4EC18869">
      <w:pPr>
        <w:spacing w:line="421" w:lineRule="auto"/>
        <w:rPr>
          <w:rFonts w:ascii="Arial"/>
          <w:sz w:val="21"/>
        </w:rPr>
      </w:pPr>
      <w:r>
        <w:drawing>
          <wp:anchor distT="0" distB="0" distL="0" distR="0" simplePos="0" relativeHeight="251737088" behindDoc="0" locked="0" layoutInCell="1" allowOverlap="1">
            <wp:simplePos x="0" y="0"/>
            <wp:positionH relativeFrom="column">
              <wp:posOffset>258445</wp:posOffset>
            </wp:positionH>
            <wp:positionV relativeFrom="paragraph">
              <wp:posOffset>237490</wp:posOffset>
            </wp:positionV>
            <wp:extent cx="5118100" cy="6350"/>
            <wp:effectExtent l="0" t="0" r="0" b="0"/>
            <wp:wrapNone/>
            <wp:docPr id="186" name="IM 186"/>
            <wp:cNvGraphicFramePr/>
            <a:graphic xmlns:a="http://schemas.openxmlformats.org/drawingml/2006/main">
              <a:graphicData uri="http://schemas.openxmlformats.org/drawingml/2006/picture">
                <pic:pic xmlns:pic="http://schemas.openxmlformats.org/drawingml/2006/picture">
                  <pic:nvPicPr>
                    <pic:cNvPr id="186" name="IM 186"/>
                    <pic:cNvPicPr/>
                  </pic:nvPicPr>
                  <pic:blipFill>
                    <a:blip r:embed="rId456"/>
                    <a:stretch>
                      <a:fillRect/>
                    </a:stretch>
                  </pic:blipFill>
                  <pic:spPr>
                    <a:xfrm>
                      <a:off x="0" y="0"/>
                      <a:ext cx="5118083" cy="6350"/>
                    </a:xfrm>
                    <a:prstGeom prst="rect">
                      <a:avLst/>
                    </a:prstGeom>
                  </pic:spPr>
                </pic:pic>
              </a:graphicData>
            </a:graphic>
          </wp:anchor>
        </w:drawing>
      </w:r>
    </w:p>
    <w:p w14:paraId="00EE6020">
      <w:pPr>
        <w:pStyle w:val="2"/>
        <w:spacing w:before="85" w:line="221" w:lineRule="auto"/>
        <w:rPr>
          <w:rFonts w:ascii="黑体" w:hAnsi="黑体" w:eastAsia="黑体" w:cs="黑体"/>
          <w:sz w:val="26"/>
          <w:szCs w:val="26"/>
        </w:rPr>
      </w:pPr>
      <w:r>
        <w:rPr>
          <w:b/>
          <w:bCs/>
          <w:spacing w:val="-15"/>
          <w:sz w:val="26"/>
          <w:szCs w:val="26"/>
        </w:rPr>
        <w:t>18.7</w:t>
      </w:r>
      <w:r>
        <w:rPr>
          <w:spacing w:val="-15"/>
          <w:sz w:val="26"/>
          <w:szCs w:val="26"/>
        </w:rPr>
        <w:t xml:space="preserve"> </w:t>
      </w:r>
      <w:r>
        <w:rPr>
          <w:rFonts w:ascii="黑体" w:hAnsi="黑体" w:eastAsia="黑体" w:cs="黑体"/>
          <w:b/>
          <w:bCs/>
          <w:spacing w:val="-15"/>
          <w:sz w:val="26"/>
          <w:szCs w:val="26"/>
        </w:rPr>
        <w:t>通知义务</w:t>
      </w:r>
    </w:p>
    <w:p w14:paraId="6B0E3AC7">
      <w:pPr>
        <w:pStyle w:val="2"/>
        <w:spacing w:before="142" w:line="219" w:lineRule="auto"/>
        <w:ind w:left="427"/>
        <w:rPr>
          <w:sz w:val="20"/>
          <w:szCs w:val="20"/>
        </w:rPr>
      </w:pPr>
      <w:r>
        <w:rPr>
          <w:spacing w:val="7"/>
          <w:sz w:val="20"/>
          <w:szCs w:val="20"/>
        </w:rPr>
        <w:t>关于变更保险合同时的通知义务的约定：</w:t>
      </w:r>
    </w:p>
    <w:p w14:paraId="70202C12">
      <w:pPr>
        <w:spacing w:line="282" w:lineRule="auto"/>
        <w:rPr>
          <w:rFonts w:ascii="Arial"/>
          <w:sz w:val="21"/>
        </w:rPr>
      </w:pPr>
    </w:p>
    <w:p w14:paraId="0D6F9CF2">
      <w:pPr>
        <w:spacing w:line="69" w:lineRule="exact"/>
        <w:ind w:firstLine="427"/>
      </w:pPr>
      <w:r>
        <w:rPr>
          <w:position w:val="-1"/>
        </w:rPr>
        <w:drawing>
          <wp:inline distT="0" distB="0" distL="0" distR="0">
            <wp:extent cx="5136515" cy="43180"/>
            <wp:effectExtent l="0" t="0" r="0" b="0"/>
            <wp:docPr id="188" name="IM 188"/>
            <wp:cNvGraphicFramePr/>
            <a:graphic xmlns:a="http://schemas.openxmlformats.org/drawingml/2006/main">
              <a:graphicData uri="http://schemas.openxmlformats.org/drawingml/2006/picture">
                <pic:pic xmlns:pic="http://schemas.openxmlformats.org/drawingml/2006/picture">
                  <pic:nvPicPr>
                    <pic:cNvPr id="188" name="IM 188"/>
                    <pic:cNvPicPr/>
                  </pic:nvPicPr>
                  <pic:blipFill>
                    <a:blip r:embed="rId482"/>
                    <a:stretch>
                      <a:fillRect/>
                    </a:stretch>
                  </pic:blipFill>
                  <pic:spPr>
                    <a:xfrm>
                      <a:off x="0" y="0"/>
                      <a:ext cx="5137141" cy="43509"/>
                    </a:xfrm>
                    <a:prstGeom prst="rect">
                      <a:avLst/>
                    </a:prstGeom>
                  </pic:spPr>
                </pic:pic>
              </a:graphicData>
            </a:graphic>
          </wp:inline>
        </w:drawing>
      </w:r>
    </w:p>
    <w:p w14:paraId="25297E77">
      <w:pPr>
        <w:pStyle w:val="2"/>
        <w:spacing w:before="217" w:line="222" w:lineRule="auto"/>
        <w:ind w:left="1"/>
        <w:rPr>
          <w:rFonts w:ascii="黑体" w:hAnsi="黑体" w:eastAsia="黑体" w:cs="黑体"/>
          <w:sz w:val="30"/>
          <w:szCs w:val="30"/>
        </w:rPr>
      </w:pPr>
      <w:r>
        <w:rPr>
          <w:b/>
          <w:bCs/>
          <w:sz w:val="30"/>
          <w:szCs w:val="30"/>
        </w:rPr>
        <w:t>20.</w:t>
      </w:r>
      <w:r>
        <w:rPr>
          <w:rFonts w:ascii="黑体" w:hAnsi="黑体" w:eastAsia="黑体" w:cs="黑体"/>
          <w:b/>
          <w:bCs/>
          <w:sz w:val="30"/>
          <w:szCs w:val="30"/>
        </w:rPr>
        <w:t>争议解决</w:t>
      </w:r>
    </w:p>
    <w:p w14:paraId="3448BDC5">
      <w:pPr>
        <w:pStyle w:val="2"/>
        <w:spacing w:before="78" w:line="222" w:lineRule="auto"/>
        <w:rPr>
          <w:rFonts w:ascii="黑体" w:hAnsi="黑体" w:eastAsia="黑体" w:cs="黑体"/>
          <w:sz w:val="26"/>
          <w:szCs w:val="26"/>
        </w:rPr>
      </w:pPr>
      <w:r>
        <w:rPr>
          <w:b/>
          <w:bCs/>
          <w:spacing w:val="-14"/>
          <w:sz w:val="26"/>
          <w:szCs w:val="26"/>
        </w:rPr>
        <w:t>20.3</w:t>
      </w:r>
      <w:r>
        <w:rPr>
          <w:spacing w:val="-15"/>
          <w:sz w:val="26"/>
          <w:szCs w:val="26"/>
        </w:rPr>
        <w:t xml:space="preserve"> </w:t>
      </w:r>
      <w:r>
        <w:rPr>
          <w:rFonts w:ascii="黑体" w:hAnsi="黑体" w:eastAsia="黑体" w:cs="黑体"/>
          <w:b/>
          <w:bCs/>
          <w:spacing w:val="-14"/>
          <w:sz w:val="26"/>
          <w:szCs w:val="26"/>
        </w:rPr>
        <w:t>争议评审</w:t>
      </w:r>
    </w:p>
    <w:p w14:paraId="209169C1">
      <w:pPr>
        <w:pStyle w:val="2"/>
        <w:spacing w:before="141" w:line="219" w:lineRule="auto"/>
        <w:ind w:left="427"/>
        <w:rPr>
          <w:sz w:val="20"/>
          <w:szCs w:val="20"/>
        </w:rPr>
      </w:pPr>
      <w:r>
        <w:rPr>
          <w:spacing w:val="8"/>
          <w:sz w:val="20"/>
          <w:szCs w:val="20"/>
        </w:rPr>
        <w:t>合同当事人是否同意将工程争议提交争议评审小组决</w:t>
      </w:r>
      <w:r>
        <w:rPr>
          <w:spacing w:val="7"/>
          <w:sz w:val="20"/>
          <w:szCs w:val="20"/>
        </w:rPr>
        <w:t>定：</w:t>
      </w:r>
    </w:p>
    <w:p w14:paraId="07507C05">
      <w:pPr>
        <w:spacing w:line="264" w:lineRule="auto"/>
        <w:rPr>
          <w:rFonts w:ascii="Arial"/>
          <w:sz w:val="21"/>
        </w:rPr>
      </w:pPr>
    </w:p>
    <w:p w14:paraId="2DFE6E07">
      <w:pPr>
        <w:tabs>
          <w:tab w:val="left" w:pos="8427"/>
        </w:tabs>
        <w:spacing w:before="21" w:line="142" w:lineRule="auto"/>
        <w:ind w:left="427"/>
        <w:rPr>
          <w:rFonts w:ascii="Times New Roman" w:hAnsi="Times New Roman" w:eastAsia="Times New Roman" w:cs="Times New Roman"/>
          <w:sz w:val="7"/>
          <w:szCs w:val="7"/>
        </w:rPr>
      </w:pPr>
      <w:r>
        <w:rPr>
          <w:rFonts w:ascii="Times New Roman" w:hAnsi="Times New Roman" w:eastAsia="Times New Roman" w:cs="Times New Roman"/>
          <w:sz w:val="7"/>
          <w:szCs w:val="7"/>
          <w:u w:val="single" w:color="auto"/>
        </w:rPr>
        <w:tab/>
      </w:r>
      <w:r>
        <w:rPr>
          <w:rFonts w:ascii="Times New Roman" w:hAnsi="Times New Roman" w:eastAsia="Times New Roman" w:cs="Times New Roman"/>
          <w:sz w:val="7"/>
          <w:szCs w:val="7"/>
        </w:rPr>
        <w:t>_o</w:t>
      </w:r>
    </w:p>
    <w:sdt>
      <w:sdtPr>
        <w:rPr>
          <w:rFonts w:ascii="宋体" w:hAnsi="宋体" w:eastAsia="宋体" w:cs="宋体"/>
          <w:sz w:val="20"/>
          <w:szCs w:val="20"/>
        </w:rPr>
        <w:id w:val="147458741"/>
        <w:docPartObj>
          <w:docPartGallery w:val="Table of Contents"/>
          <w:docPartUnique/>
        </w:docPartObj>
      </w:sdtPr>
      <w:sdtEndPr>
        <w:rPr>
          <w:rFonts w:ascii="Times New Roman" w:hAnsi="Times New Roman" w:eastAsia="Times New Roman" w:cs="Times New Roman"/>
          <w:sz w:val="20"/>
          <w:szCs w:val="20"/>
        </w:rPr>
      </w:sdtEndPr>
      <w:sdtContent>
        <w:p w14:paraId="589CB7D9">
          <w:pPr>
            <w:pStyle w:val="2"/>
            <w:spacing w:before="108" w:line="219" w:lineRule="auto"/>
            <w:ind w:left="427"/>
            <w:rPr>
              <w:sz w:val="20"/>
              <w:szCs w:val="20"/>
            </w:rPr>
          </w:pPr>
          <w:r>
            <w:rPr>
              <w:spacing w:val="6"/>
              <w:sz w:val="20"/>
              <w:szCs w:val="20"/>
            </w:rPr>
            <w:t>20.3.1</w:t>
          </w:r>
          <w:r>
            <w:rPr>
              <w:spacing w:val="42"/>
              <w:sz w:val="20"/>
              <w:szCs w:val="20"/>
            </w:rPr>
            <w:t xml:space="preserve"> </w:t>
          </w:r>
          <w:r>
            <w:rPr>
              <w:spacing w:val="6"/>
              <w:sz w:val="20"/>
              <w:szCs w:val="20"/>
            </w:rPr>
            <w:t>争议评审小组的确定</w:t>
          </w:r>
        </w:p>
        <w:p w14:paraId="4DAF35FE">
          <w:pPr>
            <w:pStyle w:val="2"/>
            <w:spacing w:before="183" w:line="219" w:lineRule="auto"/>
            <w:ind w:left="427"/>
            <w:rPr>
              <w:rFonts w:ascii="Times New Roman" w:hAnsi="Times New Roman" w:eastAsia="Times New Roman" w:cs="Times New Roman"/>
              <w:sz w:val="20"/>
              <w:szCs w:val="20"/>
            </w:rPr>
          </w:pPr>
          <w:r>
            <w:rPr>
              <w:spacing w:val="-3"/>
              <w:sz w:val="20"/>
              <w:szCs w:val="20"/>
            </w:rPr>
            <w:t>争议评审小组成员的确定：</w:t>
          </w:r>
          <w:r>
            <w:rPr>
              <w:spacing w:val="68"/>
              <w:sz w:val="20"/>
              <w:szCs w:val="20"/>
            </w:rPr>
            <w:t xml:space="preserve"> </w:t>
          </w:r>
          <w:r>
            <w:rPr>
              <w:spacing w:val="1"/>
              <w:sz w:val="20"/>
              <w:szCs w:val="20"/>
              <w:u w:val="single" w:color="auto"/>
            </w:rPr>
            <w:t xml:space="preserve">                              </w:t>
          </w:r>
          <w:r>
            <w:rPr>
              <w:spacing w:val="-71"/>
              <w:sz w:val="20"/>
              <w:szCs w:val="20"/>
            </w:rPr>
            <w:t xml:space="preserve"> </w:t>
          </w:r>
          <w:r>
            <w:fldChar w:fldCharType="begin"/>
          </w:r>
          <w:r>
            <w:instrText xml:space="preserve"> HYPERLINK \l "bookmark311" </w:instrText>
          </w:r>
          <w:r>
            <w:fldChar w:fldCharType="separate"/>
          </w:r>
          <w:r>
            <w:rPr>
              <w:rFonts w:ascii="Times New Roman" w:hAnsi="Times New Roman" w:eastAsia="Times New Roman" w:cs="Times New Roman"/>
              <w:spacing w:val="-3"/>
              <w:sz w:val="20"/>
              <w:szCs w:val="20"/>
            </w:rPr>
            <w:t>9</w:t>
          </w:r>
          <w:r>
            <w:rPr>
              <w:rFonts w:ascii="Times New Roman" w:hAnsi="Times New Roman" w:eastAsia="Times New Roman" w:cs="Times New Roman"/>
              <w:spacing w:val="-3"/>
              <w:sz w:val="20"/>
              <w:szCs w:val="20"/>
            </w:rPr>
            <w:fldChar w:fldCharType="end"/>
          </w:r>
        </w:p>
        <w:p w14:paraId="40E2B304">
          <w:pPr>
            <w:pStyle w:val="2"/>
            <w:spacing w:before="183" w:line="219" w:lineRule="auto"/>
            <w:ind w:left="427"/>
            <w:rPr>
              <w:sz w:val="20"/>
              <w:szCs w:val="20"/>
            </w:rPr>
          </w:pPr>
          <w:r>
            <w:rPr>
              <w:sz w:val="20"/>
              <w:szCs w:val="20"/>
            </w:rPr>
            <w:t xml:space="preserve">选定争议评审员的期限： </w:t>
          </w:r>
          <w:r>
            <w:rPr>
              <w:spacing w:val="2"/>
              <w:sz w:val="20"/>
              <w:szCs w:val="20"/>
              <w:u w:val="single" w:color="auto"/>
            </w:rPr>
            <w:t xml:space="preserve">                                </w:t>
          </w:r>
          <w:r>
            <w:rPr>
              <w:spacing w:val="-76"/>
              <w:sz w:val="20"/>
              <w:szCs w:val="20"/>
            </w:rPr>
            <w:t xml:space="preserve"> </w:t>
          </w:r>
          <w:r>
            <w:rPr>
              <w:sz w:val="20"/>
              <w:szCs w:val="20"/>
            </w:rPr>
            <w:t>◎</w:t>
          </w:r>
        </w:p>
        <w:p w14:paraId="771C398A">
          <w:pPr>
            <w:pStyle w:val="2"/>
            <w:spacing w:before="182" w:line="219" w:lineRule="auto"/>
            <w:ind w:left="427"/>
            <w:rPr>
              <w:rFonts w:ascii="Times New Roman" w:hAnsi="Times New Roman" w:eastAsia="Times New Roman" w:cs="Times New Roman"/>
              <w:sz w:val="20"/>
              <w:szCs w:val="20"/>
            </w:rPr>
          </w:pPr>
          <w:r>
            <w:rPr>
              <w:sz w:val="20"/>
              <w:szCs w:val="20"/>
            </w:rPr>
            <w:t>争议评审小组成员的报酬承担方式：</w:t>
          </w:r>
          <w:r>
            <w:rPr>
              <w:spacing w:val="39"/>
              <w:sz w:val="20"/>
              <w:szCs w:val="20"/>
            </w:rPr>
            <w:t xml:space="preserve"> </w:t>
          </w:r>
          <w:r>
            <w:rPr>
              <w:sz w:val="20"/>
              <w:szCs w:val="20"/>
              <w:u w:val="single" w:color="auto"/>
            </w:rPr>
            <w:t xml:space="preserve">                      </w:t>
          </w:r>
          <w:r>
            <w:rPr>
              <w:spacing w:val="-51"/>
              <w:sz w:val="20"/>
              <w:szCs w:val="20"/>
            </w:rPr>
            <w:t xml:space="preserve"> </w:t>
          </w:r>
          <w:r>
            <w:rPr>
              <w:rFonts w:ascii="Times New Roman" w:hAnsi="Times New Roman" w:eastAsia="Times New Roman" w:cs="Times New Roman"/>
              <w:sz w:val="20"/>
              <w:szCs w:val="20"/>
            </w:rPr>
            <w:t>o</w:t>
          </w:r>
        </w:p>
        <w:p w14:paraId="67AF5655">
          <w:pPr>
            <w:pStyle w:val="2"/>
            <w:spacing w:before="160" w:line="212" w:lineRule="auto"/>
            <w:ind w:left="427"/>
            <w:rPr>
              <w:rFonts w:ascii="Times New Roman" w:hAnsi="Times New Roman" w:eastAsia="Times New Roman" w:cs="Times New Roman"/>
              <w:sz w:val="20"/>
              <w:szCs w:val="20"/>
            </w:rPr>
          </w:pPr>
          <w:r>
            <w:rPr>
              <w:spacing w:val="-4"/>
              <w:sz w:val="20"/>
              <w:szCs w:val="20"/>
            </w:rPr>
            <w:t xml:space="preserve">其他事项的约定： </w:t>
          </w:r>
          <w:r>
            <w:rPr>
              <w:spacing w:val="-4"/>
              <w:sz w:val="20"/>
              <w:szCs w:val="20"/>
              <w:u w:val="single" w:color="auto"/>
            </w:rPr>
            <w:t xml:space="preserve">                                        </w:t>
          </w:r>
          <w:r>
            <w:rPr>
              <w:spacing w:val="-76"/>
              <w:sz w:val="20"/>
              <w:szCs w:val="20"/>
            </w:rPr>
            <w:t xml:space="preserve"> </w:t>
          </w:r>
          <w:r>
            <w:rPr>
              <w:rFonts w:ascii="Times New Roman" w:hAnsi="Times New Roman" w:eastAsia="Times New Roman" w:cs="Times New Roman"/>
              <w:spacing w:val="-4"/>
              <w:sz w:val="20"/>
              <w:szCs w:val="20"/>
            </w:rPr>
            <w:t>_o</w:t>
          </w:r>
        </w:p>
      </w:sdtContent>
    </w:sdt>
    <w:p w14:paraId="535833AB">
      <w:pPr>
        <w:pStyle w:val="2"/>
        <w:spacing w:before="253" w:line="219" w:lineRule="auto"/>
        <w:ind w:left="427"/>
        <w:rPr>
          <w:sz w:val="20"/>
          <w:szCs w:val="20"/>
        </w:rPr>
      </w:pPr>
      <w:r>
        <w:rPr>
          <w:spacing w:val="5"/>
          <w:sz w:val="20"/>
          <w:szCs w:val="20"/>
        </w:rPr>
        <w:t>20.3.2</w:t>
      </w:r>
      <w:r>
        <w:rPr>
          <w:spacing w:val="57"/>
          <w:sz w:val="20"/>
          <w:szCs w:val="20"/>
        </w:rPr>
        <w:t xml:space="preserve"> </w:t>
      </w:r>
      <w:r>
        <w:rPr>
          <w:spacing w:val="5"/>
          <w:sz w:val="20"/>
          <w:szCs w:val="20"/>
        </w:rPr>
        <w:t>争议评审小组的决定</w:t>
      </w:r>
    </w:p>
    <w:p w14:paraId="1FE0D61C">
      <w:pPr>
        <w:pStyle w:val="2"/>
        <w:spacing w:before="113" w:line="212" w:lineRule="auto"/>
        <w:ind w:left="427"/>
        <w:rPr>
          <w:rFonts w:ascii="Arial" w:hAnsi="Arial" w:eastAsia="Arial" w:cs="Arial"/>
          <w:sz w:val="20"/>
          <w:szCs w:val="20"/>
        </w:rPr>
      </w:pPr>
      <w:r>
        <w:rPr>
          <w:spacing w:val="-6"/>
          <w:sz w:val="20"/>
          <w:szCs w:val="20"/>
        </w:rPr>
        <w:t>合同当事人关于本项的约定：</w:t>
      </w:r>
      <w:r>
        <w:rPr>
          <w:spacing w:val="40"/>
          <w:sz w:val="20"/>
          <w:szCs w:val="20"/>
        </w:rPr>
        <w:t xml:space="preserve"> </w:t>
      </w:r>
      <w:r>
        <w:rPr>
          <w:spacing w:val="2"/>
          <w:sz w:val="20"/>
          <w:szCs w:val="20"/>
          <w:u w:val="single" w:color="auto"/>
        </w:rPr>
        <w:t xml:space="preserve">                    </w:t>
      </w:r>
      <w:r>
        <w:rPr>
          <w:spacing w:val="1"/>
          <w:sz w:val="20"/>
          <w:szCs w:val="20"/>
          <w:u w:val="single" w:color="auto"/>
        </w:rPr>
        <w:t xml:space="preserve">        </w:t>
      </w:r>
      <w:r>
        <w:rPr>
          <w:spacing w:val="-89"/>
          <w:sz w:val="20"/>
          <w:szCs w:val="20"/>
        </w:rPr>
        <w:t xml:space="preserve"> </w:t>
      </w:r>
      <w:r>
        <w:rPr>
          <w:rFonts w:ascii="Arial" w:hAnsi="Arial" w:eastAsia="Arial" w:cs="Arial"/>
          <w:spacing w:val="-6"/>
          <w:sz w:val="20"/>
          <w:szCs w:val="20"/>
        </w:rPr>
        <w:t>_o</w:t>
      </w:r>
    </w:p>
    <w:p w14:paraId="3FFED435">
      <w:pPr>
        <w:spacing w:before="195" w:line="220" w:lineRule="auto"/>
        <w:rPr>
          <w:rFonts w:ascii="黑体" w:hAnsi="黑体" w:eastAsia="黑体" w:cs="黑体"/>
          <w:sz w:val="20"/>
          <w:szCs w:val="20"/>
        </w:rPr>
      </w:pPr>
      <w:r>
        <w:rPr>
          <w:rFonts w:ascii="黑体" w:hAnsi="黑体" w:eastAsia="黑体" w:cs="黑体"/>
          <w:b/>
          <w:bCs/>
          <w:spacing w:val="25"/>
          <w:sz w:val="20"/>
          <w:szCs w:val="20"/>
        </w:rPr>
        <w:t>20</w:t>
      </w:r>
      <w:r>
        <w:rPr>
          <w:rFonts w:ascii="黑体" w:hAnsi="黑体" w:eastAsia="黑体" w:cs="黑体"/>
          <w:spacing w:val="-33"/>
          <w:sz w:val="20"/>
          <w:szCs w:val="20"/>
        </w:rPr>
        <w:t xml:space="preserve"> </w:t>
      </w:r>
      <w:r>
        <w:rPr>
          <w:rFonts w:ascii="黑体" w:hAnsi="黑体" w:eastAsia="黑体" w:cs="黑体"/>
          <w:b/>
          <w:bCs/>
          <w:spacing w:val="25"/>
          <w:sz w:val="20"/>
          <w:szCs w:val="20"/>
        </w:rPr>
        <w:t>.</w:t>
      </w:r>
      <w:r>
        <w:rPr>
          <w:rFonts w:ascii="黑体" w:hAnsi="黑体" w:eastAsia="黑体" w:cs="黑体"/>
          <w:spacing w:val="-52"/>
          <w:sz w:val="20"/>
          <w:szCs w:val="20"/>
        </w:rPr>
        <w:t xml:space="preserve"> </w:t>
      </w:r>
      <w:r>
        <w:rPr>
          <w:rFonts w:ascii="黑体" w:hAnsi="黑体" w:eastAsia="黑体" w:cs="黑体"/>
          <w:b/>
          <w:bCs/>
          <w:spacing w:val="25"/>
          <w:sz w:val="20"/>
          <w:szCs w:val="20"/>
        </w:rPr>
        <w:t>4仲裁或诉讼</w:t>
      </w:r>
    </w:p>
    <w:p w14:paraId="2CF506EE">
      <w:pPr>
        <w:pStyle w:val="2"/>
        <w:spacing w:before="158" w:line="219" w:lineRule="auto"/>
        <w:ind w:left="427"/>
        <w:rPr>
          <w:sz w:val="20"/>
          <w:szCs w:val="20"/>
        </w:rPr>
      </w:pPr>
      <w:r>
        <w:rPr>
          <w:spacing w:val="-2"/>
          <w:sz w:val="21"/>
          <w:szCs w:val="21"/>
        </w:rPr>
        <w:t>因合同及合同有关事项发生的争议，按下列第</w:t>
      </w:r>
      <w:r>
        <w:rPr>
          <w:spacing w:val="-91"/>
          <w:sz w:val="21"/>
          <w:szCs w:val="21"/>
        </w:rPr>
        <w:t xml:space="preserve"> </w:t>
      </w:r>
      <w:r>
        <w:rPr>
          <w:spacing w:val="13"/>
          <w:sz w:val="21"/>
          <w:szCs w:val="21"/>
          <w:u w:val="single" w:color="auto"/>
        </w:rPr>
        <w:t xml:space="preserve">     </w:t>
      </w:r>
      <w:r>
        <w:rPr>
          <w:spacing w:val="-105"/>
          <w:sz w:val="21"/>
          <w:szCs w:val="21"/>
        </w:rPr>
        <w:t xml:space="preserve"> </w:t>
      </w:r>
      <w:r>
        <w:rPr>
          <w:spacing w:val="-2"/>
          <w:sz w:val="20"/>
          <w:szCs w:val="20"/>
        </w:rPr>
        <w:t>种方式解决：</w:t>
      </w:r>
    </w:p>
    <w:p w14:paraId="4511C29A">
      <w:pPr>
        <w:pStyle w:val="2"/>
        <w:spacing w:before="170" w:line="236" w:lineRule="auto"/>
        <w:ind w:left="547"/>
        <w:rPr>
          <w:sz w:val="20"/>
          <w:szCs w:val="20"/>
        </w:rPr>
      </w:pPr>
      <w:r>
        <w:rPr>
          <w:spacing w:val="-1"/>
          <w:position w:val="2"/>
          <w:sz w:val="19"/>
          <w:szCs w:val="19"/>
        </w:rPr>
        <w:t>( 1</w:t>
      </w:r>
      <w:r>
        <w:rPr>
          <w:spacing w:val="-25"/>
          <w:position w:val="2"/>
          <w:sz w:val="19"/>
          <w:szCs w:val="19"/>
        </w:rPr>
        <w:t xml:space="preserve"> </w:t>
      </w:r>
      <w:r>
        <w:rPr>
          <w:spacing w:val="-1"/>
          <w:position w:val="2"/>
          <w:sz w:val="19"/>
          <w:szCs w:val="19"/>
        </w:rPr>
        <w:t>) 向</w:t>
      </w:r>
      <w:r>
        <w:rPr>
          <w:spacing w:val="-1"/>
          <w:position w:val="2"/>
          <w:sz w:val="19"/>
          <w:szCs w:val="19"/>
          <w:u w:val="single" w:color="auto"/>
        </w:rPr>
        <w:t xml:space="preserve">                       </w:t>
      </w:r>
      <w:r>
        <w:rPr>
          <w:spacing w:val="-1"/>
          <w:sz w:val="20"/>
          <w:szCs w:val="20"/>
        </w:rPr>
        <w:t>仲裁委员会申请</w:t>
      </w:r>
      <w:r>
        <w:rPr>
          <w:spacing w:val="-2"/>
          <w:sz w:val="20"/>
          <w:szCs w:val="20"/>
        </w:rPr>
        <w:t>仲裁；</w:t>
      </w:r>
    </w:p>
    <w:p w14:paraId="7D780D13">
      <w:pPr>
        <w:pStyle w:val="2"/>
        <w:spacing w:before="125" w:line="229" w:lineRule="auto"/>
        <w:ind w:left="527"/>
        <w:rPr>
          <w:sz w:val="20"/>
          <w:szCs w:val="20"/>
        </w:rPr>
      </w:pPr>
      <w:r>
        <w:rPr>
          <w:spacing w:val="-2"/>
          <w:position w:val="1"/>
          <w:sz w:val="20"/>
          <w:szCs w:val="20"/>
        </w:rPr>
        <w:t>(</w:t>
      </w:r>
      <w:r>
        <w:rPr>
          <w:spacing w:val="-13"/>
          <w:position w:val="1"/>
          <w:sz w:val="20"/>
          <w:szCs w:val="20"/>
        </w:rPr>
        <w:t xml:space="preserve"> </w:t>
      </w:r>
      <w:r>
        <w:rPr>
          <w:spacing w:val="-2"/>
          <w:position w:val="1"/>
          <w:sz w:val="20"/>
          <w:szCs w:val="20"/>
        </w:rPr>
        <w:t>2</w:t>
      </w:r>
      <w:r>
        <w:rPr>
          <w:spacing w:val="-31"/>
          <w:position w:val="1"/>
          <w:sz w:val="20"/>
          <w:szCs w:val="20"/>
        </w:rPr>
        <w:t xml:space="preserve"> </w:t>
      </w:r>
      <w:r>
        <w:rPr>
          <w:spacing w:val="-2"/>
          <w:position w:val="1"/>
          <w:sz w:val="20"/>
          <w:szCs w:val="20"/>
        </w:rPr>
        <w:t>) 向</w:t>
      </w:r>
      <w:r>
        <w:rPr>
          <w:spacing w:val="-2"/>
          <w:position w:val="1"/>
          <w:sz w:val="20"/>
          <w:szCs w:val="20"/>
          <w:u w:val="single" w:color="auto"/>
        </w:rPr>
        <w:t xml:space="preserve">                      </w:t>
      </w:r>
      <w:r>
        <w:rPr>
          <w:spacing w:val="-80"/>
          <w:position w:val="1"/>
          <w:sz w:val="20"/>
          <w:szCs w:val="20"/>
        </w:rPr>
        <w:t xml:space="preserve"> </w:t>
      </w:r>
      <w:r>
        <w:rPr>
          <w:spacing w:val="-2"/>
          <w:position w:val="-1"/>
          <w:sz w:val="20"/>
          <w:szCs w:val="20"/>
        </w:rPr>
        <w:t>人民法院起诉。</w:t>
      </w:r>
    </w:p>
    <w:p w14:paraId="7738A8AF">
      <w:pPr>
        <w:spacing w:line="229" w:lineRule="auto"/>
        <w:rPr>
          <w:sz w:val="20"/>
          <w:szCs w:val="20"/>
        </w:rPr>
        <w:sectPr>
          <w:headerReference r:id="rId266" w:type="default"/>
          <w:footerReference r:id="rId267" w:type="default"/>
          <w:pgSz w:w="11910" w:h="16840"/>
          <w:pgMar w:top="400" w:right="1786" w:bottom="1024" w:left="1452" w:header="0" w:footer="889" w:gutter="0"/>
          <w:cols w:space="720" w:num="1"/>
        </w:sectPr>
      </w:pPr>
    </w:p>
    <w:p w14:paraId="1CF7D4AC">
      <w:pPr>
        <w:spacing w:line="271" w:lineRule="auto"/>
        <w:rPr>
          <w:rFonts w:ascii="Arial"/>
          <w:sz w:val="21"/>
        </w:rPr>
      </w:pPr>
    </w:p>
    <w:p w14:paraId="5D56BF86">
      <w:pPr>
        <w:spacing w:line="272" w:lineRule="auto"/>
        <w:rPr>
          <w:rFonts w:ascii="Arial"/>
          <w:sz w:val="21"/>
        </w:rPr>
      </w:pPr>
    </w:p>
    <w:p w14:paraId="04B32A7B">
      <w:pPr>
        <w:spacing w:line="272" w:lineRule="auto"/>
        <w:rPr>
          <w:rFonts w:ascii="Arial"/>
          <w:sz w:val="21"/>
        </w:rPr>
      </w:pPr>
    </w:p>
    <w:p w14:paraId="0886C442">
      <w:pPr>
        <w:spacing w:line="272" w:lineRule="auto"/>
        <w:rPr>
          <w:rFonts w:ascii="Arial"/>
          <w:sz w:val="21"/>
        </w:rPr>
      </w:pPr>
    </w:p>
    <w:p w14:paraId="64603045">
      <w:pPr>
        <w:spacing w:line="272" w:lineRule="auto"/>
        <w:rPr>
          <w:rFonts w:ascii="Arial"/>
          <w:sz w:val="21"/>
        </w:rPr>
      </w:pPr>
    </w:p>
    <w:p w14:paraId="1C4EF524">
      <w:pPr>
        <w:spacing w:before="94" w:line="224" w:lineRule="auto"/>
        <w:rPr>
          <w:rFonts w:ascii="黑体" w:hAnsi="黑体" w:eastAsia="黑体" w:cs="黑体"/>
          <w:sz w:val="29"/>
          <w:szCs w:val="29"/>
        </w:rPr>
      </w:pPr>
      <w:r>
        <w:rPr>
          <w:rFonts w:ascii="黑体" w:hAnsi="黑体" w:eastAsia="黑体" w:cs="黑体"/>
          <w:b/>
          <w:bCs/>
          <w:spacing w:val="4"/>
          <w:sz w:val="29"/>
          <w:szCs w:val="29"/>
        </w:rPr>
        <w:t>附件</w:t>
      </w:r>
    </w:p>
    <w:p w14:paraId="2FAE9342">
      <w:pPr>
        <w:pStyle w:val="2"/>
        <w:spacing w:before="113" w:line="219" w:lineRule="auto"/>
        <w:ind w:left="415"/>
        <w:rPr>
          <w:sz w:val="21"/>
          <w:szCs w:val="21"/>
        </w:rPr>
      </w:pPr>
      <w:r>
        <w:rPr>
          <w:spacing w:val="-8"/>
          <w:sz w:val="21"/>
          <w:szCs w:val="21"/>
        </w:rPr>
        <w:t>协议书附件：</w:t>
      </w:r>
    </w:p>
    <w:p w14:paraId="323C5A6B">
      <w:pPr>
        <w:pStyle w:val="2"/>
        <w:spacing w:before="150" w:line="219" w:lineRule="auto"/>
        <w:ind w:left="415"/>
        <w:rPr>
          <w:sz w:val="21"/>
          <w:szCs w:val="21"/>
        </w:rPr>
      </w:pPr>
      <w:r>
        <w:rPr>
          <w:spacing w:val="9"/>
          <w:sz w:val="21"/>
          <w:szCs w:val="21"/>
        </w:rPr>
        <w:t>附件1:承包人承揽工程项目一览表</w:t>
      </w:r>
    </w:p>
    <w:p w14:paraId="1E1FAC09">
      <w:pPr>
        <w:spacing w:line="244" w:lineRule="auto"/>
        <w:rPr>
          <w:rFonts w:ascii="Arial"/>
          <w:sz w:val="21"/>
        </w:rPr>
      </w:pPr>
    </w:p>
    <w:p w14:paraId="02AF615A">
      <w:pPr>
        <w:spacing w:line="245" w:lineRule="auto"/>
        <w:rPr>
          <w:rFonts w:ascii="Arial"/>
          <w:sz w:val="21"/>
        </w:rPr>
      </w:pPr>
    </w:p>
    <w:p w14:paraId="5508CD92">
      <w:pPr>
        <w:pStyle w:val="2"/>
        <w:spacing w:before="68" w:line="219" w:lineRule="auto"/>
        <w:ind w:left="415"/>
        <w:rPr>
          <w:sz w:val="21"/>
          <w:szCs w:val="21"/>
        </w:rPr>
      </w:pPr>
      <w:r>
        <w:rPr>
          <w:spacing w:val="-4"/>
          <w:sz w:val="21"/>
          <w:szCs w:val="21"/>
        </w:rPr>
        <w:t>专用合同条款附件：</w:t>
      </w:r>
    </w:p>
    <w:p w14:paraId="028DB01D">
      <w:pPr>
        <w:pStyle w:val="2"/>
        <w:spacing w:before="131" w:line="219" w:lineRule="auto"/>
        <w:ind w:left="415"/>
        <w:rPr>
          <w:sz w:val="21"/>
          <w:szCs w:val="21"/>
        </w:rPr>
      </w:pPr>
      <w:r>
        <w:rPr>
          <w:spacing w:val="11"/>
          <w:sz w:val="21"/>
          <w:szCs w:val="21"/>
        </w:rPr>
        <w:t>附件2:发包人供应材料设备一览表</w:t>
      </w:r>
    </w:p>
    <w:p w14:paraId="3BABF06E">
      <w:pPr>
        <w:pStyle w:val="2"/>
        <w:spacing w:before="171" w:line="219" w:lineRule="auto"/>
        <w:ind w:left="415"/>
        <w:rPr>
          <w:sz w:val="21"/>
          <w:szCs w:val="21"/>
        </w:rPr>
      </w:pPr>
      <w:r>
        <w:rPr>
          <w:spacing w:val="13"/>
          <w:sz w:val="21"/>
          <w:szCs w:val="21"/>
        </w:rPr>
        <w:t>附件3:工程质量保修书</w:t>
      </w:r>
    </w:p>
    <w:p w14:paraId="2CB1AC6C">
      <w:pPr>
        <w:pStyle w:val="2"/>
        <w:spacing w:before="141" w:line="219" w:lineRule="auto"/>
        <w:ind w:left="415"/>
        <w:rPr>
          <w:sz w:val="21"/>
          <w:szCs w:val="21"/>
        </w:rPr>
      </w:pPr>
      <w:r>
        <w:rPr>
          <w:spacing w:val="12"/>
          <w:sz w:val="21"/>
          <w:szCs w:val="21"/>
        </w:rPr>
        <w:t>附件4:主要建设工程文件目录</w:t>
      </w:r>
    </w:p>
    <w:p w14:paraId="2EEFA24F">
      <w:pPr>
        <w:pStyle w:val="2"/>
        <w:spacing w:before="141" w:line="219" w:lineRule="auto"/>
        <w:ind w:left="415"/>
        <w:rPr>
          <w:sz w:val="21"/>
          <w:szCs w:val="21"/>
        </w:rPr>
      </w:pPr>
      <w:r>
        <w:rPr>
          <w:spacing w:val="8"/>
          <w:sz w:val="21"/>
          <w:szCs w:val="21"/>
        </w:rPr>
        <w:t>附件5:承包人用于本工程施工的机械设备表</w:t>
      </w:r>
    </w:p>
    <w:p w14:paraId="79410135">
      <w:pPr>
        <w:pStyle w:val="2"/>
        <w:spacing w:before="161" w:line="219" w:lineRule="auto"/>
        <w:ind w:left="415"/>
        <w:rPr>
          <w:sz w:val="21"/>
          <w:szCs w:val="21"/>
        </w:rPr>
      </w:pPr>
      <w:r>
        <w:rPr>
          <w:spacing w:val="11"/>
          <w:sz w:val="21"/>
          <w:szCs w:val="21"/>
        </w:rPr>
        <w:t>附件6:承包人主要施工管理人员表</w:t>
      </w:r>
    </w:p>
    <w:p w14:paraId="6E5B67EC">
      <w:pPr>
        <w:pStyle w:val="2"/>
        <w:spacing w:before="151" w:line="219" w:lineRule="auto"/>
        <w:ind w:left="415"/>
        <w:rPr>
          <w:sz w:val="21"/>
          <w:szCs w:val="21"/>
        </w:rPr>
      </w:pPr>
      <w:r>
        <w:rPr>
          <w:spacing w:val="11"/>
          <w:sz w:val="21"/>
          <w:szCs w:val="21"/>
        </w:rPr>
        <w:t>附件7:分包人主要施工管理人员表</w:t>
      </w:r>
    </w:p>
    <w:p w14:paraId="22CF8044">
      <w:pPr>
        <w:pStyle w:val="2"/>
        <w:spacing w:before="151" w:line="219" w:lineRule="auto"/>
        <w:ind w:left="415"/>
        <w:rPr>
          <w:sz w:val="21"/>
          <w:szCs w:val="21"/>
        </w:rPr>
      </w:pPr>
      <w:r>
        <w:rPr>
          <w:spacing w:val="15"/>
          <w:sz w:val="21"/>
          <w:szCs w:val="21"/>
        </w:rPr>
        <w:t>附件8:履约担保格式</w:t>
      </w:r>
    </w:p>
    <w:p w14:paraId="19037857">
      <w:pPr>
        <w:pStyle w:val="2"/>
        <w:spacing w:before="160" w:line="219" w:lineRule="auto"/>
        <w:ind w:left="415"/>
        <w:rPr>
          <w:sz w:val="21"/>
          <w:szCs w:val="21"/>
        </w:rPr>
      </w:pPr>
      <w:r>
        <w:rPr>
          <w:spacing w:val="13"/>
          <w:sz w:val="21"/>
          <w:szCs w:val="21"/>
        </w:rPr>
        <w:t>附件9:预付款担保格式</w:t>
      </w:r>
    </w:p>
    <w:p w14:paraId="1612B721">
      <w:pPr>
        <w:pStyle w:val="2"/>
        <w:spacing w:before="151" w:line="219" w:lineRule="auto"/>
        <w:ind w:left="415"/>
        <w:rPr>
          <w:sz w:val="21"/>
          <w:szCs w:val="21"/>
        </w:rPr>
      </w:pPr>
      <w:r>
        <w:rPr>
          <w:spacing w:val="14"/>
          <w:sz w:val="21"/>
          <w:szCs w:val="21"/>
        </w:rPr>
        <w:t>附件10:支付担保格式</w:t>
      </w:r>
    </w:p>
    <w:p w14:paraId="6AC418FF">
      <w:pPr>
        <w:pStyle w:val="2"/>
        <w:spacing w:before="141" w:line="218" w:lineRule="auto"/>
        <w:ind w:left="415"/>
        <w:rPr>
          <w:sz w:val="21"/>
          <w:szCs w:val="21"/>
        </w:rPr>
      </w:pPr>
      <w:r>
        <w:rPr>
          <w:spacing w:val="14"/>
          <w:sz w:val="21"/>
          <w:szCs w:val="21"/>
        </w:rPr>
        <w:t>附件11:暂估价一览表</w:t>
      </w:r>
    </w:p>
    <w:p w14:paraId="00CA15D1">
      <w:pPr>
        <w:spacing w:line="218" w:lineRule="auto"/>
        <w:rPr>
          <w:sz w:val="21"/>
          <w:szCs w:val="21"/>
        </w:rPr>
        <w:sectPr>
          <w:footerReference r:id="rId268" w:type="default"/>
          <w:pgSz w:w="11910" w:h="16840"/>
          <w:pgMar w:top="400" w:right="1786" w:bottom="1024" w:left="1464" w:header="0" w:footer="889" w:gutter="0"/>
          <w:cols w:space="720" w:num="1"/>
        </w:sectPr>
      </w:pPr>
    </w:p>
    <w:p w14:paraId="72C83E94">
      <w:pPr>
        <w:spacing w:line="259" w:lineRule="auto"/>
        <w:rPr>
          <w:rFonts w:ascii="Arial"/>
          <w:sz w:val="21"/>
        </w:rPr>
      </w:pPr>
    </w:p>
    <w:p w14:paraId="2E576A48">
      <w:pPr>
        <w:spacing w:line="259" w:lineRule="auto"/>
        <w:rPr>
          <w:rFonts w:ascii="Arial"/>
          <w:sz w:val="21"/>
        </w:rPr>
      </w:pPr>
    </w:p>
    <w:p w14:paraId="4D4F3FCE">
      <w:pPr>
        <w:spacing w:line="259" w:lineRule="auto"/>
        <w:rPr>
          <w:rFonts w:ascii="Arial"/>
          <w:sz w:val="21"/>
        </w:rPr>
      </w:pPr>
    </w:p>
    <w:p w14:paraId="6FAAC883">
      <w:pPr>
        <w:spacing w:line="259" w:lineRule="auto"/>
        <w:rPr>
          <w:rFonts w:ascii="Arial"/>
          <w:sz w:val="21"/>
        </w:rPr>
      </w:pPr>
    </w:p>
    <w:p w14:paraId="1AA654ED">
      <w:pPr>
        <w:spacing w:line="259" w:lineRule="auto"/>
        <w:rPr>
          <w:rFonts w:ascii="Arial"/>
          <w:sz w:val="21"/>
        </w:rPr>
      </w:pPr>
    </w:p>
    <w:p w14:paraId="2F591A99">
      <w:pPr>
        <w:pStyle w:val="2"/>
        <w:spacing w:before="82" w:line="219" w:lineRule="auto"/>
        <w:ind w:left="428"/>
      </w:pPr>
      <w:r>
        <w:rPr>
          <w:b/>
          <w:bCs/>
          <w:spacing w:val="-3"/>
        </w:rPr>
        <w:t>附件1:承包人承揽工程项目一览表</w:t>
      </w:r>
    </w:p>
    <w:p w14:paraId="147BC5BF">
      <w:pPr>
        <w:spacing w:line="23" w:lineRule="exact"/>
      </w:pPr>
    </w:p>
    <w:tbl>
      <w:tblPr>
        <w:tblStyle w:val="5"/>
        <w:tblW w:w="1081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54"/>
        <w:gridCol w:w="1868"/>
        <w:gridCol w:w="1398"/>
        <w:gridCol w:w="2408"/>
        <w:gridCol w:w="849"/>
        <w:gridCol w:w="1559"/>
        <w:gridCol w:w="1483"/>
      </w:tblGrid>
      <w:tr w14:paraId="464B9F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4" w:hRule="atLeast"/>
        </w:trPr>
        <w:tc>
          <w:tcPr>
            <w:tcW w:w="1254" w:type="dxa"/>
            <w:vAlign w:val="top"/>
          </w:tcPr>
          <w:p w14:paraId="316C94A4">
            <w:pPr>
              <w:pStyle w:val="6"/>
              <w:spacing w:before="185" w:line="316" w:lineRule="auto"/>
              <w:ind w:left="404" w:right="218" w:hanging="210"/>
            </w:pPr>
            <w:r>
              <w:rPr>
                <w:spacing w:val="-3"/>
              </w:rPr>
              <w:t>单位工程</w:t>
            </w:r>
            <w:r>
              <w:rPr>
                <w:spacing w:val="1"/>
              </w:rPr>
              <w:t xml:space="preserve"> </w:t>
            </w:r>
            <w:r>
              <w:rPr>
                <w:spacing w:val="5"/>
              </w:rPr>
              <w:t>名称</w:t>
            </w:r>
          </w:p>
        </w:tc>
        <w:tc>
          <w:tcPr>
            <w:tcW w:w="1868" w:type="dxa"/>
            <w:vAlign w:val="top"/>
          </w:tcPr>
          <w:p w14:paraId="22B5F5D1">
            <w:pPr>
              <w:spacing w:line="353" w:lineRule="auto"/>
              <w:rPr>
                <w:rFonts w:ascii="Arial"/>
                <w:sz w:val="21"/>
              </w:rPr>
            </w:pPr>
          </w:p>
          <w:p w14:paraId="3E56251B">
            <w:pPr>
              <w:pStyle w:val="6"/>
              <w:spacing w:before="68" w:line="219" w:lineRule="auto"/>
              <w:ind w:left="521"/>
            </w:pPr>
            <w:r>
              <w:rPr>
                <w:spacing w:val="-3"/>
              </w:rPr>
              <w:t>建设规模</w:t>
            </w:r>
          </w:p>
        </w:tc>
        <w:tc>
          <w:tcPr>
            <w:tcW w:w="1398" w:type="dxa"/>
            <w:vAlign w:val="top"/>
          </w:tcPr>
          <w:p w14:paraId="12C21F74">
            <w:pPr>
              <w:pStyle w:val="6"/>
              <w:spacing w:before="184" w:line="220" w:lineRule="auto"/>
              <w:ind w:left="273"/>
            </w:pPr>
            <w:r>
              <w:rPr>
                <w:spacing w:val="3"/>
              </w:rPr>
              <w:t>建筑面积</w:t>
            </w:r>
          </w:p>
          <w:p w14:paraId="68243A36">
            <w:pPr>
              <w:pStyle w:val="6"/>
              <w:spacing w:before="199" w:line="219" w:lineRule="auto"/>
              <w:ind w:left="273"/>
            </w:pPr>
            <w:r>
              <w:rPr>
                <w:spacing w:val="9"/>
              </w:rPr>
              <w:t>(平方米)</w:t>
            </w:r>
          </w:p>
        </w:tc>
        <w:tc>
          <w:tcPr>
            <w:tcW w:w="2408" w:type="dxa"/>
            <w:vAlign w:val="top"/>
          </w:tcPr>
          <w:p w14:paraId="11C212B6">
            <w:pPr>
              <w:spacing w:line="343" w:lineRule="auto"/>
              <w:rPr>
                <w:rFonts w:ascii="Arial"/>
                <w:sz w:val="21"/>
              </w:rPr>
            </w:pPr>
          </w:p>
          <w:p w14:paraId="44786170">
            <w:pPr>
              <w:pStyle w:val="6"/>
              <w:spacing w:before="69" w:line="220" w:lineRule="auto"/>
              <w:ind w:left="775"/>
            </w:pPr>
            <w:r>
              <w:rPr>
                <w:spacing w:val="2"/>
              </w:rPr>
              <w:t>结构形式</w:t>
            </w:r>
          </w:p>
        </w:tc>
        <w:tc>
          <w:tcPr>
            <w:tcW w:w="849" w:type="dxa"/>
            <w:vAlign w:val="top"/>
          </w:tcPr>
          <w:p w14:paraId="4BCA7C5B">
            <w:pPr>
              <w:spacing w:line="343" w:lineRule="auto"/>
              <w:rPr>
                <w:rFonts w:ascii="Arial"/>
                <w:sz w:val="21"/>
              </w:rPr>
            </w:pPr>
          </w:p>
          <w:p w14:paraId="4AEE0482">
            <w:pPr>
              <w:pStyle w:val="6"/>
              <w:spacing w:before="68" w:line="219" w:lineRule="auto"/>
              <w:ind w:left="217"/>
            </w:pPr>
            <w:r>
              <w:rPr>
                <w:spacing w:val="-3"/>
              </w:rPr>
              <w:t>层数</w:t>
            </w:r>
          </w:p>
        </w:tc>
        <w:tc>
          <w:tcPr>
            <w:tcW w:w="1559" w:type="dxa"/>
            <w:vAlign w:val="top"/>
          </w:tcPr>
          <w:p w14:paraId="17B5139F">
            <w:pPr>
              <w:spacing w:line="283" w:lineRule="auto"/>
              <w:rPr>
                <w:rFonts w:ascii="Arial"/>
                <w:sz w:val="21"/>
              </w:rPr>
            </w:pPr>
          </w:p>
          <w:p w14:paraId="1F24CBA1">
            <w:pPr>
              <w:pStyle w:val="6"/>
              <w:spacing w:before="68" w:line="219" w:lineRule="auto"/>
              <w:ind w:left="368"/>
            </w:pPr>
            <w:r>
              <w:rPr>
                <w:spacing w:val="4"/>
              </w:rPr>
              <w:t>生产能力</w:t>
            </w:r>
          </w:p>
        </w:tc>
        <w:tc>
          <w:tcPr>
            <w:tcW w:w="1483" w:type="dxa"/>
            <w:vAlign w:val="top"/>
          </w:tcPr>
          <w:p w14:paraId="571B9399">
            <w:pPr>
              <w:spacing w:line="353" w:lineRule="auto"/>
              <w:rPr>
                <w:rFonts w:ascii="Arial"/>
                <w:sz w:val="21"/>
              </w:rPr>
            </w:pPr>
          </w:p>
          <w:p w14:paraId="5D473633">
            <w:pPr>
              <w:pStyle w:val="6"/>
              <w:spacing w:before="68" w:line="219" w:lineRule="auto"/>
              <w:ind w:left="348"/>
            </w:pPr>
            <w:r>
              <w:rPr>
                <w:spacing w:val="5"/>
              </w:rPr>
              <w:t>设备安装内</w:t>
            </w:r>
          </w:p>
        </w:tc>
      </w:tr>
      <w:tr w14:paraId="1CC516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1254" w:type="dxa"/>
            <w:vAlign w:val="top"/>
          </w:tcPr>
          <w:p w14:paraId="1B2AEDED">
            <w:pPr>
              <w:rPr>
                <w:rFonts w:ascii="Arial"/>
                <w:sz w:val="21"/>
              </w:rPr>
            </w:pPr>
          </w:p>
        </w:tc>
        <w:tc>
          <w:tcPr>
            <w:tcW w:w="1868" w:type="dxa"/>
            <w:vAlign w:val="top"/>
          </w:tcPr>
          <w:p w14:paraId="7D285E84">
            <w:pPr>
              <w:rPr>
                <w:rFonts w:ascii="Arial"/>
                <w:sz w:val="21"/>
              </w:rPr>
            </w:pPr>
          </w:p>
        </w:tc>
        <w:tc>
          <w:tcPr>
            <w:tcW w:w="1398" w:type="dxa"/>
            <w:vAlign w:val="top"/>
          </w:tcPr>
          <w:p w14:paraId="7C2CA9B3">
            <w:pPr>
              <w:rPr>
                <w:rFonts w:ascii="Arial"/>
                <w:sz w:val="21"/>
              </w:rPr>
            </w:pPr>
          </w:p>
        </w:tc>
        <w:tc>
          <w:tcPr>
            <w:tcW w:w="2408" w:type="dxa"/>
            <w:vAlign w:val="top"/>
          </w:tcPr>
          <w:p w14:paraId="140F7252">
            <w:pPr>
              <w:rPr>
                <w:rFonts w:ascii="Arial"/>
                <w:sz w:val="21"/>
              </w:rPr>
            </w:pPr>
          </w:p>
        </w:tc>
        <w:tc>
          <w:tcPr>
            <w:tcW w:w="849" w:type="dxa"/>
            <w:vAlign w:val="top"/>
          </w:tcPr>
          <w:p w14:paraId="160EF1B3">
            <w:pPr>
              <w:rPr>
                <w:rFonts w:ascii="Arial"/>
                <w:sz w:val="21"/>
              </w:rPr>
            </w:pPr>
          </w:p>
        </w:tc>
        <w:tc>
          <w:tcPr>
            <w:tcW w:w="1559" w:type="dxa"/>
            <w:vAlign w:val="top"/>
          </w:tcPr>
          <w:p w14:paraId="36145F33">
            <w:pPr>
              <w:rPr>
                <w:rFonts w:ascii="Arial"/>
                <w:sz w:val="21"/>
              </w:rPr>
            </w:pPr>
          </w:p>
        </w:tc>
        <w:tc>
          <w:tcPr>
            <w:tcW w:w="1483" w:type="dxa"/>
            <w:vAlign w:val="top"/>
          </w:tcPr>
          <w:p w14:paraId="66A96B37">
            <w:pPr>
              <w:rPr>
                <w:rFonts w:ascii="Arial"/>
                <w:sz w:val="21"/>
              </w:rPr>
            </w:pPr>
          </w:p>
        </w:tc>
      </w:tr>
      <w:tr w14:paraId="756B01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9" w:hRule="atLeast"/>
        </w:trPr>
        <w:tc>
          <w:tcPr>
            <w:tcW w:w="1254" w:type="dxa"/>
            <w:vAlign w:val="top"/>
          </w:tcPr>
          <w:p w14:paraId="6B34B850">
            <w:pPr>
              <w:rPr>
                <w:rFonts w:ascii="Arial"/>
                <w:sz w:val="21"/>
              </w:rPr>
            </w:pPr>
          </w:p>
        </w:tc>
        <w:tc>
          <w:tcPr>
            <w:tcW w:w="1868" w:type="dxa"/>
            <w:vAlign w:val="top"/>
          </w:tcPr>
          <w:p w14:paraId="7543DCCC">
            <w:pPr>
              <w:rPr>
                <w:rFonts w:ascii="Arial"/>
                <w:sz w:val="21"/>
              </w:rPr>
            </w:pPr>
          </w:p>
        </w:tc>
        <w:tc>
          <w:tcPr>
            <w:tcW w:w="1398" w:type="dxa"/>
            <w:vAlign w:val="top"/>
          </w:tcPr>
          <w:p w14:paraId="20E07DF3">
            <w:pPr>
              <w:rPr>
                <w:rFonts w:ascii="Arial"/>
                <w:sz w:val="21"/>
              </w:rPr>
            </w:pPr>
          </w:p>
        </w:tc>
        <w:tc>
          <w:tcPr>
            <w:tcW w:w="2408" w:type="dxa"/>
            <w:vAlign w:val="top"/>
          </w:tcPr>
          <w:p w14:paraId="24ABF7C9">
            <w:pPr>
              <w:rPr>
                <w:rFonts w:ascii="Arial"/>
                <w:sz w:val="21"/>
              </w:rPr>
            </w:pPr>
          </w:p>
        </w:tc>
        <w:tc>
          <w:tcPr>
            <w:tcW w:w="849" w:type="dxa"/>
            <w:vAlign w:val="top"/>
          </w:tcPr>
          <w:p w14:paraId="12CC76BD">
            <w:pPr>
              <w:rPr>
                <w:rFonts w:ascii="Arial"/>
                <w:sz w:val="21"/>
              </w:rPr>
            </w:pPr>
          </w:p>
        </w:tc>
        <w:tc>
          <w:tcPr>
            <w:tcW w:w="1559" w:type="dxa"/>
            <w:vAlign w:val="top"/>
          </w:tcPr>
          <w:p w14:paraId="035B2AB7">
            <w:pPr>
              <w:rPr>
                <w:rFonts w:ascii="Arial"/>
                <w:sz w:val="21"/>
              </w:rPr>
            </w:pPr>
          </w:p>
        </w:tc>
        <w:tc>
          <w:tcPr>
            <w:tcW w:w="1483" w:type="dxa"/>
            <w:vAlign w:val="top"/>
          </w:tcPr>
          <w:p w14:paraId="4225C3E8">
            <w:pPr>
              <w:rPr>
                <w:rFonts w:ascii="Arial"/>
                <w:sz w:val="21"/>
              </w:rPr>
            </w:pPr>
          </w:p>
        </w:tc>
      </w:tr>
      <w:tr w14:paraId="5DECD9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1254" w:type="dxa"/>
            <w:vAlign w:val="top"/>
          </w:tcPr>
          <w:p w14:paraId="06DB20C8">
            <w:pPr>
              <w:rPr>
                <w:rFonts w:ascii="Arial"/>
                <w:sz w:val="21"/>
              </w:rPr>
            </w:pPr>
          </w:p>
        </w:tc>
        <w:tc>
          <w:tcPr>
            <w:tcW w:w="1868" w:type="dxa"/>
            <w:vAlign w:val="top"/>
          </w:tcPr>
          <w:p w14:paraId="7875BEAF">
            <w:pPr>
              <w:rPr>
                <w:rFonts w:ascii="Arial"/>
                <w:sz w:val="21"/>
              </w:rPr>
            </w:pPr>
          </w:p>
        </w:tc>
        <w:tc>
          <w:tcPr>
            <w:tcW w:w="1398" w:type="dxa"/>
            <w:vAlign w:val="top"/>
          </w:tcPr>
          <w:p w14:paraId="39D1FA0C">
            <w:pPr>
              <w:rPr>
                <w:rFonts w:ascii="Arial"/>
                <w:sz w:val="21"/>
              </w:rPr>
            </w:pPr>
          </w:p>
        </w:tc>
        <w:tc>
          <w:tcPr>
            <w:tcW w:w="2408" w:type="dxa"/>
            <w:vAlign w:val="top"/>
          </w:tcPr>
          <w:p w14:paraId="213C431B">
            <w:pPr>
              <w:rPr>
                <w:rFonts w:ascii="Arial"/>
                <w:sz w:val="21"/>
              </w:rPr>
            </w:pPr>
          </w:p>
        </w:tc>
        <w:tc>
          <w:tcPr>
            <w:tcW w:w="849" w:type="dxa"/>
            <w:vAlign w:val="top"/>
          </w:tcPr>
          <w:p w14:paraId="000C480B">
            <w:pPr>
              <w:rPr>
                <w:rFonts w:ascii="Arial"/>
                <w:sz w:val="21"/>
              </w:rPr>
            </w:pPr>
          </w:p>
        </w:tc>
        <w:tc>
          <w:tcPr>
            <w:tcW w:w="1559" w:type="dxa"/>
            <w:vAlign w:val="top"/>
          </w:tcPr>
          <w:p w14:paraId="305764B4">
            <w:pPr>
              <w:rPr>
                <w:rFonts w:ascii="Arial"/>
                <w:sz w:val="21"/>
              </w:rPr>
            </w:pPr>
          </w:p>
        </w:tc>
        <w:tc>
          <w:tcPr>
            <w:tcW w:w="1483" w:type="dxa"/>
            <w:vAlign w:val="top"/>
          </w:tcPr>
          <w:p w14:paraId="13426651">
            <w:pPr>
              <w:rPr>
                <w:rFonts w:ascii="Arial"/>
                <w:sz w:val="21"/>
              </w:rPr>
            </w:pPr>
          </w:p>
        </w:tc>
      </w:tr>
      <w:tr w14:paraId="1625EB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1254" w:type="dxa"/>
            <w:vAlign w:val="top"/>
          </w:tcPr>
          <w:p w14:paraId="507134C9">
            <w:pPr>
              <w:rPr>
                <w:rFonts w:ascii="Arial"/>
                <w:sz w:val="21"/>
              </w:rPr>
            </w:pPr>
          </w:p>
        </w:tc>
        <w:tc>
          <w:tcPr>
            <w:tcW w:w="1868" w:type="dxa"/>
            <w:vAlign w:val="top"/>
          </w:tcPr>
          <w:p w14:paraId="1FAA262B">
            <w:pPr>
              <w:rPr>
                <w:rFonts w:ascii="Arial"/>
                <w:sz w:val="21"/>
              </w:rPr>
            </w:pPr>
          </w:p>
        </w:tc>
        <w:tc>
          <w:tcPr>
            <w:tcW w:w="1398" w:type="dxa"/>
            <w:vAlign w:val="top"/>
          </w:tcPr>
          <w:p w14:paraId="5044FB26">
            <w:pPr>
              <w:rPr>
                <w:rFonts w:ascii="Arial"/>
                <w:sz w:val="21"/>
              </w:rPr>
            </w:pPr>
          </w:p>
        </w:tc>
        <w:tc>
          <w:tcPr>
            <w:tcW w:w="2408" w:type="dxa"/>
            <w:vAlign w:val="top"/>
          </w:tcPr>
          <w:p w14:paraId="5EFAC32A">
            <w:pPr>
              <w:rPr>
                <w:rFonts w:ascii="Arial"/>
                <w:sz w:val="21"/>
              </w:rPr>
            </w:pPr>
          </w:p>
        </w:tc>
        <w:tc>
          <w:tcPr>
            <w:tcW w:w="849" w:type="dxa"/>
            <w:vAlign w:val="top"/>
          </w:tcPr>
          <w:p w14:paraId="1D7C6AEA">
            <w:pPr>
              <w:rPr>
                <w:rFonts w:ascii="Arial"/>
                <w:sz w:val="21"/>
              </w:rPr>
            </w:pPr>
          </w:p>
        </w:tc>
        <w:tc>
          <w:tcPr>
            <w:tcW w:w="1559" w:type="dxa"/>
            <w:vAlign w:val="top"/>
          </w:tcPr>
          <w:p w14:paraId="53375402">
            <w:pPr>
              <w:rPr>
                <w:rFonts w:ascii="Arial"/>
                <w:sz w:val="21"/>
              </w:rPr>
            </w:pPr>
          </w:p>
        </w:tc>
        <w:tc>
          <w:tcPr>
            <w:tcW w:w="1483" w:type="dxa"/>
            <w:vAlign w:val="top"/>
          </w:tcPr>
          <w:p w14:paraId="0459055F">
            <w:pPr>
              <w:rPr>
                <w:rFonts w:ascii="Arial"/>
                <w:sz w:val="21"/>
              </w:rPr>
            </w:pPr>
          </w:p>
        </w:tc>
      </w:tr>
      <w:tr w14:paraId="559C99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1254" w:type="dxa"/>
            <w:vAlign w:val="top"/>
          </w:tcPr>
          <w:p w14:paraId="5F052D22">
            <w:pPr>
              <w:rPr>
                <w:rFonts w:ascii="Arial"/>
                <w:sz w:val="21"/>
              </w:rPr>
            </w:pPr>
          </w:p>
        </w:tc>
        <w:tc>
          <w:tcPr>
            <w:tcW w:w="1868" w:type="dxa"/>
            <w:vAlign w:val="top"/>
          </w:tcPr>
          <w:p w14:paraId="5D854818">
            <w:pPr>
              <w:rPr>
                <w:rFonts w:ascii="Arial"/>
                <w:sz w:val="21"/>
              </w:rPr>
            </w:pPr>
          </w:p>
        </w:tc>
        <w:tc>
          <w:tcPr>
            <w:tcW w:w="1398" w:type="dxa"/>
            <w:vAlign w:val="top"/>
          </w:tcPr>
          <w:p w14:paraId="652E8567">
            <w:pPr>
              <w:rPr>
                <w:rFonts w:ascii="Arial"/>
                <w:sz w:val="21"/>
              </w:rPr>
            </w:pPr>
          </w:p>
        </w:tc>
        <w:tc>
          <w:tcPr>
            <w:tcW w:w="2408" w:type="dxa"/>
            <w:vAlign w:val="top"/>
          </w:tcPr>
          <w:p w14:paraId="1A0E73FA">
            <w:pPr>
              <w:rPr>
                <w:rFonts w:ascii="Arial"/>
                <w:sz w:val="21"/>
              </w:rPr>
            </w:pPr>
          </w:p>
        </w:tc>
        <w:tc>
          <w:tcPr>
            <w:tcW w:w="849" w:type="dxa"/>
            <w:vAlign w:val="top"/>
          </w:tcPr>
          <w:p w14:paraId="54B0A643">
            <w:pPr>
              <w:rPr>
                <w:rFonts w:ascii="Arial"/>
                <w:sz w:val="21"/>
              </w:rPr>
            </w:pPr>
          </w:p>
        </w:tc>
        <w:tc>
          <w:tcPr>
            <w:tcW w:w="1559" w:type="dxa"/>
            <w:vAlign w:val="top"/>
          </w:tcPr>
          <w:p w14:paraId="69AC345E">
            <w:pPr>
              <w:rPr>
                <w:rFonts w:ascii="Arial"/>
                <w:sz w:val="21"/>
              </w:rPr>
            </w:pPr>
          </w:p>
        </w:tc>
        <w:tc>
          <w:tcPr>
            <w:tcW w:w="1483" w:type="dxa"/>
            <w:vAlign w:val="top"/>
          </w:tcPr>
          <w:p w14:paraId="63E47215">
            <w:pPr>
              <w:rPr>
                <w:rFonts w:ascii="Arial"/>
                <w:sz w:val="21"/>
              </w:rPr>
            </w:pPr>
          </w:p>
        </w:tc>
      </w:tr>
      <w:tr w14:paraId="7B1931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1254" w:type="dxa"/>
            <w:vAlign w:val="top"/>
          </w:tcPr>
          <w:p w14:paraId="3179F77B">
            <w:pPr>
              <w:rPr>
                <w:rFonts w:ascii="Arial"/>
                <w:sz w:val="21"/>
              </w:rPr>
            </w:pPr>
          </w:p>
        </w:tc>
        <w:tc>
          <w:tcPr>
            <w:tcW w:w="1868" w:type="dxa"/>
            <w:vAlign w:val="top"/>
          </w:tcPr>
          <w:p w14:paraId="08419757">
            <w:pPr>
              <w:rPr>
                <w:rFonts w:ascii="Arial"/>
                <w:sz w:val="21"/>
              </w:rPr>
            </w:pPr>
          </w:p>
        </w:tc>
        <w:tc>
          <w:tcPr>
            <w:tcW w:w="1398" w:type="dxa"/>
            <w:vAlign w:val="top"/>
          </w:tcPr>
          <w:p w14:paraId="5E7A73F9">
            <w:pPr>
              <w:rPr>
                <w:rFonts w:ascii="Arial"/>
                <w:sz w:val="21"/>
              </w:rPr>
            </w:pPr>
          </w:p>
        </w:tc>
        <w:tc>
          <w:tcPr>
            <w:tcW w:w="2408" w:type="dxa"/>
            <w:vAlign w:val="top"/>
          </w:tcPr>
          <w:p w14:paraId="04D94ECD">
            <w:pPr>
              <w:rPr>
                <w:rFonts w:ascii="Arial"/>
                <w:sz w:val="21"/>
              </w:rPr>
            </w:pPr>
          </w:p>
        </w:tc>
        <w:tc>
          <w:tcPr>
            <w:tcW w:w="849" w:type="dxa"/>
            <w:vAlign w:val="top"/>
          </w:tcPr>
          <w:p w14:paraId="5CE049EB">
            <w:pPr>
              <w:rPr>
                <w:rFonts w:ascii="Arial"/>
                <w:sz w:val="21"/>
              </w:rPr>
            </w:pPr>
          </w:p>
        </w:tc>
        <w:tc>
          <w:tcPr>
            <w:tcW w:w="1559" w:type="dxa"/>
            <w:vAlign w:val="top"/>
          </w:tcPr>
          <w:p w14:paraId="616E40A2">
            <w:pPr>
              <w:rPr>
                <w:rFonts w:ascii="Arial"/>
                <w:sz w:val="21"/>
              </w:rPr>
            </w:pPr>
          </w:p>
        </w:tc>
        <w:tc>
          <w:tcPr>
            <w:tcW w:w="1483" w:type="dxa"/>
            <w:vAlign w:val="top"/>
          </w:tcPr>
          <w:p w14:paraId="0EADCAE3">
            <w:pPr>
              <w:rPr>
                <w:rFonts w:ascii="Arial"/>
                <w:sz w:val="21"/>
              </w:rPr>
            </w:pPr>
          </w:p>
        </w:tc>
      </w:tr>
      <w:tr w14:paraId="5137DD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1254" w:type="dxa"/>
            <w:vAlign w:val="top"/>
          </w:tcPr>
          <w:p w14:paraId="79566182">
            <w:pPr>
              <w:rPr>
                <w:rFonts w:ascii="Arial"/>
                <w:sz w:val="21"/>
              </w:rPr>
            </w:pPr>
          </w:p>
        </w:tc>
        <w:tc>
          <w:tcPr>
            <w:tcW w:w="1868" w:type="dxa"/>
            <w:vAlign w:val="top"/>
          </w:tcPr>
          <w:p w14:paraId="23F8EC59">
            <w:pPr>
              <w:rPr>
                <w:rFonts w:ascii="Arial"/>
                <w:sz w:val="21"/>
              </w:rPr>
            </w:pPr>
          </w:p>
        </w:tc>
        <w:tc>
          <w:tcPr>
            <w:tcW w:w="1398" w:type="dxa"/>
            <w:vAlign w:val="top"/>
          </w:tcPr>
          <w:p w14:paraId="515DB8A2">
            <w:pPr>
              <w:rPr>
                <w:rFonts w:ascii="Arial"/>
                <w:sz w:val="21"/>
              </w:rPr>
            </w:pPr>
          </w:p>
        </w:tc>
        <w:tc>
          <w:tcPr>
            <w:tcW w:w="2408" w:type="dxa"/>
            <w:vAlign w:val="top"/>
          </w:tcPr>
          <w:p w14:paraId="45D28FA2">
            <w:pPr>
              <w:rPr>
                <w:rFonts w:ascii="Arial"/>
                <w:sz w:val="21"/>
              </w:rPr>
            </w:pPr>
          </w:p>
        </w:tc>
        <w:tc>
          <w:tcPr>
            <w:tcW w:w="849" w:type="dxa"/>
            <w:vAlign w:val="top"/>
          </w:tcPr>
          <w:p w14:paraId="17BD2075">
            <w:pPr>
              <w:rPr>
                <w:rFonts w:ascii="Arial"/>
                <w:sz w:val="21"/>
              </w:rPr>
            </w:pPr>
          </w:p>
        </w:tc>
        <w:tc>
          <w:tcPr>
            <w:tcW w:w="1559" w:type="dxa"/>
            <w:vAlign w:val="top"/>
          </w:tcPr>
          <w:p w14:paraId="219577EE">
            <w:pPr>
              <w:rPr>
                <w:rFonts w:ascii="Arial"/>
                <w:sz w:val="21"/>
              </w:rPr>
            </w:pPr>
          </w:p>
        </w:tc>
        <w:tc>
          <w:tcPr>
            <w:tcW w:w="1483" w:type="dxa"/>
            <w:vAlign w:val="top"/>
          </w:tcPr>
          <w:p w14:paraId="2C4C6F06">
            <w:pPr>
              <w:rPr>
                <w:rFonts w:ascii="Arial"/>
                <w:sz w:val="21"/>
              </w:rPr>
            </w:pPr>
          </w:p>
        </w:tc>
      </w:tr>
      <w:tr w14:paraId="21B100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1254" w:type="dxa"/>
            <w:vAlign w:val="top"/>
          </w:tcPr>
          <w:p w14:paraId="43288110">
            <w:pPr>
              <w:rPr>
                <w:rFonts w:ascii="Arial"/>
                <w:sz w:val="21"/>
              </w:rPr>
            </w:pPr>
          </w:p>
        </w:tc>
        <w:tc>
          <w:tcPr>
            <w:tcW w:w="1868" w:type="dxa"/>
            <w:vAlign w:val="top"/>
          </w:tcPr>
          <w:p w14:paraId="606DF3E5">
            <w:pPr>
              <w:rPr>
                <w:rFonts w:ascii="Arial"/>
                <w:sz w:val="21"/>
              </w:rPr>
            </w:pPr>
          </w:p>
        </w:tc>
        <w:tc>
          <w:tcPr>
            <w:tcW w:w="1398" w:type="dxa"/>
            <w:vAlign w:val="top"/>
          </w:tcPr>
          <w:p w14:paraId="281C6B8A">
            <w:pPr>
              <w:rPr>
                <w:rFonts w:ascii="Arial"/>
                <w:sz w:val="21"/>
              </w:rPr>
            </w:pPr>
          </w:p>
        </w:tc>
        <w:tc>
          <w:tcPr>
            <w:tcW w:w="2408" w:type="dxa"/>
            <w:vAlign w:val="top"/>
          </w:tcPr>
          <w:p w14:paraId="0EA13032">
            <w:pPr>
              <w:rPr>
                <w:rFonts w:ascii="Arial"/>
                <w:sz w:val="21"/>
              </w:rPr>
            </w:pPr>
          </w:p>
        </w:tc>
        <w:tc>
          <w:tcPr>
            <w:tcW w:w="849" w:type="dxa"/>
            <w:vAlign w:val="top"/>
          </w:tcPr>
          <w:p w14:paraId="5603B55B">
            <w:pPr>
              <w:rPr>
                <w:rFonts w:ascii="Arial"/>
                <w:sz w:val="21"/>
              </w:rPr>
            </w:pPr>
          </w:p>
        </w:tc>
        <w:tc>
          <w:tcPr>
            <w:tcW w:w="1559" w:type="dxa"/>
            <w:vAlign w:val="top"/>
          </w:tcPr>
          <w:p w14:paraId="5474C0B7">
            <w:pPr>
              <w:rPr>
                <w:rFonts w:ascii="Arial"/>
                <w:sz w:val="21"/>
              </w:rPr>
            </w:pPr>
          </w:p>
        </w:tc>
        <w:tc>
          <w:tcPr>
            <w:tcW w:w="1483" w:type="dxa"/>
            <w:vAlign w:val="top"/>
          </w:tcPr>
          <w:p w14:paraId="10BBE4C9">
            <w:pPr>
              <w:rPr>
                <w:rFonts w:ascii="Arial"/>
                <w:sz w:val="21"/>
              </w:rPr>
            </w:pPr>
          </w:p>
        </w:tc>
      </w:tr>
      <w:tr w14:paraId="63A301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1254" w:type="dxa"/>
            <w:vAlign w:val="top"/>
          </w:tcPr>
          <w:p w14:paraId="31FB9269">
            <w:pPr>
              <w:rPr>
                <w:rFonts w:ascii="Arial"/>
                <w:sz w:val="21"/>
              </w:rPr>
            </w:pPr>
          </w:p>
        </w:tc>
        <w:tc>
          <w:tcPr>
            <w:tcW w:w="1868" w:type="dxa"/>
            <w:vAlign w:val="top"/>
          </w:tcPr>
          <w:p w14:paraId="24761537">
            <w:pPr>
              <w:rPr>
                <w:rFonts w:ascii="Arial"/>
                <w:sz w:val="21"/>
              </w:rPr>
            </w:pPr>
          </w:p>
        </w:tc>
        <w:tc>
          <w:tcPr>
            <w:tcW w:w="1398" w:type="dxa"/>
            <w:vAlign w:val="top"/>
          </w:tcPr>
          <w:p w14:paraId="40E8C5CD">
            <w:pPr>
              <w:rPr>
                <w:rFonts w:ascii="Arial"/>
                <w:sz w:val="21"/>
              </w:rPr>
            </w:pPr>
          </w:p>
        </w:tc>
        <w:tc>
          <w:tcPr>
            <w:tcW w:w="2408" w:type="dxa"/>
            <w:vAlign w:val="top"/>
          </w:tcPr>
          <w:p w14:paraId="30F9BF9A">
            <w:pPr>
              <w:rPr>
                <w:rFonts w:ascii="Arial"/>
                <w:sz w:val="21"/>
              </w:rPr>
            </w:pPr>
          </w:p>
        </w:tc>
        <w:tc>
          <w:tcPr>
            <w:tcW w:w="849" w:type="dxa"/>
            <w:vAlign w:val="top"/>
          </w:tcPr>
          <w:p w14:paraId="31EC1D93">
            <w:pPr>
              <w:rPr>
                <w:rFonts w:ascii="Arial"/>
                <w:sz w:val="21"/>
              </w:rPr>
            </w:pPr>
          </w:p>
        </w:tc>
        <w:tc>
          <w:tcPr>
            <w:tcW w:w="1559" w:type="dxa"/>
            <w:vAlign w:val="top"/>
          </w:tcPr>
          <w:p w14:paraId="3230B6BC">
            <w:pPr>
              <w:rPr>
                <w:rFonts w:ascii="Arial"/>
                <w:sz w:val="21"/>
              </w:rPr>
            </w:pPr>
          </w:p>
        </w:tc>
        <w:tc>
          <w:tcPr>
            <w:tcW w:w="1483" w:type="dxa"/>
            <w:vAlign w:val="top"/>
          </w:tcPr>
          <w:p w14:paraId="4628A9FF">
            <w:pPr>
              <w:rPr>
                <w:rFonts w:ascii="Arial"/>
                <w:sz w:val="21"/>
              </w:rPr>
            </w:pPr>
          </w:p>
        </w:tc>
      </w:tr>
      <w:tr w14:paraId="37AC64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1254" w:type="dxa"/>
            <w:vAlign w:val="top"/>
          </w:tcPr>
          <w:p w14:paraId="34C86682">
            <w:pPr>
              <w:rPr>
                <w:rFonts w:ascii="Arial"/>
                <w:sz w:val="21"/>
              </w:rPr>
            </w:pPr>
          </w:p>
        </w:tc>
        <w:tc>
          <w:tcPr>
            <w:tcW w:w="1868" w:type="dxa"/>
            <w:vAlign w:val="top"/>
          </w:tcPr>
          <w:p w14:paraId="6F57D812">
            <w:pPr>
              <w:rPr>
                <w:rFonts w:ascii="Arial"/>
                <w:sz w:val="21"/>
              </w:rPr>
            </w:pPr>
          </w:p>
        </w:tc>
        <w:tc>
          <w:tcPr>
            <w:tcW w:w="1398" w:type="dxa"/>
            <w:vAlign w:val="top"/>
          </w:tcPr>
          <w:p w14:paraId="65D8476F">
            <w:pPr>
              <w:rPr>
                <w:rFonts w:ascii="Arial"/>
                <w:sz w:val="21"/>
              </w:rPr>
            </w:pPr>
          </w:p>
        </w:tc>
        <w:tc>
          <w:tcPr>
            <w:tcW w:w="2408" w:type="dxa"/>
            <w:vAlign w:val="top"/>
          </w:tcPr>
          <w:p w14:paraId="36CA78D7">
            <w:pPr>
              <w:rPr>
                <w:rFonts w:ascii="Arial"/>
                <w:sz w:val="21"/>
              </w:rPr>
            </w:pPr>
          </w:p>
        </w:tc>
        <w:tc>
          <w:tcPr>
            <w:tcW w:w="849" w:type="dxa"/>
            <w:vAlign w:val="top"/>
          </w:tcPr>
          <w:p w14:paraId="38E7A061">
            <w:pPr>
              <w:rPr>
                <w:rFonts w:ascii="Arial"/>
                <w:sz w:val="21"/>
              </w:rPr>
            </w:pPr>
          </w:p>
        </w:tc>
        <w:tc>
          <w:tcPr>
            <w:tcW w:w="1559" w:type="dxa"/>
            <w:vAlign w:val="top"/>
          </w:tcPr>
          <w:p w14:paraId="2EFC1458">
            <w:pPr>
              <w:rPr>
                <w:rFonts w:ascii="Arial"/>
                <w:sz w:val="21"/>
              </w:rPr>
            </w:pPr>
          </w:p>
        </w:tc>
        <w:tc>
          <w:tcPr>
            <w:tcW w:w="1483" w:type="dxa"/>
            <w:vAlign w:val="top"/>
          </w:tcPr>
          <w:p w14:paraId="1B5113D1">
            <w:pPr>
              <w:rPr>
                <w:rFonts w:ascii="Arial"/>
                <w:sz w:val="21"/>
              </w:rPr>
            </w:pPr>
          </w:p>
        </w:tc>
      </w:tr>
      <w:tr w14:paraId="61D8AE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4" w:hRule="atLeast"/>
        </w:trPr>
        <w:tc>
          <w:tcPr>
            <w:tcW w:w="1254" w:type="dxa"/>
            <w:vAlign w:val="top"/>
          </w:tcPr>
          <w:p w14:paraId="1FE76D7B">
            <w:pPr>
              <w:rPr>
                <w:rFonts w:ascii="Arial"/>
                <w:sz w:val="21"/>
              </w:rPr>
            </w:pPr>
          </w:p>
        </w:tc>
        <w:tc>
          <w:tcPr>
            <w:tcW w:w="1868" w:type="dxa"/>
            <w:vAlign w:val="top"/>
          </w:tcPr>
          <w:p w14:paraId="4A3FA30D">
            <w:pPr>
              <w:rPr>
                <w:rFonts w:ascii="Arial"/>
                <w:sz w:val="21"/>
              </w:rPr>
            </w:pPr>
          </w:p>
        </w:tc>
        <w:tc>
          <w:tcPr>
            <w:tcW w:w="1398" w:type="dxa"/>
            <w:vAlign w:val="top"/>
          </w:tcPr>
          <w:p w14:paraId="14D86AD9">
            <w:pPr>
              <w:rPr>
                <w:rFonts w:ascii="Arial"/>
                <w:sz w:val="21"/>
              </w:rPr>
            </w:pPr>
          </w:p>
        </w:tc>
        <w:tc>
          <w:tcPr>
            <w:tcW w:w="2408" w:type="dxa"/>
            <w:vAlign w:val="top"/>
          </w:tcPr>
          <w:p w14:paraId="00477834">
            <w:pPr>
              <w:rPr>
                <w:rFonts w:ascii="Arial"/>
                <w:sz w:val="21"/>
              </w:rPr>
            </w:pPr>
          </w:p>
        </w:tc>
        <w:tc>
          <w:tcPr>
            <w:tcW w:w="849" w:type="dxa"/>
            <w:vAlign w:val="top"/>
          </w:tcPr>
          <w:p w14:paraId="49967094">
            <w:pPr>
              <w:rPr>
                <w:rFonts w:ascii="Arial"/>
                <w:sz w:val="21"/>
              </w:rPr>
            </w:pPr>
          </w:p>
        </w:tc>
        <w:tc>
          <w:tcPr>
            <w:tcW w:w="1559" w:type="dxa"/>
            <w:vAlign w:val="top"/>
          </w:tcPr>
          <w:p w14:paraId="54B266A8">
            <w:pPr>
              <w:rPr>
                <w:rFonts w:ascii="Arial"/>
                <w:sz w:val="21"/>
              </w:rPr>
            </w:pPr>
          </w:p>
        </w:tc>
        <w:tc>
          <w:tcPr>
            <w:tcW w:w="1483" w:type="dxa"/>
            <w:vAlign w:val="top"/>
          </w:tcPr>
          <w:p w14:paraId="504DBE67">
            <w:pPr>
              <w:rPr>
                <w:rFonts w:ascii="Arial"/>
                <w:sz w:val="21"/>
              </w:rPr>
            </w:pPr>
          </w:p>
        </w:tc>
      </w:tr>
    </w:tbl>
    <w:p w14:paraId="25586870">
      <w:pPr>
        <w:pStyle w:val="2"/>
        <w:spacing w:before="130" w:line="214" w:lineRule="auto"/>
        <w:ind w:left="428"/>
      </w:pPr>
      <w:r>
        <w:rPr>
          <w:b/>
          <w:bCs/>
          <w:spacing w:val="-3"/>
        </w:rPr>
        <w:t>附件2:发包人供应材料设备一览表</w:t>
      </w:r>
    </w:p>
    <w:tbl>
      <w:tblPr>
        <w:tblStyle w:val="5"/>
        <w:tblW w:w="8740" w:type="dxa"/>
        <w:tblInd w:w="5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54"/>
        <w:gridCol w:w="1139"/>
        <w:gridCol w:w="869"/>
        <w:gridCol w:w="689"/>
        <w:gridCol w:w="709"/>
        <w:gridCol w:w="849"/>
        <w:gridCol w:w="849"/>
        <w:gridCol w:w="819"/>
        <w:gridCol w:w="1459"/>
        <w:gridCol w:w="804"/>
      </w:tblGrid>
      <w:tr w14:paraId="23FEC5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3" w:hRule="atLeast"/>
        </w:trPr>
        <w:tc>
          <w:tcPr>
            <w:tcW w:w="554" w:type="dxa"/>
            <w:textDirection w:val="tbRlV"/>
            <w:vAlign w:val="top"/>
          </w:tcPr>
          <w:p w14:paraId="67B07925">
            <w:pPr>
              <w:pStyle w:val="6"/>
              <w:spacing w:before="201" w:line="199" w:lineRule="auto"/>
              <w:ind w:left="84"/>
            </w:pPr>
            <w:r>
              <w:t>序   号</w:t>
            </w:r>
          </w:p>
        </w:tc>
        <w:tc>
          <w:tcPr>
            <w:tcW w:w="1139" w:type="dxa"/>
            <w:vAlign w:val="top"/>
          </w:tcPr>
          <w:p w14:paraId="538DC1FB">
            <w:pPr>
              <w:pStyle w:val="6"/>
              <w:spacing w:before="181" w:line="317" w:lineRule="auto"/>
              <w:ind w:left="141" w:right="122" w:firstLine="129"/>
            </w:pPr>
            <w:r>
              <w:rPr>
                <w:spacing w:val="-16"/>
              </w:rPr>
              <w:t>材</w:t>
            </w:r>
            <w:r>
              <w:rPr>
                <w:spacing w:val="-25"/>
              </w:rPr>
              <w:t xml:space="preserve"> </w:t>
            </w:r>
            <w:r>
              <w:rPr>
                <w:spacing w:val="-16"/>
              </w:rPr>
              <w:t>料</w:t>
            </w:r>
            <w:r>
              <w:rPr>
                <w:spacing w:val="-33"/>
              </w:rPr>
              <w:t xml:space="preserve"> </w:t>
            </w:r>
            <w:r>
              <w:rPr>
                <w:spacing w:val="-16"/>
              </w:rPr>
              <w:t>、</w:t>
            </w:r>
            <w:r>
              <w:t xml:space="preserve"> </w:t>
            </w:r>
            <w:r>
              <w:rPr>
                <w:spacing w:val="3"/>
              </w:rPr>
              <w:t>设备品种</w:t>
            </w:r>
          </w:p>
        </w:tc>
        <w:tc>
          <w:tcPr>
            <w:tcW w:w="869" w:type="dxa"/>
            <w:vAlign w:val="top"/>
          </w:tcPr>
          <w:p w14:paraId="6A45254F">
            <w:pPr>
              <w:pStyle w:val="6"/>
              <w:spacing w:before="193" w:line="312" w:lineRule="auto"/>
              <w:ind w:left="212" w:right="213"/>
            </w:pPr>
            <w:r>
              <w:rPr>
                <w:spacing w:val="-5"/>
              </w:rPr>
              <w:t>规格</w:t>
            </w:r>
            <w:r>
              <w:t xml:space="preserve"> </w:t>
            </w:r>
            <w:r>
              <w:rPr>
                <w:spacing w:val="6"/>
              </w:rPr>
              <w:t>型号</w:t>
            </w:r>
          </w:p>
        </w:tc>
        <w:tc>
          <w:tcPr>
            <w:tcW w:w="689" w:type="dxa"/>
            <w:vAlign w:val="top"/>
          </w:tcPr>
          <w:p w14:paraId="262B0C93">
            <w:pPr>
              <w:spacing w:line="343" w:lineRule="auto"/>
              <w:rPr>
                <w:rFonts w:ascii="Arial"/>
                <w:sz w:val="21"/>
              </w:rPr>
            </w:pPr>
          </w:p>
          <w:p w14:paraId="58E3C1B1">
            <w:pPr>
              <w:pStyle w:val="6"/>
              <w:spacing w:before="69" w:line="220" w:lineRule="auto"/>
              <w:ind w:left="122"/>
            </w:pPr>
            <w:r>
              <w:rPr>
                <w:spacing w:val="-3"/>
              </w:rPr>
              <w:t>单位</w:t>
            </w:r>
          </w:p>
        </w:tc>
        <w:tc>
          <w:tcPr>
            <w:tcW w:w="709" w:type="dxa"/>
            <w:vAlign w:val="top"/>
          </w:tcPr>
          <w:p w14:paraId="627B75A5">
            <w:pPr>
              <w:spacing w:line="343" w:lineRule="auto"/>
              <w:rPr>
                <w:rFonts w:ascii="Arial"/>
                <w:sz w:val="21"/>
              </w:rPr>
            </w:pPr>
          </w:p>
          <w:p w14:paraId="50530D2C">
            <w:pPr>
              <w:pStyle w:val="6"/>
              <w:spacing w:before="68" w:line="219" w:lineRule="auto"/>
              <w:ind w:left="144"/>
            </w:pPr>
            <w:r>
              <w:rPr>
                <w:spacing w:val="-3"/>
              </w:rPr>
              <w:t>数量</w:t>
            </w:r>
          </w:p>
        </w:tc>
        <w:tc>
          <w:tcPr>
            <w:tcW w:w="849" w:type="dxa"/>
            <w:vAlign w:val="top"/>
          </w:tcPr>
          <w:p w14:paraId="0A4DF10C">
            <w:pPr>
              <w:pStyle w:val="6"/>
              <w:spacing w:before="181" w:line="218" w:lineRule="auto"/>
              <w:ind w:left="205"/>
            </w:pPr>
            <w:r>
              <w:rPr>
                <w:spacing w:val="-3"/>
              </w:rPr>
              <w:t>单价</w:t>
            </w:r>
          </w:p>
          <w:p w14:paraId="617F0ED5">
            <w:pPr>
              <w:pStyle w:val="6"/>
              <w:spacing w:before="214" w:line="220" w:lineRule="auto"/>
              <w:ind w:left="205"/>
            </w:pPr>
            <w:r>
              <w:rPr>
                <w:spacing w:val="15"/>
              </w:rPr>
              <w:t>(元)</w:t>
            </w:r>
          </w:p>
        </w:tc>
        <w:tc>
          <w:tcPr>
            <w:tcW w:w="849" w:type="dxa"/>
            <w:vAlign w:val="top"/>
          </w:tcPr>
          <w:p w14:paraId="644F05A3">
            <w:pPr>
              <w:pStyle w:val="6"/>
              <w:spacing w:before="193" w:line="312" w:lineRule="auto"/>
              <w:ind w:left="206" w:right="199"/>
            </w:pPr>
            <w:r>
              <w:rPr>
                <w:spacing w:val="-5"/>
              </w:rPr>
              <w:t>质量</w:t>
            </w:r>
            <w:r>
              <w:t xml:space="preserve"> </w:t>
            </w:r>
            <w:r>
              <w:rPr>
                <w:spacing w:val="6"/>
              </w:rPr>
              <w:t>等级</w:t>
            </w:r>
          </w:p>
        </w:tc>
        <w:tc>
          <w:tcPr>
            <w:tcW w:w="819" w:type="dxa"/>
            <w:vAlign w:val="top"/>
          </w:tcPr>
          <w:p w14:paraId="79DCB8E1">
            <w:pPr>
              <w:pStyle w:val="6"/>
              <w:spacing w:before="193" w:line="312" w:lineRule="auto"/>
              <w:ind w:left="197" w:right="171"/>
            </w:pPr>
            <w:r>
              <w:rPr>
                <w:spacing w:val="-5"/>
              </w:rPr>
              <w:t>供应</w:t>
            </w:r>
            <w:r>
              <w:t xml:space="preserve"> </w:t>
            </w:r>
            <w:r>
              <w:rPr>
                <w:spacing w:val="10"/>
              </w:rPr>
              <w:t>时间</w:t>
            </w:r>
          </w:p>
        </w:tc>
        <w:tc>
          <w:tcPr>
            <w:tcW w:w="1459" w:type="dxa"/>
            <w:vAlign w:val="top"/>
          </w:tcPr>
          <w:p w14:paraId="444519F4">
            <w:pPr>
              <w:spacing w:line="357" w:lineRule="auto"/>
              <w:rPr>
                <w:rFonts w:ascii="Arial"/>
                <w:sz w:val="21"/>
              </w:rPr>
            </w:pPr>
          </w:p>
          <w:p w14:paraId="69CFE5BE">
            <w:pPr>
              <w:pStyle w:val="6"/>
              <w:spacing w:before="68" w:line="224" w:lineRule="auto"/>
              <w:ind w:left="308"/>
            </w:pPr>
            <w:r>
              <w:rPr>
                <w:spacing w:val="4"/>
              </w:rPr>
              <w:t>送达地点</w:t>
            </w:r>
          </w:p>
        </w:tc>
        <w:tc>
          <w:tcPr>
            <w:tcW w:w="804" w:type="dxa"/>
            <w:vAlign w:val="top"/>
          </w:tcPr>
          <w:p w14:paraId="32394C65">
            <w:pPr>
              <w:spacing w:line="344" w:lineRule="auto"/>
              <w:rPr>
                <w:rFonts w:ascii="Arial"/>
                <w:sz w:val="21"/>
              </w:rPr>
            </w:pPr>
          </w:p>
          <w:p w14:paraId="33AA9ECC">
            <w:pPr>
              <w:pStyle w:val="6"/>
              <w:spacing w:before="68" w:line="221" w:lineRule="auto"/>
              <w:ind w:left="209"/>
            </w:pPr>
            <w:r>
              <w:rPr>
                <w:spacing w:val="5"/>
              </w:rPr>
              <w:t>备注</w:t>
            </w:r>
          </w:p>
        </w:tc>
      </w:tr>
      <w:tr w14:paraId="718FA7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9" w:hRule="atLeast"/>
        </w:trPr>
        <w:tc>
          <w:tcPr>
            <w:tcW w:w="554" w:type="dxa"/>
            <w:vAlign w:val="top"/>
          </w:tcPr>
          <w:p w14:paraId="2B1648CB">
            <w:pPr>
              <w:rPr>
                <w:rFonts w:ascii="Arial"/>
                <w:sz w:val="21"/>
              </w:rPr>
            </w:pPr>
          </w:p>
        </w:tc>
        <w:tc>
          <w:tcPr>
            <w:tcW w:w="1139" w:type="dxa"/>
            <w:vAlign w:val="top"/>
          </w:tcPr>
          <w:p w14:paraId="07927BA6">
            <w:pPr>
              <w:rPr>
                <w:rFonts w:ascii="Arial"/>
                <w:sz w:val="21"/>
              </w:rPr>
            </w:pPr>
          </w:p>
        </w:tc>
        <w:tc>
          <w:tcPr>
            <w:tcW w:w="869" w:type="dxa"/>
            <w:vAlign w:val="top"/>
          </w:tcPr>
          <w:p w14:paraId="3C71026B">
            <w:pPr>
              <w:rPr>
                <w:rFonts w:ascii="Arial"/>
                <w:sz w:val="21"/>
              </w:rPr>
            </w:pPr>
          </w:p>
        </w:tc>
        <w:tc>
          <w:tcPr>
            <w:tcW w:w="689" w:type="dxa"/>
            <w:vAlign w:val="top"/>
          </w:tcPr>
          <w:p w14:paraId="3B71BBA9">
            <w:pPr>
              <w:rPr>
                <w:rFonts w:ascii="Arial"/>
                <w:sz w:val="21"/>
              </w:rPr>
            </w:pPr>
          </w:p>
        </w:tc>
        <w:tc>
          <w:tcPr>
            <w:tcW w:w="709" w:type="dxa"/>
            <w:vAlign w:val="top"/>
          </w:tcPr>
          <w:p w14:paraId="3F8133E6">
            <w:pPr>
              <w:rPr>
                <w:rFonts w:ascii="Arial"/>
                <w:sz w:val="21"/>
              </w:rPr>
            </w:pPr>
          </w:p>
        </w:tc>
        <w:tc>
          <w:tcPr>
            <w:tcW w:w="849" w:type="dxa"/>
            <w:vAlign w:val="top"/>
          </w:tcPr>
          <w:p w14:paraId="6C9BDE73">
            <w:pPr>
              <w:rPr>
                <w:rFonts w:ascii="Arial"/>
                <w:sz w:val="21"/>
              </w:rPr>
            </w:pPr>
          </w:p>
        </w:tc>
        <w:tc>
          <w:tcPr>
            <w:tcW w:w="849" w:type="dxa"/>
            <w:vAlign w:val="top"/>
          </w:tcPr>
          <w:p w14:paraId="37F81B72">
            <w:pPr>
              <w:rPr>
                <w:rFonts w:ascii="Arial"/>
                <w:sz w:val="21"/>
              </w:rPr>
            </w:pPr>
          </w:p>
        </w:tc>
        <w:tc>
          <w:tcPr>
            <w:tcW w:w="819" w:type="dxa"/>
            <w:vAlign w:val="top"/>
          </w:tcPr>
          <w:p w14:paraId="0AD897CE">
            <w:pPr>
              <w:rPr>
                <w:rFonts w:ascii="Arial"/>
                <w:sz w:val="21"/>
              </w:rPr>
            </w:pPr>
          </w:p>
        </w:tc>
        <w:tc>
          <w:tcPr>
            <w:tcW w:w="1459" w:type="dxa"/>
            <w:vAlign w:val="top"/>
          </w:tcPr>
          <w:p w14:paraId="5335F1D8">
            <w:pPr>
              <w:rPr>
                <w:rFonts w:ascii="Arial"/>
                <w:sz w:val="21"/>
              </w:rPr>
            </w:pPr>
          </w:p>
        </w:tc>
        <w:tc>
          <w:tcPr>
            <w:tcW w:w="804" w:type="dxa"/>
            <w:vAlign w:val="top"/>
          </w:tcPr>
          <w:p w14:paraId="52B90403">
            <w:pPr>
              <w:rPr>
                <w:rFonts w:ascii="Arial"/>
                <w:sz w:val="21"/>
              </w:rPr>
            </w:pPr>
          </w:p>
        </w:tc>
      </w:tr>
      <w:tr w14:paraId="22F0DE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9" w:hRule="atLeast"/>
        </w:trPr>
        <w:tc>
          <w:tcPr>
            <w:tcW w:w="554" w:type="dxa"/>
            <w:vAlign w:val="top"/>
          </w:tcPr>
          <w:p w14:paraId="32990747">
            <w:pPr>
              <w:rPr>
                <w:rFonts w:ascii="Arial"/>
                <w:sz w:val="21"/>
              </w:rPr>
            </w:pPr>
          </w:p>
        </w:tc>
        <w:tc>
          <w:tcPr>
            <w:tcW w:w="1139" w:type="dxa"/>
            <w:vAlign w:val="top"/>
          </w:tcPr>
          <w:p w14:paraId="6580516E">
            <w:pPr>
              <w:rPr>
                <w:rFonts w:ascii="Arial"/>
                <w:sz w:val="21"/>
              </w:rPr>
            </w:pPr>
          </w:p>
        </w:tc>
        <w:tc>
          <w:tcPr>
            <w:tcW w:w="869" w:type="dxa"/>
            <w:vAlign w:val="top"/>
          </w:tcPr>
          <w:p w14:paraId="4181792F">
            <w:pPr>
              <w:rPr>
                <w:rFonts w:ascii="Arial"/>
                <w:sz w:val="21"/>
              </w:rPr>
            </w:pPr>
          </w:p>
        </w:tc>
        <w:tc>
          <w:tcPr>
            <w:tcW w:w="689" w:type="dxa"/>
            <w:vAlign w:val="top"/>
          </w:tcPr>
          <w:p w14:paraId="3811E8E2">
            <w:pPr>
              <w:rPr>
                <w:rFonts w:ascii="Arial"/>
                <w:sz w:val="21"/>
              </w:rPr>
            </w:pPr>
          </w:p>
        </w:tc>
        <w:tc>
          <w:tcPr>
            <w:tcW w:w="709" w:type="dxa"/>
            <w:vAlign w:val="top"/>
          </w:tcPr>
          <w:p w14:paraId="7FA0D08C">
            <w:pPr>
              <w:rPr>
                <w:rFonts w:ascii="Arial"/>
                <w:sz w:val="21"/>
              </w:rPr>
            </w:pPr>
          </w:p>
        </w:tc>
        <w:tc>
          <w:tcPr>
            <w:tcW w:w="849" w:type="dxa"/>
            <w:vAlign w:val="top"/>
          </w:tcPr>
          <w:p w14:paraId="0439527D">
            <w:pPr>
              <w:rPr>
                <w:rFonts w:ascii="Arial"/>
                <w:sz w:val="21"/>
              </w:rPr>
            </w:pPr>
          </w:p>
        </w:tc>
        <w:tc>
          <w:tcPr>
            <w:tcW w:w="849" w:type="dxa"/>
            <w:vAlign w:val="top"/>
          </w:tcPr>
          <w:p w14:paraId="36A4B491">
            <w:pPr>
              <w:rPr>
                <w:rFonts w:ascii="Arial"/>
                <w:sz w:val="21"/>
              </w:rPr>
            </w:pPr>
          </w:p>
        </w:tc>
        <w:tc>
          <w:tcPr>
            <w:tcW w:w="819" w:type="dxa"/>
            <w:vAlign w:val="top"/>
          </w:tcPr>
          <w:p w14:paraId="5A7564BF">
            <w:pPr>
              <w:rPr>
                <w:rFonts w:ascii="Arial"/>
                <w:sz w:val="21"/>
              </w:rPr>
            </w:pPr>
          </w:p>
        </w:tc>
        <w:tc>
          <w:tcPr>
            <w:tcW w:w="1459" w:type="dxa"/>
            <w:vAlign w:val="top"/>
          </w:tcPr>
          <w:p w14:paraId="7EA8041E">
            <w:pPr>
              <w:rPr>
                <w:rFonts w:ascii="Arial"/>
                <w:sz w:val="21"/>
              </w:rPr>
            </w:pPr>
          </w:p>
        </w:tc>
        <w:tc>
          <w:tcPr>
            <w:tcW w:w="804" w:type="dxa"/>
            <w:vAlign w:val="top"/>
          </w:tcPr>
          <w:p w14:paraId="7C47CE9C">
            <w:pPr>
              <w:rPr>
                <w:rFonts w:ascii="Arial"/>
                <w:sz w:val="21"/>
              </w:rPr>
            </w:pPr>
          </w:p>
        </w:tc>
      </w:tr>
      <w:tr w14:paraId="6E3D08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8" w:hRule="atLeast"/>
        </w:trPr>
        <w:tc>
          <w:tcPr>
            <w:tcW w:w="554" w:type="dxa"/>
            <w:vAlign w:val="top"/>
          </w:tcPr>
          <w:p w14:paraId="27B86213">
            <w:pPr>
              <w:rPr>
                <w:rFonts w:ascii="Arial"/>
                <w:sz w:val="21"/>
              </w:rPr>
            </w:pPr>
          </w:p>
        </w:tc>
        <w:tc>
          <w:tcPr>
            <w:tcW w:w="1139" w:type="dxa"/>
            <w:vAlign w:val="top"/>
          </w:tcPr>
          <w:p w14:paraId="65B9D384">
            <w:pPr>
              <w:rPr>
                <w:rFonts w:ascii="Arial"/>
                <w:sz w:val="21"/>
              </w:rPr>
            </w:pPr>
          </w:p>
        </w:tc>
        <w:tc>
          <w:tcPr>
            <w:tcW w:w="869" w:type="dxa"/>
            <w:vAlign w:val="top"/>
          </w:tcPr>
          <w:p w14:paraId="7290C844">
            <w:pPr>
              <w:rPr>
                <w:rFonts w:ascii="Arial"/>
                <w:sz w:val="21"/>
              </w:rPr>
            </w:pPr>
          </w:p>
        </w:tc>
        <w:tc>
          <w:tcPr>
            <w:tcW w:w="689" w:type="dxa"/>
            <w:vAlign w:val="top"/>
          </w:tcPr>
          <w:p w14:paraId="41479111">
            <w:pPr>
              <w:rPr>
                <w:rFonts w:ascii="Arial"/>
                <w:sz w:val="21"/>
              </w:rPr>
            </w:pPr>
          </w:p>
        </w:tc>
        <w:tc>
          <w:tcPr>
            <w:tcW w:w="709" w:type="dxa"/>
            <w:vAlign w:val="top"/>
          </w:tcPr>
          <w:p w14:paraId="3A9EC2FF">
            <w:pPr>
              <w:rPr>
                <w:rFonts w:ascii="Arial"/>
                <w:sz w:val="21"/>
              </w:rPr>
            </w:pPr>
          </w:p>
        </w:tc>
        <w:tc>
          <w:tcPr>
            <w:tcW w:w="849" w:type="dxa"/>
            <w:vAlign w:val="top"/>
          </w:tcPr>
          <w:p w14:paraId="2F64ABD0">
            <w:pPr>
              <w:rPr>
                <w:rFonts w:ascii="Arial"/>
                <w:sz w:val="21"/>
              </w:rPr>
            </w:pPr>
          </w:p>
        </w:tc>
        <w:tc>
          <w:tcPr>
            <w:tcW w:w="849" w:type="dxa"/>
            <w:vAlign w:val="top"/>
          </w:tcPr>
          <w:p w14:paraId="5AB92079">
            <w:pPr>
              <w:rPr>
                <w:rFonts w:ascii="Arial"/>
                <w:sz w:val="21"/>
              </w:rPr>
            </w:pPr>
          </w:p>
        </w:tc>
        <w:tc>
          <w:tcPr>
            <w:tcW w:w="819" w:type="dxa"/>
            <w:vAlign w:val="top"/>
          </w:tcPr>
          <w:p w14:paraId="033E711A">
            <w:pPr>
              <w:rPr>
                <w:rFonts w:ascii="Arial"/>
                <w:sz w:val="21"/>
              </w:rPr>
            </w:pPr>
          </w:p>
        </w:tc>
        <w:tc>
          <w:tcPr>
            <w:tcW w:w="1459" w:type="dxa"/>
            <w:vAlign w:val="top"/>
          </w:tcPr>
          <w:p w14:paraId="78BF7E2E">
            <w:pPr>
              <w:rPr>
                <w:rFonts w:ascii="Arial"/>
                <w:sz w:val="21"/>
              </w:rPr>
            </w:pPr>
          </w:p>
        </w:tc>
        <w:tc>
          <w:tcPr>
            <w:tcW w:w="804" w:type="dxa"/>
            <w:vAlign w:val="top"/>
          </w:tcPr>
          <w:p w14:paraId="5CC20E62">
            <w:pPr>
              <w:rPr>
                <w:rFonts w:ascii="Arial"/>
                <w:sz w:val="21"/>
              </w:rPr>
            </w:pPr>
          </w:p>
        </w:tc>
      </w:tr>
      <w:tr w14:paraId="0357B9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9" w:hRule="atLeast"/>
        </w:trPr>
        <w:tc>
          <w:tcPr>
            <w:tcW w:w="554" w:type="dxa"/>
            <w:vAlign w:val="top"/>
          </w:tcPr>
          <w:p w14:paraId="68DB03D6">
            <w:pPr>
              <w:rPr>
                <w:rFonts w:ascii="Arial"/>
                <w:sz w:val="21"/>
              </w:rPr>
            </w:pPr>
          </w:p>
        </w:tc>
        <w:tc>
          <w:tcPr>
            <w:tcW w:w="1139" w:type="dxa"/>
            <w:vAlign w:val="top"/>
          </w:tcPr>
          <w:p w14:paraId="49DFC971">
            <w:pPr>
              <w:rPr>
                <w:rFonts w:ascii="Arial"/>
                <w:sz w:val="21"/>
              </w:rPr>
            </w:pPr>
          </w:p>
        </w:tc>
        <w:tc>
          <w:tcPr>
            <w:tcW w:w="869" w:type="dxa"/>
            <w:vAlign w:val="top"/>
          </w:tcPr>
          <w:p w14:paraId="6A43B36B">
            <w:pPr>
              <w:rPr>
                <w:rFonts w:ascii="Arial"/>
                <w:sz w:val="21"/>
              </w:rPr>
            </w:pPr>
          </w:p>
        </w:tc>
        <w:tc>
          <w:tcPr>
            <w:tcW w:w="689" w:type="dxa"/>
            <w:vAlign w:val="top"/>
          </w:tcPr>
          <w:p w14:paraId="181A7AA8">
            <w:pPr>
              <w:rPr>
                <w:rFonts w:ascii="Arial"/>
                <w:sz w:val="21"/>
              </w:rPr>
            </w:pPr>
          </w:p>
        </w:tc>
        <w:tc>
          <w:tcPr>
            <w:tcW w:w="709" w:type="dxa"/>
            <w:vAlign w:val="top"/>
          </w:tcPr>
          <w:p w14:paraId="563FEB3F">
            <w:pPr>
              <w:rPr>
                <w:rFonts w:ascii="Arial"/>
                <w:sz w:val="21"/>
              </w:rPr>
            </w:pPr>
          </w:p>
        </w:tc>
        <w:tc>
          <w:tcPr>
            <w:tcW w:w="849" w:type="dxa"/>
            <w:vAlign w:val="top"/>
          </w:tcPr>
          <w:p w14:paraId="57125C57">
            <w:pPr>
              <w:rPr>
                <w:rFonts w:ascii="Arial"/>
                <w:sz w:val="21"/>
              </w:rPr>
            </w:pPr>
          </w:p>
        </w:tc>
        <w:tc>
          <w:tcPr>
            <w:tcW w:w="849" w:type="dxa"/>
            <w:vAlign w:val="top"/>
          </w:tcPr>
          <w:p w14:paraId="49F0DE90">
            <w:pPr>
              <w:rPr>
                <w:rFonts w:ascii="Arial"/>
                <w:sz w:val="21"/>
              </w:rPr>
            </w:pPr>
          </w:p>
        </w:tc>
        <w:tc>
          <w:tcPr>
            <w:tcW w:w="819" w:type="dxa"/>
            <w:vAlign w:val="top"/>
          </w:tcPr>
          <w:p w14:paraId="5743F8E4">
            <w:pPr>
              <w:rPr>
                <w:rFonts w:ascii="Arial"/>
                <w:sz w:val="21"/>
              </w:rPr>
            </w:pPr>
          </w:p>
        </w:tc>
        <w:tc>
          <w:tcPr>
            <w:tcW w:w="1459" w:type="dxa"/>
            <w:vAlign w:val="top"/>
          </w:tcPr>
          <w:p w14:paraId="0AAD53B9">
            <w:pPr>
              <w:rPr>
                <w:rFonts w:ascii="Arial"/>
                <w:sz w:val="21"/>
              </w:rPr>
            </w:pPr>
          </w:p>
        </w:tc>
        <w:tc>
          <w:tcPr>
            <w:tcW w:w="804" w:type="dxa"/>
            <w:vAlign w:val="top"/>
          </w:tcPr>
          <w:p w14:paraId="57A58D93">
            <w:pPr>
              <w:rPr>
                <w:rFonts w:ascii="Arial"/>
                <w:sz w:val="21"/>
              </w:rPr>
            </w:pPr>
          </w:p>
        </w:tc>
      </w:tr>
      <w:tr w14:paraId="255269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9" w:hRule="atLeast"/>
        </w:trPr>
        <w:tc>
          <w:tcPr>
            <w:tcW w:w="554" w:type="dxa"/>
            <w:vAlign w:val="top"/>
          </w:tcPr>
          <w:p w14:paraId="0D48AE8E">
            <w:pPr>
              <w:rPr>
                <w:rFonts w:ascii="Arial"/>
                <w:sz w:val="21"/>
              </w:rPr>
            </w:pPr>
          </w:p>
        </w:tc>
        <w:tc>
          <w:tcPr>
            <w:tcW w:w="1139" w:type="dxa"/>
            <w:vAlign w:val="top"/>
          </w:tcPr>
          <w:p w14:paraId="23EF5EFF">
            <w:pPr>
              <w:rPr>
                <w:rFonts w:ascii="Arial"/>
                <w:sz w:val="21"/>
              </w:rPr>
            </w:pPr>
          </w:p>
        </w:tc>
        <w:tc>
          <w:tcPr>
            <w:tcW w:w="869" w:type="dxa"/>
            <w:vAlign w:val="top"/>
          </w:tcPr>
          <w:p w14:paraId="2D921DC0">
            <w:pPr>
              <w:rPr>
                <w:rFonts w:ascii="Arial"/>
                <w:sz w:val="21"/>
              </w:rPr>
            </w:pPr>
          </w:p>
        </w:tc>
        <w:tc>
          <w:tcPr>
            <w:tcW w:w="689" w:type="dxa"/>
            <w:vAlign w:val="top"/>
          </w:tcPr>
          <w:p w14:paraId="74A19DB4">
            <w:pPr>
              <w:rPr>
                <w:rFonts w:ascii="Arial"/>
                <w:sz w:val="21"/>
              </w:rPr>
            </w:pPr>
          </w:p>
        </w:tc>
        <w:tc>
          <w:tcPr>
            <w:tcW w:w="709" w:type="dxa"/>
            <w:vAlign w:val="top"/>
          </w:tcPr>
          <w:p w14:paraId="189D511A">
            <w:pPr>
              <w:rPr>
                <w:rFonts w:ascii="Arial"/>
                <w:sz w:val="21"/>
              </w:rPr>
            </w:pPr>
          </w:p>
        </w:tc>
        <w:tc>
          <w:tcPr>
            <w:tcW w:w="849" w:type="dxa"/>
            <w:vAlign w:val="top"/>
          </w:tcPr>
          <w:p w14:paraId="314B1B6C">
            <w:pPr>
              <w:rPr>
                <w:rFonts w:ascii="Arial"/>
                <w:sz w:val="21"/>
              </w:rPr>
            </w:pPr>
          </w:p>
        </w:tc>
        <w:tc>
          <w:tcPr>
            <w:tcW w:w="849" w:type="dxa"/>
            <w:vAlign w:val="top"/>
          </w:tcPr>
          <w:p w14:paraId="08F721D0">
            <w:pPr>
              <w:rPr>
                <w:rFonts w:ascii="Arial"/>
                <w:sz w:val="21"/>
              </w:rPr>
            </w:pPr>
          </w:p>
        </w:tc>
        <w:tc>
          <w:tcPr>
            <w:tcW w:w="819" w:type="dxa"/>
            <w:vAlign w:val="top"/>
          </w:tcPr>
          <w:p w14:paraId="530D4C4F">
            <w:pPr>
              <w:rPr>
                <w:rFonts w:ascii="Arial"/>
                <w:sz w:val="21"/>
              </w:rPr>
            </w:pPr>
          </w:p>
        </w:tc>
        <w:tc>
          <w:tcPr>
            <w:tcW w:w="1459" w:type="dxa"/>
            <w:vAlign w:val="top"/>
          </w:tcPr>
          <w:p w14:paraId="09AC3BCB">
            <w:pPr>
              <w:rPr>
                <w:rFonts w:ascii="Arial"/>
                <w:sz w:val="21"/>
              </w:rPr>
            </w:pPr>
          </w:p>
        </w:tc>
        <w:tc>
          <w:tcPr>
            <w:tcW w:w="804" w:type="dxa"/>
            <w:vAlign w:val="top"/>
          </w:tcPr>
          <w:p w14:paraId="081EDB91">
            <w:pPr>
              <w:rPr>
                <w:rFonts w:ascii="Arial"/>
                <w:sz w:val="21"/>
              </w:rPr>
            </w:pPr>
          </w:p>
        </w:tc>
      </w:tr>
      <w:tr w14:paraId="2F1C44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9" w:hRule="atLeast"/>
        </w:trPr>
        <w:tc>
          <w:tcPr>
            <w:tcW w:w="554" w:type="dxa"/>
            <w:vAlign w:val="top"/>
          </w:tcPr>
          <w:p w14:paraId="6E1D376D">
            <w:pPr>
              <w:rPr>
                <w:rFonts w:ascii="Arial"/>
                <w:sz w:val="21"/>
              </w:rPr>
            </w:pPr>
          </w:p>
        </w:tc>
        <w:tc>
          <w:tcPr>
            <w:tcW w:w="1139" w:type="dxa"/>
            <w:vAlign w:val="top"/>
          </w:tcPr>
          <w:p w14:paraId="3E9B5E1F">
            <w:pPr>
              <w:rPr>
                <w:rFonts w:ascii="Arial"/>
                <w:sz w:val="21"/>
              </w:rPr>
            </w:pPr>
          </w:p>
        </w:tc>
        <w:tc>
          <w:tcPr>
            <w:tcW w:w="869" w:type="dxa"/>
            <w:vAlign w:val="top"/>
          </w:tcPr>
          <w:p w14:paraId="791F02C5">
            <w:pPr>
              <w:rPr>
                <w:rFonts w:ascii="Arial"/>
                <w:sz w:val="21"/>
              </w:rPr>
            </w:pPr>
          </w:p>
        </w:tc>
        <w:tc>
          <w:tcPr>
            <w:tcW w:w="689" w:type="dxa"/>
            <w:vAlign w:val="top"/>
          </w:tcPr>
          <w:p w14:paraId="2D7DE7BF">
            <w:pPr>
              <w:rPr>
                <w:rFonts w:ascii="Arial"/>
                <w:sz w:val="21"/>
              </w:rPr>
            </w:pPr>
          </w:p>
        </w:tc>
        <w:tc>
          <w:tcPr>
            <w:tcW w:w="709" w:type="dxa"/>
            <w:vAlign w:val="top"/>
          </w:tcPr>
          <w:p w14:paraId="31BC663F">
            <w:pPr>
              <w:rPr>
                <w:rFonts w:ascii="Arial"/>
                <w:sz w:val="21"/>
              </w:rPr>
            </w:pPr>
          </w:p>
        </w:tc>
        <w:tc>
          <w:tcPr>
            <w:tcW w:w="849" w:type="dxa"/>
            <w:vAlign w:val="top"/>
          </w:tcPr>
          <w:p w14:paraId="42311750">
            <w:pPr>
              <w:rPr>
                <w:rFonts w:ascii="Arial"/>
                <w:sz w:val="21"/>
              </w:rPr>
            </w:pPr>
          </w:p>
        </w:tc>
        <w:tc>
          <w:tcPr>
            <w:tcW w:w="849" w:type="dxa"/>
            <w:vAlign w:val="top"/>
          </w:tcPr>
          <w:p w14:paraId="7FCB7E84">
            <w:pPr>
              <w:rPr>
                <w:rFonts w:ascii="Arial"/>
                <w:sz w:val="21"/>
              </w:rPr>
            </w:pPr>
          </w:p>
        </w:tc>
        <w:tc>
          <w:tcPr>
            <w:tcW w:w="819" w:type="dxa"/>
            <w:vAlign w:val="top"/>
          </w:tcPr>
          <w:p w14:paraId="2106A515">
            <w:pPr>
              <w:rPr>
                <w:rFonts w:ascii="Arial"/>
                <w:sz w:val="21"/>
              </w:rPr>
            </w:pPr>
          </w:p>
        </w:tc>
        <w:tc>
          <w:tcPr>
            <w:tcW w:w="1459" w:type="dxa"/>
            <w:vAlign w:val="top"/>
          </w:tcPr>
          <w:p w14:paraId="25ACCFF4">
            <w:pPr>
              <w:rPr>
                <w:rFonts w:ascii="Arial"/>
                <w:sz w:val="21"/>
              </w:rPr>
            </w:pPr>
          </w:p>
        </w:tc>
        <w:tc>
          <w:tcPr>
            <w:tcW w:w="804" w:type="dxa"/>
            <w:vAlign w:val="top"/>
          </w:tcPr>
          <w:p w14:paraId="7C7DE66A">
            <w:pPr>
              <w:rPr>
                <w:rFonts w:ascii="Arial"/>
                <w:sz w:val="21"/>
              </w:rPr>
            </w:pPr>
          </w:p>
        </w:tc>
      </w:tr>
      <w:tr w14:paraId="601317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3" w:hRule="atLeast"/>
        </w:trPr>
        <w:tc>
          <w:tcPr>
            <w:tcW w:w="554" w:type="dxa"/>
            <w:vAlign w:val="top"/>
          </w:tcPr>
          <w:p w14:paraId="1C652A0D">
            <w:pPr>
              <w:rPr>
                <w:rFonts w:ascii="Arial"/>
                <w:sz w:val="21"/>
              </w:rPr>
            </w:pPr>
          </w:p>
        </w:tc>
        <w:tc>
          <w:tcPr>
            <w:tcW w:w="1139" w:type="dxa"/>
            <w:vAlign w:val="top"/>
          </w:tcPr>
          <w:p w14:paraId="128498AE">
            <w:pPr>
              <w:rPr>
                <w:rFonts w:ascii="Arial"/>
                <w:sz w:val="21"/>
              </w:rPr>
            </w:pPr>
          </w:p>
        </w:tc>
        <w:tc>
          <w:tcPr>
            <w:tcW w:w="869" w:type="dxa"/>
            <w:vAlign w:val="top"/>
          </w:tcPr>
          <w:p w14:paraId="266902D1">
            <w:pPr>
              <w:rPr>
                <w:rFonts w:ascii="Arial"/>
                <w:sz w:val="21"/>
              </w:rPr>
            </w:pPr>
          </w:p>
        </w:tc>
        <w:tc>
          <w:tcPr>
            <w:tcW w:w="689" w:type="dxa"/>
            <w:vAlign w:val="top"/>
          </w:tcPr>
          <w:p w14:paraId="7A736B2B">
            <w:pPr>
              <w:rPr>
                <w:rFonts w:ascii="Arial"/>
                <w:sz w:val="21"/>
              </w:rPr>
            </w:pPr>
          </w:p>
        </w:tc>
        <w:tc>
          <w:tcPr>
            <w:tcW w:w="709" w:type="dxa"/>
            <w:vAlign w:val="top"/>
          </w:tcPr>
          <w:p w14:paraId="7749935B">
            <w:pPr>
              <w:rPr>
                <w:rFonts w:ascii="Arial"/>
                <w:sz w:val="21"/>
              </w:rPr>
            </w:pPr>
          </w:p>
        </w:tc>
        <w:tc>
          <w:tcPr>
            <w:tcW w:w="849" w:type="dxa"/>
            <w:vAlign w:val="top"/>
          </w:tcPr>
          <w:p w14:paraId="4A46F040">
            <w:pPr>
              <w:rPr>
                <w:rFonts w:ascii="Arial"/>
                <w:sz w:val="21"/>
              </w:rPr>
            </w:pPr>
          </w:p>
        </w:tc>
        <w:tc>
          <w:tcPr>
            <w:tcW w:w="849" w:type="dxa"/>
            <w:vAlign w:val="top"/>
          </w:tcPr>
          <w:p w14:paraId="468628A8">
            <w:pPr>
              <w:rPr>
                <w:rFonts w:ascii="Arial"/>
                <w:sz w:val="21"/>
              </w:rPr>
            </w:pPr>
          </w:p>
        </w:tc>
        <w:tc>
          <w:tcPr>
            <w:tcW w:w="819" w:type="dxa"/>
            <w:vAlign w:val="top"/>
          </w:tcPr>
          <w:p w14:paraId="3C61B0FC">
            <w:pPr>
              <w:rPr>
                <w:rFonts w:ascii="Arial"/>
                <w:sz w:val="21"/>
              </w:rPr>
            </w:pPr>
          </w:p>
        </w:tc>
        <w:tc>
          <w:tcPr>
            <w:tcW w:w="1459" w:type="dxa"/>
            <w:vAlign w:val="top"/>
          </w:tcPr>
          <w:p w14:paraId="01271210">
            <w:pPr>
              <w:rPr>
                <w:rFonts w:ascii="Arial"/>
                <w:sz w:val="21"/>
              </w:rPr>
            </w:pPr>
          </w:p>
        </w:tc>
        <w:tc>
          <w:tcPr>
            <w:tcW w:w="804" w:type="dxa"/>
            <w:vAlign w:val="top"/>
          </w:tcPr>
          <w:p w14:paraId="34EF0445">
            <w:pPr>
              <w:rPr>
                <w:rFonts w:ascii="Arial"/>
                <w:sz w:val="21"/>
              </w:rPr>
            </w:pPr>
          </w:p>
        </w:tc>
      </w:tr>
    </w:tbl>
    <w:p w14:paraId="5481CD0C">
      <w:pPr>
        <w:rPr>
          <w:rFonts w:ascii="Arial"/>
          <w:sz w:val="21"/>
        </w:rPr>
      </w:pPr>
    </w:p>
    <w:p w14:paraId="4063914E">
      <w:pPr>
        <w:rPr>
          <w:rFonts w:ascii="Arial" w:hAnsi="Arial" w:eastAsia="Arial" w:cs="Arial"/>
          <w:sz w:val="21"/>
          <w:szCs w:val="21"/>
        </w:rPr>
        <w:sectPr>
          <w:footerReference r:id="rId269" w:type="default"/>
          <w:pgSz w:w="11910" w:h="16840"/>
          <w:pgMar w:top="400" w:right="35" w:bottom="1024" w:left="1044" w:header="0" w:footer="889" w:gutter="0"/>
          <w:cols w:space="720" w:num="1"/>
        </w:sectPr>
      </w:pPr>
    </w:p>
    <w:tbl>
      <w:tblPr>
        <w:tblStyle w:val="5"/>
        <w:tblW w:w="1083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74"/>
        <w:gridCol w:w="1843"/>
        <w:gridCol w:w="1409"/>
        <w:gridCol w:w="2408"/>
        <w:gridCol w:w="844"/>
        <w:gridCol w:w="1558"/>
        <w:gridCol w:w="1498"/>
      </w:tblGrid>
      <w:tr w14:paraId="59480B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9" w:hRule="atLeast"/>
        </w:trPr>
        <w:tc>
          <w:tcPr>
            <w:tcW w:w="1274" w:type="dxa"/>
            <w:vAlign w:val="top"/>
          </w:tcPr>
          <w:p w14:paraId="3ADD8EBA">
            <w:pPr>
              <w:pStyle w:val="6"/>
              <w:spacing w:before="189" w:line="332" w:lineRule="auto"/>
              <w:ind w:left="425" w:right="233" w:hanging="205"/>
              <w:rPr>
                <w:sz w:val="20"/>
                <w:szCs w:val="20"/>
              </w:rPr>
            </w:pPr>
            <w:r>
              <w:rPr>
                <w:spacing w:val="2"/>
                <w:sz w:val="20"/>
                <w:szCs w:val="20"/>
              </w:rPr>
              <w:t>单位工程</w:t>
            </w:r>
            <w:r>
              <w:rPr>
                <w:spacing w:val="1"/>
                <w:sz w:val="20"/>
                <w:szCs w:val="20"/>
              </w:rPr>
              <w:t xml:space="preserve"> </w:t>
            </w:r>
            <w:r>
              <w:rPr>
                <w:spacing w:val="10"/>
                <w:sz w:val="20"/>
                <w:szCs w:val="20"/>
              </w:rPr>
              <w:t>名称</w:t>
            </w:r>
          </w:p>
        </w:tc>
        <w:tc>
          <w:tcPr>
            <w:tcW w:w="1843" w:type="dxa"/>
            <w:vAlign w:val="top"/>
          </w:tcPr>
          <w:p w14:paraId="263707BB">
            <w:pPr>
              <w:spacing w:line="346" w:lineRule="auto"/>
              <w:rPr>
                <w:rFonts w:ascii="Arial"/>
                <w:sz w:val="21"/>
              </w:rPr>
            </w:pPr>
          </w:p>
          <w:p w14:paraId="32A35653">
            <w:pPr>
              <w:pStyle w:val="6"/>
              <w:spacing w:before="65" w:line="224" w:lineRule="auto"/>
              <w:ind w:left="491"/>
              <w:rPr>
                <w:sz w:val="20"/>
                <w:szCs w:val="20"/>
              </w:rPr>
            </w:pPr>
            <w:r>
              <w:rPr>
                <w:spacing w:val="2"/>
                <w:sz w:val="20"/>
                <w:szCs w:val="20"/>
              </w:rPr>
              <w:t>建设规模</w:t>
            </w:r>
          </w:p>
        </w:tc>
        <w:tc>
          <w:tcPr>
            <w:tcW w:w="1409" w:type="dxa"/>
            <w:vAlign w:val="top"/>
          </w:tcPr>
          <w:p w14:paraId="75C1A2D9">
            <w:pPr>
              <w:pStyle w:val="6"/>
              <w:spacing w:before="193" w:line="225" w:lineRule="auto"/>
              <w:ind w:left="287"/>
              <w:rPr>
                <w:sz w:val="20"/>
                <w:szCs w:val="20"/>
              </w:rPr>
            </w:pPr>
            <w:r>
              <w:rPr>
                <w:spacing w:val="8"/>
                <w:sz w:val="20"/>
                <w:szCs w:val="20"/>
              </w:rPr>
              <w:t>建筑面积</w:t>
            </w:r>
          </w:p>
          <w:p w14:paraId="712134A1">
            <w:pPr>
              <w:pStyle w:val="6"/>
              <w:spacing w:before="185" w:line="224" w:lineRule="auto"/>
              <w:ind w:left="287"/>
              <w:rPr>
                <w:sz w:val="20"/>
                <w:szCs w:val="20"/>
              </w:rPr>
            </w:pPr>
            <w:r>
              <w:rPr>
                <w:spacing w:val="12"/>
                <w:sz w:val="20"/>
                <w:szCs w:val="20"/>
              </w:rPr>
              <w:t>(平方米)</w:t>
            </w:r>
          </w:p>
        </w:tc>
        <w:tc>
          <w:tcPr>
            <w:tcW w:w="2408" w:type="dxa"/>
            <w:vAlign w:val="top"/>
          </w:tcPr>
          <w:p w14:paraId="484C9802">
            <w:pPr>
              <w:spacing w:line="346" w:lineRule="auto"/>
              <w:rPr>
                <w:rFonts w:ascii="Arial"/>
                <w:sz w:val="21"/>
              </w:rPr>
            </w:pPr>
          </w:p>
          <w:p w14:paraId="7B334DC8">
            <w:pPr>
              <w:pStyle w:val="6"/>
              <w:spacing w:before="65" w:line="225" w:lineRule="auto"/>
              <w:ind w:left="783"/>
              <w:rPr>
                <w:sz w:val="20"/>
                <w:szCs w:val="20"/>
              </w:rPr>
            </w:pPr>
            <w:r>
              <w:rPr>
                <w:spacing w:val="7"/>
                <w:sz w:val="20"/>
                <w:szCs w:val="20"/>
              </w:rPr>
              <w:t>结构形式</w:t>
            </w:r>
          </w:p>
        </w:tc>
        <w:tc>
          <w:tcPr>
            <w:tcW w:w="844" w:type="dxa"/>
            <w:vAlign w:val="top"/>
          </w:tcPr>
          <w:p w14:paraId="2171E673">
            <w:pPr>
              <w:spacing w:line="336" w:lineRule="auto"/>
              <w:rPr>
                <w:rFonts w:ascii="Arial"/>
                <w:sz w:val="21"/>
              </w:rPr>
            </w:pPr>
          </w:p>
          <w:p w14:paraId="51448E71">
            <w:pPr>
              <w:pStyle w:val="6"/>
              <w:spacing w:before="65" w:line="224" w:lineRule="auto"/>
              <w:ind w:left="226"/>
              <w:rPr>
                <w:sz w:val="20"/>
                <w:szCs w:val="20"/>
              </w:rPr>
            </w:pPr>
            <w:r>
              <w:rPr>
                <w:spacing w:val="1"/>
                <w:sz w:val="20"/>
                <w:szCs w:val="20"/>
              </w:rPr>
              <w:t>层数</w:t>
            </w:r>
          </w:p>
        </w:tc>
        <w:tc>
          <w:tcPr>
            <w:tcW w:w="1558" w:type="dxa"/>
            <w:vAlign w:val="top"/>
          </w:tcPr>
          <w:p w14:paraId="79A0CECC">
            <w:pPr>
              <w:spacing w:line="346" w:lineRule="auto"/>
              <w:rPr>
                <w:rFonts w:ascii="Arial"/>
                <w:sz w:val="21"/>
              </w:rPr>
            </w:pPr>
          </w:p>
          <w:p w14:paraId="3A6AA631">
            <w:pPr>
              <w:pStyle w:val="6"/>
              <w:spacing w:before="65" w:line="224" w:lineRule="auto"/>
              <w:ind w:left="376"/>
              <w:rPr>
                <w:sz w:val="20"/>
                <w:szCs w:val="20"/>
              </w:rPr>
            </w:pPr>
            <w:r>
              <w:rPr>
                <w:spacing w:val="9"/>
                <w:sz w:val="20"/>
                <w:szCs w:val="20"/>
              </w:rPr>
              <w:t>生产能力</w:t>
            </w:r>
          </w:p>
        </w:tc>
        <w:tc>
          <w:tcPr>
            <w:tcW w:w="1498" w:type="dxa"/>
            <w:vAlign w:val="top"/>
          </w:tcPr>
          <w:p w14:paraId="5E8B6829">
            <w:pPr>
              <w:spacing w:line="296" w:lineRule="auto"/>
              <w:rPr>
                <w:rFonts w:ascii="Arial"/>
                <w:sz w:val="21"/>
              </w:rPr>
            </w:pPr>
          </w:p>
          <w:p w14:paraId="5E75277F">
            <w:pPr>
              <w:pStyle w:val="6"/>
              <w:spacing w:before="65" w:line="224" w:lineRule="auto"/>
              <w:jc w:val="right"/>
              <w:rPr>
                <w:sz w:val="20"/>
                <w:szCs w:val="20"/>
              </w:rPr>
            </w:pPr>
            <w:r>
              <w:rPr>
                <w:spacing w:val="-11"/>
                <w:sz w:val="20"/>
                <w:szCs w:val="20"/>
              </w:rPr>
              <w:t>设备安装内名</w:t>
            </w:r>
          </w:p>
        </w:tc>
      </w:tr>
      <w:tr w14:paraId="070FF0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9" w:hRule="atLeast"/>
        </w:trPr>
        <w:tc>
          <w:tcPr>
            <w:tcW w:w="1274" w:type="dxa"/>
            <w:vAlign w:val="top"/>
          </w:tcPr>
          <w:p w14:paraId="4E8DEFEC">
            <w:pPr>
              <w:rPr>
                <w:rFonts w:ascii="Arial"/>
                <w:sz w:val="21"/>
              </w:rPr>
            </w:pPr>
          </w:p>
        </w:tc>
        <w:tc>
          <w:tcPr>
            <w:tcW w:w="1843" w:type="dxa"/>
            <w:vAlign w:val="top"/>
          </w:tcPr>
          <w:p w14:paraId="6C7F7EF1">
            <w:pPr>
              <w:rPr>
                <w:rFonts w:ascii="Arial"/>
                <w:sz w:val="21"/>
              </w:rPr>
            </w:pPr>
          </w:p>
        </w:tc>
        <w:tc>
          <w:tcPr>
            <w:tcW w:w="1409" w:type="dxa"/>
            <w:vAlign w:val="top"/>
          </w:tcPr>
          <w:p w14:paraId="06C69C91">
            <w:pPr>
              <w:rPr>
                <w:rFonts w:ascii="Arial"/>
                <w:sz w:val="21"/>
              </w:rPr>
            </w:pPr>
          </w:p>
        </w:tc>
        <w:tc>
          <w:tcPr>
            <w:tcW w:w="2408" w:type="dxa"/>
            <w:vAlign w:val="top"/>
          </w:tcPr>
          <w:p w14:paraId="79C06A7E">
            <w:pPr>
              <w:rPr>
                <w:rFonts w:ascii="Arial"/>
                <w:sz w:val="21"/>
              </w:rPr>
            </w:pPr>
          </w:p>
        </w:tc>
        <w:tc>
          <w:tcPr>
            <w:tcW w:w="844" w:type="dxa"/>
            <w:vAlign w:val="top"/>
          </w:tcPr>
          <w:p w14:paraId="062ADBC5">
            <w:pPr>
              <w:rPr>
                <w:rFonts w:ascii="Arial"/>
                <w:sz w:val="21"/>
              </w:rPr>
            </w:pPr>
          </w:p>
        </w:tc>
        <w:tc>
          <w:tcPr>
            <w:tcW w:w="1558" w:type="dxa"/>
            <w:vAlign w:val="top"/>
          </w:tcPr>
          <w:p w14:paraId="545A0F39">
            <w:pPr>
              <w:rPr>
                <w:rFonts w:ascii="Arial"/>
                <w:sz w:val="21"/>
              </w:rPr>
            </w:pPr>
          </w:p>
        </w:tc>
        <w:tc>
          <w:tcPr>
            <w:tcW w:w="1498" w:type="dxa"/>
            <w:vAlign w:val="top"/>
          </w:tcPr>
          <w:p w14:paraId="6A2D982D">
            <w:pPr>
              <w:rPr>
                <w:rFonts w:ascii="Arial"/>
                <w:sz w:val="21"/>
              </w:rPr>
            </w:pPr>
          </w:p>
        </w:tc>
      </w:tr>
      <w:tr w14:paraId="029E2C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atLeast"/>
        </w:trPr>
        <w:tc>
          <w:tcPr>
            <w:tcW w:w="1274" w:type="dxa"/>
            <w:vAlign w:val="top"/>
          </w:tcPr>
          <w:p w14:paraId="3B6AA09A">
            <w:pPr>
              <w:rPr>
                <w:rFonts w:ascii="Arial"/>
                <w:sz w:val="21"/>
              </w:rPr>
            </w:pPr>
          </w:p>
        </w:tc>
        <w:tc>
          <w:tcPr>
            <w:tcW w:w="1843" w:type="dxa"/>
            <w:vAlign w:val="top"/>
          </w:tcPr>
          <w:p w14:paraId="1C3B97A1">
            <w:pPr>
              <w:rPr>
                <w:rFonts w:ascii="Arial"/>
                <w:sz w:val="21"/>
              </w:rPr>
            </w:pPr>
          </w:p>
        </w:tc>
        <w:tc>
          <w:tcPr>
            <w:tcW w:w="1409" w:type="dxa"/>
            <w:vAlign w:val="top"/>
          </w:tcPr>
          <w:p w14:paraId="1B36466B">
            <w:pPr>
              <w:rPr>
                <w:rFonts w:ascii="Arial"/>
                <w:sz w:val="21"/>
              </w:rPr>
            </w:pPr>
          </w:p>
        </w:tc>
        <w:tc>
          <w:tcPr>
            <w:tcW w:w="2408" w:type="dxa"/>
            <w:vAlign w:val="top"/>
          </w:tcPr>
          <w:p w14:paraId="7858BA00">
            <w:pPr>
              <w:rPr>
                <w:rFonts w:ascii="Arial"/>
                <w:sz w:val="21"/>
              </w:rPr>
            </w:pPr>
          </w:p>
        </w:tc>
        <w:tc>
          <w:tcPr>
            <w:tcW w:w="844" w:type="dxa"/>
            <w:vAlign w:val="top"/>
          </w:tcPr>
          <w:p w14:paraId="5C5BA01E">
            <w:pPr>
              <w:rPr>
                <w:rFonts w:ascii="Arial"/>
                <w:sz w:val="21"/>
              </w:rPr>
            </w:pPr>
          </w:p>
        </w:tc>
        <w:tc>
          <w:tcPr>
            <w:tcW w:w="1558" w:type="dxa"/>
            <w:vAlign w:val="top"/>
          </w:tcPr>
          <w:p w14:paraId="59A8D49A">
            <w:pPr>
              <w:rPr>
                <w:rFonts w:ascii="Arial"/>
                <w:sz w:val="21"/>
              </w:rPr>
            </w:pPr>
          </w:p>
        </w:tc>
        <w:tc>
          <w:tcPr>
            <w:tcW w:w="1498" w:type="dxa"/>
            <w:vAlign w:val="top"/>
          </w:tcPr>
          <w:p w14:paraId="5DA97426">
            <w:pPr>
              <w:rPr>
                <w:rFonts w:ascii="Arial"/>
                <w:sz w:val="21"/>
              </w:rPr>
            </w:pPr>
          </w:p>
        </w:tc>
      </w:tr>
      <w:tr w14:paraId="5CBFEF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trPr>
        <w:tc>
          <w:tcPr>
            <w:tcW w:w="1274" w:type="dxa"/>
            <w:vAlign w:val="top"/>
          </w:tcPr>
          <w:p w14:paraId="09564E8E">
            <w:pPr>
              <w:rPr>
                <w:rFonts w:ascii="Arial"/>
                <w:sz w:val="21"/>
              </w:rPr>
            </w:pPr>
          </w:p>
        </w:tc>
        <w:tc>
          <w:tcPr>
            <w:tcW w:w="1843" w:type="dxa"/>
            <w:vAlign w:val="top"/>
          </w:tcPr>
          <w:p w14:paraId="1476F353">
            <w:pPr>
              <w:rPr>
                <w:rFonts w:ascii="Arial"/>
                <w:sz w:val="21"/>
              </w:rPr>
            </w:pPr>
          </w:p>
        </w:tc>
        <w:tc>
          <w:tcPr>
            <w:tcW w:w="1409" w:type="dxa"/>
            <w:vAlign w:val="top"/>
          </w:tcPr>
          <w:p w14:paraId="22EB4DC1">
            <w:pPr>
              <w:rPr>
                <w:rFonts w:ascii="Arial"/>
                <w:sz w:val="21"/>
              </w:rPr>
            </w:pPr>
          </w:p>
        </w:tc>
        <w:tc>
          <w:tcPr>
            <w:tcW w:w="2408" w:type="dxa"/>
            <w:vAlign w:val="top"/>
          </w:tcPr>
          <w:p w14:paraId="2F49E313">
            <w:pPr>
              <w:rPr>
                <w:rFonts w:ascii="Arial"/>
                <w:sz w:val="21"/>
              </w:rPr>
            </w:pPr>
          </w:p>
        </w:tc>
        <w:tc>
          <w:tcPr>
            <w:tcW w:w="844" w:type="dxa"/>
            <w:vAlign w:val="top"/>
          </w:tcPr>
          <w:p w14:paraId="4856509B">
            <w:pPr>
              <w:rPr>
                <w:rFonts w:ascii="Arial"/>
                <w:sz w:val="21"/>
              </w:rPr>
            </w:pPr>
          </w:p>
        </w:tc>
        <w:tc>
          <w:tcPr>
            <w:tcW w:w="1558" w:type="dxa"/>
            <w:vAlign w:val="top"/>
          </w:tcPr>
          <w:p w14:paraId="02DBFAA0">
            <w:pPr>
              <w:rPr>
                <w:rFonts w:ascii="Arial"/>
                <w:sz w:val="21"/>
              </w:rPr>
            </w:pPr>
          </w:p>
        </w:tc>
        <w:tc>
          <w:tcPr>
            <w:tcW w:w="1498" w:type="dxa"/>
            <w:vAlign w:val="top"/>
          </w:tcPr>
          <w:p w14:paraId="3EF0BD34">
            <w:pPr>
              <w:rPr>
                <w:rFonts w:ascii="Arial"/>
                <w:sz w:val="21"/>
              </w:rPr>
            </w:pPr>
          </w:p>
        </w:tc>
      </w:tr>
      <w:tr w14:paraId="3B087E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0" w:hRule="atLeast"/>
        </w:trPr>
        <w:tc>
          <w:tcPr>
            <w:tcW w:w="1274" w:type="dxa"/>
            <w:vAlign w:val="top"/>
          </w:tcPr>
          <w:p w14:paraId="53C15940">
            <w:pPr>
              <w:rPr>
                <w:rFonts w:ascii="Arial"/>
                <w:sz w:val="21"/>
              </w:rPr>
            </w:pPr>
          </w:p>
        </w:tc>
        <w:tc>
          <w:tcPr>
            <w:tcW w:w="1843" w:type="dxa"/>
            <w:vAlign w:val="top"/>
          </w:tcPr>
          <w:p w14:paraId="10DA4F5A">
            <w:pPr>
              <w:rPr>
                <w:rFonts w:ascii="Arial"/>
                <w:sz w:val="21"/>
              </w:rPr>
            </w:pPr>
          </w:p>
        </w:tc>
        <w:tc>
          <w:tcPr>
            <w:tcW w:w="1409" w:type="dxa"/>
            <w:vAlign w:val="top"/>
          </w:tcPr>
          <w:p w14:paraId="284FFA62">
            <w:pPr>
              <w:rPr>
                <w:rFonts w:ascii="Arial"/>
                <w:sz w:val="21"/>
              </w:rPr>
            </w:pPr>
          </w:p>
        </w:tc>
        <w:tc>
          <w:tcPr>
            <w:tcW w:w="2408" w:type="dxa"/>
            <w:vAlign w:val="top"/>
          </w:tcPr>
          <w:p w14:paraId="68A2F568">
            <w:pPr>
              <w:rPr>
                <w:rFonts w:ascii="Arial"/>
                <w:sz w:val="21"/>
              </w:rPr>
            </w:pPr>
          </w:p>
        </w:tc>
        <w:tc>
          <w:tcPr>
            <w:tcW w:w="844" w:type="dxa"/>
            <w:vAlign w:val="top"/>
          </w:tcPr>
          <w:p w14:paraId="1ADB57CB">
            <w:pPr>
              <w:rPr>
                <w:rFonts w:ascii="Arial"/>
                <w:sz w:val="21"/>
              </w:rPr>
            </w:pPr>
          </w:p>
        </w:tc>
        <w:tc>
          <w:tcPr>
            <w:tcW w:w="1558" w:type="dxa"/>
            <w:vAlign w:val="top"/>
          </w:tcPr>
          <w:p w14:paraId="3592E7E5">
            <w:pPr>
              <w:rPr>
                <w:rFonts w:ascii="Arial"/>
                <w:sz w:val="21"/>
              </w:rPr>
            </w:pPr>
          </w:p>
        </w:tc>
        <w:tc>
          <w:tcPr>
            <w:tcW w:w="1498" w:type="dxa"/>
            <w:vAlign w:val="top"/>
          </w:tcPr>
          <w:p w14:paraId="7CC049CE">
            <w:pPr>
              <w:rPr>
                <w:rFonts w:ascii="Arial"/>
                <w:sz w:val="21"/>
              </w:rPr>
            </w:pPr>
          </w:p>
        </w:tc>
      </w:tr>
      <w:tr w14:paraId="407AB4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1274" w:type="dxa"/>
            <w:vAlign w:val="top"/>
          </w:tcPr>
          <w:p w14:paraId="4034C938">
            <w:pPr>
              <w:rPr>
                <w:rFonts w:ascii="Arial"/>
                <w:sz w:val="21"/>
              </w:rPr>
            </w:pPr>
          </w:p>
        </w:tc>
        <w:tc>
          <w:tcPr>
            <w:tcW w:w="1843" w:type="dxa"/>
            <w:vAlign w:val="top"/>
          </w:tcPr>
          <w:p w14:paraId="041BC79A">
            <w:pPr>
              <w:rPr>
                <w:rFonts w:ascii="Arial"/>
                <w:sz w:val="21"/>
              </w:rPr>
            </w:pPr>
          </w:p>
        </w:tc>
        <w:tc>
          <w:tcPr>
            <w:tcW w:w="1409" w:type="dxa"/>
            <w:vAlign w:val="top"/>
          </w:tcPr>
          <w:p w14:paraId="0242D678">
            <w:pPr>
              <w:rPr>
                <w:rFonts w:ascii="Arial"/>
                <w:sz w:val="21"/>
              </w:rPr>
            </w:pPr>
          </w:p>
        </w:tc>
        <w:tc>
          <w:tcPr>
            <w:tcW w:w="2408" w:type="dxa"/>
            <w:vAlign w:val="top"/>
          </w:tcPr>
          <w:p w14:paraId="07E8680B">
            <w:pPr>
              <w:rPr>
                <w:rFonts w:ascii="Arial"/>
                <w:sz w:val="21"/>
              </w:rPr>
            </w:pPr>
          </w:p>
        </w:tc>
        <w:tc>
          <w:tcPr>
            <w:tcW w:w="844" w:type="dxa"/>
            <w:vAlign w:val="top"/>
          </w:tcPr>
          <w:p w14:paraId="4356B461">
            <w:pPr>
              <w:rPr>
                <w:rFonts w:ascii="Arial"/>
                <w:sz w:val="21"/>
              </w:rPr>
            </w:pPr>
          </w:p>
        </w:tc>
        <w:tc>
          <w:tcPr>
            <w:tcW w:w="1558" w:type="dxa"/>
            <w:vAlign w:val="top"/>
          </w:tcPr>
          <w:p w14:paraId="60EBE6B5">
            <w:pPr>
              <w:rPr>
                <w:rFonts w:ascii="Arial"/>
                <w:sz w:val="21"/>
              </w:rPr>
            </w:pPr>
          </w:p>
        </w:tc>
        <w:tc>
          <w:tcPr>
            <w:tcW w:w="1498" w:type="dxa"/>
            <w:vAlign w:val="top"/>
          </w:tcPr>
          <w:p w14:paraId="066FA5A9">
            <w:pPr>
              <w:rPr>
                <w:rFonts w:ascii="Arial"/>
                <w:sz w:val="21"/>
              </w:rPr>
            </w:pPr>
          </w:p>
        </w:tc>
      </w:tr>
      <w:tr w14:paraId="7BB87A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0" w:hRule="atLeast"/>
        </w:trPr>
        <w:tc>
          <w:tcPr>
            <w:tcW w:w="1274" w:type="dxa"/>
            <w:vAlign w:val="top"/>
          </w:tcPr>
          <w:p w14:paraId="7C9C5086">
            <w:pPr>
              <w:rPr>
                <w:rFonts w:ascii="Arial"/>
                <w:sz w:val="21"/>
              </w:rPr>
            </w:pPr>
          </w:p>
        </w:tc>
        <w:tc>
          <w:tcPr>
            <w:tcW w:w="1843" w:type="dxa"/>
            <w:vAlign w:val="top"/>
          </w:tcPr>
          <w:p w14:paraId="61B2B911">
            <w:pPr>
              <w:rPr>
                <w:rFonts w:ascii="Arial"/>
                <w:sz w:val="21"/>
              </w:rPr>
            </w:pPr>
          </w:p>
        </w:tc>
        <w:tc>
          <w:tcPr>
            <w:tcW w:w="1409" w:type="dxa"/>
            <w:vAlign w:val="top"/>
          </w:tcPr>
          <w:p w14:paraId="72C8C3DE">
            <w:pPr>
              <w:rPr>
                <w:rFonts w:ascii="Arial"/>
                <w:sz w:val="21"/>
              </w:rPr>
            </w:pPr>
          </w:p>
        </w:tc>
        <w:tc>
          <w:tcPr>
            <w:tcW w:w="2408" w:type="dxa"/>
            <w:vAlign w:val="top"/>
          </w:tcPr>
          <w:p w14:paraId="2B3CBDDE">
            <w:pPr>
              <w:rPr>
                <w:rFonts w:ascii="Arial"/>
                <w:sz w:val="21"/>
              </w:rPr>
            </w:pPr>
          </w:p>
        </w:tc>
        <w:tc>
          <w:tcPr>
            <w:tcW w:w="844" w:type="dxa"/>
            <w:vAlign w:val="top"/>
          </w:tcPr>
          <w:p w14:paraId="7537F3E3">
            <w:pPr>
              <w:rPr>
                <w:rFonts w:ascii="Arial"/>
                <w:sz w:val="21"/>
              </w:rPr>
            </w:pPr>
          </w:p>
        </w:tc>
        <w:tc>
          <w:tcPr>
            <w:tcW w:w="1558" w:type="dxa"/>
            <w:vAlign w:val="top"/>
          </w:tcPr>
          <w:p w14:paraId="0E452533">
            <w:pPr>
              <w:rPr>
                <w:rFonts w:ascii="Arial"/>
                <w:sz w:val="21"/>
              </w:rPr>
            </w:pPr>
          </w:p>
        </w:tc>
        <w:tc>
          <w:tcPr>
            <w:tcW w:w="1498" w:type="dxa"/>
            <w:vAlign w:val="top"/>
          </w:tcPr>
          <w:p w14:paraId="3BDF1B34">
            <w:pPr>
              <w:rPr>
                <w:rFonts w:ascii="Arial"/>
                <w:sz w:val="21"/>
              </w:rPr>
            </w:pPr>
          </w:p>
        </w:tc>
      </w:tr>
      <w:tr w14:paraId="3A14A6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1274" w:type="dxa"/>
            <w:vAlign w:val="top"/>
          </w:tcPr>
          <w:p w14:paraId="63576F7B">
            <w:pPr>
              <w:rPr>
                <w:rFonts w:ascii="Arial"/>
                <w:sz w:val="21"/>
              </w:rPr>
            </w:pPr>
          </w:p>
        </w:tc>
        <w:tc>
          <w:tcPr>
            <w:tcW w:w="1843" w:type="dxa"/>
            <w:vAlign w:val="top"/>
          </w:tcPr>
          <w:p w14:paraId="15D315F3">
            <w:pPr>
              <w:rPr>
                <w:rFonts w:ascii="Arial"/>
                <w:sz w:val="21"/>
              </w:rPr>
            </w:pPr>
          </w:p>
        </w:tc>
        <w:tc>
          <w:tcPr>
            <w:tcW w:w="1409" w:type="dxa"/>
            <w:vAlign w:val="top"/>
          </w:tcPr>
          <w:p w14:paraId="665B7C41">
            <w:pPr>
              <w:rPr>
                <w:rFonts w:ascii="Arial"/>
                <w:sz w:val="21"/>
              </w:rPr>
            </w:pPr>
          </w:p>
        </w:tc>
        <w:tc>
          <w:tcPr>
            <w:tcW w:w="2408" w:type="dxa"/>
            <w:vAlign w:val="top"/>
          </w:tcPr>
          <w:p w14:paraId="3434E4AB">
            <w:pPr>
              <w:rPr>
                <w:rFonts w:ascii="Arial"/>
                <w:sz w:val="21"/>
              </w:rPr>
            </w:pPr>
          </w:p>
        </w:tc>
        <w:tc>
          <w:tcPr>
            <w:tcW w:w="844" w:type="dxa"/>
            <w:vAlign w:val="top"/>
          </w:tcPr>
          <w:p w14:paraId="00F45D5E">
            <w:pPr>
              <w:rPr>
                <w:rFonts w:ascii="Arial"/>
                <w:sz w:val="21"/>
              </w:rPr>
            </w:pPr>
          </w:p>
        </w:tc>
        <w:tc>
          <w:tcPr>
            <w:tcW w:w="1558" w:type="dxa"/>
            <w:vAlign w:val="top"/>
          </w:tcPr>
          <w:p w14:paraId="6E5BD809">
            <w:pPr>
              <w:rPr>
                <w:rFonts w:ascii="Arial"/>
                <w:sz w:val="21"/>
              </w:rPr>
            </w:pPr>
          </w:p>
        </w:tc>
        <w:tc>
          <w:tcPr>
            <w:tcW w:w="1498" w:type="dxa"/>
            <w:vAlign w:val="top"/>
          </w:tcPr>
          <w:p w14:paraId="3B26FDAC">
            <w:pPr>
              <w:rPr>
                <w:rFonts w:ascii="Arial"/>
                <w:sz w:val="21"/>
              </w:rPr>
            </w:pPr>
          </w:p>
        </w:tc>
      </w:tr>
      <w:tr w14:paraId="0821B2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1274" w:type="dxa"/>
            <w:vAlign w:val="top"/>
          </w:tcPr>
          <w:p w14:paraId="24B318CA">
            <w:pPr>
              <w:rPr>
                <w:rFonts w:ascii="Arial"/>
                <w:sz w:val="21"/>
              </w:rPr>
            </w:pPr>
          </w:p>
        </w:tc>
        <w:tc>
          <w:tcPr>
            <w:tcW w:w="1843" w:type="dxa"/>
            <w:vAlign w:val="top"/>
          </w:tcPr>
          <w:p w14:paraId="004D2105">
            <w:pPr>
              <w:rPr>
                <w:rFonts w:ascii="Arial"/>
                <w:sz w:val="21"/>
              </w:rPr>
            </w:pPr>
          </w:p>
        </w:tc>
        <w:tc>
          <w:tcPr>
            <w:tcW w:w="1409" w:type="dxa"/>
            <w:vAlign w:val="top"/>
          </w:tcPr>
          <w:p w14:paraId="5DD461A6">
            <w:pPr>
              <w:rPr>
                <w:rFonts w:ascii="Arial"/>
                <w:sz w:val="21"/>
              </w:rPr>
            </w:pPr>
          </w:p>
        </w:tc>
        <w:tc>
          <w:tcPr>
            <w:tcW w:w="2408" w:type="dxa"/>
            <w:vAlign w:val="top"/>
          </w:tcPr>
          <w:p w14:paraId="4BE66B16">
            <w:pPr>
              <w:rPr>
                <w:rFonts w:ascii="Arial"/>
                <w:sz w:val="21"/>
              </w:rPr>
            </w:pPr>
          </w:p>
        </w:tc>
        <w:tc>
          <w:tcPr>
            <w:tcW w:w="844" w:type="dxa"/>
            <w:vAlign w:val="top"/>
          </w:tcPr>
          <w:p w14:paraId="2AF46DD4">
            <w:pPr>
              <w:rPr>
                <w:rFonts w:ascii="Arial"/>
                <w:sz w:val="21"/>
              </w:rPr>
            </w:pPr>
          </w:p>
        </w:tc>
        <w:tc>
          <w:tcPr>
            <w:tcW w:w="1558" w:type="dxa"/>
            <w:vAlign w:val="top"/>
          </w:tcPr>
          <w:p w14:paraId="0429C0F9">
            <w:pPr>
              <w:rPr>
                <w:rFonts w:ascii="Arial"/>
                <w:sz w:val="21"/>
              </w:rPr>
            </w:pPr>
          </w:p>
        </w:tc>
        <w:tc>
          <w:tcPr>
            <w:tcW w:w="1498" w:type="dxa"/>
            <w:vAlign w:val="top"/>
          </w:tcPr>
          <w:p w14:paraId="2722E9C8">
            <w:pPr>
              <w:rPr>
                <w:rFonts w:ascii="Arial"/>
                <w:sz w:val="21"/>
              </w:rPr>
            </w:pPr>
          </w:p>
        </w:tc>
      </w:tr>
      <w:tr w14:paraId="7CE46D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9" w:hRule="atLeast"/>
        </w:trPr>
        <w:tc>
          <w:tcPr>
            <w:tcW w:w="1274" w:type="dxa"/>
            <w:vAlign w:val="top"/>
          </w:tcPr>
          <w:p w14:paraId="7FE01389">
            <w:pPr>
              <w:rPr>
                <w:rFonts w:ascii="Arial"/>
                <w:sz w:val="21"/>
              </w:rPr>
            </w:pPr>
          </w:p>
        </w:tc>
        <w:tc>
          <w:tcPr>
            <w:tcW w:w="1843" w:type="dxa"/>
            <w:vAlign w:val="top"/>
          </w:tcPr>
          <w:p w14:paraId="474BEA91">
            <w:pPr>
              <w:rPr>
                <w:rFonts w:ascii="Arial"/>
                <w:sz w:val="21"/>
              </w:rPr>
            </w:pPr>
          </w:p>
        </w:tc>
        <w:tc>
          <w:tcPr>
            <w:tcW w:w="1409" w:type="dxa"/>
            <w:vAlign w:val="top"/>
          </w:tcPr>
          <w:p w14:paraId="0B23BD46">
            <w:pPr>
              <w:rPr>
                <w:rFonts w:ascii="Arial"/>
                <w:sz w:val="21"/>
              </w:rPr>
            </w:pPr>
          </w:p>
        </w:tc>
        <w:tc>
          <w:tcPr>
            <w:tcW w:w="2408" w:type="dxa"/>
            <w:vAlign w:val="top"/>
          </w:tcPr>
          <w:p w14:paraId="241259B9">
            <w:pPr>
              <w:rPr>
                <w:rFonts w:ascii="Arial"/>
                <w:sz w:val="21"/>
              </w:rPr>
            </w:pPr>
          </w:p>
        </w:tc>
        <w:tc>
          <w:tcPr>
            <w:tcW w:w="844" w:type="dxa"/>
            <w:vAlign w:val="top"/>
          </w:tcPr>
          <w:p w14:paraId="0499205E">
            <w:pPr>
              <w:rPr>
                <w:rFonts w:ascii="Arial"/>
                <w:sz w:val="21"/>
              </w:rPr>
            </w:pPr>
          </w:p>
        </w:tc>
        <w:tc>
          <w:tcPr>
            <w:tcW w:w="1558" w:type="dxa"/>
            <w:vAlign w:val="top"/>
          </w:tcPr>
          <w:p w14:paraId="59F2CE6F">
            <w:pPr>
              <w:rPr>
                <w:rFonts w:ascii="Arial"/>
                <w:sz w:val="21"/>
              </w:rPr>
            </w:pPr>
          </w:p>
        </w:tc>
        <w:tc>
          <w:tcPr>
            <w:tcW w:w="1498" w:type="dxa"/>
            <w:vAlign w:val="top"/>
          </w:tcPr>
          <w:p w14:paraId="25168718">
            <w:pPr>
              <w:rPr>
                <w:rFonts w:ascii="Arial"/>
                <w:sz w:val="21"/>
              </w:rPr>
            </w:pPr>
          </w:p>
        </w:tc>
      </w:tr>
      <w:tr w14:paraId="619DC2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4" w:hRule="atLeast"/>
        </w:trPr>
        <w:tc>
          <w:tcPr>
            <w:tcW w:w="1274" w:type="dxa"/>
            <w:vAlign w:val="top"/>
          </w:tcPr>
          <w:p w14:paraId="0F60FD73">
            <w:pPr>
              <w:rPr>
                <w:rFonts w:ascii="Arial"/>
                <w:sz w:val="21"/>
              </w:rPr>
            </w:pPr>
          </w:p>
        </w:tc>
        <w:tc>
          <w:tcPr>
            <w:tcW w:w="1843" w:type="dxa"/>
            <w:vAlign w:val="top"/>
          </w:tcPr>
          <w:p w14:paraId="68C3F121">
            <w:pPr>
              <w:rPr>
                <w:rFonts w:ascii="Arial"/>
                <w:sz w:val="21"/>
              </w:rPr>
            </w:pPr>
          </w:p>
        </w:tc>
        <w:tc>
          <w:tcPr>
            <w:tcW w:w="1409" w:type="dxa"/>
            <w:vAlign w:val="top"/>
          </w:tcPr>
          <w:p w14:paraId="732EAEC9">
            <w:pPr>
              <w:rPr>
                <w:rFonts w:ascii="Arial"/>
                <w:sz w:val="21"/>
              </w:rPr>
            </w:pPr>
          </w:p>
        </w:tc>
        <w:tc>
          <w:tcPr>
            <w:tcW w:w="2408" w:type="dxa"/>
            <w:vAlign w:val="top"/>
          </w:tcPr>
          <w:p w14:paraId="7DBD3DCF">
            <w:pPr>
              <w:rPr>
                <w:rFonts w:ascii="Arial"/>
                <w:sz w:val="21"/>
              </w:rPr>
            </w:pPr>
          </w:p>
        </w:tc>
        <w:tc>
          <w:tcPr>
            <w:tcW w:w="844" w:type="dxa"/>
            <w:vAlign w:val="top"/>
          </w:tcPr>
          <w:p w14:paraId="38F80F8A">
            <w:pPr>
              <w:rPr>
                <w:rFonts w:ascii="Arial"/>
                <w:sz w:val="21"/>
              </w:rPr>
            </w:pPr>
          </w:p>
        </w:tc>
        <w:tc>
          <w:tcPr>
            <w:tcW w:w="1558" w:type="dxa"/>
            <w:vAlign w:val="top"/>
          </w:tcPr>
          <w:p w14:paraId="08655B13">
            <w:pPr>
              <w:rPr>
                <w:rFonts w:ascii="Arial"/>
                <w:sz w:val="21"/>
              </w:rPr>
            </w:pPr>
          </w:p>
        </w:tc>
        <w:tc>
          <w:tcPr>
            <w:tcW w:w="1498" w:type="dxa"/>
            <w:vAlign w:val="top"/>
          </w:tcPr>
          <w:p w14:paraId="3CDEA71E">
            <w:pPr>
              <w:rPr>
                <w:rFonts w:ascii="Arial"/>
                <w:sz w:val="21"/>
              </w:rPr>
            </w:pPr>
          </w:p>
        </w:tc>
      </w:tr>
      <w:tr w14:paraId="187263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4" w:hRule="atLeast"/>
        </w:trPr>
        <w:tc>
          <w:tcPr>
            <w:tcW w:w="1274" w:type="dxa"/>
            <w:vAlign w:val="top"/>
          </w:tcPr>
          <w:p w14:paraId="61FC4368">
            <w:pPr>
              <w:rPr>
                <w:rFonts w:ascii="Arial"/>
                <w:sz w:val="21"/>
              </w:rPr>
            </w:pPr>
          </w:p>
        </w:tc>
        <w:tc>
          <w:tcPr>
            <w:tcW w:w="1843" w:type="dxa"/>
            <w:vAlign w:val="top"/>
          </w:tcPr>
          <w:p w14:paraId="04F609CA">
            <w:pPr>
              <w:rPr>
                <w:rFonts w:ascii="Arial"/>
                <w:sz w:val="21"/>
              </w:rPr>
            </w:pPr>
          </w:p>
        </w:tc>
        <w:tc>
          <w:tcPr>
            <w:tcW w:w="1409" w:type="dxa"/>
            <w:vAlign w:val="top"/>
          </w:tcPr>
          <w:p w14:paraId="0FDA439C">
            <w:pPr>
              <w:rPr>
                <w:rFonts w:ascii="Arial"/>
                <w:sz w:val="21"/>
              </w:rPr>
            </w:pPr>
          </w:p>
        </w:tc>
        <w:tc>
          <w:tcPr>
            <w:tcW w:w="2408" w:type="dxa"/>
            <w:vAlign w:val="top"/>
          </w:tcPr>
          <w:p w14:paraId="48438116">
            <w:pPr>
              <w:rPr>
                <w:rFonts w:ascii="Arial"/>
                <w:sz w:val="21"/>
              </w:rPr>
            </w:pPr>
          </w:p>
        </w:tc>
        <w:tc>
          <w:tcPr>
            <w:tcW w:w="844" w:type="dxa"/>
            <w:vAlign w:val="top"/>
          </w:tcPr>
          <w:p w14:paraId="4C9BA2C7">
            <w:pPr>
              <w:rPr>
                <w:rFonts w:ascii="Arial"/>
                <w:sz w:val="21"/>
              </w:rPr>
            </w:pPr>
          </w:p>
        </w:tc>
        <w:tc>
          <w:tcPr>
            <w:tcW w:w="1558" w:type="dxa"/>
            <w:vAlign w:val="top"/>
          </w:tcPr>
          <w:p w14:paraId="0D3D85CF">
            <w:pPr>
              <w:rPr>
                <w:rFonts w:ascii="Arial"/>
                <w:sz w:val="21"/>
              </w:rPr>
            </w:pPr>
          </w:p>
        </w:tc>
        <w:tc>
          <w:tcPr>
            <w:tcW w:w="1498" w:type="dxa"/>
            <w:vAlign w:val="top"/>
          </w:tcPr>
          <w:p w14:paraId="72F9A3EE">
            <w:pPr>
              <w:rPr>
                <w:rFonts w:ascii="Arial"/>
                <w:sz w:val="21"/>
              </w:rPr>
            </w:pPr>
          </w:p>
        </w:tc>
      </w:tr>
    </w:tbl>
    <w:p w14:paraId="4146C753">
      <w:pPr>
        <w:pStyle w:val="2"/>
        <w:spacing w:before="130" w:line="219" w:lineRule="auto"/>
        <w:ind w:left="443"/>
      </w:pPr>
      <w:r>
        <w:rPr>
          <w:b/>
          <w:bCs/>
          <w:spacing w:val="-3"/>
        </w:rPr>
        <w:t>附件2:发包人供应材料设备一览表</w:t>
      </w:r>
    </w:p>
    <w:p w14:paraId="281E2B61">
      <w:pPr>
        <w:spacing w:line="35" w:lineRule="auto"/>
        <w:rPr>
          <w:rFonts w:ascii="Arial"/>
          <w:sz w:val="2"/>
        </w:rPr>
      </w:pPr>
    </w:p>
    <w:tbl>
      <w:tblPr>
        <w:tblStyle w:val="5"/>
        <w:tblW w:w="8734" w:type="dxa"/>
        <w:tblInd w:w="5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4"/>
        <w:gridCol w:w="1129"/>
        <w:gridCol w:w="864"/>
        <w:gridCol w:w="699"/>
        <w:gridCol w:w="709"/>
        <w:gridCol w:w="849"/>
        <w:gridCol w:w="849"/>
        <w:gridCol w:w="809"/>
        <w:gridCol w:w="1468"/>
        <w:gridCol w:w="794"/>
      </w:tblGrid>
      <w:tr w14:paraId="60E450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8" w:hRule="atLeast"/>
        </w:trPr>
        <w:tc>
          <w:tcPr>
            <w:tcW w:w="564" w:type="dxa"/>
            <w:textDirection w:val="tbRlV"/>
            <w:vAlign w:val="top"/>
          </w:tcPr>
          <w:p w14:paraId="77785CF3">
            <w:pPr>
              <w:pStyle w:val="6"/>
              <w:spacing w:before="186" w:line="203" w:lineRule="auto"/>
              <w:ind w:left="83"/>
            </w:pPr>
            <w:r>
              <w:rPr>
                <w:spacing w:val="5"/>
              </w:rPr>
              <w:t>序</w:t>
            </w:r>
            <w:r>
              <w:rPr>
                <w:spacing w:val="43"/>
              </w:rPr>
              <w:t xml:space="preserve">  </w:t>
            </w:r>
            <w:r>
              <w:rPr>
                <w:spacing w:val="5"/>
              </w:rPr>
              <w:t>号</w:t>
            </w:r>
          </w:p>
        </w:tc>
        <w:tc>
          <w:tcPr>
            <w:tcW w:w="1129" w:type="dxa"/>
            <w:vAlign w:val="top"/>
          </w:tcPr>
          <w:p w14:paraId="1157EBEB">
            <w:pPr>
              <w:pStyle w:val="6"/>
              <w:spacing w:before="167" w:line="321" w:lineRule="auto"/>
              <w:ind w:left="126" w:right="117" w:firstLine="105"/>
            </w:pPr>
            <w:r>
              <w:rPr>
                <w:spacing w:val="-12"/>
              </w:rPr>
              <w:t>材</w:t>
            </w:r>
            <w:r>
              <w:rPr>
                <w:spacing w:val="-23"/>
              </w:rPr>
              <w:t xml:space="preserve"> </w:t>
            </w:r>
            <w:r>
              <w:rPr>
                <w:spacing w:val="-12"/>
              </w:rPr>
              <w:t>料 、</w:t>
            </w:r>
            <w:r>
              <w:t xml:space="preserve"> </w:t>
            </w:r>
            <w:r>
              <w:rPr>
                <w:spacing w:val="8"/>
              </w:rPr>
              <w:t>设备品种</w:t>
            </w:r>
          </w:p>
        </w:tc>
        <w:tc>
          <w:tcPr>
            <w:tcW w:w="864" w:type="dxa"/>
            <w:vAlign w:val="top"/>
          </w:tcPr>
          <w:p w14:paraId="6158A14D">
            <w:pPr>
              <w:pStyle w:val="6"/>
              <w:spacing w:before="174" w:line="318" w:lineRule="auto"/>
              <w:ind w:left="206" w:right="203"/>
            </w:pPr>
            <w:r>
              <w:t xml:space="preserve">规格 </w:t>
            </w:r>
            <w:r>
              <w:rPr>
                <w:spacing w:val="11"/>
              </w:rPr>
              <w:t>型号</w:t>
            </w:r>
          </w:p>
        </w:tc>
        <w:tc>
          <w:tcPr>
            <w:tcW w:w="699" w:type="dxa"/>
            <w:vAlign w:val="top"/>
          </w:tcPr>
          <w:p w14:paraId="40CB23D8">
            <w:pPr>
              <w:spacing w:line="284" w:lineRule="auto"/>
              <w:rPr>
                <w:rFonts w:ascii="Arial"/>
                <w:sz w:val="21"/>
              </w:rPr>
            </w:pPr>
          </w:p>
          <w:p w14:paraId="27D68CE7">
            <w:pPr>
              <w:pStyle w:val="6"/>
              <w:spacing w:before="69" w:line="224" w:lineRule="auto"/>
              <w:ind w:left="132"/>
            </w:pPr>
            <w:r>
              <w:rPr>
                <w:spacing w:val="-1"/>
              </w:rPr>
              <w:t>单位</w:t>
            </w:r>
          </w:p>
        </w:tc>
        <w:tc>
          <w:tcPr>
            <w:tcW w:w="709" w:type="dxa"/>
            <w:vAlign w:val="top"/>
          </w:tcPr>
          <w:p w14:paraId="3C07E1E6">
            <w:pPr>
              <w:spacing w:line="283" w:lineRule="auto"/>
              <w:rPr>
                <w:rFonts w:ascii="Arial"/>
                <w:sz w:val="21"/>
              </w:rPr>
            </w:pPr>
          </w:p>
          <w:p w14:paraId="3CFDC46A">
            <w:pPr>
              <w:pStyle w:val="6"/>
              <w:spacing w:before="68" w:line="224" w:lineRule="auto"/>
              <w:ind w:left="138"/>
            </w:pPr>
            <w:r>
              <w:rPr>
                <w:spacing w:val="-1"/>
              </w:rPr>
              <w:t>数量</w:t>
            </w:r>
          </w:p>
        </w:tc>
        <w:tc>
          <w:tcPr>
            <w:tcW w:w="849" w:type="dxa"/>
            <w:vAlign w:val="top"/>
          </w:tcPr>
          <w:p w14:paraId="5D080728">
            <w:pPr>
              <w:pStyle w:val="6"/>
              <w:spacing w:before="172" w:line="222" w:lineRule="auto"/>
              <w:ind w:left="204"/>
            </w:pPr>
            <w:r>
              <w:rPr>
                <w:spacing w:val="-1"/>
              </w:rPr>
              <w:t>单价</w:t>
            </w:r>
          </w:p>
          <w:p w14:paraId="36B5FF54">
            <w:pPr>
              <w:pStyle w:val="6"/>
              <w:spacing w:before="205" w:line="224" w:lineRule="auto"/>
              <w:ind w:left="204"/>
            </w:pPr>
            <w:r>
              <w:rPr>
                <w:spacing w:val="19"/>
              </w:rPr>
              <w:t>(元)</w:t>
            </w:r>
          </w:p>
        </w:tc>
        <w:tc>
          <w:tcPr>
            <w:tcW w:w="849" w:type="dxa"/>
            <w:vAlign w:val="top"/>
          </w:tcPr>
          <w:p w14:paraId="77CC14D6">
            <w:pPr>
              <w:pStyle w:val="6"/>
              <w:spacing w:before="174" w:line="318" w:lineRule="auto"/>
              <w:ind w:left="205" w:right="189"/>
            </w:pPr>
            <w:r>
              <w:t xml:space="preserve">质量 </w:t>
            </w:r>
            <w:r>
              <w:rPr>
                <w:spacing w:val="11"/>
              </w:rPr>
              <w:t>等级</w:t>
            </w:r>
          </w:p>
        </w:tc>
        <w:tc>
          <w:tcPr>
            <w:tcW w:w="809" w:type="dxa"/>
            <w:vAlign w:val="top"/>
          </w:tcPr>
          <w:p w14:paraId="06351D36">
            <w:pPr>
              <w:pStyle w:val="6"/>
              <w:spacing w:before="172" w:line="319" w:lineRule="auto"/>
              <w:ind w:left="186" w:right="160"/>
            </w:pPr>
            <w:r>
              <w:t xml:space="preserve">供应 </w:t>
            </w:r>
            <w:r>
              <w:rPr>
                <w:spacing w:val="15"/>
              </w:rPr>
              <w:t>时间</w:t>
            </w:r>
          </w:p>
        </w:tc>
        <w:tc>
          <w:tcPr>
            <w:tcW w:w="1468" w:type="dxa"/>
            <w:vAlign w:val="top"/>
          </w:tcPr>
          <w:p w14:paraId="69F5F5FA">
            <w:pPr>
              <w:spacing w:line="343" w:lineRule="auto"/>
              <w:rPr>
                <w:rFonts w:ascii="Arial"/>
                <w:sz w:val="21"/>
              </w:rPr>
            </w:pPr>
          </w:p>
          <w:p w14:paraId="16167E5E">
            <w:pPr>
              <w:pStyle w:val="6"/>
              <w:spacing w:before="68" w:line="228" w:lineRule="auto"/>
              <w:ind w:left="303"/>
            </w:pPr>
            <w:r>
              <w:rPr>
                <w:spacing w:val="9"/>
              </w:rPr>
              <w:t>送达地点</w:t>
            </w:r>
          </w:p>
        </w:tc>
        <w:tc>
          <w:tcPr>
            <w:tcW w:w="794" w:type="dxa"/>
            <w:vAlign w:val="top"/>
          </w:tcPr>
          <w:p w14:paraId="5463E5C2">
            <w:pPr>
              <w:spacing w:line="285" w:lineRule="auto"/>
              <w:rPr>
                <w:rFonts w:ascii="Arial"/>
                <w:sz w:val="21"/>
              </w:rPr>
            </w:pPr>
          </w:p>
          <w:p w14:paraId="5F705E4B">
            <w:pPr>
              <w:pStyle w:val="6"/>
              <w:spacing w:before="68" w:line="225" w:lineRule="auto"/>
              <w:ind w:left="209"/>
            </w:pPr>
            <w:r>
              <w:rPr>
                <w:spacing w:val="10"/>
              </w:rPr>
              <w:t>备注</w:t>
            </w:r>
          </w:p>
        </w:tc>
      </w:tr>
      <w:tr w14:paraId="2D0954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8" w:hRule="atLeast"/>
        </w:trPr>
        <w:tc>
          <w:tcPr>
            <w:tcW w:w="564" w:type="dxa"/>
            <w:vAlign w:val="top"/>
          </w:tcPr>
          <w:p w14:paraId="003DFB2E">
            <w:pPr>
              <w:rPr>
                <w:rFonts w:ascii="Arial"/>
                <w:sz w:val="21"/>
              </w:rPr>
            </w:pPr>
          </w:p>
        </w:tc>
        <w:tc>
          <w:tcPr>
            <w:tcW w:w="1129" w:type="dxa"/>
            <w:vAlign w:val="top"/>
          </w:tcPr>
          <w:p w14:paraId="10100508">
            <w:pPr>
              <w:rPr>
                <w:rFonts w:ascii="Arial"/>
                <w:sz w:val="21"/>
              </w:rPr>
            </w:pPr>
          </w:p>
        </w:tc>
        <w:tc>
          <w:tcPr>
            <w:tcW w:w="864" w:type="dxa"/>
            <w:vAlign w:val="top"/>
          </w:tcPr>
          <w:p w14:paraId="4BA8BD44">
            <w:pPr>
              <w:rPr>
                <w:rFonts w:ascii="Arial"/>
                <w:sz w:val="21"/>
              </w:rPr>
            </w:pPr>
          </w:p>
        </w:tc>
        <w:tc>
          <w:tcPr>
            <w:tcW w:w="699" w:type="dxa"/>
            <w:vAlign w:val="top"/>
          </w:tcPr>
          <w:p w14:paraId="38C1802C">
            <w:pPr>
              <w:rPr>
                <w:rFonts w:ascii="Arial"/>
                <w:sz w:val="21"/>
              </w:rPr>
            </w:pPr>
          </w:p>
        </w:tc>
        <w:tc>
          <w:tcPr>
            <w:tcW w:w="709" w:type="dxa"/>
            <w:vAlign w:val="top"/>
          </w:tcPr>
          <w:p w14:paraId="7980F156">
            <w:pPr>
              <w:rPr>
                <w:rFonts w:ascii="Arial"/>
                <w:sz w:val="21"/>
              </w:rPr>
            </w:pPr>
          </w:p>
        </w:tc>
        <w:tc>
          <w:tcPr>
            <w:tcW w:w="849" w:type="dxa"/>
            <w:vAlign w:val="top"/>
          </w:tcPr>
          <w:p w14:paraId="292915C2">
            <w:pPr>
              <w:rPr>
                <w:rFonts w:ascii="Arial"/>
                <w:sz w:val="21"/>
              </w:rPr>
            </w:pPr>
          </w:p>
        </w:tc>
        <w:tc>
          <w:tcPr>
            <w:tcW w:w="849" w:type="dxa"/>
            <w:vAlign w:val="top"/>
          </w:tcPr>
          <w:p w14:paraId="1CFABDC0">
            <w:pPr>
              <w:rPr>
                <w:rFonts w:ascii="Arial"/>
                <w:sz w:val="21"/>
              </w:rPr>
            </w:pPr>
          </w:p>
        </w:tc>
        <w:tc>
          <w:tcPr>
            <w:tcW w:w="809" w:type="dxa"/>
            <w:vAlign w:val="top"/>
          </w:tcPr>
          <w:p w14:paraId="5A73062D">
            <w:pPr>
              <w:rPr>
                <w:rFonts w:ascii="Arial"/>
                <w:sz w:val="21"/>
              </w:rPr>
            </w:pPr>
          </w:p>
        </w:tc>
        <w:tc>
          <w:tcPr>
            <w:tcW w:w="1468" w:type="dxa"/>
            <w:vAlign w:val="top"/>
          </w:tcPr>
          <w:p w14:paraId="709968E3">
            <w:pPr>
              <w:rPr>
                <w:rFonts w:ascii="Arial"/>
                <w:sz w:val="21"/>
              </w:rPr>
            </w:pPr>
          </w:p>
        </w:tc>
        <w:tc>
          <w:tcPr>
            <w:tcW w:w="794" w:type="dxa"/>
            <w:vAlign w:val="top"/>
          </w:tcPr>
          <w:p w14:paraId="305969F6">
            <w:pPr>
              <w:rPr>
                <w:rFonts w:ascii="Arial"/>
                <w:sz w:val="21"/>
              </w:rPr>
            </w:pPr>
          </w:p>
        </w:tc>
      </w:tr>
      <w:tr w14:paraId="3ACF90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atLeast"/>
        </w:trPr>
        <w:tc>
          <w:tcPr>
            <w:tcW w:w="564" w:type="dxa"/>
            <w:vAlign w:val="top"/>
          </w:tcPr>
          <w:p w14:paraId="11F46C6E">
            <w:pPr>
              <w:rPr>
                <w:rFonts w:ascii="Arial"/>
                <w:sz w:val="21"/>
              </w:rPr>
            </w:pPr>
          </w:p>
        </w:tc>
        <w:tc>
          <w:tcPr>
            <w:tcW w:w="1129" w:type="dxa"/>
            <w:vAlign w:val="top"/>
          </w:tcPr>
          <w:p w14:paraId="19EBC5F5">
            <w:pPr>
              <w:rPr>
                <w:rFonts w:ascii="Arial"/>
                <w:sz w:val="21"/>
              </w:rPr>
            </w:pPr>
          </w:p>
        </w:tc>
        <w:tc>
          <w:tcPr>
            <w:tcW w:w="864" w:type="dxa"/>
            <w:vAlign w:val="top"/>
          </w:tcPr>
          <w:p w14:paraId="6F578282">
            <w:pPr>
              <w:rPr>
                <w:rFonts w:ascii="Arial"/>
                <w:sz w:val="21"/>
              </w:rPr>
            </w:pPr>
          </w:p>
        </w:tc>
        <w:tc>
          <w:tcPr>
            <w:tcW w:w="699" w:type="dxa"/>
            <w:vAlign w:val="top"/>
          </w:tcPr>
          <w:p w14:paraId="32CD45FB">
            <w:pPr>
              <w:rPr>
                <w:rFonts w:ascii="Arial"/>
                <w:sz w:val="21"/>
              </w:rPr>
            </w:pPr>
          </w:p>
        </w:tc>
        <w:tc>
          <w:tcPr>
            <w:tcW w:w="709" w:type="dxa"/>
            <w:vAlign w:val="top"/>
          </w:tcPr>
          <w:p w14:paraId="41EAEB0F">
            <w:pPr>
              <w:rPr>
                <w:rFonts w:ascii="Arial"/>
                <w:sz w:val="21"/>
              </w:rPr>
            </w:pPr>
          </w:p>
        </w:tc>
        <w:tc>
          <w:tcPr>
            <w:tcW w:w="849" w:type="dxa"/>
            <w:vAlign w:val="top"/>
          </w:tcPr>
          <w:p w14:paraId="148ACC6A">
            <w:pPr>
              <w:rPr>
                <w:rFonts w:ascii="Arial"/>
                <w:sz w:val="21"/>
              </w:rPr>
            </w:pPr>
          </w:p>
        </w:tc>
        <w:tc>
          <w:tcPr>
            <w:tcW w:w="849" w:type="dxa"/>
            <w:vAlign w:val="top"/>
          </w:tcPr>
          <w:p w14:paraId="09756E0A">
            <w:pPr>
              <w:rPr>
                <w:rFonts w:ascii="Arial"/>
                <w:sz w:val="21"/>
              </w:rPr>
            </w:pPr>
          </w:p>
        </w:tc>
        <w:tc>
          <w:tcPr>
            <w:tcW w:w="809" w:type="dxa"/>
            <w:vAlign w:val="top"/>
          </w:tcPr>
          <w:p w14:paraId="0B3354BE">
            <w:pPr>
              <w:rPr>
                <w:rFonts w:ascii="Arial"/>
                <w:sz w:val="21"/>
              </w:rPr>
            </w:pPr>
          </w:p>
        </w:tc>
        <w:tc>
          <w:tcPr>
            <w:tcW w:w="1468" w:type="dxa"/>
            <w:vAlign w:val="top"/>
          </w:tcPr>
          <w:p w14:paraId="76A03138">
            <w:pPr>
              <w:rPr>
                <w:rFonts w:ascii="Arial"/>
                <w:sz w:val="21"/>
              </w:rPr>
            </w:pPr>
          </w:p>
        </w:tc>
        <w:tc>
          <w:tcPr>
            <w:tcW w:w="794" w:type="dxa"/>
            <w:vAlign w:val="top"/>
          </w:tcPr>
          <w:p w14:paraId="159EDA08">
            <w:pPr>
              <w:rPr>
                <w:rFonts w:ascii="Arial"/>
                <w:sz w:val="21"/>
              </w:rPr>
            </w:pPr>
          </w:p>
        </w:tc>
      </w:tr>
      <w:tr w14:paraId="392EFD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trPr>
        <w:tc>
          <w:tcPr>
            <w:tcW w:w="564" w:type="dxa"/>
            <w:vAlign w:val="top"/>
          </w:tcPr>
          <w:p w14:paraId="0F520F63">
            <w:pPr>
              <w:rPr>
                <w:rFonts w:ascii="Arial"/>
                <w:sz w:val="21"/>
              </w:rPr>
            </w:pPr>
          </w:p>
        </w:tc>
        <w:tc>
          <w:tcPr>
            <w:tcW w:w="1129" w:type="dxa"/>
            <w:vAlign w:val="top"/>
          </w:tcPr>
          <w:p w14:paraId="73869074">
            <w:pPr>
              <w:rPr>
                <w:rFonts w:ascii="Arial"/>
                <w:sz w:val="21"/>
              </w:rPr>
            </w:pPr>
          </w:p>
        </w:tc>
        <w:tc>
          <w:tcPr>
            <w:tcW w:w="864" w:type="dxa"/>
            <w:vAlign w:val="top"/>
          </w:tcPr>
          <w:p w14:paraId="6B18CF10">
            <w:pPr>
              <w:rPr>
                <w:rFonts w:ascii="Arial"/>
                <w:sz w:val="21"/>
              </w:rPr>
            </w:pPr>
          </w:p>
        </w:tc>
        <w:tc>
          <w:tcPr>
            <w:tcW w:w="699" w:type="dxa"/>
            <w:vAlign w:val="top"/>
          </w:tcPr>
          <w:p w14:paraId="2A0432BC">
            <w:pPr>
              <w:rPr>
                <w:rFonts w:ascii="Arial"/>
                <w:sz w:val="21"/>
              </w:rPr>
            </w:pPr>
          </w:p>
        </w:tc>
        <w:tc>
          <w:tcPr>
            <w:tcW w:w="709" w:type="dxa"/>
            <w:vAlign w:val="top"/>
          </w:tcPr>
          <w:p w14:paraId="420B7005">
            <w:pPr>
              <w:rPr>
                <w:rFonts w:ascii="Arial"/>
                <w:sz w:val="21"/>
              </w:rPr>
            </w:pPr>
          </w:p>
        </w:tc>
        <w:tc>
          <w:tcPr>
            <w:tcW w:w="849" w:type="dxa"/>
            <w:vAlign w:val="top"/>
          </w:tcPr>
          <w:p w14:paraId="7502793D">
            <w:pPr>
              <w:rPr>
                <w:rFonts w:ascii="Arial"/>
                <w:sz w:val="21"/>
              </w:rPr>
            </w:pPr>
          </w:p>
        </w:tc>
        <w:tc>
          <w:tcPr>
            <w:tcW w:w="849" w:type="dxa"/>
            <w:vAlign w:val="top"/>
          </w:tcPr>
          <w:p w14:paraId="03AB20FD">
            <w:pPr>
              <w:rPr>
                <w:rFonts w:ascii="Arial"/>
                <w:sz w:val="21"/>
              </w:rPr>
            </w:pPr>
          </w:p>
        </w:tc>
        <w:tc>
          <w:tcPr>
            <w:tcW w:w="809" w:type="dxa"/>
            <w:vAlign w:val="top"/>
          </w:tcPr>
          <w:p w14:paraId="3E9BF60A">
            <w:pPr>
              <w:rPr>
                <w:rFonts w:ascii="Arial"/>
                <w:sz w:val="21"/>
              </w:rPr>
            </w:pPr>
          </w:p>
        </w:tc>
        <w:tc>
          <w:tcPr>
            <w:tcW w:w="1468" w:type="dxa"/>
            <w:vAlign w:val="top"/>
          </w:tcPr>
          <w:p w14:paraId="496D9DA1">
            <w:pPr>
              <w:rPr>
                <w:rFonts w:ascii="Arial"/>
                <w:sz w:val="21"/>
              </w:rPr>
            </w:pPr>
          </w:p>
        </w:tc>
        <w:tc>
          <w:tcPr>
            <w:tcW w:w="794" w:type="dxa"/>
            <w:vAlign w:val="top"/>
          </w:tcPr>
          <w:p w14:paraId="0A1549B0">
            <w:pPr>
              <w:rPr>
                <w:rFonts w:ascii="Arial"/>
                <w:sz w:val="21"/>
              </w:rPr>
            </w:pPr>
          </w:p>
        </w:tc>
      </w:tr>
      <w:tr w14:paraId="6DF11E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trPr>
        <w:tc>
          <w:tcPr>
            <w:tcW w:w="564" w:type="dxa"/>
            <w:vAlign w:val="top"/>
          </w:tcPr>
          <w:p w14:paraId="1C94E8D8">
            <w:pPr>
              <w:rPr>
                <w:rFonts w:ascii="Arial"/>
                <w:sz w:val="21"/>
              </w:rPr>
            </w:pPr>
          </w:p>
        </w:tc>
        <w:tc>
          <w:tcPr>
            <w:tcW w:w="1129" w:type="dxa"/>
            <w:vAlign w:val="top"/>
          </w:tcPr>
          <w:p w14:paraId="64FB34C3">
            <w:pPr>
              <w:rPr>
                <w:rFonts w:ascii="Arial"/>
                <w:sz w:val="21"/>
              </w:rPr>
            </w:pPr>
          </w:p>
        </w:tc>
        <w:tc>
          <w:tcPr>
            <w:tcW w:w="864" w:type="dxa"/>
            <w:vAlign w:val="top"/>
          </w:tcPr>
          <w:p w14:paraId="2793360F">
            <w:pPr>
              <w:rPr>
                <w:rFonts w:ascii="Arial"/>
                <w:sz w:val="21"/>
              </w:rPr>
            </w:pPr>
          </w:p>
        </w:tc>
        <w:tc>
          <w:tcPr>
            <w:tcW w:w="699" w:type="dxa"/>
            <w:vAlign w:val="top"/>
          </w:tcPr>
          <w:p w14:paraId="5541543F">
            <w:pPr>
              <w:rPr>
                <w:rFonts w:ascii="Arial"/>
                <w:sz w:val="21"/>
              </w:rPr>
            </w:pPr>
          </w:p>
        </w:tc>
        <w:tc>
          <w:tcPr>
            <w:tcW w:w="709" w:type="dxa"/>
            <w:vAlign w:val="top"/>
          </w:tcPr>
          <w:p w14:paraId="48E5EA53">
            <w:pPr>
              <w:rPr>
                <w:rFonts w:ascii="Arial"/>
                <w:sz w:val="21"/>
              </w:rPr>
            </w:pPr>
          </w:p>
        </w:tc>
        <w:tc>
          <w:tcPr>
            <w:tcW w:w="849" w:type="dxa"/>
            <w:vAlign w:val="top"/>
          </w:tcPr>
          <w:p w14:paraId="7B84F41B">
            <w:pPr>
              <w:rPr>
                <w:rFonts w:ascii="Arial"/>
                <w:sz w:val="21"/>
              </w:rPr>
            </w:pPr>
          </w:p>
        </w:tc>
        <w:tc>
          <w:tcPr>
            <w:tcW w:w="849" w:type="dxa"/>
            <w:vAlign w:val="top"/>
          </w:tcPr>
          <w:p w14:paraId="3DB6B7E8">
            <w:pPr>
              <w:rPr>
                <w:rFonts w:ascii="Arial"/>
                <w:sz w:val="21"/>
              </w:rPr>
            </w:pPr>
          </w:p>
        </w:tc>
        <w:tc>
          <w:tcPr>
            <w:tcW w:w="809" w:type="dxa"/>
            <w:vAlign w:val="top"/>
          </w:tcPr>
          <w:p w14:paraId="6AB2A6EB">
            <w:pPr>
              <w:rPr>
                <w:rFonts w:ascii="Arial"/>
                <w:sz w:val="21"/>
              </w:rPr>
            </w:pPr>
          </w:p>
        </w:tc>
        <w:tc>
          <w:tcPr>
            <w:tcW w:w="1468" w:type="dxa"/>
            <w:vAlign w:val="top"/>
          </w:tcPr>
          <w:p w14:paraId="2A883559">
            <w:pPr>
              <w:rPr>
                <w:rFonts w:ascii="Arial"/>
                <w:sz w:val="21"/>
              </w:rPr>
            </w:pPr>
          </w:p>
        </w:tc>
        <w:tc>
          <w:tcPr>
            <w:tcW w:w="794" w:type="dxa"/>
            <w:vAlign w:val="top"/>
          </w:tcPr>
          <w:p w14:paraId="1C31FADA">
            <w:pPr>
              <w:rPr>
                <w:rFonts w:ascii="Arial"/>
                <w:sz w:val="21"/>
              </w:rPr>
            </w:pPr>
          </w:p>
        </w:tc>
      </w:tr>
      <w:tr w14:paraId="345F50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trPr>
        <w:tc>
          <w:tcPr>
            <w:tcW w:w="564" w:type="dxa"/>
            <w:vAlign w:val="top"/>
          </w:tcPr>
          <w:p w14:paraId="0C529AA8">
            <w:pPr>
              <w:rPr>
                <w:rFonts w:ascii="Arial"/>
                <w:sz w:val="21"/>
              </w:rPr>
            </w:pPr>
          </w:p>
        </w:tc>
        <w:tc>
          <w:tcPr>
            <w:tcW w:w="1129" w:type="dxa"/>
            <w:vAlign w:val="top"/>
          </w:tcPr>
          <w:p w14:paraId="048A713F">
            <w:pPr>
              <w:rPr>
                <w:rFonts w:ascii="Arial"/>
                <w:sz w:val="21"/>
              </w:rPr>
            </w:pPr>
          </w:p>
        </w:tc>
        <w:tc>
          <w:tcPr>
            <w:tcW w:w="864" w:type="dxa"/>
            <w:vAlign w:val="top"/>
          </w:tcPr>
          <w:p w14:paraId="577827FA">
            <w:pPr>
              <w:rPr>
                <w:rFonts w:ascii="Arial"/>
                <w:sz w:val="21"/>
              </w:rPr>
            </w:pPr>
          </w:p>
        </w:tc>
        <w:tc>
          <w:tcPr>
            <w:tcW w:w="699" w:type="dxa"/>
            <w:vAlign w:val="top"/>
          </w:tcPr>
          <w:p w14:paraId="278CC0EF">
            <w:pPr>
              <w:rPr>
                <w:rFonts w:ascii="Arial"/>
                <w:sz w:val="21"/>
              </w:rPr>
            </w:pPr>
          </w:p>
        </w:tc>
        <w:tc>
          <w:tcPr>
            <w:tcW w:w="709" w:type="dxa"/>
            <w:vAlign w:val="top"/>
          </w:tcPr>
          <w:p w14:paraId="01C8817D">
            <w:pPr>
              <w:rPr>
                <w:rFonts w:ascii="Arial"/>
                <w:sz w:val="21"/>
              </w:rPr>
            </w:pPr>
          </w:p>
        </w:tc>
        <w:tc>
          <w:tcPr>
            <w:tcW w:w="849" w:type="dxa"/>
            <w:vAlign w:val="top"/>
          </w:tcPr>
          <w:p w14:paraId="2599EEE0">
            <w:pPr>
              <w:rPr>
                <w:rFonts w:ascii="Arial"/>
                <w:sz w:val="21"/>
              </w:rPr>
            </w:pPr>
          </w:p>
        </w:tc>
        <w:tc>
          <w:tcPr>
            <w:tcW w:w="849" w:type="dxa"/>
            <w:vAlign w:val="top"/>
          </w:tcPr>
          <w:p w14:paraId="240CB695">
            <w:pPr>
              <w:rPr>
                <w:rFonts w:ascii="Arial"/>
                <w:sz w:val="21"/>
              </w:rPr>
            </w:pPr>
          </w:p>
        </w:tc>
        <w:tc>
          <w:tcPr>
            <w:tcW w:w="809" w:type="dxa"/>
            <w:vAlign w:val="top"/>
          </w:tcPr>
          <w:p w14:paraId="76BCEFB2">
            <w:pPr>
              <w:rPr>
                <w:rFonts w:ascii="Arial"/>
                <w:sz w:val="21"/>
              </w:rPr>
            </w:pPr>
          </w:p>
        </w:tc>
        <w:tc>
          <w:tcPr>
            <w:tcW w:w="1468" w:type="dxa"/>
            <w:vAlign w:val="top"/>
          </w:tcPr>
          <w:p w14:paraId="0902528A">
            <w:pPr>
              <w:rPr>
                <w:rFonts w:ascii="Arial"/>
                <w:sz w:val="21"/>
              </w:rPr>
            </w:pPr>
          </w:p>
        </w:tc>
        <w:tc>
          <w:tcPr>
            <w:tcW w:w="794" w:type="dxa"/>
            <w:vAlign w:val="top"/>
          </w:tcPr>
          <w:p w14:paraId="67C55F07">
            <w:pPr>
              <w:rPr>
                <w:rFonts w:ascii="Arial"/>
                <w:sz w:val="21"/>
              </w:rPr>
            </w:pPr>
          </w:p>
        </w:tc>
      </w:tr>
      <w:tr w14:paraId="6BB652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trPr>
        <w:tc>
          <w:tcPr>
            <w:tcW w:w="564" w:type="dxa"/>
            <w:vAlign w:val="top"/>
          </w:tcPr>
          <w:p w14:paraId="1B2BDF38">
            <w:pPr>
              <w:rPr>
                <w:rFonts w:ascii="Arial"/>
                <w:sz w:val="21"/>
              </w:rPr>
            </w:pPr>
          </w:p>
        </w:tc>
        <w:tc>
          <w:tcPr>
            <w:tcW w:w="1129" w:type="dxa"/>
            <w:vAlign w:val="top"/>
          </w:tcPr>
          <w:p w14:paraId="4653B183">
            <w:pPr>
              <w:rPr>
                <w:rFonts w:ascii="Arial"/>
                <w:sz w:val="21"/>
              </w:rPr>
            </w:pPr>
          </w:p>
        </w:tc>
        <w:tc>
          <w:tcPr>
            <w:tcW w:w="864" w:type="dxa"/>
            <w:vAlign w:val="top"/>
          </w:tcPr>
          <w:p w14:paraId="6B693CFF">
            <w:pPr>
              <w:rPr>
                <w:rFonts w:ascii="Arial"/>
                <w:sz w:val="21"/>
              </w:rPr>
            </w:pPr>
          </w:p>
        </w:tc>
        <w:tc>
          <w:tcPr>
            <w:tcW w:w="699" w:type="dxa"/>
            <w:vAlign w:val="top"/>
          </w:tcPr>
          <w:p w14:paraId="4723E4EB">
            <w:pPr>
              <w:rPr>
                <w:rFonts w:ascii="Arial"/>
                <w:sz w:val="21"/>
              </w:rPr>
            </w:pPr>
          </w:p>
        </w:tc>
        <w:tc>
          <w:tcPr>
            <w:tcW w:w="709" w:type="dxa"/>
            <w:vAlign w:val="top"/>
          </w:tcPr>
          <w:p w14:paraId="100532BD">
            <w:pPr>
              <w:rPr>
                <w:rFonts w:ascii="Arial"/>
                <w:sz w:val="21"/>
              </w:rPr>
            </w:pPr>
          </w:p>
        </w:tc>
        <w:tc>
          <w:tcPr>
            <w:tcW w:w="849" w:type="dxa"/>
            <w:vAlign w:val="top"/>
          </w:tcPr>
          <w:p w14:paraId="100E4029">
            <w:pPr>
              <w:rPr>
                <w:rFonts w:ascii="Arial"/>
                <w:sz w:val="21"/>
              </w:rPr>
            </w:pPr>
          </w:p>
        </w:tc>
        <w:tc>
          <w:tcPr>
            <w:tcW w:w="849" w:type="dxa"/>
            <w:vAlign w:val="top"/>
          </w:tcPr>
          <w:p w14:paraId="2D25B7F3">
            <w:pPr>
              <w:rPr>
                <w:rFonts w:ascii="Arial"/>
                <w:sz w:val="21"/>
              </w:rPr>
            </w:pPr>
          </w:p>
        </w:tc>
        <w:tc>
          <w:tcPr>
            <w:tcW w:w="809" w:type="dxa"/>
            <w:vAlign w:val="top"/>
          </w:tcPr>
          <w:p w14:paraId="173905C7">
            <w:pPr>
              <w:rPr>
                <w:rFonts w:ascii="Arial"/>
                <w:sz w:val="21"/>
              </w:rPr>
            </w:pPr>
          </w:p>
        </w:tc>
        <w:tc>
          <w:tcPr>
            <w:tcW w:w="1468" w:type="dxa"/>
            <w:vAlign w:val="top"/>
          </w:tcPr>
          <w:p w14:paraId="2829D17E">
            <w:pPr>
              <w:rPr>
                <w:rFonts w:ascii="Arial"/>
                <w:sz w:val="21"/>
              </w:rPr>
            </w:pPr>
          </w:p>
        </w:tc>
        <w:tc>
          <w:tcPr>
            <w:tcW w:w="794" w:type="dxa"/>
            <w:vAlign w:val="top"/>
          </w:tcPr>
          <w:p w14:paraId="43F0F3D9">
            <w:pPr>
              <w:rPr>
                <w:rFonts w:ascii="Arial"/>
                <w:sz w:val="21"/>
              </w:rPr>
            </w:pPr>
          </w:p>
        </w:tc>
      </w:tr>
      <w:tr w14:paraId="60A94C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8" w:hRule="atLeast"/>
        </w:trPr>
        <w:tc>
          <w:tcPr>
            <w:tcW w:w="564" w:type="dxa"/>
            <w:vAlign w:val="top"/>
          </w:tcPr>
          <w:p w14:paraId="72F3C63E">
            <w:pPr>
              <w:rPr>
                <w:rFonts w:ascii="Arial"/>
                <w:sz w:val="21"/>
              </w:rPr>
            </w:pPr>
          </w:p>
        </w:tc>
        <w:tc>
          <w:tcPr>
            <w:tcW w:w="1129" w:type="dxa"/>
            <w:vAlign w:val="top"/>
          </w:tcPr>
          <w:p w14:paraId="314A925F">
            <w:pPr>
              <w:rPr>
                <w:rFonts w:ascii="Arial"/>
                <w:sz w:val="21"/>
              </w:rPr>
            </w:pPr>
          </w:p>
        </w:tc>
        <w:tc>
          <w:tcPr>
            <w:tcW w:w="864" w:type="dxa"/>
            <w:vAlign w:val="top"/>
          </w:tcPr>
          <w:p w14:paraId="60B98560">
            <w:pPr>
              <w:rPr>
                <w:rFonts w:ascii="Arial"/>
                <w:sz w:val="21"/>
              </w:rPr>
            </w:pPr>
          </w:p>
        </w:tc>
        <w:tc>
          <w:tcPr>
            <w:tcW w:w="699" w:type="dxa"/>
            <w:vAlign w:val="top"/>
          </w:tcPr>
          <w:p w14:paraId="37E5C6DC">
            <w:pPr>
              <w:rPr>
                <w:rFonts w:ascii="Arial"/>
                <w:sz w:val="21"/>
              </w:rPr>
            </w:pPr>
          </w:p>
        </w:tc>
        <w:tc>
          <w:tcPr>
            <w:tcW w:w="709" w:type="dxa"/>
            <w:vAlign w:val="top"/>
          </w:tcPr>
          <w:p w14:paraId="48F6970E">
            <w:pPr>
              <w:rPr>
                <w:rFonts w:ascii="Arial"/>
                <w:sz w:val="21"/>
              </w:rPr>
            </w:pPr>
          </w:p>
        </w:tc>
        <w:tc>
          <w:tcPr>
            <w:tcW w:w="849" w:type="dxa"/>
            <w:vAlign w:val="top"/>
          </w:tcPr>
          <w:p w14:paraId="34ACD3EE">
            <w:pPr>
              <w:rPr>
                <w:rFonts w:ascii="Arial"/>
                <w:sz w:val="21"/>
              </w:rPr>
            </w:pPr>
          </w:p>
        </w:tc>
        <w:tc>
          <w:tcPr>
            <w:tcW w:w="849" w:type="dxa"/>
            <w:vAlign w:val="top"/>
          </w:tcPr>
          <w:p w14:paraId="64E4CA5B">
            <w:pPr>
              <w:rPr>
                <w:rFonts w:ascii="Arial"/>
                <w:sz w:val="21"/>
              </w:rPr>
            </w:pPr>
          </w:p>
        </w:tc>
        <w:tc>
          <w:tcPr>
            <w:tcW w:w="809" w:type="dxa"/>
            <w:vAlign w:val="top"/>
          </w:tcPr>
          <w:p w14:paraId="02EE7ED9">
            <w:pPr>
              <w:rPr>
                <w:rFonts w:ascii="Arial"/>
                <w:sz w:val="21"/>
              </w:rPr>
            </w:pPr>
          </w:p>
        </w:tc>
        <w:tc>
          <w:tcPr>
            <w:tcW w:w="1468" w:type="dxa"/>
            <w:vAlign w:val="top"/>
          </w:tcPr>
          <w:p w14:paraId="62B28C07">
            <w:pPr>
              <w:rPr>
                <w:rFonts w:ascii="Arial"/>
                <w:sz w:val="21"/>
              </w:rPr>
            </w:pPr>
          </w:p>
        </w:tc>
        <w:tc>
          <w:tcPr>
            <w:tcW w:w="794" w:type="dxa"/>
            <w:vAlign w:val="top"/>
          </w:tcPr>
          <w:p w14:paraId="0B7FB03D">
            <w:pPr>
              <w:rPr>
                <w:rFonts w:ascii="Arial"/>
                <w:sz w:val="21"/>
              </w:rPr>
            </w:pPr>
          </w:p>
        </w:tc>
      </w:tr>
    </w:tbl>
    <w:p w14:paraId="2F9C8D63">
      <w:pPr>
        <w:rPr>
          <w:rFonts w:ascii="Arial"/>
          <w:sz w:val="21"/>
        </w:rPr>
      </w:pPr>
    </w:p>
    <w:p w14:paraId="2536E016">
      <w:pPr>
        <w:rPr>
          <w:rFonts w:ascii="Arial" w:hAnsi="Arial" w:eastAsia="Arial" w:cs="Arial"/>
          <w:sz w:val="21"/>
          <w:szCs w:val="21"/>
        </w:rPr>
        <w:sectPr>
          <w:headerReference r:id="rId270" w:type="default"/>
          <w:footerReference r:id="rId271" w:type="default"/>
          <w:pgSz w:w="11905" w:h="16840"/>
          <w:pgMar w:top="2109" w:right="30" w:bottom="1020" w:left="1030" w:header="1722" w:footer="903" w:gutter="0"/>
          <w:cols w:space="720" w:num="1"/>
        </w:sectPr>
      </w:pPr>
    </w:p>
    <w:p w14:paraId="4680543D">
      <w:pPr>
        <w:spacing w:line="271" w:lineRule="auto"/>
        <w:rPr>
          <w:rFonts w:ascii="Arial"/>
          <w:sz w:val="21"/>
        </w:rPr>
      </w:pPr>
    </w:p>
    <w:p w14:paraId="7E5B026F">
      <w:pPr>
        <w:spacing w:line="271" w:lineRule="auto"/>
        <w:rPr>
          <w:rFonts w:ascii="Arial"/>
          <w:sz w:val="21"/>
        </w:rPr>
      </w:pPr>
    </w:p>
    <w:p w14:paraId="20C955FD">
      <w:pPr>
        <w:spacing w:line="271" w:lineRule="auto"/>
        <w:rPr>
          <w:rFonts w:ascii="Arial"/>
          <w:sz w:val="21"/>
        </w:rPr>
      </w:pPr>
    </w:p>
    <w:p w14:paraId="754F87DA">
      <w:pPr>
        <w:spacing w:line="272" w:lineRule="auto"/>
        <w:rPr>
          <w:rFonts w:ascii="Arial"/>
          <w:sz w:val="21"/>
        </w:rPr>
      </w:pPr>
    </w:p>
    <w:p w14:paraId="07ABCBA4">
      <w:pPr>
        <w:spacing w:line="272" w:lineRule="auto"/>
        <w:rPr>
          <w:rFonts w:ascii="Arial"/>
          <w:sz w:val="21"/>
        </w:rPr>
      </w:pPr>
    </w:p>
    <w:p w14:paraId="67A09F19">
      <w:pPr>
        <w:spacing w:before="68" w:line="222" w:lineRule="auto"/>
        <w:ind w:left="33"/>
        <w:rPr>
          <w:rFonts w:ascii="黑体" w:hAnsi="黑体" w:eastAsia="黑体" w:cs="黑体"/>
          <w:sz w:val="21"/>
          <w:szCs w:val="21"/>
        </w:rPr>
      </w:pPr>
      <w:r>
        <w:rPr>
          <w:rFonts w:ascii="黑体" w:hAnsi="黑体" w:eastAsia="黑体" w:cs="黑体"/>
          <w:b/>
          <w:bCs/>
          <w:spacing w:val="-14"/>
          <w:sz w:val="21"/>
          <w:szCs w:val="21"/>
        </w:rPr>
        <w:t>附</w:t>
      </w:r>
      <w:r>
        <w:rPr>
          <w:rFonts w:ascii="黑体" w:hAnsi="黑体" w:eastAsia="黑体" w:cs="黑体"/>
          <w:spacing w:val="-50"/>
          <w:sz w:val="21"/>
          <w:szCs w:val="21"/>
        </w:rPr>
        <w:t xml:space="preserve"> </w:t>
      </w:r>
      <w:r>
        <w:rPr>
          <w:rFonts w:ascii="黑体" w:hAnsi="黑体" w:eastAsia="黑体" w:cs="黑体"/>
          <w:b/>
          <w:bCs/>
          <w:spacing w:val="-14"/>
          <w:sz w:val="21"/>
          <w:szCs w:val="21"/>
        </w:rPr>
        <w:t>件</w:t>
      </w:r>
      <w:r>
        <w:rPr>
          <w:rFonts w:ascii="黑体" w:hAnsi="黑体" w:eastAsia="黑体" w:cs="黑体"/>
          <w:spacing w:val="-48"/>
          <w:sz w:val="21"/>
          <w:szCs w:val="21"/>
        </w:rPr>
        <w:t xml:space="preserve"> </w:t>
      </w:r>
      <w:r>
        <w:rPr>
          <w:rFonts w:ascii="黑体" w:hAnsi="黑体" w:eastAsia="黑体" w:cs="黑体"/>
          <w:b/>
          <w:bCs/>
          <w:spacing w:val="-14"/>
          <w:sz w:val="21"/>
          <w:szCs w:val="21"/>
        </w:rPr>
        <w:t>3</w:t>
      </w:r>
      <w:r>
        <w:rPr>
          <w:rFonts w:ascii="黑体" w:hAnsi="黑体" w:eastAsia="黑体" w:cs="黑体"/>
          <w:spacing w:val="-14"/>
          <w:sz w:val="21"/>
          <w:szCs w:val="21"/>
        </w:rPr>
        <w:t xml:space="preserve"> </w:t>
      </w:r>
      <w:r>
        <w:rPr>
          <w:rFonts w:ascii="黑体" w:hAnsi="黑体" w:eastAsia="黑体" w:cs="黑体"/>
          <w:b/>
          <w:bCs/>
          <w:spacing w:val="-14"/>
          <w:sz w:val="21"/>
          <w:szCs w:val="21"/>
        </w:rPr>
        <w:t>:</w:t>
      </w:r>
      <w:r>
        <w:rPr>
          <w:rFonts w:ascii="黑体" w:hAnsi="黑体" w:eastAsia="黑体" w:cs="黑体"/>
          <w:spacing w:val="-48"/>
          <w:sz w:val="21"/>
          <w:szCs w:val="21"/>
        </w:rPr>
        <w:t xml:space="preserve"> </w:t>
      </w:r>
      <w:r>
        <w:rPr>
          <w:rFonts w:ascii="黑体" w:hAnsi="黑体" w:eastAsia="黑体" w:cs="黑体"/>
          <w:b/>
          <w:bCs/>
          <w:spacing w:val="-14"/>
          <w:sz w:val="21"/>
          <w:szCs w:val="21"/>
        </w:rPr>
        <w:t>工</w:t>
      </w:r>
      <w:r>
        <w:rPr>
          <w:rFonts w:ascii="黑体" w:hAnsi="黑体" w:eastAsia="黑体" w:cs="黑体"/>
          <w:spacing w:val="-49"/>
          <w:sz w:val="21"/>
          <w:szCs w:val="21"/>
        </w:rPr>
        <w:t xml:space="preserve"> </w:t>
      </w:r>
      <w:r>
        <w:rPr>
          <w:rFonts w:ascii="黑体" w:hAnsi="黑体" w:eastAsia="黑体" w:cs="黑体"/>
          <w:b/>
          <w:bCs/>
          <w:spacing w:val="-14"/>
          <w:sz w:val="21"/>
          <w:szCs w:val="21"/>
        </w:rPr>
        <w:t>程</w:t>
      </w:r>
      <w:r>
        <w:rPr>
          <w:rFonts w:ascii="黑体" w:hAnsi="黑体" w:eastAsia="黑体" w:cs="黑体"/>
          <w:spacing w:val="-47"/>
          <w:sz w:val="21"/>
          <w:szCs w:val="21"/>
        </w:rPr>
        <w:t xml:space="preserve"> </w:t>
      </w:r>
      <w:r>
        <w:rPr>
          <w:rFonts w:ascii="黑体" w:hAnsi="黑体" w:eastAsia="黑体" w:cs="黑体"/>
          <w:b/>
          <w:bCs/>
          <w:spacing w:val="-14"/>
          <w:sz w:val="21"/>
          <w:szCs w:val="21"/>
        </w:rPr>
        <w:t>质</w:t>
      </w:r>
      <w:r>
        <w:rPr>
          <w:rFonts w:ascii="黑体" w:hAnsi="黑体" w:eastAsia="黑体" w:cs="黑体"/>
          <w:spacing w:val="-45"/>
          <w:sz w:val="21"/>
          <w:szCs w:val="21"/>
        </w:rPr>
        <w:t xml:space="preserve"> </w:t>
      </w:r>
      <w:r>
        <w:rPr>
          <w:rFonts w:ascii="黑体" w:hAnsi="黑体" w:eastAsia="黑体" w:cs="黑体"/>
          <w:b/>
          <w:bCs/>
          <w:spacing w:val="-14"/>
          <w:sz w:val="21"/>
          <w:szCs w:val="21"/>
        </w:rPr>
        <w:t>量</w:t>
      </w:r>
      <w:r>
        <w:rPr>
          <w:rFonts w:ascii="黑体" w:hAnsi="黑体" w:eastAsia="黑体" w:cs="黑体"/>
          <w:spacing w:val="-50"/>
          <w:sz w:val="21"/>
          <w:szCs w:val="21"/>
        </w:rPr>
        <w:t xml:space="preserve"> </w:t>
      </w:r>
      <w:r>
        <w:rPr>
          <w:rFonts w:ascii="黑体" w:hAnsi="黑体" w:eastAsia="黑体" w:cs="黑体"/>
          <w:b/>
          <w:bCs/>
          <w:spacing w:val="-14"/>
          <w:sz w:val="21"/>
          <w:szCs w:val="21"/>
        </w:rPr>
        <w:t>保</w:t>
      </w:r>
      <w:r>
        <w:rPr>
          <w:rFonts w:ascii="黑体" w:hAnsi="黑体" w:eastAsia="黑体" w:cs="黑体"/>
          <w:spacing w:val="-50"/>
          <w:sz w:val="21"/>
          <w:szCs w:val="21"/>
        </w:rPr>
        <w:t xml:space="preserve"> </w:t>
      </w:r>
      <w:r>
        <w:rPr>
          <w:rFonts w:ascii="黑体" w:hAnsi="黑体" w:eastAsia="黑体" w:cs="黑体"/>
          <w:b/>
          <w:bCs/>
          <w:spacing w:val="-14"/>
          <w:sz w:val="21"/>
          <w:szCs w:val="21"/>
        </w:rPr>
        <w:t>修</w:t>
      </w:r>
      <w:r>
        <w:rPr>
          <w:rFonts w:ascii="黑体" w:hAnsi="黑体" w:eastAsia="黑体" w:cs="黑体"/>
          <w:spacing w:val="-42"/>
          <w:sz w:val="21"/>
          <w:szCs w:val="21"/>
        </w:rPr>
        <w:t xml:space="preserve"> </w:t>
      </w:r>
      <w:r>
        <w:rPr>
          <w:rFonts w:ascii="黑体" w:hAnsi="黑体" w:eastAsia="黑体" w:cs="黑体"/>
          <w:b/>
          <w:bCs/>
          <w:spacing w:val="-14"/>
          <w:sz w:val="21"/>
          <w:szCs w:val="21"/>
        </w:rPr>
        <w:t>书</w:t>
      </w:r>
    </w:p>
    <w:p w14:paraId="5B6C65E8">
      <w:pPr>
        <w:spacing w:before="38" w:line="222" w:lineRule="auto"/>
        <w:ind w:left="3483"/>
        <w:rPr>
          <w:rFonts w:ascii="黑体" w:hAnsi="黑体" w:eastAsia="黑体" w:cs="黑体"/>
          <w:sz w:val="28"/>
          <w:szCs w:val="28"/>
        </w:rPr>
      </w:pPr>
      <w:r>
        <w:rPr>
          <w:rFonts w:ascii="黑体" w:hAnsi="黑体" w:eastAsia="黑体" w:cs="黑体"/>
          <w:b/>
          <w:bCs/>
          <w:spacing w:val="2"/>
          <w:sz w:val="28"/>
          <w:szCs w:val="28"/>
        </w:rPr>
        <w:t>工程质量保修书</w:t>
      </w:r>
    </w:p>
    <w:p w14:paraId="01318955">
      <w:pPr>
        <w:spacing w:line="460" w:lineRule="auto"/>
        <w:rPr>
          <w:rFonts w:ascii="Arial"/>
          <w:sz w:val="21"/>
        </w:rPr>
      </w:pPr>
    </w:p>
    <w:p w14:paraId="7E7709B4">
      <w:pPr>
        <w:pStyle w:val="2"/>
        <w:spacing w:before="74" w:line="220" w:lineRule="auto"/>
        <w:ind w:left="439"/>
        <w:rPr>
          <w:sz w:val="23"/>
          <w:szCs w:val="23"/>
        </w:rPr>
      </w:pPr>
      <w:r>
        <w:rPr>
          <w:spacing w:val="-3"/>
          <w:sz w:val="23"/>
          <w:szCs w:val="23"/>
        </w:rPr>
        <w:t xml:space="preserve">发包人(全称): </w:t>
      </w:r>
      <w:r>
        <w:rPr>
          <w:sz w:val="23"/>
          <w:szCs w:val="23"/>
          <w:u w:val="single" w:color="auto"/>
        </w:rPr>
        <w:t xml:space="preserve">                              </w:t>
      </w:r>
    </w:p>
    <w:p w14:paraId="33CBB0CA">
      <w:pPr>
        <w:pStyle w:val="2"/>
        <w:spacing w:before="205" w:line="219" w:lineRule="auto"/>
        <w:ind w:left="439"/>
        <w:rPr>
          <w:sz w:val="21"/>
          <w:szCs w:val="21"/>
        </w:rPr>
      </w:pPr>
      <w:r>
        <w:rPr>
          <w:spacing w:val="15"/>
          <w:sz w:val="21"/>
          <w:szCs w:val="21"/>
        </w:rPr>
        <w:t>承包人(全称):</w:t>
      </w:r>
      <w:r>
        <w:rPr>
          <w:spacing w:val="-22"/>
          <w:sz w:val="21"/>
          <w:szCs w:val="21"/>
        </w:rPr>
        <w:t xml:space="preserve"> </w:t>
      </w:r>
      <w:r>
        <w:rPr>
          <w:sz w:val="21"/>
          <w:szCs w:val="21"/>
          <w:u w:val="single" w:color="auto"/>
        </w:rPr>
        <w:t xml:space="preserve">                                 </w:t>
      </w:r>
    </w:p>
    <w:p w14:paraId="4EB2EEC4">
      <w:pPr>
        <w:spacing w:line="376" w:lineRule="auto"/>
        <w:rPr>
          <w:rFonts w:ascii="Arial"/>
          <w:sz w:val="21"/>
        </w:rPr>
      </w:pPr>
    </w:p>
    <w:p w14:paraId="439E3300">
      <w:pPr>
        <w:pStyle w:val="2"/>
        <w:spacing w:before="68" w:line="362" w:lineRule="auto"/>
        <w:ind w:left="149" w:right="28" w:firstLine="290"/>
        <w:rPr>
          <w:sz w:val="21"/>
          <w:szCs w:val="21"/>
        </w:rPr>
      </w:pPr>
      <w:r>
        <w:rPr>
          <w:sz w:val="21"/>
          <w:szCs w:val="21"/>
        </w:rPr>
        <w:t>发包人和承包人根据《中华人民共和国建筑法》和《建设工程质</w:t>
      </w:r>
      <w:r>
        <w:rPr>
          <w:spacing w:val="-1"/>
          <w:sz w:val="21"/>
          <w:szCs w:val="21"/>
        </w:rPr>
        <w:t>量管理条例》,经协商一致就</w:t>
      </w:r>
      <w:r>
        <w:rPr>
          <w:sz w:val="21"/>
          <w:szCs w:val="21"/>
        </w:rPr>
        <w:t xml:space="preserve"> </w:t>
      </w:r>
      <w:r>
        <w:rPr>
          <w:spacing w:val="5"/>
          <w:sz w:val="21"/>
          <w:szCs w:val="21"/>
        </w:rPr>
        <w:t>(工程全称)签订工程质量保修书。</w:t>
      </w:r>
    </w:p>
    <w:p w14:paraId="4AD49C44">
      <w:pPr>
        <w:pStyle w:val="2"/>
        <w:spacing w:before="1" w:line="219" w:lineRule="auto"/>
        <w:ind w:left="439"/>
        <w:rPr>
          <w:sz w:val="21"/>
          <w:szCs w:val="21"/>
        </w:rPr>
      </w:pPr>
      <w:r>
        <w:rPr>
          <w:sz w:val="21"/>
          <w:szCs w:val="21"/>
        </w:rPr>
        <w:t>一、工程质量保修范围和内容</w:t>
      </w:r>
    </w:p>
    <w:p w14:paraId="48819783">
      <w:pPr>
        <w:pStyle w:val="2"/>
        <w:spacing w:before="151" w:line="219" w:lineRule="auto"/>
        <w:ind w:left="439"/>
        <w:rPr>
          <w:sz w:val="21"/>
          <w:szCs w:val="21"/>
        </w:rPr>
      </w:pPr>
      <w:r>
        <w:rPr>
          <w:spacing w:val="-1"/>
          <w:sz w:val="21"/>
          <w:szCs w:val="21"/>
        </w:rPr>
        <w:t>承包人在质量保修期内，按照有关法律规定和合同约定，承担工程质量保修</w:t>
      </w:r>
      <w:r>
        <w:rPr>
          <w:spacing w:val="-2"/>
          <w:sz w:val="21"/>
          <w:szCs w:val="21"/>
        </w:rPr>
        <w:t>责任。</w:t>
      </w:r>
    </w:p>
    <w:p w14:paraId="582F0E8D">
      <w:pPr>
        <w:pStyle w:val="2"/>
        <w:spacing w:before="170" w:line="353" w:lineRule="auto"/>
        <w:ind w:left="30" w:right="29" w:firstLine="409"/>
        <w:rPr>
          <w:sz w:val="21"/>
          <w:szCs w:val="21"/>
        </w:rPr>
      </w:pPr>
      <w:r>
        <w:rPr>
          <w:spacing w:val="2"/>
          <w:sz w:val="21"/>
          <w:szCs w:val="21"/>
        </w:rPr>
        <w:t>质量保修范围包括地基基础工程、主体结构工程，屋面防水工程、有防水要</w:t>
      </w:r>
      <w:r>
        <w:rPr>
          <w:spacing w:val="1"/>
          <w:sz w:val="21"/>
          <w:szCs w:val="21"/>
        </w:rPr>
        <w:t>求的卫生间、房</w:t>
      </w:r>
      <w:r>
        <w:rPr>
          <w:sz w:val="21"/>
          <w:szCs w:val="21"/>
        </w:rPr>
        <w:t xml:space="preserve"> </w:t>
      </w:r>
      <w:r>
        <w:rPr>
          <w:spacing w:val="2"/>
          <w:sz w:val="21"/>
          <w:szCs w:val="21"/>
        </w:rPr>
        <w:t>间和外墙面的防渗漏，供热与供冷系统，电气管线、给排水管道、设备安装和装修工程，</w:t>
      </w:r>
      <w:r>
        <w:rPr>
          <w:spacing w:val="1"/>
          <w:sz w:val="21"/>
          <w:szCs w:val="21"/>
        </w:rPr>
        <w:t>以及双</w:t>
      </w:r>
      <w:r>
        <w:rPr>
          <w:sz w:val="21"/>
          <w:szCs w:val="21"/>
        </w:rPr>
        <w:t xml:space="preserve"> </w:t>
      </w:r>
      <w:r>
        <w:rPr>
          <w:spacing w:val="-2"/>
          <w:sz w:val="21"/>
          <w:szCs w:val="21"/>
        </w:rPr>
        <w:t>方约定的其他项目。具体保修的内容，双方约定如下：</w:t>
      </w:r>
    </w:p>
    <w:p w14:paraId="0E18AB99">
      <w:pPr>
        <w:spacing w:line="254" w:lineRule="auto"/>
        <w:rPr>
          <w:rFonts w:ascii="Arial"/>
          <w:sz w:val="21"/>
        </w:rPr>
      </w:pPr>
      <w:r>
        <w:drawing>
          <wp:anchor distT="0" distB="0" distL="0" distR="0" simplePos="0" relativeHeight="251742208" behindDoc="0" locked="0" layoutInCell="1" allowOverlap="1">
            <wp:simplePos x="0" y="0"/>
            <wp:positionH relativeFrom="column">
              <wp:posOffset>12700</wp:posOffset>
            </wp:positionH>
            <wp:positionV relativeFrom="paragraph">
              <wp:posOffset>137795</wp:posOffset>
            </wp:positionV>
            <wp:extent cx="5638800" cy="6350"/>
            <wp:effectExtent l="0" t="0" r="0" b="0"/>
            <wp:wrapNone/>
            <wp:docPr id="190" name="IM 190"/>
            <wp:cNvGraphicFramePr/>
            <a:graphic xmlns:a="http://schemas.openxmlformats.org/drawingml/2006/main">
              <a:graphicData uri="http://schemas.openxmlformats.org/drawingml/2006/picture">
                <pic:pic xmlns:pic="http://schemas.openxmlformats.org/drawingml/2006/picture">
                  <pic:nvPicPr>
                    <pic:cNvPr id="190" name="IM 190"/>
                    <pic:cNvPicPr/>
                  </pic:nvPicPr>
                  <pic:blipFill>
                    <a:blip r:embed="rId483"/>
                    <a:stretch>
                      <a:fillRect/>
                    </a:stretch>
                  </pic:blipFill>
                  <pic:spPr>
                    <a:xfrm>
                      <a:off x="0" y="0"/>
                      <a:ext cx="5638784" cy="6350"/>
                    </a:xfrm>
                    <a:prstGeom prst="rect">
                      <a:avLst/>
                    </a:prstGeom>
                  </pic:spPr>
                </pic:pic>
              </a:graphicData>
            </a:graphic>
          </wp:anchor>
        </w:drawing>
      </w:r>
    </w:p>
    <w:p w14:paraId="1A381B6A">
      <w:pPr>
        <w:spacing w:line="254" w:lineRule="auto"/>
        <w:rPr>
          <w:rFonts w:ascii="Arial"/>
          <w:sz w:val="21"/>
        </w:rPr>
      </w:pPr>
    </w:p>
    <w:p w14:paraId="278EB07D">
      <w:pPr>
        <w:spacing w:line="254" w:lineRule="auto"/>
        <w:rPr>
          <w:rFonts w:ascii="Arial"/>
          <w:sz w:val="21"/>
        </w:rPr>
      </w:pPr>
      <w:r>
        <w:drawing>
          <wp:anchor distT="0" distB="0" distL="0" distR="0" simplePos="0" relativeHeight="251741184" behindDoc="0" locked="0" layoutInCell="1" allowOverlap="1">
            <wp:simplePos x="0" y="0"/>
            <wp:positionH relativeFrom="column">
              <wp:posOffset>12700</wp:posOffset>
            </wp:positionH>
            <wp:positionV relativeFrom="paragraph">
              <wp:posOffset>67310</wp:posOffset>
            </wp:positionV>
            <wp:extent cx="5575300" cy="6350"/>
            <wp:effectExtent l="0" t="0" r="0" b="0"/>
            <wp:wrapNone/>
            <wp:docPr id="192" name="IM 192"/>
            <wp:cNvGraphicFramePr/>
            <a:graphic xmlns:a="http://schemas.openxmlformats.org/drawingml/2006/main">
              <a:graphicData uri="http://schemas.openxmlformats.org/drawingml/2006/picture">
                <pic:pic xmlns:pic="http://schemas.openxmlformats.org/drawingml/2006/picture">
                  <pic:nvPicPr>
                    <pic:cNvPr id="192" name="IM 192"/>
                    <pic:cNvPicPr/>
                  </pic:nvPicPr>
                  <pic:blipFill>
                    <a:blip r:embed="rId484"/>
                    <a:stretch>
                      <a:fillRect/>
                    </a:stretch>
                  </pic:blipFill>
                  <pic:spPr>
                    <a:xfrm>
                      <a:off x="0" y="0"/>
                      <a:ext cx="5575256" cy="6415"/>
                    </a:xfrm>
                    <a:prstGeom prst="rect">
                      <a:avLst/>
                    </a:prstGeom>
                  </pic:spPr>
                </pic:pic>
              </a:graphicData>
            </a:graphic>
          </wp:anchor>
        </w:drawing>
      </w:r>
    </w:p>
    <w:p w14:paraId="657C0D56">
      <w:pPr>
        <w:pStyle w:val="2"/>
        <w:spacing w:before="69" w:line="219" w:lineRule="auto"/>
        <w:ind w:left="439"/>
        <w:rPr>
          <w:sz w:val="21"/>
          <w:szCs w:val="21"/>
        </w:rPr>
      </w:pPr>
      <w:r>
        <w:rPr>
          <w:spacing w:val="-1"/>
          <w:sz w:val="21"/>
          <w:szCs w:val="21"/>
        </w:rPr>
        <w:t>二、质量保修期</w:t>
      </w:r>
    </w:p>
    <w:p w14:paraId="0A90A1B6">
      <w:pPr>
        <w:pStyle w:val="2"/>
        <w:spacing w:before="151" w:line="219" w:lineRule="auto"/>
        <w:ind w:left="439"/>
        <w:rPr>
          <w:sz w:val="21"/>
          <w:szCs w:val="21"/>
        </w:rPr>
      </w:pPr>
      <w:r>
        <w:rPr>
          <w:spacing w:val="-1"/>
          <w:sz w:val="21"/>
          <w:szCs w:val="21"/>
        </w:rPr>
        <w:t>根据《建设工程质量管理条例》及有关规定，工程的质量保修期如下：</w:t>
      </w:r>
    </w:p>
    <w:p w14:paraId="72D88308">
      <w:pPr>
        <w:pStyle w:val="2"/>
        <w:spacing w:before="171" w:line="219" w:lineRule="auto"/>
        <w:ind w:left="439"/>
        <w:rPr>
          <w:sz w:val="21"/>
          <w:szCs w:val="21"/>
        </w:rPr>
      </w:pPr>
      <w:r>
        <w:rPr>
          <w:spacing w:val="-1"/>
          <w:sz w:val="21"/>
          <w:szCs w:val="21"/>
        </w:rPr>
        <w:t>1. 地基基础工程和主体结构工程为设计文件规定的工程合理使用年限；</w:t>
      </w:r>
    </w:p>
    <w:p w14:paraId="6821280F">
      <w:pPr>
        <w:pStyle w:val="2"/>
        <w:spacing w:before="151" w:line="219" w:lineRule="auto"/>
        <w:ind w:left="439"/>
        <w:rPr>
          <w:sz w:val="21"/>
          <w:szCs w:val="21"/>
        </w:rPr>
      </w:pPr>
      <w:r>
        <w:rPr>
          <w:spacing w:val="1"/>
          <w:sz w:val="21"/>
          <w:szCs w:val="21"/>
        </w:rPr>
        <w:t>2. 屋面防水工程、有防水要求的卫生间、房间和外墙面的防</w:t>
      </w:r>
      <w:r>
        <w:rPr>
          <w:sz w:val="21"/>
          <w:szCs w:val="21"/>
        </w:rPr>
        <w:t>渗为</w:t>
      </w:r>
      <w:r>
        <w:rPr>
          <w:spacing w:val="-95"/>
          <w:sz w:val="21"/>
          <w:szCs w:val="21"/>
        </w:rPr>
        <w:t xml:space="preserve"> </w:t>
      </w:r>
      <w:r>
        <w:rPr>
          <w:sz w:val="21"/>
          <w:szCs w:val="21"/>
          <w:u w:val="single" w:color="auto"/>
        </w:rPr>
        <w:t xml:space="preserve">        </w:t>
      </w:r>
      <w:r>
        <w:rPr>
          <w:sz w:val="21"/>
          <w:szCs w:val="21"/>
        </w:rPr>
        <w:t>年；</w:t>
      </w:r>
    </w:p>
    <w:p w14:paraId="3D2CCAA4">
      <w:pPr>
        <w:pStyle w:val="2"/>
        <w:spacing w:before="171" w:line="219" w:lineRule="auto"/>
        <w:ind w:left="439"/>
        <w:rPr>
          <w:sz w:val="21"/>
          <w:szCs w:val="21"/>
        </w:rPr>
      </w:pPr>
      <w:r>
        <w:rPr>
          <w:spacing w:val="-3"/>
          <w:sz w:val="21"/>
          <w:szCs w:val="21"/>
        </w:rPr>
        <w:t>3. 装修工程为</w:t>
      </w:r>
      <w:r>
        <w:rPr>
          <w:spacing w:val="-84"/>
          <w:sz w:val="21"/>
          <w:szCs w:val="21"/>
        </w:rPr>
        <w:t xml:space="preserve"> </w:t>
      </w:r>
      <w:r>
        <w:rPr>
          <w:sz w:val="21"/>
          <w:szCs w:val="21"/>
          <w:u w:val="single" w:color="auto"/>
        </w:rPr>
        <w:t xml:space="preserve">         </w:t>
      </w:r>
      <w:r>
        <w:rPr>
          <w:spacing w:val="-100"/>
          <w:sz w:val="21"/>
          <w:szCs w:val="21"/>
        </w:rPr>
        <w:t xml:space="preserve"> </w:t>
      </w:r>
      <w:r>
        <w:rPr>
          <w:spacing w:val="-3"/>
          <w:sz w:val="21"/>
          <w:szCs w:val="21"/>
        </w:rPr>
        <w:t>年；</w:t>
      </w:r>
    </w:p>
    <w:p w14:paraId="5E082CB3">
      <w:pPr>
        <w:pStyle w:val="2"/>
        <w:spacing w:before="151" w:line="219" w:lineRule="auto"/>
        <w:ind w:left="439"/>
        <w:rPr>
          <w:sz w:val="21"/>
          <w:szCs w:val="21"/>
        </w:rPr>
      </w:pPr>
      <w:r>
        <w:rPr>
          <w:sz w:val="21"/>
          <w:szCs w:val="21"/>
        </w:rPr>
        <w:t>4. 电气管线、给排水管道、设备安装工程为</w:t>
      </w:r>
      <w:r>
        <w:rPr>
          <w:sz w:val="21"/>
          <w:szCs w:val="21"/>
          <w:u w:val="single" w:color="auto"/>
        </w:rPr>
        <w:t xml:space="preserve">  </w:t>
      </w:r>
      <w:r>
        <w:rPr>
          <w:spacing w:val="-1"/>
          <w:sz w:val="21"/>
          <w:szCs w:val="21"/>
          <w:u w:val="single" w:color="auto"/>
        </w:rPr>
        <w:t xml:space="preserve">       </w:t>
      </w:r>
      <w:r>
        <w:rPr>
          <w:spacing w:val="-1"/>
          <w:sz w:val="21"/>
          <w:szCs w:val="21"/>
        </w:rPr>
        <w:t>年；</w:t>
      </w:r>
    </w:p>
    <w:p w14:paraId="183BDBD3">
      <w:pPr>
        <w:pStyle w:val="2"/>
        <w:spacing w:before="159" w:line="219" w:lineRule="auto"/>
        <w:ind w:left="439"/>
        <w:rPr>
          <w:sz w:val="21"/>
          <w:szCs w:val="21"/>
        </w:rPr>
      </w:pPr>
      <w:r>
        <w:rPr>
          <w:spacing w:val="-4"/>
          <w:sz w:val="21"/>
          <w:szCs w:val="21"/>
        </w:rPr>
        <w:t>5. 供热与供冷系统为</w:t>
      </w:r>
      <w:r>
        <w:rPr>
          <w:spacing w:val="-82"/>
          <w:sz w:val="21"/>
          <w:szCs w:val="21"/>
        </w:rPr>
        <w:t xml:space="preserve"> </w:t>
      </w:r>
      <w:r>
        <w:rPr>
          <w:sz w:val="21"/>
          <w:szCs w:val="21"/>
          <w:u w:val="single" w:color="auto"/>
        </w:rPr>
        <w:t xml:space="preserve">         </w:t>
      </w:r>
      <w:r>
        <w:rPr>
          <w:spacing w:val="-70"/>
          <w:sz w:val="21"/>
          <w:szCs w:val="21"/>
        </w:rPr>
        <w:t xml:space="preserve"> </w:t>
      </w:r>
      <w:r>
        <w:rPr>
          <w:spacing w:val="-4"/>
          <w:sz w:val="21"/>
          <w:szCs w:val="21"/>
        </w:rPr>
        <w:t>个采暖期、供冷期；</w:t>
      </w:r>
    </w:p>
    <w:p w14:paraId="7C2D6C6F">
      <w:pPr>
        <w:pStyle w:val="2"/>
        <w:spacing w:before="163" w:line="219" w:lineRule="auto"/>
        <w:ind w:left="439"/>
        <w:rPr>
          <w:sz w:val="21"/>
          <w:szCs w:val="21"/>
        </w:rPr>
      </w:pPr>
      <w:r>
        <w:rPr>
          <w:spacing w:val="4"/>
          <w:sz w:val="21"/>
          <w:szCs w:val="21"/>
        </w:rPr>
        <w:t>6.住宅小区内的给排水设施、道路等配套工程为</w:t>
      </w:r>
      <w:r>
        <w:rPr>
          <w:sz w:val="21"/>
          <w:szCs w:val="21"/>
          <w:u w:val="single" w:color="auto"/>
        </w:rPr>
        <w:t xml:space="preserve">         </w:t>
      </w:r>
      <w:r>
        <w:rPr>
          <w:spacing w:val="4"/>
          <w:sz w:val="21"/>
          <w:szCs w:val="21"/>
        </w:rPr>
        <w:t>年；</w:t>
      </w:r>
    </w:p>
    <w:p w14:paraId="3A73680E">
      <w:pPr>
        <w:pStyle w:val="2"/>
        <w:spacing w:before="140" w:line="219" w:lineRule="auto"/>
        <w:ind w:left="439"/>
        <w:rPr>
          <w:sz w:val="21"/>
          <w:szCs w:val="21"/>
        </w:rPr>
      </w:pPr>
      <w:r>
        <w:rPr>
          <w:spacing w:val="-3"/>
          <w:sz w:val="21"/>
          <w:szCs w:val="21"/>
        </w:rPr>
        <w:t>7. 其他项目保修期限约定如下：</w:t>
      </w:r>
    </w:p>
    <w:p w14:paraId="1DEA6E7F">
      <w:pPr>
        <w:spacing w:line="305" w:lineRule="auto"/>
        <w:rPr>
          <w:rFonts w:ascii="Arial"/>
          <w:sz w:val="21"/>
        </w:rPr>
      </w:pPr>
    </w:p>
    <w:p w14:paraId="0D8E98E1">
      <w:pPr>
        <w:spacing w:line="305" w:lineRule="auto"/>
        <w:rPr>
          <w:rFonts w:ascii="Arial"/>
          <w:sz w:val="21"/>
        </w:rPr>
      </w:pPr>
      <w:r>
        <w:drawing>
          <wp:anchor distT="0" distB="0" distL="0" distR="0" simplePos="0" relativeHeight="251739136" behindDoc="0" locked="0" layoutInCell="1" allowOverlap="1">
            <wp:simplePos x="0" y="0"/>
            <wp:positionH relativeFrom="column">
              <wp:posOffset>0</wp:posOffset>
            </wp:positionH>
            <wp:positionV relativeFrom="paragraph">
              <wp:posOffset>47625</wp:posOffset>
            </wp:positionV>
            <wp:extent cx="5645150" cy="12700"/>
            <wp:effectExtent l="0" t="0" r="0" b="0"/>
            <wp:wrapNone/>
            <wp:docPr id="194" name="IM 194"/>
            <wp:cNvGraphicFramePr/>
            <a:graphic xmlns:a="http://schemas.openxmlformats.org/drawingml/2006/main">
              <a:graphicData uri="http://schemas.openxmlformats.org/drawingml/2006/picture">
                <pic:pic xmlns:pic="http://schemas.openxmlformats.org/drawingml/2006/picture">
                  <pic:nvPicPr>
                    <pic:cNvPr id="194" name="IM 194"/>
                    <pic:cNvPicPr/>
                  </pic:nvPicPr>
                  <pic:blipFill>
                    <a:blip r:embed="rId485"/>
                    <a:stretch>
                      <a:fillRect/>
                    </a:stretch>
                  </pic:blipFill>
                  <pic:spPr>
                    <a:xfrm>
                      <a:off x="0" y="0"/>
                      <a:ext cx="5645138" cy="12725"/>
                    </a:xfrm>
                    <a:prstGeom prst="rect">
                      <a:avLst/>
                    </a:prstGeom>
                  </pic:spPr>
                </pic:pic>
              </a:graphicData>
            </a:graphic>
          </wp:anchor>
        </w:drawing>
      </w:r>
    </w:p>
    <w:p w14:paraId="34A0CC62">
      <w:pPr>
        <w:spacing w:line="306" w:lineRule="auto"/>
        <w:rPr>
          <w:rFonts w:ascii="Arial"/>
          <w:sz w:val="21"/>
        </w:rPr>
      </w:pPr>
      <w:r>
        <w:drawing>
          <wp:anchor distT="0" distB="0" distL="0" distR="0" simplePos="0" relativeHeight="251740160" behindDoc="0" locked="0" layoutInCell="1" allowOverlap="1">
            <wp:simplePos x="0" y="0"/>
            <wp:positionH relativeFrom="column">
              <wp:posOffset>0</wp:posOffset>
            </wp:positionH>
            <wp:positionV relativeFrom="paragraph">
              <wp:posOffset>106680</wp:posOffset>
            </wp:positionV>
            <wp:extent cx="5581650" cy="6350"/>
            <wp:effectExtent l="0" t="0" r="0" b="0"/>
            <wp:wrapNone/>
            <wp:docPr id="196" name="IM 196"/>
            <wp:cNvGraphicFramePr/>
            <a:graphic xmlns:a="http://schemas.openxmlformats.org/drawingml/2006/main">
              <a:graphicData uri="http://schemas.openxmlformats.org/drawingml/2006/picture">
                <pic:pic xmlns:pic="http://schemas.openxmlformats.org/drawingml/2006/picture">
                  <pic:nvPicPr>
                    <pic:cNvPr id="196" name="IM 196"/>
                    <pic:cNvPicPr/>
                  </pic:nvPicPr>
                  <pic:blipFill>
                    <a:blip r:embed="rId486"/>
                    <a:stretch>
                      <a:fillRect/>
                    </a:stretch>
                  </pic:blipFill>
                  <pic:spPr>
                    <a:xfrm>
                      <a:off x="0" y="0"/>
                      <a:ext cx="5581610" cy="6416"/>
                    </a:xfrm>
                    <a:prstGeom prst="rect">
                      <a:avLst/>
                    </a:prstGeom>
                  </pic:spPr>
                </pic:pic>
              </a:graphicData>
            </a:graphic>
          </wp:anchor>
        </w:drawing>
      </w:r>
    </w:p>
    <w:p w14:paraId="2B4279BE">
      <w:pPr>
        <w:pStyle w:val="2"/>
        <w:spacing w:before="70" w:line="219" w:lineRule="auto"/>
        <w:ind w:left="439"/>
        <w:rPr>
          <w:sz w:val="21"/>
          <w:szCs w:val="21"/>
        </w:rPr>
      </w:pPr>
      <w:r>
        <w:rPr>
          <w:spacing w:val="-2"/>
          <w:sz w:val="21"/>
          <w:szCs w:val="21"/>
        </w:rPr>
        <w:t>质量保修期自工程竣工验收合格之日起计算。</w:t>
      </w:r>
    </w:p>
    <w:p w14:paraId="186FA770">
      <w:pPr>
        <w:pStyle w:val="2"/>
        <w:spacing w:before="150" w:line="219" w:lineRule="auto"/>
        <w:ind w:left="439"/>
        <w:rPr>
          <w:sz w:val="21"/>
          <w:szCs w:val="21"/>
        </w:rPr>
      </w:pPr>
      <w:r>
        <w:rPr>
          <w:spacing w:val="1"/>
          <w:sz w:val="21"/>
          <w:szCs w:val="21"/>
        </w:rPr>
        <w:t>三、缺陷责任期</w:t>
      </w:r>
    </w:p>
    <w:p w14:paraId="74287CCB">
      <w:pPr>
        <w:pStyle w:val="2"/>
        <w:spacing w:before="171" w:line="354" w:lineRule="auto"/>
        <w:ind w:left="30" w:firstLine="409"/>
        <w:rPr>
          <w:sz w:val="21"/>
          <w:szCs w:val="21"/>
        </w:rPr>
      </w:pPr>
      <w:r>
        <w:rPr>
          <w:spacing w:val="-1"/>
          <w:sz w:val="21"/>
          <w:szCs w:val="21"/>
        </w:rPr>
        <w:t>工程缺陷责任期为</w:t>
      </w:r>
      <w:r>
        <w:rPr>
          <w:spacing w:val="-69"/>
          <w:sz w:val="21"/>
          <w:szCs w:val="21"/>
        </w:rPr>
        <w:t xml:space="preserve"> </w:t>
      </w:r>
      <w:r>
        <w:rPr>
          <w:sz w:val="21"/>
          <w:szCs w:val="21"/>
          <w:u w:val="single" w:color="auto"/>
        </w:rPr>
        <w:t xml:space="preserve">         </w:t>
      </w:r>
      <w:r>
        <w:rPr>
          <w:spacing w:val="-90"/>
          <w:sz w:val="21"/>
          <w:szCs w:val="21"/>
        </w:rPr>
        <w:t xml:space="preserve"> </w:t>
      </w:r>
      <w:r>
        <w:rPr>
          <w:spacing w:val="-1"/>
          <w:sz w:val="21"/>
          <w:szCs w:val="21"/>
        </w:rPr>
        <w:t>个月，缺陷责任期自工程通过竣工验收之日起计算。单位工程先</w:t>
      </w:r>
      <w:r>
        <w:rPr>
          <w:sz w:val="21"/>
          <w:szCs w:val="21"/>
        </w:rPr>
        <w:t xml:space="preserve"> 于全部工程进行验收，单位工程缺陷责任期自单位工程验收合</w:t>
      </w:r>
      <w:r>
        <w:rPr>
          <w:spacing w:val="-1"/>
          <w:sz w:val="21"/>
          <w:szCs w:val="21"/>
        </w:rPr>
        <w:t>格之日起算。</w:t>
      </w:r>
    </w:p>
    <w:p w14:paraId="7D882E2D">
      <w:pPr>
        <w:pStyle w:val="2"/>
        <w:spacing w:before="15" w:line="219" w:lineRule="auto"/>
        <w:ind w:left="439"/>
        <w:rPr>
          <w:sz w:val="21"/>
          <w:szCs w:val="21"/>
        </w:rPr>
      </w:pPr>
      <w:r>
        <w:rPr>
          <w:spacing w:val="-2"/>
          <w:sz w:val="21"/>
          <w:szCs w:val="21"/>
        </w:rPr>
        <w:t>缺陷责任期终止后，发包人应退还剩余的质量保证金。</w:t>
      </w:r>
    </w:p>
    <w:p w14:paraId="0E4D830E">
      <w:pPr>
        <w:pStyle w:val="2"/>
        <w:spacing w:before="141" w:line="219" w:lineRule="auto"/>
        <w:ind w:left="439"/>
        <w:rPr>
          <w:sz w:val="21"/>
          <w:szCs w:val="21"/>
        </w:rPr>
      </w:pPr>
      <w:r>
        <w:rPr>
          <w:spacing w:val="-7"/>
          <w:sz w:val="21"/>
          <w:szCs w:val="21"/>
        </w:rPr>
        <w:t>四</w:t>
      </w:r>
      <w:r>
        <w:rPr>
          <w:spacing w:val="-51"/>
          <w:sz w:val="21"/>
          <w:szCs w:val="21"/>
        </w:rPr>
        <w:t xml:space="preserve"> </w:t>
      </w:r>
      <w:r>
        <w:rPr>
          <w:spacing w:val="-7"/>
          <w:sz w:val="21"/>
          <w:szCs w:val="21"/>
        </w:rPr>
        <w:t>、质量保修责任</w:t>
      </w:r>
    </w:p>
    <w:p w14:paraId="0FFF0611">
      <w:pPr>
        <w:pStyle w:val="2"/>
        <w:spacing w:before="181" w:line="219" w:lineRule="auto"/>
        <w:ind w:right="11"/>
        <w:jc w:val="right"/>
        <w:rPr>
          <w:sz w:val="21"/>
          <w:szCs w:val="21"/>
        </w:rPr>
      </w:pPr>
      <w:r>
        <w:rPr>
          <w:spacing w:val="4"/>
          <w:sz w:val="21"/>
          <w:szCs w:val="21"/>
        </w:rPr>
        <w:t>1. 属于保修范围、内容的项目，承包人应当在接到保修通知之日起7天内派人保修。承包</w:t>
      </w:r>
    </w:p>
    <w:p w14:paraId="04604DA1">
      <w:pPr>
        <w:spacing w:line="219" w:lineRule="auto"/>
        <w:rPr>
          <w:sz w:val="21"/>
          <w:szCs w:val="21"/>
        </w:rPr>
        <w:sectPr>
          <w:headerReference r:id="rId272" w:type="default"/>
          <w:footerReference r:id="rId273" w:type="default"/>
          <w:pgSz w:w="11910" w:h="16840"/>
          <w:pgMar w:top="400" w:right="1518" w:bottom="1024" w:left="1430" w:header="0" w:footer="889" w:gutter="0"/>
          <w:cols w:space="720" w:num="1"/>
        </w:sectPr>
      </w:pPr>
    </w:p>
    <w:p w14:paraId="3BE4BF73">
      <w:pPr>
        <w:spacing w:line="253" w:lineRule="auto"/>
        <w:rPr>
          <w:rFonts w:ascii="Arial"/>
          <w:sz w:val="21"/>
        </w:rPr>
      </w:pPr>
    </w:p>
    <w:p w14:paraId="50DD56E0">
      <w:pPr>
        <w:spacing w:line="253" w:lineRule="auto"/>
        <w:rPr>
          <w:rFonts w:ascii="Arial"/>
          <w:sz w:val="21"/>
        </w:rPr>
      </w:pPr>
    </w:p>
    <w:p w14:paraId="0E26DC4D">
      <w:pPr>
        <w:spacing w:line="253" w:lineRule="auto"/>
        <w:rPr>
          <w:rFonts w:ascii="Arial"/>
          <w:sz w:val="21"/>
        </w:rPr>
      </w:pPr>
    </w:p>
    <w:p w14:paraId="1593C13C">
      <w:pPr>
        <w:spacing w:line="253" w:lineRule="auto"/>
        <w:rPr>
          <w:rFonts w:ascii="Arial"/>
          <w:sz w:val="21"/>
        </w:rPr>
      </w:pPr>
    </w:p>
    <w:p w14:paraId="4072CDE4">
      <w:pPr>
        <w:spacing w:line="253" w:lineRule="auto"/>
        <w:rPr>
          <w:rFonts w:ascii="Arial"/>
          <w:sz w:val="21"/>
        </w:rPr>
      </w:pPr>
    </w:p>
    <w:p w14:paraId="2658BAB1">
      <w:pPr>
        <w:pStyle w:val="2"/>
        <w:spacing w:before="65" w:line="219" w:lineRule="auto"/>
        <w:ind w:left="139"/>
        <w:rPr>
          <w:sz w:val="20"/>
          <w:szCs w:val="20"/>
        </w:rPr>
      </w:pPr>
      <w:r>
        <w:rPr>
          <w:spacing w:val="9"/>
          <w:sz w:val="20"/>
          <w:szCs w:val="20"/>
        </w:rPr>
        <w:t>人不在约定期限内派人保修的，发包人可以委托</w:t>
      </w:r>
      <w:r>
        <w:rPr>
          <w:spacing w:val="8"/>
          <w:sz w:val="20"/>
          <w:szCs w:val="20"/>
        </w:rPr>
        <w:t>他人修理。</w:t>
      </w:r>
    </w:p>
    <w:p w14:paraId="3ED6615A">
      <w:pPr>
        <w:pStyle w:val="2"/>
        <w:spacing w:before="182" w:line="219" w:lineRule="auto"/>
        <w:ind w:left="560"/>
        <w:rPr>
          <w:sz w:val="20"/>
          <w:szCs w:val="20"/>
        </w:rPr>
      </w:pPr>
      <w:r>
        <w:rPr>
          <w:spacing w:val="10"/>
          <w:sz w:val="20"/>
          <w:szCs w:val="20"/>
        </w:rPr>
        <w:t>2. 发生紧急事故需抢修的，承包人在接到事故通知后，应当</w:t>
      </w:r>
      <w:r>
        <w:rPr>
          <w:spacing w:val="9"/>
          <w:sz w:val="20"/>
          <w:szCs w:val="20"/>
        </w:rPr>
        <w:t>立即到达事故现场抢修。</w:t>
      </w:r>
    </w:p>
    <w:p w14:paraId="405491B4">
      <w:pPr>
        <w:pStyle w:val="2"/>
        <w:spacing w:before="143" w:line="325" w:lineRule="auto"/>
        <w:ind w:left="139" w:firstLine="420"/>
        <w:rPr>
          <w:sz w:val="20"/>
          <w:szCs w:val="20"/>
        </w:rPr>
      </w:pPr>
      <w:r>
        <w:rPr>
          <w:spacing w:val="12"/>
          <w:sz w:val="20"/>
          <w:szCs w:val="20"/>
        </w:rPr>
        <w:t>3. 对于涉及结构安全的质量问题，应当按照《建设工程质量管理条例》的规定，立即向当</w:t>
      </w:r>
      <w:r>
        <w:rPr>
          <w:spacing w:val="5"/>
          <w:sz w:val="20"/>
          <w:szCs w:val="20"/>
        </w:rPr>
        <w:t xml:space="preserve"> </w:t>
      </w:r>
      <w:r>
        <w:rPr>
          <w:spacing w:val="10"/>
          <w:sz w:val="20"/>
          <w:szCs w:val="20"/>
        </w:rPr>
        <w:t>地建设行政主管部门和有关部门报告，采取安全防范措施，并由原设计人或</w:t>
      </w:r>
      <w:r>
        <w:rPr>
          <w:spacing w:val="9"/>
          <w:sz w:val="20"/>
          <w:szCs w:val="20"/>
        </w:rPr>
        <w:t>者具有相应资质等级</w:t>
      </w:r>
      <w:r>
        <w:rPr>
          <w:sz w:val="20"/>
          <w:szCs w:val="20"/>
        </w:rPr>
        <w:t xml:space="preserve"> </w:t>
      </w:r>
      <w:r>
        <w:rPr>
          <w:spacing w:val="8"/>
          <w:sz w:val="20"/>
          <w:szCs w:val="20"/>
        </w:rPr>
        <w:t>的设计人提出保修方案，承包人实施保修。</w:t>
      </w:r>
    </w:p>
    <w:p w14:paraId="78951057">
      <w:pPr>
        <w:pStyle w:val="2"/>
        <w:spacing w:before="192" w:line="219" w:lineRule="auto"/>
        <w:ind w:left="560"/>
        <w:rPr>
          <w:sz w:val="20"/>
          <w:szCs w:val="20"/>
        </w:rPr>
      </w:pPr>
      <w:r>
        <w:rPr>
          <w:spacing w:val="8"/>
          <w:sz w:val="20"/>
          <w:szCs w:val="20"/>
        </w:rPr>
        <w:t>4. 质量保修完成后，由发包人组织验收。</w:t>
      </w:r>
    </w:p>
    <w:p w14:paraId="28390C7D">
      <w:pPr>
        <w:pStyle w:val="2"/>
        <w:spacing w:before="163" w:line="219" w:lineRule="auto"/>
        <w:ind w:left="439"/>
        <w:rPr>
          <w:sz w:val="20"/>
          <w:szCs w:val="20"/>
        </w:rPr>
      </w:pPr>
      <w:r>
        <w:rPr>
          <w:spacing w:val="2"/>
          <w:sz w:val="20"/>
          <w:szCs w:val="20"/>
        </w:rPr>
        <w:t>五</w:t>
      </w:r>
      <w:r>
        <w:rPr>
          <w:spacing w:val="-49"/>
          <w:sz w:val="20"/>
          <w:szCs w:val="20"/>
        </w:rPr>
        <w:t xml:space="preserve"> </w:t>
      </w:r>
      <w:r>
        <w:rPr>
          <w:spacing w:val="2"/>
          <w:sz w:val="20"/>
          <w:szCs w:val="20"/>
        </w:rPr>
        <w:t>、保修费用</w:t>
      </w:r>
    </w:p>
    <w:p w14:paraId="7339D747">
      <w:pPr>
        <w:pStyle w:val="2"/>
        <w:spacing w:before="173" w:line="219" w:lineRule="auto"/>
        <w:ind w:left="439"/>
        <w:rPr>
          <w:sz w:val="20"/>
          <w:szCs w:val="20"/>
        </w:rPr>
      </w:pPr>
      <w:r>
        <w:rPr>
          <w:spacing w:val="8"/>
          <w:sz w:val="20"/>
          <w:szCs w:val="20"/>
        </w:rPr>
        <w:t>保修费用由造成质量缺陷的责任方承担。</w:t>
      </w:r>
    </w:p>
    <w:p w14:paraId="273316E0">
      <w:pPr>
        <w:pStyle w:val="2"/>
        <w:spacing w:before="173" w:line="219" w:lineRule="auto"/>
        <w:ind w:left="439"/>
        <w:rPr>
          <w:sz w:val="20"/>
          <w:szCs w:val="20"/>
        </w:rPr>
      </w:pPr>
      <w:r>
        <w:rPr>
          <w:spacing w:val="5"/>
          <w:sz w:val="20"/>
          <w:szCs w:val="20"/>
        </w:rPr>
        <w:t>六</w:t>
      </w:r>
      <w:r>
        <w:rPr>
          <w:spacing w:val="-51"/>
          <w:sz w:val="20"/>
          <w:szCs w:val="20"/>
        </w:rPr>
        <w:t xml:space="preserve"> </w:t>
      </w:r>
      <w:r>
        <w:rPr>
          <w:spacing w:val="5"/>
          <w:sz w:val="20"/>
          <w:szCs w:val="20"/>
        </w:rPr>
        <w:t>、双方约定的其他工程质量保修事项：</w:t>
      </w:r>
    </w:p>
    <w:p w14:paraId="20CE16A2">
      <w:pPr>
        <w:spacing w:line="352" w:lineRule="auto"/>
        <w:rPr>
          <w:rFonts w:ascii="Arial"/>
          <w:sz w:val="21"/>
        </w:rPr>
      </w:pPr>
    </w:p>
    <w:p w14:paraId="3113BF12">
      <w:pPr>
        <w:spacing w:line="420" w:lineRule="exact"/>
      </w:pPr>
      <w:r>
        <w:rPr>
          <w:position w:val="-8"/>
        </w:rPr>
        <w:drawing>
          <wp:inline distT="0" distB="0" distL="0" distR="0">
            <wp:extent cx="5631815" cy="266065"/>
            <wp:effectExtent l="0" t="0" r="0" b="0"/>
            <wp:docPr id="198" name="IM 198"/>
            <wp:cNvGraphicFramePr/>
            <a:graphic xmlns:a="http://schemas.openxmlformats.org/drawingml/2006/main">
              <a:graphicData uri="http://schemas.openxmlformats.org/drawingml/2006/picture">
                <pic:pic xmlns:pic="http://schemas.openxmlformats.org/drawingml/2006/picture">
                  <pic:nvPicPr>
                    <pic:cNvPr id="198" name="IM 198"/>
                    <pic:cNvPicPr/>
                  </pic:nvPicPr>
                  <pic:blipFill>
                    <a:blip r:embed="rId487"/>
                    <a:stretch>
                      <a:fillRect/>
                    </a:stretch>
                  </pic:blipFill>
                  <pic:spPr>
                    <a:xfrm>
                      <a:off x="0" y="0"/>
                      <a:ext cx="5632432" cy="266693"/>
                    </a:xfrm>
                    <a:prstGeom prst="rect">
                      <a:avLst/>
                    </a:prstGeom>
                  </pic:spPr>
                </pic:pic>
              </a:graphicData>
            </a:graphic>
          </wp:inline>
        </w:drawing>
      </w:r>
    </w:p>
    <w:p w14:paraId="4A78C73A">
      <w:pPr>
        <w:pStyle w:val="2"/>
        <w:spacing w:before="168" w:line="399" w:lineRule="auto"/>
        <w:ind w:left="40" w:right="10" w:firstLine="399"/>
        <w:rPr>
          <w:sz w:val="20"/>
          <w:szCs w:val="20"/>
        </w:rPr>
      </w:pPr>
      <w:r>
        <w:rPr>
          <w:spacing w:val="13"/>
          <w:sz w:val="20"/>
          <w:szCs w:val="20"/>
        </w:rPr>
        <w:t>工程质量保修书由发包人、承包人在工程竣工验收前共同签署</w:t>
      </w:r>
      <w:r>
        <w:rPr>
          <w:spacing w:val="12"/>
          <w:sz w:val="20"/>
          <w:szCs w:val="20"/>
        </w:rPr>
        <w:t>，作为施工合同附件，其有效</w:t>
      </w:r>
      <w:r>
        <w:rPr>
          <w:sz w:val="20"/>
          <w:szCs w:val="20"/>
        </w:rPr>
        <w:t xml:space="preserve"> </w:t>
      </w:r>
      <w:r>
        <w:rPr>
          <w:spacing w:val="4"/>
          <w:sz w:val="20"/>
          <w:szCs w:val="20"/>
        </w:rPr>
        <w:t>期限至保修期满。</w:t>
      </w:r>
    </w:p>
    <w:p w14:paraId="6FC87B14">
      <w:pPr>
        <w:spacing w:line="317" w:lineRule="auto"/>
        <w:rPr>
          <w:rFonts w:ascii="Arial"/>
          <w:sz w:val="21"/>
        </w:rPr>
      </w:pPr>
    </w:p>
    <w:p w14:paraId="78CF481E">
      <w:pPr>
        <w:pStyle w:val="2"/>
        <w:spacing w:before="65" w:line="219" w:lineRule="auto"/>
        <w:ind w:left="649"/>
        <w:rPr>
          <w:sz w:val="20"/>
          <w:szCs w:val="20"/>
        </w:rPr>
      </w:pPr>
      <w:r>
        <w:rPr>
          <w:spacing w:val="6"/>
          <w:sz w:val="20"/>
          <w:szCs w:val="20"/>
        </w:rPr>
        <w:t>发包人(公章):</w:t>
      </w:r>
      <w:r>
        <w:rPr>
          <w:spacing w:val="-17"/>
          <w:sz w:val="20"/>
          <w:szCs w:val="20"/>
        </w:rPr>
        <w:t xml:space="preserve"> </w:t>
      </w:r>
      <w:r>
        <w:rPr>
          <w:spacing w:val="2"/>
          <w:sz w:val="20"/>
          <w:szCs w:val="20"/>
          <w:u w:val="single" w:color="auto"/>
        </w:rPr>
        <w:t xml:space="preserve">               </w:t>
      </w:r>
      <w:r>
        <w:rPr>
          <w:spacing w:val="4"/>
          <w:sz w:val="20"/>
          <w:szCs w:val="20"/>
        </w:rPr>
        <w:t xml:space="preserve">           </w:t>
      </w:r>
      <w:r>
        <w:rPr>
          <w:spacing w:val="6"/>
          <w:sz w:val="20"/>
          <w:szCs w:val="20"/>
        </w:rPr>
        <w:t>承包人(公章):</w:t>
      </w:r>
      <w:r>
        <w:rPr>
          <w:spacing w:val="-24"/>
          <w:sz w:val="20"/>
          <w:szCs w:val="20"/>
        </w:rPr>
        <w:t xml:space="preserve"> </w:t>
      </w:r>
      <w:r>
        <w:rPr>
          <w:sz w:val="20"/>
          <w:szCs w:val="20"/>
          <w:u w:val="single" w:color="auto"/>
        </w:rPr>
        <w:t xml:space="preserve">                 </w:t>
      </w:r>
    </w:p>
    <w:p w14:paraId="4CCCE4CF">
      <w:pPr>
        <w:pStyle w:val="2"/>
        <w:spacing w:before="174" w:line="229" w:lineRule="auto"/>
        <w:ind w:left="649"/>
        <w:rPr>
          <w:sz w:val="20"/>
          <w:szCs w:val="20"/>
        </w:rPr>
      </w:pPr>
      <w:r>
        <w:rPr>
          <w:sz w:val="20"/>
          <w:szCs w:val="20"/>
        </w:rPr>
        <w:t>地</w:t>
      </w:r>
      <w:r>
        <w:rPr>
          <w:spacing w:val="10"/>
          <w:sz w:val="20"/>
          <w:szCs w:val="20"/>
        </w:rPr>
        <w:t xml:space="preserve">  </w:t>
      </w:r>
      <w:r>
        <w:rPr>
          <w:sz w:val="20"/>
          <w:szCs w:val="20"/>
        </w:rPr>
        <w:t>址：</w:t>
      </w:r>
      <w:r>
        <w:rPr>
          <w:spacing w:val="2"/>
          <w:sz w:val="20"/>
          <w:szCs w:val="20"/>
          <w:u w:val="single" w:color="auto"/>
        </w:rPr>
        <w:t xml:space="preserve">                    </w:t>
      </w:r>
      <w:r>
        <w:rPr>
          <w:spacing w:val="3"/>
          <w:sz w:val="20"/>
          <w:szCs w:val="20"/>
        </w:rPr>
        <w:t xml:space="preserve">            </w:t>
      </w:r>
      <w:r>
        <w:rPr>
          <w:sz w:val="20"/>
          <w:szCs w:val="20"/>
        </w:rPr>
        <w:t>地</w:t>
      </w:r>
      <w:r>
        <w:rPr>
          <w:spacing w:val="16"/>
          <w:sz w:val="20"/>
          <w:szCs w:val="20"/>
        </w:rPr>
        <w:t xml:space="preserve">  </w:t>
      </w:r>
      <w:r>
        <w:rPr>
          <w:sz w:val="20"/>
          <w:szCs w:val="20"/>
        </w:rPr>
        <w:t>址：</w:t>
      </w:r>
      <w:r>
        <w:rPr>
          <w:sz w:val="20"/>
          <w:szCs w:val="20"/>
          <w:u w:val="single" w:color="auto"/>
        </w:rPr>
        <w:t xml:space="preserve">                       </w:t>
      </w:r>
    </w:p>
    <w:p w14:paraId="5859EF2C">
      <w:pPr>
        <w:pStyle w:val="2"/>
        <w:spacing w:before="152" w:line="220" w:lineRule="auto"/>
        <w:ind w:left="649"/>
        <w:rPr>
          <w:sz w:val="21"/>
          <w:szCs w:val="21"/>
        </w:rPr>
      </w:pPr>
      <w:r>
        <w:rPr>
          <w:spacing w:val="-5"/>
          <w:sz w:val="22"/>
          <w:szCs w:val="22"/>
        </w:rPr>
        <w:t>法定代表人(签字):</w:t>
      </w:r>
      <w:r>
        <w:rPr>
          <w:spacing w:val="-16"/>
          <w:sz w:val="22"/>
          <w:szCs w:val="22"/>
        </w:rPr>
        <w:t xml:space="preserve"> </w:t>
      </w:r>
      <w:r>
        <w:rPr>
          <w:sz w:val="22"/>
          <w:szCs w:val="22"/>
          <w:u w:val="single" w:color="auto"/>
        </w:rPr>
        <w:t xml:space="preserve">          </w:t>
      </w:r>
      <w:r>
        <w:rPr>
          <w:spacing w:val="4"/>
          <w:sz w:val="22"/>
          <w:szCs w:val="22"/>
        </w:rPr>
        <w:t xml:space="preserve">          </w:t>
      </w:r>
      <w:r>
        <w:rPr>
          <w:spacing w:val="-5"/>
          <w:sz w:val="21"/>
          <w:szCs w:val="21"/>
        </w:rPr>
        <w:t xml:space="preserve">法定代表人(签字): </w:t>
      </w:r>
      <w:r>
        <w:rPr>
          <w:spacing w:val="-5"/>
          <w:sz w:val="21"/>
          <w:szCs w:val="21"/>
          <w:u w:val="single" w:color="auto"/>
        </w:rPr>
        <w:t xml:space="preserve">            </w:t>
      </w:r>
    </w:p>
    <w:p w14:paraId="4326A15B">
      <w:pPr>
        <w:pStyle w:val="2"/>
        <w:spacing w:before="158" w:line="219" w:lineRule="auto"/>
        <w:ind w:left="649"/>
        <w:rPr>
          <w:sz w:val="20"/>
          <w:szCs w:val="20"/>
        </w:rPr>
      </w:pPr>
      <w:r>
        <w:rPr>
          <w:spacing w:val="8"/>
          <w:sz w:val="20"/>
          <w:szCs w:val="20"/>
        </w:rPr>
        <w:t>委托代理人(签字):</w:t>
      </w:r>
      <w:r>
        <w:rPr>
          <w:spacing w:val="-21"/>
          <w:sz w:val="20"/>
          <w:szCs w:val="20"/>
        </w:rPr>
        <w:t xml:space="preserve"> </w:t>
      </w:r>
      <w:r>
        <w:rPr>
          <w:sz w:val="20"/>
          <w:szCs w:val="20"/>
          <w:u w:val="single" w:color="auto"/>
        </w:rPr>
        <w:t xml:space="preserve">           </w:t>
      </w:r>
      <w:r>
        <w:rPr>
          <w:spacing w:val="3"/>
          <w:sz w:val="20"/>
          <w:szCs w:val="20"/>
        </w:rPr>
        <w:t xml:space="preserve">           </w:t>
      </w:r>
      <w:r>
        <w:rPr>
          <w:spacing w:val="8"/>
          <w:sz w:val="20"/>
          <w:szCs w:val="20"/>
        </w:rPr>
        <w:t>委托代理人(签字):</w:t>
      </w:r>
      <w:r>
        <w:rPr>
          <w:spacing w:val="-13"/>
          <w:sz w:val="20"/>
          <w:szCs w:val="20"/>
        </w:rPr>
        <w:t xml:space="preserve"> </w:t>
      </w:r>
      <w:r>
        <w:rPr>
          <w:sz w:val="20"/>
          <w:szCs w:val="20"/>
          <w:u w:val="single" w:color="auto"/>
        </w:rPr>
        <w:t xml:space="preserve">            </w:t>
      </w:r>
    </w:p>
    <w:p w14:paraId="7E7BEBBE">
      <w:pPr>
        <w:pStyle w:val="2"/>
        <w:spacing w:before="165" w:line="221" w:lineRule="auto"/>
        <w:ind w:left="649"/>
        <w:rPr>
          <w:sz w:val="20"/>
          <w:szCs w:val="20"/>
        </w:rPr>
      </w:pPr>
      <w:r>
        <w:rPr>
          <w:spacing w:val="-9"/>
          <w:sz w:val="20"/>
          <w:szCs w:val="20"/>
        </w:rPr>
        <w:t>电</w:t>
      </w:r>
      <w:r>
        <w:rPr>
          <w:spacing w:val="15"/>
          <w:sz w:val="20"/>
          <w:szCs w:val="20"/>
        </w:rPr>
        <w:t xml:space="preserve">  </w:t>
      </w:r>
      <w:r>
        <w:rPr>
          <w:spacing w:val="-9"/>
          <w:sz w:val="20"/>
          <w:szCs w:val="20"/>
        </w:rPr>
        <w:t>话：</w:t>
      </w:r>
      <w:r>
        <w:rPr>
          <w:spacing w:val="2"/>
          <w:sz w:val="20"/>
          <w:szCs w:val="20"/>
          <w:u w:val="single" w:color="auto"/>
        </w:rPr>
        <w:t xml:space="preserve">                    </w:t>
      </w:r>
      <w:r>
        <w:rPr>
          <w:spacing w:val="4"/>
          <w:sz w:val="20"/>
          <w:szCs w:val="20"/>
        </w:rPr>
        <w:t xml:space="preserve">            </w:t>
      </w:r>
      <w:r>
        <w:rPr>
          <w:spacing w:val="-9"/>
          <w:sz w:val="20"/>
          <w:szCs w:val="20"/>
        </w:rPr>
        <w:t>电</w:t>
      </w:r>
      <w:r>
        <w:rPr>
          <w:spacing w:val="17"/>
          <w:sz w:val="20"/>
          <w:szCs w:val="20"/>
        </w:rPr>
        <w:t xml:space="preserve">  </w:t>
      </w:r>
      <w:r>
        <w:rPr>
          <w:spacing w:val="-9"/>
          <w:sz w:val="20"/>
          <w:szCs w:val="20"/>
        </w:rPr>
        <w:t>话：</w:t>
      </w:r>
      <w:r>
        <w:rPr>
          <w:sz w:val="20"/>
          <w:szCs w:val="20"/>
          <w:u w:val="single" w:color="auto"/>
        </w:rPr>
        <w:t xml:space="preserve">                       </w:t>
      </w:r>
    </w:p>
    <w:p w14:paraId="30034614">
      <w:pPr>
        <w:pStyle w:val="2"/>
        <w:spacing w:before="157" w:line="219" w:lineRule="auto"/>
        <w:ind w:left="649"/>
        <w:rPr>
          <w:sz w:val="20"/>
          <w:szCs w:val="20"/>
        </w:rPr>
      </w:pPr>
      <w:r>
        <w:rPr>
          <w:spacing w:val="-1"/>
          <w:sz w:val="20"/>
          <w:szCs w:val="20"/>
        </w:rPr>
        <w:t>传</w:t>
      </w:r>
      <w:r>
        <w:rPr>
          <w:spacing w:val="14"/>
          <w:sz w:val="20"/>
          <w:szCs w:val="20"/>
        </w:rPr>
        <w:t xml:space="preserve">  </w:t>
      </w:r>
      <w:r>
        <w:rPr>
          <w:spacing w:val="-1"/>
          <w:sz w:val="20"/>
          <w:szCs w:val="20"/>
        </w:rPr>
        <w:t>真：</w:t>
      </w:r>
      <w:r>
        <w:rPr>
          <w:spacing w:val="2"/>
          <w:sz w:val="20"/>
          <w:szCs w:val="20"/>
          <w:u w:val="single" w:color="auto"/>
        </w:rPr>
        <w:t xml:space="preserve">                    </w:t>
      </w:r>
      <w:r>
        <w:rPr>
          <w:spacing w:val="3"/>
          <w:sz w:val="20"/>
          <w:szCs w:val="20"/>
        </w:rPr>
        <w:t xml:space="preserve">            </w:t>
      </w:r>
      <w:r>
        <w:rPr>
          <w:spacing w:val="-1"/>
          <w:sz w:val="20"/>
          <w:szCs w:val="20"/>
        </w:rPr>
        <w:t>传</w:t>
      </w:r>
      <w:r>
        <w:rPr>
          <w:spacing w:val="15"/>
          <w:sz w:val="20"/>
          <w:szCs w:val="20"/>
        </w:rPr>
        <w:t xml:space="preserve">  </w:t>
      </w:r>
      <w:r>
        <w:rPr>
          <w:spacing w:val="-1"/>
          <w:sz w:val="20"/>
          <w:szCs w:val="20"/>
        </w:rPr>
        <w:t>真：</w:t>
      </w:r>
      <w:r>
        <w:rPr>
          <w:sz w:val="20"/>
          <w:szCs w:val="20"/>
          <w:u w:val="single" w:color="auto"/>
        </w:rPr>
        <w:t xml:space="preserve">                       </w:t>
      </w:r>
    </w:p>
    <w:p w14:paraId="43D4344D">
      <w:pPr>
        <w:pStyle w:val="2"/>
        <w:spacing w:before="175" w:line="220" w:lineRule="auto"/>
        <w:ind w:left="649"/>
        <w:rPr>
          <w:sz w:val="20"/>
          <w:szCs w:val="20"/>
        </w:rPr>
      </w:pPr>
      <w:r>
        <w:rPr>
          <w:spacing w:val="1"/>
          <w:sz w:val="20"/>
          <w:szCs w:val="20"/>
        </w:rPr>
        <w:t>开户银行：</w:t>
      </w:r>
      <w:r>
        <w:rPr>
          <w:spacing w:val="2"/>
          <w:sz w:val="20"/>
          <w:szCs w:val="20"/>
          <w:u w:val="single" w:color="auto"/>
        </w:rPr>
        <w:t xml:space="preserve">                  </w:t>
      </w:r>
      <w:r>
        <w:rPr>
          <w:spacing w:val="4"/>
          <w:sz w:val="20"/>
          <w:szCs w:val="20"/>
        </w:rPr>
        <w:t xml:space="preserve">            </w:t>
      </w:r>
      <w:r>
        <w:rPr>
          <w:spacing w:val="1"/>
          <w:sz w:val="20"/>
          <w:szCs w:val="20"/>
        </w:rPr>
        <w:t>开户银行：</w:t>
      </w:r>
      <w:r>
        <w:rPr>
          <w:sz w:val="20"/>
          <w:szCs w:val="20"/>
          <w:u w:val="single" w:color="auto"/>
        </w:rPr>
        <w:t xml:space="preserve">                     </w:t>
      </w:r>
    </w:p>
    <w:p w14:paraId="791DC8D1">
      <w:pPr>
        <w:pStyle w:val="2"/>
        <w:spacing w:before="182" w:line="221" w:lineRule="auto"/>
        <w:ind w:left="649"/>
        <w:rPr>
          <w:sz w:val="20"/>
          <w:szCs w:val="20"/>
        </w:rPr>
      </w:pPr>
      <w:r>
        <w:rPr>
          <w:spacing w:val="-4"/>
          <w:position w:val="1"/>
          <w:sz w:val="20"/>
          <w:szCs w:val="20"/>
        </w:rPr>
        <w:t>账</w:t>
      </w:r>
      <w:r>
        <w:rPr>
          <w:spacing w:val="10"/>
          <w:position w:val="1"/>
          <w:sz w:val="20"/>
          <w:szCs w:val="20"/>
        </w:rPr>
        <w:t xml:space="preserve">  </w:t>
      </w:r>
      <w:r>
        <w:rPr>
          <w:spacing w:val="-4"/>
          <w:position w:val="1"/>
          <w:sz w:val="20"/>
          <w:szCs w:val="20"/>
        </w:rPr>
        <w:t>号：</w:t>
      </w:r>
      <w:r>
        <w:rPr>
          <w:spacing w:val="-4"/>
          <w:position w:val="1"/>
          <w:sz w:val="20"/>
          <w:szCs w:val="20"/>
          <w:u w:val="single" w:color="auto"/>
        </w:rPr>
        <w:t xml:space="preserve">                     </w:t>
      </w:r>
      <w:r>
        <w:rPr>
          <w:spacing w:val="3"/>
          <w:position w:val="1"/>
          <w:sz w:val="20"/>
          <w:szCs w:val="20"/>
        </w:rPr>
        <w:t xml:space="preserve">            </w:t>
      </w:r>
      <w:r>
        <w:rPr>
          <w:spacing w:val="-4"/>
          <w:position w:val="-1"/>
          <w:sz w:val="20"/>
          <w:szCs w:val="20"/>
        </w:rPr>
        <w:t>账</w:t>
      </w:r>
      <w:r>
        <w:rPr>
          <w:spacing w:val="18"/>
          <w:position w:val="-1"/>
          <w:sz w:val="20"/>
          <w:szCs w:val="20"/>
        </w:rPr>
        <w:t xml:space="preserve">  </w:t>
      </w:r>
      <w:r>
        <w:rPr>
          <w:spacing w:val="-4"/>
          <w:position w:val="-1"/>
          <w:sz w:val="20"/>
          <w:szCs w:val="20"/>
        </w:rPr>
        <w:t>号</w:t>
      </w:r>
      <w:r>
        <w:rPr>
          <w:spacing w:val="-41"/>
          <w:position w:val="-1"/>
          <w:sz w:val="20"/>
          <w:szCs w:val="20"/>
        </w:rPr>
        <w:t xml:space="preserve"> </w:t>
      </w:r>
      <w:r>
        <w:rPr>
          <w:spacing w:val="-4"/>
          <w:position w:val="-1"/>
          <w:sz w:val="20"/>
          <w:szCs w:val="20"/>
        </w:rPr>
        <w:t>：</w:t>
      </w:r>
      <w:r>
        <w:rPr>
          <w:spacing w:val="-4"/>
          <w:position w:val="-1"/>
          <w:sz w:val="20"/>
          <w:szCs w:val="20"/>
          <w:u w:val="single" w:color="auto"/>
        </w:rPr>
        <w:t xml:space="preserve">                     </w:t>
      </w:r>
      <w:r>
        <w:rPr>
          <w:spacing w:val="-5"/>
          <w:position w:val="-1"/>
          <w:sz w:val="20"/>
          <w:szCs w:val="20"/>
          <w:u w:val="single" w:color="auto"/>
        </w:rPr>
        <w:t xml:space="preserve">  </w:t>
      </w:r>
    </w:p>
    <w:p w14:paraId="58449FEE">
      <w:pPr>
        <w:pStyle w:val="2"/>
        <w:spacing w:before="149" w:line="229" w:lineRule="auto"/>
        <w:ind w:left="649"/>
        <w:rPr>
          <w:sz w:val="20"/>
          <w:szCs w:val="20"/>
        </w:rPr>
      </w:pPr>
      <w:r>
        <w:rPr>
          <w:spacing w:val="1"/>
          <w:position w:val="-1"/>
          <w:sz w:val="20"/>
          <w:szCs w:val="20"/>
        </w:rPr>
        <w:t>邮政编码：</w:t>
      </w:r>
      <w:r>
        <w:rPr>
          <w:spacing w:val="-42"/>
          <w:position w:val="-1"/>
          <w:sz w:val="20"/>
          <w:szCs w:val="20"/>
        </w:rPr>
        <w:t xml:space="preserve"> </w:t>
      </w:r>
      <w:r>
        <w:rPr>
          <w:spacing w:val="5"/>
          <w:position w:val="-1"/>
          <w:sz w:val="20"/>
          <w:szCs w:val="20"/>
          <w:u w:val="single" w:color="auto"/>
        </w:rPr>
        <w:t xml:space="preserve">                 </w:t>
      </w:r>
      <w:r>
        <w:rPr>
          <w:spacing w:val="5"/>
          <w:position w:val="-1"/>
          <w:sz w:val="20"/>
          <w:szCs w:val="20"/>
        </w:rPr>
        <w:t xml:space="preserve">            </w:t>
      </w:r>
      <w:r>
        <w:rPr>
          <w:spacing w:val="1"/>
          <w:position w:val="1"/>
          <w:sz w:val="20"/>
          <w:szCs w:val="20"/>
        </w:rPr>
        <w:t>邮政编码：</w:t>
      </w:r>
      <w:r>
        <w:rPr>
          <w:position w:val="1"/>
          <w:sz w:val="20"/>
          <w:szCs w:val="20"/>
          <w:u w:val="single" w:color="auto"/>
        </w:rPr>
        <w:t xml:space="preserve">                     </w:t>
      </w:r>
    </w:p>
    <w:p w14:paraId="168300AD">
      <w:pPr>
        <w:spacing w:line="229" w:lineRule="auto"/>
        <w:rPr>
          <w:sz w:val="20"/>
          <w:szCs w:val="20"/>
        </w:rPr>
        <w:sectPr>
          <w:footerReference r:id="rId274" w:type="default"/>
          <w:pgSz w:w="11910" w:h="16840"/>
          <w:pgMar w:top="400" w:right="1521" w:bottom="1024" w:left="1430" w:header="0" w:footer="889" w:gutter="0"/>
          <w:cols w:space="720" w:num="1"/>
        </w:sectPr>
      </w:pPr>
    </w:p>
    <w:p w14:paraId="62BFFD05">
      <w:pPr>
        <w:spacing w:line="254" w:lineRule="auto"/>
        <w:rPr>
          <w:rFonts w:ascii="Arial"/>
          <w:sz w:val="21"/>
        </w:rPr>
      </w:pPr>
    </w:p>
    <w:p w14:paraId="1A0BE8A1">
      <w:pPr>
        <w:spacing w:line="254" w:lineRule="auto"/>
        <w:rPr>
          <w:rFonts w:ascii="Arial"/>
          <w:sz w:val="21"/>
        </w:rPr>
      </w:pPr>
    </w:p>
    <w:p w14:paraId="6B9A0489">
      <w:pPr>
        <w:spacing w:line="254" w:lineRule="auto"/>
        <w:rPr>
          <w:rFonts w:ascii="Arial"/>
          <w:sz w:val="21"/>
        </w:rPr>
      </w:pPr>
    </w:p>
    <w:p w14:paraId="37B524AE">
      <w:pPr>
        <w:spacing w:line="255" w:lineRule="auto"/>
        <w:rPr>
          <w:rFonts w:ascii="Arial"/>
          <w:sz w:val="21"/>
        </w:rPr>
      </w:pPr>
    </w:p>
    <w:p w14:paraId="353E6333">
      <w:pPr>
        <w:spacing w:line="255" w:lineRule="auto"/>
        <w:rPr>
          <w:rFonts w:ascii="Arial"/>
          <w:sz w:val="21"/>
        </w:rPr>
      </w:pPr>
    </w:p>
    <w:p w14:paraId="258F8E84">
      <w:pPr>
        <w:pStyle w:val="2"/>
        <w:spacing w:before="85" w:line="219" w:lineRule="auto"/>
        <w:ind w:left="68"/>
        <w:rPr>
          <w:sz w:val="26"/>
          <w:szCs w:val="26"/>
        </w:rPr>
      </w:pPr>
      <w:r>
        <w:rPr>
          <w:b/>
          <w:bCs/>
          <w:spacing w:val="-3"/>
          <w:sz w:val="26"/>
          <w:szCs w:val="26"/>
        </w:rPr>
        <w:t>附件4:主要建设工程文件目录</w:t>
      </w:r>
    </w:p>
    <w:p w14:paraId="2CF92BC4">
      <w:pPr>
        <w:spacing w:line="117" w:lineRule="auto"/>
        <w:rPr>
          <w:rFonts w:ascii="Arial"/>
          <w:sz w:val="2"/>
        </w:rPr>
      </w:pPr>
    </w:p>
    <w:tbl>
      <w:tblPr>
        <w:tblStyle w:val="5"/>
        <w:tblW w:w="902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953"/>
        <w:gridCol w:w="1259"/>
        <w:gridCol w:w="1438"/>
        <w:gridCol w:w="1249"/>
        <w:gridCol w:w="1458"/>
        <w:gridCol w:w="1663"/>
      </w:tblGrid>
      <w:tr w14:paraId="601B32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trPr>
        <w:tc>
          <w:tcPr>
            <w:tcW w:w="1953" w:type="dxa"/>
            <w:vAlign w:val="top"/>
          </w:tcPr>
          <w:p w14:paraId="36D450D3">
            <w:pPr>
              <w:pStyle w:val="6"/>
              <w:spacing w:before="203" w:line="211" w:lineRule="auto"/>
              <w:ind w:left="75"/>
              <w:rPr>
                <w:sz w:val="22"/>
                <w:szCs w:val="22"/>
              </w:rPr>
            </w:pPr>
            <w:r>
              <w:rPr>
                <w:spacing w:val="2"/>
                <w:sz w:val="22"/>
                <w:szCs w:val="22"/>
              </w:rPr>
              <w:t>文件名称</w:t>
            </w:r>
          </w:p>
        </w:tc>
        <w:tc>
          <w:tcPr>
            <w:tcW w:w="1259" w:type="dxa"/>
            <w:vAlign w:val="top"/>
          </w:tcPr>
          <w:p w14:paraId="3499EA5E">
            <w:pPr>
              <w:pStyle w:val="6"/>
              <w:spacing w:before="194" w:line="219" w:lineRule="auto"/>
              <w:ind w:left="91"/>
              <w:rPr>
                <w:sz w:val="22"/>
                <w:szCs w:val="22"/>
              </w:rPr>
            </w:pPr>
            <w:r>
              <w:rPr>
                <w:spacing w:val="-3"/>
                <w:sz w:val="22"/>
                <w:szCs w:val="22"/>
              </w:rPr>
              <w:t>套数</w:t>
            </w:r>
          </w:p>
        </w:tc>
        <w:tc>
          <w:tcPr>
            <w:tcW w:w="1438" w:type="dxa"/>
            <w:vAlign w:val="top"/>
          </w:tcPr>
          <w:p w14:paraId="471CDB72">
            <w:pPr>
              <w:pStyle w:val="6"/>
              <w:spacing w:before="204" w:line="210" w:lineRule="auto"/>
              <w:ind w:left="113"/>
              <w:rPr>
                <w:sz w:val="22"/>
                <w:szCs w:val="22"/>
              </w:rPr>
            </w:pPr>
            <w:r>
              <w:rPr>
                <w:spacing w:val="9"/>
                <w:sz w:val="22"/>
                <w:szCs w:val="22"/>
              </w:rPr>
              <w:t>费用(元)</w:t>
            </w:r>
          </w:p>
        </w:tc>
        <w:tc>
          <w:tcPr>
            <w:tcW w:w="1249" w:type="dxa"/>
            <w:vAlign w:val="top"/>
          </w:tcPr>
          <w:p w14:paraId="299DE609">
            <w:pPr>
              <w:pStyle w:val="6"/>
              <w:spacing w:before="204" w:line="210" w:lineRule="auto"/>
              <w:ind w:left="84"/>
              <w:rPr>
                <w:sz w:val="22"/>
                <w:szCs w:val="22"/>
              </w:rPr>
            </w:pPr>
            <w:r>
              <w:rPr>
                <w:spacing w:val="-3"/>
                <w:sz w:val="22"/>
                <w:szCs w:val="22"/>
              </w:rPr>
              <w:t>质量</w:t>
            </w:r>
          </w:p>
        </w:tc>
        <w:tc>
          <w:tcPr>
            <w:tcW w:w="1458" w:type="dxa"/>
            <w:vAlign w:val="top"/>
          </w:tcPr>
          <w:p w14:paraId="06C0D2E6">
            <w:pPr>
              <w:pStyle w:val="6"/>
              <w:spacing w:before="205" w:line="209" w:lineRule="auto"/>
              <w:ind w:left="326"/>
              <w:rPr>
                <w:sz w:val="22"/>
                <w:szCs w:val="22"/>
              </w:rPr>
            </w:pPr>
            <w:r>
              <w:rPr>
                <w:spacing w:val="5"/>
                <w:sz w:val="22"/>
                <w:szCs w:val="22"/>
              </w:rPr>
              <w:t>移交时间</w:t>
            </w:r>
          </w:p>
        </w:tc>
        <w:tc>
          <w:tcPr>
            <w:tcW w:w="1663" w:type="dxa"/>
            <w:vAlign w:val="top"/>
          </w:tcPr>
          <w:p w14:paraId="57F70814">
            <w:pPr>
              <w:pStyle w:val="6"/>
              <w:spacing w:before="203" w:line="211" w:lineRule="auto"/>
              <w:ind w:left="528"/>
              <w:rPr>
                <w:sz w:val="22"/>
                <w:szCs w:val="22"/>
              </w:rPr>
            </w:pPr>
            <w:r>
              <w:rPr>
                <w:spacing w:val="3"/>
                <w:sz w:val="22"/>
                <w:szCs w:val="22"/>
              </w:rPr>
              <w:t>责任人</w:t>
            </w:r>
          </w:p>
        </w:tc>
      </w:tr>
      <w:tr w14:paraId="3EAA55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9" w:hRule="atLeast"/>
        </w:trPr>
        <w:tc>
          <w:tcPr>
            <w:tcW w:w="1953" w:type="dxa"/>
            <w:vAlign w:val="top"/>
          </w:tcPr>
          <w:p w14:paraId="11DBB644">
            <w:pPr>
              <w:rPr>
                <w:rFonts w:ascii="Arial"/>
                <w:sz w:val="21"/>
              </w:rPr>
            </w:pPr>
          </w:p>
        </w:tc>
        <w:tc>
          <w:tcPr>
            <w:tcW w:w="1259" w:type="dxa"/>
            <w:vAlign w:val="top"/>
          </w:tcPr>
          <w:p w14:paraId="585C0817">
            <w:pPr>
              <w:rPr>
                <w:rFonts w:ascii="Arial"/>
                <w:sz w:val="21"/>
              </w:rPr>
            </w:pPr>
          </w:p>
        </w:tc>
        <w:tc>
          <w:tcPr>
            <w:tcW w:w="1438" w:type="dxa"/>
            <w:vAlign w:val="top"/>
          </w:tcPr>
          <w:p w14:paraId="31FB6DD3">
            <w:pPr>
              <w:rPr>
                <w:rFonts w:ascii="Arial"/>
                <w:sz w:val="21"/>
              </w:rPr>
            </w:pPr>
          </w:p>
        </w:tc>
        <w:tc>
          <w:tcPr>
            <w:tcW w:w="1249" w:type="dxa"/>
            <w:vAlign w:val="top"/>
          </w:tcPr>
          <w:p w14:paraId="4DF463EE">
            <w:pPr>
              <w:rPr>
                <w:rFonts w:ascii="Arial"/>
                <w:sz w:val="21"/>
              </w:rPr>
            </w:pPr>
          </w:p>
        </w:tc>
        <w:tc>
          <w:tcPr>
            <w:tcW w:w="1458" w:type="dxa"/>
            <w:vAlign w:val="top"/>
          </w:tcPr>
          <w:p w14:paraId="4C41B520">
            <w:pPr>
              <w:rPr>
                <w:rFonts w:ascii="Arial"/>
                <w:sz w:val="21"/>
              </w:rPr>
            </w:pPr>
          </w:p>
        </w:tc>
        <w:tc>
          <w:tcPr>
            <w:tcW w:w="1663" w:type="dxa"/>
            <w:vAlign w:val="top"/>
          </w:tcPr>
          <w:p w14:paraId="1208ACC0">
            <w:pPr>
              <w:rPr>
                <w:rFonts w:ascii="Arial"/>
                <w:sz w:val="21"/>
              </w:rPr>
            </w:pPr>
          </w:p>
        </w:tc>
      </w:tr>
      <w:tr w14:paraId="4784B1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1953" w:type="dxa"/>
            <w:vAlign w:val="top"/>
          </w:tcPr>
          <w:p w14:paraId="642B4F87">
            <w:pPr>
              <w:rPr>
                <w:rFonts w:ascii="Arial"/>
                <w:sz w:val="21"/>
              </w:rPr>
            </w:pPr>
          </w:p>
        </w:tc>
        <w:tc>
          <w:tcPr>
            <w:tcW w:w="1259" w:type="dxa"/>
            <w:vAlign w:val="top"/>
          </w:tcPr>
          <w:p w14:paraId="0C6F409A">
            <w:pPr>
              <w:rPr>
                <w:rFonts w:ascii="Arial"/>
                <w:sz w:val="21"/>
              </w:rPr>
            </w:pPr>
          </w:p>
        </w:tc>
        <w:tc>
          <w:tcPr>
            <w:tcW w:w="1438" w:type="dxa"/>
            <w:vAlign w:val="top"/>
          </w:tcPr>
          <w:p w14:paraId="4FBD34A9">
            <w:pPr>
              <w:rPr>
                <w:rFonts w:ascii="Arial"/>
                <w:sz w:val="21"/>
              </w:rPr>
            </w:pPr>
          </w:p>
        </w:tc>
        <w:tc>
          <w:tcPr>
            <w:tcW w:w="1249" w:type="dxa"/>
            <w:vAlign w:val="top"/>
          </w:tcPr>
          <w:p w14:paraId="5A03D68B">
            <w:pPr>
              <w:rPr>
                <w:rFonts w:ascii="Arial"/>
                <w:sz w:val="21"/>
              </w:rPr>
            </w:pPr>
          </w:p>
        </w:tc>
        <w:tc>
          <w:tcPr>
            <w:tcW w:w="1458" w:type="dxa"/>
            <w:vAlign w:val="top"/>
          </w:tcPr>
          <w:p w14:paraId="5ABBA1DB">
            <w:pPr>
              <w:rPr>
                <w:rFonts w:ascii="Arial"/>
                <w:sz w:val="21"/>
              </w:rPr>
            </w:pPr>
          </w:p>
        </w:tc>
        <w:tc>
          <w:tcPr>
            <w:tcW w:w="1663" w:type="dxa"/>
            <w:vAlign w:val="top"/>
          </w:tcPr>
          <w:p w14:paraId="0D7C66B4">
            <w:pPr>
              <w:rPr>
                <w:rFonts w:ascii="Arial"/>
                <w:sz w:val="21"/>
              </w:rPr>
            </w:pPr>
          </w:p>
        </w:tc>
      </w:tr>
      <w:tr w14:paraId="6CFAEF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9" w:hRule="atLeast"/>
        </w:trPr>
        <w:tc>
          <w:tcPr>
            <w:tcW w:w="1953" w:type="dxa"/>
            <w:vAlign w:val="top"/>
          </w:tcPr>
          <w:p w14:paraId="7A1A1C2A">
            <w:pPr>
              <w:rPr>
                <w:rFonts w:ascii="Arial"/>
                <w:sz w:val="21"/>
              </w:rPr>
            </w:pPr>
          </w:p>
        </w:tc>
        <w:tc>
          <w:tcPr>
            <w:tcW w:w="1259" w:type="dxa"/>
            <w:vAlign w:val="top"/>
          </w:tcPr>
          <w:p w14:paraId="1C96A59F">
            <w:pPr>
              <w:rPr>
                <w:rFonts w:ascii="Arial"/>
                <w:sz w:val="21"/>
              </w:rPr>
            </w:pPr>
          </w:p>
        </w:tc>
        <w:tc>
          <w:tcPr>
            <w:tcW w:w="1438" w:type="dxa"/>
            <w:vAlign w:val="top"/>
          </w:tcPr>
          <w:p w14:paraId="7FB3085A">
            <w:pPr>
              <w:rPr>
                <w:rFonts w:ascii="Arial"/>
                <w:sz w:val="21"/>
              </w:rPr>
            </w:pPr>
          </w:p>
        </w:tc>
        <w:tc>
          <w:tcPr>
            <w:tcW w:w="1249" w:type="dxa"/>
            <w:vAlign w:val="top"/>
          </w:tcPr>
          <w:p w14:paraId="47269D3F">
            <w:pPr>
              <w:rPr>
                <w:rFonts w:ascii="Arial"/>
                <w:sz w:val="21"/>
              </w:rPr>
            </w:pPr>
          </w:p>
        </w:tc>
        <w:tc>
          <w:tcPr>
            <w:tcW w:w="1458" w:type="dxa"/>
            <w:vAlign w:val="top"/>
          </w:tcPr>
          <w:p w14:paraId="4FBC3FC9">
            <w:pPr>
              <w:rPr>
                <w:rFonts w:ascii="Arial"/>
                <w:sz w:val="21"/>
              </w:rPr>
            </w:pPr>
          </w:p>
        </w:tc>
        <w:tc>
          <w:tcPr>
            <w:tcW w:w="1663" w:type="dxa"/>
            <w:vAlign w:val="top"/>
          </w:tcPr>
          <w:p w14:paraId="5FBCAC09">
            <w:pPr>
              <w:rPr>
                <w:rFonts w:ascii="Arial"/>
                <w:sz w:val="21"/>
              </w:rPr>
            </w:pPr>
          </w:p>
        </w:tc>
      </w:tr>
      <w:tr w14:paraId="660A3E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0" w:hRule="atLeast"/>
        </w:trPr>
        <w:tc>
          <w:tcPr>
            <w:tcW w:w="1953" w:type="dxa"/>
            <w:vAlign w:val="top"/>
          </w:tcPr>
          <w:p w14:paraId="1FA9C4C0">
            <w:pPr>
              <w:rPr>
                <w:rFonts w:ascii="Arial"/>
                <w:sz w:val="21"/>
              </w:rPr>
            </w:pPr>
          </w:p>
        </w:tc>
        <w:tc>
          <w:tcPr>
            <w:tcW w:w="1259" w:type="dxa"/>
            <w:vAlign w:val="top"/>
          </w:tcPr>
          <w:p w14:paraId="7B2AF35D">
            <w:pPr>
              <w:rPr>
                <w:rFonts w:ascii="Arial"/>
                <w:sz w:val="21"/>
              </w:rPr>
            </w:pPr>
          </w:p>
        </w:tc>
        <w:tc>
          <w:tcPr>
            <w:tcW w:w="1438" w:type="dxa"/>
            <w:vAlign w:val="top"/>
          </w:tcPr>
          <w:p w14:paraId="6214DA4F">
            <w:pPr>
              <w:rPr>
                <w:rFonts w:ascii="Arial"/>
                <w:sz w:val="21"/>
              </w:rPr>
            </w:pPr>
          </w:p>
        </w:tc>
        <w:tc>
          <w:tcPr>
            <w:tcW w:w="1249" w:type="dxa"/>
            <w:vAlign w:val="top"/>
          </w:tcPr>
          <w:p w14:paraId="62E9B37A">
            <w:pPr>
              <w:rPr>
                <w:rFonts w:ascii="Arial"/>
                <w:sz w:val="21"/>
              </w:rPr>
            </w:pPr>
          </w:p>
        </w:tc>
        <w:tc>
          <w:tcPr>
            <w:tcW w:w="1458" w:type="dxa"/>
            <w:vAlign w:val="top"/>
          </w:tcPr>
          <w:p w14:paraId="33B7E7A5">
            <w:pPr>
              <w:rPr>
                <w:rFonts w:ascii="Arial"/>
                <w:sz w:val="21"/>
              </w:rPr>
            </w:pPr>
          </w:p>
        </w:tc>
        <w:tc>
          <w:tcPr>
            <w:tcW w:w="1663" w:type="dxa"/>
            <w:vAlign w:val="top"/>
          </w:tcPr>
          <w:p w14:paraId="0C4B9596">
            <w:pPr>
              <w:rPr>
                <w:rFonts w:ascii="Arial"/>
                <w:sz w:val="21"/>
              </w:rPr>
            </w:pPr>
          </w:p>
        </w:tc>
      </w:tr>
      <w:tr w14:paraId="2380F0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0" w:hRule="atLeast"/>
        </w:trPr>
        <w:tc>
          <w:tcPr>
            <w:tcW w:w="1953" w:type="dxa"/>
            <w:vAlign w:val="top"/>
          </w:tcPr>
          <w:p w14:paraId="06D9B148">
            <w:pPr>
              <w:rPr>
                <w:rFonts w:ascii="Arial"/>
                <w:sz w:val="21"/>
              </w:rPr>
            </w:pPr>
          </w:p>
        </w:tc>
        <w:tc>
          <w:tcPr>
            <w:tcW w:w="1259" w:type="dxa"/>
            <w:vAlign w:val="top"/>
          </w:tcPr>
          <w:p w14:paraId="2D0683BF">
            <w:pPr>
              <w:rPr>
                <w:rFonts w:ascii="Arial"/>
                <w:sz w:val="21"/>
              </w:rPr>
            </w:pPr>
          </w:p>
        </w:tc>
        <w:tc>
          <w:tcPr>
            <w:tcW w:w="1438" w:type="dxa"/>
            <w:vAlign w:val="top"/>
          </w:tcPr>
          <w:p w14:paraId="4BBA785F">
            <w:pPr>
              <w:rPr>
                <w:rFonts w:ascii="Arial"/>
                <w:sz w:val="21"/>
              </w:rPr>
            </w:pPr>
          </w:p>
        </w:tc>
        <w:tc>
          <w:tcPr>
            <w:tcW w:w="1249" w:type="dxa"/>
            <w:vAlign w:val="top"/>
          </w:tcPr>
          <w:p w14:paraId="1B6A94D5">
            <w:pPr>
              <w:rPr>
                <w:rFonts w:ascii="Arial"/>
                <w:sz w:val="21"/>
              </w:rPr>
            </w:pPr>
          </w:p>
        </w:tc>
        <w:tc>
          <w:tcPr>
            <w:tcW w:w="1458" w:type="dxa"/>
            <w:vAlign w:val="top"/>
          </w:tcPr>
          <w:p w14:paraId="7713982A">
            <w:pPr>
              <w:rPr>
                <w:rFonts w:ascii="Arial"/>
                <w:sz w:val="21"/>
              </w:rPr>
            </w:pPr>
          </w:p>
        </w:tc>
        <w:tc>
          <w:tcPr>
            <w:tcW w:w="1663" w:type="dxa"/>
            <w:vAlign w:val="top"/>
          </w:tcPr>
          <w:p w14:paraId="46829C8D">
            <w:pPr>
              <w:rPr>
                <w:rFonts w:ascii="Arial"/>
                <w:sz w:val="21"/>
              </w:rPr>
            </w:pPr>
          </w:p>
        </w:tc>
      </w:tr>
      <w:tr w14:paraId="729799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0" w:hRule="atLeast"/>
        </w:trPr>
        <w:tc>
          <w:tcPr>
            <w:tcW w:w="1953" w:type="dxa"/>
            <w:vAlign w:val="top"/>
          </w:tcPr>
          <w:p w14:paraId="523516AC">
            <w:pPr>
              <w:rPr>
                <w:rFonts w:ascii="Arial"/>
                <w:sz w:val="21"/>
              </w:rPr>
            </w:pPr>
          </w:p>
        </w:tc>
        <w:tc>
          <w:tcPr>
            <w:tcW w:w="1259" w:type="dxa"/>
            <w:vAlign w:val="top"/>
          </w:tcPr>
          <w:p w14:paraId="4F6CB219">
            <w:pPr>
              <w:rPr>
                <w:rFonts w:ascii="Arial"/>
                <w:sz w:val="21"/>
              </w:rPr>
            </w:pPr>
          </w:p>
        </w:tc>
        <w:tc>
          <w:tcPr>
            <w:tcW w:w="1438" w:type="dxa"/>
            <w:vAlign w:val="top"/>
          </w:tcPr>
          <w:p w14:paraId="0A4B6B06">
            <w:pPr>
              <w:rPr>
                <w:rFonts w:ascii="Arial"/>
                <w:sz w:val="21"/>
              </w:rPr>
            </w:pPr>
          </w:p>
        </w:tc>
        <w:tc>
          <w:tcPr>
            <w:tcW w:w="1249" w:type="dxa"/>
            <w:vAlign w:val="top"/>
          </w:tcPr>
          <w:p w14:paraId="6A7DABC9">
            <w:pPr>
              <w:rPr>
                <w:rFonts w:ascii="Arial"/>
                <w:sz w:val="21"/>
              </w:rPr>
            </w:pPr>
          </w:p>
        </w:tc>
        <w:tc>
          <w:tcPr>
            <w:tcW w:w="1458" w:type="dxa"/>
            <w:vAlign w:val="top"/>
          </w:tcPr>
          <w:p w14:paraId="23BA219D">
            <w:pPr>
              <w:rPr>
                <w:rFonts w:ascii="Arial"/>
                <w:sz w:val="21"/>
              </w:rPr>
            </w:pPr>
          </w:p>
        </w:tc>
        <w:tc>
          <w:tcPr>
            <w:tcW w:w="1663" w:type="dxa"/>
            <w:vAlign w:val="top"/>
          </w:tcPr>
          <w:p w14:paraId="59E9D0A4">
            <w:pPr>
              <w:rPr>
                <w:rFonts w:ascii="Arial"/>
                <w:sz w:val="21"/>
              </w:rPr>
            </w:pPr>
          </w:p>
        </w:tc>
      </w:tr>
      <w:tr w14:paraId="459722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9" w:hRule="atLeast"/>
        </w:trPr>
        <w:tc>
          <w:tcPr>
            <w:tcW w:w="1953" w:type="dxa"/>
            <w:vAlign w:val="top"/>
          </w:tcPr>
          <w:p w14:paraId="60A02247">
            <w:pPr>
              <w:rPr>
                <w:rFonts w:ascii="Arial"/>
                <w:sz w:val="21"/>
              </w:rPr>
            </w:pPr>
          </w:p>
        </w:tc>
        <w:tc>
          <w:tcPr>
            <w:tcW w:w="1259" w:type="dxa"/>
            <w:vAlign w:val="top"/>
          </w:tcPr>
          <w:p w14:paraId="45E531FD">
            <w:pPr>
              <w:rPr>
                <w:rFonts w:ascii="Arial"/>
                <w:sz w:val="21"/>
              </w:rPr>
            </w:pPr>
          </w:p>
        </w:tc>
        <w:tc>
          <w:tcPr>
            <w:tcW w:w="1438" w:type="dxa"/>
            <w:vAlign w:val="top"/>
          </w:tcPr>
          <w:p w14:paraId="6F4ED9FE">
            <w:pPr>
              <w:rPr>
                <w:rFonts w:ascii="Arial"/>
                <w:sz w:val="21"/>
              </w:rPr>
            </w:pPr>
          </w:p>
        </w:tc>
        <w:tc>
          <w:tcPr>
            <w:tcW w:w="1249" w:type="dxa"/>
            <w:vAlign w:val="top"/>
          </w:tcPr>
          <w:p w14:paraId="6043D895">
            <w:pPr>
              <w:rPr>
                <w:rFonts w:ascii="Arial"/>
                <w:sz w:val="21"/>
              </w:rPr>
            </w:pPr>
          </w:p>
        </w:tc>
        <w:tc>
          <w:tcPr>
            <w:tcW w:w="1458" w:type="dxa"/>
            <w:vAlign w:val="top"/>
          </w:tcPr>
          <w:p w14:paraId="5F00C04C">
            <w:pPr>
              <w:rPr>
                <w:rFonts w:ascii="Arial"/>
                <w:sz w:val="21"/>
              </w:rPr>
            </w:pPr>
          </w:p>
        </w:tc>
        <w:tc>
          <w:tcPr>
            <w:tcW w:w="1663" w:type="dxa"/>
            <w:vAlign w:val="top"/>
          </w:tcPr>
          <w:p w14:paraId="468843AC">
            <w:pPr>
              <w:rPr>
                <w:rFonts w:ascii="Arial"/>
                <w:sz w:val="21"/>
              </w:rPr>
            </w:pPr>
          </w:p>
        </w:tc>
      </w:tr>
      <w:tr w14:paraId="5D729B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0" w:hRule="atLeast"/>
        </w:trPr>
        <w:tc>
          <w:tcPr>
            <w:tcW w:w="1953" w:type="dxa"/>
            <w:vAlign w:val="top"/>
          </w:tcPr>
          <w:p w14:paraId="292F2AF7">
            <w:pPr>
              <w:rPr>
                <w:rFonts w:ascii="Arial"/>
                <w:sz w:val="21"/>
              </w:rPr>
            </w:pPr>
          </w:p>
        </w:tc>
        <w:tc>
          <w:tcPr>
            <w:tcW w:w="1259" w:type="dxa"/>
            <w:vAlign w:val="top"/>
          </w:tcPr>
          <w:p w14:paraId="72E043FE">
            <w:pPr>
              <w:rPr>
                <w:rFonts w:ascii="Arial"/>
                <w:sz w:val="21"/>
              </w:rPr>
            </w:pPr>
          </w:p>
        </w:tc>
        <w:tc>
          <w:tcPr>
            <w:tcW w:w="1438" w:type="dxa"/>
            <w:vAlign w:val="top"/>
          </w:tcPr>
          <w:p w14:paraId="16212609">
            <w:pPr>
              <w:rPr>
                <w:rFonts w:ascii="Arial"/>
                <w:sz w:val="21"/>
              </w:rPr>
            </w:pPr>
          </w:p>
        </w:tc>
        <w:tc>
          <w:tcPr>
            <w:tcW w:w="1249" w:type="dxa"/>
            <w:vAlign w:val="top"/>
          </w:tcPr>
          <w:p w14:paraId="2EBEFCF9">
            <w:pPr>
              <w:rPr>
                <w:rFonts w:ascii="Arial"/>
                <w:sz w:val="21"/>
              </w:rPr>
            </w:pPr>
          </w:p>
        </w:tc>
        <w:tc>
          <w:tcPr>
            <w:tcW w:w="1458" w:type="dxa"/>
            <w:vAlign w:val="top"/>
          </w:tcPr>
          <w:p w14:paraId="289358C1">
            <w:pPr>
              <w:rPr>
                <w:rFonts w:ascii="Arial"/>
                <w:sz w:val="21"/>
              </w:rPr>
            </w:pPr>
          </w:p>
        </w:tc>
        <w:tc>
          <w:tcPr>
            <w:tcW w:w="1663" w:type="dxa"/>
            <w:vAlign w:val="top"/>
          </w:tcPr>
          <w:p w14:paraId="1B6A8A91">
            <w:pPr>
              <w:rPr>
                <w:rFonts w:ascii="Arial"/>
                <w:sz w:val="21"/>
              </w:rPr>
            </w:pPr>
          </w:p>
        </w:tc>
      </w:tr>
      <w:tr w14:paraId="7D3508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0" w:hRule="atLeast"/>
        </w:trPr>
        <w:tc>
          <w:tcPr>
            <w:tcW w:w="1953" w:type="dxa"/>
            <w:vAlign w:val="top"/>
          </w:tcPr>
          <w:p w14:paraId="174F7610">
            <w:pPr>
              <w:rPr>
                <w:rFonts w:ascii="Arial"/>
                <w:sz w:val="21"/>
              </w:rPr>
            </w:pPr>
          </w:p>
        </w:tc>
        <w:tc>
          <w:tcPr>
            <w:tcW w:w="1259" w:type="dxa"/>
            <w:vAlign w:val="top"/>
          </w:tcPr>
          <w:p w14:paraId="1269206C">
            <w:pPr>
              <w:rPr>
                <w:rFonts w:ascii="Arial"/>
                <w:sz w:val="21"/>
              </w:rPr>
            </w:pPr>
          </w:p>
        </w:tc>
        <w:tc>
          <w:tcPr>
            <w:tcW w:w="1438" w:type="dxa"/>
            <w:vAlign w:val="top"/>
          </w:tcPr>
          <w:p w14:paraId="4B1A254E">
            <w:pPr>
              <w:rPr>
                <w:rFonts w:ascii="Arial"/>
                <w:sz w:val="21"/>
              </w:rPr>
            </w:pPr>
          </w:p>
        </w:tc>
        <w:tc>
          <w:tcPr>
            <w:tcW w:w="1249" w:type="dxa"/>
            <w:vAlign w:val="top"/>
          </w:tcPr>
          <w:p w14:paraId="2D796244">
            <w:pPr>
              <w:rPr>
                <w:rFonts w:ascii="Arial"/>
                <w:sz w:val="21"/>
              </w:rPr>
            </w:pPr>
          </w:p>
        </w:tc>
        <w:tc>
          <w:tcPr>
            <w:tcW w:w="1458" w:type="dxa"/>
            <w:vAlign w:val="top"/>
          </w:tcPr>
          <w:p w14:paraId="4075CD32">
            <w:pPr>
              <w:rPr>
                <w:rFonts w:ascii="Arial"/>
                <w:sz w:val="21"/>
              </w:rPr>
            </w:pPr>
          </w:p>
        </w:tc>
        <w:tc>
          <w:tcPr>
            <w:tcW w:w="1663" w:type="dxa"/>
            <w:vAlign w:val="top"/>
          </w:tcPr>
          <w:p w14:paraId="1C3B959A">
            <w:pPr>
              <w:rPr>
                <w:rFonts w:ascii="Arial"/>
                <w:sz w:val="21"/>
              </w:rPr>
            </w:pPr>
          </w:p>
        </w:tc>
      </w:tr>
      <w:tr w14:paraId="1920DE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0" w:hRule="atLeast"/>
        </w:trPr>
        <w:tc>
          <w:tcPr>
            <w:tcW w:w="1953" w:type="dxa"/>
            <w:vAlign w:val="top"/>
          </w:tcPr>
          <w:p w14:paraId="1904B49A">
            <w:pPr>
              <w:rPr>
                <w:rFonts w:ascii="Arial"/>
                <w:sz w:val="21"/>
              </w:rPr>
            </w:pPr>
          </w:p>
        </w:tc>
        <w:tc>
          <w:tcPr>
            <w:tcW w:w="1259" w:type="dxa"/>
            <w:vAlign w:val="top"/>
          </w:tcPr>
          <w:p w14:paraId="3EE249EC">
            <w:pPr>
              <w:rPr>
                <w:rFonts w:ascii="Arial"/>
                <w:sz w:val="21"/>
              </w:rPr>
            </w:pPr>
          </w:p>
        </w:tc>
        <w:tc>
          <w:tcPr>
            <w:tcW w:w="1438" w:type="dxa"/>
            <w:vAlign w:val="top"/>
          </w:tcPr>
          <w:p w14:paraId="661042F7">
            <w:pPr>
              <w:rPr>
                <w:rFonts w:ascii="Arial"/>
                <w:sz w:val="21"/>
              </w:rPr>
            </w:pPr>
          </w:p>
        </w:tc>
        <w:tc>
          <w:tcPr>
            <w:tcW w:w="1249" w:type="dxa"/>
            <w:vAlign w:val="top"/>
          </w:tcPr>
          <w:p w14:paraId="5A41FAFA">
            <w:pPr>
              <w:rPr>
                <w:rFonts w:ascii="Arial"/>
                <w:sz w:val="21"/>
              </w:rPr>
            </w:pPr>
          </w:p>
        </w:tc>
        <w:tc>
          <w:tcPr>
            <w:tcW w:w="1458" w:type="dxa"/>
            <w:vAlign w:val="top"/>
          </w:tcPr>
          <w:p w14:paraId="48563A08">
            <w:pPr>
              <w:rPr>
                <w:rFonts w:ascii="Arial"/>
                <w:sz w:val="21"/>
              </w:rPr>
            </w:pPr>
          </w:p>
        </w:tc>
        <w:tc>
          <w:tcPr>
            <w:tcW w:w="1663" w:type="dxa"/>
            <w:vAlign w:val="top"/>
          </w:tcPr>
          <w:p w14:paraId="3E492D1B">
            <w:pPr>
              <w:rPr>
                <w:rFonts w:ascii="Arial"/>
                <w:sz w:val="21"/>
              </w:rPr>
            </w:pPr>
          </w:p>
        </w:tc>
      </w:tr>
      <w:tr w14:paraId="4E0DA3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1953" w:type="dxa"/>
            <w:vAlign w:val="top"/>
          </w:tcPr>
          <w:p w14:paraId="383919A6">
            <w:pPr>
              <w:rPr>
                <w:rFonts w:ascii="Arial"/>
                <w:sz w:val="21"/>
              </w:rPr>
            </w:pPr>
          </w:p>
        </w:tc>
        <w:tc>
          <w:tcPr>
            <w:tcW w:w="1259" w:type="dxa"/>
            <w:vAlign w:val="top"/>
          </w:tcPr>
          <w:p w14:paraId="489A2D77">
            <w:pPr>
              <w:rPr>
                <w:rFonts w:ascii="Arial"/>
                <w:sz w:val="21"/>
              </w:rPr>
            </w:pPr>
          </w:p>
        </w:tc>
        <w:tc>
          <w:tcPr>
            <w:tcW w:w="1438" w:type="dxa"/>
            <w:vAlign w:val="top"/>
          </w:tcPr>
          <w:p w14:paraId="56B5E829">
            <w:pPr>
              <w:rPr>
                <w:rFonts w:ascii="Arial"/>
                <w:sz w:val="21"/>
              </w:rPr>
            </w:pPr>
          </w:p>
        </w:tc>
        <w:tc>
          <w:tcPr>
            <w:tcW w:w="1249" w:type="dxa"/>
            <w:vAlign w:val="top"/>
          </w:tcPr>
          <w:p w14:paraId="10FCBAC8">
            <w:pPr>
              <w:rPr>
                <w:rFonts w:ascii="Arial"/>
                <w:sz w:val="21"/>
              </w:rPr>
            </w:pPr>
          </w:p>
        </w:tc>
        <w:tc>
          <w:tcPr>
            <w:tcW w:w="1458" w:type="dxa"/>
            <w:vAlign w:val="top"/>
          </w:tcPr>
          <w:p w14:paraId="1036F6F4">
            <w:pPr>
              <w:rPr>
                <w:rFonts w:ascii="Arial"/>
                <w:sz w:val="21"/>
              </w:rPr>
            </w:pPr>
          </w:p>
        </w:tc>
        <w:tc>
          <w:tcPr>
            <w:tcW w:w="1663" w:type="dxa"/>
            <w:vAlign w:val="top"/>
          </w:tcPr>
          <w:p w14:paraId="51B6DD06">
            <w:pPr>
              <w:rPr>
                <w:rFonts w:ascii="Arial"/>
                <w:sz w:val="21"/>
              </w:rPr>
            </w:pPr>
          </w:p>
        </w:tc>
      </w:tr>
      <w:tr w14:paraId="328C08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1953" w:type="dxa"/>
            <w:vAlign w:val="top"/>
          </w:tcPr>
          <w:p w14:paraId="6B0751B9">
            <w:pPr>
              <w:rPr>
                <w:rFonts w:ascii="Arial"/>
                <w:sz w:val="21"/>
              </w:rPr>
            </w:pPr>
          </w:p>
        </w:tc>
        <w:tc>
          <w:tcPr>
            <w:tcW w:w="1259" w:type="dxa"/>
            <w:vAlign w:val="top"/>
          </w:tcPr>
          <w:p w14:paraId="77B536FF">
            <w:pPr>
              <w:rPr>
                <w:rFonts w:ascii="Arial"/>
                <w:sz w:val="21"/>
              </w:rPr>
            </w:pPr>
          </w:p>
        </w:tc>
        <w:tc>
          <w:tcPr>
            <w:tcW w:w="1438" w:type="dxa"/>
            <w:vAlign w:val="top"/>
          </w:tcPr>
          <w:p w14:paraId="292720AA">
            <w:pPr>
              <w:rPr>
                <w:rFonts w:ascii="Arial"/>
                <w:sz w:val="21"/>
              </w:rPr>
            </w:pPr>
          </w:p>
        </w:tc>
        <w:tc>
          <w:tcPr>
            <w:tcW w:w="1249" w:type="dxa"/>
            <w:vAlign w:val="top"/>
          </w:tcPr>
          <w:p w14:paraId="26EE092B">
            <w:pPr>
              <w:rPr>
                <w:rFonts w:ascii="Arial"/>
                <w:sz w:val="21"/>
              </w:rPr>
            </w:pPr>
          </w:p>
        </w:tc>
        <w:tc>
          <w:tcPr>
            <w:tcW w:w="1458" w:type="dxa"/>
            <w:vAlign w:val="top"/>
          </w:tcPr>
          <w:p w14:paraId="1CE1CEFE">
            <w:pPr>
              <w:rPr>
                <w:rFonts w:ascii="Arial"/>
                <w:sz w:val="21"/>
              </w:rPr>
            </w:pPr>
          </w:p>
        </w:tc>
        <w:tc>
          <w:tcPr>
            <w:tcW w:w="1663" w:type="dxa"/>
            <w:vAlign w:val="top"/>
          </w:tcPr>
          <w:p w14:paraId="33CBCC16">
            <w:pPr>
              <w:rPr>
                <w:rFonts w:ascii="Arial"/>
                <w:sz w:val="21"/>
              </w:rPr>
            </w:pPr>
          </w:p>
        </w:tc>
      </w:tr>
      <w:tr w14:paraId="6B9D42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0" w:hRule="atLeast"/>
        </w:trPr>
        <w:tc>
          <w:tcPr>
            <w:tcW w:w="1953" w:type="dxa"/>
            <w:vAlign w:val="top"/>
          </w:tcPr>
          <w:p w14:paraId="6328EED8">
            <w:pPr>
              <w:rPr>
                <w:rFonts w:ascii="Arial"/>
                <w:sz w:val="21"/>
              </w:rPr>
            </w:pPr>
          </w:p>
        </w:tc>
        <w:tc>
          <w:tcPr>
            <w:tcW w:w="1259" w:type="dxa"/>
            <w:vAlign w:val="top"/>
          </w:tcPr>
          <w:p w14:paraId="00492C5F">
            <w:pPr>
              <w:rPr>
                <w:rFonts w:ascii="Arial"/>
                <w:sz w:val="21"/>
              </w:rPr>
            </w:pPr>
          </w:p>
        </w:tc>
        <w:tc>
          <w:tcPr>
            <w:tcW w:w="1438" w:type="dxa"/>
            <w:vAlign w:val="top"/>
          </w:tcPr>
          <w:p w14:paraId="09B3E44B">
            <w:pPr>
              <w:rPr>
                <w:rFonts w:ascii="Arial"/>
                <w:sz w:val="21"/>
              </w:rPr>
            </w:pPr>
          </w:p>
        </w:tc>
        <w:tc>
          <w:tcPr>
            <w:tcW w:w="1249" w:type="dxa"/>
            <w:vAlign w:val="top"/>
          </w:tcPr>
          <w:p w14:paraId="70FDDEB1">
            <w:pPr>
              <w:rPr>
                <w:rFonts w:ascii="Arial"/>
                <w:sz w:val="21"/>
              </w:rPr>
            </w:pPr>
          </w:p>
        </w:tc>
        <w:tc>
          <w:tcPr>
            <w:tcW w:w="1458" w:type="dxa"/>
            <w:vAlign w:val="top"/>
          </w:tcPr>
          <w:p w14:paraId="01951D26">
            <w:pPr>
              <w:rPr>
                <w:rFonts w:ascii="Arial"/>
                <w:sz w:val="21"/>
              </w:rPr>
            </w:pPr>
          </w:p>
        </w:tc>
        <w:tc>
          <w:tcPr>
            <w:tcW w:w="1663" w:type="dxa"/>
            <w:vAlign w:val="top"/>
          </w:tcPr>
          <w:p w14:paraId="7591FF52">
            <w:pPr>
              <w:rPr>
                <w:rFonts w:ascii="Arial"/>
                <w:sz w:val="21"/>
              </w:rPr>
            </w:pPr>
          </w:p>
        </w:tc>
      </w:tr>
      <w:tr w14:paraId="65B2B4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9" w:hRule="atLeast"/>
        </w:trPr>
        <w:tc>
          <w:tcPr>
            <w:tcW w:w="1953" w:type="dxa"/>
            <w:vAlign w:val="top"/>
          </w:tcPr>
          <w:p w14:paraId="6427A32E">
            <w:pPr>
              <w:rPr>
                <w:rFonts w:ascii="Arial"/>
                <w:sz w:val="21"/>
              </w:rPr>
            </w:pPr>
          </w:p>
        </w:tc>
        <w:tc>
          <w:tcPr>
            <w:tcW w:w="1259" w:type="dxa"/>
            <w:vAlign w:val="top"/>
          </w:tcPr>
          <w:p w14:paraId="1BC17080">
            <w:pPr>
              <w:rPr>
                <w:rFonts w:ascii="Arial"/>
                <w:sz w:val="21"/>
              </w:rPr>
            </w:pPr>
          </w:p>
        </w:tc>
        <w:tc>
          <w:tcPr>
            <w:tcW w:w="1438" w:type="dxa"/>
            <w:vAlign w:val="top"/>
          </w:tcPr>
          <w:p w14:paraId="48F03D24">
            <w:pPr>
              <w:rPr>
                <w:rFonts w:ascii="Arial"/>
                <w:sz w:val="21"/>
              </w:rPr>
            </w:pPr>
          </w:p>
        </w:tc>
        <w:tc>
          <w:tcPr>
            <w:tcW w:w="1249" w:type="dxa"/>
            <w:vAlign w:val="top"/>
          </w:tcPr>
          <w:p w14:paraId="6D9E8E22">
            <w:pPr>
              <w:rPr>
                <w:rFonts w:ascii="Arial"/>
                <w:sz w:val="21"/>
              </w:rPr>
            </w:pPr>
          </w:p>
        </w:tc>
        <w:tc>
          <w:tcPr>
            <w:tcW w:w="1458" w:type="dxa"/>
            <w:vAlign w:val="top"/>
          </w:tcPr>
          <w:p w14:paraId="08F85314">
            <w:pPr>
              <w:rPr>
                <w:rFonts w:ascii="Arial"/>
                <w:sz w:val="21"/>
              </w:rPr>
            </w:pPr>
          </w:p>
        </w:tc>
        <w:tc>
          <w:tcPr>
            <w:tcW w:w="1663" w:type="dxa"/>
            <w:vAlign w:val="top"/>
          </w:tcPr>
          <w:p w14:paraId="60649820">
            <w:pPr>
              <w:rPr>
                <w:rFonts w:ascii="Arial"/>
                <w:sz w:val="21"/>
              </w:rPr>
            </w:pPr>
          </w:p>
        </w:tc>
      </w:tr>
      <w:tr w14:paraId="44F852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0" w:hRule="atLeast"/>
        </w:trPr>
        <w:tc>
          <w:tcPr>
            <w:tcW w:w="1953" w:type="dxa"/>
            <w:vAlign w:val="top"/>
          </w:tcPr>
          <w:p w14:paraId="14EDA4B1">
            <w:pPr>
              <w:rPr>
                <w:rFonts w:ascii="Arial"/>
                <w:sz w:val="21"/>
              </w:rPr>
            </w:pPr>
          </w:p>
        </w:tc>
        <w:tc>
          <w:tcPr>
            <w:tcW w:w="1259" w:type="dxa"/>
            <w:vAlign w:val="top"/>
          </w:tcPr>
          <w:p w14:paraId="4C800A39">
            <w:pPr>
              <w:rPr>
                <w:rFonts w:ascii="Arial"/>
                <w:sz w:val="21"/>
              </w:rPr>
            </w:pPr>
          </w:p>
        </w:tc>
        <w:tc>
          <w:tcPr>
            <w:tcW w:w="1438" w:type="dxa"/>
            <w:vAlign w:val="top"/>
          </w:tcPr>
          <w:p w14:paraId="5F9EF147">
            <w:pPr>
              <w:rPr>
                <w:rFonts w:ascii="Arial"/>
                <w:sz w:val="21"/>
              </w:rPr>
            </w:pPr>
          </w:p>
        </w:tc>
        <w:tc>
          <w:tcPr>
            <w:tcW w:w="1249" w:type="dxa"/>
            <w:vAlign w:val="top"/>
          </w:tcPr>
          <w:p w14:paraId="7F520AD3">
            <w:pPr>
              <w:rPr>
                <w:rFonts w:ascii="Arial"/>
                <w:sz w:val="21"/>
              </w:rPr>
            </w:pPr>
          </w:p>
        </w:tc>
        <w:tc>
          <w:tcPr>
            <w:tcW w:w="1458" w:type="dxa"/>
            <w:vAlign w:val="top"/>
          </w:tcPr>
          <w:p w14:paraId="7A905E9A">
            <w:pPr>
              <w:rPr>
                <w:rFonts w:ascii="Arial"/>
                <w:sz w:val="21"/>
              </w:rPr>
            </w:pPr>
          </w:p>
        </w:tc>
        <w:tc>
          <w:tcPr>
            <w:tcW w:w="1663" w:type="dxa"/>
            <w:vAlign w:val="top"/>
          </w:tcPr>
          <w:p w14:paraId="72F5356C">
            <w:pPr>
              <w:rPr>
                <w:rFonts w:ascii="Arial"/>
                <w:sz w:val="21"/>
              </w:rPr>
            </w:pPr>
          </w:p>
        </w:tc>
      </w:tr>
      <w:tr w14:paraId="581682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1953" w:type="dxa"/>
            <w:vAlign w:val="top"/>
          </w:tcPr>
          <w:p w14:paraId="168B21E1">
            <w:pPr>
              <w:rPr>
                <w:rFonts w:ascii="Arial"/>
                <w:sz w:val="21"/>
              </w:rPr>
            </w:pPr>
          </w:p>
        </w:tc>
        <w:tc>
          <w:tcPr>
            <w:tcW w:w="1259" w:type="dxa"/>
            <w:vAlign w:val="top"/>
          </w:tcPr>
          <w:p w14:paraId="0B9AE144">
            <w:pPr>
              <w:rPr>
                <w:rFonts w:ascii="Arial"/>
                <w:sz w:val="21"/>
              </w:rPr>
            </w:pPr>
          </w:p>
        </w:tc>
        <w:tc>
          <w:tcPr>
            <w:tcW w:w="1438" w:type="dxa"/>
            <w:vAlign w:val="top"/>
          </w:tcPr>
          <w:p w14:paraId="5DC8DAD1">
            <w:pPr>
              <w:rPr>
                <w:rFonts w:ascii="Arial"/>
                <w:sz w:val="21"/>
              </w:rPr>
            </w:pPr>
          </w:p>
        </w:tc>
        <w:tc>
          <w:tcPr>
            <w:tcW w:w="1249" w:type="dxa"/>
            <w:vAlign w:val="top"/>
          </w:tcPr>
          <w:p w14:paraId="52A6B443">
            <w:pPr>
              <w:rPr>
                <w:rFonts w:ascii="Arial"/>
                <w:sz w:val="21"/>
              </w:rPr>
            </w:pPr>
          </w:p>
        </w:tc>
        <w:tc>
          <w:tcPr>
            <w:tcW w:w="1458" w:type="dxa"/>
            <w:vAlign w:val="top"/>
          </w:tcPr>
          <w:p w14:paraId="1A4ACE0D">
            <w:pPr>
              <w:rPr>
                <w:rFonts w:ascii="Arial"/>
                <w:sz w:val="21"/>
              </w:rPr>
            </w:pPr>
          </w:p>
        </w:tc>
        <w:tc>
          <w:tcPr>
            <w:tcW w:w="1663" w:type="dxa"/>
            <w:vAlign w:val="top"/>
          </w:tcPr>
          <w:p w14:paraId="1BE21D75">
            <w:pPr>
              <w:rPr>
                <w:rFonts w:ascii="Arial"/>
                <w:sz w:val="21"/>
              </w:rPr>
            </w:pPr>
          </w:p>
        </w:tc>
      </w:tr>
      <w:tr w14:paraId="0EFE8D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1953" w:type="dxa"/>
            <w:vAlign w:val="top"/>
          </w:tcPr>
          <w:p w14:paraId="4895EB91">
            <w:pPr>
              <w:rPr>
                <w:rFonts w:ascii="Arial"/>
                <w:sz w:val="21"/>
              </w:rPr>
            </w:pPr>
          </w:p>
        </w:tc>
        <w:tc>
          <w:tcPr>
            <w:tcW w:w="1259" w:type="dxa"/>
            <w:vAlign w:val="top"/>
          </w:tcPr>
          <w:p w14:paraId="7D5BB8C9">
            <w:pPr>
              <w:rPr>
                <w:rFonts w:ascii="Arial"/>
                <w:sz w:val="21"/>
              </w:rPr>
            </w:pPr>
          </w:p>
        </w:tc>
        <w:tc>
          <w:tcPr>
            <w:tcW w:w="1438" w:type="dxa"/>
            <w:vAlign w:val="top"/>
          </w:tcPr>
          <w:p w14:paraId="54F4A373">
            <w:pPr>
              <w:rPr>
                <w:rFonts w:ascii="Arial"/>
                <w:sz w:val="21"/>
              </w:rPr>
            </w:pPr>
          </w:p>
        </w:tc>
        <w:tc>
          <w:tcPr>
            <w:tcW w:w="1249" w:type="dxa"/>
            <w:vAlign w:val="top"/>
          </w:tcPr>
          <w:p w14:paraId="503289F2">
            <w:pPr>
              <w:rPr>
                <w:rFonts w:ascii="Arial"/>
                <w:sz w:val="21"/>
              </w:rPr>
            </w:pPr>
          </w:p>
        </w:tc>
        <w:tc>
          <w:tcPr>
            <w:tcW w:w="1458" w:type="dxa"/>
            <w:vAlign w:val="top"/>
          </w:tcPr>
          <w:p w14:paraId="6DD11B49">
            <w:pPr>
              <w:rPr>
                <w:rFonts w:ascii="Arial"/>
                <w:sz w:val="21"/>
              </w:rPr>
            </w:pPr>
          </w:p>
        </w:tc>
        <w:tc>
          <w:tcPr>
            <w:tcW w:w="1663" w:type="dxa"/>
            <w:vAlign w:val="top"/>
          </w:tcPr>
          <w:p w14:paraId="4D639825">
            <w:pPr>
              <w:rPr>
                <w:rFonts w:ascii="Arial"/>
                <w:sz w:val="21"/>
              </w:rPr>
            </w:pPr>
          </w:p>
        </w:tc>
      </w:tr>
      <w:tr w14:paraId="27DD7D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9" w:hRule="atLeast"/>
        </w:trPr>
        <w:tc>
          <w:tcPr>
            <w:tcW w:w="1953" w:type="dxa"/>
            <w:vAlign w:val="top"/>
          </w:tcPr>
          <w:p w14:paraId="60278494">
            <w:pPr>
              <w:rPr>
                <w:rFonts w:ascii="Arial"/>
                <w:sz w:val="21"/>
              </w:rPr>
            </w:pPr>
          </w:p>
        </w:tc>
        <w:tc>
          <w:tcPr>
            <w:tcW w:w="1259" w:type="dxa"/>
            <w:vAlign w:val="top"/>
          </w:tcPr>
          <w:p w14:paraId="194449DA">
            <w:pPr>
              <w:rPr>
                <w:rFonts w:ascii="Arial"/>
                <w:sz w:val="21"/>
              </w:rPr>
            </w:pPr>
          </w:p>
        </w:tc>
        <w:tc>
          <w:tcPr>
            <w:tcW w:w="1438" w:type="dxa"/>
            <w:vAlign w:val="top"/>
          </w:tcPr>
          <w:p w14:paraId="2BD21FEC">
            <w:pPr>
              <w:rPr>
                <w:rFonts w:ascii="Arial"/>
                <w:sz w:val="21"/>
              </w:rPr>
            </w:pPr>
          </w:p>
        </w:tc>
        <w:tc>
          <w:tcPr>
            <w:tcW w:w="1249" w:type="dxa"/>
            <w:vAlign w:val="top"/>
          </w:tcPr>
          <w:p w14:paraId="37B6660F">
            <w:pPr>
              <w:rPr>
                <w:rFonts w:ascii="Arial"/>
                <w:sz w:val="21"/>
              </w:rPr>
            </w:pPr>
          </w:p>
        </w:tc>
        <w:tc>
          <w:tcPr>
            <w:tcW w:w="1458" w:type="dxa"/>
            <w:vAlign w:val="top"/>
          </w:tcPr>
          <w:p w14:paraId="48B01CD1">
            <w:pPr>
              <w:rPr>
                <w:rFonts w:ascii="Arial"/>
                <w:sz w:val="21"/>
              </w:rPr>
            </w:pPr>
          </w:p>
        </w:tc>
        <w:tc>
          <w:tcPr>
            <w:tcW w:w="1663" w:type="dxa"/>
            <w:vAlign w:val="top"/>
          </w:tcPr>
          <w:p w14:paraId="4413706B">
            <w:pPr>
              <w:rPr>
                <w:rFonts w:ascii="Arial"/>
                <w:sz w:val="21"/>
              </w:rPr>
            </w:pPr>
          </w:p>
        </w:tc>
      </w:tr>
      <w:tr w14:paraId="39D403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5" w:hRule="atLeast"/>
        </w:trPr>
        <w:tc>
          <w:tcPr>
            <w:tcW w:w="1953" w:type="dxa"/>
            <w:vAlign w:val="top"/>
          </w:tcPr>
          <w:p w14:paraId="3B7065F4">
            <w:pPr>
              <w:rPr>
                <w:rFonts w:ascii="Arial"/>
                <w:sz w:val="21"/>
              </w:rPr>
            </w:pPr>
          </w:p>
        </w:tc>
        <w:tc>
          <w:tcPr>
            <w:tcW w:w="1259" w:type="dxa"/>
            <w:vAlign w:val="top"/>
          </w:tcPr>
          <w:p w14:paraId="447B2E6C">
            <w:pPr>
              <w:rPr>
                <w:rFonts w:ascii="Arial"/>
                <w:sz w:val="21"/>
              </w:rPr>
            </w:pPr>
          </w:p>
        </w:tc>
        <w:tc>
          <w:tcPr>
            <w:tcW w:w="1438" w:type="dxa"/>
            <w:vAlign w:val="top"/>
          </w:tcPr>
          <w:p w14:paraId="64DB09AD">
            <w:pPr>
              <w:rPr>
                <w:rFonts w:ascii="Arial"/>
                <w:sz w:val="21"/>
              </w:rPr>
            </w:pPr>
          </w:p>
        </w:tc>
        <w:tc>
          <w:tcPr>
            <w:tcW w:w="1249" w:type="dxa"/>
            <w:vAlign w:val="top"/>
          </w:tcPr>
          <w:p w14:paraId="41EEB970">
            <w:pPr>
              <w:rPr>
                <w:rFonts w:ascii="Arial"/>
                <w:sz w:val="21"/>
              </w:rPr>
            </w:pPr>
          </w:p>
        </w:tc>
        <w:tc>
          <w:tcPr>
            <w:tcW w:w="1458" w:type="dxa"/>
            <w:vAlign w:val="top"/>
          </w:tcPr>
          <w:p w14:paraId="40A2D1D6">
            <w:pPr>
              <w:rPr>
                <w:rFonts w:ascii="Arial"/>
                <w:sz w:val="21"/>
              </w:rPr>
            </w:pPr>
          </w:p>
        </w:tc>
        <w:tc>
          <w:tcPr>
            <w:tcW w:w="1663" w:type="dxa"/>
            <w:vAlign w:val="top"/>
          </w:tcPr>
          <w:p w14:paraId="63E9B9DA">
            <w:pPr>
              <w:rPr>
                <w:rFonts w:ascii="Arial"/>
                <w:sz w:val="21"/>
              </w:rPr>
            </w:pPr>
          </w:p>
        </w:tc>
      </w:tr>
    </w:tbl>
    <w:p w14:paraId="137E8E5E">
      <w:pPr>
        <w:rPr>
          <w:rFonts w:ascii="Arial"/>
          <w:sz w:val="21"/>
        </w:rPr>
      </w:pPr>
    </w:p>
    <w:p w14:paraId="531169D5">
      <w:pPr>
        <w:rPr>
          <w:rFonts w:ascii="Arial" w:hAnsi="Arial" w:eastAsia="Arial" w:cs="Arial"/>
          <w:sz w:val="21"/>
          <w:szCs w:val="21"/>
        </w:rPr>
        <w:sectPr>
          <w:footerReference r:id="rId275" w:type="default"/>
          <w:pgSz w:w="11910" w:h="16840"/>
          <w:pgMar w:top="400" w:right="1484" w:bottom="1024" w:left="1395" w:header="0" w:footer="889" w:gutter="0"/>
          <w:cols w:space="720" w:num="1"/>
        </w:sectPr>
      </w:pPr>
    </w:p>
    <w:p w14:paraId="6C3EAC6E">
      <w:pPr>
        <w:spacing w:line="257" w:lineRule="auto"/>
        <w:rPr>
          <w:rFonts w:ascii="Arial"/>
          <w:sz w:val="21"/>
        </w:rPr>
      </w:pPr>
    </w:p>
    <w:p w14:paraId="61449B6D">
      <w:pPr>
        <w:spacing w:line="257" w:lineRule="auto"/>
        <w:rPr>
          <w:rFonts w:ascii="Arial"/>
          <w:sz w:val="21"/>
        </w:rPr>
      </w:pPr>
    </w:p>
    <w:p w14:paraId="1F18F04D">
      <w:pPr>
        <w:spacing w:line="257" w:lineRule="auto"/>
        <w:rPr>
          <w:rFonts w:ascii="Arial"/>
          <w:sz w:val="21"/>
        </w:rPr>
      </w:pPr>
    </w:p>
    <w:p w14:paraId="4559AD8F">
      <w:pPr>
        <w:spacing w:line="257" w:lineRule="auto"/>
        <w:rPr>
          <w:rFonts w:ascii="Arial"/>
          <w:sz w:val="21"/>
        </w:rPr>
      </w:pPr>
    </w:p>
    <w:p w14:paraId="662E44D6">
      <w:pPr>
        <w:spacing w:line="257" w:lineRule="auto"/>
        <w:rPr>
          <w:rFonts w:ascii="Arial"/>
          <w:sz w:val="21"/>
        </w:rPr>
      </w:pPr>
    </w:p>
    <w:p w14:paraId="24C72D6E">
      <w:pPr>
        <w:pStyle w:val="2"/>
        <w:spacing w:before="82" w:line="219" w:lineRule="auto"/>
        <w:ind w:left="58"/>
      </w:pPr>
      <w:r>
        <w:rPr>
          <w:b/>
          <w:bCs/>
          <w:spacing w:val="-3"/>
        </w:rPr>
        <w:t>附件5:承包人用于本工程施工的机械设备表</w:t>
      </w:r>
    </w:p>
    <w:p w14:paraId="1F992836">
      <w:pPr>
        <w:spacing w:line="23" w:lineRule="exact"/>
      </w:pPr>
    </w:p>
    <w:tbl>
      <w:tblPr>
        <w:tblStyle w:val="5"/>
        <w:tblW w:w="896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4"/>
        <w:gridCol w:w="1438"/>
        <w:gridCol w:w="829"/>
        <w:gridCol w:w="719"/>
        <w:gridCol w:w="839"/>
        <w:gridCol w:w="859"/>
        <w:gridCol w:w="1269"/>
        <w:gridCol w:w="1269"/>
        <w:gridCol w:w="1014"/>
      </w:tblGrid>
      <w:tr w14:paraId="0DBEC0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4" w:hRule="atLeast"/>
        </w:trPr>
        <w:tc>
          <w:tcPr>
            <w:tcW w:w="724" w:type="dxa"/>
            <w:vAlign w:val="top"/>
          </w:tcPr>
          <w:p w14:paraId="67071CF0">
            <w:pPr>
              <w:spacing w:line="344" w:lineRule="auto"/>
              <w:rPr>
                <w:rFonts w:ascii="Arial"/>
                <w:sz w:val="21"/>
              </w:rPr>
            </w:pPr>
          </w:p>
          <w:p w14:paraId="6E15C75C">
            <w:pPr>
              <w:pStyle w:val="6"/>
              <w:spacing w:before="68" w:line="221" w:lineRule="auto"/>
              <w:ind w:left="124"/>
            </w:pPr>
            <w:r>
              <w:rPr>
                <w:spacing w:val="6"/>
              </w:rPr>
              <w:t>序号</w:t>
            </w:r>
          </w:p>
        </w:tc>
        <w:tc>
          <w:tcPr>
            <w:tcW w:w="1438" w:type="dxa"/>
            <w:vAlign w:val="top"/>
          </w:tcPr>
          <w:p w14:paraId="5340C771">
            <w:pPr>
              <w:pStyle w:val="6"/>
              <w:spacing w:before="182" w:line="317" w:lineRule="auto"/>
              <w:ind w:left="500" w:right="204" w:hanging="320"/>
            </w:pPr>
            <w:r>
              <w:rPr>
                <w:spacing w:val="-2"/>
              </w:rPr>
              <w:t>机械或设备</w:t>
            </w:r>
            <w:r>
              <w:rPr>
                <w:spacing w:val="1"/>
              </w:rPr>
              <w:t xml:space="preserve"> </w:t>
            </w:r>
            <w:r>
              <w:rPr>
                <w:spacing w:val="5"/>
              </w:rPr>
              <w:t>名称</w:t>
            </w:r>
          </w:p>
        </w:tc>
        <w:tc>
          <w:tcPr>
            <w:tcW w:w="829" w:type="dxa"/>
            <w:vAlign w:val="top"/>
          </w:tcPr>
          <w:p w14:paraId="4FD2E649">
            <w:pPr>
              <w:pStyle w:val="6"/>
              <w:spacing w:before="194" w:line="312" w:lineRule="auto"/>
              <w:ind w:left="192" w:right="193"/>
            </w:pPr>
            <w:r>
              <w:rPr>
                <w:spacing w:val="-5"/>
              </w:rPr>
              <w:t>规格</w:t>
            </w:r>
            <w:r>
              <w:t xml:space="preserve"> </w:t>
            </w:r>
            <w:r>
              <w:rPr>
                <w:spacing w:val="6"/>
              </w:rPr>
              <w:t>型号</w:t>
            </w:r>
          </w:p>
        </w:tc>
        <w:tc>
          <w:tcPr>
            <w:tcW w:w="719" w:type="dxa"/>
            <w:vAlign w:val="top"/>
          </w:tcPr>
          <w:p w14:paraId="5ED5F2A6">
            <w:pPr>
              <w:spacing w:line="343" w:lineRule="auto"/>
              <w:rPr>
                <w:rFonts w:ascii="Arial"/>
                <w:sz w:val="21"/>
              </w:rPr>
            </w:pPr>
          </w:p>
          <w:p w14:paraId="44F6B9C8">
            <w:pPr>
              <w:pStyle w:val="6"/>
              <w:spacing w:before="68" w:line="219" w:lineRule="auto"/>
              <w:ind w:left="163"/>
            </w:pPr>
            <w:r>
              <w:rPr>
                <w:spacing w:val="-3"/>
              </w:rPr>
              <w:t>数量</w:t>
            </w:r>
          </w:p>
        </w:tc>
        <w:tc>
          <w:tcPr>
            <w:tcW w:w="839" w:type="dxa"/>
            <w:vAlign w:val="top"/>
          </w:tcPr>
          <w:p w14:paraId="6E7FC294">
            <w:pPr>
              <w:spacing w:line="343" w:lineRule="auto"/>
              <w:rPr>
                <w:rFonts w:ascii="Arial"/>
                <w:sz w:val="21"/>
              </w:rPr>
            </w:pPr>
          </w:p>
          <w:p w14:paraId="528BA4E4">
            <w:pPr>
              <w:pStyle w:val="6"/>
              <w:spacing w:before="68" w:line="219" w:lineRule="auto"/>
              <w:ind w:left="204"/>
            </w:pPr>
            <w:r>
              <w:rPr>
                <w:spacing w:val="-3"/>
              </w:rPr>
              <w:t>产地</w:t>
            </w:r>
          </w:p>
        </w:tc>
        <w:tc>
          <w:tcPr>
            <w:tcW w:w="859" w:type="dxa"/>
            <w:vAlign w:val="top"/>
          </w:tcPr>
          <w:p w14:paraId="2D56DBC9">
            <w:pPr>
              <w:pStyle w:val="6"/>
              <w:spacing w:before="194" w:line="220" w:lineRule="auto"/>
              <w:ind w:left="215"/>
            </w:pPr>
            <w:r>
              <w:rPr>
                <w:spacing w:val="-3"/>
              </w:rPr>
              <w:t>制造</w:t>
            </w:r>
          </w:p>
          <w:p w14:paraId="799915DD">
            <w:pPr>
              <w:pStyle w:val="6"/>
              <w:spacing w:before="189" w:line="219" w:lineRule="auto"/>
              <w:ind w:left="215"/>
            </w:pPr>
            <w:r>
              <w:rPr>
                <w:spacing w:val="-3"/>
              </w:rPr>
              <w:t>年份</w:t>
            </w:r>
          </w:p>
        </w:tc>
        <w:tc>
          <w:tcPr>
            <w:tcW w:w="1269" w:type="dxa"/>
            <w:vAlign w:val="top"/>
          </w:tcPr>
          <w:p w14:paraId="7337997D">
            <w:pPr>
              <w:pStyle w:val="6"/>
              <w:spacing w:before="193" w:line="219" w:lineRule="auto"/>
              <w:ind w:left="206"/>
            </w:pPr>
            <w:r>
              <w:rPr>
                <w:spacing w:val="-2"/>
              </w:rPr>
              <w:t>额定功率</w:t>
            </w:r>
          </w:p>
          <w:p w14:paraId="785722EB">
            <w:pPr>
              <w:pStyle w:val="6"/>
              <w:spacing w:before="193" w:line="222" w:lineRule="auto"/>
              <w:ind w:left="416"/>
            </w:pPr>
            <w:r>
              <w:rPr>
                <w:spacing w:val="-9"/>
              </w:rPr>
              <w:t>(kW)</w:t>
            </w:r>
          </w:p>
        </w:tc>
        <w:tc>
          <w:tcPr>
            <w:tcW w:w="1269" w:type="dxa"/>
            <w:vAlign w:val="top"/>
          </w:tcPr>
          <w:p w14:paraId="23F7C178">
            <w:pPr>
              <w:spacing w:line="343" w:lineRule="auto"/>
              <w:rPr>
                <w:rFonts w:ascii="Arial"/>
                <w:sz w:val="21"/>
              </w:rPr>
            </w:pPr>
          </w:p>
          <w:p w14:paraId="3AD21515">
            <w:pPr>
              <w:pStyle w:val="6"/>
              <w:spacing w:before="68" w:line="219" w:lineRule="auto"/>
              <w:ind w:left="207"/>
            </w:pPr>
            <w:r>
              <w:rPr>
                <w:spacing w:val="4"/>
              </w:rPr>
              <w:t>生产能力</w:t>
            </w:r>
          </w:p>
        </w:tc>
        <w:tc>
          <w:tcPr>
            <w:tcW w:w="1014" w:type="dxa"/>
            <w:vAlign w:val="top"/>
          </w:tcPr>
          <w:p w14:paraId="6C360695">
            <w:pPr>
              <w:spacing w:line="344" w:lineRule="auto"/>
              <w:rPr>
                <w:rFonts w:ascii="Arial"/>
                <w:sz w:val="21"/>
              </w:rPr>
            </w:pPr>
          </w:p>
          <w:p w14:paraId="41C76425">
            <w:pPr>
              <w:pStyle w:val="6"/>
              <w:spacing w:before="68" w:line="221" w:lineRule="auto"/>
              <w:ind w:left="318"/>
            </w:pPr>
            <w:r>
              <w:rPr>
                <w:spacing w:val="5"/>
              </w:rPr>
              <w:t>备注</w:t>
            </w:r>
          </w:p>
        </w:tc>
      </w:tr>
      <w:tr w14:paraId="29EC49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trPr>
        <w:tc>
          <w:tcPr>
            <w:tcW w:w="724" w:type="dxa"/>
            <w:vAlign w:val="top"/>
          </w:tcPr>
          <w:p w14:paraId="78664B8A">
            <w:pPr>
              <w:rPr>
                <w:rFonts w:ascii="Arial"/>
                <w:sz w:val="21"/>
              </w:rPr>
            </w:pPr>
          </w:p>
        </w:tc>
        <w:tc>
          <w:tcPr>
            <w:tcW w:w="1438" w:type="dxa"/>
            <w:vAlign w:val="top"/>
          </w:tcPr>
          <w:p w14:paraId="4D4293A6">
            <w:pPr>
              <w:rPr>
                <w:rFonts w:ascii="Arial"/>
                <w:sz w:val="21"/>
              </w:rPr>
            </w:pPr>
          </w:p>
        </w:tc>
        <w:tc>
          <w:tcPr>
            <w:tcW w:w="829" w:type="dxa"/>
            <w:vAlign w:val="top"/>
          </w:tcPr>
          <w:p w14:paraId="33E77383">
            <w:pPr>
              <w:rPr>
                <w:rFonts w:ascii="Arial"/>
                <w:sz w:val="21"/>
              </w:rPr>
            </w:pPr>
          </w:p>
        </w:tc>
        <w:tc>
          <w:tcPr>
            <w:tcW w:w="719" w:type="dxa"/>
            <w:vAlign w:val="top"/>
          </w:tcPr>
          <w:p w14:paraId="4C37505B">
            <w:pPr>
              <w:rPr>
                <w:rFonts w:ascii="Arial"/>
                <w:sz w:val="21"/>
              </w:rPr>
            </w:pPr>
          </w:p>
        </w:tc>
        <w:tc>
          <w:tcPr>
            <w:tcW w:w="839" w:type="dxa"/>
            <w:vAlign w:val="top"/>
          </w:tcPr>
          <w:p w14:paraId="6685F539">
            <w:pPr>
              <w:rPr>
                <w:rFonts w:ascii="Arial"/>
                <w:sz w:val="21"/>
              </w:rPr>
            </w:pPr>
          </w:p>
        </w:tc>
        <w:tc>
          <w:tcPr>
            <w:tcW w:w="859" w:type="dxa"/>
            <w:vAlign w:val="top"/>
          </w:tcPr>
          <w:p w14:paraId="690A53D6">
            <w:pPr>
              <w:rPr>
                <w:rFonts w:ascii="Arial"/>
                <w:sz w:val="21"/>
              </w:rPr>
            </w:pPr>
          </w:p>
        </w:tc>
        <w:tc>
          <w:tcPr>
            <w:tcW w:w="1269" w:type="dxa"/>
            <w:vAlign w:val="top"/>
          </w:tcPr>
          <w:p w14:paraId="2578FC7F">
            <w:pPr>
              <w:rPr>
                <w:rFonts w:ascii="Arial"/>
                <w:sz w:val="21"/>
              </w:rPr>
            </w:pPr>
          </w:p>
        </w:tc>
        <w:tc>
          <w:tcPr>
            <w:tcW w:w="1269" w:type="dxa"/>
            <w:vAlign w:val="top"/>
          </w:tcPr>
          <w:p w14:paraId="5F3397D0">
            <w:pPr>
              <w:rPr>
                <w:rFonts w:ascii="Arial"/>
                <w:sz w:val="21"/>
              </w:rPr>
            </w:pPr>
          </w:p>
        </w:tc>
        <w:tc>
          <w:tcPr>
            <w:tcW w:w="1014" w:type="dxa"/>
            <w:vAlign w:val="top"/>
          </w:tcPr>
          <w:p w14:paraId="7DE6D952">
            <w:pPr>
              <w:rPr>
                <w:rFonts w:ascii="Arial"/>
                <w:sz w:val="21"/>
              </w:rPr>
            </w:pPr>
          </w:p>
        </w:tc>
      </w:tr>
      <w:tr w14:paraId="56C103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49" w:hRule="atLeast"/>
        </w:trPr>
        <w:tc>
          <w:tcPr>
            <w:tcW w:w="724" w:type="dxa"/>
            <w:vAlign w:val="top"/>
          </w:tcPr>
          <w:p w14:paraId="1945CAAC">
            <w:pPr>
              <w:rPr>
                <w:rFonts w:ascii="Arial"/>
                <w:sz w:val="21"/>
              </w:rPr>
            </w:pPr>
          </w:p>
        </w:tc>
        <w:tc>
          <w:tcPr>
            <w:tcW w:w="1438" w:type="dxa"/>
            <w:vAlign w:val="top"/>
          </w:tcPr>
          <w:p w14:paraId="253FBDD4">
            <w:pPr>
              <w:rPr>
                <w:rFonts w:ascii="Arial"/>
                <w:sz w:val="21"/>
              </w:rPr>
            </w:pPr>
          </w:p>
        </w:tc>
        <w:tc>
          <w:tcPr>
            <w:tcW w:w="829" w:type="dxa"/>
            <w:vAlign w:val="top"/>
          </w:tcPr>
          <w:p w14:paraId="1A68DC01">
            <w:pPr>
              <w:rPr>
                <w:rFonts w:ascii="Arial"/>
                <w:sz w:val="21"/>
              </w:rPr>
            </w:pPr>
          </w:p>
        </w:tc>
        <w:tc>
          <w:tcPr>
            <w:tcW w:w="719" w:type="dxa"/>
            <w:vAlign w:val="top"/>
          </w:tcPr>
          <w:p w14:paraId="309F49DC">
            <w:pPr>
              <w:rPr>
                <w:rFonts w:ascii="Arial"/>
                <w:sz w:val="21"/>
              </w:rPr>
            </w:pPr>
          </w:p>
        </w:tc>
        <w:tc>
          <w:tcPr>
            <w:tcW w:w="839" w:type="dxa"/>
            <w:vAlign w:val="top"/>
          </w:tcPr>
          <w:p w14:paraId="0E781BAE">
            <w:pPr>
              <w:rPr>
                <w:rFonts w:ascii="Arial"/>
                <w:sz w:val="21"/>
              </w:rPr>
            </w:pPr>
          </w:p>
        </w:tc>
        <w:tc>
          <w:tcPr>
            <w:tcW w:w="859" w:type="dxa"/>
            <w:vAlign w:val="top"/>
          </w:tcPr>
          <w:p w14:paraId="3245039E">
            <w:pPr>
              <w:rPr>
                <w:rFonts w:ascii="Arial"/>
                <w:sz w:val="21"/>
              </w:rPr>
            </w:pPr>
          </w:p>
        </w:tc>
        <w:tc>
          <w:tcPr>
            <w:tcW w:w="1269" w:type="dxa"/>
            <w:vAlign w:val="top"/>
          </w:tcPr>
          <w:p w14:paraId="477B1294">
            <w:pPr>
              <w:rPr>
                <w:rFonts w:ascii="Arial"/>
                <w:sz w:val="21"/>
              </w:rPr>
            </w:pPr>
          </w:p>
        </w:tc>
        <w:tc>
          <w:tcPr>
            <w:tcW w:w="1269" w:type="dxa"/>
            <w:vAlign w:val="top"/>
          </w:tcPr>
          <w:p w14:paraId="7C2B60C7">
            <w:pPr>
              <w:rPr>
                <w:rFonts w:ascii="Arial"/>
                <w:sz w:val="21"/>
              </w:rPr>
            </w:pPr>
          </w:p>
        </w:tc>
        <w:tc>
          <w:tcPr>
            <w:tcW w:w="1014" w:type="dxa"/>
            <w:vAlign w:val="top"/>
          </w:tcPr>
          <w:p w14:paraId="13D7ACF8">
            <w:pPr>
              <w:rPr>
                <w:rFonts w:ascii="Arial"/>
                <w:sz w:val="21"/>
              </w:rPr>
            </w:pPr>
          </w:p>
        </w:tc>
      </w:tr>
      <w:tr w14:paraId="4268CE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9" w:hRule="atLeast"/>
        </w:trPr>
        <w:tc>
          <w:tcPr>
            <w:tcW w:w="724" w:type="dxa"/>
            <w:vAlign w:val="top"/>
          </w:tcPr>
          <w:p w14:paraId="3FE20274">
            <w:pPr>
              <w:rPr>
                <w:rFonts w:ascii="Arial"/>
                <w:sz w:val="21"/>
              </w:rPr>
            </w:pPr>
          </w:p>
        </w:tc>
        <w:tc>
          <w:tcPr>
            <w:tcW w:w="1438" w:type="dxa"/>
            <w:vAlign w:val="top"/>
          </w:tcPr>
          <w:p w14:paraId="4BF33DF3">
            <w:pPr>
              <w:rPr>
                <w:rFonts w:ascii="Arial"/>
                <w:sz w:val="21"/>
              </w:rPr>
            </w:pPr>
          </w:p>
        </w:tc>
        <w:tc>
          <w:tcPr>
            <w:tcW w:w="829" w:type="dxa"/>
            <w:vAlign w:val="top"/>
          </w:tcPr>
          <w:p w14:paraId="6C6205AE">
            <w:pPr>
              <w:rPr>
                <w:rFonts w:ascii="Arial"/>
                <w:sz w:val="21"/>
              </w:rPr>
            </w:pPr>
          </w:p>
        </w:tc>
        <w:tc>
          <w:tcPr>
            <w:tcW w:w="719" w:type="dxa"/>
            <w:vAlign w:val="top"/>
          </w:tcPr>
          <w:p w14:paraId="39DF479B">
            <w:pPr>
              <w:rPr>
                <w:rFonts w:ascii="Arial"/>
                <w:sz w:val="21"/>
              </w:rPr>
            </w:pPr>
          </w:p>
        </w:tc>
        <w:tc>
          <w:tcPr>
            <w:tcW w:w="839" w:type="dxa"/>
            <w:vAlign w:val="top"/>
          </w:tcPr>
          <w:p w14:paraId="6D79F3CA">
            <w:pPr>
              <w:rPr>
                <w:rFonts w:ascii="Arial"/>
                <w:sz w:val="21"/>
              </w:rPr>
            </w:pPr>
          </w:p>
        </w:tc>
        <w:tc>
          <w:tcPr>
            <w:tcW w:w="859" w:type="dxa"/>
            <w:vAlign w:val="top"/>
          </w:tcPr>
          <w:p w14:paraId="6B36B976">
            <w:pPr>
              <w:rPr>
                <w:rFonts w:ascii="Arial"/>
                <w:sz w:val="21"/>
              </w:rPr>
            </w:pPr>
          </w:p>
        </w:tc>
        <w:tc>
          <w:tcPr>
            <w:tcW w:w="1269" w:type="dxa"/>
            <w:vAlign w:val="top"/>
          </w:tcPr>
          <w:p w14:paraId="492E28A6">
            <w:pPr>
              <w:rPr>
                <w:rFonts w:ascii="Arial"/>
                <w:sz w:val="21"/>
              </w:rPr>
            </w:pPr>
          </w:p>
        </w:tc>
        <w:tc>
          <w:tcPr>
            <w:tcW w:w="1269" w:type="dxa"/>
            <w:vAlign w:val="top"/>
          </w:tcPr>
          <w:p w14:paraId="4335EDC6">
            <w:pPr>
              <w:rPr>
                <w:rFonts w:ascii="Arial"/>
                <w:sz w:val="21"/>
              </w:rPr>
            </w:pPr>
          </w:p>
        </w:tc>
        <w:tc>
          <w:tcPr>
            <w:tcW w:w="1014" w:type="dxa"/>
            <w:vAlign w:val="top"/>
          </w:tcPr>
          <w:p w14:paraId="42DFF046">
            <w:pPr>
              <w:rPr>
                <w:rFonts w:ascii="Arial"/>
                <w:sz w:val="21"/>
              </w:rPr>
            </w:pPr>
          </w:p>
        </w:tc>
      </w:tr>
      <w:tr w14:paraId="38D437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0" w:hRule="atLeast"/>
        </w:trPr>
        <w:tc>
          <w:tcPr>
            <w:tcW w:w="724" w:type="dxa"/>
            <w:vAlign w:val="top"/>
          </w:tcPr>
          <w:p w14:paraId="37AE53E0">
            <w:pPr>
              <w:rPr>
                <w:rFonts w:ascii="Arial"/>
                <w:sz w:val="21"/>
              </w:rPr>
            </w:pPr>
          </w:p>
        </w:tc>
        <w:tc>
          <w:tcPr>
            <w:tcW w:w="1438" w:type="dxa"/>
            <w:vAlign w:val="top"/>
          </w:tcPr>
          <w:p w14:paraId="6DBD8BB5">
            <w:pPr>
              <w:rPr>
                <w:rFonts w:ascii="Arial"/>
                <w:sz w:val="21"/>
              </w:rPr>
            </w:pPr>
          </w:p>
        </w:tc>
        <w:tc>
          <w:tcPr>
            <w:tcW w:w="829" w:type="dxa"/>
            <w:vAlign w:val="top"/>
          </w:tcPr>
          <w:p w14:paraId="6E901DFD">
            <w:pPr>
              <w:rPr>
                <w:rFonts w:ascii="Arial"/>
                <w:sz w:val="21"/>
              </w:rPr>
            </w:pPr>
          </w:p>
        </w:tc>
        <w:tc>
          <w:tcPr>
            <w:tcW w:w="719" w:type="dxa"/>
            <w:vAlign w:val="top"/>
          </w:tcPr>
          <w:p w14:paraId="2F9FE185">
            <w:pPr>
              <w:rPr>
                <w:rFonts w:ascii="Arial"/>
                <w:sz w:val="21"/>
              </w:rPr>
            </w:pPr>
          </w:p>
        </w:tc>
        <w:tc>
          <w:tcPr>
            <w:tcW w:w="839" w:type="dxa"/>
            <w:vAlign w:val="top"/>
          </w:tcPr>
          <w:p w14:paraId="58CCC704">
            <w:pPr>
              <w:rPr>
                <w:rFonts w:ascii="Arial"/>
                <w:sz w:val="21"/>
              </w:rPr>
            </w:pPr>
          </w:p>
        </w:tc>
        <w:tc>
          <w:tcPr>
            <w:tcW w:w="859" w:type="dxa"/>
            <w:vAlign w:val="top"/>
          </w:tcPr>
          <w:p w14:paraId="1375DDE8">
            <w:pPr>
              <w:rPr>
                <w:rFonts w:ascii="Arial"/>
                <w:sz w:val="21"/>
              </w:rPr>
            </w:pPr>
          </w:p>
        </w:tc>
        <w:tc>
          <w:tcPr>
            <w:tcW w:w="1269" w:type="dxa"/>
            <w:vAlign w:val="top"/>
          </w:tcPr>
          <w:p w14:paraId="032A78CD">
            <w:pPr>
              <w:rPr>
                <w:rFonts w:ascii="Arial"/>
                <w:sz w:val="21"/>
              </w:rPr>
            </w:pPr>
          </w:p>
        </w:tc>
        <w:tc>
          <w:tcPr>
            <w:tcW w:w="1269" w:type="dxa"/>
            <w:vAlign w:val="top"/>
          </w:tcPr>
          <w:p w14:paraId="6996E022">
            <w:pPr>
              <w:rPr>
                <w:rFonts w:ascii="Arial"/>
                <w:sz w:val="21"/>
              </w:rPr>
            </w:pPr>
          </w:p>
        </w:tc>
        <w:tc>
          <w:tcPr>
            <w:tcW w:w="1014" w:type="dxa"/>
            <w:vAlign w:val="top"/>
          </w:tcPr>
          <w:p w14:paraId="2C06AAFA">
            <w:pPr>
              <w:rPr>
                <w:rFonts w:ascii="Arial"/>
                <w:sz w:val="21"/>
              </w:rPr>
            </w:pPr>
          </w:p>
        </w:tc>
      </w:tr>
      <w:tr w14:paraId="034209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724" w:type="dxa"/>
            <w:vAlign w:val="top"/>
          </w:tcPr>
          <w:p w14:paraId="76E0908A">
            <w:pPr>
              <w:rPr>
                <w:rFonts w:ascii="Arial"/>
                <w:sz w:val="21"/>
              </w:rPr>
            </w:pPr>
          </w:p>
        </w:tc>
        <w:tc>
          <w:tcPr>
            <w:tcW w:w="1438" w:type="dxa"/>
            <w:vAlign w:val="top"/>
          </w:tcPr>
          <w:p w14:paraId="7755124C">
            <w:pPr>
              <w:rPr>
                <w:rFonts w:ascii="Arial"/>
                <w:sz w:val="21"/>
              </w:rPr>
            </w:pPr>
          </w:p>
        </w:tc>
        <w:tc>
          <w:tcPr>
            <w:tcW w:w="829" w:type="dxa"/>
            <w:vAlign w:val="top"/>
          </w:tcPr>
          <w:p w14:paraId="3D840966">
            <w:pPr>
              <w:rPr>
                <w:rFonts w:ascii="Arial"/>
                <w:sz w:val="21"/>
              </w:rPr>
            </w:pPr>
          </w:p>
        </w:tc>
        <w:tc>
          <w:tcPr>
            <w:tcW w:w="719" w:type="dxa"/>
            <w:vAlign w:val="top"/>
          </w:tcPr>
          <w:p w14:paraId="4938BE3F">
            <w:pPr>
              <w:rPr>
                <w:rFonts w:ascii="Arial"/>
                <w:sz w:val="21"/>
              </w:rPr>
            </w:pPr>
          </w:p>
        </w:tc>
        <w:tc>
          <w:tcPr>
            <w:tcW w:w="839" w:type="dxa"/>
            <w:vAlign w:val="top"/>
          </w:tcPr>
          <w:p w14:paraId="0F314AB0">
            <w:pPr>
              <w:rPr>
                <w:rFonts w:ascii="Arial"/>
                <w:sz w:val="21"/>
              </w:rPr>
            </w:pPr>
          </w:p>
        </w:tc>
        <w:tc>
          <w:tcPr>
            <w:tcW w:w="859" w:type="dxa"/>
            <w:vAlign w:val="top"/>
          </w:tcPr>
          <w:p w14:paraId="33E3EFB3">
            <w:pPr>
              <w:rPr>
                <w:rFonts w:ascii="Arial"/>
                <w:sz w:val="21"/>
              </w:rPr>
            </w:pPr>
          </w:p>
        </w:tc>
        <w:tc>
          <w:tcPr>
            <w:tcW w:w="1269" w:type="dxa"/>
            <w:vAlign w:val="top"/>
          </w:tcPr>
          <w:p w14:paraId="16CE62F3">
            <w:pPr>
              <w:rPr>
                <w:rFonts w:ascii="Arial"/>
                <w:sz w:val="21"/>
              </w:rPr>
            </w:pPr>
          </w:p>
        </w:tc>
        <w:tc>
          <w:tcPr>
            <w:tcW w:w="1269" w:type="dxa"/>
            <w:vAlign w:val="top"/>
          </w:tcPr>
          <w:p w14:paraId="105AF08B">
            <w:pPr>
              <w:rPr>
                <w:rFonts w:ascii="Arial"/>
                <w:sz w:val="21"/>
              </w:rPr>
            </w:pPr>
          </w:p>
        </w:tc>
        <w:tc>
          <w:tcPr>
            <w:tcW w:w="1014" w:type="dxa"/>
            <w:vAlign w:val="top"/>
          </w:tcPr>
          <w:p w14:paraId="507D6038">
            <w:pPr>
              <w:rPr>
                <w:rFonts w:ascii="Arial"/>
                <w:sz w:val="21"/>
              </w:rPr>
            </w:pPr>
          </w:p>
        </w:tc>
      </w:tr>
      <w:tr w14:paraId="510D92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0" w:hRule="atLeast"/>
        </w:trPr>
        <w:tc>
          <w:tcPr>
            <w:tcW w:w="724" w:type="dxa"/>
            <w:vAlign w:val="top"/>
          </w:tcPr>
          <w:p w14:paraId="565CE233">
            <w:pPr>
              <w:rPr>
                <w:rFonts w:ascii="Arial"/>
                <w:sz w:val="21"/>
              </w:rPr>
            </w:pPr>
          </w:p>
        </w:tc>
        <w:tc>
          <w:tcPr>
            <w:tcW w:w="1438" w:type="dxa"/>
            <w:vAlign w:val="top"/>
          </w:tcPr>
          <w:p w14:paraId="5852109D">
            <w:pPr>
              <w:rPr>
                <w:rFonts w:ascii="Arial"/>
                <w:sz w:val="21"/>
              </w:rPr>
            </w:pPr>
          </w:p>
        </w:tc>
        <w:tc>
          <w:tcPr>
            <w:tcW w:w="829" w:type="dxa"/>
            <w:vAlign w:val="top"/>
          </w:tcPr>
          <w:p w14:paraId="6B0B6806">
            <w:pPr>
              <w:rPr>
                <w:rFonts w:ascii="Arial"/>
                <w:sz w:val="21"/>
              </w:rPr>
            </w:pPr>
          </w:p>
        </w:tc>
        <w:tc>
          <w:tcPr>
            <w:tcW w:w="719" w:type="dxa"/>
            <w:vAlign w:val="top"/>
          </w:tcPr>
          <w:p w14:paraId="4792BD55">
            <w:pPr>
              <w:rPr>
                <w:rFonts w:ascii="Arial"/>
                <w:sz w:val="21"/>
              </w:rPr>
            </w:pPr>
          </w:p>
        </w:tc>
        <w:tc>
          <w:tcPr>
            <w:tcW w:w="839" w:type="dxa"/>
            <w:vAlign w:val="top"/>
          </w:tcPr>
          <w:p w14:paraId="42EE2EC9">
            <w:pPr>
              <w:rPr>
                <w:rFonts w:ascii="Arial"/>
                <w:sz w:val="21"/>
              </w:rPr>
            </w:pPr>
          </w:p>
        </w:tc>
        <w:tc>
          <w:tcPr>
            <w:tcW w:w="859" w:type="dxa"/>
            <w:vAlign w:val="top"/>
          </w:tcPr>
          <w:p w14:paraId="1F0E481C">
            <w:pPr>
              <w:rPr>
                <w:rFonts w:ascii="Arial"/>
                <w:sz w:val="21"/>
              </w:rPr>
            </w:pPr>
          </w:p>
        </w:tc>
        <w:tc>
          <w:tcPr>
            <w:tcW w:w="1269" w:type="dxa"/>
            <w:vAlign w:val="top"/>
          </w:tcPr>
          <w:p w14:paraId="68F90E21">
            <w:pPr>
              <w:rPr>
                <w:rFonts w:ascii="Arial"/>
                <w:sz w:val="21"/>
              </w:rPr>
            </w:pPr>
          </w:p>
        </w:tc>
        <w:tc>
          <w:tcPr>
            <w:tcW w:w="1269" w:type="dxa"/>
            <w:vAlign w:val="top"/>
          </w:tcPr>
          <w:p w14:paraId="2ED2BD00">
            <w:pPr>
              <w:rPr>
                <w:rFonts w:ascii="Arial"/>
                <w:sz w:val="21"/>
              </w:rPr>
            </w:pPr>
          </w:p>
        </w:tc>
        <w:tc>
          <w:tcPr>
            <w:tcW w:w="1014" w:type="dxa"/>
            <w:vAlign w:val="top"/>
          </w:tcPr>
          <w:p w14:paraId="135BF1F3">
            <w:pPr>
              <w:rPr>
                <w:rFonts w:ascii="Arial"/>
                <w:sz w:val="21"/>
              </w:rPr>
            </w:pPr>
          </w:p>
        </w:tc>
      </w:tr>
      <w:tr w14:paraId="745911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0" w:hRule="atLeast"/>
        </w:trPr>
        <w:tc>
          <w:tcPr>
            <w:tcW w:w="724" w:type="dxa"/>
            <w:vAlign w:val="top"/>
          </w:tcPr>
          <w:p w14:paraId="4B551C3D">
            <w:pPr>
              <w:rPr>
                <w:rFonts w:ascii="Arial"/>
                <w:sz w:val="21"/>
              </w:rPr>
            </w:pPr>
          </w:p>
        </w:tc>
        <w:tc>
          <w:tcPr>
            <w:tcW w:w="1438" w:type="dxa"/>
            <w:vAlign w:val="top"/>
          </w:tcPr>
          <w:p w14:paraId="3B03D2DE">
            <w:pPr>
              <w:rPr>
                <w:rFonts w:ascii="Arial"/>
                <w:sz w:val="21"/>
              </w:rPr>
            </w:pPr>
          </w:p>
        </w:tc>
        <w:tc>
          <w:tcPr>
            <w:tcW w:w="829" w:type="dxa"/>
            <w:vAlign w:val="top"/>
          </w:tcPr>
          <w:p w14:paraId="107F7991">
            <w:pPr>
              <w:rPr>
                <w:rFonts w:ascii="Arial"/>
                <w:sz w:val="21"/>
              </w:rPr>
            </w:pPr>
          </w:p>
        </w:tc>
        <w:tc>
          <w:tcPr>
            <w:tcW w:w="719" w:type="dxa"/>
            <w:vAlign w:val="top"/>
          </w:tcPr>
          <w:p w14:paraId="0022B063">
            <w:pPr>
              <w:rPr>
                <w:rFonts w:ascii="Arial"/>
                <w:sz w:val="21"/>
              </w:rPr>
            </w:pPr>
          </w:p>
        </w:tc>
        <w:tc>
          <w:tcPr>
            <w:tcW w:w="839" w:type="dxa"/>
            <w:vAlign w:val="top"/>
          </w:tcPr>
          <w:p w14:paraId="15388905">
            <w:pPr>
              <w:rPr>
                <w:rFonts w:ascii="Arial"/>
                <w:sz w:val="21"/>
              </w:rPr>
            </w:pPr>
          </w:p>
        </w:tc>
        <w:tc>
          <w:tcPr>
            <w:tcW w:w="859" w:type="dxa"/>
            <w:vAlign w:val="top"/>
          </w:tcPr>
          <w:p w14:paraId="0D4106B4">
            <w:pPr>
              <w:rPr>
                <w:rFonts w:ascii="Arial"/>
                <w:sz w:val="21"/>
              </w:rPr>
            </w:pPr>
          </w:p>
        </w:tc>
        <w:tc>
          <w:tcPr>
            <w:tcW w:w="1269" w:type="dxa"/>
            <w:vAlign w:val="top"/>
          </w:tcPr>
          <w:p w14:paraId="54613DEF">
            <w:pPr>
              <w:rPr>
                <w:rFonts w:ascii="Arial"/>
                <w:sz w:val="21"/>
              </w:rPr>
            </w:pPr>
          </w:p>
        </w:tc>
        <w:tc>
          <w:tcPr>
            <w:tcW w:w="1269" w:type="dxa"/>
            <w:vAlign w:val="top"/>
          </w:tcPr>
          <w:p w14:paraId="72234EFA">
            <w:pPr>
              <w:rPr>
                <w:rFonts w:ascii="Arial"/>
                <w:sz w:val="21"/>
              </w:rPr>
            </w:pPr>
          </w:p>
        </w:tc>
        <w:tc>
          <w:tcPr>
            <w:tcW w:w="1014" w:type="dxa"/>
            <w:vAlign w:val="top"/>
          </w:tcPr>
          <w:p w14:paraId="2D7CE837">
            <w:pPr>
              <w:rPr>
                <w:rFonts w:ascii="Arial"/>
                <w:sz w:val="21"/>
              </w:rPr>
            </w:pPr>
          </w:p>
        </w:tc>
      </w:tr>
      <w:tr w14:paraId="0FEF4F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724" w:type="dxa"/>
            <w:vAlign w:val="top"/>
          </w:tcPr>
          <w:p w14:paraId="133E18C6">
            <w:pPr>
              <w:rPr>
                <w:rFonts w:ascii="Arial"/>
                <w:sz w:val="21"/>
              </w:rPr>
            </w:pPr>
          </w:p>
        </w:tc>
        <w:tc>
          <w:tcPr>
            <w:tcW w:w="1438" w:type="dxa"/>
            <w:vAlign w:val="top"/>
          </w:tcPr>
          <w:p w14:paraId="298A84C2">
            <w:pPr>
              <w:rPr>
                <w:rFonts w:ascii="Arial"/>
                <w:sz w:val="21"/>
              </w:rPr>
            </w:pPr>
          </w:p>
        </w:tc>
        <w:tc>
          <w:tcPr>
            <w:tcW w:w="829" w:type="dxa"/>
            <w:vAlign w:val="top"/>
          </w:tcPr>
          <w:p w14:paraId="7CC8A81C">
            <w:pPr>
              <w:rPr>
                <w:rFonts w:ascii="Arial"/>
                <w:sz w:val="21"/>
              </w:rPr>
            </w:pPr>
          </w:p>
        </w:tc>
        <w:tc>
          <w:tcPr>
            <w:tcW w:w="719" w:type="dxa"/>
            <w:vAlign w:val="top"/>
          </w:tcPr>
          <w:p w14:paraId="4D38E12D">
            <w:pPr>
              <w:rPr>
                <w:rFonts w:ascii="Arial"/>
                <w:sz w:val="21"/>
              </w:rPr>
            </w:pPr>
          </w:p>
        </w:tc>
        <w:tc>
          <w:tcPr>
            <w:tcW w:w="839" w:type="dxa"/>
            <w:vAlign w:val="top"/>
          </w:tcPr>
          <w:p w14:paraId="3D4EDDAB">
            <w:pPr>
              <w:rPr>
                <w:rFonts w:ascii="Arial"/>
                <w:sz w:val="21"/>
              </w:rPr>
            </w:pPr>
          </w:p>
        </w:tc>
        <w:tc>
          <w:tcPr>
            <w:tcW w:w="859" w:type="dxa"/>
            <w:vAlign w:val="top"/>
          </w:tcPr>
          <w:p w14:paraId="19F820C5">
            <w:pPr>
              <w:rPr>
                <w:rFonts w:ascii="Arial"/>
                <w:sz w:val="21"/>
              </w:rPr>
            </w:pPr>
          </w:p>
        </w:tc>
        <w:tc>
          <w:tcPr>
            <w:tcW w:w="1269" w:type="dxa"/>
            <w:vAlign w:val="top"/>
          </w:tcPr>
          <w:p w14:paraId="313114E5">
            <w:pPr>
              <w:rPr>
                <w:rFonts w:ascii="Arial"/>
                <w:sz w:val="21"/>
              </w:rPr>
            </w:pPr>
          </w:p>
        </w:tc>
        <w:tc>
          <w:tcPr>
            <w:tcW w:w="1269" w:type="dxa"/>
            <w:vAlign w:val="top"/>
          </w:tcPr>
          <w:p w14:paraId="115D2066">
            <w:pPr>
              <w:rPr>
                <w:rFonts w:ascii="Arial"/>
                <w:sz w:val="21"/>
              </w:rPr>
            </w:pPr>
          </w:p>
        </w:tc>
        <w:tc>
          <w:tcPr>
            <w:tcW w:w="1014" w:type="dxa"/>
            <w:vAlign w:val="top"/>
          </w:tcPr>
          <w:p w14:paraId="24BD85E0">
            <w:pPr>
              <w:rPr>
                <w:rFonts w:ascii="Arial"/>
                <w:sz w:val="21"/>
              </w:rPr>
            </w:pPr>
          </w:p>
        </w:tc>
      </w:tr>
      <w:tr w14:paraId="3FB38C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0" w:hRule="atLeast"/>
        </w:trPr>
        <w:tc>
          <w:tcPr>
            <w:tcW w:w="724" w:type="dxa"/>
            <w:vAlign w:val="top"/>
          </w:tcPr>
          <w:p w14:paraId="43898A33">
            <w:pPr>
              <w:rPr>
                <w:rFonts w:ascii="Arial"/>
                <w:sz w:val="21"/>
              </w:rPr>
            </w:pPr>
          </w:p>
        </w:tc>
        <w:tc>
          <w:tcPr>
            <w:tcW w:w="1438" w:type="dxa"/>
            <w:vAlign w:val="top"/>
          </w:tcPr>
          <w:p w14:paraId="4ADA54F8">
            <w:pPr>
              <w:rPr>
                <w:rFonts w:ascii="Arial"/>
                <w:sz w:val="21"/>
              </w:rPr>
            </w:pPr>
          </w:p>
        </w:tc>
        <w:tc>
          <w:tcPr>
            <w:tcW w:w="829" w:type="dxa"/>
            <w:vAlign w:val="top"/>
          </w:tcPr>
          <w:p w14:paraId="5F389078">
            <w:pPr>
              <w:rPr>
                <w:rFonts w:ascii="Arial"/>
                <w:sz w:val="21"/>
              </w:rPr>
            </w:pPr>
          </w:p>
        </w:tc>
        <w:tc>
          <w:tcPr>
            <w:tcW w:w="719" w:type="dxa"/>
            <w:vAlign w:val="top"/>
          </w:tcPr>
          <w:p w14:paraId="31C4B3B7">
            <w:pPr>
              <w:rPr>
                <w:rFonts w:ascii="Arial"/>
                <w:sz w:val="21"/>
              </w:rPr>
            </w:pPr>
          </w:p>
        </w:tc>
        <w:tc>
          <w:tcPr>
            <w:tcW w:w="839" w:type="dxa"/>
            <w:vAlign w:val="top"/>
          </w:tcPr>
          <w:p w14:paraId="7DCC3FE3">
            <w:pPr>
              <w:rPr>
                <w:rFonts w:ascii="Arial"/>
                <w:sz w:val="21"/>
              </w:rPr>
            </w:pPr>
          </w:p>
        </w:tc>
        <w:tc>
          <w:tcPr>
            <w:tcW w:w="859" w:type="dxa"/>
            <w:vAlign w:val="top"/>
          </w:tcPr>
          <w:p w14:paraId="644B36A8">
            <w:pPr>
              <w:rPr>
                <w:rFonts w:ascii="Arial"/>
                <w:sz w:val="21"/>
              </w:rPr>
            </w:pPr>
          </w:p>
        </w:tc>
        <w:tc>
          <w:tcPr>
            <w:tcW w:w="1269" w:type="dxa"/>
            <w:vAlign w:val="top"/>
          </w:tcPr>
          <w:p w14:paraId="6F0A433E">
            <w:pPr>
              <w:rPr>
                <w:rFonts w:ascii="Arial"/>
                <w:sz w:val="21"/>
              </w:rPr>
            </w:pPr>
          </w:p>
        </w:tc>
        <w:tc>
          <w:tcPr>
            <w:tcW w:w="1269" w:type="dxa"/>
            <w:vAlign w:val="top"/>
          </w:tcPr>
          <w:p w14:paraId="67272FC0">
            <w:pPr>
              <w:rPr>
                <w:rFonts w:ascii="Arial"/>
                <w:sz w:val="21"/>
              </w:rPr>
            </w:pPr>
          </w:p>
        </w:tc>
        <w:tc>
          <w:tcPr>
            <w:tcW w:w="1014" w:type="dxa"/>
            <w:vAlign w:val="top"/>
          </w:tcPr>
          <w:p w14:paraId="6B089305">
            <w:pPr>
              <w:rPr>
                <w:rFonts w:ascii="Arial"/>
                <w:sz w:val="21"/>
              </w:rPr>
            </w:pPr>
          </w:p>
        </w:tc>
      </w:tr>
      <w:tr w14:paraId="0D2582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724" w:type="dxa"/>
            <w:vAlign w:val="top"/>
          </w:tcPr>
          <w:p w14:paraId="491D62E7">
            <w:pPr>
              <w:rPr>
                <w:rFonts w:ascii="Arial"/>
                <w:sz w:val="21"/>
              </w:rPr>
            </w:pPr>
          </w:p>
        </w:tc>
        <w:tc>
          <w:tcPr>
            <w:tcW w:w="1438" w:type="dxa"/>
            <w:vAlign w:val="top"/>
          </w:tcPr>
          <w:p w14:paraId="4D1B9D75">
            <w:pPr>
              <w:rPr>
                <w:rFonts w:ascii="Arial"/>
                <w:sz w:val="21"/>
              </w:rPr>
            </w:pPr>
          </w:p>
        </w:tc>
        <w:tc>
          <w:tcPr>
            <w:tcW w:w="829" w:type="dxa"/>
            <w:vAlign w:val="top"/>
          </w:tcPr>
          <w:p w14:paraId="0C93FDCA">
            <w:pPr>
              <w:rPr>
                <w:rFonts w:ascii="Arial"/>
                <w:sz w:val="21"/>
              </w:rPr>
            </w:pPr>
          </w:p>
        </w:tc>
        <w:tc>
          <w:tcPr>
            <w:tcW w:w="719" w:type="dxa"/>
            <w:vAlign w:val="top"/>
          </w:tcPr>
          <w:p w14:paraId="1FF9C946">
            <w:pPr>
              <w:rPr>
                <w:rFonts w:ascii="Arial"/>
                <w:sz w:val="21"/>
              </w:rPr>
            </w:pPr>
          </w:p>
        </w:tc>
        <w:tc>
          <w:tcPr>
            <w:tcW w:w="839" w:type="dxa"/>
            <w:vAlign w:val="top"/>
          </w:tcPr>
          <w:p w14:paraId="28CE4C39">
            <w:pPr>
              <w:rPr>
                <w:rFonts w:ascii="Arial"/>
                <w:sz w:val="21"/>
              </w:rPr>
            </w:pPr>
          </w:p>
        </w:tc>
        <w:tc>
          <w:tcPr>
            <w:tcW w:w="859" w:type="dxa"/>
            <w:vAlign w:val="top"/>
          </w:tcPr>
          <w:p w14:paraId="0B14A6A3">
            <w:pPr>
              <w:rPr>
                <w:rFonts w:ascii="Arial"/>
                <w:sz w:val="21"/>
              </w:rPr>
            </w:pPr>
          </w:p>
        </w:tc>
        <w:tc>
          <w:tcPr>
            <w:tcW w:w="1269" w:type="dxa"/>
            <w:vAlign w:val="top"/>
          </w:tcPr>
          <w:p w14:paraId="19B3834A">
            <w:pPr>
              <w:rPr>
                <w:rFonts w:ascii="Arial"/>
                <w:sz w:val="21"/>
              </w:rPr>
            </w:pPr>
          </w:p>
        </w:tc>
        <w:tc>
          <w:tcPr>
            <w:tcW w:w="1269" w:type="dxa"/>
            <w:vAlign w:val="top"/>
          </w:tcPr>
          <w:p w14:paraId="6AF4B8D7">
            <w:pPr>
              <w:rPr>
                <w:rFonts w:ascii="Arial"/>
                <w:sz w:val="21"/>
              </w:rPr>
            </w:pPr>
          </w:p>
        </w:tc>
        <w:tc>
          <w:tcPr>
            <w:tcW w:w="1014" w:type="dxa"/>
            <w:vAlign w:val="top"/>
          </w:tcPr>
          <w:p w14:paraId="475FBDCE">
            <w:pPr>
              <w:rPr>
                <w:rFonts w:ascii="Arial"/>
                <w:sz w:val="21"/>
              </w:rPr>
            </w:pPr>
          </w:p>
        </w:tc>
      </w:tr>
      <w:tr w14:paraId="594CD6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0" w:hRule="atLeast"/>
        </w:trPr>
        <w:tc>
          <w:tcPr>
            <w:tcW w:w="724" w:type="dxa"/>
            <w:vAlign w:val="top"/>
          </w:tcPr>
          <w:p w14:paraId="48EB5E1D">
            <w:pPr>
              <w:rPr>
                <w:rFonts w:ascii="Arial"/>
                <w:sz w:val="21"/>
              </w:rPr>
            </w:pPr>
          </w:p>
        </w:tc>
        <w:tc>
          <w:tcPr>
            <w:tcW w:w="1438" w:type="dxa"/>
            <w:vAlign w:val="top"/>
          </w:tcPr>
          <w:p w14:paraId="7D125F0D">
            <w:pPr>
              <w:rPr>
                <w:rFonts w:ascii="Arial"/>
                <w:sz w:val="21"/>
              </w:rPr>
            </w:pPr>
          </w:p>
        </w:tc>
        <w:tc>
          <w:tcPr>
            <w:tcW w:w="829" w:type="dxa"/>
            <w:vAlign w:val="top"/>
          </w:tcPr>
          <w:p w14:paraId="520AD7EA">
            <w:pPr>
              <w:rPr>
                <w:rFonts w:ascii="Arial"/>
                <w:sz w:val="21"/>
              </w:rPr>
            </w:pPr>
          </w:p>
        </w:tc>
        <w:tc>
          <w:tcPr>
            <w:tcW w:w="719" w:type="dxa"/>
            <w:vAlign w:val="top"/>
          </w:tcPr>
          <w:p w14:paraId="2C30739E">
            <w:pPr>
              <w:rPr>
                <w:rFonts w:ascii="Arial"/>
                <w:sz w:val="21"/>
              </w:rPr>
            </w:pPr>
          </w:p>
        </w:tc>
        <w:tc>
          <w:tcPr>
            <w:tcW w:w="839" w:type="dxa"/>
            <w:vAlign w:val="top"/>
          </w:tcPr>
          <w:p w14:paraId="4E90C54B">
            <w:pPr>
              <w:rPr>
                <w:rFonts w:ascii="Arial"/>
                <w:sz w:val="21"/>
              </w:rPr>
            </w:pPr>
          </w:p>
        </w:tc>
        <w:tc>
          <w:tcPr>
            <w:tcW w:w="859" w:type="dxa"/>
            <w:vAlign w:val="top"/>
          </w:tcPr>
          <w:p w14:paraId="089AAC86">
            <w:pPr>
              <w:rPr>
                <w:rFonts w:ascii="Arial"/>
                <w:sz w:val="21"/>
              </w:rPr>
            </w:pPr>
          </w:p>
        </w:tc>
        <w:tc>
          <w:tcPr>
            <w:tcW w:w="1269" w:type="dxa"/>
            <w:vAlign w:val="top"/>
          </w:tcPr>
          <w:p w14:paraId="34026F73">
            <w:pPr>
              <w:rPr>
                <w:rFonts w:ascii="Arial"/>
                <w:sz w:val="21"/>
              </w:rPr>
            </w:pPr>
          </w:p>
        </w:tc>
        <w:tc>
          <w:tcPr>
            <w:tcW w:w="1269" w:type="dxa"/>
            <w:vAlign w:val="top"/>
          </w:tcPr>
          <w:p w14:paraId="24BAB3D3">
            <w:pPr>
              <w:rPr>
                <w:rFonts w:ascii="Arial"/>
                <w:sz w:val="21"/>
              </w:rPr>
            </w:pPr>
          </w:p>
        </w:tc>
        <w:tc>
          <w:tcPr>
            <w:tcW w:w="1014" w:type="dxa"/>
            <w:vAlign w:val="top"/>
          </w:tcPr>
          <w:p w14:paraId="68CDBEBE">
            <w:pPr>
              <w:rPr>
                <w:rFonts w:ascii="Arial"/>
                <w:sz w:val="21"/>
              </w:rPr>
            </w:pPr>
          </w:p>
        </w:tc>
      </w:tr>
      <w:tr w14:paraId="7CF233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0" w:hRule="atLeast"/>
        </w:trPr>
        <w:tc>
          <w:tcPr>
            <w:tcW w:w="724" w:type="dxa"/>
            <w:vAlign w:val="top"/>
          </w:tcPr>
          <w:p w14:paraId="5FF477D1">
            <w:pPr>
              <w:rPr>
                <w:rFonts w:ascii="Arial"/>
                <w:sz w:val="21"/>
              </w:rPr>
            </w:pPr>
          </w:p>
        </w:tc>
        <w:tc>
          <w:tcPr>
            <w:tcW w:w="1438" w:type="dxa"/>
            <w:vAlign w:val="top"/>
          </w:tcPr>
          <w:p w14:paraId="25349F77">
            <w:pPr>
              <w:rPr>
                <w:rFonts w:ascii="Arial"/>
                <w:sz w:val="21"/>
              </w:rPr>
            </w:pPr>
          </w:p>
        </w:tc>
        <w:tc>
          <w:tcPr>
            <w:tcW w:w="829" w:type="dxa"/>
            <w:vAlign w:val="top"/>
          </w:tcPr>
          <w:p w14:paraId="13637DAA">
            <w:pPr>
              <w:rPr>
                <w:rFonts w:ascii="Arial"/>
                <w:sz w:val="21"/>
              </w:rPr>
            </w:pPr>
          </w:p>
        </w:tc>
        <w:tc>
          <w:tcPr>
            <w:tcW w:w="719" w:type="dxa"/>
            <w:vAlign w:val="top"/>
          </w:tcPr>
          <w:p w14:paraId="105C2629">
            <w:pPr>
              <w:rPr>
                <w:rFonts w:ascii="Arial"/>
                <w:sz w:val="21"/>
              </w:rPr>
            </w:pPr>
          </w:p>
        </w:tc>
        <w:tc>
          <w:tcPr>
            <w:tcW w:w="839" w:type="dxa"/>
            <w:vAlign w:val="top"/>
          </w:tcPr>
          <w:p w14:paraId="4D8FD26D">
            <w:pPr>
              <w:rPr>
                <w:rFonts w:ascii="Arial"/>
                <w:sz w:val="21"/>
              </w:rPr>
            </w:pPr>
          </w:p>
        </w:tc>
        <w:tc>
          <w:tcPr>
            <w:tcW w:w="859" w:type="dxa"/>
            <w:vAlign w:val="top"/>
          </w:tcPr>
          <w:p w14:paraId="0CD7EBB2">
            <w:pPr>
              <w:rPr>
                <w:rFonts w:ascii="Arial"/>
                <w:sz w:val="21"/>
              </w:rPr>
            </w:pPr>
          </w:p>
        </w:tc>
        <w:tc>
          <w:tcPr>
            <w:tcW w:w="1269" w:type="dxa"/>
            <w:vAlign w:val="top"/>
          </w:tcPr>
          <w:p w14:paraId="1B041AAD">
            <w:pPr>
              <w:rPr>
                <w:rFonts w:ascii="Arial"/>
                <w:sz w:val="21"/>
              </w:rPr>
            </w:pPr>
          </w:p>
        </w:tc>
        <w:tc>
          <w:tcPr>
            <w:tcW w:w="1269" w:type="dxa"/>
            <w:vAlign w:val="top"/>
          </w:tcPr>
          <w:p w14:paraId="2ABF0102">
            <w:pPr>
              <w:rPr>
                <w:rFonts w:ascii="Arial"/>
                <w:sz w:val="21"/>
              </w:rPr>
            </w:pPr>
          </w:p>
        </w:tc>
        <w:tc>
          <w:tcPr>
            <w:tcW w:w="1014" w:type="dxa"/>
            <w:vAlign w:val="top"/>
          </w:tcPr>
          <w:p w14:paraId="2EEB04F0">
            <w:pPr>
              <w:rPr>
                <w:rFonts w:ascii="Arial"/>
                <w:sz w:val="21"/>
              </w:rPr>
            </w:pPr>
          </w:p>
        </w:tc>
      </w:tr>
      <w:tr w14:paraId="26B31E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724" w:type="dxa"/>
            <w:vAlign w:val="top"/>
          </w:tcPr>
          <w:p w14:paraId="374E11AE">
            <w:pPr>
              <w:rPr>
                <w:rFonts w:ascii="Arial"/>
                <w:sz w:val="21"/>
              </w:rPr>
            </w:pPr>
          </w:p>
        </w:tc>
        <w:tc>
          <w:tcPr>
            <w:tcW w:w="1438" w:type="dxa"/>
            <w:vAlign w:val="top"/>
          </w:tcPr>
          <w:p w14:paraId="14787BB8">
            <w:pPr>
              <w:rPr>
                <w:rFonts w:ascii="Arial"/>
                <w:sz w:val="21"/>
              </w:rPr>
            </w:pPr>
          </w:p>
        </w:tc>
        <w:tc>
          <w:tcPr>
            <w:tcW w:w="829" w:type="dxa"/>
            <w:vAlign w:val="top"/>
          </w:tcPr>
          <w:p w14:paraId="75A8B313">
            <w:pPr>
              <w:rPr>
                <w:rFonts w:ascii="Arial"/>
                <w:sz w:val="21"/>
              </w:rPr>
            </w:pPr>
          </w:p>
        </w:tc>
        <w:tc>
          <w:tcPr>
            <w:tcW w:w="719" w:type="dxa"/>
            <w:vAlign w:val="top"/>
          </w:tcPr>
          <w:p w14:paraId="7F902D3D">
            <w:pPr>
              <w:rPr>
                <w:rFonts w:ascii="Arial"/>
                <w:sz w:val="21"/>
              </w:rPr>
            </w:pPr>
          </w:p>
        </w:tc>
        <w:tc>
          <w:tcPr>
            <w:tcW w:w="839" w:type="dxa"/>
            <w:vAlign w:val="top"/>
          </w:tcPr>
          <w:p w14:paraId="130FAF0D">
            <w:pPr>
              <w:rPr>
                <w:rFonts w:ascii="Arial"/>
                <w:sz w:val="21"/>
              </w:rPr>
            </w:pPr>
          </w:p>
        </w:tc>
        <w:tc>
          <w:tcPr>
            <w:tcW w:w="859" w:type="dxa"/>
            <w:vAlign w:val="top"/>
          </w:tcPr>
          <w:p w14:paraId="0B6CB496">
            <w:pPr>
              <w:rPr>
                <w:rFonts w:ascii="Arial"/>
                <w:sz w:val="21"/>
              </w:rPr>
            </w:pPr>
          </w:p>
        </w:tc>
        <w:tc>
          <w:tcPr>
            <w:tcW w:w="1269" w:type="dxa"/>
            <w:vAlign w:val="top"/>
          </w:tcPr>
          <w:p w14:paraId="137ECEC5">
            <w:pPr>
              <w:rPr>
                <w:rFonts w:ascii="Arial"/>
                <w:sz w:val="21"/>
              </w:rPr>
            </w:pPr>
          </w:p>
        </w:tc>
        <w:tc>
          <w:tcPr>
            <w:tcW w:w="1269" w:type="dxa"/>
            <w:vAlign w:val="top"/>
          </w:tcPr>
          <w:p w14:paraId="4046BD52">
            <w:pPr>
              <w:rPr>
                <w:rFonts w:ascii="Arial"/>
                <w:sz w:val="21"/>
              </w:rPr>
            </w:pPr>
          </w:p>
        </w:tc>
        <w:tc>
          <w:tcPr>
            <w:tcW w:w="1014" w:type="dxa"/>
            <w:vAlign w:val="top"/>
          </w:tcPr>
          <w:p w14:paraId="72F07583">
            <w:pPr>
              <w:rPr>
                <w:rFonts w:ascii="Arial"/>
                <w:sz w:val="21"/>
              </w:rPr>
            </w:pPr>
          </w:p>
        </w:tc>
      </w:tr>
      <w:tr w14:paraId="364B5C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9" w:hRule="atLeast"/>
        </w:trPr>
        <w:tc>
          <w:tcPr>
            <w:tcW w:w="724" w:type="dxa"/>
            <w:vAlign w:val="top"/>
          </w:tcPr>
          <w:p w14:paraId="1D83C2BA">
            <w:pPr>
              <w:rPr>
                <w:rFonts w:ascii="Arial"/>
                <w:sz w:val="21"/>
              </w:rPr>
            </w:pPr>
          </w:p>
        </w:tc>
        <w:tc>
          <w:tcPr>
            <w:tcW w:w="1438" w:type="dxa"/>
            <w:vAlign w:val="top"/>
          </w:tcPr>
          <w:p w14:paraId="18A2255A">
            <w:pPr>
              <w:rPr>
                <w:rFonts w:ascii="Arial"/>
                <w:sz w:val="21"/>
              </w:rPr>
            </w:pPr>
          </w:p>
        </w:tc>
        <w:tc>
          <w:tcPr>
            <w:tcW w:w="829" w:type="dxa"/>
            <w:vAlign w:val="top"/>
          </w:tcPr>
          <w:p w14:paraId="0E31F043">
            <w:pPr>
              <w:rPr>
                <w:rFonts w:ascii="Arial"/>
                <w:sz w:val="21"/>
              </w:rPr>
            </w:pPr>
          </w:p>
        </w:tc>
        <w:tc>
          <w:tcPr>
            <w:tcW w:w="719" w:type="dxa"/>
            <w:vAlign w:val="top"/>
          </w:tcPr>
          <w:p w14:paraId="266F9339">
            <w:pPr>
              <w:rPr>
                <w:rFonts w:ascii="Arial"/>
                <w:sz w:val="21"/>
              </w:rPr>
            </w:pPr>
          </w:p>
        </w:tc>
        <w:tc>
          <w:tcPr>
            <w:tcW w:w="839" w:type="dxa"/>
            <w:vAlign w:val="top"/>
          </w:tcPr>
          <w:p w14:paraId="573F6966">
            <w:pPr>
              <w:rPr>
                <w:rFonts w:ascii="Arial"/>
                <w:sz w:val="21"/>
              </w:rPr>
            </w:pPr>
          </w:p>
        </w:tc>
        <w:tc>
          <w:tcPr>
            <w:tcW w:w="859" w:type="dxa"/>
            <w:vAlign w:val="top"/>
          </w:tcPr>
          <w:p w14:paraId="718BBCF8">
            <w:pPr>
              <w:rPr>
                <w:rFonts w:ascii="Arial"/>
                <w:sz w:val="21"/>
              </w:rPr>
            </w:pPr>
          </w:p>
        </w:tc>
        <w:tc>
          <w:tcPr>
            <w:tcW w:w="1269" w:type="dxa"/>
            <w:vAlign w:val="top"/>
          </w:tcPr>
          <w:p w14:paraId="39780678">
            <w:pPr>
              <w:rPr>
                <w:rFonts w:ascii="Arial"/>
                <w:sz w:val="21"/>
              </w:rPr>
            </w:pPr>
          </w:p>
        </w:tc>
        <w:tc>
          <w:tcPr>
            <w:tcW w:w="1269" w:type="dxa"/>
            <w:vAlign w:val="top"/>
          </w:tcPr>
          <w:p w14:paraId="5DD0683F">
            <w:pPr>
              <w:rPr>
                <w:rFonts w:ascii="Arial"/>
                <w:sz w:val="21"/>
              </w:rPr>
            </w:pPr>
          </w:p>
        </w:tc>
        <w:tc>
          <w:tcPr>
            <w:tcW w:w="1014" w:type="dxa"/>
            <w:vAlign w:val="top"/>
          </w:tcPr>
          <w:p w14:paraId="5C800760">
            <w:pPr>
              <w:rPr>
                <w:rFonts w:ascii="Arial"/>
                <w:sz w:val="21"/>
              </w:rPr>
            </w:pPr>
          </w:p>
        </w:tc>
      </w:tr>
      <w:tr w14:paraId="027E00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0" w:hRule="atLeast"/>
        </w:trPr>
        <w:tc>
          <w:tcPr>
            <w:tcW w:w="724" w:type="dxa"/>
            <w:vAlign w:val="top"/>
          </w:tcPr>
          <w:p w14:paraId="26D4C671">
            <w:pPr>
              <w:rPr>
                <w:rFonts w:ascii="Arial"/>
                <w:sz w:val="21"/>
              </w:rPr>
            </w:pPr>
          </w:p>
        </w:tc>
        <w:tc>
          <w:tcPr>
            <w:tcW w:w="1438" w:type="dxa"/>
            <w:vAlign w:val="top"/>
          </w:tcPr>
          <w:p w14:paraId="62378343">
            <w:pPr>
              <w:rPr>
                <w:rFonts w:ascii="Arial"/>
                <w:sz w:val="21"/>
              </w:rPr>
            </w:pPr>
          </w:p>
        </w:tc>
        <w:tc>
          <w:tcPr>
            <w:tcW w:w="829" w:type="dxa"/>
            <w:vAlign w:val="top"/>
          </w:tcPr>
          <w:p w14:paraId="65574B0F">
            <w:pPr>
              <w:rPr>
                <w:rFonts w:ascii="Arial"/>
                <w:sz w:val="21"/>
              </w:rPr>
            </w:pPr>
          </w:p>
        </w:tc>
        <w:tc>
          <w:tcPr>
            <w:tcW w:w="719" w:type="dxa"/>
            <w:vAlign w:val="top"/>
          </w:tcPr>
          <w:p w14:paraId="127C1DC0">
            <w:pPr>
              <w:rPr>
                <w:rFonts w:ascii="Arial"/>
                <w:sz w:val="21"/>
              </w:rPr>
            </w:pPr>
          </w:p>
        </w:tc>
        <w:tc>
          <w:tcPr>
            <w:tcW w:w="839" w:type="dxa"/>
            <w:vAlign w:val="top"/>
          </w:tcPr>
          <w:p w14:paraId="01E7D6AB">
            <w:pPr>
              <w:rPr>
                <w:rFonts w:ascii="Arial"/>
                <w:sz w:val="21"/>
              </w:rPr>
            </w:pPr>
          </w:p>
        </w:tc>
        <w:tc>
          <w:tcPr>
            <w:tcW w:w="859" w:type="dxa"/>
            <w:vAlign w:val="top"/>
          </w:tcPr>
          <w:p w14:paraId="2ADED4F8">
            <w:pPr>
              <w:rPr>
                <w:rFonts w:ascii="Arial"/>
                <w:sz w:val="21"/>
              </w:rPr>
            </w:pPr>
          </w:p>
        </w:tc>
        <w:tc>
          <w:tcPr>
            <w:tcW w:w="1269" w:type="dxa"/>
            <w:vAlign w:val="top"/>
          </w:tcPr>
          <w:p w14:paraId="1187EB37">
            <w:pPr>
              <w:rPr>
                <w:rFonts w:ascii="Arial"/>
                <w:sz w:val="21"/>
              </w:rPr>
            </w:pPr>
          </w:p>
        </w:tc>
        <w:tc>
          <w:tcPr>
            <w:tcW w:w="1269" w:type="dxa"/>
            <w:vAlign w:val="top"/>
          </w:tcPr>
          <w:p w14:paraId="5716D91F">
            <w:pPr>
              <w:rPr>
                <w:rFonts w:ascii="Arial"/>
                <w:sz w:val="21"/>
              </w:rPr>
            </w:pPr>
          </w:p>
        </w:tc>
        <w:tc>
          <w:tcPr>
            <w:tcW w:w="1014" w:type="dxa"/>
            <w:vAlign w:val="top"/>
          </w:tcPr>
          <w:p w14:paraId="075100ED">
            <w:pPr>
              <w:rPr>
                <w:rFonts w:ascii="Arial"/>
                <w:sz w:val="21"/>
              </w:rPr>
            </w:pPr>
          </w:p>
        </w:tc>
      </w:tr>
      <w:tr w14:paraId="32C9EA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724" w:type="dxa"/>
            <w:vAlign w:val="top"/>
          </w:tcPr>
          <w:p w14:paraId="47818345">
            <w:pPr>
              <w:rPr>
                <w:rFonts w:ascii="Arial"/>
                <w:sz w:val="21"/>
              </w:rPr>
            </w:pPr>
          </w:p>
        </w:tc>
        <w:tc>
          <w:tcPr>
            <w:tcW w:w="1438" w:type="dxa"/>
            <w:vAlign w:val="top"/>
          </w:tcPr>
          <w:p w14:paraId="3D5F78DD">
            <w:pPr>
              <w:rPr>
                <w:rFonts w:ascii="Arial"/>
                <w:sz w:val="21"/>
              </w:rPr>
            </w:pPr>
          </w:p>
        </w:tc>
        <w:tc>
          <w:tcPr>
            <w:tcW w:w="829" w:type="dxa"/>
            <w:vAlign w:val="top"/>
          </w:tcPr>
          <w:p w14:paraId="06C103D1">
            <w:pPr>
              <w:rPr>
                <w:rFonts w:ascii="Arial"/>
                <w:sz w:val="21"/>
              </w:rPr>
            </w:pPr>
          </w:p>
        </w:tc>
        <w:tc>
          <w:tcPr>
            <w:tcW w:w="719" w:type="dxa"/>
            <w:vAlign w:val="top"/>
          </w:tcPr>
          <w:p w14:paraId="36FFB2EE">
            <w:pPr>
              <w:rPr>
                <w:rFonts w:ascii="Arial"/>
                <w:sz w:val="21"/>
              </w:rPr>
            </w:pPr>
          </w:p>
        </w:tc>
        <w:tc>
          <w:tcPr>
            <w:tcW w:w="839" w:type="dxa"/>
            <w:vAlign w:val="top"/>
          </w:tcPr>
          <w:p w14:paraId="1E4A8F7A">
            <w:pPr>
              <w:rPr>
                <w:rFonts w:ascii="Arial"/>
                <w:sz w:val="21"/>
              </w:rPr>
            </w:pPr>
          </w:p>
        </w:tc>
        <w:tc>
          <w:tcPr>
            <w:tcW w:w="859" w:type="dxa"/>
            <w:vAlign w:val="top"/>
          </w:tcPr>
          <w:p w14:paraId="5AF18DA5">
            <w:pPr>
              <w:rPr>
                <w:rFonts w:ascii="Arial"/>
                <w:sz w:val="21"/>
              </w:rPr>
            </w:pPr>
          </w:p>
        </w:tc>
        <w:tc>
          <w:tcPr>
            <w:tcW w:w="1269" w:type="dxa"/>
            <w:vAlign w:val="top"/>
          </w:tcPr>
          <w:p w14:paraId="4EE3E34F">
            <w:pPr>
              <w:rPr>
                <w:rFonts w:ascii="Arial"/>
                <w:sz w:val="21"/>
              </w:rPr>
            </w:pPr>
          </w:p>
        </w:tc>
        <w:tc>
          <w:tcPr>
            <w:tcW w:w="1269" w:type="dxa"/>
            <w:vAlign w:val="top"/>
          </w:tcPr>
          <w:p w14:paraId="21D24277">
            <w:pPr>
              <w:rPr>
                <w:rFonts w:ascii="Arial"/>
                <w:sz w:val="21"/>
              </w:rPr>
            </w:pPr>
          </w:p>
        </w:tc>
        <w:tc>
          <w:tcPr>
            <w:tcW w:w="1014" w:type="dxa"/>
            <w:vAlign w:val="top"/>
          </w:tcPr>
          <w:p w14:paraId="609E3533">
            <w:pPr>
              <w:rPr>
                <w:rFonts w:ascii="Arial"/>
                <w:sz w:val="21"/>
              </w:rPr>
            </w:pPr>
          </w:p>
        </w:tc>
      </w:tr>
      <w:tr w14:paraId="282159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0" w:hRule="atLeast"/>
        </w:trPr>
        <w:tc>
          <w:tcPr>
            <w:tcW w:w="724" w:type="dxa"/>
            <w:vAlign w:val="top"/>
          </w:tcPr>
          <w:p w14:paraId="79990DE9">
            <w:pPr>
              <w:rPr>
                <w:rFonts w:ascii="Arial"/>
                <w:sz w:val="21"/>
              </w:rPr>
            </w:pPr>
          </w:p>
        </w:tc>
        <w:tc>
          <w:tcPr>
            <w:tcW w:w="1438" w:type="dxa"/>
            <w:vAlign w:val="top"/>
          </w:tcPr>
          <w:p w14:paraId="1ABD5F90">
            <w:pPr>
              <w:rPr>
                <w:rFonts w:ascii="Arial"/>
                <w:sz w:val="21"/>
              </w:rPr>
            </w:pPr>
          </w:p>
        </w:tc>
        <w:tc>
          <w:tcPr>
            <w:tcW w:w="829" w:type="dxa"/>
            <w:vAlign w:val="top"/>
          </w:tcPr>
          <w:p w14:paraId="7EBDD809">
            <w:pPr>
              <w:rPr>
                <w:rFonts w:ascii="Arial"/>
                <w:sz w:val="21"/>
              </w:rPr>
            </w:pPr>
          </w:p>
        </w:tc>
        <w:tc>
          <w:tcPr>
            <w:tcW w:w="719" w:type="dxa"/>
            <w:vAlign w:val="top"/>
          </w:tcPr>
          <w:p w14:paraId="2B180124">
            <w:pPr>
              <w:rPr>
                <w:rFonts w:ascii="Arial"/>
                <w:sz w:val="21"/>
              </w:rPr>
            </w:pPr>
          </w:p>
        </w:tc>
        <w:tc>
          <w:tcPr>
            <w:tcW w:w="839" w:type="dxa"/>
            <w:vAlign w:val="top"/>
          </w:tcPr>
          <w:p w14:paraId="5E053356">
            <w:pPr>
              <w:rPr>
                <w:rFonts w:ascii="Arial"/>
                <w:sz w:val="21"/>
              </w:rPr>
            </w:pPr>
          </w:p>
        </w:tc>
        <w:tc>
          <w:tcPr>
            <w:tcW w:w="859" w:type="dxa"/>
            <w:vAlign w:val="top"/>
          </w:tcPr>
          <w:p w14:paraId="19036B7D">
            <w:pPr>
              <w:rPr>
                <w:rFonts w:ascii="Arial"/>
                <w:sz w:val="21"/>
              </w:rPr>
            </w:pPr>
          </w:p>
        </w:tc>
        <w:tc>
          <w:tcPr>
            <w:tcW w:w="1269" w:type="dxa"/>
            <w:vAlign w:val="top"/>
          </w:tcPr>
          <w:p w14:paraId="2E66B57A">
            <w:pPr>
              <w:rPr>
                <w:rFonts w:ascii="Arial"/>
                <w:sz w:val="21"/>
              </w:rPr>
            </w:pPr>
          </w:p>
        </w:tc>
        <w:tc>
          <w:tcPr>
            <w:tcW w:w="1269" w:type="dxa"/>
            <w:vAlign w:val="top"/>
          </w:tcPr>
          <w:p w14:paraId="76385B94">
            <w:pPr>
              <w:rPr>
                <w:rFonts w:ascii="Arial"/>
                <w:sz w:val="21"/>
              </w:rPr>
            </w:pPr>
          </w:p>
        </w:tc>
        <w:tc>
          <w:tcPr>
            <w:tcW w:w="1014" w:type="dxa"/>
            <w:vAlign w:val="top"/>
          </w:tcPr>
          <w:p w14:paraId="3DA7D3F8">
            <w:pPr>
              <w:rPr>
                <w:rFonts w:ascii="Arial"/>
                <w:sz w:val="21"/>
              </w:rPr>
            </w:pPr>
          </w:p>
        </w:tc>
      </w:tr>
      <w:tr w14:paraId="167794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0" w:hRule="atLeast"/>
        </w:trPr>
        <w:tc>
          <w:tcPr>
            <w:tcW w:w="724" w:type="dxa"/>
            <w:vAlign w:val="top"/>
          </w:tcPr>
          <w:p w14:paraId="6EBDBE9A">
            <w:pPr>
              <w:rPr>
                <w:rFonts w:ascii="Arial"/>
                <w:sz w:val="21"/>
              </w:rPr>
            </w:pPr>
          </w:p>
        </w:tc>
        <w:tc>
          <w:tcPr>
            <w:tcW w:w="1438" w:type="dxa"/>
            <w:vAlign w:val="top"/>
          </w:tcPr>
          <w:p w14:paraId="2DEF2F6F">
            <w:pPr>
              <w:rPr>
                <w:rFonts w:ascii="Arial"/>
                <w:sz w:val="21"/>
              </w:rPr>
            </w:pPr>
          </w:p>
        </w:tc>
        <w:tc>
          <w:tcPr>
            <w:tcW w:w="829" w:type="dxa"/>
            <w:vAlign w:val="top"/>
          </w:tcPr>
          <w:p w14:paraId="7157A003">
            <w:pPr>
              <w:rPr>
                <w:rFonts w:ascii="Arial"/>
                <w:sz w:val="21"/>
              </w:rPr>
            </w:pPr>
          </w:p>
        </w:tc>
        <w:tc>
          <w:tcPr>
            <w:tcW w:w="719" w:type="dxa"/>
            <w:vAlign w:val="top"/>
          </w:tcPr>
          <w:p w14:paraId="00CE3A78">
            <w:pPr>
              <w:rPr>
                <w:rFonts w:ascii="Arial"/>
                <w:sz w:val="21"/>
              </w:rPr>
            </w:pPr>
          </w:p>
        </w:tc>
        <w:tc>
          <w:tcPr>
            <w:tcW w:w="839" w:type="dxa"/>
            <w:vAlign w:val="top"/>
          </w:tcPr>
          <w:p w14:paraId="0DB594FA">
            <w:pPr>
              <w:rPr>
                <w:rFonts w:ascii="Arial"/>
                <w:sz w:val="21"/>
              </w:rPr>
            </w:pPr>
          </w:p>
        </w:tc>
        <w:tc>
          <w:tcPr>
            <w:tcW w:w="859" w:type="dxa"/>
            <w:vAlign w:val="top"/>
          </w:tcPr>
          <w:p w14:paraId="7F2A8E09">
            <w:pPr>
              <w:rPr>
                <w:rFonts w:ascii="Arial"/>
                <w:sz w:val="21"/>
              </w:rPr>
            </w:pPr>
          </w:p>
        </w:tc>
        <w:tc>
          <w:tcPr>
            <w:tcW w:w="1269" w:type="dxa"/>
            <w:vAlign w:val="top"/>
          </w:tcPr>
          <w:p w14:paraId="48BCE4BE">
            <w:pPr>
              <w:rPr>
                <w:rFonts w:ascii="Arial"/>
                <w:sz w:val="21"/>
              </w:rPr>
            </w:pPr>
          </w:p>
        </w:tc>
        <w:tc>
          <w:tcPr>
            <w:tcW w:w="1269" w:type="dxa"/>
            <w:vAlign w:val="top"/>
          </w:tcPr>
          <w:p w14:paraId="5675F378">
            <w:pPr>
              <w:rPr>
                <w:rFonts w:ascii="Arial"/>
                <w:sz w:val="21"/>
              </w:rPr>
            </w:pPr>
          </w:p>
        </w:tc>
        <w:tc>
          <w:tcPr>
            <w:tcW w:w="1014" w:type="dxa"/>
            <w:vAlign w:val="top"/>
          </w:tcPr>
          <w:p w14:paraId="30F0B53C">
            <w:pPr>
              <w:rPr>
                <w:rFonts w:ascii="Arial"/>
                <w:sz w:val="21"/>
              </w:rPr>
            </w:pPr>
          </w:p>
        </w:tc>
      </w:tr>
      <w:tr w14:paraId="493C4E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trPr>
        <w:tc>
          <w:tcPr>
            <w:tcW w:w="724" w:type="dxa"/>
            <w:vAlign w:val="top"/>
          </w:tcPr>
          <w:p w14:paraId="506DDF3A">
            <w:pPr>
              <w:rPr>
                <w:rFonts w:ascii="Arial"/>
                <w:sz w:val="21"/>
              </w:rPr>
            </w:pPr>
          </w:p>
        </w:tc>
        <w:tc>
          <w:tcPr>
            <w:tcW w:w="1438" w:type="dxa"/>
            <w:vAlign w:val="top"/>
          </w:tcPr>
          <w:p w14:paraId="1282F72B">
            <w:pPr>
              <w:rPr>
                <w:rFonts w:ascii="Arial"/>
                <w:sz w:val="21"/>
              </w:rPr>
            </w:pPr>
          </w:p>
        </w:tc>
        <w:tc>
          <w:tcPr>
            <w:tcW w:w="829" w:type="dxa"/>
            <w:vAlign w:val="top"/>
          </w:tcPr>
          <w:p w14:paraId="65387A5B">
            <w:pPr>
              <w:rPr>
                <w:rFonts w:ascii="Arial"/>
                <w:sz w:val="21"/>
              </w:rPr>
            </w:pPr>
          </w:p>
        </w:tc>
        <w:tc>
          <w:tcPr>
            <w:tcW w:w="719" w:type="dxa"/>
            <w:vAlign w:val="top"/>
          </w:tcPr>
          <w:p w14:paraId="2943C9DF">
            <w:pPr>
              <w:rPr>
                <w:rFonts w:ascii="Arial"/>
                <w:sz w:val="21"/>
              </w:rPr>
            </w:pPr>
          </w:p>
        </w:tc>
        <w:tc>
          <w:tcPr>
            <w:tcW w:w="839" w:type="dxa"/>
            <w:vAlign w:val="top"/>
          </w:tcPr>
          <w:p w14:paraId="4F2DB881">
            <w:pPr>
              <w:rPr>
                <w:rFonts w:ascii="Arial"/>
                <w:sz w:val="21"/>
              </w:rPr>
            </w:pPr>
          </w:p>
        </w:tc>
        <w:tc>
          <w:tcPr>
            <w:tcW w:w="859" w:type="dxa"/>
            <w:vAlign w:val="top"/>
          </w:tcPr>
          <w:p w14:paraId="79B9CE5C">
            <w:pPr>
              <w:rPr>
                <w:rFonts w:ascii="Arial"/>
                <w:sz w:val="21"/>
              </w:rPr>
            </w:pPr>
          </w:p>
        </w:tc>
        <w:tc>
          <w:tcPr>
            <w:tcW w:w="1269" w:type="dxa"/>
            <w:vAlign w:val="top"/>
          </w:tcPr>
          <w:p w14:paraId="2BD388BF">
            <w:pPr>
              <w:rPr>
                <w:rFonts w:ascii="Arial"/>
                <w:sz w:val="21"/>
              </w:rPr>
            </w:pPr>
          </w:p>
        </w:tc>
        <w:tc>
          <w:tcPr>
            <w:tcW w:w="1269" w:type="dxa"/>
            <w:vAlign w:val="top"/>
          </w:tcPr>
          <w:p w14:paraId="44EBF666">
            <w:pPr>
              <w:rPr>
                <w:rFonts w:ascii="Arial"/>
                <w:sz w:val="21"/>
              </w:rPr>
            </w:pPr>
          </w:p>
        </w:tc>
        <w:tc>
          <w:tcPr>
            <w:tcW w:w="1014" w:type="dxa"/>
            <w:vAlign w:val="top"/>
          </w:tcPr>
          <w:p w14:paraId="2CF16394">
            <w:pPr>
              <w:rPr>
                <w:rFonts w:ascii="Arial"/>
                <w:sz w:val="21"/>
              </w:rPr>
            </w:pPr>
          </w:p>
        </w:tc>
      </w:tr>
    </w:tbl>
    <w:p w14:paraId="30B9D78B">
      <w:pPr>
        <w:rPr>
          <w:rFonts w:ascii="Arial"/>
          <w:sz w:val="21"/>
        </w:rPr>
      </w:pPr>
    </w:p>
    <w:p w14:paraId="56727168">
      <w:pPr>
        <w:rPr>
          <w:rFonts w:ascii="Arial" w:hAnsi="Arial" w:eastAsia="Arial" w:cs="Arial"/>
          <w:sz w:val="21"/>
          <w:szCs w:val="21"/>
        </w:rPr>
        <w:sectPr>
          <w:footerReference r:id="rId276" w:type="default"/>
          <w:pgSz w:w="11910" w:h="16840"/>
          <w:pgMar w:top="400" w:right="1524" w:bottom="1024" w:left="1415" w:header="0" w:footer="889" w:gutter="0"/>
          <w:cols w:space="720" w:num="1"/>
        </w:sectPr>
      </w:pPr>
    </w:p>
    <w:p w14:paraId="113EF3D6">
      <w:pPr>
        <w:spacing w:line="259" w:lineRule="auto"/>
        <w:rPr>
          <w:rFonts w:ascii="Arial"/>
          <w:sz w:val="21"/>
        </w:rPr>
      </w:pPr>
    </w:p>
    <w:p w14:paraId="70A78067">
      <w:pPr>
        <w:spacing w:line="259" w:lineRule="auto"/>
        <w:rPr>
          <w:rFonts w:ascii="Arial"/>
          <w:sz w:val="21"/>
        </w:rPr>
      </w:pPr>
    </w:p>
    <w:p w14:paraId="7C7FE37B">
      <w:pPr>
        <w:spacing w:line="259" w:lineRule="auto"/>
        <w:rPr>
          <w:rFonts w:ascii="Arial"/>
          <w:sz w:val="21"/>
        </w:rPr>
      </w:pPr>
    </w:p>
    <w:p w14:paraId="7298B503">
      <w:pPr>
        <w:spacing w:line="259" w:lineRule="auto"/>
        <w:rPr>
          <w:rFonts w:ascii="Arial"/>
          <w:sz w:val="21"/>
        </w:rPr>
      </w:pPr>
    </w:p>
    <w:p w14:paraId="7E9BF200">
      <w:pPr>
        <w:spacing w:line="259" w:lineRule="auto"/>
        <w:rPr>
          <w:rFonts w:ascii="Arial"/>
          <w:sz w:val="21"/>
        </w:rPr>
      </w:pPr>
    </w:p>
    <w:p w14:paraId="48B75A4B">
      <w:pPr>
        <w:pStyle w:val="2"/>
        <w:spacing w:before="82" w:line="219" w:lineRule="auto"/>
        <w:ind w:left="468"/>
      </w:pPr>
      <w:r>
        <w:rPr>
          <w:b/>
          <w:bCs/>
          <w:spacing w:val="-3"/>
        </w:rPr>
        <w:t>附件6:承包人主要施工管理人员表</w:t>
      </w:r>
    </w:p>
    <w:p w14:paraId="2EB58969">
      <w:pPr>
        <w:spacing w:line="137" w:lineRule="auto"/>
        <w:rPr>
          <w:rFonts w:ascii="Arial"/>
          <w:sz w:val="2"/>
        </w:rPr>
      </w:pPr>
    </w:p>
    <w:tbl>
      <w:tblPr>
        <w:tblStyle w:val="5"/>
        <w:tblW w:w="980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863"/>
        <w:gridCol w:w="1408"/>
        <w:gridCol w:w="1129"/>
        <w:gridCol w:w="1149"/>
        <w:gridCol w:w="4251"/>
      </w:tblGrid>
      <w:tr w14:paraId="7B9929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5" w:hRule="atLeast"/>
        </w:trPr>
        <w:tc>
          <w:tcPr>
            <w:tcW w:w="1863" w:type="dxa"/>
            <w:vAlign w:val="top"/>
          </w:tcPr>
          <w:p w14:paraId="2626CE6D">
            <w:pPr>
              <w:pStyle w:val="6"/>
              <w:spacing w:before="195" w:line="219" w:lineRule="auto"/>
              <w:ind w:left="555"/>
            </w:pPr>
            <w:r>
              <w:rPr>
                <w:spacing w:val="-6"/>
              </w:rPr>
              <w:t>名</w:t>
            </w:r>
            <w:r>
              <w:rPr>
                <w:spacing w:val="2"/>
              </w:rPr>
              <w:t xml:space="preserve">   </w:t>
            </w:r>
            <w:r>
              <w:rPr>
                <w:spacing w:val="-6"/>
              </w:rPr>
              <w:t>称</w:t>
            </w:r>
          </w:p>
        </w:tc>
        <w:tc>
          <w:tcPr>
            <w:tcW w:w="1408" w:type="dxa"/>
            <w:vAlign w:val="top"/>
          </w:tcPr>
          <w:p w14:paraId="4AB0DD30">
            <w:pPr>
              <w:pStyle w:val="6"/>
              <w:spacing w:before="193" w:line="219" w:lineRule="auto"/>
              <w:ind w:left="492"/>
            </w:pPr>
            <w:r>
              <w:rPr>
                <w:spacing w:val="13"/>
              </w:rPr>
              <w:t>姓名</w:t>
            </w:r>
          </w:p>
        </w:tc>
        <w:tc>
          <w:tcPr>
            <w:tcW w:w="1129" w:type="dxa"/>
            <w:vAlign w:val="top"/>
          </w:tcPr>
          <w:p w14:paraId="254B312A">
            <w:pPr>
              <w:pStyle w:val="6"/>
              <w:spacing w:before="203" w:line="212" w:lineRule="auto"/>
              <w:ind w:left="354"/>
            </w:pPr>
            <w:r>
              <w:rPr>
                <w:spacing w:val="-3"/>
              </w:rPr>
              <w:t>职务</w:t>
            </w:r>
          </w:p>
        </w:tc>
        <w:tc>
          <w:tcPr>
            <w:tcW w:w="1149" w:type="dxa"/>
            <w:vAlign w:val="top"/>
          </w:tcPr>
          <w:p w14:paraId="1C1BA501">
            <w:pPr>
              <w:pStyle w:val="6"/>
              <w:spacing w:before="206" w:line="210" w:lineRule="auto"/>
              <w:ind w:left="375"/>
            </w:pPr>
            <w:r>
              <w:rPr>
                <w:spacing w:val="-3"/>
              </w:rPr>
              <w:t>职称</w:t>
            </w:r>
          </w:p>
        </w:tc>
        <w:tc>
          <w:tcPr>
            <w:tcW w:w="4251" w:type="dxa"/>
            <w:vAlign w:val="top"/>
          </w:tcPr>
          <w:p w14:paraId="507C4A48">
            <w:pPr>
              <w:pStyle w:val="6"/>
              <w:spacing w:before="193" w:line="219" w:lineRule="auto"/>
              <w:ind w:left="665"/>
            </w:pPr>
            <w:r>
              <w:rPr>
                <w:spacing w:val="2"/>
              </w:rPr>
              <w:t>主要资历、经验及承担过的项目</w:t>
            </w:r>
          </w:p>
        </w:tc>
      </w:tr>
      <w:tr w14:paraId="28B295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9800" w:type="dxa"/>
            <w:gridSpan w:val="5"/>
            <w:vAlign w:val="top"/>
          </w:tcPr>
          <w:p w14:paraId="07519949">
            <w:pPr>
              <w:pStyle w:val="6"/>
              <w:spacing w:before="208" w:line="219" w:lineRule="auto"/>
              <w:ind w:left="4264"/>
            </w:pPr>
            <w:r>
              <w:t>一、总部人员</w:t>
            </w:r>
          </w:p>
        </w:tc>
      </w:tr>
      <w:tr w14:paraId="6D02A5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trPr>
        <w:tc>
          <w:tcPr>
            <w:tcW w:w="1863" w:type="dxa"/>
            <w:vAlign w:val="top"/>
          </w:tcPr>
          <w:p w14:paraId="0488118C">
            <w:pPr>
              <w:pStyle w:val="6"/>
              <w:spacing w:before="179" w:line="211" w:lineRule="auto"/>
              <w:ind w:left="504"/>
            </w:pPr>
            <w:r>
              <w:rPr>
                <w:spacing w:val="2"/>
              </w:rPr>
              <w:t>项目主管</w:t>
            </w:r>
          </w:p>
        </w:tc>
        <w:tc>
          <w:tcPr>
            <w:tcW w:w="1408" w:type="dxa"/>
            <w:vAlign w:val="top"/>
          </w:tcPr>
          <w:p w14:paraId="425B113A">
            <w:pPr>
              <w:rPr>
                <w:rFonts w:ascii="Arial"/>
                <w:sz w:val="21"/>
              </w:rPr>
            </w:pPr>
          </w:p>
        </w:tc>
        <w:tc>
          <w:tcPr>
            <w:tcW w:w="1129" w:type="dxa"/>
            <w:vAlign w:val="top"/>
          </w:tcPr>
          <w:p w14:paraId="399525A9">
            <w:pPr>
              <w:rPr>
                <w:rFonts w:ascii="Arial"/>
                <w:sz w:val="21"/>
              </w:rPr>
            </w:pPr>
          </w:p>
        </w:tc>
        <w:tc>
          <w:tcPr>
            <w:tcW w:w="1149" w:type="dxa"/>
            <w:vAlign w:val="top"/>
          </w:tcPr>
          <w:p w14:paraId="48AF0A14">
            <w:pPr>
              <w:rPr>
                <w:rFonts w:ascii="Arial"/>
                <w:sz w:val="21"/>
              </w:rPr>
            </w:pPr>
          </w:p>
        </w:tc>
        <w:tc>
          <w:tcPr>
            <w:tcW w:w="4251" w:type="dxa"/>
            <w:vAlign w:val="top"/>
          </w:tcPr>
          <w:p w14:paraId="0DA7B8EE">
            <w:pPr>
              <w:rPr>
                <w:rFonts w:ascii="Arial"/>
                <w:sz w:val="21"/>
              </w:rPr>
            </w:pPr>
          </w:p>
        </w:tc>
      </w:tr>
      <w:tr w14:paraId="1A5D24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1863" w:type="dxa"/>
            <w:vMerge w:val="restart"/>
            <w:tcBorders>
              <w:bottom w:val="nil"/>
            </w:tcBorders>
            <w:vAlign w:val="top"/>
          </w:tcPr>
          <w:p w14:paraId="1C06D734">
            <w:pPr>
              <w:spacing w:line="249" w:lineRule="auto"/>
              <w:rPr>
                <w:rFonts w:ascii="Arial"/>
                <w:sz w:val="21"/>
              </w:rPr>
            </w:pPr>
          </w:p>
          <w:p w14:paraId="4ECB621F">
            <w:pPr>
              <w:spacing w:line="250" w:lineRule="auto"/>
              <w:rPr>
                <w:rFonts w:ascii="Arial"/>
                <w:sz w:val="21"/>
              </w:rPr>
            </w:pPr>
          </w:p>
          <w:p w14:paraId="50D2A578">
            <w:pPr>
              <w:pStyle w:val="6"/>
              <w:spacing w:before="68" w:line="220" w:lineRule="auto"/>
              <w:ind w:left="504"/>
            </w:pPr>
            <w:r>
              <w:rPr>
                <w:spacing w:val="7"/>
              </w:rPr>
              <w:t>其他人员</w:t>
            </w:r>
          </w:p>
        </w:tc>
        <w:tc>
          <w:tcPr>
            <w:tcW w:w="1408" w:type="dxa"/>
            <w:vAlign w:val="top"/>
          </w:tcPr>
          <w:p w14:paraId="0B359E56">
            <w:pPr>
              <w:rPr>
                <w:rFonts w:ascii="Arial"/>
                <w:sz w:val="21"/>
              </w:rPr>
            </w:pPr>
          </w:p>
        </w:tc>
        <w:tc>
          <w:tcPr>
            <w:tcW w:w="1129" w:type="dxa"/>
            <w:vAlign w:val="top"/>
          </w:tcPr>
          <w:p w14:paraId="17635DF4">
            <w:pPr>
              <w:rPr>
                <w:rFonts w:ascii="Arial"/>
                <w:sz w:val="21"/>
              </w:rPr>
            </w:pPr>
          </w:p>
        </w:tc>
        <w:tc>
          <w:tcPr>
            <w:tcW w:w="1149" w:type="dxa"/>
            <w:vAlign w:val="top"/>
          </w:tcPr>
          <w:p w14:paraId="6492529E">
            <w:pPr>
              <w:rPr>
                <w:rFonts w:ascii="Arial"/>
                <w:sz w:val="21"/>
              </w:rPr>
            </w:pPr>
          </w:p>
        </w:tc>
        <w:tc>
          <w:tcPr>
            <w:tcW w:w="4251" w:type="dxa"/>
            <w:vAlign w:val="top"/>
          </w:tcPr>
          <w:p w14:paraId="510C5970">
            <w:pPr>
              <w:rPr>
                <w:rFonts w:ascii="Arial"/>
                <w:sz w:val="21"/>
              </w:rPr>
            </w:pPr>
          </w:p>
        </w:tc>
      </w:tr>
      <w:tr w14:paraId="2B86FF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1863" w:type="dxa"/>
            <w:vMerge w:val="continue"/>
            <w:tcBorders>
              <w:top w:val="nil"/>
              <w:bottom w:val="nil"/>
            </w:tcBorders>
            <w:vAlign w:val="top"/>
          </w:tcPr>
          <w:p w14:paraId="49CB5459">
            <w:pPr>
              <w:rPr>
                <w:rFonts w:ascii="Arial"/>
                <w:sz w:val="21"/>
              </w:rPr>
            </w:pPr>
          </w:p>
        </w:tc>
        <w:tc>
          <w:tcPr>
            <w:tcW w:w="1408" w:type="dxa"/>
            <w:vAlign w:val="top"/>
          </w:tcPr>
          <w:p w14:paraId="6BD5F4A9">
            <w:pPr>
              <w:rPr>
                <w:rFonts w:ascii="Arial"/>
                <w:sz w:val="21"/>
              </w:rPr>
            </w:pPr>
          </w:p>
        </w:tc>
        <w:tc>
          <w:tcPr>
            <w:tcW w:w="1129" w:type="dxa"/>
            <w:vAlign w:val="top"/>
          </w:tcPr>
          <w:p w14:paraId="0659FD21">
            <w:pPr>
              <w:rPr>
                <w:rFonts w:ascii="Arial"/>
                <w:sz w:val="21"/>
              </w:rPr>
            </w:pPr>
          </w:p>
        </w:tc>
        <w:tc>
          <w:tcPr>
            <w:tcW w:w="1149" w:type="dxa"/>
            <w:vAlign w:val="top"/>
          </w:tcPr>
          <w:p w14:paraId="095E50F0">
            <w:pPr>
              <w:rPr>
                <w:rFonts w:ascii="Arial"/>
                <w:sz w:val="21"/>
              </w:rPr>
            </w:pPr>
          </w:p>
        </w:tc>
        <w:tc>
          <w:tcPr>
            <w:tcW w:w="4251" w:type="dxa"/>
            <w:vAlign w:val="top"/>
          </w:tcPr>
          <w:p w14:paraId="2BEE54C7">
            <w:pPr>
              <w:rPr>
                <w:rFonts w:ascii="Arial"/>
                <w:sz w:val="21"/>
              </w:rPr>
            </w:pPr>
          </w:p>
        </w:tc>
      </w:tr>
      <w:tr w14:paraId="0D3100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9" w:hRule="atLeast"/>
        </w:trPr>
        <w:tc>
          <w:tcPr>
            <w:tcW w:w="1863" w:type="dxa"/>
            <w:vMerge w:val="continue"/>
            <w:tcBorders>
              <w:top w:val="nil"/>
            </w:tcBorders>
            <w:vAlign w:val="top"/>
          </w:tcPr>
          <w:p w14:paraId="4B5C0E74">
            <w:pPr>
              <w:rPr>
                <w:rFonts w:ascii="Arial"/>
                <w:sz w:val="21"/>
              </w:rPr>
            </w:pPr>
          </w:p>
        </w:tc>
        <w:tc>
          <w:tcPr>
            <w:tcW w:w="1408" w:type="dxa"/>
            <w:vAlign w:val="top"/>
          </w:tcPr>
          <w:p w14:paraId="2A826EDE">
            <w:pPr>
              <w:rPr>
                <w:rFonts w:ascii="Arial"/>
                <w:sz w:val="21"/>
              </w:rPr>
            </w:pPr>
          </w:p>
        </w:tc>
        <w:tc>
          <w:tcPr>
            <w:tcW w:w="1129" w:type="dxa"/>
            <w:vAlign w:val="top"/>
          </w:tcPr>
          <w:p w14:paraId="62F4B224">
            <w:pPr>
              <w:rPr>
                <w:rFonts w:ascii="Arial"/>
                <w:sz w:val="21"/>
              </w:rPr>
            </w:pPr>
          </w:p>
        </w:tc>
        <w:tc>
          <w:tcPr>
            <w:tcW w:w="1149" w:type="dxa"/>
            <w:vAlign w:val="top"/>
          </w:tcPr>
          <w:p w14:paraId="7CF884D5">
            <w:pPr>
              <w:rPr>
                <w:rFonts w:ascii="Arial"/>
                <w:sz w:val="21"/>
              </w:rPr>
            </w:pPr>
          </w:p>
        </w:tc>
        <w:tc>
          <w:tcPr>
            <w:tcW w:w="4251" w:type="dxa"/>
            <w:vAlign w:val="top"/>
          </w:tcPr>
          <w:p w14:paraId="4CC284E1">
            <w:pPr>
              <w:rPr>
                <w:rFonts w:ascii="Arial"/>
                <w:sz w:val="21"/>
              </w:rPr>
            </w:pPr>
          </w:p>
        </w:tc>
      </w:tr>
      <w:tr w14:paraId="71BC26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trPr>
        <w:tc>
          <w:tcPr>
            <w:tcW w:w="9800" w:type="dxa"/>
            <w:gridSpan w:val="5"/>
            <w:vAlign w:val="top"/>
          </w:tcPr>
          <w:p w14:paraId="53788576">
            <w:pPr>
              <w:pStyle w:val="6"/>
              <w:spacing w:before="192" w:line="200" w:lineRule="auto"/>
              <w:ind w:left="4264"/>
            </w:pPr>
            <w:r>
              <w:rPr>
                <w:spacing w:val="4"/>
              </w:rPr>
              <w:t>二、现场人员</w:t>
            </w:r>
          </w:p>
        </w:tc>
      </w:tr>
      <w:tr w14:paraId="4E422F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1863" w:type="dxa"/>
            <w:vAlign w:val="top"/>
          </w:tcPr>
          <w:p w14:paraId="0CC0DFE4">
            <w:pPr>
              <w:pStyle w:val="6"/>
              <w:spacing w:before="202" w:line="220" w:lineRule="auto"/>
              <w:ind w:left="504"/>
            </w:pPr>
            <w:r>
              <w:rPr>
                <w:spacing w:val="-3"/>
              </w:rPr>
              <w:t>项目经理</w:t>
            </w:r>
          </w:p>
        </w:tc>
        <w:tc>
          <w:tcPr>
            <w:tcW w:w="1408" w:type="dxa"/>
            <w:vAlign w:val="top"/>
          </w:tcPr>
          <w:p w14:paraId="13AB08D2">
            <w:pPr>
              <w:rPr>
                <w:rFonts w:ascii="Arial"/>
                <w:sz w:val="21"/>
              </w:rPr>
            </w:pPr>
          </w:p>
        </w:tc>
        <w:tc>
          <w:tcPr>
            <w:tcW w:w="1129" w:type="dxa"/>
            <w:vAlign w:val="top"/>
          </w:tcPr>
          <w:p w14:paraId="67B08FE8">
            <w:pPr>
              <w:rPr>
                <w:rFonts w:ascii="Arial"/>
                <w:sz w:val="21"/>
              </w:rPr>
            </w:pPr>
          </w:p>
        </w:tc>
        <w:tc>
          <w:tcPr>
            <w:tcW w:w="1149" w:type="dxa"/>
            <w:vAlign w:val="top"/>
          </w:tcPr>
          <w:p w14:paraId="3A80EF87">
            <w:pPr>
              <w:rPr>
                <w:rFonts w:ascii="Arial"/>
                <w:sz w:val="21"/>
              </w:rPr>
            </w:pPr>
          </w:p>
        </w:tc>
        <w:tc>
          <w:tcPr>
            <w:tcW w:w="4251" w:type="dxa"/>
            <w:vAlign w:val="top"/>
          </w:tcPr>
          <w:p w14:paraId="7D77BE07">
            <w:pPr>
              <w:rPr>
                <w:rFonts w:ascii="Arial"/>
                <w:sz w:val="21"/>
              </w:rPr>
            </w:pPr>
          </w:p>
        </w:tc>
      </w:tr>
      <w:tr w14:paraId="38E4A9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trPr>
        <w:tc>
          <w:tcPr>
            <w:tcW w:w="1863" w:type="dxa"/>
            <w:vAlign w:val="top"/>
          </w:tcPr>
          <w:p w14:paraId="79B1097A">
            <w:pPr>
              <w:pStyle w:val="6"/>
              <w:spacing w:before="192" w:line="200" w:lineRule="auto"/>
              <w:ind w:left="395"/>
            </w:pPr>
            <w:r>
              <w:rPr>
                <w:spacing w:val="-2"/>
              </w:rPr>
              <w:t>项目副经理</w:t>
            </w:r>
          </w:p>
        </w:tc>
        <w:tc>
          <w:tcPr>
            <w:tcW w:w="1408" w:type="dxa"/>
            <w:vAlign w:val="top"/>
          </w:tcPr>
          <w:p w14:paraId="6320560A">
            <w:pPr>
              <w:rPr>
                <w:rFonts w:ascii="Arial"/>
                <w:sz w:val="21"/>
              </w:rPr>
            </w:pPr>
          </w:p>
        </w:tc>
        <w:tc>
          <w:tcPr>
            <w:tcW w:w="1129" w:type="dxa"/>
            <w:vAlign w:val="top"/>
          </w:tcPr>
          <w:p w14:paraId="5597B69B">
            <w:pPr>
              <w:rPr>
                <w:rFonts w:ascii="Arial"/>
                <w:sz w:val="21"/>
              </w:rPr>
            </w:pPr>
          </w:p>
        </w:tc>
        <w:tc>
          <w:tcPr>
            <w:tcW w:w="1149" w:type="dxa"/>
            <w:vAlign w:val="top"/>
          </w:tcPr>
          <w:p w14:paraId="1D8F4E3C">
            <w:pPr>
              <w:rPr>
                <w:rFonts w:ascii="Arial"/>
                <w:sz w:val="21"/>
              </w:rPr>
            </w:pPr>
          </w:p>
        </w:tc>
        <w:tc>
          <w:tcPr>
            <w:tcW w:w="4251" w:type="dxa"/>
            <w:vAlign w:val="top"/>
          </w:tcPr>
          <w:p w14:paraId="6B0F810B">
            <w:pPr>
              <w:rPr>
                <w:rFonts w:ascii="Arial"/>
                <w:sz w:val="21"/>
              </w:rPr>
            </w:pPr>
          </w:p>
        </w:tc>
      </w:tr>
      <w:tr w14:paraId="3B84B8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1863" w:type="dxa"/>
            <w:vAlign w:val="top"/>
          </w:tcPr>
          <w:p w14:paraId="696E9EDD">
            <w:pPr>
              <w:pStyle w:val="6"/>
              <w:spacing w:before="202" w:line="208" w:lineRule="auto"/>
              <w:ind w:left="395"/>
            </w:pPr>
            <w:r>
              <w:rPr>
                <w:spacing w:val="-2"/>
              </w:rPr>
              <w:t>技术负责人</w:t>
            </w:r>
          </w:p>
        </w:tc>
        <w:tc>
          <w:tcPr>
            <w:tcW w:w="1408" w:type="dxa"/>
            <w:vAlign w:val="top"/>
          </w:tcPr>
          <w:p w14:paraId="6C95792D">
            <w:pPr>
              <w:rPr>
                <w:rFonts w:ascii="Arial"/>
                <w:sz w:val="21"/>
              </w:rPr>
            </w:pPr>
          </w:p>
        </w:tc>
        <w:tc>
          <w:tcPr>
            <w:tcW w:w="1129" w:type="dxa"/>
            <w:vAlign w:val="top"/>
          </w:tcPr>
          <w:p w14:paraId="50ACF920">
            <w:pPr>
              <w:rPr>
                <w:rFonts w:ascii="Arial"/>
                <w:sz w:val="21"/>
              </w:rPr>
            </w:pPr>
          </w:p>
        </w:tc>
        <w:tc>
          <w:tcPr>
            <w:tcW w:w="1149" w:type="dxa"/>
            <w:vAlign w:val="top"/>
          </w:tcPr>
          <w:p w14:paraId="69BCDFC2">
            <w:pPr>
              <w:rPr>
                <w:rFonts w:ascii="Arial"/>
                <w:sz w:val="21"/>
              </w:rPr>
            </w:pPr>
          </w:p>
        </w:tc>
        <w:tc>
          <w:tcPr>
            <w:tcW w:w="4251" w:type="dxa"/>
            <w:vAlign w:val="top"/>
          </w:tcPr>
          <w:p w14:paraId="0C3D79BC">
            <w:pPr>
              <w:rPr>
                <w:rFonts w:ascii="Arial"/>
                <w:sz w:val="21"/>
              </w:rPr>
            </w:pPr>
          </w:p>
        </w:tc>
      </w:tr>
      <w:tr w14:paraId="232E2B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1863" w:type="dxa"/>
            <w:vAlign w:val="top"/>
          </w:tcPr>
          <w:p w14:paraId="46C1E184">
            <w:pPr>
              <w:pStyle w:val="6"/>
              <w:spacing w:before="181" w:line="218" w:lineRule="auto"/>
              <w:ind w:left="504"/>
            </w:pPr>
            <w:r>
              <w:rPr>
                <w:spacing w:val="-2"/>
              </w:rPr>
              <w:t>造价管理</w:t>
            </w:r>
          </w:p>
        </w:tc>
        <w:tc>
          <w:tcPr>
            <w:tcW w:w="1408" w:type="dxa"/>
            <w:vAlign w:val="top"/>
          </w:tcPr>
          <w:p w14:paraId="316BF196">
            <w:pPr>
              <w:rPr>
                <w:rFonts w:ascii="Arial"/>
                <w:sz w:val="21"/>
              </w:rPr>
            </w:pPr>
          </w:p>
        </w:tc>
        <w:tc>
          <w:tcPr>
            <w:tcW w:w="1129" w:type="dxa"/>
            <w:vAlign w:val="top"/>
          </w:tcPr>
          <w:p w14:paraId="3A6C3C30">
            <w:pPr>
              <w:rPr>
                <w:rFonts w:ascii="Arial"/>
                <w:sz w:val="21"/>
              </w:rPr>
            </w:pPr>
          </w:p>
        </w:tc>
        <w:tc>
          <w:tcPr>
            <w:tcW w:w="1149" w:type="dxa"/>
            <w:vAlign w:val="top"/>
          </w:tcPr>
          <w:p w14:paraId="67882AE5">
            <w:pPr>
              <w:rPr>
                <w:rFonts w:ascii="Arial"/>
                <w:sz w:val="21"/>
              </w:rPr>
            </w:pPr>
          </w:p>
        </w:tc>
        <w:tc>
          <w:tcPr>
            <w:tcW w:w="4251" w:type="dxa"/>
            <w:vAlign w:val="top"/>
          </w:tcPr>
          <w:p w14:paraId="6CDB194C">
            <w:pPr>
              <w:rPr>
                <w:rFonts w:ascii="Arial"/>
                <w:sz w:val="21"/>
              </w:rPr>
            </w:pPr>
          </w:p>
        </w:tc>
      </w:tr>
      <w:tr w14:paraId="45B63E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9" w:hRule="atLeast"/>
        </w:trPr>
        <w:tc>
          <w:tcPr>
            <w:tcW w:w="1863" w:type="dxa"/>
            <w:vAlign w:val="top"/>
          </w:tcPr>
          <w:p w14:paraId="4ACE0771">
            <w:pPr>
              <w:pStyle w:val="6"/>
              <w:spacing w:before="183" w:line="216" w:lineRule="auto"/>
              <w:ind w:left="504"/>
            </w:pPr>
            <w:r>
              <w:rPr>
                <w:spacing w:val="-2"/>
              </w:rPr>
              <w:t>质量管理</w:t>
            </w:r>
          </w:p>
        </w:tc>
        <w:tc>
          <w:tcPr>
            <w:tcW w:w="1408" w:type="dxa"/>
            <w:vAlign w:val="top"/>
          </w:tcPr>
          <w:p w14:paraId="40486D66">
            <w:pPr>
              <w:rPr>
                <w:rFonts w:ascii="Arial"/>
                <w:sz w:val="21"/>
              </w:rPr>
            </w:pPr>
          </w:p>
        </w:tc>
        <w:tc>
          <w:tcPr>
            <w:tcW w:w="1129" w:type="dxa"/>
            <w:vAlign w:val="top"/>
          </w:tcPr>
          <w:p w14:paraId="5662D226">
            <w:pPr>
              <w:rPr>
                <w:rFonts w:ascii="Arial"/>
                <w:sz w:val="21"/>
              </w:rPr>
            </w:pPr>
          </w:p>
        </w:tc>
        <w:tc>
          <w:tcPr>
            <w:tcW w:w="1149" w:type="dxa"/>
            <w:vAlign w:val="top"/>
          </w:tcPr>
          <w:p w14:paraId="380D9966">
            <w:pPr>
              <w:rPr>
                <w:rFonts w:ascii="Arial"/>
                <w:sz w:val="21"/>
              </w:rPr>
            </w:pPr>
          </w:p>
        </w:tc>
        <w:tc>
          <w:tcPr>
            <w:tcW w:w="4251" w:type="dxa"/>
            <w:vAlign w:val="top"/>
          </w:tcPr>
          <w:p w14:paraId="45EA48BD">
            <w:pPr>
              <w:rPr>
                <w:rFonts w:ascii="Arial"/>
                <w:sz w:val="21"/>
              </w:rPr>
            </w:pPr>
          </w:p>
        </w:tc>
      </w:tr>
      <w:tr w14:paraId="3C5DDD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1863" w:type="dxa"/>
            <w:vAlign w:val="top"/>
          </w:tcPr>
          <w:p w14:paraId="26CA6546">
            <w:pPr>
              <w:pStyle w:val="6"/>
              <w:spacing w:before="203" w:line="208" w:lineRule="auto"/>
              <w:ind w:left="504"/>
            </w:pPr>
            <w:r>
              <w:rPr>
                <w:spacing w:val="-2"/>
              </w:rPr>
              <w:t>材料管理</w:t>
            </w:r>
          </w:p>
        </w:tc>
        <w:tc>
          <w:tcPr>
            <w:tcW w:w="1408" w:type="dxa"/>
            <w:vAlign w:val="top"/>
          </w:tcPr>
          <w:p w14:paraId="33895774">
            <w:pPr>
              <w:rPr>
                <w:rFonts w:ascii="Arial"/>
                <w:sz w:val="21"/>
              </w:rPr>
            </w:pPr>
          </w:p>
        </w:tc>
        <w:tc>
          <w:tcPr>
            <w:tcW w:w="1129" w:type="dxa"/>
            <w:vAlign w:val="top"/>
          </w:tcPr>
          <w:p w14:paraId="29604C10">
            <w:pPr>
              <w:rPr>
                <w:rFonts w:ascii="Arial"/>
                <w:sz w:val="21"/>
              </w:rPr>
            </w:pPr>
          </w:p>
        </w:tc>
        <w:tc>
          <w:tcPr>
            <w:tcW w:w="1149" w:type="dxa"/>
            <w:vAlign w:val="top"/>
          </w:tcPr>
          <w:p w14:paraId="368937EC">
            <w:pPr>
              <w:rPr>
                <w:rFonts w:ascii="Arial"/>
                <w:sz w:val="21"/>
              </w:rPr>
            </w:pPr>
          </w:p>
        </w:tc>
        <w:tc>
          <w:tcPr>
            <w:tcW w:w="4251" w:type="dxa"/>
            <w:vAlign w:val="top"/>
          </w:tcPr>
          <w:p w14:paraId="19D9DA4F">
            <w:pPr>
              <w:rPr>
                <w:rFonts w:ascii="Arial"/>
                <w:sz w:val="21"/>
              </w:rPr>
            </w:pPr>
          </w:p>
        </w:tc>
      </w:tr>
      <w:tr w14:paraId="7592D4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1863" w:type="dxa"/>
            <w:vAlign w:val="top"/>
          </w:tcPr>
          <w:p w14:paraId="0BB6EBD6">
            <w:pPr>
              <w:pStyle w:val="6"/>
              <w:spacing w:before="184" w:line="219" w:lineRule="auto"/>
              <w:ind w:left="504"/>
            </w:pPr>
            <w:r>
              <w:rPr>
                <w:spacing w:val="-2"/>
              </w:rPr>
              <w:t>计划管理</w:t>
            </w:r>
          </w:p>
        </w:tc>
        <w:tc>
          <w:tcPr>
            <w:tcW w:w="1408" w:type="dxa"/>
            <w:vAlign w:val="top"/>
          </w:tcPr>
          <w:p w14:paraId="37E80356">
            <w:pPr>
              <w:rPr>
                <w:rFonts w:ascii="Arial"/>
                <w:sz w:val="21"/>
              </w:rPr>
            </w:pPr>
          </w:p>
        </w:tc>
        <w:tc>
          <w:tcPr>
            <w:tcW w:w="1129" w:type="dxa"/>
            <w:vAlign w:val="top"/>
          </w:tcPr>
          <w:p w14:paraId="16B12270">
            <w:pPr>
              <w:rPr>
                <w:rFonts w:ascii="Arial"/>
                <w:sz w:val="21"/>
              </w:rPr>
            </w:pPr>
          </w:p>
        </w:tc>
        <w:tc>
          <w:tcPr>
            <w:tcW w:w="1149" w:type="dxa"/>
            <w:vAlign w:val="top"/>
          </w:tcPr>
          <w:p w14:paraId="55361B77">
            <w:pPr>
              <w:rPr>
                <w:rFonts w:ascii="Arial"/>
                <w:sz w:val="21"/>
              </w:rPr>
            </w:pPr>
          </w:p>
        </w:tc>
        <w:tc>
          <w:tcPr>
            <w:tcW w:w="4251" w:type="dxa"/>
            <w:vAlign w:val="top"/>
          </w:tcPr>
          <w:p w14:paraId="39A04488">
            <w:pPr>
              <w:rPr>
                <w:rFonts w:ascii="Arial"/>
                <w:sz w:val="21"/>
              </w:rPr>
            </w:pPr>
          </w:p>
        </w:tc>
      </w:tr>
      <w:tr w14:paraId="18320A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trPr>
        <w:tc>
          <w:tcPr>
            <w:tcW w:w="1863" w:type="dxa"/>
            <w:vAlign w:val="top"/>
          </w:tcPr>
          <w:p w14:paraId="52131626">
            <w:pPr>
              <w:pStyle w:val="6"/>
              <w:spacing w:before="195" w:line="197" w:lineRule="auto"/>
              <w:ind w:left="504"/>
            </w:pPr>
            <w:r>
              <w:rPr>
                <w:spacing w:val="-3"/>
              </w:rPr>
              <w:t>安全管理</w:t>
            </w:r>
          </w:p>
        </w:tc>
        <w:tc>
          <w:tcPr>
            <w:tcW w:w="1408" w:type="dxa"/>
            <w:vAlign w:val="top"/>
          </w:tcPr>
          <w:p w14:paraId="3659E383">
            <w:pPr>
              <w:rPr>
                <w:rFonts w:ascii="Arial"/>
                <w:sz w:val="21"/>
              </w:rPr>
            </w:pPr>
          </w:p>
        </w:tc>
        <w:tc>
          <w:tcPr>
            <w:tcW w:w="1129" w:type="dxa"/>
            <w:vAlign w:val="top"/>
          </w:tcPr>
          <w:p w14:paraId="447FC0B8">
            <w:pPr>
              <w:rPr>
                <w:rFonts w:ascii="Arial"/>
                <w:sz w:val="21"/>
              </w:rPr>
            </w:pPr>
          </w:p>
        </w:tc>
        <w:tc>
          <w:tcPr>
            <w:tcW w:w="1149" w:type="dxa"/>
            <w:vAlign w:val="top"/>
          </w:tcPr>
          <w:p w14:paraId="4126F7E2">
            <w:pPr>
              <w:rPr>
                <w:rFonts w:ascii="Arial"/>
                <w:sz w:val="21"/>
              </w:rPr>
            </w:pPr>
          </w:p>
        </w:tc>
        <w:tc>
          <w:tcPr>
            <w:tcW w:w="4251" w:type="dxa"/>
            <w:vAlign w:val="top"/>
          </w:tcPr>
          <w:p w14:paraId="649A894D">
            <w:pPr>
              <w:rPr>
                <w:rFonts w:ascii="Arial"/>
                <w:sz w:val="21"/>
              </w:rPr>
            </w:pPr>
          </w:p>
        </w:tc>
      </w:tr>
      <w:tr w14:paraId="1F5A18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1863" w:type="dxa"/>
            <w:vMerge w:val="restart"/>
            <w:tcBorders>
              <w:bottom w:val="nil"/>
            </w:tcBorders>
            <w:vAlign w:val="top"/>
          </w:tcPr>
          <w:p w14:paraId="24C194A6">
            <w:pPr>
              <w:spacing w:line="246" w:lineRule="auto"/>
              <w:rPr>
                <w:rFonts w:ascii="Arial"/>
                <w:sz w:val="21"/>
              </w:rPr>
            </w:pPr>
          </w:p>
          <w:p w14:paraId="70439E45">
            <w:pPr>
              <w:spacing w:line="246" w:lineRule="auto"/>
              <w:rPr>
                <w:rFonts w:ascii="Arial"/>
                <w:sz w:val="21"/>
              </w:rPr>
            </w:pPr>
          </w:p>
          <w:p w14:paraId="451B6967">
            <w:pPr>
              <w:spacing w:line="246" w:lineRule="auto"/>
              <w:rPr>
                <w:rFonts w:ascii="Arial"/>
                <w:sz w:val="21"/>
              </w:rPr>
            </w:pPr>
          </w:p>
          <w:p w14:paraId="12E61E91">
            <w:pPr>
              <w:spacing w:line="246" w:lineRule="auto"/>
              <w:rPr>
                <w:rFonts w:ascii="Arial"/>
                <w:sz w:val="21"/>
              </w:rPr>
            </w:pPr>
          </w:p>
          <w:p w14:paraId="283967A7">
            <w:pPr>
              <w:spacing w:line="246" w:lineRule="auto"/>
              <w:rPr>
                <w:rFonts w:ascii="Arial"/>
                <w:sz w:val="21"/>
              </w:rPr>
            </w:pPr>
          </w:p>
          <w:p w14:paraId="5AE0D1CE">
            <w:pPr>
              <w:pStyle w:val="6"/>
              <w:spacing w:before="68" w:line="220" w:lineRule="auto"/>
              <w:ind w:left="504"/>
            </w:pPr>
            <w:r>
              <w:rPr>
                <w:spacing w:val="7"/>
              </w:rPr>
              <w:t>其他人员</w:t>
            </w:r>
          </w:p>
        </w:tc>
        <w:tc>
          <w:tcPr>
            <w:tcW w:w="1408" w:type="dxa"/>
            <w:vAlign w:val="top"/>
          </w:tcPr>
          <w:p w14:paraId="5BB22378">
            <w:pPr>
              <w:rPr>
                <w:rFonts w:ascii="Arial"/>
                <w:sz w:val="21"/>
              </w:rPr>
            </w:pPr>
          </w:p>
        </w:tc>
        <w:tc>
          <w:tcPr>
            <w:tcW w:w="1129" w:type="dxa"/>
            <w:vAlign w:val="top"/>
          </w:tcPr>
          <w:p w14:paraId="32A3793E">
            <w:pPr>
              <w:rPr>
                <w:rFonts w:ascii="Arial"/>
                <w:sz w:val="21"/>
              </w:rPr>
            </w:pPr>
          </w:p>
        </w:tc>
        <w:tc>
          <w:tcPr>
            <w:tcW w:w="1149" w:type="dxa"/>
            <w:vAlign w:val="top"/>
          </w:tcPr>
          <w:p w14:paraId="3004D8CB">
            <w:pPr>
              <w:rPr>
                <w:rFonts w:ascii="Arial"/>
                <w:sz w:val="21"/>
              </w:rPr>
            </w:pPr>
          </w:p>
        </w:tc>
        <w:tc>
          <w:tcPr>
            <w:tcW w:w="4251" w:type="dxa"/>
            <w:vAlign w:val="top"/>
          </w:tcPr>
          <w:p w14:paraId="61C40F5E">
            <w:pPr>
              <w:rPr>
                <w:rFonts w:ascii="Arial"/>
                <w:sz w:val="21"/>
              </w:rPr>
            </w:pPr>
          </w:p>
        </w:tc>
      </w:tr>
      <w:tr w14:paraId="2711FE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1863" w:type="dxa"/>
            <w:vMerge w:val="continue"/>
            <w:tcBorders>
              <w:top w:val="nil"/>
              <w:bottom w:val="nil"/>
            </w:tcBorders>
            <w:vAlign w:val="top"/>
          </w:tcPr>
          <w:p w14:paraId="548944F8">
            <w:pPr>
              <w:rPr>
                <w:rFonts w:ascii="Arial"/>
                <w:sz w:val="21"/>
              </w:rPr>
            </w:pPr>
          </w:p>
        </w:tc>
        <w:tc>
          <w:tcPr>
            <w:tcW w:w="1408" w:type="dxa"/>
            <w:vAlign w:val="top"/>
          </w:tcPr>
          <w:p w14:paraId="46E3A604">
            <w:pPr>
              <w:rPr>
                <w:rFonts w:ascii="Arial"/>
                <w:sz w:val="21"/>
              </w:rPr>
            </w:pPr>
          </w:p>
        </w:tc>
        <w:tc>
          <w:tcPr>
            <w:tcW w:w="1129" w:type="dxa"/>
            <w:vAlign w:val="top"/>
          </w:tcPr>
          <w:p w14:paraId="59EFF173">
            <w:pPr>
              <w:rPr>
                <w:rFonts w:ascii="Arial"/>
                <w:sz w:val="21"/>
              </w:rPr>
            </w:pPr>
          </w:p>
        </w:tc>
        <w:tc>
          <w:tcPr>
            <w:tcW w:w="1149" w:type="dxa"/>
            <w:vAlign w:val="top"/>
          </w:tcPr>
          <w:p w14:paraId="510E87B2">
            <w:pPr>
              <w:rPr>
                <w:rFonts w:ascii="Arial"/>
                <w:sz w:val="21"/>
              </w:rPr>
            </w:pPr>
          </w:p>
        </w:tc>
        <w:tc>
          <w:tcPr>
            <w:tcW w:w="4251" w:type="dxa"/>
            <w:vAlign w:val="top"/>
          </w:tcPr>
          <w:p w14:paraId="469C4771">
            <w:pPr>
              <w:rPr>
                <w:rFonts w:ascii="Arial"/>
                <w:sz w:val="21"/>
              </w:rPr>
            </w:pPr>
          </w:p>
        </w:tc>
      </w:tr>
      <w:tr w14:paraId="481B86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1863" w:type="dxa"/>
            <w:vMerge w:val="continue"/>
            <w:tcBorders>
              <w:top w:val="nil"/>
              <w:bottom w:val="nil"/>
            </w:tcBorders>
            <w:vAlign w:val="top"/>
          </w:tcPr>
          <w:p w14:paraId="1D85534B">
            <w:pPr>
              <w:rPr>
                <w:rFonts w:ascii="Arial"/>
                <w:sz w:val="21"/>
              </w:rPr>
            </w:pPr>
          </w:p>
        </w:tc>
        <w:tc>
          <w:tcPr>
            <w:tcW w:w="1408" w:type="dxa"/>
            <w:vAlign w:val="top"/>
          </w:tcPr>
          <w:p w14:paraId="308AF56B">
            <w:pPr>
              <w:rPr>
                <w:rFonts w:ascii="Arial"/>
                <w:sz w:val="21"/>
              </w:rPr>
            </w:pPr>
          </w:p>
        </w:tc>
        <w:tc>
          <w:tcPr>
            <w:tcW w:w="1129" w:type="dxa"/>
            <w:vAlign w:val="top"/>
          </w:tcPr>
          <w:p w14:paraId="20053DF1">
            <w:pPr>
              <w:rPr>
                <w:rFonts w:ascii="Arial"/>
                <w:sz w:val="21"/>
              </w:rPr>
            </w:pPr>
          </w:p>
        </w:tc>
        <w:tc>
          <w:tcPr>
            <w:tcW w:w="1149" w:type="dxa"/>
            <w:vAlign w:val="top"/>
          </w:tcPr>
          <w:p w14:paraId="4F9E601D">
            <w:pPr>
              <w:rPr>
                <w:rFonts w:ascii="Arial"/>
                <w:sz w:val="21"/>
              </w:rPr>
            </w:pPr>
          </w:p>
        </w:tc>
        <w:tc>
          <w:tcPr>
            <w:tcW w:w="4251" w:type="dxa"/>
            <w:vAlign w:val="top"/>
          </w:tcPr>
          <w:p w14:paraId="0093D1EF">
            <w:pPr>
              <w:rPr>
                <w:rFonts w:ascii="Arial"/>
                <w:sz w:val="21"/>
              </w:rPr>
            </w:pPr>
          </w:p>
        </w:tc>
      </w:tr>
      <w:tr w14:paraId="455B43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1863" w:type="dxa"/>
            <w:vMerge w:val="continue"/>
            <w:tcBorders>
              <w:top w:val="nil"/>
              <w:bottom w:val="nil"/>
            </w:tcBorders>
            <w:vAlign w:val="top"/>
          </w:tcPr>
          <w:p w14:paraId="32015C68">
            <w:pPr>
              <w:rPr>
                <w:rFonts w:ascii="Arial"/>
                <w:sz w:val="21"/>
              </w:rPr>
            </w:pPr>
          </w:p>
        </w:tc>
        <w:tc>
          <w:tcPr>
            <w:tcW w:w="1408" w:type="dxa"/>
            <w:vAlign w:val="top"/>
          </w:tcPr>
          <w:p w14:paraId="067776CA">
            <w:pPr>
              <w:rPr>
                <w:rFonts w:ascii="Arial"/>
                <w:sz w:val="21"/>
              </w:rPr>
            </w:pPr>
          </w:p>
        </w:tc>
        <w:tc>
          <w:tcPr>
            <w:tcW w:w="1129" w:type="dxa"/>
            <w:vAlign w:val="top"/>
          </w:tcPr>
          <w:p w14:paraId="09A28FB4">
            <w:pPr>
              <w:rPr>
                <w:rFonts w:ascii="Arial"/>
                <w:sz w:val="21"/>
              </w:rPr>
            </w:pPr>
          </w:p>
        </w:tc>
        <w:tc>
          <w:tcPr>
            <w:tcW w:w="1149" w:type="dxa"/>
            <w:vAlign w:val="top"/>
          </w:tcPr>
          <w:p w14:paraId="41947B88">
            <w:pPr>
              <w:rPr>
                <w:rFonts w:ascii="Arial"/>
                <w:sz w:val="21"/>
              </w:rPr>
            </w:pPr>
          </w:p>
        </w:tc>
        <w:tc>
          <w:tcPr>
            <w:tcW w:w="4251" w:type="dxa"/>
            <w:vAlign w:val="top"/>
          </w:tcPr>
          <w:p w14:paraId="532B645D">
            <w:pPr>
              <w:rPr>
                <w:rFonts w:ascii="Arial"/>
                <w:sz w:val="21"/>
              </w:rPr>
            </w:pPr>
          </w:p>
        </w:tc>
      </w:tr>
      <w:tr w14:paraId="6A3F41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1863" w:type="dxa"/>
            <w:vMerge w:val="continue"/>
            <w:tcBorders>
              <w:top w:val="nil"/>
              <w:bottom w:val="nil"/>
            </w:tcBorders>
            <w:vAlign w:val="top"/>
          </w:tcPr>
          <w:p w14:paraId="7E6E75AA">
            <w:pPr>
              <w:rPr>
                <w:rFonts w:ascii="Arial"/>
                <w:sz w:val="21"/>
              </w:rPr>
            </w:pPr>
          </w:p>
        </w:tc>
        <w:tc>
          <w:tcPr>
            <w:tcW w:w="1408" w:type="dxa"/>
            <w:vAlign w:val="top"/>
          </w:tcPr>
          <w:p w14:paraId="58109909">
            <w:pPr>
              <w:rPr>
                <w:rFonts w:ascii="Arial"/>
                <w:sz w:val="21"/>
              </w:rPr>
            </w:pPr>
          </w:p>
        </w:tc>
        <w:tc>
          <w:tcPr>
            <w:tcW w:w="1129" w:type="dxa"/>
            <w:vAlign w:val="top"/>
          </w:tcPr>
          <w:p w14:paraId="6224CA9D">
            <w:pPr>
              <w:rPr>
                <w:rFonts w:ascii="Arial"/>
                <w:sz w:val="21"/>
              </w:rPr>
            </w:pPr>
          </w:p>
        </w:tc>
        <w:tc>
          <w:tcPr>
            <w:tcW w:w="1149" w:type="dxa"/>
            <w:vAlign w:val="top"/>
          </w:tcPr>
          <w:p w14:paraId="2C23FF0C">
            <w:pPr>
              <w:rPr>
                <w:rFonts w:ascii="Arial"/>
                <w:sz w:val="21"/>
              </w:rPr>
            </w:pPr>
          </w:p>
        </w:tc>
        <w:tc>
          <w:tcPr>
            <w:tcW w:w="4251" w:type="dxa"/>
            <w:vAlign w:val="top"/>
          </w:tcPr>
          <w:p w14:paraId="10E76908">
            <w:pPr>
              <w:rPr>
                <w:rFonts w:ascii="Arial"/>
                <w:sz w:val="21"/>
              </w:rPr>
            </w:pPr>
          </w:p>
        </w:tc>
      </w:tr>
      <w:tr w14:paraId="40A971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4" w:hRule="atLeast"/>
        </w:trPr>
        <w:tc>
          <w:tcPr>
            <w:tcW w:w="1863" w:type="dxa"/>
            <w:vMerge w:val="continue"/>
            <w:tcBorders>
              <w:top w:val="nil"/>
            </w:tcBorders>
            <w:vAlign w:val="top"/>
          </w:tcPr>
          <w:p w14:paraId="2613BFFF">
            <w:pPr>
              <w:rPr>
                <w:rFonts w:ascii="Arial"/>
                <w:sz w:val="21"/>
              </w:rPr>
            </w:pPr>
          </w:p>
        </w:tc>
        <w:tc>
          <w:tcPr>
            <w:tcW w:w="1408" w:type="dxa"/>
            <w:vAlign w:val="top"/>
          </w:tcPr>
          <w:p w14:paraId="6A218EFC">
            <w:pPr>
              <w:rPr>
                <w:rFonts w:ascii="Arial"/>
                <w:sz w:val="21"/>
              </w:rPr>
            </w:pPr>
          </w:p>
        </w:tc>
        <w:tc>
          <w:tcPr>
            <w:tcW w:w="1129" w:type="dxa"/>
            <w:vAlign w:val="top"/>
          </w:tcPr>
          <w:p w14:paraId="3F9FE0F3">
            <w:pPr>
              <w:rPr>
                <w:rFonts w:ascii="Arial"/>
                <w:sz w:val="21"/>
              </w:rPr>
            </w:pPr>
          </w:p>
        </w:tc>
        <w:tc>
          <w:tcPr>
            <w:tcW w:w="1149" w:type="dxa"/>
            <w:vAlign w:val="top"/>
          </w:tcPr>
          <w:p w14:paraId="5BF0C022">
            <w:pPr>
              <w:rPr>
                <w:rFonts w:ascii="Arial"/>
                <w:sz w:val="21"/>
              </w:rPr>
            </w:pPr>
          </w:p>
        </w:tc>
        <w:tc>
          <w:tcPr>
            <w:tcW w:w="4251" w:type="dxa"/>
            <w:vAlign w:val="top"/>
          </w:tcPr>
          <w:p w14:paraId="281CB90F">
            <w:pPr>
              <w:rPr>
                <w:rFonts w:ascii="Arial"/>
                <w:sz w:val="21"/>
              </w:rPr>
            </w:pPr>
          </w:p>
        </w:tc>
      </w:tr>
    </w:tbl>
    <w:p w14:paraId="41742E68">
      <w:pPr>
        <w:rPr>
          <w:rFonts w:ascii="Arial"/>
          <w:sz w:val="21"/>
        </w:rPr>
      </w:pPr>
    </w:p>
    <w:p w14:paraId="4DD21FBD">
      <w:pPr>
        <w:rPr>
          <w:rFonts w:ascii="Arial" w:hAnsi="Arial" w:eastAsia="Arial" w:cs="Arial"/>
          <w:sz w:val="21"/>
          <w:szCs w:val="21"/>
        </w:rPr>
        <w:sectPr>
          <w:footerReference r:id="rId277" w:type="default"/>
          <w:pgSz w:w="11910" w:h="16840"/>
          <w:pgMar w:top="400" w:right="1095" w:bottom="1024" w:left="1004" w:header="0" w:footer="889" w:gutter="0"/>
          <w:cols w:space="720" w:num="1"/>
        </w:sectPr>
      </w:pPr>
    </w:p>
    <w:tbl>
      <w:tblPr>
        <w:tblStyle w:val="5"/>
        <w:tblW w:w="980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863"/>
        <w:gridCol w:w="1408"/>
        <w:gridCol w:w="1129"/>
        <w:gridCol w:w="1149"/>
        <w:gridCol w:w="4251"/>
      </w:tblGrid>
      <w:tr w14:paraId="0C990A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5" w:hRule="atLeast"/>
        </w:trPr>
        <w:tc>
          <w:tcPr>
            <w:tcW w:w="1863" w:type="dxa"/>
            <w:vAlign w:val="top"/>
          </w:tcPr>
          <w:p w14:paraId="5C16AFD5">
            <w:pPr>
              <w:pStyle w:val="6"/>
              <w:spacing w:before="195" w:line="219" w:lineRule="auto"/>
              <w:ind w:left="555"/>
            </w:pPr>
            <w:r>
              <w:rPr>
                <w:spacing w:val="-6"/>
              </w:rPr>
              <w:t>名</w:t>
            </w:r>
            <w:r>
              <w:rPr>
                <w:spacing w:val="2"/>
              </w:rPr>
              <w:t xml:space="preserve">   </w:t>
            </w:r>
            <w:r>
              <w:rPr>
                <w:spacing w:val="-6"/>
              </w:rPr>
              <w:t>称</w:t>
            </w:r>
          </w:p>
        </w:tc>
        <w:tc>
          <w:tcPr>
            <w:tcW w:w="1408" w:type="dxa"/>
            <w:vAlign w:val="top"/>
          </w:tcPr>
          <w:p w14:paraId="027BD4D9">
            <w:pPr>
              <w:pStyle w:val="6"/>
              <w:spacing w:before="193" w:line="219" w:lineRule="auto"/>
              <w:ind w:left="492"/>
            </w:pPr>
            <w:r>
              <w:rPr>
                <w:spacing w:val="13"/>
              </w:rPr>
              <w:t>姓名</w:t>
            </w:r>
          </w:p>
        </w:tc>
        <w:tc>
          <w:tcPr>
            <w:tcW w:w="1129" w:type="dxa"/>
            <w:vAlign w:val="top"/>
          </w:tcPr>
          <w:p w14:paraId="44EC900E">
            <w:pPr>
              <w:pStyle w:val="6"/>
              <w:spacing w:before="203" w:line="212" w:lineRule="auto"/>
              <w:ind w:left="354"/>
            </w:pPr>
            <w:r>
              <w:rPr>
                <w:spacing w:val="-3"/>
              </w:rPr>
              <w:t>职务</w:t>
            </w:r>
          </w:p>
        </w:tc>
        <w:tc>
          <w:tcPr>
            <w:tcW w:w="1149" w:type="dxa"/>
            <w:vAlign w:val="top"/>
          </w:tcPr>
          <w:p w14:paraId="7976EACA">
            <w:pPr>
              <w:pStyle w:val="6"/>
              <w:spacing w:before="206" w:line="210" w:lineRule="auto"/>
              <w:ind w:left="375"/>
            </w:pPr>
            <w:r>
              <w:rPr>
                <w:spacing w:val="-3"/>
              </w:rPr>
              <w:t>职称</w:t>
            </w:r>
          </w:p>
        </w:tc>
        <w:tc>
          <w:tcPr>
            <w:tcW w:w="4251" w:type="dxa"/>
            <w:vAlign w:val="top"/>
          </w:tcPr>
          <w:p w14:paraId="40ABE2EB">
            <w:pPr>
              <w:pStyle w:val="6"/>
              <w:spacing w:before="193" w:line="219" w:lineRule="auto"/>
              <w:ind w:left="665"/>
            </w:pPr>
            <w:r>
              <w:rPr>
                <w:spacing w:val="2"/>
              </w:rPr>
              <w:t>主要资历、经验及承担过的项目</w:t>
            </w:r>
          </w:p>
        </w:tc>
      </w:tr>
      <w:tr w14:paraId="40D65F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9800" w:type="dxa"/>
            <w:gridSpan w:val="5"/>
            <w:vAlign w:val="top"/>
          </w:tcPr>
          <w:p w14:paraId="5EE229ED">
            <w:pPr>
              <w:pStyle w:val="6"/>
              <w:spacing w:before="208" w:line="219" w:lineRule="auto"/>
              <w:ind w:left="4264"/>
            </w:pPr>
            <w:r>
              <w:t>一、总部人员</w:t>
            </w:r>
          </w:p>
        </w:tc>
      </w:tr>
      <w:tr w14:paraId="55D208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trPr>
        <w:tc>
          <w:tcPr>
            <w:tcW w:w="1863" w:type="dxa"/>
            <w:vAlign w:val="top"/>
          </w:tcPr>
          <w:p w14:paraId="27739904">
            <w:pPr>
              <w:pStyle w:val="6"/>
              <w:spacing w:before="179" w:line="211" w:lineRule="auto"/>
              <w:ind w:left="504"/>
            </w:pPr>
            <w:r>
              <w:rPr>
                <w:spacing w:val="2"/>
              </w:rPr>
              <w:t>项目主管</w:t>
            </w:r>
          </w:p>
        </w:tc>
        <w:tc>
          <w:tcPr>
            <w:tcW w:w="1408" w:type="dxa"/>
            <w:vAlign w:val="top"/>
          </w:tcPr>
          <w:p w14:paraId="3CADD65E">
            <w:pPr>
              <w:rPr>
                <w:rFonts w:ascii="Arial"/>
                <w:sz w:val="21"/>
              </w:rPr>
            </w:pPr>
          </w:p>
        </w:tc>
        <w:tc>
          <w:tcPr>
            <w:tcW w:w="1129" w:type="dxa"/>
            <w:vAlign w:val="top"/>
          </w:tcPr>
          <w:p w14:paraId="6E23EF81">
            <w:pPr>
              <w:rPr>
                <w:rFonts w:ascii="Arial"/>
                <w:sz w:val="21"/>
              </w:rPr>
            </w:pPr>
          </w:p>
        </w:tc>
        <w:tc>
          <w:tcPr>
            <w:tcW w:w="1149" w:type="dxa"/>
            <w:vAlign w:val="top"/>
          </w:tcPr>
          <w:p w14:paraId="40F88D38">
            <w:pPr>
              <w:rPr>
                <w:rFonts w:ascii="Arial"/>
                <w:sz w:val="21"/>
              </w:rPr>
            </w:pPr>
          </w:p>
        </w:tc>
        <w:tc>
          <w:tcPr>
            <w:tcW w:w="4251" w:type="dxa"/>
            <w:vAlign w:val="top"/>
          </w:tcPr>
          <w:p w14:paraId="49F69515">
            <w:pPr>
              <w:rPr>
                <w:rFonts w:ascii="Arial"/>
                <w:sz w:val="21"/>
              </w:rPr>
            </w:pPr>
          </w:p>
        </w:tc>
      </w:tr>
      <w:tr w14:paraId="5F7CEC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1863" w:type="dxa"/>
            <w:vMerge w:val="restart"/>
            <w:tcBorders>
              <w:bottom w:val="nil"/>
            </w:tcBorders>
            <w:vAlign w:val="top"/>
          </w:tcPr>
          <w:p w14:paraId="1AF01FAB">
            <w:pPr>
              <w:spacing w:line="249" w:lineRule="auto"/>
              <w:rPr>
                <w:rFonts w:ascii="Arial"/>
                <w:sz w:val="21"/>
              </w:rPr>
            </w:pPr>
          </w:p>
          <w:p w14:paraId="1AEB370D">
            <w:pPr>
              <w:spacing w:line="250" w:lineRule="auto"/>
              <w:rPr>
                <w:rFonts w:ascii="Arial"/>
                <w:sz w:val="21"/>
              </w:rPr>
            </w:pPr>
          </w:p>
          <w:p w14:paraId="0D9CC21F">
            <w:pPr>
              <w:pStyle w:val="6"/>
              <w:spacing w:before="68" w:line="220" w:lineRule="auto"/>
              <w:ind w:left="504"/>
            </w:pPr>
            <w:r>
              <w:rPr>
                <w:spacing w:val="7"/>
              </w:rPr>
              <w:t>其他人员</w:t>
            </w:r>
          </w:p>
        </w:tc>
        <w:tc>
          <w:tcPr>
            <w:tcW w:w="1408" w:type="dxa"/>
            <w:vAlign w:val="top"/>
          </w:tcPr>
          <w:p w14:paraId="4C69E5E9">
            <w:pPr>
              <w:rPr>
                <w:rFonts w:ascii="Arial"/>
                <w:sz w:val="21"/>
              </w:rPr>
            </w:pPr>
          </w:p>
        </w:tc>
        <w:tc>
          <w:tcPr>
            <w:tcW w:w="1129" w:type="dxa"/>
            <w:vAlign w:val="top"/>
          </w:tcPr>
          <w:p w14:paraId="5BA56EE9">
            <w:pPr>
              <w:rPr>
                <w:rFonts w:ascii="Arial"/>
                <w:sz w:val="21"/>
              </w:rPr>
            </w:pPr>
          </w:p>
        </w:tc>
        <w:tc>
          <w:tcPr>
            <w:tcW w:w="1149" w:type="dxa"/>
            <w:vAlign w:val="top"/>
          </w:tcPr>
          <w:p w14:paraId="4E5EC5AA">
            <w:pPr>
              <w:rPr>
                <w:rFonts w:ascii="Arial"/>
                <w:sz w:val="21"/>
              </w:rPr>
            </w:pPr>
          </w:p>
        </w:tc>
        <w:tc>
          <w:tcPr>
            <w:tcW w:w="4251" w:type="dxa"/>
            <w:vAlign w:val="top"/>
          </w:tcPr>
          <w:p w14:paraId="6EDA038F">
            <w:pPr>
              <w:rPr>
                <w:rFonts w:ascii="Arial"/>
                <w:sz w:val="21"/>
              </w:rPr>
            </w:pPr>
          </w:p>
        </w:tc>
      </w:tr>
      <w:tr w14:paraId="4A0735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1863" w:type="dxa"/>
            <w:vMerge w:val="continue"/>
            <w:tcBorders>
              <w:top w:val="nil"/>
              <w:bottom w:val="nil"/>
            </w:tcBorders>
            <w:vAlign w:val="top"/>
          </w:tcPr>
          <w:p w14:paraId="30CEAF75">
            <w:pPr>
              <w:rPr>
                <w:rFonts w:ascii="Arial"/>
                <w:sz w:val="21"/>
              </w:rPr>
            </w:pPr>
          </w:p>
        </w:tc>
        <w:tc>
          <w:tcPr>
            <w:tcW w:w="1408" w:type="dxa"/>
            <w:vAlign w:val="top"/>
          </w:tcPr>
          <w:p w14:paraId="50F68E0D">
            <w:pPr>
              <w:rPr>
                <w:rFonts w:ascii="Arial"/>
                <w:sz w:val="21"/>
              </w:rPr>
            </w:pPr>
          </w:p>
        </w:tc>
        <w:tc>
          <w:tcPr>
            <w:tcW w:w="1129" w:type="dxa"/>
            <w:vAlign w:val="top"/>
          </w:tcPr>
          <w:p w14:paraId="3B5834A2">
            <w:pPr>
              <w:rPr>
                <w:rFonts w:ascii="Arial"/>
                <w:sz w:val="21"/>
              </w:rPr>
            </w:pPr>
          </w:p>
        </w:tc>
        <w:tc>
          <w:tcPr>
            <w:tcW w:w="1149" w:type="dxa"/>
            <w:vAlign w:val="top"/>
          </w:tcPr>
          <w:p w14:paraId="38B75DF1">
            <w:pPr>
              <w:rPr>
                <w:rFonts w:ascii="Arial"/>
                <w:sz w:val="21"/>
              </w:rPr>
            </w:pPr>
          </w:p>
        </w:tc>
        <w:tc>
          <w:tcPr>
            <w:tcW w:w="4251" w:type="dxa"/>
            <w:vAlign w:val="top"/>
          </w:tcPr>
          <w:p w14:paraId="1735F4B7">
            <w:pPr>
              <w:rPr>
                <w:rFonts w:ascii="Arial"/>
                <w:sz w:val="21"/>
              </w:rPr>
            </w:pPr>
          </w:p>
        </w:tc>
      </w:tr>
      <w:tr w14:paraId="725E74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9" w:hRule="atLeast"/>
        </w:trPr>
        <w:tc>
          <w:tcPr>
            <w:tcW w:w="1863" w:type="dxa"/>
            <w:vMerge w:val="continue"/>
            <w:tcBorders>
              <w:top w:val="nil"/>
            </w:tcBorders>
            <w:vAlign w:val="top"/>
          </w:tcPr>
          <w:p w14:paraId="58C2DAD8">
            <w:pPr>
              <w:rPr>
                <w:rFonts w:ascii="Arial"/>
                <w:sz w:val="21"/>
              </w:rPr>
            </w:pPr>
          </w:p>
        </w:tc>
        <w:tc>
          <w:tcPr>
            <w:tcW w:w="1408" w:type="dxa"/>
            <w:vAlign w:val="top"/>
          </w:tcPr>
          <w:p w14:paraId="27F36CDF">
            <w:pPr>
              <w:rPr>
                <w:rFonts w:ascii="Arial"/>
                <w:sz w:val="21"/>
              </w:rPr>
            </w:pPr>
          </w:p>
        </w:tc>
        <w:tc>
          <w:tcPr>
            <w:tcW w:w="1129" w:type="dxa"/>
            <w:vAlign w:val="top"/>
          </w:tcPr>
          <w:p w14:paraId="5CC837C2">
            <w:pPr>
              <w:rPr>
                <w:rFonts w:ascii="Arial"/>
                <w:sz w:val="21"/>
              </w:rPr>
            </w:pPr>
          </w:p>
        </w:tc>
        <w:tc>
          <w:tcPr>
            <w:tcW w:w="1149" w:type="dxa"/>
            <w:vAlign w:val="top"/>
          </w:tcPr>
          <w:p w14:paraId="1A18524C">
            <w:pPr>
              <w:rPr>
                <w:rFonts w:ascii="Arial"/>
                <w:sz w:val="21"/>
              </w:rPr>
            </w:pPr>
          </w:p>
        </w:tc>
        <w:tc>
          <w:tcPr>
            <w:tcW w:w="4251" w:type="dxa"/>
            <w:vAlign w:val="top"/>
          </w:tcPr>
          <w:p w14:paraId="5B3FDC1B">
            <w:pPr>
              <w:rPr>
                <w:rFonts w:ascii="Arial"/>
                <w:sz w:val="21"/>
              </w:rPr>
            </w:pPr>
          </w:p>
        </w:tc>
      </w:tr>
      <w:tr w14:paraId="0DFBEE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trPr>
        <w:tc>
          <w:tcPr>
            <w:tcW w:w="9800" w:type="dxa"/>
            <w:gridSpan w:val="5"/>
            <w:vAlign w:val="top"/>
          </w:tcPr>
          <w:p w14:paraId="035B95C3">
            <w:pPr>
              <w:pStyle w:val="6"/>
              <w:spacing w:before="192" w:line="200" w:lineRule="auto"/>
              <w:ind w:left="4264"/>
            </w:pPr>
            <w:r>
              <w:rPr>
                <w:spacing w:val="4"/>
              </w:rPr>
              <w:t>二、现场人员</w:t>
            </w:r>
          </w:p>
        </w:tc>
      </w:tr>
      <w:tr w14:paraId="1C6D28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1863" w:type="dxa"/>
            <w:vAlign w:val="top"/>
          </w:tcPr>
          <w:p w14:paraId="34637477">
            <w:pPr>
              <w:pStyle w:val="6"/>
              <w:spacing w:before="202" w:line="220" w:lineRule="auto"/>
              <w:ind w:left="504"/>
            </w:pPr>
            <w:r>
              <w:rPr>
                <w:spacing w:val="-3"/>
              </w:rPr>
              <w:t>项目经理</w:t>
            </w:r>
          </w:p>
        </w:tc>
        <w:tc>
          <w:tcPr>
            <w:tcW w:w="1408" w:type="dxa"/>
            <w:vAlign w:val="top"/>
          </w:tcPr>
          <w:p w14:paraId="6C5537FA">
            <w:pPr>
              <w:rPr>
                <w:rFonts w:ascii="Arial"/>
                <w:sz w:val="21"/>
              </w:rPr>
            </w:pPr>
          </w:p>
        </w:tc>
        <w:tc>
          <w:tcPr>
            <w:tcW w:w="1129" w:type="dxa"/>
            <w:vAlign w:val="top"/>
          </w:tcPr>
          <w:p w14:paraId="3327FB21">
            <w:pPr>
              <w:rPr>
                <w:rFonts w:ascii="Arial"/>
                <w:sz w:val="21"/>
              </w:rPr>
            </w:pPr>
          </w:p>
        </w:tc>
        <w:tc>
          <w:tcPr>
            <w:tcW w:w="1149" w:type="dxa"/>
            <w:vAlign w:val="top"/>
          </w:tcPr>
          <w:p w14:paraId="41B3D234">
            <w:pPr>
              <w:rPr>
                <w:rFonts w:ascii="Arial"/>
                <w:sz w:val="21"/>
              </w:rPr>
            </w:pPr>
          </w:p>
        </w:tc>
        <w:tc>
          <w:tcPr>
            <w:tcW w:w="4251" w:type="dxa"/>
            <w:vAlign w:val="top"/>
          </w:tcPr>
          <w:p w14:paraId="6A54ACA5">
            <w:pPr>
              <w:rPr>
                <w:rFonts w:ascii="Arial"/>
                <w:sz w:val="21"/>
              </w:rPr>
            </w:pPr>
          </w:p>
        </w:tc>
      </w:tr>
      <w:tr w14:paraId="372904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trPr>
        <w:tc>
          <w:tcPr>
            <w:tcW w:w="1863" w:type="dxa"/>
            <w:vAlign w:val="top"/>
          </w:tcPr>
          <w:p w14:paraId="6C60FEE0">
            <w:pPr>
              <w:pStyle w:val="6"/>
              <w:spacing w:before="192" w:line="200" w:lineRule="auto"/>
              <w:ind w:left="395"/>
            </w:pPr>
            <w:r>
              <w:rPr>
                <w:spacing w:val="-2"/>
              </w:rPr>
              <w:t>项目副经理</w:t>
            </w:r>
          </w:p>
        </w:tc>
        <w:tc>
          <w:tcPr>
            <w:tcW w:w="1408" w:type="dxa"/>
            <w:vAlign w:val="top"/>
          </w:tcPr>
          <w:p w14:paraId="4BA7E8B1">
            <w:pPr>
              <w:rPr>
                <w:rFonts w:ascii="Arial"/>
                <w:sz w:val="21"/>
              </w:rPr>
            </w:pPr>
          </w:p>
        </w:tc>
        <w:tc>
          <w:tcPr>
            <w:tcW w:w="1129" w:type="dxa"/>
            <w:vAlign w:val="top"/>
          </w:tcPr>
          <w:p w14:paraId="3AF04040">
            <w:pPr>
              <w:rPr>
                <w:rFonts w:ascii="Arial"/>
                <w:sz w:val="21"/>
              </w:rPr>
            </w:pPr>
          </w:p>
        </w:tc>
        <w:tc>
          <w:tcPr>
            <w:tcW w:w="1149" w:type="dxa"/>
            <w:vAlign w:val="top"/>
          </w:tcPr>
          <w:p w14:paraId="5839BC11">
            <w:pPr>
              <w:rPr>
                <w:rFonts w:ascii="Arial"/>
                <w:sz w:val="21"/>
              </w:rPr>
            </w:pPr>
          </w:p>
        </w:tc>
        <w:tc>
          <w:tcPr>
            <w:tcW w:w="4251" w:type="dxa"/>
            <w:vAlign w:val="top"/>
          </w:tcPr>
          <w:p w14:paraId="1BFCEF2A">
            <w:pPr>
              <w:rPr>
                <w:rFonts w:ascii="Arial"/>
                <w:sz w:val="21"/>
              </w:rPr>
            </w:pPr>
          </w:p>
        </w:tc>
      </w:tr>
      <w:tr w14:paraId="227FAF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1863" w:type="dxa"/>
            <w:vAlign w:val="top"/>
          </w:tcPr>
          <w:p w14:paraId="3B32F148">
            <w:pPr>
              <w:pStyle w:val="6"/>
              <w:spacing w:before="202" w:line="208" w:lineRule="auto"/>
              <w:ind w:left="395"/>
            </w:pPr>
            <w:r>
              <w:rPr>
                <w:spacing w:val="-2"/>
              </w:rPr>
              <w:t>技术负责人</w:t>
            </w:r>
          </w:p>
        </w:tc>
        <w:tc>
          <w:tcPr>
            <w:tcW w:w="1408" w:type="dxa"/>
            <w:vAlign w:val="top"/>
          </w:tcPr>
          <w:p w14:paraId="70B9159B">
            <w:pPr>
              <w:rPr>
                <w:rFonts w:ascii="Arial"/>
                <w:sz w:val="21"/>
              </w:rPr>
            </w:pPr>
          </w:p>
        </w:tc>
        <w:tc>
          <w:tcPr>
            <w:tcW w:w="1129" w:type="dxa"/>
            <w:vAlign w:val="top"/>
          </w:tcPr>
          <w:p w14:paraId="26FBE392">
            <w:pPr>
              <w:rPr>
                <w:rFonts w:ascii="Arial"/>
                <w:sz w:val="21"/>
              </w:rPr>
            </w:pPr>
          </w:p>
        </w:tc>
        <w:tc>
          <w:tcPr>
            <w:tcW w:w="1149" w:type="dxa"/>
            <w:vAlign w:val="top"/>
          </w:tcPr>
          <w:p w14:paraId="3B366715">
            <w:pPr>
              <w:rPr>
                <w:rFonts w:ascii="Arial"/>
                <w:sz w:val="21"/>
              </w:rPr>
            </w:pPr>
          </w:p>
        </w:tc>
        <w:tc>
          <w:tcPr>
            <w:tcW w:w="4251" w:type="dxa"/>
            <w:vAlign w:val="top"/>
          </w:tcPr>
          <w:p w14:paraId="763551B9">
            <w:pPr>
              <w:rPr>
                <w:rFonts w:ascii="Arial"/>
                <w:sz w:val="21"/>
              </w:rPr>
            </w:pPr>
          </w:p>
        </w:tc>
      </w:tr>
      <w:tr w14:paraId="5E90F2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1863" w:type="dxa"/>
            <w:vAlign w:val="top"/>
          </w:tcPr>
          <w:p w14:paraId="47349A91">
            <w:pPr>
              <w:pStyle w:val="6"/>
              <w:spacing w:before="181" w:line="218" w:lineRule="auto"/>
              <w:ind w:left="504"/>
            </w:pPr>
            <w:r>
              <w:rPr>
                <w:spacing w:val="-2"/>
              </w:rPr>
              <w:t>造价管理</w:t>
            </w:r>
          </w:p>
        </w:tc>
        <w:tc>
          <w:tcPr>
            <w:tcW w:w="1408" w:type="dxa"/>
            <w:vAlign w:val="top"/>
          </w:tcPr>
          <w:p w14:paraId="440598B8">
            <w:pPr>
              <w:rPr>
                <w:rFonts w:ascii="Arial"/>
                <w:sz w:val="21"/>
              </w:rPr>
            </w:pPr>
          </w:p>
        </w:tc>
        <w:tc>
          <w:tcPr>
            <w:tcW w:w="1129" w:type="dxa"/>
            <w:vAlign w:val="top"/>
          </w:tcPr>
          <w:p w14:paraId="08039985">
            <w:pPr>
              <w:rPr>
                <w:rFonts w:ascii="Arial"/>
                <w:sz w:val="21"/>
              </w:rPr>
            </w:pPr>
          </w:p>
        </w:tc>
        <w:tc>
          <w:tcPr>
            <w:tcW w:w="1149" w:type="dxa"/>
            <w:vAlign w:val="top"/>
          </w:tcPr>
          <w:p w14:paraId="5137D922">
            <w:pPr>
              <w:rPr>
                <w:rFonts w:ascii="Arial"/>
                <w:sz w:val="21"/>
              </w:rPr>
            </w:pPr>
          </w:p>
        </w:tc>
        <w:tc>
          <w:tcPr>
            <w:tcW w:w="4251" w:type="dxa"/>
            <w:vAlign w:val="top"/>
          </w:tcPr>
          <w:p w14:paraId="38E4C8C6">
            <w:pPr>
              <w:rPr>
                <w:rFonts w:ascii="Arial"/>
                <w:sz w:val="21"/>
              </w:rPr>
            </w:pPr>
          </w:p>
        </w:tc>
      </w:tr>
      <w:tr w14:paraId="38FB37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9" w:hRule="atLeast"/>
        </w:trPr>
        <w:tc>
          <w:tcPr>
            <w:tcW w:w="1863" w:type="dxa"/>
            <w:vAlign w:val="top"/>
          </w:tcPr>
          <w:p w14:paraId="78A15246">
            <w:pPr>
              <w:pStyle w:val="6"/>
              <w:spacing w:before="183" w:line="216" w:lineRule="auto"/>
              <w:ind w:left="504"/>
            </w:pPr>
            <w:r>
              <w:rPr>
                <w:spacing w:val="-2"/>
              </w:rPr>
              <w:t>质量管理</w:t>
            </w:r>
          </w:p>
        </w:tc>
        <w:tc>
          <w:tcPr>
            <w:tcW w:w="1408" w:type="dxa"/>
            <w:vAlign w:val="top"/>
          </w:tcPr>
          <w:p w14:paraId="0D1B0EC5">
            <w:pPr>
              <w:rPr>
                <w:rFonts w:ascii="Arial"/>
                <w:sz w:val="21"/>
              </w:rPr>
            </w:pPr>
          </w:p>
        </w:tc>
        <w:tc>
          <w:tcPr>
            <w:tcW w:w="1129" w:type="dxa"/>
            <w:vAlign w:val="top"/>
          </w:tcPr>
          <w:p w14:paraId="1831DA0E">
            <w:pPr>
              <w:rPr>
                <w:rFonts w:ascii="Arial"/>
                <w:sz w:val="21"/>
              </w:rPr>
            </w:pPr>
          </w:p>
        </w:tc>
        <w:tc>
          <w:tcPr>
            <w:tcW w:w="1149" w:type="dxa"/>
            <w:vAlign w:val="top"/>
          </w:tcPr>
          <w:p w14:paraId="32912356">
            <w:pPr>
              <w:rPr>
                <w:rFonts w:ascii="Arial"/>
                <w:sz w:val="21"/>
              </w:rPr>
            </w:pPr>
          </w:p>
        </w:tc>
        <w:tc>
          <w:tcPr>
            <w:tcW w:w="4251" w:type="dxa"/>
            <w:vAlign w:val="top"/>
          </w:tcPr>
          <w:p w14:paraId="703F1918">
            <w:pPr>
              <w:rPr>
                <w:rFonts w:ascii="Arial"/>
                <w:sz w:val="21"/>
              </w:rPr>
            </w:pPr>
          </w:p>
        </w:tc>
      </w:tr>
      <w:tr w14:paraId="611919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1863" w:type="dxa"/>
            <w:vAlign w:val="top"/>
          </w:tcPr>
          <w:p w14:paraId="1C91FC4B">
            <w:pPr>
              <w:pStyle w:val="6"/>
              <w:spacing w:before="203" w:line="208" w:lineRule="auto"/>
              <w:ind w:left="504"/>
            </w:pPr>
            <w:r>
              <w:rPr>
                <w:spacing w:val="-2"/>
              </w:rPr>
              <w:t>材料管理</w:t>
            </w:r>
          </w:p>
        </w:tc>
        <w:tc>
          <w:tcPr>
            <w:tcW w:w="1408" w:type="dxa"/>
            <w:vAlign w:val="top"/>
          </w:tcPr>
          <w:p w14:paraId="0FD91E00">
            <w:pPr>
              <w:rPr>
                <w:rFonts w:ascii="Arial"/>
                <w:sz w:val="21"/>
              </w:rPr>
            </w:pPr>
          </w:p>
        </w:tc>
        <w:tc>
          <w:tcPr>
            <w:tcW w:w="1129" w:type="dxa"/>
            <w:vAlign w:val="top"/>
          </w:tcPr>
          <w:p w14:paraId="5706F0D6">
            <w:pPr>
              <w:rPr>
                <w:rFonts w:ascii="Arial"/>
                <w:sz w:val="21"/>
              </w:rPr>
            </w:pPr>
          </w:p>
        </w:tc>
        <w:tc>
          <w:tcPr>
            <w:tcW w:w="1149" w:type="dxa"/>
            <w:vAlign w:val="top"/>
          </w:tcPr>
          <w:p w14:paraId="17BAB5E7">
            <w:pPr>
              <w:rPr>
                <w:rFonts w:ascii="Arial"/>
                <w:sz w:val="21"/>
              </w:rPr>
            </w:pPr>
          </w:p>
        </w:tc>
        <w:tc>
          <w:tcPr>
            <w:tcW w:w="4251" w:type="dxa"/>
            <w:vAlign w:val="top"/>
          </w:tcPr>
          <w:p w14:paraId="63610680">
            <w:pPr>
              <w:rPr>
                <w:rFonts w:ascii="Arial"/>
                <w:sz w:val="21"/>
              </w:rPr>
            </w:pPr>
          </w:p>
        </w:tc>
      </w:tr>
      <w:tr w14:paraId="0D8126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1863" w:type="dxa"/>
            <w:vAlign w:val="top"/>
          </w:tcPr>
          <w:p w14:paraId="1109B887">
            <w:pPr>
              <w:pStyle w:val="6"/>
              <w:spacing w:before="184" w:line="219" w:lineRule="auto"/>
              <w:ind w:left="504"/>
            </w:pPr>
            <w:r>
              <w:rPr>
                <w:spacing w:val="-2"/>
              </w:rPr>
              <w:t>计划管理</w:t>
            </w:r>
          </w:p>
        </w:tc>
        <w:tc>
          <w:tcPr>
            <w:tcW w:w="1408" w:type="dxa"/>
            <w:vAlign w:val="top"/>
          </w:tcPr>
          <w:p w14:paraId="411E6128">
            <w:pPr>
              <w:rPr>
                <w:rFonts w:ascii="Arial"/>
                <w:sz w:val="21"/>
              </w:rPr>
            </w:pPr>
          </w:p>
        </w:tc>
        <w:tc>
          <w:tcPr>
            <w:tcW w:w="1129" w:type="dxa"/>
            <w:vAlign w:val="top"/>
          </w:tcPr>
          <w:p w14:paraId="25BF4229">
            <w:pPr>
              <w:rPr>
                <w:rFonts w:ascii="Arial"/>
                <w:sz w:val="21"/>
              </w:rPr>
            </w:pPr>
          </w:p>
        </w:tc>
        <w:tc>
          <w:tcPr>
            <w:tcW w:w="1149" w:type="dxa"/>
            <w:vAlign w:val="top"/>
          </w:tcPr>
          <w:p w14:paraId="14318EBC">
            <w:pPr>
              <w:rPr>
                <w:rFonts w:ascii="Arial"/>
                <w:sz w:val="21"/>
              </w:rPr>
            </w:pPr>
          </w:p>
        </w:tc>
        <w:tc>
          <w:tcPr>
            <w:tcW w:w="4251" w:type="dxa"/>
            <w:vAlign w:val="top"/>
          </w:tcPr>
          <w:p w14:paraId="541BB59B">
            <w:pPr>
              <w:rPr>
                <w:rFonts w:ascii="Arial"/>
                <w:sz w:val="21"/>
              </w:rPr>
            </w:pPr>
          </w:p>
        </w:tc>
      </w:tr>
      <w:tr w14:paraId="2F19E6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trPr>
        <w:tc>
          <w:tcPr>
            <w:tcW w:w="1863" w:type="dxa"/>
            <w:vAlign w:val="top"/>
          </w:tcPr>
          <w:p w14:paraId="7226F4C0">
            <w:pPr>
              <w:pStyle w:val="6"/>
              <w:spacing w:before="195" w:line="197" w:lineRule="auto"/>
              <w:ind w:left="504"/>
            </w:pPr>
            <w:r>
              <w:rPr>
                <w:spacing w:val="-3"/>
              </w:rPr>
              <w:t>安全管理</w:t>
            </w:r>
          </w:p>
        </w:tc>
        <w:tc>
          <w:tcPr>
            <w:tcW w:w="1408" w:type="dxa"/>
            <w:vAlign w:val="top"/>
          </w:tcPr>
          <w:p w14:paraId="4C53E04A">
            <w:pPr>
              <w:rPr>
                <w:rFonts w:ascii="Arial"/>
                <w:sz w:val="21"/>
              </w:rPr>
            </w:pPr>
          </w:p>
        </w:tc>
        <w:tc>
          <w:tcPr>
            <w:tcW w:w="1129" w:type="dxa"/>
            <w:vAlign w:val="top"/>
          </w:tcPr>
          <w:p w14:paraId="64E7ED1D">
            <w:pPr>
              <w:rPr>
                <w:rFonts w:ascii="Arial"/>
                <w:sz w:val="21"/>
              </w:rPr>
            </w:pPr>
          </w:p>
        </w:tc>
        <w:tc>
          <w:tcPr>
            <w:tcW w:w="1149" w:type="dxa"/>
            <w:vAlign w:val="top"/>
          </w:tcPr>
          <w:p w14:paraId="5A41D1FA">
            <w:pPr>
              <w:rPr>
                <w:rFonts w:ascii="Arial"/>
                <w:sz w:val="21"/>
              </w:rPr>
            </w:pPr>
          </w:p>
        </w:tc>
        <w:tc>
          <w:tcPr>
            <w:tcW w:w="4251" w:type="dxa"/>
            <w:vAlign w:val="top"/>
          </w:tcPr>
          <w:p w14:paraId="076D48F3">
            <w:pPr>
              <w:rPr>
                <w:rFonts w:ascii="Arial"/>
                <w:sz w:val="21"/>
              </w:rPr>
            </w:pPr>
          </w:p>
        </w:tc>
      </w:tr>
      <w:tr w14:paraId="32C6DF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1863" w:type="dxa"/>
            <w:vMerge w:val="restart"/>
            <w:tcBorders>
              <w:bottom w:val="nil"/>
            </w:tcBorders>
            <w:vAlign w:val="top"/>
          </w:tcPr>
          <w:p w14:paraId="13C36829">
            <w:pPr>
              <w:spacing w:line="246" w:lineRule="auto"/>
              <w:rPr>
                <w:rFonts w:ascii="Arial"/>
                <w:sz w:val="21"/>
              </w:rPr>
            </w:pPr>
          </w:p>
          <w:p w14:paraId="11BEDAC2">
            <w:pPr>
              <w:spacing w:line="246" w:lineRule="auto"/>
              <w:rPr>
                <w:rFonts w:ascii="Arial"/>
                <w:sz w:val="21"/>
              </w:rPr>
            </w:pPr>
          </w:p>
          <w:p w14:paraId="53692FDE">
            <w:pPr>
              <w:spacing w:line="246" w:lineRule="auto"/>
              <w:rPr>
                <w:rFonts w:ascii="Arial"/>
                <w:sz w:val="21"/>
              </w:rPr>
            </w:pPr>
          </w:p>
          <w:p w14:paraId="1D379B07">
            <w:pPr>
              <w:spacing w:line="246" w:lineRule="auto"/>
              <w:rPr>
                <w:rFonts w:ascii="Arial"/>
                <w:sz w:val="21"/>
              </w:rPr>
            </w:pPr>
          </w:p>
          <w:p w14:paraId="5975D87C">
            <w:pPr>
              <w:spacing w:line="246" w:lineRule="auto"/>
              <w:rPr>
                <w:rFonts w:ascii="Arial"/>
                <w:sz w:val="21"/>
              </w:rPr>
            </w:pPr>
          </w:p>
          <w:p w14:paraId="41334067">
            <w:pPr>
              <w:pStyle w:val="6"/>
              <w:spacing w:before="68" w:line="220" w:lineRule="auto"/>
              <w:ind w:left="504"/>
            </w:pPr>
            <w:r>
              <w:rPr>
                <w:spacing w:val="7"/>
              </w:rPr>
              <w:t>其他人员</w:t>
            </w:r>
          </w:p>
        </w:tc>
        <w:tc>
          <w:tcPr>
            <w:tcW w:w="1408" w:type="dxa"/>
            <w:vAlign w:val="top"/>
          </w:tcPr>
          <w:p w14:paraId="30F64C97">
            <w:pPr>
              <w:rPr>
                <w:rFonts w:ascii="Arial"/>
                <w:sz w:val="21"/>
              </w:rPr>
            </w:pPr>
          </w:p>
        </w:tc>
        <w:tc>
          <w:tcPr>
            <w:tcW w:w="1129" w:type="dxa"/>
            <w:vAlign w:val="top"/>
          </w:tcPr>
          <w:p w14:paraId="0D279E76">
            <w:pPr>
              <w:rPr>
                <w:rFonts w:ascii="Arial"/>
                <w:sz w:val="21"/>
              </w:rPr>
            </w:pPr>
          </w:p>
        </w:tc>
        <w:tc>
          <w:tcPr>
            <w:tcW w:w="1149" w:type="dxa"/>
            <w:vAlign w:val="top"/>
          </w:tcPr>
          <w:p w14:paraId="40B2EBE8">
            <w:pPr>
              <w:rPr>
                <w:rFonts w:ascii="Arial"/>
                <w:sz w:val="21"/>
              </w:rPr>
            </w:pPr>
          </w:p>
        </w:tc>
        <w:tc>
          <w:tcPr>
            <w:tcW w:w="4251" w:type="dxa"/>
            <w:vAlign w:val="top"/>
          </w:tcPr>
          <w:p w14:paraId="00849DFE">
            <w:pPr>
              <w:rPr>
                <w:rFonts w:ascii="Arial"/>
                <w:sz w:val="21"/>
              </w:rPr>
            </w:pPr>
          </w:p>
        </w:tc>
      </w:tr>
      <w:tr w14:paraId="27926B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1863" w:type="dxa"/>
            <w:vMerge w:val="continue"/>
            <w:tcBorders>
              <w:top w:val="nil"/>
              <w:bottom w:val="nil"/>
            </w:tcBorders>
            <w:vAlign w:val="top"/>
          </w:tcPr>
          <w:p w14:paraId="0A9138D7">
            <w:pPr>
              <w:rPr>
                <w:rFonts w:ascii="Arial"/>
                <w:sz w:val="21"/>
              </w:rPr>
            </w:pPr>
          </w:p>
        </w:tc>
        <w:tc>
          <w:tcPr>
            <w:tcW w:w="1408" w:type="dxa"/>
            <w:vAlign w:val="top"/>
          </w:tcPr>
          <w:p w14:paraId="3C8C966C">
            <w:pPr>
              <w:rPr>
                <w:rFonts w:ascii="Arial"/>
                <w:sz w:val="21"/>
              </w:rPr>
            </w:pPr>
          </w:p>
        </w:tc>
        <w:tc>
          <w:tcPr>
            <w:tcW w:w="1129" w:type="dxa"/>
            <w:vAlign w:val="top"/>
          </w:tcPr>
          <w:p w14:paraId="68104A50">
            <w:pPr>
              <w:rPr>
                <w:rFonts w:ascii="Arial"/>
                <w:sz w:val="21"/>
              </w:rPr>
            </w:pPr>
          </w:p>
        </w:tc>
        <w:tc>
          <w:tcPr>
            <w:tcW w:w="1149" w:type="dxa"/>
            <w:vAlign w:val="top"/>
          </w:tcPr>
          <w:p w14:paraId="150AA67C">
            <w:pPr>
              <w:rPr>
                <w:rFonts w:ascii="Arial"/>
                <w:sz w:val="21"/>
              </w:rPr>
            </w:pPr>
          </w:p>
        </w:tc>
        <w:tc>
          <w:tcPr>
            <w:tcW w:w="4251" w:type="dxa"/>
            <w:vAlign w:val="top"/>
          </w:tcPr>
          <w:p w14:paraId="3598E4B1">
            <w:pPr>
              <w:rPr>
                <w:rFonts w:ascii="Arial"/>
                <w:sz w:val="21"/>
              </w:rPr>
            </w:pPr>
          </w:p>
        </w:tc>
      </w:tr>
      <w:tr w14:paraId="5338A3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1863" w:type="dxa"/>
            <w:vMerge w:val="continue"/>
            <w:tcBorders>
              <w:top w:val="nil"/>
              <w:bottom w:val="nil"/>
            </w:tcBorders>
            <w:vAlign w:val="top"/>
          </w:tcPr>
          <w:p w14:paraId="3D53F862">
            <w:pPr>
              <w:rPr>
                <w:rFonts w:ascii="Arial"/>
                <w:sz w:val="21"/>
              </w:rPr>
            </w:pPr>
          </w:p>
        </w:tc>
        <w:tc>
          <w:tcPr>
            <w:tcW w:w="1408" w:type="dxa"/>
            <w:vAlign w:val="top"/>
          </w:tcPr>
          <w:p w14:paraId="166481B3">
            <w:pPr>
              <w:rPr>
                <w:rFonts w:ascii="Arial"/>
                <w:sz w:val="21"/>
              </w:rPr>
            </w:pPr>
          </w:p>
        </w:tc>
        <w:tc>
          <w:tcPr>
            <w:tcW w:w="1129" w:type="dxa"/>
            <w:vAlign w:val="top"/>
          </w:tcPr>
          <w:p w14:paraId="5A6A1454">
            <w:pPr>
              <w:rPr>
                <w:rFonts w:ascii="Arial"/>
                <w:sz w:val="21"/>
              </w:rPr>
            </w:pPr>
          </w:p>
        </w:tc>
        <w:tc>
          <w:tcPr>
            <w:tcW w:w="1149" w:type="dxa"/>
            <w:vAlign w:val="top"/>
          </w:tcPr>
          <w:p w14:paraId="1E22CDFE">
            <w:pPr>
              <w:rPr>
                <w:rFonts w:ascii="Arial"/>
                <w:sz w:val="21"/>
              </w:rPr>
            </w:pPr>
          </w:p>
        </w:tc>
        <w:tc>
          <w:tcPr>
            <w:tcW w:w="4251" w:type="dxa"/>
            <w:vAlign w:val="top"/>
          </w:tcPr>
          <w:p w14:paraId="2A5EA977">
            <w:pPr>
              <w:rPr>
                <w:rFonts w:ascii="Arial"/>
                <w:sz w:val="21"/>
              </w:rPr>
            </w:pPr>
          </w:p>
        </w:tc>
      </w:tr>
      <w:tr w14:paraId="38FFDF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1863" w:type="dxa"/>
            <w:vMerge w:val="continue"/>
            <w:tcBorders>
              <w:top w:val="nil"/>
              <w:bottom w:val="nil"/>
            </w:tcBorders>
            <w:vAlign w:val="top"/>
          </w:tcPr>
          <w:p w14:paraId="3C9D7D81">
            <w:pPr>
              <w:rPr>
                <w:rFonts w:ascii="Arial"/>
                <w:sz w:val="21"/>
              </w:rPr>
            </w:pPr>
          </w:p>
        </w:tc>
        <w:tc>
          <w:tcPr>
            <w:tcW w:w="1408" w:type="dxa"/>
            <w:vAlign w:val="top"/>
          </w:tcPr>
          <w:p w14:paraId="46B53701">
            <w:pPr>
              <w:rPr>
                <w:rFonts w:ascii="Arial"/>
                <w:sz w:val="21"/>
              </w:rPr>
            </w:pPr>
          </w:p>
        </w:tc>
        <w:tc>
          <w:tcPr>
            <w:tcW w:w="1129" w:type="dxa"/>
            <w:vAlign w:val="top"/>
          </w:tcPr>
          <w:p w14:paraId="52C0B9FA">
            <w:pPr>
              <w:rPr>
                <w:rFonts w:ascii="Arial"/>
                <w:sz w:val="21"/>
              </w:rPr>
            </w:pPr>
          </w:p>
        </w:tc>
        <w:tc>
          <w:tcPr>
            <w:tcW w:w="1149" w:type="dxa"/>
            <w:vAlign w:val="top"/>
          </w:tcPr>
          <w:p w14:paraId="232BC2A5">
            <w:pPr>
              <w:rPr>
                <w:rFonts w:ascii="Arial"/>
                <w:sz w:val="21"/>
              </w:rPr>
            </w:pPr>
          </w:p>
        </w:tc>
        <w:tc>
          <w:tcPr>
            <w:tcW w:w="4251" w:type="dxa"/>
            <w:vAlign w:val="top"/>
          </w:tcPr>
          <w:p w14:paraId="0B805A20">
            <w:pPr>
              <w:rPr>
                <w:rFonts w:ascii="Arial"/>
                <w:sz w:val="21"/>
              </w:rPr>
            </w:pPr>
          </w:p>
        </w:tc>
      </w:tr>
      <w:tr w14:paraId="436AAE98">
        <w:tblPrEx>
          <w:tblCellMar>
            <w:top w:w="0" w:type="dxa"/>
            <w:left w:w="0" w:type="dxa"/>
            <w:bottom w:w="0" w:type="dxa"/>
            <w:right w:w="0" w:type="dxa"/>
          </w:tblCellMar>
        </w:tblPrEx>
        <w:trPr>
          <w:trHeight w:val="480" w:hRule="atLeast"/>
        </w:trPr>
        <w:tc>
          <w:tcPr>
            <w:tcW w:w="1863" w:type="dxa"/>
            <w:vMerge w:val="continue"/>
            <w:tcBorders>
              <w:top w:val="nil"/>
              <w:bottom w:val="nil"/>
            </w:tcBorders>
            <w:vAlign w:val="top"/>
          </w:tcPr>
          <w:p w14:paraId="0690D438">
            <w:pPr>
              <w:rPr>
                <w:rFonts w:ascii="Arial"/>
                <w:sz w:val="21"/>
              </w:rPr>
            </w:pPr>
          </w:p>
        </w:tc>
        <w:tc>
          <w:tcPr>
            <w:tcW w:w="1408" w:type="dxa"/>
            <w:vAlign w:val="top"/>
          </w:tcPr>
          <w:p w14:paraId="329211B0">
            <w:pPr>
              <w:rPr>
                <w:rFonts w:ascii="Arial"/>
                <w:sz w:val="21"/>
              </w:rPr>
            </w:pPr>
          </w:p>
        </w:tc>
        <w:tc>
          <w:tcPr>
            <w:tcW w:w="1129" w:type="dxa"/>
            <w:vAlign w:val="top"/>
          </w:tcPr>
          <w:p w14:paraId="30085F5E">
            <w:pPr>
              <w:rPr>
                <w:rFonts w:ascii="Arial"/>
                <w:sz w:val="21"/>
              </w:rPr>
            </w:pPr>
          </w:p>
        </w:tc>
        <w:tc>
          <w:tcPr>
            <w:tcW w:w="1149" w:type="dxa"/>
            <w:vAlign w:val="top"/>
          </w:tcPr>
          <w:p w14:paraId="54F1A5B8">
            <w:pPr>
              <w:rPr>
                <w:rFonts w:ascii="Arial"/>
                <w:sz w:val="21"/>
              </w:rPr>
            </w:pPr>
          </w:p>
        </w:tc>
        <w:tc>
          <w:tcPr>
            <w:tcW w:w="4251" w:type="dxa"/>
            <w:vAlign w:val="top"/>
          </w:tcPr>
          <w:p w14:paraId="0DFF1F93">
            <w:pPr>
              <w:rPr>
                <w:rFonts w:ascii="Arial"/>
                <w:sz w:val="21"/>
              </w:rPr>
            </w:pPr>
          </w:p>
        </w:tc>
      </w:tr>
      <w:tr w14:paraId="4E7687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4" w:hRule="atLeast"/>
        </w:trPr>
        <w:tc>
          <w:tcPr>
            <w:tcW w:w="1863" w:type="dxa"/>
            <w:vMerge w:val="continue"/>
            <w:tcBorders>
              <w:top w:val="nil"/>
            </w:tcBorders>
            <w:vAlign w:val="top"/>
          </w:tcPr>
          <w:p w14:paraId="4F4763FA">
            <w:pPr>
              <w:rPr>
                <w:rFonts w:ascii="Arial"/>
                <w:sz w:val="21"/>
              </w:rPr>
            </w:pPr>
          </w:p>
        </w:tc>
        <w:tc>
          <w:tcPr>
            <w:tcW w:w="1408" w:type="dxa"/>
            <w:vAlign w:val="top"/>
          </w:tcPr>
          <w:p w14:paraId="4308F5B9">
            <w:pPr>
              <w:rPr>
                <w:rFonts w:ascii="Arial"/>
                <w:sz w:val="21"/>
              </w:rPr>
            </w:pPr>
          </w:p>
        </w:tc>
        <w:tc>
          <w:tcPr>
            <w:tcW w:w="1129" w:type="dxa"/>
            <w:vAlign w:val="top"/>
          </w:tcPr>
          <w:p w14:paraId="1E451868">
            <w:pPr>
              <w:rPr>
                <w:rFonts w:ascii="Arial"/>
                <w:sz w:val="21"/>
              </w:rPr>
            </w:pPr>
          </w:p>
        </w:tc>
        <w:tc>
          <w:tcPr>
            <w:tcW w:w="1149" w:type="dxa"/>
            <w:vAlign w:val="top"/>
          </w:tcPr>
          <w:p w14:paraId="22DB309F">
            <w:pPr>
              <w:rPr>
                <w:rFonts w:ascii="Arial"/>
                <w:sz w:val="21"/>
              </w:rPr>
            </w:pPr>
          </w:p>
        </w:tc>
        <w:tc>
          <w:tcPr>
            <w:tcW w:w="4251" w:type="dxa"/>
            <w:vAlign w:val="top"/>
          </w:tcPr>
          <w:p w14:paraId="1FB0912D">
            <w:pPr>
              <w:rPr>
                <w:rFonts w:ascii="Arial"/>
                <w:sz w:val="21"/>
              </w:rPr>
            </w:pPr>
          </w:p>
        </w:tc>
      </w:tr>
    </w:tbl>
    <w:p w14:paraId="574EE178">
      <w:pPr>
        <w:rPr>
          <w:rFonts w:ascii="Arial"/>
          <w:sz w:val="21"/>
        </w:rPr>
      </w:pPr>
    </w:p>
    <w:p w14:paraId="73EE1781">
      <w:pPr>
        <w:rPr>
          <w:rFonts w:ascii="Arial" w:hAnsi="Arial" w:eastAsia="Arial" w:cs="Arial"/>
          <w:sz w:val="21"/>
          <w:szCs w:val="21"/>
        </w:rPr>
        <w:sectPr>
          <w:headerReference r:id="rId278" w:type="default"/>
          <w:footerReference r:id="rId279" w:type="default"/>
          <w:pgSz w:w="11910" w:h="16840"/>
          <w:pgMar w:top="2094" w:right="1095" w:bottom="1024" w:left="1004" w:header="1718" w:footer="889" w:gutter="0"/>
          <w:cols w:space="720" w:num="1"/>
        </w:sectPr>
      </w:pPr>
    </w:p>
    <w:p w14:paraId="4126924A">
      <w:pPr>
        <w:spacing w:line="246" w:lineRule="auto"/>
        <w:rPr>
          <w:rFonts w:ascii="Arial"/>
          <w:sz w:val="21"/>
        </w:rPr>
      </w:pPr>
    </w:p>
    <w:p w14:paraId="63CF0592">
      <w:pPr>
        <w:spacing w:line="246" w:lineRule="auto"/>
        <w:rPr>
          <w:rFonts w:ascii="Arial"/>
          <w:sz w:val="21"/>
        </w:rPr>
      </w:pPr>
    </w:p>
    <w:p w14:paraId="078CF3D2">
      <w:pPr>
        <w:spacing w:line="246" w:lineRule="auto"/>
        <w:rPr>
          <w:rFonts w:ascii="Arial"/>
          <w:sz w:val="21"/>
        </w:rPr>
      </w:pPr>
    </w:p>
    <w:p w14:paraId="7EAC6B9C">
      <w:pPr>
        <w:spacing w:line="246" w:lineRule="auto"/>
        <w:rPr>
          <w:rFonts w:ascii="Arial"/>
          <w:sz w:val="21"/>
        </w:rPr>
      </w:pPr>
    </w:p>
    <w:p w14:paraId="52DAC8B6">
      <w:pPr>
        <w:spacing w:line="246" w:lineRule="auto"/>
        <w:rPr>
          <w:rFonts w:ascii="Arial"/>
          <w:sz w:val="21"/>
        </w:rPr>
      </w:pPr>
    </w:p>
    <w:p w14:paraId="31118103">
      <w:pPr>
        <w:spacing w:line="247" w:lineRule="auto"/>
        <w:rPr>
          <w:rFonts w:ascii="Arial"/>
          <w:sz w:val="21"/>
        </w:rPr>
      </w:pPr>
    </w:p>
    <w:p w14:paraId="337193B6">
      <w:pPr>
        <w:spacing w:before="78" w:line="222" w:lineRule="auto"/>
        <w:ind w:left="3"/>
        <w:rPr>
          <w:rFonts w:ascii="黑体" w:hAnsi="黑体" w:eastAsia="黑体" w:cs="黑体"/>
          <w:sz w:val="24"/>
          <w:szCs w:val="24"/>
        </w:rPr>
      </w:pPr>
      <w:r>
        <w:rPr>
          <w:rFonts w:ascii="黑体" w:hAnsi="黑体" w:eastAsia="黑体" w:cs="黑体"/>
          <w:b/>
          <w:bCs/>
          <w:spacing w:val="18"/>
          <w:sz w:val="24"/>
          <w:szCs w:val="24"/>
        </w:rPr>
        <w:t>附件8:履约担保</w:t>
      </w:r>
    </w:p>
    <w:p w14:paraId="3ECFDA92">
      <w:pPr>
        <w:spacing w:before="222" w:line="222" w:lineRule="auto"/>
        <w:ind w:left="3884"/>
        <w:rPr>
          <w:rFonts w:ascii="黑体" w:hAnsi="黑体" w:eastAsia="黑体" w:cs="黑体"/>
          <w:sz w:val="29"/>
          <w:szCs w:val="29"/>
        </w:rPr>
      </w:pPr>
      <w:r>
        <w:rPr>
          <w:rFonts w:ascii="黑体" w:hAnsi="黑体" w:eastAsia="黑体" w:cs="黑体"/>
          <w:b/>
          <w:bCs/>
          <w:spacing w:val="-5"/>
          <w:sz w:val="29"/>
          <w:szCs w:val="29"/>
        </w:rPr>
        <w:t>履约担保</w:t>
      </w:r>
    </w:p>
    <w:p w14:paraId="4BC6946B">
      <w:pPr>
        <w:spacing w:line="333" w:lineRule="auto"/>
        <w:rPr>
          <w:rFonts w:ascii="Arial"/>
          <w:sz w:val="21"/>
        </w:rPr>
      </w:pPr>
    </w:p>
    <w:p w14:paraId="5A9E6914">
      <w:pPr>
        <w:spacing w:line="334" w:lineRule="auto"/>
        <w:rPr>
          <w:rFonts w:ascii="Arial"/>
          <w:sz w:val="21"/>
        </w:rPr>
      </w:pPr>
    </w:p>
    <w:p w14:paraId="131397C6">
      <w:pPr>
        <w:pStyle w:val="2"/>
        <w:tabs>
          <w:tab w:val="left" w:pos="1738"/>
        </w:tabs>
        <w:spacing w:before="62" w:line="220" w:lineRule="auto"/>
        <w:rPr>
          <w:sz w:val="19"/>
          <w:szCs w:val="19"/>
        </w:rPr>
      </w:pPr>
      <w:r>
        <w:rPr>
          <w:sz w:val="19"/>
          <w:szCs w:val="19"/>
          <w:u w:val="single" w:color="auto"/>
        </w:rPr>
        <w:tab/>
      </w:r>
      <w:r>
        <w:rPr>
          <w:spacing w:val="-18"/>
          <w:sz w:val="19"/>
          <w:szCs w:val="19"/>
        </w:rPr>
        <w:t xml:space="preserve"> </w:t>
      </w:r>
      <w:r>
        <w:rPr>
          <w:spacing w:val="17"/>
          <w:sz w:val="19"/>
          <w:szCs w:val="19"/>
        </w:rPr>
        <w:t>(发包人名称):</w:t>
      </w:r>
    </w:p>
    <w:p w14:paraId="795905E6">
      <w:pPr>
        <w:spacing w:line="432" w:lineRule="auto"/>
        <w:rPr>
          <w:rFonts w:ascii="Arial"/>
          <w:sz w:val="21"/>
        </w:rPr>
      </w:pPr>
    </w:p>
    <w:p w14:paraId="5A014A54">
      <w:pPr>
        <w:pStyle w:val="2"/>
        <w:spacing w:before="68" w:line="371" w:lineRule="auto"/>
        <w:ind w:firstLine="429"/>
        <w:jc w:val="both"/>
        <w:rPr>
          <w:sz w:val="18"/>
          <w:szCs w:val="18"/>
        </w:rPr>
      </w:pPr>
      <w:r>
        <w:rPr>
          <w:spacing w:val="1"/>
          <w:sz w:val="21"/>
          <w:szCs w:val="21"/>
        </w:rPr>
        <w:t>鉴于</w:t>
      </w:r>
      <w:r>
        <w:rPr>
          <w:spacing w:val="-89"/>
          <w:sz w:val="21"/>
          <w:szCs w:val="21"/>
        </w:rPr>
        <w:t xml:space="preserve"> </w:t>
      </w:r>
      <w:r>
        <w:rPr>
          <w:spacing w:val="1"/>
          <w:sz w:val="21"/>
          <w:szCs w:val="21"/>
          <w:u w:val="single" w:color="auto"/>
        </w:rPr>
        <w:t xml:space="preserve">                </w:t>
      </w:r>
      <w:r>
        <w:rPr>
          <w:spacing w:val="1"/>
          <w:sz w:val="21"/>
          <w:szCs w:val="21"/>
        </w:rPr>
        <w:t xml:space="preserve"> (发包人名称，以下简称“发包人”)与</w:t>
      </w:r>
      <w:r>
        <w:rPr>
          <w:spacing w:val="-92"/>
          <w:sz w:val="21"/>
          <w:szCs w:val="21"/>
        </w:rPr>
        <w:t xml:space="preserve"> </w:t>
      </w:r>
      <w:r>
        <w:rPr>
          <w:spacing w:val="1"/>
          <w:sz w:val="21"/>
          <w:szCs w:val="21"/>
          <w:u w:val="single" w:color="auto"/>
        </w:rPr>
        <w:t xml:space="preserve">                 </w:t>
      </w:r>
      <w:r>
        <w:rPr>
          <w:spacing w:val="1"/>
          <w:sz w:val="21"/>
          <w:szCs w:val="21"/>
        </w:rPr>
        <w:t xml:space="preserve"> (承包人</w:t>
      </w:r>
      <w:r>
        <w:rPr>
          <w:sz w:val="21"/>
          <w:szCs w:val="21"/>
        </w:rPr>
        <w:t xml:space="preserve"> </w:t>
      </w:r>
      <w:r>
        <w:rPr>
          <w:spacing w:val="2"/>
          <w:sz w:val="21"/>
          <w:szCs w:val="21"/>
        </w:rPr>
        <w:t>名称)(以下称“承包人”)于</w:t>
      </w:r>
      <w:r>
        <w:rPr>
          <w:spacing w:val="-48"/>
          <w:sz w:val="21"/>
          <w:szCs w:val="21"/>
        </w:rPr>
        <w:t xml:space="preserve"> </w:t>
      </w:r>
      <w:r>
        <w:rPr>
          <w:spacing w:val="15"/>
          <w:sz w:val="21"/>
          <w:szCs w:val="21"/>
          <w:u w:val="single" w:color="auto"/>
        </w:rPr>
        <w:t xml:space="preserve">    </w:t>
      </w:r>
      <w:r>
        <w:rPr>
          <w:spacing w:val="-85"/>
          <w:sz w:val="21"/>
          <w:szCs w:val="21"/>
        </w:rPr>
        <w:t xml:space="preserve"> </w:t>
      </w:r>
      <w:r>
        <w:rPr>
          <w:spacing w:val="2"/>
          <w:sz w:val="21"/>
          <w:szCs w:val="21"/>
        </w:rPr>
        <w:t>年</w:t>
      </w:r>
      <w:r>
        <w:rPr>
          <w:spacing w:val="-93"/>
          <w:sz w:val="21"/>
          <w:szCs w:val="21"/>
        </w:rPr>
        <w:t xml:space="preserve"> </w:t>
      </w:r>
      <w:r>
        <w:rPr>
          <w:spacing w:val="19"/>
          <w:sz w:val="21"/>
          <w:szCs w:val="21"/>
          <w:u w:val="single" w:color="auto"/>
        </w:rPr>
        <w:t xml:space="preserve">   </w:t>
      </w:r>
      <w:r>
        <w:rPr>
          <w:spacing w:val="2"/>
          <w:sz w:val="21"/>
          <w:szCs w:val="21"/>
          <w:u w:val="single" w:color="auto"/>
        </w:rPr>
        <w:t xml:space="preserve">月   </w:t>
      </w:r>
      <w:r>
        <w:rPr>
          <w:spacing w:val="-83"/>
          <w:sz w:val="21"/>
          <w:szCs w:val="21"/>
        </w:rPr>
        <w:t xml:space="preserve"> </w:t>
      </w:r>
      <w:r>
        <w:rPr>
          <w:spacing w:val="2"/>
          <w:sz w:val="21"/>
          <w:szCs w:val="21"/>
        </w:rPr>
        <w:t>日就</w:t>
      </w:r>
      <w:r>
        <w:rPr>
          <w:spacing w:val="-93"/>
          <w:sz w:val="21"/>
          <w:szCs w:val="21"/>
        </w:rPr>
        <w:t xml:space="preserve"> </w:t>
      </w:r>
      <w:r>
        <w:rPr>
          <w:spacing w:val="1"/>
          <w:sz w:val="21"/>
          <w:szCs w:val="21"/>
          <w:u w:val="single" w:color="auto"/>
        </w:rPr>
        <w:t xml:space="preserve">                       </w:t>
      </w:r>
      <w:r>
        <w:rPr>
          <w:spacing w:val="-73"/>
          <w:sz w:val="21"/>
          <w:szCs w:val="21"/>
        </w:rPr>
        <w:t xml:space="preserve"> </w:t>
      </w:r>
      <w:r>
        <w:rPr>
          <w:spacing w:val="2"/>
          <w:sz w:val="21"/>
          <w:szCs w:val="21"/>
        </w:rPr>
        <w:t>(工程名</w:t>
      </w:r>
      <w:r>
        <w:rPr>
          <w:spacing w:val="1"/>
          <w:sz w:val="21"/>
          <w:szCs w:val="21"/>
        </w:rPr>
        <w:t>称)施工及</w:t>
      </w:r>
      <w:r>
        <w:rPr>
          <w:sz w:val="21"/>
          <w:szCs w:val="21"/>
        </w:rPr>
        <w:t xml:space="preserve"> </w:t>
      </w:r>
      <w:r>
        <w:rPr>
          <w:spacing w:val="-3"/>
          <w:sz w:val="21"/>
          <w:szCs w:val="21"/>
        </w:rPr>
        <w:t>有关事项协商一致共同签订《建设工程施工合同》。我方愿意无条件地、不可撤销地就承包人</w:t>
      </w:r>
      <w:r>
        <w:rPr>
          <w:spacing w:val="-4"/>
          <w:sz w:val="21"/>
          <w:szCs w:val="21"/>
        </w:rPr>
        <w:t>履行</w:t>
      </w:r>
      <w:r>
        <w:rPr>
          <w:sz w:val="21"/>
          <w:szCs w:val="21"/>
        </w:rPr>
        <w:t xml:space="preserve"> </w:t>
      </w:r>
      <w:r>
        <w:rPr>
          <w:spacing w:val="27"/>
          <w:sz w:val="18"/>
          <w:szCs w:val="18"/>
        </w:rPr>
        <w:t>与你方签订的合同，向你方提供连带责任担保。</w:t>
      </w:r>
    </w:p>
    <w:p w14:paraId="6640A6EE">
      <w:pPr>
        <w:pStyle w:val="2"/>
        <w:spacing w:before="40" w:line="219" w:lineRule="auto"/>
        <w:ind w:left="429"/>
        <w:rPr>
          <w:sz w:val="18"/>
          <w:szCs w:val="18"/>
        </w:rPr>
      </w:pPr>
      <w:r>
        <w:rPr>
          <w:spacing w:val="-8"/>
          <w:sz w:val="18"/>
          <w:szCs w:val="18"/>
        </w:rPr>
        <w:t>1.</w:t>
      </w:r>
      <w:r>
        <w:rPr>
          <w:spacing w:val="51"/>
          <w:sz w:val="18"/>
          <w:szCs w:val="18"/>
        </w:rPr>
        <w:t xml:space="preserve"> </w:t>
      </w:r>
      <w:r>
        <w:rPr>
          <w:spacing w:val="-8"/>
          <w:sz w:val="18"/>
          <w:szCs w:val="18"/>
        </w:rPr>
        <w:t>担</w:t>
      </w:r>
      <w:r>
        <w:rPr>
          <w:spacing w:val="-37"/>
          <w:sz w:val="18"/>
          <w:szCs w:val="18"/>
        </w:rPr>
        <w:t xml:space="preserve"> </w:t>
      </w:r>
      <w:r>
        <w:rPr>
          <w:spacing w:val="-8"/>
          <w:sz w:val="18"/>
          <w:szCs w:val="18"/>
        </w:rPr>
        <w:t>保</w:t>
      </w:r>
      <w:r>
        <w:rPr>
          <w:spacing w:val="-36"/>
          <w:sz w:val="18"/>
          <w:szCs w:val="18"/>
        </w:rPr>
        <w:t xml:space="preserve"> </w:t>
      </w:r>
      <w:r>
        <w:rPr>
          <w:spacing w:val="-8"/>
          <w:sz w:val="18"/>
          <w:szCs w:val="18"/>
        </w:rPr>
        <w:t>金</w:t>
      </w:r>
      <w:r>
        <w:rPr>
          <w:spacing w:val="-37"/>
          <w:sz w:val="18"/>
          <w:szCs w:val="18"/>
        </w:rPr>
        <w:t xml:space="preserve"> </w:t>
      </w:r>
      <w:r>
        <w:rPr>
          <w:spacing w:val="-8"/>
          <w:sz w:val="18"/>
          <w:szCs w:val="18"/>
        </w:rPr>
        <w:t>额</w:t>
      </w:r>
      <w:r>
        <w:rPr>
          <w:spacing w:val="-36"/>
          <w:sz w:val="18"/>
          <w:szCs w:val="18"/>
        </w:rPr>
        <w:t xml:space="preserve"> </w:t>
      </w:r>
      <w:r>
        <w:rPr>
          <w:spacing w:val="-8"/>
          <w:sz w:val="18"/>
          <w:szCs w:val="18"/>
        </w:rPr>
        <w:t>人</w:t>
      </w:r>
      <w:r>
        <w:rPr>
          <w:spacing w:val="-19"/>
          <w:sz w:val="18"/>
          <w:szCs w:val="18"/>
        </w:rPr>
        <w:t xml:space="preserve"> </w:t>
      </w:r>
      <w:r>
        <w:rPr>
          <w:spacing w:val="-8"/>
          <w:sz w:val="18"/>
          <w:szCs w:val="18"/>
        </w:rPr>
        <w:t>民 币 (</w:t>
      </w:r>
      <w:r>
        <w:rPr>
          <w:spacing w:val="-35"/>
          <w:sz w:val="18"/>
          <w:szCs w:val="18"/>
        </w:rPr>
        <w:t xml:space="preserve"> </w:t>
      </w:r>
      <w:r>
        <w:rPr>
          <w:spacing w:val="-8"/>
          <w:sz w:val="18"/>
          <w:szCs w:val="18"/>
        </w:rPr>
        <w:t>大</w:t>
      </w:r>
      <w:r>
        <w:rPr>
          <w:spacing w:val="-33"/>
          <w:sz w:val="18"/>
          <w:szCs w:val="18"/>
        </w:rPr>
        <w:t xml:space="preserve"> </w:t>
      </w:r>
      <w:r>
        <w:rPr>
          <w:spacing w:val="-8"/>
          <w:sz w:val="18"/>
          <w:szCs w:val="18"/>
        </w:rPr>
        <w:t>写</w:t>
      </w:r>
      <w:r>
        <w:rPr>
          <w:spacing w:val="-36"/>
          <w:sz w:val="18"/>
          <w:szCs w:val="18"/>
        </w:rPr>
        <w:t xml:space="preserve"> </w:t>
      </w:r>
      <w:r>
        <w:rPr>
          <w:spacing w:val="-8"/>
          <w:sz w:val="18"/>
          <w:szCs w:val="18"/>
        </w:rPr>
        <w:t xml:space="preserve">) </w:t>
      </w:r>
      <w:r>
        <w:rPr>
          <w:spacing w:val="-8"/>
          <w:sz w:val="18"/>
          <w:szCs w:val="18"/>
          <w:u w:val="single" w:color="auto"/>
        </w:rPr>
        <w:t xml:space="preserve">                     </w:t>
      </w:r>
      <w:r>
        <w:rPr>
          <w:spacing w:val="-8"/>
          <w:sz w:val="18"/>
          <w:szCs w:val="18"/>
        </w:rPr>
        <w:t>元 (¥</w:t>
      </w:r>
      <w:r>
        <w:rPr>
          <w:spacing w:val="-75"/>
          <w:sz w:val="18"/>
          <w:szCs w:val="18"/>
        </w:rPr>
        <w:t xml:space="preserve"> </w:t>
      </w:r>
      <w:r>
        <w:rPr>
          <w:spacing w:val="1"/>
          <w:sz w:val="18"/>
          <w:szCs w:val="18"/>
          <w:u w:val="single" w:color="auto"/>
        </w:rPr>
        <w:t xml:space="preserve">                </w:t>
      </w:r>
      <w:r>
        <w:rPr>
          <w:spacing w:val="-9"/>
          <w:sz w:val="18"/>
          <w:szCs w:val="18"/>
        </w:rPr>
        <w:t>)。</w:t>
      </w:r>
    </w:p>
    <w:p w14:paraId="5A40B781">
      <w:pPr>
        <w:pStyle w:val="2"/>
        <w:spacing w:before="148" w:line="314" w:lineRule="auto"/>
        <w:ind w:right="43" w:firstLine="429"/>
        <w:rPr>
          <w:sz w:val="18"/>
          <w:szCs w:val="18"/>
        </w:rPr>
      </w:pPr>
      <w:r>
        <w:rPr>
          <w:spacing w:val="5"/>
          <w:sz w:val="21"/>
          <w:szCs w:val="21"/>
        </w:rPr>
        <w:t>2. 担保有效期自你方与承包人签订的合同生效之日起至你方</w:t>
      </w:r>
      <w:r>
        <w:rPr>
          <w:spacing w:val="4"/>
          <w:sz w:val="21"/>
          <w:szCs w:val="21"/>
        </w:rPr>
        <w:t>签发或应签发工程接收证书之</w:t>
      </w:r>
      <w:r>
        <w:rPr>
          <w:sz w:val="21"/>
          <w:szCs w:val="21"/>
        </w:rPr>
        <w:t xml:space="preserve"> </w:t>
      </w:r>
      <w:r>
        <w:rPr>
          <w:spacing w:val="3"/>
          <w:sz w:val="18"/>
          <w:szCs w:val="18"/>
        </w:rPr>
        <w:t>日止</w:t>
      </w:r>
      <w:r>
        <w:rPr>
          <w:spacing w:val="-43"/>
          <w:sz w:val="18"/>
          <w:szCs w:val="18"/>
        </w:rPr>
        <w:t xml:space="preserve"> </w:t>
      </w:r>
      <w:r>
        <w:rPr>
          <w:spacing w:val="3"/>
          <w:sz w:val="18"/>
          <w:szCs w:val="18"/>
        </w:rPr>
        <w:t>。</w:t>
      </w:r>
    </w:p>
    <w:p w14:paraId="574662C6">
      <w:pPr>
        <w:pStyle w:val="2"/>
        <w:spacing w:before="167" w:line="294" w:lineRule="auto"/>
        <w:ind w:right="38" w:firstLine="429"/>
        <w:rPr>
          <w:sz w:val="21"/>
          <w:szCs w:val="21"/>
        </w:rPr>
      </w:pPr>
      <w:r>
        <w:rPr>
          <w:sz w:val="21"/>
          <w:szCs w:val="21"/>
        </w:rPr>
        <w:t>3. 在本担保有效期内，因承包人违反合同约定的义务给你方</w:t>
      </w:r>
      <w:r>
        <w:rPr>
          <w:spacing w:val="-1"/>
          <w:sz w:val="21"/>
          <w:szCs w:val="21"/>
        </w:rPr>
        <w:t>造成经济损失时，我方在收到你</w:t>
      </w:r>
      <w:r>
        <w:rPr>
          <w:sz w:val="21"/>
          <w:szCs w:val="21"/>
        </w:rPr>
        <w:t xml:space="preserve"> </w:t>
      </w:r>
      <w:r>
        <w:rPr>
          <w:spacing w:val="3"/>
          <w:sz w:val="21"/>
          <w:szCs w:val="21"/>
        </w:rPr>
        <w:t>方以书面形式提出的在担保金额内的赔偿要求后，在7天内无条件支付。</w:t>
      </w:r>
    </w:p>
    <w:p w14:paraId="386B05C0">
      <w:pPr>
        <w:pStyle w:val="2"/>
        <w:spacing w:before="151" w:line="219" w:lineRule="auto"/>
        <w:ind w:left="429"/>
        <w:rPr>
          <w:sz w:val="21"/>
          <w:szCs w:val="21"/>
        </w:rPr>
      </w:pPr>
      <w:r>
        <w:rPr>
          <w:sz w:val="21"/>
          <w:szCs w:val="21"/>
        </w:rPr>
        <w:t>4. 你方和承包人按合同约定变更合同时，我方承担</w:t>
      </w:r>
      <w:r>
        <w:rPr>
          <w:spacing w:val="-1"/>
          <w:sz w:val="21"/>
          <w:szCs w:val="21"/>
        </w:rPr>
        <w:t>本担保规定的义务不变。</w:t>
      </w:r>
    </w:p>
    <w:p w14:paraId="7A982071">
      <w:pPr>
        <w:pStyle w:val="2"/>
        <w:spacing w:before="141" w:line="318" w:lineRule="auto"/>
        <w:ind w:right="48" w:firstLine="429"/>
        <w:rPr>
          <w:sz w:val="18"/>
          <w:szCs w:val="18"/>
        </w:rPr>
      </w:pPr>
      <w:r>
        <w:rPr>
          <w:sz w:val="21"/>
          <w:szCs w:val="21"/>
        </w:rPr>
        <w:t>5. 因本保函发生的纠纷，可由双方协商解决，</w:t>
      </w:r>
      <w:r>
        <w:rPr>
          <w:spacing w:val="-1"/>
          <w:sz w:val="21"/>
          <w:szCs w:val="21"/>
        </w:rPr>
        <w:t>协商不成的，任何一方均可提请</w:t>
      </w:r>
      <w:r>
        <w:rPr>
          <w:spacing w:val="-1"/>
          <w:sz w:val="21"/>
          <w:szCs w:val="21"/>
          <w:u w:val="single" w:color="auto"/>
        </w:rPr>
        <w:t xml:space="preserve">        </w:t>
      </w:r>
      <w:r>
        <w:rPr>
          <w:spacing w:val="-1"/>
          <w:sz w:val="21"/>
          <w:szCs w:val="21"/>
        </w:rPr>
        <w:t>仲裁</w:t>
      </w:r>
      <w:r>
        <w:rPr>
          <w:sz w:val="21"/>
          <w:szCs w:val="21"/>
        </w:rPr>
        <w:t xml:space="preserve"> </w:t>
      </w:r>
      <w:r>
        <w:rPr>
          <w:spacing w:val="24"/>
          <w:sz w:val="18"/>
          <w:szCs w:val="18"/>
        </w:rPr>
        <w:t>委员会仲裁。</w:t>
      </w:r>
    </w:p>
    <w:p w14:paraId="082B11A0">
      <w:pPr>
        <w:pStyle w:val="2"/>
        <w:spacing w:before="197" w:line="219" w:lineRule="auto"/>
        <w:ind w:left="429"/>
        <w:rPr>
          <w:sz w:val="18"/>
          <w:szCs w:val="18"/>
        </w:rPr>
      </w:pPr>
      <w:r>
        <w:rPr>
          <w:spacing w:val="33"/>
          <w:sz w:val="18"/>
          <w:szCs w:val="18"/>
        </w:rPr>
        <w:t>6.</w:t>
      </w:r>
      <w:r>
        <w:rPr>
          <w:spacing w:val="49"/>
          <w:sz w:val="18"/>
          <w:szCs w:val="18"/>
        </w:rPr>
        <w:t xml:space="preserve"> </w:t>
      </w:r>
      <w:r>
        <w:rPr>
          <w:spacing w:val="33"/>
          <w:sz w:val="18"/>
          <w:szCs w:val="18"/>
        </w:rPr>
        <w:t>本保函自我方法定代表人(或其授权代理</w:t>
      </w:r>
      <w:r>
        <w:rPr>
          <w:spacing w:val="32"/>
          <w:sz w:val="18"/>
          <w:szCs w:val="18"/>
        </w:rPr>
        <w:t>人)签字并加盖公章之日起生效。</w:t>
      </w:r>
    </w:p>
    <w:p w14:paraId="58E3A6CA">
      <w:pPr>
        <w:spacing w:line="262" w:lineRule="auto"/>
        <w:rPr>
          <w:rFonts w:ascii="Arial"/>
          <w:sz w:val="21"/>
        </w:rPr>
      </w:pPr>
    </w:p>
    <w:p w14:paraId="7E9CBAB9">
      <w:pPr>
        <w:spacing w:line="262" w:lineRule="auto"/>
        <w:rPr>
          <w:rFonts w:ascii="Arial"/>
          <w:sz w:val="21"/>
        </w:rPr>
      </w:pPr>
    </w:p>
    <w:p w14:paraId="33AF2CB3">
      <w:pPr>
        <w:spacing w:line="262" w:lineRule="auto"/>
        <w:rPr>
          <w:rFonts w:ascii="Arial"/>
          <w:sz w:val="21"/>
        </w:rPr>
      </w:pPr>
    </w:p>
    <w:p w14:paraId="0E76B471">
      <w:pPr>
        <w:spacing w:line="263" w:lineRule="auto"/>
        <w:rPr>
          <w:rFonts w:ascii="Arial"/>
          <w:sz w:val="21"/>
        </w:rPr>
      </w:pPr>
    </w:p>
    <w:p w14:paraId="787B4521">
      <w:pPr>
        <w:spacing w:line="263" w:lineRule="auto"/>
        <w:rPr>
          <w:rFonts w:ascii="Arial"/>
          <w:sz w:val="21"/>
        </w:rPr>
      </w:pPr>
    </w:p>
    <w:p w14:paraId="6B6BECF8">
      <w:pPr>
        <w:pStyle w:val="2"/>
        <w:spacing w:before="69" w:line="227" w:lineRule="auto"/>
        <w:ind w:left="2859"/>
        <w:rPr>
          <w:sz w:val="20"/>
          <w:szCs w:val="20"/>
        </w:rPr>
      </w:pPr>
      <w:r>
        <w:rPr>
          <w:spacing w:val="4"/>
          <w:sz w:val="21"/>
          <w:szCs w:val="21"/>
        </w:rPr>
        <w:t>担</w:t>
      </w:r>
      <w:r>
        <w:rPr>
          <w:spacing w:val="-21"/>
          <w:sz w:val="21"/>
          <w:szCs w:val="21"/>
        </w:rPr>
        <w:t xml:space="preserve"> </w:t>
      </w:r>
      <w:r>
        <w:rPr>
          <w:spacing w:val="4"/>
          <w:sz w:val="21"/>
          <w:szCs w:val="21"/>
        </w:rPr>
        <w:t>保</w:t>
      </w:r>
      <w:r>
        <w:rPr>
          <w:spacing w:val="-21"/>
          <w:sz w:val="21"/>
          <w:szCs w:val="21"/>
        </w:rPr>
        <w:t xml:space="preserve"> </w:t>
      </w:r>
      <w:r>
        <w:rPr>
          <w:spacing w:val="4"/>
          <w:sz w:val="21"/>
          <w:szCs w:val="21"/>
        </w:rPr>
        <w:t>人</w:t>
      </w:r>
      <w:r>
        <w:rPr>
          <w:spacing w:val="-31"/>
          <w:sz w:val="21"/>
          <w:szCs w:val="21"/>
        </w:rPr>
        <w:t xml:space="preserve"> </w:t>
      </w:r>
      <w:r>
        <w:rPr>
          <w:spacing w:val="4"/>
          <w:sz w:val="21"/>
          <w:szCs w:val="21"/>
        </w:rPr>
        <w:t>：</w:t>
      </w:r>
      <w:r>
        <w:rPr>
          <w:spacing w:val="2"/>
          <w:sz w:val="21"/>
          <w:szCs w:val="21"/>
          <w:u w:val="single" w:color="auto"/>
        </w:rPr>
        <w:t xml:space="preserve">                           </w:t>
      </w:r>
      <w:r>
        <w:rPr>
          <w:spacing w:val="-14"/>
          <w:sz w:val="21"/>
          <w:szCs w:val="21"/>
        </w:rPr>
        <w:t xml:space="preserve"> </w:t>
      </w:r>
      <w:r>
        <w:rPr>
          <w:spacing w:val="4"/>
          <w:sz w:val="20"/>
          <w:szCs w:val="20"/>
        </w:rPr>
        <w:t>(盖单位章)</w:t>
      </w:r>
    </w:p>
    <w:p w14:paraId="36253095">
      <w:pPr>
        <w:pStyle w:val="2"/>
        <w:spacing w:before="141" w:line="228" w:lineRule="auto"/>
        <w:ind w:left="2859"/>
        <w:rPr>
          <w:sz w:val="21"/>
          <w:szCs w:val="21"/>
        </w:rPr>
      </w:pPr>
      <w:r>
        <w:rPr>
          <w:spacing w:val="4"/>
          <w:sz w:val="20"/>
          <w:szCs w:val="20"/>
        </w:rPr>
        <w:t xml:space="preserve">法定代表人或其委托代理人： </w:t>
      </w:r>
      <w:r>
        <w:rPr>
          <w:spacing w:val="5"/>
          <w:sz w:val="20"/>
          <w:szCs w:val="20"/>
          <w:u w:val="single" w:color="auto"/>
        </w:rPr>
        <w:t xml:space="preserve">               </w:t>
      </w:r>
      <w:r>
        <w:rPr>
          <w:spacing w:val="27"/>
          <w:sz w:val="20"/>
          <w:szCs w:val="20"/>
        </w:rPr>
        <w:t xml:space="preserve"> </w:t>
      </w:r>
      <w:r>
        <w:rPr>
          <w:spacing w:val="4"/>
          <w:sz w:val="21"/>
          <w:szCs w:val="21"/>
        </w:rPr>
        <w:t>(签字)</w:t>
      </w:r>
    </w:p>
    <w:p w14:paraId="5C4B7278">
      <w:pPr>
        <w:pStyle w:val="2"/>
        <w:spacing w:before="188" w:line="229" w:lineRule="auto"/>
        <w:ind w:left="2859"/>
        <w:rPr>
          <w:sz w:val="18"/>
          <w:szCs w:val="18"/>
        </w:rPr>
      </w:pPr>
      <w:r>
        <w:rPr>
          <w:spacing w:val="2"/>
          <w:sz w:val="18"/>
          <w:szCs w:val="18"/>
        </w:rPr>
        <w:t>地     址：</w:t>
      </w:r>
      <w:r>
        <w:rPr>
          <w:spacing w:val="2"/>
          <w:sz w:val="18"/>
          <w:szCs w:val="18"/>
          <w:u w:val="single" w:color="auto"/>
        </w:rPr>
        <w:t xml:space="preserve">                                            </w:t>
      </w:r>
    </w:p>
    <w:p w14:paraId="1E051161">
      <w:pPr>
        <w:pStyle w:val="2"/>
        <w:spacing w:before="169" w:line="219" w:lineRule="auto"/>
        <w:ind w:left="2859"/>
        <w:rPr>
          <w:sz w:val="20"/>
          <w:szCs w:val="20"/>
        </w:rPr>
      </w:pPr>
      <w:r>
        <w:rPr>
          <w:spacing w:val="1"/>
          <w:sz w:val="20"/>
          <w:szCs w:val="20"/>
        </w:rPr>
        <w:t>邮政编码：</w:t>
      </w:r>
      <w:r>
        <w:rPr>
          <w:sz w:val="20"/>
          <w:szCs w:val="20"/>
          <w:u w:val="single" w:color="auto"/>
        </w:rPr>
        <w:t xml:space="preserve">                                         </w:t>
      </w:r>
    </w:p>
    <w:p w14:paraId="3D5E8615">
      <w:pPr>
        <w:pStyle w:val="2"/>
        <w:spacing w:before="195" w:line="221" w:lineRule="auto"/>
        <w:ind w:left="2859"/>
        <w:rPr>
          <w:sz w:val="18"/>
          <w:szCs w:val="18"/>
        </w:rPr>
      </w:pPr>
      <w:r>
        <w:rPr>
          <w:spacing w:val="-23"/>
          <w:sz w:val="18"/>
          <w:szCs w:val="18"/>
        </w:rPr>
        <w:t>电</w:t>
      </w:r>
      <w:r>
        <w:rPr>
          <w:spacing w:val="3"/>
          <w:sz w:val="18"/>
          <w:szCs w:val="18"/>
        </w:rPr>
        <w:t xml:space="preserve">     </w:t>
      </w:r>
      <w:r>
        <w:rPr>
          <w:spacing w:val="-23"/>
          <w:sz w:val="18"/>
          <w:szCs w:val="18"/>
        </w:rPr>
        <w:t>话</w:t>
      </w:r>
      <w:r>
        <w:rPr>
          <w:spacing w:val="-28"/>
          <w:sz w:val="18"/>
          <w:szCs w:val="18"/>
        </w:rPr>
        <w:t xml:space="preserve"> </w:t>
      </w:r>
      <w:r>
        <w:rPr>
          <w:spacing w:val="-23"/>
          <w:sz w:val="18"/>
          <w:szCs w:val="18"/>
        </w:rPr>
        <w:t>：</w:t>
      </w:r>
      <w:r>
        <w:rPr>
          <w:sz w:val="18"/>
          <w:szCs w:val="18"/>
          <w:u w:val="single" w:color="auto"/>
        </w:rPr>
        <w:t xml:space="preserve">                                              </w:t>
      </w:r>
    </w:p>
    <w:p w14:paraId="6CD04888">
      <w:pPr>
        <w:pStyle w:val="2"/>
        <w:spacing w:before="181" w:line="219" w:lineRule="auto"/>
        <w:ind w:left="2859"/>
        <w:rPr>
          <w:sz w:val="18"/>
          <w:szCs w:val="18"/>
        </w:rPr>
      </w:pPr>
      <w:r>
        <w:rPr>
          <w:spacing w:val="1"/>
          <w:sz w:val="18"/>
          <w:szCs w:val="18"/>
        </w:rPr>
        <w:t>传</w:t>
      </w:r>
      <w:r>
        <w:rPr>
          <w:spacing w:val="5"/>
          <w:sz w:val="18"/>
          <w:szCs w:val="18"/>
        </w:rPr>
        <w:t xml:space="preserve">     </w:t>
      </w:r>
      <w:r>
        <w:rPr>
          <w:spacing w:val="1"/>
          <w:sz w:val="18"/>
          <w:szCs w:val="18"/>
        </w:rPr>
        <w:t>真：</w:t>
      </w:r>
      <w:r>
        <w:rPr>
          <w:sz w:val="18"/>
          <w:szCs w:val="18"/>
          <w:u w:val="single" w:color="auto"/>
        </w:rPr>
        <w:t xml:space="preserve">                                             </w:t>
      </w:r>
    </w:p>
    <w:p w14:paraId="0D609F59">
      <w:pPr>
        <w:spacing w:line="241" w:lineRule="auto"/>
        <w:rPr>
          <w:rFonts w:ascii="Arial"/>
          <w:sz w:val="21"/>
        </w:rPr>
      </w:pPr>
    </w:p>
    <w:p w14:paraId="5AA3BC83">
      <w:pPr>
        <w:spacing w:line="242" w:lineRule="auto"/>
        <w:rPr>
          <w:rFonts w:ascii="Arial"/>
          <w:sz w:val="21"/>
        </w:rPr>
      </w:pPr>
    </w:p>
    <w:p w14:paraId="529C6A24">
      <w:pPr>
        <w:pStyle w:val="2"/>
        <w:tabs>
          <w:tab w:val="left" w:pos="5389"/>
        </w:tabs>
        <w:spacing w:before="75" w:line="213" w:lineRule="auto"/>
        <w:ind w:left="4229"/>
        <w:rPr>
          <w:rFonts w:ascii="黑体" w:hAnsi="黑体" w:eastAsia="黑体" w:cs="黑体"/>
          <w:sz w:val="19"/>
          <w:szCs w:val="19"/>
        </w:rPr>
      </w:pPr>
      <w:r>
        <w:rPr>
          <w:sz w:val="23"/>
          <w:szCs w:val="23"/>
          <w:u w:val="single" w:color="auto"/>
        </w:rPr>
        <w:tab/>
      </w:r>
      <w:r>
        <w:rPr>
          <w:spacing w:val="-7"/>
          <w:w w:val="48"/>
          <w:sz w:val="23"/>
          <w:szCs w:val="23"/>
        </w:rPr>
        <w:t>年</w:t>
      </w:r>
      <w:r>
        <w:rPr>
          <w:spacing w:val="6"/>
          <w:sz w:val="23"/>
          <w:szCs w:val="23"/>
          <w:u w:val="single" w:color="auto"/>
        </w:rPr>
        <w:t xml:space="preserve">        </w:t>
      </w:r>
      <w:r>
        <w:rPr>
          <w:spacing w:val="-108"/>
          <w:sz w:val="23"/>
          <w:szCs w:val="23"/>
        </w:rPr>
        <w:t xml:space="preserve"> </w:t>
      </w:r>
      <w:r>
        <w:rPr>
          <w:spacing w:val="-7"/>
          <w:w w:val="48"/>
          <w:sz w:val="23"/>
          <w:szCs w:val="23"/>
        </w:rPr>
        <w:t>月_</w:t>
      </w:r>
      <w:r>
        <w:rPr>
          <w:spacing w:val="-96"/>
          <w:sz w:val="23"/>
          <w:szCs w:val="23"/>
        </w:rPr>
        <w:t xml:space="preserve"> </w:t>
      </w:r>
      <w:r>
        <w:rPr>
          <w:spacing w:val="6"/>
          <w:sz w:val="23"/>
          <w:szCs w:val="23"/>
          <w:u w:val="single" w:color="auto"/>
        </w:rPr>
        <w:t xml:space="preserve">       </w:t>
      </w:r>
      <w:r>
        <w:rPr>
          <w:spacing w:val="-82"/>
          <w:sz w:val="23"/>
          <w:szCs w:val="23"/>
        </w:rPr>
        <w:t xml:space="preserve"> </w:t>
      </w:r>
      <w:r>
        <w:rPr>
          <w:rFonts w:ascii="黑体" w:hAnsi="黑体" w:eastAsia="黑体" w:cs="黑体"/>
          <w:position w:val="1"/>
          <w:sz w:val="19"/>
          <w:szCs w:val="19"/>
        </w:rPr>
        <w:t>日</w:t>
      </w:r>
    </w:p>
    <w:p w14:paraId="65D38355">
      <w:pPr>
        <w:spacing w:line="213" w:lineRule="auto"/>
        <w:rPr>
          <w:rFonts w:ascii="黑体" w:hAnsi="黑体" w:eastAsia="黑体" w:cs="黑体"/>
          <w:sz w:val="19"/>
          <w:szCs w:val="19"/>
        </w:rPr>
        <w:sectPr>
          <w:headerReference r:id="rId280" w:type="default"/>
          <w:footerReference r:id="rId281" w:type="default"/>
          <w:pgSz w:w="11910" w:h="16840"/>
          <w:pgMar w:top="400" w:right="1508" w:bottom="1045" w:left="1440" w:header="0" w:footer="883" w:gutter="0"/>
          <w:cols w:space="720" w:num="1"/>
        </w:sectPr>
      </w:pPr>
    </w:p>
    <w:p w14:paraId="4AC986C6">
      <w:pPr>
        <w:spacing w:line="259" w:lineRule="auto"/>
        <w:rPr>
          <w:rFonts w:ascii="Arial"/>
          <w:sz w:val="21"/>
        </w:rPr>
      </w:pPr>
    </w:p>
    <w:p w14:paraId="61F0C07D">
      <w:pPr>
        <w:spacing w:line="259" w:lineRule="auto"/>
        <w:rPr>
          <w:rFonts w:ascii="Arial"/>
          <w:sz w:val="21"/>
        </w:rPr>
      </w:pPr>
    </w:p>
    <w:p w14:paraId="51E3A86E">
      <w:pPr>
        <w:spacing w:line="259" w:lineRule="auto"/>
        <w:rPr>
          <w:rFonts w:ascii="Arial"/>
          <w:sz w:val="21"/>
        </w:rPr>
      </w:pPr>
    </w:p>
    <w:p w14:paraId="78B96C44">
      <w:pPr>
        <w:spacing w:line="259" w:lineRule="auto"/>
        <w:rPr>
          <w:rFonts w:ascii="Arial"/>
          <w:sz w:val="21"/>
        </w:rPr>
      </w:pPr>
    </w:p>
    <w:p w14:paraId="157AEACB">
      <w:pPr>
        <w:spacing w:line="259" w:lineRule="auto"/>
        <w:rPr>
          <w:rFonts w:ascii="Arial"/>
          <w:sz w:val="21"/>
        </w:rPr>
      </w:pPr>
    </w:p>
    <w:p w14:paraId="788F9DB4">
      <w:pPr>
        <w:spacing w:before="82" w:line="222" w:lineRule="auto"/>
        <w:ind w:left="23"/>
        <w:rPr>
          <w:rFonts w:ascii="黑体" w:hAnsi="黑体" w:eastAsia="黑体" w:cs="黑体"/>
          <w:sz w:val="25"/>
          <w:szCs w:val="25"/>
        </w:rPr>
      </w:pPr>
      <w:r>
        <w:rPr>
          <w:rFonts w:ascii="黑体" w:hAnsi="黑体" w:eastAsia="黑体" w:cs="黑体"/>
          <w:b/>
          <w:bCs/>
          <w:spacing w:val="15"/>
          <w:sz w:val="25"/>
          <w:szCs w:val="25"/>
        </w:rPr>
        <w:t>附件9:预约款担保</w:t>
      </w:r>
    </w:p>
    <w:p w14:paraId="64BD76F0">
      <w:pPr>
        <w:spacing w:before="240" w:line="222" w:lineRule="auto"/>
        <w:ind w:left="3754"/>
        <w:rPr>
          <w:rFonts w:ascii="黑体" w:hAnsi="黑体" w:eastAsia="黑体" w:cs="黑体"/>
          <w:sz w:val="29"/>
          <w:szCs w:val="29"/>
        </w:rPr>
      </w:pPr>
      <w:r>
        <w:rPr>
          <w:rFonts w:ascii="黑体" w:hAnsi="黑体" w:eastAsia="黑体" w:cs="黑体"/>
          <w:b/>
          <w:bCs/>
          <w:spacing w:val="-6"/>
          <w:sz w:val="29"/>
          <w:szCs w:val="29"/>
        </w:rPr>
        <w:t>预付款担保</w:t>
      </w:r>
    </w:p>
    <w:p w14:paraId="42A8982E">
      <w:pPr>
        <w:spacing w:line="473" w:lineRule="auto"/>
        <w:rPr>
          <w:rFonts w:ascii="Arial"/>
          <w:sz w:val="21"/>
        </w:rPr>
      </w:pPr>
    </w:p>
    <w:p w14:paraId="7BA4E9DC">
      <w:pPr>
        <w:pStyle w:val="2"/>
        <w:tabs>
          <w:tab w:val="left" w:pos="2258"/>
        </w:tabs>
        <w:spacing w:before="68" w:line="220" w:lineRule="auto"/>
        <w:rPr>
          <w:sz w:val="21"/>
          <w:szCs w:val="21"/>
        </w:rPr>
      </w:pPr>
      <w:r>
        <w:rPr>
          <w:sz w:val="21"/>
          <w:szCs w:val="21"/>
          <w:u w:val="single" w:color="auto"/>
        </w:rPr>
        <w:tab/>
      </w:r>
      <w:r>
        <w:rPr>
          <w:spacing w:val="80"/>
          <w:sz w:val="21"/>
          <w:szCs w:val="21"/>
        </w:rPr>
        <w:t xml:space="preserve"> </w:t>
      </w:r>
      <w:r>
        <w:rPr>
          <w:spacing w:val="-1"/>
          <w:sz w:val="21"/>
          <w:szCs w:val="21"/>
        </w:rPr>
        <w:t>(发包人名称):</w:t>
      </w:r>
    </w:p>
    <w:p w14:paraId="432F3067">
      <w:pPr>
        <w:spacing w:line="248" w:lineRule="auto"/>
        <w:rPr>
          <w:rFonts w:ascii="Arial"/>
          <w:sz w:val="21"/>
        </w:rPr>
      </w:pPr>
    </w:p>
    <w:p w14:paraId="1BF35906">
      <w:pPr>
        <w:spacing w:line="249" w:lineRule="auto"/>
        <w:rPr>
          <w:rFonts w:ascii="Arial"/>
          <w:sz w:val="21"/>
        </w:rPr>
      </w:pPr>
    </w:p>
    <w:p w14:paraId="2DC0ADEB">
      <w:pPr>
        <w:pStyle w:val="2"/>
        <w:spacing w:before="69" w:line="219" w:lineRule="auto"/>
        <w:ind w:left="439"/>
        <w:rPr>
          <w:sz w:val="21"/>
          <w:szCs w:val="21"/>
        </w:rPr>
      </w:pPr>
      <w:r>
        <w:rPr>
          <w:spacing w:val="-1"/>
          <w:sz w:val="21"/>
          <w:szCs w:val="21"/>
        </w:rPr>
        <w:t>根据</w:t>
      </w:r>
      <w:r>
        <w:rPr>
          <w:spacing w:val="-82"/>
          <w:sz w:val="21"/>
          <w:szCs w:val="21"/>
        </w:rPr>
        <w:t xml:space="preserve"> </w:t>
      </w:r>
      <w:r>
        <w:rPr>
          <w:sz w:val="21"/>
          <w:szCs w:val="21"/>
          <w:u w:val="single" w:color="auto"/>
        </w:rPr>
        <w:t xml:space="preserve">                 </w:t>
      </w:r>
      <w:r>
        <w:rPr>
          <w:spacing w:val="-40"/>
          <w:sz w:val="21"/>
          <w:szCs w:val="21"/>
        </w:rPr>
        <w:t xml:space="preserve"> </w:t>
      </w:r>
      <w:r>
        <w:rPr>
          <w:spacing w:val="-1"/>
          <w:sz w:val="21"/>
          <w:szCs w:val="21"/>
        </w:rPr>
        <w:t>(承包人名称)(以下称“承包人”)与</w:t>
      </w:r>
      <w:r>
        <w:rPr>
          <w:spacing w:val="-1"/>
          <w:sz w:val="21"/>
          <w:szCs w:val="21"/>
          <w:u w:val="single" w:color="auto"/>
        </w:rPr>
        <w:t xml:space="preserve">                        </w:t>
      </w:r>
      <w:r>
        <w:rPr>
          <w:spacing w:val="-55"/>
          <w:sz w:val="21"/>
          <w:szCs w:val="21"/>
        </w:rPr>
        <w:t xml:space="preserve"> </w:t>
      </w:r>
      <w:r>
        <w:rPr>
          <w:spacing w:val="-1"/>
          <w:sz w:val="21"/>
          <w:szCs w:val="21"/>
        </w:rPr>
        <w:t>(发</w:t>
      </w:r>
    </w:p>
    <w:p w14:paraId="3D798554">
      <w:pPr>
        <w:pStyle w:val="2"/>
        <w:spacing w:before="159" w:line="359" w:lineRule="auto"/>
        <w:ind w:left="20"/>
        <w:rPr>
          <w:sz w:val="21"/>
          <w:szCs w:val="21"/>
        </w:rPr>
      </w:pPr>
      <w:r>
        <w:rPr>
          <w:spacing w:val="4"/>
          <w:sz w:val="21"/>
          <w:szCs w:val="21"/>
        </w:rPr>
        <w:t>包人名称)(以下简称“发包人”)于</w:t>
      </w:r>
      <w:r>
        <w:rPr>
          <w:spacing w:val="17"/>
          <w:sz w:val="21"/>
          <w:szCs w:val="21"/>
          <w:u w:val="single" w:color="auto"/>
        </w:rPr>
        <w:t xml:space="preserve">     </w:t>
      </w:r>
      <w:r>
        <w:rPr>
          <w:spacing w:val="-85"/>
          <w:sz w:val="21"/>
          <w:szCs w:val="21"/>
        </w:rPr>
        <w:t xml:space="preserve"> </w:t>
      </w:r>
      <w:r>
        <w:rPr>
          <w:spacing w:val="4"/>
          <w:sz w:val="21"/>
          <w:szCs w:val="21"/>
        </w:rPr>
        <w:t>年</w:t>
      </w:r>
      <w:r>
        <w:rPr>
          <w:spacing w:val="19"/>
          <w:sz w:val="21"/>
          <w:szCs w:val="21"/>
          <w:u w:val="single" w:color="auto"/>
        </w:rPr>
        <w:t xml:space="preserve">    </w:t>
      </w:r>
      <w:r>
        <w:rPr>
          <w:spacing w:val="-82"/>
          <w:sz w:val="21"/>
          <w:szCs w:val="21"/>
        </w:rPr>
        <w:t xml:space="preserve"> </w:t>
      </w:r>
      <w:r>
        <w:rPr>
          <w:spacing w:val="4"/>
          <w:sz w:val="21"/>
          <w:szCs w:val="21"/>
        </w:rPr>
        <w:t>月</w:t>
      </w:r>
      <w:r>
        <w:rPr>
          <w:spacing w:val="4"/>
          <w:sz w:val="21"/>
          <w:szCs w:val="21"/>
          <w:u w:val="single" w:color="auto"/>
        </w:rPr>
        <w:t xml:space="preserve">     </w:t>
      </w:r>
      <w:r>
        <w:rPr>
          <w:spacing w:val="-85"/>
          <w:sz w:val="21"/>
          <w:szCs w:val="21"/>
        </w:rPr>
        <w:t xml:space="preserve"> </w:t>
      </w:r>
      <w:r>
        <w:rPr>
          <w:spacing w:val="4"/>
          <w:sz w:val="21"/>
          <w:szCs w:val="21"/>
        </w:rPr>
        <w:t>日签订的</w:t>
      </w:r>
      <w:r>
        <w:rPr>
          <w:spacing w:val="-102"/>
          <w:sz w:val="21"/>
          <w:szCs w:val="21"/>
        </w:rPr>
        <w:t xml:space="preserve"> </w:t>
      </w:r>
      <w:r>
        <w:rPr>
          <w:spacing w:val="1"/>
          <w:sz w:val="21"/>
          <w:szCs w:val="21"/>
          <w:u w:val="single" w:color="auto"/>
        </w:rPr>
        <w:t xml:space="preserve">                   </w:t>
      </w:r>
      <w:r>
        <w:rPr>
          <w:spacing w:val="-68"/>
          <w:sz w:val="21"/>
          <w:szCs w:val="21"/>
        </w:rPr>
        <w:t xml:space="preserve"> </w:t>
      </w:r>
      <w:r>
        <w:rPr>
          <w:spacing w:val="4"/>
          <w:sz w:val="21"/>
          <w:szCs w:val="21"/>
        </w:rPr>
        <w:t>(工程名</w:t>
      </w:r>
      <w:r>
        <w:rPr>
          <w:sz w:val="21"/>
          <w:szCs w:val="21"/>
        </w:rPr>
        <w:t xml:space="preserve"> </w:t>
      </w:r>
      <w:r>
        <w:rPr>
          <w:spacing w:val="2"/>
          <w:sz w:val="21"/>
          <w:szCs w:val="21"/>
        </w:rPr>
        <w:t>称)《建设工程施工合同》,承包人按约定的金额向你方提交一份预付款担保，即有权得到你方支</w:t>
      </w:r>
    </w:p>
    <w:p w14:paraId="2B5F43FC">
      <w:pPr>
        <w:pStyle w:val="2"/>
        <w:spacing w:before="2" w:line="219" w:lineRule="auto"/>
        <w:ind w:left="20"/>
        <w:rPr>
          <w:sz w:val="21"/>
          <w:szCs w:val="21"/>
        </w:rPr>
      </w:pPr>
      <w:r>
        <w:rPr>
          <w:spacing w:val="-1"/>
          <w:sz w:val="21"/>
          <w:szCs w:val="21"/>
        </w:rPr>
        <w:t>付相等金额的预付款。我方愿意就你方提供给承包人的预付款为承包人提供连带责任担保。</w:t>
      </w:r>
    </w:p>
    <w:p w14:paraId="710C9F69">
      <w:pPr>
        <w:pStyle w:val="2"/>
        <w:spacing w:before="171" w:line="219" w:lineRule="auto"/>
        <w:ind w:left="439"/>
        <w:rPr>
          <w:sz w:val="21"/>
          <w:szCs w:val="21"/>
        </w:rPr>
      </w:pPr>
      <w:r>
        <w:rPr>
          <w:spacing w:val="11"/>
          <w:sz w:val="21"/>
          <w:szCs w:val="21"/>
        </w:rPr>
        <w:t>1. 担保金额人民币(大写)</w:t>
      </w:r>
      <w:r>
        <w:rPr>
          <w:spacing w:val="5"/>
          <w:sz w:val="21"/>
          <w:szCs w:val="21"/>
          <w:u w:val="single" w:color="auto"/>
        </w:rPr>
        <w:t xml:space="preserve">               </w:t>
      </w:r>
      <w:r>
        <w:rPr>
          <w:spacing w:val="11"/>
          <w:sz w:val="21"/>
          <w:szCs w:val="21"/>
        </w:rPr>
        <w:t>元(¥</w:t>
      </w:r>
      <w:r>
        <w:rPr>
          <w:spacing w:val="-84"/>
          <w:sz w:val="21"/>
          <w:szCs w:val="21"/>
        </w:rPr>
        <w:t xml:space="preserve"> </w:t>
      </w:r>
      <w:r>
        <w:rPr>
          <w:position w:val="-2"/>
          <w:sz w:val="21"/>
          <w:szCs w:val="21"/>
        </w:rPr>
        <w:drawing>
          <wp:inline distT="0" distB="0" distL="0" distR="0">
            <wp:extent cx="939165" cy="6350"/>
            <wp:effectExtent l="0" t="0" r="0" b="0"/>
            <wp:docPr id="200" name="IM 200"/>
            <wp:cNvGraphicFramePr/>
            <a:graphic xmlns:a="http://schemas.openxmlformats.org/drawingml/2006/main">
              <a:graphicData uri="http://schemas.openxmlformats.org/drawingml/2006/picture">
                <pic:pic xmlns:pic="http://schemas.openxmlformats.org/drawingml/2006/picture">
                  <pic:nvPicPr>
                    <pic:cNvPr id="200" name="IM 200"/>
                    <pic:cNvPicPr/>
                  </pic:nvPicPr>
                  <pic:blipFill>
                    <a:blip r:embed="rId488"/>
                    <a:stretch>
                      <a:fillRect/>
                    </a:stretch>
                  </pic:blipFill>
                  <pic:spPr>
                    <a:xfrm>
                      <a:off x="0" y="0"/>
                      <a:ext cx="939759" cy="6667"/>
                    </a:xfrm>
                    <a:prstGeom prst="rect">
                      <a:avLst/>
                    </a:prstGeom>
                  </pic:spPr>
                </pic:pic>
              </a:graphicData>
            </a:graphic>
          </wp:inline>
        </w:drawing>
      </w:r>
      <w:r>
        <w:rPr>
          <w:spacing w:val="11"/>
          <w:sz w:val="21"/>
          <w:szCs w:val="21"/>
        </w:rPr>
        <w:t>)。</w:t>
      </w:r>
    </w:p>
    <w:p w14:paraId="5F68E2E1">
      <w:pPr>
        <w:pStyle w:val="2"/>
        <w:spacing w:before="152" w:line="328" w:lineRule="auto"/>
        <w:ind w:left="20" w:right="216" w:firstLine="419"/>
        <w:rPr>
          <w:sz w:val="15"/>
          <w:szCs w:val="15"/>
        </w:rPr>
      </w:pPr>
      <w:r>
        <w:rPr>
          <w:sz w:val="21"/>
          <w:szCs w:val="21"/>
        </w:rPr>
        <w:t>2. 担保有效期自预付款支付给承包人起生效，至你方签</w:t>
      </w:r>
      <w:r>
        <w:rPr>
          <w:spacing w:val="-1"/>
          <w:sz w:val="21"/>
          <w:szCs w:val="21"/>
        </w:rPr>
        <w:t>发的进度款支付证书说明已完全扣清</w:t>
      </w:r>
      <w:r>
        <w:rPr>
          <w:sz w:val="21"/>
          <w:szCs w:val="21"/>
        </w:rPr>
        <w:t xml:space="preserve"> </w:t>
      </w:r>
      <w:r>
        <w:rPr>
          <w:spacing w:val="-4"/>
          <w:sz w:val="15"/>
          <w:szCs w:val="15"/>
        </w:rPr>
        <w:t>止</w:t>
      </w:r>
      <w:r>
        <w:rPr>
          <w:spacing w:val="28"/>
          <w:sz w:val="15"/>
          <w:szCs w:val="15"/>
        </w:rPr>
        <w:t xml:space="preserve"> </w:t>
      </w:r>
      <w:r>
        <w:rPr>
          <w:spacing w:val="-4"/>
          <w:sz w:val="15"/>
          <w:szCs w:val="15"/>
        </w:rPr>
        <w:t>。</w:t>
      </w:r>
    </w:p>
    <w:p w14:paraId="61A8B905">
      <w:pPr>
        <w:pStyle w:val="2"/>
        <w:spacing w:before="192" w:line="301" w:lineRule="auto"/>
        <w:ind w:left="20" w:right="214" w:firstLine="419"/>
        <w:rPr>
          <w:sz w:val="21"/>
          <w:szCs w:val="21"/>
        </w:rPr>
      </w:pPr>
      <w:r>
        <w:rPr>
          <w:sz w:val="21"/>
          <w:szCs w:val="21"/>
        </w:rPr>
        <w:t>3. 在本保函有效期内，因承包人违反合同约定的义务而要求</w:t>
      </w:r>
      <w:r>
        <w:rPr>
          <w:spacing w:val="-1"/>
          <w:sz w:val="21"/>
          <w:szCs w:val="21"/>
        </w:rPr>
        <w:t>收回预付款时，我方在收到你方</w:t>
      </w:r>
      <w:r>
        <w:rPr>
          <w:sz w:val="21"/>
          <w:szCs w:val="21"/>
        </w:rPr>
        <w:t xml:space="preserve"> </w:t>
      </w:r>
      <w:r>
        <w:rPr>
          <w:spacing w:val="5"/>
          <w:sz w:val="21"/>
          <w:szCs w:val="21"/>
        </w:rPr>
        <w:t>的书面通知后，在7天内无条件支付。但本保函的担保金额</w:t>
      </w:r>
      <w:r>
        <w:rPr>
          <w:spacing w:val="4"/>
          <w:sz w:val="21"/>
          <w:szCs w:val="21"/>
        </w:rPr>
        <w:t>，在任何时候不应超过预付款金额减</w:t>
      </w:r>
      <w:r>
        <w:rPr>
          <w:sz w:val="21"/>
          <w:szCs w:val="21"/>
        </w:rPr>
        <w:t xml:space="preserve"> </w:t>
      </w:r>
      <w:r>
        <w:rPr>
          <w:spacing w:val="-2"/>
          <w:sz w:val="21"/>
          <w:szCs w:val="21"/>
        </w:rPr>
        <w:t>去你方按合同约定在向承包人签发的进度款支付证书中扣除的金额。</w:t>
      </w:r>
    </w:p>
    <w:p w14:paraId="6C20A0D1">
      <w:pPr>
        <w:pStyle w:val="2"/>
        <w:spacing w:before="160" w:line="219" w:lineRule="auto"/>
        <w:ind w:left="439"/>
        <w:rPr>
          <w:sz w:val="21"/>
          <w:szCs w:val="21"/>
        </w:rPr>
      </w:pPr>
      <w:r>
        <w:rPr>
          <w:sz w:val="21"/>
          <w:szCs w:val="21"/>
        </w:rPr>
        <w:t>4. 你方和承包人按合同约定变更合同时，我方承担本保函规定的义务不变。</w:t>
      </w:r>
    </w:p>
    <w:p w14:paraId="3248DA88">
      <w:pPr>
        <w:pStyle w:val="2"/>
        <w:spacing w:before="164" w:line="293" w:lineRule="auto"/>
        <w:ind w:left="20" w:right="137" w:firstLine="419"/>
        <w:rPr>
          <w:sz w:val="21"/>
          <w:szCs w:val="21"/>
        </w:rPr>
      </w:pPr>
      <w:r>
        <w:rPr>
          <w:spacing w:val="-1"/>
          <w:sz w:val="21"/>
          <w:szCs w:val="21"/>
        </w:rPr>
        <w:t>5. 因本保函发生的纠纷，可由双方协商解决，协商不成的，任何一方</w:t>
      </w:r>
      <w:r>
        <w:rPr>
          <w:spacing w:val="-2"/>
          <w:sz w:val="21"/>
          <w:szCs w:val="21"/>
        </w:rPr>
        <w:t>均可提请</w:t>
      </w:r>
      <w:r>
        <w:rPr>
          <w:spacing w:val="-2"/>
          <w:sz w:val="21"/>
          <w:szCs w:val="21"/>
          <w:u w:val="single" w:color="auto"/>
        </w:rPr>
        <w:t xml:space="preserve">        </w:t>
      </w:r>
      <w:r>
        <w:rPr>
          <w:spacing w:val="-85"/>
          <w:sz w:val="21"/>
          <w:szCs w:val="21"/>
        </w:rPr>
        <w:t xml:space="preserve"> </w:t>
      </w:r>
      <w:r>
        <w:rPr>
          <w:spacing w:val="-2"/>
          <w:sz w:val="21"/>
          <w:szCs w:val="21"/>
        </w:rPr>
        <w:t>_仲裁</w:t>
      </w:r>
      <w:r>
        <w:rPr>
          <w:sz w:val="21"/>
          <w:szCs w:val="21"/>
        </w:rPr>
        <w:t xml:space="preserve"> </w:t>
      </w:r>
      <w:r>
        <w:rPr>
          <w:spacing w:val="-6"/>
          <w:sz w:val="21"/>
          <w:szCs w:val="21"/>
        </w:rPr>
        <w:t>委员会仲裁。</w:t>
      </w:r>
    </w:p>
    <w:p w14:paraId="0FB06F7A">
      <w:pPr>
        <w:pStyle w:val="2"/>
        <w:spacing w:before="161" w:line="219" w:lineRule="auto"/>
        <w:ind w:left="439"/>
        <w:rPr>
          <w:sz w:val="21"/>
          <w:szCs w:val="21"/>
        </w:rPr>
      </w:pPr>
      <w:r>
        <w:rPr>
          <w:spacing w:val="6"/>
          <w:sz w:val="21"/>
          <w:szCs w:val="21"/>
        </w:rPr>
        <w:t>6. 本保函自我方法定代表人(或其授权</w:t>
      </w:r>
      <w:r>
        <w:rPr>
          <w:spacing w:val="5"/>
          <w:sz w:val="21"/>
          <w:szCs w:val="21"/>
        </w:rPr>
        <w:t>代理人)签字并加盖公章之日起生效。</w:t>
      </w:r>
    </w:p>
    <w:p w14:paraId="42ACAC17">
      <w:pPr>
        <w:spacing w:line="248" w:lineRule="auto"/>
        <w:rPr>
          <w:rFonts w:ascii="Arial"/>
          <w:sz w:val="21"/>
        </w:rPr>
      </w:pPr>
    </w:p>
    <w:p w14:paraId="51BF7498">
      <w:pPr>
        <w:spacing w:line="249" w:lineRule="auto"/>
        <w:rPr>
          <w:rFonts w:ascii="Arial"/>
          <w:sz w:val="21"/>
        </w:rPr>
      </w:pPr>
    </w:p>
    <w:p w14:paraId="176FE73C">
      <w:pPr>
        <w:pStyle w:val="2"/>
        <w:spacing w:before="71" w:line="228" w:lineRule="auto"/>
        <w:ind w:left="3059"/>
        <w:rPr>
          <w:sz w:val="22"/>
          <w:szCs w:val="22"/>
        </w:rPr>
      </w:pPr>
      <w:r>
        <w:rPr>
          <w:sz w:val="21"/>
          <w:szCs w:val="21"/>
        </w:rPr>
        <w:t>担保人：</w:t>
      </w:r>
      <w:r>
        <w:rPr>
          <w:spacing w:val="-85"/>
          <w:sz w:val="21"/>
          <w:szCs w:val="21"/>
        </w:rPr>
        <w:t xml:space="preserve"> </w:t>
      </w:r>
      <w:r>
        <w:rPr>
          <w:sz w:val="21"/>
          <w:szCs w:val="21"/>
          <w:u w:val="single" w:color="auto"/>
        </w:rPr>
        <w:t xml:space="preserve">                         </w:t>
      </w:r>
      <w:r>
        <w:rPr>
          <w:spacing w:val="-1"/>
          <w:sz w:val="21"/>
          <w:szCs w:val="21"/>
          <w:u w:val="single" w:color="auto"/>
        </w:rPr>
        <w:t xml:space="preserve"> </w:t>
      </w:r>
      <w:r>
        <w:rPr>
          <w:spacing w:val="-1"/>
          <w:sz w:val="21"/>
          <w:szCs w:val="21"/>
        </w:rPr>
        <w:t xml:space="preserve"> </w:t>
      </w:r>
      <w:r>
        <w:rPr>
          <w:spacing w:val="-1"/>
          <w:sz w:val="22"/>
          <w:szCs w:val="22"/>
        </w:rPr>
        <w:t>(盖单位章)</w:t>
      </w:r>
    </w:p>
    <w:p w14:paraId="7F6F36DB">
      <w:pPr>
        <w:pStyle w:val="2"/>
        <w:spacing w:before="129" w:line="228" w:lineRule="auto"/>
        <w:ind w:left="3059"/>
        <w:rPr>
          <w:sz w:val="21"/>
          <w:szCs w:val="21"/>
        </w:rPr>
      </w:pPr>
      <w:r>
        <w:rPr>
          <w:spacing w:val="2"/>
          <w:sz w:val="21"/>
          <w:szCs w:val="21"/>
        </w:rPr>
        <w:t>法定代表人或其委托代理人：</w:t>
      </w:r>
      <w:r>
        <w:rPr>
          <w:spacing w:val="5"/>
          <w:sz w:val="21"/>
          <w:szCs w:val="21"/>
          <w:u w:val="single" w:color="auto"/>
        </w:rPr>
        <w:t xml:space="preserve">            </w:t>
      </w:r>
      <w:r>
        <w:rPr>
          <w:spacing w:val="-34"/>
          <w:sz w:val="21"/>
          <w:szCs w:val="21"/>
        </w:rPr>
        <w:t xml:space="preserve"> </w:t>
      </w:r>
      <w:r>
        <w:rPr>
          <w:spacing w:val="2"/>
          <w:sz w:val="21"/>
          <w:szCs w:val="21"/>
        </w:rPr>
        <w:t>(签字)</w:t>
      </w:r>
    </w:p>
    <w:p w14:paraId="24481832">
      <w:pPr>
        <w:pStyle w:val="2"/>
        <w:spacing w:before="161" w:line="229" w:lineRule="auto"/>
        <w:ind w:left="3059"/>
        <w:rPr>
          <w:sz w:val="21"/>
          <w:szCs w:val="21"/>
        </w:rPr>
      </w:pPr>
      <w:r>
        <w:rPr>
          <w:spacing w:val="-17"/>
          <w:sz w:val="21"/>
          <w:szCs w:val="21"/>
        </w:rPr>
        <w:t>地</w:t>
      </w:r>
      <w:r>
        <w:rPr>
          <w:spacing w:val="5"/>
          <w:sz w:val="21"/>
          <w:szCs w:val="21"/>
        </w:rPr>
        <w:t xml:space="preserve">    </w:t>
      </w:r>
      <w:r>
        <w:rPr>
          <w:spacing w:val="-17"/>
          <w:sz w:val="21"/>
          <w:szCs w:val="21"/>
        </w:rPr>
        <w:t>址：</w:t>
      </w:r>
      <w:r>
        <w:rPr>
          <w:sz w:val="21"/>
          <w:szCs w:val="21"/>
          <w:u w:val="single" w:color="auto"/>
        </w:rPr>
        <w:t xml:space="preserve">                           </w:t>
      </w:r>
    </w:p>
    <w:p w14:paraId="4326BB09">
      <w:pPr>
        <w:pStyle w:val="2"/>
        <w:spacing w:before="140" w:line="219" w:lineRule="auto"/>
        <w:ind w:left="3059"/>
        <w:rPr>
          <w:sz w:val="23"/>
          <w:szCs w:val="23"/>
        </w:rPr>
      </w:pPr>
      <w:r>
        <w:rPr>
          <w:spacing w:val="-11"/>
          <w:sz w:val="23"/>
          <w:szCs w:val="23"/>
        </w:rPr>
        <w:t>邮政编码：</w:t>
      </w:r>
      <w:r>
        <w:rPr>
          <w:spacing w:val="-11"/>
          <w:sz w:val="23"/>
          <w:szCs w:val="23"/>
          <w:u w:val="single" w:color="auto"/>
        </w:rPr>
        <w:t xml:space="preserve">                            </w:t>
      </w:r>
    </w:p>
    <w:p w14:paraId="21C0AC9F">
      <w:pPr>
        <w:pStyle w:val="2"/>
        <w:spacing w:before="139" w:line="221" w:lineRule="auto"/>
        <w:ind w:left="3059"/>
        <w:rPr>
          <w:sz w:val="21"/>
          <w:szCs w:val="21"/>
        </w:rPr>
      </w:pPr>
      <w:r>
        <w:rPr>
          <w:spacing w:val="-14"/>
          <w:sz w:val="21"/>
          <w:szCs w:val="21"/>
        </w:rPr>
        <w:t>电</w:t>
      </w:r>
      <w:r>
        <w:rPr>
          <w:spacing w:val="5"/>
          <w:sz w:val="21"/>
          <w:szCs w:val="21"/>
        </w:rPr>
        <w:t xml:space="preserve">    </w:t>
      </w:r>
      <w:r>
        <w:rPr>
          <w:spacing w:val="-14"/>
          <w:sz w:val="21"/>
          <w:szCs w:val="21"/>
        </w:rPr>
        <w:t>话：</w:t>
      </w:r>
      <w:r>
        <w:rPr>
          <w:spacing w:val="-75"/>
          <w:sz w:val="21"/>
          <w:szCs w:val="21"/>
        </w:rPr>
        <w:t xml:space="preserve"> </w:t>
      </w:r>
      <w:r>
        <w:rPr>
          <w:sz w:val="21"/>
          <w:szCs w:val="21"/>
          <w:u w:val="single" w:color="auto"/>
        </w:rPr>
        <w:t xml:space="preserve">                             </w:t>
      </w:r>
    </w:p>
    <w:p w14:paraId="4DA70389">
      <w:pPr>
        <w:pStyle w:val="2"/>
        <w:spacing w:before="175" w:line="219" w:lineRule="auto"/>
        <w:ind w:left="3059"/>
        <w:rPr>
          <w:sz w:val="21"/>
          <w:szCs w:val="21"/>
        </w:rPr>
      </w:pPr>
      <w:r>
        <w:rPr>
          <w:spacing w:val="-14"/>
          <w:sz w:val="21"/>
          <w:szCs w:val="21"/>
        </w:rPr>
        <w:t>传</w:t>
      </w:r>
      <w:r>
        <w:rPr>
          <w:spacing w:val="12"/>
          <w:sz w:val="21"/>
          <w:szCs w:val="21"/>
        </w:rPr>
        <w:t xml:space="preserve">    </w:t>
      </w:r>
      <w:r>
        <w:rPr>
          <w:spacing w:val="-14"/>
          <w:sz w:val="21"/>
          <w:szCs w:val="21"/>
        </w:rPr>
        <w:t>真：</w:t>
      </w:r>
      <w:r>
        <w:rPr>
          <w:sz w:val="21"/>
          <w:szCs w:val="21"/>
          <w:u w:val="single" w:color="auto"/>
        </w:rPr>
        <w:t xml:space="preserve">                             </w:t>
      </w:r>
    </w:p>
    <w:p w14:paraId="5D15BCA3">
      <w:pPr>
        <w:spacing w:line="308" w:lineRule="auto"/>
        <w:rPr>
          <w:rFonts w:ascii="Arial"/>
          <w:sz w:val="21"/>
        </w:rPr>
      </w:pPr>
    </w:p>
    <w:p w14:paraId="5BFCC31F">
      <w:pPr>
        <w:tabs>
          <w:tab w:val="left" w:pos="5379"/>
        </w:tabs>
        <w:spacing w:before="75" w:line="232" w:lineRule="auto"/>
        <w:ind w:left="4429"/>
        <w:rPr>
          <w:rFonts w:ascii="黑体" w:hAnsi="黑体" w:eastAsia="黑体" w:cs="黑体"/>
          <w:sz w:val="19"/>
          <w:szCs w:val="19"/>
        </w:rPr>
      </w:pPr>
      <w:r>
        <w:rPr>
          <w:rFonts w:ascii="黑体" w:hAnsi="黑体" w:eastAsia="黑体" w:cs="黑体"/>
          <w:sz w:val="23"/>
          <w:szCs w:val="23"/>
          <w:u w:val="single" w:color="auto"/>
        </w:rPr>
        <w:tab/>
      </w:r>
      <w:r>
        <w:rPr>
          <w:rFonts w:ascii="黑体" w:hAnsi="黑体" w:eastAsia="黑体" w:cs="黑体"/>
          <w:spacing w:val="-6"/>
          <w:w w:val="62"/>
          <w:sz w:val="23"/>
          <w:szCs w:val="23"/>
        </w:rPr>
        <w:t>年_</w:t>
      </w:r>
      <w:r>
        <w:rPr>
          <w:rFonts w:ascii="黑体" w:hAnsi="黑体" w:eastAsia="黑体" w:cs="黑体"/>
          <w:spacing w:val="-97"/>
          <w:sz w:val="23"/>
          <w:szCs w:val="23"/>
        </w:rPr>
        <w:t xml:space="preserve"> </w:t>
      </w:r>
      <w:r>
        <w:rPr>
          <w:rFonts w:ascii="黑体" w:hAnsi="黑体" w:eastAsia="黑体" w:cs="黑体"/>
          <w:spacing w:val="11"/>
          <w:sz w:val="23"/>
          <w:szCs w:val="23"/>
          <w:u w:val="single" w:color="auto"/>
        </w:rPr>
        <w:t xml:space="preserve">     </w:t>
      </w:r>
      <w:r>
        <w:rPr>
          <w:rFonts w:ascii="黑体" w:hAnsi="黑体" w:eastAsia="黑体" w:cs="黑体"/>
          <w:spacing w:val="-7"/>
          <w:position w:val="-1"/>
          <w:sz w:val="22"/>
          <w:szCs w:val="22"/>
        </w:rPr>
        <w:t>月</w:t>
      </w:r>
      <w:r>
        <w:rPr>
          <w:rFonts w:ascii="黑体" w:hAnsi="黑体" w:eastAsia="黑体" w:cs="黑体"/>
          <w:spacing w:val="-106"/>
          <w:position w:val="-1"/>
          <w:sz w:val="22"/>
          <w:szCs w:val="22"/>
        </w:rPr>
        <w:t xml:space="preserve"> </w:t>
      </w:r>
      <w:r>
        <w:rPr>
          <w:rFonts w:ascii="黑体" w:hAnsi="黑体" w:eastAsia="黑体" w:cs="黑体"/>
          <w:spacing w:val="16"/>
          <w:position w:val="-1"/>
          <w:sz w:val="22"/>
          <w:szCs w:val="22"/>
          <w:u w:val="single" w:color="auto"/>
        </w:rPr>
        <w:t xml:space="preserve">     </w:t>
      </w:r>
      <w:r>
        <w:rPr>
          <w:rFonts w:ascii="黑体" w:hAnsi="黑体" w:eastAsia="黑体" w:cs="黑体"/>
          <w:spacing w:val="-80"/>
          <w:position w:val="-1"/>
          <w:sz w:val="22"/>
          <w:szCs w:val="22"/>
        </w:rPr>
        <w:t xml:space="preserve"> </w:t>
      </w:r>
      <w:r>
        <w:rPr>
          <w:rFonts w:ascii="黑体" w:hAnsi="黑体" w:eastAsia="黑体" w:cs="黑体"/>
          <w:spacing w:val="-7"/>
          <w:position w:val="1"/>
          <w:sz w:val="19"/>
          <w:szCs w:val="19"/>
        </w:rPr>
        <w:t>日</w:t>
      </w:r>
    </w:p>
    <w:p w14:paraId="67834747">
      <w:pPr>
        <w:spacing w:line="232" w:lineRule="auto"/>
        <w:rPr>
          <w:rFonts w:ascii="黑体" w:hAnsi="黑体" w:eastAsia="黑体" w:cs="黑体"/>
          <w:sz w:val="19"/>
          <w:szCs w:val="19"/>
        </w:rPr>
        <w:sectPr>
          <w:footerReference r:id="rId282" w:type="default"/>
          <w:pgSz w:w="11910" w:h="16840"/>
          <w:pgMar w:top="400" w:right="1322" w:bottom="1024" w:left="1440" w:header="0" w:footer="889" w:gutter="0"/>
          <w:cols w:space="720" w:num="1"/>
        </w:sectPr>
      </w:pPr>
    </w:p>
    <w:p w14:paraId="00A024D4">
      <w:pPr>
        <w:spacing w:line="253" w:lineRule="auto"/>
        <w:rPr>
          <w:rFonts w:ascii="Arial"/>
          <w:sz w:val="21"/>
        </w:rPr>
      </w:pPr>
    </w:p>
    <w:p w14:paraId="4CC915BF">
      <w:pPr>
        <w:spacing w:line="253" w:lineRule="auto"/>
        <w:rPr>
          <w:rFonts w:ascii="Arial"/>
          <w:sz w:val="21"/>
        </w:rPr>
      </w:pPr>
    </w:p>
    <w:p w14:paraId="0B9836B3">
      <w:pPr>
        <w:spacing w:line="253" w:lineRule="auto"/>
        <w:rPr>
          <w:rFonts w:ascii="Arial"/>
          <w:sz w:val="21"/>
        </w:rPr>
      </w:pPr>
    </w:p>
    <w:p w14:paraId="4161439D">
      <w:pPr>
        <w:spacing w:line="253" w:lineRule="auto"/>
        <w:rPr>
          <w:rFonts w:ascii="Arial"/>
          <w:sz w:val="21"/>
        </w:rPr>
      </w:pPr>
    </w:p>
    <w:p w14:paraId="4433A884">
      <w:pPr>
        <w:spacing w:line="253" w:lineRule="auto"/>
        <w:rPr>
          <w:rFonts w:ascii="Arial"/>
          <w:sz w:val="21"/>
        </w:rPr>
      </w:pPr>
    </w:p>
    <w:p w14:paraId="4A3BD781">
      <w:pPr>
        <w:spacing w:line="254" w:lineRule="auto"/>
        <w:rPr>
          <w:rFonts w:ascii="Arial"/>
          <w:sz w:val="21"/>
        </w:rPr>
      </w:pPr>
    </w:p>
    <w:p w14:paraId="37C7573A">
      <w:pPr>
        <w:spacing w:before="68" w:line="224" w:lineRule="auto"/>
        <w:ind w:left="3"/>
        <w:rPr>
          <w:rFonts w:ascii="黑体" w:hAnsi="黑体" w:eastAsia="黑体" w:cs="黑体"/>
          <w:sz w:val="21"/>
          <w:szCs w:val="21"/>
        </w:rPr>
      </w:pPr>
      <w:r>
        <w:rPr>
          <w:rFonts w:ascii="黑体" w:hAnsi="黑体" w:eastAsia="黑体" w:cs="黑体"/>
          <w:b/>
          <w:bCs/>
          <w:spacing w:val="37"/>
          <w:sz w:val="21"/>
          <w:szCs w:val="21"/>
        </w:rPr>
        <w:t>附件10:支付担保</w:t>
      </w:r>
    </w:p>
    <w:p w14:paraId="7A091289">
      <w:pPr>
        <w:spacing w:before="227" w:line="224" w:lineRule="auto"/>
        <w:ind w:left="3894"/>
        <w:rPr>
          <w:rFonts w:ascii="黑体" w:hAnsi="黑体" w:eastAsia="黑体" w:cs="黑体"/>
          <w:sz w:val="29"/>
          <w:szCs w:val="29"/>
        </w:rPr>
      </w:pPr>
      <w:r>
        <w:rPr>
          <w:rFonts w:ascii="黑体" w:hAnsi="黑体" w:eastAsia="黑体" w:cs="黑体"/>
          <w:b/>
          <w:bCs/>
          <w:spacing w:val="-3"/>
          <w:sz w:val="29"/>
          <w:szCs w:val="29"/>
        </w:rPr>
        <w:t>支付担保</w:t>
      </w:r>
    </w:p>
    <w:p w14:paraId="4C3927E3">
      <w:pPr>
        <w:pStyle w:val="2"/>
        <w:tabs>
          <w:tab w:val="left" w:pos="1418"/>
        </w:tabs>
        <w:spacing w:before="297" w:line="219" w:lineRule="auto"/>
        <w:rPr>
          <w:sz w:val="20"/>
          <w:szCs w:val="20"/>
        </w:rPr>
      </w:pPr>
      <w:r>
        <w:rPr>
          <w:sz w:val="20"/>
          <w:szCs w:val="20"/>
          <w:u w:val="single" w:color="auto"/>
        </w:rPr>
        <w:tab/>
      </w:r>
      <w:r>
        <w:rPr>
          <w:spacing w:val="-18"/>
          <w:sz w:val="20"/>
          <w:szCs w:val="20"/>
        </w:rPr>
        <w:t xml:space="preserve"> </w:t>
      </w:r>
      <w:r>
        <w:rPr>
          <w:spacing w:val="8"/>
          <w:sz w:val="20"/>
          <w:szCs w:val="20"/>
        </w:rPr>
        <w:t>(承包人):</w:t>
      </w:r>
    </w:p>
    <w:p w14:paraId="03D9FD5C">
      <w:pPr>
        <w:spacing w:line="413" w:lineRule="auto"/>
        <w:rPr>
          <w:rFonts w:ascii="Arial"/>
          <w:sz w:val="21"/>
        </w:rPr>
      </w:pPr>
    </w:p>
    <w:p w14:paraId="4189F085">
      <w:pPr>
        <w:pStyle w:val="2"/>
        <w:spacing w:before="69" w:line="355" w:lineRule="auto"/>
        <w:ind w:firstLine="429"/>
        <w:rPr>
          <w:sz w:val="21"/>
          <w:szCs w:val="21"/>
        </w:rPr>
      </w:pPr>
      <w:r>
        <w:rPr>
          <w:spacing w:val="-8"/>
          <w:sz w:val="21"/>
          <w:szCs w:val="21"/>
        </w:rPr>
        <w:t>鉴于你方作为承包人已经与</w:t>
      </w:r>
      <w:r>
        <w:rPr>
          <w:spacing w:val="-87"/>
          <w:sz w:val="21"/>
          <w:szCs w:val="21"/>
        </w:rPr>
        <w:t xml:space="preserve"> </w:t>
      </w:r>
      <w:r>
        <w:rPr>
          <w:spacing w:val="1"/>
          <w:sz w:val="21"/>
          <w:szCs w:val="21"/>
          <w:u w:val="single" w:color="auto"/>
        </w:rPr>
        <w:t xml:space="preserve">          </w:t>
      </w:r>
      <w:r>
        <w:rPr>
          <w:spacing w:val="-85"/>
          <w:sz w:val="21"/>
          <w:szCs w:val="21"/>
        </w:rPr>
        <w:t xml:space="preserve"> </w:t>
      </w:r>
      <w:r>
        <w:rPr>
          <w:spacing w:val="-8"/>
          <w:sz w:val="21"/>
          <w:szCs w:val="21"/>
        </w:rPr>
        <w:t>_</w:t>
      </w:r>
      <w:r>
        <w:rPr>
          <w:spacing w:val="-62"/>
          <w:sz w:val="21"/>
          <w:szCs w:val="21"/>
        </w:rPr>
        <w:t xml:space="preserve"> </w:t>
      </w:r>
      <w:r>
        <w:rPr>
          <w:spacing w:val="-8"/>
          <w:sz w:val="21"/>
          <w:szCs w:val="21"/>
        </w:rPr>
        <w:t>(发包人名称)(以下称“发包人”)于</w:t>
      </w:r>
      <w:r>
        <w:rPr>
          <w:spacing w:val="-97"/>
          <w:sz w:val="21"/>
          <w:szCs w:val="21"/>
        </w:rPr>
        <w:t xml:space="preserve"> </w:t>
      </w:r>
      <w:r>
        <w:rPr>
          <w:spacing w:val="25"/>
          <w:sz w:val="21"/>
          <w:szCs w:val="21"/>
          <w:u w:val="single" w:color="auto"/>
        </w:rPr>
        <w:t xml:space="preserve">   </w:t>
      </w:r>
      <w:r>
        <w:rPr>
          <w:spacing w:val="-85"/>
          <w:sz w:val="21"/>
          <w:szCs w:val="21"/>
        </w:rPr>
        <w:t xml:space="preserve"> </w:t>
      </w:r>
      <w:r>
        <w:rPr>
          <w:spacing w:val="-8"/>
          <w:sz w:val="21"/>
          <w:szCs w:val="21"/>
        </w:rPr>
        <w:t>年</w:t>
      </w:r>
      <w:r>
        <w:rPr>
          <w:spacing w:val="-96"/>
          <w:sz w:val="21"/>
          <w:szCs w:val="21"/>
        </w:rPr>
        <w:t xml:space="preserve"> </w:t>
      </w:r>
      <w:r>
        <w:rPr>
          <w:spacing w:val="-8"/>
          <w:sz w:val="21"/>
          <w:szCs w:val="21"/>
          <w:u w:val="single" w:color="auto"/>
        </w:rPr>
        <w:t xml:space="preserve">     月    </w:t>
      </w:r>
      <w:r>
        <w:rPr>
          <w:spacing w:val="-85"/>
          <w:sz w:val="21"/>
          <w:szCs w:val="21"/>
        </w:rPr>
        <w:t xml:space="preserve"> </w:t>
      </w:r>
      <w:r>
        <w:rPr>
          <w:spacing w:val="-8"/>
          <w:sz w:val="21"/>
          <w:szCs w:val="21"/>
        </w:rPr>
        <w:t>日</w:t>
      </w:r>
      <w:r>
        <w:rPr>
          <w:sz w:val="21"/>
          <w:szCs w:val="21"/>
        </w:rPr>
        <w:t xml:space="preserve"> 签订了</w:t>
      </w:r>
      <w:r>
        <w:rPr>
          <w:spacing w:val="-103"/>
          <w:sz w:val="21"/>
          <w:szCs w:val="21"/>
        </w:rPr>
        <w:t xml:space="preserve"> </w:t>
      </w:r>
      <w:r>
        <w:rPr>
          <w:sz w:val="21"/>
          <w:szCs w:val="21"/>
          <w:u w:val="single" w:color="auto"/>
        </w:rPr>
        <w:t xml:space="preserve">             </w:t>
      </w:r>
      <w:r>
        <w:rPr>
          <w:sz w:val="21"/>
          <w:szCs w:val="21"/>
        </w:rPr>
        <w:t xml:space="preserve"> (工程名称)《建设工程施工合同》(以下称“主合同”),应发包人的</w:t>
      </w:r>
      <w:r>
        <w:rPr>
          <w:spacing w:val="-1"/>
          <w:sz w:val="21"/>
          <w:szCs w:val="21"/>
        </w:rPr>
        <w:t>申请，</w:t>
      </w:r>
    </w:p>
    <w:p w14:paraId="6352961B">
      <w:pPr>
        <w:pStyle w:val="2"/>
        <w:spacing w:line="218" w:lineRule="auto"/>
        <w:rPr>
          <w:sz w:val="21"/>
          <w:szCs w:val="21"/>
        </w:rPr>
      </w:pPr>
      <w:r>
        <w:rPr>
          <w:spacing w:val="-2"/>
          <w:sz w:val="21"/>
          <w:szCs w:val="21"/>
        </w:rPr>
        <w:t>我方愿就发包人履行主合同约定的工程款支付义务以保证的方式向你方提供如下担保：</w:t>
      </w:r>
    </w:p>
    <w:p w14:paraId="080C6304">
      <w:pPr>
        <w:spacing w:before="147" w:line="222" w:lineRule="auto"/>
        <w:ind w:left="432"/>
        <w:rPr>
          <w:rFonts w:ascii="黑体" w:hAnsi="黑体" w:eastAsia="黑体" w:cs="黑体"/>
          <w:sz w:val="21"/>
          <w:szCs w:val="21"/>
        </w:rPr>
      </w:pPr>
      <w:r>
        <w:rPr>
          <w:rFonts w:ascii="黑体" w:hAnsi="黑体" w:eastAsia="黑体" w:cs="黑体"/>
          <w:b/>
          <w:bCs/>
          <w:spacing w:val="-4"/>
          <w:sz w:val="21"/>
          <w:szCs w:val="21"/>
        </w:rPr>
        <w:t>一、保证的范围及保证金额</w:t>
      </w:r>
    </w:p>
    <w:p w14:paraId="6FB2A1FE">
      <w:pPr>
        <w:pStyle w:val="2"/>
        <w:spacing w:before="173" w:line="220" w:lineRule="auto"/>
        <w:ind w:left="429"/>
        <w:rPr>
          <w:sz w:val="21"/>
          <w:szCs w:val="21"/>
        </w:rPr>
      </w:pPr>
      <w:r>
        <w:rPr>
          <w:spacing w:val="-2"/>
          <w:sz w:val="21"/>
          <w:szCs w:val="21"/>
        </w:rPr>
        <w:t>1. 我方的保证范围是主合同约定的工程款。</w:t>
      </w:r>
    </w:p>
    <w:p w14:paraId="35841899">
      <w:pPr>
        <w:pStyle w:val="2"/>
        <w:spacing w:before="157" w:line="218" w:lineRule="auto"/>
        <w:ind w:left="429"/>
        <w:rPr>
          <w:sz w:val="21"/>
          <w:szCs w:val="21"/>
        </w:rPr>
      </w:pPr>
      <w:r>
        <w:rPr>
          <w:sz w:val="21"/>
          <w:szCs w:val="21"/>
        </w:rPr>
        <w:t>2. 本保函所称主合同约定的工程款是指主合同约定的除工程质量保证金以外的合同价款。</w:t>
      </w:r>
    </w:p>
    <w:p w14:paraId="1151BE00">
      <w:pPr>
        <w:pStyle w:val="2"/>
        <w:spacing w:before="141" w:line="302" w:lineRule="auto"/>
        <w:ind w:right="1005" w:firstLine="429"/>
        <w:rPr>
          <w:sz w:val="21"/>
          <w:szCs w:val="21"/>
        </w:rPr>
      </w:pPr>
      <w:r>
        <w:rPr>
          <w:spacing w:val="6"/>
          <w:sz w:val="21"/>
          <w:szCs w:val="21"/>
        </w:rPr>
        <w:t>3. 我方保证的金额是主合同约定的工程款的</w:t>
      </w:r>
      <w:r>
        <w:rPr>
          <w:spacing w:val="-102"/>
          <w:sz w:val="21"/>
          <w:szCs w:val="21"/>
        </w:rPr>
        <w:t xml:space="preserve"> </w:t>
      </w:r>
      <w:r>
        <w:rPr>
          <w:spacing w:val="6"/>
          <w:sz w:val="21"/>
          <w:szCs w:val="21"/>
          <w:u w:val="single" w:color="auto"/>
        </w:rPr>
        <w:t xml:space="preserve">    </w:t>
      </w:r>
      <w:r>
        <w:rPr>
          <w:spacing w:val="5"/>
          <w:sz w:val="21"/>
          <w:szCs w:val="21"/>
          <w:u w:val="single" w:color="auto"/>
        </w:rPr>
        <w:t xml:space="preserve">  </w:t>
      </w:r>
      <w:r>
        <w:rPr>
          <w:spacing w:val="5"/>
          <w:sz w:val="21"/>
          <w:szCs w:val="21"/>
        </w:rPr>
        <w:t>%,数额最高不超过人民币元(大</w:t>
      </w:r>
      <w:r>
        <w:rPr>
          <w:sz w:val="21"/>
          <w:szCs w:val="21"/>
        </w:rPr>
        <w:t xml:space="preserve"> </w:t>
      </w:r>
      <w:r>
        <w:rPr>
          <w:spacing w:val="-9"/>
          <w:sz w:val="21"/>
          <w:szCs w:val="21"/>
        </w:rPr>
        <w:t>写：</w:t>
      </w:r>
      <w:r>
        <w:rPr>
          <w:spacing w:val="1"/>
          <w:sz w:val="21"/>
          <w:szCs w:val="21"/>
          <w:u w:val="single" w:color="auto"/>
        </w:rPr>
        <w:t xml:space="preserve">        </w:t>
      </w:r>
      <w:r>
        <w:rPr>
          <w:spacing w:val="-52"/>
          <w:sz w:val="21"/>
          <w:szCs w:val="21"/>
        </w:rPr>
        <w:t xml:space="preserve"> </w:t>
      </w:r>
      <w:r>
        <w:rPr>
          <w:spacing w:val="-9"/>
          <w:sz w:val="21"/>
          <w:szCs w:val="21"/>
        </w:rPr>
        <w:t>)。</w:t>
      </w:r>
    </w:p>
    <w:p w14:paraId="33B40319">
      <w:pPr>
        <w:spacing w:before="161" w:line="221" w:lineRule="auto"/>
        <w:ind w:left="432"/>
        <w:rPr>
          <w:rFonts w:ascii="黑体" w:hAnsi="黑体" w:eastAsia="黑体" w:cs="黑体"/>
          <w:sz w:val="21"/>
          <w:szCs w:val="21"/>
        </w:rPr>
      </w:pPr>
      <w:r>
        <w:rPr>
          <w:rFonts w:ascii="黑体" w:hAnsi="黑体" w:eastAsia="黑体" w:cs="黑体"/>
          <w:b/>
          <w:bCs/>
          <w:spacing w:val="-2"/>
          <w:sz w:val="21"/>
          <w:szCs w:val="21"/>
        </w:rPr>
        <w:t>二、保证的方式及保证期间</w:t>
      </w:r>
    </w:p>
    <w:p w14:paraId="05B001DE">
      <w:pPr>
        <w:pStyle w:val="2"/>
        <w:spacing w:before="154" w:line="219" w:lineRule="auto"/>
        <w:ind w:left="429"/>
        <w:rPr>
          <w:sz w:val="21"/>
          <w:szCs w:val="21"/>
        </w:rPr>
      </w:pPr>
      <w:r>
        <w:rPr>
          <w:spacing w:val="-2"/>
          <w:sz w:val="21"/>
          <w:szCs w:val="21"/>
        </w:rPr>
        <w:t>1. 我方保证的方式为：连带责任保证。</w:t>
      </w:r>
    </w:p>
    <w:p w14:paraId="75D70EC6">
      <w:pPr>
        <w:pStyle w:val="2"/>
        <w:spacing w:before="139" w:line="295" w:lineRule="auto"/>
        <w:ind w:right="350" w:firstLine="429"/>
        <w:rPr>
          <w:sz w:val="21"/>
          <w:szCs w:val="21"/>
        </w:rPr>
      </w:pPr>
      <w:r>
        <w:rPr>
          <w:spacing w:val="-2"/>
          <w:sz w:val="21"/>
          <w:szCs w:val="21"/>
        </w:rPr>
        <w:t>2. 我方保证的期间为：自本合同生效之日起至主合同约定的工程款支付完毕之日后</w:t>
      </w:r>
      <w:r>
        <w:rPr>
          <w:spacing w:val="-68"/>
          <w:sz w:val="21"/>
          <w:szCs w:val="21"/>
        </w:rPr>
        <w:t xml:space="preserve"> </w:t>
      </w:r>
      <w:r>
        <w:rPr>
          <w:spacing w:val="15"/>
          <w:sz w:val="21"/>
          <w:szCs w:val="21"/>
          <w:u w:val="single" w:color="auto"/>
        </w:rPr>
        <w:t xml:space="preserve">     </w:t>
      </w:r>
      <w:r>
        <w:rPr>
          <w:spacing w:val="-85"/>
          <w:sz w:val="21"/>
          <w:szCs w:val="21"/>
        </w:rPr>
        <w:t xml:space="preserve"> </w:t>
      </w:r>
      <w:r>
        <w:rPr>
          <w:spacing w:val="-2"/>
          <w:sz w:val="21"/>
          <w:szCs w:val="21"/>
        </w:rPr>
        <w:t>日</w:t>
      </w:r>
      <w:r>
        <w:rPr>
          <w:sz w:val="21"/>
          <w:szCs w:val="21"/>
        </w:rPr>
        <w:t xml:space="preserve"> </w:t>
      </w:r>
      <w:r>
        <w:rPr>
          <w:spacing w:val="-17"/>
          <w:sz w:val="21"/>
          <w:szCs w:val="21"/>
        </w:rPr>
        <w:t>内。</w:t>
      </w:r>
    </w:p>
    <w:p w14:paraId="13001C0F">
      <w:pPr>
        <w:pStyle w:val="2"/>
        <w:spacing w:before="158" w:line="295" w:lineRule="auto"/>
        <w:ind w:right="314" w:firstLine="429"/>
        <w:rPr>
          <w:sz w:val="21"/>
          <w:szCs w:val="21"/>
        </w:rPr>
      </w:pPr>
      <w:r>
        <w:rPr>
          <w:sz w:val="21"/>
          <w:szCs w:val="21"/>
        </w:rPr>
        <w:t>3. 你方与发包人协议变更工程款支付日期的，经我方书</w:t>
      </w:r>
      <w:r>
        <w:rPr>
          <w:spacing w:val="-1"/>
          <w:sz w:val="21"/>
          <w:szCs w:val="21"/>
        </w:rPr>
        <w:t>面同意后，保证期间按照变更后的支</w:t>
      </w:r>
      <w:r>
        <w:rPr>
          <w:sz w:val="21"/>
          <w:szCs w:val="21"/>
        </w:rPr>
        <w:t xml:space="preserve"> </w:t>
      </w:r>
      <w:r>
        <w:rPr>
          <w:spacing w:val="-4"/>
          <w:sz w:val="21"/>
          <w:szCs w:val="21"/>
        </w:rPr>
        <w:t>付日期做相应调整。</w:t>
      </w:r>
    </w:p>
    <w:p w14:paraId="55EAACDB">
      <w:pPr>
        <w:spacing w:before="156" w:line="221" w:lineRule="auto"/>
        <w:ind w:left="432"/>
        <w:rPr>
          <w:rFonts w:ascii="黑体" w:hAnsi="黑体" w:eastAsia="黑体" w:cs="黑体"/>
          <w:sz w:val="21"/>
          <w:szCs w:val="21"/>
        </w:rPr>
      </w:pPr>
      <w:r>
        <w:rPr>
          <w:rFonts w:ascii="黑体" w:hAnsi="黑体" w:eastAsia="黑体" w:cs="黑体"/>
          <w:b/>
          <w:bCs/>
          <w:spacing w:val="-2"/>
          <w:sz w:val="21"/>
          <w:szCs w:val="21"/>
        </w:rPr>
        <w:t>三、承担保证责任的形式</w:t>
      </w:r>
    </w:p>
    <w:p w14:paraId="13864ED2">
      <w:pPr>
        <w:pStyle w:val="2"/>
        <w:spacing w:before="154" w:line="359" w:lineRule="auto"/>
        <w:ind w:right="415" w:firstLine="429"/>
        <w:rPr>
          <w:sz w:val="21"/>
          <w:szCs w:val="21"/>
        </w:rPr>
      </w:pPr>
      <w:r>
        <w:rPr>
          <w:sz w:val="21"/>
          <w:szCs w:val="21"/>
        </w:rPr>
        <w:t>我方承担保证责任的形式是代为支付。发包人未按主合同约定向你</w:t>
      </w:r>
      <w:r>
        <w:rPr>
          <w:spacing w:val="-1"/>
          <w:sz w:val="21"/>
          <w:szCs w:val="21"/>
        </w:rPr>
        <w:t>方支付工程款的，由我方</w:t>
      </w:r>
      <w:r>
        <w:rPr>
          <w:sz w:val="21"/>
          <w:szCs w:val="21"/>
        </w:rPr>
        <w:t xml:space="preserve"> </w:t>
      </w:r>
      <w:r>
        <w:rPr>
          <w:spacing w:val="-4"/>
          <w:sz w:val="21"/>
          <w:szCs w:val="21"/>
        </w:rPr>
        <w:t>在保证金额内代为支付。</w:t>
      </w:r>
    </w:p>
    <w:p w14:paraId="28638734">
      <w:pPr>
        <w:spacing w:line="222" w:lineRule="auto"/>
        <w:ind w:left="432"/>
        <w:rPr>
          <w:rFonts w:ascii="黑体" w:hAnsi="黑体" w:eastAsia="黑体" w:cs="黑体"/>
          <w:sz w:val="21"/>
          <w:szCs w:val="21"/>
        </w:rPr>
      </w:pPr>
      <w:r>
        <w:rPr>
          <w:rFonts w:ascii="黑体" w:hAnsi="黑体" w:eastAsia="黑体" w:cs="黑体"/>
          <w:b/>
          <w:bCs/>
          <w:spacing w:val="-2"/>
          <w:sz w:val="21"/>
          <w:szCs w:val="21"/>
        </w:rPr>
        <w:t>四、代偿的安排</w:t>
      </w:r>
    </w:p>
    <w:p w14:paraId="06DC01D2">
      <w:pPr>
        <w:pStyle w:val="2"/>
        <w:spacing w:before="140" w:line="298" w:lineRule="auto"/>
        <w:ind w:right="324" w:firstLine="429"/>
        <w:rPr>
          <w:sz w:val="21"/>
          <w:szCs w:val="21"/>
        </w:rPr>
      </w:pPr>
      <w:r>
        <w:rPr>
          <w:spacing w:val="-1"/>
          <w:sz w:val="21"/>
          <w:szCs w:val="21"/>
        </w:rPr>
        <w:t>1. 你方要求我方承担保证责任的，应向我方发出书面索赔通知及发包人未支付主合同约定工</w:t>
      </w:r>
      <w:r>
        <w:rPr>
          <w:spacing w:val="16"/>
          <w:sz w:val="21"/>
          <w:szCs w:val="21"/>
        </w:rPr>
        <w:t xml:space="preserve"> </w:t>
      </w:r>
      <w:r>
        <w:rPr>
          <w:spacing w:val="-1"/>
          <w:sz w:val="21"/>
          <w:szCs w:val="21"/>
        </w:rPr>
        <w:t>程款的证明材料。索赔通知应写明要求索赔的金额，支付款项应到达的账号。</w:t>
      </w:r>
    </w:p>
    <w:p w14:paraId="245EE365">
      <w:pPr>
        <w:pStyle w:val="2"/>
        <w:spacing w:before="152" w:line="313" w:lineRule="auto"/>
        <w:ind w:right="313" w:firstLine="429"/>
        <w:rPr>
          <w:sz w:val="21"/>
          <w:szCs w:val="21"/>
        </w:rPr>
      </w:pPr>
      <w:r>
        <w:rPr>
          <w:sz w:val="21"/>
          <w:szCs w:val="21"/>
        </w:rPr>
        <w:t>2. 在出现你方与发包人因工程质量发生争议，发包人拒绝向</w:t>
      </w:r>
      <w:r>
        <w:rPr>
          <w:spacing w:val="-1"/>
          <w:sz w:val="21"/>
          <w:szCs w:val="21"/>
        </w:rPr>
        <w:t>你方支付工程款的情形时，你方</w:t>
      </w:r>
      <w:r>
        <w:rPr>
          <w:sz w:val="21"/>
          <w:szCs w:val="21"/>
        </w:rPr>
        <w:t xml:space="preserve"> 要求我方履行保证责任代为支付的，需提供符合相应条件要求的工程质</w:t>
      </w:r>
      <w:r>
        <w:rPr>
          <w:spacing w:val="-1"/>
          <w:sz w:val="21"/>
          <w:szCs w:val="21"/>
        </w:rPr>
        <w:t>量检测机构出具的质量说</w:t>
      </w:r>
      <w:r>
        <w:rPr>
          <w:sz w:val="21"/>
          <w:szCs w:val="21"/>
        </w:rPr>
        <w:t xml:space="preserve">  </w:t>
      </w:r>
      <w:r>
        <w:rPr>
          <w:spacing w:val="-7"/>
          <w:sz w:val="21"/>
          <w:szCs w:val="21"/>
        </w:rPr>
        <w:t>明材料。</w:t>
      </w:r>
    </w:p>
    <w:p w14:paraId="22B7EF9C">
      <w:pPr>
        <w:pStyle w:val="2"/>
        <w:spacing w:before="161" w:line="219" w:lineRule="auto"/>
        <w:ind w:left="429"/>
        <w:rPr>
          <w:sz w:val="21"/>
          <w:szCs w:val="21"/>
        </w:rPr>
      </w:pPr>
      <w:r>
        <w:rPr>
          <w:spacing w:val="3"/>
          <w:sz w:val="21"/>
          <w:szCs w:val="21"/>
        </w:rPr>
        <w:t>3. 我方收到你方的书面索赔通知及相应的证明材料后</w:t>
      </w:r>
      <w:r>
        <w:rPr>
          <w:spacing w:val="2"/>
          <w:sz w:val="21"/>
          <w:szCs w:val="21"/>
        </w:rPr>
        <w:t>7天内无条件支付。</w:t>
      </w:r>
    </w:p>
    <w:p w14:paraId="6FC54646">
      <w:pPr>
        <w:spacing w:before="157" w:line="221" w:lineRule="auto"/>
        <w:ind w:left="432"/>
        <w:rPr>
          <w:rFonts w:ascii="黑体" w:hAnsi="黑体" w:eastAsia="黑体" w:cs="黑体"/>
          <w:sz w:val="21"/>
          <w:szCs w:val="21"/>
        </w:rPr>
      </w:pPr>
      <w:r>
        <w:rPr>
          <w:rFonts w:ascii="黑体" w:hAnsi="黑体" w:eastAsia="黑体" w:cs="黑体"/>
          <w:b/>
          <w:bCs/>
          <w:spacing w:val="-6"/>
          <w:sz w:val="21"/>
          <w:szCs w:val="21"/>
        </w:rPr>
        <w:t>五、保证责任的解除</w:t>
      </w:r>
    </w:p>
    <w:p w14:paraId="1EC9964E">
      <w:pPr>
        <w:pStyle w:val="2"/>
        <w:spacing w:before="172" w:line="286" w:lineRule="auto"/>
        <w:ind w:right="240" w:firstLine="429"/>
        <w:rPr>
          <w:sz w:val="21"/>
          <w:szCs w:val="21"/>
        </w:rPr>
      </w:pPr>
      <w:r>
        <w:rPr>
          <w:spacing w:val="-3"/>
          <w:sz w:val="21"/>
          <w:szCs w:val="21"/>
        </w:rPr>
        <w:t>1. 在本保函承诺的保证期间内，你方未书</w:t>
      </w:r>
      <w:r>
        <w:rPr>
          <w:spacing w:val="-4"/>
          <w:sz w:val="21"/>
          <w:szCs w:val="21"/>
        </w:rPr>
        <w:t>面向我方主张保证责任的，自保证期间届满次日起，</w:t>
      </w:r>
      <w:r>
        <w:rPr>
          <w:sz w:val="21"/>
          <w:szCs w:val="21"/>
        </w:rPr>
        <w:t xml:space="preserve"> </w:t>
      </w:r>
      <w:r>
        <w:rPr>
          <w:spacing w:val="-4"/>
          <w:sz w:val="21"/>
          <w:szCs w:val="21"/>
        </w:rPr>
        <w:t>我方保证责任解除。</w:t>
      </w:r>
    </w:p>
    <w:p w14:paraId="34395408">
      <w:pPr>
        <w:pStyle w:val="2"/>
        <w:spacing w:before="160" w:line="219" w:lineRule="auto"/>
        <w:ind w:left="429"/>
        <w:rPr>
          <w:sz w:val="21"/>
          <w:szCs w:val="21"/>
        </w:rPr>
      </w:pPr>
      <w:r>
        <w:rPr>
          <w:sz w:val="21"/>
          <w:szCs w:val="21"/>
        </w:rPr>
        <w:t>2. 发包人按主合同约定履行了工程款的全部支付义务的，自本保函承诺的</w:t>
      </w:r>
      <w:r>
        <w:rPr>
          <w:spacing w:val="-1"/>
          <w:sz w:val="21"/>
          <w:szCs w:val="21"/>
        </w:rPr>
        <w:t>保证期间届满次日</w:t>
      </w:r>
    </w:p>
    <w:p w14:paraId="63075079">
      <w:pPr>
        <w:spacing w:line="219" w:lineRule="auto"/>
        <w:rPr>
          <w:sz w:val="21"/>
          <w:szCs w:val="21"/>
        </w:rPr>
        <w:sectPr>
          <w:footerReference r:id="rId283" w:type="default"/>
          <w:pgSz w:w="11910" w:h="16840"/>
          <w:pgMar w:top="400" w:right="1234" w:bottom="1024" w:left="1440" w:header="0" w:footer="889" w:gutter="0"/>
          <w:cols w:space="720" w:num="1"/>
        </w:sectPr>
      </w:pPr>
    </w:p>
    <w:p w14:paraId="602B8419">
      <w:pPr>
        <w:spacing w:line="253" w:lineRule="auto"/>
        <w:rPr>
          <w:rFonts w:ascii="Arial"/>
          <w:sz w:val="21"/>
        </w:rPr>
      </w:pPr>
    </w:p>
    <w:p w14:paraId="759319DE">
      <w:pPr>
        <w:spacing w:line="253" w:lineRule="auto"/>
        <w:rPr>
          <w:rFonts w:ascii="Arial"/>
          <w:sz w:val="21"/>
        </w:rPr>
      </w:pPr>
    </w:p>
    <w:p w14:paraId="60C2E77F">
      <w:pPr>
        <w:spacing w:line="253" w:lineRule="auto"/>
        <w:rPr>
          <w:rFonts w:ascii="Arial"/>
          <w:sz w:val="21"/>
        </w:rPr>
      </w:pPr>
    </w:p>
    <w:p w14:paraId="103C328E">
      <w:pPr>
        <w:spacing w:line="253" w:lineRule="auto"/>
        <w:rPr>
          <w:rFonts w:ascii="Arial"/>
          <w:sz w:val="21"/>
        </w:rPr>
      </w:pPr>
    </w:p>
    <w:p w14:paraId="30E17FE7">
      <w:pPr>
        <w:spacing w:line="253" w:lineRule="auto"/>
        <w:rPr>
          <w:rFonts w:ascii="Arial"/>
          <w:sz w:val="21"/>
        </w:rPr>
      </w:pPr>
    </w:p>
    <w:p w14:paraId="39AABC80">
      <w:pPr>
        <w:pStyle w:val="2"/>
        <w:spacing w:before="65" w:line="219" w:lineRule="auto"/>
        <w:rPr>
          <w:sz w:val="20"/>
          <w:szCs w:val="20"/>
        </w:rPr>
      </w:pPr>
      <w:r>
        <w:rPr>
          <w:spacing w:val="7"/>
          <w:sz w:val="20"/>
          <w:szCs w:val="20"/>
        </w:rPr>
        <w:t>起，我方保证责任解除。</w:t>
      </w:r>
    </w:p>
    <w:p w14:paraId="688739E1">
      <w:pPr>
        <w:pStyle w:val="2"/>
        <w:spacing w:before="192" w:line="285" w:lineRule="auto"/>
        <w:ind w:right="37" w:firstLine="419"/>
        <w:rPr>
          <w:sz w:val="20"/>
          <w:szCs w:val="20"/>
        </w:rPr>
      </w:pPr>
      <w:r>
        <w:rPr>
          <w:spacing w:val="9"/>
          <w:sz w:val="20"/>
          <w:szCs w:val="20"/>
        </w:rPr>
        <w:t>3. 我方按照本保函向你方履行保证责任所支付金额达到本保函保证金额时，自我方向你方支</w:t>
      </w:r>
      <w:r>
        <w:rPr>
          <w:spacing w:val="12"/>
          <w:sz w:val="20"/>
          <w:szCs w:val="20"/>
        </w:rPr>
        <w:t xml:space="preserve"> </w:t>
      </w:r>
      <w:r>
        <w:rPr>
          <w:spacing w:val="16"/>
          <w:sz w:val="20"/>
          <w:szCs w:val="20"/>
        </w:rPr>
        <w:t>付(支付款项从我方账户划出)之日起，保证责任即解除。</w:t>
      </w:r>
    </w:p>
    <w:p w14:paraId="2FDF372F">
      <w:pPr>
        <w:pStyle w:val="2"/>
        <w:spacing w:before="172" w:line="299" w:lineRule="auto"/>
        <w:ind w:right="39" w:firstLine="419"/>
        <w:rPr>
          <w:sz w:val="20"/>
          <w:szCs w:val="20"/>
        </w:rPr>
      </w:pPr>
      <w:r>
        <w:rPr>
          <w:spacing w:val="9"/>
          <w:sz w:val="20"/>
          <w:szCs w:val="20"/>
        </w:rPr>
        <w:t xml:space="preserve">4. 按照法律法规的规定或出现应解除我方保证责任的其他情形的，我方在本保函项下的保证 </w:t>
      </w:r>
      <w:r>
        <w:rPr>
          <w:spacing w:val="3"/>
          <w:sz w:val="20"/>
          <w:szCs w:val="20"/>
        </w:rPr>
        <w:t>责任亦解除。</w:t>
      </w:r>
    </w:p>
    <w:p w14:paraId="5CA2ED0F">
      <w:pPr>
        <w:spacing w:line="253" w:lineRule="auto"/>
        <w:rPr>
          <w:rFonts w:ascii="Arial"/>
          <w:sz w:val="21"/>
        </w:rPr>
      </w:pPr>
    </w:p>
    <w:p w14:paraId="2A2AB61A">
      <w:pPr>
        <w:spacing w:line="253" w:lineRule="auto"/>
        <w:rPr>
          <w:rFonts w:ascii="Arial"/>
          <w:sz w:val="21"/>
        </w:rPr>
      </w:pPr>
    </w:p>
    <w:p w14:paraId="2BDB5C10">
      <w:pPr>
        <w:pStyle w:val="2"/>
        <w:spacing w:before="65" w:line="304" w:lineRule="auto"/>
        <w:ind w:right="41" w:firstLine="419"/>
        <w:rPr>
          <w:sz w:val="20"/>
          <w:szCs w:val="20"/>
        </w:rPr>
      </w:pPr>
      <w:r>
        <w:rPr>
          <w:spacing w:val="9"/>
          <w:sz w:val="20"/>
          <w:szCs w:val="20"/>
        </w:rPr>
        <w:t>5. 我方解除保证责任后，你方应自我方保</w:t>
      </w:r>
      <w:r>
        <w:rPr>
          <w:spacing w:val="8"/>
          <w:sz w:val="20"/>
          <w:szCs w:val="20"/>
        </w:rPr>
        <w:t>证责任解除之日起</w:t>
      </w:r>
      <w:r>
        <w:rPr>
          <w:spacing w:val="-90"/>
          <w:sz w:val="20"/>
          <w:szCs w:val="20"/>
        </w:rPr>
        <w:t xml:space="preserve"> </w:t>
      </w:r>
      <w:r>
        <w:rPr>
          <w:spacing w:val="5"/>
          <w:sz w:val="20"/>
          <w:szCs w:val="20"/>
          <w:u w:val="dotted" w:color="auto"/>
        </w:rPr>
        <w:t xml:space="preserve">  </w:t>
      </w:r>
      <w:r>
        <w:rPr>
          <w:spacing w:val="-83"/>
          <w:sz w:val="20"/>
          <w:szCs w:val="20"/>
        </w:rPr>
        <w:t xml:space="preserve"> </w:t>
      </w:r>
      <w:r>
        <w:rPr>
          <w:spacing w:val="8"/>
          <w:sz w:val="20"/>
          <w:szCs w:val="20"/>
        </w:rPr>
        <w:t>个工作日内，将本保函原件返</w:t>
      </w:r>
      <w:r>
        <w:rPr>
          <w:sz w:val="20"/>
          <w:szCs w:val="20"/>
        </w:rPr>
        <w:t xml:space="preserve"> </w:t>
      </w:r>
      <w:r>
        <w:rPr>
          <w:spacing w:val="4"/>
          <w:sz w:val="20"/>
          <w:szCs w:val="20"/>
        </w:rPr>
        <w:t>还我方。</w:t>
      </w:r>
    </w:p>
    <w:p w14:paraId="29372314">
      <w:pPr>
        <w:spacing w:before="164" w:line="221" w:lineRule="auto"/>
        <w:ind w:left="422"/>
        <w:rPr>
          <w:rFonts w:ascii="黑体" w:hAnsi="黑体" w:eastAsia="黑体" w:cs="黑体"/>
          <w:sz w:val="20"/>
          <w:szCs w:val="20"/>
        </w:rPr>
      </w:pPr>
      <w:r>
        <w:rPr>
          <w:rFonts w:ascii="黑体" w:hAnsi="黑体" w:eastAsia="黑体" w:cs="黑体"/>
          <w:b/>
          <w:bCs/>
          <w:spacing w:val="7"/>
          <w:sz w:val="20"/>
          <w:szCs w:val="20"/>
        </w:rPr>
        <w:t>六、免责条款</w:t>
      </w:r>
    </w:p>
    <w:p w14:paraId="51857B9D">
      <w:pPr>
        <w:pStyle w:val="2"/>
        <w:spacing w:before="185" w:line="219" w:lineRule="auto"/>
        <w:ind w:left="419"/>
        <w:rPr>
          <w:sz w:val="20"/>
          <w:szCs w:val="20"/>
        </w:rPr>
      </w:pPr>
      <w:r>
        <w:rPr>
          <w:spacing w:val="10"/>
          <w:sz w:val="20"/>
          <w:szCs w:val="20"/>
        </w:rPr>
        <w:t>1.</w:t>
      </w:r>
      <w:r>
        <w:rPr>
          <w:spacing w:val="-32"/>
          <w:sz w:val="20"/>
          <w:szCs w:val="20"/>
        </w:rPr>
        <w:t xml:space="preserve"> </w:t>
      </w:r>
      <w:r>
        <w:rPr>
          <w:spacing w:val="10"/>
          <w:sz w:val="20"/>
          <w:szCs w:val="20"/>
        </w:rPr>
        <w:t>因你方违约致使发包人不能履行义务的，我方不承担保证责任。</w:t>
      </w:r>
    </w:p>
    <w:p w14:paraId="3A1CB36F">
      <w:pPr>
        <w:pStyle w:val="2"/>
        <w:spacing w:before="162" w:line="299" w:lineRule="auto"/>
        <w:ind w:right="34" w:firstLine="419"/>
        <w:rPr>
          <w:sz w:val="20"/>
          <w:szCs w:val="20"/>
        </w:rPr>
      </w:pPr>
      <w:r>
        <w:rPr>
          <w:spacing w:val="9"/>
          <w:sz w:val="20"/>
          <w:szCs w:val="20"/>
        </w:rPr>
        <w:t>2. 依照法律法规的规定或你方与发包人的另行约定，免除发包人部分或全部义务的，我方亦</w:t>
      </w:r>
      <w:r>
        <w:rPr>
          <w:spacing w:val="14"/>
          <w:sz w:val="20"/>
          <w:szCs w:val="20"/>
        </w:rPr>
        <w:t xml:space="preserve"> </w:t>
      </w:r>
      <w:r>
        <w:rPr>
          <w:spacing w:val="7"/>
          <w:sz w:val="20"/>
          <w:szCs w:val="20"/>
        </w:rPr>
        <w:t>免除其相应的保证责任。</w:t>
      </w:r>
    </w:p>
    <w:p w14:paraId="567D7759">
      <w:pPr>
        <w:pStyle w:val="2"/>
        <w:spacing w:before="153" w:line="325" w:lineRule="auto"/>
        <w:ind w:firstLine="419"/>
        <w:rPr>
          <w:sz w:val="20"/>
          <w:szCs w:val="20"/>
        </w:rPr>
      </w:pPr>
      <w:r>
        <w:rPr>
          <w:spacing w:val="9"/>
          <w:sz w:val="20"/>
          <w:szCs w:val="20"/>
        </w:rPr>
        <w:t>3. 你方与发包人协议变更主合同的，如加重发包人责任致使我方保证责任加重的，需征得我</w:t>
      </w:r>
      <w:r>
        <w:rPr>
          <w:spacing w:val="8"/>
          <w:sz w:val="20"/>
          <w:szCs w:val="20"/>
        </w:rPr>
        <w:t xml:space="preserve"> </w:t>
      </w:r>
      <w:r>
        <w:rPr>
          <w:spacing w:val="13"/>
          <w:sz w:val="20"/>
          <w:szCs w:val="20"/>
        </w:rPr>
        <w:t>方书面同意，否则我方不再承担因此而加重部分的保证责任，但主合同</w:t>
      </w:r>
      <w:r>
        <w:rPr>
          <w:spacing w:val="12"/>
          <w:sz w:val="20"/>
          <w:szCs w:val="20"/>
        </w:rPr>
        <w:t>第10条〔变更〕约定的变</w:t>
      </w:r>
      <w:r>
        <w:rPr>
          <w:sz w:val="20"/>
          <w:szCs w:val="20"/>
        </w:rPr>
        <w:t xml:space="preserve"> </w:t>
      </w:r>
      <w:r>
        <w:rPr>
          <w:spacing w:val="4"/>
          <w:sz w:val="20"/>
          <w:szCs w:val="20"/>
        </w:rPr>
        <w:t>更不受本款限制。</w:t>
      </w:r>
    </w:p>
    <w:p w14:paraId="444C82AD">
      <w:pPr>
        <w:pStyle w:val="2"/>
        <w:spacing w:before="174" w:line="219" w:lineRule="auto"/>
        <w:ind w:left="419"/>
        <w:rPr>
          <w:sz w:val="20"/>
          <w:szCs w:val="20"/>
        </w:rPr>
      </w:pPr>
      <w:r>
        <w:rPr>
          <w:spacing w:val="9"/>
          <w:sz w:val="20"/>
          <w:szCs w:val="20"/>
        </w:rPr>
        <w:t>4. 因不可抗力造成发包人不能履行义务的，我方不承担保证责任。</w:t>
      </w:r>
    </w:p>
    <w:p w14:paraId="237E4AF2">
      <w:pPr>
        <w:spacing w:before="178" w:line="222" w:lineRule="auto"/>
        <w:ind w:left="422"/>
        <w:rPr>
          <w:rFonts w:ascii="黑体" w:hAnsi="黑体" w:eastAsia="黑体" w:cs="黑体"/>
          <w:sz w:val="20"/>
          <w:szCs w:val="20"/>
        </w:rPr>
      </w:pPr>
      <w:r>
        <w:rPr>
          <w:rFonts w:ascii="黑体" w:hAnsi="黑体" w:eastAsia="黑体" w:cs="黑体"/>
          <w:b/>
          <w:bCs/>
          <w:spacing w:val="7"/>
          <w:sz w:val="20"/>
          <w:szCs w:val="20"/>
        </w:rPr>
        <w:t>七、争议解决</w:t>
      </w:r>
    </w:p>
    <w:p w14:paraId="396E25DF">
      <w:pPr>
        <w:pStyle w:val="2"/>
        <w:spacing w:before="164" w:line="390" w:lineRule="auto"/>
        <w:ind w:right="35" w:firstLine="419"/>
        <w:rPr>
          <w:sz w:val="20"/>
          <w:szCs w:val="20"/>
        </w:rPr>
      </w:pPr>
      <w:r>
        <w:rPr>
          <w:spacing w:val="7"/>
          <w:sz w:val="20"/>
          <w:szCs w:val="20"/>
        </w:rPr>
        <w:t>因本保函或本保函相关事项发生的纠纷，可由双方协商解决，协商不成的，按下列第</w:t>
      </w:r>
      <w:r>
        <w:rPr>
          <w:spacing w:val="23"/>
          <w:sz w:val="20"/>
          <w:szCs w:val="20"/>
          <w:u w:val="single" w:color="auto"/>
        </w:rPr>
        <w:t xml:space="preserve">     </w:t>
      </w:r>
      <w:r>
        <w:rPr>
          <w:spacing w:val="-90"/>
          <w:sz w:val="20"/>
          <w:szCs w:val="20"/>
        </w:rPr>
        <w:t xml:space="preserve"> </w:t>
      </w:r>
      <w:r>
        <w:rPr>
          <w:spacing w:val="7"/>
          <w:sz w:val="20"/>
          <w:szCs w:val="20"/>
        </w:rPr>
        <w:t>种</w:t>
      </w:r>
      <w:r>
        <w:rPr>
          <w:sz w:val="20"/>
          <w:szCs w:val="20"/>
        </w:rPr>
        <w:t xml:space="preserve"> </w:t>
      </w:r>
      <w:r>
        <w:rPr>
          <w:spacing w:val="1"/>
          <w:sz w:val="20"/>
          <w:szCs w:val="20"/>
        </w:rPr>
        <w:t>方式解决：</w:t>
      </w:r>
    </w:p>
    <w:p w14:paraId="4F265239">
      <w:pPr>
        <w:pStyle w:val="2"/>
        <w:spacing w:before="105" w:line="225" w:lineRule="auto"/>
        <w:ind w:left="529"/>
        <w:rPr>
          <w:sz w:val="20"/>
          <w:szCs w:val="20"/>
        </w:rPr>
      </w:pPr>
      <w:r>
        <w:rPr>
          <w:spacing w:val="4"/>
          <w:position w:val="-1"/>
          <w:sz w:val="20"/>
          <w:szCs w:val="20"/>
        </w:rPr>
        <w:t>(1)向_</w:t>
      </w:r>
      <w:r>
        <w:rPr>
          <w:spacing w:val="-82"/>
          <w:position w:val="-1"/>
          <w:sz w:val="20"/>
          <w:szCs w:val="20"/>
        </w:rPr>
        <w:t xml:space="preserve"> </w:t>
      </w:r>
      <w:r>
        <w:rPr>
          <w:position w:val="-1"/>
          <w:sz w:val="20"/>
          <w:szCs w:val="20"/>
          <w:u w:val="single" w:color="auto"/>
        </w:rPr>
        <w:t xml:space="preserve">                      </w:t>
      </w:r>
      <w:r>
        <w:rPr>
          <w:spacing w:val="-79"/>
          <w:position w:val="-1"/>
          <w:sz w:val="20"/>
          <w:szCs w:val="20"/>
        </w:rPr>
        <w:t xml:space="preserve"> </w:t>
      </w:r>
      <w:r>
        <w:rPr>
          <w:spacing w:val="4"/>
          <w:sz w:val="20"/>
          <w:szCs w:val="20"/>
        </w:rPr>
        <w:t>仲裁委员会申请仲裁；</w:t>
      </w:r>
    </w:p>
    <w:p w14:paraId="3C5C234A">
      <w:pPr>
        <w:pStyle w:val="2"/>
        <w:spacing w:before="147" w:line="224" w:lineRule="auto"/>
        <w:ind w:left="529"/>
        <w:rPr>
          <w:sz w:val="20"/>
          <w:szCs w:val="20"/>
        </w:rPr>
      </w:pPr>
      <w:r>
        <w:rPr>
          <w:spacing w:val="4"/>
          <w:sz w:val="20"/>
          <w:szCs w:val="20"/>
        </w:rPr>
        <w:t>(2)向_</w:t>
      </w:r>
      <w:r>
        <w:rPr>
          <w:spacing w:val="-90"/>
          <w:sz w:val="20"/>
          <w:szCs w:val="20"/>
        </w:rPr>
        <w:t xml:space="preserve"> </w:t>
      </w:r>
      <w:r>
        <w:rPr>
          <w:sz w:val="20"/>
          <w:szCs w:val="20"/>
          <w:u w:val="single" w:color="auto"/>
        </w:rPr>
        <w:t xml:space="preserve">                      </w:t>
      </w:r>
      <w:r>
        <w:rPr>
          <w:spacing w:val="-80"/>
          <w:sz w:val="20"/>
          <w:szCs w:val="20"/>
        </w:rPr>
        <w:t xml:space="preserve"> </w:t>
      </w:r>
      <w:r>
        <w:rPr>
          <w:spacing w:val="4"/>
          <w:sz w:val="20"/>
          <w:szCs w:val="20"/>
        </w:rPr>
        <w:t>人民法院起诉。</w:t>
      </w:r>
    </w:p>
    <w:p w14:paraId="1CEE4F0D">
      <w:pPr>
        <w:spacing w:before="162" w:line="221" w:lineRule="auto"/>
        <w:ind w:left="422"/>
        <w:rPr>
          <w:rFonts w:ascii="黑体" w:hAnsi="黑体" w:eastAsia="黑体" w:cs="黑体"/>
          <w:sz w:val="20"/>
          <w:szCs w:val="20"/>
        </w:rPr>
      </w:pPr>
      <w:r>
        <w:rPr>
          <w:rFonts w:ascii="黑体" w:hAnsi="黑体" w:eastAsia="黑体" w:cs="黑体"/>
          <w:b/>
          <w:bCs/>
          <w:spacing w:val="6"/>
          <w:sz w:val="20"/>
          <w:szCs w:val="20"/>
        </w:rPr>
        <w:t>八、保函的生效</w:t>
      </w:r>
    </w:p>
    <w:p w14:paraId="28B3CCB5">
      <w:pPr>
        <w:pStyle w:val="2"/>
        <w:spacing w:before="184" w:line="219" w:lineRule="auto"/>
        <w:ind w:left="419"/>
        <w:rPr>
          <w:sz w:val="20"/>
          <w:szCs w:val="20"/>
        </w:rPr>
      </w:pPr>
      <w:r>
        <w:rPr>
          <w:spacing w:val="15"/>
          <w:sz w:val="20"/>
          <w:szCs w:val="20"/>
        </w:rPr>
        <w:t>本保函自我方法定代表人(或其授权代理人)签字并加盖公章之日起生效。</w:t>
      </w:r>
    </w:p>
    <w:p w14:paraId="4F8A63D7">
      <w:pPr>
        <w:spacing w:line="296" w:lineRule="auto"/>
        <w:rPr>
          <w:rFonts w:ascii="Arial"/>
          <w:sz w:val="21"/>
        </w:rPr>
      </w:pPr>
    </w:p>
    <w:p w14:paraId="5CA9892E">
      <w:pPr>
        <w:spacing w:line="296" w:lineRule="auto"/>
        <w:rPr>
          <w:rFonts w:ascii="Arial"/>
          <w:sz w:val="21"/>
        </w:rPr>
      </w:pPr>
    </w:p>
    <w:p w14:paraId="5CCB4A4C">
      <w:pPr>
        <w:spacing w:line="297" w:lineRule="auto"/>
        <w:rPr>
          <w:rFonts w:ascii="Arial"/>
          <w:sz w:val="21"/>
        </w:rPr>
      </w:pPr>
    </w:p>
    <w:p w14:paraId="5499C355">
      <w:pPr>
        <w:pStyle w:val="2"/>
        <w:spacing w:before="69" w:line="222" w:lineRule="auto"/>
        <w:ind w:left="2619"/>
        <w:rPr>
          <w:sz w:val="21"/>
          <w:szCs w:val="21"/>
        </w:rPr>
      </w:pPr>
      <w:r>
        <w:rPr>
          <w:spacing w:val="5"/>
          <w:position w:val="-1"/>
          <w:sz w:val="20"/>
          <w:szCs w:val="20"/>
        </w:rPr>
        <w:t>担保人：</w:t>
      </w:r>
      <w:r>
        <w:rPr>
          <w:spacing w:val="-50"/>
          <w:position w:val="-1"/>
          <w:sz w:val="20"/>
          <w:szCs w:val="20"/>
        </w:rPr>
        <w:t xml:space="preserve"> </w:t>
      </w:r>
      <w:r>
        <w:rPr>
          <w:spacing w:val="2"/>
          <w:position w:val="-1"/>
          <w:sz w:val="20"/>
          <w:szCs w:val="20"/>
          <w:u w:val="single" w:color="auto"/>
        </w:rPr>
        <w:t xml:space="preserve">                                    </w:t>
      </w:r>
      <w:r>
        <w:rPr>
          <w:spacing w:val="5"/>
          <w:position w:val="-1"/>
          <w:sz w:val="20"/>
          <w:szCs w:val="20"/>
        </w:rPr>
        <w:t xml:space="preserve"> </w:t>
      </w:r>
      <w:r>
        <w:rPr>
          <w:spacing w:val="5"/>
          <w:position w:val="1"/>
          <w:sz w:val="21"/>
          <w:szCs w:val="21"/>
        </w:rPr>
        <w:t>(盖章)</w:t>
      </w:r>
    </w:p>
    <w:p w14:paraId="040F06EF">
      <w:pPr>
        <w:pStyle w:val="2"/>
        <w:spacing w:before="131" w:line="219" w:lineRule="auto"/>
        <w:ind w:left="2619"/>
        <w:rPr>
          <w:sz w:val="21"/>
          <w:szCs w:val="21"/>
        </w:rPr>
      </w:pPr>
      <w:r>
        <w:rPr>
          <w:spacing w:val="2"/>
          <w:sz w:val="20"/>
          <w:szCs w:val="20"/>
        </w:rPr>
        <w:t xml:space="preserve">法定代表人或委托代理人： </w:t>
      </w:r>
      <w:r>
        <w:rPr>
          <w:spacing w:val="2"/>
          <w:sz w:val="20"/>
          <w:szCs w:val="20"/>
          <w:u w:val="single" w:color="auto"/>
        </w:rPr>
        <w:t xml:space="preserve">              </w:t>
      </w:r>
      <w:r>
        <w:rPr>
          <w:spacing w:val="-7"/>
          <w:sz w:val="20"/>
          <w:szCs w:val="20"/>
        </w:rPr>
        <w:t xml:space="preserve"> </w:t>
      </w:r>
      <w:r>
        <w:rPr>
          <w:spacing w:val="2"/>
          <w:sz w:val="21"/>
          <w:szCs w:val="21"/>
        </w:rPr>
        <w:t>(签字)</w:t>
      </w:r>
    </w:p>
    <w:p w14:paraId="37563970">
      <w:pPr>
        <w:pStyle w:val="2"/>
        <w:spacing w:before="230" w:line="229" w:lineRule="auto"/>
        <w:ind w:left="2619"/>
        <w:rPr>
          <w:sz w:val="20"/>
          <w:szCs w:val="20"/>
        </w:rPr>
      </w:pPr>
      <w:r>
        <w:rPr>
          <w:spacing w:val="-11"/>
          <w:sz w:val="20"/>
          <w:szCs w:val="20"/>
        </w:rPr>
        <w:t>地</w:t>
      </w:r>
      <w:r>
        <w:rPr>
          <w:spacing w:val="9"/>
          <w:sz w:val="20"/>
          <w:szCs w:val="20"/>
        </w:rPr>
        <w:t xml:space="preserve">    </w:t>
      </w:r>
      <w:r>
        <w:rPr>
          <w:spacing w:val="-11"/>
          <w:sz w:val="20"/>
          <w:szCs w:val="20"/>
        </w:rPr>
        <w:t>址</w:t>
      </w:r>
      <w:r>
        <w:rPr>
          <w:spacing w:val="-45"/>
          <w:sz w:val="20"/>
          <w:szCs w:val="20"/>
        </w:rPr>
        <w:t xml:space="preserve"> </w:t>
      </w:r>
      <w:r>
        <w:rPr>
          <w:spacing w:val="-11"/>
          <w:sz w:val="20"/>
          <w:szCs w:val="20"/>
        </w:rPr>
        <w:t>：</w:t>
      </w:r>
      <w:r>
        <w:rPr>
          <w:sz w:val="20"/>
          <w:szCs w:val="20"/>
          <w:u w:val="single" w:color="auto"/>
        </w:rPr>
        <w:t xml:space="preserve">                                        </w:t>
      </w:r>
    </w:p>
    <w:p w14:paraId="1A7CEE23">
      <w:pPr>
        <w:pStyle w:val="2"/>
        <w:spacing w:before="133" w:line="219" w:lineRule="auto"/>
        <w:ind w:left="2619"/>
        <w:rPr>
          <w:sz w:val="20"/>
          <w:szCs w:val="20"/>
        </w:rPr>
      </w:pPr>
      <w:r>
        <w:rPr>
          <w:spacing w:val="-5"/>
          <w:sz w:val="20"/>
          <w:szCs w:val="20"/>
        </w:rPr>
        <w:t>邮政编码：</w:t>
      </w:r>
      <w:r>
        <w:rPr>
          <w:spacing w:val="-5"/>
          <w:sz w:val="20"/>
          <w:szCs w:val="20"/>
          <w:u w:val="single" w:color="auto"/>
        </w:rPr>
        <w:t xml:space="preserve">                                    </w:t>
      </w:r>
      <w:r>
        <w:rPr>
          <w:spacing w:val="-6"/>
          <w:sz w:val="20"/>
          <w:szCs w:val="20"/>
          <w:u w:val="single" w:color="auto"/>
        </w:rPr>
        <w:t xml:space="preserve">      </w:t>
      </w:r>
    </w:p>
    <w:p w14:paraId="2616B1AA">
      <w:pPr>
        <w:pStyle w:val="2"/>
        <w:spacing w:before="181" w:line="219" w:lineRule="auto"/>
        <w:ind w:left="2619"/>
        <w:rPr>
          <w:sz w:val="20"/>
          <w:szCs w:val="20"/>
        </w:rPr>
      </w:pPr>
      <w:r>
        <w:rPr>
          <w:spacing w:val="-11"/>
          <w:sz w:val="20"/>
          <w:szCs w:val="20"/>
        </w:rPr>
        <w:t>传</w:t>
      </w:r>
      <w:r>
        <w:rPr>
          <w:spacing w:val="4"/>
          <w:sz w:val="20"/>
          <w:szCs w:val="20"/>
        </w:rPr>
        <w:t xml:space="preserve">    </w:t>
      </w:r>
      <w:r>
        <w:rPr>
          <w:spacing w:val="-11"/>
          <w:sz w:val="20"/>
          <w:szCs w:val="20"/>
        </w:rPr>
        <w:t>真</w:t>
      </w:r>
      <w:r>
        <w:rPr>
          <w:spacing w:val="-44"/>
          <w:sz w:val="20"/>
          <w:szCs w:val="20"/>
        </w:rPr>
        <w:t xml:space="preserve"> </w:t>
      </w:r>
      <w:r>
        <w:rPr>
          <w:spacing w:val="-11"/>
          <w:sz w:val="20"/>
          <w:szCs w:val="20"/>
        </w:rPr>
        <w:t>：</w:t>
      </w:r>
      <w:r>
        <w:rPr>
          <w:sz w:val="20"/>
          <w:szCs w:val="20"/>
          <w:u w:val="single" w:color="auto"/>
        </w:rPr>
        <w:t xml:space="preserve">                                        </w:t>
      </w:r>
    </w:p>
    <w:p w14:paraId="72D9463F">
      <w:pPr>
        <w:spacing w:line="468" w:lineRule="auto"/>
        <w:rPr>
          <w:rFonts w:ascii="Arial"/>
          <w:sz w:val="21"/>
        </w:rPr>
      </w:pPr>
    </w:p>
    <w:p w14:paraId="6EC85808">
      <w:pPr>
        <w:tabs>
          <w:tab w:val="left" w:pos="5569"/>
        </w:tabs>
        <w:spacing w:before="75" w:line="232" w:lineRule="auto"/>
        <w:ind w:left="3999"/>
        <w:rPr>
          <w:rFonts w:ascii="黑体" w:hAnsi="黑体" w:eastAsia="黑体" w:cs="黑体"/>
          <w:sz w:val="20"/>
          <w:szCs w:val="20"/>
        </w:rPr>
      </w:pPr>
      <w:r>
        <w:rPr>
          <w:rFonts w:ascii="黑体" w:hAnsi="黑体" w:eastAsia="黑体" w:cs="黑体"/>
          <w:position w:val="-1"/>
          <w:sz w:val="20"/>
          <w:szCs w:val="20"/>
          <w:u w:val="single" w:color="auto"/>
        </w:rPr>
        <w:tab/>
      </w:r>
      <w:r>
        <w:rPr>
          <w:rFonts w:ascii="黑体" w:hAnsi="黑体" w:eastAsia="黑体" w:cs="黑体"/>
          <w:spacing w:val="-8"/>
          <w:position w:val="-1"/>
          <w:sz w:val="20"/>
          <w:szCs w:val="20"/>
        </w:rPr>
        <w:t>年</w:t>
      </w:r>
      <w:r>
        <w:rPr>
          <w:rFonts w:ascii="黑体" w:hAnsi="黑体" w:eastAsia="黑体" w:cs="黑体"/>
          <w:spacing w:val="-71"/>
          <w:position w:val="-1"/>
          <w:sz w:val="20"/>
          <w:szCs w:val="20"/>
        </w:rPr>
        <w:t xml:space="preserve"> </w:t>
      </w:r>
      <w:r>
        <w:rPr>
          <w:rFonts w:ascii="黑体" w:hAnsi="黑体" w:eastAsia="黑体" w:cs="黑体"/>
          <w:spacing w:val="6"/>
          <w:position w:val="-1"/>
          <w:sz w:val="20"/>
          <w:szCs w:val="20"/>
          <w:u w:val="single" w:color="auto"/>
        </w:rPr>
        <w:t xml:space="preserve">      </w:t>
      </w:r>
      <w:r>
        <w:rPr>
          <w:rFonts w:ascii="黑体" w:hAnsi="黑体" w:eastAsia="黑体" w:cs="黑体"/>
          <w:spacing w:val="-86"/>
          <w:position w:val="-1"/>
          <w:sz w:val="20"/>
          <w:szCs w:val="20"/>
        </w:rPr>
        <w:t xml:space="preserve"> </w:t>
      </w:r>
      <w:r>
        <w:rPr>
          <w:rFonts w:ascii="黑体" w:hAnsi="黑体" w:eastAsia="黑体" w:cs="黑体"/>
          <w:spacing w:val="-8"/>
          <w:sz w:val="23"/>
          <w:szCs w:val="23"/>
        </w:rPr>
        <w:t>月</w:t>
      </w:r>
      <w:r>
        <w:rPr>
          <w:rFonts w:ascii="黑体" w:hAnsi="黑体" w:eastAsia="黑体" w:cs="黑体"/>
          <w:spacing w:val="5"/>
          <w:sz w:val="23"/>
          <w:szCs w:val="23"/>
          <w:u w:val="single" w:color="auto"/>
        </w:rPr>
        <w:t xml:space="preserve">     </w:t>
      </w:r>
      <w:r>
        <w:rPr>
          <w:rFonts w:ascii="黑体" w:hAnsi="黑体" w:eastAsia="黑体" w:cs="黑体"/>
          <w:spacing w:val="-81"/>
          <w:sz w:val="23"/>
          <w:szCs w:val="23"/>
        </w:rPr>
        <w:t xml:space="preserve"> </w:t>
      </w:r>
      <w:r>
        <w:rPr>
          <w:rFonts w:ascii="黑体" w:hAnsi="黑体" w:eastAsia="黑体" w:cs="黑体"/>
          <w:spacing w:val="-8"/>
          <w:position w:val="2"/>
          <w:sz w:val="20"/>
          <w:szCs w:val="20"/>
        </w:rPr>
        <w:t>日</w:t>
      </w:r>
    </w:p>
    <w:p w14:paraId="60BD4855">
      <w:pPr>
        <w:spacing w:line="232" w:lineRule="auto"/>
        <w:rPr>
          <w:rFonts w:ascii="黑体" w:hAnsi="黑体" w:eastAsia="黑体" w:cs="黑体"/>
          <w:sz w:val="20"/>
          <w:szCs w:val="20"/>
        </w:rPr>
        <w:sectPr>
          <w:footerReference r:id="rId284" w:type="default"/>
          <w:pgSz w:w="11910" w:h="16840"/>
          <w:pgMar w:top="400" w:right="1501" w:bottom="1024" w:left="1460" w:header="0" w:footer="889" w:gutter="0"/>
          <w:cols w:space="720" w:num="1"/>
        </w:sectPr>
      </w:pPr>
    </w:p>
    <w:p w14:paraId="484D402F">
      <w:pPr>
        <w:spacing w:line="243" w:lineRule="auto"/>
        <w:rPr>
          <w:rFonts w:ascii="Arial"/>
          <w:sz w:val="21"/>
        </w:rPr>
      </w:pPr>
    </w:p>
    <w:p w14:paraId="72152155">
      <w:pPr>
        <w:spacing w:line="243" w:lineRule="auto"/>
        <w:rPr>
          <w:rFonts w:ascii="Arial"/>
          <w:sz w:val="21"/>
        </w:rPr>
      </w:pPr>
    </w:p>
    <w:p w14:paraId="549A410D">
      <w:pPr>
        <w:spacing w:line="243" w:lineRule="auto"/>
        <w:rPr>
          <w:rFonts w:ascii="Arial"/>
          <w:sz w:val="21"/>
        </w:rPr>
      </w:pPr>
    </w:p>
    <w:p w14:paraId="7BA50E6D">
      <w:pPr>
        <w:spacing w:line="243" w:lineRule="auto"/>
        <w:rPr>
          <w:rFonts w:ascii="Arial"/>
          <w:sz w:val="21"/>
        </w:rPr>
      </w:pPr>
    </w:p>
    <w:p w14:paraId="10B2F8D4">
      <w:pPr>
        <w:spacing w:line="243" w:lineRule="auto"/>
        <w:rPr>
          <w:rFonts w:ascii="Arial"/>
          <w:sz w:val="21"/>
        </w:rPr>
      </w:pPr>
    </w:p>
    <w:p w14:paraId="1C06C41D">
      <w:pPr>
        <w:spacing w:line="244" w:lineRule="auto"/>
        <w:rPr>
          <w:rFonts w:ascii="Arial"/>
          <w:sz w:val="21"/>
        </w:rPr>
      </w:pPr>
    </w:p>
    <w:p w14:paraId="77B80BB5">
      <w:pPr>
        <w:spacing w:before="82" w:line="224" w:lineRule="auto"/>
        <w:ind w:left="128"/>
        <w:rPr>
          <w:rFonts w:ascii="黑体" w:hAnsi="黑体" w:eastAsia="黑体" w:cs="黑体"/>
          <w:sz w:val="25"/>
          <w:szCs w:val="25"/>
        </w:rPr>
      </w:pPr>
      <w:r>
        <w:rPr>
          <w:rFonts w:ascii="黑体" w:hAnsi="黑体" w:eastAsia="黑体" w:cs="黑体"/>
          <w:b/>
          <w:bCs/>
          <w:spacing w:val="3"/>
          <w:sz w:val="25"/>
          <w:szCs w:val="25"/>
        </w:rPr>
        <w:t>附件11:</w:t>
      </w:r>
    </w:p>
    <w:p w14:paraId="552A2523">
      <w:pPr>
        <w:spacing w:before="232" w:line="222" w:lineRule="auto"/>
        <w:ind w:left="3329"/>
        <w:rPr>
          <w:rFonts w:ascii="黑体" w:hAnsi="黑体" w:eastAsia="黑体" w:cs="黑体"/>
          <w:sz w:val="29"/>
          <w:szCs w:val="29"/>
        </w:rPr>
      </w:pPr>
      <w:r>
        <w:rPr>
          <w:rFonts w:ascii="黑体" w:hAnsi="黑体" w:eastAsia="黑体" w:cs="黑体"/>
          <w:b/>
          <w:bCs/>
          <w:spacing w:val="1"/>
          <w:sz w:val="29"/>
          <w:szCs w:val="29"/>
        </w:rPr>
        <w:t>11-1:材料暂估价表</w:t>
      </w:r>
    </w:p>
    <w:p w14:paraId="2B3379ED">
      <w:pPr>
        <w:spacing w:line="90" w:lineRule="exact"/>
      </w:pPr>
    </w:p>
    <w:tbl>
      <w:tblPr>
        <w:tblStyle w:val="5"/>
        <w:tblW w:w="905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64"/>
        <w:gridCol w:w="1988"/>
        <w:gridCol w:w="859"/>
        <w:gridCol w:w="749"/>
        <w:gridCol w:w="1359"/>
        <w:gridCol w:w="1418"/>
        <w:gridCol w:w="1713"/>
      </w:tblGrid>
      <w:tr w14:paraId="1B997D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5" w:hRule="atLeast"/>
        </w:trPr>
        <w:tc>
          <w:tcPr>
            <w:tcW w:w="964" w:type="dxa"/>
            <w:vAlign w:val="top"/>
          </w:tcPr>
          <w:p w14:paraId="379066B7">
            <w:pPr>
              <w:pStyle w:val="6"/>
              <w:spacing w:before="186" w:line="199" w:lineRule="auto"/>
              <w:ind w:left="264"/>
              <w:rPr>
                <w:sz w:val="24"/>
                <w:szCs w:val="24"/>
              </w:rPr>
            </w:pPr>
            <w:r>
              <w:rPr>
                <w:spacing w:val="7"/>
                <w:sz w:val="24"/>
                <w:szCs w:val="24"/>
              </w:rPr>
              <w:t>序号</w:t>
            </w:r>
          </w:p>
        </w:tc>
        <w:tc>
          <w:tcPr>
            <w:tcW w:w="1988" w:type="dxa"/>
            <w:vAlign w:val="top"/>
          </w:tcPr>
          <w:p w14:paraId="0D317A14">
            <w:pPr>
              <w:pStyle w:val="6"/>
              <w:spacing w:before="198" w:line="190" w:lineRule="auto"/>
              <w:ind w:left="791"/>
              <w:rPr>
                <w:sz w:val="24"/>
                <w:szCs w:val="24"/>
              </w:rPr>
            </w:pPr>
            <w:r>
              <w:rPr>
                <w:spacing w:val="6"/>
                <w:sz w:val="24"/>
                <w:szCs w:val="24"/>
              </w:rPr>
              <w:t>名称</w:t>
            </w:r>
          </w:p>
        </w:tc>
        <w:tc>
          <w:tcPr>
            <w:tcW w:w="859" w:type="dxa"/>
            <w:vAlign w:val="top"/>
          </w:tcPr>
          <w:p w14:paraId="63C212DE">
            <w:pPr>
              <w:pStyle w:val="6"/>
              <w:spacing w:before="195" w:line="192" w:lineRule="auto"/>
              <w:ind w:left="222"/>
              <w:rPr>
                <w:sz w:val="24"/>
                <w:szCs w:val="24"/>
              </w:rPr>
            </w:pPr>
            <w:r>
              <w:rPr>
                <w:spacing w:val="4"/>
                <w:sz w:val="24"/>
                <w:szCs w:val="24"/>
              </w:rPr>
              <w:t>单位</w:t>
            </w:r>
          </w:p>
        </w:tc>
        <w:tc>
          <w:tcPr>
            <w:tcW w:w="749" w:type="dxa"/>
            <w:vAlign w:val="top"/>
          </w:tcPr>
          <w:p w14:paraId="5329BEAB">
            <w:pPr>
              <w:pStyle w:val="6"/>
              <w:spacing w:before="194" w:line="193" w:lineRule="auto"/>
              <w:ind w:left="173"/>
              <w:rPr>
                <w:sz w:val="24"/>
                <w:szCs w:val="24"/>
              </w:rPr>
            </w:pPr>
            <w:r>
              <w:rPr>
                <w:spacing w:val="4"/>
                <w:sz w:val="24"/>
                <w:szCs w:val="24"/>
              </w:rPr>
              <w:t>数量</w:t>
            </w:r>
          </w:p>
        </w:tc>
        <w:tc>
          <w:tcPr>
            <w:tcW w:w="1359" w:type="dxa"/>
            <w:vAlign w:val="top"/>
          </w:tcPr>
          <w:p w14:paraId="44838E33">
            <w:pPr>
              <w:pStyle w:val="6"/>
              <w:spacing w:before="192" w:line="194" w:lineRule="auto"/>
              <w:ind w:left="185"/>
              <w:rPr>
                <w:sz w:val="24"/>
                <w:szCs w:val="24"/>
              </w:rPr>
            </w:pPr>
            <w:r>
              <w:rPr>
                <w:spacing w:val="10"/>
                <w:sz w:val="24"/>
                <w:szCs w:val="24"/>
              </w:rPr>
              <w:t>单价(元)</w:t>
            </w:r>
          </w:p>
        </w:tc>
        <w:tc>
          <w:tcPr>
            <w:tcW w:w="1418" w:type="dxa"/>
            <w:vAlign w:val="top"/>
          </w:tcPr>
          <w:p w14:paraId="0531166B">
            <w:pPr>
              <w:pStyle w:val="6"/>
              <w:spacing w:before="192" w:line="194" w:lineRule="auto"/>
              <w:ind w:left="205"/>
              <w:rPr>
                <w:sz w:val="24"/>
                <w:szCs w:val="24"/>
              </w:rPr>
            </w:pPr>
            <w:r>
              <w:rPr>
                <w:spacing w:val="10"/>
                <w:sz w:val="24"/>
                <w:szCs w:val="24"/>
              </w:rPr>
              <w:t>合价(元)</w:t>
            </w:r>
          </w:p>
        </w:tc>
        <w:tc>
          <w:tcPr>
            <w:tcW w:w="1713" w:type="dxa"/>
            <w:vAlign w:val="top"/>
          </w:tcPr>
          <w:p w14:paraId="30074F0B">
            <w:pPr>
              <w:pStyle w:val="6"/>
              <w:spacing w:before="207" w:line="183" w:lineRule="auto"/>
              <w:ind w:left="638"/>
              <w:rPr>
                <w:sz w:val="24"/>
                <w:szCs w:val="24"/>
              </w:rPr>
            </w:pPr>
            <w:r>
              <w:rPr>
                <w:spacing w:val="6"/>
                <w:sz w:val="24"/>
                <w:szCs w:val="24"/>
              </w:rPr>
              <w:t>备注</w:t>
            </w:r>
          </w:p>
        </w:tc>
      </w:tr>
      <w:tr w14:paraId="35484C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9" w:hRule="atLeast"/>
        </w:trPr>
        <w:tc>
          <w:tcPr>
            <w:tcW w:w="964" w:type="dxa"/>
            <w:vAlign w:val="top"/>
          </w:tcPr>
          <w:p w14:paraId="48F388A1">
            <w:pPr>
              <w:rPr>
                <w:rFonts w:ascii="Arial"/>
                <w:sz w:val="21"/>
              </w:rPr>
            </w:pPr>
          </w:p>
        </w:tc>
        <w:tc>
          <w:tcPr>
            <w:tcW w:w="1988" w:type="dxa"/>
            <w:vAlign w:val="top"/>
          </w:tcPr>
          <w:p w14:paraId="0F194A90">
            <w:pPr>
              <w:rPr>
                <w:rFonts w:ascii="Arial"/>
                <w:sz w:val="21"/>
              </w:rPr>
            </w:pPr>
          </w:p>
        </w:tc>
        <w:tc>
          <w:tcPr>
            <w:tcW w:w="859" w:type="dxa"/>
            <w:vAlign w:val="top"/>
          </w:tcPr>
          <w:p w14:paraId="3B9CA283">
            <w:pPr>
              <w:rPr>
                <w:rFonts w:ascii="Arial"/>
                <w:sz w:val="21"/>
              </w:rPr>
            </w:pPr>
          </w:p>
        </w:tc>
        <w:tc>
          <w:tcPr>
            <w:tcW w:w="749" w:type="dxa"/>
            <w:vAlign w:val="top"/>
          </w:tcPr>
          <w:p w14:paraId="09EA3B87">
            <w:pPr>
              <w:rPr>
                <w:rFonts w:ascii="Arial"/>
                <w:sz w:val="21"/>
              </w:rPr>
            </w:pPr>
          </w:p>
        </w:tc>
        <w:tc>
          <w:tcPr>
            <w:tcW w:w="1359" w:type="dxa"/>
            <w:vAlign w:val="top"/>
          </w:tcPr>
          <w:p w14:paraId="45F1A35F">
            <w:pPr>
              <w:rPr>
                <w:rFonts w:ascii="Arial"/>
                <w:sz w:val="21"/>
              </w:rPr>
            </w:pPr>
          </w:p>
        </w:tc>
        <w:tc>
          <w:tcPr>
            <w:tcW w:w="1418" w:type="dxa"/>
            <w:vAlign w:val="top"/>
          </w:tcPr>
          <w:p w14:paraId="5C65D77D">
            <w:pPr>
              <w:rPr>
                <w:rFonts w:ascii="Arial"/>
                <w:sz w:val="21"/>
              </w:rPr>
            </w:pPr>
          </w:p>
        </w:tc>
        <w:tc>
          <w:tcPr>
            <w:tcW w:w="1713" w:type="dxa"/>
            <w:vAlign w:val="top"/>
          </w:tcPr>
          <w:p w14:paraId="6ABACCB9">
            <w:pPr>
              <w:rPr>
                <w:rFonts w:ascii="Arial"/>
                <w:sz w:val="21"/>
              </w:rPr>
            </w:pPr>
          </w:p>
        </w:tc>
      </w:tr>
      <w:tr w14:paraId="0984C1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trPr>
        <w:tc>
          <w:tcPr>
            <w:tcW w:w="964" w:type="dxa"/>
            <w:vAlign w:val="top"/>
          </w:tcPr>
          <w:p w14:paraId="7ADD76D3">
            <w:pPr>
              <w:rPr>
                <w:rFonts w:ascii="Arial"/>
                <w:sz w:val="21"/>
              </w:rPr>
            </w:pPr>
          </w:p>
        </w:tc>
        <w:tc>
          <w:tcPr>
            <w:tcW w:w="1988" w:type="dxa"/>
            <w:vAlign w:val="top"/>
          </w:tcPr>
          <w:p w14:paraId="0D82F4EE">
            <w:pPr>
              <w:rPr>
                <w:rFonts w:ascii="Arial"/>
                <w:sz w:val="21"/>
              </w:rPr>
            </w:pPr>
          </w:p>
        </w:tc>
        <w:tc>
          <w:tcPr>
            <w:tcW w:w="859" w:type="dxa"/>
            <w:vAlign w:val="top"/>
          </w:tcPr>
          <w:p w14:paraId="4D94F85C">
            <w:pPr>
              <w:rPr>
                <w:rFonts w:ascii="Arial"/>
                <w:sz w:val="21"/>
              </w:rPr>
            </w:pPr>
          </w:p>
        </w:tc>
        <w:tc>
          <w:tcPr>
            <w:tcW w:w="749" w:type="dxa"/>
            <w:vAlign w:val="top"/>
          </w:tcPr>
          <w:p w14:paraId="631FC33E">
            <w:pPr>
              <w:rPr>
                <w:rFonts w:ascii="Arial"/>
                <w:sz w:val="21"/>
              </w:rPr>
            </w:pPr>
          </w:p>
        </w:tc>
        <w:tc>
          <w:tcPr>
            <w:tcW w:w="1359" w:type="dxa"/>
            <w:vAlign w:val="top"/>
          </w:tcPr>
          <w:p w14:paraId="75BFA2A4">
            <w:pPr>
              <w:rPr>
                <w:rFonts w:ascii="Arial"/>
                <w:sz w:val="21"/>
              </w:rPr>
            </w:pPr>
          </w:p>
        </w:tc>
        <w:tc>
          <w:tcPr>
            <w:tcW w:w="1418" w:type="dxa"/>
            <w:vAlign w:val="top"/>
          </w:tcPr>
          <w:p w14:paraId="2330185B">
            <w:pPr>
              <w:rPr>
                <w:rFonts w:ascii="Arial"/>
                <w:sz w:val="21"/>
              </w:rPr>
            </w:pPr>
          </w:p>
        </w:tc>
        <w:tc>
          <w:tcPr>
            <w:tcW w:w="1713" w:type="dxa"/>
            <w:vAlign w:val="top"/>
          </w:tcPr>
          <w:p w14:paraId="543A13C7">
            <w:pPr>
              <w:rPr>
                <w:rFonts w:ascii="Arial"/>
                <w:sz w:val="21"/>
              </w:rPr>
            </w:pPr>
          </w:p>
        </w:tc>
      </w:tr>
      <w:tr w14:paraId="53AEF7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9" w:hRule="atLeast"/>
        </w:trPr>
        <w:tc>
          <w:tcPr>
            <w:tcW w:w="964" w:type="dxa"/>
            <w:vAlign w:val="top"/>
          </w:tcPr>
          <w:p w14:paraId="6679DB1F">
            <w:pPr>
              <w:rPr>
                <w:rFonts w:ascii="Arial"/>
                <w:sz w:val="21"/>
              </w:rPr>
            </w:pPr>
          </w:p>
        </w:tc>
        <w:tc>
          <w:tcPr>
            <w:tcW w:w="1988" w:type="dxa"/>
            <w:vAlign w:val="top"/>
          </w:tcPr>
          <w:p w14:paraId="30FE9089">
            <w:pPr>
              <w:rPr>
                <w:rFonts w:ascii="Arial"/>
                <w:sz w:val="21"/>
              </w:rPr>
            </w:pPr>
          </w:p>
        </w:tc>
        <w:tc>
          <w:tcPr>
            <w:tcW w:w="859" w:type="dxa"/>
            <w:vAlign w:val="top"/>
          </w:tcPr>
          <w:p w14:paraId="48A46E96">
            <w:pPr>
              <w:rPr>
                <w:rFonts w:ascii="Arial"/>
                <w:sz w:val="21"/>
              </w:rPr>
            </w:pPr>
          </w:p>
        </w:tc>
        <w:tc>
          <w:tcPr>
            <w:tcW w:w="749" w:type="dxa"/>
            <w:vAlign w:val="top"/>
          </w:tcPr>
          <w:p w14:paraId="055AECF9">
            <w:pPr>
              <w:rPr>
                <w:rFonts w:ascii="Arial"/>
                <w:sz w:val="21"/>
              </w:rPr>
            </w:pPr>
          </w:p>
        </w:tc>
        <w:tc>
          <w:tcPr>
            <w:tcW w:w="1359" w:type="dxa"/>
            <w:vAlign w:val="top"/>
          </w:tcPr>
          <w:p w14:paraId="1D3BADA8">
            <w:pPr>
              <w:rPr>
                <w:rFonts w:ascii="Arial"/>
                <w:sz w:val="21"/>
              </w:rPr>
            </w:pPr>
          </w:p>
        </w:tc>
        <w:tc>
          <w:tcPr>
            <w:tcW w:w="1418" w:type="dxa"/>
            <w:vAlign w:val="top"/>
          </w:tcPr>
          <w:p w14:paraId="0EABEBFF">
            <w:pPr>
              <w:rPr>
                <w:rFonts w:ascii="Arial"/>
                <w:sz w:val="21"/>
              </w:rPr>
            </w:pPr>
          </w:p>
        </w:tc>
        <w:tc>
          <w:tcPr>
            <w:tcW w:w="1713" w:type="dxa"/>
            <w:vAlign w:val="top"/>
          </w:tcPr>
          <w:p w14:paraId="12F80EBC">
            <w:pPr>
              <w:rPr>
                <w:rFonts w:ascii="Arial"/>
                <w:sz w:val="21"/>
              </w:rPr>
            </w:pPr>
          </w:p>
        </w:tc>
      </w:tr>
      <w:tr w14:paraId="444DC6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9" w:hRule="atLeast"/>
        </w:trPr>
        <w:tc>
          <w:tcPr>
            <w:tcW w:w="964" w:type="dxa"/>
            <w:vAlign w:val="top"/>
          </w:tcPr>
          <w:p w14:paraId="70439668">
            <w:pPr>
              <w:rPr>
                <w:rFonts w:ascii="Arial"/>
                <w:sz w:val="21"/>
              </w:rPr>
            </w:pPr>
          </w:p>
        </w:tc>
        <w:tc>
          <w:tcPr>
            <w:tcW w:w="1988" w:type="dxa"/>
            <w:vAlign w:val="top"/>
          </w:tcPr>
          <w:p w14:paraId="0DFDCB97">
            <w:pPr>
              <w:rPr>
                <w:rFonts w:ascii="Arial"/>
                <w:sz w:val="21"/>
              </w:rPr>
            </w:pPr>
          </w:p>
        </w:tc>
        <w:tc>
          <w:tcPr>
            <w:tcW w:w="859" w:type="dxa"/>
            <w:vAlign w:val="top"/>
          </w:tcPr>
          <w:p w14:paraId="4788F02E">
            <w:pPr>
              <w:rPr>
                <w:rFonts w:ascii="Arial"/>
                <w:sz w:val="21"/>
              </w:rPr>
            </w:pPr>
          </w:p>
        </w:tc>
        <w:tc>
          <w:tcPr>
            <w:tcW w:w="749" w:type="dxa"/>
            <w:vAlign w:val="top"/>
          </w:tcPr>
          <w:p w14:paraId="32FB6AA7">
            <w:pPr>
              <w:rPr>
                <w:rFonts w:ascii="Arial"/>
                <w:sz w:val="21"/>
              </w:rPr>
            </w:pPr>
          </w:p>
        </w:tc>
        <w:tc>
          <w:tcPr>
            <w:tcW w:w="1359" w:type="dxa"/>
            <w:vAlign w:val="top"/>
          </w:tcPr>
          <w:p w14:paraId="317C7313">
            <w:pPr>
              <w:rPr>
                <w:rFonts w:ascii="Arial"/>
                <w:sz w:val="21"/>
              </w:rPr>
            </w:pPr>
          </w:p>
        </w:tc>
        <w:tc>
          <w:tcPr>
            <w:tcW w:w="1418" w:type="dxa"/>
            <w:vAlign w:val="top"/>
          </w:tcPr>
          <w:p w14:paraId="18697C86">
            <w:pPr>
              <w:rPr>
                <w:rFonts w:ascii="Arial"/>
                <w:sz w:val="21"/>
              </w:rPr>
            </w:pPr>
          </w:p>
        </w:tc>
        <w:tc>
          <w:tcPr>
            <w:tcW w:w="1713" w:type="dxa"/>
            <w:vAlign w:val="top"/>
          </w:tcPr>
          <w:p w14:paraId="096F4403">
            <w:pPr>
              <w:rPr>
                <w:rFonts w:ascii="Arial"/>
                <w:sz w:val="21"/>
              </w:rPr>
            </w:pPr>
          </w:p>
        </w:tc>
      </w:tr>
      <w:tr w14:paraId="262A17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964" w:type="dxa"/>
            <w:vAlign w:val="top"/>
          </w:tcPr>
          <w:p w14:paraId="741E8825">
            <w:pPr>
              <w:rPr>
                <w:rFonts w:ascii="Arial"/>
                <w:sz w:val="21"/>
              </w:rPr>
            </w:pPr>
          </w:p>
        </w:tc>
        <w:tc>
          <w:tcPr>
            <w:tcW w:w="1988" w:type="dxa"/>
            <w:vAlign w:val="top"/>
          </w:tcPr>
          <w:p w14:paraId="77D37565">
            <w:pPr>
              <w:rPr>
                <w:rFonts w:ascii="Arial"/>
                <w:sz w:val="21"/>
              </w:rPr>
            </w:pPr>
          </w:p>
        </w:tc>
        <w:tc>
          <w:tcPr>
            <w:tcW w:w="859" w:type="dxa"/>
            <w:vAlign w:val="top"/>
          </w:tcPr>
          <w:p w14:paraId="282DDBC8">
            <w:pPr>
              <w:rPr>
                <w:rFonts w:ascii="Arial"/>
                <w:sz w:val="21"/>
              </w:rPr>
            </w:pPr>
          </w:p>
        </w:tc>
        <w:tc>
          <w:tcPr>
            <w:tcW w:w="749" w:type="dxa"/>
            <w:vAlign w:val="top"/>
          </w:tcPr>
          <w:p w14:paraId="47C817E4">
            <w:pPr>
              <w:rPr>
                <w:rFonts w:ascii="Arial"/>
                <w:sz w:val="21"/>
              </w:rPr>
            </w:pPr>
          </w:p>
        </w:tc>
        <w:tc>
          <w:tcPr>
            <w:tcW w:w="1359" w:type="dxa"/>
            <w:vAlign w:val="top"/>
          </w:tcPr>
          <w:p w14:paraId="26F48E7A">
            <w:pPr>
              <w:rPr>
                <w:rFonts w:ascii="Arial"/>
                <w:sz w:val="21"/>
              </w:rPr>
            </w:pPr>
          </w:p>
        </w:tc>
        <w:tc>
          <w:tcPr>
            <w:tcW w:w="1418" w:type="dxa"/>
            <w:vAlign w:val="top"/>
          </w:tcPr>
          <w:p w14:paraId="2E1325D4">
            <w:pPr>
              <w:rPr>
                <w:rFonts w:ascii="Arial"/>
                <w:sz w:val="21"/>
              </w:rPr>
            </w:pPr>
          </w:p>
        </w:tc>
        <w:tc>
          <w:tcPr>
            <w:tcW w:w="1713" w:type="dxa"/>
            <w:vAlign w:val="top"/>
          </w:tcPr>
          <w:p w14:paraId="12DBF885">
            <w:pPr>
              <w:rPr>
                <w:rFonts w:ascii="Arial"/>
                <w:sz w:val="21"/>
              </w:rPr>
            </w:pPr>
          </w:p>
        </w:tc>
      </w:tr>
      <w:tr w14:paraId="69B936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trPr>
        <w:tc>
          <w:tcPr>
            <w:tcW w:w="964" w:type="dxa"/>
            <w:vAlign w:val="top"/>
          </w:tcPr>
          <w:p w14:paraId="38389985">
            <w:pPr>
              <w:rPr>
                <w:rFonts w:ascii="Arial"/>
                <w:sz w:val="21"/>
              </w:rPr>
            </w:pPr>
          </w:p>
        </w:tc>
        <w:tc>
          <w:tcPr>
            <w:tcW w:w="1988" w:type="dxa"/>
            <w:vAlign w:val="top"/>
          </w:tcPr>
          <w:p w14:paraId="3C9C76C4">
            <w:pPr>
              <w:rPr>
                <w:rFonts w:ascii="Arial"/>
                <w:sz w:val="21"/>
              </w:rPr>
            </w:pPr>
          </w:p>
        </w:tc>
        <w:tc>
          <w:tcPr>
            <w:tcW w:w="859" w:type="dxa"/>
            <w:vAlign w:val="top"/>
          </w:tcPr>
          <w:p w14:paraId="4C3FDC46">
            <w:pPr>
              <w:rPr>
                <w:rFonts w:ascii="Arial"/>
                <w:sz w:val="21"/>
              </w:rPr>
            </w:pPr>
          </w:p>
        </w:tc>
        <w:tc>
          <w:tcPr>
            <w:tcW w:w="749" w:type="dxa"/>
            <w:vAlign w:val="top"/>
          </w:tcPr>
          <w:p w14:paraId="689FB843">
            <w:pPr>
              <w:rPr>
                <w:rFonts w:ascii="Arial"/>
                <w:sz w:val="21"/>
              </w:rPr>
            </w:pPr>
          </w:p>
        </w:tc>
        <w:tc>
          <w:tcPr>
            <w:tcW w:w="1359" w:type="dxa"/>
            <w:vAlign w:val="top"/>
          </w:tcPr>
          <w:p w14:paraId="207D9356">
            <w:pPr>
              <w:rPr>
                <w:rFonts w:ascii="Arial"/>
                <w:sz w:val="21"/>
              </w:rPr>
            </w:pPr>
          </w:p>
        </w:tc>
        <w:tc>
          <w:tcPr>
            <w:tcW w:w="1418" w:type="dxa"/>
            <w:vAlign w:val="top"/>
          </w:tcPr>
          <w:p w14:paraId="3F0EED63">
            <w:pPr>
              <w:rPr>
                <w:rFonts w:ascii="Arial"/>
                <w:sz w:val="21"/>
              </w:rPr>
            </w:pPr>
          </w:p>
        </w:tc>
        <w:tc>
          <w:tcPr>
            <w:tcW w:w="1713" w:type="dxa"/>
            <w:vAlign w:val="top"/>
          </w:tcPr>
          <w:p w14:paraId="0C2A41F3">
            <w:pPr>
              <w:rPr>
                <w:rFonts w:ascii="Arial"/>
                <w:sz w:val="21"/>
              </w:rPr>
            </w:pPr>
          </w:p>
        </w:tc>
      </w:tr>
      <w:tr w14:paraId="52BB51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964" w:type="dxa"/>
            <w:vAlign w:val="top"/>
          </w:tcPr>
          <w:p w14:paraId="7C4A9E41">
            <w:pPr>
              <w:rPr>
                <w:rFonts w:ascii="Arial"/>
                <w:sz w:val="21"/>
              </w:rPr>
            </w:pPr>
          </w:p>
        </w:tc>
        <w:tc>
          <w:tcPr>
            <w:tcW w:w="1988" w:type="dxa"/>
            <w:vAlign w:val="top"/>
          </w:tcPr>
          <w:p w14:paraId="0D9232F7">
            <w:pPr>
              <w:rPr>
                <w:rFonts w:ascii="Arial"/>
                <w:sz w:val="21"/>
              </w:rPr>
            </w:pPr>
          </w:p>
        </w:tc>
        <w:tc>
          <w:tcPr>
            <w:tcW w:w="859" w:type="dxa"/>
            <w:vAlign w:val="top"/>
          </w:tcPr>
          <w:p w14:paraId="19A124CD">
            <w:pPr>
              <w:rPr>
                <w:rFonts w:ascii="Arial"/>
                <w:sz w:val="21"/>
              </w:rPr>
            </w:pPr>
          </w:p>
        </w:tc>
        <w:tc>
          <w:tcPr>
            <w:tcW w:w="749" w:type="dxa"/>
            <w:vAlign w:val="top"/>
          </w:tcPr>
          <w:p w14:paraId="74B65F2C">
            <w:pPr>
              <w:rPr>
                <w:rFonts w:ascii="Arial"/>
                <w:sz w:val="21"/>
              </w:rPr>
            </w:pPr>
          </w:p>
        </w:tc>
        <w:tc>
          <w:tcPr>
            <w:tcW w:w="1359" w:type="dxa"/>
            <w:vAlign w:val="top"/>
          </w:tcPr>
          <w:p w14:paraId="4D206552">
            <w:pPr>
              <w:rPr>
                <w:rFonts w:ascii="Arial"/>
                <w:sz w:val="21"/>
              </w:rPr>
            </w:pPr>
          </w:p>
        </w:tc>
        <w:tc>
          <w:tcPr>
            <w:tcW w:w="1418" w:type="dxa"/>
            <w:vAlign w:val="top"/>
          </w:tcPr>
          <w:p w14:paraId="641EF577">
            <w:pPr>
              <w:rPr>
                <w:rFonts w:ascii="Arial"/>
                <w:sz w:val="21"/>
              </w:rPr>
            </w:pPr>
          </w:p>
        </w:tc>
        <w:tc>
          <w:tcPr>
            <w:tcW w:w="1713" w:type="dxa"/>
            <w:vAlign w:val="top"/>
          </w:tcPr>
          <w:p w14:paraId="5DB1E6C3">
            <w:pPr>
              <w:rPr>
                <w:rFonts w:ascii="Arial"/>
                <w:sz w:val="21"/>
              </w:rPr>
            </w:pPr>
          </w:p>
        </w:tc>
      </w:tr>
      <w:tr w14:paraId="686810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9" w:hRule="atLeast"/>
        </w:trPr>
        <w:tc>
          <w:tcPr>
            <w:tcW w:w="964" w:type="dxa"/>
            <w:vAlign w:val="top"/>
          </w:tcPr>
          <w:p w14:paraId="5AA3547A">
            <w:pPr>
              <w:rPr>
                <w:rFonts w:ascii="Arial"/>
                <w:sz w:val="21"/>
              </w:rPr>
            </w:pPr>
          </w:p>
        </w:tc>
        <w:tc>
          <w:tcPr>
            <w:tcW w:w="1988" w:type="dxa"/>
            <w:vAlign w:val="top"/>
          </w:tcPr>
          <w:p w14:paraId="29E81550">
            <w:pPr>
              <w:rPr>
                <w:rFonts w:ascii="Arial"/>
                <w:sz w:val="21"/>
              </w:rPr>
            </w:pPr>
          </w:p>
        </w:tc>
        <w:tc>
          <w:tcPr>
            <w:tcW w:w="859" w:type="dxa"/>
            <w:vAlign w:val="top"/>
          </w:tcPr>
          <w:p w14:paraId="71BDBB29">
            <w:pPr>
              <w:rPr>
                <w:rFonts w:ascii="Arial"/>
                <w:sz w:val="21"/>
              </w:rPr>
            </w:pPr>
          </w:p>
        </w:tc>
        <w:tc>
          <w:tcPr>
            <w:tcW w:w="749" w:type="dxa"/>
            <w:vAlign w:val="top"/>
          </w:tcPr>
          <w:p w14:paraId="20D8F4FF">
            <w:pPr>
              <w:rPr>
                <w:rFonts w:ascii="Arial"/>
                <w:sz w:val="21"/>
              </w:rPr>
            </w:pPr>
          </w:p>
        </w:tc>
        <w:tc>
          <w:tcPr>
            <w:tcW w:w="1359" w:type="dxa"/>
            <w:vAlign w:val="top"/>
          </w:tcPr>
          <w:p w14:paraId="05BC7938">
            <w:pPr>
              <w:rPr>
                <w:rFonts w:ascii="Arial"/>
                <w:sz w:val="21"/>
              </w:rPr>
            </w:pPr>
          </w:p>
        </w:tc>
        <w:tc>
          <w:tcPr>
            <w:tcW w:w="1418" w:type="dxa"/>
            <w:vAlign w:val="top"/>
          </w:tcPr>
          <w:p w14:paraId="277E9772">
            <w:pPr>
              <w:rPr>
                <w:rFonts w:ascii="Arial"/>
                <w:sz w:val="21"/>
              </w:rPr>
            </w:pPr>
          </w:p>
        </w:tc>
        <w:tc>
          <w:tcPr>
            <w:tcW w:w="1713" w:type="dxa"/>
            <w:vAlign w:val="top"/>
          </w:tcPr>
          <w:p w14:paraId="76179D24">
            <w:pPr>
              <w:rPr>
                <w:rFonts w:ascii="Arial"/>
                <w:sz w:val="21"/>
              </w:rPr>
            </w:pPr>
          </w:p>
        </w:tc>
      </w:tr>
      <w:tr w14:paraId="59C55F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trPr>
        <w:tc>
          <w:tcPr>
            <w:tcW w:w="964" w:type="dxa"/>
            <w:vAlign w:val="top"/>
          </w:tcPr>
          <w:p w14:paraId="01F11E6F">
            <w:pPr>
              <w:rPr>
                <w:rFonts w:ascii="Arial"/>
                <w:sz w:val="21"/>
              </w:rPr>
            </w:pPr>
          </w:p>
        </w:tc>
        <w:tc>
          <w:tcPr>
            <w:tcW w:w="1988" w:type="dxa"/>
            <w:vAlign w:val="top"/>
          </w:tcPr>
          <w:p w14:paraId="1C4EAC45">
            <w:pPr>
              <w:rPr>
                <w:rFonts w:ascii="Arial"/>
                <w:sz w:val="21"/>
              </w:rPr>
            </w:pPr>
          </w:p>
        </w:tc>
        <w:tc>
          <w:tcPr>
            <w:tcW w:w="859" w:type="dxa"/>
            <w:vAlign w:val="top"/>
          </w:tcPr>
          <w:p w14:paraId="39127A4E">
            <w:pPr>
              <w:rPr>
                <w:rFonts w:ascii="Arial"/>
                <w:sz w:val="21"/>
              </w:rPr>
            </w:pPr>
          </w:p>
        </w:tc>
        <w:tc>
          <w:tcPr>
            <w:tcW w:w="749" w:type="dxa"/>
            <w:vAlign w:val="top"/>
          </w:tcPr>
          <w:p w14:paraId="7F2CA0A9">
            <w:pPr>
              <w:rPr>
                <w:rFonts w:ascii="Arial"/>
                <w:sz w:val="21"/>
              </w:rPr>
            </w:pPr>
          </w:p>
        </w:tc>
        <w:tc>
          <w:tcPr>
            <w:tcW w:w="1359" w:type="dxa"/>
            <w:vAlign w:val="top"/>
          </w:tcPr>
          <w:p w14:paraId="67602229">
            <w:pPr>
              <w:rPr>
                <w:rFonts w:ascii="Arial"/>
                <w:sz w:val="21"/>
              </w:rPr>
            </w:pPr>
          </w:p>
        </w:tc>
        <w:tc>
          <w:tcPr>
            <w:tcW w:w="1418" w:type="dxa"/>
            <w:vAlign w:val="top"/>
          </w:tcPr>
          <w:p w14:paraId="74BCADBF">
            <w:pPr>
              <w:rPr>
                <w:rFonts w:ascii="Arial"/>
                <w:sz w:val="21"/>
              </w:rPr>
            </w:pPr>
          </w:p>
        </w:tc>
        <w:tc>
          <w:tcPr>
            <w:tcW w:w="1713" w:type="dxa"/>
            <w:vAlign w:val="top"/>
          </w:tcPr>
          <w:p w14:paraId="56C2B0ED">
            <w:pPr>
              <w:rPr>
                <w:rFonts w:ascii="Arial"/>
                <w:sz w:val="21"/>
              </w:rPr>
            </w:pPr>
          </w:p>
        </w:tc>
      </w:tr>
      <w:tr w14:paraId="48484A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964" w:type="dxa"/>
            <w:vAlign w:val="top"/>
          </w:tcPr>
          <w:p w14:paraId="4D5D6DC9">
            <w:pPr>
              <w:rPr>
                <w:rFonts w:ascii="Arial"/>
                <w:sz w:val="21"/>
              </w:rPr>
            </w:pPr>
          </w:p>
        </w:tc>
        <w:tc>
          <w:tcPr>
            <w:tcW w:w="1988" w:type="dxa"/>
            <w:vAlign w:val="top"/>
          </w:tcPr>
          <w:p w14:paraId="6CA3D919">
            <w:pPr>
              <w:rPr>
                <w:rFonts w:ascii="Arial"/>
                <w:sz w:val="21"/>
              </w:rPr>
            </w:pPr>
          </w:p>
        </w:tc>
        <w:tc>
          <w:tcPr>
            <w:tcW w:w="859" w:type="dxa"/>
            <w:vAlign w:val="top"/>
          </w:tcPr>
          <w:p w14:paraId="22223F1B">
            <w:pPr>
              <w:rPr>
                <w:rFonts w:ascii="Arial"/>
                <w:sz w:val="21"/>
              </w:rPr>
            </w:pPr>
          </w:p>
        </w:tc>
        <w:tc>
          <w:tcPr>
            <w:tcW w:w="749" w:type="dxa"/>
            <w:vAlign w:val="top"/>
          </w:tcPr>
          <w:p w14:paraId="4B388A06">
            <w:pPr>
              <w:rPr>
                <w:rFonts w:ascii="Arial"/>
                <w:sz w:val="21"/>
              </w:rPr>
            </w:pPr>
          </w:p>
        </w:tc>
        <w:tc>
          <w:tcPr>
            <w:tcW w:w="1359" w:type="dxa"/>
            <w:vAlign w:val="top"/>
          </w:tcPr>
          <w:p w14:paraId="482AE786">
            <w:pPr>
              <w:rPr>
                <w:rFonts w:ascii="Arial"/>
                <w:sz w:val="21"/>
              </w:rPr>
            </w:pPr>
          </w:p>
        </w:tc>
        <w:tc>
          <w:tcPr>
            <w:tcW w:w="1418" w:type="dxa"/>
            <w:vAlign w:val="top"/>
          </w:tcPr>
          <w:p w14:paraId="745E5024">
            <w:pPr>
              <w:rPr>
                <w:rFonts w:ascii="Arial"/>
                <w:sz w:val="21"/>
              </w:rPr>
            </w:pPr>
          </w:p>
        </w:tc>
        <w:tc>
          <w:tcPr>
            <w:tcW w:w="1713" w:type="dxa"/>
            <w:vAlign w:val="top"/>
          </w:tcPr>
          <w:p w14:paraId="17F170BC">
            <w:pPr>
              <w:rPr>
                <w:rFonts w:ascii="Arial"/>
                <w:sz w:val="21"/>
              </w:rPr>
            </w:pPr>
          </w:p>
        </w:tc>
      </w:tr>
      <w:tr w14:paraId="31986D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trPr>
        <w:tc>
          <w:tcPr>
            <w:tcW w:w="964" w:type="dxa"/>
            <w:vAlign w:val="top"/>
          </w:tcPr>
          <w:p w14:paraId="7FAAAB77">
            <w:pPr>
              <w:rPr>
                <w:rFonts w:ascii="Arial"/>
                <w:sz w:val="21"/>
              </w:rPr>
            </w:pPr>
          </w:p>
        </w:tc>
        <w:tc>
          <w:tcPr>
            <w:tcW w:w="1988" w:type="dxa"/>
            <w:vAlign w:val="top"/>
          </w:tcPr>
          <w:p w14:paraId="21AED927">
            <w:pPr>
              <w:rPr>
                <w:rFonts w:ascii="Arial"/>
                <w:sz w:val="21"/>
              </w:rPr>
            </w:pPr>
          </w:p>
        </w:tc>
        <w:tc>
          <w:tcPr>
            <w:tcW w:w="859" w:type="dxa"/>
            <w:vAlign w:val="top"/>
          </w:tcPr>
          <w:p w14:paraId="3A7D05D6">
            <w:pPr>
              <w:rPr>
                <w:rFonts w:ascii="Arial"/>
                <w:sz w:val="21"/>
              </w:rPr>
            </w:pPr>
          </w:p>
        </w:tc>
        <w:tc>
          <w:tcPr>
            <w:tcW w:w="749" w:type="dxa"/>
            <w:vAlign w:val="top"/>
          </w:tcPr>
          <w:p w14:paraId="087654F9">
            <w:pPr>
              <w:rPr>
                <w:rFonts w:ascii="Arial"/>
                <w:sz w:val="21"/>
              </w:rPr>
            </w:pPr>
          </w:p>
        </w:tc>
        <w:tc>
          <w:tcPr>
            <w:tcW w:w="1359" w:type="dxa"/>
            <w:vAlign w:val="top"/>
          </w:tcPr>
          <w:p w14:paraId="45D588E3">
            <w:pPr>
              <w:rPr>
                <w:rFonts w:ascii="Arial"/>
                <w:sz w:val="21"/>
              </w:rPr>
            </w:pPr>
          </w:p>
        </w:tc>
        <w:tc>
          <w:tcPr>
            <w:tcW w:w="1418" w:type="dxa"/>
            <w:vAlign w:val="top"/>
          </w:tcPr>
          <w:p w14:paraId="487528F3">
            <w:pPr>
              <w:rPr>
                <w:rFonts w:ascii="Arial"/>
                <w:sz w:val="21"/>
              </w:rPr>
            </w:pPr>
          </w:p>
        </w:tc>
        <w:tc>
          <w:tcPr>
            <w:tcW w:w="1713" w:type="dxa"/>
            <w:vAlign w:val="top"/>
          </w:tcPr>
          <w:p w14:paraId="771992D8">
            <w:pPr>
              <w:rPr>
                <w:rFonts w:ascii="Arial"/>
                <w:sz w:val="21"/>
              </w:rPr>
            </w:pPr>
          </w:p>
        </w:tc>
      </w:tr>
      <w:tr w14:paraId="440F62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trPr>
        <w:tc>
          <w:tcPr>
            <w:tcW w:w="964" w:type="dxa"/>
            <w:vAlign w:val="top"/>
          </w:tcPr>
          <w:p w14:paraId="42B99B38">
            <w:pPr>
              <w:rPr>
                <w:rFonts w:ascii="Arial"/>
                <w:sz w:val="21"/>
              </w:rPr>
            </w:pPr>
          </w:p>
        </w:tc>
        <w:tc>
          <w:tcPr>
            <w:tcW w:w="1988" w:type="dxa"/>
            <w:vAlign w:val="top"/>
          </w:tcPr>
          <w:p w14:paraId="04D91DAF">
            <w:pPr>
              <w:rPr>
                <w:rFonts w:ascii="Arial"/>
                <w:sz w:val="21"/>
              </w:rPr>
            </w:pPr>
          </w:p>
        </w:tc>
        <w:tc>
          <w:tcPr>
            <w:tcW w:w="859" w:type="dxa"/>
            <w:vAlign w:val="top"/>
          </w:tcPr>
          <w:p w14:paraId="507CD930">
            <w:pPr>
              <w:rPr>
                <w:rFonts w:ascii="Arial"/>
                <w:sz w:val="21"/>
              </w:rPr>
            </w:pPr>
          </w:p>
        </w:tc>
        <w:tc>
          <w:tcPr>
            <w:tcW w:w="749" w:type="dxa"/>
            <w:vAlign w:val="top"/>
          </w:tcPr>
          <w:p w14:paraId="603F886B">
            <w:pPr>
              <w:rPr>
                <w:rFonts w:ascii="Arial"/>
                <w:sz w:val="21"/>
              </w:rPr>
            </w:pPr>
          </w:p>
        </w:tc>
        <w:tc>
          <w:tcPr>
            <w:tcW w:w="1359" w:type="dxa"/>
            <w:vAlign w:val="top"/>
          </w:tcPr>
          <w:p w14:paraId="372FDFAB">
            <w:pPr>
              <w:rPr>
                <w:rFonts w:ascii="Arial"/>
                <w:sz w:val="21"/>
              </w:rPr>
            </w:pPr>
          </w:p>
        </w:tc>
        <w:tc>
          <w:tcPr>
            <w:tcW w:w="1418" w:type="dxa"/>
            <w:vAlign w:val="top"/>
          </w:tcPr>
          <w:p w14:paraId="03F29956">
            <w:pPr>
              <w:rPr>
                <w:rFonts w:ascii="Arial"/>
                <w:sz w:val="21"/>
              </w:rPr>
            </w:pPr>
          </w:p>
        </w:tc>
        <w:tc>
          <w:tcPr>
            <w:tcW w:w="1713" w:type="dxa"/>
            <w:vAlign w:val="top"/>
          </w:tcPr>
          <w:p w14:paraId="7BADE103">
            <w:pPr>
              <w:rPr>
                <w:rFonts w:ascii="Arial"/>
                <w:sz w:val="21"/>
              </w:rPr>
            </w:pPr>
          </w:p>
        </w:tc>
      </w:tr>
      <w:tr w14:paraId="1CFBA0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964" w:type="dxa"/>
            <w:vAlign w:val="top"/>
          </w:tcPr>
          <w:p w14:paraId="42DF1CED">
            <w:pPr>
              <w:rPr>
                <w:rFonts w:ascii="Arial"/>
                <w:sz w:val="21"/>
              </w:rPr>
            </w:pPr>
          </w:p>
        </w:tc>
        <w:tc>
          <w:tcPr>
            <w:tcW w:w="1988" w:type="dxa"/>
            <w:vAlign w:val="top"/>
          </w:tcPr>
          <w:p w14:paraId="62B8E9BD">
            <w:pPr>
              <w:rPr>
                <w:rFonts w:ascii="Arial"/>
                <w:sz w:val="21"/>
              </w:rPr>
            </w:pPr>
          </w:p>
        </w:tc>
        <w:tc>
          <w:tcPr>
            <w:tcW w:w="859" w:type="dxa"/>
            <w:vAlign w:val="top"/>
          </w:tcPr>
          <w:p w14:paraId="44B4114D">
            <w:pPr>
              <w:rPr>
                <w:rFonts w:ascii="Arial"/>
                <w:sz w:val="21"/>
              </w:rPr>
            </w:pPr>
          </w:p>
        </w:tc>
        <w:tc>
          <w:tcPr>
            <w:tcW w:w="749" w:type="dxa"/>
            <w:vAlign w:val="top"/>
          </w:tcPr>
          <w:p w14:paraId="56BC58D9">
            <w:pPr>
              <w:rPr>
                <w:rFonts w:ascii="Arial"/>
                <w:sz w:val="21"/>
              </w:rPr>
            </w:pPr>
          </w:p>
        </w:tc>
        <w:tc>
          <w:tcPr>
            <w:tcW w:w="1359" w:type="dxa"/>
            <w:vAlign w:val="top"/>
          </w:tcPr>
          <w:p w14:paraId="5B3ACE1C">
            <w:pPr>
              <w:rPr>
                <w:rFonts w:ascii="Arial"/>
                <w:sz w:val="21"/>
              </w:rPr>
            </w:pPr>
          </w:p>
        </w:tc>
        <w:tc>
          <w:tcPr>
            <w:tcW w:w="1418" w:type="dxa"/>
            <w:vAlign w:val="top"/>
          </w:tcPr>
          <w:p w14:paraId="250EA059">
            <w:pPr>
              <w:rPr>
                <w:rFonts w:ascii="Arial"/>
                <w:sz w:val="21"/>
              </w:rPr>
            </w:pPr>
          </w:p>
        </w:tc>
        <w:tc>
          <w:tcPr>
            <w:tcW w:w="1713" w:type="dxa"/>
            <w:vAlign w:val="top"/>
          </w:tcPr>
          <w:p w14:paraId="62FB6868">
            <w:pPr>
              <w:rPr>
                <w:rFonts w:ascii="Arial"/>
                <w:sz w:val="21"/>
              </w:rPr>
            </w:pPr>
          </w:p>
        </w:tc>
      </w:tr>
      <w:tr w14:paraId="755E7A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964" w:type="dxa"/>
            <w:vAlign w:val="top"/>
          </w:tcPr>
          <w:p w14:paraId="20C135CC">
            <w:pPr>
              <w:rPr>
                <w:rFonts w:ascii="Arial"/>
                <w:sz w:val="21"/>
              </w:rPr>
            </w:pPr>
          </w:p>
        </w:tc>
        <w:tc>
          <w:tcPr>
            <w:tcW w:w="1988" w:type="dxa"/>
            <w:vAlign w:val="top"/>
          </w:tcPr>
          <w:p w14:paraId="5D7BFC6F">
            <w:pPr>
              <w:rPr>
                <w:rFonts w:ascii="Arial"/>
                <w:sz w:val="21"/>
              </w:rPr>
            </w:pPr>
          </w:p>
        </w:tc>
        <w:tc>
          <w:tcPr>
            <w:tcW w:w="859" w:type="dxa"/>
            <w:vAlign w:val="top"/>
          </w:tcPr>
          <w:p w14:paraId="5F194A3B">
            <w:pPr>
              <w:rPr>
                <w:rFonts w:ascii="Arial"/>
                <w:sz w:val="21"/>
              </w:rPr>
            </w:pPr>
          </w:p>
        </w:tc>
        <w:tc>
          <w:tcPr>
            <w:tcW w:w="749" w:type="dxa"/>
            <w:vAlign w:val="top"/>
          </w:tcPr>
          <w:p w14:paraId="45AB60A3">
            <w:pPr>
              <w:rPr>
                <w:rFonts w:ascii="Arial"/>
                <w:sz w:val="21"/>
              </w:rPr>
            </w:pPr>
          </w:p>
        </w:tc>
        <w:tc>
          <w:tcPr>
            <w:tcW w:w="1359" w:type="dxa"/>
            <w:vAlign w:val="top"/>
          </w:tcPr>
          <w:p w14:paraId="2DA6FEE1">
            <w:pPr>
              <w:rPr>
                <w:rFonts w:ascii="Arial"/>
                <w:sz w:val="21"/>
              </w:rPr>
            </w:pPr>
          </w:p>
        </w:tc>
        <w:tc>
          <w:tcPr>
            <w:tcW w:w="1418" w:type="dxa"/>
            <w:vAlign w:val="top"/>
          </w:tcPr>
          <w:p w14:paraId="3747EA0B">
            <w:pPr>
              <w:rPr>
                <w:rFonts w:ascii="Arial"/>
                <w:sz w:val="21"/>
              </w:rPr>
            </w:pPr>
          </w:p>
        </w:tc>
        <w:tc>
          <w:tcPr>
            <w:tcW w:w="1713" w:type="dxa"/>
            <w:vAlign w:val="top"/>
          </w:tcPr>
          <w:p w14:paraId="5352F044">
            <w:pPr>
              <w:rPr>
                <w:rFonts w:ascii="Arial"/>
                <w:sz w:val="21"/>
              </w:rPr>
            </w:pPr>
          </w:p>
        </w:tc>
      </w:tr>
      <w:tr w14:paraId="3ADD32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trPr>
        <w:tc>
          <w:tcPr>
            <w:tcW w:w="964" w:type="dxa"/>
            <w:vAlign w:val="top"/>
          </w:tcPr>
          <w:p w14:paraId="553F0057">
            <w:pPr>
              <w:rPr>
                <w:rFonts w:ascii="Arial"/>
                <w:sz w:val="21"/>
              </w:rPr>
            </w:pPr>
          </w:p>
        </w:tc>
        <w:tc>
          <w:tcPr>
            <w:tcW w:w="1988" w:type="dxa"/>
            <w:vAlign w:val="top"/>
          </w:tcPr>
          <w:p w14:paraId="12BF9AD3">
            <w:pPr>
              <w:rPr>
                <w:rFonts w:ascii="Arial"/>
                <w:sz w:val="21"/>
              </w:rPr>
            </w:pPr>
          </w:p>
        </w:tc>
        <w:tc>
          <w:tcPr>
            <w:tcW w:w="859" w:type="dxa"/>
            <w:vAlign w:val="top"/>
          </w:tcPr>
          <w:p w14:paraId="28A2BDC2">
            <w:pPr>
              <w:rPr>
                <w:rFonts w:ascii="Arial"/>
                <w:sz w:val="21"/>
              </w:rPr>
            </w:pPr>
          </w:p>
        </w:tc>
        <w:tc>
          <w:tcPr>
            <w:tcW w:w="749" w:type="dxa"/>
            <w:vAlign w:val="top"/>
          </w:tcPr>
          <w:p w14:paraId="0901FF39">
            <w:pPr>
              <w:rPr>
                <w:rFonts w:ascii="Arial"/>
                <w:sz w:val="21"/>
              </w:rPr>
            </w:pPr>
          </w:p>
        </w:tc>
        <w:tc>
          <w:tcPr>
            <w:tcW w:w="1359" w:type="dxa"/>
            <w:vAlign w:val="top"/>
          </w:tcPr>
          <w:p w14:paraId="384408D7">
            <w:pPr>
              <w:rPr>
                <w:rFonts w:ascii="Arial"/>
                <w:sz w:val="21"/>
              </w:rPr>
            </w:pPr>
          </w:p>
        </w:tc>
        <w:tc>
          <w:tcPr>
            <w:tcW w:w="1418" w:type="dxa"/>
            <w:vAlign w:val="top"/>
          </w:tcPr>
          <w:p w14:paraId="25309264">
            <w:pPr>
              <w:rPr>
                <w:rFonts w:ascii="Arial"/>
                <w:sz w:val="21"/>
              </w:rPr>
            </w:pPr>
          </w:p>
        </w:tc>
        <w:tc>
          <w:tcPr>
            <w:tcW w:w="1713" w:type="dxa"/>
            <w:vAlign w:val="top"/>
          </w:tcPr>
          <w:p w14:paraId="33492688">
            <w:pPr>
              <w:rPr>
                <w:rFonts w:ascii="Arial"/>
                <w:sz w:val="21"/>
              </w:rPr>
            </w:pPr>
          </w:p>
        </w:tc>
      </w:tr>
      <w:tr w14:paraId="1164F2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964" w:type="dxa"/>
            <w:vAlign w:val="top"/>
          </w:tcPr>
          <w:p w14:paraId="3F78C3D5">
            <w:pPr>
              <w:rPr>
                <w:rFonts w:ascii="Arial"/>
                <w:sz w:val="21"/>
              </w:rPr>
            </w:pPr>
          </w:p>
        </w:tc>
        <w:tc>
          <w:tcPr>
            <w:tcW w:w="1988" w:type="dxa"/>
            <w:vAlign w:val="top"/>
          </w:tcPr>
          <w:p w14:paraId="09E07101">
            <w:pPr>
              <w:rPr>
                <w:rFonts w:ascii="Arial"/>
                <w:sz w:val="21"/>
              </w:rPr>
            </w:pPr>
          </w:p>
        </w:tc>
        <w:tc>
          <w:tcPr>
            <w:tcW w:w="859" w:type="dxa"/>
            <w:vAlign w:val="top"/>
          </w:tcPr>
          <w:p w14:paraId="303FC431">
            <w:pPr>
              <w:rPr>
                <w:rFonts w:ascii="Arial"/>
                <w:sz w:val="21"/>
              </w:rPr>
            </w:pPr>
          </w:p>
        </w:tc>
        <w:tc>
          <w:tcPr>
            <w:tcW w:w="749" w:type="dxa"/>
            <w:vAlign w:val="top"/>
          </w:tcPr>
          <w:p w14:paraId="727C4FFB">
            <w:pPr>
              <w:rPr>
                <w:rFonts w:ascii="Arial"/>
                <w:sz w:val="21"/>
              </w:rPr>
            </w:pPr>
          </w:p>
        </w:tc>
        <w:tc>
          <w:tcPr>
            <w:tcW w:w="1359" w:type="dxa"/>
            <w:vAlign w:val="top"/>
          </w:tcPr>
          <w:p w14:paraId="11FB0E63">
            <w:pPr>
              <w:rPr>
                <w:rFonts w:ascii="Arial"/>
                <w:sz w:val="21"/>
              </w:rPr>
            </w:pPr>
          </w:p>
        </w:tc>
        <w:tc>
          <w:tcPr>
            <w:tcW w:w="1418" w:type="dxa"/>
            <w:vAlign w:val="top"/>
          </w:tcPr>
          <w:p w14:paraId="4409C19F">
            <w:pPr>
              <w:rPr>
                <w:rFonts w:ascii="Arial"/>
                <w:sz w:val="21"/>
              </w:rPr>
            </w:pPr>
          </w:p>
        </w:tc>
        <w:tc>
          <w:tcPr>
            <w:tcW w:w="1713" w:type="dxa"/>
            <w:vAlign w:val="top"/>
          </w:tcPr>
          <w:p w14:paraId="7A2E2559">
            <w:pPr>
              <w:rPr>
                <w:rFonts w:ascii="Arial"/>
                <w:sz w:val="21"/>
              </w:rPr>
            </w:pPr>
          </w:p>
        </w:tc>
      </w:tr>
      <w:tr w14:paraId="6BD199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9" w:hRule="atLeast"/>
        </w:trPr>
        <w:tc>
          <w:tcPr>
            <w:tcW w:w="964" w:type="dxa"/>
            <w:vAlign w:val="top"/>
          </w:tcPr>
          <w:p w14:paraId="22B881DA">
            <w:pPr>
              <w:rPr>
                <w:rFonts w:ascii="Arial"/>
                <w:sz w:val="21"/>
              </w:rPr>
            </w:pPr>
          </w:p>
        </w:tc>
        <w:tc>
          <w:tcPr>
            <w:tcW w:w="1988" w:type="dxa"/>
            <w:vAlign w:val="top"/>
          </w:tcPr>
          <w:p w14:paraId="14217F5F">
            <w:pPr>
              <w:rPr>
                <w:rFonts w:ascii="Arial"/>
                <w:sz w:val="21"/>
              </w:rPr>
            </w:pPr>
          </w:p>
        </w:tc>
        <w:tc>
          <w:tcPr>
            <w:tcW w:w="859" w:type="dxa"/>
            <w:vAlign w:val="top"/>
          </w:tcPr>
          <w:p w14:paraId="728E8A4D">
            <w:pPr>
              <w:rPr>
                <w:rFonts w:ascii="Arial"/>
                <w:sz w:val="21"/>
              </w:rPr>
            </w:pPr>
          </w:p>
        </w:tc>
        <w:tc>
          <w:tcPr>
            <w:tcW w:w="749" w:type="dxa"/>
            <w:vAlign w:val="top"/>
          </w:tcPr>
          <w:p w14:paraId="54FB98BB">
            <w:pPr>
              <w:rPr>
                <w:rFonts w:ascii="Arial"/>
                <w:sz w:val="21"/>
              </w:rPr>
            </w:pPr>
          </w:p>
        </w:tc>
        <w:tc>
          <w:tcPr>
            <w:tcW w:w="1359" w:type="dxa"/>
            <w:vAlign w:val="top"/>
          </w:tcPr>
          <w:p w14:paraId="062E1F81">
            <w:pPr>
              <w:rPr>
                <w:rFonts w:ascii="Arial"/>
                <w:sz w:val="21"/>
              </w:rPr>
            </w:pPr>
          </w:p>
        </w:tc>
        <w:tc>
          <w:tcPr>
            <w:tcW w:w="1418" w:type="dxa"/>
            <w:vAlign w:val="top"/>
          </w:tcPr>
          <w:p w14:paraId="7D557B74">
            <w:pPr>
              <w:rPr>
                <w:rFonts w:ascii="Arial"/>
                <w:sz w:val="21"/>
              </w:rPr>
            </w:pPr>
          </w:p>
        </w:tc>
        <w:tc>
          <w:tcPr>
            <w:tcW w:w="1713" w:type="dxa"/>
            <w:vAlign w:val="top"/>
          </w:tcPr>
          <w:p w14:paraId="7C200D52">
            <w:pPr>
              <w:rPr>
                <w:rFonts w:ascii="Arial"/>
                <w:sz w:val="21"/>
              </w:rPr>
            </w:pPr>
          </w:p>
        </w:tc>
      </w:tr>
      <w:tr w14:paraId="564BD8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trPr>
        <w:tc>
          <w:tcPr>
            <w:tcW w:w="964" w:type="dxa"/>
            <w:vAlign w:val="top"/>
          </w:tcPr>
          <w:p w14:paraId="41A900BB">
            <w:pPr>
              <w:rPr>
                <w:rFonts w:ascii="Arial"/>
                <w:sz w:val="21"/>
              </w:rPr>
            </w:pPr>
          </w:p>
        </w:tc>
        <w:tc>
          <w:tcPr>
            <w:tcW w:w="1988" w:type="dxa"/>
            <w:vAlign w:val="top"/>
          </w:tcPr>
          <w:p w14:paraId="4832C845">
            <w:pPr>
              <w:rPr>
                <w:rFonts w:ascii="Arial"/>
                <w:sz w:val="21"/>
              </w:rPr>
            </w:pPr>
          </w:p>
        </w:tc>
        <w:tc>
          <w:tcPr>
            <w:tcW w:w="859" w:type="dxa"/>
            <w:vAlign w:val="top"/>
          </w:tcPr>
          <w:p w14:paraId="420C4B08">
            <w:pPr>
              <w:rPr>
                <w:rFonts w:ascii="Arial"/>
                <w:sz w:val="21"/>
              </w:rPr>
            </w:pPr>
          </w:p>
        </w:tc>
        <w:tc>
          <w:tcPr>
            <w:tcW w:w="749" w:type="dxa"/>
            <w:vAlign w:val="top"/>
          </w:tcPr>
          <w:p w14:paraId="3D0451BC">
            <w:pPr>
              <w:rPr>
                <w:rFonts w:ascii="Arial"/>
                <w:sz w:val="21"/>
              </w:rPr>
            </w:pPr>
          </w:p>
        </w:tc>
        <w:tc>
          <w:tcPr>
            <w:tcW w:w="1359" w:type="dxa"/>
            <w:vAlign w:val="top"/>
          </w:tcPr>
          <w:p w14:paraId="4AF4321E">
            <w:pPr>
              <w:rPr>
                <w:rFonts w:ascii="Arial"/>
                <w:sz w:val="21"/>
              </w:rPr>
            </w:pPr>
          </w:p>
        </w:tc>
        <w:tc>
          <w:tcPr>
            <w:tcW w:w="1418" w:type="dxa"/>
            <w:vAlign w:val="top"/>
          </w:tcPr>
          <w:p w14:paraId="14D304FE">
            <w:pPr>
              <w:rPr>
                <w:rFonts w:ascii="Arial"/>
                <w:sz w:val="21"/>
              </w:rPr>
            </w:pPr>
          </w:p>
        </w:tc>
        <w:tc>
          <w:tcPr>
            <w:tcW w:w="1713" w:type="dxa"/>
            <w:vAlign w:val="top"/>
          </w:tcPr>
          <w:p w14:paraId="3F5FBEAB">
            <w:pPr>
              <w:rPr>
                <w:rFonts w:ascii="Arial"/>
                <w:sz w:val="21"/>
              </w:rPr>
            </w:pPr>
          </w:p>
        </w:tc>
      </w:tr>
      <w:tr w14:paraId="41B988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964" w:type="dxa"/>
            <w:vAlign w:val="top"/>
          </w:tcPr>
          <w:p w14:paraId="7B43F70A">
            <w:pPr>
              <w:rPr>
                <w:rFonts w:ascii="Arial"/>
                <w:sz w:val="21"/>
              </w:rPr>
            </w:pPr>
          </w:p>
        </w:tc>
        <w:tc>
          <w:tcPr>
            <w:tcW w:w="1988" w:type="dxa"/>
            <w:vAlign w:val="top"/>
          </w:tcPr>
          <w:p w14:paraId="3B47E2BA">
            <w:pPr>
              <w:rPr>
                <w:rFonts w:ascii="Arial"/>
                <w:sz w:val="21"/>
              </w:rPr>
            </w:pPr>
          </w:p>
        </w:tc>
        <w:tc>
          <w:tcPr>
            <w:tcW w:w="859" w:type="dxa"/>
            <w:vAlign w:val="top"/>
          </w:tcPr>
          <w:p w14:paraId="130517B2">
            <w:pPr>
              <w:rPr>
                <w:rFonts w:ascii="Arial"/>
                <w:sz w:val="21"/>
              </w:rPr>
            </w:pPr>
          </w:p>
        </w:tc>
        <w:tc>
          <w:tcPr>
            <w:tcW w:w="749" w:type="dxa"/>
            <w:vAlign w:val="top"/>
          </w:tcPr>
          <w:p w14:paraId="6A1C7E64">
            <w:pPr>
              <w:rPr>
                <w:rFonts w:ascii="Arial"/>
                <w:sz w:val="21"/>
              </w:rPr>
            </w:pPr>
          </w:p>
        </w:tc>
        <w:tc>
          <w:tcPr>
            <w:tcW w:w="1359" w:type="dxa"/>
            <w:vAlign w:val="top"/>
          </w:tcPr>
          <w:p w14:paraId="32E79EB7">
            <w:pPr>
              <w:rPr>
                <w:rFonts w:ascii="Arial"/>
                <w:sz w:val="21"/>
              </w:rPr>
            </w:pPr>
          </w:p>
        </w:tc>
        <w:tc>
          <w:tcPr>
            <w:tcW w:w="1418" w:type="dxa"/>
            <w:vAlign w:val="top"/>
          </w:tcPr>
          <w:p w14:paraId="13DB6F4E">
            <w:pPr>
              <w:rPr>
                <w:rFonts w:ascii="Arial"/>
                <w:sz w:val="21"/>
              </w:rPr>
            </w:pPr>
          </w:p>
        </w:tc>
        <w:tc>
          <w:tcPr>
            <w:tcW w:w="1713" w:type="dxa"/>
            <w:vAlign w:val="top"/>
          </w:tcPr>
          <w:p w14:paraId="1B2A0709">
            <w:pPr>
              <w:rPr>
                <w:rFonts w:ascii="Arial"/>
                <w:sz w:val="21"/>
              </w:rPr>
            </w:pPr>
          </w:p>
        </w:tc>
      </w:tr>
      <w:tr w14:paraId="36277F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964" w:type="dxa"/>
            <w:vAlign w:val="top"/>
          </w:tcPr>
          <w:p w14:paraId="6F67C663">
            <w:pPr>
              <w:rPr>
                <w:rFonts w:ascii="Arial"/>
                <w:sz w:val="21"/>
              </w:rPr>
            </w:pPr>
          </w:p>
        </w:tc>
        <w:tc>
          <w:tcPr>
            <w:tcW w:w="1988" w:type="dxa"/>
            <w:vAlign w:val="top"/>
          </w:tcPr>
          <w:p w14:paraId="0E33CAD4">
            <w:pPr>
              <w:rPr>
                <w:rFonts w:ascii="Arial"/>
                <w:sz w:val="21"/>
              </w:rPr>
            </w:pPr>
          </w:p>
        </w:tc>
        <w:tc>
          <w:tcPr>
            <w:tcW w:w="859" w:type="dxa"/>
            <w:vAlign w:val="top"/>
          </w:tcPr>
          <w:p w14:paraId="1EEED31D">
            <w:pPr>
              <w:rPr>
                <w:rFonts w:ascii="Arial"/>
                <w:sz w:val="21"/>
              </w:rPr>
            </w:pPr>
          </w:p>
        </w:tc>
        <w:tc>
          <w:tcPr>
            <w:tcW w:w="749" w:type="dxa"/>
            <w:vAlign w:val="top"/>
          </w:tcPr>
          <w:p w14:paraId="7463DF02">
            <w:pPr>
              <w:rPr>
                <w:rFonts w:ascii="Arial"/>
                <w:sz w:val="21"/>
              </w:rPr>
            </w:pPr>
          </w:p>
        </w:tc>
        <w:tc>
          <w:tcPr>
            <w:tcW w:w="1359" w:type="dxa"/>
            <w:vAlign w:val="top"/>
          </w:tcPr>
          <w:p w14:paraId="6149B2EA">
            <w:pPr>
              <w:rPr>
                <w:rFonts w:ascii="Arial"/>
                <w:sz w:val="21"/>
              </w:rPr>
            </w:pPr>
          </w:p>
        </w:tc>
        <w:tc>
          <w:tcPr>
            <w:tcW w:w="1418" w:type="dxa"/>
            <w:vAlign w:val="top"/>
          </w:tcPr>
          <w:p w14:paraId="322C5AA6">
            <w:pPr>
              <w:rPr>
                <w:rFonts w:ascii="Arial"/>
                <w:sz w:val="21"/>
              </w:rPr>
            </w:pPr>
          </w:p>
        </w:tc>
        <w:tc>
          <w:tcPr>
            <w:tcW w:w="1713" w:type="dxa"/>
            <w:vAlign w:val="top"/>
          </w:tcPr>
          <w:p w14:paraId="431D6FD0">
            <w:pPr>
              <w:rPr>
                <w:rFonts w:ascii="Arial"/>
                <w:sz w:val="21"/>
              </w:rPr>
            </w:pPr>
          </w:p>
        </w:tc>
      </w:tr>
      <w:tr w14:paraId="0C99A6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9" w:hRule="atLeast"/>
        </w:trPr>
        <w:tc>
          <w:tcPr>
            <w:tcW w:w="964" w:type="dxa"/>
            <w:vAlign w:val="top"/>
          </w:tcPr>
          <w:p w14:paraId="26A39957">
            <w:pPr>
              <w:rPr>
                <w:rFonts w:ascii="Arial"/>
                <w:sz w:val="21"/>
              </w:rPr>
            </w:pPr>
          </w:p>
        </w:tc>
        <w:tc>
          <w:tcPr>
            <w:tcW w:w="1988" w:type="dxa"/>
            <w:vAlign w:val="top"/>
          </w:tcPr>
          <w:p w14:paraId="7D26228E">
            <w:pPr>
              <w:rPr>
                <w:rFonts w:ascii="Arial"/>
                <w:sz w:val="21"/>
              </w:rPr>
            </w:pPr>
          </w:p>
        </w:tc>
        <w:tc>
          <w:tcPr>
            <w:tcW w:w="859" w:type="dxa"/>
            <w:vAlign w:val="top"/>
          </w:tcPr>
          <w:p w14:paraId="70D33494">
            <w:pPr>
              <w:rPr>
                <w:rFonts w:ascii="Arial"/>
                <w:sz w:val="21"/>
              </w:rPr>
            </w:pPr>
          </w:p>
        </w:tc>
        <w:tc>
          <w:tcPr>
            <w:tcW w:w="749" w:type="dxa"/>
            <w:vAlign w:val="top"/>
          </w:tcPr>
          <w:p w14:paraId="037712BF">
            <w:pPr>
              <w:rPr>
                <w:rFonts w:ascii="Arial"/>
                <w:sz w:val="21"/>
              </w:rPr>
            </w:pPr>
          </w:p>
        </w:tc>
        <w:tc>
          <w:tcPr>
            <w:tcW w:w="1359" w:type="dxa"/>
            <w:vAlign w:val="top"/>
          </w:tcPr>
          <w:p w14:paraId="0F7DEF8D">
            <w:pPr>
              <w:rPr>
                <w:rFonts w:ascii="Arial"/>
                <w:sz w:val="21"/>
              </w:rPr>
            </w:pPr>
          </w:p>
        </w:tc>
        <w:tc>
          <w:tcPr>
            <w:tcW w:w="1418" w:type="dxa"/>
            <w:vAlign w:val="top"/>
          </w:tcPr>
          <w:p w14:paraId="7ADC596C">
            <w:pPr>
              <w:rPr>
                <w:rFonts w:ascii="Arial"/>
                <w:sz w:val="21"/>
              </w:rPr>
            </w:pPr>
          </w:p>
        </w:tc>
        <w:tc>
          <w:tcPr>
            <w:tcW w:w="1713" w:type="dxa"/>
            <w:vAlign w:val="top"/>
          </w:tcPr>
          <w:p w14:paraId="753E95F1">
            <w:pPr>
              <w:rPr>
                <w:rFonts w:ascii="Arial"/>
                <w:sz w:val="21"/>
              </w:rPr>
            </w:pPr>
          </w:p>
        </w:tc>
      </w:tr>
      <w:tr w14:paraId="29DED6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964" w:type="dxa"/>
            <w:vAlign w:val="top"/>
          </w:tcPr>
          <w:p w14:paraId="5A33AF2C">
            <w:pPr>
              <w:rPr>
                <w:rFonts w:ascii="Arial"/>
                <w:sz w:val="21"/>
              </w:rPr>
            </w:pPr>
          </w:p>
        </w:tc>
        <w:tc>
          <w:tcPr>
            <w:tcW w:w="1988" w:type="dxa"/>
            <w:vAlign w:val="top"/>
          </w:tcPr>
          <w:p w14:paraId="302D4D3B">
            <w:pPr>
              <w:rPr>
                <w:rFonts w:ascii="Arial"/>
                <w:sz w:val="21"/>
              </w:rPr>
            </w:pPr>
          </w:p>
        </w:tc>
        <w:tc>
          <w:tcPr>
            <w:tcW w:w="859" w:type="dxa"/>
            <w:vAlign w:val="top"/>
          </w:tcPr>
          <w:p w14:paraId="6A2EB4E5">
            <w:pPr>
              <w:rPr>
                <w:rFonts w:ascii="Arial"/>
                <w:sz w:val="21"/>
              </w:rPr>
            </w:pPr>
          </w:p>
        </w:tc>
        <w:tc>
          <w:tcPr>
            <w:tcW w:w="749" w:type="dxa"/>
            <w:vAlign w:val="top"/>
          </w:tcPr>
          <w:p w14:paraId="1A55F6C9">
            <w:pPr>
              <w:rPr>
                <w:rFonts w:ascii="Arial"/>
                <w:sz w:val="21"/>
              </w:rPr>
            </w:pPr>
          </w:p>
        </w:tc>
        <w:tc>
          <w:tcPr>
            <w:tcW w:w="1359" w:type="dxa"/>
            <w:vAlign w:val="top"/>
          </w:tcPr>
          <w:p w14:paraId="778C282C">
            <w:pPr>
              <w:rPr>
                <w:rFonts w:ascii="Arial"/>
                <w:sz w:val="21"/>
              </w:rPr>
            </w:pPr>
          </w:p>
        </w:tc>
        <w:tc>
          <w:tcPr>
            <w:tcW w:w="1418" w:type="dxa"/>
            <w:vAlign w:val="top"/>
          </w:tcPr>
          <w:p w14:paraId="6D801C26">
            <w:pPr>
              <w:rPr>
                <w:rFonts w:ascii="Arial"/>
                <w:sz w:val="21"/>
              </w:rPr>
            </w:pPr>
          </w:p>
        </w:tc>
        <w:tc>
          <w:tcPr>
            <w:tcW w:w="1713" w:type="dxa"/>
            <w:vAlign w:val="top"/>
          </w:tcPr>
          <w:p w14:paraId="34E80631">
            <w:pPr>
              <w:rPr>
                <w:rFonts w:ascii="Arial"/>
                <w:sz w:val="21"/>
              </w:rPr>
            </w:pPr>
          </w:p>
        </w:tc>
      </w:tr>
      <w:tr w14:paraId="717158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5" w:hRule="atLeast"/>
        </w:trPr>
        <w:tc>
          <w:tcPr>
            <w:tcW w:w="964" w:type="dxa"/>
            <w:vAlign w:val="top"/>
          </w:tcPr>
          <w:p w14:paraId="191AB986">
            <w:pPr>
              <w:rPr>
                <w:rFonts w:ascii="Arial"/>
                <w:sz w:val="21"/>
              </w:rPr>
            </w:pPr>
          </w:p>
        </w:tc>
        <w:tc>
          <w:tcPr>
            <w:tcW w:w="1988" w:type="dxa"/>
            <w:vAlign w:val="top"/>
          </w:tcPr>
          <w:p w14:paraId="77C1CED6">
            <w:pPr>
              <w:rPr>
                <w:rFonts w:ascii="Arial"/>
                <w:sz w:val="21"/>
              </w:rPr>
            </w:pPr>
          </w:p>
        </w:tc>
        <w:tc>
          <w:tcPr>
            <w:tcW w:w="859" w:type="dxa"/>
            <w:vAlign w:val="top"/>
          </w:tcPr>
          <w:p w14:paraId="7DD8404F">
            <w:pPr>
              <w:rPr>
                <w:rFonts w:ascii="Arial"/>
                <w:sz w:val="21"/>
              </w:rPr>
            </w:pPr>
          </w:p>
        </w:tc>
        <w:tc>
          <w:tcPr>
            <w:tcW w:w="749" w:type="dxa"/>
            <w:vAlign w:val="top"/>
          </w:tcPr>
          <w:p w14:paraId="65FDAC86">
            <w:pPr>
              <w:rPr>
                <w:rFonts w:ascii="Arial"/>
                <w:sz w:val="21"/>
              </w:rPr>
            </w:pPr>
          </w:p>
        </w:tc>
        <w:tc>
          <w:tcPr>
            <w:tcW w:w="1359" w:type="dxa"/>
            <w:vAlign w:val="top"/>
          </w:tcPr>
          <w:p w14:paraId="6C3380EF">
            <w:pPr>
              <w:rPr>
                <w:rFonts w:ascii="Arial"/>
                <w:sz w:val="21"/>
              </w:rPr>
            </w:pPr>
          </w:p>
        </w:tc>
        <w:tc>
          <w:tcPr>
            <w:tcW w:w="1418" w:type="dxa"/>
            <w:vAlign w:val="top"/>
          </w:tcPr>
          <w:p w14:paraId="51EA3F1E">
            <w:pPr>
              <w:rPr>
                <w:rFonts w:ascii="Arial"/>
                <w:sz w:val="21"/>
              </w:rPr>
            </w:pPr>
          </w:p>
        </w:tc>
        <w:tc>
          <w:tcPr>
            <w:tcW w:w="1713" w:type="dxa"/>
            <w:vAlign w:val="top"/>
          </w:tcPr>
          <w:p w14:paraId="1D241BBB">
            <w:pPr>
              <w:rPr>
                <w:rFonts w:ascii="Arial"/>
                <w:sz w:val="21"/>
              </w:rPr>
            </w:pPr>
          </w:p>
        </w:tc>
      </w:tr>
    </w:tbl>
    <w:p w14:paraId="26584567">
      <w:pPr>
        <w:rPr>
          <w:rFonts w:ascii="Arial"/>
          <w:sz w:val="21"/>
        </w:rPr>
      </w:pPr>
    </w:p>
    <w:p w14:paraId="36F8252A">
      <w:pPr>
        <w:rPr>
          <w:rFonts w:ascii="Arial" w:hAnsi="Arial" w:eastAsia="Arial" w:cs="Arial"/>
          <w:sz w:val="21"/>
          <w:szCs w:val="21"/>
        </w:rPr>
        <w:sectPr>
          <w:footerReference r:id="rId285" w:type="default"/>
          <w:pgSz w:w="11910" w:h="16840"/>
          <w:pgMar w:top="400" w:right="1514" w:bottom="1024" w:left="1334" w:header="0" w:footer="889" w:gutter="0"/>
          <w:cols w:space="720" w:num="1"/>
        </w:sectPr>
      </w:pPr>
    </w:p>
    <w:p w14:paraId="223F3A04">
      <w:pPr>
        <w:spacing w:line="284" w:lineRule="auto"/>
        <w:rPr>
          <w:rFonts w:ascii="Arial"/>
          <w:sz w:val="21"/>
        </w:rPr>
      </w:pPr>
    </w:p>
    <w:p w14:paraId="21C45968">
      <w:pPr>
        <w:spacing w:line="284" w:lineRule="auto"/>
        <w:rPr>
          <w:rFonts w:ascii="Arial"/>
          <w:sz w:val="21"/>
        </w:rPr>
      </w:pPr>
    </w:p>
    <w:p w14:paraId="5F379EB6">
      <w:pPr>
        <w:spacing w:line="284" w:lineRule="auto"/>
        <w:rPr>
          <w:rFonts w:ascii="Arial"/>
          <w:sz w:val="21"/>
        </w:rPr>
      </w:pPr>
    </w:p>
    <w:p w14:paraId="606C7843">
      <w:pPr>
        <w:spacing w:line="285" w:lineRule="auto"/>
        <w:rPr>
          <w:rFonts w:ascii="Arial"/>
          <w:sz w:val="21"/>
        </w:rPr>
      </w:pPr>
    </w:p>
    <w:p w14:paraId="67F7E7EA">
      <w:pPr>
        <w:spacing w:line="285" w:lineRule="auto"/>
        <w:rPr>
          <w:rFonts w:ascii="Arial"/>
          <w:sz w:val="21"/>
        </w:rPr>
      </w:pPr>
    </w:p>
    <w:p w14:paraId="42DD1340">
      <w:pPr>
        <w:spacing w:before="95" w:line="222" w:lineRule="auto"/>
        <w:ind w:left="3049"/>
        <w:rPr>
          <w:rFonts w:ascii="黑体" w:hAnsi="黑体" w:eastAsia="黑体" w:cs="黑体"/>
          <w:sz w:val="29"/>
          <w:szCs w:val="29"/>
        </w:rPr>
      </w:pPr>
      <w:r>
        <w:rPr>
          <w:rFonts w:ascii="黑体" w:hAnsi="黑体" w:eastAsia="黑体" w:cs="黑体"/>
          <w:b/>
          <w:bCs/>
          <w:spacing w:val="-1"/>
          <w:sz w:val="29"/>
          <w:szCs w:val="29"/>
        </w:rPr>
        <w:t>11-2:工程设备暂估价表</w:t>
      </w:r>
    </w:p>
    <w:p w14:paraId="62717BDD">
      <w:pPr>
        <w:spacing w:line="90" w:lineRule="exact"/>
      </w:pPr>
    </w:p>
    <w:tbl>
      <w:tblPr>
        <w:tblStyle w:val="5"/>
        <w:tblW w:w="905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64"/>
        <w:gridCol w:w="1978"/>
        <w:gridCol w:w="859"/>
        <w:gridCol w:w="759"/>
        <w:gridCol w:w="1359"/>
        <w:gridCol w:w="1408"/>
        <w:gridCol w:w="1723"/>
      </w:tblGrid>
      <w:tr w14:paraId="2AB1C7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trPr>
        <w:tc>
          <w:tcPr>
            <w:tcW w:w="964" w:type="dxa"/>
            <w:vAlign w:val="top"/>
          </w:tcPr>
          <w:p w14:paraId="0B7809A9">
            <w:pPr>
              <w:pStyle w:val="6"/>
              <w:spacing w:before="205" w:line="200" w:lineRule="auto"/>
              <w:ind w:left="264"/>
              <w:rPr>
                <w:sz w:val="23"/>
                <w:szCs w:val="23"/>
              </w:rPr>
            </w:pPr>
            <w:r>
              <w:rPr>
                <w:spacing w:val="7"/>
                <w:sz w:val="23"/>
                <w:szCs w:val="23"/>
              </w:rPr>
              <w:t>序号</w:t>
            </w:r>
          </w:p>
        </w:tc>
        <w:tc>
          <w:tcPr>
            <w:tcW w:w="1978" w:type="dxa"/>
            <w:vAlign w:val="top"/>
          </w:tcPr>
          <w:p w14:paraId="0075E9AB">
            <w:pPr>
              <w:pStyle w:val="6"/>
              <w:spacing w:before="207" w:line="199" w:lineRule="auto"/>
              <w:ind w:left="801"/>
              <w:rPr>
                <w:sz w:val="23"/>
                <w:szCs w:val="23"/>
              </w:rPr>
            </w:pPr>
            <w:r>
              <w:rPr>
                <w:spacing w:val="5"/>
                <w:sz w:val="23"/>
                <w:szCs w:val="23"/>
              </w:rPr>
              <w:t>名称</w:t>
            </w:r>
          </w:p>
        </w:tc>
        <w:tc>
          <w:tcPr>
            <w:tcW w:w="859" w:type="dxa"/>
            <w:vAlign w:val="top"/>
          </w:tcPr>
          <w:p w14:paraId="346B08BF">
            <w:pPr>
              <w:pStyle w:val="6"/>
              <w:spacing w:before="204" w:line="201" w:lineRule="auto"/>
              <w:ind w:left="232"/>
              <w:rPr>
                <w:sz w:val="23"/>
                <w:szCs w:val="23"/>
              </w:rPr>
            </w:pPr>
            <w:r>
              <w:rPr>
                <w:spacing w:val="-3"/>
                <w:sz w:val="23"/>
                <w:szCs w:val="23"/>
              </w:rPr>
              <w:t>单位</w:t>
            </w:r>
          </w:p>
        </w:tc>
        <w:tc>
          <w:tcPr>
            <w:tcW w:w="759" w:type="dxa"/>
            <w:vAlign w:val="top"/>
          </w:tcPr>
          <w:p w14:paraId="5288FCFE">
            <w:pPr>
              <w:pStyle w:val="6"/>
              <w:spacing w:before="204" w:line="201" w:lineRule="auto"/>
              <w:ind w:left="183"/>
              <w:rPr>
                <w:sz w:val="23"/>
                <w:szCs w:val="23"/>
              </w:rPr>
            </w:pPr>
            <w:r>
              <w:rPr>
                <w:spacing w:val="-3"/>
                <w:sz w:val="23"/>
                <w:szCs w:val="23"/>
              </w:rPr>
              <w:t>数量</w:t>
            </w:r>
          </w:p>
        </w:tc>
        <w:tc>
          <w:tcPr>
            <w:tcW w:w="1359" w:type="dxa"/>
            <w:vAlign w:val="top"/>
          </w:tcPr>
          <w:p w14:paraId="352466FA">
            <w:pPr>
              <w:pStyle w:val="6"/>
              <w:spacing w:before="212" w:line="195" w:lineRule="auto"/>
              <w:ind w:left="185"/>
              <w:rPr>
                <w:sz w:val="23"/>
                <w:szCs w:val="23"/>
              </w:rPr>
            </w:pPr>
            <w:r>
              <w:rPr>
                <w:spacing w:val="10"/>
                <w:sz w:val="23"/>
                <w:szCs w:val="23"/>
              </w:rPr>
              <w:t>单价(元)</w:t>
            </w:r>
          </w:p>
        </w:tc>
        <w:tc>
          <w:tcPr>
            <w:tcW w:w="1408" w:type="dxa"/>
            <w:vAlign w:val="top"/>
          </w:tcPr>
          <w:p w14:paraId="2933A4E6">
            <w:pPr>
              <w:pStyle w:val="6"/>
              <w:spacing w:before="212" w:line="195" w:lineRule="auto"/>
              <w:ind w:left="205"/>
              <w:rPr>
                <w:sz w:val="23"/>
                <w:szCs w:val="23"/>
              </w:rPr>
            </w:pPr>
            <w:r>
              <w:rPr>
                <w:spacing w:val="10"/>
                <w:sz w:val="23"/>
                <w:szCs w:val="23"/>
              </w:rPr>
              <w:t>合价(元)</w:t>
            </w:r>
          </w:p>
        </w:tc>
        <w:tc>
          <w:tcPr>
            <w:tcW w:w="1723" w:type="dxa"/>
            <w:vAlign w:val="top"/>
          </w:tcPr>
          <w:p w14:paraId="6C192CD9">
            <w:pPr>
              <w:pStyle w:val="6"/>
              <w:spacing w:before="205" w:line="200" w:lineRule="auto"/>
              <w:ind w:left="677"/>
              <w:rPr>
                <w:sz w:val="23"/>
                <w:szCs w:val="23"/>
              </w:rPr>
            </w:pPr>
            <w:r>
              <w:rPr>
                <w:spacing w:val="5"/>
                <w:sz w:val="23"/>
                <w:szCs w:val="23"/>
              </w:rPr>
              <w:t>备注</w:t>
            </w:r>
          </w:p>
        </w:tc>
      </w:tr>
      <w:tr w14:paraId="748C98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964" w:type="dxa"/>
            <w:vAlign w:val="top"/>
          </w:tcPr>
          <w:p w14:paraId="4DF9D8E4">
            <w:pPr>
              <w:rPr>
                <w:rFonts w:ascii="Arial"/>
                <w:sz w:val="21"/>
              </w:rPr>
            </w:pPr>
          </w:p>
        </w:tc>
        <w:tc>
          <w:tcPr>
            <w:tcW w:w="1978" w:type="dxa"/>
            <w:vAlign w:val="top"/>
          </w:tcPr>
          <w:p w14:paraId="5D637907">
            <w:pPr>
              <w:rPr>
                <w:rFonts w:ascii="Arial"/>
                <w:sz w:val="21"/>
              </w:rPr>
            </w:pPr>
          </w:p>
        </w:tc>
        <w:tc>
          <w:tcPr>
            <w:tcW w:w="859" w:type="dxa"/>
            <w:vAlign w:val="top"/>
          </w:tcPr>
          <w:p w14:paraId="5F631AD6">
            <w:pPr>
              <w:rPr>
                <w:rFonts w:ascii="Arial"/>
                <w:sz w:val="21"/>
              </w:rPr>
            </w:pPr>
          </w:p>
        </w:tc>
        <w:tc>
          <w:tcPr>
            <w:tcW w:w="759" w:type="dxa"/>
            <w:vAlign w:val="top"/>
          </w:tcPr>
          <w:p w14:paraId="5C2CF2C5">
            <w:pPr>
              <w:rPr>
                <w:rFonts w:ascii="Arial"/>
                <w:sz w:val="21"/>
              </w:rPr>
            </w:pPr>
          </w:p>
        </w:tc>
        <w:tc>
          <w:tcPr>
            <w:tcW w:w="1359" w:type="dxa"/>
            <w:vAlign w:val="top"/>
          </w:tcPr>
          <w:p w14:paraId="3461B318">
            <w:pPr>
              <w:rPr>
                <w:rFonts w:ascii="Arial"/>
                <w:sz w:val="21"/>
              </w:rPr>
            </w:pPr>
          </w:p>
        </w:tc>
        <w:tc>
          <w:tcPr>
            <w:tcW w:w="1408" w:type="dxa"/>
            <w:vAlign w:val="top"/>
          </w:tcPr>
          <w:p w14:paraId="1667C0A7">
            <w:pPr>
              <w:rPr>
                <w:rFonts w:ascii="Arial"/>
                <w:sz w:val="21"/>
              </w:rPr>
            </w:pPr>
          </w:p>
        </w:tc>
        <w:tc>
          <w:tcPr>
            <w:tcW w:w="1723" w:type="dxa"/>
            <w:vAlign w:val="top"/>
          </w:tcPr>
          <w:p w14:paraId="75A6E467">
            <w:pPr>
              <w:rPr>
                <w:rFonts w:ascii="Arial"/>
                <w:sz w:val="21"/>
              </w:rPr>
            </w:pPr>
          </w:p>
        </w:tc>
      </w:tr>
      <w:tr w14:paraId="49B4F5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9" w:hRule="atLeast"/>
        </w:trPr>
        <w:tc>
          <w:tcPr>
            <w:tcW w:w="964" w:type="dxa"/>
            <w:vAlign w:val="top"/>
          </w:tcPr>
          <w:p w14:paraId="57639AD2">
            <w:pPr>
              <w:rPr>
                <w:rFonts w:ascii="Arial"/>
                <w:sz w:val="21"/>
              </w:rPr>
            </w:pPr>
          </w:p>
        </w:tc>
        <w:tc>
          <w:tcPr>
            <w:tcW w:w="1978" w:type="dxa"/>
            <w:vAlign w:val="top"/>
          </w:tcPr>
          <w:p w14:paraId="0D1381EF">
            <w:pPr>
              <w:rPr>
                <w:rFonts w:ascii="Arial"/>
                <w:sz w:val="21"/>
              </w:rPr>
            </w:pPr>
          </w:p>
        </w:tc>
        <w:tc>
          <w:tcPr>
            <w:tcW w:w="859" w:type="dxa"/>
            <w:vAlign w:val="top"/>
          </w:tcPr>
          <w:p w14:paraId="5E585570">
            <w:pPr>
              <w:rPr>
                <w:rFonts w:ascii="Arial"/>
                <w:sz w:val="21"/>
              </w:rPr>
            </w:pPr>
          </w:p>
        </w:tc>
        <w:tc>
          <w:tcPr>
            <w:tcW w:w="759" w:type="dxa"/>
            <w:vAlign w:val="top"/>
          </w:tcPr>
          <w:p w14:paraId="1E1C2F29">
            <w:pPr>
              <w:rPr>
                <w:rFonts w:ascii="Arial"/>
                <w:sz w:val="21"/>
              </w:rPr>
            </w:pPr>
          </w:p>
        </w:tc>
        <w:tc>
          <w:tcPr>
            <w:tcW w:w="1359" w:type="dxa"/>
            <w:vAlign w:val="top"/>
          </w:tcPr>
          <w:p w14:paraId="5AA207C9">
            <w:pPr>
              <w:rPr>
                <w:rFonts w:ascii="Arial"/>
                <w:sz w:val="21"/>
              </w:rPr>
            </w:pPr>
          </w:p>
        </w:tc>
        <w:tc>
          <w:tcPr>
            <w:tcW w:w="1408" w:type="dxa"/>
            <w:vAlign w:val="top"/>
          </w:tcPr>
          <w:p w14:paraId="1C870F92">
            <w:pPr>
              <w:rPr>
                <w:rFonts w:ascii="Arial"/>
                <w:sz w:val="21"/>
              </w:rPr>
            </w:pPr>
          </w:p>
        </w:tc>
        <w:tc>
          <w:tcPr>
            <w:tcW w:w="1723" w:type="dxa"/>
            <w:vAlign w:val="top"/>
          </w:tcPr>
          <w:p w14:paraId="398F4A16">
            <w:pPr>
              <w:rPr>
                <w:rFonts w:ascii="Arial"/>
                <w:sz w:val="21"/>
              </w:rPr>
            </w:pPr>
          </w:p>
        </w:tc>
      </w:tr>
      <w:tr w14:paraId="3F1EEF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964" w:type="dxa"/>
            <w:vAlign w:val="top"/>
          </w:tcPr>
          <w:p w14:paraId="2D2FE762">
            <w:pPr>
              <w:rPr>
                <w:rFonts w:ascii="Arial"/>
                <w:sz w:val="21"/>
              </w:rPr>
            </w:pPr>
          </w:p>
        </w:tc>
        <w:tc>
          <w:tcPr>
            <w:tcW w:w="1978" w:type="dxa"/>
            <w:vAlign w:val="top"/>
          </w:tcPr>
          <w:p w14:paraId="27D17080">
            <w:pPr>
              <w:rPr>
                <w:rFonts w:ascii="Arial"/>
                <w:sz w:val="21"/>
              </w:rPr>
            </w:pPr>
          </w:p>
        </w:tc>
        <w:tc>
          <w:tcPr>
            <w:tcW w:w="859" w:type="dxa"/>
            <w:vAlign w:val="top"/>
          </w:tcPr>
          <w:p w14:paraId="1D6B57FC">
            <w:pPr>
              <w:rPr>
                <w:rFonts w:ascii="Arial"/>
                <w:sz w:val="21"/>
              </w:rPr>
            </w:pPr>
          </w:p>
        </w:tc>
        <w:tc>
          <w:tcPr>
            <w:tcW w:w="759" w:type="dxa"/>
            <w:vAlign w:val="top"/>
          </w:tcPr>
          <w:p w14:paraId="33EE3DB4">
            <w:pPr>
              <w:rPr>
                <w:rFonts w:ascii="Arial"/>
                <w:sz w:val="21"/>
              </w:rPr>
            </w:pPr>
          </w:p>
        </w:tc>
        <w:tc>
          <w:tcPr>
            <w:tcW w:w="1359" w:type="dxa"/>
            <w:vAlign w:val="top"/>
          </w:tcPr>
          <w:p w14:paraId="591C5AA9">
            <w:pPr>
              <w:rPr>
                <w:rFonts w:ascii="Arial"/>
                <w:sz w:val="21"/>
              </w:rPr>
            </w:pPr>
          </w:p>
        </w:tc>
        <w:tc>
          <w:tcPr>
            <w:tcW w:w="1408" w:type="dxa"/>
            <w:vAlign w:val="top"/>
          </w:tcPr>
          <w:p w14:paraId="41FF8E5C">
            <w:pPr>
              <w:rPr>
                <w:rFonts w:ascii="Arial"/>
                <w:sz w:val="21"/>
              </w:rPr>
            </w:pPr>
          </w:p>
        </w:tc>
        <w:tc>
          <w:tcPr>
            <w:tcW w:w="1723" w:type="dxa"/>
            <w:vAlign w:val="top"/>
          </w:tcPr>
          <w:p w14:paraId="51C46829">
            <w:pPr>
              <w:rPr>
                <w:rFonts w:ascii="Arial"/>
                <w:sz w:val="21"/>
              </w:rPr>
            </w:pPr>
          </w:p>
        </w:tc>
      </w:tr>
      <w:tr w14:paraId="2AB6C3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9" w:hRule="atLeast"/>
        </w:trPr>
        <w:tc>
          <w:tcPr>
            <w:tcW w:w="964" w:type="dxa"/>
            <w:vAlign w:val="top"/>
          </w:tcPr>
          <w:p w14:paraId="7DB55E21">
            <w:pPr>
              <w:rPr>
                <w:rFonts w:ascii="Arial"/>
                <w:sz w:val="21"/>
              </w:rPr>
            </w:pPr>
          </w:p>
        </w:tc>
        <w:tc>
          <w:tcPr>
            <w:tcW w:w="1978" w:type="dxa"/>
            <w:vAlign w:val="top"/>
          </w:tcPr>
          <w:p w14:paraId="1947C311">
            <w:pPr>
              <w:rPr>
                <w:rFonts w:ascii="Arial"/>
                <w:sz w:val="21"/>
              </w:rPr>
            </w:pPr>
          </w:p>
        </w:tc>
        <w:tc>
          <w:tcPr>
            <w:tcW w:w="859" w:type="dxa"/>
            <w:vAlign w:val="top"/>
          </w:tcPr>
          <w:p w14:paraId="0FE391B1">
            <w:pPr>
              <w:rPr>
                <w:rFonts w:ascii="Arial"/>
                <w:sz w:val="21"/>
              </w:rPr>
            </w:pPr>
          </w:p>
        </w:tc>
        <w:tc>
          <w:tcPr>
            <w:tcW w:w="759" w:type="dxa"/>
            <w:vAlign w:val="top"/>
          </w:tcPr>
          <w:p w14:paraId="6453C569">
            <w:pPr>
              <w:rPr>
                <w:rFonts w:ascii="Arial"/>
                <w:sz w:val="21"/>
              </w:rPr>
            </w:pPr>
          </w:p>
        </w:tc>
        <w:tc>
          <w:tcPr>
            <w:tcW w:w="1359" w:type="dxa"/>
            <w:vAlign w:val="top"/>
          </w:tcPr>
          <w:p w14:paraId="09B295D1">
            <w:pPr>
              <w:rPr>
                <w:rFonts w:ascii="Arial"/>
                <w:sz w:val="21"/>
              </w:rPr>
            </w:pPr>
          </w:p>
        </w:tc>
        <w:tc>
          <w:tcPr>
            <w:tcW w:w="1408" w:type="dxa"/>
            <w:vAlign w:val="top"/>
          </w:tcPr>
          <w:p w14:paraId="1EB39123">
            <w:pPr>
              <w:rPr>
                <w:rFonts w:ascii="Arial"/>
                <w:sz w:val="21"/>
              </w:rPr>
            </w:pPr>
          </w:p>
        </w:tc>
        <w:tc>
          <w:tcPr>
            <w:tcW w:w="1723" w:type="dxa"/>
            <w:vAlign w:val="top"/>
          </w:tcPr>
          <w:p w14:paraId="62C64771">
            <w:pPr>
              <w:rPr>
                <w:rFonts w:ascii="Arial"/>
                <w:sz w:val="21"/>
              </w:rPr>
            </w:pPr>
          </w:p>
        </w:tc>
      </w:tr>
      <w:tr w14:paraId="19B0B7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964" w:type="dxa"/>
            <w:vAlign w:val="top"/>
          </w:tcPr>
          <w:p w14:paraId="6555A233">
            <w:pPr>
              <w:rPr>
                <w:rFonts w:ascii="Arial"/>
                <w:sz w:val="21"/>
              </w:rPr>
            </w:pPr>
          </w:p>
        </w:tc>
        <w:tc>
          <w:tcPr>
            <w:tcW w:w="1978" w:type="dxa"/>
            <w:vAlign w:val="top"/>
          </w:tcPr>
          <w:p w14:paraId="73749EDA">
            <w:pPr>
              <w:rPr>
                <w:rFonts w:ascii="Arial"/>
                <w:sz w:val="21"/>
              </w:rPr>
            </w:pPr>
          </w:p>
        </w:tc>
        <w:tc>
          <w:tcPr>
            <w:tcW w:w="859" w:type="dxa"/>
            <w:vAlign w:val="top"/>
          </w:tcPr>
          <w:p w14:paraId="2C55A98A">
            <w:pPr>
              <w:rPr>
                <w:rFonts w:ascii="Arial"/>
                <w:sz w:val="21"/>
              </w:rPr>
            </w:pPr>
          </w:p>
        </w:tc>
        <w:tc>
          <w:tcPr>
            <w:tcW w:w="759" w:type="dxa"/>
            <w:vAlign w:val="top"/>
          </w:tcPr>
          <w:p w14:paraId="09EE60EF">
            <w:pPr>
              <w:rPr>
                <w:rFonts w:ascii="Arial"/>
                <w:sz w:val="21"/>
              </w:rPr>
            </w:pPr>
          </w:p>
        </w:tc>
        <w:tc>
          <w:tcPr>
            <w:tcW w:w="1359" w:type="dxa"/>
            <w:vAlign w:val="top"/>
          </w:tcPr>
          <w:p w14:paraId="2EC0B614">
            <w:pPr>
              <w:rPr>
                <w:rFonts w:ascii="Arial"/>
                <w:sz w:val="21"/>
              </w:rPr>
            </w:pPr>
          </w:p>
        </w:tc>
        <w:tc>
          <w:tcPr>
            <w:tcW w:w="1408" w:type="dxa"/>
            <w:vAlign w:val="top"/>
          </w:tcPr>
          <w:p w14:paraId="1C2FC25C">
            <w:pPr>
              <w:rPr>
                <w:rFonts w:ascii="Arial"/>
                <w:sz w:val="21"/>
              </w:rPr>
            </w:pPr>
          </w:p>
        </w:tc>
        <w:tc>
          <w:tcPr>
            <w:tcW w:w="1723" w:type="dxa"/>
            <w:vAlign w:val="top"/>
          </w:tcPr>
          <w:p w14:paraId="56E2C1FD">
            <w:pPr>
              <w:rPr>
                <w:rFonts w:ascii="Arial"/>
                <w:sz w:val="21"/>
              </w:rPr>
            </w:pPr>
          </w:p>
        </w:tc>
      </w:tr>
      <w:tr w14:paraId="5E3B46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0" w:hRule="atLeast"/>
        </w:trPr>
        <w:tc>
          <w:tcPr>
            <w:tcW w:w="964" w:type="dxa"/>
            <w:vAlign w:val="top"/>
          </w:tcPr>
          <w:p w14:paraId="5DF020CE">
            <w:pPr>
              <w:rPr>
                <w:rFonts w:ascii="Arial"/>
                <w:sz w:val="21"/>
              </w:rPr>
            </w:pPr>
          </w:p>
        </w:tc>
        <w:tc>
          <w:tcPr>
            <w:tcW w:w="1978" w:type="dxa"/>
            <w:vAlign w:val="top"/>
          </w:tcPr>
          <w:p w14:paraId="56F24D68">
            <w:pPr>
              <w:rPr>
                <w:rFonts w:ascii="Arial"/>
                <w:sz w:val="21"/>
              </w:rPr>
            </w:pPr>
          </w:p>
        </w:tc>
        <w:tc>
          <w:tcPr>
            <w:tcW w:w="859" w:type="dxa"/>
            <w:vAlign w:val="top"/>
          </w:tcPr>
          <w:p w14:paraId="0E88B161">
            <w:pPr>
              <w:rPr>
                <w:rFonts w:ascii="Arial"/>
                <w:sz w:val="21"/>
              </w:rPr>
            </w:pPr>
          </w:p>
        </w:tc>
        <w:tc>
          <w:tcPr>
            <w:tcW w:w="759" w:type="dxa"/>
            <w:vAlign w:val="top"/>
          </w:tcPr>
          <w:p w14:paraId="3ECB6723">
            <w:pPr>
              <w:rPr>
                <w:rFonts w:ascii="Arial"/>
                <w:sz w:val="21"/>
              </w:rPr>
            </w:pPr>
          </w:p>
        </w:tc>
        <w:tc>
          <w:tcPr>
            <w:tcW w:w="1359" w:type="dxa"/>
            <w:vAlign w:val="top"/>
          </w:tcPr>
          <w:p w14:paraId="17C70369">
            <w:pPr>
              <w:rPr>
                <w:rFonts w:ascii="Arial"/>
                <w:sz w:val="21"/>
              </w:rPr>
            </w:pPr>
          </w:p>
        </w:tc>
        <w:tc>
          <w:tcPr>
            <w:tcW w:w="1408" w:type="dxa"/>
            <w:vAlign w:val="top"/>
          </w:tcPr>
          <w:p w14:paraId="18B24E31">
            <w:pPr>
              <w:rPr>
                <w:rFonts w:ascii="Arial"/>
                <w:sz w:val="21"/>
              </w:rPr>
            </w:pPr>
          </w:p>
        </w:tc>
        <w:tc>
          <w:tcPr>
            <w:tcW w:w="1723" w:type="dxa"/>
            <w:vAlign w:val="top"/>
          </w:tcPr>
          <w:p w14:paraId="1471D15B">
            <w:pPr>
              <w:rPr>
                <w:rFonts w:ascii="Arial"/>
                <w:sz w:val="21"/>
              </w:rPr>
            </w:pPr>
          </w:p>
        </w:tc>
      </w:tr>
      <w:tr w14:paraId="3DFA40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964" w:type="dxa"/>
            <w:vAlign w:val="top"/>
          </w:tcPr>
          <w:p w14:paraId="704561E1">
            <w:pPr>
              <w:rPr>
                <w:rFonts w:ascii="Arial"/>
                <w:sz w:val="21"/>
              </w:rPr>
            </w:pPr>
          </w:p>
        </w:tc>
        <w:tc>
          <w:tcPr>
            <w:tcW w:w="1978" w:type="dxa"/>
            <w:vAlign w:val="top"/>
          </w:tcPr>
          <w:p w14:paraId="6ED6146F">
            <w:pPr>
              <w:rPr>
                <w:rFonts w:ascii="Arial"/>
                <w:sz w:val="21"/>
              </w:rPr>
            </w:pPr>
          </w:p>
        </w:tc>
        <w:tc>
          <w:tcPr>
            <w:tcW w:w="859" w:type="dxa"/>
            <w:vAlign w:val="top"/>
          </w:tcPr>
          <w:p w14:paraId="36962128">
            <w:pPr>
              <w:rPr>
                <w:rFonts w:ascii="Arial"/>
                <w:sz w:val="21"/>
              </w:rPr>
            </w:pPr>
          </w:p>
        </w:tc>
        <w:tc>
          <w:tcPr>
            <w:tcW w:w="759" w:type="dxa"/>
            <w:vAlign w:val="top"/>
          </w:tcPr>
          <w:p w14:paraId="49B0AF31">
            <w:pPr>
              <w:rPr>
                <w:rFonts w:ascii="Arial"/>
                <w:sz w:val="21"/>
              </w:rPr>
            </w:pPr>
          </w:p>
        </w:tc>
        <w:tc>
          <w:tcPr>
            <w:tcW w:w="1359" w:type="dxa"/>
            <w:vAlign w:val="top"/>
          </w:tcPr>
          <w:p w14:paraId="185C9D7B">
            <w:pPr>
              <w:rPr>
                <w:rFonts w:ascii="Arial"/>
                <w:sz w:val="21"/>
              </w:rPr>
            </w:pPr>
          </w:p>
        </w:tc>
        <w:tc>
          <w:tcPr>
            <w:tcW w:w="1408" w:type="dxa"/>
            <w:vAlign w:val="top"/>
          </w:tcPr>
          <w:p w14:paraId="4671B347">
            <w:pPr>
              <w:rPr>
                <w:rFonts w:ascii="Arial"/>
                <w:sz w:val="21"/>
              </w:rPr>
            </w:pPr>
          </w:p>
        </w:tc>
        <w:tc>
          <w:tcPr>
            <w:tcW w:w="1723" w:type="dxa"/>
            <w:vAlign w:val="top"/>
          </w:tcPr>
          <w:p w14:paraId="3C906B1F">
            <w:pPr>
              <w:rPr>
                <w:rFonts w:ascii="Arial"/>
                <w:sz w:val="21"/>
              </w:rPr>
            </w:pPr>
          </w:p>
        </w:tc>
      </w:tr>
      <w:tr w14:paraId="6792BA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964" w:type="dxa"/>
            <w:vAlign w:val="top"/>
          </w:tcPr>
          <w:p w14:paraId="2BECF791">
            <w:pPr>
              <w:rPr>
                <w:rFonts w:ascii="Arial"/>
                <w:sz w:val="21"/>
              </w:rPr>
            </w:pPr>
          </w:p>
        </w:tc>
        <w:tc>
          <w:tcPr>
            <w:tcW w:w="1978" w:type="dxa"/>
            <w:vAlign w:val="top"/>
          </w:tcPr>
          <w:p w14:paraId="1853E67F">
            <w:pPr>
              <w:rPr>
                <w:rFonts w:ascii="Arial"/>
                <w:sz w:val="21"/>
              </w:rPr>
            </w:pPr>
          </w:p>
        </w:tc>
        <w:tc>
          <w:tcPr>
            <w:tcW w:w="859" w:type="dxa"/>
            <w:vAlign w:val="top"/>
          </w:tcPr>
          <w:p w14:paraId="5177A38C">
            <w:pPr>
              <w:rPr>
                <w:rFonts w:ascii="Arial"/>
                <w:sz w:val="21"/>
              </w:rPr>
            </w:pPr>
          </w:p>
        </w:tc>
        <w:tc>
          <w:tcPr>
            <w:tcW w:w="759" w:type="dxa"/>
            <w:vAlign w:val="top"/>
          </w:tcPr>
          <w:p w14:paraId="7C2E97E0">
            <w:pPr>
              <w:rPr>
                <w:rFonts w:ascii="Arial"/>
                <w:sz w:val="21"/>
              </w:rPr>
            </w:pPr>
          </w:p>
        </w:tc>
        <w:tc>
          <w:tcPr>
            <w:tcW w:w="1359" w:type="dxa"/>
            <w:vAlign w:val="top"/>
          </w:tcPr>
          <w:p w14:paraId="36D4D3C7">
            <w:pPr>
              <w:rPr>
                <w:rFonts w:ascii="Arial"/>
                <w:sz w:val="21"/>
              </w:rPr>
            </w:pPr>
          </w:p>
        </w:tc>
        <w:tc>
          <w:tcPr>
            <w:tcW w:w="1408" w:type="dxa"/>
            <w:vAlign w:val="top"/>
          </w:tcPr>
          <w:p w14:paraId="726EC6A6">
            <w:pPr>
              <w:rPr>
                <w:rFonts w:ascii="Arial"/>
                <w:sz w:val="21"/>
              </w:rPr>
            </w:pPr>
          </w:p>
        </w:tc>
        <w:tc>
          <w:tcPr>
            <w:tcW w:w="1723" w:type="dxa"/>
            <w:vAlign w:val="top"/>
          </w:tcPr>
          <w:p w14:paraId="1A83597D">
            <w:pPr>
              <w:rPr>
                <w:rFonts w:ascii="Arial"/>
                <w:sz w:val="21"/>
              </w:rPr>
            </w:pPr>
          </w:p>
        </w:tc>
      </w:tr>
      <w:tr w14:paraId="7D3898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964" w:type="dxa"/>
            <w:vAlign w:val="top"/>
          </w:tcPr>
          <w:p w14:paraId="5264D57F">
            <w:pPr>
              <w:rPr>
                <w:rFonts w:ascii="Arial"/>
                <w:sz w:val="21"/>
              </w:rPr>
            </w:pPr>
          </w:p>
        </w:tc>
        <w:tc>
          <w:tcPr>
            <w:tcW w:w="1978" w:type="dxa"/>
            <w:vAlign w:val="top"/>
          </w:tcPr>
          <w:p w14:paraId="0C248097">
            <w:pPr>
              <w:rPr>
                <w:rFonts w:ascii="Arial"/>
                <w:sz w:val="21"/>
              </w:rPr>
            </w:pPr>
          </w:p>
        </w:tc>
        <w:tc>
          <w:tcPr>
            <w:tcW w:w="859" w:type="dxa"/>
            <w:vAlign w:val="top"/>
          </w:tcPr>
          <w:p w14:paraId="021E1253">
            <w:pPr>
              <w:rPr>
                <w:rFonts w:ascii="Arial"/>
                <w:sz w:val="21"/>
              </w:rPr>
            </w:pPr>
          </w:p>
        </w:tc>
        <w:tc>
          <w:tcPr>
            <w:tcW w:w="759" w:type="dxa"/>
            <w:vAlign w:val="top"/>
          </w:tcPr>
          <w:p w14:paraId="03824F8E">
            <w:pPr>
              <w:rPr>
                <w:rFonts w:ascii="Arial"/>
                <w:sz w:val="21"/>
              </w:rPr>
            </w:pPr>
          </w:p>
        </w:tc>
        <w:tc>
          <w:tcPr>
            <w:tcW w:w="1359" w:type="dxa"/>
            <w:vAlign w:val="top"/>
          </w:tcPr>
          <w:p w14:paraId="59D754E9">
            <w:pPr>
              <w:rPr>
                <w:rFonts w:ascii="Arial"/>
                <w:sz w:val="21"/>
              </w:rPr>
            </w:pPr>
          </w:p>
        </w:tc>
        <w:tc>
          <w:tcPr>
            <w:tcW w:w="1408" w:type="dxa"/>
            <w:vAlign w:val="top"/>
          </w:tcPr>
          <w:p w14:paraId="30B26012">
            <w:pPr>
              <w:rPr>
                <w:rFonts w:ascii="Arial"/>
                <w:sz w:val="21"/>
              </w:rPr>
            </w:pPr>
          </w:p>
        </w:tc>
        <w:tc>
          <w:tcPr>
            <w:tcW w:w="1723" w:type="dxa"/>
            <w:vAlign w:val="top"/>
          </w:tcPr>
          <w:p w14:paraId="3067FF12">
            <w:pPr>
              <w:rPr>
                <w:rFonts w:ascii="Arial"/>
                <w:sz w:val="21"/>
              </w:rPr>
            </w:pPr>
          </w:p>
        </w:tc>
      </w:tr>
      <w:tr w14:paraId="0B08B1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964" w:type="dxa"/>
            <w:vAlign w:val="top"/>
          </w:tcPr>
          <w:p w14:paraId="29EEC3A0">
            <w:pPr>
              <w:rPr>
                <w:rFonts w:ascii="Arial"/>
                <w:sz w:val="21"/>
              </w:rPr>
            </w:pPr>
          </w:p>
        </w:tc>
        <w:tc>
          <w:tcPr>
            <w:tcW w:w="1978" w:type="dxa"/>
            <w:vAlign w:val="top"/>
          </w:tcPr>
          <w:p w14:paraId="5BFD2511">
            <w:pPr>
              <w:rPr>
                <w:rFonts w:ascii="Arial"/>
                <w:sz w:val="21"/>
              </w:rPr>
            </w:pPr>
          </w:p>
        </w:tc>
        <w:tc>
          <w:tcPr>
            <w:tcW w:w="859" w:type="dxa"/>
            <w:vAlign w:val="top"/>
          </w:tcPr>
          <w:p w14:paraId="0384E7F4">
            <w:pPr>
              <w:rPr>
                <w:rFonts w:ascii="Arial"/>
                <w:sz w:val="21"/>
              </w:rPr>
            </w:pPr>
          </w:p>
        </w:tc>
        <w:tc>
          <w:tcPr>
            <w:tcW w:w="759" w:type="dxa"/>
            <w:vAlign w:val="top"/>
          </w:tcPr>
          <w:p w14:paraId="66944F2F">
            <w:pPr>
              <w:rPr>
                <w:rFonts w:ascii="Arial"/>
                <w:sz w:val="21"/>
              </w:rPr>
            </w:pPr>
          </w:p>
        </w:tc>
        <w:tc>
          <w:tcPr>
            <w:tcW w:w="1359" w:type="dxa"/>
            <w:vAlign w:val="top"/>
          </w:tcPr>
          <w:p w14:paraId="4DB6E7B5">
            <w:pPr>
              <w:rPr>
                <w:rFonts w:ascii="Arial"/>
                <w:sz w:val="21"/>
              </w:rPr>
            </w:pPr>
          </w:p>
        </w:tc>
        <w:tc>
          <w:tcPr>
            <w:tcW w:w="1408" w:type="dxa"/>
            <w:vAlign w:val="top"/>
          </w:tcPr>
          <w:p w14:paraId="2AA0A7FE">
            <w:pPr>
              <w:rPr>
                <w:rFonts w:ascii="Arial"/>
                <w:sz w:val="21"/>
              </w:rPr>
            </w:pPr>
          </w:p>
        </w:tc>
        <w:tc>
          <w:tcPr>
            <w:tcW w:w="1723" w:type="dxa"/>
            <w:vAlign w:val="top"/>
          </w:tcPr>
          <w:p w14:paraId="26E03EE5">
            <w:pPr>
              <w:rPr>
                <w:rFonts w:ascii="Arial"/>
                <w:sz w:val="21"/>
              </w:rPr>
            </w:pPr>
          </w:p>
        </w:tc>
      </w:tr>
      <w:tr w14:paraId="5DB0AF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964" w:type="dxa"/>
            <w:vAlign w:val="top"/>
          </w:tcPr>
          <w:p w14:paraId="0136807F">
            <w:pPr>
              <w:rPr>
                <w:rFonts w:ascii="Arial"/>
                <w:sz w:val="21"/>
              </w:rPr>
            </w:pPr>
          </w:p>
        </w:tc>
        <w:tc>
          <w:tcPr>
            <w:tcW w:w="1978" w:type="dxa"/>
            <w:vAlign w:val="top"/>
          </w:tcPr>
          <w:p w14:paraId="178260E4">
            <w:pPr>
              <w:rPr>
                <w:rFonts w:ascii="Arial"/>
                <w:sz w:val="21"/>
              </w:rPr>
            </w:pPr>
          </w:p>
        </w:tc>
        <w:tc>
          <w:tcPr>
            <w:tcW w:w="859" w:type="dxa"/>
            <w:vAlign w:val="top"/>
          </w:tcPr>
          <w:p w14:paraId="2B29A1E9">
            <w:pPr>
              <w:rPr>
                <w:rFonts w:ascii="Arial"/>
                <w:sz w:val="21"/>
              </w:rPr>
            </w:pPr>
          </w:p>
        </w:tc>
        <w:tc>
          <w:tcPr>
            <w:tcW w:w="759" w:type="dxa"/>
            <w:vAlign w:val="top"/>
          </w:tcPr>
          <w:p w14:paraId="2603CFE2">
            <w:pPr>
              <w:rPr>
                <w:rFonts w:ascii="Arial"/>
                <w:sz w:val="21"/>
              </w:rPr>
            </w:pPr>
          </w:p>
        </w:tc>
        <w:tc>
          <w:tcPr>
            <w:tcW w:w="1359" w:type="dxa"/>
            <w:vAlign w:val="top"/>
          </w:tcPr>
          <w:p w14:paraId="2F09A154">
            <w:pPr>
              <w:rPr>
                <w:rFonts w:ascii="Arial"/>
                <w:sz w:val="21"/>
              </w:rPr>
            </w:pPr>
          </w:p>
        </w:tc>
        <w:tc>
          <w:tcPr>
            <w:tcW w:w="1408" w:type="dxa"/>
            <w:vAlign w:val="top"/>
          </w:tcPr>
          <w:p w14:paraId="7AA8EAC7">
            <w:pPr>
              <w:rPr>
                <w:rFonts w:ascii="Arial"/>
                <w:sz w:val="21"/>
              </w:rPr>
            </w:pPr>
          </w:p>
        </w:tc>
        <w:tc>
          <w:tcPr>
            <w:tcW w:w="1723" w:type="dxa"/>
            <w:vAlign w:val="top"/>
          </w:tcPr>
          <w:p w14:paraId="6E69AE70">
            <w:pPr>
              <w:rPr>
                <w:rFonts w:ascii="Arial"/>
                <w:sz w:val="21"/>
              </w:rPr>
            </w:pPr>
          </w:p>
        </w:tc>
      </w:tr>
      <w:tr w14:paraId="63764F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964" w:type="dxa"/>
            <w:vAlign w:val="top"/>
          </w:tcPr>
          <w:p w14:paraId="67B3F705">
            <w:pPr>
              <w:rPr>
                <w:rFonts w:ascii="Arial"/>
                <w:sz w:val="21"/>
              </w:rPr>
            </w:pPr>
          </w:p>
        </w:tc>
        <w:tc>
          <w:tcPr>
            <w:tcW w:w="1978" w:type="dxa"/>
            <w:vAlign w:val="top"/>
          </w:tcPr>
          <w:p w14:paraId="1AA7E8A0">
            <w:pPr>
              <w:rPr>
                <w:rFonts w:ascii="Arial"/>
                <w:sz w:val="21"/>
              </w:rPr>
            </w:pPr>
          </w:p>
        </w:tc>
        <w:tc>
          <w:tcPr>
            <w:tcW w:w="859" w:type="dxa"/>
            <w:vAlign w:val="top"/>
          </w:tcPr>
          <w:p w14:paraId="5E3B2AC3">
            <w:pPr>
              <w:rPr>
                <w:rFonts w:ascii="Arial"/>
                <w:sz w:val="21"/>
              </w:rPr>
            </w:pPr>
          </w:p>
        </w:tc>
        <w:tc>
          <w:tcPr>
            <w:tcW w:w="759" w:type="dxa"/>
            <w:vAlign w:val="top"/>
          </w:tcPr>
          <w:p w14:paraId="614A1F82">
            <w:pPr>
              <w:rPr>
                <w:rFonts w:ascii="Arial"/>
                <w:sz w:val="21"/>
              </w:rPr>
            </w:pPr>
          </w:p>
        </w:tc>
        <w:tc>
          <w:tcPr>
            <w:tcW w:w="1359" w:type="dxa"/>
            <w:vAlign w:val="top"/>
          </w:tcPr>
          <w:p w14:paraId="016661C7">
            <w:pPr>
              <w:rPr>
                <w:rFonts w:ascii="Arial"/>
                <w:sz w:val="21"/>
              </w:rPr>
            </w:pPr>
          </w:p>
        </w:tc>
        <w:tc>
          <w:tcPr>
            <w:tcW w:w="1408" w:type="dxa"/>
            <w:vAlign w:val="top"/>
          </w:tcPr>
          <w:p w14:paraId="3C0E14D2">
            <w:pPr>
              <w:rPr>
                <w:rFonts w:ascii="Arial"/>
                <w:sz w:val="21"/>
              </w:rPr>
            </w:pPr>
          </w:p>
        </w:tc>
        <w:tc>
          <w:tcPr>
            <w:tcW w:w="1723" w:type="dxa"/>
            <w:vAlign w:val="top"/>
          </w:tcPr>
          <w:p w14:paraId="79881A55">
            <w:pPr>
              <w:rPr>
                <w:rFonts w:ascii="Arial"/>
                <w:sz w:val="21"/>
              </w:rPr>
            </w:pPr>
          </w:p>
        </w:tc>
      </w:tr>
      <w:tr w14:paraId="366790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964" w:type="dxa"/>
            <w:vAlign w:val="top"/>
          </w:tcPr>
          <w:p w14:paraId="684E5ECD">
            <w:pPr>
              <w:rPr>
                <w:rFonts w:ascii="Arial"/>
                <w:sz w:val="21"/>
              </w:rPr>
            </w:pPr>
          </w:p>
        </w:tc>
        <w:tc>
          <w:tcPr>
            <w:tcW w:w="1978" w:type="dxa"/>
            <w:vAlign w:val="top"/>
          </w:tcPr>
          <w:p w14:paraId="2A22C187">
            <w:pPr>
              <w:rPr>
                <w:rFonts w:ascii="Arial"/>
                <w:sz w:val="21"/>
              </w:rPr>
            </w:pPr>
          </w:p>
        </w:tc>
        <w:tc>
          <w:tcPr>
            <w:tcW w:w="859" w:type="dxa"/>
            <w:vAlign w:val="top"/>
          </w:tcPr>
          <w:p w14:paraId="3ACE9E76">
            <w:pPr>
              <w:rPr>
                <w:rFonts w:ascii="Arial"/>
                <w:sz w:val="21"/>
              </w:rPr>
            </w:pPr>
          </w:p>
        </w:tc>
        <w:tc>
          <w:tcPr>
            <w:tcW w:w="759" w:type="dxa"/>
            <w:vAlign w:val="top"/>
          </w:tcPr>
          <w:p w14:paraId="307FB163">
            <w:pPr>
              <w:rPr>
                <w:rFonts w:ascii="Arial"/>
                <w:sz w:val="21"/>
              </w:rPr>
            </w:pPr>
          </w:p>
        </w:tc>
        <w:tc>
          <w:tcPr>
            <w:tcW w:w="1359" w:type="dxa"/>
            <w:vAlign w:val="top"/>
          </w:tcPr>
          <w:p w14:paraId="7C50CC84">
            <w:pPr>
              <w:rPr>
                <w:rFonts w:ascii="Arial"/>
                <w:sz w:val="21"/>
              </w:rPr>
            </w:pPr>
          </w:p>
        </w:tc>
        <w:tc>
          <w:tcPr>
            <w:tcW w:w="1408" w:type="dxa"/>
            <w:vAlign w:val="top"/>
          </w:tcPr>
          <w:p w14:paraId="26A66AA8">
            <w:pPr>
              <w:rPr>
                <w:rFonts w:ascii="Arial"/>
                <w:sz w:val="21"/>
              </w:rPr>
            </w:pPr>
          </w:p>
        </w:tc>
        <w:tc>
          <w:tcPr>
            <w:tcW w:w="1723" w:type="dxa"/>
            <w:vAlign w:val="top"/>
          </w:tcPr>
          <w:p w14:paraId="0870B3A0">
            <w:pPr>
              <w:rPr>
                <w:rFonts w:ascii="Arial"/>
                <w:sz w:val="21"/>
              </w:rPr>
            </w:pPr>
          </w:p>
        </w:tc>
      </w:tr>
      <w:tr w14:paraId="0D103E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964" w:type="dxa"/>
            <w:vAlign w:val="top"/>
          </w:tcPr>
          <w:p w14:paraId="1C7E4A5C">
            <w:pPr>
              <w:rPr>
                <w:rFonts w:ascii="Arial"/>
                <w:sz w:val="21"/>
              </w:rPr>
            </w:pPr>
          </w:p>
        </w:tc>
        <w:tc>
          <w:tcPr>
            <w:tcW w:w="1978" w:type="dxa"/>
            <w:vAlign w:val="top"/>
          </w:tcPr>
          <w:p w14:paraId="641460F7">
            <w:pPr>
              <w:rPr>
                <w:rFonts w:ascii="Arial"/>
                <w:sz w:val="21"/>
              </w:rPr>
            </w:pPr>
          </w:p>
        </w:tc>
        <w:tc>
          <w:tcPr>
            <w:tcW w:w="859" w:type="dxa"/>
            <w:vAlign w:val="top"/>
          </w:tcPr>
          <w:p w14:paraId="046752DF">
            <w:pPr>
              <w:rPr>
                <w:rFonts w:ascii="Arial"/>
                <w:sz w:val="21"/>
              </w:rPr>
            </w:pPr>
          </w:p>
        </w:tc>
        <w:tc>
          <w:tcPr>
            <w:tcW w:w="759" w:type="dxa"/>
            <w:vAlign w:val="top"/>
          </w:tcPr>
          <w:p w14:paraId="56170F9F">
            <w:pPr>
              <w:rPr>
                <w:rFonts w:ascii="Arial"/>
                <w:sz w:val="21"/>
              </w:rPr>
            </w:pPr>
          </w:p>
        </w:tc>
        <w:tc>
          <w:tcPr>
            <w:tcW w:w="1359" w:type="dxa"/>
            <w:vAlign w:val="top"/>
          </w:tcPr>
          <w:p w14:paraId="330A319A">
            <w:pPr>
              <w:rPr>
                <w:rFonts w:ascii="Arial"/>
                <w:sz w:val="21"/>
              </w:rPr>
            </w:pPr>
          </w:p>
        </w:tc>
        <w:tc>
          <w:tcPr>
            <w:tcW w:w="1408" w:type="dxa"/>
            <w:vAlign w:val="top"/>
          </w:tcPr>
          <w:p w14:paraId="4CC9B038">
            <w:pPr>
              <w:rPr>
                <w:rFonts w:ascii="Arial"/>
                <w:sz w:val="21"/>
              </w:rPr>
            </w:pPr>
          </w:p>
        </w:tc>
        <w:tc>
          <w:tcPr>
            <w:tcW w:w="1723" w:type="dxa"/>
            <w:vAlign w:val="top"/>
          </w:tcPr>
          <w:p w14:paraId="4727F4D1">
            <w:pPr>
              <w:rPr>
                <w:rFonts w:ascii="Arial"/>
                <w:sz w:val="21"/>
              </w:rPr>
            </w:pPr>
          </w:p>
        </w:tc>
      </w:tr>
      <w:tr w14:paraId="13D9BA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964" w:type="dxa"/>
            <w:vAlign w:val="top"/>
          </w:tcPr>
          <w:p w14:paraId="73670DCE">
            <w:pPr>
              <w:rPr>
                <w:rFonts w:ascii="Arial"/>
                <w:sz w:val="21"/>
              </w:rPr>
            </w:pPr>
          </w:p>
        </w:tc>
        <w:tc>
          <w:tcPr>
            <w:tcW w:w="1978" w:type="dxa"/>
            <w:vAlign w:val="top"/>
          </w:tcPr>
          <w:p w14:paraId="2A67A268">
            <w:pPr>
              <w:rPr>
                <w:rFonts w:ascii="Arial"/>
                <w:sz w:val="21"/>
              </w:rPr>
            </w:pPr>
          </w:p>
        </w:tc>
        <w:tc>
          <w:tcPr>
            <w:tcW w:w="859" w:type="dxa"/>
            <w:vAlign w:val="top"/>
          </w:tcPr>
          <w:p w14:paraId="27B0568F">
            <w:pPr>
              <w:rPr>
                <w:rFonts w:ascii="Arial"/>
                <w:sz w:val="21"/>
              </w:rPr>
            </w:pPr>
          </w:p>
        </w:tc>
        <w:tc>
          <w:tcPr>
            <w:tcW w:w="759" w:type="dxa"/>
            <w:vAlign w:val="top"/>
          </w:tcPr>
          <w:p w14:paraId="63ECBE1B">
            <w:pPr>
              <w:rPr>
                <w:rFonts w:ascii="Arial"/>
                <w:sz w:val="21"/>
              </w:rPr>
            </w:pPr>
          </w:p>
        </w:tc>
        <w:tc>
          <w:tcPr>
            <w:tcW w:w="1359" w:type="dxa"/>
            <w:vAlign w:val="top"/>
          </w:tcPr>
          <w:p w14:paraId="084CD87F">
            <w:pPr>
              <w:rPr>
                <w:rFonts w:ascii="Arial"/>
                <w:sz w:val="21"/>
              </w:rPr>
            </w:pPr>
          </w:p>
        </w:tc>
        <w:tc>
          <w:tcPr>
            <w:tcW w:w="1408" w:type="dxa"/>
            <w:vAlign w:val="top"/>
          </w:tcPr>
          <w:p w14:paraId="0685681C">
            <w:pPr>
              <w:rPr>
                <w:rFonts w:ascii="Arial"/>
                <w:sz w:val="21"/>
              </w:rPr>
            </w:pPr>
          </w:p>
        </w:tc>
        <w:tc>
          <w:tcPr>
            <w:tcW w:w="1723" w:type="dxa"/>
            <w:vAlign w:val="top"/>
          </w:tcPr>
          <w:p w14:paraId="44E342C9">
            <w:pPr>
              <w:rPr>
                <w:rFonts w:ascii="Arial"/>
                <w:sz w:val="21"/>
              </w:rPr>
            </w:pPr>
          </w:p>
        </w:tc>
      </w:tr>
      <w:tr w14:paraId="4C9492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964" w:type="dxa"/>
            <w:vAlign w:val="top"/>
          </w:tcPr>
          <w:p w14:paraId="5B81523B">
            <w:pPr>
              <w:rPr>
                <w:rFonts w:ascii="Arial"/>
                <w:sz w:val="21"/>
              </w:rPr>
            </w:pPr>
          </w:p>
        </w:tc>
        <w:tc>
          <w:tcPr>
            <w:tcW w:w="1978" w:type="dxa"/>
            <w:vAlign w:val="top"/>
          </w:tcPr>
          <w:p w14:paraId="04F9A295">
            <w:pPr>
              <w:rPr>
                <w:rFonts w:ascii="Arial"/>
                <w:sz w:val="21"/>
              </w:rPr>
            </w:pPr>
          </w:p>
        </w:tc>
        <w:tc>
          <w:tcPr>
            <w:tcW w:w="859" w:type="dxa"/>
            <w:vAlign w:val="top"/>
          </w:tcPr>
          <w:p w14:paraId="0F9C38CA">
            <w:pPr>
              <w:rPr>
                <w:rFonts w:ascii="Arial"/>
                <w:sz w:val="21"/>
              </w:rPr>
            </w:pPr>
          </w:p>
        </w:tc>
        <w:tc>
          <w:tcPr>
            <w:tcW w:w="759" w:type="dxa"/>
            <w:vAlign w:val="top"/>
          </w:tcPr>
          <w:p w14:paraId="3AD4DEDB">
            <w:pPr>
              <w:rPr>
                <w:rFonts w:ascii="Arial"/>
                <w:sz w:val="21"/>
              </w:rPr>
            </w:pPr>
          </w:p>
        </w:tc>
        <w:tc>
          <w:tcPr>
            <w:tcW w:w="1359" w:type="dxa"/>
            <w:vAlign w:val="top"/>
          </w:tcPr>
          <w:p w14:paraId="74BF9D40">
            <w:pPr>
              <w:rPr>
                <w:rFonts w:ascii="Arial"/>
                <w:sz w:val="21"/>
              </w:rPr>
            </w:pPr>
          </w:p>
        </w:tc>
        <w:tc>
          <w:tcPr>
            <w:tcW w:w="1408" w:type="dxa"/>
            <w:vAlign w:val="top"/>
          </w:tcPr>
          <w:p w14:paraId="395901C9">
            <w:pPr>
              <w:rPr>
                <w:rFonts w:ascii="Arial"/>
                <w:sz w:val="21"/>
              </w:rPr>
            </w:pPr>
          </w:p>
        </w:tc>
        <w:tc>
          <w:tcPr>
            <w:tcW w:w="1723" w:type="dxa"/>
            <w:vAlign w:val="top"/>
          </w:tcPr>
          <w:p w14:paraId="58B7F7B2">
            <w:pPr>
              <w:rPr>
                <w:rFonts w:ascii="Arial"/>
                <w:sz w:val="21"/>
              </w:rPr>
            </w:pPr>
          </w:p>
        </w:tc>
      </w:tr>
      <w:tr w14:paraId="520C81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964" w:type="dxa"/>
            <w:vAlign w:val="top"/>
          </w:tcPr>
          <w:p w14:paraId="284BC889">
            <w:pPr>
              <w:rPr>
                <w:rFonts w:ascii="Arial"/>
                <w:sz w:val="21"/>
              </w:rPr>
            </w:pPr>
          </w:p>
        </w:tc>
        <w:tc>
          <w:tcPr>
            <w:tcW w:w="1978" w:type="dxa"/>
            <w:vAlign w:val="top"/>
          </w:tcPr>
          <w:p w14:paraId="762AB9A1">
            <w:pPr>
              <w:rPr>
                <w:rFonts w:ascii="Arial"/>
                <w:sz w:val="21"/>
              </w:rPr>
            </w:pPr>
          </w:p>
        </w:tc>
        <w:tc>
          <w:tcPr>
            <w:tcW w:w="859" w:type="dxa"/>
            <w:vAlign w:val="top"/>
          </w:tcPr>
          <w:p w14:paraId="029A1FC9">
            <w:pPr>
              <w:rPr>
                <w:rFonts w:ascii="Arial"/>
                <w:sz w:val="21"/>
              </w:rPr>
            </w:pPr>
          </w:p>
        </w:tc>
        <w:tc>
          <w:tcPr>
            <w:tcW w:w="759" w:type="dxa"/>
            <w:vAlign w:val="top"/>
          </w:tcPr>
          <w:p w14:paraId="76463CDC">
            <w:pPr>
              <w:rPr>
                <w:rFonts w:ascii="Arial"/>
                <w:sz w:val="21"/>
              </w:rPr>
            </w:pPr>
          </w:p>
        </w:tc>
        <w:tc>
          <w:tcPr>
            <w:tcW w:w="1359" w:type="dxa"/>
            <w:vAlign w:val="top"/>
          </w:tcPr>
          <w:p w14:paraId="008373DE">
            <w:pPr>
              <w:rPr>
                <w:rFonts w:ascii="Arial"/>
                <w:sz w:val="21"/>
              </w:rPr>
            </w:pPr>
          </w:p>
        </w:tc>
        <w:tc>
          <w:tcPr>
            <w:tcW w:w="1408" w:type="dxa"/>
            <w:vAlign w:val="top"/>
          </w:tcPr>
          <w:p w14:paraId="46B663A2">
            <w:pPr>
              <w:rPr>
                <w:rFonts w:ascii="Arial"/>
                <w:sz w:val="21"/>
              </w:rPr>
            </w:pPr>
          </w:p>
        </w:tc>
        <w:tc>
          <w:tcPr>
            <w:tcW w:w="1723" w:type="dxa"/>
            <w:vAlign w:val="top"/>
          </w:tcPr>
          <w:p w14:paraId="28B0B938">
            <w:pPr>
              <w:rPr>
                <w:rFonts w:ascii="Arial"/>
                <w:sz w:val="21"/>
              </w:rPr>
            </w:pPr>
          </w:p>
        </w:tc>
      </w:tr>
      <w:tr w14:paraId="613ABD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964" w:type="dxa"/>
            <w:vAlign w:val="top"/>
          </w:tcPr>
          <w:p w14:paraId="3264D403">
            <w:pPr>
              <w:rPr>
                <w:rFonts w:ascii="Arial"/>
                <w:sz w:val="21"/>
              </w:rPr>
            </w:pPr>
          </w:p>
        </w:tc>
        <w:tc>
          <w:tcPr>
            <w:tcW w:w="1978" w:type="dxa"/>
            <w:vAlign w:val="top"/>
          </w:tcPr>
          <w:p w14:paraId="459EFE95">
            <w:pPr>
              <w:rPr>
                <w:rFonts w:ascii="Arial"/>
                <w:sz w:val="21"/>
              </w:rPr>
            </w:pPr>
          </w:p>
        </w:tc>
        <w:tc>
          <w:tcPr>
            <w:tcW w:w="859" w:type="dxa"/>
            <w:vAlign w:val="top"/>
          </w:tcPr>
          <w:p w14:paraId="567320F4">
            <w:pPr>
              <w:rPr>
                <w:rFonts w:ascii="Arial"/>
                <w:sz w:val="21"/>
              </w:rPr>
            </w:pPr>
          </w:p>
        </w:tc>
        <w:tc>
          <w:tcPr>
            <w:tcW w:w="759" w:type="dxa"/>
            <w:vAlign w:val="top"/>
          </w:tcPr>
          <w:p w14:paraId="660745BA">
            <w:pPr>
              <w:rPr>
                <w:rFonts w:ascii="Arial"/>
                <w:sz w:val="21"/>
              </w:rPr>
            </w:pPr>
          </w:p>
        </w:tc>
        <w:tc>
          <w:tcPr>
            <w:tcW w:w="1359" w:type="dxa"/>
            <w:vAlign w:val="top"/>
          </w:tcPr>
          <w:p w14:paraId="3EB02B21">
            <w:pPr>
              <w:rPr>
                <w:rFonts w:ascii="Arial"/>
                <w:sz w:val="21"/>
              </w:rPr>
            </w:pPr>
          </w:p>
        </w:tc>
        <w:tc>
          <w:tcPr>
            <w:tcW w:w="1408" w:type="dxa"/>
            <w:vAlign w:val="top"/>
          </w:tcPr>
          <w:p w14:paraId="3027EBB8">
            <w:pPr>
              <w:rPr>
                <w:rFonts w:ascii="Arial"/>
                <w:sz w:val="21"/>
              </w:rPr>
            </w:pPr>
          </w:p>
        </w:tc>
        <w:tc>
          <w:tcPr>
            <w:tcW w:w="1723" w:type="dxa"/>
            <w:vAlign w:val="top"/>
          </w:tcPr>
          <w:p w14:paraId="04E1DA00">
            <w:pPr>
              <w:rPr>
                <w:rFonts w:ascii="Arial"/>
                <w:sz w:val="21"/>
              </w:rPr>
            </w:pPr>
          </w:p>
        </w:tc>
      </w:tr>
      <w:tr w14:paraId="6E57C6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964" w:type="dxa"/>
            <w:vAlign w:val="top"/>
          </w:tcPr>
          <w:p w14:paraId="1484BADB">
            <w:pPr>
              <w:rPr>
                <w:rFonts w:ascii="Arial"/>
                <w:sz w:val="21"/>
              </w:rPr>
            </w:pPr>
          </w:p>
        </w:tc>
        <w:tc>
          <w:tcPr>
            <w:tcW w:w="1978" w:type="dxa"/>
            <w:vAlign w:val="top"/>
          </w:tcPr>
          <w:p w14:paraId="0FC81E3A">
            <w:pPr>
              <w:rPr>
                <w:rFonts w:ascii="Arial"/>
                <w:sz w:val="21"/>
              </w:rPr>
            </w:pPr>
          </w:p>
        </w:tc>
        <w:tc>
          <w:tcPr>
            <w:tcW w:w="859" w:type="dxa"/>
            <w:vAlign w:val="top"/>
          </w:tcPr>
          <w:p w14:paraId="74D8F20A">
            <w:pPr>
              <w:rPr>
                <w:rFonts w:ascii="Arial"/>
                <w:sz w:val="21"/>
              </w:rPr>
            </w:pPr>
          </w:p>
        </w:tc>
        <w:tc>
          <w:tcPr>
            <w:tcW w:w="759" w:type="dxa"/>
            <w:vAlign w:val="top"/>
          </w:tcPr>
          <w:p w14:paraId="26FA4578">
            <w:pPr>
              <w:rPr>
                <w:rFonts w:ascii="Arial"/>
                <w:sz w:val="21"/>
              </w:rPr>
            </w:pPr>
          </w:p>
        </w:tc>
        <w:tc>
          <w:tcPr>
            <w:tcW w:w="1359" w:type="dxa"/>
            <w:vAlign w:val="top"/>
          </w:tcPr>
          <w:p w14:paraId="376BBC82">
            <w:pPr>
              <w:rPr>
                <w:rFonts w:ascii="Arial"/>
                <w:sz w:val="21"/>
              </w:rPr>
            </w:pPr>
          </w:p>
        </w:tc>
        <w:tc>
          <w:tcPr>
            <w:tcW w:w="1408" w:type="dxa"/>
            <w:vAlign w:val="top"/>
          </w:tcPr>
          <w:p w14:paraId="759F3FBF">
            <w:pPr>
              <w:rPr>
                <w:rFonts w:ascii="Arial"/>
                <w:sz w:val="21"/>
              </w:rPr>
            </w:pPr>
          </w:p>
        </w:tc>
        <w:tc>
          <w:tcPr>
            <w:tcW w:w="1723" w:type="dxa"/>
            <w:vAlign w:val="top"/>
          </w:tcPr>
          <w:p w14:paraId="5BACCA13">
            <w:pPr>
              <w:rPr>
                <w:rFonts w:ascii="Arial"/>
                <w:sz w:val="21"/>
              </w:rPr>
            </w:pPr>
          </w:p>
        </w:tc>
      </w:tr>
      <w:tr w14:paraId="78B6F2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964" w:type="dxa"/>
            <w:vAlign w:val="top"/>
          </w:tcPr>
          <w:p w14:paraId="098D8240">
            <w:pPr>
              <w:rPr>
                <w:rFonts w:ascii="Arial"/>
                <w:sz w:val="21"/>
              </w:rPr>
            </w:pPr>
          </w:p>
        </w:tc>
        <w:tc>
          <w:tcPr>
            <w:tcW w:w="1978" w:type="dxa"/>
            <w:vAlign w:val="top"/>
          </w:tcPr>
          <w:p w14:paraId="1DD0F768">
            <w:pPr>
              <w:rPr>
                <w:rFonts w:ascii="Arial"/>
                <w:sz w:val="21"/>
              </w:rPr>
            </w:pPr>
          </w:p>
        </w:tc>
        <w:tc>
          <w:tcPr>
            <w:tcW w:w="859" w:type="dxa"/>
            <w:vAlign w:val="top"/>
          </w:tcPr>
          <w:p w14:paraId="41972082">
            <w:pPr>
              <w:rPr>
                <w:rFonts w:ascii="Arial"/>
                <w:sz w:val="21"/>
              </w:rPr>
            </w:pPr>
          </w:p>
        </w:tc>
        <w:tc>
          <w:tcPr>
            <w:tcW w:w="759" w:type="dxa"/>
            <w:vAlign w:val="top"/>
          </w:tcPr>
          <w:p w14:paraId="7B08376D">
            <w:pPr>
              <w:rPr>
                <w:rFonts w:ascii="Arial"/>
                <w:sz w:val="21"/>
              </w:rPr>
            </w:pPr>
          </w:p>
        </w:tc>
        <w:tc>
          <w:tcPr>
            <w:tcW w:w="1359" w:type="dxa"/>
            <w:vAlign w:val="top"/>
          </w:tcPr>
          <w:p w14:paraId="66AE74BC">
            <w:pPr>
              <w:rPr>
                <w:rFonts w:ascii="Arial"/>
                <w:sz w:val="21"/>
              </w:rPr>
            </w:pPr>
          </w:p>
        </w:tc>
        <w:tc>
          <w:tcPr>
            <w:tcW w:w="1408" w:type="dxa"/>
            <w:vAlign w:val="top"/>
          </w:tcPr>
          <w:p w14:paraId="7FDC53AD">
            <w:pPr>
              <w:rPr>
                <w:rFonts w:ascii="Arial"/>
                <w:sz w:val="21"/>
              </w:rPr>
            </w:pPr>
          </w:p>
        </w:tc>
        <w:tc>
          <w:tcPr>
            <w:tcW w:w="1723" w:type="dxa"/>
            <w:vAlign w:val="top"/>
          </w:tcPr>
          <w:p w14:paraId="1698B711">
            <w:pPr>
              <w:rPr>
                <w:rFonts w:ascii="Arial"/>
                <w:sz w:val="21"/>
              </w:rPr>
            </w:pPr>
          </w:p>
        </w:tc>
      </w:tr>
      <w:tr w14:paraId="1044C2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964" w:type="dxa"/>
            <w:vAlign w:val="top"/>
          </w:tcPr>
          <w:p w14:paraId="36D69D91">
            <w:pPr>
              <w:rPr>
                <w:rFonts w:ascii="Arial"/>
                <w:sz w:val="21"/>
              </w:rPr>
            </w:pPr>
          </w:p>
        </w:tc>
        <w:tc>
          <w:tcPr>
            <w:tcW w:w="1978" w:type="dxa"/>
            <w:vAlign w:val="top"/>
          </w:tcPr>
          <w:p w14:paraId="21BFD729">
            <w:pPr>
              <w:rPr>
                <w:rFonts w:ascii="Arial"/>
                <w:sz w:val="21"/>
              </w:rPr>
            </w:pPr>
          </w:p>
        </w:tc>
        <w:tc>
          <w:tcPr>
            <w:tcW w:w="859" w:type="dxa"/>
            <w:vAlign w:val="top"/>
          </w:tcPr>
          <w:p w14:paraId="00D7179B">
            <w:pPr>
              <w:rPr>
                <w:rFonts w:ascii="Arial"/>
                <w:sz w:val="21"/>
              </w:rPr>
            </w:pPr>
          </w:p>
        </w:tc>
        <w:tc>
          <w:tcPr>
            <w:tcW w:w="759" w:type="dxa"/>
            <w:vAlign w:val="top"/>
          </w:tcPr>
          <w:p w14:paraId="794F16DE">
            <w:pPr>
              <w:rPr>
                <w:rFonts w:ascii="Arial"/>
                <w:sz w:val="21"/>
              </w:rPr>
            </w:pPr>
          </w:p>
        </w:tc>
        <w:tc>
          <w:tcPr>
            <w:tcW w:w="1359" w:type="dxa"/>
            <w:vAlign w:val="top"/>
          </w:tcPr>
          <w:p w14:paraId="79280F8B">
            <w:pPr>
              <w:rPr>
                <w:rFonts w:ascii="Arial"/>
                <w:sz w:val="21"/>
              </w:rPr>
            </w:pPr>
          </w:p>
        </w:tc>
        <w:tc>
          <w:tcPr>
            <w:tcW w:w="1408" w:type="dxa"/>
            <w:vAlign w:val="top"/>
          </w:tcPr>
          <w:p w14:paraId="498980AF">
            <w:pPr>
              <w:rPr>
                <w:rFonts w:ascii="Arial"/>
                <w:sz w:val="21"/>
              </w:rPr>
            </w:pPr>
          </w:p>
        </w:tc>
        <w:tc>
          <w:tcPr>
            <w:tcW w:w="1723" w:type="dxa"/>
            <w:vAlign w:val="top"/>
          </w:tcPr>
          <w:p w14:paraId="0977D6FC">
            <w:pPr>
              <w:rPr>
                <w:rFonts w:ascii="Arial"/>
                <w:sz w:val="21"/>
              </w:rPr>
            </w:pPr>
          </w:p>
        </w:tc>
      </w:tr>
      <w:tr w14:paraId="299FBE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trPr>
        <w:tc>
          <w:tcPr>
            <w:tcW w:w="964" w:type="dxa"/>
            <w:vAlign w:val="top"/>
          </w:tcPr>
          <w:p w14:paraId="378D8704">
            <w:pPr>
              <w:rPr>
                <w:rFonts w:ascii="Arial"/>
                <w:sz w:val="21"/>
              </w:rPr>
            </w:pPr>
          </w:p>
        </w:tc>
        <w:tc>
          <w:tcPr>
            <w:tcW w:w="1978" w:type="dxa"/>
            <w:vAlign w:val="top"/>
          </w:tcPr>
          <w:p w14:paraId="16C72B1A">
            <w:pPr>
              <w:rPr>
                <w:rFonts w:ascii="Arial"/>
                <w:sz w:val="21"/>
              </w:rPr>
            </w:pPr>
          </w:p>
        </w:tc>
        <w:tc>
          <w:tcPr>
            <w:tcW w:w="859" w:type="dxa"/>
            <w:vAlign w:val="top"/>
          </w:tcPr>
          <w:p w14:paraId="14F9DA59">
            <w:pPr>
              <w:rPr>
                <w:rFonts w:ascii="Arial"/>
                <w:sz w:val="21"/>
              </w:rPr>
            </w:pPr>
          </w:p>
        </w:tc>
        <w:tc>
          <w:tcPr>
            <w:tcW w:w="759" w:type="dxa"/>
            <w:vAlign w:val="top"/>
          </w:tcPr>
          <w:p w14:paraId="0E27CD37">
            <w:pPr>
              <w:rPr>
                <w:rFonts w:ascii="Arial"/>
                <w:sz w:val="21"/>
              </w:rPr>
            </w:pPr>
          </w:p>
        </w:tc>
        <w:tc>
          <w:tcPr>
            <w:tcW w:w="1359" w:type="dxa"/>
            <w:vAlign w:val="top"/>
          </w:tcPr>
          <w:p w14:paraId="40650BB0">
            <w:pPr>
              <w:rPr>
                <w:rFonts w:ascii="Arial"/>
                <w:sz w:val="21"/>
              </w:rPr>
            </w:pPr>
          </w:p>
        </w:tc>
        <w:tc>
          <w:tcPr>
            <w:tcW w:w="1408" w:type="dxa"/>
            <w:vAlign w:val="top"/>
          </w:tcPr>
          <w:p w14:paraId="404C018E">
            <w:pPr>
              <w:rPr>
                <w:rFonts w:ascii="Arial"/>
                <w:sz w:val="21"/>
              </w:rPr>
            </w:pPr>
          </w:p>
        </w:tc>
        <w:tc>
          <w:tcPr>
            <w:tcW w:w="1723" w:type="dxa"/>
            <w:vAlign w:val="top"/>
          </w:tcPr>
          <w:p w14:paraId="1600AF51">
            <w:pPr>
              <w:rPr>
                <w:rFonts w:ascii="Arial"/>
                <w:sz w:val="21"/>
              </w:rPr>
            </w:pPr>
          </w:p>
        </w:tc>
      </w:tr>
      <w:tr w14:paraId="0189AB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964" w:type="dxa"/>
            <w:vAlign w:val="top"/>
          </w:tcPr>
          <w:p w14:paraId="61A81EB6">
            <w:pPr>
              <w:rPr>
                <w:rFonts w:ascii="Arial"/>
                <w:sz w:val="21"/>
              </w:rPr>
            </w:pPr>
          </w:p>
        </w:tc>
        <w:tc>
          <w:tcPr>
            <w:tcW w:w="1978" w:type="dxa"/>
            <w:vAlign w:val="top"/>
          </w:tcPr>
          <w:p w14:paraId="18673F15">
            <w:pPr>
              <w:rPr>
                <w:rFonts w:ascii="Arial"/>
                <w:sz w:val="21"/>
              </w:rPr>
            </w:pPr>
          </w:p>
        </w:tc>
        <w:tc>
          <w:tcPr>
            <w:tcW w:w="859" w:type="dxa"/>
            <w:vAlign w:val="top"/>
          </w:tcPr>
          <w:p w14:paraId="5DAA35F6">
            <w:pPr>
              <w:rPr>
                <w:rFonts w:ascii="Arial"/>
                <w:sz w:val="21"/>
              </w:rPr>
            </w:pPr>
          </w:p>
        </w:tc>
        <w:tc>
          <w:tcPr>
            <w:tcW w:w="759" w:type="dxa"/>
            <w:vAlign w:val="top"/>
          </w:tcPr>
          <w:p w14:paraId="222904F4">
            <w:pPr>
              <w:rPr>
                <w:rFonts w:ascii="Arial"/>
                <w:sz w:val="21"/>
              </w:rPr>
            </w:pPr>
          </w:p>
        </w:tc>
        <w:tc>
          <w:tcPr>
            <w:tcW w:w="1359" w:type="dxa"/>
            <w:vAlign w:val="top"/>
          </w:tcPr>
          <w:p w14:paraId="01421FCB">
            <w:pPr>
              <w:rPr>
                <w:rFonts w:ascii="Arial"/>
                <w:sz w:val="21"/>
              </w:rPr>
            </w:pPr>
          </w:p>
        </w:tc>
        <w:tc>
          <w:tcPr>
            <w:tcW w:w="1408" w:type="dxa"/>
            <w:vAlign w:val="top"/>
          </w:tcPr>
          <w:p w14:paraId="097DF71B">
            <w:pPr>
              <w:rPr>
                <w:rFonts w:ascii="Arial"/>
                <w:sz w:val="21"/>
              </w:rPr>
            </w:pPr>
          </w:p>
        </w:tc>
        <w:tc>
          <w:tcPr>
            <w:tcW w:w="1723" w:type="dxa"/>
            <w:vAlign w:val="top"/>
          </w:tcPr>
          <w:p w14:paraId="3FD780C5">
            <w:pPr>
              <w:rPr>
                <w:rFonts w:ascii="Arial"/>
                <w:sz w:val="21"/>
              </w:rPr>
            </w:pPr>
          </w:p>
        </w:tc>
      </w:tr>
      <w:tr w14:paraId="54DBCC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964" w:type="dxa"/>
            <w:vAlign w:val="top"/>
          </w:tcPr>
          <w:p w14:paraId="42F0DA55">
            <w:pPr>
              <w:rPr>
                <w:rFonts w:ascii="Arial"/>
                <w:sz w:val="21"/>
              </w:rPr>
            </w:pPr>
          </w:p>
        </w:tc>
        <w:tc>
          <w:tcPr>
            <w:tcW w:w="1978" w:type="dxa"/>
            <w:vAlign w:val="top"/>
          </w:tcPr>
          <w:p w14:paraId="01A9BD98">
            <w:pPr>
              <w:rPr>
                <w:rFonts w:ascii="Arial"/>
                <w:sz w:val="21"/>
              </w:rPr>
            </w:pPr>
          </w:p>
        </w:tc>
        <w:tc>
          <w:tcPr>
            <w:tcW w:w="859" w:type="dxa"/>
            <w:vAlign w:val="top"/>
          </w:tcPr>
          <w:p w14:paraId="079D45FE">
            <w:pPr>
              <w:rPr>
                <w:rFonts w:ascii="Arial"/>
                <w:sz w:val="21"/>
              </w:rPr>
            </w:pPr>
          </w:p>
        </w:tc>
        <w:tc>
          <w:tcPr>
            <w:tcW w:w="759" w:type="dxa"/>
            <w:vAlign w:val="top"/>
          </w:tcPr>
          <w:p w14:paraId="5A71490F">
            <w:pPr>
              <w:rPr>
                <w:rFonts w:ascii="Arial"/>
                <w:sz w:val="21"/>
              </w:rPr>
            </w:pPr>
          </w:p>
        </w:tc>
        <w:tc>
          <w:tcPr>
            <w:tcW w:w="1359" w:type="dxa"/>
            <w:vAlign w:val="top"/>
          </w:tcPr>
          <w:p w14:paraId="6585B1B4">
            <w:pPr>
              <w:rPr>
                <w:rFonts w:ascii="Arial"/>
                <w:sz w:val="21"/>
              </w:rPr>
            </w:pPr>
          </w:p>
        </w:tc>
        <w:tc>
          <w:tcPr>
            <w:tcW w:w="1408" w:type="dxa"/>
            <w:vAlign w:val="top"/>
          </w:tcPr>
          <w:p w14:paraId="44025891">
            <w:pPr>
              <w:rPr>
                <w:rFonts w:ascii="Arial"/>
                <w:sz w:val="21"/>
              </w:rPr>
            </w:pPr>
          </w:p>
        </w:tc>
        <w:tc>
          <w:tcPr>
            <w:tcW w:w="1723" w:type="dxa"/>
            <w:vAlign w:val="top"/>
          </w:tcPr>
          <w:p w14:paraId="62153A8B">
            <w:pPr>
              <w:rPr>
                <w:rFonts w:ascii="Arial"/>
                <w:sz w:val="21"/>
              </w:rPr>
            </w:pPr>
          </w:p>
        </w:tc>
      </w:tr>
      <w:tr w14:paraId="1DBD60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4" w:hRule="atLeast"/>
        </w:trPr>
        <w:tc>
          <w:tcPr>
            <w:tcW w:w="964" w:type="dxa"/>
            <w:vAlign w:val="top"/>
          </w:tcPr>
          <w:p w14:paraId="03A22325">
            <w:pPr>
              <w:rPr>
                <w:rFonts w:ascii="Arial"/>
                <w:sz w:val="21"/>
              </w:rPr>
            </w:pPr>
          </w:p>
        </w:tc>
        <w:tc>
          <w:tcPr>
            <w:tcW w:w="1978" w:type="dxa"/>
            <w:vAlign w:val="top"/>
          </w:tcPr>
          <w:p w14:paraId="54E752EF">
            <w:pPr>
              <w:rPr>
                <w:rFonts w:ascii="Arial"/>
                <w:sz w:val="21"/>
              </w:rPr>
            </w:pPr>
          </w:p>
        </w:tc>
        <w:tc>
          <w:tcPr>
            <w:tcW w:w="859" w:type="dxa"/>
            <w:vAlign w:val="top"/>
          </w:tcPr>
          <w:p w14:paraId="551EDBF2">
            <w:pPr>
              <w:rPr>
                <w:rFonts w:ascii="Arial"/>
                <w:sz w:val="21"/>
              </w:rPr>
            </w:pPr>
          </w:p>
        </w:tc>
        <w:tc>
          <w:tcPr>
            <w:tcW w:w="759" w:type="dxa"/>
            <w:vAlign w:val="top"/>
          </w:tcPr>
          <w:p w14:paraId="7E787B8C">
            <w:pPr>
              <w:rPr>
                <w:rFonts w:ascii="Arial"/>
                <w:sz w:val="21"/>
              </w:rPr>
            </w:pPr>
          </w:p>
        </w:tc>
        <w:tc>
          <w:tcPr>
            <w:tcW w:w="1359" w:type="dxa"/>
            <w:vAlign w:val="top"/>
          </w:tcPr>
          <w:p w14:paraId="0FE9F9A0">
            <w:pPr>
              <w:rPr>
                <w:rFonts w:ascii="Arial"/>
                <w:sz w:val="21"/>
              </w:rPr>
            </w:pPr>
          </w:p>
        </w:tc>
        <w:tc>
          <w:tcPr>
            <w:tcW w:w="1408" w:type="dxa"/>
            <w:vAlign w:val="top"/>
          </w:tcPr>
          <w:p w14:paraId="384BCA57">
            <w:pPr>
              <w:rPr>
                <w:rFonts w:ascii="Arial"/>
                <w:sz w:val="21"/>
              </w:rPr>
            </w:pPr>
          </w:p>
        </w:tc>
        <w:tc>
          <w:tcPr>
            <w:tcW w:w="1723" w:type="dxa"/>
            <w:vAlign w:val="top"/>
          </w:tcPr>
          <w:p w14:paraId="7AFC862A">
            <w:pPr>
              <w:rPr>
                <w:rFonts w:ascii="Arial"/>
                <w:sz w:val="21"/>
              </w:rPr>
            </w:pPr>
          </w:p>
        </w:tc>
      </w:tr>
    </w:tbl>
    <w:p w14:paraId="60BA8666">
      <w:pPr>
        <w:rPr>
          <w:rFonts w:ascii="Arial"/>
          <w:sz w:val="21"/>
        </w:rPr>
      </w:pPr>
    </w:p>
    <w:p w14:paraId="507C6653">
      <w:pPr>
        <w:rPr>
          <w:rFonts w:ascii="Arial" w:hAnsi="Arial" w:eastAsia="Arial" w:cs="Arial"/>
          <w:sz w:val="21"/>
          <w:szCs w:val="21"/>
        </w:rPr>
        <w:sectPr>
          <w:footerReference r:id="rId286" w:type="default"/>
          <w:pgSz w:w="11910" w:h="16840"/>
          <w:pgMar w:top="400" w:right="1514" w:bottom="1024" w:left="1334" w:header="0" w:footer="889" w:gutter="0"/>
          <w:cols w:space="720" w:num="1"/>
        </w:sectPr>
      </w:pPr>
    </w:p>
    <w:p w14:paraId="78EE33A7">
      <w:pPr>
        <w:spacing w:line="284" w:lineRule="auto"/>
        <w:rPr>
          <w:rFonts w:ascii="Arial"/>
          <w:sz w:val="21"/>
        </w:rPr>
      </w:pPr>
    </w:p>
    <w:p w14:paraId="2FEFDF93">
      <w:pPr>
        <w:spacing w:line="284" w:lineRule="auto"/>
        <w:rPr>
          <w:rFonts w:ascii="Arial"/>
          <w:sz w:val="21"/>
        </w:rPr>
      </w:pPr>
    </w:p>
    <w:p w14:paraId="3D99F61B">
      <w:pPr>
        <w:spacing w:line="284" w:lineRule="auto"/>
        <w:rPr>
          <w:rFonts w:ascii="Arial"/>
          <w:sz w:val="21"/>
        </w:rPr>
      </w:pPr>
    </w:p>
    <w:p w14:paraId="6B159D29">
      <w:pPr>
        <w:spacing w:line="285" w:lineRule="auto"/>
        <w:rPr>
          <w:rFonts w:ascii="Arial"/>
          <w:sz w:val="21"/>
        </w:rPr>
      </w:pPr>
    </w:p>
    <w:p w14:paraId="3AC5C5B1">
      <w:pPr>
        <w:spacing w:line="285" w:lineRule="auto"/>
        <w:rPr>
          <w:rFonts w:ascii="Arial"/>
          <w:sz w:val="21"/>
        </w:rPr>
      </w:pPr>
    </w:p>
    <w:p w14:paraId="108531DE">
      <w:pPr>
        <w:spacing w:before="95" w:line="222" w:lineRule="auto"/>
        <w:ind w:left="2949"/>
        <w:rPr>
          <w:rFonts w:ascii="黑体" w:hAnsi="黑体" w:eastAsia="黑体" w:cs="黑体"/>
          <w:sz w:val="29"/>
          <w:szCs w:val="29"/>
        </w:rPr>
      </w:pPr>
      <w:r>
        <w:rPr>
          <w:rFonts w:ascii="黑体" w:hAnsi="黑体" w:eastAsia="黑体" w:cs="黑体"/>
          <w:b/>
          <w:bCs/>
          <w:spacing w:val="-1"/>
          <w:sz w:val="29"/>
          <w:szCs w:val="29"/>
        </w:rPr>
        <w:t>11-3:专业工程暂估价表</w:t>
      </w:r>
    </w:p>
    <w:p w14:paraId="39E347CB">
      <w:pPr>
        <w:spacing w:line="130" w:lineRule="exact"/>
      </w:pPr>
    </w:p>
    <w:tbl>
      <w:tblPr>
        <w:tblStyle w:val="5"/>
        <w:tblW w:w="880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64"/>
        <w:gridCol w:w="1977"/>
        <w:gridCol w:w="4675"/>
        <w:gridCol w:w="1293"/>
      </w:tblGrid>
      <w:tr w14:paraId="741D33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trPr>
        <w:tc>
          <w:tcPr>
            <w:tcW w:w="864" w:type="dxa"/>
            <w:vAlign w:val="top"/>
          </w:tcPr>
          <w:p w14:paraId="67332B7E">
            <w:pPr>
              <w:pStyle w:val="6"/>
              <w:spacing w:before="194" w:line="221" w:lineRule="auto"/>
              <w:ind w:left="204"/>
            </w:pPr>
            <w:r>
              <w:rPr>
                <w:spacing w:val="6"/>
              </w:rPr>
              <w:t>序号</w:t>
            </w:r>
          </w:p>
        </w:tc>
        <w:tc>
          <w:tcPr>
            <w:tcW w:w="1977" w:type="dxa"/>
            <w:vAlign w:val="top"/>
          </w:tcPr>
          <w:p w14:paraId="76C853BE">
            <w:pPr>
              <w:pStyle w:val="6"/>
              <w:spacing w:before="194" w:line="220" w:lineRule="auto"/>
              <w:ind w:left="370"/>
            </w:pPr>
            <w:r>
              <w:rPr>
                <w:spacing w:val="-2"/>
              </w:rPr>
              <w:t>专业工程名称</w:t>
            </w:r>
          </w:p>
        </w:tc>
        <w:tc>
          <w:tcPr>
            <w:tcW w:w="4675" w:type="dxa"/>
            <w:vAlign w:val="top"/>
          </w:tcPr>
          <w:p w14:paraId="589BF676">
            <w:pPr>
              <w:pStyle w:val="6"/>
              <w:spacing w:before="193" w:line="219" w:lineRule="auto"/>
              <w:ind w:left="1933"/>
            </w:pPr>
            <w:r>
              <w:rPr>
                <w:spacing w:val="2"/>
              </w:rPr>
              <w:t>工程内容</w:t>
            </w:r>
          </w:p>
        </w:tc>
        <w:tc>
          <w:tcPr>
            <w:tcW w:w="1293" w:type="dxa"/>
            <w:vAlign w:val="top"/>
          </w:tcPr>
          <w:p w14:paraId="2D36CECE">
            <w:pPr>
              <w:pStyle w:val="6"/>
              <w:spacing w:before="193" w:line="219" w:lineRule="auto"/>
              <w:ind w:left="448"/>
            </w:pPr>
            <w:r>
              <w:rPr>
                <w:spacing w:val="-3"/>
              </w:rPr>
              <w:t>金额</w:t>
            </w:r>
          </w:p>
        </w:tc>
      </w:tr>
      <w:tr w14:paraId="67C981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864" w:type="dxa"/>
            <w:vAlign w:val="top"/>
          </w:tcPr>
          <w:p w14:paraId="3DCBD60A">
            <w:pPr>
              <w:rPr>
                <w:rFonts w:ascii="Arial"/>
                <w:sz w:val="21"/>
              </w:rPr>
            </w:pPr>
          </w:p>
        </w:tc>
        <w:tc>
          <w:tcPr>
            <w:tcW w:w="1977" w:type="dxa"/>
            <w:vAlign w:val="top"/>
          </w:tcPr>
          <w:p w14:paraId="650115F5">
            <w:pPr>
              <w:rPr>
                <w:rFonts w:ascii="Arial"/>
                <w:sz w:val="21"/>
              </w:rPr>
            </w:pPr>
          </w:p>
        </w:tc>
        <w:tc>
          <w:tcPr>
            <w:tcW w:w="4675" w:type="dxa"/>
            <w:vAlign w:val="top"/>
          </w:tcPr>
          <w:p w14:paraId="4088AF8C">
            <w:pPr>
              <w:rPr>
                <w:rFonts w:ascii="Arial"/>
                <w:sz w:val="21"/>
              </w:rPr>
            </w:pPr>
          </w:p>
        </w:tc>
        <w:tc>
          <w:tcPr>
            <w:tcW w:w="1293" w:type="dxa"/>
            <w:vAlign w:val="top"/>
          </w:tcPr>
          <w:p w14:paraId="68208723">
            <w:pPr>
              <w:rPr>
                <w:rFonts w:ascii="Arial"/>
                <w:sz w:val="21"/>
              </w:rPr>
            </w:pPr>
          </w:p>
        </w:tc>
      </w:tr>
      <w:tr w14:paraId="3CFAA5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864" w:type="dxa"/>
            <w:vAlign w:val="top"/>
          </w:tcPr>
          <w:p w14:paraId="485B956F">
            <w:pPr>
              <w:rPr>
                <w:rFonts w:ascii="Arial"/>
                <w:sz w:val="21"/>
              </w:rPr>
            </w:pPr>
          </w:p>
        </w:tc>
        <w:tc>
          <w:tcPr>
            <w:tcW w:w="1977" w:type="dxa"/>
            <w:vAlign w:val="top"/>
          </w:tcPr>
          <w:p w14:paraId="02FF7C33">
            <w:pPr>
              <w:rPr>
                <w:rFonts w:ascii="Arial"/>
                <w:sz w:val="21"/>
              </w:rPr>
            </w:pPr>
          </w:p>
        </w:tc>
        <w:tc>
          <w:tcPr>
            <w:tcW w:w="4675" w:type="dxa"/>
            <w:vAlign w:val="top"/>
          </w:tcPr>
          <w:p w14:paraId="7F84848F">
            <w:pPr>
              <w:rPr>
                <w:rFonts w:ascii="Arial"/>
                <w:sz w:val="21"/>
              </w:rPr>
            </w:pPr>
          </w:p>
        </w:tc>
        <w:tc>
          <w:tcPr>
            <w:tcW w:w="1293" w:type="dxa"/>
            <w:vAlign w:val="top"/>
          </w:tcPr>
          <w:p w14:paraId="767BA19E">
            <w:pPr>
              <w:rPr>
                <w:rFonts w:ascii="Arial"/>
                <w:sz w:val="21"/>
              </w:rPr>
            </w:pPr>
          </w:p>
        </w:tc>
      </w:tr>
      <w:tr w14:paraId="453CA5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864" w:type="dxa"/>
            <w:vAlign w:val="top"/>
          </w:tcPr>
          <w:p w14:paraId="52EE43DA">
            <w:pPr>
              <w:rPr>
                <w:rFonts w:ascii="Arial"/>
                <w:sz w:val="21"/>
              </w:rPr>
            </w:pPr>
          </w:p>
        </w:tc>
        <w:tc>
          <w:tcPr>
            <w:tcW w:w="1977" w:type="dxa"/>
            <w:vAlign w:val="top"/>
          </w:tcPr>
          <w:p w14:paraId="43B39192">
            <w:pPr>
              <w:rPr>
                <w:rFonts w:ascii="Arial"/>
                <w:sz w:val="21"/>
              </w:rPr>
            </w:pPr>
          </w:p>
        </w:tc>
        <w:tc>
          <w:tcPr>
            <w:tcW w:w="4675" w:type="dxa"/>
            <w:vAlign w:val="top"/>
          </w:tcPr>
          <w:p w14:paraId="33015852">
            <w:pPr>
              <w:rPr>
                <w:rFonts w:ascii="Arial"/>
                <w:sz w:val="21"/>
              </w:rPr>
            </w:pPr>
          </w:p>
        </w:tc>
        <w:tc>
          <w:tcPr>
            <w:tcW w:w="1293" w:type="dxa"/>
            <w:vAlign w:val="top"/>
          </w:tcPr>
          <w:p w14:paraId="7BC38350">
            <w:pPr>
              <w:rPr>
                <w:rFonts w:ascii="Arial"/>
                <w:sz w:val="21"/>
              </w:rPr>
            </w:pPr>
          </w:p>
        </w:tc>
      </w:tr>
      <w:tr w14:paraId="6C12C6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864" w:type="dxa"/>
            <w:vAlign w:val="top"/>
          </w:tcPr>
          <w:p w14:paraId="53333DDC">
            <w:pPr>
              <w:rPr>
                <w:rFonts w:ascii="Arial"/>
                <w:sz w:val="21"/>
              </w:rPr>
            </w:pPr>
          </w:p>
        </w:tc>
        <w:tc>
          <w:tcPr>
            <w:tcW w:w="1977" w:type="dxa"/>
            <w:vAlign w:val="top"/>
          </w:tcPr>
          <w:p w14:paraId="0DCBBDE5">
            <w:pPr>
              <w:rPr>
                <w:rFonts w:ascii="Arial"/>
                <w:sz w:val="21"/>
              </w:rPr>
            </w:pPr>
          </w:p>
        </w:tc>
        <w:tc>
          <w:tcPr>
            <w:tcW w:w="4675" w:type="dxa"/>
            <w:vAlign w:val="top"/>
          </w:tcPr>
          <w:p w14:paraId="64DC3A6F">
            <w:pPr>
              <w:rPr>
                <w:rFonts w:ascii="Arial"/>
                <w:sz w:val="21"/>
              </w:rPr>
            </w:pPr>
          </w:p>
        </w:tc>
        <w:tc>
          <w:tcPr>
            <w:tcW w:w="1293" w:type="dxa"/>
            <w:vAlign w:val="top"/>
          </w:tcPr>
          <w:p w14:paraId="46831348">
            <w:pPr>
              <w:rPr>
                <w:rFonts w:ascii="Arial"/>
                <w:sz w:val="21"/>
              </w:rPr>
            </w:pPr>
          </w:p>
        </w:tc>
      </w:tr>
      <w:tr w14:paraId="4EF729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864" w:type="dxa"/>
            <w:vAlign w:val="top"/>
          </w:tcPr>
          <w:p w14:paraId="78BCCF26">
            <w:pPr>
              <w:rPr>
                <w:rFonts w:ascii="Arial"/>
                <w:sz w:val="21"/>
              </w:rPr>
            </w:pPr>
          </w:p>
        </w:tc>
        <w:tc>
          <w:tcPr>
            <w:tcW w:w="1977" w:type="dxa"/>
            <w:vAlign w:val="top"/>
          </w:tcPr>
          <w:p w14:paraId="7E3313F9">
            <w:pPr>
              <w:rPr>
                <w:rFonts w:ascii="Arial"/>
                <w:sz w:val="21"/>
              </w:rPr>
            </w:pPr>
          </w:p>
        </w:tc>
        <w:tc>
          <w:tcPr>
            <w:tcW w:w="4675" w:type="dxa"/>
            <w:vAlign w:val="top"/>
          </w:tcPr>
          <w:p w14:paraId="662B3C67">
            <w:pPr>
              <w:rPr>
                <w:rFonts w:ascii="Arial"/>
                <w:sz w:val="21"/>
              </w:rPr>
            </w:pPr>
          </w:p>
        </w:tc>
        <w:tc>
          <w:tcPr>
            <w:tcW w:w="1293" w:type="dxa"/>
            <w:vAlign w:val="top"/>
          </w:tcPr>
          <w:p w14:paraId="7D7F4582">
            <w:pPr>
              <w:rPr>
                <w:rFonts w:ascii="Arial"/>
                <w:sz w:val="21"/>
              </w:rPr>
            </w:pPr>
          </w:p>
        </w:tc>
      </w:tr>
      <w:tr w14:paraId="7E90F2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864" w:type="dxa"/>
            <w:vAlign w:val="top"/>
          </w:tcPr>
          <w:p w14:paraId="7B8FB84B">
            <w:pPr>
              <w:rPr>
                <w:rFonts w:ascii="Arial"/>
                <w:sz w:val="21"/>
              </w:rPr>
            </w:pPr>
          </w:p>
        </w:tc>
        <w:tc>
          <w:tcPr>
            <w:tcW w:w="1977" w:type="dxa"/>
            <w:vAlign w:val="top"/>
          </w:tcPr>
          <w:p w14:paraId="20AF4870">
            <w:pPr>
              <w:rPr>
                <w:rFonts w:ascii="Arial"/>
                <w:sz w:val="21"/>
              </w:rPr>
            </w:pPr>
          </w:p>
        </w:tc>
        <w:tc>
          <w:tcPr>
            <w:tcW w:w="4675" w:type="dxa"/>
            <w:vAlign w:val="top"/>
          </w:tcPr>
          <w:p w14:paraId="228EC64E">
            <w:pPr>
              <w:rPr>
                <w:rFonts w:ascii="Arial"/>
                <w:sz w:val="21"/>
              </w:rPr>
            </w:pPr>
          </w:p>
        </w:tc>
        <w:tc>
          <w:tcPr>
            <w:tcW w:w="1293" w:type="dxa"/>
            <w:vAlign w:val="top"/>
          </w:tcPr>
          <w:p w14:paraId="3EE512E8">
            <w:pPr>
              <w:rPr>
                <w:rFonts w:ascii="Arial"/>
                <w:sz w:val="21"/>
              </w:rPr>
            </w:pPr>
          </w:p>
        </w:tc>
      </w:tr>
      <w:tr w14:paraId="4584F5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9" w:hRule="atLeast"/>
        </w:trPr>
        <w:tc>
          <w:tcPr>
            <w:tcW w:w="864" w:type="dxa"/>
            <w:vAlign w:val="top"/>
          </w:tcPr>
          <w:p w14:paraId="291CE149">
            <w:pPr>
              <w:rPr>
                <w:rFonts w:ascii="Arial"/>
                <w:sz w:val="21"/>
              </w:rPr>
            </w:pPr>
          </w:p>
        </w:tc>
        <w:tc>
          <w:tcPr>
            <w:tcW w:w="1977" w:type="dxa"/>
            <w:vAlign w:val="top"/>
          </w:tcPr>
          <w:p w14:paraId="3FD64C47">
            <w:pPr>
              <w:rPr>
                <w:rFonts w:ascii="Arial"/>
                <w:sz w:val="21"/>
              </w:rPr>
            </w:pPr>
          </w:p>
        </w:tc>
        <w:tc>
          <w:tcPr>
            <w:tcW w:w="4675" w:type="dxa"/>
            <w:vAlign w:val="top"/>
          </w:tcPr>
          <w:p w14:paraId="4514E192">
            <w:pPr>
              <w:rPr>
                <w:rFonts w:ascii="Arial"/>
                <w:sz w:val="21"/>
              </w:rPr>
            </w:pPr>
          </w:p>
        </w:tc>
        <w:tc>
          <w:tcPr>
            <w:tcW w:w="1293" w:type="dxa"/>
            <w:vAlign w:val="top"/>
          </w:tcPr>
          <w:p w14:paraId="2DFDF185">
            <w:pPr>
              <w:rPr>
                <w:rFonts w:ascii="Arial"/>
                <w:sz w:val="21"/>
              </w:rPr>
            </w:pPr>
          </w:p>
        </w:tc>
      </w:tr>
      <w:tr w14:paraId="55B7DE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864" w:type="dxa"/>
            <w:vAlign w:val="top"/>
          </w:tcPr>
          <w:p w14:paraId="707E54C1">
            <w:pPr>
              <w:rPr>
                <w:rFonts w:ascii="Arial"/>
                <w:sz w:val="21"/>
              </w:rPr>
            </w:pPr>
          </w:p>
        </w:tc>
        <w:tc>
          <w:tcPr>
            <w:tcW w:w="1977" w:type="dxa"/>
            <w:vAlign w:val="top"/>
          </w:tcPr>
          <w:p w14:paraId="2E485C1E">
            <w:pPr>
              <w:rPr>
                <w:rFonts w:ascii="Arial"/>
                <w:sz w:val="21"/>
              </w:rPr>
            </w:pPr>
          </w:p>
        </w:tc>
        <w:tc>
          <w:tcPr>
            <w:tcW w:w="4675" w:type="dxa"/>
            <w:vAlign w:val="top"/>
          </w:tcPr>
          <w:p w14:paraId="21148FED">
            <w:pPr>
              <w:rPr>
                <w:rFonts w:ascii="Arial"/>
                <w:sz w:val="21"/>
              </w:rPr>
            </w:pPr>
          </w:p>
        </w:tc>
        <w:tc>
          <w:tcPr>
            <w:tcW w:w="1293" w:type="dxa"/>
            <w:vAlign w:val="top"/>
          </w:tcPr>
          <w:p w14:paraId="5CD1F0B1">
            <w:pPr>
              <w:rPr>
                <w:rFonts w:ascii="Arial"/>
                <w:sz w:val="21"/>
              </w:rPr>
            </w:pPr>
          </w:p>
        </w:tc>
      </w:tr>
      <w:tr w14:paraId="67F0DE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trPr>
        <w:tc>
          <w:tcPr>
            <w:tcW w:w="864" w:type="dxa"/>
            <w:vAlign w:val="top"/>
          </w:tcPr>
          <w:p w14:paraId="2543D2CA">
            <w:pPr>
              <w:rPr>
                <w:rFonts w:ascii="Arial"/>
                <w:sz w:val="21"/>
              </w:rPr>
            </w:pPr>
          </w:p>
        </w:tc>
        <w:tc>
          <w:tcPr>
            <w:tcW w:w="1977" w:type="dxa"/>
            <w:vAlign w:val="top"/>
          </w:tcPr>
          <w:p w14:paraId="2747B6FD">
            <w:pPr>
              <w:rPr>
                <w:rFonts w:ascii="Arial"/>
                <w:sz w:val="21"/>
              </w:rPr>
            </w:pPr>
          </w:p>
        </w:tc>
        <w:tc>
          <w:tcPr>
            <w:tcW w:w="4675" w:type="dxa"/>
            <w:vAlign w:val="top"/>
          </w:tcPr>
          <w:p w14:paraId="5D212B41">
            <w:pPr>
              <w:rPr>
                <w:rFonts w:ascii="Arial"/>
                <w:sz w:val="21"/>
              </w:rPr>
            </w:pPr>
          </w:p>
        </w:tc>
        <w:tc>
          <w:tcPr>
            <w:tcW w:w="1293" w:type="dxa"/>
            <w:vAlign w:val="top"/>
          </w:tcPr>
          <w:p w14:paraId="1677E5C0">
            <w:pPr>
              <w:rPr>
                <w:rFonts w:ascii="Arial"/>
                <w:sz w:val="21"/>
              </w:rPr>
            </w:pPr>
          </w:p>
        </w:tc>
      </w:tr>
      <w:tr w14:paraId="0376B6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864" w:type="dxa"/>
            <w:vAlign w:val="top"/>
          </w:tcPr>
          <w:p w14:paraId="45F236D5">
            <w:pPr>
              <w:rPr>
                <w:rFonts w:ascii="Arial"/>
                <w:sz w:val="21"/>
              </w:rPr>
            </w:pPr>
          </w:p>
        </w:tc>
        <w:tc>
          <w:tcPr>
            <w:tcW w:w="1977" w:type="dxa"/>
            <w:vAlign w:val="top"/>
          </w:tcPr>
          <w:p w14:paraId="59A7D3BB">
            <w:pPr>
              <w:rPr>
                <w:rFonts w:ascii="Arial"/>
                <w:sz w:val="21"/>
              </w:rPr>
            </w:pPr>
          </w:p>
        </w:tc>
        <w:tc>
          <w:tcPr>
            <w:tcW w:w="4675" w:type="dxa"/>
            <w:vAlign w:val="top"/>
          </w:tcPr>
          <w:p w14:paraId="5851DFB5">
            <w:pPr>
              <w:rPr>
                <w:rFonts w:ascii="Arial"/>
                <w:sz w:val="21"/>
              </w:rPr>
            </w:pPr>
          </w:p>
        </w:tc>
        <w:tc>
          <w:tcPr>
            <w:tcW w:w="1293" w:type="dxa"/>
            <w:vAlign w:val="top"/>
          </w:tcPr>
          <w:p w14:paraId="73436921">
            <w:pPr>
              <w:rPr>
                <w:rFonts w:ascii="Arial"/>
                <w:sz w:val="21"/>
              </w:rPr>
            </w:pPr>
          </w:p>
        </w:tc>
      </w:tr>
      <w:tr w14:paraId="12AF60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864" w:type="dxa"/>
            <w:vAlign w:val="top"/>
          </w:tcPr>
          <w:p w14:paraId="61B68FEC">
            <w:pPr>
              <w:rPr>
                <w:rFonts w:ascii="Arial"/>
                <w:sz w:val="21"/>
              </w:rPr>
            </w:pPr>
          </w:p>
        </w:tc>
        <w:tc>
          <w:tcPr>
            <w:tcW w:w="1977" w:type="dxa"/>
            <w:vAlign w:val="top"/>
          </w:tcPr>
          <w:p w14:paraId="430C8240">
            <w:pPr>
              <w:rPr>
                <w:rFonts w:ascii="Arial"/>
                <w:sz w:val="21"/>
              </w:rPr>
            </w:pPr>
          </w:p>
        </w:tc>
        <w:tc>
          <w:tcPr>
            <w:tcW w:w="4675" w:type="dxa"/>
            <w:vAlign w:val="top"/>
          </w:tcPr>
          <w:p w14:paraId="352394B1">
            <w:pPr>
              <w:rPr>
                <w:rFonts w:ascii="Arial"/>
                <w:sz w:val="21"/>
              </w:rPr>
            </w:pPr>
          </w:p>
        </w:tc>
        <w:tc>
          <w:tcPr>
            <w:tcW w:w="1293" w:type="dxa"/>
            <w:vAlign w:val="top"/>
          </w:tcPr>
          <w:p w14:paraId="5C2CBA30">
            <w:pPr>
              <w:rPr>
                <w:rFonts w:ascii="Arial"/>
                <w:sz w:val="21"/>
              </w:rPr>
            </w:pPr>
          </w:p>
        </w:tc>
      </w:tr>
      <w:tr w14:paraId="2D11CB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864" w:type="dxa"/>
            <w:vAlign w:val="top"/>
          </w:tcPr>
          <w:p w14:paraId="6155BB62">
            <w:pPr>
              <w:rPr>
                <w:rFonts w:ascii="Arial"/>
                <w:sz w:val="21"/>
              </w:rPr>
            </w:pPr>
          </w:p>
        </w:tc>
        <w:tc>
          <w:tcPr>
            <w:tcW w:w="1977" w:type="dxa"/>
            <w:vAlign w:val="top"/>
          </w:tcPr>
          <w:p w14:paraId="4F008447">
            <w:pPr>
              <w:rPr>
                <w:rFonts w:ascii="Arial"/>
                <w:sz w:val="21"/>
              </w:rPr>
            </w:pPr>
          </w:p>
        </w:tc>
        <w:tc>
          <w:tcPr>
            <w:tcW w:w="4675" w:type="dxa"/>
            <w:vAlign w:val="top"/>
          </w:tcPr>
          <w:p w14:paraId="1E001B80">
            <w:pPr>
              <w:rPr>
                <w:rFonts w:ascii="Arial"/>
                <w:sz w:val="21"/>
              </w:rPr>
            </w:pPr>
          </w:p>
        </w:tc>
        <w:tc>
          <w:tcPr>
            <w:tcW w:w="1293" w:type="dxa"/>
            <w:vAlign w:val="top"/>
          </w:tcPr>
          <w:p w14:paraId="428C0B04">
            <w:pPr>
              <w:rPr>
                <w:rFonts w:ascii="Arial"/>
                <w:sz w:val="21"/>
              </w:rPr>
            </w:pPr>
          </w:p>
        </w:tc>
      </w:tr>
      <w:tr w14:paraId="2846B6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trPr>
        <w:tc>
          <w:tcPr>
            <w:tcW w:w="864" w:type="dxa"/>
            <w:vAlign w:val="top"/>
          </w:tcPr>
          <w:p w14:paraId="527C2F21">
            <w:pPr>
              <w:rPr>
                <w:rFonts w:ascii="Arial"/>
                <w:sz w:val="21"/>
              </w:rPr>
            </w:pPr>
          </w:p>
        </w:tc>
        <w:tc>
          <w:tcPr>
            <w:tcW w:w="1977" w:type="dxa"/>
            <w:vAlign w:val="top"/>
          </w:tcPr>
          <w:p w14:paraId="7B0DEDB4">
            <w:pPr>
              <w:rPr>
                <w:rFonts w:ascii="Arial"/>
                <w:sz w:val="21"/>
              </w:rPr>
            </w:pPr>
          </w:p>
        </w:tc>
        <w:tc>
          <w:tcPr>
            <w:tcW w:w="4675" w:type="dxa"/>
            <w:vAlign w:val="top"/>
          </w:tcPr>
          <w:p w14:paraId="564E6809">
            <w:pPr>
              <w:rPr>
                <w:rFonts w:ascii="Arial"/>
                <w:sz w:val="21"/>
              </w:rPr>
            </w:pPr>
          </w:p>
        </w:tc>
        <w:tc>
          <w:tcPr>
            <w:tcW w:w="1293" w:type="dxa"/>
            <w:vAlign w:val="top"/>
          </w:tcPr>
          <w:p w14:paraId="4F0DCB29">
            <w:pPr>
              <w:rPr>
                <w:rFonts w:ascii="Arial"/>
                <w:sz w:val="21"/>
              </w:rPr>
            </w:pPr>
          </w:p>
        </w:tc>
      </w:tr>
      <w:tr w14:paraId="3F38AC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864" w:type="dxa"/>
            <w:vAlign w:val="top"/>
          </w:tcPr>
          <w:p w14:paraId="6E04FF69">
            <w:pPr>
              <w:rPr>
                <w:rFonts w:ascii="Arial"/>
                <w:sz w:val="21"/>
              </w:rPr>
            </w:pPr>
          </w:p>
        </w:tc>
        <w:tc>
          <w:tcPr>
            <w:tcW w:w="1977" w:type="dxa"/>
            <w:vAlign w:val="top"/>
          </w:tcPr>
          <w:p w14:paraId="0990210C">
            <w:pPr>
              <w:rPr>
                <w:rFonts w:ascii="Arial"/>
                <w:sz w:val="21"/>
              </w:rPr>
            </w:pPr>
          </w:p>
        </w:tc>
        <w:tc>
          <w:tcPr>
            <w:tcW w:w="4675" w:type="dxa"/>
            <w:vAlign w:val="top"/>
          </w:tcPr>
          <w:p w14:paraId="6B7B3214">
            <w:pPr>
              <w:rPr>
                <w:rFonts w:ascii="Arial"/>
                <w:sz w:val="21"/>
              </w:rPr>
            </w:pPr>
          </w:p>
        </w:tc>
        <w:tc>
          <w:tcPr>
            <w:tcW w:w="1293" w:type="dxa"/>
            <w:vAlign w:val="top"/>
          </w:tcPr>
          <w:p w14:paraId="47F787C4">
            <w:pPr>
              <w:rPr>
                <w:rFonts w:ascii="Arial"/>
                <w:sz w:val="21"/>
              </w:rPr>
            </w:pPr>
          </w:p>
        </w:tc>
      </w:tr>
      <w:tr w14:paraId="4B10BA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864" w:type="dxa"/>
            <w:vAlign w:val="top"/>
          </w:tcPr>
          <w:p w14:paraId="3A5778A4">
            <w:pPr>
              <w:rPr>
                <w:rFonts w:ascii="Arial"/>
                <w:sz w:val="21"/>
              </w:rPr>
            </w:pPr>
          </w:p>
        </w:tc>
        <w:tc>
          <w:tcPr>
            <w:tcW w:w="1977" w:type="dxa"/>
            <w:vAlign w:val="top"/>
          </w:tcPr>
          <w:p w14:paraId="0B47BBFD">
            <w:pPr>
              <w:rPr>
                <w:rFonts w:ascii="Arial"/>
                <w:sz w:val="21"/>
              </w:rPr>
            </w:pPr>
          </w:p>
        </w:tc>
        <w:tc>
          <w:tcPr>
            <w:tcW w:w="4675" w:type="dxa"/>
            <w:vAlign w:val="top"/>
          </w:tcPr>
          <w:p w14:paraId="2B61E471">
            <w:pPr>
              <w:rPr>
                <w:rFonts w:ascii="Arial"/>
                <w:sz w:val="21"/>
              </w:rPr>
            </w:pPr>
          </w:p>
        </w:tc>
        <w:tc>
          <w:tcPr>
            <w:tcW w:w="1293" w:type="dxa"/>
            <w:vAlign w:val="top"/>
          </w:tcPr>
          <w:p w14:paraId="2EE26FB9">
            <w:pPr>
              <w:rPr>
                <w:rFonts w:ascii="Arial"/>
                <w:sz w:val="21"/>
              </w:rPr>
            </w:pPr>
          </w:p>
        </w:tc>
      </w:tr>
      <w:tr w14:paraId="5F0CD2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9" w:hRule="atLeast"/>
        </w:trPr>
        <w:tc>
          <w:tcPr>
            <w:tcW w:w="864" w:type="dxa"/>
            <w:vAlign w:val="top"/>
          </w:tcPr>
          <w:p w14:paraId="5728F95A">
            <w:pPr>
              <w:rPr>
                <w:rFonts w:ascii="Arial"/>
                <w:sz w:val="21"/>
              </w:rPr>
            </w:pPr>
          </w:p>
        </w:tc>
        <w:tc>
          <w:tcPr>
            <w:tcW w:w="1977" w:type="dxa"/>
            <w:vAlign w:val="top"/>
          </w:tcPr>
          <w:p w14:paraId="6968D667">
            <w:pPr>
              <w:rPr>
                <w:rFonts w:ascii="Arial"/>
                <w:sz w:val="21"/>
              </w:rPr>
            </w:pPr>
          </w:p>
        </w:tc>
        <w:tc>
          <w:tcPr>
            <w:tcW w:w="4675" w:type="dxa"/>
            <w:vAlign w:val="top"/>
          </w:tcPr>
          <w:p w14:paraId="25239310">
            <w:pPr>
              <w:rPr>
                <w:rFonts w:ascii="Arial"/>
                <w:sz w:val="21"/>
              </w:rPr>
            </w:pPr>
          </w:p>
        </w:tc>
        <w:tc>
          <w:tcPr>
            <w:tcW w:w="1293" w:type="dxa"/>
            <w:vAlign w:val="top"/>
          </w:tcPr>
          <w:p w14:paraId="31234860">
            <w:pPr>
              <w:rPr>
                <w:rFonts w:ascii="Arial"/>
                <w:sz w:val="21"/>
              </w:rPr>
            </w:pPr>
          </w:p>
        </w:tc>
      </w:tr>
      <w:tr w14:paraId="5BBFE6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9" w:hRule="atLeast"/>
        </w:trPr>
        <w:tc>
          <w:tcPr>
            <w:tcW w:w="864" w:type="dxa"/>
            <w:vAlign w:val="top"/>
          </w:tcPr>
          <w:p w14:paraId="4A9DC45B">
            <w:pPr>
              <w:rPr>
                <w:rFonts w:ascii="Arial"/>
                <w:sz w:val="21"/>
              </w:rPr>
            </w:pPr>
          </w:p>
        </w:tc>
        <w:tc>
          <w:tcPr>
            <w:tcW w:w="1977" w:type="dxa"/>
            <w:vAlign w:val="top"/>
          </w:tcPr>
          <w:p w14:paraId="76B82364">
            <w:pPr>
              <w:rPr>
                <w:rFonts w:ascii="Arial"/>
                <w:sz w:val="21"/>
              </w:rPr>
            </w:pPr>
          </w:p>
        </w:tc>
        <w:tc>
          <w:tcPr>
            <w:tcW w:w="4675" w:type="dxa"/>
            <w:vAlign w:val="top"/>
          </w:tcPr>
          <w:p w14:paraId="161D690A">
            <w:pPr>
              <w:rPr>
                <w:rFonts w:ascii="Arial"/>
                <w:sz w:val="21"/>
              </w:rPr>
            </w:pPr>
          </w:p>
        </w:tc>
        <w:tc>
          <w:tcPr>
            <w:tcW w:w="1293" w:type="dxa"/>
            <w:vAlign w:val="top"/>
          </w:tcPr>
          <w:p w14:paraId="343C4325">
            <w:pPr>
              <w:rPr>
                <w:rFonts w:ascii="Arial"/>
                <w:sz w:val="21"/>
              </w:rPr>
            </w:pPr>
          </w:p>
        </w:tc>
      </w:tr>
      <w:tr w14:paraId="4C1BB1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864" w:type="dxa"/>
            <w:vAlign w:val="top"/>
          </w:tcPr>
          <w:p w14:paraId="71149376">
            <w:pPr>
              <w:rPr>
                <w:rFonts w:ascii="Arial"/>
                <w:sz w:val="21"/>
              </w:rPr>
            </w:pPr>
          </w:p>
        </w:tc>
        <w:tc>
          <w:tcPr>
            <w:tcW w:w="1977" w:type="dxa"/>
            <w:vAlign w:val="top"/>
          </w:tcPr>
          <w:p w14:paraId="6E16BCDA">
            <w:pPr>
              <w:rPr>
                <w:rFonts w:ascii="Arial"/>
                <w:sz w:val="21"/>
              </w:rPr>
            </w:pPr>
          </w:p>
        </w:tc>
        <w:tc>
          <w:tcPr>
            <w:tcW w:w="4675" w:type="dxa"/>
            <w:vAlign w:val="top"/>
          </w:tcPr>
          <w:p w14:paraId="3268843B">
            <w:pPr>
              <w:rPr>
                <w:rFonts w:ascii="Arial"/>
                <w:sz w:val="21"/>
              </w:rPr>
            </w:pPr>
          </w:p>
        </w:tc>
        <w:tc>
          <w:tcPr>
            <w:tcW w:w="1293" w:type="dxa"/>
            <w:vAlign w:val="top"/>
          </w:tcPr>
          <w:p w14:paraId="470FA3A3">
            <w:pPr>
              <w:rPr>
                <w:rFonts w:ascii="Arial"/>
                <w:sz w:val="21"/>
              </w:rPr>
            </w:pPr>
          </w:p>
        </w:tc>
      </w:tr>
      <w:tr w14:paraId="308C1A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9" w:hRule="atLeast"/>
        </w:trPr>
        <w:tc>
          <w:tcPr>
            <w:tcW w:w="864" w:type="dxa"/>
            <w:vAlign w:val="top"/>
          </w:tcPr>
          <w:p w14:paraId="73DB0142">
            <w:pPr>
              <w:rPr>
                <w:rFonts w:ascii="Arial"/>
                <w:sz w:val="21"/>
              </w:rPr>
            </w:pPr>
          </w:p>
        </w:tc>
        <w:tc>
          <w:tcPr>
            <w:tcW w:w="1977" w:type="dxa"/>
            <w:vAlign w:val="top"/>
          </w:tcPr>
          <w:p w14:paraId="3421708B">
            <w:pPr>
              <w:rPr>
                <w:rFonts w:ascii="Arial"/>
                <w:sz w:val="21"/>
              </w:rPr>
            </w:pPr>
          </w:p>
        </w:tc>
        <w:tc>
          <w:tcPr>
            <w:tcW w:w="4675" w:type="dxa"/>
            <w:vAlign w:val="top"/>
          </w:tcPr>
          <w:p w14:paraId="24686D45">
            <w:pPr>
              <w:rPr>
                <w:rFonts w:ascii="Arial"/>
                <w:sz w:val="21"/>
              </w:rPr>
            </w:pPr>
          </w:p>
        </w:tc>
        <w:tc>
          <w:tcPr>
            <w:tcW w:w="1293" w:type="dxa"/>
            <w:vAlign w:val="top"/>
          </w:tcPr>
          <w:p w14:paraId="3B355108">
            <w:pPr>
              <w:rPr>
                <w:rFonts w:ascii="Arial"/>
                <w:sz w:val="21"/>
              </w:rPr>
            </w:pPr>
          </w:p>
        </w:tc>
      </w:tr>
      <w:tr w14:paraId="0FEADE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864" w:type="dxa"/>
            <w:vAlign w:val="top"/>
          </w:tcPr>
          <w:p w14:paraId="416DFC66">
            <w:pPr>
              <w:rPr>
                <w:rFonts w:ascii="Arial"/>
                <w:sz w:val="21"/>
              </w:rPr>
            </w:pPr>
          </w:p>
        </w:tc>
        <w:tc>
          <w:tcPr>
            <w:tcW w:w="1977" w:type="dxa"/>
            <w:vAlign w:val="top"/>
          </w:tcPr>
          <w:p w14:paraId="33C7B52C">
            <w:pPr>
              <w:rPr>
                <w:rFonts w:ascii="Arial"/>
                <w:sz w:val="21"/>
              </w:rPr>
            </w:pPr>
          </w:p>
        </w:tc>
        <w:tc>
          <w:tcPr>
            <w:tcW w:w="4675" w:type="dxa"/>
            <w:vAlign w:val="top"/>
          </w:tcPr>
          <w:p w14:paraId="1AC9EF11">
            <w:pPr>
              <w:rPr>
                <w:rFonts w:ascii="Arial"/>
                <w:sz w:val="21"/>
              </w:rPr>
            </w:pPr>
          </w:p>
        </w:tc>
        <w:tc>
          <w:tcPr>
            <w:tcW w:w="1293" w:type="dxa"/>
            <w:vAlign w:val="top"/>
          </w:tcPr>
          <w:p w14:paraId="2589802E">
            <w:pPr>
              <w:rPr>
                <w:rFonts w:ascii="Arial"/>
                <w:sz w:val="21"/>
              </w:rPr>
            </w:pPr>
          </w:p>
        </w:tc>
      </w:tr>
      <w:tr w14:paraId="73DC74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trPr>
        <w:tc>
          <w:tcPr>
            <w:tcW w:w="864" w:type="dxa"/>
            <w:vAlign w:val="top"/>
          </w:tcPr>
          <w:p w14:paraId="7067C6FC">
            <w:pPr>
              <w:rPr>
                <w:rFonts w:ascii="Arial"/>
                <w:sz w:val="21"/>
              </w:rPr>
            </w:pPr>
          </w:p>
        </w:tc>
        <w:tc>
          <w:tcPr>
            <w:tcW w:w="1977" w:type="dxa"/>
            <w:vAlign w:val="top"/>
          </w:tcPr>
          <w:p w14:paraId="4EB639FD">
            <w:pPr>
              <w:rPr>
                <w:rFonts w:ascii="Arial"/>
                <w:sz w:val="21"/>
              </w:rPr>
            </w:pPr>
          </w:p>
        </w:tc>
        <w:tc>
          <w:tcPr>
            <w:tcW w:w="4675" w:type="dxa"/>
            <w:vAlign w:val="top"/>
          </w:tcPr>
          <w:p w14:paraId="14479DBE">
            <w:pPr>
              <w:rPr>
                <w:rFonts w:ascii="Arial"/>
                <w:sz w:val="21"/>
              </w:rPr>
            </w:pPr>
          </w:p>
        </w:tc>
        <w:tc>
          <w:tcPr>
            <w:tcW w:w="1293" w:type="dxa"/>
            <w:vAlign w:val="top"/>
          </w:tcPr>
          <w:p w14:paraId="469B65BD">
            <w:pPr>
              <w:rPr>
                <w:rFonts w:ascii="Arial"/>
                <w:sz w:val="21"/>
              </w:rPr>
            </w:pPr>
          </w:p>
        </w:tc>
      </w:tr>
      <w:tr w14:paraId="79C297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864" w:type="dxa"/>
            <w:vAlign w:val="top"/>
          </w:tcPr>
          <w:p w14:paraId="19A6E9C5">
            <w:pPr>
              <w:rPr>
                <w:rFonts w:ascii="Arial"/>
                <w:sz w:val="21"/>
              </w:rPr>
            </w:pPr>
          </w:p>
        </w:tc>
        <w:tc>
          <w:tcPr>
            <w:tcW w:w="1977" w:type="dxa"/>
            <w:vAlign w:val="top"/>
          </w:tcPr>
          <w:p w14:paraId="2C22102C">
            <w:pPr>
              <w:rPr>
                <w:rFonts w:ascii="Arial"/>
                <w:sz w:val="21"/>
              </w:rPr>
            </w:pPr>
          </w:p>
        </w:tc>
        <w:tc>
          <w:tcPr>
            <w:tcW w:w="4675" w:type="dxa"/>
            <w:vAlign w:val="top"/>
          </w:tcPr>
          <w:p w14:paraId="58994C80">
            <w:pPr>
              <w:rPr>
                <w:rFonts w:ascii="Arial"/>
                <w:sz w:val="21"/>
              </w:rPr>
            </w:pPr>
          </w:p>
        </w:tc>
        <w:tc>
          <w:tcPr>
            <w:tcW w:w="1293" w:type="dxa"/>
            <w:vAlign w:val="top"/>
          </w:tcPr>
          <w:p w14:paraId="63C12967">
            <w:pPr>
              <w:rPr>
                <w:rFonts w:ascii="Arial"/>
                <w:sz w:val="21"/>
              </w:rPr>
            </w:pPr>
          </w:p>
        </w:tc>
      </w:tr>
      <w:tr w14:paraId="478F31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864" w:type="dxa"/>
            <w:vAlign w:val="top"/>
          </w:tcPr>
          <w:p w14:paraId="1BA659DF">
            <w:pPr>
              <w:rPr>
                <w:rFonts w:ascii="Arial"/>
                <w:sz w:val="21"/>
              </w:rPr>
            </w:pPr>
          </w:p>
        </w:tc>
        <w:tc>
          <w:tcPr>
            <w:tcW w:w="1977" w:type="dxa"/>
            <w:vAlign w:val="top"/>
          </w:tcPr>
          <w:p w14:paraId="06C0C338">
            <w:pPr>
              <w:rPr>
                <w:rFonts w:ascii="Arial"/>
                <w:sz w:val="21"/>
              </w:rPr>
            </w:pPr>
          </w:p>
        </w:tc>
        <w:tc>
          <w:tcPr>
            <w:tcW w:w="4675" w:type="dxa"/>
            <w:vAlign w:val="top"/>
          </w:tcPr>
          <w:p w14:paraId="28376550">
            <w:pPr>
              <w:rPr>
                <w:rFonts w:ascii="Arial"/>
                <w:sz w:val="21"/>
              </w:rPr>
            </w:pPr>
          </w:p>
        </w:tc>
        <w:tc>
          <w:tcPr>
            <w:tcW w:w="1293" w:type="dxa"/>
            <w:vAlign w:val="top"/>
          </w:tcPr>
          <w:p w14:paraId="446C74C3">
            <w:pPr>
              <w:rPr>
                <w:rFonts w:ascii="Arial"/>
                <w:sz w:val="21"/>
              </w:rPr>
            </w:pPr>
          </w:p>
        </w:tc>
      </w:tr>
      <w:tr w14:paraId="01CD2C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864" w:type="dxa"/>
            <w:vAlign w:val="top"/>
          </w:tcPr>
          <w:p w14:paraId="3C5A06EA">
            <w:pPr>
              <w:rPr>
                <w:rFonts w:ascii="Arial"/>
                <w:sz w:val="21"/>
              </w:rPr>
            </w:pPr>
          </w:p>
        </w:tc>
        <w:tc>
          <w:tcPr>
            <w:tcW w:w="1977" w:type="dxa"/>
            <w:vAlign w:val="top"/>
          </w:tcPr>
          <w:p w14:paraId="45DE124B">
            <w:pPr>
              <w:rPr>
                <w:rFonts w:ascii="Arial"/>
                <w:sz w:val="21"/>
              </w:rPr>
            </w:pPr>
          </w:p>
        </w:tc>
        <w:tc>
          <w:tcPr>
            <w:tcW w:w="4675" w:type="dxa"/>
            <w:vAlign w:val="top"/>
          </w:tcPr>
          <w:p w14:paraId="79371538">
            <w:pPr>
              <w:rPr>
                <w:rFonts w:ascii="Arial"/>
                <w:sz w:val="21"/>
              </w:rPr>
            </w:pPr>
          </w:p>
        </w:tc>
        <w:tc>
          <w:tcPr>
            <w:tcW w:w="1293" w:type="dxa"/>
            <w:vAlign w:val="top"/>
          </w:tcPr>
          <w:p w14:paraId="4D630E9B">
            <w:pPr>
              <w:rPr>
                <w:rFonts w:ascii="Arial"/>
                <w:sz w:val="21"/>
              </w:rPr>
            </w:pPr>
          </w:p>
        </w:tc>
      </w:tr>
      <w:tr w14:paraId="18556D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4" w:hRule="atLeast"/>
        </w:trPr>
        <w:tc>
          <w:tcPr>
            <w:tcW w:w="8809" w:type="dxa"/>
            <w:gridSpan w:val="4"/>
            <w:vAlign w:val="top"/>
          </w:tcPr>
          <w:p w14:paraId="44CA3C39">
            <w:pPr>
              <w:pStyle w:val="6"/>
              <w:spacing w:before="101" w:line="221" w:lineRule="auto"/>
              <w:ind w:left="54"/>
              <w:rPr>
                <w:sz w:val="27"/>
                <w:szCs w:val="27"/>
              </w:rPr>
            </w:pPr>
            <w:r>
              <w:rPr>
                <w:spacing w:val="-2"/>
                <w:sz w:val="27"/>
                <w:szCs w:val="27"/>
              </w:rPr>
              <w:t>小计：</w:t>
            </w:r>
          </w:p>
        </w:tc>
      </w:tr>
    </w:tbl>
    <w:p w14:paraId="52169B8B">
      <w:pPr>
        <w:rPr>
          <w:rFonts w:ascii="Arial"/>
          <w:sz w:val="21"/>
        </w:rPr>
      </w:pPr>
    </w:p>
    <w:p w14:paraId="6745720C">
      <w:pPr>
        <w:rPr>
          <w:rFonts w:ascii="Arial" w:hAnsi="Arial" w:eastAsia="Arial" w:cs="Arial"/>
          <w:sz w:val="21"/>
          <w:szCs w:val="21"/>
        </w:rPr>
        <w:sectPr>
          <w:footerReference r:id="rId287" w:type="default"/>
          <w:pgSz w:w="11910" w:h="16840"/>
          <w:pgMar w:top="400" w:right="1655" w:bottom="1024" w:left="1435" w:header="0" w:footer="889" w:gutter="0"/>
          <w:cols w:space="720" w:num="1"/>
        </w:sectPr>
      </w:pPr>
    </w:p>
    <w:p w14:paraId="06FD4137">
      <w:pPr>
        <w:spacing w:line="264" w:lineRule="auto"/>
        <w:rPr>
          <w:rFonts w:ascii="Arial"/>
          <w:sz w:val="21"/>
        </w:rPr>
      </w:pPr>
    </w:p>
    <w:p w14:paraId="00BE5F8D">
      <w:pPr>
        <w:spacing w:line="265" w:lineRule="auto"/>
        <w:rPr>
          <w:rFonts w:ascii="Arial"/>
          <w:sz w:val="21"/>
        </w:rPr>
      </w:pPr>
    </w:p>
    <w:p w14:paraId="71ECB73E">
      <w:pPr>
        <w:spacing w:line="265" w:lineRule="auto"/>
        <w:rPr>
          <w:rFonts w:ascii="Arial"/>
          <w:sz w:val="21"/>
        </w:rPr>
      </w:pPr>
    </w:p>
    <w:p w14:paraId="7625BC0D">
      <w:pPr>
        <w:spacing w:line="265" w:lineRule="auto"/>
        <w:rPr>
          <w:rFonts w:ascii="Arial"/>
          <w:sz w:val="21"/>
        </w:rPr>
      </w:pPr>
    </w:p>
    <w:p w14:paraId="576BAD18">
      <w:pPr>
        <w:spacing w:line="265" w:lineRule="auto"/>
        <w:rPr>
          <w:rFonts w:ascii="Arial"/>
          <w:sz w:val="21"/>
        </w:rPr>
      </w:pPr>
    </w:p>
    <w:p w14:paraId="7EEA1B1C">
      <w:pPr>
        <w:spacing w:before="104" w:line="222" w:lineRule="auto"/>
        <w:ind w:left="2678"/>
        <w:outlineLvl w:val="0"/>
        <w:rPr>
          <w:rFonts w:ascii="黑体" w:hAnsi="黑体" w:eastAsia="黑体" w:cs="黑体"/>
          <w:sz w:val="32"/>
          <w:szCs w:val="32"/>
        </w:rPr>
      </w:pPr>
      <w:bookmarkStart w:id="259" w:name="bookmark183"/>
      <w:bookmarkEnd w:id="259"/>
      <w:bookmarkStart w:id="260" w:name="bookmark312"/>
      <w:bookmarkEnd w:id="260"/>
      <w:r>
        <w:rPr>
          <w:rFonts w:ascii="黑体" w:hAnsi="黑体" w:eastAsia="黑体" w:cs="黑体"/>
          <w:b/>
          <w:bCs/>
          <w:sz w:val="32"/>
          <w:szCs w:val="32"/>
        </w:rPr>
        <w:t>第五章</w:t>
      </w:r>
      <w:r>
        <w:rPr>
          <w:rFonts w:ascii="黑体" w:hAnsi="黑体" w:eastAsia="黑体" w:cs="黑体"/>
          <w:sz w:val="32"/>
          <w:szCs w:val="32"/>
        </w:rPr>
        <w:t xml:space="preserve">  </w:t>
      </w:r>
      <w:r>
        <w:rPr>
          <w:rFonts w:ascii="黑体" w:hAnsi="黑体" w:eastAsia="黑体" w:cs="黑体"/>
          <w:b/>
          <w:bCs/>
          <w:sz w:val="32"/>
          <w:szCs w:val="32"/>
        </w:rPr>
        <w:t>工程量清单</w:t>
      </w:r>
    </w:p>
    <w:p w14:paraId="70CEB212">
      <w:pPr>
        <w:spacing w:line="222" w:lineRule="auto"/>
        <w:rPr>
          <w:rFonts w:ascii="黑体" w:hAnsi="黑体" w:eastAsia="黑体" w:cs="黑体"/>
          <w:sz w:val="32"/>
          <w:szCs w:val="32"/>
        </w:rPr>
        <w:sectPr>
          <w:footerReference r:id="rId288" w:type="default"/>
          <w:pgSz w:w="11910" w:h="16840"/>
          <w:pgMar w:top="400" w:right="1786" w:bottom="1024" w:left="1786" w:header="0" w:footer="889" w:gutter="0"/>
          <w:cols w:space="720" w:num="1"/>
        </w:sectPr>
      </w:pPr>
    </w:p>
    <w:p w14:paraId="1CC20825">
      <w:pPr>
        <w:spacing w:line="249" w:lineRule="auto"/>
        <w:rPr>
          <w:rFonts w:ascii="Arial"/>
          <w:sz w:val="21"/>
        </w:rPr>
      </w:pPr>
    </w:p>
    <w:p w14:paraId="259B7EF6">
      <w:pPr>
        <w:spacing w:line="249" w:lineRule="auto"/>
        <w:rPr>
          <w:rFonts w:ascii="Arial"/>
          <w:sz w:val="21"/>
        </w:rPr>
      </w:pPr>
    </w:p>
    <w:p w14:paraId="1C60D003">
      <w:pPr>
        <w:spacing w:line="249" w:lineRule="auto"/>
        <w:rPr>
          <w:rFonts w:ascii="Arial"/>
          <w:sz w:val="21"/>
        </w:rPr>
      </w:pPr>
    </w:p>
    <w:p w14:paraId="4502384F">
      <w:pPr>
        <w:spacing w:line="249" w:lineRule="auto"/>
        <w:rPr>
          <w:rFonts w:ascii="Arial"/>
          <w:sz w:val="21"/>
        </w:rPr>
      </w:pPr>
    </w:p>
    <w:p w14:paraId="7168FDE5">
      <w:pPr>
        <w:spacing w:line="250" w:lineRule="auto"/>
        <w:rPr>
          <w:rFonts w:ascii="Arial"/>
          <w:sz w:val="21"/>
        </w:rPr>
      </w:pPr>
    </w:p>
    <w:p w14:paraId="7C74A43F">
      <w:pPr>
        <w:spacing w:before="91" w:line="222" w:lineRule="auto"/>
        <w:ind w:left="3453"/>
        <w:rPr>
          <w:rFonts w:ascii="黑体" w:hAnsi="黑体" w:eastAsia="黑体" w:cs="黑体"/>
          <w:sz w:val="28"/>
          <w:szCs w:val="28"/>
        </w:rPr>
      </w:pPr>
      <w:bookmarkStart w:id="261" w:name="bookmark313"/>
      <w:bookmarkEnd w:id="261"/>
      <w:r>
        <w:rPr>
          <w:rFonts w:ascii="黑体" w:hAnsi="黑体" w:eastAsia="黑体" w:cs="黑体"/>
          <w:b/>
          <w:bCs/>
          <w:spacing w:val="3"/>
          <w:sz w:val="28"/>
          <w:szCs w:val="28"/>
        </w:rPr>
        <w:t>第五章</w:t>
      </w:r>
      <w:r>
        <w:rPr>
          <w:rFonts w:ascii="黑体" w:hAnsi="黑体" w:eastAsia="黑体" w:cs="黑体"/>
          <w:spacing w:val="130"/>
          <w:sz w:val="28"/>
          <w:szCs w:val="28"/>
        </w:rPr>
        <w:t xml:space="preserve"> </w:t>
      </w:r>
      <w:r>
        <w:rPr>
          <w:rFonts w:ascii="黑体" w:hAnsi="黑体" w:eastAsia="黑体" w:cs="黑体"/>
          <w:b/>
          <w:bCs/>
          <w:spacing w:val="3"/>
          <w:sz w:val="28"/>
          <w:szCs w:val="28"/>
        </w:rPr>
        <w:t>工程量清单</w:t>
      </w:r>
    </w:p>
    <w:p w14:paraId="06362BEC">
      <w:pPr>
        <w:spacing w:line="391" w:lineRule="auto"/>
        <w:rPr>
          <w:rFonts w:ascii="Arial"/>
          <w:sz w:val="21"/>
        </w:rPr>
      </w:pPr>
    </w:p>
    <w:p w14:paraId="1A147CE1">
      <w:pPr>
        <w:pStyle w:val="2"/>
        <w:spacing w:before="78" w:line="221" w:lineRule="auto"/>
        <w:ind w:left="3"/>
        <w:outlineLvl w:val="1"/>
        <w:rPr>
          <w:rFonts w:ascii="黑体" w:hAnsi="黑体" w:eastAsia="黑体" w:cs="黑体"/>
          <w:sz w:val="24"/>
          <w:szCs w:val="24"/>
        </w:rPr>
      </w:pPr>
      <w:bookmarkStart w:id="262" w:name="bookmark184"/>
      <w:bookmarkEnd w:id="262"/>
      <w:r>
        <w:rPr>
          <w:b/>
          <w:bCs/>
          <w:spacing w:val="-3"/>
          <w:sz w:val="24"/>
          <w:szCs w:val="24"/>
        </w:rPr>
        <w:t>1、</w:t>
      </w:r>
      <w:r>
        <w:rPr>
          <w:rFonts w:ascii="黑体" w:hAnsi="黑体" w:eastAsia="黑体" w:cs="黑体"/>
          <w:b/>
          <w:bCs/>
          <w:spacing w:val="-3"/>
          <w:sz w:val="24"/>
          <w:szCs w:val="24"/>
        </w:rPr>
        <w:t>招标工程量清单说明</w:t>
      </w:r>
    </w:p>
    <w:p w14:paraId="2A0468C1">
      <w:pPr>
        <w:pStyle w:val="2"/>
        <w:tabs>
          <w:tab w:val="left" w:pos="869"/>
        </w:tabs>
        <w:spacing w:before="152" w:line="368" w:lineRule="auto"/>
        <w:ind w:left="729" w:hanging="729"/>
        <w:rPr>
          <w:sz w:val="20"/>
          <w:szCs w:val="20"/>
        </w:rPr>
      </w:pPr>
      <w:r>
        <w:rPr>
          <w:spacing w:val="21"/>
          <w:sz w:val="20"/>
          <w:szCs w:val="20"/>
        </w:rPr>
        <w:t>1.1    本招标工程量清单是依据中华人民共和国国家标准《建设工程工程量清单计价规范》</w:t>
      </w:r>
      <w:r>
        <w:rPr>
          <w:spacing w:val="14"/>
          <w:sz w:val="20"/>
          <w:szCs w:val="20"/>
        </w:rPr>
        <w:t xml:space="preserve"> </w:t>
      </w:r>
      <w:r>
        <w:rPr>
          <w:rFonts w:ascii="Times New Roman" w:hAnsi="Times New Roman" w:eastAsia="Times New Roman" w:cs="Times New Roman"/>
          <w:sz w:val="20"/>
          <w:szCs w:val="20"/>
        </w:rPr>
        <w:tab/>
      </w:r>
      <w:r>
        <w:rPr>
          <w:rFonts w:ascii="Times New Roman" w:hAnsi="Times New Roman" w:eastAsia="Times New Roman" w:cs="Times New Roman"/>
          <w:spacing w:val="4"/>
          <w:sz w:val="20"/>
          <w:szCs w:val="20"/>
        </w:rPr>
        <w:t>(</w:t>
      </w:r>
      <w:r>
        <w:rPr>
          <w:rFonts w:ascii="Times New Roman" w:hAnsi="Times New Roman" w:eastAsia="Times New Roman" w:cs="Times New Roman"/>
          <w:sz w:val="20"/>
          <w:szCs w:val="20"/>
        </w:rPr>
        <w:t>GB</w:t>
      </w:r>
      <w:r>
        <w:rPr>
          <w:rFonts w:ascii="Times New Roman" w:hAnsi="Times New Roman" w:eastAsia="Times New Roman" w:cs="Times New Roman"/>
          <w:spacing w:val="4"/>
          <w:sz w:val="20"/>
          <w:szCs w:val="20"/>
        </w:rPr>
        <w:t xml:space="preserve">50500-2013)   </w:t>
      </w:r>
      <w:r>
        <w:rPr>
          <w:spacing w:val="4"/>
          <w:sz w:val="20"/>
          <w:szCs w:val="20"/>
        </w:rPr>
        <w:t>和配套的工程量计算规范</w:t>
      </w:r>
      <w:r>
        <w:rPr>
          <w:spacing w:val="-40"/>
          <w:sz w:val="20"/>
          <w:szCs w:val="20"/>
        </w:rPr>
        <w:t xml:space="preserve"> </w:t>
      </w:r>
      <w:r>
        <w:rPr>
          <w:rFonts w:ascii="Times New Roman" w:hAnsi="Times New Roman" w:eastAsia="Times New Roman" w:cs="Times New Roman"/>
          <w:spacing w:val="4"/>
          <w:sz w:val="20"/>
          <w:szCs w:val="20"/>
        </w:rPr>
        <w:t>(</w:t>
      </w:r>
      <w:r>
        <w:rPr>
          <w:rFonts w:ascii="Times New Roman" w:hAnsi="Times New Roman" w:eastAsia="Times New Roman" w:cs="Times New Roman"/>
          <w:sz w:val="20"/>
          <w:szCs w:val="20"/>
        </w:rPr>
        <w:t>GB</w:t>
      </w:r>
      <w:r>
        <w:rPr>
          <w:rFonts w:ascii="Times New Roman" w:hAnsi="Times New Roman" w:eastAsia="Times New Roman" w:cs="Times New Roman"/>
          <w:spacing w:val="4"/>
          <w:sz w:val="20"/>
          <w:szCs w:val="20"/>
        </w:rPr>
        <w:t>50854-2013</w:t>
      </w:r>
      <w:r>
        <w:rPr>
          <w:spacing w:val="4"/>
          <w:sz w:val="20"/>
          <w:szCs w:val="20"/>
        </w:rPr>
        <w:t>～</w:t>
      </w:r>
      <w:r>
        <w:rPr>
          <w:rFonts w:ascii="Times New Roman" w:hAnsi="Times New Roman" w:eastAsia="Times New Roman" w:cs="Times New Roman"/>
          <w:sz w:val="20"/>
          <w:szCs w:val="20"/>
        </w:rPr>
        <w:t>GB</w:t>
      </w:r>
      <w:r>
        <w:rPr>
          <w:rFonts w:ascii="Times New Roman" w:hAnsi="Times New Roman" w:eastAsia="Times New Roman" w:cs="Times New Roman"/>
          <w:spacing w:val="4"/>
          <w:sz w:val="20"/>
          <w:szCs w:val="20"/>
        </w:rPr>
        <w:t xml:space="preserve">50862-2013)      </w:t>
      </w:r>
      <w:r>
        <w:rPr>
          <w:spacing w:val="4"/>
          <w:sz w:val="20"/>
          <w:szCs w:val="20"/>
        </w:rPr>
        <w:t>(以下简称</w:t>
      </w:r>
      <w:r>
        <w:rPr>
          <w:sz w:val="20"/>
          <w:szCs w:val="20"/>
        </w:rPr>
        <w:t xml:space="preserve">  </w:t>
      </w:r>
      <w:r>
        <w:rPr>
          <w:spacing w:val="9"/>
          <w:sz w:val="20"/>
          <w:szCs w:val="20"/>
        </w:rPr>
        <w:t>“计价规范”、“计量规范”或“计价计量规范”)、鄂建文[2013]39号《</w:t>
      </w:r>
      <w:r>
        <w:rPr>
          <w:spacing w:val="8"/>
          <w:sz w:val="20"/>
          <w:szCs w:val="20"/>
        </w:rPr>
        <w:t>关于执行&lt;房屋</w:t>
      </w:r>
      <w:r>
        <w:rPr>
          <w:sz w:val="20"/>
          <w:szCs w:val="20"/>
        </w:rPr>
        <w:t xml:space="preserve">  </w:t>
      </w:r>
      <w:r>
        <w:rPr>
          <w:spacing w:val="11"/>
          <w:sz w:val="20"/>
          <w:szCs w:val="20"/>
        </w:rPr>
        <w:t>建筑与装饰工程工程量计算规范&gt;</w:t>
      </w:r>
      <w:r>
        <w:rPr>
          <w:spacing w:val="-52"/>
          <w:sz w:val="20"/>
          <w:szCs w:val="20"/>
        </w:rPr>
        <w:t xml:space="preserve"> </w:t>
      </w:r>
      <w:r>
        <w:rPr>
          <w:rFonts w:ascii="Times New Roman" w:hAnsi="Times New Roman" w:eastAsia="Times New Roman" w:cs="Times New Roman"/>
          <w:spacing w:val="11"/>
          <w:sz w:val="20"/>
          <w:szCs w:val="20"/>
        </w:rPr>
        <w:t>(</w:t>
      </w:r>
      <w:r>
        <w:rPr>
          <w:rFonts w:ascii="Times New Roman" w:hAnsi="Times New Roman" w:eastAsia="Times New Roman" w:cs="Times New Roman"/>
          <w:sz w:val="20"/>
          <w:szCs w:val="20"/>
        </w:rPr>
        <w:t>GB</w:t>
      </w:r>
      <w:r>
        <w:rPr>
          <w:rFonts w:ascii="Times New Roman" w:hAnsi="Times New Roman" w:eastAsia="Times New Roman" w:cs="Times New Roman"/>
          <w:spacing w:val="11"/>
          <w:sz w:val="20"/>
          <w:szCs w:val="20"/>
        </w:rPr>
        <w:t>50584</w:t>
      </w:r>
      <w:r>
        <w:rPr>
          <w:rFonts w:ascii="Times New Roman" w:hAnsi="Times New Roman" w:eastAsia="Times New Roman" w:cs="Times New Roman"/>
          <w:spacing w:val="10"/>
          <w:sz w:val="20"/>
          <w:szCs w:val="20"/>
        </w:rPr>
        <w:t xml:space="preserve">-2013)    </w:t>
      </w:r>
      <w:r>
        <w:rPr>
          <w:spacing w:val="10"/>
          <w:sz w:val="20"/>
          <w:szCs w:val="20"/>
        </w:rPr>
        <w:t>等9项工程量计算规范有关问题的通</w:t>
      </w:r>
      <w:r>
        <w:rPr>
          <w:sz w:val="20"/>
          <w:szCs w:val="20"/>
        </w:rPr>
        <w:t xml:space="preserve">   </w:t>
      </w:r>
      <w:r>
        <w:rPr>
          <w:spacing w:val="7"/>
          <w:sz w:val="20"/>
          <w:szCs w:val="20"/>
        </w:rPr>
        <w:t>知》、鄂建办[2018]27 号《关于发布&lt;湖北省房屋建筑与装饰工程消耗量定额及全费用基</w:t>
      </w:r>
      <w:r>
        <w:rPr>
          <w:spacing w:val="3"/>
          <w:sz w:val="20"/>
          <w:szCs w:val="20"/>
        </w:rPr>
        <w:t xml:space="preserve">   </w:t>
      </w:r>
      <w:r>
        <w:rPr>
          <w:spacing w:val="13"/>
          <w:sz w:val="20"/>
          <w:szCs w:val="20"/>
        </w:rPr>
        <w:t>价表&gt;等8项定额的通知》、鄂建办〔2019〕93号《关于调整湖北省建设工程计价依据的</w:t>
      </w:r>
      <w:r>
        <w:rPr>
          <w:spacing w:val="4"/>
          <w:sz w:val="20"/>
          <w:szCs w:val="20"/>
        </w:rPr>
        <w:t xml:space="preserve">  </w:t>
      </w:r>
      <w:r>
        <w:rPr>
          <w:spacing w:val="6"/>
          <w:sz w:val="20"/>
          <w:szCs w:val="20"/>
        </w:rPr>
        <w:t>通知》以及招标文件中包括的图纸等编制。计量采用中华人民共和国法定的基本计量单位。</w:t>
      </w:r>
    </w:p>
    <w:p w14:paraId="3F1334E0">
      <w:pPr>
        <w:pStyle w:val="2"/>
        <w:spacing w:before="223" w:line="312" w:lineRule="auto"/>
        <w:ind w:left="729" w:right="122" w:hanging="729"/>
        <w:rPr>
          <w:sz w:val="20"/>
          <w:szCs w:val="20"/>
        </w:rPr>
      </w:pPr>
      <w:r>
        <w:rPr>
          <w:spacing w:val="9"/>
          <w:sz w:val="20"/>
          <w:szCs w:val="20"/>
        </w:rPr>
        <w:t>1.2    本招标工程量清单应与招标文件中的投标人须知、通用合同条款、专用合同条款、技术标</w:t>
      </w:r>
      <w:r>
        <w:rPr>
          <w:spacing w:val="2"/>
          <w:sz w:val="20"/>
          <w:szCs w:val="20"/>
        </w:rPr>
        <w:t xml:space="preserve"> </w:t>
      </w:r>
      <w:r>
        <w:rPr>
          <w:spacing w:val="9"/>
          <w:sz w:val="20"/>
          <w:szCs w:val="20"/>
        </w:rPr>
        <w:t>准和要求及图纸等章节内容一起阅读和理解。</w:t>
      </w:r>
    </w:p>
    <w:p w14:paraId="784C4F3A">
      <w:pPr>
        <w:pStyle w:val="2"/>
        <w:spacing w:before="193" w:line="219" w:lineRule="auto"/>
        <w:rPr>
          <w:sz w:val="20"/>
          <w:szCs w:val="20"/>
        </w:rPr>
      </w:pPr>
      <w:r>
        <w:rPr>
          <w:spacing w:val="9"/>
          <w:sz w:val="20"/>
          <w:szCs w:val="20"/>
        </w:rPr>
        <w:t>1.3    本招标工程量清单作为招标文件的组成部分，其准确性和完整性</w:t>
      </w:r>
      <w:r>
        <w:rPr>
          <w:spacing w:val="8"/>
          <w:sz w:val="20"/>
          <w:szCs w:val="20"/>
        </w:rPr>
        <w:t>应由招标人负责。</w:t>
      </w:r>
    </w:p>
    <w:p w14:paraId="03B7330A">
      <w:pPr>
        <w:pStyle w:val="2"/>
        <w:spacing w:before="201" w:line="310" w:lineRule="auto"/>
        <w:ind w:left="719" w:right="113" w:hanging="719"/>
        <w:rPr>
          <w:sz w:val="20"/>
          <w:szCs w:val="20"/>
        </w:rPr>
      </w:pPr>
      <w:r>
        <w:rPr>
          <w:spacing w:val="9"/>
          <w:sz w:val="20"/>
          <w:szCs w:val="20"/>
        </w:rPr>
        <w:t>1.4    分部分项工程和单价措施项目清单必须载明项目编码、项目名称、项目特征、计量单位和</w:t>
      </w:r>
      <w:r>
        <w:rPr>
          <w:spacing w:val="11"/>
          <w:sz w:val="20"/>
          <w:szCs w:val="20"/>
        </w:rPr>
        <w:t xml:space="preserve"> </w:t>
      </w:r>
      <w:r>
        <w:rPr>
          <w:spacing w:val="2"/>
          <w:sz w:val="20"/>
          <w:szCs w:val="20"/>
        </w:rPr>
        <w:t>工程量。</w:t>
      </w:r>
    </w:p>
    <w:p w14:paraId="1FB93207">
      <w:pPr>
        <w:pStyle w:val="2"/>
        <w:spacing w:before="159" w:line="218" w:lineRule="auto"/>
        <w:rPr>
          <w:sz w:val="20"/>
          <w:szCs w:val="20"/>
        </w:rPr>
      </w:pPr>
      <w:r>
        <w:rPr>
          <w:spacing w:val="9"/>
          <w:sz w:val="20"/>
          <w:szCs w:val="20"/>
        </w:rPr>
        <w:t>1.5    分部分项工程和单价措施项目清单必须根据相关工程现行国家计量规范规定的</w:t>
      </w:r>
      <w:r>
        <w:rPr>
          <w:spacing w:val="8"/>
          <w:sz w:val="20"/>
          <w:szCs w:val="20"/>
        </w:rPr>
        <w:t>项目编码、</w:t>
      </w:r>
    </w:p>
    <w:p w14:paraId="45E0DCBE">
      <w:pPr>
        <w:pStyle w:val="2"/>
        <w:spacing w:before="226" w:line="219" w:lineRule="auto"/>
        <w:ind w:left="729"/>
        <w:rPr>
          <w:sz w:val="20"/>
          <w:szCs w:val="20"/>
        </w:rPr>
      </w:pPr>
      <w:r>
        <w:rPr>
          <w:spacing w:val="9"/>
          <w:sz w:val="20"/>
          <w:szCs w:val="20"/>
        </w:rPr>
        <w:t>项目名称、项目特征、计量单位和工程量计算规则进行编制。</w:t>
      </w:r>
    </w:p>
    <w:p w14:paraId="00AD8FA8">
      <w:pPr>
        <w:pStyle w:val="2"/>
        <w:spacing w:before="181" w:line="218" w:lineRule="auto"/>
        <w:rPr>
          <w:sz w:val="20"/>
          <w:szCs w:val="20"/>
        </w:rPr>
      </w:pPr>
      <w:r>
        <w:rPr>
          <w:spacing w:val="9"/>
          <w:sz w:val="20"/>
          <w:szCs w:val="20"/>
        </w:rPr>
        <w:t>1.6    总价措施项目清单必须根据相关工程</w:t>
      </w:r>
      <w:r>
        <w:rPr>
          <w:spacing w:val="8"/>
          <w:sz w:val="20"/>
          <w:szCs w:val="20"/>
        </w:rPr>
        <w:t>现行国家计量规范的规定编制。</w:t>
      </w:r>
    </w:p>
    <w:p w14:paraId="00718595">
      <w:pPr>
        <w:pStyle w:val="2"/>
        <w:spacing w:before="184" w:line="218" w:lineRule="auto"/>
        <w:rPr>
          <w:sz w:val="20"/>
          <w:szCs w:val="20"/>
        </w:rPr>
      </w:pPr>
      <w:r>
        <w:rPr>
          <w:spacing w:val="9"/>
          <w:sz w:val="20"/>
          <w:szCs w:val="20"/>
        </w:rPr>
        <w:t>1.7    其他项目、规费和税金项目清单应按照</w:t>
      </w:r>
      <w:r>
        <w:rPr>
          <w:spacing w:val="8"/>
          <w:sz w:val="20"/>
          <w:szCs w:val="20"/>
        </w:rPr>
        <w:t>现行国家计价规范的规定编制。</w:t>
      </w:r>
    </w:p>
    <w:p w14:paraId="3D9744E5">
      <w:pPr>
        <w:pStyle w:val="2"/>
        <w:spacing w:before="215" w:line="309" w:lineRule="auto"/>
        <w:ind w:left="729" w:right="114" w:hanging="729"/>
        <w:rPr>
          <w:sz w:val="20"/>
          <w:szCs w:val="20"/>
        </w:rPr>
      </w:pPr>
      <w:r>
        <w:rPr>
          <w:spacing w:val="9"/>
          <w:sz w:val="20"/>
          <w:szCs w:val="20"/>
        </w:rPr>
        <w:t>1.8    编制招标工程量清单出现相关工程现行国家计量规范附录中未包括的项目，编制人应做补</w:t>
      </w:r>
      <w:r>
        <w:rPr>
          <w:spacing w:val="10"/>
          <w:sz w:val="20"/>
          <w:szCs w:val="20"/>
        </w:rPr>
        <w:t xml:space="preserve"> </w:t>
      </w:r>
      <w:r>
        <w:rPr>
          <w:sz w:val="20"/>
          <w:szCs w:val="20"/>
        </w:rPr>
        <w:t>充。</w:t>
      </w:r>
    </w:p>
    <w:p w14:paraId="22F4F1A2">
      <w:pPr>
        <w:pStyle w:val="2"/>
        <w:spacing w:before="171" w:line="401" w:lineRule="auto"/>
        <w:ind w:left="729" w:right="161"/>
        <w:rPr>
          <w:sz w:val="20"/>
          <w:szCs w:val="20"/>
        </w:rPr>
      </w:pPr>
      <w:r>
        <w:rPr>
          <w:spacing w:val="9"/>
          <w:sz w:val="20"/>
          <w:szCs w:val="20"/>
        </w:rPr>
        <w:t>补充项目的编码规则按相关工程现行国家计量规范的规定编制，同一招标工程</w:t>
      </w:r>
      <w:r>
        <w:rPr>
          <w:spacing w:val="8"/>
          <w:sz w:val="20"/>
          <w:szCs w:val="20"/>
        </w:rPr>
        <w:t>的项目不得</w:t>
      </w:r>
      <w:r>
        <w:rPr>
          <w:sz w:val="20"/>
          <w:szCs w:val="20"/>
        </w:rPr>
        <w:t xml:space="preserve"> 重码。</w:t>
      </w:r>
    </w:p>
    <w:p w14:paraId="75CB99EC">
      <w:pPr>
        <w:pStyle w:val="2"/>
        <w:spacing w:before="2" w:line="391" w:lineRule="auto"/>
        <w:ind w:left="729" w:right="86"/>
        <w:rPr>
          <w:sz w:val="20"/>
          <w:szCs w:val="20"/>
        </w:rPr>
      </w:pPr>
      <w:r>
        <w:rPr>
          <w:spacing w:val="11"/>
          <w:sz w:val="20"/>
          <w:szCs w:val="20"/>
        </w:rPr>
        <w:t>补充的工程量清单需附有补充项目的名称、项目特征、计量单位、工程量</w:t>
      </w:r>
      <w:r>
        <w:rPr>
          <w:spacing w:val="10"/>
          <w:sz w:val="20"/>
          <w:szCs w:val="20"/>
        </w:rPr>
        <w:t>计算规则、工作</w:t>
      </w:r>
      <w:r>
        <w:rPr>
          <w:sz w:val="20"/>
          <w:szCs w:val="20"/>
        </w:rPr>
        <w:t xml:space="preserve"> </w:t>
      </w:r>
      <w:r>
        <w:rPr>
          <w:spacing w:val="9"/>
          <w:sz w:val="20"/>
          <w:szCs w:val="20"/>
        </w:rPr>
        <w:t>内容。不能计量的措施项目，需附有补充项目的名称、工作内容及包含范围。</w:t>
      </w:r>
    </w:p>
    <w:p w14:paraId="74894C3B">
      <w:pPr>
        <w:pStyle w:val="2"/>
        <w:spacing w:before="2" w:line="352" w:lineRule="auto"/>
        <w:ind w:left="729" w:right="153" w:hanging="729"/>
        <w:rPr>
          <w:sz w:val="20"/>
          <w:szCs w:val="20"/>
        </w:rPr>
      </w:pPr>
      <w:r>
        <w:rPr>
          <w:spacing w:val="8"/>
          <w:sz w:val="20"/>
          <w:szCs w:val="20"/>
        </w:rPr>
        <w:t>1.9    本招标工程量清单仅是投标报价的共同基础，采用工程量清单方式招标形成的无论是单价</w:t>
      </w:r>
      <w:r>
        <w:rPr>
          <w:spacing w:val="9"/>
          <w:sz w:val="20"/>
          <w:szCs w:val="20"/>
        </w:rPr>
        <w:t xml:space="preserve"> 合同还是总价合同，其工程量必须以承包人完成合同工程应予计量的工程量确定</w:t>
      </w:r>
      <w:r>
        <w:rPr>
          <w:spacing w:val="8"/>
          <w:sz w:val="20"/>
          <w:szCs w:val="20"/>
        </w:rPr>
        <w:t>。合同价</w:t>
      </w:r>
      <w:r>
        <w:rPr>
          <w:sz w:val="20"/>
          <w:szCs w:val="20"/>
        </w:rPr>
        <w:t xml:space="preserve"> </w:t>
      </w:r>
      <w:r>
        <w:rPr>
          <w:spacing w:val="9"/>
          <w:sz w:val="20"/>
          <w:szCs w:val="20"/>
        </w:rPr>
        <w:t>格的确定以及价款支付应遵循合同条款(包括通用合同条款和专用合同条款)、</w:t>
      </w:r>
      <w:r>
        <w:rPr>
          <w:spacing w:val="8"/>
          <w:sz w:val="20"/>
          <w:szCs w:val="20"/>
        </w:rPr>
        <w:t>技术标准和</w:t>
      </w:r>
      <w:r>
        <w:rPr>
          <w:sz w:val="20"/>
          <w:szCs w:val="20"/>
        </w:rPr>
        <w:t xml:space="preserve"> </w:t>
      </w:r>
      <w:r>
        <w:rPr>
          <w:spacing w:val="8"/>
          <w:sz w:val="20"/>
          <w:szCs w:val="20"/>
        </w:rPr>
        <w:t>要求以及本章的有关约定。</w:t>
      </w:r>
    </w:p>
    <w:p w14:paraId="33BB3E9B">
      <w:pPr>
        <w:pStyle w:val="2"/>
        <w:spacing w:before="222" w:line="303" w:lineRule="auto"/>
        <w:ind w:left="729" w:right="120" w:hanging="729"/>
        <w:rPr>
          <w:sz w:val="20"/>
          <w:szCs w:val="20"/>
        </w:rPr>
      </w:pPr>
      <w:r>
        <w:rPr>
          <w:spacing w:val="11"/>
          <w:sz w:val="20"/>
          <w:szCs w:val="20"/>
        </w:rPr>
        <w:t>1.10   除招标文件另有约定外，本条第1.1款中约定的计量和计价规则适用于本招标工程发承包</w:t>
      </w:r>
      <w:r>
        <w:rPr>
          <w:spacing w:val="1"/>
          <w:sz w:val="20"/>
          <w:szCs w:val="20"/>
        </w:rPr>
        <w:t xml:space="preserve"> </w:t>
      </w:r>
      <w:r>
        <w:rPr>
          <w:spacing w:val="9"/>
          <w:sz w:val="20"/>
          <w:szCs w:val="20"/>
        </w:rPr>
        <w:t>及实施阶段的计价活动包括：招标工程量清单、招标控制价、投标报价的编制，工程合同</w:t>
      </w:r>
    </w:p>
    <w:p w14:paraId="666A0B2F">
      <w:pPr>
        <w:spacing w:line="303" w:lineRule="auto"/>
        <w:rPr>
          <w:sz w:val="20"/>
          <w:szCs w:val="20"/>
        </w:rPr>
        <w:sectPr>
          <w:footerReference r:id="rId289" w:type="default"/>
          <w:pgSz w:w="11910" w:h="16840"/>
          <w:pgMar w:top="400" w:right="1410" w:bottom="1024" w:left="1460" w:header="0" w:footer="889" w:gutter="0"/>
          <w:cols w:space="720" w:num="1"/>
        </w:sectPr>
      </w:pPr>
    </w:p>
    <w:p w14:paraId="49E2FB80">
      <w:pPr>
        <w:spacing w:line="276" w:lineRule="auto"/>
        <w:rPr>
          <w:rFonts w:ascii="Arial"/>
          <w:sz w:val="21"/>
        </w:rPr>
      </w:pPr>
    </w:p>
    <w:p w14:paraId="3C03FC7A">
      <w:pPr>
        <w:spacing w:line="276" w:lineRule="auto"/>
        <w:rPr>
          <w:rFonts w:ascii="Arial"/>
          <w:sz w:val="21"/>
        </w:rPr>
      </w:pPr>
    </w:p>
    <w:p w14:paraId="771BE2C9">
      <w:pPr>
        <w:spacing w:line="276" w:lineRule="auto"/>
        <w:rPr>
          <w:rFonts w:ascii="Arial"/>
          <w:sz w:val="21"/>
        </w:rPr>
      </w:pPr>
    </w:p>
    <w:p w14:paraId="24765673">
      <w:pPr>
        <w:spacing w:line="276" w:lineRule="auto"/>
        <w:rPr>
          <w:rFonts w:ascii="Arial"/>
          <w:sz w:val="21"/>
        </w:rPr>
      </w:pPr>
    </w:p>
    <w:p w14:paraId="44F60306">
      <w:pPr>
        <w:spacing w:line="276" w:lineRule="auto"/>
        <w:rPr>
          <w:rFonts w:ascii="Arial"/>
          <w:sz w:val="21"/>
        </w:rPr>
      </w:pPr>
    </w:p>
    <w:p w14:paraId="12FE40FE">
      <w:pPr>
        <w:pStyle w:val="2"/>
        <w:spacing w:before="68" w:line="378" w:lineRule="auto"/>
        <w:ind w:left="749" w:right="100"/>
        <w:rPr>
          <w:sz w:val="21"/>
          <w:szCs w:val="21"/>
        </w:rPr>
      </w:pPr>
      <w:r>
        <w:rPr>
          <w:spacing w:val="-2"/>
          <w:sz w:val="21"/>
          <w:szCs w:val="21"/>
        </w:rPr>
        <w:t>价款的约定，竣工结算的办理以及施工过程中的工程量计量、合同价款支付</w:t>
      </w:r>
      <w:r>
        <w:rPr>
          <w:spacing w:val="-3"/>
          <w:sz w:val="21"/>
          <w:szCs w:val="21"/>
        </w:rPr>
        <w:t>、施工索赔与</w:t>
      </w:r>
      <w:r>
        <w:rPr>
          <w:sz w:val="21"/>
          <w:szCs w:val="21"/>
        </w:rPr>
        <w:t xml:space="preserve"> </w:t>
      </w:r>
      <w:r>
        <w:rPr>
          <w:spacing w:val="-1"/>
          <w:sz w:val="21"/>
          <w:szCs w:val="21"/>
        </w:rPr>
        <w:t>现场签证、合同价款调整和合同价款争议的解决等活动。</w:t>
      </w:r>
    </w:p>
    <w:p w14:paraId="6D9F0DD3">
      <w:pPr>
        <w:pStyle w:val="2"/>
        <w:spacing w:before="1" w:line="217" w:lineRule="auto"/>
        <w:rPr>
          <w:sz w:val="21"/>
          <w:szCs w:val="21"/>
        </w:rPr>
      </w:pPr>
      <w:r>
        <w:rPr>
          <w:spacing w:val="5"/>
          <w:sz w:val="21"/>
          <w:szCs w:val="21"/>
        </w:rPr>
        <w:t>1.11   本条与下述第2条和第3条的说明内容是构成合同文件的已标价工程量清单的组成部</w:t>
      </w:r>
      <w:r>
        <w:rPr>
          <w:spacing w:val="4"/>
          <w:sz w:val="21"/>
          <w:szCs w:val="21"/>
        </w:rPr>
        <w:t>分。</w:t>
      </w:r>
    </w:p>
    <w:p w14:paraId="42A9527F">
      <w:pPr>
        <w:pStyle w:val="2"/>
        <w:spacing w:before="219" w:line="221" w:lineRule="auto"/>
        <w:ind w:left="3"/>
        <w:outlineLvl w:val="1"/>
        <w:rPr>
          <w:rFonts w:ascii="黑体" w:hAnsi="黑体" w:eastAsia="黑体" w:cs="黑体"/>
          <w:sz w:val="24"/>
          <w:szCs w:val="24"/>
        </w:rPr>
      </w:pPr>
      <w:bookmarkStart w:id="263" w:name="bookmark314"/>
      <w:bookmarkEnd w:id="263"/>
      <w:bookmarkStart w:id="264" w:name="bookmark185"/>
      <w:bookmarkEnd w:id="264"/>
      <w:r>
        <w:rPr>
          <w:b/>
          <w:bCs/>
          <w:spacing w:val="-2"/>
          <w:sz w:val="24"/>
          <w:szCs w:val="24"/>
        </w:rPr>
        <w:t>2、</w:t>
      </w:r>
      <w:r>
        <w:rPr>
          <w:rFonts w:ascii="黑体" w:hAnsi="黑体" w:eastAsia="黑体" w:cs="黑体"/>
          <w:b/>
          <w:bCs/>
          <w:spacing w:val="-2"/>
          <w:sz w:val="24"/>
          <w:szCs w:val="24"/>
        </w:rPr>
        <w:t>投标报价说明</w:t>
      </w:r>
    </w:p>
    <w:p w14:paraId="4D4CAAD5">
      <w:pPr>
        <w:pStyle w:val="2"/>
        <w:spacing w:before="175" w:line="218" w:lineRule="auto"/>
        <w:rPr>
          <w:sz w:val="21"/>
          <w:szCs w:val="21"/>
        </w:rPr>
      </w:pPr>
      <w:r>
        <w:rPr>
          <w:sz w:val="21"/>
          <w:szCs w:val="21"/>
        </w:rPr>
        <w:t>2.1    投标报价应根据招标文件中的有关计</w:t>
      </w:r>
      <w:r>
        <w:rPr>
          <w:spacing w:val="-1"/>
          <w:sz w:val="21"/>
          <w:szCs w:val="21"/>
        </w:rPr>
        <w:t>价要求，并按照下列依据自主报价。</w:t>
      </w:r>
    </w:p>
    <w:p w14:paraId="032DC2C4">
      <w:pPr>
        <w:pStyle w:val="2"/>
        <w:spacing w:before="150" w:line="212" w:lineRule="auto"/>
        <w:ind w:left="749"/>
        <w:rPr>
          <w:rFonts w:ascii="Times New Roman" w:hAnsi="Times New Roman" w:eastAsia="Times New Roman" w:cs="Times New Roman"/>
          <w:sz w:val="21"/>
          <w:szCs w:val="21"/>
        </w:rPr>
      </w:pPr>
      <w:r>
        <w:rPr>
          <w:spacing w:val="-2"/>
          <w:sz w:val="21"/>
          <w:szCs w:val="21"/>
        </w:rPr>
        <w:t>(1) 《建设工程工程量清单计价规范》</w:t>
      </w:r>
      <w:r>
        <w:rPr>
          <w:rFonts w:ascii="Times New Roman" w:hAnsi="Times New Roman" w:eastAsia="Times New Roman" w:cs="Times New Roman"/>
          <w:spacing w:val="-2"/>
          <w:sz w:val="21"/>
          <w:szCs w:val="21"/>
        </w:rPr>
        <w:t>(GB50500-2013);</w:t>
      </w:r>
    </w:p>
    <w:p w14:paraId="3BC6005C">
      <w:pPr>
        <w:pStyle w:val="2"/>
        <w:spacing w:before="230" w:line="218" w:lineRule="auto"/>
        <w:ind w:left="749"/>
        <w:rPr>
          <w:sz w:val="21"/>
          <w:szCs w:val="21"/>
        </w:rPr>
      </w:pPr>
      <w:r>
        <w:rPr>
          <w:spacing w:val="-2"/>
          <w:sz w:val="21"/>
          <w:szCs w:val="21"/>
        </w:rPr>
        <w:t>(2)  国家或省级、行业建设主管部门颁发的计价办法；</w:t>
      </w:r>
    </w:p>
    <w:p w14:paraId="641A15A9">
      <w:pPr>
        <w:pStyle w:val="2"/>
        <w:spacing w:before="172" w:line="218" w:lineRule="auto"/>
        <w:ind w:left="749"/>
        <w:rPr>
          <w:sz w:val="21"/>
          <w:szCs w:val="21"/>
        </w:rPr>
      </w:pPr>
      <w:r>
        <w:rPr>
          <w:spacing w:val="-2"/>
          <w:sz w:val="21"/>
          <w:szCs w:val="21"/>
        </w:rPr>
        <w:t>(3)  企业定额，国家或省级、行业建设主管部门颁发的计价定额和计价办法；</w:t>
      </w:r>
    </w:p>
    <w:p w14:paraId="430B8C29">
      <w:pPr>
        <w:pStyle w:val="2"/>
        <w:spacing w:before="174" w:line="219" w:lineRule="auto"/>
        <w:ind w:left="749"/>
        <w:rPr>
          <w:sz w:val="21"/>
          <w:szCs w:val="21"/>
        </w:rPr>
      </w:pPr>
      <w:r>
        <w:rPr>
          <w:spacing w:val="-2"/>
          <w:sz w:val="21"/>
          <w:szCs w:val="21"/>
        </w:rPr>
        <w:t>(4)  招标文件(包括招标工程量清单</w:t>
      </w:r>
      <w:r>
        <w:rPr>
          <w:spacing w:val="-3"/>
          <w:sz w:val="21"/>
          <w:szCs w:val="21"/>
        </w:rPr>
        <w:t>)及其澄清、修改文件；</w:t>
      </w:r>
    </w:p>
    <w:p w14:paraId="0EEA1CC7">
      <w:pPr>
        <w:pStyle w:val="2"/>
        <w:spacing w:before="201" w:line="219" w:lineRule="auto"/>
        <w:ind w:left="749"/>
        <w:rPr>
          <w:sz w:val="21"/>
          <w:szCs w:val="21"/>
        </w:rPr>
      </w:pPr>
      <w:r>
        <w:rPr>
          <w:spacing w:val="-5"/>
          <w:sz w:val="21"/>
          <w:szCs w:val="21"/>
        </w:rPr>
        <w:t>(5)  建设工程设计文件及相关资料；</w:t>
      </w:r>
    </w:p>
    <w:p w14:paraId="2FB937F8">
      <w:pPr>
        <w:pStyle w:val="2"/>
        <w:spacing w:before="169" w:line="219" w:lineRule="auto"/>
        <w:ind w:left="749"/>
        <w:rPr>
          <w:sz w:val="21"/>
          <w:szCs w:val="21"/>
        </w:rPr>
      </w:pPr>
      <w:r>
        <w:rPr>
          <w:spacing w:val="-2"/>
          <w:sz w:val="21"/>
          <w:szCs w:val="21"/>
        </w:rPr>
        <w:t>(6)  施工现场情况、工程特点及投标时拟定的施工组织设计或施工方案；</w:t>
      </w:r>
    </w:p>
    <w:p w14:paraId="239DBDA5">
      <w:pPr>
        <w:pStyle w:val="2"/>
        <w:spacing w:before="182" w:line="219" w:lineRule="auto"/>
        <w:ind w:left="749"/>
        <w:rPr>
          <w:sz w:val="21"/>
          <w:szCs w:val="21"/>
        </w:rPr>
      </w:pPr>
      <w:r>
        <w:rPr>
          <w:spacing w:val="-3"/>
          <w:sz w:val="21"/>
          <w:szCs w:val="21"/>
        </w:rPr>
        <w:t>(7)  与建设项目相关的标准、规范等技术资料；</w:t>
      </w:r>
    </w:p>
    <w:p w14:paraId="7AB93026">
      <w:pPr>
        <w:pStyle w:val="2"/>
        <w:spacing w:before="169" w:line="218" w:lineRule="auto"/>
        <w:ind w:left="749"/>
        <w:rPr>
          <w:sz w:val="21"/>
          <w:szCs w:val="21"/>
        </w:rPr>
      </w:pPr>
      <w:r>
        <w:rPr>
          <w:spacing w:val="-2"/>
          <w:sz w:val="21"/>
          <w:szCs w:val="21"/>
        </w:rPr>
        <w:t>(8)  市场价格信息或工程造价管理机构发布的工程造价信息；</w:t>
      </w:r>
    </w:p>
    <w:p w14:paraId="3CC66E4F">
      <w:pPr>
        <w:pStyle w:val="2"/>
        <w:spacing w:before="175" w:line="220" w:lineRule="auto"/>
        <w:ind w:left="749"/>
        <w:rPr>
          <w:sz w:val="21"/>
          <w:szCs w:val="21"/>
        </w:rPr>
      </w:pPr>
      <w:r>
        <w:rPr>
          <w:spacing w:val="-5"/>
          <w:sz w:val="21"/>
          <w:szCs w:val="21"/>
        </w:rPr>
        <w:t>(9)  其他的相关资料。</w:t>
      </w:r>
    </w:p>
    <w:p w14:paraId="23DAEE1E">
      <w:pPr>
        <w:pStyle w:val="2"/>
        <w:spacing w:before="177" w:line="287" w:lineRule="auto"/>
        <w:ind w:left="749" w:right="6" w:hanging="749"/>
        <w:rPr>
          <w:sz w:val="21"/>
          <w:szCs w:val="21"/>
        </w:rPr>
      </w:pPr>
      <w:r>
        <w:rPr>
          <w:spacing w:val="1"/>
          <w:sz w:val="21"/>
          <w:szCs w:val="21"/>
        </w:rPr>
        <w:t>2.2    投标人必须按招标工程量清单填报价格</w:t>
      </w:r>
      <w:r>
        <w:rPr>
          <w:sz w:val="21"/>
          <w:szCs w:val="21"/>
        </w:rPr>
        <w:t xml:space="preserve">。项目编码、项目名称、项目特征、计量单位必须 </w:t>
      </w:r>
      <w:r>
        <w:rPr>
          <w:spacing w:val="-1"/>
          <w:sz w:val="21"/>
          <w:szCs w:val="21"/>
        </w:rPr>
        <w:t>与招标工程量清单一致。</w:t>
      </w:r>
    </w:p>
    <w:p w14:paraId="3D84B0B0">
      <w:pPr>
        <w:pStyle w:val="2"/>
        <w:spacing w:before="167" w:line="332" w:lineRule="auto"/>
        <w:ind w:left="749" w:right="26" w:hanging="749"/>
        <w:rPr>
          <w:sz w:val="21"/>
          <w:szCs w:val="21"/>
        </w:rPr>
      </w:pPr>
      <w:r>
        <w:rPr>
          <w:sz w:val="21"/>
          <w:szCs w:val="21"/>
        </w:rPr>
        <w:t>2.3    工程量清单应采用综合单价计价。综合单价中应包括招标文件中划分的应由投标人承担的</w:t>
      </w:r>
      <w:r>
        <w:rPr>
          <w:spacing w:val="3"/>
          <w:sz w:val="21"/>
          <w:szCs w:val="21"/>
        </w:rPr>
        <w:t xml:space="preserve"> </w:t>
      </w:r>
      <w:r>
        <w:rPr>
          <w:sz w:val="21"/>
          <w:szCs w:val="21"/>
        </w:rPr>
        <w:t>风险范围及其费用，招标文件中没有明确的，应提请招标人明确</w:t>
      </w:r>
      <w:r>
        <w:rPr>
          <w:spacing w:val="-1"/>
          <w:sz w:val="21"/>
          <w:szCs w:val="21"/>
        </w:rPr>
        <w:t>。即工程量清单中标价的</w:t>
      </w:r>
      <w:r>
        <w:rPr>
          <w:sz w:val="21"/>
          <w:szCs w:val="21"/>
        </w:rPr>
        <w:t xml:space="preserve"> 单价或金额，应包括所需人工费、材料费、施工机械使用费和企</w:t>
      </w:r>
      <w:r>
        <w:rPr>
          <w:spacing w:val="-1"/>
          <w:sz w:val="21"/>
          <w:szCs w:val="21"/>
        </w:rPr>
        <w:t>业管理费及利润，以及一</w:t>
      </w:r>
      <w:r>
        <w:rPr>
          <w:sz w:val="21"/>
          <w:szCs w:val="21"/>
        </w:rPr>
        <w:t xml:space="preserve"> </w:t>
      </w:r>
      <w:r>
        <w:rPr>
          <w:spacing w:val="-1"/>
          <w:sz w:val="21"/>
          <w:szCs w:val="21"/>
        </w:rPr>
        <w:t>定范围内的风险费用。所谓“一定范围内的风险”是指合同约定的风险。</w:t>
      </w:r>
    </w:p>
    <w:p w14:paraId="56F2898E">
      <w:pPr>
        <w:pStyle w:val="2"/>
        <w:spacing w:before="169" w:line="319" w:lineRule="auto"/>
        <w:ind w:left="749" w:right="26" w:hanging="749"/>
        <w:rPr>
          <w:sz w:val="21"/>
          <w:szCs w:val="21"/>
        </w:rPr>
      </w:pPr>
      <w:r>
        <w:rPr>
          <w:sz w:val="21"/>
          <w:szCs w:val="21"/>
        </w:rPr>
        <w:t>2.4    招标工程量清单与计价表中列明的所有需要填写单价和合价的项目，投标人均应填写且只</w:t>
      </w:r>
      <w:r>
        <w:rPr>
          <w:spacing w:val="4"/>
          <w:sz w:val="21"/>
          <w:szCs w:val="21"/>
        </w:rPr>
        <w:t xml:space="preserve"> </w:t>
      </w:r>
      <w:r>
        <w:rPr>
          <w:sz w:val="21"/>
          <w:szCs w:val="21"/>
        </w:rPr>
        <w:t>允许有一个报价。未填写单价和合价的项目，可视</w:t>
      </w:r>
      <w:r>
        <w:rPr>
          <w:spacing w:val="-1"/>
          <w:sz w:val="21"/>
          <w:szCs w:val="21"/>
        </w:rPr>
        <w:t>为此项费用已经包含在已标价工程量清</w:t>
      </w:r>
      <w:r>
        <w:rPr>
          <w:sz w:val="21"/>
          <w:szCs w:val="21"/>
        </w:rPr>
        <w:t xml:space="preserve"> 单中其他项目的单价或合价之中。当竣工结算</w:t>
      </w:r>
      <w:r>
        <w:rPr>
          <w:spacing w:val="-1"/>
          <w:sz w:val="21"/>
          <w:szCs w:val="21"/>
        </w:rPr>
        <w:t>时，此项目不得重新组价予以调整。</w:t>
      </w:r>
    </w:p>
    <w:p w14:paraId="2BDD0222">
      <w:pPr>
        <w:pStyle w:val="2"/>
        <w:spacing w:before="171" w:line="326" w:lineRule="auto"/>
        <w:ind w:left="749" w:hanging="749"/>
        <w:rPr>
          <w:sz w:val="21"/>
          <w:szCs w:val="21"/>
        </w:rPr>
      </w:pPr>
      <w:r>
        <w:rPr>
          <w:spacing w:val="1"/>
          <w:sz w:val="21"/>
          <w:szCs w:val="21"/>
        </w:rPr>
        <w:t>2.5    “投标报价汇总表”中的投标总价由分部分项工程费、</w:t>
      </w:r>
      <w:r>
        <w:rPr>
          <w:sz w:val="21"/>
          <w:szCs w:val="21"/>
        </w:rPr>
        <w:t xml:space="preserve">措施项目费、其他项目费、规费和 </w:t>
      </w:r>
      <w:r>
        <w:rPr>
          <w:spacing w:val="-1"/>
          <w:sz w:val="21"/>
          <w:szCs w:val="21"/>
        </w:rPr>
        <w:t>税金组成，并且“投标报价汇总表”中的投标总价应当与构成已标价工程量清单的分部分</w:t>
      </w:r>
      <w:r>
        <w:rPr>
          <w:spacing w:val="7"/>
          <w:sz w:val="21"/>
          <w:szCs w:val="21"/>
        </w:rPr>
        <w:t xml:space="preserve"> </w:t>
      </w:r>
      <w:r>
        <w:rPr>
          <w:sz w:val="21"/>
          <w:szCs w:val="21"/>
        </w:rPr>
        <w:t>项工程费、措施项目费、其他项目费、规费、税金的合计金额一</w:t>
      </w:r>
      <w:r>
        <w:rPr>
          <w:spacing w:val="-1"/>
          <w:sz w:val="21"/>
          <w:szCs w:val="21"/>
        </w:rPr>
        <w:t>致。</w:t>
      </w:r>
    </w:p>
    <w:p w14:paraId="694CDB23">
      <w:pPr>
        <w:pStyle w:val="2"/>
        <w:spacing w:before="158" w:line="218" w:lineRule="auto"/>
        <w:rPr>
          <w:sz w:val="21"/>
          <w:szCs w:val="21"/>
        </w:rPr>
      </w:pPr>
      <w:r>
        <w:rPr>
          <w:spacing w:val="-1"/>
          <w:sz w:val="21"/>
          <w:szCs w:val="21"/>
        </w:rPr>
        <w:t>2.6    分部分项工程和单价措施项目按下列要求报</w:t>
      </w:r>
      <w:r>
        <w:rPr>
          <w:spacing w:val="-2"/>
          <w:sz w:val="21"/>
          <w:szCs w:val="21"/>
        </w:rPr>
        <w:t>价：</w:t>
      </w:r>
    </w:p>
    <w:p w14:paraId="2109662C">
      <w:pPr>
        <w:pStyle w:val="2"/>
        <w:spacing w:before="183" w:line="289" w:lineRule="auto"/>
        <w:ind w:left="749" w:right="37" w:hanging="749"/>
        <w:rPr>
          <w:sz w:val="21"/>
          <w:szCs w:val="21"/>
        </w:rPr>
      </w:pPr>
      <w:r>
        <w:rPr>
          <w:sz w:val="21"/>
          <w:szCs w:val="21"/>
        </w:rPr>
        <w:t>2.6.1  分部分项工程和单价措施项目，应根据招标文件和招标工程量清单中的项</w:t>
      </w:r>
      <w:r>
        <w:rPr>
          <w:spacing w:val="-1"/>
          <w:sz w:val="21"/>
          <w:szCs w:val="21"/>
        </w:rPr>
        <w:t>目特征描述确定</w:t>
      </w:r>
      <w:r>
        <w:rPr>
          <w:sz w:val="21"/>
          <w:szCs w:val="21"/>
        </w:rPr>
        <w:t xml:space="preserve"> </w:t>
      </w:r>
      <w:r>
        <w:rPr>
          <w:spacing w:val="-3"/>
          <w:sz w:val="21"/>
          <w:szCs w:val="21"/>
        </w:rPr>
        <w:t>综合单价。</w:t>
      </w:r>
    </w:p>
    <w:p w14:paraId="42514B5C">
      <w:pPr>
        <w:pStyle w:val="2"/>
        <w:spacing w:before="181" w:line="294" w:lineRule="auto"/>
        <w:ind w:left="749" w:hanging="749"/>
        <w:rPr>
          <w:sz w:val="21"/>
          <w:szCs w:val="21"/>
        </w:rPr>
      </w:pPr>
      <w:r>
        <w:rPr>
          <w:spacing w:val="5"/>
          <w:sz w:val="21"/>
          <w:szCs w:val="21"/>
        </w:rPr>
        <w:t>2.6.2  如果分部分项工程和单价措施项目清单中涉及“材料(工程设备)暂估单价表”中列出的</w:t>
      </w:r>
      <w:r>
        <w:rPr>
          <w:spacing w:val="10"/>
          <w:sz w:val="21"/>
          <w:szCs w:val="21"/>
        </w:rPr>
        <w:t xml:space="preserve"> </w:t>
      </w:r>
      <w:r>
        <w:rPr>
          <w:spacing w:val="3"/>
          <w:sz w:val="21"/>
          <w:szCs w:val="21"/>
        </w:rPr>
        <w:t>材料和工程设备，则按照本节第3.3.2项的报价原则计价。</w:t>
      </w:r>
    </w:p>
    <w:p w14:paraId="4CE3365A">
      <w:pPr>
        <w:spacing w:line="294" w:lineRule="auto"/>
        <w:rPr>
          <w:sz w:val="21"/>
          <w:szCs w:val="21"/>
        </w:rPr>
        <w:sectPr>
          <w:footerReference r:id="rId290" w:type="default"/>
          <w:pgSz w:w="11910" w:h="16840"/>
          <w:pgMar w:top="400" w:right="1502" w:bottom="1024" w:left="1450" w:header="0" w:footer="889" w:gutter="0"/>
          <w:cols w:space="720" w:num="1"/>
        </w:sectPr>
      </w:pPr>
    </w:p>
    <w:p w14:paraId="6BA2DF92">
      <w:pPr>
        <w:spacing w:line="278" w:lineRule="auto"/>
        <w:rPr>
          <w:rFonts w:ascii="Arial"/>
          <w:sz w:val="21"/>
        </w:rPr>
      </w:pPr>
    </w:p>
    <w:p w14:paraId="2DD1806E">
      <w:pPr>
        <w:spacing w:line="278" w:lineRule="auto"/>
        <w:rPr>
          <w:rFonts w:ascii="Arial"/>
          <w:sz w:val="21"/>
        </w:rPr>
      </w:pPr>
    </w:p>
    <w:p w14:paraId="62B15D28">
      <w:pPr>
        <w:spacing w:line="278" w:lineRule="auto"/>
        <w:rPr>
          <w:rFonts w:ascii="Arial"/>
          <w:sz w:val="21"/>
        </w:rPr>
      </w:pPr>
    </w:p>
    <w:p w14:paraId="70E28C6F">
      <w:pPr>
        <w:spacing w:line="279" w:lineRule="auto"/>
        <w:rPr>
          <w:rFonts w:ascii="Arial"/>
          <w:sz w:val="21"/>
        </w:rPr>
      </w:pPr>
    </w:p>
    <w:p w14:paraId="7759C5C1">
      <w:pPr>
        <w:spacing w:line="279" w:lineRule="auto"/>
        <w:rPr>
          <w:rFonts w:ascii="Arial"/>
          <w:sz w:val="21"/>
        </w:rPr>
      </w:pPr>
    </w:p>
    <w:p w14:paraId="1E7B6682">
      <w:pPr>
        <w:pStyle w:val="2"/>
        <w:spacing w:before="65" w:line="388" w:lineRule="auto"/>
        <w:ind w:left="739" w:right="16" w:hanging="737"/>
        <w:rPr>
          <w:sz w:val="20"/>
          <w:szCs w:val="20"/>
        </w:rPr>
      </w:pPr>
      <w:r>
        <w:rPr>
          <w:b/>
          <w:bCs/>
          <w:spacing w:val="9"/>
          <w:sz w:val="20"/>
          <w:szCs w:val="20"/>
        </w:rPr>
        <w:t>2.6.3</w:t>
      </w:r>
      <w:r>
        <w:rPr>
          <w:spacing w:val="9"/>
          <w:sz w:val="20"/>
          <w:szCs w:val="20"/>
        </w:rPr>
        <w:t xml:space="preserve">  如果分部分项工程和单价措施项目清单中涉及“发包人提供的材料和工程设备一览表</w:t>
      </w:r>
      <w:r>
        <w:rPr>
          <w:spacing w:val="8"/>
          <w:sz w:val="20"/>
          <w:szCs w:val="20"/>
        </w:rPr>
        <w:t>”列</w:t>
      </w:r>
      <w:r>
        <w:rPr>
          <w:sz w:val="20"/>
          <w:szCs w:val="20"/>
        </w:rPr>
        <w:t xml:space="preserve"> </w:t>
      </w:r>
      <w:r>
        <w:rPr>
          <w:spacing w:val="5"/>
          <w:sz w:val="20"/>
          <w:szCs w:val="20"/>
        </w:rPr>
        <w:t>出的材料和工程设备。</w:t>
      </w:r>
    </w:p>
    <w:p w14:paraId="46926478">
      <w:pPr>
        <w:pStyle w:val="2"/>
        <w:spacing w:line="217" w:lineRule="auto"/>
        <w:ind w:left="739"/>
        <w:rPr>
          <w:sz w:val="20"/>
          <w:szCs w:val="20"/>
        </w:rPr>
      </w:pPr>
      <w:r>
        <w:rPr>
          <w:spacing w:val="9"/>
          <w:sz w:val="20"/>
          <w:szCs w:val="20"/>
        </w:rPr>
        <w:t>采用一般计税方法的，甲供材不计入除税工程造价。</w:t>
      </w:r>
    </w:p>
    <w:p w14:paraId="12F35741">
      <w:pPr>
        <w:pStyle w:val="2"/>
        <w:spacing w:before="173" w:line="218" w:lineRule="auto"/>
        <w:ind w:left="739"/>
        <w:rPr>
          <w:sz w:val="20"/>
          <w:szCs w:val="20"/>
        </w:rPr>
      </w:pPr>
      <w:r>
        <w:rPr>
          <w:spacing w:val="9"/>
          <w:sz w:val="20"/>
          <w:szCs w:val="20"/>
        </w:rPr>
        <w:t>采用简易计税方法的，甲供材计入除税工程造价。</w:t>
      </w:r>
    </w:p>
    <w:p w14:paraId="1622256E">
      <w:pPr>
        <w:pStyle w:val="2"/>
        <w:spacing w:before="184" w:line="335" w:lineRule="auto"/>
        <w:ind w:left="739" w:right="16" w:hanging="737"/>
        <w:rPr>
          <w:sz w:val="20"/>
          <w:szCs w:val="20"/>
        </w:rPr>
      </w:pPr>
      <w:r>
        <w:rPr>
          <w:b/>
          <w:bCs/>
          <w:spacing w:val="7"/>
          <w:sz w:val="20"/>
          <w:szCs w:val="20"/>
        </w:rPr>
        <w:t>2.6.4</w:t>
      </w:r>
      <w:r>
        <w:rPr>
          <w:spacing w:val="7"/>
          <w:sz w:val="20"/>
          <w:szCs w:val="20"/>
        </w:rPr>
        <w:t xml:space="preserve">   “分部分项工程和单价措施项目清单与计价表”</w:t>
      </w:r>
      <w:r>
        <w:rPr>
          <w:spacing w:val="6"/>
          <w:sz w:val="20"/>
          <w:szCs w:val="20"/>
        </w:rPr>
        <w:t>所列各项目的综合单价组成中，各项目的</w:t>
      </w:r>
      <w:r>
        <w:rPr>
          <w:sz w:val="20"/>
          <w:szCs w:val="20"/>
        </w:rPr>
        <w:t xml:space="preserve"> </w:t>
      </w:r>
      <w:r>
        <w:rPr>
          <w:spacing w:val="9"/>
          <w:sz w:val="20"/>
          <w:szCs w:val="20"/>
        </w:rPr>
        <w:t>人工、材料和机械台班消耗量由投标人按照其自身情况</w:t>
      </w:r>
      <w:r>
        <w:rPr>
          <w:spacing w:val="8"/>
          <w:sz w:val="20"/>
          <w:szCs w:val="20"/>
        </w:rPr>
        <w:t>做充分的竞争性考虑。材料消耗量</w:t>
      </w:r>
      <w:r>
        <w:rPr>
          <w:sz w:val="20"/>
          <w:szCs w:val="20"/>
        </w:rPr>
        <w:t xml:space="preserve"> </w:t>
      </w:r>
      <w:r>
        <w:rPr>
          <w:spacing w:val="4"/>
          <w:sz w:val="20"/>
          <w:szCs w:val="20"/>
        </w:rPr>
        <w:t>包括损耗量。</w:t>
      </w:r>
    </w:p>
    <w:p w14:paraId="79DB340B">
      <w:pPr>
        <w:pStyle w:val="2"/>
        <w:spacing w:before="172" w:line="308" w:lineRule="auto"/>
        <w:ind w:left="739" w:right="23" w:hanging="739"/>
        <w:rPr>
          <w:sz w:val="20"/>
          <w:szCs w:val="20"/>
        </w:rPr>
      </w:pPr>
      <w:r>
        <w:rPr>
          <w:spacing w:val="9"/>
          <w:sz w:val="20"/>
          <w:szCs w:val="20"/>
        </w:rPr>
        <w:t>2.6.5  投标人在投标文件中提交并构成合同文件的“承包人提供主要材料和工程设备一览表”应</w:t>
      </w:r>
      <w:r>
        <w:rPr>
          <w:spacing w:val="3"/>
          <w:sz w:val="20"/>
          <w:szCs w:val="20"/>
        </w:rPr>
        <w:t xml:space="preserve"> </w:t>
      </w:r>
      <w:r>
        <w:rPr>
          <w:spacing w:val="5"/>
          <w:sz w:val="20"/>
          <w:szCs w:val="20"/>
        </w:rPr>
        <w:t>符合下列要求。</w:t>
      </w:r>
    </w:p>
    <w:p w14:paraId="15FD455C">
      <w:pPr>
        <w:pStyle w:val="2"/>
        <w:spacing w:before="171" w:line="218" w:lineRule="auto"/>
        <w:ind w:left="739"/>
        <w:rPr>
          <w:sz w:val="20"/>
          <w:szCs w:val="20"/>
        </w:rPr>
      </w:pPr>
      <w:r>
        <w:rPr>
          <w:spacing w:val="9"/>
          <w:sz w:val="20"/>
          <w:szCs w:val="20"/>
        </w:rPr>
        <w:t>采用一般计税方法的，进入综合单价的材料和工程设备的价格为除税价格。</w:t>
      </w:r>
    </w:p>
    <w:p w14:paraId="622AEF80">
      <w:pPr>
        <w:pStyle w:val="2"/>
        <w:spacing w:before="194" w:line="218" w:lineRule="auto"/>
        <w:ind w:left="739"/>
        <w:rPr>
          <w:sz w:val="20"/>
          <w:szCs w:val="20"/>
        </w:rPr>
      </w:pPr>
      <w:r>
        <w:rPr>
          <w:spacing w:val="9"/>
          <w:sz w:val="20"/>
          <w:szCs w:val="20"/>
        </w:rPr>
        <w:t>采用简易计税方法的，进入综合单价的材料和工程设备的价格为含税价格。</w:t>
      </w:r>
    </w:p>
    <w:p w14:paraId="3C468308">
      <w:pPr>
        <w:pStyle w:val="2"/>
        <w:spacing w:before="181" w:line="377" w:lineRule="auto"/>
        <w:ind w:left="739" w:right="20" w:hanging="737"/>
        <w:rPr>
          <w:sz w:val="20"/>
          <w:szCs w:val="20"/>
        </w:rPr>
      </w:pPr>
      <w:r>
        <w:rPr>
          <w:b/>
          <w:bCs/>
          <w:spacing w:val="11"/>
          <w:sz w:val="20"/>
          <w:szCs w:val="20"/>
        </w:rPr>
        <w:t>2.6.6</w:t>
      </w:r>
      <w:r>
        <w:rPr>
          <w:spacing w:val="11"/>
          <w:sz w:val="20"/>
          <w:szCs w:val="20"/>
        </w:rPr>
        <w:t xml:space="preserve">  投标人应对每一个分部分项工程和单价措施项目编制“综合单价分析表”,并按分部分项</w:t>
      </w:r>
      <w:r>
        <w:rPr>
          <w:spacing w:val="1"/>
          <w:sz w:val="20"/>
          <w:szCs w:val="20"/>
        </w:rPr>
        <w:t xml:space="preserve"> </w:t>
      </w:r>
      <w:r>
        <w:rPr>
          <w:spacing w:val="3"/>
          <w:sz w:val="20"/>
          <w:szCs w:val="20"/>
        </w:rPr>
        <w:t>工程和单价措施项目的顺序附在“分部分项工程和单价措施项目清单与计价表”之后</w:t>
      </w:r>
      <w:r>
        <w:rPr>
          <w:spacing w:val="2"/>
          <w:sz w:val="20"/>
          <w:szCs w:val="20"/>
        </w:rPr>
        <w:t>，“综</w:t>
      </w:r>
      <w:r>
        <w:rPr>
          <w:sz w:val="20"/>
          <w:szCs w:val="20"/>
        </w:rPr>
        <w:t xml:space="preserve"> </w:t>
      </w:r>
      <w:r>
        <w:rPr>
          <w:spacing w:val="9"/>
          <w:sz w:val="20"/>
          <w:szCs w:val="20"/>
        </w:rPr>
        <w:t>合单价分析表”中的综合单价应与“分部分项工程和单价</w:t>
      </w:r>
      <w:r>
        <w:rPr>
          <w:spacing w:val="8"/>
          <w:sz w:val="20"/>
          <w:szCs w:val="20"/>
        </w:rPr>
        <w:t>措施项目清单与计价表”中相应</w:t>
      </w:r>
      <w:r>
        <w:rPr>
          <w:sz w:val="20"/>
          <w:szCs w:val="20"/>
        </w:rPr>
        <w:t xml:space="preserve"> </w:t>
      </w:r>
      <w:r>
        <w:rPr>
          <w:spacing w:val="7"/>
          <w:sz w:val="20"/>
          <w:szCs w:val="20"/>
        </w:rPr>
        <w:t>的综合单价一致。</w:t>
      </w:r>
    </w:p>
    <w:p w14:paraId="6AACC98B">
      <w:pPr>
        <w:pStyle w:val="2"/>
        <w:spacing w:before="1" w:line="217" w:lineRule="auto"/>
        <w:rPr>
          <w:sz w:val="20"/>
          <w:szCs w:val="20"/>
        </w:rPr>
      </w:pPr>
      <w:r>
        <w:rPr>
          <w:spacing w:val="5"/>
          <w:sz w:val="20"/>
          <w:szCs w:val="20"/>
        </w:rPr>
        <w:t>2.7</w:t>
      </w:r>
      <w:r>
        <w:rPr>
          <w:spacing w:val="15"/>
          <w:sz w:val="20"/>
          <w:szCs w:val="20"/>
        </w:rPr>
        <w:t xml:space="preserve">    </w:t>
      </w:r>
      <w:r>
        <w:rPr>
          <w:spacing w:val="5"/>
          <w:sz w:val="20"/>
          <w:szCs w:val="20"/>
        </w:rPr>
        <w:t>总价措施项目按下列要求报价：</w:t>
      </w:r>
    </w:p>
    <w:p w14:paraId="2522C353">
      <w:pPr>
        <w:pStyle w:val="2"/>
        <w:spacing w:before="194" w:line="307" w:lineRule="auto"/>
        <w:ind w:left="739" w:right="38" w:hanging="739"/>
        <w:rPr>
          <w:sz w:val="20"/>
          <w:szCs w:val="20"/>
        </w:rPr>
      </w:pPr>
      <w:r>
        <w:rPr>
          <w:spacing w:val="4"/>
          <w:sz w:val="20"/>
          <w:szCs w:val="20"/>
        </w:rPr>
        <w:t>2.7.1  总价措施项目应根据招标文件及投标时拟定的施工组织设计或施工方案，以“项”为单位自</w:t>
      </w:r>
      <w:r>
        <w:rPr>
          <w:spacing w:val="14"/>
          <w:sz w:val="20"/>
          <w:szCs w:val="20"/>
        </w:rPr>
        <w:t xml:space="preserve"> </w:t>
      </w:r>
      <w:r>
        <w:rPr>
          <w:spacing w:val="8"/>
          <w:sz w:val="20"/>
          <w:szCs w:val="20"/>
        </w:rPr>
        <w:t>主确定价格。投标人所填报价格应包括除规费、税金外的全部费用。</w:t>
      </w:r>
    </w:p>
    <w:p w14:paraId="4D6C7A6E">
      <w:pPr>
        <w:pStyle w:val="2"/>
        <w:spacing w:before="185" w:line="299" w:lineRule="auto"/>
        <w:ind w:left="739" w:right="23" w:hanging="739"/>
        <w:rPr>
          <w:sz w:val="20"/>
          <w:szCs w:val="20"/>
        </w:rPr>
      </w:pPr>
      <w:r>
        <w:rPr>
          <w:spacing w:val="14"/>
          <w:sz w:val="20"/>
          <w:szCs w:val="20"/>
        </w:rPr>
        <w:t>2.7.2  总价措施项目清单中的安全文明施工费必须按国家或省级</w:t>
      </w:r>
      <w:r>
        <w:rPr>
          <w:spacing w:val="13"/>
          <w:sz w:val="20"/>
          <w:szCs w:val="20"/>
        </w:rPr>
        <w:t>、行业建设主管部门的规定计</w:t>
      </w:r>
      <w:r>
        <w:rPr>
          <w:sz w:val="20"/>
          <w:szCs w:val="20"/>
        </w:rPr>
        <w:t xml:space="preserve"> </w:t>
      </w:r>
      <w:r>
        <w:rPr>
          <w:spacing w:val="7"/>
          <w:sz w:val="20"/>
          <w:szCs w:val="20"/>
        </w:rPr>
        <w:t>算，不得作为竞争性费用。</w:t>
      </w:r>
    </w:p>
    <w:p w14:paraId="366C966B">
      <w:pPr>
        <w:pStyle w:val="2"/>
        <w:spacing w:before="201" w:line="218" w:lineRule="auto"/>
        <w:rPr>
          <w:sz w:val="20"/>
          <w:szCs w:val="20"/>
        </w:rPr>
      </w:pPr>
      <w:r>
        <w:rPr>
          <w:spacing w:val="7"/>
          <w:sz w:val="20"/>
          <w:szCs w:val="20"/>
        </w:rPr>
        <w:t>2.7.3   “总价措施项目清单与计价表”中所填写的报价金额，应全面</w:t>
      </w:r>
      <w:r>
        <w:rPr>
          <w:spacing w:val="6"/>
          <w:sz w:val="20"/>
          <w:szCs w:val="20"/>
        </w:rPr>
        <w:t>涵盖招标文件约定的投标人</w:t>
      </w:r>
    </w:p>
    <w:p w14:paraId="608F8DA7">
      <w:pPr>
        <w:pStyle w:val="2"/>
        <w:spacing w:before="185" w:line="219" w:lineRule="auto"/>
        <w:ind w:right="22"/>
        <w:jc w:val="right"/>
        <w:rPr>
          <w:sz w:val="20"/>
          <w:szCs w:val="20"/>
        </w:rPr>
      </w:pPr>
      <w:r>
        <w:rPr>
          <w:spacing w:val="10"/>
          <w:sz w:val="20"/>
          <w:szCs w:val="20"/>
        </w:rPr>
        <w:t>中标后施工、竣工、交付本工程并维修其任何缺陷所需要履行</w:t>
      </w:r>
      <w:r>
        <w:rPr>
          <w:spacing w:val="9"/>
          <w:sz w:val="20"/>
          <w:szCs w:val="20"/>
        </w:rPr>
        <w:t>的责任和义务的全部费用。</w:t>
      </w:r>
    </w:p>
    <w:p w14:paraId="01D21453">
      <w:pPr>
        <w:pStyle w:val="2"/>
        <w:spacing w:before="122" w:line="218" w:lineRule="auto"/>
        <w:rPr>
          <w:sz w:val="20"/>
          <w:szCs w:val="20"/>
        </w:rPr>
      </w:pPr>
      <w:r>
        <w:rPr>
          <w:spacing w:val="4"/>
          <w:sz w:val="20"/>
          <w:szCs w:val="20"/>
        </w:rPr>
        <w:t>2.8</w:t>
      </w:r>
      <w:r>
        <w:rPr>
          <w:spacing w:val="16"/>
          <w:sz w:val="20"/>
          <w:szCs w:val="20"/>
        </w:rPr>
        <w:t xml:space="preserve">    </w:t>
      </w:r>
      <w:r>
        <w:rPr>
          <w:spacing w:val="4"/>
          <w:sz w:val="20"/>
          <w:szCs w:val="20"/>
        </w:rPr>
        <w:t>其他项目应按下列规定报价：</w:t>
      </w:r>
    </w:p>
    <w:p w14:paraId="3B017168">
      <w:pPr>
        <w:pStyle w:val="2"/>
        <w:spacing w:before="196" w:line="219" w:lineRule="auto"/>
        <w:rPr>
          <w:sz w:val="20"/>
          <w:szCs w:val="20"/>
        </w:rPr>
      </w:pPr>
      <w:r>
        <w:rPr>
          <w:spacing w:val="9"/>
          <w:sz w:val="20"/>
          <w:szCs w:val="20"/>
        </w:rPr>
        <w:t>2.8.1  暂列金额应按招标工程量清单“暂列金额明细表”中列出的金额填写，不得变动。</w:t>
      </w:r>
    </w:p>
    <w:p w14:paraId="5977F048">
      <w:pPr>
        <w:pStyle w:val="2"/>
        <w:spacing w:before="179" w:line="354" w:lineRule="auto"/>
        <w:ind w:left="729" w:hanging="729"/>
        <w:rPr>
          <w:sz w:val="20"/>
          <w:szCs w:val="20"/>
        </w:rPr>
      </w:pPr>
      <w:r>
        <w:rPr>
          <w:spacing w:val="14"/>
          <w:sz w:val="20"/>
          <w:szCs w:val="20"/>
        </w:rPr>
        <w:t>2.8.2  暂估价分为材料(工程设备)</w:t>
      </w:r>
      <w:r>
        <w:rPr>
          <w:spacing w:val="13"/>
          <w:sz w:val="20"/>
          <w:szCs w:val="20"/>
        </w:rPr>
        <w:t>暂估单价和专业工程暂估价两类。其中材料、工程设备暂估</w:t>
      </w:r>
      <w:r>
        <w:rPr>
          <w:sz w:val="20"/>
          <w:szCs w:val="20"/>
        </w:rPr>
        <w:t xml:space="preserve"> </w:t>
      </w:r>
      <w:r>
        <w:rPr>
          <w:spacing w:val="17"/>
          <w:sz w:val="20"/>
          <w:szCs w:val="20"/>
        </w:rPr>
        <w:t>单价应按招标工程量清单“材料(工程设备)暂估单价表”中列出的单价和本节第3.3.2</w:t>
      </w:r>
      <w:r>
        <w:rPr>
          <w:spacing w:val="14"/>
          <w:sz w:val="20"/>
          <w:szCs w:val="20"/>
        </w:rPr>
        <w:t xml:space="preserve"> </w:t>
      </w:r>
      <w:r>
        <w:rPr>
          <w:spacing w:val="10"/>
          <w:sz w:val="20"/>
          <w:szCs w:val="20"/>
        </w:rPr>
        <w:t>项的报价原则进入分部分项工程和单价措施项目清单之综合单价，不得变动，不在</w:t>
      </w:r>
      <w:r>
        <w:rPr>
          <w:spacing w:val="9"/>
          <w:sz w:val="20"/>
          <w:szCs w:val="20"/>
        </w:rPr>
        <w:t>“其他</w:t>
      </w:r>
      <w:r>
        <w:rPr>
          <w:sz w:val="20"/>
          <w:szCs w:val="20"/>
        </w:rPr>
        <w:t xml:space="preserve"> </w:t>
      </w:r>
      <w:r>
        <w:rPr>
          <w:spacing w:val="15"/>
          <w:sz w:val="20"/>
          <w:szCs w:val="20"/>
        </w:rPr>
        <w:t>项目清单与计价汇总表”中汇总；专业工程暂估价应按招标工程量清单“专业工程暂估</w:t>
      </w:r>
      <w:r>
        <w:rPr>
          <w:spacing w:val="18"/>
          <w:sz w:val="20"/>
          <w:szCs w:val="20"/>
        </w:rPr>
        <w:t xml:space="preserve"> </w:t>
      </w:r>
      <w:r>
        <w:rPr>
          <w:spacing w:val="12"/>
          <w:sz w:val="20"/>
          <w:szCs w:val="20"/>
        </w:rPr>
        <w:t>价表”中列出的金额和本节第3.3.3项的报价原则计入其他项目清单报价，不得变动。</w:t>
      </w:r>
    </w:p>
    <w:p w14:paraId="13D87FE4">
      <w:pPr>
        <w:pStyle w:val="2"/>
        <w:spacing w:before="184" w:line="303" w:lineRule="auto"/>
        <w:ind w:left="739" w:right="25" w:hanging="739"/>
        <w:rPr>
          <w:sz w:val="20"/>
          <w:szCs w:val="20"/>
        </w:rPr>
      </w:pPr>
      <w:r>
        <w:rPr>
          <w:spacing w:val="9"/>
          <w:sz w:val="20"/>
          <w:szCs w:val="20"/>
        </w:rPr>
        <w:t>2.8.3  计日工应按招标工程量清单“计日工表”中列出的项目和数量，自主确定单价并计取企业</w:t>
      </w:r>
      <w:r>
        <w:rPr>
          <w:spacing w:val="1"/>
          <w:sz w:val="20"/>
          <w:szCs w:val="20"/>
        </w:rPr>
        <w:t xml:space="preserve"> </w:t>
      </w:r>
      <w:r>
        <w:rPr>
          <w:spacing w:val="9"/>
          <w:sz w:val="20"/>
          <w:szCs w:val="20"/>
        </w:rPr>
        <w:t>管理费与利润。计日工单价不包括规费和税金。</w:t>
      </w:r>
    </w:p>
    <w:p w14:paraId="20C25AC4">
      <w:pPr>
        <w:pStyle w:val="2"/>
        <w:spacing w:before="174" w:line="218" w:lineRule="auto"/>
        <w:ind w:left="739"/>
        <w:rPr>
          <w:sz w:val="20"/>
          <w:szCs w:val="20"/>
        </w:rPr>
      </w:pPr>
      <w:r>
        <w:rPr>
          <w:spacing w:val="9"/>
          <w:sz w:val="20"/>
          <w:szCs w:val="20"/>
        </w:rPr>
        <w:t>采用一般计税方法的，计日工费用组成中的材料和机械的单价为除税价格。</w:t>
      </w:r>
    </w:p>
    <w:p w14:paraId="427CE114">
      <w:pPr>
        <w:spacing w:line="218" w:lineRule="auto"/>
        <w:rPr>
          <w:sz w:val="20"/>
          <w:szCs w:val="20"/>
        </w:rPr>
        <w:sectPr>
          <w:footerReference r:id="rId291" w:type="default"/>
          <w:pgSz w:w="11910" w:h="16840"/>
          <w:pgMar w:top="400" w:right="1517" w:bottom="1024" w:left="1450" w:header="0" w:footer="889" w:gutter="0"/>
          <w:cols w:space="720" w:num="1"/>
        </w:sectPr>
      </w:pPr>
    </w:p>
    <w:p w14:paraId="3D3E7BAB">
      <w:pPr>
        <w:spacing w:line="276" w:lineRule="auto"/>
        <w:rPr>
          <w:rFonts w:ascii="Arial"/>
          <w:sz w:val="21"/>
        </w:rPr>
      </w:pPr>
    </w:p>
    <w:p w14:paraId="33DF27B8">
      <w:pPr>
        <w:spacing w:line="276" w:lineRule="auto"/>
        <w:rPr>
          <w:rFonts w:ascii="Arial"/>
          <w:sz w:val="21"/>
        </w:rPr>
      </w:pPr>
    </w:p>
    <w:p w14:paraId="6446445E">
      <w:pPr>
        <w:spacing w:line="276" w:lineRule="auto"/>
        <w:rPr>
          <w:rFonts w:ascii="Arial"/>
          <w:sz w:val="21"/>
        </w:rPr>
      </w:pPr>
    </w:p>
    <w:p w14:paraId="23D1F83E">
      <w:pPr>
        <w:spacing w:line="276" w:lineRule="auto"/>
        <w:rPr>
          <w:rFonts w:ascii="Arial"/>
          <w:sz w:val="21"/>
        </w:rPr>
      </w:pPr>
    </w:p>
    <w:p w14:paraId="70C1E0A9">
      <w:pPr>
        <w:spacing w:line="276" w:lineRule="auto"/>
        <w:rPr>
          <w:rFonts w:ascii="Arial"/>
          <w:sz w:val="21"/>
        </w:rPr>
      </w:pPr>
    </w:p>
    <w:p w14:paraId="51871EAB">
      <w:pPr>
        <w:pStyle w:val="2"/>
        <w:spacing w:before="68" w:line="218" w:lineRule="auto"/>
        <w:ind w:left="739"/>
        <w:rPr>
          <w:sz w:val="21"/>
          <w:szCs w:val="21"/>
        </w:rPr>
      </w:pPr>
      <w:bookmarkStart w:id="265" w:name="bookmark315"/>
      <w:bookmarkEnd w:id="265"/>
      <w:r>
        <w:rPr>
          <w:spacing w:val="-1"/>
          <w:sz w:val="21"/>
          <w:szCs w:val="21"/>
        </w:rPr>
        <w:t>采用简易计税方法的，计日工费用组成中的材料和机械的单价为含税价格。</w:t>
      </w:r>
    </w:p>
    <w:p w14:paraId="345DB436">
      <w:pPr>
        <w:pStyle w:val="2"/>
        <w:spacing w:before="133" w:line="360" w:lineRule="auto"/>
        <w:ind w:left="739" w:right="99" w:hanging="739"/>
        <w:rPr>
          <w:sz w:val="21"/>
          <w:szCs w:val="21"/>
        </w:rPr>
      </w:pPr>
      <w:r>
        <w:rPr>
          <w:rFonts w:ascii="Arial" w:hAnsi="Arial" w:eastAsia="Arial" w:cs="Arial"/>
          <w:spacing w:val="1"/>
          <w:sz w:val="21"/>
          <w:szCs w:val="21"/>
        </w:rPr>
        <w:t xml:space="preserve">1.8.4    </w:t>
      </w:r>
      <w:r>
        <w:rPr>
          <w:spacing w:val="1"/>
          <w:sz w:val="21"/>
          <w:szCs w:val="21"/>
        </w:rPr>
        <w:t>总承包服务费应按招标工程量清单“总承包服务费计价表”中列出的内容和提</w:t>
      </w:r>
      <w:r>
        <w:rPr>
          <w:sz w:val="21"/>
          <w:szCs w:val="21"/>
        </w:rPr>
        <w:t xml:space="preserve">出的要求自 </w:t>
      </w:r>
      <w:r>
        <w:rPr>
          <w:spacing w:val="-8"/>
          <w:sz w:val="21"/>
          <w:szCs w:val="21"/>
        </w:rPr>
        <w:t>主报价。</w:t>
      </w:r>
    </w:p>
    <w:p w14:paraId="0BD2BD95">
      <w:pPr>
        <w:pStyle w:val="2"/>
        <w:spacing w:before="39" w:line="378" w:lineRule="auto"/>
        <w:ind w:left="739" w:right="112"/>
        <w:rPr>
          <w:sz w:val="21"/>
          <w:szCs w:val="21"/>
        </w:rPr>
      </w:pPr>
      <w:r>
        <w:rPr>
          <w:sz w:val="21"/>
          <w:szCs w:val="21"/>
        </w:rPr>
        <w:t>采用一般计税方法的，总承包服务费的项目价值为除税价格。项目费</w:t>
      </w:r>
      <w:r>
        <w:rPr>
          <w:spacing w:val="-1"/>
          <w:sz w:val="21"/>
          <w:szCs w:val="21"/>
        </w:rPr>
        <w:t>率在原费率的基础上</w:t>
      </w:r>
      <w:r>
        <w:rPr>
          <w:sz w:val="21"/>
          <w:szCs w:val="21"/>
        </w:rPr>
        <w:t xml:space="preserve"> </w:t>
      </w:r>
      <w:r>
        <w:rPr>
          <w:spacing w:val="-5"/>
          <w:sz w:val="21"/>
          <w:szCs w:val="21"/>
        </w:rPr>
        <w:t>可作适度上浮。</w:t>
      </w:r>
    </w:p>
    <w:p w14:paraId="45E19886">
      <w:pPr>
        <w:pStyle w:val="2"/>
        <w:spacing w:before="1" w:line="217" w:lineRule="auto"/>
        <w:ind w:left="739"/>
        <w:rPr>
          <w:sz w:val="21"/>
          <w:szCs w:val="21"/>
        </w:rPr>
      </w:pPr>
      <w:r>
        <w:rPr>
          <w:spacing w:val="-2"/>
          <w:sz w:val="21"/>
          <w:szCs w:val="21"/>
        </w:rPr>
        <w:t>采用简易计税方法的，总承包服务费的项目价值为含税价格。</w:t>
      </w:r>
    </w:p>
    <w:p w14:paraId="78B5F6D4">
      <w:pPr>
        <w:pStyle w:val="2"/>
        <w:spacing w:before="172" w:line="218" w:lineRule="auto"/>
        <w:rPr>
          <w:sz w:val="21"/>
          <w:szCs w:val="21"/>
        </w:rPr>
      </w:pPr>
      <w:r>
        <w:rPr>
          <w:spacing w:val="-1"/>
          <w:sz w:val="21"/>
          <w:szCs w:val="21"/>
        </w:rPr>
        <w:t>2.9   规费和税金项目按下列要求报价：</w:t>
      </w:r>
    </w:p>
    <w:p w14:paraId="08F37C9B">
      <w:pPr>
        <w:pStyle w:val="2"/>
        <w:spacing w:before="164" w:line="219" w:lineRule="auto"/>
        <w:ind w:left="629"/>
        <w:rPr>
          <w:sz w:val="21"/>
          <w:szCs w:val="21"/>
        </w:rPr>
      </w:pPr>
      <w:r>
        <w:rPr>
          <w:sz w:val="21"/>
          <w:szCs w:val="21"/>
        </w:rPr>
        <w:t>规费和税金必须按国家或省级、行业建设主管部门的规定计算，不得作为竞争性费用。</w:t>
      </w:r>
    </w:p>
    <w:p w14:paraId="02DD1A7A">
      <w:pPr>
        <w:pStyle w:val="2"/>
        <w:spacing w:before="158" w:line="299" w:lineRule="auto"/>
        <w:ind w:left="629" w:right="120" w:hanging="629"/>
        <w:rPr>
          <w:sz w:val="21"/>
          <w:szCs w:val="21"/>
        </w:rPr>
      </w:pPr>
      <w:r>
        <w:rPr>
          <w:spacing w:val="2"/>
          <w:sz w:val="21"/>
          <w:szCs w:val="21"/>
        </w:rPr>
        <w:t>2.10  除招标文件有强制性规定以及不可竞争部分以外，投标报价由投标人自主确定，但不得低</w:t>
      </w:r>
      <w:r>
        <w:rPr>
          <w:spacing w:val="3"/>
          <w:sz w:val="21"/>
          <w:szCs w:val="21"/>
        </w:rPr>
        <w:t xml:space="preserve"> </w:t>
      </w:r>
      <w:r>
        <w:rPr>
          <w:spacing w:val="-2"/>
          <w:sz w:val="21"/>
          <w:szCs w:val="21"/>
        </w:rPr>
        <w:t>于其工程成本。</w:t>
      </w:r>
    </w:p>
    <w:p w14:paraId="7008D05A">
      <w:pPr>
        <w:pStyle w:val="2"/>
        <w:spacing w:before="180" w:line="332" w:lineRule="auto"/>
        <w:ind w:left="629" w:hanging="629"/>
        <w:rPr>
          <w:sz w:val="21"/>
          <w:szCs w:val="21"/>
        </w:rPr>
      </w:pPr>
      <w:r>
        <w:rPr>
          <w:spacing w:val="-2"/>
          <w:sz w:val="21"/>
          <w:szCs w:val="21"/>
        </w:rPr>
        <w:t>2.11  工程量清单计价所涉及的生产资源(包括各类人工、材料、工程设备、施工</w:t>
      </w:r>
      <w:r>
        <w:rPr>
          <w:spacing w:val="-3"/>
          <w:sz w:val="21"/>
          <w:szCs w:val="21"/>
        </w:rPr>
        <w:t>设备、临时设施、</w:t>
      </w:r>
      <w:r>
        <w:rPr>
          <w:sz w:val="21"/>
          <w:szCs w:val="21"/>
        </w:rPr>
        <w:t xml:space="preserve"> 临时用水、临时用电等)的投标价格，应根据自身的信息渠道和采购渠道，分析其市场价格</w:t>
      </w:r>
      <w:r>
        <w:rPr>
          <w:spacing w:val="6"/>
          <w:sz w:val="21"/>
          <w:szCs w:val="21"/>
        </w:rPr>
        <w:t xml:space="preserve">  </w:t>
      </w:r>
      <w:r>
        <w:rPr>
          <w:spacing w:val="2"/>
          <w:sz w:val="21"/>
          <w:szCs w:val="21"/>
        </w:rPr>
        <w:t>水平并判断其整个施工周期内的变化趋势，体现投标人自身的管理水平、技术水平和综合</w:t>
      </w:r>
      <w:r>
        <w:rPr>
          <w:spacing w:val="4"/>
          <w:sz w:val="21"/>
          <w:szCs w:val="21"/>
        </w:rPr>
        <w:t xml:space="preserve">  </w:t>
      </w:r>
      <w:r>
        <w:rPr>
          <w:spacing w:val="-10"/>
          <w:sz w:val="21"/>
          <w:szCs w:val="21"/>
        </w:rPr>
        <w:t>实力。</w:t>
      </w:r>
    </w:p>
    <w:p w14:paraId="4F4B1B1E">
      <w:pPr>
        <w:pStyle w:val="2"/>
        <w:spacing w:before="180" w:line="289" w:lineRule="auto"/>
        <w:ind w:left="629" w:right="155" w:hanging="629"/>
        <w:rPr>
          <w:sz w:val="21"/>
          <w:szCs w:val="21"/>
        </w:rPr>
      </w:pPr>
      <w:r>
        <w:rPr>
          <w:rFonts w:ascii="Times New Roman" w:hAnsi="Times New Roman" w:eastAsia="Times New Roman" w:cs="Times New Roman"/>
          <w:spacing w:val="1"/>
          <w:sz w:val="21"/>
          <w:szCs w:val="21"/>
        </w:rPr>
        <w:t xml:space="preserve">2.12     </w:t>
      </w:r>
      <w:r>
        <w:rPr>
          <w:spacing w:val="1"/>
          <w:sz w:val="21"/>
          <w:szCs w:val="21"/>
        </w:rPr>
        <w:t>企业管理费应由投标人在保证不低于其成本的基础上合理报价；利润由投标人根据自身情</w:t>
      </w:r>
      <w:r>
        <w:rPr>
          <w:spacing w:val="10"/>
          <w:sz w:val="21"/>
          <w:szCs w:val="21"/>
        </w:rPr>
        <w:t xml:space="preserve"> </w:t>
      </w:r>
      <w:r>
        <w:rPr>
          <w:spacing w:val="-4"/>
          <w:sz w:val="21"/>
          <w:szCs w:val="21"/>
        </w:rPr>
        <w:t>况和综合实力合理报价。</w:t>
      </w:r>
    </w:p>
    <w:p w14:paraId="08A37C50">
      <w:pPr>
        <w:pStyle w:val="2"/>
        <w:spacing w:before="132" w:line="218" w:lineRule="auto"/>
        <w:rPr>
          <w:sz w:val="21"/>
          <w:szCs w:val="21"/>
        </w:rPr>
      </w:pPr>
      <w:r>
        <w:rPr>
          <w:sz w:val="21"/>
          <w:szCs w:val="21"/>
        </w:rPr>
        <w:t>2.13  投标报价中应考虑招标文件中要求投标人承担的风险范围以及</w:t>
      </w:r>
      <w:r>
        <w:rPr>
          <w:spacing w:val="-1"/>
          <w:sz w:val="21"/>
          <w:szCs w:val="21"/>
        </w:rPr>
        <w:t>相关的费用。</w:t>
      </w:r>
    </w:p>
    <w:p w14:paraId="6B559AB7">
      <w:pPr>
        <w:pStyle w:val="2"/>
        <w:spacing w:before="182" w:line="218" w:lineRule="auto"/>
        <w:rPr>
          <w:sz w:val="21"/>
          <w:szCs w:val="21"/>
        </w:rPr>
      </w:pPr>
      <w:r>
        <w:rPr>
          <w:rFonts w:ascii="Arial" w:hAnsi="Arial" w:eastAsia="Arial" w:cs="Arial"/>
          <w:spacing w:val="2"/>
          <w:sz w:val="21"/>
          <w:szCs w:val="21"/>
        </w:rPr>
        <w:t>2.14</w:t>
      </w:r>
      <w:r>
        <w:rPr>
          <w:rFonts w:ascii="Arial" w:hAnsi="Arial" w:eastAsia="Arial" w:cs="Arial"/>
          <w:spacing w:val="17"/>
          <w:w w:val="101"/>
          <w:sz w:val="21"/>
          <w:szCs w:val="21"/>
        </w:rPr>
        <w:t xml:space="preserve">   </w:t>
      </w:r>
      <w:r>
        <w:rPr>
          <w:spacing w:val="2"/>
          <w:sz w:val="21"/>
          <w:szCs w:val="21"/>
        </w:rPr>
        <w:t>投标总价为投标人在投标文件中提出的各项支付金额的总和，为实施、完成</w:t>
      </w:r>
      <w:r>
        <w:rPr>
          <w:spacing w:val="1"/>
          <w:sz w:val="21"/>
          <w:szCs w:val="21"/>
        </w:rPr>
        <w:t>招标工程并修</w:t>
      </w:r>
    </w:p>
    <w:p w14:paraId="7A43A124">
      <w:pPr>
        <w:pStyle w:val="2"/>
        <w:spacing w:before="174" w:line="219" w:lineRule="auto"/>
        <w:ind w:left="699"/>
        <w:rPr>
          <w:sz w:val="21"/>
          <w:szCs w:val="21"/>
        </w:rPr>
      </w:pPr>
      <w:r>
        <w:rPr>
          <w:sz w:val="21"/>
          <w:szCs w:val="21"/>
        </w:rPr>
        <w:t>补缺陷以及履行招标文件中约定的风险范围内的所有责任和义务所发生</w:t>
      </w:r>
      <w:r>
        <w:rPr>
          <w:spacing w:val="-1"/>
          <w:sz w:val="21"/>
          <w:szCs w:val="21"/>
        </w:rPr>
        <w:t>的全部费用。</w:t>
      </w:r>
    </w:p>
    <w:p w14:paraId="7A8EDEDC">
      <w:pPr>
        <w:pStyle w:val="2"/>
        <w:spacing w:before="91" w:line="286" w:lineRule="exact"/>
        <w:rPr>
          <w:sz w:val="21"/>
          <w:szCs w:val="21"/>
        </w:rPr>
      </w:pPr>
      <w:r>
        <w:rPr>
          <w:rFonts w:ascii="Arial" w:hAnsi="Arial" w:eastAsia="Arial" w:cs="Arial"/>
          <w:spacing w:val="-2"/>
          <w:position w:val="1"/>
          <w:sz w:val="21"/>
          <w:szCs w:val="21"/>
        </w:rPr>
        <w:t>2.15</w:t>
      </w:r>
      <w:r>
        <w:rPr>
          <w:rFonts w:ascii="Arial" w:hAnsi="Arial" w:eastAsia="Arial" w:cs="Arial"/>
          <w:spacing w:val="18"/>
          <w:position w:val="1"/>
          <w:sz w:val="21"/>
          <w:szCs w:val="21"/>
        </w:rPr>
        <w:t xml:space="preserve">   </w:t>
      </w:r>
      <w:r>
        <w:rPr>
          <w:spacing w:val="-2"/>
          <w:position w:val="1"/>
          <w:sz w:val="21"/>
          <w:szCs w:val="21"/>
        </w:rPr>
        <w:t>有关投标报价的其他说明：</w:t>
      </w:r>
    </w:p>
    <w:p w14:paraId="31ABF179">
      <w:pPr>
        <w:spacing w:line="273" w:lineRule="auto"/>
        <w:rPr>
          <w:rFonts w:ascii="Arial"/>
          <w:sz w:val="21"/>
        </w:rPr>
      </w:pPr>
    </w:p>
    <w:p w14:paraId="6D370A3A">
      <w:pPr>
        <w:spacing w:line="273" w:lineRule="auto"/>
        <w:rPr>
          <w:rFonts w:ascii="Arial"/>
          <w:sz w:val="21"/>
        </w:rPr>
      </w:pPr>
      <w:r>
        <w:drawing>
          <wp:anchor distT="0" distB="0" distL="0" distR="0" simplePos="0" relativeHeight="251743232" behindDoc="0" locked="0" layoutInCell="1" allowOverlap="1">
            <wp:simplePos x="0" y="0"/>
            <wp:positionH relativeFrom="column">
              <wp:posOffset>266065</wp:posOffset>
            </wp:positionH>
            <wp:positionV relativeFrom="paragraph">
              <wp:posOffset>37465</wp:posOffset>
            </wp:positionV>
            <wp:extent cx="5029200" cy="6350"/>
            <wp:effectExtent l="0" t="0" r="0" b="0"/>
            <wp:wrapNone/>
            <wp:docPr id="202" name="IM 202"/>
            <wp:cNvGraphicFramePr/>
            <a:graphic xmlns:a="http://schemas.openxmlformats.org/drawingml/2006/main">
              <a:graphicData uri="http://schemas.openxmlformats.org/drawingml/2006/picture">
                <pic:pic xmlns:pic="http://schemas.openxmlformats.org/drawingml/2006/picture">
                  <pic:nvPicPr>
                    <pic:cNvPr id="202" name="IM 202"/>
                    <pic:cNvPicPr/>
                  </pic:nvPicPr>
                  <pic:blipFill>
                    <a:blip r:embed="rId489"/>
                    <a:stretch>
                      <a:fillRect/>
                    </a:stretch>
                  </pic:blipFill>
                  <pic:spPr>
                    <a:xfrm>
                      <a:off x="0" y="0"/>
                      <a:ext cx="5029220" cy="6350"/>
                    </a:xfrm>
                    <a:prstGeom prst="rect">
                      <a:avLst/>
                    </a:prstGeom>
                  </pic:spPr>
                </pic:pic>
              </a:graphicData>
            </a:graphic>
          </wp:anchor>
        </w:drawing>
      </w:r>
    </w:p>
    <w:p w14:paraId="0EF8F9D5">
      <w:pPr>
        <w:pStyle w:val="2"/>
        <w:spacing w:before="69" w:line="221" w:lineRule="auto"/>
        <w:ind w:left="3"/>
        <w:outlineLvl w:val="1"/>
        <w:rPr>
          <w:rFonts w:ascii="黑体" w:hAnsi="黑体" w:eastAsia="黑体" w:cs="黑体"/>
          <w:sz w:val="21"/>
          <w:szCs w:val="21"/>
        </w:rPr>
      </w:pPr>
      <w:bookmarkStart w:id="266" w:name="bookmark186"/>
      <w:bookmarkEnd w:id="266"/>
      <w:r>
        <w:rPr>
          <w:b/>
          <w:bCs/>
          <w:spacing w:val="16"/>
          <w:sz w:val="21"/>
          <w:szCs w:val="21"/>
        </w:rPr>
        <w:t>3、</w:t>
      </w:r>
      <w:r>
        <w:rPr>
          <w:spacing w:val="-46"/>
          <w:sz w:val="21"/>
          <w:szCs w:val="21"/>
        </w:rPr>
        <w:t xml:space="preserve"> </w:t>
      </w:r>
      <w:r>
        <w:rPr>
          <w:rFonts w:ascii="黑体" w:hAnsi="黑体" w:eastAsia="黑体" w:cs="黑体"/>
          <w:b/>
          <w:bCs/>
          <w:spacing w:val="16"/>
          <w:sz w:val="21"/>
          <w:szCs w:val="21"/>
        </w:rPr>
        <w:t>其他说明</w:t>
      </w:r>
    </w:p>
    <w:p w14:paraId="3897E84A">
      <w:pPr>
        <w:pStyle w:val="2"/>
        <w:spacing w:before="131" w:line="220" w:lineRule="auto"/>
        <w:ind w:left="3"/>
        <w:rPr>
          <w:sz w:val="21"/>
          <w:szCs w:val="21"/>
        </w:rPr>
      </w:pPr>
      <w:r>
        <w:rPr>
          <w:b/>
          <w:bCs/>
          <w:spacing w:val="6"/>
          <w:sz w:val="21"/>
          <w:szCs w:val="21"/>
        </w:rPr>
        <w:t>3.1词语和定义</w:t>
      </w:r>
    </w:p>
    <w:p w14:paraId="031D0BC7">
      <w:pPr>
        <w:pStyle w:val="2"/>
        <w:spacing w:before="260" w:line="220" w:lineRule="auto"/>
        <w:ind w:left="3"/>
        <w:rPr>
          <w:sz w:val="21"/>
          <w:szCs w:val="21"/>
        </w:rPr>
      </w:pPr>
      <w:r>
        <w:rPr>
          <w:b/>
          <w:bCs/>
          <w:spacing w:val="3"/>
          <w:sz w:val="21"/>
          <w:szCs w:val="21"/>
        </w:rPr>
        <w:t>3.1.1</w:t>
      </w:r>
      <w:r>
        <w:rPr>
          <w:spacing w:val="3"/>
          <w:sz w:val="21"/>
          <w:szCs w:val="21"/>
        </w:rPr>
        <w:t xml:space="preserve">  </w:t>
      </w:r>
      <w:r>
        <w:rPr>
          <w:b/>
          <w:bCs/>
          <w:spacing w:val="3"/>
          <w:sz w:val="21"/>
          <w:szCs w:val="21"/>
        </w:rPr>
        <w:t>工程量清单</w:t>
      </w:r>
    </w:p>
    <w:p w14:paraId="3EE166BB">
      <w:pPr>
        <w:pStyle w:val="2"/>
        <w:spacing w:before="162" w:line="354" w:lineRule="auto"/>
        <w:ind w:left="739" w:right="96"/>
        <w:rPr>
          <w:sz w:val="21"/>
          <w:szCs w:val="21"/>
        </w:rPr>
      </w:pPr>
      <w:r>
        <w:rPr>
          <w:sz w:val="21"/>
          <w:szCs w:val="21"/>
        </w:rPr>
        <w:t>是表现建设工程分部分项工程项目、措施项目、其他项目的名称和相应数量以及规费和税</w:t>
      </w:r>
      <w:r>
        <w:rPr>
          <w:spacing w:val="7"/>
          <w:sz w:val="21"/>
          <w:szCs w:val="21"/>
        </w:rPr>
        <w:t xml:space="preserve"> </w:t>
      </w:r>
      <w:r>
        <w:rPr>
          <w:spacing w:val="-4"/>
          <w:sz w:val="21"/>
          <w:szCs w:val="21"/>
        </w:rPr>
        <w:t>金项目等内容的明细清单。</w:t>
      </w:r>
    </w:p>
    <w:p w14:paraId="48DB7051">
      <w:pPr>
        <w:pStyle w:val="2"/>
        <w:spacing w:before="13" w:line="220" w:lineRule="auto"/>
        <w:ind w:left="3"/>
        <w:rPr>
          <w:sz w:val="21"/>
          <w:szCs w:val="21"/>
        </w:rPr>
      </w:pPr>
      <w:r>
        <w:rPr>
          <w:b/>
          <w:bCs/>
          <w:spacing w:val="2"/>
          <w:sz w:val="21"/>
          <w:szCs w:val="21"/>
        </w:rPr>
        <w:t>3.1.2</w:t>
      </w:r>
      <w:r>
        <w:rPr>
          <w:spacing w:val="2"/>
          <w:sz w:val="21"/>
          <w:szCs w:val="21"/>
        </w:rPr>
        <w:t xml:space="preserve">  </w:t>
      </w:r>
      <w:r>
        <w:rPr>
          <w:b/>
          <w:bCs/>
          <w:spacing w:val="2"/>
          <w:sz w:val="21"/>
          <w:szCs w:val="21"/>
        </w:rPr>
        <w:t>招标工程量清单</w:t>
      </w:r>
    </w:p>
    <w:p w14:paraId="7AB85666">
      <w:pPr>
        <w:pStyle w:val="2"/>
        <w:spacing w:before="150" w:line="368" w:lineRule="auto"/>
        <w:ind w:left="739" w:right="30"/>
        <w:rPr>
          <w:sz w:val="21"/>
          <w:szCs w:val="21"/>
        </w:rPr>
      </w:pPr>
      <w:r>
        <w:rPr>
          <w:sz w:val="21"/>
          <w:szCs w:val="21"/>
        </w:rPr>
        <w:t>是招标人依据国家标准、招标文件、设计文件以及施工现场</w:t>
      </w:r>
      <w:r>
        <w:rPr>
          <w:spacing w:val="-1"/>
          <w:sz w:val="21"/>
          <w:szCs w:val="21"/>
        </w:rPr>
        <w:t>实际情况编制的，随招标文件</w:t>
      </w:r>
      <w:r>
        <w:rPr>
          <w:sz w:val="21"/>
          <w:szCs w:val="21"/>
        </w:rPr>
        <w:t xml:space="preserve">  </w:t>
      </w:r>
      <w:r>
        <w:rPr>
          <w:spacing w:val="-3"/>
          <w:sz w:val="21"/>
          <w:szCs w:val="21"/>
        </w:rPr>
        <w:t>发布供投标报价的工程量清单，包括其说明和表格，</w:t>
      </w:r>
      <w:r>
        <w:rPr>
          <w:spacing w:val="-4"/>
          <w:sz w:val="21"/>
          <w:szCs w:val="21"/>
        </w:rPr>
        <w:t>同时也是编制招标控制价的依据之一。</w:t>
      </w:r>
    </w:p>
    <w:p w14:paraId="147AA88B">
      <w:pPr>
        <w:pStyle w:val="2"/>
        <w:spacing w:before="1" w:line="217" w:lineRule="auto"/>
        <w:ind w:left="3"/>
        <w:rPr>
          <w:sz w:val="21"/>
          <w:szCs w:val="21"/>
        </w:rPr>
      </w:pPr>
      <w:r>
        <w:rPr>
          <w:b/>
          <w:bCs/>
          <w:spacing w:val="3"/>
          <w:sz w:val="21"/>
          <w:szCs w:val="21"/>
        </w:rPr>
        <w:t>3.1.3</w:t>
      </w:r>
      <w:r>
        <w:rPr>
          <w:spacing w:val="3"/>
          <w:sz w:val="21"/>
          <w:szCs w:val="21"/>
        </w:rPr>
        <w:t xml:space="preserve">  </w:t>
      </w:r>
      <w:r>
        <w:rPr>
          <w:b/>
          <w:bCs/>
          <w:spacing w:val="3"/>
          <w:sz w:val="21"/>
          <w:szCs w:val="21"/>
        </w:rPr>
        <w:t>总价项目</w:t>
      </w:r>
    </w:p>
    <w:p w14:paraId="5045508B">
      <w:pPr>
        <w:pStyle w:val="2"/>
        <w:spacing w:before="155" w:line="353" w:lineRule="auto"/>
        <w:ind w:left="739" w:right="65"/>
        <w:rPr>
          <w:sz w:val="21"/>
          <w:szCs w:val="21"/>
        </w:rPr>
      </w:pPr>
      <w:r>
        <w:rPr>
          <w:sz w:val="21"/>
          <w:szCs w:val="21"/>
        </w:rPr>
        <w:t>工程量清单中以总价计价的项目，即此类项目在相关工程国家</w:t>
      </w:r>
      <w:r>
        <w:rPr>
          <w:spacing w:val="-1"/>
          <w:sz w:val="21"/>
          <w:szCs w:val="21"/>
        </w:rPr>
        <w:t>计量规范中无工程量计算规</w:t>
      </w:r>
      <w:r>
        <w:rPr>
          <w:sz w:val="21"/>
          <w:szCs w:val="21"/>
        </w:rPr>
        <w:t xml:space="preserve"> </w:t>
      </w:r>
      <w:r>
        <w:rPr>
          <w:spacing w:val="6"/>
          <w:sz w:val="21"/>
          <w:szCs w:val="21"/>
        </w:rPr>
        <w:t>则以总价(或计算基础乘费率)计算的项目，通常以“项”为计量单位，除专用合同条款</w:t>
      </w:r>
    </w:p>
    <w:p w14:paraId="7BDD9582">
      <w:pPr>
        <w:spacing w:line="353" w:lineRule="auto"/>
        <w:rPr>
          <w:sz w:val="21"/>
          <w:szCs w:val="21"/>
        </w:rPr>
        <w:sectPr>
          <w:footerReference r:id="rId292" w:type="default"/>
          <w:pgSz w:w="11910" w:h="16840"/>
          <w:pgMar w:top="400" w:right="1424" w:bottom="1024" w:left="1450" w:header="0" w:footer="889" w:gutter="0"/>
          <w:cols w:space="720" w:num="1"/>
        </w:sectPr>
      </w:pPr>
    </w:p>
    <w:p w14:paraId="79651048">
      <w:pPr>
        <w:spacing w:line="266" w:lineRule="auto"/>
        <w:rPr>
          <w:rFonts w:ascii="Arial"/>
          <w:sz w:val="21"/>
        </w:rPr>
      </w:pPr>
    </w:p>
    <w:p w14:paraId="1179F303">
      <w:pPr>
        <w:spacing w:line="266" w:lineRule="auto"/>
        <w:rPr>
          <w:rFonts w:ascii="Arial"/>
          <w:sz w:val="21"/>
        </w:rPr>
      </w:pPr>
    </w:p>
    <w:p w14:paraId="2C40751D">
      <w:pPr>
        <w:spacing w:line="266" w:lineRule="auto"/>
        <w:rPr>
          <w:rFonts w:ascii="Arial"/>
          <w:sz w:val="21"/>
        </w:rPr>
      </w:pPr>
    </w:p>
    <w:p w14:paraId="592BC8F0">
      <w:pPr>
        <w:spacing w:line="266" w:lineRule="auto"/>
        <w:rPr>
          <w:rFonts w:ascii="Arial"/>
          <w:sz w:val="21"/>
        </w:rPr>
      </w:pPr>
    </w:p>
    <w:p w14:paraId="6D449E57">
      <w:pPr>
        <w:spacing w:line="266" w:lineRule="auto"/>
        <w:rPr>
          <w:rFonts w:ascii="Arial"/>
          <w:sz w:val="21"/>
        </w:rPr>
      </w:pPr>
    </w:p>
    <w:p w14:paraId="73A19CDC">
      <w:pPr>
        <w:pStyle w:val="2"/>
        <w:spacing w:before="68" w:line="218" w:lineRule="auto"/>
        <w:ind w:left="729"/>
        <w:rPr>
          <w:sz w:val="21"/>
          <w:szCs w:val="21"/>
        </w:rPr>
      </w:pPr>
      <w:r>
        <w:rPr>
          <w:spacing w:val="-4"/>
          <w:sz w:val="21"/>
          <w:szCs w:val="21"/>
        </w:rPr>
        <w:t>另有约定外，总价固定包干。</w:t>
      </w:r>
    </w:p>
    <w:p w14:paraId="1A142C67">
      <w:pPr>
        <w:pStyle w:val="2"/>
        <w:spacing w:before="178" w:line="218" w:lineRule="auto"/>
        <w:ind w:left="3"/>
        <w:rPr>
          <w:sz w:val="21"/>
          <w:szCs w:val="21"/>
        </w:rPr>
      </w:pPr>
      <w:r>
        <w:rPr>
          <w:b/>
          <w:bCs/>
          <w:spacing w:val="2"/>
          <w:sz w:val="21"/>
          <w:szCs w:val="21"/>
        </w:rPr>
        <w:t>3.1.4</w:t>
      </w:r>
      <w:r>
        <w:rPr>
          <w:spacing w:val="2"/>
          <w:sz w:val="21"/>
          <w:szCs w:val="21"/>
        </w:rPr>
        <w:t xml:space="preserve">  </w:t>
      </w:r>
      <w:r>
        <w:rPr>
          <w:b/>
          <w:bCs/>
          <w:spacing w:val="2"/>
          <w:sz w:val="21"/>
          <w:szCs w:val="21"/>
        </w:rPr>
        <w:t>单价项目</w:t>
      </w:r>
    </w:p>
    <w:p w14:paraId="6B775ECF">
      <w:pPr>
        <w:pStyle w:val="2"/>
        <w:spacing w:before="156" w:line="345" w:lineRule="auto"/>
        <w:ind w:left="729" w:right="24"/>
        <w:jc w:val="both"/>
        <w:rPr>
          <w:sz w:val="21"/>
          <w:szCs w:val="21"/>
        </w:rPr>
      </w:pPr>
      <w:r>
        <w:rPr>
          <w:spacing w:val="5"/>
          <w:sz w:val="21"/>
          <w:szCs w:val="21"/>
        </w:rPr>
        <w:t>工程量清单中以单价计价的项目，即根据合同工程图纸(含设计变更)和相关工程国家计</w:t>
      </w:r>
      <w:r>
        <w:rPr>
          <w:spacing w:val="3"/>
          <w:sz w:val="21"/>
          <w:szCs w:val="21"/>
        </w:rPr>
        <w:t xml:space="preserve"> </w:t>
      </w:r>
      <w:r>
        <w:rPr>
          <w:sz w:val="21"/>
          <w:szCs w:val="21"/>
        </w:rPr>
        <w:t>量规范规定的工程量计算规则进行计量，与已标价工程量清单相应</w:t>
      </w:r>
      <w:r>
        <w:rPr>
          <w:spacing w:val="-1"/>
          <w:sz w:val="21"/>
          <w:szCs w:val="21"/>
        </w:rPr>
        <w:t>综合单价进行价款计算</w:t>
      </w:r>
      <w:r>
        <w:rPr>
          <w:sz w:val="21"/>
          <w:szCs w:val="21"/>
        </w:rPr>
        <w:t xml:space="preserve"> </w:t>
      </w:r>
      <w:r>
        <w:rPr>
          <w:spacing w:val="-5"/>
          <w:sz w:val="21"/>
          <w:szCs w:val="21"/>
        </w:rPr>
        <w:t>的项目。</w:t>
      </w:r>
    </w:p>
    <w:p w14:paraId="2B73C4E1">
      <w:pPr>
        <w:pStyle w:val="2"/>
        <w:spacing w:line="219" w:lineRule="auto"/>
        <w:ind w:left="3"/>
        <w:rPr>
          <w:sz w:val="21"/>
          <w:szCs w:val="21"/>
        </w:rPr>
      </w:pPr>
      <w:r>
        <w:rPr>
          <w:b/>
          <w:bCs/>
          <w:spacing w:val="4"/>
          <w:sz w:val="21"/>
          <w:szCs w:val="21"/>
        </w:rPr>
        <w:t>3.1.5</w:t>
      </w:r>
      <w:r>
        <w:rPr>
          <w:spacing w:val="107"/>
          <w:sz w:val="21"/>
          <w:szCs w:val="21"/>
        </w:rPr>
        <w:t xml:space="preserve"> </w:t>
      </w:r>
      <w:r>
        <w:rPr>
          <w:b/>
          <w:bCs/>
          <w:spacing w:val="4"/>
          <w:sz w:val="21"/>
          <w:szCs w:val="21"/>
        </w:rPr>
        <w:t>项目编码</w:t>
      </w:r>
    </w:p>
    <w:p w14:paraId="7D1B960D">
      <w:pPr>
        <w:pStyle w:val="2"/>
        <w:spacing w:before="172" w:line="219" w:lineRule="auto"/>
        <w:ind w:left="729"/>
        <w:rPr>
          <w:sz w:val="21"/>
          <w:szCs w:val="21"/>
        </w:rPr>
      </w:pPr>
      <w:r>
        <w:rPr>
          <w:sz w:val="21"/>
          <w:szCs w:val="21"/>
        </w:rPr>
        <w:t>分部分项工程和措施项目清单名称的阿拉伯数字标识。项目编码与子目编码同义。</w:t>
      </w:r>
    </w:p>
    <w:p w14:paraId="1348D547">
      <w:pPr>
        <w:pStyle w:val="2"/>
        <w:spacing w:before="170" w:line="219" w:lineRule="auto"/>
        <w:ind w:left="3"/>
        <w:rPr>
          <w:sz w:val="21"/>
          <w:szCs w:val="21"/>
        </w:rPr>
      </w:pPr>
      <w:r>
        <w:rPr>
          <w:b/>
          <w:bCs/>
          <w:spacing w:val="4"/>
          <w:sz w:val="21"/>
          <w:szCs w:val="21"/>
        </w:rPr>
        <w:t>3.1.6</w:t>
      </w:r>
      <w:r>
        <w:rPr>
          <w:spacing w:val="107"/>
          <w:sz w:val="21"/>
          <w:szCs w:val="21"/>
        </w:rPr>
        <w:t xml:space="preserve"> </w:t>
      </w:r>
      <w:r>
        <w:rPr>
          <w:b/>
          <w:bCs/>
          <w:spacing w:val="4"/>
          <w:sz w:val="21"/>
          <w:szCs w:val="21"/>
        </w:rPr>
        <w:t>项目特征</w:t>
      </w:r>
    </w:p>
    <w:p w14:paraId="29C89C56">
      <w:pPr>
        <w:pStyle w:val="2"/>
        <w:spacing w:before="201" w:line="218" w:lineRule="auto"/>
        <w:ind w:left="729"/>
        <w:rPr>
          <w:sz w:val="21"/>
          <w:szCs w:val="21"/>
        </w:rPr>
      </w:pPr>
      <w:r>
        <w:rPr>
          <w:sz w:val="21"/>
          <w:szCs w:val="21"/>
        </w:rPr>
        <w:t>构成分部分项工程项目、措施项目自身价值的本质特征，项目特征与</w:t>
      </w:r>
      <w:r>
        <w:rPr>
          <w:spacing w:val="-1"/>
          <w:sz w:val="21"/>
          <w:szCs w:val="21"/>
        </w:rPr>
        <w:t>子目特征同义。</w:t>
      </w:r>
    </w:p>
    <w:p w14:paraId="223D39F7">
      <w:pPr>
        <w:pStyle w:val="2"/>
        <w:spacing w:before="172" w:line="220" w:lineRule="auto"/>
        <w:ind w:left="3"/>
        <w:rPr>
          <w:sz w:val="21"/>
          <w:szCs w:val="21"/>
        </w:rPr>
      </w:pPr>
      <w:r>
        <w:rPr>
          <w:b/>
          <w:bCs/>
          <w:spacing w:val="1"/>
          <w:sz w:val="21"/>
          <w:szCs w:val="21"/>
        </w:rPr>
        <w:t>3.1.7</w:t>
      </w:r>
      <w:r>
        <w:rPr>
          <w:spacing w:val="1"/>
          <w:sz w:val="21"/>
          <w:szCs w:val="21"/>
        </w:rPr>
        <w:t xml:space="preserve">  </w:t>
      </w:r>
      <w:r>
        <w:rPr>
          <w:b/>
          <w:bCs/>
          <w:spacing w:val="1"/>
          <w:sz w:val="21"/>
          <w:szCs w:val="21"/>
        </w:rPr>
        <w:t>规费</w:t>
      </w:r>
    </w:p>
    <w:p w14:paraId="00CA0F20">
      <w:pPr>
        <w:pStyle w:val="2"/>
        <w:spacing w:before="181" w:line="317" w:lineRule="auto"/>
        <w:ind w:left="729" w:right="46"/>
        <w:rPr>
          <w:sz w:val="21"/>
          <w:szCs w:val="21"/>
        </w:rPr>
      </w:pPr>
      <w:r>
        <w:rPr>
          <w:spacing w:val="-1"/>
          <w:sz w:val="21"/>
          <w:szCs w:val="21"/>
        </w:rPr>
        <w:t>根据国家法律、法规规定，由省级政府或省级有关权力部门规定承包人必须缴纳的，应计</w:t>
      </w:r>
      <w:r>
        <w:rPr>
          <w:spacing w:val="6"/>
          <w:sz w:val="21"/>
          <w:szCs w:val="21"/>
        </w:rPr>
        <w:t xml:space="preserve"> </w:t>
      </w:r>
      <w:r>
        <w:rPr>
          <w:spacing w:val="-3"/>
          <w:sz w:val="21"/>
          <w:szCs w:val="21"/>
        </w:rPr>
        <w:t>入建筑安装工程造价的费用。</w:t>
      </w:r>
    </w:p>
    <w:p w14:paraId="6693A4C2">
      <w:pPr>
        <w:pStyle w:val="2"/>
        <w:spacing w:before="78" w:line="220" w:lineRule="auto"/>
        <w:ind w:left="3"/>
        <w:rPr>
          <w:sz w:val="21"/>
          <w:szCs w:val="21"/>
        </w:rPr>
      </w:pPr>
      <w:r>
        <w:rPr>
          <w:b/>
          <w:bCs/>
          <w:spacing w:val="-5"/>
          <w:sz w:val="21"/>
          <w:szCs w:val="21"/>
        </w:rPr>
        <w:t>3.1.8</w:t>
      </w:r>
      <w:r>
        <w:rPr>
          <w:spacing w:val="-5"/>
          <w:sz w:val="21"/>
          <w:szCs w:val="21"/>
        </w:rPr>
        <w:t xml:space="preserve">  </w:t>
      </w:r>
      <w:r>
        <w:rPr>
          <w:b/>
          <w:bCs/>
          <w:spacing w:val="-5"/>
          <w:sz w:val="21"/>
          <w:szCs w:val="21"/>
        </w:rPr>
        <w:t>税</w:t>
      </w:r>
      <w:r>
        <w:rPr>
          <w:spacing w:val="-39"/>
          <w:sz w:val="21"/>
          <w:szCs w:val="21"/>
        </w:rPr>
        <w:t xml:space="preserve"> </w:t>
      </w:r>
      <w:r>
        <w:rPr>
          <w:b/>
          <w:bCs/>
          <w:spacing w:val="-5"/>
          <w:sz w:val="21"/>
          <w:szCs w:val="21"/>
        </w:rPr>
        <w:t>金</w:t>
      </w:r>
    </w:p>
    <w:p w14:paraId="1995412E">
      <w:pPr>
        <w:pStyle w:val="2"/>
        <w:spacing w:before="190" w:line="218" w:lineRule="auto"/>
        <w:ind w:left="729"/>
        <w:rPr>
          <w:sz w:val="21"/>
          <w:szCs w:val="21"/>
        </w:rPr>
      </w:pPr>
      <w:r>
        <w:rPr>
          <w:spacing w:val="-1"/>
          <w:sz w:val="21"/>
          <w:szCs w:val="21"/>
        </w:rPr>
        <w:t>国家税法规定的应计入建筑安装工程造价内的增值</w:t>
      </w:r>
      <w:r>
        <w:rPr>
          <w:spacing w:val="-2"/>
          <w:sz w:val="21"/>
          <w:szCs w:val="21"/>
        </w:rPr>
        <w:t>税。</w:t>
      </w:r>
    </w:p>
    <w:p w14:paraId="747B7183">
      <w:pPr>
        <w:pStyle w:val="2"/>
        <w:spacing w:before="112" w:line="219" w:lineRule="auto"/>
        <w:ind w:left="729"/>
        <w:rPr>
          <w:sz w:val="21"/>
          <w:szCs w:val="21"/>
        </w:rPr>
      </w:pPr>
      <w:r>
        <w:rPr>
          <w:spacing w:val="-1"/>
          <w:sz w:val="21"/>
          <w:szCs w:val="21"/>
        </w:rPr>
        <w:t>采用一般计税方法的，税金指增值税的销项税额，附加税列入企业管理费。</w:t>
      </w:r>
    </w:p>
    <w:p w14:paraId="5C188EDF">
      <w:pPr>
        <w:pStyle w:val="2"/>
        <w:spacing w:before="131" w:line="219" w:lineRule="auto"/>
        <w:ind w:left="729"/>
        <w:rPr>
          <w:sz w:val="21"/>
          <w:szCs w:val="21"/>
        </w:rPr>
      </w:pPr>
      <w:r>
        <w:rPr>
          <w:spacing w:val="-1"/>
          <w:sz w:val="21"/>
          <w:szCs w:val="21"/>
        </w:rPr>
        <w:t>采用简易计税方法的，税金指增值税的征收率，附加税列入</w:t>
      </w:r>
      <w:r>
        <w:rPr>
          <w:spacing w:val="-2"/>
          <w:sz w:val="21"/>
          <w:szCs w:val="21"/>
        </w:rPr>
        <w:t>企业管理费。</w:t>
      </w:r>
    </w:p>
    <w:p w14:paraId="2CA2AF57">
      <w:pPr>
        <w:pStyle w:val="2"/>
        <w:spacing w:before="200" w:line="219" w:lineRule="auto"/>
        <w:ind w:left="3"/>
        <w:rPr>
          <w:sz w:val="21"/>
          <w:szCs w:val="21"/>
        </w:rPr>
      </w:pPr>
      <w:r>
        <w:rPr>
          <w:b/>
          <w:bCs/>
          <w:spacing w:val="2"/>
          <w:sz w:val="21"/>
          <w:szCs w:val="21"/>
        </w:rPr>
        <w:t>3.1.9</w:t>
      </w:r>
      <w:r>
        <w:rPr>
          <w:spacing w:val="2"/>
          <w:sz w:val="21"/>
          <w:szCs w:val="21"/>
        </w:rPr>
        <w:t xml:space="preserve">  </w:t>
      </w:r>
      <w:r>
        <w:rPr>
          <w:b/>
          <w:bCs/>
          <w:spacing w:val="2"/>
          <w:sz w:val="21"/>
          <w:szCs w:val="21"/>
        </w:rPr>
        <w:t>总承包服务费</w:t>
      </w:r>
    </w:p>
    <w:p w14:paraId="109E12B3">
      <w:pPr>
        <w:pStyle w:val="2"/>
        <w:spacing w:before="192" w:line="337" w:lineRule="auto"/>
        <w:ind w:left="819" w:right="6" w:hanging="10"/>
        <w:rPr>
          <w:sz w:val="21"/>
          <w:szCs w:val="21"/>
        </w:rPr>
      </w:pPr>
      <w:r>
        <w:rPr>
          <w:spacing w:val="-2"/>
          <w:sz w:val="21"/>
          <w:szCs w:val="21"/>
        </w:rPr>
        <w:t>总承包人为配合协调发包人进行的专业工程发包，对发包人自行采购的材料、工程设备等</w:t>
      </w:r>
      <w:r>
        <w:rPr>
          <w:spacing w:val="6"/>
          <w:sz w:val="21"/>
          <w:szCs w:val="21"/>
        </w:rPr>
        <w:t xml:space="preserve"> </w:t>
      </w:r>
      <w:r>
        <w:rPr>
          <w:spacing w:val="-1"/>
          <w:sz w:val="21"/>
          <w:szCs w:val="21"/>
        </w:rPr>
        <w:t>进行保管以及施工现场管理、竣工资料汇总整理等服</w:t>
      </w:r>
      <w:r>
        <w:rPr>
          <w:spacing w:val="-2"/>
          <w:sz w:val="21"/>
          <w:szCs w:val="21"/>
        </w:rPr>
        <w:t>务所需的费用。</w:t>
      </w:r>
    </w:p>
    <w:p w14:paraId="6EC6B74C">
      <w:pPr>
        <w:pStyle w:val="2"/>
        <w:spacing w:before="32" w:line="220" w:lineRule="auto"/>
        <w:ind w:left="3"/>
        <w:rPr>
          <w:sz w:val="21"/>
          <w:szCs w:val="21"/>
        </w:rPr>
      </w:pPr>
      <w:r>
        <w:rPr>
          <w:b/>
          <w:bCs/>
          <w:spacing w:val="-1"/>
          <w:sz w:val="21"/>
          <w:szCs w:val="21"/>
        </w:rPr>
        <w:t>3.1.10</w:t>
      </w:r>
      <w:r>
        <w:rPr>
          <w:spacing w:val="24"/>
          <w:sz w:val="21"/>
          <w:szCs w:val="21"/>
        </w:rPr>
        <w:t xml:space="preserve"> </w:t>
      </w:r>
      <w:r>
        <w:rPr>
          <w:b/>
          <w:bCs/>
          <w:spacing w:val="-1"/>
          <w:sz w:val="21"/>
          <w:szCs w:val="21"/>
        </w:rPr>
        <w:t>同义词语</w:t>
      </w:r>
    </w:p>
    <w:p w14:paraId="32E72D2C">
      <w:pPr>
        <w:pStyle w:val="2"/>
        <w:spacing w:before="212" w:line="329" w:lineRule="auto"/>
        <w:ind w:left="729" w:right="6" w:firstLine="139"/>
        <w:rPr>
          <w:sz w:val="21"/>
          <w:szCs w:val="21"/>
        </w:rPr>
      </w:pPr>
      <w:r>
        <w:rPr>
          <w:spacing w:val="2"/>
          <w:sz w:val="21"/>
          <w:szCs w:val="21"/>
        </w:rPr>
        <w:t xml:space="preserve">本章中使用的词语“招标人”和“投标人”分别与合同条款中定义的“发包人”和“承 </w:t>
      </w:r>
      <w:r>
        <w:rPr>
          <w:spacing w:val="-5"/>
          <w:sz w:val="21"/>
          <w:szCs w:val="21"/>
        </w:rPr>
        <w:t>包人”同义；就工程量清单而言，“项目”与“子目”同义。</w:t>
      </w:r>
    </w:p>
    <w:p w14:paraId="5D05C06C">
      <w:pPr>
        <w:pStyle w:val="2"/>
        <w:spacing w:before="59" w:line="219" w:lineRule="auto"/>
        <w:ind w:left="3"/>
        <w:rPr>
          <w:sz w:val="21"/>
          <w:szCs w:val="21"/>
        </w:rPr>
      </w:pPr>
      <w:r>
        <w:rPr>
          <w:b/>
          <w:bCs/>
          <w:spacing w:val="3"/>
          <w:sz w:val="21"/>
          <w:szCs w:val="21"/>
        </w:rPr>
        <w:t>3.2工程量差异调整</w:t>
      </w:r>
    </w:p>
    <w:p w14:paraId="790852B0">
      <w:pPr>
        <w:pStyle w:val="2"/>
        <w:spacing w:before="183" w:line="290" w:lineRule="auto"/>
        <w:ind w:left="729" w:right="4" w:hanging="729"/>
        <w:rPr>
          <w:sz w:val="21"/>
          <w:szCs w:val="21"/>
        </w:rPr>
      </w:pPr>
      <w:r>
        <w:rPr>
          <w:sz w:val="21"/>
          <w:szCs w:val="21"/>
        </w:rPr>
        <w:t>3.2.1  招标工程量清单中的工作内容分类、项目列项、特征</w:t>
      </w:r>
      <w:r>
        <w:rPr>
          <w:spacing w:val="-1"/>
          <w:sz w:val="21"/>
          <w:szCs w:val="21"/>
        </w:rPr>
        <w:t>描述以及“分部分项工程和单价措施</w:t>
      </w:r>
      <w:r>
        <w:rPr>
          <w:sz w:val="21"/>
          <w:szCs w:val="21"/>
        </w:rPr>
        <w:t xml:space="preserve"> 项目清单与计价表”中附带的工程量都不应理解为是对承包(招标)范围以及合同工作内容</w:t>
      </w:r>
      <w:r>
        <w:rPr>
          <w:spacing w:val="10"/>
          <w:sz w:val="21"/>
          <w:szCs w:val="21"/>
        </w:rPr>
        <w:t xml:space="preserve"> </w:t>
      </w:r>
      <w:r>
        <w:rPr>
          <w:spacing w:val="-1"/>
          <w:sz w:val="21"/>
          <w:szCs w:val="21"/>
        </w:rPr>
        <w:t>的唯一的、最终的或全部的定义。</w:t>
      </w:r>
    </w:p>
    <w:p w14:paraId="4B3BF969">
      <w:pPr>
        <w:pStyle w:val="2"/>
        <w:spacing w:before="148" w:line="308" w:lineRule="auto"/>
        <w:ind w:left="729" w:hanging="729"/>
        <w:rPr>
          <w:sz w:val="21"/>
          <w:szCs w:val="21"/>
        </w:rPr>
      </w:pPr>
      <w:r>
        <w:rPr>
          <w:sz w:val="21"/>
          <w:szCs w:val="21"/>
        </w:rPr>
        <w:t>3.2.2  投标人可以对招标工程量清单进行复核。这种复核包括对招标工</w:t>
      </w:r>
      <w:r>
        <w:rPr>
          <w:spacing w:val="-1"/>
          <w:sz w:val="21"/>
          <w:szCs w:val="21"/>
        </w:rPr>
        <w:t>程量清单中的项目编码、</w:t>
      </w:r>
      <w:r>
        <w:rPr>
          <w:sz w:val="21"/>
          <w:szCs w:val="21"/>
        </w:rPr>
        <w:t xml:space="preserve"> 项目名称、项目特征描述、计量单位、工程量的准确性以及</w:t>
      </w:r>
      <w:r>
        <w:rPr>
          <w:spacing w:val="-1"/>
          <w:sz w:val="21"/>
          <w:szCs w:val="21"/>
        </w:rPr>
        <w:t>可能存在的任何书写、打印错</w:t>
      </w:r>
      <w:r>
        <w:rPr>
          <w:sz w:val="21"/>
          <w:szCs w:val="21"/>
        </w:rPr>
        <w:t xml:space="preserve"> 误进行检查和复核。如果投标人经过检查和复核以后认为招标工程量清单存在差异，这种</w:t>
      </w:r>
      <w:r>
        <w:rPr>
          <w:spacing w:val="14"/>
          <w:sz w:val="21"/>
          <w:szCs w:val="21"/>
        </w:rPr>
        <w:t xml:space="preserve"> </w:t>
      </w:r>
      <w:r>
        <w:rPr>
          <w:sz w:val="21"/>
          <w:szCs w:val="21"/>
        </w:rPr>
        <w:t>差异的存在可能对造价产生重大影响的，则投标人应将此类差</w:t>
      </w:r>
      <w:r>
        <w:rPr>
          <w:spacing w:val="-1"/>
          <w:sz w:val="21"/>
          <w:szCs w:val="21"/>
        </w:rPr>
        <w:t>异的详细情况连同按投标人</w:t>
      </w:r>
      <w:r>
        <w:rPr>
          <w:sz w:val="21"/>
          <w:szCs w:val="21"/>
        </w:rPr>
        <w:t xml:space="preserve"> 须知规定提交的要求招标人澄清的其他问题一起提交给招标</w:t>
      </w:r>
      <w:r>
        <w:rPr>
          <w:spacing w:val="-1"/>
          <w:sz w:val="21"/>
          <w:szCs w:val="21"/>
        </w:rPr>
        <w:t>人，招标人在核实差异后将根</w:t>
      </w:r>
      <w:r>
        <w:rPr>
          <w:sz w:val="21"/>
          <w:szCs w:val="21"/>
        </w:rPr>
        <w:t xml:space="preserve"> </w:t>
      </w:r>
      <w:r>
        <w:rPr>
          <w:spacing w:val="-1"/>
          <w:sz w:val="21"/>
          <w:szCs w:val="21"/>
        </w:rPr>
        <w:t>据实际情况决定是否颁发招标工程量清单的澄清和(或)修改文件。</w:t>
      </w:r>
    </w:p>
    <w:p w14:paraId="0D9F37D9">
      <w:pPr>
        <w:pStyle w:val="2"/>
        <w:spacing w:before="181" w:line="219" w:lineRule="auto"/>
        <w:rPr>
          <w:sz w:val="21"/>
          <w:szCs w:val="21"/>
        </w:rPr>
      </w:pPr>
      <w:r>
        <w:rPr>
          <w:spacing w:val="2"/>
          <w:sz w:val="21"/>
          <w:szCs w:val="21"/>
        </w:rPr>
        <w:t>3.2.3  如果招标人在检查投标人根据上文第3.2.2项提交的差异问题后认为没有必要对招标工程</w:t>
      </w:r>
    </w:p>
    <w:p w14:paraId="1CE052A4">
      <w:pPr>
        <w:spacing w:line="219" w:lineRule="auto"/>
        <w:rPr>
          <w:sz w:val="21"/>
          <w:szCs w:val="21"/>
        </w:rPr>
        <w:sectPr>
          <w:footerReference r:id="rId293" w:type="default"/>
          <w:pgSz w:w="11910" w:h="16840"/>
          <w:pgMar w:top="400" w:right="1534" w:bottom="1024" w:left="1440" w:header="0" w:footer="889" w:gutter="0"/>
          <w:cols w:space="720" w:num="1"/>
        </w:sectPr>
      </w:pPr>
    </w:p>
    <w:p w14:paraId="0466BF87">
      <w:pPr>
        <w:spacing w:line="266" w:lineRule="auto"/>
        <w:rPr>
          <w:rFonts w:ascii="Arial"/>
          <w:sz w:val="21"/>
        </w:rPr>
      </w:pPr>
    </w:p>
    <w:p w14:paraId="491E9A79">
      <w:pPr>
        <w:spacing w:line="267" w:lineRule="auto"/>
        <w:rPr>
          <w:rFonts w:ascii="Arial"/>
          <w:sz w:val="21"/>
        </w:rPr>
      </w:pPr>
    </w:p>
    <w:p w14:paraId="599F75E4">
      <w:pPr>
        <w:spacing w:line="267" w:lineRule="auto"/>
        <w:rPr>
          <w:rFonts w:ascii="Arial"/>
          <w:sz w:val="21"/>
        </w:rPr>
      </w:pPr>
    </w:p>
    <w:p w14:paraId="3944EE7E">
      <w:pPr>
        <w:spacing w:line="267" w:lineRule="auto"/>
        <w:rPr>
          <w:rFonts w:ascii="Arial"/>
          <w:sz w:val="21"/>
        </w:rPr>
      </w:pPr>
    </w:p>
    <w:p w14:paraId="0A664D00">
      <w:pPr>
        <w:spacing w:line="267" w:lineRule="auto"/>
        <w:rPr>
          <w:rFonts w:ascii="Arial"/>
          <w:sz w:val="21"/>
        </w:rPr>
      </w:pPr>
    </w:p>
    <w:p w14:paraId="46E46338">
      <w:pPr>
        <w:pStyle w:val="2"/>
        <w:spacing w:before="65" w:line="351" w:lineRule="auto"/>
        <w:ind w:left="736" w:right="1"/>
        <w:jc w:val="both"/>
        <w:rPr>
          <w:sz w:val="20"/>
          <w:szCs w:val="20"/>
        </w:rPr>
      </w:pPr>
      <w:bookmarkStart w:id="267" w:name="bookmark316"/>
      <w:bookmarkEnd w:id="267"/>
      <w:r>
        <w:rPr>
          <w:spacing w:val="12"/>
          <w:sz w:val="20"/>
          <w:szCs w:val="20"/>
        </w:rPr>
        <w:t>量清单进行澄清和(或)修改，或者招标人根据上文第3.2.2项对招标工程</w:t>
      </w:r>
      <w:r>
        <w:rPr>
          <w:spacing w:val="11"/>
          <w:sz w:val="20"/>
          <w:szCs w:val="20"/>
        </w:rPr>
        <w:t>量清单进行了澄</w:t>
      </w:r>
      <w:r>
        <w:rPr>
          <w:sz w:val="20"/>
          <w:szCs w:val="20"/>
        </w:rPr>
        <w:t xml:space="preserve"> </w:t>
      </w:r>
      <w:r>
        <w:rPr>
          <w:spacing w:val="10"/>
          <w:sz w:val="20"/>
          <w:szCs w:val="20"/>
        </w:rPr>
        <w:t>清和(或)修改，但投标人认为招标工程量清单依然存在差异，则此类差异不再提交</w:t>
      </w:r>
      <w:r>
        <w:rPr>
          <w:spacing w:val="9"/>
          <w:sz w:val="20"/>
          <w:szCs w:val="20"/>
        </w:rPr>
        <w:t>招标人</w:t>
      </w:r>
      <w:r>
        <w:rPr>
          <w:sz w:val="20"/>
          <w:szCs w:val="20"/>
        </w:rPr>
        <w:t xml:space="preserve"> </w:t>
      </w:r>
      <w:r>
        <w:rPr>
          <w:spacing w:val="9"/>
          <w:sz w:val="20"/>
          <w:szCs w:val="20"/>
        </w:rPr>
        <w:t>要求澄清和(或)修改，而是直接按招标工程量清单(包括招标人可</w:t>
      </w:r>
      <w:r>
        <w:rPr>
          <w:spacing w:val="8"/>
          <w:sz w:val="20"/>
          <w:szCs w:val="20"/>
        </w:rPr>
        <w:t>能的澄清和(或)修改)进</w:t>
      </w:r>
      <w:r>
        <w:rPr>
          <w:sz w:val="20"/>
          <w:szCs w:val="20"/>
        </w:rPr>
        <w:t xml:space="preserve"> </w:t>
      </w:r>
      <w:r>
        <w:rPr>
          <w:spacing w:val="2"/>
          <w:sz w:val="20"/>
          <w:szCs w:val="20"/>
        </w:rPr>
        <w:t>行报价。</w:t>
      </w:r>
    </w:p>
    <w:p w14:paraId="4074AC03">
      <w:pPr>
        <w:pStyle w:val="2"/>
        <w:spacing w:before="9" w:line="351" w:lineRule="auto"/>
        <w:ind w:left="735" w:right="13" w:hanging="729"/>
        <w:rPr>
          <w:sz w:val="20"/>
          <w:szCs w:val="20"/>
        </w:rPr>
      </w:pPr>
      <w:r>
        <w:rPr>
          <w:spacing w:val="9"/>
          <w:sz w:val="20"/>
          <w:szCs w:val="20"/>
        </w:rPr>
        <w:t>3.2.4  投标人在按照招标工程量清单进行报价时，不得改变招标工程量清单的项目编码、项目名</w:t>
      </w:r>
      <w:r>
        <w:rPr>
          <w:sz w:val="20"/>
          <w:szCs w:val="20"/>
        </w:rPr>
        <w:t xml:space="preserve"> </w:t>
      </w:r>
      <w:r>
        <w:rPr>
          <w:spacing w:val="9"/>
          <w:sz w:val="20"/>
          <w:szCs w:val="20"/>
        </w:rPr>
        <w:t>称、项目特征描述、计量单位以及工程量，也不得改变其他项目清单及其载明的暂列金额</w:t>
      </w:r>
      <w:r>
        <w:rPr>
          <w:spacing w:val="15"/>
          <w:sz w:val="20"/>
          <w:szCs w:val="20"/>
        </w:rPr>
        <w:t xml:space="preserve"> </w:t>
      </w:r>
      <w:r>
        <w:rPr>
          <w:spacing w:val="10"/>
          <w:sz w:val="20"/>
          <w:szCs w:val="20"/>
        </w:rPr>
        <w:t>和暂估价等内容。即使按照图纸和招标范围的约定并</w:t>
      </w:r>
      <w:r>
        <w:rPr>
          <w:spacing w:val="9"/>
          <w:sz w:val="20"/>
          <w:szCs w:val="20"/>
        </w:rPr>
        <w:t>不存在的项目，只要在招标人提供的</w:t>
      </w:r>
      <w:r>
        <w:rPr>
          <w:sz w:val="20"/>
          <w:szCs w:val="20"/>
        </w:rPr>
        <w:t xml:space="preserve"> </w:t>
      </w:r>
      <w:r>
        <w:rPr>
          <w:spacing w:val="9"/>
          <w:sz w:val="20"/>
          <w:szCs w:val="20"/>
        </w:rPr>
        <w:t>招标工程量清单中已经列明，投标人都需要对其报价，并纳入投标总价的计算。</w:t>
      </w:r>
    </w:p>
    <w:p w14:paraId="2BC6E83B">
      <w:pPr>
        <w:spacing w:before="4" w:line="222" w:lineRule="auto"/>
        <w:ind w:left="9"/>
        <w:rPr>
          <w:rFonts w:ascii="黑体" w:hAnsi="黑体" w:eastAsia="黑体" w:cs="黑体"/>
          <w:sz w:val="20"/>
          <w:szCs w:val="20"/>
        </w:rPr>
      </w:pPr>
      <w:r>
        <w:rPr>
          <w:rFonts w:ascii="黑体" w:hAnsi="黑体" w:eastAsia="黑体" w:cs="黑体"/>
          <w:b/>
          <w:bCs/>
          <w:spacing w:val="10"/>
          <w:sz w:val="20"/>
          <w:szCs w:val="20"/>
        </w:rPr>
        <w:t>3.3暂列金额和暂估价</w:t>
      </w:r>
    </w:p>
    <w:p w14:paraId="35E38D95">
      <w:pPr>
        <w:pStyle w:val="2"/>
        <w:spacing w:before="143" w:line="343" w:lineRule="auto"/>
        <w:ind w:left="735" w:right="24" w:hanging="729"/>
        <w:rPr>
          <w:sz w:val="20"/>
          <w:szCs w:val="20"/>
        </w:rPr>
      </w:pPr>
      <w:r>
        <w:rPr>
          <w:spacing w:val="9"/>
          <w:sz w:val="20"/>
          <w:szCs w:val="20"/>
        </w:rPr>
        <w:t>3.3.1  采用一般计税方法的，“暂列金额明细表”中所列暂列金额为不含</w:t>
      </w:r>
      <w:r>
        <w:rPr>
          <w:spacing w:val="8"/>
          <w:sz w:val="20"/>
          <w:szCs w:val="20"/>
        </w:rPr>
        <w:t>进项税额和销项税额的</w:t>
      </w:r>
      <w:r>
        <w:rPr>
          <w:sz w:val="20"/>
          <w:szCs w:val="20"/>
        </w:rPr>
        <w:t xml:space="preserve"> </w:t>
      </w:r>
      <w:r>
        <w:rPr>
          <w:spacing w:val="9"/>
          <w:sz w:val="20"/>
          <w:szCs w:val="20"/>
        </w:rPr>
        <w:t>金额。投标人应按本招标文件规定将此类暂列金额直接纳入其他项目清单的投标价格，并</w:t>
      </w:r>
      <w:r>
        <w:rPr>
          <w:spacing w:val="16"/>
          <w:sz w:val="20"/>
          <w:szCs w:val="20"/>
        </w:rPr>
        <w:t xml:space="preserve"> </w:t>
      </w:r>
      <w:r>
        <w:rPr>
          <w:spacing w:val="8"/>
          <w:sz w:val="20"/>
          <w:szCs w:val="20"/>
        </w:rPr>
        <w:t>计取相应的销项税额。</w:t>
      </w:r>
    </w:p>
    <w:p w14:paraId="5DD31D3D">
      <w:pPr>
        <w:pStyle w:val="2"/>
        <w:spacing w:before="26" w:line="350" w:lineRule="auto"/>
        <w:ind w:left="736" w:right="24"/>
        <w:jc w:val="both"/>
        <w:rPr>
          <w:sz w:val="20"/>
          <w:szCs w:val="20"/>
        </w:rPr>
      </w:pPr>
      <w:r>
        <w:rPr>
          <w:spacing w:val="10"/>
          <w:sz w:val="20"/>
          <w:szCs w:val="20"/>
        </w:rPr>
        <w:t>采用简易计税方法，“暂列金额明细表”中所列暂列</w:t>
      </w:r>
      <w:r>
        <w:rPr>
          <w:spacing w:val="9"/>
          <w:sz w:val="20"/>
          <w:szCs w:val="20"/>
        </w:rPr>
        <w:t>金额为含进项税额但不含销项税额的</w:t>
      </w:r>
      <w:r>
        <w:rPr>
          <w:sz w:val="20"/>
          <w:szCs w:val="20"/>
        </w:rPr>
        <w:t xml:space="preserve"> </w:t>
      </w:r>
      <w:r>
        <w:rPr>
          <w:spacing w:val="9"/>
          <w:sz w:val="20"/>
          <w:szCs w:val="20"/>
        </w:rPr>
        <w:t>金额。投标人应按本招标文件规定将此类暂列金额直接纳入其他项目清单的投标价格，并</w:t>
      </w:r>
      <w:r>
        <w:rPr>
          <w:spacing w:val="16"/>
          <w:sz w:val="20"/>
          <w:szCs w:val="20"/>
        </w:rPr>
        <w:t xml:space="preserve"> </w:t>
      </w:r>
      <w:r>
        <w:rPr>
          <w:spacing w:val="6"/>
          <w:sz w:val="20"/>
          <w:szCs w:val="20"/>
        </w:rPr>
        <w:t>计取相应的增值税征收率。</w:t>
      </w:r>
    </w:p>
    <w:p w14:paraId="6F9B1948">
      <w:pPr>
        <w:pStyle w:val="2"/>
        <w:spacing w:before="1" w:line="324" w:lineRule="auto"/>
        <w:ind w:left="735" w:hanging="729"/>
        <w:rPr>
          <w:sz w:val="20"/>
          <w:szCs w:val="20"/>
        </w:rPr>
      </w:pPr>
      <w:r>
        <w:rPr>
          <w:spacing w:val="11"/>
          <w:sz w:val="20"/>
          <w:szCs w:val="20"/>
        </w:rPr>
        <w:t xml:space="preserve">3.3.2   “材料(工程设备)暂估单价表”中所列的材料和工程设备暂估价是此类材料、工程设备 </w:t>
      </w:r>
      <w:r>
        <w:rPr>
          <w:spacing w:val="9"/>
          <w:sz w:val="20"/>
          <w:szCs w:val="20"/>
        </w:rPr>
        <w:t>本身运至施工现场内的工地地面价，除应按本招标文件规定将此类暂估价本身纳入分部分</w:t>
      </w:r>
      <w:r>
        <w:rPr>
          <w:spacing w:val="16"/>
          <w:sz w:val="20"/>
          <w:szCs w:val="20"/>
        </w:rPr>
        <w:t xml:space="preserve"> </w:t>
      </w:r>
      <w:r>
        <w:rPr>
          <w:spacing w:val="9"/>
          <w:sz w:val="20"/>
          <w:szCs w:val="20"/>
        </w:rPr>
        <w:t>项工程和单价措施项目清单相应项目的综合单价以外，投标人还应将上述材料和工程设备</w:t>
      </w:r>
      <w:r>
        <w:rPr>
          <w:spacing w:val="17"/>
          <w:sz w:val="20"/>
          <w:szCs w:val="20"/>
        </w:rPr>
        <w:t xml:space="preserve"> </w:t>
      </w:r>
      <w:r>
        <w:rPr>
          <w:spacing w:val="14"/>
          <w:sz w:val="20"/>
          <w:szCs w:val="20"/>
        </w:rPr>
        <w:t>的安装及辅助工作所发生的费用以及与此类费用有关的企业管理费和利润包含在分部分</w:t>
      </w:r>
      <w:r>
        <w:rPr>
          <w:spacing w:val="15"/>
          <w:sz w:val="20"/>
          <w:szCs w:val="20"/>
        </w:rPr>
        <w:t xml:space="preserve"> </w:t>
      </w:r>
      <w:r>
        <w:rPr>
          <w:spacing w:val="9"/>
          <w:sz w:val="20"/>
          <w:szCs w:val="20"/>
        </w:rPr>
        <w:t>项工程和单价措施项目清单相应项目的综合单价中。</w:t>
      </w:r>
    </w:p>
    <w:p w14:paraId="51BB32B3">
      <w:pPr>
        <w:pStyle w:val="2"/>
        <w:spacing w:before="133" w:line="313" w:lineRule="auto"/>
        <w:ind w:left="735" w:right="25" w:hanging="729"/>
        <w:rPr>
          <w:sz w:val="20"/>
          <w:szCs w:val="20"/>
        </w:rPr>
      </w:pPr>
      <w:r>
        <w:rPr>
          <w:spacing w:val="9"/>
          <w:sz w:val="20"/>
          <w:szCs w:val="20"/>
        </w:rPr>
        <w:t>3.3.3  采用一般计税方法的，“专业工程暂估价表”中所列专业工程暂</w:t>
      </w:r>
      <w:r>
        <w:rPr>
          <w:spacing w:val="8"/>
          <w:sz w:val="20"/>
          <w:szCs w:val="20"/>
        </w:rPr>
        <w:t>估价为不含进项税额和销</w:t>
      </w:r>
      <w:r>
        <w:rPr>
          <w:sz w:val="20"/>
          <w:szCs w:val="20"/>
        </w:rPr>
        <w:t xml:space="preserve"> </w:t>
      </w:r>
      <w:r>
        <w:rPr>
          <w:spacing w:val="9"/>
          <w:sz w:val="20"/>
          <w:szCs w:val="20"/>
        </w:rPr>
        <w:t>项税额的金额。投标人应按本招标文件规定将此类专业工程暂估金额直接纳入其他项目清</w:t>
      </w:r>
      <w:r>
        <w:rPr>
          <w:spacing w:val="18"/>
          <w:sz w:val="20"/>
          <w:szCs w:val="20"/>
        </w:rPr>
        <w:t xml:space="preserve"> </w:t>
      </w:r>
      <w:r>
        <w:rPr>
          <w:spacing w:val="7"/>
          <w:sz w:val="20"/>
          <w:szCs w:val="20"/>
        </w:rPr>
        <w:t>单的投标价格，并计取相应的销项税额。</w:t>
      </w:r>
    </w:p>
    <w:p w14:paraId="6E3C2371">
      <w:pPr>
        <w:pStyle w:val="2"/>
        <w:spacing w:before="143" w:line="347" w:lineRule="auto"/>
        <w:ind w:left="736" w:right="21"/>
        <w:jc w:val="both"/>
        <w:rPr>
          <w:sz w:val="20"/>
          <w:szCs w:val="20"/>
        </w:rPr>
      </w:pPr>
      <w:r>
        <w:rPr>
          <w:spacing w:val="9"/>
          <w:sz w:val="20"/>
          <w:szCs w:val="20"/>
        </w:rPr>
        <w:t>采用简易计税方法的，“专业工程暂估价表”中所列专业工程暂估价为含进项税额但不含</w:t>
      </w:r>
      <w:r>
        <w:rPr>
          <w:spacing w:val="17"/>
          <w:sz w:val="20"/>
          <w:szCs w:val="20"/>
        </w:rPr>
        <w:t xml:space="preserve"> </w:t>
      </w:r>
      <w:r>
        <w:rPr>
          <w:spacing w:val="10"/>
          <w:sz w:val="20"/>
          <w:szCs w:val="20"/>
        </w:rPr>
        <w:t>销项税额的金额。投标人应按本招标文件规定将此类专业工</w:t>
      </w:r>
      <w:r>
        <w:rPr>
          <w:spacing w:val="9"/>
          <w:sz w:val="20"/>
          <w:szCs w:val="20"/>
        </w:rPr>
        <w:t>程暂估金额直接纳入其他项目</w:t>
      </w:r>
      <w:r>
        <w:rPr>
          <w:sz w:val="20"/>
          <w:szCs w:val="20"/>
        </w:rPr>
        <w:t xml:space="preserve"> </w:t>
      </w:r>
      <w:r>
        <w:rPr>
          <w:spacing w:val="9"/>
          <w:sz w:val="20"/>
          <w:szCs w:val="20"/>
        </w:rPr>
        <w:t>清单的投标价格，并计取相应的增值税征收率。</w:t>
      </w:r>
    </w:p>
    <w:p w14:paraId="6EB44985">
      <w:pPr>
        <w:spacing w:before="1" w:line="220" w:lineRule="auto"/>
        <w:ind w:left="9"/>
        <w:rPr>
          <w:rFonts w:ascii="黑体" w:hAnsi="黑体" w:eastAsia="黑体" w:cs="黑体"/>
          <w:sz w:val="20"/>
          <w:szCs w:val="20"/>
        </w:rPr>
      </w:pPr>
      <w:r>
        <w:rPr>
          <w:rFonts w:ascii="黑体" w:hAnsi="黑体" w:eastAsia="黑体" w:cs="黑体"/>
          <w:b/>
          <w:bCs/>
          <w:spacing w:val="12"/>
          <w:sz w:val="20"/>
          <w:szCs w:val="20"/>
        </w:rPr>
        <w:t>3.4其他补充说明</w:t>
      </w:r>
    </w:p>
    <w:p w14:paraId="31D3013E">
      <w:pPr>
        <w:spacing w:line="324" w:lineRule="auto"/>
        <w:rPr>
          <w:rFonts w:ascii="Arial"/>
          <w:sz w:val="21"/>
        </w:rPr>
      </w:pPr>
    </w:p>
    <w:p w14:paraId="537B6086">
      <w:pPr>
        <w:spacing w:before="1" w:line="410" w:lineRule="exact"/>
        <w:ind w:firstLine="406"/>
      </w:pPr>
      <w:r>
        <w:rPr>
          <w:position w:val="-8"/>
        </w:rPr>
        <w:drawing>
          <wp:inline distT="0" distB="0" distL="0" distR="0">
            <wp:extent cx="5181600" cy="260350"/>
            <wp:effectExtent l="0" t="0" r="0" b="0"/>
            <wp:docPr id="204" name="IM 204"/>
            <wp:cNvGraphicFramePr/>
            <a:graphic xmlns:a="http://schemas.openxmlformats.org/drawingml/2006/main">
              <a:graphicData uri="http://schemas.openxmlformats.org/drawingml/2006/picture">
                <pic:pic xmlns:pic="http://schemas.openxmlformats.org/drawingml/2006/picture">
                  <pic:nvPicPr>
                    <pic:cNvPr id="204" name="IM 204"/>
                    <pic:cNvPicPr/>
                  </pic:nvPicPr>
                  <pic:blipFill>
                    <a:blip r:embed="rId490"/>
                    <a:stretch>
                      <a:fillRect/>
                    </a:stretch>
                  </pic:blipFill>
                  <pic:spPr>
                    <a:xfrm>
                      <a:off x="0" y="0"/>
                      <a:ext cx="5181611" cy="260385"/>
                    </a:xfrm>
                    <a:prstGeom prst="rect">
                      <a:avLst/>
                    </a:prstGeom>
                  </pic:spPr>
                </pic:pic>
              </a:graphicData>
            </a:graphic>
          </wp:inline>
        </w:drawing>
      </w:r>
    </w:p>
    <w:p w14:paraId="0C9D80E4">
      <w:pPr>
        <w:pStyle w:val="2"/>
        <w:spacing w:before="245" w:line="222" w:lineRule="auto"/>
        <w:outlineLvl w:val="1"/>
        <w:rPr>
          <w:rFonts w:ascii="黑体" w:hAnsi="黑体" w:eastAsia="黑体" w:cs="黑体"/>
          <w:sz w:val="24"/>
          <w:szCs w:val="24"/>
        </w:rPr>
      </w:pPr>
      <w:bookmarkStart w:id="268" w:name="bookmark187"/>
      <w:bookmarkEnd w:id="268"/>
      <w:r>
        <w:rPr>
          <w:b/>
          <w:bCs/>
          <w:spacing w:val="-1"/>
          <w:sz w:val="24"/>
          <w:szCs w:val="24"/>
        </w:rPr>
        <w:t>4、</w:t>
      </w:r>
      <w:r>
        <w:rPr>
          <w:rFonts w:ascii="黑体" w:hAnsi="黑体" w:eastAsia="黑体" w:cs="黑体"/>
          <w:b/>
          <w:bCs/>
          <w:spacing w:val="-1"/>
          <w:sz w:val="24"/>
          <w:szCs w:val="24"/>
        </w:rPr>
        <w:t>工程量清单与计价表</w:t>
      </w:r>
    </w:p>
    <w:p w14:paraId="7C4EFD80">
      <w:pPr>
        <w:spacing w:line="455" w:lineRule="auto"/>
        <w:rPr>
          <w:rFonts w:ascii="Arial"/>
          <w:sz w:val="21"/>
        </w:rPr>
      </w:pPr>
    </w:p>
    <w:p w14:paraId="1BA05E5F">
      <w:pPr>
        <w:pStyle w:val="2"/>
        <w:spacing w:before="66" w:line="219" w:lineRule="auto"/>
        <w:ind w:left="6"/>
        <w:rPr>
          <w:sz w:val="20"/>
          <w:szCs w:val="20"/>
        </w:rPr>
      </w:pPr>
      <w:r>
        <w:rPr>
          <w:spacing w:val="10"/>
          <w:sz w:val="20"/>
          <w:szCs w:val="20"/>
        </w:rPr>
        <w:t>备注：1.</w:t>
      </w:r>
      <w:r>
        <w:rPr>
          <w:spacing w:val="-52"/>
          <w:sz w:val="20"/>
          <w:szCs w:val="20"/>
        </w:rPr>
        <w:t xml:space="preserve"> </w:t>
      </w:r>
      <w:r>
        <w:rPr>
          <w:spacing w:val="10"/>
          <w:sz w:val="20"/>
          <w:szCs w:val="20"/>
        </w:rPr>
        <w:t>以下表格供招标人参考。</w:t>
      </w:r>
    </w:p>
    <w:p w14:paraId="725EFB5E">
      <w:pPr>
        <w:pStyle w:val="2"/>
        <w:spacing w:before="142" w:line="343" w:lineRule="auto"/>
        <w:ind w:left="986" w:hanging="330"/>
        <w:rPr>
          <w:sz w:val="20"/>
          <w:szCs w:val="20"/>
        </w:rPr>
      </w:pPr>
      <w:r>
        <w:rPr>
          <w:spacing w:val="5"/>
          <w:sz w:val="20"/>
          <w:szCs w:val="20"/>
        </w:rPr>
        <w:t>2.</w:t>
      </w:r>
      <w:r>
        <w:rPr>
          <w:spacing w:val="40"/>
          <w:sz w:val="20"/>
          <w:szCs w:val="20"/>
        </w:rPr>
        <w:t xml:space="preserve"> </w:t>
      </w:r>
      <w:r>
        <w:rPr>
          <w:spacing w:val="5"/>
          <w:sz w:val="20"/>
          <w:szCs w:val="20"/>
        </w:rPr>
        <w:t>以下表格中的单价应根据所选用计税方法不同进行调整。</w:t>
      </w:r>
      <w:r>
        <w:rPr>
          <w:spacing w:val="51"/>
          <w:sz w:val="20"/>
          <w:szCs w:val="20"/>
        </w:rPr>
        <w:t xml:space="preserve"> </w:t>
      </w:r>
      <w:r>
        <w:rPr>
          <w:spacing w:val="4"/>
          <w:sz w:val="20"/>
          <w:szCs w:val="20"/>
        </w:rPr>
        <w:t>一般计税方法应为除税价格，</w:t>
      </w:r>
      <w:r>
        <w:rPr>
          <w:sz w:val="20"/>
          <w:szCs w:val="20"/>
        </w:rPr>
        <w:t xml:space="preserve"> </w:t>
      </w:r>
      <w:r>
        <w:rPr>
          <w:spacing w:val="6"/>
          <w:sz w:val="20"/>
          <w:szCs w:val="20"/>
        </w:rPr>
        <w:t>简易计税方法应为含税价格。</w:t>
      </w:r>
    </w:p>
    <w:p w14:paraId="3BA89232">
      <w:pPr>
        <w:spacing w:line="343" w:lineRule="auto"/>
        <w:rPr>
          <w:sz w:val="20"/>
          <w:szCs w:val="20"/>
        </w:rPr>
        <w:sectPr>
          <w:footerReference r:id="rId294" w:type="default"/>
          <w:pgSz w:w="11910" w:h="16840"/>
          <w:pgMar w:top="400" w:right="1530" w:bottom="1024" w:left="1443" w:header="0" w:footer="889" w:gutter="0"/>
          <w:cols w:space="720" w:num="1"/>
        </w:sectPr>
      </w:pPr>
    </w:p>
    <w:p w14:paraId="0B10DCC0">
      <w:pPr>
        <w:spacing w:line="256" w:lineRule="auto"/>
        <w:rPr>
          <w:rFonts w:ascii="Arial"/>
          <w:sz w:val="21"/>
        </w:rPr>
      </w:pPr>
    </w:p>
    <w:p w14:paraId="17319B70">
      <w:pPr>
        <w:spacing w:line="256" w:lineRule="auto"/>
        <w:rPr>
          <w:rFonts w:ascii="Arial"/>
          <w:sz w:val="21"/>
        </w:rPr>
      </w:pPr>
    </w:p>
    <w:p w14:paraId="5CB15143">
      <w:pPr>
        <w:spacing w:line="256" w:lineRule="auto"/>
        <w:rPr>
          <w:rFonts w:ascii="Arial"/>
          <w:sz w:val="21"/>
        </w:rPr>
      </w:pPr>
    </w:p>
    <w:p w14:paraId="64609F6B">
      <w:pPr>
        <w:spacing w:line="257" w:lineRule="auto"/>
        <w:rPr>
          <w:rFonts w:ascii="Arial"/>
          <w:sz w:val="21"/>
        </w:rPr>
      </w:pPr>
    </w:p>
    <w:p w14:paraId="16F8F901">
      <w:pPr>
        <w:spacing w:line="257" w:lineRule="auto"/>
        <w:rPr>
          <w:rFonts w:ascii="Arial"/>
          <w:sz w:val="21"/>
        </w:rPr>
      </w:pPr>
    </w:p>
    <w:p w14:paraId="03665B98">
      <w:pPr>
        <w:spacing w:before="85" w:line="222" w:lineRule="auto"/>
        <w:ind w:left="97"/>
        <w:outlineLvl w:val="2"/>
        <w:rPr>
          <w:rFonts w:ascii="黑体" w:hAnsi="黑体" w:eastAsia="黑体" w:cs="黑体"/>
          <w:sz w:val="26"/>
          <w:szCs w:val="26"/>
        </w:rPr>
      </w:pPr>
      <w:bookmarkStart w:id="269" w:name="bookmark188"/>
      <w:bookmarkEnd w:id="269"/>
      <w:r>
        <w:rPr>
          <w:rFonts w:ascii="黑体" w:hAnsi="黑体" w:eastAsia="黑体" w:cs="黑体"/>
          <w:b/>
          <w:bCs/>
          <w:spacing w:val="-9"/>
          <w:sz w:val="26"/>
          <w:szCs w:val="26"/>
        </w:rPr>
        <w:t>4.1招标工程量清单封面</w:t>
      </w:r>
    </w:p>
    <w:p w14:paraId="7FDD850E">
      <w:pPr>
        <w:spacing w:line="284" w:lineRule="auto"/>
        <w:rPr>
          <w:rFonts w:ascii="Arial"/>
          <w:sz w:val="21"/>
        </w:rPr>
      </w:pPr>
    </w:p>
    <w:p w14:paraId="0C2F6D64">
      <w:pPr>
        <w:spacing w:line="284" w:lineRule="auto"/>
        <w:rPr>
          <w:rFonts w:ascii="Arial"/>
          <w:sz w:val="21"/>
        </w:rPr>
      </w:pPr>
    </w:p>
    <w:p w14:paraId="1C1C1201">
      <w:pPr>
        <w:spacing w:line="285" w:lineRule="auto"/>
        <w:rPr>
          <w:rFonts w:ascii="Arial"/>
          <w:sz w:val="21"/>
        </w:rPr>
      </w:pPr>
    </w:p>
    <w:p w14:paraId="4D159A29">
      <w:pPr>
        <w:spacing w:line="285" w:lineRule="auto"/>
        <w:rPr>
          <w:rFonts w:ascii="Arial"/>
          <w:sz w:val="21"/>
        </w:rPr>
      </w:pPr>
    </w:p>
    <w:p w14:paraId="6F0E87CC">
      <w:pPr>
        <w:pStyle w:val="2"/>
        <w:tabs>
          <w:tab w:val="left" w:pos="6337"/>
        </w:tabs>
        <w:spacing w:before="84" w:line="220" w:lineRule="auto"/>
        <w:ind w:left="1643"/>
        <w:rPr>
          <w:sz w:val="26"/>
          <w:szCs w:val="26"/>
        </w:rPr>
      </w:pPr>
      <w:r>
        <w:rPr>
          <w:sz w:val="26"/>
          <w:szCs w:val="26"/>
          <w:u w:val="single" w:color="auto"/>
        </w:rPr>
        <w:tab/>
      </w:r>
      <w:r>
        <w:rPr>
          <w:b/>
          <w:bCs/>
          <w:spacing w:val="-10"/>
          <w:sz w:val="26"/>
          <w:szCs w:val="26"/>
          <w:u w:val="single" w:color="auto"/>
        </w:rPr>
        <w:t>工</w:t>
      </w:r>
      <w:r>
        <w:rPr>
          <w:b/>
          <w:bCs/>
          <w:spacing w:val="-10"/>
          <w:sz w:val="26"/>
          <w:szCs w:val="26"/>
        </w:rPr>
        <w:t>程</w:t>
      </w:r>
    </w:p>
    <w:p w14:paraId="5D96B648">
      <w:pPr>
        <w:spacing w:line="267" w:lineRule="auto"/>
        <w:rPr>
          <w:rFonts w:ascii="Arial"/>
          <w:sz w:val="21"/>
        </w:rPr>
      </w:pPr>
    </w:p>
    <w:p w14:paraId="629D5D2D">
      <w:pPr>
        <w:spacing w:line="267" w:lineRule="auto"/>
        <w:rPr>
          <w:rFonts w:ascii="Arial"/>
          <w:sz w:val="21"/>
        </w:rPr>
      </w:pPr>
    </w:p>
    <w:p w14:paraId="1F337A53">
      <w:pPr>
        <w:spacing w:line="268" w:lineRule="auto"/>
        <w:rPr>
          <w:rFonts w:ascii="Arial"/>
          <w:sz w:val="21"/>
        </w:rPr>
      </w:pPr>
    </w:p>
    <w:p w14:paraId="06216C27">
      <w:pPr>
        <w:spacing w:line="268" w:lineRule="auto"/>
        <w:rPr>
          <w:rFonts w:ascii="Arial"/>
          <w:sz w:val="21"/>
        </w:rPr>
      </w:pPr>
    </w:p>
    <w:p w14:paraId="6C28C16A">
      <w:pPr>
        <w:spacing w:line="268" w:lineRule="auto"/>
        <w:rPr>
          <w:rFonts w:ascii="Arial"/>
          <w:sz w:val="21"/>
        </w:rPr>
      </w:pPr>
    </w:p>
    <w:p w14:paraId="2A4D4572">
      <w:pPr>
        <w:spacing w:line="268" w:lineRule="auto"/>
        <w:rPr>
          <w:rFonts w:ascii="Arial"/>
          <w:sz w:val="21"/>
        </w:rPr>
      </w:pPr>
    </w:p>
    <w:p w14:paraId="48E49D2D">
      <w:pPr>
        <w:spacing w:line="268" w:lineRule="auto"/>
        <w:rPr>
          <w:rFonts w:ascii="Arial"/>
          <w:sz w:val="21"/>
        </w:rPr>
      </w:pPr>
    </w:p>
    <w:p w14:paraId="0D7221B1">
      <w:pPr>
        <w:spacing w:line="268" w:lineRule="auto"/>
        <w:rPr>
          <w:rFonts w:ascii="Arial"/>
          <w:sz w:val="21"/>
        </w:rPr>
      </w:pPr>
    </w:p>
    <w:p w14:paraId="62DF4C99">
      <w:pPr>
        <w:spacing w:before="114" w:line="222" w:lineRule="auto"/>
        <w:ind w:left="2708"/>
        <w:rPr>
          <w:rFonts w:ascii="黑体" w:hAnsi="黑体" w:eastAsia="黑体" w:cs="黑体"/>
          <w:sz w:val="35"/>
          <w:szCs w:val="35"/>
        </w:rPr>
      </w:pPr>
      <w:bookmarkStart w:id="270" w:name="bookmark317"/>
      <w:bookmarkEnd w:id="270"/>
      <w:r>
        <w:rPr>
          <w:rFonts w:ascii="黑体" w:hAnsi="黑体" w:eastAsia="黑体" w:cs="黑体"/>
          <w:b/>
          <w:bCs/>
          <w:spacing w:val="-16"/>
          <w:sz w:val="35"/>
          <w:szCs w:val="35"/>
        </w:rPr>
        <w:t>招</w:t>
      </w:r>
      <w:r>
        <w:rPr>
          <w:rFonts w:ascii="黑体" w:hAnsi="黑体" w:eastAsia="黑体" w:cs="黑体"/>
          <w:spacing w:val="25"/>
          <w:sz w:val="35"/>
          <w:szCs w:val="35"/>
        </w:rPr>
        <w:t xml:space="preserve"> </w:t>
      </w:r>
      <w:r>
        <w:rPr>
          <w:rFonts w:ascii="黑体" w:hAnsi="黑体" w:eastAsia="黑体" w:cs="黑体"/>
          <w:b/>
          <w:bCs/>
          <w:spacing w:val="-16"/>
          <w:sz w:val="35"/>
          <w:szCs w:val="35"/>
        </w:rPr>
        <w:t>标</w:t>
      </w:r>
      <w:r>
        <w:rPr>
          <w:rFonts w:ascii="黑体" w:hAnsi="黑体" w:eastAsia="黑体" w:cs="黑体"/>
          <w:spacing w:val="31"/>
          <w:sz w:val="35"/>
          <w:szCs w:val="35"/>
        </w:rPr>
        <w:t xml:space="preserve"> </w:t>
      </w:r>
      <w:r>
        <w:rPr>
          <w:rFonts w:ascii="黑体" w:hAnsi="黑体" w:eastAsia="黑体" w:cs="黑体"/>
          <w:b/>
          <w:bCs/>
          <w:spacing w:val="-16"/>
          <w:sz w:val="35"/>
          <w:szCs w:val="35"/>
        </w:rPr>
        <w:t>工</w:t>
      </w:r>
      <w:r>
        <w:rPr>
          <w:rFonts w:ascii="黑体" w:hAnsi="黑体" w:eastAsia="黑体" w:cs="黑体"/>
          <w:spacing w:val="28"/>
          <w:sz w:val="35"/>
          <w:szCs w:val="35"/>
        </w:rPr>
        <w:t xml:space="preserve"> </w:t>
      </w:r>
      <w:r>
        <w:rPr>
          <w:rFonts w:ascii="黑体" w:hAnsi="黑体" w:eastAsia="黑体" w:cs="黑体"/>
          <w:b/>
          <w:bCs/>
          <w:spacing w:val="-16"/>
          <w:sz w:val="35"/>
          <w:szCs w:val="35"/>
        </w:rPr>
        <w:t>程</w:t>
      </w:r>
      <w:r>
        <w:rPr>
          <w:rFonts w:ascii="黑体" w:hAnsi="黑体" w:eastAsia="黑体" w:cs="黑体"/>
          <w:spacing w:val="33"/>
          <w:sz w:val="35"/>
          <w:szCs w:val="35"/>
        </w:rPr>
        <w:t xml:space="preserve"> </w:t>
      </w:r>
      <w:r>
        <w:rPr>
          <w:rFonts w:ascii="黑体" w:hAnsi="黑体" w:eastAsia="黑体" w:cs="黑体"/>
          <w:b/>
          <w:bCs/>
          <w:spacing w:val="-16"/>
          <w:sz w:val="35"/>
          <w:szCs w:val="35"/>
        </w:rPr>
        <w:t>量</w:t>
      </w:r>
      <w:r>
        <w:rPr>
          <w:rFonts w:ascii="黑体" w:hAnsi="黑体" w:eastAsia="黑体" w:cs="黑体"/>
          <w:spacing w:val="34"/>
          <w:sz w:val="35"/>
          <w:szCs w:val="35"/>
        </w:rPr>
        <w:t xml:space="preserve"> </w:t>
      </w:r>
      <w:r>
        <w:rPr>
          <w:rFonts w:ascii="黑体" w:hAnsi="黑体" w:eastAsia="黑体" w:cs="黑体"/>
          <w:b/>
          <w:bCs/>
          <w:spacing w:val="-16"/>
          <w:sz w:val="35"/>
          <w:szCs w:val="35"/>
        </w:rPr>
        <w:t>清</w:t>
      </w:r>
      <w:r>
        <w:rPr>
          <w:rFonts w:ascii="黑体" w:hAnsi="黑体" w:eastAsia="黑体" w:cs="黑体"/>
          <w:spacing w:val="39"/>
          <w:sz w:val="35"/>
          <w:szCs w:val="35"/>
        </w:rPr>
        <w:t xml:space="preserve"> </w:t>
      </w:r>
      <w:r>
        <w:rPr>
          <w:rFonts w:ascii="黑体" w:hAnsi="黑体" w:eastAsia="黑体" w:cs="黑体"/>
          <w:b/>
          <w:bCs/>
          <w:spacing w:val="-16"/>
          <w:sz w:val="35"/>
          <w:szCs w:val="35"/>
        </w:rPr>
        <w:t>单</w:t>
      </w:r>
    </w:p>
    <w:p w14:paraId="751DBE49">
      <w:pPr>
        <w:spacing w:line="251" w:lineRule="auto"/>
        <w:rPr>
          <w:rFonts w:ascii="Arial"/>
          <w:sz w:val="21"/>
        </w:rPr>
      </w:pPr>
    </w:p>
    <w:p w14:paraId="177BFE7C">
      <w:pPr>
        <w:spacing w:line="251" w:lineRule="auto"/>
        <w:rPr>
          <w:rFonts w:ascii="Arial"/>
          <w:sz w:val="21"/>
        </w:rPr>
      </w:pPr>
    </w:p>
    <w:p w14:paraId="09D29BBA">
      <w:pPr>
        <w:spacing w:line="251" w:lineRule="auto"/>
        <w:rPr>
          <w:rFonts w:ascii="Arial"/>
          <w:sz w:val="21"/>
        </w:rPr>
      </w:pPr>
    </w:p>
    <w:p w14:paraId="5B476920">
      <w:pPr>
        <w:spacing w:line="251" w:lineRule="auto"/>
        <w:rPr>
          <w:rFonts w:ascii="Arial"/>
          <w:sz w:val="21"/>
        </w:rPr>
      </w:pPr>
    </w:p>
    <w:p w14:paraId="369CA795">
      <w:pPr>
        <w:spacing w:line="251" w:lineRule="auto"/>
        <w:rPr>
          <w:rFonts w:ascii="Arial"/>
          <w:sz w:val="21"/>
        </w:rPr>
      </w:pPr>
    </w:p>
    <w:p w14:paraId="4E713B18">
      <w:pPr>
        <w:spacing w:line="251" w:lineRule="auto"/>
        <w:rPr>
          <w:rFonts w:ascii="Arial"/>
          <w:sz w:val="21"/>
        </w:rPr>
      </w:pPr>
    </w:p>
    <w:p w14:paraId="4D3DC652">
      <w:pPr>
        <w:spacing w:line="251" w:lineRule="auto"/>
        <w:rPr>
          <w:rFonts w:ascii="Arial"/>
          <w:sz w:val="21"/>
        </w:rPr>
      </w:pPr>
    </w:p>
    <w:p w14:paraId="66D9C0CB">
      <w:pPr>
        <w:spacing w:line="251" w:lineRule="auto"/>
        <w:rPr>
          <w:rFonts w:ascii="Arial"/>
          <w:sz w:val="21"/>
        </w:rPr>
      </w:pPr>
    </w:p>
    <w:p w14:paraId="6E0F3A8E">
      <w:pPr>
        <w:spacing w:line="252" w:lineRule="auto"/>
        <w:rPr>
          <w:rFonts w:ascii="Arial"/>
          <w:sz w:val="21"/>
        </w:rPr>
      </w:pPr>
    </w:p>
    <w:p w14:paraId="78337D66">
      <w:pPr>
        <w:spacing w:line="252" w:lineRule="auto"/>
        <w:rPr>
          <w:rFonts w:ascii="Arial"/>
          <w:sz w:val="21"/>
        </w:rPr>
      </w:pPr>
    </w:p>
    <w:p w14:paraId="49349607">
      <w:pPr>
        <w:spacing w:line="252" w:lineRule="auto"/>
        <w:rPr>
          <w:rFonts w:ascii="Arial"/>
          <w:sz w:val="21"/>
        </w:rPr>
      </w:pPr>
    </w:p>
    <w:p w14:paraId="2CFBCF25">
      <w:pPr>
        <w:spacing w:line="252" w:lineRule="auto"/>
        <w:rPr>
          <w:rFonts w:ascii="Arial"/>
          <w:sz w:val="21"/>
        </w:rPr>
      </w:pPr>
    </w:p>
    <w:p w14:paraId="085DA4E0">
      <w:pPr>
        <w:spacing w:line="252" w:lineRule="auto"/>
        <w:rPr>
          <w:rFonts w:ascii="Arial"/>
          <w:sz w:val="21"/>
        </w:rPr>
      </w:pPr>
    </w:p>
    <w:p w14:paraId="7C5A3B1E">
      <w:pPr>
        <w:spacing w:line="252" w:lineRule="auto"/>
        <w:rPr>
          <w:rFonts w:ascii="Arial"/>
          <w:sz w:val="21"/>
        </w:rPr>
      </w:pPr>
    </w:p>
    <w:p w14:paraId="2AFBC5CA">
      <w:pPr>
        <w:spacing w:line="252" w:lineRule="auto"/>
        <w:rPr>
          <w:rFonts w:ascii="Arial"/>
          <w:sz w:val="21"/>
        </w:rPr>
      </w:pPr>
    </w:p>
    <w:p w14:paraId="5DA8C5C8">
      <w:pPr>
        <w:spacing w:line="252" w:lineRule="auto"/>
        <w:rPr>
          <w:rFonts w:ascii="Arial"/>
          <w:sz w:val="21"/>
        </w:rPr>
      </w:pPr>
    </w:p>
    <w:p w14:paraId="233C4EE6">
      <w:pPr>
        <w:spacing w:line="252" w:lineRule="auto"/>
        <w:rPr>
          <w:rFonts w:ascii="Arial"/>
          <w:sz w:val="21"/>
        </w:rPr>
      </w:pPr>
    </w:p>
    <w:p w14:paraId="0A7B367E">
      <w:pPr>
        <w:pStyle w:val="2"/>
        <w:spacing w:before="68" w:line="220" w:lineRule="auto"/>
        <w:ind w:left="1583"/>
        <w:rPr>
          <w:sz w:val="21"/>
          <w:szCs w:val="21"/>
        </w:rPr>
      </w:pPr>
      <w:r>
        <w:rPr>
          <w:spacing w:val="-1"/>
          <w:sz w:val="21"/>
          <w:szCs w:val="21"/>
        </w:rPr>
        <w:t>招</w:t>
      </w:r>
      <w:r>
        <w:rPr>
          <w:spacing w:val="35"/>
          <w:sz w:val="21"/>
          <w:szCs w:val="21"/>
        </w:rPr>
        <w:t xml:space="preserve">  </w:t>
      </w:r>
      <w:r>
        <w:rPr>
          <w:spacing w:val="-1"/>
          <w:sz w:val="21"/>
          <w:szCs w:val="21"/>
        </w:rPr>
        <w:t>标   人：</w:t>
      </w:r>
      <w:r>
        <w:rPr>
          <w:sz w:val="21"/>
          <w:szCs w:val="21"/>
          <w:u w:val="single" w:color="auto"/>
        </w:rPr>
        <w:t xml:space="preserve">                               </w:t>
      </w:r>
    </w:p>
    <w:p w14:paraId="4DA397CE">
      <w:pPr>
        <w:pStyle w:val="2"/>
        <w:spacing w:before="8" w:line="219" w:lineRule="auto"/>
        <w:ind w:left="3793"/>
        <w:rPr>
          <w:sz w:val="21"/>
          <w:szCs w:val="21"/>
        </w:rPr>
      </w:pPr>
      <w:r>
        <w:rPr>
          <w:spacing w:val="19"/>
          <w:sz w:val="21"/>
          <w:szCs w:val="21"/>
        </w:rPr>
        <w:t>(单位盖章)</w:t>
      </w:r>
    </w:p>
    <w:p w14:paraId="68A53511">
      <w:pPr>
        <w:spacing w:line="330" w:lineRule="auto"/>
        <w:rPr>
          <w:rFonts w:ascii="Arial"/>
          <w:sz w:val="21"/>
        </w:rPr>
      </w:pPr>
    </w:p>
    <w:p w14:paraId="04B25F40">
      <w:pPr>
        <w:pStyle w:val="2"/>
        <w:spacing w:before="68" w:line="218" w:lineRule="auto"/>
        <w:ind w:left="1593"/>
        <w:rPr>
          <w:sz w:val="21"/>
          <w:szCs w:val="21"/>
        </w:rPr>
      </w:pPr>
      <w:r>
        <w:rPr>
          <w:spacing w:val="4"/>
          <w:sz w:val="21"/>
          <w:szCs w:val="21"/>
        </w:rPr>
        <w:t>造价咨询人：</w:t>
      </w:r>
      <w:r>
        <w:rPr>
          <w:spacing w:val="29"/>
          <w:sz w:val="21"/>
          <w:szCs w:val="21"/>
        </w:rPr>
        <w:t xml:space="preserve"> </w:t>
      </w:r>
      <w:r>
        <w:rPr>
          <w:sz w:val="21"/>
          <w:szCs w:val="21"/>
          <w:u w:val="single" w:color="auto"/>
        </w:rPr>
        <w:t xml:space="preserve">                               </w:t>
      </w:r>
    </w:p>
    <w:p w14:paraId="70FD8308">
      <w:pPr>
        <w:spacing w:line="332" w:lineRule="auto"/>
        <w:rPr>
          <w:rFonts w:ascii="Arial"/>
          <w:sz w:val="21"/>
        </w:rPr>
      </w:pPr>
    </w:p>
    <w:p w14:paraId="57F4D8D6">
      <w:pPr>
        <w:pStyle w:val="2"/>
        <w:spacing w:before="69" w:line="219" w:lineRule="auto"/>
        <w:ind w:left="3793"/>
        <w:rPr>
          <w:sz w:val="21"/>
          <w:szCs w:val="21"/>
        </w:rPr>
      </w:pPr>
      <w:r>
        <w:rPr>
          <w:spacing w:val="19"/>
          <w:sz w:val="21"/>
          <w:szCs w:val="21"/>
        </w:rPr>
        <w:t>(单位盖章)</w:t>
      </w:r>
    </w:p>
    <w:p w14:paraId="2447CB85">
      <w:pPr>
        <w:spacing w:line="315" w:lineRule="auto"/>
        <w:rPr>
          <w:rFonts w:ascii="Arial"/>
          <w:sz w:val="21"/>
        </w:rPr>
      </w:pPr>
    </w:p>
    <w:p w14:paraId="03D7047E">
      <w:pPr>
        <w:spacing w:line="315" w:lineRule="auto"/>
        <w:rPr>
          <w:rFonts w:ascii="Arial"/>
          <w:sz w:val="21"/>
        </w:rPr>
      </w:pPr>
    </w:p>
    <w:p w14:paraId="0B7232D1">
      <w:pPr>
        <w:pStyle w:val="2"/>
        <w:spacing w:before="68" w:line="219" w:lineRule="auto"/>
        <w:ind w:left="3663"/>
        <w:rPr>
          <w:sz w:val="21"/>
          <w:szCs w:val="21"/>
        </w:rPr>
      </w:pPr>
      <w:r>
        <w:rPr>
          <w:spacing w:val="-8"/>
          <w:sz w:val="21"/>
          <w:szCs w:val="21"/>
        </w:rPr>
        <w:t>年</w:t>
      </w:r>
      <w:r>
        <w:rPr>
          <w:spacing w:val="19"/>
          <w:sz w:val="21"/>
          <w:szCs w:val="21"/>
        </w:rPr>
        <w:t xml:space="preserve">    </w:t>
      </w:r>
      <w:r>
        <w:rPr>
          <w:spacing w:val="-8"/>
          <w:sz w:val="21"/>
          <w:szCs w:val="21"/>
        </w:rPr>
        <w:t>月</w:t>
      </w:r>
      <w:r>
        <w:rPr>
          <w:spacing w:val="6"/>
          <w:sz w:val="21"/>
          <w:szCs w:val="21"/>
        </w:rPr>
        <w:t xml:space="preserve">     </w:t>
      </w:r>
      <w:r>
        <w:rPr>
          <w:spacing w:val="-8"/>
          <w:sz w:val="21"/>
          <w:szCs w:val="21"/>
        </w:rPr>
        <w:t>日</w:t>
      </w:r>
    </w:p>
    <w:p w14:paraId="43E9A58C">
      <w:pPr>
        <w:spacing w:line="219" w:lineRule="auto"/>
        <w:rPr>
          <w:sz w:val="21"/>
          <w:szCs w:val="21"/>
        </w:rPr>
        <w:sectPr>
          <w:footerReference r:id="rId295" w:type="default"/>
          <w:pgSz w:w="11910" w:h="16840"/>
          <w:pgMar w:top="400" w:right="1786" w:bottom="1024" w:left="1786" w:header="0" w:footer="889" w:gutter="0"/>
          <w:cols w:space="720" w:num="1"/>
        </w:sectPr>
      </w:pPr>
    </w:p>
    <w:p w14:paraId="629E701E">
      <w:pPr>
        <w:spacing w:line="259" w:lineRule="auto"/>
        <w:rPr>
          <w:rFonts w:ascii="Arial"/>
          <w:sz w:val="21"/>
        </w:rPr>
      </w:pPr>
    </w:p>
    <w:p w14:paraId="07741627">
      <w:pPr>
        <w:spacing w:line="259" w:lineRule="auto"/>
        <w:rPr>
          <w:rFonts w:ascii="Arial"/>
          <w:sz w:val="21"/>
        </w:rPr>
      </w:pPr>
    </w:p>
    <w:p w14:paraId="4ED8942F">
      <w:pPr>
        <w:spacing w:line="259" w:lineRule="auto"/>
        <w:rPr>
          <w:rFonts w:ascii="Arial"/>
          <w:sz w:val="21"/>
        </w:rPr>
      </w:pPr>
    </w:p>
    <w:p w14:paraId="091888E2">
      <w:pPr>
        <w:spacing w:line="259" w:lineRule="auto"/>
        <w:rPr>
          <w:rFonts w:ascii="Arial"/>
          <w:sz w:val="21"/>
        </w:rPr>
      </w:pPr>
    </w:p>
    <w:p w14:paraId="397AA71C">
      <w:pPr>
        <w:spacing w:line="259" w:lineRule="auto"/>
        <w:rPr>
          <w:rFonts w:ascii="Arial"/>
          <w:sz w:val="21"/>
        </w:rPr>
      </w:pPr>
    </w:p>
    <w:p w14:paraId="1609932A">
      <w:pPr>
        <w:spacing w:before="82" w:line="222" w:lineRule="auto"/>
        <w:ind w:left="433"/>
        <w:outlineLvl w:val="2"/>
        <w:rPr>
          <w:rFonts w:ascii="黑体" w:hAnsi="黑体" w:eastAsia="黑体" w:cs="黑体"/>
          <w:sz w:val="25"/>
          <w:szCs w:val="25"/>
        </w:rPr>
      </w:pPr>
      <w:bookmarkStart w:id="271" w:name="bookmark318"/>
      <w:bookmarkEnd w:id="271"/>
      <w:bookmarkStart w:id="272" w:name="bookmark189"/>
      <w:bookmarkEnd w:id="272"/>
      <w:r>
        <w:rPr>
          <w:rFonts w:ascii="黑体" w:hAnsi="黑体" w:eastAsia="黑体" w:cs="黑体"/>
          <w:b/>
          <w:bCs/>
          <w:spacing w:val="1"/>
          <w:sz w:val="25"/>
          <w:szCs w:val="25"/>
        </w:rPr>
        <w:t>4.2招标工程量清单扉页</w:t>
      </w:r>
    </w:p>
    <w:p w14:paraId="3ACAFE50">
      <w:pPr>
        <w:spacing w:line="285" w:lineRule="auto"/>
        <w:rPr>
          <w:rFonts w:ascii="Arial"/>
          <w:sz w:val="21"/>
        </w:rPr>
      </w:pPr>
    </w:p>
    <w:p w14:paraId="2A09A243">
      <w:pPr>
        <w:spacing w:line="285" w:lineRule="auto"/>
        <w:rPr>
          <w:rFonts w:ascii="Arial"/>
          <w:sz w:val="21"/>
        </w:rPr>
      </w:pPr>
    </w:p>
    <w:p w14:paraId="7AEC5038">
      <w:pPr>
        <w:spacing w:line="285" w:lineRule="auto"/>
        <w:rPr>
          <w:rFonts w:ascii="Arial"/>
          <w:sz w:val="21"/>
        </w:rPr>
      </w:pPr>
    </w:p>
    <w:p w14:paraId="53881262">
      <w:pPr>
        <w:pStyle w:val="2"/>
        <w:tabs>
          <w:tab w:val="left" w:pos="6732"/>
        </w:tabs>
        <w:spacing w:before="61" w:line="213" w:lineRule="auto"/>
        <w:ind w:left="2119"/>
        <w:rPr>
          <w:sz w:val="19"/>
          <w:szCs w:val="19"/>
        </w:rPr>
      </w:pPr>
      <w:r>
        <w:rPr>
          <w:sz w:val="19"/>
          <w:szCs w:val="19"/>
          <w:u w:val="single" w:color="auto"/>
        </w:rPr>
        <w:tab/>
      </w:r>
      <w:r>
        <w:rPr>
          <w:b/>
          <w:bCs/>
          <w:spacing w:val="-2"/>
          <w:sz w:val="19"/>
          <w:szCs w:val="19"/>
          <w:u w:val="single" w:color="auto"/>
        </w:rPr>
        <w:t>_</w:t>
      </w:r>
      <w:r>
        <w:rPr>
          <w:b/>
          <w:bCs/>
          <w:spacing w:val="-2"/>
          <w:sz w:val="19"/>
          <w:szCs w:val="19"/>
        </w:rPr>
        <w:t>工程</w:t>
      </w:r>
    </w:p>
    <w:p w14:paraId="03213537">
      <w:pPr>
        <w:spacing w:line="352" w:lineRule="auto"/>
        <w:rPr>
          <w:rFonts w:ascii="Arial"/>
          <w:sz w:val="21"/>
        </w:rPr>
      </w:pPr>
    </w:p>
    <w:p w14:paraId="3E976F0D">
      <w:pPr>
        <w:spacing w:line="352" w:lineRule="auto"/>
        <w:rPr>
          <w:rFonts w:ascii="Arial"/>
          <w:sz w:val="21"/>
        </w:rPr>
      </w:pPr>
    </w:p>
    <w:p w14:paraId="0DECFF57">
      <w:pPr>
        <w:spacing w:before="100" w:line="222" w:lineRule="auto"/>
        <w:ind w:left="3184"/>
        <w:rPr>
          <w:rFonts w:ascii="黑体" w:hAnsi="黑体" w:eastAsia="黑体" w:cs="黑体"/>
          <w:sz w:val="31"/>
          <w:szCs w:val="31"/>
        </w:rPr>
      </w:pPr>
      <w:r>
        <w:rPr>
          <w:rFonts w:ascii="黑体" w:hAnsi="黑体" w:eastAsia="黑体" w:cs="黑体"/>
          <w:b/>
          <w:bCs/>
          <w:spacing w:val="-14"/>
          <w:sz w:val="31"/>
          <w:szCs w:val="31"/>
        </w:rPr>
        <w:t>招</w:t>
      </w:r>
      <w:r>
        <w:rPr>
          <w:rFonts w:ascii="黑体" w:hAnsi="黑体" w:eastAsia="黑体" w:cs="黑体"/>
          <w:spacing w:val="22"/>
          <w:sz w:val="31"/>
          <w:szCs w:val="31"/>
        </w:rPr>
        <w:t xml:space="preserve"> </w:t>
      </w:r>
      <w:r>
        <w:rPr>
          <w:rFonts w:ascii="黑体" w:hAnsi="黑体" w:eastAsia="黑体" w:cs="黑体"/>
          <w:b/>
          <w:bCs/>
          <w:spacing w:val="-14"/>
          <w:sz w:val="31"/>
          <w:szCs w:val="31"/>
        </w:rPr>
        <w:t>标</w:t>
      </w:r>
      <w:r>
        <w:rPr>
          <w:rFonts w:ascii="黑体" w:hAnsi="黑体" w:eastAsia="黑体" w:cs="黑体"/>
          <w:spacing w:val="29"/>
          <w:sz w:val="31"/>
          <w:szCs w:val="31"/>
        </w:rPr>
        <w:t xml:space="preserve"> </w:t>
      </w:r>
      <w:r>
        <w:rPr>
          <w:rFonts w:ascii="黑体" w:hAnsi="黑体" w:eastAsia="黑体" w:cs="黑体"/>
          <w:b/>
          <w:bCs/>
          <w:spacing w:val="-14"/>
          <w:sz w:val="31"/>
          <w:szCs w:val="31"/>
        </w:rPr>
        <w:t>工</w:t>
      </w:r>
      <w:r>
        <w:rPr>
          <w:rFonts w:ascii="黑体" w:hAnsi="黑体" w:eastAsia="黑体" w:cs="黑体"/>
          <w:spacing w:val="26"/>
          <w:sz w:val="31"/>
          <w:szCs w:val="31"/>
        </w:rPr>
        <w:t xml:space="preserve"> </w:t>
      </w:r>
      <w:r>
        <w:rPr>
          <w:rFonts w:ascii="黑体" w:hAnsi="黑体" w:eastAsia="黑体" w:cs="黑体"/>
          <w:b/>
          <w:bCs/>
          <w:spacing w:val="-14"/>
          <w:sz w:val="31"/>
          <w:szCs w:val="31"/>
        </w:rPr>
        <w:t>程</w:t>
      </w:r>
      <w:r>
        <w:rPr>
          <w:rFonts w:ascii="黑体" w:hAnsi="黑体" w:eastAsia="黑体" w:cs="黑体"/>
          <w:spacing w:val="31"/>
          <w:sz w:val="31"/>
          <w:szCs w:val="31"/>
        </w:rPr>
        <w:t xml:space="preserve"> </w:t>
      </w:r>
      <w:r>
        <w:rPr>
          <w:rFonts w:ascii="黑体" w:hAnsi="黑体" w:eastAsia="黑体" w:cs="黑体"/>
          <w:b/>
          <w:bCs/>
          <w:spacing w:val="-14"/>
          <w:sz w:val="31"/>
          <w:szCs w:val="31"/>
        </w:rPr>
        <w:t>量</w:t>
      </w:r>
      <w:r>
        <w:rPr>
          <w:rFonts w:ascii="黑体" w:hAnsi="黑体" w:eastAsia="黑体" w:cs="黑体"/>
          <w:spacing w:val="31"/>
          <w:sz w:val="31"/>
          <w:szCs w:val="31"/>
        </w:rPr>
        <w:t xml:space="preserve"> </w:t>
      </w:r>
      <w:r>
        <w:rPr>
          <w:rFonts w:ascii="黑体" w:hAnsi="黑体" w:eastAsia="黑体" w:cs="黑体"/>
          <w:b/>
          <w:bCs/>
          <w:spacing w:val="-14"/>
          <w:sz w:val="31"/>
          <w:szCs w:val="31"/>
        </w:rPr>
        <w:t>清</w:t>
      </w:r>
      <w:r>
        <w:rPr>
          <w:rFonts w:ascii="黑体" w:hAnsi="黑体" w:eastAsia="黑体" w:cs="黑体"/>
          <w:spacing w:val="36"/>
          <w:sz w:val="31"/>
          <w:szCs w:val="31"/>
        </w:rPr>
        <w:t xml:space="preserve"> </w:t>
      </w:r>
      <w:r>
        <w:rPr>
          <w:rFonts w:ascii="黑体" w:hAnsi="黑体" w:eastAsia="黑体" w:cs="黑体"/>
          <w:b/>
          <w:bCs/>
          <w:spacing w:val="-14"/>
          <w:sz w:val="31"/>
          <w:szCs w:val="31"/>
        </w:rPr>
        <w:t>单</w:t>
      </w:r>
    </w:p>
    <w:p w14:paraId="4E59B104">
      <w:pPr>
        <w:spacing w:before="2"/>
      </w:pPr>
    </w:p>
    <w:p w14:paraId="0F8C1424">
      <w:pPr>
        <w:spacing w:before="1"/>
      </w:pPr>
    </w:p>
    <w:p w14:paraId="0421E86F">
      <w:pPr>
        <w:spacing w:before="1"/>
      </w:pPr>
    </w:p>
    <w:p w14:paraId="01625A8D">
      <w:pPr>
        <w:spacing w:before="1"/>
      </w:pPr>
    </w:p>
    <w:p w14:paraId="6C14E5E7">
      <w:pPr>
        <w:spacing w:before="1"/>
      </w:pPr>
    </w:p>
    <w:p w14:paraId="5DF7BF6E">
      <w:pPr>
        <w:spacing w:before="1"/>
      </w:pPr>
    </w:p>
    <w:p w14:paraId="3289873C">
      <w:pPr>
        <w:spacing w:before="1"/>
      </w:pPr>
    </w:p>
    <w:p w14:paraId="0B5FF1CF">
      <w:pPr>
        <w:spacing w:before="1"/>
      </w:pPr>
    </w:p>
    <w:p w14:paraId="39D1C73F">
      <w:pPr>
        <w:spacing w:before="1"/>
      </w:pPr>
    </w:p>
    <w:p w14:paraId="4F243CB6">
      <w:pPr>
        <w:spacing w:before="1"/>
      </w:pPr>
    </w:p>
    <w:p w14:paraId="0CC1130E">
      <w:pPr>
        <w:sectPr>
          <w:footerReference r:id="rId296" w:type="default"/>
          <w:pgSz w:w="11910" w:h="16840"/>
          <w:pgMar w:top="400" w:right="1786" w:bottom="1024" w:left="1450" w:header="0" w:footer="889" w:gutter="0"/>
          <w:cols w:equalWidth="0" w:num="1">
            <w:col w:w="8674"/>
          </w:cols>
        </w:sectPr>
      </w:pPr>
    </w:p>
    <w:p w14:paraId="3B1DB366">
      <w:pPr>
        <w:pStyle w:val="2"/>
        <w:spacing w:before="44" w:line="220" w:lineRule="auto"/>
        <w:rPr>
          <w:sz w:val="21"/>
          <w:szCs w:val="21"/>
        </w:rPr>
      </w:pPr>
      <w:r>
        <w:rPr>
          <w:spacing w:val="-5"/>
          <w:sz w:val="21"/>
          <w:szCs w:val="21"/>
        </w:rPr>
        <w:t>招标人：</w:t>
      </w:r>
      <w:r>
        <w:rPr>
          <w:sz w:val="21"/>
          <w:szCs w:val="21"/>
          <w:u w:val="single" w:color="auto"/>
        </w:rPr>
        <w:t xml:space="preserve">                           </w:t>
      </w:r>
    </w:p>
    <w:p w14:paraId="5C54655E">
      <w:pPr>
        <w:pStyle w:val="2"/>
        <w:spacing w:before="47" w:line="219" w:lineRule="auto"/>
        <w:ind w:left="1619"/>
        <w:rPr>
          <w:sz w:val="19"/>
          <w:szCs w:val="19"/>
        </w:rPr>
      </w:pPr>
      <w:r>
        <w:rPr>
          <w:spacing w:val="11"/>
          <w:sz w:val="19"/>
          <w:szCs w:val="19"/>
        </w:rPr>
        <w:t>(单位盖章)</w:t>
      </w:r>
    </w:p>
    <w:p w14:paraId="50CB678C">
      <w:pPr>
        <w:spacing w:line="285" w:lineRule="auto"/>
        <w:rPr>
          <w:rFonts w:ascii="Arial"/>
          <w:sz w:val="21"/>
        </w:rPr>
      </w:pPr>
    </w:p>
    <w:p w14:paraId="34522DE8">
      <w:pPr>
        <w:spacing w:line="285" w:lineRule="auto"/>
        <w:rPr>
          <w:rFonts w:ascii="Arial"/>
          <w:sz w:val="21"/>
        </w:rPr>
      </w:pPr>
    </w:p>
    <w:p w14:paraId="1D1CF75B">
      <w:pPr>
        <w:spacing w:line="285" w:lineRule="auto"/>
        <w:rPr>
          <w:rFonts w:ascii="Arial"/>
          <w:sz w:val="21"/>
        </w:rPr>
      </w:pPr>
    </w:p>
    <w:p w14:paraId="450E7ABC">
      <w:pPr>
        <w:spacing w:line="285" w:lineRule="auto"/>
        <w:rPr>
          <w:rFonts w:ascii="Arial"/>
          <w:sz w:val="21"/>
        </w:rPr>
      </w:pPr>
    </w:p>
    <w:p w14:paraId="5A182210">
      <w:pPr>
        <w:spacing w:line="285" w:lineRule="auto"/>
        <w:rPr>
          <w:rFonts w:ascii="Arial"/>
          <w:sz w:val="21"/>
        </w:rPr>
      </w:pPr>
    </w:p>
    <w:p w14:paraId="7AD3A6F4">
      <w:pPr>
        <w:pStyle w:val="2"/>
        <w:spacing w:before="62" w:line="219" w:lineRule="auto"/>
        <w:rPr>
          <w:sz w:val="19"/>
          <w:szCs w:val="19"/>
        </w:rPr>
      </w:pPr>
      <w:r>
        <w:rPr>
          <w:spacing w:val="23"/>
          <w:sz w:val="19"/>
          <w:szCs w:val="19"/>
        </w:rPr>
        <w:t>法定代表人</w:t>
      </w:r>
    </w:p>
    <w:p w14:paraId="54D9E501">
      <w:pPr>
        <w:pStyle w:val="2"/>
        <w:spacing w:before="6" w:line="219" w:lineRule="auto"/>
        <w:rPr>
          <w:sz w:val="21"/>
          <w:szCs w:val="21"/>
        </w:rPr>
      </w:pPr>
      <w:r>
        <w:rPr>
          <w:spacing w:val="-2"/>
          <w:sz w:val="21"/>
          <w:szCs w:val="21"/>
        </w:rPr>
        <w:t>或其授权人：</w:t>
      </w:r>
      <w:r>
        <w:rPr>
          <w:sz w:val="21"/>
          <w:szCs w:val="21"/>
          <w:u w:val="single" w:color="auto"/>
        </w:rPr>
        <w:t xml:space="preserve">                       </w:t>
      </w:r>
    </w:p>
    <w:p w14:paraId="600D6661">
      <w:pPr>
        <w:pStyle w:val="2"/>
        <w:spacing w:before="18" w:line="219" w:lineRule="auto"/>
        <w:ind w:left="1630"/>
        <w:rPr>
          <w:sz w:val="19"/>
          <w:szCs w:val="19"/>
        </w:rPr>
      </w:pPr>
      <w:r>
        <w:rPr>
          <w:spacing w:val="14"/>
          <w:sz w:val="19"/>
          <w:szCs w:val="19"/>
        </w:rPr>
        <w:t>(签字或盖章)</w:t>
      </w:r>
    </w:p>
    <w:p w14:paraId="14B65921">
      <w:pPr>
        <w:spacing w:line="23" w:lineRule="exact"/>
      </w:pPr>
    </w:p>
    <w:p w14:paraId="09434D83">
      <w:pPr>
        <w:spacing w:line="14" w:lineRule="auto"/>
        <w:rPr>
          <w:rFonts w:ascii="Arial"/>
          <w:sz w:val="2"/>
        </w:rPr>
      </w:pPr>
      <w:r>
        <w:rPr>
          <w:rFonts w:ascii="Arial" w:hAnsi="Arial" w:eastAsia="Arial" w:cs="Arial"/>
          <w:sz w:val="2"/>
          <w:szCs w:val="2"/>
        </w:rPr>
        <w:br w:type="column"/>
      </w:r>
    </w:p>
    <w:p w14:paraId="3FB33849">
      <w:pPr>
        <w:pStyle w:val="2"/>
        <w:spacing w:before="40" w:line="218" w:lineRule="auto"/>
        <w:rPr>
          <w:sz w:val="21"/>
          <w:szCs w:val="21"/>
        </w:rPr>
      </w:pPr>
      <w:r>
        <w:rPr>
          <w:spacing w:val="-7"/>
          <w:sz w:val="21"/>
          <w:szCs w:val="21"/>
        </w:rPr>
        <w:t>造价咨询人：</w:t>
      </w:r>
      <w:r>
        <w:rPr>
          <w:sz w:val="21"/>
          <w:szCs w:val="21"/>
          <w:u w:val="single" w:color="auto"/>
        </w:rPr>
        <w:t xml:space="preserve">                           </w:t>
      </w:r>
    </w:p>
    <w:p w14:paraId="133D4822">
      <w:pPr>
        <w:pStyle w:val="2"/>
        <w:spacing w:before="52" w:line="219" w:lineRule="auto"/>
        <w:ind w:left="1710"/>
        <w:rPr>
          <w:sz w:val="19"/>
          <w:szCs w:val="19"/>
        </w:rPr>
      </w:pPr>
      <w:r>
        <w:rPr>
          <w:spacing w:val="15"/>
          <w:sz w:val="19"/>
          <w:szCs w:val="19"/>
        </w:rPr>
        <w:t>(单位资质专用章)</w:t>
      </w:r>
    </w:p>
    <w:p w14:paraId="77984182">
      <w:pPr>
        <w:spacing w:line="285" w:lineRule="auto"/>
        <w:rPr>
          <w:rFonts w:ascii="Arial"/>
          <w:sz w:val="21"/>
        </w:rPr>
      </w:pPr>
    </w:p>
    <w:p w14:paraId="7085EC43">
      <w:pPr>
        <w:spacing w:line="285" w:lineRule="auto"/>
        <w:rPr>
          <w:rFonts w:ascii="Arial"/>
          <w:sz w:val="21"/>
        </w:rPr>
      </w:pPr>
    </w:p>
    <w:p w14:paraId="15AC931A">
      <w:pPr>
        <w:spacing w:line="285" w:lineRule="auto"/>
        <w:rPr>
          <w:rFonts w:ascii="Arial"/>
          <w:sz w:val="21"/>
        </w:rPr>
      </w:pPr>
    </w:p>
    <w:p w14:paraId="7F3471BB">
      <w:pPr>
        <w:spacing w:line="285" w:lineRule="auto"/>
        <w:rPr>
          <w:rFonts w:ascii="Arial"/>
          <w:sz w:val="21"/>
        </w:rPr>
      </w:pPr>
    </w:p>
    <w:p w14:paraId="56E409B7">
      <w:pPr>
        <w:spacing w:line="285" w:lineRule="auto"/>
        <w:rPr>
          <w:rFonts w:ascii="Arial"/>
          <w:sz w:val="21"/>
        </w:rPr>
      </w:pPr>
    </w:p>
    <w:p w14:paraId="43BD3027">
      <w:pPr>
        <w:pStyle w:val="2"/>
        <w:spacing w:before="62" w:line="219" w:lineRule="auto"/>
        <w:rPr>
          <w:sz w:val="19"/>
          <w:szCs w:val="19"/>
        </w:rPr>
      </w:pPr>
      <w:r>
        <w:rPr>
          <w:spacing w:val="21"/>
          <w:sz w:val="19"/>
          <w:szCs w:val="19"/>
        </w:rPr>
        <w:t>法定代表人</w:t>
      </w:r>
    </w:p>
    <w:p w14:paraId="63B1F91E">
      <w:pPr>
        <w:pStyle w:val="2"/>
        <w:spacing w:before="25" w:line="219" w:lineRule="auto"/>
        <w:rPr>
          <w:sz w:val="20"/>
          <w:szCs w:val="20"/>
        </w:rPr>
      </w:pPr>
      <w:r>
        <w:rPr>
          <w:spacing w:val="1"/>
          <w:sz w:val="20"/>
          <w:szCs w:val="20"/>
        </w:rPr>
        <w:t>或其授权人：</w:t>
      </w:r>
      <w:r>
        <w:rPr>
          <w:sz w:val="20"/>
          <w:szCs w:val="20"/>
          <w:u w:val="single" w:color="auto"/>
        </w:rPr>
        <w:t xml:space="preserve">                            </w:t>
      </w:r>
    </w:p>
    <w:p w14:paraId="5BD9C9C3">
      <w:pPr>
        <w:pStyle w:val="2"/>
        <w:spacing w:before="31" w:line="219" w:lineRule="auto"/>
        <w:ind w:left="1829"/>
        <w:rPr>
          <w:sz w:val="19"/>
          <w:szCs w:val="19"/>
        </w:rPr>
      </w:pPr>
      <w:r>
        <w:rPr>
          <w:spacing w:val="13"/>
          <w:sz w:val="19"/>
          <w:szCs w:val="19"/>
        </w:rPr>
        <w:t>(签字或盖章)</w:t>
      </w:r>
    </w:p>
    <w:p w14:paraId="1481DEA5">
      <w:pPr>
        <w:spacing w:line="219" w:lineRule="auto"/>
        <w:rPr>
          <w:sz w:val="19"/>
          <w:szCs w:val="19"/>
        </w:rPr>
        <w:sectPr>
          <w:type w:val="continuous"/>
          <w:pgSz w:w="11910" w:h="16840"/>
          <w:pgMar w:top="400" w:right="1786" w:bottom="1024" w:left="1450" w:header="0" w:footer="889" w:gutter="0"/>
          <w:cols w:equalWidth="0" w:num="2">
            <w:col w:w="3900" w:space="100"/>
            <w:col w:w="4674"/>
          </w:cols>
        </w:sectPr>
      </w:pPr>
    </w:p>
    <w:p w14:paraId="667F1C91">
      <w:pPr>
        <w:spacing w:line="247" w:lineRule="auto"/>
        <w:rPr>
          <w:rFonts w:ascii="Arial"/>
          <w:sz w:val="21"/>
        </w:rPr>
      </w:pPr>
    </w:p>
    <w:p w14:paraId="1FDA58D6">
      <w:pPr>
        <w:spacing w:line="247" w:lineRule="auto"/>
        <w:rPr>
          <w:rFonts w:ascii="Arial"/>
          <w:sz w:val="21"/>
        </w:rPr>
      </w:pPr>
    </w:p>
    <w:p w14:paraId="58F085F5">
      <w:pPr>
        <w:spacing w:line="247" w:lineRule="auto"/>
        <w:rPr>
          <w:rFonts w:ascii="Arial"/>
          <w:sz w:val="21"/>
        </w:rPr>
      </w:pPr>
    </w:p>
    <w:p w14:paraId="239A6A3D">
      <w:pPr>
        <w:spacing w:line="247" w:lineRule="auto"/>
        <w:rPr>
          <w:rFonts w:ascii="Arial"/>
          <w:sz w:val="21"/>
        </w:rPr>
      </w:pPr>
    </w:p>
    <w:p w14:paraId="1FE0BC4B">
      <w:pPr>
        <w:spacing w:line="247" w:lineRule="auto"/>
        <w:rPr>
          <w:rFonts w:ascii="Arial"/>
          <w:sz w:val="21"/>
        </w:rPr>
      </w:pPr>
    </w:p>
    <w:p w14:paraId="16E2A698">
      <w:pPr>
        <w:spacing w:line="247" w:lineRule="auto"/>
        <w:rPr>
          <w:rFonts w:ascii="Arial"/>
          <w:sz w:val="21"/>
        </w:rPr>
      </w:pPr>
    </w:p>
    <w:p w14:paraId="21351FD6">
      <w:pPr>
        <w:pStyle w:val="2"/>
        <w:spacing w:before="62" w:line="219" w:lineRule="auto"/>
        <w:rPr>
          <w:sz w:val="19"/>
          <w:szCs w:val="19"/>
        </w:rPr>
      </w:pPr>
      <w:r>
        <w:rPr>
          <w:spacing w:val="1"/>
          <w:sz w:val="19"/>
          <w:szCs w:val="19"/>
        </w:rPr>
        <w:t>编制人：</w:t>
      </w:r>
      <w:r>
        <w:rPr>
          <w:spacing w:val="-35"/>
          <w:sz w:val="19"/>
          <w:szCs w:val="19"/>
        </w:rPr>
        <w:t xml:space="preserve"> </w:t>
      </w:r>
      <w:r>
        <w:rPr>
          <w:spacing w:val="1"/>
          <w:sz w:val="19"/>
          <w:szCs w:val="19"/>
          <w:u w:val="single" w:color="auto"/>
        </w:rPr>
        <w:t xml:space="preserve">                             </w:t>
      </w:r>
      <w:r>
        <w:rPr>
          <w:sz w:val="19"/>
          <w:szCs w:val="19"/>
        </w:rPr>
        <w:t xml:space="preserve">    复核人：</w:t>
      </w:r>
      <w:r>
        <w:rPr>
          <w:sz w:val="19"/>
          <w:szCs w:val="19"/>
          <w:u w:val="single" w:color="auto"/>
        </w:rPr>
        <w:t xml:space="preserve">                                  </w:t>
      </w:r>
    </w:p>
    <w:p w14:paraId="5EA1F624">
      <w:pPr>
        <w:pStyle w:val="2"/>
        <w:spacing w:before="23" w:line="218" w:lineRule="auto"/>
        <w:ind w:left="1090"/>
        <w:rPr>
          <w:sz w:val="19"/>
          <w:szCs w:val="19"/>
        </w:rPr>
      </w:pPr>
      <w:r>
        <w:rPr>
          <w:spacing w:val="16"/>
          <w:sz w:val="19"/>
          <w:szCs w:val="19"/>
        </w:rPr>
        <w:t>(造价人员签字盖专用章)</w:t>
      </w:r>
      <w:r>
        <w:rPr>
          <w:spacing w:val="2"/>
          <w:sz w:val="19"/>
          <w:szCs w:val="19"/>
        </w:rPr>
        <w:t xml:space="preserve">                     </w:t>
      </w:r>
      <w:r>
        <w:rPr>
          <w:spacing w:val="16"/>
          <w:sz w:val="19"/>
          <w:szCs w:val="19"/>
        </w:rPr>
        <w:t>(造价工程师签字盖专用章)</w:t>
      </w:r>
    </w:p>
    <w:p w14:paraId="2DEB31F1">
      <w:pPr>
        <w:spacing w:line="273" w:lineRule="auto"/>
        <w:rPr>
          <w:rFonts w:ascii="Arial"/>
          <w:sz w:val="21"/>
        </w:rPr>
      </w:pPr>
    </w:p>
    <w:p w14:paraId="7FCF4857">
      <w:pPr>
        <w:spacing w:line="273" w:lineRule="auto"/>
        <w:rPr>
          <w:rFonts w:ascii="Arial"/>
          <w:sz w:val="21"/>
        </w:rPr>
      </w:pPr>
    </w:p>
    <w:p w14:paraId="62876016">
      <w:pPr>
        <w:spacing w:line="273" w:lineRule="auto"/>
        <w:rPr>
          <w:rFonts w:ascii="Arial"/>
          <w:sz w:val="21"/>
        </w:rPr>
      </w:pPr>
    </w:p>
    <w:p w14:paraId="2CE9D8A8">
      <w:pPr>
        <w:spacing w:line="273" w:lineRule="auto"/>
        <w:rPr>
          <w:rFonts w:ascii="Arial"/>
          <w:sz w:val="21"/>
        </w:rPr>
      </w:pPr>
    </w:p>
    <w:p w14:paraId="37248BF0">
      <w:pPr>
        <w:spacing w:line="274" w:lineRule="auto"/>
        <w:rPr>
          <w:rFonts w:ascii="Arial"/>
          <w:sz w:val="21"/>
        </w:rPr>
      </w:pPr>
    </w:p>
    <w:p w14:paraId="48227518">
      <w:pPr>
        <w:pStyle w:val="2"/>
        <w:spacing w:before="62" w:line="195" w:lineRule="auto"/>
        <w:rPr>
          <w:sz w:val="19"/>
          <w:szCs w:val="19"/>
        </w:rPr>
      </w:pPr>
      <w:r>
        <w:rPr>
          <w:spacing w:val="-3"/>
          <w:sz w:val="19"/>
          <w:szCs w:val="19"/>
        </w:rPr>
        <w:t>编制时间：</w:t>
      </w:r>
      <w:r>
        <w:rPr>
          <w:spacing w:val="13"/>
          <w:sz w:val="19"/>
          <w:szCs w:val="19"/>
        </w:rPr>
        <w:t xml:space="preserve">     </w:t>
      </w:r>
      <w:r>
        <w:rPr>
          <w:spacing w:val="-3"/>
          <w:sz w:val="19"/>
          <w:szCs w:val="19"/>
        </w:rPr>
        <w:t>年</w:t>
      </w:r>
      <w:r>
        <w:rPr>
          <w:spacing w:val="17"/>
          <w:sz w:val="19"/>
          <w:szCs w:val="19"/>
        </w:rPr>
        <w:t xml:space="preserve">    </w:t>
      </w:r>
      <w:r>
        <w:rPr>
          <w:spacing w:val="-3"/>
          <w:sz w:val="19"/>
          <w:szCs w:val="19"/>
        </w:rPr>
        <w:t>月     日             复核时间：</w:t>
      </w:r>
      <w:r>
        <w:rPr>
          <w:spacing w:val="5"/>
          <w:sz w:val="19"/>
          <w:szCs w:val="19"/>
        </w:rPr>
        <w:t xml:space="preserve">     </w:t>
      </w:r>
      <w:r>
        <w:rPr>
          <w:spacing w:val="-3"/>
          <w:sz w:val="19"/>
          <w:szCs w:val="19"/>
        </w:rPr>
        <w:t>年     月     日</w:t>
      </w:r>
    </w:p>
    <w:p w14:paraId="63C53391">
      <w:pPr>
        <w:spacing w:line="195" w:lineRule="auto"/>
        <w:rPr>
          <w:sz w:val="19"/>
          <w:szCs w:val="19"/>
        </w:rPr>
        <w:sectPr>
          <w:type w:val="continuous"/>
          <w:pgSz w:w="11910" w:h="16840"/>
          <w:pgMar w:top="400" w:right="1786" w:bottom="1024" w:left="1450" w:header="0" w:footer="889" w:gutter="0"/>
          <w:cols w:equalWidth="0" w:num="1">
            <w:col w:w="8674"/>
          </w:cols>
        </w:sectPr>
      </w:pPr>
    </w:p>
    <w:p w14:paraId="48B291AB">
      <w:pPr>
        <w:spacing w:line="259" w:lineRule="auto"/>
        <w:rPr>
          <w:rFonts w:ascii="Arial"/>
          <w:sz w:val="21"/>
        </w:rPr>
      </w:pPr>
    </w:p>
    <w:p w14:paraId="30B50967">
      <w:pPr>
        <w:spacing w:line="259" w:lineRule="auto"/>
        <w:rPr>
          <w:rFonts w:ascii="Arial"/>
          <w:sz w:val="21"/>
        </w:rPr>
      </w:pPr>
    </w:p>
    <w:p w14:paraId="320CC7EC">
      <w:pPr>
        <w:spacing w:line="259" w:lineRule="auto"/>
        <w:rPr>
          <w:rFonts w:ascii="Arial"/>
          <w:sz w:val="21"/>
        </w:rPr>
      </w:pPr>
    </w:p>
    <w:p w14:paraId="500468D7">
      <w:pPr>
        <w:spacing w:line="259" w:lineRule="auto"/>
        <w:rPr>
          <w:rFonts w:ascii="Arial"/>
          <w:sz w:val="21"/>
        </w:rPr>
      </w:pPr>
    </w:p>
    <w:p w14:paraId="02A5053E">
      <w:pPr>
        <w:spacing w:line="259" w:lineRule="auto"/>
        <w:rPr>
          <w:rFonts w:ascii="Arial"/>
          <w:sz w:val="21"/>
        </w:rPr>
      </w:pPr>
    </w:p>
    <w:p w14:paraId="6CB46846">
      <w:pPr>
        <w:spacing w:before="82" w:line="222" w:lineRule="auto"/>
        <w:ind w:left="87"/>
        <w:outlineLvl w:val="2"/>
        <w:rPr>
          <w:rFonts w:ascii="黑体" w:hAnsi="黑体" w:eastAsia="黑体" w:cs="黑体"/>
          <w:sz w:val="25"/>
          <w:szCs w:val="25"/>
        </w:rPr>
      </w:pPr>
      <w:bookmarkStart w:id="273" w:name="bookmark190"/>
      <w:bookmarkEnd w:id="273"/>
      <w:r>
        <w:rPr>
          <w:rFonts w:ascii="黑体" w:hAnsi="黑体" w:eastAsia="黑体" w:cs="黑体"/>
          <w:b/>
          <w:bCs/>
          <w:spacing w:val="4"/>
          <w:sz w:val="25"/>
          <w:szCs w:val="25"/>
        </w:rPr>
        <w:t>4.3投标总价封面</w:t>
      </w:r>
    </w:p>
    <w:p w14:paraId="63EEB7A9">
      <w:pPr>
        <w:spacing w:line="247" w:lineRule="auto"/>
        <w:rPr>
          <w:rFonts w:ascii="Arial"/>
          <w:sz w:val="21"/>
        </w:rPr>
      </w:pPr>
    </w:p>
    <w:p w14:paraId="70C96C2D">
      <w:pPr>
        <w:spacing w:line="247" w:lineRule="auto"/>
        <w:rPr>
          <w:rFonts w:ascii="Arial"/>
          <w:sz w:val="21"/>
        </w:rPr>
      </w:pPr>
    </w:p>
    <w:p w14:paraId="6F8C13A4">
      <w:pPr>
        <w:spacing w:line="247" w:lineRule="auto"/>
        <w:rPr>
          <w:rFonts w:ascii="Arial"/>
          <w:sz w:val="21"/>
        </w:rPr>
      </w:pPr>
    </w:p>
    <w:p w14:paraId="7F7B3A5B">
      <w:pPr>
        <w:spacing w:line="247" w:lineRule="auto"/>
        <w:rPr>
          <w:rFonts w:ascii="Arial"/>
          <w:sz w:val="21"/>
        </w:rPr>
      </w:pPr>
    </w:p>
    <w:p w14:paraId="3142921B">
      <w:pPr>
        <w:spacing w:line="248" w:lineRule="auto"/>
        <w:rPr>
          <w:rFonts w:ascii="Arial"/>
          <w:sz w:val="21"/>
        </w:rPr>
      </w:pPr>
    </w:p>
    <w:p w14:paraId="43156D58">
      <w:pPr>
        <w:spacing w:before="117" w:line="222" w:lineRule="auto"/>
        <w:ind w:left="3748"/>
        <w:rPr>
          <w:rFonts w:ascii="黑体" w:hAnsi="黑体" w:eastAsia="黑体" w:cs="黑体"/>
          <w:sz w:val="36"/>
          <w:szCs w:val="36"/>
        </w:rPr>
      </w:pPr>
      <w:bookmarkStart w:id="274" w:name="bookmark319"/>
      <w:bookmarkEnd w:id="274"/>
      <w:r>
        <w:rPr>
          <w:rFonts w:ascii="黑体" w:hAnsi="黑体" w:eastAsia="黑体" w:cs="黑体"/>
          <w:b/>
          <w:bCs/>
          <w:spacing w:val="14"/>
          <w:sz w:val="36"/>
          <w:szCs w:val="36"/>
        </w:rPr>
        <w:t>投标总价</w:t>
      </w:r>
    </w:p>
    <w:p w14:paraId="155557B7">
      <w:pPr>
        <w:spacing w:line="258" w:lineRule="auto"/>
        <w:rPr>
          <w:rFonts w:ascii="Arial"/>
          <w:sz w:val="21"/>
        </w:rPr>
      </w:pPr>
    </w:p>
    <w:p w14:paraId="3EC438CC">
      <w:pPr>
        <w:spacing w:line="258" w:lineRule="auto"/>
        <w:rPr>
          <w:rFonts w:ascii="Arial"/>
          <w:sz w:val="21"/>
        </w:rPr>
      </w:pPr>
    </w:p>
    <w:p w14:paraId="023A3528">
      <w:pPr>
        <w:spacing w:line="258" w:lineRule="auto"/>
        <w:rPr>
          <w:rFonts w:ascii="Arial"/>
          <w:sz w:val="21"/>
        </w:rPr>
      </w:pPr>
    </w:p>
    <w:p w14:paraId="40AAFD19">
      <w:pPr>
        <w:spacing w:line="258" w:lineRule="auto"/>
        <w:rPr>
          <w:rFonts w:ascii="Arial"/>
          <w:sz w:val="21"/>
        </w:rPr>
      </w:pPr>
    </w:p>
    <w:p w14:paraId="4A3FE2BB">
      <w:pPr>
        <w:spacing w:line="258" w:lineRule="auto"/>
        <w:rPr>
          <w:rFonts w:ascii="Arial"/>
          <w:sz w:val="21"/>
        </w:rPr>
      </w:pPr>
    </w:p>
    <w:p w14:paraId="7DF286C2">
      <w:pPr>
        <w:spacing w:line="258" w:lineRule="auto"/>
        <w:rPr>
          <w:rFonts w:ascii="Arial"/>
          <w:sz w:val="21"/>
        </w:rPr>
      </w:pPr>
    </w:p>
    <w:p w14:paraId="6F1B597D">
      <w:pPr>
        <w:spacing w:line="258" w:lineRule="auto"/>
        <w:rPr>
          <w:rFonts w:ascii="Arial"/>
          <w:sz w:val="21"/>
        </w:rPr>
      </w:pPr>
    </w:p>
    <w:p w14:paraId="64F44845">
      <w:pPr>
        <w:spacing w:line="258" w:lineRule="auto"/>
        <w:rPr>
          <w:rFonts w:ascii="Arial"/>
          <w:sz w:val="21"/>
        </w:rPr>
      </w:pPr>
    </w:p>
    <w:p w14:paraId="39B803A8">
      <w:pPr>
        <w:spacing w:line="259" w:lineRule="auto"/>
        <w:rPr>
          <w:rFonts w:ascii="Arial"/>
          <w:sz w:val="21"/>
        </w:rPr>
      </w:pPr>
    </w:p>
    <w:p w14:paraId="5E66E391">
      <w:pPr>
        <w:spacing w:line="259" w:lineRule="auto"/>
        <w:rPr>
          <w:rFonts w:ascii="Arial"/>
          <w:sz w:val="21"/>
        </w:rPr>
      </w:pPr>
    </w:p>
    <w:p w14:paraId="64733162">
      <w:pPr>
        <w:spacing w:line="259" w:lineRule="auto"/>
        <w:rPr>
          <w:rFonts w:ascii="Arial"/>
          <w:sz w:val="21"/>
        </w:rPr>
      </w:pPr>
    </w:p>
    <w:p w14:paraId="0C27EF4B">
      <w:pPr>
        <w:spacing w:line="259" w:lineRule="auto"/>
        <w:rPr>
          <w:rFonts w:ascii="Arial"/>
          <w:sz w:val="21"/>
        </w:rPr>
      </w:pPr>
    </w:p>
    <w:p w14:paraId="284FC6F2">
      <w:pPr>
        <w:pStyle w:val="2"/>
        <w:spacing w:before="81" w:line="220" w:lineRule="auto"/>
        <w:ind w:left="1723"/>
      </w:pPr>
      <w:r>
        <w:rPr>
          <w:spacing w:val="-17"/>
        </w:rPr>
        <w:t>投</w:t>
      </w:r>
      <w:r>
        <w:rPr>
          <w:spacing w:val="-40"/>
        </w:rPr>
        <w:t xml:space="preserve"> </w:t>
      </w:r>
      <w:r>
        <w:rPr>
          <w:spacing w:val="-17"/>
        </w:rPr>
        <w:t>标</w:t>
      </w:r>
      <w:r>
        <w:rPr>
          <w:spacing w:val="-39"/>
        </w:rPr>
        <w:t xml:space="preserve"> </w:t>
      </w:r>
      <w:r>
        <w:rPr>
          <w:spacing w:val="-17"/>
        </w:rPr>
        <w:t>人</w:t>
      </w:r>
      <w:r>
        <w:rPr>
          <w:spacing w:val="-49"/>
        </w:rPr>
        <w:t xml:space="preserve"> </w:t>
      </w:r>
      <w:r>
        <w:rPr>
          <w:spacing w:val="-17"/>
        </w:rPr>
        <w:t>：</w:t>
      </w:r>
      <w:r>
        <w:rPr>
          <w:u w:val="single" w:color="auto"/>
        </w:rPr>
        <w:t xml:space="preserve">                              </w:t>
      </w:r>
    </w:p>
    <w:p w14:paraId="1F53D01F">
      <w:pPr>
        <w:pStyle w:val="2"/>
        <w:spacing w:before="29" w:line="219" w:lineRule="auto"/>
        <w:ind w:left="4153"/>
      </w:pPr>
      <w:r>
        <w:rPr>
          <w:spacing w:val="-9"/>
        </w:rPr>
        <w:t>(单位盖章)</w:t>
      </w:r>
    </w:p>
    <w:p w14:paraId="5EE71A06">
      <w:pPr>
        <w:spacing w:line="243" w:lineRule="auto"/>
        <w:rPr>
          <w:rFonts w:ascii="Arial"/>
          <w:sz w:val="21"/>
        </w:rPr>
      </w:pPr>
    </w:p>
    <w:p w14:paraId="4D7ADE1A">
      <w:pPr>
        <w:spacing w:line="243" w:lineRule="auto"/>
        <w:rPr>
          <w:rFonts w:ascii="Arial"/>
          <w:sz w:val="21"/>
        </w:rPr>
      </w:pPr>
    </w:p>
    <w:p w14:paraId="16997B98">
      <w:pPr>
        <w:spacing w:line="243" w:lineRule="auto"/>
        <w:rPr>
          <w:rFonts w:ascii="Arial"/>
          <w:sz w:val="21"/>
        </w:rPr>
      </w:pPr>
    </w:p>
    <w:p w14:paraId="1F5F3330">
      <w:pPr>
        <w:spacing w:before="82" w:line="232" w:lineRule="auto"/>
        <w:ind w:left="3823"/>
        <w:rPr>
          <w:rFonts w:ascii="黑体" w:hAnsi="黑体" w:eastAsia="黑体" w:cs="黑体"/>
          <w:sz w:val="25"/>
          <w:szCs w:val="25"/>
        </w:rPr>
      </w:pPr>
      <w:r>
        <w:rPr>
          <w:rFonts w:ascii="黑体" w:hAnsi="黑体" w:eastAsia="黑体" w:cs="黑体"/>
          <w:spacing w:val="-9"/>
          <w:sz w:val="25"/>
          <w:szCs w:val="25"/>
        </w:rPr>
        <w:t>年</w:t>
      </w:r>
      <w:r>
        <w:rPr>
          <w:rFonts w:ascii="黑体" w:hAnsi="黑体" w:eastAsia="黑体" w:cs="黑体"/>
          <w:spacing w:val="17"/>
          <w:sz w:val="25"/>
          <w:szCs w:val="25"/>
        </w:rPr>
        <w:t xml:space="preserve">     </w:t>
      </w:r>
      <w:r>
        <w:rPr>
          <w:rFonts w:ascii="黑体" w:hAnsi="黑体" w:eastAsia="黑体" w:cs="黑体"/>
          <w:spacing w:val="-9"/>
          <w:sz w:val="25"/>
          <w:szCs w:val="25"/>
        </w:rPr>
        <w:t>月</w:t>
      </w:r>
      <w:r>
        <w:rPr>
          <w:rFonts w:ascii="黑体" w:hAnsi="黑体" w:eastAsia="黑体" w:cs="黑体"/>
          <w:spacing w:val="4"/>
          <w:sz w:val="25"/>
          <w:szCs w:val="25"/>
        </w:rPr>
        <w:t xml:space="preserve">      </w:t>
      </w:r>
      <w:r>
        <w:rPr>
          <w:rFonts w:ascii="黑体" w:hAnsi="黑体" w:eastAsia="黑体" w:cs="黑体"/>
          <w:spacing w:val="-9"/>
          <w:sz w:val="25"/>
          <w:szCs w:val="25"/>
        </w:rPr>
        <w:t>日</w:t>
      </w:r>
    </w:p>
    <w:p w14:paraId="0C477EC3">
      <w:pPr>
        <w:spacing w:line="232" w:lineRule="auto"/>
        <w:rPr>
          <w:rFonts w:ascii="黑体" w:hAnsi="黑体" w:eastAsia="黑体" w:cs="黑体"/>
          <w:sz w:val="25"/>
          <w:szCs w:val="25"/>
        </w:rPr>
        <w:sectPr>
          <w:footerReference r:id="rId297" w:type="default"/>
          <w:pgSz w:w="11910" w:h="16840"/>
          <w:pgMar w:top="400" w:right="1786" w:bottom="1024" w:left="1786" w:header="0" w:footer="889" w:gutter="0"/>
          <w:cols w:space="720" w:num="1"/>
        </w:sectPr>
      </w:pPr>
    </w:p>
    <w:p w14:paraId="6AB592D7">
      <w:pPr>
        <w:spacing w:line="259" w:lineRule="auto"/>
        <w:rPr>
          <w:rFonts w:ascii="Arial"/>
          <w:sz w:val="21"/>
        </w:rPr>
      </w:pPr>
    </w:p>
    <w:p w14:paraId="4F0632C5">
      <w:pPr>
        <w:spacing w:line="259" w:lineRule="auto"/>
        <w:rPr>
          <w:rFonts w:ascii="Arial"/>
          <w:sz w:val="21"/>
        </w:rPr>
      </w:pPr>
    </w:p>
    <w:p w14:paraId="60B25B5D">
      <w:pPr>
        <w:spacing w:line="259" w:lineRule="auto"/>
        <w:rPr>
          <w:rFonts w:ascii="Arial"/>
          <w:sz w:val="21"/>
        </w:rPr>
      </w:pPr>
    </w:p>
    <w:p w14:paraId="1A477BE1">
      <w:pPr>
        <w:spacing w:line="259" w:lineRule="auto"/>
        <w:rPr>
          <w:rFonts w:ascii="Arial"/>
          <w:sz w:val="21"/>
        </w:rPr>
      </w:pPr>
    </w:p>
    <w:p w14:paraId="78A7FACB">
      <w:pPr>
        <w:spacing w:line="259" w:lineRule="auto"/>
        <w:rPr>
          <w:rFonts w:ascii="Arial"/>
          <w:sz w:val="21"/>
        </w:rPr>
      </w:pPr>
    </w:p>
    <w:p w14:paraId="04169671">
      <w:pPr>
        <w:spacing w:before="82" w:line="222" w:lineRule="auto"/>
        <w:ind w:left="97"/>
        <w:outlineLvl w:val="2"/>
        <w:rPr>
          <w:rFonts w:ascii="黑体" w:hAnsi="黑体" w:eastAsia="黑体" w:cs="黑体"/>
          <w:sz w:val="25"/>
          <w:szCs w:val="25"/>
        </w:rPr>
      </w:pPr>
      <w:bookmarkStart w:id="275" w:name="bookmark191"/>
      <w:bookmarkEnd w:id="275"/>
      <w:r>
        <w:rPr>
          <w:rFonts w:ascii="黑体" w:hAnsi="黑体" w:eastAsia="黑体" w:cs="黑体"/>
          <w:b/>
          <w:bCs/>
          <w:spacing w:val="3"/>
          <w:sz w:val="25"/>
          <w:szCs w:val="25"/>
        </w:rPr>
        <w:t>4.4投标总价扉页</w:t>
      </w:r>
    </w:p>
    <w:p w14:paraId="74E42796">
      <w:pPr>
        <w:spacing w:line="265" w:lineRule="auto"/>
        <w:rPr>
          <w:rFonts w:ascii="Arial"/>
          <w:sz w:val="21"/>
        </w:rPr>
      </w:pPr>
    </w:p>
    <w:p w14:paraId="5CD5E188">
      <w:pPr>
        <w:spacing w:line="265" w:lineRule="auto"/>
        <w:rPr>
          <w:rFonts w:ascii="Arial"/>
          <w:sz w:val="21"/>
        </w:rPr>
      </w:pPr>
    </w:p>
    <w:p w14:paraId="1B80EC19">
      <w:pPr>
        <w:spacing w:line="265" w:lineRule="auto"/>
        <w:rPr>
          <w:rFonts w:ascii="Arial"/>
          <w:sz w:val="21"/>
        </w:rPr>
      </w:pPr>
    </w:p>
    <w:p w14:paraId="1558C586">
      <w:pPr>
        <w:spacing w:line="265" w:lineRule="auto"/>
        <w:rPr>
          <w:rFonts w:ascii="Arial"/>
          <w:sz w:val="21"/>
        </w:rPr>
      </w:pPr>
    </w:p>
    <w:p w14:paraId="3F736B4B">
      <w:pPr>
        <w:spacing w:before="104" w:line="222" w:lineRule="auto"/>
        <w:ind w:left="3768"/>
        <w:rPr>
          <w:rFonts w:ascii="黑体" w:hAnsi="黑体" w:eastAsia="黑体" w:cs="黑体"/>
          <w:sz w:val="32"/>
          <w:szCs w:val="32"/>
        </w:rPr>
      </w:pPr>
      <w:bookmarkStart w:id="276" w:name="bookmark320"/>
      <w:bookmarkEnd w:id="276"/>
      <w:r>
        <w:rPr>
          <w:rFonts w:ascii="黑体" w:hAnsi="黑体" w:eastAsia="黑体" w:cs="黑体"/>
          <w:b/>
          <w:bCs/>
          <w:spacing w:val="22"/>
          <w:sz w:val="32"/>
          <w:szCs w:val="32"/>
        </w:rPr>
        <w:t>投标总价</w:t>
      </w:r>
    </w:p>
    <w:p w14:paraId="4BD77CFB">
      <w:pPr>
        <w:spacing w:line="263" w:lineRule="auto"/>
        <w:rPr>
          <w:rFonts w:ascii="Arial"/>
          <w:sz w:val="21"/>
        </w:rPr>
      </w:pPr>
    </w:p>
    <w:p w14:paraId="632561B1">
      <w:pPr>
        <w:spacing w:line="263" w:lineRule="auto"/>
        <w:rPr>
          <w:rFonts w:ascii="Arial"/>
          <w:sz w:val="21"/>
        </w:rPr>
      </w:pPr>
    </w:p>
    <w:p w14:paraId="56B1F21D">
      <w:pPr>
        <w:spacing w:line="263" w:lineRule="auto"/>
        <w:rPr>
          <w:rFonts w:ascii="Arial"/>
          <w:sz w:val="21"/>
        </w:rPr>
      </w:pPr>
    </w:p>
    <w:p w14:paraId="643BD3F7">
      <w:pPr>
        <w:spacing w:line="263" w:lineRule="auto"/>
        <w:rPr>
          <w:rFonts w:ascii="Arial"/>
          <w:sz w:val="21"/>
        </w:rPr>
      </w:pPr>
    </w:p>
    <w:p w14:paraId="7673A096">
      <w:pPr>
        <w:spacing w:line="263" w:lineRule="auto"/>
        <w:rPr>
          <w:rFonts w:ascii="Arial"/>
          <w:sz w:val="21"/>
        </w:rPr>
      </w:pPr>
    </w:p>
    <w:p w14:paraId="734E6E4A">
      <w:pPr>
        <w:spacing w:line="264" w:lineRule="auto"/>
        <w:rPr>
          <w:rFonts w:ascii="Arial"/>
          <w:sz w:val="21"/>
        </w:rPr>
      </w:pPr>
    </w:p>
    <w:p w14:paraId="39BF54D2">
      <w:pPr>
        <w:pStyle w:val="2"/>
        <w:spacing w:before="69" w:line="220" w:lineRule="auto"/>
        <w:ind w:left="93"/>
        <w:rPr>
          <w:sz w:val="21"/>
          <w:szCs w:val="21"/>
        </w:rPr>
      </w:pPr>
      <w:r>
        <w:rPr>
          <w:spacing w:val="-23"/>
          <w:w w:val="90"/>
          <w:sz w:val="21"/>
          <w:szCs w:val="21"/>
        </w:rPr>
        <w:t>招</w:t>
      </w:r>
      <w:r>
        <w:rPr>
          <w:spacing w:val="28"/>
          <w:sz w:val="21"/>
          <w:szCs w:val="21"/>
        </w:rPr>
        <w:t xml:space="preserve"> </w:t>
      </w:r>
      <w:r>
        <w:rPr>
          <w:spacing w:val="-23"/>
          <w:w w:val="90"/>
          <w:sz w:val="21"/>
          <w:szCs w:val="21"/>
        </w:rPr>
        <w:t>标</w:t>
      </w:r>
      <w:r>
        <w:rPr>
          <w:spacing w:val="26"/>
          <w:sz w:val="21"/>
          <w:szCs w:val="21"/>
        </w:rPr>
        <w:t xml:space="preserve"> </w:t>
      </w:r>
      <w:r>
        <w:rPr>
          <w:spacing w:val="-23"/>
          <w:w w:val="90"/>
          <w:sz w:val="21"/>
          <w:szCs w:val="21"/>
        </w:rPr>
        <w:t>人</w:t>
      </w:r>
      <w:r>
        <w:rPr>
          <w:spacing w:val="15"/>
          <w:sz w:val="21"/>
          <w:szCs w:val="21"/>
        </w:rPr>
        <w:t xml:space="preserve"> </w:t>
      </w:r>
      <w:r>
        <w:rPr>
          <w:spacing w:val="-23"/>
          <w:w w:val="90"/>
          <w:sz w:val="21"/>
          <w:szCs w:val="21"/>
        </w:rPr>
        <w:t>：</w:t>
      </w:r>
      <w:r>
        <w:rPr>
          <w:sz w:val="21"/>
          <w:szCs w:val="21"/>
          <w:u w:val="single" w:color="auto"/>
        </w:rPr>
        <w:t xml:space="preserve">                                                                </w:t>
      </w:r>
    </w:p>
    <w:p w14:paraId="7923ECE0">
      <w:pPr>
        <w:spacing w:line="279" w:lineRule="auto"/>
        <w:rPr>
          <w:rFonts w:ascii="Arial"/>
          <w:sz w:val="21"/>
        </w:rPr>
      </w:pPr>
    </w:p>
    <w:p w14:paraId="1541D13E">
      <w:pPr>
        <w:pStyle w:val="2"/>
        <w:spacing w:before="69" w:line="220" w:lineRule="auto"/>
        <w:ind w:left="93"/>
        <w:rPr>
          <w:sz w:val="21"/>
          <w:szCs w:val="21"/>
        </w:rPr>
      </w:pPr>
      <w:r>
        <w:rPr>
          <w:spacing w:val="-1"/>
          <w:sz w:val="21"/>
          <w:szCs w:val="21"/>
        </w:rPr>
        <w:t>工程名称：</w:t>
      </w:r>
      <w:r>
        <w:rPr>
          <w:sz w:val="21"/>
          <w:szCs w:val="21"/>
          <w:u w:val="single" w:color="auto"/>
        </w:rPr>
        <w:t xml:space="preserve">                                                                </w:t>
      </w:r>
    </w:p>
    <w:p w14:paraId="37DFC221">
      <w:pPr>
        <w:rPr>
          <w:rFonts w:ascii="Arial"/>
          <w:sz w:val="21"/>
        </w:rPr>
      </w:pPr>
    </w:p>
    <w:p w14:paraId="366AF133">
      <w:pPr>
        <w:pStyle w:val="2"/>
        <w:spacing w:before="75" w:line="223" w:lineRule="auto"/>
        <w:ind w:left="93"/>
        <w:rPr>
          <w:sz w:val="23"/>
          <w:szCs w:val="23"/>
        </w:rPr>
      </w:pPr>
      <w:r>
        <w:rPr>
          <w:spacing w:val="9"/>
          <w:sz w:val="21"/>
          <w:szCs w:val="21"/>
        </w:rPr>
        <w:t xml:space="preserve">投标总价(小写): </w:t>
      </w:r>
      <w:r>
        <w:rPr>
          <w:spacing w:val="2"/>
          <w:position w:val="-1"/>
          <w:sz w:val="23"/>
          <w:szCs w:val="23"/>
          <w:u w:val="single" w:color="auto"/>
        </w:rPr>
        <w:t xml:space="preserve">                                              </w:t>
      </w:r>
      <w:r>
        <w:rPr>
          <w:spacing w:val="9"/>
          <w:position w:val="-1"/>
          <w:sz w:val="23"/>
          <w:szCs w:val="23"/>
          <w:u w:val="single" w:color="auto"/>
        </w:rPr>
        <w:t>元</w:t>
      </w:r>
      <w:r>
        <w:rPr>
          <w:spacing w:val="6"/>
          <w:position w:val="-1"/>
          <w:sz w:val="23"/>
          <w:szCs w:val="23"/>
          <w:u w:val="single" w:color="auto"/>
        </w:rPr>
        <w:t xml:space="preserve">   </w:t>
      </w:r>
    </w:p>
    <w:p w14:paraId="57075C23">
      <w:pPr>
        <w:spacing w:line="266" w:lineRule="auto"/>
        <w:rPr>
          <w:rFonts w:ascii="Arial"/>
          <w:sz w:val="21"/>
        </w:rPr>
      </w:pPr>
    </w:p>
    <w:p w14:paraId="21A20EE1">
      <w:pPr>
        <w:pStyle w:val="2"/>
        <w:spacing w:before="69" w:line="220" w:lineRule="auto"/>
        <w:ind w:left="983"/>
        <w:rPr>
          <w:sz w:val="21"/>
          <w:szCs w:val="21"/>
        </w:rPr>
      </w:pPr>
      <w:r>
        <w:rPr>
          <w:spacing w:val="-22"/>
          <w:sz w:val="21"/>
          <w:szCs w:val="21"/>
        </w:rPr>
        <w:t>(</w:t>
      </w:r>
      <w:r>
        <w:rPr>
          <w:spacing w:val="-26"/>
          <w:sz w:val="21"/>
          <w:szCs w:val="21"/>
        </w:rPr>
        <w:t xml:space="preserve"> </w:t>
      </w:r>
      <w:r>
        <w:rPr>
          <w:spacing w:val="-22"/>
          <w:sz w:val="21"/>
          <w:szCs w:val="21"/>
        </w:rPr>
        <w:t>大</w:t>
      </w:r>
      <w:r>
        <w:rPr>
          <w:spacing w:val="-25"/>
          <w:sz w:val="21"/>
          <w:szCs w:val="21"/>
        </w:rPr>
        <w:t xml:space="preserve"> </w:t>
      </w:r>
      <w:r>
        <w:rPr>
          <w:spacing w:val="-22"/>
          <w:sz w:val="21"/>
          <w:szCs w:val="21"/>
        </w:rPr>
        <w:t>写</w:t>
      </w:r>
      <w:r>
        <w:rPr>
          <w:spacing w:val="-30"/>
          <w:sz w:val="21"/>
          <w:szCs w:val="21"/>
        </w:rPr>
        <w:t xml:space="preserve"> </w:t>
      </w:r>
      <w:r>
        <w:rPr>
          <w:spacing w:val="-22"/>
          <w:sz w:val="21"/>
          <w:szCs w:val="21"/>
        </w:rPr>
        <w:t>)</w:t>
      </w:r>
      <w:r>
        <w:rPr>
          <w:sz w:val="21"/>
          <w:szCs w:val="21"/>
          <w:u w:val="single" w:color="auto"/>
        </w:rPr>
        <w:t xml:space="preserve"> </w:t>
      </w:r>
      <w:r>
        <w:rPr>
          <w:spacing w:val="-22"/>
          <w:sz w:val="21"/>
          <w:szCs w:val="21"/>
          <w:u w:val="single" w:color="auto"/>
        </w:rPr>
        <w:t>:</w:t>
      </w:r>
      <w:r>
        <w:rPr>
          <w:sz w:val="21"/>
          <w:szCs w:val="21"/>
          <w:u w:val="single" w:color="auto"/>
        </w:rPr>
        <w:t xml:space="preserve">                                                   </w:t>
      </w:r>
      <w:r>
        <w:rPr>
          <w:spacing w:val="-22"/>
          <w:sz w:val="21"/>
          <w:szCs w:val="21"/>
          <w:u w:val="single" w:color="auto"/>
        </w:rPr>
        <w:t>元</w:t>
      </w:r>
      <w:r>
        <w:rPr>
          <w:spacing w:val="6"/>
          <w:sz w:val="21"/>
          <w:szCs w:val="21"/>
          <w:u w:val="single" w:color="auto"/>
        </w:rPr>
        <w:t xml:space="preserve">   </w:t>
      </w:r>
    </w:p>
    <w:p w14:paraId="0527E731">
      <w:pPr>
        <w:spacing w:line="245" w:lineRule="auto"/>
        <w:rPr>
          <w:rFonts w:ascii="Arial"/>
          <w:sz w:val="21"/>
        </w:rPr>
      </w:pPr>
    </w:p>
    <w:p w14:paraId="0151EBF6">
      <w:pPr>
        <w:spacing w:line="245" w:lineRule="auto"/>
        <w:rPr>
          <w:rFonts w:ascii="Arial"/>
          <w:sz w:val="21"/>
        </w:rPr>
      </w:pPr>
    </w:p>
    <w:p w14:paraId="27AE833A">
      <w:pPr>
        <w:spacing w:line="245" w:lineRule="auto"/>
        <w:rPr>
          <w:rFonts w:ascii="Arial"/>
          <w:sz w:val="21"/>
        </w:rPr>
      </w:pPr>
    </w:p>
    <w:p w14:paraId="5B7B9434">
      <w:pPr>
        <w:spacing w:line="245" w:lineRule="auto"/>
        <w:rPr>
          <w:rFonts w:ascii="Arial"/>
          <w:sz w:val="21"/>
        </w:rPr>
      </w:pPr>
    </w:p>
    <w:p w14:paraId="7576D3A3">
      <w:pPr>
        <w:spacing w:line="246" w:lineRule="auto"/>
        <w:rPr>
          <w:rFonts w:ascii="Arial"/>
          <w:sz w:val="21"/>
        </w:rPr>
      </w:pPr>
    </w:p>
    <w:p w14:paraId="0B8A64D7">
      <w:pPr>
        <w:pStyle w:val="2"/>
        <w:spacing w:before="75" w:line="220" w:lineRule="auto"/>
        <w:ind w:left="93"/>
        <w:rPr>
          <w:sz w:val="23"/>
          <w:szCs w:val="23"/>
        </w:rPr>
      </w:pPr>
      <w:r>
        <w:rPr>
          <w:sz w:val="23"/>
          <w:szCs w:val="23"/>
        </w:rPr>
        <w:t>投标人：</w:t>
      </w:r>
      <w:r>
        <w:rPr>
          <w:spacing w:val="14"/>
          <w:sz w:val="23"/>
          <w:szCs w:val="23"/>
        </w:rPr>
        <w:t xml:space="preserve"> </w:t>
      </w:r>
      <w:r>
        <w:rPr>
          <w:sz w:val="23"/>
          <w:szCs w:val="23"/>
          <w:u w:val="single" w:color="auto"/>
        </w:rPr>
        <w:t xml:space="preserve">                                                          </w:t>
      </w:r>
    </w:p>
    <w:p w14:paraId="32A57E61">
      <w:pPr>
        <w:pStyle w:val="2"/>
        <w:spacing w:before="53" w:line="219" w:lineRule="auto"/>
        <w:ind w:left="3913"/>
        <w:rPr>
          <w:sz w:val="21"/>
          <w:szCs w:val="21"/>
        </w:rPr>
      </w:pPr>
      <w:r>
        <w:rPr>
          <w:spacing w:val="-4"/>
          <w:sz w:val="21"/>
          <w:szCs w:val="21"/>
        </w:rPr>
        <w:t>(单位盖章)</w:t>
      </w:r>
    </w:p>
    <w:p w14:paraId="56FFA708">
      <w:pPr>
        <w:spacing w:line="262" w:lineRule="auto"/>
        <w:rPr>
          <w:rFonts w:ascii="Arial"/>
          <w:sz w:val="21"/>
        </w:rPr>
      </w:pPr>
    </w:p>
    <w:p w14:paraId="28E6FB25">
      <w:pPr>
        <w:pStyle w:val="2"/>
        <w:spacing w:before="68" w:line="219" w:lineRule="auto"/>
        <w:ind w:left="93"/>
        <w:rPr>
          <w:sz w:val="21"/>
          <w:szCs w:val="21"/>
        </w:rPr>
      </w:pPr>
      <w:r>
        <w:rPr>
          <w:spacing w:val="-2"/>
          <w:sz w:val="21"/>
          <w:szCs w:val="21"/>
        </w:rPr>
        <w:t>法定代表人</w:t>
      </w:r>
    </w:p>
    <w:p w14:paraId="27CD611D">
      <w:pPr>
        <w:spacing w:line="260" w:lineRule="auto"/>
        <w:rPr>
          <w:rFonts w:ascii="Arial"/>
          <w:sz w:val="21"/>
        </w:rPr>
      </w:pPr>
    </w:p>
    <w:p w14:paraId="07966873">
      <w:pPr>
        <w:pStyle w:val="2"/>
        <w:spacing w:before="69" w:line="219" w:lineRule="auto"/>
        <w:ind w:left="93"/>
        <w:rPr>
          <w:sz w:val="21"/>
          <w:szCs w:val="21"/>
        </w:rPr>
      </w:pPr>
      <w:r>
        <w:rPr>
          <w:sz w:val="21"/>
          <w:szCs w:val="21"/>
        </w:rPr>
        <w:t>或其授权人：</w:t>
      </w:r>
      <w:r>
        <w:rPr>
          <w:sz w:val="21"/>
          <w:szCs w:val="21"/>
          <w:u w:val="single" w:color="auto"/>
        </w:rPr>
        <w:t xml:space="preserve">                                                             </w:t>
      </w:r>
    </w:p>
    <w:p w14:paraId="5518ED88">
      <w:pPr>
        <w:pStyle w:val="2"/>
        <w:spacing w:before="40" w:line="219" w:lineRule="auto"/>
        <w:ind w:left="3713"/>
        <w:rPr>
          <w:sz w:val="21"/>
          <w:szCs w:val="21"/>
        </w:rPr>
      </w:pPr>
      <w:r>
        <w:rPr>
          <w:spacing w:val="-6"/>
          <w:sz w:val="21"/>
          <w:szCs w:val="21"/>
        </w:rPr>
        <w:t>(签字或盖章)</w:t>
      </w:r>
    </w:p>
    <w:p w14:paraId="44238A9F">
      <w:pPr>
        <w:spacing w:line="332" w:lineRule="auto"/>
        <w:rPr>
          <w:rFonts w:ascii="Arial"/>
          <w:sz w:val="21"/>
        </w:rPr>
      </w:pPr>
    </w:p>
    <w:p w14:paraId="3FE33E79">
      <w:pPr>
        <w:pStyle w:val="2"/>
        <w:spacing w:before="68" w:line="219" w:lineRule="auto"/>
        <w:ind w:left="93"/>
        <w:rPr>
          <w:sz w:val="21"/>
          <w:szCs w:val="21"/>
        </w:rPr>
      </w:pPr>
      <w:r>
        <w:rPr>
          <w:spacing w:val="-11"/>
          <w:sz w:val="21"/>
          <w:szCs w:val="21"/>
        </w:rPr>
        <w:t>编制人：</w:t>
      </w:r>
    </w:p>
    <w:p w14:paraId="10A135CF">
      <w:pPr>
        <w:spacing w:line="328" w:lineRule="auto"/>
        <w:rPr>
          <w:rFonts w:ascii="Arial"/>
          <w:sz w:val="21"/>
        </w:rPr>
      </w:pPr>
      <w:r>
        <w:drawing>
          <wp:anchor distT="0" distB="0" distL="0" distR="0" simplePos="0" relativeHeight="251744256" behindDoc="0" locked="0" layoutInCell="1" allowOverlap="1">
            <wp:simplePos x="0" y="0"/>
            <wp:positionH relativeFrom="column">
              <wp:posOffset>586105</wp:posOffset>
            </wp:positionH>
            <wp:positionV relativeFrom="paragraph">
              <wp:posOffset>165735</wp:posOffset>
            </wp:positionV>
            <wp:extent cx="4368800" cy="6350"/>
            <wp:effectExtent l="0" t="0" r="0" b="0"/>
            <wp:wrapNone/>
            <wp:docPr id="206" name="IM 206"/>
            <wp:cNvGraphicFramePr/>
            <a:graphic xmlns:a="http://schemas.openxmlformats.org/drawingml/2006/main">
              <a:graphicData uri="http://schemas.openxmlformats.org/drawingml/2006/picture">
                <pic:pic xmlns:pic="http://schemas.openxmlformats.org/drawingml/2006/picture">
                  <pic:nvPicPr>
                    <pic:cNvPr id="206" name="IM 206"/>
                    <pic:cNvPicPr/>
                  </pic:nvPicPr>
                  <pic:blipFill>
                    <a:blip r:embed="rId491"/>
                    <a:stretch>
                      <a:fillRect/>
                    </a:stretch>
                  </pic:blipFill>
                  <pic:spPr>
                    <a:xfrm>
                      <a:off x="0" y="0"/>
                      <a:ext cx="4368831" cy="6350"/>
                    </a:xfrm>
                    <a:prstGeom prst="rect">
                      <a:avLst/>
                    </a:prstGeom>
                  </pic:spPr>
                </pic:pic>
              </a:graphicData>
            </a:graphic>
          </wp:anchor>
        </w:drawing>
      </w:r>
    </w:p>
    <w:p w14:paraId="25513A65">
      <w:pPr>
        <w:pStyle w:val="2"/>
        <w:spacing w:before="69" w:line="218" w:lineRule="auto"/>
        <w:ind w:left="3283"/>
        <w:rPr>
          <w:sz w:val="21"/>
          <w:szCs w:val="21"/>
        </w:rPr>
      </w:pPr>
      <w:r>
        <w:rPr>
          <w:spacing w:val="-2"/>
          <w:sz w:val="21"/>
          <w:szCs w:val="21"/>
        </w:rPr>
        <w:t>(造价人员签字盖专用章)</w:t>
      </w:r>
    </w:p>
    <w:p w14:paraId="0B2FBBC9">
      <w:pPr>
        <w:spacing w:line="264" w:lineRule="auto"/>
        <w:rPr>
          <w:rFonts w:ascii="Arial"/>
          <w:sz w:val="21"/>
        </w:rPr>
      </w:pPr>
    </w:p>
    <w:p w14:paraId="1B5830EF">
      <w:pPr>
        <w:spacing w:line="264" w:lineRule="auto"/>
        <w:rPr>
          <w:rFonts w:ascii="Arial"/>
          <w:sz w:val="21"/>
        </w:rPr>
      </w:pPr>
    </w:p>
    <w:p w14:paraId="70095A01">
      <w:pPr>
        <w:spacing w:line="264" w:lineRule="auto"/>
        <w:rPr>
          <w:rFonts w:ascii="Arial"/>
          <w:sz w:val="21"/>
        </w:rPr>
      </w:pPr>
    </w:p>
    <w:p w14:paraId="37CD9898">
      <w:pPr>
        <w:pStyle w:val="2"/>
        <w:spacing w:before="69" w:line="226" w:lineRule="auto"/>
        <w:ind w:left="93"/>
        <w:rPr>
          <w:rFonts w:ascii="黑体" w:hAnsi="黑体" w:eastAsia="黑体" w:cs="黑体"/>
          <w:sz w:val="21"/>
          <w:szCs w:val="21"/>
        </w:rPr>
      </w:pPr>
      <w:r>
        <w:rPr>
          <w:spacing w:val="-1"/>
          <w:sz w:val="21"/>
          <w:szCs w:val="21"/>
        </w:rPr>
        <w:t>编制时间：              年</w:t>
      </w:r>
      <w:r>
        <w:rPr>
          <w:spacing w:val="3"/>
          <w:sz w:val="21"/>
          <w:szCs w:val="21"/>
        </w:rPr>
        <w:t xml:space="preserve">      </w:t>
      </w:r>
      <w:r>
        <w:rPr>
          <w:rFonts w:ascii="黑体" w:hAnsi="黑体" w:eastAsia="黑体" w:cs="黑体"/>
          <w:spacing w:val="-2"/>
          <w:sz w:val="21"/>
          <w:szCs w:val="21"/>
        </w:rPr>
        <w:t>月</w:t>
      </w:r>
      <w:r>
        <w:rPr>
          <w:rFonts w:ascii="黑体" w:hAnsi="黑体" w:eastAsia="黑体" w:cs="黑体"/>
          <w:spacing w:val="7"/>
          <w:sz w:val="21"/>
          <w:szCs w:val="21"/>
        </w:rPr>
        <w:t xml:space="preserve">      </w:t>
      </w:r>
      <w:r>
        <w:rPr>
          <w:rFonts w:ascii="黑体" w:hAnsi="黑体" w:eastAsia="黑体" w:cs="黑体"/>
          <w:spacing w:val="-2"/>
          <w:sz w:val="21"/>
          <w:szCs w:val="21"/>
        </w:rPr>
        <w:t>日</w:t>
      </w:r>
    </w:p>
    <w:p w14:paraId="2407BDA9">
      <w:pPr>
        <w:spacing w:line="275" w:lineRule="auto"/>
        <w:rPr>
          <w:rFonts w:ascii="Arial"/>
          <w:sz w:val="21"/>
        </w:rPr>
      </w:pPr>
    </w:p>
    <w:p w14:paraId="5C5D1311">
      <w:pPr>
        <w:spacing w:line="275" w:lineRule="auto"/>
        <w:rPr>
          <w:rFonts w:ascii="Arial"/>
          <w:sz w:val="21"/>
        </w:rPr>
      </w:pPr>
    </w:p>
    <w:p w14:paraId="2487EF2F">
      <w:pPr>
        <w:spacing w:line="275" w:lineRule="auto"/>
        <w:rPr>
          <w:rFonts w:ascii="Arial"/>
          <w:sz w:val="21"/>
        </w:rPr>
      </w:pPr>
    </w:p>
    <w:p w14:paraId="13BB8E6C">
      <w:pPr>
        <w:pStyle w:val="2"/>
        <w:spacing w:before="69" w:line="218" w:lineRule="auto"/>
        <w:ind w:left="93"/>
        <w:rPr>
          <w:sz w:val="21"/>
          <w:szCs w:val="21"/>
        </w:rPr>
      </w:pPr>
      <w:r>
        <w:rPr>
          <w:spacing w:val="-1"/>
          <w:sz w:val="21"/>
          <w:szCs w:val="21"/>
        </w:rPr>
        <w:t>注：投标总价可按四舍五入精确到元</w:t>
      </w:r>
    </w:p>
    <w:p w14:paraId="6C54F2DD">
      <w:pPr>
        <w:spacing w:line="218" w:lineRule="auto"/>
        <w:rPr>
          <w:sz w:val="21"/>
          <w:szCs w:val="21"/>
        </w:rPr>
        <w:sectPr>
          <w:footerReference r:id="rId298" w:type="default"/>
          <w:pgSz w:w="11910" w:h="16840"/>
          <w:pgMar w:top="400" w:right="1786" w:bottom="1024" w:left="1786" w:header="0" w:footer="889" w:gutter="0"/>
          <w:cols w:space="720" w:num="1"/>
        </w:sectPr>
      </w:pPr>
    </w:p>
    <w:p w14:paraId="41590B2F">
      <w:pPr>
        <w:spacing w:line="259" w:lineRule="auto"/>
        <w:rPr>
          <w:rFonts w:ascii="Arial"/>
          <w:sz w:val="21"/>
        </w:rPr>
      </w:pPr>
    </w:p>
    <w:p w14:paraId="37F7A88A">
      <w:pPr>
        <w:spacing w:line="259" w:lineRule="auto"/>
        <w:rPr>
          <w:rFonts w:ascii="Arial"/>
          <w:sz w:val="21"/>
        </w:rPr>
      </w:pPr>
    </w:p>
    <w:p w14:paraId="58DC4326">
      <w:pPr>
        <w:spacing w:line="259" w:lineRule="auto"/>
        <w:rPr>
          <w:rFonts w:ascii="Arial"/>
          <w:sz w:val="21"/>
        </w:rPr>
      </w:pPr>
    </w:p>
    <w:p w14:paraId="7BB64241">
      <w:pPr>
        <w:spacing w:line="259" w:lineRule="auto"/>
        <w:rPr>
          <w:rFonts w:ascii="Arial"/>
          <w:sz w:val="21"/>
        </w:rPr>
      </w:pPr>
    </w:p>
    <w:p w14:paraId="7E0D8400">
      <w:pPr>
        <w:spacing w:line="259" w:lineRule="auto"/>
        <w:rPr>
          <w:rFonts w:ascii="Arial"/>
          <w:sz w:val="21"/>
        </w:rPr>
      </w:pPr>
    </w:p>
    <w:p w14:paraId="5B257588">
      <w:pPr>
        <w:spacing w:before="81" w:line="221" w:lineRule="auto"/>
        <w:ind w:left="413"/>
        <w:outlineLvl w:val="2"/>
        <w:rPr>
          <w:rFonts w:ascii="黑体" w:hAnsi="黑体" w:eastAsia="黑体" w:cs="黑体"/>
          <w:sz w:val="25"/>
          <w:szCs w:val="25"/>
        </w:rPr>
      </w:pPr>
      <w:bookmarkStart w:id="277" w:name="bookmark192"/>
      <w:bookmarkEnd w:id="277"/>
      <w:bookmarkStart w:id="278" w:name="bookmark321"/>
      <w:bookmarkEnd w:id="278"/>
      <w:r>
        <w:rPr>
          <w:rFonts w:ascii="黑体" w:hAnsi="黑体" w:eastAsia="黑体" w:cs="黑体"/>
          <w:b/>
          <w:bCs/>
          <w:spacing w:val="7"/>
          <w:sz w:val="25"/>
          <w:szCs w:val="25"/>
        </w:rPr>
        <w:t>4.5总说明表</w:t>
      </w:r>
    </w:p>
    <w:p w14:paraId="3951163B">
      <w:pPr>
        <w:spacing w:before="61" w:line="221" w:lineRule="auto"/>
        <w:ind w:left="4173"/>
        <w:rPr>
          <w:rFonts w:ascii="黑体" w:hAnsi="黑体" w:eastAsia="黑体" w:cs="黑体"/>
          <w:sz w:val="28"/>
          <w:szCs w:val="28"/>
        </w:rPr>
      </w:pPr>
      <w:r>
        <w:rPr>
          <w:rFonts w:ascii="黑体" w:hAnsi="黑体" w:eastAsia="黑体" w:cs="黑体"/>
          <w:b/>
          <w:bCs/>
          <w:spacing w:val="-14"/>
          <w:sz w:val="28"/>
          <w:szCs w:val="28"/>
        </w:rPr>
        <w:t>总</w:t>
      </w:r>
      <w:r>
        <w:rPr>
          <w:rFonts w:ascii="黑体" w:hAnsi="黑体" w:eastAsia="黑体" w:cs="黑体"/>
          <w:spacing w:val="28"/>
          <w:sz w:val="28"/>
          <w:szCs w:val="28"/>
        </w:rPr>
        <w:t xml:space="preserve"> </w:t>
      </w:r>
      <w:r>
        <w:rPr>
          <w:rFonts w:ascii="黑体" w:hAnsi="黑体" w:eastAsia="黑体" w:cs="黑体"/>
          <w:b/>
          <w:bCs/>
          <w:spacing w:val="-14"/>
          <w:sz w:val="28"/>
          <w:szCs w:val="28"/>
        </w:rPr>
        <w:t>说</w:t>
      </w:r>
      <w:r>
        <w:rPr>
          <w:rFonts w:ascii="黑体" w:hAnsi="黑体" w:eastAsia="黑体" w:cs="黑体"/>
          <w:spacing w:val="37"/>
          <w:sz w:val="28"/>
          <w:szCs w:val="28"/>
        </w:rPr>
        <w:t xml:space="preserve"> </w:t>
      </w:r>
      <w:r>
        <w:rPr>
          <w:rFonts w:ascii="黑体" w:hAnsi="黑体" w:eastAsia="黑体" w:cs="黑体"/>
          <w:b/>
          <w:bCs/>
          <w:spacing w:val="-14"/>
          <w:sz w:val="28"/>
          <w:szCs w:val="28"/>
        </w:rPr>
        <w:t>明</w:t>
      </w:r>
    </w:p>
    <w:p w14:paraId="793D0C0F">
      <w:pPr>
        <w:spacing w:line="303" w:lineRule="auto"/>
        <w:rPr>
          <w:rFonts w:ascii="Arial"/>
          <w:sz w:val="21"/>
        </w:rPr>
      </w:pPr>
    </w:p>
    <w:p w14:paraId="24747D8B">
      <w:pPr>
        <w:pStyle w:val="2"/>
        <w:spacing w:before="62" w:line="220" w:lineRule="auto"/>
        <w:rPr>
          <w:sz w:val="19"/>
          <w:szCs w:val="19"/>
        </w:rPr>
      </w:pPr>
      <w:r>
        <w:rPr>
          <w:spacing w:val="-1"/>
          <w:sz w:val="19"/>
          <w:szCs w:val="19"/>
        </w:rPr>
        <w:t xml:space="preserve">工程名称：                                  </w:t>
      </w:r>
      <w:r>
        <w:rPr>
          <w:spacing w:val="-2"/>
          <w:sz w:val="19"/>
          <w:szCs w:val="19"/>
        </w:rPr>
        <w:t xml:space="preserve">             第</w:t>
      </w:r>
      <w:r>
        <w:rPr>
          <w:spacing w:val="29"/>
          <w:sz w:val="19"/>
          <w:szCs w:val="19"/>
        </w:rPr>
        <w:t xml:space="preserve">  </w:t>
      </w:r>
      <w:r>
        <w:rPr>
          <w:spacing w:val="-2"/>
          <w:sz w:val="19"/>
          <w:szCs w:val="19"/>
        </w:rPr>
        <w:t>页</w:t>
      </w:r>
      <w:r>
        <w:rPr>
          <w:spacing w:val="42"/>
          <w:sz w:val="19"/>
          <w:szCs w:val="19"/>
        </w:rPr>
        <w:t xml:space="preserve"> </w:t>
      </w:r>
      <w:r>
        <w:rPr>
          <w:spacing w:val="-2"/>
          <w:sz w:val="19"/>
          <w:szCs w:val="19"/>
        </w:rPr>
        <w:t>共</w:t>
      </w:r>
      <w:r>
        <w:rPr>
          <w:spacing w:val="16"/>
          <w:sz w:val="19"/>
          <w:szCs w:val="19"/>
        </w:rPr>
        <w:t xml:space="preserve">  </w:t>
      </w:r>
      <w:r>
        <w:rPr>
          <w:spacing w:val="-2"/>
          <w:sz w:val="19"/>
          <w:szCs w:val="19"/>
        </w:rPr>
        <w:t>页</w:t>
      </w:r>
    </w:p>
    <w:p w14:paraId="08FBFE71">
      <w:pPr>
        <w:spacing w:line="130" w:lineRule="exact"/>
      </w:pPr>
    </w:p>
    <w:tbl>
      <w:tblPr>
        <w:tblStyle w:val="5"/>
        <w:tblW w:w="8430" w:type="dxa"/>
        <w:tblInd w:w="229"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0" w:type="dxa"/>
          <w:bottom w:w="0" w:type="dxa"/>
          <w:right w:w="0" w:type="dxa"/>
        </w:tblCellMar>
      </w:tblPr>
      <w:tblGrid>
        <w:gridCol w:w="8430"/>
      </w:tblGrid>
      <w:tr w14:paraId="536614BF">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10719" w:hRule="atLeast"/>
        </w:trPr>
        <w:tc>
          <w:tcPr>
            <w:tcW w:w="8430" w:type="dxa"/>
            <w:vAlign w:val="top"/>
          </w:tcPr>
          <w:p w14:paraId="0699523E">
            <w:pPr>
              <w:rPr>
                <w:rFonts w:ascii="Arial"/>
                <w:sz w:val="21"/>
              </w:rPr>
            </w:pPr>
          </w:p>
        </w:tc>
      </w:tr>
    </w:tbl>
    <w:p w14:paraId="61F8FCB1">
      <w:pPr>
        <w:rPr>
          <w:rFonts w:ascii="Arial"/>
          <w:sz w:val="21"/>
        </w:rPr>
      </w:pPr>
    </w:p>
    <w:p w14:paraId="7216EF21">
      <w:pPr>
        <w:rPr>
          <w:rFonts w:ascii="Arial" w:hAnsi="Arial" w:eastAsia="Arial" w:cs="Arial"/>
          <w:sz w:val="21"/>
          <w:szCs w:val="21"/>
        </w:rPr>
        <w:sectPr>
          <w:footerReference r:id="rId299" w:type="default"/>
          <w:pgSz w:w="11910" w:h="16840"/>
          <w:pgMar w:top="400" w:right="1784" w:bottom="1024" w:left="1460" w:header="0" w:footer="889" w:gutter="0"/>
          <w:cols w:space="720" w:num="1"/>
        </w:sectPr>
      </w:pPr>
    </w:p>
    <w:p w14:paraId="4801E3BB">
      <w:pPr>
        <w:spacing w:line="259" w:lineRule="auto"/>
        <w:rPr>
          <w:rFonts w:ascii="Arial"/>
          <w:sz w:val="21"/>
        </w:rPr>
      </w:pPr>
    </w:p>
    <w:p w14:paraId="582EDD2B">
      <w:pPr>
        <w:spacing w:line="259" w:lineRule="auto"/>
        <w:rPr>
          <w:rFonts w:ascii="Arial"/>
          <w:sz w:val="21"/>
        </w:rPr>
      </w:pPr>
    </w:p>
    <w:p w14:paraId="3DB824C3">
      <w:pPr>
        <w:spacing w:line="259" w:lineRule="auto"/>
        <w:rPr>
          <w:rFonts w:ascii="Arial"/>
          <w:sz w:val="21"/>
        </w:rPr>
      </w:pPr>
    </w:p>
    <w:p w14:paraId="0F0000D8">
      <w:pPr>
        <w:spacing w:line="259" w:lineRule="auto"/>
        <w:rPr>
          <w:rFonts w:ascii="Arial"/>
          <w:sz w:val="21"/>
        </w:rPr>
      </w:pPr>
    </w:p>
    <w:p w14:paraId="0C635E53">
      <w:pPr>
        <w:spacing w:line="259" w:lineRule="auto"/>
        <w:rPr>
          <w:rFonts w:ascii="Arial"/>
          <w:sz w:val="21"/>
        </w:rPr>
      </w:pPr>
    </w:p>
    <w:p w14:paraId="6152D987">
      <w:pPr>
        <w:spacing w:before="82" w:line="222" w:lineRule="auto"/>
        <w:ind w:left="413"/>
        <w:outlineLvl w:val="2"/>
        <w:rPr>
          <w:rFonts w:ascii="黑体" w:hAnsi="黑体" w:eastAsia="黑体" w:cs="黑体"/>
          <w:sz w:val="25"/>
          <w:szCs w:val="25"/>
        </w:rPr>
      </w:pPr>
      <w:bookmarkStart w:id="279" w:name="bookmark322"/>
      <w:bookmarkEnd w:id="279"/>
      <w:bookmarkStart w:id="280" w:name="bookmark193"/>
      <w:bookmarkEnd w:id="280"/>
      <w:r>
        <w:rPr>
          <w:rFonts w:ascii="黑体" w:hAnsi="黑体" w:eastAsia="黑体" w:cs="黑体"/>
          <w:b/>
          <w:bCs/>
          <w:spacing w:val="-2"/>
          <w:sz w:val="25"/>
          <w:szCs w:val="25"/>
        </w:rPr>
        <w:t>4.6建设项目投标报价汇总表</w:t>
      </w:r>
    </w:p>
    <w:p w14:paraId="3274307B">
      <w:pPr>
        <w:spacing w:before="50" w:line="222" w:lineRule="auto"/>
        <w:ind w:left="3184"/>
        <w:rPr>
          <w:rFonts w:ascii="黑体" w:hAnsi="黑体" w:eastAsia="黑体" w:cs="黑体"/>
          <w:sz w:val="29"/>
          <w:szCs w:val="29"/>
        </w:rPr>
      </w:pPr>
      <w:r>
        <w:rPr>
          <w:rFonts w:ascii="黑体" w:hAnsi="黑体" w:eastAsia="黑体" w:cs="黑体"/>
          <w:b/>
          <w:bCs/>
          <w:spacing w:val="-8"/>
          <w:sz w:val="29"/>
          <w:szCs w:val="29"/>
        </w:rPr>
        <w:t>建设项目投标报价汇总表</w:t>
      </w:r>
    </w:p>
    <w:p w14:paraId="42C5FADA">
      <w:pPr>
        <w:spacing w:line="286" w:lineRule="auto"/>
        <w:rPr>
          <w:rFonts w:ascii="Arial"/>
          <w:sz w:val="21"/>
        </w:rPr>
      </w:pPr>
    </w:p>
    <w:p w14:paraId="2B64EEB1">
      <w:pPr>
        <w:pStyle w:val="2"/>
        <w:spacing w:before="65" w:line="220" w:lineRule="auto"/>
        <w:rPr>
          <w:sz w:val="20"/>
          <w:szCs w:val="20"/>
        </w:rPr>
      </w:pPr>
      <w:r>
        <w:rPr>
          <w:spacing w:val="-2"/>
          <w:sz w:val="20"/>
          <w:szCs w:val="20"/>
        </w:rPr>
        <w:t>工程名称：</w:t>
      </w:r>
      <w:r>
        <w:rPr>
          <w:spacing w:val="2"/>
          <w:sz w:val="20"/>
          <w:szCs w:val="20"/>
        </w:rPr>
        <w:t xml:space="preserve">                                             </w:t>
      </w:r>
      <w:r>
        <w:rPr>
          <w:spacing w:val="-2"/>
          <w:sz w:val="20"/>
          <w:szCs w:val="20"/>
        </w:rPr>
        <w:t>第  页</w:t>
      </w:r>
      <w:r>
        <w:rPr>
          <w:spacing w:val="16"/>
          <w:sz w:val="20"/>
          <w:szCs w:val="20"/>
        </w:rPr>
        <w:t xml:space="preserve">  </w:t>
      </w:r>
      <w:r>
        <w:rPr>
          <w:spacing w:val="-2"/>
          <w:sz w:val="20"/>
          <w:szCs w:val="20"/>
        </w:rPr>
        <w:t>共</w:t>
      </w:r>
      <w:r>
        <w:rPr>
          <w:spacing w:val="19"/>
          <w:sz w:val="20"/>
          <w:szCs w:val="20"/>
        </w:rPr>
        <w:t xml:space="preserve">  </w:t>
      </w:r>
      <w:r>
        <w:rPr>
          <w:spacing w:val="-2"/>
          <w:sz w:val="20"/>
          <w:szCs w:val="20"/>
        </w:rPr>
        <w:t>页</w:t>
      </w:r>
    </w:p>
    <w:p w14:paraId="47B9EB69">
      <w:pPr>
        <w:spacing w:line="148" w:lineRule="exact"/>
      </w:pPr>
    </w:p>
    <w:tbl>
      <w:tblPr>
        <w:tblStyle w:val="5"/>
        <w:tblW w:w="8569" w:type="dxa"/>
        <w:tblInd w:w="1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4"/>
        <w:gridCol w:w="3326"/>
        <w:gridCol w:w="1218"/>
        <w:gridCol w:w="969"/>
        <w:gridCol w:w="1388"/>
        <w:gridCol w:w="934"/>
      </w:tblGrid>
      <w:tr w14:paraId="334B0E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4" w:hRule="atLeast"/>
        </w:trPr>
        <w:tc>
          <w:tcPr>
            <w:tcW w:w="734" w:type="dxa"/>
            <w:vMerge w:val="restart"/>
            <w:tcBorders>
              <w:bottom w:val="nil"/>
            </w:tcBorders>
            <w:vAlign w:val="top"/>
          </w:tcPr>
          <w:p w14:paraId="4E8D9D9E">
            <w:pPr>
              <w:spacing w:line="433" w:lineRule="auto"/>
              <w:rPr>
                <w:rFonts w:ascii="Arial"/>
                <w:sz w:val="21"/>
              </w:rPr>
            </w:pPr>
          </w:p>
          <w:p w14:paraId="727D9F88">
            <w:pPr>
              <w:pStyle w:val="6"/>
              <w:spacing w:before="69" w:line="221" w:lineRule="auto"/>
              <w:ind w:left="144"/>
            </w:pPr>
            <w:r>
              <w:rPr>
                <w:spacing w:val="6"/>
              </w:rPr>
              <w:t>序号</w:t>
            </w:r>
          </w:p>
        </w:tc>
        <w:tc>
          <w:tcPr>
            <w:tcW w:w="3326" w:type="dxa"/>
            <w:vMerge w:val="restart"/>
            <w:tcBorders>
              <w:bottom w:val="nil"/>
            </w:tcBorders>
            <w:vAlign w:val="top"/>
          </w:tcPr>
          <w:p w14:paraId="1A976695">
            <w:pPr>
              <w:spacing w:line="433" w:lineRule="auto"/>
              <w:rPr>
                <w:rFonts w:ascii="Arial"/>
                <w:sz w:val="21"/>
              </w:rPr>
            </w:pPr>
          </w:p>
          <w:p w14:paraId="27EE2D6D">
            <w:pPr>
              <w:pStyle w:val="6"/>
              <w:spacing w:before="68" w:line="220" w:lineRule="auto"/>
              <w:ind w:left="1030"/>
            </w:pPr>
            <w:r>
              <w:rPr>
                <w:spacing w:val="1"/>
              </w:rPr>
              <w:t>单项工程名称</w:t>
            </w:r>
          </w:p>
        </w:tc>
        <w:tc>
          <w:tcPr>
            <w:tcW w:w="1218" w:type="dxa"/>
            <w:vMerge w:val="restart"/>
            <w:tcBorders>
              <w:bottom w:val="nil"/>
            </w:tcBorders>
            <w:vAlign w:val="top"/>
          </w:tcPr>
          <w:p w14:paraId="1FF6FC06">
            <w:pPr>
              <w:spacing w:line="432" w:lineRule="auto"/>
              <w:rPr>
                <w:rFonts w:ascii="Arial"/>
                <w:sz w:val="21"/>
              </w:rPr>
            </w:pPr>
          </w:p>
          <w:p w14:paraId="4E7F354F">
            <w:pPr>
              <w:pStyle w:val="6"/>
              <w:spacing w:before="69" w:line="219" w:lineRule="auto"/>
              <w:ind w:left="134"/>
            </w:pPr>
            <w:r>
              <w:rPr>
                <w:spacing w:val="9"/>
              </w:rPr>
              <w:t>金额(元)</w:t>
            </w:r>
          </w:p>
        </w:tc>
        <w:tc>
          <w:tcPr>
            <w:tcW w:w="3291" w:type="dxa"/>
            <w:gridSpan w:val="3"/>
            <w:vAlign w:val="top"/>
          </w:tcPr>
          <w:p w14:paraId="51BDB867">
            <w:pPr>
              <w:pStyle w:val="6"/>
              <w:spacing w:before="194" w:line="220" w:lineRule="auto"/>
              <w:ind w:left="987"/>
            </w:pPr>
            <w:r>
              <w:rPr>
                <w:spacing w:val="-1"/>
              </w:rPr>
              <w:t>其</w:t>
            </w:r>
            <w:r>
              <w:rPr>
                <w:spacing w:val="46"/>
              </w:rPr>
              <w:t xml:space="preserve"> </w:t>
            </w:r>
            <w:r>
              <w:rPr>
                <w:spacing w:val="-1"/>
              </w:rPr>
              <w:t>中：(元)</w:t>
            </w:r>
          </w:p>
        </w:tc>
      </w:tr>
      <w:tr w14:paraId="6E101D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trPr>
        <w:tc>
          <w:tcPr>
            <w:tcW w:w="734" w:type="dxa"/>
            <w:vMerge w:val="continue"/>
            <w:tcBorders>
              <w:top w:val="nil"/>
            </w:tcBorders>
            <w:vAlign w:val="top"/>
          </w:tcPr>
          <w:p w14:paraId="1C78D144">
            <w:pPr>
              <w:rPr>
                <w:rFonts w:ascii="Arial"/>
                <w:sz w:val="21"/>
              </w:rPr>
            </w:pPr>
          </w:p>
        </w:tc>
        <w:tc>
          <w:tcPr>
            <w:tcW w:w="3326" w:type="dxa"/>
            <w:vMerge w:val="continue"/>
            <w:tcBorders>
              <w:top w:val="nil"/>
            </w:tcBorders>
            <w:vAlign w:val="top"/>
          </w:tcPr>
          <w:p w14:paraId="232C74C8">
            <w:pPr>
              <w:rPr>
                <w:rFonts w:ascii="Arial"/>
                <w:sz w:val="21"/>
              </w:rPr>
            </w:pPr>
          </w:p>
        </w:tc>
        <w:tc>
          <w:tcPr>
            <w:tcW w:w="1218" w:type="dxa"/>
            <w:vMerge w:val="continue"/>
            <w:tcBorders>
              <w:top w:val="nil"/>
            </w:tcBorders>
            <w:vAlign w:val="top"/>
          </w:tcPr>
          <w:p w14:paraId="5214266C">
            <w:pPr>
              <w:rPr>
                <w:rFonts w:ascii="Arial"/>
                <w:sz w:val="21"/>
              </w:rPr>
            </w:pPr>
          </w:p>
        </w:tc>
        <w:tc>
          <w:tcPr>
            <w:tcW w:w="969" w:type="dxa"/>
            <w:vAlign w:val="top"/>
          </w:tcPr>
          <w:p w14:paraId="062590C6">
            <w:pPr>
              <w:pStyle w:val="6"/>
              <w:spacing w:before="197" w:line="218" w:lineRule="auto"/>
              <w:ind w:left="197"/>
            </w:pPr>
            <w:r>
              <w:rPr>
                <w:spacing w:val="2"/>
              </w:rPr>
              <w:t>暂估价</w:t>
            </w:r>
          </w:p>
        </w:tc>
        <w:tc>
          <w:tcPr>
            <w:tcW w:w="1388" w:type="dxa"/>
            <w:vAlign w:val="top"/>
          </w:tcPr>
          <w:p w14:paraId="61D26A0B">
            <w:pPr>
              <w:pStyle w:val="6"/>
              <w:spacing w:before="59" w:line="233" w:lineRule="auto"/>
              <w:ind w:left="378" w:right="247" w:hanging="110"/>
            </w:pPr>
            <w:r>
              <w:rPr>
                <w:spacing w:val="5"/>
              </w:rPr>
              <w:t>安全文明</w:t>
            </w:r>
            <w:r>
              <w:rPr>
                <w:spacing w:val="1"/>
              </w:rPr>
              <w:t xml:space="preserve"> </w:t>
            </w:r>
            <w:r>
              <w:rPr>
                <w:spacing w:val="4"/>
              </w:rPr>
              <w:t>施工费</w:t>
            </w:r>
          </w:p>
        </w:tc>
        <w:tc>
          <w:tcPr>
            <w:tcW w:w="934" w:type="dxa"/>
            <w:vAlign w:val="top"/>
          </w:tcPr>
          <w:p w14:paraId="061E627E">
            <w:pPr>
              <w:pStyle w:val="6"/>
              <w:spacing w:before="70" w:line="220" w:lineRule="auto"/>
              <w:ind w:left="240"/>
            </w:pPr>
            <w:r>
              <w:rPr>
                <w:spacing w:val="6"/>
              </w:rPr>
              <w:t>规费</w:t>
            </w:r>
          </w:p>
        </w:tc>
      </w:tr>
      <w:tr w14:paraId="5FDE73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734" w:type="dxa"/>
            <w:vAlign w:val="top"/>
          </w:tcPr>
          <w:p w14:paraId="247C21D5">
            <w:pPr>
              <w:pStyle w:val="6"/>
              <w:spacing w:before="210" w:line="241" w:lineRule="auto"/>
              <w:ind w:left="305"/>
            </w:pPr>
            <w:r>
              <w:t>1</w:t>
            </w:r>
          </w:p>
        </w:tc>
        <w:tc>
          <w:tcPr>
            <w:tcW w:w="3326" w:type="dxa"/>
            <w:vAlign w:val="top"/>
          </w:tcPr>
          <w:p w14:paraId="50E9E67F">
            <w:pPr>
              <w:pStyle w:val="6"/>
              <w:spacing w:before="190" w:line="220" w:lineRule="auto"/>
              <w:ind w:left="111"/>
            </w:pPr>
            <w:r>
              <w:rPr>
                <w:spacing w:val="-2"/>
              </w:rPr>
              <w:t>单项工程</w:t>
            </w:r>
          </w:p>
        </w:tc>
        <w:tc>
          <w:tcPr>
            <w:tcW w:w="1218" w:type="dxa"/>
            <w:vAlign w:val="top"/>
          </w:tcPr>
          <w:p w14:paraId="415B4523">
            <w:pPr>
              <w:rPr>
                <w:rFonts w:ascii="Arial"/>
                <w:sz w:val="21"/>
              </w:rPr>
            </w:pPr>
          </w:p>
        </w:tc>
        <w:tc>
          <w:tcPr>
            <w:tcW w:w="969" w:type="dxa"/>
            <w:vAlign w:val="top"/>
          </w:tcPr>
          <w:p w14:paraId="0F1E5E98">
            <w:pPr>
              <w:rPr>
                <w:rFonts w:ascii="Arial"/>
                <w:sz w:val="21"/>
              </w:rPr>
            </w:pPr>
          </w:p>
        </w:tc>
        <w:tc>
          <w:tcPr>
            <w:tcW w:w="1388" w:type="dxa"/>
            <w:vAlign w:val="top"/>
          </w:tcPr>
          <w:p w14:paraId="1C1CD431">
            <w:pPr>
              <w:rPr>
                <w:rFonts w:ascii="Arial"/>
                <w:sz w:val="21"/>
              </w:rPr>
            </w:pPr>
          </w:p>
        </w:tc>
        <w:tc>
          <w:tcPr>
            <w:tcW w:w="934" w:type="dxa"/>
            <w:vAlign w:val="top"/>
          </w:tcPr>
          <w:p w14:paraId="2C60F408">
            <w:pPr>
              <w:rPr>
                <w:rFonts w:ascii="Arial"/>
                <w:sz w:val="21"/>
              </w:rPr>
            </w:pPr>
          </w:p>
        </w:tc>
      </w:tr>
      <w:tr w14:paraId="17BA2B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trPr>
        <w:tc>
          <w:tcPr>
            <w:tcW w:w="734" w:type="dxa"/>
            <w:vAlign w:val="top"/>
          </w:tcPr>
          <w:p w14:paraId="52511E31">
            <w:pPr>
              <w:rPr>
                <w:rFonts w:ascii="Arial"/>
                <w:sz w:val="21"/>
              </w:rPr>
            </w:pPr>
          </w:p>
        </w:tc>
        <w:tc>
          <w:tcPr>
            <w:tcW w:w="3326" w:type="dxa"/>
            <w:vAlign w:val="top"/>
          </w:tcPr>
          <w:p w14:paraId="7F164ADA">
            <w:pPr>
              <w:rPr>
                <w:rFonts w:ascii="Arial"/>
                <w:sz w:val="21"/>
              </w:rPr>
            </w:pPr>
          </w:p>
        </w:tc>
        <w:tc>
          <w:tcPr>
            <w:tcW w:w="1218" w:type="dxa"/>
            <w:vAlign w:val="top"/>
          </w:tcPr>
          <w:p w14:paraId="2CE82165">
            <w:pPr>
              <w:rPr>
                <w:rFonts w:ascii="Arial"/>
                <w:sz w:val="21"/>
              </w:rPr>
            </w:pPr>
          </w:p>
        </w:tc>
        <w:tc>
          <w:tcPr>
            <w:tcW w:w="969" w:type="dxa"/>
            <w:vAlign w:val="top"/>
          </w:tcPr>
          <w:p w14:paraId="60282DA5">
            <w:pPr>
              <w:rPr>
                <w:rFonts w:ascii="Arial"/>
                <w:sz w:val="21"/>
              </w:rPr>
            </w:pPr>
          </w:p>
        </w:tc>
        <w:tc>
          <w:tcPr>
            <w:tcW w:w="1388" w:type="dxa"/>
            <w:vAlign w:val="top"/>
          </w:tcPr>
          <w:p w14:paraId="17E40839">
            <w:pPr>
              <w:rPr>
                <w:rFonts w:ascii="Arial"/>
                <w:sz w:val="21"/>
              </w:rPr>
            </w:pPr>
          </w:p>
        </w:tc>
        <w:tc>
          <w:tcPr>
            <w:tcW w:w="934" w:type="dxa"/>
            <w:vAlign w:val="top"/>
          </w:tcPr>
          <w:p w14:paraId="0E63DCB6">
            <w:pPr>
              <w:rPr>
                <w:rFonts w:ascii="Arial"/>
                <w:sz w:val="21"/>
              </w:rPr>
            </w:pPr>
          </w:p>
        </w:tc>
      </w:tr>
      <w:tr w14:paraId="425D9C23">
        <w:tblPrEx>
          <w:tblCellMar>
            <w:top w:w="0" w:type="dxa"/>
            <w:left w:w="0" w:type="dxa"/>
            <w:bottom w:w="0" w:type="dxa"/>
            <w:right w:w="0" w:type="dxa"/>
          </w:tblCellMar>
        </w:tblPrEx>
        <w:trPr>
          <w:trHeight w:val="579" w:hRule="atLeast"/>
        </w:trPr>
        <w:tc>
          <w:tcPr>
            <w:tcW w:w="734" w:type="dxa"/>
            <w:vAlign w:val="top"/>
          </w:tcPr>
          <w:p w14:paraId="0968CB1F">
            <w:pPr>
              <w:rPr>
                <w:rFonts w:ascii="Arial"/>
                <w:sz w:val="21"/>
              </w:rPr>
            </w:pPr>
          </w:p>
        </w:tc>
        <w:tc>
          <w:tcPr>
            <w:tcW w:w="3326" w:type="dxa"/>
            <w:vAlign w:val="top"/>
          </w:tcPr>
          <w:p w14:paraId="09D810A7">
            <w:pPr>
              <w:pStyle w:val="6"/>
              <w:spacing w:before="190" w:line="219" w:lineRule="auto"/>
              <w:ind w:left="111"/>
            </w:pPr>
            <w:r>
              <w:t>建设项目数据：</w:t>
            </w:r>
          </w:p>
        </w:tc>
        <w:tc>
          <w:tcPr>
            <w:tcW w:w="1218" w:type="dxa"/>
            <w:vAlign w:val="top"/>
          </w:tcPr>
          <w:p w14:paraId="42E5A8D9">
            <w:pPr>
              <w:rPr>
                <w:rFonts w:ascii="Arial"/>
                <w:sz w:val="21"/>
              </w:rPr>
            </w:pPr>
          </w:p>
        </w:tc>
        <w:tc>
          <w:tcPr>
            <w:tcW w:w="969" w:type="dxa"/>
            <w:vAlign w:val="top"/>
          </w:tcPr>
          <w:p w14:paraId="78300677">
            <w:pPr>
              <w:rPr>
                <w:rFonts w:ascii="Arial"/>
                <w:sz w:val="21"/>
              </w:rPr>
            </w:pPr>
          </w:p>
        </w:tc>
        <w:tc>
          <w:tcPr>
            <w:tcW w:w="1388" w:type="dxa"/>
            <w:vAlign w:val="top"/>
          </w:tcPr>
          <w:p w14:paraId="6B442EB8">
            <w:pPr>
              <w:rPr>
                <w:rFonts w:ascii="Arial"/>
                <w:sz w:val="21"/>
              </w:rPr>
            </w:pPr>
          </w:p>
        </w:tc>
        <w:tc>
          <w:tcPr>
            <w:tcW w:w="934" w:type="dxa"/>
            <w:vAlign w:val="top"/>
          </w:tcPr>
          <w:p w14:paraId="7FFF377D">
            <w:pPr>
              <w:rPr>
                <w:rFonts w:ascii="Arial"/>
                <w:sz w:val="21"/>
              </w:rPr>
            </w:pPr>
          </w:p>
        </w:tc>
      </w:tr>
      <w:tr w14:paraId="1EE674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734" w:type="dxa"/>
            <w:vAlign w:val="top"/>
          </w:tcPr>
          <w:p w14:paraId="75DE3180">
            <w:pPr>
              <w:rPr>
                <w:rFonts w:ascii="Arial"/>
                <w:sz w:val="21"/>
              </w:rPr>
            </w:pPr>
          </w:p>
        </w:tc>
        <w:tc>
          <w:tcPr>
            <w:tcW w:w="3326" w:type="dxa"/>
            <w:vAlign w:val="top"/>
          </w:tcPr>
          <w:p w14:paraId="7246BCB4">
            <w:pPr>
              <w:pStyle w:val="6"/>
              <w:spacing w:before="182" w:line="220" w:lineRule="auto"/>
              <w:ind w:left="111"/>
            </w:pPr>
            <w:r>
              <w:rPr>
                <w:spacing w:val="4"/>
              </w:rPr>
              <w:t>人工费</w:t>
            </w:r>
          </w:p>
        </w:tc>
        <w:tc>
          <w:tcPr>
            <w:tcW w:w="1218" w:type="dxa"/>
            <w:vAlign w:val="top"/>
          </w:tcPr>
          <w:p w14:paraId="6B539444">
            <w:pPr>
              <w:rPr>
                <w:rFonts w:ascii="Arial"/>
                <w:sz w:val="21"/>
              </w:rPr>
            </w:pPr>
          </w:p>
        </w:tc>
        <w:tc>
          <w:tcPr>
            <w:tcW w:w="969" w:type="dxa"/>
            <w:vAlign w:val="top"/>
          </w:tcPr>
          <w:p w14:paraId="5EB9F83D">
            <w:pPr>
              <w:rPr>
                <w:rFonts w:ascii="Arial"/>
                <w:sz w:val="21"/>
              </w:rPr>
            </w:pPr>
          </w:p>
        </w:tc>
        <w:tc>
          <w:tcPr>
            <w:tcW w:w="1388" w:type="dxa"/>
            <w:vAlign w:val="top"/>
          </w:tcPr>
          <w:p w14:paraId="10DCB270">
            <w:pPr>
              <w:rPr>
                <w:rFonts w:ascii="Arial"/>
                <w:sz w:val="21"/>
              </w:rPr>
            </w:pPr>
          </w:p>
        </w:tc>
        <w:tc>
          <w:tcPr>
            <w:tcW w:w="934" w:type="dxa"/>
            <w:vAlign w:val="top"/>
          </w:tcPr>
          <w:p w14:paraId="26291DD5">
            <w:pPr>
              <w:rPr>
                <w:rFonts w:ascii="Arial"/>
                <w:sz w:val="21"/>
              </w:rPr>
            </w:pPr>
          </w:p>
        </w:tc>
      </w:tr>
      <w:tr w14:paraId="142AB1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0" w:hRule="atLeast"/>
        </w:trPr>
        <w:tc>
          <w:tcPr>
            <w:tcW w:w="734" w:type="dxa"/>
            <w:vAlign w:val="top"/>
          </w:tcPr>
          <w:p w14:paraId="2B731044">
            <w:pPr>
              <w:rPr>
                <w:rFonts w:ascii="Arial"/>
                <w:sz w:val="21"/>
              </w:rPr>
            </w:pPr>
          </w:p>
        </w:tc>
        <w:tc>
          <w:tcPr>
            <w:tcW w:w="3326" w:type="dxa"/>
            <w:vAlign w:val="top"/>
          </w:tcPr>
          <w:p w14:paraId="59406D77">
            <w:pPr>
              <w:pStyle w:val="6"/>
              <w:spacing w:before="181" w:line="219" w:lineRule="auto"/>
              <w:ind w:left="111"/>
            </w:pPr>
            <w:r>
              <w:rPr>
                <w:spacing w:val="4"/>
              </w:rPr>
              <w:t>材料费</w:t>
            </w:r>
          </w:p>
        </w:tc>
        <w:tc>
          <w:tcPr>
            <w:tcW w:w="1218" w:type="dxa"/>
            <w:vAlign w:val="top"/>
          </w:tcPr>
          <w:p w14:paraId="25E4139C">
            <w:pPr>
              <w:rPr>
                <w:rFonts w:ascii="Arial"/>
                <w:sz w:val="21"/>
              </w:rPr>
            </w:pPr>
          </w:p>
        </w:tc>
        <w:tc>
          <w:tcPr>
            <w:tcW w:w="969" w:type="dxa"/>
            <w:vAlign w:val="top"/>
          </w:tcPr>
          <w:p w14:paraId="47A47318">
            <w:pPr>
              <w:rPr>
                <w:rFonts w:ascii="Arial"/>
                <w:sz w:val="21"/>
              </w:rPr>
            </w:pPr>
          </w:p>
        </w:tc>
        <w:tc>
          <w:tcPr>
            <w:tcW w:w="1388" w:type="dxa"/>
            <w:vAlign w:val="top"/>
          </w:tcPr>
          <w:p w14:paraId="5B143179">
            <w:pPr>
              <w:rPr>
                <w:rFonts w:ascii="Arial"/>
                <w:sz w:val="21"/>
              </w:rPr>
            </w:pPr>
          </w:p>
        </w:tc>
        <w:tc>
          <w:tcPr>
            <w:tcW w:w="934" w:type="dxa"/>
            <w:vAlign w:val="top"/>
          </w:tcPr>
          <w:p w14:paraId="3CE17ABD">
            <w:pPr>
              <w:rPr>
                <w:rFonts w:ascii="Arial"/>
                <w:sz w:val="21"/>
              </w:rPr>
            </w:pPr>
          </w:p>
        </w:tc>
      </w:tr>
      <w:tr w14:paraId="4752E0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0" w:hRule="atLeast"/>
        </w:trPr>
        <w:tc>
          <w:tcPr>
            <w:tcW w:w="734" w:type="dxa"/>
            <w:vAlign w:val="top"/>
          </w:tcPr>
          <w:p w14:paraId="4433D90E">
            <w:pPr>
              <w:rPr>
                <w:rFonts w:ascii="Arial"/>
                <w:sz w:val="21"/>
              </w:rPr>
            </w:pPr>
          </w:p>
        </w:tc>
        <w:tc>
          <w:tcPr>
            <w:tcW w:w="3326" w:type="dxa"/>
            <w:vAlign w:val="top"/>
          </w:tcPr>
          <w:p w14:paraId="5CBAF5BF">
            <w:pPr>
              <w:pStyle w:val="6"/>
              <w:spacing w:before="191" w:line="219" w:lineRule="auto"/>
              <w:ind w:left="111"/>
            </w:pPr>
            <w:r>
              <w:rPr>
                <w:spacing w:val="4"/>
              </w:rPr>
              <w:t>机械费</w:t>
            </w:r>
          </w:p>
        </w:tc>
        <w:tc>
          <w:tcPr>
            <w:tcW w:w="1218" w:type="dxa"/>
            <w:vAlign w:val="top"/>
          </w:tcPr>
          <w:p w14:paraId="1BA05DC4">
            <w:pPr>
              <w:rPr>
                <w:rFonts w:ascii="Arial"/>
                <w:sz w:val="21"/>
              </w:rPr>
            </w:pPr>
          </w:p>
        </w:tc>
        <w:tc>
          <w:tcPr>
            <w:tcW w:w="969" w:type="dxa"/>
            <w:vAlign w:val="top"/>
          </w:tcPr>
          <w:p w14:paraId="075571B3">
            <w:pPr>
              <w:rPr>
                <w:rFonts w:ascii="Arial"/>
                <w:sz w:val="21"/>
              </w:rPr>
            </w:pPr>
          </w:p>
        </w:tc>
        <w:tc>
          <w:tcPr>
            <w:tcW w:w="1388" w:type="dxa"/>
            <w:vAlign w:val="top"/>
          </w:tcPr>
          <w:p w14:paraId="3278820C">
            <w:pPr>
              <w:rPr>
                <w:rFonts w:ascii="Arial"/>
                <w:sz w:val="21"/>
              </w:rPr>
            </w:pPr>
          </w:p>
        </w:tc>
        <w:tc>
          <w:tcPr>
            <w:tcW w:w="934" w:type="dxa"/>
            <w:vAlign w:val="top"/>
          </w:tcPr>
          <w:p w14:paraId="2C40FE4A">
            <w:pPr>
              <w:rPr>
                <w:rFonts w:ascii="Arial"/>
                <w:sz w:val="21"/>
              </w:rPr>
            </w:pPr>
          </w:p>
        </w:tc>
      </w:tr>
      <w:tr w14:paraId="326B44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9" w:hRule="atLeast"/>
        </w:trPr>
        <w:tc>
          <w:tcPr>
            <w:tcW w:w="734" w:type="dxa"/>
            <w:vAlign w:val="top"/>
          </w:tcPr>
          <w:p w14:paraId="45BF69E4">
            <w:pPr>
              <w:rPr>
                <w:rFonts w:ascii="Arial"/>
                <w:sz w:val="21"/>
              </w:rPr>
            </w:pPr>
          </w:p>
        </w:tc>
        <w:tc>
          <w:tcPr>
            <w:tcW w:w="3326" w:type="dxa"/>
            <w:vAlign w:val="top"/>
          </w:tcPr>
          <w:p w14:paraId="7F0BB9BD">
            <w:pPr>
              <w:pStyle w:val="6"/>
              <w:spacing w:before="203" w:line="220" w:lineRule="auto"/>
              <w:ind w:left="111"/>
            </w:pPr>
            <w:r>
              <w:rPr>
                <w:spacing w:val="4"/>
              </w:rPr>
              <w:t>设备费</w:t>
            </w:r>
          </w:p>
        </w:tc>
        <w:tc>
          <w:tcPr>
            <w:tcW w:w="1218" w:type="dxa"/>
            <w:vAlign w:val="top"/>
          </w:tcPr>
          <w:p w14:paraId="5447915F">
            <w:pPr>
              <w:rPr>
                <w:rFonts w:ascii="Arial"/>
                <w:sz w:val="21"/>
              </w:rPr>
            </w:pPr>
          </w:p>
        </w:tc>
        <w:tc>
          <w:tcPr>
            <w:tcW w:w="969" w:type="dxa"/>
            <w:vAlign w:val="top"/>
          </w:tcPr>
          <w:p w14:paraId="47C79A98">
            <w:pPr>
              <w:rPr>
                <w:rFonts w:ascii="Arial"/>
                <w:sz w:val="21"/>
              </w:rPr>
            </w:pPr>
          </w:p>
        </w:tc>
        <w:tc>
          <w:tcPr>
            <w:tcW w:w="1388" w:type="dxa"/>
            <w:vAlign w:val="top"/>
          </w:tcPr>
          <w:p w14:paraId="4E4598F1">
            <w:pPr>
              <w:rPr>
                <w:rFonts w:ascii="Arial"/>
                <w:sz w:val="21"/>
              </w:rPr>
            </w:pPr>
          </w:p>
        </w:tc>
        <w:tc>
          <w:tcPr>
            <w:tcW w:w="934" w:type="dxa"/>
            <w:vAlign w:val="top"/>
          </w:tcPr>
          <w:p w14:paraId="482DFF2C">
            <w:pPr>
              <w:rPr>
                <w:rFonts w:ascii="Arial"/>
                <w:sz w:val="21"/>
              </w:rPr>
            </w:pPr>
          </w:p>
        </w:tc>
      </w:tr>
      <w:tr w14:paraId="313E8C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734" w:type="dxa"/>
            <w:vAlign w:val="top"/>
          </w:tcPr>
          <w:p w14:paraId="46E493C5">
            <w:pPr>
              <w:rPr>
                <w:rFonts w:ascii="Arial"/>
                <w:sz w:val="21"/>
              </w:rPr>
            </w:pPr>
          </w:p>
        </w:tc>
        <w:tc>
          <w:tcPr>
            <w:tcW w:w="3326" w:type="dxa"/>
            <w:vAlign w:val="top"/>
          </w:tcPr>
          <w:p w14:paraId="42CBDCEE">
            <w:pPr>
              <w:pStyle w:val="6"/>
              <w:spacing w:before="182" w:line="219" w:lineRule="auto"/>
              <w:ind w:left="111"/>
            </w:pPr>
            <w:r>
              <w:rPr>
                <w:spacing w:val="4"/>
              </w:rPr>
              <w:t>主材费</w:t>
            </w:r>
          </w:p>
        </w:tc>
        <w:tc>
          <w:tcPr>
            <w:tcW w:w="1218" w:type="dxa"/>
            <w:vAlign w:val="top"/>
          </w:tcPr>
          <w:p w14:paraId="21A67F93">
            <w:pPr>
              <w:rPr>
                <w:rFonts w:ascii="Arial"/>
                <w:sz w:val="21"/>
              </w:rPr>
            </w:pPr>
          </w:p>
        </w:tc>
        <w:tc>
          <w:tcPr>
            <w:tcW w:w="969" w:type="dxa"/>
            <w:vAlign w:val="top"/>
          </w:tcPr>
          <w:p w14:paraId="77D09803">
            <w:pPr>
              <w:rPr>
                <w:rFonts w:ascii="Arial"/>
                <w:sz w:val="21"/>
              </w:rPr>
            </w:pPr>
          </w:p>
        </w:tc>
        <w:tc>
          <w:tcPr>
            <w:tcW w:w="1388" w:type="dxa"/>
            <w:vAlign w:val="top"/>
          </w:tcPr>
          <w:p w14:paraId="03C50C47">
            <w:pPr>
              <w:rPr>
                <w:rFonts w:ascii="Arial"/>
                <w:sz w:val="21"/>
              </w:rPr>
            </w:pPr>
          </w:p>
        </w:tc>
        <w:tc>
          <w:tcPr>
            <w:tcW w:w="934" w:type="dxa"/>
            <w:vAlign w:val="top"/>
          </w:tcPr>
          <w:p w14:paraId="504069A6">
            <w:pPr>
              <w:rPr>
                <w:rFonts w:ascii="Arial"/>
                <w:sz w:val="21"/>
              </w:rPr>
            </w:pPr>
          </w:p>
        </w:tc>
      </w:tr>
      <w:tr w14:paraId="1EAE46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0" w:hRule="atLeast"/>
        </w:trPr>
        <w:tc>
          <w:tcPr>
            <w:tcW w:w="734" w:type="dxa"/>
            <w:vAlign w:val="top"/>
          </w:tcPr>
          <w:p w14:paraId="74C81552">
            <w:pPr>
              <w:rPr>
                <w:rFonts w:ascii="Arial"/>
                <w:sz w:val="21"/>
              </w:rPr>
            </w:pPr>
          </w:p>
        </w:tc>
        <w:tc>
          <w:tcPr>
            <w:tcW w:w="3326" w:type="dxa"/>
            <w:vAlign w:val="top"/>
          </w:tcPr>
          <w:p w14:paraId="5AE715B2">
            <w:pPr>
              <w:rPr>
                <w:rFonts w:ascii="Arial"/>
                <w:sz w:val="21"/>
              </w:rPr>
            </w:pPr>
          </w:p>
        </w:tc>
        <w:tc>
          <w:tcPr>
            <w:tcW w:w="1218" w:type="dxa"/>
            <w:vAlign w:val="top"/>
          </w:tcPr>
          <w:p w14:paraId="39F488F6">
            <w:pPr>
              <w:rPr>
                <w:rFonts w:ascii="Arial"/>
                <w:sz w:val="21"/>
              </w:rPr>
            </w:pPr>
          </w:p>
        </w:tc>
        <w:tc>
          <w:tcPr>
            <w:tcW w:w="969" w:type="dxa"/>
            <w:vAlign w:val="top"/>
          </w:tcPr>
          <w:p w14:paraId="54A291FA">
            <w:pPr>
              <w:rPr>
                <w:rFonts w:ascii="Arial"/>
                <w:sz w:val="21"/>
              </w:rPr>
            </w:pPr>
          </w:p>
        </w:tc>
        <w:tc>
          <w:tcPr>
            <w:tcW w:w="1388" w:type="dxa"/>
            <w:vAlign w:val="top"/>
          </w:tcPr>
          <w:p w14:paraId="3A3FBAB9">
            <w:pPr>
              <w:rPr>
                <w:rFonts w:ascii="Arial"/>
                <w:sz w:val="21"/>
              </w:rPr>
            </w:pPr>
          </w:p>
        </w:tc>
        <w:tc>
          <w:tcPr>
            <w:tcW w:w="934" w:type="dxa"/>
            <w:vAlign w:val="top"/>
          </w:tcPr>
          <w:p w14:paraId="6ED79A8C">
            <w:pPr>
              <w:rPr>
                <w:rFonts w:ascii="Arial"/>
                <w:sz w:val="21"/>
              </w:rPr>
            </w:pPr>
          </w:p>
        </w:tc>
      </w:tr>
      <w:tr w14:paraId="43D336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0" w:hRule="atLeast"/>
        </w:trPr>
        <w:tc>
          <w:tcPr>
            <w:tcW w:w="734" w:type="dxa"/>
            <w:vAlign w:val="top"/>
          </w:tcPr>
          <w:p w14:paraId="30EEE499">
            <w:pPr>
              <w:rPr>
                <w:rFonts w:ascii="Arial"/>
                <w:sz w:val="21"/>
              </w:rPr>
            </w:pPr>
          </w:p>
        </w:tc>
        <w:tc>
          <w:tcPr>
            <w:tcW w:w="3326" w:type="dxa"/>
            <w:vAlign w:val="top"/>
          </w:tcPr>
          <w:p w14:paraId="248F4583">
            <w:pPr>
              <w:rPr>
                <w:rFonts w:ascii="Arial"/>
                <w:sz w:val="21"/>
              </w:rPr>
            </w:pPr>
          </w:p>
        </w:tc>
        <w:tc>
          <w:tcPr>
            <w:tcW w:w="1218" w:type="dxa"/>
            <w:vAlign w:val="top"/>
          </w:tcPr>
          <w:p w14:paraId="5BDA0C19">
            <w:pPr>
              <w:rPr>
                <w:rFonts w:ascii="Arial"/>
                <w:sz w:val="21"/>
              </w:rPr>
            </w:pPr>
          </w:p>
        </w:tc>
        <w:tc>
          <w:tcPr>
            <w:tcW w:w="969" w:type="dxa"/>
            <w:vAlign w:val="top"/>
          </w:tcPr>
          <w:p w14:paraId="3FFFE7F5">
            <w:pPr>
              <w:rPr>
                <w:rFonts w:ascii="Arial"/>
                <w:sz w:val="21"/>
              </w:rPr>
            </w:pPr>
          </w:p>
        </w:tc>
        <w:tc>
          <w:tcPr>
            <w:tcW w:w="1388" w:type="dxa"/>
            <w:vAlign w:val="top"/>
          </w:tcPr>
          <w:p w14:paraId="46F34782">
            <w:pPr>
              <w:rPr>
                <w:rFonts w:ascii="Arial"/>
                <w:sz w:val="21"/>
              </w:rPr>
            </w:pPr>
          </w:p>
        </w:tc>
        <w:tc>
          <w:tcPr>
            <w:tcW w:w="934" w:type="dxa"/>
            <w:vAlign w:val="top"/>
          </w:tcPr>
          <w:p w14:paraId="156BA2FD">
            <w:pPr>
              <w:rPr>
                <w:rFonts w:ascii="Arial"/>
                <w:sz w:val="21"/>
              </w:rPr>
            </w:pPr>
          </w:p>
        </w:tc>
      </w:tr>
      <w:tr w14:paraId="352155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734" w:type="dxa"/>
            <w:vAlign w:val="top"/>
          </w:tcPr>
          <w:p w14:paraId="054EC477">
            <w:pPr>
              <w:rPr>
                <w:rFonts w:ascii="Arial"/>
                <w:sz w:val="21"/>
              </w:rPr>
            </w:pPr>
          </w:p>
        </w:tc>
        <w:tc>
          <w:tcPr>
            <w:tcW w:w="3326" w:type="dxa"/>
            <w:vAlign w:val="top"/>
          </w:tcPr>
          <w:p w14:paraId="299D90AB">
            <w:pPr>
              <w:rPr>
                <w:rFonts w:ascii="Arial"/>
                <w:sz w:val="21"/>
              </w:rPr>
            </w:pPr>
          </w:p>
        </w:tc>
        <w:tc>
          <w:tcPr>
            <w:tcW w:w="1218" w:type="dxa"/>
            <w:vAlign w:val="top"/>
          </w:tcPr>
          <w:p w14:paraId="4BBA06D4">
            <w:pPr>
              <w:rPr>
                <w:rFonts w:ascii="Arial"/>
                <w:sz w:val="21"/>
              </w:rPr>
            </w:pPr>
          </w:p>
        </w:tc>
        <w:tc>
          <w:tcPr>
            <w:tcW w:w="969" w:type="dxa"/>
            <w:vAlign w:val="top"/>
          </w:tcPr>
          <w:p w14:paraId="021AA022">
            <w:pPr>
              <w:rPr>
                <w:rFonts w:ascii="Arial"/>
                <w:sz w:val="21"/>
              </w:rPr>
            </w:pPr>
          </w:p>
        </w:tc>
        <w:tc>
          <w:tcPr>
            <w:tcW w:w="1388" w:type="dxa"/>
            <w:vAlign w:val="top"/>
          </w:tcPr>
          <w:p w14:paraId="1DCB3138">
            <w:pPr>
              <w:rPr>
                <w:rFonts w:ascii="Arial"/>
                <w:sz w:val="21"/>
              </w:rPr>
            </w:pPr>
          </w:p>
        </w:tc>
        <w:tc>
          <w:tcPr>
            <w:tcW w:w="934" w:type="dxa"/>
            <w:vAlign w:val="top"/>
          </w:tcPr>
          <w:p w14:paraId="11AA5A39">
            <w:pPr>
              <w:rPr>
                <w:rFonts w:ascii="Arial"/>
                <w:sz w:val="21"/>
              </w:rPr>
            </w:pPr>
          </w:p>
        </w:tc>
      </w:tr>
      <w:tr w14:paraId="31E974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trPr>
        <w:tc>
          <w:tcPr>
            <w:tcW w:w="734" w:type="dxa"/>
            <w:vAlign w:val="top"/>
          </w:tcPr>
          <w:p w14:paraId="503D6174">
            <w:pPr>
              <w:rPr>
                <w:rFonts w:ascii="Arial"/>
                <w:sz w:val="21"/>
              </w:rPr>
            </w:pPr>
          </w:p>
        </w:tc>
        <w:tc>
          <w:tcPr>
            <w:tcW w:w="3326" w:type="dxa"/>
            <w:vAlign w:val="top"/>
          </w:tcPr>
          <w:p w14:paraId="0AB456B9">
            <w:pPr>
              <w:rPr>
                <w:rFonts w:ascii="Arial"/>
                <w:sz w:val="21"/>
              </w:rPr>
            </w:pPr>
          </w:p>
        </w:tc>
        <w:tc>
          <w:tcPr>
            <w:tcW w:w="1218" w:type="dxa"/>
            <w:vAlign w:val="top"/>
          </w:tcPr>
          <w:p w14:paraId="6DAF0FD7">
            <w:pPr>
              <w:rPr>
                <w:rFonts w:ascii="Arial"/>
                <w:sz w:val="21"/>
              </w:rPr>
            </w:pPr>
          </w:p>
        </w:tc>
        <w:tc>
          <w:tcPr>
            <w:tcW w:w="969" w:type="dxa"/>
            <w:vAlign w:val="top"/>
          </w:tcPr>
          <w:p w14:paraId="21F8E472">
            <w:pPr>
              <w:rPr>
                <w:rFonts w:ascii="Arial"/>
                <w:sz w:val="21"/>
              </w:rPr>
            </w:pPr>
          </w:p>
        </w:tc>
        <w:tc>
          <w:tcPr>
            <w:tcW w:w="1388" w:type="dxa"/>
            <w:vAlign w:val="top"/>
          </w:tcPr>
          <w:p w14:paraId="2F78C7FC">
            <w:pPr>
              <w:rPr>
                <w:rFonts w:ascii="Arial"/>
                <w:sz w:val="21"/>
              </w:rPr>
            </w:pPr>
          </w:p>
        </w:tc>
        <w:tc>
          <w:tcPr>
            <w:tcW w:w="934" w:type="dxa"/>
            <w:vAlign w:val="top"/>
          </w:tcPr>
          <w:p w14:paraId="58A8BEEE">
            <w:pPr>
              <w:rPr>
                <w:rFonts w:ascii="Arial"/>
                <w:sz w:val="21"/>
              </w:rPr>
            </w:pPr>
          </w:p>
        </w:tc>
      </w:tr>
      <w:tr w14:paraId="629DB0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734" w:type="dxa"/>
            <w:vAlign w:val="top"/>
          </w:tcPr>
          <w:p w14:paraId="73506876">
            <w:pPr>
              <w:rPr>
                <w:rFonts w:ascii="Arial"/>
                <w:sz w:val="21"/>
              </w:rPr>
            </w:pPr>
          </w:p>
        </w:tc>
        <w:tc>
          <w:tcPr>
            <w:tcW w:w="3326" w:type="dxa"/>
            <w:vAlign w:val="top"/>
          </w:tcPr>
          <w:p w14:paraId="353515C0">
            <w:pPr>
              <w:rPr>
                <w:rFonts w:ascii="Arial"/>
                <w:sz w:val="21"/>
              </w:rPr>
            </w:pPr>
          </w:p>
        </w:tc>
        <w:tc>
          <w:tcPr>
            <w:tcW w:w="1218" w:type="dxa"/>
            <w:vAlign w:val="top"/>
          </w:tcPr>
          <w:p w14:paraId="5FD3EDC1">
            <w:pPr>
              <w:rPr>
                <w:rFonts w:ascii="Arial"/>
                <w:sz w:val="21"/>
              </w:rPr>
            </w:pPr>
          </w:p>
        </w:tc>
        <w:tc>
          <w:tcPr>
            <w:tcW w:w="969" w:type="dxa"/>
            <w:vAlign w:val="top"/>
          </w:tcPr>
          <w:p w14:paraId="08FE473A">
            <w:pPr>
              <w:rPr>
                <w:rFonts w:ascii="Arial"/>
                <w:sz w:val="21"/>
              </w:rPr>
            </w:pPr>
          </w:p>
        </w:tc>
        <w:tc>
          <w:tcPr>
            <w:tcW w:w="1388" w:type="dxa"/>
            <w:vAlign w:val="top"/>
          </w:tcPr>
          <w:p w14:paraId="49BA58E2">
            <w:pPr>
              <w:rPr>
                <w:rFonts w:ascii="Arial"/>
                <w:sz w:val="21"/>
              </w:rPr>
            </w:pPr>
          </w:p>
        </w:tc>
        <w:tc>
          <w:tcPr>
            <w:tcW w:w="934" w:type="dxa"/>
            <w:vAlign w:val="top"/>
          </w:tcPr>
          <w:p w14:paraId="50993E6D">
            <w:pPr>
              <w:rPr>
                <w:rFonts w:ascii="Arial"/>
                <w:sz w:val="21"/>
              </w:rPr>
            </w:pPr>
          </w:p>
        </w:tc>
      </w:tr>
      <w:tr w14:paraId="4EDAD6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734" w:type="dxa"/>
            <w:vAlign w:val="top"/>
          </w:tcPr>
          <w:p w14:paraId="284DFB61">
            <w:pPr>
              <w:rPr>
                <w:rFonts w:ascii="Arial"/>
                <w:sz w:val="21"/>
              </w:rPr>
            </w:pPr>
          </w:p>
        </w:tc>
        <w:tc>
          <w:tcPr>
            <w:tcW w:w="3326" w:type="dxa"/>
            <w:vAlign w:val="top"/>
          </w:tcPr>
          <w:p w14:paraId="0C71F554">
            <w:pPr>
              <w:rPr>
                <w:rFonts w:ascii="Arial"/>
                <w:sz w:val="21"/>
              </w:rPr>
            </w:pPr>
          </w:p>
        </w:tc>
        <w:tc>
          <w:tcPr>
            <w:tcW w:w="1218" w:type="dxa"/>
            <w:vAlign w:val="top"/>
          </w:tcPr>
          <w:p w14:paraId="4A31367A">
            <w:pPr>
              <w:rPr>
                <w:rFonts w:ascii="Arial"/>
                <w:sz w:val="21"/>
              </w:rPr>
            </w:pPr>
          </w:p>
        </w:tc>
        <w:tc>
          <w:tcPr>
            <w:tcW w:w="969" w:type="dxa"/>
            <w:vAlign w:val="top"/>
          </w:tcPr>
          <w:p w14:paraId="03FFD4C1">
            <w:pPr>
              <w:rPr>
                <w:rFonts w:ascii="Arial"/>
                <w:sz w:val="21"/>
              </w:rPr>
            </w:pPr>
          </w:p>
        </w:tc>
        <w:tc>
          <w:tcPr>
            <w:tcW w:w="1388" w:type="dxa"/>
            <w:vAlign w:val="top"/>
          </w:tcPr>
          <w:p w14:paraId="6D904EAB">
            <w:pPr>
              <w:rPr>
                <w:rFonts w:ascii="Arial"/>
                <w:sz w:val="21"/>
              </w:rPr>
            </w:pPr>
          </w:p>
        </w:tc>
        <w:tc>
          <w:tcPr>
            <w:tcW w:w="934" w:type="dxa"/>
            <w:vAlign w:val="top"/>
          </w:tcPr>
          <w:p w14:paraId="5BEA1927">
            <w:pPr>
              <w:rPr>
                <w:rFonts w:ascii="Arial"/>
                <w:sz w:val="21"/>
              </w:rPr>
            </w:pPr>
          </w:p>
        </w:tc>
      </w:tr>
      <w:tr w14:paraId="2FC0EC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734" w:type="dxa"/>
            <w:vAlign w:val="top"/>
          </w:tcPr>
          <w:p w14:paraId="0C5715E6">
            <w:pPr>
              <w:rPr>
                <w:rFonts w:ascii="Arial"/>
                <w:sz w:val="21"/>
              </w:rPr>
            </w:pPr>
          </w:p>
        </w:tc>
        <w:tc>
          <w:tcPr>
            <w:tcW w:w="3326" w:type="dxa"/>
            <w:vAlign w:val="top"/>
          </w:tcPr>
          <w:p w14:paraId="2E90A939">
            <w:pPr>
              <w:rPr>
                <w:rFonts w:ascii="Arial"/>
                <w:sz w:val="21"/>
              </w:rPr>
            </w:pPr>
          </w:p>
        </w:tc>
        <w:tc>
          <w:tcPr>
            <w:tcW w:w="1218" w:type="dxa"/>
            <w:vAlign w:val="top"/>
          </w:tcPr>
          <w:p w14:paraId="1F2FDA61">
            <w:pPr>
              <w:rPr>
                <w:rFonts w:ascii="Arial"/>
                <w:sz w:val="21"/>
              </w:rPr>
            </w:pPr>
          </w:p>
        </w:tc>
        <w:tc>
          <w:tcPr>
            <w:tcW w:w="969" w:type="dxa"/>
            <w:vAlign w:val="top"/>
          </w:tcPr>
          <w:p w14:paraId="15268F56">
            <w:pPr>
              <w:rPr>
                <w:rFonts w:ascii="Arial"/>
                <w:sz w:val="21"/>
              </w:rPr>
            </w:pPr>
          </w:p>
        </w:tc>
        <w:tc>
          <w:tcPr>
            <w:tcW w:w="1388" w:type="dxa"/>
            <w:vAlign w:val="top"/>
          </w:tcPr>
          <w:p w14:paraId="1B98A3EF">
            <w:pPr>
              <w:rPr>
                <w:rFonts w:ascii="Arial"/>
                <w:sz w:val="21"/>
              </w:rPr>
            </w:pPr>
          </w:p>
        </w:tc>
        <w:tc>
          <w:tcPr>
            <w:tcW w:w="934" w:type="dxa"/>
            <w:vAlign w:val="top"/>
          </w:tcPr>
          <w:p w14:paraId="0BC9E6FD">
            <w:pPr>
              <w:rPr>
                <w:rFonts w:ascii="Arial"/>
                <w:sz w:val="21"/>
              </w:rPr>
            </w:pPr>
          </w:p>
        </w:tc>
      </w:tr>
      <w:tr w14:paraId="6AB915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734" w:type="dxa"/>
            <w:vAlign w:val="top"/>
          </w:tcPr>
          <w:p w14:paraId="1209CDB0">
            <w:pPr>
              <w:rPr>
                <w:rFonts w:ascii="Arial"/>
                <w:sz w:val="21"/>
              </w:rPr>
            </w:pPr>
          </w:p>
        </w:tc>
        <w:tc>
          <w:tcPr>
            <w:tcW w:w="3326" w:type="dxa"/>
            <w:vAlign w:val="top"/>
          </w:tcPr>
          <w:p w14:paraId="50B60351">
            <w:pPr>
              <w:rPr>
                <w:rFonts w:ascii="Arial"/>
                <w:sz w:val="21"/>
              </w:rPr>
            </w:pPr>
          </w:p>
        </w:tc>
        <w:tc>
          <w:tcPr>
            <w:tcW w:w="1218" w:type="dxa"/>
            <w:vAlign w:val="top"/>
          </w:tcPr>
          <w:p w14:paraId="080503E0">
            <w:pPr>
              <w:rPr>
                <w:rFonts w:ascii="Arial"/>
                <w:sz w:val="21"/>
              </w:rPr>
            </w:pPr>
          </w:p>
        </w:tc>
        <w:tc>
          <w:tcPr>
            <w:tcW w:w="969" w:type="dxa"/>
            <w:vAlign w:val="top"/>
          </w:tcPr>
          <w:p w14:paraId="51C30814">
            <w:pPr>
              <w:rPr>
                <w:rFonts w:ascii="Arial"/>
                <w:sz w:val="21"/>
              </w:rPr>
            </w:pPr>
          </w:p>
        </w:tc>
        <w:tc>
          <w:tcPr>
            <w:tcW w:w="1388" w:type="dxa"/>
            <w:vAlign w:val="top"/>
          </w:tcPr>
          <w:p w14:paraId="0E4650AC">
            <w:pPr>
              <w:rPr>
                <w:rFonts w:ascii="Arial"/>
                <w:sz w:val="21"/>
              </w:rPr>
            </w:pPr>
          </w:p>
        </w:tc>
        <w:tc>
          <w:tcPr>
            <w:tcW w:w="934" w:type="dxa"/>
            <w:vAlign w:val="top"/>
          </w:tcPr>
          <w:p w14:paraId="3E9EDA34">
            <w:pPr>
              <w:rPr>
                <w:rFonts w:ascii="Arial"/>
                <w:sz w:val="21"/>
              </w:rPr>
            </w:pPr>
          </w:p>
        </w:tc>
      </w:tr>
      <w:tr w14:paraId="3928CE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4060" w:type="dxa"/>
            <w:gridSpan w:val="2"/>
            <w:vAlign w:val="top"/>
          </w:tcPr>
          <w:p w14:paraId="7E469C1C">
            <w:pPr>
              <w:pStyle w:val="6"/>
              <w:spacing w:before="219" w:line="221" w:lineRule="auto"/>
              <w:ind w:left="1774"/>
            </w:pPr>
            <w:r>
              <w:rPr>
                <w:spacing w:val="-5"/>
              </w:rPr>
              <w:t>合</w:t>
            </w:r>
            <w:r>
              <w:rPr>
                <w:spacing w:val="41"/>
              </w:rPr>
              <w:t xml:space="preserve"> </w:t>
            </w:r>
            <w:r>
              <w:rPr>
                <w:spacing w:val="-5"/>
              </w:rPr>
              <w:t>计</w:t>
            </w:r>
          </w:p>
        </w:tc>
        <w:tc>
          <w:tcPr>
            <w:tcW w:w="1218" w:type="dxa"/>
            <w:vAlign w:val="top"/>
          </w:tcPr>
          <w:p w14:paraId="5EA4D919">
            <w:pPr>
              <w:rPr>
                <w:rFonts w:ascii="Arial"/>
                <w:sz w:val="21"/>
              </w:rPr>
            </w:pPr>
          </w:p>
        </w:tc>
        <w:tc>
          <w:tcPr>
            <w:tcW w:w="969" w:type="dxa"/>
            <w:vAlign w:val="top"/>
          </w:tcPr>
          <w:p w14:paraId="0D8126CA">
            <w:pPr>
              <w:rPr>
                <w:rFonts w:ascii="Arial"/>
                <w:sz w:val="21"/>
              </w:rPr>
            </w:pPr>
          </w:p>
        </w:tc>
        <w:tc>
          <w:tcPr>
            <w:tcW w:w="1388" w:type="dxa"/>
            <w:vAlign w:val="top"/>
          </w:tcPr>
          <w:p w14:paraId="311A51A0">
            <w:pPr>
              <w:rPr>
                <w:rFonts w:ascii="Arial"/>
                <w:sz w:val="21"/>
              </w:rPr>
            </w:pPr>
          </w:p>
        </w:tc>
        <w:tc>
          <w:tcPr>
            <w:tcW w:w="934" w:type="dxa"/>
            <w:vAlign w:val="top"/>
          </w:tcPr>
          <w:p w14:paraId="76E587EB">
            <w:pPr>
              <w:rPr>
                <w:rFonts w:ascii="Arial"/>
                <w:sz w:val="21"/>
              </w:rPr>
            </w:pPr>
          </w:p>
        </w:tc>
      </w:tr>
    </w:tbl>
    <w:p w14:paraId="701D7202">
      <w:pPr>
        <w:rPr>
          <w:rFonts w:ascii="Arial"/>
          <w:sz w:val="21"/>
        </w:rPr>
      </w:pPr>
    </w:p>
    <w:p w14:paraId="568C3037">
      <w:pPr>
        <w:rPr>
          <w:rFonts w:ascii="Arial" w:hAnsi="Arial" w:eastAsia="Arial" w:cs="Arial"/>
          <w:sz w:val="21"/>
          <w:szCs w:val="21"/>
        </w:rPr>
        <w:sectPr>
          <w:footerReference r:id="rId300" w:type="default"/>
          <w:pgSz w:w="11910" w:h="16840"/>
          <w:pgMar w:top="400" w:right="1715" w:bottom="1024" w:left="1460" w:header="0" w:footer="889" w:gutter="0"/>
          <w:cols w:space="720" w:num="1"/>
        </w:sectPr>
      </w:pPr>
    </w:p>
    <w:p w14:paraId="448F2CB6">
      <w:pPr>
        <w:spacing w:line="259" w:lineRule="auto"/>
        <w:rPr>
          <w:rFonts w:ascii="Arial"/>
          <w:sz w:val="21"/>
        </w:rPr>
      </w:pPr>
    </w:p>
    <w:p w14:paraId="4D23F15F">
      <w:pPr>
        <w:spacing w:line="259" w:lineRule="auto"/>
        <w:rPr>
          <w:rFonts w:ascii="Arial"/>
          <w:sz w:val="21"/>
        </w:rPr>
      </w:pPr>
    </w:p>
    <w:p w14:paraId="2871F8DF">
      <w:pPr>
        <w:spacing w:line="259" w:lineRule="auto"/>
        <w:rPr>
          <w:rFonts w:ascii="Arial"/>
          <w:sz w:val="21"/>
        </w:rPr>
      </w:pPr>
    </w:p>
    <w:p w14:paraId="06C30173">
      <w:pPr>
        <w:spacing w:line="259" w:lineRule="auto"/>
        <w:rPr>
          <w:rFonts w:ascii="Arial"/>
          <w:sz w:val="21"/>
        </w:rPr>
      </w:pPr>
    </w:p>
    <w:p w14:paraId="438C8168">
      <w:pPr>
        <w:spacing w:line="259" w:lineRule="auto"/>
        <w:rPr>
          <w:rFonts w:ascii="Arial"/>
          <w:sz w:val="21"/>
        </w:rPr>
      </w:pPr>
    </w:p>
    <w:p w14:paraId="3633FE96">
      <w:pPr>
        <w:spacing w:before="82" w:line="222" w:lineRule="auto"/>
        <w:ind w:left="413"/>
        <w:outlineLvl w:val="2"/>
        <w:rPr>
          <w:rFonts w:ascii="黑体" w:hAnsi="黑体" w:eastAsia="黑体" w:cs="黑体"/>
          <w:sz w:val="25"/>
          <w:szCs w:val="25"/>
        </w:rPr>
      </w:pPr>
      <w:bookmarkStart w:id="281" w:name="bookmark323"/>
      <w:bookmarkEnd w:id="281"/>
      <w:bookmarkStart w:id="282" w:name="bookmark194"/>
      <w:bookmarkEnd w:id="282"/>
      <w:r>
        <w:rPr>
          <w:rFonts w:ascii="黑体" w:hAnsi="黑体" w:eastAsia="黑体" w:cs="黑体"/>
          <w:b/>
          <w:bCs/>
          <w:spacing w:val="-2"/>
          <w:sz w:val="25"/>
          <w:szCs w:val="25"/>
        </w:rPr>
        <w:t>4.7单项工程投标报价汇总表</w:t>
      </w:r>
    </w:p>
    <w:p w14:paraId="00B461EE">
      <w:pPr>
        <w:spacing w:before="60" w:line="222" w:lineRule="auto"/>
        <w:ind w:left="2903"/>
        <w:rPr>
          <w:rFonts w:ascii="黑体" w:hAnsi="黑体" w:eastAsia="黑体" w:cs="黑体"/>
          <w:sz w:val="28"/>
          <w:szCs w:val="28"/>
        </w:rPr>
      </w:pPr>
      <w:r>
        <w:rPr>
          <w:rFonts w:ascii="黑体" w:hAnsi="黑体" w:eastAsia="黑体" w:cs="黑体"/>
          <w:b/>
          <w:bCs/>
          <w:sz w:val="28"/>
          <w:szCs w:val="28"/>
        </w:rPr>
        <w:t>单项工程投标报价汇总表</w:t>
      </w:r>
    </w:p>
    <w:p w14:paraId="3A22CCD2">
      <w:pPr>
        <w:pStyle w:val="2"/>
        <w:spacing w:before="245" w:line="220" w:lineRule="auto"/>
        <w:rPr>
          <w:sz w:val="19"/>
          <w:szCs w:val="19"/>
        </w:rPr>
      </w:pPr>
      <w:r>
        <w:rPr>
          <w:spacing w:val="-3"/>
          <w:sz w:val="19"/>
          <w:szCs w:val="19"/>
        </w:rPr>
        <w:t>工程名称：</w:t>
      </w:r>
      <w:r>
        <w:rPr>
          <w:sz w:val="19"/>
          <w:szCs w:val="19"/>
        </w:rPr>
        <w:t xml:space="preserve">                                                     </w:t>
      </w:r>
      <w:r>
        <w:rPr>
          <w:spacing w:val="-3"/>
          <w:sz w:val="19"/>
          <w:szCs w:val="19"/>
        </w:rPr>
        <w:t>第</w:t>
      </w:r>
      <w:r>
        <w:rPr>
          <w:spacing w:val="31"/>
          <w:sz w:val="19"/>
          <w:szCs w:val="19"/>
        </w:rPr>
        <w:t xml:space="preserve">  </w:t>
      </w:r>
      <w:r>
        <w:rPr>
          <w:spacing w:val="-3"/>
          <w:sz w:val="19"/>
          <w:szCs w:val="19"/>
        </w:rPr>
        <w:t>页</w:t>
      </w:r>
      <w:r>
        <w:rPr>
          <w:spacing w:val="16"/>
          <w:sz w:val="19"/>
          <w:szCs w:val="19"/>
        </w:rPr>
        <w:t xml:space="preserve">  </w:t>
      </w:r>
      <w:r>
        <w:rPr>
          <w:spacing w:val="-3"/>
          <w:sz w:val="19"/>
          <w:szCs w:val="19"/>
        </w:rPr>
        <w:t>共</w:t>
      </w:r>
      <w:r>
        <w:rPr>
          <w:spacing w:val="33"/>
          <w:sz w:val="19"/>
          <w:szCs w:val="19"/>
        </w:rPr>
        <w:t xml:space="preserve">  </w:t>
      </w:r>
      <w:r>
        <w:rPr>
          <w:spacing w:val="-3"/>
          <w:sz w:val="19"/>
          <w:szCs w:val="19"/>
        </w:rPr>
        <w:t>页</w:t>
      </w:r>
    </w:p>
    <w:p w14:paraId="38717024">
      <w:pPr>
        <w:spacing w:line="150" w:lineRule="exact"/>
      </w:pPr>
    </w:p>
    <w:tbl>
      <w:tblPr>
        <w:tblStyle w:val="5"/>
        <w:tblW w:w="8579" w:type="dxa"/>
        <w:tblInd w:w="1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44"/>
        <w:gridCol w:w="3286"/>
        <w:gridCol w:w="1208"/>
        <w:gridCol w:w="929"/>
        <w:gridCol w:w="1478"/>
        <w:gridCol w:w="934"/>
      </w:tblGrid>
      <w:tr w14:paraId="2FEECD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4" w:hRule="atLeast"/>
        </w:trPr>
        <w:tc>
          <w:tcPr>
            <w:tcW w:w="744" w:type="dxa"/>
            <w:vMerge w:val="restart"/>
            <w:tcBorders>
              <w:bottom w:val="nil"/>
            </w:tcBorders>
            <w:vAlign w:val="top"/>
          </w:tcPr>
          <w:p w14:paraId="161C4607">
            <w:pPr>
              <w:spacing w:line="424" w:lineRule="auto"/>
              <w:rPr>
                <w:rFonts w:ascii="Arial"/>
                <w:sz w:val="21"/>
              </w:rPr>
            </w:pPr>
          </w:p>
          <w:p w14:paraId="5CB16B55">
            <w:pPr>
              <w:pStyle w:val="6"/>
              <w:spacing w:before="68" w:line="221" w:lineRule="auto"/>
              <w:ind w:left="154"/>
            </w:pPr>
            <w:r>
              <w:rPr>
                <w:spacing w:val="6"/>
              </w:rPr>
              <w:t>序号</w:t>
            </w:r>
          </w:p>
        </w:tc>
        <w:tc>
          <w:tcPr>
            <w:tcW w:w="3286" w:type="dxa"/>
            <w:vMerge w:val="restart"/>
            <w:tcBorders>
              <w:bottom w:val="nil"/>
            </w:tcBorders>
            <w:vAlign w:val="top"/>
          </w:tcPr>
          <w:p w14:paraId="586C08EC">
            <w:pPr>
              <w:spacing w:line="423" w:lineRule="auto"/>
              <w:rPr>
                <w:rFonts w:ascii="Arial"/>
                <w:sz w:val="21"/>
              </w:rPr>
            </w:pPr>
          </w:p>
          <w:p w14:paraId="186C0F58">
            <w:pPr>
              <w:pStyle w:val="6"/>
              <w:spacing w:before="68" w:line="220" w:lineRule="auto"/>
              <w:ind w:left="1020"/>
            </w:pPr>
            <w:r>
              <w:rPr>
                <w:spacing w:val="1"/>
              </w:rPr>
              <w:t>单位工程名称</w:t>
            </w:r>
          </w:p>
        </w:tc>
        <w:tc>
          <w:tcPr>
            <w:tcW w:w="1208" w:type="dxa"/>
            <w:vMerge w:val="restart"/>
            <w:tcBorders>
              <w:bottom w:val="nil"/>
            </w:tcBorders>
            <w:vAlign w:val="top"/>
          </w:tcPr>
          <w:p w14:paraId="239A8690">
            <w:pPr>
              <w:spacing w:line="422" w:lineRule="auto"/>
              <w:rPr>
                <w:rFonts w:ascii="Arial"/>
                <w:sz w:val="21"/>
              </w:rPr>
            </w:pPr>
          </w:p>
          <w:p w14:paraId="3E61F8E8">
            <w:pPr>
              <w:pStyle w:val="6"/>
              <w:spacing w:before="69" w:line="219" w:lineRule="auto"/>
              <w:ind w:left="145"/>
            </w:pPr>
            <w:r>
              <w:rPr>
                <w:spacing w:val="9"/>
              </w:rPr>
              <w:t>金额(元)</w:t>
            </w:r>
          </w:p>
        </w:tc>
        <w:tc>
          <w:tcPr>
            <w:tcW w:w="3341" w:type="dxa"/>
            <w:gridSpan w:val="3"/>
            <w:vAlign w:val="top"/>
          </w:tcPr>
          <w:p w14:paraId="783946DD">
            <w:pPr>
              <w:pStyle w:val="6"/>
              <w:spacing w:before="194" w:line="220" w:lineRule="auto"/>
              <w:ind w:left="997"/>
            </w:pPr>
            <w:r>
              <w:rPr>
                <w:spacing w:val="-1"/>
              </w:rPr>
              <w:t>其</w:t>
            </w:r>
            <w:r>
              <w:rPr>
                <w:spacing w:val="46"/>
              </w:rPr>
              <w:t xml:space="preserve"> </w:t>
            </w:r>
            <w:r>
              <w:rPr>
                <w:spacing w:val="-1"/>
              </w:rPr>
              <w:t>中：(元)</w:t>
            </w:r>
          </w:p>
        </w:tc>
      </w:tr>
      <w:tr w14:paraId="03E04D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trPr>
        <w:tc>
          <w:tcPr>
            <w:tcW w:w="744" w:type="dxa"/>
            <w:vMerge w:val="continue"/>
            <w:tcBorders>
              <w:top w:val="nil"/>
            </w:tcBorders>
            <w:vAlign w:val="top"/>
          </w:tcPr>
          <w:p w14:paraId="4C95BEDA">
            <w:pPr>
              <w:rPr>
                <w:rFonts w:ascii="Arial"/>
                <w:sz w:val="21"/>
              </w:rPr>
            </w:pPr>
          </w:p>
        </w:tc>
        <w:tc>
          <w:tcPr>
            <w:tcW w:w="3286" w:type="dxa"/>
            <w:vMerge w:val="continue"/>
            <w:tcBorders>
              <w:top w:val="nil"/>
            </w:tcBorders>
            <w:vAlign w:val="top"/>
          </w:tcPr>
          <w:p w14:paraId="073801EB">
            <w:pPr>
              <w:rPr>
                <w:rFonts w:ascii="Arial"/>
                <w:sz w:val="21"/>
              </w:rPr>
            </w:pPr>
          </w:p>
        </w:tc>
        <w:tc>
          <w:tcPr>
            <w:tcW w:w="1208" w:type="dxa"/>
            <w:vMerge w:val="continue"/>
            <w:tcBorders>
              <w:top w:val="nil"/>
            </w:tcBorders>
            <w:vAlign w:val="top"/>
          </w:tcPr>
          <w:p w14:paraId="76A3AD8F">
            <w:pPr>
              <w:rPr>
                <w:rFonts w:ascii="Arial"/>
                <w:sz w:val="21"/>
              </w:rPr>
            </w:pPr>
          </w:p>
        </w:tc>
        <w:tc>
          <w:tcPr>
            <w:tcW w:w="929" w:type="dxa"/>
            <w:vAlign w:val="top"/>
          </w:tcPr>
          <w:p w14:paraId="486D901C">
            <w:pPr>
              <w:pStyle w:val="6"/>
              <w:spacing w:before="197" w:line="218" w:lineRule="auto"/>
              <w:ind w:left="156"/>
            </w:pPr>
            <w:r>
              <w:rPr>
                <w:spacing w:val="3"/>
              </w:rPr>
              <w:t>暂估价</w:t>
            </w:r>
          </w:p>
        </w:tc>
        <w:tc>
          <w:tcPr>
            <w:tcW w:w="1478" w:type="dxa"/>
            <w:vAlign w:val="top"/>
          </w:tcPr>
          <w:p w14:paraId="71860728">
            <w:pPr>
              <w:pStyle w:val="6"/>
              <w:spacing w:before="59" w:line="233" w:lineRule="auto"/>
              <w:ind w:left="417" w:right="287" w:hanging="100"/>
            </w:pPr>
            <w:r>
              <w:rPr>
                <w:spacing w:val="5"/>
              </w:rPr>
              <w:t>安全文明</w:t>
            </w:r>
            <w:r>
              <w:rPr>
                <w:spacing w:val="1"/>
              </w:rPr>
              <w:t xml:space="preserve"> </w:t>
            </w:r>
            <w:r>
              <w:rPr>
                <w:spacing w:val="4"/>
              </w:rPr>
              <w:t>施工费</w:t>
            </w:r>
          </w:p>
        </w:tc>
        <w:tc>
          <w:tcPr>
            <w:tcW w:w="934" w:type="dxa"/>
            <w:vAlign w:val="top"/>
          </w:tcPr>
          <w:p w14:paraId="163506E2">
            <w:pPr>
              <w:pStyle w:val="6"/>
              <w:spacing w:before="200" w:line="220" w:lineRule="auto"/>
              <w:ind w:left="240"/>
            </w:pPr>
            <w:r>
              <w:rPr>
                <w:spacing w:val="6"/>
              </w:rPr>
              <w:t>规费</w:t>
            </w:r>
          </w:p>
        </w:tc>
      </w:tr>
      <w:tr w14:paraId="2B6FE0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9" w:hRule="atLeast"/>
        </w:trPr>
        <w:tc>
          <w:tcPr>
            <w:tcW w:w="744" w:type="dxa"/>
            <w:vAlign w:val="top"/>
          </w:tcPr>
          <w:p w14:paraId="1A167A24">
            <w:pPr>
              <w:pStyle w:val="6"/>
              <w:spacing w:before="190" w:line="241" w:lineRule="auto"/>
              <w:ind w:left="305"/>
            </w:pPr>
            <w:r>
              <w:t>1</w:t>
            </w:r>
          </w:p>
        </w:tc>
        <w:tc>
          <w:tcPr>
            <w:tcW w:w="3286" w:type="dxa"/>
            <w:vAlign w:val="top"/>
          </w:tcPr>
          <w:p w14:paraId="6FCEEC85">
            <w:pPr>
              <w:pStyle w:val="6"/>
              <w:spacing w:before="170" w:line="220" w:lineRule="auto"/>
              <w:ind w:left="101"/>
            </w:pPr>
            <w:r>
              <w:rPr>
                <w:spacing w:val="-2"/>
              </w:rPr>
              <w:t>单位工程</w:t>
            </w:r>
          </w:p>
        </w:tc>
        <w:tc>
          <w:tcPr>
            <w:tcW w:w="1208" w:type="dxa"/>
            <w:vAlign w:val="top"/>
          </w:tcPr>
          <w:p w14:paraId="1FF72BA7">
            <w:pPr>
              <w:rPr>
                <w:rFonts w:ascii="Arial"/>
                <w:sz w:val="21"/>
              </w:rPr>
            </w:pPr>
          </w:p>
        </w:tc>
        <w:tc>
          <w:tcPr>
            <w:tcW w:w="929" w:type="dxa"/>
            <w:vAlign w:val="top"/>
          </w:tcPr>
          <w:p w14:paraId="6108B329">
            <w:pPr>
              <w:rPr>
                <w:rFonts w:ascii="Arial"/>
                <w:sz w:val="21"/>
              </w:rPr>
            </w:pPr>
          </w:p>
        </w:tc>
        <w:tc>
          <w:tcPr>
            <w:tcW w:w="1478" w:type="dxa"/>
            <w:vAlign w:val="top"/>
          </w:tcPr>
          <w:p w14:paraId="29C99F4D">
            <w:pPr>
              <w:rPr>
                <w:rFonts w:ascii="Arial"/>
                <w:sz w:val="21"/>
              </w:rPr>
            </w:pPr>
          </w:p>
        </w:tc>
        <w:tc>
          <w:tcPr>
            <w:tcW w:w="934" w:type="dxa"/>
            <w:vAlign w:val="top"/>
          </w:tcPr>
          <w:p w14:paraId="7385A35B">
            <w:pPr>
              <w:rPr>
                <w:rFonts w:ascii="Arial"/>
                <w:sz w:val="21"/>
              </w:rPr>
            </w:pPr>
          </w:p>
        </w:tc>
      </w:tr>
      <w:tr w14:paraId="627960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744" w:type="dxa"/>
            <w:vAlign w:val="top"/>
          </w:tcPr>
          <w:p w14:paraId="30000184">
            <w:pPr>
              <w:rPr>
                <w:rFonts w:ascii="Arial"/>
                <w:sz w:val="21"/>
              </w:rPr>
            </w:pPr>
          </w:p>
        </w:tc>
        <w:tc>
          <w:tcPr>
            <w:tcW w:w="3286" w:type="dxa"/>
            <w:vAlign w:val="top"/>
          </w:tcPr>
          <w:p w14:paraId="7D8D8D1E">
            <w:pPr>
              <w:rPr>
                <w:rFonts w:ascii="Arial"/>
                <w:sz w:val="21"/>
              </w:rPr>
            </w:pPr>
          </w:p>
        </w:tc>
        <w:tc>
          <w:tcPr>
            <w:tcW w:w="1208" w:type="dxa"/>
            <w:vAlign w:val="top"/>
          </w:tcPr>
          <w:p w14:paraId="354DE24C">
            <w:pPr>
              <w:rPr>
                <w:rFonts w:ascii="Arial"/>
                <w:sz w:val="21"/>
              </w:rPr>
            </w:pPr>
          </w:p>
        </w:tc>
        <w:tc>
          <w:tcPr>
            <w:tcW w:w="929" w:type="dxa"/>
            <w:vAlign w:val="top"/>
          </w:tcPr>
          <w:p w14:paraId="56FD32B7">
            <w:pPr>
              <w:rPr>
                <w:rFonts w:ascii="Arial"/>
                <w:sz w:val="21"/>
              </w:rPr>
            </w:pPr>
          </w:p>
        </w:tc>
        <w:tc>
          <w:tcPr>
            <w:tcW w:w="1478" w:type="dxa"/>
            <w:vAlign w:val="top"/>
          </w:tcPr>
          <w:p w14:paraId="00D1AE83">
            <w:pPr>
              <w:rPr>
                <w:rFonts w:ascii="Arial"/>
                <w:sz w:val="21"/>
              </w:rPr>
            </w:pPr>
          </w:p>
        </w:tc>
        <w:tc>
          <w:tcPr>
            <w:tcW w:w="934" w:type="dxa"/>
            <w:vAlign w:val="top"/>
          </w:tcPr>
          <w:p w14:paraId="7207C632">
            <w:pPr>
              <w:rPr>
                <w:rFonts w:ascii="Arial"/>
                <w:sz w:val="21"/>
              </w:rPr>
            </w:pPr>
          </w:p>
        </w:tc>
      </w:tr>
      <w:tr w14:paraId="19AC44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9" w:hRule="atLeast"/>
        </w:trPr>
        <w:tc>
          <w:tcPr>
            <w:tcW w:w="744" w:type="dxa"/>
            <w:vAlign w:val="top"/>
          </w:tcPr>
          <w:p w14:paraId="73340B30">
            <w:pPr>
              <w:rPr>
                <w:rFonts w:ascii="Arial"/>
                <w:sz w:val="21"/>
              </w:rPr>
            </w:pPr>
          </w:p>
        </w:tc>
        <w:tc>
          <w:tcPr>
            <w:tcW w:w="3286" w:type="dxa"/>
            <w:vAlign w:val="top"/>
          </w:tcPr>
          <w:p w14:paraId="280A227A">
            <w:pPr>
              <w:pStyle w:val="6"/>
              <w:spacing w:before="171" w:line="219" w:lineRule="auto"/>
              <w:ind w:left="101"/>
            </w:pPr>
            <w:r>
              <w:t>单项工程数据：</w:t>
            </w:r>
          </w:p>
        </w:tc>
        <w:tc>
          <w:tcPr>
            <w:tcW w:w="1208" w:type="dxa"/>
            <w:vAlign w:val="top"/>
          </w:tcPr>
          <w:p w14:paraId="1ED451FC">
            <w:pPr>
              <w:rPr>
                <w:rFonts w:ascii="Arial"/>
                <w:sz w:val="21"/>
              </w:rPr>
            </w:pPr>
          </w:p>
        </w:tc>
        <w:tc>
          <w:tcPr>
            <w:tcW w:w="929" w:type="dxa"/>
            <w:vAlign w:val="top"/>
          </w:tcPr>
          <w:p w14:paraId="6B93491E">
            <w:pPr>
              <w:rPr>
                <w:rFonts w:ascii="Arial"/>
                <w:sz w:val="21"/>
              </w:rPr>
            </w:pPr>
          </w:p>
        </w:tc>
        <w:tc>
          <w:tcPr>
            <w:tcW w:w="1478" w:type="dxa"/>
            <w:vAlign w:val="top"/>
          </w:tcPr>
          <w:p w14:paraId="15870DD7">
            <w:pPr>
              <w:rPr>
                <w:rFonts w:ascii="Arial"/>
                <w:sz w:val="21"/>
              </w:rPr>
            </w:pPr>
          </w:p>
        </w:tc>
        <w:tc>
          <w:tcPr>
            <w:tcW w:w="934" w:type="dxa"/>
            <w:vAlign w:val="top"/>
          </w:tcPr>
          <w:p w14:paraId="3865A649">
            <w:pPr>
              <w:rPr>
                <w:rFonts w:ascii="Arial"/>
                <w:sz w:val="21"/>
              </w:rPr>
            </w:pPr>
          </w:p>
        </w:tc>
      </w:tr>
      <w:tr w14:paraId="33B0B6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0" w:hRule="atLeast"/>
        </w:trPr>
        <w:tc>
          <w:tcPr>
            <w:tcW w:w="744" w:type="dxa"/>
            <w:vAlign w:val="top"/>
          </w:tcPr>
          <w:p w14:paraId="025F06D8">
            <w:pPr>
              <w:rPr>
                <w:rFonts w:ascii="Arial"/>
                <w:sz w:val="21"/>
              </w:rPr>
            </w:pPr>
          </w:p>
        </w:tc>
        <w:tc>
          <w:tcPr>
            <w:tcW w:w="3286" w:type="dxa"/>
            <w:vAlign w:val="top"/>
          </w:tcPr>
          <w:p w14:paraId="4BBD7B23">
            <w:pPr>
              <w:pStyle w:val="6"/>
              <w:spacing w:before="183" w:line="220" w:lineRule="auto"/>
              <w:ind w:left="101"/>
            </w:pPr>
            <w:r>
              <w:rPr>
                <w:spacing w:val="4"/>
              </w:rPr>
              <w:t>人工费</w:t>
            </w:r>
          </w:p>
        </w:tc>
        <w:tc>
          <w:tcPr>
            <w:tcW w:w="1208" w:type="dxa"/>
            <w:vAlign w:val="top"/>
          </w:tcPr>
          <w:p w14:paraId="47B4AC7D">
            <w:pPr>
              <w:rPr>
                <w:rFonts w:ascii="Arial"/>
                <w:sz w:val="21"/>
              </w:rPr>
            </w:pPr>
          </w:p>
        </w:tc>
        <w:tc>
          <w:tcPr>
            <w:tcW w:w="929" w:type="dxa"/>
            <w:vAlign w:val="top"/>
          </w:tcPr>
          <w:p w14:paraId="13054C03">
            <w:pPr>
              <w:rPr>
                <w:rFonts w:ascii="Arial"/>
                <w:sz w:val="21"/>
              </w:rPr>
            </w:pPr>
          </w:p>
        </w:tc>
        <w:tc>
          <w:tcPr>
            <w:tcW w:w="1478" w:type="dxa"/>
            <w:vAlign w:val="top"/>
          </w:tcPr>
          <w:p w14:paraId="3193EB03">
            <w:pPr>
              <w:rPr>
                <w:rFonts w:ascii="Arial"/>
                <w:sz w:val="21"/>
              </w:rPr>
            </w:pPr>
          </w:p>
        </w:tc>
        <w:tc>
          <w:tcPr>
            <w:tcW w:w="934" w:type="dxa"/>
            <w:vAlign w:val="top"/>
          </w:tcPr>
          <w:p w14:paraId="1D5C1117">
            <w:pPr>
              <w:rPr>
                <w:rFonts w:ascii="Arial"/>
                <w:sz w:val="21"/>
              </w:rPr>
            </w:pPr>
          </w:p>
        </w:tc>
      </w:tr>
      <w:tr w14:paraId="772BBE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744" w:type="dxa"/>
            <w:vAlign w:val="top"/>
          </w:tcPr>
          <w:p w14:paraId="75C41CB6">
            <w:pPr>
              <w:rPr>
                <w:rFonts w:ascii="Arial"/>
                <w:sz w:val="21"/>
              </w:rPr>
            </w:pPr>
          </w:p>
        </w:tc>
        <w:tc>
          <w:tcPr>
            <w:tcW w:w="3286" w:type="dxa"/>
            <w:vAlign w:val="top"/>
          </w:tcPr>
          <w:p w14:paraId="2087D7B3">
            <w:pPr>
              <w:pStyle w:val="6"/>
              <w:spacing w:before="171" w:line="219" w:lineRule="auto"/>
              <w:ind w:left="101"/>
            </w:pPr>
            <w:r>
              <w:rPr>
                <w:spacing w:val="4"/>
              </w:rPr>
              <w:t>材料费</w:t>
            </w:r>
          </w:p>
        </w:tc>
        <w:tc>
          <w:tcPr>
            <w:tcW w:w="1208" w:type="dxa"/>
            <w:vAlign w:val="top"/>
          </w:tcPr>
          <w:p w14:paraId="3AEC0D85">
            <w:pPr>
              <w:rPr>
                <w:rFonts w:ascii="Arial"/>
                <w:sz w:val="21"/>
              </w:rPr>
            </w:pPr>
          </w:p>
        </w:tc>
        <w:tc>
          <w:tcPr>
            <w:tcW w:w="929" w:type="dxa"/>
            <w:vAlign w:val="top"/>
          </w:tcPr>
          <w:p w14:paraId="0A5BEA02">
            <w:pPr>
              <w:rPr>
                <w:rFonts w:ascii="Arial"/>
                <w:sz w:val="21"/>
              </w:rPr>
            </w:pPr>
          </w:p>
        </w:tc>
        <w:tc>
          <w:tcPr>
            <w:tcW w:w="1478" w:type="dxa"/>
            <w:vAlign w:val="top"/>
          </w:tcPr>
          <w:p w14:paraId="7A597042">
            <w:pPr>
              <w:rPr>
                <w:rFonts w:ascii="Arial"/>
                <w:sz w:val="21"/>
              </w:rPr>
            </w:pPr>
          </w:p>
        </w:tc>
        <w:tc>
          <w:tcPr>
            <w:tcW w:w="934" w:type="dxa"/>
            <w:vAlign w:val="top"/>
          </w:tcPr>
          <w:p w14:paraId="58BF3068">
            <w:pPr>
              <w:rPr>
                <w:rFonts w:ascii="Arial"/>
                <w:sz w:val="21"/>
              </w:rPr>
            </w:pPr>
          </w:p>
        </w:tc>
      </w:tr>
      <w:tr w14:paraId="3B4023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9" w:hRule="atLeast"/>
        </w:trPr>
        <w:tc>
          <w:tcPr>
            <w:tcW w:w="744" w:type="dxa"/>
            <w:vAlign w:val="top"/>
          </w:tcPr>
          <w:p w14:paraId="1D123CF1">
            <w:pPr>
              <w:rPr>
                <w:rFonts w:ascii="Arial"/>
                <w:sz w:val="21"/>
              </w:rPr>
            </w:pPr>
          </w:p>
        </w:tc>
        <w:tc>
          <w:tcPr>
            <w:tcW w:w="3286" w:type="dxa"/>
            <w:vAlign w:val="top"/>
          </w:tcPr>
          <w:p w14:paraId="0F1B4688">
            <w:pPr>
              <w:pStyle w:val="6"/>
              <w:spacing w:before="172" w:line="219" w:lineRule="auto"/>
              <w:ind w:left="101"/>
            </w:pPr>
            <w:r>
              <w:rPr>
                <w:spacing w:val="4"/>
              </w:rPr>
              <w:t>机械费</w:t>
            </w:r>
          </w:p>
        </w:tc>
        <w:tc>
          <w:tcPr>
            <w:tcW w:w="1208" w:type="dxa"/>
            <w:vAlign w:val="top"/>
          </w:tcPr>
          <w:p w14:paraId="5BB44A34">
            <w:pPr>
              <w:rPr>
                <w:rFonts w:ascii="Arial"/>
                <w:sz w:val="21"/>
              </w:rPr>
            </w:pPr>
          </w:p>
        </w:tc>
        <w:tc>
          <w:tcPr>
            <w:tcW w:w="929" w:type="dxa"/>
            <w:vAlign w:val="top"/>
          </w:tcPr>
          <w:p w14:paraId="6F44AED5">
            <w:pPr>
              <w:rPr>
                <w:rFonts w:ascii="Arial"/>
                <w:sz w:val="21"/>
              </w:rPr>
            </w:pPr>
          </w:p>
        </w:tc>
        <w:tc>
          <w:tcPr>
            <w:tcW w:w="1478" w:type="dxa"/>
            <w:vAlign w:val="top"/>
          </w:tcPr>
          <w:p w14:paraId="15E0E83A">
            <w:pPr>
              <w:rPr>
                <w:rFonts w:ascii="Arial"/>
                <w:sz w:val="21"/>
              </w:rPr>
            </w:pPr>
          </w:p>
        </w:tc>
        <w:tc>
          <w:tcPr>
            <w:tcW w:w="934" w:type="dxa"/>
            <w:vAlign w:val="top"/>
          </w:tcPr>
          <w:p w14:paraId="3D446112">
            <w:pPr>
              <w:rPr>
                <w:rFonts w:ascii="Arial"/>
                <w:sz w:val="21"/>
              </w:rPr>
            </w:pPr>
          </w:p>
        </w:tc>
      </w:tr>
      <w:tr w14:paraId="2C5035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0" w:hRule="atLeast"/>
        </w:trPr>
        <w:tc>
          <w:tcPr>
            <w:tcW w:w="744" w:type="dxa"/>
            <w:vAlign w:val="top"/>
          </w:tcPr>
          <w:p w14:paraId="654FB965">
            <w:pPr>
              <w:rPr>
                <w:rFonts w:ascii="Arial"/>
                <w:sz w:val="21"/>
              </w:rPr>
            </w:pPr>
          </w:p>
        </w:tc>
        <w:tc>
          <w:tcPr>
            <w:tcW w:w="3286" w:type="dxa"/>
            <w:vAlign w:val="top"/>
          </w:tcPr>
          <w:p w14:paraId="0774CEB4">
            <w:pPr>
              <w:pStyle w:val="6"/>
              <w:spacing w:before="185" w:line="220" w:lineRule="auto"/>
              <w:ind w:left="101"/>
            </w:pPr>
            <w:r>
              <w:rPr>
                <w:spacing w:val="4"/>
              </w:rPr>
              <w:t>设备费</w:t>
            </w:r>
          </w:p>
        </w:tc>
        <w:tc>
          <w:tcPr>
            <w:tcW w:w="1208" w:type="dxa"/>
            <w:vAlign w:val="top"/>
          </w:tcPr>
          <w:p w14:paraId="209871FE">
            <w:pPr>
              <w:rPr>
                <w:rFonts w:ascii="Arial"/>
                <w:sz w:val="21"/>
              </w:rPr>
            </w:pPr>
          </w:p>
        </w:tc>
        <w:tc>
          <w:tcPr>
            <w:tcW w:w="929" w:type="dxa"/>
            <w:vAlign w:val="top"/>
          </w:tcPr>
          <w:p w14:paraId="1F51076A">
            <w:pPr>
              <w:rPr>
                <w:rFonts w:ascii="Arial"/>
                <w:sz w:val="21"/>
              </w:rPr>
            </w:pPr>
          </w:p>
        </w:tc>
        <w:tc>
          <w:tcPr>
            <w:tcW w:w="1478" w:type="dxa"/>
            <w:vAlign w:val="top"/>
          </w:tcPr>
          <w:p w14:paraId="57828091">
            <w:pPr>
              <w:rPr>
                <w:rFonts w:ascii="Arial"/>
                <w:sz w:val="21"/>
              </w:rPr>
            </w:pPr>
          </w:p>
        </w:tc>
        <w:tc>
          <w:tcPr>
            <w:tcW w:w="934" w:type="dxa"/>
            <w:vAlign w:val="top"/>
          </w:tcPr>
          <w:p w14:paraId="75D11C24">
            <w:pPr>
              <w:rPr>
                <w:rFonts w:ascii="Arial"/>
                <w:sz w:val="21"/>
              </w:rPr>
            </w:pPr>
          </w:p>
        </w:tc>
      </w:tr>
      <w:tr w14:paraId="1333DB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0" w:hRule="atLeast"/>
        </w:trPr>
        <w:tc>
          <w:tcPr>
            <w:tcW w:w="744" w:type="dxa"/>
            <w:vAlign w:val="top"/>
          </w:tcPr>
          <w:p w14:paraId="73EEB6A7">
            <w:pPr>
              <w:rPr>
                <w:rFonts w:ascii="Arial"/>
                <w:sz w:val="21"/>
              </w:rPr>
            </w:pPr>
          </w:p>
        </w:tc>
        <w:tc>
          <w:tcPr>
            <w:tcW w:w="3286" w:type="dxa"/>
            <w:vAlign w:val="top"/>
          </w:tcPr>
          <w:p w14:paraId="498C2151">
            <w:pPr>
              <w:pStyle w:val="6"/>
              <w:spacing w:before="163" w:line="219" w:lineRule="auto"/>
              <w:ind w:left="101"/>
            </w:pPr>
            <w:r>
              <w:rPr>
                <w:spacing w:val="4"/>
              </w:rPr>
              <w:t>主材费</w:t>
            </w:r>
          </w:p>
        </w:tc>
        <w:tc>
          <w:tcPr>
            <w:tcW w:w="1208" w:type="dxa"/>
            <w:vAlign w:val="top"/>
          </w:tcPr>
          <w:p w14:paraId="72457E52">
            <w:pPr>
              <w:rPr>
                <w:rFonts w:ascii="Arial"/>
                <w:sz w:val="21"/>
              </w:rPr>
            </w:pPr>
          </w:p>
        </w:tc>
        <w:tc>
          <w:tcPr>
            <w:tcW w:w="929" w:type="dxa"/>
            <w:vAlign w:val="top"/>
          </w:tcPr>
          <w:p w14:paraId="51D8E46E">
            <w:pPr>
              <w:rPr>
                <w:rFonts w:ascii="Arial"/>
                <w:sz w:val="21"/>
              </w:rPr>
            </w:pPr>
          </w:p>
        </w:tc>
        <w:tc>
          <w:tcPr>
            <w:tcW w:w="1478" w:type="dxa"/>
            <w:vAlign w:val="top"/>
          </w:tcPr>
          <w:p w14:paraId="62C2D51B">
            <w:pPr>
              <w:rPr>
                <w:rFonts w:ascii="Arial"/>
                <w:sz w:val="21"/>
              </w:rPr>
            </w:pPr>
          </w:p>
        </w:tc>
        <w:tc>
          <w:tcPr>
            <w:tcW w:w="934" w:type="dxa"/>
            <w:vAlign w:val="top"/>
          </w:tcPr>
          <w:p w14:paraId="7F2E5A65">
            <w:pPr>
              <w:rPr>
                <w:rFonts w:ascii="Arial"/>
                <w:sz w:val="21"/>
              </w:rPr>
            </w:pPr>
          </w:p>
        </w:tc>
      </w:tr>
      <w:tr w14:paraId="2D6F07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0" w:hRule="atLeast"/>
        </w:trPr>
        <w:tc>
          <w:tcPr>
            <w:tcW w:w="744" w:type="dxa"/>
            <w:vAlign w:val="top"/>
          </w:tcPr>
          <w:p w14:paraId="5046D03F">
            <w:pPr>
              <w:rPr>
                <w:rFonts w:ascii="Arial"/>
                <w:sz w:val="21"/>
              </w:rPr>
            </w:pPr>
          </w:p>
        </w:tc>
        <w:tc>
          <w:tcPr>
            <w:tcW w:w="3286" w:type="dxa"/>
            <w:vAlign w:val="top"/>
          </w:tcPr>
          <w:p w14:paraId="7ECB331D">
            <w:pPr>
              <w:rPr>
                <w:rFonts w:ascii="Arial"/>
                <w:sz w:val="21"/>
              </w:rPr>
            </w:pPr>
          </w:p>
        </w:tc>
        <w:tc>
          <w:tcPr>
            <w:tcW w:w="1208" w:type="dxa"/>
            <w:vAlign w:val="top"/>
          </w:tcPr>
          <w:p w14:paraId="02E91533">
            <w:pPr>
              <w:rPr>
                <w:rFonts w:ascii="Arial"/>
                <w:sz w:val="21"/>
              </w:rPr>
            </w:pPr>
          </w:p>
        </w:tc>
        <w:tc>
          <w:tcPr>
            <w:tcW w:w="929" w:type="dxa"/>
            <w:vAlign w:val="top"/>
          </w:tcPr>
          <w:p w14:paraId="23F0581F">
            <w:pPr>
              <w:rPr>
                <w:rFonts w:ascii="Arial"/>
                <w:sz w:val="21"/>
              </w:rPr>
            </w:pPr>
          </w:p>
        </w:tc>
        <w:tc>
          <w:tcPr>
            <w:tcW w:w="1478" w:type="dxa"/>
            <w:vAlign w:val="top"/>
          </w:tcPr>
          <w:p w14:paraId="6ADF3E0A">
            <w:pPr>
              <w:rPr>
                <w:rFonts w:ascii="Arial"/>
                <w:sz w:val="21"/>
              </w:rPr>
            </w:pPr>
          </w:p>
        </w:tc>
        <w:tc>
          <w:tcPr>
            <w:tcW w:w="934" w:type="dxa"/>
            <w:vAlign w:val="top"/>
          </w:tcPr>
          <w:p w14:paraId="412AFF34">
            <w:pPr>
              <w:rPr>
                <w:rFonts w:ascii="Arial"/>
                <w:sz w:val="21"/>
              </w:rPr>
            </w:pPr>
          </w:p>
        </w:tc>
      </w:tr>
      <w:tr w14:paraId="537E98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9" w:hRule="atLeast"/>
        </w:trPr>
        <w:tc>
          <w:tcPr>
            <w:tcW w:w="744" w:type="dxa"/>
            <w:vAlign w:val="top"/>
          </w:tcPr>
          <w:p w14:paraId="768AC8EB">
            <w:pPr>
              <w:rPr>
                <w:rFonts w:ascii="Arial"/>
                <w:sz w:val="21"/>
              </w:rPr>
            </w:pPr>
          </w:p>
        </w:tc>
        <w:tc>
          <w:tcPr>
            <w:tcW w:w="3286" w:type="dxa"/>
            <w:vAlign w:val="top"/>
          </w:tcPr>
          <w:p w14:paraId="409A878E">
            <w:pPr>
              <w:rPr>
                <w:rFonts w:ascii="Arial"/>
                <w:sz w:val="21"/>
              </w:rPr>
            </w:pPr>
          </w:p>
        </w:tc>
        <w:tc>
          <w:tcPr>
            <w:tcW w:w="1208" w:type="dxa"/>
            <w:vAlign w:val="top"/>
          </w:tcPr>
          <w:p w14:paraId="1407D8C9">
            <w:pPr>
              <w:rPr>
                <w:rFonts w:ascii="Arial"/>
                <w:sz w:val="21"/>
              </w:rPr>
            </w:pPr>
          </w:p>
        </w:tc>
        <w:tc>
          <w:tcPr>
            <w:tcW w:w="929" w:type="dxa"/>
            <w:vAlign w:val="top"/>
          </w:tcPr>
          <w:p w14:paraId="230DDFB4">
            <w:pPr>
              <w:rPr>
                <w:rFonts w:ascii="Arial"/>
                <w:sz w:val="21"/>
              </w:rPr>
            </w:pPr>
          </w:p>
        </w:tc>
        <w:tc>
          <w:tcPr>
            <w:tcW w:w="1478" w:type="dxa"/>
            <w:vAlign w:val="top"/>
          </w:tcPr>
          <w:p w14:paraId="721E8A24">
            <w:pPr>
              <w:rPr>
                <w:rFonts w:ascii="Arial"/>
                <w:sz w:val="21"/>
              </w:rPr>
            </w:pPr>
          </w:p>
        </w:tc>
        <w:tc>
          <w:tcPr>
            <w:tcW w:w="934" w:type="dxa"/>
            <w:vAlign w:val="top"/>
          </w:tcPr>
          <w:p w14:paraId="0EBF4854">
            <w:pPr>
              <w:rPr>
                <w:rFonts w:ascii="Arial"/>
                <w:sz w:val="21"/>
              </w:rPr>
            </w:pPr>
          </w:p>
        </w:tc>
      </w:tr>
      <w:tr w14:paraId="038E27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0" w:hRule="atLeast"/>
        </w:trPr>
        <w:tc>
          <w:tcPr>
            <w:tcW w:w="744" w:type="dxa"/>
            <w:vAlign w:val="top"/>
          </w:tcPr>
          <w:p w14:paraId="5598D8FF">
            <w:pPr>
              <w:rPr>
                <w:rFonts w:ascii="Arial"/>
                <w:sz w:val="21"/>
              </w:rPr>
            </w:pPr>
          </w:p>
        </w:tc>
        <w:tc>
          <w:tcPr>
            <w:tcW w:w="3286" w:type="dxa"/>
            <w:vAlign w:val="top"/>
          </w:tcPr>
          <w:p w14:paraId="3207ECC9">
            <w:pPr>
              <w:rPr>
                <w:rFonts w:ascii="Arial"/>
                <w:sz w:val="21"/>
              </w:rPr>
            </w:pPr>
          </w:p>
        </w:tc>
        <w:tc>
          <w:tcPr>
            <w:tcW w:w="1208" w:type="dxa"/>
            <w:vAlign w:val="top"/>
          </w:tcPr>
          <w:p w14:paraId="56583158">
            <w:pPr>
              <w:rPr>
                <w:rFonts w:ascii="Arial"/>
                <w:sz w:val="21"/>
              </w:rPr>
            </w:pPr>
          </w:p>
        </w:tc>
        <w:tc>
          <w:tcPr>
            <w:tcW w:w="929" w:type="dxa"/>
            <w:vAlign w:val="top"/>
          </w:tcPr>
          <w:p w14:paraId="63B34FA8">
            <w:pPr>
              <w:rPr>
                <w:rFonts w:ascii="Arial"/>
                <w:sz w:val="21"/>
              </w:rPr>
            </w:pPr>
          </w:p>
        </w:tc>
        <w:tc>
          <w:tcPr>
            <w:tcW w:w="1478" w:type="dxa"/>
            <w:vAlign w:val="top"/>
          </w:tcPr>
          <w:p w14:paraId="6C6FC6D1">
            <w:pPr>
              <w:rPr>
                <w:rFonts w:ascii="Arial"/>
                <w:sz w:val="21"/>
              </w:rPr>
            </w:pPr>
          </w:p>
        </w:tc>
        <w:tc>
          <w:tcPr>
            <w:tcW w:w="934" w:type="dxa"/>
            <w:vAlign w:val="top"/>
          </w:tcPr>
          <w:p w14:paraId="5C909DE8">
            <w:pPr>
              <w:rPr>
                <w:rFonts w:ascii="Arial"/>
                <w:sz w:val="21"/>
              </w:rPr>
            </w:pPr>
          </w:p>
        </w:tc>
      </w:tr>
      <w:tr w14:paraId="6AE8D2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0" w:hRule="atLeast"/>
        </w:trPr>
        <w:tc>
          <w:tcPr>
            <w:tcW w:w="744" w:type="dxa"/>
            <w:vAlign w:val="top"/>
          </w:tcPr>
          <w:p w14:paraId="0E6E3029">
            <w:pPr>
              <w:rPr>
                <w:rFonts w:ascii="Arial"/>
                <w:sz w:val="21"/>
              </w:rPr>
            </w:pPr>
          </w:p>
        </w:tc>
        <w:tc>
          <w:tcPr>
            <w:tcW w:w="3286" w:type="dxa"/>
            <w:vAlign w:val="top"/>
          </w:tcPr>
          <w:p w14:paraId="2FCC7FA1">
            <w:pPr>
              <w:rPr>
                <w:rFonts w:ascii="Arial"/>
                <w:sz w:val="21"/>
              </w:rPr>
            </w:pPr>
          </w:p>
        </w:tc>
        <w:tc>
          <w:tcPr>
            <w:tcW w:w="1208" w:type="dxa"/>
            <w:vAlign w:val="top"/>
          </w:tcPr>
          <w:p w14:paraId="554C21DD">
            <w:pPr>
              <w:rPr>
                <w:rFonts w:ascii="Arial"/>
                <w:sz w:val="21"/>
              </w:rPr>
            </w:pPr>
          </w:p>
        </w:tc>
        <w:tc>
          <w:tcPr>
            <w:tcW w:w="929" w:type="dxa"/>
            <w:vAlign w:val="top"/>
          </w:tcPr>
          <w:p w14:paraId="06C13450">
            <w:pPr>
              <w:rPr>
                <w:rFonts w:ascii="Arial"/>
                <w:sz w:val="21"/>
              </w:rPr>
            </w:pPr>
          </w:p>
        </w:tc>
        <w:tc>
          <w:tcPr>
            <w:tcW w:w="1478" w:type="dxa"/>
            <w:vAlign w:val="top"/>
          </w:tcPr>
          <w:p w14:paraId="27BE2CEA">
            <w:pPr>
              <w:rPr>
                <w:rFonts w:ascii="Arial"/>
                <w:sz w:val="21"/>
              </w:rPr>
            </w:pPr>
          </w:p>
        </w:tc>
        <w:tc>
          <w:tcPr>
            <w:tcW w:w="934" w:type="dxa"/>
            <w:vAlign w:val="top"/>
          </w:tcPr>
          <w:p w14:paraId="15A061E1">
            <w:pPr>
              <w:rPr>
                <w:rFonts w:ascii="Arial"/>
                <w:sz w:val="21"/>
              </w:rPr>
            </w:pPr>
          </w:p>
        </w:tc>
      </w:tr>
      <w:tr w14:paraId="61597F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0" w:hRule="atLeast"/>
        </w:trPr>
        <w:tc>
          <w:tcPr>
            <w:tcW w:w="744" w:type="dxa"/>
            <w:vAlign w:val="top"/>
          </w:tcPr>
          <w:p w14:paraId="264F4BD3">
            <w:pPr>
              <w:rPr>
                <w:rFonts w:ascii="Arial"/>
                <w:sz w:val="21"/>
              </w:rPr>
            </w:pPr>
          </w:p>
        </w:tc>
        <w:tc>
          <w:tcPr>
            <w:tcW w:w="3286" w:type="dxa"/>
            <w:vAlign w:val="top"/>
          </w:tcPr>
          <w:p w14:paraId="12DFC06B">
            <w:pPr>
              <w:rPr>
                <w:rFonts w:ascii="Arial"/>
                <w:sz w:val="21"/>
              </w:rPr>
            </w:pPr>
          </w:p>
        </w:tc>
        <w:tc>
          <w:tcPr>
            <w:tcW w:w="1208" w:type="dxa"/>
            <w:vAlign w:val="top"/>
          </w:tcPr>
          <w:p w14:paraId="337A58BC">
            <w:pPr>
              <w:rPr>
                <w:rFonts w:ascii="Arial"/>
                <w:sz w:val="21"/>
              </w:rPr>
            </w:pPr>
          </w:p>
        </w:tc>
        <w:tc>
          <w:tcPr>
            <w:tcW w:w="929" w:type="dxa"/>
            <w:vAlign w:val="top"/>
          </w:tcPr>
          <w:p w14:paraId="4C87A9E2">
            <w:pPr>
              <w:rPr>
                <w:rFonts w:ascii="Arial"/>
                <w:sz w:val="21"/>
              </w:rPr>
            </w:pPr>
          </w:p>
        </w:tc>
        <w:tc>
          <w:tcPr>
            <w:tcW w:w="1478" w:type="dxa"/>
            <w:vAlign w:val="top"/>
          </w:tcPr>
          <w:p w14:paraId="297B9EE8">
            <w:pPr>
              <w:rPr>
                <w:rFonts w:ascii="Arial"/>
                <w:sz w:val="21"/>
              </w:rPr>
            </w:pPr>
          </w:p>
        </w:tc>
        <w:tc>
          <w:tcPr>
            <w:tcW w:w="934" w:type="dxa"/>
            <w:vAlign w:val="top"/>
          </w:tcPr>
          <w:p w14:paraId="2EFEB07A">
            <w:pPr>
              <w:rPr>
                <w:rFonts w:ascii="Arial"/>
                <w:sz w:val="21"/>
              </w:rPr>
            </w:pPr>
          </w:p>
        </w:tc>
      </w:tr>
      <w:tr w14:paraId="452C46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9" w:hRule="atLeast"/>
        </w:trPr>
        <w:tc>
          <w:tcPr>
            <w:tcW w:w="744" w:type="dxa"/>
            <w:vAlign w:val="top"/>
          </w:tcPr>
          <w:p w14:paraId="5F87B0EA">
            <w:pPr>
              <w:rPr>
                <w:rFonts w:ascii="Arial"/>
                <w:sz w:val="21"/>
              </w:rPr>
            </w:pPr>
          </w:p>
        </w:tc>
        <w:tc>
          <w:tcPr>
            <w:tcW w:w="3286" w:type="dxa"/>
            <w:vAlign w:val="top"/>
          </w:tcPr>
          <w:p w14:paraId="38EFC054">
            <w:pPr>
              <w:rPr>
                <w:rFonts w:ascii="Arial"/>
                <w:sz w:val="21"/>
              </w:rPr>
            </w:pPr>
          </w:p>
        </w:tc>
        <w:tc>
          <w:tcPr>
            <w:tcW w:w="1208" w:type="dxa"/>
            <w:vAlign w:val="top"/>
          </w:tcPr>
          <w:p w14:paraId="69047255">
            <w:pPr>
              <w:rPr>
                <w:rFonts w:ascii="Arial"/>
                <w:sz w:val="21"/>
              </w:rPr>
            </w:pPr>
          </w:p>
        </w:tc>
        <w:tc>
          <w:tcPr>
            <w:tcW w:w="929" w:type="dxa"/>
            <w:vAlign w:val="top"/>
          </w:tcPr>
          <w:p w14:paraId="1F60AE79">
            <w:pPr>
              <w:rPr>
                <w:rFonts w:ascii="Arial"/>
                <w:sz w:val="21"/>
              </w:rPr>
            </w:pPr>
          </w:p>
        </w:tc>
        <w:tc>
          <w:tcPr>
            <w:tcW w:w="1478" w:type="dxa"/>
            <w:vAlign w:val="top"/>
          </w:tcPr>
          <w:p w14:paraId="6E3306FC">
            <w:pPr>
              <w:rPr>
                <w:rFonts w:ascii="Arial"/>
                <w:sz w:val="21"/>
              </w:rPr>
            </w:pPr>
          </w:p>
        </w:tc>
        <w:tc>
          <w:tcPr>
            <w:tcW w:w="934" w:type="dxa"/>
            <w:vAlign w:val="top"/>
          </w:tcPr>
          <w:p w14:paraId="7A5ED5F0">
            <w:pPr>
              <w:rPr>
                <w:rFonts w:ascii="Arial"/>
                <w:sz w:val="21"/>
              </w:rPr>
            </w:pPr>
          </w:p>
        </w:tc>
      </w:tr>
      <w:tr w14:paraId="5C5E08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9" w:hRule="atLeast"/>
        </w:trPr>
        <w:tc>
          <w:tcPr>
            <w:tcW w:w="744" w:type="dxa"/>
            <w:vAlign w:val="top"/>
          </w:tcPr>
          <w:p w14:paraId="70066592">
            <w:pPr>
              <w:rPr>
                <w:rFonts w:ascii="Arial"/>
                <w:sz w:val="21"/>
              </w:rPr>
            </w:pPr>
          </w:p>
        </w:tc>
        <w:tc>
          <w:tcPr>
            <w:tcW w:w="3286" w:type="dxa"/>
            <w:vAlign w:val="top"/>
          </w:tcPr>
          <w:p w14:paraId="1816CE0E">
            <w:pPr>
              <w:rPr>
                <w:rFonts w:ascii="Arial"/>
                <w:sz w:val="21"/>
              </w:rPr>
            </w:pPr>
          </w:p>
        </w:tc>
        <w:tc>
          <w:tcPr>
            <w:tcW w:w="1208" w:type="dxa"/>
            <w:vAlign w:val="top"/>
          </w:tcPr>
          <w:p w14:paraId="41DF3387">
            <w:pPr>
              <w:rPr>
                <w:rFonts w:ascii="Arial"/>
                <w:sz w:val="21"/>
              </w:rPr>
            </w:pPr>
          </w:p>
        </w:tc>
        <w:tc>
          <w:tcPr>
            <w:tcW w:w="929" w:type="dxa"/>
            <w:vAlign w:val="top"/>
          </w:tcPr>
          <w:p w14:paraId="04BE93FC">
            <w:pPr>
              <w:rPr>
                <w:rFonts w:ascii="Arial"/>
                <w:sz w:val="21"/>
              </w:rPr>
            </w:pPr>
          </w:p>
        </w:tc>
        <w:tc>
          <w:tcPr>
            <w:tcW w:w="1478" w:type="dxa"/>
            <w:vAlign w:val="top"/>
          </w:tcPr>
          <w:p w14:paraId="3A9B6531">
            <w:pPr>
              <w:rPr>
                <w:rFonts w:ascii="Arial"/>
                <w:sz w:val="21"/>
              </w:rPr>
            </w:pPr>
          </w:p>
        </w:tc>
        <w:tc>
          <w:tcPr>
            <w:tcW w:w="934" w:type="dxa"/>
            <w:vAlign w:val="top"/>
          </w:tcPr>
          <w:p w14:paraId="3EBE46F7">
            <w:pPr>
              <w:rPr>
                <w:rFonts w:ascii="Arial"/>
                <w:sz w:val="21"/>
              </w:rPr>
            </w:pPr>
          </w:p>
        </w:tc>
      </w:tr>
      <w:tr w14:paraId="5EEA25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744" w:type="dxa"/>
            <w:vAlign w:val="top"/>
          </w:tcPr>
          <w:p w14:paraId="5D6B2DB5">
            <w:pPr>
              <w:rPr>
                <w:rFonts w:ascii="Arial"/>
                <w:sz w:val="21"/>
              </w:rPr>
            </w:pPr>
          </w:p>
        </w:tc>
        <w:tc>
          <w:tcPr>
            <w:tcW w:w="3286" w:type="dxa"/>
            <w:vAlign w:val="top"/>
          </w:tcPr>
          <w:p w14:paraId="77CC9DEB">
            <w:pPr>
              <w:rPr>
                <w:rFonts w:ascii="Arial"/>
                <w:sz w:val="21"/>
              </w:rPr>
            </w:pPr>
          </w:p>
        </w:tc>
        <w:tc>
          <w:tcPr>
            <w:tcW w:w="1208" w:type="dxa"/>
            <w:vAlign w:val="top"/>
          </w:tcPr>
          <w:p w14:paraId="3006C58D">
            <w:pPr>
              <w:rPr>
                <w:rFonts w:ascii="Arial"/>
                <w:sz w:val="21"/>
              </w:rPr>
            </w:pPr>
          </w:p>
        </w:tc>
        <w:tc>
          <w:tcPr>
            <w:tcW w:w="929" w:type="dxa"/>
            <w:vAlign w:val="top"/>
          </w:tcPr>
          <w:p w14:paraId="14904974">
            <w:pPr>
              <w:rPr>
                <w:rFonts w:ascii="Arial"/>
                <w:sz w:val="21"/>
              </w:rPr>
            </w:pPr>
          </w:p>
        </w:tc>
        <w:tc>
          <w:tcPr>
            <w:tcW w:w="1478" w:type="dxa"/>
            <w:vAlign w:val="top"/>
          </w:tcPr>
          <w:p w14:paraId="27A91EEB">
            <w:pPr>
              <w:rPr>
                <w:rFonts w:ascii="Arial"/>
                <w:sz w:val="21"/>
              </w:rPr>
            </w:pPr>
          </w:p>
        </w:tc>
        <w:tc>
          <w:tcPr>
            <w:tcW w:w="934" w:type="dxa"/>
            <w:vAlign w:val="top"/>
          </w:tcPr>
          <w:p w14:paraId="274B1999">
            <w:pPr>
              <w:rPr>
                <w:rFonts w:ascii="Arial"/>
                <w:sz w:val="21"/>
              </w:rPr>
            </w:pPr>
          </w:p>
        </w:tc>
      </w:tr>
      <w:tr w14:paraId="36497B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0" w:hRule="atLeast"/>
        </w:trPr>
        <w:tc>
          <w:tcPr>
            <w:tcW w:w="744" w:type="dxa"/>
            <w:vAlign w:val="top"/>
          </w:tcPr>
          <w:p w14:paraId="2CC9CAEB">
            <w:pPr>
              <w:rPr>
                <w:rFonts w:ascii="Arial"/>
                <w:sz w:val="21"/>
              </w:rPr>
            </w:pPr>
          </w:p>
        </w:tc>
        <w:tc>
          <w:tcPr>
            <w:tcW w:w="3286" w:type="dxa"/>
            <w:vAlign w:val="top"/>
          </w:tcPr>
          <w:p w14:paraId="46268D80">
            <w:pPr>
              <w:rPr>
                <w:rFonts w:ascii="Arial"/>
                <w:sz w:val="21"/>
              </w:rPr>
            </w:pPr>
          </w:p>
        </w:tc>
        <w:tc>
          <w:tcPr>
            <w:tcW w:w="1208" w:type="dxa"/>
            <w:vAlign w:val="top"/>
          </w:tcPr>
          <w:p w14:paraId="0D41E679">
            <w:pPr>
              <w:rPr>
                <w:rFonts w:ascii="Arial"/>
                <w:sz w:val="21"/>
              </w:rPr>
            </w:pPr>
          </w:p>
        </w:tc>
        <w:tc>
          <w:tcPr>
            <w:tcW w:w="929" w:type="dxa"/>
            <w:vAlign w:val="top"/>
          </w:tcPr>
          <w:p w14:paraId="3BD0E2C6">
            <w:pPr>
              <w:rPr>
                <w:rFonts w:ascii="Arial"/>
                <w:sz w:val="21"/>
              </w:rPr>
            </w:pPr>
          </w:p>
        </w:tc>
        <w:tc>
          <w:tcPr>
            <w:tcW w:w="1478" w:type="dxa"/>
            <w:vAlign w:val="top"/>
          </w:tcPr>
          <w:p w14:paraId="68C8F9B7">
            <w:pPr>
              <w:rPr>
                <w:rFonts w:ascii="Arial"/>
                <w:sz w:val="21"/>
              </w:rPr>
            </w:pPr>
          </w:p>
        </w:tc>
        <w:tc>
          <w:tcPr>
            <w:tcW w:w="934" w:type="dxa"/>
            <w:vAlign w:val="top"/>
          </w:tcPr>
          <w:p w14:paraId="5BD9FC63">
            <w:pPr>
              <w:rPr>
                <w:rFonts w:ascii="Arial"/>
                <w:sz w:val="21"/>
              </w:rPr>
            </w:pPr>
          </w:p>
        </w:tc>
      </w:tr>
      <w:tr w14:paraId="6CB5E6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trPr>
        <w:tc>
          <w:tcPr>
            <w:tcW w:w="4030" w:type="dxa"/>
            <w:gridSpan w:val="2"/>
            <w:vAlign w:val="top"/>
          </w:tcPr>
          <w:p w14:paraId="6F68E1F2">
            <w:pPr>
              <w:pStyle w:val="6"/>
              <w:spacing w:before="189" w:line="221" w:lineRule="auto"/>
              <w:ind w:left="1745"/>
            </w:pPr>
            <w:r>
              <w:rPr>
                <w:spacing w:val="-5"/>
              </w:rPr>
              <w:t>合</w:t>
            </w:r>
            <w:r>
              <w:rPr>
                <w:spacing w:val="61"/>
              </w:rPr>
              <w:t xml:space="preserve"> </w:t>
            </w:r>
            <w:r>
              <w:rPr>
                <w:spacing w:val="-5"/>
              </w:rPr>
              <w:t>计</w:t>
            </w:r>
          </w:p>
        </w:tc>
        <w:tc>
          <w:tcPr>
            <w:tcW w:w="1208" w:type="dxa"/>
            <w:vAlign w:val="top"/>
          </w:tcPr>
          <w:p w14:paraId="2A2960F2">
            <w:pPr>
              <w:rPr>
                <w:rFonts w:ascii="Arial"/>
                <w:sz w:val="21"/>
              </w:rPr>
            </w:pPr>
          </w:p>
        </w:tc>
        <w:tc>
          <w:tcPr>
            <w:tcW w:w="929" w:type="dxa"/>
            <w:vAlign w:val="top"/>
          </w:tcPr>
          <w:p w14:paraId="45A7501B">
            <w:pPr>
              <w:rPr>
                <w:rFonts w:ascii="Arial"/>
                <w:sz w:val="21"/>
              </w:rPr>
            </w:pPr>
          </w:p>
        </w:tc>
        <w:tc>
          <w:tcPr>
            <w:tcW w:w="1478" w:type="dxa"/>
            <w:vAlign w:val="top"/>
          </w:tcPr>
          <w:p w14:paraId="118C17EA">
            <w:pPr>
              <w:rPr>
                <w:rFonts w:ascii="Arial"/>
                <w:sz w:val="21"/>
              </w:rPr>
            </w:pPr>
          </w:p>
        </w:tc>
        <w:tc>
          <w:tcPr>
            <w:tcW w:w="934" w:type="dxa"/>
            <w:vAlign w:val="top"/>
          </w:tcPr>
          <w:p w14:paraId="63756016">
            <w:pPr>
              <w:rPr>
                <w:rFonts w:ascii="Arial"/>
                <w:sz w:val="21"/>
              </w:rPr>
            </w:pPr>
          </w:p>
        </w:tc>
      </w:tr>
    </w:tbl>
    <w:p w14:paraId="55915430">
      <w:pPr>
        <w:rPr>
          <w:rFonts w:ascii="Arial"/>
          <w:sz w:val="21"/>
        </w:rPr>
      </w:pPr>
    </w:p>
    <w:p w14:paraId="5BA1B1AD">
      <w:pPr>
        <w:rPr>
          <w:rFonts w:ascii="Arial" w:hAnsi="Arial" w:eastAsia="Arial" w:cs="Arial"/>
          <w:sz w:val="21"/>
          <w:szCs w:val="21"/>
        </w:rPr>
        <w:sectPr>
          <w:footerReference r:id="rId301" w:type="default"/>
          <w:pgSz w:w="11910" w:h="16840"/>
          <w:pgMar w:top="400" w:right="1705" w:bottom="1024" w:left="1460" w:header="0" w:footer="889" w:gutter="0"/>
          <w:cols w:space="720" w:num="1"/>
        </w:sectPr>
      </w:pPr>
    </w:p>
    <w:p w14:paraId="19FFC536">
      <w:pPr>
        <w:spacing w:line="259" w:lineRule="auto"/>
        <w:rPr>
          <w:rFonts w:ascii="Arial"/>
          <w:sz w:val="21"/>
        </w:rPr>
      </w:pPr>
    </w:p>
    <w:p w14:paraId="55F631A8">
      <w:pPr>
        <w:spacing w:line="259" w:lineRule="auto"/>
        <w:rPr>
          <w:rFonts w:ascii="Arial"/>
          <w:sz w:val="21"/>
        </w:rPr>
      </w:pPr>
    </w:p>
    <w:p w14:paraId="25DAEAFA">
      <w:pPr>
        <w:spacing w:line="259" w:lineRule="auto"/>
        <w:rPr>
          <w:rFonts w:ascii="Arial"/>
          <w:sz w:val="21"/>
        </w:rPr>
      </w:pPr>
    </w:p>
    <w:p w14:paraId="2AFFC66E">
      <w:pPr>
        <w:spacing w:line="259" w:lineRule="auto"/>
        <w:rPr>
          <w:rFonts w:ascii="Arial"/>
          <w:sz w:val="21"/>
        </w:rPr>
      </w:pPr>
    </w:p>
    <w:p w14:paraId="0434EFCD">
      <w:pPr>
        <w:spacing w:line="259" w:lineRule="auto"/>
        <w:rPr>
          <w:rFonts w:ascii="Arial"/>
          <w:sz w:val="21"/>
        </w:rPr>
      </w:pPr>
    </w:p>
    <w:p w14:paraId="6FEF3F2A">
      <w:pPr>
        <w:spacing w:before="82" w:line="222" w:lineRule="auto"/>
        <w:ind w:left="538"/>
        <w:outlineLvl w:val="2"/>
        <w:rPr>
          <w:rFonts w:ascii="黑体" w:hAnsi="黑体" w:eastAsia="黑体" w:cs="黑体"/>
          <w:sz w:val="25"/>
          <w:szCs w:val="25"/>
        </w:rPr>
      </w:pPr>
      <w:bookmarkStart w:id="283" w:name="bookmark324"/>
      <w:bookmarkEnd w:id="283"/>
      <w:bookmarkStart w:id="284" w:name="bookmark195"/>
      <w:bookmarkEnd w:id="284"/>
      <w:r>
        <w:rPr>
          <w:rFonts w:ascii="黑体" w:hAnsi="黑体" w:eastAsia="黑体" w:cs="黑体"/>
          <w:b/>
          <w:bCs/>
          <w:spacing w:val="-3"/>
          <w:sz w:val="25"/>
          <w:szCs w:val="25"/>
        </w:rPr>
        <w:t>4.8单位工程投标报价汇总表</w:t>
      </w:r>
    </w:p>
    <w:p w14:paraId="69C25F8D">
      <w:pPr>
        <w:spacing w:before="149" w:line="222" w:lineRule="auto"/>
        <w:ind w:left="3009"/>
        <w:rPr>
          <w:rFonts w:ascii="黑体" w:hAnsi="黑体" w:eastAsia="黑体" w:cs="黑体"/>
          <w:sz w:val="28"/>
          <w:szCs w:val="28"/>
        </w:rPr>
      </w:pPr>
      <w:r>
        <w:rPr>
          <w:rFonts w:ascii="黑体" w:hAnsi="黑体" w:eastAsia="黑体" w:cs="黑体"/>
          <w:b/>
          <w:bCs/>
          <w:sz w:val="28"/>
          <w:szCs w:val="28"/>
        </w:rPr>
        <w:t>单位工程投标报价汇总表</w:t>
      </w:r>
    </w:p>
    <w:p w14:paraId="19915361">
      <w:pPr>
        <w:pStyle w:val="2"/>
        <w:spacing w:before="164" w:line="230" w:lineRule="auto"/>
        <w:ind w:left="115"/>
        <w:rPr>
          <w:sz w:val="19"/>
          <w:szCs w:val="19"/>
        </w:rPr>
      </w:pPr>
      <w:r>
        <w:rPr>
          <w:spacing w:val="-1"/>
          <w:sz w:val="19"/>
          <w:szCs w:val="19"/>
        </w:rPr>
        <w:t xml:space="preserve">工程名称：                                                      </w:t>
      </w:r>
      <w:r>
        <w:rPr>
          <w:spacing w:val="-2"/>
          <w:sz w:val="19"/>
          <w:szCs w:val="19"/>
        </w:rPr>
        <w:t xml:space="preserve">      第   页   共   页</w:t>
      </w:r>
    </w:p>
    <w:p w14:paraId="28341337">
      <w:pPr>
        <w:spacing w:line="110" w:lineRule="exact"/>
      </w:pPr>
    </w:p>
    <w:tbl>
      <w:tblPr>
        <w:tblStyle w:val="5"/>
        <w:tblW w:w="876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4"/>
        <w:gridCol w:w="2897"/>
        <w:gridCol w:w="3336"/>
        <w:gridCol w:w="1803"/>
      </w:tblGrid>
      <w:tr w14:paraId="339D45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4" w:hRule="atLeast"/>
        </w:trPr>
        <w:tc>
          <w:tcPr>
            <w:tcW w:w="724" w:type="dxa"/>
            <w:vAlign w:val="top"/>
          </w:tcPr>
          <w:p w14:paraId="2A6A35E1">
            <w:pPr>
              <w:pStyle w:val="6"/>
              <w:spacing w:before="164" w:line="221" w:lineRule="auto"/>
              <w:ind w:left="105"/>
            </w:pPr>
            <w:r>
              <w:rPr>
                <w:spacing w:val="6"/>
              </w:rPr>
              <w:t>序号</w:t>
            </w:r>
          </w:p>
        </w:tc>
        <w:tc>
          <w:tcPr>
            <w:tcW w:w="2897" w:type="dxa"/>
            <w:vAlign w:val="top"/>
          </w:tcPr>
          <w:p w14:paraId="0BC7A327">
            <w:pPr>
              <w:pStyle w:val="6"/>
              <w:spacing w:before="163" w:line="219" w:lineRule="auto"/>
              <w:ind w:left="1040"/>
            </w:pPr>
            <w:r>
              <w:rPr>
                <w:spacing w:val="-2"/>
              </w:rPr>
              <w:t>汇总内容</w:t>
            </w:r>
          </w:p>
        </w:tc>
        <w:tc>
          <w:tcPr>
            <w:tcW w:w="3336" w:type="dxa"/>
            <w:vAlign w:val="top"/>
          </w:tcPr>
          <w:p w14:paraId="18A88A56">
            <w:pPr>
              <w:pStyle w:val="6"/>
              <w:spacing w:before="163" w:line="219" w:lineRule="auto"/>
              <w:ind w:left="1264"/>
            </w:pPr>
            <w:r>
              <w:rPr>
                <w:spacing w:val="9"/>
              </w:rPr>
              <w:t>金额(元)</w:t>
            </w:r>
          </w:p>
        </w:tc>
        <w:tc>
          <w:tcPr>
            <w:tcW w:w="1803" w:type="dxa"/>
            <w:vAlign w:val="top"/>
          </w:tcPr>
          <w:p w14:paraId="345801D4">
            <w:pPr>
              <w:pStyle w:val="6"/>
              <w:spacing w:before="21" w:line="218" w:lineRule="auto"/>
              <w:ind w:left="267"/>
            </w:pPr>
            <w:r>
              <w:rPr>
                <w:spacing w:val="-2"/>
              </w:rPr>
              <w:t>其中：暂估价</w:t>
            </w:r>
          </w:p>
          <w:p w14:paraId="50458D83">
            <w:pPr>
              <w:pStyle w:val="6"/>
              <w:spacing w:before="24" w:line="202" w:lineRule="auto"/>
              <w:ind w:left="688"/>
            </w:pPr>
            <w:r>
              <w:rPr>
                <w:spacing w:val="15"/>
              </w:rPr>
              <w:t>(元)</w:t>
            </w:r>
          </w:p>
        </w:tc>
      </w:tr>
      <w:tr w14:paraId="1CCB19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724" w:type="dxa"/>
            <w:vAlign w:val="top"/>
          </w:tcPr>
          <w:p w14:paraId="3D83C243">
            <w:pPr>
              <w:pStyle w:val="6"/>
              <w:spacing w:before="160" w:line="241" w:lineRule="auto"/>
              <w:ind w:left="105"/>
            </w:pPr>
            <w:r>
              <w:t>1</w:t>
            </w:r>
          </w:p>
        </w:tc>
        <w:tc>
          <w:tcPr>
            <w:tcW w:w="2897" w:type="dxa"/>
            <w:vAlign w:val="top"/>
          </w:tcPr>
          <w:p w14:paraId="23D621F2">
            <w:pPr>
              <w:pStyle w:val="6"/>
              <w:spacing w:before="139" w:line="219" w:lineRule="auto"/>
              <w:ind w:left="121"/>
            </w:pPr>
            <w:r>
              <w:rPr>
                <w:spacing w:val="-2"/>
              </w:rPr>
              <w:t>分部分项工程</w:t>
            </w:r>
          </w:p>
        </w:tc>
        <w:tc>
          <w:tcPr>
            <w:tcW w:w="3336" w:type="dxa"/>
            <w:vAlign w:val="top"/>
          </w:tcPr>
          <w:p w14:paraId="63EF18E0">
            <w:pPr>
              <w:rPr>
                <w:rFonts w:ascii="Arial"/>
                <w:sz w:val="21"/>
              </w:rPr>
            </w:pPr>
          </w:p>
        </w:tc>
        <w:tc>
          <w:tcPr>
            <w:tcW w:w="1803" w:type="dxa"/>
            <w:vAlign w:val="top"/>
          </w:tcPr>
          <w:p w14:paraId="401A7F00">
            <w:pPr>
              <w:rPr>
                <w:rFonts w:ascii="Arial"/>
                <w:sz w:val="21"/>
              </w:rPr>
            </w:pPr>
          </w:p>
        </w:tc>
      </w:tr>
      <w:tr w14:paraId="4BC412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724" w:type="dxa"/>
            <w:vAlign w:val="top"/>
          </w:tcPr>
          <w:p w14:paraId="6796070C">
            <w:pPr>
              <w:pStyle w:val="6"/>
              <w:spacing w:before="161" w:line="239" w:lineRule="auto"/>
              <w:ind w:left="105"/>
            </w:pPr>
            <w:r>
              <w:rPr>
                <w:spacing w:val="-6"/>
              </w:rPr>
              <w:t>1.1</w:t>
            </w:r>
          </w:p>
        </w:tc>
        <w:tc>
          <w:tcPr>
            <w:tcW w:w="2897" w:type="dxa"/>
            <w:vAlign w:val="top"/>
          </w:tcPr>
          <w:p w14:paraId="486193C6">
            <w:pPr>
              <w:rPr>
                <w:rFonts w:ascii="Arial"/>
                <w:sz w:val="21"/>
              </w:rPr>
            </w:pPr>
          </w:p>
        </w:tc>
        <w:tc>
          <w:tcPr>
            <w:tcW w:w="3336" w:type="dxa"/>
            <w:vAlign w:val="top"/>
          </w:tcPr>
          <w:p w14:paraId="6AD715B5">
            <w:pPr>
              <w:rPr>
                <w:rFonts w:ascii="Arial"/>
                <w:sz w:val="21"/>
              </w:rPr>
            </w:pPr>
          </w:p>
        </w:tc>
        <w:tc>
          <w:tcPr>
            <w:tcW w:w="1803" w:type="dxa"/>
            <w:vAlign w:val="top"/>
          </w:tcPr>
          <w:p w14:paraId="0CFD8B73">
            <w:pPr>
              <w:rPr>
                <w:rFonts w:ascii="Arial"/>
                <w:sz w:val="21"/>
              </w:rPr>
            </w:pPr>
          </w:p>
        </w:tc>
      </w:tr>
      <w:tr w14:paraId="43D8AE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724" w:type="dxa"/>
            <w:vAlign w:val="top"/>
          </w:tcPr>
          <w:p w14:paraId="698262A5">
            <w:pPr>
              <w:pStyle w:val="6"/>
              <w:spacing w:before="151" w:line="239" w:lineRule="auto"/>
              <w:ind w:left="105"/>
            </w:pPr>
            <w:r>
              <w:rPr>
                <w:spacing w:val="-6"/>
              </w:rPr>
              <w:t>1.2</w:t>
            </w:r>
          </w:p>
        </w:tc>
        <w:tc>
          <w:tcPr>
            <w:tcW w:w="2897" w:type="dxa"/>
            <w:vAlign w:val="top"/>
          </w:tcPr>
          <w:p w14:paraId="0E9E69B1">
            <w:pPr>
              <w:rPr>
                <w:rFonts w:ascii="Arial"/>
                <w:sz w:val="21"/>
              </w:rPr>
            </w:pPr>
          </w:p>
        </w:tc>
        <w:tc>
          <w:tcPr>
            <w:tcW w:w="3336" w:type="dxa"/>
            <w:vAlign w:val="top"/>
          </w:tcPr>
          <w:p w14:paraId="5010D11A">
            <w:pPr>
              <w:rPr>
                <w:rFonts w:ascii="Arial"/>
                <w:sz w:val="21"/>
              </w:rPr>
            </w:pPr>
          </w:p>
        </w:tc>
        <w:tc>
          <w:tcPr>
            <w:tcW w:w="1803" w:type="dxa"/>
            <w:vAlign w:val="top"/>
          </w:tcPr>
          <w:p w14:paraId="37276693">
            <w:pPr>
              <w:rPr>
                <w:rFonts w:ascii="Arial"/>
                <w:sz w:val="21"/>
              </w:rPr>
            </w:pPr>
          </w:p>
        </w:tc>
      </w:tr>
      <w:tr w14:paraId="0E3452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724" w:type="dxa"/>
            <w:vAlign w:val="top"/>
          </w:tcPr>
          <w:p w14:paraId="08A31C3E">
            <w:pPr>
              <w:pStyle w:val="6"/>
              <w:spacing w:before="162" w:line="239" w:lineRule="auto"/>
              <w:ind w:left="105"/>
            </w:pPr>
            <w:r>
              <w:rPr>
                <w:spacing w:val="-6"/>
              </w:rPr>
              <w:t>1.3</w:t>
            </w:r>
          </w:p>
        </w:tc>
        <w:tc>
          <w:tcPr>
            <w:tcW w:w="2897" w:type="dxa"/>
            <w:vAlign w:val="top"/>
          </w:tcPr>
          <w:p w14:paraId="7ED5EF2C">
            <w:pPr>
              <w:rPr>
                <w:rFonts w:ascii="Arial"/>
                <w:sz w:val="21"/>
              </w:rPr>
            </w:pPr>
          </w:p>
        </w:tc>
        <w:tc>
          <w:tcPr>
            <w:tcW w:w="3336" w:type="dxa"/>
            <w:vAlign w:val="top"/>
          </w:tcPr>
          <w:p w14:paraId="7A474134">
            <w:pPr>
              <w:rPr>
                <w:rFonts w:ascii="Arial"/>
                <w:sz w:val="21"/>
              </w:rPr>
            </w:pPr>
          </w:p>
        </w:tc>
        <w:tc>
          <w:tcPr>
            <w:tcW w:w="1803" w:type="dxa"/>
            <w:vAlign w:val="top"/>
          </w:tcPr>
          <w:p w14:paraId="6A143D63">
            <w:pPr>
              <w:rPr>
                <w:rFonts w:ascii="Arial"/>
                <w:sz w:val="21"/>
              </w:rPr>
            </w:pPr>
          </w:p>
        </w:tc>
      </w:tr>
      <w:tr w14:paraId="433C0E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724" w:type="dxa"/>
            <w:vAlign w:val="top"/>
          </w:tcPr>
          <w:p w14:paraId="35352A00">
            <w:pPr>
              <w:pStyle w:val="6"/>
              <w:spacing w:before="162" w:line="239" w:lineRule="auto"/>
              <w:ind w:left="105"/>
            </w:pPr>
            <w:r>
              <w:rPr>
                <w:spacing w:val="-6"/>
              </w:rPr>
              <w:t>1.4</w:t>
            </w:r>
          </w:p>
        </w:tc>
        <w:tc>
          <w:tcPr>
            <w:tcW w:w="2897" w:type="dxa"/>
            <w:vAlign w:val="top"/>
          </w:tcPr>
          <w:p w14:paraId="5E53574D">
            <w:pPr>
              <w:rPr>
                <w:rFonts w:ascii="Arial"/>
                <w:sz w:val="21"/>
              </w:rPr>
            </w:pPr>
          </w:p>
        </w:tc>
        <w:tc>
          <w:tcPr>
            <w:tcW w:w="3336" w:type="dxa"/>
            <w:vAlign w:val="top"/>
          </w:tcPr>
          <w:p w14:paraId="4ECC8033">
            <w:pPr>
              <w:rPr>
                <w:rFonts w:ascii="Arial"/>
                <w:sz w:val="21"/>
              </w:rPr>
            </w:pPr>
          </w:p>
        </w:tc>
        <w:tc>
          <w:tcPr>
            <w:tcW w:w="1803" w:type="dxa"/>
            <w:vAlign w:val="top"/>
          </w:tcPr>
          <w:p w14:paraId="65EF18F6">
            <w:pPr>
              <w:rPr>
                <w:rFonts w:ascii="Arial"/>
                <w:sz w:val="21"/>
              </w:rPr>
            </w:pPr>
          </w:p>
        </w:tc>
      </w:tr>
      <w:tr w14:paraId="236E8A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724" w:type="dxa"/>
            <w:vAlign w:val="top"/>
          </w:tcPr>
          <w:p w14:paraId="4BFAF0FE">
            <w:pPr>
              <w:pStyle w:val="6"/>
              <w:spacing w:before="152" w:line="239" w:lineRule="auto"/>
              <w:ind w:left="105"/>
            </w:pPr>
            <w:r>
              <w:rPr>
                <w:spacing w:val="-6"/>
              </w:rPr>
              <w:t>1.5</w:t>
            </w:r>
          </w:p>
        </w:tc>
        <w:tc>
          <w:tcPr>
            <w:tcW w:w="2897" w:type="dxa"/>
            <w:vAlign w:val="top"/>
          </w:tcPr>
          <w:p w14:paraId="098198F2">
            <w:pPr>
              <w:rPr>
                <w:rFonts w:ascii="Arial"/>
                <w:sz w:val="21"/>
              </w:rPr>
            </w:pPr>
          </w:p>
        </w:tc>
        <w:tc>
          <w:tcPr>
            <w:tcW w:w="3336" w:type="dxa"/>
            <w:vAlign w:val="top"/>
          </w:tcPr>
          <w:p w14:paraId="510BA3BC">
            <w:pPr>
              <w:rPr>
                <w:rFonts w:ascii="Arial"/>
                <w:sz w:val="21"/>
              </w:rPr>
            </w:pPr>
          </w:p>
        </w:tc>
        <w:tc>
          <w:tcPr>
            <w:tcW w:w="1803" w:type="dxa"/>
            <w:vAlign w:val="top"/>
          </w:tcPr>
          <w:p w14:paraId="6767DB95">
            <w:pPr>
              <w:rPr>
                <w:rFonts w:ascii="Arial"/>
                <w:sz w:val="21"/>
              </w:rPr>
            </w:pPr>
          </w:p>
        </w:tc>
      </w:tr>
      <w:tr w14:paraId="5A3F05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724" w:type="dxa"/>
            <w:vAlign w:val="top"/>
          </w:tcPr>
          <w:p w14:paraId="6F0CEA95">
            <w:pPr>
              <w:pStyle w:val="6"/>
              <w:spacing w:before="163" w:line="239" w:lineRule="auto"/>
              <w:ind w:left="105"/>
            </w:pPr>
            <w:r>
              <w:rPr>
                <w:spacing w:val="-6"/>
              </w:rPr>
              <w:t>1.6</w:t>
            </w:r>
          </w:p>
        </w:tc>
        <w:tc>
          <w:tcPr>
            <w:tcW w:w="2897" w:type="dxa"/>
            <w:vAlign w:val="top"/>
          </w:tcPr>
          <w:p w14:paraId="492C2BB8">
            <w:pPr>
              <w:rPr>
                <w:rFonts w:ascii="Arial"/>
                <w:sz w:val="21"/>
              </w:rPr>
            </w:pPr>
          </w:p>
        </w:tc>
        <w:tc>
          <w:tcPr>
            <w:tcW w:w="3336" w:type="dxa"/>
            <w:vAlign w:val="top"/>
          </w:tcPr>
          <w:p w14:paraId="35364A6F">
            <w:pPr>
              <w:rPr>
                <w:rFonts w:ascii="Arial"/>
                <w:sz w:val="21"/>
              </w:rPr>
            </w:pPr>
          </w:p>
        </w:tc>
        <w:tc>
          <w:tcPr>
            <w:tcW w:w="1803" w:type="dxa"/>
            <w:vAlign w:val="top"/>
          </w:tcPr>
          <w:p w14:paraId="1C1F59A0">
            <w:pPr>
              <w:rPr>
                <w:rFonts w:ascii="Arial"/>
                <w:sz w:val="21"/>
              </w:rPr>
            </w:pPr>
          </w:p>
        </w:tc>
      </w:tr>
      <w:tr w14:paraId="04CD14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724" w:type="dxa"/>
            <w:vAlign w:val="top"/>
          </w:tcPr>
          <w:p w14:paraId="4E1CCC63">
            <w:pPr>
              <w:pStyle w:val="6"/>
              <w:spacing w:before="163" w:line="239" w:lineRule="auto"/>
              <w:ind w:left="105"/>
            </w:pPr>
            <w:r>
              <w:rPr>
                <w:spacing w:val="-6"/>
              </w:rPr>
              <w:t>1.7</w:t>
            </w:r>
          </w:p>
        </w:tc>
        <w:tc>
          <w:tcPr>
            <w:tcW w:w="2897" w:type="dxa"/>
            <w:vAlign w:val="top"/>
          </w:tcPr>
          <w:p w14:paraId="666E5FA1">
            <w:pPr>
              <w:rPr>
                <w:rFonts w:ascii="Arial"/>
                <w:sz w:val="21"/>
              </w:rPr>
            </w:pPr>
          </w:p>
        </w:tc>
        <w:tc>
          <w:tcPr>
            <w:tcW w:w="3336" w:type="dxa"/>
            <w:vAlign w:val="top"/>
          </w:tcPr>
          <w:p w14:paraId="69DE21B9">
            <w:pPr>
              <w:rPr>
                <w:rFonts w:ascii="Arial"/>
                <w:sz w:val="21"/>
              </w:rPr>
            </w:pPr>
          </w:p>
        </w:tc>
        <w:tc>
          <w:tcPr>
            <w:tcW w:w="1803" w:type="dxa"/>
            <w:vAlign w:val="top"/>
          </w:tcPr>
          <w:p w14:paraId="7FAA1157">
            <w:pPr>
              <w:rPr>
                <w:rFonts w:ascii="Arial"/>
                <w:sz w:val="21"/>
              </w:rPr>
            </w:pPr>
          </w:p>
        </w:tc>
      </w:tr>
      <w:tr w14:paraId="73742B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724" w:type="dxa"/>
            <w:vAlign w:val="top"/>
          </w:tcPr>
          <w:p w14:paraId="2DBB5C2D">
            <w:pPr>
              <w:pStyle w:val="6"/>
              <w:spacing w:before="154" w:line="239" w:lineRule="auto"/>
              <w:ind w:left="105"/>
            </w:pPr>
            <w:r>
              <w:rPr>
                <w:spacing w:val="-6"/>
              </w:rPr>
              <w:t>1.8</w:t>
            </w:r>
          </w:p>
        </w:tc>
        <w:tc>
          <w:tcPr>
            <w:tcW w:w="2897" w:type="dxa"/>
            <w:vAlign w:val="top"/>
          </w:tcPr>
          <w:p w14:paraId="3F73EE2F">
            <w:pPr>
              <w:rPr>
                <w:rFonts w:ascii="Arial"/>
                <w:sz w:val="21"/>
              </w:rPr>
            </w:pPr>
          </w:p>
        </w:tc>
        <w:tc>
          <w:tcPr>
            <w:tcW w:w="3336" w:type="dxa"/>
            <w:vAlign w:val="top"/>
          </w:tcPr>
          <w:p w14:paraId="566B7177">
            <w:pPr>
              <w:rPr>
                <w:rFonts w:ascii="Arial"/>
                <w:sz w:val="21"/>
              </w:rPr>
            </w:pPr>
          </w:p>
        </w:tc>
        <w:tc>
          <w:tcPr>
            <w:tcW w:w="1803" w:type="dxa"/>
            <w:vAlign w:val="top"/>
          </w:tcPr>
          <w:p w14:paraId="05C57E7F">
            <w:pPr>
              <w:rPr>
                <w:rFonts w:ascii="Arial"/>
                <w:sz w:val="21"/>
              </w:rPr>
            </w:pPr>
          </w:p>
        </w:tc>
      </w:tr>
      <w:tr w14:paraId="753966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724" w:type="dxa"/>
            <w:vAlign w:val="top"/>
          </w:tcPr>
          <w:p w14:paraId="4A013C85">
            <w:pPr>
              <w:pStyle w:val="6"/>
              <w:spacing w:before="154" w:line="239" w:lineRule="auto"/>
              <w:ind w:left="105"/>
            </w:pPr>
            <w:r>
              <w:rPr>
                <w:spacing w:val="-6"/>
              </w:rPr>
              <w:t>1.9</w:t>
            </w:r>
          </w:p>
        </w:tc>
        <w:tc>
          <w:tcPr>
            <w:tcW w:w="2897" w:type="dxa"/>
            <w:vAlign w:val="top"/>
          </w:tcPr>
          <w:p w14:paraId="6747FD23">
            <w:pPr>
              <w:rPr>
                <w:rFonts w:ascii="Arial"/>
                <w:sz w:val="21"/>
              </w:rPr>
            </w:pPr>
          </w:p>
        </w:tc>
        <w:tc>
          <w:tcPr>
            <w:tcW w:w="3336" w:type="dxa"/>
            <w:vAlign w:val="top"/>
          </w:tcPr>
          <w:p w14:paraId="14EB1D68">
            <w:pPr>
              <w:rPr>
                <w:rFonts w:ascii="Arial"/>
                <w:sz w:val="21"/>
              </w:rPr>
            </w:pPr>
          </w:p>
        </w:tc>
        <w:tc>
          <w:tcPr>
            <w:tcW w:w="1803" w:type="dxa"/>
            <w:vAlign w:val="top"/>
          </w:tcPr>
          <w:p w14:paraId="505689F7">
            <w:pPr>
              <w:rPr>
                <w:rFonts w:ascii="Arial"/>
                <w:sz w:val="21"/>
              </w:rPr>
            </w:pPr>
          </w:p>
        </w:tc>
      </w:tr>
      <w:tr w14:paraId="79EC21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724" w:type="dxa"/>
            <w:vAlign w:val="top"/>
          </w:tcPr>
          <w:p w14:paraId="0B105A1A">
            <w:pPr>
              <w:pStyle w:val="6"/>
              <w:spacing w:before="165" w:line="239" w:lineRule="auto"/>
              <w:ind w:left="105"/>
            </w:pPr>
            <w:r>
              <w:rPr>
                <w:spacing w:val="-5"/>
              </w:rPr>
              <w:t>1.10</w:t>
            </w:r>
          </w:p>
        </w:tc>
        <w:tc>
          <w:tcPr>
            <w:tcW w:w="2897" w:type="dxa"/>
            <w:vAlign w:val="top"/>
          </w:tcPr>
          <w:p w14:paraId="2E316F13">
            <w:pPr>
              <w:rPr>
                <w:rFonts w:ascii="Arial"/>
                <w:sz w:val="21"/>
              </w:rPr>
            </w:pPr>
          </w:p>
        </w:tc>
        <w:tc>
          <w:tcPr>
            <w:tcW w:w="3336" w:type="dxa"/>
            <w:vAlign w:val="top"/>
          </w:tcPr>
          <w:p w14:paraId="3487AC8C">
            <w:pPr>
              <w:rPr>
                <w:rFonts w:ascii="Arial"/>
                <w:sz w:val="21"/>
              </w:rPr>
            </w:pPr>
          </w:p>
        </w:tc>
        <w:tc>
          <w:tcPr>
            <w:tcW w:w="1803" w:type="dxa"/>
            <w:vAlign w:val="top"/>
          </w:tcPr>
          <w:p w14:paraId="1EB095CF">
            <w:pPr>
              <w:rPr>
                <w:rFonts w:ascii="Arial"/>
                <w:sz w:val="21"/>
              </w:rPr>
            </w:pPr>
          </w:p>
        </w:tc>
      </w:tr>
      <w:tr w14:paraId="3D6F3A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724" w:type="dxa"/>
            <w:vAlign w:val="top"/>
          </w:tcPr>
          <w:p w14:paraId="3F8F6B19">
            <w:pPr>
              <w:pStyle w:val="6"/>
              <w:spacing w:before="165" w:line="239" w:lineRule="auto"/>
              <w:ind w:left="105"/>
            </w:pPr>
            <w:r>
              <w:rPr>
                <w:spacing w:val="-5"/>
              </w:rPr>
              <w:t>1.11</w:t>
            </w:r>
          </w:p>
        </w:tc>
        <w:tc>
          <w:tcPr>
            <w:tcW w:w="2897" w:type="dxa"/>
            <w:vAlign w:val="top"/>
          </w:tcPr>
          <w:p w14:paraId="7E92EE00">
            <w:pPr>
              <w:rPr>
                <w:rFonts w:ascii="Arial"/>
                <w:sz w:val="21"/>
              </w:rPr>
            </w:pPr>
          </w:p>
        </w:tc>
        <w:tc>
          <w:tcPr>
            <w:tcW w:w="3336" w:type="dxa"/>
            <w:vAlign w:val="top"/>
          </w:tcPr>
          <w:p w14:paraId="671C691C">
            <w:pPr>
              <w:rPr>
                <w:rFonts w:ascii="Arial"/>
                <w:sz w:val="21"/>
              </w:rPr>
            </w:pPr>
          </w:p>
        </w:tc>
        <w:tc>
          <w:tcPr>
            <w:tcW w:w="1803" w:type="dxa"/>
            <w:vAlign w:val="top"/>
          </w:tcPr>
          <w:p w14:paraId="0365E060">
            <w:pPr>
              <w:rPr>
                <w:rFonts w:ascii="Arial"/>
                <w:sz w:val="21"/>
              </w:rPr>
            </w:pPr>
          </w:p>
        </w:tc>
      </w:tr>
      <w:tr w14:paraId="660EBD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724" w:type="dxa"/>
            <w:vAlign w:val="top"/>
          </w:tcPr>
          <w:p w14:paraId="3118D335">
            <w:pPr>
              <w:pStyle w:val="6"/>
              <w:spacing w:before="165" w:line="239" w:lineRule="auto"/>
              <w:ind w:left="105"/>
            </w:pPr>
            <w:r>
              <w:rPr>
                <w:spacing w:val="-5"/>
              </w:rPr>
              <w:t>1.12</w:t>
            </w:r>
          </w:p>
        </w:tc>
        <w:tc>
          <w:tcPr>
            <w:tcW w:w="2897" w:type="dxa"/>
            <w:vAlign w:val="top"/>
          </w:tcPr>
          <w:p w14:paraId="0D0162BD">
            <w:pPr>
              <w:rPr>
                <w:rFonts w:ascii="Arial"/>
                <w:sz w:val="21"/>
              </w:rPr>
            </w:pPr>
          </w:p>
        </w:tc>
        <w:tc>
          <w:tcPr>
            <w:tcW w:w="3336" w:type="dxa"/>
            <w:vAlign w:val="top"/>
          </w:tcPr>
          <w:p w14:paraId="42AD4007">
            <w:pPr>
              <w:rPr>
                <w:rFonts w:ascii="Arial"/>
                <w:sz w:val="21"/>
              </w:rPr>
            </w:pPr>
          </w:p>
        </w:tc>
        <w:tc>
          <w:tcPr>
            <w:tcW w:w="1803" w:type="dxa"/>
            <w:vAlign w:val="top"/>
          </w:tcPr>
          <w:p w14:paraId="40FA5948">
            <w:pPr>
              <w:rPr>
                <w:rFonts w:ascii="Arial"/>
                <w:sz w:val="21"/>
              </w:rPr>
            </w:pPr>
          </w:p>
        </w:tc>
      </w:tr>
      <w:tr w14:paraId="639DDF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724" w:type="dxa"/>
            <w:vAlign w:val="top"/>
          </w:tcPr>
          <w:p w14:paraId="13469031">
            <w:pPr>
              <w:pStyle w:val="6"/>
              <w:spacing w:before="156" w:line="239" w:lineRule="auto"/>
              <w:ind w:left="105"/>
            </w:pPr>
            <w:r>
              <w:rPr>
                <w:spacing w:val="-5"/>
              </w:rPr>
              <w:t>1.13</w:t>
            </w:r>
          </w:p>
        </w:tc>
        <w:tc>
          <w:tcPr>
            <w:tcW w:w="2897" w:type="dxa"/>
            <w:vAlign w:val="top"/>
          </w:tcPr>
          <w:p w14:paraId="26639F42">
            <w:pPr>
              <w:rPr>
                <w:rFonts w:ascii="Arial"/>
                <w:sz w:val="21"/>
              </w:rPr>
            </w:pPr>
          </w:p>
        </w:tc>
        <w:tc>
          <w:tcPr>
            <w:tcW w:w="3336" w:type="dxa"/>
            <w:vAlign w:val="top"/>
          </w:tcPr>
          <w:p w14:paraId="3D45BB11">
            <w:pPr>
              <w:rPr>
                <w:rFonts w:ascii="Arial"/>
                <w:sz w:val="21"/>
              </w:rPr>
            </w:pPr>
          </w:p>
        </w:tc>
        <w:tc>
          <w:tcPr>
            <w:tcW w:w="1803" w:type="dxa"/>
            <w:vAlign w:val="top"/>
          </w:tcPr>
          <w:p w14:paraId="2D7660AE">
            <w:pPr>
              <w:rPr>
                <w:rFonts w:ascii="Arial"/>
                <w:sz w:val="21"/>
              </w:rPr>
            </w:pPr>
          </w:p>
        </w:tc>
      </w:tr>
      <w:tr w14:paraId="6B7696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trPr>
        <w:tc>
          <w:tcPr>
            <w:tcW w:w="724" w:type="dxa"/>
            <w:vAlign w:val="top"/>
          </w:tcPr>
          <w:p w14:paraId="25911CE7">
            <w:pPr>
              <w:rPr>
                <w:rFonts w:ascii="Arial"/>
                <w:sz w:val="21"/>
              </w:rPr>
            </w:pPr>
          </w:p>
        </w:tc>
        <w:tc>
          <w:tcPr>
            <w:tcW w:w="2897" w:type="dxa"/>
            <w:vAlign w:val="top"/>
          </w:tcPr>
          <w:p w14:paraId="4CBDD927">
            <w:pPr>
              <w:pStyle w:val="6"/>
              <w:spacing w:before="146" w:line="220" w:lineRule="auto"/>
              <w:ind w:left="121"/>
            </w:pPr>
            <w:r>
              <w:rPr>
                <w:spacing w:val="2"/>
              </w:rPr>
              <w:t>其中：人工费</w:t>
            </w:r>
          </w:p>
        </w:tc>
        <w:tc>
          <w:tcPr>
            <w:tcW w:w="3336" w:type="dxa"/>
            <w:vAlign w:val="top"/>
          </w:tcPr>
          <w:p w14:paraId="4D8F6D15">
            <w:pPr>
              <w:rPr>
                <w:rFonts w:ascii="Arial"/>
                <w:sz w:val="21"/>
              </w:rPr>
            </w:pPr>
          </w:p>
        </w:tc>
        <w:tc>
          <w:tcPr>
            <w:tcW w:w="1803" w:type="dxa"/>
            <w:vAlign w:val="top"/>
          </w:tcPr>
          <w:p w14:paraId="61A2DF06">
            <w:pPr>
              <w:rPr>
                <w:rFonts w:ascii="Arial"/>
                <w:sz w:val="21"/>
              </w:rPr>
            </w:pPr>
          </w:p>
        </w:tc>
      </w:tr>
      <w:tr w14:paraId="1870CE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724" w:type="dxa"/>
            <w:vAlign w:val="top"/>
          </w:tcPr>
          <w:p w14:paraId="6980F998">
            <w:pPr>
              <w:rPr>
                <w:rFonts w:ascii="Arial"/>
                <w:sz w:val="21"/>
              </w:rPr>
            </w:pPr>
          </w:p>
        </w:tc>
        <w:tc>
          <w:tcPr>
            <w:tcW w:w="2897" w:type="dxa"/>
            <w:vAlign w:val="top"/>
          </w:tcPr>
          <w:p w14:paraId="528D2504">
            <w:pPr>
              <w:pStyle w:val="6"/>
              <w:spacing w:before="135" w:line="219" w:lineRule="auto"/>
              <w:ind w:left="121"/>
            </w:pPr>
            <w:r>
              <w:rPr>
                <w:spacing w:val="1"/>
              </w:rPr>
              <w:t>其中：施工机具使用费</w:t>
            </w:r>
          </w:p>
        </w:tc>
        <w:tc>
          <w:tcPr>
            <w:tcW w:w="3336" w:type="dxa"/>
            <w:vAlign w:val="top"/>
          </w:tcPr>
          <w:p w14:paraId="7E8B6986">
            <w:pPr>
              <w:rPr>
                <w:rFonts w:ascii="Arial"/>
                <w:sz w:val="21"/>
              </w:rPr>
            </w:pPr>
          </w:p>
        </w:tc>
        <w:tc>
          <w:tcPr>
            <w:tcW w:w="1803" w:type="dxa"/>
            <w:vAlign w:val="top"/>
          </w:tcPr>
          <w:p w14:paraId="07A4A6CF">
            <w:pPr>
              <w:rPr>
                <w:rFonts w:ascii="Arial"/>
                <w:sz w:val="21"/>
              </w:rPr>
            </w:pPr>
          </w:p>
        </w:tc>
      </w:tr>
      <w:tr w14:paraId="1F5E32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trPr>
        <w:tc>
          <w:tcPr>
            <w:tcW w:w="724" w:type="dxa"/>
            <w:vAlign w:val="top"/>
          </w:tcPr>
          <w:p w14:paraId="5AD89189">
            <w:pPr>
              <w:pStyle w:val="6"/>
              <w:spacing w:before="167" w:line="241" w:lineRule="auto"/>
              <w:ind w:left="105"/>
            </w:pPr>
            <w:r>
              <w:t>2</w:t>
            </w:r>
          </w:p>
        </w:tc>
        <w:tc>
          <w:tcPr>
            <w:tcW w:w="2897" w:type="dxa"/>
            <w:vAlign w:val="top"/>
          </w:tcPr>
          <w:p w14:paraId="2B6AD6A7">
            <w:pPr>
              <w:pStyle w:val="6"/>
              <w:spacing w:before="147" w:line="220" w:lineRule="auto"/>
              <w:ind w:left="121"/>
            </w:pPr>
            <w:r>
              <w:rPr>
                <w:spacing w:val="10"/>
              </w:rPr>
              <w:t>措施项目</w:t>
            </w:r>
          </w:p>
        </w:tc>
        <w:tc>
          <w:tcPr>
            <w:tcW w:w="3336" w:type="dxa"/>
            <w:vAlign w:val="top"/>
          </w:tcPr>
          <w:p w14:paraId="4EC5205B">
            <w:pPr>
              <w:rPr>
                <w:rFonts w:ascii="Arial"/>
                <w:sz w:val="21"/>
              </w:rPr>
            </w:pPr>
          </w:p>
        </w:tc>
        <w:tc>
          <w:tcPr>
            <w:tcW w:w="1803" w:type="dxa"/>
            <w:vAlign w:val="top"/>
          </w:tcPr>
          <w:p w14:paraId="179E9429">
            <w:pPr>
              <w:rPr>
                <w:rFonts w:ascii="Arial"/>
                <w:sz w:val="21"/>
              </w:rPr>
            </w:pPr>
          </w:p>
        </w:tc>
      </w:tr>
      <w:tr w14:paraId="452A1D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0" w:hRule="atLeast"/>
        </w:trPr>
        <w:tc>
          <w:tcPr>
            <w:tcW w:w="724" w:type="dxa"/>
            <w:vAlign w:val="top"/>
          </w:tcPr>
          <w:p w14:paraId="6D4BC4BB">
            <w:pPr>
              <w:pStyle w:val="6"/>
              <w:spacing w:before="168" w:line="239" w:lineRule="auto"/>
              <w:ind w:left="105"/>
            </w:pPr>
            <w:r>
              <w:rPr>
                <w:spacing w:val="-3"/>
              </w:rPr>
              <w:t>2.1</w:t>
            </w:r>
          </w:p>
        </w:tc>
        <w:tc>
          <w:tcPr>
            <w:tcW w:w="2897" w:type="dxa"/>
            <w:vAlign w:val="top"/>
          </w:tcPr>
          <w:p w14:paraId="0F2293CC">
            <w:pPr>
              <w:pStyle w:val="6"/>
              <w:spacing w:before="145" w:line="218" w:lineRule="auto"/>
              <w:ind w:left="121"/>
            </w:pPr>
            <w:r>
              <w:rPr>
                <w:spacing w:val="6"/>
              </w:rPr>
              <w:t>单价措施项目</w:t>
            </w:r>
          </w:p>
        </w:tc>
        <w:tc>
          <w:tcPr>
            <w:tcW w:w="3336" w:type="dxa"/>
            <w:vAlign w:val="top"/>
          </w:tcPr>
          <w:p w14:paraId="13AB9187">
            <w:pPr>
              <w:rPr>
                <w:rFonts w:ascii="Arial"/>
                <w:sz w:val="21"/>
              </w:rPr>
            </w:pPr>
          </w:p>
        </w:tc>
        <w:tc>
          <w:tcPr>
            <w:tcW w:w="1803" w:type="dxa"/>
            <w:vAlign w:val="top"/>
          </w:tcPr>
          <w:p w14:paraId="62C11FD9">
            <w:pPr>
              <w:rPr>
                <w:rFonts w:ascii="Arial"/>
                <w:sz w:val="21"/>
              </w:rPr>
            </w:pPr>
          </w:p>
        </w:tc>
      </w:tr>
      <w:tr w14:paraId="7436A7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724" w:type="dxa"/>
            <w:vAlign w:val="top"/>
          </w:tcPr>
          <w:p w14:paraId="54262FA2">
            <w:pPr>
              <w:rPr>
                <w:rFonts w:ascii="Arial"/>
                <w:sz w:val="21"/>
              </w:rPr>
            </w:pPr>
          </w:p>
        </w:tc>
        <w:tc>
          <w:tcPr>
            <w:tcW w:w="2897" w:type="dxa"/>
            <w:vAlign w:val="top"/>
          </w:tcPr>
          <w:p w14:paraId="5E837F50">
            <w:pPr>
              <w:pStyle w:val="6"/>
              <w:spacing w:before="138" w:line="220" w:lineRule="auto"/>
              <w:ind w:left="121"/>
            </w:pPr>
            <w:r>
              <w:rPr>
                <w:spacing w:val="2"/>
              </w:rPr>
              <w:t>其中：人工费</w:t>
            </w:r>
          </w:p>
        </w:tc>
        <w:tc>
          <w:tcPr>
            <w:tcW w:w="3336" w:type="dxa"/>
            <w:vAlign w:val="top"/>
          </w:tcPr>
          <w:p w14:paraId="3491FA43">
            <w:pPr>
              <w:rPr>
                <w:rFonts w:ascii="Arial"/>
                <w:sz w:val="21"/>
              </w:rPr>
            </w:pPr>
          </w:p>
        </w:tc>
        <w:tc>
          <w:tcPr>
            <w:tcW w:w="1803" w:type="dxa"/>
            <w:vAlign w:val="top"/>
          </w:tcPr>
          <w:p w14:paraId="76955D14">
            <w:pPr>
              <w:rPr>
                <w:rFonts w:ascii="Arial"/>
                <w:sz w:val="21"/>
              </w:rPr>
            </w:pPr>
          </w:p>
        </w:tc>
      </w:tr>
      <w:tr w14:paraId="6088B5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724" w:type="dxa"/>
            <w:vAlign w:val="top"/>
          </w:tcPr>
          <w:p w14:paraId="00627029">
            <w:pPr>
              <w:rPr>
                <w:rFonts w:ascii="Arial"/>
                <w:sz w:val="21"/>
              </w:rPr>
            </w:pPr>
          </w:p>
        </w:tc>
        <w:tc>
          <w:tcPr>
            <w:tcW w:w="2897" w:type="dxa"/>
            <w:vAlign w:val="top"/>
          </w:tcPr>
          <w:p w14:paraId="62476479">
            <w:pPr>
              <w:pStyle w:val="6"/>
              <w:spacing w:before="136" w:line="219" w:lineRule="auto"/>
              <w:ind w:left="121"/>
            </w:pPr>
            <w:r>
              <w:rPr>
                <w:spacing w:val="1"/>
              </w:rPr>
              <w:t>其中：施工机具使用费</w:t>
            </w:r>
          </w:p>
        </w:tc>
        <w:tc>
          <w:tcPr>
            <w:tcW w:w="3336" w:type="dxa"/>
            <w:vAlign w:val="top"/>
          </w:tcPr>
          <w:p w14:paraId="7E918FB4">
            <w:pPr>
              <w:rPr>
                <w:rFonts w:ascii="Arial"/>
                <w:sz w:val="21"/>
              </w:rPr>
            </w:pPr>
          </w:p>
        </w:tc>
        <w:tc>
          <w:tcPr>
            <w:tcW w:w="1803" w:type="dxa"/>
            <w:vAlign w:val="top"/>
          </w:tcPr>
          <w:p w14:paraId="5207B7B4">
            <w:pPr>
              <w:rPr>
                <w:rFonts w:ascii="Arial"/>
                <w:sz w:val="21"/>
              </w:rPr>
            </w:pPr>
          </w:p>
        </w:tc>
      </w:tr>
      <w:tr w14:paraId="0B9C69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9" w:hRule="atLeast"/>
        </w:trPr>
        <w:tc>
          <w:tcPr>
            <w:tcW w:w="724" w:type="dxa"/>
            <w:vAlign w:val="top"/>
          </w:tcPr>
          <w:p w14:paraId="7C0082CB">
            <w:pPr>
              <w:pStyle w:val="6"/>
              <w:spacing w:before="179" w:line="239" w:lineRule="auto"/>
              <w:ind w:left="105"/>
            </w:pPr>
            <w:r>
              <w:rPr>
                <w:spacing w:val="-3"/>
              </w:rPr>
              <w:t>2.2</w:t>
            </w:r>
          </w:p>
        </w:tc>
        <w:tc>
          <w:tcPr>
            <w:tcW w:w="2897" w:type="dxa"/>
            <w:vAlign w:val="top"/>
          </w:tcPr>
          <w:p w14:paraId="54F34161">
            <w:pPr>
              <w:pStyle w:val="6"/>
              <w:spacing w:before="156" w:line="218" w:lineRule="auto"/>
              <w:ind w:left="121"/>
            </w:pPr>
            <w:r>
              <w:rPr>
                <w:spacing w:val="6"/>
              </w:rPr>
              <w:t>总价措施项目</w:t>
            </w:r>
          </w:p>
        </w:tc>
        <w:tc>
          <w:tcPr>
            <w:tcW w:w="3336" w:type="dxa"/>
            <w:vAlign w:val="top"/>
          </w:tcPr>
          <w:p w14:paraId="4B0161C6">
            <w:pPr>
              <w:rPr>
                <w:rFonts w:ascii="Arial"/>
                <w:sz w:val="21"/>
              </w:rPr>
            </w:pPr>
          </w:p>
        </w:tc>
        <w:tc>
          <w:tcPr>
            <w:tcW w:w="1803" w:type="dxa"/>
            <w:vAlign w:val="top"/>
          </w:tcPr>
          <w:p w14:paraId="27FA04F3">
            <w:pPr>
              <w:pStyle w:val="6"/>
              <w:spacing w:before="258" w:line="163" w:lineRule="exact"/>
              <w:ind w:left="787"/>
            </w:pPr>
            <w:r>
              <w:rPr>
                <w:position w:val="-4"/>
              </w:rPr>
              <w:t>一</w:t>
            </w:r>
          </w:p>
        </w:tc>
      </w:tr>
      <w:tr w14:paraId="4254DE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724" w:type="dxa"/>
            <w:vAlign w:val="top"/>
          </w:tcPr>
          <w:p w14:paraId="6E61C722">
            <w:pPr>
              <w:pStyle w:val="6"/>
              <w:spacing w:before="160"/>
              <w:ind w:left="105"/>
            </w:pPr>
            <w:r>
              <w:t>3</w:t>
            </w:r>
          </w:p>
        </w:tc>
        <w:tc>
          <w:tcPr>
            <w:tcW w:w="2897" w:type="dxa"/>
            <w:vAlign w:val="top"/>
          </w:tcPr>
          <w:p w14:paraId="74AAB0D3">
            <w:pPr>
              <w:pStyle w:val="6"/>
              <w:spacing w:before="140" w:line="220" w:lineRule="auto"/>
              <w:ind w:left="121"/>
            </w:pPr>
            <w:r>
              <w:rPr>
                <w:spacing w:val="10"/>
              </w:rPr>
              <w:t>其他项目</w:t>
            </w:r>
          </w:p>
        </w:tc>
        <w:tc>
          <w:tcPr>
            <w:tcW w:w="3336" w:type="dxa"/>
            <w:vAlign w:val="top"/>
          </w:tcPr>
          <w:p w14:paraId="37EE9773">
            <w:pPr>
              <w:rPr>
                <w:rFonts w:ascii="Arial"/>
                <w:sz w:val="21"/>
              </w:rPr>
            </w:pPr>
          </w:p>
        </w:tc>
        <w:tc>
          <w:tcPr>
            <w:tcW w:w="1803" w:type="dxa"/>
            <w:vAlign w:val="top"/>
          </w:tcPr>
          <w:p w14:paraId="49887992">
            <w:pPr>
              <w:pStyle w:val="6"/>
              <w:spacing w:before="239" w:line="162" w:lineRule="exact"/>
              <w:ind w:left="787"/>
            </w:pPr>
            <w:r>
              <w:rPr>
                <w:position w:val="-4"/>
              </w:rPr>
              <w:t>一</w:t>
            </w:r>
          </w:p>
        </w:tc>
      </w:tr>
      <w:tr w14:paraId="724492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trPr>
        <w:tc>
          <w:tcPr>
            <w:tcW w:w="724" w:type="dxa"/>
            <w:vAlign w:val="top"/>
          </w:tcPr>
          <w:p w14:paraId="6C649E98">
            <w:pPr>
              <w:rPr>
                <w:rFonts w:ascii="Arial"/>
                <w:sz w:val="21"/>
              </w:rPr>
            </w:pPr>
          </w:p>
        </w:tc>
        <w:tc>
          <w:tcPr>
            <w:tcW w:w="2897" w:type="dxa"/>
            <w:vAlign w:val="top"/>
          </w:tcPr>
          <w:p w14:paraId="599E462E">
            <w:pPr>
              <w:pStyle w:val="6"/>
              <w:spacing w:before="140" w:line="220" w:lineRule="auto"/>
              <w:ind w:left="121"/>
            </w:pPr>
            <w:r>
              <w:rPr>
                <w:spacing w:val="2"/>
              </w:rPr>
              <w:t>其中：人工费</w:t>
            </w:r>
          </w:p>
        </w:tc>
        <w:tc>
          <w:tcPr>
            <w:tcW w:w="3336" w:type="dxa"/>
            <w:vAlign w:val="top"/>
          </w:tcPr>
          <w:p w14:paraId="79644082">
            <w:pPr>
              <w:rPr>
                <w:rFonts w:ascii="Arial"/>
                <w:sz w:val="21"/>
              </w:rPr>
            </w:pPr>
          </w:p>
        </w:tc>
        <w:tc>
          <w:tcPr>
            <w:tcW w:w="1803" w:type="dxa"/>
            <w:vAlign w:val="top"/>
          </w:tcPr>
          <w:p w14:paraId="15F904B5">
            <w:pPr>
              <w:rPr>
                <w:rFonts w:ascii="Arial"/>
                <w:sz w:val="21"/>
              </w:rPr>
            </w:pPr>
          </w:p>
        </w:tc>
      </w:tr>
    </w:tbl>
    <w:p w14:paraId="3AB331BB">
      <w:pPr>
        <w:rPr>
          <w:rFonts w:ascii="Arial"/>
          <w:sz w:val="21"/>
        </w:rPr>
      </w:pPr>
    </w:p>
    <w:p w14:paraId="2213C418">
      <w:pPr>
        <w:rPr>
          <w:rFonts w:ascii="Arial" w:hAnsi="Arial" w:eastAsia="Arial" w:cs="Arial"/>
          <w:sz w:val="21"/>
          <w:szCs w:val="21"/>
        </w:rPr>
        <w:sectPr>
          <w:footerReference r:id="rId302" w:type="default"/>
          <w:pgSz w:w="11910" w:h="16840"/>
          <w:pgMar w:top="400" w:right="1784" w:bottom="1024" w:left="1355" w:header="0" w:footer="889" w:gutter="0"/>
          <w:cols w:space="720" w:num="1"/>
        </w:sectPr>
      </w:pPr>
    </w:p>
    <w:p w14:paraId="45A2BDAE">
      <w:pPr>
        <w:spacing w:before="18"/>
      </w:pPr>
    </w:p>
    <w:p w14:paraId="138490FB">
      <w:pPr>
        <w:spacing w:before="18"/>
      </w:pPr>
    </w:p>
    <w:p w14:paraId="6077DCE6">
      <w:pPr>
        <w:spacing w:before="17"/>
      </w:pPr>
    </w:p>
    <w:p w14:paraId="294A635C">
      <w:pPr>
        <w:spacing w:before="17"/>
      </w:pPr>
    </w:p>
    <w:p w14:paraId="70A65B89">
      <w:pPr>
        <w:spacing w:before="17"/>
      </w:pPr>
    </w:p>
    <w:tbl>
      <w:tblPr>
        <w:tblStyle w:val="5"/>
        <w:tblW w:w="874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14"/>
        <w:gridCol w:w="2887"/>
        <w:gridCol w:w="3336"/>
        <w:gridCol w:w="1803"/>
      </w:tblGrid>
      <w:tr w14:paraId="2343BF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5" w:hRule="atLeast"/>
        </w:trPr>
        <w:tc>
          <w:tcPr>
            <w:tcW w:w="714" w:type="dxa"/>
            <w:vAlign w:val="top"/>
          </w:tcPr>
          <w:p w14:paraId="4E817774">
            <w:pPr>
              <w:rPr>
                <w:rFonts w:ascii="Arial"/>
                <w:sz w:val="21"/>
              </w:rPr>
            </w:pPr>
          </w:p>
        </w:tc>
        <w:tc>
          <w:tcPr>
            <w:tcW w:w="2887" w:type="dxa"/>
            <w:vAlign w:val="top"/>
          </w:tcPr>
          <w:p w14:paraId="3C8253E2">
            <w:pPr>
              <w:pStyle w:val="6"/>
              <w:spacing w:before="142" w:line="219" w:lineRule="auto"/>
              <w:ind w:left="131"/>
            </w:pPr>
            <w:r>
              <w:rPr>
                <w:spacing w:val="1"/>
              </w:rPr>
              <w:t>其中：施工机具使用费</w:t>
            </w:r>
          </w:p>
        </w:tc>
        <w:tc>
          <w:tcPr>
            <w:tcW w:w="3336" w:type="dxa"/>
            <w:vAlign w:val="top"/>
          </w:tcPr>
          <w:p w14:paraId="55C9E245">
            <w:pPr>
              <w:rPr>
                <w:rFonts w:ascii="Arial"/>
                <w:sz w:val="21"/>
              </w:rPr>
            </w:pPr>
          </w:p>
        </w:tc>
        <w:tc>
          <w:tcPr>
            <w:tcW w:w="1803" w:type="dxa"/>
            <w:vAlign w:val="top"/>
          </w:tcPr>
          <w:p w14:paraId="74A67934">
            <w:pPr>
              <w:rPr>
                <w:rFonts w:ascii="Arial"/>
                <w:sz w:val="21"/>
              </w:rPr>
            </w:pPr>
          </w:p>
        </w:tc>
      </w:tr>
      <w:tr w14:paraId="0C5AF5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714" w:type="dxa"/>
            <w:vAlign w:val="top"/>
          </w:tcPr>
          <w:p w14:paraId="75260656">
            <w:pPr>
              <w:pStyle w:val="6"/>
              <w:spacing w:before="149" w:line="241" w:lineRule="auto"/>
              <w:ind w:left="75"/>
            </w:pPr>
            <w:r>
              <w:t>4</w:t>
            </w:r>
          </w:p>
        </w:tc>
        <w:tc>
          <w:tcPr>
            <w:tcW w:w="2887" w:type="dxa"/>
            <w:vAlign w:val="top"/>
          </w:tcPr>
          <w:p w14:paraId="7171DF1A">
            <w:pPr>
              <w:pStyle w:val="6"/>
              <w:spacing w:before="129" w:line="220" w:lineRule="auto"/>
              <w:ind w:left="131"/>
            </w:pPr>
            <w:r>
              <w:rPr>
                <w:spacing w:val="6"/>
              </w:rPr>
              <w:t>规费</w:t>
            </w:r>
          </w:p>
        </w:tc>
        <w:tc>
          <w:tcPr>
            <w:tcW w:w="3336" w:type="dxa"/>
            <w:vAlign w:val="top"/>
          </w:tcPr>
          <w:p w14:paraId="425AFAAB">
            <w:pPr>
              <w:rPr>
                <w:rFonts w:ascii="Arial"/>
                <w:sz w:val="21"/>
              </w:rPr>
            </w:pPr>
          </w:p>
        </w:tc>
        <w:tc>
          <w:tcPr>
            <w:tcW w:w="1803" w:type="dxa"/>
            <w:vAlign w:val="top"/>
          </w:tcPr>
          <w:p w14:paraId="093B10E7">
            <w:pPr>
              <w:pStyle w:val="6"/>
              <w:spacing w:before="232" w:line="124" w:lineRule="exact"/>
              <w:ind w:left="817"/>
              <w:rPr>
                <w:sz w:val="16"/>
                <w:szCs w:val="16"/>
              </w:rPr>
            </w:pPr>
            <w:r>
              <w:rPr>
                <w:position w:val="-3"/>
                <w:sz w:val="16"/>
                <w:szCs w:val="16"/>
              </w:rPr>
              <w:t>一</w:t>
            </w:r>
          </w:p>
        </w:tc>
      </w:tr>
      <w:tr w14:paraId="3DAFCC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714" w:type="dxa"/>
            <w:vAlign w:val="top"/>
          </w:tcPr>
          <w:p w14:paraId="1E5952C1">
            <w:pPr>
              <w:pStyle w:val="6"/>
              <w:spacing w:before="150"/>
              <w:ind w:left="75"/>
            </w:pPr>
            <w:r>
              <w:t>5</w:t>
            </w:r>
          </w:p>
        </w:tc>
        <w:tc>
          <w:tcPr>
            <w:tcW w:w="2887" w:type="dxa"/>
            <w:vAlign w:val="top"/>
          </w:tcPr>
          <w:p w14:paraId="23298B61">
            <w:pPr>
              <w:pStyle w:val="6"/>
              <w:spacing w:before="127" w:line="218" w:lineRule="auto"/>
              <w:ind w:left="131"/>
            </w:pPr>
            <w:r>
              <w:rPr>
                <w:spacing w:val="1"/>
              </w:rPr>
              <w:t>除税/不含税工程造价</w:t>
            </w:r>
          </w:p>
        </w:tc>
        <w:tc>
          <w:tcPr>
            <w:tcW w:w="3336" w:type="dxa"/>
            <w:vAlign w:val="top"/>
          </w:tcPr>
          <w:p w14:paraId="6F7A2511">
            <w:pPr>
              <w:rPr>
                <w:rFonts w:ascii="Arial"/>
                <w:sz w:val="21"/>
              </w:rPr>
            </w:pPr>
          </w:p>
        </w:tc>
        <w:tc>
          <w:tcPr>
            <w:tcW w:w="1803" w:type="dxa"/>
            <w:vAlign w:val="top"/>
          </w:tcPr>
          <w:p w14:paraId="5B2B562A">
            <w:pPr>
              <w:rPr>
                <w:rFonts w:ascii="Arial"/>
                <w:sz w:val="21"/>
              </w:rPr>
            </w:pPr>
          </w:p>
        </w:tc>
      </w:tr>
      <w:tr w14:paraId="108C46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714" w:type="dxa"/>
            <w:vAlign w:val="top"/>
          </w:tcPr>
          <w:p w14:paraId="5ED5288C">
            <w:pPr>
              <w:pStyle w:val="6"/>
              <w:spacing w:before="150"/>
              <w:ind w:left="75"/>
            </w:pPr>
            <w:r>
              <w:t>6</w:t>
            </w:r>
          </w:p>
        </w:tc>
        <w:tc>
          <w:tcPr>
            <w:tcW w:w="2887" w:type="dxa"/>
            <w:vAlign w:val="top"/>
          </w:tcPr>
          <w:p w14:paraId="47FFEB9A">
            <w:pPr>
              <w:pStyle w:val="6"/>
              <w:spacing w:before="131" w:line="220" w:lineRule="auto"/>
              <w:ind w:left="131"/>
            </w:pPr>
            <w:r>
              <w:rPr>
                <w:spacing w:val="-2"/>
              </w:rPr>
              <w:t>税金</w:t>
            </w:r>
          </w:p>
        </w:tc>
        <w:tc>
          <w:tcPr>
            <w:tcW w:w="3336" w:type="dxa"/>
            <w:vAlign w:val="top"/>
          </w:tcPr>
          <w:p w14:paraId="58025F71">
            <w:pPr>
              <w:rPr>
                <w:rFonts w:ascii="Arial"/>
                <w:sz w:val="21"/>
              </w:rPr>
            </w:pPr>
          </w:p>
        </w:tc>
        <w:tc>
          <w:tcPr>
            <w:tcW w:w="1803" w:type="dxa"/>
            <w:vAlign w:val="top"/>
          </w:tcPr>
          <w:p w14:paraId="672C24E4">
            <w:pPr>
              <w:pStyle w:val="6"/>
              <w:spacing w:before="234" w:line="124" w:lineRule="exact"/>
              <w:ind w:left="817"/>
              <w:rPr>
                <w:sz w:val="16"/>
                <w:szCs w:val="16"/>
              </w:rPr>
            </w:pPr>
            <w:r>
              <w:rPr>
                <w:position w:val="-3"/>
                <w:sz w:val="16"/>
                <w:szCs w:val="16"/>
              </w:rPr>
              <w:t>一</w:t>
            </w:r>
          </w:p>
        </w:tc>
      </w:tr>
      <w:tr w14:paraId="0AD932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714" w:type="dxa"/>
            <w:vAlign w:val="top"/>
          </w:tcPr>
          <w:p w14:paraId="003F1840">
            <w:pPr>
              <w:pStyle w:val="6"/>
              <w:spacing w:before="151"/>
              <w:ind w:left="75"/>
            </w:pPr>
            <w:r>
              <w:t>7</w:t>
            </w:r>
          </w:p>
        </w:tc>
        <w:tc>
          <w:tcPr>
            <w:tcW w:w="2887" w:type="dxa"/>
            <w:vAlign w:val="top"/>
          </w:tcPr>
          <w:p w14:paraId="12467127">
            <w:pPr>
              <w:pStyle w:val="6"/>
              <w:spacing w:before="128" w:line="218" w:lineRule="auto"/>
              <w:ind w:left="131"/>
            </w:pPr>
            <w:r>
              <w:rPr>
                <w:spacing w:val="-2"/>
              </w:rPr>
              <w:t>含税工程造价</w:t>
            </w:r>
          </w:p>
        </w:tc>
        <w:tc>
          <w:tcPr>
            <w:tcW w:w="3336" w:type="dxa"/>
            <w:vAlign w:val="top"/>
          </w:tcPr>
          <w:p w14:paraId="6E2881EA">
            <w:pPr>
              <w:rPr>
                <w:rFonts w:ascii="Arial"/>
                <w:sz w:val="21"/>
              </w:rPr>
            </w:pPr>
          </w:p>
        </w:tc>
        <w:tc>
          <w:tcPr>
            <w:tcW w:w="1803" w:type="dxa"/>
            <w:vAlign w:val="top"/>
          </w:tcPr>
          <w:p w14:paraId="4716DF6E">
            <w:pPr>
              <w:rPr>
                <w:rFonts w:ascii="Arial"/>
                <w:sz w:val="21"/>
              </w:rPr>
            </w:pPr>
          </w:p>
        </w:tc>
      </w:tr>
      <w:tr w14:paraId="600E91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714" w:type="dxa"/>
            <w:vAlign w:val="top"/>
          </w:tcPr>
          <w:p w14:paraId="252C6A0C">
            <w:pPr>
              <w:rPr>
                <w:rFonts w:ascii="Arial"/>
                <w:sz w:val="21"/>
              </w:rPr>
            </w:pPr>
          </w:p>
        </w:tc>
        <w:tc>
          <w:tcPr>
            <w:tcW w:w="2887" w:type="dxa"/>
            <w:vAlign w:val="top"/>
          </w:tcPr>
          <w:p w14:paraId="74992683">
            <w:pPr>
              <w:pStyle w:val="6"/>
              <w:spacing w:before="151" w:line="219" w:lineRule="auto"/>
              <w:ind w:left="131"/>
            </w:pPr>
            <w:r>
              <w:t>单位工程数据：</w:t>
            </w:r>
          </w:p>
        </w:tc>
        <w:tc>
          <w:tcPr>
            <w:tcW w:w="3336" w:type="dxa"/>
            <w:vAlign w:val="top"/>
          </w:tcPr>
          <w:p w14:paraId="4F007950">
            <w:pPr>
              <w:rPr>
                <w:rFonts w:ascii="Arial"/>
                <w:sz w:val="21"/>
              </w:rPr>
            </w:pPr>
          </w:p>
        </w:tc>
        <w:tc>
          <w:tcPr>
            <w:tcW w:w="1803" w:type="dxa"/>
            <w:vAlign w:val="top"/>
          </w:tcPr>
          <w:p w14:paraId="1C2723F8">
            <w:pPr>
              <w:rPr>
                <w:rFonts w:ascii="Arial"/>
                <w:sz w:val="21"/>
              </w:rPr>
            </w:pPr>
          </w:p>
        </w:tc>
      </w:tr>
      <w:tr w14:paraId="2809F5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714" w:type="dxa"/>
            <w:vAlign w:val="top"/>
          </w:tcPr>
          <w:p w14:paraId="7E54DAC6">
            <w:pPr>
              <w:rPr>
                <w:rFonts w:ascii="Arial"/>
                <w:sz w:val="21"/>
              </w:rPr>
            </w:pPr>
          </w:p>
        </w:tc>
        <w:tc>
          <w:tcPr>
            <w:tcW w:w="2887" w:type="dxa"/>
            <w:vAlign w:val="top"/>
          </w:tcPr>
          <w:p w14:paraId="12DA76EF">
            <w:pPr>
              <w:pStyle w:val="6"/>
              <w:spacing w:before="142" w:line="220" w:lineRule="auto"/>
              <w:ind w:left="131"/>
            </w:pPr>
            <w:r>
              <w:rPr>
                <w:spacing w:val="4"/>
              </w:rPr>
              <w:t>人工费</w:t>
            </w:r>
          </w:p>
        </w:tc>
        <w:tc>
          <w:tcPr>
            <w:tcW w:w="3336" w:type="dxa"/>
            <w:vAlign w:val="top"/>
          </w:tcPr>
          <w:p w14:paraId="571D3877">
            <w:pPr>
              <w:rPr>
                <w:rFonts w:ascii="Arial"/>
                <w:sz w:val="21"/>
              </w:rPr>
            </w:pPr>
          </w:p>
        </w:tc>
        <w:tc>
          <w:tcPr>
            <w:tcW w:w="1803" w:type="dxa"/>
            <w:vAlign w:val="top"/>
          </w:tcPr>
          <w:p w14:paraId="10AB8721">
            <w:pPr>
              <w:rPr>
                <w:rFonts w:ascii="Arial"/>
                <w:sz w:val="21"/>
              </w:rPr>
            </w:pPr>
          </w:p>
        </w:tc>
      </w:tr>
      <w:tr w14:paraId="7E2B85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714" w:type="dxa"/>
            <w:vAlign w:val="top"/>
          </w:tcPr>
          <w:p w14:paraId="751E717E">
            <w:pPr>
              <w:rPr>
                <w:rFonts w:ascii="Arial"/>
                <w:sz w:val="21"/>
              </w:rPr>
            </w:pPr>
          </w:p>
        </w:tc>
        <w:tc>
          <w:tcPr>
            <w:tcW w:w="2887" w:type="dxa"/>
            <w:vAlign w:val="top"/>
          </w:tcPr>
          <w:p w14:paraId="4F95ABAB">
            <w:pPr>
              <w:pStyle w:val="6"/>
              <w:spacing w:before="151" w:line="219" w:lineRule="auto"/>
              <w:ind w:left="131"/>
            </w:pPr>
            <w:r>
              <w:rPr>
                <w:spacing w:val="4"/>
              </w:rPr>
              <w:t>材料费</w:t>
            </w:r>
          </w:p>
        </w:tc>
        <w:tc>
          <w:tcPr>
            <w:tcW w:w="3336" w:type="dxa"/>
            <w:vAlign w:val="top"/>
          </w:tcPr>
          <w:p w14:paraId="1135FA3A">
            <w:pPr>
              <w:rPr>
                <w:rFonts w:ascii="Arial"/>
                <w:sz w:val="21"/>
              </w:rPr>
            </w:pPr>
          </w:p>
        </w:tc>
        <w:tc>
          <w:tcPr>
            <w:tcW w:w="1803" w:type="dxa"/>
            <w:vAlign w:val="top"/>
          </w:tcPr>
          <w:p w14:paraId="255D9D3B">
            <w:pPr>
              <w:rPr>
                <w:rFonts w:ascii="Arial"/>
                <w:sz w:val="21"/>
              </w:rPr>
            </w:pPr>
          </w:p>
        </w:tc>
      </w:tr>
      <w:tr w14:paraId="70A2F9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714" w:type="dxa"/>
            <w:vAlign w:val="top"/>
          </w:tcPr>
          <w:p w14:paraId="350526A4">
            <w:pPr>
              <w:rPr>
                <w:rFonts w:ascii="Arial"/>
                <w:sz w:val="21"/>
              </w:rPr>
            </w:pPr>
          </w:p>
        </w:tc>
        <w:tc>
          <w:tcPr>
            <w:tcW w:w="2887" w:type="dxa"/>
            <w:vAlign w:val="top"/>
          </w:tcPr>
          <w:p w14:paraId="15EA3A1B">
            <w:pPr>
              <w:pStyle w:val="6"/>
              <w:spacing w:before="141" w:line="219" w:lineRule="auto"/>
              <w:ind w:left="131"/>
            </w:pPr>
            <w:r>
              <w:rPr>
                <w:spacing w:val="4"/>
              </w:rPr>
              <w:t>机械费</w:t>
            </w:r>
          </w:p>
        </w:tc>
        <w:tc>
          <w:tcPr>
            <w:tcW w:w="3336" w:type="dxa"/>
            <w:vAlign w:val="top"/>
          </w:tcPr>
          <w:p w14:paraId="204B2226">
            <w:pPr>
              <w:rPr>
                <w:rFonts w:ascii="Arial"/>
                <w:sz w:val="21"/>
              </w:rPr>
            </w:pPr>
          </w:p>
        </w:tc>
        <w:tc>
          <w:tcPr>
            <w:tcW w:w="1803" w:type="dxa"/>
            <w:vAlign w:val="top"/>
          </w:tcPr>
          <w:p w14:paraId="612A34DF">
            <w:pPr>
              <w:rPr>
                <w:rFonts w:ascii="Arial"/>
                <w:sz w:val="21"/>
              </w:rPr>
            </w:pPr>
          </w:p>
        </w:tc>
      </w:tr>
      <w:tr w14:paraId="1C641D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9" w:hRule="atLeast"/>
        </w:trPr>
        <w:tc>
          <w:tcPr>
            <w:tcW w:w="714" w:type="dxa"/>
            <w:vAlign w:val="top"/>
          </w:tcPr>
          <w:p w14:paraId="680CADD1">
            <w:pPr>
              <w:rPr>
                <w:rFonts w:ascii="Arial"/>
                <w:sz w:val="21"/>
              </w:rPr>
            </w:pPr>
          </w:p>
        </w:tc>
        <w:tc>
          <w:tcPr>
            <w:tcW w:w="2887" w:type="dxa"/>
            <w:vAlign w:val="top"/>
          </w:tcPr>
          <w:p w14:paraId="4E25446A">
            <w:pPr>
              <w:pStyle w:val="6"/>
              <w:spacing w:before="164" w:line="220" w:lineRule="auto"/>
              <w:ind w:left="131"/>
            </w:pPr>
            <w:r>
              <w:rPr>
                <w:spacing w:val="4"/>
              </w:rPr>
              <w:t>设备费</w:t>
            </w:r>
          </w:p>
        </w:tc>
        <w:tc>
          <w:tcPr>
            <w:tcW w:w="3336" w:type="dxa"/>
            <w:vAlign w:val="top"/>
          </w:tcPr>
          <w:p w14:paraId="1DF958C5">
            <w:pPr>
              <w:rPr>
                <w:rFonts w:ascii="Arial"/>
                <w:sz w:val="21"/>
              </w:rPr>
            </w:pPr>
          </w:p>
        </w:tc>
        <w:tc>
          <w:tcPr>
            <w:tcW w:w="1803" w:type="dxa"/>
            <w:vAlign w:val="top"/>
          </w:tcPr>
          <w:p w14:paraId="6C827214">
            <w:pPr>
              <w:rPr>
                <w:rFonts w:ascii="Arial"/>
                <w:sz w:val="21"/>
              </w:rPr>
            </w:pPr>
          </w:p>
        </w:tc>
      </w:tr>
      <w:tr w14:paraId="36B256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0" w:hRule="atLeast"/>
        </w:trPr>
        <w:tc>
          <w:tcPr>
            <w:tcW w:w="714" w:type="dxa"/>
            <w:vAlign w:val="top"/>
          </w:tcPr>
          <w:p w14:paraId="63E50C5F">
            <w:pPr>
              <w:rPr>
                <w:rFonts w:ascii="Arial"/>
                <w:sz w:val="21"/>
              </w:rPr>
            </w:pPr>
          </w:p>
        </w:tc>
        <w:tc>
          <w:tcPr>
            <w:tcW w:w="2887" w:type="dxa"/>
            <w:vAlign w:val="top"/>
          </w:tcPr>
          <w:p w14:paraId="1565A520">
            <w:pPr>
              <w:pStyle w:val="6"/>
              <w:spacing w:before="143" w:line="219" w:lineRule="auto"/>
              <w:ind w:left="131"/>
            </w:pPr>
            <w:r>
              <w:rPr>
                <w:spacing w:val="4"/>
              </w:rPr>
              <w:t>主材费</w:t>
            </w:r>
          </w:p>
        </w:tc>
        <w:tc>
          <w:tcPr>
            <w:tcW w:w="3336" w:type="dxa"/>
            <w:vAlign w:val="top"/>
          </w:tcPr>
          <w:p w14:paraId="00CAF9EB">
            <w:pPr>
              <w:rPr>
                <w:rFonts w:ascii="Arial"/>
                <w:sz w:val="21"/>
              </w:rPr>
            </w:pPr>
          </w:p>
        </w:tc>
        <w:tc>
          <w:tcPr>
            <w:tcW w:w="1803" w:type="dxa"/>
            <w:vAlign w:val="top"/>
          </w:tcPr>
          <w:p w14:paraId="0A770BA2">
            <w:pPr>
              <w:rPr>
                <w:rFonts w:ascii="Arial"/>
                <w:sz w:val="21"/>
              </w:rPr>
            </w:pPr>
          </w:p>
        </w:tc>
      </w:tr>
      <w:tr w14:paraId="2A6A14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0" w:hRule="atLeast"/>
        </w:trPr>
        <w:tc>
          <w:tcPr>
            <w:tcW w:w="714" w:type="dxa"/>
            <w:vAlign w:val="top"/>
          </w:tcPr>
          <w:p w14:paraId="12F53247">
            <w:pPr>
              <w:rPr>
                <w:rFonts w:ascii="Arial"/>
                <w:sz w:val="21"/>
              </w:rPr>
            </w:pPr>
          </w:p>
        </w:tc>
        <w:tc>
          <w:tcPr>
            <w:tcW w:w="2887" w:type="dxa"/>
            <w:vAlign w:val="top"/>
          </w:tcPr>
          <w:p w14:paraId="4FB700BF">
            <w:pPr>
              <w:rPr>
                <w:rFonts w:ascii="Arial"/>
                <w:sz w:val="21"/>
              </w:rPr>
            </w:pPr>
          </w:p>
        </w:tc>
        <w:tc>
          <w:tcPr>
            <w:tcW w:w="3336" w:type="dxa"/>
            <w:vAlign w:val="top"/>
          </w:tcPr>
          <w:p w14:paraId="7D893879">
            <w:pPr>
              <w:rPr>
                <w:rFonts w:ascii="Arial"/>
                <w:sz w:val="21"/>
              </w:rPr>
            </w:pPr>
          </w:p>
        </w:tc>
        <w:tc>
          <w:tcPr>
            <w:tcW w:w="1803" w:type="dxa"/>
            <w:vAlign w:val="top"/>
          </w:tcPr>
          <w:p w14:paraId="7FB0CD5B">
            <w:pPr>
              <w:rPr>
                <w:rFonts w:ascii="Arial"/>
                <w:sz w:val="21"/>
              </w:rPr>
            </w:pPr>
          </w:p>
        </w:tc>
      </w:tr>
      <w:tr w14:paraId="13F9AD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714" w:type="dxa"/>
            <w:vAlign w:val="top"/>
          </w:tcPr>
          <w:p w14:paraId="1BDE6FB0">
            <w:pPr>
              <w:rPr>
                <w:rFonts w:ascii="Arial"/>
                <w:sz w:val="21"/>
              </w:rPr>
            </w:pPr>
          </w:p>
        </w:tc>
        <w:tc>
          <w:tcPr>
            <w:tcW w:w="2887" w:type="dxa"/>
            <w:vAlign w:val="top"/>
          </w:tcPr>
          <w:p w14:paraId="54E0D31F">
            <w:pPr>
              <w:rPr>
                <w:rFonts w:ascii="Arial"/>
                <w:sz w:val="21"/>
              </w:rPr>
            </w:pPr>
          </w:p>
        </w:tc>
        <w:tc>
          <w:tcPr>
            <w:tcW w:w="3336" w:type="dxa"/>
            <w:vAlign w:val="top"/>
          </w:tcPr>
          <w:p w14:paraId="16B30D19">
            <w:pPr>
              <w:rPr>
                <w:rFonts w:ascii="Arial"/>
                <w:sz w:val="21"/>
              </w:rPr>
            </w:pPr>
          </w:p>
        </w:tc>
        <w:tc>
          <w:tcPr>
            <w:tcW w:w="1803" w:type="dxa"/>
            <w:vAlign w:val="top"/>
          </w:tcPr>
          <w:p w14:paraId="6395639A">
            <w:pPr>
              <w:rPr>
                <w:rFonts w:ascii="Arial"/>
                <w:sz w:val="21"/>
              </w:rPr>
            </w:pPr>
          </w:p>
        </w:tc>
      </w:tr>
      <w:tr w14:paraId="0626E0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714" w:type="dxa"/>
            <w:vAlign w:val="top"/>
          </w:tcPr>
          <w:p w14:paraId="48429567">
            <w:pPr>
              <w:rPr>
                <w:rFonts w:ascii="Arial"/>
                <w:sz w:val="21"/>
              </w:rPr>
            </w:pPr>
          </w:p>
        </w:tc>
        <w:tc>
          <w:tcPr>
            <w:tcW w:w="2887" w:type="dxa"/>
            <w:vAlign w:val="top"/>
          </w:tcPr>
          <w:p w14:paraId="79051134">
            <w:pPr>
              <w:rPr>
                <w:rFonts w:ascii="Arial"/>
                <w:sz w:val="21"/>
              </w:rPr>
            </w:pPr>
          </w:p>
        </w:tc>
        <w:tc>
          <w:tcPr>
            <w:tcW w:w="3336" w:type="dxa"/>
            <w:vAlign w:val="top"/>
          </w:tcPr>
          <w:p w14:paraId="43897C68">
            <w:pPr>
              <w:rPr>
                <w:rFonts w:ascii="Arial"/>
                <w:sz w:val="21"/>
              </w:rPr>
            </w:pPr>
          </w:p>
        </w:tc>
        <w:tc>
          <w:tcPr>
            <w:tcW w:w="1803" w:type="dxa"/>
            <w:vAlign w:val="top"/>
          </w:tcPr>
          <w:p w14:paraId="63C63A93">
            <w:pPr>
              <w:rPr>
                <w:rFonts w:ascii="Arial"/>
                <w:sz w:val="21"/>
              </w:rPr>
            </w:pPr>
          </w:p>
        </w:tc>
      </w:tr>
      <w:tr w14:paraId="6826E7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714" w:type="dxa"/>
            <w:vAlign w:val="top"/>
          </w:tcPr>
          <w:p w14:paraId="54BB6928">
            <w:pPr>
              <w:rPr>
                <w:rFonts w:ascii="Arial"/>
                <w:sz w:val="21"/>
              </w:rPr>
            </w:pPr>
          </w:p>
        </w:tc>
        <w:tc>
          <w:tcPr>
            <w:tcW w:w="2887" w:type="dxa"/>
            <w:vAlign w:val="top"/>
          </w:tcPr>
          <w:p w14:paraId="547A709A">
            <w:pPr>
              <w:rPr>
                <w:rFonts w:ascii="Arial"/>
                <w:sz w:val="21"/>
              </w:rPr>
            </w:pPr>
          </w:p>
        </w:tc>
        <w:tc>
          <w:tcPr>
            <w:tcW w:w="3336" w:type="dxa"/>
            <w:vAlign w:val="top"/>
          </w:tcPr>
          <w:p w14:paraId="31F22DD8">
            <w:pPr>
              <w:rPr>
                <w:rFonts w:ascii="Arial"/>
                <w:sz w:val="21"/>
              </w:rPr>
            </w:pPr>
          </w:p>
        </w:tc>
        <w:tc>
          <w:tcPr>
            <w:tcW w:w="1803" w:type="dxa"/>
            <w:vAlign w:val="top"/>
          </w:tcPr>
          <w:p w14:paraId="1C180410">
            <w:pPr>
              <w:rPr>
                <w:rFonts w:ascii="Arial"/>
                <w:sz w:val="21"/>
              </w:rPr>
            </w:pPr>
          </w:p>
        </w:tc>
      </w:tr>
      <w:tr w14:paraId="5E2B99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714" w:type="dxa"/>
            <w:vAlign w:val="top"/>
          </w:tcPr>
          <w:p w14:paraId="73D9D210">
            <w:pPr>
              <w:rPr>
                <w:rFonts w:ascii="Arial"/>
                <w:sz w:val="21"/>
              </w:rPr>
            </w:pPr>
          </w:p>
        </w:tc>
        <w:tc>
          <w:tcPr>
            <w:tcW w:w="2887" w:type="dxa"/>
            <w:vAlign w:val="top"/>
          </w:tcPr>
          <w:p w14:paraId="57A45E5C">
            <w:pPr>
              <w:rPr>
                <w:rFonts w:ascii="Arial"/>
                <w:sz w:val="21"/>
              </w:rPr>
            </w:pPr>
          </w:p>
        </w:tc>
        <w:tc>
          <w:tcPr>
            <w:tcW w:w="3336" w:type="dxa"/>
            <w:vAlign w:val="top"/>
          </w:tcPr>
          <w:p w14:paraId="54EA3F53">
            <w:pPr>
              <w:rPr>
                <w:rFonts w:ascii="Arial"/>
                <w:sz w:val="21"/>
              </w:rPr>
            </w:pPr>
          </w:p>
        </w:tc>
        <w:tc>
          <w:tcPr>
            <w:tcW w:w="1803" w:type="dxa"/>
            <w:vAlign w:val="top"/>
          </w:tcPr>
          <w:p w14:paraId="3C43DCE9">
            <w:pPr>
              <w:rPr>
                <w:rFonts w:ascii="Arial"/>
                <w:sz w:val="21"/>
              </w:rPr>
            </w:pPr>
          </w:p>
        </w:tc>
      </w:tr>
      <w:tr w14:paraId="57DD16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trPr>
        <w:tc>
          <w:tcPr>
            <w:tcW w:w="714" w:type="dxa"/>
            <w:vAlign w:val="top"/>
          </w:tcPr>
          <w:p w14:paraId="2CD0079A">
            <w:pPr>
              <w:rPr>
                <w:rFonts w:ascii="Arial"/>
                <w:sz w:val="21"/>
              </w:rPr>
            </w:pPr>
          </w:p>
        </w:tc>
        <w:tc>
          <w:tcPr>
            <w:tcW w:w="2887" w:type="dxa"/>
            <w:vAlign w:val="top"/>
          </w:tcPr>
          <w:p w14:paraId="4D5DB7B7">
            <w:pPr>
              <w:rPr>
                <w:rFonts w:ascii="Arial"/>
                <w:sz w:val="21"/>
              </w:rPr>
            </w:pPr>
          </w:p>
        </w:tc>
        <w:tc>
          <w:tcPr>
            <w:tcW w:w="3336" w:type="dxa"/>
            <w:vAlign w:val="top"/>
          </w:tcPr>
          <w:p w14:paraId="05775D97">
            <w:pPr>
              <w:rPr>
                <w:rFonts w:ascii="Arial"/>
                <w:sz w:val="21"/>
              </w:rPr>
            </w:pPr>
          </w:p>
        </w:tc>
        <w:tc>
          <w:tcPr>
            <w:tcW w:w="1803" w:type="dxa"/>
            <w:vAlign w:val="top"/>
          </w:tcPr>
          <w:p w14:paraId="18B03C29">
            <w:pPr>
              <w:rPr>
                <w:rFonts w:ascii="Arial"/>
                <w:sz w:val="21"/>
              </w:rPr>
            </w:pPr>
          </w:p>
        </w:tc>
      </w:tr>
      <w:tr w14:paraId="681BB6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714" w:type="dxa"/>
            <w:vAlign w:val="top"/>
          </w:tcPr>
          <w:p w14:paraId="3D69943C">
            <w:pPr>
              <w:rPr>
                <w:rFonts w:ascii="Arial"/>
                <w:sz w:val="21"/>
              </w:rPr>
            </w:pPr>
          </w:p>
        </w:tc>
        <w:tc>
          <w:tcPr>
            <w:tcW w:w="2887" w:type="dxa"/>
            <w:vAlign w:val="top"/>
          </w:tcPr>
          <w:p w14:paraId="142D2548">
            <w:pPr>
              <w:rPr>
                <w:rFonts w:ascii="Arial"/>
                <w:sz w:val="21"/>
              </w:rPr>
            </w:pPr>
          </w:p>
        </w:tc>
        <w:tc>
          <w:tcPr>
            <w:tcW w:w="3336" w:type="dxa"/>
            <w:vAlign w:val="top"/>
          </w:tcPr>
          <w:p w14:paraId="07753B7B">
            <w:pPr>
              <w:rPr>
                <w:rFonts w:ascii="Arial"/>
                <w:sz w:val="21"/>
              </w:rPr>
            </w:pPr>
          </w:p>
        </w:tc>
        <w:tc>
          <w:tcPr>
            <w:tcW w:w="1803" w:type="dxa"/>
            <w:vAlign w:val="top"/>
          </w:tcPr>
          <w:p w14:paraId="0747E1BB">
            <w:pPr>
              <w:rPr>
                <w:rFonts w:ascii="Arial"/>
                <w:sz w:val="21"/>
              </w:rPr>
            </w:pPr>
          </w:p>
        </w:tc>
      </w:tr>
      <w:tr w14:paraId="25B17E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0" w:hRule="atLeast"/>
        </w:trPr>
        <w:tc>
          <w:tcPr>
            <w:tcW w:w="714" w:type="dxa"/>
            <w:vAlign w:val="top"/>
          </w:tcPr>
          <w:p w14:paraId="0C155BED">
            <w:pPr>
              <w:rPr>
                <w:rFonts w:ascii="Arial"/>
                <w:sz w:val="21"/>
              </w:rPr>
            </w:pPr>
          </w:p>
        </w:tc>
        <w:tc>
          <w:tcPr>
            <w:tcW w:w="2887" w:type="dxa"/>
            <w:vAlign w:val="top"/>
          </w:tcPr>
          <w:p w14:paraId="1CCB724B">
            <w:pPr>
              <w:rPr>
                <w:rFonts w:ascii="Arial"/>
                <w:sz w:val="21"/>
              </w:rPr>
            </w:pPr>
          </w:p>
        </w:tc>
        <w:tc>
          <w:tcPr>
            <w:tcW w:w="3336" w:type="dxa"/>
            <w:vAlign w:val="top"/>
          </w:tcPr>
          <w:p w14:paraId="66E2BE7A">
            <w:pPr>
              <w:rPr>
                <w:rFonts w:ascii="Arial"/>
                <w:sz w:val="21"/>
              </w:rPr>
            </w:pPr>
          </w:p>
        </w:tc>
        <w:tc>
          <w:tcPr>
            <w:tcW w:w="1803" w:type="dxa"/>
            <w:vAlign w:val="top"/>
          </w:tcPr>
          <w:p w14:paraId="4DD054D8">
            <w:pPr>
              <w:rPr>
                <w:rFonts w:ascii="Arial"/>
                <w:sz w:val="21"/>
              </w:rPr>
            </w:pPr>
          </w:p>
        </w:tc>
      </w:tr>
      <w:tr w14:paraId="7FDFD8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714" w:type="dxa"/>
            <w:vAlign w:val="top"/>
          </w:tcPr>
          <w:p w14:paraId="70B88DD7">
            <w:pPr>
              <w:rPr>
                <w:rFonts w:ascii="Arial"/>
                <w:sz w:val="21"/>
              </w:rPr>
            </w:pPr>
          </w:p>
        </w:tc>
        <w:tc>
          <w:tcPr>
            <w:tcW w:w="2887" w:type="dxa"/>
            <w:vAlign w:val="top"/>
          </w:tcPr>
          <w:p w14:paraId="0DEE0E1F">
            <w:pPr>
              <w:rPr>
                <w:rFonts w:ascii="Arial"/>
                <w:sz w:val="21"/>
              </w:rPr>
            </w:pPr>
          </w:p>
        </w:tc>
        <w:tc>
          <w:tcPr>
            <w:tcW w:w="3336" w:type="dxa"/>
            <w:vAlign w:val="top"/>
          </w:tcPr>
          <w:p w14:paraId="4656D4ED">
            <w:pPr>
              <w:rPr>
                <w:rFonts w:ascii="Arial"/>
                <w:sz w:val="21"/>
              </w:rPr>
            </w:pPr>
          </w:p>
        </w:tc>
        <w:tc>
          <w:tcPr>
            <w:tcW w:w="1803" w:type="dxa"/>
            <w:vAlign w:val="top"/>
          </w:tcPr>
          <w:p w14:paraId="43CCB6CD">
            <w:pPr>
              <w:rPr>
                <w:rFonts w:ascii="Arial"/>
                <w:sz w:val="21"/>
              </w:rPr>
            </w:pPr>
          </w:p>
        </w:tc>
      </w:tr>
      <w:tr w14:paraId="0CD12C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714" w:type="dxa"/>
            <w:vAlign w:val="top"/>
          </w:tcPr>
          <w:p w14:paraId="4E227213">
            <w:pPr>
              <w:rPr>
                <w:rFonts w:ascii="Arial"/>
                <w:sz w:val="21"/>
              </w:rPr>
            </w:pPr>
          </w:p>
        </w:tc>
        <w:tc>
          <w:tcPr>
            <w:tcW w:w="2887" w:type="dxa"/>
            <w:vAlign w:val="top"/>
          </w:tcPr>
          <w:p w14:paraId="11E3F57D">
            <w:pPr>
              <w:rPr>
                <w:rFonts w:ascii="Arial"/>
                <w:sz w:val="21"/>
              </w:rPr>
            </w:pPr>
          </w:p>
        </w:tc>
        <w:tc>
          <w:tcPr>
            <w:tcW w:w="3336" w:type="dxa"/>
            <w:vAlign w:val="top"/>
          </w:tcPr>
          <w:p w14:paraId="50DD622E">
            <w:pPr>
              <w:rPr>
                <w:rFonts w:ascii="Arial"/>
                <w:sz w:val="21"/>
              </w:rPr>
            </w:pPr>
          </w:p>
        </w:tc>
        <w:tc>
          <w:tcPr>
            <w:tcW w:w="1803" w:type="dxa"/>
            <w:vAlign w:val="top"/>
          </w:tcPr>
          <w:p w14:paraId="6614AC7C">
            <w:pPr>
              <w:rPr>
                <w:rFonts w:ascii="Arial"/>
                <w:sz w:val="21"/>
              </w:rPr>
            </w:pPr>
          </w:p>
        </w:tc>
      </w:tr>
      <w:tr w14:paraId="777569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5" w:hRule="atLeast"/>
        </w:trPr>
        <w:tc>
          <w:tcPr>
            <w:tcW w:w="3601" w:type="dxa"/>
            <w:gridSpan w:val="2"/>
            <w:vAlign w:val="top"/>
          </w:tcPr>
          <w:p w14:paraId="64B964C8">
            <w:pPr>
              <w:pStyle w:val="6"/>
              <w:spacing w:before="147" w:line="218" w:lineRule="auto"/>
              <w:ind w:left="85"/>
            </w:pPr>
            <w:r>
              <w:t>投标报价合计=1+2+3+4+5+6</w:t>
            </w:r>
          </w:p>
        </w:tc>
        <w:tc>
          <w:tcPr>
            <w:tcW w:w="3336" w:type="dxa"/>
            <w:vAlign w:val="top"/>
          </w:tcPr>
          <w:p w14:paraId="12B7C94A">
            <w:pPr>
              <w:rPr>
                <w:rFonts w:ascii="Arial"/>
                <w:sz w:val="21"/>
              </w:rPr>
            </w:pPr>
          </w:p>
        </w:tc>
        <w:tc>
          <w:tcPr>
            <w:tcW w:w="1803" w:type="dxa"/>
            <w:vAlign w:val="top"/>
          </w:tcPr>
          <w:p w14:paraId="15C59631">
            <w:pPr>
              <w:rPr>
                <w:rFonts w:ascii="Arial"/>
                <w:sz w:val="21"/>
              </w:rPr>
            </w:pPr>
          </w:p>
        </w:tc>
      </w:tr>
    </w:tbl>
    <w:p w14:paraId="695DFED1">
      <w:pPr>
        <w:spacing w:line="251" w:lineRule="auto"/>
        <w:rPr>
          <w:rFonts w:ascii="Arial"/>
          <w:sz w:val="21"/>
        </w:rPr>
      </w:pPr>
    </w:p>
    <w:p w14:paraId="0187B5D6">
      <w:pPr>
        <w:pStyle w:val="2"/>
        <w:spacing w:before="69" w:line="218" w:lineRule="auto"/>
        <w:ind w:left="115"/>
        <w:rPr>
          <w:sz w:val="21"/>
          <w:szCs w:val="21"/>
        </w:rPr>
      </w:pPr>
      <w:r>
        <w:rPr>
          <w:sz w:val="21"/>
          <w:szCs w:val="21"/>
        </w:rPr>
        <w:t>注：本表适用于单位工程投标报价的汇总，如无单位工程的划分，单项工程也使</w:t>
      </w:r>
      <w:r>
        <w:rPr>
          <w:spacing w:val="-1"/>
          <w:sz w:val="21"/>
          <w:szCs w:val="21"/>
        </w:rPr>
        <w:t>用本汇总表。</w:t>
      </w:r>
    </w:p>
    <w:p w14:paraId="198F5DEC">
      <w:pPr>
        <w:spacing w:line="218" w:lineRule="auto"/>
        <w:rPr>
          <w:sz w:val="21"/>
          <w:szCs w:val="21"/>
        </w:rPr>
        <w:sectPr>
          <w:footerReference r:id="rId303" w:type="default"/>
          <w:pgSz w:w="11910" w:h="16840"/>
          <w:pgMar w:top="400" w:right="1786" w:bottom="1024" w:left="1355" w:header="0" w:footer="889" w:gutter="0"/>
          <w:cols w:space="720" w:num="1"/>
        </w:sectPr>
      </w:pPr>
    </w:p>
    <w:p w14:paraId="654B4751">
      <w:pPr>
        <w:spacing w:line="253" w:lineRule="auto"/>
        <w:rPr>
          <w:rFonts w:ascii="Arial"/>
          <w:sz w:val="21"/>
        </w:rPr>
      </w:pPr>
    </w:p>
    <w:p w14:paraId="32929823">
      <w:pPr>
        <w:spacing w:line="253" w:lineRule="auto"/>
        <w:rPr>
          <w:rFonts w:ascii="Arial"/>
          <w:sz w:val="21"/>
        </w:rPr>
      </w:pPr>
    </w:p>
    <w:p w14:paraId="4FF4BFF1">
      <w:pPr>
        <w:spacing w:line="253" w:lineRule="auto"/>
        <w:rPr>
          <w:rFonts w:ascii="Arial"/>
          <w:sz w:val="21"/>
        </w:rPr>
      </w:pPr>
    </w:p>
    <w:p w14:paraId="707B0C48">
      <w:pPr>
        <w:spacing w:line="253" w:lineRule="auto"/>
        <w:rPr>
          <w:rFonts w:ascii="Arial"/>
          <w:sz w:val="21"/>
        </w:rPr>
      </w:pPr>
    </w:p>
    <w:p w14:paraId="3C4A8BBF">
      <w:pPr>
        <w:spacing w:line="254" w:lineRule="auto"/>
        <w:rPr>
          <w:rFonts w:ascii="Arial"/>
          <w:sz w:val="21"/>
        </w:rPr>
      </w:pPr>
    </w:p>
    <w:p w14:paraId="4ABF4C06">
      <w:pPr>
        <w:spacing w:before="91" w:line="222" w:lineRule="auto"/>
        <w:ind w:left="413"/>
        <w:outlineLvl w:val="2"/>
        <w:rPr>
          <w:rFonts w:ascii="黑体" w:hAnsi="黑体" w:eastAsia="黑体" w:cs="黑体"/>
          <w:sz w:val="28"/>
          <w:szCs w:val="28"/>
        </w:rPr>
      </w:pPr>
      <w:bookmarkStart w:id="285" w:name="bookmark325"/>
      <w:bookmarkEnd w:id="285"/>
      <w:bookmarkStart w:id="286" w:name="bookmark196"/>
      <w:bookmarkEnd w:id="286"/>
      <w:r>
        <w:rPr>
          <w:rFonts w:ascii="黑体" w:hAnsi="黑体" w:eastAsia="黑体" w:cs="黑体"/>
          <w:b/>
          <w:bCs/>
          <w:spacing w:val="-25"/>
          <w:w w:val="97"/>
          <w:sz w:val="28"/>
          <w:szCs w:val="28"/>
        </w:rPr>
        <w:t>4.9分部分项工程和单价措施项目清单与计价表</w:t>
      </w:r>
    </w:p>
    <w:p w14:paraId="2ADD898C">
      <w:pPr>
        <w:spacing w:before="253" w:line="222" w:lineRule="auto"/>
        <w:ind w:left="1773"/>
        <w:rPr>
          <w:rFonts w:ascii="黑体" w:hAnsi="黑体" w:eastAsia="黑体" w:cs="黑体"/>
          <w:sz w:val="28"/>
          <w:szCs w:val="28"/>
        </w:rPr>
      </w:pPr>
      <w:r>
        <w:rPr>
          <w:rFonts w:ascii="黑体" w:hAnsi="黑体" w:eastAsia="黑体" w:cs="黑体"/>
          <w:b/>
          <w:bCs/>
          <w:spacing w:val="-1"/>
          <w:sz w:val="28"/>
          <w:szCs w:val="28"/>
        </w:rPr>
        <w:t>分部分项工程和单价措施项目清单与计价表</w:t>
      </w:r>
    </w:p>
    <w:p w14:paraId="20289E39">
      <w:pPr>
        <w:pStyle w:val="2"/>
        <w:spacing w:before="285" w:line="220" w:lineRule="auto"/>
        <w:rPr>
          <w:sz w:val="19"/>
          <w:szCs w:val="19"/>
        </w:rPr>
      </w:pPr>
      <w:r>
        <w:rPr>
          <w:spacing w:val="-2"/>
          <w:sz w:val="19"/>
          <w:szCs w:val="19"/>
        </w:rPr>
        <w:t>工程名称：</w:t>
      </w:r>
      <w:r>
        <w:rPr>
          <w:spacing w:val="2"/>
          <w:sz w:val="19"/>
          <w:szCs w:val="19"/>
        </w:rPr>
        <w:t xml:space="preserve">                          </w:t>
      </w:r>
      <w:r>
        <w:rPr>
          <w:spacing w:val="-2"/>
          <w:sz w:val="19"/>
          <w:szCs w:val="19"/>
        </w:rPr>
        <w:t>标段名称：</w:t>
      </w:r>
      <w:r>
        <w:rPr>
          <w:spacing w:val="2"/>
          <w:sz w:val="19"/>
          <w:szCs w:val="19"/>
        </w:rPr>
        <w:t xml:space="preserve">                          </w:t>
      </w:r>
      <w:r>
        <w:rPr>
          <w:spacing w:val="-2"/>
          <w:sz w:val="19"/>
          <w:szCs w:val="19"/>
        </w:rPr>
        <w:t>第</w:t>
      </w:r>
      <w:r>
        <w:rPr>
          <w:spacing w:val="22"/>
          <w:sz w:val="19"/>
          <w:szCs w:val="19"/>
        </w:rPr>
        <w:t xml:space="preserve">  </w:t>
      </w:r>
      <w:r>
        <w:rPr>
          <w:spacing w:val="-2"/>
          <w:sz w:val="19"/>
          <w:szCs w:val="19"/>
        </w:rPr>
        <w:t>页</w:t>
      </w:r>
      <w:r>
        <w:rPr>
          <w:spacing w:val="21"/>
          <w:sz w:val="19"/>
          <w:szCs w:val="19"/>
        </w:rPr>
        <w:t xml:space="preserve">  </w:t>
      </w:r>
      <w:r>
        <w:rPr>
          <w:spacing w:val="-2"/>
          <w:sz w:val="19"/>
          <w:szCs w:val="19"/>
        </w:rPr>
        <w:t>共</w:t>
      </w:r>
      <w:r>
        <w:rPr>
          <w:spacing w:val="33"/>
          <w:sz w:val="19"/>
          <w:szCs w:val="19"/>
        </w:rPr>
        <w:t xml:space="preserve">  </w:t>
      </w:r>
      <w:r>
        <w:rPr>
          <w:spacing w:val="-2"/>
          <w:sz w:val="19"/>
          <w:szCs w:val="19"/>
        </w:rPr>
        <w:t>页</w:t>
      </w:r>
    </w:p>
    <w:p w14:paraId="578E5922">
      <w:pPr>
        <w:spacing w:before="9"/>
      </w:pPr>
    </w:p>
    <w:tbl>
      <w:tblPr>
        <w:tblStyle w:val="5"/>
        <w:tblW w:w="8470" w:type="dxa"/>
        <w:tblInd w:w="1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44"/>
        <w:gridCol w:w="1039"/>
        <w:gridCol w:w="1029"/>
        <w:gridCol w:w="1458"/>
        <w:gridCol w:w="1019"/>
        <w:gridCol w:w="839"/>
        <w:gridCol w:w="769"/>
        <w:gridCol w:w="739"/>
        <w:gridCol w:w="934"/>
      </w:tblGrid>
      <w:tr w14:paraId="0CFB99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5" w:hRule="atLeast"/>
        </w:trPr>
        <w:tc>
          <w:tcPr>
            <w:tcW w:w="644" w:type="dxa"/>
            <w:vMerge w:val="restart"/>
            <w:tcBorders>
              <w:bottom w:val="nil"/>
            </w:tcBorders>
            <w:vAlign w:val="top"/>
          </w:tcPr>
          <w:p w14:paraId="7FABFC33">
            <w:pPr>
              <w:spacing w:line="317" w:lineRule="auto"/>
              <w:rPr>
                <w:rFonts w:ascii="Arial"/>
                <w:sz w:val="21"/>
              </w:rPr>
            </w:pPr>
          </w:p>
          <w:p w14:paraId="67A31546">
            <w:pPr>
              <w:pStyle w:val="6"/>
              <w:spacing w:before="65" w:line="221" w:lineRule="auto"/>
              <w:ind w:left="124"/>
              <w:rPr>
                <w:sz w:val="20"/>
                <w:szCs w:val="20"/>
              </w:rPr>
            </w:pPr>
            <w:r>
              <w:rPr>
                <w:spacing w:val="-2"/>
                <w:sz w:val="20"/>
                <w:szCs w:val="20"/>
              </w:rPr>
              <w:t>序号</w:t>
            </w:r>
          </w:p>
        </w:tc>
        <w:tc>
          <w:tcPr>
            <w:tcW w:w="1039" w:type="dxa"/>
            <w:vMerge w:val="restart"/>
            <w:tcBorders>
              <w:bottom w:val="nil"/>
            </w:tcBorders>
            <w:vAlign w:val="top"/>
          </w:tcPr>
          <w:p w14:paraId="36A9769F">
            <w:pPr>
              <w:spacing w:line="316" w:lineRule="auto"/>
              <w:rPr>
                <w:rFonts w:ascii="Arial"/>
                <w:sz w:val="21"/>
              </w:rPr>
            </w:pPr>
          </w:p>
          <w:p w14:paraId="005D94D5">
            <w:pPr>
              <w:pStyle w:val="6"/>
              <w:spacing w:before="65" w:line="219" w:lineRule="auto"/>
              <w:ind w:left="120"/>
              <w:rPr>
                <w:sz w:val="20"/>
                <w:szCs w:val="20"/>
              </w:rPr>
            </w:pPr>
            <w:r>
              <w:rPr>
                <w:spacing w:val="2"/>
                <w:sz w:val="20"/>
                <w:szCs w:val="20"/>
              </w:rPr>
              <w:t>项目编码</w:t>
            </w:r>
          </w:p>
        </w:tc>
        <w:tc>
          <w:tcPr>
            <w:tcW w:w="1029" w:type="dxa"/>
            <w:vMerge w:val="restart"/>
            <w:tcBorders>
              <w:bottom w:val="nil"/>
            </w:tcBorders>
            <w:vAlign w:val="top"/>
          </w:tcPr>
          <w:p w14:paraId="781AE5FC">
            <w:pPr>
              <w:spacing w:line="316" w:lineRule="auto"/>
              <w:rPr>
                <w:rFonts w:ascii="Arial"/>
                <w:sz w:val="21"/>
              </w:rPr>
            </w:pPr>
          </w:p>
          <w:p w14:paraId="516D2752">
            <w:pPr>
              <w:pStyle w:val="6"/>
              <w:spacing w:before="65" w:line="220" w:lineRule="auto"/>
              <w:ind w:left="141"/>
              <w:rPr>
                <w:sz w:val="20"/>
                <w:szCs w:val="20"/>
              </w:rPr>
            </w:pPr>
            <w:r>
              <w:rPr>
                <w:spacing w:val="2"/>
                <w:sz w:val="20"/>
                <w:szCs w:val="20"/>
              </w:rPr>
              <w:t>项目名称</w:t>
            </w:r>
          </w:p>
        </w:tc>
        <w:tc>
          <w:tcPr>
            <w:tcW w:w="1458" w:type="dxa"/>
            <w:vMerge w:val="restart"/>
            <w:tcBorders>
              <w:bottom w:val="nil"/>
            </w:tcBorders>
            <w:vAlign w:val="top"/>
          </w:tcPr>
          <w:p w14:paraId="0AA3AE4C">
            <w:pPr>
              <w:spacing w:line="316" w:lineRule="auto"/>
              <w:rPr>
                <w:rFonts w:ascii="Arial"/>
                <w:sz w:val="21"/>
              </w:rPr>
            </w:pPr>
          </w:p>
          <w:p w14:paraId="1153239F">
            <w:pPr>
              <w:pStyle w:val="6"/>
              <w:spacing w:before="65" w:line="219" w:lineRule="auto"/>
              <w:ind w:left="142"/>
              <w:rPr>
                <w:sz w:val="20"/>
                <w:szCs w:val="20"/>
              </w:rPr>
            </w:pPr>
            <w:r>
              <w:rPr>
                <w:spacing w:val="-2"/>
                <w:sz w:val="20"/>
                <w:szCs w:val="20"/>
              </w:rPr>
              <w:t>项目特征描述</w:t>
            </w:r>
          </w:p>
        </w:tc>
        <w:tc>
          <w:tcPr>
            <w:tcW w:w="1019" w:type="dxa"/>
            <w:vMerge w:val="restart"/>
            <w:tcBorders>
              <w:bottom w:val="nil"/>
            </w:tcBorders>
            <w:vAlign w:val="top"/>
          </w:tcPr>
          <w:p w14:paraId="30E09C68">
            <w:pPr>
              <w:spacing w:line="316" w:lineRule="auto"/>
              <w:rPr>
                <w:rFonts w:ascii="Arial"/>
                <w:sz w:val="21"/>
              </w:rPr>
            </w:pPr>
          </w:p>
          <w:p w14:paraId="16758CBF">
            <w:pPr>
              <w:pStyle w:val="6"/>
              <w:spacing w:before="65" w:line="220" w:lineRule="auto"/>
              <w:ind w:left="144"/>
              <w:rPr>
                <w:sz w:val="20"/>
                <w:szCs w:val="20"/>
              </w:rPr>
            </w:pPr>
            <w:r>
              <w:rPr>
                <w:spacing w:val="-2"/>
                <w:sz w:val="20"/>
                <w:szCs w:val="20"/>
              </w:rPr>
              <w:t>计量单位</w:t>
            </w:r>
          </w:p>
        </w:tc>
        <w:tc>
          <w:tcPr>
            <w:tcW w:w="839" w:type="dxa"/>
            <w:vMerge w:val="restart"/>
            <w:tcBorders>
              <w:bottom w:val="nil"/>
            </w:tcBorders>
            <w:vAlign w:val="top"/>
          </w:tcPr>
          <w:p w14:paraId="4BD8E510">
            <w:pPr>
              <w:spacing w:line="316" w:lineRule="auto"/>
              <w:rPr>
                <w:rFonts w:ascii="Arial"/>
                <w:sz w:val="21"/>
              </w:rPr>
            </w:pPr>
          </w:p>
          <w:p w14:paraId="6D07B052">
            <w:pPr>
              <w:pStyle w:val="6"/>
              <w:spacing w:before="65" w:line="220" w:lineRule="auto"/>
              <w:ind w:left="145"/>
              <w:rPr>
                <w:sz w:val="20"/>
                <w:szCs w:val="20"/>
              </w:rPr>
            </w:pPr>
            <w:r>
              <w:rPr>
                <w:spacing w:val="-3"/>
                <w:sz w:val="20"/>
                <w:szCs w:val="20"/>
              </w:rPr>
              <w:t>工程量</w:t>
            </w:r>
          </w:p>
        </w:tc>
        <w:tc>
          <w:tcPr>
            <w:tcW w:w="2442" w:type="dxa"/>
            <w:gridSpan w:val="3"/>
            <w:vAlign w:val="top"/>
          </w:tcPr>
          <w:p w14:paraId="61FCB7F6">
            <w:pPr>
              <w:pStyle w:val="6"/>
              <w:spacing w:before="123" w:line="219" w:lineRule="auto"/>
              <w:ind w:left="747"/>
              <w:rPr>
                <w:sz w:val="20"/>
                <w:szCs w:val="20"/>
              </w:rPr>
            </w:pPr>
            <w:r>
              <w:rPr>
                <w:spacing w:val="8"/>
                <w:sz w:val="20"/>
                <w:szCs w:val="20"/>
              </w:rPr>
              <w:t>金额(元)</w:t>
            </w:r>
          </w:p>
        </w:tc>
      </w:tr>
      <w:tr w14:paraId="590191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644" w:type="dxa"/>
            <w:vMerge w:val="continue"/>
            <w:tcBorders>
              <w:top w:val="nil"/>
            </w:tcBorders>
            <w:vAlign w:val="top"/>
          </w:tcPr>
          <w:p w14:paraId="2E005AC6">
            <w:pPr>
              <w:rPr>
                <w:rFonts w:ascii="Arial"/>
                <w:sz w:val="21"/>
              </w:rPr>
            </w:pPr>
          </w:p>
        </w:tc>
        <w:tc>
          <w:tcPr>
            <w:tcW w:w="1039" w:type="dxa"/>
            <w:vMerge w:val="continue"/>
            <w:tcBorders>
              <w:top w:val="nil"/>
            </w:tcBorders>
            <w:vAlign w:val="top"/>
          </w:tcPr>
          <w:p w14:paraId="7BD7C890">
            <w:pPr>
              <w:rPr>
                <w:rFonts w:ascii="Arial"/>
                <w:sz w:val="21"/>
              </w:rPr>
            </w:pPr>
          </w:p>
        </w:tc>
        <w:tc>
          <w:tcPr>
            <w:tcW w:w="1029" w:type="dxa"/>
            <w:vMerge w:val="continue"/>
            <w:tcBorders>
              <w:top w:val="nil"/>
            </w:tcBorders>
            <w:vAlign w:val="top"/>
          </w:tcPr>
          <w:p w14:paraId="721948C7">
            <w:pPr>
              <w:rPr>
                <w:rFonts w:ascii="Arial"/>
                <w:sz w:val="21"/>
              </w:rPr>
            </w:pPr>
          </w:p>
        </w:tc>
        <w:tc>
          <w:tcPr>
            <w:tcW w:w="1458" w:type="dxa"/>
            <w:vMerge w:val="continue"/>
            <w:tcBorders>
              <w:top w:val="nil"/>
            </w:tcBorders>
            <w:vAlign w:val="top"/>
          </w:tcPr>
          <w:p w14:paraId="1DA898C0">
            <w:pPr>
              <w:rPr>
                <w:rFonts w:ascii="Arial"/>
                <w:sz w:val="21"/>
              </w:rPr>
            </w:pPr>
          </w:p>
        </w:tc>
        <w:tc>
          <w:tcPr>
            <w:tcW w:w="1019" w:type="dxa"/>
            <w:vMerge w:val="continue"/>
            <w:tcBorders>
              <w:top w:val="nil"/>
            </w:tcBorders>
            <w:vAlign w:val="top"/>
          </w:tcPr>
          <w:p w14:paraId="375F058B">
            <w:pPr>
              <w:rPr>
                <w:rFonts w:ascii="Arial"/>
                <w:sz w:val="21"/>
              </w:rPr>
            </w:pPr>
          </w:p>
        </w:tc>
        <w:tc>
          <w:tcPr>
            <w:tcW w:w="839" w:type="dxa"/>
            <w:vMerge w:val="continue"/>
            <w:tcBorders>
              <w:top w:val="nil"/>
            </w:tcBorders>
            <w:vAlign w:val="top"/>
          </w:tcPr>
          <w:p w14:paraId="07A98A1C">
            <w:pPr>
              <w:rPr>
                <w:rFonts w:ascii="Arial"/>
                <w:sz w:val="21"/>
              </w:rPr>
            </w:pPr>
          </w:p>
        </w:tc>
        <w:tc>
          <w:tcPr>
            <w:tcW w:w="769" w:type="dxa"/>
            <w:vAlign w:val="top"/>
          </w:tcPr>
          <w:p w14:paraId="45D25DFB">
            <w:pPr>
              <w:pStyle w:val="6"/>
              <w:spacing w:before="8" w:line="220" w:lineRule="auto"/>
              <w:ind w:left="176"/>
              <w:rPr>
                <w:sz w:val="20"/>
                <w:szCs w:val="20"/>
              </w:rPr>
            </w:pPr>
            <w:r>
              <w:rPr>
                <w:spacing w:val="-3"/>
                <w:sz w:val="20"/>
                <w:szCs w:val="20"/>
              </w:rPr>
              <w:t>综合</w:t>
            </w:r>
          </w:p>
          <w:p w14:paraId="4CE839A4">
            <w:pPr>
              <w:pStyle w:val="6"/>
              <w:spacing w:before="19" w:line="215" w:lineRule="auto"/>
              <w:ind w:left="176"/>
              <w:rPr>
                <w:sz w:val="20"/>
                <w:szCs w:val="20"/>
              </w:rPr>
            </w:pPr>
            <w:r>
              <w:rPr>
                <w:spacing w:val="-3"/>
                <w:sz w:val="20"/>
                <w:szCs w:val="20"/>
              </w:rPr>
              <w:t>单价</w:t>
            </w:r>
          </w:p>
        </w:tc>
        <w:tc>
          <w:tcPr>
            <w:tcW w:w="739" w:type="dxa"/>
            <w:vAlign w:val="top"/>
          </w:tcPr>
          <w:p w14:paraId="4AC18267">
            <w:pPr>
              <w:pStyle w:val="6"/>
              <w:spacing w:before="156" w:line="218" w:lineRule="auto"/>
              <w:ind w:left="197"/>
              <w:rPr>
                <w:sz w:val="20"/>
                <w:szCs w:val="20"/>
              </w:rPr>
            </w:pPr>
            <w:r>
              <w:rPr>
                <w:spacing w:val="-3"/>
                <w:sz w:val="20"/>
                <w:szCs w:val="20"/>
              </w:rPr>
              <w:t>合价</w:t>
            </w:r>
          </w:p>
        </w:tc>
        <w:tc>
          <w:tcPr>
            <w:tcW w:w="934" w:type="dxa"/>
            <w:vAlign w:val="top"/>
          </w:tcPr>
          <w:p w14:paraId="0CC5D149">
            <w:pPr>
              <w:pStyle w:val="6"/>
              <w:spacing w:before="8" w:line="220" w:lineRule="auto"/>
              <w:ind w:left="59"/>
              <w:rPr>
                <w:sz w:val="20"/>
                <w:szCs w:val="20"/>
              </w:rPr>
            </w:pPr>
            <w:r>
              <w:rPr>
                <w:spacing w:val="-2"/>
                <w:sz w:val="20"/>
                <w:szCs w:val="20"/>
              </w:rPr>
              <w:t>其中：暂</w:t>
            </w:r>
          </w:p>
          <w:p w14:paraId="60F4229B">
            <w:pPr>
              <w:pStyle w:val="6"/>
              <w:spacing w:before="19" w:line="215" w:lineRule="auto"/>
              <w:ind w:left="258"/>
              <w:rPr>
                <w:sz w:val="20"/>
                <w:szCs w:val="20"/>
              </w:rPr>
            </w:pPr>
            <w:r>
              <w:rPr>
                <w:spacing w:val="-2"/>
                <w:sz w:val="20"/>
                <w:szCs w:val="20"/>
              </w:rPr>
              <w:t>估价</w:t>
            </w:r>
          </w:p>
        </w:tc>
      </w:tr>
      <w:tr w14:paraId="670D85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0" w:hRule="atLeast"/>
        </w:trPr>
        <w:tc>
          <w:tcPr>
            <w:tcW w:w="644" w:type="dxa"/>
            <w:vAlign w:val="top"/>
          </w:tcPr>
          <w:p w14:paraId="6BD7D4C4">
            <w:pPr>
              <w:rPr>
                <w:rFonts w:ascii="Arial"/>
                <w:sz w:val="21"/>
              </w:rPr>
            </w:pPr>
          </w:p>
        </w:tc>
        <w:tc>
          <w:tcPr>
            <w:tcW w:w="1039" w:type="dxa"/>
            <w:vAlign w:val="top"/>
          </w:tcPr>
          <w:p w14:paraId="484F256D">
            <w:pPr>
              <w:rPr>
                <w:rFonts w:ascii="Arial"/>
                <w:sz w:val="21"/>
              </w:rPr>
            </w:pPr>
          </w:p>
        </w:tc>
        <w:tc>
          <w:tcPr>
            <w:tcW w:w="1029" w:type="dxa"/>
            <w:vAlign w:val="top"/>
          </w:tcPr>
          <w:p w14:paraId="1F85D223">
            <w:pPr>
              <w:rPr>
                <w:rFonts w:ascii="Arial"/>
                <w:sz w:val="21"/>
              </w:rPr>
            </w:pPr>
          </w:p>
        </w:tc>
        <w:tc>
          <w:tcPr>
            <w:tcW w:w="1458" w:type="dxa"/>
            <w:vAlign w:val="top"/>
          </w:tcPr>
          <w:p w14:paraId="0D8B5603">
            <w:pPr>
              <w:rPr>
                <w:rFonts w:ascii="Arial"/>
                <w:sz w:val="21"/>
              </w:rPr>
            </w:pPr>
          </w:p>
        </w:tc>
        <w:tc>
          <w:tcPr>
            <w:tcW w:w="1019" w:type="dxa"/>
            <w:vAlign w:val="top"/>
          </w:tcPr>
          <w:p w14:paraId="21EFE907">
            <w:pPr>
              <w:rPr>
                <w:rFonts w:ascii="Arial"/>
                <w:sz w:val="21"/>
              </w:rPr>
            </w:pPr>
          </w:p>
        </w:tc>
        <w:tc>
          <w:tcPr>
            <w:tcW w:w="839" w:type="dxa"/>
            <w:vAlign w:val="top"/>
          </w:tcPr>
          <w:p w14:paraId="42EA1242">
            <w:pPr>
              <w:rPr>
                <w:rFonts w:ascii="Arial"/>
                <w:sz w:val="21"/>
              </w:rPr>
            </w:pPr>
          </w:p>
        </w:tc>
        <w:tc>
          <w:tcPr>
            <w:tcW w:w="769" w:type="dxa"/>
            <w:vAlign w:val="top"/>
          </w:tcPr>
          <w:p w14:paraId="5201512B">
            <w:pPr>
              <w:rPr>
                <w:rFonts w:ascii="Arial"/>
                <w:sz w:val="21"/>
              </w:rPr>
            </w:pPr>
          </w:p>
        </w:tc>
        <w:tc>
          <w:tcPr>
            <w:tcW w:w="739" w:type="dxa"/>
            <w:vAlign w:val="top"/>
          </w:tcPr>
          <w:p w14:paraId="4FC3AEDB">
            <w:pPr>
              <w:rPr>
                <w:rFonts w:ascii="Arial"/>
                <w:sz w:val="21"/>
              </w:rPr>
            </w:pPr>
          </w:p>
        </w:tc>
        <w:tc>
          <w:tcPr>
            <w:tcW w:w="934" w:type="dxa"/>
            <w:vAlign w:val="top"/>
          </w:tcPr>
          <w:p w14:paraId="2006C8EC">
            <w:pPr>
              <w:rPr>
                <w:rFonts w:ascii="Arial"/>
                <w:sz w:val="21"/>
              </w:rPr>
            </w:pPr>
          </w:p>
        </w:tc>
      </w:tr>
      <w:tr w14:paraId="434A9E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trPr>
        <w:tc>
          <w:tcPr>
            <w:tcW w:w="644" w:type="dxa"/>
            <w:vAlign w:val="top"/>
          </w:tcPr>
          <w:p w14:paraId="30280A8F">
            <w:pPr>
              <w:rPr>
                <w:rFonts w:ascii="Arial"/>
                <w:sz w:val="21"/>
              </w:rPr>
            </w:pPr>
          </w:p>
        </w:tc>
        <w:tc>
          <w:tcPr>
            <w:tcW w:w="1039" w:type="dxa"/>
            <w:vAlign w:val="top"/>
          </w:tcPr>
          <w:p w14:paraId="27E06765">
            <w:pPr>
              <w:rPr>
                <w:rFonts w:ascii="Arial"/>
                <w:sz w:val="21"/>
              </w:rPr>
            </w:pPr>
          </w:p>
        </w:tc>
        <w:tc>
          <w:tcPr>
            <w:tcW w:w="1029" w:type="dxa"/>
            <w:vAlign w:val="top"/>
          </w:tcPr>
          <w:p w14:paraId="5D777D85">
            <w:pPr>
              <w:rPr>
                <w:rFonts w:ascii="Arial"/>
                <w:sz w:val="21"/>
              </w:rPr>
            </w:pPr>
          </w:p>
        </w:tc>
        <w:tc>
          <w:tcPr>
            <w:tcW w:w="1458" w:type="dxa"/>
            <w:vAlign w:val="top"/>
          </w:tcPr>
          <w:p w14:paraId="76F53B5D">
            <w:pPr>
              <w:rPr>
                <w:rFonts w:ascii="Arial"/>
                <w:sz w:val="21"/>
              </w:rPr>
            </w:pPr>
          </w:p>
        </w:tc>
        <w:tc>
          <w:tcPr>
            <w:tcW w:w="1019" w:type="dxa"/>
            <w:vAlign w:val="top"/>
          </w:tcPr>
          <w:p w14:paraId="65557F71">
            <w:pPr>
              <w:rPr>
                <w:rFonts w:ascii="Arial"/>
                <w:sz w:val="21"/>
              </w:rPr>
            </w:pPr>
          </w:p>
        </w:tc>
        <w:tc>
          <w:tcPr>
            <w:tcW w:w="839" w:type="dxa"/>
            <w:vAlign w:val="top"/>
          </w:tcPr>
          <w:p w14:paraId="4730931A">
            <w:pPr>
              <w:rPr>
                <w:rFonts w:ascii="Arial"/>
                <w:sz w:val="21"/>
              </w:rPr>
            </w:pPr>
          </w:p>
        </w:tc>
        <w:tc>
          <w:tcPr>
            <w:tcW w:w="769" w:type="dxa"/>
            <w:vAlign w:val="top"/>
          </w:tcPr>
          <w:p w14:paraId="24B74932">
            <w:pPr>
              <w:rPr>
                <w:rFonts w:ascii="Arial"/>
                <w:sz w:val="21"/>
              </w:rPr>
            </w:pPr>
          </w:p>
        </w:tc>
        <w:tc>
          <w:tcPr>
            <w:tcW w:w="739" w:type="dxa"/>
            <w:vAlign w:val="top"/>
          </w:tcPr>
          <w:p w14:paraId="4483C050">
            <w:pPr>
              <w:rPr>
                <w:rFonts w:ascii="Arial"/>
                <w:sz w:val="21"/>
              </w:rPr>
            </w:pPr>
          </w:p>
        </w:tc>
        <w:tc>
          <w:tcPr>
            <w:tcW w:w="934" w:type="dxa"/>
            <w:vAlign w:val="top"/>
          </w:tcPr>
          <w:p w14:paraId="30C315C0">
            <w:pPr>
              <w:rPr>
                <w:rFonts w:ascii="Arial"/>
                <w:sz w:val="21"/>
              </w:rPr>
            </w:pPr>
          </w:p>
        </w:tc>
      </w:tr>
      <w:tr w14:paraId="2B2B98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0" w:hRule="atLeast"/>
        </w:trPr>
        <w:tc>
          <w:tcPr>
            <w:tcW w:w="644" w:type="dxa"/>
            <w:vAlign w:val="top"/>
          </w:tcPr>
          <w:p w14:paraId="4A852E6A">
            <w:pPr>
              <w:rPr>
                <w:rFonts w:ascii="Arial"/>
                <w:sz w:val="21"/>
              </w:rPr>
            </w:pPr>
          </w:p>
        </w:tc>
        <w:tc>
          <w:tcPr>
            <w:tcW w:w="1039" w:type="dxa"/>
            <w:vAlign w:val="top"/>
          </w:tcPr>
          <w:p w14:paraId="299820F1">
            <w:pPr>
              <w:rPr>
                <w:rFonts w:ascii="Arial"/>
                <w:sz w:val="21"/>
              </w:rPr>
            </w:pPr>
          </w:p>
        </w:tc>
        <w:tc>
          <w:tcPr>
            <w:tcW w:w="1029" w:type="dxa"/>
            <w:vAlign w:val="top"/>
          </w:tcPr>
          <w:p w14:paraId="3A346F30">
            <w:pPr>
              <w:rPr>
                <w:rFonts w:ascii="Arial"/>
                <w:sz w:val="21"/>
              </w:rPr>
            </w:pPr>
          </w:p>
        </w:tc>
        <w:tc>
          <w:tcPr>
            <w:tcW w:w="1458" w:type="dxa"/>
            <w:vAlign w:val="top"/>
          </w:tcPr>
          <w:p w14:paraId="314EB0EA">
            <w:pPr>
              <w:rPr>
                <w:rFonts w:ascii="Arial"/>
                <w:sz w:val="21"/>
              </w:rPr>
            </w:pPr>
          </w:p>
        </w:tc>
        <w:tc>
          <w:tcPr>
            <w:tcW w:w="1019" w:type="dxa"/>
            <w:vAlign w:val="top"/>
          </w:tcPr>
          <w:p w14:paraId="031B3E14">
            <w:pPr>
              <w:rPr>
                <w:rFonts w:ascii="Arial"/>
                <w:sz w:val="21"/>
              </w:rPr>
            </w:pPr>
          </w:p>
        </w:tc>
        <w:tc>
          <w:tcPr>
            <w:tcW w:w="839" w:type="dxa"/>
            <w:vAlign w:val="top"/>
          </w:tcPr>
          <w:p w14:paraId="4C6E69EB">
            <w:pPr>
              <w:rPr>
                <w:rFonts w:ascii="Arial"/>
                <w:sz w:val="21"/>
              </w:rPr>
            </w:pPr>
          </w:p>
        </w:tc>
        <w:tc>
          <w:tcPr>
            <w:tcW w:w="769" w:type="dxa"/>
            <w:vAlign w:val="top"/>
          </w:tcPr>
          <w:p w14:paraId="2A191F16">
            <w:pPr>
              <w:rPr>
                <w:rFonts w:ascii="Arial"/>
                <w:sz w:val="21"/>
              </w:rPr>
            </w:pPr>
          </w:p>
        </w:tc>
        <w:tc>
          <w:tcPr>
            <w:tcW w:w="739" w:type="dxa"/>
            <w:vAlign w:val="top"/>
          </w:tcPr>
          <w:p w14:paraId="19B1EF36">
            <w:pPr>
              <w:rPr>
                <w:rFonts w:ascii="Arial"/>
                <w:sz w:val="21"/>
              </w:rPr>
            </w:pPr>
          </w:p>
        </w:tc>
        <w:tc>
          <w:tcPr>
            <w:tcW w:w="934" w:type="dxa"/>
            <w:vAlign w:val="top"/>
          </w:tcPr>
          <w:p w14:paraId="11C6ABEE">
            <w:pPr>
              <w:rPr>
                <w:rFonts w:ascii="Arial"/>
                <w:sz w:val="21"/>
              </w:rPr>
            </w:pPr>
          </w:p>
        </w:tc>
      </w:tr>
      <w:tr w14:paraId="6605E2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644" w:type="dxa"/>
            <w:vAlign w:val="top"/>
          </w:tcPr>
          <w:p w14:paraId="158D44E4">
            <w:pPr>
              <w:rPr>
                <w:rFonts w:ascii="Arial"/>
                <w:sz w:val="21"/>
              </w:rPr>
            </w:pPr>
          </w:p>
        </w:tc>
        <w:tc>
          <w:tcPr>
            <w:tcW w:w="1039" w:type="dxa"/>
            <w:vAlign w:val="top"/>
          </w:tcPr>
          <w:p w14:paraId="0EC25322">
            <w:pPr>
              <w:rPr>
                <w:rFonts w:ascii="Arial"/>
                <w:sz w:val="21"/>
              </w:rPr>
            </w:pPr>
          </w:p>
        </w:tc>
        <w:tc>
          <w:tcPr>
            <w:tcW w:w="1029" w:type="dxa"/>
            <w:vAlign w:val="top"/>
          </w:tcPr>
          <w:p w14:paraId="495722A2">
            <w:pPr>
              <w:rPr>
                <w:rFonts w:ascii="Arial"/>
                <w:sz w:val="21"/>
              </w:rPr>
            </w:pPr>
          </w:p>
        </w:tc>
        <w:tc>
          <w:tcPr>
            <w:tcW w:w="1458" w:type="dxa"/>
            <w:vAlign w:val="top"/>
          </w:tcPr>
          <w:p w14:paraId="2FF4D030">
            <w:pPr>
              <w:rPr>
                <w:rFonts w:ascii="Arial"/>
                <w:sz w:val="21"/>
              </w:rPr>
            </w:pPr>
          </w:p>
        </w:tc>
        <w:tc>
          <w:tcPr>
            <w:tcW w:w="1019" w:type="dxa"/>
            <w:vAlign w:val="top"/>
          </w:tcPr>
          <w:p w14:paraId="700BF5E8">
            <w:pPr>
              <w:rPr>
                <w:rFonts w:ascii="Arial"/>
                <w:sz w:val="21"/>
              </w:rPr>
            </w:pPr>
          </w:p>
        </w:tc>
        <w:tc>
          <w:tcPr>
            <w:tcW w:w="839" w:type="dxa"/>
            <w:vAlign w:val="top"/>
          </w:tcPr>
          <w:p w14:paraId="1A478A1A">
            <w:pPr>
              <w:rPr>
                <w:rFonts w:ascii="Arial"/>
                <w:sz w:val="21"/>
              </w:rPr>
            </w:pPr>
          </w:p>
        </w:tc>
        <w:tc>
          <w:tcPr>
            <w:tcW w:w="769" w:type="dxa"/>
            <w:vAlign w:val="top"/>
          </w:tcPr>
          <w:p w14:paraId="5494494C">
            <w:pPr>
              <w:rPr>
                <w:rFonts w:ascii="Arial"/>
                <w:sz w:val="21"/>
              </w:rPr>
            </w:pPr>
          </w:p>
        </w:tc>
        <w:tc>
          <w:tcPr>
            <w:tcW w:w="739" w:type="dxa"/>
            <w:vAlign w:val="top"/>
          </w:tcPr>
          <w:p w14:paraId="739C1F5A">
            <w:pPr>
              <w:rPr>
                <w:rFonts w:ascii="Arial"/>
                <w:sz w:val="21"/>
              </w:rPr>
            </w:pPr>
          </w:p>
        </w:tc>
        <w:tc>
          <w:tcPr>
            <w:tcW w:w="934" w:type="dxa"/>
            <w:vAlign w:val="top"/>
          </w:tcPr>
          <w:p w14:paraId="05DEE524">
            <w:pPr>
              <w:rPr>
                <w:rFonts w:ascii="Arial"/>
                <w:sz w:val="21"/>
              </w:rPr>
            </w:pPr>
          </w:p>
        </w:tc>
      </w:tr>
      <w:tr w14:paraId="39BC94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644" w:type="dxa"/>
            <w:vAlign w:val="top"/>
          </w:tcPr>
          <w:p w14:paraId="55EC6020">
            <w:pPr>
              <w:rPr>
                <w:rFonts w:ascii="Arial"/>
                <w:sz w:val="21"/>
              </w:rPr>
            </w:pPr>
          </w:p>
        </w:tc>
        <w:tc>
          <w:tcPr>
            <w:tcW w:w="1039" w:type="dxa"/>
            <w:vAlign w:val="top"/>
          </w:tcPr>
          <w:p w14:paraId="27F165C6">
            <w:pPr>
              <w:rPr>
                <w:rFonts w:ascii="Arial"/>
                <w:sz w:val="21"/>
              </w:rPr>
            </w:pPr>
          </w:p>
        </w:tc>
        <w:tc>
          <w:tcPr>
            <w:tcW w:w="1029" w:type="dxa"/>
            <w:vAlign w:val="top"/>
          </w:tcPr>
          <w:p w14:paraId="26F62A76">
            <w:pPr>
              <w:rPr>
                <w:rFonts w:ascii="Arial"/>
                <w:sz w:val="21"/>
              </w:rPr>
            </w:pPr>
          </w:p>
        </w:tc>
        <w:tc>
          <w:tcPr>
            <w:tcW w:w="1458" w:type="dxa"/>
            <w:vAlign w:val="top"/>
          </w:tcPr>
          <w:p w14:paraId="2F81024B">
            <w:pPr>
              <w:rPr>
                <w:rFonts w:ascii="Arial"/>
                <w:sz w:val="21"/>
              </w:rPr>
            </w:pPr>
          </w:p>
        </w:tc>
        <w:tc>
          <w:tcPr>
            <w:tcW w:w="1019" w:type="dxa"/>
            <w:vAlign w:val="top"/>
          </w:tcPr>
          <w:p w14:paraId="6BD102A7">
            <w:pPr>
              <w:rPr>
                <w:rFonts w:ascii="Arial"/>
                <w:sz w:val="21"/>
              </w:rPr>
            </w:pPr>
          </w:p>
        </w:tc>
        <w:tc>
          <w:tcPr>
            <w:tcW w:w="839" w:type="dxa"/>
            <w:vAlign w:val="top"/>
          </w:tcPr>
          <w:p w14:paraId="79CFC003">
            <w:pPr>
              <w:rPr>
                <w:rFonts w:ascii="Arial"/>
                <w:sz w:val="21"/>
              </w:rPr>
            </w:pPr>
          </w:p>
        </w:tc>
        <w:tc>
          <w:tcPr>
            <w:tcW w:w="769" w:type="dxa"/>
            <w:vAlign w:val="top"/>
          </w:tcPr>
          <w:p w14:paraId="02AE1EBE">
            <w:pPr>
              <w:rPr>
                <w:rFonts w:ascii="Arial"/>
                <w:sz w:val="21"/>
              </w:rPr>
            </w:pPr>
          </w:p>
        </w:tc>
        <w:tc>
          <w:tcPr>
            <w:tcW w:w="739" w:type="dxa"/>
            <w:vAlign w:val="top"/>
          </w:tcPr>
          <w:p w14:paraId="747B1BF1">
            <w:pPr>
              <w:rPr>
                <w:rFonts w:ascii="Arial"/>
                <w:sz w:val="21"/>
              </w:rPr>
            </w:pPr>
          </w:p>
        </w:tc>
        <w:tc>
          <w:tcPr>
            <w:tcW w:w="934" w:type="dxa"/>
            <w:vAlign w:val="top"/>
          </w:tcPr>
          <w:p w14:paraId="67585D0D">
            <w:pPr>
              <w:rPr>
                <w:rFonts w:ascii="Arial"/>
                <w:sz w:val="21"/>
              </w:rPr>
            </w:pPr>
          </w:p>
        </w:tc>
      </w:tr>
      <w:tr w14:paraId="663C22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644" w:type="dxa"/>
            <w:vAlign w:val="top"/>
          </w:tcPr>
          <w:p w14:paraId="55492565">
            <w:pPr>
              <w:rPr>
                <w:rFonts w:ascii="Arial"/>
                <w:sz w:val="21"/>
              </w:rPr>
            </w:pPr>
          </w:p>
        </w:tc>
        <w:tc>
          <w:tcPr>
            <w:tcW w:w="1039" w:type="dxa"/>
            <w:vAlign w:val="top"/>
          </w:tcPr>
          <w:p w14:paraId="7F9864A7">
            <w:pPr>
              <w:rPr>
                <w:rFonts w:ascii="Arial"/>
                <w:sz w:val="21"/>
              </w:rPr>
            </w:pPr>
          </w:p>
        </w:tc>
        <w:tc>
          <w:tcPr>
            <w:tcW w:w="1029" w:type="dxa"/>
            <w:vAlign w:val="top"/>
          </w:tcPr>
          <w:p w14:paraId="5ED476CC">
            <w:pPr>
              <w:rPr>
                <w:rFonts w:ascii="Arial"/>
                <w:sz w:val="21"/>
              </w:rPr>
            </w:pPr>
          </w:p>
        </w:tc>
        <w:tc>
          <w:tcPr>
            <w:tcW w:w="1458" w:type="dxa"/>
            <w:vAlign w:val="top"/>
          </w:tcPr>
          <w:p w14:paraId="51E23C29">
            <w:pPr>
              <w:rPr>
                <w:rFonts w:ascii="Arial"/>
                <w:sz w:val="21"/>
              </w:rPr>
            </w:pPr>
          </w:p>
        </w:tc>
        <w:tc>
          <w:tcPr>
            <w:tcW w:w="1019" w:type="dxa"/>
            <w:vAlign w:val="top"/>
          </w:tcPr>
          <w:p w14:paraId="153EE1F1">
            <w:pPr>
              <w:rPr>
                <w:rFonts w:ascii="Arial"/>
                <w:sz w:val="21"/>
              </w:rPr>
            </w:pPr>
          </w:p>
        </w:tc>
        <w:tc>
          <w:tcPr>
            <w:tcW w:w="839" w:type="dxa"/>
            <w:vAlign w:val="top"/>
          </w:tcPr>
          <w:p w14:paraId="1DC10881">
            <w:pPr>
              <w:rPr>
                <w:rFonts w:ascii="Arial"/>
                <w:sz w:val="21"/>
              </w:rPr>
            </w:pPr>
          </w:p>
        </w:tc>
        <w:tc>
          <w:tcPr>
            <w:tcW w:w="769" w:type="dxa"/>
            <w:vAlign w:val="top"/>
          </w:tcPr>
          <w:p w14:paraId="52394A34">
            <w:pPr>
              <w:rPr>
                <w:rFonts w:ascii="Arial"/>
                <w:sz w:val="21"/>
              </w:rPr>
            </w:pPr>
          </w:p>
        </w:tc>
        <w:tc>
          <w:tcPr>
            <w:tcW w:w="739" w:type="dxa"/>
            <w:vAlign w:val="top"/>
          </w:tcPr>
          <w:p w14:paraId="4E5F8D2A">
            <w:pPr>
              <w:rPr>
                <w:rFonts w:ascii="Arial"/>
                <w:sz w:val="21"/>
              </w:rPr>
            </w:pPr>
          </w:p>
        </w:tc>
        <w:tc>
          <w:tcPr>
            <w:tcW w:w="934" w:type="dxa"/>
            <w:vAlign w:val="top"/>
          </w:tcPr>
          <w:p w14:paraId="1F4A4026">
            <w:pPr>
              <w:rPr>
                <w:rFonts w:ascii="Arial"/>
                <w:sz w:val="21"/>
              </w:rPr>
            </w:pPr>
          </w:p>
        </w:tc>
      </w:tr>
      <w:tr w14:paraId="75CA90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644" w:type="dxa"/>
            <w:vAlign w:val="top"/>
          </w:tcPr>
          <w:p w14:paraId="1C8F4692">
            <w:pPr>
              <w:rPr>
                <w:rFonts w:ascii="Arial"/>
                <w:sz w:val="21"/>
              </w:rPr>
            </w:pPr>
          </w:p>
        </w:tc>
        <w:tc>
          <w:tcPr>
            <w:tcW w:w="1039" w:type="dxa"/>
            <w:vAlign w:val="top"/>
          </w:tcPr>
          <w:p w14:paraId="517DDD23">
            <w:pPr>
              <w:rPr>
                <w:rFonts w:ascii="Arial"/>
                <w:sz w:val="21"/>
              </w:rPr>
            </w:pPr>
          </w:p>
        </w:tc>
        <w:tc>
          <w:tcPr>
            <w:tcW w:w="1029" w:type="dxa"/>
            <w:vAlign w:val="top"/>
          </w:tcPr>
          <w:p w14:paraId="5C0E7CB3">
            <w:pPr>
              <w:rPr>
                <w:rFonts w:ascii="Arial"/>
                <w:sz w:val="21"/>
              </w:rPr>
            </w:pPr>
          </w:p>
        </w:tc>
        <w:tc>
          <w:tcPr>
            <w:tcW w:w="1458" w:type="dxa"/>
            <w:vAlign w:val="top"/>
          </w:tcPr>
          <w:p w14:paraId="3B9EDAE6">
            <w:pPr>
              <w:rPr>
                <w:rFonts w:ascii="Arial"/>
                <w:sz w:val="21"/>
              </w:rPr>
            </w:pPr>
          </w:p>
        </w:tc>
        <w:tc>
          <w:tcPr>
            <w:tcW w:w="1019" w:type="dxa"/>
            <w:vAlign w:val="top"/>
          </w:tcPr>
          <w:p w14:paraId="0731E011">
            <w:pPr>
              <w:rPr>
                <w:rFonts w:ascii="Arial"/>
                <w:sz w:val="21"/>
              </w:rPr>
            </w:pPr>
          </w:p>
        </w:tc>
        <w:tc>
          <w:tcPr>
            <w:tcW w:w="839" w:type="dxa"/>
            <w:vAlign w:val="top"/>
          </w:tcPr>
          <w:p w14:paraId="3C4A4998">
            <w:pPr>
              <w:rPr>
                <w:rFonts w:ascii="Arial"/>
                <w:sz w:val="21"/>
              </w:rPr>
            </w:pPr>
          </w:p>
        </w:tc>
        <w:tc>
          <w:tcPr>
            <w:tcW w:w="769" w:type="dxa"/>
            <w:vAlign w:val="top"/>
          </w:tcPr>
          <w:p w14:paraId="6AE90FAC">
            <w:pPr>
              <w:rPr>
                <w:rFonts w:ascii="Arial"/>
                <w:sz w:val="21"/>
              </w:rPr>
            </w:pPr>
          </w:p>
        </w:tc>
        <w:tc>
          <w:tcPr>
            <w:tcW w:w="739" w:type="dxa"/>
            <w:vAlign w:val="top"/>
          </w:tcPr>
          <w:p w14:paraId="43157575">
            <w:pPr>
              <w:rPr>
                <w:rFonts w:ascii="Arial"/>
                <w:sz w:val="21"/>
              </w:rPr>
            </w:pPr>
          </w:p>
        </w:tc>
        <w:tc>
          <w:tcPr>
            <w:tcW w:w="934" w:type="dxa"/>
            <w:vAlign w:val="top"/>
          </w:tcPr>
          <w:p w14:paraId="00BC1B76">
            <w:pPr>
              <w:rPr>
                <w:rFonts w:ascii="Arial"/>
                <w:sz w:val="21"/>
              </w:rPr>
            </w:pPr>
          </w:p>
        </w:tc>
      </w:tr>
      <w:tr w14:paraId="376EC1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644" w:type="dxa"/>
            <w:vAlign w:val="top"/>
          </w:tcPr>
          <w:p w14:paraId="7C80D01F">
            <w:pPr>
              <w:rPr>
                <w:rFonts w:ascii="Arial"/>
                <w:sz w:val="21"/>
              </w:rPr>
            </w:pPr>
          </w:p>
        </w:tc>
        <w:tc>
          <w:tcPr>
            <w:tcW w:w="1039" w:type="dxa"/>
            <w:vAlign w:val="top"/>
          </w:tcPr>
          <w:p w14:paraId="18B1F64A">
            <w:pPr>
              <w:rPr>
                <w:rFonts w:ascii="Arial"/>
                <w:sz w:val="21"/>
              </w:rPr>
            </w:pPr>
          </w:p>
        </w:tc>
        <w:tc>
          <w:tcPr>
            <w:tcW w:w="1029" w:type="dxa"/>
            <w:vAlign w:val="top"/>
          </w:tcPr>
          <w:p w14:paraId="139C59C5">
            <w:pPr>
              <w:rPr>
                <w:rFonts w:ascii="Arial"/>
                <w:sz w:val="21"/>
              </w:rPr>
            </w:pPr>
          </w:p>
        </w:tc>
        <w:tc>
          <w:tcPr>
            <w:tcW w:w="1458" w:type="dxa"/>
            <w:vAlign w:val="top"/>
          </w:tcPr>
          <w:p w14:paraId="5FB1E1DF">
            <w:pPr>
              <w:rPr>
                <w:rFonts w:ascii="Arial"/>
                <w:sz w:val="21"/>
              </w:rPr>
            </w:pPr>
          </w:p>
        </w:tc>
        <w:tc>
          <w:tcPr>
            <w:tcW w:w="1019" w:type="dxa"/>
            <w:vAlign w:val="top"/>
          </w:tcPr>
          <w:p w14:paraId="156903F3">
            <w:pPr>
              <w:rPr>
                <w:rFonts w:ascii="Arial"/>
                <w:sz w:val="21"/>
              </w:rPr>
            </w:pPr>
          </w:p>
        </w:tc>
        <w:tc>
          <w:tcPr>
            <w:tcW w:w="839" w:type="dxa"/>
            <w:vAlign w:val="top"/>
          </w:tcPr>
          <w:p w14:paraId="1B7EACF4">
            <w:pPr>
              <w:rPr>
                <w:rFonts w:ascii="Arial"/>
                <w:sz w:val="21"/>
              </w:rPr>
            </w:pPr>
          </w:p>
        </w:tc>
        <w:tc>
          <w:tcPr>
            <w:tcW w:w="769" w:type="dxa"/>
            <w:vAlign w:val="top"/>
          </w:tcPr>
          <w:p w14:paraId="14040651">
            <w:pPr>
              <w:rPr>
                <w:rFonts w:ascii="Arial"/>
                <w:sz w:val="21"/>
              </w:rPr>
            </w:pPr>
          </w:p>
        </w:tc>
        <w:tc>
          <w:tcPr>
            <w:tcW w:w="739" w:type="dxa"/>
            <w:vAlign w:val="top"/>
          </w:tcPr>
          <w:p w14:paraId="094B268F">
            <w:pPr>
              <w:rPr>
                <w:rFonts w:ascii="Arial"/>
                <w:sz w:val="21"/>
              </w:rPr>
            </w:pPr>
          </w:p>
        </w:tc>
        <w:tc>
          <w:tcPr>
            <w:tcW w:w="934" w:type="dxa"/>
            <w:vAlign w:val="top"/>
          </w:tcPr>
          <w:p w14:paraId="70879B50">
            <w:pPr>
              <w:rPr>
                <w:rFonts w:ascii="Arial"/>
                <w:sz w:val="21"/>
              </w:rPr>
            </w:pPr>
          </w:p>
        </w:tc>
      </w:tr>
      <w:tr w14:paraId="47CAEF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644" w:type="dxa"/>
            <w:vAlign w:val="top"/>
          </w:tcPr>
          <w:p w14:paraId="23839571">
            <w:pPr>
              <w:rPr>
                <w:rFonts w:ascii="Arial"/>
                <w:sz w:val="21"/>
              </w:rPr>
            </w:pPr>
          </w:p>
        </w:tc>
        <w:tc>
          <w:tcPr>
            <w:tcW w:w="1039" w:type="dxa"/>
            <w:vAlign w:val="top"/>
          </w:tcPr>
          <w:p w14:paraId="1FBB340C">
            <w:pPr>
              <w:rPr>
                <w:rFonts w:ascii="Arial"/>
                <w:sz w:val="21"/>
              </w:rPr>
            </w:pPr>
          </w:p>
        </w:tc>
        <w:tc>
          <w:tcPr>
            <w:tcW w:w="1029" w:type="dxa"/>
            <w:vAlign w:val="top"/>
          </w:tcPr>
          <w:p w14:paraId="2F348CFF">
            <w:pPr>
              <w:rPr>
                <w:rFonts w:ascii="Arial"/>
                <w:sz w:val="21"/>
              </w:rPr>
            </w:pPr>
          </w:p>
        </w:tc>
        <w:tc>
          <w:tcPr>
            <w:tcW w:w="1458" w:type="dxa"/>
            <w:vAlign w:val="top"/>
          </w:tcPr>
          <w:p w14:paraId="1E28D6AE">
            <w:pPr>
              <w:rPr>
                <w:rFonts w:ascii="Arial"/>
                <w:sz w:val="21"/>
              </w:rPr>
            </w:pPr>
          </w:p>
        </w:tc>
        <w:tc>
          <w:tcPr>
            <w:tcW w:w="1019" w:type="dxa"/>
            <w:vAlign w:val="top"/>
          </w:tcPr>
          <w:p w14:paraId="7452C787">
            <w:pPr>
              <w:rPr>
                <w:rFonts w:ascii="Arial"/>
                <w:sz w:val="21"/>
              </w:rPr>
            </w:pPr>
          </w:p>
        </w:tc>
        <w:tc>
          <w:tcPr>
            <w:tcW w:w="839" w:type="dxa"/>
            <w:vAlign w:val="top"/>
          </w:tcPr>
          <w:p w14:paraId="02BB32BE">
            <w:pPr>
              <w:rPr>
                <w:rFonts w:ascii="Arial"/>
                <w:sz w:val="21"/>
              </w:rPr>
            </w:pPr>
          </w:p>
        </w:tc>
        <w:tc>
          <w:tcPr>
            <w:tcW w:w="769" w:type="dxa"/>
            <w:vAlign w:val="top"/>
          </w:tcPr>
          <w:p w14:paraId="3F4271C4">
            <w:pPr>
              <w:rPr>
                <w:rFonts w:ascii="Arial"/>
                <w:sz w:val="21"/>
              </w:rPr>
            </w:pPr>
          </w:p>
        </w:tc>
        <w:tc>
          <w:tcPr>
            <w:tcW w:w="739" w:type="dxa"/>
            <w:vAlign w:val="top"/>
          </w:tcPr>
          <w:p w14:paraId="1D6C81CD">
            <w:pPr>
              <w:rPr>
                <w:rFonts w:ascii="Arial"/>
                <w:sz w:val="21"/>
              </w:rPr>
            </w:pPr>
          </w:p>
        </w:tc>
        <w:tc>
          <w:tcPr>
            <w:tcW w:w="934" w:type="dxa"/>
            <w:vAlign w:val="top"/>
          </w:tcPr>
          <w:p w14:paraId="654258A8">
            <w:pPr>
              <w:rPr>
                <w:rFonts w:ascii="Arial"/>
                <w:sz w:val="21"/>
              </w:rPr>
            </w:pPr>
          </w:p>
        </w:tc>
      </w:tr>
      <w:tr w14:paraId="5C07F3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9" w:hRule="atLeast"/>
        </w:trPr>
        <w:tc>
          <w:tcPr>
            <w:tcW w:w="644" w:type="dxa"/>
            <w:vAlign w:val="top"/>
          </w:tcPr>
          <w:p w14:paraId="38D27EDE">
            <w:pPr>
              <w:rPr>
                <w:rFonts w:ascii="Arial"/>
                <w:sz w:val="21"/>
              </w:rPr>
            </w:pPr>
          </w:p>
        </w:tc>
        <w:tc>
          <w:tcPr>
            <w:tcW w:w="1039" w:type="dxa"/>
            <w:vAlign w:val="top"/>
          </w:tcPr>
          <w:p w14:paraId="54F0A1EC">
            <w:pPr>
              <w:rPr>
                <w:rFonts w:ascii="Arial"/>
                <w:sz w:val="21"/>
              </w:rPr>
            </w:pPr>
          </w:p>
        </w:tc>
        <w:tc>
          <w:tcPr>
            <w:tcW w:w="1029" w:type="dxa"/>
            <w:vAlign w:val="top"/>
          </w:tcPr>
          <w:p w14:paraId="2C5E91F8">
            <w:pPr>
              <w:rPr>
                <w:rFonts w:ascii="Arial"/>
                <w:sz w:val="21"/>
              </w:rPr>
            </w:pPr>
          </w:p>
        </w:tc>
        <w:tc>
          <w:tcPr>
            <w:tcW w:w="1458" w:type="dxa"/>
            <w:vAlign w:val="top"/>
          </w:tcPr>
          <w:p w14:paraId="24108353">
            <w:pPr>
              <w:rPr>
                <w:rFonts w:ascii="Arial"/>
                <w:sz w:val="21"/>
              </w:rPr>
            </w:pPr>
          </w:p>
        </w:tc>
        <w:tc>
          <w:tcPr>
            <w:tcW w:w="1019" w:type="dxa"/>
            <w:vAlign w:val="top"/>
          </w:tcPr>
          <w:p w14:paraId="3767259D">
            <w:pPr>
              <w:rPr>
                <w:rFonts w:ascii="Arial"/>
                <w:sz w:val="21"/>
              </w:rPr>
            </w:pPr>
          </w:p>
        </w:tc>
        <w:tc>
          <w:tcPr>
            <w:tcW w:w="839" w:type="dxa"/>
            <w:vAlign w:val="top"/>
          </w:tcPr>
          <w:p w14:paraId="33BE6F2D">
            <w:pPr>
              <w:rPr>
                <w:rFonts w:ascii="Arial"/>
                <w:sz w:val="21"/>
              </w:rPr>
            </w:pPr>
          </w:p>
        </w:tc>
        <w:tc>
          <w:tcPr>
            <w:tcW w:w="769" w:type="dxa"/>
            <w:vAlign w:val="top"/>
          </w:tcPr>
          <w:p w14:paraId="20E4BCD5">
            <w:pPr>
              <w:rPr>
                <w:rFonts w:ascii="Arial"/>
                <w:sz w:val="21"/>
              </w:rPr>
            </w:pPr>
          </w:p>
        </w:tc>
        <w:tc>
          <w:tcPr>
            <w:tcW w:w="739" w:type="dxa"/>
            <w:vAlign w:val="top"/>
          </w:tcPr>
          <w:p w14:paraId="44B0270D">
            <w:pPr>
              <w:rPr>
                <w:rFonts w:ascii="Arial"/>
                <w:sz w:val="21"/>
              </w:rPr>
            </w:pPr>
          </w:p>
        </w:tc>
        <w:tc>
          <w:tcPr>
            <w:tcW w:w="934" w:type="dxa"/>
            <w:vAlign w:val="top"/>
          </w:tcPr>
          <w:p w14:paraId="293A1582">
            <w:pPr>
              <w:rPr>
                <w:rFonts w:ascii="Arial"/>
                <w:sz w:val="21"/>
              </w:rPr>
            </w:pPr>
          </w:p>
        </w:tc>
      </w:tr>
      <w:tr w14:paraId="196E39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0" w:hRule="atLeast"/>
        </w:trPr>
        <w:tc>
          <w:tcPr>
            <w:tcW w:w="644" w:type="dxa"/>
            <w:vAlign w:val="top"/>
          </w:tcPr>
          <w:p w14:paraId="476880CA">
            <w:pPr>
              <w:rPr>
                <w:rFonts w:ascii="Arial"/>
                <w:sz w:val="21"/>
              </w:rPr>
            </w:pPr>
          </w:p>
        </w:tc>
        <w:tc>
          <w:tcPr>
            <w:tcW w:w="1039" w:type="dxa"/>
            <w:vAlign w:val="top"/>
          </w:tcPr>
          <w:p w14:paraId="0A2D70D3">
            <w:pPr>
              <w:rPr>
                <w:rFonts w:ascii="Arial"/>
                <w:sz w:val="21"/>
              </w:rPr>
            </w:pPr>
          </w:p>
        </w:tc>
        <w:tc>
          <w:tcPr>
            <w:tcW w:w="1029" w:type="dxa"/>
            <w:vAlign w:val="top"/>
          </w:tcPr>
          <w:p w14:paraId="54420619">
            <w:pPr>
              <w:rPr>
                <w:rFonts w:ascii="Arial"/>
                <w:sz w:val="21"/>
              </w:rPr>
            </w:pPr>
          </w:p>
        </w:tc>
        <w:tc>
          <w:tcPr>
            <w:tcW w:w="1458" w:type="dxa"/>
            <w:vAlign w:val="top"/>
          </w:tcPr>
          <w:p w14:paraId="401EA99E">
            <w:pPr>
              <w:rPr>
                <w:rFonts w:ascii="Arial"/>
                <w:sz w:val="21"/>
              </w:rPr>
            </w:pPr>
          </w:p>
        </w:tc>
        <w:tc>
          <w:tcPr>
            <w:tcW w:w="1019" w:type="dxa"/>
            <w:vAlign w:val="top"/>
          </w:tcPr>
          <w:p w14:paraId="19E78A4E">
            <w:pPr>
              <w:rPr>
                <w:rFonts w:ascii="Arial"/>
                <w:sz w:val="21"/>
              </w:rPr>
            </w:pPr>
          </w:p>
        </w:tc>
        <w:tc>
          <w:tcPr>
            <w:tcW w:w="839" w:type="dxa"/>
            <w:vAlign w:val="top"/>
          </w:tcPr>
          <w:p w14:paraId="1389A627">
            <w:pPr>
              <w:rPr>
                <w:rFonts w:ascii="Arial"/>
                <w:sz w:val="21"/>
              </w:rPr>
            </w:pPr>
          </w:p>
        </w:tc>
        <w:tc>
          <w:tcPr>
            <w:tcW w:w="769" w:type="dxa"/>
            <w:vAlign w:val="top"/>
          </w:tcPr>
          <w:p w14:paraId="742B15F7">
            <w:pPr>
              <w:rPr>
                <w:rFonts w:ascii="Arial"/>
                <w:sz w:val="21"/>
              </w:rPr>
            </w:pPr>
          </w:p>
        </w:tc>
        <w:tc>
          <w:tcPr>
            <w:tcW w:w="739" w:type="dxa"/>
            <w:vAlign w:val="top"/>
          </w:tcPr>
          <w:p w14:paraId="78BED7B8">
            <w:pPr>
              <w:rPr>
                <w:rFonts w:ascii="Arial"/>
                <w:sz w:val="21"/>
              </w:rPr>
            </w:pPr>
          </w:p>
        </w:tc>
        <w:tc>
          <w:tcPr>
            <w:tcW w:w="934" w:type="dxa"/>
            <w:vAlign w:val="top"/>
          </w:tcPr>
          <w:p w14:paraId="4C715CC2">
            <w:pPr>
              <w:rPr>
                <w:rFonts w:ascii="Arial"/>
                <w:sz w:val="21"/>
              </w:rPr>
            </w:pPr>
          </w:p>
        </w:tc>
      </w:tr>
      <w:tr w14:paraId="69E02C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644" w:type="dxa"/>
            <w:vAlign w:val="top"/>
          </w:tcPr>
          <w:p w14:paraId="793AD49B">
            <w:pPr>
              <w:rPr>
                <w:rFonts w:ascii="Arial"/>
                <w:sz w:val="21"/>
              </w:rPr>
            </w:pPr>
          </w:p>
        </w:tc>
        <w:tc>
          <w:tcPr>
            <w:tcW w:w="1039" w:type="dxa"/>
            <w:vAlign w:val="top"/>
          </w:tcPr>
          <w:p w14:paraId="2D634C7C">
            <w:pPr>
              <w:rPr>
                <w:rFonts w:ascii="Arial"/>
                <w:sz w:val="21"/>
              </w:rPr>
            </w:pPr>
          </w:p>
        </w:tc>
        <w:tc>
          <w:tcPr>
            <w:tcW w:w="1029" w:type="dxa"/>
            <w:vAlign w:val="top"/>
          </w:tcPr>
          <w:p w14:paraId="7CCA395A">
            <w:pPr>
              <w:rPr>
                <w:rFonts w:ascii="Arial"/>
                <w:sz w:val="21"/>
              </w:rPr>
            </w:pPr>
          </w:p>
        </w:tc>
        <w:tc>
          <w:tcPr>
            <w:tcW w:w="1458" w:type="dxa"/>
            <w:vAlign w:val="top"/>
          </w:tcPr>
          <w:p w14:paraId="4F39B4C8">
            <w:pPr>
              <w:rPr>
                <w:rFonts w:ascii="Arial"/>
                <w:sz w:val="21"/>
              </w:rPr>
            </w:pPr>
          </w:p>
        </w:tc>
        <w:tc>
          <w:tcPr>
            <w:tcW w:w="1019" w:type="dxa"/>
            <w:vAlign w:val="top"/>
          </w:tcPr>
          <w:p w14:paraId="743A12F3">
            <w:pPr>
              <w:rPr>
                <w:rFonts w:ascii="Arial"/>
                <w:sz w:val="21"/>
              </w:rPr>
            </w:pPr>
          </w:p>
        </w:tc>
        <w:tc>
          <w:tcPr>
            <w:tcW w:w="839" w:type="dxa"/>
            <w:vAlign w:val="top"/>
          </w:tcPr>
          <w:p w14:paraId="563D1661">
            <w:pPr>
              <w:rPr>
                <w:rFonts w:ascii="Arial"/>
                <w:sz w:val="21"/>
              </w:rPr>
            </w:pPr>
          </w:p>
        </w:tc>
        <w:tc>
          <w:tcPr>
            <w:tcW w:w="769" w:type="dxa"/>
            <w:vAlign w:val="top"/>
          </w:tcPr>
          <w:p w14:paraId="256625C1">
            <w:pPr>
              <w:rPr>
                <w:rFonts w:ascii="Arial"/>
                <w:sz w:val="21"/>
              </w:rPr>
            </w:pPr>
          </w:p>
        </w:tc>
        <w:tc>
          <w:tcPr>
            <w:tcW w:w="739" w:type="dxa"/>
            <w:vAlign w:val="top"/>
          </w:tcPr>
          <w:p w14:paraId="636CA06A">
            <w:pPr>
              <w:rPr>
                <w:rFonts w:ascii="Arial"/>
                <w:sz w:val="21"/>
              </w:rPr>
            </w:pPr>
          </w:p>
        </w:tc>
        <w:tc>
          <w:tcPr>
            <w:tcW w:w="934" w:type="dxa"/>
            <w:vAlign w:val="top"/>
          </w:tcPr>
          <w:p w14:paraId="70E81247">
            <w:pPr>
              <w:rPr>
                <w:rFonts w:ascii="Arial"/>
                <w:sz w:val="21"/>
              </w:rPr>
            </w:pPr>
          </w:p>
        </w:tc>
      </w:tr>
      <w:tr w14:paraId="50FC98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9" w:hRule="atLeast"/>
        </w:trPr>
        <w:tc>
          <w:tcPr>
            <w:tcW w:w="644" w:type="dxa"/>
            <w:vAlign w:val="top"/>
          </w:tcPr>
          <w:p w14:paraId="1D44C370">
            <w:pPr>
              <w:rPr>
                <w:rFonts w:ascii="Arial"/>
                <w:sz w:val="21"/>
              </w:rPr>
            </w:pPr>
          </w:p>
        </w:tc>
        <w:tc>
          <w:tcPr>
            <w:tcW w:w="1039" w:type="dxa"/>
            <w:vAlign w:val="top"/>
          </w:tcPr>
          <w:p w14:paraId="2D295A56">
            <w:pPr>
              <w:rPr>
                <w:rFonts w:ascii="Arial"/>
                <w:sz w:val="21"/>
              </w:rPr>
            </w:pPr>
          </w:p>
        </w:tc>
        <w:tc>
          <w:tcPr>
            <w:tcW w:w="1029" w:type="dxa"/>
            <w:vAlign w:val="top"/>
          </w:tcPr>
          <w:p w14:paraId="16014C8E">
            <w:pPr>
              <w:rPr>
                <w:rFonts w:ascii="Arial"/>
                <w:sz w:val="21"/>
              </w:rPr>
            </w:pPr>
          </w:p>
        </w:tc>
        <w:tc>
          <w:tcPr>
            <w:tcW w:w="1458" w:type="dxa"/>
            <w:vAlign w:val="top"/>
          </w:tcPr>
          <w:p w14:paraId="793EADE5">
            <w:pPr>
              <w:rPr>
                <w:rFonts w:ascii="Arial"/>
                <w:sz w:val="21"/>
              </w:rPr>
            </w:pPr>
          </w:p>
        </w:tc>
        <w:tc>
          <w:tcPr>
            <w:tcW w:w="1019" w:type="dxa"/>
            <w:vAlign w:val="top"/>
          </w:tcPr>
          <w:p w14:paraId="1B0F7B5C">
            <w:pPr>
              <w:rPr>
                <w:rFonts w:ascii="Arial"/>
                <w:sz w:val="21"/>
              </w:rPr>
            </w:pPr>
          </w:p>
        </w:tc>
        <w:tc>
          <w:tcPr>
            <w:tcW w:w="839" w:type="dxa"/>
            <w:vAlign w:val="top"/>
          </w:tcPr>
          <w:p w14:paraId="627C8AFE">
            <w:pPr>
              <w:rPr>
                <w:rFonts w:ascii="Arial"/>
                <w:sz w:val="21"/>
              </w:rPr>
            </w:pPr>
          </w:p>
        </w:tc>
        <w:tc>
          <w:tcPr>
            <w:tcW w:w="769" w:type="dxa"/>
            <w:vAlign w:val="top"/>
          </w:tcPr>
          <w:p w14:paraId="0278D734">
            <w:pPr>
              <w:rPr>
                <w:rFonts w:ascii="Arial"/>
                <w:sz w:val="21"/>
              </w:rPr>
            </w:pPr>
          </w:p>
        </w:tc>
        <w:tc>
          <w:tcPr>
            <w:tcW w:w="739" w:type="dxa"/>
            <w:vAlign w:val="top"/>
          </w:tcPr>
          <w:p w14:paraId="3D7B0AED">
            <w:pPr>
              <w:rPr>
                <w:rFonts w:ascii="Arial"/>
                <w:sz w:val="21"/>
              </w:rPr>
            </w:pPr>
          </w:p>
        </w:tc>
        <w:tc>
          <w:tcPr>
            <w:tcW w:w="934" w:type="dxa"/>
            <w:vAlign w:val="top"/>
          </w:tcPr>
          <w:p w14:paraId="2329E0F8">
            <w:pPr>
              <w:rPr>
                <w:rFonts w:ascii="Arial"/>
                <w:sz w:val="21"/>
              </w:rPr>
            </w:pPr>
          </w:p>
        </w:tc>
      </w:tr>
      <w:tr w14:paraId="42BBA5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644" w:type="dxa"/>
            <w:vAlign w:val="top"/>
          </w:tcPr>
          <w:p w14:paraId="5932603D">
            <w:pPr>
              <w:rPr>
                <w:rFonts w:ascii="Arial"/>
                <w:sz w:val="21"/>
              </w:rPr>
            </w:pPr>
          </w:p>
        </w:tc>
        <w:tc>
          <w:tcPr>
            <w:tcW w:w="1039" w:type="dxa"/>
            <w:vAlign w:val="top"/>
          </w:tcPr>
          <w:p w14:paraId="47B66618">
            <w:pPr>
              <w:rPr>
                <w:rFonts w:ascii="Arial"/>
                <w:sz w:val="21"/>
              </w:rPr>
            </w:pPr>
          </w:p>
        </w:tc>
        <w:tc>
          <w:tcPr>
            <w:tcW w:w="1029" w:type="dxa"/>
            <w:vAlign w:val="top"/>
          </w:tcPr>
          <w:p w14:paraId="0E5B28E0">
            <w:pPr>
              <w:rPr>
                <w:rFonts w:ascii="Arial"/>
                <w:sz w:val="21"/>
              </w:rPr>
            </w:pPr>
          </w:p>
        </w:tc>
        <w:tc>
          <w:tcPr>
            <w:tcW w:w="1458" w:type="dxa"/>
            <w:vAlign w:val="top"/>
          </w:tcPr>
          <w:p w14:paraId="4E699674">
            <w:pPr>
              <w:rPr>
                <w:rFonts w:ascii="Arial"/>
                <w:sz w:val="21"/>
              </w:rPr>
            </w:pPr>
          </w:p>
        </w:tc>
        <w:tc>
          <w:tcPr>
            <w:tcW w:w="1019" w:type="dxa"/>
            <w:vAlign w:val="top"/>
          </w:tcPr>
          <w:p w14:paraId="7EF865C5">
            <w:pPr>
              <w:rPr>
                <w:rFonts w:ascii="Arial"/>
                <w:sz w:val="21"/>
              </w:rPr>
            </w:pPr>
          </w:p>
        </w:tc>
        <w:tc>
          <w:tcPr>
            <w:tcW w:w="839" w:type="dxa"/>
            <w:vAlign w:val="top"/>
          </w:tcPr>
          <w:p w14:paraId="1021D587">
            <w:pPr>
              <w:rPr>
                <w:rFonts w:ascii="Arial"/>
                <w:sz w:val="21"/>
              </w:rPr>
            </w:pPr>
          </w:p>
        </w:tc>
        <w:tc>
          <w:tcPr>
            <w:tcW w:w="769" w:type="dxa"/>
            <w:vAlign w:val="top"/>
          </w:tcPr>
          <w:p w14:paraId="3C748157">
            <w:pPr>
              <w:rPr>
                <w:rFonts w:ascii="Arial"/>
                <w:sz w:val="21"/>
              </w:rPr>
            </w:pPr>
          </w:p>
        </w:tc>
        <w:tc>
          <w:tcPr>
            <w:tcW w:w="739" w:type="dxa"/>
            <w:vAlign w:val="top"/>
          </w:tcPr>
          <w:p w14:paraId="456BA443">
            <w:pPr>
              <w:rPr>
                <w:rFonts w:ascii="Arial"/>
                <w:sz w:val="21"/>
              </w:rPr>
            </w:pPr>
          </w:p>
        </w:tc>
        <w:tc>
          <w:tcPr>
            <w:tcW w:w="934" w:type="dxa"/>
            <w:vAlign w:val="top"/>
          </w:tcPr>
          <w:p w14:paraId="63E26FB6">
            <w:pPr>
              <w:rPr>
                <w:rFonts w:ascii="Arial"/>
                <w:sz w:val="21"/>
              </w:rPr>
            </w:pPr>
          </w:p>
        </w:tc>
      </w:tr>
      <w:tr w14:paraId="36AAF6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0" w:hRule="atLeast"/>
        </w:trPr>
        <w:tc>
          <w:tcPr>
            <w:tcW w:w="644" w:type="dxa"/>
            <w:vAlign w:val="top"/>
          </w:tcPr>
          <w:p w14:paraId="20C1B6C6">
            <w:pPr>
              <w:rPr>
                <w:rFonts w:ascii="Arial"/>
                <w:sz w:val="21"/>
              </w:rPr>
            </w:pPr>
          </w:p>
        </w:tc>
        <w:tc>
          <w:tcPr>
            <w:tcW w:w="1039" w:type="dxa"/>
            <w:vAlign w:val="top"/>
          </w:tcPr>
          <w:p w14:paraId="552FD01F">
            <w:pPr>
              <w:rPr>
                <w:rFonts w:ascii="Arial"/>
                <w:sz w:val="21"/>
              </w:rPr>
            </w:pPr>
          </w:p>
        </w:tc>
        <w:tc>
          <w:tcPr>
            <w:tcW w:w="1029" w:type="dxa"/>
            <w:vAlign w:val="top"/>
          </w:tcPr>
          <w:p w14:paraId="3708EBB6">
            <w:pPr>
              <w:rPr>
                <w:rFonts w:ascii="Arial"/>
                <w:sz w:val="21"/>
              </w:rPr>
            </w:pPr>
          </w:p>
        </w:tc>
        <w:tc>
          <w:tcPr>
            <w:tcW w:w="1458" w:type="dxa"/>
            <w:vAlign w:val="top"/>
          </w:tcPr>
          <w:p w14:paraId="51DB548A">
            <w:pPr>
              <w:rPr>
                <w:rFonts w:ascii="Arial"/>
                <w:sz w:val="21"/>
              </w:rPr>
            </w:pPr>
          </w:p>
        </w:tc>
        <w:tc>
          <w:tcPr>
            <w:tcW w:w="1019" w:type="dxa"/>
            <w:vAlign w:val="top"/>
          </w:tcPr>
          <w:p w14:paraId="32954124">
            <w:pPr>
              <w:rPr>
                <w:rFonts w:ascii="Arial"/>
                <w:sz w:val="21"/>
              </w:rPr>
            </w:pPr>
          </w:p>
        </w:tc>
        <w:tc>
          <w:tcPr>
            <w:tcW w:w="839" w:type="dxa"/>
            <w:vAlign w:val="top"/>
          </w:tcPr>
          <w:p w14:paraId="57D4A361">
            <w:pPr>
              <w:rPr>
                <w:rFonts w:ascii="Arial"/>
                <w:sz w:val="21"/>
              </w:rPr>
            </w:pPr>
          </w:p>
        </w:tc>
        <w:tc>
          <w:tcPr>
            <w:tcW w:w="769" w:type="dxa"/>
            <w:vAlign w:val="top"/>
          </w:tcPr>
          <w:p w14:paraId="330ECFB1">
            <w:pPr>
              <w:rPr>
                <w:rFonts w:ascii="Arial"/>
                <w:sz w:val="21"/>
              </w:rPr>
            </w:pPr>
          </w:p>
        </w:tc>
        <w:tc>
          <w:tcPr>
            <w:tcW w:w="739" w:type="dxa"/>
            <w:vAlign w:val="top"/>
          </w:tcPr>
          <w:p w14:paraId="1BDD7F13">
            <w:pPr>
              <w:rPr>
                <w:rFonts w:ascii="Arial"/>
                <w:sz w:val="21"/>
              </w:rPr>
            </w:pPr>
          </w:p>
        </w:tc>
        <w:tc>
          <w:tcPr>
            <w:tcW w:w="934" w:type="dxa"/>
            <w:vAlign w:val="top"/>
          </w:tcPr>
          <w:p w14:paraId="3696F176">
            <w:pPr>
              <w:rPr>
                <w:rFonts w:ascii="Arial"/>
                <w:sz w:val="21"/>
              </w:rPr>
            </w:pPr>
          </w:p>
        </w:tc>
      </w:tr>
      <w:tr w14:paraId="580973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644" w:type="dxa"/>
            <w:vAlign w:val="top"/>
          </w:tcPr>
          <w:p w14:paraId="341AFC62">
            <w:pPr>
              <w:rPr>
                <w:rFonts w:ascii="Arial"/>
                <w:sz w:val="21"/>
              </w:rPr>
            </w:pPr>
          </w:p>
        </w:tc>
        <w:tc>
          <w:tcPr>
            <w:tcW w:w="1039" w:type="dxa"/>
            <w:vAlign w:val="top"/>
          </w:tcPr>
          <w:p w14:paraId="0FEC11DA">
            <w:pPr>
              <w:rPr>
                <w:rFonts w:ascii="Arial"/>
                <w:sz w:val="21"/>
              </w:rPr>
            </w:pPr>
          </w:p>
        </w:tc>
        <w:tc>
          <w:tcPr>
            <w:tcW w:w="1029" w:type="dxa"/>
            <w:vAlign w:val="top"/>
          </w:tcPr>
          <w:p w14:paraId="16F5BAF4">
            <w:pPr>
              <w:rPr>
                <w:rFonts w:ascii="Arial"/>
                <w:sz w:val="21"/>
              </w:rPr>
            </w:pPr>
          </w:p>
        </w:tc>
        <w:tc>
          <w:tcPr>
            <w:tcW w:w="1458" w:type="dxa"/>
            <w:vAlign w:val="top"/>
          </w:tcPr>
          <w:p w14:paraId="4B49B43A">
            <w:pPr>
              <w:rPr>
                <w:rFonts w:ascii="Arial"/>
                <w:sz w:val="21"/>
              </w:rPr>
            </w:pPr>
          </w:p>
        </w:tc>
        <w:tc>
          <w:tcPr>
            <w:tcW w:w="1019" w:type="dxa"/>
            <w:vAlign w:val="top"/>
          </w:tcPr>
          <w:p w14:paraId="7C918D08">
            <w:pPr>
              <w:rPr>
                <w:rFonts w:ascii="Arial"/>
                <w:sz w:val="21"/>
              </w:rPr>
            </w:pPr>
          </w:p>
        </w:tc>
        <w:tc>
          <w:tcPr>
            <w:tcW w:w="839" w:type="dxa"/>
            <w:vAlign w:val="top"/>
          </w:tcPr>
          <w:p w14:paraId="1591FFF9">
            <w:pPr>
              <w:rPr>
                <w:rFonts w:ascii="Arial"/>
                <w:sz w:val="21"/>
              </w:rPr>
            </w:pPr>
          </w:p>
        </w:tc>
        <w:tc>
          <w:tcPr>
            <w:tcW w:w="769" w:type="dxa"/>
            <w:vAlign w:val="top"/>
          </w:tcPr>
          <w:p w14:paraId="3E1C5901">
            <w:pPr>
              <w:rPr>
                <w:rFonts w:ascii="Arial"/>
                <w:sz w:val="21"/>
              </w:rPr>
            </w:pPr>
          </w:p>
        </w:tc>
        <w:tc>
          <w:tcPr>
            <w:tcW w:w="739" w:type="dxa"/>
            <w:vAlign w:val="top"/>
          </w:tcPr>
          <w:p w14:paraId="636162E5">
            <w:pPr>
              <w:rPr>
                <w:rFonts w:ascii="Arial"/>
                <w:sz w:val="21"/>
              </w:rPr>
            </w:pPr>
          </w:p>
        </w:tc>
        <w:tc>
          <w:tcPr>
            <w:tcW w:w="934" w:type="dxa"/>
            <w:vAlign w:val="top"/>
          </w:tcPr>
          <w:p w14:paraId="6E184242">
            <w:pPr>
              <w:rPr>
                <w:rFonts w:ascii="Arial"/>
                <w:sz w:val="21"/>
              </w:rPr>
            </w:pPr>
          </w:p>
        </w:tc>
      </w:tr>
      <w:tr w14:paraId="578430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0" w:hRule="atLeast"/>
        </w:trPr>
        <w:tc>
          <w:tcPr>
            <w:tcW w:w="6797" w:type="dxa"/>
            <w:gridSpan w:val="7"/>
            <w:vAlign w:val="top"/>
          </w:tcPr>
          <w:p w14:paraId="1C5D3FD4">
            <w:pPr>
              <w:pStyle w:val="6"/>
              <w:spacing w:before="157" w:line="219" w:lineRule="auto"/>
              <w:ind w:left="2995"/>
              <w:rPr>
                <w:sz w:val="20"/>
                <w:szCs w:val="20"/>
              </w:rPr>
            </w:pPr>
            <w:r>
              <w:rPr>
                <w:spacing w:val="-2"/>
                <w:sz w:val="20"/>
                <w:szCs w:val="20"/>
              </w:rPr>
              <w:t>本页小计</w:t>
            </w:r>
          </w:p>
        </w:tc>
        <w:tc>
          <w:tcPr>
            <w:tcW w:w="739" w:type="dxa"/>
            <w:vAlign w:val="top"/>
          </w:tcPr>
          <w:p w14:paraId="44C7FDE4">
            <w:pPr>
              <w:rPr>
                <w:rFonts w:ascii="Arial"/>
                <w:sz w:val="21"/>
              </w:rPr>
            </w:pPr>
          </w:p>
        </w:tc>
        <w:tc>
          <w:tcPr>
            <w:tcW w:w="934" w:type="dxa"/>
            <w:vAlign w:val="top"/>
          </w:tcPr>
          <w:p w14:paraId="08B29652">
            <w:pPr>
              <w:rPr>
                <w:rFonts w:ascii="Arial"/>
                <w:sz w:val="21"/>
              </w:rPr>
            </w:pPr>
          </w:p>
        </w:tc>
      </w:tr>
      <w:tr w14:paraId="74C1B3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5" w:hRule="atLeast"/>
        </w:trPr>
        <w:tc>
          <w:tcPr>
            <w:tcW w:w="6797" w:type="dxa"/>
            <w:gridSpan w:val="7"/>
            <w:vAlign w:val="top"/>
          </w:tcPr>
          <w:p w14:paraId="38349A02">
            <w:pPr>
              <w:pStyle w:val="6"/>
              <w:spacing w:before="149" w:line="221" w:lineRule="auto"/>
              <w:ind w:left="3144"/>
              <w:rPr>
                <w:sz w:val="20"/>
                <w:szCs w:val="20"/>
              </w:rPr>
            </w:pPr>
            <w:r>
              <w:rPr>
                <w:spacing w:val="-5"/>
                <w:sz w:val="20"/>
                <w:szCs w:val="20"/>
              </w:rPr>
              <w:t>合</w:t>
            </w:r>
            <w:r>
              <w:rPr>
                <w:spacing w:val="8"/>
                <w:sz w:val="20"/>
                <w:szCs w:val="20"/>
              </w:rPr>
              <w:t xml:space="preserve"> </w:t>
            </w:r>
            <w:r>
              <w:rPr>
                <w:spacing w:val="-5"/>
                <w:sz w:val="20"/>
                <w:szCs w:val="20"/>
              </w:rPr>
              <w:t>计</w:t>
            </w:r>
          </w:p>
        </w:tc>
        <w:tc>
          <w:tcPr>
            <w:tcW w:w="739" w:type="dxa"/>
            <w:vAlign w:val="top"/>
          </w:tcPr>
          <w:p w14:paraId="23653C80">
            <w:pPr>
              <w:rPr>
                <w:rFonts w:ascii="Arial"/>
                <w:sz w:val="21"/>
              </w:rPr>
            </w:pPr>
          </w:p>
        </w:tc>
        <w:tc>
          <w:tcPr>
            <w:tcW w:w="934" w:type="dxa"/>
            <w:vAlign w:val="top"/>
          </w:tcPr>
          <w:p w14:paraId="0E01D2BD">
            <w:pPr>
              <w:rPr>
                <w:rFonts w:ascii="Arial"/>
                <w:sz w:val="21"/>
              </w:rPr>
            </w:pPr>
          </w:p>
        </w:tc>
      </w:tr>
    </w:tbl>
    <w:p w14:paraId="27178C61">
      <w:pPr>
        <w:spacing w:line="358" w:lineRule="auto"/>
        <w:rPr>
          <w:rFonts w:ascii="Arial"/>
          <w:sz w:val="21"/>
        </w:rPr>
      </w:pPr>
    </w:p>
    <w:p w14:paraId="0F16E57E">
      <w:pPr>
        <w:pStyle w:val="2"/>
        <w:spacing w:before="62" w:line="219" w:lineRule="auto"/>
        <w:rPr>
          <w:sz w:val="19"/>
          <w:szCs w:val="19"/>
        </w:rPr>
      </w:pPr>
      <w:r>
        <w:rPr>
          <w:spacing w:val="1"/>
          <w:sz w:val="19"/>
          <w:szCs w:val="19"/>
        </w:rPr>
        <w:t>注：为计取规费等的使用，可在表中增设其中：“定额人工费”。</w:t>
      </w:r>
    </w:p>
    <w:p w14:paraId="467BF741">
      <w:pPr>
        <w:spacing w:line="219" w:lineRule="auto"/>
        <w:rPr>
          <w:sz w:val="19"/>
          <w:szCs w:val="19"/>
        </w:rPr>
        <w:sectPr>
          <w:footerReference r:id="rId304" w:type="default"/>
          <w:pgSz w:w="11910" w:h="16840"/>
          <w:pgMar w:top="400" w:right="1774" w:bottom="1024" w:left="1460" w:header="0" w:footer="889" w:gutter="0"/>
          <w:cols w:space="720" w:num="1"/>
        </w:sectPr>
      </w:pPr>
    </w:p>
    <w:p w14:paraId="7EB9A36A">
      <w:pPr>
        <w:spacing w:line="259" w:lineRule="auto"/>
        <w:rPr>
          <w:rFonts w:ascii="Arial"/>
          <w:sz w:val="21"/>
        </w:rPr>
      </w:pPr>
    </w:p>
    <w:p w14:paraId="540798ED">
      <w:pPr>
        <w:spacing w:line="259" w:lineRule="auto"/>
        <w:rPr>
          <w:rFonts w:ascii="Arial"/>
          <w:sz w:val="21"/>
        </w:rPr>
      </w:pPr>
    </w:p>
    <w:p w14:paraId="2C263DB3">
      <w:pPr>
        <w:spacing w:line="259" w:lineRule="auto"/>
        <w:rPr>
          <w:rFonts w:ascii="Arial"/>
          <w:sz w:val="21"/>
        </w:rPr>
      </w:pPr>
    </w:p>
    <w:p w14:paraId="1D46B5E3">
      <w:pPr>
        <w:spacing w:line="259" w:lineRule="auto"/>
        <w:rPr>
          <w:rFonts w:ascii="Arial"/>
          <w:sz w:val="21"/>
        </w:rPr>
      </w:pPr>
    </w:p>
    <w:p w14:paraId="42842291">
      <w:pPr>
        <w:spacing w:line="259" w:lineRule="auto"/>
        <w:rPr>
          <w:rFonts w:ascii="Arial"/>
          <w:sz w:val="21"/>
        </w:rPr>
      </w:pPr>
    </w:p>
    <w:p w14:paraId="55171C13">
      <w:pPr>
        <w:spacing w:before="82" w:line="222" w:lineRule="auto"/>
        <w:ind w:left="438"/>
        <w:outlineLvl w:val="2"/>
        <w:rPr>
          <w:rFonts w:ascii="黑体" w:hAnsi="黑体" w:eastAsia="黑体" w:cs="黑体"/>
          <w:sz w:val="25"/>
          <w:szCs w:val="25"/>
        </w:rPr>
      </w:pPr>
      <w:bookmarkStart w:id="287" w:name="bookmark197"/>
      <w:bookmarkEnd w:id="287"/>
      <w:bookmarkStart w:id="288" w:name="bookmark326"/>
      <w:bookmarkEnd w:id="288"/>
      <w:r>
        <w:rPr>
          <w:rFonts w:ascii="黑体" w:hAnsi="黑体" w:eastAsia="黑体" w:cs="黑体"/>
          <w:b/>
          <w:bCs/>
          <w:spacing w:val="1"/>
          <w:sz w:val="25"/>
          <w:szCs w:val="25"/>
        </w:rPr>
        <w:t>4.10综合单价分析表</w:t>
      </w:r>
    </w:p>
    <w:p w14:paraId="0D422745">
      <w:pPr>
        <w:spacing w:before="140" w:line="222" w:lineRule="auto"/>
        <w:ind w:left="3469"/>
        <w:rPr>
          <w:rFonts w:ascii="黑体" w:hAnsi="黑体" w:eastAsia="黑体" w:cs="黑体"/>
          <w:sz w:val="29"/>
          <w:szCs w:val="29"/>
        </w:rPr>
      </w:pPr>
      <w:r>
        <w:rPr>
          <w:rFonts w:ascii="黑体" w:hAnsi="黑体" w:eastAsia="黑体" w:cs="黑体"/>
          <w:b/>
          <w:bCs/>
          <w:spacing w:val="-5"/>
          <w:sz w:val="29"/>
          <w:szCs w:val="29"/>
        </w:rPr>
        <w:t>综合单价分析表</w:t>
      </w:r>
    </w:p>
    <w:p w14:paraId="335C7703">
      <w:pPr>
        <w:pStyle w:val="2"/>
        <w:spacing w:before="163" w:line="220" w:lineRule="auto"/>
        <w:ind w:left="25"/>
        <w:rPr>
          <w:sz w:val="20"/>
          <w:szCs w:val="20"/>
        </w:rPr>
      </w:pPr>
      <w:r>
        <w:rPr>
          <w:spacing w:val="-1"/>
          <w:sz w:val="20"/>
          <w:szCs w:val="20"/>
        </w:rPr>
        <w:t>工程名称：</w:t>
      </w:r>
      <w:r>
        <w:rPr>
          <w:spacing w:val="3"/>
          <w:sz w:val="20"/>
          <w:szCs w:val="20"/>
        </w:rPr>
        <w:t xml:space="preserve">                    </w:t>
      </w:r>
      <w:r>
        <w:rPr>
          <w:spacing w:val="2"/>
          <w:sz w:val="20"/>
          <w:szCs w:val="20"/>
        </w:rPr>
        <w:t xml:space="preserve">       </w:t>
      </w:r>
      <w:r>
        <w:rPr>
          <w:spacing w:val="-1"/>
          <w:sz w:val="20"/>
          <w:szCs w:val="20"/>
        </w:rPr>
        <w:t>标段名称：</w:t>
      </w:r>
      <w:r>
        <w:rPr>
          <w:spacing w:val="3"/>
          <w:sz w:val="20"/>
          <w:szCs w:val="20"/>
        </w:rPr>
        <w:t xml:space="preserve">                     </w:t>
      </w:r>
      <w:r>
        <w:rPr>
          <w:spacing w:val="-1"/>
          <w:sz w:val="20"/>
          <w:szCs w:val="20"/>
        </w:rPr>
        <w:t>第  页</w:t>
      </w:r>
      <w:r>
        <w:rPr>
          <w:spacing w:val="15"/>
          <w:sz w:val="20"/>
          <w:szCs w:val="20"/>
        </w:rPr>
        <w:t xml:space="preserve">  </w:t>
      </w:r>
      <w:r>
        <w:rPr>
          <w:spacing w:val="-1"/>
          <w:sz w:val="20"/>
          <w:szCs w:val="20"/>
        </w:rPr>
        <w:t>共</w:t>
      </w:r>
      <w:r>
        <w:rPr>
          <w:spacing w:val="23"/>
          <w:sz w:val="20"/>
          <w:szCs w:val="20"/>
        </w:rPr>
        <w:t xml:space="preserve">  </w:t>
      </w:r>
      <w:r>
        <w:rPr>
          <w:spacing w:val="-1"/>
          <w:sz w:val="20"/>
          <w:szCs w:val="20"/>
        </w:rPr>
        <w:t>页</w:t>
      </w:r>
    </w:p>
    <w:p w14:paraId="0C0A72B9">
      <w:pPr>
        <w:spacing w:line="118" w:lineRule="exact"/>
      </w:pPr>
    </w:p>
    <w:tbl>
      <w:tblPr>
        <w:tblStyle w:val="5"/>
        <w:tblW w:w="894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4"/>
        <w:gridCol w:w="529"/>
        <w:gridCol w:w="170"/>
        <w:gridCol w:w="679"/>
        <w:gridCol w:w="250"/>
        <w:gridCol w:w="180"/>
        <w:gridCol w:w="410"/>
        <w:gridCol w:w="519"/>
        <w:gridCol w:w="499"/>
        <w:gridCol w:w="659"/>
        <w:gridCol w:w="979"/>
        <w:gridCol w:w="999"/>
        <w:gridCol w:w="360"/>
        <w:gridCol w:w="929"/>
        <w:gridCol w:w="1104"/>
      </w:tblGrid>
      <w:tr w14:paraId="66644B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4" w:hRule="atLeast"/>
        </w:trPr>
        <w:tc>
          <w:tcPr>
            <w:tcW w:w="1203" w:type="dxa"/>
            <w:gridSpan w:val="2"/>
            <w:vAlign w:val="top"/>
          </w:tcPr>
          <w:p w14:paraId="193B1CA1">
            <w:pPr>
              <w:pStyle w:val="6"/>
              <w:spacing w:before="163" w:line="219" w:lineRule="auto"/>
              <w:ind w:left="204"/>
            </w:pPr>
            <w:r>
              <w:rPr>
                <w:spacing w:val="2"/>
              </w:rPr>
              <w:t>项目编码</w:t>
            </w:r>
          </w:p>
        </w:tc>
        <w:tc>
          <w:tcPr>
            <w:tcW w:w="1099" w:type="dxa"/>
            <w:gridSpan w:val="3"/>
            <w:vAlign w:val="top"/>
          </w:tcPr>
          <w:p w14:paraId="07A95245">
            <w:pPr>
              <w:rPr>
                <w:rFonts w:ascii="Arial"/>
                <w:sz w:val="21"/>
              </w:rPr>
            </w:pPr>
          </w:p>
        </w:tc>
        <w:tc>
          <w:tcPr>
            <w:tcW w:w="1109" w:type="dxa"/>
            <w:gridSpan w:val="3"/>
            <w:vAlign w:val="top"/>
          </w:tcPr>
          <w:p w14:paraId="443CC3D8">
            <w:pPr>
              <w:pStyle w:val="6"/>
              <w:spacing w:before="164" w:line="220" w:lineRule="auto"/>
              <w:ind w:left="172"/>
            </w:pPr>
            <w:r>
              <w:rPr>
                <w:spacing w:val="2"/>
              </w:rPr>
              <w:t>项目名称</w:t>
            </w:r>
          </w:p>
        </w:tc>
        <w:tc>
          <w:tcPr>
            <w:tcW w:w="1158" w:type="dxa"/>
            <w:gridSpan w:val="2"/>
            <w:vAlign w:val="top"/>
          </w:tcPr>
          <w:p w14:paraId="014B35C6">
            <w:pPr>
              <w:rPr>
                <w:rFonts w:ascii="Arial"/>
                <w:sz w:val="21"/>
              </w:rPr>
            </w:pPr>
          </w:p>
        </w:tc>
        <w:tc>
          <w:tcPr>
            <w:tcW w:w="979" w:type="dxa"/>
            <w:vAlign w:val="top"/>
          </w:tcPr>
          <w:p w14:paraId="0C6043AC">
            <w:pPr>
              <w:pStyle w:val="6"/>
              <w:spacing w:before="24" w:line="221" w:lineRule="auto"/>
              <w:ind w:left="275"/>
            </w:pPr>
            <w:r>
              <w:rPr>
                <w:spacing w:val="-3"/>
              </w:rPr>
              <w:t>计量</w:t>
            </w:r>
          </w:p>
          <w:p w14:paraId="26D301B5">
            <w:pPr>
              <w:pStyle w:val="6"/>
              <w:spacing w:before="8" w:line="202" w:lineRule="auto"/>
              <w:ind w:left="275"/>
            </w:pPr>
            <w:r>
              <w:rPr>
                <w:spacing w:val="-3"/>
              </w:rPr>
              <w:t>单位</w:t>
            </w:r>
          </w:p>
        </w:tc>
        <w:tc>
          <w:tcPr>
            <w:tcW w:w="999" w:type="dxa"/>
            <w:vAlign w:val="top"/>
          </w:tcPr>
          <w:p w14:paraId="2BCFD55F">
            <w:pPr>
              <w:rPr>
                <w:rFonts w:ascii="Arial"/>
                <w:sz w:val="21"/>
              </w:rPr>
            </w:pPr>
          </w:p>
        </w:tc>
        <w:tc>
          <w:tcPr>
            <w:tcW w:w="1289" w:type="dxa"/>
            <w:gridSpan w:val="2"/>
            <w:vAlign w:val="top"/>
          </w:tcPr>
          <w:p w14:paraId="3D256CD1">
            <w:pPr>
              <w:pStyle w:val="6"/>
              <w:spacing w:before="164" w:line="220" w:lineRule="auto"/>
              <w:ind w:left="327"/>
            </w:pPr>
            <w:r>
              <w:rPr>
                <w:spacing w:val="-3"/>
              </w:rPr>
              <w:t>工程量</w:t>
            </w:r>
          </w:p>
        </w:tc>
        <w:tc>
          <w:tcPr>
            <w:tcW w:w="1104" w:type="dxa"/>
            <w:vAlign w:val="top"/>
          </w:tcPr>
          <w:p w14:paraId="3B322B23">
            <w:pPr>
              <w:rPr>
                <w:rFonts w:ascii="Arial"/>
                <w:sz w:val="21"/>
              </w:rPr>
            </w:pPr>
          </w:p>
        </w:tc>
      </w:tr>
      <w:tr w14:paraId="21AD33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8940" w:type="dxa"/>
            <w:gridSpan w:val="15"/>
            <w:vAlign w:val="top"/>
          </w:tcPr>
          <w:p w14:paraId="5A9E3D95">
            <w:pPr>
              <w:pStyle w:val="6"/>
              <w:spacing w:before="187" w:line="218" w:lineRule="auto"/>
              <w:ind w:left="3434"/>
            </w:pPr>
            <w:r>
              <w:rPr>
                <w:spacing w:val="1"/>
              </w:rPr>
              <w:t>清单综合单价组成明细</w:t>
            </w:r>
          </w:p>
        </w:tc>
      </w:tr>
      <w:tr w14:paraId="73CA28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674" w:type="dxa"/>
            <w:vMerge w:val="restart"/>
            <w:tcBorders>
              <w:bottom w:val="nil"/>
            </w:tcBorders>
            <w:vAlign w:val="top"/>
          </w:tcPr>
          <w:p w14:paraId="48386F95">
            <w:pPr>
              <w:spacing w:line="259" w:lineRule="auto"/>
              <w:rPr>
                <w:rFonts w:ascii="Arial"/>
                <w:sz w:val="21"/>
              </w:rPr>
            </w:pPr>
          </w:p>
          <w:p w14:paraId="4156B989">
            <w:pPr>
              <w:spacing w:line="259" w:lineRule="auto"/>
              <w:rPr>
                <w:rFonts w:ascii="Arial"/>
                <w:sz w:val="21"/>
              </w:rPr>
            </w:pPr>
          </w:p>
          <w:p w14:paraId="35AF2C6A">
            <w:pPr>
              <w:spacing w:line="259" w:lineRule="auto"/>
              <w:rPr>
                <w:rFonts w:ascii="Arial"/>
                <w:sz w:val="21"/>
              </w:rPr>
            </w:pPr>
          </w:p>
          <w:p w14:paraId="19B84846">
            <w:pPr>
              <w:pStyle w:val="6"/>
              <w:spacing w:before="68" w:line="219" w:lineRule="auto"/>
              <w:ind w:left="114"/>
            </w:pPr>
            <w:r>
              <w:rPr>
                <w:spacing w:val="4"/>
              </w:rPr>
              <w:t>定额</w:t>
            </w:r>
          </w:p>
          <w:p w14:paraId="52F9A027">
            <w:pPr>
              <w:pStyle w:val="6"/>
              <w:spacing w:line="219" w:lineRule="auto"/>
              <w:ind w:left="114"/>
            </w:pPr>
            <w:r>
              <w:rPr>
                <w:spacing w:val="6"/>
              </w:rPr>
              <w:t>编号</w:t>
            </w:r>
          </w:p>
        </w:tc>
        <w:tc>
          <w:tcPr>
            <w:tcW w:w="699" w:type="dxa"/>
            <w:gridSpan w:val="2"/>
            <w:vMerge w:val="restart"/>
            <w:tcBorders>
              <w:bottom w:val="nil"/>
            </w:tcBorders>
            <w:vAlign w:val="top"/>
          </w:tcPr>
          <w:p w14:paraId="027A5AF4">
            <w:pPr>
              <w:spacing w:line="313" w:lineRule="auto"/>
              <w:rPr>
                <w:rFonts w:ascii="Arial"/>
                <w:sz w:val="21"/>
              </w:rPr>
            </w:pPr>
          </w:p>
          <w:p w14:paraId="431AE4D2">
            <w:pPr>
              <w:spacing w:line="313" w:lineRule="auto"/>
              <w:rPr>
                <w:rFonts w:ascii="Arial"/>
                <w:sz w:val="21"/>
              </w:rPr>
            </w:pPr>
          </w:p>
          <w:p w14:paraId="52D845BC">
            <w:pPr>
              <w:pStyle w:val="6"/>
              <w:spacing w:before="69" w:line="241" w:lineRule="auto"/>
              <w:ind w:left="130" w:right="97"/>
              <w:jc w:val="both"/>
            </w:pPr>
            <w:r>
              <w:rPr>
                <w:spacing w:val="4"/>
              </w:rPr>
              <w:t>定额</w:t>
            </w:r>
            <w:r>
              <w:t xml:space="preserve"> </w:t>
            </w:r>
            <w:r>
              <w:rPr>
                <w:spacing w:val="-30"/>
              </w:rPr>
              <w:t>项</w:t>
            </w:r>
            <w:r>
              <w:rPr>
                <w:spacing w:val="-6"/>
              </w:rPr>
              <w:t xml:space="preserve"> </w:t>
            </w:r>
            <w:r>
              <w:rPr>
                <w:spacing w:val="-30"/>
              </w:rPr>
              <w:t>目</w:t>
            </w:r>
            <w:r>
              <w:t xml:space="preserve"> </w:t>
            </w:r>
            <w:r>
              <w:rPr>
                <w:spacing w:val="5"/>
              </w:rPr>
              <w:t>名称</w:t>
            </w:r>
          </w:p>
        </w:tc>
        <w:tc>
          <w:tcPr>
            <w:tcW w:w="679" w:type="dxa"/>
            <w:vMerge w:val="restart"/>
            <w:tcBorders>
              <w:bottom w:val="nil"/>
            </w:tcBorders>
            <w:vAlign w:val="top"/>
          </w:tcPr>
          <w:p w14:paraId="4CAB7BA0">
            <w:pPr>
              <w:spacing w:line="259" w:lineRule="auto"/>
              <w:rPr>
                <w:rFonts w:ascii="Arial"/>
                <w:sz w:val="21"/>
              </w:rPr>
            </w:pPr>
          </w:p>
          <w:p w14:paraId="4F95EDDB">
            <w:pPr>
              <w:spacing w:line="259" w:lineRule="auto"/>
              <w:rPr>
                <w:rFonts w:ascii="Arial"/>
                <w:sz w:val="21"/>
              </w:rPr>
            </w:pPr>
          </w:p>
          <w:p w14:paraId="143D3D84">
            <w:pPr>
              <w:spacing w:line="259" w:lineRule="auto"/>
              <w:rPr>
                <w:rFonts w:ascii="Arial"/>
                <w:sz w:val="21"/>
              </w:rPr>
            </w:pPr>
          </w:p>
          <w:p w14:paraId="6D11C7D9">
            <w:pPr>
              <w:pStyle w:val="6"/>
              <w:spacing w:before="68" w:line="219" w:lineRule="auto"/>
              <w:ind w:left="121"/>
            </w:pPr>
            <w:r>
              <w:rPr>
                <w:spacing w:val="4"/>
              </w:rPr>
              <w:t>定额</w:t>
            </w:r>
          </w:p>
          <w:p w14:paraId="3C97F20B">
            <w:pPr>
              <w:pStyle w:val="6"/>
              <w:spacing w:before="11" w:line="220" w:lineRule="auto"/>
              <w:ind w:left="121"/>
            </w:pPr>
            <w:r>
              <w:rPr>
                <w:spacing w:val="-3"/>
              </w:rPr>
              <w:t>单位</w:t>
            </w:r>
          </w:p>
        </w:tc>
        <w:tc>
          <w:tcPr>
            <w:tcW w:w="430" w:type="dxa"/>
            <w:gridSpan w:val="2"/>
            <w:vMerge w:val="restart"/>
            <w:tcBorders>
              <w:bottom w:val="nil"/>
            </w:tcBorders>
            <w:textDirection w:val="tbRlV"/>
            <w:vAlign w:val="top"/>
          </w:tcPr>
          <w:p w14:paraId="5E36583C">
            <w:pPr>
              <w:pStyle w:val="6"/>
              <w:spacing w:before="114" w:line="201" w:lineRule="auto"/>
              <w:ind w:left="861"/>
            </w:pPr>
            <w:r>
              <w:rPr>
                <w:spacing w:val="10"/>
              </w:rPr>
              <w:t>数量</w:t>
            </w:r>
          </w:p>
        </w:tc>
        <w:tc>
          <w:tcPr>
            <w:tcW w:w="2087" w:type="dxa"/>
            <w:gridSpan w:val="4"/>
            <w:vAlign w:val="top"/>
          </w:tcPr>
          <w:p w14:paraId="6A0932A5">
            <w:pPr>
              <w:pStyle w:val="6"/>
              <w:spacing w:before="168" w:line="218" w:lineRule="auto"/>
              <w:ind w:left="812"/>
            </w:pPr>
            <w:r>
              <w:rPr>
                <w:spacing w:val="-3"/>
              </w:rPr>
              <w:t>单价</w:t>
            </w:r>
          </w:p>
        </w:tc>
        <w:tc>
          <w:tcPr>
            <w:tcW w:w="4371" w:type="dxa"/>
            <w:gridSpan w:val="5"/>
            <w:vAlign w:val="top"/>
          </w:tcPr>
          <w:p w14:paraId="34BD5765">
            <w:pPr>
              <w:pStyle w:val="6"/>
              <w:spacing w:before="168" w:line="218" w:lineRule="auto"/>
              <w:ind w:left="1985"/>
            </w:pPr>
            <w:r>
              <w:rPr>
                <w:spacing w:val="-3"/>
              </w:rPr>
              <w:t>合价</w:t>
            </w:r>
          </w:p>
        </w:tc>
      </w:tr>
      <w:tr w14:paraId="1EAA7A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18" w:hRule="atLeast"/>
        </w:trPr>
        <w:tc>
          <w:tcPr>
            <w:tcW w:w="674" w:type="dxa"/>
            <w:vMerge w:val="continue"/>
            <w:tcBorders>
              <w:top w:val="nil"/>
            </w:tcBorders>
            <w:vAlign w:val="top"/>
          </w:tcPr>
          <w:p w14:paraId="1D5E8B8C">
            <w:pPr>
              <w:rPr>
                <w:rFonts w:ascii="Arial"/>
                <w:sz w:val="21"/>
              </w:rPr>
            </w:pPr>
          </w:p>
        </w:tc>
        <w:tc>
          <w:tcPr>
            <w:tcW w:w="699" w:type="dxa"/>
            <w:gridSpan w:val="2"/>
            <w:vMerge w:val="continue"/>
            <w:tcBorders>
              <w:top w:val="nil"/>
            </w:tcBorders>
            <w:vAlign w:val="top"/>
          </w:tcPr>
          <w:p w14:paraId="6565BDC1">
            <w:pPr>
              <w:rPr>
                <w:rFonts w:ascii="Arial"/>
                <w:sz w:val="21"/>
              </w:rPr>
            </w:pPr>
          </w:p>
        </w:tc>
        <w:tc>
          <w:tcPr>
            <w:tcW w:w="679" w:type="dxa"/>
            <w:vMerge w:val="continue"/>
            <w:tcBorders>
              <w:top w:val="nil"/>
            </w:tcBorders>
            <w:vAlign w:val="top"/>
          </w:tcPr>
          <w:p w14:paraId="45D0C88B">
            <w:pPr>
              <w:rPr>
                <w:rFonts w:ascii="Arial"/>
                <w:sz w:val="21"/>
              </w:rPr>
            </w:pPr>
          </w:p>
        </w:tc>
        <w:tc>
          <w:tcPr>
            <w:tcW w:w="430" w:type="dxa"/>
            <w:gridSpan w:val="2"/>
            <w:vMerge w:val="continue"/>
            <w:tcBorders>
              <w:top w:val="nil"/>
            </w:tcBorders>
            <w:textDirection w:val="tbRlV"/>
            <w:vAlign w:val="top"/>
          </w:tcPr>
          <w:p w14:paraId="3F1D8E46">
            <w:pPr>
              <w:rPr>
                <w:rFonts w:ascii="Arial"/>
                <w:sz w:val="21"/>
              </w:rPr>
            </w:pPr>
          </w:p>
        </w:tc>
        <w:tc>
          <w:tcPr>
            <w:tcW w:w="410" w:type="dxa"/>
            <w:textDirection w:val="tbRlV"/>
            <w:vAlign w:val="top"/>
          </w:tcPr>
          <w:p w14:paraId="746EBB1A">
            <w:pPr>
              <w:pStyle w:val="6"/>
              <w:spacing w:before="106" w:line="199" w:lineRule="auto"/>
              <w:ind w:left="399"/>
            </w:pPr>
            <w:r>
              <w:t>人</w:t>
            </w:r>
            <w:r>
              <w:rPr>
                <w:spacing w:val="-22"/>
              </w:rPr>
              <w:t xml:space="preserve"> </w:t>
            </w:r>
            <w:r>
              <w:t>工</w:t>
            </w:r>
            <w:r>
              <w:rPr>
                <w:spacing w:val="-22"/>
              </w:rPr>
              <w:t xml:space="preserve"> </w:t>
            </w:r>
            <w:r>
              <w:t>费</w:t>
            </w:r>
          </w:p>
        </w:tc>
        <w:tc>
          <w:tcPr>
            <w:tcW w:w="519" w:type="dxa"/>
            <w:textDirection w:val="tbRlV"/>
            <w:vAlign w:val="top"/>
          </w:tcPr>
          <w:p w14:paraId="3081EF5A">
            <w:pPr>
              <w:pStyle w:val="6"/>
              <w:spacing w:before="153" w:line="201" w:lineRule="auto"/>
              <w:ind w:left="391"/>
            </w:pPr>
            <w:r>
              <w:t>材</w:t>
            </w:r>
            <w:r>
              <w:rPr>
                <w:spacing w:val="-13"/>
              </w:rPr>
              <w:t xml:space="preserve"> </w:t>
            </w:r>
            <w:r>
              <w:t>料</w:t>
            </w:r>
            <w:r>
              <w:rPr>
                <w:spacing w:val="-13"/>
              </w:rPr>
              <w:t xml:space="preserve"> </w:t>
            </w:r>
            <w:r>
              <w:t>费</w:t>
            </w:r>
          </w:p>
        </w:tc>
        <w:tc>
          <w:tcPr>
            <w:tcW w:w="499" w:type="dxa"/>
            <w:textDirection w:val="tbRlV"/>
            <w:vAlign w:val="top"/>
          </w:tcPr>
          <w:p w14:paraId="7A5854D9">
            <w:pPr>
              <w:pStyle w:val="6"/>
              <w:spacing w:before="133" w:line="201" w:lineRule="auto"/>
              <w:ind w:left="402"/>
            </w:pPr>
            <w:r>
              <w:t>机</w:t>
            </w:r>
            <w:r>
              <w:rPr>
                <w:spacing w:val="-23"/>
              </w:rPr>
              <w:t xml:space="preserve"> </w:t>
            </w:r>
            <w:r>
              <w:t>械</w:t>
            </w:r>
            <w:r>
              <w:rPr>
                <w:spacing w:val="-23"/>
              </w:rPr>
              <w:t xml:space="preserve"> </w:t>
            </w:r>
            <w:r>
              <w:t>费</w:t>
            </w:r>
          </w:p>
        </w:tc>
        <w:tc>
          <w:tcPr>
            <w:tcW w:w="659" w:type="dxa"/>
            <w:textDirection w:val="tbRlV"/>
            <w:vAlign w:val="top"/>
          </w:tcPr>
          <w:p w14:paraId="4CDF3A04">
            <w:pPr>
              <w:pStyle w:val="6"/>
              <w:spacing w:before="221" w:line="201" w:lineRule="auto"/>
            </w:pPr>
            <w:r>
              <w:rPr>
                <w:spacing w:val="-1"/>
              </w:rPr>
              <w:t>管</w:t>
            </w:r>
            <w:r>
              <w:rPr>
                <w:spacing w:val="-35"/>
              </w:rPr>
              <w:t xml:space="preserve"> </w:t>
            </w:r>
            <w:r>
              <w:rPr>
                <w:spacing w:val="-1"/>
              </w:rPr>
              <w:t>理</w:t>
            </w:r>
            <w:r>
              <w:rPr>
                <w:spacing w:val="-34"/>
              </w:rPr>
              <w:t xml:space="preserve"> </w:t>
            </w:r>
            <w:r>
              <w:rPr>
                <w:spacing w:val="-1"/>
              </w:rPr>
              <w:t>费</w:t>
            </w:r>
            <w:r>
              <w:rPr>
                <w:spacing w:val="-35"/>
              </w:rPr>
              <w:t xml:space="preserve"> </w:t>
            </w:r>
            <w:r>
              <w:rPr>
                <w:spacing w:val="-1"/>
              </w:rPr>
              <w:t>和</w:t>
            </w:r>
            <w:r>
              <w:rPr>
                <w:spacing w:val="-34"/>
              </w:rPr>
              <w:t xml:space="preserve"> </w:t>
            </w:r>
            <w:r>
              <w:rPr>
                <w:spacing w:val="-1"/>
              </w:rPr>
              <w:t>利</w:t>
            </w:r>
            <w:r>
              <w:rPr>
                <w:spacing w:val="-35"/>
              </w:rPr>
              <w:t xml:space="preserve"> </w:t>
            </w:r>
            <w:r>
              <w:rPr>
                <w:spacing w:val="-1"/>
              </w:rPr>
              <w:t>润</w:t>
            </w:r>
          </w:p>
        </w:tc>
        <w:tc>
          <w:tcPr>
            <w:tcW w:w="979" w:type="dxa"/>
            <w:vAlign w:val="top"/>
          </w:tcPr>
          <w:p w14:paraId="53267F3B">
            <w:pPr>
              <w:spacing w:line="319" w:lineRule="auto"/>
              <w:rPr>
                <w:rFonts w:ascii="Arial"/>
                <w:sz w:val="21"/>
              </w:rPr>
            </w:pPr>
          </w:p>
          <w:p w14:paraId="53D3C7A8">
            <w:pPr>
              <w:spacing w:line="320" w:lineRule="auto"/>
              <w:rPr>
                <w:rFonts w:ascii="Arial"/>
                <w:sz w:val="21"/>
              </w:rPr>
            </w:pPr>
          </w:p>
          <w:p w14:paraId="54ED6940">
            <w:pPr>
              <w:pStyle w:val="6"/>
              <w:spacing w:before="68" w:line="220" w:lineRule="auto"/>
              <w:ind w:left="165"/>
            </w:pPr>
            <w:r>
              <w:rPr>
                <w:spacing w:val="4"/>
              </w:rPr>
              <w:t>人工费</w:t>
            </w:r>
          </w:p>
        </w:tc>
        <w:tc>
          <w:tcPr>
            <w:tcW w:w="1359" w:type="dxa"/>
            <w:gridSpan w:val="2"/>
            <w:vAlign w:val="top"/>
          </w:tcPr>
          <w:p w14:paraId="1EC20D2D">
            <w:pPr>
              <w:spacing w:line="318" w:lineRule="auto"/>
              <w:rPr>
                <w:rFonts w:ascii="Arial"/>
                <w:sz w:val="21"/>
              </w:rPr>
            </w:pPr>
          </w:p>
          <w:p w14:paraId="3CFB3562">
            <w:pPr>
              <w:spacing w:line="319" w:lineRule="auto"/>
              <w:rPr>
                <w:rFonts w:ascii="Arial"/>
                <w:sz w:val="21"/>
              </w:rPr>
            </w:pPr>
          </w:p>
          <w:p w14:paraId="32E8D369">
            <w:pPr>
              <w:pStyle w:val="6"/>
              <w:spacing w:before="68" w:line="219" w:lineRule="auto"/>
              <w:ind w:left="376"/>
            </w:pPr>
            <w:r>
              <w:rPr>
                <w:spacing w:val="4"/>
              </w:rPr>
              <w:t>材料费</w:t>
            </w:r>
          </w:p>
        </w:tc>
        <w:tc>
          <w:tcPr>
            <w:tcW w:w="929" w:type="dxa"/>
            <w:vAlign w:val="top"/>
          </w:tcPr>
          <w:p w14:paraId="7BCF1F83">
            <w:pPr>
              <w:spacing w:line="318" w:lineRule="auto"/>
              <w:rPr>
                <w:rFonts w:ascii="Arial"/>
                <w:sz w:val="21"/>
              </w:rPr>
            </w:pPr>
          </w:p>
          <w:p w14:paraId="43583386">
            <w:pPr>
              <w:spacing w:line="319" w:lineRule="auto"/>
              <w:rPr>
                <w:rFonts w:ascii="Arial"/>
                <w:sz w:val="21"/>
              </w:rPr>
            </w:pPr>
          </w:p>
          <w:p w14:paraId="77F9A301">
            <w:pPr>
              <w:pStyle w:val="6"/>
              <w:spacing w:before="68" w:line="219" w:lineRule="auto"/>
              <w:ind w:left="138"/>
            </w:pPr>
            <w:r>
              <w:rPr>
                <w:spacing w:val="4"/>
              </w:rPr>
              <w:t>机械费</w:t>
            </w:r>
          </w:p>
        </w:tc>
        <w:tc>
          <w:tcPr>
            <w:tcW w:w="1104" w:type="dxa"/>
            <w:vAlign w:val="top"/>
          </w:tcPr>
          <w:p w14:paraId="08FEE010">
            <w:pPr>
              <w:spacing w:line="360" w:lineRule="auto"/>
              <w:rPr>
                <w:rFonts w:ascii="Arial"/>
                <w:sz w:val="21"/>
              </w:rPr>
            </w:pPr>
          </w:p>
          <w:p w14:paraId="28C7B790">
            <w:pPr>
              <w:pStyle w:val="6"/>
              <w:spacing w:before="68" w:line="219" w:lineRule="auto"/>
              <w:ind w:left="338"/>
            </w:pPr>
            <w:r>
              <w:rPr>
                <w:spacing w:val="3"/>
              </w:rPr>
              <w:t>管理</w:t>
            </w:r>
          </w:p>
          <w:p w14:paraId="3093FD2E">
            <w:pPr>
              <w:pStyle w:val="6"/>
              <w:spacing w:before="31" w:line="220" w:lineRule="auto"/>
              <w:ind w:left="338"/>
            </w:pPr>
            <w:r>
              <w:rPr>
                <w:spacing w:val="8"/>
              </w:rPr>
              <w:t>费和</w:t>
            </w:r>
          </w:p>
          <w:p w14:paraId="72AB4646">
            <w:pPr>
              <w:pStyle w:val="6"/>
              <w:spacing w:before="19" w:line="220" w:lineRule="auto"/>
              <w:ind w:left="338"/>
            </w:pPr>
            <w:r>
              <w:rPr>
                <w:spacing w:val="8"/>
              </w:rPr>
              <w:t>利润</w:t>
            </w:r>
          </w:p>
        </w:tc>
      </w:tr>
      <w:tr w14:paraId="65A515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0" w:hRule="atLeast"/>
        </w:trPr>
        <w:tc>
          <w:tcPr>
            <w:tcW w:w="674" w:type="dxa"/>
            <w:vAlign w:val="top"/>
          </w:tcPr>
          <w:p w14:paraId="0F295F30">
            <w:pPr>
              <w:rPr>
                <w:rFonts w:ascii="Arial"/>
                <w:sz w:val="21"/>
              </w:rPr>
            </w:pPr>
          </w:p>
        </w:tc>
        <w:tc>
          <w:tcPr>
            <w:tcW w:w="699" w:type="dxa"/>
            <w:gridSpan w:val="2"/>
            <w:vAlign w:val="top"/>
          </w:tcPr>
          <w:p w14:paraId="54EECE3B">
            <w:pPr>
              <w:rPr>
                <w:rFonts w:ascii="Arial"/>
                <w:sz w:val="21"/>
              </w:rPr>
            </w:pPr>
          </w:p>
        </w:tc>
        <w:tc>
          <w:tcPr>
            <w:tcW w:w="679" w:type="dxa"/>
            <w:vAlign w:val="top"/>
          </w:tcPr>
          <w:p w14:paraId="15E8831E">
            <w:pPr>
              <w:rPr>
                <w:rFonts w:ascii="Arial"/>
                <w:sz w:val="21"/>
              </w:rPr>
            </w:pPr>
          </w:p>
        </w:tc>
        <w:tc>
          <w:tcPr>
            <w:tcW w:w="430" w:type="dxa"/>
            <w:gridSpan w:val="2"/>
            <w:vAlign w:val="top"/>
          </w:tcPr>
          <w:p w14:paraId="1E9ECDB5">
            <w:pPr>
              <w:rPr>
                <w:rFonts w:ascii="Arial"/>
                <w:sz w:val="21"/>
              </w:rPr>
            </w:pPr>
          </w:p>
        </w:tc>
        <w:tc>
          <w:tcPr>
            <w:tcW w:w="410" w:type="dxa"/>
            <w:vAlign w:val="top"/>
          </w:tcPr>
          <w:p w14:paraId="5DEB639E">
            <w:pPr>
              <w:rPr>
                <w:rFonts w:ascii="Arial"/>
                <w:sz w:val="21"/>
              </w:rPr>
            </w:pPr>
          </w:p>
        </w:tc>
        <w:tc>
          <w:tcPr>
            <w:tcW w:w="519" w:type="dxa"/>
            <w:vAlign w:val="top"/>
          </w:tcPr>
          <w:p w14:paraId="5030B90E">
            <w:pPr>
              <w:rPr>
                <w:rFonts w:ascii="Arial"/>
                <w:sz w:val="21"/>
              </w:rPr>
            </w:pPr>
          </w:p>
        </w:tc>
        <w:tc>
          <w:tcPr>
            <w:tcW w:w="499" w:type="dxa"/>
            <w:vAlign w:val="top"/>
          </w:tcPr>
          <w:p w14:paraId="082F4121">
            <w:pPr>
              <w:rPr>
                <w:rFonts w:ascii="Arial"/>
                <w:sz w:val="21"/>
              </w:rPr>
            </w:pPr>
          </w:p>
        </w:tc>
        <w:tc>
          <w:tcPr>
            <w:tcW w:w="659" w:type="dxa"/>
            <w:vAlign w:val="top"/>
          </w:tcPr>
          <w:p w14:paraId="4D915F19">
            <w:pPr>
              <w:rPr>
                <w:rFonts w:ascii="Arial"/>
                <w:sz w:val="21"/>
              </w:rPr>
            </w:pPr>
          </w:p>
        </w:tc>
        <w:tc>
          <w:tcPr>
            <w:tcW w:w="979" w:type="dxa"/>
            <w:vAlign w:val="top"/>
          </w:tcPr>
          <w:p w14:paraId="7BAEFDAD">
            <w:pPr>
              <w:rPr>
                <w:rFonts w:ascii="Arial"/>
                <w:sz w:val="21"/>
              </w:rPr>
            </w:pPr>
          </w:p>
        </w:tc>
        <w:tc>
          <w:tcPr>
            <w:tcW w:w="1359" w:type="dxa"/>
            <w:gridSpan w:val="2"/>
            <w:vAlign w:val="top"/>
          </w:tcPr>
          <w:p w14:paraId="2D1D2F0B">
            <w:pPr>
              <w:rPr>
                <w:rFonts w:ascii="Arial"/>
                <w:sz w:val="21"/>
              </w:rPr>
            </w:pPr>
          </w:p>
        </w:tc>
        <w:tc>
          <w:tcPr>
            <w:tcW w:w="929" w:type="dxa"/>
            <w:vAlign w:val="top"/>
          </w:tcPr>
          <w:p w14:paraId="0C8F56DC">
            <w:pPr>
              <w:rPr>
                <w:rFonts w:ascii="Arial"/>
                <w:sz w:val="21"/>
              </w:rPr>
            </w:pPr>
          </w:p>
        </w:tc>
        <w:tc>
          <w:tcPr>
            <w:tcW w:w="1104" w:type="dxa"/>
            <w:vAlign w:val="top"/>
          </w:tcPr>
          <w:p w14:paraId="417AA6D3">
            <w:pPr>
              <w:rPr>
                <w:rFonts w:ascii="Arial"/>
                <w:sz w:val="21"/>
              </w:rPr>
            </w:pPr>
          </w:p>
        </w:tc>
      </w:tr>
      <w:tr w14:paraId="6ADE00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674" w:type="dxa"/>
            <w:vAlign w:val="top"/>
          </w:tcPr>
          <w:p w14:paraId="50169CD6">
            <w:pPr>
              <w:rPr>
                <w:rFonts w:ascii="Arial"/>
                <w:sz w:val="21"/>
              </w:rPr>
            </w:pPr>
          </w:p>
        </w:tc>
        <w:tc>
          <w:tcPr>
            <w:tcW w:w="699" w:type="dxa"/>
            <w:gridSpan w:val="2"/>
            <w:vAlign w:val="top"/>
          </w:tcPr>
          <w:p w14:paraId="7F00181C">
            <w:pPr>
              <w:rPr>
                <w:rFonts w:ascii="Arial"/>
                <w:sz w:val="21"/>
              </w:rPr>
            </w:pPr>
          </w:p>
        </w:tc>
        <w:tc>
          <w:tcPr>
            <w:tcW w:w="679" w:type="dxa"/>
            <w:vAlign w:val="top"/>
          </w:tcPr>
          <w:p w14:paraId="0AE7BD76">
            <w:pPr>
              <w:rPr>
                <w:rFonts w:ascii="Arial"/>
                <w:sz w:val="21"/>
              </w:rPr>
            </w:pPr>
          </w:p>
        </w:tc>
        <w:tc>
          <w:tcPr>
            <w:tcW w:w="430" w:type="dxa"/>
            <w:gridSpan w:val="2"/>
            <w:vAlign w:val="top"/>
          </w:tcPr>
          <w:p w14:paraId="4A4DA2A6">
            <w:pPr>
              <w:rPr>
                <w:rFonts w:ascii="Arial"/>
                <w:sz w:val="21"/>
              </w:rPr>
            </w:pPr>
          </w:p>
        </w:tc>
        <w:tc>
          <w:tcPr>
            <w:tcW w:w="410" w:type="dxa"/>
            <w:vAlign w:val="top"/>
          </w:tcPr>
          <w:p w14:paraId="5E3AB7CE">
            <w:pPr>
              <w:rPr>
                <w:rFonts w:ascii="Arial"/>
                <w:sz w:val="21"/>
              </w:rPr>
            </w:pPr>
          </w:p>
        </w:tc>
        <w:tc>
          <w:tcPr>
            <w:tcW w:w="519" w:type="dxa"/>
            <w:vAlign w:val="top"/>
          </w:tcPr>
          <w:p w14:paraId="5E2FA2AD">
            <w:pPr>
              <w:rPr>
                <w:rFonts w:ascii="Arial"/>
                <w:sz w:val="21"/>
              </w:rPr>
            </w:pPr>
          </w:p>
        </w:tc>
        <w:tc>
          <w:tcPr>
            <w:tcW w:w="499" w:type="dxa"/>
            <w:vAlign w:val="top"/>
          </w:tcPr>
          <w:p w14:paraId="3EF64BFF">
            <w:pPr>
              <w:rPr>
                <w:rFonts w:ascii="Arial"/>
                <w:sz w:val="21"/>
              </w:rPr>
            </w:pPr>
          </w:p>
        </w:tc>
        <w:tc>
          <w:tcPr>
            <w:tcW w:w="659" w:type="dxa"/>
            <w:vAlign w:val="top"/>
          </w:tcPr>
          <w:p w14:paraId="3CFDB34C">
            <w:pPr>
              <w:rPr>
                <w:rFonts w:ascii="Arial"/>
                <w:sz w:val="21"/>
              </w:rPr>
            </w:pPr>
          </w:p>
        </w:tc>
        <w:tc>
          <w:tcPr>
            <w:tcW w:w="979" w:type="dxa"/>
            <w:vAlign w:val="top"/>
          </w:tcPr>
          <w:p w14:paraId="542B074E">
            <w:pPr>
              <w:rPr>
                <w:rFonts w:ascii="Arial"/>
                <w:sz w:val="21"/>
              </w:rPr>
            </w:pPr>
          </w:p>
        </w:tc>
        <w:tc>
          <w:tcPr>
            <w:tcW w:w="1359" w:type="dxa"/>
            <w:gridSpan w:val="2"/>
            <w:vAlign w:val="top"/>
          </w:tcPr>
          <w:p w14:paraId="2A9AD168">
            <w:pPr>
              <w:rPr>
                <w:rFonts w:ascii="Arial"/>
                <w:sz w:val="21"/>
              </w:rPr>
            </w:pPr>
          </w:p>
        </w:tc>
        <w:tc>
          <w:tcPr>
            <w:tcW w:w="929" w:type="dxa"/>
            <w:vAlign w:val="top"/>
          </w:tcPr>
          <w:p w14:paraId="21A84D78">
            <w:pPr>
              <w:rPr>
                <w:rFonts w:ascii="Arial"/>
                <w:sz w:val="21"/>
              </w:rPr>
            </w:pPr>
          </w:p>
        </w:tc>
        <w:tc>
          <w:tcPr>
            <w:tcW w:w="1104" w:type="dxa"/>
            <w:vAlign w:val="top"/>
          </w:tcPr>
          <w:p w14:paraId="59A34180">
            <w:pPr>
              <w:rPr>
                <w:rFonts w:ascii="Arial"/>
                <w:sz w:val="21"/>
              </w:rPr>
            </w:pPr>
          </w:p>
        </w:tc>
      </w:tr>
      <w:tr w14:paraId="1D192D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9" w:hRule="atLeast"/>
        </w:trPr>
        <w:tc>
          <w:tcPr>
            <w:tcW w:w="674" w:type="dxa"/>
            <w:vAlign w:val="top"/>
          </w:tcPr>
          <w:p w14:paraId="0998E82C">
            <w:pPr>
              <w:rPr>
                <w:rFonts w:ascii="Arial"/>
                <w:sz w:val="21"/>
              </w:rPr>
            </w:pPr>
          </w:p>
        </w:tc>
        <w:tc>
          <w:tcPr>
            <w:tcW w:w="699" w:type="dxa"/>
            <w:gridSpan w:val="2"/>
            <w:vAlign w:val="top"/>
          </w:tcPr>
          <w:p w14:paraId="772DE499">
            <w:pPr>
              <w:rPr>
                <w:rFonts w:ascii="Arial"/>
                <w:sz w:val="21"/>
              </w:rPr>
            </w:pPr>
          </w:p>
        </w:tc>
        <w:tc>
          <w:tcPr>
            <w:tcW w:w="679" w:type="dxa"/>
            <w:vAlign w:val="top"/>
          </w:tcPr>
          <w:p w14:paraId="1CEEA921">
            <w:pPr>
              <w:rPr>
                <w:rFonts w:ascii="Arial"/>
                <w:sz w:val="21"/>
              </w:rPr>
            </w:pPr>
          </w:p>
        </w:tc>
        <w:tc>
          <w:tcPr>
            <w:tcW w:w="430" w:type="dxa"/>
            <w:gridSpan w:val="2"/>
            <w:vAlign w:val="top"/>
          </w:tcPr>
          <w:p w14:paraId="656B151B">
            <w:pPr>
              <w:rPr>
                <w:rFonts w:ascii="Arial"/>
                <w:sz w:val="21"/>
              </w:rPr>
            </w:pPr>
          </w:p>
        </w:tc>
        <w:tc>
          <w:tcPr>
            <w:tcW w:w="410" w:type="dxa"/>
            <w:vAlign w:val="top"/>
          </w:tcPr>
          <w:p w14:paraId="29DB8A5F">
            <w:pPr>
              <w:rPr>
                <w:rFonts w:ascii="Arial"/>
                <w:sz w:val="21"/>
              </w:rPr>
            </w:pPr>
          </w:p>
        </w:tc>
        <w:tc>
          <w:tcPr>
            <w:tcW w:w="519" w:type="dxa"/>
            <w:vAlign w:val="top"/>
          </w:tcPr>
          <w:p w14:paraId="6E527DA2">
            <w:pPr>
              <w:rPr>
                <w:rFonts w:ascii="Arial"/>
                <w:sz w:val="21"/>
              </w:rPr>
            </w:pPr>
          </w:p>
        </w:tc>
        <w:tc>
          <w:tcPr>
            <w:tcW w:w="499" w:type="dxa"/>
            <w:vAlign w:val="top"/>
          </w:tcPr>
          <w:p w14:paraId="16B5BE5C">
            <w:pPr>
              <w:rPr>
                <w:rFonts w:ascii="Arial"/>
                <w:sz w:val="21"/>
              </w:rPr>
            </w:pPr>
          </w:p>
        </w:tc>
        <w:tc>
          <w:tcPr>
            <w:tcW w:w="659" w:type="dxa"/>
            <w:vAlign w:val="top"/>
          </w:tcPr>
          <w:p w14:paraId="096E95EE">
            <w:pPr>
              <w:rPr>
                <w:rFonts w:ascii="Arial"/>
                <w:sz w:val="21"/>
              </w:rPr>
            </w:pPr>
          </w:p>
        </w:tc>
        <w:tc>
          <w:tcPr>
            <w:tcW w:w="979" w:type="dxa"/>
            <w:vAlign w:val="top"/>
          </w:tcPr>
          <w:p w14:paraId="11691605">
            <w:pPr>
              <w:rPr>
                <w:rFonts w:ascii="Arial"/>
                <w:sz w:val="21"/>
              </w:rPr>
            </w:pPr>
          </w:p>
        </w:tc>
        <w:tc>
          <w:tcPr>
            <w:tcW w:w="1359" w:type="dxa"/>
            <w:gridSpan w:val="2"/>
            <w:vAlign w:val="top"/>
          </w:tcPr>
          <w:p w14:paraId="48DE29E7">
            <w:pPr>
              <w:rPr>
                <w:rFonts w:ascii="Arial"/>
                <w:sz w:val="21"/>
              </w:rPr>
            </w:pPr>
          </w:p>
        </w:tc>
        <w:tc>
          <w:tcPr>
            <w:tcW w:w="929" w:type="dxa"/>
            <w:vAlign w:val="top"/>
          </w:tcPr>
          <w:p w14:paraId="3BC93232">
            <w:pPr>
              <w:rPr>
                <w:rFonts w:ascii="Arial"/>
                <w:sz w:val="21"/>
              </w:rPr>
            </w:pPr>
          </w:p>
        </w:tc>
        <w:tc>
          <w:tcPr>
            <w:tcW w:w="1104" w:type="dxa"/>
            <w:vAlign w:val="top"/>
          </w:tcPr>
          <w:p w14:paraId="028ECC10">
            <w:pPr>
              <w:rPr>
                <w:rFonts w:ascii="Arial"/>
                <w:sz w:val="21"/>
              </w:rPr>
            </w:pPr>
          </w:p>
        </w:tc>
      </w:tr>
      <w:tr w14:paraId="6CA18B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50" w:hRule="atLeast"/>
        </w:trPr>
        <w:tc>
          <w:tcPr>
            <w:tcW w:w="674" w:type="dxa"/>
            <w:vAlign w:val="top"/>
          </w:tcPr>
          <w:p w14:paraId="4EAFA99A">
            <w:pPr>
              <w:rPr>
                <w:rFonts w:ascii="Arial"/>
                <w:sz w:val="21"/>
              </w:rPr>
            </w:pPr>
          </w:p>
        </w:tc>
        <w:tc>
          <w:tcPr>
            <w:tcW w:w="699" w:type="dxa"/>
            <w:gridSpan w:val="2"/>
            <w:vAlign w:val="top"/>
          </w:tcPr>
          <w:p w14:paraId="2D37F60B">
            <w:pPr>
              <w:rPr>
                <w:rFonts w:ascii="Arial"/>
                <w:sz w:val="21"/>
              </w:rPr>
            </w:pPr>
          </w:p>
        </w:tc>
        <w:tc>
          <w:tcPr>
            <w:tcW w:w="679" w:type="dxa"/>
            <w:vAlign w:val="top"/>
          </w:tcPr>
          <w:p w14:paraId="7FD02E8D">
            <w:pPr>
              <w:rPr>
                <w:rFonts w:ascii="Arial"/>
                <w:sz w:val="21"/>
              </w:rPr>
            </w:pPr>
          </w:p>
        </w:tc>
        <w:tc>
          <w:tcPr>
            <w:tcW w:w="430" w:type="dxa"/>
            <w:gridSpan w:val="2"/>
            <w:vAlign w:val="top"/>
          </w:tcPr>
          <w:p w14:paraId="2B852F67">
            <w:pPr>
              <w:rPr>
                <w:rFonts w:ascii="Arial"/>
                <w:sz w:val="21"/>
              </w:rPr>
            </w:pPr>
          </w:p>
        </w:tc>
        <w:tc>
          <w:tcPr>
            <w:tcW w:w="410" w:type="dxa"/>
            <w:vAlign w:val="top"/>
          </w:tcPr>
          <w:p w14:paraId="31C48084">
            <w:pPr>
              <w:rPr>
                <w:rFonts w:ascii="Arial"/>
                <w:sz w:val="21"/>
              </w:rPr>
            </w:pPr>
          </w:p>
        </w:tc>
        <w:tc>
          <w:tcPr>
            <w:tcW w:w="519" w:type="dxa"/>
            <w:vAlign w:val="top"/>
          </w:tcPr>
          <w:p w14:paraId="3E0F3D8B">
            <w:pPr>
              <w:rPr>
                <w:rFonts w:ascii="Arial"/>
                <w:sz w:val="21"/>
              </w:rPr>
            </w:pPr>
          </w:p>
        </w:tc>
        <w:tc>
          <w:tcPr>
            <w:tcW w:w="499" w:type="dxa"/>
            <w:vAlign w:val="top"/>
          </w:tcPr>
          <w:p w14:paraId="514BC983">
            <w:pPr>
              <w:rPr>
                <w:rFonts w:ascii="Arial"/>
                <w:sz w:val="21"/>
              </w:rPr>
            </w:pPr>
          </w:p>
        </w:tc>
        <w:tc>
          <w:tcPr>
            <w:tcW w:w="659" w:type="dxa"/>
            <w:vAlign w:val="top"/>
          </w:tcPr>
          <w:p w14:paraId="169D76B2">
            <w:pPr>
              <w:rPr>
                <w:rFonts w:ascii="Arial"/>
                <w:sz w:val="21"/>
              </w:rPr>
            </w:pPr>
          </w:p>
        </w:tc>
        <w:tc>
          <w:tcPr>
            <w:tcW w:w="979" w:type="dxa"/>
            <w:vAlign w:val="top"/>
          </w:tcPr>
          <w:p w14:paraId="0A7E970F">
            <w:pPr>
              <w:rPr>
                <w:rFonts w:ascii="Arial"/>
                <w:sz w:val="21"/>
              </w:rPr>
            </w:pPr>
          </w:p>
        </w:tc>
        <w:tc>
          <w:tcPr>
            <w:tcW w:w="1359" w:type="dxa"/>
            <w:gridSpan w:val="2"/>
            <w:vAlign w:val="top"/>
          </w:tcPr>
          <w:p w14:paraId="33EC3927">
            <w:pPr>
              <w:rPr>
                <w:rFonts w:ascii="Arial"/>
                <w:sz w:val="21"/>
              </w:rPr>
            </w:pPr>
          </w:p>
        </w:tc>
        <w:tc>
          <w:tcPr>
            <w:tcW w:w="929" w:type="dxa"/>
            <w:vAlign w:val="top"/>
          </w:tcPr>
          <w:p w14:paraId="4315D926">
            <w:pPr>
              <w:rPr>
                <w:rFonts w:ascii="Arial"/>
                <w:sz w:val="21"/>
              </w:rPr>
            </w:pPr>
          </w:p>
        </w:tc>
        <w:tc>
          <w:tcPr>
            <w:tcW w:w="1104" w:type="dxa"/>
            <w:vAlign w:val="top"/>
          </w:tcPr>
          <w:p w14:paraId="168A688C">
            <w:pPr>
              <w:rPr>
                <w:rFonts w:ascii="Arial"/>
                <w:sz w:val="21"/>
              </w:rPr>
            </w:pPr>
          </w:p>
        </w:tc>
      </w:tr>
      <w:tr w14:paraId="5F502A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1373" w:type="dxa"/>
            <w:gridSpan w:val="3"/>
            <w:vAlign w:val="top"/>
          </w:tcPr>
          <w:p w14:paraId="41218983">
            <w:pPr>
              <w:pStyle w:val="6"/>
              <w:spacing w:before="172" w:line="218" w:lineRule="auto"/>
              <w:ind w:left="265"/>
            </w:pPr>
            <w:r>
              <w:rPr>
                <w:spacing w:val="-2"/>
              </w:rPr>
              <w:t>人工单价</w:t>
            </w:r>
          </w:p>
        </w:tc>
        <w:tc>
          <w:tcPr>
            <w:tcW w:w="3196" w:type="dxa"/>
            <w:gridSpan w:val="7"/>
            <w:vAlign w:val="top"/>
          </w:tcPr>
          <w:p w14:paraId="6ED8CB3C">
            <w:pPr>
              <w:pStyle w:val="6"/>
              <w:spacing w:before="175" w:line="221" w:lineRule="auto"/>
              <w:ind w:left="1381"/>
            </w:pPr>
            <w:r>
              <w:rPr>
                <w:spacing w:val="4"/>
              </w:rPr>
              <w:t>小计</w:t>
            </w:r>
          </w:p>
        </w:tc>
        <w:tc>
          <w:tcPr>
            <w:tcW w:w="979" w:type="dxa"/>
            <w:vAlign w:val="top"/>
          </w:tcPr>
          <w:p w14:paraId="0B9C7569">
            <w:pPr>
              <w:rPr>
                <w:rFonts w:ascii="Arial"/>
                <w:sz w:val="21"/>
              </w:rPr>
            </w:pPr>
          </w:p>
        </w:tc>
        <w:tc>
          <w:tcPr>
            <w:tcW w:w="1359" w:type="dxa"/>
            <w:gridSpan w:val="2"/>
            <w:vAlign w:val="top"/>
          </w:tcPr>
          <w:p w14:paraId="4532752C">
            <w:pPr>
              <w:rPr>
                <w:rFonts w:ascii="Arial"/>
                <w:sz w:val="21"/>
              </w:rPr>
            </w:pPr>
          </w:p>
        </w:tc>
        <w:tc>
          <w:tcPr>
            <w:tcW w:w="929" w:type="dxa"/>
            <w:vAlign w:val="top"/>
          </w:tcPr>
          <w:p w14:paraId="4012210C">
            <w:pPr>
              <w:rPr>
                <w:rFonts w:ascii="Arial"/>
                <w:sz w:val="21"/>
              </w:rPr>
            </w:pPr>
          </w:p>
        </w:tc>
        <w:tc>
          <w:tcPr>
            <w:tcW w:w="1104" w:type="dxa"/>
            <w:vAlign w:val="top"/>
          </w:tcPr>
          <w:p w14:paraId="2A7E7319">
            <w:pPr>
              <w:rPr>
                <w:rFonts w:ascii="Arial"/>
                <w:sz w:val="21"/>
              </w:rPr>
            </w:pPr>
          </w:p>
        </w:tc>
      </w:tr>
      <w:tr w14:paraId="0D2C6F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0" w:hRule="atLeast"/>
        </w:trPr>
        <w:tc>
          <w:tcPr>
            <w:tcW w:w="1373" w:type="dxa"/>
            <w:gridSpan w:val="3"/>
            <w:vAlign w:val="top"/>
          </w:tcPr>
          <w:p w14:paraId="5BDEF220">
            <w:pPr>
              <w:pStyle w:val="6"/>
              <w:spacing w:before="196" w:line="220" w:lineRule="auto"/>
              <w:ind w:left="514"/>
            </w:pPr>
            <w:r>
              <w:rPr>
                <w:spacing w:val="10"/>
              </w:rPr>
              <w:t>元/工日</w:t>
            </w:r>
          </w:p>
        </w:tc>
        <w:tc>
          <w:tcPr>
            <w:tcW w:w="3196" w:type="dxa"/>
            <w:gridSpan w:val="7"/>
            <w:vAlign w:val="top"/>
          </w:tcPr>
          <w:p w14:paraId="23F5E8C4">
            <w:pPr>
              <w:pStyle w:val="6"/>
              <w:spacing w:before="193" w:line="218" w:lineRule="auto"/>
              <w:ind w:left="961"/>
            </w:pPr>
            <w:r>
              <w:rPr>
                <w:spacing w:val="2"/>
              </w:rPr>
              <w:t>未计价材料费</w:t>
            </w:r>
          </w:p>
        </w:tc>
        <w:tc>
          <w:tcPr>
            <w:tcW w:w="4371" w:type="dxa"/>
            <w:gridSpan w:val="5"/>
            <w:vAlign w:val="top"/>
          </w:tcPr>
          <w:p w14:paraId="0189B397">
            <w:pPr>
              <w:rPr>
                <w:rFonts w:ascii="Arial"/>
                <w:sz w:val="21"/>
              </w:rPr>
            </w:pPr>
          </w:p>
        </w:tc>
      </w:tr>
      <w:tr w14:paraId="0C8196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9" w:hRule="atLeast"/>
        </w:trPr>
        <w:tc>
          <w:tcPr>
            <w:tcW w:w="4569" w:type="dxa"/>
            <w:gridSpan w:val="10"/>
            <w:vAlign w:val="top"/>
          </w:tcPr>
          <w:p w14:paraId="6E056AC1">
            <w:pPr>
              <w:pStyle w:val="6"/>
              <w:spacing w:before="183" w:line="218" w:lineRule="auto"/>
              <w:ind w:left="1444"/>
            </w:pPr>
            <w:r>
              <w:rPr>
                <w:spacing w:val="-1"/>
              </w:rPr>
              <w:t>清单项目综合单价</w:t>
            </w:r>
          </w:p>
        </w:tc>
        <w:tc>
          <w:tcPr>
            <w:tcW w:w="4371" w:type="dxa"/>
            <w:gridSpan w:val="5"/>
            <w:vAlign w:val="top"/>
          </w:tcPr>
          <w:p w14:paraId="7074517A">
            <w:pPr>
              <w:rPr>
                <w:rFonts w:ascii="Arial"/>
                <w:sz w:val="21"/>
              </w:rPr>
            </w:pPr>
          </w:p>
        </w:tc>
      </w:tr>
      <w:tr w14:paraId="47544E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0" w:hRule="atLeast"/>
        </w:trPr>
        <w:tc>
          <w:tcPr>
            <w:tcW w:w="674" w:type="dxa"/>
            <w:vMerge w:val="restart"/>
            <w:tcBorders>
              <w:bottom w:val="nil"/>
            </w:tcBorders>
            <w:textDirection w:val="tbRlV"/>
            <w:vAlign w:val="top"/>
          </w:tcPr>
          <w:p w14:paraId="3D523FF7">
            <w:pPr>
              <w:pStyle w:val="6"/>
              <w:spacing w:before="236" w:line="201" w:lineRule="auto"/>
              <w:ind w:left="1297"/>
            </w:pPr>
            <w:r>
              <w:t>材</w:t>
            </w:r>
            <w:r>
              <w:rPr>
                <w:spacing w:val="-34"/>
              </w:rPr>
              <w:t xml:space="preserve"> </w:t>
            </w:r>
            <w:r>
              <w:t>料</w:t>
            </w:r>
            <w:r>
              <w:rPr>
                <w:spacing w:val="-34"/>
              </w:rPr>
              <w:t xml:space="preserve"> </w:t>
            </w:r>
            <w:r>
              <w:t>费</w:t>
            </w:r>
            <w:r>
              <w:rPr>
                <w:spacing w:val="-33"/>
              </w:rPr>
              <w:t xml:space="preserve"> </w:t>
            </w:r>
            <w:r>
              <w:t>明</w:t>
            </w:r>
            <w:r>
              <w:rPr>
                <w:spacing w:val="-33"/>
              </w:rPr>
              <w:t xml:space="preserve"> </w:t>
            </w:r>
            <w:r>
              <w:t>细</w:t>
            </w:r>
          </w:p>
        </w:tc>
        <w:tc>
          <w:tcPr>
            <w:tcW w:w="2218" w:type="dxa"/>
            <w:gridSpan w:val="6"/>
            <w:vAlign w:val="top"/>
          </w:tcPr>
          <w:p w14:paraId="78D2CDAF">
            <w:pPr>
              <w:pStyle w:val="6"/>
              <w:spacing w:before="26" w:line="217" w:lineRule="auto"/>
              <w:ind w:left="871" w:hanging="821"/>
            </w:pPr>
            <w:r>
              <w:rPr>
                <w:spacing w:val="5"/>
              </w:rPr>
              <w:t>主要材料名称、规格、</w:t>
            </w:r>
            <w:r>
              <w:rPr>
                <w:spacing w:val="6"/>
              </w:rPr>
              <w:t xml:space="preserve"> </w:t>
            </w:r>
            <w:r>
              <w:rPr>
                <w:spacing w:val="1"/>
              </w:rPr>
              <w:t>型号</w:t>
            </w:r>
          </w:p>
        </w:tc>
        <w:tc>
          <w:tcPr>
            <w:tcW w:w="519" w:type="dxa"/>
            <w:textDirection w:val="tbRlV"/>
            <w:vAlign w:val="top"/>
          </w:tcPr>
          <w:p w14:paraId="70336F2A">
            <w:pPr>
              <w:pStyle w:val="6"/>
              <w:spacing w:before="143" w:line="202" w:lineRule="auto"/>
              <w:jc w:val="right"/>
            </w:pPr>
            <w:r>
              <w:rPr>
                <w:spacing w:val="-2"/>
              </w:rPr>
              <w:t>单</w:t>
            </w:r>
            <w:r>
              <w:rPr>
                <w:spacing w:val="8"/>
              </w:rPr>
              <w:t xml:space="preserve"> </w:t>
            </w:r>
            <w:r>
              <w:rPr>
                <w:spacing w:val="-2"/>
              </w:rPr>
              <w:t>位</w:t>
            </w:r>
          </w:p>
        </w:tc>
        <w:tc>
          <w:tcPr>
            <w:tcW w:w="1158" w:type="dxa"/>
            <w:gridSpan w:val="2"/>
            <w:vAlign w:val="top"/>
          </w:tcPr>
          <w:p w14:paraId="5359C5B5">
            <w:pPr>
              <w:pStyle w:val="6"/>
              <w:spacing w:before="166" w:line="219" w:lineRule="auto"/>
              <w:ind w:left="374"/>
            </w:pPr>
            <w:r>
              <w:rPr>
                <w:spacing w:val="-3"/>
              </w:rPr>
              <w:t>数量</w:t>
            </w:r>
          </w:p>
        </w:tc>
        <w:tc>
          <w:tcPr>
            <w:tcW w:w="979" w:type="dxa"/>
            <w:vAlign w:val="top"/>
          </w:tcPr>
          <w:p w14:paraId="7C44A539">
            <w:pPr>
              <w:pStyle w:val="6"/>
              <w:spacing w:before="24" w:line="218" w:lineRule="auto"/>
              <w:ind w:left="275"/>
            </w:pPr>
            <w:r>
              <w:rPr>
                <w:spacing w:val="-3"/>
              </w:rPr>
              <w:t>单价</w:t>
            </w:r>
          </w:p>
          <w:p w14:paraId="26020175">
            <w:pPr>
              <w:pStyle w:val="6"/>
              <w:spacing w:before="5" w:line="213" w:lineRule="auto"/>
              <w:ind w:left="285"/>
            </w:pPr>
            <w:r>
              <w:rPr>
                <w:spacing w:val="15"/>
              </w:rPr>
              <w:t>(元)</w:t>
            </w:r>
          </w:p>
        </w:tc>
        <w:tc>
          <w:tcPr>
            <w:tcW w:w="999" w:type="dxa"/>
            <w:vAlign w:val="top"/>
          </w:tcPr>
          <w:p w14:paraId="29D3CBA2">
            <w:pPr>
              <w:pStyle w:val="6"/>
              <w:spacing w:before="14" w:line="218" w:lineRule="auto"/>
              <w:ind w:left="286"/>
            </w:pPr>
            <w:r>
              <w:rPr>
                <w:spacing w:val="-3"/>
              </w:rPr>
              <w:t>合价</w:t>
            </w:r>
          </w:p>
          <w:p w14:paraId="165721ED">
            <w:pPr>
              <w:pStyle w:val="6"/>
              <w:spacing w:before="14" w:line="213" w:lineRule="auto"/>
              <w:ind w:left="286"/>
            </w:pPr>
            <w:r>
              <w:rPr>
                <w:spacing w:val="15"/>
              </w:rPr>
              <w:t>(元)</w:t>
            </w:r>
          </w:p>
        </w:tc>
        <w:tc>
          <w:tcPr>
            <w:tcW w:w="1289" w:type="dxa"/>
            <w:gridSpan w:val="2"/>
            <w:vAlign w:val="top"/>
          </w:tcPr>
          <w:p w14:paraId="0BE5C1F8">
            <w:pPr>
              <w:pStyle w:val="6"/>
              <w:spacing w:before="24" w:line="218" w:lineRule="auto"/>
              <w:ind w:left="218"/>
            </w:pPr>
            <w:r>
              <w:rPr>
                <w:spacing w:val="2"/>
              </w:rPr>
              <w:t>暂估单价</w:t>
            </w:r>
          </w:p>
          <w:p w14:paraId="09BC3F85">
            <w:pPr>
              <w:pStyle w:val="6"/>
              <w:spacing w:before="24" w:line="196" w:lineRule="auto"/>
              <w:ind w:left="427"/>
            </w:pPr>
            <w:r>
              <w:rPr>
                <w:spacing w:val="15"/>
              </w:rPr>
              <w:t>(元)</w:t>
            </w:r>
          </w:p>
        </w:tc>
        <w:tc>
          <w:tcPr>
            <w:tcW w:w="1104" w:type="dxa"/>
            <w:vAlign w:val="top"/>
          </w:tcPr>
          <w:p w14:paraId="4A5217B4">
            <w:pPr>
              <w:pStyle w:val="6"/>
              <w:spacing w:before="34" w:line="218" w:lineRule="auto"/>
              <w:ind w:left="128"/>
            </w:pPr>
            <w:r>
              <w:rPr>
                <w:spacing w:val="2"/>
              </w:rPr>
              <w:t>暂估合价</w:t>
            </w:r>
          </w:p>
          <w:p w14:paraId="53EE2551">
            <w:pPr>
              <w:pStyle w:val="6"/>
              <w:spacing w:before="14" w:line="196" w:lineRule="auto"/>
              <w:ind w:left="338"/>
            </w:pPr>
            <w:r>
              <w:rPr>
                <w:spacing w:val="15"/>
              </w:rPr>
              <w:t>(元)</w:t>
            </w:r>
          </w:p>
        </w:tc>
      </w:tr>
      <w:tr w14:paraId="7418C0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674" w:type="dxa"/>
            <w:vMerge w:val="continue"/>
            <w:tcBorders>
              <w:top w:val="nil"/>
              <w:bottom w:val="nil"/>
            </w:tcBorders>
            <w:textDirection w:val="tbRlV"/>
            <w:vAlign w:val="top"/>
          </w:tcPr>
          <w:p w14:paraId="7A3F0FFD">
            <w:pPr>
              <w:rPr>
                <w:rFonts w:ascii="Arial"/>
                <w:sz w:val="21"/>
              </w:rPr>
            </w:pPr>
          </w:p>
        </w:tc>
        <w:tc>
          <w:tcPr>
            <w:tcW w:w="2218" w:type="dxa"/>
            <w:gridSpan w:val="6"/>
            <w:vAlign w:val="top"/>
          </w:tcPr>
          <w:p w14:paraId="0EE4AB8A">
            <w:pPr>
              <w:rPr>
                <w:rFonts w:ascii="Arial"/>
                <w:sz w:val="21"/>
              </w:rPr>
            </w:pPr>
          </w:p>
        </w:tc>
        <w:tc>
          <w:tcPr>
            <w:tcW w:w="519" w:type="dxa"/>
            <w:vAlign w:val="top"/>
          </w:tcPr>
          <w:p w14:paraId="1275D7D0">
            <w:pPr>
              <w:rPr>
                <w:rFonts w:ascii="Arial"/>
                <w:sz w:val="21"/>
              </w:rPr>
            </w:pPr>
          </w:p>
        </w:tc>
        <w:tc>
          <w:tcPr>
            <w:tcW w:w="1158" w:type="dxa"/>
            <w:gridSpan w:val="2"/>
            <w:vAlign w:val="top"/>
          </w:tcPr>
          <w:p w14:paraId="23B901FD">
            <w:pPr>
              <w:rPr>
                <w:rFonts w:ascii="Arial"/>
                <w:sz w:val="21"/>
              </w:rPr>
            </w:pPr>
          </w:p>
        </w:tc>
        <w:tc>
          <w:tcPr>
            <w:tcW w:w="979" w:type="dxa"/>
            <w:vAlign w:val="top"/>
          </w:tcPr>
          <w:p w14:paraId="17B82DF5">
            <w:pPr>
              <w:rPr>
                <w:rFonts w:ascii="Arial"/>
                <w:sz w:val="21"/>
              </w:rPr>
            </w:pPr>
          </w:p>
        </w:tc>
        <w:tc>
          <w:tcPr>
            <w:tcW w:w="999" w:type="dxa"/>
            <w:vAlign w:val="top"/>
          </w:tcPr>
          <w:p w14:paraId="55D39316">
            <w:pPr>
              <w:rPr>
                <w:rFonts w:ascii="Arial"/>
                <w:sz w:val="21"/>
              </w:rPr>
            </w:pPr>
          </w:p>
        </w:tc>
        <w:tc>
          <w:tcPr>
            <w:tcW w:w="1289" w:type="dxa"/>
            <w:gridSpan w:val="2"/>
            <w:vAlign w:val="top"/>
          </w:tcPr>
          <w:p w14:paraId="3428FD35">
            <w:pPr>
              <w:rPr>
                <w:rFonts w:ascii="Arial"/>
                <w:sz w:val="21"/>
              </w:rPr>
            </w:pPr>
          </w:p>
        </w:tc>
        <w:tc>
          <w:tcPr>
            <w:tcW w:w="1104" w:type="dxa"/>
            <w:vAlign w:val="top"/>
          </w:tcPr>
          <w:p w14:paraId="1F88A093">
            <w:pPr>
              <w:rPr>
                <w:rFonts w:ascii="Arial"/>
                <w:sz w:val="21"/>
              </w:rPr>
            </w:pPr>
          </w:p>
        </w:tc>
      </w:tr>
      <w:tr w14:paraId="0FF49A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0" w:hRule="atLeast"/>
        </w:trPr>
        <w:tc>
          <w:tcPr>
            <w:tcW w:w="674" w:type="dxa"/>
            <w:vMerge w:val="continue"/>
            <w:tcBorders>
              <w:top w:val="nil"/>
              <w:bottom w:val="nil"/>
            </w:tcBorders>
            <w:textDirection w:val="tbRlV"/>
            <w:vAlign w:val="top"/>
          </w:tcPr>
          <w:p w14:paraId="091F1712">
            <w:pPr>
              <w:rPr>
                <w:rFonts w:ascii="Arial"/>
                <w:sz w:val="21"/>
              </w:rPr>
            </w:pPr>
          </w:p>
        </w:tc>
        <w:tc>
          <w:tcPr>
            <w:tcW w:w="2218" w:type="dxa"/>
            <w:gridSpan w:val="6"/>
            <w:vAlign w:val="top"/>
          </w:tcPr>
          <w:p w14:paraId="468C6B7A">
            <w:pPr>
              <w:rPr>
                <w:rFonts w:ascii="Arial"/>
                <w:sz w:val="21"/>
              </w:rPr>
            </w:pPr>
          </w:p>
        </w:tc>
        <w:tc>
          <w:tcPr>
            <w:tcW w:w="519" w:type="dxa"/>
            <w:vAlign w:val="top"/>
          </w:tcPr>
          <w:p w14:paraId="6B312BA7">
            <w:pPr>
              <w:rPr>
                <w:rFonts w:ascii="Arial"/>
                <w:sz w:val="21"/>
              </w:rPr>
            </w:pPr>
          </w:p>
        </w:tc>
        <w:tc>
          <w:tcPr>
            <w:tcW w:w="1158" w:type="dxa"/>
            <w:gridSpan w:val="2"/>
            <w:vAlign w:val="top"/>
          </w:tcPr>
          <w:p w14:paraId="77A1F2B3">
            <w:pPr>
              <w:rPr>
                <w:rFonts w:ascii="Arial"/>
                <w:sz w:val="21"/>
              </w:rPr>
            </w:pPr>
          </w:p>
        </w:tc>
        <w:tc>
          <w:tcPr>
            <w:tcW w:w="979" w:type="dxa"/>
            <w:vAlign w:val="top"/>
          </w:tcPr>
          <w:p w14:paraId="538B75AA">
            <w:pPr>
              <w:rPr>
                <w:rFonts w:ascii="Arial"/>
                <w:sz w:val="21"/>
              </w:rPr>
            </w:pPr>
          </w:p>
        </w:tc>
        <w:tc>
          <w:tcPr>
            <w:tcW w:w="999" w:type="dxa"/>
            <w:vAlign w:val="top"/>
          </w:tcPr>
          <w:p w14:paraId="424395A0">
            <w:pPr>
              <w:rPr>
                <w:rFonts w:ascii="Arial"/>
                <w:sz w:val="21"/>
              </w:rPr>
            </w:pPr>
          </w:p>
        </w:tc>
        <w:tc>
          <w:tcPr>
            <w:tcW w:w="1289" w:type="dxa"/>
            <w:gridSpan w:val="2"/>
            <w:vAlign w:val="top"/>
          </w:tcPr>
          <w:p w14:paraId="4F59C239">
            <w:pPr>
              <w:rPr>
                <w:rFonts w:ascii="Arial"/>
                <w:sz w:val="21"/>
              </w:rPr>
            </w:pPr>
          </w:p>
        </w:tc>
        <w:tc>
          <w:tcPr>
            <w:tcW w:w="1104" w:type="dxa"/>
            <w:vAlign w:val="top"/>
          </w:tcPr>
          <w:p w14:paraId="5B85991A">
            <w:pPr>
              <w:rPr>
                <w:rFonts w:ascii="Arial"/>
                <w:sz w:val="21"/>
              </w:rPr>
            </w:pPr>
          </w:p>
        </w:tc>
      </w:tr>
      <w:tr w14:paraId="406ADA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674" w:type="dxa"/>
            <w:vMerge w:val="continue"/>
            <w:tcBorders>
              <w:top w:val="nil"/>
              <w:bottom w:val="nil"/>
            </w:tcBorders>
            <w:textDirection w:val="tbRlV"/>
            <w:vAlign w:val="top"/>
          </w:tcPr>
          <w:p w14:paraId="7A6E4B7F">
            <w:pPr>
              <w:rPr>
                <w:rFonts w:ascii="Arial"/>
                <w:sz w:val="21"/>
              </w:rPr>
            </w:pPr>
          </w:p>
        </w:tc>
        <w:tc>
          <w:tcPr>
            <w:tcW w:w="2218" w:type="dxa"/>
            <w:gridSpan w:val="6"/>
            <w:vAlign w:val="top"/>
          </w:tcPr>
          <w:p w14:paraId="653C1921">
            <w:pPr>
              <w:rPr>
                <w:rFonts w:ascii="Arial"/>
                <w:sz w:val="21"/>
              </w:rPr>
            </w:pPr>
          </w:p>
        </w:tc>
        <w:tc>
          <w:tcPr>
            <w:tcW w:w="519" w:type="dxa"/>
            <w:vAlign w:val="top"/>
          </w:tcPr>
          <w:p w14:paraId="3F649703">
            <w:pPr>
              <w:rPr>
                <w:rFonts w:ascii="Arial"/>
                <w:sz w:val="21"/>
              </w:rPr>
            </w:pPr>
          </w:p>
        </w:tc>
        <w:tc>
          <w:tcPr>
            <w:tcW w:w="1158" w:type="dxa"/>
            <w:gridSpan w:val="2"/>
            <w:vAlign w:val="top"/>
          </w:tcPr>
          <w:p w14:paraId="306F6F2F">
            <w:pPr>
              <w:rPr>
                <w:rFonts w:ascii="Arial"/>
                <w:sz w:val="21"/>
              </w:rPr>
            </w:pPr>
          </w:p>
        </w:tc>
        <w:tc>
          <w:tcPr>
            <w:tcW w:w="979" w:type="dxa"/>
            <w:vAlign w:val="top"/>
          </w:tcPr>
          <w:p w14:paraId="20A3EB49">
            <w:pPr>
              <w:rPr>
                <w:rFonts w:ascii="Arial"/>
                <w:sz w:val="21"/>
              </w:rPr>
            </w:pPr>
          </w:p>
        </w:tc>
        <w:tc>
          <w:tcPr>
            <w:tcW w:w="999" w:type="dxa"/>
            <w:vAlign w:val="top"/>
          </w:tcPr>
          <w:p w14:paraId="753E679E">
            <w:pPr>
              <w:rPr>
                <w:rFonts w:ascii="Arial"/>
                <w:sz w:val="21"/>
              </w:rPr>
            </w:pPr>
          </w:p>
        </w:tc>
        <w:tc>
          <w:tcPr>
            <w:tcW w:w="1289" w:type="dxa"/>
            <w:gridSpan w:val="2"/>
            <w:vAlign w:val="top"/>
          </w:tcPr>
          <w:p w14:paraId="52D1C90D">
            <w:pPr>
              <w:rPr>
                <w:rFonts w:ascii="Arial"/>
                <w:sz w:val="21"/>
              </w:rPr>
            </w:pPr>
          </w:p>
        </w:tc>
        <w:tc>
          <w:tcPr>
            <w:tcW w:w="1104" w:type="dxa"/>
            <w:vAlign w:val="top"/>
          </w:tcPr>
          <w:p w14:paraId="5C1B445B">
            <w:pPr>
              <w:rPr>
                <w:rFonts w:ascii="Arial"/>
                <w:sz w:val="21"/>
              </w:rPr>
            </w:pPr>
          </w:p>
        </w:tc>
      </w:tr>
      <w:tr w14:paraId="00FCA3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0" w:hRule="atLeast"/>
        </w:trPr>
        <w:tc>
          <w:tcPr>
            <w:tcW w:w="674" w:type="dxa"/>
            <w:vMerge w:val="continue"/>
            <w:tcBorders>
              <w:top w:val="nil"/>
              <w:bottom w:val="nil"/>
            </w:tcBorders>
            <w:textDirection w:val="tbRlV"/>
            <w:vAlign w:val="top"/>
          </w:tcPr>
          <w:p w14:paraId="538D96B8">
            <w:pPr>
              <w:rPr>
                <w:rFonts w:ascii="Arial"/>
                <w:sz w:val="21"/>
              </w:rPr>
            </w:pPr>
          </w:p>
        </w:tc>
        <w:tc>
          <w:tcPr>
            <w:tcW w:w="2218" w:type="dxa"/>
            <w:gridSpan w:val="6"/>
            <w:vAlign w:val="top"/>
          </w:tcPr>
          <w:p w14:paraId="2DE48E32">
            <w:pPr>
              <w:rPr>
                <w:rFonts w:ascii="Arial"/>
                <w:sz w:val="21"/>
              </w:rPr>
            </w:pPr>
          </w:p>
        </w:tc>
        <w:tc>
          <w:tcPr>
            <w:tcW w:w="519" w:type="dxa"/>
            <w:vAlign w:val="top"/>
          </w:tcPr>
          <w:p w14:paraId="65BDF663">
            <w:pPr>
              <w:rPr>
                <w:rFonts w:ascii="Arial"/>
                <w:sz w:val="21"/>
              </w:rPr>
            </w:pPr>
          </w:p>
        </w:tc>
        <w:tc>
          <w:tcPr>
            <w:tcW w:w="1158" w:type="dxa"/>
            <w:gridSpan w:val="2"/>
            <w:vAlign w:val="top"/>
          </w:tcPr>
          <w:p w14:paraId="5A9D06CF">
            <w:pPr>
              <w:rPr>
                <w:rFonts w:ascii="Arial"/>
                <w:sz w:val="21"/>
              </w:rPr>
            </w:pPr>
          </w:p>
        </w:tc>
        <w:tc>
          <w:tcPr>
            <w:tcW w:w="979" w:type="dxa"/>
            <w:vAlign w:val="top"/>
          </w:tcPr>
          <w:p w14:paraId="56A15E70">
            <w:pPr>
              <w:rPr>
                <w:rFonts w:ascii="Arial"/>
                <w:sz w:val="21"/>
              </w:rPr>
            </w:pPr>
          </w:p>
        </w:tc>
        <w:tc>
          <w:tcPr>
            <w:tcW w:w="999" w:type="dxa"/>
            <w:vAlign w:val="top"/>
          </w:tcPr>
          <w:p w14:paraId="75B3B356">
            <w:pPr>
              <w:rPr>
                <w:rFonts w:ascii="Arial"/>
                <w:sz w:val="21"/>
              </w:rPr>
            </w:pPr>
          </w:p>
        </w:tc>
        <w:tc>
          <w:tcPr>
            <w:tcW w:w="1289" w:type="dxa"/>
            <w:gridSpan w:val="2"/>
            <w:vAlign w:val="top"/>
          </w:tcPr>
          <w:p w14:paraId="28CF2718">
            <w:pPr>
              <w:rPr>
                <w:rFonts w:ascii="Arial"/>
                <w:sz w:val="21"/>
              </w:rPr>
            </w:pPr>
          </w:p>
        </w:tc>
        <w:tc>
          <w:tcPr>
            <w:tcW w:w="1104" w:type="dxa"/>
            <w:vAlign w:val="top"/>
          </w:tcPr>
          <w:p w14:paraId="3F8F34ED">
            <w:pPr>
              <w:rPr>
                <w:rFonts w:ascii="Arial"/>
                <w:sz w:val="21"/>
              </w:rPr>
            </w:pPr>
          </w:p>
        </w:tc>
      </w:tr>
      <w:tr w14:paraId="61A618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674" w:type="dxa"/>
            <w:vMerge w:val="continue"/>
            <w:tcBorders>
              <w:top w:val="nil"/>
              <w:bottom w:val="nil"/>
            </w:tcBorders>
            <w:textDirection w:val="tbRlV"/>
            <w:vAlign w:val="top"/>
          </w:tcPr>
          <w:p w14:paraId="419EF757">
            <w:pPr>
              <w:rPr>
                <w:rFonts w:ascii="Arial"/>
                <w:sz w:val="21"/>
              </w:rPr>
            </w:pPr>
          </w:p>
        </w:tc>
        <w:tc>
          <w:tcPr>
            <w:tcW w:w="3895" w:type="dxa"/>
            <w:gridSpan w:val="9"/>
            <w:vAlign w:val="top"/>
          </w:tcPr>
          <w:p w14:paraId="7A5C5DC2">
            <w:pPr>
              <w:pStyle w:val="6"/>
              <w:spacing w:before="177" w:line="219" w:lineRule="auto"/>
              <w:ind w:left="1410"/>
            </w:pPr>
            <w:r>
              <w:rPr>
                <w:spacing w:val="2"/>
              </w:rPr>
              <w:t>其他材料费</w:t>
            </w:r>
          </w:p>
        </w:tc>
        <w:tc>
          <w:tcPr>
            <w:tcW w:w="979" w:type="dxa"/>
            <w:vAlign w:val="top"/>
          </w:tcPr>
          <w:p w14:paraId="3C73C5EA">
            <w:pPr>
              <w:pStyle w:val="6"/>
              <w:spacing w:before="278" w:line="162" w:lineRule="exact"/>
              <w:ind w:left="375"/>
            </w:pPr>
            <w:r>
              <w:rPr>
                <w:position w:val="-4"/>
              </w:rPr>
              <w:t>一</w:t>
            </w:r>
          </w:p>
        </w:tc>
        <w:tc>
          <w:tcPr>
            <w:tcW w:w="999" w:type="dxa"/>
            <w:vAlign w:val="top"/>
          </w:tcPr>
          <w:p w14:paraId="2B24AB28">
            <w:pPr>
              <w:rPr>
                <w:rFonts w:ascii="Arial"/>
                <w:sz w:val="21"/>
              </w:rPr>
            </w:pPr>
          </w:p>
        </w:tc>
        <w:tc>
          <w:tcPr>
            <w:tcW w:w="1289" w:type="dxa"/>
            <w:gridSpan w:val="2"/>
            <w:vAlign w:val="top"/>
          </w:tcPr>
          <w:p w14:paraId="63F8A7B2">
            <w:pPr>
              <w:pStyle w:val="6"/>
              <w:spacing w:before="278" w:line="162" w:lineRule="exact"/>
              <w:ind w:left="537"/>
            </w:pPr>
            <w:r>
              <w:rPr>
                <w:position w:val="-4"/>
              </w:rPr>
              <w:t>一</w:t>
            </w:r>
          </w:p>
        </w:tc>
        <w:tc>
          <w:tcPr>
            <w:tcW w:w="1104" w:type="dxa"/>
            <w:vAlign w:val="top"/>
          </w:tcPr>
          <w:p w14:paraId="25AB6CD8">
            <w:pPr>
              <w:rPr>
                <w:rFonts w:ascii="Arial"/>
                <w:sz w:val="21"/>
              </w:rPr>
            </w:pPr>
          </w:p>
        </w:tc>
      </w:tr>
      <w:tr w14:paraId="0E0886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4" w:hRule="atLeast"/>
        </w:trPr>
        <w:tc>
          <w:tcPr>
            <w:tcW w:w="674" w:type="dxa"/>
            <w:vMerge w:val="continue"/>
            <w:tcBorders>
              <w:top w:val="nil"/>
            </w:tcBorders>
            <w:textDirection w:val="tbRlV"/>
            <w:vAlign w:val="top"/>
          </w:tcPr>
          <w:p w14:paraId="6AA9154F">
            <w:pPr>
              <w:rPr>
                <w:rFonts w:ascii="Arial"/>
                <w:sz w:val="21"/>
              </w:rPr>
            </w:pPr>
          </w:p>
        </w:tc>
        <w:tc>
          <w:tcPr>
            <w:tcW w:w="3895" w:type="dxa"/>
            <w:gridSpan w:val="9"/>
            <w:vAlign w:val="top"/>
          </w:tcPr>
          <w:p w14:paraId="272F16F4">
            <w:pPr>
              <w:pStyle w:val="6"/>
              <w:spacing w:before="187" w:line="219" w:lineRule="auto"/>
              <w:ind w:left="1410"/>
            </w:pPr>
            <w:r>
              <w:rPr>
                <w:spacing w:val="-2"/>
              </w:rPr>
              <w:t>材料费小计</w:t>
            </w:r>
          </w:p>
        </w:tc>
        <w:tc>
          <w:tcPr>
            <w:tcW w:w="979" w:type="dxa"/>
            <w:vAlign w:val="top"/>
          </w:tcPr>
          <w:p w14:paraId="18303009">
            <w:pPr>
              <w:pStyle w:val="6"/>
              <w:spacing w:before="288" w:line="163" w:lineRule="exact"/>
              <w:ind w:left="375"/>
            </w:pPr>
            <w:r>
              <w:rPr>
                <w:position w:val="-4"/>
              </w:rPr>
              <w:t>一</w:t>
            </w:r>
          </w:p>
        </w:tc>
        <w:tc>
          <w:tcPr>
            <w:tcW w:w="999" w:type="dxa"/>
            <w:vAlign w:val="top"/>
          </w:tcPr>
          <w:p w14:paraId="25E9D63A">
            <w:pPr>
              <w:rPr>
                <w:rFonts w:ascii="Arial"/>
                <w:sz w:val="21"/>
              </w:rPr>
            </w:pPr>
          </w:p>
        </w:tc>
        <w:tc>
          <w:tcPr>
            <w:tcW w:w="1289" w:type="dxa"/>
            <w:gridSpan w:val="2"/>
            <w:vAlign w:val="top"/>
          </w:tcPr>
          <w:p w14:paraId="444FB355">
            <w:pPr>
              <w:pStyle w:val="6"/>
              <w:spacing w:before="288" w:line="163" w:lineRule="exact"/>
              <w:ind w:left="537"/>
            </w:pPr>
            <w:r>
              <w:rPr>
                <w:position w:val="-4"/>
              </w:rPr>
              <w:t>一</w:t>
            </w:r>
          </w:p>
        </w:tc>
        <w:tc>
          <w:tcPr>
            <w:tcW w:w="1104" w:type="dxa"/>
            <w:vAlign w:val="top"/>
          </w:tcPr>
          <w:p w14:paraId="4AF78053">
            <w:pPr>
              <w:rPr>
                <w:rFonts w:ascii="Arial"/>
                <w:sz w:val="21"/>
              </w:rPr>
            </w:pPr>
          </w:p>
        </w:tc>
      </w:tr>
    </w:tbl>
    <w:p w14:paraId="6608D6F0">
      <w:pPr>
        <w:spacing w:line="245" w:lineRule="auto"/>
        <w:rPr>
          <w:rFonts w:ascii="Arial"/>
          <w:sz w:val="21"/>
        </w:rPr>
      </w:pPr>
    </w:p>
    <w:p w14:paraId="1C25B352">
      <w:pPr>
        <w:pStyle w:val="2"/>
        <w:spacing w:before="65" w:line="218" w:lineRule="auto"/>
        <w:ind w:left="25"/>
        <w:rPr>
          <w:sz w:val="20"/>
          <w:szCs w:val="20"/>
        </w:rPr>
      </w:pPr>
      <w:r>
        <w:rPr>
          <w:spacing w:val="9"/>
          <w:sz w:val="20"/>
          <w:szCs w:val="20"/>
        </w:rPr>
        <w:t>注：1.如不使用省级或行业建设主管部门发布的计价依据，可不填定额编号、名称等。</w:t>
      </w:r>
    </w:p>
    <w:p w14:paraId="366D2F38">
      <w:pPr>
        <w:pStyle w:val="2"/>
        <w:spacing w:before="33" w:line="218" w:lineRule="auto"/>
        <w:jc w:val="right"/>
        <w:rPr>
          <w:sz w:val="20"/>
          <w:szCs w:val="20"/>
        </w:rPr>
      </w:pPr>
      <w:r>
        <w:rPr>
          <w:spacing w:val="15"/>
          <w:sz w:val="20"/>
          <w:szCs w:val="20"/>
        </w:rPr>
        <w:t>2.招标文件提供了暂估单价的材料，按暂估的</w:t>
      </w:r>
      <w:r>
        <w:rPr>
          <w:spacing w:val="14"/>
          <w:sz w:val="20"/>
          <w:szCs w:val="20"/>
        </w:rPr>
        <w:t>单价填入表内“暂估单价”栏及“暂估合价”</w:t>
      </w:r>
    </w:p>
    <w:p w14:paraId="6E318A00">
      <w:pPr>
        <w:spacing w:line="218" w:lineRule="auto"/>
        <w:rPr>
          <w:sz w:val="20"/>
          <w:szCs w:val="20"/>
        </w:rPr>
        <w:sectPr>
          <w:footerReference r:id="rId305" w:type="default"/>
          <w:pgSz w:w="11910" w:h="16840"/>
          <w:pgMar w:top="400" w:right="1433" w:bottom="1024" w:left="1445" w:header="0" w:footer="889" w:gutter="0"/>
          <w:cols w:space="720" w:num="1"/>
        </w:sectPr>
      </w:pPr>
    </w:p>
    <w:p w14:paraId="5CF11FD4">
      <w:pPr>
        <w:spacing w:line="248" w:lineRule="auto"/>
        <w:rPr>
          <w:rFonts w:ascii="Arial"/>
          <w:sz w:val="21"/>
        </w:rPr>
      </w:pPr>
    </w:p>
    <w:p w14:paraId="074C4D25">
      <w:pPr>
        <w:spacing w:line="248" w:lineRule="auto"/>
        <w:rPr>
          <w:rFonts w:ascii="Arial"/>
          <w:sz w:val="21"/>
        </w:rPr>
      </w:pPr>
    </w:p>
    <w:p w14:paraId="0D4447D2">
      <w:pPr>
        <w:spacing w:line="249" w:lineRule="auto"/>
        <w:rPr>
          <w:rFonts w:ascii="Arial"/>
          <w:sz w:val="21"/>
        </w:rPr>
      </w:pPr>
    </w:p>
    <w:p w14:paraId="5319A730">
      <w:pPr>
        <w:spacing w:line="249" w:lineRule="auto"/>
        <w:rPr>
          <w:rFonts w:ascii="Arial"/>
          <w:sz w:val="21"/>
        </w:rPr>
      </w:pPr>
    </w:p>
    <w:p w14:paraId="3D34CED2">
      <w:pPr>
        <w:spacing w:line="249" w:lineRule="auto"/>
        <w:rPr>
          <w:rFonts w:ascii="Arial"/>
          <w:sz w:val="21"/>
        </w:rPr>
      </w:pPr>
    </w:p>
    <w:p w14:paraId="38EB4712">
      <w:pPr>
        <w:pStyle w:val="2"/>
        <w:spacing w:before="68" w:line="220" w:lineRule="auto"/>
        <w:rPr>
          <w:sz w:val="21"/>
          <w:szCs w:val="21"/>
        </w:rPr>
      </w:pPr>
      <w:r>
        <w:rPr>
          <w:spacing w:val="-10"/>
          <w:sz w:val="21"/>
          <w:szCs w:val="21"/>
        </w:rPr>
        <w:t>栏。</w:t>
      </w:r>
    </w:p>
    <w:p w14:paraId="19E7568A">
      <w:pPr>
        <w:spacing w:line="220" w:lineRule="auto"/>
        <w:rPr>
          <w:sz w:val="21"/>
          <w:szCs w:val="21"/>
        </w:rPr>
        <w:sectPr>
          <w:footerReference r:id="rId306" w:type="default"/>
          <w:pgSz w:w="11910" w:h="16840"/>
          <w:pgMar w:top="400" w:right="1786" w:bottom="1024" w:left="1460" w:header="0" w:footer="889" w:gutter="0"/>
          <w:cols w:space="720" w:num="1"/>
        </w:sectPr>
      </w:pPr>
    </w:p>
    <w:p w14:paraId="2E487DCA">
      <w:pPr>
        <w:spacing w:line="259" w:lineRule="auto"/>
        <w:rPr>
          <w:rFonts w:ascii="Arial"/>
          <w:sz w:val="21"/>
        </w:rPr>
      </w:pPr>
    </w:p>
    <w:p w14:paraId="3E44451C">
      <w:pPr>
        <w:spacing w:line="259" w:lineRule="auto"/>
        <w:rPr>
          <w:rFonts w:ascii="Arial"/>
          <w:sz w:val="21"/>
        </w:rPr>
      </w:pPr>
    </w:p>
    <w:p w14:paraId="23110FB8">
      <w:pPr>
        <w:spacing w:line="259" w:lineRule="auto"/>
        <w:rPr>
          <w:rFonts w:ascii="Arial"/>
          <w:sz w:val="21"/>
        </w:rPr>
      </w:pPr>
    </w:p>
    <w:p w14:paraId="23D3720D">
      <w:pPr>
        <w:spacing w:line="259" w:lineRule="auto"/>
        <w:rPr>
          <w:rFonts w:ascii="Arial"/>
          <w:sz w:val="21"/>
        </w:rPr>
      </w:pPr>
    </w:p>
    <w:p w14:paraId="49C5A170">
      <w:pPr>
        <w:spacing w:line="259" w:lineRule="auto"/>
        <w:rPr>
          <w:rFonts w:ascii="Arial"/>
          <w:sz w:val="21"/>
        </w:rPr>
      </w:pPr>
    </w:p>
    <w:p w14:paraId="343BBBF0">
      <w:pPr>
        <w:spacing w:before="82" w:line="222" w:lineRule="auto"/>
        <w:ind w:left="413"/>
        <w:outlineLvl w:val="2"/>
        <w:rPr>
          <w:rFonts w:ascii="黑体" w:hAnsi="黑体" w:eastAsia="黑体" w:cs="黑体"/>
          <w:sz w:val="25"/>
          <w:szCs w:val="25"/>
        </w:rPr>
      </w:pPr>
      <w:bookmarkStart w:id="289" w:name="bookmark198"/>
      <w:bookmarkEnd w:id="289"/>
      <w:bookmarkStart w:id="290" w:name="bookmark327"/>
      <w:bookmarkEnd w:id="290"/>
      <w:r>
        <w:rPr>
          <w:rFonts w:ascii="黑体" w:hAnsi="黑体" w:eastAsia="黑体" w:cs="黑体"/>
          <w:b/>
          <w:bCs/>
          <w:spacing w:val="-3"/>
          <w:sz w:val="25"/>
          <w:szCs w:val="25"/>
        </w:rPr>
        <w:t>4.11总价措施项目清单与计价表</w:t>
      </w:r>
    </w:p>
    <w:p w14:paraId="6EA5B30C">
      <w:pPr>
        <w:spacing w:before="149" w:line="222" w:lineRule="auto"/>
        <w:ind w:left="2773"/>
        <w:rPr>
          <w:rFonts w:ascii="黑体" w:hAnsi="黑体" w:eastAsia="黑体" w:cs="黑体"/>
          <w:sz w:val="28"/>
          <w:szCs w:val="28"/>
        </w:rPr>
      </w:pPr>
      <w:r>
        <w:rPr>
          <w:rFonts w:ascii="黑体" w:hAnsi="黑体" w:eastAsia="黑体" w:cs="黑体"/>
          <w:b/>
          <w:bCs/>
          <w:spacing w:val="-1"/>
          <w:sz w:val="28"/>
          <w:szCs w:val="28"/>
        </w:rPr>
        <w:t>总价措施项目清单与计价表</w:t>
      </w:r>
    </w:p>
    <w:p w14:paraId="0588FD60">
      <w:pPr>
        <w:pStyle w:val="2"/>
        <w:spacing w:before="147" w:line="205" w:lineRule="auto"/>
        <w:ind w:left="20"/>
        <w:rPr>
          <w:sz w:val="23"/>
          <w:szCs w:val="23"/>
        </w:rPr>
      </w:pPr>
      <w:r>
        <w:rPr>
          <w:sz w:val="23"/>
          <w:szCs w:val="23"/>
        </w:rPr>
        <w:t>工程名称：                     标段名称：</w:t>
      </w:r>
      <w:r>
        <w:rPr>
          <w:spacing w:val="2"/>
          <w:sz w:val="23"/>
          <w:szCs w:val="23"/>
        </w:rPr>
        <w:t xml:space="preserve">                  </w:t>
      </w:r>
      <w:r>
        <w:rPr>
          <w:sz w:val="23"/>
          <w:szCs w:val="23"/>
        </w:rPr>
        <w:t>第 页共</w:t>
      </w:r>
      <w:r>
        <w:rPr>
          <w:spacing w:val="42"/>
          <w:sz w:val="23"/>
          <w:szCs w:val="23"/>
        </w:rPr>
        <w:t xml:space="preserve"> </w:t>
      </w:r>
      <w:r>
        <w:rPr>
          <w:sz w:val="23"/>
          <w:szCs w:val="23"/>
        </w:rPr>
        <w:t>页</w:t>
      </w:r>
    </w:p>
    <w:tbl>
      <w:tblPr>
        <w:tblStyle w:val="5"/>
        <w:tblW w:w="8790" w:type="dxa"/>
        <w:tblInd w:w="3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4"/>
        <w:gridCol w:w="1169"/>
        <w:gridCol w:w="2367"/>
        <w:gridCol w:w="1259"/>
        <w:gridCol w:w="1258"/>
        <w:gridCol w:w="1249"/>
        <w:gridCol w:w="924"/>
      </w:tblGrid>
      <w:tr w14:paraId="1AA96A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4" w:hRule="atLeast"/>
        </w:trPr>
        <w:tc>
          <w:tcPr>
            <w:tcW w:w="564" w:type="dxa"/>
            <w:textDirection w:val="tbRlV"/>
            <w:vAlign w:val="top"/>
          </w:tcPr>
          <w:p w14:paraId="37250CD5">
            <w:pPr>
              <w:pStyle w:val="6"/>
              <w:spacing w:before="201" w:line="199" w:lineRule="auto"/>
              <w:ind w:left="134"/>
            </w:pPr>
            <w:r>
              <w:t>序</w:t>
            </w:r>
            <w:r>
              <w:rPr>
                <w:spacing w:val="11"/>
              </w:rPr>
              <w:t xml:space="preserve"> </w:t>
            </w:r>
            <w:r>
              <w:t>号</w:t>
            </w:r>
          </w:p>
        </w:tc>
        <w:tc>
          <w:tcPr>
            <w:tcW w:w="1169" w:type="dxa"/>
            <w:vAlign w:val="top"/>
          </w:tcPr>
          <w:p w14:paraId="4E78C385">
            <w:pPr>
              <w:spacing w:line="244" w:lineRule="auto"/>
              <w:rPr>
                <w:rFonts w:ascii="Arial"/>
                <w:sz w:val="21"/>
              </w:rPr>
            </w:pPr>
          </w:p>
          <w:p w14:paraId="0F5DAA6A">
            <w:pPr>
              <w:pStyle w:val="6"/>
              <w:spacing w:before="68" w:line="219" w:lineRule="auto"/>
              <w:ind w:left="161"/>
            </w:pPr>
            <w:r>
              <w:rPr>
                <w:spacing w:val="2"/>
              </w:rPr>
              <w:t>项目编码</w:t>
            </w:r>
          </w:p>
        </w:tc>
        <w:tc>
          <w:tcPr>
            <w:tcW w:w="2367" w:type="dxa"/>
            <w:vAlign w:val="top"/>
          </w:tcPr>
          <w:p w14:paraId="0A05F4F0">
            <w:pPr>
              <w:spacing w:line="244" w:lineRule="auto"/>
              <w:rPr>
                <w:rFonts w:ascii="Arial"/>
                <w:sz w:val="21"/>
              </w:rPr>
            </w:pPr>
          </w:p>
          <w:p w14:paraId="0F77020B">
            <w:pPr>
              <w:pStyle w:val="6"/>
              <w:spacing w:before="68" w:line="220" w:lineRule="auto"/>
              <w:ind w:left="752"/>
            </w:pPr>
            <w:r>
              <w:rPr>
                <w:spacing w:val="2"/>
              </w:rPr>
              <w:t>项目名称</w:t>
            </w:r>
          </w:p>
        </w:tc>
        <w:tc>
          <w:tcPr>
            <w:tcW w:w="1259" w:type="dxa"/>
            <w:vAlign w:val="top"/>
          </w:tcPr>
          <w:p w14:paraId="0ACCBDBC">
            <w:pPr>
              <w:spacing w:line="244" w:lineRule="auto"/>
              <w:rPr>
                <w:rFonts w:ascii="Arial"/>
                <w:sz w:val="21"/>
              </w:rPr>
            </w:pPr>
          </w:p>
          <w:p w14:paraId="0D38C321">
            <w:pPr>
              <w:pStyle w:val="6"/>
              <w:spacing w:before="68" w:line="219" w:lineRule="auto"/>
              <w:ind w:left="214"/>
            </w:pPr>
            <w:r>
              <w:rPr>
                <w:spacing w:val="-2"/>
              </w:rPr>
              <w:t>计算基础</w:t>
            </w:r>
          </w:p>
        </w:tc>
        <w:tc>
          <w:tcPr>
            <w:tcW w:w="1258" w:type="dxa"/>
            <w:vAlign w:val="top"/>
          </w:tcPr>
          <w:p w14:paraId="2D4B8156">
            <w:pPr>
              <w:spacing w:line="244" w:lineRule="auto"/>
              <w:rPr>
                <w:rFonts w:ascii="Arial"/>
                <w:sz w:val="21"/>
              </w:rPr>
            </w:pPr>
          </w:p>
          <w:p w14:paraId="687DB2A3">
            <w:pPr>
              <w:pStyle w:val="6"/>
              <w:spacing w:before="68" w:line="219" w:lineRule="auto"/>
              <w:ind w:left="226"/>
            </w:pPr>
            <w:r>
              <w:rPr>
                <w:spacing w:val="8"/>
              </w:rPr>
              <w:t>费率(%)</w:t>
            </w:r>
          </w:p>
        </w:tc>
        <w:tc>
          <w:tcPr>
            <w:tcW w:w="1249" w:type="dxa"/>
            <w:vAlign w:val="top"/>
          </w:tcPr>
          <w:p w14:paraId="6B7DA3CB">
            <w:pPr>
              <w:spacing w:line="244" w:lineRule="auto"/>
              <w:rPr>
                <w:rFonts w:ascii="Arial"/>
                <w:sz w:val="21"/>
              </w:rPr>
            </w:pPr>
          </w:p>
          <w:p w14:paraId="28365FC7">
            <w:pPr>
              <w:pStyle w:val="6"/>
              <w:spacing w:before="68" w:line="219" w:lineRule="auto"/>
              <w:ind w:left="198"/>
            </w:pPr>
            <w:r>
              <w:rPr>
                <w:spacing w:val="9"/>
              </w:rPr>
              <w:t>金额(元)</w:t>
            </w:r>
          </w:p>
        </w:tc>
        <w:tc>
          <w:tcPr>
            <w:tcW w:w="924" w:type="dxa"/>
            <w:vAlign w:val="top"/>
          </w:tcPr>
          <w:p w14:paraId="34D3C0EB">
            <w:pPr>
              <w:spacing w:line="245" w:lineRule="auto"/>
              <w:rPr>
                <w:rFonts w:ascii="Arial"/>
                <w:sz w:val="21"/>
              </w:rPr>
            </w:pPr>
          </w:p>
          <w:p w14:paraId="7B7766BD">
            <w:pPr>
              <w:pStyle w:val="6"/>
              <w:spacing w:before="68" w:line="221" w:lineRule="auto"/>
              <w:ind w:left="269"/>
            </w:pPr>
            <w:r>
              <w:rPr>
                <w:spacing w:val="5"/>
              </w:rPr>
              <w:t>备注</w:t>
            </w:r>
          </w:p>
        </w:tc>
      </w:tr>
      <w:tr w14:paraId="716A48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9" w:hRule="atLeast"/>
        </w:trPr>
        <w:tc>
          <w:tcPr>
            <w:tcW w:w="564" w:type="dxa"/>
            <w:vAlign w:val="top"/>
          </w:tcPr>
          <w:p w14:paraId="32285E85">
            <w:pPr>
              <w:rPr>
                <w:rFonts w:ascii="Arial"/>
                <w:sz w:val="21"/>
              </w:rPr>
            </w:pPr>
          </w:p>
        </w:tc>
        <w:tc>
          <w:tcPr>
            <w:tcW w:w="1169" w:type="dxa"/>
            <w:vAlign w:val="top"/>
          </w:tcPr>
          <w:p w14:paraId="75EE4A93">
            <w:pPr>
              <w:rPr>
                <w:rFonts w:ascii="Arial"/>
                <w:sz w:val="21"/>
              </w:rPr>
            </w:pPr>
          </w:p>
        </w:tc>
        <w:tc>
          <w:tcPr>
            <w:tcW w:w="2367" w:type="dxa"/>
            <w:vAlign w:val="top"/>
          </w:tcPr>
          <w:p w14:paraId="2C5F844F">
            <w:pPr>
              <w:rPr>
                <w:rFonts w:ascii="Arial"/>
                <w:sz w:val="21"/>
              </w:rPr>
            </w:pPr>
          </w:p>
          <w:p w14:paraId="47473E50">
            <w:pPr>
              <w:pStyle w:val="6"/>
              <w:spacing w:before="68" w:line="219" w:lineRule="auto"/>
              <w:ind w:left="122"/>
            </w:pPr>
            <w:r>
              <w:rPr>
                <w:spacing w:val="1"/>
              </w:rPr>
              <w:t>安全文明施工费</w:t>
            </w:r>
          </w:p>
        </w:tc>
        <w:tc>
          <w:tcPr>
            <w:tcW w:w="1259" w:type="dxa"/>
            <w:vAlign w:val="top"/>
          </w:tcPr>
          <w:p w14:paraId="1724B9DD">
            <w:pPr>
              <w:rPr>
                <w:rFonts w:ascii="Arial"/>
                <w:sz w:val="21"/>
              </w:rPr>
            </w:pPr>
          </w:p>
        </w:tc>
        <w:tc>
          <w:tcPr>
            <w:tcW w:w="1258" w:type="dxa"/>
            <w:vAlign w:val="top"/>
          </w:tcPr>
          <w:p w14:paraId="5D5667AE">
            <w:pPr>
              <w:rPr>
                <w:rFonts w:ascii="Arial"/>
                <w:sz w:val="21"/>
              </w:rPr>
            </w:pPr>
          </w:p>
        </w:tc>
        <w:tc>
          <w:tcPr>
            <w:tcW w:w="1249" w:type="dxa"/>
            <w:vAlign w:val="top"/>
          </w:tcPr>
          <w:p w14:paraId="75AA48E9">
            <w:pPr>
              <w:rPr>
                <w:rFonts w:ascii="Arial"/>
                <w:sz w:val="21"/>
              </w:rPr>
            </w:pPr>
          </w:p>
        </w:tc>
        <w:tc>
          <w:tcPr>
            <w:tcW w:w="924" w:type="dxa"/>
            <w:vAlign w:val="top"/>
          </w:tcPr>
          <w:p w14:paraId="24308872">
            <w:pPr>
              <w:rPr>
                <w:rFonts w:ascii="Arial"/>
                <w:sz w:val="21"/>
              </w:rPr>
            </w:pPr>
          </w:p>
        </w:tc>
      </w:tr>
      <w:tr w14:paraId="516E71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9" w:hRule="atLeast"/>
        </w:trPr>
        <w:tc>
          <w:tcPr>
            <w:tcW w:w="564" w:type="dxa"/>
            <w:vAlign w:val="top"/>
          </w:tcPr>
          <w:p w14:paraId="1ADBB98C">
            <w:pPr>
              <w:rPr>
                <w:rFonts w:ascii="Arial"/>
                <w:sz w:val="21"/>
              </w:rPr>
            </w:pPr>
          </w:p>
        </w:tc>
        <w:tc>
          <w:tcPr>
            <w:tcW w:w="1169" w:type="dxa"/>
            <w:vAlign w:val="top"/>
          </w:tcPr>
          <w:p w14:paraId="26B04451">
            <w:pPr>
              <w:rPr>
                <w:rFonts w:ascii="Arial"/>
                <w:sz w:val="21"/>
              </w:rPr>
            </w:pPr>
          </w:p>
        </w:tc>
        <w:tc>
          <w:tcPr>
            <w:tcW w:w="2367" w:type="dxa"/>
            <w:vAlign w:val="top"/>
          </w:tcPr>
          <w:p w14:paraId="672063E6">
            <w:pPr>
              <w:spacing w:line="241" w:lineRule="auto"/>
              <w:rPr>
                <w:rFonts w:ascii="Arial"/>
                <w:sz w:val="21"/>
              </w:rPr>
            </w:pPr>
          </w:p>
          <w:p w14:paraId="71FCB02E">
            <w:pPr>
              <w:pStyle w:val="6"/>
              <w:spacing w:before="68" w:line="219" w:lineRule="auto"/>
              <w:ind w:left="122"/>
            </w:pPr>
            <w:r>
              <w:rPr>
                <w:spacing w:val="1"/>
              </w:rPr>
              <w:t>夜间施工增加费</w:t>
            </w:r>
          </w:p>
        </w:tc>
        <w:tc>
          <w:tcPr>
            <w:tcW w:w="1259" w:type="dxa"/>
            <w:vAlign w:val="top"/>
          </w:tcPr>
          <w:p w14:paraId="3ABF26BA">
            <w:pPr>
              <w:rPr>
                <w:rFonts w:ascii="Arial"/>
                <w:sz w:val="21"/>
              </w:rPr>
            </w:pPr>
          </w:p>
        </w:tc>
        <w:tc>
          <w:tcPr>
            <w:tcW w:w="1258" w:type="dxa"/>
            <w:vAlign w:val="top"/>
          </w:tcPr>
          <w:p w14:paraId="76B6E08E">
            <w:pPr>
              <w:rPr>
                <w:rFonts w:ascii="Arial"/>
                <w:sz w:val="21"/>
              </w:rPr>
            </w:pPr>
          </w:p>
        </w:tc>
        <w:tc>
          <w:tcPr>
            <w:tcW w:w="1249" w:type="dxa"/>
            <w:vAlign w:val="top"/>
          </w:tcPr>
          <w:p w14:paraId="7F9D51F6">
            <w:pPr>
              <w:rPr>
                <w:rFonts w:ascii="Arial"/>
                <w:sz w:val="21"/>
              </w:rPr>
            </w:pPr>
          </w:p>
        </w:tc>
        <w:tc>
          <w:tcPr>
            <w:tcW w:w="924" w:type="dxa"/>
            <w:vAlign w:val="top"/>
          </w:tcPr>
          <w:p w14:paraId="4F3BF795">
            <w:pPr>
              <w:rPr>
                <w:rFonts w:ascii="Arial"/>
                <w:sz w:val="21"/>
              </w:rPr>
            </w:pPr>
          </w:p>
        </w:tc>
      </w:tr>
      <w:tr w14:paraId="1F2250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9" w:hRule="atLeast"/>
        </w:trPr>
        <w:tc>
          <w:tcPr>
            <w:tcW w:w="564" w:type="dxa"/>
            <w:vAlign w:val="top"/>
          </w:tcPr>
          <w:p w14:paraId="112F0D15">
            <w:pPr>
              <w:rPr>
                <w:rFonts w:ascii="Arial"/>
                <w:sz w:val="21"/>
              </w:rPr>
            </w:pPr>
          </w:p>
        </w:tc>
        <w:tc>
          <w:tcPr>
            <w:tcW w:w="1169" w:type="dxa"/>
            <w:vAlign w:val="top"/>
          </w:tcPr>
          <w:p w14:paraId="473B1845">
            <w:pPr>
              <w:rPr>
                <w:rFonts w:ascii="Arial"/>
                <w:sz w:val="21"/>
              </w:rPr>
            </w:pPr>
          </w:p>
        </w:tc>
        <w:tc>
          <w:tcPr>
            <w:tcW w:w="2367" w:type="dxa"/>
            <w:vAlign w:val="top"/>
          </w:tcPr>
          <w:p w14:paraId="2F355A65">
            <w:pPr>
              <w:spacing w:line="251" w:lineRule="auto"/>
              <w:rPr>
                <w:rFonts w:ascii="Arial"/>
                <w:sz w:val="21"/>
              </w:rPr>
            </w:pPr>
          </w:p>
          <w:p w14:paraId="5130A61D">
            <w:pPr>
              <w:pStyle w:val="6"/>
              <w:spacing w:before="69" w:line="219" w:lineRule="auto"/>
              <w:ind w:left="122"/>
            </w:pPr>
            <w:r>
              <w:rPr>
                <w:spacing w:val="2"/>
              </w:rPr>
              <w:t>二次搬运费</w:t>
            </w:r>
          </w:p>
        </w:tc>
        <w:tc>
          <w:tcPr>
            <w:tcW w:w="1259" w:type="dxa"/>
            <w:vAlign w:val="top"/>
          </w:tcPr>
          <w:p w14:paraId="66EBC545">
            <w:pPr>
              <w:rPr>
                <w:rFonts w:ascii="Arial"/>
                <w:sz w:val="21"/>
              </w:rPr>
            </w:pPr>
          </w:p>
        </w:tc>
        <w:tc>
          <w:tcPr>
            <w:tcW w:w="1258" w:type="dxa"/>
            <w:vAlign w:val="top"/>
          </w:tcPr>
          <w:p w14:paraId="08B06C32">
            <w:pPr>
              <w:rPr>
                <w:rFonts w:ascii="Arial"/>
                <w:sz w:val="21"/>
              </w:rPr>
            </w:pPr>
          </w:p>
        </w:tc>
        <w:tc>
          <w:tcPr>
            <w:tcW w:w="1249" w:type="dxa"/>
            <w:vAlign w:val="top"/>
          </w:tcPr>
          <w:p w14:paraId="5D248A94">
            <w:pPr>
              <w:rPr>
                <w:rFonts w:ascii="Arial"/>
                <w:sz w:val="21"/>
              </w:rPr>
            </w:pPr>
          </w:p>
        </w:tc>
        <w:tc>
          <w:tcPr>
            <w:tcW w:w="924" w:type="dxa"/>
            <w:vAlign w:val="top"/>
          </w:tcPr>
          <w:p w14:paraId="443F4E8D">
            <w:pPr>
              <w:rPr>
                <w:rFonts w:ascii="Arial"/>
                <w:sz w:val="21"/>
              </w:rPr>
            </w:pPr>
          </w:p>
        </w:tc>
      </w:tr>
      <w:tr w14:paraId="2131BD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9" w:hRule="atLeast"/>
        </w:trPr>
        <w:tc>
          <w:tcPr>
            <w:tcW w:w="564" w:type="dxa"/>
            <w:vAlign w:val="top"/>
          </w:tcPr>
          <w:p w14:paraId="44F5DF1C">
            <w:pPr>
              <w:rPr>
                <w:rFonts w:ascii="Arial"/>
                <w:sz w:val="21"/>
              </w:rPr>
            </w:pPr>
          </w:p>
        </w:tc>
        <w:tc>
          <w:tcPr>
            <w:tcW w:w="1169" w:type="dxa"/>
            <w:vAlign w:val="top"/>
          </w:tcPr>
          <w:p w14:paraId="25BF7134">
            <w:pPr>
              <w:rPr>
                <w:rFonts w:ascii="Arial"/>
                <w:sz w:val="21"/>
              </w:rPr>
            </w:pPr>
          </w:p>
        </w:tc>
        <w:tc>
          <w:tcPr>
            <w:tcW w:w="2367" w:type="dxa"/>
            <w:vAlign w:val="top"/>
          </w:tcPr>
          <w:p w14:paraId="4F8A7665">
            <w:pPr>
              <w:spacing w:line="243" w:lineRule="auto"/>
              <w:rPr>
                <w:rFonts w:ascii="Arial"/>
                <w:sz w:val="21"/>
              </w:rPr>
            </w:pPr>
          </w:p>
          <w:p w14:paraId="2057AD49">
            <w:pPr>
              <w:pStyle w:val="6"/>
              <w:spacing w:before="68" w:line="219" w:lineRule="auto"/>
              <w:ind w:left="122"/>
            </w:pPr>
            <w:r>
              <w:rPr>
                <w:spacing w:val="1"/>
              </w:rPr>
              <w:t>冬雨季施工增加费</w:t>
            </w:r>
          </w:p>
        </w:tc>
        <w:tc>
          <w:tcPr>
            <w:tcW w:w="1259" w:type="dxa"/>
            <w:vAlign w:val="top"/>
          </w:tcPr>
          <w:p w14:paraId="7F6B6EA0">
            <w:pPr>
              <w:rPr>
                <w:rFonts w:ascii="Arial"/>
                <w:sz w:val="21"/>
              </w:rPr>
            </w:pPr>
          </w:p>
        </w:tc>
        <w:tc>
          <w:tcPr>
            <w:tcW w:w="1258" w:type="dxa"/>
            <w:vAlign w:val="top"/>
          </w:tcPr>
          <w:p w14:paraId="43472823">
            <w:pPr>
              <w:rPr>
                <w:rFonts w:ascii="Arial"/>
                <w:sz w:val="21"/>
              </w:rPr>
            </w:pPr>
          </w:p>
        </w:tc>
        <w:tc>
          <w:tcPr>
            <w:tcW w:w="1249" w:type="dxa"/>
            <w:vAlign w:val="top"/>
          </w:tcPr>
          <w:p w14:paraId="4621E940">
            <w:pPr>
              <w:rPr>
                <w:rFonts w:ascii="Arial"/>
                <w:sz w:val="21"/>
              </w:rPr>
            </w:pPr>
          </w:p>
        </w:tc>
        <w:tc>
          <w:tcPr>
            <w:tcW w:w="924" w:type="dxa"/>
            <w:vAlign w:val="top"/>
          </w:tcPr>
          <w:p w14:paraId="4BDBC49F">
            <w:pPr>
              <w:rPr>
                <w:rFonts w:ascii="Arial"/>
                <w:sz w:val="21"/>
              </w:rPr>
            </w:pPr>
          </w:p>
        </w:tc>
      </w:tr>
      <w:tr w14:paraId="2DA2F3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9" w:hRule="atLeast"/>
        </w:trPr>
        <w:tc>
          <w:tcPr>
            <w:tcW w:w="564" w:type="dxa"/>
            <w:vAlign w:val="top"/>
          </w:tcPr>
          <w:p w14:paraId="7D4AEB24">
            <w:pPr>
              <w:rPr>
                <w:rFonts w:ascii="Arial"/>
                <w:sz w:val="21"/>
              </w:rPr>
            </w:pPr>
          </w:p>
        </w:tc>
        <w:tc>
          <w:tcPr>
            <w:tcW w:w="1169" w:type="dxa"/>
            <w:vAlign w:val="top"/>
          </w:tcPr>
          <w:p w14:paraId="48C69D84">
            <w:pPr>
              <w:rPr>
                <w:rFonts w:ascii="Arial"/>
                <w:sz w:val="21"/>
              </w:rPr>
            </w:pPr>
          </w:p>
        </w:tc>
        <w:tc>
          <w:tcPr>
            <w:tcW w:w="2367" w:type="dxa"/>
            <w:vAlign w:val="top"/>
          </w:tcPr>
          <w:p w14:paraId="5876B29F">
            <w:pPr>
              <w:spacing w:line="253" w:lineRule="auto"/>
              <w:rPr>
                <w:rFonts w:ascii="Arial"/>
                <w:sz w:val="21"/>
              </w:rPr>
            </w:pPr>
          </w:p>
          <w:p w14:paraId="4824C479">
            <w:pPr>
              <w:pStyle w:val="6"/>
              <w:spacing w:before="69" w:line="219" w:lineRule="auto"/>
              <w:ind w:left="122"/>
            </w:pPr>
            <w:r>
              <w:rPr>
                <w:spacing w:val="1"/>
              </w:rPr>
              <w:t>已完工程及设备保护费</w:t>
            </w:r>
          </w:p>
        </w:tc>
        <w:tc>
          <w:tcPr>
            <w:tcW w:w="1259" w:type="dxa"/>
            <w:vAlign w:val="top"/>
          </w:tcPr>
          <w:p w14:paraId="34112453">
            <w:pPr>
              <w:rPr>
                <w:rFonts w:ascii="Arial"/>
                <w:sz w:val="21"/>
              </w:rPr>
            </w:pPr>
          </w:p>
        </w:tc>
        <w:tc>
          <w:tcPr>
            <w:tcW w:w="1258" w:type="dxa"/>
            <w:vAlign w:val="top"/>
          </w:tcPr>
          <w:p w14:paraId="70F89EFA">
            <w:pPr>
              <w:rPr>
                <w:rFonts w:ascii="Arial"/>
                <w:sz w:val="21"/>
              </w:rPr>
            </w:pPr>
          </w:p>
        </w:tc>
        <w:tc>
          <w:tcPr>
            <w:tcW w:w="1249" w:type="dxa"/>
            <w:vAlign w:val="top"/>
          </w:tcPr>
          <w:p w14:paraId="57275660">
            <w:pPr>
              <w:rPr>
                <w:rFonts w:ascii="Arial"/>
                <w:sz w:val="21"/>
              </w:rPr>
            </w:pPr>
          </w:p>
        </w:tc>
        <w:tc>
          <w:tcPr>
            <w:tcW w:w="924" w:type="dxa"/>
            <w:vAlign w:val="top"/>
          </w:tcPr>
          <w:p w14:paraId="1FAC3265">
            <w:pPr>
              <w:rPr>
                <w:rFonts w:ascii="Arial"/>
                <w:sz w:val="21"/>
              </w:rPr>
            </w:pPr>
          </w:p>
        </w:tc>
      </w:tr>
      <w:tr w14:paraId="06856D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0" w:hRule="atLeast"/>
        </w:trPr>
        <w:tc>
          <w:tcPr>
            <w:tcW w:w="564" w:type="dxa"/>
            <w:vAlign w:val="top"/>
          </w:tcPr>
          <w:p w14:paraId="0397E0E4">
            <w:pPr>
              <w:rPr>
                <w:rFonts w:ascii="Arial"/>
                <w:sz w:val="21"/>
              </w:rPr>
            </w:pPr>
          </w:p>
        </w:tc>
        <w:tc>
          <w:tcPr>
            <w:tcW w:w="1169" w:type="dxa"/>
            <w:vAlign w:val="top"/>
          </w:tcPr>
          <w:p w14:paraId="04E4CE63">
            <w:pPr>
              <w:rPr>
                <w:rFonts w:ascii="Arial"/>
                <w:sz w:val="21"/>
              </w:rPr>
            </w:pPr>
          </w:p>
        </w:tc>
        <w:tc>
          <w:tcPr>
            <w:tcW w:w="2367" w:type="dxa"/>
            <w:vAlign w:val="top"/>
          </w:tcPr>
          <w:p w14:paraId="71437F89">
            <w:pPr>
              <w:rPr>
                <w:rFonts w:ascii="Arial"/>
                <w:sz w:val="21"/>
              </w:rPr>
            </w:pPr>
          </w:p>
        </w:tc>
        <w:tc>
          <w:tcPr>
            <w:tcW w:w="1259" w:type="dxa"/>
            <w:vAlign w:val="top"/>
          </w:tcPr>
          <w:p w14:paraId="5AAA51B0">
            <w:pPr>
              <w:rPr>
                <w:rFonts w:ascii="Arial"/>
                <w:sz w:val="21"/>
              </w:rPr>
            </w:pPr>
          </w:p>
        </w:tc>
        <w:tc>
          <w:tcPr>
            <w:tcW w:w="1258" w:type="dxa"/>
            <w:vAlign w:val="top"/>
          </w:tcPr>
          <w:p w14:paraId="57D91C59">
            <w:pPr>
              <w:rPr>
                <w:rFonts w:ascii="Arial"/>
                <w:sz w:val="21"/>
              </w:rPr>
            </w:pPr>
          </w:p>
        </w:tc>
        <w:tc>
          <w:tcPr>
            <w:tcW w:w="1249" w:type="dxa"/>
            <w:vAlign w:val="top"/>
          </w:tcPr>
          <w:p w14:paraId="5AAB031A">
            <w:pPr>
              <w:rPr>
                <w:rFonts w:ascii="Arial"/>
                <w:sz w:val="21"/>
              </w:rPr>
            </w:pPr>
          </w:p>
        </w:tc>
        <w:tc>
          <w:tcPr>
            <w:tcW w:w="924" w:type="dxa"/>
            <w:vAlign w:val="top"/>
          </w:tcPr>
          <w:p w14:paraId="58394968">
            <w:pPr>
              <w:rPr>
                <w:rFonts w:ascii="Arial"/>
                <w:sz w:val="21"/>
              </w:rPr>
            </w:pPr>
          </w:p>
        </w:tc>
      </w:tr>
      <w:tr w14:paraId="5C34D2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9" w:hRule="atLeast"/>
        </w:trPr>
        <w:tc>
          <w:tcPr>
            <w:tcW w:w="564" w:type="dxa"/>
            <w:vAlign w:val="top"/>
          </w:tcPr>
          <w:p w14:paraId="3DC5EF95">
            <w:pPr>
              <w:rPr>
                <w:rFonts w:ascii="Arial"/>
                <w:sz w:val="21"/>
              </w:rPr>
            </w:pPr>
          </w:p>
        </w:tc>
        <w:tc>
          <w:tcPr>
            <w:tcW w:w="1169" w:type="dxa"/>
            <w:vAlign w:val="top"/>
          </w:tcPr>
          <w:p w14:paraId="0EC01B4C">
            <w:pPr>
              <w:rPr>
                <w:rFonts w:ascii="Arial"/>
                <w:sz w:val="21"/>
              </w:rPr>
            </w:pPr>
          </w:p>
        </w:tc>
        <w:tc>
          <w:tcPr>
            <w:tcW w:w="2367" w:type="dxa"/>
            <w:vAlign w:val="top"/>
          </w:tcPr>
          <w:p w14:paraId="5B5D6E97">
            <w:pPr>
              <w:rPr>
                <w:rFonts w:ascii="Arial"/>
                <w:sz w:val="21"/>
              </w:rPr>
            </w:pPr>
          </w:p>
        </w:tc>
        <w:tc>
          <w:tcPr>
            <w:tcW w:w="1259" w:type="dxa"/>
            <w:vAlign w:val="top"/>
          </w:tcPr>
          <w:p w14:paraId="14AE98A6">
            <w:pPr>
              <w:rPr>
                <w:rFonts w:ascii="Arial"/>
                <w:sz w:val="21"/>
              </w:rPr>
            </w:pPr>
          </w:p>
        </w:tc>
        <w:tc>
          <w:tcPr>
            <w:tcW w:w="1258" w:type="dxa"/>
            <w:vAlign w:val="top"/>
          </w:tcPr>
          <w:p w14:paraId="491F95A6">
            <w:pPr>
              <w:rPr>
                <w:rFonts w:ascii="Arial"/>
                <w:sz w:val="21"/>
              </w:rPr>
            </w:pPr>
          </w:p>
        </w:tc>
        <w:tc>
          <w:tcPr>
            <w:tcW w:w="1249" w:type="dxa"/>
            <w:vAlign w:val="top"/>
          </w:tcPr>
          <w:p w14:paraId="7568F9E1">
            <w:pPr>
              <w:rPr>
                <w:rFonts w:ascii="Arial"/>
                <w:sz w:val="21"/>
              </w:rPr>
            </w:pPr>
          </w:p>
        </w:tc>
        <w:tc>
          <w:tcPr>
            <w:tcW w:w="924" w:type="dxa"/>
            <w:vAlign w:val="top"/>
          </w:tcPr>
          <w:p w14:paraId="76E0BD49">
            <w:pPr>
              <w:rPr>
                <w:rFonts w:ascii="Arial"/>
                <w:sz w:val="21"/>
              </w:rPr>
            </w:pPr>
          </w:p>
        </w:tc>
      </w:tr>
      <w:tr w14:paraId="19DE8C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9" w:hRule="atLeast"/>
        </w:trPr>
        <w:tc>
          <w:tcPr>
            <w:tcW w:w="564" w:type="dxa"/>
            <w:vAlign w:val="top"/>
          </w:tcPr>
          <w:p w14:paraId="7C1A9ABB">
            <w:pPr>
              <w:rPr>
                <w:rFonts w:ascii="Arial"/>
                <w:sz w:val="21"/>
              </w:rPr>
            </w:pPr>
          </w:p>
        </w:tc>
        <w:tc>
          <w:tcPr>
            <w:tcW w:w="1169" w:type="dxa"/>
            <w:vAlign w:val="top"/>
          </w:tcPr>
          <w:p w14:paraId="5E461A68">
            <w:pPr>
              <w:rPr>
                <w:rFonts w:ascii="Arial"/>
                <w:sz w:val="21"/>
              </w:rPr>
            </w:pPr>
          </w:p>
        </w:tc>
        <w:tc>
          <w:tcPr>
            <w:tcW w:w="2367" w:type="dxa"/>
            <w:vAlign w:val="top"/>
          </w:tcPr>
          <w:p w14:paraId="4513013B">
            <w:pPr>
              <w:rPr>
                <w:rFonts w:ascii="Arial"/>
                <w:sz w:val="21"/>
              </w:rPr>
            </w:pPr>
          </w:p>
        </w:tc>
        <w:tc>
          <w:tcPr>
            <w:tcW w:w="1259" w:type="dxa"/>
            <w:vAlign w:val="top"/>
          </w:tcPr>
          <w:p w14:paraId="439E3CC0">
            <w:pPr>
              <w:rPr>
                <w:rFonts w:ascii="Arial"/>
                <w:sz w:val="21"/>
              </w:rPr>
            </w:pPr>
          </w:p>
        </w:tc>
        <w:tc>
          <w:tcPr>
            <w:tcW w:w="1258" w:type="dxa"/>
            <w:vAlign w:val="top"/>
          </w:tcPr>
          <w:p w14:paraId="645EC0DF">
            <w:pPr>
              <w:rPr>
                <w:rFonts w:ascii="Arial"/>
                <w:sz w:val="21"/>
              </w:rPr>
            </w:pPr>
          </w:p>
        </w:tc>
        <w:tc>
          <w:tcPr>
            <w:tcW w:w="1249" w:type="dxa"/>
            <w:vAlign w:val="top"/>
          </w:tcPr>
          <w:p w14:paraId="053238F9">
            <w:pPr>
              <w:rPr>
                <w:rFonts w:ascii="Arial"/>
                <w:sz w:val="21"/>
              </w:rPr>
            </w:pPr>
          </w:p>
        </w:tc>
        <w:tc>
          <w:tcPr>
            <w:tcW w:w="924" w:type="dxa"/>
            <w:vAlign w:val="top"/>
          </w:tcPr>
          <w:p w14:paraId="6E577A2B">
            <w:pPr>
              <w:rPr>
                <w:rFonts w:ascii="Arial"/>
                <w:sz w:val="21"/>
              </w:rPr>
            </w:pPr>
          </w:p>
        </w:tc>
      </w:tr>
      <w:tr w14:paraId="28A276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9" w:hRule="atLeast"/>
        </w:trPr>
        <w:tc>
          <w:tcPr>
            <w:tcW w:w="564" w:type="dxa"/>
            <w:vAlign w:val="top"/>
          </w:tcPr>
          <w:p w14:paraId="2625876F">
            <w:pPr>
              <w:rPr>
                <w:rFonts w:ascii="Arial"/>
                <w:sz w:val="21"/>
              </w:rPr>
            </w:pPr>
          </w:p>
        </w:tc>
        <w:tc>
          <w:tcPr>
            <w:tcW w:w="1169" w:type="dxa"/>
            <w:vAlign w:val="top"/>
          </w:tcPr>
          <w:p w14:paraId="7C542C82">
            <w:pPr>
              <w:rPr>
                <w:rFonts w:ascii="Arial"/>
                <w:sz w:val="21"/>
              </w:rPr>
            </w:pPr>
          </w:p>
        </w:tc>
        <w:tc>
          <w:tcPr>
            <w:tcW w:w="2367" w:type="dxa"/>
            <w:vAlign w:val="top"/>
          </w:tcPr>
          <w:p w14:paraId="12705200">
            <w:pPr>
              <w:rPr>
                <w:rFonts w:ascii="Arial"/>
                <w:sz w:val="21"/>
              </w:rPr>
            </w:pPr>
          </w:p>
        </w:tc>
        <w:tc>
          <w:tcPr>
            <w:tcW w:w="1259" w:type="dxa"/>
            <w:vAlign w:val="top"/>
          </w:tcPr>
          <w:p w14:paraId="3C514BC9">
            <w:pPr>
              <w:rPr>
                <w:rFonts w:ascii="Arial"/>
                <w:sz w:val="21"/>
              </w:rPr>
            </w:pPr>
          </w:p>
        </w:tc>
        <w:tc>
          <w:tcPr>
            <w:tcW w:w="1258" w:type="dxa"/>
            <w:vAlign w:val="top"/>
          </w:tcPr>
          <w:p w14:paraId="2E989C76">
            <w:pPr>
              <w:rPr>
                <w:rFonts w:ascii="Arial"/>
                <w:sz w:val="21"/>
              </w:rPr>
            </w:pPr>
          </w:p>
        </w:tc>
        <w:tc>
          <w:tcPr>
            <w:tcW w:w="1249" w:type="dxa"/>
            <w:vAlign w:val="top"/>
          </w:tcPr>
          <w:p w14:paraId="4E000025">
            <w:pPr>
              <w:rPr>
                <w:rFonts w:ascii="Arial"/>
                <w:sz w:val="21"/>
              </w:rPr>
            </w:pPr>
          </w:p>
        </w:tc>
        <w:tc>
          <w:tcPr>
            <w:tcW w:w="924" w:type="dxa"/>
            <w:vAlign w:val="top"/>
          </w:tcPr>
          <w:p w14:paraId="535A1683">
            <w:pPr>
              <w:rPr>
                <w:rFonts w:ascii="Arial"/>
                <w:sz w:val="21"/>
              </w:rPr>
            </w:pPr>
          </w:p>
        </w:tc>
      </w:tr>
      <w:tr w14:paraId="761FD5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4" w:hRule="atLeast"/>
        </w:trPr>
        <w:tc>
          <w:tcPr>
            <w:tcW w:w="6617" w:type="dxa"/>
            <w:gridSpan w:val="5"/>
            <w:vAlign w:val="top"/>
          </w:tcPr>
          <w:p w14:paraId="3A62ED2F">
            <w:pPr>
              <w:spacing w:line="249" w:lineRule="auto"/>
              <w:rPr>
                <w:rFonts w:ascii="Arial"/>
                <w:sz w:val="21"/>
              </w:rPr>
            </w:pPr>
          </w:p>
          <w:p w14:paraId="4F4BBA0E">
            <w:pPr>
              <w:pStyle w:val="6"/>
              <w:spacing w:before="68" w:line="221" w:lineRule="auto"/>
              <w:ind w:left="3085"/>
            </w:pPr>
            <w:r>
              <w:rPr>
                <w:spacing w:val="-3"/>
              </w:rPr>
              <w:t>合计</w:t>
            </w:r>
          </w:p>
        </w:tc>
        <w:tc>
          <w:tcPr>
            <w:tcW w:w="1249" w:type="dxa"/>
            <w:vAlign w:val="top"/>
          </w:tcPr>
          <w:p w14:paraId="1B67C3E2">
            <w:pPr>
              <w:rPr>
                <w:rFonts w:ascii="Arial"/>
                <w:sz w:val="21"/>
              </w:rPr>
            </w:pPr>
          </w:p>
        </w:tc>
        <w:tc>
          <w:tcPr>
            <w:tcW w:w="924" w:type="dxa"/>
            <w:vAlign w:val="top"/>
          </w:tcPr>
          <w:p w14:paraId="3C234AEF">
            <w:pPr>
              <w:rPr>
                <w:rFonts w:ascii="Arial"/>
                <w:sz w:val="21"/>
              </w:rPr>
            </w:pPr>
          </w:p>
        </w:tc>
      </w:tr>
    </w:tbl>
    <w:p w14:paraId="1F7371C2">
      <w:pPr>
        <w:spacing w:line="244" w:lineRule="auto"/>
        <w:rPr>
          <w:rFonts w:ascii="Arial"/>
          <w:sz w:val="21"/>
        </w:rPr>
      </w:pPr>
    </w:p>
    <w:p w14:paraId="00095535">
      <w:pPr>
        <w:pStyle w:val="2"/>
        <w:spacing w:before="65" w:line="218" w:lineRule="auto"/>
        <w:ind w:left="10"/>
        <w:rPr>
          <w:sz w:val="20"/>
          <w:szCs w:val="20"/>
        </w:rPr>
      </w:pPr>
      <w:r>
        <w:rPr>
          <w:spacing w:val="17"/>
          <w:sz w:val="20"/>
          <w:szCs w:val="20"/>
        </w:rPr>
        <w:t>编制人(造价人员):</w:t>
      </w:r>
      <w:r>
        <w:rPr>
          <w:spacing w:val="3"/>
          <w:sz w:val="20"/>
          <w:szCs w:val="20"/>
        </w:rPr>
        <w:t xml:space="preserve">                       </w:t>
      </w:r>
      <w:r>
        <w:rPr>
          <w:spacing w:val="2"/>
          <w:sz w:val="20"/>
          <w:szCs w:val="20"/>
        </w:rPr>
        <w:t xml:space="preserve">      </w:t>
      </w:r>
      <w:r>
        <w:rPr>
          <w:spacing w:val="17"/>
          <w:sz w:val="20"/>
          <w:szCs w:val="20"/>
        </w:rPr>
        <w:t>复核人(造价工程师):</w:t>
      </w:r>
    </w:p>
    <w:p w14:paraId="11B46383">
      <w:pPr>
        <w:spacing w:line="274" w:lineRule="auto"/>
        <w:rPr>
          <w:rFonts w:ascii="Arial"/>
          <w:sz w:val="21"/>
        </w:rPr>
      </w:pPr>
    </w:p>
    <w:p w14:paraId="6A520236">
      <w:pPr>
        <w:pStyle w:val="2"/>
        <w:spacing w:before="66" w:line="251" w:lineRule="auto"/>
        <w:ind w:left="749" w:hanging="749"/>
        <w:rPr>
          <w:sz w:val="20"/>
          <w:szCs w:val="20"/>
        </w:rPr>
      </w:pPr>
      <w:r>
        <w:rPr>
          <w:spacing w:val="14"/>
          <w:sz w:val="20"/>
          <w:szCs w:val="20"/>
        </w:rPr>
        <w:t>注：1. “计价基础”中安全文明施工费可为“定额人工费+定额机械费”,其他项目可为“定额</w:t>
      </w:r>
      <w:r>
        <w:rPr>
          <w:sz w:val="20"/>
          <w:szCs w:val="20"/>
        </w:rPr>
        <w:t xml:space="preserve"> </w:t>
      </w:r>
      <w:r>
        <w:rPr>
          <w:spacing w:val="-5"/>
          <w:sz w:val="20"/>
          <w:szCs w:val="20"/>
        </w:rPr>
        <w:t>人工费+定额机械费”。</w:t>
      </w:r>
    </w:p>
    <w:p w14:paraId="57517B29">
      <w:pPr>
        <w:pStyle w:val="2"/>
        <w:spacing w:line="251" w:lineRule="auto"/>
        <w:ind w:left="749" w:hanging="330"/>
        <w:rPr>
          <w:sz w:val="20"/>
          <w:szCs w:val="20"/>
        </w:rPr>
      </w:pPr>
      <w:r>
        <w:rPr>
          <w:spacing w:val="-4"/>
          <w:sz w:val="20"/>
          <w:szCs w:val="20"/>
        </w:rPr>
        <w:t>2. 按施工方案计算的措施费，若无“计算基础</w:t>
      </w:r>
      <w:r>
        <w:rPr>
          <w:spacing w:val="-5"/>
          <w:sz w:val="20"/>
          <w:szCs w:val="20"/>
        </w:rPr>
        <w:t>”和“费率”的数值，也可只填“金额”数值，但应</w:t>
      </w:r>
      <w:r>
        <w:rPr>
          <w:sz w:val="20"/>
          <w:szCs w:val="20"/>
        </w:rPr>
        <w:t xml:space="preserve"> </w:t>
      </w:r>
      <w:r>
        <w:rPr>
          <w:spacing w:val="7"/>
          <w:sz w:val="20"/>
          <w:szCs w:val="20"/>
        </w:rPr>
        <w:t>在备注栏说明施工方案出处或计算方法。</w:t>
      </w:r>
    </w:p>
    <w:p w14:paraId="5E056EC1">
      <w:pPr>
        <w:spacing w:line="251" w:lineRule="auto"/>
        <w:rPr>
          <w:sz w:val="20"/>
          <w:szCs w:val="20"/>
        </w:rPr>
        <w:sectPr>
          <w:footerReference r:id="rId307" w:type="default"/>
          <w:pgSz w:w="11910" w:h="16840"/>
          <w:pgMar w:top="400" w:right="1531" w:bottom="1024" w:left="1460" w:header="0" w:footer="889" w:gutter="0"/>
          <w:cols w:space="720" w:num="1"/>
        </w:sectPr>
      </w:pPr>
    </w:p>
    <w:p w14:paraId="495C4EF7">
      <w:pPr>
        <w:spacing w:line="259" w:lineRule="auto"/>
        <w:rPr>
          <w:rFonts w:ascii="Arial"/>
          <w:sz w:val="21"/>
        </w:rPr>
      </w:pPr>
    </w:p>
    <w:p w14:paraId="59822AD0">
      <w:pPr>
        <w:spacing w:line="259" w:lineRule="auto"/>
        <w:rPr>
          <w:rFonts w:ascii="Arial"/>
          <w:sz w:val="21"/>
        </w:rPr>
      </w:pPr>
    </w:p>
    <w:p w14:paraId="03995F28">
      <w:pPr>
        <w:spacing w:line="259" w:lineRule="auto"/>
        <w:rPr>
          <w:rFonts w:ascii="Arial"/>
          <w:sz w:val="21"/>
        </w:rPr>
      </w:pPr>
    </w:p>
    <w:p w14:paraId="18F1F773">
      <w:pPr>
        <w:spacing w:line="259" w:lineRule="auto"/>
        <w:rPr>
          <w:rFonts w:ascii="Arial"/>
          <w:sz w:val="21"/>
        </w:rPr>
      </w:pPr>
    </w:p>
    <w:p w14:paraId="5685B074">
      <w:pPr>
        <w:spacing w:line="259" w:lineRule="auto"/>
        <w:rPr>
          <w:rFonts w:ascii="Arial"/>
          <w:sz w:val="21"/>
        </w:rPr>
      </w:pPr>
    </w:p>
    <w:p w14:paraId="0C224D7E">
      <w:pPr>
        <w:spacing w:before="82" w:line="222" w:lineRule="auto"/>
        <w:ind w:left="423"/>
        <w:outlineLvl w:val="2"/>
        <w:rPr>
          <w:rFonts w:ascii="黑体" w:hAnsi="黑体" w:eastAsia="黑体" w:cs="黑体"/>
          <w:sz w:val="25"/>
          <w:szCs w:val="25"/>
        </w:rPr>
      </w:pPr>
      <w:bookmarkStart w:id="291" w:name="bookmark199"/>
      <w:bookmarkEnd w:id="291"/>
      <w:bookmarkStart w:id="292" w:name="bookmark328"/>
      <w:bookmarkEnd w:id="292"/>
      <w:r>
        <w:rPr>
          <w:rFonts w:ascii="黑体" w:hAnsi="黑体" w:eastAsia="黑体" w:cs="黑体"/>
          <w:b/>
          <w:bCs/>
          <w:spacing w:val="-3"/>
          <w:sz w:val="25"/>
          <w:szCs w:val="25"/>
        </w:rPr>
        <w:t>4.12其他项目清单与计价汇总表</w:t>
      </w:r>
    </w:p>
    <w:p w14:paraId="1C93BC97">
      <w:pPr>
        <w:spacing w:before="159" w:line="222" w:lineRule="auto"/>
        <w:ind w:left="2763"/>
        <w:rPr>
          <w:rFonts w:ascii="黑体" w:hAnsi="黑体" w:eastAsia="黑体" w:cs="黑体"/>
          <w:sz w:val="28"/>
          <w:szCs w:val="28"/>
        </w:rPr>
      </w:pPr>
      <w:r>
        <w:rPr>
          <w:rFonts w:ascii="黑体" w:hAnsi="黑体" w:eastAsia="黑体" w:cs="黑体"/>
          <w:b/>
          <w:bCs/>
          <w:sz w:val="28"/>
          <w:szCs w:val="28"/>
        </w:rPr>
        <w:t>其他项目清单与计价汇总表</w:t>
      </w:r>
    </w:p>
    <w:p w14:paraId="03B0D9FC">
      <w:pPr>
        <w:pStyle w:val="2"/>
        <w:spacing w:before="137" w:line="205" w:lineRule="auto"/>
        <w:ind w:left="10"/>
        <w:rPr>
          <w:sz w:val="23"/>
          <w:szCs w:val="23"/>
        </w:rPr>
      </w:pPr>
      <w:r>
        <w:rPr>
          <w:sz w:val="23"/>
          <w:szCs w:val="23"/>
        </w:rPr>
        <w:t>工程名称：                      标段名称：</w:t>
      </w:r>
      <w:r>
        <w:rPr>
          <w:spacing w:val="5"/>
          <w:sz w:val="23"/>
          <w:szCs w:val="23"/>
        </w:rPr>
        <w:t xml:space="preserve">               </w:t>
      </w:r>
      <w:r>
        <w:rPr>
          <w:sz w:val="23"/>
          <w:szCs w:val="23"/>
        </w:rPr>
        <w:t>第 页共</w:t>
      </w:r>
      <w:r>
        <w:rPr>
          <w:spacing w:val="33"/>
          <w:sz w:val="23"/>
          <w:szCs w:val="23"/>
        </w:rPr>
        <w:t xml:space="preserve"> </w:t>
      </w:r>
      <w:r>
        <w:rPr>
          <w:sz w:val="23"/>
          <w:szCs w:val="23"/>
        </w:rPr>
        <w:t>页</w:t>
      </w:r>
    </w:p>
    <w:tbl>
      <w:tblPr>
        <w:tblStyle w:val="5"/>
        <w:tblW w:w="8460" w:type="dxa"/>
        <w:tblInd w:w="2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14"/>
        <w:gridCol w:w="2927"/>
        <w:gridCol w:w="1558"/>
        <w:gridCol w:w="1578"/>
        <w:gridCol w:w="1583"/>
      </w:tblGrid>
      <w:tr w14:paraId="4F8FA8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4" w:hRule="atLeast"/>
        </w:trPr>
        <w:tc>
          <w:tcPr>
            <w:tcW w:w="814" w:type="dxa"/>
            <w:vAlign w:val="top"/>
          </w:tcPr>
          <w:p w14:paraId="3310FE49">
            <w:pPr>
              <w:spacing w:line="274" w:lineRule="auto"/>
              <w:rPr>
                <w:rFonts w:ascii="Arial"/>
                <w:sz w:val="21"/>
              </w:rPr>
            </w:pPr>
          </w:p>
          <w:p w14:paraId="7567103F">
            <w:pPr>
              <w:pStyle w:val="6"/>
              <w:spacing w:before="69" w:line="221" w:lineRule="auto"/>
              <w:ind w:left="184"/>
            </w:pPr>
            <w:r>
              <w:rPr>
                <w:spacing w:val="6"/>
              </w:rPr>
              <w:t>序号</w:t>
            </w:r>
          </w:p>
        </w:tc>
        <w:tc>
          <w:tcPr>
            <w:tcW w:w="2927" w:type="dxa"/>
            <w:vAlign w:val="top"/>
          </w:tcPr>
          <w:p w14:paraId="2BADF839">
            <w:pPr>
              <w:spacing w:line="274" w:lineRule="auto"/>
              <w:rPr>
                <w:rFonts w:ascii="Arial"/>
                <w:sz w:val="21"/>
              </w:rPr>
            </w:pPr>
          </w:p>
          <w:p w14:paraId="2BFD65B4">
            <w:pPr>
              <w:pStyle w:val="6"/>
              <w:spacing w:before="68" w:line="220" w:lineRule="auto"/>
              <w:ind w:left="1050"/>
            </w:pPr>
            <w:r>
              <w:rPr>
                <w:spacing w:val="2"/>
              </w:rPr>
              <w:t>项目名称</w:t>
            </w:r>
          </w:p>
        </w:tc>
        <w:tc>
          <w:tcPr>
            <w:tcW w:w="1558" w:type="dxa"/>
            <w:vAlign w:val="top"/>
          </w:tcPr>
          <w:p w14:paraId="04ABA716">
            <w:pPr>
              <w:spacing w:line="273" w:lineRule="auto"/>
              <w:rPr>
                <w:rFonts w:ascii="Arial"/>
                <w:sz w:val="21"/>
              </w:rPr>
            </w:pPr>
          </w:p>
          <w:p w14:paraId="193C7139">
            <w:pPr>
              <w:pStyle w:val="6"/>
              <w:spacing w:before="69" w:line="219" w:lineRule="auto"/>
              <w:ind w:left="354"/>
            </w:pPr>
            <w:r>
              <w:rPr>
                <w:spacing w:val="9"/>
              </w:rPr>
              <w:t>金额(元)</w:t>
            </w:r>
          </w:p>
        </w:tc>
        <w:tc>
          <w:tcPr>
            <w:tcW w:w="1578" w:type="dxa"/>
            <w:vAlign w:val="top"/>
          </w:tcPr>
          <w:p w14:paraId="32DD1C3B">
            <w:pPr>
              <w:spacing w:line="273" w:lineRule="auto"/>
              <w:rPr>
                <w:rFonts w:ascii="Arial"/>
                <w:sz w:val="21"/>
              </w:rPr>
            </w:pPr>
          </w:p>
          <w:p w14:paraId="16A34D78">
            <w:pPr>
              <w:pStyle w:val="6"/>
              <w:spacing w:before="69" w:line="219" w:lineRule="auto"/>
              <w:ind w:left="176"/>
            </w:pPr>
            <w:r>
              <w:rPr>
                <w:spacing w:val="6"/>
              </w:rPr>
              <w:t>结算金额(元)</w:t>
            </w:r>
          </w:p>
        </w:tc>
        <w:tc>
          <w:tcPr>
            <w:tcW w:w="1583" w:type="dxa"/>
            <w:vAlign w:val="top"/>
          </w:tcPr>
          <w:p w14:paraId="1123CDA7">
            <w:pPr>
              <w:spacing w:line="274" w:lineRule="auto"/>
              <w:rPr>
                <w:rFonts w:ascii="Arial"/>
                <w:sz w:val="21"/>
              </w:rPr>
            </w:pPr>
          </w:p>
          <w:p w14:paraId="164343D7">
            <w:pPr>
              <w:pStyle w:val="6"/>
              <w:spacing w:before="69" w:line="221" w:lineRule="auto"/>
              <w:ind w:left="577"/>
            </w:pPr>
            <w:r>
              <w:rPr>
                <w:spacing w:val="5"/>
              </w:rPr>
              <w:t>备注</w:t>
            </w:r>
          </w:p>
        </w:tc>
      </w:tr>
      <w:tr w14:paraId="007A04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9" w:hRule="atLeast"/>
        </w:trPr>
        <w:tc>
          <w:tcPr>
            <w:tcW w:w="814" w:type="dxa"/>
            <w:vAlign w:val="top"/>
          </w:tcPr>
          <w:p w14:paraId="29E326C3">
            <w:pPr>
              <w:spacing w:line="290" w:lineRule="auto"/>
              <w:rPr>
                <w:rFonts w:ascii="Arial"/>
                <w:sz w:val="21"/>
              </w:rPr>
            </w:pPr>
          </w:p>
          <w:p w14:paraId="26E68232">
            <w:pPr>
              <w:pStyle w:val="6"/>
              <w:spacing w:before="68" w:line="241" w:lineRule="auto"/>
              <w:ind w:left="345"/>
            </w:pPr>
            <w:r>
              <w:t>1</w:t>
            </w:r>
          </w:p>
        </w:tc>
        <w:tc>
          <w:tcPr>
            <w:tcW w:w="2927" w:type="dxa"/>
            <w:vAlign w:val="top"/>
          </w:tcPr>
          <w:p w14:paraId="139C6D49">
            <w:pPr>
              <w:spacing w:line="269" w:lineRule="auto"/>
              <w:rPr>
                <w:rFonts w:ascii="Arial"/>
                <w:sz w:val="21"/>
              </w:rPr>
            </w:pPr>
          </w:p>
          <w:p w14:paraId="03583B33">
            <w:pPr>
              <w:pStyle w:val="6"/>
              <w:spacing w:before="69" w:line="219" w:lineRule="auto"/>
              <w:ind w:left="110"/>
            </w:pPr>
            <w:r>
              <w:rPr>
                <w:spacing w:val="2"/>
              </w:rPr>
              <w:t>暂列金额</w:t>
            </w:r>
          </w:p>
        </w:tc>
        <w:tc>
          <w:tcPr>
            <w:tcW w:w="1558" w:type="dxa"/>
            <w:vAlign w:val="top"/>
          </w:tcPr>
          <w:p w14:paraId="5844EE42">
            <w:pPr>
              <w:rPr>
                <w:rFonts w:ascii="Arial"/>
                <w:sz w:val="21"/>
              </w:rPr>
            </w:pPr>
          </w:p>
        </w:tc>
        <w:tc>
          <w:tcPr>
            <w:tcW w:w="1578" w:type="dxa"/>
            <w:vAlign w:val="top"/>
          </w:tcPr>
          <w:p w14:paraId="52561AA9">
            <w:pPr>
              <w:rPr>
                <w:rFonts w:ascii="Arial"/>
                <w:sz w:val="21"/>
              </w:rPr>
            </w:pPr>
          </w:p>
        </w:tc>
        <w:tc>
          <w:tcPr>
            <w:tcW w:w="1583" w:type="dxa"/>
            <w:vAlign w:val="top"/>
          </w:tcPr>
          <w:p w14:paraId="6D88931D">
            <w:pPr>
              <w:pStyle w:val="6"/>
              <w:spacing w:before="210" w:line="259" w:lineRule="auto"/>
              <w:ind w:left="367" w:right="343"/>
            </w:pPr>
            <w:r>
              <w:rPr>
                <w:spacing w:val="2"/>
              </w:rPr>
              <w:t>明细详见</w:t>
            </w:r>
            <w:r>
              <w:rPr>
                <w:spacing w:val="1"/>
              </w:rPr>
              <w:t xml:space="preserve"> </w:t>
            </w:r>
            <w:r>
              <w:rPr>
                <w:spacing w:val="3"/>
              </w:rPr>
              <w:t>表4.12-1</w:t>
            </w:r>
          </w:p>
        </w:tc>
      </w:tr>
      <w:tr w14:paraId="29FEA8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9" w:hRule="atLeast"/>
        </w:trPr>
        <w:tc>
          <w:tcPr>
            <w:tcW w:w="814" w:type="dxa"/>
            <w:vAlign w:val="top"/>
          </w:tcPr>
          <w:p w14:paraId="1FB90849">
            <w:pPr>
              <w:spacing w:line="301" w:lineRule="auto"/>
              <w:rPr>
                <w:rFonts w:ascii="Arial"/>
                <w:sz w:val="21"/>
              </w:rPr>
            </w:pPr>
          </w:p>
          <w:p w14:paraId="3E40A0FC">
            <w:pPr>
              <w:pStyle w:val="6"/>
              <w:spacing w:before="68" w:line="241" w:lineRule="auto"/>
              <w:ind w:left="345"/>
            </w:pPr>
            <w:r>
              <w:t>2</w:t>
            </w:r>
          </w:p>
        </w:tc>
        <w:tc>
          <w:tcPr>
            <w:tcW w:w="2927" w:type="dxa"/>
            <w:vAlign w:val="top"/>
          </w:tcPr>
          <w:p w14:paraId="19672113">
            <w:pPr>
              <w:spacing w:line="278" w:lineRule="auto"/>
              <w:rPr>
                <w:rFonts w:ascii="Arial"/>
                <w:sz w:val="21"/>
              </w:rPr>
            </w:pPr>
          </w:p>
          <w:p w14:paraId="73E9AC0C">
            <w:pPr>
              <w:pStyle w:val="6"/>
              <w:spacing w:before="69" w:line="218" w:lineRule="auto"/>
              <w:ind w:left="110"/>
            </w:pPr>
            <w:r>
              <w:rPr>
                <w:spacing w:val="3"/>
              </w:rPr>
              <w:t>暂估价</w:t>
            </w:r>
          </w:p>
        </w:tc>
        <w:tc>
          <w:tcPr>
            <w:tcW w:w="1558" w:type="dxa"/>
            <w:vAlign w:val="top"/>
          </w:tcPr>
          <w:p w14:paraId="1AA267A5">
            <w:pPr>
              <w:rPr>
                <w:rFonts w:ascii="Arial"/>
                <w:sz w:val="21"/>
              </w:rPr>
            </w:pPr>
          </w:p>
        </w:tc>
        <w:tc>
          <w:tcPr>
            <w:tcW w:w="1578" w:type="dxa"/>
            <w:vAlign w:val="top"/>
          </w:tcPr>
          <w:p w14:paraId="02C65B56">
            <w:pPr>
              <w:rPr>
                <w:rFonts w:ascii="Arial"/>
                <w:sz w:val="21"/>
              </w:rPr>
            </w:pPr>
          </w:p>
        </w:tc>
        <w:tc>
          <w:tcPr>
            <w:tcW w:w="1583" w:type="dxa"/>
            <w:vAlign w:val="top"/>
          </w:tcPr>
          <w:p w14:paraId="305C4458">
            <w:pPr>
              <w:rPr>
                <w:rFonts w:ascii="Arial"/>
                <w:sz w:val="21"/>
              </w:rPr>
            </w:pPr>
          </w:p>
        </w:tc>
      </w:tr>
      <w:tr w14:paraId="5D07C3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9" w:hRule="atLeast"/>
        </w:trPr>
        <w:tc>
          <w:tcPr>
            <w:tcW w:w="814" w:type="dxa"/>
            <w:vAlign w:val="top"/>
          </w:tcPr>
          <w:p w14:paraId="29FE92C1">
            <w:pPr>
              <w:spacing w:line="302" w:lineRule="auto"/>
              <w:rPr>
                <w:rFonts w:ascii="Arial"/>
                <w:sz w:val="21"/>
              </w:rPr>
            </w:pPr>
          </w:p>
          <w:p w14:paraId="794C37CB">
            <w:pPr>
              <w:pStyle w:val="6"/>
              <w:spacing w:before="68" w:line="239" w:lineRule="auto"/>
              <w:ind w:left="234"/>
            </w:pPr>
            <w:r>
              <w:rPr>
                <w:spacing w:val="-3"/>
              </w:rPr>
              <w:t>2.1</w:t>
            </w:r>
          </w:p>
        </w:tc>
        <w:tc>
          <w:tcPr>
            <w:tcW w:w="2927" w:type="dxa"/>
            <w:vAlign w:val="top"/>
          </w:tcPr>
          <w:p w14:paraId="2C70E435">
            <w:pPr>
              <w:spacing w:line="279" w:lineRule="auto"/>
              <w:rPr>
                <w:rFonts w:ascii="Arial"/>
                <w:sz w:val="21"/>
              </w:rPr>
            </w:pPr>
          </w:p>
          <w:p w14:paraId="2ADAED5C">
            <w:pPr>
              <w:pStyle w:val="6"/>
              <w:spacing w:before="69" w:line="218" w:lineRule="auto"/>
              <w:ind w:left="110"/>
            </w:pPr>
            <w:r>
              <w:rPr>
                <w:spacing w:val="-1"/>
              </w:rPr>
              <w:t>材料(工程设备)暂估价</w:t>
            </w:r>
          </w:p>
        </w:tc>
        <w:tc>
          <w:tcPr>
            <w:tcW w:w="1558" w:type="dxa"/>
            <w:vAlign w:val="top"/>
          </w:tcPr>
          <w:p w14:paraId="47E3B541">
            <w:pPr>
              <w:spacing w:line="380" w:lineRule="auto"/>
              <w:rPr>
                <w:rFonts w:ascii="Arial"/>
                <w:sz w:val="21"/>
              </w:rPr>
            </w:pPr>
          </w:p>
          <w:p w14:paraId="460625F3">
            <w:pPr>
              <w:pStyle w:val="6"/>
              <w:spacing w:before="68" w:line="163" w:lineRule="exact"/>
              <w:ind w:left="664"/>
            </w:pPr>
            <w:r>
              <w:rPr>
                <w:position w:val="-4"/>
              </w:rPr>
              <w:t>一</w:t>
            </w:r>
          </w:p>
        </w:tc>
        <w:tc>
          <w:tcPr>
            <w:tcW w:w="1578" w:type="dxa"/>
            <w:vAlign w:val="top"/>
          </w:tcPr>
          <w:p w14:paraId="3AE3A24B">
            <w:pPr>
              <w:rPr>
                <w:rFonts w:ascii="Arial"/>
                <w:sz w:val="21"/>
              </w:rPr>
            </w:pPr>
          </w:p>
        </w:tc>
        <w:tc>
          <w:tcPr>
            <w:tcW w:w="1583" w:type="dxa"/>
            <w:vAlign w:val="top"/>
          </w:tcPr>
          <w:p w14:paraId="47D26E03">
            <w:pPr>
              <w:pStyle w:val="6"/>
              <w:spacing w:before="220" w:line="242" w:lineRule="auto"/>
              <w:ind w:left="367" w:right="351"/>
            </w:pPr>
            <w:r>
              <w:rPr>
                <w:spacing w:val="2"/>
              </w:rPr>
              <w:t>明细详见</w:t>
            </w:r>
            <w:r>
              <w:rPr>
                <w:spacing w:val="1"/>
              </w:rPr>
              <w:t xml:space="preserve"> 表4.12-2</w:t>
            </w:r>
          </w:p>
        </w:tc>
      </w:tr>
      <w:tr w14:paraId="5991DD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0" w:hRule="atLeast"/>
        </w:trPr>
        <w:tc>
          <w:tcPr>
            <w:tcW w:w="814" w:type="dxa"/>
            <w:vAlign w:val="top"/>
          </w:tcPr>
          <w:p w14:paraId="397087B0">
            <w:pPr>
              <w:spacing w:line="293" w:lineRule="auto"/>
              <w:rPr>
                <w:rFonts w:ascii="Arial"/>
                <w:sz w:val="21"/>
              </w:rPr>
            </w:pPr>
          </w:p>
          <w:p w14:paraId="3017AA7C">
            <w:pPr>
              <w:pStyle w:val="6"/>
              <w:spacing w:before="68" w:line="239" w:lineRule="auto"/>
              <w:ind w:left="234"/>
            </w:pPr>
            <w:r>
              <w:rPr>
                <w:spacing w:val="-3"/>
              </w:rPr>
              <w:t>2.2</w:t>
            </w:r>
          </w:p>
        </w:tc>
        <w:tc>
          <w:tcPr>
            <w:tcW w:w="2927" w:type="dxa"/>
            <w:vAlign w:val="top"/>
          </w:tcPr>
          <w:p w14:paraId="29940C8D">
            <w:pPr>
              <w:spacing w:line="270" w:lineRule="auto"/>
              <w:rPr>
                <w:rFonts w:ascii="Arial"/>
                <w:sz w:val="21"/>
              </w:rPr>
            </w:pPr>
          </w:p>
          <w:p w14:paraId="47B2157E">
            <w:pPr>
              <w:pStyle w:val="6"/>
              <w:spacing w:before="69" w:line="218" w:lineRule="auto"/>
              <w:ind w:left="110"/>
            </w:pPr>
            <w:r>
              <w:rPr>
                <w:spacing w:val="-2"/>
              </w:rPr>
              <w:t>专业工程暂估价</w:t>
            </w:r>
          </w:p>
        </w:tc>
        <w:tc>
          <w:tcPr>
            <w:tcW w:w="1558" w:type="dxa"/>
            <w:vAlign w:val="top"/>
          </w:tcPr>
          <w:p w14:paraId="12BB46E6">
            <w:pPr>
              <w:rPr>
                <w:rFonts w:ascii="Arial"/>
                <w:sz w:val="21"/>
              </w:rPr>
            </w:pPr>
          </w:p>
        </w:tc>
        <w:tc>
          <w:tcPr>
            <w:tcW w:w="1578" w:type="dxa"/>
            <w:vAlign w:val="top"/>
          </w:tcPr>
          <w:p w14:paraId="4830CE0E">
            <w:pPr>
              <w:rPr>
                <w:rFonts w:ascii="Arial"/>
                <w:sz w:val="21"/>
              </w:rPr>
            </w:pPr>
          </w:p>
        </w:tc>
        <w:tc>
          <w:tcPr>
            <w:tcW w:w="1583" w:type="dxa"/>
            <w:vAlign w:val="top"/>
          </w:tcPr>
          <w:p w14:paraId="5C63C243">
            <w:pPr>
              <w:pStyle w:val="6"/>
              <w:spacing w:before="201" w:line="242" w:lineRule="auto"/>
              <w:ind w:left="367" w:right="351"/>
            </w:pPr>
            <w:r>
              <w:rPr>
                <w:spacing w:val="2"/>
              </w:rPr>
              <w:t>明细详见</w:t>
            </w:r>
            <w:r>
              <w:rPr>
                <w:spacing w:val="1"/>
              </w:rPr>
              <w:t xml:space="preserve"> 表4.12-3</w:t>
            </w:r>
          </w:p>
        </w:tc>
      </w:tr>
      <w:tr w14:paraId="29C720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9" w:hRule="atLeast"/>
        </w:trPr>
        <w:tc>
          <w:tcPr>
            <w:tcW w:w="814" w:type="dxa"/>
            <w:vAlign w:val="top"/>
          </w:tcPr>
          <w:p w14:paraId="01F02FAA">
            <w:pPr>
              <w:spacing w:line="293" w:lineRule="auto"/>
              <w:rPr>
                <w:rFonts w:ascii="Arial"/>
                <w:sz w:val="21"/>
              </w:rPr>
            </w:pPr>
          </w:p>
          <w:p w14:paraId="02E2F503">
            <w:pPr>
              <w:pStyle w:val="6"/>
              <w:spacing w:before="68"/>
              <w:ind w:left="345"/>
            </w:pPr>
            <w:r>
              <w:t>3</w:t>
            </w:r>
          </w:p>
        </w:tc>
        <w:tc>
          <w:tcPr>
            <w:tcW w:w="2927" w:type="dxa"/>
            <w:vAlign w:val="top"/>
          </w:tcPr>
          <w:p w14:paraId="3C1FEE99">
            <w:pPr>
              <w:spacing w:line="273" w:lineRule="auto"/>
              <w:rPr>
                <w:rFonts w:ascii="Arial"/>
                <w:sz w:val="21"/>
              </w:rPr>
            </w:pPr>
          </w:p>
          <w:p w14:paraId="2EB136FA">
            <w:pPr>
              <w:pStyle w:val="6"/>
              <w:spacing w:before="69" w:line="221" w:lineRule="auto"/>
              <w:ind w:left="110"/>
            </w:pPr>
            <w:r>
              <w:rPr>
                <w:spacing w:val="-2"/>
              </w:rPr>
              <w:t>计日工</w:t>
            </w:r>
          </w:p>
        </w:tc>
        <w:tc>
          <w:tcPr>
            <w:tcW w:w="1558" w:type="dxa"/>
            <w:vAlign w:val="top"/>
          </w:tcPr>
          <w:p w14:paraId="5AEB200B">
            <w:pPr>
              <w:rPr>
                <w:rFonts w:ascii="Arial"/>
                <w:sz w:val="21"/>
              </w:rPr>
            </w:pPr>
          </w:p>
        </w:tc>
        <w:tc>
          <w:tcPr>
            <w:tcW w:w="1578" w:type="dxa"/>
            <w:vAlign w:val="top"/>
          </w:tcPr>
          <w:p w14:paraId="6F632735">
            <w:pPr>
              <w:rPr>
                <w:rFonts w:ascii="Arial"/>
                <w:sz w:val="21"/>
              </w:rPr>
            </w:pPr>
          </w:p>
        </w:tc>
        <w:tc>
          <w:tcPr>
            <w:tcW w:w="1583" w:type="dxa"/>
            <w:vAlign w:val="top"/>
          </w:tcPr>
          <w:p w14:paraId="2B059E94">
            <w:pPr>
              <w:pStyle w:val="6"/>
              <w:spacing w:before="201" w:line="242" w:lineRule="auto"/>
              <w:ind w:left="367" w:right="354"/>
            </w:pPr>
            <w:r>
              <w:rPr>
                <w:spacing w:val="2"/>
              </w:rPr>
              <w:t>明细详见</w:t>
            </w:r>
            <w:r>
              <w:rPr>
                <w:spacing w:val="1"/>
              </w:rPr>
              <w:t xml:space="preserve"> </w:t>
            </w:r>
            <w:r>
              <w:rPr>
                <w:spacing w:val="-2"/>
              </w:rPr>
              <w:t>表4.12-4</w:t>
            </w:r>
          </w:p>
        </w:tc>
      </w:tr>
      <w:tr w14:paraId="73E36A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9" w:hRule="atLeast"/>
        </w:trPr>
        <w:tc>
          <w:tcPr>
            <w:tcW w:w="814" w:type="dxa"/>
            <w:vAlign w:val="top"/>
          </w:tcPr>
          <w:p w14:paraId="4DD108D5">
            <w:pPr>
              <w:spacing w:line="294" w:lineRule="auto"/>
              <w:rPr>
                <w:rFonts w:ascii="Arial"/>
                <w:sz w:val="21"/>
              </w:rPr>
            </w:pPr>
          </w:p>
          <w:p w14:paraId="430696AC">
            <w:pPr>
              <w:pStyle w:val="6"/>
              <w:spacing w:before="68" w:line="241" w:lineRule="auto"/>
              <w:ind w:left="345"/>
            </w:pPr>
            <w:r>
              <w:t>4</w:t>
            </w:r>
          </w:p>
        </w:tc>
        <w:tc>
          <w:tcPr>
            <w:tcW w:w="2927" w:type="dxa"/>
            <w:vAlign w:val="top"/>
          </w:tcPr>
          <w:p w14:paraId="6E0E436F">
            <w:pPr>
              <w:spacing w:line="273" w:lineRule="auto"/>
              <w:rPr>
                <w:rFonts w:ascii="Arial"/>
                <w:sz w:val="21"/>
              </w:rPr>
            </w:pPr>
          </w:p>
          <w:p w14:paraId="314F653A">
            <w:pPr>
              <w:pStyle w:val="6"/>
              <w:spacing w:before="69" w:line="219" w:lineRule="auto"/>
              <w:ind w:left="110"/>
            </w:pPr>
            <w:r>
              <w:rPr>
                <w:spacing w:val="2"/>
              </w:rPr>
              <w:t>总承包服务费</w:t>
            </w:r>
          </w:p>
        </w:tc>
        <w:tc>
          <w:tcPr>
            <w:tcW w:w="1558" w:type="dxa"/>
            <w:vAlign w:val="top"/>
          </w:tcPr>
          <w:p w14:paraId="13C8D870">
            <w:pPr>
              <w:rPr>
                <w:rFonts w:ascii="Arial"/>
                <w:sz w:val="21"/>
              </w:rPr>
            </w:pPr>
          </w:p>
        </w:tc>
        <w:tc>
          <w:tcPr>
            <w:tcW w:w="1578" w:type="dxa"/>
            <w:vAlign w:val="top"/>
          </w:tcPr>
          <w:p w14:paraId="7530D447">
            <w:pPr>
              <w:rPr>
                <w:rFonts w:ascii="Arial"/>
                <w:sz w:val="21"/>
              </w:rPr>
            </w:pPr>
          </w:p>
        </w:tc>
        <w:tc>
          <w:tcPr>
            <w:tcW w:w="1583" w:type="dxa"/>
            <w:vAlign w:val="top"/>
          </w:tcPr>
          <w:p w14:paraId="549C1BA3">
            <w:pPr>
              <w:pStyle w:val="6"/>
              <w:spacing w:before="213" w:line="233" w:lineRule="auto"/>
              <w:ind w:left="367" w:right="351"/>
            </w:pPr>
            <w:r>
              <w:rPr>
                <w:spacing w:val="2"/>
              </w:rPr>
              <w:t>明细详见</w:t>
            </w:r>
            <w:r>
              <w:rPr>
                <w:spacing w:val="1"/>
              </w:rPr>
              <w:t xml:space="preserve"> 表4.12-5</w:t>
            </w:r>
          </w:p>
        </w:tc>
      </w:tr>
      <w:tr w14:paraId="62F908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9" w:hRule="atLeast"/>
        </w:trPr>
        <w:tc>
          <w:tcPr>
            <w:tcW w:w="814" w:type="dxa"/>
            <w:vAlign w:val="top"/>
          </w:tcPr>
          <w:p w14:paraId="4D1200F7">
            <w:pPr>
              <w:rPr>
                <w:rFonts w:ascii="Arial"/>
                <w:sz w:val="21"/>
              </w:rPr>
            </w:pPr>
          </w:p>
        </w:tc>
        <w:tc>
          <w:tcPr>
            <w:tcW w:w="2927" w:type="dxa"/>
            <w:vAlign w:val="top"/>
          </w:tcPr>
          <w:p w14:paraId="14FC2643">
            <w:pPr>
              <w:rPr>
                <w:rFonts w:ascii="Arial"/>
                <w:sz w:val="21"/>
              </w:rPr>
            </w:pPr>
          </w:p>
        </w:tc>
        <w:tc>
          <w:tcPr>
            <w:tcW w:w="1558" w:type="dxa"/>
            <w:vAlign w:val="top"/>
          </w:tcPr>
          <w:p w14:paraId="6AC9FBCE">
            <w:pPr>
              <w:rPr>
                <w:rFonts w:ascii="Arial"/>
                <w:sz w:val="21"/>
              </w:rPr>
            </w:pPr>
          </w:p>
        </w:tc>
        <w:tc>
          <w:tcPr>
            <w:tcW w:w="1578" w:type="dxa"/>
            <w:vAlign w:val="top"/>
          </w:tcPr>
          <w:p w14:paraId="77128219">
            <w:pPr>
              <w:rPr>
                <w:rFonts w:ascii="Arial"/>
                <w:sz w:val="21"/>
              </w:rPr>
            </w:pPr>
          </w:p>
        </w:tc>
        <w:tc>
          <w:tcPr>
            <w:tcW w:w="1583" w:type="dxa"/>
            <w:vAlign w:val="top"/>
          </w:tcPr>
          <w:p w14:paraId="3B096DF9">
            <w:pPr>
              <w:rPr>
                <w:rFonts w:ascii="Arial"/>
                <w:sz w:val="21"/>
              </w:rPr>
            </w:pPr>
          </w:p>
        </w:tc>
      </w:tr>
      <w:tr w14:paraId="5C9D38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9" w:hRule="atLeast"/>
        </w:trPr>
        <w:tc>
          <w:tcPr>
            <w:tcW w:w="814" w:type="dxa"/>
            <w:vAlign w:val="top"/>
          </w:tcPr>
          <w:p w14:paraId="6AB09D08">
            <w:pPr>
              <w:rPr>
                <w:rFonts w:ascii="Arial"/>
                <w:sz w:val="21"/>
              </w:rPr>
            </w:pPr>
          </w:p>
        </w:tc>
        <w:tc>
          <w:tcPr>
            <w:tcW w:w="2927" w:type="dxa"/>
            <w:vAlign w:val="top"/>
          </w:tcPr>
          <w:p w14:paraId="7991CAC7">
            <w:pPr>
              <w:rPr>
                <w:rFonts w:ascii="Arial"/>
                <w:sz w:val="21"/>
              </w:rPr>
            </w:pPr>
          </w:p>
        </w:tc>
        <w:tc>
          <w:tcPr>
            <w:tcW w:w="1558" w:type="dxa"/>
            <w:vAlign w:val="top"/>
          </w:tcPr>
          <w:p w14:paraId="78EB5BF6">
            <w:pPr>
              <w:rPr>
                <w:rFonts w:ascii="Arial"/>
                <w:sz w:val="21"/>
              </w:rPr>
            </w:pPr>
          </w:p>
        </w:tc>
        <w:tc>
          <w:tcPr>
            <w:tcW w:w="1578" w:type="dxa"/>
            <w:vAlign w:val="top"/>
          </w:tcPr>
          <w:p w14:paraId="0084BA1A">
            <w:pPr>
              <w:rPr>
                <w:rFonts w:ascii="Arial"/>
                <w:sz w:val="21"/>
              </w:rPr>
            </w:pPr>
          </w:p>
        </w:tc>
        <w:tc>
          <w:tcPr>
            <w:tcW w:w="1583" w:type="dxa"/>
            <w:vAlign w:val="top"/>
          </w:tcPr>
          <w:p w14:paraId="577A77B8">
            <w:pPr>
              <w:rPr>
                <w:rFonts w:ascii="Arial"/>
                <w:sz w:val="21"/>
              </w:rPr>
            </w:pPr>
          </w:p>
        </w:tc>
      </w:tr>
      <w:tr w14:paraId="4D6B88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9" w:hRule="atLeast"/>
        </w:trPr>
        <w:tc>
          <w:tcPr>
            <w:tcW w:w="814" w:type="dxa"/>
            <w:vAlign w:val="top"/>
          </w:tcPr>
          <w:p w14:paraId="749DCD1C">
            <w:pPr>
              <w:rPr>
                <w:rFonts w:ascii="Arial"/>
                <w:sz w:val="21"/>
              </w:rPr>
            </w:pPr>
          </w:p>
        </w:tc>
        <w:tc>
          <w:tcPr>
            <w:tcW w:w="2927" w:type="dxa"/>
            <w:vAlign w:val="top"/>
          </w:tcPr>
          <w:p w14:paraId="1F408660">
            <w:pPr>
              <w:rPr>
                <w:rFonts w:ascii="Arial"/>
                <w:sz w:val="21"/>
              </w:rPr>
            </w:pPr>
          </w:p>
        </w:tc>
        <w:tc>
          <w:tcPr>
            <w:tcW w:w="1558" w:type="dxa"/>
            <w:vAlign w:val="top"/>
          </w:tcPr>
          <w:p w14:paraId="35D35FDA">
            <w:pPr>
              <w:rPr>
                <w:rFonts w:ascii="Arial"/>
                <w:sz w:val="21"/>
              </w:rPr>
            </w:pPr>
          </w:p>
        </w:tc>
        <w:tc>
          <w:tcPr>
            <w:tcW w:w="1578" w:type="dxa"/>
            <w:vAlign w:val="top"/>
          </w:tcPr>
          <w:p w14:paraId="01089658">
            <w:pPr>
              <w:rPr>
                <w:rFonts w:ascii="Arial"/>
                <w:sz w:val="21"/>
              </w:rPr>
            </w:pPr>
          </w:p>
        </w:tc>
        <w:tc>
          <w:tcPr>
            <w:tcW w:w="1583" w:type="dxa"/>
            <w:vAlign w:val="top"/>
          </w:tcPr>
          <w:p w14:paraId="681FE25E">
            <w:pPr>
              <w:rPr>
                <w:rFonts w:ascii="Arial"/>
                <w:sz w:val="21"/>
              </w:rPr>
            </w:pPr>
          </w:p>
        </w:tc>
      </w:tr>
      <w:tr w14:paraId="07E7D8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4" w:hRule="atLeast"/>
        </w:trPr>
        <w:tc>
          <w:tcPr>
            <w:tcW w:w="3741" w:type="dxa"/>
            <w:gridSpan w:val="2"/>
            <w:vAlign w:val="top"/>
          </w:tcPr>
          <w:p w14:paraId="3AC9995C">
            <w:pPr>
              <w:spacing w:line="278" w:lineRule="auto"/>
              <w:rPr>
                <w:rFonts w:ascii="Arial"/>
                <w:sz w:val="21"/>
              </w:rPr>
            </w:pPr>
          </w:p>
          <w:p w14:paraId="7DA9FC41">
            <w:pPr>
              <w:pStyle w:val="6"/>
              <w:spacing w:before="69" w:line="221" w:lineRule="auto"/>
              <w:ind w:left="1645"/>
            </w:pPr>
            <w:r>
              <w:rPr>
                <w:spacing w:val="-3"/>
              </w:rPr>
              <w:t>合计</w:t>
            </w:r>
          </w:p>
        </w:tc>
        <w:tc>
          <w:tcPr>
            <w:tcW w:w="1558" w:type="dxa"/>
            <w:vAlign w:val="top"/>
          </w:tcPr>
          <w:p w14:paraId="1080EDEE">
            <w:pPr>
              <w:rPr>
                <w:rFonts w:ascii="Arial"/>
                <w:sz w:val="21"/>
              </w:rPr>
            </w:pPr>
          </w:p>
        </w:tc>
        <w:tc>
          <w:tcPr>
            <w:tcW w:w="1578" w:type="dxa"/>
            <w:vAlign w:val="top"/>
          </w:tcPr>
          <w:p w14:paraId="2CDCA16E">
            <w:pPr>
              <w:rPr>
                <w:rFonts w:ascii="Arial"/>
                <w:sz w:val="21"/>
              </w:rPr>
            </w:pPr>
          </w:p>
        </w:tc>
        <w:tc>
          <w:tcPr>
            <w:tcW w:w="1583" w:type="dxa"/>
            <w:vAlign w:val="top"/>
          </w:tcPr>
          <w:p w14:paraId="12BF4E6C">
            <w:pPr>
              <w:spacing w:line="376" w:lineRule="auto"/>
              <w:rPr>
                <w:rFonts w:ascii="Arial"/>
                <w:sz w:val="21"/>
              </w:rPr>
            </w:pPr>
          </w:p>
          <w:p w14:paraId="16D2F7C1">
            <w:pPr>
              <w:pStyle w:val="6"/>
              <w:spacing w:before="69" w:line="162" w:lineRule="exact"/>
              <w:ind w:left="677"/>
            </w:pPr>
            <w:r>
              <w:rPr>
                <w:position w:val="-4"/>
              </w:rPr>
              <w:t>一</w:t>
            </w:r>
          </w:p>
        </w:tc>
      </w:tr>
    </w:tbl>
    <w:p w14:paraId="018C2596">
      <w:pPr>
        <w:pStyle w:val="2"/>
        <w:spacing w:before="161" w:line="218" w:lineRule="auto"/>
        <w:rPr>
          <w:sz w:val="21"/>
          <w:szCs w:val="21"/>
        </w:rPr>
      </w:pPr>
      <w:r>
        <w:rPr>
          <w:spacing w:val="7"/>
          <w:sz w:val="21"/>
          <w:szCs w:val="21"/>
        </w:rPr>
        <w:t>注：材料(工程设备)暂估单价进入清单项目综合单价，此处不</w:t>
      </w:r>
      <w:r>
        <w:rPr>
          <w:spacing w:val="6"/>
          <w:sz w:val="21"/>
          <w:szCs w:val="21"/>
        </w:rPr>
        <w:t>汇总。</w:t>
      </w:r>
    </w:p>
    <w:p w14:paraId="572FFDCD">
      <w:pPr>
        <w:spacing w:line="218" w:lineRule="auto"/>
        <w:rPr>
          <w:sz w:val="21"/>
          <w:szCs w:val="21"/>
        </w:rPr>
        <w:sectPr>
          <w:footerReference r:id="rId308" w:type="default"/>
          <w:pgSz w:w="11910" w:h="16840"/>
          <w:pgMar w:top="400" w:right="1764" w:bottom="1024" w:left="1450" w:header="0" w:footer="889" w:gutter="0"/>
          <w:cols w:space="720" w:num="1"/>
        </w:sectPr>
      </w:pPr>
    </w:p>
    <w:p w14:paraId="48FE69EB">
      <w:pPr>
        <w:spacing w:line="259" w:lineRule="auto"/>
        <w:rPr>
          <w:rFonts w:ascii="Arial"/>
          <w:sz w:val="21"/>
        </w:rPr>
      </w:pPr>
    </w:p>
    <w:p w14:paraId="614E0A0E">
      <w:pPr>
        <w:spacing w:line="259" w:lineRule="auto"/>
        <w:rPr>
          <w:rFonts w:ascii="Arial"/>
          <w:sz w:val="21"/>
        </w:rPr>
      </w:pPr>
    </w:p>
    <w:p w14:paraId="2F57D88F">
      <w:pPr>
        <w:spacing w:line="259" w:lineRule="auto"/>
        <w:rPr>
          <w:rFonts w:ascii="Arial"/>
          <w:sz w:val="21"/>
        </w:rPr>
      </w:pPr>
    </w:p>
    <w:p w14:paraId="5457EEC6">
      <w:pPr>
        <w:spacing w:line="259" w:lineRule="auto"/>
        <w:rPr>
          <w:rFonts w:ascii="Arial"/>
          <w:sz w:val="21"/>
        </w:rPr>
      </w:pPr>
    </w:p>
    <w:p w14:paraId="5BD1C10E">
      <w:pPr>
        <w:spacing w:line="259" w:lineRule="auto"/>
        <w:rPr>
          <w:rFonts w:ascii="Arial"/>
          <w:sz w:val="21"/>
        </w:rPr>
      </w:pPr>
    </w:p>
    <w:p w14:paraId="44D70F1A">
      <w:pPr>
        <w:spacing w:before="81" w:line="221" w:lineRule="auto"/>
        <w:ind w:left="423"/>
        <w:outlineLvl w:val="2"/>
        <w:rPr>
          <w:rFonts w:ascii="黑体" w:hAnsi="黑体" w:eastAsia="黑体" w:cs="黑体"/>
          <w:sz w:val="25"/>
          <w:szCs w:val="25"/>
        </w:rPr>
      </w:pPr>
      <w:bookmarkStart w:id="293" w:name="bookmark329"/>
      <w:bookmarkEnd w:id="293"/>
      <w:bookmarkStart w:id="294" w:name="bookmark200"/>
      <w:bookmarkEnd w:id="294"/>
      <w:r>
        <w:rPr>
          <w:rFonts w:ascii="黑体" w:hAnsi="黑体" w:eastAsia="黑体" w:cs="黑体"/>
          <w:b/>
          <w:bCs/>
          <w:sz w:val="25"/>
          <w:szCs w:val="25"/>
        </w:rPr>
        <w:t>4.12-1暂列金额明细表</w:t>
      </w:r>
    </w:p>
    <w:p w14:paraId="7561B4DB">
      <w:pPr>
        <w:spacing w:before="141" w:line="221" w:lineRule="auto"/>
        <w:ind w:left="3464"/>
        <w:rPr>
          <w:rFonts w:ascii="黑体" w:hAnsi="黑体" w:eastAsia="黑体" w:cs="黑体"/>
          <w:sz w:val="29"/>
          <w:szCs w:val="29"/>
        </w:rPr>
      </w:pPr>
      <w:r>
        <w:rPr>
          <w:rFonts w:ascii="黑体" w:hAnsi="黑体" w:eastAsia="黑体" w:cs="黑体"/>
          <w:b/>
          <w:bCs/>
          <w:spacing w:val="-6"/>
          <w:sz w:val="29"/>
          <w:szCs w:val="29"/>
        </w:rPr>
        <w:t>暂列金额明细表</w:t>
      </w:r>
    </w:p>
    <w:p w14:paraId="60DC3DA3">
      <w:pPr>
        <w:pStyle w:val="2"/>
        <w:spacing w:before="147" w:line="197" w:lineRule="auto"/>
        <w:ind w:left="10"/>
        <w:rPr>
          <w:sz w:val="23"/>
          <w:szCs w:val="23"/>
        </w:rPr>
      </w:pPr>
      <w:r>
        <w:rPr>
          <w:sz w:val="23"/>
          <w:szCs w:val="23"/>
        </w:rPr>
        <w:t xml:space="preserve">工程名称：                        </w:t>
      </w:r>
      <w:r>
        <w:rPr>
          <w:spacing w:val="-1"/>
          <w:sz w:val="23"/>
          <w:szCs w:val="23"/>
        </w:rPr>
        <w:t xml:space="preserve"> 标段名称：             第 页 共</w:t>
      </w:r>
      <w:r>
        <w:rPr>
          <w:spacing w:val="23"/>
          <w:sz w:val="23"/>
          <w:szCs w:val="23"/>
        </w:rPr>
        <w:t xml:space="preserve"> </w:t>
      </w:r>
      <w:r>
        <w:rPr>
          <w:spacing w:val="-1"/>
          <w:sz w:val="23"/>
          <w:szCs w:val="23"/>
        </w:rPr>
        <w:t>页</w:t>
      </w:r>
    </w:p>
    <w:tbl>
      <w:tblPr>
        <w:tblStyle w:val="5"/>
        <w:tblW w:w="8460" w:type="dxa"/>
        <w:tblInd w:w="2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14"/>
        <w:gridCol w:w="3087"/>
        <w:gridCol w:w="1518"/>
        <w:gridCol w:w="1518"/>
        <w:gridCol w:w="1523"/>
      </w:tblGrid>
      <w:tr w14:paraId="056BAA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4" w:hRule="atLeast"/>
        </w:trPr>
        <w:tc>
          <w:tcPr>
            <w:tcW w:w="814" w:type="dxa"/>
            <w:vAlign w:val="top"/>
          </w:tcPr>
          <w:p w14:paraId="62B71E77">
            <w:pPr>
              <w:spacing w:line="264" w:lineRule="auto"/>
              <w:rPr>
                <w:rFonts w:ascii="Arial"/>
                <w:sz w:val="21"/>
              </w:rPr>
            </w:pPr>
          </w:p>
          <w:p w14:paraId="38114D3D">
            <w:pPr>
              <w:pStyle w:val="6"/>
              <w:spacing w:before="69" w:line="221" w:lineRule="auto"/>
              <w:ind w:left="194"/>
            </w:pPr>
            <w:r>
              <w:rPr>
                <w:spacing w:val="6"/>
              </w:rPr>
              <w:t>序号</w:t>
            </w:r>
          </w:p>
        </w:tc>
        <w:tc>
          <w:tcPr>
            <w:tcW w:w="3087" w:type="dxa"/>
            <w:vAlign w:val="top"/>
          </w:tcPr>
          <w:p w14:paraId="5145E994">
            <w:pPr>
              <w:spacing w:line="264" w:lineRule="auto"/>
              <w:rPr>
                <w:rFonts w:ascii="Arial"/>
                <w:sz w:val="21"/>
              </w:rPr>
            </w:pPr>
          </w:p>
          <w:p w14:paraId="7CFA4DE0">
            <w:pPr>
              <w:pStyle w:val="6"/>
              <w:spacing w:before="68" w:line="220" w:lineRule="auto"/>
              <w:ind w:left="1131"/>
            </w:pPr>
            <w:r>
              <w:rPr>
                <w:spacing w:val="2"/>
              </w:rPr>
              <w:t>项目名称</w:t>
            </w:r>
          </w:p>
        </w:tc>
        <w:tc>
          <w:tcPr>
            <w:tcW w:w="1518" w:type="dxa"/>
            <w:vAlign w:val="top"/>
          </w:tcPr>
          <w:p w14:paraId="54039774">
            <w:pPr>
              <w:spacing w:line="264" w:lineRule="auto"/>
              <w:rPr>
                <w:rFonts w:ascii="Arial"/>
                <w:sz w:val="21"/>
              </w:rPr>
            </w:pPr>
          </w:p>
          <w:p w14:paraId="3E5C4C4F">
            <w:pPr>
              <w:pStyle w:val="6"/>
              <w:spacing w:before="68" w:line="220" w:lineRule="auto"/>
              <w:ind w:left="313"/>
            </w:pPr>
            <w:r>
              <w:rPr>
                <w:spacing w:val="-2"/>
              </w:rPr>
              <w:t>计量单位</w:t>
            </w:r>
          </w:p>
        </w:tc>
        <w:tc>
          <w:tcPr>
            <w:tcW w:w="1518" w:type="dxa"/>
            <w:vAlign w:val="top"/>
          </w:tcPr>
          <w:p w14:paraId="52D81A1D">
            <w:pPr>
              <w:pStyle w:val="6"/>
              <w:spacing w:before="193" w:line="219" w:lineRule="auto"/>
              <w:ind w:left="336"/>
            </w:pPr>
            <w:r>
              <w:rPr>
                <w:spacing w:val="2"/>
              </w:rPr>
              <w:t>暂定金额</w:t>
            </w:r>
          </w:p>
          <w:p w14:paraId="79775C32">
            <w:pPr>
              <w:pStyle w:val="6"/>
              <w:spacing w:before="1" w:line="220" w:lineRule="auto"/>
              <w:ind w:left="546"/>
            </w:pPr>
            <w:r>
              <w:rPr>
                <w:spacing w:val="15"/>
              </w:rPr>
              <w:t>(元)</w:t>
            </w:r>
          </w:p>
        </w:tc>
        <w:tc>
          <w:tcPr>
            <w:tcW w:w="1523" w:type="dxa"/>
            <w:vAlign w:val="top"/>
          </w:tcPr>
          <w:p w14:paraId="3B003F26">
            <w:pPr>
              <w:spacing w:line="264" w:lineRule="auto"/>
              <w:rPr>
                <w:rFonts w:ascii="Arial"/>
                <w:sz w:val="21"/>
              </w:rPr>
            </w:pPr>
          </w:p>
          <w:p w14:paraId="129189D6">
            <w:pPr>
              <w:pStyle w:val="6"/>
              <w:spacing w:before="69" w:line="221" w:lineRule="auto"/>
              <w:ind w:left="547"/>
            </w:pPr>
            <w:r>
              <w:rPr>
                <w:spacing w:val="5"/>
              </w:rPr>
              <w:t>备注</w:t>
            </w:r>
          </w:p>
        </w:tc>
      </w:tr>
      <w:tr w14:paraId="11D098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9" w:hRule="atLeast"/>
        </w:trPr>
        <w:tc>
          <w:tcPr>
            <w:tcW w:w="814" w:type="dxa"/>
            <w:vAlign w:val="top"/>
          </w:tcPr>
          <w:p w14:paraId="78F5B8A9">
            <w:pPr>
              <w:rPr>
                <w:rFonts w:ascii="Arial"/>
                <w:sz w:val="21"/>
              </w:rPr>
            </w:pPr>
          </w:p>
        </w:tc>
        <w:tc>
          <w:tcPr>
            <w:tcW w:w="3087" w:type="dxa"/>
            <w:vAlign w:val="top"/>
          </w:tcPr>
          <w:p w14:paraId="466D87D4">
            <w:pPr>
              <w:rPr>
                <w:rFonts w:ascii="Arial"/>
                <w:sz w:val="21"/>
              </w:rPr>
            </w:pPr>
          </w:p>
        </w:tc>
        <w:tc>
          <w:tcPr>
            <w:tcW w:w="1518" w:type="dxa"/>
            <w:vAlign w:val="top"/>
          </w:tcPr>
          <w:p w14:paraId="019BF7B5">
            <w:pPr>
              <w:rPr>
                <w:rFonts w:ascii="Arial"/>
                <w:sz w:val="21"/>
              </w:rPr>
            </w:pPr>
          </w:p>
        </w:tc>
        <w:tc>
          <w:tcPr>
            <w:tcW w:w="1518" w:type="dxa"/>
            <w:vAlign w:val="top"/>
          </w:tcPr>
          <w:p w14:paraId="35990988">
            <w:pPr>
              <w:rPr>
                <w:rFonts w:ascii="Arial"/>
                <w:sz w:val="21"/>
              </w:rPr>
            </w:pPr>
          </w:p>
        </w:tc>
        <w:tc>
          <w:tcPr>
            <w:tcW w:w="1523" w:type="dxa"/>
            <w:vAlign w:val="top"/>
          </w:tcPr>
          <w:p w14:paraId="0AB6D201">
            <w:pPr>
              <w:rPr>
                <w:rFonts w:ascii="Arial"/>
                <w:sz w:val="21"/>
              </w:rPr>
            </w:pPr>
          </w:p>
        </w:tc>
      </w:tr>
      <w:tr w14:paraId="5A7B50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9" w:hRule="atLeast"/>
        </w:trPr>
        <w:tc>
          <w:tcPr>
            <w:tcW w:w="814" w:type="dxa"/>
            <w:vAlign w:val="top"/>
          </w:tcPr>
          <w:p w14:paraId="30C8EAB1">
            <w:pPr>
              <w:rPr>
                <w:rFonts w:ascii="Arial"/>
                <w:sz w:val="21"/>
              </w:rPr>
            </w:pPr>
          </w:p>
        </w:tc>
        <w:tc>
          <w:tcPr>
            <w:tcW w:w="3087" w:type="dxa"/>
            <w:vAlign w:val="top"/>
          </w:tcPr>
          <w:p w14:paraId="28ADADD8">
            <w:pPr>
              <w:rPr>
                <w:rFonts w:ascii="Arial"/>
                <w:sz w:val="21"/>
              </w:rPr>
            </w:pPr>
          </w:p>
        </w:tc>
        <w:tc>
          <w:tcPr>
            <w:tcW w:w="1518" w:type="dxa"/>
            <w:vAlign w:val="top"/>
          </w:tcPr>
          <w:p w14:paraId="09AE4680">
            <w:pPr>
              <w:rPr>
                <w:rFonts w:ascii="Arial"/>
                <w:sz w:val="21"/>
              </w:rPr>
            </w:pPr>
          </w:p>
        </w:tc>
        <w:tc>
          <w:tcPr>
            <w:tcW w:w="1518" w:type="dxa"/>
            <w:vAlign w:val="top"/>
          </w:tcPr>
          <w:p w14:paraId="326FC2EB">
            <w:pPr>
              <w:rPr>
                <w:rFonts w:ascii="Arial"/>
                <w:sz w:val="21"/>
              </w:rPr>
            </w:pPr>
          </w:p>
        </w:tc>
        <w:tc>
          <w:tcPr>
            <w:tcW w:w="1523" w:type="dxa"/>
            <w:vAlign w:val="top"/>
          </w:tcPr>
          <w:p w14:paraId="3A2D31A2">
            <w:pPr>
              <w:rPr>
                <w:rFonts w:ascii="Arial"/>
                <w:sz w:val="21"/>
              </w:rPr>
            </w:pPr>
          </w:p>
        </w:tc>
      </w:tr>
      <w:tr w14:paraId="674EB8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9" w:hRule="atLeast"/>
        </w:trPr>
        <w:tc>
          <w:tcPr>
            <w:tcW w:w="814" w:type="dxa"/>
            <w:vAlign w:val="top"/>
          </w:tcPr>
          <w:p w14:paraId="17529DB9">
            <w:pPr>
              <w:rPr>
                <w:rFonts w:ascii="Arial"/>
                <w:sz w:val="21"/>
              </w:rPr>
            </w:pPr>
          </w:p>
        </w:tc>
        <w:tc>
          <w:tcPr>
            <w:tcW w:w="3087" w:type="dxa"/>
            <w:vAlign w:val="top"/>
          </w:tcPr>
          <w:p w14:paraId="0315AFEC">
            <w:pPr>
              <w:rPr>
                <w:rFonts w:ascii="Arial"/>
                <w:sz w:val="21"/>
              </w:rPr>
            </w:pPr>
          </w:p>
        </w:tc>
        <w:tc>
          <w:tcPr>
            <w:tcW w:w="1518" w:type="dxa"/>
            <w:vAlign w:val="top"/>
          </w:tcPr>
          <w:p w14:paraId="2EEF9F05">
            <w:pPr>
              <w:rPr>
                <w:rFonts w:ascii="Arial"/>
                <w:sz w:val="21"/>
              </w:rPr>
            </w:pPr>
          </w:p>
        </w:tc>
        <w:tc>
          <w:tcPr>
            <w:tcW w:w="1518" w:type="dxa"/>
            <w:vAlign w:val="top"/>
          </w:tcPr>
          <w:p w14:paraId="25892280">
            <w:pPr>
              <w:rPr>
                <w:rFonts w:ascii="Arial"/>
                <w:sz w:val="21"/>
              </w:rPr>
            </w:pPr>
          </w:p>
        </w:tc>
        <w:tc>
          <w:tcPr>
            <w:tcW w:w="1523" w:type="dxa"/>
            <w:vAlign w:val="top"/>
          </w:tcPr>
          <w:p w14:paraId="7737A3EA">
            <w:pPr>
              <w:rPr>
                <w:rFonts w:ascii="Arial"/>
                <w:sz w:val="21"/>
              </w:rPr>
            </w:pPr>
          </w:p>
        </w:tc>
      </w:tr>
      <w:tr w14:paraId="7660AA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9" w:hRule="atLeast"/>
        </w:trPr>
        <w:tc>
          <w:tcPr>
            <w:tcW w:w="814" w:type="dxa"/>
            <w:vAlign w:val="top"/>
          </w:tcPr>
          <w:p w14:paraId="7C59EBAD">
            <w:pPr>
              <w:rPr>
                <w:rFonts w:ascii="Arial"/>
                <w:sz w:val="21"/>
              </w:rPr>
            </w:pPr>
          </w:p>
        </w:tc>
        <w:tc>
          <w:tcPr>
            <w:tcW w:w="3087" w:type="dxa"/>
            <w:vAlign w:val="top"/>
          </w:tcPr>
          <w:p w14:paraId="5C3C53A4">
            <w:pPr>
              <w:rPr>
                <w:rFonts w:ascii="Arial"/>
                <w:sz w:val="21"/>
              </w:rPr>
            </w:pPr>
          </w:p>
        </w:tc>
        <w:tc>
          <w:tcPr>
            <w:tcW w:w="1518" w:type="dxa"/>
            <w:vAlign w:val="top"/>
          </w:tcPr>
          <w:p w14:paraId="28634E6F">
            <w:pPr>
              <w:rPr>
                <w:rFonts w:ascii="Arial"/>
                <w:sz w:val="21"/>
              </w:rPr>
            </w:pPr>
          </w:p>
        </w:tc>
        <w:tc>
          <w:tcPr>
            <w:tcW w:w="1518" w:type="dxa"/>
            <w:vAlign w:val="top"/>
          </w:tcPr>
          <w:p w14:paraId="05AE85B2">
            <w:pPr>
              <w:rPr>
                <w:rFonts w:ascii="Arial"/>
                <w:sz w:val="21"/>
              </w:rPr>
            </w:pPr>
          </w:p>
        </w:tc>
        <w:tc>
          <w:tcPr>
            <w:tcW w:w="1523" w:type="dxa"/>
            <w:vAlign w:val="top"/>
          </w:tcPr>
          <w:p w14:paraId="06E65405">
            <w:pPr>
              <w:rPr>
                <w:rFonts w:ascii="Arial"/>
                <w:sz w:val="21"/>
              </w:rPr>
            </w:pPr>
          </w:p>
        </w:tc>
      </w:tr>
      <w:tr w14:paraId="571073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9" w:hRule="atLeast"/>
        </w:trPr>
        <w:tc>
          <w:tcPr>
            <w:tcW w:w="814" w:type="dxa"/>
            <w:vAlign w:val="top"/>
          </w:tcPr>
          <w:p w14:paraId="367F07F9">
            <w:pPr>
              <w:rPr>
                <w:rFonts w:ascii="Arial"/>
                <w:sz w:val="21"/>
              </w:rPr>
            </w:pPr>
          </w:p>
        </w:tc>
        <w:tc>
          <w:tcPr>
            <w:tcW w:w="3087" w:type="dxa"/>
            <w:vAlign w:val="top"/>
          </w:tcPr>
          <w:p w14:paraId="68A6E164">
            <w:pPr>
              <w:rPr>
                <w:rFonts w:ascii="Arial"/>
                <w:sz w:val="21"/>
              </w:rPr>
            </w:pPr>
          </w:p>
        </w:tc>
        <w:tc>
          <w:tcPr>
            <w:tcW w:w="1518" w:type="dxa"/>
            <w:vAlign w:val="top"/>
          </w:tcPr>
          <w:p w14:paraId="29B23200">
            <w:pPr>
              <w:rPr>
                <w:rFonts w:ascii="Arial"/>
                <w:sz w:val="21"/>
              </w:rPr>
            </w:pPr>
          </w:p>
        </w:tc>
        <w:tc>
          <w:tcPr>
            <w:tcW w:w="1518" w:type="dxa"/>
            <w:vAlign w:val="top"/>
          </w:tcPr>
          <w:p w14:paraId="155B7D0D">
            <w:pPr>
              <w:rPr>
                <w:rFonts w:ascii="Arial"/>
                <w:sz w:val="21"/>
              </w:rPr>
            </w:pPr>
          </w:p>
        </w:tc>
        <w:tc>
          <w:tcPr>
            <w:tcW w:w="1523" w:type="dxa"/>
            <w:vAlign w:val="top"/>
          </w:tcPr>
          <w:p w14:paraId="1EC4E8A4">
            <w:pPr>
              <w:rPr>
                <w:rFonts w:ascii="Arial"/>
                <w:sz w:val="21"/>
              </w:rPr>
            </w:pPr>
          </w:p>
        </w:tc>
      </w:tr>
      <w:tr w14:paraId="24BA25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9" w:hRule="atLeast"/>
        </w:trPr>
        <w:tc>
          <w:tcPr>
            <w:tcW w:w="814" w:type="dxa"/>
            <w:vAlign w:val="top"/>
          </w:tcPr>
          <w:p w14:paraId="6F4EA5A2">
            <w:pPr>
              <w:rPr>
                <w:rFonts w:ascii="Arial"/>
                <w:sz w:val="21"/>
              </w:rPr>
            </w:pPr>
          </w:p>
        </w:tc>
        <w:tc>
          <w:tcPr>
            <w:tcW w:w="3087" w:type="dxa"/>
            <w:vAlign w:val="top"/>
          </w:tcPr>
          <w:p w14:paraId="5F03A895">
            <w:pPr>
              <w:rPr>
                <w:rFonts w:ascii="Arial"/>
                <w:sz w:val="21"/>
              </w:rPr>
            </w:pPr>
          </w:p>
        </w:tc>
        <w:tc>
          <w:tcPr>
            <w:tcW w:w="1518" w:type="dxa"/>
            <w:vAlign w:val="top"/>
          </w:tcPr>
          <w:p w14:paraId="33E49A45">
            <w:pPr>
              <w:rPr>
                <w:rFonts w:ascii="Arial"/>
                <w:sz w:val="21"/>
              </w:rPr>
            </w:pPr>
          </w:p>
        </w:tc>
        <w:tc>
          <w:tcPr>
            <w:tcW w:w="1518" w:type="dxa"/>
            <w:vAlign w:val="top"/>
          </w:tcPr>
          <w:p w14:paraId="0CABBC68">
            <w:pPr>
              <w:rPr>
                <w:rFonts w:ascii="Arial"/>
                <w:sz w:val="21"/>
              </w:rPr>
            </w:pPr>
          </w:p>
        </w:tc>
        <w:tc>
          <w:tcPr>
            <w:tcW w:w="1523" w:type="dxa"/>
            <w:vAlign w:val="top"/>
          </w:tcPr>
          <w:p w14:paraId="2CE5E4A9">
            <w:pPr>
              <w:rPr>
                <w:rFonts w:ascii="Arial"/>
                <w:sz w:val="21"/>
              </w:rPr>
            </w:pPr>
          </w:p>
        </w:tc>
      </w:tr>
      <w:tr w14:paraId="4BD469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9" w:hRule="atLeast"/>
        </w:trPr>
        <w:tc>
          <w:tcPr>
            <w:tcW w:w="814" w:type="dxa"/>
            <w:vAlign w:val="top"/>
          </w:tcPr>
          <w:p w14:paraId="776E626E">
            <w:pPr>
              <w:rPr>
                <w:rFonts w:ascii="Arial"/>
                <w:sz w:val="21"/>
              </w:rPr>
            </w:pPr>
          </w:p>
        </w:tc>
        <w:tc>
          <w:tcPr>
            <w:tcW w:w="3087" w:type="dxa"/>
            <w:vAlign w:val="top"/>
          </w:tcPr>
          <w:p w14:paraId="7A52E36F">
            <w:pPr>
              <w:rPr>
                <w:rFonts w:ascii="Arial"/>
                <w:sz w:val="21"/>
              </w:rPr>
            </w:pPr>
          </w:p>
        </w:tc>
        <w:tc>
          <w:tcPr>
            <w:tcW w:w="1518" w:type="dxa"/>
            <w:vAlign w:val="top"/>
          </w:tcPr>
          <w:p w14:paraId="131AD548">
            <w:pPr>
              <w:rPr>
                <w:rFonts w:ascii="Arial"/>
                <w:sz w:val="21"/>
              </w:rPr>
            </w:pPr>
          </w:p>
        </w:tc>
        <w:tc>
          <w:tcPr>
            <w:tcW w:w="1518" w:type="dxa"/>
            <w:vAlign w:val="top"/>
          </w:tcPr>
          <w:p w14:paraId="2FEC03EC">
            <w:pPr>
              <w:rPr>
                <w:rFonts w:ascii="Arial"/>
                <w:sz w:val="21"/>
              </w:rPr>
            </w:pPr>
          </w:p>
        </w:tc>
        <w:tc>
          <w:tcPr>
            <w:tcW w:w="1523" w:type="dxa"/>
            <w:vAlign w:val="top"/>
          </w:tcPr>
          <w:p w14:paraId="3BC49339">
            <w:pPr>
              <w:rPr>
                <w:rFonts w:ascii="Arial"/>
                <w:sz w:val="21"/>
              </w:rPr>
            </w:pPr>
          </w:p>
        </w:tc>
      </w:tr>
      <w:tr w14:paraId="00D4FC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9" w:hRule="atLeast"/>
        </w:trPr>
        <w:tc>
          <w:tcPr>
            <w:tcW w:w="814" w:type="dxa"/>
            <w:vAlign w:val="top"/>
          </w:tcPr>
          <w:p w14:paraId="09B90835">
            <w:pPr>
              <w:rPr>
                <w:rFonts w:ascii="Arial"/>
                <w:sz w:val="21"/>
              </w:rPr>
            </w:pPr>
          </w:p>
        </w:tc>
        <w:tc>
          <w:tcPr>
            <w:tcW w:w="3087" w:type="dxa"/>
            <w:vAlign w:val="top"/>
          </w:tcPr>
          <w:p w14:paraId="3C0B2B08">
            <w:pPr>
              <w:rPr>
                <w:rFonts w:ascii="Arial"/>
                <w:sz w:val="21"/>
              </w:rPr>
            </w:pPr>
          </w:p>
        </w:tc>
        <w:tc>
          <w:tcPr>
            <w:tcW w:w="1518" w:type="dxa"/>
            <w:vAlign w:val="top"/>
          </w:tcPr>
          <w:p w14:paraId="409AA640">
            <w:pPr>
              <w:rPr>
                <w:rFonts w:ascii="Arial"/>
                <w:sz w:val="21"/>
              </w:rPr>
            </w:pPr>
          </w:p>
        </w:tc>
        <w:tc>
          <w:tcPr>
            <w:tcW w:w="1518" w:type="dxa"/>
            <w:vAlign w:val="top"/>
          </w:tcPr>
          <w:p w14:paraId="6A1F4B46">
            <w:pPr>
              <w:rPr>
                <w:rFonts w:ascii="Arial"/>
                <w:sz w:val="21"/>
              </w:rPr>
            </w:pPr>
          </w:p>
        </w:tc>
        <w:tc>
          <w:tcPr>
            <w:tcW w:w="1523" w:type="dxa"/>
            <w:vAlign w:val="top"/>
          </w:tcPr>
          <w:p w14:paraId="7A26CA76">
            <w:pPr>
              <w:rPr>
                <w:rFonts w:ascii="Arial"/>
                <w:sz w:val="21"/>
              </w:rPr>
            </w:pPr>
          </w:p>
        </w:tc>
      </w:tr>
      <w:tr w14:paraId="673B9F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9" w:hRule="atLeast"/>
        </w:trPr>
        <w:tc>
          <w:tcPr>
            <w:tcW w:w="814" w:type="dxa"/>
            <w:vAlign w:val="top"/>
          </w:tcPr>
          <w:p w14:paraId="1263843D">
            <w:pPr>
              <w:rPr>
                <w:rFonts w:ascii="Arial"/>
                <w:sz w:val="21"/>
              </w:rPr>
            </w:pPr>
          </w:p>
        </w:tc>
        <w:tc>
          <w:tcPr>
            <w:tcW w:w="3087" w:type="dxa"/>
            <w:vAlign w:val="top"/>
          </w:tcPr>
          <w:p w14:paraId="5F50CAC3">
            <w:pPr>
              <w:rPr>
                <w:rFonts w:ascii="Arial"/>
                <w:sz w:val="21"/>
              </w:rPr>
            </w:pPr>
          </w:p>
        </w:tc>
        <w:tc>
          <w:tcPr>
            <w:tcW w:w="1518" w:type="dxa"/>
            <w:vAlign w:val="top"/>
          </w:tcPr>
          <w:p w14:paraId="3AEE6FBF">
            <w:pPr>
              <w:rPr>
                <w:rFonts w:ascii="Arial"/>
                <w:sz w:val="21"/>
              </w:rPr>
            </w:pPr>
          </w:p>
        </w:tc>
        <w:tc>
          <w:tcPr>
            <w:tcW w:w="1518" w:type="dxa"/>
            <w:vAlign w:val="top"/>
          </w:tcPr>
          <w:p w14:paraId="4012EA6D">
            <w:pPr>
              <w:rPr>
                <w:rFonts w:ascii="Arial"/>
                <w:sz w:val="21"/>
              </w:rPr>
            </w:pPr>
          </w:p>
        </w:tc>
        <w:tc>
          <w:tcPr>
            <w:tcW w:w="1523" w:type="dxa"/>
            <w:vAlign w:val="top"/>
          </w:tcPr>
          <w:p w14:paraId="72DCBEBF">
            <w:pPr>
              <w:rPr>
                <w:rFonts w:ascii="Arial"/>
                <w:sz w:val="21"/>
              </w:rPr>
            </w:pPr>
          </w:p>
        </w:tc>
      </w:tr>
      <w:tr w14:paraId="5B1B1B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9" w:hRule="atLeast"/>
        </w:trPr>
        <w:tc>
          <w:tcPr>
            <w:tcW w:w="814" w:type="dxa"/>
            <w:vAlign w:val="top"/>
          </w:tcPr>
          <w:p w14:paraId="7A5E5131">
            <w:pPr>
              <w:rPr>
                <w:rFonts w:ascii="Arial"/>
                <w:sz w:val="21"/>
              </w:rPr>
            </w:pPr>
          </w:p>
        </w:tc>
        <w:tc>
          <w:tcPr>
            <w:tcW w:w="3087" w:type="dxa"/>
            <w:vAlign w:val="top"/>
          </w:tcPr>
          <w:p w14:paraId="79E06E77">
            <w:pPr>
              <w:rPr>
                <w:rFonts w:ascii="Arial"/>
                <w:sz w:val="21"/>
              </w:rPr>
            </w:pPr>
          </w:p>
        </w:tc>
        <w:tc>
          <w:tcPr>
            <w:tcW w:w="1518" w:type="dxa"/>
            <w:vAlign w:val="top"/>
          </w:tcPr>
          <w:p w14:paraId="20DDF351">
            <w:pPr>
              <w:rPr>
                <w:rFonts w:ascii="Arial"/>
                <w:sz w:val="21"/>
              </w:rPr>
            </w:pPr>
          </w:p>
        </w:tc>
        <w:tc>
          <w:tcPr>
            <w:tcW w:w="1518" w:type="dxa"/>
            <w:vAlign w:val="top"/>
          </w:tcPr>
          <w:p w14:paraId="7AE61FAE">
            <w:pPr>
              <w:rPr>
                <w:rFonts w:ascii="Arial"/>
                <w:sz w:val="21"/>
              </w:rPr>
            </w:pPr>
          </w:p>
        </w:tc>
        <w:tc>
          <w:tcPr>
            <w:tcW w:w="1523" w:type="dxa"/>
            <w:vAlign w:val="top"/>
          </w:tcPr>
          <w:p w14:paraId="06945BF4">
            <w:pPr>
              <w:rPr>
                <w:rFonts w:ascii="Arial"/>
                <w:sz w:val="21"/>
              </w:rPr>
            </w:pPr>
          </w:p>
        </w:tc>
      </w:tr>
      <w:tr w14:paraId="7D53FD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5" w:hRule="atLeast"/>
        </w:trPr>
        <w:tc>
          <w:tcPr>
            <w:tcW w:w="5419" w:type="dxa"/>
            <w:gridSpan w:val="3"/>
            <w:vAlign w:val="top"/>
          </w:tcPr>
          <w:p w14:paraId="15EDCD10">
            <w:pPr>
              <w:spacing w:line="270" w:lineRule="auto"/>
              <w:rPr>
                <w:rFonts w:ascii="Arial"/>
                <w:sz w:val="21"/>
              </w:rPr>
            </w:pPr>
          </w:p>
          <w:p w14:paraId="3D878D3F">
            <w:pPr>
              <w:pStyle w:val="6"/>
              <w:spacing w:before="69" w:line="221" w:lineRule="auto"/>
              <w:ind w:left="2524"/>
            </w:pPr>
            <w:r>
              <w:rPr>
                <w:spacing w:val="-3"/>
              </w:rPr>
              <w:t>合计</w:t>
            </w:r>
          </w:p>
        </w:tc>
        <w:tc>
          <w:tcPr>
            <w:tcW w:w="1518" w:type="dxa"/>
            <w:vAlign w:val="top"/>
          </w:tcPr>
          <w:p w14:paraId="6EC92208">
            <w:pPr>
              <w:rPr>
                <w:rFonts w:ascii="Arial"/>
                <w:sz w:val="21"/>
              </w:rPr>
            </w:pPr>
          </w:p>
        </w:tc>
        <w:tc>
          <w:tcPr>
            <w:tcW w:w="1523" w:type="dxa"/>
            <w:vAlign w:val="top"/>
          </w:tcPr>
          <w:p w14:paraId="0690E60F">
            <w:pPr>
              <w:spacing w:line="368" w:lineRule="auto"/>
              <w:rPr>
                <w:rFonts w:ascii="Arial"/>
                <w:sz w:val="21"/>
              </w:rPr>
            </w:pPr>
          </w:p>
          <w:p w14:paraId="58272C40">
            <w:pPr>
              <w:pStyle w:val="6"/>
              <w:spacing w:before="69" w:line="162" w:lineRule="exact"/>
              <w:ind w:left="648"/>
            </w:pPr>
            <w:r>
              <w:rPr>
                <w:position w:val="-4"/>
              </w:rPr>
              <w:t>一</w:t>
            </w:r>
          </w:p>
        </w:tc>
      </w:tr>
    </w:tbl>
    <w:p w14:paraId="7A52EC1E">
      <w:pPr>
        <w:pStyle w:val="2"/>
        <w:spacing w:before="162" w:line="268" w:lineRule="auto"/>
        <w:ind w:left="439" w:hanging="439"/>
        <w:rPr>
          <w:sz w:val="20"/>
          <w:szCs w:val="20"/>
        </w:rPr>
      </w:pPr>
      <w:r>
        <w:rPr>
          <w:spacing w:val="12"/>
          <w:sz w:val="20"/>
          <w:szCs w:val="20"/>
        </w:rPr>
        <w:t>注：此表由招标人填写，如不能详列明细，也可只列暂列金总额，投标人应将上述暂列金额计入</w:t>
      </w:r>
      <w:r>
        <w:rPr>
          <w:spacing w:val="13"/>
          <w:sz w:val="20"/>
          <w:szCs w:val="20"/>
        </w:rPr>
        <w:t xml:space="preserve"> </w:t>
      </w:r>
      <w:r>
        <w:rPr>
          <w:spacing w:val="3"/>
          <w:sz w:val="20"/>
          <w:szCs w:val="20"/>
        </w:rPr>
        <w:t>投标总价中。</w:t>
      </w:r>
    </w:p>
    <w:p w14:paraId="4E638885">
      <w:pPr>
        <w:spacing w:line="268" w:lineRule="auto"/>
        <w:rPr>
          <w:sz w:val="20"/>
          <w:szCs w:val="20"/>
        </w:rPr>
        <w:sectPr>
          <w:footerReference r:id="rId309" w:type="default"/>
          <w:pgSz w:w="11910" w:h="16840"/>
          <w:pgMar w:top="400" w:right="1541" w:bottom="1024" w:left="1450" w:header="0" w:footer="889" w:gutter="0"/>
          <w:cols w:space="720" w:num="1"/>
        </w:sectPr>
      </w:pPr>
    </w:p>
    <w:p w14:paraId="2DF18CB7">
      <w:pPr>
        <w:spacing w:line="256" w:lineRule="auto"/>
        <w:rPr>
          <w:rFonts w:ascii="Arial"/>
          <w:sz w:val="21"/>
        </w:rPr>
      </w:pPr>
    </w:p>
    <w:p w14:paraId="024C7E93">
      <w:pPr>
        <w:spacing w:line="256" w:lineRule="auto"/>
        <w:rPr>
          <w:rFonts w:ascii="Arial"/>
          <w:sz w:val="21"/>
        </w:rPr>
      </w:pPr>
    </w:p>
    <w:p w14:paraId="615A3358">
      <w:pPr>
        <w:spacing w:line="256" w:lineRule="auto"/>
        <w:rPr>
          <w:rFonts w:ascii="Arial"/>
          <w:sz w:val="21"/>
        </w:rPr>
      </w:pPr>
    </w:p>
    <w:p w14:paraId="08AAAFC3">
      <w:pPr>
        <w:spacing w:line="257" w:lineRule="auto"/>
        <w:rPr>
          <w:rFonts w:ascii="Arial"/>
          <w:sz w:val="21"/>
        </w:rPr>
      </w:pPr>
    </w:p>
    <w:p w14:paraId="2F7F224A">
      <w:pPr>
        <w:spacing w:line="257" w:lineRule="auto"/>
        <w:rPr>
          <w:rFonts w:ascii="Arial"/>
          <w:sz w:val="21"/>
        </w:rPr>
      </w:pPr>
    </w:p>
    <w:p w14:paraId="30D7B3E3">
      <w:pPr>
        <w:spacing w:before="85" w:line="222" w:lineRule="auto"/>
        <w:ind w:left="413"/>
        <w:outlineLvl w:val="2"/>
        <w:rPr>
          <w:rFonts w:ascii="黑体" w:hAnsi="黑体" w:eastAsia="黑体" w:cs="黑体"/>
          <w:sz w:val="26"/>
          <w:szCs w:val="26"/>
        </w:rPr>
      </w:pPr>
      <w:bookmarkStart w:id="295" w:name="bookmark201"/>
      <w:bookmarkEnd w:id="295"/>
      <w:bookmarkStart w:id="296" w:name="bookmark330"/>
      <w:bookmarkEnd w:id="296"/>
      <w:r>
        <w:rPr>
          <w:rFonts w:ascii="黑体" w:hAnsi="黑体" w:eastAsia="黑体" w:cs="黑体"/>
          <w:b/>
          <w:bCs/>
          <w:spacing w:val="1"/>
          <w:sz w:val="26"/>
          <w:szCs w:val="26"/>
        </w:rPr>
        <w:t>4.12-2材料(工程设备)暂估单价表</w:t>
      </w:r>
    </w:p>
    <w:p w14:paraId="01548E1C">
      <w:pPr>
        <w:spacing w:line="361" w:lineRule="auto"/>
        <w:rPr>
          <w:rFonts w:ascii="Arial"/>
          <w:sz w:val="21"/>
        </w:rPr>
      </w:pPr>
    </w:p>
    <w:p w14:paraId="25F734B8">
      <w:pPr>
        <w:spacing w:before="94" w:line="222" w:lineRule="auto"/>
        <w:ind w:left="2624"/>
        <w:rPr>
          <w:rFonts w:ascii="黑体" w:hAnsi="黑体" w:eastAsia="黑体" w:cs="黑体"/>
          <w:sz w:val="29"/>
          <w:szCs w:val="29"/>
        </w:rPr>
      </w:pPr>
      <w:r>
        <w:rPr>
          <w:rFonts w:ascii="黑体" w:hAnsi="黑体" w:eastAsia="黑体" w:cs="黑体"/>
          <w:b/>
          <w:bCs/>
          <w:spacing w:val="11"/>
          <w:sz w:val="29"/>
          <w:szCs w:val="29"/>
        </w:rPr>
        <w:t>材料(工程设备)暂估单价表</w:t>
      </w:r>
    </w:p>
    <w:p w14:paraId="516E468B">
      <w:pPr>
        <w:spacing w:line="273" w:lineRule="auto"/>
        <w:rPr>
          <w:rFonts w:ascii="Arial"/>
          <w:sz w:val="21"/>
        </w:rPr>
      </w:pPr>
    </w:p>
    <w:p w14:paraId="6E150A5E">
      <w:pPr>
        <w:spacing w:line="273" w:lineRule="auto"/>
        <w:rPr>
          <w:rFonts w:ascii="Arial"/>
          <w:sz w:val="21"/>
        </w:rPr>
      </w:pPr>
    </w:p>
    <w:p w14:paraId="0BED0A3B">
      <w:pPr>
        <w:pStyle w:val="2"/>
        <w:spacing w:before="75" w:line="189" w:lineRule="auto"/>
        <w:rPr>
          <w:sz w:val="23"/>
          <w:szCs w:val="23"/>
        </w:rPr>
      </w:pPr>
      <w:r>
        <w:rPr>
          <w:spacing w:val="-1"/>
          <w:sz w:val="23"/>
          <w:szCs w:val="23"/>
        </w:rPr>
        <w:t>工程名称：</w:t>
      </w:r>
      <w:r>
        <w:rPr>
          <w:spacing w:val="2"/>
          <w:sz w:val="23"/>
          <w:szCs w:val="23"/>
        </w:rPr>
        <w:t xml:space="preserve">                   </w:t>
      </w:r>
      <w:r>
        <w:rPr>
          <w:spacing w:val="-1"/>
          <w:sz w:val="23"/>
          <w:szCs w:val="23"/>
        </w:rPr>
        <w:t>标段名称：</w:t>
      </w:r>
      <w:r>
        <w:rPr>
          <w:spacing w:val="3"/>
          <w:sz w:val="23"/>
          <w:szCs w:val="23"/>
        </w:rPr>
        <w:t xml:space="preserve">                </w:t>
      </w:r>
      <w:r>
        <w:rPr>
          <w:spacing w:val="-1"/>
          <w:sz w:val="23"/>
          <w:szCs w:val="23"/>
        </w:rPr>
        <w:t>第 页</w:t>
      </w:r>
      <w:r>
        <w:rPr>
          <w:spacing w:val="29"/>
          <w:sz w:val="23"/>
          <w:szCs w:val="23"/>
        </w:rPr>
        <w:t xml:space="preserve"> </w:t>
      </w:r>
      <w:r>
        <w:rPr>
          <w:spacing w:val="-1"/>
          <w:sz w:val="23"/>
          <w:szCs w:val="23"/>
        </w:rPr>
        <w:t>共</w:t>
      </w:r>
      <w:r>
        <w:rPr>
          <w:spacing w:val="23"/>
          <w:sz w:val="23"/>
          <w:szCs w:val="23"/>
        </w:rPr>
        <w:t xml:space="preserve"> </w:t>
      </w:r>
      <w:r>
        <w:rPr>
          <w:spacing w:val="-1"/>
          <w:sz w:val="23"/>
          <w:szCs w:val="23"/>
        </w:rPr>
        <w:t>页</w:t>
      </w:r>
    </w:p>
    <w:tbl>
      <w:tblPr>
        <w:tblStyle w:val="5"/>
        <w:tblW w:w="8589" w:type="dxa"/>
        <w:tblInd w:w="1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4"/>
        <w:gridCol w:w="1508"/>
        <w:gridCol w:w="649"/>
        <w:gridCol w:w="1079"/>
        <w:gridCol w:w="959"/>
        <w:gridCol w:w="1488"/>
        <w:gridCol w:w="1388"/>
        <w:gridCol w:w="834"/>
      </w:tblGrid>
      <w:tr w14:paraId="448643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4" w:hRule="atLeast"/>
        </w:trPr>
        <w:tc>
          <w:tcPr>
            <w:tcW w:w="684" w:type="dxa"/>
            <w:vMerge w:val="restart"/>
            <w:tcBorders>
              <w:bottom w:val="nil"/>
            </w:tcBorders>
            <w:vAlign w:val="top"/>
          </w:tcPr>
          <w:p w14:paraId="6738ECAE">
            <w:pPr>
              <w:spacing w:line="349" w:lineRule="auto"/>
              <w:rPr>
                <w:rFonts w:ascii="Arial"/>
                <w:sz w:val="21"/>
              </w:rPr>
            </w:pPr>
          </w:p>
          <w:p w14:paraId="2AA271CA">
            <w:pPr>
              <w:spacing w:line="350" w:lineRule="auto"/>
              <w:rPr>
                <w:rFonts w:ascii="Arial"/>
                <w:sz w:val="21"/>
              </w:rPr>
            </w:pPr>
          </w:p>
          <w:p w14:paraId="0639891B">
            <w:pPr>
              <w:pStyle w:val="6"/>
              <w:spacing w:before="72" w:line="221" w:lineRule="auto"/>
              <w:ind w:left="135"/>
              <w:rPr>
                <w:sz w:val="22"/>
                <w:szCs w:val="22"/>
              </w:rPr>
            </w:pPr>
            <w:r>
              <w:rPr>
                <w:spacing w:val="6"/>
                <w:sz w:val="22"/>
                <w:szCs w:val="22"/>
              </w:rPr>
              <w:t>序号</w:t>
            </w:r>
          </w:p>
        </w:tc>
        <w:tc>
          <w:tcPr>
            <w:tcW w:w="1508" w:type="dxa"/>
            <w:vMerge w:val="restart"/>
            <w:tcBorders>
              <w:bottom w:val="nil"/>
            </w:tcBorders>
            <w:vAlign w:val="top"/>
          </w:tcPr>
          <w:p w14:paraId="7D29B336">
            <w:pPr>
              <w:spacing w:line="418" w:lineRule="auto"/>
              <w:rPr>
                <w:rFonts w:ascii="Arial"/>
                <w:sz w:val="21"/>
              </w:rPr>
            </w:pPr>
          </w:p>
          <w:p w14:paraId="4E448B32">
            <w:pPr>
              <w:pStyle w:val="6"/>
              <w:spacing w:before="72" w:line="219" w:lineRule="auto"/>
              <w:ind w:left="211"/>
              <w:rPr>
                <w:sz w:val="22"/>
                <w:szCs w:val="22"/>
              </w:rPr>
            </w:pPr>
            <w:r>
              <w:rPr>
                <w:spacing w:val="-2"/>
                <w:sz w:val="22"/>
                <w:szCs w:val="22"/>
              </w:rPr>
              <w:t>材料(工程设</w:t>
            </w:r>
          </w:p>
          <w:p w14:paraId="25DC98F9">
            <w:pPr>
              <w:pStyle w:val="6"/>
              <w:spacing w:before="21" w:line="217" w:lineRule="auto"/>
              <w:ind w:left="211"/>
              <w:rPr>
                <w:sz w:val="22"/>
                <w:szCs w:val="22"/>
              </w:rPr>
            </w:pPr>
            <w:r>
              <w:rPr>
                <w:spacing w:val="1"/>
                <w:sz w:val="22"/>
                <w:szCs w:val="22"/>
              </w:rPr>
              <w:t>备)名称、规</w:t>
            </w:r>
          </w:p>
          <w:p w14:paraId="30727814">
            <w:pPr>
              <w:pStyle w:val="6"/>
              <w:spacing w:line="219" w:lineRule="auto"/>
              <w:ind w:left="340"/>
              <w:rPr>
                <w:sz w:val="22"/>
                <w:szCs w:val="22"/>
              </w:rPr>
            </w:pPr>
            <w:r>
              <w:rPr>
                <w:spacing w:val="3"/>
                <w:sz w:val="22"/>
                <w:szCs w:val="22"/>
              </w:rPr>
              <w:t>格、型号</w:t>
            </w:r>
          </w:p>
        </w:tc>
        <w:tc>
          <w:tcPr>
            <w:tcW w:w="649" w:type="dxa"/>
            <w:vMerge w:val="restart"/>
            <w:tcBorders>
              <w:bottom w:val="nil"/>
            </w:tcBorders>
            <w:vAlign w:val="top"/>
          </w:tcPr>
          <w:p w14:paraId="6E7AC85B">
            <w:pPr>
              <w:spacing w:line="275" w:lineRule="auto"/>
              <w:rPr>
                <w:rFonts w:ascii="Arial"/>
                <w:sz w:val="21"/>
              </w:rPr>
            </w:pPr>
          </w:p>
          <w:p w14:paraId="3DAC6FF6">
            <w:pPr>
              <w:spacing w:line="275" w:lineRule="auto"/>
              <w:rPr>
                <w:rFonts w:ascii="Arial"/>
                <w:sz w:val="21"/>
              </w:rPr>
            </w:pPr>
          </w:p>
          <w:p w14:paraId="17E8AC56">
            <w:pPr>
              <w:pStyle w:val="6"/>
              <w:spacing w:before="71" w:line="221" w:lineRule="auto"/>
              <w:ind w:left="142"/>
              <w:rPr>
                <w:sz w:val="22"/>
                <w:szCs w:val="22"/>
              </w:rPr>
            </w:pPr>
            <w:r>
              <w:rPr>
                <w:spacing w:val="-3"/>
                <w:sz w:val="22"/>
                <w:szCs w:val="22"/>
              </w:rPr>
              <w:t>计量</w:t>
            </w:r>
          </w:p>
          <w:p w14:paraId="3F77668A">
            <w:pPr>
              <w:pStyle w:val="6"/>
              <w:spacing w:before="16" w:line="220" w:lineRule="auto"/>
              <w:ind w:left="142"/>
              <w:rPr>
                <w:sz w:val="22"/>
                <w:szCs w:val="22"/>
              </w:rPr>
            </w:pPr>
            <w:r>
              <w:rPr>
                <w:spacing w:val="-3"/>
                <w:sz w:val="22"/>
                <w:szCs w:val="22"/>
              </w:rPr>
              <w:t>单位</w:t>
            </w:r>
          </w:p>
        </w:tc>
        <w:tc>
          <w:tcPr>
            <w:tcW w:w="2038" w:type="dxa"/>
            <w:gridSpan w:val="2"/>
            <w:vAlign w:val="top"/>
          </w:tcPr>
          <w:p w14:paraId="2BE3BCFC">
            <w:pPr>
              <w:spacing w:line="251" w:lineRule="auto"/>
              <w:rPr>
                <w:rFonts w:ascii="Arial"/>
                <w:sz w:val="21"/>
              </w:rPr>
            </w:pPr>
          </w:p>
          <w:p w14:paraId="560597CE">
            <w:pPr>
              <w:pStyle w:val="6"/>
              <w:spacing w:before="71" w:line="219" w:lineRule="auto"/>
              <w:ind w:left="833"/>
              <w:rPr>
                <w:sz w:val="22"/>
                <w:szCs w:val="22"/>
              </w:rPr>
            </w:pPr>
            <w:r>
              <w:rPr>
                <w:spacing w:val="-3"/>
                <w:sz w:val="22"/>
                <w:szCs w:val="22"/>
              </w:rPr>
              <w:t>数量</w:t>
            </w:r>
          </w:p>
        </w:tc>
        <w:tc>
          <w:tcPr>
            <w:tcW w:w="2876" w:type="dxa"/>
            <w:gridSpan w:val="2"/>
            <w:vAlign w:val="top"/>
          </w:tcPr>
          <w:p w14:paraId="479270F8">
            <w:pPr>
              <w:spacing w:line="248" w:lineRule="auto"/>
              <w:rPr>
                <w:rFonts w:ascii="Arial"/>
                <w:sz w:val="21"/>
              </w:rPr>
            </w:pPr>
          </w:p>
          <w:p w14:paraId="4A002E92">
            <w:pPr>
              <w:pStyle w:val="6"/>
              <w:spacing w:before="72" w:line="218" w:lineRule="auto"/>
              <w:ind w:left="975"/>
              <w:rPr>
                <w:sz w:val="22"/>
                <w:szCs w:val="22"/>
              </w:rPr>
            </w:pPr>
            <w:r>
              <w:rPr>
                <w:spacing w:val="9"/>
                <w:sz w:val="22"/>
                <w:szCs w:val="22"/>
              </w:rPr>
              <w:t>暂估(元)</w:t>
            </w:r>
          </w:p>
        </w:tc>
        <w:tc>
          <w:tcPr>
            <w:tcW w:w="834" w:type="dxa"/>
            <w:vAlign w:val="top"/>
          </w:tcPr>
          <w:p w14:paraId="45260A12">
            <w:pPr>
              <w:spacing w:line="252" w:lineRule="auto"/>
              <w:rPr>
                <w:rFonts w:ascii="Arial"/>
                <w:sz w:val="21"/>
              </w:rPr>
            </w:pPr>
          </w:p>
          <w:p w14:paraId="70E46D78">
            <w:pPr>
              <w:pStyle w:val="6"/>
              <w:spacing w:before="71" w:line="221" w:lineRule="auto"/>
              <w:ind w:left="220"/>
              <w:rPr>
                <w:sz w:val="22"/>
                <w:szCs w:val="22"/>
              </w:rPr>
            </w:pPr>
            <w:r>
              <w:rPr>
                <w:spacing w:val="5"/>
                <w:sz w:val="22"/>
                <w:szCs w:val="22"/>
              </w:rPr>
              <w:t>备注</w:t>
            </w:r>
          </w:p>
        </w:tc>
      </w:tr>
      <w:tr w14:paraId="000ECB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9" w:hRule="atLeast"/>
        </w:trPr>
        <w:tc>
          <w:tcPr>
            <w:tcW w:w="684" w:type="dxa"/>
            <w:vMerge w:val="continue"/>
            <w:tcBorders>
              <w:top w:val="nil"/>
            </w:tcBorders>
            <w:vAlign w:val="top"/>
          </w:tcPr>
          <w:p w14:paraId="77F5EC8D">
            <w:pPr>
              <w:rPr>
                <w:rFonts w:ascii="Arial"/>
                <w:sz w:val="21"/>
              </w:rPr>
            </w:pPr>
          </w:p>
        </w:tc>
        <w:tc>
          <w:tcPr>
            <w:tcW w:w="1508" w:type="dxa"/>
            <w:vMerge w:val="continue"/>
            <w:tcBorders>
              <w:top w:val="nil"/>
            </w:tcBorders>
            <w:vAlign w:val="top"/>
          </w:tcPr>
          <w:p w14:paraId="5DD75715">
            <w:pPr>
              <w:rPr>
                <w:rFonts w:ascii="Arial"/>
                <w:sz w:val="21"/>
              </w:rPr>
            </w:pPr>
          </w:p>
        </w:tc>
        <w:tc>
          <w:tcPr>
            <w:tcW w:w="649" w:type="dxa"/>
            <w:vMerge w:val="continue"/>
            <w:tcBorders>
              <w:top w:val="nil"/>
            </w:tcBorders>
            <w:vAlign w:val="top"/>
          </w:tcPr>
          <w:p w14:paraId="1193D7AC">
            <w:pPr>
              <w:rPr>
                <w:rFonts w:ascii="Arial"/>
                <w:sz w:val="21"/>
              </w:rPr>
            </w:pPr>
          </w:p>
        </w:tc>
        <w:tc>
          <w:tcPr>
            <w:tcW w:w="1079" w:type="dxa"/>
            <w:vAlign w:val="top"/>
          </w:tcPr>
          <w:p w14:paraId="096C522E">
            <w:pPr>
              <w:spacing w:line="264" w:lineRule="auto"/>
              <w:rPr>
                <w:rFonts w:ascii="Arial"/>
                <w:sz w:val="21"/>
              </w:rPr>
            </w:pPr>
          </w:p>
          <w:p w14:paraId="0E53FD8B">
            <w:pPr>
              <w:pStyle w:val="6"/>
              <w:spacing w:before="72" w:line="218" w:lineRule="auto"/>
              <w:ind w:left="353"/>
              <w:rPr>
                <w:sz w:val="22"/>
                <w:szCs w:val="22"/>
              </w:rPr>
            </w:pPr>
            <w:r>
              <w:rPr>
                <w:spacing w:val="5"/>
                <w:sz w:val="22"/>
                <w:szCs w:val="22"/>
              </w:rPr>
              <w:t>暂估</w:t>
            </w:r>
          </w:p>
        </w:tc>
        <w:tc>
          <w:tcPr>
            <w:tcW w:w="959" w:type="dxa"/>
            <w:vAlign w:val="top"/>
          </w:tcPr>
          <w:p w14:paraId="62392423">
            <w:pPr>
              <w:spacing w:line="267" w:lineRule="auto"/>
              <w:rPr>
                <w:rFonts w:ascii="Arial"/>
                <w:sz w:val="21"/>
              </w:rPr>
            </w:pPr>
          </w:p>
          <w:p w14:paraId="1308E963">
            <w:pPr>
              <w:pStyle w:val="6"/>
              <w:spacing w:before="72" w:line="220" w:lineRule="auto"/>
              <w:ind w:left="284"/>
              <w:rPr>
                <w:sz w:val="22"/>
                <w:szCs w:val="22"/>
              </w:rPr>
            </w:pPr>
            <w:r>
              <w:rPr>
                <w:spacing w:val="-3"/>
                <w:sz w:val="22"/>
                <w:szCs w:val="22"/>
              </w:rPr>
              <w:t>确认</w:t>
            </w:r>
          </w:p>
        </w:tc>
        <w:tc>
          <w:tcPr>
            <w:tcW w:w="1488" w:type="dxa"/>
            <w:vAlign w:val="top"/>
          </w:tcPr>
          <w:p w14:paraId="7EC47A85">
            <w:pPr>
              <w:spacing w:line="264" w:lineRule="auto"/>
              <w:rPr>
                <w:rFonts w:ascii="Arial"/>
                <w:sz w:val="21"/>
              </w:rPr>
            </w:pPr>
          </w:p>
          <w:p w14:paraId="34060BDA">
            <w:pPr>
              <w:pStyle w:val="6"/>
              <w:spacing w:before="72" w:line="218" w:lineRule="auto"/>
              <w:ind w:left="536"/>
              <w:rPr>
                <w:sz w:val="22"/>
                <w:szCs w:val="22"/>
              </w:rPr>
            </w:pPr>
            <w:r>
              <w:rPr>
                <w:spacing w:val="-3"/>
                <w:sz w:val="22"/>
                <w:szCs w:val="22"/>
              </w:rPr>
              <w:t>单价</w:t>
            </w:r>
          </w:p>
        </w:tc>
        <w:tc>
          <w:tcPr>
            <w:tcW w:w="1388" w:type="dxa"/>
            <w:vAlign w:val="top"/>
          </w:tcPr>
          <w:p w14:paraId="7C127D9D">
            <w:pPr>
              <w:spacing w:line="264" w:lineRule="auto"/>
              <w:rPr>
                <w:rFonts w:ascii="Arial"/>
                <w:sz w:val="21"/>
              </w:rPr>
            </w:pPr>
          </w:p>
          <w:p w14:paraId="68E2ECC7">
            <w:pPr>
              <w:pStyle w:val="6"/>
              <w:spacing w:before="72" w:line="218" w:lineRule="auto"/>
              <w:ind w:left="468"/>
              <w:rPr>
                <w:sz w:val="22"/>
                <w:szCs w:val="22"/>
              </w:rPr>
            </w:pPr>
            <w:r>
              <w:rPr>
                <w:spacing w:val="-3"/>
                <w:sz w:val="22"/>
                <w:szCs w:val="22"/>
              </w:rPr>
              <w:t>合价</w:t>
            </w:r>
          </w:p>
        </w:tc>
        <w:tc>
          <w:tcPr>
            <w:tcW w:w="834" w:type="dxa"/>
            <w:vAlign w:val="top"/>
          </w:tcPr>
          <w:p w14:paraId="067ADE2C">
            <w:pPr>
              <w:rPr>
                <w:rFonts w:ascii="Arial"/>
                <w:sz w:val="21"/>
              </w:rPr>
            </w:pPr>
          </w:p>
        </w:tc>
      </w:tr>
      <w:tr w14:paraId="1DEC68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9" w:hRule="atLeast"/>
        </w:trPr>
        <w:tc>
          <w:tcPr>
            <w:tcW w:w="684" w:type="dxa"/>
            <w:vAlign w:val="top"/>
          </w:tcPr>
          <w:p w14:paraId="2220BB90">
            <w:pPr>
              <w:rPr>
                <w:rFonts w:ascii="Arial"/>
                <w:sz w:val="21"/>
              </w:rPr>
            </w:pPr>
          </w:p>
        </w:tc>
        <w:tc>
          <w:tcPr>
            <w:tcW w:w="1508" w:type="dxa"/>
            <w:vAlign w:val="top"/>
          </w:tcPr>
          <w:p w14:paraId="674B2089">
            <w:pPr>
              <w:rPr>
                <w:rFonts w:ascii="Arial"/>
                <w:sz w:val="21"/>
              </w:rPr>
            </w:pPr>
          </w:p>
        </w:tc>
        <w:tc>
          <w:tcPr>
            <w:tcW w:w="649" w:type="dxa"/>
            <w:vAlign w:val="top"/>
          </w:tcPr>
          <w:p w14:paraId="4A3B5D93">
            <w:pPr>
              <w:rPr>
                <w:rFonts w:ascii="Arial"/>
                <w:sz w:val="21"/>
              </w:rPr>
            </w:pPr>
          </w:p>
        </w:tc>
        <w:tc>
          <w:tcPr>
            <w:tcW w:w="1079" w:type="dxa"/>
            <w:vAlign w:val="top"/>
          </w:tcPr>
          <w:p w14:paraId="59613BEF">
            <w:pPr>
              <w:rPr>
                <w:rFonts w:ascii="Arial"/>
                <w:sz w:val="21"/>
              </w:rPr>
            </w:pPr>
          </w:p>
        </w:tc>
        <w:tc>
          <w:tcPr>
            <w:tcW w:w="959" w:type="dxa"/>
            <w:vAlign w:val="top"/>
          </w:tcPr>
          <w:p w14:paraId="38D1930E">
            <w:pPr>
              <w:rPr>
                <w:rFonts w:ascii="Arial"/>
                <w:sz w:val="21"/>
              </w:rPr>
            </w:pPr>
          </w:p>
        </w:tc>
        <w:tc>
          <w:tcPr>
            <w:tcW w:w="1488" w:type="dxa"/>
            <w:vAlign w:val="top"/>
          </w:tcPr>
          <w:p w14:paraId="534B979F">
            <w:pPr>
              <w:rPr>
                <w:rFonts w:ascii="Arial"/>
                <w:sz w:val="21"/>
              </w:rPr>
            </w:pPr>
          </w:p>
        </w:tc>
        <w:tc>
          <w:tcPr>
            <w:tcW w:w="1388" w:type="dxa"/>
            <w:vAlign w:val="top"/>
          </w:tcPr>
          <w:p w14:paraId="475A4495">
            <w:pPr>
              <w:rPr>
                <w:rFonts w:ascii="Arial"/>
                <w:sz w:val="21"/>
              </w:rPr>
            </w:pPr>
          </w:p>
        </w:tc>
        <w:tc>
          <w:tcPr>
            <w:tcW w:w="834" w:type="dxa"/>
            <w:vAlign w:val="top"/>
          </w:tcPr>
          <w:p w14:paraId="1776219D">
            <w:pPr>
              <w:rPr>
                <w:rFonts w:ascii="Arial"/>
                <w:sz w:val="21"/>
              </w:rPr>
            </w:pPr>
          </w:p>
        </w:tc>
      </w:tr>
      <w:tr w14:paraId="539D62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9" w:hRule="atLeast"/>
        </w:trPr>
        <w:tc>
          <w:tcPr>
            <w:tcW w:w="684" w:type="dxa"/>
            <w:vAlign w:val="top"/>
          </w:tcPr>
          <w:p w14:paraId="0094764F">
            <w:pPr>
              <w:rPr>
                <w:rFonts w:ascii="Arial"/>
                <w:sz w:val="21"/>
              </w:rPr>
            </w:pPr>
          </w:p>
        </w:tc>
        <w:tc>
          <w:tcPr>
            <w:tcW w:w="1508" w:type="dxa"/>
            <w:vAlign w:val="top"/>
          </w:tcPr>
          <w:p w14:paraId="3982E536">
            <w:pPr>
              <w:rPr>
                <w:rFonts w:ascii="Arial"/>
                <w:sz w:val="21"/>
              </w:rPr>
            </w:pPr>
          </w:p>
        </w:tc>
        <w:tc>
          <w:tcPr>
            <w:tcW w:w="649" w:type="dxa"/>
            <w:vAlign w:val="top"/>
          </w:tcPr>
          <w:p w14:paraId="10814F3C">
            <w:pPr>
              <w:rPr>
                <w:rFonts w:ascii="Arial"/>
                <w:sz w:val="21"/>
              </w:rPr>
            </w:pPr>
          </w:p>
        </w:tc>
        <w:tc>
          <w:tcPr>
            <w:tcW w:w="1079" w:type="dxa"/>
            <w:vAlign w:val="top"/>
          </w:tcPr>
          <w:p w14:paraId="1BE8DE53">
            <w:pPr>
              <w:rPr>
                <w:rFonts w:ascii="Arial"/>
                <w:sz w:val="21"/>
              </w:rPr>
            </w:pPr>
          </w:p>
        </w:tc>
        <w:tc>
          <w:tcPr>
            <w:tcW w:w="959" w:type="dxa"/>
            <w:vAlign w:val="top"/>
          </w:tcPr>
          <w:p w14:paraId="7E7B862D">
            <w:pPr>
              <w:rPr>
                <w:rFonts w:ascii="Arial"/>
                <w:sz w:val="21"/>
              </w:rPr>
            </w:pPr>
          </w:p>
        </w:tc>
        <w:tc>
          <w:tcPr>
            <w:tcW w:w="1488" w:type="dxa"/>
            <w:vAlign w:val="top"/>
          </w:tcPr>
          <w:p w14:paraId="6560751B">
            <w:pPr>
              <w:rPr>
                <w:rFonts w:ascii="Arial"/>
                <w:sz w:val="21"/>
              </w:rPr>
            </w:pPr>
          </w:p>
        </w:tc>
        <w:tc>
          <w:tcPr>
            <w:tcW w:w="1388" w:type="dxa"/>
            <w:vAlign w:val="top"/>
          </w:tcPr>
          <w:p w14:paraId="7BF741F7">
            <w:pPr>
              <w:rPr>
                <w:rFonts w:ascii="Arial"/>
                <w:sz w:val="21"/>
              </w:rPr>
            </w:pPr>
          </w:p>
        </w:tc>
        <w:tc>
          <w:tcPr>
            <w:tcW w:w="834" w:type="dxa"/>
            <w:vAlign w:val="top"/>
          </w:tcPr>
          <w:p w14:paraId="022274A3">
            <w:pPr>
              <w:rPr>
                <w:rFonts w:ascii="Arial"/>
                <w:sz w:val="21"/>
              </w:rPr>
            </w:pPr>
          </w:p>
        </w:tc>
      </w:tr>
      <w:tr w14:paraId="66373F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9" w:hRule="atLeast"/>
        </w:trPr>
        <w:tc>
          <w:tcPr>
            <w:tcW w:w="684" w:type="dxa"/>
            <w:vAlign w:val="top"/>
          </w:tcPr>
          <w:p w14:paraId="1D11CCC2">
            <w:pPr>
              <w:rPr>
                <w:rFonts w:ascii="Arial"/>
                <w:sz w:val="21"/>
              </w:rPr>
            </w:pPr>
          </w:p>
        </w:tc>
        <w:tc>
          <w:tcPr>
            <w:tcW w:w="1508" w:type="dxa"/>
            <w:vAlign w:val="top"/>
          </w:tcPr>
          <w:p w14:paraId="429570EA">
            <w:pPr>
              <w:rPr>
                <w:rFonts w:ascii="Arial"/>
                <w:sz w:val="21"/>
              </w:rPr>
            </w:pPr>
          </w:p>
        </w:tc>
        <w:tc>
          <w:tcPr>
            <w:tcW w:w="649" w:type="dxa"/>
            <w:vAlign w:val="top"/>
          </w:tcPr>
          <w:p w14:paraId="26EC0F18">
            <w:pPr>
              <w:rPr>
                <w:rFonts w:ascii="Arial"/>
                <w:sz w:val="21"/>
              </w:rPr>
            </w:pPr>
          </w:p>
        </w:tc>
        <w:tc>
          <w:tcPr>
            <w:tcW w:w="1079" w:type="dxa"/>
            <w:vAlign w:val="top"/>
          </w:tcPr>
          <w:p w14:paraId="1B53D3CC">
            <w:pPr>
              <w:rPr>
                <w:rFonts w:ascii="Arial"/>
                <w:sz w:val="21"/>
              </w:rPr>
            </w:pPr>
          </w:p>
        </w:tc>
        <w:tc>
          <w:tcPr>
            <w:tcW w:w="959" w:type="dxa"/>
            <w:vAlign w:val="top"/>
          </w:tcPr>
          <w:p w14:paraId="7E082FCE">
            <w:pPr>
              <w:rPr>
                <w:rFonts w:ascii="Arial"/>
                <w:sz w:val="21"/>
              </w:rPr>
            </w:pPr>
          </w:p>
        </w:tc>
        <w:tc>
          <w:tcPr>
            <w:tcW w:w="1488" w:type="dxa"/>
            <w:vAlign w:val="top"/>
          </w:tcPr>
          <w:p w14:paraId="3D50D92B">
            <w:pPr>
              <w:rPr>
                <w:rFonts w:ascii="Arial"/>
                <w:sz w:val="21"/>
              </w:rPr>
            </w:pPr>
          </w:p>
        </w:tc>
        <w:tc>
          <w:tcPr>
            <w:tcW w:w="1388" w:type="dxa"/>
            <w:vAlign w:val="top"/>
          </w:tcPr>
          <w:p w14:paraId="0C0DE2D3">
            <w:pPr>
              <w:rPr>
                <w:rFonts w:ascii="Arial"/>
                <w:sz w:val="21"/>
              </w:rPr>
            </w:pPr>
          </w:p>
        </w:tc>
        <w:tc>
          <w:tcPr>
            <w:tcW w:w="834" w:type="dxa"/>
            <w:vAlign w:val="top"/>
          </w:tcPr>
          <w:p w14:paraId="2A3649B7">
            <w:pPr>
              <w:rPr>
                <w:rFonts w:ascii="Arial"/>
                <w:sz w:val="21"/>
              </w:rPr>
            </w:pPr>
          </w:p>
        </w:tc>
      </w:tr>
      <w:tr w14:paraId="203926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9" w:hRule="atLeast"/>
        </w:trPr>
        <w:tc>
          <w:tcPr>
            <w:tcW w:w="684" w:type="dxa"/>
            <w:vAlign w:val="top"/>
          </w:tcPr>
          <w:p w14:paraId="3680E537">
            <w:pPr>
              <w:rPr>
                <w:rFonts w:ascii="Arial"/>
                <w:sz w:val="21"/>
              </w:rPr>
            </w:pPr>
          </w:p>
        </w:tc>
        <w:tc>
          <w:tcPr>
            <w:tcW w:w="1508" w:type="dxa"/>
            <w:vAlign w:val="top"/>
          </w:tcPr>
          <w:p w14:paraId="7339AE57">
            <w:pPr>
              <w:rPr>
                <w:rFonts w:ascii="Arial"/>
                <w:sz w:val="21"/>
              </w:rPr>
            </w:pPr>
          </w:p>
        </w:tc>
        <w:tc>
          <w:tcPr>
            <w:tcW w:w="649" w:type="dxa"/>
            <w:vAlign w:val="top"/>
          </w:tcPr>
          <w:p w14:paraId="10B3E550">
            <w:pPr>
              <w:rPr>
                <w:rFonts w:ascii="Arial"/>
                <w:sz w:val="21"/>
              </w:rPr>
            </w:pPr>
          </w:p>
        </w:tc>
        <w:tc>
          <w:tcPr>
            <w:tcW w:w="1079" w:type="dxa"/>
            <w:vAlign w:val="top"/>
          </w:tcPr>
          <w:p w14:paraId="67E1A6B7">
            <w:pPr>
              <w:rPr>
                <w:rFonts w:ascii="Arial"/>
                <w:sz w:val="21"/>
              </w:rPr>
            </w:pPr>
          </w:p>
        </w:tc>
        <w:tc>
          <w:tcPr>
            <w:tcW w:w="959" w:type="dxa"/>
            <w:vAlign w:val="top"/>
          </w:tcPr>
          <w:p w14:paraId="4074C945">
            <w:pPr>
              <w:rPr>
                <w:rFonts w:ascii="Arial"/>
                <w:sz w:val="21"/>
              </w:rPr>
            </w:pPr>
          </w:p>
        </w:tc>
        <w:tc>
          <w:tcPr>
            <w:tcW w:w="1488" w:type="dxa"/>
            <w:vAlign w:val="top"/>
          </w:tcPr>
          <w:p w14:paraId="3B933AE2">
            <w:pPr>
              <w:rPr>
                <w:rFonts w:ascii="Arial"/>
                <w:sz w:val="21"/>
              </w:rPr>
            </w:pPr>
          </w:p>
        </w:tc>
        <w:tc>
          <w:tcPr>
            <w:tcW w:w="1388" w:type="dxa"/>
            <w:vAlign w:val="top"/>
          </w:tcPr>
          <w:p w14:paraId="259FD949">
            <w:pPr>
              <w:rPr>
                <w:rFonts w:ascii="Arial"/>
                <w:sz w:val="21"/>
              </w:rPr>
            </w:pPr>
          </w:p>
        </w:tc>
        <w:tc>
          <w:tcPr>
            <w:tcW w:w="834" w:type="dxa"/>
            <w:vAlign w:val="top"/>
          </w:tcPr>
          <w:p w14:paraId="5C079886">
            <w:pPr>
              <w:rPr>
                <w:rFonts w:ascii="Arial"/>
                <w:sz w:val="21"/>
              </w:rPr>
            </w:pPr>
          </w:p>
        </w:tc>
      </w:tr>
      <w:tr w14:paraId="592F82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9" w:hRule="atLeast"/>
        </w:trPr>
        <w:tc>
          <w:tcPr>
            <w:tcW w:w="684" w:type="dxa"/>
            <w:vAlign w:val="top"/>
          </w:tcPr>
          <w:p w14:paraId="2101C30B">
            <w:pPr>
              <w:rPr>
                <w:rFonts w:ascii="Arial"/>
                <w:sz w:val="21"/>
              </w:rPr>
            </w:pPr>
          </w:p>
        </w:tc>
        <w:tc>
          <w:tcPr>
            <w:tcW w:w="1508" w:type="dxa"/>
            <w:vAlign w:val="top"/>
          </w:tcPr>
          <w:p w14:paraId="69E907F9">
            <w:pPr>
              <w:rPr>
                <w:rFonts w:ascii="Arial"/>
                <w:sz w:val="21"/>
              </w:rPr>
            </w:pPr>
          </w:p>
        </w:tc>
        <w:tc>
          <w:tcPr>
            <w:tcW w:w="649" w:type="dxa"/>
            <w:vAlign w:val="top"/>
          </w:tcPr>
          <w:p w14:paraId="0AA283C9">
            <w:pPr>
              <w:rPr>
                <w:rFonts w:ascii="Arial"/>
                <w:sz w:val="21"/>
              </w:rPr>
            </w:pPr>
          </w:p>
        </w:tc>
        <w:tc>
          <w:tcPr>
            <w:tcW w:w="1079" w:type="dxa"/>
            <w:vAlign w:val="top"/>
          </w:tcPr>
          <w:p w14:paraId="318EE5F7">
            <w:pPr>
              <w:rPr>
                <w:rFonts w:ascii="Arial"/>
                <w:sz w:val="21"/>
              </w:rPr>
            </w:pPr>
          </w:p>
        </w:tc>
        <w:tc>
          <w:tcPr>
            <w:tcW w:w="959" w:type="dxa"/>
            <w:vAlign w:val="top"/>
          </w:tcPr>
          <w:p w14:paraId="60CB911C">
            <w:pPr>
              <w:rPr>
                <w:rFonts w:ascii="Arial"/>
                <w:sz w:val="21"/>
              </w:rPr>
            </w:pPr>
          </w:p>
        </w:tc>
        <w:tc>
          <w:tcPr>
            <w:tcW w:w="1488" w:type="dxa"/>
            <w:vAlign w:val="top"/>
          </w:tcPr>
          <w:p w14:paraId="73582760">
            <w:pPr>
              <w:rPr>
                <w:rFonts w:ascii="Arial"/>
                <w:sz w:val="21"/>
              </w:rPr>
            </w:pPr>
          </w:p>
        </w:tc>
        <w:tc>
          <w:tcPr>
            <w:tcW w:w="1388" w:type="dxa"/>
            <w:vAlign w:val="top"/>
          </w:tcPr>
          <w:p w14:paraId="58C783E6">
            <w:pPr>
              <w:rPr>
                <w:rFonts w:ascii="Arial"/>
                <w:sz w:val="21"/>
              </w:rPr>
            </w:pPr>
          </w:p>
        </w:tc>
        <w:tc>
          <w:tcPr>
            <w:tcW w:w="834" w:type="dxa"/>
            <w:vAlign w:val="top"/>
          </w:tcPr>
          <w:p w14:paraId="57755050">
            <w:pPr>
              <w:rPr>
                <w:rFonts w:ascii="Arial"/>
                <w:sz w:val="21"/>
              </w:rPr>
            </w:pPr>
          </w:p>
        </w:tc>
      </w:tr>
      <w:tr w14:paraId="765C3C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9" w:hRule="atLeast"/>
        </w:trPr>
        <w:tc>
          <w:tcPr>
            <w:tcW w:w="684" w:type="dxa"/>
            <w:vAlign w:val="top"/>
          </w:tcPr>
          <w:p w14:paraId="343572FC">
            <w:pPr>
              <w:rPr>
                <w:rFonts w:ascii="Arial"/>
                <w:sz w:val="21"/>
              </w:rPr>
            </w:pPr>
          </w:p>
        </w:tc>
        <w:tc>
          <w:tcPr>
            <w:tcW w:w="1508" w:type="dxa"/>
            <w:vAlign w:val="top"/>
          </w:tcPr>
          <w:p w14:paraId="53C48FF3">
            <w:pPr>
              <w:rPr>
                <w:rFonts w:ascii="Arial"/>
                <w:sz w:val="21"/>
              </w:rPr>
            </w:pPr>
          </w:p>
        </w:tc>
        <w:tc>
          <w:tcPr>
            <w:tcW w:w="649" w:type="dxa"/>
            <w:vAlign w:val="top"/>
          </w:tcPr>
          <w:p w14:paraId="44430FF0">
            <w:pPr>
              <w:rPr>
                <w:rFonts w:ascii="Arial"/>
                <w:sz w:val="21"/>
              </w:rPr>
            </w:pPr>
          </w:p>
        </w:tc>
        <w:tc>
          <w:tcPr>
            <w:tcW w:w="1079" w:type="dxa"/>
            <w:vAlign w:val="top"/>
          </w:tcPr>
          <w:p w14:paraId="547CA193">
            <w:pPr>
              <w:rPr>
                <w:rFonts w:ascii="Arial"/>
                <w:sz w:val="21"/>
              </w:rPr>
            </w:pPr>
          </w:p>
        </w:tc>
        <w:tc>
          <w:tcPr>
            <w:tcW w:w="959" w:type="dxa"/>
            <w:vAlign w:val="top"/>
          </w:tcPr>
          <w:p w14:paraId="04A778C2">
            <w:pPr>
              <w:rPr>
                <w:rFonts w:ascii="Arial"/>
                <w:sz w:val="21"/>
              </w:rPr>
            </w:pPr>
          </w:p>
        </w:tc>
        <w:tc>
          <w:tcPr>
            <w:tcW w:w="1488" w:type="dxa"/>
            <w:vAlign w:val="top"/>
          </w:tcPr>
          <w:p w14:paraId="139FC716">
            <w:pPr>
              <w:rPr>
                <w:rFonts w:ascii="Arial"/>
                <w:sz w:val="21"/>
              </w:rPr>
            </w:pPr>
          </w:p>
        </w:tc>
        <w:tc>
          <w:tcPr>
            <w:tcW w:w="1388" w:type="dxa"/>
            <w:vAlign w:val="top"/>
          </w:tcPr>
          <w:p w14:paraId="64805F67">
            <w:pPr>
              <w:rPr>
                <w:rFonts w:ascii="Arial"/>
                <w:sz w:val="21"/>
              </w:rPr>
            </w:pPr>
          </w:p>
        </w:tc>
        <w:tc>
          <w:tcPr>
            <w:tcW w:w="834" w:type="dxa"/>
            <w:vAlign w:val="top"/>
          </w:tcPr>
          <w:p w14:paraId="34D78F5A">
            <w:pPr>
              <w:rPr>
                <w:rFonts w:ascii="Arial"/>
                <w:sz w:val="21"/>
              </w:rPr>
            </w:pPr>
          </w:p>
        </w:tc>
      </w:tr>
      <w:tr w14:paraId="683508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9" w:hRule="atLeast"/>
        </w:trPr>
        <w:tc>
          <w:tcPr>
            <w:tcW w:w="684" w:type="dxa"/>
            <w:vAlign w:val="top"/>
          </w:tcPr>
          <w:p w14:paraId="3F89E6C6">
            <w:pPr>
              <w:rPr>
                <w:rFonts w:ascii="Arial"/>
                <w:sz w:val="21"/>
              </w:rPr>
            </w:pPr>
          </w:p>
        </w:tc>
        <w:tc>
          <w:tcPr>
            <w:tcW w:w="1508" w:type="dxa"/>
            <w:vAlign w:val="top"/>
          </w:tcPr>
          <w:p w14:paraId="0B775EB3">
            <w:pPr>
              <w:rPr>
                <w:rFonts w:ascii="Arial"/>
                <w:sz w:val="21"/>
              </w:rPr>
            </w:pPr>
          </w:p>
        </w:tc>
        <w:tc>
          <w:tcPr>
            <w:tcW w:w="649" w:type="dxa"/>
            <w:vAlign w:val="top"/>
          </w:tcPr>
          <w:p w14:paraId="02B8C465">
            <w:pPr>
              <w:rPr>
                <w:rFonts w:ascii="Arial"/>
                <w:sz w:val="21"/>
              </w:rPr>
            </w:pPr>
          </w:p>
        </w:tc>
        <w:tc>
          <w:tcPr>
            <w:tcW w:w="1079" w:type="dxa"/>
            <w:vAlign w:val="top"/>
          </w:tcPr>
          <w:p w14:paraId="5BDA2A3A">
            <w:pPr>
              <w:rPr>
                <w:rFonts w:ascii="Arial"/>
                <w:sz w:val="21"/>
              </w:rPr>
            </w:pPr>
          </w:p>
        </w:tc>
        <w:tc>
          <w:tcPr>
            <w:tcW w:w="959" w:type="dxa"/>
            <w:vAlign w:val="top"/>
          </w:tcPr>
          <w:p w14:paraId="1195E6CF">
            <w:pPr>
              <w:rPr>
                <w:rFonts w:ascii="Arial"/>
                <w:sz w:val="21"/>
              </w:rPr>
            </w:pPr>
          </w:p>
        </w:tc>
        <w:tc>
          <w:tcPr>
            <w:tcW w:w="1488" w:type="dxa"/>
            <w:vAlign w:val="top"/>
          </w:tcPr>
          <w:p w14:paraId="4E9C047D">
            <w:pPr>
              <w:rPr>
                <w:rFonts w:ascii="Arial"/>
                <w:sz w:val="21"/>
              </w:rPr>
            </w:pPr>
          </w:p>
        </w:tc>
        <w:tc>
          <w:tcPr>
            <w:tcW w:w="1388" w:type="dxa"/>
            <w:vAlign w:val="top"/>
          </w:tcPr>
          <w:p w14:paraId="4A488496">
            <w:pPr>
              <w:rPr>
                <w:rFonts w:ascii="Arial"/>
                <w:sz w:val="21"/>
              </w:rPr>
            </w:pPr>
          </w:p>
        </w:tc>
        <w:tc>
          <w:tcPr>
            <w:tcW w:w="834" w:type="dxa"/>
            <w:vAlign w:val="top"/>
          </w:tcPr>
          <w:p w14:paraId="788BC73D">
            <w:pPr>
              <w:rPr>
                <w:rFonts w:ascii="Arial"/>
                <w:sz w:val="21"/>
              </w:rPr>
            </w:pPr>
          </w:p>
        </w:tc>
      </w:tr>
      <w:tr w14:paraId="1FC149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9" w:hRule="atLeast"/>
        </w:trPr>
        <w:tc>
          <w:tcPr>
            <w:tcW w:w="684" w:type="dxa"/>
            <w:vAlign w:val="top"/>
          </w:tcPr>
          <w:p w14:paraId="34C18F43">
            <w:pPr>
              <w:rPr>
                <w:rFonts w:ascii="Arial"/>
                <w:sz w:val="21"/>
              </w:rPr>
            </w:pPr>
          </w:p>
        </w:tc>
        <w:tc>
          <w:tcPr>
            <w:tcW w:w="1508" w:type="dxa"/>
            <w:vAlign w:val="top"/>
          </w:tcPr>
          <w:p w14:paraId="62D35146">
            <w:pPr>
              <w:rPr>
                <w:rFonts w:ascii="Arial"/>
                <w:sz w:val="21"/>
              </w:rPr>
            </w:pPr>
          </w:p>
        </w:tc>
        <w:tc>
          <w:tcPr>
            <w:tcW w:w="649" w:type="dxa"/>
            <w:vAlign w:val="top"/>
          </w:tcPr>
          <w:p w14:paraId="742F0793">
            <w:pPr>
              <w:rPr>
                <w:rFonts w:ascii="Arial"/>
                <w:sz w:val="21"/>
              </w:rPr>
            </w:pPr>
          </w:p>
        </w:tc>
        <w:tc>
          <w:tcPr>
            <w:tcW w:w="1079" w:type="dxa"/>
            <w:vAlign w:val="top"/>
          </w:tcPr>
          <w:p w14:paraId="4FAD386B">
            <w:pPr>
              <w:rPr>
                <w:rFonts w:ascii="Arial"/>
                <w:sz w:val="21"/>
              </w:rPr>
            </w:pPr>
          </w:p>
        </w:tc>
        <w:tc>
          <w:tcPr>
            <w:tcW w:w="959" w:type="dxa"/>
            <w:vAlign w:val="top"/>
          </w:tcPr>
          <w:p w14:paraId="6E234878">
            <w:pPr>
              <w:rPr>
                <w:rFonts w:ascii="Arial"/>
                <w:sz w:val="21"/>
              </w:rPr>
            </w:pPr>
          </w:p>
        </w:tc>
        <w:tc>
          <w:tcPr>
            <w:tcW w:w="1488" w:type="dxa"/>
            <w:vAlign w:val="top"/>
          </w:tcPr>
          <w:p w14:paraId="62253A90">
            <w:pPr>
              <w:rPr>
                <w:rFonts w:ascii="Arial"/>
                <w:sz w:val="21"/>
              </w:rPr>
            </w:pPr>
          </w:p>
        </w:tc>
        <w:tc>
          <w:tcPr>
            <w:tcW w:w="1388" w:type="dxa"/>
            <w:vAlign w:val="top"/>
          </w:tcPr>
          <w:p w14:paraId="40A7B0D8">
            <w:pPr>
              <w:rPr>
                <w:rFonts w:ascii="Arial"/>
                <w:sz w:val="21"/>
              </w:rPr>
            </w:pPr>
          </w:p>
        </w:tc>
        <w:tc>
          <w:tcPr>
            <w:tcW w:w="834" w:type="dxa"/>
            <w:vAlign w:val="top"/>
          </w:tcPr>
          <w:p w14:paraId="0F23139E">
            <w:pPr>
              <w:rPr>
                <w:rFonts w:ascii="Arial"/>
                <w:sz w:val="21"/>
              </w:rPr>
            </w:pPr>
          </w:p>
        </w:tc>
      </w:tr>
      <w:tr w14:paraId="141FDB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5" w:hRule="atLeast"/>
        </w:trPr>
        <w:tc>
          <w:tcPr>
            <w:tcW w:w="2841" w:type="dxa"/>
            <w:gridSpan w:val="3"/>
            <w:vAlign w:val="top"/>
          </w:tcPr>
          <w:p w14:paraId="522C5655">
            <w:pPr>
              <w:spacing w:line="257" w:lineRule="auto"/>
              <w:rPr>
                <w:rFonts w:ascii="Arial"/>
                <w:sz w:val="21"/>
              </w:rPr>
            </w:pPr>
          </w:p>
          <w:p w14:paraId="1BCB200C">
            <w:pPr>
              <w:pStyle w:val="6"/>
              <w:spacing w:before="71" w:line="221" w:lineRule="auto"/>
              <w:ind w:left="1215"/>
              <w:rPr>
                <w:sz w:val="22"/>
                <w:szCs w:val="22"/>
              </w:rPr>
            </w:pPr>
            <w:r>
              <w:rPr>
                <w:spacing w:val="-3"/>
                <w:sz w:val="22"/>
                <w:szCs w:val="22"/>
              </w:rPr>
              <w:t>合计</w:t>
            </w:r>
          </w:p>
        </w:tc>
        <w:tc>
          <w:tcPr>
            <w:tcW w:w="1079" w:type="dxa"/>
            <w:vAlign w:val="top"/>
          </w:tcPr>
          <w:p w14:paraId="316E2267">
            <w:pPr>
              <w:rPr>
                <w:rFonts w:ascii="Arial"/>
                <w:sz w:val="21"/>
              </w:rPr>
            </w:pPr>
          </w:p>
        </w:tc>
        <w:tc>
          <w:tcPr>
            <w:tcW w:w="959" w:type="dxa"/>
            <w:vAlign w:val="top"/>
          </w:tcPr>
          <w:p w14:paraId="63D88839">
            <w:pPr>
              <w:rPr>
                <w:rFonts w:ascii="Arial"/>
                <w:sz w:val="21"/>
              </w:rPr>
            </w:pPr>
          </w:p>
        </w:tc>
        <w:tc>
          <w:tcPr>
            <w:tcW w:w="1488" w:type="dxa"/>
            <w:vAlign w:val="top"/>
          </w:tcPr>
          <w:p w14:paraId="5ACA219F">
            <w:pPr>
              <w:rPr>
                <w:rFonts w:ascii="Arial"/>
                <w:sz w:val="21"/>
              </w:rPr>
            </w:pPr>
          </w:p>
        </w:tc>
        <w:tc>
          <w:tcPr>
            <w:tcW w:w="1388" w:type="dxa"/>
            <w:vAlign w:val="top"/>
          </w:tcPr>
          <w:p w14:paraId="74E1A172">
            <w:pPr>
              <w:rPr>
                <w:rFonts w:ascii="Arial"/>
                <w:sz w:val="21"/>
              </w:rPr>
            </w:pPr>
          </w:p>
        </w:tc>
        <w:tc>
          <w:tcPr>
            <w:tcW w:w="834" w:type="dxa"/>
            <w:vAlign w:val="top"/>
          </w:tcPr>
          <w:p w14:paraId="7C3FB12D">
            <w:pPr>
              <w:rPr>
                <w:rFonts w:ascii="Arial"/>
                <w:sz w:val="21"/>
              </w:rPr>
            </w:pPr>
          </w:p>
        </w:tc>
      </w:tr>
    </w:tbl>
    <w:p w14:paraId="2BE9BE31">
      <w:pPr>
        <w:spacing w:line="479" w:lineRule="auto"/>
        <w:rPr>
          <w:rFonts w:ascii="Arial"/>
          <w:sz w:val="21"/>
        </w:rPr>
      </w:pPr>
    </w:p>
    <w:p w14:paraId="1EA2067A">
      <w:pPr>
        <w:pStyle w:val="2"/>
        <w:spacing w:before="68"/>
        <w:ind w:left="449" w:hanging="439"/>
        <w:rPr>
          <w:sz w:val="21"/>
          <w:szCs w:val="21"/>
        </w:rPr>
      </w:pPr>
      <w:r>
        <w:rPr>
          <w:sz w:val="21"/>
          <w:szCs w:val="21"/>
        </w:rPr>
        <w:t>注：此表由招标人填写“暂估单价”,并在备注栏说明暂估价的材料、工程设备拟用在那些清单项</w:t>
      </w:r>
      <w:r>
        <w:rPr>
          <w:spacing w:val="16"/>
          <w:sz w:val="21"/>
          <w:szCs w:val="21"/>
        </w:rPr>
        <w:t xml:space="preserve"> </w:t>
      </w:r>
      <w:r>
        <w:rPr>
          <w:spacing w:val="-1"/>
          <w:sz w:val="21"/>
          <w:szCs w:val="21"/>
        </w:rPr>
        <w:t>目上，投标人应将上述材料、工程设备暂估单价计入工程量清单综合单价报价中。</w:t>
      </w:r>
    </w:p>
    <w:p w14:paraId="2913D111">
      <w:pPr>
        <w:rPr>
          <w:sz w:val="21"/>
          <w:szCs w:val="21"/>
        </w:rPr>
        <w:sectPr>
          <w:footerReference r:id="rId310" w:type="default"/>
          <w:pgSz w:w="11910" w:h="16840"/>
          <w:pgMar w:top="400" w:right="1497" w:bottom="1024" w:left="1460" w:header="0" w:footer="889" w:gutter="0"/>
          <w:cols w:space="720" w:num="1"/>
        </w:sectPr>
      </w:pPr>
    </w:p>
    <w:p w14:paraId="118D635C">
      <w:pPr>
        <w:spacing w:line="259" w:lineRule="auto"/>
        <w:rPr>
          <w:rFonts w:ascii="Arial"/>
          <w:sz w:val="21"/>
        </w:rPr>
      </w:pPr>
    </w:p>
    <w:p w14:paraId="6FE632F6">
      <w:pPr>
        <w:spacing w:line="259" w:lineRule="auto"/>
        <w:rPr>
          <w:rFonts w:ascii="Arial"/>
          <w:sz w:val="21"/>
        </w:rPr>
      </w:pPr>
    </w:p>
    <w:p w14:paraId="4C639845">
      <w:pPr>
        <w:spacing w:line="259" w:lineRule="auto"/>
        <w:rPr>
          <w:rFonts w:ascii="Arial"/>
          <w:sz w:val="21"/>
        </w:rPr>
      </w:pPr>
    </w:p>
    <w:p w14:paraId="42989B43">
      <w:pPr>
        <w:spacing w:line="259" w:lineRule="auto"/>
        <w:rPr>
          <w:rFonts w:ascii="Arial"/>
          <w:sz w:val="21"/>
        </w:rPr>
      </w:pPr>
    </w:p>
    <w:p w14:paraId="62AC0FCE">
      <w:pPr>
        <w:spacing w:line="259" w:lineRule="auto"/>
        <w:rPr>
          <w:rFonts w:ascii="Arial"/>
          <w:sz w:val="21"/>
        </w:rPr>
      </w:pPr>
    </w:p>
    <w:p w14:paraId="52201362">
      <w:pPr>
        <w:spacing w:before="82" w:line="222" w:lineRule="auto"/>
        <w:ind w:left="413"/>
        <w:outlineLvl w:val="2"/>
        <w:rPr>
          <w:rFonts w:ascii="黑体" w:hAnsi="黑体" w:eastAsia="黑体" w:cs="黑体"/>
          <w:sz w:val="25"/>
          <w:szCs w:val="25"/>
        </w:rPr>
      </w:pPr>
      <w:bookmarkStart w:id="297" w:name="bookmark202"/>
      <w:bookmarkEnd w:id="297"/>
      <w:bookmarkStart w:id="298" w:name="bookmark331"/>
      <w:bookmarkEnd w:id="298"/>
      <w:r>
        <w:rPr>
          <w:rFonts w:ascii="黑体" w:hAnsi="黑体" w:eastAsia="黑体" w:cs="黑体"/>
          <w:b/>
          <w:bCs/>
          <w:spacing w:val="-3"/>
          <w:sz w:val="25"/>
          <w:szCs w:val="25"/>
        </w:rPr>
        <w:t>4.12-3专业工程暂估价表</w:t>
      </w:r>
    </w:p>
    <w:p w14:paraId="65489993">
      <w:pPr>
        <w:spacing w:line="261" w:lineRule="auto"/>
        <w:rPr>
          <w:rFonts w:ascii="Arial"/>
          <w:sz w:val="21"/>
        </w:rPr>
      </w:pPr>
    </w:p>
    <w:p w14:paraId="7B8C556C">
      <w:pPr>
        <w:spacing w:line="261" w:lineRule="auto"/>
        <w:rPr>
          <w:rFonts w:ascii="Arial"/>
          <w:sz w:val="21"/>
        </w:rPr>
      </w:pPr>
    </w:p>
    <w:p w14:paraId="6AEF3B75">
      <w:pPr>
        <w:spacing w:before="94" w:line="222" w:lineRule="auto"/>
        <w:ind w:left="3314"/>
        <w:rPr>
          <w:rFonts w:ascii="黑体" w:hAnsi="黑体" w:eastAsia="黑体" w:cs="黑体"/>
          <w:sz w:val="29"/>
          <w:szCs w:val="29"/>
        </w:rPr>
      </w:pPr>
      <w:r>
        <w:rPr>
          <w:rFonts w:ascii="黑体" w:hAnsi="黑体" w:eastAsia="黑体" w:cs="黑体"/>
          <w:b/>
          <w:bCs/>
          <w:spacing w:val="-5"/>
          <w:sz w:val="29"/>
          <w:szCs w:val="29"/>
        </w:rPr>
        <w:t>专业工程暂估价表</w:t>
      </w:r>
    </w:p>
    <w:p w14:paraId="4AF30A0F">
      <w:pPr>
        <w:pStyle w:val="2"/>
        <w:spacing w:before="145" w:line="205" w:lineRule="auto"/>
        <w:rPr>
          <w:sz w:val="23"/>
          <w:szCs w:val="23"/>
        </w:rPr>
      </w:pPr>
      <w:r>
        <w:rPr>
          <w:sz w:val="23"/>
          <w:szCs w:val="23"/>
        </w:rPr>
        <w:t>工程名称：                      标段名</w:t>
      </w:r>
      <w:r>
        <w:rPr>
          <w:spacing w:val="-1"/>
          <w:sz w:val="23"/>
          <w:szCs w:val="23"/>
        </w:rPr>
        <w:t xml:space="preserve">称：              </w:t>
      </w:r>
      <w:r>
        <w:rPr>
          <w:spacing w:val="-1"/>
          <w:position w:val="1"/>
          <w:sz w:val="23"/>
          <w:szCs w:val="23"/>
        </w:rPr>
        <w:t>第 页</w:t>
      </w:r>
      <w:r>
        <w:rPr>
          <w:spacing w:val="16"/>
          <w:position w:val="1"/>
          <w:sz w:val="23"/>
          <w:szCs w:val="23"/>
        </w:rPr>
        <w:t xml:space="preserve"> </w:t>
      </w:r>
      <w:r>
        <w:rPr>
          <w:spacing w:val="-1"/>
          <w:position w:val="1"/>
          <w:sz w:val="23"/>
          <w:szCs w:val="23"/>
        </w:rPr>
        <w:t>共</w:t>
      </w:r>
      <w:r>
        <w:rPr>
          <w:spacing w:val="23"/>
          <w:position w:val="1"/>
          <w:sz w:val="23"/>
          <w:szCs w:val="23"/>
        </w:rPr>
        <w:t xml:space="preserve"> </w:t>
      </w:r>
      <w:r>
        <w:rPr>
          <w:spacing w:val="-1"/>
          <w:position w:val="1"/>
          <w:sz w:val="23"/>
          <w:szCs w:val="23"/>
        </w:rPr>
        <w:t>页</w:t>
      </w:r>
    </w:p>
    <w:tbl>
      <w:tblPr>
        <w:tblStyle w:val="5"/>
        <w:tblW w:w="8500" w:type="dxa"/>
        <w:tblInd w:w="1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4"/>
        <w:gridCol w:w="1548"/>
        <w:gridCol w:w="2467"/>
        <w:gridCol w:w="2487"/>
        <w:gridCol w:w="1144"/>
      </w:tblGrid>
      <w:tr w14:paraId="43508F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854" w:hRule="atLeast"/>
        </w:trPr>
        <w:tc>
          <w:tcPr>
            <w:tcW w:w="854" w:type="dxa"/>
            <w:vAlign w:val="top"/>
          </w:tcPr>
          <w:p w14:paraId="2B12BA9B">
            <w:pPr>
              <w:spacing w:line="254" w:lineRule="auto"/>
              <w:rPr>
                <w:rFonts w:ascii="Arial"/>
                <w:sz w:val="21"/>
              </w:rPr>
            </w:pPr>
          </w:p>
          <w:p w14:paraId="6D8EB208">
            <w:pPr>
              <w:pStyle w:val="6"/>
              <w:spacing w:before="69" w:line="221" w:lineRule="auto"/>
              <w:ind w:left="214"/>
            </w:pPr>
            <w:r>
              <w:rPr>
                <w:spacing w:val="6"/>
              </w:rPr>
              <w:t>序号</w:t>
            </w:r>
          </w:p>
        </w:tc>
        <w:tc>
          <w:tcPr>
            <w:tcW w:w="1548" w:type="dxa"/>
            <w:vAlign w:val="top"/>
          </w:tcPr>
          <w:p w14:paraId="705B6BCC">
            <w:pPr>
              <w:spacing w:line="254" w:lineRule="auto"/>
              <w:rPr>
                <w:rFonts w:ascii="Arial"/>
                <w:sz w:val="21"/>
              </w:rPr>
            </w:pPr>
          </w:p>
          <w:p w14:paraId="1784C8C7">
            <w:pPr>
              <w:pStyle w:val="6"/>
              <w:spacing w:before="68" w:line="220" w:lineRule="auto"/>
              <w:ind w:left="350"/>
            </w:pPr>
            <w:r>
              <w:rPr>
                <w:spacing w:val="2"/>
              </w:rPr>
              <w:t>工程名称</w:t>
            </w:r>
          </w:p>
        </w:tc>
        <w:tc>
          <w:tcPr>
            <w:tcW w:w="2467" w:type="dxa"/>
            <w:vAlign w:val="top"/>
          </w:tcPr>
          <w:p w14:paraId="43E6ABE7">
            <w:pPr>
              <w:spacing w:line="253" w:lineRule="auto"/>
              <w:rPr>
                <w:rFonts w:ascii="Arial"/>
                <w:sz w:val="21"/>
              </w:rPr>
            </w:pPr>
          </w:p>
          <w:p w14:paraId="505ECE18">
            <w:pPr>
              <w:pStyle w:val="6"/>
              <w:spacing w:before="69" w:line="219" w:lineRule="auto"/>
              <w:ind w:left="822"/>
            </w:pPr>
            <w:r>
              <w:rPr>
                <w:spacing w:val="2"/>
              </w:rPr>
              <w:t>工程内容</w:t>
            </w:r>
          </w:p>
        </w:tc>
        <w:tc>
          <w:tcPr>
            <w:tcW w:w="2487" w:type="dxa"/>
            <w:vAlign w:val="top"/>
          </w:tcPr>
          <w:p w14:paraId="62193936">
            <w:pPr>
              <w:spacing w:line="251" w:lineRule="auto"/>
              <w:rPr>
                <w:rFonts w:ascii="Arial"/>
                <w:sz w:val="21"/>
              </w:rPr>
            </w:pPr>
          </w:p>
          <w:p w14:paraId="3077ACE2">
            <w:pPr>
              <w:pStyle w:val="6"/>
              <w:spacing w:before="69" w:line="218" w:lineRule="auto"/>
              <w:ind w:left="626"/>
            </w:pPr>
            <w:r>
              <w:rPr>
                <w:spacing w:val="6"/>
              </w:rPr>
              <w:t>暂估金额(元)</w:t>
            </w:r>
          </w:p>
        </w:tc>
        <w:tc>
          <w:tcPr>
            <w:tcW w:w="1144" w:type="dxa"/>
            <w:vAlign w:val="top"/>
          </w:tcPr>
          <w:p w14:paraId="691F8E10">
            <w:pPr>
              <w:spacing w:line="254" w:lineRule="auto"/>
              <w:rPr>
                <w:rFonts w:ascii="Arial"/>
                <w:sz w:val="21"/>
              </w:rPr>
            </w:pPr>
          </w:p>
          <w:p w14:paraId="788C7910">
            <w:pPr>
              <w:pStyle w:val="6"/>
              <w:spacing w:before="69" w:line="221" w:lineRule="auto"/>
              <w:ind w:left="368"/>
            </w:pPr>
            <w:r>
              <w:rPr>
                <w:spacing w:val="5"/>
              </w:rPr>
              <w:t>备注</w:t>
            </w:r>
          </w:p>
        </w:tc>
      </w:tr>
      <w:tr w14:paraId="27FFBE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9" w:hRule="atLeast"/>
        </w:trPr>
        <w:tc>
          <w:tcPr>
            <w:tcW w:w="854" w:type="dxa"/>
            <w:vAlign w:val="top"/>
          </w:tcPr>
          <w:p w14:paraId="35C9A629">
            <w:pPr>
              <w:rPr>
                <w:rFonts w:ascii="Arial"/>
                <w:sz w:val="21"/>
              </w:rPr>
            </w:pPr>
          </w:p>
        </w:tc>
        <w:tc>
          <w:tcPr>
            <w:tcW w:w="1548" w:type="dxa"/>
            <w:vAlign w:val="top"/>
          </w:tcPr>
          <w:p w14:paraId="6BC9ABF7">
            <w:pPr>
              <w:rPr>
                <w:rFonts w:ascii="Arial"/>
                <w:sz w:val="21"/>
              </w:rPr>
            </w:pPr>
          </w:p>
        </w:tc>
        <w:tc>
          <w:tcPr>
            <w:tcW w:w="2467" w:type="dxa"/>
            <w:vAlign w:val="top"/>
          </w:tcPr>
          <w:p w14:paraId="4322ECA7">
            <w:pPr>
              <w:rPr>
                <w:rFonts w:ascii="Arial"/>
                <w:sz w:val="21"/>
              </w:rPr>
            </w:pPr>
          </w:p>
        </w:tc>
        <w:tc>
          <w:tcPr>
            <w:tcW w:w="2487" w:type="dxa"/>
            <w:vAlign w:val="top"/>
          </w:tcPr>
          <w:p w14:paraId="7EA8CA43">
            <w:pPr>
              <w:rPr>
                <w:rFonts w:ascii="Arial"/>
                <w:sz w:val="21"/>
              </w:rPr>
            </w:pPr>
          </w:p>
        </w:tc>
        <w:tc>
          <w:tcPr>
            <w:tcW w:w="1144" w:type="dxa"/>
            <w:vAlign w:val="top"/>
          </w:tcPr>
          <w:p w14:paraId="5F2831B1">
            <w:pPr>
              <w:rPr>
                <w:rFonts w:ascii="Arial"/>
                <w:sz w:val="21"/>
              </w:rPr>
            </w:pPr>
          </w:p>
        </w:tc>
      </w:tr>
      <w:tr w14:paraId="7CAC82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9" w:hRule="atLeast"/>
        </w:trPr>
        <w:tc>
          <w:tcPr>
            <w:tcW w:w="854" w:type="dxa"/>
            <w:vAlign w:val="top"/>
          </w:tcPr>
          <w:p w14:paraId="210B3F5F">
            <w:pPr>
              <w:rPr>
                <w:rFonts w:ascii="Arial"/>
                <w:sz w:val="21"/>
              </w:rPr>
            </w:pPr>
          </w:p>
        </w:tc>
        <w:tc>
          <w:tcPr>
            <w:tcW w:w="1548" w:type="dxa"/>
            <w:vAlign w:val="top"/>
          </w:tcPr>
          <w:p w14:paraId="00EDEAF8">
            <w:pPr>
              <w:rPr>
                <w:rFonts w:ascii="Arial"/>
                <w:sz w:val="21"/>
              </w:rPr>
            </w:pPr>
          </w:p>
        </w:tc>
        <w:tc>
          <w:tcPr>
            <w:tcW w:w="2467" w:type="dxa"/>
            <w:vAlign w:val="top"/>
          </w:tcPr>
          <w:p w14:paraId="3458BEB8">
            <w:pPr>
              <w:rPr>
                <w:rFonts w:ascii="Arial"/>
                <w:sz w:val="21"/>
              </w:rPr>
            </w:pPr>
          </w:p>
        </w:tc>
        <w:tc>
          <w:tcPr>
            <w:tcW w:w="2487" w:type="dxa"/>
            <w:vAlign w:val="top"/>
          </w:tcPr>
          <w:p w14:paraId="1BDC40D8">
            <w:pPr>
              <w:rPr>
                <w:rFonts w:ascii="Arial"/>
                <w:sz w:val="21"/>
              </w:rPr>
            </w:pPr>
          </w:p>
        </w:tc>
        <w:tc>
          <w:tcPr>
            <w:tcW w:w="1144" w:type="dxa"/>
            <w:vAlign w:val="top"/>
          </w:tcPr>
          <w:p w14:paraId="1D309FE6">
            <w:pPr>
              <w:rPr>
                <w:rFonts w:ascii="Arial"/>
                <w:sz w:val="21"/>
              </w:rPr>
            </w:pPr>
          </w:p>
        </w:tc>
      </w:tr>
      <w:tr w14:paraId="5C1B1C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9" w:hRule="atLeast"/>
        </w:trPr>
        <w:tc>
          <w:tcPr>
            <w:tcW w:w="854" w:type="dxa"/>
            <w:vAlign w:val="top"/>
          </w:tcPr>
          <w:p w14:paraId="69C2D590">
            <w:pPr>
              <w:rPr>
                <w:rFonts w:ascii="Arial"/>
                <w:sz w:val="21"/>
              </w:rPr>
            </w:pPr>
          </w:p>
        </w:tc>
        <w:tc>
          <w:tcPr>
            <w:tcW w:w="1548" w:type="dxa"/>
            <w:vAlign w:val="top"/>
          </w:tcPr>
          <w:p w14:paraId="3278F72D">
            <w:pPr>
              <w:rPr>
                <w:rFonts w:ascii="Arial"/>
                <w:sz w:val="21"/>
              </w:rPr>
            </w:pPr>
          </w:p>
        </w:tc>
        <w:tc>
          <w:tcPr>
            <w:tcW w:w="2467" w:type="dxa"/>
            <w:vAlign w:val="top"/>
          </w:tcPr>
          <w:p w14:paraId="55C61700">
            <w:pPr>
              <w:rPr>
                <w:rFonts w:ascii="Arial"/>
                <w:sz w:val="21"/>
              </w:rPr>
            </w:pPr>
          </w:p>
        </w:tc>
        <w:tc>
          <w:tcPr>
            <w:tcW w:w="2487" w:type="dxa"/>
            <w:vAlign w:val="top"/>
          </w:tcPr>
          <w:p w14:paraId="5E45BCE8">
            <w:pPr>
              <w:rPr>
                <w:rFonts w:ascii="Arial"/>
                <w:sz w:val="21"/>
              </w:rPr>
            </w:pPr>
          </w:p>
        </w:tc>
        <w:tc>
          <w:tcPr>
            <w:tcW w:w="1144" w:type="dxa"/>
            <w:vAlign w:val="top"/>
          </w:tcPr>
          <w:p w14:paraId="70B698EA">
            <w:pPr>
              <w:rPr>
                <w:rFonts w:ascii="Arial"/>
                <w:sz w:val="21"/>
              </w:rPr>
            </w:pPr>
          </w:p>
        </w:tc>
      </w:tr>
      <w:tr w14:paraId="56BBDD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9" w:hRule="atLeast"/>
        </w:trPr>
        <w:tc>
          <w:tcPr>
            <w:tcW w:w="854" w:type="dxa"/>
            <w:vAlign w:val="top"/>
          </w:tcPr>
          <w:p w14:paraId="17B7B3B0">
            <w:pPr>
              <w:rPr>
                <w:rFonts w:ascii="Arial"/>
                <w:sz w:val="21"/>
              </w:rPr>
            </w:pPr>
          </w:p>
        </w:tc>
        <w:tc>
          <w:tcPr>
            <w:tcW w:w="1548" w:type="dxa"/>
            <w:vAlign w:val="top"/>
          </w:tcPr>
          <w:p w14:paraId="3181D331">
            <w:pPr>
              <w:rPr>
                <w:rFonts w:ascii="Arial"/>
                <w:sz w:val="21"/>
              </w:rPr>
            </w:pPr>
          </w:p>
        </w:tc>
        <w:tc>
          <w:tcPr>
            <w:tcW w:w="2467" w:type="dxa"/>
            <w:vAlign w:val="top"/>
          </w:tcPr>
          <w:p w14:paraId="12CE2327">
            <w:pPr>
              <w:rPr>
                <w:rFonts w:ascii="Arial"/>
                <w:sz w:val="21"/>
              </w:rPr>
            </w:pPr>
          </w:p>
        </w:tc>
        <w:tc>
          <w:tcPr>
            <w:tcW w:w="2487" w:type="dxa"/>
            <w:vAlign w:val="top"/>
          </w:tcPr>
          <w:p w14:paraId="492DE517">
            <w:pPr>
              <w:rPr>
                <w:rFonts w:ascii="Arial"/>
                <w:sz w:val="21"/>
              </w:rPr>
            </w:pPr>
          </w:p>
        </w:tc>
        <w:tc>
          <w:tcPr>
            <w:tcW w:w="1144" w:type="dxa"/>
            <w:vAlign w:val="top"/>
          </w:tcPr>
          <w:p w14:paraId="42B855E1">
            <w:pPr>
              <w:rPr>
                <w:rFonts w:ascii="Arial"/>
                <w:sz w:val="21"/>
              </w:rPr>
            </w:pPr>
          </w:p>
        </w:tc>
      </w:tr>
      <w:tr w14:paraId="25FC42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9" w:hRule="atLeast"/>
        </w:trPr>
        <w:tc>
          <w:tcPr>
            <w:tcW w:w="854" w:type="dxa"/>
            <w:vAlign w:val="top"/>
          </w:tcPr>
          <w:p w14:paraId="3BA7160C">
            <w:pPr>
              <w:rPr>
                <w:rFonts w:ascii="Arial"/>
                <w:sz w:val="21"/>
              </w:rPr>
            </w:pPr>
          </w:p>
        </w:tc>
        <w:tc>
          <w:tcPr>
            <w:tcW w:w="1548" w:type="dxa"/>
            <w:vAlign w:val="top"/>
          </w:tcPr>
          <w:p w14:paraId="1792EF47">
            <w:pPr>
              <w:rPr>
                <w:rFonts w:ascii="Arial"/>
                <w:sz w:val="21"/>
              </w:rPr>
            </w:pPr>
          </w:p>
        </w:tc>
        <w:tc>
          <w:tcPr>
            <w:tcW w:w="2467" w:type="dxa"/>
            <w:vAlign w:val="top"/>
          </w:tcPr>
          <w:p w14:paraId="48A501A6">
            <w:pPr>
              <w:rPr>
                <w:rFonts w:ascii="Arial"/>
                <w:sz w:val="21"/>
              </w:rPr>
            </w:pPr>
          </w:p>
        </w:tc>
        <w:tc>
          <w:tcPr>
            <w:tcW w:w="2487" w:type="dxa"/>
            <w:vAlign w:val="top"/>
          </w:tcPr>
          <w:p w14:paraId="03336770">
            <w:pPr>
              <w:rPr>
                <w:rFonts w:ascii="Arial"/>
                <w:sz w:val="21"/>
              </w:rPr>
            </w:pPr>
          </w:p>
        </w:tc>
        <w:tc>
          <w:tcPr>
            <w:tcW w:w="1144" w:type="dxa"/>
            <w:vAlign w:val="top"/>
          </w:tcPr>
          <w:p w14:paraId="4F8E1723">
            <w:pPr>
              <w:rPr>
                <w:rFonts w:ascii="Arial"/>
                <w:sz w:val="21"/>
              </w:rPr>
            </w:pPr>
          </w:p>
        </w:tc>
      </w:tr>
      <w:tr w14:paraId="0CE38C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9" w:hRule="atLeast"/>
        </w:trPr>
        <w:tc>
          <w:tcPr>
            <w:tcW w:w="854" w:type="dxa"/>
            <w:vAlign w:val="top"/>
          </w:tcPr>
          <w:p w14:paraId="29A01314">
            <w:pPr>
              <w:rPr>
                <w:rFonts w:ascii="Arial"/>
                <w:sz w:val="21"/>
              </w:rPr>
            </w:pPr>
          </w:p>
        </w:tc>
        <w:tc>
          <w:tcPr>
            <w:tcW w:w="1548" w:type="dxa"/>
            <w:vAlign w:val="top"/>
          </w:tcPr>
          <w:p w14:paraId="627B4BAE">
            <w:pPr>
              <w:rPr>
                <w:rFonts w:ascii="Arial"/>
                <w:sz w:val="21"/>
              </w:rPr>
            </w:pPr>
          </w:p>
        </w:tc>
        <w:tc>
          <w:tcPr>
            <w:tcW w:w="2467" w:type="dxa"/>
            <w:vAlign w:val="top"/>
          </w:tcPr>
          <w:p w14:paraId="2BE925BC">
            <w:pPr>
              <w:rPr>
                <w:rFonts w:ascii="Arial"/>
                <w:sz w:val="21"/>
              </w:rPr>
            </w:pPr>
          </w:p>
        </w:tc>
        <w:tc>
          <w:tcPr>
            <w:tcW w:w="2487" w:type="dxa"/>
            <w:vAlign w:val="top"/>
          </w:tcPr>
          <w:p w14:paraId="26E47086">
            <w:pPr>
              <w:rPr>
                <w:rFonts w:ascii="Arial"/>
                <w:sz w:val="21"/>
              </w:rPr>
            </w:pPr>
          </w:p>
        </w:tc>
        <w:tc>
          <w:tcPr>
            <w:tcW w:w="1144" w:type="dxa"/>
            <w:vAlign w:val="top"/>
          </w:tcPr>
          <w:p w14:paraId="5993229D">
            <w:pPr>
              <w:rPr>
                <w:rFonts w:ascii="Arial"/>
                <w:sz w:val="21"/>
              </w:rPr>
            </w:pPr>
          </w:p>
        </w:tc>
      </w:tr>
      <w:tr w14:paraId="62A3AC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0" w:hRule="atLeast"/>
        </w:trPr>
        <w:tc>
          <w:tcPr>
            <w:tcW w:w="854" w:type="dxa"/>
            <w:vAlign w:val="top"/>
          </w:tcPr>
          <w:p w14:paraId="1532D5DD">
            <w:pPr>
              <w:rPr>
                <w:rFonts w:ascii="Arial"/>
                <w:sz w:val="21"/>
              </w:rPr>
            </w:pPr>
          </w:p>
        </w:tc>
        <w:tc>
          <w:tcPr>
            <w:tcW w:w="1548" w:type="dxa"/>
            <w:vAlign w:val="top"/>
          </w:tcPr>
          <w:p w14:paraId="4EA876E4">
            <w:pPr>
              <w:rPr>
                <w:rFonts w:ascii="Arial"/>
                <w:sz w:val="21"/>
              </w:rPr>
            </w:pPr>
          </w:p>
        </w:tc>
        <w:tc>
          <w:tcPr>
            <w:tcW w:w="2467" w:type="dxa"/>
            <w:vAlign w:val="top"/>
          </w:tcPr>
          <w:p w14:paraId="25FF6424">
            <w:pPr>
              <w:rPr>
                <w:rFonts w:ascii="Arial"/>
                <w:sz w:val="21"/>
              </w:rPr>
            </w:pPr>
          </w:p>
        </w:tc>
        <w:tc>
          <w:tcPr>
            <w:tcW w:w="2487" w:type="dxa"/>
            <w:vAlign w:val="top"/>
          </w:tcPr>
          <w:p w14:paraId="7785DBFD">
            <w:pPr>
              <w:rPr>
                <w:rFonts w:ascii="Arial"/>
                <w:sz w:val="21"/>
              </w:rPr>
            </w:pPr>
          </w:p>
        </w:tc>
        <w:tc>
          <w:tcPr>
            <w:tcW w:w="1144" w:type="dxa"/>
            <w:vAlign w:val="top"/>
          </w:tcPr>
          <w:p w14:paraId="401F7DFA">
            <w:pPr>
              <w:rPr>
                <w:rFonts w:ascii="Arial"/>
                <w:sz w:val="21"/>
              </w:rPr>
            </w:pPr>
          </w:p>
        </w:tc>
      </w:tr>
      <w:tr w14:paraId="49C172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9" w:hRule="atLeast"/>
        </w:trPr>
        <w:tc>
          <w:tcPr>
            <w:tcW w:w="854" w:type="dxa"/>
            <w:vAlign w:val="top"/>
          </w:tcPr>
          <w:p w14:paraId="48F47BEB">
            <w:pPr>
              <w:rPr>
                <w:rFonts w:ascii="Arial"/>
                <w:sz w:val="21"/>
              </w:rPr>
            </w:pPr>
          </w:p>
        </w:tc>
        <w:tc>
          <w:tcPr>
            <w:tcW w:w="1548" w:type="dxa"/>
            <w:vAlign w:val="top"/>
          </w:tcPr>
          <w:p w14:paraId="55305D2E">
            <w:pPr>
              <w:rPr>
                <w:rFonts w:ascii="Arial"/>
                <w:sz w:val="21"/>
              </w:rPr>
            </w:pPr>
          </w:p>
        </w:tc>
        <w:tc>
          <w:tcPr>
            <w:tcW w:w="2467" w:type="dxa"/>
            <w:vAlign w:val="top"/>
          </w:tcPr>
          <w:p w14:paraId="3607DA8E">
            <w:pPr>
              <w:rPr>
                <w:rFonts w:ascii="Arial"/>
                <w:sz w:val="21"/>
              </w:rPr>
            </w:pPr>
          </w:p>
        </w:tc>
        <w:tc>
          <w:tcPr>
            <w:tcW w:w="2487" w:type="dxa"/>
            <w:vAlign w:val="top"/>
          </w:tcPr>
          <w:p w14:paraId="78ADBC2F">
            <w:pPr>
              <w:rPr>
                <w:rFonts w:ascii="Arial"/>
                <w:sz w:val="21"/>
              </w:rPr>
            </w:pPr>
          </w:p>
        </w:tc>
        <w:tc>
          <w:tcPr>
            <w:tcW w:w="1144" w:type="dxa"/>
            <w:vAlign w:val="top"/>
          </w:tcPr>
          <w:p w14:paraId="38D8DA8C">
            <w:pPr>
              <w:rPr>
                <w:rFonts w:ascii="Arial"/>
                <w:sz w:val="21"/>
              </w:rPr>
            </w:pPr>
          </w:p>
        </w:tc>
      </w:tr>
      <w:tr w14:paraId="719F9F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9" w:hRule="atLeast"/>
        </w:trPr>
        <w:tc>
          <w:tcPr>
            <w:tcW w:w="854" w:type="dxa"/>
            <w:vAlign w:val="top"/>
          </w:tcPr>
          <w:p w14:paraId="59FA955C">
            <w:pPr>
              <w:rPr>
                <w:rFonts w:ascii="Arial"/>
                <w:sz w:val="21"/>
              </w:rPr>
            </w:pPr>
          </w:p>
        </w:tc>
        <w:tc>
          <w:tcPr>
            <w:tcW w:w="1548" w:type="dxa"/>
            <w:vAlign w:val="top"/>
          </w:tcPr>
          <w:p w14:paraId="53C190CA">
            <w:pPr>
              <w:rPr>
                <w:rFonts w:ascii="Arial"/>
                <w:sz w:val="21"/>
              </w:rPr>
            </w:pPr>
          </w:p>
        </w:tc>
        <w:tc>
          <w:tcPr>
            <w:tcW w:w="2467" w:type="dxa"/>
            <w:vAlign w:val="top"/>
          </w:tcPr>
          <w:p w14:paraId="7D6473F1">
            <w:pPr>
              <w:rPr>
                <w:rFonts w:ascii="Arial"/>
                <w:sz w:val="21"/>
              </w:rPr>
            </w:pPr>
          </w:p>
        </w:tc>
        <w:tc>
          <w:tcPr>
            <w:tcW w:w="2487" w:type="dxa"/>
            <w:vAlign w:val="top"/>
          </w:tcPr>
          <w:p w14:paraId="5C00AC61">
            <w:pPr>
              <w:rPr>
                <w:rFonts w:ascii="Arial"/>
                <w:sz w:val="21"/>
              </w:rPr>
            </w:pPr>
          </w:p>
        </w:tc>
        <w:tc>
          <w:tcPr>
            <w:tcW w:w="1144" w:type="dxa"/>
            <w:vAlign w:val="top"/>
          </w:tcPr>
          <w:p w14:paraId="624D0EE9">
            <w:pPr>
              <w:rPr>
                <w:rFonts w:ascii="Arial"/>
                <w:sz w:val="21"/>
              </w:rPr>
            </w:pPr>
          </w:p>
        </w:tc>
      </w:tr>
      <w:tr w14:paraId="4CDEA3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9" w:hRule="atLeast"/>
        </w:trPr>
        <w:tc>
          <w:tcPr>
            <w:tcW w:w="854" w:type="dxa"/>
            <w:vAlign w:val="top"/>
          </w:tcPr>
          <w:p w14:paraId="380724B5">
            <w:pPr>
              <w:rPr>
                <w:rFonts w:ascii="Arial"/>
                <w:sz w:val="21"/>
              </w:rPr>
            </w:pPr>
          </w:p>
        </w:tc>
        <w:tc>
          <w:tcPr>
            <w:tcW w:w="1548" w:type="dxa"/>
            <w:vAlign w:val="top"/>
          </w:tcPr>
          <w:p w14:paraId="7C7A3921">
            <w:pPr>
              <w:rPr>
                <w:rFonts w:ascii="Arial"/>
                <w:sz w:val="21"/>
              </w:rPr>
            </w:pPr>
          </w:p>
        </w:tc>
        <w:tc>
          <w:tcPr>
            <w:tcW w:w="2467" w:type="dxa"/>
            <w:vAlign w:val="top"/>
          </w:tcPr>
          <w:p w14:paraId="0676DB40">
            <w:pPr>
              <w:rPr>
                <w:rFonts w:ascii="Arial"/>
                <w:sz w:val="21"/>
              </w:rPr>
            </w:pPr>
          </w:p>
        </w:tc>
        <w:tc>
          <w:tcPr>
            <w:tcW w:w="2487" w:type="dxa"/>
            <w:vAlign w:val="top"/>
          </w:tcPr>
          <w:p w14:paraId="52BC1548">
            <w:pPr>
              <w:rPr>
                <w:rFonts w:ascii="Arial"/>
                <w:sz w:val="21"/>
              </w:rPr>
            </w:pPr>
          </w:p>
        </w:tc>
        <w:tc>
          <w:tcPr>
            <w:tcW w:w="1144" w:type="dxa"/>
            <w:vAlign w:val="top"/>
          </w:tcPr>
          <w:p w14:paraId="4B382E2A">
            <w:pPr>
              <w:rPr>
                <w:rFonts w:ascii="Arial"/>
                <w:sz w:val="21"/>
              </w:rPr>
            </w:pPr>
          </w:p>
        </w:tc>
      </w:tr>
      <w:tr w14:paraId="42E721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5" w:hRule="atLeast"/>
        </w:trPr>
        <w:tc>
          <w:tcPr>
            <w:tcW w:w="4869" w:type="dxa"/>
            <w:gridSpan w:val="3"/>
            <w:vAlign w:val="top"/>
          </w:tcPr>
          <w:p w14:paraId="1D345855">
            <w:pPr>
              <w:spacing w:line="269" w:lineRule="auto"/>
              <w:rPr>
                <w:rFonts w:ascii="Arial"/>
                <w:sz w:val="21"/>
              </w:rPr>
            </w:pPr>
          </w:p>
          <w:p w14:paraId="4A30FEC5">
            <w:pPr>
              <w:pStyle w:val="6"/>
              <w:spacing w:before="69" w:line="221" w:lineRule="auto"/>
              <w:ind w:left="2235"/>
            </w:pPr>
            <w:r>
              <w:rPr>
                <w:spacing w:val="-3"/>
              </w:rPr>
              <w:t>合计</w:t>
            </w:r>
          </w:p>
        </w:tc>
        <w:tc>
          <w:tcPr>
            <w:tcW w:w="2487" w:type="dxa"/>
            <w:vAlign w:val="top"/>
          </w:tcPr>
          <w:p w14:paraId="260513C0">
            <w:pPr>
              <w:rPr>
                <w:rFonts w:ascii="Arial"/>
                <w:sz w:val="21"/>
              </w:rPr>
            </w:pPr>
          </w:p>
        </w:tc>
        <w:tc>
          <w:tcPr>
            <w:tcW w:w="1144" w:type="dxa"/>
            <w:vAlign w:val="top"/>
          </w:tcPr>
          <w:p w14:paraId="2129B66B">
            <w:pPr>
              <w:rPr>
                <w:rFonts w:ascii="Arial"/>
                <w:sz w:val="21"/>
              </w:rPr>
            </w:pPr>
          </w:p>
        </w:tc>
      </w:tr>
    </w:tbl>
    <w:p w14:paraId="4B8A022C">
      <w:pPr>
        <w:spacing w:line="246" w:lineRule="auto"/>
        <w:rPr>
          <w:rFonts w:ascii="Arial"/>
          <w:sz w:val="21"/>
        </w:rPr>
      </w:pPr>
    </w:p>
    <w:p w14:paraId="6F8E04DC">
      <w:pPr>
        <w:spacing w:line="246" w:lineRule="auto"/>
        <w:rPr>
          <w:rFonts w:ascii="Arial"/>
          <w:sz w:val="21"/>
        </w:rPr>
      </w:pPr>
    </w:p>
    <w:p w14:paraId="18055CBA">
      <w:pPr>
        <w:pStyle w:val="2"/>
        <w:spacing w:before="65" w:line="253" w:lineRule="auto"/>
        <w:ind w:left="429" w:hanging="409"/>
        <w:rPr>
          <w:sz w:val="20"/>
          <w:szCs w:val="20"/>
        </w:rPr>
      </w:pPr>
      <w:r>
        <w:rPr>
          <w:spacing w:val="12"/>
          <w:sz w:val="20"/>
          <w:szCs w:val="20"/>
        </w:rPr>
        <w:t>注：此表“暂估金额”由招标人填写，投标人应将“暂估金额”计入投标总价中</w:t>
      </w:r>
      <w:r>
        <w:rPr>
          <w:spacing w:val="11"/>
          <w:sz w:val="20"/>
          <w:szCs w:val="20"/>
        </w:rPr>
        <w:t>。结算时按合同</w:t>
      </w:r>
      <w:r>
        <w:rPr>
          <w:sz w:val="20"/>
          <w:szCs w:val="20"/>
        </w:rPr>
        <w:t xml:space="preserve"> </w:t>
      </w:r>
      <w:r>
        <w:rPr>
          <w:spacing w:val="6"/>
          <w:sz w:val="20"/>
          <w:szCs w:val="20"/>
        </w:rPr>
        <w:t>约定结算金额填写。</w:t>
      </w:r>
    </w:p>
    <w:p w14:paraId="130536DD">
      <w:pPr>
        <w:spacing w:line="253" w:lineRule="auto"/>
        <w:rPr>
          <w:sz w:val="20"/>
          <w:szCs w:val="20"/>
        </w:rPr>
        <w:sectPr>
          <w:footerReference r:id="rId311" w:type="default"/>
          <w:pgSz w:w="11910" w:h="16840"/>
          <w:pgMar w:top="400" w:right="1531" w:bottom="1017" w:left="1460" w:header="0" w:footer="891" w:gutter="0"/>
          <w:cols w:space="720" w:num="1"/>
        </w:sectPr>
      </w:pPr>
    </w:p>
    <w:p w14:paraId="6A584F12">
      <w:pPr>
        <w:spacing w:line="259" w:lineRule="auto"/>
        <w:rPr>
          <w:rFonts w:ascii="Arial"/>
          <w:sz w:val="21"/>
        </w:rPr>
      </w:pPr>
    </w:p>
    <w:p w14:paraId="03B5AD2B">
      <w:pPr>
        <w:spacing w:line="259" w:lineRule="auto"/>
        <w:rPr>
          <w:rFonts w:ascii="Arial"/>
          <w:sz w:val="21"/>
        </w:rPr>
      </w:pPr>
    </w:p>
    <w:p w14:paraId="20995DC1">
      <w:pPr>
        <w:spacing w:line="260" w:lineRule="auto"/>
        <w:rPr>
          <w:rFonts w:ascii="Arial"/>
          <w:sz w:val="21"/>
        </w:rPr>
      </w:pPr>
    </w:p>
    <w:p w14:paraId="4F95E056">
      <w:pPr>
        <w:spacing w:line="260" w:lineRule="auto"/>
        <w:rPr>
          <w:rFonts w:ascii="Arial"/>
          <w:sz w:val="21"/>
        </w:rPr>
      </w:pPr>
    </w:p>
    <w:p w14:paraId="1B421B8E">
      <w:pPr>
        <w:spacing w:line="260" w:lineRule="auto"/>
        <w:rPr>
          <w:rFonts w:ascii="Arial"/>
          <w:sz w:val="21"/>
        </w:rPr>
      </w:pPr>
    </w:p>
    <w:p w14:paraId="2B580CC8">
      <w:pPr>
        <w:spacing w:before="81" w:line="223" w:lineRule="auto"/>
        <w:ind w:left="413"/>
        <w:outlineLvl w:val="2"/>
        <w:rPr>
          <w:rFonts w:ascii="黑体" w:hAnsi="黑体" w:eastAsia="黑体" w:cs="黑体"/>
          <w:sz w:val="25"/>
          <w:szCs w:val="25"/>
        </w:rPr>
      </w:pPr>
      <w:bookmarkStart w:id="299" w:name="bookmark203"/>
      <w:bookmarkEnd w:id="299"/>
      <w:bookmarkStart w:id="300" w:name="bookmark332"/>
      <w:bookmarkEnd w:id="300"/>
      <w:r>
        <w:rPr>
          <w:rFonts w:ascii="黑体" w:hAnsi="黑体" w:eastAsia="黑体" w:cs="黑体"/>
          <w:b/>
          <w:bCs/>
          <w:spacing w:val="3"/>
          <w:sz w:val="25"/>
          <w:szCs w:val="25"/>
        </w:rPr>
        <w:t>4.12-4计日工表</w:t>
      </w:r>
    </w:p>
    <w:p w14:paraId="33650876">
      <w:pPr>
        <w:spacing w:line="260" w:lineRule="auto"/>
        <w:rPr>
          <w:rFonts w:ascii="Arial"/>
          <w:sz w:val="21"/>
        </w:rPr>
      </w:pPr>
    </w:p>
    <w:p w14:paraId="35E1907A">
      <w:pPr>
        <w:spacing w:line="261" w:lineRule="auto"/>
        <w:rPr>
          <w:rFonts w:ascii="Arial"/>
          <w:sz w:val="21"/>
        </w:rPr>
      </w:pPr>
    </w:p>
    <w:p w14:paraId="05E45460">
      <w:pPr>
        <w:spacing w:before="94" w:line="223" w:lineRule="auto"/>
        <w:ind w:left="3864"/>
        <w:rPr>
          <w:rFonts w:ascii="黑体" w:hAnsi="黑体" w:eastAsia="黑体" w:cs="黑体"/>
          <w:sz w:val="29"/>
          <w:szCs w:val="29"/>
        </w:rPr>
      </w:pPr>
      <w:r>
        <w:rPr>
          <w:rFonts w:ascii="黑体" w:hAnsi="黑体" w:eastAsia="黑体" w:cs="黑体"/>
          <w:b/>
          <w:bCs/>
          <w:sz w:val="29"/>
          <w:szCs w:val="29"/>
        </w:rPr>
        <w:t>计日工表</w:t>
      </w:r>
    </w:p>
    <w:p w14:paraId="0B811AE3">
      <w:pPr>
        <w:spacing w:line="281" w:lineRule="auto"/>
        <w:rPr>
          <w:rFonts w:ascii="Arial"/>
          <w:sz w:val="21"/>
        </w:rPr>
      </w:pPr>
    </w:p>
    <w:p w14:paraId="420D85E6">
      <w:pPr>
        <w:spacing w:line="281" w:lineRule="auto"/>
        <w:rPr>
          <w:rFonts w:ascii="Arial"/>
          <w:sz w:val="21"/>
        </w:rPr>
      </w:pPr>
    </w:p>
    <w:p w14:paraId="14B1A303">
      <w:pPr>
        <w:pStyle w:val="2"/>
        <w:spacing w:before="75" w:line="191" w:lineRule="auto"/>
        <w:rPr>
          <w:sz w:val="23"/>
          <w:szCs w:val="23"/>
        </w:rPr>
      </w:pPr>
      <w:r>
        <w:rPr>
          <w:sz w:val="23"/>
          <w:szCs w:val="23"/>
        </w:rPr>
        <w:t>工程名称：                        标</w:t>
      </w:r>
      <w:r>
        <w:rPr>
          <w:spacing w:val="-1"/>
          <w:sz w:val="23"/>
          <w:szCs w:val="23"/>
        </w:rPr>
        <w:t xml:space="preserve">段名称：            </w:t>
      </w:r>
      <w:r>
        <w:rPr>
          <w:spacing w:val="-1"/>
          <w:position w:val="1"/>
          <w:sz w:val="23"/>
          <w:szCs w:val="23"/>
        </w:rPr>
        <w:t>第 页</w:t>
      </w:r>
      <w:r>
        <w:rPr>
          <w:spacing w:val="16"/>
          <w:position w:val="1"/>
          <w:sz w:val="23"/>
          <w:szCs w:val="23"/>
        </w:rPr>
        <w:t xml:space="preserve"> </w:t>
      </w:r>
      <w:r>
        <w:rPr>
          <w:spacing w:val="-1"/>
          <w:position w:val="1"/>
          <w:sz w:val="23"/>
          <w:szCs w:val="23"/>
        </w:rPr>
        <w:t>共</w:t>
      </w:r>
      <w:r>
        <w:rPr>
          <w:spacing w:val="23"/>
          <w:position w:val="1"/>
          <w:sz w:val="23"/>
          <w:szCs w:val="23"/>
        </w:rPr>
        <w:t xml:space="preserve"> </w:t>
      </w:r>
      <w:r>
        <w:rPr>
          <w:spacing w:val="-1"/>
          <w:position w:val="1"/>
          <w:sz w:val="23"/>
          <w:szCs w:val="23"/>
        </w:rPr>
        <w:t>页</w:t>
      </w:r>
    </w:p>
    <w:tbl>
      <w:tblPr>
        <w:tblStyle w:val="5"/>
        <w:tblW w:w="8720" w:type="dxa"/>
        <w:tblInd w:w="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64"/>
        <w:gridCol w:w="1928"/>
        <w:gridCol w:w="699"/>
        <w:gridCol w:w="919"/>
        <w:gridCol w:w="899"/>
        <w:gridCol w:w="1228"/>
        <w:gridCol w:w="1119"/>
        <w:gridCol w:w="1164"/>
      </w:tblGrid>
      <w:tr w14:paraId="16FDAA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5" w:hRule="atLeast"/>
        </w:trPr>
        <w:tc>
          <w:tcPr>
            <w:tcW w:w="764" w:type="dxa"/>
            <w:vMerge w:val="restart"/>
            <w:tcBorders>
              <w:bottom w:val="nil"/>
            </w:tcBorders>
            <w:vAlign w:val="top"/>
          </w:tcPr>
          <w:p w14:paraId="1823FA3B">
            <w:pPr>
              <w:spacing w:line="311" w:lineRule="auto"/>
              <w:rPr>
                <w:rFonts w:ascii="Arial"/>
                <w:sz w:val="21"/>
              </w:rPr>
            </w:pPr>
          </w:p>
          <w:p w14:paraId="1CF03949">
            <w:pPr>
              <w:pStyle w:val="6"/>
              <w:spacing w:before="68" w:line="219" w:lineRule="auto"/>
              <w:ind w:left="165"/>
            </w:pPr>
            <w:r>
              <w:rPr>
                <w:spacing w:val="6"/>
              </w:rPr>
              <w:t>编号</w:t>
            </w:r>
          </w:p>
        </w:tc>
        <w:tc>
          <w:tcPr>
            <w:tcW w:w="1928" w:type="dxa"/>
            <w:vMerge w:val="restart"/>
            <w:tcBorders>
              <w:bottom w:val="nil"/>
            </w:tcBorders>
            <w:vAlign w:val="top"/>
          </w:tcPr>
          <w:p w14:paraId="4075E365">
            <w:pPr>
              <w:spacing w:line="311" w:lineRule="auto"/>
              <w:rPr>
                <w:rFonts w:ascii="Arial"/>
                <w:sz w:val="21"/>
              </w:rPr>
            </w:pPr>
          </w:p>
          <w:p w14:paraId="46D5D386">
            <w:pPr>
              <w:pStyle w:val="6"/>
              <w:spacing w:before="68" w:line="220" w:lineRule="auto"/>
              <w:ind w:left="530"/>
            </w:pPr>
            <w:r>
              <w:rPr>
                <w:spacing w:val="2"/>
              </w:rPr>
              <w:t>项目名称</w:t>
            </w:r>
          </w:p>
        </w:tc>
        <w:tc>
          <w:tcPr>
            <w:tcW w:w="699" w:type="dxa"/>
            <w:vMerge w:val="restart"/>
            <w:tcBorders>
              <w:bottom w:val="nil"/>
            </w:tcBorders>
            <w:vAlign w:val="top"/>
          </w:tcPr>
          <w:p w14:paraId="656DAD58">
            <w:pPr>
              <w:spacing w:line="311" w:lineRule="auto"/>
              <w:rPr>
                <w:rFonts w:ascii="Arial"/>
                <w:sz w:val="21"/>
              </w:rPr>
            </w:pPr>
          </w:p>
          <w:p w14:paraId="6209D296">
            <w:pPr>
              <w:pStyle w:val="6"/>
              <w:spacing w:before="68" w:line="220" w:lineRule="auto"/>
              <w:ind w:left="153"/>
            </w:pPr>
            <w:r>
              <w:rPr>
                <w:spacing w:val="-3"/>
              </w:rPr>
              <w:t>单位</w:t>
            </w:r>
          </w:p>
        </w:tc>
        <w:tc>
          <w:tcPr>
            <w:tcW w:w="919" w:type="dxa"/>
            <w:vMerge w:val="restart"/>
            <w:tcBorders>
              <w:bottom w:val="nil"/>
            </w:tcBorders>
            <w:vAlign w:val="top"/>
          </w:tcPr>
          <w:p w14:paraId="05664F6F">
            <w:pPr>
              <w:pStyle w:val="6"/>
              <w:spacing w:before="241" w:line="239" w:lineRule="auto"/>
              <w:ind w:left="244" w:right="231"/>
            </w:pPr>
            <w:r>
              <w:rPr>
                <w:spacing w:val="6"/>
              </w:rPr>
              <w:t>暂定</w:t>
            </w:r>
            <w:r>
              <w:t xml:space="preserve"> </w:t>
            </w:r>
            <w:r>
              <w:rPr>
                <w:spacing w:val="-3"/>
              </w:rPr>
              <w:t>数量</w:t>
            </w:r>
          </w:p>
        </w:tc>
        <w:tc>
          <w:tcPr>
            <w:tcW w:w="899" w:type="dxa"/>
            <w:vMerge w:val="restart"/>
            <w:tcBorders>
              <w:bottom w:val="nil"/>
            </w:tcBorders>
            <w:vAlign w:val="top"/>
          </w:tcPr>
          <w:p w14:paraId="5668E90A">
            <w:pPr>
              <w:pStyle w:val="6"/>
              <w:spacing w:before="231" w:line="220" w:lineRule="auto"/>
              <w:ind w:left="234"/>
            </w:pPr>
            <w:r>
              <w:rPr>
                <w:spacing w:val="4"/>
              </w:rPr>
              <w:t>实际</w:t>
            </w:r>
          </w:p>
          <w:p w14:paraId="58422CAE">
            <w:pPr>
              <w:pStyle w:val="6"/>
              <w:spacing w:before="29" w:line="219" w:lineRule="auto"/>
              <w:ind w:left="234"/>
            </w:pPr>
            <w:r>
              <w:rPr>
                <w:spacing w:val="-3"/>
              </w:rPr>
              <w:t>数量</w:t>
            </w:r>
          </w:p>
        </w:tc>
        <w:tc>
          <w:tcPr>
            <w:tcW w:w="1228" w:type="dxa"/>
            <w:vMerge w:val="restart"/>
            <w:tcBorders>
              <w:bottom w:val="nil"/>
            </w:tcBorders>
            <w:vAlign w:val="top"/>
          </w:tcPr>
          <w:p w14:paraId="0E5A5C18">
            <w:pPr>
              <w:spacing w:line="309" w:lineRule="auto"/>
              <w:rPr>
                <w:rFonts w:ascii="Arial"/>
                <w:sz w:val="21"/>
              </w:rPr>
            </w:pPr>
          </w:p>
          <w:p w14:paraId="03F9008D">
            <w:pPr>
              <w:pStyle w:val="6"/>
              <w:spacing w:before="68" w:line="218" w:lineRule="auto"/>
              <w:ind w:left="116"/>
            </w:pPr>
            <w:r>
              <w:rPr>
                <w:spacing w:val="9"/>
              </w:rPr>
              <w:t>单价(元)</w:t>
            </w:r>
          </w:p>
        </w:tc>
        <w:tc>
          <w:tcPr>
            <w:tcW w:w="2283" w:type="dxa"/>
            <w:gridSpan w:val="2"/>
            <w:vAlign w:val="top"/>
          </w:tcPr>
          <w:p w14:paraId="7B058D88">
            <w:pPr>
              <w:pStyle w:val="6"/>
              <w:spacing w:before="139" w:line="218" w:lineRule="auto"/>
              <w:ind w:left="608"/>
            </w:pPr>
            <w:r>
              <w:rPr>
                <w:spacing w:val="9"/>
              </w:rPr>
              <w:t>合价(元)</w:t>
            </w:r>
          </w:p>
        </w:tc>
      </w:tr>
      <w:tr w14:paraId="3570E6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764" w:type="dxa"/>
            <w:vMerge w:val="continue"/>
            <w:tcBorders>
              <w:top w:val="nil"/>
            </w:tcBorders>
            <w:vAlign w:val="top"/>
          </w:tcPr>
          <w:p w14:paraId="1EEA3FFC">
            <w:pPr>
              <w:rPr>
                <w:rFonts w:ascii="Arial"/>
                <w:sz w:val="21"/>
              </w:rPr>
            </w:pPr>
          </w:p>
        </w:tc>
        <w:tc>
          <w:tcPr>
            <w:tcW w:w="1928" w:type="dxa"/>
            <w:vMerge w:val="continue"/>
            <w:tcBorders>
              <w:top w:val="nil"/>
            </w:tcBorders>
            <w:vAlign w:val="top"/>
          </w:tcPr>
          <w:p w14:paraId="42DEFC78">
            <w:pPr>
              <w:rPr>
                <w:rFonts w:ascii="Arial"/>
                <w:sz w:val="21"/>
              </w:rPr>
            </w:pPr>
          </w:p>
        </w:tc>
        <w:tc>
          <w:tcPr>
            <w:tcW w:w="699" w:type="dxa"/>
            <w:vMerge w:val="continue"/>
            <w:tcBorders>
              <w:top w:val="nil"/>
            </w:tcBorders>
            <w:vAlign w:val="top"/>
          </w:tcPr>
          <w:p w14:paraId="6E5EA6A0">
            <w:pPr>
              <w:rPr>
                <w:rFonts w:ascii="Arial"/>
                <w:sz w:val="21"/>
              </w:rPr>
            </w:pPr>
          </w:p>
        </w:tc>
        <w:tc>
          <w:tcPr>
            <w:tcW w:w="919" w:type="dxa"/>
            <w:vMerge w:val="continue"/>
            <w:tcBorders>
              <w:top w:val="nil"/>
            </w:tcBorders>
            <w:vAlign w:val="top"/>
          </w:tcPr>
          <w:p w14:paraId="1DD150D5">
            <w:pPr>
              <w:rPr>
                <w:rFonts w:ascii="Arial"/>
                <w:sz w:val="21"/>
              </w:rPr>
            </w:pPr>
          </w:p>
        </w:tc>
        <w:tc>
          <w:tcPr>
            <w:tcW w:w="899" w:type="dxa"/>
            <w:vMerge w:val="continue"/>
            <w:tcBorders>
              <w:top w:val="nil"/>
            </w:tcBorders>
            <w:vAlign w:val="top"/>
          </w:tcPr>
          <w:p w14:paraId="6B41C2CA">
            <w:pPr>
              <w:rPr>
                <w:rFonts w:ascii="Arial"/>
                <w:sz w:val="21"/>
              </w:rPr>
            </w:pPr>
          </w:p>
        </w:tc>
        <w:tc>
          <w:tcPr>
            <w:tcW w:w="1228" w:type="dxa"/>
            <w:vMerge w:val="continue"/>
            <w:tcBorders>
              <w:top w:val="nil"/>
            </w:tcBorders>
            <w:vAlign w:val="top"/>
          </w:tcPr>
          <w:p w14:paraId="2119B7E9">
            <w:pPr>
              <w:rPr>
                <w:rFonts w:ascii="Arial"/>
                <w:sz w:val="21"/>
              </w:rPr>
            </w:pPr>
          </w:p>
        </w:tc>
        <w:tc>
          <w:tcPr>
            <w:tcW w:w="1119" w:type="dxa"/>
            <w:vAlign w:val="top"/>
          </w:tcPr>
          <w:p w14:paraId="4E320752">
            <w:pPr>
              <w:pStyle w:val="6"/>
              <w:spacing w:before="136" w:line="220" w:lineRule="auto"/>
              <w:ind w:left="348"/>
            </w:pPr>
            <w:r>
              <w:rPr>
                <w:spacing w:val="6"/>
              </w:rPr>
              <w:t>暂定</w:t>
            </w:r>
          </w:p>
        </w:tc>
        <w:tc>
          <w:tcPr>
            <w:tcW w:w="1164" w:type="dxa"/>
            <w:vAlign w:val="top"/>
          </w:tcPr>
          <w:p w14:paraId="5F7E9A78">
            <w:pPr>
              <w:pStyle w:val="6"/>
              <w:spacing w:before="136" w:line="220" w:lineRule="auto"/>
              <w:ind w:left="389"/>
            </w:pPr>
            <w:r>
              <w:rPr>
                <w:spacing w:val="4"/>
              </w:rPr>
              <w:t>实际</w:t>
            </w:r>
          </w:p>
        </w:tc>
      </w:tr>
      <w:tr w14:paraId="1793D9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764" w:type="dxa"/>
            <w:vAlign w:val="top"/>
          </w:tcPr>
          <w:p w14:paraId="29B95FA5">
            <w:pPr>
              <w:pStyle w:val="6"/>
              <w:spacing w:before="235" w:line="163" w:lineRule="exact"/>
              <w:ind w:left="264"/>
            </w:pPr>
            <w:r>
              <w:rPr>
                <w:position w:val="-4"/>
              </w:rPr>
              <w:t>一</w:t>
            </w:r>
          </w:p>
        </w:tc>
        <w:tc>
          <w:tcPr>
            <w:tcW w:w="1928" w:type="dxa"/>
            <w:vAlign w:val="top"/>
          </w:tcPr>
          <w:p w14:paraId="5BD795A0">
            <w:pPr>
              <w:pStyle w:val="6"/>
              <w:spacing w:before="139" w:line="222" w:lineRule="auto"/>
              <w:ind w:left="741"/>
            </w:pPr>
            <w:r>
              <w:rPr>
                <w:spacing w:val="5"/>
              </w:rPr>
              <w:t>人工</w:t>
            </w:r>
          </w:p>
        </w:tc>
        <w:tc>
          <w:tcPr>
            <w:tcW w:w="699" w:type="dxa"/>
            <w:vAlign w:val="top"/>
          </w:tcPr>
          <w:p w14:paraId="7DFBEAE8">
            <w:pPr>
              <w:rPr>
                <w:rFonts w:ascii="Arial"/>
                <w:sz w:val="21"/>
              </w:rPr>
            </w:pPr>
          </w:p>
        </w:tc>
        <w:tc>
          <w:tcPr>
            <w:tcW w:w="919" w:type="dxa"/>
            <w:vAlign w:val="top"/>
          </w:tcPr>
          <w:p w14:paraId="097B8B3A">
            <w:pPr>
              <w:rPr>
                <w:rFonts w:ascii="Arial"/>
                <w:sz w:val="21"/>
              </w:rPr>
            </w:pPr>
          </w:p>
        </w:tc>
        <w:tc>
          <w:tcPr>
            <w:tcW w:w="899" w:type="dxa"/>
            <w:vAlign w:val="top"/>
          </w:tcPr>
          <w:p w14:paraId="433A9764">
            <w:pPr>
              <w:rPr>
                <w:rFonts w:ascii="Arial"/>
                <w:sz w:val="21"/>
              </w:rPr>
            </w:pPr>
          </w:p>
        </w:tc>
        <w:tc>
          <w:tcPr>
            <w:tcW w:w="1228" w:type="dxa"/>
            <w:vAlign w:val="top"/>
          </w:tcPr>
          <w:p w14:paraId="24EDCBA5">
            <w:pPr>
              <w:rPr>
                <w:rFonts w:ascii="Arial"/>
                <w:sz w:val="21"/>
              </w:rPr>
            </w:pPr>
          </w:p>
        </w:tc>
        <w:tc>
          <w:tcPr>
            <w:tcW w:w="1119" w:type="dxa"/>
            <w:vAlign w:val="top"/>
          </w:tcPr>
          <w:p w14:paraId="7486C53B">
            <w:pPr>
              <w:rPr>
                <w:rFonts w:ascii="Arial"/>
                <w:sz w:val="21"/>
              </w:rPr>
            </w:pPr>
          </w:p>
        </w:tc>
        <w:tc>
          <w:tcPr>
            <w:tcW w:w="1164" w:type="dxa"/>
            <w:vAlign w:val="top"/>
          </w:tcPr>
          <w:p w14:paraId="10D00853">
            <w:pPr>
              <w:rPr>
                <w:rFonts w:ascii="Arial"/>
                <w:sz w:val="21"/>
              </w:rPr>
            </w:pPr>
          </w:p>
        </w:tc>
      </w:tr>
      <w:tr w14:paraId="7ECD54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trPr>
        <w:tc>
          <w:tcPr>
            <w:tcW w:w="764" w:type="dxa"/>
            <w:vAlign w:val="top"/>
          </w:tcPr>
          <w:p w14:paraId="3A17993A">
            <w:pPr>
              <w:pStyle w:val="6"/>
              <w:spacing w:before="158" w:line="241" w:lineRule="auto"/>
              <w:ind w:left="315"/>
            </w:pPr>
            <w:r>
              <w:t>1</w:t>
            </w:r>
          </w:p>
        </w:tc>
        <w:tc>
          <w:tcPr>
            <w:tcW w:w="1928" w:type="dxa"/>
            <w:vAlign w:val="top"/>
          </w:tcPr>
          <w:p w14:paraId="35D9AA68">
            <w:pPr>
              <w:rPr>
                <w:rFonts w:ascii="Arial"/>
                <w:sz w:val="21"/>
              </w:rPr>
            </w:pPr>
          </w:p>
        </w:tc>
        <w:tc>
          <w:tcPr>
            <w:tcW w:w="699" w:type="dxa"/>
            <w:vAlign w:val="top"/>
          </w:tcPr>
          <w:p w14:paraId="748F096E">
            <w:pPr>
              <w:rPr>
                <w:rFonts w:ascii="Arial"/>
                <w:sz w:val="21"/>
              </w:rPr>
            </w:pPr>
          </w:p>
        </w:tc>
        <w:tc>
          <w:tcPr>
            <w:tcW w:w="919" w:type="dxa"/>
            <w:vAlign w:val="top"/>
          </w:tcPr>
          <w:p w14:paraId="6FE9B7D6">
            <w:pPr>
              <w:rPr>
                <w:rFonts w:ascii="Arial"/>
                <w:sz w:val="21"/>
              </w:rPr>
            </w:pPr>
          </w:p>
        </w:tc>
        <w:tc>
          <w:tcPr>
            <w:tcW w:w="899" w:type="dxa"/>
            <w:vAlign w:val="top"/>
          </w:tcPr>
          <w:p w14:paraId="012F74E0">
            <w:pPr>
              <w:rPr>
                <w:rFonts w:ascii="Arial"/>
                <w:sz w:val="21"/>
              </w:rPr>
            </w:pPr>
          </w:p>
        </w:tc>
        <w:tc>
          <w:tcPr>
            <w:tcW w:w="1228" w:type="dxa"/>
            <w:vAlign w:val="top"/>
          </w:tcPr>
          <w:p w14:paraId="2E6A691B">
            <w:pPr>
              <w:rPr>
                <w:rFonts w:ascii="Arial"/>
                <w:sz w:val="21"/>
              </w:rPr>
            </w:pPr>
          </w:p>
        </w:tc>
        <w:tc>
          <w:tcPr>
            <w:tcW w:w="1119" w:type="dxa"/>
            <w:vAlign w:val="top"/>
          </w:tcPr>
          <w:p w14:paraId="306C26F4">
            <w:pPr>
              <w:rPr>
                <w:rFonts w:ascii="Arial"/>
                <w:sz w:val="21"/>
              </w:rPr>
            </w:pPr>
          </w:p>
        </w:tc>
        <w:tc>
          <w:tcPr>
            <w:tcW w:w="1164" w:type="dxa"/>
            <w:vAlign w:val="top"/>
          </w:tcPr>
          <w:p w14:paraId="6999A215">
            <w:pPr>
              <w:rPr>
                <w:rFonts w:ascii="Arial"/>
                <w:sz w:val="21"/>
              </w:rPr>
            </w:pPr>
          </w:p>
        </w:tc>
      </w:tr>
      <w:tr w14:paraId="67C205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0" w:hRule="atLeast"/>
        </w:trPr>
        <w:tc>
          <w:tcPr>
            <w:tcW w:w="764" w:type="dxa"/>
            <w:vAlign w:val="top"/>
          </w:tcPr>
          <w:p w14:paraId="049DD270">
            <w:pPr>
              <w:pStyle w:val="6"/>
              <w:spacing w:before="159" w:line="241" w:lineRule="auto"/>
              <w:ind w:left="315"/>
            </w:pPr>
            <w:r>
              <w:t>2</w:t>
            </w:r>
          </w:p>
        </w:tc>
        <w:tc>
          <w:tcPr>
            <w:tcW w:w="1928" w:type="dxa"/>
            <w:vAlign w:val="top"/>
          </w:tcPr>
          <w:p w14:paraId="2977781F">
            <w:pPr>
              <w:rPr>
                <w:rFonts w:ascii="Arial"/>
                <w:sz w:val="21"/>
              </w:rPr>
            </w:pPr>
          </w:p>
        </w:tc>
        <w:tc>
          <w:tcPr>
            <w:tcW w:w="699" w:type="dxa"/>
            <w:vAlign w:val="top"/>
          </w:tcPr>
          <w:p w14:paraId="655267C4">
            <w:pPr>
              <w:rPr>
                <w:rFonts w:ascii="Arial"/>
                <w:sz w:val="21"/>
              </w:rPr>
            </w:pPr>
          </w:p>
        </w:tc>
        <w:tc>
          <w:tcPr>
            <w:tcW w:w="919" w:type="dxa"/>
            <w:vAlign w:val="top"/>
          </w:tcPr>
          <w:p w14:paraId="1DA7D44C">
            <w:pPr>
              <w:rPr>
                <w:rFonts w:ascii="Arial"/>
                <w:sz w:val="21"/>
              </w:rPr>
            </w:pPr>
          </w:p>
        </w:tc>
        <w:tc>
          <w:tcPr>
            <w:tcW w:w="899" w:type="dxa"/>
            <w:vAlign w:val="top"/>
          </w:tcPr>
          <w:p w14:paraId="4959097C">
            <w:pPr>
              <w:rPr>
                <w:rFonts w:ascii="Arial"/>
                <w:sz w:val="21"/>
              </w:rPr>
            </w:pPr>
          </w:p>
        </w:tc>
        <w:tc>
          <w:tcPr>
            <w:tcW w:w="1228" w:type="dxa"/>
            <w:vAlign w:val="top"/>
          </w:tcPr>
          <w:p w14:paraId="66FA6853">
            <w:pPr>
              <w:rPr>
                <w:rFonts w:ascii="Arial"/>
                <w:sz w:val="21"/>
              </w:rPr>
            </w:pPr>
          </w:p>
        </w:tc>
        <w:tc>
          <w:tcPr>
            <w:tcW w:w="1119" w:type="dxa"/>
            <w:vAlign w:val="top"/>
          </w:tcPr>
          <w:p w14:paraId="1790A1EC">
            <w:pPr>
              <w:rPr>
                <w:rFonts w:ascii="Arial"/>
                <w:sz w:val="21"/>
              </w:rPr>
            </w:pPr>
          </w:p>
        </w:tc>
        <w:tc>
          <w:tcPr>
            <w:tcW w:w="1164" w:type="dxa"/>
            <w:vAlign w:val="top"/>
          </w:tcPr>
          <w:p w14:paraId="377DA245">
            <w:pPr>
              <w:rPr>
                <w:rFonts w:ascii="Arial"/>
                <w:sz w:val="21"/>
              </w:rPr>
            </w:pPr>
          </w:p>
        </w:tc>
      </w:tr>
      <w:tr w14:paraId="30A524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764" w:type="dxa"/>
            <w:vAlign w:val="top"/>
          </w:tcPr>
          <w:p w14:paraId="6AF3A602">
            <w:pPr>
              <w:pStyle w:val="6"/>
              <w:spacing w:before="148"/>
              <w:ind w:left="315"/>
            </w:pPr>
            <w:r>
              <w:t>3</w:t>
            </w:r>
          </w:p>
        </w:tc>
        <w:tc>
          <w:tcPr>
            <w:tcW w:w="1928" w:type="dxa"/>
            <w:vAlign w:val="top"/>
          </w:tcPr>
          <w:p w14:paraId="71BCBE8F">
            <w:pPr>
              <w:rPr>
                <w:rFonts w:ascii="Arial"/>
                <w:sz w:val="21"/>
              </w:rPr>
            </w:pPr>
          </w:p>
        </w:tc>
        <w:tc>
          <w:tcPr>
            <w:tcW w:w="699" w:type="dxa"/>
            <w:vAlign w:val="top"/>
          </w:tcPr>
          <w:p w14:paraId="34948525">
            <w:pPr>
              <w:rPr>
                <w:rFonts w:ascii="Arial"/>
                <w:sz w:val="21"/>
              </w:rPr>
            </w:pPr>
          </w:p>
        </w:tc>
        <w:tc>
          <w:tcPr>
            <w:tcW w:w="919" w:type="dxa"/>
            <w:vAlign w:val="top"/>
          </w:tcPr>
          <w:p w14:paraId="2FEAAA6B">
            <w:pPr>
              <w:rPr>
                <w:rFonts w:ascii="Arial"/>
                <w:sz w:val="21"/>
              </w:rPr>
            </w:pPr>
          </w:p>
        </w:tc>
        <w:tc>
          <w:tcPr>
            <w:tcW w:w="899" w:type="dxa"/>
            <w:vAlign w:val="top"/>
          </w:tcPr>
          <w:p w14:paraId="728CB324">
            <w:pPr>
              <w:rPr>
                <w:rFonts w:ascii="Arial"/>
                <w:sz w:val="21"/>
              </w:rPr>
            </w:pPr>
          </w:p>
        </w:tc>
        <w:tc>
          <w:tcPr>
            <w:tcW w:w="1228" w:type="dxa"/>
            <w:vAlign w:val="top"/>
          </w:tcPr>
          <w:p w14:paraId="14DD59D4">
            <w:pPr>
              <w:rPr>
                <w:rFonts w:ascii="Arial"/>
                <w:sz w:val="21"/>
              </w:rPr>
            </w:pPr>
          </w:p>
        </w:tc>
        <w:tc>
          <w:tcPr>
            <w:tcW w:w="1119" w:type="dxa"/>
            <w:vAlign w:val="top"/>
          </w:tcPr>
          <w:p w14:paraId="16F7D2A7">
            <w:pPr>
              <w:rPr>
                <w:rFonts w:ascii="Arial"/>
                <w:sz w:val="21"/>
              </w:rPr>
            </w:pPr>
          </w:p>
        </w:tc>
        <w:tc>
          <w:tcPr>
            <w:tcW w:w="1164" w:type="dxa"/>
            <w:vAlign w:val="top"/>
          </w:tcPr>
          <w:p w14:paraId="5959BBEA">
            <w:pPr>
              <w:rPr>
                <w:rFonts w:ascii="Arial"/>
                <w:sz w:val="21"/>
              </w:rPr>
            </w:pPr>
          </w:p>
        </w:tc>
      </w:tr>
      <w:tr w14:paraId="241BA1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6437" w:type="dxa"/>
            <w:gridSpan w:val="6"/>
            <w:vAlign w:val="top"/>
          </w:tcPr>
          <w:p w14:paraId="62EB3724">
            <w:pPr>
              <w:pStyle w:val="6"/>
              <w:spacing w:before="140" w:line="221" w:lineRule="auto"/>
              <w:ind w:left="2795"/>
            </w:pPr>
            <w:r>
              <w:rPr>
                <w:spacing w:val="-2"/>
              </w:rPr>
              <w:t>人工小计</w:t>
            </w:r>
          </w:p>
        </w:tc>
        <w:tc>
          <w:tcPr>
            <w:tcW w:w="1119" w:type="dxa"/>
            <w:vAlign w:val="top"/>
          </w:tcPr>
          <w:p w14:paraId="2641CD7D">
            <w:pPr>
              <w:rPr>
                <w:rFonts w:ascii="Arial"/>
                <w:sz w:val="21"/>
              </w:rPr>
            </w:pPr>
          </w:p>
        </w:tc>
        <w:tc>
          <w:tcPr>
            <w:tcW w:w="1164" w:type="dxa"/>
            <w:vAlign w:val="top"/>
          </w:tcPr>
          <w:p w14:paraId="6C75A819">
            <w:pPr>
              <w:rPr>
                <w:rFonts w:ascii="Arial"/>
                <w:sz w:val="21"/>
              </w:rPr>
            </w:pPr>
          </w:p>
        </w:tc>
      </w:tr>
      <w:tr w14:paraId="51C184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764" w:type="dxa"/>
            <w:vAlign w:val="top"/>
          </w:tcPr>
          <w:p w14:paraId="5B7C0741">
            <w:pPr>
              <w:pStyle w:val="6"/>
              <w:spacing w:before="190" w:line="178" w:lineRule="auto"/>
              <w:ind w:left="264"/>
            </w:pPr>
            <w:r>
              <w:t>二</w:t>
            </w:r>
          </w:p>
        </w:tc>
        <w:tc>
          <w:tcPr>
            <w:tcW w:w="1928" w:type="dxa"/>
            <w:vAlign w:val="top"/>
          </w:tcPr>
          <w:p w14:paraId="057FEE15">
            <w:pPr>
              <w:pStyle w:val="6"/>
              <w:spacing w:before="128" w:line="219" w:lineRule="auto"/>
              <w:ind w:left="741"/>
            </w:pPr>
            <w:r>
              <w:rPr>
                <w:spacing w:val="-3"/>
              </w:rPr>
              <w:t>材料</w:t>
            </w:r>
          </w:p>
        </w:tc>
        <w:tc>
          <w:tcPr>
            <w:tcW w:w="699" w:type="dxa"/>
            <w:vAlign w:val="top"/>
          </w:tcPr>
          <w:p w14:paraId="277CA36C">
            <w:pPr>
              <w:rPr>
                <w:rFonts w:ascii="Arial"/>
                <w:sz w:val="21"/>
              </w:rPr>
            </w:pPr>
          </w:p>
        </w:tc>
        <w:tc>
          <w:tcPr>
            <w:tcW w:w="919" w:type="dxa"/>
            <w:vAlign w:val="top"/>
          </w:tcPr>
          <w:p w14:paraId="53ED6333">
            <w:pPr>
              <w:rPr>
                <w:rFonts w:ascii="Arial"/>
                <w:sz w:val="21"/>
              </w:rPr>
            </w:pPr>
          </w:p>
        </w:tc>
        <w:tc>
          <w:tcPr>
            <w:tcW w:w="899" w:type="dxa"/>
            <w:vAlign w:val="top"/>
          </w:tcPr>
          <w:p w14:paraId="3B07F785">
            <w:pPr>
              <w:rPr>
                <w:rFonts w:ascii="Arial"/>
                <w:sz w:val="21"/>
              </w:rPr>
            </w:pPr>
          </w:p>
        </w:tc>
        <w:tc>
          <w:tcPr>
            <w:tcW w:w="1228" w:type="dxa"/>
            <w:vAlign w:val="top"/>
          </w:tcPr>
          <w:p w14:paraId="1A543F44">
            <w:pPr>
              <w:rPr>
                <w:rFonts w:ascii="Arial"/>
                <w:sz w:val="21"/>
              </w:rPr>
            </w:pPr>
          </w:p>
        </w:tc>
        <w:tc>
          <w:tcPr>
            <w:tcW w:w="1119" w:type="dxa"/>
            <w:vAlign w:val="top"/>
          </w:tcPr>
          <w:p w14:paraId="70567CFB">
            <w:pPr>
              <w:rPr>
                <w:rFonts w:ascii="Arial"/>
                <w:sz w:val="21"/>
              </w:rPr>
            </w:pPr>
          </w:p>
        </w:tc>
        <w:tc>
          <w:tcPr>
            <w:tcW w:w="1164" w:type="dxa"/>
            <w:vAlign w:val="top"/>
          </w:tcPr>
          <w:p w14:paraId="4AD4A1AA">
            <w:pPr>
              <w:rPr>
                <w:rFonts w:ascii="Arial"/>
                <w:sz w:val="21"/>
              </w:rPr>
            </w:pPr>
          </w:p>
        </w:tc>
      </w:tr>
      <w:tr w14:paraId="10AE71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764" w:type="dxa"/>
            <w:vAlign w:val="top"/>
          </w:tcPr>
          <w:p w14:paraId="7790378C">
            <w:pPr>
              <w:pStyle w:val="6"/>
              <w:spacing w:before="162" w:line="241" w:lineRule="auto"/>
              <w:ind w:left="315"/>
            </w:pPr>
            <w:r>
              <w:t>1</w:t>
            </w:r>
          </w:p>
        </w:tc>
        <w:tc>
          <w:tcPr>
            <w:tcW w:w="1928" w:type="dxa"/>
            <w:vAlign w:val="top"/>
          </w:tcPr>
          <w:p w14:paraId="49A7B1B6">
            <w:pPr>
              <w:rPr>
                <w:rFonts w:ascii="Arial"/>
                <w:sz w:val="21"/>
              </w:rPr>
            </w:pPr>
          </w:p>
        </w:tc>
        <w:tc>
          <w:tcPr>
            <w:tcW w:w="699" w:type="dxa"/>
            <w:vAlign w:val="top"/>
          </w:tcPr>
          <w:p w14:paraId="5A365CCA">
            <w:pPr>
              <w:rPr>
                <w:rFonts w:ascii="Arial"/>
                <w:sz w:val="21"/>
              </w:rPr>
            </w:pPr>
          </w:p>
        </w:tc>
        <w:tc>
          <w:tcPr>
            <w:tcW w:w="919" w:type="dxa"/>
            <w:vAlign w:val="top"/>
          </w:tcPr>
          <w:p w14:paraId="22CEE926">
            <w:pPr>
              <w:rPr>
                <w:rFonts w:ascii="Arial"/>
                <w:sz w:val="21"/>
              </w:rPr>
            </w:pPr>
          </w:p>
        </w:tc>
        <w:tc>
          <w:tcPr>
            <w:tcW w:w="899" w:type="dxa"/>
            <w:vAlign w:val="top"/>
          </w:tcPr>
          <w:p w14:paraId="4033D535">
            <w:pPr>
              <w:rPr>
                <w:rFonts w:ascii="Arial"/>
                <w:sz w:val="21"/>
              </w:rPr>
            </w:pPr>
          </w:p>
        </w:tc>
        <w:tc>
          <w:tcPr>
            <w:tcW w:w="1228" w:type="dxa"/>
            <w:vAlign w:val="top"/>
          </w:tcPr>
          <w:p w14:paraId="5B0C41F5">
            <w:pPr>
              <w:rPr>
                <w:rFonts w:ascii="Arial"/>
                <w:sz w:val="21"/>
              </w:rPr>
            </w:pPr>
          </w:p>
        </w:tc>
        <w:tc>
          <w:tcPr>
            <w:tcW w:w="1119" w:type="dxa"/>
            <w:vAlign w:val="top"/>
          </w:tcPr>
          <w:p w14:paraId="6BE0D69D">
            <w:pPr>
              <w:rPr>
                <w:rFonts w:ascii="Arial"/>
                <w:sz w:val="21"/>
              </w:rPr>
            </w:pPr>
          </w:p>
        </w:tc>
        <w:tc>
          <w:tcPr>
            <w:tcW w:w="1164" w:type="dxa"/>
            <w:vAlign w:val="top"/>
          </w:tcPr>
          <w:p w14:paraId="6118F04C">
            <w:pPr>
              <w:rPr>
                <w:rFonts w:ascii="Arial"/>
                <w:sz w:val="21"/>
              </w:rPr>
            </w:pPr>
          </w:p>
        </w:tc>
      </w:tr>
      <w:tr w14:paraId="097A55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0" w:hRule="atLeast"/>
        </w:trPr>
        <w:tc>
          <w:tcPr>
            <w:tcW w:w="764" w:type="dxa"/>
            <w:vAlign w:val="top"/>
          </w:tcPr>
          <w:p w14:paraId="318D0BC4">
            <w:pPr>
              <w:pStyle w:val="6"/>
              <w:spacing w:before="163" w:line="241" w:lineRule="auto"/>
              <w:ind w:left="315"/>
            </w:pPr>
            <w:r>
              <w:t>2</w:t>
            </w:r>
          </w:p>
        </w:tc>
        <w:tc>
          <w:tcPr>
            <w:tcW w:w="1928" w:type="dxa"/>
            <w:vAlign w:val="top"/>
          </w:tcPr>
          <w:p w14:paraId="4338905C">
            <w:pPr>
              <w:rPr>
                <w:rFonts w:ascii="Arial"/>
                <w:sz w:val="21"/>
              </w:rPr>
            </w:pPr>
          </w:p>
        </w:tc>
        <w:tc>
          <w:tcPr>
            <w:tcW w:w="699" w:type="dxa"/>
            <w:vAlign w:val="top"/>
          </w:tcPr>
          <w:p w14:paraId="319D31D8">
            <w:pPr>
              <w:rPr>
                <w:rFonts w:ascii="Arial"/>
                <w:sz w:val="21"/>
              </w:rPr>
            </w:pPr>
          </w:p>
        </w:tc>
        <w:tc>
          <w:tcPr>
            <w:tcW w:w="919" w:type="dxa"/>
            <w:vAlign w:val="top"/>
          </w:tcPr>
          <w:p w14:paraId="0B835DF8">
            <w:pPr>
              <w:rPr>
                <w:rFonts w:ascii="Arial"/>
                <w:sz w:val="21"/>
              </w:rPr>
            </w:pPr>
          </w:p>
        </w:tc>
        <w:tc>
          <w:tcPr>
            <w:tcW w:w="899" w:type="dxa"/>
            <w:vAlign w:val="top"/>
          </w:tcPr>
          <w:p w14:paraId="441B11E4">
            <w:pPr>
              <w:rPr>
                <w:rFonts w:ascii="Arial"/>
                <w:sz w:val="21"/>
              </w:rPr>
            </w:pPr>
          </w:p>
        </w:tc>
        <w:tc>
          <w:tcPr>
            <w:tcW w:w="1228" w:type="dxa"/>
            <w:vAlign w:val="top"/>
          </w:tcPr>
          <w:p w14:paraId="36EBF599">
            <w:pPr>
              <w:rPr>
                <w:rFonts w:ascii="Arial"/>
                <w:sz w:val="21"/>
              </w:rPr>
            </w:pPr>
          </w:p>
        </w:tc>
        <w:tc>
          <w:tcPr>
            <w:tcW w:w="1119" w:type="dxa"/>
            <w:vAlign w:val="top"/>
          </w:tcPr>
          <w:p w14:paraId="74F52EBF">
            <w:pPr>
              <w:rPr>
                <w:rFonts w:ascii="Arial"/>
                <w:sz w:val="21"/>
              </w:rPr>
            </w:pPr>
          </w:p>
        </w:tc>
        <w:tc>
          <w:tcPr>
            <w:tcW w:w="1164" w:type="dxa"/>
            <w:vAlign w:val="top"/>
          </w:tcPr>
          <w:p w14:paraId="6D51D16D">
            <w:pPr>
              <w:rPr>
                <w:rFonts w:ascii="Arial"/>
                <w:sz w:val="21"/>
              </w:rPr>
            </w:pPr>
          </w:p>
        </w:tc>
      </w:tr>
      <w:tr w14:paraId="644551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764" w:type="dxa"/>
            <w:vAlign w:val="top"/>
          </w:tcPr>
          <w:p w14:paraId="504AD880">
            <w:pPr>
              <w:pStyle w:val="6"/>
              <w:spacing w:before="152"/>
              <w:ind w:left="315"/>
            </w:pPr>
            <w:r>
              <w:t>3</w:t>
            </w:r>
          </w:p>
        </w:tc>
        <w:tc>
          <w:tcPr>
            <w:tcW w:w="1928" w:type="dxa"/>
            <w:vAlign w:val="top"/>
          </w:tcPr>
          <w:p w14:paraId="760B4431">
            <w:pPr>
              <w:rPr>
                <w:rFonts w:ascii="Arial"/>
                <w:sz w:val="21"/>
              </w:rPr>
            </w:pPr>
          </w:p>
        </w:tc>
        <w:tc>
          <w:tcPr>
            <w:tcW w:w="699" w:type="dxa"/>
            <w:vAlign w:val="top"/>
          </w:tcPr>
          <w:p w14:paraId="6ABB0166">
            <w:pPr>
              <w:rPr>
                <w:rFonts w:ascii="Arial"/>
                <w:sz w:val="21"/>
              </w:rPr>
            </w:pPr>
          </w:p>
        </w:tc>
        <w:tc>
          <w:tcPr>
            <w:tcW w:w="919" w:type="dxa"/>
            <w:vAlign w:val="top"/>
          </w:tcPr>
          <w:p w14:paraId="1F9B1D91">
            <w:pPr>
              <w:rPr>
                <w:rFonts w:ascii="Arial"/>
                <w:sz w:val="21"/>
              </w:rPr>
            </w:pPr>
          </w:p>
        </w:tc>
        <w:tc>
          <w:tcPr>
            <w:tcW w:w="899" w:type="dxa"/>
            <w:vAlign w:val="top"/>
          </w:tcPr>
          <w:p w14:paraId="4C20AC93">
            <w:pPr>
              <w:rPr>
                <w:rFonts w:ascii="Arial"/>
                <w:sz w:val="21"/>
              </w:rPr>
            </w:pPr>
          </w:p>
        </w:tc>
        <w:tc>
          <w:tcPr>
            <w:tcW w:w="1228" w:type="dxa"/>
            <w:vAlign w:val="top"/>
          </w:tcPr>
          <w:p w14:paraId="36CAE8E5">
            <w:pPr>
              <w:rPr>
                <w:rFonts w:ascii="Arial"/>
                <w:sz w:val="21"/>
              </w:rPr>
            </w:pPr>
          </w:p>
        </w:tc>
        <w:tc>
          <w:tcPr>
            <w:tcW w:w="1119" w:type="dxa"/>
            <w:vAlign w:val="top"/>
          </w:tcPr>
          <w:p w14:paraId="23538B2B">
            <w:pPr>
              <w:rPr>
                <w:rFonts w:ascii="Arial"/>
                <w:sz w:val="21"/>
              </w:rPr>
            </w:pPr>
          </w:p>
        </w:tc>
        <w:tc>
          <w:tcPr>
            <w:tcW w:w="1164" w:type="dxa"/>
            <w:vAlign w:val="top"/>
          </w:tcPr>
          <w:p w14:paraId="2E636A95">
            <w:pPr>
              <w:rPr>
                <w:rFonts w:ascii="Arial"/>
                <w:sz w:val="21"/>
              </w:rPr>
            </w:pPr>
          </w:p>
        </w:tc>
      </w:tr>
      <w:tr w14:paraId="3EE3E4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6437" w:type="dxa"/>
            <w:gridSpan w:val="6"/>
            <w:vAlign w:val="top"/>
          </w:tcPr>
          <w:p w14:paraId="3ECEAF48">
            <w:pPr>
              <w:pStyle w:val="6"/>
              <w:spacing w:before="141" w:line="219" w:lineRule="auto"/>
              <w:ind w:left="2795"/>
            </w:pPr>
            <w:r>
              <w:rPr>
                <w:spacing w:val="-2"/>
              </w:rPr>
              <w:t>材料小计</w:t>
            </w:r>
          </w:p>
        </w:tc>
        <w:tc>
          <w:tcPr>
            <w:tcW w:w="1119" w:type="dxa"/>
            <w:vAlign w:val="top"/>
          </w:tcPr>
          <w:p w14:paraId="45D50A88">
            <w:pPr>
              <w:rPr>
                <w:rFonts w:ascii="Arial"/>
                <w:sz w:val="21"/>
              </w:rPr>
            </w:pPr>
          </w:p>
        </w:tc>
        <w:tc>
          <w:tcPr>
            <w:tcW w:w="1164" w:type="dxa"/>
            <w:vAlign w:val="top"/>
          </w:tcPr>
          <w:p w14:paraId="356E1144">
            <w:pPr>
              <w:rPr>
                <w:rFonts w:ascii="Arial"/>
                <w:sz w:val="21"/>
              </w:rPr>
            </w:pPr>
          </w:p>
        </w:tc>
      </w:tr>
      <w:tr w14:paraId="30FA21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764" w:type="dxa"/>
            <w:vAlign w:val="top"/>
          </w:tcPr>
          <w:p w14:paraId="6D372BFD">
            <w:pPr>
              <w:pStyle w:val="6"/>
              <w:spacing w:before="153" w:line="237" w:lineRule="auto"/>
              <w:ind w:left="264"/>
            </w:pPr>
            <w:r>
              <w:t>三</w:t>
            </w:r>
          </w:p>
        </w:tc>
        <w:tc>
          <w:tcPr>
            <w:tcW w:w="1928" w:type="dxa"/>
            <w:vAlign w:val="top"/>
          </w:tcPr>
          <w:p w14:paraId="5FD4F8D4">
            <w:pPr>
              <w:pStyle w:val="6"/>
              <w:spacing w:before="132" w:line="219" w:lineRule="auto"/>
              <w:ind w:left="530"/>
            </w:pPr>
            <w:r>
              <w:rPr>
                <w:spacing w:val="-2"/>
              </w:rPr>
              <w:t>施工机械</w:t>
            </w:r>
          </w:p>
        </w:tc>
        <w:tc>
          <w:tcPr>
            <w:tcW w:w="699" w:type="dxa"/>
            <w:vAlign w:val="top"/>
          </w:tcPr>
          <w:p w14:paraId="2559491D">
            <w:pPr>
              <w:rPr>
                <w:rFonts w:ascii="Arial"/>
                <w:sz w:val="21"/>
              </w:rPr>
            </w:pPr>
          </w:p>
        </w:tc>
        <w:tc>
          <w:tcPr>
            <w:tcW w:w="919" w:type="dxa"/>
            <w:vAlign w:val="top"/>
          </w:tcPr>
          <w:p w14:paraId="33324E93">
            <w:pPr>
              <w:rPr>
                <w:rFonts w:ascii="Arial"/>
                <w:sz w:val="21"/>
              </w:rPr>
            </w:pPr>
          </w:p>
        </w:tc>
        <w:tc>
          <w:tcPr>
            <w:tcW w:w="899" w:type="dxa"/>
            <w:vAlign w:val="top"/>
          </w:tcPr>
          <w:p w14:paraId="78EA8CA7">
            <w:pPr>
              <w:rPr>
                <w:rFonts w:ascii="Arial"/>
                <w:sz w:val="21"/>
              </w:rPr>
            </w:pPr>
          </w:p>
        </w:tc>
        <w:tc>
          <w:tcPr>
            <w:tcW w:w="1228" w:type="dxa"/>
            <w:vAlign w:val="top"/>
          </w:tcPr>
          <w:p w14:paraId="74867732">
            <w:pPr>
              <w:rPr>
                <w:rFonts w:ascii="Arial"/>
                <w:sz w:val="21"/>
              </w:rPr>
            </w:pPr>
          </w:p>
        </w:tc>
        <w:tc>
          <w:tcPr>
            <w:tcW w:w="1119" w:type="dxa"/>
            <w:vAlign w:val="top"/>
          </w:tcPr>
          <w:p w14:paraId="5853B924">
            <w:pPr>
              <w:rPr>
                <w:rFonts w:ascii="Arial"/>
                <w:sz w:val="21"/>
              </w:rPr>
            </w:pPr>
          </w:p>
        </w:tc>
        <w:tc>
          <w:tcPr>
            <w:tcW w:w="1164" w:type="dxa"/>
            <w:vAlign w:val="top"/>
          </w:tcPr>
          <w:p w14:paraId="07065AF4">
            <w:pPr>
              <w:rPr>
                <w:rFonts w:ascii="Arial"/>
                <w:sz w:val="21"/>
              </w:rPr>
            </w:pPr>
          </w:p>
        </w:tc>
      </w:tr>
      <w:tr w14:paraId="431144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0" w:hRule="atLeast"/>
        </w:trPr>
        <w:tc>
          <w:tcPr>
            <w:tcW w:w="764" w:type="dxa"/>
            <w:vAlign w:val="top"/>
          </w:tcPr>
          <w:p w14:paraId="3C31BE8D">
            <w:pPr>
              <w:pStyle w:val="6"/>
              <w:spacing w:before="166" w:line="241" w:lineRule="auto"/>
              <w:ind w:left="315"/>
            </w:pPr>
            <w:r>
              <w:t>1</w:t>
            </w:r>
          </w:p>
        </w:tc>
        <w:tc>
          <w:tcPr>
            <w:tcW w:w="1928" w:type="dxa"/>
            <w:vAlign w:val="top"/>
          </w:tcPr>
          <w:p w14:paraId="3FB3AB4A">
            <w:pPr>
              <w:rPr>
                <w:rFonts w:ascii="Arial"/>
                <w:sz w:val="21"/>
              </w:rPr>
            </w:pPr>
          </w:p>
        </w:tc>
        <w:tc>
          <w:tcPr>
            <w:tcW w:w="699" w:type="dxa"/>
            <w:vAlign w:val="top"/>
          </w:tcPr>
          <w:p w14:paraId="0F0911A7">
            <w:pPr>
              <w:rPr>
                <w:rFonts w:ascii="Arial"/>
                <w:sz w:val="21"/>
              </w:rPr>
            </w:pPr>
          </w:p>
        </w:tc>
        <w:tc>
          <w:tcPr>
            <w:tcW w:w="919" w:type="dxa"/>
            <w:vAlign w:val="top"/>
          </w:tcPr>
          <w:p w14:paraId="282B5EF4">
            <w:pPr>
              <w:rPr>
                <w:rFonts w:ascii="Arial"/>
                <w:sz w:val="21"/>
              </w:rPr>
            </w:pPr>
          </w:p>
        </w:tc>
        <w:tc>
          <w:tcPr>
            <w:tcW w:w="899" w:type="dxa"/>
            <w:vAlign w:val="top"/>
          </w:tcPr>
          <w:p w14:paraId="48D7B0A9">
            <w:pPr>
              <w:rPr>
                <w:rFonts w:ascii="Arial"/>
                <w:sz w:val="21"/>
              </w:rPr>
            </w:pPr>
          </w:p>
        </w:tc>
        <w:tc>
          <w:tcPr>
            <w:tcW w:w="1228" w:type="dxa"/>
            <w:vAlign w:val="top"/>
          </w:tcPr>
          <w:p w14:paraId="28B6B40C">
            <w:pPr>
              <w:rPr>
                <w:rFonts w:ascii="Arial"/>
                <w:sz w:val="21"/>
              </w:rPr>
            </w:pPr>
          </w:p>
        </w:tc>
        <w:tc>
          <w:tcPr>
            <w:tcW w:w="1119" w:type="dxa"/>
            <w:vAlign w:val="top"/>
          </w:tcPr>
          <w:p w14:paraId="24DE3A99">
            <w:pPr>
              <w:rPr>
                <w:rFonts w:ascii="Arial"/>
                <w:sz w:val="21"/>
              </w:rPr>
            </w:pPr>
          </w:p>
        </w:tc>
        <w:tc>
          <w:tcPr>
            <w:tcW w:w="1164" w:type="dxa"/>
            <w:vAlign w:val="top"/>
          </w:tcPr>
          <w:p w14:paraId="7C48A8E6">
            <w:pPr>
              <w:rPr>
                <w:rFonts w:ascii="Arial"/>
                <w:sz w:val="21"/>
              </w:rPr>
            </w:pPr>
          </w:p>
        </w:tc>
      </w:tr>
      <w:tr w14:paraId="5C5DF5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764" w:type="dxa"/>
            <w:vAlign w:val="top"/>
          </w:tcPr>
          <w:p w14:paraId="28E48CA1">
            <w:pPr>
              <w:pStyle w:val="6"/>
              <w:spacing w:before="156" w:line="241" w:lineRule="auto"/>
              <w:ind w:left="315"/>
            </w:pPr>
            <w:r>
              <w:t>2</w:t>
            </w:r>
          </w:p>
        </w:tc>
        <w:tc>
          <w:tcPr>
            <w:tcW w:w="1928" w:type="dxa"/>
            <w:vAlign w:val="top"/>
          </w:tcPr>
          <w:p w14:paraId="7A187A2D">
            <w:pPr>
              <w:rPr>
                <w:rFonts w:ascii="Arial"/>
                <w:sz w:val="21"/>
              </w:rPr>
            </w:pPr>
          </w:p>
        </w:tc>
        <w:tc>
          <w:tcPr>
            <w:tcW w:w="699" w:type="dxa"/>
            <w:vAlign w:val="top"/>
          </w:tcPr>
          <w:p w14:paraId="48E3828D">
            <w:pPr>
              <w:rPr>
                <w:rFonts w:ascii="Arial"/>
                <w:sz w:val="21"/>
              </w:rPr>
            </w:pPr>
          </w:p>
        </w:tc>
        <w:tc>
          <w:tcPr>
            <w:tcW w:w="919" w:type="dxa"/>
            <w:vAlign w:val="top"/>
          </w:tcPr>
          <w:p w14:paraId="530A093A">
            <w:pPr>
              <w:rPr>
                <w:rFonts w:ascii="Arial"/>
                <w:sz w:val="21"/>
              </w:rPr>
            </w:pPr>
          </w:p>
        </w:tc>
        <w:tc>
          <w:tcPr>
            <w:tcW w:w="899" w:type="dxa"/>
            <w:vAlign w:val="top"/>
          </w:tcPr>
          <w:p w14:paraId="050B9A2C">
            <w:pPr>
              <w:rPr>
                <w:rFonts w:ascii="Arial"/>
                <w:sz w:val="21"/>
              </w:rPr>
            </w:pPr>
          </w:p>
        </w:tc>
        <w:tc>
          <w:tcPr>
            <w:tcW w:w="1228" w:type="dxa"/>
            <w:vAlign w:val="top"/>
          </w:tcPr>
          <w:p w14:paraId="539F0132">
            <w:pPr>
              <w:rPr>
                <w:rFonts w:ascii="Arial"/>
                <w:sz w:val="21"/>
              </w:rPr>
            </w:pPr>
          </w:p>
        </w:tc>
        <w:tc>
          <w:tcPr>
            <w:tcW w:w="1119" w:type="dxa"/>
            <w:vAlign w:val="top"/>
          </w:tcPr>
          <w:p w14:paraId="173AABDD">
            <w:pPr>
              <w:rPr>
                <w:rFonts w:ascii="Arial"/>
                <w:sz w:val="21"/>
              </w:rPr>
            </w:pPr>
          </w:p>
        </w:tc>
        <w:tc>
          <w:tcPr>
            <w:tcW w:w="1164" w:type="dxa"/>
            <w:vAlign w:val="top"/>
          </w:tcPr>
          <w:p w14:paraId="12D0C30D">
            <w:pPr>
              <w:rPr>
                <w:rFonts w:ascii="Arial"/>
                <w:sz w:val="21"/>
              </w:rPr>
            </w:pPr>
          </w:p>
        </w:tc>
      </w:tr>
      <w:tr w14:paraId="438094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764" w:type="dxa"/>
            <w:vAlign w:val="top"/>
          </w:tcPr>
          <w:p w14:paraId="5F6F9656">
            <w:pPr>
              <w:pStyle w:val="6"/>
              <w:spacing w:before="156"/>
              <w:ind w:left="315"/>
            </w:pPr>
            <w:r>
              <w:t>3</w:t>
            </w:r>
          </w:p>
        </w:tc>
        <w:tc>
          <w:tcPr>
            <w:tcW w:w="1928" w:type="dxa"/>
            <w:vAlign w:val="top"/>
          </w:tcPr>
          <w:p w14:paraId="21259341">
            <w:pPr>
              <w:rPr>
                <w:rFonts w:ascii="Arial"/>
                <w:sz w:val="21"/>
              </w:rPr>
            </w:pPr>
          </w:p>
        </w:tc>
        <w:tc>
          <w:tcPr>
            <w:tcW w:w="699" w:type="dxa"/>
            <w:vAlign w:val="top"/>
          </w:tcPr>
          <w:p w14:paraId="4A9E4D62">
            <w:pPr>
              <w:rPr>
                <w:rFonts w:ascii="Arial"/>
                <w:sz w:val="21"/>
              </w:rPr>
            </w:pPr>
          </w:p>
        </w:tc>
        <w:tc>
          <w:tcPr>
            <w:tcW w:w="919" w:type="dxa"/>
            <w:vAlign w:val="top"/>
          </w:tcPr>
          <w:p w14:paraId="035B8C29">
            <w:pPr>
              <w:rPr>
                <w:rFonts w:ascii="Arial"/>
                <w:sz w:val="21"/>
              </w:rPr>
            </w:pPr>
          </w:p>
        </w:tc>
        <w:tc>
          <w:tcPr>
            <w:tcW w:w="899" w:type="dxa"/>
            <w:vAlign w:val="top"/>
          </w:tcPr>
          <w:p w14:paraId="5091FD70">
            <w:pPr>
              <w:rPr>
                <w:rFonts w:ascii="Arial"/>
                <w:sz w:val="21"/>
              </w:rPr>
            </w:pPr>
          </w:p>
        </w:tc>
        <w:tc>
          <w:tcPr>
            <w:tcW w:w="1228" w:type="dxa"/>
            <w:vAlign w:val="top"/>
          </w:tcPr>
          <w:p w14:paraId="2F525BD3">
            <w:pPr>
              <w:rPr>
                <w:rFonts w:ascii="Arial"/>
                <w:sz w:val="21"/>
              </w:rPr>
            </w:pPr>
          </w:p>
        </w:tc>
        <w:tc>
          <w:tcPr>
            <w:tcW w:w="1119" w:type="dxa"/>
            <w:vAlign w:val="top"/>
          </w:tcPr>
          <w:p w14:paraId="71D672F4">
            <w:pPr>
              <w:rPr>
                <w:rFonts w:ascii="Arial"/>
                <w:sz w:val="21"/>
              </w:rPr>
            </w:pPr>
          </w:p>
        </w:tc>
        <w:tc>
          <w:tcPr>
            <w:tcW w:w="1164" w:type="dxa"/>
            <w:vAlign w:val="top"/>
          </w:tcPr>
          <w:p w14:paraId="4DAA7172">
            <w:pPr>
              <w:rPr>
                <w:rFonts w:ascii="Arial"/>
                <w:sz w:val="21"/>
              </w:rPr>
            </w:pPr>
          </w:p>
        </w:tc>
      </w:tr>
      <w:tr w14:paraId="079009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6437" w:type="dxa"/>
            <w:gridSpan w:val="6"/>
            <w:vAlign w:val="top"/>
          </w:tcPr>
          <w:p w14:paraId="1DD2848E">
            <w:pPr>
              <w:pStyle w:val="6"/>
              <w:spacing w:before="145" w:line="219" w:lineRule="auto"/>
              <w:ind w:left="2585"/>
            </w:pPr>
            <w:r>
              <w:rPr>
                <w:spacing w:val="-2"/>
              </w:rPr>
              <w:t>施工机械小计</w:t>
            </w:r>
          </w:p>
        </w:tc>
        <w:tc>
          <w:tcPr>
            <w:tcW w:w="1119" w:type="dxa"/>
            <w:vAlign w:val="top"/>
          </w:tcPr>
          <w:p w14:paraId="27BFE8D2">
            <w:pPr>
              <w:rPr>
                <w:rFonts w:ascii="Arial"/>
                <w:sz w:val="21"/>
              </w:rPr>
            </w:pPr>
          </w:p>
        </w:tc>
        <w:tc>
          <w:tcPr>
            <w:tcW w:w="1164" w:type="dxa"/>
            <w:vAlign w:val="top"/>
          </w:tcPr>
          <w:p w14:paraId="394D975E">
            <w:pPr>
              <w:rPr>
                <w:rFonts w:ascii="Arial"/>
                <w:sz w:val="21"/>
              </w:rPr>
            </w:pPr>
          </w:p>
        </w:tc>
      </w:tr>
      <w:tr w14:paraId="64A1E9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0" w:hRule="atLeast"/>
        </w:trPr>
        <w:tc>
          <w:tcPr>
            <w:tcW w:w="6437" w:type="dxa"/>
            <w:gridSpan w:val="6"/>
            <w:vAlign w:val="top"/>
          </w:tcPr>
          <w:p w14:paraId="29B7C67B">
            <w:pPr>
              <w:pStyle w:val="6"/>
              <w:spacing w:before="148" w:line="219" w:lineRule="auto"/>
              <w:ind w:left="95"/>
            </w:pPr>
            <w:r>
              <w:rPr>
                <w:spacing w:val="1"/>
              </w:rPr>
              <w:t>四、企业管理费和利润</w:t>
            </w:r>
          </w:p>
        </w:tc>
        <w:tc>
          <w:tcPr>
            <w:tcW w:w="1119" w:type="dxa"/>
            <w:vAlign w:val="top"/>
          </w:tcPr>
          <w:p w14:paraId="77391EFF">
            <w:pPr>
              <w:rPr>
                <w:rFonts w:ascii="Arial"/>
                <w:sz w:val="21"/>
              </w:rPr>
            </w:pPr>
          </w:p>
        </w:tc>
        <w:tc>
          <w:tcPr>
            <w:tcW w:w="1164" w:type="dxa"/>
            <w:vAlign w:val="top"/>
          </w:tcPr>
          <w:p w14:paraId="5F0297A8">
            <w:pPr>
              <w:rPr>
                <w:rFonts w:ascii="Arial"/>
                <w:sz w:val="21"/>
              </w:rPr>
            </w:pPr>
          </w:p>
        </w:tc>
      </w:tr>
      <w:tr w14:paraId="3E1006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trPr>
        <w:tc>
          <w:tcPr>
            <w:tcW w:w="6437" w:type="dxa"/>
            <w:gridSpan w:val="6"/>
            <w:vAlign w:val="top"/>
          </w:tcPr>
          <w:p w14:paraId="55E53612">
            <w:pPr>
              <w:pStyle w:val="6"/>
              <w:spacing w:before="149" w:line="221" w:lineRule="auto"/>
              <w:ind w:left="3005"/>
            </w:pPr>
            <w:r>
              <w:rPr>
                <w:spacing w:val="4"/>
              </w:rPr>
              <w:t>总计</w:t>
            </w:r>
          </w:p>
        </w:tc>
        <w:tc>
          <w:tcPr>
            <w:tcW w:w="1119" w:type="dxa"/>
            <w:vAlign w:val="top"/>
          </w:tcPr>
          <w:p w14:paraId="7E9F01BB">
            <w:pPr>
              <w:rPr>
                <w:rFonts w:ascii="Arial"/>
                <w:sz w:val="21"/>
              </w:rPr>
            </w:pPr>
          </w:p>
        </w:tc>
        <w:tc>
          <w:tcPr>
            <w:tcW w:w="1164" w:type="dxa"/>
            <w:vAlign w:val="top"/>
          </w:tcPr>
          <w:p w14:paraId="5F4216F9">
            <w:pPr>
              <w:rPr>
                <w:rFonts w:ascii="Arial"/>
                <w:sz w:val="21"/>
              </w:rPr>
            </w:pPr>
          </w:p>
        </w:tc>
      </w:tr>
    </w:tbl>
    <w:p w14:paraId="22671A32">
      <w:pPr>
        <w:spacing w:line="281" w:lineRule="auto"/>
        <w:rPr>
          <w:rFonts w:ascii="Arial"/>
          <w:sz w:val="21"/>
        </w:rPr>
      </w:pPr>
    </w:p>
    <w:p w14:paraId="10FE0F01">
      <w:pPr>
        <w:spacing w:line="281" w:lineRule="auto"/>
        <w:rPr>
          <w:rFonts w:ascii="Arial"/>
          <w:sz w:val="21"/>
        </w:rPr>
      </w:pPr>
    </w:p>
    <w:p w14:paraId="150CC1F0">
      <w:pPr>
        <w:pStyle w:val="2"/>
        <w:spacing w:before="65" w:line="278" w:lineRule="auto"/>
        <w:ind w:left="409" w:hanging="389"/>
        <w:rPr>
          <w:sz w:val="20"/>
          <w:szCs w:val="20"/>
        </w:rPr>
      </w:pPr>
      <w:r>
        <w:rPr>
          <w:spacing w:val="12"/>
          <w:sz w:val="20"/>
          <w:szCs w:val="20"/>
        </w:rPr>
        <w:t>注：此表项目名称、暂定数量由招标人填写，编制招标控制价时，单价由招标人按有关计价</w:t>
      </w:r>
      <w:r>
        <w:rPr>
          <w:spacing w:val="11"/>
          <w:sz w:val="20"/>
          <w:szCs w:val="20"/>
        </w:rPr>
        <w:t>规定</w:t>
      </w:r>
      <w:r>
        <w:rPr>
          <w:sz w:val="20"/>
          <w:szCs w:val="20"/>
        </w:rPr>
        <w:t xml:space="preserve"> </w:t>
      </w:r>
      <w:r>
        <w:rPr>
          <w:spacing w:val="12"/>
          <w:sz w:val="20"/>
          <w:szCs w:val="20"/>
        </w:rPr>
        <w:t>确定：投标时，单价由投标人自主报价，按暂定数量计算合价计入投标总价中。结算时，按</w:t>
      </w:r>
      <w:r>
        <w:rPr>
          <w:spacing w:val="10"/>
          <w:sz w:val="20"/>
          <w:szCs w:val="20"/>
        </w:rPr>
        <w:t xml:space="preserve"> </w:t>
      </w:r>
      <w:r>
        <w:rPr>
          <w:spacing w:val="8"/>
          <w:sz w:val="20"/>
          <w:szCs w:val="20"/>
        </w:rPr>
        <w:t>承发包双方确认的实际数量计算合价。</w:t>
      </w:r>
    </w:p>
    <w:p w14:paraId="15D88947">
      <w:pPr>
        <w:spacing w:line="278" w:lineRule="auto"/>
        <w:rPr>
          <w:sz w:val="20"/>
          <w:szCs w:val="20"/>
        </w:rPr>
        <w:sectPr>
          <w:footerReference r:id="rId312" w:type="default"/>
          <w:pgSz w:w="11910" w:h="16840"/>
          <w:pgMar w:top="400" w:right="1526" w:bottom="1024" w:left="1460" w:header="0" w:footer="889" w:gutter="0"/>
          <w:cols w:space="720" w:num="1"/>
        </w:sectPr>
      </w:pPr>
    </w:p>
    <w:p w14:paraId="51213905">
      <w:pPr>
        <w:spacing w:line="259" w:lineRule="auto"/>
        <w:rPr>
          <w:rFonts w:ascii="Arial"/>
          <w:sz w:val="21"/>
        </w:rPr>
      </w:pPr>
    </w:p>
    <w:p w14:paraId="736A6F70">
      <w:pPr>
        <w:spacing w:line="259" w:lineRule="auto"/>
        <w:rPr>
          <w:rFonts w:ascii="Arial"/>
          <w:sz w:val="21"/>
        </w:rPr>
      </w:pPr>
    </w:p>
    <w:p w14:paraId="007EF873">
      <w:pPr>
        <w:spacing w:line="259" w:lineRule="auto"/>
        <w:rPr>
          <w:rFonts w:ascii="Arial"/>
          <w:sz w:val="21"/>
        </w:rPr>
      </w:pPr>
    </w:p>
    <w:p w14:paraId="7DEBF074">
      <w:pPr>
        <w:spacing w:line="259" w:lineRule="auto"/>
        <w:rPr>
          <w:rFonts w:ascii="Arial"/>
          <w:sz w:val="21"/>
        </w:rPr>
      </w:pPr>
    </w:p>
    <w:p w14:paraId="347A7A74">
      <w:pPr>
        <w:spacing w:line="259" w:lineRule="auto"/>
        <w:rPr>
          <w:rFonts w:ascii="Arial"/>
          <w:sz w:val="21"/>
        </w:rPr>
      </w:pPr>
    </w:p>
    <w:p w14:paraId="14C7752F">
      <w:pPr>
        <w:spacing w:before="81" w:line="221" w:lineRule="auto"/>
        <w:ind w:left="413"/>
        <w:outlineLvl w:val="2"/>
        <w:rPr>
          <w:rFonts w:ascii="黑体" w:hAnsi="黑体" w:eastAsia="黑体" w:cs="黑体"/>
          <w:sz w:val="25"/>
          <w:szCs w:val="25"/>
        </w:rPr>
      </w:pPr>
      <w:bookmarkStart w:id="301" w:name="bookmark204"/>
      <w:bookmarkEnd w:id="301"/>
      <w:bookmarkStart w:id="302" w:name="bookmark333"/>
      <w:bookmarkEnd w:id="302"/>
      <w:r>
        <w:rPr>
          <w:rFonts w:ascii="黑体" w:hAnsi="黑体" w:eastAsia="黑体" w:cs="黑体"/>
          <w:b/>
          <w:bCs/>
          <w:spacing w:val="-3"/>
          <w:sz w:val="25"/>
          <w:szCs w:val="25"/>
        </w:rPr>
        <w:t>4.12-5总承包服务费计价表</w:t>
      </w:r>
    </w:p>
    <w:p w14:paraId="4BC60D54">
      <w:pPr>
        <w:spacing w:line="268" w:lineRule="auto"/>
        <w:rPr>
          <w:rFonts w:ascii="Arial"/>
          <w:sz w:val="21"/>
        </w:rPr>
      </w:pPr>
    </w:p>
    <w:p w14:paraId="0A2B1011">
      <w:pPr>
        <w:spacing w:line="268" w:lineRule="auto"/>
        <w:rPr>
          <w:rFonts w:ascii="Arial"/>
          <w:sz w:val="21"/>
        </w:rPr>
      </w:pPr>
    </w:p>
    <w:p w14:paraId="55F4D359">
      <w:pPr>
        <w:spacing w:before="91" w:line="221" w:lineRule="auto"/>
        <w:ind w:left="3193"/>
        <w:rPr>
          <w:rFonts w:ascii="黑体" w:hAnsi="黑体" w:eastAsia="黑体" w:cs="黑体"/>
          <w:sz w:val="28"/>
          <w:szCs w:val="28"/>
        </w:rPr>
      </w:pPr>
      <w:r>
        <w:rPr>
          <w:rFonts w:ascii="黑体" w:hAnsi="黑体" w:eastAsia="黑体" w:cs="黑体"/>
          <w:b/>
          <w:bCs/>
          <w:sz w:val="28"/>
          <w:szCs w:val="28"/>
        </w:rPr>
        <w:t>总承包服务费计价表</w:t>
      </w:r>
    </w:p>
    <w:p w14:paraId="710DC857">
      <w:pPr>
        <w:pStyle w:val="2"/>
        <w:spacing w:before="158" w:line="229" w:lineRule="auto"/>
        <w:rPr>
          <w:sz w:val="20"/>
          <w:szCs w:val="20"/>
        </w:rPr>
      </w:pPr>
      <w:r>
        <w:rPr>
          <w:sz w:val="20"/>
          <w:szCs w:val="20"/>
        </w:rPr>
        <w:t xml:space="preserve">工程名称：                          标段名称：           </w:t>
      </w:r>
      <w:r>
        <w:rPr>
          <w:spacing w:val="-1"/>
          <w:sz w:val="20"/>
          <w:szCs w:val="20"/>
        </w:rPr>
        <w:t xml:space="preserve">     第</w:t>
      </w:r>
      <w:r>
        <w:rPr>
          <w:spacing w:val="9"/>
          <w:sz w:val="20"/>
          <w:szCs w:val="20"/>
        </w:rPr>
        <w:t xml:space="preserve">  </w:t>
      </w:r>
      <w:r>
        <w:rPr>
          <w:spacing w:val="-1"/>
          <w:sz w:val="20"/>
          <w:szCs w:val="20"/>
        </w:rPr>
        <w:t>页</w:t>
      </w:r>
      <w:r>
        <w:rPr>
          <w:spacing w:val="11"/>
          <w:sz w:val="20"/>
          <w:szCs w:val="20"/>
        </w:rPr>
        <w:t xml:space="preserve">  </w:t>
      </w:r>
      <w:r>
        <w:rPr>
          <w:spacing w:val="-1"/>
          <w:sz w:val="20"/>
          <w:szCs w:val="20"/>
        </w:rPr>
        <w:t>共</w:t>
      </w:r>
      <w:r>
        <w:rPr>
          <w:spacing w:val="18"/>
          <w:sz w:val="20"/>
          <w:szCs w:val="20"/>
        </w:rPr>
        <w:t xml:space="preserve">  </w:t>
      </w:r>
      <w:r>
        <w:rPr>
          <w:spacing w:val="-1"/>
          <w:sz w:val="20"/>
          <w:szCs w:val="20"/>
        </w:rPr>
        <w:t>页</w:t>
      </w:r>
    </w:p>
    <w:p w14:paraId="3E764989">
      <w:pPr>
        <w:spacing w:line="118" w:lineRule="exact"/>
      </w:pPr>
    </w:p>
    <w:tbl>
      <w:tblPr>
        <w:tblStyle w:val="5"/>
        <w:tblW w:w="8539" w:type="dxa"/>
        <w:tblInd w:w="16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54"/>
        <w:gridCol w:w="2177"/>
        <w:gridCol w:w="1079"/>
        <w:gridCol w:w="1079"/>
        <w:gridCol w:w="1148"/>
        <w:gridCol w:w="839"/>
        <w:gridCol w:w="1563"/>
      </w:tblGrid>
      <w:tr w14:paraId="1C004B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4" w:hRule="atLeast"/>
        </w:trPr>
        <w:tc>
          <w:tcPr>
            <w:tcW w:w="654" w:type="dxa"/>
            <w:vAlign w:val="top"/>
          </w:tcPr>
          <w:p w14:paraId="0D59348A">
            <w:pPr>
              <w:spacing w:line="284" w:lineRule="auto"/>
              <w:rPr>
                <w:rFonts w:ascii="Arial"/>
                <w:sz w:val="21"/>
              </w:rPr>
            </w:pPr>
          </w:p>
          <w:p w14:paraId="747EB785">
            <w:pPr>
              <w:pStyle w:val="6"/>
              <w:spacing w:before="69" w:line="221" w:lineRule="auto"/>
              <w:ind w:left="105"/>
            </w:pPr>
            <w:r>
              <w:rPr>
                <w:spacing w:val="6"/>
              </w:rPr>
              <w:t>序号</w:t>
            </w:r>
          </w:p>
        </w:tc>
        <w:tc>
          <w:tcPr>
            <w:tcW w:w="2177" w:type="dxa"/>
            <w:vAlign w:val="top"/>
          </w:tcPr>
          <w:p w14:paraId="05E1716C">
            <w:pPr>
              <w:spacing w:line="284" w:lineRule="auto"/>
              <w:rPr>
                <w:rFonts w:ascii="Arial"/>
                <w:sz w:val="21"/>
              </w:rPr>
            </w:pPr>
          </w:p>
          <w:p w14:paraId="0291E526">
            <w:pPr>
              <w:pStyle w:val="6"/>
              <w:spacing w:before="68" w:line="220" w:lineRule="auto"/>
              <w:ind w:left="660"/>
            </w:pPr>
            <w:r>
              <w:rPr>
                <w:spacing w:val="2"/>
              </w:rPr>
              <w:t>工程名称</w:t>
            </w:r>
          </w:p>
        </w:tc>
        <w:tc>
          <w:tcPr>
            <w:tcW w:w="1079" w:type="dxa"/>
            <w:vAlign w:val="top"/>
          </w:tcPr>
          <w:p w14:paraId="00D058FD">
            <w:pPr>
              <w:pStyle w:val="6"/>
              <w:spacing w:before="211" w:line="218" w:lineRule="auto"/>
              <w:ind w:left="113"/>
            </w:pPr>
            <w:r>
              <w:rPr>
                <w:spacing w:val="-3"/>
              </w:rPr>
              <w:t>项目价值</w:t>
            </w:r>
          </w:p>
          <w:p w14:paraId="232365BB">
            <w:pPr>
              <w:pStyle w:val="6"/>
              <w:spacing w:before="24" w:line="220" w:lineRule="auto"/>
              <w:ind w:left="323"/>
            </w:pPr>
            <w:r>
              <w:rPr>
                <w:spacing w:val="15"/>
              </w:rPr>
              <w:t>(元)</w:t>
            </w:r>
          </w:p>
        </w:tc>
        <w:tc>
          <w:tcPr>
            <w:tcW w:w="1079" w:type="dxa"/>
            <w:vAlign w:val="top"/>
          </w:tcPr>
          <w:p w14:paraId="460CEBA5">
            <w:pPr>
              <w:spacing w:line="283" w:lineRule="auto"/>
              <w:rPr>
                <w:rFonts w:ascii="Arial"/>
                <w:sz w:val="21"/>
              </w:rPr>
            </w:pPr>
          </w:p>
          <w:p w14:paraId="173427C1">
            <w:pPr>
              <w:pStyle w:val="6"/>
              <w:spacing w:before="68" w:line="219" w:lineRule="auto"/>
              <w:ind w:left="114"/>
            </w:pPr>
            <w:r>
              <w:rPr>
                <w:spacing w:val="-2"/>
              </w:rPr>
              <w:t>服务内容</w:t>
            </w:r>
          </w:p>
        </w:tc>
        <w:tc>
          <w:tcPr>
            <w:tcW w:w="1148" w:type="dxa"/>
            <w:vAlign w:val="top"/>
          </w:tcPr>
          <w:p w14:paraId="23DF352C">
            <w:pPr>
              <w:spacing w:line="283" w:lineRule="auto"/>
              <w:rPr>
                <w:rFonts w:ascii="Arial"/>
                <w:sz w:val="21"/>
              </w:rPr>
            </w:pPr>
          </w:p>
          <w:p w14:paraId="149C66ED">
            <w:pPr>
              <w:pStyle w:val="6"/>
              <w:spacing w:before="68" w:line="219" w:lineRule="auto"/>
              <w:ind w:left="156"/>
            </w:pPr>
            <w:r>
              <w:rPr>
                <w:spacing w:val="-2"/>
              </w:rPr>
              <w:t>计算基础</w:t>
            </w:r>
          </w:p>
        </w:tc>
        <w:tc>
          <w:tcPr>
            <w:tcW w:w="839" w:type="dxa"/>
            <w:vAlign w:val="top"/>
          </w:tcPr>
          <w:p w14:paraId="02E15C06">
            <w:pPr>
              <w:pStyle w:val="6"/>
              <w:spacing w:before="213" w:line="219" w:lineRule="auto"/>
              <w:ind w:left="208"/>
            </w:pPr>
            <w:r>
              <w:rPr>
                <w:spacing w:val="4"/>
              </w:rPr>
              <w:t>费率</w:t>
            </w:r>
          </w:p>
          <w:p w14:paraId="556A17C1">
            <w:pPr>
              <w:pStyle w:val="6"/>
              <w:spacing w:before="44" w:line="222" w:lineRule="auto"/>
              <w:ind w:left="257"/>
            </w:pPr>
            <w:r>
              <w:rPr>
                <w:spacing w:val="-11"/>
              </w:rPr>
              <w:t>(%)</w:t>
            </w:r>
          </w:p>
        </w:tc>
        <w:tc>
          <w:tcPr>
            <w:tcW w:w="1563" w:type="dxa"/>
            <w:vAlign w:val="top"/>
          </w:tcPr>
          <w:p w14:paraId="21775DE7">
            <w:pPr>
              <w:spacing w:line="283" w:lineRule="auto"/>
              <w:rPr>
                <w:rFonts w:ascii="Arial"/>
                <w:sz w:val="21"/>
              </w:rPr>
            </w:pPr>
          </w:p>
          <w:p w14:paraId="1EC82D3D">
            <w:pPr>
              <w:pStyle w:val="6"/>
              <w:spacing w:before="68" w:line="219" w:lineRule="auto"/>
              <w:ind w:left="258"/>
            </w:pPr>
            <w:r>
              <w:rPr>
                <w:spacing w:val="9"/>
              </w:rPr>
              <w:t>金额(元)</w:t>
            </w:r>
          </w:p>
        </w:tc>
      </w:tr>
      <w:tr w14:paraId="697F31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trPr>
        <w:tc>
          <w:tcPr>
            <w:tcW w:w="654" w:type="dxa"/>
            <w:vAlign w:val="top"/>
          </w:tcPr>
          <w:p w14:paraId="09F3D150">
            <w:pPr>
              <w:spacing w:line="310" w:lineRule="auto"/>
              <w:rPr>
                <w:rFonts w:ascii="Arial"/>
                <w:sz w:val="21"/>
              </w:rPr>
            </w:pPr>
          </w:p>
          <w:p w14:paraId="3C363972">
            <w:pPr>
              <w:pStyle w:val="6"/>
              <w:spacing w:before="68" w:line="241" w:lineRule="auto"/>
              <w:ind w:left="265"/>
            </w:pPr>
            <w:r>
              <w:t>1</w:t>
            </w:r>
          </w:p>
        </w:tc>
        <w:tc>
          <w:tcPr>
            <w:tcW w:w="2177" w:type="dxa"/>
            <w:vAlign w:val="top"/>
          </w:tcPr>
          <w:p w14:paraId="2E7AF726">
            <w:pPr>
              <w:spacing w:line="290" w:lineRule="auto"/>
              <w:rPr>
                <w:rFonts w:ascii="Arial"/>
                <w:sz w:val="21"/>
              </w:rPr>
            </w:pPr>
          </w:p>
          <w:p w14:paraId="73257CFC">
            <w:pPr>
              <w:pStyle w:val="6"/>
              <w:spacing w:before="68" w:line="220" w:lineRule="auto"/>
              <w:ind w:left="130"/>
            </w:pPr>
            <w:r>
              <w:rPr>
                <w:spacing w:val="-2"/>
              </w:rPr>
              <w:t>发包人发包专业工程</w:t>
            </w:r>
          </w:p>
        </w:tc>
        <w:tc>
          <w:tcPr>
            <w:tcW w:w="1079" w:type="dxa"/>
            <w:vAlign w:val="top"/>
          </w:tcPr>
          <w:p w14:paraId="0E66BAF0">
            <w:pPr>
              <w:rPr>
                <w:rFonts w:ascii="Arial"/>
                <w:sz w:val="21"/>
              </w:rPr>
            </w:pPr>
          </w:p>
        </w:tc>
        <w:tc>
          <w:tcPr>
            <w:tcW w:w="1079" w:type="dxa"/>
            <w:vAlign w:val="top"/>
          </w:tcPr>
          <w:p w14:paraId="5B6C3FAA">
            <w:pPr>
              <w:rPr>
                <w:rFonts w:ascii="Arial"/>
                <w:sz w:val="21"/>
              </w:rPr>
            </w:pPr>
          </w:p>
        </w:tc>
        <w:tc>
          <w:tcPr>
            <w:tcW w:w="1148" w:type="dxa"/>
            <w:vAlign w:val="top"/>
          </w:tcPr>
          <w:p w14:paraId="42AD0ACC">
            <w:pPr>
              <w:rPr>
                <w:rFonts w:ascii="Arial"/>
                <w:sz w:val="21"/>
              </w:rPr>
            </w:pPr>
          </w:p>
        </w:tc>
        <w:tc>
          <w:tcPr>
            <w:tcW w:w="839" w:type="dxa"/>
            <w:vAlign w:val="top"/>
          </w:tcPr>
          <w:p w14:paraId="2166BF13">
            <w:pPr>
              <w:rPr>
                <w:rFonts w:ascii="Arial"/>
                <w:sz w:val="21"/>
              </w:rPr>
            </w:pPr>
          </w:p>
        </w:tc>
        <w:tc>
          <w:tcPr>
            <w:tcW w:w="1563" w:type="dxa"/>
            <w:vAlign w:val="top"/>
          </w:tcPr>
          <w:p w14:paraId="1408826B">
            <w:pPr>
              <w:rPr>
                <w:rFonts w:ascii="Arial"/>
                <w:sz w:val="21"/>
              </w:rPr>
            </w:pPr>
          </w:p>
        </w:tc>
      </w:tr>
      <w:tr w14:paraId="7716BE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9" w:hRule="atLeast"/>
        </w:trPr>
        <w:tc>
          <w:tcPr>
            <w:tcW w:w="654" w:type="dxa"/>
            <w:vAlign w:val="top"/>
          </w:tcPr>
          <w:p w14:paraId="6ADC51D7">
            <w:pPr>
              <w:spacing w:line="301" w:lineRule="auto"/>
              <w:rPr>
                <w:rFonts w:ascii="Arial"/>
                <w:sz w:val="21"/>
              </w:rPr>
            </w:pPr>
          </w:p>
          <w:p w14:paraId="63ABDF8A">
            <w:pPr>
              <w:pStyle w:val="6"/>
              <w:spacing w:before="68" w:line="241" w:lineRule="auto"/>
              <w:ind w:left="265"/>
            </w:pPr>
            <w:r>
              <w:t>2</w:t>
            </w:r>
          </w:p>
        </w:tc>
        <w:tc>
          <w:tcPr>
            <w:tcW w:w="2177" w:type="dxa"/>
            <w:vAlign w:val="top"/>
          </w:tcPr>
          <w:p w14:paraId="006E67A6">
            <w:pPr>
              <w:spacing w:line="279" w:lineRule="auto"/>
              <w:rPr>
                <w:rFonts w:ascii="Arial"/>
                <w:sz w:val="21"/>
              </w:rPr>
            </w:pPr>
          </w:p>
          <w:p w14:paraId="615CAF81">
            <w:pPr>
              <w:pStyle w:val="6"/>
              <w:spacing w:before="68" w:line="219" w:lineRule="auto"/>
              <w:ind w:left="120"/>
            </w:pPr>
            <w:r>
              <w:rPr>
                <w:spacing w:val="-2"/>
              </w:rPr>
              <w:t>发包人提供材料</w:t>
            </w:r>
          </w:p>
        </w:tc>
        <w:tc>
          <w:tcPr>
            <w:tcW w:w="1079" w:type="dxa"/>
            <w:vAlign w:val="top"/>
          </w:tcPr>
          <w:p w14:paraId="23EF80F2">
            <w:pPr>
              <w:rPr>
                <w:rFonts w:ascii="Arial"/>
                <w:sz w:val="21"/>
              </w:rPr>
            </w:pPr>
          </w:p>
        </w:tc>
        <w:tc>
          <w:tcPr>
            <w:tcW w:w="1079" w:type="dxa"/>
            <w:vAlign w:val="top"/>
          </w:tcPr>
          <w:p w14:paraId="63023AC5">
            <w:pPr>
              <w:rPr>
                <w:rFonts w:ascii="Arial"/>
                <w:sz w:val="21"/>
              </w:rPr>
            </w:pPr>
          </w:p>
        </w:tc>
        <w:tc>
          <w:tcPr>
            <w:tcW w:w="1148" w:type="dxa"/>
            <w:vAlign w:val="top"/>
          </w:tcPr>
          <w:p w14:paraId="5E432961">
            <w:pPr>
              <w:rPr>
                <w:rFonts w:ascii="Arial"/>
                <w:sz w:val="21"/>
              </w:rPr>
            </w:pPr>
          </w:p>
        </w:tc>
        <w:tc>
          <w:tcPr>
            <w:tcW w:w="839" w:type="dxa"/>
            <w:vAlign w:val="top"/>
          </w:tcPr>
          <w:p w14:paraId="5BF45A7D">
            <w:pPr>
              <w:rPr>
                <w:rFonts w:ascii="Arial"/>
                <w:sz w:val="21"/>
              </w:rPr>
            </w:pPr>
          </w:p>
        </w:tc>
        <w:tc>
          <w:tcPr>
            <w:tcW w:w="1563" w:type="dxa"/>
            <w:vAlign w:val="top"/>
          </w:tcPr>
          <w:p w14:paraId="28AC5737">
            <w:pPr>
              <w:rPr>
                <w:rFonts w:ascii="Arial"/>
                <w:sz w:val="21"/>
              </w:rPr>
            </w:pPr>
          </w:p>
        </w:tc>
      </w:tr>
      <w:tr w14:paraId="4A20C1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trPr>
        <w:tc>
          <w:tcPr>
            <w:tcW w:w="654" w:type="dxa"/>
            <w:vAlign w:val="top"/>
          </w:tcPr>
          <w:p w14:paraId="62695387">
            <w:pPr>
              <w:rPr>
                <w:rFonts w:ascii="Arial"/>
                <w:sz w:val="21"/>
              </w:rPr>
            </w:pPr>
          </w:p>
        </w:tc>
        <w:tc>
          <w:tcPr>
            <w:tcW w:w="2177" w:type="dxa"/>
            <w:vAlign w:val="top"/>
          </w:tcPr>
          <w:p w14:paraId="242473B8">
            <w:pPr>
              <w:rPr>
                <w:rFonts w:ascii="Arial"/>
                <w:sz w:val="21"/>
              </w:rPr>
            </w:pPr>
          </w:p>
        </w:tc>
        <w:tc>
          <w:tcPr>
            <w:tcW w:w="1079" w:type="dxa"/>
            <w:vAlign w:val="top"/>
          </w:tcPr>
          <w:p w14:paraId="39CC8339">
            <w:pPr>
              <w:rPr>
                <w:rFonts w:ascii="Arial"/>
                <w:sz w:val="21"/>
              </w:rPr>
            </w:pPr>
          </w:p>
        </w:tc>
        <w:tc>
          <w:tcPr>
            <w:tcW w:w="1079" w:type="dxa"/>
            <w:vAlign w:val="top"/>
          </w:tcPr>
          <w:p w14:paraId="77571776">
            <w:pPr>
              <w:rPr>
                <w:rFonts w:ascii="Arial"/>
                <w:sz w:val="21"/>
              </w:rPr>
            </w:pPr>
          </w:p>
        </w:tc>
        <w:tc>
          <w:tcPr>
            <w:tcW w:w="1148" w:type="dxa"/>
            <w:vAlign w:val="top"/>
          </w:tcPr>
          <w:p w14:paraId="2A4F54CA">
            <w:pPr>
              <w:rPr>
                <w:rFonts w:ascii="Arial"/>
                <w:sz w:val="21"/>
              </w:rPr>
            </w:pPr>
          </w:p>
        </w:tc>
        <w:tc>
          <w:tcPr>
            <w:tcW w:w="839" w:type="dxa"/>
            <w:vAlign w:val="top"/>
          </w:tcPr>
          <w:p w14:paraId="7920DFD0">
            <w:pPr>
              <w:rPr>
                <w:rFonts w:ascii="Arial"/>
                <w:sz w:val="21"/>
              </w:rPr>
            </w:pPr>
          </w:p>
        </w:tc>
        <w:tc>
          <w:tcPr>
            <w:tcW w:w="1563" w:type="dxa"/>
            <w:vAlign w:val="top"/>
          </w:tcPr>
          <w:p w14:paraId="5D78D8B4">
            <w:pPr>
              <w:rPr>
                <w:rFonts w:ascii="Arial"/>
                <w:sz w:val="21"/>
              </w:rPr>
            </w:pPr>
          </w:p>
        </w:tc>
      </w:tr>
      <w:tr w14:paraId="02F9AC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9" w:hRule="atLeast"/>
        </w:trPr>
        <w:tc>
          <w:tcPr>
            <w:tcW w:w="654" w:type="dxa"/>
            <w:vAlign w:val="top"/>
          </w:tcPr>
          <w:p w14:paraId="51A84EC1">
            <w:pPr>
              <w:rPr>
                <w:rFonts w:ascii="Arial"/>
                <w:sz w:val="21"/>
              </w:rPr>
            </w:pPr>
          </w:p>
        </w:tc>
        <w:tc>
          <w:tcPr>
            <w:tcW w:w="2177" w:type="dxa"/>
            <w:vAlign w:val="top"/>
          </w:tcPr>
          <w:p w14:paraId="17C74CD2">
            <w:pPr>
              <w:rPr>
                <w:rFonts w:ascii="Arial"/>
                <w:sz w:val="21"/>
              </w:rPr>
            </w:pPr>
          </w:p>
        </w:tc>
        <w:tc>
          <w:tcPr>
            <w:tcW w:w="1079" w:type="dxa"/>
            <w:vAlign w:val="top"/>
          </w:tcPr>
          <w:p w14:paraId="6827F819">
            <w:pPr>
              <w:rPr>
                <w:rFonts w:ascii="Arial"/>
                <w:sz w:val="21"/>
              </w:rPr>
            </w:pPr>
          </w:p>
        </w:tc>
        <w:tc>
          <w:tcPr>
            <w:tcW w:w="1079" w:type="dxa"/>
            <w:vAlign w:val="top"/>
          </w:tcPr>
          <w:p w14:paraId="75C7048F">
            <w:pPr>
              <w:rPr>
                <w:rFonts w:ascii="Arial"/>
                <w:sz w:val="21"/>
              </w:rPr>
            </w:pPr>
          </w:p>
        </w:tc>
        <w:tc>
          <w:tcPr>
            <w:tcW w:w="1148" w:type="dxa"/>
            <w:vAlign w:val="top"/>
          </w:tcPr>
          <w:p w14:paraId="5A81E4F2">
            <w:pPr>
              <w:rPr>
                <w:rFonts w:ascii="Arial"/>
                <w:sz w:val="21"/>
              </w:rPr>
            </w:pPr>
          </w:p>
        </w:tc>
        <w:tc>
          <w:tcPr>
            <w:tcW w:w="839" w:type="dxa"/>
            <w:vAlign w:val="top"/>
          </w:tcPr>
          <w:p w14:paraId="293A34EC">
            <w:pPr>
              <w:rPr>
                <w:rFonts w:ascii="Arial"/>
                <w:sz w:val="21"/>
              </w:rPr>
            </w:pPr>
          </w:p>
        </w:tc>
        <w:tc>
          <w:tcPr>
            <w:tcW w:w="1563" w:type="dxa"/>
            <w:vAlign w:val="top"/>
          </w:tcPr>
          <w:p w14:paraId="24152837">
            <w:pPr>
              <w:rPr>
                <w:rFonts w:ascii="Arial"/>
                <w:sz w:val="21"/>
              </w:rPr>
            </w:pPr>
          </w:p>
        </w:tc>
      </w:tr>
      <w:tr w14:paraId="09CDD8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9" w:hRule="atLeast"/>
        </w:trPr>
        <w:tc>
          <w:tcPr>
            <w:tcW w:w="654" w:type="dxa"/>
            <w:vAlign w:val="top"/>
          </w:tcPr>
          <w:p w14:paraId="0F0B3FC3">
            <w:pPr>
              <w:rPr>
                <w:rFonts w:ascii="Arial"/>
                <w:sz w:val="21"/>
              </w:rPr>
            </w:pPr>
          </w:p>
        </w:tc>
        <w:tc>
          <w:tcPr>
            <w:tcW w:w="2177" w:type="dxa"/>
            <w:vAlign w:val="top"/>
          </w:tcPr>
          <w:p w14:paraId="66C0CDEB">
            <w:pPr>
              <w:rPr>
                <w:rFonts w:ascii="Arial"/>
                <w:sz w:val="21"/>
              </w:rPr>
            </w:pPr>
          </w:p>
        </w:tc>
        <w:tc>
          <w:tcPr>
            <w:tcW w:w="1079" w:type="dxa"/>
            <w:vAlign w:val="top"/>
          </w:tcPr>
          <w:p w14:paraId="44B7686A">
            <w:pPr>
              <w:rPr>
                <w:rFonts w:ascii="Arial"/>
                <w:sz w:val="21"/>
              </w:rPr>
            </w:pPr>
          </w:p>
        </w:tc>
        <w:tc>
          <w:tcPr>
            <w:tcW w:w="1079" w:type="dxa"/>
            <w:vAlign w:val="top"/>
          </w:tcPr>
          <w:p w14:paraId="57513BD2">
            <w:pPr>
              <w:rPr>
                <w:rFonts w:ascii="Arial"/>
                <w:sz w:val="21"/>
              </w:rPr>
            </w:pPr>
          </w:p>
        </w:tc>
        <w:tc>
          <w:tcPr>
            <w:tcW w:w="1148" w:type="dxa"/>
            <w:vAlign w:val="top"/>
          </w:tcPr>
          <w:p w14:paraId="68F2BBEA">
            <w:pPr>
              <w:rPr>
                <w:rFonts w:ascii="Arial"/>
                <w:sz w:val="21"/>
              </w:rPr>
            </w:pPr>
          </w:p>
        </w:tc>
        <w:tc>
          <w:tcPr>
            <w:tcW w:w="839" w:type="dxa"/>
            <w:vAlign w:val="top"/>
          </w:tcPr>
          <w:p w14:paraId="2E8592A8">
            <w:pPr>
              <w:rPr>
                <w:rFonts w:ascii="Arial"/>
                <w:sz w:val="21"/>
              </w:rPr>
            </w:pPr>
          </w:p>
        </w:tc>
        <w:tc>
          <w:tcPr>
            <w:tcW w:w="1563" w:type="dxa"/>
            <w:vAlign w:val="top"/>
          </w:tcPr>
          <w:p w14:paraId="282B26D7">
            <w:pPr>
              <w:rPr>
                <w:rFonts w:ascii="Arial"/>
                <w:sz w:val="21"/>
              </w:rPr>
            </w:pPr>
          </w:p>
        </w:tc>
      </w:tr>
      <w:tr w14:paraId="104F18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9" w:hRule="atLeast"/>
        </w:trPr>
        <w:tc>
          <w:tcPr>
            <w:tcW w:w="654" w:type="dxa"/>
            <w:vAlign w:val="top"/>
          </w:tcPr>
          <w:p w14:paraId="4A7412F9">
            <w:pPr>
              <w:rPr>
                <w:rFonts w:ascii="Arial"/>
                <w:sz w:val="21"/>
              </w:rPr>
            </w:pPr>
          </w:p>
        </w:tc>
        <w:tc>
          <w:tcPr>
            <w:tcW w:w="2177" w:type="dxa"/>
            <w:vAlign w:val="top"/>
          </w:tcPr>
          <w:p w14:paraId="6CFFBFA9">
            <w:pPr>
              <w:rPr>
                <w:rFonts w:ascii="Arial"/>
                <w:sz w:val="21"/>
              </w:rPr>
            </w:pPr>
          </w:p>
        </w:tc>
        <w:tc>
          <w:tcPr>
            <w:tcW w:w="1079" w:type="dxa"/>
            <w:vAlign w:val="top"/>
          </w:tcPr>
          <w:p w14:paraId="44DB3A5E">
            <w:pPr>
              <w:rPr>
                <w:rFonts w:ascii="Arial"/>
                <w:sz w:val="21"/>
              </w:rPr>
            </w:pPr>
          </w:p>
        </w:tc>
        <w:tc>
          <w:tcPr>
            <w:tcW w:w="1079" w:type="dxa"/>
            <w:vAlign w:val="top"/>
          </w:tcPr>
          <w:p w14:paraId="475C3B5D">
            <w:pPr>
              <w:rPr>
                <w:rFonts w:ascii="Arial"/>
                <w:sz w:val="21"/>
              </w:rPr>
            </w:pPr>
          </w:p>
        </w:tc>
        <w:tc>
          <w:tcPr>
            <w:tcW w:w="1148" w:type="dxa"/>
            <w:vAlign w:val="top"/>
          </w:tcPr>
          <w:p w14:paraId="3A8DA61D">
            <w:pPr>
              <w:rPr>
                <w:rFonts w:ascii="Arial"/>
                <w:sz w:val="21"/>
              </w:rPr>
            </w:pPr>
          </w:p>
        </w:tc>
        <w:tc>
          <w:tcPr>
            <w:tcW w:w="839" w:type="dxa"/>
            <w:vAlign w:val="top"/>
          </w:tcPr>
          <w:p w14:paraId="5BFDD148">
            <w:pPr>
              <w:rPr>
                <w:rFonts w:ascii="Arial"/>
                <w:sz w:val="21"/>
              </w:rPr>
            </w:pPr>
          </w:p>
        </w:tc>
        <w:tc>
          <w:tcPr>
            <w:tcW w:w="1563" w:type="dxa"/>
            <w:vAlign w:val="top"/>
          </w:tcPr>
          <w:p w14:paraId="6949FD7B">
            <w:pPr>
              <w:rPr>
                <w:rFonts w:ascii="Arial"/>
                <w:sz w:val="21"/>
              </w:rPr>
            </w:pPr>
          </w:p>
        </w:tc>
      </w:tr>
      <w:tr w14:paraId="08D6D9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9" w:hRule="atLeast"/>
        </w:trPr>
        <w:tc>
          <w:tcPr>
            <w:tcW w:w="654" w:type="dxa"/>
            <w:vAlign w:val="top"/>
          </w:tcPr>
          <w:p w14:paraId="63098E52">
            <w:pPr>
              <w:rPr>
                <w:rFonts w:ascii="Arial"/>
                <w:sz w:val="21"/>
              </w:rPr>
            </w:pPr>
          </w:p>
        </w:tc>
        <w:tc>
          <w:tcPr>
            <w:tcW w:w="2177" w:type="dxa"/>
            <w:vAlign w:val="top"/>
          </w:tcPr>
          <w:p w14:paraId="55B5F4EE">
            <w:pPr>
              <w:rPr>
                <w:rFonts w:ascii="Arial"/>
                <w:sz w:val="21"/>
              </w:rPr>
            </w:pPr>
          </w:p>
        </w:tc>
        <w:tc>
          <w:tcPr>
            <w:tcW w:w="1079" w:type="dxa"/>
            <w:vAlign w:val="top"/>
          </w:tcPr>
          <w:p w14:paraId="3DB31C37">
            <w:pPr>
              <w:rPr>
                <w:rFonts w:ascii="Arial"/>
                <w:sz w:val="21"/>
              </w:rPr>
            </w:pPr>
          </w:p>
        </w:tc>
        <w:tc>
          <w:tcPr>
            <w:tcW w:w="1079" w:type="dxa"/>
            <w:vAlign w:val="top"/>
          </w:tcPr>
          <w:p w14:paraId="32D9D13F">
            <w:pPr>
              <w:rPr>
                <w:rFonts w:ascii="Arial"/>
                <w:sz w:val="21"/>
              </w:rPr>
            </w:pPr>
          </w:p>
        </w:tc>
        <w:tc>
          <w:tcPr>
            <w:tcW w:w="1148" w:type="dxa"/>
            <w:vAlign w:val="top"/>
          </w:tcPr>
          <w:p w14:paraId="4C5EB242">
            <w:pPr>
              <w:rPr>
                <w:rFonts w:ascii="Arial"/>
                <w:sz w:val="21"/>
              </w:rPr>
            </w:pPr>
          </w:p>
        </w:tc>
        <w:tc>
          <w:tcPr>
            <w:tcW w:w="839" w:type="dxa"/>
            <w:vAlign w:val="top"/>
          </w:tcPr>
          <w:p w14:paraId="37FCD1A4">
            <w:pPr>
              <w:rPr>
                <w:rFonts w:ascii="Arial"/>
                <w:sz w:val="21"/>
              </w:rPr>
            </w:pPr>
          </w:p>
        </w:tc>
        <w:tc>
          <w:tcPr>
            <w:tcW w:w="1563" w:type="dxa"/>
            <w:vAlign w:val="top"/>
          </w:tcPr>
          <w:p w14:paraId="72C34E51">
            <w:pPr>
              <w:rPr>
                <w:rFonts w:ascii="Arial"/>
                <w:sz w:val="21"/>
              </w:rPr>
            </w:pPr>
          </w:p>
        </w:tc>
      </w:tr>
      <w:tr w14:paraId="6D6109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9" w:hRule="atLeast"/>
        </w:trPr>
        <w:tc>
          <w:tcPr>
            <w:tcW w:w="654" w:type="dxa"/>
            <w:vAlign w:val="top"/>
          </w:tcPr>
          <w:p w14:paraId="3FDB5369">
            <w:pPr>
              <w:rPr>
                <w:rFonts w:ascii="Arial"/>
                <w:sz w:val="21"/>
              </w:rPr>
            </w:pPr>
          </w:p>
        </w:tc>
        <w:tc>
          <w:tcPr>
            <w:tcW w:w="2177" w:type="dxa"/>
            <w:vAlign w:val="top"/>
          </w:tcPr>
          <w:p w14:paraId="496B178E">
            <w:pPr>
              <w:rPr>
                <w:rFonts w:ascii="Arial"/>
                <w:sz w:val="21"/>
              </w:rPr>
            </w:pPr>
          </w:p>
        </w:tc>
        <w:tc>
          <w:tcPr>
            <w:tcW w:w="1079" w:type="dxa"/>
            <w:vAlign w:val="top"/>
          </w:tcPr>
          <w:p w14:paraId="2ED29C7D">
            <w:pPr>
              <w:rPr>
                <w:rFonts w:ascii="Arial"/>
                <w:sz w:val="21"/>
              </w:rPr>
            </w:pPr>
          </w:p>
        </w:tc>
        <w:tc>
          <w:tcPr>
            <w:tcW w:w="1079" w:type="dxa"/>
            <w:vAlign w:val="top"/>
          </w:tcPr>
          <w:p w14:paraId="69851AE1">
            <w:pPr>
              <w:rPr>
                <w:rFonts w:ascii="Arial"/>
                <w:sz w:val="21"/>
              </w:rPr>
            </w:pPr>
          </w:p>
        </w:tc>
        <w:tc>
          <w:tcPr>
            <w:tcW w:w="1148" w:type="dxa"/>
            <w:vAlign w:val="top"/>
          </w:tcPr>
          <w:p w14:paraId="60B0B69D">
            <w:pPr>
              <w:rPr>
                <w:rFonts w:ascii="Arial"/>
                <w:sz w:val="21"/>
              </w:rPr>
            </w:pPr>
          </w:p>
        </w:tc>
        <w:tc>
          <w:tcPr>
            <w:tcW w:w="839" w:type="dxa"/>
            <w:vAlign w:val="top"/>
          </w:tcPr>
          <w:p w14:paraId="0BC96D7D">
            <w:pPr>
              <w:rPr>
                <w:rFonts w:ascii="Arial"/>
                <w:sz w:val="21"/>
              </w:rPr>
            </w:pPr>
          </w:p>
        </w:tc>
        <w:tc>
          <w:tcPr>
            <w:tcW w:w="1563" w:type="dxa"/>
            <w:vAlign w:val="top"/>
          </w:tcPr>
          <w:p w14:paraId="43281257">
            <w:pPr>
              <w:rPr>
                <w:rFonts w:ascii="Arial"/>
                <w:sz w:val="21"/>
              </w:rPr>
            </w:pPr>
          </w:p>
        </w:tc>
      </w:tr>
      <w:tr w14:paraId="761564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9" w:hRule="atLeast"/>
        </w:trPr>
        <w:tc>
          <w:tcPr>
            <w:tcW w:w="654" w:type="dxa"/>
            <w:vAlign w:val="top"/>
          </w:tcPr>
          <w:p w14:paraId="35D6EA5D">
            <w:pPr>
              <w:rPr>
                <w:rFonts w:ascii="Arial"/>
                <w:sz w:val="21"/>
              </w:rPr>
            </w:pPr>
          </w:p>
        </w:tc>
        <w:tc>
          <w:tcPr>
            <w:tcW w:w="2177" w:type="dxa"/>
            <w:vAlign w:val="top"/>
          </w:tcPr>
          <w:p w14:paraId="0CCBE0F9">
            <w:pPr>
              <w:rPr>
                <w:rFonts w:ascii="Arial"/>
                <w:sz w:val="21"/>
              </w:rPr>
            </w:pPr>
          </w:p>
        </w:tc>
        <w:tc>
          <w:tcPr>
            <w:tcW w:w="1079" w:type="dxa"/>
            <w:vAlign w:val="top"/>
          </w:tcPr>
          <w:p w14:paraId="5F76F324">
            <w:pPr>
              <w:rPr>
                <w:rFonts w:ascii="Arial"/>
                <w:sz w:val="21"/>
              </w:rPr>
            </w:pPr>
          </w:p>
        </w:tc>
        <w:tc>
          <w:tcPr>
            <w:tcW w:w="1079" w:type="dxa"/>
            <w:vAlign w:val="top"/>
          </w:tcPr>
          <w:p w14:paraId="527C76CD">
            <w:pPr>
              <w:rPr>
                <w:rFonts w:ascii="Arial"/>
                <w:sz w:val="21"/>
              </w:rPr>
            </w:pPr>
          </w:p>
        </w:tc>
        <w:tc>
          <w:tcPr>
            <w:tcW w:w="1148" w:type="dxa"/>
            <w:vAlign w:val="top"/>
          </w:tcPr>
          <w:p w14:paraId="399B8F0C">
            <w:pPr>
              <w:rPr>
                <w:rFonts w:ascii="Arial"/>
                <w:sz w:val="21"/>
              </w:rPr>
            </w:pPr>
          </w:p>
        </w:tc>
        <w:tc>
          <w:tcPr>
            <w:tcW w:w="839" w:type="dxa"/>
            <w:vAlign w:val="top"/>
          </w:tcPr>
          <w:p w14:paraId="22FBC70F">
            <w:pPr>
              <w:rPr>
                <w:rFonts w:ascii="Arial"/>
                <w:sz w:val="21"/>
              </w:rPr>
            </w:pPr>
          </w:p>
        </w:tc>
        <w:tc>
          <w:tcPr>
            <w:tcW w:w="1563" w:type="dxa"/>
            <w:vAlign w:val="top"/>
          </w:tcPr>
          <w:p w14:paraId="3C73D720">
            <w:pPr>
              <w:rPr>
                <w:rFonts w:ascii="Arial"/>
                <w:sz w:val="21"/>
              </w:rPr>
            </w:pPr>
          </w:p>
        </w:tc>
      </w:tr>
      <w:tr w14:paraId="14B913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4" w:hRule="atLeast"/>
        </w:trPr>
        <w:tc>
          <w:tcPr>
            <w:tcW w:w="654" w:type="dxa"/>
            <w:vAlign w:val="top"/>
          </w:tcPr>
          <w:p w14:paraId="3B1867E4">
            <w:pPr>
              <w:rPr>
                <w:rFonts w:ascii="Arial"/>
                <w:sz w:val="21"/>
              </w:rPr>
            </w:pPr>
          </w:p>
        </w:tc>
        <w:tc>
          <w:tcPr>
            <w:tcW w:w="2177" w:type="dxa"/>
            <w:vAlign w:val="top"/>
          </w:tcPr>
          <w:p w14:paraId="1FF87F36">
            <w:pPr>
              <w:spacing w:line="299" w:lineRule="auto"/>
              <w:rPr>
                <w:rFonts w:ascii="Arial"/>
                <w:sz w:val="21"/>
              </w:rPr>
            </w:pPr>
          </w:p>
          <w:p w14:paraId="14EB9E50">
            <w:pPr>
              <w:pStyle w:val="6"/>
              <w:spacing w:before="68" w:line="221" w:lineRule="auto"/>
              <w:ind w:left="870"/>
            </w:pPr>
            <w:r>
              <w:rPr>
                <w:spacing w:val="-3"/>
              </w:rPr>
              <w:t>合计</w:t>
            </w:r>
          </w:p>
        </w:tc>
        <w:tc>
          <w:tcPr>
            <w:tcW w:w="1079" w:type="dxa"/>
            <w:vAlign w:val="top"/>
          </w:tcPr>
          <w:p w14:paraId="65944A5C">
            <w:pPr>
              <w:spacing w:line="408" w:lineRule="auto"/>
              <w:rPr>
                <w:rFonts w:ascii="Arial"/>
                <w:sz w:val="21"/>
              </w:rPr>
            </w:pPr>
          </w:p>
          <w:p w14:paraId="5DD50ECC">
            <w:pPr>
              <w:pStyle w:val="6"/>
              <w:spacing w:before="52" w:line="123" w:lineRule="exact"/>
              <w:ind w:left="454"/>
              <w:rPr>
                <w:sz w:val="16"/>
                <w:szCs w:val="16"/>
              </w:rPr>
            </w:pPr>
            <w:r>
              <w:rPr>
                <w:position w:val="-3"/>
                <w:sz w:val="16"/>
                <w:szCs w:val="16"/>
              </w:rPr>
              <w:t>一</w:t>
            </w:r>
          </w:p>
        </w:tc>
        <w:tc>
          <w:tcPr>
            <w:tcW w:w="1079" w:type="dxa"/>
            <w:vAlign w:val="top"/>
          </w:tcPr>
          <w:p w14:paraId="17F9A968">
            <w:pPr>
              <w:spacing w:line="440" w:lineRule="auto"/>
              <w:rPr>
                <w:rFonts w:ascii="Arial"/>
                <w:sz w:val="21"/>
              </w:rPr>
            </w:pPr>
          </w:p>
          <w:p w14:paraId="4B7C3E0A">
            <w:pPr>
              <w:pStyle w:val="6"/>
              <w:spacing w:before="26" w:line="54" w:lineRule="exact"/>
              <w:ind w:left="515"/>
              <w:rPr>
                <w:sz w:val="8"/>
                <w:szCs w:val="8"/>
              </w:rPr>
            </w:pPr>
            <w:r>
              <w:rPr>
                <w:position w:val="-1"/>
                <w:sz w:val="8"/>
                <w:szCs w:val="8"/>
              </w:rPr>
              <w:t>—</w:t>
            </w:r>
          </w:p>
        </w:tc>
        <w:tc>
          <w:tcPr>
            <w:tcW w:w="1148" w:type="dxa"/>
            <w:vAlign w:val="top"/>
          </w:tcPr>
          <w:p w14:paraId="2AC90282">
            <w:pPr>
              <w:rPr>
                <w:rFonts w:ascii="Arial"/>
                <w:sz w:val="21"/>
              </w:rPr>
            </w:pPr>
          </w:p>
        </w:tc>
        <w:tc>
          <w:tcPr>
            <w:tcW w:w="839" w:type="dxa"/>
            <w:vAlign w:val="top"/>
          </w:tcPr>
          <w:p w14:paraId="6EEE5628">
            <w:pPr>
              <w:spacing w:line="408" w:lineRule="auto"/>
              <w:rPr>
                <w:rFonts w:ascii="Arial"/>
                <w:sz w:val="21"/>
              </w:rPr>
            </w:pPr>
          </w:p>
          <w:p w14:paraId="490B341F">
            <w:pPr>
              <w:pStyle w:val="6"/>
              <w:spacing w:before="52" w:line="123" w:lineRule="exact"/>
              <w:ind w:left="337"/>
              <w:rPr>
                <w:sz w:val="16"/>
                <w:szCs w:val="16"/>
              </w:rPr>
            </w:pPr>
            <w:r>
              <w:rPr>
                <w:position w:val="-3"/>
                <w:sz w:val="16"/>
                <w:szCs w:val="16"/>
              </w:rPr>
              <w:t>一</w:t>
            </w:r>
          </w:p>
        </w:tc>
        <w:tc>
          <w:tcPr>
            <w:tcW w:w="1563" w:type="dxa"/>
            <w:vAlign w:val="top"/>
          </w:tcPr>
          <w:p w14:paraId="086849ED">
            <w:pPr>
              <w:rPr>
                <w:rFonts w:ascii="Arial"/>
                <w:sz w:val="21"/>
              </w:rPr>
            </w:pPr>
          </w:p>
        </w:tc>
      </w:tr>
    </w:tbl>
    <w:p w14:paraId="71415440">
      <w:pPr>
        <w:spacing w:line="251" w:lineRule="auto"/>
        <w:rPr>
          <w:rFonts w:ascii="Arial"/>
          <w:sz w:val="21"/>
        </w:rPr>
      </w:pPr>
    </w:p>
    <w:p w14:paraId="374EC22F">
      <w:pPr>
        <w:spacing w:line="251" w:lineRule="auto"/>
        <w:rPr>
          <w:rFonts w:ascii="Arial"/>
          <w:sz w:val="21"/>
        </w:rPr>
      </w:pPr>
    </w:p>
    <w:p w14:paraId="22AFE055">
      <w:pPr>
        <w:pStyle w:val="2"/>
        <w:spacing w:before="65" w:line="251" w:lineRule="auto"/>
        <w:ind w:left="439" w:hanging="429"/>
        <w:rPr>
          <w:sz w:val="20"/>
          <w:szCs w:val="20"/>
        </w:rPr>
      </w:pPr>
      <w:r>
        <w:rPr>
          <w:spacing w:val="12"/>
          <w:sz w:val="20"/>
          <w:szCs w:val="20"/>
        </w:rPr>
        <w:t>注：此表项目名称、服务内容由招标人填写，编制招标控制价时，费率及金额由</w:t>
      </w:r>
      <w:r>
        <w:rPr>
          <w:spacing w:val="11"/>
          <w:sz w:val="20"/>
          <w:szCs w:val="20"/>
        </w:rPr>
        <w:t>招标人按有关计</w:t>
      </w:r>
      <w:r>
        <w:rPr>
          <w:sz w:val="20"/>
          <w:szCs w:val="20"/>
        </w:rPr>
        <w:t xml:space="preserve"> </w:t>
      </w:r>
      <w:r>
        <w:rPr>
          <w:spacing w:val="9"/>
          <w:sz w:val="20"/>
          <w:szCs w:val="20"/>
        </w:rPr>
        <w:t>价规定确定：投标时，费率及金额由投标人自主报价，计入投标总价中。</w:t>
      </w:r>
    </w:p>
    <w:p w14:paraId="26F1089C">
      <w:pPr>
        <w:spacing w:line="251" w:lineRule="auto"/>
        <w:rPr>
          <w:sz w:val="20"/>
          <w:szCs w:val="20"/>
        </w:rPr>
        <w:sectPr>
          <w:footerReference r:id="rId313" w:type="default"/>
          <w:pgSz w:w="11910" w:h="16840"/>
          <w:pgMar w:top="400" w:right="1540" w:bottom="1024" w:left="1460" w:header="0" w:footer="889" w:gutter="0"/>
          <w:cols w:space="720" w:num="1"/>
        </w:sectPr>
      </w:pPr>
    </w:p>
    <w:p w14:paraId="643A008A">
      <w:pPr>
        <w:spacing w:line="259" w:lineRule="auto"/>
        <w:rPr>
          <w:rFonts w:ascii="Arial"/>
          <w:sz w:val="21"/>
        </w:rPr>
      </w:pPr>
    </w:p>
    <w:p w14:paraId="37A304A8">
      <w:pPr>
        <w:spacing w:line="259" w:lineRule="auto"/>
        <w:rPr>
          <w:rFonts w:ascii="Arial"/>
          <w:sz w:val="21"/>
        </w:rPr>
      </w:pPr>
    </w:p>
    <w:p w14:paraId="461B992E">
      <w:pPr>
        <w:spacing w:line="259" w:lineRule="auto"/>
        <w:rPr>
          <w:rFonts w:ascii="Arial"/>
          <w:sz w:val="21"/>
        </w:rPr>
      </w:pPr>
    </w:p>
    <w:p w14:paraId="31381AAF">
      <w:pPr>
        <w:spacing w:line="259" w:lineRule="auto"/>
        <w:rPr>
          <w:rFonts w:ascii="Arial"/>
          <w:sz w:val="21"/>
        </w:rPr>
      </w:pPr>
    </w:p>
    <w:p w14:paraId="3F559071">
      <w:pPr>
        <w:spacing w:line="259" w:lineRule="auto"/>
        <w:rPr>
          <w:rFonts w:ascii="Arial"/>
          <w:sz w:val="21"/>
        </w:rPr>
      </w:pPr>
    </w:p>
    <w:p w14:paraId="14001374">
      <w:pPr>
        <w:spacing w:before="81" w:line="221" w:lineRule="auto"/>
        <w:ind w:left="413"/>
        <w:outlineLvl w:val="2"/>
        <w:rPr>
          <w:rFonts w:ascii="黑体" w:hAnsi="黑体" w:eastAsia="黑体" w:cs="黑体"/>
          <w:sz w:val="25"/>
          <w:szCs w:val="25"/>
        </w:rPr>
      </w:pPr>
      <w:bookmarkStart w:id="303" w:name="bookmark205"/>
      <w:bookmarkEnd w:id="303"/>
      <w:bookmarkStart w:id="304" w:name="bookmark334"/>
      <w:bookmarkEnd w:id="304"/>
      <w:r>
        <w:rPr>
          <w:rFonts w:ascii="黑体" w:hAnsi="黑体" w:eastAsia="黑体" w:cs="黑体"/>
          <w:b/>
          <w:bCs/>
          <w:spacing w:val="-3"/>
          <w:sz w:val="25"/>
          <w:szCs w:val="25"/>
        </w:rPr>
        <w:t>4.13规费、税金项目计价表</w:t>
      </w:r>
    </w:p>
    <w:p w14:paraId="6124B8FC">
      <w:pPr>
        <w:spacing w:line="377" w:lineRule="auto"/>
        <w:rPr>
          <w:rFonts w:ascii="Arial"/>
          <w:sz w:val="21"/>
        </w:rPr>
      </w:pPr>
    </w:p>
    <w:p w14:paraId="7F399F08">
      <w:pPr>
        <w:spacing w:before="91" w:line="221" w:lineRule="auto"/>
        <w:ind w:left="3023"/>
        <w:rPr>
          <w:rFonts w:ascii="黑体" w:hAnsi="黑体" w:eastAsia="黑体" w:cs="黑体"/>
          <w:sz w:val="28"/>
          <w:szCs w:val="28"/>
        </w:rPr>
      </w:pPr>
      <w:r>
        <w:rPr>
          <w:rFonts w:ascii="黑体" w:hAnsi="黑体" w:eastAsia="黑体" w:cs="黑体"/>
          <w:b/>
          <w:bCs/>
          <w:spacing w:val="1"/>
          <w:sz w:val="28"/>
          <w:szCs w:val="28"/>
        </w:rPr>
        <w:t>规费、税金项目计价表</w:t>
      </w:r>
    </w:p>
    <w:p w14:paraId="18D2AFCC">
      <w:pPr>
        <w:spacing w:line="275" w:lineRule="auto"/>
        <w:rPr>
          <w:rFonts w:ascii="Arial"/>
          <w:sz w:val="21"/>
        </w:rPr>
      </w:pPr>
    </w:p>
    <w:p w14:paraId="3E00FA29">
      <w:pPr>
        <w:spacing w:line="276" w:lineRule="auto"/>
        <w:rPr>
          <w:rFonts w:ascii="Arial"/>
          <w:sz w:val="21"/>
        </w:rPr>
      </w:pPr>
    </w:p>
    <w:p w14:paraId="0679240D">
      <w:pPr>
        <w:pStyle w:val="2"/>
        <w:spacing w:before="74" w:line="197" w:lineRule="auto"/>
        <w:rPr>
          <w:sz w:val="23"/>
          <w:szCs w:val="23"/>
        </w:rPr>
      </w:pPr>
      <w:r>
        <w:rPr>
          <w:sz w:val="23"/>
          <w:szCs w:val="23"/>
        </w:rPr>
        <w:t xml:space="preserve">工程名称：                     标段名称：      </w:t>
      </w:r>
      <w:r>
        <w:rPr>
          <w:spacing w:val="-1"/>
          <w:sz w:val="23"/>
          <w:szCs w:val="23"/>
        </w:rPr>
        <w:t xml:space="preserve">         第 页 共</w:t>
      </w:r>
      <w:r>
        <w:rPr>
          <w:spacing w:val="23"/>
          <w:sz w:val="23"/>
          <w:szCs w:val="23"/>
        </w:rPr>
        <w:t xml:space="preserve"> </w:t>
      </w:r>
      <w:r>
        <w:rPr>
          <w:spacing w:val="-1"/>
          <w:sz w:val="23"/>
          <w:szCs w:val="23"/>
        </w:rPr>
        <w:t>页</w:t>
      </w:r>
    </w:p>
    <w:tbl>
      <w:tblPr>
        <w:tblStyle w:val="5"/>
        <w:tblW w:w="8529" w:type="dxa"/>
        <w:tblInd w:w="16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84"/>
        <w:gridCol w:w="1788"/>
        <w:gridCol w:w="1798"/>
        <w:gridCol w:w="1218"/>
        <w:gridCol w:w="1368"/>
        <w:gridCol w:w="1373"/>
      </w:tblGrid>
      <w:tr w14:paraId="08C9D3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4" w:hRule="atLeast"/>
        </w:trPr>
        <w:tc>
          <w:tcPr>
            <w:tcW w:w="984" w:type="dxa"/>
            <w:vAlign w:val="top"/>
          </w:tcPr>
          <w:p w14:paraId="52D282FD">
            <w:pPr>
              <w:pStyle w:val="6"/>
              <w:spacing w:before="284" w:line="221" w:lineRule="auto"/>
              <w:ind w:left="275"/>
            </w:pPr>
            <w:r>
              <w:rPr>
                <w:spacing w:val="6"/>
              </w:rPr>
              <w:t>序号</w:t>
            </w:r>
          </w:p>
        </w:tc>
        <w:tc>
          <w:tcPr>
            <w:tcW w:w="1788" w:type="dxa"/>
            <w:vAlign w:val="top"/>
          </w:tcPr>
          <w:p w14:paraId="67CFF47D">
            <w:pPr>
              <w:pStyle w:val="6"/>
              <w:spacing w:before="284" w:line="220" w:lineRule="auto"/>
              <w:ind w:left="461"/>
            </w:pPr>
            <w:r>
              <w:rPr>
                <w:spacing w:val="2"/>
              </w:rPr>
              <w:t>项目名称</w:t>
            </w:r>
          </w:p>
        </w:tc>
        <w:tc>
          <w:tcPr>
            <w:tcW w:w="1798" w:type="dxa"/>
            <w:vAlign w:val="top"/>
          </w:tcPr>
          <w:p w14:paraId="5226B0CD">
            <w:pPr>
              <w:pStyle w:val="6"/>
              <w:spacing w:before="283" w:line="219" w:lineRule="auto"/>
              <w:ind w:left="473"/>
            </w:pPr>
            <w:r>
              <w:rPr>
                <w:spacing w:val="-2"/>
              </w:rPr>
              <w:t>计算基础</w:t>
            </w:r>
          </w:p>
        </w:tc>
        <w:tc>
          <w:tcPr>
            <w:tcW w:w="1218" w:type="dxa"/>
            <w:vAlign w:val="top"/>
          </w:tcPr>
          <w:p w14:paraId="4C6DD1CC">
            <w:pPr>
              <w:pStyle w:val="6"/>
              <w:spacing w:before="283" w:line="219" w:lineRule="auto"/>
              <w:ind w:left="184"/>
            </w:pPr>
            <w:r>
              <w:rPr>
                <w:spacing w:val="-2"/>
              </w:rPr>
              <w:t>计算基数</w:t>
            </w:r>
          </w:p>
        </w:tc>
        <w:tc>
          <w:tcPr>
            <w:tcW w:w="1368" w:type="dxa"/>
            <w:vAlign w:val="top"/>
          </w:tcPr>
          <w:p w14:paraId="3442F7A6">
            <w:pPr>
              <w:pStyle w:val="6"/>
              <w:spacing w:before="283" w:line="219" w:lineRule="auto"/>
              <w:ind w:left="237"/>
            </w:pPr>
            <w:r>
              <w:rPr>
                <w:spacing w:val="8"/>
              </w:rPr>
              <w:t>费率(%)</w:t>
            </w:r>
          </w:p>
        </w:tc>
        <w:tc>
          <w:tcPr>
            <w:tcW w:w="1373" w:type="dxa"/>
            <w:vAlign w:val="top"/>
          </w:tcPr>
          <w:p w14:paraId="1786A9AC">
            <w:pPr>
              <w:pStyle w:val="6"/>
              <w:spacing w:before="283" w:line="219" w:lineRule="auto"/>
              <w:ind w:left="149"/>
            </w:pPr>
            <w:r>
              <w:rPr>
                <w:spacing w:val="9"/>
              </w:rPr>
              <w:t>金额(元)</w:t>
            </w:r>
          </w:p>
        </w:tc>
      </w:tr>
      <w:tr w14:paraId="038506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9" w:hRule="atLeast"/>
        </w:trPr>
        <w:tc>
          <w:tcPr>
            <w:tcW w:w="984" w:type="dxa"/>
            <w:vAlign w:val="top"/>
          </w:tcPr>
          <w:p w14:paraId="26F5E446">
            <w:pPr>
              <w:spacing w:line="250" w:lineRule="auto"/>
              <w:rPr>
                <w:rFonts w:ascii="Arial"/>
                <w:sz w:val="21"/>
              </w:rPr>
            </w:pPr>
          </w:p>
          <w:p w14:paraId="033D2C6A">
            <w:pPr>
              <w:pStyle w:val="6"/>
              <w:spacing w:before="69" w:line="241" w:lineRule="auto"/>
              <w:ind w:left="424"/>
            </w:pPr>
            <w:r>
              <w:t>1</w:t>
            </w:r>
          </w:p>
        </w:tc>
        <w:tc>
          <w:tcPr>
            <w:tcW w:w="1788" w:type="dxa"/>
            <w:vAlign w:val="top"/>
          </w:tcPr>
          <w:p w14:paraId="25706FC8">
            <w:pPr>
              <w:pStyle w:val="6"/>
              <w:spacing w:before="300" w:line="220" w:lineRule="auto"/>
              <w:ind w:left="671"/>
            </w:pPr>
            <w:r>
              <w:rPr>
                <w:spacing w:val="6"/>
              </w:rPr>
              <w:t>规费</w:t>
            </w:r>
          </w:p>
        </w:tc>
        <w:tc>
          <w:tcPr>
            <w:tcW w:w="1798" w:type="dxa"/>
            <w:vAlign w:val="top"/>
          </w:tcPr>
          <w:p w14:paraId="51EF6106">
            <w:pPr>
              <w:pStyle w:val="6"/>
              <w:spacing w:before="298" w:line="219" w:lineRule="auto"/>
              <w:ind w:left="203"/>
            </w:pPr>
            <w:r>
              <w:rPr>
                <w:spacing w:val="2"/>
              </w:rPr>
              <w:t>人工费+机械费</w:t>
            </w:r>
          </w:p>
        </w:tc>
        <w:tc>
          <w:tcPr>
            <w:tcW w:w="1218" w:type="dxa"/>
            <w:vAlign w:val="top"/>
          </w:tcPr>
          <w:p w14:paraId="30F7C35F">
            <w:pPr>
              <w:rPr>
                <w:rFonts w:ascii="Arial"/>
                <w:sz w:val="21"/>
              </w:rPr>
            </w:pPr>
          </w:p>
        </w:tc>
        <w:tc>
          <w:tcPr>
            <w:tcW w:w="1368" w:type="dxa"/>
            <w:vAlign w:val="top"/>
          </w:tcPr>
          <w:p w14:paraId="0D7ABA2C">
            <w:pPr>
              <w:rPr>
                <w:rFonts w:ascii="Arial"/>
                <w:sz w:val="21"/>
              </w:rPr>
            </w:pPr>
          </w:p>
        </w:tc>
        <w:tc>
          <w:tcPr>
            <w:tcW w:w="1373" w:type="dxa"/>
            <w:vAlign w:val="top"/>
          </w:tcPr>
          <w:p w14:paraId="22E53157">
            <w:pPr>
              <w:rPr>
                <w:rFonts w:ascii="Arial"/>
                <w:sz w:val="21"/>
              </w:rPr>
            </w:pPr>
          </w:p>
        </w:tc>
      </w:tr>
      <w:tr w14:paraId="30C8E2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9" w:hRule="atLeast"/>
        </w:trPr>
        <w:tc>
          <w:tcPr>
            <w:tcW w:w="984" w:type="dxa"/>
            <w:vAlign w:val="top"/>
          </w:tcPr>
          <w:p w14:paraId="433248B8">
            <w:pPr>
              <w:pStyle w:val="6"/>
              <w:spacing w:before="291" w:line="239" w:lineRule="auto"/>
              <w:ind w:left="325"/>
            </w:pPr>
            <w:r>
              <w:rPr>
                <w:spacing w:val="-6"/>
              </w:rPr>
              <w:t>1.1</w:t>
            </w:r>
          </w:p>
        </w:tc>
        <w:tc>
          <w:tcPr>
            <w:tcW w:w="1788" w:type="dxa"/>
            <w:vAlign w:val="top"/>
          </w:tcPr>
          <w:p w14:paraId="7D9417B9">
            <w:pPr>
              <w:pStyle w:val="6"/>
              <w:spacing w:before="269" w:line="219" w:lineRule="auto"/>
              <w:ind w:left="360"/>
            </w:pPr>
            <w:r>
              <w:rPr>
                <w:spacing w:val="2"/>
              </w:rPr>
              <w:t>社会保险费</w:t>
            </w:r>
          </w:p>
        </w:tc>
        <w:tc>
          <w:tcPr>
            <w:tcW w:w="1798" w:type="dxa"/>
            <w:vAlign w:val="top"/>
          </w:tcPr>
          <w:p w14:paraId="516D9623">
            <w:pPr>
              <w:pStyle w:val="6"/>
              <w:spacing w:before="269" w:line="219" w:lineRule="auto"/>
              <w:ind w:left="203"/>
            </w:pPr>
            <w:r>
              <w:rPr>
                <w:spacing w:val="2"/>
              </w:rPr>
              <w:t>人工费+机械费</w:t>
            </w:r>
          </w:p>
        </w:tc>
        <w:tc>
          <w:tcPr>
            <w:tcW w:w="1218" w:type="dxa"/>
            <w:vAlign w:val="top"/>
          </w:tcPr>
          <w:p w14:paraId="4ED59438">
            <w:pPr>
              <w:rPr>
                <w:rFonts w:ascii="Arial"/>
                <w:sz w:val="21"/>
              </w:rPr>
            </w:pPr>
          </w:p>
        </w:tc>
        <w:tc>
          <w:tcPr>
            <w:tcW w:w="1368" w:type="dxa"/>
            <w:vAlign w:val="top"/>
          </w:tcPr>
          <w:p w14:paraId="51922612">
            <w:pPr>
              <w:rPr>
                <w:rFonts w:ascii="Arial"/>
                <w:sz w:val="21"/>
              </w:rPr>
            </w:pPr>
          </w:p>
        </w:tc>
        <w:tc>
          <w:tcPr>
            <w:tcW w:w="1373" w:type="dxa"/>
            <w:vAlign w:val="top"/>
          </w:tcPr>
          <w:p w14:paraId="3FBA460A">
            <w:pPr>
              <w:rPr>
                <w:rFonts w:ascii="Arial"/>
                <w:sz w:val="21"/>
              </w:rPr>
            </w:pPr>
          </w:p>
        </w:tc>
      </w:tr>
      <w:tr w14:paraId="4DBE3C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9" w:hRule="atLeast"/>
        </w:trPr>
        <w:tc>
          <w:tcPr>
            <w:tcW w:w="984" w:type="dxa"/>
            <w:vAlign w:val="top"/>
          </w:tcPr>
          <w:p w14:paraId="368640CE">
            <w:pPr>
              <w:pStyle w:val="6"/>
              <w:spacing w:before="305" w:line="222" w:lineRule="auto"/>
              <w:ind w:left="325"/>
            </w:pPr>
            <w:r>
              <w:rPr>
                <w:spacing w:val="-11"/>
              </w:rPr>
              <w:t>(1)</w:t>
            </w:r>
          </w:p>
        </w:tc>
        <w:tc>
          <w:tcPr>
            <w:tcW w:w="1788" w:type="dxa"/>
            <w:vAlign w:val="top"/>
          </w:tcPr>
          <w:p w14:paraId="4E51917D">
            <w:pPr>
              <w:pStyle w:val="6"/>
              <w:spacing w:before="301" w:line="219" w:lineRule="auto"/>
              <w:ind w:left="360"/>
            </w:pPr>
            <w:r>
              <w:rPr>
                <w:spacing w:val="2"/>
              </w:rPr>
              <w:t>养老保险费</w:t>
            </w:r>
          </w:p>
        </w:tc>
        <w:tc>
          <w:tcPr>
            <w:tcW w:w="1798" w:type="dxa"/>
            <w:vAlign w:val="top"/>
          </w:tcPr>
          <w:p w14:paraId="4C258865">
            <w:pPr>
              <w:pStyle w:val="6"/>
              <w:spacing w:before="300" w:line="219" w:lineRule="auto"/>
              <w:ind w:left="203"/>
            </w:pPr>
            <w:r>
              <w:rPr>
                <w:spacing w:val="2"/>
              </w:rPr>
              <w:t>人工费+机械费</w:t>
            </w:r>
          </w:p>
        </w:tc>
        <w:tc>
          <w:tcPr>
            <w:tcW w:w="1218" w:type="dxa"/>
            <w:vAlign w:val="top"/>
          </w:tcPr>
          <w:p w14:paraId="5C3B0819">
            <w:pPr>
              <w:rPr>
                <w:rFonts w:ascii="Arial"/>
                <w:sz w:val="21"/>
              </w:rPr>
            </w:pPr>
          </w:p>
        </w:tc>
        <w:tc>
          <w:tcPr>
            <w:tcW w:w="1368" w:type="dxa"/>
            <w:vAlign w:val="top"/>
          </w:tcPr>
          <w:p w14:paraId="74AE9127">
            <w:pPr>
              <w:rPr>
                <w:rFonts w:ascii="Arial"/>
                <w:sz w:val="21"/>
              </w:rPr>
            </w:pPr>
          </w:p>
        </w:tc>
        <w:tc>
          <w:tcPr>
            <w:tcW w:w="1373" w:type="dxa"/>
            <w:vAlign w:val="top"/>
          </w:tcPr>
          <w:p w14:paraId="40EFDB06">
            <w:pPr>
              <w:rPr>
                <w:rFonts w:ascii="Arial"/>
                <w:sz w:val="21"/>
              </w:rPr>
            </w:pPr>
          </w:p>
        </w:tc>
      </w:tr>
      <w:tr w14:paraId="533E69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9" w:hRule="atLeast"/>
        </w:trPr>
        <w:tc>
          <w:tcPr>
            <w:tcW w:w="984" w:type="dxa"/>
            <w:vAlign w:val="top"/>
          </w:tcPr>
          <w:p w14:paraId="1A3E74B7">
            <w:pPr>
              <w:pStyle w:val="6"/>
              <w:spacing w:before="205" w:line="222" w:lineRule="auto"/>
              <w:ind w:left="325"/>
            </w:pPr>
            <w:r>
              <w:rPr>
                <w:spacing w:val="-11"/>
              </w:rPr>
              <w:t>(2)</w:t>
            </w:r>
          </w:p>
        </w:tc>
        <w:tc>
          <w:tcPr>
            <w:tcW w:w="1788" w:type="dxa"/>
            <w:vAlign w:val="top"/>
          </w:tcPr>
          <w:p w14:paraId="5FFB9703">
            <w:pPr>
              <w:pStyle w:val="6"/>
              <w:spacing w:before="203" w:line="220" w:lineRule="auto"/>
              <w:ind w:left="360"/>
            </w:pPr>
            <w:r>
              <w:rPr>
                <w:spacing w:val="2"/>
              </w:rPr>
              <w:t>失业保险费</w:t>
            </w:r>
          </w:p>
        </w:tc>
        <w:tc>
          <w:tcPr>
            <w:tcW w:w="1798" w:type="dxa"/>
            <w:vAlign w:val="top"/>
          </w:tcPr>
          <w:p w14:paraId="63DD4166">
            <w:pPr>
              <w:pStyle w:val="6"/>
              <w:spacing w:before="201" w:line="219" w:lineRule="auto"/>
              <w:ind w:left="203"/>
            </w:pPr>
            <w:r>
              <w:rPr>
                <w:spacing w:val="2"/>
              </w:rPr>
              <w:t>人工费+机械费</w:t>
            </w:r>
          </w:p>
        </w:tc>
        <w:tc>
          <w:tcPr>
            <w:tcW w:w="1218" w:type="dxa"/>
            <w:vAlign w:val="top"/>
          </w:tcPr>
          <w:p w14:paraId="3D745132">
            <w:pPr>
              <w:rPr>
                <w:rFonts w:ascii="Arial"/>
                <w:sz w:val="21"/>
              </w:rPr>
            </w:pPr>
          </w:p>
        </w:tc>
        <w:tc>
          <w:tcPr>
            <w:tcW w:w="1368" w:type="dxa"/>
            <w:vAlign w:val="top"/>
          </w:tcPr>
          <w:p w14:paraId="65A93618">
            <w:pPr>
              <w:rPr>
                <w:rFonts w:ascii="Arial"/>
                <w:sz w:val="21"/>
              </w:rPr>
            </w:pPr>
          </w:p>
        </w:tc>
        <w:tc>
          <w:tcPr>
            <w:tcW w:w="1373" w:type="dxa"/>
            <w:vAlign w:val="top"/>
          </w:tcPr>
          <w:p w14:paraId="45D6F69F">
            <w:pPr>
              <w:rPr>
                <w:rFonts w:ascii="Arial"/>
                <w:sz w:val="21"/>
              </w:rPr>
            </w:pPr>
          </w:p>
        </w:tc>
      </w:tr>
      <w:tr w14:paraId="76AC9F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9" w:hRule="atLeast"/>
        </w:trPr>
        <w:tc>
          <w:tcPr>
            <w:tcW w:w="984" w:type="dxa"/>
            <w:vAlign w:val="top"/>
          </w:tcPr>
          <w:p w14:paraId="28002506">
            <w:pPr>
              <w:pStyle w:val="6"/>
              <w:spacing w:before="207" w:line="222" w:lineRule="auto"/>
              <w:ind w:left="325"/>
            </w:pPr>
            <w:r>
              <w:rPr>
                <w:spacing w:val="-11"/>
              </w:rPr>
              <w:t>(3)</w:t>
            </w:r>
          </w:p>
        </w:tc>
        <w:tc>
          <w:tcPr>
            <w:tcW w:w="1788" w:type="dxa"/>
            <w:vAlign w:val="top"/>
          </w:tcPr>
          <w:p w14:paraId="5E82A8EC">
            <w:pPr>
              <w:pStyle w:val="6"/>
              <w:spacing w:before="204" w:line="220" w:lineRule="auto"/>
              <w:ind w:left="360"/>
            </w:pPr>
            <w:r>
              <w:rPr>
                <w:spacing w:val="2"/>
              </w:rPr>
              <w:t>医疗保险费</w:t>
            </w:r>
          </w:p>
        </w:tc>
        <w:tc>
          <w:tcPr>
            <w:tcW w:w="1798" w:type="dxa"/>
            <w:vAlign w:val="top"/>
          </w:tcPr>
          <w:p w14:paraId="2C749E73">
            <w:pPr>
              <w:pStyle w:val="6"/>
              <w:spacing w:before="202" w:line="219" w:lineRule="auto"/>
              <w:ind w:left="203"/>
            </w:pPr>
            <w:r>
              <w:rPr>
                <w:spacing w:val="2"/>
              </w:rPr>
              <w:t>人工费+机械费</w:t>
            </w:r>
          </w:p>
        </w:tc>
        <w:tc>
          <w:tcPr>
            <w:tcW w:w="1218" w:type="dxa"/>
            <w:vAlign w:val="top"/>
          </w:tcPr>
          <w:p w14:paraId="2794AA6E">
            <w:pPr>
              <w:rPr>
                <w:rFonts w:ascii="Arial"/>
                <w:sz w:val="21"/>
              </w:rPr>
            </w:pPr>
          </w:p>
        </w:tc>
        <w:tc>
          <w:tcPr>
            <w:tcW w:w="1368" w:type="dxa"/>
            <w:vAlign w:val="top"/>
          </w:tcPr>
          <w:p w14:paraId="12E1326E">
            <w:pPr>
              <w:rPr>
                <w:rFonts w:ascii="Arial"/>
                <w:sz w:val="21"/>
              </w:rPr>
            </w:pPr>
          </w:p>
        </w:tc>
        <w:tc>
          <w:tcPr>
            <w:tcW w:w="1373" w:type="dxa"/>
            <w:vAlign w:val="top"/>
          </w:tcPr>
          <w:p w14:paraId="7FE37B38">
            <w:pPr>
              <w:rPr>
                <w:rFonts w:ascii="Arial"/>
                <w:sz w:val="21"/>
              </w:rPr>
            </w:pPr>
          </w:p>
        </w:tc>
      </w:tr>
      <w:tr w14:paraId="4BB3FA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trPr>
        <w:tc>
          <w:tcPr>
            <w:tcW w:w="984" w:type="dxa"/>
            <w:vAlign w:val="top"/>
          </w:tcPr>
          <w:p w14:paraId="3DD493BF">
            <w:pPr>
              <w:pStyle w:val="6"/>
              <w:spacing w:before="217" w:line="222" w:lineRule="auto"/>
              <w:ind w:left="325"/>
            </w:pPr>
            <w:r>
              <w:rPr>
                <w:spacing w:val="-11"/>
              </w:rPr>
              <w:t>(4)</w:t>
            </w:r>
          </w:p>
        </w:tc>
        <w:tc>
          <w:tcPr>
            <w:tcW w:w="1788" w:type="dxa"/>
            <w:vAlign w:val="top"/>
          </w:tcPr>
          <w:p w14:paraId="708C835B">
            <w:pPr>
              <w:pStyle w:val="6"/>
              <w:spacing w:before="214" w:line="219" w:lineRule="auto"/>
              <w:ind w:left="360"/>
            </w:pPr>
            <w:r>
              <w:rPr>
                <w:spacing w:val="2"/>
              </w:rPr>
              <w:t>工伤保险费</w:t>
            </w:r>
          </w:p>
        </w:tc>
        <w:tc>
          <w:tcPr>
            <w:tcW w:w="1798" w:type="dxa"/>
            <w:vAlign w:val="top"/>
          </w:tcPr>
          <w:p w14:paraId="11B02045">
            <w:pPr>
              <w:pStyle w:val="6"/>
              <w:spacing w:before="213" w:line="219" w:lineRule="auto"/>
              <w:ind w:left="203"/>
            </w:pPr>
            <w:r>
              <w:rPr>
                <w:spacing w:val="2"/>
              </w:rPr>
              <w:t>人工费+机械费</w:t>
            </w:r>
          </w:p>
        </w:tc>
        <w:tc>
          <w:tcPr>
            <w:tcW w:w="1218" w:type="dxa"/>
            <w:vAlign w:val="top"/>
          </w:tcPr>
          <w:p w14:paraId="099E9DBC">
            <w:pPr>
              <w:rPr>
                <w:rFonts w:ascii="Arial"/>
                <w:sz w:val="21"/>
              </w:rPr>
            </w:pPr>
          </w:p>
        </w:tc>
        <w:tc>
          <w:tcPr>
            <w:tcW w:w="1368" w:type="dxa"/>
            <w:vAlign w:val="top"/>
          </w:tcPr>
          <w:p w14:paraId="09457322">
            <w:pPr>
              <w:rPr>
                <w:rFonts w:ascii="Arial"/>
                <w:sz w:val="21"/>
              </w:rPr>
            </w:pPr>
          </w:p>
        </w:tc>
        <w:tc>
          <w:tcPr>
            <w:tcW w:w="1373" w:type="dxa"/>
            <w:vAlign w:val="top"/>
          </w:tcPr>
          <w:p w14:paraId="4CB98183">
            <w:pPr>
              <w:rPr>
                <w:rFonts w:ascii="Arial"/>
                <w:sz w:val="21"/>
              </w:rPr>
            </w:pPr>
          </w:p>
        </w:tc>
      </w:tr>
      <w:tr w14:paraId="761FFF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trPr>
        <w:tc>
          <w:tcPr>
            <w:tcW w:w="984" w:type="dxa"/>
            <w:vAlign w:val="top"/>
          </w:tcPr>
          <w:p w14:paraId="0E4FE122">
            <w:pPr>
              <w:pStyle w:val="6"/>
              <w:spacing w:before="217" w:line="222" w:lineRule="auto"/>
              <w:ind w:left="325"/>
            </w:pPr>
            <w:r>
              <w:rPr>
                <w:spacing w:val="-11"/>
              </w:rPr>
              <w:t>(5)</w:t>
            </w:r>
          </w:p>
        </w:tc>
        <w:tc>
          <w:tcPr>
            <w:tcW w:w="1788" w:type="dxa"/>
            <w:vAlign w:val="top"/>
          </w:tcPr>
          <w:p w14:paraId="3883A8A0">
            <w:pPr>
              <w:pStyle w:val="6"/>
              <w:spacing w:before="214" w:line="219" w:lineRule="auto"/>
              <w:ind w:left="360"/>
            </w:pPr>
            <w:r>
              <w:rPr>
                <w:spacing w:val="2"/>
              </w:rPr>
              <w:t>生育保险费</w:t>
            </w:r>
          </w:p>
        </w:tc>
        <w:tc>
          <w:tcPr>
            <w:tcW w:w="1798" w:type="dxa"/>
            <w:vAlign w:val="top"/>
          </w:tcPr>
          <w:p w14:paraId="6642851D">
            <w:pPr>
              <w:pStyle w:val="6"/>
              <w:spacing w:before="213" w:line="219" w:lineRule="auto"/>
              <w:ind w:left="203"/>
            </w:pPr>
            <w:r>
              <w:rPr>
                <w:spacing w:val="2"/>
              </w:rPr>
              <w:t>人工费+机械费</w:t>
            </w:r>
          </w:p>
        </w:tc>
        <w:tc>
          <w:tcPr>
            <w:tcW w:w="1218" w:type="dxa"/>
            <w:vAlign w:val="top"/>
          </w:tcPr>
          <w:p w14:paraId="0E7F6B3A">
            <w:pPr>
              <w:rPr>
                <w:rFonts w:ascii="Arial"/>
                <w:sz w:val="21"/>
              </w:rPr>
            </w:pPr>
          </w:p>
        </w:tc>
        <w:tc>
          <w:tcPr>
            <w:tcW w:w="1368" w:type="dxa"/>
            <w:vAlign w:val="top"/>
          </w:tcPr>
          <w:p w14:paraId="3B186797">
            <w:pPr>
              <w:rPr>
                <w:rFonts w:ascii="Arial"/>
                <w:sz w:val="21"/>
              </w:rPr>
            </w:pPr>
          </w:p>
        </w:tc>
        <w:tc>
          <w:tcPr>
            <w:tcW w:w="1373" w:type="dxa"/>
            <w:vAlign w:val="top"/>
          </w:tcPr>
          <w:p w14:paraId="72443114">
            <w:pPr>
              <w:rPr>
                <w:rFonts w:ascii="Arial"/>
                <w:sz w:val="21"/>
              </w:rPr>
            </w:pPr>
          </w:p>
        </w:tc>
      </w:tr>
      <w:tr w14:paraId="536F9F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trPr>
        <w:tc>
          <w:tcPr>
            <w:tcW w:w="984" w:type="dxa"/>
            <w:vAlign w:val="top"/>
          </w:tcPr>
          <w:p w14:paraId="330D87EB">
            <w:pPr>
              <w:pStyle w:val="6"/>
              <w:spacing w:before="225" w:line="239" w:lineRule="auto"/>
              <w:ind w:left="325"/>
            </w:pPr>
            <w:r>
              <w:rPr>
                <w:spacing w:val="-6"/>
              </w:rPr>
              <w:t>1.2</w:t>
            </w:r>
          </w:p>
        </w:tc>
        <w:tc>
          <w:tcPr>
            <w:tcW w:w="1788" w:type="dxa"/>
            <w:vAlign w:val="top"/>
          </w:tcPr>
          <w:p w14:paraId="5D6C177B">
            <w:pPr>
              <w:pStyle w:val="6"/>
              <w:spacing w:before="205" w:line="220" w:lineRule="auto"/>
              <w:ind w:left="360"/>
            </w:pPr>
            <w:r>
              <w:rPr>
                <w:spacing w:val="-2"/>
              </w:rPr>
              <w:t>住房公积金</w:t>
            </w:r>
          </w:p>
        </w:tc>
        <w:tc>
          <w:tcPr>
            <w:tcW w:w="1798" w:type="dxa"/>
            <w:vAlign w:val="top"/>
          </w:tcPr>
          <w:p w14:paraId="58D7A446">
            <w:pPr>
              <w:pStyle w:val="6"/>
              <w:spacing w:before="203" w:line="219" w:lineRule="auto"/>
              <w:ind w:left="203"/>
            </w:pPr>
            <w:r>
              <w:rPr>
                <w:spacing w:val="2"/>
              </w:rPr>
              <w:t>人工费+机械费</w:t>
            </w:r>
          </w:p>
        </w:tc>
        <w:tc>
          <w:tcPr>
            <w:tcW w:w="1218" w:type="dxa"/>
            <w:vAlign w:val="top"/>
          </w:tcPr>
          <w:p w14:paraId="5C749778">
            <w:pPr>
              <w:rPr>
                <w:rFonts w:ascii="Arial"/>
                <w:sz w:val="21"/>
              </w:rPr>
            </w:pPr>
          </w:p>
        </w:tc>
        <w:tc>
          <w:tcPr>
            <w:tcW w:w="1368" w:type="dxa"/>
            <w:vAlign w:val="top"/>
          </w:tcPr>
          <w:p w14:paraId="71488073">
            <w:pPr>
              <w:rPr>
                <w:rFonts w:ascii="Arial"/>
                <w:sz w:val="21"/>
              </w:rPr>
            </w:pPr>
          </w:p>
        </w:tc>
        <w:tc>
          <w:tcPr>
            <w:tcW w:w="1373" w:type="dxa"/>
            <w:vAlign w:val="top"/>
          </w:tcPr>
          <w:p w14:paraId="787E3BF5">
            <w:pPr>
              <w:rPr>
                <w:rFonts w:ascii="Arial"/>
                <w:sz w:val="21"/>
              </w:rPr>
            </w:pPr>
          </w:p>
        </w:tc>
      </w:tr>
      <w:tr w14:paraId="6C8DFB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9" w:hRule="atLeast"/>
        </w:trPr>
        <w:tc>
          <w:tcPr>
            <w:tcW w:w="984" w:type="dxa"/>
            <w:vAlign w:val="top"/>
          </w:tcPr>
          <w:p w14:paraId="28501634">
            <w:pPr>
              <w:spacing w:line="295" w:lineRule="auto"/>
              <w:rPr>
                <w:rFonts w:ascii="Arial"/>
                <w:sz w:val="21"/>
              </w:rPr>
            </w:pPr>
          </w:p>
          <w:p w14:paraId="37A7F33C">
            <w:pPr>
              <w:pStyle w:val="6"/>
              <w:spacing w:before="68" w:line="239" w:lineRule="auto"/>
              <w:ind w:left="325"/>
            </w:pPr>
            <w:r>
              <w:rPr>
                <w:spacing w:val="-6"/>
              </w:rPr>
              <w:t>1.3</w:t>
            </w:r>
          </w:p>
        </w:tc>
        <w:tc>
          <w:tcPr>
            <w:tcW w:w="1788" w:type="dxa"/>
            <w:vAlign w:val="top"/>
          </w:tcPr>
          <w:p w14:paraId="170E9D9A">
            <w:pPr>
              <w:spacing w:line="275" w:lineRule="auto"/>
              <w:rPr>
                <w:rFonts w:ascii="Arial"/>
                <w:sz w:val="21"/>
              </w:rPr>
            </w:pPr>
          </w:p>
          <w:p w14:paraId="3F3A890E">
            <w:pPr>
              <w:pStyle w:val="6"/>
              <w:spacing w:before="68" w:line="220" w:lineRule="auto"/>
              <w:ind w:left="360"/>
            </w:pPr>
            <w:r>
              <w:rPr>
                <w:spacing w:val="2"/>
              </w:rPr>
              <w:t>工程排污费</w:t>
            </w:r>
          </w:p>
        </w:tc>
        <w:tc>
          <w:tcPr>
            <w:tcW w:w="1798" w:type="dxa"/>
            <w:vAlign w:val="top"/>
          </w:tcPr>
          <w:p w14:paraId="4C576AC3">
            <w:pPr>
              <w:spacing w:line="273" w:lineRule="auto"/>
              <w:rPr>
                <w:rFonts w:ascii="Arial"/>
                <w:sz w:val="21"/>
              </w:rPr>
            </w:pPr>
          </w:p>
          <w:p w14:paraId="0796DDB9">
            <w:pPr>
              <w:pStyle w:val="6"/>
              <w:spacing w:before="68" w:line="219" w:lineRule="auto"/>
              <w:ind w:left="203"/>
            </w:pPr>
            <w:r>
              <w:rPr>
                <w:spacing w:val="2"/>
              </w:rPr>
              <w:t>人工费+机械费</w:t>
            </w:r>
          </w:p>
        </w:tc>
        <w:tc>
          <w:tcPr>
            <w:tcW w:w="1218" w:type="dxa"/>
            <w:vAlign w:val="top"/>
          </w:tcPr>
          <w:p w14:paraId="5E885401">
            <w:pPr>
              <w:rPr>
                <w:rFonts w:ascii="Arial"/>
                <w:sz w:val="21"/>
              </w:rPr>
            </w:pPr>
          </w:p>
        </w:tc>
        <w:tc>
          <w:tcPr>
            <w:tcW w:w="1368" w:type="dxa"/>
            <w:vAlign w:val="top"/>
          </w:tcPr>
          <w:p w14:paraId="1144F000">
            <w:pPr>
              <w:rPr>
                <w:rFonts w:ascii="Arial"/>
                <w:sz w:val="21"/>
              </w:rPr>
            </w:pPr>
          </w:p>
        </w:tc>
        <w:tc>
          <w:tcPr>
            <w:tcW w:w="1373" w:type="dxa"/>
            <w:vAlign w:val="top"/>
          </w:tcPr>
          <w:p w14:paraId="3A28B295">
            <w:pPr>
              <w:rPr>
                <w:rFonts w:ascii="Arial"/>
                <w:sz w:val="21"/>
              </w:rPr>
            </w:pPr>
          </w:p>
        </w:tc>
      </w:tr>
      <w:tr w14:paraId="4857DB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9" w:hRule="atLeast"/>
        </w:trPr>
        <w:tc>
          <w:tcPr>
            <w:tcW w:w="984" w:type="dxa"/>
            <w:vAlign w:val="top"/>
          </w:tcPr>
          <w:p w14:paraId="29673886">
            <w:pPr>
              <w:rPr>
                <w:rFonts w:ascii="Arial"/>
                <w:sz w:val="21"/>
              </w:rPr>
            </w:pPr>
          </w:p>
        </w:tc>
        <w:tc>
          <w:tcPr>
            <w:tcW w:w="1788" w:type="dxa"/>
            <w:vAlign w:val="top"/>
          </w:tcPr>
          <w:p w14:paraId="5C9DDBC0">
            <w:pPr>
              <w:rPr>
                <w:rFonts w:ascii="Arial"/>
                <w:sz w:val="21"/>
              </w:rPr>
            </w:pPr>
          </w:p>
        </w:tc>
        <w:tc>
          <w:tcPr>
            <w:tcW w:w="1798" w:type="dxa"/>
            <w:vAlign w:val="top"/>
          </w:tcPr>
          <w:p w14:paraId="2D099E0A">
            <w:pPr>
              <w:rPr>
                <w:rFonts w:ascii="Arial"/>
                <w:sz w:val="21"/>
              </w:rPr>
            </w:pPr>
          </w:p>
        </w:tc>
        <w:tc>
          <w:tcPr>
            <w:tcW w:w="1218" w:type="dxa"/>
            <w:vAlign w:val="top"/>
          </w:tcPr>
          <w:p w14:paraId="765FF4F5">
            <w:pPr>
              <w:rPr>
                <w:rFonts w:ascii="Arial"/>
                <w:sz w:val="21"/>
              </w:rPr>
            </w:pPr>
          </w:p>
        </w:tc>
        <w:tc>
          <w:tcPr>
            <w:tcW w:w="1368" w:type="dxa"/>
            <w:vAlign w:val="top"/>
          </w:tcPr>
          <w:p w14:paraId="6548F47B">
            <w:pPr>
              <w:rPr>
                <w:rFonts w:ascii="Arial"/>
                <w:sz w:val="21"/>
              </w:rPr>
            </w:pPr>
          </w:p>
        </w:tc>
        <w:tc>
          <w:tcPr>
            <w:tcW w:w="1373" w:type="dxa"/>
            <w:vAlign w:val="top"/>
          </w:tcPr>
          <w:p w14:paraId="45CE0200">
            <w:pPr>
              <w:rPr>
                <w:rFonts w:ascii="Arial"/>
                <w:sz w:val="21"/>
              </w:rPr>
            </w:pPr>
          </w:p>
        </w:tc>
      </w:tr>
      <w:tr w14:paraId="20CACE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9" w:hRule="atLeast"/>
        </w:trPr>
        <w:tc>
          <w:tcPr>
            <w:tcW w:w="984" w:type="dxa"/>
            <w:vAlign w:val="top"/>
          </w:tcPr>
          <w:p w14:paraId="7BFA6EAA">
            <w:pPr>
              <w:spacing w:line="297" w:lineRule="auto"/>
              <w:rPr>
                <w:rFonts w:ascii="Arial"/>
                <w:sz w:val="21"/>
              </w:rPr>
            </w:pPr>
          </w:p>
          <w:p w14:paraId="7DE69E87">
            <w:pPr>
              <w:pStyle w:val="6"/>
              <w:spacing w:before="68" w:line="241" w:lineRule="auto"/>
              <w:ind w:left="424"/>
            </w:pPr>
            <w:r>
              <w:t>2</w:t>
            </w:r>
          </w:p>
        </w:tc>
        <w:tc>
          <w:tcPr>
            <w:tcW w:w="1788" w:type="dxa"/>
            <w:vAlign w:val="top"/>
          </w:tcPr>
          <w:p w14:paraId="61018280">
            <w:pPr>
              <w:spacing w:line="277" w:lineRule="auto"/>
              <w:rPr>
                <w:rFonts w:ascii="Arial"/>
                <w:sz w:val="21"/>
              </w:rPr>
            </w:pPr>
          </w:p>
          <w:p w14:paraId="188F67F2">
            <w:pPr>
              <w:pStyle w:val="6"/>
              <w:spacing w:before="68" w:line="220" w:lineRule="auto"/>
              <w:ind w:left="671"/>
            </w:pPr>
            <w:r>
              <w:rPr>
                <w:spacing w:val="-2"/>
              </w:rPr>
              <w:t>税金</w:t>
            </w:r>
          </w:p>
        </w:tc>
        <w:tc>
          <w:tcPr>
            <w:tcW w:w="1798" w:type="dxa"/>
            <w:vAlign w:val="top"/>
          </w:tcPr>
          <w:p w14:paraId="760F3F3B">
            <w:pPr>
              <w:pStyle w:val="6"/>
              <w:spacing w:before="77" w:line="232" w:lineRule="auto"/>
              <w:ind w:left="152" w:right="151"/>
              <w:jc w:val="both"/>
            </w:pPr>
            <w:r>
              <w:rPr>
                <w:spacing w:val="1"/>
              </w:rPr>
              <w:t>分部分项工程费</w:t>
            </w:r>
            <w:r>
              <w:rPr>
                <w:spacing w:val="5"/>
              </w:rPr>
              <w:t xml:space="preserve"> </w:t>
            </w:r>
            <w:r>
              <w:rPr>
                <w:spacing w:val="-2"/>
              </w:rPr>
              <w:t>+措施项目费+其</w:t>
            </w:r>
            <w:r>
              <w:rPr>
                <w:spacing w:val="5"/>
              </w:rPr>
              <w:t xml:space="preserve"> </w:t>
            </w:r>
            <w:r>
              <w:rPr>
                <w:spacing w:val="9"/>
              </w:rPr>
              <w:t>他项目费+规费</w:t>
            </w:r>
          </w:p>
        </w:tc>
        <w:tc>
          <w:tcPr>
            <w:tcW w:w="1218" w:type="dxa"/>
            <w:vAlign w:val="top"/>
          </w:tcPr>
          <w:p w14:paraId="46BC2590">
            <w:pPr>
              <w:rPr>
                <w:rFonts w:ascii="Arial"/>
                <w:sz w:val="21"/>
              </w:rPr>
            </w:pPr>
          </w:p>
        </w:tc>
        <w:tc>
          <w:tcPr>
            <w:tcW w:w="1368" w:type="dxa"/>
            <w:vAlign w:val="top"/>
          </w:tcPr>
          <w:p w14:paraId="17F9FF1E">
            <w:pPr>
              <w:rPr>
                <w:rFonts w:ascii="Arial"/>
                <w:sz w:val="21"/>
              </w:rPr>
            </w:pPr>
          </w:p>
        </w:tc>
        <w:tc>
          <w:tcPr>
            <w:tcW w:w="1373" w:type="dxa"/>
            <w:vAlign w:val="top"/>
          </w:tcPr>
          <w:p w14:paraId="64623B71">
            <w:pPr>
              <w:rPr>
                <w:rFonts w:ascii="Arial"/>
                <w:sz w:val="21"/>
              </w:rPr>
            </w:pPr>
          </w:p>
        </w:tc>
      </w:tr>
      <w:tr w14:paraId="0A6904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4" w:hRule="atLeast"/>
        </w:trPr>
        <w:tc>
          <w:tcPr>
            <w:tcW w:w="5788" w:type="dxa"/>
            <w:gridSpan w:val="4"/>
            <w:vAlign w:val="top"/>
          </w:tcPr>
          <w:p w14:paraId="33B227F3">
            <w:pPr>
              <w:spacing w:line="278" w:lineRule="auto"/>
              <w:rPr>
                <w:rFonts w:ascii="Arial"/>
                <w:sz w:val="21"/>
              </w:rPr>
            </w:pPr>
          </w:p>
          <w:p w14:paraId="1D11FD74">
            <w:pPr>
              <w:pStyle w:val="6"/>
              <w:spacing w:before="69" w:line="221" w:lineRule="auto"/>
              <w:ind w:left="2705"/>
            </w:pPr>
            <w:r>
              <w:rPr>
                <w:spacing w:val="-3"/>
              </w:rPr>
              <w:t>合计</w:t>
            </w:r>
          </w:p>
        </w:tc>
        <w:tc>
          <w:tcPr>
            <w:tcW w:w="1368" w:type="dxa"/>
            <w:vAlign w:val="top"/>
          </w:tcPr>
          <w:p w14:paraId="13B1E672">
            <w:pPr>
              <w:rPr>
                <w:rFonts w:ascii="Arial"/>
                <w:sz w:val="21"/>
              </w:rPr>
            </w:pPr>
          </w:p>
        </w:tc>
        <w:tc>
          <w:tcPr>
            <w:tcW w:w="1373" w:type="dxa"/>
            <w:vAlign w:val="top"/>
          </w:tcPr>
          <w:p w14:paraId="1976B06E">
            <w:pPr>
              <w:rPr>
                <w:rFonts w:ascii="Arial"/>
                <w:sz w:val="21"/>
              </w:rPr>
            </w:pPr>
          </w:p>
        </w:tc>
      </w:tr>
    </w:tbl>
    <w:p w14:paraId="014EC121">
      <w:pPr>
        <w:spacing w:line="248" w:lineRule="auto"/>
        <w:rPr>
          <w:rFonts w:ascii="Arial"/>
          <w:sz w:val="21"/>
        </w:rPr>
      </w:pPr>
    </w:p>
    <w:p w14:paraId="691ED626">
      <w:pPr>
        <w:spacing w:line="249" w:lineRule="auto"/>
        <w:rPr>
          <w:rFonts w:ascii="Arial"/>
          <w:sz w:val="21"/>
        </w:rPr>
      </w:pPr>
    </w:p>
    <w:p w14:paraId="2257B4AE">
      <w:pPr>
        <w:pStyle w:val="2"/>
        <w:spacing w:before="72" w:line="218" w:lineRule="auto"/>
        <w:ind w:left="10"/>
        <w:rPr>
          <w:sz w:val="22"/>
          <w:szCs w:val="22"/>
        </w:rPr>
      </w:pPr>
      <w:r>
        <w:rPr>
          <w:spacing w:val="3"/>
          <w:sz w:val="22"/>
          <w:szCs w:val="22"/>
        </w:rPr>
        <w:t xml:space="preserve">编制人(造价人员):                   </w:t>
      </w:r>
      <w:r>
        <w:rPr>
          <w:spacing w:val="2"/>
          <w:sz w:val="22"/>
          <w:szCs w:val="22"/>
        </w:rPr>
        <w:t xml:space="preserve">       复核人(造价工程师):</w:t>
      </w:r>
    </w:p>
    <w:p w14:paraId="77D23F02">
      <w:pPr>
        <w:spacing w:line="218" w:lineRule="auto"/>
        <w:rPr>
          <w:sz w:val="22"/>
          <w:szCs w:val="22"/>
        </w:rPr>
        <w:sectPr>
          <w:footerReference r:id="rId314" w:type="default"/>
          <w:pgSz w:w="11910" w:h="16840"/>
          <w:pgMar w:top="400" w:right="1745" w:bottom="1024" w:left="1460" w:header="0" w:footer="889" w:gutter="0"/>
          <w:cols w:space="720" w:num="1"/>
        </w:sectPr>
      </w:pPr>
    </w:p>
    <w:p w14:paraId="21E0853D">
      <w:pPr>
        <w:spacing w:line="259" w:lineRule="auto"/>
        <w:rPr>
          <w:rFonts w:ascii="Arial"/>
          <w:sz w:val="21"/>
        </w:rPr>
      </w:pPr>
    </w:p>
    <w:p w14:paraId="44CC2407">
      <w:pPr>
        <w:spacing w:line="259" w:lineRule="auto"/>
        <w:rPr>
          <w:rFonts w:ascii="Arial"/>
          <w:sz w:val="21"/>
        </w:rPr>
      </w:pPr>
    </w:p>
    <w:p w14:paraId="523AD499">
      <w:pPr>
        <w:spacing w:line="259" w:lineRule="auto"/>
        <w:rPr>
          <w:rFonts w:ascii="Arial"/>
          <w:sz w:val="21"/>
        </w:rPr>
      </w:pPr>
    </w:p>
    <w:p w14:paraId="6AD4A00A">
      <w:pPr>
        <w:spacing w:line="259" w:lineRule="auto"/>
        <w:rPr>
          <w:rFonts w:ascii="Arial"/>
          <w:sz w:val="21"/>
        </w:rPr>
      </w:pPr>
    </w:p>
    <w:p w14:paraId="75791666">
      <w:pPr>
        <w:spacing w:line="259" w:lineRule="auto"/>
        <w:rPr>
          <w:rFonts w:ascii="Arial"/>
          <w:sz w:val="21"/>
        </w:rPr>
      </w:pPr>
    </w:p>
    <w:p w14:paraId="579B2799">
      <w:pPr>
        <w:spacing w:before="81" w:line="221" w:lineRule="auto"/>
        <w:ind w:left="518"/>
        <w:outlineLvl w:val="2"/>
        <w:rPr>
          <w:rFonts w:ascii="黑体" w:hAnsi="黑体" w:eastAsia="黑体" w:cs="黑体"/>
          <w:sz w:val="25"/>
          <w:szCs w:val="25"/>
        </w:rPr>
      </w:pPr>
      <w:bookmarkStart w:id="305" w:name="bookmark206"/>
      <w:bookmarkEnd w:id="305"/>
      <w:bookmarkStart w:id="306" w:name="bookmark335"/>
      <w:bookmarkEnd w:id="306"/>
      <w:r>
        <w:rPr>
          <w:rFonts w:ascii="黑体" w:hAnsi="黑体" w:eastAsia="黑体" w:cs="黑体"/>
          <w:b/>
          <w:bCs/>
          <w:spacing w:val="-5"/>
          <w:sz w:val="25"/>
          <w:szCs w:val="25"/>
        </w:rPr>
        <w:t>4.14发包人提供材料和工程设备一览表</w:t>
      </w:r>
    </w:p>
    <w:p w14:paraId="4D230095">
      <w:pPr>
        <w:spacing w:line="477" w:lineRule="auto"/>
        <w:rPr>
          <w:rFonts w:ascii="Arial"/>
          <w:sz w:val="21"/>
        </w:rPr>
      </w:pPr>
    </w:p>
    <w:p w14:paraId="788A943C">
      <w:pPr>
        <w:spacing w:before="91" w:line="221" w:lineRule="auto"/>
        <w:ind w:left="2459"/>
        <w:rPr>
          <w:rFonts w:ascii="黑体" w:hAnsi="黑体" w:eastAsia="黑体" w:cs="黑体"/>
          <w:sz w:val="28"/>
          <w:szCs w:val="28"/>
        </w:rPr>
      </w:pPr>
      <w:r>
        <w:rPr>
          <w:rFonts w:ascii="黑体" w:hAnsi="黑体" w:eastAsia="黑体" w:cs="黑体"/>
          <w:b/>
          <w:bCs/>
          <w:spacing w:val="-1"/>
          <w:sz w:val="28"/>
          <w:szCs w:val="28"/>
        </w:rPr>
        <w:t>发包人提供材料和工程设备一览表</w:t>
      </w:r>
    </w:p>
    <w:p w14:paraId="6997D396">
      <w:pPr>
        <w:pStyle w:val="2"/>
        <w:spacing w:before="299" w:line="197" w:lineRule="auto"/>
        <w:ind w:left="115"/>
        <w:rPr>
          <w:sz w:val="23"/>
          <w:szCs w:val="23"/>
        </w:rPr>
      </w:pPr>
      <w:r>
        <w:rPr>
          <w:sz w:val="23"/>
          <w:szCs w:val="23"/>
        </w:rPr>
        <w:t xml:space="preserve">工程名称：                   </w:t>
      </w:r>
      <w:r>
        <w:rPr>
          <w:spacing w:val="-1"/>
          <w:sz w:val="23"/>
          <w:szCs w:val="23"/>
        </w:rPr>
        <w:t xml:space="preserve">  标段名称：</w:t>
      </w:r>
      <w:r>
        <w:rPr>
          <w:spacing w:val="3"/>
          <w:sz w:val="23"/>
          <w:szCs w:val="23"/>
        </w:rPr>
        <w:t xml:space="preserve">                </w:t>
      </w:r>
      <w:r>
        <w:rPr>
          <w:spacing w:val="-1"/>
          <w:sz w:val="23"/>
          <w:szCs w:val="23"/>
        </w:rPr>
        <w:t>第</w:t>
      </w:r>
      <w:r>
        <w:rPr>
          <w:spacing w:val="24"/>
          <w:sz w:val="23"/>
          <w:szCs w:val="23"/>
        </w:rPr>
        <w:t xml:space="preserve"> </w:t>
      </w:r>
      <w:r>
        <w:rPr>
          <w:spacing w:val="-1"/>
          <w:sz w:val="23"/>
          <w:szCs w:val="23"/>
        </w:rPr>
        <w:t>页 共</w:t>
      </w:r>
      <w:r>
        <w:rPr>
          <w:spacing w:val="23"/>
          <w:sz w:val="23"/>
          <w:szCs w:val="23"/>
        </w:rPr>
        <w:t xml:space="preserve"> </w:t>
      </w:r>
      <w:r>
        <w:rPr>
          <w:spacing w:val="-1"/>
          <w:sz w:val="23"/>
          <w:szCs w:val="23"/>
        </w:rPr>
        <w:t>页</w:t>
      </w:r>
    </w:p>
    <w:tbl>
      <w:tblPr>
        <w:tblStyle w:val="5"/>
        <w:tblW w:w="908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24"/>
        <w:gridCol w:w="1998"/>
        <w:gridCol w:w="889"/>
        <w:gridCol w:w="889"/>
        <w:gridCol w:w="849"/>
        <w:gridCol w:w="1368"/>
        <w:gridCol w:w="1558"/>
        <w:gridCol w:w="914"/>
      </w:tblGrid>
      <w:tr w14:paraId="4FBDF3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4" w:hRule="atLeast"/>
        </w:trPr>
        <w:tc>
          <w:tcPr>
            <w:tcW w:w="624" w:type="dxa"/>
            <w:vAlign w:val="top"/>
          </w:tcPr>
          <w:p w14:paraId="4F6623E6">
            <w:pPr>
              <w:spacing w:line="284" w:lineRule="auto"/>
              <w:rPr>
                <w:rFonts w:ascii="Arial"/>
                <w:sz w:val="21"/>
              </w:rPr>
            </w:pPr>
          </w:p>
          <w:p w14:paraId="4B7555EE">
            <w:pPr>
              <w:pStyle w:val="6"/>
              <w:spacing w:before="69" w:line="221" w:lineRule="auto"/>
              <w:ind w:left="75"/>
            </w:pPr>
            <w:r>
              <w:rPr>
                <w:spacing w:val="6"/>
              </w:rPr>
              <w:t>序号</w:t>
            </w:r>
          </w:p>
        </w:tc>
        <w:tc>
          <w:tcPr>
            <w:tcW w:w="1998" w:type="dxa"/>
            <w:vAlign w:val="top"/>
          </w:tcPr>
          <w:p w14:paraId="37B1CBD6">
            <w:pPr>
              <w:pStyle w:val="6"/>
              <w:spacing w:before="223" w:line="231" w:lineRule="auto"/>
              <w:ind w:left="150" w:right="143" w:firstLine="100"/>
            </w:pPr>
            <w:r>
              <w:rPr>
                <w:spacing w:val="5"/>
              </w:rPr>
              <w:t>材料(工程设备)</w:t>
            </w:r>
            <w:r>
              <w:rPr>
                <w:spacing w:val="4"/>
              </w:rPr>
              <w:t xml:space="preserve"> </w:t>
            </w:r>
            <w:r>
              <w:rPr>
                <w:spacing w:val="1"/>
              </w:rPr>
              <w:t>名称、规格、型号</w:t>
            </w:r>
          </w:p>
        </w:tc>
        <w:tc>
          <w:tcPr>
            <w:tcW w:w="889" w:type="dxa"/>
            <w:vAlign w:val="top"/>
          </w:tcPr>
          <w:p w14:paraId="1F974603">
            <w:pPr>
              <w:spacing w:line="284" w:lineRule="auto"/>
              <w:rPr>
                <w:rFonts w:ascii="Arial"/>
                <w:sz w:val="21"/>
              </w:rPr>
            </w:pPr>
          </w:p>
          <w:p w14:paraId="0A6E8543">
            <w:pPr>
              <w:pStyle w:val="6"/>
              <w:spacing w:before="68" w:line="220" w:lineRule="auto"/>
              <w:ind w:left="232"/>
            </w:pPr>
            <w:r>
              <w:rPr>
                <w:spacing w:val="-3"/>
              </w:rPr>
              <w:t>单位</w:t>
            </w:r>
          </w:p>
        </w:tc>
        <w:tc>
          <w:tcPr>
            <w:tcW w:w="889" w:type="dxa"/>
            <w:vAlign w:val="top"/>
          </w:tcPr>
          <w:p w14:paraId="087D69EE">
            <w:pPr>
              <w:spacing w:line="283" w:lineRule="auto"/>
              <w:rPr>
                <w:rFonts w:ascii="Arial"/>
                <w:sz w:val="21"/>
              </w:rPr>
            </w:pPr>
          </w:p>
          <w:p w14:paraId="1490B1BB">
            <w:pPr>
              <w:pStyle w:val="6"/>
              <w:spacing w:before="69" w:line="219" w:lineRule="auto"/>
              <w:ind w:left="233"/>
            </w:pPr>
            <w:r>
              <w:rPr>
                <w:spacing w:val="-3"/>
              </w:rPr>
              <w:t>数量</w:t>
            </w:r>
          </w:p>
        </w:tc>
        <w:tc>
          <w:tcPr>
            <w:tcW w:w="849" w:type="dxa"/>
            <w:vAlign w:val="top"/>
          </w:tcPr>
          <w:p w14:paraId="094C0F8D">
            <w:pPr>
              <w:pStyle w:val="6"/>
              <w:spacing w:before="211" w:line="218" w:lineRule="auto"/>
              <w:ind w:left="205"/>
            </w:pPr>
            <w:r>
              <w:rPr>
                <w:spacing w:val="-3"/>
              </w:rPr>
              <w:t>单价</w:t>
            </w:r>
          </w:p>
          <w:p w14:paraId="4883F069">
            <w:pPr>
              <w:pStyle w:val="6"/>
              <w:spacing w:before="24" w:line="220" w:lineRule="auto"/>
              <w:ind w:left="205"/>
            </w:pPr>
            <w:r>
              <w:rPr>
                <w:spacing w:val="15"/>
              </w:rPr>
              <w:t>(元)</w:t>
            </w:r>
          </w:p>
        </w:tc>
        <w:tc>
          <w:tcPr>
            <w:tcW w:w="1368" w:type="dxa"/>
            <w:vAlign w:val="top"/>
          </w:tcPr>
          <w:p w14:paraId="69058A77">
            <w:pPr>
              <w:pStyle w:val="6"/>
              <w:spacing w:before="213" w:line="242" w:lineRule="auto"/>
              <w:ind w:left="466" w:right="455"/>
            </w:pPr>
            <w:r>
              <w:rPr>
                <w:spacing w:val="8"/>
              </w:rPr>
              <w:t>交货</w:t>
            </w:r>
            <w:r>
              <w:t xml:space="preserve"> </w:t>
            </w:r>
            <w:r>
              <w:rPr>
                <w:spacing w:val="-3"/>
              </w:rPr>
              <w:t>方式</w:t>
            </w:r>
          </w:p>
        </w:tc>
        <w:tc>
          <w:tcPr>
            <w:tcW w:w="1558" w:type="dxa"/>
            <w:vAlign w:val="top"/>
          </w:tcPr>
          <w:p w14:paraId="2E91FDCC">
            <w:pPr>
              <w:pStyle w:val="6"/>
              <w:spacing w:before="222" w:line="221" w:lineRule="auto"/>
              <w:ind w:left="567" w:right="541"/>
            </w:pPr>
            <w:r>
              <w:rPr>
                <w:spacing w:val="-4"/>
              </w:rPr>
              <w:t>送达</w:t>
            </w:r>
            <w:r>
              <w:t xml:space="preserve"> </w:t>
            </w:r>
            <w:r>
              <w:rPr>
                <w:spacing w:val="9"/>
              </w:rPr>
              <w:t>地点</w:t>
            </w:r>
          </w:p>
        </w:tc>
        <w:tc>
          <w:tcPr>
            <w:tcW w:w="914" w:type="dxa"/>
            <w:vAlign w:val="top"/>
          </w:tcPr>
          <w:p w14:paraId="377BEF4E">
            <w:pPr>
              <w:spacing w:line="284" w:lineRule="auto"/>
              <w:rPr>
                <w:rFonts w:ascii="Arial"/>
                <w:sz w:val="21"/>
              </w:rPr>
            </w:pPr>
          </w:p>
          <w:p w14:paraId="663C1BDD">
            <w:pPr>
              <w:pStyle w:val="6"/>
              <w:spacing w:before="69" w:line="221" w:lineRule="auto"/>
              <w:ind w:left="280"/>
            </w:pPr>
            <w:r>
              <w:rPr>
                <w:spacing w:val="5"/>
              </w:rPr>
              <w:t>备注</w:t>
            </w:r>
          </w:p>
        </w:tc>
      </w:tr>
      <w:tr w14:paraId="25C2EE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9" w:hRule="atLeast"/>
        </w:trPr>
        <w:tc>
          <w:tcPr>
            <w:tcW w:w="624" w:type="dxa"/>
            <w:vAlign w:val="top"/>
          </w:tcPr>
          <w:p w14:paraId="6CB5A4C5">
            <w:pPr>
              <w:rPr>
                <w:rFonts w:ascii="Arial"/>
                <w:sz w:val="21"/>
              </w:rPr>
            </w:pPr>
          </w:p>
        </w:tc>
        <w:tc>
          <w:tcPr>
            <w:tcW w:w="1998" w:type="dxa"/>
            <w:vAlign w:val="top"/>
          </w:tcPr>
          <w:p w14:paraId="10EB2045">
            <w:pPr>
              <w:rPr>
                <w:rFonts w:ascii="Arial"/>
                <w:sz w:val="21"/>
              </w:rPr>
            </w:pPr>
          </w:p>
        </w:tc>
        <w:tc>
          <w:tcPr>
            <w:tcW w:w="889" w:type="dxa"/>
            <w:vAlign w:val="top"/>
          </w:tcPr>
          <w:p w14:paraId="41D2006F">
            <w:pPr>
              <w:rPr>
                <w:rFonts w:ascii="Arial"/>
                <w:sz w:val="21"/>
              </w:rPr>
            </w:pPr>
          </w:p>
        </w:tc>
        <w:tc>
          <w:tcPr>
            <w:tcW w:w="889" w:type="dxa"/>
            <w:vAlign w:val="top"/>
          </w:tcPr>
          <w:p w14:paraId="3D28C3E6">
            <w:pPr>
              <w:rPr>
                <w:rFonts w:ascii="Arial"/>
                <w:sz w:val="21"/>
              </w:rPr>
            </w:pPr>
          </w:p>
        </w:tc>
        <w:tc>
          <w:tcPr>
            <w:tcW w:w="849" w:type="dxa"/>
            <w:vAlign w:val="top"/>
          </w:tcPr>
          <w:p w14:paraId="48A71C12">
            <w:pPr>
              <w:rPr>
                <w:rFonts w:ascii="Arial"/>
                <w:sz w:val="21"/>
              </w:rPr>
            </w:pPr>
          </w:p>
        </w:tc>
        <w:tc>
          <w:tcPr>
            <w:tcW w:w="1368" w:type="dxa"/>
            <w:vAlign w:val="top"/>
          </w:tcPr>
          <w:p w14:paraId="20CD441B">
            <w:pPr>
              <w:rPr>
                <w:rFonts w:ascii="Arial"/>
                <w:sz w:val="21"/>
              </w:rPr>
            </w:pPr>
          </w:p>
        </w:tc>
        <w:tc>
          <w:tcPr>
            <w:tcW w:w="1558" w:type="dxa"/>
            <w:vAlign w:val="top"/>
          </w:tcPr>
          <w:p w14:paraId="6E1E8AD0">
            <w:pPr>
              <w:rPr>
                <w:rFonts w:ascii="Arial"/>
                <w:sz w:val="21"/>
              </w:rPr>
            </w:pPr>
          </w:p>
        </w:tc>
        <w:tc>
          <w:tcPr>
            <w:tcW w:w="914" w:type="dxa"/>
            <w:vAlign w:val="top"/>
          </w:tcPr>
          <w:p w14:paraId="0AEC5CA4">
            <w:pPr>
              <w:rPr>
                <w:rFonts w:ascii="Arial"/>
                <w:sz w:val="21"/>
              </w:rPr>
            </w:pPr>
          </w:p>
        </w:tc>
      </w:tr>
      <w:tr w14:paraId="778134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9" w:hRule="atLeast"/>
        </w:trPr>
        <w:tc>
          <w:tcPr>
            <w:tcW w:w="624" w:type="dxa"/>
            <w:vAlign w:val="top"/>
          </w:tcPr>
          <w:p w14:paraId="198AB4E4">
            <w:pPr>
              <w:rPr>
                <w:rFonts w:ascii="Arial"/>
                <w:sz w:val="21"/>
              </w:rPr>
            </w:pPr>
          </w:p>
        </w:tc>
        <w:tc>
          <w:tcPr>
            <w:tcW w:w="1998" w:type="dxa"/>
            <w:vAlign w:val="top"/>
          </w:tcPr>
          <w:p w14:paraId="25E02AC0">
            <w:pPr>
              <w:rPr>
                <w:rFonts w:ascii="Arial"/>
                <w:sz w:val="21"/>
              </w:rPr>
            </w:pPr>
          </w:p>
        </w:tc>
        <w:tc>
          <w:tcPr>
            <w:tcW w:w="889" w:type="dxa"/>
            <w:vAlign w:val="top"/>
          </w:tcPr>
          <w:p w14:paraId="42F3BEDD">
            <w:pPr>
              <w:rPr>
                <w:rFonts w:ascii="Arial"/>
                <w:sz w:val="21"/>
              </w:rPr>
            </w:pPr>
          </w:p>
        </w:tc>
        <w:tc>
          <w:tcPr>
            <w:tcW w:w="889" w:type="dxa"/>
            <w:vAlign w:val="top"/>
          </w:tcPr>
          <w:p w14:paraId="1C5326BF">
            <w:pPr>
              <w:rPr>
                <w:rFonts w:ascii="Arial"/>
                <w:sz w:val="21"/>
              </w:rPr>
            </w:pPr>
          </w:p>
        </w:tc>
        <w:tc>
          <w:tcPr>
            <w:tcW w:w="849" w:type="dxa"/>
            <w:vAlign w:val="top"/>
          </w:tcPr>
          <w:p w14:paraId="53191210">
            <w:pPr>
              <w:rPr>
                <w:rFonts w:ascii="Arial"/>
                <w:sz w:val="21"/>
              </w:rPr>
            </w:pPr>
          </w:p>
        </w:tc>
        <w:tc>
          <w:tcPr>
            <w:tcW w:w="1368" w:type="dxa"/>
            <w:vAlign w:val="top"/>
          </w:tcPr>
          <w:p w14:paraId="5A5E3B56">
            <w:pPr>
              <w:rPr>
                <w:rFonts w:ascii="Arial"/>
                <w:sz w:val="21"/>
              </w:rPr>
            </w:pPr>
          </w:p>
        </w:tc>
        <w:tc>
          <w:tcPr>
            <w:tcW w:w="1558" w:type="dxa"/>
            <w:vAlign w:val="top"/>
          </w:tcPr>
          <w:p w14:paraId="1FBF1FE7">
            <w:pPr>
              <w:rPr>
                <w:rFonts w:ascii="Arial"/>
                <w:sz w:val="21"/>
              </w:rPr>
            </w:pPr>
          </w:p>
        </w:tc>
        <w:tc>
          <w:tcPr>
            <w:tcW w:w="914" w:type="dxa"/>
            <w:vAlign w:val="top"/>
          </w:tcPr>
          <w:p w14:paraId="2F3282CC">
            <w:pPr>
              <w:rPr>
                <w:rFonts w:ascii="Arial"/>
                <w:sz w:val="21"/>
              </w:rPr>
            </w:pPr>
          </w:p>
        </w:tc>
      </w:tr>
      <w:tr w14:paraId="263044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0" w:hRule="atLeast"/>
        </w:trPr>
        <w:tc>
          <w:tcPr>
            <w:tcW w:w="624" w:type="dxa"/>
            <w:vAlign w:val="top"/>
          </w:tcPr>
          <w:p w14:paraId="3EF41E99">
            <w:pPr>
              <w:rPr>
                <w:rFonts w:ascii="Arial"/>
                <w:sz w:val="21"/>
              </w:rPr>
            </w:pPr>
          </w:p>
        </w:tc>
        <w:tc>
          <w:tcPr>
            <w:tcW w:w="1998" w:type="dxa"/>
            <w:vAlign w:val="top"/>
          </w:tcPr>
          <w:p w14:paraId="0A1CA680">
            <w:pPr>
              <w:rPr>
                <w:rFonts w:ascii="Arial"/>
                <w:sz w:val="21"/>
              </w:rPr>
            </w:pPr>
          </w:p>
        </w:tc>
        <w:tc>
          <w:tcPr>
            <w:tcW w:w="889" w:type="dxa"/>
            <w:vAlign w:val="top"/>
          </w:tcPr>
          <w:p w14:paraId="6ADC4DDF">
            <w:pPr>
              <w:rPr>
                <w:rFonts w:ascii="Arial"/>
                <w:sz w:val="21"/>
              </w:rPr>
            </w:pPr>
          </w:p>
        </w:tc>
        <w:tc>
          <w:tcPr>
            <w:tcW w:w="889" w:type="dxa"/>
            <w:vAlign w:val="top"/>
          </w:tcPr>
          <w:p w14:paraId="7FE71251">
            <w:pPr>
              <w:rPr>
                <w:rFonts w:ascii="Arial"/>
                <w:sz w:val="21"/>
              </w:rPr>
            </w:pPr>
          </w:p>
        </w:tc>
        <w:tc>
          <w:tcPr>
            <w:tcW w:w="849" w:type="dxa"/>
            <w:vAlign w:val="top"/>
          </w:tcPr>
          <w:p w14:paraId="23B27C0B">
            <w:pPr>
              <w:rPr>
                <w:rFonts w:ascii="Arial"/>
                <w:sz w:val="21"/>
              </w:rPr>
            </w:pPr>
          </w:p>
        </w:tc>
        <w:tc>
          <w:tcPr>
            <w:tcW w:w="1368" w:type="dxa"/>
            <w:vAlign w:val="top"/>
          </w:tcPr>
          <w:p w14:paraId="44F5B104">
            <w:pPr>
              <w:rPr>
                <w:rFonts w:ascii="Arial"/>
                <w:sz w:val="21"/>
              </w:rPr>
            </w:pPr>
          </w:p>
        </w:tc>
        <w:tc>
          <w:tcPr>
            <w:tcW w:w="1558" w:type="dxa"/>
            <w:vAlign w:val="top"/>
          </w:tcPr>
          <w:p w14:paraId="66A50C36">
            <w:pPr>
              <w:rPr>
                <w:rFonts w:ascii="Arial"/>
                <w:sz w:val="21"/>
              </w:rPr>
            </w:pPr>
          </w:p>
        </w:tc>
        <w:tc>
          <w:tcPr>
            <w:tcW w:w="914" w:type="dxa"/>
            <w:vAlign w:val="top"/>
          </w:tcPr>
          <w:p w14:paraId="585AC745">
            <w:pPr>
              <w:rPr>
                <w:rFonts w:ascii="Arial"/>
                <w:sz w:val="21"/>
              </w:rPr>
            </w:pPr>
          </w:p>
        </w:tc>
      </w:tr>
      <w:tr w14:paraId="1FF43E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9" w:hRule="atLeast"/>
        </w:trPr>
        <w:tc>
          <w:tcPr>
            <w:tcW w:w="624" w:type="dxa"/>
            <w:vAlign w:val="top"/>
          </w:tcPr>
          <w:p w14:paraId="352E5D83">
            <w:pPr>
              <w:rPr>
                <w:rFonts w:ascii="Arial"/>
                <w:sz w:val="21"/>
              </w:rPr>
            </w:pPr>
          </w:p>
        </w:tc>
        <w:tc>
          <w:tcPr>
            <w:tcW w:w="1998" w:type="dxa"/>
            <w:vAlign w:val="top"/>
          </w:tcPr>
          <w:p w14:paraId="12C354C6">
            <w:pPr>
              <w:rPr>
                <w:rFonts w:ascii="Arial"/>
                <w:sz w:val="21"/>
              </w:rPr>
            </w:pPr>
          </w:p>
        </w:tc>
        <w:tc>
          <w:tcPr>
            <w:tcW w:w="889" w:type="dxa"/>
            <w:vAlign w:val="top"/>
          </w:tcPr>
          <w:p w14:paraId="273FDCF4">
            <w:pPr>
              <w:rPr>
                <w:rFonts w:ascii="Arial"/>
                <w:sz w:val="21"/>
              </w:rPr>
            </w:pPr>
          </w:p>
        </w:tc>
        <w:tc>
          <w:tcPr>
            <w:tcW w:w="889" w:type="dxa"/>
            <w:vAlign w:val="top"/>
          </w:tcPr>
          <w:p w14:paraId="30565B25">
            <w:pPr>
              <w:rPr>
                <w:rFonts w:ascii="Arial"/>
                <w:sz w:val="21"/>
              </w:rPr>
            </w:pPr>
          </w:p>
        </w:tc>
        <w:tc>
          <w:tcPr>
            <w:tcW w:w="849" w:type="dxa"/>
            <w:vAlign w:val="top"/>
          </w:tcPr>
          <w:p w14:paraId="1631CCD3">
            <w:pPr>
              <w:rPr>
                <w:rFonts w:ascii="Arial"/>
                <w:sz w:val="21"/>
              </w:rPr>
            </w:pPr>
          </w:p>
        </w:tc>
        <w:tc>
          <w:tcPr>
            <w:tcW w:w="1368" w:type="dxa"/>
            <w:vAlign w:val="top"/>
          </w:tcPr>
          <w:p w14:paraId="2EF4DB5E">
            <w:pPr>
              <w:rPr>
                <w:rFonts w:ascii="Arial"/>
                <w:sz w:val="21"/>
              </w:rPr>
            </w:pPr>
          </w:p>
        </w:tc>
        <w:tc>
          <w:tcPr>
            <w:tcW w:w="1558" w:type="dxa"/>
            <w:vAlign w:val="top"/>
          </w:tcPr>
          <w:p w14:paraId="6004DA37">
            <w:pPr>
              <w:rPr>
                <w:rFonts w:ascii="Arial"/>
                <w:sz w:val="21"/>
              </w:rPr>
            </w:pPr>
          </w:p>
        </w:tc>
        <w:tc>
          <w:tcPr>
            <w:tcW w:w="914" w:type="dxa"/>
            <w:vAlign w:val="top"/>
          </w:tcPr>
          <w:p w14:paraId="1B41ED7B">
            <w:pPr>
              <w:rPr>
                <w:rFonts w:ascii="Arial"/>
                <w:sz w:val="21"/>
              </w:rPr>
            </w:pPr>
          </w:p>
        </w:tc>
      </w:tr>
      <w:tr w14:paraId="55CCB3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0" w:hRule="atLeast"/>
        </w:trPr>
        <w:tc>
          <w:tcPr>
            <w:tcW w:w="624" w:type="dxa"/>
            <w:vAlign w:val="top"/>
          </w:tcPr>
          <w:p w14:paraId="1A352F5B">
            <w:pPr>
              <w:rPr>
                <w:rFonts w:ascii="Arial"/>
                <w:sz w:val="21"/>
              </w:rPr>
            </w:pPr>
          </w:p>
        </w:tc>
        <w:tc>
          <w:tcPr>
            <w:tcW w:w="1998" w:type="dxa"/>
            <w:vAlign w:val="top"/>
          </w:tcPr>
          <w:p w14:paraId="1EFE70E6">
            <w:pPr>
              <w:rPr>
                <w:rFonts w:ascii="Arial"/>
                <w:sz w:val="21"/>
              </w:rPr>
            </w:pPr>
          </w:p>
        </w:tc>
        <w:tc>
          <w:tcPr>
            <w:tcW w:w="889" w:type="dxa"/>
            <w:vAlign w:val="top"/>
          </w:tcPr>
          <w:p w14:paraId="62A69929">
            <w:pPr>
              <w:rPr>
                <w:rFonts w:ascii="Arial"/>
                <w:sz w:val="21"/>
              </w:rPr>
            </w:pPr>
          </w:p>
        </w:tc>
        <w:tc>
          <w:tcPr>
            <w:tcW w:w="889" w:type="dxa"/>
            <w:vAlign w:val="top"/>
          </w:tcPr>
          <w:p w14:paraId="16E8C1E1">
            <w:pPr>
              <w:rPr>
                <w:rFonts w:ascii="Arial"/>
                <w:sz w:val="21"/>
              </w:rPr>
            </w:pPr>
          </w:p>
        </w:tc>
        <w:tc>
          <w:tcPr>
            <w:tcW w:w="849" w:type="dxa"/>
            <w:vAlign w:val="top"/>
          </w:tcPr>
          <w:p w14:paraId="61EB77E3">
            <w:pPr>
              <w:rPr>
                <w:rFonts w:ascii="Arial"/>
                <w:sz w:val="21"/>
              </w:rPr>
            </w:pPr>
          </w:p>
        </w:tc>
        <w:tc>
          <w:tcPr>
            <w:tcW w:w="1368" w:type="dxa"/>
            <w:vAlign w:val="top"/>
          </w:tcPr>
          <w:p w14:paraId="0EA46AF4">
            <w:pPr>
              <w:rPr>
                <w:rFonts w:ascii="Arial"/>
                <w:sz w:val="21"/>
              </w:rPr>
            </w:pPr>
          </w:p>
        </w:tc>
        <w:tc>
          <w:tcPr>
            <w:tcW w:w="1558" w:type="dxa"/>
            <w:vAlign w:val="top"/>
          </w:tcPr>
          <w:p w14:paraId="5462BD16">
            <w:pPr>
              <w:rPr>
                <w:rFonts w:ascii="Arial"/>
                <w:sz w:val="21"/>
              </w:rPr>
            </w:pPr>
          </w:p>
        </w:tc>
        <w:tc>
          <w:tcPr>
            <w:tcW w:w="914" w:type="dxa"/>
            <w:vAlign w:val="top"/>
          </w:tcPr>
          <w:p w14:paraId="3F0560FD">
            <w:pPr>
              <w:rPr>
                <w:rFonts w:ascii="Arial"/>
                <w:sz w:val="21"/>
              </w:rPr>
            </w:pPr>
          </w:p>
        </w:tc>
      </w:tr>
      <w:tr w14:paraId="10403A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9" w:hRule="atLeast"/>
        </w:trPr>
        <w:tc>
          <w:tcPr>
            <w:tcW w:w="624" w:type="dxa"/>
            <w:vAlign w:val="top"/>
          </w:tcPr>
          <w:p w14:paraId="48F0A767">
            <w:pPr>
              <w:rPr>
                <w:rFonts w:ascii="Arial"/>
                <w:sz w:val="21"/>
              </w:rPr>
            </w:pPr>
          </w:p>
        </w:tc>
        <w:tc>
          <w:tcPr>
            <w:tcW w:w="1998" w:type="dxa"/>
            <w:vAlign w:val="top"/>
          </w:tcPr>
          <w:p w14:paraId="1B9BAD3E">
            <w:pPr>
              <w:rPr>
                <w:rFonts w:ascii="Arial"/>
                <w:sz w:val="21"/>
              </w:rPr>
            </w:pPr>
          </w:p>
        </w:tc>
        <w:tc>
          <w:tcPr>
            <w:tcW w:w="889" w:type="dxa"/>
            <w:vAlign w:val="top"/>
          </w:tcPr>
          <w:p w14:paraId="67118293">
            <w:pPr>
              <w:rPr>
                <w:rFonts w:ascii="Arial"/>
                <w:sz w:val="21"/>
              </w:rPr>
            </w:pPr>
          </w:p>
        </w:tc>
        <w:tc>
          <w:tcPr>
            <w:tcW w:w="889" w:type="dxa"/>
            <w:vAlign w:val="top"/>
          </w:tcPr>
          <w:p w14:paraId="54FAED62">
            <w:pPr>
              <w:rPr>
                <w:rFonts w:ascii="Arial"/>
                <w:sz w:val="21"/>
              </w:rPr>
            </w:pPr>
          </w:p>
        </w:tc>
        <w:tc>
          <w:tcPr>
            <w:tcW w:w="849" w:type="dxa"/>
            <w:vAlign w:val="top"/>
          </w:tcPr>
          <w:p w14:paraId="7CAA470E">
            <w:pPr>
              <w:rPr>
                <w:rFonts w:ascii="Arial"/>
                <w:sz w:val="21"/>
              </w:rPr>
            </w:pPr>
          </w:p>
        </w:tc>
        <w:tc>
          <w:tcPr>
            <w:tcW w:w="1368" w:type="dxa"/>
            <w:vAlign w:val="top"/>
          </w:tcPr>
          <w:p w14:paraId="7F3111C9">
            <w:pPr>
              <w:rPr>
                <w:rFonts w:ascii="Arial"/>
                <w:sz w:val="21"/>
              </w:rPr>
            </w:pPr>
          </w:p>
        </w:tc>
        <w:tc>
          <w:tcPr>
            <w:tcW w:w="1558" w:type="dxa"/>
            <w:vAlign w:val="top"/>
          </w:tcPr>
          <w:p w14:paraId="121B3ADF">
            <w:pPr>
              <w:rPr>
                <w:rFonts w:ascii="Arial"/>
                <w:sz w:val="21"/>
              </w:rPr>
            </w:pPr>
          </w:p>
        </w:tc>
        <w:tc>
          <w:tcPr>
            <w:tcW w:w="914" w:type="dxa"/>
            <w:vAlign w:val="top"/>
          </w:tcPr>
          <w:p w14:paraId="39183B25">
            <w:pPr>
              <w:rPr>
                <w:rFonts w:ascii="Arial"/>
                <w:sz w:val="21"/>
              </w:rPr>
            </w:pPr>
          </w:p>
        </w:tc>
      </w:tr>
      <w:tr w14:paraId="1EB812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9" w:hRule="atLeast"/>
        </w:trPr>
        <w:tc>
          <w:tcPr>
            <w:tcW w:w="624" w:type="dxa"/>
            <w:vAlign w:val="top"/>
          </w:tcPr>
          <w:p w14:paraId="29161525">
            <w:pPr>
              <w:rPr>
                <w:rFonts w:ascii="Arial"/>
                <w:sz w:val="21"/>
              </w:rPr>
            </w:pPr>
          </w:p>
        </w:tc>
        <w:tc>
          <w:tcPr>
            <w:tcW w:w="1998" w:type="dxa"/>
            <w:vAlign w:val="top"/>
          </w:tcPr>
          <w:p w14:paraId="6EAF52DA">
            <w:pPr>
              <w:rPr>
                <w:rFonts w:ascii="Arial"/>
                <w:sz w:val="21"/>
              </w:rPr>
            </w:pPr>
          </w:p>
        </w:tc>
        <w:tc>
          <w:tcPr>
            <w:tcW w:w="889" w:type="dxa"/>
            <w:vAlign w:val="top"/>
          </w:tcPr>
          <w:p w14:paraId="309CD6EB">
            <w:pPr>
              <w:rPr>
                <w:rFonts w:ascii="Arial"/>
                <w:sz w:val="21"/>
              </w:rPr>
            </w:pPr>
          </w:p>
        </w:tc>
        <w:tc>
          <w:tcPr>
            <w:tcW w:w="889" w:type="dxa"/>
            <w:vAlign w:val="top"/>
          </w:tcPr>
          <w:p w14:paraId="0C1F08E5">
            <w:pPr>
              <w:rPr>
                <w:rFonts w:ascii="Arial"/>
                <w:sz w:val="21"/>
              </w:rPr>
            </w:pPr>
          </w:p>
        </w:tc>
        <w:tc>
          <w:tcPr>
            <w:tcW w:w="849" w:type="dxa"/>
            <w:vAlign w:val="top"/>
          </w:tcPr>
          <w:p w14:paraId="0169D13B">
            <w:pPr>
              <w:rPr>
                <w:rFonts w:ascii="Arial"/>
                <w:sz w:val="21"/>
              </w:rPr>
            </w:pPr>
          </w:p>
        </w:tc>
        <w:tc>
          <w:tcPr>
            <w:tcW w:w="1368" w:type="dxa"/>
            <w:vAlign w:val="top"/>
          </w:tcPr>
          <w:p w14:paraId="6FEBD3C9">
            <w:pPr>
              <w:rPr>
                <w:rFonts w:ascii="Arial"/>
                <w:sz w:val="21"/>
              </w:rPr>
            </w:pPr>
          </w:p>
        </w:tc>
        <w:tc>
          <w:tcPr>
            <w:tcW w:w="1558" w:type="dxa"/>
            <w:vAlign w:val="top"/>
          </w:tcPr>
          <w:p w14:paraId="366BAAD3">
            <w:pPr>
              <w:rPr>
                <w:rFonts w:ascii="Arial"/>
                <w:sz w:val="21"/>
              </w:rPr>
            </w:pPr>
          </w:p>
        </w:tc>
        <w:tc>
          <w:tcPr>
            <w:tcW w:w="914" w:type="dxa"/>
            <w:vAlign w:val="top"/>
          </w:tcPr>
          <w:p w14:paraId="3B0C7AE9">
            <w:pPr>
              <w:rPr>
                <w:rFonts w:ascii="Arial"/>
                <w:sz w:val="21"/>
              </w:rPr>
            </w:pPr>
          </w:p>
        </w:tc>
      </w:tr>
      <w:tr w14:paraId="0CABE6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9" w:hRule="atLeast"/>
        </w:trPr>
        <w:tc>
          <w:tcPr>
            <w:tcW w:w="624" w:type="dxa"/>
            <w:vAlign w:val="top"/>
          </w:tcPr>
          <w:p w14:paraId="16DB0DAB">
            <w:pPr>
              <w:rPr>
                <w:rFonts w:ascii="Arial"/>
                <w:sz w:val="21"/>
              </w:rPr>
            </w:pPr>
          </w:p>
        </w:tc>
        <w:tc>
          <w:tcPr>
            <w:tcW w:w="1998" w:type="dxa"/>
            <w:vAlign w:val="top"/>
          </w:tcPr>
          <w:p w14:paraId="03BBEACC">
            <w:pPr>
              <w:rPr>
                <w:rFonts w:ascii="Arial"/>
                <w:sz w:val="21"/>
              </w:rPr>
            </w:pPr>
          </w:p>
        </w:tc>
        <w:tc>
          <w:tcPr>
            <w:tcW w:w="889" w:type="dxa"/>
            <w:vAlign w:val="top"/>
          </w:tcPr>
          <w:p w14:paraId="2371C8C0">
            <w:pPr>
              <w:rPr>
                <w:rFonts w:ascii="Arial"/>
                <w:sz w:val="21"/>
              </w:rPr>
            </w:pPr>
          </w:p>
        </w:tc>
        <w:tc>
          <w:tcPr>
            <w:tcW w:w="889" w:type="dxa"/>
            <w:vAlign w:val="top"/>
          </w:tcPr>
          <w:p w14:paraId="349CCC4C">
            <w:pPr>
              <w:rPr>
                <w:rFonts w:ascii="Arial"/>
                <w:sz w:val="21"/>
              </w:rPr>
            </w:pPr>
          </w:p>
        </w:tc>
        <w:tc>
          <w:tcPr>
            <w:tcW w:w="849" w:type="dxa"/>
            <w:vAlign w:val="top"/>
          </w:tcPr>
          <w:p w14:paraId="769BF705">
            <w:pPr>
              <w:rPr>
                <w:rFonts w:ascii="Arial"/>
                <w:sz w:val="21"/>
              </w:rPr>
            </w:pPr>
          </w:p>
        </w:tc>
        <w:tc>
          <w:tcPr>
            <w:tcW w:w="1368" w:type="dxa"/>
            <w:vAlign w:val="top"/>
          </w:tcPr>
          <w:p w14:paraId="114C65E9">
            <w:pPr>
              <w:rPr>
                <w:rFonts w:ascii="Arial"/>
                <w:sz w:val="21"/>
              </w:rPr>
            </w:pPr>
          </w:p>
        </w:tc>
        <w:tc>
          <w:tcPr>
            <w:tcW w:w="1558" w:type="dxa"/>
            <w:vAlign w:val="top"/>
          </w:tcPr>
          <w:p w14:paraId="0C2F094B">
            <w:pPr>
              <w:rPr>
                <w:rFonts w:ascii="Arial"/>
                <w:sz w:val="21"/>
              </w:rPr>
            </w:pPr>
          </w:p>
        </w:tc>
        <w:tc>
          <w:tcPr>
            <w:tcW w:w="914" w:type="dxa"/>
            <w:vAlign w:val="top"/>
          </w:tcPr>
          <w:p w14:paraId="13AB4A8C">
            <w:pPr>
              <w:rPr>
                <w:rFonts w:ascii="Arial"/>
                <w:sz w:val="21"/>
              </w:rPr>
            </w:pPr>
          </w:p>
        </w:tc>
      </w:tr>
      <w:tr w14:paraId="6ABB38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9" w:hRule="atLeast"/>
        </w:trPr>
        <w:tc>
          <w:tcPr>
            <w:tcW w:w="624" w:type="dxa"/>
            <w:vAlign w:val="top"/>
          </w:tcPr>
          <w:p w14:paraId="64517128">
            <w:pPr>
              <w:rPr>
                <w:rFonts w:ascii="Arial"/>
                <w:sz w:val="21"/>
              </w:rPr>
            </w:pPr>
          </w:p>
        </w:tc>
        <w:tc>
          <w:tcPr>
            <w:tcW w:w="1998" w:type="dxa"/>
            <w:vAlign w:val="top"/>
          </w:tcPr>
          <w:p w14:paraId="23D34B4E">
            <w:pPr>
              <w:rPr>
                <w:rFonts w:ascii="Arial"/>
                <w:sz w:val="21"/>
              </w:rPr>
            </w:pPr>
          </w:p>
        </w:tc>
        <w:tc>
          <w:tcPr>
            <w:tcW w:w="889" w:type="dxa"/>
            <w:vAlign w:val="top"/>
          </w:tcPr>
          <w:p w14:paraId="06CC9E49">
            <w:pPr>
              <w:rPr>
                <w:rFonts w:ascii="Arial"/>
                <w:sz w:val="21"/>
              </w:rPr>
            </w:pPr>
          </w:p>
        </w:tc>
        <w:tc>
          <w:tcPr>
            <w:tcW w:w="889" w:type="dxa"/>
            <w:vAlign w:val="top"/>
          </w:tcPr>
          <w:p w14:paraId="07612A2D">
            <w:pPr>
              <w:rPr>
                <w:rFonts w:ascii="Arial"/>
                <w:sz w:val="21"/>
              </w:rPr>
            </w:pPr>
          </w:p>
        </w:tc>
        <w:tc>
          <w:tcPr>
            <w:tcW w:w="849" w:type="dxa"/>
            <w:vAlign w:val="top"/>
          </w:tcPr>
          <w:p w14:paraId="6EF60C17">
            <w:pPr>
              <w:rPr>
                <w:rFonts w:ascii="Arial"/>
                <w:sz w:val="21"/>
              </w:rPr>
            </w:pPr>
          </w:p>
        </w:tc>
        <w:tc>
          <w:tcPr>
            <w:tcW w:w="1368" w:type="dxa"/>
            <w:vAlign w:val="top"/>
          </w:tcPr>
          <w:p w14:paraId="5CD79995">
            <w:pPr>
              <w:rPr>
                <w:rFonts w:ascii="Arial"/>
                <w:sz w:val="21"/>
              </w:rPr>
            </w:pPr>
          </w:p>
        </w:tc>
        <w:tc>
          <w:tcPr>
            <w:tcW w:w="1558" w:type="dxa"/>
            <w:vAlign w:val="top"/>
          </w:tcPr>
          <w:p w14:paraId="2EBDE089">
            <w:pPr>
              <w:rPr>
                <w:rFonts w:ascii="Arial"/>
                <w:sz w:val="21"/>
              </w:rPr>
            </w:pPr>
          </w:p>
        </w:tc>
        <w:tc>
          <w:tcPr>
            <w:tcW w:w="914" w:type="dxa"/>
            <w:vAlign w:val="top"/>
          </w:tcPr>
          <w:p w14:paraId="6B631F06">
            <w:pPr>
              <w:rPr>
                <w:rFonts w:ascii="Arial"/>
                <w:sz w:val="21"/>
              </w:rPr>
            </w:pPr>
          </w:p>
        </w:tc>
      </w:tr>
      <w:tr w14:paraId="67D336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9" w:hRule="atLeast"/>
        </w:trPr>
        <w:tc>
          <w:tcPr>
            <w:tcW w:w="624" w:type="dxa"/>
            <w:vAlign w:val="top"/>
          </w:tcPr>
          <w:p w14:paraId="13E014FC">
            <w:pPr>
              <w:rPr>
                <w:rFonts w:ascii="Arial"/>
                <w:sz w:val="21"/>
              </w:rPr>
            </w:pPr>
          </w:p>
        </w:tc>
        <w:tc>
          <w:tcPr>
            <w:tcW w:w="1998" w:type="dxa"/>
            <w:vAlign w:val="top"/>
          </w:tcPr>
          <w:p w14:paraId="122640EC">
            <w:pPr>
              <w:rPr>
                <w:rFonts w:ascii="Arial"/>
                <w:sz w:val="21"/>
              </w:rPr>
            </w:pPr>
          </w:p>
        </w:tc>
        <w:tc>
          <w:tcPr>
            <w:tcW w:w="889" w:type="dxa"/>
            <w:vAlign w:val="top"/>
          </w:tcPr>
          <w:p w14:paraId="31AF235A">
            <w:pPr>
              <w:rPr>
                <w:rFonts w:ascii="Arial"/>
                <w:sz w:val="21"/>
              </w:rPr>
            </w:pPr>
          </w:p>
        </w:tc>
        <w:tc>
          <w:tcPr>
            <w:tcW w:w="889" w:type="dxa"/>
            <w:vAlign w:val="top"/>
          </w:tcPr>
          <w:p w14:paraId="03B39EEA">
            <w:pPr>
              <w:rPr>
                <w:rFonts w:ascii="Arial"/>
                <w:sz w:val="21"/>
              </w:rPr>
            </w:pPr>
          </w:p>
        </w:tc>
        <w:tc>
          <w:tcPr>
            <w:tcW w:w="849" w:type="dxa"/>
            <w:vAlign w:val="top"/>
          </w:tcPr>
          <w:p w14:paraId="592C922D">
            <w:pPr>
              <w:rPr>
                <w:rFonts w:ascii="Arial"/>
                <w:sz w:val="21"/>
              </w:rPr>
            </w:pPr>
          </w:p>
        </w:tc>
        <w:tc>
          <w:tcPr>
            <w:tcW w:w="1368" w:type="dxa"/>
            <w:vAlign w:val="top"/>
          </w:tcPr>
          <w:p w14:paraId="2E125C88">
            <w:pPr>
              <w:rPr>
                <w:rFonts w:ascii="Arial"/>
                <w:sz w:val="21"/>
              </w:rPr>
            </w:pPr>
          </w:p>
        </w:tc>
        <w:tc>
          <w:tcPr>
            <w:tcW w:w="1558" w:type="dxa"/>
            <w:vAlign w:val="top"/>
          </w:tcPr>
          <w:p w14:paraId="1F13E6A6">
            <w:pPr>
              <w:rPr>
                <w:rFonts w:ascii="Arial"/>
                <w:sz w:val="21"/>
              </w:rPr>
            </w:pPr>
          </w:p>
        </w:tc>
        <w:tc>
          <w:tcPr>
            <w:tcW w:w="914" w:type="dxa"/>
            <w:vAlign w:val="top"/>
          </w:tcPr>
          <w:p w14:paraId="72FEC83B">
            <w:pPr>
              <w:rPr>
                <w:rFonts w:ascii="Arial"/>
                <w:sz w:val="21"/>
              </w:rPr>
            </w:pPr>
          </w:p>
        </w:tc>
      </w:tr>
      <w:tr w14:paraId="272CE3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4" w:hRule="atLeast"/>
        </w:trPr>
        <w:tc>
          <w:tcPr>
            <w:tcW w:w="624" w:type="dxa"/>
            <w:vAlign w:val="top"/>
          </w:tcPr>
          <w:p w14:paraId="078BCC1E">
            <w:pPr>
              <w:rPr>
                <w:rFonts w:ascii="Arial"/>
                <w:sz w:val="21"/>
              </w:rPr>
            </w:pPr>
          </w:p>
        </w:tc>
        <w:tc>
          <w:tcPr>
            <w:tcW w:w="1998" w:type="dxa"/>
            <w:vAlign w:val="top"/>
          </w:tcPr>
          <w:p w14:paraId="7634F58B">
            <w:pPr>
              <w:rPr>
                <w:rFonts w:ascii="Arial"/>
                <w:sz w:val="21"/>
              </w:rPr>
            </w:pPr>
          </w:p>
        </w:tc>
        <w:tc>
          <w:tcPr>
            <w:tcW w:w="889" w:type="dxa"/>
            <w:vAlign w:val="top"/>
          </w:tcPr>
          <w:p w14:paraId="0230AE37">
            <w:pPr>
              <w:rPr>
                <w:rFonts w:ascii="Arial"/>
                <w:sz w:val="21"/>
              </w:rPr>
            </w:pPr>
          </w:p>
        </w:tc>
        <w:tc>
          <w:tcPr>
            <w:tcW w:w="889" w:type="dxa"/>
            <w:vAlign w:val="top"/>
          </w:tcPr>
          <w:p w14:paraId="0CFBA843">
            <w:pPr>
              <w:rPr>
                <w:rFonts w:ascii="Arial"/>
                <w:sz w:val="21"/>
              </w:rPr>
            </w:pPr>
          </w:p>
        </w:tc>
        <w:tc>
          <w:tcPr>
            <w:tcW w:w="849" w:type="dxa"/>
            <w:vAlign w:val="top"/>
          </w:tcPr>
          <w:p w14:paraId="3609B265">
            <w:pPr>
              <w:rPr>
                <w:rFonts w:ascii="Arial"/>
                <w:sz w:val="21"/>
              </w:rPr>
            </w:pPr>
          </w:p>
        </w:tc>
        <w:tc>
          <w:tcPr>
            <w:tcW w:w="1368" w:type="dxa"/>
            <w:vAlign w:val="top"/>
          </w:tcPr>
          <w:p w14:paraId="121A7901">
            <w:pPr>
              <w:rPr>
                <w:rFonts w:ascii="Arial"/>
                <w:sz w:val="21"/>
              </w:rPr>
            </w:pPr>
          </w:p>
        </w:tc>
        <w:tc>
          <w:tcPr>
            <w:tcW w:w="1558" w:type="dxa"/>
            <w:vAlign w:val="top"/>
          </w:tcPr>
          <w:p w14:paraId="3FCA9074">
            <w:pPr>
              <w:rPr>
                <w:rFonts w:ascii="Arial"/>
                <w:sz w:val="21"/>
              </w:rPr>
            </w:pPr>
          </w:p>
        </w:tc>
        <w:tc>
          <w:tcPr>
            <w:tcW w:w="914" w:type="dxa"/>
            <w:vAlign w:val="top"/>
          </w:tcPr>
          <w:p w14:paraId="607EBB95">
            <w:pPr>
              <w:rPr>
                <w:rFonts w:ascii="Arial"/>
                <w:sz w:val="21"/>
              </w:rPr>
            </w:pPr>
          </w:p>
        </w:tc>
      </w:tr>
    </w:tbl>
    <w:p w14:paraId="1202EF86">
      <w:pPr>
        <w:spacing w:line="255" w:lineRule="auto"/>
        <w:rPr>
          <w:rFonts w:ascii="Arial"/>
          <w:sz w:val="21"/>
        </w:rPr>
      </w:pPr>
    </w:p>
    <w:p w14:paraId="431A7B9A">
      <w:pPr>
        <w:spacing w:line="255" w:lineRule="auto"/>
        <w:rPr>
          <w:rFonts w:ascii="Arial"/>
          <w:sz w:val="21"/>
        </w:rPr>
      </w:pPr>
    </w:p>
    <w:p w14:paraId="43D2F378">
      <w:pPr>
        <w:pStyle w:val="2"/>
        <w:spacing w:before="68" w:line="218" w:lineRule="auto"/>
        <w:ind w:left="105"/>
        <w:rPr>
          <w:sz w:val="21"/>
          <w:szCs w:val="21"/>
        </w:rPr>
      </w:pPr>
      <w:r>
        <w:rPr>
          <w:sz w:val="21"/>
          <w:szCs w:val="21"/>
        </w:rPr>
        <w:t>注：此表由招标人填写，供投标人在投标报价、确定总承包服务费时参考。</w:t>
      </w:r>
    </w:p>
    <w:p w14:paraId="4658F5BD">
      <w:pPr>
        <w:spacing w:line="218" w:lineRule="auto"/>
        <w:rPr>
          <w:sz w:val="21"/>
          <w:szCs w:val="21"/>
        </w:rPr>
        <w:sectPr>
          <w:footerReference r:id="rId315" w:type="default"/>
          <w:pgSz w:w="11910" w:h="16840"/>
          <w:pgMar w:top="400" w:right="1455" w:bottom="1147" w:left="1355" w:header="0" w:footer="1021" w:gutter="0"/>
          <w:cols w:space="720" w:num="1"/>
        </w:sectPr>
      </w:pPr>
    </w:p>
    <w:p w14:paraId="2BAFAD3B">
      <w:pPr>
        <w:spacing w:line="261" w:lineRule="auto"/>
        <w:rPr>
          <w:rFonts w:ascii="Arial"/>
          <w:sz w:val="21"/>
        </w:rPr>
      </w:pPr>
    </w:p>
    <w:p w14:paraId="48459234">
      <w:pPr>
        <w:spacing w:line="261" w:lineRule="auto"/>
        <w:rPr>
          <w:rFonts w:ascii="Arial"/>
          <w:sz w:val="21"/>
        </w:rPr>
      </w:pPr>
    </w:p>
    <w:p w14:paraId="02B9DF99">
      <w:pPr>
        <w:spacing w:line="261" w:lineRule="auto"/>
        <w:rPr>
          <w:rFonts w:ascii="Arial"/>
          <w:sz w:val="21"/>
        </w:rPr>
      </w:pPr>
    </w:p>
    <w:p w14:paraId="7D1AAD20">
      <w:pPr>
        <w:spacing w:line="261" w:lineRule="auto"/>
        <w:rPr>
          <w:rFonts w:ascii="Arial"/>
          <w:sz w:val="21"/>
        </w:rPr>
      </w:pPr>
    </w:p>
    <w:p w14:paraId="096084F6">
      <w:pPr>
        <w:spacing w:line="261" w:lineRule="auto"/>
        <w:rPr>
          <w:rFonts w:ascii="Arial"/>
          <w:sz w:val="21"/>
        </w:rPr>
      </w:pPr>
    </w:p>
    <w:p w14:paraId="20F4D48E">
      <w:pPr>
        <w:pStyle w:val="2"/>
        <w:spacing w:before="81" w:line="221" w:lineRule="auto"/>
        <w:ind w:left="528"/>
      </w:pPr>
      <w:r>
        <w:rPr>
          <w:rFonts w:ascii="黑体" w:hAnsi="黑体" w:eastAsia="黑体" w:cs="黑体"/>
          <w:b/>
          <w:bCs/>
          <w:spacing w:val="-3"/>
        </w:rPr>
        <w:t>4.15承包人提供主要材料和工程设备一览表</w:t>
      </w:r>
      <w:r>
        <w:rPr>
          <w:b/>
          <w:bCs/>
          <w:spacing w:val="-3"/>
        </w:rPr>
        <w:t>(适用于造价信息差额调整</w:t>
      </w:r>
      <w:r>
        <w:rPr>
          <w:b/>
          <w:bCs/>
          <w:spacing w:val="-4"/>
        </w:rPr>
        <w:t>法)</w:t>
      </w:r>
    </w:p>
    <w:p w14:paraId="2C3D02E6">
      <w:pPr>
        <w:spacing w:line="468" w:lineRule="auto"/>
        <w:rPr>
          <w:rFonts w:ascii="Arial"/>
          <w:sz w:val="21"/>
        </w:rPr>
      </w:pPr>
    </w:p>
    <w:p w14:paraId="4FDF0F84">
      <w:pPr>
        <w:spacing w:before="91" w:line="222" w:lineRule="auto"/>
        <w:ind w:left="2169"/>
        <w:rPr>
          <w:rFonts w:ascii="黑体" w:hAnsi="黑体" w:eastAsia="黑体" w:cs="黑体"/>
          <w:sz w:val="28"/>
          <w:szCs w:val="28"/>
        </w:rPr>
      </w:pPr>
      <w:r>
        <w:rPr>
          <w:rFonts w:ascii="黑体" w:hAnsi="黑体" w:eastAsia="黑体" w:cs="黑体"/>
          <w:b/>
          <w:bCs/>
          <w:sz w:val="28"/>
          <w:szCs w:val="28"/>
        </w:rPr>
        <w:t>承包人提供主要材料和工程设备一览表</w:t>
      </w:r>
    </w:p>
    <w:p w14:paraId="4FC37736">
      <w:pPr>
        <w:pStyle w:val="2"/>
        <w:spacing w:before="287" w:line="197" w:lineRule="auto"/>
        <w:ind w:left="115"/>
        <w:rPr>
          <w:sz w:val="23"/>
          <w:szCs w:val="23"/>
        </w:rPr>
      </w:pPr>
      <w:r>
        <w:rPr>
          <w:sz w:val="23"/>
          <w:szCs w:val="23"/>
        </w:rPr>
        <w:t xml:space="preserve">工程名称：                     标段名称：          </w:t>
      </w:r>
      <w:r>
        <w:rPr>
          <w:spacing w:val="-1"/>
          <w:sz w:val="23"/>
          <w:szCs w:val="23"/>
        </w:rPr>
        <w:t xml:space="preserve">     </w:t>
      </w:r>
      <w:r>
        <w:rPr>
          <w:spacing w:val="-1"/>
          <w:position w:val="1"/>
          <w:sz w:val="23"/>
          <w:szCs w:val="23"/>
        </w:rPr>
        <w:t>第 页 共 页</w:t>
      </w:r>
    </w:p>
    <w:tbl>
      <w:tblPr>
        <w:tblStyle w:val="5"/>
        <w:tblW w:w="910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55"/>
        <w:gridCol w:w="1738"/>
        <w:gridCol w:w="649"/>
        <w:gridCol w:w="759"/>
        <w:gridCol w:w="899"/>
        <w:gridCol w:w="919"/>
        <w:gridCol w:w="1378"/>
        <w:gridCol w:w="1538"/>
        <w:gridCol w:w="674"/>
      </w:tblGrid>
      <w:tr w14:paraId="3C6AED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4" w:hRule="atLeast"/>
        </w:trPr>
        <w:tc>
          <w:tcPr>
            <w:tcW w:w="555" w:type="dxa"/>
            <w:textDirection w:val="tbRlV"/>
            <w:vAlign w:val="top"/>
          </w:tcPr>
          <w:p w14:paraId="36F01EE7">
            <w:pPr>
              <w:pStyle w:val="6"/>
              <w:spacing w:before="192" w:line="199" w:lineRule="auto"/>
              <w:ind w:left="224"/>
            </w:pPr>
            <w:r>
              <w:t>序号</w:t>
            </w:r>
          </w:p>
        </w:tc>
        <w:tc>
          <w:tcPr>
            <w:tcW w:w="1738" w:type="dxa"/>
            <w:vAlign w:val="top"/>
          </w:tcPr>
          <w:p w14:paraId="01C7F1A4">
            <w:pPr>
              <w:pStyle w:val="6"/>
              <w:spacing w:before="212" w:line="242" w:lineRule="auto"/>
              <w:ind w:left="749" w:right="124" w:hanging="630"/>
            </w:pPr>
            <w:r>
              <w:rPr>
                <w:spacing w:val="1"/>
              </w:rPr>
              <w:t>名称、规格、型</w:t>
            </w:r>
            <w:r>
              <w:rPr>
                <w:spacing w:val="5"/>
              </w:rPr>
              <w:t xml:space="preserve"> </w:t>
            </w:r>
            <w:r>
              <w:t>号</w:t>
            </w:r>
          </w:p>
        </w:tc>
        <w:tc>
          <w:tcPr>
            <w:tcW w:w="649" w:type="dxa"/>
            <w:vAlign w:val="top"/>
          </w:tcPr>
          <w:p w14:paraId="6BB91EFF">
            <w:pPr>
              <w:spacing w:line="284" w:lineRule="auto"/>
              <w:rPr>
                <w:rFonts w:ascii="Arial"/>
                <w:sz w:val="21"/>
              </w:rPr>
            </w:pPr>
          </w:p>
          <w:p w14:paraId="55F271D1">
            <w:pPr>
              <w:pStyle w:val="6"/>
              <w:spacing w:before="68" w:line="220" w:lineRule="auto"/>
              <w:ind w:left="111"/>
            </w:pPr>
            <w:r>
              <w:rPr>
                <w:spacing w:val="-3"/>
              </w:rPr>
              <w:t>单位</w:t>
            </w:r>
          </w:p>
        </w:tc>
        <w:tc>
          <w:tcPr>
            <w:tcW w:w="759" w:type="dxa"/>
            <w:vAlign w:val="top"/>
          </w:tcPr>
          <w:p w14:paraId="03D362DE">
            <w:pPr>
              <w:spacing w:line="283" w:lineRule="auto"/>
              <w:rPr>
                <w:rFonts w:ascii="Arial"/>
                <w:sz w:val="21"/>
              </w:rPr>
            </w:pPr>
          </w:p>
          <w:p w14:paraId="0773E8C7">
            <w:pPr>
              <w:pStyle w:val="6"/>
              <w:spacing w:before="69" w:line="219" w:lineRule="auto"/>
              <w:ind w:left="182"/>
            </w:pPr>
            <w:r>
              <w:rPr>
                <w:spacing w:val="-3"/>
              </w:rPr>
              <w:t>数量</w:t>
            </w:r>
          </w:p>
        </w:tc>
        <w:tc>
          <w:tcPr>
            <w:tcW w:w="899" w:type="dxa"/>
            <w:vAlign w:val="top"/>
          </w:tcPr>
          <w:p w14:paraId="2BD8B0E3">
            <w:pPr>
              <w:pStyle w:val="6"/>
              <w:spacing w:before="74" w:line="220" w:lineRule="auto"/>
              <w:ind w:left="233"/>
            </w:pPr>
            <w:r>
              <w:rPr>
                <w:spacing w:val="-3"/>
              </w:rPr>
              <w:t>风险</w:t>
            </w:r>
          </w:p>
          <w:p w14:paraId="7927579C">
            <w:pPr>
              <w:pStyle w:val="6"/>
              <w:spacing w:before="9" w:line="219" w:lineRule="auto"/>
              <w:ind w:left="233"/>
            </w:pPr>
            <w:r>
              <w:rPr>
                <w:spacing w:val="4"/>
              </w:rPr>
              <w:t>系数</w:t>
            </w:r>
          </w:p>
          <w:p w14:paraId="74E96173">
            <w:pPr>
              <w:pStyle w:val="6"/>
              <w:spacing w:before="54" w:line="222" w:lineRule="auto"/>
              <w:ind w:left="283"/>
            </w:pPr>
            <w:r>
              <w:rPr>
                <w:spacing w:val="-11"/>
              </w:rPr>
              <w:t>(%)</w:t>
            </w:r>
          </w:p>
        </w:tc>
        <w:tc>
          <w:tcPr>
            <w:tcW w:w="919" w:type="dxa"/>
            <w:vAlign w:val="top"/>
          </w:tcPr>
          <w:p w14:paraId="359DB44E">
            <w:pPr>
              <w:pStyle w:val="6"/>
              <w:spacing w:before="64" w:line="243" w:lineRule="auto"/>
              <w:ind w:left="244" w:right="197"/>
              <w:jc w:val="both"/>
            </w:pPr>
            <w:r>
              <w:rPr>
                <w:spacing w:val="-5"/>
              </w:rPr>
              <w:t>基准</w:t>
            </w:r>
            <w:r>
              <w:t xml:space="preserve"> </w:t>
            </w:r>
            <w:r>
              <w:rPr>
                <w:spacing w:val="-5"/>
              </w:rPr>
              <w:t>单价</w:t>
            </w:r>
            <w:r>
              <w:t xml:space="preserve"> </w:t>
            </w:r>
            <w:r>
              <w:rPr>
                <w:spacing w:val="15"/>
              </w:rPr>
              <w:t>(元)</w:t>
            </w:r>
          </w:p>
        </w:tc>
        <w:tc>
          <w:tcPr>
            <w:tcW w:w="1378" w:type="dxa"/>
            <w:vAlign w:val="top"/>
          </w:tcPr>
          <w:p w14:paraId="3BE8342A">
            <w:pPr>
              <w:pStyle w:val="6"/>
              <w:spacing w:before="211" w:line="218" w:lineRule="auto"/>
              <w:ind w:left="266"/>
            </w:pPr>
            <w:r>
              <w:rPr>
                <w:spacing w:val="-3"/>
              </w:rPr>
              <w:t>投标单价</w:t>
            </w:r>
          </w:p>
          <w:p w14:paraId="219CCB7B">
            <w:pPr>
              <w:pStyle w:val="6"/>
              <w:spacing w:before="14" w:line="220" w:lineRule="auto"/>
              <w:ind w:left="476"/>
            </w:pPr>
            <w:r>
              <w:rPr>
                <w:spacing w:val="15"/>
              </w:rPr>
              <w:t>(元)</w:t>
            </w:r>
          </w:p>
        </w:tc>
        <w:tc>
          <w:tcPr>
            <w:tcW w:w="1538" w:type="dxa"/>
            <w:vAlign w:val="top"/>
          </w:tcPr>
          <w:p w14:paraId="65853B2E">
            <w:pPr>
              <w:pStyle w:val="6"/>
              <w:spacing w:before="212" w:line="229" w:lineRule="auto"/>
              <w:ind w:left="347" w:right="119" w:hanging="209"/>
            </w:pPr>
            <w:r>
              <w:rPr>
                <w:spacing w:val="1"/>
              </w:rPr>
              <w:t>发承包人确认</w:t>
            </w:r>
            <w:r>
              <w:rPr>
                <w:spacing w:val="3"/>
              </w:rPr>
              <w:t xml:space="preserve"> </w:t>
            </w:r>
            <w:r>
              <w:rPr>
                <w:spacing w:val="9"/>
              </w:rPr>
              <w:t>单价(元)</w:t>
            </w:r>
          </w:p>
        </w:tc>
        <w:tc>
          <w:tcPr>
            <w:tcW w:w="674" w:type="dxa"/>
            <w:vAlign w:val="top"/>
          </w:tcPr>
          <w:p w14:paraId="3409A969">
            <w:pPr>
              <w:spacing w:line="284" w:lineRule="auto"/>
              <w:rPr>
                <w:rFonts w:ascii="Arial"/>
                <w:sz w:val="21"/>
              </w:rPr>
            </w:pPr>
          </w:p>
          <w:p w14:paraId="59EB39A9">
            <w:pPr>
              <w:pStyle w:val="6"/>
              <w:spacing w:before="69" w:line="221" w:lineRule="auto"/>
              <w:ind w:left="119"/>
            </w:pPr>
            <w:r>
              <w:rPr>
                <w:spacing w:val="5"/>
              </w:rPr>
              <w:t>备注</w:t>
            </w:r>
          </w:p>
        </w:tc>
      </w:tr>
      <w:tr w14:paraId="130DC9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9" w:hRule="atLeast"/>
        </w:trPr>
        <w:tc>
          <w:tcPr>
            <w:tcW w:w="555" w:type="dxa"/>
            <w:vAlign w:val="top"/>
          </w:tcPr>
          <w:p w14:paraId="04813D88">
            <w:pPr>
              <w:rPr>
                <w:rFonts w:ascii="Arial"/>
                <w:sz w:val="21"/>
              </w:rPr>
            </w:pPr>
          </w:p>
        </w:tc>
        <w:tc>
          <w:tcPr>
            <w:tcW w:w="1738" w:type="dxa"/>
            <w:vAlign w:val="top"/>
          </w:tcPr>
          <w:p w14:paraId="6B486E30">
            <w:pPr>
              <w:rPr>
                <w:rFonts w:ascii="Arial"/>
                <w:sz w:val="21"/>
              </w:rPr>
            </w:pPr>
          </w:p>
        </w:tc>
        <w:tc>
          <w:tcPr>
            <w:tcW w:w="649" w:type="dxa"/>
            <w:vAlign w:val="top"/>
          </w:tcPr>
          <w:p w14:paraId="1FE56960">
            <w:pPr>
              <w:rPr>
                <w:rFonts w:ascii="Arial"/>
                <w:sz w:val="21"/>
              </w:rPr>
            </w:pPr>
          </w:p>
        </w:tc>
        <w:tc>
          <w:tcPr>
            <w:tcW w:w="759" w:type="dxa"/>
            <w:vAlign w:val="top"/>
          </w:tcPr>
          <w:p w14:paraId="085314B6">
            <w:pPr>
              <w:rPr>
                <w:rFonts w:ascii="Arial"/>
                <w:sz w:val="21"/>
              </w:rPr>
            </w:pPr>
          </w:p>
        </w:tc>
        <w:tc>
          <w:tcPr>
            <w:tcW w:w="899" w:type="dxa"/>
            <w:vAlign w:val="top"/>
          </w:tcPr>
          <w:p w14:paraId="64011313">
            <w:pPr>
              <w:rPr>
                <w:rFonts w:ascii="Arial"/>
                <w:sz w:val="21"/>
              </w:rPr>
            </w:pPr>
          </w:p>
        </w:tc>
        <w:tc>
          <w:tcPr>
            <w:tcW w:w="919" w:type="dxa"/>
            <w:vAlign w:val="top"/>
          </w:tcPr>
          <w:p w14:paraId="4C86FA57">
            <w:pPr>
              <w:rPr>
                <w:rFonts w:ascii="Arial"/>
                <w:sz w:val="21"/>
              </w:rPr>
            </w:pPr>
          </w:p>
        </w:tc>
        <w:tc>
          <w:tcPr>
            <w:tcW w:w="1378" w:type="dxa"/>
            <w:vAlign w:val="top"/>
          </w:tcPr>
          <w:p w14:paraId="6A2F45C3">
            <w:pPr>
              <w:rPr>
                <w:rFonts w:ascii="Arial"/>
                <w:sz w:val="21"/>
              </w:rPr>
            </w:pPr>
          </w:p>
        </w:tc>
        <w:tc>
          <w:tcPr>
            <w:tcW w:w="1538" w:type="dxa"/>
            <w:vAlign w:val="top"/>
          </w:tcPr>
          <w:p w14:paraId="0E9C1DF3">
            <w:pPr>
              <w:rPr>
                <w:rFonts w:ascii="Arial"/>
                <w:sz w:val="21"/>
              </w:rPr>
            </w:pPr>
          </w:p>
        </w:tc>
        <w:tc>
          <w:tcPr>
            <w:tcW w:w="674" w:type="dxa"/>
            <w:vAlign w:val="top"/>
          </w:tcPr>
          <w:p w14:paraId="67CC19C3">
            <w:pPr>
              <w:rPr>
                <w:rFonts w:ascii="Arial"/>
                <w:sz w:val="21"/>
              </w:rPr>
            </w:pPr>
          </w:p>
        </w:tc>
      </w:tr>
      <w:tr w14:paraId="617831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9" w:hRule="atLeast"/>
        </w:trPr>
        <w:tc>
          <w:tcPr>
            <w:tcW w:w="555" w:type="dxa"/>
            <w:vAlign w:val="top"/>
          </w:tcPr>
          <w:p w14:paraId="0F438089">
            <w:pPr>
              <w:rPr>
                <w:rFonts w:ascii="Arial"/>
                <w:sz w:val="21"/>
              </w:rPr>
            </w:pPr>
          </w:p>
        </w:tc>
        <w:tc>
          <w:tcPr>
            <w:tcW w:w="1738" w:type="dxa"/>
            <w:vAlign w:val="top"/>
          </w:tcPr>
          <w:p w14:paraId="5F6402F0">
            <w:pPr>
              <w:rPr>
                <w:rFonts w:ascii="Arial"/>
                <w:sz w:val="21"/>
              </w:rPr>
            </w:pPr>
          </w:p>
        </w:tc>
        <w:tc>
          <w:tcPr>
            <w:tcW w:w="649" w:type="dxa"/>
            <w:vAlign w:val="top"/>
          </w:tcPr>
          <w:p w14:paraId="0CFE322E">
            <w:pPr>
              <w:rPr>
                <w:rFonts w:ascii="Arial"/>
                <w:sz w:val="21"/>
              </w:rPr>
            </w:pPr>
          </w:p>
        </w:tc>
        <w:tc>
          <w:tcPr>
            <w:tcW w:w="759" w:type="dxa"/>
            <w:vAlign w:val="top"/>
          </w:tcPr>
          <w:p w14:paraId="11E46C98">
            <w:pPr>
              <w:rPr>
                <w:rFonts w:ascii="Arial"/>
                <w:sz w:val="21"/>
              </w:rPr>
            </w:pPr>
          </w:p>
        </w:tc>
        <w:tc>
          <w:tcPr>
            <w:tcW w:w="899" w:type="dxa"/>
            <w:vAlign w:val="top"/>
          </w:tcPr>
          <w:p w14:paraId="44539AE0">
            <w:pPr>
              <w:rPr>
                <w:rFonts w:ascii="Arial"/>
                <w:sz w:val="21"/>
              </w:rPr>
            </w:pPr>
          </w:p>
        </w:tc>
        <w:tc>
          <w:tcPr>
            <w:tcW w:w="919" w:type="dxa"/>
            <w:vAlign w:val="top"/>
          </w:tcPr>
          <w:p w14:paraId="3DE9BD8F">
            <w:pPr>
              <w:rPr>
                <w:rFonts w:ascii="Arial"/>
                <w:sz w:val="21"/>
              </w:rPr>
            </w:pPr>
          </w:p>
        </w:tc>
        <w:tc>
          <w:tcPr>
            <w:tcW w:w="1378" w:type="dxa"/>
            <w:vAlign w:val="top"/>
          </w:tcPr>
          <w:p w14:paraId="7A86D45D">
            <w:pPr>
              <w:rPr>
                <w:rFonts w:ascii="Arial"/>
                <w:sz w:val="21"/>
              </w:rPr>
            </w:pPr>
          </w:p>
        </w:tc>
        <w:tc>
          <w:tcPr>
            <w:tcW w:w="1538" w:type="dxa"/>
            <w:vAlign w:val="top"/>
          </w:tcPr>
          <w:p w14:paraId="157FBAAB">
            <w:pPr>
              <w:rPr>
                <w:rFonts w:ascii="Arial"/>
                <w:sz w:val="21"/>
              </w:rPr>
            </w:pPr>
          </w:p>
        </w:tc>
        <w:tc>
          <w:tcPr>
            <w:tcW w:w="674" w:type="dxa"/>
            <w:vAlign w:val="top"/>
          </w:tcPr>
          <w:p w14:paraId="5B58365D">
            <w:pPr>
              <w:rPr>
                <w:rFonts w:ascii="Arial"/>
                <w:sz w:val="21"/>
              </w:rPr>
            </w:pPr>
          </w:p>
        </w:tc>
      </w:tr>
      <w:tr w14:paraId="0F85BF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0" w:hRule="atLeast"/>
        </w:trPr>
        <w:tc>
          <w:tcPr>
            <w:tcW w:w="555" w:type="dxa"/>
            <w:vAlign w:val="top"/>
          </w:tcPr>
          <w:p w14:paraId="6D365C4B">
            <w:pPr>
              <w:rPr>
                <w:rFonts w:ascii="Arial"/>
                <w:sz w:val="21"/>
              </w:rPr>
            </w:pPr>
          </w:p>
        </w:tc>
        <w:tc>
          <w:tcPr>
            <w:tcW w:w="1738" w:type="dxa"/>
            <w:vAlign w:val="top"/>
          </w:tcPr>
          <w:p w14:paraId="04A6E4F0">
            <w:pPr>
              <w:rPr>
                <w:rFonts w:ascii="Arial"/>
                <w:sz w:val="21"/>
              </w:rPr>
            </w:pPr>
          </w:p>
        </w:tc>
        <w:tc>
          <w:tcPr>
            <w:tcW w:w="649" w:type="dxa"/>
            <w:vAlign w:val="top"/>
          </w:tcPr>
          <w:p w14:paraId="3230C89F">
            <w:pPr>
              <w:rPr>
                <w:rFonts w:ascii="Arial"/>
                <w:sz w:val="21"/>
              </w:rPr>
            </w:pPr>
          </w:p>
        </w:tc>
        <w:tc>
          <w:tcPr>
            <w:tcW w:w="759" w:type="dxa"/>
            <w:vAlign w:val="top"/>
          </w:tcPr>
          <w:p w14:paraId="6141D402">
            <w:pPr>
              <w:rPr>
                <w:rFonts w:ascii="Arial"/>
                <w:sz w:val="21"/>
              </w:rPr>
            </w:pPr>
          </w:p>
        </w:tc>
        <w:tc>
          <w:tcPr>
            <w:tcW w:w="899" w:type="dxa"/>
            <w:vAlign w:val="top"/>
          </w:tcPr>
          <w:p w14:paraId="34812421">
            <w:pPr>
              <w:rPr>
                <w:rFonts w:ascii="Arial"/>
                <w:sz w:val="21"/>
              </w:rPr>
            </w:pPr>
          </w:p>
        </w:tc>
        <w:tc>
          <w:tcPr>
            <w:tcW w:w="919" w:type="dxa"/>
            <w:vAlign w:val="top"/>
          </w:tcPr>
          <w:p w14:paraId="29C93EFA">
            <w:pPr>
              <w:rPr>
                <w:rFonts w:ascii="Arial"/>
                <w:sz w:val="21"/>
              </w:rPr>
            </w:pPr>
          </w:p>
        </w:tc>
        <w:tc>
          <w:tcPr>
            <w:tcW w:w="1378" w:type="dxa"/>
            <w:vAlign w:val="top"/>
          </w:tcPr>
          <w:p w14:paraId="6D0AEC8A">
            <w:pPr>
              <w:rPr>
                <w:rFonts w:ascii="Arial"/>
                <w:sz w:val="21"/>
              </w:rPr>
            </w:pPr>
          </w:p>
        </w:tc>
        <w:tc>
          <w:tcPr>
            <w:tcW w:w="1538" w:type="dxa"/>
            <w:vAlign w:val="top"/>
          </w:tcPr>
          <w:p w14:paraId="1193D16B">
            <w:pPr>
              <w:rPr>
                <w:rFonts w:ascii="Arial"/>
                <w:sz w:val="21"/>
              </w:rPr>
            </w:pPr>
          </w:p>
        </w:tc>
        <w:tc>
          <w:tcPr>
            <w:tcW w:w="674" w:type="dxa"/>
            <w:vAlign w:val="top"/>
          </w:tcPr>
          <w:p w14:paraId="0BE4364C">
            <w:pPr>
              <w:rPr>
                <w:rFonts w:ascii="Arial"/>
                <w:sz w:val="21"/>
              </w:rPr>
            </w:pPr>
          </w:p>
        </w:tc>
      </w:tr>
      <w:tr w14:paraId="768B45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9" w:hRule="atLeast"/>
        </w:trPr>
        <w:tc>
          <w:tcPr>
            <w:tcW w:w="555" w:type="dxa"/>
            <w:vAlign w:val="top"/>
          </w:tcPr>
          <w:p w14:paraId="028C5E33">
            <w:pPr>
              <w:rPr>
                <w:rFonts w:ascii="Arial"/>
                <w:sz w:val="21"/>
              </w:rPr>
            </w:pPr>
          </w:p>
        </w:tc>
        <w:tc>
          <w:tcPr>
            <w:tcW w:w="1738" w:type="dxa"/>
            <w:vAlign w:val="top"/>
          </w:tcPr>
          <w:p w14:paraId="74DD7906">
            <w:pPr>
              <w:rPr>
                <w:rFonts w:ascii="Arial"/>
                <w:sz w:val="21"/>
              </w:rPr>
            </w:pPr>
          </w:p>
        </w:tc>
        <w:tc>
          <w:tcPr>
            <w:tcW w:w="649" w:type="dxa"/>
            <w:vAlign w:val="top"/>
          </w:tcPr>
          <w:p w14:paraId="22CC55DF">
            <w:pPr>
              <w:rPr>
                <w:rFonts w:ascii="Arial"/>
                <w:sz w:val="21"/>
              </w:rPr>
            </w:pPr>
          </w:p>
        </w:tc>
        <w:tc>
          <w:tcPr>
            <w:tcW w:w="759" w:type="dxa"/>
            <w:vAlign w:val="top"/>
          </w:tcPr>
          <w:p w14:paraId="3CC9F665">
            <w:pPr>
              <w:rPr>
                <w:rFonts w:ascii="Arial"/>
                <w:sz w:val="21"/>
              </w:rPr>
            </w:pPr>
          </w:p>
        </w:tc>
        <w:tc>
          <w:tcPr>
            <w:tcW w:w="899" w:type="dxa"/>
            <w:vAlign w:val="top"/>
          </w:tcPr>
          <w:p w14:paraId="4F1D1E75">
            <w:pPr>
              <w:rPr>
                <w:rFonts w:ascii="Arial"/>
                <w:sz w:val="21"/>
              </w:rPr>
            </w:pPr>
          </w:p>
        </w:tc>
        <w:tc>
          <w:tcPr>
            <w:tcW w:w="919" w:type="dxa"/>
            <w:vAlign w:val="top"/>
          </w:tcPr>
          <w:p w14:paraId="441225B9">
            <w:pPr>
              <w:rPr>
                <w:rFonts w:ascii="Arial"/>
                <w:sz w:val="21"/>
              </w:rPr>
            </w:pPr>
          </w:p>
        </w:tc>
        <w:tc>
          <w:tcPr>
            <w:tcW w:w="1378" w:type="dxa"/>
            <w:vAlign w:val="top"/>
          </w:tcPr>
          <w:p w14:paraId="132882D9">
            <w:pPr>
              <w:rPr>
                <w:rFonts w:ascii="Arial"/>
                <w:sz w:val="21"/>
              </w:rPr>
            </w:pPr>
          </w:p>
        </w:tc>
        <w:tc>
          <w:tcPr>
            <w:tcW w:w="1538" w:type="dxa"/>
            <w:vAlign w:val="top"/>
          </w:tcPr>
          <w:p w14:paraId="7C1AC50D">
            <w:pPr>
              <w:rPr>
                <w:rFonts w:ascii="Arial"/>
                <w:sz w:val="21"/>
              </w:rPr>
            </w:pPr>
          </w:p>
        </w:tc>
        <w:tc>
          <w:tcPr>
            <w:tcW w:w="674" w:type="dxa"/>
            <w:vAlign w:val="top"/>
          </w:tcPr>
          <w:p w14:paraId="2133C1C2">
            <w:pPr>
              <w:rPr>
                <w:rFonts w:ascii="Arial"/>
                <w:sz w:val="21"/>
              </w:rPr>
            </w:pPr>
          </w:p>
        </w:tc>
      </w:tr>
      <w:tr w14:paraId="45A598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0" w:hRule="atLeast"/>
        </w:trPr>
        <w:tc>
          <w:tcPr>
            <w:tcW w:w="555" w:type="dxa"/>
            <w:vAlign w:val="top"/>
          </w:tcPr>
          <w:p w14:paraId="4C064B49">
            <w:pPr>
              <w:rPr>
                <w:rFonts w:ascii="Arial"/>
                <w:sz w:val="21"/>
              </w:rPr>
            </w:pPr>
          </w:p>
        </w:tc>
        <w:tc>
          <w:tcPr>
            <w:tcW w:w="1738" w:type="dxa"/>
            <w:vAlign w:val="top"/>
          </w:tcPr>
          <w:p w14:paraId="1A84CE0C">
            <w:pPr>
              <w:rPr>
                <w:rFonts w:ascii="Arial"/>
                <w:sz w:val="21"/>
              </w:rPr>
            </w:pPr>
          </w:p>
        </w:tc>
        <w:tc>
          <w:tcPr>
            <w:tcW w:w="649" w:type="dxa"/>
            <w:vAlign w:val="top"/>
          </w:tcPr>
          <w:p w14:paraId="1AFDBBF5">
            <w:pPr>
              <w:rPr>
                <w:rFonts w:ascii="Arial"/>
                <w:sz w:val="21"/>
              </w:rPr>
            </w:pPr>
          </w:p>
        </w:tc>
        <w:tc>
          <w:tcPr>
            <w:tcW w:w="759" w:type="dxa"/>
            <w:vAlign w:val="top"/>
          </w:tcPr>
          <w:p w14:paraId="012E5B12">
            <w:pPr>
              <w:rPr>
                <w:rFonts w:ascii="Arial"/>
                <w:sz w:val="21"/>
              </w:rPr>
            </w:pPr>
          </w:p>
        </w:tc>
        <w:tc>
          <w:tcPr>
            <w:tcW w:w="899" w:type="dxa"/>
            <w:vAlign w:val="top"/>
          </w:tcPr>
          <w:p w14:paraId="4E366009">
            <w:pPr>
              <w:rPr>
                <w:rFonts w:ascii="Arial"/>
                <w:sz w:val="21"/>
              </w:rPr>
            </w:pPr>
          </w:p>
        </w:tc>
        <w:tc>
          <w:tcPr>
            <w:tcW w:w="919" w:type="dxa"/>
            <w:vAlign w:val="top"/>
          </w:tcPr>
          <w:p w14:paraId="32674D76">
            <w:pPr>
              <w:rPr>
                <w:rFonts w:ascii="Arial"/>
                <w:sz w:val="21"/>
              </w:rPr>
            </w:pPr>
          </w:p>
        </w:tc>
        <w:tc>
          <w:tcPr>
            <w:tcW w:w="1378" w:type="dxa"/>
            <w:vAlign w:val="top"/>
          </w:tcPr>
          <w:p w14:paraId="33A20F5D">
            <w:pPr>
              <w:rPr>
                <w:rFonts w:ascii="Arial"/>
                <w:sz w:val="21"/>
              </w:rPr>
            </w:pPr>
          </w:p>
        </w:tc>
        <w:tc>
          <w:tcPr>
            <w:tcW w:w="1538" w:type="dxa"/>
            <w:vAlign w:val="top"/>
          </w:tcPr>
          <w:p w14:paraId="733F17DD">
            <w:pPr>
              <w:rPr>
                <w:rFonts w:ascii="Arial"/>
                <w:sz w:val="21"/>
              </w:rPr>
            </w:pPr>
          </w:p>
        </w:tc>
        <w:tc>
          <w:tcPr>
            <w:tcW w:w="674" w:type="dxa"/>
            <w:vAlign w:val="top"/>
          </w:tcPr>
          <w:p w14:paraId="15B322FC">
            <w:pPr>
              <w:rPr>
                <w:rFonts w:ascii="Arial"/>
                <w:sz w:val="21"/>
              </w:rPr>
            </w:pPr>
          </w:p>
        </w:tc>
      </w:tr>
      <w:tr w14:paraId="486C89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9" w:hRule="atLeast"/>
        </w:trPr>
        <w:tc>
          <w:tcPr>
            <w:tcW w:w="555" w:type="dxa"/>
            <w:vAlign w:val="top"/>
          </w:tcPr>
          <w:p w14:paraId="3A4403AB">
            <w:pPr>
              <w:rPr>
                <w:rFonts w:ascii="Arial"/>
                <w:sz w:val="21"/>
              </w:rPr>
            </w:pPr>
          </w:p>
        </w:tc>
        <w:tc>
          <w:tcPr>
            <w:tcW w:w="1738" w:type="dxa"/>
            <w:vAlign w:val="top"/>
          </w:tcPr>
          <w:p w14:paraId="6D8428EA">
            <w:pPr>
              <w:rPr>
                <w:rFonts w:ascii="Arial"/>
                <w:sz w:val="21"/>
              </w:rPr>
            </w:pPr>
          </w:p>
        </w:tc>
        <w:tc>
          <w:tcPr>
            <w:tcW w:w="649" w:type="dxa"/>
            <w:vAlign w:val="top"/>
          </w:tcPr>
          <w:p w14:paraId="552A8C84">
            <w:pPr>
              <w:rPr>
                <w:rFonts w:ascii="Arial"/>
                <w:sz w:val="21"/>
              </w:rPr>
            </w:pPr>
          </w:p>
        </w:tc>
        <w:tc>
          <w:tcPr>
            <w:tcW w:w="759" w:type="dxa"/>
            <w:vAlign w:val="top"/>
          </w:tcPr>
          <w:p w14:paraId="25454A4A">
            <w:pPr>
              <w:rPr>
                <w:rFonts w:ascii="Arial"/>
                <w:sz w:val="21"/>
              </w:rPr>
            </w:pPr>
          </w:p>
        </w:tc>
        <w:tc>
          <w:tcPr>
            <w:tcW w:w="899" w:type="dxa"/>
            <w:vAlign w:val="top"/>
          </w:tcPr>
          <w:p w14:paraId="25D113BF">
            <w:pPr>
              <w:rPr>
                <w:rFonts w:ascii="Arial"/>
                <w:sz w:val="21"/>
              </w:rPr>
            </w:pPr>
          </w:p>
        </w:tc>
        <w:tc>
          <w:tcPr>
            <w:tcW w:w="919" w:type="dxa"/>
            <w:vAlign w:val="top"/>
          </w:tcPr>
          <w:p w14:paraId="7CA4D068">
            <w:pPr>
              <w:rPr>
                <w:rFonts w:ascii="Arial"/>
                <w:sz w:val="21"/>
              </w:rPr>
            </w:pPr>
          </w:p>
        </w:tc>
        <w:tc>
          <w:tcPr>
            <w:tcW w:w="1378" w:type="dxa"/>
            <w:vAlign w:val="top"/>
          </w:tcPr>
          <w:p w14:paraId="69CA90F9">
            <w:pPr>
              <w:rPr>
                <w:rFonts w:ascii="Arial"/>
                <w:sz w:val="21"/>
              </w:rPr>
            </w:pPr>
          </w:p>
        </w:tc>
        <w:tc>
          <w:tcPr>
            <w:tcW w:w="1538" w:type="dxa"/>
            <w:vAlign w:val="top"/>
          </w:tcPr>
          <w:p w14:paraId="526E7676">
            <w:pPr>
              <w:rPr>
                <w:rFonts w:ascii="Arial"/>
                <w:sz w:val="21"/>
              </w:rPr>
            </w:pPr>
          </w:p>
        </w:tc>
        <w:tc>
          <w:tcPr>
            <w:tcW w:w="674" w:type="dxa"/>
            <w:vAlign w:val="top"/>
          </w:tcPr>
          <w:p w14:paraId="0F34C66F">
            <w:pPr>
              <w:rPr>
                <w:rFonts w:ascii="Arial"/>
                <w:sz w:val="21"/>
              </w:rPr>
            </w:pPr>
          </w:p>
        </w:tc>
      </w:tr>
      <w:tr w14:paraId="746DB2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9" w:hRule="atLeast"/>
        </w:trPr>
        <w:tc>
          <w:tcPr>
            <w:tcW w:w="555" w:type="dxa"/>
            <w:vAlign w:val="top"/>
          </w:tcPr>
          <w:p w14:paraId="674FC19F">
            <w:pPr>
              <w:rPr>
                <w:rFonts w:ascii="Arial"/>
                <w:sz w:val="21"/>
              </w:rPr>
            </w:pPr>
          </w:p>
        </w:tc>
        <w:tc>
          <w:tcPr>
            <w:tcW w:w="1738" w:type="dxa"/>
            <w:vAlign w:val="top"/>
          </w:tcPr>
          <w:p w14:paraId="43EF93E4">
            <w:pPr>
              <w:rPr>
                <w:rFonts w:ascii="Arial"/>
                <w:sz w:val="21"/>
              </w:rPr>
            </w:pPr>
          </w:p>
        </w:tc>
        <w:tc>
          <w:tcPr>
            <w:tcW w:w="649" w:type="dxa"/>
            <w:vAlign w:val="top"/>
          </w:tcPr>
          <w:p w14:paraId="09334028">
            <w:pPr>
              <w:rPr>
                <w:rFonts w:ascii="Arial"/>
                <w:sz w:val="21"/>
              </w:rPr>
            </w:pPr>
          </w:p>
        </w:tc>
        <w:tc>
          <w:tcPr>
            <w:tcW w:w="759" w:type="dxa"/>
            <w:vAlign w:val="top"/>
          </w:tcPr>
          <w:p w14:paraId="38895435">
            <w:pPr>
              <w:rPr>
                <w:rFonts w:ascii="Arial"/>
                <w:sz w:val="21"/>
              </w:rPr>
            </w:pPr>
          </w:p>
        </w:tc>
        <w:tc>
          <w:tcPr>
            <w:tcW w:w="899" w:type="dxa"/>
            <w:vAlign w:val="top"/>
          </w:tcPr>
          <w:p w14:paraId="1A223505">
            <w:pPr>
              <w:rPr>
                <w:rFonts w:ascii="Arial"/>
                <w:sz w:val="21"/>
              </w:rPr>
            </w:pPr>
          </w:p>
        </w:tc>
        <w:tc>
          <w:tcPr>
            <w:tcW w:w="919" w:type="dxa"/>
            <w:vAlign w:val="top"/>
          </w:tcPr>
          <w:p w14:paraId="5547375D">
            <w:pPr>
              <w:rPr>
                <w:rFonts w:ascii="Arial"/>
                <w:sz w:val="21"/>
              </w:rPr>
            </w:pPr>
          </w:p>
        </w:tc>
        <w:tc>
          <w:tcPr>
            <w:tcW w:w="1378" w:type="dxa"/>
            <w:vAlign w:val="top"/>
          </w:tcPr>
          <w:p w14:paraId="06AAA667">
            <w:pPr>
              <w:rPr>
                <w:rFonts w:ascii="Arial"/>
                <w:sz w:val="21"/>
              </w:rPr>
            </w:pPr>
          </w:p>
        </w:tc>
        <w:tc>
          <w:tcPr>
            <w:tcW w:w="1538" w:type="dxa"/>
            <w:vAlign w:val="top"/>
          </w:tcPr>
          <w:p w14:paraId="2AFC505A">
            <w:pPr>
              <w:rPr>
                <w:rFonts w:ascii="Arial"/>
                <w:sz w:val="21"/>
              </w:rPr>
            </w:pPr>
          </w:p>
        </w:tc>
        <w:tc>
          <w:tcPr>
            <w:tcW w:w="674" w:type="dxa"/>
            <w:vAlign w:val="top"/>
          </w:tcPr>
          <w:p w14:paraId="66ABDEA8">
            <w:pPr>
              <w:rPr>
                <w:rFonts w:ascii="Arial"/>
                <w:sz w:val="21"/>
              </w:rPr>
            </w:pPr>
          </w:p>
        </w:tc>
      </w:tr>
      <w:tr w14:paraId="2C7454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9" w:hRule="atLeast"/>
        </w:trPr>
        <w:tc>
          <w:tcPr>
            <w:tcW w:w="555" w:type="dxa"/>
            <w:vAlign w:val="top"/>
          </w:tcPr>
          <w:p w14:paraId="123BC8A4">
            <w:pPr>
              <w:rPr>
                <w:rFonts w:ascii="Arial"/>
                <w:sz w:val="21"/>
              </w:rPr>
            </w:pPr>
          </w:p>
        </w:tc>
        <w:tc>
          <w:tcPr>
            <w:tcW w:w="1738" w:type="dxa"/>
            <w:vAlign w:val="top"/>
          </w:tcPr>
          <w:p w14:paraId="4612B54C">
            <w:pPr>
              <w:rPr>
                <w:rFonts w:ascii="Arial"/>
                <w:sz w:val="21"/>
              </w:rPr>
            </w:pPr>
          </w:p>
        </w:tc>
        <w:tc>
          <w:tcPr>
            <w:tcW w:w="649" w:type="dxa"/>
            <w:vAlign w:val="top"/>
          </w:tcPr>
          <w:p w14:paraId="1235371A">
            <w:pPr>
              <w:rPr>
                <w:rFonts w:ascii="Arial"/>
                <w:sz w:val="21"/>
              </w:rPr>
            </w:pPr>
          </w:p>
        </w:tc>
        <w:tc>
          <w:tcPr>
            <w:tcW w:w="759" w:type="dxa"/>
            <w:vAlign w:val="top"/>
          </w:tcPr>
          <w:p w14:paraId="1077165F">
            <w:pPr>
              <w:rPr>
                <w:rFonts w:ascii="Arial"/>
                <w:sz w:val="21"/>
              </w:rPr>
            </w:pPr>
          </w:p>
        </w:tc>
        <w:tc>
          <w:tcPr>
            <w:tcW w:w="899" w:type="dxa"/>
            <w:vAlign w:val="top"/>
          </w:tcPr>
          <w:p w14:paraId="025C7AE7">
            <w:pPr>
              <w:rPr>
                <w:rFonts w:ascii="Arial"/>
                <w:sz w:val="21"/>
              </w:rPr>
            </w:pPr>
          </w:p>
        </w:tc>
        <w:tc>
          <w:tcPr>
            <w:tcW w:w="919" w:type="dxa"/>
            <w:vAlign w:val="top"/>
          </w:tcPr>
          <w:p w14:paraId="553BE1E0">
            <w:pPr>
              <w:rPr>
                <w:rFonts w:ascii="Arial"/>
                <w:sz w:val="21"/>
              </w:rPr>
            </w:pPr>
          </w:p>
        </w:tc>
        <w:tc>
          <w:tcPr>
            <w:tcW w:w="1378" w:type="dxa"/>
            <w:vAlign w:val="top"/>
          </w:tcPr>
          <w:p w14:paraId="7EF51D61">
            <w:pPr>
              <w:rPr>
                <w:rFonts w:ascii="Arial"/>
                <w:sz w:val="21"/>
              </w:rPr>
            </w:pPr>
          </w:p>
        </w:tc>
        <w:tc>
          <w:tcPr>
            <w:tcW w:w="1538" w:type="dxa"/>
            <w:vAlign w:val="top"/>
          </w:tcPr>
          <w:p w14:paraId="5839A497">
            <w:pPr>
              <w:rPr>
                <w:rFonts w:ascii="Arial"/>
                <w:sz w:val="21"/>
              </w:rPr>
            </w:pPr>
          </w:p>
        </w:tc>
        <w:tc>
          <w:tcPr>
            <w:tcW w:w="674" w:type="dxa"/>
            <w:vAlign w:val="top"/>
          </w:tcPr>
          <w:p w14:paraId="5770BB08">
            <w:pPr>
              <w:rPr>
                <w:rFonts w:ascii="Arial"/>
                <w:sz w:val="21"/>
              </w:rPr>
            </w:pPr>
          </w:p>
        </w:tc>
      </w:tr>
      <w:tr w14:paraId="4BA4B5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9" w:hRule="atLeast"/>
        </w:trPr>
        <w:tc>
          <w:tcPr>
            <w:tcW w:w="555" w:type="dxa"/>
            <w:vAlign w:val="top"/>
          </w:tcPr>
          <w:p w14:paraId="5ADD4E84">
            <w:pPr>
              <w:rPr>
                <w:rFonts w:ascii="Arial"/>
                <w:sz w:val="21"/>
              </w:rPr>
            </w:pPr>
          </w:p>
        </w:tc>
        <w:tc>
          <w:tcPr>
            <w:tcW w:w="1738" w:type="dxa"/>
            <w:vAlign w:val="top"/>
          </w:tcPr>
          <w:p w14:paraId="0D8145AF">
            <w:pPr>
              <w:rPr>
                <w:rFonts w:ascii="Arial"/>
                <w:sz w:val="21"/>
              </w:rPr>
            </w:pPr>
          </w:p>
        </w:tc>
        <w:tc>
          <w:tcPr>
            <w:tcW w:w="649" w:type="dxa"/>
            <w:vAlign w:val="top"/>
          </w:tcPr>
          <w:p w14:paraId="0C4E4513">
            <w:pPr>
              <w:rPr>
                <w:rFonts w:ascii="Arial"/>
                <w:sz w:val="21"/>
              </w:rPr>
            </w:pPr>
          </w:p>
        </w:tc>
        <w:tc>
          <w:tcPr>
            <w:tcW w:w="759" w:type="dxa"/>
            <w:vAlign w:val="top"/>
          </w:tcPr>
          <w:p w14:paraId="7FA7F917">
            <w:pPr>
              <w:rPr>
                <w:rFonts w:ascii="Arial"/>
                <w:sz w:val="21"/>
              </w:rPr>
            </w:pPr>
          </w:p>
        </w:tc>
        <w:tc>
          <w:tcPr>
            <w:tcW w:w="899" w:type="dxa"/>
            <w:vAlign w:val="top"/>
          </w:tcPr>
          <w:p w14:paraId="1403D430">
            <w:pPr>
              <w:rPr>
                <w:rFonts w:ascii="Arial"/>
                <w:sz w:val="21"/>
              </w:rPr>
            </w:pPr>
          </w:p>
        </w:tc>
        <w:tc>
          <w:tcPr>
            <w:tcW w:w="919" w:type="dxa"/>
            <w:vAlign w:val="top"/>
          </w:tcPr>
          <w:p w14:paraId="09A4EEC2">
            <w:pPr>
              <w:rPr>
                <w:rFonts w:ascii="Arial"/>
                <w:sz w:val="21"/>
              </w:rPr>
            </w:pPr>
          </w:p>
        </w:tc>
        <w:tc>
          <w:tcPr>
            <w:tcW w:w="1378" w:type="dxa"/>
            <w:vAlign w:val="top"/>
          </w:tcPr>
          <w:p w14:paraId="728A8CF4">
            <w:pPr>
              <w:rPr>
                <w:rFonts w:ascii="Arial"/>
                <w:sz w:val="21"/>
              </w:rPr>
            </w:pPr>
          </w:p>
        </w:tc>
        <w:tc>
          <w:tcPr>
            <w:tcW w:w="1538" w:type="dxa"/>
            <w:vAlign w:val="top"/>
          </w:tcPr>
          <w:p w14:paraId="42DEFA85">
            <w:pPr>
              <w:rPr>
                <w:rFonts w:ascii="Arial"/>
                <w:sz w:val="21"/>
              </w:rPr>
            </w:pPr>
          </w:p>
        </w:tc>
        <w:tc>
          <w:tcPr>
            <w:tcW w:w="674" w:type="dxa"/>
            <w:vAlign w:val="top"/>
          </w:tcPr>
          <w:p w14:paraId="6E9E651C">
            <w:pPr>
              <w:rPr>
                <w:rFonts w:ascii="Arial"/>
                <w:sz w:val="21"/>
              </w:rPr>
            </w:pPr>
          </w:p>
        </w:tc>
      </w:tr>
      <w:tr w14:paraId="30A6BD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9" w:hRule="atLeast"/>
        </w:trPr>
        <w:tc>
          <w:tcPr>
            <w:tcW w:w="555" w:type="dxa"/>
            <w:vAlign w:val="top"/>
          </w:tcPr>
          <w:p w14:paraId="07B64176">
            <w:pPr>
              <w:rPr>
                <w:rFonts w:ascii="Arial"/>
                <w:sz w:val="21"/>
              </w:rPr>
            </w:pPr>
          </w:p>
        </w:tc>
        <w:tc>
          <w:tcPr>
            <w:tcW w:w="1738" w:type="dxa"/>
            <w:vAlign w:val="top"/>
          </w:tcPr>
          <w:p w14:paraId="5A02EE0F">
            <w:pPr>
              <w:rPr>
                <w:rFonts w:ascii="Arial"/>
                <w:sz w:val="21"/>
              </w:rPr>
            </w:pPr>
          </w:p>
        </w:tc>
        <w:tc>
          <w:tcPr>
            <w:tcW w:w="649" w:type="dxa"/>
            <w:vAlign w:val="top"/>
          </w:tcPr>
          <w:p w14:paraId="75B1D825">
            <w:pPr>
              <w:rPr>
                <w:rFonts w:ascii="Arial"/>
                <w:sz w:val="21"/>
              </w:rPr>
            </w:pPr>
          </w:p>
        </w:tc>
        <w:tc>
          <w:tcPr>
            <w:tcW w:w="759" w:type="dxa"/>
            <w:vAlign w:val="top"/>
          </w:tcPr>
          <w:p w14:paraId="2BBA3237">
            <w:pPr>
              <w:rPr>
                <w:rFonts w:ascii="Arial"/>
                <w:sz w:val="21"/>
              </w:rPr>
            </w:pPr>
          </w:p>
        </w:tc>
        <w:tc>
          <w:tcPr>
            <w:tcW w:w="899" w:type="dxa"/>
            <w:vAlign w:val="top"/>
          </w:tcPr>
          <w:p w14:paraId="123096F1">
            <w:pPr>
              <w:rPr>
                <w:rFonts w:ascii="Arial"/>
                <w:sz w:val="21"/>
              </w:rPr>
            </w:pPr>
          </w:p>
        </w:tc>
        <w:tc>
          <w:tcPr>
            <w:tcW w:w="919" w:type="dxa"/>
            <w:vAlign w:val="top"/>
          </w:tcPr>
          <w:p w14:paraId="16BAA2A7">
            <w:pPr>
              <w:rPr>
                <w:rFonts w:ascii="Arial"/>
                <w:sz w:val="21"/>
              </w:rPr>
            </w:pPr>
          </w:p>
        </w:tc>
        <w:tc>
          <w:tcPr>
            <w:tcW w:w="1378" w:type="dxa"/>
            <w:vAlign w:val="top"/>
          </w:tcPr>
          <w:p w14:paraId="28AA8766">
            <w:pPr>
              <w:rPr>
                <w:rFonts w:ascii="Arial"/>
                <w:sz w:val="21"/>
              </w:rPr>
            </w:pPr>
          </w:p>
        </w:tc>
        <w:tc>
          <w:tcPr>
            <w:tcW w:w="1538" w:type="dxa"/>
            <w:vAlign w:val="top"/>
          </w:tcPr>
          <w:p w14:paraId="1D3C2129">
            <w:pPr>
              <w:rPr>
                <w:rFonts w:ascii="Arial"/>
                <w:sz w:val="21"/>
              </w:rPr>
            </w:pPr>
          </w:p>
        </w:tc>
        <w:tc>
          <w:tcPr>
            <w:tcW w:w="674" w:type="dxa"/>
            <w:vAlign w:val="top"/>
          </w:tcPr>
          <w:p w14:paraId="53B3A139">
            <w:pPr>
              <w:rPr>
                <w:rFonts w:ascii="Arial"/>
                <w:sz w:val="21"/>
              </w:rPr>
            </w:pPr>
          </w:p>
        </w:tc>
      </w:tr>
      <w:tr w14:paraId="3B10A3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4" w:hRule="atLeast"/>
        </w:trPr>
        <w:tc>
          <w:tcPr>
            <w:tcW w:w="555" w:type="dxa"/>
            <w:vAlign w:val="top"/>
          </w:tcPr>
          <w:p w14:paraId="734310F2">
            <w:pPr>
              <w:rPr>
                <w:rFonts w:ascii="Arial"/>
                <w:sz w:val="21"/>
              </w:rPr>
            </w:pPr>
          </w:p>
        </w:tc>
        <w:tc>
          <w:tcPr>
            <w:tcW w:w="1738" w:type="dxa"/>
            <w:vAlign w:val="top"/>
          </w:tcPr>
          <w:p w14:paraId="0300172F">
            <w:pPr>
              <w:rPr>
                <w:rFonts w:ascii="Arial"/>
                <w:sz w:val="21"/>
              </w:rPr>
            </w:pPr>
          </w:p>
        </w:tc>
        <w:tc>
          <w:tcPr>
            <w:tcW w:w="649" w:type="dxa"/>
            <w:vAlign w:val="top"/>
          </w:tcPr>
          <w:p w14:paraId="2334D433">
            <w:pPr>
              <w:rPr>
                <w:rFonts w:ascii="Arial"/>
                <w:sz w:val="21"/>
              </w:rPr>
            </w:pPr>
          </w:p>
        </w:tc>
        <w:tc>
          <w:tcPr>
            <w:tcW w:w="759" w:type="dxa"/>
            <w:vAlign w:val="top"/>
          </w:tcPr>
          <w:p w14:paraId="42D089D5">
            <w:pPr>
              <w:rPr>
                <w:rFonts w:ascii="Arial"/>
                <w:sz w:val="21"/>
              </w:rPr>
            </w:pPr>
          </w:p>
        </w:tc>
        <w:tc>
          <w:tcPr>
            <w:tcW w:w="899" w:type="dxa"/>
            <w:vAlign w:val="top"/>
          </w:tcPr>
          <w:p w14:paraId="59438B1A">
            <w:pPr>
              <w:rPr>
                <w:rFonts w:ascii="Arial"/>
                <w:sz w:val="21"/>
              </w:rPr>
            </w:pPr>
          </w:p>
        </w:tc>
        <w:tc>
          <w:tcPr>
            <w:tcW w:w="919" w:type="dxa"/>
            <w:vAlign w:val="top"/>
          </w:tcPr>
          <w:p w14:paraId="7C0D6F1F">
            <w:pPr>
              <w:rPr>
                <w:rFonts w:ascii="Arial"/>
                <w:sz w:val="21"/>
              </w:rPr>
            </w:pPr>
          </w:p>
        </w:tc>
        <w:tc>
          <w:tcPr>
            <w:tcW w:w="1378" w:type="dxa"/>
            <w:vAlign w:val="top"/>
          </w:tcPr>
          <w:p w14:paraId="0351FE00">
            <w:pPr>
              <w:rPr>
                <w:rFonts w:ascii="Arial"/>
                <w:sz w:val="21"/>
              </w:rPr>
            </w:pPr>
          </w:p>
        </w:tc>
        <w:tc>
          <w:tcPr>
            <w:tcW w:w="1538" w:type="dxa"/>
            <w:vAlign w:val="top"/>
          </w:tcPr>
          <w:p w14:paraId="24F39BD4">
            <w:pPr>
              <w:rPr>
                <w:rFonts w:ascii="Arial"/>
                <w:sz w:val="21"/>
              </w:rPr>
            </w:pPr>
          </w:p>
        </w:tc>
        <w:tc>
          <w:tcPr>
            <w:tcW w:w="674" w:type="dxa"/>
            <w:vAlign w:val="top"/>
          </w:tcPr>
          <w:p w14:paraId="6CB38E04">
            <w:pPr>
              <w:rPr>
                <w:rFonts w:ascii="Arial"/>
                <w:sz w:val="21"/>
              </w:rPr>
            </w:pPr>
          </w:p>
        </w:tc>
      </w:tr>
    </w:tbl>
    <w:p w14:paraId="70A6F992">
      <w:pPr>
        <w:spacing w:line="264" w:lineRule="auto"/>
        <w:rPr>
          <w:rFonts w:ascii="Arial"/>
          <w:sz w:val="21"/>
        </w:rPr>
      </w:pPr>
    </w:p>
    <w:p w14:paraId="7EC053AF">
      <w:pPr>
        <w:pStyle w:val="2"/>
        <w:spacing w:before="65" w:line="218" w:lineRule="auto"/>
        <w:ind w:left="105"/>
        <w:rPr>
          <w:sz w:val="20"/>
          <w:szCs w:val="20"/>
        </w:rPr>
      </w:pPr>
      <w:r>
        <w:rPr>
          <w:spacing w:val="12"/>
          <w:sz w:val="20"/>
          <w:szCs w:val="20"/>
        </w:rPr>
        <w:t>注：1.此表由招标人填写除“投标单价”栏的内容，投标人在投标时自主确定投标单价。</w:t>
      </w:r>
    </w:p>
    <w:p w14:paraId="648ADBD9">
      <w:pPr>
        <w:pStyle w:val="2"/>
        <w:spacing w:before="33" w:line="251" w:lineRule="auto"/>
        <w:ind w:left="854" w:right="104" w:hanging="330"/>
        <w:rPr>
          <w:sz w:val="20"/>
          <w:szCs w:val="20"/>
        </w:rPr>
      </w:pPr>
      <w:r>
        <w:rPr>
          <w:spacing w:val="9"/>
          <w:sz w:val="20"/>
          <w:szCs w:val="20"/>
        </w:rPr>
        <w:t>2. 招标人应优先采用工程造价管理机构发布的单价作为基准单价，未发布的，通过市场调查</w:t>
      </w:r>
      <w:r>
        <w:rPr>
          <w:spacing w:val="11"/>
          <w:sz w:val="20"/>
          <w:szCs w:val="20"/>
        </w:rPr>
        <w:t xml:space="preserve"> </w:t>
      </w:r>
      <w:r>
        <w:rPr>
          <w:spacing w:val="6"/>
          <w:sz w:val="20"/>
          <w:szCs w:val="20"/>
        </w:rPr>
        <w:t>确定其基准单价。</w:t>
      </w:r>
    </w:p>
    <w:p w14:paraId="37767FE2">
      <w:pPr>
        <w:spacing w:line="251" w:lineRule="auto"/>
        <w:rPr>
          <w:sz w:val="20"/>
          <w:szCs w:val="20"/>
        </w:rPr>
        <w:sectPr>
          <w:footerReference r:id="rId316" w:type="default"/>
          <w:pgSz w:w="11910" w:h="16840"/>
          <w:pgMar w:top="400" w:right="1435" w:bottom="1147" w:left="1355" w:header="0" w:footer="1021" w:gutter="0"/>
          <w:cols w:space="720" w:num="1"/>
        </w:sectPr>
      </w:pPr>
    </w:p>
    <w:p w14:paraId="5EA22FE5">
      <w:pPr>
        <w:spacing w:line="261" w:lineRule="auto"/>
        <w:rPr>
          <w:rFonts w:ascii="Arial"/>
          <w:sz w:val="21"/>
        </w:rPr>
      </w:pPr>
    </w:p>
    <w:p w14:paraId="601D7E9F">
      <w:pPr>
        <w:spacing w:line="261" w:lineRule="auto"/>
        <w:rPr>
          <w:rFonts w:ascii="Arial"/>
          <w:sz w:val="21"/>
        </w:rPr>
      </w:pPr>
    </w:p>
    <w:p w14:paraId="0249BAF5">
      <w:pPr>
        <w:spacing w:line="261" w:lineRule="auto"/>
        <w:rPr>
          <w:rFonts w:ascii="Arial"/>
          <w:sz w:val="21"/>
        </w:rPr>
      </w:pPr>
    </w:p>
    <w:p w14:paraId="78695FE7">
      <w:pPr>
        <w:spacing w:line="261" w:lineRule="auto"/>
        <w:rPr>
          <w:rFonts w:ascii="Arial"/>
          <w:sz w:val="21"/>
        </w:rPr>
      </w:pPr>
    </w:p>
    <w:p w14:paraId="3D8F269D">
      <w:pPr>
        <w:spacing w:line="261" w:lineRule="auto"/>
        <w:rPr>
          <w:rFonts w:ascii="Arial"/>
          <w:sz w:val="21"/>
        </w:rPr>
      </w:pPr>
    </w:p>
    <w:p w14:paraId="779F3CDC">
      <w:pPr>
        <w:pStyle w:val="2"/>
        <w:spacing w:before="81" w:line="221" w:lineRule="auto"/>
        <w:ind w:left="538"/>
      </w:pPr>
      <w:r>
        <w:rPr>
          <w:rFonts w:ascii="黑体" w:hAnsi="黑体" w:eastAsia="黑体" w:cs="黑体"/>
          <w:b/>
          <w:bCs/>
          <w:spacing w:val="-3"/>
        </w:rPr>
        <w:t>4.16承包人提供主要材料和工程设备一览表</w:t>
      </w:r>
      <w:r>
        <w:rPr>
          <w:b/>
          <w:bCs/>
          <w:spacing w:val="-3"/>
        </w:rPr>
        <w:t>(适用于价格指数差额调整</w:t>
      </w:r>
      <w:r>
        <w:rPr>
          <w:b/>
          <w:bCs/>
          <w:spacing w:val="-4"/>
        </w:rPr>
        <w:t>法)</w:t>
      </w:r>
    </w:p>
    <w:p w14:paraId="236C3C45">
      <w:pPr>
        <w:spacing w:line="468" w:lineRule="auto"/>
        <w:rPr>
          <w:rFonts w:ascii="Arial"/>
          <w:sz w:val="21"/>
        </w:rPr>
      </w:pPr>
    </w:p>
    <w:p w14:paraId="6CBE0CEB">
      <w:pPr>
        <w:spacing w:before="91" w:line="222" w:lineRule="auto"/>
        <w:ind w:left="2169"/>
        <w:rPr>
          <w:rFonts w:ascii="黑体" w:hAnsi="黑体" w:eastAsia="黑体" w:cs="黑体"/>
          <w:sz w:val="28"/>
          <w:szCs w:val="28"/>
        </w:rPr>
      </w:pPr>
      <w:r>
        <w:rPr>
          <w:rFonts w:ascii="黑体" w:hAnsi="黑体" w:eastAsia="黑体" w:cs="黑体"/>
          <w:b/>
          <w:bCs/>
          <w:sz w:val="28"/>
          <w:szCs w:val="28"/>
        </w:rPr>
        <w:t>承包人提供主要材料和工程设备一览表</w:t>
      </w:r>
    </w:p>
    <w:p w14:paraId="0B62A67B">
      <w:pPr>
        <w:pStyle w:val="2"/>
        <w:spacing w:before="297" w:line="205" w:lineRule="auto"/>
        <w:ind w:left="125"/>
        <w:rPr>
          <w:sz w:val="23"/>
          <w:szCs w:val="23"/>
        </w:rPr>
      </w:pPr>
      <w:r>
        <w:rPr>
          <w:sz w:val="23"/>
          <w:szCs w:val="23"/>
        </w:rPr>
        <w:t xml:space="preserve">工程名称：                     标段名称：          </w:t>
      </w:r>
      <w:r>
        <w:rPr>
          <w:spacing w:val="-1"/>
          <w:sz w:val="23"/>
          <w:szCs w:val="23"/>
        </w:rPr>
        <w:t xml:space="preserve">     第 页 共 页</w:t>
      </w:r>
    </w:p>
    <w:tbl>
      <w:tblPr>
        <w:tblStyle w:val="5"/>
        <w:tblW w:w="888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04"/>
        <w:gridCol w:w="1838"/>
        <w:gridCol w:w="1438"/>
        <w:gridCol w:w="1798"/>
        <w:gridCol w:w="1738"/>
        <w:gridCol w:w="1473"/>
      </w:tblGrid>
      <w:tr w14:paraId="7C59F5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4" w:hRule="atLeast"/>
        </w:trPr>
        <w:tc>
          <w:tcPr>
            <w:tcW w:w="604" w:type="dxa"/>
            <w:textDirection w:val="tbRlV"/>
            <w:vAlign w:val="top"/>
          </w:tcPr>
          <w:p w14:paraId="75B23EEA">
            <w:pPr>
              <w:pStyle w:val="6"/>
              <w:spacing w:before="221" w:line="199" w:lineRule="auto"/>
              <w:ind w:left="144"/>
            </w:pPr>
            <w:r>
              <w:t>序</w:t>
            </w:r>
            <w:r>
              <w:rPr>
                <w:spacing w:val="51"/>
              </w:rPr>
              <w:t xml:space="preserve"> </w:t>
            </w:r>
            <w:r>
              <w:t>号</w:t>
            </w:r>
          </w:p>
        </w:tc>
        <w:tc>
          <w:tcPr>
            <w:tcW w:w="1838" w:type="dxa"/>
            <w:vAlign w:val="top"/>
          </w:tcPr>
          <w:p w14:paraId="16AA6E03">
            <w:pPr>
              <w:spacing w:line="273" w:lineRule="auto"/>
              <w:rPr>
                <w:rFonts w:ascii="Arial"/>
                <w:sz w:val="21"/>
              </w:rPr>
            </w:pPr>
          </w:p>
          <w:p w14:paraId="6549891D">
            <w:pPr>
              <w:pStyle w:val="6"/>
              <w:spacing w:before="69" w:line="219" w:lineRule="auto"/>
              <w:ind w:left="90"/>
            </w:pPr>
            <w:r>
              <w:rPr>
                <w:spacing w:val="1"/>
              </w:rPr>
              <w:t>名称、规格、型号</w:t>
            </w:r>
          </w:p>
        </w:tc>
        <w:tc>
          <w:tcPr>
            <w:tcW w:w="1438" w:type="dxa"/>
            <w:vAlign w:val="top"/>
          </w:tcPr>
          <w:p w14:paraId="5116D423">
            <w:pPr>
              <w:spacing w:line="273" w:lineRule="auto"/>
              <w:rPr>
                <w:rFonts w:ascii="Arial"/>
                <w:sz w:val="21"/>
              </w:rPr>
            </w:pPr>
          </w:p>
          <w:p w14:paraId="59BF78B2">
            <w:pPr>
              <w:pStyle w:val="6"/>
              <w:spacing w:before="69" w:line="219" w:lineRule="auto"/>
              <w:ind w:left="232"/>
            </w:pPr>
            <w:r>
              <w:rPr>
                <w:spacing w:val="2"/>
              </w:rPr>
              <w:t>变值权重B</w:t>
            </w:r>
          </w:p>
        </w:tc>
        <w:tc>
          <w:tcPr>
            <w:tcW w:w="1798" w:type="dxa"/>
            <w:vAlign w:val="top"/>
          </w:tcPr>
          <w:p w14:paraId="54076680">
            <w:pPr>
              <w:spacing w:line="271" w:lineRule="auto"/>
              <w:rPr>
                <w:rFonts w:ascii="Arial"/>
                <w:sz w:val="21"/>
              </w:rPr>
            </w:pPr>
          </w:p>
          <w:p w14:paraId="40E73264">
            <w:pPr>
              <w:pStyle w:val="6"/>
              <w:spacing w:before="69" w:line="218" w:lineRule="auto"/>
              <w:ind w:left="104"/>
              <w:rPr>
                <w:rFonts w:ascii="Calibri" w:hAnsi="Calibri" w:eastAsia="Calibri" w:cs="Calibri"/>
              </w:rPr>
            </w:pPr>
            <w:r>
              <w:rPr>
                <w:spacing w:val="13"/>
              </w:rPr>
              <w:t>基本价格指数F</w:t>
            </w:r>
            <w:r>
              <w:rPr>
                <w:rFonts w:ascii="Calibri" w:hAnsi="Calibri" w:eastAsia="Calibri" w:cs="Calibri"/>
                <w:spacing w:val="13"/>
              </w:rPr>
              <w:t>₀</w:t>
            </w:r>
          </w:p>
        </w:tc>
        <w:tc>
          <w:tcPr>
            <w:tcW w:w="1738" w:type="dxa"/>
            <w:vAlign w:val="top"/>
          </w:tcPr>
          <w:p w14:paraId="4583F4D1">
            <w:pPr>
              <w:spacing w:line="271" w:lineRule="auto"/>
              <w:rPr>
                <w:rFonts w:ascii="Arial"/>
                <w:sz w:val="21"/>
              </w:rPr>
            </w:pPr>
          </w:p>
          <w:p w14:paraId="3B9EDEFF">
            <w:pPr>
              <w:pStyle w:val="6"/>
              <w:spacing w:before="69" w:line="218" w:lineRule="auto"/>
              <w:ind w:left="77"/>
              <w:rPr>
                <w:rFonts w:ascii="Calibri" w:hAnsi="Calibri" w:eastAsia="Calibri" w:cs="Calibri"/>
              </w:rPr>
            </w:pPr>
            <w:r>
              <w:rPr>
                <w:spacing w:val="15"/>
              </w:rPr>
              <w:t>现行价格指数F</w:t>
            </w:r>
            <w:r>
              <w:rPr>
                <w:rFonts w:ascii="Calibri" w:hAnsi="Calibri" w:eastAsia="Calibri" w:cs="Calibri"/>
                <w:spacing w:val="15"/>
              </w:rPr>
              <w:t>₂</w:t>
            </w:r>
          </w:p>
        </w:tc>
        <w:tc>
          <w:tcPr>
            <w:tcW w:w="1473" w:type="dxa"/>
            <w:vAlign w:val="top"/>
          </w:tcPr>
          <w:p w14:paraId="3F23EE7D">
            <w:pPr>
              <w:spacing w:line="274" w:lineRule="auto"/>
              <w:rPr>
                <w:rFonts w:ascii="Arial"/>
                <w:sz w:val="21"/>
              </w:rPr>
            </w:pPr>
          </w:p>
          <w:p w14:paraId="2F8095F0">
            <w:pPr>
              <w:pStyle w:val="6"/>
              <w:spacing w:before="69" w:line="221" w:lineRule="auto"/>
              <w:ind w:left="549"/>
            </w:pPr>
            <w:r>
              <w:rPr>
                <w:spacing w:val="5"/>
              </w:rPr>
              <w:t>备注</w:t>
            </w:r>
          </w:p>
        </w:tc>
      </w:tr>
      <w:tr w14:paraId="2D597C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9" w:hRule="atLeast"/>
        </w:trPr>
        <w:tc>
          <w:tcPr>
            <w:tcW w:w="604" w:type="dxa"/>
            <w:vAlign w:val="top"/>
          </w:tcPr>
          <w:p w14:paraId="32EFE70A">
            <w:pPr>
              <w:rPr>
                <w:rFonts w:ascii="Arial"/>
                <w:sz w:val="21"/>
              </w:rPr>
            </w:pPr>
          </w:p>
        </w:tc>
        <w:tc>
          <w:tcPr>
            <w:tcW w:w="1838" w:type="dxa"/>
            <w:vAlign w:val="top"/>
          </w:tcPr>
          <w:p w14:paraId="66B0B011">
            <w:pPr>
              <w:rPr>
                <w:rFonts w:ascii="Arial"/>
                <w:sz w:val="21"/>
              </w:rPr>
            </w:pPr>
          </w:p>
        </w:tc>
        <w:tc>
          <w:tcPr>
            <w:tcW w:w="1438" w:type="dxa"/>
            <w:vAlign w:val="top"/>
          </w:tcPr>
          <w:p w14:paraId="06F25BA9">
            <w:pPr>
              <w:rPr>
                <w:rFonts w:ascii="Arial"/>
                <w:sz w:val="21"/>
              </w:rPr>
            </w:pPr>
          </w:p>
        </w:tc>
        <w:tc>
          <w:tcPr>
            <w:tcW w:w="1798" w:type="dxa"/>
            <w:vAlign w:val="top"/>
          </w:tcPr>
          <w:p w14:paraId="066F9B8A">
            <w:pPr>
              <w:rPr>
                <w:rFonts w:ascii="Arial"/>
                <w:sz w:val="21"/>
              </w:rPr>
            </w:pPr>
          </w:p>
        </w:tc>
        <w:tc>
          <w:tcPr>
            <w:tcW w:w="1738" w:type="dxa"/>
            <w:vAlign w:val="top"/>
          </w:tcPr>
          <w:p w14:paraId="1A03D6A6">
            <w:pPr>
              <w:rPr>
                <w:rFonts w:ascii="Arial"/>
                <w:sz w:val="21"/>
              </w:rPr>
            </w:pPr>
          </w:p>
        </w:tc>
        <w:tc>
          <w:tcPr>
            <w:tcW w:w="1473" w:type="dxa"/>
            <w:vAlign w:val="top"/>
          </w:tcPr>
          <w:p w14:paraId="2D31EBA3">
            <w:pPr>
              <w:rPr>
                <w:rFonts w:ascii="Arial"/>
                <w:sz w:val="21"/>
              </w:rPr>
            </w:pPr>
          </w:p>
        </w:tc>
      </w:tr>
      <w:tr w14:paraId="5A29D5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9" w:hRule="atLeast"/>
        </w:trPr>
        <w:tc>
          <w:tcPr>
            <w:tcW w:w="604" w:type="dxa"/>
            <w:vAlign w:val="top"/>
          </w:tcPr>
          <w:p w14:paraId="686CDBD5">
            <w:pPr>
              <w:rPr>
                <w:rFonts w:ascii="Arial"/>
                <w:sz w:val="21"/>
              </w:rPr>
            </w:pPr>
          </w:p>
        </w:tc>
        <w:tc>
          <w:tcPr>
            <w:tcW w:w="1838" w:type="dxa"/>
            <w:vAlign w:val="top"/>
          </w:tcPr>
          <w:p w14:paraId="671B8824">
            <w:pPr>
              <w:rPr>
                <w:rFonts w:ascii="Arial"/>
                <w:sz w:val="21"/>
              </w:rPr>
            </w:pPr>
          </w:p>
        </w:tc>
        <w:tc>
          <w:tcPr>
            <w:tcW w:w="1438" w:type="dxa"/>
            <w:vAlign w:val="top"/>
          </w:tcPr>
          <w:p w14:paraId="09ABEDC9">
            <w:pPr>
              <w:rPr>
                <w:rFonts w:ascii="Arial"/>
                <w:sz w:val="21"/>
              </w:rPr>
            </w:pPr>
          </w:p>
        </w:tc>
        <w:tc>
          <w:tcPr>
            <w:tcW w:w="1798" w:type="dxa"/>
            <w:vAlign w:val="top"/>
          </w:tcPr>
          <w:p w14:paraId="6512F2E4">
            <w:pPr>
              <w:rPr>
                <w:rFonts w:ascii="Arial"/>
                <w:sz w:val="21"/>
              </w:rPr>
            </w:pPr>
          </w:p>
        </w:tc>
        <w:tc>
          <w:tcPr>
            <w:tcW w:w="1738" w:type="dxa"/>
            <w:vAlign w:val="top"/>
          </w:tcPr>
          <w:p w14:paraId="7C14611B">
            <w:pPr>
              <w:rPr>
                <w:rFonts w:ascii="Arial"/>
                <w:sz w:val="21"/>
              </w:rPr>
            </w:pPr>
          </w:p>
        </w:tc>
        <w:tc>
          <w:tcPr>
            <w:tcW w:w="1473" w:type="dxa"/>
            <w:vAlign w:val="top"/>
          </w:tcPr>
          <w:p w14:paraId="757DF585">
            <w:pPr>
              <w:rPr>
                <w:rFonts w:ascii="Arial"/>
                <w:sz w:val="21"/>
              </w:rPr>
            </w:pPr>
          </w:p>
        </w:tc>
      </w:tr>
      <w:tr w14:paraId="120C8E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9" w:hRule="atLeast"/>
        </w:trPr>
        <w:tc>
          <w:tcPr>
            <w:tcW w:w="604" w:type="dxa"/>
            <w:vAlign w:val="top"/>
          </w:tcPr>
          <w:p w14:paraId="5DFD78D2">
            <w:pPr>
              <w:rPr>
                <w:rFonts w:ascii="Arial"/>
                <w:sz w:val="21"/>
              </w:rPr>
            </w:pPr>
          </w:p>
        </w:tc>
        <w:tc>
          <w:tcPr>
            <w:tcW w:w="1838" w:type="dxa"/>
            <w:vAlign w:val="top"/>
          </w:tcPr>
          <w:p w14:paraId="67C66B1B">
            <w:pPr>
              <w:rPr>
                <w:rFonts w:ascii="Arial"/>
                <w:sz w:val="21"/>
              </w:rPr>
            </w:pPr>
          </w:p>
        </w:tc>
        <w:tc>
          <w:tcPr>
            <w:tcW w:w="1438" w:type="dxa"/>
            <w:vAlign w:val="top"/>
          </w:tcPr>
          <w:p w14:paraId="55C33490">
            <w:pPr>
              <w:rPr>
                <w:rFonts w:ascii="Arial"/>
                <w:sz w:val="21"/>
              </w:rPr>
            </w:pPr>
          </w:p>
        </w:tc>
        <w:tc>
          <w:tcPr>
            <w:tcW w:w="1798" w:type="dxa"/>
            <w:vAlign w:val="top"/>
          </w:tcPr>
          <w:p w14:paraId="295993C9">
            <w:pPr>
              <w:rPr>
                <w:rFonts w:ascii="Arial"/>
                <w:sz w:val="21"/>
              </w:rPr>
            </w:pPr>
          </w:p>
        </w:tc>
        <w:tc>
          <w:tcPr>
            <w:tcW w:w="1738" w:type="dxa"/>
            <w:vAlign w:val="top"/>
          </w:tcPr>
          <w:p w14:paraId="5CD26347">
            <w:pPr>
              <w:rPr>
                <w:rFonts w:ascii="Arial"/>
                <w:sz w:val="21"/>
              </w:rPr>
            </w:pPr>
          </w:p>
        </w:tc>
        <w:tc>
          <w:tcPr>
            <w:tcW w:w="1473" w:type="dxa"/>
            <w:vAlign w:val="top"/>
          </w:tcPr>
          <w:p w14:paraId="0B30E12C">
            <w:pPr>
              <w:rPr>
                <w:rFonts w:ascii="Arial"/>
                <w:sz w:val="21"/>
              </w:rPr>
            </w:pPr>
          </w:p>
        </w:tc>
      </w:tr>
      <w:tr w14:paraId="082CDF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9" w:hRule="atLeast"/>
        </w:trPr>
        <w:tc>
          <w:tcPr>
            <w:tcW w:w="604" w:type="dxa"/>
            <w:vAlign w:val="top"/>
          </w:tcPr>
          <w:p w14:paraId="6E2DAEBB">
            <w:pPr>
              <w:rPr>
                <w:rFonts w:ascii="Arial"/>
                <w:sz w:val="21"/>
              </w:rPr>
            </w:pPr>
          </w:p>
        </w:tc>
        <w:tc>
          <w:tcPr>
            <w:tcW w:w="1838" w:type="dxa"/>
            <w:vAlign w:val="top"/>
          </w:tcPr>
          <w:p w14:paraId="3D4CA11E">
            <w:pPr>
              <w:rPr>
                <w:rFonts w:ascii="Arial"/>
                <w:sz w:val="21"/>
              </w:rPr>
            </w:pPr>
          </w:p>
        </w:tc>
        <w:tc>
          <w:tcPr>
            <w:tcW w:w="1438" w:type="dxa"/>
            <w:vAlign w:val="top"/>
          </w:tcPr>
          <w:p w14:paraId="3A7E8970">
            <w:pPr>
              <w:rPr>
                <w:rFonts w:ascii="Arial"/>
                <w:sz w:val="21"/>
              </w:rPr>
            </w:pPr>
          </w:p>
        </w:tc>
        <w:tc>
          <w:tcPr>
            <w:tcW w:w="1798" w:type="dxa"/>
            <w:vAlign w:val="top"/>
          </w:tcPr>
          <w:p w14:paraId="1D9CD55B">
            <w:pPr>
              <w:rPr>
                <w:rFonts w:ascii="Arial"/>
                <w:sz w:val="21"/>
              </w:rPr>
            </w:pPr>
          </w:p>
        </w:tc>
        <w:tc>
          <w:tcPr>
            <w:tcW w:w="1738" w:type="dxa"/>
            <w:vAlign w:val="top"/>
          </w:tcPr>
          <w:p w14:paraId="011191F5">
            <w:pPr>
              <w:rPr>
                <w:rFonts w:ascii="Arial"/>
                <w:sz w:val="21"/>
              </w:rPr>
            </w:pPr>
          </w:p>
        </w:tc>
        <w:tc>
          <w:tcPr>
            <w:tcW w:w="1473" w:type="dxa"/>
            <w:vAlign w:val="top"/>
          </w:tcPr>
          <w:p w14:paraId="56F9D38B">
            <w:pPr>
              <w:rPr>
                <w:rFonts w:ascii="Arial"/>
                <w:sz w:val="21"/>
              </w:rPr>
            </w:pPr>
          </w:p>
        </w:tc>
      </w:tr>
      <w:tr w14:paraId="48F356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9" w:hRule="atLeast"/>
        </w:trPr>
        <w:tc>
          <w:tcPr>
            <w:tcW w:w="604" w:type="dxa"/>
            <w:vAlign w:val="top"/>
          </w:tcPr>
          <w:p w14:paraId="22370C8D">
            <w:pPr>
              <w:rPr>
                <w:rFonts w:ascii="Arial"/>
                <w:sz w:val="21"/>
              </w:rPr>
            </w:pPr>
          </w:p>
        </w:tc>
        <w:tc>
          <w:tcPr>
            <w:tcW w:w="1838" w:type="dxa"/>
            <w:vAlign w:val="top"/>
          </w:tcPr>
          <w:p w14:paraId="7650C977">
            <w:pPr>
              <w:rPr>
                <w:rFonts w:ascii="Arial"/>
                <w:sz w:val="21"/>
              </w:rPr>
            </w:pPr>
          </w:p>
        </w:tc>
        <w:tc>
          <w:tcPr>
            <w:tcW w:w="1438" w:type="dxa"/>
            <w:vAlign w:val="top"/>
          </w:tcPr>
          <w:p w14:paraId="5E8EF520">
            <w:pPr>
              <w:rPr>
                <w:rFonts w:ascii="Arial"/>
                <w:sz w:val="21"/>
              </w:rPr>
            </w:pPr>
          </w:p>
        </w:tc>
        <w:tc>
          <w:tcPr>
            <w:tcW w:w="1798" w:type="dxa"/>
            <w:vAlign w:val="top"/>
          </w:tcPr>
          <w:p w14:paraId="269BDA23">
            <w:pPr>
              <w:rPr>
                <w:rFonts w:ascii="Arial"/>
                <w:sz w:val="21"/>
              </w:rPr>
            </w:pPr>
          </w:p>
        </w:tc>
        <w:tc>
          <w:tcPr>
            <w:tcW w:w="1738" w:type="dxa"/>
            <w:vAlign w:val="top"/>
          </w:tcPr>
          <w:p w14:paraId="160E90F7">
            <w:pPr>
              <w:rPr>
                <w:rFonts w:ascii="Arial"/>
                <w:sz w:val="21"/>
              </w:rPr>
            </w:pPr>
          </w:p>
        </w:tc>
        <w:tc>
          <w:tcPr>
            <w:tcW w:w="1473" w:type="dxa"/>
            <w:vAlign w:val="top"/>
          </w:tcPr>
          <w:p w14:paraId="51857A66">
            <w:pPr>
              <w:rPr>
                <w:rFonts w:ascii="Arial"/>
                <w:sz w:val="21"/>
              </w:rPr>
            </w:pPr>
          </w:p>
        </w:tc>
      </w:tr>
      <w:tr w14:paraId="57EB7E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9" w:hRule="atLeast"/>
        </w:trPr>
        <w:tc>
          <w:tcPr>
            <w:tcW w:w="604" w:type="dxa"/>
            <w:vAlign w:val="top"/>
          </w:tcPr>
          <w:p w14:paraId="60C029FE">
            <w:pPr>
              <w:rPr>
                <w:rFonts w:ascii="Arial"/>
                <w:sz w:val="21"/>
              </w:rPr>
            </w:pPr>
          </w:p>
        </w:tc>
        <w:tc>
          <w:tcPr>
            <w:tcW w:w="1838" w:type="dxa"/>
            <w:vAlign w:val="top"/>
          </w:tcPr>
          <w:p w14:paraId="3B53B103">
            <w:pPr>
              <w:rPr>
                <w:rFonts w:ascii="Arial"/>
                <w:sz w:val="21"/>
              </w:rPr>
            </w:pPr>
          </w:p>
        </w:tc>
        <w:tc>
          <w:tcPr>
            <w:tcW w:w="1438" w:type="dxa"/>
            <w:vAlign w:val="top"/>
          </w:tcPr>
          <w:p w14:paraId="1E24E5CF">
            <w:pPr>
              <w:rPr>
                <w:rFonts w:ascii="Arial"/>
                <w:sz w:val="21"/>
              </w:rPr>
            </w:pPr>
          </w:p>
        </w:tc>
        <w:tc>
          <w:tcPr>
            <w:tcW w:w="1798" w:type="dxa"/>
            <w:vAlign w:val="top"/>
          </w:tcPr>
          <w:p w14:paraId="21857698">
            <w:pPr>
              <w:rPr>
                <w:rFonts w:ascii="Arial"/>
                <w:sz w:val="21"/>
              </w:rPr>
            </w:pPr>
          </w:p>
        </w:tc>
        <w:tc>
          <w:tcPr>
            <w:tcW w:w="1738" w:type="dxa"/>
            <w:vAlign w:val="top"/>
          </w:tcPr>
          <w:p w14:paraId="1C0C6614">
            <w:pPr>
              <w:rPr>
                <w:rFonts w:ascii="Arial"/>
                <w:sz w:val="21"/>
              </w:rPr>
            </w:pPr>
          </w:p>
        </w:tc>
        <w:tc>
          <w:tcPr>
            <w:tcW w:w="1473" w:type="dxa"/>
            <w:vAlign w:val="top"/>
          </w:tcPr>
          <w:p w14:paraId="67BDB5EF">
            <w:pPr>
              <w:rPr>
                <w:rFonts w:ascii="Arial"/>
                <w:sz w:val="21"/>
              </w:rPr>
            </w:pPr>
          </w:p>
        </w:tc>
      </w:tr>
      <w:tr w14:paraId="178774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9" w:hRule="atLeast"/>
        </w:trPr>
        <w:tc>
          <w:tcPr>
            <w:tcW w:w="604" w:type="dxa"/>
            <w:vAlign w:val="top"/>
          </w:tcPr>
          <w:p w14:paraId="29208044">
            <w:pPr>
              <w:rPr>
                <w:rFonts w:ascii="Arial"/>
                <w:sz w:val="21"/>
              </w:rPr>
            </w:pPr>
          </w:p>
        </w:tc>
        <w:tc>
          <w:tcPr>
            <w:tcW w:w="1838" w:type="dxa"/>
            <w:vAlign w:val="top"/>
          </w:tcPr>
          <w:p w14:paraId="5C61AEF1">
            <w:pPr>
              <w:rPr>
                <w:rFonts w:ascii="Arial"/>
                <w:sz w:val="21"/>
              </w:rPr>
            </w:pPr>
          </w:p>
        </w:tc>
        <w:tc>
          <w:tcPr>
            <w:tcW w:w="1438" w:type="dxa"/>
            <w:vAlign w:val="top"/>
          </w:tcPr>
          <w:p w14:paraId="3D7D04F2">
            <w:pPr>
              <w:rPr>
                <w:rFonts w:ascii="Arial"/>
                <w:sz w:val="21"/>
              </w:rPr>
            </w:pPr>
          </w:p>
        </w:tc>
        <w:tc>
          <w:tcPr>
            <w:tcW w:w="1798" w:type="dxa"/>
            <w:vAlign w:val="top"/>
          </w:tcPr>
          <w:p w14:paraId="5964A6EA">
            <w:pPr>
              <w:rPr>
                <w:rFonts w:ascii="Arial"/>
                <w:sz w:val="21"/>
              </w:rPr>
            </w:pPr>
          </w:p>
        </w:tc>
        <w:tc>
          <w:tcPr>
            <w:tcW w:w="1738" w:type="dxa"/>
            <w:vAlign w:val="top"/>
          </w:tcPr>
          <w:p w14:paraId="0208964C">
            <w:pPr>
              <w:rPr>
                <w:rFonts w:ascii="Arial"/>
                <w:sz w:val="21"/>
              </w:rPr>
            </w:pPr>
          </w:p>
        </w:tc>
        <w:tc>
          <w:tcPr>
            <w:tcW w:w="1473" w:type="dxa"/>
            <w:vAlign w:val="top"/>
          </w:tcPr>
          <w:p w14:paraId="183EB31F">
            <w:pPr>
              <w:rPr>
                <w:rFonts w:ascii="Arial"/>
                <w:sz w:val="21"/>
              </w:rPr>
            </w:pPr>
          </w:p>
        </w:tc>
      </w:tr>
      <w:tr w14:paraId="37002C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9" w:hRule="atLeast"/>
        </w:trPr>
        <w:tc>
          <w:tcPr>
            <w:tcW w:w="604" w:type="dxa"/>
            <w:vAlign w:val="top"/>
          </w:tcPr>
          <w:p w14:paraId="69CC800A">
            <w:pPr>
              <w:rPr>
                <w:rFonts w:ascii="Arial"/>
                <w:sz w:val="21"/>
              </w:rPr>
            </w:pPr>
          </w:p>
        </w:tc>
        <w:tc>
          <w:tcPr>
            <w:tcW w:w="1838" w:type="dxa"/>
            <w:vAlign w:val="top"/>
          </w:tcPr>
          <w:p w14:paraId="645C6AF2">
            <w:pPr>
              <w:spacing w:line="276" w:lineRule="auto"/>
              <w:rPr>
                <w:rFonts w:ascii="Arial"/>
                <w:sz w:val="21"/>
              </w:rPr>
            </w:pPr>
          </w:p>
          <w:p w14:paraId="47CC03E3">
            <w:pPr>
              <w:pStyle w:val="6"/>
              <w:spacing w:before="69" w:line="219" w:lineRule="auto"/>
              <w:ind w:left="420"/>
            </w:pPr>
            <w:r>
              <w:rPr>
                <w:spacing w:val="-3"/>
              </w:rPr>
              <w:t>定值权重A</w:t>
            </w:r>
          </w:p>
        </w:tc>
        <w:tc>
          <w:tcPr>
            <w:tcW w:w="1438" w:type="dxa"/>
            <w:vAlign w:val="top"/>
          </w:tcPr>
          <w:p w14:paraId="1188A5A7">
            <w:pPr>
              <w:rPr>
                <w:rFonts w:ascii="Arial"/>
                <w:sz w:val="21"/>
              </w:rPr>
            </w:pPr>
          </w:p>
        </w:tc>
        <w:tc>
          <w:tcPr>
            <w:tcW w:w="1798" w:type="dxa"/>
            <w:vAlign w:val="top"/>
          </w:tcPr>
          <w:p w14:paraId="0574B541">
            <w:pPr>
              <w:spacing w:line="375" w:lineRule="auto"/>
              <w:rPr>
                <w:rFonts w:ascii="Arial"/>
                <w:sz w:val="21"/>
              </w:rPr>
            </w:pPr>
          </w:p>
          <w:p w14:paraId="3DC0E304">
            <w:pPr>
              <w:pStyle w:val="6"/>
              <w:spacing w:before="69" w:line="162" w:lineRule="exact"/>
              <w:ind w:left="785"/>
            </w:pPr>
            <w:r>
              <w:rPr>
                <w:position w:val="-4"/>
              </w:rPr>
              <w:t>一</w:t>
            </w:r>
          </w:p>
        </w:tc>
        <w:tc>
          <w:tcPr>
            <w:tcW w:w="1738" w:type="dxa"/>
            <w:vAlign w:val="top"/>
          </w:tcPr>
          <w:p w14:paraId="38DBE41A">
            <w:pPr>
              <w:spacing w:line="375" w:lineRule="auto"/>
              <w:rPr>
                <w:rFonts w:ascii="Arial"/>
                <w:sz w:val="21"/>
              </w:rPr>
            </w:pPr>
          </w:p>
          <w:p w14:paraId="6DCC6C99">
            <w:pPr>
              <w:pStyle w:val="6"/>
              <w:spacing w:before="69" w:line="162" w:lineRule="exact"/>
              <w:ind w:left="756"/>
            </w:pPr>
            <w:r>
              <w:rPr>
                <w:position w:val="-4"/>
              </w:rPr>
              <w:t>一</w:t>
            </w:r>
          </w:p>
        </w:tc>
        <w:tc>
          <w:tcPr>
            <w:tcW w:w="1473" w:type="dxa"/>
            <w:vAlign w:val="top"/>
          </w:tcPr>
          <w:p w14:paraId="6C5E3926">
            <w:pPr>
              <w:rPr>
                <w:rFonts w:ascii="Arial"/>
                <w:sz w:val="21"/>
              </w:rPr>
            </w:pPr>
          </w:p>
        </w:tc>
      </w:tr>
      <w:tr w14:paraId="254D21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3" w:hRule="atLeast"/>
        </w:trPr>
        <w:tc>
          <w:tcPr>
            <w:tcW w:w="2442" w:type="dxa"/>
            <w:gridSpan w:val="2"/>
            <w:vAlign w:val="top"/>
          </w:tcPr>
          <w:p w14:paraId="7F5894BA">
            <w:pPr>
              <w:spacing w:line="268" w:lineRule="auto"/>
              <w:rPr>
                <w:rFonts w:ascii="Arial"/>
                <w:sz w:val="21"/>
              </w:rPr>
            </w:pPr>
          </w:p>
          <w:p w14:paraId="548EECE6">
            <w:pPr>
              <w:pStyle w:val="6"/>
              <w:spacing w:before="69" w:line="221" w:lineRule="auto"/>
              <w:ind w:left="1004"/>
            </w:pPr>
            <w:r>
              <w:rPr>
                <w:spacing w:val="-3"/>
              </w:rPr>
              <w:t>合计</w:t>
            </w:r>
          </w:p>
        </w:tc>
        <w:tc>
          <w:tcPr>
            <w:tcW w:w="1438" w:type="dxa"/>
            <w:vAlign w:val="top"/>
          </w:tcPr>
          <w:p w14:paraId="2312363C">
            <w:pPr>
              <w:spacing w:line="288" w:lineRule="auto"/>
              <w:rPr>
                <w:rFonts w:ascii="Arial"/>
                <w:sz w:val="21"/>
              </w:rPr>
            </w:pPr>
          </w:p>
          <w:p w14:paraId="5F63F841">
            <w:pPr>
              <w:pStyle w:val="6"/>
              <w:spacing w:before="68" w:line="241" w:lineRule="auto"/>
              <w:ind w:left="653"/>
            </w:pPr>
            <w:r>
              <w:t>1</w:t>
            </w:r>
          </w:p>
        </w:tc>
        <w:tc>
          <w:tcPr>
            <w:tcW w:w="1798" w:type="dxa"/>
            <w:vAlign w:val="top"/>
          </w:tcPr>
          <w:p w14:paraId="4D951B16">
            <w:pPr>
              <w:spacing w:line="366" w:lineRule="auto"/>
              <w:rPr>
                <w:rFonts w:ascii="Arial"/>
                <w:sz w:val="21"/>
              </w:rPr>
            </w:pPr>
          </w:p>
          <w:p w14:paraId="7F0B73C1">
            <w:pPr>
              <w:pStyle w:val="6"/>
              <w:spacing w:before="69" w:line="162" w:lineRule="exact"/>
              <w:ind w:left="785"/>
            </w:pPr>
            <w:r>
              <w:rPr>
                <w:position w:val="-4"/>
              </w:rPr>
              <w:t>一</w:t>
            </w:r>
          </w:p>
        </w:tc>
        <w:tc>
          <w:tcPr>
            <w:tcW w:w="1738" w:type="dxa"/>
            <w:vAlign w:val="top"/>
          </w:tcPr>
          <w:p w14:paraId="7086D3C0">
            <w:pPr>
              <w:spacing w:line="366" w:lineRule="auto"/>
              <w:rPr>
                <w:rFonts w:ascii="Arial"/>
                <w:sz w:val="21"/>
              </w:rPr>
            </w:pPr>
          </w:p>
          <w:p w14:paraId="29E21DE1">
            <w:pPr>
              <w:pStyle w:val="6"/>
              <w:spacing w:before="69" w:line="162" w:lineRule="exact"/>
              <w:ind w:left="756"/>
            </w:pPr>
            <w:r>
              <w:rPr>
                <w:position w:val="-4"/>
              </w:rPr>
              <w:t>一</w:t>
            </w:r>
          </w:p>
        </w:tc>
        <w:tc>
          <w:tcPr>
            <w:tcW w:w="1473" w:type="dxa"/>
            <w:vAlign w:val="top"/>
          </w:tcPr>
          <w:p w14:paraId="6B4F991C">
            <w:pPr>
              <w:rPr>
                <w:rFonts w:ascii="Arial"/>
                <w:sz w:val="21"/>
              </w:rPr>
            </w:pPr>
          </w:p>
        </w:tc>
      </w:tr>
    </w:tbl>
    <w:p w14:paraId="5456EE70">
      <w:pPr>
        <w:spacing w:line="263" w:lineRule="auto"/>
        <w:rPr>
          <w:rFonts w:ascii="Arial"/>
          <w:sz w:val="21"/>
        </w:rPr>
      </w:pPr>
    </w:p>
    <w:p w14:paraId="4ECD12B4">
      <w:pPr>
        <w:spacing w:line="263" w:lineRule="auto"/>
        <w:rPr>
          <w:rFonts w:ascii="Arial"/>
          <w:sz w:val="21"/>
        </w:rPr>
      </w:pPr>
    </w:p>
    <w:p w14:paraId="457EB30E">
      <w:pPr>
        <w:spacing w:line="264" w:lineRule="auto"/>
        <w:rPr>
          <w:rFonts w:ascii="Arial"/>
          <w:sz w:val="21"/>
        </w:rPr>
      </w:pPr>
    </w:p>
    <w:p w14:paraId="03291F5C">
      <w:pPr>
        <w:pStyle w:val="2"/>
        <w:spacing w:before="68" w:line="231" w:lineRule="auto"/>
        <w:ind w:left="955" w:hanging="840"/>
        <w:rPr>
          <w:sz w:val="21"/>
          <w:szCs w:val="21"/>
        </w:rPr>
      </w:pPr>
      <w:r>
        <w:rPr>
          <w:spacing w:val="-2"/>
          <w:sz w:val="21"/>
          <w:szCs w:val="21"/>
        </w:rPr>
        <w:t>注：1.“名称、规格、型号”、“基本价格指数”栏由招标人填写，基本价格指数应</w:t>
      </w:r>
      <w:r>
        <w:rPr>
          <w:spacing w:val="-3"/>
          <w:sz w:val="21"/>
          <w:szCs w:val="21"/>
        </w:rPr>
        <w:t>首先采用工程</w:t>
      </w:r>
      <w:r>
        <w:rPr>
          <w:sz w:val="21"/>
          <w:szCs w:val="21"/>
        </w:rPr>
        <w:t xml:space="preserve"> </w:t>
      </w:r>
      <w:r>
        <w:rPr>
          <w:spacing w:val="2"/>
          <w:sz w:val="21"/>
          <w:szCs w:val="21"/>
        </w:rPr>
        <w:t>造价管理机构发布的价格指数，没有时，可用发布的价格代替。如人工、机械也采用本</w:t>
      </w:r>
      <w:r>
        <w:rPr>
          <w:spacing w:val="12"/>
          <w:sz w:val="21"/>
          <w:szCs w:val="21"/>
        </w:rPr>
        <w:t xml:space="preserve"> </w:t>
      </w:r>
      <w:r>
        <w:rPr>
          <w:spacing w:val="-1"/>
          <w:sz w:val="21"/>
          <w:szCs w:val="21"/>
        </w:rPr>
        <w:t>法调整，由招标人在“名称”栏填写。</w:t>
      </w:r>
    </w:p>
    <w:p w14:paraId="65903098">
      <w:pPr>
        <w:pStyle w:val="2"/>
        <w:spacing w:line="233" w:lineRule="auto"/>
        <w:ind w:left="954" w:right="29" w:hanging="420"/>
        <w:rPr>
          <w:sz w:val="21"/>
          <w:szCs w:val="21"/>
        </w:rPr>
      </w:pPr>
      <w:r>
        <w:rPr>
          <w:sz w:val="21"/>
          <w:szCs w:val="21"/>
        </w:rPr>
        <w:t>2. “变值权重”栏由投标人根据该项人工、机械</w:t>
      </w:r>
      <w:r>
        <w:rPr>
          <w:spacing w:val="-1"/>
          <w:sz w:val="21"/>
          <w:szCs w:val="21"/>
        </w:rPr>
        <w:t>费和材料、工程设备价值在投标总报价中所</w:t>
      </w:r>
      <w:r>
        <w:rPr>
          <w:sz w:val="21"/>
          <w:szCs w:val="21"/>
        </w:rPr>
        <w:t xml:space="preserve"> </w:t>
      </w:r>
      <w:r>
        <w:rPr>
          <w:spacing w:val="2"/>
          <w:sz w:val="21"/>
          <w:szCs w:val="21"/>
        </w:rPr>
        <w:t>站比例填写，1减去其比例为定值权重。</w:t>
      </w:r>
    </w:p>
    <w:p w14:paraId="18A1548E">
      <w:pPr>
        <w:pStyle w:val="2"/>
        <w:spacing w:before="9" w:line="245" w:lineRule="auto"/>
        <w:ind w:left="954" w:right="26" w:hanging="420"/>
        <w:rPr>
          <w:sz w:val="21"/>
          <w:szCs w:val="21"/>
        </w:rPr>
      </w:pPr>
      <w:r>
        <w:rPr>
          <w:spacing w:val="1"/>
          <w:sz w:val="21"/>
          <w:szCs w:val="21"/>
        </w:rPr>
        <w:t>3.</w:t>
      </w:r>
      <w:r>
        <w:rPr>
          <w:spacing w:val="-50"/>
          <w:sz w:val="21"/>
          <w:szCs w:val="21"/>
        </w:rPr>
        <w:t xml:space="preserve"> </w:t>
      </w:r>
      <w:r>
        <w:rPr>
          <w:spacing w:val="1"/>
          <w:sz w:val="21"/>
          <w:szCs w:val="21"/>
        </w:rPr>
        <w:t>“现行价格指数”按约定的付款证书相关周期最后一天的前42天的各项</w:t>
      </w:r>
      <w:r>
        <w:rPr>
          <w:sz w:val="21"/>
          <w:szCs w:val="21"/>
        </w:rPr>
        <w:t>价格指数填写，该 指数应首先采用工程造价管理机构发布的价格指</w:t>
      </w:r>
      <w:r>
        <w:rPr>
          <w:spacing w:val="-1"/>
          <w:sz w:val="21"/>
          <w:szCs w:val="21"/>
        </w:rPr>
        <w:t>数，没有时，可用发布的价格代替。</w:t>
      </w:r>
    </w:p>
    <w:p w14:paraId="0659F135">
      <w:pPr>
        <w:spacing w:line="245" w:lineRule="auto"/>
        <w:rPr>
          <w:sz w:val="21"/>
          <w:szCs w:val="21"/>
        </w:rPr>
        <w:sectPr>
          <w:footerReference r:id="rId317" w:type="default"/>
          <w:pgSz w:w="11910" w:h="16840"/>
          <w:pgMar w:top="400" w:right="1512" w:bottom="1147" w:left="1344" w:header="0" w:footer="1021" w:gutter="0"/>
          <w:cols w:space="720" w:num="1"/>
        </w:sectPr>
      </w:pPr>
    </w:p>
    <w:p w14:paraId="0C826B9D">
      <w:pPr>
        <w:spacing w:line="290" w:lineRule="auto"/>
        <w:rPr>
          <w:rFonts w:ascii="Arial"/>
          <w:sz w:val="21"/>
        </w:rPr>
      </w:pPr>
    </w:p>
    <w:p w14:paraId="1F4F4776">
      <w:pPr>
        <w:spacing w:line="290" w:lineRule="auto"/>
        <w:rPr>
          <w:rFonts w:ascii="Arial"/>
          <w:sz w:val="21"/>
        </w:rPr>
      </w:pPr>
    </w:p>
    <w:p w14:paraId="47D30C8A">
      <w:pPr>
        <w:spacing w:line="291" w:lineRule="auto"/>
        <w:rPr>
          <w:rFonts w:ascii="Arial"/>
          <w:sz w:val="21"/>
        </w:rPr>
      </w:pPr>
    </w:p>
    <w:p w14:paraId="26AA3A49">
      <w:pPr>
        <w:spacing w:line="291" w:lineRule="auto"/>
        <w:rPr>
          <w:rFonts w:ascii="Arial"/>
          <w:sz w:val="21"/>
        </w:rPr>
      </w:pPr>
    </w:p>
    <w:p w14:paraId="5083D78A">
      <w:pPr>
        <w:spacing w:before="150" w:line="222" w:lineRule="auto"/>
        <w:ind w:left="3430"/>
        <w:outlineLvl w:val="0"/>
        <w:rPr>
          <w:rFonts w:ascii="黑体" w:hAnsi="黑体" w:eastAsia="黑体" w:cs="黑体"/>
          <w:sz w:val="46"/>
          <w:szCs w:val="46"/>
        </w:rPr>
      </w:pPr>
      <w:bookmarkStart w:id="307" w:name="bookmark207"/>
      <w:bookmarkEnd w:id="307"/>
      <w:bookmarkStart w:id="308" w:name="bookmark208"/>
      <w:bookmarkEnd w:id="308"/>
      <w:bookmarkStart w:id="309" w:name="bookmark336"/>
      <w:bookmarkEnd w:id="309"/>
      <w:bookmarkStart w:id="310" w:name="bookmark209"/>
      <w:bookmarkEnd w:id="310"/>
      <w:r>
        <w:rPr>
          <w:rFonts w:ascii="黑体" w:hAnsi="黑体" w:eastAsia="黑体" w:cs="黑体"/>
          <w:b/>
          <w:bCs/>
          <w:spacing w:val="-4"/>
          <w:sz w:val="46"/>
          <w:szCs w:val="46"/>
        </w:rPr>
        <w:t>第二卷</w:t>
      </w:r>
    </w:p>
    <w:p w14:paraId="2B0E120A">
      <w:pPr>
        <w:spacing w:line="222" w:lineRule="auto"/>
        <w:rPr>
          <w:rFonts w:ascii="黑体" w:hAnsi="黑体" w:eastAsia="黑体" w:cs="黑体"/>
          <w:sz w:val="46"/>
          <w:szCs w:val="46"/>
        </w:rPr>
        <w:sectPr>
          <w:footerReference r:id="rId318" w:type="default"/>
          <w:pgSz w:w="11910" w:h="16840"/>
          <w:pgMar w:top="400" w:right="1786" w:bottom="1147" w:left="1786" w:header="0" w:footer="1021" w:gutter="0"/>
          <w:cols w:space="720" w:num="1"/>
        </w:sectPr>
      </w:pPr>
    </w:p>
    <w:p w14:paraId="490883D9">
      <w:pPr>
        <w:spacing w:line="298" w:lineRule="auto"/>
        <w:rPr>
          <w:rFonts w:ascii="Arial"/>
          <w:sz w:val="21"/>
        </w:rPr>
      </w:pPr>
    </w:p>
    <w:p w14:paraId="6D7E4554">
      <w:pPr>
        <w:spacing w:line="298" w:lineRule="auto"/>
        <w:rPr>
          <w:rFonts w:ascii="Arial"/>
          <w:sz w:val="21"/>
        </w:rPr>
      </w:pPr>
    </w:p>
    <w:p w14:paraId="7335B715">
      <w:pPr>
        <w:spacing w:line="298" w:lineRule="auto"/>
        <w:rPr>
          <w:rFonts w:ascii="Arial"/>
          <w:sz w:val="21"/>
        </w:rPr>
      </w:pPr>
    </w:p>
    <w:p w14:paraId="69EA1CFC">
      <w:pPr>
        <w:spacing w:line="298" w:lineRule="auto"/>
        <w:rPr>
          <w:rFonts w:ascii="Arial"/>
          <w:sz w:val="21"/>
        </w:rPr>
      </w:pPr>
    </w:p>
    <w:p w14:paraId="762855F5">
      <w:pPr>
        <w:spacing w:before="107" w:line="222" w:lineRule="auto"/>
        <w:ind w:left="3008"/>
        <w:outlineLvl w:val="0"/>
        <w:rPr>
          <w:rFonts w:ascii="黑体" w:hAnsi="黑体" w:eastAsia="黑体" w:cs="黑体"/>
          <w:sz w:val="33"/>
          <w:szCs w:val="33"/>
        </w:rPr>
      </w:pPr>
      <w:bookmarkStart w:id="311" w:name="bookmark210"/>
      <w:bookmarkEnd w:id="311"/>
      <w:bookmarkStart w:id="312" w:name="bookmark337"/>
      <w:bookmarkEnd w:id="312"/>
      <w:r>
        <w:rPr>
          <w:rFonts w:ascii="黑体" w:hAnsi="黑体" w:eastAsia="黑体" w:cs="黑体"/>
          <w:b/>
          <w:bCs/>
          <w:spacing w:val="-18"/>
          <w:sz w:val="33"/>
          <w:szCs w:val="33"/>
        </w:rPr>
        <w:t>第六章</w:t>
      </w:r>
      <w:r>
        <w:rPr>
          <w:rFonts w:ascii="黑体" w:hAnsi="黑体" w:eastAsia="黑体" w:cs="黑体"/>
          <w:spacing w:val="124"/>
          <w:sz w:val="33"/>
          <w:szCs w:val="33"/>
        </w:rPr>
        <w:t xml:space="preserve"> </w:t>
      </w:r>
      <w:r>
        <w:rPr>
          <w:rFonts w:ascii="黑体" w:hAnsi="黑体" w:eastAsia="黑体" w:cs="黑体"/>
          <w:b/>
          <w:bCs/>
          <w:spacing w:val="-18"/>
          <w:sz w:val="33"/>
          <w:szCs w:val="33"/>
        </w:rPr>
        <w:t>图</w:t>
      </w:r>
      <w:r>
        <w:rPr>
          <w:rFonts w:ascii="黑体" w:hAnsi="黑体" w:eastAsia="黑体" w:cs="黑体"/>
          <w:spacing w:val="26"/>
          <w:sz w:val="33"/>
          <w:szCs w:val="33"/>
        </w:rPr>
        <w:t xml:space="preserve">  </w:t>
      </w:r>
      <w:r>
        <w:rPr>
          <w:rFonts w:ascii="黑体" w:hAnsi="黑体" w:eastAsia="黑体" w:cs="黑体"/>
          <w:b/>
          <w:bCs/>
          <w:spacing w:val="-18"/>
          <w:sz w:val="33"/>
          <w:szCs w:val="33"/>
        </w:rPr>
        <w:t>纸</w:t>
      </w:r>
    </w:p>
    <w:p w14:paraId="6697644D">
      <w:pPr>
        <w:spacing w:line="222" w:lineRule="auto"/>
        <w:rPr>
          <w:rFonts w:ascii="黑体" w:hAnsi="黑体" w:eastAsia="黑体" w:cs="黑体"/>
          <w:sz w:val="33"/>
          <w:szCs w:val="33"/>
        </w:rPr>
        <w:sectPr>
          <w:footerReference r:id="rId319" w:type="default"/>
          <w:pgSz w:w="11910" w:h="16840"/>
          <w:pgMar w:top="400" w:right="1786" w:bottom="1147" w:left="1786" w:header="0" w:footer="1021" w:gutter="0"/>
          <w:cols w:space="720" w:num="1"/>
        </w:sectPr>
      </w:pPr>
    </w:p>
    <w:p w14:paraId="4408543D">
      <w:pPr>
        <w:spacing w:line="263" w:lineRule="auto"/>
        <w:rPr>
          <w:rFonts w:ascii="Arial"/>
          <w:sz w:val="21"/>
        </w:rPr>
      </w:pPr>
    </w:p>
    <w:p w14:paraId="3BF46905">
      <w:pPr>
        <w:spacing w:line="263" w:lineRule="auto"/>
        <w:rPr>
          <w:rFonts w:ascii="Arial"/>
          <w:sz w:val="21"/>
        </w:rPr>
      </w:pPr>
    </w:p>
    <w:p w14:paraId="370D0E2B">
      <w:pPr>
        <w:spacing w:line="263" w:lineRule="auto"/>
        <w:rPr>
          <w:rFonts w:ascii="Arial"/>
          <w:sz w:val="21"/>
        </w:rPr>
      </w:pPr>
    </w:p>
    <w:p w14:paraId="3336646F">
      <w:pPr>
        <w:spacing w:line="263" w:lineRule="auto"/>
        <w:rPr>
          <w:rFonts w:ascii="Arial"/>
          <w:sz w:val="21"/>
        </w:rPr>
      </w:pPr>
    </w:p>
    <w:p w14:paraId="234A867D">
      <w:pPr>
        <w:spacing w:line="264" w:lineRule="auto"/>
        <w:rPr>
          <w:rFonts w:ascii="Arial"/>
          <w:sz w:val="21"/>
        </w:rPr>
      </w:pPr>
    </w:p>
    <w:p w14:paraId="0DB9EF75">
      <w:pPr>
        <w:pStyle w:val="2"/>
        <w:spacing w:before="84" w:line="203" w:lineRule="auto"/>
        <w:ind w:left="158"/>
        <w:outlineLvl w:val="1"/>
        <w:rPr>
          <w:sz w:val="26"/>
          <w:szCs w:val="26"/>
        </w:rPr>
      </w:pPr>
      <w:bookmarkStart w:id="313" w:name="bookmark211"/>
      <w:bookmarkEnd w:id="313"/>
      <w:bookmarkStart w:id="314" w:name="bookmark338"/>
      <w:bookmarkEnd w:id="314"/>
      <w:r>
        <w:rPr>
          <w:b/>
          <w:bCs/>
          <w:spacing w:val="-2"/>
          <w:sz w:val="26"/>
          <w:szCs w:val="26"/>
        </w:rPr>
        <w:t>1.图纸目录</w:t>
      </w:r>
    </w:p>
    <w:tbl>
      <w:tblPr>
        <w:tblStyle w:val="5"/>
        <w:tblW w:w="870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53"/>
        <w:gridCol w:w="1458"/>
        <w:gridCol w:w="1429"/>
        <w:gridCol w:w="1458"/>
        <w:gridCol w:w="1458"/>
        <w:gridCol w:w="1444"/>
      </w:tblGrid>
      <w:tr w14:paraId="3CD28A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5" w:hRule="atLeast"/>
        </w:trPr>
        <w:tc>
          <w:tcPr>
            <w:tcW w:w="1453" w:type="dxa"/>
            <w:vAlign w:val="top"/>
          </w:tcPr>
          <w:p w14:paraId="4CD35D84">
            <w:pPr>
              <w:pStyle w:val="6"/>
              <w:spacing w:before="114" w:line="221" w:lineRule="auto"/>
              <w:ind w:left="504"/>
            </w:pPr>
            <w:r>
              <w:rPr>
                <w:spacing w:val="6"/>
              </w:rPr>
              <w:t>序号</w:t>
            </w:r>
          </w:p>
        </w:tc>
        <w:tc>
          <w:tcPr>
            <w:tcW w:w="1458" w:type="dxa"/>
            <w:vAlign w:val="top"/>
          </w:tcPr>
          <w:p w14:paraId="2E0293CD">
            <w:pPr>
              <w:pStyle w:val="6"/>
              <w:spacing w:before="114" w:line="221" w:lineRule="auto"/>
              <w:ind w:left="512"/>
            </w:pPr>
            <w:r>
              <w:rPr>
                <w:spacing w:val="18"/>
              </w:rPr>
              <w:t>图名</w:t>
            </w:r>
          </w:p>
        </w:tc>
        <w:tc>
          <w:tcPr>
            <w:tcW w:w="1429" w:type="dxa"/>
            <w:vAlign w:val="top"/>
          </w:tcPr>
          <w:p w14:paraId="0DF34F0B">
            <w:pPr>
              <w:pStyle w:val="6"/>
              <w:spacing w:before="114" w:line="221" w:lineRule="auto"/>
              <w:ind w:left="513"/>
            </w:pPr>
            <w:r>
              <w:rPr>
                <w:spacing w:val="6"/>
              </w:rPr>
              <w:t>图号</w:t>
            </w:r>
          </w:p>
        </w:tc>
        <w:tc>
          <w:tcPr>
            <w:tcW w:w="1458" w:type="dxa"/>
            <w:vAlign w:val="top"/>
          </w:tcPr>
          <w:p w14:paraId="50A71478">
            <w:pPr>
              <w:pStyle w:val="6"/>
              <w:spacing w:before="112" w:line="219" w:lineRule="auto"/>
              <w:ind w:left="524"/>
            </w:pPr>
            <w:r>
              <w:rPr>
                <w:spacing w:val="-3"/>
              </w:rPr>
              <w:t>版本</w:t>
            </w:r>
          </w:p>
        </w:tc>
        <w:tc>
          <w:tcPr>
            <w:tcW w:w="1458" w:type="dxa"/>
            <w:vAlign w:val="top"/>
          </w:tcPr>
          <w:p w14:paraId="5AC7A7B5">
            <w:pPr>
              <w:pStyle w:val="6"/>
              <w:spacing w:before="114" w:line="220" w:lineRule="auto"/>
              <w:ind w:left="336"/>
            </w:pPr>
            <w:r>
              <w:rPr>
                <w:spacing w:val="3"/>
              </w:rPr>
              <w:t>出图日期</w:t>
            </w:r>
          </w:p>
        </w:tc>
        <w:tc>
          <w:tcPr>
            <w:tcW w:w="1444" w:type="dxa"/>
            <w:vAlign w:val="top"/>
          </w:tcPr>
          <w:p w14:paraId="7A5B38E2">
            <w:pPr>
              <w:pStyle w:val="6"/>
              <w:spacing w:before="114" w:line="221" w:lineRule="auto"/>
              <w:ind w:left="538"/>
            </w:pPr>
            <w:r>
              <w:rPr>
                <w:spacing w:val="5"/>
              </w:rPr>
              <w:t>备注</w:t>
            </w:r>
          </w:p>
        </w:tc>
      </w:tr>
      <w:tr w14:paraId="6ABC20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1453" w:type="dxa"/>
            <w:vAlign w:val="top"/>
          </w:tcPr>
          <w:p w14:paraId="7559979A">
            <w:pPr>
              <w:rPr>
                <w:rFonts w:ascii="Arial"/>
                <w:sz w:val="21"/>
              </w:rPr>
            </w:pPr>
          </w:p>
        </w:tc>
        <w:tc>
          <w:tcPr>
            <w:tcW w:w="1458" w:type="dxa"/>
            <w:vAlign w:val="top"/>
          </w:tcPr>
          <w:p w14:paraId="3625C0B0">
            <w:pPr>
              <w:rPr>
                <w:rFonts w:ascii="Arial"/>
                <w:sz w:val="21"/>
              </w:rPr>
            </w:pPr>
          </w:p>
        </w:tc>
        <w:tc>
          <w:tcPr>
            <w:tcW w:w="1429" w:type="dxa"/>
            <w:vAlign w:val="top"/>
          </w:tcPr>
          <w:p w14:paraId="6E0E75B3">
            <w:pPr>
              <w:rPr>
                <w:rFonts w:ascii="Arial"/>
                <w:sz w:val="21"/>
              </w:rPr>
            </w:pPr>
          </w:p>
        </w:tc>
        <w:tc>
          <w:tcPr>
            <w:tcW w:w="1458" w:type="dxa"/>
            <w:vAlign w:val="top"/>
          </w:tcPr>
          <w:p w14:paraId="746D18E1">
            <w:pPr>
              <w:rPr>
                <w:rFonts w:ascii="Arial"/>
                <w:sz w:val="21"/>
              </w:rPr>
            </w:pPr>
          </w:p>
        </w:tc>
        <w:tc>
          <w:tcPr>
            <w:tcW w:w="1458" w:type="dxa"/>
            <w:vAlign w:val="top"/>
          </w:tcPr>
          <w:p w14:paraId="59D26ADF">
            <w:pPr>
              <w:rPr>
                <w:rFonts w:ascii="Arial"/>
                <w:sz w:val="21"/>
              </w:rPr>
            </w:pPr>
          </w:p>
        </w:tc>
        <w:tc>
          <w:tcPr>
            <w:tcW w:w="1444" w:type="dxa"/>
            <w:vAlign w:val="top"/>
          </w:tcPr>
          <w:p w14:paraId="7F9C4797">
            <w:pPr>
              <w:rPr>
                <w:rFonts w:ascii="Arial"/>
                <w:sz w:val="21"/>
              </w:rPr>
            </w:pPr>
          </w:p>
        </w:tc>
      </w:tr>
      <w:tr w14:paraId="073609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1453" w:type="dxa"/>
            <w:vAlign w:val="top"/>
          </w:tcPr>
          <w:p w14:paraId="2C1B0E9B">
            <w:pPr>
              <w:rPr>
                <w:rFonts w:ascii="Arial"/>
                <w:sz w:val="21"/>
              </w:rPr>
            </w:pPr>
          </w:p>
        </w:tc>
        <w:tc>
          <w:tcPr>
            <w:tcW w:w="1458" w:type="dxa"/>
            <w:vAlign w:val="top"/>
          </w:tcPr>
          <w:p w14:paraId="1988688A">
            <w:pPr>
              <w:rPr>
                <w:rFonts w:ascii="Arial"/>
                <w:sz w:val="21"/>
              </w:rPr>
            </w:pPr>
          </w:p>
        </w:tc>
        <w:tc>
          <w:tcPr>
            <w:tcW w:w="1429" w:type="dxa"/>
            <w:vAlign w:val="top"/>
          </w:tcPr>
          <w:p w14:paraId="137CB4F8">
            <w:pPr>
              <w:rPr>
                <w:rFonts w:ascii="Arial"/>
                <w:sz w:val="21"/>
              </w:rPr>
            </w:pPr>
          </w:p>
        </w:tc>
        <w:tc>
          <w:tcPr>
            <w:tcW w:w="1458" w:type="dxa"/>
            <w:vAlign w:val="top"/>
          </w:tcPr>
          <w:p w14:paraId="62F6046A">
            <w:pPr>
              <w:rPr>
                <w:rFonts w:ascii="Arial"/>
                <w:sz w:val="21"/>
              </w:rPr>
            </w:pPr>
          </w:p>
        </w:tc>
        <w:tc>
          <w:tcPr>
            <w:tcW w:w="1458" w:type="dxa"/>
            <w:vAlign w:val="top"/>
          </w:tcPr>
          <w:p w14:paraId="755F176D">
            <w:pPr>
              <w:rPr>
                <w:rFonts w:ascii="Arial"/>
                <w:sz w:val="21"/>
              </w:rPr>
            </w:pPr>
          </w:p>
        </w:tc>
        <w:tc>
          <w:tcPr>
            <w:tcW w:w="1444" w:type="dxa"/>
            <w:vAlign w:val="top"/>
          </w:tcPr>
          <w:p w14:paraId="20E05B4D">
            <w:pPr>
              <w:rPr>
                <w:rFonts w:ascii="Arial"/>
                <w:sz w:val="21"/>
              </w:rPr>
            </w:pPr>
          </w:p>
        </w:tc>
      </w:tr>
      <w:tr w14:paraId="67DDE3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1453" w:type="dxa"/>
            <w:vAlign w:val="top"/>
          </w:tcPr>
          <w:p w14:paraId="22A5DAD5">
            <w:pPr>
              <w:rPr>
                <w:rFonts w:ascii="Arial"/>
                <w:sz w:val="21"/>
              </w:rPr>
            </w:pPr>
          </w:p>
        </w:tc>
        <w:tc>
          <w:tcPr>
            <w:tcW w:w="1458" w:type="dxa"/>
            <w:vAlign w:val="top"/>
          </w:tcPr>
          <w:p w14:paraId="5C50F592">
            <w:pPr>
              <w:rPr>
                <w:rFonts w:ascii="Arial"/>
                <w:sz w:val="21"/>
              </w:rPr>
            </w:pPr>
          </w:p>
        </w:tc>
        <w:tc>
          <w:tcPr>
            <w:tcW w:w="1429" w:type="dxa"/>
            <w:vAlign w:val="top"/>
          </w:tcPr>
          <w:p w14:paraId="5E2816CE">
            <w:pPr>
              <w:rPr>
                <w:rFonts w:ascii="Arial"/>
                <w:sz w:val="21"/>
              </w:rPr>
            </w:pPr>
          </w:p>
        </w:tc>
        <w:tc>
          <w:tcPr>
            <w:tcW w:w="1458" w:type="dxa"/>
            <w:vAlign w:val="top"/>
          </w:tcPr>
          <w:p w14:paraId="1F29D1A0">
            <w:pPr>
              <w:rPr>
                <w:rFonts w:ascii="Arial"/>
                <w:sz w:val="21"/>
              </w:rPr>
            </w:pPr>
          </w:p>
        </w:tc>
        <w:tc>
          <w:tcPr>
            <w:tcW w:w="1458" w:type="dxa"/>
            <w:vAlign w:val="top"/>
          </w:tcPr>
          <w:p w14:paraId="4288181E">
            <w:pPr>
              <w:rPr>
                <w:rFonts w:ascii="Arial"/>
                <w:sz w:val="21"/>
              </w:rPr>
            </w:pPr>
          </w:p>
        </w:tc>
        <w:tc>
          <w:tcPr>
            <w:tcW w:w="1444" w:type="dxa"/>
            <w:vAlign w:val="top"/>
          </w:tcPr>
          <w:p w14:paraId="492C74D8">
            <w:pPr>
              <w:rPr>
                <w:rFonts w:ascii="Arial"/>
                <w:sz w:val="21"/>
              </w:rPr>
            </w:pPr>
          </w:p>
        </w:tc>
      </w:tr>
      <w:tr w14:paraId="58F6B0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1453" w:type="dxa"/>
            <w:vAlign w:val="top"/>
          </w:tcPr>
          <w:p w14:paraId="5DB88DAA">
            <w:pPr>
              <w:rPr>
                <w:rFonts w:ascii="Arial"/>
                <w:sz w:val="21"/>
              </w:rPr>
            </w:pPr>
          </w:p>
        </w:tc>
        <w:tc>
          <w:tcPr>
            <w:tcW w:w="1458" w:type="dxa"/>
            <w:vAlign w:val="top"/>
          </w:tcPr>
          <w:p w14:paraId="72024E68">
            <w:pPr>
              <w:rPr>
                <w:rFonts w:ascii="Arial"/>
                <w:sz w:val="21"/>
              </w:rPr>
            </w:pPr>
          </w:p>
        </w:tc>
        <w:tc>
          <w:tcPr>
            <w:tcW w:w="1429" w:type="dxa"/>
            <w:vAlign w:val="top"/>
          </w:tcPr>
          <w:p w14:paraId="0379D685">
            <w:pPr>
              <w:rPr>
                <w:rFonts w:ascii="Arial"/>
                <w:sz w:val="21"/>
              </w:rPr>
            </w:pPr>
          </w:p>
        </w:tc>
        <w:tc>
          <w:tcPr>
            <w:tcW w:w="1458" w:type="dxa"/>
            <w:vAlign w:val="top"/>
          </w:tcPr>
          <w:p w14:paraId="77CC0409">
            <w:pPr>
              <w:rPr>
                <w:rFonts w:ascii="Arial"/>
                <w:sz w:val="21"/>
              </w:rPr>
            </w:pPr>
          </w:p>
        </w:tc>
        <w:tc>
          <w:tcPr>
            <w:tcW w:w="1458" w:type="dxa"/>
            <w:vAlign w:val="top"/>
          </w:tcPr>
          <w:p w14:paraId="57E9AD2F">
            <w:pPr>
              <w:rPr>
                <w:rFonts w:ascii="Arial"/>
                <w:sz w:val="21"/>
              </w:rPr>
            </w:pPr>
          </w:p>
        </w:tc>
        <w:tc>
          <w:tcPr>
            <w:tcW w:w="1444" w:type="dxa"/>
            <w:vAlign w:val="top"/>
          </w:tcPr>
          <w:p w14:paraId="15488068">
            <w:pPr>
              <w:rPr>
                <w:rFonts w:ascii="Arial"/>
                <w:sz w:val="21"/>
              </w:rPr>
            </w:pPr>
          </w:p>
        </w:tc>
      </w:tr>
      <w:tr w14:paraId="7E9794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1453" w:type="dxa"/>
            <w:vAlign w:val="top"/>
          </w:tcPr>
          <w:p w14:paraId="3EC8E622">
            <w:pPr>
              <w:rPr>
                <w:rFonts w:ascii="Arial"/>
                <w:sz w:val="21"/>
              </w:rPr>
            </w:pPr>
          </w:p>
        </w:tc>
        <w:tc>
          <w:tcPr>
            <w:tcW w:w="1458" w:type="dxa"/>
            <w:vAlign w:val="top"/>
          </w:tcPr>
          <w:p w14:paraId="294170AF">
            <w:pPr>
              <w:rPr>
                <w:rFonts w:ascii="Arial"/>
                <w:sz w:val="21"/>
              </w:rPr>
            </w:pPr>
          </w:p>
        </w:tc>
        <w:tc>
          <w:tcPr>
            <w:tcW w:w="1429" w:type="dxa"/>
            <w:vAlign w:val="top"/>
          </w:tcPr>
          <w:p w14:paraId="11FAFB77">
            <w:pPr>
              <w:rPr>
                <w:rFonts w:ascii="Arial"/>
                <w:sz w:val="21"/>
              </w:rPr>
            </w:pPr>
          </w:p>
        </w:tc>
        <w:tc>
          <w:tcPr>
            <w:tcW w:w="1458" w:type="dxa"/>
            <w:vAlign w:val="top"/>
          </w:tcPr>
          <w:p w14:paraId="0C3002EA">
            <w:pPr>
              <w:rPr>
                <w:rFonts w:ascii="Arial"/>
                <w:sz w:val="21"/>
              </w:rPr>
            </w:pPr>
          </w:p>
        </w:tc>
        <w:tc>
          <w:tcPr>
            <w:tcW w:w="1458" w:type="dxa"/>
            <w:vAlign w:val="top"/>
          </w:tcPr>
          <w:p w14:paraId="36902DC6">
            <w:pPr>
              <w:rPr>
                <w:rFonts w:ascii="Arial"/>
                <w:sz w:val="21"/>
              </w:rPr>
            </w:pPr>
          </w:p>
        </w:tc>
        <w:tc>
          <w:tcPr>
            <w:tcW w:w="1444" w:type="dxa"/>
            <w:vAlign w:val="top"/>
          </w:tcPr>
          <w:p w14:paraId="1013C2D7">
            <w:pPr>
              <w:rPr>
                <w:rFonts w:ascii="Arial"/>
                <w:sz w:val="21"/>
              </w:rPr>
            </w:pPr>
          </w:p>
        </w:tc>
      </w:tr>
      <w:tr w14:paraId="057AD7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1453" w:type="dxa"/>
            <w:vAlign w:val="top"/>
          </w:tcPr>
          <w:p w14:paraId="444B7295">
            <w:pPr>
              <w:rPr>
                <w:rFonts w:ascii="Arial"/>
                <w:sz w:val="21"/>
              </w:rPr>
            </w:pPr>
          </w:p>
        </w:tc>
        <w:tc>
          <w:tcPr>
            <w:tcW w:w="1458" w:type="dxa"/>
            <w:vAlign w:val="top"/>
          </w:tcPr>
          <w:p w14:paraId="40AF2C55">
            <w:pPr>
              <w:rPr>
                <w:rFonts w:ascii="Arial"/>
                <w:sz w:val="21"/>
              </w:rPr>
            </w:pPr>
          </w:p>
        </w:tc>
        <w:tc>
          <w:tcPr>
            <w:tcW w:w="1429" w:type="dxa"/>
            <w:vAlign w:val="top"/>
          </w:tcPr>
          <w:p w14:paraId="19CEE19F">
            <w:pPr>
              <w:rPr>
                <w:rFonts w:ascii="Arial"/>
                <w:sz w:val="21"/>
              </w:rPr>
            </w:pPr>
          </w:p>
        </w:tc>
        <w:tc>
          <w:tcPr>
            <w:tcW w:w="1458" w:type="dxa"/>
            <w:vAlign w:val="top"/>
          </w:tcPr>
          <w:p w14:paraId="17BF4D67">
            <w:pPr>
              <w:rPr>
                <w:rFonts w:ascii="Arial"/>
                <w:sz w:val="21"/>
              </w:rPr>
            </w:pPr>
          </w:p>
        </w:tc>
        <w:tc>
          <w:tcPr>
            <w:tcW w:w="1458" w:type="dxa"/>
            <w:vAlign w:val="top"/>
          </w:tcPr>
          <w:p w14:paraId="469398DB">
            <w:pPr>
              <w:rPr>
                <w:rFonts w:ascii="Arial"/>
                <w:sz w:val="21"/>
              </w:rPr>
            </w:pPr>
          </w:p>
        </w:tc>
        <w:tc>
          <w:tcPr>
            <w:tcW w:w="1444" w:type="dxa"/>
            <w:vAlign w:val="top"/>
          </w:tcPr>
          <w:p w14:paraId="1A675D66">
            <w:pPr>
              <w:rPr>
                <w:rFonts w:ascii="Arial"/>
                <w:sz w:val="21"/>
              </w:rPr>
            </w:pPr>
          </w:p>
        </w:tc>
      </w:tr>
      <w:tr w14:paraId="06AF4A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trPr>
        <w:tc>
          <w:tcPr>
            <w:tcW w:w="1453" w:type="dxa"/>
            <w:vAlign w:val="top"/>
          </w:tcPr>
          <w:p w14:paraId="75406E41">
            <w:pPr>
              <w:rPr>
                <w:rFonts w:ascii="Arial"/>
                <w:sz w:val="21"/>
              </w:rPr>
            </w:pPr>
          </w:p>
        </w:tc>
        <w:tc>
          <w:tcPr>
            <w:tcW w:w="1458" w:type="dxa"/>
            <w:vAlign w:val="top"/>
          </w:tcPr>
          <w:p w14:paraId="7F7E0792">
            <w:pPr>
              <w:rPr>
                <w:rFonts w:ascii="Arial"/>
                <w:sz w:val="21"/>
              </w:rPr>
            </w:pPr>
          </w:p>
        </w:tc>
        <w:tc>
          <w:tcPr>
            <w:tcW w:w="1429" w:type="dxa"/>
            <w:vAlign w:val="top"/>
          </w:tcPr>
          <w:p w14:paraId="5DAAD978">
            <w:pPr>
              <w:rPr>
                <w:rFonts w:ascii="Arial"/>
                <w:sz w:val="21"/>
              </w:rPr>
            </w:pPr>
          </w:p>
        </w:tc>
        <w:tc>
          <w:tcPr>
            <w:tcW w:w="1458" w:type="dxa"/>
            <w:vAlign w:val="top"/>
          </w:tcPr>
          <w:p w14:paraId="320CEB0D">
            <w:pPr>
              <w:rPr>
                <w:rFonts w:ascii="Arial"/>
                <w:sz w:val="21"/>
              </w:rPr>
            </w:pPr>
          </w:p>
        </w:tc>
        <w:tc>
          <w:tcPr>
            <w:tcW w:w="1458" w:type="dxa"/>
            <w:vAlign w:val="top"/>
          </w:tcPr>
          <w:p w14:paraId="65F06A0C">
            <w:pPr>
              <w:rPr>
                <w:rFonts w:ascii="Arial"/>
                <w:sz w:val="21"/>
              </w:rPr>
            </w:pPr>
          </w:p>
        </w:tc>
        <w:tc>
          <w:tcPr>
            <w:tcW w:w="1444" w:type="dxa"/>
            <w:vAlign w:val="top"/>
          </w:tcPr>
          <w:p w14:paraId="1FFD1B42">
            <w:pPr>
              <w:rPr>
                <w:rFonts w:ascii="Arial"/>
                <w:sz w:val="21"/>
              </w:rPr>
            </w:pPr>
          </w:p>
        </w:tc>
      </w:tr>
      <w:tr w14:paraId="67DCA6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1453" w:type="dxa"/>
            <w:vAlign w:val="top"/>
          </w:tcPr>
          <w:p w14:paraId="30EFCAC1">
            <w:pPr>
              <w:rPr>
                <w:rFonts w:ascii="Arial"/>
                <w:sz w:val="21"/>
              </w:rPr>
            </w:pPr>
          </w:p>
        </w:tc>
        <w:tc>
          <w:tcPr>
            <w:tcW w:w="1458" w:type="dxa"/>
            <w:vAlign w:val="top"/>
          </w:tcPr>
          <w:p w14:paraId="7D2BDD1D">
            <w:pPr>
              <w:rPr>
                <w:rFonts w:ascii="Arial"/>
                <w:sz w:val="21"/>
              </w:rPr>
            </w:pPr>
          </w:p>
        </w:tc>
        <w:tc>
          <w:tcPr>
            <w:tcW w:w="1429" w:type="dxa"/>
            <w:vAlign w:val="top"/>
          </w:tcPr>
          <w:p w14:paraId="46AEC838">
            <w:pPr>
              <w:rPr>
                <w:rFonts w:ascii="Arial"/>
                <w:sz w:val="21"/>
              </w:rPr>
            </w:pPr>
          </w:p>
        </w:tc>
        <w:tc>
          <w:tcPr>
            <w:tcW w:w="1458" w:type="dxa"/>
            <w:vAlign w:val="top"/>
          </w:tcPr>
          <w:p w14:paraId="2510B2CF">
            <w:pPr>
              <w:rPr>
                <w:rFonts w:ascii="Arial"/>
                <w:sz w:val="21"/>
              </w:rPr>
            </w:pPr>
          </w:p>
        </w:tc>
        <w:tc>
          <w:tcPr>
            <w:tcW w:w="1458" w:type="dxa"/>
            <w:vAlign w:val="top"/>
          </w:tcPr>
          <w:p w14:paraId="6E876A05">
            <w:pPr>
              <w:rPr>
                <w:rFonts w:ascii="Arial"/>
                <w:sz w:val="21"/>
              </w:rPr>
            </w:pPr>
          </w:p>
        </w:tc>
        <w:tc>
          <w:tcPr>
            <w:tcW w:w="1444" w:type="dxa"/>
            <w:vAlign w:val="top"/>
          </w:tcPr>
          <w:p w14:paraId="25695689">
            <w:pPr>
              <w:rPr>
                <w:rFonts w:ascii="Arial"/>
                <w:sz w:val="21"/>
              </w:rPr>
            </w:pPr>
          </w:p>
        </w:tc>
      </w:tr>
      <w:tr w14:paraId="2B6FB5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1453" w:type="dxa"/>
            <w:vAlign w:val="top"/>
          </w:tcPr>
          <w:p w14:paraId="0179E82D">
            <w:pPr>
              <w:rPr>
                <w:rFonts w:ascii="Arial"/>
                <w:sz w:val="21"/>
              </w:rPr>
            </w:pPr>
          </w:p>
        </w:tc>
        <w:tc>
          <w:tcPr>
            <w:tcW w:w="1458" w:type="dxa"/>
            <w:vAlign w:val="top"/>
          </w:tcPr>
          <w:p w14:paraId="30681CB9">
            <w:pPr>
              <w:rPr>
                <w:rFonts w:ascii="Arial"/>
                <w:sz w:val="21"/>
              </w:rPr>
            </w:pPr>
          </w:p>
        </w:tc>
        <w:tc>
          <w:tcPr>
            <w:tcW w:w="1429" w:type="dxa"/>
            <w:vAlign w:val="top"/>
          </w:tcPr>
          <w:p w14:paraId="06EC6998">
            <w:pPr>
              <w:rPr>
                <w:rFonts w:ascii="Arial"/>
                <w:sz w:val="21"/>
              </w:rPr>
            </w:pPr>
          </w:p>
        </w:tc>
        <w:tc>
          <w:tcPr>
            <w:tcW w:w="1458" w:type="dxa"/>
            <w:vAlign w:val="top"/>
          </w:tcPr>
          <w:p w14:paraId="78663D2A">
            <w:pPr>
              <w:rPr>
                <w:rFonts w:ascii="Arial"/>
                <w:sz w:val="21"/>
              </w:rPr>
            </w:pPr>
          </w:p>
        </w:tc>
        <w:tc>
          <w:tcPr>
            <w:tcW w:w="1458" w:type="dxa"/>
            <w:vAlign w:val="top"/>
          </w:tcPr>
          <w:p w14:paraId="23280EE2">
            <w:pPr>
              <w:rPr>
                <w:rFonts w:ascii="Arial"/>
                <w:sz w:val="21"/>
              </w:rPr>
            </w:pPr>
          </w:p>
        </w:tc>
        <w:tc>
          <w:tcPr>
            <w:tcW w:w="1444" w:type="dxa"/>
            <w:vAlign w:val="top"/>
          </w:tcPr>
          <w:p w14:paraId="550154BA">
            <w:pPr>
              <w:rPr>
                <w:rFonts w:ascii="Arial"/>
                <w:sz w:val="21"/>
              </w:rPr>
            </w:pPr>
          </w:p>
        </w:tc>
      </w:tr>
      <w:tr w14:paraId="37AD3C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1453" w:type="dxa"/>
            <w:vAlign w:val="top"/>
          </w:tcPr>
          <w:p w14:paraId="5B8DDC02">
            <w:pPr>
              <w:rPr>
                <w:rFonts w:ascii="Arial"/>
                <w:sz w:val="21"/>
              </w:rPr>
            </w:pPr>
          </w:p>
        </w:tc>
        <w:tc>
          <w:tcPr>
            <w:tcW w:w="1458" w:type="dxa"/>
            <w:vAlign w:val="top"/>
          </w:tcPr>
          <w:p w14:paraId="19F59F0E">
            <w:pPr>
              <w:rPr>
                <w:rFonts w:ascii="Arial"/>
                <w:sz w:val="21"/>
              </w:rPr>
            </w:pPr>
          </w:p>
        </w:tc>
        <w:tc>
          <w:tcPr>
            <w:tcW w:w="1429" w:type="dxa"/>
            <w:vAlign w:val="top"/>
          </w:tcPr>
          <w:p w14:paraId="1B127EDB">
            <w:pPr>
              <w:rPr>
                <w:rFonts w:ascii="Arial"/>
                <w:sz w:val="21"/>
              </w:rPr>
            </w:pPr>
          </w:p>
        </w:tc>
        <w:tc>
          <w:tcPr>
            <w:tcW w:w="1458" w:type="dxa"/>
            <w:vAlign w:val="top"/>
          </w:tcPr>
          <w:p w14:paraId="788304DE">
            <w:pPr>
              <w:rPr>
                <w:rFonts w:ascii="Arial"/>
                <w:sz w:val="21"/>
              </w:rPr>
            </w:pPr>
          </w:p>
        </w:tc>
        <w:tc>
          <w:tcPr>
            <w:tcW w:w="1458" w:type="dxa"/>
            <w:vAlign w:val="top"/>
          </w:tcPr>
          <w:p w14:paraId="74F71F20">
            <w:pPr>
              <w:rPr>
                <w:rFonts w:ascii="Arial"/>
                <w:sz w:val="21"/>
              </w:rPr>
            </w:pPr>
          </w:p>
        </w:tc>
        <w:tc>
          <w:tcPr>
            <w:tcW w:w="1444" w:type="dxa"/>
            <w:vAlign w:val="top"/>
          </w:tcPr>
          <w:p w14:paraId="794C7706">
            <w:pPr>
              <w:rPr>
                <w:rFonts w:ascii="Arial"/>
                <w:sz w:val="21"/>
              </w:rPr>
            </w:pPr>
          </w:p>
        </w:tc>
      </w:tr>
      <w:tr w14:paraId="6AC777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1453" w:type="dxa"/>
            <w:vAlign w:val="top"/>
          </w:tcPr>
          <w:p w14:paraId="488A6AB1">
            <w:pPr>
              <w:rPr>
                <w:rFonts w:ascii="Arial"/>
                <w:sz w:val="21"/>
              </w:rPr>
            </w:pPr>
          </w:p>
        </w:tc>
        <w:tc>
          <w:tcPr>
            <w:tcW w:w="1458" w:type="dxa"/>
            <w:vAlign w:val="top"/>
          </w:tcPr>
          <w:p w14:paraId="7611C4DE">
            <w:pPr>
              <w:rPr>
                <w:rFonts w:ascii="Arial"/>
                <w:sz w:val="21"/>
              </w:rPr>
            </w:pPr>
          </w:p>
        </w:tc>
        <w:tc>
          <w:tcPr>
            <w:tcW w:w="1429" w:type="dxa"/>
            <w:vAlign w:val="top"/>
          </w:tcPr>
          <w:p w14:paraId="7B40B511">
            <w:pPr>
              <w:rPr>
                <w:rFonts w:ascii="Arial"/>
                <w:sz w:val="21"/>
              </w:rPr>
            </w:pPr>
          </w:p>
        </w:tc>
        <w:tc>
          <w:tcPr>
            <w:tcW w:w="1458" w:type="dxa"/>
            <w:vAlign w:val="top"/>
          </w:tcPr>
          <w:p w14:paraId="35D0925C">
            <w:pPr>
              <w:rPr>
                <w:rFonts w:ascii="Arial"/>
                <w:sz w:val="21"/>
              </w:rPr>
            </w:pPr>
          </w:p>
        </w:tc>
        <w:tc>
          <w:tcPr>
            <w:tcW w:w="1458" w:type="dxa"/>
            <w:vAlign w:val="top"/>
          </w:tcPr>
          <w:p w14:paraId="4F3906BE">
            <w:pPr>
              <w:rPr>
                <w:rFonts w:ascii="Arial"/>
                <w:sz w:val="21"/>
              </w:rPr>
            </w:pPr>
          </w:p>
        </w:tc>
        <w:tc>
          <w:tcPr>
            <w:tcW w:w="1444" w:type="dxa"/>
            <w:vAlign w:val="top"/>
          </w:tcPr>
          <w:p w14:paraId="3C1284A5">
            <w:pPr>
              <w:rPr>
                <w:rFonts w:ascii="Arial"/>
                <w:sz w:val="21"/>
              </w:rPr>
            </w:pPr>
          </w:p>
        </w:tc>
      </w:tr>
      <w:tr w14:paraId="3BDD00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1453" w:type="dxa"/>
            <w:vAlign w:val="top"/>
          </w:tcPr>
          <w:p w14:paraId="7EED4D06">
            <w:pPr>
              <w:rPr>
                <w:rFonts w:ascii="Arial"/>
                <w:sz w:val="21"/>
              </w:rPr>
            </w:pPr>
          </w:p>
        </w:tc>
        <w:tc>
          <w:tcPr>
            <w:tcW w:w="1458" w:type="dxa"/>
            <w:vAlign w:val="top"/>
          </w:tcPr>
          <w:p w14:paraId="4FE532CE">
            <w:pPr>
              <w:rPr>
                <w:rFonts w:ascii="Arial"/>
                <w:sz w:val="21"/>
              </w:rPr>
            </w:pPr>
          </w:p>
        </w:tc>
        <w:tc>
          <w:tcPr>
            <w:tcW w:w="1429" w:type="dxa"/>
            <w:vAlign w:val="top"/>
          </w:tcPr>
          <w:p w14:paraId="1A0EA439">
            <w:pPr>
              <w:rPr>
                <w:rFonts w:ascii="Arial"/>
                <w:sz w:val="21"/>
              </w:rPr>
            </w:pPr>
          </w:p>
        </w:tc>
        <w:tc>
          <w:tcPr>
            <w:tcW w:w="1458" w:type="dxa"/>
            <w:vAlign w:val="top"/>
          </w:tcPr>
          <w:p w14:paraId="028FC707">
            <w:pPr>
              <w:rPr>
                <w:rFonts w:ascii="Arial"/>
                <w:sz w:val="21"/>
              </w:rPr>
            </w:pPr>
          </w:p>
        </w:tc>
        <w:tc>
          <w:tcPr>
            <w:tcW w:w="1458" w:type="dxa"/>
            <w:vAlign w:val="top"/>
          </w:tcPr>
          <w:p w14:paraId="01DA20C2">
            <w:pPr>
              <w:rPr>
                <w:rFonts w:ascii="Arial"/>
                <w:sz w:val="21"/>
              </w:rPr>
            </w:pPr>
          </w:p>
        </w:tc>
        <w:tc>
          <w:tcPr>
            <w:tcW w:w="1444" w:type="dxa"/>
            <w:vAlign w:val="top"/>
          </w:tcPr>
          <w:p w14:paraId="5783BD04">
            <w:pPr>
              <w:rPr>
                <w:rFonts w:ascii="Arial"/>
                <w:sz w:val="21"/>
              </w:rPr>
            </w:pPr>
          </w:p>
        </w:tc>
      </w:tr>
      <w:tr w14:paraId="7D8036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1453" w:type="dxa"/>
            <w:vAlign w:val="top"/>
          </w:tcPr>
          <w:p w14:paraId="1B2BEBE3">
            <w:pPr>
              <w:rPr>
                <w:rFonts w:ascii="Arial"/>
                <w:sz w:val="21"/>
              </w:rPr>
            </w:pPr>
          </w:p>
        </w:tc>
        <w:tc>
          <w:tcPr>
            <w:tcW w:w="1458" w:type="dxa"/>
            <w:vAlign w:val="top"/>
          </w:tcPr>
          <w:p w14:paraId="50ED55C8">
            <w:pPr>
              <w:rPr>
                <w:rFonts w:ascii="Arial"/>
                <w:sz w:val="21"/>
              </w:rPr>
            </w:pPr>
          </w:p>
        </w:tc>
        <w:tc>
          <w:tcPr>
            <w:tcW w:w="1429" w:type="dxa"/>
            <w:vAlign w:val="top"/>
          </w:tcPr>
          <w:p w14:paraId="48011655">
            <w:pPr>
              <w:rPr>
                <w:rFonts w:ascii="Arial"/>
                <w:sz w:val="21"/>
              </w:rPr>
            </w:pPr>
          </w:p>
        </w:tc>
        <w:tc>
          <w:tcPr>
            <w:tcW w:w="1458" w:type="dxa"/>
            <w:vAlign w:val="top"/>
          </w:tcPr>
          <w:p w14:paraId="77D1AF8C">
            <w:pPr>
              <w:rPr>
                <w:rFonts w:ascii="Arial"/>
                <w:sz w:val="21"/>
              </w:rPr>
            </w:pPr>
          </w:p>
        </w:tc>
        <w:tc>
          <w:tcPr>
            <w:tcW w:w="1458" w:type="dxa"/>
            <w:vAlign w:val="top"/>
          </w:tcPr>
          <w:p w14:paraId="7E8F3320">
            <w:pPr>
              <w:rPr>
                <w:rFonts w:ascii="Arial"/>
                <w:sz w:val="21"/>
              </w:rPr>
            </w:pPr>
          </w:p>
        </w:tc>
        <w:tc>
          <w:tcPr>
            <w:tcW w:w="1444" w:type="dxa"/>
            <w:vAlign w:val="top"/>
          </w:tcPr>
          <w:p w14:paraId="164EBD7B">
            <w:pPr>
              <w:rPr>
                <w:rFonts w:ascii="Arial"/>
                <w:sz w:val="21"/>
              </w:rPr>
            </w:pPr>
          </w:p>
        </w:tc>
      </w:tr>
      <w:tr w14:paraId="36ED7D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trPr>
        <w:tc>
          <w:tcPr>
            <w:tcW w:w="1453" w:type="dxa"/>
            <w:vAlign w:val="top"/>
          </w:tcPr>
          <w:p w14:paraId="0EB5078F">
            <w:pPr>
              <w:rPr>
                <w:rFonts w:ascii="Arial"/>
                <w:sz w:val="21"/>
              </w:rPr>
            </w:pPr>
          </w:p>
        </w:tc>
        <w:tc>
          <w:tcPr>
            <w:tcW w:w="1458" w:type="dxa"/>
            <w:vAlign w:val="top"/>
          </w:tcPr>
          <w:p w14:paraId="40E60794">
            <w:pPr>
              <w:rPr>
                <w:rFonts w:ascii="Arial"/>
                <w:sz w:val="21"/>
              </w:rPr>
            </w:pPr>
          </w:p>
        </w:tc>
        <w:tc>
          <w:tcPr>
            <w:tcW w:w="1429" w:type="dxa"/>
            <w:vAlign w:val="top"/>
          </w:tcPr>
          <w:p w14:paraId="2A1DA931">
            <w:pPr>
              <w:rPr>
                <w:rFonts w:ascii="Arial"/>
                <w:sz w:val="21"/>
              </w:rPr>
            </w:pPr>
          </w:p>
        </w:tc>
        <w:tc>
          <w:tcPr>
            <w:tcW w:w="1458" w:type="dxa"/>
            <w:vAlign w:val="top"/>
          </w:tcPr>
          <w:p w14:paraId="12E87D49">
            <w:pPr>
              <w:rPr>
                <w:rFonts w:ascii="Arial"/>
                <w:sz w:val="21"/>
              </w:rPr>
            </w:pPr>
          </w:p>
        </w:tc>
        <w:tc>
          <w:tcPr>
            <w:tcW w:w="1458" w:type="dxa"/>
            <w:vAlign w:val="top"/>
          </w:tcPr>
          <w:p w14:paraId="19287697">
            <w:pPr>
              <w:rPr>
                <w:rFonts w:ascii="Arial"/>
                <w:sz w:val="21"/>
              </w:rPr>
            </w:pPr>
          </w:p>
        </w:tc>
        <w:tc>
          <w:tcPr>
            <w:tcW w:w="1444" w:type="dxa"/>
            <w:vAlign w:val="top"/>
          </w:tcPr>
          <w:p w14:paraId="677735E6">
            <w:pPr>
              <w:rPr>
                <w:rFonts w:ascii="Arial"/>
                <w:sz w:val="21"/>
              </w:rPr>
            </w:pPr>
          </w:p>
        </w:tc>
      </w:tr>
      <w:tr w14:paraId="0919BA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1453" w:type="dxa"/>
            <w:vAlign w:val="top"/>
          </w:tcPr>
          <w:p w14:paraId="56436B7D">
            <w:pPr>
              <w:rPr>
                <w:rFonts w:ascii="Arial"/>
                <w:sz w:val="21"/>
              </w:rPr>
            </w:pPr>
          </w:p>
        </w:tc>
        <w:tc>
          <w:tcPr>
            <w:tcW w:w="1458" w:type="dxa"/>
            <w:vAlign w:val="top"/>
          </w:tcPr>
          <w:p w14:paraId="7F28A9E6">
            <w:pPr>
              <w:rPr>
                <w:rFonts w:ascii="Arial"/>
                <w:sz w:val="21"/>
              </w:rPr>
            </w:pPr>
          </w:p>
        </w:tc>
        <w:tc>
          <w:tcPr>
            <w:tcW w:w="1429" w:type="dxa"/>
            <w:vAlign w:val="top"/>
          </w:tcPr>
          <w:p w14:paraId="238C9382">
            <w:pPr>
              <w:rPr>
                <w:rFonts w:ascii="Arial"/>
                <w:sz w:val="21"/>
              </w:rPr>
            </w:pPr>
          </w:p>
        </w:tc>
        <w:tc>
          <w:tcPr>
            <w:tcW w:w="1458" w:type="dxa"/>
            <w:vAlign w:val="top"/>
          </w:tcPr>
          <w:p w14:paraId="49DEF975">
            <w:pPr>
              <w:rPr>
                <w:rFonts w:ascii="Arial"/>
                <w:sz w:val="21"/>
              </w:rPr>
            </w:pPr>
          </w:p>
        </w:tc>
        <w:tc>
          <w:tcPr>
            <w:tcW w:w="1458" w:type="dxa"/>
            <w:vAlign w:val="top"/>
          </w:tcPr>
          <w:p w14:paraId="5CDFA759">
            <w:pPr>
              <w:rPr>
                <w:rFonts w:ascii="Arial"/>
                <w:sz w:val="21"/>
              </w:rPr>
            </w:pPr>
          </w:p>
        </w:tc>
        <w:tc>
          <w:tcPr>
            <w:tcW w:w="1444" w:type="dxa"/>
            <w:vAlign w:val="top"/>
          </w:tcPr>
          <w:p w14:paraId="50AB87BC">
            <w:pPr>
              <w:rPr>
                <w:rFonts w:ascii="Arial"/>
                <w:sz w:val="21"/>
              </w:rPr>
            </w:pPr>
          </w:p>
        </w:tc>
      </w:tr>
      <w:tr w14:paraId="2B79B3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1453" w:type="dxa"/>
            <w:vAlign w:val="top"/>
          </w:tcPr>
          <w:p w14:paraId="38470D30">
            <w:pPr>
              <w:rPr>
                <w:rFonts w:ascii="Arial"/>
                <w:sz w:val="21"/>
              </w:rPr>
            </w:pPr>
          </w:p>
        </w:tc>
        <w:tc>
          <w:tcPr>
            <w:tcW w:w="1458" w:type="dxa"/>
            <w:vAlign w:val="top"/>
          </w:tcPr>
          <w:p w14:paraId="6871D2CC">
            <w:pPr>
              <w:rPr>
                <w:rFonts w:ascii="Arial"/>
                <w:sz w:val="21"/>
              </w:rPr>
            </w:pPr>
          </w:p>
        </w:tc>
        <w:tc>
          <w:tcPr>
            <w:tcW w:w="1429" w:type="dxa"/>
            <w:vAlign w:val="top"/>
          </w:tcPr>
          <w:p w14:paraId="571923F7">
            <w:pPr>
              <w:rPr>
                <w:rFonts w:ascii="Arial"/>
                <w:sz w:val="21"/>
              </w:rPr>
            </w:pPr>
          </w:p>
        </w:tc>
        <w:tc>
          <w:tcPr>
            <w:tcW w:w="1458" w:type="dxa"/>
            <w:vAlign w:val="top"/>
          </w:tcPr>
          <w:p w14:paraId="3554EABA">
            <w:pPr>
              <w:rPr>
                <w:rFonts w:ascii="Arial"/>
                <w:sz w:val="21"/>
              </w:rPr>
            </w:pPr>
          </w:p>
        </w:tc>
        <w:tc>
          <w:tcPr>
            <w:tcW w:w="1458" w:type="dxa"/>
            <w:vAlign w:val="top"/>
          </w:tcPr>
          <w:p w14:paraId="73F99A9A">
            <w:pPr>
              <w:rPr>
                <w:rFonts w:ascii="Arial"/>
                <w:sz w:val="21"/>
              </w:rPr>
            </w:pPr>
          </w:p>
        </w:tc>
        <w:tc>
          <w:tcPr>
            <w:tcW w:w="1444" w:type="dxa"/>
            <w:vAlign w:val="top"/>
          </w:tcPr>
          <w:p w14:paraId="4FEB24E2">
            <w:pPr>
              <w:rPr>
                <w:rFonts w:ascii="Arial"/>
                <w:sz w:val="21"/>
              </w:rPr>
            </w:pPr>
          </w:p>
        </w:tc>
      </w:tr>
      <w:tr w14:paraId="576A23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1453" w:type="dxa"/>
            <w:vAlign w:val="top"/>
          </w:tcPr>
          <w:p w14:paraId="45E9080C">
            <w:pPr>
              <w:rPr>
                <w:rFonts w:ascii="Arial"/>
                <w:sz w:val="21"/>
              </w:rPr>
            </w:pPr>
          </w:p>
        </w:tc>
        <w:tc>
          <w:tcPr>
            <w:tcW w:w="1458" w:type="dxa"/>
            <w:vAlign w:val="top"/>
          </w:tcPr>
          <w:p w14:paraId="0F9F18D9">
            <w:pPr>
              <w:rPr>
                <w:rFonts w:ascii="Arial"/>
                <w:sz w:val="21"/>
              </w:rPr>
            </w:pPr>
          </w:p>
        </w:tc>
        <w:tc>
          <w:tcPr>
            <w:tcW w:w="1429" w:type="dxa"/>
            <w:vAlign w:val="top"/>
          </w:tcPr>
          <w:p w14:paraId="5EDF3C8C">
            <w:pPr>
              <w:rPr>
                <w:rFonts w:ascii="Arial"/>
                <w:sz w:val="21"/>
              </w:rPr>
            </w:pPr>
          </w:p>
        </w:tc>
        <w:tc>
          <w:tcPr>
            <w:tcW w:w="1458" w:type="dxa"/>
            <w:vAlign w:val="top"/>
          </w:tcPr>
          <w:p w14:paraId="7A2F79BF">
            <w:pPr>
              <w:rPr>
                <w:rFonts w:ascii="Arial"/>
                <w:sz w:val="21"/>
              </w:rPr>
            </w:pPr>
          </w:p>
        </w:tc>
        <w:tc>
          <w:tcPr>
            <w:tcW w:w="1458" w:type="dxa"/>
            <w:vAlign w:val="top"/>
          </w:tcPr>
          <w:p w14:paraId="145BF368">
            <w:pPr>
              <w:rPr>
                <w:rFonts w:ascii="Arial"/>
                <w:sz w:val="21"/>
              </w:rPr>
            </w:pPr>
          </w:p>
        </w:tc>
        <w:tc>
          <w:tcPr>
            <w:tcW w:w="1444" w:type="dxa"/>
            <w:vAlign w:val="top"/>
          </w:tcPr>
          <w:p w14:paraId="596AE93E">
            <w:pPr>
              <w:rPr>
                <w:rFonts w:ascii="Arial"/>
                <w:sz w:val="21"/>
              </w:rPr>
            </w:pPr>
          </w:p>
        </w:tc>
      </w:tr>
      <w:tr w14:paraId="50719C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1453" w:type="dxa"/>
            <w:vAlign w:val="top"/>
          </w:tcPr>
          <w:p w14:paraId="02B28F3B">
            <w:pPr>
              <w:rPr>
                <w:rFonts w:ascii="Arial"/>
                <w:sz w:val="21"/>
              </w:rPr>
            </w:pPr>
          </w:p>
        </w:tc>
        <w:tc>
          <w:tcPr>
            <w:tcW w:w="1458" w:type="dxa"/>
            <w:vAlign w:val="top"/>
          </w:tcPr>
          <w:p w14:paraId="003D6CE2">
            <w:pPr>
              <w:rPr>
                <w:rFonts w:ascii="Arial"/>
                <w:sz w:val="21"/>
              </w:rPr>
            </w:pPr>
          </w:p>
        </w:tc>
        <w:tc>
          <w:tcPr>
            <w:tcW w:w="1429" w:type="dxa"/>
            <w:vAlign w:val="top"/>
          </w:tcPr>
          <w:p w14:paraId="21EE2A9C">
            <w:pPr>
              <w:rPr>
                <w:rFonts w:ascii="Arial"/>
                <w:sz w:val="21"/>
              </w:rPr>
            </w:pPr>
          </w:p>
        </w:tc>
        <w:tc>
          <w:tcPr>
            <w:tcW w:w="1458" w:type="dxa"/>
            <w:vAlign w:val="top"/>
          </w:tcPr>
          <w:p w14:paraId="183A0142">
            <w:pPr>
              <w:rPr>
                <w:rFonts w:ascii="Arial"/>
                <w:sz w:val="21"/>
              </w:rPr>
            </w:pPr>
          </w:p>
        </w:tc>
        <w:tc>
          <w:tcPr>
            <w:tcW w:w="1458" w:type="dxa"/>
            <w:vAlign w:val="top"/>
          </w:tcPr>
          <w:p w14:paraId="42278182">
            <w:pPr>
              <w:rPr>
                <w:rFonts w:ascii="Arial"/>
                <w:sz w:val="21"/>
              </w:rPr>
            </w:pPr>
          </w:p>
        </w:tc>
        <w:tc>
          <w:tcPr>
            <w:tcW w:w="1444" w:type="dxa"/>
            <w:vAlign w:val="top"/>
          </w:tcPr>
          <w:p w14:paraId="1E06B0B3">
            <w:pPr>
              <w:rPr>
                <w:rFonts w:ascii="Arial"/>
                <w:sz w:val="21"/>
              </w:rPr>
            </w:pPr>
          </w:p>
        </w:tc>
      </w:tr>
      <w:tr w14:paraId="2DB1B9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1453" w:type="dxa"/>
            <w:vAlign w:val="top"/>
          </w:tcPr>
          <w:p w14:paraId="7AFE3C85">
            <w:pPr>
              <w:rPr>
                <w:rFonts w:ascii="Arial"/>
                <w:sz w:val="21"/>
              </w:rPr>
            </w:pPr>
          </w:p>
        </w:tc>
        <w:tc>
          <w:tcPr>
            <w:tcW w:w="1458" w:type="dxa"/>
            <w:vAlign w:val="top"/>
          </w:tcPr>
          <w:p w14:paraId="170B1CF1">
            <w:pPr>
              <w:rPr>
                <w:rFonts w:ascii="Arial"/>
                <w:sz w:val="21"/>
              </w:rPr>
            </w:pPr>
          </w:p>
        </w:tc>
        <w:tc>
          <w:tcPr>
            <w:tcW w:w="1429" w:type="dxa"/>
            <w:vAlign w:val="top"/>
          </w:tcPr>
          <w:p w14:paraId="2A8CA650">
            <w:pPr>
              <w:rPr>
                <w:rFonts w:ascii="Arial"/>
                <w:sz w:val="21"/>
              </w:rPr>
            </w:pPr>
          </w:p>
        </w:tc>
        <w:tc>
          <w:tcPr>
            <w:tcW w:w="1458" w:type="dxa"/>
            <w:vAlign w:val="top"/>
          </w:tcPr>
          <w:p w14:paraId="788B0947">
            <w:pPr>
              <w:rPr>
                <w:rFonts w:ascii="Arial"/>
                <w:sz w:val="21"/>
              </w:rPr>
            </w:pPr>
          </w:p>
        </w:tc>
        <w:tc>
          <w:tcPr>
            <w:tcW w:w="1458" w:type="dxa"/>
            <w:vAlign w:val="top"/>
          </w:tcPr>
          <w:p w14:paraId="60FCC832">
            <w:pPr>
              <w:rPr>
                <w:rFonts w:ascii="Arial"/>
                <w:sz w:val="21"/>
              </w:rPr>
            </w:pPr>
          </w:p>
        </w:tc>
        <w:tc>
          <w:tcPr>
            <w:tcW w:w="1444" w:type="dxa"/>
            <w:vAlign w:val="top"/>
          </w:tcPr>
          <w:p w14:paraId="7BC39178">
            <w:pPr>
              <w:rPr>
                <w:rFonts w:ascii="Arial"/>
                <w:sz w:val="21"/>
              </w:rPr>
            </w:pPr>
          </w:p>
        </w:tc>
      </w:tr>
      <w:tr w14:paraId="77FDB1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1453" w:type="dxa"/>
            <w:vAlign w:val="top"/>
          </w:tcPr>
          <w:p w14:paraId="435DF253">
            <w:pPr>
              <w:rPr>
                <w:rFonts w:ascii="Arial"/>
                <w:sz w:val="21"/>
              </w:rPr>
            </w:pPr>
          </w:p>
        </w:tc>
        <w:tc>
          <w:tcPr>
            <w:tcW w:w="1458" w:type="dxa"/>
            <w:vAlign w:val="top"/>
          </w:tcPr>
          <w:p w14:paraId="657921A5">
            <w:pPr>
              <w:rPr>
                <w:rFonts w:ascii="Arial"/>
                <w:sz w:val="21"/>
              </w:rPr>
            </w:pPr>
          </w:p>
        </w:tc>
        <w:tc>
          <w:tcPr>
            <w:tcW w:w="1429" w:type="dxa"/>
            <w:vAlign w:val="top"/>
          </w:tcPr>
          <w:p w14:paraId="4BE687F1">
            <w:pPr>
              <w:rPr>
                <w:rFonts w:ascii="Arial"/>
                <w:sz w:val="21"/>
              </w:rPr>
            </w:pPr>
          </w:p>
        </w:tc>
        <w:tc>
          <w:tcPr>
            <w:tcW w:w="1458" w:type="dxa"/>
            <w:vAlign w:val="top"/>
          </w:tcPr>
          <w:p w14:paraId="22D26B22">
            <w:pPr>
              <w:rPr>
                <w:rFonts w:ascii="Arial"/>
                <w:sz w:val="21"/>
              </w:rPr>
            </w:pPr>
          </w:p>
        </w:tc>
        <w:tc>
          <w:tcPr>
            <w:tcW w:w="1458" w:type="dxa"/>
            <w:vAlign w:val="top"/>
          </w:tcPr>
          <w:p w14:paraId="398331E3">
            <w:pPr>
              <w:rPr>
                <w:rFonts w:ascii="Arial"/>
                <w:sz w:val="21"/>
              </w:rPr>
            </w:pPr>
          </w:p>
        </w:tc>
        <w:tc>
          <w:tcPr>
            <w:tcW w:w="1444" w:type="dxa"/>
            <w:vAlign w:val="top"/>
          </w:tcPr>
          <w:p w14:paraId="1CF31366">
            <w:pPr>
              <w:rPr>
                <w:rFonts w:ascii="Arial"/>
                <w:sz w:val="21"/>
              </w:rPr>
            </w:pPr>
          </w:p>
        </w:tc>
      </w:tr>
      <w:tr w14:paraId="0AD8C8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1453" w:type="dxa"/>
            <w:vAlign w:val="top"/>
          </w:tcPr>
          <w:p w14:paraId="5F535CE3">
            <w:pPr>
              <w:rPr>
                <w:rFonts w:ascii="Arial"/>
                <w:sz w:val="21"/>
              </w:rPr>
            </w:pPr>
          </w:p>
        </w:tc>
        <w:tc>
          <w:tcPr>
            <w:tcW w:w="1458" w:type="dxa"/>
            <w:vAlign w:val="top"/>
          </w:tcPr>
          <w:p w14:paraId="157D18FD">
            <w:pPr>
              <w:rPr>
                <w:rFonts w:ascii="Arial"/>
                <w:sz w:val="21"/>
              </w:rPr>
            </w:pPr>
          </w:p>
        </w:tc>
        <w:tc>
          <w:tcPr>
            <w:tcW w:w="1429" w:type="dxa"/>
            <w:vAlign w:val="top"/>
          </w:tcPr>
          <w:p w14:paraId="747B072E">
            <w:pPr>
              <w:rPr>
                <w:rFonts w:ascii="Arial"/>
                <w:sz w:val="21"/>
              </w:rPr>
            </w:pPr>
          </w:p>
        </w:tc>
        <w:tc>
          <w:tcPr>
            <w:tcW w:w="1458" w:type="dxa"/>
            <w:vAlign w:val="top"/>
          </w:tcPr>
          <w:p w14:paraId="5BD84EE0">
            <w:pPr>
              <w:rPr>
                <w:rFonts w:ascii="Arial"/>
                <w:sz w:val="21"/>
              </w:rPr>
            </w:pPr>
          </w:p>
        </w:tc>
        <w:tc>
          <w:tcPr>
            <w:tcW w:w="1458" w:type="dxa"/>
            <w:vAlign w:val="top"/>
          </w:tcPr>
          <w:p w14:paraId="441A8C3E">
            <w:pPr>
              <w:rPr>
                <w:rFonts w:ascii="Arial"/>
                <w:sz w:val="21"/>
              </w:rPr>
            </w:pPr>
          </w:p>
        </w:tc>
        <w:tc>
          <w:tcPr>
            <w:tcW w:w="1444" w:type="dxa"/>
            <w:vAlign w:val="top"/>
          </w:tcPr>
          <w:p w14:paraId="102BD5BD">
            <w:pPr>
              <w:rPr>
                <w:rFonts w:ascii="Arial"/>
                <w:sz w:val="21"/>
              </w:rPr>
            </w:pPr>
          </w:p>
        </w:tc>
      </w:tr>
      <w:tr w14:paraId="64A984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1453" w:type="dxa"/>
            <w:vAlign w:val="top"/>
          </w:tcPr>
          <w:p w14:paraId="37C2F144">
            <w:pPr>
              <w:rPr>
                <w:rFonts w:ascii="Arial"/>
                <w:sz w:val="21"/>
              </w:rPr>
            </w:pPr>
          </w:p>
        </w:tc>
        <w:tc>
          <w:tcPr>
            <w:tcW w:w="1458" w:type="dxa"/>
            <w:vAlign w:val="top"/>
          </w:tcPr>
          <w:p w14:paraId="70D8FE94">
            <w:pPr>
              <w:rPr>
                <w:rFonts w:ascii="Arial"/>
                <w:sz w:val="21"/>
              </w:rPr>
            </w:pPr>
          </w:p>
        </w:tc>
        <w:tc>
          <w:tcPr>
            <w:tcW w:w="1429" w:type="dxa"/>
            <w:vAlign w:val="top"/>
          </w:tcPr>
          <w:p w14:paraId="50CFAE9C">
            <w:pPr>
              <w:rPr>
                <w:rFonts w:ascii="Arial"/>
                <w:sz w:val="21"/>
              </w:rPr>
            </w:pPr>
          </w:p>
        </w:tc>
        <w:tc>
          <w:tcPr>
            <w:tcW w:w="1458" w:type="dxa"/>
            <w:vAlign w:val="top"/>
          </w:tcPr>
          <w:p w14:paraId="1F2FE71A">
            <w:pPr>
              <w:rPr>
                <w:rFonts w:ascii="Arial"/>
                <w:sz w:val="21"/>
              </w:rPr>
            </w:pPr>
          </w:p>
        </w:tc>
        <w:tc>
          <w:tcPr>
            <w:tcW w:w="1458" w:type="dxa"/>
            <w:vAlign w:val="top"/>
          </w:tcPr>
          <w:p w14:paraId="30D68B89">
            <w:pPr>
              <w:rPr>
                <w:rFonts w:ascii="Arial"/>
                <w:sz w:val="21"/>
              </w:rPr>
            </w:pPr>
          </w:p>
        </w:tc>
        <w:tc>
          <w:tcPr>
            <w:tcW w:w="1444" w:type="dxa"/>
            <w:vAlign w:val="top"/>
          </w:tcPr>
          <w:p w14:paraId="324D004A">
            <w:pPr>
              <w:rPr>
                <w:rFonts w:ascii="Arial"/>
                <w:sz w:val="21"/>
              </w:rPr>
            </w:pPr>
          </w:p>
        </w:tc>
      </w:tr>
      <w:tr w14:paraId="176D18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trPr>
        <w:tc>
          <w:tcPr>
            <w:tcW w:w="1453" w:type="dxa"/>
            <w:vAlign w:val="top"/>
          </w:tcPr>
          <w:p w14:paraId="03790961">
            <w:pPr>
              <w:rPr>
                <w:rFonts w:ascii="Arial"/>
                <w:sz w:val="21"/>
              </w:rPr>
            </w:pPr>
          </w:p>
        </w:tc>
        <w:tc>
          <w:tcPr>
            <w:tcW w:w="1458" w:type="dxa"/>
            <w:vAlign w:val="top"/>
          </w:tcPr>
          <w:p w14:paraId="4CA26922">
            <w:pPr>
              <w:rPr>
                <w:rFonts w:ascii="Arial"/>
                <w:sz w:val="21"/>
              </w:rPr>
            </w:pPr>
          </w:p>
        </w:tc>
        <w:tc>
          <w:tcPr>
            <w:tcW w:w="1429" w:type="dxa"/>
            <w:vAlign w:val="top"/>
          </w:tcPr>
          <w:p w14:paraId="00A13C06">
            <w:pPr>
              <w:rPr>
                <w:rFonts w:ascii="Arial"/>
                <w:sz w:val="21"/>
              </w:rPr>
            </w:pPr>
          </w:p>
        </w:tc>
        <w:tc>
          <w:tcPr>
            <w:tcW w:w="1458" w:type="dxa"/>
            <w:vAlign w:val="top"/>
          </w:tcPr>
          <w:p w14:paraId="299DA388">
            <w:pPr>
              <w:rPr>
                <w:rFonts w:ascii="Arial"/>
                <w:sz w:val="21"/>
              </w:rPr>
            </w:pPr>
          </w:p>
        </w:tc>
        <w:tc>
          <w:tcPr>
            <w:tcW w:w="1458" w:type="dxa"/>
            <w:vAlign w:val="top"/>
          </w:tcPr>
          <w:p w14:paraId="132C055A">
            <w:pPr>
              <w:rPr>
                <w:rFonts w:ascii="Arial"/>
                <w:sz w:val="21"/>
              </w:rPr>
            </w:pPr>
          </w:p>
        </w:tc>
        <w:tc>
          <w:tcPr>
            <w:tcW w:w="1444" w:type="dxa"/>
            <w:vAlign w:val="top"/>
          </w:tcPr>
          <w:p w14:paraId="1A8822ED">
            <w:pPr>
              <w:rPr>
                <w:rFonts w:ascii="Arial"/>
                <w:sz w:val="21"/>
              </w:rPr>
            </w:pPr>
          </w:p>
        </w:tc>
      </w:tr>
      <w:tr w14:paraId="34E70D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1453" w:type="dxa"/>
            <w:vAlign w:val="top"/>
          </w:tcPr>
          <w:p w14:paraId="581417DC">
            <w:pPr>
              <w:rPr>
                <w:rFonts w:ascii="Arial"/>
                <w:sz w:val="21"/>
              </w:rPr>
            </w:pPr>
          </w:p>
        </w:tc>
        <w:tc>
          <w:tcPr>
            <w:tcW w:w="1458" w:type="dxa"/>
            <w:vAlign w:val="top"/>
          </w:tcPr>
          <w:p w14:paraId="73516307">
            <w:pPr>
              <w:rPr>
                <w:rFonts w:ascii="Arial"/>
                <w:sz w:val="21"/>
              </w:rPr>
            </w:pPr>
          </w:p>
        </w:tc>
        <w:tc>
          <w:tcPr>
            <w:tcW w:w="1429" w:type="dxa"/>
            <w:vAlign w:val="top"/>
          </w:tcPr>
          <w:p w14:paraId="09B5D603">
            <w:pPr>
              <w:rPr>
                <w:rFonts w:ascii="Arial"/>
                <w:sz w:val="21"/>
              </w:rPr>
            </w:pPr>
          </w:p>
        </w:tc>
        <w:tc>
          <w:tcPr>
            <w:tcW w:w="1458" w:type="dxa"/>
            <w:vAlign w:val="top"/>
          </w:tcPr>
          <w:p w14:paraId="462A472F">
            <w:pPr>
              <w:rPr>
                <w:rFonts w:ascii="Arial"/>
                <w:sz w:val="21"/>
              </w:rPr>
            </w:pPr>
          </w:p>
        </w:tc>
        <w:tc>
          <w:tcPr>
            <w:tcW w:w="1458" w:type="dxa"/>
            <w:vAlign w:val="top"/>
          </w:tcPr>
          <w:p w14:paraId="5BC1D3FB">
            <w:pPr>
              <w:rPr>
                <w:rFonts w:ascii="Arial"/>
                <w:sz w:val="21"/>
              </w:rPr>
            </w:pPr>
          </w:p>
        </w:tc>
        <w:tc>
          <w:tcPr>
            <w:tcW w:w="1444" w:type="dxa"/>
            <w:vAlign w:val="top"/>
          </w:tcPr>
          <w:p w14:paraId="23CE1AB1">
            <w:pPr>
              <w:rPr>
                <w:rFonts w:ascii="Arial"/>
                <w:sz w:val="21"/>
              </w:rPr>
            </w:pPr>
          </w:p>
        </w:tc>
      </w:tr>
      <w:tr w14:paraId="279E4B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4" w:hRule="atLeast"/>
        </w:trPr>
        <w:tc>
          <w:tcPr>
            <w:tcW w:w="1453" w:type="dxa"/>
            <w:vAlign w:val="top"/>
          </w:tcPr>
          <w:p w14:paraId="407B3A27">
            <w:pPr>
              <w:rPr>
                <w:rFonts w:ascii="Arial"/>
                <w:sz w:val="21"/>
              </w:rPr>
            </w:pPr>
          </w:p>
        </w:tc>
        <w:tc>
          <w:tcPr>
            <w:tcW w:w="1458" w:type="dxa"/>
            <w:vAlign w:val="top"/>
          </w:tcPr>
          <w:p w14:paraId="2554209F">
            <w:pPr>
              <w:rPr>
                <w:rFonts w:ascii="Arial"/>
                <w:sz w:val="21"/>
              </w:rPr>
            </w:pPr>
          </w:p>
        </w:tc>
        <w:tc>
          <w:tcPr>
            <w:tcW w:w="1429" w:type="dxa"/>
            <w:vAlign w:val="top"/>
          </w:tcPr>
          <w:p w14:paraId="72E10502">
            <w:pPr>
              <w:rPr>
                <w:rFonts w:ascii="Arial"/>
                <w:sz w:val="21"/>
              </w:rPr>
            </w:pPr>
          </w:p>
        </w:tc>
        <w:tc>
          <w:tcPr>
            <w:tcW w:w="1458" w:type="dxa"/>
            <w:vAlign w:val="top"/>
          </w:tcPr>
          <w:p w14:paraId="04F2E148">
            <w:pPr>
              <w:rPr>
                <w:rFonts w:ascii="Arial"/>
                <w:sz w:val="21"/>
              </w:rPr>
            </w:pPr>
          </w:p>
        </w:tc>
        <w:tc>
          <w:tcPr>
            <w:tcW w:w="1458" w:type="dxa"/>
            <w:vAlign w:val="top"/>
          </w:tcPr>
          <w:p w14:paraId="15161D6B">
            <w:pPr>
              <w:rPr>
                <w:rFonts w:ascii="Arial"/>
                <w:sz w:val="21"/>
              </w:rPr>
            </w:pPr>
          </w:p>
        </w:tc>
        <w:tc>
          <w:tcPr>
            <w:tcW w:w="1444" w:type="dxa"/>
            <w:vAlign w:val="top"/>
          </w:tcPr>
          <w:p w14:paraId="3F27EBE9">
            <w:pPr>
              <w:rPr>
                <w:rFonts w:ascii="Arial"/>
                <w:sz w:val="21"/>
              </w:rPr>
            </w:pPr>
          </w:p>
        </w:tc>
      </w:tr>
    </w:tbl>
    <w:p w14:paraId="5DDDF7C9">
      <w:pPr>
        <w:rPr>
          <w:rFonts w:ascii="Arial"/>
          <w:sz w:val="21"/>
        </w:rPr>
      </w:pPr>
    </w:p>
    <w:p w14:paraId="662ACC75">
      <w:pPr>
        <w:rPr>
          <w:rFonts w:ascii="Arial" w:hAnsi="Arial" w:eastAsia="Arial" w:cs="Arial"/>
          <w:sz w:val="21"/>
          <w:szCs w:val="21"/>
        </w:rPr>
        <w:sectPr>
          <w:footerReference r:id="rId320" w:type="default"/>
          <w:pgSz w:w="11910" w:h="16840"/>
          <w:pgMar w:top="400" w:right="1786" w:bottom="1147" w:left="1334" w:header="0" w:footer="1021" w:gutter="0"/>
          <w:cols w:space="720" w:num="1"/>
        </w:sectPr>
      </w:pPr>
    </w:p>
    <w:p w14:paraId="5766D387">
      <w:pPr>
        <w:spacing w:line="284" w:lineRule="auto"/>
        <w:rPr>
          <w:rFonts w:ascii="Arial"/>
          <w:sz w:val="21"/>
        </w:rPr>
      </w:pPr>
    </w:p>
    <w:p w14:paraId="47C16ADC">
      <w:pPr>
        <w:spacing w:line="284" w:lineRule="auto"/>
        <w:rPr>
          <w:rFonts w:ascii="Arial"/>
          <w:sz w:val="21"/>
        </w:rPr>
      </w:pPr>
    </w:p>
    <w:p w14:paraId="3836D74F">
      <w:pPr>
        <w:spacing w:line="284" w:lineRule="auto"/>
        <w:rPr>
          <w:rFonts w:ascii="Arial"/>
          <w:sz w:val="21"/>
        </w:rPr>
      </w:pPr>
    </w:p>
    <w:p w14:paraId="191D0947">
      <w:pPr>
        <w:spacing w:line="285" w:lineRule="auto"/>
        <w:rPr>
          <w:rFonts w:ascii="Arial"/>
          <w:sz w:val="21"/>
        </w:rPr>
      </w:pPr>
    </w:p>
    <w:p w14:paraId="53B10BCA">
      <w:pPr>
        <w:spacing w:line="285" w:lineRule="auto"/>
        <w:rPr>
          <w:rFonts w:ascii="Arial"/>
          <w:sz w:val="21"/>
        </w:rPr>
      </w:pPr>
    </w:p>
    <w:p w14:paraId="26B45D52">
      <w:pPr>
        <w:pStyle w:val="2"/>
        <w:spacing w:before="75" w:line="222" w:lineRule="auto"/>
        <w:outlineLvl w:val="1"/>
        <w:rPr>
          <w:rFonts w:ascii="黑体" w:hAnsi="黑体" w:eastAsia="黑体" w:cs="黑体"/>
          <w:sz w:val="23"/>
          <w:szCs w:val="23"/>
        </w:rPr>
      </w:pPr>
      <w:bookmarkStart w:id="315" w:name="bookmark212"/>
      <w:bookmarkEnd w:id="315"/>
      <w:bookmarkStart w:id="316" w:name="bookmark339"/>
      <w:bookmarkEnd w:id="316"/>
      <w:r>
        <w:rPr>
          <w:b/>
          <w:bCs/>
          <w:spacing w:val="-11"/>
          <w:sz w:val="23"/>
          <w:szCs w:val="23"/>
        </w:rPr>
        <w:t>2.</w:t>
      </w:r>
      <w:r>
        <w:rPr>
          <w:spacing w:val="26"/>
          <w:sz w:val="23"/>
          <w:szCs w:val="23"/>
        </w:rPr>
        <w:t xml:space="preserve"> </w:t>
      </w:r>
      <w:r>
        <w:rPr>
          <w:rFonts w:ascii="黑体" w:hAnsi="黑体" w:eastAsia="黑体" w:cs="黑体"/>
          <w:b/>
          <w:bCs/>
          <w:spacing w:val="-11"/>
          <w:sz w:val="23"/>
          <w:szCs w:val="23"/>
        </w:rPr>
        <w:t>图</w:t>
      </w:r>
      <w:r>
        <w:rPr>
          <w:rFonts w:ascii="黑体" w:hAnsi="黑体" w:eastAsia="黑体" w:cs="黑体"/>
          <w:spacing w:val="26"/>
          <w:sz w:val="23"/>
          <w:szCs w:val="23"/>
        </w:rPr>
        <w:t xml:space="preserve">  </w:t>
      </w:r>
      <w:r>
        <w:rPr>
          <w:rFonts w:ascii="黑体" w:hAnsi="黑体" w:eastAsia="黑体" w:cs="黑体"/>
          <w:b/>
          <w:bCs/>
          <w:spacing w:val="-11"/>
          <w:sz w:val="23"/>
          <w:szCs w:val="23"/>
        </w:rPr>
        <w:t>纸</w:t>
      </w:r>
    </w:p>
    <w:p w14:paraId="754E28C4">
      <w:pPr>
        <w:spacing w:line="222" w:lineRule="auto"/>
        <w:rPr>
          <w:rFonts w:ascii="黑体" w:hAnsi="黑体" w:eastAsia="黑体" w:cs="黑体"/>
          <w:sz w:val="23"/>
          <w:szCs w:val="23"/>
        </w:rPr>
        <w:sectPr>
          <w:footerReference r:id="rId321" w:type="default"/>
          <w:pgSz w:w="11910" w:h="16840"/>
          <w:pgMar w:top="400" w:right="1786" w:bottom="1147" w:left="1453" w:header="0" w:footer="1021" w:gutter="0"/>
          <w:cols w:space="720" w:num="1"/>
        </w:sectPr>
      </w:pPr>
    </w:p>
    <w:p w14:paraId="080A04E1">
      <w:pPr>
        <w:spacing w:line="290" w:lineRule="auto"/>
        <w:rPr>
          <w:rFonts w:ascii="Arial"/>
          <w:sz w:val="21"/>
        </w:rPr>
      </w:pPr>
    </w:p>
    <w:p w14:paraId="6B9A1F5E">
      <w:pPr>
        <w:spacing w:line="290" w:lineRule="auto"/>
        <w:rPr>
          <w:rFonts w:ascii="Arial"/>
          <w:sz w:val="21"/>
        </w:rPr>
      </w:pPr>
    </w:p>
    <w:p w14:paraId="7DC5082C">
      <w:pPr>
        <w:spacing w:line="291" w:lineRule="auto"/>
        <w:rPr>
          <w:rFonts w:ascii="Arial"/>
          <w:sz w:val="21"/>
        </w:rPr>
      </w:pPr>
    </w:p>
    <w:p w14:paraId="356427DE">
      <w:pPr>
        <w:spacing w:line="291" w:lineRule="auto"/>
        <w:rPr>
          <w:rFonts w:ascii="Arial"/>
          <w:sz w:val="21"/>
        </w:rPr>
      </w:pPr>
    </w:p>
    <w:p w14:paraId="7B7E163B">
      <w:pPr>
        <w:spacing w:before="150" w:line="222" w:lineRule="auto"/>
        <w:ind w:left="3430"/>
        <w:outlineLvl w:val="0"/>
        <w:rPr>
          <w:rFonts w:ascii="黑体" w:hAnsi="黑体" w:eastAsia="黑体" w:cs="黑体"/>
          <w:sz w:val="46"/>
          <w:szCs w:val="46"/>
        </w:rPr>
      </w:pPr>
      <w:bookmarkStart w:id="317" w:name="bookmark340"/>
      <w:bookmarkEnd w:id="317"/>
      <w:bookmarkStart w:id="318" w:name="bookmark213"/>
      <w:bookmarkEnd w:id="318"/>
      <w:r>
        <w:rPr>
          <w:rFonts w:ascii="黑体" w:hAnsi="黑体" w:eastAsia="黑体" w:cs="黑体"/>
          <w:b/>
          <w:bCs/>
          <w:spacing w:val="-4"/>
          <w:sz w:val="46"/>
          <w:szCs w:val="46"/>
        </w:rPr>
        <w:t>第三卷</w:t>
      </w:r>
    </w:p>
    <w:p w14:paraId="01286AE4">
      <w:pPr>
        <w:spacing w:line="222" w:lineRule="auto"/>
        <w:rPr>
          <w:rFonts w:ascii="黑体" w:hAnsi="黑体" w:eastAsia="黑体" w:cs="黑体"/>
          <w:sz w:val="46"/>
          <w:szCs w:val="46"/>
        </w:rPr>
        <w:sectPr>
          <w:footerReference r:id="rId322" w:type="default"/>
          <w:pgSz w:w="11910" w:h="16840"/>
          <w:pgMar w:top="400" w:right="1786" w:bottom="1147" w:left="1786" w:header="0" w:footer="1021" w:gutter="0"/>
          <w:cols w:space="720" w:num="1"/>
        </w:sectPr>
      </w:pPr>
    </w:p>
    <w:p w14:paraId="152710FD">
      <w:pPr>
        <w:spacing w:line="243" w:lineRule="auto"/>
        <w:rPr>
          <w:rFonts w:ascii="Arial"/>
          <w:sz w:val="21"/>
        </w:rPr>
      </w:pPr>
    </w:p>
    <w:p w14:paraId="5806A188">
      <w:pPr>
        <w:spacing w:line="243" w:lineRule="auto"/>
        <w:rPr>
          <w:rFonts w:ascii="Arial"/>
          <w:sz w:val="21"/>
        </w:rPr>
      </w:pPr>
    </w:p>
    <w:p w14:paraId="5BF15487">
      <w:pPr>
        <w:spacing w:line="243" w:lineRule="auto"/>
        <w:rPr>
          <w:rFonts w:ascii="Arial"/>
          <w:sz w:val="21"/>
        </w:rPr>
      </w:pPr>
    </w:p>
    <w:p w14:paraId="7B506269">
      <w:pPr>
        <w:spacing w:line="243" w:lineRule="auto"/>
        <w:rPr>
          <w:rFonts w:ascii="Arial"/>
          <w:sz w:val="21"/>
        </w:rPr>
      </w:pPr>
    </w:p>
    <w:p w14:paraId="79A929AB">
      <w:pPr>
        <w:spacing w:line="243" w:lineRule="auto"/>
        <w:rPr>
          <w:rFonts w:ascii="Arial"/>
          <w:sz w:val="21"/>
        </w:rPr>
      </w:pPr>
    </w:p>
    <w:p w14:paraId="0A8C5BED">
      <w:pPr>
        <w:spacing w:before="104" w:line="222" w:lineRule="auto"/>
        <w:ind w:left="2358"/>
        <w:outlineLvl w:val="0"/>
        <w:rPr>
          <w:rFonts w:ascii="黑体" w:hAnsi="黑体" w:eastAsia="黑体" w:cs="黑体"/>
          <w:sz w:val="32"/>
          <w:szCs w:val="32"/>
        </w:rPr>
      </w:pPr>
      <w:bookmarkStart w:id="319" w:name="bookmark214"/>
      <w:bookmarkEnd w:id="319"/>
      <w:bookmarkStart w:id="320" w:name="bookmark341"/>
      <w:bookmarkEnd w:id="320"/>
      <w:r>
        <w:rPr>
          <w:rFonts w:ascii="黑体" w:hAnsi="黑体" w:eastAsia="黑体" w:cs="黑体"/>
          <w:b/>
          <w:bCs/>
          <w:spacing w:val="-3"/>
          <w:sz w:val="32"/>
          <w:szCs w:val="32"/>
        </w:rPr>
        <w:t>第七章</w:t>
      </w:r>
      <w:r>
        <w:rPr>
          <w:rFonts w:ascii="黑体" w:hAnsi="黑体" w:eastAsia="黑体" w:cs="黑体"/>
          <w:spacing w:val="-3"/>
          <w:sz w:val="32"/>
          <w:szCs w:val="32"/>
        </w:rPr>
        <w:t xml:space="preserve">  </w:t>
      </w:r>
      <w:r>
        <w:rPr>
          <w:rFonts w:ascii="黑体" w:hAnsi="黑体" w:eastAsia="黑体" w:cs="黑体"/>
          <w:b/>
          <w:bCs/>
          <w:spacing w:val="-3"/>
          <w:sz w:val="32"/>
          <w:szCs w:val="32"/>
        </w:rPr>
        <w:t>技术标准和要求</w:t>
      </w:r>
    </w:p>
    <w:p w14:paraId="13524D23">
      <w:pPr>
        <w:spacing w:line="222" w:lineRule="auto"/>
        <w:rPr>
          <w:rFonts w:ascii="黑体" w:hAnsi="黑体" w:eastAsia="黑体" w:cs="黑体"/>
          <w:sz w:val="32"/>
          <w:szCs w:val="32"/>
        </w:rPr>
        <w:sectPr>
          <w:footerReference r:id="rId323" w:type="default"/>
          <w:pgSz w:w="11910" w:h="16840"/>
          <w:pgMar w:top="400" w:right="1786" w:bottom="1147" w:left="1786" w:header="0" w:footer="1021" w:gutter="0"/>
          <w:cols w:space="720" w:num="1"/>
        </w:sectPr>
      </w:pPr>
    </w:p>
    <w:p w14:paraId="78B7FAA8">
      <w:pPr>
        <w:spacing w:line="265" w:lineRule="auto"/>
        <w:rPr>
          <w:rFonts w:ascii="Arial"/>
          <w:sz w:val="21"/>
        </w:rPr>
      </w:pPr>
    </w:p>
    <w:p w14:paraId="0E4747E0">
      <w:pPr>
        <w:spacing w:line="265" w:lineRule="auto"/>
        <w:rPr>
          <w:rFonts w:ascii="Arial"/>
          <w:sz w:val="21"/>
        </w:rPr>
      </w:pPr>
    </w:p>
    <w:p w14:paraId="66E4861F">
      <w:pPr>
        <w:spacing w:line="265" w:lineRule="auto"/>
        <w:rPr>
          <w:rFonts w:ascii="Arial"/>
          <w:sz w:val="21"/>
        </w:rPr>
      </w:pPr>
    </w:p>
    <w:p w14:paraId="078ACB9B">
      <w:pPr>
        <w:spacing w:line="265" w:lineRule="auto"/>
        <w:rPr>
          <w:rFonts w:ascii="Arial"/>
          <w:sz w:val="21"/>
        </w:rPr>
      </w:pPr>
    </w:p>
    <w:p w14:paraId="30DBC18D">
      <w:pPr>
        <w:spacing w:line="266" w:lineRule="auto"/>
        <w:rPr>
          <w:rFonts w:ascii="Arial"/>
          <w:sz w:val="21"/>
        </w:rPr>
      </w:pPr>
    </w:p>
    <w:p w14:paraId="4ABB2D47">
      <w:pPr>
        <w:spacing w:before="91" w:line="222" w:lineRule="auto"/>
        <w:ind w:left="2903"/>
        <w:rPr>
          <w:rFonts w:ascii="黑体" w:hAnsi="黑体" w:eastAsia="黑体" w:cs="黑体"/>
          <w:sz w:val="28"/>
          <w:szCs w:val="28"/>
        </w:rPr>
      </w:pPr>
      <w:r>
        <w:rPr>
          <w:rFonts w:ascii="黑体" w:hAnsi="黑体" w:eastAsia="黑体" w:cs="黑体"/>
          <w:b/>
          <w:bCs/>
          <w:spacing w:val="28"/>
          <w:sz w:val="28"/>
          <w:szCs w:val="28"/>
        </w:rPr>
        <w:t>第七章技术标准和要求</w:t>
      </w:r>
    </w:p>
    <w:p w14:paraId="04AFC397">
      <w:pPr>
        <w:spacing w:line="303" w:lineRule="auto"/>
        <w:rPr>
          <w:rFonts w:ascii="Arial"/>
          <w:sz w:val="21"/>
        </w:rPr>
      </w:pPr>
    </w:p>
    <w:p w14:paraId="768DBAAB">
      <w:pPr>
        <w:spacing w:line="304" w:lineRule="auto"/>
        <w:rPr>
          <w:rFonts w:ascii="Arial"/>
          <w:sz w:val="21"/>
        </w:rPr>
      </w:pPr>
    </w:p>
    <w:p w14:paraId="01079805">
      <w:pPr>
        <w:spacing w:before="91" w:line="221" w:lineRule="auto"/>
        <w:ind w:left="3313"/>
        <w:rPr>
          <w:rFonts w:ascii="黑体" w:hAnsi="黑体" w:eastAsia="黑体" w:cs="黑体"/>
          <w:sz w:val="28"/>
          <w:szCs w:val="28"/>
        </w:rPr>
      </w:pPr>
      <w:r>
        <w:rPr>
          <w:rFonts w:ascii="黑体" w:hAnsi="黑体" w:eastAsia="黑体" w:cs="黑体"/>
          <w:b/>
          <w:bCs/>
          <w:spacing w:val="6"/>
          <w:sz w:val="28"/>
          <w:szCs w:val="28"/>
        </w:rPr>
        <w:t>第一节</w:t>
      </w:r>
      <w:r>
        <w:rPr>
          <w:rFonts w:ascii="黑体" w:hAnsi="黑体" w:eastAsia="黑体" w:cs="黑体"/>
          <w:spacing w:val="123"/>
          <w:sz w:val="28"/>
          <w:szCs w:val="28"/>
        </w:rPr>
        <w:t xml:space="preserve"> </w:t>
      </w:r>
      <w:r>
        <w:rPr>
          <w:rFonts w:ascii="黑体" w:hAnsi="黑体" w:eastAsia="黑体" w:cs="黑体"/>
          <w:b/>
          <w:bCs/>
          <w:spacing w:val="6"/>
          <w:sz w:val="28"/>
          <w:szCs w:val="28"/>
        </w:rPr>
        <w:t>一般要求</w:t>
      </w:r>
    </w:p>
    <w:p w14:paraId="37E31A61">
      <w:pPr>
        <w:spacing w:before="54" w:line="221" w:lineRule="auto"/>
        <w:ind w:left="4"/>
        <w:rPr>
          <w:rFonts w:ascii="黑体" w:hAnsi="黑体" w:eastAsia="黑体" w:cs="黑体"/>
          <w:sz w:val="28"/>
          <w:szCs w:val="28"/>
        </w:rPr>
      </w:pPr>
      <w:r>
        <w:rPr>
          <w:rFonts w:ascii="黑体" w:hAnsi="黑体" w:eastAsia="黑体" w:cs="黑体"/>
          <w:b/>
          <w:bCs/>
          <w:spacing w:val="-7"/>
          <w:sz w:val="28"/>
          <w:szCs w:val="28"/>
        </w:rPr>
        <w:t>1.工程说明</w:t>
      </w:r>
    </w:p>
    <w:p w14:paraId="3628E45F">
      <w:pPr>
        <w:pStyle w:val="2"/>
        <w:spacing w:before="213" w:line="221" w:lineRule="auto"/>
        <w:ind w:left="3"/>
        <w:rPr>
          <w:rFonts w:ascii="黑体" w:hAnsi="黑体" w:eastAsia="黑体" w:cs="黑体"/>
          <w:sz w:val="21"/>
          <w:szCs w:val="21"/>
        </w:rPr>
      </w:pPr>
      <w:r>
        <w:rPr>
          <w:b/>
          <w:bCs/>
          <w:spacing w:val="-7"/>
          <w:sz w:val="21"/>
          <w:szCs w:val="21"/>
        </w:rPr>
        <w:t>1.1</w:t>
      </w:r>
      <w:r>
        <w:rPr>
          <w:spacing w:val="10"/>
          <w:sz w:val="21"/>
          <w:szCs w:val="21"/>
        </w:rPr>
        <w:t xml:space="preserve">  </w:t>
      </w:r>
      <w:r>
        <w:rPr>
          <w:rFonts w:ascii="黑体" w:hAnsi="黑体" w:eastAsia="黑体" w:cs="黑体"/>
          <w:b/>
          <w:bCs/>
          <w:spacing w:val="-7"/>
          <w:sz w:val="21"/>
          <w:szCs w:val="21"/>
        </w:rPr>
        <w:t>工程概况</w:t>
      </w:r>
    </w:p>
    <w:p w14:paraId="114C4E00">
      <w:pPr>
        <w:pStyle w:val="2"/>
        <w:spacing w:before="233" w:line="219" w:lineRule="auto"/>
        <w:rPr>
          <w:sz w:val="21"/>
          <w:szCs w:val="21"/>
        </w:rPr>
      </w:pPr>
      <w:r>
        <w:rPr>
          <w:spacing w:val="-4"/>
          <w:sz w:val="21"/>
          <w:szCs w:val="21"/>
        </w:rPr>
        <w:t>1.1.1  本工程基本情况如下：</w:t>
      </w:r>
    </w:p>
    <w:p w14:paraId="0F3DDC2B">
      <w:pPr>
        <w:spacing w:line="440" w:lineRule="auto"/>
        <w:rPr>
          <w:rFonts w:ascii="Arial"/>
          <w:sz w:val="21"/>
        </w:rPr>
      </w:pPr>
    </w:p>
    <w:p w14:paraId="4742D76B">
      <w:pPr>
        <w:spacing w:line="490" w:lineRule="exact"/>
        <w:ind w:firstLine="719"/>
      </w:pPr>
      <w:r>
        <w:rPr>
          <w:position w:val="-9"/>
        </w:rPr>
        <w:drawing>
          <wp:inline distT="0" distB="0" distL="0" distR="0">
            <wp:extent cx="4571365" cy="311150"/>
            <wp:effectExtent l="0" t="0" r="0" b="0"/>
            <wp:docPr id="208" name="IM 208"/>
            <wp:cNvGraphicFramePr/>
            <a:graphic xmlns:a="http://schemas.openxmlformats.org/drawingml/2006/main">
              <a:graphicData uri="http://schemas.openxmlformats.org/drawingml/2006/picture">
                <pic:pic xmlns:pic="http://schemas.openxmlformats.org/drawingml/2006/picture">
                  <pic:nvPicPr>
                    <pic:cNvPr id="208" name="IM 208"/>
                    <pic:cNvPicPr/>
                  </pic:nvPicPr>
                  <pic:blipFill>
                    <a:blip r:embed="rId492"/>
                    <a:stretch>
                      <a:fillRect/>
                    </a:stretch>
                  </pic:blipFill>
                  <pic:spPr>
                    <a:xfrm>
                      <a:off x="0" y="0"/>
                      <a:ext cx="4571969" cy="311177"/>
                    </a:xfrm>
                    <a:prstGeom prst="rect">
                      <a:avLst/>
                    </a:prstGeom>
                  </pic:spPr>
                </pic:pic>
              </a:graphicData>
            </a:graphic>
          </wp:inline>
        </w:drawing>
      </w:r>
    </w:p>
    <w:p w14:paraId="176DC1EE">
      <w:pPr>
        <w:pStyle w:val="2"/>
        <w:spacing w:before="258" w:line="219" w:lineRule="auto"/>
        <w:rPr>
          <w:sz w:val="21"/>
          <w:szCs w:val="21"/>
        </w:rPr>
      </w:pPr>
      <w:r>
        <w:rPr>
          <w:spacing w:val="-2"/>
          <w:sz w:val="21"/>
          <w:szCs w:val="21"/>
        </w:rPr>
        <w:t>1.1.2  本工程施工场地(现场)具体地理位置如下：</w:t>
      </w:r>
    </w:p>
    <w:p w14:paraId="6158B424">
      <w:pPr>
        <w:spacing w:line="430" w:lineRule="auto"/>
        <w:rPr>
          <w:rFonts w:ascii="Arial"/>
          <w:sz w:val="21"/>
        </w:rPr>
      </w:pPr>
    </w:p>
    <w:p w14:paraId="1D3364F7">
      <w:pPr>
        <w:spacing w:before="1" w:line="500" w:lineRule="exact"/>
        <w:ind w:firstLine="719"/>
      </w:pPr>
      <w:r>
        <w:rPr>
          <w:position w:val="-9"/>
        </w:rPr>
        <w:drawing>
          <wp:inline distT="0" distB="0" distL="0" distR="0">
            <wp:extent cx="4571365" cy="316865"/>
            <wp:effectExtent l="0" t="0" r="0" b="0"/>
            <wp:docPr id="210" name="IM 210"/>
            <wp:cNvGraphicFramePr/>
            <a:graphic xmlns:a="http://schemas.openxmlformats.org/drawingml/2006/main">
              <a:graphicData uri="http://schemas.openxmlformats.org/drawingml/2006/picture">
                <pic:pic xmlns:pic="http://schemas.openxmlformats.org/drawingml/2006/picture">
                  <pic:nvPicPr>
                    <pic:cNvPr id="210" name="IM 210"/>
                    <pic:cNvPicPr/>
                  </pic:nvPicPr>
                  <pic:blipFill>
                    <a:blip r:embed="rId493"/>
                    <a:stretch>
                      <a:fillRect/>
                    </a:stretch>
                  </pic:blipFill>
                  <pic:spPr>
                    <a:xfrm>
                      <a:off x="0" y="0"/>
                      <a:ext cx="4571969" cy="317487"/>
                    </a:xfrm>
                    <a:prstGeom prst="rect">
                      <a:avLst/>
                    </a:prstGeom>
                  </pic:spPr>
                </pic:pic>
              </a:graphicData>
            </a:graphic>
          </wp:inline>
        </w:drawing>
      </w:r>
    </w:p>
    <w:p w14:paraId="5954FE88">
      <w:pPr>
        <w:pStyle w:val="2"/>
        <w:spacing w:before="244" w:line="222" w:lineRule="auto"/>
        <w:ind w:left="3"/>
        <w:rPr>
          <w:rFonts w:ascii="黑体" w:hAnsi="黑体" w:eastAsia="黑体" w:cs="黑体"/>
          <w:sz w:val="21"/>
          <w:szCs w:val="21"/>
        </w:rPr>
      </w:pPr>
      <w:r>
        <w:rPr>
          <w:b/>
          <w:bCs/>
          <w:spacing w:val="-5"/>
          <w:sz w:val="21"/>
          <w:szCs w:val="21"/>
        </w:rPr>
        <w:t>1.2</w:t>
      </w:r>
      <w:r>
        <w:rPr>
          <w:spacing w:val="7"/>
          <w:sz w:val="21"/>
          <w:szCs w:val="21"/>
        </w:rPr>
        <w:t xml:space="preserve">    </w:t>
      </w:r>
      <w:r>
        <w:rPr>
          <w:rFonts w:ascii="黑体" w:hAnsi="黑体" w:eastAsia="黑体" w:cs="黑体"/>
          <w:b/>
          <w:bCs/>
          <w:spacing w:val="-5"/>
          <w:sz w:val="21"/>
          <w:szCs w:val="21"/>
        </w:rPr>
        <w:t>现场条件和周围环境</w:t>
      </w:r>
    </w:p>
    <w:p w14:paraId="022EF68A">
      <w:pPr>
        <w:pStyle w:val="2"/>
        <w:spacing w:before="232" w:line="354" w:lineRule="auto"/>
        <w:ind w:left="719" w:hanging="719"/>
        <w:rPr>
          <w:sz w:val="21"/>
          <w:szCs w:val="21"/>
        </w:rPr>
      </w:pPr>
      <w:r>
        <w:rPr>
          <w:sz w:val="21"/>
          <w:szCs w:val="21"/>
        </w:rPr>
        <w:t>1.2.1  本工程施工场地(现场)已经具备</w:t>
      </w:r>
      <w:r>
        <w:rPr>
          <w:spacing w:val="-1"/>
          <w:sz w:val="21"/>
          <w:szCs w:val="21"/>
        </w:rPr>
        <w:t>施工条件。施工场地(现场)临时水源接口位置、临时电源</w:t>
      </w:r>
      <w:r>
        <w:rPr>
          <w:sz w:val="21"/>
          <w:szCs w:val="21"/>
        </w:rPr>
        <w:t xml:space="preserve"> 接口位置、临时排污口位置、建筑红线位置、道路交通和出入口、以及</w:t>
      </w:r>
      <w:r>
        <w:rPr>
          <w:spacing w:val="-1"/>
          <w:sz w:val="21"/>
          <w:szCs w:val="21"/>
        </w:rPr>
        <w:t>施工场地(现场)和</w:t>
      </w:r>
      <w:r>
        <w:rPr>
          <w:sz w:val="21"/>
          <w:szCs w:val="21"/>
        </w:rPr>
        <w:t xml:space="preserve"> </w:t>
      </w:r>
      <w:r>
        <w:rPr>
          <w:spacing w:val="2"/>
          <w:sz w:val="21"/>
          <w:szCs w:val="21"/>
        </w:rPr>
        <w:t>周围环境等情况见本章附件</w:t>
      </w:r>
      <w:r>
        <w:rPr>
          <w:rFonts w:ascii="Times New Roman" w:hAnsi="Times New Roman" w:eastAsia="Times New Roman" w:cs="Times New Roman"/>
          <w:spacing w:val="2"/>
          <w:sz w:val="21"/>
          <w:szCs w:val="21"/>
        </w:rPr>
        <w:t>A:</w:t>
      </w:r>
      <w:r>
        <w:rPr>
          <w:rFonts w:ascii="Times New Roman" w:hAnsi="Times New Roman" w:eastAsia="Times New Roman" w:cs="Times New Roman"/>
          <w:spacing w:val="49"/>
          <w:w w:val="101"/>
          <w:sz w:val="21"/>
          <w:szCs w:val="21"/>
        </w:rPr>
        <w:t xml:space="preserve"> </w:t>
      </w:r>
      <w:r>
        <w:rPr>
          <w:spacing w:val="2"/>
          <w:sz w:val="21"/>
          <w:szCs w:val="21"/>
        </w:rPr>
        <w:t>施工场地(现场)现状</w:t>
      </w:r>
      <w:r>
        <w:rPr>
          <w:spacing w:val="1"/>
          <w:sz w:val="21"/>
          <w:szCs w:val="21"/>
        </w:rPr>
        <w:t>平面图。</w:t>
      </w:r>
    </w:p>
    <w:p w14:paraId="44F9C670">
      <w:pPr>
        <w:pStyle w:val="2"/>
        <w:spacing w:before="268" w:line="212" w:lineRule="auto"/>
        <w:rPr>
          <w:rFonts w:ascii="Times New Roman" w:hAnsi="Times New Roman" w:eastAsia="Times New Roman" w:cs="Times New Roman"/>
          <w:sz w:val="21"/>
          <w:szCs w:val="21"/>
        </w:rPr>
      </w:pPr>
      <w:r>
        <w:rPr>
          <w:spacing w:val="-8"/>
          <w:sz w:val="21"/>
          <w:szCs w:val="21"/>
        </w:rPr>
        <w:t>1.2.2  施工场地(现场)临时供水管径</w:t>
      </w:r>
      <w:r>
        <w:rPr>
          <w:spacing w:val="-85"/>
          <w:sz w:val="21"/>
          <w:szCs w:val="21"/>
        </w:rPr>
        <w:t xml:space="preserve"> </w:t>
      </w:r>
      <w:r>
        <w:rPr>
          <w:sz w:val="21"/>
          <w:szCs w:val="21"/>
          <w:u w:val="single" w:color="auto"/>
        </w:rPr>
        <w:t xml:space="preserve">                                            </w:t>
      </w:r>
      <w:r>
        <w:rPr>
          <w:spacing w:val="-85"/>
          <w:sz w:val="21"/>
          <w:szCs w:val="21"/>
        </w:rPr>
        <w:t xml:space="preserve"> </w:t>
      </w:r>
      <w:r>
        <w:rPr>
          <w:rFonts w:ascii="Times New Roman" w:hAnsi="Times New Roman" w:eastAsia="Times New Roman" w:cs="Times New Roman"/>
          <w:spacing w:val="-8"/>
          <w:sz w:val="21"/>
          <w:szCs w:val="21"/>
        </w:rPr>
        <w:t>_o</w:t>
      </w:r>
    </w:p>
    <w:p w14:paraId="1649F614">
      <w:pPr>
        <w:pStyle w:val="2"/>
        <w:spacing w:before="228" w:line="212" w:lineRule="auto"/>
        <w:ind w:left="719"/>
        <w:rPr>
          <w:rFonts w:ascii="Times New Roman" w:hAnsi="Times New Roman" w:eastAsia="Times New Roman" w:cs="Times New Roman"/>
          <w:sz w:val="21"/>
          <w:szCs w:val="21"/>
        </w:rPr>
      </w:pPr>
      <w:r>
        <w:rPr>
          <w:spacing w:val="-10"/>
          <w:sz w:val="21"/>
          <w:szCs w:val="21"/>
        </w:rPr>
        <w:t>施工场地(现场)临时排污管径</w:t>
      </w:r>
      <w:r>
        <w:rPr>
          <w:spacing w:val="-94"/>
          <w:sz w:val="21"/>
          <w:szCs w:val="21"/>
        </w:rPr>
        <w:t xml:space="preserve"> </w:t>
      </w:r>
      <w:r>
        <w:rPr>
          <w:sz w:val="21"/>
          <w:szCs w:val="21"/>
          <w:u w:val="single" w:color="auto"/>
        </w:rPr>
        <w:t xml:space="preserve">                                            </w:t>
      </w:r>
      <w:r>
        <w:rPr>
          <w:spacing w:val="-85"/>
          <w:sz w:val="21"/>
          <w:szCs w:val="21"/>
        </w:rPr>
        <w:t xml:space="preserve"> </w:t>
      </w:r>
      <w:r>
        <w:rPr>
          <w:rFonts w:ascii="Times New Roman" w:hAnsi="Times New Roman" w:eastAsia="Times New Roman" w:cs="Times New Roman"/>
          <w:spacing w:val="-10"/>
          <w:sz w:val="21"/>
          <w:szCs w:val="21"/>
        </w:rPr>
        <w:t>_o</w:t>
      </w:r>
    </w:p>
    <w:p w14:paraId="4A85CA5E">
      <w:pPr>
        <w:pStyle w:val="2"/>
        <w:spacing w:before="253" w:line="409" w:lineRule="auto"/>
        <w:ind w:left="719" w:right="899"/>
        <w:rPr>
          <w:sz w:val="21"/>
          <w:szCs w:val="21"/>
        </w:rPr>
      </w:pPr>
      <w:r>
        <w:rPr>
          <w:spacing w:val="-13"/>
          <w:sz w:val="21"/>
          <w:szCs w:val="21"/>
        </w:rPr>
        <w:t>施工场地(现场)临时雨水管径</w:t>
      </w:r>
      <w:r>
        <w:rPr>
          <w:spacing w:val="3"/>
          <w:sz w:val="21"/>
          <w:szCs w:val="21"/>
          <w:u w:val="single" w:color="auto"/>
        </w:rPr>
        <w:t xml:space="preserve">                    </w:t>
      </w:r>
      <w:r>
        <w:rPr>
          <w:spacing w:val="2"/>
          <w:sz w:val="21"/>
          <w:szCs w:val="21"/>
          <w:u w:val="single" w:color="auto"/>
        </w:rPr>
        <w:t xml:space="preserve">                       </w:t>
      </w:r>
      <w:r>
        <w:rPr>
          <w:spacing w:val="-84"/>
          <w:sz w:val="21"/>
          <w:szCs w:val="21"/>
        </w:rPr>
        <w:t xml:space="preserve"> </w:t>
      </w:r>
      <w:r>
        <w:rPr>
          <w:rFonts w:ascii="Times New Roman" w:hAnsi="Times New Roman" w:eastAsia="Times New Roman" w:cs="Times New Roman"/>
          <w:spacing w:val="-13"/>
          <w:sz w:val="21"/>
          <w:szCs w:val="21"/>
        </w:rPr>
        <w:t>o</w:t>
      </w:r>
      <w:r>
        <w:rPr>
          <w:rFonts w:ascii="Times New Roman" w:hAnsi="Times New Roman" w:eastAsia="Times New Roman" w:cs="Times New Roman"/>
          <w:sz w:val="21"/>
          <w:szCs w:val="21"/>
        </w:rPr>
        <w:t xml:space="preserve"> </w:t>
      </w:r>
      <w:r>
        <w:rPr>
          <w:spacing w:val="-1"/>
          <w:sz w:val="21"/>
          <w:szCs w:val="21"/>
        </w:rPr>
        <w:t>施工现场临时供电容量(变压器输出功率)</w:t>
      </w:r>
      <w:r>
        <w:rPr>
          <w:spacing w:val="-1"/>
          <w:sz w:val="21"/>
          <w:szCs w:val="21"/>
          <w:u w:val="single" w:color="auto"/>
        </w:rPr>
        <w:t xml:space="preserve">               </w:t>
      </w:r>
      <w:r>
        <w:rPr>
          <w:spacing w:val="-2"/>
          <w:sz w:val="21"/>
          <w:szCs w:val="21"/>
          <w:u w:val="single" w:color="auto"/>
        </w:rPr>
        <w:t xml:space="preserve">                   </w:t>
      </w:r>
    </w:p>
    <w:p w14:paraId="375D0CCA">
      <w:pPr>
        <w:pStyle w:val="2"/>
        <w:spacing w:line="219" w:lineRule="auto"/>
        <w:rPr>
          <w:sz w:val="21"/>
          <w:szCs w:val="21"/>
        </w:rPr>
      </w:pPr>
      <w:r>
        <w:rPr>
          <w:spacing w:val="-1"/>
          <w:sz w:val="21"/>
          <w:szCs w:val="21"/>
        </w:rPr>
        <w:t>1.2.3  现场条件和周围环境的其他资料和信息数据如</w:t>
      </w:r>
      <w:r>
        <w:rPr>
          <w:spacing w:val="-2"/>
          <w:sz w:val="21"/>
          <w:szCs w:val="21"/>
        </w:rPr>
        <w:t>下：</w:t>
      </w:r>
    </w:p>
    <w:p w14:paraId="1B2C5EBA">
      <w:pPr>
        <w:spacing w:line="439" w:lineRule="auto"/>
        <w:rPr>
          <w:rFonts w:ascii="Arial"/>
          <w:sz w:val="21"/>
        </w:rPr>
      </w:pPr>
    </w:p>
    <w:p w14:paraId="457FBBD0">
      <w:pPr>
        <w:spacing w:line="490" w:lineRule="exact"/>
        <w:ind w:firstLine="709"/>
      </w:pPr>
      <w:r>
        <w:rPr>
          <w:position w:val="-9"/>
        </w:rPr>
        <w:drawing>
          <wp:inline distT="0" distB="0" distL="0" distR="0">
            <wp:extent cx="4565015" cy="311150"/>
            <wp:effectExtent l="0" t="0" r="0" b="0"/>
            <wp:docPr id="212" name="IM 212"/>
            <wp:cNvGraphicFramePr/>
            <a:graphic xmlns:a="http://schemas.openxmlformats.org/drawingml/2006/main">
              <a:graphicData uri="http://schemas.openxmlformats.org/drawingml/2006/picture">
                <pic:pic xmlns:pic="http://schemas.openxmlformats.org/drawingml/2006/picture">
                  <pic:nvPicPr>
                    <pic:cNvPr id="212" name="IM 212"/>
                    <pic:cNvPicPr/>
                  </pic:nvPicPr>
                  <pic:blipFill>
                    <a:blip r:embed="rId494"/>
                    <a:stretch>
                      <a:fillRect/>
                    </a:stretch>
                  </pic:blipFill>
                  <pic:spPr>
                    <a:xfrm>
                      <a:off x="0" y="0"/>
                      <a:ext cx="4565616" cy="311179"/>
                    </a:xfrm>
                    <a:prstGeom prst="rect">
                      <a:avLst/>
                    </a:prstGeom>
                  </pic:spPr>
                </pic:pic>
              </a:graphicData>
            </a:graphic>
          </wp:inline>
        </w:drawing>
      </w:r>
    </w:p>
    <w:p w14:paraId="0AD47FB4">
      <w:pPr>
        <w:pStyle w:val="2"/>
        <w:spacing w:before="249" w:line="429" w:lineRule="auto"/>
        <w:ind w:left="719" w:right="1012" w:hanging="719"/>
        <w:rPr>
          <w:sz w:val="21"/>
          <w:szCs w:val="21"/>
        </w:rPr>
      </w:pPr>
      <w:r>
        <w:rPr>
          <w:sz w:val="21"/>
          <w:szCs w:val="21"/>
        </w:rPr>
        <w:t>1.2.4  承包人被认为已在本工程投标阶段踏勘现场时充分了解本工程现场条件和周围</w:t>
      </w:r>
      <w:r>
        <w:rPr>
          <w:spacing w:val="14"/>
          <w:sz w:val="21"/>
          <w:szCs w:val="21"/>
        </w:rPr>
        <w:t xml:space="preserve"> </w:t>
      </w:r>
      <w:r>
        <w:rPr>
          <w:spacing w:val="-1"/>
          <w:sz w:val="21"/>
          <w:szCs w:val="21"/>
        </w:rPr>
        <w:t>环境，并已在其投标时就此给予了充分的考虑。</w:t>
      </w:r>
    </w:p>
    <w:p w14:paraId="23954579">
      <w:pPr>
        <w:pStyle w:val="2"/>
        <w:spacing w:before="1" w:line="221" w:lineRule="auto"/>
        <w:ind w:left="3"/>
        <w:rPr>
          <w:rFonts w:ascii="黑体" w:hAnsi="黑体" w:eastAsia="黑体" w:cs="黑体"/>
          <w:sz w:val="21"/>
          <w:szCs w:val="21"/>
        </w:rPr>
      </w:pPr>
      <w:r>
        <w:rPr>
          <w:b/>
          <w:bCs/>
          <w:spacing w:val="-6"/>
          <w:sz w:val="21"/>
          <w:szCs w:val="21"/>
        </w:rPr>
        <w:t>1.3</w:t>
      </w:r>
      <w:r>
        <w:rPr>
          <w:spacing w:val="6"/>
          <w:sz w:val="21"/>
          <w:szCs w:val="21"/>
        </w:rPr>
        <w:t xml:space="preserve">   </w:t>
      </w:r>
      <w:r>
        <w:rPr>
          <w:rFonts w:ascii="黑体" w:hAnsi="黑体" w:eastAsia="黑体" w:cs="黑体"/>
          <w:b/>
          <w:bCs/>
          <w:spacing w:val="-6"/>
          <w:sz w:val="21"/>
          <w:szCs w:val="21"/>
        </w:rPr>
        <w:t>地质及水文资料</w:t>
      </w:r>
    </w:p>
    <w:p w14:paraId="02A1F340">
      <w:pPr>
        <w:pStyle w:val="2"/>
        <w:spacing w:before="232" w:line="219" w:lineRule="auto"/>
        <w:rPr>
          <w:sz w:val="21"/>
          <w:szCs w:val="21"/>
        </w:rPr>
      </w:pPr>
      <w:r>
        <w:rPr>
          <w:spacing w:val="-2"/>
          <w:sz w:val="21"/>
          <w:szCs w:val="21"/>
        </w:rPr>
        <w:t>1.3.1  现场地质及水文资料和信息数据如下：</w:t>
      </w:r>
    </w:p>
    <w:p w14:paraId="0BB3DDC9">
      <w:pPr>
        <w:spacing w:line="439" w:lineRule="auto"/>
        <w:rPr>
          <w:rFonts w:ascii="Arial"/>
          <w:sz w:val="21"/>
        </w:rPr>
      </w:pPr>
    </w:p>
    <w:p w14:paraId="6BCE0313">
      <w:pPr>
        <w:spacing w:line="490" w:lineRule="exact"/>
        <w:ind w:firstLine="709"/>
      </w:pPr>
      <w:r>
        <w:rPr>
          <w:position w:val="-9"/>
        </w:rPr>
        <w:drawing>
          <wp:inline distT="0" distB="0" distL="0" distR="0">
            <wp:extent cx="4565015" cy="311150"/>
            <wp:effectExtent l="0" t="0" r="0" b="0"/>
            <wp:docPr id="214" name="IM 214"/>
            <wp:cNvGraphicFramePr/>
            <a:graphic xmlns:a="http://schemas.openxmlformats.org/drawingml/2006/main">
              <a:graphicData uri="http://schemas.openxmlformats.org/drawingml/2006/picture">
                <pic:pic xmlns:pic="http://schemas.openxmlformats.org/drawingml/2006/picture">
                  <pic:nvPicPr>
                    <pic:cNvPr id="214" name="IM 214"/>
                    <pic:cNvPicPr/>
                  </pic:nvPicPr>
                  <pic:blipFill>
                    <a:blip r:embed="rId495"/>
                    <a:stretch>
                      <a:fillRect/>
                    </a:stretch>
                  </pic:blipFill>
                  <pic:spPr>
                    <a:xfrm>
                      <a:off x="0" y="0"/>
                      <a:ext cx="4565616" cy="311178"/>
                    </a:xfrm>
                    <a:prstGeom prst="rect">
                      <a:avLst/>
                    </a:prstGeom>
                  </pic:spPr>
                </pic:pic>
              </a:graphicData>
            </a:graphic>
          </wp:inline>
        </w:drawing>
      </w:r>
    </w:p>
    <w:p w14:paraId="1DB48701">
      <w:pPr>
        <w:spacing w:line="490" w:lineRule="exact"/>
        <w:sectPr>
          <w:footerReference r:id="rId324" w:type="default"/>
          <w:pgSz w:w="11910" w:h="16840"/>
          <w:pgMar w:top="400" w:right="1547" w:bottom="1147" w:left="1460" w:header="0" w:footer="1021" w:gutter="0"/>
          <w:cols w:space="720" w:num="1"/>
        </w:sectPr>
      </w:pPr>
    </w:p>
    <w:p w14:paraId="3561E86B">
      <w:pPr>
        <w:spacing w:line="264" w:lineRule="auto"/>
        <w:rPr>
          <w:rFonts w:ascii="Arial"/>
          <w:sz w:val="21"/>
        </w:rPr>
      </w:pPr>
    </w:p>
    <w:p w14:paraId="7F23E493">
      <w:pPr>
        <w:spacing w:line="264" w:lineRule="auto"/>
        <w:rPr>
          <w:rFonts w:ascii="Arial"/>
          <w:sz w:val="21"/>
        </w:rPr>
      </w:pPr>
    </w:p>
    <w:p w14:paraId="78C10181">
      <w:pPr>
        <w:spacing w:line="264" w:lineRule="auto"/>
        <w:rPr>
          <w:rFonts w:ascii="Arial"/>
          <w:sz w:val="21"/>
        </w:rPr>
      </w:pPr>
    </w:p>
    <w:p w14:paraId="3680EA86">
      <w:pPr>
        <w:spacing w:line="264" w:lineRule="auto"/>
        <w:rPr>
          <w:rFonts w:ascii="Arial"/>
          <w:sz w:val="21"/>
        </w:rPr>
      </w:pPr>
    </w:p>
    <w:p w14:paraId="147F7D3B">
      <w:pPr>
        <w:spacing w:line="264" w:lineRule="auto"/>
        <w:rPr>
          <w:rFonts w:ascii="Arial"/>
          <w:sz w:val="21"/>
        </w:rPr>
      </w:pPr>
    </w:p>
    <w:p w14:paraId="1ACFD22A">
      <w:pPr>
        <w:pStyle w:val="2"/>
        <w:spacing w:before="78" w:line="219" w:lineRule="auto"/>
        <w:ind w:left="3"/>
        <w:rPr>
          <w:sz w:val="24"/>
          <w:szCs w:val="24"/>
        </w:rPr>
      </w:pPr>
      <w:r>
        <w:rPr>
          <w:b/>
          <w:bCs/>
          <w:spacing w:val="-7"/>
          <w:sz w:val="24"/>
          <w:szCs w:val="24"/>
        </w:rPr>
        <w:t>1.4</w:t>
      </w:r>
      <w:r>
        <w:rPr>
          <w:spacing w:val="7"/>
          <w:sz w:val="24"/>
          <w:szCs w:val="24"/>
        </w:rPr>
        <w:t xml:space="preserve">    </w:t>
      </w:r>
      <w:r>
        <w:rPr>
          <w:b/>
          <w:bCs/>
          <w:spacing w:val="-7"/>
          <w:sz w:val="24"/>
          <w:szCs w:val="24"/>
        </w:rPr>
        <w:t>资料和信息的使用</w:t>
      </w:r>
    </w:p>
    <w:p w14:paraId="477EB413">
      <w:pPr>
        <w:pStyle w:val="2"/>
        <w:spacing w:before="125" w:line="357" w:lineRule="auto"/>
        <w:ind w:left="789" w:hanging="789"/>
        <w:rPr>
          <w:sz w:val="20"/>
          <w:szCs w:val="20"/>
        </w:rPr>
      </w:pPr>
      <w:r>
        <w:rPr>
          <w:spacing w:val="6"/>
          <w:sz w:val="20"/>
          <w:szCs w:val="20"/>
        </w:rPr>
        <w:t xml:space="preserve">1.4.1  </w:t>
      </w:r>
      <w:r>
        <w:rPr>
          <w:rFonts w:ascii="黑体" w:hAnsi="黑体" w:eastAsia="黑体" w:cs="黑体"/>
          <w:spacing w:val="6"/>
          <w:sz w:val="20"/>
          <w:szCs w:val="20"/>
        </w:rPr>
        <w:t xml:space="preserve">合同文件中载明的涉及本工程现场条件、周围环境、地质及水文等情况的资料和信息数据， </w:t>
      </w:r>
      <w:r>
        <w:rPr>
          <w:spacing w:val="8"/>
          <w:sz w:val="20"/>
          <w:szCs w:val="20"/>
        </w:rPr>
        <w:t>是发包人现有的和客观的，发包人保证有关资料和信息数据的真实、准确。但承包人据此</w:t>
      </w:r>
      <w:r>
        <w:rPr>
          <w:spacing w:val="14"/>
          <w:sz w:val="20"/>
          <w:szCs w:val="20"/>
        </w:rPr>
        <w:t xml:space="preserve"> </w:t>
      </w:r>
      <w:r>
        <w:rPr>
          <w:spacing w:val="9"/>
          <w:sz w:val="20"/>
          <w:szCs w:val="20"/>
        </w:rPr>
        <w:t>作出的推论、判断和决策，由承包人自行负责。</w:t>
      </w:r>
    </w:p>
    <w:p w14:paraId="5C3C23AE">
      <w:pPr>
        <w:pStyle w:val="2"/>
        <w:spacing w:line="219" w:lineRule="auto"/>
        <w:ind w:left="3"/>
        <w:rPr>
          <w:sz w:val="27"/>
          <w:szCs w:val="27"/>
        </w:rPr>
      </w:pPr>
      <w:r>
        <w:rPr>
          <w:b/>
          <w:bCs/>
          <w:spacing w:val="1"/>
          <w:sz w:val="27"/>
          <w:szCs w:val="27"/>
        </w:rPr>
        <w:t>2.承包范围</w:t>
      </w:r>
    </w:p>
    <w:p w14:paraId="1D747354">
      <w:pPr>
        <w:pStyle w:val="2"/>
        <w:spacing w:before="157" w:line="219" w:lineRule="auto"/>
        <w:ind w:left="2"/>
        <w:rPr>
          <w:sz w:val="20"/>
          <w:szCs w:val="20"/>
        </w:rPr>
      </w:pPr>
      <w:r>
        <w:rPr>
          <w:b/>
          <w:bCs/>
          <w:spacing w:val="-8"/>
          <w:sz w:val="20"/>
          <w:szCs w:val="20"/>
        </w:rPr>
        <w:t>2.1</w:t>
      </w:r>
      <w:r>
        <w:rPr>
          <w:spacing w:val="12"/>
          <w:sz w:val="20"/>
          <w:szCs w:val="20"/>
        </w:rPr>
        <w:t xml:space="preserve">     </w:t>
      </w:r>
      <w:r>
        <w:rPr>
          <w:b/>
          <w:bCs/>
          <w:spacing w:val="-8"/>
          <w:sz w:val="20"/>
          <w:szCs w:val="20"/>
        </w:rPr>
        <w:t>承</w:t>
      </w:r>
      <w:r>
        <w:rPr>
          <w:spacing w:val="-34"/>
          <w:sz w:val="20"/>
          <w:szCs w:val="20"/>
        </w:rPr>
        <w:t xml:space="preserve"> </w:t>
      </w:r>
      <w:r>
        <w:rPr>
          <w:b/>
          <w:bCs/>
          <w:spacing w:val="-8"/>
          <w:sz w:val="20"/>
          <w:szCs w:val="20"/>
        </w:rPr>
        <w:t>包</w:t>
      </w:r>
      <w:r>
        <w:rPr>
          <w:spacing w:val="-30"/>
          <w:sz w:val="20"/>
          <w:szCs w:val="20"/>
        </w:rPr>
        <w:t xml:space="preserve"> </w:t>
      </w:r>
      <w:r>
        <w:rPr>
          <w:b/>
          <w:bCs/>
          <w:spacing w:val="-8"/>
          <w:sz w:val="20"/>
          <w:szCs w:val="20"/>
        </w:rPr>
        <w:t>范</w:t>
      </w:r>
      <w:r>
        <w:rPr>
          <w:spacing w:val="-17"/>
          <w:sz w:val="20"/>
          <w:szCs w:val="20"/>
        </w:rPr>
        <w:t xml:space="preserve"> </w:t>
      </w:r>
      <w:r>
        <w:rPr>
          <w:b/>
          <w:bCs/>
          <w:spacing w:val="-8"/>
          <w:sz w:val="20"/>
          <w:szCs w:val="20"/>
        </w:rPr>
        <w:t>围</w:t>
      </w:r>
    </w:p>
    <w:p w14:paraId="73C07125">
      <w:pPr>
        <w:pStyle w:val="2"/>
        <w:spacing w:before="141" w:line="222" w:lineRule="auto"/>
        <w:ind w:left="2"/>
        <w:rPr>
          <w:rFonts w:ascii="黑体" w:hAnsi="黑体" w:eastAsia="黑体" w:cs="黑体"/>
          <w:sz w:val="20"/>
          <w:szCs w:val="20"/>
        </w:rPr>
      </w:pPr>
      <w:r>
        <w:rPr>
          <w:b/>
          <w:bCs/>
          <w:spacing w:val="3"/>
          <w:sz w:val="20"/>
          <w:szCs w:val="20"/>
        </w:rPr>
        <w:t>2.1.1</w:t>
      </w:r>
      <w:r>
        <w:rPr>
          <w:spacing w:val="23"/>
          <w:sz w:val="20"/>
          <w:szCs w:val="20"/>
        </w:rPr>
        <w:t xml:space="preserve">   </w:t>
      </w:r>
      <w:r>
        <w:rPr>
          <w:rFonts w:ascii="黑体" w:hAnsi="黑体" w:eastAsia="黑体" w:cs="黑体"/>
          <w:b/>
          <w:bCs/>
          <w:spacing w:val="3"/>
          <w:sz w:val="20"/>
          <w:szCs w:val="20"/>
        </w:rPr>
        <w:t>承包人自行施工范围</w:t>
      </w:r>
    </w:p>
    <w:p w14:paraId="1D914F4E">
      <w:pPr>
        <w:pStyle w:val="2"/>
        <w:spacing w:before="172" w:line="219" w:lineRule="auto"/>
        <w:ind w:left="869"/>
        <w:rPr>
          <w:sz w:val="20"/>
          <w:szCs w:val="20"/>
        </w:rPr>
      </w:pPr>
      <w:r>
        <w:rPr>
          <w:spacing w:val="7"/>
          <w:sz w:val="20"/>
          <w:szCs w:val="20"/>
        </w:rPr>
        <w:t>本工程承包人自行施工的工程范围如下：</w:t>
      </w:r>
    </w:p>
    <w:p w14:paraId="3807F760">
      <w:pPr>
        <w:spacing w:line="282" w:lineRule="auto"/>
        <w:rPr>
          <w:rFonts w:ascii="Arial"/>
          <w:sz w:val="21"/>
        </w:rPr>
      </w:pPr>
    </w:p>
    <w:p w14:paraId="16413451">
      <w:pPr>
        <w:spacing w:line="283" w:lineRule="auto"/>
        <w:rPr>
          <w:rFonts w:ascii="Arial"/>
          <w:sz w:val="21"/>
        </w:rPr>
      </w:pPr>
      <w:r>
        <w:drawing>
          <wp:anchor distT="0" distB="0" distL="0" distR="0" simplePos="0" relativeHeight="251745280" behindDoc="0" locked="0" layoutInCell="1" allowOverlap="1">
            <wp:simplePos x="0" y="0"/>
            <wp:positionH relativeFrom="column">
              <wp:posOffset>456565</wp:posOffset>
            </wp:positionH>
            <wp:positionV relativeFrom="paragraph">
              <wp:posOffset>102235</wp:posOffset>
            </wp:positionV>
            <wp:extent cx="4235450" cy="6350"/>
            <wp:effectExtent l="0" t="0" r="0" b="0"/>
            <wp:wrapNone/>
            <wp:docPr id="216" name="IM 216"/>
            <wp:cNvGraphicFramePr/>
            <a:graphic xmlns:a="http://schemas.openxmlformats.org/drawingml/2006/main">
              <a:graphicData uri="http://schemas.openxmlformats.org/drawingml/2006/picture">
                <pic:pic xmlns:pic="http://schemas.openxmlformats.org/drawingml/2006/picture">
                  <pic:nvPicPr>
                    <pic:cNvPr id="216" name="IM 216"/>
                    <pic:cNvPicPr/>
                  </pic:nvPicPr>
                  <pic:blipFill>
                    <a:blip r:embed="rId496"/>
                    <a:stretch>
                      <a:fillRect/>
                    </a:stretch>
                  </pic:blipFill>
                  <pic:spPr>
                    <a:xfrm>
                      <a:off x="0" y="0"/>
                      <a:ext cx="4235422" cy="6350"/>
                    </a:xfrm>
                    <a:prstGeom prst="rect">
                      <a:avLst/>
                    </a:prstGeom>
                  </pic:spPr>
                </pic:pic>
              </a:graphicData>
            </a:graphic>
          </wp:anchor>
        </w:drawing>
      </w:r>
    </w:p>
    <w:p w14:paraId="39C32A7F">
      <w:pPr>
        <w:spacing w:line="283" w:lineRule="auto"/>
        <w:rPr>
          <w:rFonts w:ascii="Arial"/>
          <w:sz w:val="21"/>
        </w:rPr>
      </w:pPr>
    </w:p>
    <w:p w14:paraId="6C9EC69C">
      <w:pPr>
        <w:pStyle w:val="2"/>
        <w:spacing w:before="21" w:line="237" w:lineRule="auto"/>
        <w:ind w:left="7399"/>
        <w:rPr>
          <w:sz w:val="6"/>
          <w:szCs w:val="6"/>
        </w:rPr>
      </w:pPr>
      <w:r>
        <w:drawing>
          <wp:anchor distT="0" distB="0" distL="0" distR="0" simplePos="0" relativeHeight="251746304" behindDoc="0" locked="0" layoutInCell="1" allowOverlap="1">
            <wp:simplePos x="0" y="0"/>
            <wp:positionH relativeFrom="column">
              <wp:posOffset>469265</wp:posOffset>
            </wp:positionH>
            <wp:positionV relativeFrom="paragraph">
              <wp:posOffset>46355</wp:posOffset>
            </wp:positionV>
            <wp:extent cx="4210050" cy="6350"/>
            <wp:effectExtent l="0" t="0" r="0" b="0"/>
            <wp:wrapNone/>
            <wp:docPr id="218" name="IM 218"/>
            <wp:cNvGraphicFramePr/>
            <a:graphic xmlns:a="http://schemas.openxmlformats.org/drawingml/2006/main">
              <a:graphicData uri="http://schemas.openxmlformats.org/drawingml/2006/picture">
                <pic:pic xmlns:pic="http://schemas.openxmlformats.org/drawingml/2006/picture">
                  <pic:nvPicPr>
                    <pic:cNvPr id="218" name="IM 218"/>
                    <pic:cNvPicPr/>
                  </pic:nvPicPr>
                  <pic:blipFill>
                    <a:blip r:embed="rId497"/>
                    <a:stretch>
                      <a:fillRect/>
                    </a:stretch>
                  </pic:blipFill>
                  <pic:spPr>
                    <a:xfrm>
                      <a:off x="0" y="0"/>
                      <a:ext cx="4210012" cy="6350"/>
                    </a:xfrm>
                    <a:prstGeom prst="rect">
                      <a:avLst/>
                    </a:prstGeom>
                  </pic:spPr>
                </pic:pic>
              </a:graphicData>
            </a:graphic>
          </wp:anchor>
        </w:drawing>
      </w:r>
      <w:r>
        <w:rPr>
          <w:sz w:val="6"/>
          <w:szCs w:val="6"/>
        </w:rPr>
        <w:t>◎</w:t>
      </w:r>
    </w:p>
    <w:p w14:paraId="1EB6DD9C">
      <w:pPr>
        <w:pStyle w:val="2"/>
        <w:spacing w:before="189" w:line="222" w:lineRule="auto"/>
        <w:ind w:left="2"/>
        <w:rPr>
          <w:rFonts w:ascii="黑体" w:hAnsi="黑体" w:eastAsia="黑体" w:cs="黑体"/>
          <w:sz w:val="20"/>
          <w:szCs w:val="20"/>
        </w:rPr>
      </w:pPr>
      <w:r>
        <w:rPr>
          <w:b/>
          <w:bCs/>
          <w:spacing w:val="4"/>
          <w:sz w:val="20"/>
          <w:szCs w:val="20"/>
        </w:rPr>
        <w:t>2.1.2</w:t>
      </w:r>
      <w:r>
        <w:rPr>
          <w:spacing w:val="16"/>
          <w:sz w:val="20"/>
          <w:szCs w:val="20"/>
        </w:rPr>
        <w:t xml:space="preserve">    </w:t>
      </w:r>
      <w:r>
        <w:rPr>
          <w:rFonts w:ascii="黑体" w:hAnsi="黑体" w:eastAsia="黑体" w:cs="黑体"/>
          <w:b/>
          <w:bCs/>
          <w:spacing w:val="4"/>
          <w:sz w:val="20"/>
          <w:szCs w:val="20"/>
        </w:rPr>
        <w:t>承包范围内的暂估价项目</w:t>
      </w:r>
    </w:p>
    <w:p w14:paraId="0F5DEB96">
      <w:pPr>
        <w:pStyle w:val="2"/>
        <w:spacing w:before="182" w:line="289" w:lineRule="auto"/>
        <w:ind w:left="949" w:right="68" w:hanging="949"/>
        <w:rPr>
          <w:sz w:val="20"/>
          <w:szCs w:val="20"/>
        </w:rPr>
      </w:pPr>
      <w:r>
        <w:rPr>
          <w:spacing w:val="11"/>
          <w:sz w:val="20"/>
          <w:szCs w:val="20"/>
        </w:rPr>
        <w:t>2.1.2.1  承包范围内以暂估价形式实施的专业工程见第五</w:t>
      </w:r>
      <w:r>
        <w:rPr>
          <w:spacing w:val="10"/>
          <w:sz w:val="20"/>
          <w:szCs w:val="20"/>
        </w:rPr>
        <w:t>章“工程量清单”表4.11—3“专业工</w:t>
      </w:r>
      <w:r>
        <w:rPr>
          <w:sz w:val="20"/>
          <w:szCs w:val="20"/>
        </w:rPr>
        <w:t xml:space="preserve"> </w:t>
      </w:r>
      <w:r>
        <w:rPr>
          <w:spacing w:val="-8"/>
          <w:sz w:val="20"/>
          <w:szCs w:val="20"/>
        </w:rPr>
        <w:t>程暂估价表”。</w:t>
      </w:r>
    </w:p>
    <w:p w14:paraId="031C5412">
      <w:pPr>
        <w:pStyle w:val="2"/>
        <w:spacing w:before="153" w:line="303" w:lineRule="auto"/>
        <w:ind w:left="949" w:right="52" w:hanging="949"/>
        <w:rPr>
          <w:sz w:val="20"/>
          <w:szCs w:val="20"/>
        </w:rPr>
      </w:pPr>
      <w:r>
        <w:rPr>
          <w:spacing w:val="6"/>
          <w:sz w:val="20"/>
          <w:szCs w:val="20"/>
        </w:rPr>
        <w:t>2.1.2.2</w:t>
      </w:r>
      <w:r>
        <w:rPr>
          <w:spacing w:val="30"/>
          <w:sz w:val="20"/>
          <w:szCs w:val="20"/>
        </w:rPr>
        <w:t xml:space="preserve">  </w:t>
      </w:r>
      <w:r>
        <w:rPr>
          <w:spacing w:val="6"/>
          <w:sz w:val="20"/>
          <w:szCs w:val="20"/>
        </w:rPr>
        <w:t>承包范围内以暂估价形式实施的材料和工程设备见第五章“工程量</w:t>
      </w:r>
      <w:r>
        <w:rPr>
          <w:spacing w:val="5"/>
          <w:sz w:val="20"/>
          <w:szCs w:val="20"/>
        </w:rPr>
        <w:t>清单”表4.11—2“材</w:t>
      </w:r>
      <w:r>
        <w:rPr>
          <w:sz w:val="20"/>
          <w:szCs w:val="20"/>
        </w:rPr>
        <w:t xml:space="preserve"> </w:t>
      </w:r>
      <w:r>
        <w:rPr>
          <w:spacing w:val="-1"/>
          <w:sz w:val="20"/>
          <w:szCs w:val="20"/>
        </w:rPr>
        <w:t>料和工程设备暂估单价表”。</w:t>
      </w:r>
    </w:p>
    <w:p w14:paraId="55333D6E">
      <w:pPr>
        <w:pStyle w:val="2"/>
        <w:spacing w:before="164" w:line="218" w:lineRule="auto"/>
        <w:rPr>
          <w:sz w:val="20"/>
          <w:szCs w:val="20"/>
        </w:rPr>
      </w:pPr>
      <w:r>
        <w:rPr>
          <w:spacing w:val="11"/>
          <w:sz w:val="20"/>
          <w:szCs w:val="20"/>
        </w:rPr>
        <w:t>2.1.2.3  上述暂估价项目与本节第2.1.1项承包</w:t>
      </w:r>
      <w:r>
        <w:rPr>
          <w:spacing w:val="10"/>
          <w:sz w:val="20"/>
          <w:szCs w:val="20"/>
        </w:rPr>
        <w:t>人自行施工范围的工作界面划分如下：</w:t>
      </w:r>
    </w:p>
    <w:p w14:paraId="36921B92">
      <w:pPr>
        <w:spacing w:before="206"/>
      </w:pPr>
    </w:p>
    <w:tbl>
      <w:tblPr>
        <w:tblStyle w:val="5"/>
        <w:tblW w:w="7100" w:type="dxa"/>
        <w:tblInd w:w="1039"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7100"/>
      </w:tblGrid>
      <w:tr w14:paraId="666A7677">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17" w:hRule="atLeast"/>
        </w:trPr>
        <w:tc>
          <w:tcPr>
            <w:tcW w:w="7100" w:type="dxa"/>
            <w:tcBorders>
              <w:top w:val="single" w:color="000000" w:sz="2" w:space="0"/>
              <w:bottom w:val="single" w:color="000000" w:sz="2" w:space="0"/>
            </w:tcBorders>
            <w:vAlign w:val="top"/>
          </w:tcPr>
          <w:p w14:paraId="09FF1461">
            <w:pPr>
              <w:rPr>
                <w:rFonts w:ascii="Arial"/>
                <w:sz w:val="21"/>
              </w:rPr>
            </w:pPr>
          </w:p>
        </w:tc>
      </w:tr>
      <w:tr w14:paraId="078788E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87" w:hRule="atLeast"/>
        </w:trPr>
        <w:tc>
          <w:tcPr>
            <w:tcW w:w="7100" w:type="dxa"/>
            <w:tcBorders>
              <w:top w:val="single" w:color="000000" w:sz="2" w:space="0"/>
              <w:bottom w:val="single" w:color="000000" w:sz="2" w:space="0"/>
            </w:tcBorders>
            <w:vAlign w:val="top"/>
          </w:tcPr>
          <w:p w14:paraId="5CC3716F">
            <w:pPr>
              <w:rPr>
                <w:rFonts w:ascii="Arial"/>
                <w:sz w:val="21"/>
              </w:rPr>
            </w:pPr>
          </w:p>
        </w:tc>
      </w:tr>
    </w:tbl>
    <w:p w14:paraId="5877BFAA">
      <w:pPr>
        <w:pStyle w:val="2"/>
        <w:spacing w:before="194" w:line="222" w:lineRule="auto"/>
        <w:rPr>
          <w:rFonts w:ascii="黑体" w:hAnsi="黑体" w:eastAsia="黑体" w:cs="黑体"/>
          <w:sz w:val="20"/>
          <w:szCs w:val="20"/>
        </w:rPr>
      </w:pPr>
      <w:r>
        <w:rPr>
          <w:spacing w:val="5"/>
          <w:sz w:val="20"/>
          <w:szCs w:val="20"/>
        </w:rPr>
        <w:t>2.</w:t>
      </w:r>
      <w:r>
        <w:rPr>
          <w:b/>
          <w:bCs/>
          <w:spacing w:val="5"/>
          <w:sz w:val="20"/>
          <w:szCs w:val="20"/>
        </w:rPr>
        <w:t>1.3</w:t>
      </w:r>
      <w:r>
        <w:rPr>
          <w:spacing w:val="14"/>
          <w:sz w:val="20"/>
          <w:szCs w:val="20"/>
        </w:rPr>
        <w:t xml:space="preserve">     </w:t>
      </w:r>
      <w:r>
        <w:rPr>
          <w:rFonts w:ascii="黑体" w:hAnsi="黑体" w:eastAsia="黑体" w:cs="黑体"/>
          <w:b/>
          <w:bCs/>
          <w:spacing w:val="5"/>
          <w:sz w:val="20"/>
          <w:szCs w:val="20"/>
        </w:rPr>
        <w:t>承包范围内的暂列金额项目</w:t>
      </w:r>
    </w:p>
    <w:p w14:paraId="552E3439">
      <w:pPr>
        <w:pStyle w:val="2"/>
        <w:spacing w:before="153" w:line="332" w:lineRule="auto"/>
        <w:ind w:left="949" w:right="49" w:hanging="949"/>
        <w:rPr>
          <w:sz w:val="20"/>
          <w:szCs w:val="20"/>
        </w:rPr>
      </w:pPr>
      <w:r>
        <w:rPr>
          <w:spacing w:val="13"/>
          <w:sz w:val="20"/>
          <w:szCs w:val="20"/>
        </w:rPr>
        <w:t>2.1.3.1  承包范围内以暂列金额(包括计日工)方式实施的项目见第五章“工程量</w:t>
      </w:r>
      <w:r>
        <w:rPr>
          <w:spacing w:val="12"/>
          <w:sz w:val="20"/>
          <w:szCs w:val="20"/>
        </w:rPr>
        <w:t>清单”表4.11</w:t>
      </w:r>
      <w:r>
        <w:rPr>
          <w:sz w:val="20"/>
          <w:szCs w:val="20"/>
        </w:rPr>
        <w:t xml:space="preserve"> </w:t>
      </w:r>
      <w:r>
        <w:rPr>
          <w:spacing w:val="12"/>
          <w:sz w:val="20"/>
          <w:szCs w:val="20"/>
        </w:rPr>
        <w:t>—1“暂列金额明细表”(不包括计日工)和表4.11一</w:t>
      </w:r>
      <w:r>
        <w:rPr>
          <w:spacing w:val="11"/>
          <w:sz w:val="20"/>
          <w:szCs w:val="20"/>
        </w:rPr>
        <w:t>4“计日工表”,其中计日工金额为</w:t>
      </w:r>
      <w:r>
        <w:rPr>
          <w:sz w:val="20"/>
          <w:szCs w:val="20"/>
        </w:rPr>
        <w:t xml:space="preserve"> </w:t>
      </w:r>
      <w:r>
        <w:rPr>
          <w:spacing w:val="12"/>
          <w:sz w:val="20"/>
          <w:szCs w:val="20"/>
        </w:rPr>
        <w:t>承包人在其投标报价中按表4.11—4“计日工表”所列计日</w:t>
      </w:r>
      <w:r>
        <w:rPr>
          <w:spacing w:val="11"/>
          <w:sz w:val="20"/>
          <w:szCs w:val="20"/>
        </w:rPr>
        <w:t>工子目、数量和相应规定填</w:t>
      </w:r>
      <w:r>
        <w:rPr>
          <w:sz w:val="20"/>
          <w:szCs w:val="20"/>
        </w:rPr>
        <w:t xml:space="preserve"> </w:t>
      </w:r>
      <w:r>
        <w:rPr>
          <w:spacing w:val="6"/>
          <w:sz w:val="20"/>
          <w:szCs w:val="20"/>
        </w:rPr>
        <w:t>报的金额。</w:t>
      </w:r>
    </w:p>
    <w:p w14:paraId="45923DDB">
      <w:pPr>
        <w:pStyle w:val="2"/>
        <w:spacing w:before="173" w:line="325" w:lineRule="auto"/>
        <w:ind w:left="949" w:right="69" w:hanging="949"/>
        <w:rPr>
          <w:sz w:val="20"/>
          <w:szCs w:val="20"/>
        </w:rPr>
      </w:pPr>
      <w:r>
        <w:rPr>
          <w:spacing w:val="9"/>
          <w:sz w:val="20"/>
          <w:szCs w:val="20"/>
        </w:rPr>
        <w:t>2.1.3.2  暂列金额明细表中每笔暂列金额所对应的子目，包括计日工，均只是可能发</w:t>
      </w:r>
      <w:r>
        <w:rPr>
          <w:spacing w:val="8"/>
          <w:sz w:val="20"/>
          <w:szCs w:val="20"/>
        </w:rPr>
        <w:t>生的子目。</w:t>
      </w:r>
      <w:r>
        <w:rPr>
          <w:sz w:val="20"/>
          <w:szCs w:val="20"/>
        </w:rPr>
        <w:t xml:space="preserve"> </w:t>
      </w:r>
      <w:r>
        <w:rPr>
          <w:spacing w:val="9"/>
          <w:sz w:val="20"/>
          <w:szCs w:val="20"/>
        </w:rPr>
        <w:t>承包人应当充分认识到，合同履行过程中所列暂列金额可能不发生，也可能部分发生。</w:t>
      </w:r>
      <w:r>
        <w:rPr>
          <w:spacing w:val="7"/>
          <w:sz w:val="20"/>
          <w:szCs w:val="20"/>
        </w:rPr>
        <w:t xml:space="preserve"> </w:t>
      </w:r>
      <w:r>
        <w:rPr>
          <w:spacing w:val="9"/>
          <w:sz w:val="20"/>
          <w:szCs w:val="20"/>
        </w:rPr>
        <w:t>即便发生，监理人按照合同约定发出的使用暂列金额的指示也不限于只能用于表中所列</w:t>
      </w:r>
      <w:r>
        <w:rPr>
          <w:spacing w:val="13"/>
          <w:sz w:val="20"/>
          <w:szCs w:val="20"/>
        </w:rPr>
        <w:t xml:space="preserve"> </w:t>
      </w:r>
      <w:r>
        <w:rPr>
          <w:spacing w:val="3"/>
          <w:sz w:val="20"/>
          <w:szCs w:val="20"/>
        </w:rPr>
        <w:t>子目。</w:t>
      </w:r>
    </w:p>
    <w:p w14:paraId="41FDF422">
      <w:pPr>
        <w:pStyle w:val="2"/>
        <w:spacing w:before="192" w:line="290" w:lineRule="auto"/>
        <w:ind w:left="949" w:right="67" w:hanging="949"/>
        <w:rPr>
          <w:sz w:val="20"/>
          <w:szCs w:val="20"/>
        </w:rPr>
      </w:pPr>
      <w:r>
        <w:rPr>
          <w:spacing w:val="9"/>
          <w:sz w:val="20"/>
          <w:szCs w:val="20"/>
        </w:rPr>
        <w:t>2.1.3.3  暂列金额是否实际发生、其再分和合并等均不应成为承包人要求</w:t>
      </w:r>
      <w:r>
        <w:rPr>
          <w:spacing w:val="8"/>
          <w:sz w:val="20"/>
          <w:szCs w:val="20"/>
        </w:rPr>
        <w:t>任何追加费用和(或)延</w:t>
      </w:r>
      <w:r>
        <w:rPr>
          <w:sz w:val="20"/>
          <w:szCs w:val="20"/>
        </w:rPr>
        <w:t xml:space="preserve"> </w:t>
      </w:r>
      <w:r>
        <w:rPr>
          <w:spacing w:val="5"/>
          <w:sz w:val="20"/>
          <w:szCs w:val="20"/>
        </w:rPr>
        <w:t>长工期的理由。</w:t>
      </w:r>
    </w:p>
    <w:p w14:paraId="3EF6B713">
      <w:pPr>
        <w:pStyle w:val="2"/>
        <w:spacing w:before="171" w:line="219" w:lineRule="auto"/>
        <w:rPr>
          <w:sz w:val="20"/>
          <w:szCs w:val="20"/>
        </w:rPr>
      </w:pPr>
      <w:r>
        <w:rPr>
          <w:spacing w:val="4"/>
          <w:sz w:val="20"/>
          <w:szCs w:val="20"/>
        </w:rPr>
        <w:t>2.1.3.4</w:t>
      </w:r>
      <w:r>
        <w:rPr>
          <w:spacing w:val="26"/>
          <w:sz w:val="20"/>
          <w:szCs w:val="20"/>
        </w:rPr>
        <w:t xml:space="preserve">  </w:t>
      </w:r>
      <w:r>
        <w:rPr>
          <w:spacing w:val="4"/>
          <w:sz w:val="20"/>
          <w:szCs w:val="20"/>
        </w:rPr>
        <w:t>关于暂列金额的其他说明：</w:t>
      </w:r>
    </w:p>
    <w:p w14:paraId="6467E784">
      <w:pPr>
        <w:spacing w:line="362" w:lineRule="auto"/>
        <w:rPr>
          <w:rFonts w:ascii="Arial"/>
          <w:sz w:val="21"/>
        </w:rPr>
      </w:pPr>
    </w:p>
    <w:p w14:paraId="387DAF47">
      <w:pPr>
        <w:spacing w:line="410" w:lineRule="exact"/>
        <w:ind w:firstLine="919"/>
      </w:pPr>
      <w:r>
        <w:rPr>
          <w:position w:val="-8"/>
        </w:rPr>
        <w:drawing>
          <wp:inline distT="0" distB="0" distL="0" distR="0">
            <wp:extent cx="4768215" cy="260350"/>
            <wp:effectExtent l="0" t="0" r="0" b="0"/>
            <wp:docPr id="220" name="IM 220"/>
            <wp:cNvGraphicFramePr/>
            <a:graphic xmlns:a="http://schemas.openxmlformats.org/drawingml/2006/main">
              <a:graphicData uri="http://schemas.openxmlformats.org/drawingml/2006/picture">
                <pic:pic xmlns:pic="http://schemas.openxmlformats.org/drawingml/2006/picture">
                  <pic:nvPicPr>
                    <pic:cNvPr id="220" name="IM 220"/>
                    <pic:cNvPicPr/>
                  </pic:nvPicPr>
                  <pic:blipFill>
                    <a:blip r:embed="rId498"/>
                    <a:stretch>
                      <a:fillRect/>
                    </a:stretch>
                  </pic:blipFill>
                  <pic:spPr>
                    <a:xfrm>
                      <a:off x="0" y="0"/>
                      <a:ext cx="4768830" cy="260384"/>
                    </a:xfrm>
                    <a:prstGeom prst="rect">
                      <a:avLst/>
                    </a:prstGeom>
                  </pic:spPr>
                </pic:pic>
              </a:graphicData>
            </a:graphic>
          </wp:inline>
        </w:drawing>
      </w:r>
    </w:p>
    <w:p w14:paraId="25AF610A">
      <w:pPr>
        <w:spacing w:line="410" w:lineRule="exact"/>
        <w:sectPr>
          <w:footerReference r:id="rId325" w:type="default"/>
          <w:pgSz w:w="11910" w:h="16840"/>
          <w:pgMar w:top="400" w:right="1470" w:bottom="1147" w:left="1450" w:header="0" w:footer="1021" w:gutter="0"/>
          <w:cols w:space="720" w:num="1"/>
        </w:sectPr>
      </w:pPr>
    </w:p>
    <w:p w14:paraId="67C70F91">
      <w:pPr>
        <w:spacing w:line="267" w:lineRule="auto"/>
        <w:rPr>
          <w:rFonts w:ascii="Arial"/>
          <w:sz w:val="21"/>
        </w:rPr>
      </w:pPr>
    </w:p>
    <w:p w14:paraId="063773F4">
      <w:pPr>
        <w:spacing w:line="267" w:lineRule="auto"/>
        <w:rPr>
          <w:rFonts w:ascii="Arial"/>
          <w:sz w:val="21"/>
        </w:rPr>
      </w:pPr>
    </w:p>
    <w:p w14:paraId="0DD0FD6D">
      <w:pPr>
        <w:spacing w:line="267" w:lineRule="auto"/>
        <w:rPr>
          <w:rFonts w:ascii="Arial"/>
          <w:sz w:val="21"/>
        </w:rPr>
      </w:pPr>
    </w:p>
    <w:p w14:paraId="1620D1E8">
      <w:pPr>
        <w:spacing w:line="268" w:lineRule="auto"/>
        <w:rPr>
          <w:rFonts w:ascii="Arial"/>
          <w:sz w:val="21"/>
        </w:rPr>
      </w:pPr>
    </w:p>
    <w:p w14:paraId="237B74A3">
      <w:pPr>
        <w:spacing w:line="268" w:lineRule="auto"/>
        <w:rPr>
          <w:rFonts w:ascii="Arial"/>
          <w:sz w:val="21"/>
        </w:rPr>
      </w:pPr>
    </w:p>
    <w:p w14:paraId="54BFDF2D">
      <w:pPr>
        <w:pStyle w:val="2"/>
        <w:spacing w:before="69" w:line="219" w:lineRule="auto"/>
        <w:ind w:left="3"/>
        <w:rPr>
          <w:sz w:val="21"/>
          <w:szCs w:val="21"/>
        </w:rPr>
      </w:pPr>
      <w:r>
        <w:rPr>
          <w:b/>
          <w:bCs/>
          <w:spacing w:val="-2"/>
          <w:sz w:val="21"/>
          <w:szCs w:val="21"/>
        </w:rPr>
        <w:t>2.2</w:t>
      </w:r>
      <w:r>
        <w:rPr>
          <w:spacing w:val="-2"/>
          <w:sz w:val="21"/>
          <w:szCs w:val="21"/>
        </w:rPr>
        <w:t xml:space="preserve">    </w:t>
      </w:r>
      <w:r>
        <w:rPr>
          <w:b/>
          <w:bCs/>
          <w:spacing w:val="-2"/>
          <w:sz w:val="21"/>
          <w:szCs w:val="21"/>
        </w:rPr>
        <w:t>发包人发包专业工程和发包人供应的材料和工程设备</w:t>
      </w:r>
    </w:p>
    <w:p w14:paraId="5863649F">
      <w:pPr>
        <w:pStyle w:val="2"/>
        <w:spacing w:before="164" w:line="364" w:lineRule="auto"/>
        <w:ind w:left="729" w:right="2" w:hanging="729"/>
        <w:rPr>
          <w:sz w:val="21"/>
          <w:szCs w:val="21"/>
        </w:rPr>
      </w:pPr>
      <w:r>
        <w:rPr>
          <w:sz w:val="21"/>
          <w:szCs w:val="21"/>
        </w:rPr>
        <w:t>2.2.1</w:t>
      </w:r>
      <w:r>
        <w:rPr>
          <w:spacing w:val="90"/>
          <w:sz w:val="21"/>
          <w:szCs w:val="21"/>
        </w:rPr>
        <w:t xml:space="preserve"> </w:t>
      </w:r>
      <w:r>
        <w:rPr>
          <w:sz w:val="21"/>
          <w:szCs w:val="21"/>
        </w:rPr>
        <w:t>由发包人发包的专业工程属于与本工程有关的其他工程，不属于承包人的承包范围。</w:t>
      </w:r>
      <w:r>
        <w:rPr>
          <w:spacing w:val="-1"/>
          <w:sz w:val="21"/>
          <w:szCs w:val="21"/>
        </w:rPr>
        <w:t>发包</w:t>
      </w:r>
      <w:r>
        <w:rPr>
          <w:sz w:val="21"/>
          <w:szCs w:val="21"/>
        </w:rPr>
        <w:t xml:space="preserve"> </w:t>
      </w:r>
      <w:r>
        <w:rPr>
          <w:spacing w:val="-5"/>
          <w:sz w:val="21"/>
          <w:szCs w:val="21"/>
        </w:rPr>
        <w:t>人发包的专业工程如下：</w:t>
      </w:r>
    </w:p>
    <w:p w14:paraId="5188D44A">
      <w:pPr>
        <w:spacing w:line="271" w:lineRule="auto"/>
        <w:rPr>
          <w:rFonts w:ascii="Arial"/>
          <w:sz w:val="21"/>
        </w:rPr>
      </w:pPr>
    </w:p>
    <w:p w14:paraId="063F74D4">
      <w:pPr>
        <w:spacing w:line="510" w:lineRule="exact"/>
        <w:ind w:firstLine="709"/>
      </w:pPr>
      <w:r>
        <w:rPr>
          <w:position w:val="-10"/>
        </w:rPr>
        <w:drawing>
          <wp:inline distT="0" distB="0" distL="0" distR="0">
            <wp:extent cx="4253865" cy="323850"/>
            <wp:effectExtent l="0" t="0" r="0" b="0"/>
            <wp:docPr id="222" name="IM 222"/>
            <wp:cNvGraphicFramePr/>
            <a:graphic xmlns:a="http://schemas.openxmlformats.org/drawingml/2006/main">
              <a:graphicData uri="http://schemas.openxmlformats.org/drawingml/2006/picture">
                <pic:pic xmlns:pic="http://schemas.openxmlformats.org/drawingml/2006/picture">
                  <pic:nvPicPr>
                    <pic:cNvPr id="222" name="IM 222"/>
                    <pic:cNvPicPr/>
                  </pic:nvPicPr>
                  <pic:blipFill>
                    <a:blip r:embed="rId499"/>
                    <a:stretch>
                      <a:fillRect/>
                    </a:stretch>
                  </pic:blipFill>
                  <pic:spPr>
                    <a:xfrm>
                      <a:off x="0" y="0"/>
                      <a:ext cx="4254480" cy="323901"/>
                    </a:xfrm>
                    <a:prstGeom prst="rect">
                      <a:avLst/>
                    </a:prstGeom>
                  </pic:spPr>
                </pic:pic>
              </a:graphicData>
            </a:graphic>
          </wp:inline>
        </w:drawing>
      </w:r>
    </w:p>
    <w:p w14:paraId="79ABB67F">
      <w:pPr>
        <w:pStyle w:val="2"/>
        <w:spacing w:before="207" w:line="342" w:lineRule="auto"/>
        <w:ind w:left="729" w:right="25" w:hanging="729"/>
        <w:rPr>
          <w:sz w:val="21"/>
          <w:szCs w:val="21"/>
        </w:rPr>
      </w:pPr>
      <w:r>
        <w:rPr>
          <w:spacing w:val="-1"/>
          <w:sz w:val="21"/>
          <w:szCs w:val="21"/>
        </w:rPr>
        <w:t>2.2.2  由发包人供应的材料和工程设备不属于承包人的承包范围。发包人供应的材料和工程设备</w:t>
      </w:r>
      <w:r>
        <w:rPr>
          <w:spacing w:val="6"/>
          <w:sz w:val="21"/>
          <w:szCs w:val="21"/>
        </w:rPr>
        <w:t xml:space="preserve"> </w:t>
      </w:r>
      <w:r>
        <w:rPr>
          <w:spacing w:val="-5"/>
          <w:sz w:val="21"/>
          <w:szCs w:val="21"/>
        </w:rPr>
        <w:t>见合同附件二“发包人供应的材料和工程设备一览表”。</w:t>
      </w:r>
    </w:p>
    <w:p w14:paraId="3A4C9709">
      <w:pPr>
        <w:pStyle w:val="2"/>
        <w:spacing w:line="219" w:lineRule="auto"/>
        <w:ind w:left="3"/>
        <w:rPr>
          <w:sz w:val="21"/>
          <w:szCs w:val="21"/>
        </w:rPr>
      </w:pPr>
      <w:r>
        <w:rPr>
          <w:b/>
          <w:bCs/>
          <w:spacing w:val="-2"/>
          <w:sz w:val="21"/>
          <w:szCs w:val="21"/>
        </w:rPr>
        <w:t>2.3</w:t>
      </w:r>
      <w:r>
        <w:rPr>
          <w:spacing w:val="-2"/>
          <w:sz w:val="21"/>
          <w:szCs w:val="21"/>
        </w:rPr>
        <w:t xml:space="preserve">    </w:t>
      </w:r>
      <w:r>
        <w:rPr>
          <w:b/>
          <w:bCs/>
          <w:spacing w:val="-2"/>
          <w:sz w:val="21"/>
          <w:szCs w:val="21"/>
        </w:rPr>
        <w:t>承包人与发包人发包专业工程承包人的工作界面</w:t>
      </w:r>
    </w:p>
    <w:p w14:paraId="6438DB4C">
      <w:pPr>
        <w:pStyle w:val="2"/>
        <w:spacing w:before="154" w:line="355" w:lineRule="auto"/>
        <w:ind w:left="729" w:hanging="729"/>
        <w:rPr>
          <w:sz w:val="21"/>
          <w:szCs w:val="21"/>
        </w:rPr>
      </w:pPr>
      <w:r>
        <w:rPr>
          <w:spacing w:val="4"/>
          <w:sz w:val="21"/>
          <w:szCs w:val="21"/>
        </w:rPr>
        <w:t>2.3.1  承包人与发包人发包专业工程承包人以及与发包人供应的材料和设备的供应商之间的工</w:t>
      </w:r>
      <w:r>
        <w:rPr>
          <w:spacing w:val="15"/>
          <w:sz w:val="21"/>
          <w:szCs w:val="21"/>
        </w:rPr>
        <w:t xml:space="preserve"> </w:t>
      </w:r>
      <w:r>
        <w:rPr>
          <w:spacing w:val="-4"/>
          <w:sz w:val="21"/>
          <w:szCs w:val="21"/>
        </w:rPr>
        <w:t>作界面划分如下：</w:t>
      </w:r>
    </w:p>
    <w:p w14:paraId="5771E713">
      <w:pPr>
        <w:spacing w:line="334" w:lineRule="auto"/>
        <w:rPr>
          <w:rFonts w:ascii="Arial"/>
          <w:sz w:val="21"/>
        </w:rPr>
      </w:pPr>
      <w:r>
        <w:drawing>
          <wp:anchor distT="0" distB="0" distL="0" distR="0" simplePos="0" relativeHeight="251747328" behindDoc="0" locked="0" layoutInCell="1" allowOverlap="1">
            <wp:simplePos x="0" y="0"/>
            <wp:positionH relativeFrom="column">
              <wp:posOffset>450215</wp:posOffset>
            </wp:positionH>
            <wp:positionV relativeFrom="paragraph">
              <wp:posOffset>186055</wp:posOffset>
            </wp:positionV>
            <wp:extent cx="4641850" cy="6350"/>
            <wp:effectExtent l="0" t="0" r="0" b="0"/>
            <wp:wrapNone/>
            <wp:docPr id="224" name="IM 224"/>
            <wp:cNvGraphicFramePr/>
            <a:graphic xmlns:a="http://schemas.openxmlformats.org/drawingml/2006/main">
              <a:graphicData uri="http://schemas.openxmlformats.org/drawingml/2006/picture">
                <pic:pic xmlns:pic="http://schemas.openxmlformats.org/drawingml/2006/picture">
                  <pic:nvPicPr>
                    <pic:cNvPr id="224" name="IM 224"/>
                    <pic:cNvPicPr/>
                  </pic:nvPicPr>
                  <pic:blipFill>
                    <a:blip r:embed="rId500"/>
                    <a:stretch>
                      <a:fillRect/>
                    </a:stretch>
                  </pic:blipFill>
                  <pic:spPr>
                    <a:xfrm>
                      <a:off x="0" y="0"/>
                      <a:ext cx="4641850" cy="6350"/>
                    </a:xfrm>
                    <a:prstGeom prst="rect">
                      <a:avLst/>
                    </a:prstGeom>
                  </pic:spPr>
                </pic:pic>
              </a:graphicData>
            </a:graphic>
          </wp:anchor>
        </w:drawing>
      </w:r>
    </w:p>
    <w:p w14:paraId="3772F45A">
      <w:pPr>
        <w:spacing w:line="335" w:lineRule="auto"/>
        <w:rPr>
          <w:rFonts w:ascii="Arial"/>
          <w:sz w:val="21"/>
        </w:rPr>
      </w:pPr>
    </w:p>
    <w:p w14:paraId="0BE518F3">
      <w:pPr>
        <w:spacing w:before="38" w:line="89" w:lineRule="exact"/>
        <w:ind w:left="8029"/>
        <w:rPr>
          <w:rFonts w:ascii="Times New Roman" w:hAnsi="Times New Roman" w:eastAsia="Times New Roman" w:cs="Times New Roman"/>
          <w:sz w:val="13"/>
          <w:szCs w:val="13"/>
        </w:rPr>
      </w:pPr>
      <w:r>
        <w:drawing>
          <wp:anchor distT="0" distB="0" distL="0" distR="0" simplePos="0" relativeHeight="251750400" behindDoc="0" locked="0" layoutInCell="1" allowOverlap="1">
            <wp:simplePos x="0" y="0"/>
            <wp:positionH relativeFrom="column">
              <wp:posOffset>462915</wp:posOffset>
            </wp:positionH>
            <wp:positionV relativeFrom="paragraph">
              <wp:posOffset>71755</wp:posOffset>
            </wp:positionV>
            <wp:extent cx="4610100" cy="6350"/>
            <wp:effectExtent l="0" t="0" r="0" b="0"/>
            <wp:wrapNone/>
            <wp:docPr id="226" name="IM 226"/>
            <wp:cNvGraphicFramePr/>
            <a:graphic xmlns:a="http://schemas.openxmlformats.org/drawingml/2006/main">
              <a:graphicData uri="http://schemas.openxmlformats.org/drawingml/2006/picture">
                <pic:pic xmlns:pic="http://schemas.openxmlformats.org/drawingml/2006/picture">
                  <pic:nvPicPr>
                    <pic:cNvPr id="226" name="IM 226"/>
                    <pic:cNvPicPr/>
                  </pic:nvPicPr>
                  <pic:blipFill>
                    <a:blip r:embed="rId501"/>
                    <a:stretch>
                      <a:fillRect/>
                    </a:stretch>
                  </pic:blipFill>
                  <pic:spPr>
                    <a:xfrm>
                      <a:off x="0" y="0"/>
                      <a:ext cx="4610087" cy="6350"/>
                    </a:xfrm>
                    <a:prstGeom prst="rect">
                      <a:avLst/>
                    </a:prstGeom>
                  </pic:spPr>
                </pic:pic>
              </a:graphicData>
            </a:graphic>
          </wp:anchor>
        </w:drawing>
      </w:r>
      <w:r>
        <w:rPr>
          <w:rFonts w:ascii="Times New Roman" w:hAnsi="Times New Roman" w:eastAsia="Times New Roman" w:cs="Times New Roman"/>
          <w:sz w:val="13"/>
          <w:szCs w:val="13"/>
        </w:rPr>
        <w:t>o</w:t>
      </w:r>
    </w:p>
    <w:p w14:paraId="1029E383">
      <w:pPr>
        <w:pStyle w:val="2"/>
        <w:spacing w:before="198" w:line="219" w:lineRule="auto"/>
        <w:rPr>
          <w:sz w:val="21"/>
          <w:szCs w:val="21"/>
        </w:rPr>
      </w:pPr>
      <w:r>
        <w:rPr>
          <w:spacing w:val="-2"/>
          <w:sz w:val="21"/>
          <w:szCs w:val="21"/>
        </w:rPr>
        <w:t>2.</w:t>
      </w:r>
      <w:r>
        <w:rPr>
          <w:b/>
          <w:bCs/>
          <w:spacing w:val="-2"/>
          <w:sz w:val="21"/>
          <w:szCs w:val="21"/>
        </w:rPr>
        <w:t>4</w:t>
      </w:r>
      <w:r>
        <w:rPr>
          <w:spacing w:val="-2"/>
          <w:sz w:val="21"/>
          <w:szCs w:val="21"/>
        </w:rPr>
        <w:t xml:space="preserve">    </w:t>
      </w:r>
      <w:r>
        <w:rPr>
          <w:b/>
          <w:bCs/>
          <w:spacing w:val="-2"/>
          <w:sz w:val="21"/>
          <w:szCs w:val="21"/>
        </w:rPr>
        <w:t>承包人需要为发包人和监理人提供的现场办公条件和设施</w:t>
      </w:r>
    </w:p>
    <w:p w14:paraId="12A1FC65">
      <w:pPr>
        <w:pStyle w:val="2"/>
        <w:spacing w:before="154" w:line="219" w:lineRule="auto"/>
        <w:rPr>
          <w:sz w:val="21"/>
          <w:szCs w:val="21"/>
        </w:rPr>
      </w:pPr>
      <w:r>
        <w:rPr>
          <w:spacing w:val="-1"/>
          <w:sz w:val="21"/>
          <w:szCs w:val="21"/>
        </w:rPr>
        <w:t>2.4.1  承包人需要为发包人和监理人提供的现场办公条件和设施及其详细要求如下：</w:t>
      </w:r>
    </w:p>
    <w:p w14:paraId="7182D7F6">
      <w:pPr>
        <w:spacing w:line="318" w:lineRule="auto"/>
        <w:rPr>
          <w:rFonts w:ascii="Arial"/>
          <w:sz w:val="21"/>
        </w:rPr>
      </w:pPr>
    </w:p>
    <w:p w14:paraId="16E9BBC8">
      <w:pPr>
        <w:spacing w:line="318" w:lineRule="auto"/>
        <w:rPr>
          <w:rFonts w:ascii="Arial"/>
          <w:sz w:val="21"/>
        </w:rPr>
      </w:pPr>
      <w:r>
        <w:drawing>
          <wp:anchor distT="0" distB="0" distL="0" distR="0" simplePos="0" relativeHeight="251748352" behindDoc="0" locked="0" layoutInCell="1" allowOverlap="1">
            <wp:simplePos x="0" y="0"/>
            <wp:positionH relativeFrom="column">
              <wp:posOffset>456565</wp:posOffset>
            </wp:positionH>
            <wp:positionV relativeFrom="paragraph">
              <wp:posOffset>20955</wp:posOffset>
            </wp:positionV>
            <wp:extent cx="4381500" cy="6350"/>
            <wp:effectExtent l="0" t="0" r="0" b="0"/>
            <wp:wrapNone/>
            <wp:docPr id="228" name="IM 228"/>
            <wp:cNvGraphicFramePr/>
            <a:graphic xmlns:a="http://schemas.openxmlformats.org/drawingml/2006/main">
              <a:graphicData uri="http://schemas.openxmlformats.org/drawingml/2006/picture">
                <pic:pic xmlns:pic="http://schemas.openxmlformats.org/drawingml/2006/picture">
                  <pic:nvPicPr>
                    <pic:cNvPr id="228" name="IM 228"/>
                    <pic:cNvPicPr/>
                  </pic:nvPicPr>
                  <pic:blipFill>
                    <a:blip r:embed="rId502"/>
                    <a:stretch>
                      <a:fillRect/>
                    </a:stretch>
                  </pic:blipFill>
                  <pic:spPr>
                    <a:xfrm>
                      <a:off x="0" y="0"/>
                      <a:ext cx="4381461" cy="6415"/>
                    </a:xfrm>
                    <a:prstGeom prst="rect">
                      <a:avLst/>
                    </a:prstGeom>
                  </pic:spPr>
                </pic:pic>
              </a:graphicData>
            </a:graphic>
          </wp:anchor>
        </w:drawing>
      </w:r>
    </w:p>
    <w:p w14:paraId="4B007049">
      <w:pPr>
        <w:pStyle w:val="2"/>
        <w:spacing w:before="23" w:line="237" w:lineRule="auto"/>
        <w:ind w:left="7590"/>
        <w:rPr>
          <w:sz w:val="7"/>
          <w:szCs w:val="7"/>
        </w:rPr>
      </w:pPr>
      <w:r>
        <w:drawing>
          <wp:anchor distT="0" distB="0" distL="0" distR="0" simplePos="0" relativeHeight="251749376" behindDoc="0" locked="0" layoutInCell="1" allowOverlap="1">
            <wp:simplePos x="0" y="0"/>
            <wp:positionH relativeFrom="column">
              <wp:posOffset>456565</wp:posOffset>
            </wp:positionH>
            <wp:positionV relativeFrom="paragraph">
              <wp:posOffset>78105</wp:posOffset>
            </wp:positionV>
            <wp:extent cx="4381500" cy="6350"/>
            <wp:effectExtent l="0" t="0" r="0" b="0"/>
            <wp:wrapNone/>
            <wp:docPr id="230" name="IM 230"/>
            <wp:cNvGraphicFramePr/>
            <a:graphic xmlns:a="http://schemas.openxmlformats.org/drawingml/2006/main">
              <a:graphicData uri="http://schemas.openxmlformats.org/drawingml/2006/picture">
                <pic:pic xmlns:pic="http://schemas.openxmlformats.org/drawingml/2006/picture">
                  <pic:nvPicPr>
                    <pic:cNvPr id="230" name="IM 230"/>
                    <pic:cNvPicPr/>
                  </pic:nvPicPr>
                  <pic:blipFill>
                    <a:blip r:embed="rId503"/>
                    <a:stretch>
                      <a:fillRect/>
                    </a:stretch>
                  </pic:blipFill>
                  <pic:spPr>
                    <a:xfrm>
                      <a:off x="0" y="0"/>
                      <a:ext cx="4381461" cy="6415"/>
                    </a:xfrm>
                    <a:prstGeom prst="rect">
                      <a:avLst/>
                    </a:prstGeom>
                  </pic:spPr>
                </pic:pic>
              </a:graphicData>
            </a:graphic>
          </wp:anchor>
        </w:drawing>
      </w:r>
      <w:r>
        <w:rPr>
          <w:sz w:val="7"/>
          <w:szCs w:val="7"/>
        </w:rPr>
        <w:t>◎</w:t>
      </w:r>
    </w:p>
    <w:p w14:paraId="1F26FCDA">
      <w:pPr>
        <w:pStyle w:val="2"/>
        <w:spacing w:before="129" w:line="220" w:lineRule="auto"/>
        <w:ind w:left="4"/>
        <w:rPr>
          <w:sz w:val="28"/>
          <w:szCs w:val="28"/>
        </w:rPr>
      </w:pPr>
      <w:r>
        <w:rPr>
          <w:b/>
          <w:bCs/>
          <w:spacing w:val="-6"/>
          <w:sz w:val="28"/>
          <w:szCs w:val="28"/>
        </w:rPr>
        <w:t>3.工期要求</w:t>
      </w:r>
    </w:p>
    <w:p w14:paraId="785B5200">
      <w:pPr>
        <w:pStyle w:val="2"/>
        <w:spacing w:before="134" w:line="220" w:lineRule="auto"/>
        <w:ind w:left="3"/>
        <w:rPr>
          <w:sz w:val="21"/>
          <w:szCs w:val="21"/>
        </w:rPr>
      </w:pPr>
      <w:r>
        <w:rPr>
          <w:b/>
          <w:bCs/>
          <w:spacing w:val="14"/>
          <w:sz w:val="21"/>
          <w:szCs w:val="21"/>
        </w:rPr>
        <w:t>3.1</w:t>
      </w:r>
      <w:r>
        <w:rPr>
          <w:spacing w:val="34"/>
          <w:sz w:val="21"/>
          <w:szCs w:val="21"/>
        </w:rPr>
        <w:t xml:space="preserve">   </w:t>
      </w:r>
      <w:r>
        <w:rPr>
          <w:b/>
          <w:bCs/>
          <w:spacing w:val="14"/>
          <w:sz w:val="21"/>
          <w:szCs w:val="21"/>
        </w:rPr>
        <w:t>合同工期</w:t>
      </w:r>
    </w:p>
    <w:p w14:paraId="5A0F3AD7">
      <w:pPr>
        <w:pStyle w:val="2"/>
        <w:spacing w:before="160" w:line="345" w:lineRule="auto"/>
        <w:ind w:left="729"/>
        <w:rPr>
          <w:sz w:val="21"/>
          <w:szCs w:val="21"/>
        </w:rPr>
      </w:pPr>
      <w:r>
        <w:rPr>
          <w:sz w:val="21"/>
          <w:szCs w:val="21"/>
        </w:rPr>
        <w:t>本工程合同工期和计划开、竣工日期为承包人在投标函附录中承</w:t>
      </w:r>
      <w:r>
        <w:rPr>
          <w:spacing w:val="-1"/>
          <w:sz w:val="21"/>
          <w:szCs w:val="21"/>
        </w:rPr>
        <w:t>诺的工期和计划开、竣工</w:t>
      </w:r>
      <w:r>
        <w:rPr>
          <w:sz w:val="21"/>
          <w:szCs w:val="21"/>
        </w:rPr>
        <w:t xml:space="preserve"> </w:t>
      </w:r>
      <w:r>
        <w:rPr>
          <w:spacing w:val="-3"/>
          <w:sz w:val="21"/>
          <w:szCs w:val="21"/>
        </w:rPr>
        <w:t>日期，并在合同协议书中载明。</w:t>
      </w:r>
    </w:p>
    <w:p w14:paraId="3CC77D19">
      <w:pPr>
        <w:pStyle w:val="2"/>
        <w:spacing w:before="5" w:line="220" w:lineRule="auto"/>
        <w:ind w:left="3"/>
        <w:rPr>
          <w:sz w:val="21"/>
          <w:szCs w:val="21"/>
        </w:rPr>
      </w:pPr>
      <w:r>
        <w:rPr>
          <w:b/>
          <w:bCs/>
          <w:spacing w:val="12"/>
          <w:sz w:val="21"/>
          <w:szCs w:val="21"/>
        </w:rPr>
        <w:t>3.2</w:t>
      </w:r>
      <w:r>
        <w:rPr>
          <w:spacing w:val="2"/>
          <w:sz w:val="21"/>
          <w:szCs w:val="21"/>
        </w:rPr>
        <w:t xml:space="preserve">    </w:t>
      </w:r>
      <w:r>
        <w:rPr>
          <w:b/>
          <w:bCs/>
          <w:spacing w:val="12"/>
          <w:sz w:val="21"/>
          <w:szCs w:val="21"/>
        </w:rPr>
        <w:t>关于工期的</w:t>
      </w:r>
      <w:r>
        <w:rPr>
          <w:spacing w:val="-56"/>
          <w:sz w:val="21"/>
          <w:szCs w:val="21"/>
        </w:rPr>
        <w:t xml:space="preserve"> </w:t>
      </w:r>
      <w:r>
        <w:rPr>
          <w:b/>
          <w:bCs/>
          <w:spacing w:val="12"/>
          <w:sz w:val="21"/>
          <w:szCs w:val="21"/>
        </w:rPr>
        <w:t>一</w:t>
      </w:r>
      <w:r>
        <w:rPr>
          <w:spacing w:val="-61"/>
          <w:sz w:val="21"/>
          <w:szCs w:val="21"/>
        </w:rPr>
        <w:t xml:space="preserve"> </w:t>
      </w:r>
      <w:r>
        <w:rPr>
          <w:b/>
          <w:bCs/>
          <w:spacing w:val="12"/>
          <w:sz w:val="21"/>
          <w:szCs w:val="21"/>
        </w:rPr>
        <w:t>般规定</w:t>
      </w:r>
    </w:p>
    <w:p w14:paraId="11DDF0B3">
      <w:pPr>
        <w:pStyle w:val="2"/>
        <w:spacing w:before="140" w:line="308" w:lineRule="auto"/>
        <w:ind w:left="729" w:hanging="729"/>
        <w:rPr>
          <w:sz w:val="21"/>
          <w:szCs w:val="21"/>
        </w:rPr>
      </w:pPr>
      <w:r>
        <w:rPr>
          <w:sz w:val="21"/>
          <w:szCs w:val="21"/>
        </w:rPr>
        <w:t>3.2.1  承包人在投标函中承诺的工期和计划开、竣工日期之间</w:t>
      </w:r>
      <w:r>
        <w:rPr>
          <w:spacing w:val="-1"/>
          <w:sz w:val="21"/>
          <w:szCs w:val="21"/>
        </w:rPr>
        <w:t>发生矛盾或者不一致时，以承包人</w:t>
      </w:r>
      <w:r>
        <w:rPr>
          <w:sz w:val="21"/>
          <w:szCs w:val="21"/>
        </w:rPr>
        <w:t xml:space="preserve"> </w:t>
      </w:r>
      <w:r>
        <w:rPr>
          <w:spacing w:val="5"/>
          <w:sz w:val="21"/>
          <w:szCs w:val="21"/>
        </w:rPr>
        <w:t>承诺的工期为准。实际开工日期以通用合同条款第11.</w:t>
      </w:r>
      <w:r>
        <w:rPr>
          <w:spacing w:val="4"/>
          <w:sz w:val="21"/>
          <w:szCs w:val="21"/>
        </w:rPr>
        <w:t>1款约定的监理人发出的开工通知</w:t>
      </w:r>
      <w:r>
        <w:rPr>
          <w:sz w:val="21"/>
          <w:szCs w:val="21"/>
        </w:rPr>
        <w:t xml:space="preserve"> </w:t>
      </w:r>
      <w:r>
        <w:rPr>
          <w:spacing w:val="-5"/>
          <w:sz w:val="21"/>
          <w:szCs w:val="21"/>
        </w:rPr>
        <w:t>中载明的开工日期为准。</w:t>
      </w:r>
    </w:p>
    <w:p w14:paraId="2B1E4EDF">
      <w:pPr>
        <w:pStyle w:val="2"/>
        <w:spacing w:before="171" w:line="312" w:lineRule="auto"/>
        <w:ind w:left="729" w:hanging="729"/>
        <w:rPr>
          <w:sz w:val="21"/>
          <w:szCs w:val="21"/>
        </w:rPr>
      </w:pPr>
      <w:r>
        <w:rPr>
          <w:sz w:val="21"/>
          <w:szCs w:val="21"/>
        </w:rPr>
        <w:t>3.2.2  如果承包人在投标函附录中承诺的工期</w:t>
      </w:r>
      <w:r>
        <w:rPr>
          <w:spacing w:val="-1"/>
          <w:sz w:val="21"/>
          <w:szCs w:val="21"/>
        </w:rPr>
        <w:t>提前于发包人在本工程招标文件中所要求的工期，</w:t>
      </w:r>
      <w:r>
        <w:rPr>
          <w:sz w:val="21"/>
          <w:szCs w:val="21"/>
        </w:rPr>
        <w:t xml:space="preserve"> 承包人在施工组织设计中应当制定相应的工期保证措施，由此而增</w:t>
      </w:r>
      <w:r>
        <w:rPr>
          <w:spacing w:val="-1"/>
          <w:sz w:val="21"/>
          <w:szCs w:val="21"/>
        </w:rPr>
        <w:t>加的费用应当被认为已</w:t>
      </w:r>
      <w:r>
        <w:rPr>
          <w:sz w:val="21"/>
          <w:szCs w:val="21"/>
        </w:rPr>
        <w:t xml:space="preserve"> 经包括在投标总价中。除合同另有约定外，合同履约过程中发包</w:t>
      </w:r>
      <w:r>
        <w:rPr>
          <w:spacing w:val="-1"/>
          <w:sz w:val="21"/>
          <w:szCs w:val="21"/>
        </w:rPr>
        <w:t>人不会因此再向承包人支</w:t>
      </w:r>
      <w:r>
        <w:rPr>
          <w:sz w:val="21"/>
          <w:szCs w:val="21"/>
        </w:rPr>
        <w:t xml:space="preserve"> 付任何性质的技术措施费用、赶工费用或其他任何性质的提前完</w:t>
      </w:r>
      <w:r>
        <w:rPr>
          <w:spacing w:val="-1"/>
          <w:sz w:val="21"/>
          <w:szCs w:val="21"/>
        </w:rPr>
        <w:t>工奖励等费用。</w:t>
      </w:r>
    </w:p>
    <w:p w14:paraId="3504B677">
      <w:pPr>
        <w:pStyle w:val="2"/>
        <w:spacing w:before="168" w:line="282" w:lineRule="auto"/>
        <w:ind w:left="729" w:right="2" w:hanging="729"/>
        <w:rPr>
          <w:sz w:val="21"/>
          <w:szCs w:val="21"/>
        </w:rPr>
      </w:pPr>
      <w:r>
        <w:rPr>
          <w:spacing w:val="2"/>
          <w:sz w:val="21"/>
          <w:szCs w:val="21"/>
        </w:rPr>
        <w:t>3.2.3  承包人在投标函附录中所承诺的工期应当包括实施并完成本节上述2.1.</w:t>
      </w:r>
      <w:r>
        <w:rPr>
          <w:spacing w:val="1"/>
          <w:sz w:val="21"/>
          <w:szCs w:val="21"/>
        </w:rPr>
        <w:t>2项规定的暂估价</w:t>
      </w:r>
      <w:r>
        <w:rPr>
          <w:sz w:val="21"/>
          <w:szCs w:val="21"/>
        </w:rPr>
        <w:t xml:space="preserve"> </w:t>
      </w:r>
      <w:r>
        <w:rPr>
          <w:spacing w:val="3"/>
          <w:sz w:val="21"/>
          <w:szCs w:val="21"/>
        </w:rPr>
        <w:t>项目和上述2.1.3项规定的实际可能发生的暂列金额在内</w:t>
      </w:r>
      <w:r>
        <w:rPr>
          <w:spacing w:val="2"/>
          <w:sz w:val="21"/>
          <w:szCs w:val="21"/>
        </w:rPr>
        <w:t>的所有工作的工期。</w:t>
      </w:r>
    </w:p>
    <w:p w14:paraId="1711DDF7">
      <w:pPr>
        <w:pStyle w:val="2"/>
        <w:spacing w:before="101" w:line="220" w:lineRule="auto"/>
        <w:ind w:left="4"/>
        <w:rPr>
          <w:sz w:val="28"/>
          <w:szCs w:val="28"/>
        </w:rPr>
      </w:pPr>
      <w:r>
        <w:rPr>
          <w:b/>
          <w:bCs/>
          <w:spacing w:val="-5"/>
          <w:sz w:val="28"/>
          <w:szCs w:val="28"/>
        </w:rPr>
        <w:t>4.质量要求</w:t>
      </w:r>
    </w:p>
    <w:p w14:paraId="3C664572">
      <w:pPr>
        <w:pStyle w:val="2"/>
        <w:spacing w:before="124" w:line="220" w:lineRule="auto"/>
        <w:ind w:left="3"/>
        <w:rPr>
          <w:sz w:val="21"/>
          <w:szCs w:val="21"/>
        </w:rPr>
      </w:pPr>
      <w:r>
        <w:rPr>
          <w:b/>
          <w:bCs/>
          <w:spacing w:val="13"/>
          <w:sz w:val="21"/>
          <w:szCs w:val="21"/>
        </w:rPr>
        <w:t>4.1</w:t>
      </w:r>
      <w:r>
        <w:rPr>
          <w:sz w:val="21"/>
          <w:szCs w:val="21"/>
        </w:rPr>
        <w:t xml:space="preserve">    </w:t>
      </w:r>
      <w:r>
        <w:rPr>
          <w:b/>
          <w:bCs/>
          <w:spacing w:val="13"/>
          <w:sz w:val="21"/>
          <w:szCs w:val="21"/>
        </w:rPr>
        <w:t>质量标准</w:t>
      </w:r>
    </w:p>
    <w:p w14:paraId="3A127DF5">
      <w:pPr>
        <w:spacing w:line="220" w:lineRule="auto"/>
        <w:rPr>
          <w:sz w:val="21"/>
          <w:szCs w:val="21"/>
        </w:rPr>
        <w:sectPr>
          <w:footerReference r:id="rId326" w:type="default"/>
          <w:pgSz w:w="11910" w:h="16840"/>
          <w:pgMar w:top="400" w:right="1548" w:bottom="1140" w:left="1450" w:header="0" w:footer="1023" w:gutter="0"/>
          <w:cols w:space="720" w:num="1"/>
        </w:sectPr>
      </w:pPr>
    </w:p>
    <w:p w14:paraId="3B2C31DC">
      <w:pPr>
        <w:spacing w:line="276" w:lineRule="auto"/>
        <w:rPr>
          <w:rFonts w:ascii="Arial"/>
          <w:sz w:val="21"/>
        </w:rPr>
      </w:pPr>
    </w:p>
    <w:p w14:paraId="60DBD889">
      <w:pPr>
        <w:spacing w:line="276" w:lineRule="auto"/>
        <w:rPr>
          <w:rFonts w:ascii="Arial"/>
          <w:sz w:val="21"/>
        </w:rPr>
      </w:pPr>
    </w:p>
    <w:p w14:paraId="2F7BB3D8">
      <w:pPr>
        <w:spacing w:line="276" w:lineRule="auto"/>
        <w:rPr>
          <w:rFonts w:ascii="Arial"/>
          <w:sz w:val="21"/>
        </w:rPr>
      </w:pPr>
    </w:p>
    <w:p w14:paraId="6AF93B3C">
      <w:pPr>
        <w:spacing w:line="276" w:lineRule="auto"/>
        <w:rPr>
          <w:rFonts w:ascii="Arial"/>
          <w:sz w:val="21"/>
        </w:rPr>
      </w:pPr>
    </w:p>
    <w:p w14:paraId="6B20693A">
      <w:pPr>
        <w:spacing w:line="276" w:lineRule="auto"/>
        <w:rPr>
          <w:rFonts w:ascii="Arial"/>
          <w:sz w:val="21"/>
        </w:rPr>
      </w:pPr>
    </w:p>
    <w:p w14:paraId="67AD79D8">
      <w:pPr>
        <w:pStyle w:val="2"/>
        <w:spacing w:before="68" w:line="219" w:lineRule="auto"/>
        <w:jc w:val="right"/>
        <w:rPr>
          <w:sz w:val="21"/>
          <w:szCs w:val="21"/>
        </w:rPr>
      </w:pPr>
      <w:r>
        <w:rPr>
          <w:spacing w:val="1"/>
          <w:sz w:val="21"/>
          <w:szCs w:val="21"/>
        </w:rPr>
        <w:t>4.1.1  本工程要求的质量标准为</w:t>
      </w:r>
      <w:r>
        <w:rPr>
          <w:spacing w:val="1"/>
          <w:sz w:val="21"/>
          <w:szCs w:val="21"/>
          <w:u w:val="single" w:color="auto"/>
        </w:rPr>
        <w:t>符合现行国家有关工程施工验收规范和标准的要求(也称合</w:t>
      </w:r>
      <w:r>
        <w:rPr>
          <w:sz w:val="21"/>
          <w:szCs w:val="21"/>
          <w:u w:val="single" w:color="auto"/>
        </w:rPr>
        <w:t>格)</w:t>
      </w:r>
      <w:r>
        <w:rPr>
          <w:sz w:val="21"/>
          <w:szCs w:val="21"/>
        </w:rPr>
        <w:t>。</w:t>
      </w:r>
    </w:p>
    <w:p w14:paraId="6EBAAE77">
      <w:pPr>
        <w:pStyle w:val="2"/>
        <w:spacing w:before="130" w:line="219" w:lineRule="auto"/>
        <w:ind w:left="3"/>
        <w:rPr>
          <w:sz w:val="24"/>
          <w:szCs w:val="24"/>
        </w:rPr>
      </w:pPr>
      <w:r>
        <w:rPr>
          <w:b/>
          <w:bCs/>
          <w:spacing w:val="-5"/>
          <w:sz w:val="24"/>
          <w:szCs w:val="24"/>
        </w:rPr>
        <w:t>4.2</w:t>
      </w:r>
      <w:r>
        <w:rPr>
          <w:spacing w:val="7"/>
          <w:sz w:val="24"/>
          <w:szCs w:val="24"/>
        </w:rPr>
        <w:t xml:space="preserve">   </w:t>
      </w:r>
      <w:r>
        <w:rPr>
          <w:b/>
          <w:bCs/>
          <w:spacing w:val="-5"/>
          <w:sz w:val="24"/>
          <w:szCs w:val="24"/>
        </w:rPr>
        <w:t>特殊质量要求</w:t>
      </w:r>
    </w:p>
    <w:p w14:paraId="73AA278B">
      <w:pPr>
        <w:pStyle w:val="2"/>
        <w:spacing w:before="176" w:line="219" w:lineRule="auto"/>
        <w:rPr>
          <w:sz w:val="21"/>
          <w:szCs w:val="21"/>
        </w:rPr>
      </w:pPr>
      <w:r>
        <w:rPr>
          <w:spacing w:val="-1"/>
          <w:sz w:val="21"/>
          <w:szCs w:val="21"/>
        </w:rPr>
        <w:t>4.2.1  有关本工程质量方面的特殊要求如下：</w:t>
      </w:r>
    </w:p>
    <w:p w14:paraId="6B2953B2">
      <w:pPr>
        <w:spacing w:line="450" w:lineRule="auto"/>
        <w:rPr>
          <w:rFonts w:ascii="Arial"/>
          <w:sz w:val="21"/>
        </w:rPr>
      </w:pPr>
    </w:p>
    <w:p w14:paraId="2CA2C215">
      <w:pPr>
        <w:spacing w:line="479" w:lineRule="exact"/>
        <w:ind w:firstLine="729"/>
      </w:pPr>
      <w:r>
        <w:rPr>
          <w:position w:val="-9"/>
        </w:rPr>
        <w:drawing>
          <wp:inline distT="0" distB="0" distL="0" distR="0">
            <wp:extent cx="4285615" cy="303530"/>
            <wp:effectExtent l="0" t="0" r="0" b="0"/>
            <wp:docPr id="232" name="IM 232"/>
            <wp:cNvGraphicFramePr/>
            <a:graphic xmlns:a="http://schemas.openxmlformats.org/drawingml/2006/main">
              <a:graphicData uri="http://schemas.openxmlformats.org/drawingml/2006/picture">
                <pic:pic xmlns:pic="http://schemas.openxmlformats.org/drawingml/2006/picture">
                  <pic:nvPicPr>
                    <pic:cNvPr id="232" name="IM 232"/>
                    <pic:cNvPicPr/>
                  </pic:nvPicPr>
                  <pic:blipFill>
                    <a:blip r:embed="rId504"/>
                    <a:stretch>
                      <a:fillRect/>
                    </a:stretch>
                  </pic:blipFill>
                  <pic:spPr>
                    <a:xfrm>
                      <a:off x="0" y="0"/>
                      <a:ext cx="4286244" cy="303786"/>
                    </a:xfrm>
                    <a:prstGeom prst="rect">
                      <a:avLst/>
                    </a:prstGeom>
                  </pic:spPr>
                </pic:pic>
              </a:graphicData>
            </a:graphic>
          </wp:inline>
        </w:drawing>
      </w:r>
    </w:p>
    <w:p w14:paraId="62DCE7E5">
      <w:pPr>
        <w:pStyle w:val="2"/>
        <w:spacing w:before="160" w:line="220" w:lineRule="auto"/>
        <w:ind w:left="4"/>
        <w:rPr>
          <w:sz w:val="28"/>
          <w:szCs w:val="28"/>
        </w:rPr>
      </w:pPr>
      <w:r>
        <w:rPr>
          <w:b/>
          <w:bCs/>
          <w:spacing w:val="-7"/>
          <w:sz w:val="28"/>
          <w:szCs w:val="28"/>
        </w:rPr>
        <w:t>5.适用规范和标准</w:t>
      </w:r>
    </w:p>
    <w:p w14:paraId="05DF8ECB">
      <w:pPr>
        <w:pStyle w:val="2"/>
        <w:spacing w:before="145" w:line="220" w:lineRule="auto"/>
        <w:ind w:left="3"/>
        <w:rPr>
          <w:sz w:val="24"/>
          <w:szCs w:val="24"/>
        </w:rPr>
      </w:pPr>
      <w:r>
        <w:rPr>
          <w:b/>
          <w:bCs/>
          <w:spacing w:val="-5"/>
          <w:sz w:val="24"/>
          <w:szCs w:val="24"/>
        </w:rPr>
        <w:t>5.1</w:t>
      </w:r>
      <w:r>
        <w:rPr>
          <w:spacing w:val="11"/>
          <w:sz w:val="24"/>
          <w:szCs w:val="24"/>
        </w:rPr>
        <w:t xml:space="preserve">    </w:t>
      </w:r>
      <w:r>
        <w:rPr>
          <w:b/>
          <w:bCs/>
          <w:spacing w:val="-5"/>
          <w:sz w:val="24"/>
          <w:szCs w:val="24"/>
        </w:rPr>
        <w:t>适用的规范、标准和规程</w:t>
      </w:r>
    </w:p>
    <w:p w14:paraId="431671F3">
      <w:pPr>
        <w:pStyle w:val="2"/>
        <w:spacing w:before="204" w:line="362" w:lineRule="auto"/>
        <w:ind w:left="749" w:right="13" w:hanging="749"/>
        <w:rPr>
          <w:sz w:val="21"/>
          <w:szCs w:val="21"/>
        </w:rPr>
      </w:pPr>
      <w:r>
        <w:rPr>
          <w:spacing w:val="1"/>
          <w:sz w:val="21"/>
          <w:szCs w:val="21"/>
        </w:rPr>
        <w:t>5.1.1  除合同另有约定外，本工程适用现行国家、行业和地方</w:t>
      </w:r>
      <w:r>
        <w:rPr>
          <w:sz w:val="21"/>
          <w:szCs w:val="21"/>
        </w:rPr>
        <w:t xml:space="preserve">规范、标准和规程。适用于本工程 </w:t>
      </w:r>
      <w:r>
        <w:rPr>
          <w:spacing w:val="-1"/>
          <w:sz w:val="21"/>
          <w:szCs w:val="21"/>
        </w:rPr>
        <w:t>的国家、行业和地方的规范、标准和规范等的名录见本章第三节。</w:t>
      </w:r>
    </w:p>
    <w:p w14:paraId="3AF4B7B3">
      <w:pPr>
        <w:pStyle w:val="2"/>
        <w:spacing w:before="17" w:line="360" w:lineRule="auto"/>
        <w:ind w:left="749" w:right="41"/>
        <w:rPr>
          <w:sz w:val="21"/>
          <w:szCs w:val="21"/>
        </w:rPr>
      </w:pPr>
      <w:r>
        <w:rPr>
          <w:sz w:val="21"/>
          <w:szCs w:val="21"/>
        </w:rPr>
        <w:t>构成合同文件的任何内容与适用的规范、标准和规程之间出现</w:t>
      </w:r>
      <w:r>
        <w:rPr>
          <w:spacing w:val="-1"/>
          <w:sz w:val="21"/>
          <w:szCs w:val="21"/>
        </w:rPr>
        <w:t>矛盾，承包人应书面要求监</w:t>
      </w:r>
      <w:r>
        <w:rPr>
          <w:sz w:val="21"/>
          <w:szCs w:val="21"/>
        </w:rPr>
        <w:t xml:space="preserve"> 理人予以澄清，除监理人有特别指示外，承包人应按照其中要求最严</w:t>
      </w:r>
      <w:r>
        <w:rPr>
          <w:spacing w:val="-1"/>
          <w:sz w:val="21"/>
          <w:szCs w:val="21"/>
        </w:rPr>
        <w:t>格的标准执行。</w:t>
      </w:r>
    </w:p>
    <w:p w14:paraId="3B7F3E7A">
      <w:pPr>
        <w:pStyle w:val="2"/>
        <w:spacing w:before="4" w:line="368" w:lineRule="auto"/>
        <w:ind w:left="749" w:right="39" w:hanging="749"/>
        <w:rPr>
          <w:sz w:val="21"/>
          <w:szCs w:val="21"/>
        </w:rPr>
      </w:pPr>
      <w:r>
        <w:rPr>
          <w:sz w:val="21"/>
          <w:szCs w:val="21"/>
        </w:rPr>
        <w:t>5.1.2  除合同另有约定外，材料、施工工艺和本工程都应依照本技术标准和要求</w:t>
      </w:r>
      <w:r>
        <w:rPr>
          <w:spacing w:val="-1"/>
          <w:sz w:val="21"/>
          <w:szCs w:val="21"/>
        </w:rPr>
        <w:t>以及适用的现行</w:t>
      </w:r>
      <w:r>
        <w:rPr>
          <w:sz w:val="21"/>
          <w:szCs w:val="21"/>
        </w:rPr>
        <w:t xml:space="preserve"> 规范、标准和规程的最新版本执行。若适用的现行规范、标准和</w:t>
      </w:r>
      <w:r>
        <w:rPr>
          <w:spacing w:val="-1"/>
          <w:sz w:val="21"/>
          <w:szCs w:val="21"/>
        </w:rPr>
        <w:t>规程的最新版本是在基准</w:t>
      </w:r>
      <w:r>
        <w:rPr>
          <w:sz w:val="21"/>
          <w:szCs w:val="21"/>
        </w:rPr>
        <w:t xml:space="preserve"> 日后颁布的，且相应标准发生变更并成为合同文</w:t>
      </w:r>
      <w:r>
        <w:rPr>
          <w:spacing w:val="-1"/>
          <w:sz w:val="21"/>
          <w:szCs w:val="21"/>
        </w:rPr>
        <w:t>件中最严格的标准，则应按合同条款第15</w:t>
      </w:r>
      <w:r>
        <w:rPr>
          <w:sz w:val="21"/>
          <w:szCs w:val="21"/>
        </w:rPr>
        <w:t xml:space="preserve"> </w:t>
      </w:r>
      <w:r>
        <w:rPr>
          <w:spacing w:val="-5"/>
          <w:sz w:val="21"/>
          <w:szCs w:val="21"/>
        </w:rPr>
        <w:t>条的约定办理。</w:t>
      </w:r>
    </w:p>
    <w:p w14:paraId="02092C41">
      <w:pPr>
        <w:pStyle w:val="2"/>
        <w:spacing w:line="219" w:lineRule="auto"/>
        <w:ind w:left="3"/>
        <w:rPr>
          <w:sz w:val="24"/>
          <w:szCs w:val="24"/>
        </w:rPr>
      </w:pPr>
      <w:r>
        <w:rPr>
          <w:b/>
          <w:bCs/>
          <w:spacing w:val="-5"/>
          <w:sz w:val="24"/>
          <w:szCs w:val="24"/>
        </w:rPr>
        <w:t>5.2</w:t>
      </w:r>
      <w:r>
        <w:rPr>
          <w:spacing w:val="7"/>
          <w:sz w:val="24"/>
          <w:szCs w:val="24"/>
        </w:rPr>
        <w:t xml:space="preserve">    </w:t>
      </w:r>
      <w:r>
        <w:rPr>
          <w:b/>
          <w:bCs/>
          <w:spacing w:val="-5"/>
          <w:sz w:val="24"/>
          <w:szCs w:val="24"/>
        </w:rPr>
        <w:t>特殊技术标准和要求</w:t>
      </w:r>
    </w:p>
    <w:p w14:paraId="6F3EF83D">
      <w:pPr>
        <w:pStyle w:val="2"/>
        <w:spacing w:before="206" w:line="219" w:lineRule="auto"/>
        <w:rPr>
          <w:sz w:val="21"/>
          <w:szCs w:val="21"/>
        </w:rPr>
      </w:pPr>
      <w:r>
        <w:rPr>
          <w:sz w:val="21"/>
          <w:szCs w:val="21"/>
        </w:rPr>
        <w:t>5.2.1  适用本工程的特殊技术标准和要求见本章第二节。</w:t>
      </w:r>
    </w:p>
    <w:p w14:paraId="1C3AC077">
      <w:pPr>
        <w:pStyle w:val="2"/>
        <w:spacing w:before="171" w:line="219" w:lineRule="auto"/>
        <w:rPr>
          <w:sz w:val="21"/>
          <w:szCs w:val="21"/>
        </w:rPr>
      </w:pPr>
      <w:r>
        <w:rPr>
          <w:sz w:val="21"/>
          <w:szCs w:val="21"/>
        </w:rPr>
        <w:t>5.2.2  有合同约束力的图纸和其他设计文件中的有关文字说明是本节的组成内容。</w:t>
      </w:r>
    </w:p>
    <w:p w14:paraId="728B3043">
      <w:pPr>
        <w:pStyle w:val="2"/>
        <w:spacing w:before="81" w:line="219" w:lineRule="auto"/>
        <w:ind w:left="4"/>
        <w:rPr>
          <w:sz w:val="28"/>
          <w:szCs w:val="28"/>
        </w:rPr>
      </w:pPr>
      <w:r>
        <w:rPr>
          <w:b/>
          <w:bCs/>
          <w:spacing w:val="-5"/>
          <w:sz w:val="28"/>
          <w:szCs w:val="28"/>
        </w:rPr>
        <w:t>6.安全文明施工</w:t>
      </w:r>
    </w:p>
    <w:p w14:paraId="68D37F1E">
      <w:pPr>
        <w:pStyle w:val="2"/>
        <w:spacing w:before="137" w:line="220" w:lineRule="auto"/>
        <w:ind w:left="3"/>
        <w:rPr>
          <w:sz w:val="21"/>
          <w:szCs w:val="21"/>
        </w:rPr>
      </w:pPr>
      <w:r>
        <w:rPr>
          <w:b/>
          <w:bCs/>
          <w:spacing w:val="12"/>
          <w:sz w:val="21"/>
          <w:szCs w:val="21"/>
        </w:rPr>
        <w:t>6.1</w:t>
      </w:r>
      <w:r>
        <w:rPr>
          <w:spacing w:val="3"/>
          <w:sz w:val="21"/>
          <w:szCs w:val="21"/>
        </w:rPr>
        <w:t xml:space="preserve">    </w:t>
      </w:r>
      <w:r>
        <w:rPr>
          <w:b/>
          <w:bCs/>
          <w:spacing w:val="12"/>
          <w:sz w:val="21"/>
          <w:szCs w:val="21"/>
        </w:rPr>
        <w:t>安全防护</w:t>
      </w:r>
    </w:p>
    <w:p w14:paraId="20D089DA">
      <w:pPr>
        <w:pStyle w:val="2"/>
        <w:spacing w:before="193" w:line="320" w:lineRule="auto"/>
        <w:ind w:left="749" w:right="11" w:hanging="749"/>
        <w:rPr>
          <w:sz w:val="21"/>
          <w:szCs w:val="21"/>
        </w:rPr>
      </w:pPr>
      <w:r>
        <w:rPr>
          <w:sz w:val="21"/>
          <w:szCs w:val="21"/>
        </w:rPr>
        <w:t>6.1.1  在工程施工、竣工、交付及修补任何缺陷的过程中，承包人应当始终遵守国家和地方有关</w:t>
      </w:r>
      <w:r>
        <w:rPr>
          <w:spacing w:val="6"/>
          <w:sz w:val="21"/>
          <w:szCs w:val="21"/>
        </w:rPr>
        <w:t xml:space="preserve"> </w:t>
      </w:r>
      <w:r>
        <w:rPr>
          <w:spacing w:val="3"/>
          <w:sz w:val="21"/>
          <w:szCs w:val="21"/>
        </w:rPr>
        <w:t xml:space="preserve">安全生产的法律、法规、规范、标准和规程等，按照通用合同条款第9.2款的约定履行其 </w:t>
      </w:r>
      <w:r>
        <w:rPr>
          <w:spacing w:val="-6"/>
          <w:sz w:val="21"/>
          <w:szCs w:val="21"/>
        </w:rPr>
        <w:t>安全施工职责。</w:t>
      </w:r>
    </w:p>
    <w:p w14:paraId="41C31EB7">
      <w:pPr>
        <w:pStyle w:val="2"/>
        <w:spacing w:before="197" w:line="325" w:lineRule="auto"/>
        <w:ind w:left="749" w:right="20" w:hanging="749"/>
        <w:rPr>
          <w:sz w:val="21"/>
          <w:szCs w:val="21"/>
        </w:rPr>
      </w:pPr>
      <w:r>
        <w:rPr>
          <w:spacing w:val="1"/>
          <w:sz w:val="21"/>
          <w:szCs w:val="21"/>
        </w:rPr>
        <w:t>6.1.2  承包人应坚持“安全第一，预防为主</w:t>
      </w:r>
      <w:r>
        <w:rPr>
          <w:sz w:val="21"/>
          <w:szCs w:val="21"/>
        </w:rPr>
        <w:t xml:space="preserve">”的方针，建立、健全安全生产责任制度和安全生产 </w:t>
      </w:r>
      <w:r>
        <w:rPr>
          <w:spacing w:val="-1"/>
          <w:sz w:val="21"/>
          <w:szCs w:val="21"/>
        </w:rPr>
        <w:t>教育培训制度。在整个工程施工期间，承包人应在施工场地(现场)设立、提供和维护并在</w:t>
      </w:r>
      <w:r>
        <w:rPr>
          <w:sz w:val="21"/>
          <w:szCs w:val="21"/>
        </w:rPr>
        <w:t xml:space="preserve"> </w:t>
      </w:r>
      <w:r>
        <w:rPr>
          <w:spacing w:val="-5"/>
          <w:sz w:val="21"/>
          <w:szCs w:val="21"/>
        </w:rPr>
        <w:t>有关工作完成或竣工后撤除：</w:t>
      </w:r>
    </w:p>
    <w:p w14:paraId="329BCA4E">
      <w:pPr>
        <w:pStyle w:val="2"/>
        <w:spacing w:before="160" w:line="319" w:lineRule="auto"/>
        <w:ind w:left="1099" w:right="37" w:hanging="440"/>
        <w:rPr>
          <w:sz w:val="21"/>
          <w:szCs w:val="21"/>
        </w:rPr>
      </w:pPr>
      <w:r>
        <w:rPr>
          <w:spacing w:val="4"/>
          <w:sz w:val="21"/>
          <w:szCs w:val="21"/>
        </w:rPr>
        <w:t>(1)设立在现场入口显著位置的现场施工总平面图、总平面管理、安全生产、文明施工、</w:t>
      </w:r>
      <w:r>
        <w:rPr>
          <w:spacing w:val="9"/>
          <w:sz w:val="21"/>
          <w:szCs w:val="21"/>
        </w:rPr>
        <w:t xml:space="preserve"> </w:t>
      </w:r>
      <w:r>
        <w:rPr>
          <w:spacing w:val="2"/>
          <w:sz w:val="21"/>
          <w:szCs w:val="21"/>
        </w:rPr>
        <w:t>环境保护、质量控制、材料管理等的规章制度和主要参建</w:t>
      </w:r>
      <w:r>
        <w:rPr>
          <w:spacing w:val="1"/>
          <w:sz w:val="21"/>
          <w:szCs w:val="21"/>
        </w:rPr>
        <w:t>单位名称和工程概况等说明</w:t>
      </w:r>
      <w:r>
        <w:rPr>
          <w:sz w:val="21"/>
          <w:szCs w:val="21"/>
        </w:rPr>
        <w:t xml:space="preserve"> </w:t>
      </w:r>
      <w:r>
        <w:rPr>
          <w:spacing w:val="-9"/>
          <w:sz w:val="21"/>
          <w:szCs w:val="21"/>
        </w:rPr>
        <w:t>的图板；</w:t>
      </w:r>
    </w:p>
    <w:p w14:paraId="7BC54A3D">
      <w:pPr>
        <w:pStyle w:val="2"/>
        <w:spacing w:before="140" w:line="295" w:lineRule="auto"/>
        <w:ind w:left="1099" w:right="55" w:hanging="440"/>
        <w:rPr>
          <w:sz w:val="21"/>
          <w:szCs w:val="21"/>
        </w:rPr>
      </w:pPr>
      <w:r>
        <w:rPr>
          <w:spacing w:val="4"/>
          <w:sz w:val="21"/>
          <w:szCs w:val="21"/>
        </w:rPr>
        <w:t>(2)为确保工程安全施工须设立的足够的标志、宣传画、标语、指示牌、警告牌、火警、</w:t>
      </w:r>
      <w:r>
        <w:rPr>
          <w:spacing w:val="9"/>
          <w:sz w:val="21"/>
          <w:szCs w:val="21"/>
        </w:rPr>
        <w:t xml:space="preserve"> </w:t>
      </w:r>
      <w:r>
        <w:rPr>
          <w:spacing w:val="-5"/>
          <w:sz w:val="21"/>
          <w:szCs w:val="21"/>
        </w:rPr>
        <w:t>匪警和急救电话提示牌等等；</w:t>
      </w:r>
    </w:p>
    <w:p w14:paraId="7EA9E39A">
      <w:pPr>
        <w:spacing w:line="295" w:lineRule="auto"/>
        <w:rPr>
          <w:sz w:val="21"/>
          <w:szCs w:val="21"/>
        </w:rPr>
        <w:sectPr>
          <w:footerReference r:id="rId327" w:type="default"/>
          <w:pgSz w:w="11910" w:h="16840"/>
          <w:pgMar w:top="400" w:right="1499" w:bottom="1147" w:left="1440" w:header="0" w:footer="1021" w:gutter="0"/>
          <w:cols w:space="720" w:num="1"/>
        </w:sectPr>
      </w:pPr>
    </w:p>
    <w:p w14:paraId="32017142">
      <w:pPr>
        <w:spacing w:line="270" w:lineRule="auto"/>
        <w:rPr>
          <w:rFonts w:ascii="Arial"/>
          <w:sz w:val="21"/>
        </w:rPr>
      </w:pPr>
    </w:p>
    <w:p w14:paraId="2F84C9CE">
      <w:pPr>
        <w:spacing w:line="270" w:lineRule="auto"/>
        <w:rPr>
          <w:rFonts w:ascii="Arial"/>
          <w:sz w:val="21"/>
        </w:rPr>
      </w:pPr>
    </w:p>
    <w:p w14:paraId="19410858">
      <w:pPr>
        <w:spacing w:line="270" w:lineRule="auto"/>
        <w:rPr>
          <w:rFonts w:ascii="Arial"/>
          <w:sz w:val="21"/>
        </w:rPr>
      </w:pPr>
    </w:p>
    <w:p w14:paraId="2161995E">
      <w:pPr>
        <w:spacing w:line="270" w:lineRule="auto"/>
        <w:rPr>
          <w:rFonts w:ascii="Arial"/>
          <w:sz w:val="21"/>
        </w:rPr>
      </w:pPr>
    </w:p>
    <w:p w14:paraId="186C99A3">
      <w:pPr>
        <w:spacing w:line="270" w:lineRule="auto"/>
        <w:rPr>
          <w:rFonts w:ascii="Arial"/>
          <w:sz w:val="21"/>
        </w:rPr>
      </w:pPr>
    </w:p>
    <w:p w14:paraId="1F83F22F">
      <w:pPr>
        <w:pStyle w:val="2"/>
        <w:spacing w:before="68" w:line="286" w:lineRule="auto"/>
        <w:ind w:left="1168" w:right="113" w:hanging="539"/>
        <w:rPr>
          <w:sz w:val="21"/>
          <w:szCs w:val="21"/>
        </w:rPr>
      </w:pPr>
      <w:r>
        <w:rPr>
          <w:spacing w:val="4"/>
          <w:sz w:val="21"/>
          <w:szCs w:val="21"/>
        </w:rPr>
        <w:t>(3)洞口和临边位置的安全防护设施，包括护身栏杆、脚手架、洞口盖板和加筋、竖井防</w:t>
      </w:r>
      <w:r>
        <w:rPr>
          <w:spacing w:val="15"/>
          <w:sz w:val="21"/>
          <w:szCs w:val="21"/>
        </w:rPr>
        <w:t xml:space="preserve"> </w:t>
      </w:r>
      <w:r>
        <w:rPr>
          <w:spacing w:val="-4"/>
          <w:sz w:val="21"/>
          <w:szCs w:val="21"/>
        </w:rPr>
        <w:t>护栏杆、防护棚、防护网、坡道等等；</w:t>
      </w:r>
    </w:p>
    <w:p w14:paraId="36BF2EAA">
      <w:pPr>
        <w:pStyle w:val="2"/>
        <w:spacing w:before="140" w:line="290" w:lineRule="auto"/>
        <w:ind w:left="1148" w:right="94" w:hanging="519"/>
        <w:rPr>
          <w:sz w:val="21"/>
          <w:szCs w:val="21"/>
        </w:rPr>
      </w:pPr>
      <w:r>
        <w:rPr>
          <w:spacing w:val="5"/>
          <w:sz w:val="21"/>
          <w:szCs w:val="21"/>
        </w:rPr>
        <w:t>(4)安全带、安全绳、安全帽、安全网、绝缘鞋、绝缘手套、防护口罩和防</w:t>
      </w:r>
      <w:r>
        <w:rPr>
          <w:spacing w:val="4"/>
          <w:sz w:val="21"/>
          <w:szCs w:val="21"/>
        </w:rPr>
        <w:t>护衣等安全生</w:t>
      </w:r>
      <w:r>
        <w:rPr>
          <w:sz w:val="21"/>
          <w:szCs w:val="21"/>
        </w:rPr>
        <w:t xml:space="preserve"> </w:t>
      </w:r>
      <w:r>
        <w:rPr>
          <w:spacing w:val="-7"/>
          <w:sz w:val="21"/>
          <w:szCs w:val="21"/>
        </w:rPr>
        <w:t>产用品；</w:t>
      </w:r>
    </w:p>
    <w:p w14:paraId="27FAC2AE">
      <w:pPr>
        <w:pStyle w:val="2"/>
        <w:spacing w:before="159" w:line="219" w:lineRule="auto"/>
        <w:ind w:left="629"/>
        <w:rPr>
          <w:sz w:val="21"/>
          <w:szCs w:val="21"/>
        </w:rPr>
      </w:pPr>
      <w:r>
        <w:rPr>
          <w:spacing w:val="2"/>
          <w:sz w:val="21"/>
          <w:szCs w:val="21"/>
        </w:rPr>
        <w:t>(5)所有机械设备包括各类电动工具的安全保护和接地装置和操作说明；</w:t>
      </w:r>
    </w:p>
    <w:p w14:paraId="5D9F73C9">
      <w:pPr>
        <w:pStyle w:val="2"/>
        <w:spacing w:before="152" w:line="219" w:lineRule="auto"/>
        <w:ind w:left="629"/>
        <w:rPr>
          <w:sz w:val="21"/>
          <w:szCs w:val="21"/>
        </w:rPr>
      </w:pPr>
      <w:r>
        <w:rPr>
          <w:spacing w:val="3"/>
          <w:sz w:val="21"/>
          <w:szCs w:val="21"/>
        </w:rPr>
        <w:t>(6)装备良好的临时急救站和配备称职的医</w:t>
      </w:r>
      <w:r>
        <w:rPr>
          <w:spacing w:val="2"/>
          <w:sz w:val="21"/>
          <w:szCs w:val="21"/>
        </w:rPr>
        <w:t>护人员；</w:t>
      </w:r>
    </w:p>
    <w:p w14:paraId="652D1D33">
      <w:pPr>
        <w:pStyle w:val="2"/>
        <w:spacing w:before="139" w:line="291" w:lineRule="auto"/>
        <w:ind w:left="1069" w:right="89" w:hanging="440"/>
        <w:rPr>
          <w:sz w:val="21"/>
          <w:szCs w:val="21"/>
        </w:rPr>
      </w:pPr>
      <w:r>
        <w:rPr>
          <w:spacing w:val="10"/>
          <w:sz w:val="21"/>
          <w:szCs w:val="21"/>
        </w:rPr>
        <w:t>(7)主要作业场所和临时安全疏散通道24小时36伏安全照明和必要的警示等以防止各种</w:t>
      </w:r>
      <w:r>
        <w:rPr>
          <w:sz w:val="21"/>
          <w:szCs w:val="21"/>
        </w:rPr>
        <w:t xml:space="preserve"> </w:t>
      </w:r>
      <w:r>
        <w:rPr>
          <w:spacing w:val="-9"/>
          <w:sz w:val="21"/>
          <w:szCs w:val="21"/>
        </w:rPr>
        <w:t>可能的事故；</w:t>
      </w:r>
    </w:p>
    <w:p w14:paraId="358CA5E1">
      <w:pPr>
        <w:pStyle w:val="2"/>
        <w:spacing w:before="139" w:line="219" w:lineRule="auto"/>
        <w:ind w:left="629"/>
        <w:rPr>
          <w:sz w:val="21"/>
          <w:szCs w:val="21"/>
        </w:rPr>
      </w:pPr>
      <w:r>
        <w:rPr>
          <w:spacing w:val="3"/>
          <w:sz w:val="21"/>
          <w:szCs w:val="21"/>
        </w:rPr>
        <w:t>(8)足够数量的和合格的手提灭火器；</w:t>
      </w:r>
    </w:p>
    <w:p w14:paraId="3DC9702B">
      <w:pPr>
        <w:pStyle w:val="2"/>
        <w:spacing w:before="129" w:line="218" w:lineRule="auto"/>
        <w:ind w:left="629"/>
        <w:rPr>
          <w:sz w:val="21"/>
          <w:szCs w:val="21"/>
        </w:rPr>
      </w:pPr>
      <w:r>
        <w:rPr>
          <w:spacing w:val="2"/>
          <w:sz w:val="21"/>
          <w:szCs w:val="21"/>
        </w:rPr>
        <w:t>(9)装备良好的易燃易爆物品仓库和相应的使用管理制度；</w:t>
      </w:r>
    </w:p>
    <w:p w14:paraId="1BA1AF74">
      <w:pPr>
        <w:pStyle w:val="2"/>
        <w:spacing w:before="164" w:line="219" w:lineRule="auto"/>
        <w:ind w:left="629"/>
        <w:rPr>
          <w:sz w:val="21"/>
          <w:szCs w:val="21"/>
        </w:rPr>
      </w:pPr>
      <w:r>
        <w:rPr>
          <w:spacing w:val="2"/>
          <w:sz w:val="21"/>
          <w:szCs w:val="21"/>
        </w:rPr>
        <w:t>(10)对涉及明火施工的工作制定诸如用火证等的管理制度；</w:t>
      </w:r>
    </w:p>
    <w:p w14:paraId="4EE6222C">
      <w:pPr>
        <w:pStyle w:val="2"/>
        <w:spacing w:before="162" w:line="220" w:lineRule="auto"/>
        <w:ind w:left="629"/>
        <w:rPr>
          <w:rFonts w:ascii="Arial" w:hAnsi="Arial" w:eastAsia="Arial" w:cs="Arial"/>
          <w:sz w:val="21"/>
          <w:szCs w:val="21"/>
        </w:rPr>
      </w:pPr>
      <w:r>
        <w:rPr>
          <w:spacing w:val="1"/>
          <w:sz w:val="21"/>
          <w:szCs w:val="21"/>
        </w:rPr>
        <w:t xml:space="preserve">(11)其他： </w:t>
      </w:r>
      <w:r>
        <w:rPr>
          <w:spacing w:val="1"/>
          <w:sz w:val="21"/>
          <w:szCs w:val="21"/>
          <w:u w:val="single" w:color="auto"/>
        </w:rPr>
        <w:t xml:space="preserve">          </w:t>
      </w:r>
      <w:r>
        <w:rPr>
          <w:sz w:val="21"/>
          <w:szCs w:val="21"/>
          <w:u w:val="single" w:color="auto"/>
        </w:rPr>
        <w:t xml:space="preserve">                                                   </w:t>
      </w:r>
      <w:r>
        <w:rPr>
          <w:spacing w:val="-94"/>
          <w:sz w:val="21"/>
          <w:szCs w:val="21"/>
        </w:rPr>
        <w:t xml:space="preserve"> </w:t>
      </w:r>
      <w:r>
        <w:rPr>
          <w:rFonts w:ascii="Arial" w:hAnsi="Arial" w:eastAsia="Arial" w:cs="Arial"/>
          <w:sz w:val="21"/>
          <w:szCs w:val="21"/>
        </w:rPr>
        <w:t>o</w:t>
      </w:r>
    </w:p>
    <w:p w14:paraId="77652FEB">
      <w:pPr>
        <w:pStyle w:val="2"/>
        <w:spacing w:before="128" w:line="299" w:lineRule="auto"/>
        <w:ind w:left="939" w:right="87" w:hanging="939"/>
        <w:rPr>
          <w:sz w:val="21"/>
          <w:szCs w:val="21"/>
        </w:rPr>
      </w:pPr>
      <w:r>
        <w:rPr>
          <w:sz w:val="21"/>
          <w:szCs w:val="21"/>
        </w:rPr>
        <w:t>6.1.3    安全文明施工费用必须专款专用，承包人应对其由于安全文明施工</w:t>
      </w:r>
      <w:r>
        <w:rPr>
          <w:spacing w:val="-1"/>
          <w:sz w:val="21"/>
          <w:szCs w:val="21"/>
        </w:rPr>
        <w:t>费用和施工安全措施</w:t>
      </w:r>
      <w:r>
        <w:rPr>
          <w:sz w:val="21"/>
          <w:szCs w:val="21"/>
        </w:rPr>
        <w:t xml:space="preserve"> </w:t>
      </w:r>
      <w:r>
        <w:rPr>
          <w:spacing w:val="-3"/>
          <w:sz w:val="21"/>
          <w:szCs w:val="21"/>
        </w:rPr>
        <w:t>不到位而发生的安全事故承担全部责任。</w:t>
      </w:r>
    </w:p>
    <w:p w14:paraId="776133F3">
      <w:pPr>
        <w:pStyle w:val="2"/>
        <w:spacing w:before="143" w:line="329" w:lineRule="auto"/>
        <w:ind w:left="939" w:right="83" w:hanging="939"/>
        <w:rPr>
          <w:sz w:val="21"/>
          <w:szCs w:val="21"/>
        </w:rPr>
      </w:pPr>
      <w:r>
        <w:rPr>
          <w:sz w:val="21"/>
          <w:szCs w:val="21"/>
        </w:rPr>
        <w:t>6.1.4    承包人应建立专门的施工场地(现场)安全生产管理机构，配备足够数量的和</w:t>
      </w:r>
      <w:r>
        <w:rPr>
          <w:spacing w:val="-1"/>
          <w:sz w:val="21"/>
          <w:szCs w:val="21"/>
        </w:rPr>
        <w:t>符合有关规</w:t>
      </w:r>
      <w:r>
        <w:rPr>
          <w:sz w:val="21"/>
          <w:szCs w:val="21"/>
        </w:rPr>
        <w:t xml:space="preserve"> 定的专职安全生产管理人员，负责日常安全生产巡查</w:t>
      </w:r>
      <w:r>
        <w:rPr>
          <w:spacing w:val="-1"/>
          <w:sz w:val="21"/>
          <w:szCs w:val="21"/>
        </w:rPr>
        <w:t>和专项检查，召集和主持现场全体</w:t>
      </w:r>
      <w:r>
        <w:rPr>
          <w:sz w:val="21"/>
          <w:szCs w:val="21"/>
        </w:rPr>
        <w:t xml:space="preserve"> </w:t>
      </w:r>
      <w:r>
        <w:rPr>
          <w:spacing w:val="2"/>
          <w:sz w:val="21"/>
          <w:szCs w:val="21"/>
        </w:rPr>
        <w:t>人员参加的安全生产例会(每周至少一次),负责安全技术交底和技</w:t>
      </w:r>
      <w:r>
        <w:rPr>
          <w:spacing w:val="1"/>
          <w:sz w:val="21"/>
          <w:szCs w:val="21"/>
        </w:rPr>
        <w:t>术方案的安全把关，</w:t>
      </w:r>
      <w:r>
        <w:rPr>
          <w:sz w:val="21"/>
          <w:szCs w:val="21"/>
        </w:rPr>
        <w:t xml:space="preserve"> 负责制定或审核安全隐患的整改措施并监督落</w:t>
      </w:r>
      <w:r>
        <w:rPr>
          <w:spacing w:val="-1"/>
          <w:sz w:val="21"/>
          <w:szCs w:val="21"/>
        </w:rPr>
        <w:t>实，负责安全资料的整理和管理，及时消</w:t>
      </w:r>
      <w:r>
        <w:rPr>
          <w:sz w:val="21"/>
          <w:szCs w:val="21"/>
        </w:rPr>
        <w:t xml:space="preserve"> </w:t>
      </w:r>
      <w:r>
        <w:rPr>
          <w:spacing w:val="-1"/>
          <w:sz w:val="21"/>
          <w:szCs w:val="21"/>
        </w:rPr>
        <w:t>除安全隐患，做好安全检查记录，确保所有的安全设施都处于良好的运转状态。承包人</w:t>
      </w:r>
      <w:r>
        <w:rPr>
          <w:spacing w:val="16"/>
          <w:sz w:val="21"/>
          <w:szCs w:val="21"/>
        </w:rPr>
        <w:t xml:space="preserve"> </w:t>
      </w:r>
      <w:r>
        <w:rPr>
          <w:spacing w:val="-1"/>
          <w:sz w:val="21"/>
          <w:szCs w:val="21"/>
        </w:rPr>
        <w:t>项目经理和专职安全生产管理人员均应当具备有效的安全生产考核合格证书。</w:t>
      </w:r>
    </w:p>
    <w:p w14:paraId="555A9271">
      <w:pPr>
        <w:pStyle w:val="2"/>
        <w:spacing w:before="163" w:line="325" w:lineRule="auto"/>
        <w:ind w:left="939" w:right="92" w:hanging="939"/>
        <w:rPr>
          <w:sz w:val="21"/>
          <w:szCs w:val="21"/>
        </w:rPr>
      </w:pPr>
      <w:r>
        <w:rPr>
          <w:rFonts w:ascii="Times New Roman" w:hAnsi="Times New Roman" w:eastAsia="Times New Roman" w:cs="Times New Roman"/>
          <w:sz w:val="21"/>
          <w:szCs w:val="21"/>
        </w:rPr>
        <w:t xml:space="preserve">6.1.5          </w:t>
      </w:r>
      <w:r>
        <w:rPr>
          <w:sz w:val="21"/>
          <w:szCs w:val="21"/>
        </w:rPr>
        <w:t>承包人应遵照有关法规要求，编印安全防护手册发给</w:t>
      </w:r>
      <w:r>
        <w:rPr>
          <w:spacing w:val="-1"/>
          <w:sz w:val="21"/>
          <w:szCs w:val="21"/>
        </w:rPr>
        <w:t>进场施工人员，做好进场施工人员</w:t>
      </w:r>
      <w:r>
        <w:rPr>
          <w:sz w:val="21"/>
          <w:szCs w:val="21"/>
        </w:rPr>
        <w:t xml:space="preserve"> 上岗前的安全教育和培训工作，并建立考核制度，只有考核合</w:t>
      </w:r>
      <w:r>
        <w:rPr>
          <w:spacing w:val="-1"/>
          <w:sz w:val="21"/>
          <w:szCs w:val="21"/>
        </w:rPr>
        <w:t>格的人员才能进场施工作</w:t>
      </w:r>
      <w:r>
        <w:rPr>
          <w:sz w:val="21"/>
          <w:szCs w:val="21"/>
        </w:rPr>
        <w:t xml:space="preserve"> 业。特种作业人员还应经过专门的安全作业培训，并取得特种作业</w:t>
      </w:r>
      <w:r>
        <w:rPr>
          <w:spacing w:val="-1"/>
          <w:sz w:val="21"/>
          <w:szCs w:val="21"/>
        </w:rPr>
        <w:t>操作资格证书后方可</w:t>
      </w:r>
      <w:r>
        <w:rPr>
          <w:sz w:val="21"/>
          <w:szCs w:val="21"/>
        </w:rPr>
        <w:t xml:space="preserve"> 上岗。在任何分部分项工程开始施工前，承包人应当就有关安</w:t>
      </w:r>
      <w:r>
        <w:rPr>
          <w:spacing w:val="-1"/>
          <w:sz w:val="21"/>
          <w:szCs w:val="21"/>
        </w:rPr>
        <w:t>全施工的技术要求向施工</w:t>
      </w:r>
      <w:r>
        <w:rPr>
          <w:sz w:val="21"/>
          <w:szCs w:val="21"/>
        </w:rPr>
        <w:t xml:space="preserve"> </w:t>
      </w:r>
      <w:r>
        <w:rPr>
          <w:spacing w:val="-2"/>
          <w:sz w:val="21"/>
          <w:szCs w:val="21"/>
        </w:rPr>
        <w:t>作业班组和作业人员等进行安全交底，并由双方签字确认。</w:t>
      </w:r>
    </w:p>
    <w:p w14:paraId="466D8767">
      <w:pPr>
        <w:pStyle w:val="2"/>
        <w:spacing w:before="111" w:line="292" w:lineRule="auto"/>
        <w:ind w:left="939" w:right="92" w:hanging="939"/>
        <w:rPr>
          <w:sz w:val="21"/>
          <w:szCs w:val="21"/>
        </w:rPr>
      </w:pPr>
      <w:r>
        <w:rPr>
          <w:spacing w:val="4"/>
          <w:sz w:val="21"/>
          <w:szCs w:val="21"/>
        </w:rPr>
        <w:t>6.1.6    承包人应为其进场施工人员配备必需的安全防护设施和设备，承包人还应为施工场地</w:t>
      </w:r>
      <w:r>
        <w:rPr>
          <w:spacing w:val="8"/>
          <w:sz w:val="21"/>
          <w:szCs w:val="21"/>
        </w:rPr>
        <w:t xml:space="preserve"> </w:t>
      </w:r>
      <w:r>
        <w:rPr>
          <w:spacing w:val="-1"/>
          <w:sz w:val="21"/>
          <w:szCs w:val="21"/>
        </w:rPr>
        <w:t>(现场)邻近地区的所有者和占有者、公众和其他人员，提供一切必要</w:t>
      </w:r>
      <w:r>
        <w:rPr>
          <w:spacing w:val="-2"/>
          <w:sz w:val="21"/>
          <w:szCs w:val="21"/>
        </w:rPr>
        <w:t>的临时道路、人行</w:t>
      </w:r>
      <w:r>
        <w:rPr>
          <w:sz w:val="21"/>
          <w:szCs w:val="21"/>
        </w:rPr>
        <w:t xml:space="preserve"> 道、防护棚、围栏及警告等，以确保财产和人身安全以及最大程度</w:t>
      </w:r>
      <w:r>
        <w:rPr>
          <w:spacing w:val="-1"/>
          <w:sz w:val="21"/>
          <w:szCs w:val="21"/>
        </w:rPr>
        <w:t>地降低施工可能造成</w:t>
      </w:r>
      <w:r>
        <w:rPr>
          <w:sz w:val="21"/>
          <w:szCs w:val="21"/>
        </w:rPr>
        <w:t xml:space="preserve"> </w:t>
      </w:r>
      <w:r>
        <w:rPr>
          <w:spacing w:val="-5"/>
          <w:sz w:val="21"/>
          <w:szCs w:val="21"/>
        </w:rPr>
        <w:t>的不便。</w:t>
      </w:r>
    </w:p>
    <w:p w14:paraId="528F8CC9">
      <w:pPr>
        <w:pStyle w:val="2"/>
        <w:spacing w:before="143" w:line="297" w:lineRule="auto"/>
        <w:ind w:left="939" w:hanging="939"/>
        <w:rPr>
          <w:sz w:val="21"/>
          <w:szCs w:val="21"/>
        </w:rPr>
      </w:pPr>
      <w:r>
        <w:rPr>
          <w:rFonts w:ascii="Times New Roman" w:hAnsi="Times New Roman" w:eastAsia="Times New Roman" w:cs="Times New Roman"/>
          <w:spacing w:val="1"/>
          <w:sz w:val="21"/>
          <w:szCs w:val="21"/>
        </w:rPr>
        <w:t xml:space="preserve">6.1.7          </w:t>
      </w:r>
      <w:r>
        <w:rPr>
          <w:spacing w:val="1"/>
          <w:sz w:val="21"/>
          <w:szCs w:val="21"/>
        </w:rPr>
        <w:t>承包人应在施工场</w:t>
      </w:r>
      <w:r>
        <w:rPr>
          <w:sz w:val="21"/>
          <w:szCs w:val="21"/>
        </w:rPr>
        <w:t>地(现场)入口处、施工起重机械、临时用电设施、脚手架、出入通道 口、楼梯口、电梯井口、孔洞口、隧道口、基坑边沿、危险品存</w:t>
      </w:r>
      <w:r>
        <w:rPr>
          <w:spacing w:val="-1"/>
          <w:sz w:val="21"/>
          <w:szCs w:val="21"/>
        </w:rPr>
        <w:t>放处等危险部位设置一</w:t>
      </w:r>
      <w:r>
        <w:rPr>
          <w:sz w:val="21"/>
          <w:szCs w:val="21"/>
        </w:rPr>
        <w:t xml:space="preserve">  </w:t>
      </w:r>
      <w:r>
        <w:rPr>
          <w:spacing w:val="-3"/>
          <w:sz w:val="21"/>
          <w:szCs w:val="21"/>
        </w:rPr>
        <w:t>切必需的安全警示标志，包括但不限于标准道路标志、报警标志、危</w:t>
      </w:r>
      <w:r>
        <w:rPr>
          <w:spacing w:val="-4"/>
          <w:sz w:val="21"/>
          <w:szCs w:val="21"/>
        </w:rPr>
        <w:t>险标志、控制标志、</w:t>
      </w:r>
      <w:r>
        <w:rPr>
          <w:sz w:val="21"/>
          <w:szCs w:val="21"/>
        </w:rPr>
        <w:t xml:space="preserve"> </w:t>
      </w:r>
      <w:r>
        <w:rPr>
          <w:spacing w:val="1"/>
          <w:sz w:val="21"/>
          <w:szCs w:val="21"/>
        </w:rPr>
        <w:t>安全标志、指示标志、警告标志等，并配备必要的照明、防护和</w:t>
      </w:r>
      <w:r>
        <w:rPr>
          <w:sz w:val="21"/>
          <w:szCs w:val="21"/>
        </w:rPr>
        <w:t xml:space="preserve">看守。承包人应当按监 </w:t>
      </w:r>
      <w:r>
        <w:rPr>
          <w:spacing w:val="-1"/>
          <w:sz w:val="21"/>
          <w:szCs w:val="21"/>
        </w:rPr>
        <w:t>理人的指示，经常补充或更换失效的警示和标志。</w:t>
      </w:r>
    </w:p>
    <w:p w14:paraId="40C444DB">
      <w:pPr>
        <w:spacing w:line="297" w:lineRule="auto"/>
        <w:rPr>
          <w:sz w:val="21"/>
          <w:szCs w:val="21"/>
        </w:rPr>
        <w:sectPr>
          <w:footerReference r:id="rId328" w:type="default"/>
          <w:pgSz w:w="11910" w:h="16840"/>
          <w:pgMar w:top="400" w:right="1444" w:bottom="1147" w:left="1460" w:header="0" w:footer="1021" w:gutter="0"/>
          <w:cols w:space="720" w:num="1"/>
        </w:sectPr>
      </w:pPr>
    </w:p>
    <w:p w14:paraId="298D9753">
      <w:pPr>
        <w:spacing w:line="267" w:lineRule="auto"/>
        <w:rPr>
          <w:rFonts w:ascii="Arial"/>
          <w:sz w:val="21"/>
        </w:rPr>
      </w:pPr>
    </w:p>
    <w:p w14:paraId="6A506DAA">
      <w:pPr>
        <w:spacing w:line="267" w:lineRule="auto"/>
        <w:rPr>
          <w:rFonts w:ascii="Arial"/>
          <w:sz w:val="21"/>
        </w:rPr>
      </w:pPr>
    </w:p>
    <w:p w14:paraId="78D2553B">
      <w:pPr>
        <w:spacing w:line="267" w:lineRule="auto"/>
        <w:rPr>
          <w:rFonts w:ascii="Arial"/>
          <w:sz w:val="21"/>
        </w:rPr>
      </w:pPr>
    </w:p>
    <w:p w14:paraId="0E5A9941">
      <w:pPr>
        <w:spacing w:line="267" w:lineRule="auto"/>
        <w:rPr>
          <w:rFonts w:ascii="Arial"/>
          <w:sz w:val="21"/>
        </w:rPr>
      </w:pPr>
    </w:p>
    <w:p w14:paraId="66BA8E3A">
      <w:pPr>
        <w:spacing w:line="267" w:lineRule="auto"/>
        <w:rPr>
          <w:rFonts w:ascii="Arial"/>
          <w:sz w:val="21"/>
        </w:rPr>
      </w:pPr>
    </w:p>
    <w:p w14:paraId="2435E5B2">
      <w:pPr>
        <w:pStyle w:val="2"/>
        <w:spacing w:before="65" w:line="304" w:lineRule="auto"/>
        <w:ind w:left="949" w:right="78" w:hanging="949"/>
        <w:rPr>
          <w:sz w:val="20"/>
          <w:szCs w:val="20"/>
        </w:rPr>
      </w:pPr>
      <w:r>
        <w:rPr>
          <w:spacing w:val="9"/>
          <w:sz w:val="20"/>
          <w:szCs w:val="20"/>
        </w:rPr>
        <w:t>6.1.8    承包人应对施工场地(现场)内由其提供并安装的</w:t>
      </w:r>
      <w:r>
        <w:rPr>
          <w:spacing w:val="8"/>
          <w:sz w:val="20"/>
          <w:szCs w:val="20"/>
        </w:rPr>
        <w:t>所有提升架、外用电梯和塔吊等垂直和</w:t>
      </w:r>
      <w:r>
        <w:rPr>
          <w:sz w:val="20"/>
          <w:szCs w:val="20"/>
        </w:rPr>
        <w:t xml:space="preserve"> </w:t>
      </w:r>
      <w:r>
        <w:rPr>
          <w:spacing w:val="10"/>
          <w:sz w:val="20"/>
          <w:szCs w:val="20"/>
        </w:rPr>
        <w:t>水平运输机械进行安全围护，包括卸料平台门的安全开关、警示</w:t>
      </w:r>
      <w:r>
        <w:rPr>
          <w:spacing w:val="9"/>
          <w:sz w:val="20"/>
          <w:szCs w:val="20"/>
        </w:rPr>
        <w:t>铃和警示灯，卸料平台</w:t>
      </w:r>
      <w:r>
        <w:rPr>
          <w:sz w:val="20"/>
          <w:szCs w:val="20"/>
        </w:rPr>
        <w:t xml:space="preserve"> </w:t>
      </w:r>
      <w:r>
        <w:rPr>
          <w:spacing w:val="9"/>
          <w:sz w:val="20"/>
          <w:szCs w:val="20"/>
        </w:rPr>
        <w:t>的护身栏杆，脚手架和安全网等等；所有的机械设备应设置安全操作防护罩，并在醒目</w:t>
      </w:r>
      <w:r>
        <w:rPr>
          <w:spacing w:val="5"/>
          <w:sz w:val="20"/>
          <w:szCs w:val="20"/>
        </w:rPr>
        <w:t xml:space="preserve"> </w:t>
      </w:r>
      <w:r>
        <w:rPr>
          <w:spacing w:val="8"/>
          <w:sz w:val="20"/>
          <w:szCs w:val="20"/>
        </w:rPr>
        <w:t>位置张挂详细的安全操作要点等。</w:t>
      </w:r>
    </w:p>
    <w:p w14:paraId="6748BD73">
      <w:pPr>
        <w:pStyle w:val="2"/>
        <w:spacing w:before="132" w:line="300" w:lineRule="auto"/>
        <w:ind w:left="949" w:hanging="949"/>
        <w:rPr>
          <w:sz w:val="20"/>
          <w:szCs w:val="20"/>
        </w:rPr>
      </w:pPr>
      <w:r>
        <w:rPr>
          <w:rFonts w:ascii="Times New Roman" w:hAnsi="Times New Roman" w:eastAsia="Times New Roman" w:cs="Times New Roman"/>
          <w:spacing w:val="6"/>
          <w:sz w:val="24"/>
          <w:szCs w:val="24"/>
        </w:rPr>
        <w:t xml:space="preserve">6.1.9       </w:t>
      </w:r>
      <w:r>
        <w:rPr>
          <w:spacing w:val="6"/>
          <w:sz w:val="20"/>
          <w:szCs w:val="20"/>
        </w:rPr>
        <w:t>承包人应对所有用于提升的挂钩、挂环、钢丝绳、铁扁担等进行定期检测</w:t>
      </w:r>
      <w:r>
        <w:rPr>
          <w:spacing w:val="5"/>
          <w:sz w:val="20"/>
          <w:szCs w:val="20"/>
        </w:rPr>
        <w:t>、检查和标定；</w:t>
      </w:r>
      <w:r>
        <w:rPr>
          <w:sz w:val="20"/>
          <w:szCs w:val="20"/>
        </w:rPr>
        <w:t xml:space="preserve"> </w:t>
      </w:r>
      <w:r>
        <w:rPr>
          <w:spacing w:val="10"/>
          <w:sz w:val="20"/>
          <w:szCs w:val="20"/>
        </w:rPr>
        <w:t>如果监理人认为，任何此类设施已经损坏或</w:t>
      </w:r>
      <w:r>
        <w:rPr>
          <w:spacing w:val="9"/>
          <w:sz w:val="20"/>
          <w:szCs w:val="20"/>
        </w:rPr>
        <w:t>有使用不当之处，承包人应立即以合格的产</w:t>
      </w:r>
      <w:r>
        <w:rPr>
          <w:sz w:val="20"/>
          <w:szCs w:val="20"/>
        </w:rPr>
        <w:t xml:space="preserve">  </w:t>
      </w:r>
      <w:r>
        <w:rPr>
          <w:spacing w:val="9"/>
          <w:sz w:val="20"/>
          <w:szCs w:val="20"/>
        </w:rPr>
        <w:t>品进行更换；所有垂直和水平运输机械的搭设、顶升、使用和拆除必须严格依</w:t>
      </w:r>
      <w:r>
        <w:rPr>
          <w:spacing w:val="8"/>
          <w:sz w:val="20"/>
          <w:szCs w:val="20"/>
        </w:rPr>
        <w:t>照现行有</w:t>
      </w:r>
      <w:r>
        <w:rPr>
          <w:sz w:val="20"/>
          <w:szCs w:val="20"/>
        </w:rPr>
        <w:t xml:space="preserve">  </w:t>
      </w:r>
      <w:r>
        <w:rPr>
          <w:spacing w:val="9"/>
          <w:sz w:val="20"/>
          <w:szCs w:val="20"/>
        </w:rPr>
        <w:t>关法规、规章、规范、标准和规程等的要求。</w:t>
      </w:r>
    </w:p>
    <w:p w14:paraId="3BCFDF8C">
      <w:pPr>
        <w:pStyle w:val="2"/>
        <w:spacing w:before="102" w:line="295" w:lineRule="auto"/>
        <w:ind w:left="949" w:right="69" w:hanging="949"/>
        <w:rPr>
          <w:sz w:val="20"/>
          <w:szCs w:val="20"/>
        </w:rPr>
      </w:pPr>
      <w:r>
        <w:rPr>
          <w:spacing w:val="9"/>
          <w:sz w:val="20"/>
          <w:szCs w:val="20"/>
        </w:rPr>
        <w:t>6.1.10   所有机械和工器具应定期保养、校核和维护，以保证它们处于良好和安全的工作状态。</w:t>
      </w:r>
      <w:r>
        <w:rPr>
          <w:spacing w:val="6"/>
          <w:sz w:val="20"/>
          <w:szCs w:val="20"/>
        </w:rPr>
        <w:t xml:space="preserve"> </w:t>
      </w:r>
      <w:r>
        <w:rPr>
          <w:spacing w:val="9"/>
          <w:sz w:val="20"/>
          <w:szCs w:val="20"/>
        </w:rPr>
        <w:t>保养、校核和维护工作应尽可能安排在非工作时间进行，并为上述机械和工器具准备足</w:t>
      </w:r>
      <w:r>
        <w:rPr>
          <w:spacing w:val="15"/>
          <w:sz w:val="20"/>
          <w:szCs w:val="20"/>
        </w:rPr>
        <w:t xml:space="preserve"> </w:t>
      </w:r>
      <w:r>
        <w:rPr>
          <w:spacing w:val="9"/>
          <w:sz w:val="20"/>
          <w:szCs w:val="20"/>
        </w:rPr>
        <w:t>够的备用配件，以确保工程的施工能不间断地进行。</w:t>
      </w:r>
    </w:p>
    <w:p w14:paraId="297C50E5">
      <w:pPr>
        <w:pStyle w:val="2"/>
        <w:spacing w:before="124" w:line="304" w:lineRule="auto"/>
        <w:ind w:left="949" w:right="20" w:hanging="949"/>
        <w:rPr>
          <w:sz w:val="20"/>
          <w:szCs w:val="20"/>
        </w:rPr>
      </w:pPr>
      <w:r>
        <w:rPr>
          <w:spacing w:val="9"/>
          <w:sz w:val="20"/>
          <w:szCs w:val="20"/>
        </w:rPr>
        <w:t>6.1.11   在永久工程和施工边坡、建筑物基坑、地下洞室等的开挖过程中，</w:t>
      </w:r>
      <w:r>
        <w:rPr>
          <w:spacing w:val="8"/>
          <w:sz w:val="20"/>
          <w:szCs w:val="20"/>
        </w:rPr>
        <w:t>应根据其施工安全的</w:t>
      </w:r>
      <w:r>
        <w:rPr>
          <w:sz w:val="20"/>
          <w:szCs w:val="20"/>
        </w:rPr>
        <w:t xml:space="preserve"> </w:t>
      </w:r>
      <w:r>
        <w:rPr>
          <w:spacing w:val="6"/>
          <w:sz w:val="20"/>
          <w:szCs w:val="20"/>
        </w:rPr>
        <w:t>需要和(或)监理人指示，安装必要的施工安全监测仪器，及时</w:t>
      </w:r>
      <w:r>
        <w:rPr>
          <w:spacing w:val="5"/>
          <w:sz w:val="20"/>
          <w:szCs w:val="20"/>
        </w:rPr>
        <w:t>进行必要的施工安全监测，</w:t>
      </w:r>
      <w:r>
        <w:rPr>
          <w:sz w:val="20"/>
          <w:szCs w:val="20"/>
        </w:rPr>
        <w:t xml:space="preserve"> </w:t>
      </w:r>
      <w:r>
        <w:rPr>
          <w:spacing w:val="9"/>
          <w:sz w:val="20"/>
          <w:szCs w:val="20"/>
        </w:rPr>
        <w:t>并定期将安全监测成果提交监理人，以防止引起任何沉降、变形或其他影响正常施工进</w:t>
      </w:r>
      <w:r>
        <w:rPr>
          <w:spacing w:val="15"/>
          <w:sz w:val="20"/>
          <w:szCs w:val="20"/>
        </w:rPr>
        <w:t xml:space="preserve"> </w:t>
      </w:r>
      <w:r>
        <w:rPr>
          <w:spacing w:val="4"/>
          <w:sz w:val="20"/>
          <w:szCs w:val="20"/>
        </w:rPr>
        <w:t>度的损害。</w:t>
      </w:r>
    </w:p>
    <w:p w14:paraId="7734D8D4">
      <w:pPr>
        <w:pStyle w:val="2"/>
        <w:spacing w:before="141" w:line="304" w:lineRule="auto"/>
        <w:ind w:left="949" w:right="88" w:hanging="949"/>
        <w:rPr>
          <w:sz w:val="20"/>
          <w:szCs w:val="20"/>
        </w:rPr>
      </w:pPr>
      <w:r>
        <w:rPr>
          <w:spacing w:val="9"/>
          <w:sz w:val="20"/>
          <w:szCs w:val="20"/>
        </w:rPr>
        <w:t>6.1.12   承包人应对任何施工中的永久工程进行必要的</w:t>
      </w:r>
      <w:r>
        <w:rPr>
          <w:spacing w:val="8"/>
          <w:sz w:val="20"/>
          <w:szCs w:val="20"/>
        </w:rPr>
        <w:t>支撑或临时加固。除非承包人已获得监理</w:t>
      </w:r>
      <w:r>
        <w:rPr>
          <w:sz w:val="20"/>
          <w:szCs w:val="20"/>
        </w:rPr>
        <w:t xml:space="preserve"> </w:t>
      </w:r>
      <w:r>
        <w:rPr>
          <w:spacing w:val="10"/>
          <w:sz w:val="20"/>
          <w:szCs w:val="20"/>
        </w:rPr>
        <w:t>人书面许可并按要求进行了必要的加固或支</w:t>
      </w:r>
      <w:r>
        <w:rPr>
          <w:spacing w:val="9"/>
          <w:sz w:val="20"/>
          <w:szCs w:val="20"/>
        </w:rPr>
        <w:t>撑，不允许承包人在任何已完成的永久性结</w:t>
      </w:r>
      <w:r>
        <w:rPr>
          <w:sz w:val="20"/>
          <w:szCs w:val="20"/>
        </w:rPr>
        <w:t xml:space="preserve"> </w:t>
      </w:r>
      <w:r>
        <w:rPr>
          <w:spacing w:val="9"/>
          <w:sz w:val="20"/>
          <w:szCs w:val="20"/>
        </w:rPr>
        <w:t>构上堆放超过设计允许荷载的任何材料、物品或设备。在任何情况下，承包人均应对其</w:t>
      </w:r>
      <w:r>
        <w:rPr>
          <w:spacing w:val="15"/>
          <w:sz w:val="20"/>
          <w:szCs w:val="20"/>
        </w:rPr>
        <w:t xml:space="preserve"> </w:t>
      </w:r>
      <w:r>
        <w:rPr>
          <w:spacing w:val="9"/>
          <w:sz w:val="20"/>
          <w:szCs w:val="20"/>
        </w:rPr>
        <w:t>任何上述超载行为引起的后果负责，并承担相应的修缮费用。</w:t>
      </w:r>
    </w:p>
    <w:p w14:paraId="7D8DFBD7">
      <w:pPr>
        <w:pStyle w:val="2"/>
        <w:spacing w:before="121" w:line="295" w:lineRule="auto"/>
        <w:ind w:left="949" w:right="68" w:hanging="949"/>
        <w:rPr>
          <w:sz w:val="20"/>
          <w:szCs w:val="20"/>
        </w:rPr>
      </w:pPr>
      <w:r>
        <w:rPr>
          <w:spacing w:val="9"/>
          <w:sz w:val="20"/>
          <w:szCs w:val="20"/>
        </w:rPr>
        <w:t>6.1.13   承包人应成立应急救援小组，配备必要的应急救援器</w:t>
      </w:r>
      <w:r>
        <w:rPr>
          <w:spacing w:val="8"/>
          <w:sz w:val="20"/>
          <w:szCs w:val="20"/>
        </w:rPr>
        <w:t>材和设备，制定灾害和生产安全事</w:t>
      </w:r>
      <w:r>
        <w:rPr>
          <w:sz w:val="20"/>
          <w:szCs w:val="20"/>
        </w:rPr>
        <w:t xml:space="preserve"> </w:t>
      </w:r>
      <w:r>
        <w:rPr>
          <w:spacing w:val="10"/>
          <w:sz w:val="20"/>
          <w:szCs w:val="20"/>
        </w:rPr>
        <w:t>故的应急救援预案，并将应急救援预案报送监理人。应急救援预案应能随时组织应救专</w:t>
      </w:r>
      <w:r>
        <w:rPr>
          <w:sz w:val="20"/>
          <w:szCs w:val="20"/>
        </w:rPr>
        <w:t xml:space="preserve"> </w:t>
      </w:r>
      <w:r>
        <w:rPr>
          <w:spacing w:val="8"/>
          <w:sz w:val="20"/>
          <w:szCs w:val="20"/>
        </w:rPr>
        <w:t>职人员、并定期组织演练。</w:t>
      </w:r>
    </w:p>
    <w:p w14:paraId="386CCCFC">
      <w:pPr>
        <w:pStyle w:val="2"/>
        <w:spacing w:before="120" w:line="218" w:lineRule="auto"/>
        <w:rPr>
          <w:sz w:val="20"/>
          <w:szCs w:val="20"/>
        </w:rPr>
      </w:pPr>
      <w:r>
        <w:rPr>
          <w:spacing w:val="10"/>
          <w:sz w:val="20"/>
          <w:szCs w:val="20"/>
        </w:rPr>
        <w:t>6.1.14   施工过程中需要使用爆破</w:t>
      </w:r>
      <w:r>
        <w:rPr>
          <w:spacing w:val="9"/>
          <w:sz w:val="20"/>
          <w:szCs w:val="20"/>
        </w:rPr>
        <w:t>或带炸药的工具等危险性施工方法时，承包人应提前通</w:t>
      </w:r>
    </w:p>
    <w:p w14:paraId="4AE22482">
      <w:pPr>
        <w:pStyle w:val="2"/>
        <w:spacing w:before="117" w:line="323" w:lineRule="auto"/>
        <w:ind w:left="949" w:right="42"/>
        <w:jc w:val="both"/>
        <w:rPr>
          <w:sz w:val="20"/>
          <w:szCs w:val="20"/>
        </w:rPr>
      </w:pPr>
      <w:r>
        <w:rPr>
          <w:spacing w:val="11"/>
          <w:sz w:val="20"/>
          <w:szCs w:val="20"/>
        </w:rPr>
        <w:t>知监理人。经监理人批准后，承包人应依照有关法律、法规</w:t>
      </w:r>
      <w:r>
        <w:rPr>
          <w:spacing w:val="10"/>
          <w:sz w:val="20"/>
          <w:szCs w:val="20"/>
        </w:rPr>
        <w:t>、规章以及政府有关主管机</w:t>
      </w:r>
      <w:r>
        <w:rPr>
          <w:sz w:val="20"/>
          <w:szCs w:val="20"/>
        </w:rPr>
        <w:t xml:space="preserve"> </w:t>
      </w:r>
      <w:r>
        <w:rPr>
          <w:spacing w:val="10"/>
          <w:sz w:val="20"/>
          <w:szCs w:val="20"/>
        </w:rPr>
        <w:t>构制定的规范性文件等的规定，向有关机构</w:t>
      </w:r>
      <w:r>
        <w:rPr>
          <w:spacing w:val="9"/>
          <w:sz w:val="20"/>
          <w:szCs w:val="20"/>
        </w:rPr>
        <w:t>提出申请并获得相关许可。承包人应严格依</w:t>
      </w:r>
      <w:r>
        <w:rPr>
          <w:sz w:val="20"/>
          <w:szCs w:val="20"/>
        </w:rPr>
        <w:t xml:space="preserve"> </w:t>
      </w:r>
      <w:r>
        <w:rPr>
          <w:spacing w:val="10"/>
          <w:sz w:val="20"/>
          <w:szCs w:val="20"/>
        </w:rPr>
        <w:t>照上述规定使用、储藏、管理爆破物品或带炸药的工具等，并负责由于</w:t>
      </w:r>
      <w:r>
        <w:rPr>
          <w:spacing w:val="9"/>
          <w:sz w:val="20"/>
          <w:szCs w:val="20"/>
        </w:rPr>
        <w:t>这类物品的使用</w:t>
      </w:r>
      <w:r>
        <w:rPr>
          <w:sz w:val="20"/>
          <w:szCs w:val="20"/>
        </w:rPr>
        <w:t xml:space="preserve"> </w:t>
      </w:r>
      <w:r>
        <w:rPr>
          <w:spacing w:val="9"/>
          <w:sz w:val="20"/>
          <w:szCs w:val="20"/>
        </w:rPr>
        <w:t>可能引起的任何损失或损害的赔偿。任何情况下，承包人不得在已完永久性工程中和空</w:t>
      </w:r>
      <w:r>
        <w:rPr>
          <w:spacing w:val="18"/>
          <w:sz w:val="20"/>
          <w:szCs w:val="20"/>
        </w:rPr>
        <w:t xml:space="preserve"> </w:t>
      </w:r>
      <w:r>
        <w:rPr>
          <w:spacing w:val="8"/>
          <w:sz w:val="20"/>
          <w:szCs w:val="20"/>
        </w:rPr>
        <w:t>心砌体中使用爆破方法。</w:t>
      </w:r>
    </w:p>
    <w:p w14:paraId="2C801D81">
      <w:pPr>
        <w:pStyle w:val="2"/>
        <w:spacing w:before="57" w:line="298" w:lineRule="auto"/>
        <w:ind w:left="949" w:right="39" w:hanging="949"/>
        <w:rPr>
          <w:sz w:val="20"/>
          <w:szCs w:val="20"/>
        </w:rPr>
      </w:pPr>
      <w:r>
        <w:rPr>
          <w:spacing w:val="10"/>
          <w:sz w:val="20"/>
          <w:szCs w:val="20"/>
        </w:rPr>
        <w:t>6.1.15   基坑支护与降水工程、土方开挖工程、模板工程、起重吊装工</w:t>
      </w:r>
      <w:r>
        <w:rPr>
          <w:spacing w:val="9"/>
          <w:sz w:val="20"/>
          <w:szCs w:val="20"/>
        </w:rPr>
        <w:t>程、脚手架工程、拆除工</w:t>
      </w:r>
      <w:r>
        <w:rPr>
          <w:sz w:val="20"/>
          <w:szCs w:val="20"/>
        </w:rPr>
        <w:t xml:space="preserve"> </w:t>
      </w:r>
      <w:r>
        <w:rPr>
          <w:spacing w:val="10"/>
          <w:sz w:val="20"/>
          <w:szCs w:val="20"/>
        </w:rPr>
        <w:t>程和爆破工程等达到一定规模和危险性较大的分部分项工程，承包人应当编制专项施工</w:t>
      </w:r>
      <w:r>
        <w:rPr>
          <w:sz w:val="20"/>
          <w:szCs w:val="20"/>
        </w:rPr>
        <w:t xml:space="preserve"> </w:t>
      </w:r>
      <w:r>
        <w:rPr>
          <w:spacing w:val="10"/>
          <w:sz w:val="20"/>
          <w:szCs w:val="20"/>
        </w:rPr>
        <w:t>方案，其中深基坑、地下暗挖和高大模板工程的专项施工方案，还应组织专家进</w:t>
      </w:r>
      <w:r>
        <w:rPr>
          <w:spacing w:val="9"/>
          <w:sz w:val="20"/>
          <w:szCs w:val="20"/>
        </w:rPr>
        <w:t>行论证</w:t>
      </w:r>
      <w:r>
        <w:rPr>
          <w:sz w:val="20"/>
          <w:szCs w:val="20"/>
        </w:rPr>
        <w:t xml:space="preserve"> </w:t>
      </w:r>
      <w:r>
        <w:rPr>
          <w:spacing w:val="4"/>
          <w:sz w:val="20"/>
          <w:szCs w:val="20"/>
        </w:rPr>
        <w:t>和审查。</w:t>
      </w:r>
    </w:p>
    <w:p w14:paraId="54873AF5">
      <w:pPr>
        <w:pStyle w:val="2"/>
        <w:spacing w:before="148" w:line="310" w:lineRule="auto"/>
        <w:ind w:left="949" w:right="70" w:hanging="949"/>
        <w:rPr>
          <w:sz w:val="20"/>
          <w:szCs w:val="20"/>
        </w:rPr>
      </w:pPr>
      <w:r>
        <w:rPr>
          <w:spacing w:val="11"/>
          <w:sz w:val="20"/>
          <w:szCs w:val="20"/>
        </w:rPr>
        <w:t>6.1.16   承包人应按照通用合同条款第9.5款的约定处理本工程施工过程中发生的事故。发生施</w:t>
      </w:r>
      <w:r>
        <w:rPr>
          <w:sz w:val="20"/>
          <w:szCs w:val="20"/>
        </w:rPr>
        <w:t xml:space="preserve"> </w:t>
      </w:r>
      <w:r>
        <w:rPr>
          <w:spacing w:val="9"/>
          <w:sz w:val="20"/>
          <w:szCs w:val="20"/>
        </w:rPr>
        <w:t>工安全事故后，承包人必须立即报告监理人和发包人，并在事故发生后一小时</w:t>
      </w:r>
      <w:r>
        <w:rPr>
          <w:spacing w:val="8"/>
          <w:sz w:val="20"/>
          <w:szCs w:val="20"/>
        </w:rPr>
        <w:t>内向发包</w:t>
      </w:r>
      <w:r>
        <w:rPr>
          <w:sz w:val="20"/>
          <w:szCs w:val="20"/>
        </w:rPr>
        <w:t xml:space="preserve"> </w:t>
      </w:r>
      <w:r>
        <w:rPr>
          <w:spacing w:val="10"/>
          <w:sz w:val="20"/>
          <w:szCs w:val="20"/>
        </w:rPr>
        <w:t>人提交事故情况书面报告，并根据《生产安</w:t>
      </w:r>
      <w:r>
        <w:rPr>
          <w:spacing w:val="9"/>
          <w:sz w:val="20"/>
          <w:szCs w:val="20"/>
        </w:rPr>
        <w:t>全事故报告和调查处理条例》的规定，及时</w:t>
      </w:r>
      <w:r>
        <w:rPr>
          <w:sz w:val="20"/>
          <w:szCs w:val="20"/>
        </w:rPr>
        <w:t xml:space="preserve"> </w:t>
      </w:r>
      <w:r>
        <w:rPr>
          <w:spacing w:val="9"/>
          <w:sz w:val="20"/>
          <w:szCs w:val="20"/>
        </w:rPr>
        <w:t>向工程所在地县级以上地方人民政府安全生产监督管理部门和建设行政主管部门报告。</w:t>
      </w:r>
      <w:r>
        <w:rPr>
          <w:spacing w:val="17"/>
          <w:sz w:val="20"/>
          <w:szCs w:val="20"/>
        </w:rPr>
        <w:t xml:space="preserve"> </w:t>
      </w:r>
      <w:r>
        <w:rPr>
          <w:spacing w:val="10"/>
          <w:sz w:val="20"/>
          <w:szCs w:val="20"/>
        </w:rPr>
        <w:t>情况紧急时，事故现场有关人员可以直接向</w:t>
      </w:r>
      <w:r>
        <w:rPr>
          <w:spacing w:val="9"/>
          <w:sz w:val="20"/>
          <w:szCs w:val="20"/>
        </w:rPr>
        <w:t>工程所在地县级以上地方人民政府安全生产</w:t>
      </w:r>
    </w:p>
    <w:p w14:paraId="26286CFA">
      <w:pPr>
        <w:spacing w:line="310" w:lineRule="auto"/>
        <w:rPr>
          <w:sz w:val="20"/>
          <w:szCs w:val="20"/>
        </w:rPr>
        <w:sectPr>
          <w:footerReference r:id="rId329" w:type="default"/>
          <w:pgSz w:w="11910" w:h="16840"/>
          <w:pgMar w:top="400" w:right="1459" w:bottom="1147" w:left="1450" w:header="0" w:footer="1021" w:gutter="0"/>
          <w:cols w:space="720" w:num="1"/>
        </w:sectPr>
      </w:pPr>
    </w:p>
    <w:p w14:paraId="1C229FE4">
      <w:pPr>
        <w:spacing w:line="266" w:lineRule="auto"/>
        <w:rPr>
          <w:rFonts w:ascii="Arial"/>
          <w:sz w:val="21"/>
        </w:rPr>
      </w:pPr>
    </w:p>
    <w:p w14:paraId="189142AC">
      <w:pPr>
        <w:spacing w:line="266" w:lineRule="auto"/>
        <w:rPr>
          <w:rFonts w:ascii="Arial"/>
          <w:sz w:val="21"/>
        </w:rPr>
      </w:pPr>
    </w:p>
    <w:p w14:paraId="1EB49B78">
      <w:pPr>
        <w:spacing w:line="266" w:lineRule="auto"/>
        <w:rPr>
          <w:rFonts w:ascii="Arial"/>
          <w:sz w:val="21"/>
        </w:rPr>
      </w:pPr>
    </w:p>
    <w:p w14:paraId="139A66CA">
      <w:pPr>
        <w:spacing w:line="266" w:lineRule="auto"/>
        <w:rPr>
          <w:rFonts w:ascii="Arial"/>
          <w:sz w:val="21"/>
        </w:rPr>
      </w:pPr>
    </w:p>
    <w:p w14:paraId="517E762F">
      <w:pPr>
        <w:spacing w:line="266" w:lineRule="auto"/>
        <w:rPr>
          <w:rFonts w:ascii="Arial"/>
          <w:sz w:val="21"/>
        </w:rPr>
      </w:pPr>
    </w:p>
    <w:p w14:paraId="27EF1D39">
      <w:pPr>
        <w:pStyle w:val="2"/>
        <w:spacing w:before="68" w:line="218" w:lineRule="auto"/>
        <w:ind w:left="949"/>
        <w:rPr>
          <w:sz w:val="21"/>
          <w:szCs w:val="21"/>
        </w:rPr>
      </w:pPr>
      <w:r>
        <w:rPr>
          <w:spacing w:val="-1"/>
          <w:sz w:val="21"/>
          <w:szCs w:val="21"/>
        </w:rPr>
        <w:t>监督管理部门和建设行政主管部门报告。</w:t>
      </w:r>
    </w:p>
    <w:p w14:paraId="4F228B13">
      <w:pPr>
        <w:pStyle w:val="2"/>
        <w:spacing w:before="124" w:line="284" w:lineRule="auto"/>
        <w:ind w:left="949" w:right="65" w:hanging="949"/>
        <w:rPr>
          <w:sz w:val="21"/>
          <w:szCs w:val="21"/>
        </w:rPr>
      </w:pPr>
      <w:r>
        <w:rPr>
          <w:sz w:val="21"/>
          <w:szCs w:val="21"/>
        </w:rPr>
        <w:t>6.1.17   承包人还应根据有关法律、法规、规定和条例等的要求，制定一套安全生产</w:t>
      </w:r>
      <w:r>
        <w:rPr>
          <w:spacing w:val="-1"/>
          <w:sz w:val="21"/>
          <w:szCs w:val="21"/>
        </w:rPr>
        <w:t>应急措施和</w:t>
      </w:r>
      <w:r>
        <w:rPr>
          <w:sz w:val="21"/>
          <w:szCs w:val="21"/>
        </w:rPr>
        <w:t xml:space="preserve"> </w:t>
      </w:r>
      <w:r>
        <w:rPr>
          <w:spacing w:val="1"/>
          <w:sz w:val="21"/>
          <w:szCs w:val="21"/>
        </w:rPr>
        <w:t>程序，保证一旦出现任何安全事故，能立即保护好现场，抢救伤</w:t>
      </w:r>
      <w:r>
        <w:rPr>
          <w:sz w:val="21"/>
          <w:szCs w:val="21"/>
        </w:rPr>
        <w:t xml:space="preserve">员和财产，保证施工生 </w:t>
      </w:r>
      <w:r>
        <w:rPr>
          <w:spacing w:val="-3"/>
          <w:sz w:val="21"/>
          <w:szCs w:val="21"/>
        </w:rPr>
        <w:t>产的正常进行，防止损失扩大。</w:t>
      </w:r>
    </w:p>
    <w:p w14:paraId="4D666C3F">
      <w:pPr>
        <w:pStyle w:val="2"/>
        <w:spacing w:before="101" w:line="220" w:lineRule="auto"/>
        <w:rPr>
          <w:sz w:val="21"/>
          <w:szCs w:val="21"/>
        </w:rPr>
      </w:pPr>
      <w:r>
        <w:rPr>
          <w:spacing w:val="-1"/>
          <w:sz w:val="21"/>
          <w:szCs w:val="21"/>
        </w:rPr>
        <w:t>6.1.18   安全防护方面的其他要求如下：</w:t>
      </w:r>
    </w:p>
    <w:p w14:paraId="40B675B0">
      <w:pPr>
        <w:spacing w:line="281" w:lineRule="auto"/>
        <w:rPr>
          <w:rFonts w:ascii="Arial"/>
          <w:sz w:val="21"/>
        </w:rPr>
      </w:pPr>
    </w:p>
    <w:p w14:paraId="5D2B810C">
      <w:pPr>
        <w:spacing w:line="282" w:lineRule="auto"/>
        <w:rPr>
          <w:rFonts w:ascii="Arial"/>
          <w:sz w:val="21"/>
        </w:rPr>
      </w:pPr>
      <w:r>
        <w:drawing>
          <wp:anchor distT="0" distB="0" distL="0" distR="0" simplePos="0" relativeHeight="251751424" behindDoc="0" locked="0" layoutInCell="1" allowOverlap="1">
            <wp:simplePos x="0" y="0"/>
            <wp:positionH relativeFrom="column">
              <wp:posOffset>456565</wp:posOffset>
            </wp:positionH>
            <wp:positionV relativeFrom="paragraph">
              <wp:posOffset>86995</wp:posOffset>
            </wp:positionV>
            <wp:extent cx="4241800" cy="6350"/>
            <wp:effectExtent l="0" t="0" r="0" b="0"/>
            <wp:wrapNone/>
            <wp:docPr id="234" name="IM 234"/>
            <wp:cNvGraphicFramePr/>
            <a:graphic xmlns:a="http://schemas.openxmlformats.org/drawingml/2006/main">
              <a:graphicData uri="http://schemas.openxmlformats.org/drawingml/2006/picture">
                <pic:pic xmlns:pic="http://schemas.openxmlformats.org/drawingml/2006/picture">
                  <pic:nvPicPr>
                    <pic:cNvPr id="234" name="IM 234"/>
                    <pic:cNvPicPr/>
                  </pic:nvPicPr>
                  <pic:blipFill>
                    <a:blip r:embed="rId505"/>
                    <a:stretch>
                      <a:fillRect/>
                    </a:stretch>
                  </pic:blipFill>
                  <pic:spPr>
                    <a:xfrm>
                      <a:off x="0" y="0"/>
                      <a:ext cx="4241775" cy="6350"/>
                    </a:xfrm>
                    <a:prstGeom prst="rect">
                      <a:avLst/>
                    </a:prstGeom>
                  </pic:spPr>
                </pic:pic>
              </a:graphicData>
            </a:graphic>
          </wp:anchor>
        </w:drawing>
      </w:r>
    </w:p>
    <w:p w14:paraId="32B82B9E">
      <w:pPr>
        <w:spacing w:line="282" w:lineRule="auto"/>
        <w:rPr>
          <w:rFonts w:ascii="Arial"/>
          <w:sz w:val="21"/>
        </w:rPr>
      </w:pPr>
    </w:p>
    <w:p w14:paraId="62394A54">
      <w:pPr>
        <w:spacing w:line="68" w:lineRule="exact"/>
        <w:ind w:firstLine="739"/>
      </w:pPr>
      <w:r>
        <w:rPr>
          <w:position w:val="-1"/>
        </w:rPr>
        <w:drawing>
          <wp:inline distT="0" distB="0" distL="0" distR="0">
            <wp:extent cx="4272915" cy="43180"/>
            <wp:effectExtent l="0" t="0" r="0" b="0"/>
            <wp:docPr id="236" name="IM 236"/>
            <wp:cNvGraphicFramePr/>
            <a:graphic xmlns:a="http://schemas.openxmlformats.org/drawingml/2006/main">
              <a:graphicData uri="http://schemas.openxmlformats.org/drawingml/2006/picture">
                <pic:pic xmlns:pic="http://schemas.openxmlformats.org/drawingml/2006/picture">
                  <pic:nvPicPr>
                    <pic:cNvPr id="236" name="IM 236"/>
                    <pic:cNvPicPr/>
                  </pic:nvPicPr>
                  <pic:blipFill>
                    <a:blip r:embed="rId506"/>
                    <a:stretch>
                      <a:fillRect/>
                    </a:stretch>
                  </pic:blipFill>
                  <pic:spPr>
                    <a:xfrm>
                      <a:off x="0" y="0"/>
                      <a:ext cx="4273539" cy="43508"/>
                    </a:xfrm>
                    <a:prstGeom prst="rect">
                      <a:avLst/>
                    </a:prstGeom>
                  </pic:spPr>
                </pic:pic>
              </a:graphicData>
            </a:graphic>
          </wp:inline>
        </w:drawing>
      </w:r>
    </w:p>
    <w:p w14:paraId="27818953">
      <w:pPr>
        <w:pStyle w:val="2"/>
        <w:spacing w:before="267" w:line="219" w:lineRule="auto"/>
        <w:ind w:left="3"/>
        <w:rPr>
          <w:sz w:val="21"/>
          <w:szCs w:val="21"/>
        </w:rPr>
      </w:pPr>
      <w:r>
        <w:rPr>
          <w:b/>
          <w:bCs/>
          <w:spacing w:val="8"/>
          <w:sz w:val="21"/>
          <w:szCs w:val="21"/>
        </w:rPr>
        <w:t>6.2</w:t>
      </w:r>
      <w:r>
        <w:rPr>
          <w:spacing w:val="8"/>
          <w:sz w:val="21"/>
          <w:szCs w:val="21"/>
        </w:rPr>
        <w:t xml:space="preserve">      </w:t>
      </w:r>
      <w:r>
        <w:rPr>
          <w:b/>
          <w:bCs/>
          <w:spacing w:val="8"/>
          <w:sz w:val="21"/>
          <w:szCs w:val="21"/>
        </w:rPr>
        <w:t>临时消防</w:t>
      </w:r>
    </w:p>
    <w:p w14:paraId="79A2D392">
      <w:pPr>
        <w:pStyle w:val="2"/>
        <w:spacing w:before="191" w:line="309" w:lineRule="auto"/>
        <w:ind w:left="949" w:right="108" w:hanging="949"/>
        <w:rPr>
          <w:sz w:val="21"/>
          <w:szCs w:val="21"/>
        </w:rPr>
      </w:pPr>
      <w:r>
        <w:rPr>
          <w:sz w:val="21"/>
          <w:szCs w:val="21"/>
        </w:rPr>
        <w:t>6.2.1    承包人应建立消防安全责任制度，制定用火、用电和</w:t>
      </w:r>
      <w:r>
        <w:rPr>
          <w:spacing w:val="-1"/>
          <w:sz w:val="21"/>
          <w:szCs w:val="21"/>
        </w:rPr>
        <w:t>使用易燃易爆等危险品的消防安全</w:t>
      </w:r>
      <w:r>
        <w:rPr>
          <w:sz w:val="21"/>
          <w:szCs w:val="21"/>
        </w:rPr>
        <w:t xml:space="preserve"> 管理制度和操作规程。各项制度和规程等应满足相关</w:t>
      </w:r>
      <w:r>
        <w:rPr>
          <w:spacing w:val="-1"/>
          <w:sz w:val="21"/>
          <w:szCs w:val="21"/>
        </w:rPr>
        <w:t>法律法规和政府消防管理部门的要</w:t>
      </w:r>
      <w:r>
        <w:rPr>
          <w:sz w:val="21"/>
          <w:szCs w:val="21"/>
        </w:rPr>
        <w:t xml:space="preserve"> </w:t>
      </w:r>
      <w:r>
        <w:rPr>
          <w:spacing w:val="-4"/>
          <w:sz w:val="21"/>
          <w:szCs w:val="21"/>
        </w:rPr>
        <w:t>求。</w:t>
      </w:r>
    </w:p>
    <w:p w14:paraId="0B30D5EB">
      <w:pPr>
        <w:pStyle w:val="2"/>
        <w:spacing w:before="159" w:line="335" w:lineRule="auto"/>
        <w:ind w:left="949" w:hanging="949"/>
        <w:rPr>
          <w:sz w:val="21"/>
          <w:szCs w:val="21"/>
        </w:rPr>
      </w:pPr>
      <w:r>
        <w:rPr>
          <w:rFonts w:ascii="Times New Roman" w:hAnsi="Times New Roman" w:eastAsia="Times New Roman" w:cs="Times New Roman"/>
          <w:sz w:val="21"/>
          <w:szCs w:val="21"/>
        </w:rPr>
        <w:t xml:space="preserve">6.2.2          </w:t>
      </w:r>
      <w:r>
        <w:rPr>
          <w:sz w:val="21"/>
          <w:szCs w:val="21"/>
        </w:rPr>
        <w:t>承包人应根据相关法律法规和消防管理部门的要求，为施工中的永久工程和</w:t>
      </w:r>
      <w:r>
        <w:rPr>
          <w:spacing w:val="-1"/>
          <w:sz w:val="21"/>
          <w:szCs w:val="21"/>
        </w:rPr>
        <w:t>所有临时工</w:t>
      </w:r>
      <w:r>
        <w:rPr>
          <w:sz w:val="21"/>
          <w:szCs w:val="21"/>
        </w:rPr>
        <w:t xml:space="preserve">  </w:t>
      </w:r>
      <w:r>
        <w:rPr>
          <w:spacing w:val="-3"/>
          <w:sz w:val="21"/>
          <w:szCs w:val="21"/>
        </w:rPr>
        <w:t>程提供必要的临时消防和紧急疏散设施，包括提供并维持畅通的消防通道、临时消火栓、</w:t>
      </w:r>
      <w:r>
        <w:rPr>
          <w:spacing w:val="1"/>
          <w:sz w:val="21"/>
          <w:szCs w:val="21"/>
        </w:rPr>
        <w:t xml:space="preserve"> </w:t>
      </w:r>
      <w:r>
        <w:rPr>
          <w:spacing w:val="-3"/>
          <w:sz w:val="21"/>
          <w:szCs w:val="21"/>
        </w:rPr>
        <w:t>灭火器、水龙带、灭火桶、灭火铲、灭火斧、消防水管、阀门、检查井、临时消防水箱、</w:t>
      </w:r>
      <w:r>
        <w:rPr>
          <w:spacing w:val="1"/>
          <w:sz w:val="21"/>
          <w:szCs w:val="21"/>
        </w:rPr>
        <w:t xml:space="preserve"> </w:t>
      </w:r>
      <w:r>
        <w:rPr>
          <w:sz w:val="21"/>
          <w:szCs w:val="21"/>
        </w:rPr>
        <w:t>泵房和紧随工作面的临时疏散楼梯或疏散设施，消防设施的设</w:t>
      </w:r>
      <w:r>
        <w:rPr>
          <w:spacing w:val="-1"/>
          <w:sz w:val="21"/>
          <w:szCs w:val="21"/>
        </w:rPr>
        <w:t>立和消防设备的型号和功</w:t>
      </w:r>
      <w:r>
        <w:rPr>
          <w:sz w:val="21"/>
          <w:szCs w:val="21"/>
        </w:rPr>
        <w:t xml:space="preserve">  率应满足消防任务的需要，始终保持能够随时投入正常使用的状态，并设立明显标</w:t>
      </w:r>
      <w:r>
        <w:rPr>
          <w:spacing w:val="-1"/>
          <w:sz w:val="21"/>
          <w:szCs w:val="21"/>
        </w:rPr>
        <w:t>志。</w:t>
      </w:r>
      <w:r>
        <w:rPr>
          <w:sz w:val="21"/>
          <w:szCs w:val="21"/>
        </w:rPr>
        <w:t xml:space="preserve">  承包人的临时消防系统和配置应分别经过监理人和消防管理部门</w:t>
      </w:r>
      <w:r>
        <w:rPr>
          <w:spacing w:val="-1"/>
          <w:sz w:val="21"/>
          <w:szCs w:val="21"/>
        </w:rPr>
        <w:t>的审批和验收；承包人</w:t>
      </w:r>
      <w:r>
        <w:rPr>
          <w:sz w:val="21"/>
          <w:szCs w:val="21"/>
        </w:rPr>
        <w:t xml:space="preserve">  还应自费获得消防管理部门的临时消防证书。所有的临时消防设施</w:t>
      </w:r>
      <w:r>
        <w:rPr>
          <w:spacing w:val="-1"/>
          <w:sz w:val="21"/>
          <w:szCs w:val="21"/>
        </w:rPr>
        <w:t>属于承包人所有，至</w:t>
      </w:r>
      <w:r>
        <w:rPr>
          <w:sz w:val="21"/>
          <w:szCs w:val="21"/>
        </w:rPr>
        <w:t xml:space="preserve">  </w:t>
      </w:r>
      <w:r>
        <w:rPr>
          <w:spacing w:val="-2"/>
          <w:sz w:val="21"/>
          <w:szCs w:val="21"/>
        </w:rPr>
        <w:t>工程实际竣工时且永久性消防系统投入使用后从现场拆除。</w:t>
      </w:r>
    </w:p>
    <w:p w14:paraId="1EF81714">
      <w:pPr>
        <w:pStyle w:val="2"/>
        <w:spacing w:before="159" w:line="302" w:lineRule="auto"/>
        <w:ind w:left="949" w:right="103" w:hanging="949"/>
        <w:rPr>
          <w:sz w:val="21"/>
          <w:szCs w:val="21"/>
        </w:rPr>
      </w:pPr>
      <w:r>
        <w:rPr>
          <w:rFonts w:ascii="Times New Roman" w:hAnsi="Times New Roman" w:eastAsia="Times New Roman" w:cs="Times New Roman"/>
          <w:sz w:val="21"/>
          <w:szCs w:val="21"/>
        </w:rPr>
        <w:t xml:space="preserve">6.2.3          </w:t>
      </w:r>
      <w:r>
        <w:rPr>
          <w:sz w:val="21"/>
          <w:szCs w:val="21"/>
        </w:rPr>
        <w:t>承包人应当成立由项目主要负责人担任组长的临时消防组或消防队，宣传消</w:t>
      </w:r>
      <w:r>
        <w:rPr>
          <w:spacing w:val="-1"/>
          <w:sz w:val="21"/>
          <w:szCs w:val="21"/>
        </w:rPr>
        <w:t>防基本知识</w:t>
      </w:r>
      <w:r>
        <w:rPr>
          <w:sz w:val="21"/>
          <w:szCs w:val="21"/>
        </w:rPr>
        <w:t xml:space="preserve"> 和基本操作培训，组织消防演练，保证一旦发生火灾，能够组</w:t>
      </w:r>
      <w:r>
        <w:rPr>
          <w:spacing w:val="-1"/>
          <w:sz w:val="21"/>
          <w:szCs w:val="21"/>
        </w:rPr>
        <w:t>织有效的自救，保护生命</w:t>
      </w:r>
      <w:r>
        <w:rPr>
          <w:sz w:val="21"/>
          <w:szCs w:val="21"/>
        </w:rPr>
        <w:t xml:space="preserve"> </w:t>
      </w:r>
      <w:r>
        <w:rPr>
          <w:spacing w:val="-3"/>
          <w:sz w:val="21"/>
          <w:szCs w:val="21"/>
        </w:rPr>
        <w:t>和财产安全。</w:t>
      </w:r>
    </w:p>
    <w:p w14:paraId="1AD8F2A9">
      <w:pPr>
        <w:pStyle w:val="2"/>
        <w:spacing w:before="159" w:line="305" w:lineRule="auto"/>
        <w:ind w:left="949" w:right="19" w:hanging="949"/>
        <w:rPr>
          <w:sz w:val="21"/>
          <w:szCs w:val="21"/>
        </w:rPr>
      </w:pPr>
      <w:r>
        <w:rPr>
          <w:rFonts w:ascii="Times New Roman" w:hAnsi="Times New Roman" w:eastAsia="Times New Roman" w:cs="Times New Roman"/>
          <w:spacing w:val="-2"/>
          <w:sz w:val="21"/>
          <w:szCs w:val="21"/>
        </w:rPr>
        <w:t xml:space="preserve">6.2.4          </w:t>
      </w:r>
      <w:r>
        <w:rPr>
          <w:spacing w:val="-2"/>
          <w:sz w:val="21"/>
          <w:szCs w:val="21"/>
        </w:rPr>
        <w:t>施工场地(现场)内的易燃、易爆物品应单</w:t>
      </w:r>
      <w:r>
        <w:rPr>
          <w:spacing w:val="-3"/>
          <w:sz w:val="21"/>
          <w:szCs w:val="21"/>
        </w:rPr>
        <w:t>独和安全地存放，设专人进行存放和领用管理。</w:t>
      </w:r>
      <w:r>
        <w:rPr>
          <w:sz w:val="21"/>
          <w:szCs w:val="21"/>
        </w:rPr>
        <w:t xml:space="preserve"> 施工场地(现场)储有或正在使用易燃、易爆或可燃材料时或有明火</w:t>
      </w:r>
      <w:r>
        <w:rPr>
          <w:spacing w:val="-1"/>
          <w:sz w:val="21"/>
          <w:szCs w:val="21"/>
        </w:rPr>
        <w:t>施工的工序，应当实</w:t>
      </w:r>
      <w:r>
        <w:rPr>
          <w:sz w:val="21"/>
          <w:szCs w:val="21"/>
        </w:rPr>
        <w:t xml:space="preserve"> </w:t>
      </w:r>
      <w:r>
        <w:rPr>
          <w:spacing w:val="-3"/>
          <w:sz w:val="21"/>
          <w:szCs w:val="21"/>
        </w:rPr>
        <w:t>行严格的“用火证”管理制度。</w:t>
      </w:r>
    </w:p>
    <w:p w14:paraId="4BF37724">
      <w:pPr>
        <w:pStyle w:val="2"/>
        <w:spacing w:before="171" w:line="219" w:lineRule="auto"/>
        <w:rPr>
          <w:sz w:val="21"/>
          <w:szCs w:val="21"/>
        </w:rPr>
      </w:pPr>
      <w:r>
        <w:rPr>
          <w:spacing w:val="-1"/>
          <w:sz w:val="21"/>
          <w:szCs w:val="21"/>
        </w:rPr>
        <w:t>6.2.5</w:t>
      </w:r>
      <w:r>
        <w:rPr>
          <w:spacing w:val="34"/>
          <w:sz w:val="21"/>
          <w:szCs w:val="21"/>
        </w:rPr>
        <w:t xml:space="preserve">   </w:t>
      </w:r>
      <w:r>
        <w:rPr>
          <w:spacing w:val="-1"/>
          <w:sz w:val="21"/>
          <w:szCs w:val="21"/>
        </w:rPr>
        <w:t>临时消防方面的其他要求如下：</w:t>
      </w:r>
    </w:p>
    <w:p w14:paraId="4541D1DB">
      <w:pPr>
        <w:spacing w:line="449" w:lineRule="auto"/>
        <w:rPr>
          <w:rFonts w:ascii="Arial"/>
          <w:sz w:val="21"/>
        </w:rPr>
      </w:pPr>
    </w:p>
    <w:p w14:paraId="2CEFFA8F">
      <w:pPr>
        <w:spacing w:line="490" w:lineRule="exact"/>
        <w:ind w:firstLine="719"/>
      </w:pPr>
      <w:r>
        <w:rPr>
          <w:position w:val="-9"/>
        </w:rPr>
        <w:drawing>
          <wp:inline distT="0" distB="0" distL="0" distR="0">
            <wp:extent cx="4241165" cy="311150"/>
            <wp:effectExtent l="0" t="0" r="0" b="0"/>
            <wp:docPr id="238" name="IM 238"/>
            <wp:cNvGraphicFramePr/>
            <a:graphic xmlns:a="http://schemas.openxmlformats.org/drawingml/2006/main">
              <a:graphicData uri="http://schemas.openxmlformats.org/drawingml/2006/picture">
                <pic:pic xmlns:pic="http://schemas.openxmlformats.org/drawingml/2006/picture">
                  <pic:nvPicPr>
                    <pic:cNvPr id="238" name="IM 238"/>
                    <pic:cNvPicPr/>
                  </pic:nvPicPr>
                  <pic:blipFill>
                    <a:blip r:embed="rId507"/>
                    <a:stretch>
                      <a:fillRect/>
                    </a:stretch>
                  </pic:blipFill>
                  <pic:spPr>
                    <a:xfrm>
                      <a:off x="0" y="0"/>
                      <a:ext cx="4241775" cy="311177"/>
                    </a:xfrm>
                    <a:prstGeom prst="rect">
                      <a:avLst/>
                    </a:prstGeom>
                  </pic:spPr>
                </pic:pic>
              </a:graphicData>
            </a:graphic>
          </wp:inline>
        </w:drawing>
      </w:r>
    </w:p>
    <w:p w14:paraId="00D4729B">
      <w:pPr>
        <w:pStyle w:val="2"/>
        <w:spacing w:before="245" w:line="219" w:lineRule="auto"/>
        <w:ind w:left="3"/>
        <w:rPr>
          <w:sz w:val="21"/>
          <w:szCs w:val="21"/>
        </w:rPr>
      </w:pPr>
      <w:r>
        <w:rPr>
          <w:b/>
          <w:bCs/>
          <w:spacing w:val="10"/>
          <w:sz w:val="21"/>
          <w:szCs w:val="21"/>
        </w:rPr>
        <w:t>6.3</w:t>
      </w:r>
      <w:r>
        <w:rPr>
          <w:spacing w:val="7"/>
          <w:sz w:val="21"/>
          <w:szCs w:val="21"/>
        </w:rPr>
        <w:t xml:space="preserve">       </w:t>
      </w:r>
      <w:r>
        <w:rPr>
          <w:b/>
          <w:bCs/>
          <w:spacing w:val="10"/>
          <w:sz w:val="21"/>
          <w:szCs w:val="21"/>
        </w:rPr>
        <w:t>临时供电</w:t>
      </w:r>
    </w:p>
    <w:p w14:paraId="7B9848D4">
      <w:pPr>
        <w:pStyle w:val="2"/>
        <w:spacing w:before="180" w:line="352" w:lineRule="auto"/>
        <w:ind w:left="949" w:right="113" w:hanging="949"/>
        <w:rPr>
          <w:sz w:val="21"/>
          <w:szCs w:val="21"/>
        </w:rPr>
      </w:pPr>
      <w:r>
        <w:rPr>
          <w:rFonts w:ascii="Times New Roman" w:hAnsi="Times New Roman" w:eastAsia="Times New Roman" w:cs="Times New Roman"/>
          <w:sz w:val="21"/>
          <w:szCs w:val="21"/>
        </w:rPr>
        <w:t xml:space="preserve">6.3.1          </w:t>
      </w:r>
      <w:r>
        <w:rPr>
          <w:sz w:val="21"/>
          <w:szCs w:val="21"/>
        </w:rPr>
        <w:t>承包人应当根据《施工现场临时用电安全技术规范》</w:t>
      </w:r>
      <w:r>
        <w:rPr>
          <w:rFonts w:ascii="Times New Roman" w:hAnsi="Times New Roman" w:eastAsia="Times New Roman" w:cs="Times New Roman"/>
          <w:sz w:val="21"/>
          <w:szCs w:val="21"/>
        </w:rPr>
        <w:t>(JGJ</w:t>
      </w:r>
      <w:r>
        <w:rPr>
          <w:rFonts w:ascii="Times New Roman" w:hAnsi="Times New Roman" w:eastAsia="Times New Roman" w:cs="Times New Roman"/>
          <w:spacing w:val="26"/>
          <w:sz w:val="21"/>
          <w:szCs w:val="21"/>
        </w:rPr>
        <w:t xml:space="preserve">  </w:t>
      </w:r>
      <w:r>
        <w:rPr>
          <w:rFonts w:ascii="Times New Roman" w:hAnsi="Times New Roman" w:eastAsia="Times New Roman" w:cs="Times New Roman"/>
          <w:sz w:val="21"/>
          <w:szCs w:val="21"/>
        </w:rPr>
        <w:t>46—2005)</w:t>
      </w:r>
      <w:r>
        <w:rPr>
          <w:sz w:val="21"/>
          <w:szCs w:val="21"/>
        </w:rPr>
        <w:t xml:space="preserve">及其适用的修订版 </w:t>
      </w:r>
      <w:r>
        <w:rPr>
          <w:spacing w:val="-1"/>
          <w:sz w:val="21"/>
          <w:szCs w:val="21"/>
        </w:rPr>
        <w:t>本的规定和施工要求编制施工临时用电方案。临时用电方案及其变更必须履行“编制、</w:t>
      </w:r>
      <w:r>
        <w:rPr>
          <w:spacing w:val="18"/>
          <w:sz w:val="21"/>
          <w:szCs w:val="21"/>
        </w:rPr>
        <w:t xml:space="preserve"> </w:t>
      </w:r>
      <w:r>
        <w:rPr>
          <w:spacing w:val="-1"/>
          <w:sz w:val="21"/>
          <w:szCs w:val="21"/>
        </w:rPr>
        <w:t>审核、批准”程序。施工临时用电方案应当由电气工程技术人员组织编制，经企业技术</w:t>
      </w:r>
    </w:p>
    <w:p w14:paraId="729F25F8">
      <w:pPr>
        <w:spacing w:line="352" w:lineRule="auto"/>
        <w:rPr>
          <w:sz w:val="21"/>
          <w:szCs w:val="21"/>
        </w:rPr>
        <w:sectPr>
          <w:footerReference r:id="rId330" w:type="default"/>
          <w:pgSz w:w="11910" w:h="16840"/>
          <w:pgMar w:top="400" w:right="1434" w:bottom="1147" w:left="1450" w:header="0" w:footer="1021" w:gutter="0"/>
          <w:cols w:space="720" w:num="1"/>
        </w:sectPr>
      </w:pPr>
    </w:p>
    <w:p w14:paraId="6AC81F10">
      <w:pPr>
        <w:spacing w:line="270" w:lineRule="auto"/>
        <w:rPr>
          <w:rFonts w:ascii="Arial"/>
          <w:sz w:val="21"/>
        </w:rPr>
      </w:pPr>
    </w:p>
    <w:p w14:paraId="508EA1C4">
      <w:pPr>
        <w:spacing w:line="270" w:lineRule="auto"/>
        <w:rPr>
          <w:rFonts w:ascii="Arial"/>
          <w:sz w:val="21"/>
        </w:rPr>
      </w:pPr>
    </w:p>
    <w:p w14:paraId="1C855407">
      <w:pPr>
        <w:spacing w:line="270" w:lineRule="auto"/>
        <w:rPr>
          <w:rFonts w:ascii="Arial"/>
          <w:sz w:val="21"/>
        </w:rPr>
      </w:pPr>
    </w:p>
    <w:p w14:paraId="0B486948">
      <w:pPr>
        <w:spacing w:line="271" w:lineRule="auto"/>
        <w:rPr>
          <w:rFonts w:ascii="Arial"/>
          <w:sz w:val="21"/>
        </w:rPr>
      </w:pPr>
    </w:p>
    <w:p w14:paraId="64D43212">
      <w:pPr>
        <w:spacing w:line="271" w:lineRule="auto"/>
        <w:rPr>
          <w:rFonts w:ascii="Arial"/>
          <w:sz w:val="21"/>
        </w:rPr>
      </w:pPr>
    </w:p>
    <w:p w14:paraId="3CF036A7">
      <w:pPr>
        <w:pStyle w:val="2"/>
        <w:spacing w:before="68" w:line="219" w:lineRule="auto"/>
        <w:jc w:val="right"/>
        <w:rPr>
          <w:sz w:val="21"/>
          <w:szCs w:val="21"/>
        </w:rPr>
      </w:pPr>
      <w:r>
        <w:rPr>
          <w:spacing w:val="-3"/>
          <w:sz w:val="21"/>
          <w:szCs w:val="21"/>
        </w:rPr>
        <w:t>负责人批准后实施，经编制、审核、批准部门和使用单位共同验收合</w:t>
      </w:r>
      <w:r>
        <w:rPr>
          <w:spacing w:val="-4"/>
          <w:sz w:val="21"/>
          <w:szCs w:val="21"/>
        </w:rPr>
        <w:t>格后方可投入使用。</w:t>
      </w:r>
    </w:p>
    <w:p w14:paraId="48D3A21E">
      <w:pPr>
        <w:pStyle w:val="2"/>
        <w:spacing w:before="125" w:line="306" w:lineRule="auto"/>
        <w:ind w:left="949" w:right="88" w:hanging="949"/>
        <w:rPr>
          <w:sz w:val="21"/>
          <w:szCs w:val="21"/>
        </w:rPr>
      </w:pPr>
      <w:r>
        <w:rPr>
          <w:rFonts w:ascii="Times New Roman" w:hAnsi="Times New Roman" w:eastAsia="Times New Roman" w:cs="Times New Roman"/>
          <w:spacing w:val="2"/>
          <w:sz w:val="21"/>
          <w:szCs w:val="21"/>
        </w:rPr>
        <w:t xml:space="preserve">6.3.2          </w:t>
      </w:r>
      <w:r>
        <w:rPr>
          <w:spacing w:val="2"/>
          <w:sz w:val="21"/>
          <w:szCs w:val="21"/>
        </w:rPr>
        <w:t>承包人应为施工场地(现场),包括为工程楼层或者各区域，提供、设立和维护必</w:t>
      </w:r>
      <w:r>
        <w:rPr>
          <w:spacing w:val="1"/>
          <w:sz w:val="21"/>
          <w:szCs w:val="21"/>
        </w:rPr>
        <w:t>要的临</w:t>
      </w:r>
      <w:r>
        <w:rPr>
          <w:sz w:val="21"/>
          <w:szCs w:val="21"/>
        </w:rPr>
        <w:t xml:space="preserve"> </w:t>
      </w:r>
      <w:r>
        <w:rPr>
          <w:spacing w:val="-1"/>
          <w:sz w:val="21"/>
          <w:szCs w:val="21"/>
        </w:rPr>
        <w:t>时电力供应系统，并保证电力供应系统始终处于满足供电管理部门要求和正常施工生产</w:t>
      </w:r>
      <w:r>
        <w:rPr>
          <w:spacing w:val="18"/>
          <w:sz w:val="21"/>
          <w:szCs w:val="21"/>
        </w:rPr>
        <w:t xml:space="preserve"> </w:t>
      </w:r>
      <w:r>
        <w:rPr>
          <w:sz w:val="21"/>
          <w:szCs w:val="21"/>
        </w:rPr>
        <w:t>所要求的状态，并在工程实际竣工和相应永久系统投入使用后</w:t>
      </w:r>
      <w:r>
        <w:rPr>
          <w:spacing w:val="-1"/>
          <w:sz w:val="21"/>
          <w:szCs w:val="21"/>
        </w:rPr>
        <w:t>从现场拆除。</w:t>
      </w:r>
    </w:p>
    <w:p w14:paraId="03E5BF29">
      <w:pPr>
        <w:pStyle w:val="2"/>
        <w:spacing w:before="122" w:line="322" w:lineRule="auto"/>
        <w:ind w:left="949" w:hanging="949"/>
        <w:rPr>
          <w:sz w:val="21"/>
          <w:szCs w:val="21"/>
        </w:rPr>
      </w:pPr>
      <w:r>
        <w:rPr>
          <w:sz w:val="21"/>
          <w:szCs w:val="21"/>
        </w:rPr>
        <w:t>6.3.3    临时供电系统的电缆、电线、配电箱、控制柜、开关箱、漏电保护器等材料设备均应当</w:t>
      </w:r>
      <w:r>
        <w:rPr>
          <w:spacing w:val="14"/>
          <w:sz w:val="21"/>
          <w:szCs w:val="21"/>
        </w:rPr>
        <w:t xml:space="preserve"> </w:t>
      </w:r>
      <w:r>
        <w:rPr>
          <w:spacing w:val="-3"/>
          <w:sz w:val="21"/>
          <w:szCs w:val="21"/>
        </w:rPr>
        <w:t>具有生产(制造)许可证、产品合格证并经过检验合格的产品。临时用电采用</w:t>
      </w:r>
      <w:r>
        <w:rPr>
          <w:spacing w:val="-4"/>
          <w:sz w:val="21"/>
          <w:szCs w:val="21"/>
        </w:rPr>
        <w:t>三相五线制、</w:t>
      </w:r>
      <w:r>
        <w:rPr>
          <w:sz w:val="21"/>
          <w:szCs w:val="21"/>
        </w:rPr>
        <w:t xml:space="preserve"> 三级配电和两极漏电保护供电，三相四线制配电的电缆线路必须</w:t>
      </w:r>
      <w:r>
        <w:rPr>
          <w:spacing w:val="-1"/>
          <w:sz w:val="21"/>
          <w:szCs w:val="21"/>
        </w:rPr>
        <w:t>采用五芯电缆，按规定</w:t>
      </w:r>
      <w:r>
        <w:rPr>
          <w:sz w:val="21"/>
          <w:szCs w:val="21"/>
        </w:rPr>
        <w:t xml:space="preserve">  设立零线和接地线。电缆和电线的铺设要符合安全用电标</w:t>
      </w:r>
      <w:r>
        <w:rPr>
          <w:spacing w:val="-1"/>
          <w:sz w:val="21"/>
          <w:szCs w:val="21"/>
        </w:rPr>
        <w:t>准要求，电缆线路应采用埋地</w:t>
      </w:r>
      <w:r>
        <w:rPr>
          <w:sz w:val="21"/>
          <w:szCs w:val="21"/>
        </w:rPr>
        <w:t xml:space="preserve">  或架空敷设，严禁地面明设，并应避免机械损伤和介质腐蚀</w:t>
      </w:r>
      <w:r>
        <w:rPr>
          <w:spacing w:val="-1"/>
          <w:sz w:val="21"/>
          <w:szCs w:val="21"/>
        </w:rPr>
        <w:t>。埋地电缆路径应设方位标</w:t>
      </w:r>
      <w:r>
        <w:rPr>
          <w:sz w:val="21"/>
          <w:szCs w:val="21"/>
        </w:rPr>
        <w:t xml:space="preserve">  </w:t>
      </w:r>
      <w:r>
        <w:rPr>
          <w:spacing w:val="-1"/>
          <w:sz w:val="21"/>
          <w:szCs w:val="21"/>
        </w:rPr>
        <w:t>志。各种配电设备均设有防止漏电和防雨防水设施。</w:t>
      </w:r>
    </w:p>
    <w:p w14:paraId="4327D02F">
      <w:pPr>
        <w:pStyle w:val="2"/>
        <w:spacing w:before="161" w:line="301" w:lineRule="auto"/>
        <w:ind w:left="949" w:right="61" w:hanging="949"/>
        <w:rPr>
          <w:sz w:val="21"/>
          <w:szCs w:val="21"/>
        </w:rPr>
      </w:pPr>
      <w:r>
        <w:rPr>
          <w:rFonts w:ascii="Times New Roman" w:hAnsi="Times New Roman" w:eastAsia="Times New Roman" w:cs="Times New Roman"/>
          <w:spacing w:val="1"/>
          <w:sz w:val="21"/>
          <w:szCs w:val="21"/>
        </w:rPr>
        <w:t xml:space="preserve">6.3.4          </w:t>
      </w:r>
      <w:r>
        <w:rPr>
          <w:spacing w:val="1"/>
          <w:sz w:val="21"/>
          <w:szCs w:val="21"/>
        </w:rPr>
        <w:t>承包人应在施工作业区、施</w:t>
      </w:r>
      <w:r>
        <w:rPr>
          <w:sz w:val="21"/>
          <w:szCs w:val="21"/>
        </w:rPr>
        <w:t xml:space="preserve">工道路、临时设施、办公区和生活区设置足够的照明，地下 </w:t>
      </w:r>
      <w:r>
        <w:rPr>
          <w:spacing w:val="2"/>
          <w:sz w:val="21"/>
          <w:szCs w:val="21"/>
        </w:rPr>
        <w:t>工程照明系统的电压不得高于36</w:t>
      </w:r>
      <w:r>
        <w:rPr>
          <w:rFonts w:ascii="Times New Roman" w:hAnsi="Times New Roman" w:eastAsia="Times New Roman" w:cs="Times New Roman"/>
          <w:spacing w:val="2"/>
          <w:sz w:val="21"/>
          <w:szCs w:val="21"/>
        </w:rPr>
        <w:t xml:space="preserve">V,  </w:t>
      </w:r>
      <w:r>
        <w:rPr>
          <w:spacing w:val="2"/>
          <w:sz w:val="21"/>
          <w:szCs w:val="21"/>
        </w:rPr>
        <w:t>在潮湿和易触及带电体场所的照明供电电压不应大</w:t>
      </w:r>
      <w:r>
        <w:rPr>
          <w:spacing w:val="17"/>
          <w:sz w:val="21"/>
          <w:szCs w:val="21"/>
        </w:rPr>
        <w:t xml:space="preserve"> </w:t>
      </w:r>
      <w:r>
        <w:rPr>
          <w:sz w:val="21"/>
          <w:szCs w:val="21"/>
        </w:rPr>
        <w:t>于24</w:t>
      </w:r>
      <w:r>
        <w:rPr>
          <w:rFonts w:ascii="Times New Roman" w:hAnsi="Times New Roman" w:eastAsia="Times New Roman" w:cs="Times New Roman"/>
          <w:sz w:val="21"/>
          <w:szCs w:val="21"/>
        </w:rPr>
        <w:t>V</w:t>
      </w:r>
      <w:r>
        <w:rPr>
          <w:sz w:val="21"/>
          <w:szCs w:val="21"/>
        </w:rPr>
        <w:t>。不便于使用电器照明的工作面应采</w:t>
      </w:r>
      <w:r>
        <w:rPr>
          <w:spacing w:val="-1"/>
          <w:sz w:val="21"/>
          <w:szCs w:val="21"/>
        </w:rPr>
        <w:t>用特殊照明设施。</w:t>
      </w:r>
    </w:p>
    <w:p w14:paraId="64BE3B48">
      <w:pPr>
        <w:pStyle w:val="2"/>
        <w:spacing w:before="142" w:line="276" w:lineRule="auto"/>
        <w:ind w:left="949" w:right="87" w:hanging="949"/>
        <w:rPr>
          <w:sz w:val="21"/>
          <w:szCs w:val="21"/>
        </w:rPr>
      </w:pPr>
      <w:r>
        <w:rPr>
          <w:sz w:val="21"/>
          <w:szCs w:val="21"/>
        </w:rPr>
        <w:t>6.3.5    凡可能漏电伤人或易受雷击的电器及建筑物均应设置接地和避雷装置。承包人应负责避</w:t>
      </w:r>
      <w:r>
        <w:rPr>
          <w:spacing w:val="1"/>
          <w:sz w:val="21"/>
          <w:szCs w:val="21"/>
        </w:rPr>
        <w:t xml:space="preserve"> </w:t>
      </w:r>
      <w:r>
        <w:rPr>
          <w:spacing w:val="-1"/>
          <w:sz w:val="21"/>
          <w:szCs w:val="21"/>
        </w:rPr>
        <w:t>雷装置的采购、安装、管理和维修，并建立定期检查制度。</w:t>
      </w:r>
    </w:p>
    <w:p w14:paraId="105BE5C8">
      <w:pPr>
        <w:pStyle w:val="2"/>
        <w:spacing w:before="142" w:line="219" w:lineRule="auto"/>
        <w:rPr>
          <w:sz w:val="21"/>
          <w:szCs w:val="21"/>
        </w:rPr>
      </w:pPr>
      <w:r>
        <w:rPr>
          <w:sz w:val="21"/>
          <w:szCs w:val="21"/>
        </w:rPr>
        <w:t>6.3.6</w:t>
      </w:r>
      <w:r>
        <w:rPr>
          <w:spacing w:val="31"/>
          <w:sz w:val="21"/>
          <w:szCs w:val="21"/>
        </w:rPr>
        <w:t xml:space="preserve">   </w:t>
      </w:r>
      <w:r>
        <w:rPr>
          <w:sz w:val="21"/>
          <w:szCs w:val="21"/>
        </w:rPr>
        <w:t>临时用电方面的其他要求如下：</w:t>
      </w:r>
    </w:p>
    <w:p w14:paraId="425E9917">
      <w:pPr>
        <w:tabs>
          <w:tab w:val="left" w:pos="7610"/>
        </w:tabs>
        <w:spacing w:before="170"/>
        <w:ind w:left="929"/>
        <w:rPr>
          <w:rFonts w:ascii="Arial"/>
          <w:sz w:val="21"/>
        </w:rPr>
      </w:pPr>
      <w:r>
        <w:rPr>
          <w:rFonts w:ascii="Arial" w:hAnsi="Arial" w:eastAsia="Arial" w:cs="Arial"/>
          <w:sz w:val="21"/>
          <w:szCs w:val="21"/>
          <w:u w:val="single" w:color="auto"/>
        </w:rPr>
        <w:tab/>
      </w:r>
    </w:p>
    <w:p w14:paraId="69E594C2">
      <w:pPr>
        <w:tabs>
          <w:tab w:val="left" w:pos="7579"/>
        </w:tabs>
        <w:spacing w:before="250" w:line="156" w:lineRule="auto"/>
        <w:ind w:left="949"/>
        <w:rPr>
          <w:rFonts w:ascii="Arial" w:hAnsi="Arial" w:eastAsia="Arial" w:cs="Arial"/>
          <w:sz w:val="11"/>
          <w:szCs w:val="11"/>
        </w:rPr>
      </w:pPr>
      <w:r>
        <w:rPr>
          <w:rFonts w:ascii="Arial" w:hAnsi="Arial" w:eastAsia="Arial" w:cs="Arial"/>
          <w:sz w:val="11"/>
          <w:szCs w:val="11"/>
          <w:u w:val="single" w:color="auto"/>
        </w:rPr>
        <w:tab/>
      </w:r>
      <w:r>
        <w:rPr>
          <w:rFonts w:ascii="Arial" w:hAnsi="Arial" w:eastAsia="Arial" w:cs="Arial"/>
          <w:sz w:val="11"/>
          <w:szCs w:val="11"/>
        </w:rPr>
        <w:t xml:space="preserve"> o</w:t>
      </w:r>
    </w:p>
    <w:p w14:paraId="734E2434">
      <w:pPr>
        <w:spacing w:before="192" w:line="222" w:lineRule="auto"/>
        <w:rPr>
          <w:rFonts w:ascii="黑体" w:hAnsi="黑体" w:eastAsia="黑体" w:cs="黑体"/>
          <w:sz w:val="21"/>
          <w:szCs w:val="21"/>
        </w:rPr>
      </w:pPr>
      <w:r>
        <w:rPr>
          <w:rFonts w:ascii="Times New Roman" w:hAnsi="Times New Roman" w:eastAsia="Times New Roman" w:cs="Times New Roman"/>
          <w:b/>
          <w:bCs/>
          <w:spacing w:val="9"/>
          <w:sz w:val="21"/>
          <w:szCs w:val="21"/>
        </w:rPr>
        <w:t xml:space="preserve">6.4            </w:t>
      </w:r>
      <w:r>
        <w:rPr>
          <w:rFonts w:ascii="黑体" w:hAnsi="黑体" w:eastAsia="黑体" w:cs="黑体"/>
          <w:b/>
          <w:bCs/>
          <w:spacing w:val="9"/>
          <w:sz w:val="21"/>
          <w:szCs w:val="21"/>
        </w:rPr>
        <w:t>劳动保护</w:t>
      </w:r>
    </w:p>
    <w:p w14:paraId="2610460D">
      <w:pPr>
        <w:pStyle w:val="2"/>
        <w:spacing w:before="144" w:line="322" w:lineRule="auto"/>
        <w:ind w:left="949" w:right="30" w:hanging="949"/>
        <w:rPr>
          <w:sz w:val="21"/>
          <w:szCs w:val="21"/>
        </w:rPr>
      </w:pPr>
      <w:r>
        <w:rPr>
          <w:rFonts w:ascii="Times New Roman" w:hAnsi="Times New Roman" w:eastAsia="Times New Roman" w:cs="Times New Roman"/>
          <w:sz w:val="21"/>
          <w:szCs w:val="21"/>
        </w:rPr>
        <w:t xml:space="preserve">6.4.1          </w:t>
      </w:r>
      <w:r>
        <w:rPr>
          <w:sz w:val="21"/>
          <w:szCs w:val="21"/>
        </w:rPr>
        <w:t>承包人应遵守所有适用于本合同的劳动法规及其他有关法律、法规、规章和</w:t>
      </w:r>
      <w:r>
        <w:rPr>
          <w:spacing w:val="-1"/>
          <w:sz w:val="21"/>
          <w:szCs w:val="21"/>
        </w:rPr>
        <w:t>规定中关于</w:t>
      </w:r>
      <w:r>
        <w:rPr>
          <w:sz w:val="21"/>
          <w:szCs w:val="21"/>
        </w:rPr>
        <w:t xml:space="preserve"> </w:t>
      </w:r>
      <w:r>
        <w:rPr>
          <w:spacing w:val="-4"/>
          <w:sz w:val="21"/>
          <w:szCs w:val="21"/>
        </w:rPr>
        <w:t>工人工资标准、劳动时间和劳动条件的规定，合理安排现场作业人员的劳动和休息时间，</w:t>
      </w:r>
      <w:r>
        <w:rPr>
          <w:sz w:val="21"/>
          <w:szCs w:val="21"/>
        </w:rPr>
        <w:t xml:space="preserve"> 保障劳动者必须的休息时间，支付合理的报酬和费用。承包人</w:t>
      </w:r>
      <w:r>
        <w:rPr>
          <w:spacing w:val="-1"/>
          <w:sz w:val="21"/>
          <w:szCs w:val="21"/>
        </w:rPr>
        <w:t>应按有关行政管理部门的</w:t>
      </w:r>
      <w:r>
        <w:rPr>
          <w:sz w:val="21"/>
          <w:szCs w:val="21"/>
        </w:rPr>
        <w:t xml:space="preserve"> 规定为本合同下雇佣的职员和工人办理任何必要的证件、许可</w:t>
      </w:r>
      <w:r>
        <w:rPr>
          <w:spacing w:val="-1"/>
          <w:sz w:val="21"/>
          <w:szCs w:val="21"/>
        </w:rPr>
        <w:t>、保险和注册等，并保障</w:t>
      </w:r>
      <w:r>
        <w:rPr>
          <w:sz w:val="21"/>
          <w:szCs w:val="21"/>
        </w:rPr>
        <w:t xml:space="preserve"> 发包人免于因承包人不能依照或完全依照上述所有法律、</w:t>
      </w:r>
      <w:r>
        <w:rPr>
          <w:spacing w:val="-1"/>
          <w:sz w:val="21"/>
          <w:szCs w:val="21"/>
        </w:rPr>
        <w:t>法规、规章和规定等可能给发</w:t>
      </w:r>
      <w:r>
        <w:rPr>
          <w:sz w:val="21"/>
          <w:szCs w:val="21"/>
        </w:rPr>
        <w:t xml:space="preserve"> </w:t>
      </w:r>
      <w:r>
        <w:rPr>
          <w:spacing w:val="-1"/>
          <w:sz w:val="21"/>
          <w:szCs w:val="21"/>
        </w:rPr>
        <w:t>包人带来的任何处罚、索赔、损失和损害等。</w:t>
      </w:r>
    </w:p>
    <w:p w14:paraId="08B7D800">
      <w:pPr>
        <w:pStyle w:val="2"/>
        <w:spacing w:before="141" w:line="301" w:lineRule="auto"/>
        <w:ind w:left="949" w:hanging="949"/>
        <w:rPr>
          <w:sz w:val="21"/>
          <w:szCs w:val="21"/>
        </w:rPr>
      </w:pPr>
      <w:r>
        <w:rPr>
          <w:rFonts w:ascii="Times New Roman" w:hAnsi="Times New Roman" w:eastAsia="Times New Roman" w:cs="Times New Roman"/>
          <w:spacing w:val="1"/>
          <w:sz w:val="21"/>
          <w:szCs w:val="21"/>
        </w:rPr>
        <w:t xml:space="preserve">6.4.2          </w:t>
      </w:r>
      <w:r>
        <w:rPr>
          <w:spacing w:val="1"/>
          <w:sz w:val="21"/>
          <w:szCs w:val="21"/>
        </w:rPr>
        <w:t>承包人应按照国家《</w:t>
      </w:r>
      <w:r>
        <w:rPr>
          <w:sz w:val="21"/>
          <w:szCs w:val="21"/>
        </w:rPr>
        <w:t xml:space="preserve">劳动保护法》的规定，保障现场施工人员的劳动安全。承包人应为 </w:t>
      </w:r>
      <w:r>
        <w:rPr>
          <w:spacing w:val="-3"/>
          <w:sz w:val="21"/>
          <w:szCs w:val="21"/>
        </w:rPr>
        <w:t>本合同下雇佣的职员和工人提供适当和充分的劳动保护，包括但不限</w:t>
      </w:r>
      <w:r>
        <w:rPr>
          <w:spacing w:val="-4"/>
          <w:sz w:val="21"/>
          <w:szCs w:val="21"/>
        </w:rPr>
        <w:t>于安全防护、防寒、</w:t>
      </w:r>
      <w:r>
        <w:rPr>
          <w:sz w:val="21"/>
          <w:szCs w:val="21"/>
        </w:rPr>
        <w:t xml:space="preserve"> </w:t>
      </w:r>
      <w:r>
        <w:rPr>
          <w:spacing w:val="-1"/>
          <w:sz w:val="21"/>
          <w:szCs w:val="21"/>
        </w:rPr>
        <w:t>防雨、防尘、绝缘保护、常用药品、急救设备、传染病预防等。</w:t>
      </w:r>
    </w:p>
    <w:p w14:paraId="47ADF626">
      <w:pPr>
        <w:pStyle w:val="2"/>
        <w:spacing w:before="121" w:line="312" w:lineRule="auto"/>
        <w:ind w:left="949" w:right="63" w:hanging="949"/>
        <w:rPr>
          <w:sz w:val="21"/>
          <w:szCs w:val="21"/>
        </w:rPr>
      </w:pPr>
      <w:r>
        <w:rPr>
          <w:spacing w:val="4"/>
          <w:sz w:val="21"/>
          <w:szCs w:val="21"/>
        </w:rPr>
        <w:t>6.4.3    承包人应为其履行本合同所雇佣的职员和工人提供和维护任何必要的膳宿条件和生活</w:t>
      </w:r>
      <w:r>
        <w:rPr>
          <w:spacing w:val="18"/>
          <w:sz w:val="21"/>
          <w:szCs w:val="21"/>
        </w:rPr>
        <w:t xml:space="preserve"> </w:t>
      </w:r>
      <w:r>
        <w:rPr>
          <w:spacing w:val="1"/>
          <w:sz w:val="21"/>
          <w:szCs w:val="21"/>
        </w:rPr>
        <w:t>环境，包括但不限于宿舍、围栏、供水(饮用</w:t>
      </w:r>
      <w:r>
        <w:rPr>
          <w:sz w:val="21"/>
          <w:szCs w:val="21"/>
        </w:rPr>
        <w:t xml:space="preserve">及其他目的用水)、供电、卫生设备、食堂 </w:t>
      </w:r>
      <w:r>
        <w:rPr>
          <w:spacing w:val="-1"/>
          <w:sz w:val="21"/>
          <w:szCs w:val="21"/>
        </w:rPr>
        <w:t>及炊具、防火及灭火设备、供热、家具及其他正常膳宿条件和生活环境所需的必需品，</w:t>
      </w:r>
      <w:r>
        <w:rPr>
          <w:spacing w:val="11"/>
          <w:sz w:val="21"/>
          <w:szCs w:val="21"/>
        </w:rPr>
        <w:t xml:space="preserve"> </w:t>
      </w:r>
      <w:r>
        <w:rPr>
          <w:spacing w:val="-4"/>
          <w:sz w:val="21"/>
          <w:szCs w:val="21"/>
        </w:rPr>
        <w:t>并应考虑宗教和民族习惯。</w:t>
      </w:r>
    </w:p>
    <w:p w14:paraId="3AA68078">
      <w:pPr>
        <w:pStyle w:val="2"/>
        <w:spacing w:before="122" w:line="276" w:lineRule="auto"/>
        <w:ind w:left="949" w:right="67" w:hanging="949"/>
        <w:rPr>
          <w:sz w:val="21"/>
          <w:szCs w:val="21"/>
        </w:rPr>
      </w:pPr>
      <w:r>
        <w:rPr>
          <w:sz w:val="21"/>
          <w:szCs w:val="21"/>
        </w:rPr>
        <w:t>6.4.4    承包人应为现场工人提供符合政府卫生规定的生活条件并获得必要的许可，</w:t>
      </w:r>
      <w:r>
        <w:rPr>
          <w:spacing w:val="-1"/>
          <w:sz w:val="21"/>
          <w:szCs w:val="21"/>
        </w:rPr>
        <w:t>保证工人的</w:t>
      </w:r>
      <w:r>
        <w:rPr>
          <w:sz w:val="21"/>
          <w:szCs w:val="21"/>
        </w:rPr>
        <w:t xml:space="preserve"> 健康和防止任何传染病，包括工人的食堂、厕所、工具房、宿舍等；承包人应聘请专业</w:t>
      </w:r>
    </w:p>
    <w:p w14:paraId="2E615A53">
      <w:pPr>
        <w:spacing w:line="276" w:lineRule="auto"/>
        <w:rPr>
          <w:sz w:val="21"/>
          <w:szCs w:val="21"/>
        </w:rPr>
        <w:sectPr>
          <w:footerReference r:id="rId331" w:type="default"/>
          <w:pgSz w:w="11910" w:h="16840"/>
          <w:pgMar w:top="400" w:right="1444" w:bottom="1147" w:left="1450" w:header="0" w:footer="1021" w:gutter="0"/>
          <w:cols w:space="720" w:num="1"/>
        </w:sectPr>
      </w:pPr>
    </w:p>
    <w:p w14:paraId="0DF3BF03">
      <w:pPr>
        <w:spacing w:line="264" w:lineRule="auto"/>
        <w:rPr>
          <w:rFonts w:ascii="Arial"/>
          <w:sz w:val="21"/>
        </w:rPr>
      </w:pPr>
    </w:p>
    <w:p w14:paraId="173EDD6F">
      <w:pPr>
        <w:spacing w:line="264" w:lineRule="auto"/>
        <w:rPr>
          <w:rFonts w:ascii="Arial"/>
          <w:sz w:val="21"/>
        </w:rPr>
      </w:pPr>
    </w:p>
    <w:p w14:paraId="71328A1A">
      <w:pPr>
        <w:spacing w:line="264" w:lineRule="auto"/>
        <w:rPr>
          <w:rFonts w:ascii="Arial"/>
          <w:sz w:val="21"/>
        </w:rPr>
      </w:pPr>
    </w:p>
    <w:p w14:paraId="41582E58">
      <w:pPr>
        <w:spacing w:line="264" w:lineRule="auto"/>
        <w:rPr>
          <w:rFonts w:ascii="Arial"/>
          <w:sz w:val="21"/>
        </w:rPr>
      </w:pPr>
    </w:p>
    <w:p w14:paraId="73EEA105">
      <w:pPr>
        <w:spacing w:line="264" w:lineRule="auto"/>
        <w:rPr>
          <w:rFonts w:ascii="Arial"/>
          <w:sz w:val="21"/>
        </w:rPr>
      </w:pPr>
    </w:p>
    <w:p w14:paraId="65F34546">
      <w:pPr>
        <w:pStyle w:val="2"/>
        <w:spacing w:before="68" w:line="317" w:lineRule="auto"/>
        <w:ind w:left="949" w:right="83"/>
        <w:jc w:val="both"/>
        <w:rPr>
          <w:sz w:val="21"/>
          <w:szCs w:val="21"/>
        </w:rPr>
      </w:pPr>
      <w:r>
        <w:rPr>
          <w:sz w:val="21"/>
          <w:szCs w:val="21"/>
        </w:rPr>
        <w:t>的卫生防疫部门定期对现场、工人生活基地和工程进行防疫和卫</w:t>
      </w:r>
      <w:r>
        <w:rPr>
          <w:spacing w:val="-1"/>
          <w:sz w:val="21"/>
          <w:szCs w:val="21"/>
        </w:rPr>
        <w:t>生的专业检查和处理，</w:t>
      </w:r>
      <w:r>
        <w:rPr>
          <w:sz w:val="21"/>
          <w:szCs w:val="21"/>
        </w:rPr>
        <w:t xml:space="preserve"> 包括消灭白蚁、鼠害、蚊蝇和其它害虫，以防对施工人员、现场</w:t>
      </w:r>
      <w:r>
        <w:rPr>
          <w:spacing w:val="-1"/>
          <w:sz w:val="21"/>
          <w:szCs w:val="21"/>
        </w:rPr>
        <w:t>和永久工程造成任何危</w:t>
      </w:r>
      <w:r>
        <w:rPr>
          <w:sz w:val="21"/>
          <w:szCs w:val="21"/>
        </w:rPr>
        <w:t xml:space="preserve"> </w:t>
      </w:r>
      <w:r>
        <w:rPr>
          <w:spacing w:val="-4"/>
          <w:sz w:val="21"/>
          <w:szCs w:val="21"/>
        </w:rPr>
        <w:t>害。</w:t>
      </w:r>
    </w:p>
    <w:p w14:paraId="6BEA2DFA">
      <w:pPr>
        <w:pStyle w:val="2"/>
        <w:spacing w:line="272" w:lineRule="auto"/>
        <w:ind w:left="949" w:right="83" w:hanging="949"/>
        <w:rPr>
          <w:sz w:val="21"/>
          <w:szCs w:val="21"/>
        </w:rPr>
      </w:pPr>
      <w:r>
        <w:rPr>
          <w:rFonts w:ascii="Times New Roman" w:hAnsi="Times New Roman" w:eastAsia="Times New Roman" w:cs="Times New Roman"/>
          <w:position w:val="-1"/>
          <w:sz w:val="21"/>
          <w:szCs w:val="21"/>
        </w:rPr>
        <w:t xml:space="preserve">6.4.5          </w:t>
      </w:r>
      <w:r>
        <w:rPr>
          <w:sz w:val="21"/>
          <w:szCs w:val="21"/>
        </w:rPr>
        <w:t>承包人应在现场设立专门的临时医疗站，配备足够的设施、药物和称职的医</w:t>
      </w:r>
      <w:r>
        <w:rPr>
          <w:spacing w:val="-1"/>
          <w:sz w:val="21"/>
          <w:szCs w:val="21"/>
        </w:rPr>
        <w:t>务人员，承</w:t>
      </w:r>
      <w:r>
        <w:rPr>
          <w:sz w:val="21"/>
          <w:szCs w:val="21"/>
        </w:rPr>
        <w:t xml:space="preserve"> 包人还应准备急救担架，用于一旦发生安全事故时对受伤人员的急救。</w:t>
      </w:r>
    </w:p>
    <w:p w14:paraId="21A1A37C">
      <w:pPr>
        <w:pStyle w:val="2"/>
        <w:spacing w:before="120" w:line="219" w:lineRule="auto"/>
        <w:rPr>
          <w:sz w:val="21"/>
          <w:szCs w:val="21"/>
        </w:rPr>
      </w:pPr>
      <w:r>
        <w:rPr>
          <w:spacing w:val="-4"/>
          <w:sz w:val="21"/>
          <w:szCs w:val="21"/>
        </w:rPr>
        <w:t>6.4.6</w:t>
      </w:r>
      <w:r>
        <w:rPr>
          <w:spacing w:val="10"/>
          <w:sz w:val="21"/>
          <w:szCs w:val="21"/>
        </w:rPr>
        <w:t xml:space="preserve">    </w:t>
      </w:r>
      <w:r>
        <w:rPr>
          <w:spacing w:val="-4"/>
          <w:sz w:val="21"/>
          <w:szCs w:val="21"/>
        </w:rPr>
        <w:t>劳动保护方面的其他要求如下：</w:t>
      </w:r>
    </w:p>
    <w:p w14:paraId="19659770">
      <w:pPr>
        <w:spacing w:line="244" w:lineRule="auto"/>
        <w:rPr>
          <w:rFonts w:ascii="Arial"/>
          <w:sz w:val="21"/>
        </w:rPr>
      </w:pPr>
    </w:p>
    <w:p w14:paraId="0CD6560F">
      <w:pPr>
        <w:spacing w:line="245" w:lineRule="auto"/>
        <w:rPr>
          <w:rFonts w:ascii="Arial"/>
          <w:sz w:val="21"/>
        </w:rPr>
      </w:pPr>
    </w:p>
    <w:p w14:paraId="1134E6BA">
      <w:pPr>
        <w:spacing w:line="610" w:lineRule="exact"/>
        <w:ind w:firstLine="929"/>
      </w:pPr>
      <w:r>
        <w:rPr>
          <w:position w:val="-12"/>
        </w:rPr>
        <w:drawing>
          <wp:inline distT="0" distB="0" distL="0" distR="0">
            <wp:extent cx="4247515" cy="386715"/>
            <wp:effectExtent l="0" t="0" r="0" b="0"/>
            <wp:docPr id="240" name="IM 240"/>
            <wp:cNvGraphicFramePr/>
            <a:graphic xmlns:a="http://schemas.openxmlformats.org/drawingml/2006/main">
              <a:graphicData uri="http://schemas.openxmlformats.org/drawingml/2006/picture">
                <pic:pic xmlns:pic="http://schemas.openxmlformats.org/drawingml/2006/picture">
                  <pic:nvPicPr>
                    <pic:cNvPr id="240" name="IM 240"/>
                    <pic:cNvPicPr/>
                  </pic:nvPicPr>
                  <pic:blipFill>
                    <a:blip r:embed="rId508"/>
                    <a:stretch>
                      <a:fillRect/>
                    </a:stretch>
                  </pic:blipFill>
                  <pic:spPr>
                    <a:xfrm>
                      <a:off x="0" y="0"/>
                      <a:ext cx="4248127" cy="387315"/>
                    </a:xfrm>
                    <a:prstGeom prst="rect">
                      <a:avLst/>
                    </a:prstGeom>
                  </pic:spPr>
                </pic:pic>
              </a:graphicData>
            </a:graphic>
          </wp:inline>
        </w:drawing>
      </w:r>
    </w:p>
    <w:p w14:paraId="63A5C6B4">
      <w:pPr>
        <w:spacing w:before="196" w:line="223" w:lineRule="auto"/>
        <w:rPr>
          <w:rFonts w:ascii="黑体" w:hAnsi="黑体" w:eastAsia="黑体" w:cs="黑体"/>
          <w:sz w:val="21"/>
          <w:szCs w:val="21"/>
        </w:rPr>
      </w:pPr>
      <w:r>
        <w:rPr>
          <w:rFonts w:ascii="Times New Roman" w:hAnsi="Times New Roman" w:eastAsia="Times New Roman" w:cs="Times New Roman"/>
          <w:b/>
          <w:bCs/>
          <w:spacing w:val="-6"/>
          <w:sz w:val="21"/>
          <w:szCs w:val="21"/>
        </w:rPr>
        <w:t>6.5</w:t>
      </w:r>
      <w:r>
        <w:rPr>
          <w:rFonts w:ascii="Times New Roman" w:hAnsi="Times New Roman" w:eastAsia="Times New Roman" w:cs="Times New Roman"/>
          <w:b/>
          <w:bCs/>
          <w:spacing w:val="1"/>
          <w:sz w:val="21"/>
          <w:szCs w:val="21"/>
        </w:rPr>
        <w:t xml:space="preserve">             </w:t>
      </w:r>
      <w:r>
        <w:rPr>
          <w:rFonts w:ascii="黑体" w:hAnsi="黑体" w:eastAsia="黑体" w:cs="黑体"/>
          <w:b/>
          <w:bCs/>
          <w:spacing w:val="-6"/>
          <w:sz w:val="21"/>
          <w:szCs w:val="21"/>
        </w:rPr>
        <w:t>脚</w:t>
      </w:r>
      <w:r>
        <w:rPr>
          <w:rFonts w:ascii="黑体" w:hAnsi="黑体" w:eastAsia="黑体" w:cs="黑体"/>
          <w:spacing w:val="-38"/>
          <w:sz w:val="21"/>
          <w:szCs w:val="21"/>
        </w:rPr>
        <w:t xml:space="preserve"> </w:t>
      </w:r>
      <w:r>
        <w:rPr>
          <w:rFonts w:ascii="黑体" w:hAnsi="黑体" w:eastAsia="黑体" w:cs="黑体"/>
          <w:b/>
          <w:bCs/>
          <w:spacing w:val="-6"/>
          <w:sz w:val="21"/>
          <w:szCs w:val="21"/>
        </w:rPr>
        <w:t>手</w:t>
      </w:r>
      <w:r>
        <w:rPr>
          <w:rFonts w:ascii="黑体" w:hAnsi="黑体" w:eastAsia="黑体" w:cs="黑体"/>
          <w:spacing w:val="-45"/>
          <w:sz w:val="21"/>
          <w:szCs w:val="21"/>
        </w:rPr>
        <w:t xml:space="preserve"> </w:t>
      </w:r>
      <w:r>
        <w:rPr>
          <w:rFonts w:ascii="黑体" w:hAnsi="黑体" w:eastAsia="黑体" w:cs="黑体"/>
          <w:b/>
          <w:bCs/>
          <w:spacing w:val="-6"/>
          <w:sz w:val="21"/>
          <w:szCs w:val="21"/>
        </w:rPr>
        <w:t>架</w:t>
      </w:r>
    </w:p>
    <w:p w14:paraId="20B634CF">
      <w:pPr>
        <w:pStyle w:val="2"/>
        <w:spacing w:before="119" w:line="305" w:lineRule="auto"/>
        <w:ind w:left="949" w:hanging="949"/>
        <w:rPr>
          <w:sz w:val="21"/>
          <w:szCs w:val="21"/>
        </w:rPr>
      </w:pPr>
      <w:r>
        <w:rPr>
          <w:rFonts w:ascii="Times New Roman" w:hAnsi="Times New Roman" w:eastAsia="Times New Roman" w:cs="Times New Roman"/>
          <w:spacing w:val="-2"/>
          <w:sz w:val="21"/>
          <w:szCs w:val="21"/>
        </w:rPr>
        <w:t xml:space="preserve">6.5.1          </w:t>
      </w:r>
      <w:r>
        <w:rPr>
          <w:spacing w:val="-2"/>
          <w:sz w:val="21"/>
          <w:szCs w:val="21"/>
        </w:rPr>
        <w:t>承包人应搭设并维护一切必要的临</w:t>
      </w:r>
      <w:r>
        <w:rPr>
          <w:spacing w:val="-3"/>
          <w:sz w:val="21"/>
          <w:szCs w:val="21"/>
        </w:rPr>
        <w:t>时脚手架、挑平台并配以脚手板、安全网、护身栏杆、</w:t>
      </w:r>
      <w:r>
        <w:rPr>
          <w:sz w:val="21"/>
          <w:szCs w:val="21"/>
        </w:rPr>
        <w:t xml:space="preserve"> 门架、马道、坡道、爬梯等等。脚手架和挑平台的搭设应满足有关安全生产的</w:t>
      </w:r>
      <w:r>
        <w:rPr>
          <w:spacing w:val="-1"/>
          <w:sz w:val="21"/>
          <w:szCs w:val="21"/>
        </w:rPr>
        <w:t>法律、法</w:t>
      </w:r>
      <w:r>
        <w:rPr>
          <w:sz w:val="21"/>
          <w:szCs w:val="21"/>
        </w:rPr>
        <w:t xml:space="preserve"> </w:t>
      </w:r>
      <w:r>
        <w:rPr>
          <w:spacing w:val="1"/>
          <w:sz w:val="21"/>
          <w:szCs w:val="21"/>
        </w:rPr>
        <w:t>规、规范、标准和规程等的要求。新搭设的脚手架投入使用前，</w:t>
      </w:r>
      <w:r>
        <w:rPr>
          <w:sz w:val="21"/>
          <w:szCs w:val="21"/>
        </w:rPr>
        <w:t xml:space="preserve">承包人必须组织安全检 </w:t>
      </w:r>
      <w:r>
        <w:rPr>
          <w:spacing w:val="-2"/>
          <w:sz w:val="21"/>
          <w:szCs w:val="21"/>
        </w:rPr>
        <w:t>查和验收，并对使用脚手架的作业人员进行安全交底。</w:t>
      </w:r>
    </w:p>
    <w:p w14:paraId="649F2245">
      <w:pPr>
        <w:pStyle w:val="2"/>
        <w:spacing w:before="120" w:line="281" w:lineRule="auto"/>
        <w:ind w:left="949" w:right="35" w:hanging="949"/>
        <w:rPr>
          <w:sz w:val="21"/>
          <w:szCs w:val="21"/>
        </w:rPr>
      </w:pPr>
      <w:r>
        <w:rPr>
          <w:spacing w:val="1"/>
          <w:sz w:val="21"/>
          <w:szCs w:val="21"/>
        </w:rPr>
        <w:t>6.5.2    所有脚手架，尤其是大型、复杂、高耸和非常规脚手架，要编制专项施工方案</w:t>
      </w:r>
      <w:r>
        <w:rPr>
          <w:sz w:val="21"/>
          <w:szCs w:val="21"/>
        </w:rPr>
        <w:t>，还应当 经过安全验算，脚手架安全验算结果必须报送监理人核查后方可实施。</w:t>
      </w:r>
    </w:p>
    <w:p w14:paraId="36FBFBC2">
      <w:pPr>
        <w:pStyle w:val="2"/>
        <w:spacing w:before="111" w:line="281" w:lineRule="auto"/>
        <w:ind w:left="949" w:right="84" w:hanging="949"/>
        <w:rPr>
          <w:sz w:val="21"/>
          <w:szCs w:val="21"/>
        </w:rPr>
      </w:pPr>
      <w:r>
        <w:rPr>
          <w:sz w:val="21"/>
          <w:szCs w:val="21"/>
        </w:rPr>
        <w:t>6.5.3    搭设爬架、挂架、超高脚手架等特种或新型脚手架时，承包人应确保此类</w:t>
      </w:r>
      <w:r>
        <w:rPr>
          <w:spacing w:val="-1"/>
          <w:sz w:val="21"/>
          <w:szCs w:val="21"/>
        </w:rPr>
        <w:t>脚手架的安全</w:t>
      </w:r>
      <w:r>
        <w:rPr>
          <w:sz w:val="21"/>
          <w:szCs w:val="21"/>
        </w:rPr>
        <w:t xml:space="preserve"> 性和保证此类脚手架已经过有关行政管理部门允许使用的批</w:t>
      </w:r>
      <w:r>
        <w:rPr>
          <w:spacing w:val="-1"/>
          <w:sz w:val="21"/>
          <w:szCs w:val="21"/>
        </w:rPr>
        <w:t>准，并承担与此有关的一切</w:t>
      </w:r>
    </w:p>
    <w:p w14:paraId="0A7CBF78">
      <w:pPr>
        <w:pStyle w:val="2"/>
        <w:spacing w:before="181" w:line="220" w:lineRule="auto"/>
        <w:ind w:left="949"/>
        <w:rPr>
          <w:sz w:val="17"/>
          <w:szCs w:val="17"/>
        </w:rPr>
      </w:pPr>
      <w:r>
        <w:rPr>
          <w:spacing w:val="-8"/>
          <w:sz w:val="17"/>
          <w:szCs w:val="17"/>
        </w:rPr>
        <w:t>费</w:t>
      </w:r>
      <w:r>
        <w:rPr>
          <w:spacing w:val="-25"/>
          <w:sz w:val="17"/>
          <w:szCs w:val="17"/>
        </w:rPr>
        <w:t xml:space="preserve"> </w:t>
      </w:r>
      <w:r>
        <w:rPr>
          <w:spacing w:val="-8"/>
          <w:sz w:val="17"/>
          <w:szCs w:val="17"/>
        </w:rPr>
        <w:t>用</w:t>
      </w:r>
      <w:r>
        <w:rPr>
          <w:spacing w:val="-33"/>
          <w:sz w:val="17"/>
          <w:szCs w:val="17"/>
        </w:rPr>
        <w:t xml:space="preserve"> </w:t>
      </w:r>
      <w:r>
        <w:rPr>
          <w:spacing w:val="-8"/>
          <w:sz w:val="17"/>
          <w:szCs w:val="17"/>
        </w:rPr>
        <w:t>。</w:t>
      </w:r>
    </w:p>
    <w:p w14:paraId="3F652931">
      <w:pPr>
        <w:pStyle w:val="2"/>
        <w:spacing w:before="127" w:line="302" w:lineRule="auto"/>
        <w:ind w:left="949" w:right="43" w:hanging="949"/>
        <w:rPr>
          <w:sz w:val="21"/>
          <w:szCs w:val="21"/>
        </w:rPr>
      </w:pPr>
      <w:r>
        <w:rPr>
          <w:rFonts w:ascii="Times New Roman" w:hAnsi="Times New Roman" w:eastAsia="Times New Roman" w:cs="Times New Roman"/>
          <w:sz w:val="21"/>
          <w:szCs w:val="21"/>
        </w:rPr>
        <w:t xml:space="preserve">6.5.4          </w:t>
      </w:r>
      <w:r>
        <w:rPr>
          <w:sz w:val="21"/>
          <w:szCs w:val="21"/>
        </w:rPr>
        <w:t>承包人应当加强脚手架的日常安全巡查，及时对其中的安全隐患进行整改，</w:t>
      </w:r>
      <w:r>
        <w:rPr>
          <w:spacing w:val="-1"/>
          <w:sz w:val="21"/>
          <w:szCs w:val="21"/>
        </w:rPr>
        <w:t>确保脚手架</w:t>
      </w:r>
      <w:r>
        <w:rPr>
          <w:sz w:val="21"/>
          <w:szCs w:val="21"/>
        </w:rPr>
        <w:t xml:space="preserve"> </w:t>
      </w:r>
      <w:r>
        <w:rPr>
          <w:spacing w:val="1"/>
          <w:sz w:val="21"/>
          <w:szCs w:val="21"/>
        </w:rPr>
        <w:t>使用安全。雨、雪、雾、霜和大风等天气后，承包人必须对脚手架进</w:t>
      </w:r>
      <w:r>
        <w:rPr>
          <w:sz w:val="21"/>
          <w:szCs w:val="21"/>
        </w:rPr>
        <w:t xml:space="preserve">行安全巡查，并及 </w:t>
      </w:r>
      <w:r>
        <w:rPr>
          <w:spacing w:val="-2"/>
          <w:sz w:val="21"/>
          <w:szCs w:val="21"/>
        </w:rPr>
        <w:t>时消除安全隐患。</w:t>
      </w:r>
    </w:p>
    <w:p w14:paraId="74F366C6">
      <w:pPr>
        <w:pStyle w:val="2"/>
        <w:spacing w:before="119" w:line="313" w:lineRule="auto"/>
        <w:ind w:left="949" w:hanging="949"/>
        <w:rPr>
          <w:sz w:val="21"/>
          <w:szCs w:val="21"/>
        </w:rPr>
      </w:pPr>
      <w:r>
        <w:rPr>
          <w:rFonts w:ascii="Times New Roman" w:hAnsi="Times New Roman" w:eastAsia="Times New Roman" w:cs="Times New Roman"/>
          <w:sz w:val="21"/>
          <w:szCs w:val="21"/>
        </w:rPr>
        <w:t xml:space="preserve">6.5.5          </w:t>
      </w:r>
      <w:r>
        <w:rPr>
          <w:sz w:val="21"/>
          <w:szCs w:val="21"/>
        </w:rPr>
        <w:t>承包人应允许发包人、监理人、专业分包人、独立承包人(如果有)和有关行</w:t>
      </w:r>
      <w:r>
        <w:rPr>
          <w:spacing w:val="-1"/>
          <w:sz w:val="21"/>
          <w:szCs w:val="21"/>
        </w:rPr>
        <w:t>政管理部门</w:t>
      </w:r>
      <w:r>
        <w:rPr>
          <w:sz w:val="21"/>
          <w:szCs w:val="21"/>
        </w:rPr>
        <w:t xml:space="preserve"> 或者机构免费使用承包人在现场搭设的任何已有脚手架，并</w:t>
      </w:r>
      <w:r>
        <w:rPr>
          <w:spacing w:val="-1"/>
          <w:sz w:val="21"/>
          <w:szCs w:val="21"/>
        </w:rPr>
        <w:t>就其安全使用做必要交底说</w:t>
      </w:r>
      <w:r>
        <w:rPr>
          <w:sz w:val="21"/>
          <w:szCs w:val="21"/>
        </w:rPr>
        <w:t xml:space="preserve">  </w:t>
      </w:r>
      <w:r>
        <w:rPr>
          <w:spacing w:val="-3"/>
          <w:sz w:val="21"/>
          <w:szCs w:val="21"/>
        </w:rPr>
        <w:t>明。承包人在拆除任何脚手架前，应书面请示</w:t>
      </w:r>
      <w:r>
        <w:rPr>
          <w:spacing w:val="-4"/>
          <w:sz w:val="21"/>
          <w:szCs w:val="21"/>
        </w:rPr>
        <w:t>监理人他将要拆除的脚手架是否为发包人、</w:t>
      </w:r>
      <w:r>
        <w:rPr>
          <w:sz w:val="21"/>
          <w:szCs w:val="21"/>
        </w:rPr>
        <w:t xml:space="preserve"> 监理人、专业分包人、独立承包人(如果有)和政府有关机构所</w:t>
      </w:r>
      <w:r>
        <w:rPr>
          <w:spacing w:val="-1"/>
          <w:sz w:val="21"/>
          <w:szCs w:val="21"/>
        </w:rPr>
        <w:t>需，只有在获得监理人书</w:t>
      </w:r>
      <w:r>
        <w:rPr>
          <w:sz w:val="21"/>
          <w:szCs w:val="21"/>
        </w:rPr>
        <w:t xml:space="preserve"> </w:t>
      </w:r>
      <w:r>
        <w:rPr>
          <w:spacing w:val="-1"/>
          <w:sz w:val="21"/>
          <w:szCs w:val="21"/>
        </w:rPr>
        <w:t>面批准后，承包人才能拆除相关脚手架，否则承包</w:t>
      </w:r>
      <w:r>
        <w:rPr>
          <w:spacing w:val="-2"/>
          <w:sz w:val="21"/>
          <w:szCs w:val="21"/>
        </w:rPr>
        <w:t>人应自费重新搭设。</w:t>
      </w:r>
    </w:p>
    <w:p w14:paraId="41339C82">
      <w:pPr>
        <w:pStyle w:val="2"/>
        <w:spacing w:before="121" w:line="219" w:lineRule="auto"/>
        <w:rPr>
          <w:sz w:val="21"/>
          <w:szCs w:val="21"/>
        </w:rPr>
      </w:pPr>
      <w:r>
        <w:rPr>
          <w:rFonts w:ascii="Times New Roman" w:hAnsi="Times New Roman" w:eastAsia="Times New Roman" w:cs="Times New Roman"/>
          <w:spacing w:val="-2"/>
          <w:sz w:val="21"/>
          <w:szCs w:val="21"/>
        </w:rPr>
        <w:t xml:space="preserve">6.5.6          </w:t>
      </w:r>
      <w:r>
        <w:rPr>
          <w:spacing w:val="-2"/>
          <w:sz w:val="21"/>
          <w:szCs w:val="21"/>
        </w:rPr>
        <w:t>脚手架的其他要求如下：</w:t>
      </w:r>
    </w:p>
    <w:p w14:paraId="130D006C">
      <w:pPr>
        <w:tabs>
          <w:tab w:val="left" w:pos="7600"/>
        </w:tabs>
        <w:spacing w:before="141"/>
        <w:ind w:left="929"/>
        <w:rPr>
          <w:rFonts w:ascii="Arial"/>
          <w:sz w:val="21"/>
        </w:rPr>
      </w:pPr>
      <w:r>
        <w:rPr>
          <w:rFonts w:ascii="Arial" w:hAnsi="Arial" w:eastAsia="Arial" w:cs="Arial"/>
          <w:sz w:val="21"/>
          <w:szCs w:val="21"/>
          <w:u w:val="single" w:color="auto"/>
        </w:rPr>
        <w:tab/>
      </w:r>
    </w:p>
    <w:p w14:paraId="025363E1">
      <w:pPr>
        <w:tabs>
          <w:tab w:val="left" w:pos="7619"/>
        </w:tabs>
        <w:spacing w:before="159"/>
        <w:ind w:left="939"/>
        <w:rPr>
          <w:rFonts w:ascii="Arial"/>
          <w:sz w:val="21"/>
        </w:rPr>
      </w:pPr>
      <w:r>
        <w:rPr>
          <w:rFonts w:ascii="Arial" w:hAnsi="Arial" w:eastAsia="Arial" w:cs="Arial"/>
          <w:sz w:val="21"/>
          <w:szCs w:val="21"/>
          <w:u w:val="single" w:color="auto"/>
        </w:rPr>
        <w:tab/>
      </w:r>
    </w:p>
    <w:p w14:paraId="1D8B8483">
      <w:pPr>
        <w:pStyle w:val="2"/>
        <w:spacing w:before="197" w:line="220" w:lineRule="auto"/>
        <w:ind w:left="3"/>
        <w:rPr>
          <w:sz w:val="21"/>
          <w:szCs w:val="21"/>
        </w:rPr>
      </w:pPr>
      <w:r>
        <w:rPr>
          <w:b/>
          <w:bCs/>
          <w:spacing w:val="18"/>
          <w:sz w:val="21"/>
          <w:szCs w:val="21"/>
        </w:rPr>
        <w:t>6.6</w:t>
      </w:r>
      <w:r>
        <w:rPr>
          <w:spacing w:val="6"/>
          <w:sz w:val="21"/>
          <w:szCs w:val="21"/>
        </w:rPr>
        <w:t xml:space="preserve">      </w:t>
      </w:r>
      <w:r>
        <w:rPr>
          <w:b/>
          <w:bCs/>
          <w:spacing w:val="18"/>
          <w:sz w:val="21"/>
          <w:szCs w:val="21"/>
        </w:rPr>
        <w:t>施工安全措施计划</w:t>
      </w:r>
    </w:p>
    <w:p w14:paraId="696122CD">
      <w:pPr>
        <w:pStyle w:val="2"/>
        <w:spacing w:before="190" w:line="353" w:lineRule="auto"/>
        <w:ind w:left="949" w:right="94" w:hanging="949"/>
        <w:rPr>
          <w:sz w:val="21"/>
          <w:szCs w:val="21"/>
        </w:rPr>
      </w:pPr>
      <w:r>
        <w:rPr>
          <w:spacing w:val="-9"/>
          <w:sz w:val="21"/>
          <w:szCs w:val="21"/>
        </w:rPr>
        <w:t>6.6.1    承包人应根据《中华人民共和国安全生产法》、《职业健康安全管理体系规范》、《中华人</w:t>
      </w:r>
      <w:r>
        <w:rPr>
          <w:spacing w:val="3"/>
          <w:sz w:val="21"/>
          <w:szCs w:val="21"/>
        </w:rPr>
        <w:t xml:space="preserve"> </w:t>
      </w:r>
      <w:r>
        <w:rPr>
          <w:spacing w:val="-11"/>
          <w:sz w:val="21"/>
          <w:szCs w:val="21"/>
        </w:rPr>
        <w:t>民共和国消防法》、《中华人民共和国道路交通安全法》、《中华人民共和国传染</w:t>
      </w:r>
      <w:r>
        <w:rPr>
          <w:spacing w:val="-12"/>
          <w:sz w:val="21"/>
          <w:szCs w:val="21"/>
        </w:rPr>
        <w:t>病防治法</w:t>
      </w:r>
      <w:r>
        <w:rPr>
          <w:sz w:val="21"/>
          <w:szCs w:val="21"/>
        </w:rPr>
        <w:t xml:space="preserve"> </w:t>
      </w:r>
      <w:r>
        <w:rPr>
          <w:spacing w:val="2"/>
          <w:sz w:val="21"/>
          <w:szCs w:val="21"/>
        </w:rPr>
        <w:t>实施办法》和地方有关的法规等，按照合同条款第9.2.1项的约定，编制一份施工安全</w:t>
      </w:r>
      <w:r>
        <w:rPr>
          <w:spacing w:val="4"/>
          <w:sz w:val="21"/>
          <w:szCs w:val="21"/>
        </w:rPr>
        <w:t xml:space="preserve"> </w:t>
      </w:r>
      <w:r>
        <w:rPr>
          <w:spacing w:val="-3"/>
          <w:sz w:val="21"/>
          <w:szCs w:val="21"/>
        </w:rPr>
        <w:t>措施计划，报送监理人审批。</w:t>
      </w:r>
    </w:p>
    <w:p w14:paraId="453C9994">
      <w:pPr>
        <w:spacing w:line="353" w:lineRule="auto"/>
        <w:rPr>
          <w:sz w:val="21"/>
          <w:szCs w:val="21"/>
        </w:rPr>
        <w:sectPr>
          <w:footerReference r:id="rId332" w:type="default"/>
          <w:pgSz w:w="11910" w:h="16840"/>
          <w:pgMar w:top="400" w:right="1454" w:bottom="1147" w:left="1450" w:header="0" w:footer="1021" w:gutter="0"/>
          <w:cols w:space="720" w:num="1"/>
        </w:sectPr>
      </w:pPr>
    </w:p>
    <w:p w14:paraId="0CB44252">
      <w:pPr>
        <w:spacing w:line="272" w:lineRule="auto"/>
        <w:rPr>
          <w:rFonts w:ascii="Arial"/>
          <w:sz w:val="21"/>
        </w:rPr>
      </w:pPr>
    </w:p>
    <w:p w14:paraId="72CCAB55">
      <w:pPr>
        <w:spacing w:line="273" w:lineRule="auto"/>
        <w:rPr>
          <w:rFonts w:ascii="Arial"/>
          <w:sz w:val="21"/>
        </w:rPr>
      </w:pPr>
    </w:p>
    <w:p w14:paraId="12190F02">
      <w:pPr>
        <w:spacing w:line="273" w:lineRule="auto"/>
        <w:rPr>
          <w:rFonts w:ascii="Arial"/>
          <w:sz w:val="21"/>
        </w:rPr>
      </w:pPr>
    </w:p>
    <w:p w14:paraId="61EC2660">
      <w:pPr>
        <w:spacing w:line="273" w:lineRule="auto"/>
        <w:rPr>
          <w:rFonts w:ascii="Arial"/>
          <w:sz w:val="21"/>
        </w:rPr>
      </w:pPr>
    </w:p>
    <w:p w14:paraId="432C7033">
      <w:pPr>
        <w:spacing w:line="273" w:lineRule="auto"/>
        <w:rPr>
          <w:rFonts w:ascii="Arial"/>
          <w:sz w:val="21"/>
        </w:rPr>
      </w:pPr>
    </w:p>
    <w:p w14:paraId="50158F5D">
      <w:pPr>
        <w:pStyle w:val="2"/>
        <w:spacing w:before="65" w:line="369" w:lineRule="auto"/>
        <w:ind w:left="959" w:right="32" w:hanging="959"/>
        <w:rPr>
          <w:sz w:val="20"/>
          <w:szCs w:val="20"/>
        </w:rPr>
      </w:pPr>
      <w:r>
        <w:rPr>
          <w:spacing w:val="9"/>
          <w:sz w:val="20"/>
          <w:szCs w:val="20"/>
        </w:rPr>
        <w:t>6.6.2    施工安全措施计划是承包人阐明其安全管理方针、管理体系、安全制度和安全措施等的</w:t>
      </w:r>
      <w:r>
        <w:rPr>
          <w:spacing w:val="1"/>
          <w:sz w:val="20"/>
          <w:szCs w:val="20"/>
        </w:rPr>
        <w:t xml:space="preserve"> </w:t>
      </w:r>
      <w:r>
        <w:rPr>
          <w:spacing w:val="9"/>
          <w:sz w:val="20"/>
          <w:szCs w:val="20"/>
        </w:rPr>
        <w:t>文件，其内容应当反映现行法律法规规定的和合同条款约定的以及本条上述约定的承包</w:t>
      </w:r>
      <w:r>
        <w:rPr>
          <w:spacing w:val="16"/>
          <w:sz w:val="20"/>
          <w:szCs w:val="20"/>
        </w:rPr>
        <w:t xml:space="preserve"> </w:t>
      </w:r>
      <w:r>
        <w:rPr>
          <w:spacing w:val="6"/>
          <w:sz w:val="20"/>
          <w:szCs w:val="20"/>
        </w:rPr>
        <w:t>人安全职责，包括但不限于：</w:t>
      </w:r>
    </w:p>
    <w:p w14:paraId="03F0AC2B">
      <w:pPr>
        <w:pStyle w:val="2"/>
        <w:spacing w:line="218" w:lineRule="auto"/>
        <w:ind w:left="959"/>
        <w:rPr>
          <w:sz w:val="20"/>
          <w:szCs w:val="20"/>
        </w:rPr>
      </w:pPr>
      <w:r>
        <w:rPr>
          <w:spacing w:val="4"/>
          <w:sz w:val="20"/>
          <w:szCs w:val="20"/>
        </w:rPr>
        <w:t>(1)施工安全管理机构的设置；</w:t>
      </w:r>
    </w:p>
    <w:p w14:paraId="46A5C82D">
      <w:pPr>
        <w:pStyle w:val="2"/>
        <w:spacing w:before="164" w:line="219" w:lineRule="auto"/>
        <w:ind w:left="959"/>
        <w:rPr>
          <w:sz w:val="20"/>
          <w:szCs w:val="20"/>
        </w:rPr>
      </w:pPr>
      <w:r>
        <w:rPr>
          <w:spacing w:val="4"/>
          <w:sz w:val="20"/>
          <w:szCs w:val="20"/>
        </w:rPr>
        <w:t>(2)专职安全管理人员的配备；</w:t>
      </w:r>
    </w:p>
    <w:p w14:paraId="4A0A598A">
      <w:pPr>
        <w:pStyle w:val="2"/>
        <w:spacing w:before="172" w:line="219" w:lineRule="auto"/>
        <w:ind w:left="959"/>
        <w:rPr>
          <w:sz w:val="20"/>
          <w:szCs w:val="20"/>
        </w:rPr>
      </w:pPr>
      <w:r>
        <w:rPr>
          <w:spacing w:val="4"/>
          <w:sz w:val="20"/>
          <w:szCs w:val="20"/>
        </w:rPr>
        <w:t>(3)安全责任制度和管理措施；</w:t>
      </w:r>
    </w:p>
    <w:p w14:paraId="56928059">
      <w:pPr>
        <w:pStyle w:val="2"/>
        <w:spacing w:before="152" w:line="219" w:lineRule="auto"/>
        <w:ind w:left="959"/>
        <w:rPr>
          <w:sz w:val="20"/>
          <w:szCs w:val="20"/>
        </w:rPr>
      </w:pPr>
      <w:r>
        <w:rPr>
          <w:spacing w:val="5"/>
          <w:sz w:val="20"/>
          <w:szCs w:val="20"/>
        </w:rPr>
        <w:t>(4)安全教育和培训制度及管理措施；</w:t>
      </w:r>
    </w:p>
    <w:p w14:paraId="4CE6B729">
      <w:pPr>
        <w:pStyle w:val="2"/>
        <w:spacing w:before="172" w:line="219" w:lineRule="auto"/>
        <w:ind w:left="959"/>
        <w:rPr>
          <w:sz w:val="20"/>
          <w:szCs w:val="20"/>
        </w:rPr>
      </w:pPr>
      <w:r>
        <w:rPr>
          <w:spacing w:val="5"/>
          <w:sz w:val="20"/>
          <w:szCs w:val="20"/>
        </w:rPr>
        <w:t>(5)各项安全生产规章制度和操作规程；</w:t>
      </w:r>
    </w:p>
    <w:p w14:paraId="11328F8A">
      <w:pPr>
        <w:pStyle w:val="2"/>
        <w:spacing w:before="164" w:line="220" w:lineRule="auto"/>
        <w:ind w:left="959"/>
        <w:rPr>
          <w:sz w:val="20"/>
          <w:szCs w:val="20"/>
        </w:rPr>
      </w:pPr>
      <w:r>
        <w:rPr>
          <w:spacing w:val="4"/>
          <w:sz w:val="20"/>
          <w:szCs w:val="20"/>
        </w:rPr>
        <w:t>(6)各项施工安全措施和防护措施；</w:t>
      </w:r>
    </w:p>
    <w:p w14:paraId="291ED032">
      <w:pPr>
        <w:pStyle w:val="2"/>
        <w:spacing w:before="152" w:line="219" w:lineRule="auto"/>
        <w:ind w:left="959"/>
        <w:rPr>
          <w:sz w:val="20"/>
          <w:szCs w:val="20"/>
        </w:rPr>
      </w:pPr>
      <w:r>
        <w:rPr>
          <w:spacing w:val="3"/>
          <w:sz w:val="20"/>
          <w:szCs w:val="20"/>
        </w:rPr>
        <w:t>(7)危险品管理和使用制度；</w:t>
      </w:r>
    </w:p>
    <w:p w14:paraId="7C617680">
      <w:pPr>
        <w:pStyle w:val="2"/>
        <w:spacing w:before="171" w:line="219" w:lineRule="auto"/>
        <w:ind w:left="959"/>
        <w:rPr>
          <w:sz w:val="20"/>
          <w:szCs w:val="20"/>
        </w:rPr>
      </w:pPr>
      <w:r>
        <w:rPr>
          <w:spacing w:val="6"/>
          <w:sz w:val="20"/>
          <w:szCs w:val="20"/>
        </w:rPr>
        <w:t>(8)安全设施、设备、器材和劳动保护用品的配置；</w:t>
      </w:r>
    </w:p>
    <w:p w14:paraId="591CFC6D">
      <w:pPr>
        <w:pStyle w:val="2"/>
        <w:spacing w:before="195" w:line="220" w:lineRule="auto"/>
        <w:ind w:left="959"/>
        <w:rPr>
          <w:sz w:val="20"/>
          <w:szCs w:val="20"/>
        </w:rPr>
      </w:pPr>
      <w:r>
        <w:rPr>
          <w:sz w:val="20"/>
          <w:szCs w:val="20"/>
        </w:rPr>
        <w:t>(9)其他：</w:t>
      </w:r>
      <w:r>
        <w:rPr>
          <w:spacing w:val="-80"/>
          <w:sz w:val="20"/>
          <w:szCs w:val="20"/>
        </w:rPr>
        <w:t xml:space="preserve"> </w:t>
      </w:r>
      <w:r>
        <w:rPr>
          <w:sz w:val="20"/>
          <w:szCs w:val="20"/>
          <w:u w:val="single" w:color="auto"/>
        </w:rPr>
        <w:t xml:space="preserve">                                                </w:t>
      </w:r>
    </w:p>
    <w:p w14:paraId="41BD3AF0">
      <w:pPr>
        <w:pStyle w:val="2"/>
        <w:spacing w:before="101" w:line="370" w:lineRule="auto"/>
        <w:ind w:left="959" w:right="8"/>
        <w:jc w:val="both"/>
        <w:rPr>
          <w:sz w:val="20"/>
          <w:szCs w:val="20"/>
        </w:rPr>
      </w:pPr>
      <w:r>
        <w:rPr>
          <w:spacing w:val="10"/>
          <w:sz w:val="20"/>
          <w:szCs w:val="20"/>
        </w:rPr>
        <w:t>施工安全措施的项目和范围，应符合国家颁发的《安全技术措施计划的项目总名称表》</w:t>
      </w:r>
      <w:r>
        <w:rPr>
          <w:spacing w:val="8"/>
          <w:sz w:val="20"/>
          <w:szCs w:val="20"/>
        </w:rPr>
        <w:t xml:space="preserve"> </w:t>
      </w:r>
      <w:r>
        <w:rPr>
          <w:spacing w:val="9"/>
          <w:sz w:val="20"/>
          <w:szCs w:val="20"/>
        </w:rPr>
        <w:t>及其附录</w:t>
      </w:r>
      <w:r>
        <w:rPr>
          <w:rFonts w:ascii="Times New Roman" w:hAnsi="Times New Roman" w:eastAsia="Times New Roman" w:cs="Times New Roman"/>
          <w:spacing w:val="9"/>
          <w:sz w:val="20"/>
          <w:szCs w:val="20"/>
        </w:rPr>
        <w:t>H</w:t>
      </w:r>
      <w:r>
        <w:rPr>
          <w:rFonts w:ascii="Times New Roman" w:hAnsi="Times New Roman" w:eastAsia="Times New Roman" w:cs="Times New Roman"/>
          <w:spacing w:val="-28"/>
          <w:sz w:val="20"/>
          <w:szCs w:val="20"/>
        </w:rPr>
        <w:t xml:space="preserve"> </w:t>
      </w:r>
      <w:r>
        <w:rPr>
          <w:spacing w:val="9"/>
          <w:sz w:val="20"/>
          <w:szCs w:val="20"/>
        </w:rPr>
        <w:t>、</w:t>
      </w:r>
      <w:r>
        <w:rPr>
          <w:rFonts w:ascii="Times New Roman" w:hAnsi="Times New Roman" w:eastAsia="Times New Roman" w:cs="Times New Roman"/>
          <w:spacing w:val="9"/>
          <w:sz w:val="20"/>
          <w:szCs w:val="20"/>
        </w:rPr>
        <w:t>I</w:t>
      </w:r>
      <w:r>
        <w:rPr>
          <w:rFonts w:ascii="Times New Roman" w:hAnsi="Times New Roman" w:eastAsia="Times New Roman" w:cs="Times New Roman"/>
          <w:spacing w:val="-29"/>
          <w:sz w:val="20"/>
          <w:szCs w:val="20"/>
        </w:rPr>
        <w:t xml:space="preserve"> </w:t>
      </w:r>
      <w:r>
        <w:rPr>
          <w:spacing w:val="9"/>
          <w:sz w:val="20"/>
          <w:szCs w:val="20"/>
        </w:rPr>
        <w:t>、</w:t>
      </w:r>
      <w:r>
        <w:rPr>
          <w:rFonts w:ascii="Times New Roman" w:hAnsi="Times New Roman" w:eastAsia="Times New Roman" w:cs="Times New Roman"/>
          <w:spacing w:val="9"/>
          <w:sz w:val="20"/>
          <w:szCs w:val="20"/>
        </w:rPr>
        <w:t xml:space="preserve">J  </w:t>
      </w:r>
      <w:r>
        <w:rPr>
          <w:spacing w:val="9"/>
          <w:sz w:val="20"/>
          <w:szCs w:val="20"/>
        </w:rPr>
        <w:t>的规定，即应采取</w:t>
      </w:r>
      <w:r>
        <w:rPr>
          <w:spacing w:val="8"/>
          <w:sz w:val="20"/>
          <w:szCs w:val="20"/>
        </w:rPr>
        <w:t>以改善劳动条件，防止工伤事故，预防职业病和职</w:t>
      </w:r>
      <w:r>
        <w:rPr>
          <w:sz w:val="20"/>
          <w:szCs w:val="20"/>
        </w:rPr>
        <w:t xml:space="preserve"> </w:t>
      </w:r>
      <w:r>
        <w:rPr>
          <w:spacing w:val="9"/>
          <w:sz w:val="20"/>
          <w:szCs w:val="20"/>
        </w:rPr>
        <w:t>业中毒为目的的一切施工安全措施，以及修建必要的安全设施、配备安全技术开发试验</w:t>
      </w:r>
      <w:r>
        <w:rPr>
          <w:spacing w:val="15"/>
          <w:sz w:val="20"/>
          <w:szCs w:val="20"/>
        </w:rPr>
        <w:t xml:space="preserve"> </w:t>
      </w:r>
      <w:r>
        <w:rPr>
          <w:spacing w:val="9"/>
          <w:sz w:val="20"/>
          <w:szCs w:val="20"/>
        </w:rPr>
        <w:t>所需的器材、设备和技术资料，并对现场的施工管理及作业人员做好相应的安全宣传教</w:t>
      </w:r>
      <w:r>
        <w:rPr>
          <w:spacing w:val="14"/>
          <w:sz w:val="20"/>
          <w:szCs w:val="20"/>
        </w:rPr>
        <w:t xml:space="preserve"> </w:t>
      </w:r>
      <w:r>
        <w:rPr>
          <w:spacing w:val="-3"/>
          <w:sz w:val="20"/>
          <w:szCs w:val="20"/>
        </w:rPr>
        <w:t>育。</w:t>
      </w:r>
    </w:p>
    <w:p w14:paraId="42B5F98E">
      <w:pPr>
        <w:pStyle w:val="2"/>
        <w:spacing w:before="14" w:line="371" w:lineRule="auto"/>
        <w:ind w:left="959" w:right="38" w:hanging="959"/>
        <w:rPr>
          <w:sz w:val="20"/>
          <w:szCs w:val="20"/>
        </w:rPr>
      </w:pPr>
      <w:r>
        <w:rPr>
          <w:spacing w:val="11"/>
          <w:sz w:val="20"/>
          <w:szCs w:val="20"/>
        </w:rPr>
        <w:t>6.6.3    施工安全措施计划应当在专用合同条款第</w:t>
      </w:r>
      <w:r>
        <w:rPr>
          <w:spacing w:val="10"/>
          <w:sz w:val="20"/>
          <w:szCs w:val="20"/>
        </w:rPr>
        <w:t>9.2.1项约定的期限内报送监理人。承包人应</w:t>
      </w:r>
      <w:r>
        <w:rPr>
          <w:sz w:val="20"/>
          <w:szCs w:val="20"/>
        </w:rPr>
        <w:t xml:space="preserve"> </w:t>
      </w:r>
      <w:r>
        <w:rPr>
          <w:spacing w:val="9"/>
          <w:sz w:val="20"/>
          <w:szCs w:val="20"/>
        </w:rPr>
        <w:t>当严格执行经监理人批准的施工安全措施计划，并及时补充、修订和完善施工安全措施</w:t>
      </w:r>
      <w:r>
        <w:rPr>
          <w:spacing w:val="16"/>
          <w:sz w:val="20"/>
          <w:szCs w:val="20"/>
        </w:rPr>
        <w:t xml:space="preserve"> </w:t>
      </w:r>
      <w:r>
        <w:rPr>
          <w:spacing w:val="8"/>
          <w:sz w:val="20"/>
          <w:szCs w:val="20"/>
        </w:rPr>
        <w:t>计划，确保安全生产。</w:t>
      </w:r>
    </w:p>
    <w:p w14:paraId="16EAD03C">
      <w:pPr>
        <w:pStyle w:val="2"/>
        <w:spacing w:before="34" w:line="219" w:lineRule="auto"/>
        <w:ind w:left="3"/>
        <w:rPr>
          <w:sz w:val="24"/>
          <w:szCs w:val="24"/>
        </w:rPr>
      </w:pPr>
      <w:r>
        <w:rPr>
          <w:b/>
          <w:bCs/>
          <w:spacing w:val="-6"/>
          <w:sz w:val="24"/>
          <w:szCs w:val="24"/>
        </w:rPr>
        <w:t>6.7</w:t>
      </w:r>
      <w:r>
        <w:rPr>
          <w:spacing w:val="6"/>
          <w:sz w:val="24"/>
          <w:szCs w:val="24"/>
        </w:rPr>
        <w:t xml:space="preserve">    </w:t>
      </w:r>
      <w:r>
        <w:rPr>
          <w:b/>
          <w:bCs/>
          <w:spacing w:val="-6"/>
          <w:sz w:val="24"/>
          <w:szCs w:val="24"/>
        </w:rPr>
        <w:t>文明施工</w:t>
      </w:r>
    </w:p>
    <w:p w14:paraId="7CA2F940">
      <w:pPr>
        <w:pStyle w:val="2"/>
        <w:spacing w:before="236" w:line="304" w:lineRule="auto"/>
        <w:ind w:left="959" w:right="38" w:hanging="959"/>
        <w:rPr>
          <w:sz w:val="20"/>
          <w:szCs w:val="20"/>
        </w:rPr>
      </w:pPr>
      <w:r>
        <w:rPr>
          <w:spacing w:val="9"/>
          <w:sz w:val="20"/>
          <w:szCs w:val="20"/>
        </w:rPr>
        <w:t>6.7.1    承包人应遵守国家和工程所在地有关法规、规范、规程和标准的规定，履行</w:t>
      </w:r>
      <w:r>
        <w:rPr>
          <w:spacing w:val="8"/>
          <w:sz w:val="20"/>
          <w:szCs w:val="20"/>
        </w:rPr>
        <w:t>文明施工义</w:t>
      </w:r>
      <w:r>
        <w:rPr>
          <w:sz w:val="20"/>
          <w:szCs w:val="20"/>
        </w:rPr>
        <w:t xml:space="preserve"> </w:t>
      </w:r>
      <w:r>
        <w:rPr>
          <w:spacing w:val="8"/>
          <w:sz w:val="20"/>
          <w:szCs w:val="20"/>
        </w:rPr>
        <w:t>务，确保文明施工专项费用专款专用。</w:t>
      </w:r>
    </w:p>
    <w:p w14:paraId="705EBDC7">
      <w:pPr>
        <w:pStyle w:val="2"/>
        <w:spacing w:before="163" w:line="219" w:lineRule="auto"/>
        <w:rPr>
          <w:sz w:val="20"/>
          <w:szCs w:val="20"/>
        </w:rPr>
      </w:pPr>
      <w:r>
        <w:rPr>
          <w:spacing w:val="6"/>
          <w:sz w:val="20"/>
          <w:szCs w:val="20"/>
        </w:rPr>
        <w:t>6.7.2</w:t>
      </w:r>
      <w:r>
        <w:rPr>
          <w:spacing w:val="17"/>
          <w:sz w:val="20"/>
          <w:szCs w:val="20"/>
        </w:rPr>
        <w:t xml:space="preserve">     </w:t>
      </w:r>
      <w:r>
        <w:rPr>
          <w:spacing w:val="6"/>
          <w:sz w:val="20"/>
          <w:szCs w:val="20"/>
        </w:rPr>
        <w:t>承包人应当规范现场施工秩序，实行标准化管理：</w:t>
      </w:r>
    </w:p>
    <w:p w14:paraId="3BAB71F2">
      <w:pPr>
        <w:pStyle w:val="2"/>
        <w:spacing w:before="201" w:line="320" w:lineRule="auto"/>
        <w:ind w:left="1390" w:hanging="300"/>
        <w:rPr>
          <w:sz w:val="17"/>
          <w:szCs w:val="17"/>
        </w:rPr>
      </w:pPr>
      <w:r>
        <w:rPr>
          <w:spacing w:val="9"/>
          <w:sz w:val="20"/>
          <w:szCs w:val="20"/>
        </w:rPr>
        <w:t>(1)承包人的施工场地(现场)必须干净整治、做到无积水、无淤泥、无杂物，材料堆放</w:t>
      </w:r>
      <w:r>
        <w:rPr>
          <w:spacing w:val="7"/>
          <w:sz w:val="20"/>
          <w:szCs w:val="20"/>
        </w:rPr>
        <w:t xml:space="preserve"> </w:t>
      </w:r>
      <w:r>
        <w:rPr>
          <w:spacing w:val="-5"/>
          <w:sz w:val="17"/>
          <w:szCs w:val="17"/>
        </w:rPr>
        <w:t>整</w:t>
      </w:r>
      <w:r>
        <w:rPr>
          <w:spacing w:val="-28"/>
          <w:sz w:val="17"/>
          <w:szCs w:val="17"/>
        </w:rPr>
        <w:t xml:space="preserve"> </w:t>
      </w:r>
      <w:r>
        <w:rPr>
          <w:spacing w:val="-5"/>
          <w:sz w:val="17"/>
          <w:szCs w:val="17"/>
        </w:rPr>
        <w:t>齐</w:t>
      </w:r>
      <w:r>
        <w:rPr>
          <w:spacing w:val="-34"/>
          <w:sz w:val="17"/>
          <w:szCs w:val="17"/>
        </w:rPr>
        <w:t xml:space="preserve"> </w:t>
      </w:r>
      <w:r>
        <w:rPr>
          <w:spacing w:val="-5"/>
          <w:sz w:val="17"/>
          <w:szCs w:val="17"/>
        </w:rPr>
        <w:t>；</w:t>
      </w:r>
    </w:p>
    <w:p w14:paraId="341EB025">
      <w:pPr>
        <w:pStyle w:val="2"/>
        <w:spacing w:before="200" w:line="219" w:lineRule="auto"/>
        <w:ind w:left="1090"/>
        <w:rPr>
          <w:sz w:val="20"/>
          <w:szCs w:val="20"/>
        </w:rPr>
      </w:pPr>
      <w:r>
        <w:rPr>
          <w:spacing w:val="8"/>
          <w:sz w:val="20"/>
          <w:szCs w:val="20"/>
        </w:rPr>
        <w:t>(2)施工场地(现场)应进行硬化处理，定期定时洒水，做好</w:t>
      </w:r>
      <w:r>
        <w:rPr>
          <w:spacing w:val="7"/>
          <w:sz w:val="20"/>
          <w:szCs w:val="20"/>
        </w:rPr>
        <w:t>防治扬尘和大气污染工作；</w:t>
      </w:r>
    </w:p>
    <w:p w14:paraId="0DB3942C">
      <w:pPr>
        <w:pStyle w:val="2"/>
        <w:spacing w:before="171" w:line="219" w:lineRule="auto"/>
        <w:jc w:val="right"/>
        <w:rPr>
          <w:sz w:val="20"/>
          <w:szCs w:val="20"/>
        </w:rPr>
      </w:pPr>
      <w:r>
        <w:rPr>
          <w:spacing w:val="9"/>
          <w:sz w:val="20"/>
          <w:szCs w:val="20"/>
        </w:rPr>
        <w:t>(3)严格遵守“工完、料尽、场地净”的原则，不留垃圾、不留剩余施工材料和施工机</w:t>
      </w:r>
    </w:p>
    <w:p w14:paraId="2C48AB11">
      <w:pPr>
        <w:pStyle w:val="2"/>
        <w:spacing w:before="195" w:line="220" w:lineRule="auto"/>
        <w:ind w:left="959"/>
        <w:rPr>
          <w:sz w:val="20"/>
          <w:szCs w:val="20"/>
        </w:rPr>
      </w:pPr>
      <w:r>
        <w:rPr>
          <w:spacing w:val="5"/>
          <w:sz w:val="20"/>
          <w:szCs w:val="20"/>
        </w:rPr>
        <w:t>具，各种设备运转正常；</w:t>
      </w:r>
    </w:p>
    <w:p w14:paraId="7AA9DBA7">
      <w:pPr>
        <w:pStyle w:val="2"/>
        <w:spacing w:before="130" w:line="286" w:lineRule="auto"/>
        <w:ind w:left="1390" w:right="34" w:hanging="300"/>
        <w:rPr>
          <w:sz w:val="20"/>
          <w:szCs w:val="20"/>
        </w:rPr>
      </w:pPr>
      <w:r>
        <w:rPr>
          <w:spacing w:val="9"/>
          <w:sz w:val="20"/>
          <w:szCs w:val="20"/>
        </w:rPr>
        <w:t>(4)承包人修建的施工临时设施应符合监理</w:t>
      </w:r>
      <w:r>
        <w:rPr>
          <w:spacing w:val="8"/>
          <w:sz w:val="20"/>
          <w:szCs w:val="20"/>
        </w:rPr>
        <w:t>人批准的施工规划要求，并应满足本节规定</w:t>
      </w:r>
      <w:r>
        <w:rPr>
          <w:sz w:val="20"/>
          <w:szCs w:val="20"/>
        </w:rPr>
        <w:t xml:space="preserve"> </w:t>
      </w:r>
      <w:r>
        <w:rPr>
          <w:spacing w:val="3"/>
          <w:sz w:val="20"/>
          <w:szCs w:val="20"/>
        </w:rPr>
        <w:t>的各项安全要求；</w:t>
      </w:r>
    </w:p>
    <w:p w14:paraId="608A28D4">
      <w:pPr>
        <w:pStyle w:val="2"/>
        <w:spacing w:before="152" w:line="280" w:lineRule="auto"/>
        <w:ind w:left="1390" w:right="38" w:hanging="300"/>
        <w:rPr>
          <w:sz w:val="20"/>
          <w:szCs w:val="20"/>
        </w:rPr>
      </w:pPr>
      <w:r>
        <w:rPr>
          <w:spacing w:val="14"/>
          <w:sz w:val="20"/>
          <w:szCs w:val="20"/>
        </w:rPr>
        <w:t>(5)监理人可要求承包人在施工场地(现场)</w:t>
      </w:r>
      <w:r>
        <w:rPr>
          <w:spacing w:val="13"/>
          <w:sz w:val="20"/>
          <w:szCs w:val="20"/>
        </w:rPr>
        <w:t>设置各级承包人的安全文明施工责任牌等</w:t>
      </w:r>
      <w:r>
        <w:rPr>
          <w:sz w:val="20"/>
          <w:szCs w:val="20"/>
        </w:rPr>
        <w:t xml:space="preserve"> </w:t>
      </w:r>
      <w:r>
        <w:rPr>
          <w:spacing w:val="3"/>
          <w:sz w:val="20"/>
          <w:szCs w:val="20"/>
        </w:rPr>
        <w:t>文明施工警示牌；</w:t>
      </w:r>
    </w:p>
    <w:p w14:paraId="4D5E57AE">
      <w:pPr>
        <w:spacing w:line="280" w:lineRule="auto"/>
        <w:rPr>
          <w:sz w:val="20"/>
          <w:szCs w:val="20"/>
        </w:rPr>
        <w:sectPr>
          <w:footerReference r:id="rId333" w:type="default"/>
          <w:pgSz w:w="11910" w:h="16840"/>
          <w:pgMar w:top="400" w:right="1501" w:bottom="1147" w:left="1450" w:header="0" w:footer="1021" w:gutter="0"/>
          <w:cols w:space="720" w:num="1"/>
        </w:sectPr>
      </w:pPr>
    </w:p>
    <w:p w14:paraId="57CB59BC">
      <w:pPr>
        <w:spacing w:line="264" w:lineRule="auto"/>
        <w:rPr>
          <w:rFonts w:ascii="Arial"/>
          <w:sz w:val="21"/>
        </w:rPr>
      </w:pPr>
    </w:p>
    <w:p w14:paraId="59ABC95A">
      <w:pPr>
        <w:spacing w:line="264" w:lineRule="auto"/>
        <w:rPr>
          <w:rFonts w:ascii="Arial"/>
          <w:sz w:val="21"/>
        </w:rPr>
      </w:pPr>
    </w:p>
    <w:p w14:paraId="68CC5C28">
      <w:pPr>
        <w:spacing w:line="264" w:lineRule="auto"/>
        <w:rPr>
          <w:rFonts w:ascii="Arial"/>
          <w:sz w:val="21"/>
        </w:rPr>
      </w:pPr>
    </w:p>
    <w:p w14:paraId="7BD85573">
      <w:pPr>
        <w:spacing w:line="264" w:lineRule="auto"/>
        <w:rPr>
          <w:rFonts w:ascii="Arial"/>
          <w:sz w:val="21"/>
        </w:rPr>
      </w:pPr>
    </w:p>
    <w:p w14:paraId="4E2EDF6E">
      <w:pPr>
        <w:spacing w:line="265" w:lineRule="auto"/>
        <w:rPr>
          <w:rFonts w:ascii="Arial"/>
          <w:sz w:val="21"/>
        </w:rPr>
      </w:pPr>
    </w:p>
    <w:p w14:paraId="361F77DC">
      <w:pPr>
        <w:pStyle w:val="2"/>
        <w:spacing w:before="68" w:line="285" w:lineRule="auto"/>
        <w:ind w:left="1380" w:right="39" w:hanging="290"/>
        <w:rPr>
          <w:sz w:val="21"/>
          <w:szCs w:val="21"/>
        </w:rPr>
      </w:pPr>
      <w:r>
        <w:rPr>
          <w:spacing w:val="-1"/>
          <w:sz w:val="21"/>
          <w:szCs w:val="21"/>
        </w:rPr>
        <w:t>(6)材料进入现场应按指定位置堆放整齐，不得影响现场施工和堵塞施工、消防通</w:t>
      </w:r>
      <w:r>
        <w:rPr>
          <w:spacing w:val="-2"/>
          <w:sz w:val="21"/>
          <w:szCs w:val="21"/>
        </w:rPr>
        <w:t>道。</w:t>
      </w:r>
      <w:r>
        <w:rPr>
          <w:sz w:val="21"/>
          <w:szCs w:val="21"/>
        </w:rPr>
        <w:t xml:space="preserve"> </w:t>
      </w:r>
      <w:r>
        <w:rPr>
          <w:spacing w:val="-3"/>
          <w:sz w:val="21"/>
          <w:szCs w:val="21"/>
        </w:rPr>
        <w:t>材料堆放场地应有专职的管理人员；</w:t>
      </w:r>
    </w:p>
    <w:p w14:paraId="07F27CAC">
      <w:pPr>
        <w:pStyle w:val="2"/>
        <w:spacing w:before="131" w:line="273" w:lineRule="auto"/>
        <w:ind w:left="1380" w:right="16" w:hanging="290"/>
        <w:rPr>
          <w:sz w:val="21"/>
          <w:szCs w:val="21"/>
        </w:rPr>
      </w:pPr>
      <w:r>
        <w:rPr>
          <w:sz w:val="21"/>
          <w:szCs w:val="21"/>
        </w:rPr>
        <w:t>(7)施工和安装用的各种扣件、紧固件、绳索</w:t>
      </w:r>
      <w:r>
        <w:rPr>
          <w:spacing w:val="-1"/>
          <w:sz w:val="21"/>
          <w:szCs w:val="21"/>
        </w:rPr>
        <w:t>具、小型配件、镙钉等应在专设的仓库内</w:t>
      </w:r>
      <w:r>
        <w:rPr>
          <w:sz w:val="21"/>
          <w:szCs w:val="21"/>
        </w:rPr>
        <w:t xml:space="preserve"> </w:t>
      </w:r>
      <w:r>
        <w:rPr>
          <w:spacing w:val="-6"/>
          <w:sz w:val="21"/>
          <w:szCs w:val="21"/>
        </w:rPr>
        <w:t>装箱放置；</w:t>
      </w:r>
    </w:p>
    <w:p w14:paraId="1B5AA363">
      <w:pPr>
        <w:pStyle w:val="2"/>
        <w:spacing w:before="128" w:line="277" w:lineRule="auto"/>
        <w:ind w:left="1380" w:right="7" w:hanging="290"/>
        <w:rPr>
          <w:sz w:val="21"/>
          <w:szCs w:val="21"/>
        </w:rPr>
      </w:pPr>
      <w:r>
        <w:rPr>
          <w:sz w:val="21"/>
          <w:szCs w:val="21"/>
        </w:rPr>
        <w:t>(8)现场风、水管及照明电线的布置应安全、合理、规范、有序，</w:t>
      </w:r>
      <w:r>
        <w:rPr>
          <w:spacing w:val="-1"/>
          <w:sz w:val="21"/>
          <w:szCs w:val="21"/>
        </w:rPr>
        <w:t>做到整齐美观。不得</w:t>
      </w:r>
      <w:r>
        <w:rPr>
          <w:sz w:val="21"/>
          <w:szCs w:val="21"/>
        </w:rPr>
        <w:t xml:space="preserve"> </w:t>
      </w:r>
      <w:r>
        <w:rPr>
          <w:spacing w:val="-1"/>
          <w:sz w:val="21"/>
          <w:szCs w:val="21"/>
        </w:rPr>
        <w:t>随意架设和造成隐患或影响施工。</w:t>
      </w:r>
    </w:p>
    <w:p w14:paraId="4BF7D0D0">
      <w:pPr>
        <w:pStyle w:val="2"/>
        <w:spacing w:before="130" w:line="285" w:lineRule="auto"/>
        <w:ind w:left="949" w:right="76" w:hanging="949"/>
        <w:rPr>
          <w:sz w:val="21"/>
          <w:szCs w:val="21"/>
        </w:rPr>
      </w:pPr>
      <w:r>
        <w:rPr>
          <w:rFonts w:ascii="Times New Roman" w:hAnsi="Times New Roman" w:eastAsia="Times New Roman" w:cs="Times New Roman"/>
          <w:spacing w:val="-1"/>
          <w:sz w:val="21"/>
          <w:szCs w:val="21"/>
        </w:rPr>
        <w:t xml:space="preserve">6.7.3          </w:t>
      </w:r>
      <w:r>
        <w:rPr>
          <w:spacing w:val="-1"/>
          <w:sz w:val="21"/>
          <w:szCs w:val="21"/>
        </w:rPr>
        <w:t>承包人应为其雇佣的施工工人建立并维护相应的生活宿舍、食堂、浴室、厕所和文化活</w:t>
      </w:r>
      <w:r>
        <w:rPr>
          <w:spacing w:val="15"/>
          <w:sz w:val="21"/>
          <w:szCs w:val="21"/>
        </w:rPr>
        <w:t xml:space="preserve"> </w:t>
      </w:r>
      <w:r>
        <w:rPr>
          <w:sz w:val="21"/>
          <w:szCs w:val="21"/>
        </w:rPr>
        <w:t>动室等，其标准应满足政府有关机构的生活标准和卫生标准等的要求。</w:t>
      </w:r>
    </w:p>
    <w:p w14:paraId="6054BE28">
      <w:pPr>
        <w:pStyle w:val="2"/>
        <w:spacing w:before="111" w:line="313" w:lineRule="auto"/>
        <w:ind w:left="949" w:hanging="949"/>
        <w:rPr>
          <w:sz w:val="21"/>
          <w:szCs w:val="21"/>
        </w:rPr>
      </w:pPr>
      <w:r>
        <w:rPr>
          <w:rFonts w:ascii="Times New Roman" w:hAnsi="Times New Roman" w:eastAsia="Times New Roman" w:cs="Times New Roman"/>
          <w:spacing w:val="-3"/>
          <w:sz w:val="21"/>
          <w:szCs w:val="21"/>
        </w:rPr>
        <w:t xml:space="preserve">6.7.4          </w:t>
      </w:r>
      <w:r>
        <w:rPr>
          <w:spacing w:val="-3"/>
          <w:sz w:val="21"/>
          <w:szCs w:val="21"/>
        </w:rPr>
        <w:t>承包人应为任何已完成的、正在施工的和将要进行的任何永久和临</w:t>
      </w:r>
      <w:r>
        <w:rPr>
          <w:spacing w:val="-4"/>
          <w:sz w:val="21"/>
          <w:szCs w:val="21"/>
        </w:rPr>
        <w:t>时工程、材料、物品、</w:t>
      </w:r>
      <w:r>
        <w:rPr>
          <w:sz w:val="21"/>
          <w:szCs w:val="21"/>
        </w:rPr>
        <w:t xml:space="preserve"> </w:t>
      </w:r>
      <w:r>
        <w:rPr>
          <w:spacing w:val="-2"/>
          <w:sz w:val="21"/>
          <w:szCs w:val="21"/>
        </w:rPr>
        <w:t>设备、以及因永久工程施工而暴露的任何毗邻财产提供必要的覆盖和保护措施，以避免</w:t>
      </w:r>
      <w:r>
        <w:rPr>
          <w:spacing w:val="6"/>
          <w:sz w:val="21"/>
          <w:szCs w:val="21"/>
        </w:rPr>
        <w:t xml:space="preserve">  </w:t>
      </w:r>
      <w:r>
        <w:rPr>
          <w:spacing w:val="-1"/>
          <w:sz w:val="21"/>
          <w:szCs w:val="21"/>
        </w:rPr>
        <w:t>恶劣天气影响工程施工和造成损失。保护措施包括必要的冬</w:t>
      </w:r>
      <w:r>
        <w:rPr>
          <w:spacing w:val="-2"/>
          <w:sz w:val="21"/>
          <w:szCs w:val="21"/>
        </w:rPr>
        <w:t>季供暖、雨季用阻燃防水油</w:t>
      </w:r>
      <w:r>
        <w:rPr>
          <w:sz w:val="21"/>
          <w:szCs w:val="21"/>
        </w:rPr>
        <w:t xml:space="preserve"> </w:t>
      </w:r>
      <w:r>
        <w:rPr>
          <w:spacing w:val="-2"/>
          <w:sz w:val="21"/>
          <w:szCs w:val="21"/>
        </w:rPr>
        <w:t>布覆盖、额外的临时仓库等等。因承包人措施不得力或不到位而给工程带来的任何损失</w:t>
      </w:r>
      <w:r>
        <w:rPr>
          <w:spacing w:val="7"/>
          <w:sz w:val="21"/>
          <w:szCs w:val="21"/>
        </w:rPr>
        <w:t xml:space="preserve">  </w:t>
      </w:r>
      <w:r>
        <w:rPr>
          <w:spacing w:val="-4"/>
          <w:sz w:val="21"/>
          <w:szCs w:val="21"/>
        </w:rPr>
        <w:t>或损害由承包人自己负责。</w:t>
      </w:r>
    </w:p>
    <w:p w14:paraId="6371FBDF">
      <w:pPr>
        <w:pStyle w:val="2"/>
        <w:spacing w:before="130" w:line="272" w:lineRule="auto"/>
        <w:ind w:left="949" w:right="76" w:hanging="949"/>
        <w:rPr>
          <w:sz w:val="21"/>
          <w:szCs w:val="21"/>
        </w:rPr>
      </w:pPr>
      <w:r>
        <w:rPr>
          <w:rFonts w:ascii="Times New Roman" w:hAnsi="Times New Roman" w:eastAsia="Times New Roman" w:cs="Times New Roman"/>
          <w:spacing w:val="-1"/>
          <w:sz w:val="21"/>
          <w:szCs w:val="21"/>
        </w:rPr>
        <w:t xml:space="preserve">6.7.5          </w:t>
      </w:r>
      <w:r>
        <w:rPr>
          <w:spacing w:val="-1"/>
          <w:sz w:val="21"/>
          <w:szCs w:val="21"/>
        </w:rPr>
        <w:t>在工程施工期间，承包人应始终避免现场出现不必要的障碍物，妥当存放并处</w:t>
      </w:r>
      <w:r>
        <w:rPr>
          <w:spacing w:val="-2"/>
          <w:sz w:val="21"/>
          <w:szCs w:val="21"/>
        </w:rPr>
        <w:t>置施工设</w:t>
      </w:r>
      <w:r>
        <w:rPr>
          <w:sz w:val="21"/>
          <w:szCs w:val="21"/>
        </w:rPr>
        <w:t xml:space="preserve"> </w:t>
      </w:r>
      <w:r>
        <w:rPr>
          <w:spacing w:val="-1"/>
          <w:sz w:val="21"/>
          <w:szCs w:val="21"/>
        </w:rPr>
        <w:t>备和多余的材料，及时从现场清除运走任何废料、垃圾或不再需要的临时工</w:t>
      </w:r>
      <w:r>
        <w:rPr>
          <w:spacing w:val="-2"/>
          <w:sz w:val="21"/>
          <w:szCs w:val="21"/>
        </w:rPr>
        <w:t>程和设施。</w:t>
      </w:r>
    </w:p>
    <w:p w14:paraId="34DA35BB">
      <w:pPr>
        <w:pStyle w:val="2"/>
        <w:spacing w:before="130" w:line="308" w:lineRule="auto"/>
        <w:ind w:left="949" w:right="42" w:hanging="949"/>
        <w:rPr>
          <w:sz w:val="21"/>
          <w:szCs w:val="21"/>
        </w:rPr>
      </w:pPr>
      <w:r>
        <w:rPr>
          <w:rFonts w:ascii="Times New Roman" w:hAnsi="Times New Roman" w:eastAsia="Times New Roman" w:cs="Times New Roman"/>
          <w:spacing w:val="-1"/>
          <w:sz w:val="21"/>
          <w:szCs w:val="21"/>
        </w:rPr>
        <w:t xml:space="preserve">6.7.6          </w:t>
      </w:r>
      <w:r>
        <w:rPr>
          <w:spacing w:val="-1"/>
          <w:sz w:val="21"/>
          <w:szCs w:val="21"/>
        </w:rPr>
        <w:t>承包人应为现场的工人和其他所有工作人员提供符合卫生要求的厕所，厕所</w:t>
      </w:r>
      <w:r>
        <w:rPr>
          <w:spacing w:val="-2"/>
          <w:sz w:val="21"/>
          <w:szCs w:val="21"/>
        </w:rPr>
        <w:t>应贴有磁砖</w:t>
      </w:r>
      <w:r>
        <w:rPr>
          <w:sz w:val="21"/>
          <w:szCs w:val="21"/>
        </w:rPr>
        <w:t xml:space="preserve"> </w:t>
      </w:r>
      <w:r>
        <w:rPr>
          <w:spacing w:val="-1"/>
          <w:sz w:val="21"/>
          <w:szCs w:val="21"/>
        </w:rPr>
        <w:t>并带手动或自动冲刷设备和洗手盆；承包人负责支付与该厕所相关的所有费用，并</w:t>
      </w:r>
      <w:r>
        <w:rPr>
          <w:spacing w:val="-2"/>
          <w:sz w:val="21"/>
          <w:szCs w:val="21"/>
        </w:rPr>
        <w:t>在工</w:t>
      </w:r>
      <w:r>
        <w:rPr>
          <w:sz w:val="21"/>
          <w:szCs w:val="21"/>
        </w:rPr>
        <w:t xml:space="preserve"> 程竣工时，从现场拆除。承包人应在工作区域设立必要的临时厕所</w:t>
      </w:r>
      <w:r>
        <w:rPr>
          <w:spacing w:val="-1"/>
          <w:sz w:val="21"/>
          <w:szCs w:val="21"/>
        </w:rPr>
        <w:t>，并安排专门人员负</w:t>
      </w:r>
      <w:r>
        <w:rPr>
          <w:sz w:val="21"/>
          <w:szCs w:val="21"/>
        </w:rPr>
        <w:t xml:space="preserve"> </w:t>
      </w:r>
      <w:r>
        <w:rPr>
          <w:spacing w:val="-1"/>
          <w:sz w:val="21"/>
          <w:szCs w:val="21"/>
        </w:rPr>
        <w:t>责看护和定时清理，以确保现场免于随地大小便的污染。</w:t>
      </w:r>
    </w:p>
    <w:p w14:paraId="22502117">
      <w:pPr>
        <w:pStyle w:val="2"/>
        <w:spacing w:before="121" w:line="281" w:lineRule="auto"/>
        <w:ind w:left="949" w:hanging="949"/>
        <w:rPr>
          <w:sz w:val="21"/>
          <w:szCs w:val="21"/>
        </w:rPr>
      </w:pPr>
      <w:r>
        <w:rPr>
          <w:spacing w:val="-1"/>
          <w:sz w:val="21"/>
          <w:szCs w:val="21"/>
        </w:rPr>
        <w:t>6.7.7    承包人应在现场设立固定的垃圾临时存放点并在各楼层或区域设立</w:t>
      </w:r>
      <w:r>
        <w:rPr>
          <w:spacing w:val="-2"/>
          <w:sz w:val="21"/>
          <w:szCs w:val="21"/>
        </w:rPr>
        <w:t>必要的垃圾箱；所有</w:t>
      </w:r>
      <w:r>
        <w:rPr>
          <w:sz w:val="21"/>
          <w:szCs w:val="21"/>
        </w:rPr>
        <w:t xml:space="preserve">  </w:t>
      </w:r>
      <w:r>
        <w:rPr>
          <w:spacing w:val="-4"/>
          <w:sz w:val="21"/>
          <w:szCs w:val="21"/>
        </w:rPr>
        <w:t>垃圾必须在当天清除出现场，并按有关行政</w:t>
      </w:r>
      <w:r>
        <w:rPr>
          <w:spacing w:val="-5"/>
          <w:sz w:val="21"/>
          <w:szCs w:val="21"/>
        </w:rPr>
        <w:t>管理部门的规定，运送到指定的垃圾消纳场。</w:t>
      </w:r>
    </w:p>
    <w:p w14:paraId="5B107694">
      <w:pPr>
        <w:pStyle w:val="2"/>
        <w:spacing w:before="132" w:line="298" w:lineRule="auto"/>
        <w:ind w:left="949" w:hanging="949"/>
        <w:rPr>
          <w:sz w:val="21"/>
          <w:szCs w:val="21"/>
        </w:rPr>
      </w:pPr>
      <w:r>
        <w:rPr>
          <w:spacing w:val="-1"/>
          <w:sz w:val="21"/>
          <w:szCs w:val="21"/>
        </w:rPr>
        <w:t>6.7.8    承包人应对离场垃圾和所有车辆进行防遗洒和防污染公共道路的处理。承包人在运输任</w:t>
      </w:r>
      <w:r>
        <w:rPr>
          <w:spacing w:val="9"/>
          <w:sz w:val="21"/>
          <w:szCs w:val="21"/>
        </w:rPr>
        <w:t xml:space="preserve"> </w:t>
      </w:r>
      <w:r>
        <w:rPr>
          <w:sz w:val="21"/>
          <w:szCs w:val="21"/>
        </w:rPr>
        <w:t>何材料的过程中，应采取一切必要的措施，防止遗洒和污</w:t>
      </w:r>
      <w:r>
        <w:rPr>
          <w:spacing w:val="-1"/>
          <w:sz w:val="21"/>
          <w:szCs w:val="21"/>
        </w:rPr>
        <w:t>染公共道路；一旦出现上述遗</w:t>
      </w:r>
      <w:r>
        <w:rPr>
          <w:sz w:val="21"/>
          <w:szCs w:val="21"/>
        </w:rPr>
        <w:t xml:space="preserve"> </w:t>
      </w:r>
      <w:r>
        <w:rPr>
          <w:spacing w:val="-1"/>
          <w:sz w:val="21"/>
          <w:szCs w:val="21"/>
        </w:rPr>
        <w:t>洒或污染现象，承包人应立即采取措施进行清扫，并承担所有费用。承包人在</w:t>
      </w:r>
      <w:r>
        <w:rPr>
          <w:spacing w:val="-2"/>
          <w:sz w:val="21"/>
          <w:szCs w:val="21"/>
        </w:rPr>
        <w:t>混凝土浇</w:t>
      </w:r>
      <w:r>
        <w:rPr>
          <w:sz w:val="21"/>
          <w:szCs w:val="21"/>
        </w:rPr>
        <w:t xml:space="preserve"> </w:t>
      </w:r>
      <w:r>
        <w:rPr>
          <w:spacing w:val="-4"/>
          <w:sz w:val="21"/>
          <w:szCs w:val="21"/>
        </w:rPr>
        <w:t>注、材料运输、材料装卸、现场清理等工作</w:t>
      </w:r>
      <w:r>
        <w:rPr>
          <w:spacing w:val="-5"/>
          <w:sz w:val="21"/>
          <w:szCs w:val="21"/>
        </w:rPr>
        <w:t>中应采取一切必要的措施防止影响公共交通。</w:t>
      </w:r>
    </w:p>
    <w:p w14:paraId="75F5735E">
      <w:pPr>
        <w:pStyle w:val="2"/>
        <w:spacing w:before="161" w:line="313" w:lineRule="auto"/>
        <w:ind w:left="949" w:right="75" w:hanging="949"/>
        <w:rPr>
          <w:sz w:val="21"/>
          <w:szCs w:val="21"/>
        </w:rPr>
      </w:pPr>
      <w:r>
        <w:rPr>
          <w:rFonts w:ascii="Times New Roman" w:hAnsi="Times New Roman" w:eastAsia="Times New Roman" w:cs="Times New Roman"/>
          <w:spacing w:val="-1"/>
          <w:sz w:val="21"/>
          <w:szCs w:val="21"/>
        </w:rPr>
        <w:t xml:space="preserve">6.7.9          </w:t>
      </w:r>
      <w:r>
        <w:rPr>
          <w:spacing w:val="-1"/>
          <w:sz w:val="21"/>
          <w:szCs w:val="21"/>
        </w:rPr>
        <w:t>承包人应当制订成品保护措施计划，并提供必要的人员、材料和设备用于整个工程的成</w:t>
      </w:r>
      <w:r>
        <w:rPr>
          <w:spacing w:val="16"/>
          <w:sz w:val="21"/>
          <w:szCs w:val="21"/>
        </w:rPr>
        <w:t xml:space="preserve"> </w:t>
      </w:r>
      <w:r>
        <w:rPr>
          <w:spacing w:val="-2"/>
          <w:sz w:val="21"/>
          <w:szCs w:val="21"/>
        </w:rPr>
        <w:t>品保护，包括对已完成的所有分包人和独立承包人(如果有)的工程或工作的保护，防止</w:t>
      </w:r>
      <w:r>
        <w:rPr>
          <w:spacing w:val="16"/>
          <w:sz w:val="21"/>
          <w:szCs w:val="21"/>
        </w:rPr>
        <w:t xml:space="preserve"> </w:t>
      </w:r>
      <w:r>
        <w:rPr>
          <w:spacing w:val="-1"/>
          <w:sz w:val="21"/>
          <w:szCs w:val="21"/>
        </w:rPr>
        <w:t>已完工作遭受任何损坏或破坏。成品保护措施应当合</w:t>
      </w:r>
      <w:r>
        <w:rPr>
          <w:spacing w:val="-2"/>
          <w:sz w:val="21"/>
          <w:szCs w:val="21"/>
        </w:rPr>
        <w:t>理安排工序，并包括工作面移交制</w:t>
      </w:r>
      <w:r>
        <w:rPr>
          <w:sz w:val="21"/>
          <w:szCs w:val="21"/>
        </w:rPr>
        <w:t xml:space="preserve"> </w:t>
      </w:r>
      <w:r>
        <w:rPr>
          <w:spacing w:val="-1"/>
          <w:sz w:val="21"/>
          <w:szCs w:val="21"/>
        </w:rPr>
        <w:t>度和责任赔偿制度。成品保护措施计划最迟应当在任何专业分包人或独立承包</w:t>
      </w:r>
      <w:r>
        <w:rPr>
          <w:spacing w:val="-2"/>
          <w:sz w:val="21"/>
          <w:szCs w:val="21"/>
        </w:rPr>
        <w:t>人进场施</w:t>
      </w:r>
      <w:r>
        <w:rPr>
          <w:sz w:val="21"/>
          <w:szCs w:val="21"/>
        </w:rPr>
        <w:t xml:space="preserve"> </w:t>
      </w:r>
      <w:r>
        <w:rPr>
          <w:spacing w:val="6"/>
          <w:sz w:val="21"/>
          <w:szCs w:val="21"/>
        </w:rPr>
        <w:t>工前不少于28天报监理人审批。</w:t>
      </w:r>
    </w:p>
    <w:p w14:paraId="6D8F27E9">
      <w:pPr>
        <w:pStyle w:val="2"/>
        <w:spacing w:before="121" w:line="219" w:lineRule="auto"/>
        <w:rPr>
          <w:sz w:val="21"/>
          <w:szCs w:val="21"/>
        </w:rPr>
      </w:pPr>
      <w:r>
        <w:rPr>
          <w:spacing w:val="-1"/>
          <w:sz w:val="21"/>
          <w:szCs w:val="21"/>
        </w:rPr>
        <w:t>6.7.10   文明施工方面的其他要求如下：</w:t>
      </w:r>
    </w:p>
    <w:p w14:paraId="28BB2903">
      <w:pPr>
        <w:spacing w:line="350" w:lineRule="auto"/>
        <w:rPr>
          <w:rFonts w:ascii="Arial"/>
          <w:sz w:val="21"/>
        </w:rPr>
      </w:pPr>
    </w:p>
    <w:p w14:paraId="73BBE437">
      <w:pPr>
        <w:spacing w:line="380" w:lineRule="exact"/>
        <w:ind w:firstLine="709"/>
      </w:pPr>
      <w:r>
        <w:rPr>
          <w:position w:val="-7"/>
        </w:rPr>
        <w:drawing>
          <wp:inline distT="0" distB="0" distL="0" distR="0">
            <wp:extent cx="4718050" cy="240665"/>
            <wp:effectExtent l="0" t="0" r="0" b="0"/>
            <wp:docPr id="242" name="IM 242"/>
            <wp:cNvGraphicFramePr/>
            <a:graphic xmlns:a="http://schemas.openxmlformats.org/drawingml/2006/main">
              <a:graphicData uri="http://schemas.openxmlformats.org/drawingml/2006/picture">
                <pic:pic xmlns:pic="http://schemas.openxmlformats.org/drawingml/2006/picture">
                  <pic:nvPicPr>
                    <pic:cNvPr id="242" name="IM 242"/>
                    <pic:cNvPicPr/>
                  </pic:nvPicPr>
                  <pic:blipFill>
                    <a:blip r:embed="rId509"/>
                    <a:stretch>
                      <a:fillRect/>
                    </a:stretch>
                  </pic:blipFill>
                  <pic:spPr>
                    <a:xfrm>
                      <a:off x="0" y="0"/>
                      <a:ext cx="4718084" cy="241243"/>
                    </a:xfrm>
                    <a:prstGeom prst="rect">
                      <a:avLst/>
                    </a:prstGeom>
                  </pic:spPr>
                </pic:pic>
              </a:graphicData>
            </a:graphic>
          </wp:inline>
        </w:drawing>
      </w:r>
    </w:p>
    <w:p w14:paraId="6950B485">
      <w:pPr>
        <w:pStyle w:val="2"/>
        <w:spacing w:before="167" w:line="220" w:lineRule="auto"/>
        <w:ind w:left="3"/>
        <w:rPr>
          <w:sz w:val="21"/>
          <w:szCs w:val="21"/>
        </w:rPr>
      </w:pPr>
      <w:r>
        <w:rPr>
          <w:b/>
          <w:bCs/>
          <w:spacing w:val="4"/>
          <w:sz w:val="21"/>
          <w:szCs w:val="21"/>
        </w:rPr>
        <w:t>6.8</w:t>
      </w:r>
      <w:r>
        <w:rPr>
          <w:spacing w:val="4"/>
          <w:sz w:val="21"/>
          <w:szCs w:val="21"/>
        </w:rPr>
        <w:t xml:space="preserve">      </w:t>
      </w:r>
      <w:r>
        <w:rPr>
          <w:b/>
          <w:bCs/>
          <w:spacing w:val="4"/>
          <w:sz w:val="21"/>
          <w:szCs w:val="21"/>
        </w:rPr>
        <w:t>环境保护</w:t>
      </w:r>
    </w:p>
    <w:p w14:paraId="4EDA3E23">
      <w:pPr>
        <w:pStyle w:val="2"/>
        <w:spacing w:before="112" w:line="219" w:lineRule="auto"/>
        <w:rPr>
          <w:sz w:val="21"/>
          <w:szCs w:val="21"/>
        </w:rPr>
      </w:pPr>
      <w:r>
        <w:rPr>
          <w:spacing w:val="-1"/>
          <w:sz w:val="21"/>
          <w:szCs w:val="21"/>
        </w:rPr>
        <w:t>6.8.1    在工程施工、完工及修补任何缺陷的过程中，承包人应当始终遵守国家</w:t>
      </w:r>
      <w:r>
        <w:rPr>
          <w:spacing w:val="-2"/>
          <w:sz w:val="21"/>
          <w:szCs w:val="21"/>
        </w:rPr>
        <w:t>和工程所在地有</w:t>
      </w:r>
    </w:p>
    <w:p w14:paraId="37D0C8B4">
      <w:pPr>
        <w:spacing w:line="219" w:lineRule="auto"/>
        <w:rPr>
          <w:sz w:val="21"/>
          <w:szCs w:val="21"/>
        </w:rPr>
        <w:sectPr>
          <w:footerReference r:id="rId334" w:type="default"/>
          <w:pgSz w:w="11910" w:h="16840"/>
          <w:pgMar w:top="400" w:right="1494" w:bottom="1147" w:left="1450" w:header="0" w:footer="1021" w:gutter="0"/>
          <w:cols w:space="720" w:num="1"/>
        </w:sectPr>
      </w:pPr>
    </w:p>
    <w:p w14:paraId="2028A9CD">
      <w:pPr>
        <w:spacing w:line="264" w:lineRule="auto"/>
        <w:rPr>
          <w:rFonts w:ascii="Arial"/>
          <w:sz w:val="21"/>
        </w:rPr>
      </w:pPr>
    </w:p>
    <w:p w14:paraId="0B2E4B3E">
      <w:pPr>
        <w:spacing w:line="264" w:lineRule="auto"/>
        <w:rPr>
          <w:rFonts w:ascii="Arial"/>
          <w:sz w:val="21"/>
        </w:rPr>
      </w:pPr>
    </w:p>
    <w:p w14:paraId="06173900">
      <w:pPr>
        <w:spacing w:line="264" w:lineRule="auto"/>
        <w:rPr>
          <w:rFonts w:ascii="Arial"/>
          <w:sz w:val="21"/>
        </w:rPr>
      </w:pPr>
    </w:p>
    <w:p w14:paraId="0F05CE9F">
      <w:pPr>
        <w:spacing w:line="264" w:lineRule="auto"/>
        <w:rPr>
          <w:rFonts w:ascii="Arial"/>
          <w:sz w:val="21"/>
        </w:rPr>
      </w:pPr>
    </w:p>
    <w:p w14:paraId="2783A15F">
      <w:pPr>
        <w:spacing w:line="264" w:lineRule="auto"/>
        <w:rPr>
          <w:rFonts w:ascii="Arial"/>
          <w:sz w:val="21"/>
        </w:rPr>
      </w:pPr>
    </w:p>
    <w:p w14:paraId="7C37C2BE">
      <w:pPr>
        <w:pStyle w:val="2"/>
        <w:spacing w:before="69" w:line="339" w:lineRule="auto"/>
        <w:ind w:left="939" w:right="116"/>
        <w:rPr>
          <w:sz w:val="21"/>
          <w:szCs w:val="21"/>
        </w:rPr>
      </w:pPr>
      <w:r>
        <w:rPr>
          <w:spacing w:val="-2"/>
          <w:sz w:val="21"/>
          <w:szCs w:val="21"/>
        </w:rPr>
        <w:t>关环境保护、水土保护和污染防治的法律、法规、规章、规范、标准和规程等，按照通</w:t>
      </w:r>
      <w:r>
        <w:rPr>
          <w:spacing w:val="3"/>
          <w:sz w:val="21"/>
          <w:szCs w:val="21"/>
        </w:rPr>
        <w:t xml:space="preserve"> </w:t>
      </w:r>
      <w:r>
        <w:rPr>
          <w:spacing w:val="7"/>
          <w:sz w:val="21"/>
          <w:szCs w:val="21"/>
        </w:rPr>
        <w:t>用合同条款第4.1.6项和第9.4款的约定履行其环境与生态</w:t>
      </w:r>
      <w:r>
        <w:rPr>
          <w:spacing w:val="6"/>
          <w:sz w:val="21"/>
          <w:szCs w:val="21"/>
        </w:rPr>
        <w:t>保护职责。</w:t>
      </w:r>
    </w:p>
    <w:p w14:paraId="638F1448">
      <w:pPr>
        <w:pStyle w:val="2"/>
        <w:spacing w:before="3" w:line="292" w:lineRule="auto"/>
        <w:ind w:left="939" w:right="86" w:hanging="939"/>
        <w:rPr>
          <w:sz w:val="21"/>
          <w:szCs w:val="21"/>
        </w:rPr>
      </w:pPr>
      <w:r>
        <w:rPr>
          <w:rFonts w:ascii="Times New Roman" w:hAnsi="Times New Roman" w:eastAsia="Times New Roman" w:cs="Times New Roman"/>
          <w:spacing w:val="-1"/>
          <w:sz w:val="21"/>
          <w:szCs w:val="21"/>
        </w:rPr>
        <w:t xml:space="preserve">6.8.2          </w:t>
      </w:r>
      <w:r>
        <w:rPr>
          <w:spacing w:val="-1"/>
          <w:sz w:val="21"/>
          <w:szCs w:val="21"/>
        </w:rPr>
        <w:t>承包人应按合同约定和监理人指示，接受国家和地方环境保护行政主管部门</w:t>
      </w:r>
      <w:r>
        <w:rPr>
          <w:spacing w:val="-2"/>
          <w:sz w:val="21"/>
          <w:szCs w:val="21"/>
        </w:rPr>
        <w:t>的监督、监</w:t>
      </w:r>
      <w:r>
        <w:rPr>
          <w:sz w:val="21"/>
          <w:szCs w:val="21"/>
        </w:rPr>
        <w:t xml:space="preserve"> </w:t>
      </w:r>
      <w:r>
        <w:rPr>
          <w:spacing w:val="-1"/>
          <w:sz w:val="21"/>
          <w:szCs w:val="21"/>
        </w:rPr>
        <w:t>测和检查。承包人应对其违反现行法律、法规、规章、规范、标准和规程等</w:t>
      </w:r>
      <w:r>
        <w:rPr>
          <w:spacing w:val="-2"/>
          <w:sz w:val="21"/>
          <w:szCs w:val="21"/>
        </w:rPr>
        <w:t>以及本合同</w:t>
      </w:r>
      <w:r>
        <w:rPr>
          <w:sz w:val="21"/>
          <w:szCs w:val="21"/>
        </w:rPr>
        <w:t xml:space="preserve"> 约定所造成的环境污染、水土流失、人员伤害和财产损失等</w:t>
      </w:r>
      <w:r>
        <w:rPr>
          <w:spacing w:val="-1"/>
          <w:sz w:val="21"/>
          <w:szCs w:val="21"/>
        </w:rPr>
        <w:t>承担赔偿责任。</w:t>
      </w:r>
    </w:p>
    <w:p w14:paraId="59219868">
      <w:pPr>
        <w:pStyle w:val="2"/>
        <w:spacing w:before="138" w:line="296" w:lineRule="auto"/>
        <w:ind w:left="939" w:right="19" w:hanging="939"/>
        <w:rPr>
          <w:sz w:val="21"/>
          <w:szCs w:val="21"/>
        </w:rPr>
      </w:pPr>
      <w:r>
        <w:rPr>
          <w:rFonts w:ascii="Times New Roman" w:hAnsi="Times New Roman" w:eastAsia="Times New Roman" w:cs="Times New Roman"/>
          <w:sz w:val="21"/>
          <w:szCs w:val="21"/>
        </w:rPr>
        <w:t xml:space="preserve">6.8.3          </w:t>
      </w:r>
      <w:r>
        <w:rPr>
          <w:sz w:val="21"/>
          <w:szCs w:val="21"/>
        </w:rPr>
        <w:t>承包人制订施工方案和组织措施时应当同步考虑环境和资源保护，包括水土资源保</w:t>
      </w:r>
      <w:r>
        <w:rPr>
          <w:spacing w:val="-1"/>
          <w:sz w:val="21"/>
          <w:szCs w:val="21"/>
        </w:rPr>
        <w:t>护、</w:t>
      </w:r>
      <w:r>
        <w:rPr>
          <w:sz w:val="21"/>
          <w:szCs w:val="21"/>
        </w:rPr>
        <w:t xml:space="preserve"> </w:t>
      </w:r>
      <w:r>
        <w:rPr>
          <w:spacing w:val="-1"/>
          <w:sz w:val="21"/>
          <w:szCs w:val="21"/>
        </w:rPr>
        <w:t>噪声、振动和照明污染防治、固体废弃物处理、污水和</w:t>
      </w:r>
      <w:r>
        <w:rPr>
          <w:spacing w:val="-2"/>
          <w:sz w:val="21"/>
          <w:szCs w:val="21"/>
        </w:rPr>
        <w:t>废气处理、粉尘和扬尘控制、道</w:t>
      </w:r>
      <w:r>
        <w:rPr>
          <w:sz w:val="21"/>
          <w:szCs w:val="21"/>
        </w:rPr>
        <w:t xml:space="preserve"> </w:t>
      </w:r>
      <w:r>
        <w:rPr>
          <w:spacing w:val="-5"/>
          <w:sz w:val="21"/>
          <w:szCs w:val="21"/>
        </w:rPr>
        <w:t>路污染防治、卫生防疫、禁止有害材料、节能减排以及不可再生资源的循环使用等因素。</w:t>
      </w:r>
    </w:p>
    <w:p w14:paraId="59A0A958">
      <w:pPr>
        <w:pStyle w:val="2"/>
        <w:spacing w:before="130" w:line="308" w:lineRule="auto"/>
        <w:ind w:left="939" w:hanging="939"/>
        <w:rPr>
          <w:sz w:val="21"/>
          <w:szCs w:val="21"/>
        </w:rPr>
      </w:pPr>
      <w:r>
        <w:rPr>
          <w:rFonts w:ascii="Times New Roman" w:hAnsi="Times New Roman" w:eastAsia="Times New Roman" w:cs="Times New Roman"/>
          <w:spacing w:val="-3"/>
          <w:sz w:val="21"/>
          <w:szCs w:val="21"/>
        </w:rPr>
        <w:t xml:space="preserve">6.8.4          </w:t>
      </w:r>
      <w:r>
        <w:rPr>
          <w:spacing w:val="-3"/>
          <w:sz w:val="21"/>
          <w:szCs w:val="21"/>
        </w:rPr>
        <w:t>承包人应当做好施工场地(现场)范围内各项工程的开挖支护、截水、降水</w:t>
      </w:r>
      <w:r>
        <w:rPr>
          <w:spacing w:val="-4"/>
          <w:sz w:val="21"/>
          <w:szCs w:val="21"/>
        </w:rPr>
        <w:t>、灌浆、衬砌、</w:t>
      </w:r>
      <w:r>
        <w:rPr>
          <w:sz w:val="21"/>
          <w:szCs w:val="21"/>
        </w:rPr>
        <w:t xml:space="preserve"> </w:t>
      </w:r>
      <w:r>
        <w:rPr>
          <w:spacing w:val="-1"/>
          <w:sz w:val="21"/>
          <w:szCs w:val="21"/>
        </w:rPr>
        <w:t>挡护结构及排水等工程防护措施。施工场地(现场)内所有边</w:t>
      </w:r>
      <w:r>
        <w:rPr>
          <w:spacing w:val="-2"/>
          <w:sz w:val="21"/>
          <w:szCs w:val="21"/>
        </w:rPr>
        <w:t>坡应当采取有效的水土流失</w:t>
      </w:r>
      <w:r>
        <w:rPr>
          <w:sz w:val="21"/>
          <w:szCs w:val="21"/>
        </w:rPr>
        <w:t xml:space="preserve">  </w:t>
      </w:r>
      <w:r>
        <w:rPr>
          <w:spacing w:val="-1"/>
          <w:sz w:val="21"/>
          <w:szCs w:val="21"/>
        </w:rPr>
        <w:t>防治和保持措施。承包人采用的降水方案应当充分考虑对地下水的保</w:t>
      </w:r>
      <w:r>
        <w:rPr>
          <w:spacing w:val="-2"/>
          <w:sz w:val="21"/>
          <w:szCs w:val="21"/>
        </w:rPr>
        <w:t>护和合理使用，如</w:t>
      </w:r>
      <w:r>
        <w:rPr>
          <w:sz w:val="21"/>
          <w:szCs w:val="21"/>
        </w:rPr>
        <w:t xml:space="preserve">  </w:t>
      </w:r>
      <w:r>
        <w:rPr>
          <w:spacing w:val="-1"/>
          <w:sz w:val="21"/>
          <w:szCs w:val="21"/>
        </w:rPr>
        <w:t>果国家和(或)地方人民政府有特别规定的，承包人应</w:t>
      </w:r>
      <w:r>
        <w:rPr>
          <w:spacing w:val="-2"/>
          <w:sz w:val="21"/>
          <w:szCs w:val="21"/>
        </w:rPr>
        <w:t>当遵守有关规定。承包人还应设置</w:t>
      </w:r>
      <w:r>
        <w:rPr>
          <w:sz w:val="21"/>
          <w:szCs w:val="21"/>
        </w:rPr>
        <w:t xml:space="preserve">  </w:t>
      </w:r>
      <w:r>
        <w:rPr>
          <w:spacing w:val="-1"/>
          <w:sz w:val="21"/>
          <w:szCs w:val="21"/>
        </w:rPr>
        <w:t>完善的排水系统，保持施工场地(现场)始终处于良好的排水状</w:t>
      </w:r>
      <w:r>
        <w:rPr>
          <w:spacing w:val="-2"/>
          <w:sz w:val="21"/>
          <w:szCs w:val="21"/>
        </w:rPr>
        <w:t>态，防止降雨径流对施工</w:t>
      </w:r>
      <w:r>
        <w:rPr>
          <w:sz w:val="21"/>
          <w:szCs w:val="21"/>
        </w:rPr>
        <w:t xml:space="preserve">  </w:t>
      </w:r>
      <w:r>
        <w:rPr>
          <w:spacing w:val="-4"/>
          <w:sz w:val="21"/>
          <w:szCs w:val="21"/>
        </w:rPr>
        <w:t>场地(现场)的冲刷。</w:t>
      </w:r>
    </w:p>
    <w:p w14:paraId="2AFEABE4">
      <w:pPr>
        <w:pStyle w:val="2"/>
        <w:spacing w:before="158" w:line="312" w:lineRule="auto"/>
        <w:ind w:left="939" w:right="40" w:hanging="939"/>
        <w:rPr>
          <w:sz w:val="21"/>
          <w:szCs w:val="21"/>
        </w:rPr>
      </w:pPr>
      <w:r>
        <w:rPr>
          <w:rFonts w:ascii="Times New Roman" w:hAnsi="Times New Roman" w:eastAsia="Times New Roman" w:cs="Times New Roman"/>
          <w:sz w:val="21"/>
          <w:szCs w:val="21"/>
        </w:rPr>
        <w:t xml:space="preserve">6.8.5          </w:t>
      </w:r>
      <w:r>
        <w:rPr>
          <w:sz w:val="21"/>
          <w:szCs w:val="21"/>
        </w:rPr>
        <w:t>承包人应当确保其所提供的材料、工程设备、施工设备和其他材料都是绿色环保产</w:t>
      </w:r>
      <w:r>
        <w:rPr>
          <w:spacing w:val="-1"/>
          <w:sz w:val="21"/>
          <w:szCs w:val="21"/>
        </w:rPr>
        <w:t>品，</w:t>
      </w:r>
      <w:r>
        <w:rPr>
          <w:sz w:val="21"/>
          <w:szCs w:val="21"/>
        </w:rPr>
        <w:t xml:space="preserve"> </w:t>
      </w:r>
      <w:r>
        <w:rPr>
          <w:spacing w:val="-1"/>
          <w:sz w:val="21"/>
          <w:szCs w:val="21"/>
        </w:rPr>
        <w:t>列入国家强制认证产品名录的，还应当是通过国家强</w:t>
      </w:r>
      <w:r>
        <w:rPr>
          <w:spacing w:val="-2"/>
          <w:sz w:val="21"/>
          <w:szCs w:val="21"/>
        </w:rPr>
        <w:t>制认证的产品。承包人不得在任何</w:t>
      </w:r>
      <w:r>
        <w:rPr>
          <w:sz w:val="21"/>
          <w:szCs w:val="21"/>
        </w:rPr>
        <w:t xml:space="preserve"> </w:t>
      </w:r>
      <w:r>
        <w:rPr>
          <w:spacing w:val="1"/>
          <w:sz w:val="21"/>
          <w:szCs w:val="21"/>
        </w:rPr>
        <w:t>临时和永久性工程中使用任何政府明令禁止使用的对人体有害的任何材</w:t>
      </w:r>
      <w:r>
        <w:rPr>
          <w:sz w:val="21"/>
          <w:szCs w:val="21"/>
        </w:rPr>
        <w:t xml:space="preserve">料(如放射性材 </w:t>
      </w:r>
      <w:r>
        <w:rPr>
          <w:spacing w:val="1"/>
          <w:sz w:val="21"/>
          <w:szCs w:val="21"/>
        </w:rPr>
        <w:t>料、石棉制品等)和方法，同时也不得在永久性工程中使用政府虽未明令禁止但</w:t>
      </w:r>
      <w:r>
        <w:rPr>
          <w:sz w:val="21"/>
          <w:szCs w:val="21"/>
        </w:rPr>
        <w:t xml:space="preserve">会给居 </w:t>
      </w:r>
      <w:r>
        <w:rPr>
          <w:spacing w:val="-1"/>
          <w:sz w:val="21"/>
          <w:szCs w:val="21"/>
        </w:rPr>
        <w:t>住或使用人带来不适感觉或味觉的任何材料和添加剂等</w:t>
      </w:r>
      <w:r>
        <w:rPr>
          <w:spacing w:val="-2"/>
          <w:sz w:val="21"/>
          <w:szCs w:val="21"/>
        </w:rPr>
        <w:t>；承包人应在其施工环保措施计</w:t>
      </w:r>
      <w:r>
        <w:rPr>
          <w:sz w:val="21"/>
          <w:szCs w:val="21"/>
        </w:rPr>
        <w:t xml:space="preserve"> </w:t>
      </w:r>
      <w:r>
        <w:rPr>
          <w:spacing w:val="-1"/>
          <w:sz w:val="21"/>
          <w:szCs w:val="21"/>
        </w:rPr>
        <w:t>划中明确防止误用的保证措施；承包人违背此项约定的责任和后果全部由承包人承担。</w:t>
      </w:r>
    </w:p>
    <w:p w14:paraId="039BDC83">
      <w:pPr>
        <w:pStyle w:val="2"/>
        <w:spacing w:before="142" w:line="295" w:lineRule="auto"/>
        <w:ind w:left="939" w:right="91" w:hanging="939"/>
        <w:rPr>
          <w:sz w:val="21"/>
          <w:szCs w:val="21"/>
        </w:rPr>
      </w:pPr>
      <w:r>
        <w:rPr>
          <w:rFonts w:ascii="Times New Roman" w:hAnsi="Times New Roman" w:eastAsia="Times New Roman" w:cs="Times New Roman"/>
          <w:spacing w:val="4"/>
          <w:sz w:val="21"/>
          <w:szCs w:val="21"/>
        </w:rPr>
        <w:t xml:space="preserve">6.8.6         </w:t>
      </w:r>
      <w:r>
        <w:rPr>
          <w:spacing w:val="4"/>
          <w:sz w:val="21"/>
          <w:szCs w:val="21"/>
        </w:rPr>
        <w:t>承包人应为防止进出场的车辆的遗洒和轮胎夹带物等污染周边和公共道路等行为制定</w:t>
      </w:r>
      <w:r>
        <w:rPr>
          <w:spacing w:val="6"/>
          <w:sz w:val="21"/>
          <w:szCs w:val="21"/>
        </w:rPr>
        <w:t xml:space="preserve"> </w:t>
      </w:r>
      <w:r>
        <w:rPr>
          <w:spacing w:val="-1"/>
          <w:sz w:val="21"/>
          <w:szCs w:val="21"/>
        </w:rPr>
        <w:t>并落实必要的措施，这类措施应至少包括在现场出入口</w:t>
      </w:r>
      <w:r>
        <w:rPr>
          <w:spacing w:val="-2"/>
          <w:sz w:val="21"/>
          <w:szCs w:val="21"/>
        </w:rPr>
        <w:t>设立冲刷池、对现场道路做硬化</w:t>
      </w:r>
      <w:r>
        <w:rPr>
          <w:sz w:val="21"/>
          <w:szCs w:val="21"/>
        </w:rPr>
        <w:t xml:space="preserve"> </w:t>
      </w:r>
      <w:r>
        <w:rPr>
          <w:spacing w:val="-2"/>
          <w:sz w:val="21"/>
          <w:szCs w:val="21"/>
        </w:rPr>
        <w:t>处理和采用密闭车厢或者对车厢进行必要的覆盖等等。</w:t>
      </w:r>
    </w:p>
    <w:p w14:paraId="0EAD2DEA">
      <w:pPr>
        <w:pStyle w:val="2"/>
        <w:spacing w:before="131" w:line="303" w:lineRule="auto"/>
        <w:ind w:left="939" w:right="40" w:hanging="939"/>
        <w:rPr>
          <w:sz w:val="21"/>
          <w:szCs w:val="21"/>
        </w:rPr>
      </w:pPr>
      <w:r>
        <w:rPr>
          <w:rFonts w:ascii="Times New Roman" w:hAnsi="Times New Roman" w:eastAsia="Times New Roman" w:cs="Times New Roman"/>
          <w:sz w:val="21"/>
          <w:szCs w:val="21"/>
        </w:rPr>
        <w:t xml:space="preserve">6.8.7          </w:t>
      </w:r>
      <w:r>
        <w:rPr>
          <w:sz w:val="21"/>
          <w:szCs w:val="21"/>
        </w:rPr>
        <w:t>承包人应当保证施工生产用水和生活用水符合国家有关标准的规定。承包人还应建</w:t>
      </w:r>
      <w:r>
        <w:rPr>
          <w:spacing w:val="-1"/>
          <w:sz w:val="21"/>
          <w:szCs w:val="21"/>
        </w:rPr>
        <w:t>设、</w:t>
      </w:r>
      <w:r>
        <w:rPr>
          <w:sz w:val="21"/>
          <w:szCs w:val="21"/>
        </w:rPr>
        <w:t xml:space="preserve"> </w:t>
      </w:r>
      <w:r>
        <w:rPr>
          <w:spacing w:val="1"/>
          <w:sz w:val="21"/>
          <w:szCs w:val="21"/>
        </w:rPr>
        <w:t>运行和维护施工生产和生活污水收集和处理系统(包括排污口接入),建立符合排放标准</w:t>
      </w:r>
      <w:r>
        <w:rPr>
          <w:spacing w:val="14"/>
          <w:sz w:val="21"/>
          <w:szCs w:val="21"/>
        </w:rPr>
        <w:t xml:space="preserve"> </w:t>
      </w:r>
      <w:r>
        <w:rPr>
          <w:spacing w:val="-1"/>
          <w:sz w:val="21"/>
          <w:szCs w:val="21"/>
        </w:rPr>
        <w:t>的临时沉淀池和化粪池等，不得将未处理的污水直接或间接排放</w:t>
      </w:r>
      <w:r>
        <w:rPr>
          <w:spacing w:val="-2"/>
          <w:sz w:val="21"/>
          <w:szCs w:val="21"/>
        </w:rPr>
        <w:t>或造成地表水体、地下</w:t>
      </w:r>
      <w:r>
        <w:rPr>
          <w:sz w:val="21"/>
          <w:szCs w:val="21"/>
        </w:rPr>
        <w:t xml:space="preserve"> </w:t>
      </w:r>
      <w:r>
        <w:rPr>
          <w:spacing w:val="-3"/>
          <w:sz w:val="21"/>
          <w:szCs w:val="21"/>
        </w:rPr>
        <w:t>水体或生产和生活供水系统的污染。</w:t>
      </w:r>
    </w:p>
    <w:p w14:paraId="531DD25C">
      <w:pPr>
        <w:pStyle w:val="2"/>
        <w:spacing w:before="139" w:line="322" w:lineRule="auto"/>
        <w:ind w:left="939" w:right="87" w:hanging="939"/>
        <w:rPr>
          <w:sz w:val="21"/>
          <w:szCs w:val="21"/>
        </w:rPr>
      </w:pPr>
      <w:r>
        <w:rPr>
          <w:rFonts w:ascii="Times New Roman" w:hAnsi="Times New Roman" w:eastAsia="Times New Roman" w:cs="Times New Roman"/>
          <w:spacing w:val="-1"/>
          <w:sz w:val="21"/>
          <w:szCs w:val="21"/>
        </w:rPr>
        <w:t xml:space="preserve">6.8.8          </w:t>
      </w:r>
      <w:r>
        <w:rPr>
          <w:spacing w:val="-1"/>
          <w:sz w:val="21"/>
          <w:szCs w:val="21"/>
        </w:rPr>
        <w:t>承包人应当采取有效措施，建立相应的过滤、分离、分解或沉淀等处理系统，不</w:t>
      </w:r>
      <w:r>
        <w:rPr>
          <w:spacing w:val="-2"/>
          <w:sz w:val="21"/>
          <w:szCs w:val="21"/>
        </w:rPr>
        <w:t>得让有</w:t>
      </w:r>
      <w:r>
        <w:rPr>
          <w:sz w:val="21"/>
          <w:szCs w:val="21"/>
        </w:rPr>
        <w:t xml:space="preserve"> </w:t>
      </w:r>
      <w:r>
        <w:rPr>
          <w:spacing w:val="1"/>
          <w:sz w:val="21"/>
          <w:szCs w:val="21"/>
        </w:rPr>
        <w:t>害物质(如燃料、油料、化学品、酸等，以及超过剂量的有害气体和尘埃、</w:t>
      </w:r>
      <w:r>
        <w:rPr>
          <w:sz w:val="21"/>
          <w:szCs w:val="21"/>
        </w:rPr>
        <w:t xml:space="preserve">污水、泥土 </w:t>
      </w:r>
      <w:r>
        <w:rPr>
          <w:spacing w:val="2"/>
          <w:sz w:val="21"/>
          <w:szCs w:val="21"/>
        </w:rPr>
        <w:t>或水、弃渣等)污染施工场地(现场)及其周边环</w:t>
      </w:r>
      <w:r>
        <w:rPr>
          <w:spacing w:val="1"/>
          <w:sz w:val="21"/>
          <w:szCs w:val="21"/>
        </w:rPr>
        <w:t>境。承包人施工工序、工作时间安排和</w:t>
      </w:r>
      <w:r>
        <w:rPr>
          <w:sz w:val="21"/>
          <w:szCs w:val="21"/>
        </w:rPr>
        <w:t xml:space="preserve"> </w:t>
      </w:r>
      <w:r>
        <w:rPr>
          <w:spacing w:val="4"/>
          <w:sz w:val="21"/>
          <w:szCs w:val="21"/>
        </w:rPr>
        <w:t>施工设备的配置应当充分考虑降低噪声和照明等对施工场地(现场)周</w:t>
      </w:r>
      <w:r>
        <w:rPr>
          <w:spacing w:val="3"/>
          <w:sz w:val="21"/>
          <w:szCs w:val="21"/>
        </w:rPr>
        <w:t>边生产和生活的</w:t>
      </w:r>
      <w:r>
        <w:rPr>
          <w:sz w:val="21"/>
          <w:szCs w:val="21"/>
        </w:rPr>
        <w:t xml:space="preserve"> </w:t>
      </w:r>
      <w:r>
        <w:rPr>
          <w:spacing w:val="-1"/>
          <w:sz w:val="21"/>
          <w:szCs w:val="21"/>
        </w:rPr>
        <w:t>影响，并满足国家和地方政府有关规定的要求。</w:t>
      </w:r>
    </w:p>
    <w:p w14:paraId="62CC2A34">
      <w:pPr>
        <w:pStyle w:val="2"/>
        <w:spacing w:before="153" w:line="220" w:lineRule="auto"/>
        <w:rPr>
          <w:sz w:val="21"/>
          <w:szCs w:val="21"/>
        </w:rPr>
      </w:pPr>
      <w:r>
        <w:rPr>
          <w:spacing w:val="-2"/>
          <w:sz w:val="21"/>
          <w:szCs w:val="21"/>
        </w:rPr>
        <w:t>6.8.9    环境保护方面的其他要求如下：</w:t>
      </w:r>
    </w:p>
    <w:p w14:paraId="3E6701F6">
      <w:pPr>
        <w:spacing w:line="397" w:lineRule="auto"/>
        <w:rPr>
          <w:rFonts w:ascii="Arial"/>
          <w:sz w:val="21"/>
        </w:rPr>
      </w:pPr>
    </w:p>
    <w:p w14:paraId="3F584528">
      <w:pPr>
        <w:spacing w:before="1" w:line="470" w:lineRule="exact"/>
        <w:ind w:firstLine="699"/>
      </w:pPr>
      <w:r>
        <w:rPr>
          <w:position w:val="-9"/>
        </w:rPr>
        <w:drawing>
          <wp:inline distT="0" distB="0" distL="0" distR="0">
            <wp:extent cx="4718050" cy="298450"/>
            <wp:effectExtent l="0" t="0" r="0" b="0"/>
            <wp:docPr id="244" name="IM 244"/>
            <wp:cNvGraphicFramePr/>
            <a:graphic xmlns:a="http://schemas.openxmlformats.org/drawingml/2006/main">
              <a:graphicData uri="http://schemas.openxmlformats.org/drawingml/2006/picture">
                <pic:pic xmlns:pic="http://schemas.openxmlformats.org/drawingml/2006/picture">
                  <pic:nvPicPr>
                    <pic:cNvPr id="244" name="IM 244"/>
                    <pic:cNvPicPr/>
                  </pic:nvPicPr>
                  <pic:blipFill>
                    <a:blip r:embed="rId510"/>
                    <a:stretch>
                      <a:fillRect/>
                    </a:stretch>
                  </pic:blipFill>
                  <pic:spPr>
                    <a:xfrm>
                      <a:off x="0" y="0"/>
                      <a:ext cx="4718084" cy="298452"/>
                    </a:xfrm>
                    <a:prstGeom prst="rect">
                      <a:avLst/>
                    </a:prstGeom>
                  </pic:spPr>
                </pic:pic>
              </a:graphicData>
            </a:graphic>
          </wp:inline>
        </w:drawing>
      </w:r>
    </w:p>
    <w:p w14:paraId="2EFE7813">
      <w:pPr>
        <w:spacing w:line="470" w:lineRule="exact"/>
        <w:sectPr>
          <w:footerReference r:id="rId335" w:type="default"/>
          <w:pgSz w:w="11910" w:h="16840"/>
          <w:pgMar w:top="400" w:right="1484" w:bottom="1147" w:left="1460" w:header="0" w:footer="1021" w:gutter="0"/>
          <w:cols w:space="720" w:num="1"/>
        </w:sectPr>
      </w:pPr>
    </w:p>
    <w:p w14:paraId="588524C1">
      <w:pPr>
        <w:spacing w:line="276" w:lineRule="auto"/>
        <w:rPr>
          <w:rFonts w:ascii="Arial"/>
          <w:sz w:val="21"/>
        </w:rPr>
      </w:pPr>
    </w:p>
    <w:p w14:paraId="2E32122F">
      <w:pPr>
        <w:spacing w:line="276" w:lineRule="auto"/>
        <w:rPr>
          <w:rFonts w:ascii="Arial"/>
          <w:sz w:val="21"/>
        </w:rPr>
      </w:pPr>
    </w:p>
    <w:p w14:paraId="489CCA34">
      <w:pPr>
        <w:spacing w:line="276" w:lineRule="auto"/>
        <w:rPr>
          <w:rFonts w:ascii="Arial"/>
          <w:sz w:val="21"/>
        </w:rPr>
      </w:pPr>
    </w:p>
    <w:p w14:paraId="3B886B14">
      <w:pPr>
        <w:spacing w:line="277" w:lineRule="auto"/>
        <w:rPr>
          <w:rFonts w:ascii="Arial"/>
          <w:sz w:val="21"/>
        </w:rPr>
      </w:pPr>
    </w:p>
    <w:p w14:paraId="1A37AB50">
      <w:pPr>
        <w:spacing w:line="277" w:lineRule="auto"/>
        <w:rPr>
          <w:rFonts w:ascii="Arial"/>
          <w:sz w:val="21"/>
        </w:rPr>
      </w:pPr>
    </w:p>
    <w:p w14:paraId="0BC2EB6D">
      <w:pPr>
        <w:pStyle w:val="2"/>
        <w:spacing w:before="65" w:line="220" w:lineRule="auto"/>
        <w:ind w:left="2"/>
        <w:rPr>
          <w:sz w:val="20"/>
          <w:szCs w:val="20"/>
        </w:rPr>
      </w:pPr>
      <w:r>
        <w:rPr>
          <w:b/>
          <w:bCs/>
          <w:spacing w:val="25"/>
          <w:sz w:val="20"/>
          <w:szCs w:val="20"/>
        </w:rPr>
        <w:t>6.9</w:t>
      </w:r>
      <w:r>
        <w:rPr>
          <w:spacing w:val="14"/>
          <w:sz w:val="20"/>
          <w:szCs w:val="20"/>
        </w:rPr>
        <w:t xml:space="preserve">      </w:t>
      </w:r>
      <w:r>
        <w:rPr>
          <w:b/>
          <w:bCs/>
          <w:spacing w:val="25"/>
          <w:sz w:val="20"/>
          <w:szCs w:val="20"/>
        </w:rPr>
        <w:t>施工环保措施计划</w:t>
      </w:r>
    </w:p>
    <w:p w14:paraId="549980EA">
      <w:pPr>
        <w:pStyle w:val="2"/>
        <w:spacing w:before="213" w:line="360" w:lineRule="auto"/>
        <w:ind w:left="949" w:right="57" w:hanging="949"/>
        <w:rPr>
          <w:sz w:val="20"/>
          <w:szCs w:val="20"/>
        </w:rPr>
      </w:pPr>
      <w:r>
        <w:rPr>
          <w:spacing w:val="12"/>
          <w:sz w:val="20"/>
          <w:szCs w:val="20"/>
        </w:rPr>
        <w:t>6.9.1    通用合同条款第9.4.2 项约定的施工环保措施计划是</w:t>
      </w:r>
      <w:r>
        <w:rPr>
          <w:spacing w:val="11"/>
          <w:sz w:val="20"/>
          <w:szCs w:val="20"/>
        </w:rPr>
        <w:t>承包人阐明环保方针和拟采用的</w:t>
      </w:r>
      <w:r>
        <w:rPr>
          <w:sz w:val="20"/>
          <w:szCs w:val="20"/>
        </w:rPr>
        <w:t xml:space="preserve"> </w:t>
      </w:r>
      <w:r>
        <w:rPr>
          <w:spacing w:val="8"/>
          <w:sz w:val="20"/>
          <w:szCs w:val="20"/>
        </w:rPr>
        <w:t>环保措施及方法等的文件，其内容应包括但不限于：</w:t>
      </w:r>
    </w:p>
    <w:p w14:paraId="14D0CDCB">
      <w:pPr>
        <w:pStyle w:val="2"/>
        <w:spacing w:line="219" w:lineRule="auto"/>
        <w:ind w:left="949"/>
        <w:rPr>
          <w:sz w:val="20"/>
          <w:szCs w:val="20"/>
        </w:rPr>
      </w:pPr>
      <w:r>
        <w:rPr>
          <w:spacing w:val="7"/>
          <w:sz w:val="20"/>
          <w:szCs w:val="20"/>
        </w:rPr>
        <w:t>(1)承包人生活区(如果有)的生活用水和生活污水</w:t>
      </w:r>
      <w:r>
        <w:rPr>
          <w:spacing w:val="6"/>
          <w:sz w:val="20"/>
          <w:szCs w:val="20"/>
        </w:rPr>
        <w:t>处理措施；</w:t>
      </w:r>
    </w:p>
    <w:p w14:paraId="7CE1607A">
      <w:pPr>
        <w:pStyle w:val="2"/>
        <w:spacing w:before="172" w:line="219" w:lineRule="auto"/>
        <w:ind w:left="949"/>
        <w:rPr>
          <w:sz w:val="20"/>
          <w:szCs w:val="20"/>
        </w:rPr>
      </w:pPr>
      <w:r>
        <w:rPr>
          <w:spacing w:val="3"/>
          <w:sz w:val="20"/>
          <w:szCs w:val="20"/>
        </w:rPr>
        <w:t>(2)施工生产废水处理措施；</w:t>
      </w:r>
    </w:p>
    <w:p w14:paraId="00F01669">
      <w:pPr>
        <w:pStyle w:val="2"/>
        <w:spacing w:before="153" w:line="220" w:lineRule="auto"/>
        <w:ind w:left="949"/>
        <w:rPr>
          <w:sz w:val="20"/>
          <w:szCs w:val="20"/>
        </w:rPr>
      </w:pPr>
      <w:r>
        <w:rPr>
          <w:spacing w:val="4"/>
          <w:sz w:val="20"/>
          <w:szCs w:val="20"/>
        </w:rPr>
        <w:t>(3)施工扬尘和废气的处理措施；</w:t>
      </w:r>
    </w:p>
    <w:p w14:paraId="6F0C252E">
      <w:pPr>
        <w:pStyle w:val="2"/>
        <w:spacing w:before="161" w:line="219" w:lineRule="auto"/>
        <w:ind w:left="949"/>
        <w:rPr>
          <w:sz w:val="20"/>
          <w:szCs w:val="20"/>
        </w:rPr>
      </w:pPr>
      <w:r>
        <w:rPr>
          <w:spacing w:val="4"/>
          <w:sz w:val="20"/>
          <w:szCs w:val="20"/>
        </w:rPr>
        <w:t>(4)施工噪声和光污染控制措施；</w:t>
      </w:r>
    </w:p>
    <w:p w14:paraId="2717A8D9">
      <w:pPr>
        <w:pStyle w:val="2"/>
        <w:spacing w:before="153" w:line="220" w:lineRule="auto"/>
        <w:ind w:left="949"/>
        <w:rPr>
          <w:sz w:val="20"/>
          <w:szCs w:val="20"/>
        </w:rPr>
      </w:pPr>
      <w:r>
        <w:rPr>
          <w:sz w:val="20"/>
          <w:szCs w:val="20"/>
        </w:rPr>
        <w:t>(5)节能减排措施；</w:t>
      </w:r>
    </w:p>
    <w:p w14:paraId="12A5CA8F">
      <w:pPr>
        <w:pStyle w:val="2"/>
        <w:spacing w:before="152" w:line="219" w:lineRule="auto"/>
        <w:ind w:left="949"/>
        <w:rPr>
          <w:sz w:val="20"/>
          <w:szCs w:val="20"/>
        </w:rPr>
      </w:pPr>
      <w:r>
        <w:rPr>
          <w:spacing w:val="4"/>
          <w:sz w:val="20"/>
          <w:szCs w:val="20"/>
        </w:rPr>
        <w:t>(6)不可再生资源循环利用措施；</w:t>
      </w:r>
    </w:p>
    <w:p w14:paraId="208B848C">
      <w:pPr>
        <w:pStyle w:val="2"/>
        <w:spacing w:before="182" w:line="219" w:lineRule="auto"/>
        <w:ind w:left="949"/>
        <w:rPr>
          <w:sz w:val="20"/>
          <w:szCs w:val="20"/>
        </w:rPr>
      </w:pPr>
      <w:r>
        <w:rPr>
          <w:spacing w:val="3"/>
          <w:sz w:val="20"/>
          <w:szCs w:val="20"/>
        </w:rPr>
        <w:t>(7)固体废弃物处理措施；</w:t>
      </w:r>
    </w:p>
    <w:p w14:paraId="4B01127D">
      <w:pPr>
        <w:pStyle w:val="2"/>
        <w:spacing w:before="153" w:line="219" w:lineRule="auto"/>
        <w:ind w:left="949"/>
        <w:rPr>
          <w:sz w:val="20"/>
          <w:szCs w:val="20"/>
        </w:rPr>
      </w:pPr>
      <w:r>
        <w:rPr>
          <w:spacing w:val="4"/>
          <w:sz w:val="20"/>
          <w:szCs w:val="20"/>
        </w:rPr>
        <w:t>(8)人群健康保护和卫生防疫措施；</w:t>
      </w:r>
    </w:p>
    <w:p w14:paraId="2AC2D55C">
      <w:pPr>
        <w:pStyle w:val="2"/>
        <w:spacing w:before="171" w:line="219" w:lineRule="auto"/>
        <w:ind w:left="949"/>
        <w:rPr>
          <w:sz w:val="20"/>
          <w:szCs w:val="20"/>
        </w:rPr>
      </w:pPr>
      <w:r>
        <w:rPr>
          <w:spacing w:val="4"/>
          <w:sz w:val="20"/>
          <w:szCs w:val="20"/>
        </w:rPr>
        <w:t>(9)防止误用有害材料的保证措施；</w:t>
      </w:r>
    </w:p>
    <w:p w14:paraId="0EC7B4E1">
      <w:pPr>
        <w:pStyle w:val="2"/>
        <w:spacing w:before="155" w:line="219" w:lineRule="auto"/>
        <w:ind w:left="949"/>
        <w:rPr>
          <w:sz w:val="20"/>
          <w:szCs w:val="20"/>
        </w:rPr>
      </w:pPr>
      <w:r>
        <w:rPr>
          <w:spacing w:val="5"/>
          <w:sz w:val="20"/>
          <w:szCs w:val="20"/>
        </w:rPr>
        <w:t>(10)施工边坡工程的水土流失保护措施；</w:t>
      </w:r>
    </w:p>
    <w:p w14:paraId="1B16426D">
      <w:pPr>
        <w:pStyle w:val="2"/>
        <w:spacing w:before="152" w:line="219" w:lineRule="auto"/>
        <w:ind w:left="949"/>
        <w:rPr>
          <w:sz w:val="20"/>
          <w:szCs w:val="20"/>
        </w:rPr>
      </w:pPr>
      <w:r>
        <w:rPr>
          <w:spacing w:val="2"/>
          <w:sz w:val="20"/>
          <w:szCs w:val="20"/>
        </w:rPr>
        <w:t>(11)道路污染防治措施；</w:t>
      </w:r>
    </w:p>
    <w:p w14:paraId="30E33058">
      <w:pPr>
        <w:pStyle w:val="2"/>
        <w:spacing w:before="153" w:line="219" w:lineRule="auto"/>
        <w:ind w:left="949"/>
        <w:rPr>
          <w:sz w:val="20"/>
          <w:szCs w:val="20"/>
        </w:rPr>
      </w:pPr>
      <w:r>
        <w:rPr>
          <w:spacing w:val="6"/>
          <w:sz w:val="20"/>
          <w:szCs w:val="20"/>
        </w:rPr>
        <w:t>(12)完工后场地清理及其植被(如果有)恢复的规划和措施；</w:t>
      </w:r>
    </w:p>
    <w:p w14:paraId="4FA984AE">
      <w:pPr>
        <w:pStyle w:val="2"/>
        <w:spacing w:before="183" w:line="220" w:lineRule="auto"/>
        <w:ind w:left="949"/>
        <w:rPr>
          <w:sz w:val="20"/>
          <w:szCs w:val="20"/>
        </w:rPr>
      </w:pPr>
      <w:r>
        <w:rPr>
          <w:sz w:val="20"/>
          <w:szCs w:val="20"/>
        </w:rPr>
        <w:t>(13)其他：</w:t>
      </w:r>
      <w:r>
        <w:rPr>
          <w:spacing w:val="-31"/>
          <w:sz w:val="20"/>
          <w:szCs w:val="20"/>
        </w:rPr>
        <w:t xml:space="preserve"> </w:t>
      </w:r>
      <w:r>
        <w:rPr>
          <w:sz w:val="20"/>
          <w:szCs w:val="20"/>
          <w:u w:val="single" w:color="auto"/>
        </w:rPr>
        <w:t xml:space="preserve">                                                 </w:t>
      </w:r>
    </w:p>
    <w:p w14:paraId="5C263522">
      <w:pPr>
        <w:pStyle w:val="2"/>
        <w:spacing w:before="130" w:line="345" w:lineRule="auto"/>
        <w:ind w:left="949" w:right="24" w:hanging="949"/>
        <w:rPr>
          <w:sz w:val="20"/>
          <w:szCs w:val="20"/>
        </w:rPr>
      </w:pPr>
      <w:r>
        <w:rPr>
          <w:spacing w:val="11"/>
          <w:sz w:val="20"/>
          <w:szCs w:val="20"/>
        </w:rPr>
        <w:t>6.9.2    施工环保措施计划应当在专用合同条款第</w:t>
      </w:r>
      <w:r>
        <w:rPr>
          <w:spacing w:val="10"/>
          <w:sz w:val="20"/>
          <w:szCs w:val="20"/>
        </w:rPr>
        <w:t>9.4款约定的期限内报送监理人。承包人应当</w:t>
      </w:r>
      <w:r>
        <w:rPr>
          <w:sz w:val="20"/>
          <w:szCs w:val="20"/>
        </w:rPr>
        <w:t xml:space="preserve"> </w:t>
      </w:r>
      <w:r>
        <w:rPr>
          <w:spacing w:val="9"/>
          <w:sz w:val="20"/>
          <w:szCs w:val="20"/>
        </w:rPr>
        <w:t>严格执行经监理人批准的施工环保措施计划，并及时补充、修订和完善施工环保措施计</w:t>
      </w:r>
      <w:r>
        <w:rPr>
          <w:spacing w:val="5"/>
          <w:sz w:val="20"/>
          <w:szCs w:val="20"/>
        </w:rPr>
        <w:t xml:space="preserve"> </w:t>
      </w:r>
      <w:r>
        <w:rPr>
          <w:sz w:val="20"/>
          <w:szCs w:val="20"/>
        </w:rPr>
        <w:t>划。</w:t>
      </w:r>
    </w:p>
    <w:p w14:paraId="6A59CF3F">
      <w:pPr>
        <w:pStyle w:val="2"/>
        <w:spacing w:line="220" w:lineRule="auto"/>
        <w:ind w:left="4"/>
        <w:rPr>
          <w:sz w:val="28"/>
          <w:szCs w:val="28"/>
        </w:rPr>
      </w:pPr>
      <w:r>
        <w:rPr>
          <w:b/>
          <w:bCs/>
          <w:spacing w:val="-4"/>
          <w:sz w:val="28"/>
          <w:szCs w:val="28"/>
        </w:rPr>
        <w:t>7.治安保卫</w:t>
      </w:r>
    </w:p>
    <w:p w14:paraId="71BC4E20">
      <w:pPr>
        <w:pStyle w:val="2"/>
        <w:spacing w:before="135" w:line="313" w:lineRule="auto"/>
        <w:ind w:left="949" w:right="6" w:hanging="949"/>
        <w:rPr>
          <w:sz w:val="20"/>
          <w:szCs w:val="20"/>
        </w:rPr>
      </w:pPr>
      <w:r>
        <w:rPr>
          <w:rFonts w:ascii="Times New Roman" w:hAnsi="Times New Roman" w:eastAsia="Times New Roman" w:cs="Times New Roman"/>
          <w:spacing w:val="21"/>
          <w:sz w:val="20"/>
          <w:szCs w:val="20"/>
        </w:rPr>
        <w:t xml:space="preserve">7.1            </w:t>
      </w:r>
      <w:r>
        <w:rPr>
          <w:spacing w:val="21"/>
          <w:sz w:val="20"/>
          <w:szCs w:val="20"/>
        </w:rPr>
        <w:t>承包人应为施工场地(现场)提供24小时的</w:t>
      </w:r>
      <w:r>
        <w:rPr>
          <w:spacing w:val="20"/>
          <w:sz w:val="20"/>
          <w:szCs w:val="20"/>
        </w:rPr>
        <w:t>保安保卫服务，配备足够的保安人员和</w:t>
      </w:r>
      <w:r>
        <w:rPr>
          <w:sz w:val="20"/>
          <w:szCs w:val="20"/>
        </w:rPr>
        <w:t xml:space="preserve"> </w:t>
      </w:r>
      <w:r>
        <w:rPr>
          <w:spacing w:val="21"/>
          <w:sz w:val="20"/>
          <w:szCs w:val="20"/>
        </w:rPr>
        <w:t>保安设备，防止未经批准的任何人进入现场，控制人员、材料和</w:t>
      </w:r>
      <w:r>
        <w:rPr>
          <w:spacing w:val="20"/>
          <w:sz w:val="20"/>
          <w:szCs w:val="20"/>
        </w:rPr>
        <w:t>设备等的进出场，</w:t>
      </w:r>
      <w:r>
        <w:rPr>
          <w:sz w:val="20"/>
          <w:szCs w:val="20"/>
        </w:rPr>
        <w:t xml:space="preserve"> </w:t>
      </w:r>
      <w:r>
        <w:rPr>
          <w:spacing w:val="19"/>
          <w:sz w:val="20"/>
          <w:szCs w:val="20"/>
        </w:rPr>
        <w:t>防止现场材料、设备或其他任何物品的失窃，禁止任何现场内的打架斗殴事件。</w:t>
      </w:r>
    </w:p>
    <w:p w14:paraId="4E0289F2">
      <w:pPr>
        <w:pStyle w:val="2"/>
        <w:spacing w:before="143" w:line="314" w:lineRule="auto"/>
        <w:ind w:left="949" w:right="13" w:hanging="949"/>
        <w:rPr>
          <w:sz w:val="20"/>
          <w:szCs w:val="20"/>
        </w:rPr>
      </w:pPr>
      <w:r>
        <w:rPr>
          <w:rFonts w:ascii="Times New Roman" w:hAnsi="Times New Roman" w:eastAsia="Times New Roman" w:cs="Times New Roman"/>
          <w:spacing w:val="8"/>
          <w:sz w:val="20"/>
          <w:szCs w:val="20"/>
        </w:rPr>
        <w:t xml:space="preserve">7.2             </w:t>
      </w:r>
      <w:r>
        <w:rPr>
          <w:spacing w:val="8"/>
          <w:sz w:val="20"/>
          <w:szCs w:val="20"/>
        </w:rPr>
        <w:t>承包人的保安人员应是训练有素的专业保安人员，承</w:t>
      </w:r>
      <w:r>
        <w:rPr>
          <w:spacing w:val="7"/>
          <w:sz w:val="20"/>
          <w:szCs w:val="20"/>
        </w:rPr>
        <w:t>包人可以雇佣专业保安公司负责现</w:t>
      </w:r>
      <w:r>
        <w:rPr>
          <w:sz w:val="20"/>
          <w:szCs w:val="20"/>
        </w:rPr>
        <w:t xml:space="preserve"> </w:t>
      </w:r>
      <w:r>
        <w:rPr>
          <w:spacing w:val="10"/>
          <w:sz w:val="20"/>
          <w:szCs w:val="20"/>
        </w:rPr>
        <w:t>场保安和保卫；保安保卫制度除规范现场出入大门控制外，</w:t>
      </w:r>
      <w:r>
        <w:rPr>
          <w:spacing w:val="9"/>
          <w:sz w:val="20"/>
          <w:szCs w:val="20"/>
        </w:rPr>
        <w:t>还应规定定时和不定时的施</w:t>
      </w:r>
      <w:r>
        <w:rPr>
          <w:sz w:val="20"/>
          <w:szCs w:val="20"/>
        </w:rPr>
        <w:t xml:space="preserve"> </w:t>
      </w:r>
      <w:r>
        <w:rPr>
          <w:spacing w:val="7"/>
          <w:sz w:val="20"/>
          <w:szCs w:val="20"/>
        </w:rPr>
        <w:t>工场地(现场)周边和全现场的保安巡逻。</w:t>
      </w:r>
    </w:p>
    <w:p w14:paraId="218D4FAC">
      <w:pPr>
        <w:pStyle w:val="2"/>
        <w:spacing w:before="151" w:line="313" w:lineRule="auto"/>
        <w:ind w:left="949" w:right="13" w:hanging="949"/>
        <w:rPr>
          <w:sz w:val="20"/>
          <w:szCs w:val="20"/>
        </w:rPr>
      </w:pPr>
      <w:r>
        <w:rPr>
          <w:rFonts w:ascii="Times New Roman" w:hAnsi="Times New Roman" w:eastAsia="Times New Roman" w:cs="Times New Roman"/>
          <w:spacing w:val="8"/>
          <w:sz w:val="20"/>
          <w:szCs w:val="20"/>
        </w:rPr>
        <w:t xml:space="preserve">7.3             </w:t>
      </w:r>
      <w:r>
        <w:rPr>
          <w:spacing w:val="8"/>
          <w:sz w:val="20"/>
          <w:szCs w:val="20"/>
        </w:rPr>
        <w:t>承包人应制定并实施严格的施工场地(</w:t>
      </w:r>
      <w:r>
        <w:rPr>
          <w:spacing w:val="7"/>
          <w:sz w:val="20"/>
          <w:szCs w:val="20"/>
        </w:rPr>
        <w:t>现场)出入制度并报监理人审批；车辆的出入须有</w:t>
      </w:r>
      <w:r>
        <w:rPr>
          <w:sz w:val="20"/>
          <w:szCs w:val="20"/>
        </w:rPr>
        <w:t xml:space="preserve"> </w:t>
      </w:r>
      <w:r>
        <w:rPr>
          <w:spacing w:val="10"/>
          <w:sz w:val="20"/>
          <w:szCs w:val="20"/>
        </w:rPr>
        <w:t>出入审批制度，并有指定的专人负责管理；人员进出现</w:t>
      </w:r>
      <w:r>
        <w:rPr>
          <w:spacing w:val="9"/>
          <w:sz w:val="20"/>
          <w:szCs w:val="20"/>
        </w:rPr>
        <w:t>场应有出入证，出入证须以经过</w:t>
      </w:r>
      <w:r>
        <w:rPr>
          <w:sz w:val="20"/>
          <w:szCs w:val="20"/>
        </w:rPr>
        <w:t xml:space="preserve"> </w:t>
      </w:r>
      <w:r>
        <w:rPr>
          <w:spacing w:val="7"/>
          <w:sz w:val="20"/>
          <w:szCs w:val="20"/>
        </w:rPr>
        <w:t>监理人批准的格式印制。</w:t>
      </w:r>
    </w:p>
    <w:p w14:paraId="08A6BA9C">
      <w:pPr>
        <w:pStyle w:val="2"/>
        <w:spacing w:before="151" w:line="334" w:lineRule="auto"/>
        <w:ind w:left="949" w:hanging="949"/>
        <w:rPr>
          <w:sz w:val="20"/>
          <w:szCs w:val="20"/>
        </w:rPr>
      </w:pPr>
      <w:r>
        <w:rPr>
          <w:rFonts w:ascii="Times New Roman" w:hAnsi="Times New Roman" w:eastAsia="Times New Roman" w:cs="Times New Roman"/>
          <w:spacing w:val="8"/>
          <w:sz w:val="20"/>
          <w:szCs w:val="20"/>
        </w:rPr>
        <w:t xml:space="preserve">7.4             </w:t>
      </w:r>
      <w:r>
        <w:rPr>
          <w:spacing w:val="8"/>
          <w:sz w:val="20"/>
          <w:szCs w:val="20"/>
        </w:rPr>
        <w:t>承包人应确保任何未经监理人同意的参观人员进入现场；承包人应准备足够数量的专门</w:t>
      </w:r>
      <w:r>
        <w:rPr>
          <w:sz w:val="20"/>
          <w:szCs w:val="20"/>
        </w:rPr>
        <w:t xml:space="preserve"> </w:t>
      </w:r>
      <w:r>
        <w:rPr>
          <w:spacing w:val="10"/>
          <w:sz w:val="20"/>
          <w:szCs w:val="20"/>
        </w:rPr>
        <w:t>用于参观人员的安全帽并带明显标志，承包人同时应准备一</w:t>
      </w:r>
      <w:r>
        <w:rPr>
          <w:spacing w:val="9"/>
          <w:sz w:val="20"/>
          <w:szCs w:val="20"/>
        </w:rPr>
        <w:t>个参观人员登记簿用于记录</w:t>
      </w:r>
      <w:r>
        <w:rPr>
          <w:sz w:val="20"/>
          <w:szCs w:val="20"/>
        </w:rPr>
        <w:t xml:space="preserve"> </w:t>
      </w:r>
      <w:r>
        <w:rPr>
          <w:spacing w:val="10"/>
          <w:sz w:val="20"/>
          <w:szCs w:val="20"/>
        </w:rPr>
        <w:t>所有参观现场人员的姓名、参观目的和参观时间等内容；承包人应确保每</w:t>
      </w:r>
      <w:r>
        <w:rPr>
          <w:spacing w:val="9"/>
          <w:sz w:val="20"/>
          <w:szCs w:val="20"/>
        </w:rPr>
        <w:t>个参观现场的</w:t>
      </w:r>
      <w:r>
        <w:rPr>
          <w:sz w:val="20"/>
          <w:szCs w:val="20"/>
        </w:rPr>
        <w:t xml:space="preserve"> </w:t>
      </w:r>
      <w:r>
        <w:rPr>
          <w:spacing w:val="10"/>
          <w:sz w:val="20"/>
          <w:szCs w:val="20"/>
        </w:rPr>
        <w:t>人员了解和遵守现场的安全管理规章制度，佩带安全帽，</w:t>
      </w:r>
      <w:r>
        <w:rPr>
          <w:spacing w:val="9"/>
          <w:sz w:val="20"/>
          <w:szCs w:val="20"/>
        </w:rPr>
        <w:t>确保所有经发包人和监理人批</w:t>
      </w:r>
      <w:r>
        <w:rPr>
          <w:sz w:val="20"/>
          <w:szCs w:val="20"/>
        </w:rPr>
        <w:t xml:space="preserve"> </w:t>
      </w:r>
      <w:r>
        <w:rPr>
          <w:spacing w:val="7"/>
          <w:sz w:val="20"/>
          <w:szCs w:val="20"/>
        </w:rPr>
        <w:t>准的参观人员的人身安全。</w:t>
      </w:r>
    </w:p>
    <w:p w14:paraId="24D7A0A8">
      <w:pPr>
        <w:spacing w:line="334" w:lineRule="auto"/>
        <w:rPr>
          <w:sz w:val="20"/>
          <w:szCs w:val="20"/>
        </w:rPr>
        <w:sectPr>
          <w:footerReference r:id="rId336" w:type="default"/>
          <w:pgSz w:w="11910" w:h="16840"/>
          <w:pgMar w:top="400" w:right="1527" w:bottom="1147" w:left="1450" w:header="0" w:footer="1021" w:gutter="0"/>
          <w:cols w:space="720" w:num="1"/>
        </w:sectPr>
      </w:pPr>
    </w:p>
    <w:p w14:paraId="52663854">
      <w:pPr>
        <w:spacing w:line="270" w:lineRule="auto"/>
        <w:rPr>
          <w:rFonts w:ascii="Arial"/>
          <w:sz w:val="21"/>
        </w:rPr>
      </w:pPr>
    </w:p>
    <w:p w14:paraId="70BF0A37">
      <w:pPr>
        <w:spacing w:line="270" w:lineRule="auto"/>
        <w:rPr>
          <w:rFonts w:ascii="Arial"/>
          <w:sz w:val="21"/>
        </w:rPr>
      </w:pPr>
    </w:p>
    <w:p w14:paraId="35200E2F">
      <w:pPr>
        <w:spacing w:line="270" w:lineRule="auto"/>
        <w:rPr>
          <w:rFonts w:ascii="Arial"/>
          <w:sz w:val="21"/>
        </w:rPr>
      </w:pPr>
    </w:p>
    <w:p w14:paraId="0D7C299A">
      <w:pPr>
        <w:spacing w:line="270" w:lineRule="auto"/>
        <w:rPr>
          <w:rFonts w:ascii="Arial"/>
          <w:sz w:val="21"/>
        </w:rPr>
      </w:pPr>
    </w:p>
    <w:p w14:paraId="6238D578">
      <w:pPr>
        <w:spacing w:line="270" w:lineRule="auto"/>
        <w:rPr>
          <w:rFonts w:ascii="Arial"/>
          <w:sz w:val="21"/>
        </w:rPr>
      </w:pPr>
    </w:p>
    <w:p w14:paraId="6003F609">
      <w:pPr>
        <w:pStyle w:val="2"/>
        <w:spacing w:before="68" w:line="312" w:lineRule="auto"/>
        <w:ind w:left="949" w:right="3" w:hanging="949"/>
        <w:rPr>
          <w:sz w:val="21"/>
          <w:szCs w:val="21"/>
        </w:rPr>
      </w:pPr>
      <w:r>
        <w:rPr>
          <w:rFonts w:ascii="Times New Roman" w:hAnsi="Times New Roman" w:eastAsia="Times New Roman" w:cs="Times New Roman"/>
          <w:spacing w:val="5"/>
          <w:sz w:val="21"/>
          <w:szCs w:val="21"/>
        </w:rPr>
        <w:t xml:space="preserve">7.5            </w:t>
      </w:r>
      <w:r>
        <w:rPr>
          <w:spacing w:val="5"/>
          <w:sz w:val="21"/>
          <w:szCs w:val="21"/>
        </w:rPr>
        <w:t>承包人应为施工场地(现场)提供和维护符合建设行政主管部门和市容管理部门</w:t>
      </w:r>
      <w:r>
        <w:rPr>
          <w:spacing w:val="4"/>
          <w:sz w:val="21"/>
          <w:szCs w:val="21"/>
        </w:rPr>
        <w:t>规定的</w:t>
      </w:r>
      <w:r>
        <w:rPr>
          <w:sz w:val="21"/>
          <w:szCs w:val="21"/>
        </w:rPr>
        <w:t xml:space="preserve"> </w:t>
      </w:r>
      <w:r>
        <w:rPr>
          <w:spacing w:val="-1"/>
          <w:sz w:val="21"/>
          <w:szCs w:val="21"/>
        </w:rPr>
        <w:t>临时围墙和其他安全维护，并在工程进度需要时，进行必要的改造。围墙和大门的表面</w:t>
      </w:r>
      <w:r>
        <w:rPr>
          <w:spacing w:val="17"/>
          <w:sz w:val="21"/>
          <w:szCs w:val="21"/>
        </w:rPr>
        <w:t xml:space="preserve"> </w:t>
      </w:r>
      <w:r>
        <w:rPr>
          <w:sz w:val="21"/>
          <w:szCs w:val="21"/>
        </w:rPr>
        <w:t>维护应考虑定期的修补和重新刷漆，并应保证所有的乱涂乱画或招贴广告随时被清理。</w:t>
      </w:r>
      <w:r>
        <w:rPr>
          <w:spacing w:val="4"/>
          <w:sz w:val="21"/>
          <w:szCs w:val="21"/>
        </w:rPr>
        <w:t xml:space="preserve"> </w:t>
      </w:r>
      <w:r>
        <w:rPr>
          <w:sz w:val="21"/>
          <w:szCs w:val="21"/>
        </w:rPr>
        <w:t>临时围墙和出入大门考虑必要的照明，照明系统要满足现场安全保卫和</w:t>
      </w:r>
      <w:r>
        <w:rPr>
          <w:spacing w:val="-1"/>
          <w:sz w:val="21"/>
          <w:szCs w:val="21"/>
        </w:rPr>
        <w:t>美观的要求。</w:t>
      </w:r>
    </w:p>
    <w:p w14:paraId="53966CE1">
      <w:pPr>
        <w:pStyle w:val="2"/>
        <w:spacing w:before="141" w:line="312" w:lineRule="auto"/>
        <w:ind w:left="949" w:right="17" w:hanging="949"/>
        <w:rPr>
          <w:sz w:val="21"/>
          <w:szCs w:val="21"/>
        </w:rPr>
      </w:pPr>
      <w:r>
        <w:rPr>
          <w:rFonts w:ascii="Times New Roman" w:hAnsi="Times New Roman" w:eastAsia="Times New Roman" w:cs="Times New Roman"/>
          <w:sz w:val="21"/>
          <w:szCs w:val="21"/>
        </w:rPr>
        <w:t xml:space="preserve">7.6             </w:t>
      </w:r>
      <w:r>
        <w:rPr>
          <w:sz w:val="21"/>
          <w:szCs w:val="21"/>
        </w:rPr>
        <w:t>承包人应当保证发包人支付的工程款项仅用于本合同目的，及时和足额地向</w:t>
      </w:r>
      <w:r>
        <w:rPr>
          <w:spacing w:val="-1"/>
          <w:sz w:val="21"/>
          <w:szCs w:val="21"/>
        </w:rPr>
        <w:t>所雇佣的人</w:t>
      </w:r>
      <w:r>
        <w:rPr>
          <w:sz w:val="21"/>
          <w:szCs w:val="21"/>
        </w:rPr>
        <w:t xml:space="preserve"> 员支付劳动报酬，并制定严格的工人工资支付</w:t>
      </w:r>
      <w:r>
        <w:rPr>
          <w:spacing w:val="-1"/>
          <w:sz w:val="21"/>
          <w:szCs w:val="21"/>
        </w:rPr>
        <w:t>保障措施，确保所有分包人及时支付所雇</w:t>
      </w:r>
      <w:r>
        <w:rPr>
          <w:sz w:val="21"/>
          <w:szCs w:val="21"/>
        </w:rPr>
        <w:t xml:space="preserve"> </w:t>
      </w:r>
      <w:r>
        <w:rPr>
          <w:spacing w:val="-3"/>
          <w:sz w:val="21"/>
          <w:szCs w:val="21"/>
        </w:rPr>
        <w:t>佣工人的工资，有效防止影响社会安定的群体事件发生，并保障发包人免于因承包人(包</w:t>
      </w:r>
      <w:r>
        <w:rPr>
          <w:sz w:val="21"/>
          <w:szCs w:val="21"/>
        </w:rPr>
        <w:t xml:space="preserve"> 括其分包人)拖欠工人工资而可能遭受的任何处罚、索赔、损失和损害</w:t>
      </w:r>
      <w:r>
        <w:rPr>
          <w:spacing w:val="-1"/>
          <w:sz w:val="21"/>
          <w:szCs w:val="21"/>
        </w:rPr>
        <w:t>等。</w:t>
      </w:r>
    </w:p>
    <w:p w14:paraId="3AD1B91E">
      <w:pPr>
        <w:pStyle w:val="2"/>
        <w:spacing w:before="140" w:line="219" w:lineRule="auto"/>
        <w:rPr>
          <w:sz w:val="21"/>
          <w:szCs w:val="21"/>
        </w:rPr>
      </w:pPr>
      <w:r>
        <w:rPr>
          <w:rFonts w:ascii="Times New Roman" w:hAnsi="Times New Roman" w:eastAsia="Times New Roman" w:cs="Times New Roman"/>
          <w:spacing w:val="-1"/>
          <w:sz w:val="21"/>
          <w:szCs w:val="21"/>
        </w:rPr>
        <w:t xml:space="preserve">7.7             </w:t>
      </w:r>
      <w:r>
        <w:rPr>
          <w:spacing w:val="-1"/>
          <w:sz w:val="21"/>
          <w:szCs w:val="21"/>
        </w:rPr>
        <w:t>施工场</w:t>
      </w:r>
      <w:r>
        <w:rPr>
          <w:spacing w:val="-2"/>
          <w:sz w:val="21"/>
          <w:szCs w:val="21"/>
        </w:rPr>
        <w:t>地(现场)治安管理计划的要求：</w:t>
      </w:r>
    </w:p>
    <w:p w14:paraId="0D7C7559">
      <w:pPr>
        <w:tabs>
          <w:tab w:val="left" w:pos="8249"/>
        </w:tabs>
        <w:spacing w:before="160"/>
        <w:ind w:left="929"/>
        <w:rPr>
          <w:rFonts w:ascii="Arial"/>
          <w:sz w:val="21"/>
        </w:rPr>
      </w:pPr>
      <w:r>
        <w:rPr>
          <w:rFonts w:ascii="Arial" w:hAnsi="Arial" w:eastAsia="Arial" w:cs="Arial"/>
          <w:sz w:val="21"/>
          <w:szCs w:val="21"/>
          <w:u w:val="single" w:color="auto"/>
        </w:rPr>
        <w:tab/>
      </w:r>
    </w:p>
    <w:p w14:paraId="7E6F5770">
      <w:pPr>
        <w:pStyle w:val="2"/>
        <w:spacing w:before="119" w:line="219" w:lineRule="auto"/>
        <w:rPr>
          <w:sz w:val="21"/>
          <w:szCs w:val="21"/>
        </w:rPr>
      </w:pPr>
      <w:r>
        <w:rPr>
          <w:spacing w:val="-3"/>
          <w:sz w:val="21"/>
          <w:szCs w:val="21"/>
        </w:rPr>
        <w:t>7.8      突发治安事件紧急预案的要求：</w:t>
      </w:r>
    </w:p>
    <w:p w14:paraId="2DC48389">
      <w:pPr>
        <w:tabs>
          <w:tab w:val="left" w:pos="8249"/>
        </w:tabs>
        <w:spacing w:before="170"/>
        <w:ind w:left="919"/>
        <w:rPr>
          <w:rFonts w:ascii="Arial"/>
          <w:sz w:val="21"/>
        </w:rPr>
      </w:pPr>
      <w:r>
        <w:rPr>
          <w:rFonts w:ascii="Arial" w:hAnsi="Arial" w:eastAsia="Arial" w:cs="Arial"/>
          <w:sz w:val="21"/>
          <w:szCs w:val="21"/>
          <w:u w:val="single" w:color="auto"/>
        </w:rPr>
        <w:tab/>
      </w:r>
    </w:p>
    <w:p w14:paraId="1E469CF6">
      <w:pPr>
        <w:pStyle w:val="2"/>
        <w:spacing w:before="120" w:line="220" w:lineRule="auto"/>
        <w:rPr>
          <w:sz w:val="21"/>
          <w:szCs w:val="21"/>
        </w:rPr>
      </w:pPr>
      <w:r>
        <w:rPr>
          <w:spacing w:val="-3"/>
          <w:sz w:val="21"/>
          <w:szCs w:val="21"/>
        </w:rPr>
        <w:t>7.9      治安保卫方面的其他要求如下：</w:t>
      </w:r>
    </w:p>
    <w:p w14:paraId="56DD02CE">
      <w:pPr>
        <w:tabs>
          <w:tab w:val="left" w:pos="8229"/>
        </w:tabs>
        <w:spacing w:before="169"/>
        <w:ind w:left="919"/>
        <w:rPr>
          <w:rFonts w:ascii="Arial"/>
          <w:sz w:val="21"/>
        </w:rPr>
      </w:pPr>
      <w:r>
        <w:rPr>
          <w:rFonts w:ascii="Arial" w:hAnsi="Arial" w:eastAsia="Arial" w:cs="Arial"/>
          <w:sz w:val="21"/>
          <w:szCs w:val="21"/>
          <w:u w:val="single" w:color="auto"/>
        </w:rPr>
        <w:tab/>
      </w:r>
    </w:p>
    <w:p w14:paraId="0E7EA5C5">
      <w:pPr>
        <w:tabs>
          <w:tab w:val="left" w:pos="8229"/>
        </w:tabs>
        <w:spacing w:before="138"/>
        <w:ind w:left="919"/>
        <w:rPr>
          <w:rFonts w:ascii="Arial"/>
          <w:sz w:val="21"/>
        </w:rPr>
      </w:pPr>
      <w:r>
        <w:rPr>
          <w:rFonts w:ascii="Arial" w:hAnsi="Arial" w:eastAsia="Arial" w:cs="Arial"/>
          <w:sz w:val="21"/>
          <w:szCs w:val="21"/>
          <w:u w:val="single" w:color="auto"/>
        </w:rPr>
        <w:tab/>
      </w:r>
    </w:p>
    <w:p w14:paraId="559971A4">
      <w:pPr>
        <w:pStyle w:val="2"/>
        <w:spacing w:before="68" w:line="219" w:lineRule="auto"/>
        <w:ind w:left="4"/>
        <w:rPr>
          <w:sz w:val="28"/>
          <w:szCs w:val="28"/>
        </w:rPr>
      </w:pPr>
      <w:r>
        <w:rPr>
          <w:b/>
          <w:bCs/>
          <w:spacing w:val="-4"/>
          <w:sz w:val="28"/>
          <w:szCs w:val="28"/>
        </w:rPr>
        <w:t>8.地上、地下设施和周边建筑物的临时保护</w:t>
      </w:r>
    </w:p>
    <w:p w14:paraId="3B3D00BB">
      <w:pPr>
        <w:pStyle w:val="2"/>
        <w:spacing w:before="127" w:line="290" w:lineRule="auto"/>
        <w:ind w:left="949" w:right="19" w:hanging="949"/>
        <w:rPr>
          <w:sz w:val="21"/>
          <w:szCs w:val="21"/>
        </w:rPr>
      </w:pPr>
      <w:r>
        <w:rPr>
          <w:spacing w:val="5"/>
          <w:sz w:val="21"/>
          <w:szCs w:val="21"/>
        </w:rPr>
        <w:t>8.1      承包人应为施工场地及</w:t>
      </w:r>
      <w:r>
        <w:rPr>
          <w:spacing w:val="4"/>
          <w:sz w:val="21"/>
          <w:szCs w:val="21"/>
        </w:rPr>
        <w:t>其周边现有的地上、地下设施和建筑物提供足够的临时保护设</w:t>
      </w:r>
      <w:r>
        <w:rPr>
          <w:sz w:val="21"/>
          <w:szCs w:val="21"/>
        </w:rPr>
        <w:t xml:space="preserve"> 施，确保施工过程中这些设施和建筑物不会受到</w:t>
      </w:r>
      <w:r>
        <w:rPr>
          <w:spacing w:val="-1"/>
          <w:sz w:val="21"/>
          <w:szCs w:val="21"/>
        </w:rPr>
        <w:t>干扰和破坏。</w:t>
      </w:r>
    </w:p>
    <w:p w14:paraId="247C80BF">
      <w:pPr>
        <w:pStyle w:val="2"/>
        <w:spacing w:before="130" w:line="319" w:lineRule="auto"/>
        <w:ind w:left="949" w:hanging="949"/>
        <w:rPr>
          <w:sz w:val="21"/>
          <w:szCs w:val="21"/>
        </w:rPr>
      </w:pPr>
      <w:r>
        <w:rPr>
          <w:rFonts w:ascii="Times New Roman" w:hAnsi="Times New Roman" w:eastAsia="Times New Roman" w:cs="Times New Roman"/>
          <w:spacing w:val="2"/>
          <w:sz w:val="21"/>
          <w:szCs w:val="21"/>
        </w:rPr>
        <w:t xml:space="preserve">8.2             </w:t>
      </w:r>
      <w:r>
        <w:rPr>
          <w:spacing w:val="2"/>
          <w:sz w:val="21"/>
          <w:szCs w:val="21"/>
        </w:rPr>
        <w:t>承包人应当制订现有设施临时保护方案和应急处理方案，并在本工程开</w:t>
      </w:r>
      <w:r>
        <w:rPr>
          <w:spacing w:val="1"/>
          <w:sz w:val="21"/>
          <w:szCs w:val="21"/>
        </w:rPr>
        <w:t>工前至少提前7</w:t>
      </w:r>
      <w:r>
        <w:rPr>
          <w:sz w:val="21"/>
          <w:szCs w:val="21"/>
        </w:rPr>
        <w:t xml:space="preserve"> </w:t>
      </w:r>
      <w:r>
        <w:rPr>
          <w:spacing w:val="3"/>
          <w:sz w:val="21"/>
          <w:szCs w:val="21"/>
        </w:rPr>
        <w:t>天报送监理人，监理人应在收到现有设施临时保护方案后的3天内批复承包人。承包人</w:t>
      </w:r>
      <w:r>
        <w:rPr>
          <w:sz w:val="21"/>
          <w:szCs w:val="21"/>
        </w:rPr>
        <w:t xml:space="preserve"> 应当严格执行经监理人批准的保护方案，并保证在任何可能影响</w:t>
      </w:r>
      <w:r>
        <w:rPr>
          <w:spacing w:val="-1"/>
          <w:sz w:val="21"/>
          <w:szCs w:val="21"/>
        </w:rPr>
        <w:t>周边现有的地上、地下</w:t>
      </w:r>
      <w:r>
        <w:rPr>
          <w:sz w:val="21"/>
          <w:szCs w:val="21"/>
        </w:rPr>
        <w:t xml:space="preserve"> </w:t>
      </w:r>
      <w:r>
        <w:rPr>
          <w:spacing w:val="-1"/>
          <w:sz w:val="21"/>
          <w:szCs w:val="21"/>
        </w:rPr>
        <w:t>设施或周边建筑物的施工作业开始前，相应的临时保护设施能够落实到位。</w:t>
      </w:r>
    </w:p>
    <w:p w14:paraId="224DEDBB">
      <w:pPr>
        <w:pStyle w:val="2"/>
        <w:spacing w:before="151" w:line="219" w:lineRule="auto"/>
        <w:rPr>
          <w:sz w:val="21"/>
          <w:szCs w:val="21"/>
        </w:rPr>
      </w:pPr>
      <w:r>
        <w:rPr>
          <w:rFonts w:ascii="Times New Roman" w:hAnsi="Times New Roman" w:eastAsia="Times New Roman" w:cs="Times New Roman"/>
          <w:sz w:val="21"/>
          <w:szCs w:val="21"/>
        </w:rPr>
        <w:t xml:space="preserve">8.3             </w:t>
      </w:r>
      <w:r>
        <w:rPr>
          <w:sz w:val="21"/>
          <w:szCs w:val="21"/>
        </w:rPr>
        <w:t>发包人特别提醒承包人</w:t>
      </w:r>
      <w:r>
        <w:rPr>
          <w:spacing w:val="-1"/>
          <w:sz w:val="21"/>
          <w:szCs w:val="21"/>
        </w:rPr>
        <w:t>注意以下地上、地下设施和周边建筑物的保护：</w:t>
      </w:r>
    </w:p>
    <w:p w14:paraId="3602D6EE">
      <w:pPr>
        <w:tabs>
          <w:tab w:val="left" w:pos="8229"/>
        </w:tabs>
        <w:spacing w:before="160"/>
        <w:ind w:left="919"/>
        <w:rPr>
          <w:rFonts w:ascii="Arial"/>
          <w:sz w:val="21"/>
        </w:rPr>
      </w:pPr>
      <w:r>
        <w:rPr>
          <w:rFonts w:ascii="Arial" w:hAnsi="Arial" w:eastAsia="Arial" w:cs="Arial"/>
          <w:sz w:val="21"/>
          <w:szCs w:val="21"/>
          <w:u w:val="single" w:color="auto"/>
        </w:rPr>
        <w:tab/>
      </w:r>
    </w:p>
    <w:p w14:paraId="0D93222E">
      <w:pPr>
        <w:tabs>
          <w:tab w:val="left" w:pos="8229"/>
        </w:tabs>
        <w:spacing w:before="159"/>
        <w:ind w:left="919"/>
        <w:rPr>
          <w:rFonts w:ascii="Arial"/>
          <w:sz w:val="21"/>
        </w:rPr>
      </w:pPr>
      <w:r>
        <w:rPr>
          <w:rFonts w:ascii="Arial" w:hAnsi="Arial" w:eastAsia="Arial" w:cs="Arial"/>
          <w:sz w:val="21"/>
          <w:szCs w:val="21"/>
          <w:u w:val="single" w:color="auto"/>
        </w:rPr>
        <w:tab/>
      </w:r>
    </w:p>
    <w:p w14:paraId="4F038AD6">
      <w:pPr>
        <w:tabs>
          <w:tab w:val="left" w:pos="8229"/>
        </w:tabs>
        <w:spacing w:before="148"/>
        <w:ind w:left="919"/>
        <w:rPr>
          <w:rFonts w:ascii="Arial"/>
          <w:sz w:val="21"/>
        </w:rPr>
      </w:pPr>
      <w:r>
        <w:rPr>
          <w:rFonts w:ascii="Arial" w:hAnsi="Arial" w:eastAsia="Arial" w:cs="Arial"/>
          <w:sz w:val="21"/>
          <w:szCs w:val="21"/>
          <w:u w:val="single" w:color="auto"/>
        </w:rPr>
        <w:tab/>
      </w:r>
    </w:p>
    <w:p w14:paraId="1855BE8B">
      <w:pPr>
        <w:tabs>
          <w:tab w:val="left" w:pos="8249"/>
        </w:tabs>
        <w:spacing w:before="149"/>
        <w:ind w:left="929"/>
        <w:rPr>
          <w:rFonts w:ascii="Arial"/>
          <w:sz w:val="21"/>
        </w:rPr>
      </w:pPr>
      <w:r>
        <w:rPr>
          <w:rFonts w:ascii="Arial" w:hAnsi="Arial" w:eastAsia="Arial" w:cs="Arial"/>
          <w:sz w:val="21"/>
          <w:szCs w:val="21"/>
          <w:u w:val="single" w:color="auto"/>
        </w:rPr>
        <w:tab/>
      </w:r>
    </w:p>
    <w:p w14:paraId="7D85F274">
      <w:pPr>
        <w:pStyle w:val="2"/>
        <w:spacing w:before="129" w:line="219" w:lineRule="auto"/>
        <w:rPr>
          <w:sz w:val="21"/>
          <w:szCs w:val="21"/>
        </w:rPr>
      </w:pPr>
      <w:r>
        <w:rPr>
          <w:sz w:val="21"/>
          <w:szCs w:val="21"/>
        </w:rPr>
        <w:t>8.4     地上、地下设施和周边建筑物的临时保护的其他要求如下</w:t>
      </w:r>
    </w:p>
    <w:p w14:paraId="0EF13474">
      <w:pPr>
        <w:spacing w:line="308" w:lineRule="auto"/>
        <w:rPr>
          <w:rFonts w:ascii="Arial"/>
          <w:sz w:val="21"/>
        </w:rPr>
      </w:pPr>
    </w:p>
    <w:p w14:paraId="37194C99">
      <w:pPr>
        <w:spacing w:line="308" w:lineRule="auto"/>
        <w:rPr>
          <w:rFonts w:ascii="Arial"/>
          <w:sz w:val="21"/>
        </w:rPr>
      </w:pPr>
      <w:r>
        <w:drawing>
          <wp:anchor distT="0" distB="0" distL="0" distR="0" simplePos="0" relativeHeight="251753472" behindDoc="0" locked="0" layoutInCell="1" allowOverlap="1">
            <wp:simplePos x="0" y="0"/>
            <wp:positionH relativeFrom="column">
              <wp:posOffset>583565</wp:posOffset>
            </wp:positionH>
            <wp:positionV relativeFrom="paragraph">
              <wp:posOffset>26670</wp:posOffset>
            </wp:positionV>
            <wp:extent cx="4641850" cy="6350"/>
            <wp:effectExtent l="0" t="0" r="0" b="0"/>
            <wp:wrapNone/>
            <wp:docPr id="246" name="IM 246"/>
            <wp:cNvGraphicFramePr/>
            <a:graphic xmlns:a="http://schemas.openxmlformats.org/drawingml/2006/main">
              <a:graphicData uri="http://schemas.openxmlformats.org/drawingml/2006/picture">
                <pic:pic xmlns:pic="http://schemas.openxmlformats.org/drawingml/2006/picture">
                  <pic:nvPicPr>
                    <pic:cNvPr id="246" name="IM 246"/>
                    <pic:cNvPicPr/>
                  </pic:nvPicPr>
                  <pic:blipFill>
                    <a:blip r:embed="rId511"/>
                    <a:stretch>
                      <a:fillRect/>
                    </a:stretch>
                  </pic:blipFill>
                  <pic:spPr>
                    <a:xfrm>
                      <a:off x="0" y="0"/>
                      <a:ext cx="4641850" cy="6350"/>
                    </a:xfrm>
                    <a:prstGeom prst="rect">
                      <a:avLst/>
                    </a:prstGeom>
                  </pic:spPr>
                </pic:pic>
              </a:graphicData>
            </a:graphic>
          </wp:anchor>
        </w:drawing>
      </w:r>
    </w:p>
    <w:p w14:paraId="36BB7688">
      <w:pPr>
        <w:spacing w:before="32" w:line="82" w:lineRule="exact"/>
        <w:ind w:left="8239"/>
        <w:rPr>
          <w:rFonts w:ascii="Arial" w:hAnsi="Arial" w:eastAsia="Arial" w:cs="Arial"/>
          <w:sz w:val="11"/>
          <w:szCs w:val="11"/>
        </w:rPr>
      </w:pPr>
      <w:r>
        <w:drawing>
          <wp:anchor distT="0" distB="0" distL="0" distR="0" simplePos="0" relativeHeight="251754496" behindDoc="0" locked="0" layoutInCell="1" allowOverlap="1">
            <wp:simplePos x="0" y="0"/>
            <wp:positionH relativeFrom="column">
              <wp:posOffset>602615</wp:posOffset>
            </wp:positionH>
            <wp:positionV relativeFrom="paragraph">
              <wp:posOffset>66675</wp:posOffset>
            </wp:positionV>
            <wp:extent cx="4610100" cy="6350"/>
            <wp:effectExtent l="0" t="0" r="0" b="0"/>
            <wp:wrapNone/>
            <wp:docPr id="248" name="IM 248"/>
            <wp:cNvGraphicFramePr/>
            <a:graphic xmlns:a="http://schemas.openxmlformats.org/drawingml/2006/main">
              <a:graphicData uri="http://schemas.openxmlformats.org/drawingml/2006/picture">
                <pic:pic xmlns:pic="http://schemas.openxmlformats.org/drawingml/2006/picture">
                  <pic:nvPicPr>
                    <pic:cNvPr id="248" name="IM 248"/>
                    <pic:cNvPicPr/>
                  </pic:nvPicPr>
                  <pic:blipFill>
                    <a:blip r:embed="rId512"/>
                    <a:stretch>
                      <a:fillRect/>
                    </a:stretch>
                  </pic:blipFill>
                  <pic:spPr>
                    <a:xfrm>
                      <a:off x="0" y="0"/>
                      <a:ext cx="4610085" cy="6350"/>
                    </a:xfrm>
                    <a:prstGeom prst="rect">
                      <a:avLst/>
                    </a:prstGeom>
                  </pic:spPr>
                </pic:pic>
              </a:graphicData>
            </a:graphic>
          </wp:anchor>
        </w:drawing>
      </w:r>
      <w:r>
        <w:rPr>
          <w:rFonts w:ascii="Arial" w:hAnsi="Arial" w:eastAsia="Arial" w:cs="Arial"/>
          <w:sz w:val="11"/>
          <w:szCs w:val="11"/>
        </w:rPr>
        <w:t>o</w:t>
      </w:r>
    </w:p>
    <w:p w14:paraId="01EEE19A">
      <w:pPr>
        <w:pStyle w:val="2"/>
        <w:spacing w:before="124" w:line="219" w:lineRule="auto"/>
        <w:ind w:left="4"/>
        <w:rPr>
          <w:sz w:val="28"/>
          <w:szCs w:val="28"/>
        </w:rPr>
      </w:pPr>
      <w:r>
        <w:rPr>
          <w:b/>
          <w:bCs/>
          <w:spacing w:val="-5"/>
          <w:sz w:val="28"/>
          <w:szCs w:val="28"/>
        </w:rPr>
        <w:t>9.样品和材料代换</w:t>
      </w:r>
    </w:p>
    <w:p w14:paraId="7C57657E">
      <w:pPr>
        <w:pStyle w:val="2"/>
        <w:spacing w:before="131" w:line="219" w:lineRule="auto"/>
        <w:rPr>
          <w:sz w:val="21"/>
          <w:szCs w:val="21"/>
        </w:rPr>
      </w:pPr>
      <w:r>
        <w:rPr>
          <w:spacing w:val="-3"/>
          <w:sz w:val="21"/>
          <w:szCs w:val="21"/>
        </w:rPr>
        <w:t>9.1</w:t>
      </w:r>
      <w:r>
        <w:rPr>
          <w:spacing w:val="5"/>
          <w:sz w:val="21"/>
          <w:szCs w:val="21"/>
        </w:rPr>
        <w:t xml:space="preserve">      </w:t>
      </w:r>
      <w:r>
        <w:rPr>
          <w:spacing w:val="-3"/>
          <w:sz w:val="21"/>
          <w:szCs w:val="21"/>
        </w:rPr>
        <w:t>样品</w:t>
      </w:r>
    </w:p>
    <w:p w14:paraId="4C9353A5">
      <w:pPr>
        <w:pStyle w:val="2"/>
        <w:spacing w:before="149" w:line="219" w:lineRule="auto"/>
        <w:rPr>
          <w:sz w:val="21"/>
          <w:szCs w:val="21"/>
        </w:rPr>
      </w:pPr>
      <w:r>
        <w:drawing>
          <wp:anchor distT="0" distB="0" distL="0" distR="0" simplePos="0" relativeHeight="251752448" behindDoc="0" locked="0" layoutInCell="1" allowOverlap="1">
            <wp:simplePos x="0" y="0"/>
            <wp:positionH relativeFrom="column">
              <wp:posOffset>583565</wp:posOffset>
            </wp:positionH>
            <wp:positionV relativeFrom="paragraph">
              <wp:posOffset>540385</wp:posOffset>
            </wp:positionV>
            <wp:extent cx="4641850" cy="6350"/>
            <wp:effectExtent l="0" t="0" r="0" b="0"/>
            <wp:wrapNone/>
            <wp:docPr id="250" name="IM 250"/>
            <wp:cNvGraphicFramePr/>
            <a:graphic xmlns:a="http://schemas.openxmlformats.org/drawingml/2006/main">
              <a:graphicData uri="http://schemas.openxmlformats.org/drawingml/2006/picture">
                <pic:pic xmlns:pic="http://schemas.openxmlformats.org/drawingml/2006/picture">
                  <pic:nvPicPr>
                    <pic:cNvPr id="250" name="IM 250"/>
                    <pic:cNvPicPr/>
                  </pic:nvPicPr>
                  <pic:blipFill>
                    <a:blip r:embed="rId500"/>
                    <a:stretch>
                      <a:fillRect/>
                    </a:stretch>
                  </pic:blipFill>
                  <pic:spPr>
                    <a:xfrm>
                      <a:off x="0" y="0"/>
                      <a:ext cx="4641850" cy="6350"/>
                    </a:xfrm>
                    <a:prstGeom prst="rect">
                      <a:avLst/>
                    </a:prstGeom>
                  </pic:spPr>
                </pic:pic>
              </a:graphicData>
            </a:graphic>
          </wp:anchor>
        </w:drawing>
      </w:r>
      <w:r>
        <w:rPr>
          <w:sz w:val="21"/>
          <w:szCs w:val="21"/>
        </w:rPr>
        <w:t>9.1.1    本工程需要承包人提供样品</w:t>
      </w:r>
      <w:r>
        <w:rPr>
          <w:spacing w:val="-1"/>
          <w:sz w:val="21"/>
          <w:szCs w:val="21"/>
        </w:rPr>
        <w:t>的材料和工程设备如下：</w:t>
      </w:r>
    </w:p>
    <w:p w14:paraId="4C5D7F96">
      <w:pPr>
        <w:spacing w:line="219" w:lineRule="auto"/>
        <w:rPr>
          <w:sz w:val="21"/>
          <w:szCs w:val="21"/>
        </w:rPr>
        <w:sectPr>
          <w:footerReference r:id="rId337" w:type="default"/>
          <w:pgSz w:w="11910" w:h="16840"/>
          <w:pgMar w:top="400" w:right="1520" w:bottom="1147" w:left="1450" w:header="0" w:footer="1021" w:gutter="0"/>
          <w:cols w:space="720" w:num="1"/>
        </w:sectPr>
      </w:pPr>
    </w:p>
    <w:p w14:paraId="4AA33CD0">
      <w:pPr>
        <w:pStyle w:val="2"/>
        <w:spacing w:before="190" w:line="322" w:lineRule="auto"/>
        <w:ind w:left="959" w:right="66" w:hanging="959"/>
        <w:rPr>
          <w:sz w:val="21"/>
          <w:szCs w:val="21"/>
        </w:rPr>
      </w:pPr>
      <w:r>
        <w:rPr>
          <w:spacing w:val="5"/>
          <w:sz w:val="21"/>
          <w:szCs w:val="21"/>
        </w:rPr>
        <w:t>9.1.2    对于本款第9.1.1项约定的材料和工程</w:t>
      </w:r>
      <w:r>
        <w:rPr>
          <w:spacing w:val="4"/>
          <w:sz w:val="21"/>
          <w:szCs w:val="21"/>
        </w:rPr>
        <w:t>设备，承包人应按照专用合同条款第5.1.2项约</w:t>
      </w:r>
      <w:r>
        <w:rPr>
          <w:sz w:val="21"/>
          <w:szCs w:val="21"/>
        </w:rPr>
        <w:t xml:space="preserve"> 定的期限，向监理人提交样品并附上任何必要的说明书</w:t>
      </w:r>
      <w:r>
        <w:rPr>
          <w:spacing w:val="-1"/>
          <w:sz w:val="21"/>
          <w:szCs w:val="21"/>
        </w:rPr>
        <w:t>、生产(制造)许可证书、出厂合</w:t>
      </w:r>
      <w:r>
        <w:rPr>
          <w:sz w:val="21"/>
          <w:szCs w:val="21"/>
        </w:rPr>
        <w:t xml:space="preserve"> 格证明或者证书、出厂检测报告、性能介绍、使用说明等相关资</w:t>
      </w:r>
      <w:r>
        <w:rPr>
          <w:spacing w:val="-1"/>
          <w:sz w:val="21"/>
          <w:szCs w:val="21"/>
        </w:rPr>
        <w:t>料，同时注明材料和工</w:t>
      </w:r>
      <w:r>
        <w:rPr>
          <w:sz w:val="21"/>
          <w:szCs w:val="21"/>
        </w:rPr>
        <w:t xml:space="preserve"> 程设备的供货人及品种、规格、数量和供货时间等，以供检验和审</w:t>
      </w:r>
      <w:r>
        <w:rPr>
          <w:spacing w:val="-1"/>
          <w:sz w:val="21"/>
          <w:szCs w:val="21"/>
        </w:rPr>
        <w:t>批。样品送达的地点</w:t>
      </w:r>
      <w:r>
        <w:rPr>
          <w:sz w:val="21"/>
          <w:szCs w:val="21"/>
        </w:rPr>
        <w:t xml:space="preserve"> 和样品的数量或尺寸应符合监理人和发包人的要求。除合同另</w:t>
      </w:r>
      <w:r>
        <w:rPr>
          <w:spacing w:val="-1"/>
          <w:sz w:val="21"/>
          <w:szCs w:val="21"/>
        </w:rPr>
        <w:t>有约定外，承包人在报送</w:t>
      </w:r>
      <w:r>
        <w:rPr>
          <w:sz w:val="21"/>
          <w:szCs w:val="21"/>
        </w:rPr>
        <w:t xml:space="preserve"> 任何样品时应按监理人同意的格式填写并递交样</w:t>
      </w:r>
      <w:r>
        <w:rPr>
          <w:spacing w:val="-1"/>
          <w:sz w:val="21"/>
          <w:szCs w:val="21"/>
        </w:rPr>
        <w:t>品报送单。监理人应及时签收样品。</w:t>
      </w:r>
    </w:p>
    <w:p w14:paraId="46F1B8FB">
      <w:pPr>
        <w:pStyle w:val="2"/>
        <w:spacing w:before="147" w:line="313" w:lineRule="auto"/>
        <w:ind w:left="959" w:right="57" w:hanging="959"/>
        <w:rPr>
          <w:sz w:val="21"/>
          <w:szCs w:val="21"/>
        </w:rPr>
      </w:pPr>
      <w:r>
        <w:rPr>
          <w:rFonts w:ascii="Times New Roman" w:hAnsi="Times New Roman" w:eastAsia="Times New Roman" w:cs="Times New Roman"/>
          <w:spacing w:val="4"/>
          <w:sz w:val="21"/>
          <w:szCs w:val="21"/>
        </w:rPr>
        <w:t xml:space="preserve">9.1.3          </w:t>
      </w:r>
      <w:r>
        <w:rPr>
          <w:spacing w:val="4"/>
          <w:sz w:val="21"/>
          <w:szCs w:val="21"/>
        </w:rPr>
        <w:t>合同条款第15.8.2项约定的依法不需要招标的、以暂估价形式包括在工程量清单中的</w:t>
      </w:r>
      <w:r>
        <w:rPr>
          <w:spacing w:val="10"/>
          <w:sz w:val="21"/>
          <w:szCs w:val="21"/>
        </w:rPr>
        <w:t xml:space="preserve"> </w:t>
      </w:r>
      <w:r>
        <w:rPr>
          <w:spacing w:val="3"/>
          <w:sz w:val="21"/>
          <w:szCs w:val="21"/>
        </w:rPr>
        <w:t>材料和工程设备，所附资料除本款第9.1.2项约定的</w:t>
      </w:r>
      <w:r>
        <w:rPr>
          <w:spacing w:val="2"/>
          <w:sz w:val="21"/>
          <w:szCs w:val="21"/>
        </w:rPr>
        <w:t>内容外，还应附上价格资料，每一</w:t>
      </w:r>
      <w:r>
        <w:rPr>
          <w:sz w:val="21"/>
          <w:szCs w:val="21"/>
        </w:rPr>
        <w:t xml:space="preserve"> 类材料设备，至少应准备符合合同要求的三个产品，价格分高、中、低三档，以便监理</w:t>
      </w:r>
      <w:r>
        <w:rPr>
          <w:spacing w:val="16"/>
          <w:sz w:val="21"/>
          <w:szCs w:val="21"/>
        </w:rPr>
        <w:t xml:space="preserve"> </w:t>
      </w:r>
      <w:r>
        <w:rPr>
          <w:spacing w:val="-2"/>
          <w:sz w:val="21"/>
          <w:szCs w:val="21"/>
        </w:rPr>
        <w:t>人和发包人选择和批准。</w:t>
      </w:r>
    </w:p>
    <w:p w14:paraId="74832BAE">
      <w:pPr>
        <w:pStyle w:val="2"/>
        <w:spacing w:before="136" w:line="327" w:lineRule="auto"/>
        <w:ind w:left="959" w:hanging="959"/>
        <w:rPr>
          <w:sz w:val="21"/>
          <w:szCs w:val="21"/>
        </w:rPr>
      </w:pPr>
      <w:r>
        <w:rPr>
          <w:rFonts w:ascii="Times New Roman" w:hAnsi="Times New Roman" w:eastAsia="Times New Roman" w:cs="Times New Roman"/>
          <w:spacing w:val="2"/>
          <w:sz w:val="21"/>
          <w:szCs w:val="21"/>
        </w:rPr>
        <w:t xml:space="preserve">9.1.4          </w:t>
      </w:r>
      <w:r>
        <w:rPr>
          <w:spacing w:val="2"/>
          <w:sz w:val="21"/>
          <w:szCs w:val="21"/>
        </w:rPr>
        <w:t>监理人应在收到承包人报送的样品后7天内转呈发包人并附上监理人的书面审批意见。</w:t>
      </w:r>
      <w:r>
        <w:rPr>
          <w:spacing w:val="7"/>
          <w:sz w:val="21"/>
          <w:szCs w:val="21"/>
        </w:rPr>
        <w:t xml:space="preserve"> </w:t>
      </w:r>
      <w:r>
        <w:rPr>
          <w:spacing w:val="3"/>
          <w:sz w:val="21"/>
          <w:szCs w:val="21"/>
        </w:rPr>
        <w:t>发包人在收到通过监理人转交的样品以及监理人的审批意见</w:t>
      </w:r>
      <w:r>
        <w:rPr>
          <w:spacing w:val="2"/>
          <w:sz w:val="21"/>
          <w:szCs w:val="21"/>
        </w:rPr>
        <w:t>后7天内就此样品给出书面</w:t>
      </w:r>
      <w:r>
        <w:rPr>
          <w:sz w:val="21"/>
          <w:szCs w:val="21"/>
        </w:rPr>
        <w:t xml:space="preserve"> </w:t>
      </w:r>
      <w:r>
        <w:rPr>
          <w:spacing w:val="3"/>
          <w:sz w:val="21"/>
          <w:szCs w:val="21"/>
        </w:rPr>
        <w:t>批复。监理人应在收到样品后21天内通知承包人他相关样品所</w:t>
      </w:r>
      <w:r>
        <w:rPr>
          <w:spacing w:val="2"/>
          <w:sz w:val="21"/>
          <w:szCs w:val="21"/>
        </w:rPr>
        <w:t>做出的决定或指示(同时</w:t>
      </w:r>
      <w:r>
        <w:rPr>
          <w:sz w:val="21"/>
          <w:szCs w:val="21"/>
        </w:rPr>
        <w:t xml:space="preserve"> </w:t>
      </w:r>
      <w:r>
        <w:rPr>
          <w:spacing w:val="2"/>
          <w:sz w:val="21"/>
          <w:szCs w:val="21"/>
        </w:rPr>
        <w:t>抄送一份给发包人)。承包人应根据监理人的</w:t>
      </w:r>
      <w:r>
        <w:rPr>
          <w:spacing w:val="1"/>
          <w:sz w:val="21"/>
          <w:szCs w:val="21"/>
        </w:rPr>
        <w:t>书面批复和指示相应地进行下一步工作。</w:t>
      </w:r>
      <w:r>
        <w:rPr>
          <w:sz w:val="21"/>
          <w:szCs w:val="21"/>
        </w:rPr>
        <w:t xml:space="preserve">  </w:t>
      </w:r>
      <w:r>
        <w:rPr>
          <w:spacing w:val="2"/>
          <w:sz w:val="21"/>
          <w:szCs w:val="21"/>
        </w:rPr>
        <w:t>如果监理人未能在承包人报送样品后21天内给出书面批复，承包人应就此通知</w:t>
      </w:r>
      <w:r>
        <w:rPr>
          <w:spacing w:val="1"/>
          <w:sz w:val="21"/>
          <w:szCs w:val="21"/>
        </w:rPr>
        <w:t>监理人，</w:t>
      </w:r>
      <w:r>
        <w:rPr>
          <w:sz w:val="21"/>
          <w:szCs w:val="21"/>
        </w:rPr>
        <w:t xml:space="preserve"> </w:t>
      </w:r>
      <w:r>
        <w:rPr>
          <w:spacing w:val="3"/>
          <w:sz w:val="21"/>
          <w:szCs w:val="21"/>
        </w:rPr>
        <w:t>要求尽快批复。如果发包人在收到此类通知后7天内仍未</w:t>
      </w:r>
      <w:r>
        <w:rPr>
          <w:spacing w:val="2"/>
          <w:sz w:val="21"/>
          <w:szCs w:val="21"/>
        </w:rPr>
        <w:t>对样品进行批复，则视为监理</w:t>
      </w:r>
      <w:r>
        <w:rPr>
          <w:sz w:val="21"/>
          <w:szCs w:val="21"/>
        </w:rPr>
        <w:t xml:space="preserve"> </w:t>
      </w:r>
      <w:r>
        <w:rPr>
          <w:spacing w:val="-4"/>
          <w:sz w:val="21"/>
          <w:szCs w:val="21"/>
        </w:rPr>
        <w:t>人和发包人已经批准。</w:t>
      </w:r>
    </w:p>
    <w:p w14:paraId="0C7B57A5">
      <w:pPr>
        <w:pStyle w:val="2"/>
        <w:spacing w:before="138" w:line="290" w:lineRule="auto"/>
        <w:ind w:left="959" w:right="94" w:hanging="959"/>
        <w:rPr>
          <w:sz w:val="21"/>
          <w:szCs w:val="21"/>
        </w:rPr>
      </w:pPr>
      <w:r>
        <w:rPr>
          <w:sz w:val="21"/>
          <w:szCs w:val="21"/>
        </w:rPr>
        <w:t>9.1.5    得到批准后的样品由监理人负责存放。但承包人应为保存样品提供适当和</w:t>
      </w:r>
      <w:r>
        <w:rPr>
          <w:spacing w:val="-1"/>
          <w:sz w:val="21"/>
          <w:szCs w:val="21"/>
        </w:rPr>
        <w:t>固定的场所并</w:t>
      </w:r>
      <w:r>
        <w:rPr>
          <w:sz w:val="21"/>
          <w:szCs w:val="21"/>
        </w:rPr>
        <w:t xml:space="preserve"> </w:t>
      </w:r>
      <w:r>
        <w:rPr>
          <w:spacing w:val="-2"/>
          <w:sz w:val="21"/>
          <w:szCs w:val="21"/>
        </w:rPr>
        <w:t>保持适当和良好的环境条件。</w:t>
      </w:r>
    </w:p>
    <w:p w14:paraId="4766FDEB">
      <w:pPr>
        <w:pStyle w:val="2"/>
        <w:spacing w:before="159" w:line="219" w:lineRule="auto"/>
        <w:rPr>
          <w:sz w:val="21"/>
          <w:szCs w:val="21"/>
        </w:rPr>
      </w:pPr>
      <w:r>
        <w:rPr>
          <w:sz w:val="21"/>
          <w:szCs w:val="21"/>
        </w:rPr>
        <w:t>9.1.6    提供样品和提供存放样品场所的费用由承包人承担。</w:t>
      </w:r>
    </w:p>
    <w:p w14:paraId="323538CC">
      <w:pPr>
        <w:pStyle w:val="2"/>
        <w:spacing w:before="288" w:line="219" w:lineRule="auto"/>
        <w:ind w:left="3"/>
        <w:rPr>
          <w:sz w:val="21"/>
          <w:szCs w:val="21"/>
        </w:rPr>
      </w:pPr>
      <w:r>
        <w:rPr>
          <w:b/>
          <w:bCs/>
          <w:spacing w:val="14"/>
          <w:sz w:val="21"/>
          <w:szCs w:val="21"/>
        </w:rPr>
        <w:t>9.2</w:t>
      </w:r>
      <w:r>
        <w:rPr>
          <w:spacing w:val="7"/>
          <w:sz w:val="21"/>
          <w:szCs w:val="21"/>
        </w:rPr>
        <w:t xml:space="preserve">      </w:t>
      </w:r>
      <w:r>
        <w:rPr>
          <w:b/>
          <w:bCs/>
          <w:spacing w:val="14"/>
          <w:sz w:val="21"/>
          <w:szCs w:val="21"/>
        </w:rPr>
        <w:t>材料代换</w:t>
      </w:r>
    </w:p>
    <w:p w14:paraId="0AD5BF3F">
      <w:pPr>
        <w:pStyle w:val="2"/>
        <w:spacing w:before="272" w:line="319" w:lineRule="auto"/>
        <w:ind w:left="959" w:right="77" w:hanging="959"/>
        <w:rPr>
          <w:sz w:val="21"/>
          <w:szCs w:val="21"/>
        </w:rPr>
      </w:pPr>
      <w:r>
        <w:rPr>
          <w:sz w:val="21"/>
          <w:szCs w:val="21"/>
        </w:rPr>
        <w:t>9.2.1    如果任何后继法律、法规、规章、规范、标准和规程等等禁止使用合同中约定的材料和</w:t>
      </w:r>
      <w:r>
        <w:rPr>
          <w:spacing w:val="2"/>
          <w:sz w:val="21"/>
          <w:szCs w:val="21"/>
        </w:rPr>
        <w:t xml:space="preserve"> </w:t>
      </w:r>
      <w:r>
        <w:rPr>
          <w:sz w:val="21"/>
          <w:szCs w:val="21"/>
        </w:rPr>
        <w:t>工程设备，承包人应当按本款约定的程序使用其他替代品来</w:t>
      </w:r>
      <w:r>
        <w:rPr>
          <w:spacing w:val="-1"/>
          <w:sz w:val="21"/>
          <w:szCs w:val="21"/>
        </w:rPr>
        <w:t>实施工程或修补缺陷。监理</w:t>
      </w:r>
      <w:r>
        <w:rPr>
          <w:sz w:val="21"/>
          <w:szCs w:val="21"/>
        </w:rPr>
        <w:t xml:space="preserve"> </w:t>
      </w:r>
      <w:r>
        <w:rPr>
          <w:spacing w:val="6"/>
          <w:sz w:val="21"/>
          <w:szCs w:val="21"/>
        </w:rPr>
        <w:t>人对使用替代品的批准以及承包人据此使用替代品</w:t>
      </w:r>
      <w:r>
        <w:rPr>
          <w:spacing w:val="5"/>
          <w:sz w:val="21"/>
          <w:szCs w:val="21"/>
        </w:rPr>
        <w:t>不应减免合同约定的承包人的任何</w:t>
      </w:r>
      <w:r>
        <w:rPr>
          <w:sz w:val="21"/>
          <w:szCs w:val="21"/>
        </w:rPr>
        <w:t xml:space="preserve"> </w:t>
      </w:r>
      <w:r>
        <w:rPr>
          <w:spacing w:val="-4"/>
          <w:sz w:val="21"/>
          <w:szCs w:val="21"/>
        </w:rPr>
        <w:t>责任和义务。</w:t>
      </w:r>
    </w:p>
    <w:p w14:paraId="574B2D7E">
      <w:pPr>
        <w:pStyle w:val="2"/>
        <w:spacing w:before="172" w:line="289" w:lineRule="auto"/>
        <w:ind w:left="959" w:right="66" w:hanging="959"/>
        <w:rPr>
          <w:sz w:val="21"/>
          <w:szCs w:val="21"/>
        </w:rPr>
      </w:pPr>
      <w:r>
        <w:rPr>
          <w:rFonts w:ascii="Times New Roman" w:hAnsi="Times New Roman" w:eastAsia="Times New Roman" w:cs="Times New Roman"/>
          <w:spacing w:val="5"/>
          <w:sz w:val="21"/>
          <w:szCs w:val="21"/>
        </w:rPr>
        <w:t xml:space="preserve">9.2.2          </w:t>
      </w:r>
      <w:r>
        <w:rPr>
          <w:spacing w:val="5"/>
          <w:sz w:val="21"/>
          <w:szCs w:val="21"/>
        </w:rPr>
        <w:t>如果使用替</w:t>
      </w:r>
      <w:r>
        <w:rPr>
          <w:spacing w:val="4"/>
          <w:sz w:val="21"/>
          <w:szCs w:val="21"/>
        </w:rPr>
        <w:t>代品，承包人应至少在被替代品按批准的进度计划用于永久工程前56天以</w:t>
      </w:r>
      <w:r>
        <w:rPr>
          <w:sz w:val="21"/>
          <w:szCs w:val="21"/>
        </w:rPr>
        <w:t xml:space="preserve"> </w:t>
      </w:r>
      <w:r>
        <w:rPr>
          <w:spacing w:val="-3"/>
          <w:sz w:val="21"/>
          <w:szCs w:val="21"/>
        </w:rPr>
        <w:t>书面形式通知监理人并随此通知提交下列文件：</w:t>
      </w:r>
    </w:p>
    <w:p w14:paraId="58340231">
      <w:pPr>
        <w:pStyle w:val="2"/>
        <w:spacing w:before="131" w:line="299" w:lineRule="auto"/>
        <w:ind w:left="1189" w:right="75" w:hanging="290"/>
        <w:rPr>
          <w:sz w:val="21"/>
          <w:szCs w:val="21"/>
        </w:rPr>
      </w:pPr>
      <w:r>
        <w:rPr>
          <w:spacing w:val="-1"/>
          <w:sz w:val="21"/>
          <w:szCs w:val="21"/>
        </w:rPr>
        <w:t>(1)拟被替代的合同约定的材料和工程设备的名称、数量、规格、型号、</w:t>
      </w:r>
      <w:r>
        <w:rPr>
          <w:spacing w:val="-2"/>
          <w:sz w:val="21"/>
          <w:szCs w:val="21"/>
        </w:rPr>
        <w:t>品牌、性能、价</w:t>
      </w:r>
      <w:r>
        <w:rPr>
          <w:sz w:val="21"/>
          <w:szCs w:val="21"/>
        </w:rPr>
        <w:t xml:space="preserve"> </w:t>
      </w:r>
      <w:r>
        <w:rPr>
          <w:spacing w:val="-5"/>
          <w:sz w:val="21"/>
          <w:szCs w:val="21"/>
        </w:rPr>
        <w:t>格及其他任何详细资料；</w:t>
      </w:r>
    </w:p>
    <w:p w14:paraId="2E625C9C">
      <w:pPr>
        <w:pStyle w:val="2"/>
        <w:spacing w:before="170" w:line="282" w:lineRule="auto"/>
        <w:ind w:left="1168" w:right="53" w:hanging="269"/>
        <w:rPr>
          <w:sz w:val="21"/>
          <w:szCs w:val="21"/>
        </w:rPr>
      </w:pPr>
      <w:r>
        <w:rPr>
          <w:spacing w:val="-1"/>
          <w:sz w:val="21"/>
          <w:szCs w:val="21"/>
        </w:rPr>
        <w:t>(2)拟采用的替代品的名称、数量、规格、型号、品牌、性能、价格及其他任何必要的详</w:t>
      </w:r>
      <w:r>
        <w:rPr>
          <w:spacing w:val="15"/>
          <w:sz w:val="21"/>
          <w:szCs w:val="21"/>
        </w:rPr>
        <w:t xml:space="preserve"> </w:t>
      </w:r>
      <w:r>
        <w:rPr>
          <w:spacing w:val="-7"/>
          <w:sz w:val="21"/>
          <w:szCs w:val="21"/>
        </w:rPr>
        <w:t>细资料；</w:t>
      </w:r>
    </w:p>
    <w:p w14:paraId="7F0CF61B">
      <w:pPr>
        <w:pStyle w:val="2"/>
        <w:spacing w:before="159" w:line="219" w:lineRule="auto"/>
        <w:ind w:left="899"/>
        <w:rPr>
          <w:sz w:val="21"/>
          <w:szCs w:val="21"/>
        </w:rPr>
      </w:pPr>
      <w:r>
        <w:rPr>
          <w:spacing w:val="-7"/>
          <w:sz w:val="21"/>
          <w:szCs w:val="21"/>
        </w:rPr>
        <w:t>(3)替代品使用的工程部位；</w:t>
      </w:r>
    </w:p>
    <w:p w14:paraId="6A8AD94F">
      <w:pPr>
        <w:spacing w:line="219" w:lineRule="auto"/>
        <w:rPr>
          <w:sz w:val="21"/>
          <w:szCs w:val="21"/>
        </w:rPr>
        <w:sectPr>
          <w:headerReference r:id="rId338" w:type="default"/>
          <w:footerReference r:id="rId339" w:type="default"/>
          <w:pgSz w:w="11910" w:h="16840"/>
          <w:pgMar w:top="2129" w:right="1454" w:bottom="1147" w:left="1440" w:header="2054" w:footer="1021" w:gutter="0"/>
          <w:cols w:space="720" w:num="1"/>
        </w:sectPr>
      </w:pPr>
    </w:p>
    <w:p w14:paraId="1113F757">
      <w:pPr>
        <w:spacing w:line="274" w:lineRule="auto"/>
        <w:rPr>
          <w:rFonts w:ascii="Arial"/>
          <w:sz w:val="21"/>
        </w:rPr>
      </w:pPr>
    </w:p>
    <w:p w14:paraId="09C2FF84">
      <w:pPr>
        <w:spacing w:line="274" w:lineRule="auto"/>
        <w:rPr>
          <w:rFonts w:ascii="Arial"/>
          <w:sz w:val="21"/>
        </w:rPr>
      </w:pPr>
    </w:p>
    <w:p w14:paraId="7843A9FC">
      <w:pPr>
        <w:spacing w:line="275" w:lineRule="auto"/>
        <w:rPr>
          <w:rFonts w:ascii="Arial"/>
          <w:sz w:val="21"/>
        </w:rPr>
      </w:pPr>
    </w:p>
    <w:p w14:paraId="03F773C1">
      <w:pPr>
        <w:spacing w:line="275" w:lineRule="auto"/>
        <w:rPr>
          <w:rFonts w:ascii="Arial"/>
          <w:sz w:val="21"/>
        </w:rPr>
      </w:pPr>
    </w:p>
    <w:p w14:paraId="37950BFC">
      <w:pPr>
        <w:spacing w:line="275" w:lineRule="auto"/>
        <w:rPr>
          <w:rFonts w:ascii="Arial"/>
          <w:sz w:val="21"/>
        </w:rPr>
      </w:pPr>
    </w:p>
    <w:p w14:paraId="3D3F858F">
      <w:pPr>
        <w:pStyle w:val="2"/>
        <w:spacing w:before="65" w:line="219" w:lineRule="auto"/>
        <w:ind w:left="879"/>
        <w:rPr>
          <w:sz w:val="20"/>
          <w:szCs w:val="20"/>
        </w:rPr>
      </w:pPr>
      <w:r>
        <w:rPr>
          <w:spacing w:val="4"/>
          <w:sz w:val="20"/>
          <w:szCs w:val="20"/>
        </w:rPr>
        <w:t>(4)采用替代品的理由和原因说明；</w:t>
      </w:r>
    </w:p>
    <w:p w14:paraId="4B63BB59">
      <w:pPr>
        <w:pStyle w:val="2"/>
        <w:spacing w:before="154" w:line="310" w:lineRule="auto"/>
        <w:ind w:left="1148" w:hanging="269"/>
        <w:rPr>
          <w:sz w:val="20"/>
          <w:szCs w:val="20"/>
        </w:rPr>
      </w:pPr>
      <w:r>
        <w:rPr>
          <w:spacing w:val="14"/>
          <w:sz w:val="20"/>
          <w:szCs w:val="20"/>
        </w:rPr>
        <w:t>(5)替代品与合同中约定的产品之间的差异以及使用替代品后可能对工程产生的任何影</w:t>
      </w:r>
      <w:r>
        <w:rPr>
          <w:spacing w:val="2"/>
          <w:sz w:val="20"/>
          <w:szCs w:val="20"/>
        </w:rPr>
        <w:t xml:space="preserve"> </w:t>
      </w:r>
      <w:r>
        <w:rPr>
          <w:spacing w:val="-5"/>
          <w:sz w:val="20"/>
          <w:szCs w:val="20"/>
        </w:rPr>
        <w:t>响；</w:t>
      </w:r>
    </w:p>
    <w:p w14:paraId="4EB8CBCE">
      <w:pPr>
        <w:pStyle w:val="2"/>
        <w:spacing w:before="166" w:line="218" w:lineRule="auto"/>
        <w:ind w:left="879"/>
        <w:rPr>
          <w:sz w:val="20"/>
          <w:szCs w:val="20"/>
        </w:rPr>
      </w:pPr>
      <w:r>
        <w:rPr>
          <w:sz w:val="20"/>
          <w:szCs w:val="20"/>
        </w:rPr>
        <w:t>(6)价格上的差异；</w:t>
      </w:r>
    </w:p>
    <w:p w14:paraId="558F50F5">
      <w:pPr>
        <w:pStyle w:val="2"/>
        <w:spacing w:before="164" w:line="219" w:lineRule="auto"/>
        <w:ind w:left="879"/>
        <w:rPr>
          <w:sz w:val="20"/>
          <w:szCs w:val="20"/>
        </w:rPr>
      </w:pPr>
      <w:r>
        <w:rPr>
          <w:spacing w:val="8"/>
          <w:sz w:val="20"/>
          <w:szCs w:val="20"/>
        </w:rPr>
        <w:t>(7)监理人为做出适当的决定而随时要求承包人提供</w:t>
      </w:r>
      <w:r>
        <w:rPr>
          <w:spacing w:val="7"/>
          <w:sz w:val="20"/>
          <w:szCs w:val="20"/>
        </w:rPr>
        <w:t>的任何其他文件。</w:t>
      </w:r>
    </w:p>
    <w:p w14:paraId="7B3774B0">
      <w:pPr>
        <w:pStyle w:val="2"/>
        <w:spacing w:before="183" w:line="369" w:lineRule="auto"/>
        <w:ind w:left="789" w:right="16" w:firstLine="479"/>
        <w:jc w:val="both"/>
        <w:rPr>
          <w:sz w:val="20"/>
          <w:szCs w:val="20"/>
        </w:rPr>
      </w:pPr>
      <w:r>
        <w:rPr>
          <w:spacing w:val="12"/>
          <w:sz w:val="20"/>
          <w:szCs w:val="20"/>
        </w:rPr>
        <w:t>监理人在收到此类通知及上述文件后，应在28天内</w:t>
      </w:r>
      <w:r>
        <w:rPr>
          <w:spacing w:val="11"/>
          <w:sz w:val="20"/>
          <w:szCs w:val="20"/>
        </w:rPr>
        <w:t>向承包人给出书面指示。如果28</w:t>
      </w:r>
      <w:r>
        <w:rPr>
          <w:sz w:val="20"/>
          <w:szCs w:val="20"/>
        </w:rPr>
        <w:t xml:space="preserve"> </w:t>
      </w:r>
      <w:r>
        <w:rPr>
          <w:spacing w:val="8"/>
          <w:sz w:val="20"/>
          <w:szCs w:val="20"/>
        </w:rPr>
        <w:t>天内监理人未给出书面指示，应视为监理人和发包人已经批准使用上述替代品，承包人可</w:t>
      </w:r>
      <w:r>
        <w:rPr>
          <w:spacing w:val="5"/>
          <w:sz w:val="20"/>
          <w:szCs w:val="20"/>
        </w:rPr>
        <w:t xml:space="preserve"> </w:t>
      </w:r>
      <w:r>
        <w:rPr>
          <w:spacing w:val="8"/>
          <w:sz w:val="20"/>
          <w:szCs w:val="20"/>
        </w:rPr>
        <w:t>以据此使用替代品。</w:t>
      </w:r>
    </w:p>
    <w:p w14:paraId="251B62E7">
      <w:pPr>
        <w:pStyle w:val="2"/>
        <w:spacing w:line="218" w:lineRule="auto"/>
        <w:rPr>
          <w:sz w:val="20"/>
          <w:szCs w:val="20"/>
        </w:rPr>
      </w:pPr>
      <w:r>
        <w:rPr>
          <w:spacing w:val="9"/>
          <w:sz w:val="20"/>
          <w:szCs w:val="20"/>
        </w:rPr>
        <w:t>9.2.3    任何情况下，替代品都应遵守本合同中对相关材料和工程设备的要</w:t>
      </w:r>
      <w:r>
        <w:rPr>
          <w:spacing w:val="8"/>
          <w:sz w:val="20"/>
          <w:szCs w:val="20"/>
        </w:rPr>
        <w:t>求。</w:t>
      </w:r>
    </w:p>
    <w:p w14:paraId="3D21DB2B">
      <w:pPr>
        <w:pStyle w:val="2"/>
        <w:spacing w:before="164" w:line="326" w:lineRule="auto"/>
        <w:ind w:left="939" w:right="15" w:hanging="939"/>
        <w:rPr>
          <w:sz w:val="20"/>
          <w:szCs w:val="20"/>
        </w:rPr>
      </w:pPr>
      <w:r>
        <w:rPr>
          <w:spacing w:val="9"/>
          <w:sz w:val="20"/>
          <w:szCs w:val="20"/>
        </w:rPr>
        <w:t>9.2.4    如果承包人根据本条约定使用了替代品，监理人应与承包人适</w:t>
      </w:r>
      <w:r>
        <w:rPr>
          <w:spacing w:val="8"/>
          <w:sz w:val="20"/>
          <w:szCs w:val="20"/>
        </w:rPr>
        <w:t>当协商之后并在合理的期</w:t>
      </w:r>
      <w:r>
        <w:rPr>
          <w:sz w:val="20"/>
          <w:szCs w:val="20"/>
        </w:rPr>
        <w:t xml:space="preserve"> </w:t>
      </w:r>
      <w:r>
        <w:rPr>
          <w:spacing w:val="15"/>
          <w:sz w:val="20"/>
          <w:szCs w:val="20"/>
        </w:rPr>
        <w:t>限内确定替代材料和工程设备与合同中约定的材料和工程设备之间的价值差值，并决</w:t>
      </w:r>
      <w:r>
        <w:rPr>
          <w:spacing w:val="11"/>
          <w:sz w:val="20"/>
          <w:szCs w:val="20"/>
        </w:rPr>
        <w:t xml:space="preserve"> </w:t>
      </w:r>
      <w:r>
        <w:rPr>
          <w:spacing w:val="-8"/>
          <w:sz w:val="20"/>
          <w:szCs w:val="20"/>
        </w:rPr>
        <w:t>定：</w:t>
      </w:r>
    </w:p>
    <w:p w14:paraId="4D4CB553">
      <w:pPr>
        <w:pStyle w:val="2"/>
        <w:spacing w:before="150" w:line="307" w:lineRule="auto"/>
        <w:ind w:left="1148" w:right="4" w:hanging="269"/>
        <w:rPr>
          <w:sz w:val="20"/>
          <w:szCs w:val="20"/>
        </w:rPr>
      </w:pPr>
      <w:r>
        <w:rPr>
          <w:spacing w:val="9"/>
          <w:sz w:val="20"/>
          <w:szCs w:val="20"/>
        </w:rPr>
        <w:t>(1)如果替代材料和工程设备的价值高于合同中约</w:t>
      </w:r>
      <w:r>
        <w:rPr>
          <w:spacing w:val="8"/>
          <w:sz w:val="20"/>
          <w:szCs w:val="20"/>
        </w:rPr>
        <w:t>定的材料和工程设备的价值，则将高出</w:t>
      </w:r>
      <w:r>
        <w:rPr>
          <w:sz w:val="20"/>
          <w:szCs w:val="20"/>
        </w:rPr>
        <w:t xml:space="preserve"> </w:t>
      </w:r>
      <w:r>
        <w:rPr>
          <w:spacing w:val="7"/>
          <w:sz w:val="20"/>
          <w:szCs w:val="20"/>
        </w:rPr>
        <w:t>部分的价值追加到合同价格中并相应地通知承包人；</w:t>
      </w:r>
    </w:p>
    <w:p w14:paraId="4A79A3A9">
      <w:pPr>
        <w:pStyle w:val="2"/>
        <w:spacing w:before="154" w:line="218" w:lineRule="auto"/>
        <w:ind w:right="19"/>
        <w:jc w:val="right"/>
        <w:rPr>
          <w:sz w:val="20"/>
          <w:szCs w:val="20"/>
        </w:rPr>
      </w:pPr>
      <w:r>
        <w:rPr>
          <w:spacing w:val="10"/>
          <w:sz w:val="20"/>
          <w:szCs w:val="20"/>
        </w:rPr>
        <w:t>(2)(2)如果替代材料和工程设备的价值低于合同中约定的材料和工程设备的价值，则将</w:t>
      </w:r>
    </w:p>
    <w:p w14:paraId="224FD6BA">
      <w:pPr>
        <w:pStyle w:val="2"/>
        <w:spacing w:before="184" w:line="218" w:lineRule="auto"/>
        <w:ind w:left="1149"/>
        <w:rPr>
          <w:sz w:val="20"/>
          <w:szCs w:val="20"/>
        </w:rPr>
      </w:pPr>
      <w:r>
        <w:rPr>
          <w:spacing w:val="8"/>
          <w:sz w:val="20"/>
          <w:szCs w:val="20"/>
        </w:rPr>
        <w:t>节余部分的价值从合同价格中扣除并相应地通知承包人。</w:t>
      </w:r>
    </w:p>
    <w:p w14:paraId="1AE020F1">
      <w:pPr>
        <w:spacing w:before="73" w:line="222" w:lineRule="auto"/>
        <w:ind w:left="3"/>
        <w:rPr>
          <w:rFonts w:ascii="黑体" w:hAnsi="黑体" w:eastAsia="黑体" w:cs="黑体"/>
          <w:sz w:val="28"/>
          <w:szCs w:val="28"/>
        </w:rPr>
      </w:pPr>
      <w:r>
        <w:rPr>
          <w:rFonts w:ascii="黑体" w:hAnsi="黑体" w:eastAsia="黑体" w:cs="黑体"/>
          <w:b/>
          <w:bCs/>
          <w:spacing w:val="-9"/>
          <w:sz w:val="28"/>
          <w:szCs w:val="28"/>
        </w:rPr>
        <w:t>10.进口材料和工程设备</w:t>
      </w:r>
    </w:p>
    <w:p w14:paraId="73FA9FD7">
      <w:pPr>
        <w:pStyle w:val="2"/>
        <w:spacing w:before="245" w:line="219" w:lineRule="auto"/>
        <w:rPr>
          <w:sz w:val="20"/>
          <w:szCs w:val="20"/>
        </w:rPr>
      </w:pPr>
      <w:r>
        <w:rPr>
          <w:spacing w:val="4"/>
          <w:sz w:val="20"/>
          <w:szCs w:val="20"/>
        </w:rPr>
        <w:t>10.1</w:t>
      </w:r>
      <w:r>
        <w:rPr>
          <w:spacing w:val="22"/>
          <w:sz w:val="20"/>
          <w:szCs w:val="20"/>
        </w:rPr>
        <w:t xml:space="preserve">    </w:t>
      </w:r>
      <w:r>
        <w:rPr>
          <w:spacing w:val="4"/>
          <w:sz w:val="20"/>
          <w:szCs w:val="20"/>
        </w:rPr>
        <w:t>本工程需要进口的材料和工程设备如下：</w:t>
      </w:r>
    </w:p>
    <w:p w14:paraId="230B1798">
      <w:pPr>
        <w:spacing w:line="452" w:lineRule="auto"/>
        <w:rPr>
          <w:rFonts w:ascii="Arial"/>
          <w:sz w:val="21"/>
        </w:rPr>
      </w:pPr>
    </w:p>
    <w:p w14:paraId="490445C0">
      <w:pPr>
        <w:spacing w:line="520" w:lineRule="exact"/>
        <w:ind w:firstLine="909"/>
      </w:pPr>
      <w:r>
        <w:rPr>
          <w:position w:val="-10"/>
        </w:rPr>
        <w:drawing>
          <wp:inline distT="0" distB="0" distL="0" distR="0">
            <wp:extent cx="4641850" cy="330200"/>
            <wp:effectExtent l="0" t="0" r="0" b="0"/>
            <wp:docPr id="254" name="IM 254"/>
            <wp:cNvGraphicFramePr/>
            <a:graphic xmlns:a="http://schemas.openxmlformats.org/drawingml/2006/main">
              <a:graphicData uri="http://schemas.openxmlformats.org/drawingml/2006/picture">
                <pic:pic xmlns:pic="http://schemas.openxmlformats.org/drawingml/2006/picture">
                  <pic:nvPicPr>
                    <pic:cNvPr id="254" name="IM 254"/>
                    <pic:cNvPicPr/>
                  </pic:nvPicPr>
                  <pic:blipFill>
                    <a:blip r:embed="rId513"/>
                    <a:stretch>
                      <a:fillRect/>
                    </a:stretch>
                  </pic:blipFill>
                  <pic:spPr>
                    <a:xfrm>
                      <a:off x="0" y="0"/>
                      <a:ext cx="4641851" cy="330212"/>
                    </a:xfrm>
                    <a:prstGeom prst="rect">
                      <a:avLst/>
                    </a:prstGeom>
                  </pic:spPr>
                </pic:pic>
              </a:graphicData>
            </a:graphic>
          </wp:inline>
        </w:drawing>
      </w:r>
    </w:p>
    <w:p w14:paraId="75D9632B">
      <w:pPr>
        <w:pStyle w:val="2"/>
        <w:spacing w:before="269" w:line="473" w:lineRule="auto"/>
        <w:ind w:left="939" w:right="17" w:hanging="939"/>
        <w:rPr>
          <w:sz w:val="20"/>
          <w:szCs w:val="20"/>
        </w:rPr>
      </w:pPr>
      <w:r>
        <w:rPr>
          <w:spacing w:val="11"/>
          <w:sz w:val="20"/>
          <w:szCs w:val="20"/>
        </w:rPr>
        <w:t>10.2</w:t>
      </w:r>
      <w:r>
        <w:rPr>
          <w:spacing w:val="9"/>
          <w:sz w:val="20"/>
          <w:szCs w:val="20"/>
        </w:rPr>
        <w:t xml:space="preserve">    </w:t>
      </w:r>
      <w:r>
        <w:rPr>
          <w:spacing w:val="11"/>
          <w:sz w:val="20"/>
          <w:szCs w:val="20"/>
        </w:rPr>
        <w:t>上述进口材料和工程设备采购、进口、报关、清关、商检、境内运输(包括保险)、保管</w:t>
      </w:r>
      <w:r>
        <w:rPr>
          <w:spacing w:val="1"/>
          <w:sz w:val="20"/>
          <w:szCs w:val="20"/>
        </w:rPr>
        <w:t xml:space="preserve"> </w:t>
      </w:r>
      <w:r>
        <w:rPr>
          <w:spacing w:val="7"/>
          <w:sz w:val="20"/>
          <w:szCs w:val="20"/>
        </w:rPr>
        <w:t>的责任以及费用承担方式划分如下：</w:t>
      </w:r>
    </w:p>
    <w:p w14:paraId="7B582B2C">
      <w:pPr>
        <w:spacing w:before="187" w:line="510" w:lineRule="exact"/>
        <w:ind w:firstLine="909"/>
      </w:pPr>
      <w:r>
        <w:rPr>
          <w:position w:val="-10"/>
        </w:rPr>
        <w:drawing>
          <wp:inline distT="0" distB="0" distL="0" distR="0">
            <wp:extent cx="4641850" cy="323215"/>
            <wp:effectExtent l="0" t="0" r="0" b="0"/>
            <wp:docPr id="256" name="IM 256"/>
            <wp:cNvGraphicFramePr/>
            <a:graphic xmlns:a="http://schemas.openxmlformats.org/drawingml/2006/main">
              <a:graphicData uri="http://schemas.openxmlformats.org/drawingml/2006/picture">
                <pic:pic xmlns:pic="http://schemas.openxmlformats.org/drawingml/2006/picture">
                  <pic:nvPicPr>
                    <pic:cNvPr id="256" name="IM 256"/>
                    <pic:cNvPicPr/>
                  </pic:nvPicPr>
                  <pic:blipFill>
                    <a:blip r:embed="rId514"/>
                    <a:stretch>
                      <a:fillRect/>
                    </a:stretch>
                  </pic:blipFill>
                  <pic:spPr>
                    <a:xfrm>
                      <a:off x="0" y="0"/>
                      <a:ext cx="4641850" cy="323796"/>
                    </a:xfrm>
                    <a:prstGeom prst="rect">
                      <a:avLst/>
                    </a:prstGeom>
                  </pic:spPr>
                </pic:pic>
              </a:graphicData>
            </a:graphic>
          </wp:inline>
        </w:drawing>
      </w:r>
    </w:p>
    <w:p w14:paraId="73C3F725">
      <w:pPr>
        <w:pStyle w:val="2"/>
        <w:spacing w:before="115" w:line="222" w:lineRule="auto"/>
        <w:ind w:left="4"/>
        <w:rPr>
          <w:rFonts w:ascii="黑体" w:hAnsi="黑体" w:eastAsia="黑体" w:cs="黑体"/>
          <w:sz w:val="28"/>
          <w:szCs w:val="28"/>
        </w:rPr>
      </w:pPr>
      <w:r>
        <w:rPr>
          <w:b/>
          <w:bCs/>
          <w:spacing w:val="-7"/>
          <w:sz w:val="28"/>
          <w:szCs w:val="28"/>
        </w:rPr>
        <w:t>11.</w:t>
      </w:r>
      <w:r>
        <w:rPr>
          <w:rFonts w:ascii="黑体" w:hAnsi="黑体" w:eastAsia="黑体" w:cs="黑体"/>
          <w:b/>
          <w:bCs/>
          <w:spacing w:val="-7"/>
          <w:sz w:val="28"/>
          <w:szCs w:val="28"/>
        </w:rPr>
        <w:t>进度报告和进度例会</w:t>
      </w:r>
    </w:p>
    <w:p w14:paraId="3F8E3934">
      <w:pPr>
        <w:pStyle w:val="2"/>
        <w:spacing w:before="154" w:line="218" w:lineRule="auto"/>
        <w:rPr>
          <w:sz w:val="20"/>
          <w:szCs w:val="20"/>
        </w:rPr>
      </w:pPr>
      <w:r>
        <w:rPr>
          <w:spacing w:val="2"/>
          <w:sz w:val="20"/>
          <w:szCs w:val="20"/>
        </w:rPr>
        <w:t>11.1</w:t>
      </w:r>
      <w:r>
        <w:rPr>
          <w:spacing w:val="15"/>
          <w:sz w:val="20"/>
          <w:szCs w:val="20"/>
        </w:rPr>
        <w:t xml:space="preserve">     </w:t>
      </w:r>
      <w:r>
        <w:rPr>
          <w:spacing w:val="2"/>
          <w:sz w:val="20"/>
          <w:szCs w:val="20"/>
        </w:rPr>
        <w:t>进度报告</w:t>
      </w:r>
    </w:p>
    <w:p w14:paraId="5AC4907D">
      <w:pPr>
        <w:pStyle w:val="2"/>
        <w:spacing w:before="185" w:line="332" w:lineRule="auto"/>
        <w:ind w:left="939" w:right="5" w:hanging="939"/>
        <w:rPr>
          <w:sz w:val="20"/>
          <w:szCs w:val="20"/>
        </w:rPr>
      </w:pPr>
      <w:r>
        <w:rPr>
          <w:spacing w:val="9"/>
          <w:sz w:val="20"/>
          <w:szCs w:val="20"/>
        </w:rPr>
        <w:t>11.1.1   施工过程中，承包人应向监理人指定的代表呈递一份每日</w:t>
      </w:r>
      <w:r>
        <w:rPr>
          <w:spacing w:val="8"/>
          <w:sz w:val="20"/>
          <w:szCs w:val="20"/>
        </w:rPr>
        <w:t>的日进度报表、每周的周进度</w:t>
      </w:r>
      <w:r>
        <w:rPr>
          <w:sz w:val="20"/>
          <w:szCs w:val="20"/>
        </w:rPr>
        <w:t xml:space="preserve"> </w:t>
      </w:r>
      <w:r>
        <w:rPr>
          <w:spacing w:val="10"/>
          <w:sz w:val="20"/>
          <w:szCs w:val="20"/>
        </w:rPr>
        <w:t>报表和每月的月进度报表。除非监理人同意，日进度报表应在次日上午九点前递交，周</w:t>
      </w:r>
      <w:r>
        <w:rPr>
          <w:spacing w:val="2"/>
          <w:sz w:val="20"/>
          <w:szCs w:val="20"/>
        </w:rPr>
        <w:t xml:space="preserve"> </w:t>
      </w:r>
      <w:r>
        <w:rPr>
          <w:spacing w:val="12"/>
          <w:sz w:val="20"/>
          <w:szCs w:val="20"/>
        </w:rPr>
        <w:t>进度报表应在次周的周一上午九时前递交，月进度报表应随合同条款第17.3.2项约定</w:t>
      </w:r>
      <w:r>
        <w:rPr>
          <w:spacing w:val="5"/>
          <w:sz w:val="20"/>
          <w:szCs w:val="20"/>
        </w:rPr>
        <w:t xml:space="preserve">  </w:t>
      </w:r>
      <w:r>
        <w:rPr>
          <w:spacing w:val="7"/>
          <w:sz w:val="20"/>
          <w:szCs w:val="20"/>
        </w:rPr>
        <w:t>的进度付款申请单一并递交。</w:t>
      </w:r>
    </w:p>
    <w:p w14:paraId="11451977">
      <w:pPr>
        <w:pStyle w:val="2"/>
        <w:spacing w:before="183" w:line="219" w:lineRule="auto"/>
        <w:rPr>
          <w:sz w:val="20"/>
          <w:szCs w:val="20"/>
        </w:rPr>
      </w:pPr>
      <w:r>
        <w:rPr>
          <w:spacing w:val="7"/>
          <w:sz w:val="20"/>
          <w:szCs w:val="20"/>
        </w:rPr>
        <w:t>11.1.2</w:t>
      </w:r>
      <w:r>
        <w:rPr>
          <w:spacing w:val="34"/>
          <w:sz w:val="20"/>
          <w:szCs w:val="20"/>
        </w:rPr>
        <w:t xml:space="preserve">   </w:t>
      </w:r>
      <w:r>
        <w:rPr>
          <w:spacing w:val="7"/>
          <w:sz w:val="20"/>
          <w:szCs w:val="20"/>
        </w:rPr>
        <w:t>日和周进度报表的内容应至少包括每日在现场工作的技术管理人员数量、各工种技术工</w:t>
      </w:r>
    </w:p>
    <w:p w14:paraId="6AA70C84">
      <w:pPr>
        <w:spacing w:line="219" w:lineRule="auto"/>
        <w:rPr>
          <w:sz w:val="20"/>
          <w:szCs w:val="20"/>
        </w:rPr>
        <w:sectPr>
          <w:headerReference r:id="rId340" w:type="default"/>
          <w:footerReference r:id="rId341" w:type="default"/>
          <w:pgSz w:w="11910" w:h="16840"/>
          <w:pgMar w:top="400" w:right="1521" w:bottom="1147" w:left="1460" w:header="0" w:footer="1021" w:gutter="0"/>
          <w:cols w:space="720" w:num="1"/>
        </w:sectPr>
      </w:pPr>
    </w:p>
    <w:p w14:paraId="65F9756A">
      <w:pPr>
        <w:spacing w:line="270" w:lineRule="auto"/>
        <w:rPr>
          <w:rFonts w:ascii="Arial"/>
          <w:sz w:val="21"/>
        </w:rPr>
      </w:pPr>
    </w:p>
    <w:p w14:paraId="084430D3">
      <w:pPr>
        <w:spacing w:line="270" w:lineRule="auto"/>
        <w:rPr>
          <w:rFonts w:ascii="Arial"/>
          <w:sz w:val="21"/>
        </w:rPr>
      </w:pPr>
    </w:p>
    <w:p w14:paraId="7701A3E3">
      <w:pPr>
        <w:spacing w:line="270" w:lineRule="auto"/>
        <w:rPr>
          <w:rFonts w:ascii="Arial"/>
          <w:sz w:val="21"/>
        </w:rPr>
      </w:pPr>
    </w:p>
    <w:p w14:paraId="3F9C981A">
      <w:pPr>
        <w:spacing w:line="271" w:lineRule="auto"/>
        <w:rPr>
          <w:rFonts w:ascii="Arial"/>
          <w:sz w:val="21"/>
        </w:rPr>
      </w:pPr>
    </w:p>
    <w:p w14:paraId="00609030">
      <w:pPr>
        <w:spacing w:line="271" w:lineRule="auto"/>
        <w:rPr>
          <w:rFonts w:ascii="Arial"/>
          <w:sz w:val="21"/>
        </w:rPr>
      </w:pPr>
    </w:p>
    <w:p w14:paraId="01777F2C">
      <w:pPr>
        <w:pStyle w:val="2"/>
        <w:spacing w:before="68" w:line="358" w:lineRule="auto"/>
        <w:ind w:left="929" w:right="47"/>
        <w:jc w:val="both"/>
        <w:rPr>
          <w:sz w:val="21"/>
          <w:szCs w:val="21"/>
        </w:rPr>
      </w:pPr>
      <w:r>
        <w:rPr>
          <w:sz w:val="21"/>
          <w:szCs w:val="21"/>
        </w:rPr>
        <w:t>人和非技术工人数量、后勤人员数量、参观现场的人员数量，</w:t>
      </w:r>
      <w:r>
        <w:rPr>
          <w:spacing w:val="-1"/>
          <w:sz w:val="21"/>
          <w:szCs w:val="21"/>
        </w:rPr>
        <w:t>包括分包人人员数量；还</w:t>
      </w:r>
      <w:r>
        <w:rPr>
          <w:sz w:val="21"/>
          <w:szCs w:val="21"/>
        </w:rPr>
        <w:t xml:space="preserve"> 应包括所使用的各种主要机械设备和车辆的型号、数量和台班，</w:t>
      </w:r>
      <w:r>
        <w:rPr>
          <w:spacing w:val="-1"/>
          <w:sz w:val="21"/>
          <w:szCs w:val="21"/>
        </w:rPr>
        <w:t>工作的区段，以及工程</w:t>
      </w:r>
      <w:r>
        <w:rPr>
          <w:sz w:val="21"/>
          <w:szCs w:val="21"/>
        </w:rPr>
        <w:t xml:space="preserve"> 进度情况、天气情况记录、停工、质量和安全事故等特别事项说明；此外，应附上每日</w:t>
      </w:r>
      <w:r>
        <w:rPr>
          <w:spacing w:val="16"/>
          <w:sz w:val="21"/>
          <w:szCs w:val="21"/>
        </w:rPr>
        <w:t xml:space="preserve"> </w:t>
      </w:r>
      <w:r>
        <w:rPr>
          <w:spacing w:val="-1"/>
          <w:sz w:val="21"/>
          <w:szCs w:val="21"/>
        </w:rPr>
        <w:t>进场材料、物品或设备的分类汇总表、用于次日或次周的工程进度计划等。</w:t>
      </w:r>
    </w:p>
    <w:p w14:paraId="576A0838">
      <w:pPr>
        <w:pStyle w:val="2"/>
        <w:spacing w:line="337" w:lineRule="auto"/>
        <w:ind w:left="929" w:hanging="929"/>
        <w:rPr>
          <w:sz w:val="21"/>
          <w:szCs w:val="21"/>
        </w:rPr>
      </w:pPr>
      <w:r>
        <w:rPr>
          <w:sz w:val="21"/>
          <w:szCs w:val="21"/>
        </w:rPr>
        <w:t>11.1.3</w:t>
      </w:r>
      <w:r>
        <w:rPr>
          <w:spacing w:val="47"/>
          <w:sz w:val="21"/>
          <w:szCs w:val="21"/>
        </w:rPr>
        <w:t xml:space="preserve">  </w:t>
      </w:r>
      <w:r>
        <w:rPr>
          <w:sz w:val="21"/>
          <w:szCs w:val="21"/>
        </w:rPr>
        <w:t>月进度报表应当反映月完成工程量和累计完成工</w:t>
      </w:r>
      <w:r>
        <w:rPr>
          <w:spacing w:val="-1"/>
          <w:sz w:val="21"/>
          <w:szCs w:val="21"/>
        </w:rPr>
        <w:t>程量(包括永久工程和临时工程)、材料</w:t>
      </w:r>
      <w:r>
        <w:rPr>
          <w:sz w:val="21"/>
          <w:szCs w:val="21"/>
        </w:rPr>
        <w:t xml:space="preserve"> </w:t>
      </w:r>
      <w:r>
        <w:rPr>
          <w:spacing w:val="-4"/>
          <w:sz w:val="21"/>
          <w:szCs w:val="21"/>
        </w:rPr>
        <w:t>实际进货、消耗和库存量、现场施工设备的投运数量和运行状况、工程设备的到货情况、</w:t>
      </w:r>
      <w:r>
        <w:rPr>
          <w:spacing w:val="10"/>
          <w:sz w:val="21"/>
          <w:szCs w:val="21"/>
        </w:rPr>
        <w:t xml:space="preserve"> </w:t>
      </w:r>
      <w:r>
        <w:rPr>
          <w:sz w:val="21"/>
          <w:szCs w:val="21"/>
        </w:rPr>
        <w:t>劳动力数量(本月及预计未来三个月劳动力的数量)、</w:t>
      </w:r>
      <w:r>
        <w:rPr>
          <w:spacing w:val="-1"/>
          <w:sz w:val="21"/>
          <w:szCs w:val="21"/>
        </w:rPr>
        <w:t>当前影响施工进度计划的因素和采</w:t>
      </w:r>
      <w:r>
        <w:rPr>
          <w:sz w:val="21"/>
          <w:szCs w:val="21"/>
        </w:rPr>
        <w:t xml:space="preserve"> </w:t>
      </w:r>
      <w:r>
        <w:rPr>
          <w:spacing w:val="-4"/>
          <w:sz w:val="21"/>
          <w:szCs w:val="21"/>
        </w:rPr>
        <w:t>取的改进措施、进度计划调整及其说明、质量事故和质量缺陷处理纪录、质量状况评价、</w:t>
      </w:r>
      <w:r>
        <w:rPr>
          <w:spacing w:val="10"/>
          <w:sz w:val="21"/>
          <w:szCs w:val="21"/>
        </w:rPr>
        <w:t xml:space="preserve"> </w:t>
      </w:r>
      <w:r>
        <w:rPr>
          <w:sz w:val="21"/>
          <w:szCs w:val="21"/>
        </w:rPr>
        <w:t>安全施工措施计划实施情况、安全事故以及人员伤亡和财</w:t>
      </w:r>
      <w:r>
        <w:rPr>
          <w:spacing w:val="-1"/>
          <w:sz w:val="21"/>
          <w:szCs w:val="21"/>
        </w:rPr>
        <w:t>产损失情况(如果有)、环境保</w:t>
      </w:r>
      <w:r>
        <w:rPr>
          <w:sz w:val="21"/>
          <w:szCs w:val="21"/>
        </w:rPr>
        <w:t xml:space="preserve"> </w:t>
      </w:r>
      <w:r>
        <w:rPr>
          <w:spacing w:val="-3"/>
          <w:sz w:val="21"/>
          <w:szCs w:val="21"/>
        </w:rPr>
        <w:t>护措施实施和文明施工措施实施情况。</w:t>
      </w:r>
    </w:p>
    <w:p w14:paraId="6FAA5957">
      <w:pPr>
        <w:pStyle w:val="2"/>
        <w:spacing w:before="128" w:line="314" w:lineRule="auto"/>
        <w:ind w:left="929" w:right="36" w:hanging="929"/>
        <w:rPr>
          <w:sz w:val="21"/>
          <w:szCs w:val="21"/>
        </w:rPr>
      </w:pPr>
      <w:r>
        <w:rPr>
          <w:spacing w:val="1"/>
          <w:sz w:val="21"/>
          <w:szCs w:val="21"/>
        </w:rPr>
        <w:t>11.1.4</w:t>
      </w:r>
      <w:r>
        <w:rPr>
          <w:spacing w:val="46"/>
          <w:sz w:val="21"/>
          <w:szCs w:val="21"/>
        </w:rPr>
        <w:t xml:space="preserve">  </w:t>
      </w:r>
      <w:r>
        <w:rPr>
          <w:spacing w:val="1"/>
          <w:sz w:val="21"/>
          <w:szCs w:val="21"/>
        </w:rPr>
        <w:t>月进度报告还应附有一组充分显示工程形</w:t>
      </w:r>
      <w:r>
        <w:rPr>
          <w:sz w:val="21"/>
          <w:szCs w:val="21"/>
        </w:rPr>
        <w:t>象进度的定点摄影照片。照片应当在经监理人</w:t>
      </w:r>
      <w:r>
        <w:rPr>
          <w:spacing w:val="1"/>
          <w:sz w:val="21"/>
          <w:szCs w:val="21"/>
        </w:rPr>
        <w:t xml:space="preserve"> 批准的不同位置定期拍摄，每张照片都应标上相应的拍</w:t>
      </w:r>
      <w:r>
        <w:rPr>
          <w:sz w:val="21"/>
          <w:szCs w:val="21"/>
        </w:rPr>
        <w:t xml:space="preserve">摄日期和简要文字说明，且应用 </w:t>
      </w:r>
      <w:r>
        <w:rPr>
          <w:spacing w:val="-1"/>
          <w:sz w:val="21"/>
          <w:szCs w:val="21"/>
        </w:rPr>
        <w:t>经发包人和监理人批准的标准或格式装裱后呈交。</w:t>
      </w:r>
    </w:p>
    <w:p w14:paraId="5C8DF15A">
      <w:pPr>
        <w:pStyle w:val="2"/>
        <w:spacing w:before="169" w:line="286" w:lineRule="auto"/>
        <w:ind w:left="929" w:right="76" w:hanging="929"/>
        <w:rPr>
          <w:sz w:val="21"/>
          <w:szCs w:val="21"/>
        </w:rPr>
      </w:pPr>
      <w:r>
        <w:rPr>
          <w:sz w:val="21"/>
          <w:szCs w:val="21"/>
        </w:rPr>
        <w:t>11.1.5   各个进度报表的格式和</w:t>
      </w:r>
      <w:r>
        <w:rPr>
          <w:spacing w:val="-1"/>
          <w:sz w:val="21"/>
          <w:szCs w:val="21"/>
        </w:rPr>
        <w:t>内容应经过监理人的审批。进度报表应如实填写，由承包人授权</w:t>
      </w:r>
      <w:r>
        <w:rPr>
          <w:sz w:val="21"/>
          <w:szCs w:val="21"/>
        </w:rPr>
        <w:t xml:space="preserve"> 代表签名，并报监理人的指定代表签名确认</w:t>
      </w:r>
      <w:r>
        <w:rPr>
          <w:spacing w:val="-1"/>
          <w:sz w:val="21"/>
          <w:szCs w:val="21"/>
        </w:rPr>
        <w:t>后再行分发。</w:t>
      </w:r>
    </w:p>
    <w:p w14:paraId="3361F391">
      <w:pPr>
        <w:pStyle w:val="2"/>
        <w:spacing w:before="158" w:line="290" w:lineRule="auto"/>
        <w:ind w:left="929" w:right="56" w:hanging="929"/>
        <w:rPr>
          <w:sz w:val="21"/>
          <w:szCs w:val="21"/>
        </w:rPr>
      </w:pPr>
      <w:r>
        <w:rPr>
          <w:sz w:val="21"/>
          <w:szCs w:val="21"/>
        </w:rPr>
        <w:t>11.1.6   如果监理人认为必要，进度报告和进度照片应同时以存储在磁盘或光</w:t>
      </w:r>
      <w:r>
        <w:rPr>
          <w:spacing w:val="-1"/>
          <w:sz w:val="21"/>
          <w:szCs w:val="21"/>
        </w:rPr>
        <w:t>盘中的数据文件的</w:t>
      </w:r>
      <w:r>
        <w:rPr>
          <w:sz w:val="21"/>
          <w:szCs w:val="21"/>
        </w:rPr>
        <w:t xml:space="preserve"> 形式递交给发包人和监理人。数据文件采用的应用软件及其版本应经过监</w:t>
      </w:r>
      <w:r>
        <w:rPr>
          <w:spacing w:val="-1"/>
          <w:sz w:val="21"/>
          <w:szCs w:val="21"/>
        </w:rPr>
        <w:t>理人的审批。</w:t>
      </w:r>
    </w:p>
    <w:p w14:paraId="390AA81B">
      <w:pPr>
        <w:pStyle w:val="2"/>
        <w:spacing w:before="160" w:line="218" w:lineRule="auto"/>
        <w:rPr>
          <w:sz w:val="21"/>
          <w:szCs w:val="21"/>
        </w:rPr>
      </w:pPr>
      <w:r>
        <w:rPr>
          <w:spacing w:val="-2"/>
          <w:sz w:val="21"/>
          <w:szCs w:val="21"/>
        </w:rPr>
        <w:t>11.1.7   有关进度报告的其他要求：</w:t>
      </w:r>
    </w:p>
    <w:p w14:paraId="47805031">
      <w:pPr>
        <w:tabs>
          <w:tab w:val="left" w:pos="8199"/>
        </w:tabs>
        <w:spacing w:before="163"/>
        <w:ind w:left="909"/>
        <w:rPr>
          <w:rFonts w:ascii="Arial"/>
          <w:sz w:val="21"/>
        </w:rPr>
      </w:pPr>
      <w:r>
        <w:rPr>
          <w:rFonts w:ascii="Arial" w:hAnsi="Arial" w:eastAsia="Arial" w:cs="Arial"/>
          <w:sz w:val="21"/>
          <w:szCs w:val="21"/>
          <w:u w:val="single" w:color="auto"/>
        </w:rPr>
        <w:tab/>
      </w:r>
    </w:p>
    <w:p w14:paraId="5A032B3A">
      <w:pPr>
        <w:tabs>
          <w:tab w:val="left" w:pos="8219"/>
        </w:tabs>
        <w:spacing w:before="149"/>
        <w:ind w:left="909"/>
        <w:rPr>
          <w:rFonts w:ascii="Arial"/>
          <w:sz w:val="21"/>
        </w:rPr>
      </w:pPr>
      <w:r>
        <w:rPr>
          <w:rFonts w:ascii="Arial" w:hAnsi="Arial" w:eastAsia="Arial" w:cs="Arial"/>
          <w:sz w:val="21"/>
          <w:szCs w:val="21"/>
          <w:u w:val="single" w:color="auto"/>
        </w:rPr>
        <w:tab/>
      </w:r>
    </w:p>
    <w:p w14:paraId="780939BD">
      <w:pPr>
        <w:spacing w:before="135" w:line="222" w:lineRule="auto"/>
        <w:rPr>
          <w:rFonts w:ascii="黑体" w:hAnsi="黑体" w:eastAsia="黑体" w:cs="黑体"/>
          <w:sz w:val="24"/>
          <w:szCs w:val="24"/>
        </w:rPr>
      </w:pPr>
      <w:r>
        <w:rPr>
          <w:rFonts w:ascii="Times New Roman" w:hAnsi="Times New Roman" w:eastAsia="Times New Roman" w:cs="Times New Roman"/>
          <w:b/>
          <w:bCs/>
          <w:spacing w:val="-4"/>
          <w:sz w:val="21"/>
          <w:szCs w:val="21"/>
        </w:rPr>
        <w:t>11.2</w:t>
      </w:r>
      <w:r>
        <w:rPr>
          <w:rFonts w:ascii="Times New Roman" w:hAnsi="Times New Roman" w:eastAsia="Times New Roman" w:cs="Times New Roman"/>
          <w:b/>
          <w:bCs/>
          <w:spacing w:val="2"/>
          <w:sz w:val="21"/>
          <w:szCs w:val="21"/>
        </w:rPr>
        <w:t xml:space="preserve">             </w:t>
      </w:r>
      <w:r>
        <w:rPr>
          <w:rFonts w:ascii="黑体" w:hAnsi="黑体" w:eastAsia="黑体" w:cs="黑体"/>
          <w:b/>
          <w:bCs/>
          <w:spacing w:val="-4"/>
          <w:sz w:val="24"/>
          <w:szCs w:val="24"/>
        </w:rPr>
        <w:t>进度例会</w:t>
      </w:r>
    </w:p>
    <w:p w14:paraId="7EB956D7">
      <w:pPr>
        <w:pStyle w:val="2"/>
        <w:spacing w:before="125" w:line="313" w:lineRule="auto"/>
        <w:ind w:left="929" w:right="74" w:hanging="929"/>
        <w:rPr>
          <w:sz w:val="21"/>
          <w:szCs w:val="21"/>
        </w:rPr>
      </w:pPr>
      <w:r>
        <w:rPr>
          <w:sz w:val="21"/>
          <w:szCs w:val="21"/>
        </w:rPr>
        <w:t>11.2.1   监理人将主持召开有发包人</w:t>
      </w:r>
      <w:r>
        <w:rPr>
          <w:spacing w:val="-1"/>
          <w:sz w:val="21"/>
          <w:szCs w:val="21"/>
        </w:rPr>
        <w:t>、承包人、独立承包人和主要分包人等与本工程建设有关各</w:t>
      </w:r>
      <w:r>
        <w:rPr>
          <w:sz w:val="21"/>
          <w:szCs w:val="21"/>
        </w:rPr>
        <w:t xml:space="preserve"> 方出席的每周一次的进度例会。必要时，监理人可随时召集所</w:t>
      </w:r>
      <w:r>
        <w:rPr>
          <w:spacing w:val="-1"/>
          <w:sz w:val="21"/>
          <w:szCs w:val="21"/>
        </w:rPr>
        <w:t>有上述各方或其中部分单</w:t>
      </w:r>
      <w:r>
        <w:rPr>
          <w:sz w:val="21"/>
          <w:szCs w:val="21"/>
        </w:rPr>
        <w:t xml:space="preserve"> </w:t>
      </w:r>
      <w:r>
        <w:rPr>
          <w:spacing w:val="-1"/>
          <w:sz w:val="21"/>
          <w:szCs w:val="21"/>
        </w:rPr>
        <w:t>位参加的会议。承包人应保证能代表其当场作出决定的高级管理人员出</w:t>
      </w:r>
      <w:r>
        <w:rPr>
          <w:spacing w:val="-2"/>
          <w:sz w:val="21"/>
          <w:szCs w:val="21"/>
        </w:rPr>
        <w:t>席会议。</w:t>
      </w:r>
    </w:p>
    <w:p w14:paraId="3444C50E">
      <w:pPr>
        <w:pStyle w:val="2"/>
        <w:spacing w:before="150" w:line="290" w:lineRule="auto"/>
        <w:ind w:left="929" w:right="61" w:hanging="929"/>
        <w:rPr>
          <w:sz w:val="21"/>
          <w:szCs w:val="21"/>
        </w:rPr>
      </w:pPr>
      <w:r>
        <w:rPr>
          <w:sz w:val="21"/>
          <w:szCs w:val="21"/>
        </w:rPr>
        <w:t>11.2.2   进度例会的内容将涉及合同管理、进度协调和工程管理的</w:t>
      </w:r>
      <w:r>
        <w:rPr>
          <w:spacing w:val="-1"/>
          <w:sz w:val="21"/>
          <w:szCs w:val="21"/>
        </w:rPr>
        <w:t>各个方面，由监理人准备的会</w:t>
      </w:r>
      <w:r>
        <w:rPr>
          <w:sz w:val="21"/>
          <w:szCs w:val="21"/>
        </w:rPr>
        <w:t xml:space="preserve"> </w:t>
      </w:r>
      <w:r>
        <w:rPr>
          <w:spacing w:val="3"/>
          <w:sz w:val="21"/>
          <w:szCs w:val="21"/>
        </w:rPr>
        <w:t>议议题将随会议通知在会议召开前至少24小时发给各参会方。</w:t>
      </w:r>
    </w:p>
    <w:p w14:paraId="05C1103A">
      <w:pPr>
        <w:pStyle w:val="2"/>
        <w:spacing w:before="169" w:line="333" w:lineRule="auto"/>
        <w:ind w:left="929" w:right="44" w:hanging="929"/>
        <w:rPr>
          <w:sz w:val="21"/>
          <w:szCs w:val="21"/>
        </w:rPr>
      </w:pPr>
      <w:r>
        <w:rPr>
          <w:sz w:val="21"/>
          <w:szCs w:val="21"/>
        </w:rPr>
        <w:t>11.2.3   监理人应当做好会议记录，并在会议结束时由与会各方签字确认。监理人应根据会议记</w:t>
      </w:r>
      <w:r>
        <w:rPr>
          <w:spacing w:val="4"/>
          <w:sz w:val="21"/>
          <w:szCs w:val="21"/>
        </w:rPr>
        <w:t xml:space="preserve"> 录整理出会议纪要，并在相应会议后24小时内分发给</w:t>
      </w:r>
      <w:r>
        <w:rPr>
          <w:spacing w:val="3"/>
          <w:sz w:val="21"/>
          <w:szCs w:val="21"/>
        </w:rPr>
        <w:t>出席会议的各方。会议纪要应当</w:t>
      </w:r>
      <w:r>
        <w:rPr>
          <w:sz w:val="21"/>
          <w:szCs w:val="21"/>
        </w:rPr>
        <w:t xml:space="preserve">  如实反映会议记录的内容，包括任何决定、存在的问题、</w:t>
      </w:r>
      <w:r>
        <w:rPr>
          <w:spacing w:val="-1"/>
          <w:sz w:val="21"/>
          <w:szCs w:val="21"/>
        </w:rPr>
        <w:t>责任方、有关工作的时间目标</w:t>
      </w:r>
      <w:r>
        <w:rPr>
          <w:sz w:val="21"/>
          <w:szCs w:val="21"/>
        </w:rPr>
        <w:t xml:space="preserve"> </w:t>
      </w:r>
      <w:r>
        <w:rPr>
          <w:spacing w:val="3"/>
          <w:sz w:val="21"/>
          <w:szCs w:val="21"/>
        </w:rPr>
        <w:t>等等。各方在收到会议纪要后24小时内给予签字确认，如有任何异议，应将有关异议</w:t>
      </w:r>
      <w:r>
        <w:rPr>
          <w:spacing w:val="7"/>
          <w:sz w:val="21"/>
          <w:szCs w:val="21"/>
        </w:rPr>
        <w:t xml:space="preserve">  </w:t>
      </w:r>
      <w:r>
        <w:rPr>
          <w:sz w:val="21"/>
          <w:szCs w:val="21"/>
        </w:rPr>
        <w:t>以书面形式通知监理人，由监理人与有异议一方或各方共同核对</w:t>
      </w:r>
      <w:r>
        <w:rPr>
          <w:spacing w:val="-1"/>
          <w:sz w:val="21"/>
          <w:szCs w:val="21"/>
        </w:rPr>
        <w:t>会议记录，有异议的一</w:t>
      </w:r>
      <w:r>
        <w:rPr>
          <w:sz w:val="21"/>
          <w:szCs w:val="21"/>
        </w:rPr>
        <w:t xml:space="preserve"> 方或者各方对与会议记录内容一致的会议纪要必须给予签字确</w:t>
      </w:r>
      <w:r>
        <w:rPr>
          <w:spacing w:val="-1"/>
          <w:sz w:val="21"/>
          <w:szCs w:val="21"/>
        </w:rPr>
        <w:t>认，否则监理人可以用会</w:t>
      </w:r>
      <w:r>
        <w:rPr>
          <w:sz w:val="21"/>
          <w:szCs w:val="21"/>
        </w:rPr>
        <w:t xml:space="preserve"> </w:t>
      </w:r>
      <w:r>
        <w:rPr>
          <w:spacing w:val="-1"/>
          <w:sz w:val="21"/>
          <w:szCs w:val="21"/>
        </w:rPr>
        <w:t>议记录作为会议纪要。经参会各方签字认可的会议纪要对各方</w:t>
      </w:r>
      <w:r>
        <w:rPr>
          <w:spacing w:val="-2"/>
          <w:sz w:val="21"/>
          <w:szCs w:val="21"/>
        </w:rPr>
        <w:t>有合同约束力。</w:t>
      </w:r>
    </w:p>
    <w:p w14:paraId="3FB833A3">
      <w:pPr>
        <w:spacing w:line="333" w:lineRule="auto"/>
        <w:rPr>
          <w:sz w:val="21"/>
          <w:szCs w:val="21"/>
        </w:rPr>
        <w:sectPr>
          <w:footerReference r:id="rId342" w:type="default"/>
          <w:pgSz w:w="11910" w:h="16840"/>
          <w:pgMar w:top="400" w:right="1474" w:bottom="1147" w:left="1460" w:header="0" w:footer="1021" w:gutter="0"/>
          <w:cols w:space="720" w:num="1"/>
        </w:sectPr>
      </w:pPr>
    </w:p>
    <w:p w14:paraId="359B284A">
      <w:pPr>
        <w:spacing w:line="272" w:lineRule="auto"/>
        <w:rPr>
          <w:rFonts w:ascii="Arial"/>
          <w:sz w:val="21"/>
        </w:rPr>
      </w:pPr>
    </w:p>
    <w:p w14:paraId="0FB65041">
      <w:pPr>
        <w:spacing w:line="272" w:lineRule="auto"/>
        <w:rPr>
          <w:rFonts w:ascii="Arial"/>
          <w:sz w:val="21"/>
        </w:rPr>
      </w:pPr>
    </w:p>
    <w:p w14:paraId="5FE18736">
      <w:pPr>
        <w:spacing w:line="272" w:lineRule="auto"/>
        <w:rPr>
          <w:rFonts w:ascii="Arial"/>
          <w:sz w:val="21"/>
        </w:rPr>
      </w:pPr>
    </w:p>
    <w:p w14:paraId="4A8E75CA">
      <w:pPr>
        <w:spacing w:line="272" w:lineRule="auto"/>
        <w:rPr>
          <w:rFonts w:ascii="Arial"/>
          <w:sz w:val="21"/>
        </w:rPr>
      </w:pPr>
    </w:p>
    <w:p w14:paraId="1551ED49">
      <w:pPr>
        <w:spacing w:line="272" w:lineRule="auto"/>
        <w:rPr>
          <w:rFonts w:ascii="Arial"/>
          <w:sz w:val="21"/>
        </w:rPr>
      </w:pPr>
    </w:p>
    <w:p w14:paraId="7E07D167">
      <w:pPr>
        <w:pStyle w:val="2"/>
        <w:spacing w:before="68" w:line="219" w:lineRule="auto"/>
        <w:rPr>
          <w:sz w:val="21"/>
          <w:szCs w:val="21"/>
        </w:rPr>
      </w:pPr>
      <w:r>
        <w:rPr>
          <w:spacing w:val="-2"/>
          <w:sz w:val="21"/>
          <w:szCs w:val="21"/>
        </w:rPr>
        <w:t>11.2.4   有关进度例会的其他要求：</w:t>
      </w:r>
    </w:p>
    <w:p w14:paraId="0EFDC425">
      <w:pPr>
        <w:spacing w:line="351" w:lineRule="auto"/>
        <w:rPr>
          <w:rFonts w:ascii="Arial"/>
          <w:sz w:val="21"/>
        </w:rPr>
      </w:pPr>
    </w:p>
    <w:p w14:paraId="6664F115">
      <w:pPr>
        <w:spacing w:line="420" w:lineRule="exact"/>
        <w:ind w:firstLine="919"/>
      </w:pPr>
      <w:r>
        <w:rPr>
          <w:position w:val="-8"/>
        </w:rPr>
        <w:drawing>
          <wp:inline distT="0" distB="0" distL="0" distR="0">
            <wp:extent cx="4641215" cy="266065"/>
            <wp:effectExtent l="0" t="0" r="0" b="0"/>
            <wp:docPr id="258" name="IM 258"/>
            <wp:cNvGraphicFramePr/>
            <a:graphic xmlns:a="http://schemas.openxmlformats.org/drawingml/2006/main">
              <a:graphicData uri="http://schemas.openxmlformats.org/drawingml/2006/picture">
                <pic:pic xmlns:pic="http://schemas.openxmlformats.org/drawingml/2006/picture">
                  <pic:nvPicPr>
                    <pic:cNvPr id="258" name="IM 258"/>
                    <pic:cNvPicPr/>
                  </pic:nvPicPr>
                  <pic:blipFill>
                    <a:blip r:embed="rId515"/>
                    <a:stretch>
                      <a:fillRect/>
                    </a:stretch>
                  </pic:blipFill>
                  <pic:spPr>
                    <a:xfrm>
                      <a:off x="0" y="0"/>
                      <a:ext cx="4641849" cy="266693"/>
                    </a:xfrm>
                    <a:prstGeom prst="rect">
                      <a:avLst/>
                    </a:prstGeom>
                  </pic:spPr>
                </pic:pic>
              </a:graphicData>
            </a:graphic>
          </wp:inline>
        </w:drawing>
      </w:r>
    </w:p>
    <w:p w14:paraId="41267A2D">
      <w:pPr>
        <w:spacing w:before="115" w:line="221" w:lineRule="auto"/>
        <w:ind w:left="3"/>
        <w:rPr>
          <w:rFonts w:ascii="黑体" w:hAnsi="黑体" w:eastAsia="黑体" w:cs="黑体"/>
          <w:sz w:val="28"/>
          <w:szCs w:val="28"/>
        </w:rPr>
      </w:pPr>
      <w:r>
        <w:rPr>
          <w:rFonts w:ascii="黑体" w:hAnsi="黑体" w:eastAsia="黑体" w:cs="黑体"/>
          <w:b/>
          <w:bCs/>
          <w:spacing w:val="-9"/>
          <w:sz w:val="28"/>
          <w:szCs w:val="28"/>
        </w:rPr>
        <w:t>12.试验和检验</w:t>
      </w:r>
    </w:p>
    <w:p w14:paraId="6AC045FB">
      <w:pPr>
        <w:pStyle w:val="2"/>
        <w:spacing w:before="127" w:line="294" w:lineRule="auto"/>
        <w:ind w:left="939" w:right="139" w:hanging="939"/>
        <w:rPr>
          <w:sz w:val="21"/>
          <w:szCs w:val="21"/>
        </w:rPr>
      </w:pPr>
      <w:r>
        <w:rPr>
          <w:spacing w:val="3"/>
          <w:sz w:val="21"/>
          <w:szCs w:val="21"/>
        </w:rPr>
        <w:t>12.1     承包人应当按照工程施工验收规范和标准的规定和通用合同条款第14条的约定，</w:t>
      </w:r>
      <w:r>
        <w:rPr>
          <w:spacing w:val="2"/>
          <w:sz w:val="21"/>
          <w:szCs w:val="21"/>
        </w:rPr>
        <w:t>对用</w:t>
      </w:r>
      <w:r>
        <w:rPr>
          <w:sz w:val="21"/>
          <w:szCs w:val="21"/>
        </w:rPr>
        <w:t xml:space="preserve"> 于永久工程的主要材料、半成品、成品、建筑构配件、工程设备等进</w:t>
      </w:r>
      <w:r>
        <w:rPr>
          <w:spacing w:val="-1"/>
          <w:sz w:val="21"/>
          <w:szCs w:val="21"/>
        </w:rPr>
        <w:t>行试验和检验。</w:t>
      </w:r>
    </w:p>
    <w:p w14:paraId="3065CC35">
      <w:pPr>
        <w:pStyle w:val="2"/>
        <w:spacing w:before="160" w:line="219" w:lineRule="auto"/>
        <w:rPr>
          <w:sz w:val="21"/>
          <w:szCs w:val="21"/>
        </w:rPr>
      </w:pPr>
      <w:r>
        <w:rPr>
          <w:spacing w:val="-1"/>
          <w:sz w:val="21"/>
          <w:szCs w:val="21"/>
        </w:rPr>
        <w:t>12.2     本工程需要承包人进行试验和检验的材料、工程设备和工艺如下：</w:t>
      </w:r>
    </w:p>
    <w:p w14:paraId="00C01808">
      <w:pPr>
        <w:tabs>
          <w:tab w:val="left" w:pos="8219"/>
        </w:tabs>
        <w:spacing w:before="162"/>
        <w:ind w:left="919"/>
        <w:rPr>
          <w:rFonts w:ascii="Arial"/>
          <w:sz w:val="21"/>
        </w:rPr>
      </w:pPr>
      <w:r>
        <w:rPr>
          <w:rFonts w:ascii="Arial" w:hAnsi="Arial" w:eastAsia="Arial" w:cs="Arial"/>
          <w:sz w:val="21"/>
          <w:szCs w:val="21"/>
          <w:u w:val="single" w:color="auto"/>
        </w:rPr>
        <w:tab/>
      </w:r>
    </w:p>
    <w:p w14:paraId="63D52603">
      <w:pPr>
        <w:pStyle w:val="2"/>
        <w:tabs>
          <w:tab w:val="left" w:pos="8199"/>
        </w:tabs>
        <w:spacing w:before="148" w:line="351" w:lineRule="auto"/>
        <w:ind w:left="939" w:right="185"/>
        <w:rPr>
          <w:sz w:val="21"/>
          <w:szCs w:val="21"/>
        </w:rPr>
      </w:pPr>
      <w:r>
        <w:rPr>
          <w:sz w:val="20"/>
          <w:szCs w:val="20"/>
          <w:u w:val="single" w:color="auto"/>
        </w:rPr>
        <w:tab/>
      </w:r>
      <w:r>
        <w:rPr>
          <w:spacing w:val="3"/>
          <w:sz w:val="20"/>
          <w:szCs w:val="20"/>
        </w:rPr>
        <w:t>。监理</w:t>
      </w:r>
      <w:r>
        <w:rPr>
          <w:sz w:val="20"/>
          <w:szCs w:val="20"/>
        </w:rPr>
        <w:t xml:space="preserve"> </w:t>
      </w:r>
      <w:r>
        <w:rPr>
          <w:sz w:val="21"/>
          <w:szCs w:val="21"/>
        </w:rPr>
        <w:t>人可以根据工程需要，指示承包人进行其他现场材料和工艺的</w:t>
      </w:r>
      <w:r>
        <w:rPr>
          <w:spacing w:val="-1"/>
          <w:sz w:val="21"/>
          <w:szCs w:val="21"/>
        </w:rPr>
        <w:t>试验和检验。</w:t>
      </w:r>
    </w:p>
    <w:p w14:paraId="35D3047F">
      <w:pPr>
        <w:pStyle w:val="2"/>
        <w:spacing w:before="20" w:line="219" w:lineRule="auto"/>
        <w:rPr>
          <w:sz w:val="21"/>
          <w:szCs w:val="21"/>
        </w:rPr>
      </w:pPr>
      <w:r>
        <w:rPr>
          <w:rFonts w:ascii="Times New Roman" w:hAnsi="Times New Roman" w:eastAsia="Times New Roman" w:cs="Times New Roman"/>
          <w:spacing w:val="4"/>
          <w:sz w:val="21"/>
          <w:szCs w:val="21"/>
        </w:rPr>
        <w:t xml:space="preserve">12.3           </w:t>
      </w:r>
      <w:r>
        <w:rPr>
          <w:spacing w:val="4"/>
          <w:sz w:val="21"/>
          <w:szCs w:val="21"/>
        </w:rPr>
        <w:t>本工程需要由监理人和</w:t>
      </w:r>
      <w:r>
        <w:rPr>
          <w:spacing w:val="3"/>
          <w:sz w:val="21"/>
          <w:szCs w:val="21"/>
        </w:rPr>
        <w:t>承包人共同进行试验和检验的材料、工程设备和工艺如下：</w:t>
      </w:r>
    </w:p>
    <w:p w14:paraId="4B645856">
      <w:pPr>
        <w:tabs>
          <w:tab w:val="left" w:pos="8209"/>
        </w:tabs>
        <w:spacing w:before="172"/>
        <w:ind w:left="919"/>
        <w:rPr>
          <w:rFonts w:ascii="Arial"/>
          <w:sz w:val="21"/>
        </w:rPr>
      </w:pPr>
      <w:r>
        <w:rPr>
          <w:rFonts w:ascii="Arial" w:hAnsi="Arial" w:eastAsia="Arial" w:cs="Arial"/>
          <w:sz w:val="21"/>
          <w:szCs w:val="21"/>
          <w:u w:val="single" w:color="auto"/>
        </w:rPr>
        <w:tab/>
      </w:r>
    </w:p>
    <w:p w14:paraId="5D1A5AEB">
      <w:pPr>
        <w:tabs>
          <w:tab w:val="left" w:pos="8219"/>
        </w:tabs>
        <w:spacing w:before="158"/>
        <w:ind w:left="909"/>
        <w:rPr>
          <w:rFonts w:ascii="Arial"/>
          <w:sz w:val="21"/>
        </w:rPr>
      </w:pPr>
      <w:r>
        <w:rPr>
          <w:rFonts w:ascii="Arial" w:hAnsi="Arial" w:eastAsia="Arial" w:cs="Arial"/>
          <w:sz w:val="21"/>
          <w:szCs w:val="21"/>
          <w:u w:val="single" w:color="auto"/>
        </w:rPr>
        <w:tab/>
      </w:r>
    </w:p>
    <w:p w14:paraId="77D54059">
      <w:pPr>
        <w:pStyle w:val="2"/>
        <w:spacing w:before="147" w:line="295" w:lineRule="auto"/>
        <w:ind w:left="939" w:right="266" w:hanging="939"/>
        <w:rPr>
          <w:sz w:val="21"/>
          <w:szCs w:val="21"/>
        </w:rPr>
      </w:pPr>
      <w:r>
        <w:rPr>
          <w:sz w:val="21"/>
          <w:szCs w:val="21"/>
        </w:rPr>
        <w:t>12.4     本条上述约定需要进行检验的材料、工程设备和工艺在经过检验并获得监理人批准以</w:t>
      </w:r>
      <w:r>
        <w:rPr>
          <w:spacing w:val="12"/>
          <w:sz w:val="21"/>
          <w:szCs w:val="21"/>
        </w:rPr>
        <w:t xml:space="preserve"> </w:t>
      </w:r>
      <w:r>
        <w:rPr>
          <w:spacing w:val="-3"/>
          <w:sz w:val="21"/>
          <w:szCs w:val="21"/>
        </w:rPr>
        <w:t>前，不得用于任何永久工程。</w:t>
      </w:r>
    </w:p>
    <w:p w14:paraId="4AA96CA2">
      <w:pPr>
        <w:pStyle w:val="2"/>
        <w:spacing w:before="152" w:line="325" w:lineRule="auto"/>
        <w:ind w:left="939" w:right="82" w:hanging="939"/>
        <w:rPr>
          <w:sz w:val="21"/>
          <w:szCs w:val="21"/>
        </w:rPr>
      </w:pPr>
      <w:r>
        <w:rPr>
          <w:sz w:val="21"/>
          <w:szCs w:val="21"/>
        </w:rPr>
        <w:t>12.5     承包人应为任何材料、工程设备和工艺的检查、检测</w:t>
      </w:r>
      <w:r>
        <w:rPr>
          <w:spacing w:val="-1"/>
          <w:sz w:val="21"/>
          <w:szCs w:val="21"/>
        </w:rPr>
        <w:t>和检验提供劳务、电力、燃料、备</w:t>
      </w:r>
      <w:r>
        <w:rPr>
          <w:sz w:val="21"/>
          <w:szCs w:val="21"/>
        </w:rPr>
        <w:t xml:space="preserve"> 用品、设备和仪器以及必要的协助。监理人及其任何授权人员</w:t>
      </w:r>
      <w:r>
        <w:rPr>
          <w:spacing w:val="-1"/>
          <w:sz w:val="21"/>
          <w:szCs w:val="21"/>
        </w:rPr>
        <w:t>应能够在任何时候进入现</w:t>
      </w:r>
      <w:r>
        <w:rPr>
          <w:sz w:val="21"/>
          <w:szCs w:val="21"/>
        </w:rPr>
        <w:t xml:space="preserve"> 场及正在为工程制造、装配、准备材料和(或)工程设备的车间和场</w:t>
      </w:r>
      <w:r>
        <w:rPr>
          <w:spacing w:val="-1"/>
          <w:sz w:val="21"/>
          <w:szCs w:val="21"/>
        </w:rPr>
        <w:t>所进行任何必要的检</w:t>
      </w:r>
      <w:r>
        <w:rPr>
          <w:sz w:val="21"/>
          <w:szCs w:val="21"/>
        </w:rPr>
        <w:t xml:space="preserve"> 查。无论这些车间和场所是否属于承包人，承包人都应提供</w:t>
      </w:r>
      <w:r>
        <w:rPr>
          <w:spacing w:val="-1"/>
          <w:sz w:val="21"/>
          <w:szCs w:val="21"/>
        </w:rPr>
        <w:t>一切便利，并协助其取得相</w:t>
      </w:r>
      <w:r>
        <w:rPr>
          <w:sz w:val="21"/>
          <w:szCs w:val="21"/>
        </w:rPr>
        <w:t xml:space="preserve"> </w:t>
      </w:r>
      <w:r>
        <w:rPr>
          <w:spacing w:val="-4"/>
          <w:sz w:val="21"/>
          <w:szCs w:val="21"/>
        </w:rPr>
        <w:t>应的权力和(或)许可。</w:t>
      </w:r>
    </w:p>
    <w:p w14:paraId="6A2FEF5B">
      <w:pPr>
        <w:pStyle w:val="2"/>
        <w:spacing w:before="187" w:line="333" w:lineRule="auto"/>
        <w:ind w:left="939" w:right="65" w:hanging="939"/>
        <w:rPr>
          <w:sz w:val="21"/>
          <w:szCs w:val="21"/>
        </w:rPr>
      </w:pPr>
      <w:r>
        <w:rPr>
          <w:rFonts w:ascii="Times New Roman" w:hAnsi="Times New Roman" w:eastAsia="Times New Roman" w:cs="Times New Roman"/>
          <w:position w:val="1"/>
          <w:sz w:val="21"/>
          <w:szCs w:val="21"/>
        </w:rPr>
        <w:t xml:space="preserve">12.6           </w:t>
      </w:r>
      <w:r>
        <w:rPr>
          <w:sz w:val="21"/>
          <w:szCs w:val="21"/>
        </w:rPr>
        <w:t>如果检查、检测、检验或试验的结果表明，材料、工程设备和工艺有缺陷或不符合合同</w:t>
      </w:r>
      <w:r>
        <w:rPr>
          <w:spacing w:val="3"/>
          <w:sz w:val="21"/>
          <w:szCs w:val="21"/>
        </w:rPr>
        <w:t xml:space="preserve"> </w:t>
      </w:r>
      <w:r>
        <w:rPr>
          <w:sz w:val="21"/>
          <w:szCs w:val="21"/>
        </w:rPr>
        <w:t>约定，监理人和发包人可拒收此类材料、工程设备和</w:t>
      </w:r>
      <w:r>
        <w:rPr>
          <w:spacing w:val="-1"/>
          <w:sz w:val="21"/>
          <w:szCs w:val="21"/>
        </w:rPr>
        <w:t>工艺，并应立即通知承包人同时说</w:t>
      </w:r>
      <w:r>
        <w:rPr>
          <w:sz w:val="21"/>
          <w:szCs w:val="21"/>
        </w:rPr>
        <w:t xml:space="preserve"> </w:t>
      </w:r>
      <w:r>
        <w:rPr>
          <w:spacing w:val="-1"/>
          <w:sz w:val="21"/>
          <w:szCs w:val="21"/>
        </w:rPr>
        <w:t>明理由。承包人应立即修复上述缺陷并保证其符合合同约定。若监理人或发包人要求对</w:t>
      </w:r>
      <w:r>
        <w:rPr>
          <w:spacing w:val="9"/>
          <w:sz w:val="21"/>
          <w:szCs w:val="21"/>
        </w:rPr>
        <w:t xml:space="preserve"> </w:t>
      </w:r>
      <w:r>
        <w:rPr>
          <w:sz w:val="21"/>
          <w:szCs w:val="21"/>
        </w:rPr>
        <w:t>此类工程设备、材料、设计或工艺重新进行检验，则此类检验</w:t>
      </w:r>
      <w:r>
        <w:rPr>
          <w:spacing w:val="-1"/>
          <w:sz w:val="21"/>
          <w:szCs w:val="21"/>
        </w:rPr>
        <w:t>应按相同条款和条件重新</w:t>
      </w:r>
      <w:r>
        <w:rPr>
          <w:sz w:val="21"/>
          <w:szCs w:val="21"/>
        </w:rPr>
        <w:t xml:space="preserve"> 进行。如果此类拒收和重新检验致使发包人产生了额外费用，则此类</w:t>
      </w:r>
      <w:r>
        <w:rPr>
          <w:spacing w:val="-1"/>
          <w:sz w:val="21"/>
          <w:szCs w:val="21"/>
        </w:rPr>
        <w:t>费用应由承包人支</w:t>
      </w:r>
      <w:r>
        <w:rPr>
          <w:sz w:val="21"/>
          <w:szCs w:val="21"/>
        </w:rPr>
        <w:t xml:space="preserve"> </w:t>
      </w:r>
      <w:r>
        <w:rPr>
          <w:spacing w:val="-1"/>
          <w:sz w:val="21"/>
          <w:szCs w:val="21"/>
        </w:rPr>
        <w:t>付给发包人，或从发包人应支付给承包人的款项中扣除。</w:t>
      </w:r>
    </w:p>
    <w:p w14:paraId="0B5DEC16">
      <w:pPr>
        <w:pStyle w:val="2"/>
        <w:spacing w:before="150" w:line="290" w:lineRule="auto"/>
        <w:ind w:left="939" w:hanging="939"/>
        <w:rPr>
          <w:sz w:val="21"/>
          <w:szCs w:val="21"/>
        </w:rPr>
      </w:pPr>
      <w:r>
        <w:rPr>
          <w:rFonts w:ascii="Times New Roman" w:hAnsi="Times New Roman" w:eastAsia="Times New Roman" w:cs="Times New Roman"/>
          <w:spacing w:val="-2"/>
          <w:sz w:val="21"/>
          <w:szCs w:val="21"/>
        </w:rPr>
        <w:t xml:space="preserve">12.7           </w:t>
      </w:r>
      <w:r>
        <w:rPr>
          <w:spacing w:val="-2"/>
          <w:sz w:val="21"/>
          <w:szCs w:val="21"/>
        </w:rPr>
        <w:t>承包人应在监</w:t>
      </w:r>
      <w:r>
        <w:rPr>
          <w:spacing w:val="-3"/>
          <w:sz w:val="21"/>
          <w:szCs w:val="21"/>
        </w:rPr>
        <w:t>理人的监督下，对涉及结构安全的试块、试件以及有关材料进行现场取样，</w:t>
      </w:r>
      <w:r>
        <w:rPr>
          <w:sz w:val="21"/>
          <w:szCs w:val="21"/>
        </w:rPr>
        <w:t xml:space="preserve"> </w:t>
      </w:r>
      <w:r>
        <w:rPr>
          <w:spacing w:val="-4"/>
          <w:sz w:val="21"/>
          <w:szCs w:val="21"/>
        </w:rPr>
        <w:t>并送</w:t>
      </w:r>
      <w:r>
        <w:rPr>
          <w:spacing w:val="-91"/>
          <w:sz w:val="21"/>
          <w:szCs w:val="21"/>
        </w:rPr>
        <w:t xml:space="preserve"> </w:t>
      </w:r>
      <w:r>
        <w:rPr>
          <w:sz w:val="21"/>
          <w:szCs w:val="21"/>
          <w:u w:val="single" w:color="auto"/>
        </w:rPr>
        <w:t xml:space="preserve">                       </w:t>
      </w:r>
      <w:r>
        <w:rPr>
          <w:spacing w:val="-4"/>
          <w:sz w:val="21"/>
          <w:szCs w:val="21"/>
        </w:rPr>
        <w:t>质量检测单位进行检测。</w:t>
      </w:r>
    </w:p>
    <w:p w14:paraId="1418E556">
      <w:pPr>
        <w:pStyle w:val="2"/>
        <w:spacing w:before="160" w:line="219" w:lineRule="auto"/>
        <w:jc w:val="right"/>
        <w:rPr>
          <w:sz w:val="21"/>
          <w:szCs w:val="21"/>
        </w:rPr>
      </w:pPr>
      <w:r>
        <w:rPr>
          <w:rFonts w:ascii="Times New Roman" w:hAnsi="Times New Roman" w:eastAsia="Times New Roman" w:cs="Times New Roman"/>
          <w:spacing w:val="-2"/>
          <w:position w:val="1"/>
          <w:sz w:val="21"/>
          <w:szCs w:val="21"/>
        </w:rPr>
        <w:t xml:space="preserve">12.8           </w:t>
      </w:r>
      <w:r>
        <w:rPr>
          <w:spacing w:val="-2"/>
          <w:sz w:val="21"/>
          <w:szCs w:val="21"/>
        </w:rPr>
        <w:t>除合同另有</w:t>
      </w:r>
      <w:r>
        <w:rPr>
          <w:spacing w:val="-3"/>
          <w:sz w:val="21"/>
          <w:szCs w:val="21"/>
        </w:rPr>
        <w:t>约定外，承包人应负担本合同项下的所有材料、工程设备和工艺检验的费用。</w:t>
      </w:r>
    </w:p>
    <w:p w14:paraId="79637043">
      <w:pPr>
        <w:pStyle w:val="2"/>
        <w:spacing w:before="83" w:line="221" w:lineRule="auto"/>
        <w:ind w:left="4"/>
        <w:rPr>
          <w:sz w:val="28"/>
          <w:szCs w:val="28"/>
        </w:rPr>
      </w:pPr>
      <w:r>
        <w:rPr>
          <w:b/>
          <w:bCs/>
          <w:spacing w:val="-6"/>
          <w:sz w:val="28"/>
          <w:szCs w:val="28"/>
        </w:rPr>
        <w:t>13.计日工</w:t>
      </w:r>
    </w:p>
    <w:p w14:paraId="6FD94078">
      <w:pPr>
        <w:pStyle w:val="2"/>
        <w:spacing w:before="133" w:line="361" w:lineRule="auto"/>
        <w:ind w:left="939" w:right="83" w:hanging="939"/>
        <w:rPr>
          <w:sz w:val="21"/>
          <w:szCs w:val="21"/>
        </w:rPr>
      </w:pPr>
      <w:r>
        <w:rPr>
          <w:rFonts w:ascii="Times New Roman" w:hAnsi="Times New Roman" w:eastAsia="Times New Roman" w:cs="Times New Roman"/>
          <w:spacing w:val="2"/>
          <w:sz w:val="21"/>
          <w:szCs w:val="21"/>
        </w:rPr>
        <w:t xml:space="preserve">13.1           </w:t>
      </w:r>
      <w:r>
        <w:rPr>
          <w:spacing w:val="2"/>
          <w:sz w:val="21"/>
          <w:szCs w:val="21"/>
        </w:rPr>
        <w:t>通用合同条款第15.7款约定的计日工，一般适用于合同约定之外的或者因变更而产生</w:t>
      </w:r>
      <w:r>
        <w:rPr>
          <w:spacing w:val="16"/>
          <w:sz w:val="21"/>
          <w:szCs w:val="21"/>
        </w:rPr>
        <w:t xml:space="preserve"> </w:t>
      </w:r>
      <w:r>
        <w:rPr>
          <w:spacing w:val="-1"/>
          <w:sz w:val="21"/>
          <w:szCs w:val="21"/>
        </w:rPr>
        <w:t>的、工程量清单中没有设立相应子目或者即便有相应子目但因工作条件发生变化而无法</w:t>
      </w:r>
      <w:r>
        <w:rPr>
          <w:spacing w:val="11"/>
          <w:sz w:val="21"/>
          <w:szCs w:val="21"/>
        </w:rPr>
        <w:t xml:space="preserve"> </w:t>
      </w:r>
      <w:r>
        <w:rPr>
          <w:sz w:val="21"/>
          <w:szCs w:val="21"/>
        </w:rPr>
        <w:t>适用的额外工作，尤其是那些时间不允许事先商定价格的额外工</w:t>
      </w:r>
      <w:r>
        <w:rPr>
          <w:spacing w:val="-1"/>
          <w:sz w:val="21"/>
          <w:szCs w:val="21"/>
        </w:rPr>
        <w:t>作。计日工在发包人认</w:t>
      </w:r>
    </w:p>
    <w:p w14:paraId="78593080">
      <w:pPr>
        <w:spacing w:line="361" w:lineRule="auto"/>
        <w:rPr>
          <w:sz w:val="21"/>
          <w:szCs w:val="21"/>
        </w:rPr>
        <w:sectPr>
          <w:footerReference r:id="rId343" w:type="default"/>
          <w:pgSz w:w="11910" w:h="16840"/>
          <w:pgMar w:top="400" w:right="1454" w:bottom="1147" w:left="1460" w:header="0" w:footer="1021" w:gutter="0"/>
          <w:cols w:space="720" w:num="1"/>
        </w:sectPr>
      </w:pPr>
    </w:p>
    <w:p w14:paraId="200D8160">
      <w:pPr>
        <w:spacing w:line="272" w:lineRule="auto"/>
        <w:rPr>
          <w:rFonts w:ascii="Arial"/>
          <w:sz w:val="21"/>
        </w:rPr>
      </w:pPr>
    </w:p>
    <w:p w14:paraId="653E80F6">
      <w:pPr>
        <w:spacing w:line="272" w:lineRule="auto"/>
        <w:rPr>
          <w:rFonts w:ascii="Arial"/>
          <w:sz w:val="21"/>
        </w:rPr>
      </w:pPr>
    </w:p>
    <w:p w14:paraId="5C8393CD">
      <w:pPr>
        <w:spacing w:line="272" w:lineRule="auto"/>
        <w:rPr>
          <w:rFonts w:ascii="Arial"/>
          <w:sz w:val="21"/>
        </w:rPr>
      </w:pPr>
    </w:p>
    <w:p w14:paraId="7A6A10F3">
      <w:pPr>
        <w:spacing w:line="273" w:lineRule="auto"/>
        <w:rPr>
          <w:rFonts w:ascii="Arial"/>
          <w:sz w:val="21"/>
        </w:rPr>
      </w:pPr>
    </w:p>
    <w:p w14:paraId="1D9C6074">
      <w:pPr>
        <w:spacing w:line="273" w:lineRule="auto"/>
        <w:rPr>
          <w:rFonts w:ascii="Arial"/>
          <w:sz w:val="21"/>
        </w:rPr>
      </w:pPr>
    </w:p>
    <w:p w14:paraId="0DA3F2B9">
      <w:pPr>
        <w:pStyle w:val="2"/>
        <w:spacing w:before="68" w:line="219" w:lineRule="auto"/>
        <w:ind w:left="939"/>
        <w:rPr>
          <w:sz w:val="21"/>
          <w:szCs w:val="21"/>
        </w:rPr>
      </w:pPr>
      <w:r>
        <w:rPr>
          <w:spacing w:val="3"/>
          <w:sz w:val="21"/>
          <w:szCs w:val="21"/>
        </w:rPr>
        <w:t>为必要时，由监理人按通用合同条款第15.7.1项约定通知承包人实施。</w:t>
      </w:r>
    </w:p>
    <w:p w14:paraId="4B054A31">
      <w:pPr>
        <w:pStyle w:val="2"/>
        <w:spacing w:before="151" w:line="316" w:lineRule="auto"/>
        <w:ind w:left="939" w:right="1" w:hanging="939"/>
        <w:rPr>
          <w:sz w:val="21"/>
          <w:szCs w:val="21"/>
        </w:rPr>
      </w:pPr>
      <w:r>
        <w:rPr>
          <w:rFonts w:ascii="Times New Roman" w:hAnsi="Times New Roman" w:eastAsia="Times New Roman" w:cs="Times New Roman"/>
          <w:spacing w:val="4"/>
          <w:sz w:val="21"/>
          <w:szCs w:val="21"/>
        </w:rPr>
        <w:t xml:space="preserve">13.2           </w:t>
      </w:r>
      <w:r>
        <w:rPr>
          <w:spacing w:val="4"/>
          <w:sz w:val="21"/>
          <w:szCs w:val="21"/>
        </w:rPr>
        <w:t>在工程实际开工后14天内，承包人应当按通用合同条款第15.7</w:t>
      </w:r>
      <w:r>
        <w:rPr>
          <w:spacing w:val="3"/>
          <w:sz w:val="21"/>
          <w:szCs w:val="21"/>
        </w:rPr>
        <w:t>.2项约定的计日工报表</w:t>
      </w:r>
      <w:r>
        <w:rPr>
          <w:sz w:val="21"/>
          <w:szCs w:val="21"/>
        </w:rPr>
        <w:t xml:space="preserve"> </w:t>
      </w:r>
      <w:r>
        <w:rPr>
          <w:spacing w:val="2"/>
          <w:sz w:val="21"/>
          <w:szCs w:val="21"/>
        </w:rPr>
        <w:t>内容，准备一份计日工日报表的格式，报送监理人审批，监理人应当在收到之日后7天</w:t>
      </w:r>
      <w:r>
        <w:rPr>
          <w:spacing w:val="18"/>
          <w:sz w:val="21"/>
          <w:szCs w:val="21"/>
        </w:rPr>
        <w:t xml:space="preserve"> </w:t>
      </w:r>
      <w:r>
        <w:rPr>
          <w:spacing w:val="-3"/>
          <w:sz w:val="21"/>
          <w:szCs w:val="21"/>
        </w:rPr>
        <w:t>内给予批复或提出修改意见。</w:t>
      </w:r>
    </w:p>
    <w:p w14:paraId="140E8009">
      <w:pPr>
        <w:pStyle w:val="2"/>
        <w:spacing w:before="151" w:line="313" w:lineRule="auto"/>
        <w:ind w:left="939" w:right="21" w:hanging="939"/>
        <w:rPr>
          <w:sz w:val="21"/>
          <w:szCs w:val="21"/>
        </w:rPr>
      </w:pPr>
      <w:r>
        <w:rPr>
          <w:rFonts w:ascii="Times New Roman" w:hAnsi="Times New Roman" w:eastAsia="Times New Roman" w:cs="Times New Roman"/>
          <w:sz w:val="21"/>
          <w:szCs w:val="21"/>
        </w:rPr>
        <w:t xml:space="preserve">13.3           </w:t>
      </w:r>
      <w:r>
        <w:rPr>
          <w:sz w:val="21"/>
          <w:szCs w:val="21"/>
        </w:rPr>
        <w:t>按计日工实施相关变更的过程中，承包人应当按经</w:t>
      </w:r>
      <w:r>
        <w:rPr>
          <w:spacing w:val="-1"/>
          <w:sz w:val="21"/>
          <w:szCs w:val="21"/>
        </w:rPr>
        <w:t>监理人批准的计日工日报表格式，每</w:t>
      </w:r>
      <w:r>
        <w:rPr>
          <w:sz w:val="21"/>
          <w:szCs w:val="21"/>
        </w:rPr>
        <w:t xml:space="preserve"> 天提交计日工报表和有关凭证，报送监理人审批，监理</w:t>
      </w:r>
      <w:r>
        <w:rPr>
          <w:spacing w:val="-1"/>
          <w:sz w:val="21"/>
          <w:szCs w:val="21"/>
        </w:rPr>
        <w:t>人应当在收到相关报表和凭证后</w:t>
      </w:r>
      <w:r>
        <w:rPr>
          <w:sz w:val="21"/>
          <w:szCs w:val="21"/>
        </w:rPr>
        <w:t xml:space="preserve"> </w:t>
      </w:r>
      <w:r>
        <w:rPr>
          <w:spacing w:val="4"/>
          <w:sz w:val="21"/>
          <w:szCs w:val="21"/>
        </w:rPr>
        <w:t>24小时内给予批复。</w:t>
      </w:r>
    </w:p>
    <w:p w14:paraId="1F2F9324">
      <w:pPr>
        <w:pStyle w:val="2"/>
        <w:spacing w:before="129" w:line="309" w:lineRule="auto"/>
        <w:ind w:left="939" w:right="19" w:hanging="939"/>
        <w:rPr>
          <w:sz w:val="21"/>
          <w:szCs w:val="21"/>
        </w:rPr>
      </w:pPr>
      <w:r>
        <w:rPr>
          <w:rFonts w:ascii="Times New Roman" w:hAnsi="Times New Roman" w:eastAsia="Times New Roman" w:cs="Times New Roman"/>
          <w:spacing w:val="11"/>
          <w:sz w:val="21"/>
          <w:szCs w:val="21"/>
        </w:rPr>
        <w:t xml:space="preserve">13.4          </w:t>
      </w:r>
      <w:r>
        <w:rPr>
          <w:spacing w:val="11"/>
          <w:sz w:val="21"/>
          <w:szCs w:val="21"/>
        </w:rPr>
        <w:t>计日工劳务按工日(</w:t>
      </w:r>
      <w:r>
        <w:rPr>
          <w:spacing w:val="10"/>
          <w:sz w:val="21"/>
          <w:szCs w:val="21"/>
        </w:rPr>
        <w:t>8小时)计量，单次4小时以内按0.5个工日，单次4小时至8小时</w:t>
      </w:r>
      <w:r>
        <w:rPr>
          <w:sz w:val="21"/>
          <w:szCs w:val="21"/>
        </w:rPr>
        <w:t xml:space="preserve"> </w:t>
      </w:r>
      <w:r>
        <w:rPr>
          <w:spacing w:val="2"/>
          <w:sz w:val="21"/>
          <w:szCs w:val="21"/>
        </w:rPr>
        <w:t>按1个工日，加班时间按照国家劳动法律法规的规定办理。实施计日工的劳务人员仅应</w:t>
      </w:r>
      <w:r>
        <w:rPr>
          <w:spacing w:val="16"/>
          <w:sz w:val="21"/>
          <w:szCs w:val="21"/>
        </w:rPr>
        <w:t xml:space="preserve"> </w:t>
      </w:r>
      <w:r>
        <w:rPr>
          <w:spacing w:val="2"/>
          <w:sz w:val="21"/>
          <w:szCs w:val="21"/>
        </w:rPr>
        <w:t>包括直接从事计日工工作的工人和班组长(如果有),不应包括工长及其以上管理人员。</w:t>
      </w:r>
    </w:p>
    <w:p w14:paraId="4AC96F20">
      <w:pPr>
        <w:pStyle w:val="2"/>
        <w:spacing w:before="156" w:line="323" w:lineRule="auto"/>
        <w:ind w:left="939" w:right="22" w:hanging="939"/>
        <w:rPr>
          <w:sz w:val="21"/>
          <w:szCs w:val="21"/>
        </w:rPr>
      </w:pPr>
      <w:r>
        <w:rPr>
          <w:rFonts w:ascii="Times New Roman" w:hAnsi="Times New Roman" w:eastAsia="Times New Roman" w:cs="Times New Roman"/>
          <w:sz w:val="21"/>
          <w:szCs w:val="21"/>
        </w:rPr>
        <w:t xml:space="preserve">13.5           </w:t>
      </w:r>
      <w:r>
        <w:rPr>
          <w:sz w:val="21"/>
          <w:szCs w:val="21"/>
        </w:rPr>
        <w:t>已标价工程量清单计日工材料表中未列出的材</w:t>
      </w:r>
      <w:r>
        <w:rPr>
          <w:spacing w:val="-1"/>
          <w:sz w:val="21"/>
          <w:szCs w:val="21"/>
        </w:rPr>
        <w:t>料，实际发生于计日工时，其价格按照经</w:t>
      </w:r>
      <w:r>
        <w:rPr>
          <w:sz w:val="21"/>
          <w:szCs w:val="21"/>
        </w:rPr>
        <w:t xml:space="preserve"> </w:t>
      </w:r>
      <w:r>
        <w:rPr>
          <w:spacing w:val="1"/>
          <w:sz w:val="21"/>
          <w:szCs w:val="21"/>
        </w:rPr>
        <w:t>监理人事先审批的材料运到现场的价格和有关材料采购</w:t>
      </w:r>
      <w:r>
        <w:rPr>
          <w:sz w:val="21"/>
          <w:szCs w:val="21"/>
        </w:rPr>
        <w:t xml:space="preserve">的发票票面价格(运到现场价)  </w:t>
      </w:r>
      <w:r>
        <w:rPr>
          <w:spacing w:val="-1"/>
          <w:sz w:val="21"/>
          <w:szCs w:val="21"/>
        </w:rPr>
        <w:t>中的较低者结算，另计一个在计日工材料表中填写的包括承包人企业管理费、利润在内</w:t>
      </w:r>
      <w:r>
        <w:rPr>
          <w:spacing w:val="9"/>
          <w:sz w:val="21"/>
          <w:szCs w:val="21"/>
        </w:rPr>
        <w:t xml:space="preserve"> </w:t>
      </w:r>
      <w:r>
        <w:rPr>
          <w:spacing w:val="-2"/>
          <w:sz w:val="21"/>
          <w:szCs w:val="21"/>
        </w:rPr>
        <w:t>的一个固定百分比，规费和税金另计。</w:t>
      </w:r>
    </w:p>
    <w:p w14:paraId="69AE1920">
      <w:pPr>
        <w:pStyle w:val="2"/>
        <w:spacing w:before="136" w:line="308" w:lineRule="auto"/>
        <w:ind w:left="939" w:hanging="939"/>
        <w:rPr>
          <w:sz w:val="21"/>
          <w:szCs w:val="21"/>
        </w:rPr>
      </w:pPr>
      <w:r>
        <w:rPr>
          <w:rFonts w:ascii="Times New Roman" w:hAnsi="Times New Roman" w:eastAsia="Times New Roman" w:cs="Times New Roman"/>
          <w:spacing w:val="13"/>
          <w:sz w:val="21"/>
          <w:szCs w:val="21"/>
        </w:rPr>
        <w:t xml:space="preserve">13.6          </w:t>
      </w:r>
      <w:r>
        <w:rPr>
          <w:spacing w:val="13"/>
          <w:sz w:val="21"/>
          <w:szCs w:val="21"/>
        </w:rPr>
        <w:t>施工机械按台班计量(8小时),单次4小时以内按0.5</w:t>
      </w:r>
      <w:r>
        <w:rPr>
          <w:spacing w:val="12"/>
          <w:sz w:val="21"/>
          <w:szCs w:val="21"/>
        </w:rPr>
        <w:t>个台班，单次4小时至8小时按</w:t>
      </w:r>
      <w:r>
        <w:rPr>
          <w:sz w:val="21"/>
          <w:szCs w:val="21"/>
        </w:rPr>
        <w:t xml:space="preserve"> </w:t>
      </w:r>
      <w:r>
        <w:rPr>
          <w:spacing w:val="2"/>
          <w:sz w:val="21"/>
          <w:szCs w:val="21"/>
        </w:rPr>
        <w:t>1个台班，操作人员加班时间按照国家劳动法律法规的规定办理。计日工如果需要使用</w:t>
      </w:r>
      <w:r>
        <w:rPr>
          <w:spacing w:val="3"/>
          <w:sz w:val="21"/>
          <w:szCs w:val="21"/>
        </w:rPr>
        <w:t xml:space="preserve"> </w:t>
      </w:r>
      <w:r>
        <w:rPr>
          <w:sz w:val="21"/>
          <w:szCs w:val="21"/>
        </w:rPr>
        <w:t>场外施工机械，台班费用和进出场费用按市场平均价格，由承包人事后</w:t>
      </w:r>
      <w:r>
        <w:rPr>
          <w:spacing w:val="-1"/>
          <w:sz w:val="21"/>
          <w:szCs w:val="21"/>
        </w:rPr>
        <w:t>报监理人审批。</w:t>
      </w:r>
    </w:p>
    <w:p w14:paraId="59235082">
      <w:pPr>
        <w:pStyle w:val="2"/>
        <w:spacing w:before="165" w:line="220" w:lineRule="auto"/>
        <w:rPr>
          <w:sz w:val="21"/>
          <w:szCs w:val="21"/>
        </w:rPr>
      </w:pPr>
      <w:r>
        <w:rPr>
          <w:rFonts w:ascii="Times New Roman" w:hAnsi="Times New Roman" w:eastAsia="Times New Roman" w:cs="Times New Roman"/>
          <w:spacing w:val="-4"/>
          <w:position w:val="1"/>
          <w:sz w:val="21"/>
          <w:szCs w:val="21"/>
        </w:rPr>
        <w:t>13.7</w:t>
      </w:r>
      <w:r>
        <w:rPr>
          <w:rFonts w:ascii="Times New Roman" w:hAnsi="Times New Roman" w:eastAsia="Times New Roman" w:cs="Times New Roman"/>
          <w:spacing w:val="2"/>
          <w:position w:val="1"/>
          <w:sz w:val="21"/>
          <w:szCs w:val="21"/>
        </w:rPr>
        <w:t xml:space="preserve">           </w:t>
      </w:r>
      <w:r>
        <w:rPr>
          <w:spacing w:val="-4"/>
          <w:sz w:val="21"/>
          <w:szCs w:val="21"/>
        </w:rPr>
        <w:t>关于计日工的其他约定：</w:t>
      </w:r>
    </w:p>
    <w:p w14:paraId="63C4054A">
      <w:pPr>
        <w:pStyle w:val="2"/>
        <w:spacing w:before="251"/>
        <w:ind w:left="8219"/>
        <w:rPr>
          <w:sz w:val="8"/>
          <w:szCs w:val="8"/>
        </w:rPr>
      </w:pPr>
      <w:r>
        <w:drawing>
          <wp:anchor distT="0" distB="0" distL="0" distR="0" simplePos="0" relativeHeight="251755520" behindDoc="0" locked="0" layoutInCell="1" allowOverlap="1">
            <wp:simplePos x="0" y="0"/>
            <wp:positionH relativeFrom="column">
              <wp:posOffset>577215</wp:posOffset>
            </wp:positionH>
            <wp:positionV relativeFrom="paragraph">
              <wp:posOffset>234950</wp:posOffset>
            </wp:positionV>
            <wp:extent cx="4641850" cy="6350"/>
            <wp:effectExtent l="0" t="0" r="0" b="0"/>
            <wp:wrapNone/>
            <wp:docPr id="260" name="IM 260"/>
            <wp:cNvGraphicFramePr/>
            <a:graphic xmlns:a="http://schemas.openxmlformats.org/drawingml/2006/main">
              <a:graphicData uri="http://schemas.openxmlformats.org/drawingml/2006/picture">
                <pic:pic xmlns:pic="http://schemas.openxmlformats.org/drawingml/2006/picture">
                  <pic:nvPicPr>
                    <pic:cNvPr id="260" name="IM 260"/>
                    <pic:cNvPicPr/>
                  </pic:nvPicPr>
                  <pic:blipFill>
                    <a:blip r:embed="rId516"/>
                    <a:stretch>
                      <a:fillRect/>
                    </a:stretch>
                  </pic:blipFill>
                  <pic:spPr>
                    <a:xfrm>
                      <a:off x="0" y="0"/>
                      <a:ext cx="4641850" cy="6415"/>
                    </a:xfrm>
                    <a:prstGeom prst="rect">
                      <a:avLst/>
                    </a:prstGeom>
                  </pic:spPr>
                </pic:pic>
              </a:graphicData>
            </a:graphic>
          </wp:anchor>
        </w:drawing>
      </w:r>
      <w:r>
        <w:rPr>
          <w:sz w:val="8"/>
          <w:szCs w:val="8"/>
        </w:rPr>
        <w:t>e</w:t>
      </w:r>
    </w:p>
    <w:p w14:paraId="71016305">
      <w:pPr>
        <w:spacing w:before="124" w:line="224" w:lineRule="auto"/>
        <w:ind w:left="4"/>
        <w:rPr>
          <w:rFonts w:ascii="黑体" w:hAnsi="黑体" w:eastAsia="黑体" w:cs="黑体"/>
          <w:sz w:val="28"/>
          <w:szCs w:val="28"/>
        </w:rPr>
      </w:pPr>
      <w:r>
        <w:rPr>
          <w:rFonts w:ascii="黑体" w:hAnsi="黑体" w:eastAsia="黑体" w:cs="黑体"/>
          <w:b/>
          <w:bCs/>
          <w:spacing w:val="-6"/>
          <w:sz w:val="28"/>
          <w:szCs w:val="28"/>
        </w:rPr>
        <w:t>14.计量与支付</w:t>
      </w:r>
    </w:p>
    <w:p w14:paraId="5B86480C">
      <w:pPr>
        <w:pStyle w:val="2"/>
        <w:spacing w:before="137" w:line="222" w:lineRule="auto"/>
        <w:ind w:left="3"/>
        <w:rPr>
          <w:rFonts w:ascii="黑体" w:hAnsi="黑体" w:eastAsia="黑体" w:cs="黑体"/>
          <w:sz w:val="21"/>
          <w:szCs w:val="21"/>
        </w:rPr>
      </w:pPr>
      <w:r>
        <w:rPr>
          <w:b/>
          <w:bCs/>
          <w:spacing w:val="11"/>
          <w:sz w:val="21"/>
          <w:szCs w:val="21"/>
        </w:rPr>
        <w:t>14.1</w:t>
      </w:r>
      <w:r>
        <w:rPr>
          <w:spacing w:val="8"/>
          <w:sz w:val="21"/>
          <w:szCs w:val="21"/>
        </w:rPr>
        <w:t xml:space="preserve">     </w:t>
      </w:r>
      <w:r>
        <w:rPr>
          <w:rFonts w:ascii="黑体" w:hAnsi="黑体" w:eastAsia="黑体" w:cs="黑体"/>
          <w:b/>
          <w:bCs/>
          <w:spacing w:val="11"/>
          <w:sz w:val="21"/>
          <w:szCs w:val="21"/>
        </w:rPr>
        <w:t>付款申请单</w:t>
      </w:r>
    </w:p>
    <w:p w14:paraId="6B7AC6D3">
      <w:pPr>
        <w:pStyle w:val="2"/>
        <w:spacing w:before="132" w:line="313" w:lineRule="auto"/>
        <w:ind w:left="939" w:right="18" w:hanging="939"/>
        <w:rPr>
          <w:sz w:val="21"/>
          <w:szCs w:val="21"/>
        </w:rPr>
      </w:pPr>
      <w:r>
        <w:rPr>
          <w:spacing w:val="4"/>
          <w:sz w:val="21"/>
          <w:szCs w:val="21"/>
        </w:rPr>
        <w:t>14.1.1   在工程实际开工后14天内，承包人应当按照合同条款第17条的约定，准备一份已完工</w:t>
      </w:r>
      <w:r>
        <w:rPr>
          <w:spacing w:val="3"/>
          <w:sz w:val="21"/>
          <w:szCs w:val="21"/>
        </w:rPr>
        <w:t xml:space="preserve"> </w:t>
      </w:r>
      <w:r>
        <w:rPr>
          <w:sz w:val="21"/>
          <w:szCs w:val="21"/>
        </w:rPr>
        <w:t>程量报表、进度付款申请单和计量文件的格式等报送监理人，监理</w:t>
      </w:r>
      <w:r>
        <w:rPr>
          <w:spacing w:val="-1"/>
          <w:sz w:val="21"/>
          <w:szCs w:val="21"/>
        </w:rPr>
        <w:t>人应当在收到承包人</w:t>
      </w:r>
      <w:r>
        <w:rPr>
          <w:sz w:val="21"/>
          <w:szCs w:val="21"/>
        </w:rPr>
        <w:t xml:space="preserve"> </w:t>
      </w:r>
      <w:r>
        <w:rPr>
          <w:spacing w:val="5"/>
          <w:sz w:val="21"/>
          <w:szCs w:val="21"/>
        </w:rPr>
        <w:t>报送的格式后7天内给予批复或者提出修改意见。</w:t>
      </w:r>
    </w:p>
    <w:p w14:paraId="7B00DFA9">
      <w:pPr>
        <w:pStyle w:val="2"/>
        <w:spacing w:before="147" w:line="330" w:lineRule="auto"/>
        <w:ind w:left="939" w:right="19" w:hanging="939"/>
        <w:rPr>
          <w:sz w:val="21"/>
          <w:szCs w:val="21"/>
        </w:rPr>
      </w:pPr>
      <w:r>
        <w:rPr>
          <w:spacing w:val="5"/>
          <w:sz w:val="21"/>
          <w:szCs w:val="21"/>
        </w:rPr>
        <w:t>14.1.2   根据合同条款第17.1款和第17.3款，</w:t>
      </w:r>
      <w:r>
        <w:rPr>
          <w:spacing w:val="55"/>
          <w:sz w:val="21"/>
          <w:szCs w:val="21"/>
        </w:rPr>
        <w:t xml:space="preserve"> </w:t>
      </w:r>
      <w:r>
        <w:rPr>
          <w:spacing w:val="5"/>
          <w:sz w:val="21"/>
          <w:szCs w:val="21"/>
        </w:rPr>
        <w:t>承包人应当在合同约定的每个付款周期末，对</w:t>
      </w:r>
      <w:r>
        <w:rPr>
          <w:sz w:val="21"/>
          <w:szCs w:val="21"/>
        </w:rPr>
        <w:t xml:space="preserve"> </w:t>
      </w:r>
      <w:r>
        <w:rPr>
          <w:spacing w:val="3"/>
          <w:sz w:val="21"/>
          <w:szCs w:val="21"/>
        </w:rPr>
        <w:t>当期完成的各项工程量进行计量和计价，并按照第17.3.2项的约定，对当期</w:t>
      </w:r>
      <w:r>
        <w:rPr>
          <w:spacing w:val="2"/>
          <w:sz w:val="21"/>
          <w:szCs w:val="21"/>
        </w:rPr>
        <w:t>应增加和</w:t>
      </w:r>
      <w:r>
        <w:rPr>
          <w:sz w:val="21"/>
          <w:szCs w:val="21"/>
        </w:rPr>
        <w:t xml:space="preserve"> 扣减的各类款项进行梳理和汇总，按经监理人批准的格式</w:t>
      </w:r>
      <w:r>
        <w:rPr>
          <w:spacing w:val="-1"/>
          <w:sz w:val="21"/>
          <w:szCs w:val="21"/>
        </w:rPr>
        <w:t>和专用合同条款约定的份数和</w:t>
      </w:r>
      <w:r>
        <w:rPr>
          <w:sz w:val="21"/>
          <w:szCs w:val="21"/>
        </w:rPr>
        <w:t xml:space="preserve"> </w:t>
      </w:r>
      <w:r>
        <w:rPr>
          <w:spacing w:val="-1"/>
          <w:sz w:val="21"/>
          <w:szCs w:val="21"/>
        </w:rPr>
        <w:t>内容准备并向监理人递交进度付款申请单，并将进度付款申请单连同已完工程量报表、</w:t>
      </w:r>
      <w:r>
        <w:rPr>
          <w:spacing w:val="12"/>
          <w:sz w:val="21"/>
          <w:szCs w:val="21"/>
        </w:rPr>
        <w:t xml:space="preserve"> </w:t>
      </w:r>
      <w:r>
        <w:rPr>
          <w:sz w:val="21"/>
          <w:szCs w:val="21"/>
        </w:rPr>
        <w:t>有关计量资料以及能够证明其进度付款申请单中所索要款项符合合同约定的各个支持</w:t>
      </w:r>
      <w:r>
        <w:rPr>
          <w:spacing w:val="8"/>
          <w:sz w:val="21"/>
          <w:szCs w:val="21"/>
        </w:rPr>
        <w:t xml:space="preserve">  </w:t>
      </w:r>
      <w:r>
        <w:rPr>
          <w:spacing w:val="-3"/>
          <w:sz w:val="21"/>
          <w:szCs w:val="21"/>
        </w:rPr>
        <w:t>性文件同时报送监理人审批。</w:t>
      </w:r>
    </w:p>
    <w:p w14:paraId="64CD3A8F">
      <w:pPr>
        <w:pStyle w:val="2"/>
        <w:spacing w:before="149" w:line="313" w:lineRule="auto"/>
        <w:ind w:left="939" w:right="18" w:hanging="939"/>
        <w:rPr>
          <w:sz w:val="21"/>
          <w:szCs w:val="21"/>
        </w:rPr>
      </w:pPr>
      <w:r>
        <w:rPr>
          <w:spacing w:val="1"/>
          <w:sz w:val="21"/>
          <w:szCs w:val="21"/>
        </w:rPr>
        <w:t>14.1.3</w:t>
      </w:r>
      <w:r>
        <w:rPr>
          <w:spacing w:val="51"/>
          <w:sz w:val="21"/>
          <w:szCs w:val="21"/>
        </w:rPr>
        <w:t xml:space="preserve">  </w:t>
      </w:r>
      <w:r>
        <w:rPr>
          <w:spacing w:val="1"/>
          <w:sz w:val="21"/>
          <w:szCs w:val="21"/>
        </w:rPr>
        <w:t>竣工付款申诅单的内容按专用合同条款第17.5.1(1)目的</w:t>
      </w:r>
      <w:r>
        <w:rPr>
          <w:sz w:val="21"/>
          <w:szCs w:val="21"/>
        </w:rPr>
        <w:t>约定。采用单价合同形式的，</w:t>
      </w:r>
      <w:r>
        <w:rPr>
          <w:spacing w:val="1"/>
          <w:sz w:val="21"/>
          <w:szCs w:val="21"/>
        </w:rPr>
        <w:t xml:space="preserve"> </w:t>
      </w:r>
      <w:r>
        <w:rPr>
          <w:spacing w:val="2"/>
          <w:sz w:val="21"/>
          <w:szCs w:val="21"/>
        </w:rPr>
        <w:t>竣工付款申请单应当附上按通用合同条款第17.1.4(5)目确定的结算工程量和最近一欠</w:t>
      </w:r>
      <w:r>
        <w:rPr>
          <w:spacing w:val="9"/>
          <w:sz w:val="21"/>
          <w:szCs w:val="21"/>
        </w:rPr>
        <w:t xml:space="preserve"> </w:t>
      </w:r>
      <w:r>
        <w:rPr>
          <w:sz w:val="21"/>
          <w:szCs w:val="21"/>
        </w:rPr>
        <w:t>进度付款和竣工付款之间完成的各子目的工程量计量文件。采用总价</w:t>
      </w:r>
      <w:r>
        <w:rPr>
          <w:spacing w:val="-1"/>
          <w:sz w:val="21"/>
          <w:szCs w:val="21"/>
        </w:rPr>
        <w:t>合同形式的，签约</w:t>
      </w:r>
    </w:p>
    <w:p w14:paraId="6657CDAF">
      <w:pPr>
        <w:spacing w:line="313" w:lineRule="auto"/>
        <w:rPr>
          <w:sz w:val="21"/>
          <w:szCs w:val="21"/>
        </w:rPr>
        <w:sectPr>
          <w:footerReference r:id="rId344" w:type="default"/>
          <w:pgSz w:w="11910" w:h="16840"/>
          <w:pgMar w:top="400" w:right="1518" w:bottom="1147" w:left="1460" w:header="0" w:footer="1021" w:gutter="0"/>
          <w:cols w:space="720" w:num="1"/>
        </w:sectPr>
      </w:pPr>
    </w:p>
    <w:p w14:paraId="1B75415F">
      <w:pPr>
        <w:spacing w:line="272" w:lineRule="auto"/>
        <w:rPr>
          <w:rFonts w:ascii="Arial"/>
          <w:sz w:val="21"/>
        </w:rPr>
      </w:pPr>
    </w:p>
    <w:p w14:paraId="2A45946F">
      <w:pPr>
        <w:spacing w:line="272" w:lineRule="auto"/>
        <w:rPr>
          <w:rFonts w:ascii="Arial"/>
          <w:sz w:val="21"/>
        </w:rPr>
      </w:pPr>
    </w:p>
    <w:p w14:paraId="1E2CBCEA">
      <w:pPr>
        <w:spacing w:line="273" w:lineRule="auto"/>
        <w:rPr>
          <w:rFonts w:ascii="Arial"/>
          <w:sz w:val="21"/>
        </w:rPr>
      </w:pPr>
    </w:p>
    <w:p w14:paraId="1CE1CAA0">
      <w:pPr>
        <w:spacing w:line="273" w:lineRule="auto"/>
        <w:rPr>
          <w:rFonts w:ascii="Arial"/>
          <w:sz w:val="21"/>
        </w:rPr>
      </w:pPr>
    </w:p>
    <w:p w14:paraId="494F4EB3">
      <w:pPr>
        <w:spacing w:line="273" w:lineRule="auto"/>
        <w:rPr>
          <w:rFonts w:ascii="Arial"/>
          <w:sz w:val="21"/>
        </w:rPr>
      </w:pPr>
    </w:p>
    <w:p w14:paraId="154E0B22">
      <w:pPr>
        <w:pStyle w:val="2"/>
        <w:spacing w:before="65" w:line="369" w:lineRule="auto"/>
        <w:ind w:left="939"/>
        <w:rPr>
          <w:sz w:val="20"/>
          <w:szCs w:val="20"/>
        </w:rPr>
      </w:pPr>
      <w:r>
        <w:rPr>
          <w:spacing w:val="10"/>
          <w:sz w:val="20"/>
          <w:szCs w:val="20"/>
        </w:rPr>
        <w:t>合同价所基于的工程量就是相应的竣工结算工程量，但是，变更应按合同约定</w:t>
      </w:r>
      <w:r>
        <w:rPr>
          <w:spacing w:val="9"/>
          <w:sz w:val="20"/>
          <w:szCs w:val="20"/>
        </w:rPr>
        <w:t>进行计量</w:t>
      </w:r>
      <w:r>
        <w:rPr>
          <w:sz w:val="20"/>
          <w:szCs w:val="20"/>
        </w:rPr>
        <w:t xml:space="preserve"> </w:t>
      </w:r>
      <w:r>
        <w:rPr>
          <w:spacing w:val="4"/>
          <w:sz w:val="20"/>
          <w:szCs w:val="20"/>
        </w:rPr>
        <w:t>和计价。</w:t>
      </w:r>
    </w:p>
    <w:p w14:paraId="071C8FC5">
      <w:pPr>
        <w:pStyle w:val="2"/>
        <w:spacing w:line="217" w:lineRule="auto"/>
        <w:rPr>
          <w:sz w:val="20"/>
          <w:szCs w:val="20"/>
        </w:rPr>
      </w:pPr>
      <w:r>
        <w:rPr>
          <w:spacing w:val="5"/>
          <w:sz w:val="20"/>
          <w:szCs w:val="20"/>
        </w:rPr>
        <w:t>14.1.4</w:t>
      </w:r>
      <w:r>
        <w:rPr>
          <w:spacing w:val="26"/>
          <w:sz w:val="20"/>
          <w:szCs w:val="20"/>
        </w:rPr>
        <w:t xml:space="preserve">   </w:t>
      </w:r>
      <w:r>
        <w:rPr>
          <w:spacing w:val="5"/>
          <w:sz w:val="20"/>
          <w:szCs w:val="20"/>
        </w:rPr>
        <w:t>竣工结算总价(合同价格)应当按以下内容梳理：</w:t>
      </w:r>
    </w:p>
    <w:p w14:paraId="52E2A5B0">
      <w:pPr>
        <w:pStyle w:val="2"/>
        <w:spacing w:before="173" w:line="218" w:lineRule="auto"/>
        <w:ind w:left="939"/>
        <w:rPr>
          <w:sz w:val="20"/>
          <w:szCs w:val="20"/>
        </w:rPr>
      </w:pPr>
      <w:r>
        <w:rPr>
          <w:spacing w:val="1"/>
          <w:sz w:val="20"/>
          <w:szCs w:val="20"/>
        </w:rPr>
        <w:t>(1)签约合同价；</w:t>
      </w:r>
    </w:p>
    <w:p w14:paraId="71A3859F">
      <w:pPr>
        <w:pStyle w:val="2"/>
        <w:spacing w:before="176" w:line="220" w:lineRule="auto"/>
        <w:ind w:left="939"/>
        <w:rPr>
          <w:sz w:val="20"/>
          <w:szCs w:val="20"/>
        </w:rPr>
      </w:pPr>
      <w:r>
        <w:rPr>
          <w:spacing w:val="1"/>
          <w:sz w:val="20"/>
          <w:szCs w:val="20"/>
        </w:rPr>
        <w:t>(2)应当扣减的项目；</w:t>
      </w:r>
    </w:p>
    <w:p w14:paraId="519BA066">
      <w:pPr>
        <w:pStyle w:val="2"/>
        <w:spacing w:before="151" w:line="219" w:lineRule="auto"/>
        <w:ind w:left="1249"/>
        <w:rPr>
          <w:sz w:val="20"/>
          <w:szCs w:val="20"/>
        </w:rPr>
      </w:pPr>
      <w:r>
        <w:rPr>
          <w:spacing w:val="3"/>
          <w:sz w:val="20"/>
          <w:szCs w:val="20"/>
        </w:rPr>
        <w:t>1)所有暂列金额；</w:t>
      </w:r>
    </w:p>
    <w:p w14:paraId="65ACDE14">
      <w:pPr>
        <w:pStyle w:val="2"/>
        <w:spacing w:before="171" w:line="218" w:lineRule="auto"/>
        <w:ind w:left="1249"/>
        <w:rPr>
          <w:sz w:val="20"/>
          <w:szCs w:val="20"/>
        </w:rPr>
      </w:pPr>
      <w:r>
        <w:rPr>
          <w:spacing w:val="5"/>
          <w:sz w:val="20"/>
          <w:szCs w:val="20"/>
        </w:rPr>
        <w:t>2)所有暂估价；</w:t>
      </w:r>
    </w:p>
    <w:p w14:paraId="739449A4">
      <w:pPr>
        <w:pStyle w:val="2"/>
        <w:spacing w:before="216" w:line="219" w:lineRule="auto"/>
        <w:ind w:left="1249"/>
        <w:rPr>
          <w:sz w:val="20"/>
          <w:szCs w:val="20"/>
        </w:rPr>
      </w:pPr>
      <w:r>
        <w:rPr>
          <w:spacing w:val="12"/>
          <w:sz w:val="20"/>
          <w:szCs w:val="20"/>
        </w:rPr>
        <w:t>3)根据合同条款第15条应扣减的变更金额；</w:t>
      </w:r>
    </w:p>
    <w:p w14:paraId="6F0F6D50">
      <w:pPr>
        <w:pStyle w:val="2"/>
        <w:spacing w:before="221" w:line="218" w:lineRule="auto"/>
        <w:ind w:left="1249"/>
        <w:rPr>
          <w:sz w:val="20"/>
          <w:szCs w:val="20"/>
        </w:rPr>
      </w:pPr>
      <w:r>
        <w:rPr>
          <w:spacing w:val="13"/>
          <w:sz w:val="20"/>
          <w:szCs w:val="20"/>
        </w:rPr>
        <w:t>4)根据合同条款第16条应扣减的价格调整(下调部分);</w:t>
      </w:r>
    </w:p>
    <w:p w14:paraId="2ABF1E35">
      <w:pPr>
        <w:pStyle w:val="2"/>
        <w:spacing w:before="216" w:line="219" w:lineRule="auto"/>
        <w:ind w:left="1249"/>
        <w:rPr>
          <w:sz w:val="20"/>
          <w:szCs w:val="20"/>
        </w:rPr>
      </w:pPr>
      <w:r>
        <w:rPr>
          <w:spacing w:val="12"/>
          <w:sz w:val="20"/>
          <w:szCs w:val="20"/>
        </w:rPr>
        <w:t>5)根据合同条款第23.4款应扣减的发包人索</w:t>
      </w:r>
      <w:r>
        <w:rPr>
          <w:spacing w:val="11"/>
          <w:sz w:val="20"/>
          <w:szCs w:val="20"/>
        </w:rPr>
        <w:t>赔金额；</w:t>
      </w:r>
    </w:p>
    <w:p w14:paraId="09E081B9">
      <w:pPr>
        <w:pStyle w:val="2"/>
        <w:spacing w:before="230" w:line="218" w:lineRule="auto"/>
        <w:ind w:left="1249"/>
        <w:rPr>
          <w:sz w:val="20"/>
          <w:szCs w:val="20"/>
        </w:rPr>
      </w:pPr>
      <w:r>
        <w:rPr>
          <w:spacing w:val="8"/>
          <w:sz w:val="20"/>
          <w:szCs w:val="20"/>
        </w:rPr>
        <w:t>6)甩项工程的合同价值(如果有);</w:t>
      </w:r>
    </w:p>
    <w:p w14:paraId="4D8ED9E5">
      <w:pPr>
        <w:pStyle w:val="2"/>
        <w:spacing w:before="226" w:line="219" w:lineRule="auto"/>
        <w:ind w:left="1249"/>
        <w:rPr>
          <w:sz w:val="20"/>
          <w:szCs w:val="20"/>
        </w:rPr>
      </w:pPr>
      <w:r>
        <w:rPr>
          <w:spacing w:val="8"/>
          <w:sz w:val="20"/>
          <w:szCs w:val="20"/>
        </w:rPr>
        <w:t>7)根据合同约定发包人应扣减的其他金额。</w:t>
      </w:r>
    </w:p>
    <w:p w14:paraId="5C560386">
      <w:pPr>
        <w:pStyle w:val="2"/>
        <w:spacing w:before="213" w:line="220" w:lineRule="auto"/>
        <w:ind w:left="939"/>
        <w:rPr>
          <w:sz w:val="20"/>
          <w:szCs w:val="20"/>
        </w:rPr>
      </w:pPr>
      <w:r>
        <w:rPr>
          <w:spacing w:val="1"/>
          <w:sz w:val="20"/>
          <w:szCs w:val="20"/>
        </w:rPr>
        <w:t>(3)应当增加的项目；</w:t>
      </w:r>
    </w:p>
    <w:p w14:paraId="5F0D3F0E">
      <w:pPr>
        <w:pStyle w:val="2"/>
        <w:spacing w:before="222" w:line="219" w:lineRule="auto"/>
        <w:ind w:left="1249"/>
        <w:rPr>
          <w:sz w:val="20"/>
          <w:szCs w:val="20"/>
        </w:rPr>
      </w:pPr>
      <w:r>
        <w:rPr>
          <w:spacing w:val="8"/>
          <w:sz w:val="20"/>
          <w:szCs w:val="20"/>
        </w:rPr>
        <w:t>1)实际发生的暂列金额(包括计日工);</w:t>
      </w:r>
    </w:p>
    <w:p w14:paraId="13DADB14">
      <w:pPr>
        <w:pStyle w:val="2"/>
        <w:spacing w:before="240" w:line="218" w:lineRule="auto"/>
        <w:ind w:left="1249"/>
        <w:rPr>
          <w:sz w:val="20"/>
          <w:szCs w:val="20"/>
        </w:rPr>
      </w:pPr>
      <w:r>
        <w:rPr>
          <w:spacing w:val="4"/>
          <w:sz w:val="20"/>
          <w:szCs w:val="20"/>
        </w:rPr>
        <w:t>2)实际发生的暂估价；</w:t>
      </w:r>
    </w:p>
    <w:p w14:paraId="193F80D0">
      <w:pPr>
        <w:pStyle w:val="2"/>
        <w:spacing w:before="196" w:line="219" w:lineRule="auto"/>
        <w:ind w:left="1249"/>
        <w:rPr>
          <w:sz w:val="20"/>
          <w:szCs w:val="20"/>
        </w:rPr>
      </w:pPr>
      <w:r>
        <w:rPr>
          <w:spacing w:val="12"/>
          <w:sz w:val="20"/>
          <w:szCs w:val="20"/>
        </w:rPr>
        <w:t>3)根据合同条款第15条应增加的变更金额；</w:t>
      </w:r>
    </w:p>
    <w:p w14:paraId="0AC15F41">
      <w:pPr>
        <w:pStyle w:val="2"/>
        <w:spacing w:before="241" w:line="218" w:lineRule="auto"/>
        <w:ind w:left="1249"/>
        <w:rPr>
          <w:sz w:val="20"/>
          <w:szCs w:val="20"/>
        </w:rPr>
      </w:pPr>
      <w:r>
        <w:rPr>
          <w:spacing w:val="13"/>
          <w:sz w:val="20"/>
          <w:szCs w:val="20"/>
        </w:rPr>
        <w:t>4)根据合同条款第16条应增加的价格调整(上调部分);</w:t>
      </w:r>
    </w:p>
    <w:p w14:paraId="4B1438BC">
      <w:pPr>
        <w:pStyle w:val="2"/>
        <w:spacing w:before="236" w:line="219" w:lineRule="auto"/>
        <w:ind w:left="1249"/>
        <w:rPr>
          <w:sz w:val="20"/>
          <w:szCs w:val="20"/>
        </w:rPr>
      </w:pPr>
      <w:r>
        <w:rPr>
          <w:spacing w:val="12"/>
          <w:sz w:val="20"/>
          <w:szCs w:val="20"/>
        </w:rPr>
        <w:t>5)根据合同条款第23.2款应增加的承包人索</w:t>
      </w:r>
      <w:r>
        <w:rPr>
          <w:spacing w:val="11"/>
          <w:sz w:val="20"/>
          <w:szCs w:val="20"/>
        </w:rPr>
        <w:t>赔金额；</w:t>
      </w:r>
    </w:p>
    <w:p w14:paraId="23E4DF3B">
      <w:pPr>
        <w:pStyle w:val="2"/>
        <w:spacing w:before="192" w:line="219" w:lineRule="auto"/>
        <w:ind w:left="1249"/>
        <w:rPr>
          <w:sz w:val="20"/>
          <w:szCs w:val="20"/>
        </w:rPr>
      </w:pPr>
      <w:r>
        <w:rPr>
          <w:spacing w:val="9"/>
          <w:sz w:val="20"/>
          <w:szCs w:val="20"/>
        </w:rPr>
        <w:t>6)根据合同约定承包人应当得到的其他金额。</w:t>
      </w:r>
    </w:p>
    <w:p w14:paraId="04AE68D3">
      <w:pPr>
        <w:pStyle w:val="2"/>
        <w:spacing w:before="243" w:line="219" w:lineRule="auto"/>
        <w:ind w:left="939"/>
        <w:rPr>
          <w:sz w:val="20"/>
          <w:szCs w:val="20"/>
        </w:rPr>
      </w:pPr>
      <w:r>
        <w:rPr>
          <w:spacing w:val="4"/>
          <w:sz w:val="20"/>
          <w:szCs w:val="20"/>
        </w:rPr>
        <w:t>(4)规费和税金差额部分。</w:t>
      </w:r>
    </w:p>
    <w:p w14:paraId="1AC0247A">
      <w:pPr>
        <w:pStyle w:val="2"/>
        <w:spacing w:before="233" w:line="219" w:lineRule="auto"/>
        <w:ind w:left="10"/>
        <w:rPr>
          <w:sz w:val="20"/>
          <w:szCs w:val="20"/>
        </w:rPr>
      </w:pPr>
      <w:r>
        <w:rPr>
          <w:spacing w:val="6"/>
          <w:sz w:val="20"/>
          <w:szCs w:val="20"/>
        </w:rPr>
        <w:t>14.1.5</w:t>
      </w:r>
      <w:r>
        <w:rPr>
          <w:spacing w:val="20"/>
          <w:sz w:val="20"/>
          <w:szCs w:val="20"/>
        </w:rPr>
        <w:t xml:space="preserve">   </w:t>
      </w:r>
      <w:r>
        <w:rPr>
          <w:spacing w:val="6"/>
          <w:sz w:val="20"/>
          <w:szCs w:val="20"/>
        </w:rPr>
        <w:t>最终结清申请单的应付金额应当按下列内容梳</w:t>
      </w:r>
      <w:r>
        <w:rPr>
          <w:spacing w:val="5"/>
          <w:sz w:val="20"/>
          <w:szCs w:val="20"/>
        </w:rPr>
        <w:t>理：</w:t>
      </w:r>
    </w:p>
    <w:p w14:paraId="647EACA9">
      <w:pPr>
        <w:pStyle w:val="2"/>
        <w:spacing w:before="193" w:line="219" w:lineRule="auto"/>
        <w:ind w:left="869"/>
        <w:rPr>
          <w:sz w:val="20"/>
          <w:szCs w:val="20"/>
        </w:rPr>
      </w:pPr>
      <w:r>
        <w:rPr>
          <w:spacing w:val="5"/>
          <w:sz w:val="20"/>
          <w:szCs w:val="20"/>
        </w:rPr>
        <w:t>(1)按合同约定扣留的质量保证金；</w:t>
      </w:r>
    </w:p>
    <w:p w14:paraId="16DEFAB1">
      <w:pPr>
        <w:pStyle w:val="2"/>
        <w:spacing w:before="242" w:line="219" w:lineRule="auto"/>
        <w:ind w:left="869"/>
        <w:rPr>
          <w:sz w:val="20"/>
          <w:szCs w:val="20"/>
        </w:rPr>
      </w:pPr>
      <w:r>
        <w:rPr>
          <w:spacing w:val="1"/>
          <w:sz w:val="20"/>
          <w:szCs w:val="20"/>
        </w:rPr>
        <w:t>(2)应当扣除的金额：</w:t>
      </w:r>
    </w:p>
    <w:p w14:paraId="1F585DEB">
      <w:pPr>
        <w:pStyle w:val="2"/>
        <w:spacing w:before="223" w:line="219" w:lineRule="auto"/>
        <w:ind w:left="1149"/>
        <w:rPr>
          <w:sz w:val="20"/>
          <w:szCs w:val="20"/>
        </w:rPr>
      </w:pPr>
      <w:r>
        <w:rPr>
          <w:spacing w:val="11"/>
          <w:sz w:val="20"/>
          <w:szCs w:val="20"/>
        </w:rPr>
        <w:t>1)按通用合同条款17.4.3项约定扣留的质量保证金；</w:t>
      </w:r>
    </w:p>
    <w:p w14:paraId="77FEC96A">
      <w:pPr>
        <w:pStyle w:val="2"/>
        <w:spacing w:before="223" w:line="219" w:lineRule="auto"/>
        <w:ind w:left="1149"/>
        <w:rPr>
          <w:sz w:val="20"/>
          <w:szCs w:val="20"/>
        </w:rPr>
      </w:pPr>
      <w:r>
        <w:rPr>
          <w:spacing w:val="11"/>
          <w:sz w:val="20"/>
          <w:szCs w:val="20"/>
        </w:rPr>
        <w:t>2)按通用合同条款19.2.4项约定扣除的质量保证金；</w:t>
      </w:r>
    </w:p>
    <w:p w14:paraId="3B7AC364">
      <w:pPr>
        <w:pStyle w:val="2"/>
        <w:spacing w:before="213" w:line="219" w:lineRule="auto"/>
        <w:ind w:left="1149"/>
        <w:rPr>
          <w:sz w:val="20"/>
          <w:szCs w:val="20"/>
        </w:rPr>
      </w:pPr>
      <w:r>
        <w:rPr>
          <w:spacing w:val="12"/>
          <w:sz w:val="20"/>
          <w:szCs w:val="20"/>
        </w:rPr>
        <w:t>3)根据合同条款第23.4款应扣减的缺陷责任期</w:t>
      </w:r>
      <w:r>
        <w:rPr>
          <w:spacing w:val="11"/>
          <w:sz w:val="20"/>
          <w:szCs w:val="20"/>
        </w:rPr>
        <w:t>内发生的发包人索赔金额；</w:t>
      </w:r>
    </w:p>
    <w:p w14:paraId="72D3B603">
      <w:pPr>
        <w:pStyle w:val="2"/>
        <w:spacing w:before="233" w:line="219" w:lineRule="auto"/>
        <w:ind w:left="1149"/>
        <w:rPr>
          <w:sz w:val="20"/>
          <w:szCs w:val="20"/>
        </w:rPr>
      </w:pPr>
      <w:r>
        <w:rPr>
          <w:spacing w:val="7"/>
          <w:sz w:val="20"/>
          <w:szCs w:val="20"/>
        </w:rPr>
        <w:t>4)根据合同约定应扣减的其他金额。</w:t>
      </w:r>
    </w:p>
    <w:p w14:paraId="23257C66">
      <w:pPr>
        <w:pStyle w:val="2"/>
        <w:spacing w:before="212" w:line="219" w:lineRule="auto"/>
        <w:ind w:left="869"/>
        <w:rPr>
          <w:sz w:val="20"/>
          <w:szCs w:val="20"/>
        </w:rPr>
      </w:pPr>
      <w:r>
        <w:rPr>
          <w:spacing w:val="1"/>
          <w:sz w:val="20"/>
          <w:szCs w:val="20"/>
        </w:rPr>
        <w:t>(3)应当增加的金额：</w:t>
      </w:r>
    </w:p>
    <w:p w14:paraId="6B9FF4DB">
      <w:pPr>
        <w:pStyle w:val="2"/>
        <w:spacing w:before="231" w:line="218" w:lineRule="auto"/>
        <w:ind w:left="1149"/>
        <w:rPr>
          <w:sz w:val="20"/>
          <w:szCs w:val="20"/>
        </w:rPr>
      </w:pPr>
      <w:r>
        <w:rPr>
          <w:spacing w:val="7"/>
          <w:sz w:val="20"/>
          <w:szCs w:val="20"/>
        </w:rPr>
        <w:t>1)已完且符合合同约定的甩项工程的价值；</w:t>
      </w:r>
    </w:p>
    <w:p w14:paraId="46CA3FE9">
      <w:pPr>
        <w:pStyle w:val="2"/>
        <w:spacing w:before="234" w:line="218" w:lineRule="auto"/>
        <w:ind w:left="1149"/>
        <w:rPr>
          <w:sz w:val="20"/>
          <w:szCs w:val="20"/>
        </w:rPr>
      </w:pPr>
      <w:r>
        <w:rPr>
          <w:spacing w:val="11"/>
          <w:sz w:val="20"/>
          <w:szCs w:val="20"/>
        </w:rPr>
        <w:t>2)按通用合同条款19.2.3项约定由承包人修复的发包人原因造成的缺陷的价值；</w:t>
      </w:r>
    </w:p>
    <w:p w14:paraId="04F14A7C">
      <w:pPr>
        <w:spacing w:line="218" w:lineRule="auto"/>
        <w:rPr>
          <w:sz w:val="20"/>
          <w:szCs w:val="20"/>
        </w:rPr>
        <w:sectPr>
          <w:footerReference r:id="rId345" w:type="default"/>
          <w:pgSz w:w="11910" w:h="16840"/>
          <w:pgMar w:top="400" w:right="1532" w:bottom="1147" w:left="1460" w:header="0" w:footer="1021" w:gutter="0"/>
          <w:cols w:space="720" w:num="1"/>
        </w:sectPr>
      </w:pPr>
    </w:p>
    <w:p w14:paraId="7A0EB9A9">
      <w:pPr>
        <w:spacing w:line="280" w:lineRule="auto"/>
        <w:rPr>
          <w:rFonts w:ascii="Arial"/>
          <w:sz w:val="21"/>
        </w:rPr>
      </w:pPr>
    </w:p>
    <w:p w14:paraId="79F423A0">
      <w:pPr>
        <w:spacing w:line="281" w:lineRule="auto"/>
        <w:rPr>
          <w:rFonts w:ascii="Arial"/>
          <w:sz w:val="21"/>
        </w:rPr>
      </w:pPr>
    </w:p>
    <w:p w14:paraId="75055AAF">
      <w:pPr>
        <w:spacing w:line="281" w:lineRule="auto"/>
        <w:rPr>
          <w:rFonts w:ascii="Arial"/>
          <w:sz w:val="21"/>
        </w:rPr>
      </w:pPr>
    </w:p>
    <w:p w14:paraId="04DB55A4">
      <w:pPr>
        <w:spacing w:line="281" w:lineRule="auto"/>
        <w:rPr>
          <w:rFonts w:ascii="Arial"/>
          <w:sz w:val="21"/>
        </w:rPr>
      </w:pPr>
    </w:p>
    <w:p w14:paraId="68C65FE9">
      <w:pPr>
        <w:spacing w:line="281" w:lineRule="auto"/>
        <w:rPr>
          <w:rFonts w:ascii="Arial"/>
          <w:sz w:val="21"/>
        </w:rPr>
      </w:pPr>
    </w:p>
    <w:p w14:paraId="2F826B1E">
      <w:pPr>
        <w:pStyle w:val="2"/>
        <w:spacing w:before="65" w:line="219" w:lineRule="auto"/>
        <w:ind w:left="1159"/>
        <w:rPr>
          <w:sz w:val="20"/>
          <w:szCs w:val="20"/>
        </w:rPr>
      </w:pPr>
      <w:r>
        <w:rPr>
          <w:spacing w:val="12"/>
          <w:sz w:val="20"/>
          <w:szCs w:val="20"/>
        </w:rPr>
        <w:t>3)根据合同条款第23.2款应增加的缺陷责任期</w:t>
      </w:r>
      <w:r>
        <w:rPr>
          <w:spacing w:val="11"/>
          <w:sz w:val="20"/>
          <w:szCs w:val="20"/>
        </w:rPr>
        <w:t>内发生的承包人索赔金额；</w:t>
      </w:r>
    </w:p>
    <w:p w14:paraId="63DFF2F4">
      <w:pPr>
        <w:pStyle w:val="2"/>
        <w:spacing w:before="222" w:line="219" w:lineRule="auto"/>
        <w:ind w:left="1159"/>
        <w:rPr>
          <w:sz w:val="20"/>
          <w:szCs w:val="20"/>
        </w:rPr>
      </w:pPr>
      <w:r>
        <w:rPr>
          <w:spacing w:val="8"/>
          <w:sz w:val="20"/>
          <w:szCs w:val="20"/>
        </w:rPr>
        <w:t>4)根据合同约定承包人应当得到的其他金额。</w:t>
      </w:r>
    </w:p>
    <w:p w14:paraId="6DC2CB67">
      <w:pPr>
        <w:pStyle w:val="2"/>
        <w:spacing w:before="242" w:line="219" w:lineRule="auto"/>
        <w:ind w:left="939"/>
        <w:rPr>
          <w:sz w:val="20"/>
          <w:szCs w:val="20"/>
        </w:rPr>
      </w:pPr>
      <w:r>
        <w:rPr>
          <w:spacing w:val="9"/>
          <w:sz w:val="20"/>
          <w:szCs w:val="20"/>
        </w:rPr>
        <w:t>最终结清应当由发包人和承包人按照“多退少补”的原则办理。</w:t>
      </w:r>
    </w:p>
    <w:p w14:paraId="3739A351">
      <w:pPr>
        <w:pStyle w:val="2"/>
        <w:spacing w:before="201" w:line="436" w:lineRule="auto"/>
        <w:ind w:left="939" w:right="12" w:hanging="939"/>
        <w:rPr>
          <w:sz w:val="20"/>
          <w:szCs w:val="20"/>
        </w:rPr>
      </w:pPr>
      <w:r>
        <w:rPr>
          <w:spacing w:val="9"/>
          <w:sz w:val="20"/>
          <w:szCs w:val="20"/>
        </w:rPr>
        <w:t>14.1.6   竣工付款申请单和最终结清申请单应当比照进度付</w:t>
      </w:r>
      <w:r>
        <w:rPr>
          <w:spacing w:val="8"/>
          <w:sz w:val="20"/>
          <w:szCs w:val="20"/>
        </w:rPr>
        <w:t>款申请单的格式准备，并提供相关证</w:t>
      </w:r>
      <w:r>
        <w:rPr>
          <w:sz w:val="20"/>
          <w:szCs w:val="20"/>
        </w:rPr>
        <w:t xml:space="preserve"> 明材料。</w:t>
      </w:r>
    </w:p>
    <w:p w14:paraId="4B62D2B8">
      <w:pPr>
        <w:pStyle w:val="2"/>
        <w:spacing w:before="5" w:line="222" w:lineRule="auto"/>
        <w:ind w:left="3"/>
        <w:rPr>
          <w:rFonts w:ascii="黑体" w:hAnsi="黑体" w:eastAsia="黑体" w:cs="黑体"/>
          <w:sz w:val="24"/>
          <w:szCs w:val="24"/>
        </w:rPr>
      </w:pPr>
      <w:r>
        <w:rPr>
          <w:b/>
          <w:bCs/>
          <w:spacing w:val="-8"/>
          <w:sz w:val="24"/>
          <w:szCs w:val="24"/>
        </w:rPr>
        <w:t>14.2</w:t>
      </w:r>
      <w:r>
        <w:rPr>
          <w:spacing w:val="8"/>
          <w:sz w:val="24"/>
          <w:szCs w:val="24"/>
        </w:rPr>
        <w:t xml:space="preserve">    </w:t>
      </w:r>
      <w:r>
        <w:rPr>
          <w:rFonts w:ascii="黑体" w:hAnsi="黑体" w:eastAsia="黑体" w:cs="黑体"/>
          <w:b/>
          <w:bCs/>
          <w:spacing w:val="-8"/>
          <w:sz w:val="24"/>
          <w:szCs w:val="24"/>
        </w:rPr>
        <w:t>其他约定</w:t>
      </w:r>
    </w:p>
    <w:p w14:paraId="7CC958F6">
      <w:pPr>
        <w:pStyle w:val="2"/>
        <w:spacing w:before="283" w:line="219" w:lineRule="auto"/>
        <w:ind w:left="939"/>
        <w:rPr>
          <w:sz w:val="20"/>
          <w:szCs w:val="20"/>
        </w:rPr>
      </w:pPr>
      <w:r>
        <w:rPr>
          <w:spacing w:val="2"/>
          <w:sz w:val="20"/>
          <w:szCs w:val="20"/>
        </w:rPr>
        <w:t>其他约定内容：</w:t>
      </w:r>
    </w:p>
    <w:p w14:paraId="59D5F737">
      <w:pPr>
        <w:spacing w:line="243" w:lineRule="auto"/>
        <w:rPr>
          <w:rFonts w:ascii="Arial"/>
          <w:sz w:val="21"/>
        </w:rPr>
      </w:pPr>
    </w:p>
    <w:p w14:paraId="5635EC10">
      <w:pPr>
        <w:spacing w:line="243" w:lineRule="auto"/>
        <w:rPr>
          <w:rFonts w:ascii="Arial"/>
          <w:sz w:val="21"/>
        </w:rPr>
      </w:pPr>
      <w:r>
        <w:drawing>
          <wp:anchor distT="0" distB="0" distL="0" distR="0" simplePos="0" relativeHeight="251756544" behindDoc="0" locked="0" layoutInCell="1" allowOverlap="1">
            <wp:simplePos x="0" y="0"/>
            <wp:positionH relativeFrom="column">
              <wp:posOffset>589915</wp:posOffset>
            </wp:positionH>
            <wp:positionV relativeFrom="paragraph">
              <wp:posOffset>100965</wp:posOffset>
            </wp:positionV>
            <wp:extent cx="4635500" cy="6350"/>
            <wp:effectExtent l="0" t="0" r="0" b="0"/>
            <wp:wrapNone/>
            <wp:docPr id="262" name="IM 262"/>
            <wp:cNvGraphicFramePr/>
            <a:graphic xmlns:a="http://schemas.openxmlformats.org/drawingml/2006/main">
              <a:graphicData uri="http://schemas.openxmlformats.org/drawingml/2006/picture">
                <pic:pic xmlns:pic="http://schemas.openxmlformats.org/drawingml/2006/picture">
                  <pic:nvPicPr>
                    <pic:cNvPr id="262" name="IM 262"/>
                    <pic:cNvPicPr/>
                  </pic:nvPicPr>
                  <pic:blipFill>
                    <a:blip r:embed="rId517"/>
                    <a:stretch>
                      <a:fillRect/>
                    </a:stretch>
                  </pic:blipFill>
                  <pic:spPr>
                    <a:xfrm>
                      <a:off x="0" y="0"/>
                      <a:ext cx="4635497" cy="6415"/>
                    </a:xfrm>
                    <a:prstGeom prst="rect">
                      <a:avLst/>
                    </a:prstGeom>
                  </pic:spPr>
                </pic:pic>
              </a:graphicData>
            </a:graphic>
          </wp:anchor>
        </w:drawing>
      </w:r>
    </w:p>
    <w:p w14:paraId="195C7AA1">
      <w:pPr>
        <w:spacing w:line="244" w:lineRule="auto"/>
        <w:rPr>
          <w:rFonts w:ascii="Arial"/>
          <w:sz w:val="21"/>
        </w:rPr>
      </w:pPr>
    </w:p>
    <w:p w14:paraId="7ED4B144">
      <w:pPr>
        <w:spacing w:before="38" w:line="88" w:lineRule="exact"/>
        <w:ind w:left="8229"/>
        <w:rPr>
          <w:rFonts w:ascii="Times New Roman" w:hAnsi="Times New Roman" w:eastAsia="Times New Roman" w:cs="Times New Roman"/>
          <w:sz w:val="13"/>
          <w:szCs w:val="13"/>
        </w:rPr>
      </w:pPr>
      <w:r>
        <w:drawing>
          <wp:anchor distT="0" distB="0" distL="0" distR="0" simplePos="0" relativeHeight="251757568" behindDoc="0" locked="0" layoutInCell="1" allowOverlap="1">
            <wp:simplePos x="0" y="0"/>
            <wp:positionH relativeFrom="column">
              <wp:posOffset>596265</wp:posOffset>
            </wp:positionH>
            <wp:positionV relativeFrom="paragraph">
              <wp:posOffset>71120</wp:posOffset>
            </wp:positionV>
            <wp:extent cx="4610100" cy="6350"/>
            <wp:effectExtent l="0" t="0" r="0" b="0"/>
            <wp:wrapNone/>
            <wp:docPr id="264" name="IM 264"/>
            <wp:cNvGraphicFramePr/>
            <a:graphic xmlns:a="http://schemas.openxmlformats.org/drawingml/2006/main">
              <a:graphicData uri="http://schemas.openxmlformats.org/drawingml/2006/picture">
                <pic:pic xmlns:pic="http://schemas.openxmlformats.org/drawingml/2006/picture">
                  <pic:nvPicPr>
                    <pic:cNvPr id="264" name="IM 264"/>
                    <pic:cNvPicPr/>
                  </pic:nvPicPr>
                  <pic:blipFill>
                    <a:blip r:embed="rId512"/>
                    <a:stretch>
                      <a:fillRect/>
                    </a:stretch>
                  </pic:blipFill>
                  <pic:spPr>
                    <a:xfrm>
                      <a:off x="0" y="0"/>
                      <a:ext cx="4610085" cy="6350"/>
                    </a:xfrm>
                    <a:prstGeom prst="rect">
                      <a:avLst/>
                    </a:prstGeom>
                  </pic:spPr>
                </pic:pic>
              </a:graphicData>
            </a:graphic>
          </wp:anchor>
        </w:drawing>
      </w:r>
      <w:r>
        <w:rPr>
          <w:rFonts w:ascii="Times New Roman" w:hAnsi="Times New Roman" w:eastAsia="Times New Roman" w:cs="Times New Roman"/>
          <w:sz w:val="13"/>
          <w:szCs w:val="13"/>
        </w:rPr>
        <w:t>o</w:t>
      </w:r>
    </w:p>
    <w:p w14:paraId="067F9A52">
      <w:pPr>
        <w:pStyle w:val="2"/>
        <w:spacing w:before="139" w:line="221" w:lineRule="auto"/>
        <w:ind w:left="4"/>
        <w:rPr>
          <w:rFonts w:ascii="黑体" w:hAnsi="黑体" w:eastAsia="黑体" w:cs="黑体"/>
          <w:sz w:val="28"/>
          <w:szCs w:val="28"/>
        </w:rPr>
      </w:pPr>
      <w:r>
        <w:rPr>
          <w:b/>
          <w:bCs/>
          <w:spacing w:val="-7"/>
          <w:sz w:val="28"/>
          <w:szCs w:val="28"/>
        </w:rPr>
        <w:t>15.</w:t>
      </w:r>
      <w:r>
        <w:rPr>
          <w:rFonts w:ascii="黑体" w:hAnsi="黑体" w:eastAsia="黑体" w:cs="黑体"/>
          <w:b/>
          <w:bCs/>
          <w:spacing w:val="-7"/>
          <w:sz w:val="28"/>
          <w:szCs w:val="28"/>
        </w:rPr>
        <w:t>竣工验收和工程移交</w:t>
      </w:r>
    </w:p>
    <w:p w14:paraId="0EA300FD">
      <w:pPr>
        <w:pStyle w:val="2"/>
        <w:spacing w:before="134" w:line="221" w:lineRule="auto"/>
        <w:ind w:left="3"/>
        <w:rPr>
          <w:rFonts w:ascii="黑体" w:hAnsi="黑体" w:eastAsia="黑体" w:cs="黑体"/>
          <w:sz w:val="24"/>
          <w:szCs w:val="24"/>
        </w:rPr>
      </w:pPr>
      <w:r>
        <w:rPr>
          <w:b/>
          <w:bCs/>
          <w:spacing w:val="-4"/>
          <w:sz w:val="24"/>
          <w:szCs w:val="24"/>
        </w:rPr>
        <w:t>15.1</w:t>
      </w:r>
      <w:r>
        <w:rPr>
          <w:spacing w:val="-4"/>
          <w:sz w:val="24"/>
          <w:szCs w:val="24"/>
        </w:rPr>
        <w:t xml:space="preserve">   </w:t>
      </w:r>
      <w:r>
        <w:rPr>
          <w:rFonts w:ascii="黑体" w:hAnsi="黑体" w:eastAsia="黑体" w:cs="黑体"/>
          <w:b/>
          <w:bCs/>
          <w:spacing w:val="-4"/>
          <w:sz w:val="24"/>
          <w:szCs w:val="24"/>
        </w:rPr>
        <w:t>竣工验收前的清理</w:t>
      </w:r>
    </w:p>
    <w:p w14:paraId="3C16BFDA">
      <w:pPr>
        <w:pStyle w:val="2"/>
        <w:spacing w:before="175" w:line="393" w:lineRule="auto"/>
        <w:ind w:left="939" w:right="11" w:hanging="939"/>
        <w:rPr>
          <w:sz w:val="20"/>
          <w:szCs w:val="20"/>
        </w:rPr>
      </w:pPr>
      <w:r>
        <w:rPr>
          <w:spacing w:val="9"/>
          <w:sz w:val="20"/>
          <w:szCs w:val="20"/>
        </w:rPr>
        <w:t>15.1.1   在向监理人提交竣工验收申请报告前，承包人应当</w:t>
      </w:r>
      <w:r>
        <w:rPr>
          <w:spacing w:val="8"/>
          <w:sz w:val="20"/>
          <w:szCs w:val="20"/>
        </w:rPr>
        <w:t>完成竣工验收前的清理工作，包括但</w:t>
      </w:r>
      <w:r>
        <w:rPr>
          <w:sz w:val="20"/>
          <w:szCs w:val="20"/>
        </w:rPr>
        <w:t xml:space="preserve"> 不限于：</w:t>
      </w:r>
    </w:p>
    <w:p w14:paraId="27D94AAE">
      <w:pPr>
        <w:pStyle w:val="2"/>
        <w:spacing w:line="218" w:lineRule="auto"/>
        <w:ind w:left="939"/>
        <w:rPr>
          <w:sz w:val="20"/>
          <w:szCs w:val="20"/>
        </w:rPr>
      </w:pPr>
      <w:r>
        <w:rPr>
          <w:spacing w:val="7"/>
          <w:sz w:val="20"/>
          <w:szCs w:val="20"/>
        </w:rPr>
        <w:t>(1)从永久工程内清除所有剩余材料、杂物、垃圾</w:t>
      </w:r>
      <w:r>
        <w:rPr>
          <w:spacing w:val="6"/>
          <w:sz w:val="20"/>
          <w:szCs w:val="20"/>
        </w:rPr>
        <w:t>等等；</w:t>
      </w:r>
    </w:p>
    <w:p w14:paraId="398BB750">
      <w:pPr>
        <w:pStyle w:val="2"/>
        <w:spacing w:before="184" w:line="219" w:lineRule="auto"/>
        <w:ind w:left="939"/>
        <w:rPr>
          <w:sz w:val="20"/>
          <w:szCs w:val="20"/>
        </w:rPr>
      </w:pPr>
      <w:r>
        <w:rPr>
          <w:spacing w:val="6"/>
          <w:sz w:val="20"/>
          <w:szCs w:val="20"/>
        </w:rPr>
        <w:t>(2)清洗工程的所有地面、墙面、楼面、路面等表面；</w:t>
      </w:r>
    </w:p>
    <w:p w14:paraId="19677767">
      <w:pPr>
        <w:pStyle w:val="2"/>
        <w:spacing w:before="182" w:line="219" w:lineRule="auto"/>
        <w:ind w:left="939"/>
        <w:rPr>
          <w:sz w:val="20"/>
          <w:szCs w:val="20"/>
        </w:rPr>
      </w:pPr>
      <w:r>
        <w:rPr>
          <w:spacing w:val="6"/>
          <w:sz w:val="20"/>
          <w:szCs w:val="20"/>
        </w:rPr>
        <w:t>(3)清洗和擦洗所有玻璃、磁砖、石材和所有金属面；</w:t>
      </w:r>
    </w:p>
    <w:p w14:paraId="6C44DD0E">
      <w:pPr>
        <w:pStyle w:val="2"/>
        <w:spacing w:before="172" w:line="219" w:lineRule="auto"/>
        <w:ind w:left="939"/>
        <w:rPr>
          <w:sz w:val="20"/>
          <w:szCs w:val="20"/>
        </w:rPr>
      </w:pPr>
      <w:r>
        <w:rPr>
          <w:spacing w:val="7"/>
          <w:sz w:val="20"/>
          <w:szCs w:val="20"/>
        </w:rPr>
        <w:t>(4)修缮所有损坏、清除所有污迹、替换所有需更换的材料；</w:t>
      </w:r>
    </w:p>
    <w:p w14:paraId="5F59815B">
      <w:pPr>
        <w:pStyle w:val="2"/>
        <w:spacing w:before="195" w:line="219" w:lineRule="auto"/>
        <w:ind w:left="939"/>
        <w:rPr>
          <w:sz w:val="20"/>
          <w:szCs w:val="20"/>
        </w:rPr>
      </w:pPr>
      <w:r>
        <w:rPr>
          <w:spacing w:val="5"/>
          <w:sz w:val="20"/>
          <w:szCs w:val="20"/>
        </w:rPr>
        <w:t>(5)所有表面完成约定的装修和装饰；</w:t>
      </w:r>
    </w:p>
    <w:p w14:paraId="738EEA4E">
      <w:pPr>
        <w:pStyle w:val="2"/>
        <w:spacing w:before="172" w:line="219" w:lineRule="auto"/>
        <w:ind w:left="939"/>
        <w:rPr>
          <w:sz w:val="20"/>
          <w:szCs w:val="20"/>
        </w:rPr>
      </w:pPr>
      <w:r>
        <w:rPr>
          <w:spacing w:val="7"/>
          <w:sz w:val="20"/>
          <w:szCs w:val="20"/>
        </w:rPr>
        <w:t>(6)检查和调试所有的门、窗、抽屉等以确保他们开启的顺畅；</w:t>
      </w:r>
    </w:p>
    <w:p w14:paraId="72AE5429">
      <w:pPr>
        <w:pStyle w:val="2"/>
        <w:spacing w:before="193" w:line="219" w:lineRule="auto"/>
        <w:ind w:left="939"/>
        <w:rPr>
          <w:sz w:val="20"/>
          <w:szCs w:val="20"/>
        </w:rPr>
      </w:pPr>
      <w:r>
        <w:rPr>
          <w:spacing w:val="5"/>
          <w:sz w:val="20"/>
          <w:szCs w:val="20"/>
        </w:rPr>
        <w:t>(7)检查和调试所有的五金件并上油；</w:t>
      </w:r>
    </w:p>
    <w:p w14:paraId="2FFEC6EF">
      <w:pPr>
        <w:pStyle w:val="2"/>
        <w:spacing w:before="173" w:line="219" w:lineRule="auto"/>
        <w:ind w:left="939"/>
        <w:rPr>
          <w:sz w:val="20"/>
          <w:szCs w:val="20"/>
        </w:rPr>
      </w:pPr>
      <w:r>
        <w:rPr>
          <w:spacing w:val="8"/>
          <w:sz w:val="20"/>
          <w:szCs w:val="20"/>
        </w:rPr>
        <w:t>(8)检查、测试和确保所有服务系统、设施和设备达到良好的运行状态和效果；</w:t>
      </w:r>
    </w:p>
    <w:p w14:paraId="686941F4">
      <w:pPr>
        <w:pStyle w:val="2"/>
        <w:spacing w:before="193" w:line="219" w:lineRule="auto"/>
        <w:ind w:left="939"/>
        <w:rPr>
          <w:sz w:val="20"/>
          <w:szCs w:val="20"/>
        </w:rPr>
      </w:pPr>
      <w:r>
        <w:rPr>
          <w:spacing w:val="8"/>
          <w:sz w:val="20"/>
          <w:szCs w:val="20"/>
        </w:rPr>
        <w:t>(9)所有钥匙(如果有)贴上标签并固定到钥匙排上随时可以交给</w:t>
      </w:r>
      <w:r>
        <w:rPr>
          <w:spacing w:val="7"/>
          <w:sz w:val="20"/>
          <w:szCs w:val="20"/>
        </w:rPr>
        <w:t>监理人。</w:t>
      </w:r>
    </w:p>
    <w:p w14:paraId="4063297B">
      <w:pPr>
        <w:pStyle w:val="2"/>
        <w:spacing w:before="172" w:line="219" w:lineRule="auto"/>
        <w:rPr>
          <w:sz w:val="20"/>
          <w:szCs w:val="20"/>
        </w:rPr>
      </w:pPr>
      <w:r>
        <w:rPr>
          <w:spacing w:val="5"/>
          <w:sz w:val="20"/>
          <w:szCs w:val="20"/>
        </w:rPr>
        <w:t>15.1.2</w:t>
      </w:r>
      <w:r>
        <w:rPr>
          <w:spacing w:val="21"/>
          <w:sz w:val="20"/>
          <w:szCs w:val="20"/>
        </w:rPr>
        <w:t xml:space="preserve">   </w:t>
      </w:r>
      <w:r>
        <w:rPr>
          <w:spacing w:val="5"/>
          <w:sz w:val="20"/>
          <w:szCs w:val="20"/>
        </w:rPr>
        <w:t>清理工作所需费用由承包人承担。</w:t>
      </w:r>
    </w:p>
    <w:p w14:paraId="6C4F3366">
      <w:pPr>
        <w:pStyle w:val="2"/>
        <w:spacing w:before="219" w:line="221" w:lineRule="auto"/>
        <w:ind w:left="3"/>
        <w:rPr>
          <w:rFonts w:ascii="黑体" w:hAnsi="黑体" w:eastAsia="黑体" w:cs="黑体"/>
          <w:sz w:val="24"/>
          <w:szCs w:val="24"/>
        </w:rPr>
      </w:pPr>
      <w:r>
        <w:rPr>
          <w:b/>
          <w:bCs/>
          <w:spacing w:val="-6"/>
          <w:sz w:val="24"/>
          <w:szCs w:val="24"/>
        </w:rPr>
        <w:t>15.2</w:t>
      </w:r>
      <w:r>
        <w:rPr>
          <w:spacing w:val="8"/>
          <w:sz w:val="24"/>
          <w:szCs w:val="24"/>
        </w:rPr>
        <w:t xml:space="preserve">     </w:t>
      </w:r>
      <w:r>
        <w:rPr>
          <w:rFonts w:ascii="黑体" w:hAnsi="黑体" w:eastAsia="黑体" w:cs="黑体"/>
          <w:b/>
          <w:bCs/>
          <w:spacing w:val="-6"/>
          <w:sz w:val="24"/>
          <w:szCs w:val="24"/>
        </w:rPr>
        <w:t>竣工验收申请报告</w:t>
      </w:r>
    </w:p>
    <w:p w14:paraId="22984E1C">
      <w:pPr>
        <w:pStyle w:val="2"/>
        <w:spacing w:before="214" w:line="354" w:lineRule="auto"/>
        <w:ind w:left="939" w:hanging="939"/>
        <w:rPr>
          <w:sz w:val="20"/>
          <w:szCs w:val="20"/>
        </w:rPr>
      </w:pPr>
      <w:r>
        <w:rPr>
          <w:spacing w:val="9"/>
          <w:sz w:val="20"/>
          <w:szCs w:val="20"/>
        </w:rPr>
        <w:t>15.2.1   竣工验收申请报告，也称竣工验收报告，是承包人完成合同约定的工作内容后</w:t>
      </w:r>
      <w:r>
        <w:rPr>
          <w:spacing w:val="8"/>
          <w:sz w:val="20"/>
          <w:szCs w:val="20"/>
        </w:rPr>
        <w:t>，按照国</w:t>
      </w:r>
      <w:r>
        <w:rPr>
          <w:sz w:val="20"/>
          <w:szCs w:val="20"/>
        </w:rPr>
        <w:t xml:space="preserve"> </w:t>
      </w:r>
      <w:r>
        <w:rPr>
          <w:spacing w:val="9"/>
          <w:sz w:val="20"/>
          <w:szCs w:val="20"/>
        </w:rPr>
        <w:t>家有关施工质量验收标准的规定，经其自行检查，证明已经完成合同工作内容并符合合</w:t>
      </w:r>
      <w:r>
        <w:rPr>
          <w:spacing w:val="5"/>
          <w:sz w:val="20"/>
          <w:szCs w:val="20"/>
        </w:rPr>
        <w:t xml:space="preserve"> </w:t>
      </w:r>
      <w:r>
        <w:rPr>
          <w:spacing w:val="10"/>
          <w:sz w:val="20"/>
          <w:szCs w:val="20"/>
        </w:rPr>
        <w:t>同约定，达到竣工验收标准，而向监理人或发包人提交</w:t>
      </w:r>
      <w:r>
        <w:rPr>
          <w:spacing w:val="9"/>
          <w:sz w:val="20"/>
          <w:szCs w:val="20"/>
        </w:rPr>
        <w:t>的请求发包人组织进行合同工程</w:t>
      </w:r>
      <w:r>
        <w:rPr>
          <w:sz w:val="20"/>
          <w:szCs w:val="20"/>
        </w:rPr>
        <w:t xml:space="preserve"> </w:t>
      </w:r>
      <w:r>
        <w:rPr>
          <w:spacing w:val="10"/>
          <w:sz w:val="20"/>
          <w:szCs w:val="20"/>
        </w:rPr>
        <w:t>竣工验收的一份书面申请函，合同约定的竣工验收资料</w:t>
      </w:r>
      <w:r>
        <w:rPr>
          <w:spacing w:val="9"/>
          <w:sz w:val="20"/>
          <w:szCs w:val="20"/>
        </w:rPr>
        <w:t>和其他文件一般作为竣工验收申</w:t>
      </w:r>
      <w:r>
        <w:rPr>
          <w:sz w:val="20"/>
          <w:szCs w:val="20"/>
        </w:rPr>
        <w:t xml:space="preserve"> </w:t>
      </w:r>
      <w:r>
        <w:rPr>
          <w:spacing w:val="8"/>
          <w:sz w:val="20"/>
          <w:szCs w:val="20"/>
        </w:rPr>
        <w:t>请报告的附件，是竣工验收申请报告的组成部分。</w:t>
      </w:r>
    </w:p>
    <w:p w14:paraId="6C0D3FE6">
      <w:pPr>
        <w:pStyle w:val="2"/>
        <w:spacing w:before="183" w:line="218" w:lineRule="auto"/>
        <w:rPr>
          <w:sz w:val="20"/>
          <w:szCs w:val="20"/>
        </w:rPr>
      </w:pPr>
      <w:r>
        <w:rPr>
          <w:spacing w:val="9"/>
          <w:sz w:val="20"/>
          <w:szCs w:val="20"/>
        </w:rPr>
        <w:t>15.2.2   竣工验收申请报告一般应当包括工程概况说明，承包范围，分包工程情况，</w:t>
      </w:r>
      <w:r>
        <w:rPr>
          <w:spacing w:val="8"/>
          <w:sz w:val="20"/>
          <w:szCs w:val="20"/>
        </w:rPr>
        <w:t>主要材料、</w:t>
      </w:r>
    </w:p>
    <w:p w14:paraId="0137F17D">
      <w:pPr>
        <w:spacing w:line="218" w:lineRule="auto"/>
        <w:rPr>
          <w:sz w:val="20"/>
          <w:szCs w:val="20"/>
        </w:rPr>
        <w:sectPr>
          <w:footerReference r:id="rId346" w:type="default"/>
          <w:pgSz w:w="11910" w:h="16840"/>
          <w:pgMar w:top="400" w:right="1529" w:bottom="1140" w:left="1460" w:header="0" w:footer="1023" w:gutter="0"/>
          <w:cols w:space="720" w:num="1"/>
        </w:sectPr>
      </w:pPr>
    </w:p>
    <w:p w14:paraId="099B6D3E">
      <w:pPr>
        <w:spacing w:line="276" w:lineRule="auto"/>
        <w:rPr>
          <w:rFonts w:ascii="Arial"/>
          <w:sz w:val="21"/>
        </w:rPr>
      </w:pPr>
    </w:p>
    <w:p w14:paraId="6D028C27">
      <w:pPr>
        <w:spacing w:line="276" w:lineRule="auto"/>
        <w:rPr>
          <w:rFonts w:ascii="Arial"/>
          <w:sz w:val="21"/>
        </w:rPr>
      </w:pPr>
    </w:p>
    <w:p w14:paraId="28246B2C">
      <w:pPr>
        <w:spacing w:line="276" w:lineRule="auto"/>
        <w:rPr>
          <w:rFonts w:ascii="Arial"/>
          <w:sz w:val="21"/>
        </w:rPr>
      </w:pPr>
    </w:p>
    <w:p w14:paraId="65889C1B">
      <w:pPr>
        <w:spacing w:line="276" w:lineRule="auto"/>
        <w:rPr>
          <w:rFonts w:ascii="Arial"/>
          <w:sz w:val="21"/>
        </w:rPr>
      </w:pPr>
    </w:p>
    <w:p w14:paraId="08D9BE61">
      <w:pPr>
        <w:spacing w:line="276" w:lineRule="auto"/>
        <w:rPr>
          <w:rFonts w:ascii="Arial"/>
          <w:sz w:val="21"/>
        </w:rPr>
      </w:pPr>
    </w:p>
    <w:p w14:paraId="7212F855">
      <w:pPr>
        <w:pStyle w:val="2"/>
        <w:spacing w:before="69" w:line="361" w:lineRule="auto"/>
        <w:ind w:left="929"/>
        <w:rPr>
          <w:sz w:val="21"/>
          <w:szCs w:val="21"/>
        </w:rPr>
      </w:pPr>
      <w:r>
        <w:rPr>
          <w:sz w:val="21"/>
          <w:szCs w:val="21"/>
        </w:rPr>
        <w:t>设备供应情况，采用的主要施工方法，新材料、新技术和</w:t>
      </w:r>
      <w:r>
        <w:rPr>
          <w:spacing w:val="-1"/>
          <w:sz w:val="21"/>
          <w:szCs w:val="21"/>
        </w:rPr>
        <w:t>新工艺采用情况，自检质量情</w:t>
      </w:r>
      <w:r>
        <w:rPr>
          <w:sz w:val="21"/>
          <w:szCs w:val="21"/>
        </w:rPr>
        <w:t xml:space="preserve"> 况等的说明。竣工验收申请报告的格式和应当包</w:t>
      </w:r>
      <w:r>
        <w:rPr>
          <w:spacing w:val="-1"/>
          <w:sz w:val="21"/>
          <w:szCs w:val="21"/>
        </w:rPr>
        <w:t>括的内容应事先经过监理人的审批。</w:t>
      </w:r>
    </w:p>
    <w:p w14:paraId="74095908">
      <w:pPr>
        <w:pStyle w:val="2"/>
        <w:spacing w:before="17" w:line="218" w:lineRule="auto"/>
        <w:rPr>
          <w:sz w:val="21"/>
          <w:szCs w:val="21"/>
        </w:rPr>
      </w:pPr>
      <w:r>
        <w:rPr>
          <w:spacing w:val="2"/>
          <w:sz w:val="21"/>
          <w:szCs w:val="21"/>
        </w:rPr>
        <w:t>15.2.3   竣工验收申请报告应当按通用合同条款第18.2款附上下列内容：</w:t>
      </w:r>
    </w:p>
    <w:p w14:paraId="247D207E">
      <w:pPr>
        <w:pStyle w:val="2"/>
        <w:spacing w:before="155" w:line="332" w:lineRule="auto"/>
        <w:ind w:left="1259" w:right="39" w:hanging="330"/>
        <w:rPr>
          <w:sz w:val="21"/>
          <w:szCs w:val="21"/>
        </w:rPr>
      </w:pPr>
      <w:r>
        <w:rPr>
          <w:spacing w:val="19"/>
          <w:sz w:val="21"/>
          <w:szCs w:val="21"/>
        </w:rPr>
        <w:t>(1)承包人的自行检查和评定记录文件，即除监理人同意</w:t>
      </w:r>
      <w:r>
        <w:rPr>
          <w:spacing w:val="18"/>
          <w:sz w:val="21"/>
          <w:szCs w:val="21"/>
        </w:rPr>
        <w:t>列入缺陷责任期内完成</w:t>
      </w:r>
      <w:r>
        <w:rPr>
          <w:sz w:val="21"/>
          <w:szCs w:val="21"/>
        </w:rPr>
        <w:t xml:space="preserve"> </w:t>
      </w:r>
      <w:r>
        <w:rPr>
          <w:spacing w:val="19"/>
          <w:sz w:val="21"/>
          <w:szCs w:val="21"/>
        </w:rPr>
        <w:t>的尾工(甩项)工程和缺陷修补工作外，合同范围内的全部单位工程以及有关</w:t>
      </w:r>
      <w:r>
        <w:rPr>
          <w:spacing w:val="12"/>
          <w:sz w:val="21"/>
          <w:szCs w:val="21"/>
        </w:rPr>
        <w:t xml:space="preserve"> </w:t>
      </w:r>
      <w:r>
        <w:rPr>
          <w:spacing w:val="20"/>
          <w:sz w:val="21"/>
          <w:szCs w:val="21"/>
        </w:rPr>
        <w:t>工作，包括合同要求的试验、试运行以及检验和验收均已完成，并符合合同</w:t>
      </w:r>
      <w:r>
        <w:rPr>
          <w:spacing w:val="7"/>
          <w:sz w:val="21"/>
          <w:szCs w:val="21"/>
        </w:rPr>
        <w:t xml:space="preserve"> </w:t>
      </w:r>
      <w:r>
        <w:rPr>
          <w:spacing w:val="4"/>
          <w:sz w:val="21"/>
          <w:szCs w:val="21"/>
        </w:rPr>
        <w:t>要求；</w:t>
      </w:r>
    </w:p>
    <w:p w14:paraId="287FE1F3">
      <w:pPr>
        <w:pStyle w:val="2"/>
        <w:spacing w:before="207" w:line="219" w:lineRule="auto"/>
        <w:ind w:left="1039"/>
        <w:rPr>
          <w:sz w:val="21"/>
          <w:szCs w:val="21"/>
        </w:rPr>
      </w:pPr>
      <w:r>
        <w:rPr>
          <w:spacing w:val="3"/>
          <w:sz w:val="21"/>
          <w:szCs w:val="21"/>
        </w:rPr>
        <w:t>(2)按专用合同条款第18.2(2)目约定的内容和份数整理的符合要求的竣工资料；</w:t>
      </w:r>
    </w:p>
    <w:p w14:paraId="09D9C471">
      <w:pPr>
        <w:pStyle w:val="2"/>
        <w:spacing w:before="181" w:line="308" w:lineRule="auto"/>
        <w:ind w:left="1468" w:right="97" w:hanging="429"/>
        <w:rPr>
          <w:sz w:val="21"/>
          <w:szCs w:val="21"/>
        </w:rPr>
      </w:pPr>
      <w:r>
        <w:rPr>
          <w:spacing w:val="2"/>
          <w:sz w:val="21"/>
          <w:szCs w:val="21"/>
        </w:rPr>
        <w:t>(3)按监理人的要求编制了在缺陷责任期内完成的尾工(甩项)工程和缺陷修补工作清</w:t>
      </w:r>
      <w:r>
        <w:rPr>
          <w:spacing w:val="16"/>
          <w:sz w:val="21"/>
          <w:szCs w:val="21"/>
        </w:rPr>
        <w:t xml:space="preserve"> </w:t>
      </w:r>
      <w:r>
        <w:rPr>
          <w:spacing w:val="-6"/>
          <w:sz w:val="21"/>
          <w:szCs w:val="21"/>
        </w:rPr>
        <w:t>单以及相应施工计划；</w:t>
      </w:r>
    </w:p>
    <w:p w14:paraId="5B1466F1">
      <w:pPr>
        <w:pStyle w:val="2"/>
        <w:spacing w:before="188" w:line="219" w:lineRule="auto"/>
        <w:ind w:left="1039"/>
        <w:rPr>
          <w:sz w:val="21"/>
          <w:szCs w:val="21"/>
        </w:rPr>
      </w:pPr>
      <w:r>
        <w:rPr>
          <w:spacing w:val="2"/>
          <w:sz w:val="21"/>
          <w:szCs w:val="21"/>
        </w:rPr>
        <w:t>(4)监理人要求在竣工验收前应完成的其他工作的证明材料；</w:t>
      </w:r>
    </w:p>
    <w:p w14:paraId="2718044A">
      <w:pPr>
        <w:pStyle w:val="2"/>
        <w:spacing w:before="172" w:line="219" w:lineRule="auto"/>
        <w:ind w:left="1039"/>
        <w:rPr>
          <w:sz w:val="21"/>
          <w:szCs w:val="21"/>
        </w:rPr>
      </w:pPr>
      <w:r>
        <w:rPr>
          <w:spacing w:val="2"/>
          <w:sz w:val="21"/>
          <w:szCs w:val="21"/>
        </w:rPr>
        <w:t>(5)监理人要求提交的竣工验收资料清单；</w:t>
      </w:r>
    </w:p>
    <w:p w14:paraId="28982408">
      <w:pPr>
        <w:pStyle w:val="2"/>
        <w:spacing w:before="191" w:line="219" w:lineRule="auto"/>
        <w:ind w:left="1039"/>
        <w:rPr>
          <w:sz w:val="21"/>
          <w:szCs w:val="21"/>
        </w:rPr>
      </w:pPr>
      <w:r>
        <w:rPr>
          <w:spacing w:val="6"/>
          <w:sz w:val="21"/>
          <w:szCs w:val="21"/>
        </w:rPr>
        <w:t>(6)通用合同条款第18.4.1项约定的单位工程竣工验收</w:t>
      </w:r>
      <w:r>
        <w:rPr>
          <w:spacing w:val="5"/>
          <w:sz w:val="21"/>
          <w:szCs w:val="21"/>
        </w:rPr>
        <w:t>成果和结论文件(如果有);</w:t>
      </w:r>
    </w:p>
    <w:p w14:paraId="6C9E2FBB">
      <w:pPr>
        <w:pStyle w:val="2"/>
        <w:spacing w:before="199" w:line="219" w:lineRule="auto"/>
        <w:ind w:left="1039"/>
        <w:rPr>
          <w:sz w:val="21"/>
          <w:szCs w:val="21"/>
        </w:rPr>
      </w:pPr>
      <w:r>
        <w:rPr>
          <w:spacing w:val="6"/>
          <w:sz w:val="21"/>
          <w:szCs w:val="21"/>
        </w:rPr>
        <w:t>(7)专用合同条款第19.7款约定的质量保修书(此前已经提交的不再提交);</w:t>
      </w:r>
    </w:p>
    <w:p w14:paraId="28F02D95">
      <w:pPr>
        <w:pStyle w:val="2"/>
        <w:spacing w:before="203" w:line="220" w:lineRule="auto"/>
        <w:ind w:left="1039"/>
        <w:rPr>
          <w:sz w:val="21"/>
          <w:szCs w:val="21"/>
        </w:rPr>
      </w:pPr>
      <w:r>
        <w:rPr>
          <w:spacing w:val="-1"/>
          <w:sz w:val="21"/>
          <w:szCs w:val="21"/>
        </w:rPr>
        <w:t xml:space="preserve">(8)其他： </w:t>
      </w:r>
      <w:r>
        <w:rPr>
          <w:sz w:val="21"/>
          <w:szCs w:val="21"/>
          <w:u w:val="single" w:color="auto"/>
        </w:rPr>
        <w:t xml:space="preserve">                                     </w:t>
      </w:r>
    </w:p>
    <w:p w14:paraId="4963B7F5">
      <w:pPr>
        <w:pStyle w:val="2"/>
        <w:spacing w:before="164" w:line="221" w:lineRule="auto"/>
        <w:ind w:left="3"/>
        <w:rPr>
          <w:rFonts w:ascii="黑体" w:hAnsi="黑体" w:eastAsia="黑体" w:cs="黑体"/>
          <w:sz w:val="21"/>
          <w:szCs w:val="21"/>
        </w:rPr>
      </w:pPr>
      <w:r>
        <w:rPr>
          <w:b/>
          <w:bCs/>
          <w:spacing w:val="9"/>
          <w:sz w:val="21"/>
          <w:szCs w:val="21"/>
        </w:rPr>
        <w:t>15.3</w:t>
      </w:r>
      <w:r>
        <w:rPr>
          <w:spacing w:val="6"/>
          <w:sz w:val="21"/>
          <w:szCs w:val="21"/>
        </w:rPr>
        <w:t xml:space="preserve">     </w:t>
      </w:r>
      <w:r>
        <w:rPr>
          <w:rFonts w:ascii="黑体" w:hAnsi="黑体" w:eastAsia="黑体" w:cs="黑体"/>
          <w:b/>
          <w:bCs/>
          <w:spacing w:val="9"/>
          <w:sz w:val="21"/>
          <w:szCs w:val="21"/>
        </w:rPr>
        <w:t>竣工清场</w:t>
      </w:r>
    </w:p>
    <w:p w14:paraId="40E05F46">
      <w:pPr>
        <w:pStyle w:val="2"/>
        <w:spacing w:before="164" w:line="308" w:lineRule="auto"/>
        <w:ind w:left="929" w:right="62" w:hanging="929"/>
        <w:rPr>
          <w:sz w:val="21"/>
          <w:szCs w:val="21"/>
        </w:rPr>
      </w:pPr>
      <w:r>
        <w:rPr>
          <w:spacing w:val="3"/>
          <w:sz w:val="21"/>
          <w:szCs w:val="21"/>
        </w:rPr>
        <w:t>15.3.1   监理人颁发(出具)工程接</w:t>
      </w:r>
      <w:r>
        <w:rPr>
          <w:spacing w:val="2"/>
          <w:sz w:val="21"/>
          <w:szCs w:val="21"/>
        </w:rPr>
        <w:t>收证书后，承包人应在56天内按以下要求对施工场地(现场)</w:t>
      </w:r>
      <w:r>
        <w:rPr>
          <w:sz w:val="21"/>
          <w:szCs w:val="21"/>
        </w:rPr>
        <w:t xml:space="preserve"> </w:t>
      </w:r>
      <w:r>
        <w:rPr>
          <w:spacing w:val="-9"/>
          <w:sz w:val="21"/>
          <w:szCs w:val="21"/>
        </w:rPr>
        <w:t>进行清理：</w:t>
      </w:r>
    </w:p>
    <w:p w14:paraId="6ACD9B14">
      <w:pPr>
        <w:pStyle w:val="2"/>
        <w:spacing w:before="189" w:line="219" w:lineRule="auto"/>
        <w:ind w:left="929"/>
        <w:rPr>
          <w:sz w:val="21"/>
          <w:szCs w:val="21"/>
        </w:rPr>
      </w:pPr>
      <w:r>
        <w:rPr>
          <w:spacing w:val="-3"/>
          <w:sz w:val="21"/>
          <w:szCs w:val="21"/>
        </w:rPr>
        <w:t>(1)从施工场地(现场)清除所有杂物和垃圾等；</w:t>
      </w:r>
    </w:p>
    <w:p w14:paraId="5739EA35">
      <w:pPr>
        <w:pStyle w:val="2"/>
        <w:spacing w:before="181" w:line="298" w:lineRule="auto"/>
        <w:ind w:left="1259" w:right="98" w:hanging="330"/>
        <w:rPr>
          <w:sz w:val="21"/>
          <w:szCs w:val="21"/>
        </w:rPr>
      </w:pPr>
      <w:r>
        <w:rPr>
          <w:sz w:val="21"/>
          <w:szCs w:val="21"/>
        </w:rPr>
        <w:t>(2)从施工场地现场拆除所有的临时工程和临时设施并恢复地面原状，但</w:t>
      </w:r>
      <w:r>
        <w:rPr>
          <w:spacing w:val="-1"/>
          <w:sz w:val="21"/>
          <w:szCs w:val="21"/>
        </w:rPr>
        <w:t>经监理人批准</w:t>
      </w:r>
      <w:r>
        <w:rPr>
          <w:sz w:val="21"/>
          <w:szCs w:val="21"/>
        </w:rPr>
        <w:t xml:space="preserve"> </w:t>
      </w:r>
      <w:r>
        <w:rPr>
          <w:spacing w:val="-1"/>
          <w:sz w:val="21"/>
          <w:szCs w:val="21"/>
        </w:rPr>
        <w:t>的护坡桩、锚杆、塔吊基础和无法拆除的埋入式模板等无法拆除的临时设施除外；</w:t>
      </w:r>
    </w:p>
    <w:p w14:paraId="4B673CCB">
      <w:pPr>
        <w:pStyle w:val="2"/>
        <w:spacing w:before="182" w:line="303" w:lineRule="auto"/>
        <w:ind w:left="1388" w:right="201" w:hanging="459"/>
        <w:rPr>
          <w:sz w:val="21"/>
          <w:szCs w:val="21"/>
        </w:rPr>
      </w:pPr>
      <w:r>
        <w:rPr>
          <w:sz w:val="21"/>
          <w:szCs w:val="21"/>
        </w:rPr>
        <w:t>(3)撤离所有承包人施工设备和剩余材料(经监理人同意需在缺陷责任期内</w:t>
      </w:r>
      <w:r>
        <w:rPr>
          <w:spacing w:val="-1"/>
          <w:sz w:val="21"/>
          <w:szCs w:val="21"/>
        </w:rPr>
        <w:t>继续使用的</w:t>
      </w:r>
      <w:r>
        <w:rPr>
          <w:sz w:val="21"/>
          <w:szCs w:val="21"/>
        </w:rPr>
        <w:t xml:space="preserve"> </w:t>
      </w:r>
      <w:r>
        <w:rPr>
          <w:spacing w:val="-5"/>
          <w:sz w:val="21"/>
          <w:szCs w:val="21"/>
        </w:rPr>
        <w:t>除外);</w:t>
      </w:r>
    </w:p>
    <w:p w14:paraId="6587541C">
      <w:pPr>
        <w:pStyle w:val="2"/>
        <w:spacing w:before="201" w:line="220" w:lineRule="auto"/>
        <w:ind w:left="929"/>
        <w:rPr>
          <w:sz w:val="21"/>
          <w:szCs w:val="21"/>
        </w:rPr>
      </w:pPr>
      <w:r>
        <w:rPr>
          <w:spacing w:val="-2"/>
          <w:sz w:val="21"/>
          <w:szCs w:val="21"/>
        </w:rPr>
        <w:t>(4)监理人指示的其他清场工作。</w:t>
      </w:r>
    </w:p>
    <w:p w14:paraId="70B47D21">
      <w:pPr>
        <w:spacing w:before="79" w:line="222" w:lineRule="auto"/>
        <w:ind w:left="4"/>
        <w:rPr>
          <w:rFonts w:ascii="黑体" w:hAnsi="黑体" w:eastAsia="黑体" w:cs="黑体"/>
          <w:sz w:val="28"/>
          <w:szCs w:val="28"/>
        </w:rPr>
      </w:pPr>
      <w:r>
        <w:rPr>
          <w:rFonts w:ascii="黑体" w:hAnsi="黑体" w:eastAsia="黑体" w:cs="黑体"/>
          <w:b/>
          <w:bCs/>
          <w:spacing w:val="-7"/>
          <w:sz w:val="28"/>
          <w:szCs w:val="28"/>
        </w:rPr>
        <w:t>16.其他要求</w:t>
      </w:r>
    </w:p>
    <w:p w14:paraId="436C41DF">
      <w:pPr>
        <w:spacing w:line="259" w:lineRule="auto"/>
        <w:rPr>
          <w:rFonts w:ascii="Arial"/>
          <w:sz w:val="21"/>
        </w:rPr>
      </w:pPr>
    </w:p>
    <w:p w14:paraId="719F3F9F">
      <w:pPr>
        <w:spacing w:line="260" w:lineRule="auto"/>
        <w:rPr>
          <w:rFonts w:ascii="Arial"/>
          <w:sz w:val="21"/>
        </w:rPr>
      </w:pPr>
    </w:p>
    <w:p w14:paraId="478084FA">
      <w:pPr>
        <w:spacing w:line="260" w:lineRule="auto"/>
        <w:rPr>
          <w:rFonts w:ascii="Arial"/>
          <w:sz w:val="21"/>
        </w:rPr>
      </w:pPr>
      <w:r>
        <w:drawing>
          <wp:anchor distT="0" distB="0" distL="0" distR="0" simplePos="0" relativeHeight="251758592" behindDoc="0" locked="0" layoutInCell="1" allowOverlap="1">
            <wp:simplePos x="0" y="0"/>
            <wp:positionH relativeFrom="column">
              <wp:posOffset>570865</wp:posOffset>
            </wp:positionH>
            <wp:positionV relativeFrom="paragraph">
              <wp:posOffset>84455</wp:posOffset>
            </wp:positionV>
            <wp:extent cx="4641850" cy="6350"/>
            <wp:effectExtent l="0" t="0" r="0" b="0"/>
            <wp:wrapNone/>
            <wp:docPr id="266" name="IM 266"/>
            <wp:cNvGraphicFramePr/>
            <a:graphic xmlns:a="http://schemas.openxmlformats.org/drawingml/2006/main">
              <a:graphicData uri="http://schemas.openxmlformats.org/drawingml/2006/picture">
                <pic:pic xmlns:pic="http://schemas.openxmlformats.org/drawingml/2006/picture">
                  <pic:nvPicPr>
                    <pic:cNvPr id="266" name="IM 266"/>
                    <pic:cNvPicPr/>
                  </pic:nvPicPr>
                  <pic:blipFill>
                    <a:blip r:embed="rId511"/>
                    <a:stretch>
                      <a:fillRect/>
                    </a:stretch>
                  </pic:blipFill>
                  <pic:spPr>
                    <a:xfrm>
                      <a:off x="0" y="0"/>
                      <a:ext cx="4641850" cy="6350"/>
                    </a:xfrm>
                    <a:prstGeom prst="rect">
                      <a:avLst/>
                    </a:prstGeom>
                  </pic:spPr>
                </pic:pic>
              </a:graphicData>
            </a:graphic>
          </wp:anchor>
        </w:drawing>
      </w:r>
    </w:p>
    <w:p w14:paraId="08BE022E">
      <w:pPr>
        <w:spacing w:line="260" w:lineRule="auto"/>
        <w:rPr>
          <w:rFonts w:ascii="Arial"/>
          <w:sz w:val="21"/>
        </w:rPr>
      </w:pPr>
    </w:p>
    <w:p w14:paraId="4240A1C0">
      <w:pPr>
        <w:spacing w:before="37" w:line="89" w:lineRule="exact"/>
        <w:ind w:left="8219"/>
        <w:rPr>
          <w:rFonts w:ascii="Times New Roman" w:hAnsi="Times New Roman" w:eastAsia="Times New Roman" w:cs="Times New Roman"/>
          <w:sz w:val="13"/>
          <w:szCs w:val="13"/>
        </w:rPr>
      </w:pPr>
      <w:r>
        <w:drawing>
          <wp:anchor distT="0" distB="0" distL="0" distR="0" simplePos="0" relativeHeight="251759616" behindDoc="0" locked="0" layoutInCell="1" allowOverlap="1">
            <wp:simplePos x="0" y="0"/>
            <wp:positionH relativeFrom="column">
              <wp:posOffset>589915</wp:posOffset>
            </wp:positionH>
            <wp:positionV relativeFrom="paragraph">
              <wp:posOffset>71755</wp:posOffset>
            </wp:positionV>
            <wp:extent cx="4610100" cy="6350"/>
            <wp:effectExtent l="0" t="0" r="0" b="0"/>
            <wp:wrapNone/>
            <wp:docPr id="268" name="IM 268"/>
            <wp:cNvGraphicFramePr/>
            <a:graphic xmlns:a="http://schemas.openxmlformats.org/drawingml/2006/main">
              <a:graphicData uri="http://schemas.openxmlformats.org/drawingml/2006/picture">
                <pic:pic xmlns:pic="http://schemas.openxmlformats.org/drawingml/2006/picture">
                  <pic:nvPicPr>
                    <pic:cNvPr id="268" name="IM 268"/>
                    <pic:cNvPicPr/>
                  </pic:nvPicPr>
                  <pic:blipFill>
                    <a:blip r:embed="rId512"/>
                    <a:stretch>
                      <a:fillRect/>
                    </a:stretch>
                  </pic:blipFill>
                  <pic:spPr>
                    <a:xfrm>
                      <a:off x="0" y="0"/>
                      <a:ext cx="4610085" cy="6350"/>
                    </a:xfrm>
                    <a:prstGeom prst="rect">
                      <a:avLst/>
                    </a:prstGeom>
                  </pic:spPr>
                </pic:pic>
              </a:graphicData>
            </a:graphic>
          </wp:anchor>
        </w:drawing>
      </w:r>
      <w:r>
        <w:rPr>
          <w:rFonts w:ascii="Times New Roman" w:hAnsi="Times New Roman" w:eastAsia="Times New Roman" w:cs="Times New Roman"/>
          <w:sz w:val="13"/>
          <w:szCs w:val="13"/>
        </w:rPr>
        <w:t>o</w:t>
      </w:r>
    </w:p>
    <w:p w14:paraId="234A5A6E">
      <w:pPr>
        <w:spacing w:line="89" w:lineRule="exact"/>
        <w:rPr>
          <w:rFonts w:ascii="Times New Roman" w:hAnsi="Times New Roman" w:eastAsia="Times New Roman" w:cs="Times New Roman"/>
          <w:sz w:val="13"/>
          <w:szCs w:val="13"/>
        </w:rPr>
        <w:sectPr>
          <w:footerReference r:id="rId347" w:type="default"/>
          <w:pgSz w:w="11910" w:h="16840"/>
          <w:pgMar w:top="400" w:right="1541" w:bottom="1140" w:left="1470" w:header="0" w:footer="1023" w:gutter="0"/>
          <w:cols w:space="720" w:num="1"/>
        </w:sectPr>
      </w:pPr>
    </w:p>
    <w:p w14:paraId="653A4FD4">
      <w:pPr>
        <w:spacing w:line="275" w:lineRule="auto"/>
        <w:rPr>
          <w:rFonts w:ascii="Arial"/>
          <w:sz w:val="21"/>
        </w:rPr>
      </w:pPr>
    </w:p>
    <w:p w14:paraId="468FB53B">
      <w:pPr>
        <w:spacing w:line="275" w:lineRule="auto"/>
        <w:rPr>
          <w:rFonts w:ascii="Arial"/>
          <w:sz w:val="21"/>
        </w:rPr>
      </w:pPr>
    </w:p>
    <w:p w14:paraId="49E2E1A9">
      <w:pPr>
        <w:spacing w:line="275" w:lineRule="auto"/>
        <w:rPr>
          <w:rFonts w:ascii="Arial"/>
          <w:sz w:val="21"/>
        </w:rPr>
      </w:pPr>
    </w:p>
    <w:p w14:paraId="31F0F014">
      <w:pPr>
        <w:spacing w:line="275" w:lineRule="auto"/>
        <w:rPr>
          <w:rFonts w:ascii="Arial"/>
          <w:sz w:val="21"/>
        </w:rPr>
      </w:pPr>
    </w:p>
    <w:p w14:paraId="0998C9CD">
      <w:pPr>
        <w:spacing w:line="276" w:lineRule="auto"/>
        <w:rPr>
          <w:rFonts w:ascii="Arial"/>
          <w:sz w:val="21"/>
        </w:rPr>
      </w:pPr>
    </w:p>
    <w:p w14:paraId="58FFA1EB">
      <w:pPr>
        <w:spacing w:before="91" w:line="222" w:lineRule="auto"/>
        <w:ind w:left="2739"/>
        <w:rPr>
          <w:rFonts w:ascii="黑体" w:hAnsi="黑体" w:eastAsia="黑体" w:cs="黑体"/>
          <w:sz w:val="28"/>
          <w:szCs w:val="28"/>
        </w:rPr>
      </w:pPr>
      <w:r>
        <w:rPr>
          <w:rFonts w:ascii="黑体" w:hAnsi="黑体" w:eastAsia="黑体" w:cs="黑体"/>
          <w:b/>
          <w:bCs/>
          <w:spacing w:val="2"/>
          <w:sz w:val="28"/>
          <w:szCs w:val="28"/>
        </w:rPr>
        <w:t>第二节</w:t>
      </w:r>
      <w:r>
        <w:rPr>
          <w:rFonts w:ascii="黑体" w:hAnsi="黑体" w:eastAsia="黑体" w:cs="黑体"/>
          <w:spacing w:val="117"/>
          <w:sz w:val="28"/>
          <w:szCs w:val="28"/>
        </w:rPr>
        <w:t xml:space="preserve"> </w:t>
      </w:r>
      <w:r>
        <w:rPr>
          <w:rFonts w:ascii="黑体" w:hAnsi="黑体" w:eastAsia="黑体" w:cs="黑体"/>
          <w:b/>
          <w:bCs/>
          <w:spacing w:val="2"/>
          <w:sz w:val="28"/>
          <w:szCs w:val="28"/>
        </w:rPr>
        <w:t>特殊技术标准和要求</w:t>
      </w:r>
    </w:p>
    <w:p w14:paraId="50B766C7">
      <w:pPr>
        <w:spacing w:line="459" w:lineRule="auto"/>
        <w:rPr>
          <w:rFonts w:ascii="Arial"/>
          <w:sz w:val="21"/>
        </w:rPr>
      </w:pPr>
    </w:p>
    <w:p w14:paraId="4569CEBB">
      <w:pPr>
        <w:pStyle w:val="2"/>
        <w:spacing w:before="91" w:line="222" w:lineRule="auto"/>
        <w:ind w:left="119"/>
        <w:rPr>
          <w:rFonts w:ascii="黑体" w:hAnsi="黑体" w:eastAsia="黑体" w:cs="黑体"/>
          <w:sz w:val="28"/>
          <w:szCs w:val="28"/>
        </w:rPr>
      </w:pPr>
      <w:r>
        <w:rPr>
          <w:b/>
          <w:bCs/>
          <w:sz w:val="28"/>
          <w:szCs w:val="28"/>
        </w:rPr>
        <w:t>1.</w:t>
      </w:r>
      <w:r>
        <w:rPr>
          <w:sz w:val="28"/>
          <w:szCs w:val="28"/>
        </w:rPr>
        <w:t xml:space="preserve"> </w:t>
      </w:r>
      <w:r>
        <w:rPr>
          <w:rFonts w:ascii="黑体" w:hAnsi="黑体" w:eastAsia="黑体" w:cs="黑体"/>
          <w:b/>
          <w:bCs/>
          <w:sz w:val="28"/>
          <w:szCs w:val="28"/>
        </w:rPr>
        <w:t>材料和工程设备技术要求</w:t>
      </w:r>
    </w:p>
    <w:p w14:paraId="39CABF25">
      <w:pPr>
        <w:pStyle w:val="2"/>
        <w:spacing w:before="215" w:line="219" w:lineRule="auto"/>
        <w:ind w:left="115"/>
        <w:rPr>
          <w:sz w:val="21"/>
          <w:szCs w:val="21"/>
        </w:rPr>
      </w:pPr>
      <w:r>
        <w:rPr>
          <w:spacing w:val="-1"/>
          <w:sz w:val="21"/>
          <w:szCs w:val="21"/>
        </w:rPr>
        <w:t>1.1      承包人自行施工范围内的部分材料和工程设备技术要求如下：</w:t>
      </w:r>
    </w:p>
    <w:p w14:paraId="5FE9396A">
      <w:pPr>
        <w:spacing w:before="221"/>
      </w:pPr>
    </w:p>
    <w:tbl>
      <w:tblPr>
        <w:tblStyle w:val="5"/>
        <w:tblW w:w="6600" w:type="dxa"/>
        <w:tblInd w:w="1024"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6600"/>
      </w:tblGrid>
      <w:tr w14:paraId="318EB73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89" w:hRule="atLeast"/>
        </w:trPr>
        <w:tc>
          <w:tcPr>
            <w:tcW w:w="6600" w:type="dxa"/>
            <w:tcBorders>
              <w:top w:val="single" w:color="000000" w:sz="2" w:space="0"/>
              <w:bottom w:val="single" w:color="000000" w:sz="2" w:space="0"/>
            </w:tcBorders>
            <w:vAlign w:val="top"/>
          </w:tcPr>
          <w:p w14:paraId="4B65C151">
            <w:pPr>
              <w:rPr>
                <w:rFonts w:ascii="Arial"/>
                <w:sz w:val="21"/>
              </w:rPr>
            </w:pPr>
          </w:p>
        </w:tc>
      </w:tr>
      <w:tr w14:paraId="49BBB5B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504" w:hRule="atLeast"/>
        </w:trPr>
        <w:tc>
          <w:tcPr>
            <w:tcW w:w="6600" w:type="dxa"/>
            <w:tcBorders>
              <w:top w:val="single" w:color="000000" w:sz="2" w:space="0"/>
              <w:bottom w:val="single" w:color="000000" w:sz="4" w:space="0"/>
            </w:tcBorders>
            <w:vAlign w:val="top"/>
          </w:tcPr>
          <w:p w14:paraId="0E0C7462">
            <w:pPr>
              <w:rPr>
                <w:rFonts w:ascii="Arial"/>
                <w:sz w:val="21"/>
              </w:rPr>
            </w:pPr>
          </w:p>
        </w:tc>
      </w:tr>
      <w:tr w14:paraId="094E70F7">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99" w:hRule="atLeast"/>
        </w:trPr>
        <w:tc>
          <w:tcPr>
            <w:tcW w:w="6600" w:type="dxa"/>
            <w:tcBorders>
              <w:top w:val="single" w:color="000000" w:sz="4" w:space="0"/>
              <w:bottom w:val="single" w:color="000000" w:sz="2" w:space="0"/>
            </w:tcBorders>
            <w:vAlign w:val="top"/>
          </w:tcPr>
          <w:p w14:paraId="0409B73B">
            <w:pPr>
              <w:rPr>
                <w:rFonts w:ascii="Arial"/>
                <w:sz w:val="21"/>
              </w:rPr>
            </w:pPr>
          </w:p>
        </w:tc>
      </w:tr>
      <w:tr w14:paraId="320F951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74" w:hRule="atLeast"/>
        </w:trPr>
        <w:tc>
          <w:tcPr>
            <w:tcW w:w="6600" w:type="dxa"/>
            <w:tcBorders>
              <w:top w:val="single" w:color="000000" w:sz="2" w:space="0"/>
              <w:bottom w:val="single" w:color="000000" w:sz="4" w:space="0"/>
            </w:tcBorders>
            <w:vAlign w:val="top"/>
          </w:tcPr>
          <w:p w14:paraId="6B8B6025">
            <w:pPr>
              <w:rPr>
                <w:rFonts w:ascii="Arial"/>
                <w:sz w:val="21"/>
              </w:rPr>
            </w:pPr>
          </w:p>
        </w:tc>
      </w:tr>
      <w:tr w14:paraId="0D04B58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99" w:hRule="atLeast"/>
        </w:trPr>
        <w:tc>
          <w:tcPr>
            <w:tcW w:w="6600" w:type="dxa"/>
            <w:tcBorders>
              <w:top w:val="single" w:color="000000" w:sz="4" w:space="0"/>
              <w:bottom w:val="single" w:color="000000" w:sz="2" w:space="0"/>
            </w:tcBorders>
            <w:vAlign w:val="top"/>
          </w:tcPr>
          <w:p w14:paraId="1D30B488">
            <w:pPr>
              <w:rPr>
                <w:rFonts w:ascii="Arial"/>
                <w:sz w:val="21"/>
              </w:rPr>
            </w:pPr>
          </w:p>
        </w:tc>
      </w:tr>
      <w:tr w14:paraId="7A59501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99" w:hRule="atLeast"/>
        </w:trPr>
        <w:tc>
          <w:tcPr>
            <w:tcW w:w="6600" w:type="dxa"/>
            <w:tcBorders>
              <w:top w:val="single" w:color="000000" w:sz="2" w:space="0"/>
              <w:bottom w:val="single" w:color="000000" w:sz="2" w:space="0"/>
            </w:tcBorders>
            <w:vAlign w:val="top"/>
          </w:tcPr>
          <w:p w14:paraId="39FB6B8B">
            <w:pPr>
              <w:rPr>
                <w:rFonts w:ascii="Arial"/>
                <w:sz w:val="21"/>
              </w:rPr>
            </w:pPr>
          </w:p>
        </w:tc>
      </w:tr>
    </w:tbl>
    <w:p w14:paraId="0B3A9D84">
      <w:pPr>
        <w:pStyle w:val="2"/>
        <w:spacing w:before="279" w:line="432" w:lineRule="auto"/>
        <w:ind w:left="1064"/>
        <w:jc w:val="both"/>
        <w:rPr>
          <w:sz w:val="21"/>
          <w:szCs w:val="21"/>
        </w:rPr>
      </w:pPr>
      <w:r>
        <w:rPr>
          <w:sz w:val="21"/>
          <w:szCs w:val="21"/>
        </w:rPr>
        <w:t>上述材料和工程设备技术要求中如果出现了参考品牌或规格型</w:t>
      </w:r>
      <w:r>
        <w:rPr>
          <w:spacing w:val="-1"/>
          <w:sz w:val="21"/>
          <w:szCs w:val="21"/>
        </w:rPr>
        <w:t>号，其目的是为了方便承</w:t>
      </w:r>
      <w:r>
        <w:rPr>
          <w:sz w:val="21"/>
          <w:szCs w:val="21"/>
        </w:rPr>
        <w:t xml:space="preserve"> 包人直观和准确地把握相应材料和工程设备的技术标准，不具指</w:t>
      </w:r>
      <w:r>
        <w:rPr>
          <w:spacing w:val="-1"/>
          <w:sz w:val="21"/>
          <w:szCs w:val="21"/>
        </w:rPr>
        <w:t>定或唯一的意思表示，</w:t>
      </w:r>
      <w:r>
        <w:rPr>
          <w:sz w:val="21"/>
          <w:szCs w:val="21"/>
        </w:rPr>
        <w:t xml:space="preserve"> 承包人应当参考所列品牌的材料和工程设备，采购相当于或高于</w:t>
      </w:r>
      <w:r>
        <w:rPr>
          <w:spacing w:val="-1"/>
          <w:sz w:val="21"/>
          <w:szCs w:val="21"/>
        </w:rPr>
        <w:t>所列品牌技术标准的材</w:t>
      </w:r>
      <w:r>
        <w:rPr>
          <w:sz w:val="21"/>
          <w:szCs w:val="21"/>
        </w:rPr>
        <w:t xml:space="preserve"> </w:t>
      </w:r>
      <w:r>
        <w:rPr>
          <w:spacing w:val="-2"/>
          <w:sz w:val="21"/>
          <w:szCs w:val="21"/>
        </w:rPr>
        <w:t>料和工程设备。</w:t>
      </w:r>
    </w:p>
    <w:p w14:paraId="333994E7">
      <w:pPr>
        <w:pStyle w:val="2"/>
        <w:spacing w:before="62" w:line="219" w:lineRule="auto"/>
        <w:ind w:left="115"/>
        <w:rPr>
          <w:sz w:val="20"/>
          <w:szCs w:val="20"/>
        </w:rPr>
      </w:pPr>
      <w:r>
        <w:rPr>
          <w:spacing w:val="-1"/>
          <w:position w:val="-2"/>
          <w:sz w:val="20"/>
          <w:szCs w:val="20"/>
        </w:rPr>
        <w:t>1.2</w:t>
      </w:r>
      <w:r>
        <w:rPr>
          <w:spacing w:val="16"/>
          <w:position w:val="-2"/>
          <w:sz w:val="20"/>
          <w:szCs w:val="20"/>
        </w:rPr>
        <w:t xml:space="preserve">      </w:t>
      </w:r>
      <w:r>
        <w:rPr>
          <w:spacing w:val="-1"/>
          <w:sz w:val="20"/>
          <w:szCs w:val="20"/>
        </w:rPr>
        <w:t>承包人自行施工范围内的材料和工程设备选型允许的偏离如下：</w:t>
      </w:r>
    </w:p>
    <w:tbl>
      <w:tblPr>
        <w:tblStyle w:val="5"/>
        <w:tblW w:w="872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373"/>
        <w:gridCol w:w="2108"/>
        <w:gridCol w:w="1748"/>
        <w:gridCol w:w="1738"/>
        <w:gridCol w:w="1753"/>
      </w:tblGrid>
      <w:tr w14:paraId="055D0B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1" w:hRule="atLeast"/>
        </w:trPr>
        <w:tc>
          <w:tcPr>
            <w:tcW w:w="1373" w:type="dxa"/>
            <w:vAlign w:val="top"/>
          </w:tcPr>
          <w:p w14:paraId="0E2909D0">
            <w:pPr>
              <w:spacing w:line="252" w:lineRule="auto"/>
              <w:rPr>
                <w:rFonts w:ascii="Arial"/>
                <w:sz w:val="21"/>
              </w:rPr>
            </w:pPr>
          </w:p>
          <w:p w14:paraId="14F844A7">
            <w:pPr>
              <w:pStyle w:val="6"/>
              <w:spacing w:before="71" w:line="221" w:lineRule="auto"/>
              <w:ind w:left="454"/>
              <w:rPr>
                <w:sz w:val="22"/>
                <w:szCs w:val="22"/>
              </w:rPr>
            </w:pPr>
            <w:r>
              <w:rPr>
                <w:spacing w:val="6"/>
                <w:sz w:val="22"/>
                <w:szCs w:val="22"/>
              </w:rPr>
              <w:t>序号</w:t>
            </w:r>
          </w:p>
        </w:tc>
        <w:tc>
          <w:tcPr>
            <w:tcW w:w="2108" w:type="dxa"/>
            <w:vAlign w:val="top"/>
          </w:tcPr>
          <w:p w14:paraId="7FFE980E">
            <w:pPr>
              <w:pStyle w:val="6"/>
              <w:spacing w:before="184" w:line="232" w:lineRule="auto"/>
              <w:ind w:left="822" w:right="294" w:hanging="550"/>
              <w:rPr>
                <w:sz w:val="22"/>
                <w:szCs w:val="22"/>
              </w:rPr>
            </w:pPr>
            <w:r>
              <w:rPr>
                <w:spacing w:val="-2"/>
                <w:sz w:val="22"/>
                <w:szCs w:val="22"/>
              </w:rPr>
              <w:t>材料和工程设备</w:t>
            </w:r>
            <w:r>
              <w:rPr>
                <w:spacing w:val="4"/>
                <w:sz w:val="22"/>
                <w:szCs w:val="22"/>
              </w:rPr>
              <w:t xml:space="preserve"> </w:t>
            </w:r>
            <w:r>
              <w:rPr>
                <w:spacing w:val="5"/>
                <w:sz w:val="22"/>
                <w:szCs w:val="22"/>
              </w:rPr>
              <w:t>名称</w:t>
            </w:r>
          </w:p>
        </w:tc>
        <w:tc>
          <w:tcPr>
            <w:tcW w:w="1748" w:type="dxa"/>
            <w:vAlign w:val="top"/>
          </w:tcPr>
          <w:p w14:paraId="5631E493">
            <w:pPr>
              <w:spacing w:line="251" w:lineRule="auto"/>
              <w:rPr>
                <w:rFonts w:ascii="Arial"/>
                <w:sz w:val="21"/>
              </w:rPr>
            </w:pPr>
          </w:p>
          <w:p w14:paraId="37E8C7A9">
            <w:pPr>
              <w:pStyle w:val="6"/>
              <w:spacing w:before="71" w:line="219" w:lineRule="auto"/>
              <w:ind w:left="463"/>
              <w:rPr>
                <w:sz w:val="22"/>
                <w:szCs w:val="22"/>
              </w:rPr>
            </w:pPr>
            <w:r>
              <w:rPr>
                <w:spacing w:val="-2"/>
                <w:sz w:val="22"/>
                <w:szCs w:val="22"/>
              </w:rPr>
              <w:t>技术指标</w:t>
            </w:r>
          </w:p>
        </w:tc>
        <w:tc>
          <w:tcPr>
            <w:tcW w:w="1738" w:type="dxa"/>
            <w:vAlign w:val="top"/>
          </w:tcPr>
          <w:p w14:paraId="1611F87A">
            <w:pPr>
              <w:spacing w:line="251" w:lineRule="auto"/>
              <w:rPr>
                <w:rFonts w:ascii="Arial"/>
                <w:sz w:val="21"/>
              </w:rPr>
            </w:pPr>
          </w:p>
          <w:p w14:paraId="682006B2">
            <w:pPr>
              <w:pStyle w:val="6"/>
              <w:spacing w:before="71" w:line="219" w:lineRule="auto"/>
              <w:ind w:left="266"/>
              <w:rPr>
                <w:sz w:val="22"/>
                <w:szCs w:val="22"/>
              </w:rPr>
            </w:pPr>
            <w:r>
              <w:rPr>
                <w:spacing w:val="3"/>
                <w:sz w:val="22"/>
                <w:szCs w:val="22"/>
              </w:rPr>
              <w:t>允许偏离范围</w:t>
            </w:r>
          </w:p>
        </w:tc>
        <w:tc>
          <w:tcPr>
            <w:tcW w:w="1753" w:type="dxa"/>
            <w:vAlign w:val="top"/>
          </w:tcPr>
          <w:p w14:paraId="5D6D8439">
            <w:pPr>
              <w:spacing w:line="252" w:lineRule="auto"/>
              <w:rPr>
                <w:rFonts w:ascii="Arial"/>
                <w:sz w:val="21"/>
              </w:rPr>
            </w:pPr>
          </w:p>
          <w:p w14:paraId="16C3D4F1">
            <w:pPr>
              <w:pStyle w:val="6"/>
              <w:spacing w:before="71" w:line="221" w:lineRule="auto"/>
              <w:ind w:left="487"/>
              <w:rPr>
                <w:sz w:val="22"/>
                <w:szCs w:val="22"/>
              </w:rPr>
            </w:pPr>
            <w:r>
              <w:rPr>
                <w:spacing w:val="-4"/>
                <w:sz w:val="22"/>
                <w:szCs w:val="22"/>
              </w:rPr>
              <w:t>备    注</w:t>
            </w:r>
          </w:p>
        </w:tc>
      </w:tr>
      <w:tr w14:paraId="1AD621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 w:hRule="atLeast"/>
        </w:trPr>
        <w:tc>
          <w:tcPr>
            <w:tcW w:w="1373" w:type="dxa"/>
            <w:vAlign w:val="top"/>
          </w:tcPr>
          <w:p w14:paraId="6AF91F76">
            <w:pPr>
              <w:pStyle w:val="6"/>
              <w:spacing w:before="84" w:line="205" w:lineRule="auto"/>
              <w:ind w:left="625"/>
              <w:rPr>
                <w:sz w:val="22"/>
                <w:szCs w:val="22"/>
              </w:rPr>
            </w:pPr>
            <w:r>
              <w:rPr>
                <w:sz w:val="22"/>
                <w:szCs w:val="22"/>
              </w:rPr>
              <w:t>1</w:t>
            </w:r>
          </w:p>
        </w:tc>
        <w:tc>
          <w:tcPr>
            <w:tcW w:w="2108" w:type="dxa"/>
            <w:vAlign w:val="top"/>
          </w:tcPr>
          <w:p w14:paraId="2604A5DB">
            <w:pPr>
              <w:rPr>
                <w:rFonts w:ascii="Arial"/>
                <w:sz w:val="21"/>
              </w:rPr>
            </w:pPr>
          </w:p>
        </w:tc>
        <w:tc>
          <w:tcPr>
            <w:tcW w:w="1748" w:type="dxa"/>
            <w:vAlign w:val="top"/>
          </w:tcPr>
          <w:p w14:paraId="30BBAC5A">
            <w:pPr>
              <w:rPr>
                <w:rFonts w:ascii="Arial"/>
                <w:sz w:val="21"/>
              </w:rPr>
            </w:pPr>
          </w:p>
        </w:tc>
        <w:tc>
          <w:tcPr>
            <w:tcW w:w="1738" w:type="dxa"/>
            <w:vAlign w:val="top"/>
          </w:tcPr>
          <w:p w14:paraId="3B04D538">
            <w:pPr>
              <w:rPr>
                <w:rFonts w:ascii="Arial"/>
                <w:sz w:val="21"/>
              </w:rPr>
            </w:pPr>
          </w:p>
        </w:tc>
        <w:tc>
          <w:tcPr>
            <w:tcW w:w="1753" w:type="dxa"/>
            <w:vAlign w:val="top"/>
          </w:tcPr>
          <w:p w14:paraId="3251B788">
            <w:pPr>
              <w:rPr>
                <w:rFonts w:ascii="Arial"/>
                <w:sz w:val="21"/>
              </w:rPr>
            </w:pPr>
          </w:p>
        </w:tc>
      </w:tr>
      <w:tr w14:paraId="482A17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trPr>
        <w:tc>
          <w:tcPr>
            <w:tcW w:w="1373" w:type="dxa"/>
            <w:vAlign w:val="top"/>
          </w:tcPr>
          <w:p w14:paraId="05875651">
            <w:pPr>
              <w:pStyle w:val="6"/>
              <w:spacing w:before="85" w:line="195" w:lineRule="auto"/>
              <w:ind w:left="625"/>
              <w:rPr>
                <w:sz w:val="22"/>
                <w:szCs w:val="22"/>
              </w:rPr>
            </w:pPr>
            <w:r>
              <w:rPr>
                <w:sz w:val="22"/>
                <w:szCs w:val="22"/>
              </w:rPr>
              <w:t>2</w:t>
            </w:r>
          </w:p>
        </w:tc>
        <w:tc>
          <w:tcPr>
            <w:tcW w:w="2108" w:type="dxa"/>
            <w:vAlign w:val="top"/>
          </w:tcPr>
          <w:p w14:paraId="6AD23881">
            <w:pPr>
              <w:rPr>
                <w:rFonts w:ascii="Arial"/>
                <w:sz w:val="21"/>
              </w:rPr>
            </w:pPr>
          </w:p>
        </w:tc>
        <w:tc>
          <w:tcPr>
            <w:tcW w:w="1748" w:type="dxa"/>
            <w:vAlign w:val="top"/>
          </w:tcPr>
          <w:p w14:paraId="267C1B1E">
            <w:pPr>
              <w:rPr>
                <w:rFonts w:ascii="Arial"/>
                <w:sz w:val="21"/>
              </w:rPr>
            </w:pPr>
          </w:p>
        </w:tc>
        <w:tc>
          <w:tcPr>
            <w:tcW w:w="1738" w:type="dxa"/>
            <w:vAlign w:val="top"/>
          </w:tcPr>
          <w:p w14:paraId="76914D54">
            <w:pPr>
              <w:rPr>
                <w:rFonts w:ascii="Arial"/>
                <w:sz w:val="21"/>
              </w:rPr>
            </w:pPr>
          </w:p>
        </w:tc>
        <w:tc>
          <w:tcPr>
            <w:tcW w:w="1753" w:type="dxa"/>
            <w:vAlign w:val="top"/>
          </w:tcPr>
          <w:p w14:paraId="63EBBBD3">
            <w:pPr>
              <w:rPr>
                <w:rFonts w:ascii="Arial"/>
                <w:sz w:val="21"/>
              </w:rPr>
            </w:pPr>
          </w:p>
        </w:tc>
      </w:tr>
      <w:tr w14:paraId="70948C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8" w:hRule="atLeast"/>
        </w:trPr>
        <w:tc>
          <w:tcPr>
            <w:tcW w:w="1373" w:type="dxa"/>
            <w:vAlign w:val="top"/>
          </w:tcPr>
          <w:p w14:paraId="281D80A9">
            <w:pPr>
              <w:pStyle w:val="6"/>
              <w:spacing w:before="87" w:line="202" w:lineRule="auto"/>
              <w:ind w:left="454"/>
              <w:rPr>
                <w:sz w:val="22"/>
                <w:szCs w:val="22"/>
              </w:rPr>
            </w:pPr>
            <w:r>
              <w:rPr>
                <w:spacing w:val="-6"/>
                <w:sz w:val="22"/>
                <w:szCs w:val="22"/>
              </w:rPr>
              <w:t>……</w:t>
            </w:r>
          </w:p>
        </w:tc>
        <w:tc>
          <w:tcPr>
            <w:tcW w:w="2108" w:type="dxa"/>
            <w:vAlign w:val="top"/>
          </w:tcPr>
          <w:p w14:paraId="303B43FC">
            <w:pPr>
              <w:rPr>
                <w:rFonts w:ascii="Arial"/>
                <w:sz w:val="21"/>
              </w:rPr>
            </w:pPr>
          </w:p>
        </w:tc>
        <w:tc>
          <w:tcPr>
            <w:tcW w:w="1748" w:type="dxa"/>
            <w:vAlign w:val="top"/>
          </w:tcPr>
          <w:p w14:paraId="1FC53352">
            <w:pPr>
              <w:rPr>
                <w:rFonts w:ascii="Arial"/>
                <w:sz w:val="21"/>
              </w:rPr>
            </w:pPr>
          </w:p>
        </w:tc>
        <w:tc>
          <w:tcPr>
            <w:tcW w:w="1738" w:type="dxa"/>
            <w:vAlign w:val="top"/>
          </w:tcPr>
          <w:p w14:paraId="00FA56C9">
            <w:pPr>
              <w:rPr>
                <w:rFonts w:ascii="Arial"/>
                <w:sz w:val="21"/>
              </w:rPr>
            </w:pPr>
          </w:p>
        </w:tc>
        <w:tc>
          <w:tcPr>
            <w:tcW w:w="1753" w:type="dxa"/>
            <w:vAlign w:val="top"/>
          </w:tcPr>
          <w:p w14:paraId="2B472B28">
            <w:pPr>
              <w:rPr>
                <w:rFonts w:ascii="Arial"/>
                <w:sz w:val="21"/>
              </w:rPr>
            </w:pPr>
          </w:p>
        </w:tc>
      </w:tr>
      <w:tr w14:paraId="35E322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 w:hRule="atLeast"/>
        </w:trPr>
        <w:tc>
          <w:tcPr>
            <w:tcW w:w="1373" w:type="dxa"/>
            <w:vAlign w:val="top"/>
          </w:tcPr>
          <w:p w14:paraId="7297950A">
            <w:pPr>
              <w:rPr>
                <w:rFonts w:ascii="Arial"/>
                <w:sz w:val="21"/>
              </w:rPr>
            </w:pPr>
          </w:p>
        </w:tc>
        <w:tc>
          <w:tcPr>
            <w:tcW w:w="2108" w:type="dxa"/>
            <w:vAlign w:val="top"/>
          </w:tcPr>
          <w:p w14:paraId="401C4193">
            <w:pPr>
              <w:rPr>
                <w:rFonts w:ascii="Arial"/>
                <w:sz w:val="21"/>
              </w:rPr>
            </w:pPr>
          </w:p>
        </w:tc>
        <w:tc>
          <w:tcPr>
            <w:tcW w:w="1748" w:type="dxa"/>
            <w:vAlign w:val="top"/>
          </w:tcPr>
          <w:p w14:paraId="52176050">
            <w:pPr>
              <w:rPr>
                <w:rFonts w:ascii="Arial"/>
                <w:sz w:val="21"/>
              </w:rPr>
            </w:pPr>
          </w:p>
        </w:tc>
        <w:tc>
          <w:tcPr>
            <w:tcW w:w="1738" w:type="dxa"/>
            <w:vAlign w:val="top"/>
          </w:tcPr>
          <w:p w14:paraId="1E119239">
            <w:pPr>
              <w:rPr>
                <w:rFonts w:ascii="Arial"/>
                <w:sz w:val="21"/>
              </w:rPr>
            </w:pPr>
          </w:p>
        </w:tc>
        <w:tc>
          <w:tcPr>
            <w:tcW w:w="1753" w:type="dxa"/>
            <w:vAlign w:val="top"/>
          </w:tcPr>
          <w:p w14:paraId="6EDF5C31">
            <w:pPr>
              <w:rPr>
                <w:rFonts w:ascii="Arial"/>
                <w:sz w:val="21"/>
              </w:rPr>
            </w:pPr>
          </w:p>
        </w:tc>
      </w:tr>
    </w:tbl>
    <w:p w14:paraId="69968EA5">
      <w:pPr>
        <w:pStyle w:val="2"/>
        <w:spacing w:before="253" w:line="219" w:lineRule="auto"/>
        <w:ind w:left="115"/>
        <w:rPr>
          <w:rFonts w:ascii="Arial" w:hAnsi="Arial" w:eastAsia="Arial" w:cs="Arial"/>
          <w:sz w:val="7"/>
          <w:szCs w:val="7"/>
        </w:rPr>
      </w:pPr>
      <w:r>
        <w:rPr>
          <w:rFonts w:ascii="Times New Roman" w:hAnsi="Times New Roman" w:eastAsia="Times New Roman" w:cs="Times New Roman"/>
          <w:spacing w:val="-2"/>
          <w:position w:val="1"/>
          <w:sz w:val="21"/>
          <w:szCs w:val="21"/>
        </w:rPr>
        <w:t xml:space="preserve">1.3             </w:t>
      </w:r>
      <w:r>
        <w:rPr>
          <w:spacing w:val="-2"/>
          <w:sz w:val="21"/>
          <w:szCs w:val="21"/>
        </w:rPr>
        <w:t>本工程施工现场</w:t>
      </w:r>
      <w:r>
        <w:rPr>
          <w:spacing w:val="-3"/>
          <w:sz w:val="21"/>
          <w:szCs w:val="21"/>
        </w:rPr>
        <w:t>所用混凝土或砂浆的供应方式为</w:t>
      </w:r>
      <w:r>
        <w:rPr>
          <w:spacing w:val="2"/>
          <w:sz w:val="21"/>
          <w:szCs w:val="21"/>
          <w:u w:val="single" w:color="auto"/>
        </w:rPr>
        <w:t xml:space="preserve">       </w:t>
      </w:r>
      <w:r>
        <w:rPr>
          <w:rFonts w:ascii="Arial" w:hAnsi="Arial" w:eastAsia="Arial" w:cs="Arial"/>
          <w:spacing w:val="-3"/>
          <w:position w:val="3"/>
          <w:sz w:val="7"/>
          <w:szCs w:val="7"/>
        </w:rPr>
        <w:t>_o</w:t>
      </w:r>
    </w:p>
    <w:p w14:paraId="287EAF6F">
      <w:pPr>
        <w:spacing w:line="242" w:lineRule="auto"/>
        <w:rPr>
          <w:rFonts w:ascii="Arial"/>
          <w:sz w:val="21"/>
        </w:rPr>
      </w:pPr>
    </w:p>
    <w:p w14:paraId="4B2E2455">
      <w:pPr>
        <w:spacing w:line="243" w:lineRule="auto"/>
        <w:rPr>
          <w:rFonts w:ascii="Arial"/>
          <w:sz w:val="21"/>
        </w:rPr>
      </w:pPr>
    </w:p>
    <w:p w14:paraId="66FD3153">
      <w:pPr>
        <w:pStyle w:val="2"/>
        <w:spacing w:before="91" w:line="222" w:lineRule="auto"/>
        <w:ind w:left="119"/>
        <w:rPr>
          <w:rFonts w:ascii="黑体" w:hAnsi="黑体" w:eastAsia="黑体" w:cs="黑体"/>
          <w:sz w:val="28"/>
          <w:szCs w:val="28"/>
        </w:rPr>
      </w:pPr>
      <w:r>
        <w:rPr>
          <w:b/>
          <w:bCs/>
          <w:spacing w:val="-6"/>
          <w:sz w:val="28"/>
          <w:szCs w:val="28"/>
        </w:rPr>
        <w:t>2.</w:t>
      </w:r>
      <w:r>
        <w:rPr>
          <w:rFonts w:ascii="黑体" w:hAnsi="黑体" w:eastAsia="黑体" w:cs="黑体"/>
          <w:b/>
          <w:bCs/>
          <w:spacing w:val="-6"/>
          <w:sz w:val="28"/>
          <w:szCs w:val="28"/>
        </w:rPr>
        <w:t>特殊技术要求</w:t>
      </w:r>
    </w:p>
    <w:p w14:paraId="3437A5DF">
      <w:pPr>
        <w:pStyle w:val="2"/>
        <w:spacing w:before="225" w:line="219" w:lineRule="auto"/>
        <w:ind w:left="115"/>
        <w:rPr>
          <w:sz w:val="21"/>
          <w:szCs w:val="21"/>
        </w:rPr>
      </w:pPr>
      <w:r>
        <w:rPr>
          <w:rFonts w:ascii="Times New Roman" w:hAnsi="Times New Roman" w:eastAsia="Times New Roman" w:cs="Times New Roman"/>
          <w:spacing w:val="-1"/>
          <w:sz w:val="21"/>
          <w:szCs w:val="21"/>
        </w:rPr>
        <w:t xml:space="preserve">2. 1              </w:t>
      </w:r>
      <w:r>
        <w:rPr>
          <w:spacing w:val="-1"/>
          <w:sz w:val="21"/>
          <w:szCs w:val="21"/>
        </w:rPr>
        <w:t>除合同约定的技术要求外，本工程的特殊技术要求如下：</w:t>
      </w:r>
    </w:p>
    <w:p w14:paraId="5EAD0248">
      <w:pPr>
        <w:spacing w:line="440" w:lineRule="auto"/>
        <w:rPr>
          <w:rFonts w:ascii="Arial"/>
          <w:sz w:val="21"/>
        </w:rPr>
      </w:pPr>
    </w:p>
    <w:p w14:paraId="6C8CB9F9">
      <w:pPr>
        <w:spacing w:before="1" w:line="520" w:lineRule="exact"/>
        <w:ind w:firstLine="1024"/>
      </w:pPr>
      <w:r>
        <w:rPr>
          <w:position w:val="-10"/>
        </w:rPr>
        <w:drawing>
          <wp:inline distT="0" distB="0" distL="0" distR="0">
            <wp:extent cx="4184650" cy="330200"/>
            <wp:effectExtent l="0" t="0" r="0" b="0"/>
            <wp:docPr id="270" name="IM 270"/>
            <wp:cNvGraphicFramePr/>
            <a:graphic xmlns:a="http://schemas.openxmlformats.org/drawingml/2006/main">
              <a:graphicData uri="http://schemas.openxmlformats.org/drawingml/2006/picture">
                <pic:pic xmlns:pic="http://schemas.openxmlformats.org/drawingml/2006/picture">
                  <pic:nvPicPr>
                    <pic:cNvPr id="270" name="IM 270"/>
                    <pic:cNvPicPr/>
                  </pic:nvPicPr>
                  <pic:blipFill>
                    <a:blip r:embed="rId518"/>
                    <a:stretch>
                      <a:fillRect/>
                    </a:stretch>
                  </pic:blipFill>
                  <pic:spPr>
                    <a:xfrm>
                      <a:off x="0" y="0"/>
                      <a:ext cx="4184676" cy="330211"/>
                    </a:xfrm>
                    <a:prstGeom prst="rect">
                      <a:avLst/>
                    </a:prstGeom>
                  </pic:spPr>
                </pic:pic>
              </a:graphicData>
            </a:graphic>
          </wp:inline>
        </w:drawing>
      </w:r>
    </w:p>
    <w:p w14:paraId="262F3DCD">
      <w:pPr>
        <w:spacing w:line="520" w:lineRule="exact"/>
        <w:sectPr>
          <w:footerReference r:id="rId348" w:type="default"/>
          <w:pgSz w:w="11910" w:h="16840"/>
          <w:pgMar w:top="400" w:right="1528" w:bottom="1147" w:left="1344" w:header="0" w:footer="1021" w:gutter="0"/>
          <w:cols w:space="720" w:num="1"/>
        </w:sectPr>
      </w:pPr>
    </w:p>
    <w:p w14:paraId="649A5CB6">
      <w:pPr>
        <w:spacing w:line="251" w:lineRule="auto"/>
        <w:rPr>
          <w:rFonts w:ascii="Arial"/>
          <w:sz w:val="21"/>
        </w:rPr>
      </w:pPr>
    </w:p>
    <w:p w14:paraId="0777B6D6">
      <w:pPr>
        <w:spacing w:line="251" w:lineRule="auto"/>
        <w:rPr>
          <w:rFonts w:ascii="Arial"/>
          <w:sz w:val="21"/>
        </w:rPr>
      </w:pPr>
    </w:p>
    <w:p w14:paraId="0F4217F6">
      <w:pPr>
        <w:spacing w:line="251" w:lineRule="auto"/>
        <w:rPr>
          <w:rFonts w:ascii="Arial"/>
          <w:sz w:val="21"/>
        </w:rPr>
      </w:pPr>
    </w:p>
    <w:p w14:paraId="1441CB89">
      <w:pPr>
        <w:spacing w:line="251" w:lineRule="auto"/>
        <w:rPr>
          <w:rFonts w:ascii="Arial"/>
          <w:sz w:val="21"/>
        </w:rPr>
      </w:pPr>
    </w:p>
    <w:p w14:paraId="1614A93B">
      <w:pPr>
        <w:spacing w:line="252" w:lineRule="auto"/>
        <w:rPr>
          <w:rFonts w:ascii="Arial"/>
          <w:sz w:val="21"/>
        </w:rPr>
      </w:pPr>
    </w:p>
    <w:p w14:paraId="1D8AFF13">
      <w:pPr>
        <w:pStyle w:val="2"/>
        <w:spacing w:before="91" w:line="221" w:lineRule="auto"/>
        <w:rPr>
          <w:rFonts w:ascii="黑体" w:hAnsi="黑体" w:eastAsia="黑体" w:cs="黑体"/>
          <w:sz w:val="28"/>
          <w:szCs w:val="28"/>
        </w:rPr>
      </w:pPr>
      <w:r>
        <w:rPr>
          <w:b/>
          <w:bCs/>
          <w:spacing w:val="-2"/>
          <w:sz w:val="28"/>
          <w:szCs w:val="28"/>
        </w:rPr>
        <w:t>3.</w:t>
      </w:r>
      <w:r>
        <w:rPr>
          <w:spacing w:val="49"/>
          <w:sz w:val="28"/>
          <w:szCs w:val="28"/>
        </w:rPr>
        <w:t xml:space="preserve"> </w:t>
      </w:r>
      <w:r>
        <w:rPr>
          <w:rFonts w:ascii="黑体" w:hAnsi="黑体" w:eastAsia="黑体" w:cs="黑体"/>
          <w:b/>
          <w:bCs/>
          <w:spacing w:val="-2"/>
          <w:sz w:val="28"/>
          <w:szCs w:val="28"/>
        </w:rPr>
        <w:t>新技术、新工艺和新材料</w:t>
      </w:r>
    </w:p>
    <w:p w14:paraId="7778F675">
      <w:pPr>
        <w:pStyle w:val="2"/>
        <w:spacing w:before="204" w:line="221" w:lineRule="auto"/>
        <w:rPr>
          <w:rFonts w:ascii="黑体" w:hAnsi="黑体" w:eastAsia="黑体" w:cs="黑体"/>
          <w:sz w:val="24"/>
          <w:szCs w:val="24"/>
        </w:rPr>
      </w:pPr>
      <w:r>
        <w:rPr>
          <w:b/>
          <w:bCs/>
          <w:spacing w:val="-3"/>
          <w:sz w:val="24"/>
          <w:szCs w:val="24"/>
        </w:rPr>
        <w:t>3.1</w:t>
      </w:r>
      <w:r>
        <w:rPr>
          <w:spacing w:val="-3"/>
          <w:sz w:val="24"/>
          <w:szCs w:val="24"/>
        </w:rPr>
        <w:t xml:space="preserve"> </w:t>
      </w:r>
      <w:r>
        <w:rPr>
          <w:rFonts w:ascii="黑体" w:hAnsi="黑体" w:eastAsia="黑体" w:cs="黑体"/>
          <w:b/>
          <w:bCs/>
          <w:spacing w:val="-3"/>
          <w:sz w:val="24"/>
          <w:szCs w:val="24"/>
        </w:rPr>
        <w:t>本工程涉及的新技术、新工艺和新材料及相应使用和操作说明如下：</w:t>
      </w:r>
    </w:p>
    <w:p w14:paraId="4C08ECDE">
      <w:pPr>
        <w:spacing w:line="435" w:lineRule="auto"/>
        <w:rPr>
          <w:rFonts w:ascii="Arial"/>
          <w:sz w:val="21"/>
        </w:rPr>
      </w:pPr>
    </w:p>
    <w:p w14:paraId="320AD85D">
      <w:pPr>
        <w:spacing w:line="530" w:lineRule="exact"/>
        <w:ind w:firstLine="916"/>
      </w:pPr>
      <w:r>
        <w:rPr>
          <w:position w:val="-10"/>
        </w:rPr>
        <w:drawing>
          <wp:inline distT="0" distB="0" distL="0" distR="0">
            <wp:extent cx="4184650" cy="336550"/>
            <wp:effectExtent l="0" t="0" r="0" b="0"/>
            <wp:docPr id="272" name="IM 272"/>
            <wp:cNvGraphicFramePr/>
            <a:graphic xmlns:a="http://schemas.openxmlformats.org/drawingml/2006/main">
              <a:graphicData uri="http://schemas.openxmlformats.org/drawingml/2006/picture">
                <pic:pic xmlns:pic="http://schemas.openxmlformats.org/drawingml/2006/picture">
                  <pic:nvPicPr>
                    <pic:cNvPr id="272" name="IM 272"/>
                    <pic:cNvPicPr/>
                  </pic:nvPicPr>
                  <pic:blipFill>
                    <a:blip r:embed="rId519"/>
                    <a:stretch>
                      <a:fillRect/>
                    </a:stretch>
                  </pic:blipFill>
                  <pic:spPr>
                    <a:xfrm>
                      <a:off x="0" y="0"/>
                      <a:ext cx="4184676" cy="336629"/>
                    </a:xfrm>
                    <a:prstGeom prst="rect">
                      <a:avLst/>
                    </a:prstGeom>
                  </pic:spPr>
                </pic:pic>
              </a:graphicData>
            </a:graphic>
          </wp:inline>
        </w:drawing>
      </w:r>
    </w:p>
    <w:p w14:paraId="27263AED">
      <w:pPr>
        <w:spacing w:line="260" w:lineRule="auto"/>
        <w:rPr>
          <w:rFonts w:ascii="Arial"/>
          <w:sz w:val="21"/>
        </w:rPr>
      </w:pPr>
    </w:p>
    <w:p w14:paraId="5348AA8F">
      <w:pPr>
        <w:spacing w:line="261" w:lineRule="auto"/>
        <w:rPr>
          <w:rFonts w:ascii="Arial"/>
          <w:sz w:val="21"/>
        </w:rPr>
      </w:pPr>
    </w:p>
    <w:p w14:paraId="4C8ECECC">
      <w:pPr>
        <w:pStyle w:val="2"/>
        <w:spacing w:before="91" w:line="222" w:lineRule="auto"/>
        <w:rPr>
          <w:rFonts w:ascii="黑体" w:hAnsi="黑体" w:eastAsia="黑体" w:cs="黑体"/>
          <w:sz w:val="28"/>
          <w:szCs w:val="28"/>
        </w:rPr>
      </w:pPr>
      <w:r>
        <w:rPr>
          <w:b/>
          <w:bCs/>
          <w:spacing w:val="-1"/>
          <w:sz w:val="28"/>
          <w:szCs w:val="28"/>
        </w:rPr>
        <w:t>4.</w:t>
      </w:r>
      <w:r>
        <w:rPr>
          <w:spacing w:val="41"/>
          <w:sz w:val="28"/>
          <w:szCs w:val="28"/>
        </w:rPr>
        <w:t xml:space="preserve"> </w:t>
      </w:r>
      <w:r>
        <w:rPr>
          <w:rFonts w:ascii="黑体" w:hAnsi="黑体" w:eastAsia="黑体" w:cs="黑体"/>
          <w:b/>
          <w:bCs/>
          <w:spacing w:val="-1"/>
          <w:sz w:val="28"/>
          <w:szCs w:val="28"/>
        </w:rPr>
        <w:t>其他特殊技术标准和要求</w:t>
      </w:r>
    </w:p>
    <w:p w14:paraId="545F32E9">
      <w:pPr>
        <w:spacing w:line="355" w:lineRule="auto"/>
        <w:rPr>
          <w:rFonts w:ascii="Arial"/>
          <w:sz w:val="21"/>
        </w:rPr>
      </w:pPr>
    </w:p>
    <w:p w14:paraId="0EB2F382">
      <w:pPr>
        <w:spacing w:line="2640" w:lineRule="exact"/>
        <w:ind w:firstLine="896"/>
      </w:pPr>
      <w:r>
        <w:rPr>
          <w:position w:val="-52"/>
        </w:rPr>
        <w:drawing>
          <wp:inline distT="0" distB="0" distL="0" distR="0">
            <wp:extent cx="4222750" cy="1676400"/>
            <wp:effectExtent l="0" t="0" r="0" b="0"/>
            <wp:docPr id="274" name="IM 274"/>
            <wp:cNvGraphicFramePr/>
            <a:graphic xmlns:a="http://schemas.openxmlformats.org/drawingml/2006/main">
              <a:graphicData uri="http://schemas.openxmlformats.org/drawingml/2006/picture">
                <pic:pic xmlns:pic="http://schemas.openxmlformats.org/drawingml/2006/picture">
                  <pic:nvPicPr>
                    <pic:cNvPr id="274" name="IM 274"/>
                    <pic:cNvPicPr/>
                  </pic:nvPicPr>
                  <pic:blipFill>
                    <a:blip r:embed="rId520"/>
                    <a:stretch>
                      <a:fillRect/>
                    </a:stretch>
                  </pic:blipFill>
                  <pic:spPr>
                    <a:xfrm>
                      <a:off x="0" y="0"/>
                      <a:ext cx="4222793" cy="1676404"/>
                    </a:xfrm>
                    <a:prstGeom prst="rect">
                      <a:avLst/>
                    </a:prstGeom>
                  </pic:spPr>
                </pic:pic>
              </a:graphicData>
            </a:graphic>
          </wp:inline>
        </w:drawing>
      </w:r>
    </w:p>
    <w:p w14:paraId="535E6E92">
      <w:pPr>
        <w:spacing w:line="2640" w:lineRule="exact"/>
        <w:sectPr>
          <w:footerReference r:id="rId349" w:type="default"/>
          <w:pgSz w:w="11910" w:h="16840"/>
          <w:pgMar w:top="400" w:right="1786" w:bottom="1147" w:left="1453" w:header="0" w:footer="1021" w:gutter="0"/>
          <w:cols w:space="720" w:num="1"/>
        </w:sectPr>
      </w:pPr>
    </w:p>
    <w:p w14:paraId="73B2DFC4">
      <w:pPr>
        <w:spacing w:line="272" w:lineRule="auto"/>
        <w:rPr>
          <w:rFonts w:ascii="Arial"/>
          <w:sz w:val="21"/>
        </w:rPr>
      </w:pPr>
    </w:p>
    <w:p w14:paraId="2F0F226A">
      <w:pPr>
        <w:spacing w:line="272" w:lineRule="auto"/>
        <w:rPr>
          <w:rFonts w:ascii="Arial"/>
          <w:sz w:val="21"/>
        </w:rPr>
      </w:pPr>
    </w:p>
    <w:p w14:paraId="53A8D648">
      <w:pPr>
        <w:spacing w:line="272" w:lineRule="auto"/>
        <w:rPr>
          <w:rFonts w:ascii="Arial"/>
          <w:sz w:val="21"/>
        </w:rPr>
      </w:pPr>
    </w:p>
    <w:p w14:paraId="540BE6DE">
      <w:pPr>
        <w:spacing w:line="273" w:lineRule="auto"/>
        <w:rPr>
          <w:rFonts w:ascii="Arial"/>
          <w:sz w:val="21"/>
        </w:rPr>
      </w:pPr>
    </w:p>
    <w:p w14:paraId="17B11628">
      <w:pPr>
        <w:spacing w:line="273" w:lineRule="auto"/>
        <w:rPr>
          <w:rFonts w:ascii="Arial"/>
          <w:sz w:val="21"/>
        </w:rPr>
      </w:pPr>
    </w:p>
    <w:p w14:paraId="1422ACEC">
      <w:pPr>
        <w:spacing w:before="94" w:line="221" w:lineRule="auto"/>
        <w:ind w:left="1094"/>
        <w:rPr>
          <w:rFonts w:ascii="黑体" w:hAnsi="黑体" w:eastAsia="黑体" w:cs="黑体"/>
          <w:sz w:val="29"/>
          <w:szCs w:val="29"/>
        </w:rPr>
      </w:pPr>
      <w:r>
        <w:rPr>
          <w:rFonts w:ascii="黑体" w:hAnsi="黑体" w:eastAsia="黑体" w:cs="黑体"/>
          <w:b/>
          <w:bCs/>
          <w:spacing w:val="-10"/>
          <w:sz w:val="29"/>
          <w:szCs w:val="29"/>
        </w:rPr>
        <w:t>第三节</w:t>
      </w:r>
      <w:r>
        <w:rPr>
          <w:rFonts w:ascii="黑体" w:hAnsi="黑体" w:eastAsia="黑体" w:cs="黑体"/>
          <w:spacing w:val="103"/>
          <w:sz w:val="29"/>
          <w:szCs w:val="29"/>
        </w:rPr>
        <w:t xml:space="preserve"> </w:t>
      </w:r>
      <w:r>
        <w:rPr>
          <w:rFonts w:ascii="黑体" w:hAnsi="黑体" w:eastAsia="黑体" w:cs="黑体"/>
          <w:b/>
          <w:bCs/>
          <w:spacing w:val="-10"/>
          <w:sz w:val="29"/>
          <w:szCs w:val="29"/>
        </w:rPr>
        <w:t>适用的国家、行业以及地方规范、标准和规程</w:t>
      </w:r>
    </w:p>
    <w:p w14:paraId="47B77F27">
      <w:pPr>
        <w:spacing w:line="281" w:lineRule="auto"/>
        <w:rPr>
          <w:rFonts w:ascii="Arial"/>
          <w:sz w:val="21"/>
        </w:rPr>
      </w:pPr>
    </w:p>
    <w:p w14:paraId="0947AD33">
      <w:pPr>
        <w:spacing w:line="281" w:lineRule="auto"/>
        <w:rPr>
          <w:rFonts w:ascii="Arial"/>
          <w:sz w:val="21"/>
        </w:rPr>
      </w:pPr>
    </w:p>
    <w:p w14:paraId="49000413">
      <w:pPr>
        <w:spacing w:line="281" w:lineRule="auto"/>
        <w:rPr>
          <w:rFonts w:ascii="Arial"/>
          <w:sz w:val="21"/>
        </w:rPr>
      </w:pPr>
    </w:p>
    <w:p w14:paraId="41594EC8">
      <w:pPr>
        <w:spacing w:line="282" w:lineRule="auto"/>
        <w:rPr>
          <w:rFonts w:ascii="Arial"/>
          <w:sz w:val="21"/>
        </w:rPr>
      </w:pPr>
    </w:p>
    <w:p w14:paraId="7B5A3850">
      <w:pPr>
        <w:pStyle w:val="2"/>
        <w:spacing w:before="68" w:line="443" w:lineRule="auto"/>
        <w:ind w:firstLine="3"/>
        <w:rPr>
          <w:sz w:val="21"/>
          <w:szCs w:val="21"/>
        </w:rPr>
      </w:pPr>
      <w:r>
        <w:rPr>
          <w:rFonts w:ascii="黑体" w:hAnsi="黑体" w:eastAsia="黑体" w:cs="黑体"/>
          <w:b/>
          <w:bCs/>
          <w:sz w:val="21"/>
          <w:szCs w:val="21"/>
        </w:rPr>
        <w:t>说</w:t>
      </w:r>
      <w:r>
        <w:rPr>
          <w:rFonts w:ascii="黑体" w:hAnsi="黑体" w:eastAsia="黑体" w:cs="黑体"/>
          <w:spacing w:val="-31"/>
          <w:sz w:val="21"/>
          <w:szCs w:val="21"/>
        </w:rPr>
        <w:t xml:space="preserve"> </w:t>
      </w:r>
      <w:r>
        <w:rPr>
          <w:rFonts w:ascii="黑体" w:hAnsi="黑体" w:eastAsia="黑体" w:cs="黑体"/>
          <w:b/>
          <w:bCs/>
          <w:sz w:val="21"/>
          <w:szCs w:val="21"/>
        </w:rPr>
        <w:t>明</w:t>
      </w:r>
      <w:r>
        <w:rPr>
          <w:b/>
          <w:bCs/>
          <w:sz w:val="21"/>
          <w:szCs w:val="21"/>
        </w:rPr>
        <w:t>：</w:t>
      </w:r>
      <w:r>
        <w:rPr>
          <w:sz w:val="21"/>
          <w:szCs w:val="21"/>
        </w:rPr>
        <w:t>本节内容只需列出规范、标准、规程等的名称、编号等</w:t>
      </w:r>
      <w:r>
        <w:rPr>
          <w:spacing w:val="-1"/>
          <w:sz w:val="21"/>
          <w:szCs w:val="21"/>
        </w:rPr>
        <w:t>内容。本节由招标人根据国家、行</w:t>
      </w:r>
      <w:r>
        <w:rPr>
          <w:sz w:val="21"/>
          <w:szCs w:val="21"/>
        </w:rPr>
        <w:t xml:space="preserve"> </w:t>
      </w:r>
      <w:r>
        <w:rPr>
          <w:spacing w:val="-1"/>
          <w:sz w:val="21"/>
          <w:szCs w:val="21"/>
        </w:rPr>
        <w:t>业和地方现行标准、规范和规程等，以及项目具体情况摘录。</w:t>
      </w:r>
    </w:p>
    <w:p w14:paraId="25AD8AC7">
      <w:pPr>
        <w:spacing w:line="443" w:lineRule="auto"/>
        <w:rPr>
          <w:sz w:val="21"/>
          <w:szCs w:val="21"/>
        </w:rPr>
        <w:sectPr>
          <w:footerReference r:id="rId350" w:type="default"/>
          <w:pgSz w:w="11910" w:h="16840"/>
          <w:pgMar w:top="400" w:right="1559" w:bottom="1147" w:left="1460" w:header="0" w:footer="1021" w:gutter="0"/>
          <w:cols w:space="720" w:num="1"/>
        </w:sectPr>
      </w:pPr>
    </w:p>
    <w:p w14:paraId="751FFD39">
      <w:pPr>
        <w:spacing w:line="277" w:lineRule="auto"/>
        <w:rPr>
          <w:rFonts w:ascii="Arial"/>
          <w:sz w:val="21"/>
        </w:rPr>
      </w:pPr>
    </w:p>
    <w:p w14:paraId="119F91AA">
      <w:pPr>
        <w:spacing w:line="277" w:lineRule="auto"/>
        <w:rPr>
          <w:rFonts w:ascii="Arial"/>
          <w:sz w:val="21"/>
        </w:rPr>
      </w:pPr>
    </w:p>
    <w:p w14:paraId="7875D0C4">
      <w:pPr>
        <w:spacing w:line="278" w:lineRule="auto"/>
        <w:rPr>
          <w:rFonts w:ascii="Arial"/>
          <w:sz w:val="21"/>
        </w:rPr>
      </w:pPr>
    </w:p>
    <w:p w14:paraId="6E8BE3B6">
      <w:pPr>
        <w:spacing w:line="278" w:lineRule="auto"/>
        <w:rPr>
          <w:rFonts w:ascii="Arial"/>
          <w:sz w:val="21"/>
        </w:rPr>
      </w:pPr>
    </w:p>
    <w:p w14:paraId="2B3FC301">
      <w:pPr>
        <w:spacing w:line="278" w:lineRule="auto"/>
        <w:rPr>
          <w:rFonts w:ascii="Arial"/>
          <w:sz w:val="21"/>
        </w:rPr>
      </w:pPr>
    </w:p>
    <w:p w14:paraId="71369D54">
      <w:pPr>
        <w:spacing w:before="78" w:line="222" w:lineRule="auto"/>
        <w:ind w:left="3"/>
        <w:rPr>
          <w:rFonts w:ascii="黑体" w:hAnsi="黑体" w:eastAsia="黑体" w:cs="黑体"/>
          <w:sz w:val="24"/>
          <w:szCs w:val="24"/>
        </w:rPr>
      </w:pPr>
      <w:r>
        <w:rPr>
          <w:rFonts w:ascii="黑体" w:hAnsi="黑体" w:eastAsia="黑体" w:cs="黑体"/>
          <w:b/>
          <w:bCs/>
          <w:spacing w:val="-3"/>
          <w:sz w:val="24"/>
          <w:szCs w:val="24"/>
        </w:rPr>
        <w:t>附件</w:t>
      </w:r>
      <w:r>
        <w:rPr>
          <w:rFonts w:ascii="黑体" w:hAnsi="黑体" w:eastAsia="黑体" w:cs="黑体"/>
          <w:spacing w:val="-50"/>
          <w:sz w:val="24"/>
          <w:szCs w:val="24"/>
        </w:rPr>
        <w:t xml:space="preserve"> </w:t>
      </w:r>
      <w:r>
        <w:rPr>
          <w:rFonts w:ascii="Times New Roman" w:hAnsi="Times New Roman" w:eastAsia="Times New Roman" w:cs="Times New Roman"/>
          <w:b/>
          <w:bCs/>
          <w:spacing w:val="-3"/>
          <w:sz w:val="24"/>
          <w:szCs w:val="24"/>
        </w:rPr>
        <w:t>A:</w:t>
      </w:r>
      <w:r>
        <w:rPr>
          <w:rFonts w:ascii="Times New Roman" w:hAnsi="Times New Roman" w:eastAsia="Times New Roman" w:cs="Times New Roman"/>
          <w:b/>
          <w:bCs/>
          <w:spacing w:val="52"/>
          <w:w w:val="101"/>
          <w:sz w:val="24"/>
          <w:szCs w:val="24"/>
        </w:rPr>
        <w:t xml:space="preserve"> </w:t>
      </w:r>
      <w:r>
        <w:rPr>
          <w:rFonts w:ascii="黑体" w:hAnsi="黑体" w:eastAsia="黑体" w:cs="黑体"/>
          <w:b/>
          <w:bCs/>
          <w:spacing w:val="-3"/>
          <w:sz w:val="24"/>
          <w:szCs w:val="24"/>
        </w:rPr>
        <w:t>施工现场现状平面图</w:t>
      </w:r>
    </w:p>
    <w:p w14:paraId="08B469BD">
      <w:pPr>
        <w:spacing w:line="329" w:lineRule="auto"/>
        <w:rPr>
          <w:rFonts w:ascii="Arial"/>
          <w:sz w:val="21"/>
        </w:rPr>
      </w:pPr>
    </w:p>
    <w:p w14:paraId="623DE00A">
      <w:pPr>
        <w:spacing w:line="329" w:lineRule="auto"/>
        <w:rPr>
          <w:rFonts w:ascii="Arial"/>
          <w:sz w:val="21"/>
        </w:rPr>
      </w:pPr>
    </w:p>
    <w:p w14:paraId="4C99D285">
      <w:pPr>
        <w:pStyle w:val="2"/>
        <w:spacing w:before="68" w:line="451" w:lineRule="auto"/>
        <w:ind w:firstLine="3"/>
        <w:rPr>
          <w:sz w:val="21"/>
          <w:szCs w:val="21"/>
        </w:rPr>
      </w:pPr>
      <w:r>
        <w:rPr>
          <w:rFonts w:ascii="黑体" w:hAnsi="黑体" w:eastAsia="黑体" w:cs="黑体"/>
          <w:b/>
          <w:bCs/>
          <w:sz w:val="21"/>
          <w:szCs w:val="21"/>
        </w:rPr>
        <w:t>说明</w:t>
      </w:r>
      <w:r>
        <w:rPr>
          <w:b/>
          <w:bCs/>
          <w:sz w:val="21"/>
          <w:szCs w:val="21"/>
        </w:rPr>
        <w:t>：</w:t>
      </w:r>
      <w:r>
        <w:rPr>
          <w:sz w:val="21"/>
          <w:szCs w:val="21"/>
        </w:rPr>
        <w:t>该图由招标人准备，并作为招标文件本章的组成内容提供给投标人。图中应当标示本章第</w:t>
      </w:r>
      <w:r>
        <w:rPr>
          <w:spacing w:val="13"/>
          <w:sz w:val="21"/>
          <w:szCs w:val="21"/>
        </w:rPr>
        <w:t xml:space="preserve"> </w:t>
      </w:r>
      <w:r>
        <w:rPr>
          <w:spacing w:val="4"/>
          <w:sz w:val="21"/>
          <w:szCs w:val="21"/>
        </w:rPr>
        <w:t>一节第1.2.1项规定的内容，并做必要的文字说明。</w:t>
      </w:r>
    </w:p>
    <w:p w14:paraId="24C0EB21">
      <w:pPr>
        <w:spacing w:line="451" w:lineRule="auto"/>
        <w:rPr>
          <w:sz w:val="21"/>
          <w:szCs w:val="21"/>
        </w:rPr>
        <w:sectPr>
          <w:footerReference r:id="rId351" w:type="default"/>
          <w:pgSz w:w="11910" w:h="16840"/>
          <w:pgMar w:top="400" w:right="1595" w:bottom="1147" w:left="1470" w:header="0" w:footer="1021" w:gutter="0"/>
          <w:cols w:space="720" w:num="1"/>
        </w:sectPr>
      </w:pPr>
    </w:p>
    <w:p w14:paraId="1618ABC8">
      <w:pPr>
        <w:spacing w:line="293" w:lineRule="auto"/>
        <w:rPr>
          <w:rFonts w:ascii="Arial"/>
          <w:sz w:val="21"/>
        </w:rPr>
      </w:pPr>
    </w:p>
    <w:p w14:paraId="078A4795">
      <w:pPr>
        <w:spacing w:line="294" w:lineRule="auto"/>
        <w:rPr>
          <w:rFonts w:ascii="Arial"/>
          <w:sz w:val="21"/>
        </w:rPr>
      </w:pPr>
    </w:p>
    <w:p w14:paraId="4F81E6EE">
      <w:pPr>
        <w:spacing w:line="294" w:lineRule="auto"/>
        <w:rPr>
          <w:rFonts w:ascii="Arial"/>
          <w:sz w:val="21"/>
        </w:rPr>
      </w:pPr>
    </w:p>
    <w:p w14:paraId="7A512564">
      <w:pPr>
        <w:spacing w:line="294" w:lineRule="auto"/>
        <w:rPr>
          <w:rFonts w:ascii="Arial"/>
          <w:sz w:val="21"/>
        </w:rPr>
      </w:pPr>
    </w:p>
    <w:p w14:paraId="5847A2DC">
      <w:pPr>
        <w:spacing w:before="146" w:line="222" w:lineRule="auto"/>
        <w:ind w:left="3429"/>
        <w:outlineLvl w:val="0"/>
        <w:rPr>
          <w:rFonts w:ascii="黑体" w:hAnsi="黑体" w:eastAsia="黑体" w:cs="黑体"/>
          <w:sz w:val="45"/>
          <w:szCs w:val="45"/>
        </w:rPr>
      </w:pPr>
      <w:bookmarkStart w:id="321" w:name="bookmark342"/>
      <w:bookmarkEnd w:id="321"/>
      <w:bookmarkStart w:id="322" w:name="bookmark215"/>
      <w:bookmarkEnd w:id="322"/>
      <w:r>
        <w:rPr>
          <w:rFonts w:ascii="黑体" w:hAnsi="黑体" w:eastAsia="黑体" w:cs="黑体"/>
          <w:b/>
          <w:bCs/>
          <w:spacing w:val="6"/>
          <w:sz w:val="45"/>
          <w:szCs w:val="45"/>
        </w:rPr>
        <w:t>第四卷</w:t>
      </w:r>
    </w:p>
    <w:p w14:paraId="41FB50F2">
      <w:pPr>
        <w:spacing w:line="222" w:lineRule="auto"/>
        <w:rPr>
          <w:rFonts w:ascii="黑体" w:hAnsi="黑体" w:eastAsia="黑体" w:cs="黑体"/>
          <w:sz w:val="45"/>
          <w:szCs w:val="45"/>
        </w:rPr>
        <w:sectPr>
          <w:footerReference r:id="rId352" w:type="default"/>
          <w:pgSz w:w="11910" w:h="16840"/>
          <w:pgMar w:top="400" w:right="1786" w:bottom="1147" w:left="1786" w:header="0" w:footer="1021" w:gutter="0"/>
          <w:cols w:space="720" w:num="1"/>
        </w:sectPr>
      </w:pPr>
    </w:p>
    <w:p w14:paraId="0466B315">
      <w:pPr>
        <w:spacing w:line="243" w:lineRule="auto"/>
        <w:rPr>
          <w:rFonts w:ascii="Arial"/>
          <w:sz w:val="21"/>
        </w:rPr>
      </w:pPr>
    </w:p>
    <w:p w14:paraId="78BAD5FF">
      <w:pPr>
        <w:spacing w:line="243" w:lineRule="auto"/>
        <w:rPr>
          <w:rFonts w:ascii="Arial"/>
          <w:sz w:val="21"/>
        </w:rPr>
      </w:pPr>
    </w:p>
    <w:p w14:paraId="4611248C">
      <w:pPr>
        <w:spacing w:line="243" w:lineRule="auto"/>
        <w:rPr>
          <w:rFonts w:ascii="Arial"/>
          <w:sz w:val="21"/>
        </w:rPr>
      </w:pPr>
    </w:p>
    <w:p w14:paraId="48848831">
      <w:pPr>
        <w:spacing w:line="243" w:lineRule="auto"/>
        <w:rPr>
          <w:rFonts w:ascii="Arial"/>
          <w:sz w:val="21"/>
        </w:rPr>
      </w:pPr>
    </w:p>
    <w:p w14:paraId="4565DF49">
      <w:pPr>
        <w:spacing w:line="243" w:lineRule="auto"/>
        <w:rPr>
          <w:rFonts w:ascii="Arial"/>
          <w:sz w:val="21"/>
        </w:rPr>
      </w:pPr>
    </w:p>
    <w:p w14:paraId="480B36EC">
      <w:pPr>
        <w:spacing w:before="104" w:line="222" w:lineRule="auto"/>
        <w:ind w:left="2518"/>
        <w:outlineLvl w:val="0"/>
        <w:rPr>
          <w:rFonts w:ascii="黑体" w:hAnsi="黑体" w:eastAsia="黑体" w:cs="黑体"/>
          <w:sz w:val="32"/>
          <w:szCs w:val="32"/>
        </w:rPr>
      </w:pPr>
      <w:bookmarkStart w:id="323" w:name="bookmark343"/>
      <w:bookmarkEnd w:id="323"/>
      <w:bookmarkStart w:id="324" w:name="bookmark216"/>
      <w:bookmarkEnd w:id="324"/>
      <w:r>
        <w:rPr>
          <w:rFonts w:ascii="黑体" w:hAnsi="黑体" w:eastAsia="黑体" w:cs="黑体"/>
          <w:b/>
          <w:bCs/>
          <w:sz w:val="32"/>
          <w:szCs w:val="32"/>
        </w:rPr>
        <w:t>第八章</w:t>
      </w:r>
      <w:r>
        <w:rPr>
          <w:rFonts w:ascii="黑体" w:hAnsi="黑体" w:eastAsia="黑体" w:cs="黑体"/>
          <w:sz w:val="32"/>
          <w:szCs w:val="32"/>
        </w:rPr>
        <w:t xml:space="preserve">  </w:t>
      </w:r>
      <w:r>
        <w:rPr>
          <w:rFonts w:ascii="黑体" w:hAnsi="黑体" w:eastAsia="黑体" w:cs="黑体"/>
          <w:b/>
          <w:bCs/>
          <w:sz w:val="32"/>
          <w:szCs w:val="32"/>
        </w:rPr>
        <w:t>投标文件格式</w:t>
      </w:r>
    </w:p>
    <w:p w14:paraId="5F8A1E9F">
      <w:pPr>
        <w:spacing w:line="222" w:lineRule="auto"/>
        <w:rPr>
          <w:rFonts w:ascii="黑体" w:hAnsi="黑体" w:eastAsia="黑体" w:cs="黑体"/>
          <w:sz w:val="32"/>
          <w:szCs w:val="32"/>
        </w:rPr>
        <w:sectPr>
          <w:footerReference r:id="rId353" w:type="default"/>
          <w:pgSz w:w="11910" w:h="16840"/>
          <w:pgMar w:top="400" w:right="1786" w:bottom="1147" w:left="1786" w:header="0" w:footer="1021" w:gutter="0"/>
          <w:cols w:space="720" w:num="1"/>
        </w:sectPr>
      </w:pPr>
    </w:p>
    <w:p w14:paraId="742FD1BF">
      <w:pPr>
        <w:spacing w:line="268" w:lineRule="auto"/>
        <w:rPr>
          <w:rFonts w:ascii="Arial"/>
          <w:sz w:val="21"/>
        </w:rPr>
      </w:pPr>
    </w:p>
    <w:p w14:paraId="442F0C1E">
      <w:pPr>
        <w:spacing w:line="268" w:lineRule="auto"/>
        <w:rPr>
          <w:rFonts w:ascii="Arial"/>
          <w:sz w:val="21"/>
        </w:rPr>
      </w:pPr>
    </w:p>
    <w:p w14:paraId="22ADAF40">
      <w:pPr>
        <w:spacing w:line="268" w:lineRule="auto"/>
        <w:rPr>
          <w:rFonts w:ascii="Arial"/>
          <w:sz w:val="21"/>
        </w:rPr>
      </w:pPr>
    </w:p>
    <w:p w14:paraId="3DBC7D3D">
      <w:pPr>
        <w:spacing w:line="268" w:lineRule="auto"/>
        <w:rPr>
          <w:rFonts w:ascii="Arial"/>
          <w:sz w:val="21"/>
        </w:rPr>
      </w:pPr>
    </w:p>
    <w:p w14:paraId="54F00BF2">
      <w:pPr>
        <w:spacing w:line="268" w:lineRule="auto"/>
        <w:rPr>
          <w:rFonts w:ascii="Arial"/>
          <w:sz w:val="21"/>
        </w:rPr>
      </w:pPr>
    </w:p>
    <w:p w14:paraId="2EB32CA2">
      <w:pPr>
        <w:spacing w:line="268" w:lineRule="auto"/>
        <w:rPr>
          <w:rFonts w:ascii="Arial"/>
          <w:sz w:val="21"/>
        </w:rPr>
      </w:pPr>
    </w:p>
    <w:p w14:paraId="7099FD6E">
      <w:pPr>
        <w:spacing w:line="268" w:lineRule="auto"/>
        <w:rPr>
          <w:rFonts w:ascii="Arial"/>
          <w:sz w:val="21"/>
        </w:rPr>
      </w:pPr>
    </w:p>
    <w:p w14:paraId="2312CE37">
      <w:pPr>
        <w:spacing w:line="269" w:lineRule="auto"/>
        <w:rPr>
          <w:rFonts w:ascii="Arial"/>
          <w:sz w:val="21"/>
        </w:rPr>
      </w:pPr>
    </w:p>
    <w:p w14:paraId="4832593C">
      <w:pPr>
        <w:pStyle w:val="2"/>
        <w:tabs>
          <w:tab w:val="left" w:pos="2173"/>
        </w:tabs>
        <w:spacing w:before="91" w:line="223" w:lineRule="auto"/>
        <w:ind w:left="683"/>
        <w:rPr>
          <w:rFonts w:ascii="黑体" w:hAnsi="黑体" w:eastAsia="黑体" w:cs="黑体"/>
          <w:sz w:val="28"/>
          <w:szCs w:val="28"/>
        </w:rPr>
      </w:pPr>
      <w:r>
        <w:rPr>
          <w:sz w:val="28"/>
          <w:szCs w:val="28"/>
          <w:u w:val="single" w:color="auto"/>
        </w:rPr>
        <w:tab/>
      </w:r>
      <w:r>
        <w:rPr>
          <w:spacing w:val="-6"/>
          <w:sz w:val="28"/>
          <w:szCs w:val="28"/>
        </w:rPr>
        <w:t xml:space="preserve"> </w:t>
      </w:r>
      <w:r>
        <w:rPr>
          <w:spacing w:val="7"/>
          <w:sz w:val="28"/>
          <w:szCs w:val="28"/>
        </w:rPr>
        <w:t>(项目名称)</w:t>
      </w:r>
      <w:r>
        <w:rPr>
          <w:spacing w:val="-61"/>
          <w:sz w:val="28"/>
          <w:szCs w:val="28"/>
        </w:rPr>
        <w:t xml:space="preserve"> </w:t>
      </w:r>
      <w:r>
        <w:rPr>
          <w:spacing w:val="5"/>
          <w:sz w:val="28"/>
          <w:szCs w:val="28"/>
          <w:u w:val="single" w:color="auto"/>
        </w:rPr>
        <w:t xml:space="preserve">      </w:t>
      </w:r>
      <w:r>
        <w:rPr>
          <w:spacing w:val="7"/>
          <w:sz w:val="28"/>
          <w:szCs w:val="28"/>
        </w:rPr>
        <w:t xml:space="preserve"> (标段名称)</w:t>
      </w:r>
      <w:r>
        <w:rPr>
          <w:spacing w:val="-77"/>
          <w:sz w:val="28"/>
          <w:szCs w:val="28"/>
        </w:rPr>
        <w:t xml:space="preserve"> </w:t>
      </w:r>
      <w:r>
        <w:rPr>
          <w:rFonts w:ascii="黑体" w:hAnsi="黑体" w:eastAsia="黑体" w:cs="黑体"/>
          <w:b/>
          <w:bCs/>
          <w:spacing w:val="7"/>
          <w:sz w:val="28"/>
          <w:szCs w:val="28"/>
        </w:rPr>
        <w:t>施工招标</w:t>
      </w:r>
    </w:p>
    <w:p w14:paraId="5E5AE9BA">
      <w:pPr>
        <w:spacing w:before="320" w:line="222" w:lineRule="auto"/>
        <w:ind w:left="2609"/>
        <w:rPr>
          <w:rFonts w:ascii="黑体" w:hAnsi="黑体" w:eastAsia="黑体" w:cs="黑体"/>
          <w:sz w:val="41"/>
          <w:szCs w:val="41"/>
        </w:rPr>
      </w:pPr>
      <w:r>
        <w:rPr>
          <w:rFonts w:ascii="黑体" w:hAnsi="黑体" w:eastAsia="黑体" w:cs="黑体"/>
          <w:b/>
          <w:bCs/>
          <w:spacing w:val="-15"/>
          <w:sz w:val="41"/>
          <w:szCs w:val="41"/>
        </w:rPr>
        <w:t>投</w:t>
      </w:r>
      <w:r>
        <w:rPr>
          <w:rFonts w:ascii="黑体" w:hAnsi="黑体" w:eastAsia="黑体" w:cs="黑体"/>
          <w:spacing w:val="26"/>
          <w:sz w:val="41"/>
          <w:szCs w:val="41"/>
        </w:rPr>
        <w:t xml:space="preserve">  </w:t>
      </w:r>
      <w:r>
        <w:rPr>
          <w:rFonts w:ascii="黑体" w:hAnsi="黑体" w:eastAsia="黑体" w:cs="黑体"/>
          <w:b/>
          <w:bCs/>
          <w:spacing w:val="-15"/>
          <w:sz w:val="41"/>
          <w:szCs w:val="41"/>
        </w:rPr>
        <w:t>标</w:t>
      </w:r>
      <w:r>
        <w:rPr>
          <w:rFonts w:ascii="黑体" w:hAnsi="黑体" w:eastAsia="黑体" w:cs="黑体"/>
          <w:spacing w:val="39"/>
          <w:sz w:val="41"/>
          <w:szCs w:val="41"/>
        </w:rPr>
        <w:t xml:space="preserve">  </w:t>
      </w:r>
      <w:r>
        <w:rPr>
          <w:rFonts w:ascii="黑体" w:hAnsi="黑体" w:eastAsia="黑体" w:cs="黑体"/>
          <w:b/>
          <w:bCs/>
          <w:spacing w:val="-15"/>
          <w:sz w:val="41"/>
          <w:szCs w:val="41"/>
        </w:rPr>
        <w:t>文</w:t>
      </w:r>
      <w:r>
        <w:rPr>
          <w:rFonts w:ascii="黑体" w:hAnsi="黑体" w:eastAsia="黑体" w:cs="黑体"/>
          <w:spacing w:val="35"/>
          <w:sz w:val="41"/>
          <w:szCs w:val="41"/>
        </w:rPr>
        <w:t xml:space="preserve">  </w:t>
      </w:r>
      <w:r>
        <w:rPr>
          <w:rFonts w:ascii="黑体" w:hAnsi="黑体" w:eastAsia="黑体" w:cs="黑体"/>
          <w:b/>
          <w:bCs/>
          <w:spacing w:val="-15"/>
          <w:sz w:val="41"/>
          <w:szCs w:val="41"/>
        </w:rPr>
        <w:t>件</w:t>
      </w:r>
    </w:p>
    <w:p w14:paraId="563AECED">
      <w:pPr>
        <w:spacing w:line="247" w:lineRule="auto"/>
        <w:rPr>
          <w:rFonts w:ascii="Arial"/>
          <w:sz w:val="21"/>
        </w:rPr>
      </w:pPr>
    </w:p>
    <w:p w14:paraId="7B2EC49E">
      <w:pPr>
        <w:spacing w:line="247" w:lineRule="auto"/>
        <w:rPr>
          <w:rFonts w:ascii="Arial"/>
          <w:sz w:val="21"/>
        </w:rPr>
      </w:pPr>
    </w:p>
    <w:p w14:paraId="298D497B">
      <w:pPr>
        <w:spacing w:line="247" w:lineRule="auto"/>
        <w:rPr>
          <w:rFonts w:ascii="Arial"/>
          <w:sz w:val="21"/>
        </w:rPr>
      </w:pPr>
    </w:p>
    <w:p w14:paraId="2A569681">
      <w:pPr>
        <w:spacing w:line="247" w:lineRule="auto"/>
        <w:rPr>
          <w:rFonts w:ascii="Arial"/>
          <w:sz w:val="21"/>
        </w:rPr>
      </w:pPr>
    </w:p>
    <w:p w14:paraId="7776F52A">
      <w:pPr>
        <w:spacing w:line="247" w:lineRule="auto"/>
        <w:rPr>
          <w:rFonts w:ascii="Arial"/>
          <w:sz w:val="21"/>
        </w:rPr>
      </w:pPr>
    </w:p>
    <w:p w14:paraId="72D21DE7">
      <w:pPr>
        <w:spacing w:line="247" w:lineRule="auto"/>
        <w:rPr>
          <w:rFonts w:ascii="Arial"/>
          <w:sz w:val="21"/>
        </w:rPr>
      </w:pPr>
    </w:p>
    <w:p w14:paraId="543EA850">
      <w:pPr>
        <w:spacing w:line="247" w:lineRule="auto"/>
        <w:rPr>
          <w:rFonts w:ascii="Arial"/>
          <w:sz w:val="21"/>
        </w:rPr>
      </w:pPr>
    </w:p>
    <w:p w14:paraId="62189401">
      <w:pPr>
        <w:spacing w:line="247" w:lineRule="auto"/>
        <w:rPr>
          <w:rFonts w:ascii="Arial"/>
          <w:sz w:val="21"/>
        </w:rPr>
      </w:pPr>
    </w:p>
    <w:p w14:paraId="7FCF8808">
      <w:pPr>
        <w:spacing w:line="248" w:lineRule="auto"/>
        <w:rPr>
          <w:rFonts w:ascii="Arial"/>
          <w:sz w:val="21"/>
        </w:rPr>
      </w:pPr>
    </w:p>
    <w:p w14:paraId="171177BE">
      <w:pPr>
        <w:spacing w:before="91" w:line="371" w:lineRule="auto"/>
        <w:ind w:left="553" w:right="686"/>
        <w:rPr>
          <w:rFonts w:ascii="黑体" w:hAnsi="黑体" w:eastAsia="黑体" w:cs="黑体"/>
          <w:sz w:val="28"/>
          <w:szCs w:val="28"/>
        </w:rPr>
      </w:pPr>
      <w:r>
        <w:rPr>
          <w:rFonts w:ascii="黑体" w:hAnsi="黑体" w:eastAsia="黑体" w:cs="黑体"/>
          <w:spacing w:val="9"/>
          <w:sz w:val="27"/>
          <w:szCs w:val="27"/>
        </w:rPr>
        <w:t>投标人：</w:t>
      </w:r>
      <w:r>
        <w:rPr>
          <w:rFonts w:ascii="黑体" w:hAnsi="黑体" w:eastAsia="黑体" w:cs="黑体"/>
          <w:spacing w:val="-54"/>
          <w:sz w:val="27"/>
          <w:szCs w:val="27"/>
        </w:rPr>
        <w:t xml:space="preserve"> </w:t>
      </w:r>
      <w:r>
        <w:rPr>
          <w:rFonts w:ascii="黑体" w:hAnsi="黑体" w:eastAsia="黑体" w:cs="黑体"/>
          <w:spacing w:val="4"/>
          <w:sz w:val="27"/>
          <w:szCs w:val="27"/>
          <w:u w:val="single" w:color="auto"/>
        </w:rPr>
        <w:t xml:space="preserve">                     </w:t>
      </w:r>
      <w:r>
        <w:rPr>
          <w:rFonts w:ascii="黑体" w:hAnsi="黑体" w:eastAsia="黑体" w:cs="黑体"/>
          <w:spacing w:val="3"/>
          <w:sz w:val="27"/>
          <w:szCs w:val="27"/>
          <w:u w:val="single" w:color="auto"/>
        </w:rPr>
        <w:t xml:space="preserve">          </w:t>
      </w:r>
      <w:r>
        <w:rPr>
          <w:rFonts w:ascii="黑体" w:hAnsi="黑体" w:eastAsia="黑体" w:cs="黑体"/>
          <w:spacing w:val="9"/>
          <w:sz w:val="27"/>
          <w:szCs w:val="27"/>
        </w:rPr>
        <w:t xml:space="preserve"> </w:t>
      </w:r>
      <w:r>
        <w:rPr>
          <w:rFonts w:ascii="黑体" w:hAnsi="黑体" w:eastAsia="黑体" w:cs="黑体"/>
          <w:spacing w:val="9"/>
          <w:sz w:val="28"/>
          <w:szCs w:val="28"/>
        </w:rPr>
        <w:t>(盖单位章)</w:t>
      </w:r>
      <w:r>
        <w:rPr>
          <w:rFonts w:ascii="黑体" w:hAnsi="黑体" w:eastAsia="黑体" w:cs="黑体"/>
          <w:spacing w:val="1"/>
          <w:sz w:val="28"/>
          <w:szCs w:val="28"/>
        </w:rPr>
        <w:t xml:space="preserve"> </w:t>
      </w:r>
      <w:r>
        <w:rPr>
          <w:rFonts w:ascii="黑体" w:hAnsi="黑体" w:eastAsia="黑体" w:cs="黑体"/>
          <w:spacing w:val="6"/>
          <w:sz w:val="28"/>
          <w:szCs w:val="28"/>
        </w:rPr>
        <w:t>法定代表人：</w:t>
      </w:r>
      <w:r>
        <w:rPr>
          <w:rFonts w:ascii="黑体" w:hAnsi="黑体" w:eastAsia="黑体" w:cs="黑体"/>
          <w:spacing w:val="6"/>
          <w:sz w:val="28"/>
          <w:szCs w:val="28"/>
          <w:u w:val="single" w:color="auto"/>
        </w:rPr>
        <w:t xml:space="preserve">                        </w:t>
      </w:r>
      <w:r>
        <w:rPr>
          <w:rFonts w:ascii="黑体" w:hAnsi="黑体" w:eastAsia="黑体" w:cs="黑体"/>
          <w:spacing w:val="5"/>
          <w:sz w:val="28"/>
          <w:szCs w:val="28"/>
          <w:u w:val="single" w:color="auto"/>
        </w:rPr>
        <w:t xml:space="preserve">      </w:t>
      </w:r>
      <w:r>
        <w:rPr>
          <w:rFonts w:ascii="黑体" w:hAnsi="黑体" w:eastAsia="黑体" w:cs="黑体"/>
          <w:spacing w:val="5"/>
          <w:sz w:val="28"/>
          <w:szCs w:val="28"/>
        </w:rPr>
        <w:t xml:space="preserve"> (签字)</w:t>
      </w:r>
    </w:p>
    <w:p w14:paraId="24D60C1B">
      <w:pPr>
        <w:tabs>
          <w:tab w:val="left" w:pos="3072"/>
        </w:tabs>
        <w:spacing w:before="328" w:line="231" w:lineRule="auto"/>
        <w:ind w:left="1803"/>
        <w:rPr>
          <w:rFonts w:ascii="黑体" w:hAnsi="黑体" w:eastAsia="黑体" w:cs="黑体"/>
          <w:sz w:val="28"/>
          <w:szCs w:val="28"/>
        </w:rPr>
      </w:pPr>
      <w:r>
        <w:rPr>
          <w:rFonts w:ascii="黑体" w:hAnsi="黑体" w:eastAsia="黑体" w:cs="黑体"/>
          <w:position w:val="-1"/>
          <w:sz w:val="28"/>
          <w:szCs w:val="28"/>
          <w:u w:val="single" w:color="auto"/>
        </w:rPr>
        <w:tab/>
      </w:r>
      <w:r>
        <w:rPr>
          <w:rFonts w:ascii="黑体" w:hAnsi="黑体" w:eastAsia="黑体" w:cs="黑体"/>
          <w:spacing w:val="-11"/>
          <w:position w:val="-1"/>
          <w:sz w:val="28"/>
          <w:szCs w:val="28"/>
        </w:rPr>
        <w:t>年</w:t>
      </w:r>
      <w:r>
        <w:rPr>
          <w:rFonts w:ascii="黑体" w:hAnsi="黑体" w:eastAsia="黑体" w:cs="黑体"/>
          <w:spacing w:val="-117"/>
          <w:position w:val="-1"/>
          <w:sz w:val="28"/>
          <w:szCs w:val="28"/>
        </w:rPr>
        <w:t xml:space="preserve"> </w:t>
      </w:r>
      <w:r>
        <w:rPr>
          <w:rFonts w:ascii="黑体" w:hAnsi="黑体" w:eastAsia="黑体" w:cs="黑体"/>
          <w:spacing w:val="16"/>
          <w:position w:val="-1"/>
          <w:sz w:val="28"/>
          <w:szCs w:val="28"/>
          <w:u w:val="single" w:color="auto"/>
        </w:rPr>
        <w:t xml:space="preserve">        </w:t>
      </w:r>
      <w:r>
        <w:rPr>
          <w:rFonts w:ascii="黑体" w:hAnsi="黑体" w:eastAsia="黑体" w:cs="黑体"/>
          <w:spacing w:val="-128"/>
          <w:position w:val="-1"/>
          <w:sz w:val="28"/>
          <w:szCs w:val="28"/>
        </w:rPr>
        <w:t xml:space="preserve"> </w:t>
      </w:r>
      <w:r>
        <w:rPr>
          <w:rFonts w:ascii="黑体" w:hAnsi="黑体" w:eastAsia="黑体" w:cs="黑体"/>
          <w:spacing w:val="-11"/>
          <w:position w:val="-1"/>
          <w:sz w:val="30"/>
          <w:szCs w:val="30"/>
        </w:rPr>
        <w:t>月</w:t>
      </w:r>
      <w:r>
        <w:rPr>
          <w:rFonts w:ascii="黑体" w:hAnsi="黑体" w:eastAsia="黑体" w:cs="黑体"/>
          <w:spacing w:val="-131"/>
          <w:position w:val="-1"/>
          <w:sz w:val="30"/>
          <w:szCs w:val="30"/>
        </w:rPr>
        <w:t xml:space="preserve"> </w:t>
      </w:r>
      <w:r>
        <w:rPr>
          <w:rFonts w:ascii="黑体" w:hAnsi="黑体" w:eastAsia="黑体" w:cs="黑体"/>
          <w:spacing w:val="5"/>
          <w:position w:val="-1"/>
          <w:sz w:val="30"/>
          <w:szCs w:val="30"/>
          <w:u w:val="single" w:color="auto"/>
        </w:rPr>
        <w:t xml:space="preserve">        </w:t>
      </w:r>
      <w:r>
        <w:rPr>
          <w:rFonts w:ascii="黑体" w:hAnsi="黑体" w:eastAsia="黑体" w:cs="黑体"/>
          <w:spacing w:val="-120"/>
          <w:position w:val="-1"/>
          <w:sz w:val="30"/>
          <w:szCs w:val="30"/>
        </w:rPr>
        <w:t xml:space="preserve"> </w:t>
      </w:r>
      <w:r>
        <w:rPr>
          <w:rFonts w:ascii="黑体" w:hAnsi="黑体" w:eastAsia="黑体" w:cs="黑体"/>
          <w:spacing w:val="-11"/>
          <w:position w:val="3"/>
          <w:sz w:val="28"/>
          <w:szCs w:val="28"/>
        </w:rPr>
        <w:t>日</w:t>
      </w:r>
    </w:p>
    <w:p w14:paraId="1CEB9BA1">
      <w:pPr>
        <w:spacing w:line="231" w:lineRule="auto"/>
        <w:rPr>
          <w:rFonts w:ascii="黑体" w:hAnsi="黑体" w:eastAsia="黑体" w:cs="黑体"/>
          <w:sz w:val="28"/>
          <w:szCs w:val="28"/>
        </w:rPr>
        <w:sectPr>
          <w:footerReference r:id="rId354" w:type="default"/>
          <w:pgSz w:w="11910" w:h="16840"/>
          <w:pgMar w:top="400" w:right="1786" w:bottom="1147" w:left="1786" w:header="0" w:footer="1021" w:gutter="0"/>
          <w:cols w:space="720" w:num="1"/>
        </w:sectPr>
      </w:pPr>
    </w:p>
    <w:p w14:paraId="06ADE5CA">
      <w:pPr>
        <w:spacing w:line="248" w:lineRule="auto"/>
        <w:rPr>
          <w:rFonts w:ascii="Arial"/>
          <w:sz w:val="21"/>
        </w:rPr>
      </w:pPr>
    </w:p>
    <w:p w14:paraId="7B72A3C7">
      <w:pPr>
        <w:spacing w:line="248" w:lineRule="auto"/>
        <w:rPr>
          <w:rFonts w:ascii="Arial"/>
          <w:sz w:val="21"/>
        </w:rPr>
      </w:pPr>
    </w:p>
    <w:p w14:paraId="566A2B96">
      <w:pPr>
        <w:spacing w:line="248" w:lineRule="auto"/>
        <w:rPr>
          <w:rFonts w:ascii="Arial"/>
          <w:sz w:val="21"/>
        </w:rPr>
      </w:pPr>
    </w:p>
    <w:p w14:paraId="6DF2C342">
      <w:pPr>
        <w:spacing w:line="249" w:lineRule="auto"/>
        <w:rPr>
          <w:rFonts w:ascii="Arial"/>
          <w:sz w:val="21"/>
        </w:rPr>
      </w:pPr>
    </w:p>
    <w:p w14:paraId="1BFE9327">
      <w:pPr>
        <w:spacing w:line="249" w:lineRule="auto"/>
        <w:rPr>
          <w:rFonts w:ascii="Arial"/>
          <w:sz w:val="21"/>
        </w:rPr>
      </w:pPr>
    </w:p>
    <w:sdt>
      <w:sdtPr>
        <w:rPr>
          <w:rFonts w:ascii="黑体" w:hAnsi="黑体" w:eastAsia="黑体" w:cs="黑体"/>
          <w:sz w:val="36"/>
          <w:szCs w:val="36"/>
        </w:rPr>
        <w:id w:val="147480686"/>
        <w:docPartObj>
          <w:docPartGallery w:val="Table of Contents"/>
          <w:docPartUnique/>
        </w:docPartObj>
      </w:sdtPr>
      <w:sdtEndPr>
        <w:rPr>
          <w:rFonts w:ascii="宋体" w:hAnsi="宋体" w:eastAsia="宋体" w:cs="宋体"/>
          <w:sz w:val="24"/>
          <w:szCs w:val="24"/>
        </w:rPr>
      </w:sdtEndPr>
      <w:sdtContent>
        <w:p w14:paraId="3DDEF25F">
          <w:pPr>
            <w:spacing w:before="117" w:line="222" w:lineRule="auto"/>
            <w:ind w:left="3695"/>
            <w:rPr>
              <w:rFonts w:ascii="黑体" w:hAnsi="黑体" w:eastAsia="黑体" w:cs="黑体"/>
              <w:sz w:val="36"/>
              <w:szCs w:val="36"/>
            </w:rPr>
          </w:pPr>
          <w:r>
            <w:rPr>
              <w:rFonts w:ascii="黑体" w:hAnsi="黑体" w:eastAsia="黑体" w:cs="黑体"/>
              <w:b/>
              <w:bCs/>
              <w:spacing w:val="-34"/>
              <w:sz w:val="36"/>
              <w:szCs w:val="36"/>
            </w:rPr>
            <w:t>目</w:t>
          </w:r>
          <w:r>
            <w:rPr>
              <w:rFonts w:ascii="黑体" w:hAnsi="黑体" w:eastAsia="黑体" w:cs="黑体"/>
              <w:spacing w:val="37"/>
              <w:sz w:val="36"/>
              <w:szCs w:val="36"/>
            </w:rPr>
            <w:t xml:space="preserve">    </w:t>
          </w:r>
          <w:r>
            <w:rPr>
              <w:rFonts w:ascii="黑体" w:hAnsi="黑体" w:eastAsia="黑体" w:cs="黑体"/>
              <w:b/>
              <w:bCs/>
              <w:spacing w:val="-34"/>
              <w:sz w:val="36"/>
              <w:szCs w:val="36"/>
            </w:rPr>
            <w:t>录</w:t>
          </w:r>
        </w:p>
        <w:p w14:paraId="764A3E75">
          <w:pPr>
            <w:spacing w:line="377" w:lineRule="auto"/>
            <w:rPr>
              <w:rFonts w:ascii="Arial"/>
              <w:sz w:val="21"/>
            </w:rPr>
          </w:pPr>
        </w:p>
        <w:p w14:paraId="032C1475">
          <w:pPr>
            <w:pStyle w:val="2"/>
            <w:spacing w:before="78" w:line="219" w:lineRule="auto"/>
            <w:rPr>
              <w:sz w:val="24"/>
              <w:szCs w:val="24"/>
            </w:rPr>
          </w:pPr>
          <w:r>
            <w:rPr>
              <w:spacing w:val="1"/>
              <w:sz w:val="24"/>
              <w:szCs w:val="24"/>
            </w:rPr>
            <w:t>一、投标函及投标函附录</w:t>
          </w:r>
        </w:p>
        <w:p w14:paraId="3B25AFE3">
          <w:pPr>
            <w:pStyle w:val="2"/>
            <w:spacing w:before="256" w:line="219" w:lineRule="auto"/>
            <w:rPr>
              <w:sz w:val="24"/>
              <w:szCs w:val="24"/>
            </w:rPr>
          </w:pPr>
          <w:r>
            <w:rPr>
              <w:sz w:val="24"/>
              <w:szCs w:val="24"/>
            </w:rPr>
            <w:t>二、法定代表人身份证明</w:t>
          </w:r>
        </w:p>
        <w:p w14:paraId="1AEE682A">
          <w:pPr>
            <w:pStyle w:val="2"/>
            <w:spacing w:before="256" w:line="220" w:lineRule="auto"/>
            <w:rPr>
              <w:sz w:val="24"/>
              <w:szCs w:val="24"/>
            </w:rPr>
          </w:pPr>
          <w:r>
            <w:rPr>
              <w:spacing w:val="2"/>
              <w:sz w:val="24"/>
              <w:szCs w:val="24"/>
            </w:rPr>
            <w:t>三、投标保证金</w:t>
          </w:r>
        </w:p>
        <w:p w14:paraId="2CCB9EBC">
          <w:pPr>
            <w:pStyle w:val="2"/>
            <w:spacing w:before="282" w:line="219" w:lineRule="auto"/>
            <w:rPr>
              <w:sz w:val="24"/>
              <w:szCs w:val="24"/>
            </w:rPr>
          </w:pPr>
          <w:r>
            <w:rPr>
              <w:spacing w:val="-11"/>
              <w:sz w:val="24"/>
              <w:szCs w:val="24"/>
            </w:rPr>
            <w:t>四</w:t>
          </w:r>
          <w:r>
            <w:rPr>
              <w:spacing w:val="-48"/>
              <w:sz w:val="24"/>
              <w:szCs w:val="24"/>
            </w:rPr>
            <w:t xml:space="preserve"> </w:t>
          </w:r>
          <w:r>
            <w:rPr>
              <w:spacing w:val="-11"/>
              <w:sz w:val="24"/>
              <w:szCs w:val="24"/>
            </w:rPr>
            <w:t>、联合体协议书</w:t>
          </w:r>
        </w:p>
        <w:p w14:paraId="4416A699">
          <w:pPr>
            <w:pStyle w:val="2"/>
            <w:spacing w:before="255" w:line="219" w:lineRule="auto"/>
            <w:rPr>
              <w:sz w:val="24"/>
              <w:szCs w:val="24"/>
            </w:rPr>
          </w:pPr>
          <w:r>
            <w:rPr>
              <w:sz w:val="24"/>
              <w:szCs w:val="24"/>
            </w:rPr>
            <w:t>五、拟分包计划表</w:t>
          </w:r>
        </w:p>
        <w:p w14:paraId="6140260E">
          <w:pPr>
            <w:pStyle w:val="2"/>
            <w:spacing w:before="275" w:line="219" w:lineRule="auto"/>
            <w:rPr>
              <w:sz w:val="24"/>
              <w:szCs w:val="24"/>
            </w:rPr>
          </w:pPr>
          <w:r>
            <w:rPr>
              <w:sz w:val="24"/>
              <w:szCs w:val="24"/>
            </w:rPr>
            <w:t>六、分包意向协议书</w:t>
          </w:r>
        </w:p>
        <w:p w14:paraId="5C725299">
          <w:pPr>
            <w:pStyle w:val="2"/>
            <w:spacing w:before="267" w:line="219" w:lineRule="auto"/>
            <w:rPr>
              <w:sz w:val="24"/>
              <w:szCs w:val="24"/>
            </w:rPr>
          </w:pPr>
          <w:r>
            <w:rPr>
              <w:spacing w:val="1"/>
              <w:sz w:val="24"/>
              <w:szCs w:val="24"/>
            </w:rPr>
            <w:t>七、中小企业声明函</w:t>
          </w:r>
        </w:p>
        <w:p w14:paraId="6EC3D348">
          <w:pPr>
            <w:pStyle w:val="2"/>
            <w:spacing w:before="274" w:line="219" w:lineRule="auto"/>
            <w:rPr>
              <w:sz w:val="24"/>
              <w:szCs w:val="24"/>
            </w:rPr>
          </w:pPr>
          <w:r>
            <w:rPr>
              <w:sz w:val="24"/>
              <w:szCs w:val="24"/>
            </w:rPr>
            <w:t>八、项目管理机构</w:t>
          </w:r>
        </w:p>
        <w:p w14:paraId="2E9AE6BA">
          <w:pPr>
            <w:pStyle w:val="2"/>
            <w:spacing w:before="257" w:line="219" w:lineRule="auto"/>
            <w:rPr>
              <w:sz w:val="24"/>
              <w:szCs w:val="24"/>
            </w:rPr>
          </w:pPr>
          <w:r>
            <w:rPr>
              <w:spacing w:val="-3"/>
              <w:sz w:val="24"/>
              <w:szCs w:val="24"/>
            </w:rPr>
            <w:t>九、资格审查资料</w:t>
          </w:r>
        </w:p>
        <w:p w14:paraId="02AA450A">
          <w:pPr>
            <w:pStyle w:val="2"/>
            <w:spacing w:before="253" w:line="218" w:lineRule="auto"/>
            <w:rPr>
              <w:sz w:val="24"/>
              <w:szCs w:val="24"/>
            </w:rPr>
          </w:pPr>
          <w:r>
            <w:rPr>
              <w:sz w:val="24"/>
              <w:szCs w:val="24"/>
            </w:rPr>
            <w:t>十、已标价工程量清单</w:t>
          </w:r>
        </w:p>
        <w:p w14:paraId="4BCD1D9F">
          <w:pPr>
            <w:pStyle w:val="2"/>
            <w:spacing w:before="280" w:line="221" w:lineRule="auto"/>
            <w:rPr>
              <w:sz w:val="24"/>
              <w:szCs w:val="24"/>
            </w:rPr>
          </w:pPr>
          <w:r>
            <w:rPr>
              <w:sz w:val="24"/>
              <w:szCs w:val="24"/>
            </w:rPr>
            <w:t>十一、施工组织设计</w:t>
          </w:r>
        </w:p>
        <w:p w14:paraId="2E21929E">
          <w:pPr>
            <w:pStyle w:val="2"/>
            <w:spacing w:before="262" w:line="220" w:lineRule="auto"/>
            <w:rPr>
              <w:sz w:val="24"/>
              <w:szCs w:val="24"/>
            </w:rPr>
          </w:pPr>
          <w:r>
            <w:rPr>
              <w:spacing w:val="2"/>
              <w:sz w:val="24"/>
              <w:szCs w:val="24"/>
            </w:rPr>
            <w:t>十二、其他资料</w:t>
          </w:r>
        </w:p>
      </w:sdtContent>
    </w:sdt>
    <w:p w14:paraId="69709A68">
      <w:pPr>
        <w:spacing w:line="220" w:lineRule="auto"/>
        <w:rPr>
          <w:sz w:val="24"/>
          <w:szCs w:val="24"/>
        </w:rPr>
        <w:sectPr>
          <w:footerReference r:id="rId355" w:type="default"/>
          <w:pgSz w:w="11910" w:h="16840"/>
          <w:pgMar w:top="400" w:right="1786" w:bottom="1147" w:left="1450" w:header="0" w:footer="1021" w:gutter="0"/>
          <w:cols w:space="720" w:num="1"/>
        </w:sectPr>
      </w:pPr>
    </w:p>
    <w:p w14:paraId="2981DC28">
      <w:pPr>
        <w:spacing w:line="254" w:lineRule="auto"/>
        <w:rPr>
          <w:rFonts w:ascii="Arial"/>
          <w:sz w:val="21"/>
        </w:rPr>
      </w:pPr>
    </w:p>
    <w:p w14:paraId="707C5E44">
      <w:pPr>
        <w:spacing w:line="254" w:lineRule="auto"/>
        <w:rPr>
          <w:rFonts w:ascii="Arial"/>
          <w:sz w:val="21"/>
        </w:rPr>
      </w:pPr>
    </w:p>
    <w:p w14:paraId="2E07D0DC">
      <w:pPr>
        <w:spacing w:line="255" w:lineRule="auto"/>
        <w:rPr>
          <w:rFonts w:ascii="Arial"/>
          <w:sz w:val="21"/>
        </w:rPr>
      </w:pPr>
    </w:p>
    <w:p w14:paraId="2CFEEDE5">
      <w:pPr>
        <w:spacing w:line="255" w:lineRule="auto"/>
        <w:rPr>
          <w:rFonts w:ascii="Arial"/>
          <w:sz w:val="21"/>
        </w:rPr>
      </w:pPr>
    </w:p>
    <w:p w14:paraId="53B8E3BF">
      <w:pPr>
        <w:spacing w:line="255" w:lineRule="auto"/>
        <w:rPr>
          <w:rFonts w:ascii="Arial"/>
          <w:sz w:val="21"/>
        </w:rPr>
      </w:pPr>
    </w:p>
    <w:p w14:paraId="2BB0DB22">
      <w:pPr>
        <w:spacing w:line="255" w:lineRule="auto"/>
        <w:rPr>
          <w:rFonts w:ascii="Arial"/>
          <w:sz w:val="21"/>
        </w:rPr>
      </w:pPr>
    </w:p>
    <w:p w14:paraId="157F73C5">
      <w:pPr>
        <w:spacing w:line="255" w:lineRule="auto"/>
        <w:rPr>
          <w:rFonts w:ascii="Arial"/>
          <w:sz w:val="21"/>
        </w:rPr>
      </w:pPr>
    </w:p>
    <w:p w14:paraId="002AED89">
      <w:pPr>
        <w:spacing w:before="91" w:line="222" w:lineRule="auto"/>
        <w:ind w:left="2933"/>
        <w:rPr>
          <w:rFonts w:ascii="黑体" w:hAnsi="黑体" w:eastAsia="黑体" w:cs="黑体"/>
          <w:sz w:val="28"/>
          <w:szCs w:val="28"/>
        </w:rPr>
      </w:pPr>
      <w:r>
        <w:rPr>
          <w:rFonts w:ascii="黑体" w:hAnsi="黑体" w:eastAsia="黑体" w:cs="黑体"/>
          <w:b/>
          <w:bCs/>
          <w:sz w:val="28"/>
          <w:szCs w:val="28"/>
        </w:rPr>
        <w:t>一、投标函及投标函附录</w:t>
      </w:r>
    </w:p>
    <w:p w14:paraId="267ACDB1">
      <w:pPr>
        <w:spacing w:before="55" w:line="222" w:lineRule="auto"/>
        <w:ind w:left="3773"/>
        <w:rPr>
          <w:rFonts w:ascii="黑体" w:hAnsi="黑体" w:eastAsia="黑体" w:cs="黑体"/>
          <w:sz w:val="28"/>
          <w:szCs w:val="28"/>
        </w:rPr>
      </w:pPr>
      <w:r>
        <w:rPr>
          <w:rFonts w:ascii="黑体" w:hAnsi="黑体" w:eastAsia="黑体" w:cs="黑体"/>
          <w:b/>
          <w:bCs/>
          <w:spacing w:val="14"/>
          <w:sz w:val="28"/>
          <w:szCs w:val="28"/>
        </w:rPr>
        <w:t>(</w:t>
      </w:r>
      <w:r>
        <w:rPr>
          <w:rFonts w:ascii="黑体" w:hAnsi="黑体" w:eastAsia="黑体" w:cs="黑体"/>
          <w:spacing w:val="-80"/>
          <w:sz w:val="28"/>
          <w:szCs w:val="28"/>
        </w:rPr>
        <w:t xml:space="preserve"> </w:t>
      </w:r>
      <w:r>
        <w:rPr>
          <w:rFonts w:ascii="黑体" w:hAnsi="黑体" w:eastAsia="黑体" w:cs="黑体"/>
          <w:b/>
          <w:bCs/>
          <w:spacing w:val="14"/>
          <w:sz w:val="28"/>
          <w:szCs w:val="28"/>
        </w:rPr>
        <w:t>一)投标函</w:t>
      </w:r>
    </w:p>
    <w:p w14:paraId="434028F2">
      <w:pPr>
        <w:pStyle w:val="2"/>
        <w:tabs>
          <w:tab w:val="left" w:pos="2568"/>
        </w:tabs>
        <w:spacing w:before="174" w:line="220" w:lineRule="auto"/>
        <w:rPr>
          <w:sz w:val="21"/>
          <w:szCs w:val="21"/>
        </w:rPr>
      </w:pPr>
      <w:r>
        <w:rPr>
          <w:sz w:val="21"/>
          <w:szCs w:val="21"/>
          <w:u w:val="single" w:color="auto"/>
        </w:rPr>
        <w:tab/>
      </w:r>
      <w:r>
        <w:rPr>
          <w:spacing w:val="-24"/>
          <w:sz w:val="21"/>
          <w:szCs w:val="21"/>
        </w:rPr>
        <w:t xml:space="preserve"> </w:t>
      </w:r>
      <w:r>
        <w:rPr>
          <w:spacing w:val="2"/>
          <w:sz w:val="21"/>
          <w:szCs w:val="21"/>
        </w:rPr>
        <w:t>(招标人名称):</w:t>
      </w:r>
    </w:p>
    <w:p w14:paraId="43ECE7B7">
      <w:pPr>
        <w:pStyle w:val="2"/>
        <w:spacing w:before="198" w:line="415" w:lineRule="auto"/>
        <w:ind w:firstLine="429"/>
        <w:jc w:val="both"/>
        <w:rPr>
          <w:sz w:val="20"/>
          <w:szCs w:val="20"/>
        </w:rPr>
      </w:pPr>
      <w:r>
        <w:rPr>
          <w:spacing w:val="13"/>
          <w:sz w:val="20"/>
          <w:szCs w:val="20"/>
        </w:rPr>
        <w:t>1. 我方已仔细研究了</w:t>
      </w:r>
      <w:r>
        <w:rPr>
          <w:spacing w:val="4"/>
          <w:sz w:val="20"/>
          <w:szCs w:val="20"/>
          <w:u w:val="single" w:color="auto"/>
        </w:rPr>
        <w:t xml:space="preserve">          </w:t>
      </w:r>
      <w:r>
        <w:rPr>
          <w:spacing w:val="13"/>
          <w:sz w:val="20"/>
          <w:szCs w:val="20"/>
        </w:rPr>
        <w:t xml:space="preserve"> (项目名称)</w:t>
      </w:r>
      <w:r>
        <w:rPr>
          <w:spacing w:val="-49"/>
          <w:sz w:val="20"/>
          <w:szCs w:val="20"/>
        </w:rPr>
        <w:t xml:space="preserve"> </w:t>
      </w:r>
      <w:r>
        <w:rPr>
          <w:spacing w:val="14"/>
          <w:sz w:val="20"/>
          <w:szCs w:val="20"/>
          <w:u w:val="single" w:color="auto"/>
        </w:rPr>
        <w:t xml:space="preserve">     </w:t>
      </w:r>
      <w:r>
        <w:rPr>
          <w:spacing w:val="-30"/>
          <w:sz w:val="20"/>
          <w:szCs w:val="20"/>
        </w:rPr>
        <w:t xml:space="preserve"> </w:t>
      </w:r>
      <w:r>
        <w:rPr>
          <w:spacing w:val="13"/>
          <w:sz w:val="20"/>
          <w:szCs w:val="20"/>
        </w:rPr>
        <w:t>(标段名称)施工招标文件的全部内容，</w:t>
      </w:r>
      <w:r>
        <w:rPr>
          <w:sz w:val="20"/>
          <w:szCs w:val="20"/>
        </w:rPr>
        <w:t xml:space="preserve"> </w:t>
      </w:r>
      <w:r>
        <w:rPr>
          <w:spacing w:val="14"/>
          <w:sz w:val="20"/>
          <w:szCs w:val="20"/>
        </w:rPr>
        <w:t>愿意以人民币(大写)</w:t>
      </w:r>
      <w:r>
        <w:rPr>
          <w:spacing w:val="-43"/>
          <w:sz w:val="20"/>
          <w:szCs w:val="20"/>
        </w:rPr>
        <w:t xml:space="preserve"> </w:t>
      </w:r>
      <w:r>
        <w:rPr>
          <w:spacing w:val="7"/>
          <w:sz w:val="20"/>
          <w:szCs w:val="20"/>
          <w:u w:val="single" w:color="auto"/>
        </w:rPr>
        <w:t xml:space="preserve">         </w:t>
      </w:r>
      <w:r>
        <w:rPr>
          <w:spacing w:val="57"/>
          <w:sz w:val="20"/>
          <w:szCs w:val="20"/>
        </w:rPr>
        <w:t xml:space="preserve"> </w:t>
      </w:r>
      <w:r>
        <w:rPr>
          <w:spacing w:val="14"/>
          <w:sz w:val="20"/>
          <w:szCs w:val="20"/>
        </w:rPr>
        <w:t>(¥</w:t>
      </w:r>
      <w:r>
        <w:rPr>
          <w:spacing w:val="-37"/>
          <w:sz w:val="20"/>
          <w:szCs w:val="20"/>
        </w:rPr>
        <w:t xml:space="preserve"> </w:t>
      </w:r>
      <w:r>
        <w:rPr>
          <w:spacing w:val="6"/>
          <w:sz w:val="20"/>
          <w:szCs w:val="20"/>
          <w:u w:val="single" w:color="auto"/>
        </w:rPr>
        <w:t xml:space="preserve">           </w:t>
      </w:r>
      <w:r>
        <w:rPr>
          <w:spacing w:val="-76"/>
          <w:sz w:val="20"/>
          <w:szCs w:val="20"/>
        </w:rPr>
        <w:t xml:space="preserve"> </w:t>
      </w:r>
      <w:r>
        <w:rPr>
          <w:spacing w:val="14"/>
          <w:sz w:val="20"/>
          <w:szCs w:val="20"/>
        </w:rPr>
        <w:t>元)的投标总报价，工期</w:t>
      </w:r>
      <w:r>
        <w:rPr>
          <w:spacing w:val="-94"/>
          <w:sz w:val="20"/>
          <w:szCs w:val="20"/>
        </w:rPr>
        <w:t xml:space="preserve"> </w:t>
      </w:r>
      <w:r>
        <w:rPr>
          <w:spacing w:val="7"/>
          <w:sz w:val="20"/>
          <w:szCs w:val="20"/>
          <w:u w:val="single" w:color="auto"/>
        </w:rPr>
        <w:t xml:space="preserve">          </w:t>
      </w:r>
      <w:r>
        <w:rPr>
          <w:spacing w:val="14"/>
          <w:sz w:val="20"/>
          <w:szCs w:val="20"/>
        </w:rPr>
        <w:t xml:space="preserve"> 日历天，</w:t>
      </w:r>
      <w:r>
        <w:rPr>
          <w:sz w:val="20"/>
          <w:szCs w:val="20"/>
        </w:rPr>
        <w:t xml:space="preserve">  </w:t>
      </w:r>
      <w:r>
        <w:rPr>
          <w:spacing w:val="10"/>
          <w:sz w:val="20"/>
          <w:szCs w:val="20"/>
        </w:rPr>
        <w:t>按合同约定实施和完成承包工程，修补工程中的任何缺陷，工程质量达到</w:t>
      </w:r>
      <w:r>
        <w:rPr>
          <w:spacing w:val="-62"/>
          <w:sz w:val="20"/>
          <w:szCs w:val="20"/>
        </w:rPr>
        <w:t xml:space="preserve"> </w:t>
      </w:r>
      <w:r>
        <w:rPr>
          <w:sz w:val="20"/>
          <w:szCs w:val="20"/>
          <w:u w:val="single" w:color="auto"/>
        </w:rPr>
        <w:t xml:space="preserve">            </w:t>
      </w:r>
    </w:p>
    <w:p w14:paraId="667D2435">
      <w:pPr>
        <w:pStyle w:val="2"/>
        <w:spacing w:before="1" w:line="395" w:lineRule="auto"/>
        <w:ind w:right="40" w:firstLine="429"/>
        <w:jc w:val="both"/>
        <w:rPr>
          <w:sz w:val="24"/>
          <w:szCs w:val="24"/>
        </w:rPr>
      </w:pPr>
      <w:r>
        <w:rPr>
          <w:spacing w:val="5"/>
          <w:sz w:val="20"/>
          <w:szCs w:val="20"/>
        </w:rPr>
        <w:t>在我方的上述投标总报价中，包括：安全文明施工费¥:</w:t>
      </w:r>
      <w:r>
        <w:rPr>
          <w:spacing w:val="5"/>
          <w:sz w:val="20"/>
          <w:szCs w:val="20"/>
          <w:u w:val="single" w:color="auto"/>
        </w:rPr>
        <w:t xml:space="preserve">        </w:t>
      </w:r>
      <w:r>
        <w:rPr>
          <w:spacing w:val="-70"/>
          <w:sz w:val="20"/>
          <w:szCs w:val="20"/>
        </w:rPr>
        <w:t xml:space="preserve"> </w:t>
      </w:r>
      <w:r>
        <w:rPr>
          <w:spacing w:val="5"/>
          <w:position w:val="-1"/>
          <w:sz w:val="20"/>
          <w:szCs w:val="20"/>
        </w:rPr>
        <w:t>元；暂列</w:t>
      </w:r>
      <w:r>
        <w:rPr>
          <w:spacing w:val="4"/>
          <w:position w:val="-1"/>
          <w:sz w:val="20"/>
          <w:szCs w:val="20"/>
        </w:rPr>
        <w:t>金额¥:</w:t>
      </w:r>
      <w:r>
        <w:rPr>
          <w:spacing w:val="-91"/>
          <w:position w:val="-1"/>
          <w:sz w:val="20"/>
          <w:szCs w:val="20"/>
        </w:rPr>
        <w:t xml:space="preserve"> </w:t>
      </w:r>
      <w:r>
        <w:rPr>
          <w:spacing w:val="4"/>
          <w:position w:val="-1"/>
          <w:sz w:val="20"/>
          <w:szCs w:val="20"/>
          <w:u w:val="single" w:color="auto"/>
        </w:rPr>
        <w:t xml:space="preserve">        </w:t>
      </w:r>
      <w:r>
        <w:rPr>
          <w:spacing w:val="4"/>
          <w:position w:val="-1"/>
          <w:sz w:val="20"/>
          <w:szCs w:val="20"/>
        </w:rPr>
        <w:t>元</w:t>
      </w:r>
      <w:r>
        <w:rPr>
          <w:spacing w:val="-21"/>
          <w:position w:val="-1"/>
          <w:sz w:val="20"/>
          <w:szCs w:val="20"/>
        </w:rPr>
        <w:t xml:space="preserve"> </w:t>
      </w:r>
      <w:r>
        <w:rPr>
          <w:spacing w:val="4"/>
          <w:position w:val="-1"/>
          <w:sz w:val="20"/>
          <w:szCs w:val="20"/>
        </w:rPr>
        <w:t>；</w:t>
      </w:r>
      <w:r>
        <w:rPr>
          <w:position w:val="-1"/>
          <w:sz w:val="20"/>
          <w:szCs w:val="20"/>
        </w:rPr>
        <w:t xml:space="preserve"> </w:t>
      </w:r>
      <w:r>
        <w:rPr>
          <w:spacing w:val="-3"/>
          <w:sz w:val="22"/>
          <w:szCs w:val="22"/>
        </w:rPr>
        <w:t xml:space="preserve">专业工程暂估价¥: </w:t>
      </w:r>
      <w:r>
        <w:rPr>
          <w:spacing w:val="5"/>
          <w:sz w:val="22"/>
          <w:szCs w:val="22"/>
          <w:u w:val="single" w:color="auto"/>
        </w:rPr>
        <w:t xml:space="preserve">           </w:t>
      </w:r>
      <w:r>
        <w:rPr>
          <w:spacing w:val="-48"/>
          <w:sz w:val="22"/>
          <w:szCs w:val="22"/>
        </w:rPr>
        <w:t xml:space="preserve"> </w:t>
      </w:r>
      <w:r>
        <w:rPr>
          <w:i/>
          <w:iCs/>
          <w:spacing w:val="-3"/>
          <w:position w:val="-2"/>
          <w:sz w:val="24"/>
          <w:szCs w:val="24"/>
        </w:rPr>
        <w:t>元。</w:t>
      </w:r>
    </w:p>
    <w:p w14:paraId="0D94C876">
      <w:pPr>
        <w:pStyle w:val="2"/>
        <w:spacing w:before="16" w:line="216" w:lineRule="auto"/>
        <w:ind w:left="429"/>
        <w:rPr>
          <w:sz w:val="20"/>
          <w:szCs w:val="20"/>
        </w:rPr>
      </w:pPr>
      <w:r>
        <w:rPr>
          <w:spacing w:val="2"/>
          <w:sz w:val="20"/>
          <w:szCs w:val="20"/>
        </w:rPr>
        <w:t>2.</w:t>
      </w:r>
      <w:r>
        <w:rPr>
          <w:spacing w:val="91"/>
          <w:sz w:val="20"/>
          <w:szCs w:val="20"/>
        </w:rPr>
        <w:t xml:space="preserve"> </w:t>
      </w:r>
      <w:r>
        <w:rPr>
          <w:spacing w:val="2"/>
          <w:sz w:val="20"/>
          <w:szCs w:val="20"/>
        </w:rPr>
        <w:t>我方拟派的项目经理：</w:t>
      </w:r>
      <w:r>
        <w:rPr>
          <w:spacing w:val="40"/>
          <w:sz w:val="20"/>
          <w:szCs w:val="20"/>
        </w:rPr>
        <w:t xml:space="preserve"> </w:t>
      </w:r>
      <w:r>
        <w:rPr>
          <w:spacing w:val="2"/>
          <w:sz w:val="20"/>
          <w:szCs w:val="20"/>
          <w:u w:val="single" w:color="auto"/>
        </w:rPr>
        <w:t xml:space="preserve">       </w:t>
      </w:r>
      <w:r>
        <w:rPr>
          <w:spacing w:val="2"/>
          <w:sz w:val="20"/>
          <w:szCs w:val="20"/>
        </w:rPr>
        <w:t xml:space="preserve"> (姓名),证书名称： </w:t>
      </w:r>
      <w:r>
        <w:rPr>
          <w:spacing w:val="2"/>
          <w:sz w:val="20"/>
          <w:szCs w:val="20"/>
          <w:u w:val="single" w:color="auto"/>
        </w:rPr>
        <w:t xml:space="preserve">  </w:t>
      </w:r>
      <w:r>
        <w:rPr>
          <w:spacing w:val="1"/>
          <w:sz w:val="20"/>
          <w:szCs w:val="20"/>
          <w:u w:val="single" w:color="auto"/>
        </w:rPr>
        <w:t xml:space="preserve">       </w:t>
      </w:r>
      <w:r>
        <w:rPr>
          <w:spacing w:val="60"/>
          <w:sz w:val="20"/>
          <w:szCs w:val="20"/>
        </w:rPr>
        <w:t xml:space="preserve"> </w:t>
      </w:r>
      <w:r>
        <w:rPr>
          <w:spacing w:val="1"/>
          <w:sz w:val="20"/>
          <w:szCs w:val="20"/>
        </w:rPr>
        <w:t>证书编号：</w:t>
      </w:r>
      <w:r>
        <w:rPr>
          <w:spacing w:val="-61"/>
          <w:sz w:val="20"/>
          <w:szCs w:val="20"/>
        </w:rPr>
        <w:t xml:space="preserve"> </w:t>
      </w:r>
      <w:r>
        <w:rPr>
          <w:sz w:val="20"/>
          <w:szCs w:val="20"/>
          <w:u w:val="single" w:color="auto"/>
        </w:rPr>
        <w:t xml:space="preserve">        </w:t>
      </w:r>
    </w:p>
    <w:p w14:paraId="49C7EF91">
      <w:pPr>
        <w:pStyle w:val="2"/>
        <w:spacing w:before="199" w:line="219" w:lineRule="auto"/>
        <w:ind w:left="429"/>
        <w:rPr>
          <w:sz w:val="20"/>
          <w:szCs w:val="20"/>
        </w:rPr>
      </w:pPr>
      <w:r>
        <w:rPr>
          <w:spacing w:val="6"/>
          <w:sz w:val="20"/>
          <w:szCs w:val="20"/>
        </w:rPr>
        <w:t>3. 我方承诺在投标有效期</w:t>
      </w:r>
      <w:r>
        <w:rPr>
          <w:spacing w:val="15"/>
          <w:sz w:val="20"/>
          <w:szCs w:val="20"/>
          <w:u w:val="single" w:color="auto"/>
        </w:rPr>
        <w:t xml:space="preserve">     </w:t>
      </w:r>
      <w:r>
        <w:rPr>
          <w:spacing w:val="-88"/>
          <w:sz w:val="20"/>
          <w:szCs w:val="20"/>
        </w:rPr>
        <w:t xml:space="preserve"> </w:t>
      </w:r>
      <w:r>
        <w:rPr>
          <w:spacing w:val="6"/>
          <w:sz w:val="20"/>
          <w:szCs w:val="20"/>
        </w:rPr>
        <w:t>天内不修改、撤销投</w:t>
      </w:r>
      <w:r>
        <w:rPr>
          <w:spacing w:val="5"/>
          <w:sz w:val="20"/>
          <w:szCs w:val="20"/>
        </w:rPr>
        <w:t>标文件。</w:t>
      </w:r>
    </w:p>
    <w:p w14:paraId="2CE59E48">
      <w:pPr>
        <w:pStyle w:val="2"/>
        <w:spacing w:before="241" w:line="219" w:lineRule="auto"/>
        <w:ind w:left="429"/>
        <w:rPr>
          <w:sz w:val="20"/>
          <w:szCs w:val="20"/>
        </w:rPr>
      </w:pPr>
      <w:r>
        <w:rPr>
          <w:spacing w:val="12"/>
          <w:sz w:val="20"/>
          <w:szCs w:val="20"/>
        </w:rPr>
        <w:t>4.</w:t>
      </w:r>
      <w:r>
        <w:rPr>
          <w:spacing w:val="37"/>
          <w:sz w:val="20"/>
          <w:szCs w:val="20"/>
        </w:rPr>
        <w:t xml:space="preserve"> </w:t>
      </w:r>
      <w:r>
        <w:rPr>
          <w:spacing w:val="12"/>
          <w:sz w:val="20"/>
          <w:szCs w:val="20"/>
        </w:rPr>
        <w:t>随同本投标函提交投标保证金一份，金额为人民币(</w:t>
      </w:r>
      <w:r>
        <w:rPr>
          <w:spacing w:val="11"/>
          <w:sz w:val="20"/>
          <w:szCs w:val="20"/>
        </w:rPr>
        <w:t>大写)</w:t>
      </w:r>
      <w:r>
        <w:rPr>
          <w:spacing w:val="2"/>
          <w:sz w:val="20"/>
          <w:szCs w:val="20"/>
          <w:u w:val="single" w:color="auto"/>
        </w:rPr>
        <w:t xml:space="preserve">        </w:t>
      </w:r>
      <w:r>
        <w:rPr>
          <w:spacing w:val="11"/>
          <w:sz w:val="20"/>
          <w:szCs w:val="20"/>
        </w:rPr>
        <w:t xml:space="preserve"> (¥</w:t>
      </w:r>
      <w:r>
        <w:rPr>
          <w:spacing w:val="-94"/>
          <w:sz w:val="20"/>
          <w:szCs w:val="20"/>
        </w:rPr>
        <w:t xml:space="preserve"> </w:t>
      </w:r>
      <w:r>
        <w:rPr>
          <w:spacing w:val="7"/>
          <w:sz w:val="20"/>
          <w:szCs w:val="20"/>
          <w:u w:val="single" w:color="auto"/>
        </w:rPr>
        <w:t xml:space="preserve">       </w:t>
      </w:r>
      <w:r>
        <w:rPr>
          <w:spacing w:val="-18"/>
          <w:sz w:val="20"/>
          <w:szCs w:val="20"/>
        </w:rPr>
        <w:t xml:space="preserve"> </w:t>
      </w:r>
      <w:r>
        <w:rPr>
          <w:spacing w:val="11"/>
          <w:sz w:val="20"/>
          <w:szCs w:val="20"/>
        </w:rPr>
        <w:t>元)。</w:t>
      </w:r>
    </w:p>
    <w:p w14:paraId="621A969F">
      <w:pPr>
        <w:pStyle w:val="2"/>
        <w:spacing w:before="175" w:line="220" w:lineRule="auto"/>
        <w:ind w:left="429"/>
        <w:rPr>
          <w:sz w:val="20"/>
          <w:szCs w:val="20"/>
        </w:rPr>
      </w:pPr>
      <w:r>
        <w:rPr>
          <w:spacing w:val="2"/>
          <w:sz w:val="20"/>
          <w:szCs w:val="20"/>
        </w:rPr>
        <w:t>5.</w:t>
      </w:r>
      <w:r>
        <w:rPr>
          <w:spacing w:val="23"/>
          <w:sz w:val="20"/>
          <w:szCs w:val="20"/>
        </w:rPr>
        <w:t xml:space="preserve"> </w:t>
      </w:r>
      <w:r>
        <w:rPr>
          <w:spacing w:val="2"/>
          <w:sz w:val="20"/>
          <w:szCs w:val="20"/>
        </w:rPr>
        <w:t>如我方中标：</w:t>
      </w:r>
    </w:p>
    <w:p w14:paraId="2FB54637">
      <w:pPr>
        <w:pStyle w:val="2"/>
        <w:spacing w:before="190" w:line="219" w:lineRule="auto"/>
        <w:ind w:left="840"/>
        <w:rPr>
          <w:sz w:val="20"/>
          <w:szCs w:val="20"/>
        </w:rPr>
      </w:pPr>
      <w:r>
        <w:rPr>
          <w:spacing w:val="12"/>
          <w:sz w:val="20"/>
          <w:szCs w:val="20"/>
        </w:rPr>
        <w:t>(1)我方承诺在收到中标通知书后，在中标通知书规定的期限内与你方签订合同。</w:t>
      </w:r>
    </w:p>
    <w:p w14:paraId="728AE97E">
      <w:pPr>
        <w:pStyle w:val="2"/>
        <w:spacing w:before="223" w:line="219" w:lineRule="auto"/>
        <w:ind w:left="840"/>
        <w:rPr>
          <w:sz w:val="20"/>
          <w:szCs w:val="20"/>
        </w:rPr>
      </w:pPr>
      <w:r>
        <w:rPr>
          <w:spacing w:val="13"/>
          <w:sz w:val="20"/>
          <w:szCs w:val="20"/>
        </w:rPr>
        <w:t>(2)随同本投标函递交的投标函附录属于合</w:t>
      </w:r>
      <w:r>
        <w:rPr>
          <w:spacing w:val="12"/>
          <w:sz w:val="20"/>
          <w:szCs w:val="20"/>
        </w:rPr>
        <w:t>同文件的组成部分。</w:t>
      </w:r>
    </w:p>
    <w:p w14:paraId="2EE1ECA4">
      <w:pPr>
        <w:pStyle w:val="2"/>
        <w:spacing w:before="194" w:line="219" w:lineRule="auto"/>
        <w:ind w:left="840"/>
        <w:rPr>
          <w:sz w:val="20"/>
          <w:szCs w:val="20"/>
        </w:rPr>
      </w:pPr>
      <w:r>
        <w:rPr>
          <w:spacing w:val="12"/>
          <w:sz w:val="20"/>
          <w:szCs w:val="20"/>
        </w:rPr>
        <w:t>(3)我方承诺按照招标文件规定向你方递交履约保证金。</w:t>
      </w:r>
    </w:p>
    <w:p w14:paraId="2E63E1B7">
      <w:pPr>
        <w:pStyle w:val="2"/>
        <w:spacing w:before="202" w:line="219" w:lineRule="auto"/>
        <w:ind w:left="840"/>
        <w:rPr>
          <w:sz w:val="20"/>
          <w:szCs w:val="20"/>
        </w:rPr>
      </w:pPr>
      <w:r>
        <w:rPr>
          <w:spacing w:val="13"/>
          <w:sz w:val="20"/>
          <w:szCs w:val="20"/>
        </w:rPr>
        <w:t>(4)我方承诺在合同约定的期限内完成并移交全部</w:t>
      </w:r>
      <w:r>
        <w:rPr>
          <w:spacing w:val="12"/>
          <w:sz w:val="20"/>
          <w:szCs w:val="20"/>
        </w:rPr>
        <w:t>合同工程。</w:t>
      </w:r>
    </w:p>
    <w:p w14:paraId="54FA23DD">
      <w:pPr>
        <w:pStyle w:val="2"/>
        <w:spacing w:before="212" w:line="313" w:lineRule="auto"/>
        <w:ind w:right="71" w:firstLine="429"/>
        <w:rPr>
          <w:sz w:val="20"/>
          <w:szCs w:val="20"/>
        </w:rPr>
      </w:pPr>
      <w:r>
        <w:rPr>
          <w:spacing w:val="6"/>
          <w:sz w:val="20"/>
          <w:szCs w:val="20"/>
        </w:rPr>
        <w:t>6.</w:t>
      </w:r>
      <w:r>
        <w:rPr>
          <w:spacing w:val="-21"/>
          <w:sz w:val="20"/>
          <w:szCs w:val="20"/>
        </w:rPr>
        <w:t xml:space="preserve"> </w:t>
      </w:r>
      <w:r>
        <w:rPr>
          <w:spacing w:val="6"/>
          <w:sz w:val="20"/>
          <w:szCs w:val="20"/>
        </w:rPr>
        <w:t>我方在此声明，所递交的投标文件及有关资料内容完整、真实和准确，且不存在第</w:t>
      </w:r>
      <w:r>
        <w:rPr>
          <w:spacing w:val="5"/>
          <w:sz w:val="20"/>
          <w:szCs w:val="20"/>
        </w:rPr>
        <w:t>二章“投</w:t>
      </w:r>
      <w:r>
        <w:rPr>
          <w:sz w:val="20"/>
          <w:szCs w:val="20"/>
        </w:rPr>
        <w:t xml:space="preserve"> </w:t>
      </w:r>
      <w:r>
        <w:rPr>
          <w:spacing w:val="8"/>
          <w:sz w:val="20"/>
          <w:szCs w:val="20"/>
        </w:rPr>
        <w:t>标人须知”第1.4.3项规定的任何一种情形。</w:t>
      </w:r>
    </w:p>
    <w:p w14:paraId="347DA63D">
      <w:pPr>
        <w:pStyle w:val="2"/>
        <w:spacing w:before="204" w:line="220" w:lineRule="auto"/>
        <w:ind w:left="429"/>
        <w:rPr>
          <w:sz w:val="20"/>
          <w:szCs w:val="20"/>
        </w:rPr>
      </w:pPr>
      <w:r>
        <w:rPr>
          <w:spacing w:val="6"/>
          <w:sz w:val="20"/>
          <w:szCs w:val="20"/>
        </w:rPr>
        <w:t>7.我方同意遵照多标段投标的要求参与投标。</w:t>
      </w:r>
    </w:p>
    <w:p w14:paraId="49D94749">
      <w:pPr>
        <w:pStyle w:val="2"/>
        <w:spacing w:before="200" w:line="228" w:lineRule="auto"/>
        <w:ind w:left="429"/>
        <w:rPr>
          <w:sz w:val="19"/>
          <w:szCs w:val="19"/>
        </w:rPr>
      </w:pPr>
      <w:r>
        <w:rPr>
          <w:rFonts w:ascii="Times New Roman" w:hAnsi="Times New Roman" w:eastAsia="Times New Roman" w:cs="Times New Roman"/>
          <w:spacing w:val="11"/>
          <w:position w:val="-4"/>
          <w:sz w:val="22"/>
          <w:szCs w:val="22"/>
        </w:rPr>
        <w:t>8.</w:t>
      </w:r>
      <w:r>
        <w:rPr>
          <w:rFonts w:ascii="Times New Roman" w:hAnsi="Times New Roman" w:eastAsia="Times New Roman" w:cs="Times New Roman"/>
          <w:spacing w:val="1"/>
          <w:position w:val="-4"/>
          <w:sz w:val="22"/>
          <w:szCs w:val="22"/>
        </w:rPr>
        <w:t xml:space="preserve">   </w:t>
      </w:r>
      <w:r>
        <w:rPr>
          <w:rFonts w:ascii="Times New Roman" w:hAnsi="Times New Roman" w:eastAsia="Times New Roman" w:cs="Times New Roman"/>
          <w:spacing w:val="1"/>
          <w:position w:val="-4"/>
          <w:sz w:val="22"/>
          <w:szCs w:val="22"/>
          <w:u w:val="single" w:color="auto"/>
        </w:rPr>
        <w:t xml:space="preserve">                                       </w:t>
      </w:r>
      <w:r>
        <w:rPr>
          <w:rFonts w:ascii="Times New Roman" w:hAnsi="Times New Roman" w:eastAsia="Times New Roman" w:cs="Times New Roman"/>
          <w:position w:val="-4"/>
          <w:sz w:val="22"/>
          <w:szCs w:val="22"/>
          <w:u w:val="single" w:color="auto"/>
        </w:rPr>
        <w:t xml:space="preserve">                                   </w:t>
      </w:r>
      <w:r>
        <w:rPr>
          <w:rFonts w:ascii="Times New Roman" w:hAnsi="Times New Roman" w:eastAsia="Times New Roman" w:cs="Times New Roman"/>
          <w:spacing w:val="56"/>
          <w:position w:val="-4"/>
          <w:sz w:val="22"/>
          <w:szCs w:val="22"/>
        </w:rPr>
        <w:t xml:space="preserve"> </w:t>
      </w:r>
      <w:r>
        <w:rPr>
          <w:spacing w:val="11"/>
          <w:sz w:val="19"/>
          <w:szCs w:val="19"/>
        </w:rPr>
        <w:t>(其他补充说明)。</w:t>
      </w:r>
    </w:p>
    <w:p w14:paraId="278A5729">
      <w:pPr>
        <w:spacing w:line="242" w:lineRule="auto"/>
        <w:rPr>
          <w:rFonts w:ascii="Arial"/>
          <w:sz w:val="21"/>
        </w:rPr>
      </w:pPr>
    </w:p>
    <w:p w14:paraId="33B1DD40">
      <w:pPr>
        <w:spacing w:line="242" w:lineRule="auto"/>
        <w:rPr>
          <w:rFonts w:ascii="Arial"/>
          <w:sz w:val="21"/>
        </w:rPr>
      </w:pPr>
    </w:p>
    <w:p w14:paraId="2FDCCE8E">
      <w:pPr>
        <w:spacing w:line="242" w:lineRule="auto"/>
        <w:rPr>
          <w:rFonts w:ascii="Arial"/>
          <w:sz w:val="21"/>
        </w:rPr>
      </w:pPr>
    </w:p>
    <w:p w14:paraId="655F86D7">
      <w:pPr>
        <w:spacing w:line="242" w:lineRule="auto"/>
        <w:rPr>
          <w:rFonts w:ascii="Arial"/>
          <w:sz w:val="21"/>
        </w:rPr>
      </w:pPr>
    </w:p>
    <w:p w14:paraId="65F6EB89">
      <w:pPr>
        <w:pStyle w:val="2"/>
        <w:spacing w:before="73" w:line="213" w:lineRule="auto"/>
        <w:ind w:left="3689"/>
        <w:rPr>
          <w:sz w:val="20"/>
          <w:szCs w:val="20"/>
        </w:rPr>
      </w:pPr>
      <w:r>
        <w:rPr>
          <w:spacing w:val="7"/>
          <w:sz w:val="22"/>
          <w:szCs w:val="22"/>
        </w:rPr>
        <w:t>投标人：</w:t>
      </w:r>
      <w:r>
        <w:rPr>
          <w:spacing w:val="-54"/>
          <w:sz w:val="22"/>
          <w:szCs w:val="22"/>
        </w:rPr>
        <w:t xml:space="preserve"> </w:t>
      </w:r>
      <w:r>
        <w:rPr>
          <w:spacing w:val="7"/>
          <w:sz w:val="22"/>
          <w:szCs w:val="22"/>
        </w:rPr>
        <w:t>_</w:t>
      </w:r>
      <w:r>
        <w:rPr>
          <w:spacing w:val="-81"/>
          <w:sz w:val="22"/>
          <w:szCs w:val="22"/>
        </w:rPr>
        <w:t xml:space="preserve"> </w:t>
      </w:r>
      <w:r>
        <w:rPr>
          <w:sz w:val="22"/>
          <w:szCs w:val="22"/>
          <w:u w:val="single" w:color="auto"/>
        </w:rPr>
        <w:t xml:space="preserve">                     </w:t>
      </w:r>
      <w:r>
        <w:rPr>
          <w:spacing w:val="-20"/>
          <w:sz w:val="22"/>
          <w:szCs w:val="22"/>
        </w:rPr>
        <w:t xml:space="preserve"> </w:t>
      </w:r>
      <w:r>
        <w:rPr>
          <w:spacing w:val="7"/>
          <w:sz w:val="20"/>
          <w:szCs w:val="20"/>
        </w:rPr>
        <w:t>(盖单位章)</w:t>
      </w:r>
    </w:p>
    <w:p w14:paraId="7F10DA92">
      <w:pPr>
        <w:pStyle w:val="2"/>
        <w:spacing w:before="192" w:line="229" w:lineRule="auto"/>
        <w:ind w:left="3689"/>
        <w:rPr>
          <w:sz w:val="20"/>
          <w:szCs w:val="20"/>
        </w:rPr>
      </w:pPr>
      <w:r>
        <w:rPr>
          <w:spacing w:val="6"/>
          <w:sz w:val="20"/>
          <w:szCs w:val="20"/>
        </w:rPr>
        <w:t>法定代表人：</w:t>
      </w:r>
      <w:r>
        <w:rPr>
          <w:spacing w:val="-30"/>
          <w:sz w:val="20"/>
          <w:szCs w:val="20"/>
        </w:rPr>
        <w:t xml:space="preserve"> </w:t>
      </w:r>
      <w:r>
        <w:rPr>
          <w:spacing w:val="6"/>
          <w:sz w:val="20"/>
          <w:szCs w:val="20"/>
          <w:u w:val="single" w:color="auto"/>
        </w:rPr>
        <w:t xml:space="preserve">                     </w:t>
      </w:r>
      <w:r>
        <w:rPr>
          <w:spacing w:val="5"/>
          <w:sz w:val="20"/>
          <w:szCs w:val="20"/>
          <w:u w:val="single" w:color="auto"/>
        </w:rPr>
        <w:t xml:space="preserve">   </w:t>
      </w:r>
      <w:r>
        <w:rPr>
          <w:spacing w:val="5"/>
          <w:sz w:val="20"/>
          <w:szCs w:val="20"/>
        </w:rPr>
        <w:t xml:space="preserve"> </w:t>
      </w:r>
      <w:r>
        <w:rPr>
          <w:spacing w:val="5"/>
          <w:position w:val="1"/>
          <w:sz w:val="20"/>
          <w:szCs w:val="20"/>
        </w:rPr>
        <w:t>(签字)</w:t>
      </w:r>
    </w:p>
    <w:p w14:paraId="7CBD88D3">
      <w:pPr>
        <w:pStyle w:val="2"/>
        <w:spacing w:before="203" w:line="229" w:lineRule="auto"/>
        <w:ind w:left="3689"/>
        <w:rPr>
          <w:sz w:val="20"/>
          <w:szCs w:val="20"/>
        </w:rPr>
      </w:pPr>
      <w:r>
        <w:rPr>
          <w:sz w:val="20"/>
          <w:szCs w:val="20"/>
        </w:rPr>
        <w:t>地址：</w:t>
      </w:r>
      <w:r>
        <w:rPr>
          <w:spacing w:val="-60"/>
          <w:sz w:val="20"/>
          <w:szCs w:val="20"/>
        </w:rPr>
        <w:t xml:space="preserve"> </w:t>
      </w:r>
      <w:r>
        <w:rPr>
          <w:sz w:val="20"/>
          <w:szCs w:val="20"/>
          <w:u w:val="single" w:color="auto"/>
        </w:rPr>
        <w:t xml:space="preserve">                                       </w:t>
      </w:r>
    </w:p>
    <w:p w14:paraId="44288241">
      <w:pPr>
        <w:pStyle w:val="2"/>
        <w:spacing w:before="198" w:line="224" w:lineRule="auto"/>
        <w:ind w:left="3689"/>
        <w:rPr>
          <w:sz w:val="20"/>
          <w:szCs w:val="20"/>
        </w:rPr>
      </w:pPr>
      <w:r>
        <w:rPr>
          <w:spacing w:val="-24"/>
          <w:sz w:val="20"/>
          <w:szCs w:val="20"/>
        </w:rPr>
        <w:t>网址：</w:t>
      </w:r>
      <w:r>
        <w:rPr>
          <w:sz w:val="20"/>
          <w:szCs w:val="20"/>
          <w:u w:val="single" w:color="auto"/>
        </w:rPr>
        <w:t xml:space="preserve">                                        </w:t>
      </w:r>
    </w:p>
    <w:p w14:paraId="3F0AE78E">
      <w:pPr>
        <w:pStyle w:val="2"/>
        <w:spacing w:before="204" w:line="221" w:lineRule="auto"/>
        <w:ind w:left="3689"/>
        <w:rPr>
          <w:sz w:val="20"/>
          <w:szCs w:val="20"/>
        </w:rPr>
      </w:pPr>
      <w:r>
        <w:rPr>
          <w:sz w:val="20"/>
          <w:szCs w:val="20"/>
        </w:rPr>
        <w:t>电话：</w:t>
      </w:r>
      <w:r>
        <w:rPr>
          <w:spacing w:val="-80"/>
          <w:sz w:val="20"/>
          <w:szCs w:val="20"/>
        </w:rPr>
        <w:t xml:space="preserve"> </w:t>
      </w:r>
      <w:r>
        <w:rPr>
          <w:sz w:val="20"/>
          <w:szCs w:val="20"/>
          <w:u w:val="single" w:color="auto"/>
        </w:rPr>
        <w:t xml:space="preserve">                                        </w:t>
      </w:r>
    </w:p>
    <w:p w14:paraId="02A14B4F">
      <w:pPr>
        <w:pStyle w:val="2"/>
        <w:spacing w:before="167" w:line="219" w:lineRule="auto"/>
        <w:ind w:left="3689"/>
        <w:rPr>
          <w:sz w:val="20"/>
          <w:szCs w:val="20"/>
        </w:rPr>
      </w:pPr>
      <w:r>
        <w:rPr>
          <w:sz w:val="20"/>
          <w:szCs w:val="20"/>
        </w:rPr>
        <w:t>传真：</w:t>
      </w:r>
      <w:r>
        <w:rPr>
          <w:spacing w:val="-80"/>
          <w:sz w:val="20"/>
          <w:szCs w:val="20"/>
        </w:rPr>
        <w:t xml:space="preserve"> </w:t>
      </w:r>
      <w:r>
        <w:rPr>
          <w:sz w:val="20"/>
          <w:szCs w:val="20"/>
          <w:u w:val="single" w:color="auto"/>
        </w:rPr>
        <w:t xml:space="preserve">                                        </w:t>
      </w:r>
    </w:p>
    <w:p w14:paraId="106CAC75">
      <w:pPr>
        <w:pStyle w:val="2"/>
        <w:spacing w:before="204" w:line="219" w:lineRule="auto"/>
        <w:ind w:left="3689"/>
        <w:rPr>
          <w:sz w:val="20"/>
          <w:szCs w:val="20"/>
        </w:rPr>
      </w:pPr>
      <w:r>
        <w:rPr>
          <w:sz w:val="20"/>
          <w:szCs w:val="20"/>
        </w:rPr>
        <w:t>邮政编码：</w:t>
      </w:r>
      <w:r>
        <w:rPr>
          <w:spacing w:val="-61"/>
          <w:sz w:val="20"/>
          <w:szCs w:val="20"/>
        </w:rPr>
        <w:t xml:space="preserve"> </w:t>
      </w:r>
      <w:r>
        <w:rPr>
          <w:sz w:val="20"/>
          <w:szCs w:val="20"/>
          <w:u w:val="single" w:color="auto"/>
        </w:rPr>
        <w:t xml:space="preserve">                                   </w:t>
      </w:r>
    </w:p>
    <w:p w14:paraId="2BDC7655">
      <w:pPr>
        <w:spacing w:line="219" w:lineRule="auto"/>
        <w:rPr>
          <w:sz w:val="20"/>
          <w:szCs w:val="20"/>
        </w:rPr>
        <w:sectPr>
          <w:footerReference r:id="rId356" w:type="default"/>
          <w:pgSz w:w="11910" w:h="16840"/>
          <w:pgMar w:top="400" w:right="1439" w:bottom="1147" w:left="1440" w:header="0" w:footer="1021" w:gutter="0"/>
          <w:cols w:space="720" w:num="1"/>
        </w:sectPr>
      </w:pPr>
    </w:p>
    <w:p w14:paraId="000ED93A">
      <w:pPr>
        <w:spacing w:line="275" w:lineRule="auto"/>
        <w:rPr>
          <w:rFonts w:ascii="Arial"/>
          <w:sz w:val="21"/>
        </w:rPr>
      </w:pPr>
    </w:p>
    <w:p w14:paraId="117DDDBD">
      <w:pPr>
        <w:spacing w:line="275" w:lineRule="auto"/>
        <w:rPr>
          <w:rFonts w:ascii="Arial"/>
          <w:sz w:val="21"/>
        </w:rPr>
      </w:pPr>
    </w:p>
    <w:p w14:paraId="519490CD">
      <w:pPr>
        <w:spacing w:line="275" w:lineRule="auto"/>
        <w:rPr>
          <w:rFonts w:ascii="Arial"/>
          <w:sz w:val="21"/>
        </w:rPr>
      </w:pPr>
    </w:p>
    <w:p w14:paraId="6F29F1B4">
      <w:pPr>
        <w:spacing w:line="276" w:lineRule="auto"/>
        <w:rPr>
          <w:rFonts w:ascii="Arial"/>
          <w:sz w:val="21"/>
        </w:rPr>
      </w:pPr>
    </w:p>
    <w:p w14:paraId="60B40C07">
      <w:pPr>
        <w:spacing w:line="276" w:lineRule="auto"/>
        <w:rPr>
          <w:rFonts w:ascii="Arial"/>
          <w:sz w:val="21"/>
        </w:rPr>
      </w:pPr>
    </w:p>
    <w:p w14:paraId="3487F32F">
      <w:pPr>
        <w:tabs>
          <w:tab w:val="left" w:pos="5889"/>
        </w:tabs>
        <w:spacing w:before="75" w:line="222" w:lineRule="auto"/>
        <w:ind w:left="5009"/>
        <w:rPr>
          <w:rFonts w:ascii="黑体" w:hAnsi="黑体" w:eastAsia="黑体" w:cs="黑体"/>
          <w:sz w:val="21"/>
          <w:szCs w:val="21"/>
        </w:rPr>
      </w:pPr>
      <w:r>
        <w:rPr>
          <w:rFonts w:ascii="黑体" w:hAnsi="黑体" w:eastAsia="黑体" w:cs="黑体"/>
          <w:sz w:val="23"/>
          <w:szCs w:val="23"/>
          <w:u w:val="single" w:color="auto"/>
        </w:rPr>
        <w:tab/>
      </w:r>
      <w:r>
        <w:rPr>
          <w:rFonts w:ascii="黑体" w:hAnsi="黑体" w:eastAsia="黑体" w:cs="黑体"/>
          <w:spacing w:val="-15"/>
          <w:sz w:val="23"/>
          <w:szCs w:val="23"/>
        </w:rPr>
        <w:t>年</w:t>
      </w:r>
      <w:r>
        <w:rPr>
          <w:rFonts w:ascii="黑体" w:hAnsi="黑体" w:eastAsia="黑体" w:cs="黑体"/>
          <w:spacing w:val="-15"/>
          <w:sz w:val="23"/>
          <w:szCs w:val="23"/>
          <w:u w:val="single" w:color="auto"/>
        </w:rPr>
        <w:t xml:space="preserve">        </w:t>
      </w:r>
      <w:r>
        <w:rPr>
          <w:rFonts w:ascii="黑体" w:hAnsi="黑体" w:eastAsia="黑体" w:cs="黑体"/>
          <w:spacing w:val="-15"/>
          <w:sz w:val="21"/>
          <w:szCs w:val="21"/>
        </w:rPr>
        <w:t>_月</w:t>
      </w:r>
      <w:r>
        <w:rPr>
          <w:rFonts w:ascii="黑体" w:hAnsi="黑体" w:eastAsia="黑体" w:cs="黑体"/>
          <w:spacing w:val="12"/>
          <w:sz w:val="21"/>
          <w:szCs w:val="21"/>
          <w:u w:val="single" w:color="auto"/>
        </w:rPr>
        <w:t xml:space="preserve">       </w:t>
      </w:r>
      <w:r>
        <w:rPr>
          <w:rFonts w:ascii="黑体" w:hAnsi="黑体" w:eastAsia="黑体" w:cs="黑体"/>
          <w:spacing w:val="-80"/>
          <w:sz w:val="21"/>
          <w:szCs w:val="21"/>
        </w:rPr>
        <w:t xml:space="preserve"> </w:t>
      </w:r>
      <w:r>
        <w:rPr>
          <w:rFonts w:ascii="黑体" w:hAnsi="黑体" w:eastAsia="黑体" w:cs="黑体"/>
          <w:spacing w:val="-15"/>
          <w:position w:val="1"/>
          <w:sz w:val="21"/>
          <w:szCs w:val="21"/>
        </w:rPr>
        <w:t>日</w:t>
      </w:r>
    </w:p>
    <w:p w14:paraId="10EC9EB3">
      <w:pPr>
        <w:spacing w:line="249" w:lineRule="auto"/>
        <w:rPr>
          <w:rFonts w:ascii="Arial"/>
          <w:sz w:val="21"/>
        </w:rPr>
      </w:pPr>
    </w:p>
    <w:p w14:paraId="0F96BC1E">
      <w:pPr>
        <w:spacing w:line="250" w:lineRule="auto"/>
        <w:rPr>
          <w:rFonts w:ascii="Arial"/>
          <w:sz w:val="21"/>
        </w:rPr>
      </w:pPr>
    </w:p>
    <w:p w14:paraId="4343EEA4">
      <w:pPr>
        <w:spacing w:line="250" w:lineRule="auto"/>
        <w:rPr>
          <w:rFonts w:ascii="Arial"/>
          <w:sz w:val="21"/>
        </w:rPr>
      </w:pPr>
    </w:p>
    <w:p w14:paraId="794DD5C7">
      <w:pPr>
        <w:pStyle w:val="2"/>
        <w:spacing w:before="68" w:line="238" w:lineRule="auto"/>
        <w:jc w:val="both"/>
        <w:rPr>
          <w:sz w:val="21"/>
          <w:szCs w:val="21"/>
        </w:rPr>
      </w:pPr>
      <w:r>
        <w:rPr>
          <w:spacing w:val="7"/>
          <w:sz w:val="21"/>
          <w:szCs w:val="21"/>
        </w:rPr>
        <w:t>备注：项目经理如是注册类执业资格，证书名称填写专业类别级别注册</w:t>
      </w:r>
      <w:r>
        <w:rPr>
          <w:spacing w:val="6"/>
          <w:sz w:val="21"/>
          <w:szCs w:val="21"/>
        </w:rPr>
        <w:t>建造师，其证书编号应</w:t>
      </w:r>
      <w:r>
        <w:rPr>
          <w:sz w:val="21"/>
          <w:szCs w:val="21"/>
        </w:rPr>
        <w:t xml:space="preserve"> </w:t>
      </w:r>
      <w:r>
        <w:rPr>
          <w:spacing w:val="2"/>
          <w:sz w:val="21"/>
          <w:szCs w:val="21"/>
        </w:rPr>
        <w:t>填写注册执业证书编号。如是职称证书，证书名称填写专业类别级别工程师，其证书编号应填写</w:t>
      </w:r>
      <w:r>
        <w:rPr>
          <w:spacing w:val="10"/>
          <w:sz w:val="21"/>
          <w:szCs w:val="21"/>
        </w:rPr>
        <w:t xml:space="preserve"> </w:t>
      </w:r>
      <w:r>
        <w:rPr>
          <w:spacing w:val="-5"/>
          <w:sz w:val="21"/>
          <w:szCs w:val="21"/>
        </w:rPr>
        <w:t>职称证书编号。</w:t>
      </w:r>
    </w:p>
    <w:p w14:paraId="5EA6A498">
      <w:pPr>
        <w:spacing w:line="238" w:lineRule="auto"/>
        <w:rPr>
          <w:sz w:val="21"/>
          <w:szCs w:val="21"/>
        </w:rPr>
        <w:sectPr>
          <w:footerReference r:id="rId357" w:type="default"/>
          <w:pgSz w:w="11910" w:h="16840"/>
          <w:pgMar w:top="400" w:right="1534" w:bottom="1147" w:left="1460" w:header="0" w:footer="1021" w:gutter="0"/>
          <w:cols w:space="720" w:num="1"/>
        </w:sectPr>
      </w:pPr>
    </w:p>
    <w:p w14:paraId="268FC531">
      <w:pPr>
        <w:spacing w:line="276" w:lineRule="auto"/>
        <w:rPr>
          <w:rFonts w:ascii="Arial"/>
          <w:sz w:val="21"/>
        </w:rPr>
      </w:pPr>
    </w:p>
    <w:p w14:paraId="6A7DFD48">
      <w:pPr>
        <w:spacing w:line="277" w:lineRule="auto"/>
        <w:rPr>
          <w:rFonts w:ascii="Arial"/>
          <w:sz w:val="21"/>
        </w:rPr>
      </w:pPr>
    </w:p>
    <w:p w14:paraId="0F66625D">
      <w:pPr>
        <w:spacing w:line="277" w:lineRule="auto"/>
        <w:rPr>
          <w:rFonts w:ascii="Arial"/>
          <w:sz w:val="21"/>
        </w:rPr>
      </w:pPr>
    </w:p>
    <w:p w14:paraId="3DD473D5">
      <w:pPr>
        <w:spacing w:line="277" w:lineRule="auto"/>
        <w:rPr>
          <w:rFonts w:ascii="Arial"/>
          <w:sz w:val="21"/>
        </w:rPr>
      </w:pPr>
    </w:p>
    <w:p w14:paraId="01EAAD9C">
      <w:pPr>
        <w:spacing w:line="277" w:lineRule="auto"/>
        <w:rPr>
          <w:rFonts w:ascii="Arial"/>
          <w:sz w:val="21"/>
        </w:rPr>
      </w:pPr>
    </w:p>
    <w:p w14:paraId="77F5D7CF">
      <w:pPr>
        <w:spacing w:line="277" w:lineRule="auto"/>
        <w:rPr>
          <w:rFonts w:ascii="Arial"/>
          <w:sz w:val="21"/>
        </w:rPr>
      </w:pPr>
    </w:p>
    <w:p w14:paraId="730E466F">
      <w:pPr>
        <w:spacing w:before="94" w:line="222" w:lineRule="auto"/>
        <w:ind w:left="3629"/>
        <w:rPr>
          <w:rFonts w:ascii="黑体" w:hAnsi="黑体" w:eastAsia="黑体" w:cs="黑体"/>
          <w:sz w:val="29"/>
          <w:szCs w:val="29"/>
        </w:rPr>
      </w:pPr>
      <w:r>
        <w:rPr>
          <w:rFonts w:ascii="黑体" w:hAnsi="黑体" w:eastAsia="黑体" w:cs="黑体"/>
          <w:b/>
          <w:bCs/>
          <w:spacing w:val="6"/>
          <w:sz w:val="29"/>
          <w:szCs w:val="29"/>
        </w:rPr>
        <w:t>(二)投标函附录一</w:t>
      </w:r>
    </w:p>
    <w:p w14:paraId="09AE661E">
      <w:pPr>
        <w:pStyle w:val="2"/>
        <w:spacing w:before="306" w:line="188" w:lineRule="auto"/>
        <w:ind w:left="8"/>
        <w:rPr>
          <w:sz w:val="23"/>
          <w:szCs w:val="23"/>
        </w:rPr>
      </w:pPr>
      <w:r>
        <w:rPr>
          <w:b/>
          <w:bCs/>
          <w:spacing w:val="-2"/>
          <w:sz w:val="23"/>
          <w:szCs w:val="23"/>
        </w:rPr>
        <w:t>工程名称：</w:t>
      </w:r>
      <w:r>
        <w:rPr>
          <w:spacing w:val="-2"/>
          <w:sz w:val="23"/>
          <w:szCs w:val="23"/>
        </w:rPr>
        <w:t xml:space="preserve">              (项目名称)</w:t>
      </w:r>
      <w:r>
        <w:rPr>
          <w:spacing w:val="-93"/>
          <w:sz w:val="23"/>
          <w:szCs w:val="23"/>
        </w:rPr>
        <w:t xml:space="preserve"> </w:t>
      </w:r>
      <w:r>
        <w:rPr>
          <w:spacing w:val="4"/>
          <w:sz w:val="23"/>
          <w:szCs w:val="23"/>
          <w:u w:val="single" w:color="auto"/>
        </w:rPr>
        <w:t xml:space="preserve">   </w:t>
      </w:r>
      <w:r>
        <w:rPr>
          <w:spacing w:val="-57"/>
          <w:sz w:val="23"/>
          <w:szCs w:val="23"/>
        </w:rPr>
        <w:t xml:space="preserve"> </w:t>
      </w:r>
      <w:r>
        <w:rPr>
          <w:spacing w:val="-2"/>
          <w:sz w:val="23"/>
          <w:szCs w:val="23"/>
        </w:rPr>
        <w:t>(标段名称)</w:t>
      </w:r>
    </w:p>
    <w:tbl>
      <w:tblPr>
        <w:tblStyle w:val="5"/>
        <w:tblW w:w="934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14"/>
        <w:gridCol w:w="2707"/>
        <w:gridCol w:w="1438"/>
        <w:gridCol w:w="3776"/>
        <w:gridCol w:w="714"/>
      </w:tblGrid>
      <w:tr w14:paraId="438FE7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trPr>
        <w:tc>
          <w:tcPr>
            <w:tcW w:w="714" w:type="dxa"/>
            <w:vAlign w:val="top"/>
          </w:tcPr>
          <w:p w14:paraId="44628EF6">
            <w:pPr>
              <w:pStyle w:val="6"/>
              <w:spacing w:before="184" w:line="221" w:lineRule="auto"/>
              <w:ind w:left="134"/>
            </w:pPr>
            <w:r>
              <w:rPr>
                <w:spacing w:val="6"/>
              </w:rPr>
              <w:t>序号</w:t>
            </w:r>
          </w:p>
        </w:tc>
        <w:tc>
          <w:tcPr>
            <w:tcW w:w="2707" w:type="dxa"/>
            <w:vAlign w:val="top"/>
          </w:tcPr>
          <w:p w14:paraId="6ACBC248">
            <w:pPr>
              <w:pStyle w:val="6"/>
              <w:spacing w:before="182" w:line="219" w:lineRule="auto"/>
              <w:ind w:left="940"/>
            </w:pPr>
            <w:r>
              <w:rPr>
                <w:spacing w:val="2"/>
              </w:rPr>
              <w:t>条款内容</w:t>
            </w:r>
          </w:p>
        </w:tc>
        <w:tc>
          <w:tcPr>
            <w:tcW w:w="1438" w:type="dxa"/>
            <w:vAlign w:val="top"/>
          </w:tcPr>
          <w:p w14:paraId="497ABC3B">
            <w:pPr>
              <w:pStyle w:val="6"/>
              <w:spacing w:before="182" w:line="219" w:lineRule="auto"/>
              <w:ind w:left="173"/>
            </w:pPr>
            <w:r>
              <w:rPr>
                <w:spacing w:val="2"/>
              </w:rPr>
              <w:t>合同条款号</w:t>
            </w:r>
          </w:p>
        </w:tc>
        <w:tc>
          <w:tcPr>
            <w:tcW w:w="3776" w:type="dxa"/>
            <w:vAlign w:val="top"/>
          </w:tcPr>
          <w:p w14:paraId="51D98ABF">
            <w:pPr>
              <w:pStyle w:val="6"/>
              <w:spacing w:before="182" w:line="219" w:lineRule="auto"/>
              <w:ind w:left="1475"/>
            </w:pPr>
            <w:r>
              <w:rPr>
                <w:spacing w:val="2"/>
              </w:rPr>
              <w:t>约定内容</w:t>
            </w:r>
          </w:p>
        </w:tc>
        <w:tc>
          <w:tcPr>
            <w:tcW w:w="714" w:type="dxa"/>
            <w:vAlign w:val="top"/>
          </w:tcPr>
          <w:p w14:paraId="0FC91E17">
            <w:pPr>
              <w:pStyle w:val="6"/>
              <w:spacing w:before="184" w:line="221" w:lineRule="auto"/>
              <w:ind w:left="169"/>
            </w:pPr>
            <w:r>
              <w:rPr>
                <w:spacing w:val="5"/>
              </w:rPr>
              <w:t>备注</w:t>
            </w:r>
          </w:p>
        </w:tc>
      </w:tr>
      <w:tr w14:paraId="12F363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9" w:hRule="atLeast"/>
        </w:trPr>
        <w:tc>
          <w:tcPr>
            <w:tcW w:w="714" w:type="dxa"/>
            <w:vAlign w:val="top"/>
          </w:tcPr>
          <w:p w14:paraId="697CB29C">
            <w:pPr>
              <w:pStyle w:val="6"/>
              <w:spacing w:before="199" w:line="241" w:lineRule="auto"/>
              <w:ind w:left="294"/>
            </w:pPr>
            <w:r>
              <w:t>1</w:t>
            </w:r>
          </w:p>
        </w:tc>
        <w:tc>
          <w:tcPr>
            <w:tcW w:w="2707" w:type="dxa"/>
            <w:vAlign w:val="top"/>
          </w:tcPr>
          <w:p w14:paraId="3D1FA245">
            <w:pPr>
              <w:pStyle w:val="6"/>
              <w:spacing w:before="179" w:line="220" w:lineRule="auto"/>
              <w:ind w:left="90"/>
            </w:pPr>
            <w:r>
              <w:rPr>
                <w:spacing w:val="-3"/>
              </w:rPr>
              <w:t>项目经理</w:t>
            </w:r>
          </w:p>
        </w:tc>
        <w:tc>
          <w:tcPr>
            <w:tcW w:w="1438" w:type="dxa"/>
            <w:vAlign w:val="top"/>
          </w:tcPr>
          <w:p w14:paraId="39DDD25C">
            <w:pPr>
              <w:pStyle w:val="6"/>
              <w:spacing w:before="199" w:line="239" w:lineRule="auto"/>
              <w:ind w:left="173"/>
            </w:pPr>
            <w:r>
              <w:rPr>
                <w:spacing w:val="-3"/>
              </w:rPr>
              <w:t>1.1.2.4</w:t>
            </w:r>
          </w:p>
        </w:tc>
        <w:tc>
          <w:tcPr>
            <w:tcW w:w="3776" w:type="dxa"/>
            <w:vAlign w:val="top"/>
          </w:tcPr>
          <w:p w14:paraId="7BEB29AF">
            <w:pPr>
              <w:pStyle w:val="6"/>
              <w:spacing w:before="178" w:line="219" w:lineRule="auto"/>
              <w:ind w:left="215"/>
            </w:pPr>
            <w:r>
              <w:rPr>
                <w:spacing w:val="7"/>
              </w:rPr>
              <w:t>(见投标函)</w:t>
            </w:r>
          </w:p>
        </w:tc>
        <w:tc>
          <w:tcPr>
            <w:tcW w:w="714" w:type="dxa"/>
            <w:vAlign w:val="top"/>
          </w:tcPr>
          <w:p w14:paraId="3797E858">
            <w:pPr>
              <w:rPr>
                <w:rFonts w:ascii="Arial"/>
                <w:sz w:val="21"/>
              </w:rPr>
            </w:pPr>
          </w:p>
        </w:tc>
      </w:tr>
      <w:tr w14:paraId="728B98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9" w:hRule="atLeast"/>
        </w:trPr>
        <w:tc>
          <w:tcPr>
            <w:tcW w:w="714" w:type="dxa"/>
            <w:vAlign w:val="top"/>
          </w:tcPr>
          <w:p w14:paraId="23AE738F">
            <w:pPr>
              <w:pStyle w:val="6"/>
              <w:spacing w:before="200" w:line="241" w:lineRule="auto"/>
              <w:ind w:left="294"/>
            </w:pPr>
            <w:r>
              <w:t>2</w:t>
            </w:r>
          </w:p>
        </w:tc>
        <w:tc>
          <w:tcPr>
            <w:tcW w:w="2707" w:type="dxa"/>
            <w:vAlign w:val="top"/>
          </w:tcPr>
          <w:p w14:paraId="6DB71ED9">
            <w:pPr>
              <w:pStyle w:val="6"/>
              <w:spacing w:before="180" w:line="220" w:lineRule="auto"/>
              <w:ind w:left="90"/>
            </w:pPr>
            <w:r>
              <w:rPr>
                <w:spacing w:val="6"/>
              </w:rPr>
              <w:t>工期</w:t>
            </w:r>
          </w:p>
        </w:tc>
        <w:tc>
          <w:tcPr>
            <w:tcW w:w="1438" w:type="dxa"/>
            <w:vAlign w:val="top"/>
          </w:tcPr>
          <w:p w14:paraId="2A851119">
            <w:pPr>
              <w:pStyle w:val="6"/>
              <w:spacing w:before="200" w:line="239" w:lineRule="auto"/>
              <w:ind w:left="173"/>
            </w:pPr>
            <w:r>
              <w:rPr>
                <w:spacing w:val="-3"/>
              </w:rPr>
              <w:t>1.1.4.3</w:t>
            </w:r>
          </w:p>
        </w:tc>
        <w:tc>
          <w:tcPr>
            <w:tcW w:w="3776" w:type="dxa"/>
            <w:vAlign w:val="top"/>
          </w:tcPr>
          <w:p w14:paraId="754687A2">
            <w:pPr>
              <w:pStyle w:val="6"/>
              <w:spacing w:before="179" w:line="219" w:lineRule="auto"/>
              <w:ind w:left="215"/>
            </w:pPr>
            <w:r>
              <w:rPr>
                <w:spacing w:val="7"/>
              </w:rPr>
              <w:t>(见投标函)</w:t>
            </w:r>
          </w:p>
        </w:tc>
        <w:tc>
          <w:tcPr>
            <w:tcW w:w="714" w:type="dxa"/>
            <w:vAlign w:val="top"/>
          </w:tcPr>
          <w:p w14:paraId="34A702F3">
            <w:pPr>
              <w:rPr>
                <w:rFonts w:ascii="Arial"/>
                <w:sz w:val="21"/>
              </w:rPr>
            </w:pPr>
          </w:p>
        </w:tc>
      </w:tr>
      <w:tr w14:paraId="5FD852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714" w:type="dxa"/>
            <w:vAlign w:val="top"/>
          </w:tcPr>
          <w:p w14:paraId="10CD9F7C">
            <w:pPr>
              <w:pStyle w:val="6"/>
              <w:spacing w:before="201"/>
              <w:ind w:left="294"/>
            </w:pPr>
            <w:r>
              <w:t>3</w:t>
            </w:r>
          </w:p>
        </w:tc>
        <w:tc>
          <w:tcPr>
            <w:tcW w:w="2707" w:type="dxa"/>
            <w:vAlign w:val="top"/>
          </w:tcPr>
          <w:p w14:paraId="309CE03E">
            <w:pPr>
              <w:pStyle w:val="6"/>
              <w:spacing w:before="180" w:line="219" w:lineRule="auto"/>
              <w:ind w:left="90"/>
            </w:pPr>
            <w:r>
              <w:rPr>
                <w:spacing w:val="2"/>
              </w:rPr>
              <w:t>缺陷责任期</w:t>
            </w:r>
          </w:p>
        </w:tc>
        <w:tc>
          <w:tcPr>
            <w:tcW w:w="1438" w:type="dxa"/>
            <w:vAlign w:val="top"/>
          </w:tcPr>
          <w:p w14:paraId="4F894F73">
            <w:pPr>
              <w:pStyle w:val="6"/>
              <w:spacing w:before="201" w:line="239" w:lineRule="auto"/>
              <w:ind w:left="173"/>
            </w:pPr>
            <w:r>
              <w:rPr>
                <w:spacing w:val="-3"/>
              </w:rPr>
              <w:t>1.1.4.5</w:t>
            </w:r>
          </w:p>
        </w:tc>
        <w:tc>
          <w:tcPr>
            <w:tcW w:w="3776" w:type="dxa"/>
            <w:vAlign w:val="top"/>
          </w:tcPr>
          <w:p w14:paraId="07240F7B">
            <w:pPr>
              <w:rPr>
                <w:rFonts w:ascii="Arial"/>
                <w:sz w:val="21"/>
              </w:rPr>
            </w:pPr>
          </w:p>
        </w:tc>
        <w:tc>
          <w:tcPr>
            <w:tcW w:w="714" w:type="dxa"/>
            <w:vAlign w:val="top"/>
          </w:tcPr>
          <w:p w14:paraId="4521DE6F">
            <w:pPr>
              <w:rPr>
                <w:rFonts w:ascii="Arial"/>
                <w:sz w:val="21"/>
              </w:rPr>
            </w:pPr>
          </w:p>
        </w:tc>
      </w:tr>
      <w:tr w14:paraId="721B89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9" w:hRule="atLeast"/>
        </w:trPr>
        <w:tc>
          <w:tcPr>
            <w:tcW w:w="714" w:type="dxa"/>
            <w:vAlign w:val="top"/>
          </w:tcPr>
          <w:p w14:paraId="1B7EAE87">
            <w:pPr>
              <w:pStyle w:val="6"/>
              <w:spacing w:before="202" w:line="241" w:lineRule="auto"/>
              <w:ind w:left="294"/>
            </w:pPr>
            <w:r>
              <w:t>4</w:t>
            </w:r>
          </w:p>
        </w:tc>
        <w:tc>
          <w:tcPr>
            <w:tcW w:w="2707" w:type="dxa"/>
            <w:vAlign w:val="top"/>
          </w:tcPr>
          <w:p w14:paraId="77C6E35B">
            <w:pPr>
              <w:pStyle w:val="6"/>
              <w:spacing w:before="181" w:line="219" w:lineRule="auto"/>
              <w:ind w:left="90"/>
            </w:pPr>
            <w:r>
              <w:rPr>
                <w:spacing w:val="-1"/>
              </w:rPr>
              <w:t>承包人履约担保金额</w:t>
            </w:r>
          </w:p>
        </w:tc>
        <w:tc>
          <w:tcPr>
            <w:tcW w:w="1438" w:type="dxa"/>
            <w:vAlign w:val="top"/>
          </w:tcPr>
          <w:p w14:paraId="5A227E6B">
            <w:pPr>
              <w:pStyle w:val="6"/>
              <w:spacing w:before="202" w:line="239" w:lineRule="auto"/>
              <w:ind w:left="173"/>
            </w:pPr>
            <w:r>
              <w:rPr>
                <w:spacing w:val="-2"/>
              </w:rPr>
              <w:t>4.2</w:t>
            </w:r>
          </w:p>
        </w:tc>
        <w:tc>
          <w:tcPr>
            <w:tcW w:w="3776" w:type="dxa"/>
            <w:vAlign w:val="top"/>
          </w:tcPr>
          <w:p w14:paraId="2CB23241">
            <w:pPr>
              <w:rPr>
                <w:rFonts w:ascii="Arial"/>
                <w:sz w:val="21"/>
              </w:rPr>
            </w:pPr>
          </w:p>
        </w:tc>
        <w:tc>
          <w:tcPr>
            <w:tcW w:w="714" w:type="dxa"/>
            <w:vAlign w:val="top"/>
          </w:tcPr>
          <w:p w14:paraId="2DCCA131">
            <w:pPr>
              <w:rPr>
                <w:rFonts w:ascii="Arial"/>
                <w:sz w:val="21"/>
              </w:rPr>
            </w:pPr>
          </w:p>
        </w:tc>
      </w:tr>
      <w:tr w14:paraId="3314D1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714" w:type="dxa"/>
            <w:vAlign w:val="top"/>
          </w:tcPr>
          <w:p w14:paraId="18628ED5">
            <w:pPr>
              <w:pStyle w:val="6"/>
              <w:spacing w:before="213"/>
              <w:ind w:left="294"/>
            </w:pPr>
            <w:r>
              <w:t>5</w:t>
            </w:r>
          </w:p>
        </w:tc>
        <w:tc>
          <w:tcPr>
            <w:tcW w:w="2707" w:type="dxa"/>
            <w:vAlign w:val="top"/>
          </w:tcPr>
          <w:p w14:paraId="02F17913">
            <w:pPr>
              <w:pStyle w:val="6"/>
              <w:spacing w:before="193" w:line="220" w:lineRule="auto"/>
              <w:ind w:left="90"/>
            </w:pPr>
            <w:r>
              <w:rPr>
                <w:spacing w:val="4"/>
              </w:rPr>
              <w:t>分包</w:t>
            </w:r>
          </w:p>
        </w:tc>
        <w:tc>
          <w:tcPr>
            <w:tcW w:w="1438" w:type="dxa"/>
            <w:vAlign w:val="top"/>
          </w:tcPr>
          <w:p w14:paraId="2873BD63">
            <w:pPr>
              <w:pStyle w:val="6"/>
              <w:spacing w:before="213" w:line="239" w:lineRule="auto"/>
              <w:ind w:left="173"/>
            </w:pPr>
            <w:r>
              <w:rPr>
                <w:spacing w:val="-2"/>
              </w:rPr>
              <w:t>4.3.4</w:t>
            </w:r>
          </w:p>
        </w:tc>
        <w:tc>
          <w:tcPr>
            <w:tcW w:w="3776" w:type="dxa"/>
            <w:vAlign w:val="top"/>
          </w:tcPr>
          <w:p w14:paraId="0F2462EC">
            <w:pPr>
              <w:pStyle w:val="6"/>
              <w:spacing w:before="191" w:line="219" w:lineRule="auto"/>
              <w:ind w:left="115"/>
            </w:pPr>
            <w:r>
              <w:rPr>
                <w:spacing w:val="1"/>
              </w:rPr>
              <w:t>见拟分包计划表</w:t>
            </w:r>
          </w:p>
        </w:tc>
        <w:tc>
          <w:tcPr>
            <w:tcW w:w="714" w:type="dxa"/>
            <w:vAlign w:val="top"/>
          </w:tcPr>
          <w:p w14:paraId="1E9679A2">
            <w:pPr>
              <w:rPr>
                <w:rFonts w:ascii="Arial"/>
                <w:sz w:val="21"/>
              </w:rPr>
            </w:pPr>
          </w:p>
        </w:tc>
      </w:tr>
      <w:tr w14:paraId="0C3AC7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9" w:hRule="atLeast"/>
        </w:trPr>
        <w:tc>
          <w:tcPr>
            <w:tcW w:w="714" w:type="dxa"/>
            <w:vAlign w:val="top"/>
          </w:tcPr>
          <w:p w14:paraId="7CCFBA89">
            <w:pPr>
              <w:pStyle w:val="6"/>
              <w:spacing w:before="204"/>
              <w:ind w:left="294"/>
            </w:pPr>
            <w:r>
              <w:t>6</w:t>
            </w:r>
          </w:p>
        </w:tc>
        <w:tc>
          <w:tcPr>
            <w:tcW w:w="2707" w:type="dxa"/>
            <w:vAlign w:val="top"/>
          </w:tcPr>
          <w:p w14:paraId="25536F73">
            <w:pPr>
              <w:pStyle w:val="6"/>
              <w:spacing w:before="183" w:line="219" w:lineRule="auto"/>
              <w:ind w:left="90"/>
            </w:pPr>
            <w:r>
              <w:rPr>
                <w:spacing w:val="-1"/>
              </w:rPr>
              <w:t>逾期竣工违约金</w:t>
            </w:r>
          </w:p>
        </w:tc>
        <w:tc>
          <w:tcPr>
            <w:tcW w:w="1438" w:type="dxa"/>
            <w:vAlign w:val="top"/>
          </w:tcPr>
          <w:p w14:paraId="129D9747">
            <w:pPr>
              <w:pStyle w:val="6"/>
              <w:spacing w:before="204" w:line="239" w:lineRule="auto"/>
              <w:ind w:left="173"/>
            </w:pPr>
            <w:r>
              <w:rPr>
                <w:spacing w:val="-5"/>
              </w:rPr>
              <w:t>11.5</w:t>
            </w:r>
          </w:p>
        </w:tc>
        <w:tc>
          <w:tcPr>
            <w:tcW w:w="3776" w:type="dxa"/>
            <w:vAlign w:val="top"/>
          </w:tcPr>
          <w:p w14:paraId="7B429D7A">
            <w:pPr>
              <w:pStyle w:val="6"/>
              <w:tabs>
                <w:tab w:val="left" w:pos="1265"/>
              </w:tabs>
              <w:spacing w:before="184" w:line="220" w:lineRule="auto"/>
              <w:ind w:left="225"/>
            </w:pPr>
            <w:r>
              <w:rPr>
                <w:u w:val="single" w:color="auto"/>
              </w:rPr>
              <w:tab/>
            </w:r>
            <w:r>
              <w:rPr>
                <w:spacing w:val="-3"/>
              </w:rPr>
              <w:t>元/天</w:t>
            </w:r>
          </w:p>
        </w:tc>
        <w:tc>
          <w:tcPr>
            <w:tcW w:w="714" w:type="dxa"/>
            <w:vAlign w:val="top"/>
          </w:tcPr>
          <w:p w14:paraId="7086F79D">
            <w:pPr>
              <w:rPr>
                <w:rFonts w:ascii="Arial"/>
                <w:sz w:val="21"/>
              </w:rPr>
            </w:pPr>
          </w:p>
        </w:tc>
      </w:tr>
      <w:tr w14:paraId="3A4912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714" w:type="dxa"/>
            <w:vAlign w:val="top"/>
          </w:tcPr>
          <w:p w14:paraId="2A1E33D3">
            <w:pPr>
              <w:pStyle w:val="6"/>
              <w:spacing w:before="205"/>
              <w:ind w:left="294"/>
            </w:pPr>
            <w:r>
              <w:t>7</w:t>
            </w:r>
          </w:p>
        </w:tc>
        <w:tc>
          <w:tcPr>
            <w:tcW w:w="2707" w:type="dxa"/>
            <w:vAlign w:val="top"/>
          </w:tcPr>
          <w:p w14:paraId="457C3C8D">
            <w:pPr>
              <w:pStyle w:val="6"/>
              <w:spacing w:before="184" w:line="219" w:lineRule="auto"/>
              <w:ind w:left="90"/>
            </w:pPr>
            <w:r>
              <w:rPr>
                <w:spacing w:val="-1"/>
              </w:rPr>
              <w:t>逾期竣工违约金最高限额</w:t>
            </w:r>
          </w:p>
        </w:tc>
        <w:tc>
          <w:tcPr>
            <w:tcW w:w="1438" w:type="dxa"/>
            <w:vAlign w:val="top"/>
          </w:tcPr>
          <w:p w14:paraId="2C777D31">
            <w:pPr>
              <w:pStyle w:val="6"/>
              <w:spacing w:before="205" w:line="239" w:lineRule="auto"/>
              <w:ind w:left="173"/>
            </w:pPr>
            <w:r>
              <w:rPr>
                <w:spacing w:val="-5"/>
              </w:rPr>
              <w:t>11.5</w:t>
            </w:r>
          </w:p>
        </w:tc>
        <w:tc>
          <w:tcPr>
            <w:tcW w:w="3776" w:type="dxa"/>
            <w:vAlign w:val="top"/>
          </w:tcPr>
          <w:p w14:paraId="1789B4ED">
            <w:pPr>
              <w:rPr>
                <w:rFonts w:ascii="Arial"/>
                <w:sz w:val="21"/>
              </w:rPr>
            </w:pPr>
          </w:p>
        </w:tc>
        <w:tc>
          <w:tcPr>
            <w:tcW w:w="714" w:type="dxa"/>
            <w:vAlign w:val="top"/>
          </w:tcPr>
          <w:p w14:paraId="1EB9CA91">
            <w:pPr>
              <w:rPr>
                <w:rFonts w:ascii="Arial"/>
                <w:sz w:val="21"/>
              </w:rPr>
            </w:pPr>
          </w:p>
        </w:tc>
      </w:tr>
      <w:tr w14:paraId="7FD0E0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0" w:hRule="atLeast"/>
        </w:trPr>
        <w:tc>
          <w:tcPr>
            <w:tcW w:w="714" w:type="dxa"/>
            <w:vAlign w:val="top"/>
          </w:tcPr>
          <w:p w14:paraId="24A600AF">
            <w:pPr>
              <w:pStyle w:val="6"/>
              <w:spacing w:before="206"/>
              <w:ind w:left="294"/>
            </w:pPr>
            <w:r>
              <w:t>8</w:t>
            </w:r>
          </w:p>
        </w:tc>
        <w:tc>
          <w:tcPr>
            <w:tcW w:w="2707" w:type="dxa"/>
            <w:vAlign w:val="top"/>
          </w:tcPr>
          <w:p w14:paraId="6A0E90B9">
            <w:pPr>
              <w:pStyle w:val="6"/>
              <w:spacing w:before="186" w:line="220" w:lineRule="auto"/>
              <w:ind w:left="91"/>
            </w:pPr>
            <w:r>
              <w:rPr>
                <w:spacing w:val="-2"/>
              </w:rPr>
              <w:t>质量标准</w:t>
            </w:r>
          </w:p>
        </w:tc>
        <w:tc>
          <w:tcPr>
            <w:tcW w:w="1438" w:type="dxa"/>
            <w:vAlign w:val="top"/>
          </w:tcPr>
          <w:p w14:paraId="751C0516">
            <w:pPr>
              <w:pStyle w:val="6"/>
              <w:spacing w:before="206" w:line="239" w:lineRule="auto"/>
              <w:ind w:left="173"/>
            </w:pPr>
            <w:r>
              <w:rPr>
                <w:spacing w:val="-5"/>
              </w:rPr>
              <w:t>13.1</w:t>
            </w:r>
          </w:p>
        </w:tc>
        <w:tc>
          <w:tcPr>
            <w:tcW w:w="3776" w:type="dxa"/>
            <w:vAlign w:val="top"/>
          </w:tcPr>
          <w:p w14:paraId="7F1A7CC1">
            <w:pPr>
              <w:rPr>
                <w:rFonts w:ascii="Arial"/>
                <w:sz w:val="21"/>
              </w:rPr>
            </w:pPr>
          </w:p>
        </w:tc>
        <w:tc>
          <w:tcPr>
            <w:tcW w:w="714" w:type="dxa"/>
            <w:vAlign w:val="top"/>
          </w:tcPr>
          <w:p w14:paraId="0821DDBD">
            <w:pPr>
              <w:rPr>
                <w:rFonts w:ascii="Arial"/>
                <w:sz w:val="21"/>
              </w:rPr>
            </w:pPr>
          </w:p>
        </w:tc>
      </w:tr>
      <w:tr w14:paraId="532A82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0" w:hRule="atLeast"/>
        </w:trPr>
        <w:tc>
          <w:tcPr>
            <w:tcW w:w="714" w:type="dxa"/>
            <w:vAlign w:val="top"/>
          </w:tcPr>
          <w:p w14:paraId="1527BD11">
            <w:pPr>
              <w:pStyle w:val="6"/>
              <w:spacing w:before="216"/>
              <w:ind w:left="294"/>
            </w:pPr>
            <w:r>
              <w:t>9</w:t>
            </w:r>
          </w:p>
        </w:tc>
        <w:tc>
          <w:tcPr>
            <w:tcW w:w="2707" w:type="dxa"/>
            <w:vAlign w:val="top"/>
          </w:tcPr>
          <w:p w14:paraId="3E6025D5">
            <w:pPr>
              <w:pStyle w:val="6"/>
              <w:spacing w:before="193" w:line="218" w:lineRule="auto"/>
              <w:ind w:left="91"/>
            </w:pPr>
            <w:r>
              <w:rPr>
                <w:spacing w:val="-1"/>
              </w:rPr>
              <w:t>价格调整的差额计算</w:t>
            </w:r>
          </w:p>
        </w:tc>
        <w:tc>
          <w:tcPr>
            <w:tcW w:w="1438" w:type="dxa"/>
            <w:vAlign w:val="top"/>
          </w:tcPr>
          <w:p w14:paraId="5163105B">
            <w:pPr>
              <w:pStyle w:val="6"/>
              <w:spacing w:before="216" w:line="239" w:lineRule="auto"/>
              <w:ind w:left="173"/>
            </w:pPr>
            <w:r>
              <w:rPr>
                <w:spacing w:val="-4"/>
              </w:rPr>
              <w:t>16.1.1</w:t>
            </w:r>
          </w:p>
        </w:tc>
        <w:tc>
          <w:tcPr>
            <w:tcW w:w="3776" w:type="dxa"/>
            <w:vAlign w:val="top"/>
          </w:tcPr>
          <w:p w14:paraId="115C7B82">
            <w:pPr>
              <w:pStyle w:val="6"/>
              <w:spacing w:before="193" w:line="218" w:lineRule="auto"/>
              <w:ind w:left="105"/>
            </w:pPr>
            <w:r>
              <w:rPr>
                <w:spacing w:val="1"/>
              </w:rPr>
              <w:t>见价格指数权重表</w:t>
            </w:r>
          </w:p>
        </w:tc>
        <w:tc>
          <w:tcPr>
            <w:tcW w:w="714" w:type="dxa"/>
            <w:vAlign w:val="top"/>
          </w:tcPr>
          <w:p w14:paraId="4D1AF76D">
            <w:pPr>
              <w:rPr>
                <w:rFonts w:ascii="Arial"/>
                <w:sz w:val="21"/>
              </w:rPr>
            </w:pPr>
          </w:p>
        </w:tc>
      </w:tr>
      <w:tr w14:paraId="2D4DE4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9" w:hRule="atLeast"/>
        </w:trPr>
        <w:tc>
          <w:tcPr>
            <w:tcW w:w="714" w:type="dxa"/>
            <w:vAlign w:val="top"/>
          </w:tcPr>
          <w:p w14:paraId="17438992">
            <w:pPr>
              <w:pStyle w:val="6"/>
              <w:spacing w:before="206"/>
              <w:ind w:left="244"/>
            </w:pPr>
            <w:r>
              <w:rPr>
                <w:spacing w:val="-6"/>
              </w:rPr>
              <w:t>10</w:t>
            </w:r>
          </w:p>
        </w:tc>
        <w:tc>
          <w:tcPr>
            <w:tcW w:w="2707" w:type="dxa"/>
            <w:vAlign w:val="top"/>
          </w:tcPr>
          <w:p w14:paraId="6412ABC6">
            <w:pPr>
              <w:pStyle w:val="6"/>
              <w:spacing w:before="186" w:line="219" w:lineRule="auto"/>
              <w:ind w:left="91"/>
            </w:pPr>
            <w:r>
              <w:rPr>
                <w:spacing w:val="2"/>
              </w:rPr>
              <w:t>预付款额度</w:t>
            </w:r>
          </w:p>
        </w:tc>
        <w:tc>
          <w:tcPr>
            <w:tcW w:w="1438" w:type="dxa"/>
            <w:vAlign w:val="top"/>
          </w:tcPr>
          <w:p w14:paraId="361D3928">
            <w:pPr>
              <w:pStyle w:val="6"/>
              <w:spacing w:before="206" w:line="239" w:lineRule="auto"/>
              <w:ind w:left="173"/>
            </w:pPr>
            <w:r>
              <w:rPr>
                <w:spacing w:val="-4"/>
              </w:rPr>
              <w:t>17.2.1</w:t>
            </w:r>
          </w:p>
        </w:tc>
        <w:tc>
          <w:tcPr>
            <w:tcW w:w="3776" w:type="dxa"/>
            <w:vAlign w:val="top"/>
          </w:tcPr>
          <w:p w14:paraId="1B497E8F">
            <w:pPr>
              <w:rPr>
                <w:rFonts w:ascii="Arial"/>
                <w:sz w:val="21"/>
              </w:rPr>
            </w:pPr>
          </w:p>
        </w:tc>
        <w:tc>
          <w:tcPr>
            <w:tcW w:w="714" w:type="dxa"/>
            <w:vAlign w:val="top"/>
          </w:tcPr>
          <w:p w14:paraId="12046F16">
            <w:pPr>
              <w:rPr>
                <w:rFonts w:ascii="Arial"/>
                <w:sz w:val="21"/>
              </w:rPr>
            </w:pPr>
          </w:p>
        </w:tc>
      </w:tr>
      <w:tr w14:paraId="35E86D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0" w:hRule="atLeast"/>
        </w:trPr>
        <w:tc>
          <w:tcPr>
            <w:tcW w:w="714" w:type="dxa"/>
            <w:vAlign w:val="top"/>
          </w:tcPr>
          <w:p w14:paraId="05BB86D8">
            <w:pPr>
              <w:pStyle w:val="6"/>
              <w:spacing w:before="217" w:line="241" w:lineRule="auto"/>
              <w:ind w:left="244"/>
            </w:pPr>
            <w:r>
              <w:rPr>
                <w:spacing w:val="-6"/>
              </w:rPr>
              <w:t>11</w:t>
            </w:r>
          </w:p>
        </w:tc>
        <w:tc>
          <w:tcPr>
            <w:tcW w:w="2707" w:type="dxa"/>
            <w:vAlign w:val="top"/>
          </w:tcPr>
          <w:p w14:paraId="599D48EC">
            <w:pPr>
              <w:pStyle w:val="6"/>
              <w:spacing w:before="196" w:line="219" w:lineRule="auto"/>
              <w:ind w:left="91"/>
            </w:pPr>
            <w:r>
              <w:rPr>
                <w:spacing w:val="-2"/>
              </w:rPr>
              <w:t>预付款保函金额</w:t>
            </w:r>
          </w:p>
        </w:tc>
        <w:tc>
          <w:tcPr>
            <w:tcW w:w="1438" w:type="dxa"/>
            <w:vAlign w:val="top"/>
          </w:tcPr>
          <w:p w14:paraId="6701765C">
            <w:pPr>
              <w:pStyle w:val="6"/>
              <w:spacing w:before="217" w:line="239" w:lineRule="auto"/>
              <w:ind w:left="173"/>
            </w:pPr>
            <w:r>
              <w:rPr>
                <w:spacing w:val="-4"/>
              </w:rPr>
              <w:t>17.2.2</w:t>
            </w:r>
          </w:p>
        </w:tc>
        <w:tc>
          <w:tcPr>
            <w:tcW w:w="3776" w:type="dxa"/>
            <w:vAlign w:val="top"/>
          </w:tcPr>
          <w:p w14:paraId="1730206F">
            <w:pPr>
              <w:rPr>
                <w:rFonts w:ascii="Arial"/>
                <w:sz w:val="21"/>
              </w:rPr>
            </w:pPr>
          </w:p>
        </w:tc>
        <w:tc>
          <w:tcPr>
            <w:tcW w:w="714" w:type="dxa"/>
            <w:vAlign w:val="top"/>
          </w:tcPr>
          <w:p w14:paraId="3F121FC8">
            <w:pPr>
              <w:rPr>
                <w:rFonts w:ascii="Arial"/>
                <w:sz w:val="21"/>
              </w:rPr>
            </w:pPr>
          </w:p>
        </w:tc>
      </w:tr>
      <w:tr w14:paraId="4DB7E9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714" w:type="dxa"/>
            <w:vAlign w:val="top"/>
          </w:tcPr>
          <w:p w14:paraId="7978F845">
            <w:pPr>
              <w:pStyle w:val="6"/>
              <w:spacing w:before="197" w:line="241" w:lineRule="auto"/>
              <w:ind w:left="244"/>
            </w:pPr>
            <w:r>
              <w:rPr>
                <w:spacing w:val="-6"/>
              </w:rPr>
              <w:t>12</w:t>
            </w:r>
          </w:p>
        </w:tc>
        <w:tc>
          <w:tcPr>
            <w:tcW w:w="2707" w:type="dxa"/>
            <w:vAlign w:val="top"/>
          </w:tcPr>
          <w:p w14:paraId="6DA3E2A6">
            <w:pPr>
              <w:pStyle w:val="6"/>
              <w:spacing w:before="177" w:line="220" w:lineRule="auto"/>
              <w:ind w:left="91"/>
            </w:pPr>
            <w:r>
              <w:rPr>
                <w:spacing w:val="1"/>
              </w:rPr>
              <w:t>质量保证金扣留百分比</w:t>
            </w:r>
          </w:p>
        </w:tc>
        <w:tc>
          <w:tcPr>
            <w:tcW w:w="1438" w:type="dxa"/>
            <w:vAlign w:val="top"/>
          </w:tcPr>
          <w:p w14:paraId="3FF972F6">
            <w:pPr>
              <w:pStyle w:val="6"/>
              <w:spacing w:before="197" w:line="239" w:lineRule="auto"/>
              <w:ind w:left="173"/>
            </w:pPr>
            <w:r>
              <w:rPr>
                <w:spacing w:val="-4"/>
              </w:rPr>
              <w:t>17.4.1</w:t>
            </w:r>
          </w:p>
        </w:tc>
        <w:tc>
          <w:tcPr>
            <w:tcW w:w="3776" w:type="dxa"/>
            <w:vAlign w:val="top"/>
          </w:tcPr>
          <w:p w14:paraId="5D873CDD">
            <w:pPr>
              <w:rPr>
                <w:rFonts w:ascii="Arial"/>
                <w:sz w:val="21"/>
              </w:rPr>
            </w:pPr>
          </w:p>
        </w:tc>
        <w:tc>
          <w:tcPr>
            <w:tcW w:w="714" w:type="dxa"/>
            <w:vAlign w:val="top"/>
          </w:tcPr>
          <w:p w14:paraId="264EECBB">
            <w:pPr>
              <w:rPr>
                <w:rFonts w:ascii="Arial"/>
                <w:sz w:val="21"/>
              </w:rPr>
            </w:pPr>
          </w:p>
        </w:tc>
      </w:tr>
      <w:tr w14:paraId="6C8443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0" w:hRule="atLeast"/>
        </w:trPr>
        <w:tc>
          <w:tcPr>
            <w:tcW w:w="714" w:type="dxa"/>
            <w:vAlign w:val="top"/>
          </w:tcPr>
          <w:p w14:paraId="557151C2">
            <w:pPr>
              <w:pStyle w:val="6"/>
              <w:spacing w:before="218"/>
              <w:ind w:left="244"/>
            </w:pPr>
            <w:r>
              <w:rPr>
                <w:spacing w:val="-6"/>
              </w:rPr>
              <w:t>13</w:t>
            </w:r>
          </w:p>
        </w:tc>
        <w:tc>
          <w:tcPr>
            <w:tcW w:w="2707" w:type="dxa"/>
            <w:vAlign w:val="top"/>
          </w:tcPr>
          <w:p w14:paraId="7E00B410">
            <w:pPr>
              <w:pStyle w:val="6"/>
              <w:spacing w:before="197" w:line="219" w:lineRule="auto"/>
              <w:ind w:left="91"/>
            </w:pPr>
            <w:r>
              <w:rPr>
                <w:spacing w:val="1"/>
              </w:rPr>
              <w:t>质量保证金额度</w:t>
            </w:r>
          </w:p>
        </w:tc>
        <w:tc>
          <w:tcPr>
            <w:tcW w:w="1438" w:type="dxa"/>
            <w:vAlign w:val="top"/>
          </w:tcPr>
          <w:p w14:paraId="4B6D15F0">
            <w:pPr>
              <w:pStyle w:val="6"/>
              <w:spacing w:before="218" w:line="239" w:lineRule="auto"/>
              <w:ind w:left="173"/>
            </w:pPr>
            <w:r>
              <w:rPr>
                <w:spacing w:val="-4"/>
              </w:rPr>
              <w:t>17.4.1</w:t>
            </w:r>
          </w:p>
        </w:tc>
        <w:tc>
          <w:tcPr>
            <w:tcW w:w="3776" w:type="dxa"/>
            <w:vAlign w:val="top"/>
          </w:tcPr>
          <w:p w14:paraId="49679675">
            <w:pPr>
              <w:rPr>
                <w:rFonts w:ascii="Arial"/>
                <w:sz w:val="21"/>
              </w:rPr>
            </w:pPr>
          </w:p>
        </w:tc>
        <w:tc>
          <w:tcPr>
            <w:tcW w:w="714" w:type="dxa"/>
            <w:vAlign w:val="top"/>
          </w:tcPr>
          <w:p w14:paraId="31989B5B">
            <w:pPr>
              <w:rPr>
                <w:rFonts w:ascii="Arial"/>
                <w:sz w:val="21"/>
              </w:rPr>
            </w:pPr>
          </w:p>
        </w:tc>
      </w:tr>
      <w:tr w14:paraId="29E8C5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0" w:hRule="atLeast"/>
        </w:trPr>
        <w:tc>
          <w:tcPr>
            <w:tcW w:w="714" w:type="dxa"/>
            <w:vAlign w:val="top"/>
          </w:tcPr>
          <w:p w14:paraId="4F5DE0E8">
            <w:pPr>
              <w:pStyle w:val="6"/>
              <w:spacing w:before="208" w:line="241" w:lineRule="auto"/>
              <w:ind w:left="244"/>
            </w:pPr>
            <w:r>
              <w:rPr>
                <w:spacing w:val="-6"/>
              </w:rPr>
              <w:t>14</w:t>
            </w:r>
          </w:p>
        </w:tc>
        <w:tc>
          <w:tcPr>
            <w:tcW w:w="2707" w:type="dxa"/>
            <w:vAlign w:val="top"/>
          </w:tcPr>
          <w:p w14:paraId="23C3536C">
            <w:pPr>
              <w:pStyle w:val="6"/>
              <w:spacing w:before="187" w:line="219" w:lineRule="auto"/>
              <w:ind w:left="91"/>
            </w:pPr>
            <w:r>
              <w:rPr>
                <w:spacing w:val="-2"/>
              </w:rPr>
              <w:t>技术标准和要求</w:t>
            </w:r>
          </w:p>
        </w:tc>
        <w:tc>
          <w:tcPr>
            <w:tcW w:w="1438" w:type="dxa"/>
            <w:vAlign w:val="top"/>
          </w:tcPr>
          <w:p w14:paraId="7EC7BA8E">
            <w:pPr>
              <w:rPr>
                <w:rFonts w:ascii="Arial"/>
                <w:sz w:val="21"/>
              </w:rPr>
            </w:pPr>
          </w:p>
        </w:tc>
        <w:tc>
          <w:tcPr>
            <w:tcW w:w="3776" w:type="dxa"/>
            <w:vAlign w:val="top"/>
          </w:tcPr>
          <w:p w14:paraId="29F672C5">
            <w:pPr>
              <w:pStyle w:val="6"/>
              <w:spacing w:before="186" w:line="219" w:lineRule="auto"/>
              <w:ind w:left="115"/>
            </w:pPr>
            <w:r>
              <w:t>符合第七章“技术标准和要求”规定</w:t>
            </w:r>
          </w:p>
        </w:tc>
        <w:tc>
          <w:tcPr>
            <w:tcW w:w="714" w:type="dxa"/>
            <w:vAlign w:val="top"/>
          </w:tcPr>
          <w:p w14:paraId="786F2C22">
            <w:pPr>
              <w:rPr>
                <w:rFonts w:ascii="Arial"/>
                <w:sz w:val="21"/>
              </w:rPr>
            </w:pPr>
          </w:p>
        </w:tc>
      </w:tr>
      <w:tr w14:paraId="4F0C50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4" w:hRule="atLeast"/>
        </w:trPr>
        <w:tc>
          <w:tcPr>
            <w:tcW w:w="9349" w:type="dxa"/>
            <w:gridSpan w:val="5"/>
            <w:vAlign w:val="top"/>
          </w:tcPr>
          <w:p w14:paraId="7BE5BCD9">
            <w:pPr>
              <w:pStyle w:val="6"/>
              <w:spacing w:before="47" w:line="214" w:lineRule="auto"/>
              <w:ind w:left="113" w:hanging="9"/>
            </w:pPr>
            <w:r>
              <w:rPr>
                <w:spacing w:val="-5"/>
              </w:rPr>
              <w:t>备注：投标人在响应招标文件中规定的实质性要求和条件的基础上，可做出其他有利于招标人的承诺。</w:t>
            </w:r>
            <w:r>
              <w:rPr>
                <w:spacing w:val="8"/>
              </w:rPr>
              <w:t xml:space="preserve"> </w:t>
            </w:r>
            <w:r>
              <w:rPr>
                <w:spacing w:val="-2"/>
              </w:rPr>
              <w:t>此类承诺可在本表中予以补充填写。</w:t>
            </w:r>
          </w:p>
        </w:tc>
      </w:tr>
    </w:tbl>
    <w:p w14:paraId="3CD1C19C">
      <w:pPr>
        <w:spacing w:line="280" w:lineRule="auto"/>
        <w:rPr>
          <w:rFonts w:ascii="Arial"/>
          <w:sz w:val="21"/>
        </w:rPr>
      </w:pPr>
    </w:p>
    <w:p w14:paraId="22613C5F">
      <w:pPr>
        <w:spacing w:line="280" w:lineRule="auto"/>
        <w:rPr>
          <w:rFonts w:ascii="Arial"/>
          <w:sz w:val="21"/>
        </w:rPr>
      </w:pPr>
    </w:p>
    <w:p w14:paraId="2440D234">
      <w:pPr>
        <w:pStyle w:val="2"/>
        <w:spacing w:before="69" w:line="220" w:lineRule="auto"/>
        <w:ind w:left="3684"/>
        <w:rPr>
          <w:sz w:val="21"/>
          <w:szCs w:val="21"/>
        </w:rPr>
      </w:pPr>
      <w:r>
        <w:rPr>
          <w:spacing w:val="-1"/>
          <w:sz w:val="21"/>
          <w:szCs w:val="21"/>
        </w:rPr>
        <w:t>投</w:t>
      </w:r>
      <w:r>
        <w:rPr>
          <w:spacing w:val="-20"/>
          <w:sz w:val="21"/>
          <w:szCs w:val="21"/>
        </w:rPr>
        <w:t xml:space="preserve"> </w:t>
      </w:r>
      <w:r>
        <w:rPr>
          <w:spacing w:val="-1"/>
          <w:sz w:val="21"/>
          <w:szCs w:val="21"/>
        </w:rPr>
        <w:t>标</w:t>
      </w:r>
      <w:r>
        <w:rPr>
          <w:spacing w:val="-20"/>
          <w:sz w:val="21"/>
          <w:szCs w:val="21"/>
        </w:rPr>
        <w:t xml:space="preserve"> </w:t>
      </w:r>
      <w:r>
        <w:rPr>
          <w:spacing w:val="-1"/>
          <w:sz w:val="21"/>
          <w:szCs w:val="21"/>
        </w:rPr>
        <w:t>人</w:t>
      </w:r>
      <w:r>
        <w:rPr>
          <w:spacing w:val="-31"/>
          <w:sz w:val="21"/>
          <w:szCs w:val="21"/>
        </w:rPr>
        <w:t xml:space="preserve"> </w:t>
      </w:r>
      <w:r>
        <w:rPr>
          <w:spacing w:val="-1"/>
          <w:sz w:val="21"/>
          <w:szCs w:val="21"/>
        </w:rPr>
        <w:t>：</w:t>
      </w:r>
      <w:r>
        <w:rPr>
          <w:spacing w:val="2"/>
          <w:sz w:val="21"/>
          <w:szCs w:val="21"/>
          <w:u w:val="single" w:color="auto"/>
        </w:rPr>
        <w:t xml:space="preserve">                      </w:t>
      </w:r>
      <w:r>
        <w:rPr>
          <w:spacing w:val="-19"/>
          <w:sz w:val="21"/>
          <w:szCs w:val="21"/>
        </w:rPr>
        <w:t xml:space="preserve"> </w:t>
      </w:r>
      <w:r>
        <w:rPr>
          <w:spacing w:val="-1"/>
          <w:sz w:val="21"/>
          <w:szCs w:val="21"/>
        </w:rPr>
        <w:t>(盖单位章)</w:t>
      </w:r>
    </w:p>
    <w:p w14:paraId="69B6CD3F">
      <w:pPr>
        <w:pStyle w:val="2"/>
        <w:tabs>
          <w:tab w:val="left" w:pos="5994"/>
        </w:tabs>
        <w:spacing w:before="180" w:line="364" w:lineRule="auto"/>
        <w:ind w:left="5054" w:right="1055" w:hanging="1360"/>
        <w:rPr>
          <w:rFonts w:ascii="黑体" w:hAnsi="黑体" w:eastAsia="黑体" w:cs="黑体"/>
          <w:sz w:val="21"/>
          <w:szCs w:val="21"/>
        </w:rPr>
      </w:pPr>
      <w:r>
        <w:rPr>
          <w:spacing w:val="-10"/>
          <w:position w:val="-1"/>
          <w:sz w:val="23"/>
          <w:szCs w:val="23"/>
        </w:rPr>
        <w:t>法定代表人：</w:t>
      </w:r>
      <w:r>
        <w:rPr>
          <w:position w:val="-1"/>
          <w:sz w:val="23"/>
          <w:szCs w:val="23"/>
          <w:u w:val="single" w:color="auto"/>
        </w:rPr>
        <w:t xml:space="preserve">                      </w:t>
      </w:r>
      <w:r>
        <w:rPr>
          <w:spacing w:val="-10"/>
          <w:position w:val="-1"/>
          <w:sz w:val="23"/>
          <w:szCs w:val="23"/>
        </w:rPr>
        <w:t xml:space="preserve"> </w:t>
      </w:r>
      <w:r>
        <w:rPr>
          <w:spacing w:val="-10"/>
          <w:position w:val="1"/>
          <w:sz w:val="21"/>
          <w:szCs w:val="21"/>
        </w:rPr>
        <w:t>(签字)</w:t>
      </w:r>
      <w:r>
        <w:rPr>
          <w:spacing w:val="9"/>
          <w:position w:val="1"/>
          <w:sz w:val="21"/>
          <w:szCs w:val="21"/>
        </w:rPr>
        <w:t xml:space="preserve"> </w:t>
      </w:r>
      <w:r>
        <w:rPr>
          <w:rFonts w:ascii="黑体" w:hAnsi="黑体" w:eastAsia="黑体" w:cs="黑体"/>
          <w:position w:val="-1"/>
          <w:sz w:val="21"/>
          <w:szCs w:val="21"/>
          <w:u w:val="single" w:color="auto"/>
        </w:rPr>
        <w:tab/>
      </w:r>
      <w:r>
        <w:rPr>
          <w:rFonts w:ascii="黑体" w:hAnsi="黑体" w:eastAsia="黑体" w:cs="黑体"/>
          <w:spacing w:val="-31"/>
          <w:w w:val="82"/>
          <w:position w:val="-1"/>
          <w:sz w:val="21"/>
          <w:szCs w:val="21"/>
        </w:rPr>
        <w:t>年</w:t>
      </w:r>
      <w:r>
        <w:rPr>
          <w:rFonts w:ascii="黑体" w:hAnsi="黑体" w:eastAsia="黑体" w:cs="黑体"/>
          <w:spacing w:val="4"/>
          <w:position w:val="-1"/>
          <w:sz w:val="21"/>
          <w:szCs w:val="21"/>
          <w:u w:val="single" w:color="auto"/>
        </w:rPr>
        <w:t xml:space="preserve">         </w:t>
      </w:r>
      <w:r>
        <w:rPr>
          <w:rFonts w:ascii="黑体" w:hAnsi="黑体" w:eastAsia="黑体" w:cs="黑体"/>
          <w:spacing w:val="-92"/>
          <w:position w:val="-1"/>
          <w:sz w:val="21"/>
          <w:szCs w:val="21"/>
        </w:rPr>
        <w:t xml:space="preserve"> </w:t>
      </w:r>
      <w:r>
        <w:rPr>
          <w:rFonts w:ascii="黑体" w:hAnsi="黑体" w:eastAsia="黑体" w:cs="黑体"/>
          <w:spacing w:val="-31"/>
          <w:w w:val="82"/>
          <w:sz w:val="23"/>
          <w:szCs w:val="23"/>
        </w:rPr>
        <w:t>月</w:t>
      </w:r>
      <w:r>
        <w:rPr>
          <w:rFonts w:ascii="黑体" w:hAnsi="黑体" w:eastAsia="黑体" w:cs="黑体"/>
          <w:spacing w:val="5"/>
          <w:sz w:val="23"/>
          <w:szCs w:val="23"/>
          <w:u w:val="single" w:color="auto"/>
        </w:rPr>
        <w:t xml:space="preserve">       </w:t>
      </w:r>
      <w:r>
        <w:rPr>
          <w:rFonts w:ascii="黑体" w:hAnsi="黑体" w:eastAsia="黑体" w:cs="黑体"/>
          <w:spacing w:val="-80"/>
          <w:sz w:val="23"/>
          <w:szCs w:val="23"/>
        </w:rPr>
        <w:t xml:space="preserve"> </w:t>
      </w:r>
      <w:r>
        <w:rPr>
          <w:rFonts w:ascii="黑体" w:hAnsi="黑体" w:eastAsia="黑体" w:cs="黑体"/>
          <w:spacing w:val="-31"/>
          <w:w w:val="82"/>
          <w:sz w:val="21"/>
          <w:szCs w:val="21"/>
        </w:rPr>
        <w:t>日</w:t>
      </w:r>
    </w:p>
    <w:p w14:paraId="34080A10">
      <w:pPr>
        <w:pStyle w:val="2"/>
        <w:spacing w:before="258" w:line="219" w:lineRule="auto"/>
        <w:ind w:left="25"/>
        <w:rPr>
          <w:sz w:val="21"/>
          <w:szCs w:val="21"/>
        </w:rPr>
      </w:pPr>
      <w:r>
        <w:rPr>
          <w:spacing w:val="2"/>
          <w:sz w:val="21"/>
          <w:szCs w:val="21"/>
        </w:rPr>
        <w:t>备注：本附录适用于2010年版《房屋建筑和市政工程标准施工招标文件》中的合同条款。</w:t>
      </w:r>
    </w:p>
    <w:p w14:paraId="2CACE635">
      <w:pPr>
        <w:spacing w:line="219" w:lineRule="auto"/>
        <w:rPr>
          <w:sz w:val="21"/>
          <w:szCs w:val="21"/>
        </w:rPr>
        <w:sectPr>
          <w:footerReference r:id="rId358" w:type="default"/>
          <w:pgSz w:w="11910" w:h="16840"/>
          <w:pgMar w:top="400" w:right="1095" w:bottom="1147" w:left="1455" w:header="0" w:footer="1021" w:gutter="0"/>
          <w:cols w:space="720" w:num="1"/>
        </w:sectPr>
      </w:pPr>
    </w:p>
    <w:p w14:paraId="36162396">
      <w:pPr>
        <w:spacing w:line="276" w:lineRule="auto"/>
        <w:rPr>
          <w:rFonts w:ascii="Arial"/>
          <w:sz w:val="21"/>
        </w:rPr>
      </w:pPr>
    </w:p>
    <w:p w14:paraId="7A99477F">
      <w:pPr>
        <w:spacing w:line="277" w:lineRule="auto"/>
        <w:rPr>
          <w:rFonts w:ascii="Arial"/>
          <w:sz w:val="21"/>
        </w:rPr>
      </w:pPr>
    </w:p>
    <w:p w14:paraId="0842A947">
      <w:pPr>
        <w:spacing w:line="277" w:lineRule="auto"/>
        <w:rPr>
          <w:rFonts w:ascii="Arial"/>
          <w:sz w:val="21"/>
        </w:rPr>
      </w:pPr>
    </w:p>
    <w:p w14:paraId="5B0010D4">
      <w:pPr>
        <w:spacing w:line="277" w:lineRule="auto"/>
        <w:rPr>
          <w:rFonts w:ascii="Arial"/>
          <w:sz w:val="21"/>
        </w:rPr>
      </w:pPr>
    </w:p>
    <w:p w14:paraId="163506C3">
      <w:pPr>
        <w:spacing w:line="277" w:lineRule="auto"/>
        <w:rPr>
          <w:rFonts w:ascii="Arial"/>
          <w:sz w:val="21"/>
        </w:rPr>
      </w:pPr>
    </w:p>
    <w:p w14:paraId="2FA453D9">
      <w:pPr>
        <w:spacing w:line="277" w:lineRule="auto"/>
        <w:rPr>
          <w:rFonts w:ascii="Arial"/>
          <w:sz w:val="21"/>
        </w:rPr>
      </w:pPr>
    </w:p>
    <w:p w14:paraId="02FBD40D">
      <w:pPr>
        <w:spacing w:before="94" w:line="222" w:lineRule="auto"/>
        <w:ind w:left="3639"/>
        <w:rPr>
          <w:rFonts w:ascii="黑体" w:hAnsi="黑体" w:eastAsia="黑体" w:cs="黑体"/>
          <w:sz w:val="29"/>
          <w:szCs w:val="29"/>
        </w:rPr>
      </w:pPr>
      <w:r>
        <w:rPr>
          <w:rFonts w:ascii="黑体" w:hAnsi="黑体" w:eastAsia="黑体" w:cs="黑体"/>
          <w:b/>
          <w:bCs/>
          <w:spacing w:val="4"/>
          <w:sz w:val="29"/>
          <w:szCs w:val="29"/>
        </w:rPr>
        <w:t>(三)投标函附录二</w:t>
      </w:r>
    </w:p>
    <w:p w14:paraId="2C351E97">
      <w:pPr>
        <w:pStyle w:val="2"/>
        <w:spacing w:before="291" w:line="186" w:lineRule="auto"/>
        <w:ind w:left="18"/>
        <w:rPr>
          <w:sz w:val="23"/>
          <w:szCs w:val="23"/>
        </w:rPr>
      </w:pPr>
      <w:r>
        <w:rPr>
          <w:b/>
          <w:bCs/>
          <w:spacing w:val="-2"/>
          <w:position w:val="1"/>
          <w:sz w:val="23"/>
          <w:szCs w:val="23"/>
        </w:rPr>
        <w:t>工程名称：</w:t>
      </w:r>
      <w:r>
        <w:rPr>
          <w:spacing w:val="-2"/>
          <w:position w:val="1"/>
          <w:sz w:val="23"/>
          <w:szCs w:val="23"/>
        </w:rPr>
        <w:t xml:space="preserve">              </w:t>
      </w:r>
      <w:r>
        <w:rPr>
          <w:spacing w:val="-2"/>
          <w:sz w:val="23"/>
          <w:szCs w:val="23"/>
        </w:rPr>
        <w:t>(项目名称)</w:t>
      </w:r>
      <w:r>
        <w:rPr>
          <w:spacing w:val="30"/>
          <w:sz w:val="23"/>
          <w:szCs w:val="23"/>
        </w:rPr>
        <w:t xml:space="preserve">   </w:t>
      </w:r>
      <w:r>
        <w:rPr>
          <w:spacing w:val="-2"/>
          <w:sz w:val="23"/>
          <w:szCs w:val="23"/>
        </w:rPr>
        <w:t>(标段名称)</w:t>
      </w:r>
    </w:p>
    <w:tbl>
      <w:tblPr>
        <w:tblStyle w:val="5"/>
        <w:tblW w:w="93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14"/>
        <w:gridCol w:w="2407"/>
        <w:gridCol w:w="1318"/>
        <w:gridCol w:w="4196"/>
        <w:gridCol w:w="724"/>
      </w:tblGrid>
      <w:tr w14:paraId="711D3B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trPr>
        <w:tc>
          <w:tcPr>
            <w:tcW w:w="714" w:type="dxa"/>
            <w:vAlign w:val="top"/>
          </w:tcPr>
          <w:p w14:paraId="2B4F0269">
            <w:pPr>
              <w:pStyle w:val="6"/>
              <w:spacing w:before="181" w:line="221" w:lineRule="auto"/>
              <w:ind w:left="134"/>
            </w:pPr>
            <w:r>
              <w:rPr>
                <w:spacing w:val="6"/>
              </w:rPr>
              <w:t>序号</w:t>
            </w:r>
          </w:p>
        </w:tc>
        <w:tc>
          <w:tcPr>
            <w:tcW w:w="2407" w:type="dxa"/>
            <w:vAlign w:val="top"/>
          </w:tcPr>
          <w:p w14:paraId="07F494FC">
            <w:pPr>
              <w:pStyle w:val="6"/>
              <w:spacing w:before="180" w:line="219" w:lineRule="auto"/>
              <w:ind w:left="800"/>
            </w:pPr>
            <w:r>
              <w:rPr>
                <w:spacing w:val="2"/>
              </w:rPr>
              <w:t>条款内容</w:t>
            </w:r>
          </w:p>
        </w:tc>
        <w:tc>
          <w:tcPr>
            <w:tcW w:w="1318" w:type="dxa"/>
            <w:vAlign w:val="top"/>
          </w:tcPr>
          <w:p w14:paraId="65284BC8">
            <w:pPr>
              <w:pStyle w:val="6"/>
              <w:spacing w:before="180" w:line="219" w:lineRule="auto"/>
              <w:ind w:left="173"/>
            </w:pPr>
            <w:r>
              <w:rPr>
                <w:spacing w:val="2"/>
              </w:rPr>
              <w:t>合同条款号</w:t>
            </w:r>
          </w:p>
        </w:tc>
        <w:tc>
          <w:tcPr>
            <w:tcW w:w="4196" w:type="dxa"/>
            <w:vAlign w:val="top"/>
          </w:tcPr>
          <w:p w14:paraId="68E0C5D6">
            <w:pPr>
              <w:pStyle w:val="6"/>
              <w:spacing w:before="180" w:line="219" w:lineRule="auto"/>
              <w:ind w:left="1695"/>
            </w:pPr>
            <w:r>
              <w:rPr>
                <w:spacing w:val="2"/>
              </w:rPr>
              <w:t>约定内容</w:t>
            </w:r>
          </w:p>
        </w:tc>
        <w:tc>
          <w:tcPr>
            <w:tcW w:w="724" w:type="dxa"/>
            <w:vAlign w:val="top"/>
          </w:tcPr>
          <w:p w14:paraId="1E5CFA16">
            <w:pPr>
              <w:pStyle w:val="6"/>
              <w:spacing w:before="181" w:line="221" w:lineRule="auto"/>
              <w:ind w:left="169"/>
            </w:pPr>
            <w:r>
              <w:rPr>
                <w:spacing w:val="5"/>
              </w:rPr>
              <w:t>备注</w:t>
            </w:r>
          </w:p>
        </w:tc>
      </w:tr>
      <w:tr w14:paraId="48C7E4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714" w:type="dxa"/>
            <w:vAlign w:val="top"/>
          </w:tcPr>
          <w:p w14:paraId="68D3FDE7">
            <w:pPr>
              <w:pStyle w:val="6"/>
              <w:spacing w:before="147" w:line="241" w:lineRule="auto"/>
              <w:ind w:left="295"/>
            </w:pPr>
            <w:r>
              <w:t>1</w:t>
            </w:r>
          </w:p>
        </w:tc>
        <w:tc>
          <w:tcPr>
            <w:tcW w:w="2407" w:type="dxa"/>
            <w:vAlign w:val="top"/>
          </w:tcPr>
          <w:p w14:paraId="00CEF7AF">
            <w:pPr>
              <w:pStyle w:val="6"/>
              <w:spacing w:before="127" w:line="220" w:lineRule="auto"/>
              <w:ind w:left="140"/>
            </w:pPr>
            <w:r>
              <w:rPr>
                <w:spacing w:val="-3"/>
              </w:rPr>
              <w:t>项目经理</w:t>
            </w:r>
          </w:p>
        </w:tc>
        <w:tc>
          <w:tcPr>
            <w:tcW w:w="1318" w:type="dxa"/>
            <w:vAlign w:val="top"/>
          </w:tcPr>
          <w:p w14:paraId="2A398BCB">
            <w:pPr>
              <w:pStyle w:val="6"/>
              <w:spacing w:before="147" w:line="239" w:lineRule="auto"/>
              <w:ind w:left="173"/>
            </w:pPr>
            <w:r>
              <w:rPr>
                <w:spacing w:val="-3"/>
              </w:rPr>
              <w:t>1.1.2.8</w:t>
            </w:r>
          </w:p>
        </w:tc>
        <w:tc>
          <w:tcPr>
            <w:tcW w:w="4196" w:type="dxa"/>
            <w:vAlign w:val="top"/>
          </w:tcPr>
          <w:p w14:paraId="0A9A7053">
            <w:pPr>
              <w:pStyle w:val="6"/>
              <w:spacing w:before="126" w:line="219" w:lineRule="auto"/>
              <w:ind w:left="125"/>
            </w:pPr>
            <w:r>
              <w:rPr>
                <w:spacing w:val="7"/>
              </w:rPr>
              <w:t>(见投标函)</w:t>
            </w:r>
          </w:p>
        </w:tc>
        <w:tc>
          <w:tcPr>
            <w:tcW w:w="724" w:type="dxa"/>
            <w:vAlign w:val="top"/>
          </w:tcPr>
          <w:p w14:paraId="01D0A20E">
            <w:pPr>
              <w:rPr>
                <w:rFonts w:ascii="Arial"/>
                <w:sz w:val="21"/>
              </w:rPr>
            </w:pPr>
          </w:p>
        </w:tc>
      </w:tr>
      <w:tr w14:paraId="2434BE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0" w:hRule="atLeast"/>
        </w:trPr>
        <w:tc>
          <w:tcPr>
            <w:tcW w:w="714" w:type="dxa"/>
            <w:vAlign w:val="top"/>
          </w:tcPr>
          <w:p w14:paraId="1D8DC2CE">
            <w:pPr>
              <w:pStyle w:val="6"/>
              <w:spacing w:before="128" w:line="241" w:lineRule="auto"/>
              <w:ind w:left="295"/>
            </w:pPr>
            <w:r>
              <w:t>2</w:t>
            </w:r>
          </w:p>
        </w:tc>
        <w:tc>
          <w:tcPr>
            <w:tcW w:w="2407" w:type="dxa"/>
            <w:vAlign w:val="top"/>
          </w:tcPr>
          <w:p w14:paraId="34212256">
            <w:pPr>
              <w:pStyle w:val="6"/>
              <w:spacing w:before="108" w:line="220" w:lineRule="auto"/>
              <w:ind w:left="140"/>
            </w:pPr>
            <w:r>
              <w:rPr>
                <w:spacing w:val="6"/>
              </w:rPr>
              <w:t>工期</w:t>
            </w:r>
          </w:p>
        </w:tc>
        <w:tc>
          <w:tcPr>
            <w:tcW w:w="1318" w:type="dxa"/>
            <w:vAlign w:val="top"/>
          </w:tcPr>
          <w:p w14:paraId="622A96AC">
            <w:pPr>
              <w:pStyle w:val="6"/>
              <w:spacing w:before="128" w:line="239" w:lineRule="auto"/>
              <w:ind w:left="173"/>
            </w:pPr>
            <w:r>
              <w:rPr>
                <w:spacing w:val="-3"/>
              </w:rPr>
              <w:t>1.1.4.3</w:t>
            </w:r>
          </w:p>
        </w:tc>
        <w:tc>
          <w:tcPr>
            <w:tcW w:w="4196" w:type="dxa"/>
            <w:vAlign w:val="top"/>
          </w:tcPr>
          <w:p w14:paraId="32198EB7">
            <w:pPr>
              <w:pStyle w:val="6"/>
              <w:spacing w:before="107" w:line="219" w:lineRule="auto"/>
              <w:ind w:left="125"/>
            </w:pPr>
            <w:r>
              <w:rPr>
                <w:spacing w:val="7"/>
              </w:rPr>
              <w:t>(见投标函)</w:t>
            </w:r>
          </w:p>
        </w:tc>
        <w:tc>
          <w:tcPr>
            <w:tcW w:w="724" w:type="dxa"/>
            <w:vAlign w:val="top"/>
          </w:tcPr>
          <w:p w14:paraId="33823495">
            <w:pPr>
              <w:rPr>
                <w:rFonts w:ascii="Arial"/>
                <w:sz w:val="21"/>
              </w:rPr>
            </w:pPr>
          </w:p>
        </w:tc>
      </w:tr>
      <w:tr w14:paraId="583690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9" w:hRule="atLeast"/>
        </w:trPr>
        <w:tc>
          <w:tcPr>
            <w:tcW w:w="714" w:type="dxa"/>
            <w:vAlign w:val="top"/>
          </w:tcPr>
          <w:p w14:paraId="7FFDAD39">
            <w:pPr>
              <w:pStyle w:val="6"/>
              <w:spacing w:before="118" w:line="238" w:lineRule="auto"/>
              <w:ind w:left="295"/>
            </w:pPr>
            <w:r>
              <w:t>3</w:t>
            </w:r>
          </w:p>
        </w:tc>
        <w:tc>
          <w:tcPr>
            <w:tcW w:w="2407" w:type="dxa"/>
            <w:vAlign w:val="top"/>
          </w:tcPr>
          <w:p w14:paraId="6CC5C3EB">
            <w:pPr>
              <w:pStyle w:val="6"/>
              <w:spacing w:before="97" w:line="219" w:lineRule="auto"/>
              <w:ind w:left="140"/>
            </w:pPr>
            <w:r>
              <w:rPr>
                <w:spacing w:val="2"/>
              </w:rPr>
              <w:t>缺陷责任期</w:t>
            </w:r>
          </w:p>
        </w:tc>
        <w:tc>
          <w:tcPr>
            <w:tcW w:w="1318" w:type="dxa"/>
            <w:vAlign w:val="top"/>
          </w:tcPr>
          <w:p w14:paraId="2D885D4F">
            <w:pPr>
              <w:pStyle w:val="6"/>
              <w:spacing w:before="118" w:line="238" w:lineRule="auto"/>
              <w:ind w:left="173"/>
            </w:pPr>
            <w:r>
              <w:rPr>
                <w:spacing w:val="-3"/>
              </w:rPr>
              <w:t>1.1.4.4</w:t>
            </w:r>
          </w:p>
        </w:tc>
        <w:tc>
          <w:tcPr>
            <w:tcW w:w="4196" w:type="dxa"/>
            <w:vAlign w:val="top"/>
          </w:tcPr>
          <w:p w14:paraId="1DBD04D5">
            <w:pPr>
              <w:rPr>
                <w:rFonts w:ascii="Arial"/>
                <w:sz w:val="21"/>
              </w:rPr>
            </w:pPr>
          </w:p>
        </w:tc>
        <w:tc>
          <w:tcPr>
            <w:tcW w:w="724" w:type="dxa"/>
            <w:vAlign w:val="top"/>
          </w:tcPr>
          <w:p w14:paraId="524B38B4">
            <w:pPr>
              <w:rPr>
                <w:rFonts w:ascii="Arial"/>
                <w:sz w:val="21"/>
              </w:rPr>
            </w:pPr>
          </w:p>
        </w:tc>
      </w:tr>
      <w:tr w14:paraId="4BA4CE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714" w:type="dxa"/>
            <w:vAlign w:val="top"/>
          </w:tcPr>
          <w:p w14:paraId="2DDB1D0C">
            <w:pPr>
              <w:pStyle w:val="6"/>
              <w:spacing w:before="209" w:line="241" w:lineRule="auto"/>
              <w:ind w:left="295"/>
            </w:pPr>
            <w:r>
              <w:t>4</w:t>
            </w:r>
          </w:p>
        </w:tc>
        <w:tc>
          <w:tcPr>
            <w:tcW w:w="2407" w:type="dxa"/>
            <w:vAlign w:val="top"/>
          </w:tcPr>
          <w:p w14:paraId="149A0DAF">
            <w:pPr>
              <w:pStyle w:val="6"/>
              <w:spacing w:before="59" w:line="224" w:lineRule="auto"/>
              <w:ind w:left="140" w:right="177" w:hanging="9"/>
            </w:pPr>
            <w:r>
              <w:rPr>
                <w:spacing w:val="-2"/>
              </w:rPr>
              <w:t>项目经理每月在施工现</w:t>
            </w:r>
            <w:r>
              <w:rPr>
                <w:spacing w:val="7"/>
              </w:rPr>
              <w:t xml:space="preserve"> </w:t>
            </w:r>
            <w:r>
              <w:rPr>
                <w:spacing w:val="5"/>
              </w:rPr>
              <w:t>场的时间</w:t>
            </w:r>
          </w:p>
        </w:tc>
        <w:tc>
          <w:tcPr>
            <w:tcW w:w="1318" w:type="dxa"/>
            <w:vAlign w:val="top"/>
          </w:tcPr>
          <w:p w14:paraId="148A7BE4">
            <w:pPr>
              <w:pStyle w:val="6"/>
              <w:spacing w:before="209" w:line="239" w:lineRule="auto"/>
              <w:ind w:left="173"/>
            </w:pPr>
            <w:r>
              <w:rPr>
                <w:spacing w:val="-2"/>
              </w:rPr>
              <w:t>3.2.1</w:t>
            </w:r>
          </w:p>
        </w:tc>
        <w:tc>
          <w:tcPr>
            <w:tcW w:w="4196" w:type="dxa"/>
            <w:vAlign w:val="top"/>
          </w:tcPr>
          <w:p w14:paraId="42919DAD">
            <w:pPr>
              <w:rPr>
                <w:rFonts w:ascii="Arial"/>
                <w:sz w:val="21"/>
              </w:rPr>
            </w:pPr>
          </w:p>
        </w:tc>
        <w:tc>
          <w:tcPr>
            <w:tcW w:w="724" w:type="dxa"/>
            <w:vAlign w:val="top"/>
          </w:tcPr>
          <w:p w14:paraId="77D82DDA">
            <w:pPr>
              <w:rPr>
                <w:rFonts w:ascii="Arial"/>
                <w:sz w:val="21"/>
              </w:rPr>
            </w:pPr>
          </w:p>
        </w:tc>
      </w:tr>
      <w:tr w14:paraId="5424FD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714" w:type="dxa"/>
            <w:vAlign w:val="top"/>
          </w:tcPr>
          <w:p w14:paraId="496D5FD3">
            <w:pPr>
              <w:pStyle w:val="6"/>
              <w:spacing w:before="200"/>
              <w:ind w:left="295"/>
            </w:pPr>
            <w:r>
              <w:t>5</w:t>
            </w:r>
          </w:p>
        </w:tc>
        <w:tc>
          <w:tcPr>
            <w:tcW w:w="2407" w:type="dxa"/>
            <w:vAlign w:val="top"/>
          </w:tcPr>
          <w:p w14:paraId="1C80F7B6">
            <w:pPr>
              <w:pStyle w:val="6"/>
              <w:spacing w:before="60" w:line="219" w:lineRule="auto"/>
              <w:ind w:left="140" w:right="154" w:hanging="9"/>
            </w:pPr>
            <w:r>
              <w:rPr>
                <w:spacing w:val="1"/>
              </w:rPr>
              <w:t>项目经理擅自离开施工</w:t>
            </w:r>
            <w:r>
              <w:t xml:space="preserve"> </w:t>
            </w:r>
            <w:r>
              <w:rPr>
                <w:spacing w:val="-2"/>
              </w:rPr>
              <w:t>现场的违约责任</w:t>
            </w:r>
          </w:p>
        </w:tc>
        <w:tc>
          <w:tcPr>
            <w:tcW w:w="1318" w:type="dxa"/>
            <w:vAlign w:val="top"/>
          </w:tcPr>
          <w:p w14:paraId="129521D2">
            <w:pPr>
              <w:pStyle w:val="6"/>
              <w:spacing w:before="200" w:line="239" w:lineRule="auto"/>
              <w:ind w:left="173"/>
            </w:pPr>
            <w:r>
              <w:rPr>
                <w:spacing w:val="-2"/>
              </w:rPr>
              <w:t>3.2.1</w:t>
            </w:r>
          </w:p>
        </w:tc>
        <w:tc>
          <w:tcPr>
            <w:tcW w:w="4196" w:type="dxa"/>
            <w:vAlign w:val="top"/>
          </w:tcPr>
          <w:p w14:paraId="4DA752D1">
            <w:pPr>
              <w:rPr>
                <w:rFonts w:ascii="Arial"/>
                <w:sz w:val="21"/>
              </w:rPr>
            </w:pPr>
          </w:p>
        </w:tc>
        <w:tc>
          <w:tcPr>
            <w:tcW w:w="724" w:type="dxa"/>
            <w:vAlign w:val="top"/>
          </w:tcPr>
          <w:p w14:paraId="0405C74D">
            <w:pPr>
              <w:rPr>
                <w:rFonts w:ascii="Arial"/>
                <w:sz w:val="21"/>
              </w:rPr>
            </w:pPr>
          </w:p>
        </w:tc>
      </w:tr>
      <w:tr w14:paraId="532B88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9" w:hRule="atLeast"/>
        </w:trPr>
        <w:tc>
          <w:tcPr>
            <w:tcW w:w="714" w:type="dxa"/>
            <w:vAlign w:val="top"/>
          </w:tcPr>
          <w:p w14:paraId="5C6E4FBB">
            <w:pPr>
              <w:pStyle w:val="6"/>
              <w:spacing w:before="201"/>
              <w:ind w:left="295"/>
            </w:pPr>
            <w:r>
              <w:t>6</w:t>
            </w:r>
          </w:p>
        </w:tc>
        <w:tc>
          <w:tcPr>
            <w:tcW w:w="2407" w:type="dxa"/>
            <w:vAlign w:val="top"/>
          </w:tcPr>
          <w:p w14:paraId="3A82EBE4">
            <w:pPr>
              <w:pStyle w:val="6"/>
              <w:spacing w:before="41" w:line="223" w:lineRule="auto"/>
              <w:ind w:left="140" w:right="175" w:hanging="9"/>
            </w:pPr>
            <w:r>
              <w:rPr>
                <w:spacing w:val="-1"/>
              </w:rPr>
              <w:t>擅自更换项目经理的违</w:t>
            </w:r>
            <w:r>
              <w:t xml:space="preserve"> </w:t>
            </w:r>
            <w:r>
              <w:rPr>
                <w:spacing w:val="3"/>
              </w:rPr>
              <w:t>约责任</w:t>
            </w:r>
          </w:p>
        </w:tc>
        <w:tc>
          <w:tcPr>
            <w:tcW w:w="1318" w:type="dxa"/>
            <w:vAlign w:val="top"/>
          </w:tcPr>
          <w:p w14:paraId="710EE5B6">
            <w:pPr>
              <w:pStyle w:val="6"/>
              <w:spacing w:before="201" w:line="239" w:lineRule="auto"/>
              <w:ind w:left="173"/>
            </w:pPr>
            <w:r>
              <w:rPr>
                <w:spacing w:val="-2"/>
              </w:rPr>
              <w:t>3.2.3</w:t>
            </w:r>
          </w:p>
        </w:tc>
        <w:tc>
          <w:tcPr>
            <w:tcW w:w="4196" w:type="dxa"/>
            <w:vAlign w:val="top"/>
          </w:tcPr>
          <w:p w14:paraId="203C71E1">
            <w:pPr>
              <w:rPr>
                <w:rFonts w:ascii="Arial"/>
                <w:sz w:val="21"/>
              </w:rPr>
            </w:pPr>
          </w:p>
        </w:tc>
        <w:tc>
          <w:tcPr>
            <w:tcW w:w="724" w:type="dxa"/>
            <w:vAlign w:val="top"/>
          </w:tcPr>
          <w:p w14:paraId="3CE67444">
            <w:pPr>
              <w:rPr>
                <w:rFonts w:ascii="Arial"/>
                <w:sz w:val="21"/>
              </w:rPr>
            </w:pPr>
          </w:p>
        </w:tc>
      </w:tr>
      <w:tr w14:paraId="0439E8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714" w:type="dxa"/>
            <w:vAlign w:val="top"/>
          </w:tcPr>
          <w:p w14:paraId="210A3F79">
            <w:pPr>
              <w:pStyle w:val="6"/>
              <w:spacing w:before="202"/>
              <w:ind w:left="295"/>
            </w:pPr>
            <w:r>
              <w:t>7</w:t>
            </w:r>
          </w:p>
        </w:tc>
        <w:tc>
          <w:tcPr>
            <w:tcW w:w="2407" w:type="dxa"/>
            <w:vAlign w:val="top"/>
          </w:tcPr>
          <w:p w14:paraId="34F9CA59">
            <w:pPr>
              <w:pStyle w:val="6"/>
              <w:spacing w:before="51" w:line="223" w:lineRule="auto"/>
              <w:ind w:left="140" w:right="152" w:hanging="9"/>
            </w:pPr>
            <w:r>
              <w:rPr>
                <w:spacing w:val="1"/>
              </w:rPr>
              <w:t>无正当理由拒绝更换项 目经理的违约责任</w:t>
            </w:r>
          </w:p>
        </w:tc>
        <w:tc>
          <w:tcPr>
            <w:tcW w:w="1318" w:type="dxa"/>
            <w:vAlign w:val="top"/>
          </w:tcPr>
          <w:p w14:paraId="27C4F45C">
            <w:pPr>
              <w:pStyle w:val="6"/>
              <w:spacing w:before="202" w:line="239" w:lineRule="auto"/>
              <w:ind w:left="173"/>
            </w:pPr>
            <w:r>
              <w:rPr>
                <w:spacing w:val="-2"/>
              </w:rPr>
              <w:t>3.2.4</w:t>
            </w:r>
          </w:p>
        </w:tc>
        <w:tc>
          <w:tcPr>
            <w:tcW w:w="4196" w:type="dxa"/>
            <w:vAlign w:val="top"/>
          </w:tcPr>
          <w:p w14:paraId="00EF3C10">
            <w:pPr>
              <w:rPr>
                <w:rFonts w:ascii="Arial"/>
                <w:sz w:val="21"/>
              </w:rPr>
            </w:pPr>
          </w:p>
        </w:tc>
        <w:tc>
          <w:tcPr>
            <w:tcW w:w="724" w:type="dxa"/>
            <w:vAlign w:val="top"/>
          </w:tcPr>
          <w:p w14:paraId="52B8A3A9">
            <w:pPr>
              <w:rPr>
                <w:rFonts w:ascii="Arial"/>
                <w:sz w:val="21"/>
              </w:rPr>
            </w:pPr>
          </w:p>
        </w:tc>
      </w:tr>
      <w:tr w14:paraId="0A85EE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trPr>
        <w:tc>
          <w:tcPr>
            <w:tcW w:w="714" w:type="dxa"/>
            <w:vAlign w:val="top"/>
          </w:tcPr>
          <w:p w14:paraId="75DFD788">
            <w:pPr>
              <w:pStyle w:val="6"/>
              <w:spacing w:before="113" w:line="233" w:lineRule="auto"/>
              <w:ind w:left="295"/>
            </w:pPr>
            <w:r>
              <w:t>8</w:t>
            </w:r>
          </w:p>
        </w:tc>
        <w:tc>
          <w:tcPr>
            <w:tcW w:w="2407" w:type="dxa"/>
            <w:vAlign w:val="top"/>
          </w:tcPr>
          <w:p w14:paraId="7D2E626C">
            <w:pPr>
              <w:pStyle w:val="6"/>
              <w:spacing w:before="92" w:line="219" w:lineRule="auto"/>
              <w:ind w:left="140"/>
            </w:pPr>
            <w:r>
              <w:rPr>
                <w:spacing w:val="-1"/>
              </w:rPr>
              <w:t>承包人履约担保金额</w:t>
            </w:r>
          </w:p>
        </w:tc>
        <w:tc>
          <w:tcPr>
            <w:tcW w:w="1318" w:type="dxa"/>
            <w:vAlign w:val="top"/>
          </w:tcPr>
          <w:p w14:paraId="11695C01">
            <w:pPr>
              <w:pStyle w:val="6"/>
              <w:spacing w:before="113" w:line="233" w:lineRule="auto"/>
              <w:ind w:left="173"/>
            </w:pPr>
            <w:r>
              <w:rPr>
                <w:spacing w:val="-3"/>
              </w:rPr>
              <w:t>3.7</w:t>
            </w:r>
          </w:p>
        </w:tc>
        <w:tc>
          <w:tcPr>
            <w:tcW w:w="4196" w:type="dxa"/>
            <w:vAlign w:val="top"/>
          </w:tcPr>
          <w:p w14:paraId="637A28AA">
            <w:pPr>
              <w:rPr>
                <w:rFonts w:ascii="Arial"/>
                <w:sz w:val="21"/>
              </w:rPr>
            </w:pPr>
          </w:p>
        </w:tc>
        <w:tc>
          <w:tcPr>
            <w:tcW w:w="724" w:type="dxa"/>
            <w:vAlign w:val="top"/>
          </w:tcPr>
          <w:p w14:paraId="32CE5941">
            <w:pPr>
              <w:rPr>
                <w:rFonts w:ascii="Arial"/>
                <w:sz w:val="21"/>
              </w:rPr>
            </w:pPr>
          </w:p>
        </w:tc>
      </w:tr>
      <w:tr w14:paraId="0EE363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14" w:type="dxa"/>
            <w:vAlign w:val="top"/>
          </w:tcPr>
          <w:p w14:paraId="5D67D641">
            <w:pPr>
              <w:pStyle w:val="6"/>
              <w:spacing w:before="94" w:line="216" w:lineRule="auto"/>
              <w:ind w:left="295"/>
            </w:pPr>
            <w:r>
              <w:t>9</w:t>
            </w:r>
          </w:p>
        </w:tc>
        <w:tc>
          <w:tcPr>
            <w:tcW w:w="2407" w:type="dxa"/>
            <w:vAlign w:val="top"/>
          </w:tcPr>
          <w:p w14:paraId="3F0C7EE4">
            <w:pPr>
              <w:pStyle w:val="6"/>
              <w:spacing w:before="74" w:line="220" w:lineRule="auto"/>
              <w:ind w:left="140"/>
            </w:pPr>
            <w:r>
              <w:rPr>
                <w:spacing w:val="4"/>
              </w:rPr>
              <w:t>分包</w:t>
            </w:r>
          </w:p>
        </w:tc>
        <w:tc>
          <w:tcPr>
            <w:tcW w:w="1318" w:type="dxa"/>
            <w:vAlign w:val="top"/>
          </w:tcPr>
          <w:p w14:paraId="6FBE9971">
            <w:pPr>
              <w:pStyle w:val="6"/>
              <w:spacing w:before="94" w:line="216" w:lineRule="auto"/>
              <w:ind w:left="173"/>
            </w:pPr>
            <w:r>
              <w:rPr>
                <w:spacing w:val="-2"/>
              </w:rPr>
              <w:t>3.5.2</w:t>
            </w:r>
          </w:p>
        </w:tc>
        <w:tc>
          <w:tcPr>
            <w:tcW w:w="4196" w:type="dxa"/>
            <w:vAlign w:val="top"/>
          </w:tcPr>
          <w:p w14:paraId="7610AEA4">
            <w:pPr>
              <w:pStyle w:val="6"/>
              <w:spacing w:before="72" w:line="219" w:lineRule="auto"/>
              <w:ind w:left="125"/>
            </w:pPr>
            <w:r>
              <w:rPr>
                <w:spacing w:val="1"/>
              </w:rPr>
              <w:t>见拟分包计划表</w:t>
            </w:r>
          </w:p>
        </w:tc>
        <w:tc>
          <w:tcPr>
            <w:tcW w:w="724" w:type="dxa"/>
            <w:vAlign w:val="top"/>
          </w:tcPr>
          <w:p w14:paraId="7529D910">
            <w:pPr>
              <w:rPr>
                <w:rFonts w:ascii="Arial"/>
                <w:sz w:val="21"/>
              </w:rPr>
            </w:pPr>
          </w:p>
        </w:tc>
      </w:tr>
      <w:tr w14:paraId="2A490F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0" w:hRule="atLeast"/>
        </w:trPr>
        <w:tc>
          <w:tcPr>
            <w:tcW w:w="714" w:type="dxa"/>
            <w:vAlign w:val="top"/>
          </w:tcPr>
          <w:p w14:paraId="71A13E34">
            <w:pPr>
              <w:pStyle w:val="6"/>
              <w:spacing w:before="133"/>
              <w:ind w:left="244"/>
            </w:pPr>
            <w:r>
              <w:rPr>
                <w:spacing w:val="-6"/>
              </w:rPr>
              <w:t>10</w:t>
            </w:r>
          </w:p>
        </w:tc>
        <w:tc>
          <w:tcPr>
            <w:tcW w:w="2407" w:type="dxa"/>
            <w:vAlign w:val="top"/>
          </w:tcPr>
          <w:p w14:paraId="7D9C0BB9">
            <w:pPr>
              <w:pStyle w:val="6"/>
              <w:spacing w:before="113" w:line="219" w:lineRule="auto"/>
              <w:ind w:left="140"/>
            </w:pPr>
            <w:r>
              <w:rPr>
                <w:spacing w:val="-1"/>
              </w:rPr>
              <w:t>逾期竣工违约金</w:t>
            </w:r>
          </w:p>
        </w:tc>
        <w:tc>
          <w:tcPr>
            <w:tcW w:w="1318" w:type="dxa"/>
            <w:vAlign w:val="top"/>
          </w:tcPr>
          <w:p w14:paraId="44F5CB03">
            <w:pPr>
              <w:pStyle w:val="6"/>
              <w:spacing w:before="134" w:line="239" w:lineRule="auto"/>
              <w:ind w:left="173"/>
            </w:pPr>
            <w:r>
              <w:rPr>
                <w:spacing w:val="-3"/>
              </w:rPr>
              <w:t>7.5.2</w:t>
            </w:r>
          </w:p>
        </w:tc>
        <w:tc>
          <w:tcPr>
            <w:tcW w:w="4196" w:type="dxa"/>
            <w:vAlign w:val="top"/>
          </w:tcPr>
          <w:p w14:paraId="6AA0D718">
            <w:pPr>
              <w:pStyle w:val="6"/>
              <w:spacing w:before="114" w:line="220" w:lineRule="auto"/>
              <w:ind w:left="1276"/>
            </w:pPr>
            <w:r>
              <w:rPr>
                <w:spacing w:val="-2"/>
              </w:rPr>
              <w:t>元/天</w:t>
            </w:r>
          </w:p>
        </w:tc>
        <w:tc>
          <w:tcPr>
            <w:tcW w:w="724" w:type="dxa"/>
            <w:vAlign w:val="top"/>
          </w:tcPr>
          <w:p w14:paraId="768FBC15">
            <w:pPr>
              <w:rPr>
                <w:rFonts w:ascii="Arial"/>
                <w:sz w:val="21"/>
              </w:rPr>
            </w:pPr>
          </w:p>
        </w:tc>
      </w:tr>
      <w:tr w14:paraId="44F68E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714" w:type="dxa"/>
            <w:vAlign w:val="top"/>
          </w:tcPr>
          <w:p w14:paraId="3ED8C2BC">
            <w:pPr>
              <w:pStyle w:val="6"/>
              <w:spacing w:before="134" w:line="241" w:lineRule="auto"/>
              <w:ind w:left="244"/>
            </w:pPr>
            <w:r>
              <w:rPr>
                <w:spacing w:val="-6"/>
              </w:rPr>
              <w:t>11</w:t>
            </w:r>
          </w:p>
        </w:tc>
        <w:tc>
          <w:tcPr>
            <w:tcW w:w="2407" w:type="dxa"/>
            <w:vAlign w:val="top"/>
          </w:tcPr>
          <w:p w14:paraId="40F97936">
            <w:pPr>
              <w:pStyle w:val="6"/>
              <w:spacing w:before="113" w:line="219" w:lineRule="auto"/>
              <w:ind w:left="140"/>
            </w:pPr>
            <w:r>
              <w:rPr>
                <w:spacing w:val="-1"/>
              </w:rPr>
              <w:t>逾期竣工违约金的上限</w:t>
            </w:r>
          </w:p>
        </w:tc>
        <w:tc>
          <w:tcPr>
            <w:tcW w:w="1318" w:type="dxa"/>
            <w:vAlign w:val="top"/>
          </w:tcPr>
          <w:p w14:paraId="2DA51E50">
            <w:pPr>
              <w:pStyle w:val="6"/>
              <w:spacing w:before="134" w:line="239" w:lineRule="auto"/>
              <w:ind w:left="173"/>
            </w:pPr>
            <w:r>
              <w:rPr>
                <w:spacing w:val="-3"/>
              </w:rPr>
              <w:t>7.5.2</w:t>
            </w:r>
          </w:p>
        </w:tc>
        <w:tc>
          <w:tcPr>
            <w:tcW w:w="4196" w:type="dxa"/>
            <w:vAlign w:val="top"/>
          </w:tcPr>
          <w:p w14:paraId="05E64501">
            <w:pPr>
              <w:rPr>
                <w:rFonts w:ascii="Arial"/>
                <w:sz w:val="21"/>
              </w:rPr>
            </w:pPr>
          </w:p>
        </w:tc>
        <w:tc>
          <w:tcPr>
            <w:tcW w:w="724" w:type="dxa"/>
            <w:vAlign w:val="top"/>
          </w:tcPr>
          <w:p w14:paraId="0E2286EA">
            <w:pPr>
              <w:rPr>
                <w:rFonts w:ascii="Arial"/>
                <w:sz w:val="21"/>
              </w:rPr>
            </w:pPr>
          </w:p>
        </w:tc>
      </w:tr>
      <w:tr w14:paraId="6A21BA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9" w:hRule="atLeast"/>
        </w:trPr>
        <w:tc>
          <w:tcPr>
            <w:tcW w:w="714" w:type="dxa"/>
            <w:vAlign w:val="top"/>
          </w:tcPr>
          <w:p w14:paraId="4AC9B506">
            <w:pPr>
              <w:pStyle w:val="6"/>
              <w:spacing w:before="205" w:line="241" w:lineRule="auto"/>
              <w:ind w:left="244"/>
            </w:pPr>
            <w:r>
              <w:rPr>
                <w:spacing w:val="-6"/>
              </w:rPr>
              <w:t>12</w:t>
            </w:r>
          </w:p>
        </w:tc>
        <w:tc>
          <w:tcPr>
            <w:tcW w:w="2407" w:type="dxa"/>
            <w:vAlign w:val="top"/>
          </w:tcPr>
          <w:p w14:paraId="490CA711">
            <w:pPr>
              <w:pStyle w:val="6"/>
              <w:spacing w:before="182" w:line="218" w:lineRule="auto"/>
              <w:ind w:left="140"/>
            </w:pPr>
            <w:r>
              <w:rPr>
                <w:spacing w:val="-1"/>
              </w:rPr>
              <w:t>价格调整的差额计算</w:t>
            </w:r>
          </w:p>
        </w:tc>
        <w:tc>
          <w:tcPr>
            <w:tcW w:w="1318" w:type="dxa"/>
            <w:vAlign w:val="top"/>
          </w:tcPr>
          <w:p w14:paraId="1EA110FC">
            <w:pPr>
              <w:pStyle w:val="6"/>
              <w:spacing w:before="205" w:line="239" w:lineRule="auto"/>
              <w:ind w:left="173"/>
            </w:pPr>
            <w:r>
              <w:rPr>
                <w:spacing w:val="-5"/>
              </w:rPr>
              <w:t>11.1</w:t>
            </w:r>
          </w:p>
        </w:tc>
        <w:tc>
          <w:tcPr>
            <w:tcW w:w="4196" w:type="dxa"/>
            <w:vAlign w:val="top"/>
          </w:tcPr>
          <w:p w14:paraId="18421F5A">
            <w:pPr>
              <w:pStyle w:val="6"/>
              <w:spacing w:before="32" w:line="227" w:lineRule="auto"/>
              <w:ind w:left="125" w:right="87" w:hanging="10"/>
            </w:pPr>
            <w:r>
              <w:rPr>
                <w:spacing w:val="-1"/>
              </w:rPr>
              <w:t>采用价格指数进行价格调整时，见价格指数</w:t>
            </w:r>
            <w:r>
              <w:rPr>
                <w:spacing w:val="10"/>
              </w:rPr>
              <w:t xml:space="preserve"> </w:t>
            </w:r>
            <w:r>
              <w:rPr>
                <w:spacing w:val="-2"/>
              </w:rPr>
              <w:t>权重表</w:t>
            </w:r>
          </w:p>
        </w:tc>
        <w:tc>
          <w:tcPr>
            <w:tcW w:w="724" w:type="dxa"/>
            <w:vAlign w:val="top"/>
          </w:tcPr>
          <w:p w14:paraId="25F01F50">
            <w:pPr>
              <w:rPr>
                <w:rFonts w:ascii="Arial"/>
                <w:sz w:val="21"/>
              </w:rPr>
            </w:pPr>
          </w:p>
        </w:tc>
      </w:tr>
      <w:tr w14:paraId="1CC511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9" w:hRule="atLeast"/>
        </w:trPr>
        <w:tc>
          <w:tcPr>
            <w:tcW w:w="714" w:type="dxa"/>
            <w:vAlign w:val="top"/>
          </w:tcPr>
          <w:p w14:paraId="36DDEE8E">
            <w:pPr>
              <w:pStyle w:val="6"/>
              <w:spacing w:before="145"/>
              <w:ind w:left="244"/>
            </w:pPr>
            <w:r>
              <w:rPr>
                <w:spacing w:val="-6"/>
              </w:rPr>
              <w:t>13</w:t>
            </w:r>
          </w:p>
        </w:tc>
        <w:tc>
          <w:tcPr>
            <w:tcW w:w="2407" w:type="dxa"/>
            <w:vAlign w:val="top"/>
          </w:tcPr>
          <w:p w14:paraId="6A5A0D34">
            <w:pPr>
              <w:pStyle w:val="6"/>
              <w:spacing w:before="125" w:line="219" w:lineRule="auto"/>
              <w:ind w:left="140"/>
            </w:pPr>
            <w:r>
              <w:rPr>
                <w:spacing w:val="-1"/>
              </w:rPr>
              <w:t>预付款支付比例或金额</w:t>
            </w:r>
          </w:p>
        </w:tc>
        <w:tc>
          <w:tcPr>
            <w:tcW w:w="1318" w:type="dxa"/>
            <w:vAlign w:val="top"/>
          </w:tcPr>
          <w:p w14:paraId="7FB8A270">
            <w:pPr>
              <w:pStyle w:val="6"/>
              <w:spacing w:before="146" w:line="239" w:lineRule="auto"/>
              <w:ind w:left="173"/>
            </w:pPr>
            <w:r>
              <w:rPr>
                <w:spacing w:val="-4"/>
              </w:rPr>
              <w:t>12.2.1</w:t>
            </w:r>
          </w:p>
        </w:tc>
        <w:tc>
          <w:tcPr>
            <w:tcW w:w="4196" w:type="dxa"/>
            <w:vAlign w:val="top"/>
          </w:tcPr>
          <w:p w14:paraId="41DAFC56">
            <w:pPr>
              <w:rPr>
                <w:rFonts w:ascii="Arial"/>
                <w:sz w:val="21"/>
              </w:rPr>
            </w:pPr>
          </w:p>
        </w:tc>
        <w:tc>
          <w:tcPr>
            <w:tcW w:w="724" w:type="dxa"/>
            <w:vAlign w:val="top"/>
          </w:tcPr>
          <w:p w14:paraId="587375E9">
            <w:pPr>
              <w:rPr>
                <w:rFonts w:ascii="Arial"/>
                <w:sz w:val="21"/>
              </w:rPr>
            </w:pPr>
          </w:p>
        </w:tc>
      </w:tr>
      <w:tr w14:paraId="5F7458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9" w:hRule="atLeast"/>
        </w:trPr>
        <w:tc>
          <w:tcPr>
            <w:tcW w:w="714" w:type="dxa"/>
            <w:vAlign w:val="top"/>
          </w:tcPr>
          <w:p w14:paraId="590E56CB">
            <w:pPr>
              <w:pStyle w:val="6"/>
              <w:spacing w:before="147" w:line="241" w:lineRule="auto"/>
              <w:ind w:left="244"/>
            </w:pPr>
            <w:r>
              <w:rPr>
                <w:spacing w:val="-6"/>
              </w:rPr>
              <w:t>14</w:t>
            </w:r>
          </w:p>
        </w:tc>
        <w:tc>
          <w:tcPr>
            <w:tcW w:w="2407" w:type="dxa"/>
            <w:vAlign w:val="top"/>
          </w:tcPr>
          <w:p w14:paraId="690D6378">
            <w:pPr>
              <w:pStyle w:val="6"/>
              <w:spacing w:before="126" w:line="219" w:lineRule="auto"/>
              <w:ind w:left="140"/>
            </w:pPr>
            <w:r>
              <w:rPr>
                <w:spacing w:val="1"/>
              </w:rPr>
              <w:t>质量保证金额度</w:t>
            </w:r>
          </w:p>
        </w:tc>
        <w:tc>
          <w:tcPr>
            <w:tcW w:w="1318" w:type="dxa"/>
            <w:vAlign w:val="top"/>
          </w:tcPr>
          <w:p w14:paraId="6BDDD146">
            <w:pPr>
              <w:pStyle w:val="6"/>
              <w:spacing w:before="147" w:line="239" w:lineRule="auto"/>
              <w:ind w:left="173"/>
            </w:pPr>
            <w:r>
              <w:rPr>
                <w:spacing w:val="-4"/>
              </w:rPr>
              <w:t>15.3.1</w:t>
            </w:r>
          </w:p>
        </w:tc>
        <w:tc>
          <w:tcPr>
            <w:tcW w:w="4196" w:type="dxa"/>
            <w:vAlign w:val="top"/>
          </w:tcPr>
          <w:p w14:paraId="71CF28C9">
            <w:pPr>
              <w:rPr>
                <w:rFonts w:ascii="Arial"/>
                <w:sz w:val="21"/>
              </w:rPr>
            </w:pPr>
          </w:p>
        </w:tc>
        <w:tc>
          <w:tcPr>
            <w:tcW w:w="724" w:type="dxa"/>
            <w:vAlign w:val="top"/>
          </w:tcPr>
          <w:p w14:paraId="4F5BBF08">
            <w:pPr>
              <w:rPr>
                <w:rFonts w:ascii="Arial"/>
                <w:sz w:val="21"/>
              </w:rPr>
            </w:pPr>
          </w:p>
        </w:tc>
      </w:tr>
      <w:tr w14:paraId="060F5A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trPr>
        <w:tc>
          <w:tcPr>
            <w:tcW w:w="714" w:type="dxa"/>
            <w:vAlign w:val="top"/>
          </w:tcPr>
          <w:p w14:paraId="19109A58">
            <w:pPr>
              <w:pStyle w:val="6"/>
              <w:spacing w:before="137"/>
              <w:ind w:left="244"/>
            </w:pPr>
            <w:r>
              <w:rPr>
                <w:spacing w:val="-6"/>
              </w:rPr>
              <w:t>15</w:t>
            </w:r>
          </w:p>
        </w:tc>
        <w:tc>
          <w:tcPr>
            <w:tcW w:w="2407" w:type="dxa"/>
            <w:vAlign w:val="top"/>
          </w:tcPr>
          <w:p w14:paraId="5F21899C">
            <w:pPr>
              <w:pStyle w:val="6"/>
              <w:spacing w:before="118" w:line="220" w:lineRule="auto"/>
              <w:ind w:left="140"/>
            </w:pPr>
            <w:r>
              <w:rPr>
                <w:spacing w:val="-1"/>
              </w:rPr>
              <w:t>质量保证金的扣留方式</w:t>
            </w:r>
          </w:p>
        </w:tc>
        <w:tc>
          <w:tcPr>
            <w:tcW w:w="1318" w:type="dxa"/>
            <w:vAlign w:val="top"/>
          </w:tcPr>
          <w:p w14:paraId="010D2B13">
            <w:pPr>
              <w:pStyle w:val="6"/>
              <w:spacing w:before="138" w:line="239" w:lineRule="auto"/>
              <w:ind w:left="173"/>
            </w:pPr>
            <w:r>
              <w:rPr>
                <w:spacing w:val="-4"/>
              </w:rPr>
              <w:t>15.3.2</w:t>
            </w:r>
          </w:p>
        </w:tc>
        <w:tc>
          <w:tcPr>
            <w:tcW w:w="4196" w:type="dxa"/>
            <w:vAlign w:val="top"/>
          </w:tcPr>
          <w:p w14:paraId="1DA9CB91">
            <w:pPr>
              <w:rPr>
                <w:rFonts w:ascii="Arial"/>
                <w:sz w:val="21"/>
              </w:rPr>
            </w:pPr>
          </w:p>
        </w:tc>
        <w:tc>
          <w:tcPr>
            <w:tcW w:w="724" w:type="dxa"/>
            <w:vAlign w:val="top"/>
          </w:tcPr>
          <w:p w14:paraId="71A3EC13">
            <w:pPr>
              <w:rPr>
                <w:rFonts w:ascii="Arial"/>
                <w:sz w:val="21"/>
              </w:rPr>
            </w:pPr>
          </w:p>
        </w:tc>
      </w:tr>
      <w:tr w14:paraId="6DE61F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9" w:hRule="atLeast"/>
        </w:trPr>
        <w:tc>
          <w:tcPr>
            <w:tcW w:w="714" w:type="dxa"/>
            <w:vAlign w:val="top"/>
          </w:tcPr>
          <w:p w14:paraId="67A7017C">
            <w:pPr>
              <w:pStyle w:val="6"/>
              <w:spacing w:before="188"/>
              <w:ind w:left="244"/>
            </w:pPr>
            <w:r>
              <w:rPr>
                <w:spacing w:val="-6"/>
              </w:rPr>
              <w:t>16</w:t>
            </w:r>
          </w:p>
        </w:tc>
        <w:tc>
          <w:tcPr>
            <w:tcW w:w="2407" w:type="dxa"/>
            <w:vAlign w:val="top"/>
          </w:tcPr>
          <w:p w14:paraId="4A634487">
            <w:pPr>
              <w:pStyle w:val="6"/>
              <w:spacing w:before="167" w:line="219" w:lineRule="auto"/>
              <w:ind w:left="140"/>
            </w:pPr>
            <w:r>
              <w:rPr>
                <w:spacing w:val="-2"/>
              </w:rPr>
              <w:t>技术标准和要求</w:t>
            </w:r>
          </w:p>
        </w:tc>
        <w:tc>
          <w:tcPr>
            <w:tcW w:w="1318" w:type="dxa"/>
            <w:vAlign w:val="top"/>
          </w:tcPr>
          <w:p w14:paraId="334A3562">
            <w:pPr>
              <w:rPr>
                <w:rFonts w:ascii="Arial"/>
                <w:sz w:val="21"/>
              </w:rPr>
            </w:pPr>
          </w:p>
        </w:tc>
        <w:tc>
          <w:tcPr>
            <w:tcW w:w="4196" w:type="dxa"/>
            <w:vAlign w:val="top"/>
          </w:tcPr>
          <w:p w14:paraId="6B571B1F">
            <w:pPr>
              <w:pStyle w:val="6"/>
              <w:spacing w:before="166" w:line="219" w:lineRule="auto"/>
              <w:ind w:left="125"/>
            </w:pPr>
            <w:r>
              <w:t>符合第七章“技术标准和要求”规定</w:t>
            </w:r>
          </w:p>
        </w:tc>
        <w:tc>
          <w:tcPr>
            <w:tcW w:w="724" w:type="dxa"/>
            <w:vAlign w:val="top"/>
          </w:tcPr>
          <w:p w14:paraId="6F327F68">
            <w:pPr>
              <w:rPr>
                <w:rFonts w:ascii="Arial"/>
                <w:sz w:val="21"/>
              </w:rPr>
            </w:pPr>
          </w:p>
        </w:tc>
      </w:tr>
      <w:tr w14:paraId="5CBB13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4" w:hRule="atLeast"/>
        </w:trPr>
        <w:tc>
          <w:tcPr>
            <w:tcW w:w="9359" w:type="dxa"/>
            <w:gridSpan w:val="5"/>
            <w:vAlign w:val="top"/>
          </w:tcPr>
          <w:p w14:paraId="3C909176">
            <w:pPr>
              <w:pStyle w:val="6"/>
              <w:spacing w:before="106" w:line="254" w:lineRule="auto"/>
              <w:ind w:left="124" w:firstLine="2"/>
            </w:pPr>
            <w:r>
              <w:rPr>
                <w:b/>
                <w:bCs/>
                <w:spacing w:val="-8"/>
              </w:rPr>
              <w:t>备</w:t>
            </w:r>
            <w:r>
              <w:rPr>
                <w:spacing w:val="-28"/>
              </w:rPr>
              <w:t xml:space="preserve"> </w:t>
            </w:r>
            <w:r>
              <w:rPr>
                <w:b/>
                <w:bCs/>
                <w:spacing w:val="-8"/>
              </w:rPr>
              <w:t>注</w:t>
            </w:r>
            <w:r>
              <w:rPr>
                <w:spacing w:val="-37"/>
              </w:rPr>
              <w:t xml:space="preserve"> </w:t>
            </w:r>
            <w:r>
              <w:rPr>
                <w:b/>
                <w:bCs/>
                <w:spacing w:val="-8"/>
              </w:rPr>
              <w:t>：</w:t>
            </w:r>
            <w:r>
              <w:rPr>
                <w:spacing w:val="-8"/>
              </w:rPr>
              <w:t>投标人在响应招标文件中规定的实质性要求和</w:t>
            </w:r>
            <w:r>
              <w:rPr>
                <w:spacing w:val="-9"/>
              </w:rPr>
              <w:t>条件的基础上，可做出其他有利于招标人的承诺。</w:t>
            </w:r>
            <w:r>
              <w:t xml:space="preserve"> </w:t>
            </w:r>
            <w:r>
              <w:rPr>
                <w:spacing w:val="-2"/>
              </w:rPr>
              <w:t>此类承诺可在本表中予以补充填写。</w:t>
            </w:r>
          </w:p>
        </w:tc>
      </w:tr>
    </w:tbl>
    <w:p w14:paraId="098CCECB">
      <w:pPr>
        <w:spacing w:line="393" w:lineRule="auto"/>
        <w:rPr>
          <w:rFonts w:ascii="Arial"/>
          <w:sz w:val="21"/>
        </w:rPr>
      </w:pPr>
    </w:p>
    <w:p w14:paraId="675B363D">
      <w:pPr>
        <w:pStyle w:val="2"/>
        <w:spacing w:before="68" w:line="226" w:lineRule="auto"/>
        <w:ind w:left="3694"/>
        <w:rPr>
          <w:sz w:val="21"/>
          <w:szCs w:val="21"/>
        </w:rPr>
      </w:pPr>
      <w:r>
        <w:rPr>
          <w:spacing w:val="-4"/>
          <w:sz w:val="21"/>
          <w:szCs w:val="21"/>
        </w:rPr>
        <w:t>投</w:t>
      </w:r>
      <w:r>
        <w:rPr>
          <w:spacing w:val="-21"/>
          <w:sz w:val="21"/>
          <w:szCs w:val="21"/>
        </w:rPr>
        <w:t xml:space="preserve"> </w:t>
      </w:r>
      <w:r>
        <w:rPr>
          <w:spacing w:val="-4"/>
          <w:sz w:val="21"/>
          <w:szCs w:val="21"/>
        </w:rPr>
        <w:t>标</w:t>
      </w:r>
      <w:r>
        <w:rPr>
          <w:spacing w:val="-20"/>
          <w:sz w:val="21"/>
          <w:szCs w:val="21"/>
        </w:rPr>
        <w:t xml:space="preserve"> </w:t>
      </w:r>
      <w:r>
        <w:rPr>
          <w:spacing w:val="-4"/>
          <w:sz w:val="21"/>
          <w:szCs w:val="21"/>
        </w:rPr>
        <w:t>人</w:t>
      </w:r>
      <w:r>
        <w:rPr>
          <w:spacing w:val="-31"/>
          <w:sz w:val="21"/>
          <w:szCs w:val="21"/>
        </w:rPr>
        <w:t xml:space="preserve"> </w:t>
      </w:r>
      <w:r>
        <w:rPr>
          <w:spacing w:val="-4"/>
          <w:sz w:val="21"/>
          <w:szCs w:val="21"/>
        </w:rPr>
        <w:t>：</w:t>
      </w:r>
      <w:r>
        <w:rPr>
          <w:spacing w:val="2"/>
          <w:sz w:val="21"/>
          <w:szCs w:val="21"/>
          <w:u w:val="single" w:color="auto"/>
        </w:rPr>
        <w:t xml:space="preserve">                      </w:t>
      </w:r>
      <w:r>
        <w:rPr>
          <w:spacing w:val="-4"/>
          <w:sz w:val="21"/>
          <w:szCs w:val="21"/>
        </w:rPr>
        <w:t xml:space="preserve"> (盖单位章)</w:t>
      </w:r>
    </w:p>
    <w:p w14:paraId="36886E4F">
      <w:pPr>
        <w:pStyle w:val="2"/>
        <w:spacing w:before="191" w:line="229" w:lineRule="auto"/>
        <w:ind w:left="3704"/>
        <w:rPr>
          <w:sz w:val="20"/>
          <w:szCs w:val="20"/>
        </w:rPr>
      </w:pPr>
      <w:r>
        <w:rPr>
          <w:spacing w:val="4"/>
          <w:sz w:val="21"/>
          <w:szCs w:val="21"/>
        </w:rPr>
        <w:t>法定代表人：</w:t>
      </w:r>
      <w:r>
        <w:rPr>
          <w:sz w:val="21"/>
          <w:szCs w:val="21"/>
          <w:u w:val="single" w:color="auto"/>
        </w:rPr>
        <w:t xml:space="preserve">                        </w:t>
      </w:r>
      <w:r>
        <w:rPr>
          <w:spacing w:val="4"/>
          <w:sz w:val="21"/>
          <w:szCs w:val="21"/>
        </w:rPr>
        <w:t xml:space="preserve"> </w:t>
      </w:r>
      <w:r>
        <w:rPr>
          <w:spacing w:val="4"/>
          <w:position w:val="1"/>
          <w:sz w:val="20"/>
          <w:szCs w:val="20"/>
        </w:rPr>
        <w:t>(签字)</w:t>
      </w:r>
    </w:p>
    <w:p w14:paraId="1EB0DB7D">
      <w:pPr>
        <w:pStyle w:val="2"/>
        <w:tabs>
          <w:tab w:val="left" w:pos="6004"/>
        </w:tabs>
        <w:spacing w:before="161" w:line="230" w:lineRule="auto"/>
        <w:ind w:left="5064"/>
        <w:rPr>
          <w:sz w:val="22"/>
          <w:szCs w:val="22"/>
        </w:rPr>
      </w:pPr>
      <w:r>
        <w:rPr>
          <w:sz w:val="23"/>
          <w:szCs w:val="23"/>
          <w:u w:val="single" w:color="auto"/>
        </w:rPr>
        <w:tab/>
      </w:r>
      <w:r>
        <w:rPr>
          <w:spacing w:val="-8"/>
          <w:sz w:val="23"/>
          <w:szCs w:val="23"/>
        </w:rPr>
        <w:t>年</w:t>
      </w:r>
      <w:r>
        <w:rPr>
          <w:spacing w:val="5"/>
          <w:sz w:val="23"/>
          <w:szCs w:val="23"/>
          <w:u w:val="single" w:color="auto"/>
        </w:rPr>
        <w:t xml:space="preserve">       </w:t>
      </w:r>
      <w:r>
        <w:rPr>
          <w:spacing w:val="-105"/>
          <w:sz w:val="23"/>
          <w:szCs w:val="23"/>
        </w:rPr>
        <w:t xml:space="preserve"> </w:t>
      </w:r>
      <w:r>
        <w:rPr>
          <w:spacing w:val="-8"/>
          <w:position w:val="1"/>
          <w:sz w:val="21"/>
          <w:szCs w:val="21"/>
        </w:rPr>
        <w:t>月</w:t>
      </w:r>
      <w:r>
        <w:rPr>
          <w:position w:val="1"/>
          <w:sz w:val="21"/>
          <w:szCs w:val="21"/>
          <w:u w:val="single" w:color="auto"/>
        </w:rPr>
        <w:t xml:space="preserve">        </w:t>
      </w:r>
      <w:r>
        <w:rPr>
          <w:spacing w:val="-92"/>
          <w:position w:val="1"/>
          <w:sz w:val="21"/>
          <w:szCs w:val="21"/>
        </w:rPr>
        <w:t xml:space="preserve"> </w:t>
      </w:r>
      <w:r>
        <w:rPr>
          <w:spacing w:val="-8"/>
          <w:position w:val="-1"/>
          <w:sz w:val="22"/>
          <w:szCs w:val="22"/>
        </w:rPr>
        <w:t>日</w:t>
      </w:r>
    </w:p>
    <w:p w14:paraId="0CDCDB85">
      <w:pPr>
        <w:spacing w:line="364" w:lineRule="auto"/>
        <w:rPr>
          <w:rFonts w:ascii="Arial"/>
          <w:sz w:val="21"/>
        </w:rPr>
      </w:pPr>
    </w:p>
    <w:p w14:paraId="0C379544">
      <w:pPr>
        <w:pStyle w:val="2"/>
        <w:spacing w:before="68" w:line="219" w:lineRule="auto"/>
        <w:ind w:left="15"/>
        <w:rPr>
          <w:sz w:val="21"/>
          <w:szCs w:val="21"/>
        </w:rPr>
      </w:pPr>
      <w:r>
        <w:rPr>
          <w:spacing w:val="1"/>
          <w:sz w:val="21"/>
          <w:szCs w:val="21"/>
        </w:rPr>
        <w:t>备注：本附录适用于《建设工程施工合同(示范文本)》(</w:t>
      </w:r>
      <w:r>
        <w:rPr>
          <w:sz w:val="21"/>
          <w:szCs w:val="21"/>
        </w:rPr>
        <w:t>GF</w:t>
      </w:r>
      <w:r>
        <w:rPr>
          <w:spacing w:val="1"/>
          <w:sz w:val="21"/>
          <w:szCs w:val="21"/>
        </w:rPr>
        <w:t>-2017-0</w:t>
      </w:r>
      <w:r>
        <w:rPr>
          <w:sz w:val="21"/>
          <w:szCs w:val="21"/>
        </w:rPr>
        <w:t>201)</w:t>
      </w:r>
    </w:p>
    <w:p w14:paraId="6F0B8EFE">
      <w:pPr>
        <w:spacing w:line="219" w:lineRule="auto"/>
        <w:rPr>
          <w:sz w:val="21"/>
          <w:szCs w:val="21"/>
        </w:rPr>
        <w:sectPr>
          <w:footerReference r:id="rId359" w:type="default"/>
          <w:pgSz w:w="11910" w:h="16840"/>
          <w:pgMar w:top="400" w:right="1095" w:bottom="1147" w:left="1445" w:header="0" w:footer="1021" w:gutter="0"/>
          <w:cols w:space="720" w:num="1"/>
        </w:sectPr>
      </w:pPr>
    </w:p>
    <w:p w14:paraId="12F2EE98">
      <w:pPr>
        <w:spacing w:line="277" w:lineRule="auto"/>
        <w:rPr>
          <w:rFonts w:ascii="Arial"/>
          <w:sz w:val="21"/>
        </w:rPr>
      </w:pPr>
    </w:p>
    <w:p w14:paraId="148FA1B9">
      <w:pPr>
        <w:spacing w:line="277" w:lineRule="auto"/>
        <w:rPr>
          <w:rFonts w:ascii="Arial"/>
          <w:sz w:val="21"/>
        </w:rPr>
      </w:pPr>
    </w:p>
    <w:p w14:paraId="76E4A187">
      <w:pPr>
        <w:spacing w:line="278" w:lineRule="auto"/>
        <w:rPr>
          <w:rFonts w:ascii="Arial"/>
          <w:sz w:val="21"/>
        </w:rPr>
      </w:pPr>
    </w:p>
    <w:p w14:paraId="649011E2">
      <w:pPr>
        <w:spacing w:line="278" w:lineRule="auto"/>
        <w:rPr>
          <w:rFonts w:ascii="Arial"/>
          <w:sz w:val="21"/>
        </w:rPr>
      </w:pPr>
    </w:p>
    <w:p w14:paraId="0BFC1230">
      <w:pPr>
        <w:spacing w:line="278" w:lineRule="auto"/>
        <w:rPr>
          <w:rFonts w:ascii="Arial"/>
          <w:sz w:val="21"/>
        </w:rPr>
      </w:pPr>
    </w:p>
    <w:p w14:paraId="388E0BF7">
      <w:pPr>
        <w:spacing w:before="78" w:line="222" w:lineRule="auto"/>
        <w:ind w:left="3618"/>
        <w:rPr>
          <w:rFonts w:ascii="黑体" w:hAnsi="黑体" w:eastAsia="黑体" w:cs="黑体"/>
          <w:sz w:val="24"/>
          <w:szCs w:val="24"/>
        </w:rPr>
      </w:pPr>
      <w:r>
        <w:rPr>
          <w:rFonts w:ascii="黑体" w:hAnsi="黑体" w:eastAsia="黑体" w:cs="黑体"/>
          <w:b/>
          <w:bCs/>
          <w:spacing w:val="-4"/>
          <w:sz w:val="24"/>
          <w:szCs w:val="24"/>
        </w:rPr>
        <w:t>价格指数权重表</w:t>
      </w:r>
    </w:p>
    <w:p w14:paraId="4F791AB1">
      <w:pPr>
        <w:spacing w:line="121" w:lineRule="exact"/>
      </w:pPr>
    </w:p>
    <w:tbl>
      <w:tblPr>
        <w:tblStyle w:val="5"/>
        <w:tblW w:w="847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4"/>
        <w:gridCol w:w="989"/>
        <w:gridCol w:w="699"/>
        <w:gridCol w:w="989"/>
        <w:gridCol w:w="719"/>
        <w:gridCol w:w="1278"/>
        <w:gridCol w:w="1678"/>
        <w:gridCol w:w="1703"/>
      </w:tblGrid>
      <w:tr w14:paraId="7D2826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trPr>
        <w:tc>
          <w:tcPr>
            <w:tcW w:w="1413" w:type="dxa"/>
            <w:gridSpan w:val="2"/>
            <w:vMerge w:val="restart"/>
            <w:tcBorders>
              <w:bottom w:val="nil"/>
            </w:tcBorders>
            <w:vAlign w:val="top"/>
          </w:tcPr>
          <w:p w14:paraId="6D4722E7">
            <w:pPr>
              <w:pStyle w:val="6"/>
              <w:spacing w:before="206" w:line="221" w:lineRule="auto"/>
              <w:ind w:left="414"/>
            </w:pPr>
            <w:r>
              <w:rPr>
                <w:spacing w:val="-6"/>
              </w:rPr>
              <w:t>名</w:t>
            </w:r>
            <w:r>
              <w:rPr>
                <w:spacing w:val="64"/>
              </w:rPr>
              <w:t xml:space="preserve"> </w:t>
            </w:r>
            <w:r>
              <w:rPr>
                <w:spacing w:val="-6"/>
              </w:rPr>
              <w:t>称</w:t>
            </w:r>
          </w:p>
        </w:tc>
        <w:tc>
          <w:tcPr>
            <w:tcW w:w="1688" w:type="dxa"/>
            <w:gridSpan w:val="2"/>
            <w:vAlign w:val="top"/>
          </w:tcPr>
          <w:p w14:paraId="524AE950">
            <w:pPr>
              <w:pStyle w:val="6"/>
              <w:spacing w:before="51" w:line="218" w:lineRule="auto"/>
              <w:ind w:left="222"/>
            </w:pPr>
            <w:r>
              <w:rPr>
                <w:spacing w:val="-2"/>
              </w:rPr>
              <w:t>基本价格指数</w:t>
            </w:r>
          </w:p>
        </w:tc>
        <w:tc>
          <w:tcPr>
            <w:tcW w:w="3675" w:type="dxa"/>
            <w:gridSpan w:val="3"/>
            <w:vAlign w:val="top"/>
          </w:tcPr>
          <w:p w14:paraId="04EA052A">
            <w:pPr>
              <w:pStyle w:val="6"/>
              <w:spacing w:before="53" w:line="219" w:lineRule="auto"/>
              <w:ind w:left="1373"/>
            </w:pPr>
            <w:r>
              <w:rPr>
                <w:spacing w:val="-4"/>
              </w:rPr>
              <w:t>权</w:t>
            </w:r>
            <w:r>
              <w:rPr>
                <w:spacing w:val="2"/>
              </w:rPr>
              <w:t xml:space="preserve">    </w:t>
            </w:r>
            <w:r>
              <w:rPr>
                <w:spacing w:val="-4"/>
              </w:rPr>
              <w:t>重</w:t>
            </w:r>
          </w:p>
        </w:tc>
        <w:tc>
          <w:tcPr>
            <w:tcW w:w="1703" w:type="dxa"/>
            <w:vMerge w:val="restart"/>
            <w:tcBorders>
              <w:bottom w:val="nil"/>
            </w:tcBorders>
            <w:vAlign w:val="top"/>
          </w:tcPr>
          <w:p w14:paraId="66A341BC">
            <w:pPr>
              <w:pStyle w:val="6"/>
              <w:spacing w:before="201" w:line="218" w:lineRule="auto"/>
              <w:ind w:left="238"/>
            </w:pPr>
            <w:r>
              <w:rPr>
                <w:spacing w:val="-2"/>
              </w:rPr>
              <w:t>价格指数来源</w:t>
            </w:r>
          </w:p>
        </w:tc>
      </w:tr>
      <w:tr w14:paraId="47A670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1413" w:type="dxa"/>
            <w:gridSpan w:val="2"/>
            <w:vMerge w:val="continue"/>
            <w:tcBorders>
              <w:top w:val="nil"/>
            </w:tcBorders>
            <w:vAlign w:val="top"/>
          </w:tcPr>
          <w:p w14:paraId="3A11BF36">
            <w:pPr>
              <w:rPr>
                <w:rFonts w:ascii="Arial"/>
                <w:sz w:val="21"/>
              </w:rPr>
            </w:pPr>
          </w:p>
        </w:tc>
        <w:tc>
          <w:tcPr>
            <w:tcW w:w="699" w:type="dxa"/>
            <w:vAlign w:val="top"/>
          </w:tcPr>
          <w:p w14:paraId="5DE381D6">
            <w:pPr>
              <w:pStyle w:val="6"/>
              <w:spacing w:before="39" w:line="202" w:lineRule="auto"/>
              <w:ind w:left="131"/>
            </w:pPr>
            <w:r>
              <w:rPr>
                <w:spacing w:val="6"/>
              </w:rPr>
              <w:t>代号</w:t>
            </w:r>
          </w:p>
        </w:tc>
        <w:tc>
          <w:tcPr>
            <w:tcW w:w="989" w:type="dxa"/>
            <w:vAlign w:val="top"/>
          </w:tcPr>
          <w:p w14:paraId="5C50DC62">
            <w:pPr>
              <w:pStyle w:val="6"/>
              <w:spacing w:before="39" w:line="202" w:lineRule="auto"/>
              <w:ind w:left="212"/>
            </w:pPr>
            <w:r>
              <w:rPr>
                <w:spacing w:val="-3"/>
              </w:rPr>
              <w:t>指数值</w:t>
            </w:r>
          </w:p>
        </w:tc>
        <w:tc>
          <w:tcPr>
            <w:tcW w:w="719" w:type="dxa"/>
            <w:vAlign w:val="top"/>
          </w:tcPr>
          <w:p w14:paraId="1FB61C68">
            <w:pPr>
              <w:pStyle w:val="6"/>
              <w:spacing w:before="39" w:line="202" w:lineRule="auto"/>
              <w:ind w:left="144"/>
            </w:pPr>
            <w:r>
              <w:rPr>
                <w:spacing w:val="6"/>
              </w:rPr>
              <w:t>代号</w:t>
            </w:r>
          </w:p>
        </w:tc>
        <w:tc>
          <w:tcPr>
            <w:tcW w:w="1278" w:type="dxa"/>
            <w:vAlign w:val="top"/>
          </w:tcPr>
          <w:p w14:paraId="5827123D">
            <w:pPr>
              <w:pStyle w:val="6"/>
              <w:spacing w:before="39" w:line="202" w:lineRule="auto"/>
              <w:ind w:left="214"/>
            </w:pPr>
            <w:r>
              <w:rPr>
                <w:spacing w:val="4"/>
              </w:rPr>
              <w:t>允许范围</w:t>
            </w:r>
          </w:p>
        </w:tc>
        <w:tc>
          <w:tcPr>
            <w:tcW w:w="1678" w:type="dxa"/>
            <w:vAlign w:val="top"/>
          </w:tcPr>
          <w:p w14:paraId="6F021A2C">
            <w:pPr>
              <w:pStyle w:val="6"/>
              <w:spacing w:before="39" w:line="202" w:lineRule="auto"/>
              <w:ind w:left="206"/>
            </w:pPr>
            <w:r>
              <w:rPr>
                <w:spacing w:val="-2"/>
              </w:rPr>
              <w:t>投标人建议值</w:t>
            </w:r>
          </w:p>
        </w:tc>
        <w:tc>
          <w:tcPr>
            <w:tcW w:w="1703" w:type="dxa"/>
            <w:vMerge w:val="continue"/>
            <w:tcBorders>
              <w:top w:val="nil"/>
            </w:tcBorders>
            <w:vAlign w:val="top"/>
          </w:tcPr>
          <w:p w14:paraId="0531BDC3">
            <w:pPr>
              <w:rPr>
                <w:rFonts w:ascii="Arial"/>
                <w:sz w:val="21"/>
              </w:rPr>
            </w:pPr>
          </w:p>
        </w:tc>
      </w:tr>
      <w:tr w14:paraId="223668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1413" w:type="dxa"/>
            <w:gridSpan w:val="2"/>
            <w:vAlign w:val="top"/>
          </w:tcPr>
          <w:p w14:paraId="757018FB">
            <w:pPr>
              <w:pStyle w:val="6"/>
              <w:spacing w:before="50" w:line="210" w:lineRule="auto"/>
              <w:ind w:left="275"/>
            </w:pPr>
            <w:r>
              <w:rPr>
                <w:spacing w:val="2"/>
              </w:rPr>
              <w:t>定值部分</w:t>
            </w:r>
          </w:p>
        </w:tc>
        <w:tc>
          <w:tcPr>
            <w:tcW w:w="699" w:type="dxa"/>
            <w:vAlign w:val="top"/>
          </w:tcPr>
          <w:p w14:paraId="50156DD6">
            <w:pPr>
              <w:rPr>
                <w:rFonts w:ascii="Arial"/>
                <w:sz w:val="21"/>
              </w:rPr>
            </w:pPr>
          </w:p>
        </w:tc>
        <w:tc>
          <w:tcPr>
            <w:tcW w:w="989" w:type="dxa"/>
            <w:vAlign w:val="top"/>
          </w:tcPr>
          <w:p w14:paraId="6A8EE2C1">
            <w:pPr>
              <w:rPr>
                <w:rFonts w:ascii="Arial"/>
                <w:sz w:val="21"/>
              </w:rPr>
            </w:pPr>
          </w:p>
        </w:tc>
        <w:tc>
          <w:tcPr>
            <w:tcW w:w="719" w:type="dxa"/>
            <w:vAlign w:val="top"/>
          </w:tcPr>
          <w:p w14:paraId="634A9361">
            <w:pPr>
              <w:pStyle w:val="6"/>
              <w:spacing w:before="103" w:line="163" w:lineRule="auto"/>
              <w:ind w:left="293"/>
            </w:pPr>
            <w:r>
              <w:t>A</w:t>
            </w:r>
          </w:p>
        </w:tc>
        <w:tc>
          <w:tcPr>
            <w:tcW w:w="1278" w:type="dxa"/>
            <w:vAlign w:val="top"/>
          </w:tcPr>
          <w:p w14:paraId="0198F7EB">
            <w:pPr>
              <w:rPr>
                <w:rFonts w:ascii="Arial"/>
                <w:sz w:val="21"/>
              </w:rPr>
            </w:pPr>
          </w:p>
        </w:tc>
        <w:tc>
          <w:tcPr>
            <w:tcW w:w="1678" w:type="dxa"/>
            <w:vAlign w:val="top"/>
          </w:tcPr>
          <w:p w14:paraId="53C071F8">
            <w:pPr>
              <w:rPr>
                <w:rFonts w:ascii="Arial"/>
                <w:sz w:val="21"/>
              </w:rPr>
            </w:pPr>
          </w:p>
        </w:tc>
        <w:tc>
          <w:tcPr>
            <w:tcW w:w="1703" w:type="dxa"/>
            <w:vAlign w:val="top"/>
          </w:tcPr>
          <w:p w14:paraId="68C2B4D3">
            <w:pPr>
              <w:rPr>
                <w:rFonts w:ascii="Arial"/>
                <w:sz w:val="21"/>
              </w:rPr>
            </w:pPr>
          </w:p>
        </w:tc>
      </w:tr>
      <w:tr w14:paraId="17F34F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424" w:type="dxa"/>
            <w:vMerge w:val="restart"/>
            <w:tcBorders>
              <w:bottom w:val="nil"/>
            </w:tcBorders>
            <w:textDirection w:val="tbRlV"/>
            <w:vAlign w:val="top"/>
          </w:tcPr>
          <w:p w14:paraId="7DCC38F7">
            <w:pPr>
              <w:pStyle w:val="6"/>
              <w:spacing w:before="107" w:line="201" w:lineRule="auto"/>
              <w:ind w:left="463"/>
            </w:pPr>
            <w:r>
              <w:t>变</w:t>
            </w:r>
            <w:r>
              <w:rPr>
                <w:spacing w:val="-27"/>
              </w:rPr>
              <w:t xml:space="preserve"> </w:t>
            </w:r>
            <w:r>
              <w:t>值</w:t>
            </w:r>
            <w:r>
              <w:rPr>
                <w:spacing w:val="-27"/>
              </w:rPr>
              <w:t xml:space="preserve"> </w:t>
            </w:r>
            <w:r>
              <w:t>部</w:t>
            </w:r>
            <w:r>
              <w:rPr>
                <w:spacing w:val="-27"/>
              </w:rPr>
              <w:t xml:space="preserve"> </w:t>
            </w:r>
            <w:r>
              <w:t>分</w:t>
            </w:r>
          </w:p>
        </w:tc>
        <w:tc>
          <w:tcPr>
            <w:tcW w:w="989" w:type="dxa"/>
            <w:vAlign w:val="top"/>
          </w:tcPr>
          <w:p w14:paraId="35950254">
            <w:pPr>
              <w:pStyle w:val="6"/>
              <w:spacing w:before="62" w:line="220" w:lineRule="auto"/>
              <w:ind w:left="170"/>
            </w:pPr>
            <w:r>
              <w:rPr>
                <w:spacing w:val="4"/>
              </w:rPr>
              <w:t>人工费</w:t>
            </w:r>
          </w:p>
        </w:tc>
        <w:tc>
          <w:tcPr>
            <w:tcW w:w="699" w:type="dxa"/>
            <w:vAlign w:val="top"/>
          </w:tcPr>
          <w:p w14:paraId="064BF7D8">
            <w:pPr>
              <w:pStyle w:val="6"/>
              <w:spacing w:before="115" w:line="179" w:lineRule="auto"/>
              <w:ind w:left="181"/>
            </w:pPr>
            <w:r>
              <w:rPr>
                <w:spacing w:val="-2"/>
              </w:rPr>
              <w:t>Fo1</w:t>
            </w:r>
          </w:p>
        </w:tc>
        <w:tc>
          <w:tcPr>
            <w:tcW w:w="989" w:type="dxa"/>
            <w:vAlign w:val="top"/>
          </w:tcPr>
          <w:p w14:paraId="605680A4">
            <w:pPr>
              <w:rPr>
                <w:rFonts w:ascii="Arial"/>
                <w:sz w:val="21"/>
              </w:rPr>
            </w:pPr>
          </w:p>
        </w:tc>
        <w:tc>
          <w:tcPr>
            <w:tcW w:w="719" w:type="dxa"/>
            <w:vAlign w:val="top"/>
          </w:tcPr>
          <w:p w14:paraId="766D9352">
            <w:pPr>
              <w:pStyle w:val="6"/>
              <w:spacing w:before="117" w:line="177" w:lineRule="auto"/>
              <w:ind w:left="293"/>
            </w:pPr>
            <w:r>
              <w:t>B</w:t>
            </w:r>
          </w:p>
        </w:tc>
        <w:tc>
          <w:tcPr>
            <w:tcW w:w="1278" w:type="dxa"/>
            <w:vAlign w:val="top"/>
          </w:tcPr>
          <w:p w14:paraId="6AC5EAFB">
            <w:pPr>
              <w:pStyle w:val="6"/>
              <w:spacing w:before="53" w:line="213" w:lineRule="auto"/>
              <w:ind w:left="474"/>
            </w:pPr>
            <w:r>
              <w:rPr>
                <w:spacing w:val="-5"/>
              </w:rPr>
              <w:t>至_</w:t>
            </w:r>
          </w:p>
        </w:tc>
        <w:tc>
          <w:tcPr>
            <w:tcW w:w="1678" w:type="dxa"/>
            <w:vAlign w:val="top"/>
          </w:tcPr>
          <w:p w14:paraId="6DFAD3B3">
            <w:pPr>
              <w:rPr>
                <w:rFonts w:ascii="Arial"/>
                <w:sz w:val="21"/>
              </w:rPr>
            </w:pPr>
          </w:p>
        </w:tc>
        <w:tc>
          <w:tcPr>
            <w:tcW w:w="1703" w:type="dxa"/>
            <w:vAlign w:val="top"/>
          </w:tcPr>
          <w:p w14:paraId="3B1218D4">
            <w:pPr>
              <w:rPr>
                <w:rFonts w:ascii="Arial"/>
                <w:sz w:val="21"/>
              </w:rPr>
            </w:pPr>
          </w:p>
        </w:tc>
      </w:tr>
      <w:tr w14:paraId="57E0E0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424" w:type="dxa"/>
            <w:vMerge w:val="continue"/>
            <w:tcBorders>
              <w:top w:val="nil"/>
              <w:bottom w:val="nil"/>
            </w:tcBorders>
            <w:textDirection w:val="tbRlV"/>
            <w:vAlign w:val="top"/>
          </w:tcPr>
          <w:p w14:paraId="62948A8F">
            <w:pPr>
              <w:rPr>
                <w:rFonts w:ascii="Arial"/>
                <w:sz w:val="21"/>
              </w:rPr>
            </w:pPr>
          </w:p>
        </w:tc>
        <w:tc>
          <w:tcPr>
            <w:tcW w:w="989" w:type="dxa"/>
            <w:vAlign w:val="top"/>
          </w:tcPr>
          <w:p w14:paraId="23E19D68">
            <w:pPr>
              <w:pStyle w:val="6"/>
              <w:spacing w:before="61" w:line="219" w:lineRule="auto"/>
              <w:ind w:left="270"/>
            </w:pPr>
            <w:r>
              <w:rPr>
                <w:spacing w:val="-2"/>
              </w:rPr>
              <w:t>钢材</w:t>
            </w:r>
          </w:p>
        </w:tc>
        <w:tc>
          <w:tcPr>
            <w:tcW w:w="699" w:type="dxa"/>
            <w:vAlign w:val="top"/>
          </w:tcPr>
          <w:p w14:paraId="624ABC86">
            <w:pPr>
              <w:pStyle w:val="6"/>
              <w:spacing w:before="97" w:line="182" w:lineRule="auto"/>
              <w:ind w:left="131"/>
              <w:rPr>
                <w:rFonts w:ascii="Calibri" w:hAnsi="Calibri" w:eastAsia="Calibri" w:cs="Calibri"/>
              </w:rPr>
            </w:pPr>
            <w:r>
              <w:rPr>
                <w:spacing w:val="-2"/>
              </w:rPr>
              <w:t>Fo</w:t>
            </w:r>
            <w:r>
              <w:rPr>
                <w:rFonts w:ascii="Calibri" w:hAnsi="Calibri" w:eastAsia="Calibri" w:cs="Calibri"/>
                <w:spacing w:val="-2"/>
              </w:rPr>
              <w:t>₂</w:t>
            </w:r>
          </w:p>
        </w:tc>
        <w:tc>
          <w:tcPr>
            <w:tcW w:w="989" w:type="dxa"/>
            <w:vAlign w:val="top"/>
          </w:tcPr>
          <w:p w14:paraId="758991E7">
            <w:pPr>
              <w:rPr>
                <w:rFonts w:ascii="Arial"/>
                <w:sz w:val="21"/>
              </w:rPr>
            </w:pPr>
          </w:p>
        </w:tc>
        <w:tc>
          <w:tcPr>
            <w:tcW w:w="719" w:type="dxa"/>
            <w:vAlign w:val="top"/>
          </w:tcPr>
          <w:p w14:paraId="4918E026">
            <w:pPr>
              <w:pStyle w:val="6"/>
              <w:spacing w:before="97" w:line="182" w:lineRule="auto"/>
              <w:ind w:left="193"/>
              <w:rPr>
                <w:rFonts w:ascii="Calibri" w:hAnsi="Calibri" w:eastAsia="Calibri" w:cs="Calibri"/>
              </w:rPr>
            </w:pPr>
            <w:r>
              <w:rPr>
                <w:spacing w:val="-2"/>
              </w:rPr>
              <w:t>B</w:t>
            </w:r>
            <w:r>
              <w:rPr>
                <w:rFonts w:ascii="Calibri" w:hAnsi="Calibri" w:eastAsia="Calibri" w:cs="Calibri"/>
                <w:spacing w:val="-2"/>
              </w:rPr>
              <w:t>₂</w:t>
            </w:r>
          </w:p>
        </w:tc>
        <w:tc>
          <w:tcPr>
            <w:tcW w:w="1278" w:type="dxa"/>
            <w:vAlign w:val="top"/>
          </w:tcPr>
          <w:p w14:paraId="3C3C8657">
            <w:pPr>
              <w:pStyle w:val="6"/>
              <w:spacing w:before="54" w:line="213" w:lineRule="auto"/>
              <w:ind w:left="474"/>
            </w:pPr>
            <w:r>
              <w:rPr>
                <w:spacing w:val="-5"/>
              </w:rPr>
              <w:t>至_</w:t>
            </w:r>
          </w:p>
        </w:tc>
        <w:tc>
          <w:tcPr>
            <w:tcW w:w="1678" w:type="dxa"/>
            <w:vAlign w:val="top"/>
          </w:tcPr>
          <w:p w14:paraId="4E5A297D">
            <w:pPr>
              <w:rPr>
                <w:rFonts w:ascii="Arial"/>
                <w:sz w:val="21"/>
              </w:rPr>
            </w:pPr>
          </w:p>
        </w:tc>
        <w:tc>
          <w:tcPr>
            <w:tcW w:w="1703" w:type="dxa"/>
            <w:vAlign w:val="top"/>
          </w:tcPr>
          <w:p w14:paraId="13B71B66">
            <w:pPr>
              <w:rPr>
                <w:rFonts w:ascii="Arial"/>
                <w:sz w:val="21"/>
              </w:rPr>
            </w:pPr>
          </w:p>
        </w:tc>
      </w:tr>
      <w:tr w14:paraId="3CEBF5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424" w:type="dxa"/>
            <w:vMerge w:val="continue"/>
            <w:tcBorders>
              <w:top w:val="nil"/>
              <w:bottom w:val="nil"/>
            </w:tcBorders>
            <w:textDirection w:val="tbRlV"/>
            <w:vAlign w:val="top"/>
          </w:tcPr>
          <w:p w14:paraId="42ED54B1">
            <w:pPr>
              <w:rPr>
                <w:rFonts w:ascii="Arial"/>
                <w:sz w:val="21"/>
              </w:rPr>
            </w:pPr>
          </w:p>
        </w:tc>
        <w:tc>
          <w:tcPr>
            <w:tcW w:w="989" w:type="dxa"/>
            <w:vAlign w:val="top"/>
          </w:tcPr>
          <w:p w14:paraId="229FD023">
            <w:pPr>
              <w:pStyle w:val="6"/>
              <w:spacing w:before="63" w:line="219" w:lineRule="auto"/>
              <w:ind w:left="270"/>
            </w:pPr>
            <w:r>
              <w:rPr>
                <w:spacing w:val="5"/>
              </w:rPr>
              <w:t>水泥</w:t>
            </w:r>
          </w:p>
        </w:tc>
        <w:tc>
          <w:tcPr>
            <w:tcW w:w="699" w:type="dxa"/>
            <w:vAlign w:val="top"/>
          </w:tcPr>
          <w:p w14:paraId="3222C776">
            <w:pPr>
              <w:pStyle w:val="6"/>
              <w:spacing w:before="96" w:line="182" w:lineRule="auto"/>
              <w:ind w:left="71"/>
              <w:rPr>
                <w:rFonts w:ascii="Calibri" w:hAnsi="Calibri" w:eastAsia="Calibri" w:cs="Calibri"/>
              </w:rPr>
            </w:pPr>
            <w:r>
              <w:rPr>
                <w:spacing w:val="-2"/>
              </w:rPr>
              <w:t>F</w:t>
            </w:r>
            <w:r>
              <w:rPr>
                <w:rFonts w:ascii="Calibri" w:hAnsi="Calibri" w:eastAsia="Calibri" w:cs="Calibri"/>
                <w:spacing w:val="-2"/>
              </w:rPr>
              <w:t>₀₃</w:t>
            </w:r>
          </w:p>
        </w:tc>
        <w:tc>
          <w:tcPr>
            <w:tcW w:w="989" w:type="dxa"/>
            <w:vAlign w:val="top"/>
          </w:tcPr>
          <w:p w14:paraId="7C2E6136">
            <w:pPr>
              <w:rPr>
                <w:rFonts w:ascii="Arial"/>
                <w:sz w:val="21"/>
              </w:rPr>
            </w:pPr>
          </w:p>
        </w:tc>
        <w:tc>
          <w:tcPr>
            <w:tcW w:w="719" w:type="dxa"/>
            <w:vAlign w:val="top"/>
          </w:tcPr>
          <w:p w14:paraId="1A136B98">
            <w:pPr>
              <w:pStyle w:val="6"/>
              <w:spacing w:before="96" w:line="182" w:lineRule="auto"/>
              <w:ind w:left="193"/>
              <w:rPr>
                <w:rFonts w:ascii="Calibri" w:hAnsi="Calibri" w:eastAsia="Calibri" w:cs="Calibri"/>
              </w:rPr>
            </w:pPr>
            <w:r>
              <w:rPr>
                <w:spacing w:val="-2"/>
              </w:rPr>
              <w:t>B</w:t>
            </w:r>
            <w:r>
              <w:rPr>
                <w:rFonts w:ascii="Calibri" w:hAnsi="Calibri" w:eastAsia="Calibri" w:cs="Calibri"/>
                <w:spacing w:val="-2"/>
              </w:rPr>
              <w:t>₃</w:t>
            </w:r>
          </w:p>
        </w:tc>
        <w:tc>
          <w:tcPr>
            <w:tcW w:w="1278" w:type="dxa"/>
            <w:vAlign w:val="top"/>
          </w:tcPr>
          <w:p w14:paraId="7897CEEF">
            <w:pPr>
              <w:pStyle w:val="6"/>
              <w:spacing w:before="55" w:line="213" w:lineRule="auto"/>
              <w:ind w:left="474"/>
            </w:pPr>
            <w:r>
              <w:rPr>
                <w:spacing w:val="-5"/>
              </w:rPr>
              <w:t>至_</w:t>
            </w:r>
          </w:p>
        </w:tc>
        <w:tc>
          <w:tcPr>
            <w:tcW w:w="1678" w:type="dxa"/>
            <w:vAlign w:val="top"/>
          </w:tcPr>
          <w:p w14:paraId="68EF27FC">
            <w:pPr>
              <w:rPr>
                <w:rFonts w:ascii="Arial"/>
                <w:sz w:val="21"/>
              </w:rPr>
            </w:pPr>
          </w:p>
        </w:tc>
        <w:tc>
          <w:tcPr>
            <w:tcW w:w="1703" w:type="dxa"/>
            <w:vAlign w:val="top"/>
          </w:tcPr>
          <w:p w14:paraId="7C062731">
            <w:pPr>
              <w:rPr>
                <w:rFonts w:ascii="Arial"/>
                <w:sz w:val="21"/>
              </w:rPr>
            </w:pPr>
          </w:p>
        </w:tc>
      </w:tr>
      <w:tr w14:paraId="71F05B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424" w:type="dxa"/>
            <w:vMerge w:val="continue"/>
            <w:tcBorders>
              <w:top w:val="nil"/>
              <w:bottom w:val="nil"/>
            </w:tcBorders>
            <w:textDirection w:val="tbRlV"/>
            <w:vAlign w:val="top"/>
          </w:tcPr>
          <w:p w14:paraId="71C6CE80">
            <w:pPr>
              <w:rPr>
                <w:rFonts w:ascii="Arial"/>
                <w:sz w:val="21"/>
              </w:rPr>
            </w:pPr>
          </w:p>
        </w:tc>
        <w:tc>
          <w:tcPr>
            <w:tcW w:w="989" w:type="dxa"/>
            <w:vAlign w:val="top"/>
          </w:tcPr>
          <w:p w14:paraId="7676E1F0">
            <w:pPr>
              <w:pStyle w:val="6"/>
              <w:spacing w:before="85" w:line="205" w:lineRule="auto"/>
              <w:ind w:left="270"/>
            </w:pPr>
            <w:r>
              <w:rPr>
                <w:spacing w:val="-6"/>
              </w:rPr>
              <w:t>……</w:t>
            </w:r>
          </w:p>
        </w:tc>
        <w:tc>
          <w:tcPr>
            <w:tcW w:w="699" w:type="dxa"/>
            <w:vAlign w:val="top"/>
          </w:tcPr>
          <w:p w14:paraId="154D51B8">
            <w:pPr>
              <w:pStyle w:val="6"/>
              <w:spacing w:before="85" w:line="205" w:lineRule="auto"/>
              <w:ind w:left="131"/>
            </w:pPr>
            <w:r>
              <w:rPr>
                <w:spacing w:val="-6"/>
              </w:rPr>
              <w:t>……</w:t>
            </w:r>
          </w:p>
        </w:tc>
        <w:tc>
          <w:tcPr>
            <w:tcW w:w="989" w:type="dxa"/>
            <w:vAlign w:val="top"/>
          </w:tcPr>
          <w:p w14:paraId="22405482">
            <w:pPr>
              <w:rPr>
                <w:rFonts w:ascii="Arial"/>
                <w:sz w:val="21"/>
              </w:rPr>
            </w:pPr>
          </w:p>
        </w:tc>
        <w:tc>
          <w:tcPr>
            <w:tcW w:w="719" w:type="dxa"/>
            <w:vAlign w:val="top"/>
          </w:tcPr>
          <w:p w14:paraId="379B1FA5">
            <w:pPr>
              <w:pStyle w:val="6"/>
              <w:spacing w:before="85" w:line="205" w:lineRule="auto"/>
              <w:ind w:left="144"/>
            </w:pPr>
            <w:r>
              <w:rPr>
                <w:spacing w:val="-6"/>
              </w:rPr>
              <w:t>……</w:t>
            </w:r>
          </w:p>
        </w:tc>
        <w:tc>
          <w:tcPr>
            <w:tcW w:w="1278" w:type="dxa"/>
            <w:vAlign w:val="top"/>
          </w:tcPr>
          <w:p w14:paraId="2A1D72DB">
            <w:pPr>
              <w:pStyle w:val="6"/>
              <w:spacing w:before="85" w:line="205" w:lineRule="auto"/>
              <w:ind w:left="424"/>
            </w:pPr>
            <w:r>
              <w:rPr>
                <w:spacing w:val="-6"/>
              </w:rPr>
              <w:t>……</w:t>
            </w:r>
          </w:p>
        </w:tc>
        <w:tc>
          <w:tcPr>
            <w:tcW w:w="1678" w:type="dxa"/>
            <w:vAlign w:val="top"/>
          </w:tcPr>
          <w:p w14:paraId="04997735">
            <w:pPr>
              <w:rPr>
                <w:rFonts w:ascii="Arial"/>
                <w:sz w:val="21"/>
              </w:rPr>
            </w:pPr>
          </w:p>
        </w:tc>
        <w:tc>
          <w:tcPr>
            <w:tcW w:w="1703" w:type="dxa"/>
            <w:vAlign w:val="top"/>
          </w:tcPr>
          <w:p w14:paraId="55DA7CBC">
            <w:pPr>
              <w:rPr>
                <w:rFonts w:ascii="Arial"/>
                <w:sz w:val="21"/>
              </w:rPr>
            </w:pPr>
          </w:p>
        </w:tc>
      </w:tr>
      <w:tr w14:paraId="2362C0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8" w:hRule="atLeast"/>
        </w:trPr>
        <w:tc>
          <w:tcPr>
            <w:tcW w:w="424" w:type="dxa"/>
            <w:vMerge w:val="continue"/>
            <w:tcBorders>
              <w:top w:val="nil"/>
              <w:bottom w:val="nil"/>
            </w:tcBorders>
            <w:textDirection w:val="tbRlV"/>
            <w:vAlign w:val="top"/>
          </w:tcPr>
          <w:p w14:paraId="3BEA17B8">
            <w:pPr>
              <w:rPr>
                <w:rFonts w:ascii="Arial"/>
                <w:sz w:val="21"/>
              </w:rPr>
            </w:pPr>
          </w:p>
        </w:tc>
        <w:tc>
          <w:tcPr>
            <w:tcW w:w="989" w:type="dxa"/>
            <w:vAlign w:val="top"/>
          </w:tcPr>
          <w:p w14:paraId="43E5A23F">
            <w:pPr>
              <w:rPr>
                <w:rFonts w:ascii="Arial"/>
                <w:sz w:val="21"/>
              </w:rPr>
            </w:pPr>
          </w:p>
        </w:tc>
        <w:tc>
          <w:tcPr>
            <w:tcW w:w="699" w:type="dxa"/>
            <w:vAlign w:val="top"/>
          </w:tcPr>
          <w:p w14:paraId="6037237A">
            <w:pPr>
              <w:rPr>
                <w:rFonts w:ascii="Arial"/>
                <w:sz w:val="21"/>
              </w:rPr>
            </w:pPr>
          </w:p>
        </w:tc>
        <w:tc>
          <w:tcPr>
            <w:tcW w:w="989" w:type="dxa"/>
            <w:vAlign w:val="top"/>
          </w:tcPr>
          <w:p w14:paraId="2B1A2395">
            <w:pPr>
              <w:rPr>
                <w:rFonts w:ascii="Arial"/>
                <w:sz w:val="21"/>
              </w:rPr>
            </w:pPr>
          </w:p>
        </w:tc>
        <w:tc>
          <w:tcPr>
            <w:tcW w:w="719" w:type="dxa"/>
            <w:vAlign w:val="top"/>
          </w:tcPr>
          <w:p w14:paraId="3A9AF379">
            <w:pPr>
              <w:rPr>
                <w:rFonts w:ascii="Arial"/>
                <w:sz w:val="21"/>
              </w:rPr>
            </w:pPr>
          </w:p>
        </w:tc>
        <w:tc>
          <w:tcPr>
            <w:tcW w:w="1278" w:type="dxa"/>
            <w:vAlign w:val="top"/>
          </w:tcPr>
          <w:p w14:paraId="2622A970">
            <w:pPr>
              <w:rPr>
                <w:rFonts w:ascii="Arial"/>
                <w:sz w:val="21"/>
              </w:rPr>
            </w:pPr>
          </w:p>
        </w:tc>
        <w:tc>
          <w:tcPr>
            <w:tcW w:w="1678" w:type="dxa"/>
            <w:vAlign w:val="top"/>
          </w:tcPr>
          <w:p w14:paraId="0547C6AC">
            <w:pPr>
              <w:rPr>
                <w:rFonts w:ascii="Arial"/>
                <w:sz w:val="21"/>
              </w:rPr>
            </w:pPr>
          </w:p>
        </w:tc>
        <w:tc>
          <w:tcPr>
            <w:tcW w:w="1703" w:type="dxa"/>
            <w:vAlign w:val="top"/>
          </w:tcPr>
          <w:p w14:paraId="104C408D">
            <w:pPr>
              <w:rPr>
                <w:rFonts w:ascii="Arial"/>
                <w:sz w:val="21"/>
              </w:rPr>
            </w:pPr>
          </w:p>
        </w:tc>
      </w:tr>
      <w:tr w14:paraId="120711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424" w:type="dxa"/>
            <w:vMerge w:val="continue"/>
            <w:tcBorders>
              <w:top w:val="nil"/>
            </w:tcBorders>
            <w:textDirection w:val="tbRlV"/>
            <w:vAlign w:val="top"/>
          </w:tcPr>
          <w:p w14:paraId="0E1F500D">
            <w:pPr>
              <w:rPr>
                <w:rFonts w:ascii="Arial"/>
                <w:sz w:val="21"/>
              </w:rPr>
            </w:pPr>
          </w:p>
        </w:tc>
        <w:tc>
          <w:tcPr>
            <w:tcW w:w="989" w:type="dxa"/>
            <w:vAlign w:val="top"/>
          </w:tcPr>
          <w:p w14:paraId="6FCAF144">
            <w:pPr>
              <w:rPr>
                <w:rFonts w:ascii="Arial"/>
                <w:sz w:val="21"/>
              </w:rPr>
            </w:pPr>
          </w:p>
        </w:tc>
        <w:tc>
          <w:tcPr>
            <w:tcW w:w="699" w:type="dxa"/>
            <w:vAlign w:val="top"/>
          </w:tcPr>
          <w:p w14:paraId="28D54C61">
            <w:pPr>
              <w:rPr>
                <w:rFonts w:ascii="Arial"/>
                <w:sz w:val="21"/>
              </w:rPr>
            </w:pPr>
          </w:p>
        </w:tc>
        <w:tc>
          <w:tcPr>
            <w:tcW w:w="989" w:type="dxa"/>
            <w:vAlign w:val="top"/>
          </w:tcPr>
          <w:p w14:paraId="5353FDD5">
            <w:pPr>
              <w:rPr>
                <w:rFonts w:ascii="Arial"/>
                <w:sz w:val="21"/>
              </w:rPr>
            </w:pPr>
          </w:p>
        </w:tc>
        <w:tc>
          <w:tcPr>
            <w:tcW w:w="719" w:type="dxa"/>
            <w:vAlign w:val="top"/>
          </w:tcPr>
          <w:p w14:paraId="4936BD4C">
            <w:pPr>
              <w:rPr>
                <w:rFonts w:ascii="Arial"/>
                <w:sz w:val="21"/>
              </w:rPr>
            </w:pPr>
          </w:p>
        </w:tc>
        <w:tc>
          <w:tcPr>
            <w:tcW w:w="1278" w:type="dxa"/>
            <w:vAlign w:val="top"/>
          </w:tcPr>
          <w:p w14:paraId="0C4C48AE">
            <w:pPr>
              <w:rPr>
                <w:rFonts w:ascii="Arial"/>
                <w:sz w:val="21"/>
              </w:rPr>
            </w:pPr>
          </w:p>
        </w:tc>
        <w:tc>
          <w:tcPr>
            <w:tcW w:w="1678" w:type="dxa"/>
            <w:vAlign w:val="top"/>
          </w:tcPr>
          <w:p w14:paraId="53888F27">
            <w:pPr>
              <w:rPr>
                <w:rFonts w:ascii="Arial"/>
                <w:sz w:val="21"/>
              </w:rPr>
            </w:pPr>
          </w:p>
        </w:tc>
        <w:tc>
          <w:tcPr>
            <w:tcW w:w="1703" w:type="dxa"/>
            <w:vAlign w:val="top"/>
          </w:tcPr>
          <w:p w14:paraId="1021E4A3">
            <w:pPr>
              <w:rPr>
                <w:rFonts w:ascii="Arial"/>
                <w:sz w:val="21"/>
              </w:rPr>
            </w:pPr>
          </w:p>
        </w:tc>
      </w:tr>
      <w:tr w14:paraId="0CB355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4" w:hRule="atLeast"/>
        </w:trPr>
        <w:tc>
          <w:tcPr>
            <w:tcW w:w="5098" w:type="dxa"/>
            <w:gridSpan w:val="6"/>
            <w:vAlign w:val="top"/>
          </w:tcPr>
          <w:p w14:paraId="3DBA2FAD">
            <w:pPr>
              <w:pStyle w:val="6"/>
              <w:spacing w:before="70" w:line="223" w:lineRule="auto"/>
              <w:ind w:left="1645"/>
            </w:pPr>
            <w:r>
              <w:rPr>
                <w:spacing w:val="-5"/>
              </w:rPr>
              <w:t>合</w:t>
            </w:r>
            <w:r>
              <w:rPr>
                <w:spacing w:val="1"/>
              </w:rPr>
              <w:t xml:space="preserve">             </w:t>
            </w:r>
            <w:r>
              <w:rPr>
                <w:spacing w:val="-5"/>
              </w:rPr>
              <w:t>计</w:t>
            </w:r>
          </w:p>
        </w:tc>
        <w:tc>
          <w:tcPr>
            <w:tcW w:w="1678" w:type="dxa"/>
            <w:vAlign w:val="top"/>
          </w:tcPr>
          <w:p w14:paraId="1A0F681E">
            <w:pPr>
              <w:pStyle w:val="6"/>
              <w:spacing w:before="99" w:line="206" w:lineRule="auto"/>
              <w:ind w:left="626"/>
            </w:pPr>
            <w:r>
              <w:rPr>
                <w:spacing w:val="-5"/>
              </w:rPr>
              <w:t>1.00</w:t>
            </w:r>
          </w:p>
        </w:tc>
        <w:tc>
          <w:tcPr>
            <w:tcW w:w="1703" w:type="dxa"/>
            <w:vAlign w:val="top"/>
          </w:tcPr>
          <w:p w14:paraId="38A2A8B1">
            <w:pPr>
              <w:rPr>
                <w:rFonts w:ascii="Arial"/>
                <w:sz w:val="21"/>
              </w:rPr>
            </w:pPr>
          </w:p>
        </w:tc>
      </w:tr>
    </w:tbl>
    <w:p w14:paraId="29F8EFBA">
      <w:pPr>
        <w:spacing w:line="292" w:lineRule="auto"/>
        <w:rPr>
          <w:rFonts w:ascii="Arial"/>
          <w:sz w:val="21"/>
        </w:rPr>
      </w:pPr>
    </w:p>
    <w:p w14:paraId="3AF28EE0">
      <w:pPr>
        <w:spacing w:line="293" w:lineRule="auto"/>
        <w:rPr>
          <w:rFonts w:ascii="Arial"/>
          <w:sz w:val="21"/>
        </w:rPr>
      </w:pPr>
    </w:p>
    <w:p w14:paraId="582EEEE8">
      <w:pPr>
        <w:spacing w:line="293" w:lineRule="auto"/>
        <w:rPr>
          <w:rFonts w:ascii="Arial"/>
          <w:sz w:val="21"/>
        </w:rPr>
      </w:pPr>
    </w:p>
    <w:p w14:paraId="6B66F464">
      <w:pPr>
        <w:pStyle w:val="2"/>
        <w:spacing w:before="68" w:line="218" w:lineRule="auto"/>
        <w:jc w:val="right"/>
        <w:rPr>
          <w:sz w:val="21"/>
          <w:szCs w:val="21"/>
        </w:rPr>
      </w:pPr>
      <w:r>
        <w:rPr>
          <w:spacing w:val="2"/>
          <w:sz w:val="21"/>
          <w:szCs w:val="21"/>
        </w:rPr>
        <w:t>备注：专用合同条款约定采用价格指数法进行价格调整时适用本表。表</w:t>
      </w:r>
      <w:r>
        <w:rPr>
          <w:spacing w:val="1"/>
          <w:sz w:val="21"/>
          <w:szCs w:val="21"/>
        </w:rPr>
        <w:t>中除“投标人建议值”由</w:t>
      </w:r>
    </w:p>
    <w:p w14:paraId="1E7DCFB5">
      <w:pPr>
        <w:pStyle w:val="2"/>
        <w:spacing w:before="21" w:line="218" w:lineRule="auto"/>
        <w:ind w:left="654"/>
        <w:rPr>
          <w:sz w:val="21"/>
          <w:szCs w:val="21"/>
        </w:rPr>
      </w:pPr>
      <w:r>
        <w:rPr>
          <w:sz w:val="21"/>
          <w:szCs w:val="21"/>
        </w:rPr>
        <w:t>投标人结合其投标报价情况选择填写外，其余均由招标人在招标文件</w:t>
      </w:r>
      <w:r>
        <w:rPr>
          <w:spacing w:val="-1"/>
          <w:sz w:val="21"/>
          <w:szCs w:val="21"/>
        </w:rPr>
        <w:t>发出前填写。</w:t>
      </w:r>
    </w:p>
    <w:p w14:paraId="4F1C2294">
      <w:pPr>
        <w:spacing w:line="218" w:lineRule="auto"/>
        <w:rPr>
          <w:sz w:val="21"/>
          <w:szCs w:val="21"/>
        </w:rPr>
        <w:sectPr>
          <w:footerReference r:id="rId360" w:type="default"/>
          <w:pgSz w:w="11910" w:h="16840"/>
          <w:pgMar w:top="400" w:right="1525" w:bottom="1147" w:left="1445" w:header="0" w:footer="1021" w:gutter="0"/>
          <w:cols w:space="720" w:num="1"/>
        </w:sectPr>
      </w:pPr>
    </w:p>
    <w:p w14:paraId="181A2355">
      <w:pPr>
        <w:spacing w:line="254" w:lineRule="auto"/>
        <w:rPr>
          <w:rFonts w:ascii="Arial"/>
          <w:sz w:val="21"/>
        </w:rPr>
      </w:pPr>
    </w:p>
    <w:p w14:paraId="4B0C68B5">
      <w:pPr>
        <w:spacing w:line="254" w:lineRule="auto"/>
        <w:rPr>
          <w:rFonts w:ascii="Arial"/>
          <w:sz w:val="21"/>
        </w:rPr>
      </w:pPr>
    </w:p>
    <w:p w14:paraId="48F56E5E">
      <w:pPr>
        <w:spacing w:line="255" w:lineRule="auto"/>
        <w:rPr>
          <w:rFonts w:ascii="Arial"/>
          <w:sz w:val="21"/>
        </w:rPr>
      </w:pPr>
    </w:p>
    <w:p w14:paraId="6F87FF34">
      <w:pPr>
        <w:spacing w:line="255" w:lineRule="auto"/>
        <w:rPr>
          <w:rFonts w:ascii="Arial"/>
          <w:sz w:val="21"/>
        </w:rPr>
      </w:pPr>
    </w:p>
    <w:p w14:paraId="0E6EA672">
      <w:pPr>
        <w:spacing w:line="255" w:lineRule="auto"/>
        <w:rPr>
          <w:rFonts w:ascii="Arial"/>
          <w:sz w:val="21"/>
        </w:rPr>
      </w:pPr>
    </w:p>
    <w:p w14:paraId="139425E2">
      <w:pPr>
        <w:spacing w:line="255" w:lineRule="auto"/>
        <w:rPr>
          <w:rFonts w:ascii="Arial"/>
          <w:sz w:val="21"/>
        </w:rPr>
      </w:pPr>
    </w:p>
    <w:p w14:paraId="1E12B1F3">
      <w:pPr>
        <w:spacing w:line="255" w:lineRule="auto"/>
        <w:rPr>
          <w:rFonts w:ascii="Arial"/>
          <w:sz w:val="21"/>
        </w:rPr>
      </w:pPr>
    </w:p>
    <w:p w14:paraId="03CF8034">
      <w:pPr>
        <w:spacing w:before="91" w:line="221" w:lineRule="auto"/>
        <w:ind w:left="2903"/>
        <w:rPr>
          <w:rFonts w:ascii="黑体" w:hAnsi="黑体" w:eastAsia="黑体" w:cs="黑体"/>
          <w:sz w:val="28"/>
          <w:szCs w:val="28"/>
        </w:rPr>
      </w:pPr>
      <w:r>
        <w:rPr>
          <w:rFonts w:ascii="黑体" w:hAnsi="黑体" w:eastAsia="黑体" w:cs="黑体"/>
          <w:b/>
          <w:bCs/>
          <w:spacing w:val="1"/>
          <w:sz w:val="28"/>
          <w:szCs w:val="28"/>
        </w:rPr>
        <w:t>二、法定代表人身份证明</w:t>
      </w:r>
    </w:p>
    <w:p w14:paraId="35CC9400">
      <w:pPr>
        <w:pStyle w:val="2"/>
        <w:spacing w:before="218" w:line="220" w:lineRule="auto"/>
        <w:rPr>
          <w:sz w:val="20"/>
          <w:szCs w:val="20"/>
        </w:rPr>
      </w:pPr>
      <w:r>
        <w:rPr>
          <w:spacing w:val="-22"/>
          <w:w w:val="90"/>
          <w:sz w:val="20"/>
          <w:szCs w:val="20"/>
        </w:rPr>
        <w:t>投</w:t>
      </w:r>
      <w:r>
        <w:rPr>
          <w:spacing w:val="10"/>
          <w:sz w:val="20"/>
          <w:szCs w:val="20"/>
        </w:rPr>
        <w:t xml:space="preserve"> </w:t>
      </w:r>
      <w:r>
        <w:rPr>
          <w:spacing w:val="-22"/>
          <w:w w:val="90"/>
          <w:sz w:val="20"/>
          <w:szCs w:val="20"/>
        </w:rPr>
        <w:t>标</w:t>
      </w:r>
      <w:r>
        <w:rPr>
          <w:spacing w:val="8"/>
          <w:sz w:val="20"/>
          <w:szCs w:val="20"/>
        </w:rPr>
        <w:t xml:space="preserve"> </w:t>
      </w:r>
      <w:r>
        <w:rPr>
          <w:spacing w:val="-22"/>
          <w:w w:val="90"/>
          <w:sz w:val="20"/>
          <w:szCs w:val="20"/>
        </w:rPr>
        <w:t>人</w:t>
      </w:r>
      <w:r>
        <w:rPr>
          <w:spacing w:val="-2"/>
          <w:sz w:val="20"/>
          <w:szCs w:val="20"/>
        </w:rPr>
        <w:t xml:space="preserve"> </w:t>
      </w:r>
      <w:r>
        <w:rPr>
          <w:spacing w:val="-22"/>
          <w:w w:val="90"/>
          <w:sz w:val="20"/>
          <w:szCs w:val="20"/>
        </w:rPr>
        <w:t>：</w:t>
      </w:r>
      <w:r>
        <w:rPr>
          <w:sz w:val="20"/>
          <w:szCs w:val="20"/>
          <w:u w:val="single" w:color="auto"/>
        </w:rPr>
        <w:t xml:space="preserve">                                                            </w:t>
      </w:r>
    </w:p>
    <w:p w14:paraId="75571DAB">
      <w:pPr>
        <w:pStyle w:val="2"/>
        <w:spacing w:before="261" w:line="220" w:lineRule="auto"/>
        <w:rPr>
          <w:sz w:val="20"/>
          <w:szCs w:val="20"/>
        </w:rPr>
      </w:pPr>
      <w:r>
        <w:rPr>
          <w:sz w:val="20"/>
          <w:szCs w:val="20"/>
        </w:rPr>
        <w:t>单位性质：</w:t>
      </w:r>
      <w:r>
        <w:rPr>
          <w:spacing w:val="-51"/>
          <w:sz w:val="20"/>
          <w:szCs w:val="20"/>
        </w:rPr>
        <w:t xml:space="preserve"> </w:t>
      </w:r>
      <w:r>
        <w:rPr>
          <w:sz w:val="20"/>
          <w:szCs w:val="20"/>
          <w:u w:val="single" w:color="auto"/>
        </w:rPr>
        <w:t xml:space="preserve">                                                           </w:t>
      </w:r>
    </w:p>
    <w:p w14:paraId="46732924">
      <w:pPr>
        <w:pStyle w:val="2"/>
        <w:spacing w:before="270" w:line="229" w:lineRule="auto"/>
        <w:rPr>
          <w:sz w:val="20"/>
          <w:szCs w:val="20"/>
        </w:rPr>
      </w:pPr>
      <w:r>
        <w:rPr>
          <w:spacing w:val="-3"/>
          <w:sz w:val="20"/>
          <w:szCs w:val="20"/>
        </w:rPr>
        <w:t>地</w:t>
      </w:r>
      <w:r>
        <w:rPr>
          <w:spacing w:val="4"/>
          <w:sz w:val="20"/>
          <w:szCs w:val="20"/>
        </w:rPr>
        <w:t xml:space="preserve">    </w:t>
      </w:r>
      <w:r>
        <w:rPr>
          <w:spacing w:val="-3"/>
          <w:sz w:val="20"/>
          <w:szCs w:val="20"/>
        </w:rPr>
        <w:t>址：</w:t>
      </w:r>
      <w:r>
        <w:rPr>
          <w:spacing w:val="-59"/>
          <w:sz w:val="20"/>
          <w:szCs w:val="20"/>
        </w:rPr>
        <w:t xml:space="preserve"> </w:t>
      </w:r>
      <w:r>
        <w:rPr>
          <w:sz w:val="20"/>
          <w:szCs w:val="20"/>
          <w:u w:val="single" w:color="auto"/>
        </w:rPr>
        <w:t xml:space="preserve">                                                           </w:t>
      </w:r>
    </w:p>
    <w:p w14:paraId="2C01F973">
      <w:pPr>
        <w:pStyle w:val="2"/>
        <w:spacing w:before="234" w:line="213" w:lineRule="auto"/>
        <w:rPr>
          <w:sz w:val="20"/>
          <w:szCs w:val="20"/>
        </w:rPr>
      </w:pPr>
      <w:r>
        <w:rPr>
          <w:spacing w:val="-19"/>
          <w:sz w:val="20"/>
          <w:szCs w:val="20"/>
        </w:rPr>
        <w:t>成立时间：</w:t>
      </w:r>
      <w:r>
        <w:rPr>
          <w:spacing w:val="-45"/>
          <w:sz w:val="20"/>
          <w:szCs w:val="20"/>
        </w:rPr>
        <w:t xml:space="preserve"> </w:t>
      </w:r>
      <w:r>
        <w:rPr>
          <w:spacing w:val="5"/>
          <w:sz w:val="20"/>
          <w:szCs w:val="20"/>
          <w:u w:val="single" w:color="auto"/>
        </w:rPr>
        <w:t xml:space="preserve">                 </w:t>
      </w:r>
      <w:r>
        <w:rPr>
          <w:spacing w:val="-65"/>
          <w:sz w:val="20"/>
          <w:szCs w:val="20"/>
        </w:rPr>
        <w:t xml:space="preserve"> </w:t>
      </w:r>
      <w:r>
        <w:rPr>
          <w:spacing w:val="-19"/>
          <w:sz w:val="20"/>
          <w:szCs w:val="20"/>
        </w:rPr>
        <w:t>年</w:t>
      </w:r>
      <w:r>
        <w:rPr>
          <w:spacing w:val="-85"/>
          <w:sz w:val="20"/>
          <w:szCs w:val="20"/>
        </w:rPr>
        <w:t xml:space="preserve"> </w:t>
      </w:r>
      <w:r>
        <w:rPr>
          <w:spacing w:val="5"/>
          <w:sz w:val="20"/>
          <w:szCs w:val="20"/>
          <w:u w:val="single" w:color="auto"/>
        </w:rPr>
        <w:t xml:space="preserve">               </w:t>
      </w:r>
      <w:r>
        <w:rPr>
          <w:spacing w:val="-75"/>
          <w:sz w:val="20"/>
          <w:szCs w:val="20"/>
        </w:rPr>
        <w:t xml:space="preserve"> </w:t>
      </w:r>
      <w:r>
        <w:rPr>
          <w:spacing w:val="-19"/>
          <w:sz w:val="20"/>
          <w:szCs w:val="20"/>
        </w:rPr>
        <w:t>_月</w:t>
      </w:r>
      <w:r>
        <w:rPr>
          <w:spacing w:val="5"/>
          <w:sz w:val="20"/>
          <w:szCs w:val="20"/>
          <w:u w:val="single" w:color="auto"/>
        </w:rPr>
        <w:t xml:space="preserve">              </w:t>
      </w:r>
      <w:r>
        <w:rPr>
          <w:spacing w:val="-80"/>
          <w:sz w:val="20"/>
          <w:szCs w:val="20"/>
        </w:rPr>
        <w:t xml:space="preserve"> </w:t>
      </w:r>
      <w:r>
        <w:rPr>
          <w:spacing w:val="-19"/>
          <w:sz w:val="20"/>
          <w:szCs w:val="20"/>
        </w:rPr>
        <w:t>_日</w:t>
      </w:r>
    </w:p>
    <w:p w14:paraId="40C93C5D">
      <w:pPr>
        <w:pStyle w:val="2"/>
        <w:spacing w:before="278" w:line="220" w:lineRule="auto"/>
        <w:rPr>
          <w:sz w:val="20"/>
          <w:szCs w:val="20"/>
        </w:rPr>
      </w:pPr>
      <w:r>
        <w:rPr>
          <w:sz w:val="20"/>
          <w:szCs w:val="20"/>
        </w:rPr>
        <w:t>经营期限：</w:t>
      </w:r>
      <w:r>
        <w:rPr>
          <w:spacing w:val="-61"/>
          <w:sz w:val="20"/>
          <w:szCs w:val="20"/>
        </w:rPr>
        <w:t xml:space="preserve"> </w:t>
      </w:r>
      <w:r>
        <w:rPr>
          <w:sz w:val="20"/>
          <w:szCs w:val="20"/>
          <w:u w:val="single" w:color="auto"/>
        </w:rPr>
        <w:t xml:space="preserve">                                                           </w:t>
      </w:r>
    </w:p>
    <w:p w14:paraId="3FF14D1C">
      <w:pPr>
        <w:pStyle w:val="2"/>
        <w:spacing w:before="261" w:line="219" w:lineRule="auto"/>
        <w:rPr>
          <w:sz w:val="20"/>
          <w:szCs w:val="20"/>
        </w:rPr>
      </w:pPr>
      <w:r>
        <w:rPr>
          <w:spacing w:val="-2"/>
          <w:sz w:val="20"/>
          <w:szCs w:val="20"/>
        </w:rPr>
        <w:t>姓</w:t>
      </w:r>
      <w:r>
        <w:rPr>
          <w:spacing w:val="6"/>
          <w:sz w:val="20"/>
          <w:szCs w:val="20"/>
        </w:rPr>
        <w:t xml:space="preserve">    </w:t>
      </w:r>
      <w:r>
        <w:rPr>
          <w:spacing w:val="-2"/>
          <w:sz w:val="20"/>
          <w:szCs w:val="20"/>
        </w:rPr>
        <w:t>名：</w:t>
      </w:r>
      <w:r>
        <w:rPr>
          <w:spacing w:val="-67"/>
          <w:sz w:val="20"/>
          <w:szCs w:val="20"/>
        </w:rPr>
        <w:t xml:space="preserve"> </w:t>
      </w:r>
      <w:r>
        <w:rPr>
          <w:spacing w:val="-2"/>
          <w:sz w:val="20"/>
          <w:szCs w:val="20"/>
          <w:u w:val="single" w:color="auto"/>
        </w:rPr>
        <w:t xml:space="preserve">                 </w:t>
      </w:r>
      <w:r>
        <w:rPr>
          <w:spacing w:val="-3"/>
          <w:sz w:val="20"/>
          <w:szCs w:val="20"/>
          <w:u w:val="single" w:color="auto"/>
        </w:rPr>
        <w:t xml:space="preserve">           </w:t>
      </w:r>
      <w:r>
        <w:rPr>
          <w:spacing w:val="-3"/>
          <w:sz w:val="20"/>
          <w:szCs w:val="20"/>
        </w:rPr>
        <w:t>性         别：</w:t>
      </w:r>
      <w:r>
        <w:rPr>
          <w:sz w:val="20"/>
          <w:szCs w:val="20"/>
          <w:u w:val="single" w:color="auto"/>
        </w:rPr>
        <w:t xml:space="preserve">                 </w:t>
      </w:r>
    </w:p>
    <w:p w14:paraId="43FACEE7">
      <w:pPr>
        <w:pStyle w:val="2"/>
        <w:spacing w:before="263" w:line="219" w:lineRule="auto"/>
        <w:rPr>
          <w:sz w:val="20"/>
          <w:szCs w:val="20"/>
        </w:rPr>
      </w:pPr>
      <w:r>
        <w:rPr>
          <w:spacing w:val="-7"/>
          <w:sz w:val="20"/>
          <w:szCs w:val="20"/>
        </w:rPr>
        <w:t>年</w:t>
      </w:r>
      <w:r>
        <w:rPr>
          <w:spacing w:val="8"/>
          <w:sz w:val="20"/>
          <w:szCs w:val="20"/>
        </w:rPr>
        <w:t xml:space="preserve">    </w:t>
      </w:r>
      <w:r>
        <w:rPr>
          <w:spacing w:val="-7"/>
          <w:sz w:val="20"/>
          <w:szCs w:val="20"/>
        </w:rPr>
        <w:t>龄：</w:t>
      </w:r>
      <w:r>
        <w:rPr>
          <w:spacing w:val="-70"/>
          <w:sz w:val="20"/>
          <w:szCs w:val="20"/>
        </w:rPr>
        <w:t xml:space="preserve"> </w:t>
      </w:r>
      <w:r>
        <w:rPr>
          <w:spacing w:val="1"/>
          <w:sz w:val="20"/>
          <w:szCs w:val="20"/>
          <w:u w:val="single" w:color="auto"/>
        </w:rPr>
        <w:t xml:space="preserve">                           </w:t>
      </w:r>
      <w:r>
        <w:rPr>
          <w:spacing w:val="-87"/>
          <w:sz w:val="20"/>
          <w:szCs w:val="20"/>
        </w:rPr>
        <w:t xml:space="preserve"> </w:t>
      </w:r>
      <w:r>
        <w:rPr>
          <w:spacing w:val="-7"/>
          <w:sz w:val="20"/>
          <w:szCs w:val="20"/>
        </w:rPr>
        <w:t>职</w:t>
      </w:r>
      <w:r>
        <w:rPr>
          <w:spacing w:val="7"/>
          <w:sz w:val="20"/>
          <w:szCs w:val="20"/>
        </w:rPr>
        <w:t xml:space="preserve">        </w:t>
      </w:r>
      <w:r>
        <w:rPr>
          <w:spacing w:val="-7"/>
          <w:sz w:val="20"/>
          <w:szCs w:val="20"/>
        </w:rPr>
        <w:t>务：</w:t>
      </w:r>
      <w:r>
        <w:rPr>
          <w:sz w:val="20"/>
          <w:szCs w:val="20"/>
          <w:u w:val="single" w:color="auto"/>
        </w:rPr>
        <w:t xml:space="preserve">                  </w:t>
      </w:r>
    </w:p>
    <w:p w14:paraId="6536E27C">
      <w:pPr>
        <w:pStyle w:val="2"/>
        <w:spacing w:before="262" w:line="219" w:lineRule="auto"/>
        <w:rPr>
          <w:sz w:val="20"/>
          <w:szCs w:val="20"/>
        </w:rPr>
      </w:pPr>
      <w:r>
        <w:rPr>
          <w:spacing w:val="9"/>
          <w:sz w:val="20"/>
          <w:szCs w:val="20"/>
        </w:rPr>
        <w:t>系</w:t>
      </w:r>
      <w:r>
        <w:rPr>
          <w:spacing w:val="-68"/>
          <w:sz w:val="20"/>
          <w:szCs w:val="20"/>
        </w:rPr>
        <w:t xml:space="preserve"> </w:t>
      </w:r>
      <w:r>
        <w:rPr>
          <w:spacing w:val="9"/>
          <w:sz w:val="20"/>
          <w:szCs w:val="20"/>
          <w:u w:val="single" w:color="auto"/>
        </w:rPr>
        <w:t xml:space="preserve">                                  </w:t>
      </w:r>
      <w:r>
        <w:rPr>
          <w:spacing w:val="8"/>
          <w:sz w:val="20"/>
          <w:szCs w:val="20"/>
          <w:u w:val="single" w:color="auto"/>
        </w:rPr>
        <w:t xml:space="preserve">              </w:t>
      </w:r>
      <w:r>
        <w:rPr>
          <w:spacing w:val="8"/>
          <w:sz w:val="20"/>
          <w:szCs w:val="20"/>
        </w:rPr>
        <w:t xml:space="preserve"> (投标人名称)的法定代表人。</w:t>
      </w:r>
    </w:p>
    <w:p w14:paraId="2F02D473">
      <w:pPr>
        <w:pStyle w:val="2"/>
        <w:spacing w:before="263" w:line="219" w:lineRule="auto"/>
        <w:rPr>
          <w:sz w:val="20"/>
          <w:szCs w:val="20"/>
        </w:rPr>
      </w:pPr>
      <w:r>
        <w:rPr>
          <w:spacing w:val="3"/>
          <w:sz w:val="20"/>
          <w:szCs w:val="20"/>
        </w:rPr>
        <w:t>特此证明。</w:t>
      </w:r>
    </w:p>
    <w:p w14:paraId="1E0B06C9">
      <w:pPr>
        <w:spacing w:line="296" w:lineRule="auto"/>
        <w:rPr>
          <w:rFonts w:ascii="Arial"/>
          <w:sz w:val="21"/>
        </w:rPr>
      </w:pPr>
    </w:p>
    <w:p w14:paraId="7CEFB4F5">
      <w:pPr>
        <w:spacing w:line="296" w:lineRule="auto"/>
        <w:rPr>
          <w:rFonts w:ascii="Arial"/>
          <w:sz w:val="21"/>
        </w:rPr>
      </w:pPr>
    </w:p>
    <w:p w14:paraId="676CCC32">
      <w:pPr>
        <w:spacing w:line="297" w:lineRule="auto"/>
        <w:rPr>
          <w:rFonts w:ascii="Arial"/>
          <w:sz w:val="21"/>
        </w:rPr>
      </w:pPr>
    </w:p>
    <w:p w14:paraId="05B64F86">
      <w:pPr>
        <w:spacing w:line="297" w:lineRule="auto"/>
        <w:rPr>
          <w:rFonts w:ascii="Arial"/>
          <w:sz w:val="21"/>
        </w:rPr>
      </w:pPr>
    </w:p>
    <w:p w14:paraId="3BF8D910">
      <w:pPr>
        <w:pStyle w:val="2"/>
        <w:tabs>
          <w:tab w:val="left" w:pos="6489"/>
        </w:tabs>
        <w:spacing w:before="68" w:line="448" w:lineRule="auto"/>
        <w:ind w:left="5539" w:hanging="1459"/>
        <w:rPr>
          <w:sz w:val="20"/>
          <w:szCs w:val="20"/>
        </w:rPr>
      </w:pPr>
      <w:r>
        <w:rPr>
          <w:spacing w:val="3"/>
          <w:position w:val="-1"/>
          <w:sz w:val="20"/>
          <w:szCs w:val="20"/>
        </w:rPr>
        <w:t>投标人：</w:t>
      </w:r>
      <w:r>
        <w:rPr>
          <w:spacing w:val="-59"/>
          <w:position w:val="-1"/>
          <w:sz w:val="20"/>
          <w:szCs w:val="20"/>
        </w:rPr>
        <w:t xml:space="preserve"> </w:t>
      </w:r>
      <w:r>
        <w:rPr>
          <w:spacing w:val="1"/>
          <w:position w:val="-1"/>
          <w:sz w:val="20"/>
          <w:szCs w:val="20"/>
          <w:u w:val="single" w:color="auto"/>
        </w:rPr>
        <w:t xml:space="preserve">                           </w:t>
      </w:r>
      <w:r>
        <w:rPr>
          <w:spacing w:val="3"/>
          <w:position w:val="-1"/>
          <w:sz w:val="20"/>
          <w:szCs w:val="20"/>
        </w:rPr>
        <w:t xml:space="preserve"> </w:t>
      </w:r>
      <w:r>
        <w:rPr>
          <w:spacing w:val="3"/>
          <w:sz w:val="21"/>
          <w:szCs w:val="21"/>
        </w:rPr>
        <w:t>(盖单位章)</w:t>
      </w:r>
      <w:r>
        <w:rPr>
          <w:spacing w:val="13"/>
          <w:sz w:val="21"/>
          <w:szCs w:val="21"/>
        </w:rPr>
        <w:t xml:space="preserve"> </w:t>
      </w:r>
      <w:r>
        <w:rPr>
          <w:sz w:val="20"/>
          <w:szCs w:val="20"/>
          <w:u w:val="single" w:color="auto"/>
        </w:rPr>
        <w:tab/>
      </w:r>
      <w:r>
        <w:rPr>
          <w:spacing w:val="-89"/>
          <w:sz w:val="20"/>
          <w:szCs w:val="20"/>
        </w:rPr>
        <w:t xml:space="preserve"> </w:t>
      </w:r>
      <w:r>
        <w:rPr>
          <w:spacing w:val="-19"/>
          <w:w w:val="70"/>
          <w:sz w:val="20"/>
          <w:szCs w:val="20"/>
        </w:rPr>
        <w:t>年_</w:t>
      </w:r>
      <w:r>
        <w:rPr>
          <w:spacing w:val="-91"/>
          <w:sz w:val="20"/>
          <w:szCs w:val="20"/>
        </w:rPr>
        <w:t xml:space="preserve"> </w:t>
      </w:r>
      <w:r>
        <w:rPr>
          <w:spacing w:val="6"/>
          <w:sz w:val="20"/>
          <w:szCs w:val="20"/>
          <w:u w:val="single" w:color="auto"/>
        </w:rPr>
        <w:t xml:space="preserve">        </w:t>
      </w:r>
      <w:r>
        <w:rPr>
          <w:spacing w:val="-19"/>
          <w:w w:val="70"/>
          <w:sz w:val="20"/>
          <w:szCs w:val="20"/>
          <w:u w:val="single" w:color="auto"/>
        </w:rPr>
        <w:t>月</w:t>
      </w:r>
      <w:r>
        <w:rPr>
          <w:sz w:val="20"/>
          <w:szCs w:val="20"/>
          <w:u w:val="single" w:color="auto"/>
        </w:rPr>
        <w:t xml:space="preserve">          </w:t>
      </w:r>
      <w:r>
        <w:rPr>
          <w:spacing w:val="-64"/>
          <w:sz w:val="20"/>
          <w:szCs w:val="20"/>
        </w:rPr>
        <w:t xml:space="preserve"> </w:t>
      </w:r>
      <w:r>
        <w:rPr>
          <w:spacing w:val="-19"/>
          <w:w w:val="70"/>
          <w:sz w:val="20"/>
          <w:szCs w:val="20"/>
        </w:rPr>
        <w:t>日</w:t>
      </w:r>
    </w:p>
    <w:p w14:paraId="721D8128">
      <w:pPr>
        <w:spacing w:line="448" w:lineRule="auto"/>
        <w:rPr>
          <w:sz w:val="20"/>
          <w:szCs w:val="20"/>
        </w:rPr>
        <w:sectPr>
          <w:footerReference r:id="rId361" w:type="default"/>
          <w:pgSz w:w="11910" w:h="16840"/>
          <w:pgMar w:top="400" w:right="1604" w:bottom="1147" w:left="1460" w:header="0" w:footer="1021" w:gutter="0"/>
          <w:cols w:space="720" w:num="1"/>
        </w:sectPr>
      </w:pPr>
    </w:p>
    <w:p w14:paraId="1B8BD022">
      <w:pPr>
        <w:spacing w:line="255" w:lineRule="auto"/>
        <w:rPr>
          <w:rFonts w:ascii="Arial"/>
          <w:sz w:val="21"/>
        </w:rPr>
      </w:pPr>
    </w:p>
    <w:p w14:paraId="12C1F9BE">
      <w:pPr>
        <w:spacing w:line="255" w:lineRule="auto"/>
        <w:rPr>
          <w:rFonts w:ascii="Arial"/>
          <w:sz w:val="21"/>
        </w:rPr>
      </w:pPr>
    </w:p>
    <w:p w14:paraId="36A4C464">
      <w:pPr>
        <w:spacing w:line="255" w:lineRule="auto"/>
        <w:rPr>
          <w:rFonts w:ascii="Arial"/>
          <w:sz w:val="21"/>
        </w:rPr>
      </w:pPr>
    </w:p>
    <w:p w14:paraId="15D013B9">
      <w:pPr>
        <w:spacing w:line="255" w:lineRule="auto"/>
        <w:rPr>
          <w:rFonts w:ascii="Arial"/>
          <w:sz w:val="21"/>
        </w:rPr>
      </w:pPr>
    </w:p>
    <w:p w14:paraId="567BA82F">
      <w:pPr>
        <w:spacing w:line="255" w:lineRule="auto"/>
        <w:rPr>
          <w:rFonts w:ascii="Arial"/>
          <w:sz w:val="21"/>
        </w:rPr>
      </w:pPr>
    </w:p>
    <w:p w14:paraId="122514D2">
      <w:pPr>
        <w:spacing w:line="255" w:lineRule="auto"/>
        <w:rPr>
          <w:rFonts w:ascii="Arial"/>
          <w:sz w:val="21"/>
        </w:rPr>
      </w:pPr>
    </w:p>
    <w:p w14:paraId="774AAA7B">
      <w:pPr>
        <w:spacing w:line="255" w:lineRule="auto"/>
        <w:rPr>
          <w:rFonts w:ascii="Arial"/>
          <w:sz w:val="21"/>
        </w:rPr>
      </w:pPr>
    </w:p>
    <w:p w14:paraId="30FDBCBB">
      <w:pPr>
        <w:spacing w:before="91" w:line="222" w:lineRule="auto"/>
        <w:ind w:left="3483"/>
        <w:rPr>
          <w:rFonts w:ascii="黑体" w:hAnsi="黑体" w:eastAsia="黑体" w:cs="黑体"/>
          <w:sz w:val="28"/>
          <w:szCs w:val="28"/>
        </w:rPr>
      </w:pPr>
      <w:r>
        <w:rPr>
          <w:rFonts w:ascii="黑体" w:hAnsi="黑体" w:eastAsia="黑体" w:cs="黑体"/>
          <w:b/>
          <w:bCs/>
          <w:spacing w:val="-2"/>
          <w:sz w:val="28"/>
          <w:szCs w:val="28"/>
        </w:rPr>
        <w:t>三、投标保证金</w:t>
      </w:r>
    </w:p>
    <w:p w14:paraId="1ADBFED9">
      <w:pPr>
        <w:spacing w:line="312" w:lineRule="auto"/>
        <w:rPr>
          <w:rFonts w:ascii="Arial"/>
          <w:sz w:val="21"/>
        </w:rPr>
      </w:pPr>
    </w:p>
    <w:p w14:paraId="796ECD4A">
      <w:pPr>
        <w:pStyle w:val="2"/>
        <w:spacing w:before="69" w:line="219" w:lineRule="auto"/>
        <w:ind w:left="409"/>
        <w:rPr>
          <w:sz w:val="21"/>
          <w:szCs w:val="21"/>
        </w:rPr>
      </w:pPr>
      <w:r>
        <w:rPr>
          <w:spacing w:val="-1"/>
          <w:sz w:val="21"/>
          <w:szCs w:val="21"/>
        </w:rPr>
        <w:t>若采用现金或支票，投标人应在此提供汇款凭证的扫描件。</w:t>
      </w:r>
    </w:p>
    <w:p w14:paraId="5BEEC895">
      <w:pPr>
        <w:pStyle w:val="2"/>
        <w:spacing w:before="150" w:line="219" w:lineRule="auto"/>
        <w:ind w:left="409"/>
        <w:rPr>
          <w:sz w:val="21"/>
          <w:szCs w:val="21"/>
        </w:rPr>
      </w:pPr>
      <w:r>
        <w:rPr>
          <w:spacing w:val="-3"/>
          <w:sz w:val="21"/>
          <w:szCs w:val="21"/>
        </w:rPr>
        <w:t>如采用银行保函，格式如下。</w:t>
      </w:r>
    </w:p>
    <w:p w14:paraId="4FDE3430">
      <w:pPr>
        <w:spacing w:line="392" w:lineRule="auto"/>
        <w:rPr>
          <w:rFonts w:ascii="Arial"/>
          <w:sz w:val="21"/>
        </w:rPr>
      </w:pPr>
    </w:p>
    <w:p w14:paraId="6D0BE18C">
      <w:pPr>
        <w:pStyle w:val="2"/>
        <w:tabs>
          <w:tab w:val="left" w:pos="2258"/>
        </w:tabs>
        <w:spacing w:before="68" w:line="220" w:lineRule="auto"/>
        <w:rPr>
          <w:sz w:val="21"/>
          <w:szCs w:val="21"/>
        </w:rPr>
      </w:pPr>
      <w:r>
        <w:rPr>
          <w:sz w:val="21"/>
          <w:szCs w:val="21"/>
          <w:u w:val="single" w:color="auto"/>
        </w:rPr>
        <w:tab/>
      </w:r>
      <w:r>
        <w:rPr>
          <w:spacing w:val="-18"/>
          <w:sz w:val="21"/>
          <w:szCs w:val="21"/>
        </w:rPr>
        <w:t xml:space="preserve"> </w:t>
      </w:r>
      <w:r>
        <w:rPr>
          <w:sz w:val="21"/>
          <w:szCs w:val="21"/>
        </w:rPr>
        <w:t>(招标人名称):</w:t>
      </w:r>
    </w:p>
    <w:p w14:paraId="7BC21BDB">
      <w:pPr>
        <w:pStyle w:val="2"/>
        <w:spacing w:before="195" w:line="397" w:lineRule="auto"/>
        <w:ind w:firstLine="409"/>
        <w:jc w:val="both"/>
        <w:rPr>
          <w:sz w:val="21"/>
          <w:szCs w:val="21"/>
        </w:rPr>
      </w:pPr>
      <w:r>
        <w:rPr>
          <w:spacing w:val="2"/>
          <w:sz w:val="21"/>
          <w:szCs w:val="21"/>
        </w:rPr>
        <w:t>鉴于</w:t>
      </w:r>
      <w:r>
        <w:rPr>
          <w:spacing w:val="-69"/>
          <w:sz w:val="21"/>
          <w:szCs w:val="21"/>
        </w:rPr>
        <w:t xml:space="preserve"> </w:t>
      </w:r>
      <w:r>
        <w:rPr>
          <w:spacing w:val="1"/>
          <w:sz w:val="21"/>
          <w:szCs w:val="21"/>
          <w:u w:val="single" w:color="auto"/>
        </w:rPr>
        <w:t xml:space="preserve">                   </w:t>
      </w:r>
      <w:r>
        <w:rPr>
          <w:spacing w:val="2"/>
          <w:sz w:val="21"/>
          <w:szCs w:val="21"/>
        </w:rPr>
        <w:t xml:space="preserve"> (投标人名称)(以下简称“投标人”)参加你方</w:t>
      </w:r>
      <w:r>
        <w:rPr>
          <w:spacing w:val="-97"/>
          <w:sz w:val="21"/>
          <w:szCs w:val="21"/>
        </w:rPr>
        <w:t xml:space="preserve"> </w:t>
      </w:r>
      <w:r>
        <w:rPr>
          <w:spacing w:val="2"/>
          <w:sz w:val="21"/>
          <w:szCs w:val="21"/>
          <w:u w:val="single" w:color="auto"/>
        </w:rPr>
        <w:t xml:space="preserve">        </w:t>
      </w:r>
      <w:r>
        <w:rPr>
          <w:spacing w:val="-21"/>
          <w:sz w:val="21"/>
          <w:szCs w:val="21"/>
        </w:rPr>
        <w:t xml:space="preserve"> </w:t>
      </w:r>
      <w:r>
        <w:rPr>
          <w:spacing w:val="2"/>
          <w:sz w:val="21"/>
          <w:szCs w:val="21"/>
        </w:rPr>
        <w:t>(项目名</w:t>
      </w:r>
      <w:r>
        <w:rPr>
          <w:sz w:val="21"/>
          <w:szCs w:val="21"/>
        </w:rPr>
        <w:t xml:space="preserve"> </w:t>
      </w:r>
      <w:r>
        <w:rPr>
          <w:spacing w:val="5"/>
          <w:sz w:val="21"/>
          <w:szCs w:val="21"/>
        </w:rPr>
        <w:t>称)</w:t>
      </w:r>
      <w:r>
        <w:rPr>
          <w:spacing w:val="-41"/>
          <w:sz w:val="21"/>
          <w:szCs w:val="21"/>
        </w:rPr>
        <w:t xml:space="preserve"> </w:t>
      </w:r>
      <w:r>
        <w:rPr>
          <w:spacing w:val="5"/>
          <w:sz w:val="21"/>
          <w:szCs w:val="21"/>
          <w:u w:val="single" w:color="auto"/>
        </w:rPr>
        <w:t xml:space="preserve">     </w:t>
      </w:r>
      <w:r>
        <w:rPr>
          <w:spacing w:val="5"/>
          <w:sz w:val="21"/>
          <w:szCs w:val="21"/>
        </w:rPr>
        <w:t xml:space="preserve"> (标段名称)的施工投标， </w:t>
      </w:r>
      <w:r>
        <w:rPr>
          <w:spacing w:val="5"/>
          <w:sz w:val="21"/>
          <w:szCs w:val="21"/>
          <w:u w:val="single" w:color="auto"/>
        </w:rPr>
        <w:t xml:space="preserve">               </w:t>
      </w:r>
      <w:r>
        <w:rPr>
          <w:spacing w:val="4"/>
          <w:sz w:val="21"/>
          <w:szCs w:val="21"/>
          <w:u w:val="single" w:color="auto"/>
        </w:rPr>
        <w:t xml:space="preserve">             </w:t>
      </w:r>
      <w:r>
        <w:rPr>
          <w:spacing w:val="-25"/>
          <w:sz w:val="21"/>
          <w:szCs w:val="21"/>
        </w:rPr>
        <w:t xml:space="preserve"> </w:t>
      </w:r>
      <w:r>
        <w:rPr>
          <w:spacing w:val="4"/>
          <w:sz w:val="21"/>
          <w:szCs w:val="21"/>
        </w:rPr>
        <w:t>(担保人名称)(以下简称</w:t>
      </w:r>
      <w:r>
        <w:rPr>
          <w:sz w:val="21"/>
          <w:szCs w:val="21"/>
        </w:rPr>
        <w:t xml:space="preserve"> “我方”)受该投标人委托，在此无条件地、不可撤销地保证：一旦收到你方提出的下述任何一种</w:t>
      </w:r>
      <w:r>
        <w:rPr>
          <w:spacing w:val="10"/>
          <w:sz w:val="21"/>
          <w:szCs w:val="21"/>
        </w:rPr>
        <w:t xml:space="preserve"> </w:t>
      </w:r>
      <w:r>
        <w:rPr>
          <w:spacing w:val="1"/>
          <w:sz w:val="21"/>
          <w:szCs w:val="21"/>
        </w:rPr>
        <w:t>事实的书面通知，在7日内无条件地向你方支付总额不超过</w:t>
      </w:r>
      <w:r>
        <w:rPr>
          <w:spacing w:val="-60"/>
          <w:sz w:val="21"/>
          <w:szCs w:val="21"/>
        </w:rPr>
        <w:t xml:space="preserve"> </w:t>
      </w:r>
      <w:r>
        <w:rPr>
          <w:sz w:val="21"/>
          <w:szCs w:val="21"/>
          <w:u w:val="single" w:color="auto"/>
        </w:rPr>
        <w:t xml:space="preserve">                   </w:t>
      </w:r>
      <w:r>
        <w:rPr>
          <w:spacing w:val="-20"/>
          <w:sz w:val="21"/>
          <w:szCs w:val="21"/>
        </w:rPr>
        <w:t xml:space="preserve"> </w:t>
      </w:r>
      <w:r>
        <w:rPr>
          <w:spacing w:val="1"/>
          <w:sz w:val="21"/>
          <w:szCs w:val="21"/>
        </w:rPr>
        <w:t>(投标保函额度)</w:t>
      </w:r>
      <w:r>
        <w:rPr>
          <w:sz w:val="21"/>
          <w:szCs w:val="21"/>
        </w:rPr>
        <w:t xml:space="preserve"> </w:t>
      </w:r>
      <w:r>
        <w:rPr>
          <w:spacing w:val="-4"/>
          <w:sz w:val="21"/>
          <w:szCs w:val="21"/>
        </w:rPr>
        <w:t>的任何你方要求的金额：</w:t>
      </w:r>
    </w:p>
    <w:p w14:paraId="272ABEA3">
      <w:pPr>
        <w:pStyle w:val="2"/>
        <w:spacing w:before="46" w:line="219" w:lineRule="auto"/>
        <w:ind w:left="409"/>
        <w:rPr>
          <w:sz w:val="21"/>
          <w:szCs w:val="21"/>
        </w:rPr>
      </w:pPr>
      <w:r>
        <w:rPr>
          <w:spacing w:val="-1"/>
          <w:sz w:val="21"/>
          <w:szCs w:val="21"/>
        </w:rPr>
        <w:t>1. 投标人在规定的投标有效期内撤销或者修改其投标文件。</w:t>
      </w:r>
    </w:p>
    <w:p w14:paraId="3D5105F7">
      <w:pPr>
        <w:pStyle w:val="2"/>
        <w:spacing w:before="210" w:line="307" w:lineRule="auto"/>
        <w:ind w:right="106" w:firstLine="409"/>
        <w:rPr>
          <w:sz w:val="21"/>
          <w:szCs w:val="21"/>
        </w:rPr>
      </w:pPr>
      <w:r>
        <w:rPr>
          <w:spacing w:val="-1"/>
          <w:sz w:val="21"/>
          <w:szCs w:val="21"/>
        </w:rPr>
        <w:t>2. 投标人在收到中标通知书后无正当理由而未在规定期限内与贵方签署合同，或者在签订合</w:t>
      </w:r>
      <w:r>
        <w:rPr>
          <w:spacing w:val="5"/>
          <w:sz w:val="21"/>
          <w:szCs w:val="21"/>
        </w:rPr>
        <w:t xml:space="preserve"> </w:t>
      </w:r>
      <w:r>
        <w:rPr>
          <w:spacing w:val="-2"/>
          <w:sz w:val="21"/>
          <w:szCs w:val="21"/>
        </w:rPr>
        <w:t>同时向招标人提出附加条件。</w:t>
      </w:r>
    </w:p>
    <w:p w14:paraId="7AB12EE3">
      <w:pPr>
        <w:pStyle w:val="2"/>
        <w:spacing w:before="221" w:line="219" w:lineRule="auto"/>
        <w:ind w:left="409"/>
        <w:rPr>
          <w:sz w:val="21"/>
          <w:szCs w:val="21"/>
        </w:rPr>
      </w:pPr>
      <w:r>
        <w:rPr>
          <w:sz w:val="21"/>
          <w:szCs w:val="21"/>
        </w:rPr>
        <w:t>3. 投标人在收到中标通知书后未能在规定期限内向贵方提交招标文件所要求的履约担保。</w:t>
      </w:r>
    </w:p>
    <w:p w14:paraId="0114A584">
      <w:pPr>
        <w:pStyle w:val="2"/>
        <w:spacing w:before="211" w:line="219" w:lineRule="auto"/>
        <w:ind w:left="409"/>
        <w:rPr>
          <w:sz w:val="21"/>
          <w:szCs w:val="21"/>
        </w:rPr>
      </w:pPr>
      <w:r>
        <w:rPr>
          <w:spacing w:val="2"/>
          <w:sz w:val="21"/>
          <w:szCs w:val="21"/>
        </w:rPr>
        <w:t>本保函在投标有效期内保持有效，除非你方提前终止或解除本保函。要求我方承担保证责任</w:t>
      </w:r>
    </w:p>
    <w:p w14:paraId="05018069">
      <w:pPr>
        <w:pStyle w:val="2"/>
        <w:spacing w:before="201" w:line="219" w:lineRule="auto"/>
        <w:rPr>
          <w:sz w:val="21"/>
          <w:szCs w:val="21"/>
        </w:rPr>
      </w:pPr>
      <w:r>
        <w:rPr>
          <w:sz w:val="21"/>
          <w:szCs w:val="21"/>
        </w:rPr>
        <w:t>的通知应在投标有效期内送达我方。保函失效后请将本保函交投标人退</w:t>
      </w:r>
      <w:r>
        <w:rPr>
          <w:spacing w:val="-1"/>
          <w:sz w:val="21"/>
          <w:szCs w:val="21"/>
        </w:rPr>
        <w:t>回我方注销。</w:t>
      </w:r>
    </w:p>
    <w:p w14:paraId="7853DC76">
      <w:pPr>
        <w:pStyle w:val="2"/>
        <w:spacing w:before="221" w:line="219" w:lineRule="auto"/>
        <w:ind w:left="409"/>
        <w:rPr>
          <w:sz w:val="21"/>
          <w:szCs w:val="21"/>
        </w:rPr>
      </w:pPr>
      <w:r>
        <w:rPr>
          <w:spacing w:val="-1"/>
          <w:sz w:val="21"/>
          <w:szCs w:val="21"/>
        </w:rPr>
        <w:t>本保函项下所有权利和义务均受中华人民共和国法律管辖和制约。</w:t>
      </w:r>
    </w:p>
    <w:p w14:paraId="60FEEFE8">
      <w:pPr>
        <w:spacing w:line="391" w:lineRule="auto"/>
        <w:rPr>
          <w:rFonts w:ascii="Arial"/>
          <w:sz w:val="21"/>
        </w:rPr>
      </w:pPr>
    </w:p>
    <w:p w14:paraId="70CEEEB1">
      <w:pPr>
        <w:pStyle w:val="2"/>
        <w:spacing w:before="69" w:line="227" w:lineRule="auto"/>
        <w:ind w:left="2119"/>
        <w:rPr>
          <w:sz w:val="20"/>
          <w:szCs w:val="20"/>
        </w:rPr>
      </w:pPr>
      <w:r>
        <w:rPr>
          <w:spacing w:val="5"/>
          <w:sz w:val="21"/>
          <w:szCs w:val="21"/>
        </w:rPr>
        <w:t>担保人名称：</w:t>
      </w:r>
      <w:r>
        <w:rPr>
          <w:spacing w:val="5"/>
          <w:sz w:val="21"/>
          <w:szCs w:val="21"/>
          <w:u w:val="single" w:color="auto"/>
        </w:rPr>
        <w:t xml:space="preserve">                               </w:t>
      </w:r>
      <w:r>
        <w:rPr>
          <w:spacing w:val="-3"/>
          <w:sz w:val="21"/>
          <w:szCs w:val="21"/>
        </w:rPr>
        <w:t xml:space="preserve"> </w:t>
      </w:r>
      <w:r>
        <w:rPr>
          <w:spacing w:val="5"/>
          <w:position w:val="-1"/>
          <w:sz w:val="20"/>
          <w:szCs w:val="20"/>
        </w:rPr>
        <w:t>(盖单位章)</w:t>
      </w:r>
    </w:p>
    <w:p w14:paraId="2CB7BE32">
      <w:pPr>
        <w:pStyle w:val="2"/>
        <w:spacing w:before="194" w:line="228" w:lineRule="auto"/>
        <w:ind w:left="2119"/>
        <w:rPr>
          <w:sz w:val="21"/>
          <w:szCs w:val="21"/>
        </w:rPr>
      </w:pPr>
      <w:r>
        <w:rPr>
          <w:spacing w:val="2"/>
          <w:sz w:val="21"/>
          <w:szCs w:val="21"/>
        </w:rPr>
        <w:t>法定代表人或其委托代理人：</w:t>
      </w:r>
      <w:r>
        <w:rPr>
          <w:spacing w:val="1"/>
          <w:sz w:val="21"/>
          <w:szCs w:val="21"/>
          <w:u w:val="single" w:color="auto"/>
        </w:rPr>
        <w:t xml:space="preserve">                      </w:t>
      </w:r>
      <w:r>
        <w:rPr>
          <w:spacing w:val="2"/>
          <w:sz w:val="21"/>
          <w:szCs w:val="21"/>
        </w:rPr>
        <w:t xml:space="preserve"> (签字)</w:t>
      </w:r>
    </w:p>
    <w:p w14:paraId="07241715">
      <w:pPr>
        <w:pStyle w:val="2"/>
        <w:spacing w:before="201" w:line="229" w:lineRule="auto"/>
        <w:ind w:left="2119"/>
        <w:rPr>
          <w:sz w:val="21"/>
          <w:szCs w:val="21"/>
        </w:rPr>
      </w:pPr>
      <w:r>
        <w:rPr>
          <w:spacing w:val="-2"/>
          <w:sz w:val="21"/>
          <w:szCs w:val="21"/>
        </w:rPr>
        <w:t>地</w:t>
      </w:r>
      <w:r>
        <w:rPr>
          <w:spacing w:val="4"/>
          <w:sz w:val="21"/>
          <w:szCs w:val="21"/>
        </w:rPr>
        <w:t xml:space="preserve">    </w:t>
      </w:r>
      <w:r>
        <w:rPr>
          <w:spacing w:val="-2"/>
          <w:sz w:val="21"/>
          <w:szCs w:val="21"/>
        </w:rPr>
        <w:t>址：</w:t>
      </w:r>
      <w:r>
        <w:rPr>
          <w:spacing w:val="-2"/>
          <w:sz w:val="21"/>
          <w:szCs w:val="21"/>
          <w:u w:val="single" w:color="auto"/>
        </w:rPr>
        <w:t xml:space="preserve">                                  </w:t>
      </w:r>
      <w:r>
        <w:rPr>
          <w:spacing w:val="-3"/>
          <w:sz w:val="21"/>
          <w:szCs w:val="21"/>
          <w:u w:val="single" w:color="auto"/>
        </w:rPr>
        <w:t xml:space="preserve">            </w:t>
      </w:r>
    </w:p>
    <w:p w14:paraId="68CC4EAD">
      <w:pPr>
        <w:pStyle w:val="2"/>
        <w:spacing w:before="210" w:line="219" w:lineRule="auto"/>
        <w:ind w:left="2119"/>
        <w:rPr>
          <w:sz w:val="23"/>
          <w:szCs w:val="23"/>
        </w:rPr>
      </w:pPr>
      <w:r>
        <w:rPr>
          <w:spacing w:val="-19"/>
          <w:sz w:val="23"/>
          <w:szCs w:val="23"/>
        </w:rPr>
        <w:t>邮政编码：</w:t>
      </w:r>
      <w:r>
        <w:rPr>
          <w:sz w:val="23"/>
          <w:szCs w:val="23"/>
          <w:u w:val="single" w:color="auto"/>
        </w:rPr>
        <w:t xml:space="preserve">                                          </w:t>
      </w:r>
    </w:p>
    <w:p w14:paraId="63E37628">
      <w:pPr>
        <w:pStyle w:val="2"/>
        <w:spacing w:before="169" w:line="221" w:lineRule="auto"/>
        <w:ind w:left="2119"/>
        <w:rPr>
          <w:sz w:val="21"/>
          <w:szCs w:val="21"/>
        </w:rPr>
      </w:pPr>
      <w:r>
        <w:rPr>
          <w:spacing w:val="-14"/>
          <w:sz w:val="21"/>
          <w:szCs w:val="21"/>
        </w:rPr>
        <w:t>电</w:t>
      </w:r>
      <w:r>
        <w:rPr>
          <w:spacing w:val="5"/>
          <w:sz w:val="21"/>
          <w:szCs w:val="21"/>
        </w:rPr>
        <w:t xml:space="preserve">    </w:t>
      </w:r>
      <w:r>
        <w:rPr>
          <w:spacing w:val="-14"/>
          <w:sz w:val="21"/>
          <w:szCs w:val="21"/>
        </w:rPr>
        <w:t>话：</w:t>
      </w:r>
      <w:r>
        <w:rPr>
          <w:spacing w:val="-75"/>
          <w:sz w:val="21"/>
          <w:szCs w:val="21"/>
        </w:rPr>
        <w:t xml:space="preserve"> </w:t>
      </w:r>
      <w:r>
        <w:rPr>
          <w:sz w:val="21"/>
          <w:szCs w:val="21"/>
          <w:u w:val="single" w:color="auto"/>
        </w:rPr>
        <w:t xml:space="preserve">                                              </w:t>
      </w:r>
    </w:p>
    <w:p w14:paraId="701E09F0">
      <w:pPr>
        <w:pStyle w:val="2"/>
        <w:spacing w:before="245" w:line="219" w:lineRule="auto"/>
        <w:ind w:left="2119"/>
        <w:rPr>
          <w:sz w:val="21"/>
          <w:szCs w:val="21"/>
        </w:rPr>
      </w:pPr>
      <w:r>
        <w:rPr>
          <w:spacing w:val="-2"/>
          <w:sz w:val="21"/>
          <w:szCs w:val="21"/>
        </w:rPr>
        <w:t>传</w:t>
      </w:r>
      <w:r>
        <w:rPr>
          <w:spacing w:val="5"/>
          <w:sz w:val="21"/>
          <w:szCs w:val="21"/>
        </w:rPr>
        <w:t xml:space="preserve">    </w:t>
      </w:r>
      <w:r>
        <w:rPr>
          <w:spacing w:val="-2"/>
          <w:sz w:val="21"/>
          <w:szCs w:val="21"/>
        </w:rPr>
        <w:t>真：</w:t>
      </w:r>
      <w:r>
        <w:rPr>
          <w:spacing w:val="-2"/>
          <w:sz w:val="21"/>
          <w:szCs w:val="21"/>
          <w:u w:val="single" w:color="auto"/>
        </w:rPr>
        <w:t xml:space="preserve">                                </w:t>
      </w:r>
      <w:r>
        <w:rPr>
          <w:spacing w:val="-3"/>
          <w:sz w:val="21"/>
          <w:szCs w:val="21"/>
          <w:u w:val="single" w:color="auto"/>
        </w:rPr>
        <w:t xml:space="preserve">              </w:t>
      </w:r>
    </w:p>
    <w:p w14:paraId="6E1AEB90">
      <w:pPr>
        <w:pStyle w:val="2"/>
        <w:tabs>
          <w:tab w:val="left" w:pos="6819"/>
        </w:tabs>
        <w:spacing w:before="184" w:line="213" w:lineRule="auto"/>
        <w:ind w:left="5779"/>
        <w:rPr>
          <w:rFonts w:ascii="黑体" w:hAnsi="黑体" w:eastAsia="黑体" w:cs="黑体"/>
          <w:sz w:val="19"/>
          <w:szCs w:val="19"/>
        </w:rPr>
      </w:pPr>
      <w:r>
        <w:rPr>
          <w:sz w:val="23"/>
          <w:szCs w:val="23"/>
          <w:u w:val="single" w:color="auto"/>
        </w:rPr>
        <w:tab/>
      </w:r>
      <w:r>
        <w:rPr>
          <w:spacing w:val="-6"/>
          <w:w w:val="61"/>
          <w:sz w:val="23"/>
          <w:szCs w:val="23"/>
        </w:rPr>
        <w:t>年_</w:t>
      </w:r>
      <w:r>
        <w:rPr>
          <w:spacing w:val="-94"/>
          <w:sz w:val="23"/>
          <w:szCs w:val="23"/>
        </w:rPr>
        <w:t xml:space="preserve"> </w:t>
      </w:r>
      <w:r>
        <w:rPr>
          <w:spacing w:val="8"/>
          <w:sz w:val="23"/>
          <w:szCs w:val="23"/>
          <w:u w:val="single" w:color="auto"/>
        </w:rPr>
        <w:t xml:space="preserve">      </w:t>
      </w:r>
      <w:r>
        <w:rPr>
          <w:spacing w:val="-103"/>
          <w:sz w:val="23"/>
          <w:szCs w:val="23"/>
        </w:rPr>
        <w:t xml:space="preserve"> </w:t>
      </w:r>
      <w:r>
        <w:rPr>
          <w:spacing w:val="-7"/>
          <w:sz w:val="23"/>
          <w:szCs w:val="23"/>
        </w:rPr>
        <w:t>月</w:t>
      </w:r>
      <w:r>
        <w:rPr>
          <w:spacing w:val="5"/>
          <w:sz w:val="23"/>
          <w:szCs w:val="23"/>
          <w:u w:val="single" w:color="auto"/>
        </w:rPr>
        <w:t xml:space="preserve">      </w:t>
      </w:r>
      <w:r>
        <w:rPr>
          <w:spacing w:val="-91"/>
          <w:sz w:val="23"/>
          <w:szCs w:val="23"/>
        </w:rPr>
        <w:t xml:space="preserve"> </w:t>
      </w:r>
      <w:r>
        <w:rPr>
          <w:rFonts w:ascii="黑体" w:hAnsi="黑体" w:eastAsia="黑体" w:cs="黑体"/>
          <w:spacing w:val="-7"/>
          <w:position w:val="1"/>
          <w:sz w:val="19"/>
          <w:szCs w:val="19"/>
        </w:rPr>
        <w:t>日</w:t>
      </w:r>
    </w:p>
    <w:p w14:paraId="791C8E56">
      <w:pPr>
        <w:spacing w:line="269" w:lineRule="auto"/>
        <w:rPr>
          <w:rFonts w:ascii="Arial"/>
          <w:sz w:val="21"/>
        </w:rPr>
      </w:pPr>
    </w:p>
    <w:p w14:paraId="420F3681">
      <w:pPr>
        <w:spacing w:line="270" w:lineRule="auto"/>
        <w:rPr>
          <w:rFonts w:ascii="Arial"/>
          <w:sz w:val="21"/>
        </w:rPr>
      </w:pPr>
    </w:p>
    <w:p w14:paraId="061E7696">
      <w:pPr>
        <w:pStyle w:val="2"/>
        <w:spacing w:before="69" w:line="219" w:lineRule="auto"/>
        <w:rPr>
          <w:sz w:val="21"/>
          <w:szCs w:val="21"/>
        </w:rPr>
      </w:pPr>
      <w:r>
        <w:rPr>
          <w:spacing w:val="-1"/>
          <w:sz w:val="21"/>
          <w:szCs w:val="21"/>
        </w:rPr>
        <w:t>备注：1.投标人采用保函形式提交投标保证金的采用本格式。</w:t>
      </w:r>
    </w:p>
    <w:p w14:paraId="3FF59FC1">
      <w:pPr>
        <w:pStyle w:val="2"/>
        <w:spacing w:before="152" w:line="354" w:lineRule="auto"/>
        <w:ind w:left="878" w:right="56" w:hanging="229"/>
        <w:rPr>
          <w:sz w:val="21"/>
          <w:szCs w:val="21"/>
        </w:rPr>
      </w:pPr>
      <w:r>
        <w:rPr>
          <w:spacing w:val="2"/>
          <w:sz w:val="21"/>
          <w:szCs w:val="21"/>
        </w:rPr>
        <w:t>2.投标人可采用银行提供的保函格式，但担保内容不得背离招标文件约定的实质性内容或</w:t>
      </w:r>
      <w:r>
        <w:rPr>
          <w:spacing w:val="8"/>
          <w:sz w:val="21"/>
          <w:szCs w:val="21"/>
        </w:rPr>
        <w:t xml:space="preserve"> </w:t>
      </w:r>
      <w:r>
        <w:rPr>
          <w:spacing w:val="-3"/>
          <w:sz w:val="21"/>
          <w:szCs w:val="21"/>
        </w:rPr>
        <w:t>对招标人的权利造成实质性的限制。</w:t>
      </w:r>
    </w:p>
    <w:p w14:paraId="02C2D0CC">
      <w:pPr>
        <w:spacing w:line="354" w:lineRule="auto"/>
        <w:rPr>
          <w:sz w:val="21"/>
          <w:szCs w:val="21"/>
        </w:rPr>
        <w:sectPr>
          <w:footerReference r:id="rId362" w:type="default"/>
          <w:pgSz w:w="11910" w:h="16840"/>
          <w:pgMar w:top="400" w:right="1484" w:bottom="1147" w:left="1440" w:header="0" w:footer="1021" w:gutter="0"/>
          <w:cols w:space="720" w:num="1"/>
        </w:sectPr>
      </w:pPr>
    </w:p>
    <w:p w14:paraId="533C46BF">
      <w:pPr>
        <w:spacing w:line="254" w:lineRule="auto"/>
        <w:rPr>
          <w:rFonts w:ascii="Arial"/>
          <w:sz w:val="21"/>
        </w:rPr>
      </w:pPr>
    </w:p>
    <w:p w14:paraId="2948B21E">
      <w:pPr>
        <w:spacing w:line="254" w:lineRule="auto"/>
        <w:rPr>
          <w:rFonts w:ascii="Arial"/>
          <w:sz w:val="21"/>
        </w:rPr>
      </w:pPr>
    </w:p>
    <w:p w14:paraId="5917FCFA">
      <w:pPr>
        <w:spacing w:line="255" w:lineRule="auto"/>
        <w:rPr>
          <w:rFonts w:ascii="Arial"/>
          <w:sz w:val="21"/>
        </w:rPr>
      </w:pPr>
    </w:p>
    <w:p w14:paraId="61D4E1F3">
      <w:pPr>
        <w:spacing w:line="255" w:lineRule="auto"/>
        <w:rPr>
          <w:rFonts w:ascii="Arial"/>
          <w:sz w:val="21"/>
        </w:rPr>
      </w:pPr>
    </w:p>
    <w:p w14:paraId="00DA0929">
      <w:pPr>
        <w:spacing w:line="255" w:lineRule="auto"/>
        <w:rPr>
          <w:rFonts w:ascii="Arial"/>
          <w:sz w:val="21"/>
        </w:rPr>
      </w:pPr>
    </w:p>
    <w:p w14:paraId="564F3798">
      <w:pPr>
        <w:spacing w:line="255" w:lineRule="auto"/>
        <w:rPr>
          <w:rFonts w:ascii="Arial"/>
          <w:sz w:val="21"/>
        </w:rPr>
      </w:pPr>
    </w:p>
    <w:p w14:paraId="16FECAA1">
      <w:pPr>
        <w:spacing w:line="255" w:lineRule="auto"/>
        <w:rPr>
          <w:rFonts w:ascii="Arial"/>
          <w:sz w:val="21"/>
        </w:rPr>
      </w:pPr>
    </w:p>
    <w:p w14:paraId="0A9CBF09">
      <w:pPr>
        <w:spacing w:before="91" w:line="222" w:lineRule="auto"/>
        <w:ind w:left="3323"/>
        <w:rPr>
          <w:rFonts w:ascii="黑体" w:hAnsi="黑体" w:eastAsia="黑体" w:cs="黑体"/>
          <w:sz w:val="28"/>
          <w:szCs w:val="28"/>
        </w:rPr>
      </w:pPr>
      <w:r>
        <w:rPr>
          <w:rFonts w:ascii="黑体" w:hAnsi="黑体" w:eastAsia="黑体" w:cs="黑体"/>
          <w:b/>
          <w:bCs/>
          <w:spacing w:val="-6"/>
          <w:sz w:val="28"/>
          <w:szCs w:val="28"/>
        </w:rPr>
        <w:t>四</w:t>
      </w:r>
      <w:r>
        <w:rPr>
          <w:rFonts w:ascii="黑体" w:hAnsi="黑体" w:eastAsia="黑体" w:cs="黑体"/>
          <w:spacing w:val="-68"/>
          <w:sz w:val="28"/>
          <w:szCs w:val="28"/>
        </w:rPr>
        <w:t xml:space="preserve"> </w:t>
      </w:r>
      <w:r>
        <w:rPr>
          <w:rFonts w:ascii="黑体" w:hAnsi="黑体" w:eastAsia="黑体" w:cs="黑体"/>
          <w:b/>
          <w:bCs/>
          <w:spacing w:val="-6"/>
          <w:sz w:val="28"/>
          <w:szCs w:val="28"/>
        </w:rPr>
        <w:t>、联合体协议书</w:t>
      </w:r>
    </w:p>
    <w:p w14:paraId="5B0D472C">
      <w:pPr>
        <w:spacing w:line="443" w:lineRule="auto"/>
        <w:rPr>
          <w:rFonts w:ascii="Arial"/>
          <w:sz w:val="21"/>
        </w:rPr>
      </w:pPr>
    </w:p>
    <w:p w14:paraId="2D0AD9EF">
      <w:pPr>
        <w:pStyle w:val="2"/>
        <w:spacing w:before="69" w:line="219" w:lineRule="auto"/>
        <w:rPr>
          <w:sz w:val="21"/>
          <w:szCs w:val="21"/>
        </w:rPr>
      </w:pPr>
      <w:r>
        <w:rPr>
          <w:sz w:val="21"/>
          <w:szCs w:val="21"/>
        </w:rPr>
        <w:t>牵头人名称：</w:t>
      </w:r>
      <w:r>
        <w:rPr>
          <w:sz w:val="21"/>
          <w:szCs w:val="21"/>
          <w:u w:val="single" w:color="auto"/>
        </w:rPr>
        <w:t xml:space="preserve">                                                  </w:t>
      </w:r>
    </w:p>
    <w:p w14:paraId="389D4385">
      <w:pPr>
        <w:pStyle w:val="2"/>
        <w:spacing w:before="142" w:line="219" w:lineRule="auto"/>
        <w:rPr>
          <w:sz w:val="21"/>
          <w:szCs w:val="21"/>
        </w:rPr>
      </w:pPr>
      <w:r>
        <w:rPr>
          <w:sz w:val="21"/>
          <w:szCs w:val="21"/>
        </w:rPr>
        <w:t>法定代表人：</w:t>
      </w:r>
      <w:r>
        <w:rPr>
          <w:sz w:val="21"/>
          <w:szCs w:val="21"/>
          <w:u w:val="single" w:color="auto"/>
        </w:rPr>
        <w:t xml:space="preserve">                                                  </w:t>
      </w:r>
    </w:p>
    <w:p w14:paraId="0A07B980">
      <w:pPr>
        <w:pStyle w:val="2"/>
        <w:spacing w:before="190" w:line="220" w:lineRule="auto"/>
        <w:rPr>
          <w:sz w:val="20"/>
          <w:szCs w:val="20"/>
        </w:rPr>
      </w:pPr>
      <w:r>
        <w:rPr>
          <w:sz w:val="20"/>
          <w:szCs w:val="20"/>
        </w:rPr>
        <w:t>法定住所：</w:t>
      </w:r>
      <w:r>
        <w:rPr>
          <w:spacing w:val="-71"/>
          <w:sz w:val="20"/>
          <w:szCs w:val="20"/>
        </w:rPr>
        <w:t xml:space="preserve"> </w:t>
      </w:r>
      <w:r>
        <w:rPr>
          <w:sz w:val="20"/>
          <w:szCs w:val="20"/>
          <w:u w:val="single" w:color="auto"/>
        </w:rPr>
        <w:t xml:space="preserve">                                                       </w:t>
      </w:r>
    </w:p>
    <w:p w14:paraId="264EEEB4">
      <w:pPr>
        <w:spacing w:line="458" w:lineRule="auto"/>
        <w:rPr>
          <w:rFonts w:ascii="Arial"/>
          <w:sz w:val="21"/>
        </w:rPr>
      </w:pPr>
    </w:p>
    <w:p w14:paraId="1B9657EA">
      <w:pPr>
        <w:pStyle w:val="2"/>
        <w:spacing w:before="72" w:line="221" w:lineRule="auto"/>
        <w:rPr>
          <w:sz w:val="22"/>
          <w:szCs w:val="22"/>
        </w:rPr>
      </w:pPr>
      <w:r>
        <w:rPr>
          <w:spacing w:val="-11"/>
          <w:sz w:val="22"/>
          <w:szCs w:val="22"/>
        </w:rPr>
        <w:t>成员二名称：</w:t>
      </w:r>
      <w:r>
        <w:rPr>
          <w:sz w:val="22"/>
          <w:szCs w:val="22"/>
          <w:u w:val="single" w:color="auto"/>
        </w:rPr>
        <w:t xml:space="preserve">                                                </w:t>
      </w:r>
    </w:p>
    <w:p w14:paraId="1453D1C6">
      <w:pPr>
        <w:pStyle w:val="2"/>
        <w:spacing w:before="125" w:line="219" w:lineRule="auto"/>
        <w:rPr>
          <w:sz w:val="20"/>
          <w:szCs w:val="20"/>
        </w:rPr>
      </w:pPr>
      <w:r>
        <w:rPr>
          <w:sz w:val="20"/>
          <w:szCs w:val="20"/>
        </w:rPr>
        <w:t>法定代表人：</w:t>
      </w:r>
      <w:r>
        <w:rPr>
          <w:spacing w:val="-61"/>
          <w:sz w:val="20"/>
          <w:szCs w:val="20"/>
        </w:rPr>
        <w:t xml:space="preserve"> </w:t>
      </w:r>
      <w:r>
        <w:rPr>
          <w:sz w:val="20"/>
          <w:szCs w:val="20"/>
          <w:u w:val="single" w:color="auto"/>
        </w:rPr>
        <w:t xml:space="preserve">                                                     </w:t>
      </w:r>
    </w:p>
    <w:p w14:paraId="2258C76A">
      <w:pPr>
        <w:pStyle w:val="2"/>
        <w:spacing w:before="173" w:line="220" w:lineRule="auto"/>
        <w:rPr>
          <w:sz w:val="20"/>
          <w:szCs w:val="20"/>
        </w:rPr>
      </w:pPr>
      <w:r>
        <w:rPr>
          <w:sz w:val="20"/>
          <w:szCs w:val="20"/>
        </w:rPr>
        <w:t>法定住所：</w:t>
      </w:r>
      <w:r>
        <w:rPr>
          <w:spacing w:val="-51"/>
          <w:sz w:val="20"/>
          <w:szCs w:val="20"/>
        </w:rPr>
        <w:t xml:space="preserve"> </w:t>
      </w:r>
      <w:r>
        <w:rPr>
          <w:sz w:val="20"/>
          <w:szCs w:val="20"/>
          <w:u w:val="single" w:color="auto"/>
        </w:rPr>
        <w:t xml:space="preserve">                                                       </w:t>
      </w:r>
    </w:p>
    <w:p w14:paraId="618E2E1A">
      <w:pPr>
        <w:spacing w:before="203" w:line="50" w:lineRule="exact"/>
        <w:ind w:firstLine="540"/>
      </w:pPr>
      <w:r>
        <w:rPr>
          <w:position w:val="-1"/>
        </w:rPr>
        <w:drawing>
          <wp:inline distT="0" distB="0" distL="0" distR="0">
            <wp:extent cx="259715" cy="31750"/>
            <wp:effectExtent l="0" t="0" r="0" b="0"/>
            <wp:docPr id="276" name="IM 276"/>
            <wp:cNvGraphicFramePr/>
            <a:graphic xmlns:a="http://schemas.openxmlformats.org/drawingml/2006/main">
              <a:graphicData uri="http://schemas.openxmlformats.org/drawingml/2006/picture">
                <pic:pic xmlns:pic="http://schemas.openxmlformats.org/drawingml/2006/picture">
                  <pic:nvPicPr>
                    <pic:cNvPr id="276" name="IM 276"/>
                    <pic:cNvPicPr/>
                  </pic:nvPicPr>
                  <pic:blipFill>
                    <a:blip r:embed="rId521"/>
                    <a:stretch>
                      <a:fillRect/>
                    </a:stretch>
                  </pic:blipFill>
                  <pic:spPr>
                    <a:xfrm>
                      <a:off x="0" y="0"/>
                      <a:ext cx="260313" cy="31759"/>
                    </a:xfrm>
                    <a:prstGeom prst="rect">
                      <a:avLst/>
                    </a:prstGeom>
                  </pic:spPr>
                </pic:pic>
              </a:graphicData>
            </a:graphic>
          </wp:inline>
        </w:drawing>
      </w:r>
    </w:p>
    <w:p w14:paraId="33598776">
      <w:pPr>
        <w:pStyle w:val="2"/>
        <w:tabs>
          <w:tab w:val="left" w:pos="128"/>
        </w:tabs>
        <w:spacing w:before="287" w:line="352" w:lineRule="auto"/>
        <w:ind w:firstLine="409"/>
        <w:jc w:val="both"/>
        <w:rPr>
          <w:sz w:val="20"/>
          <w:szCs w:val="20"/>
        </w:rPr>
      </w:pPr>
      <w:r>
        <w:rPr>
          <w:spacing w:val="20"/>
          <w:sz w:val="20"/>
          <w:szCs w:val="20"/>
        </w:rPr>
        <w:t>鉴于上述各成员单位经过友好协商，自愿组</w:t>
      </w:r>
      <w:r>
        <w:rPr>
          <w:spacing w:val="19"/>
          <w:sz w:val="20"/>
          <w:szCs w:val="20"/>
        </w:rPr>
        <w:t>成</w:t>
      </w:r>
      <w:r>
        <w:rPr>
          <w:spacing w:val="-70"/>
          <w:sz w:val="20"/>
          <w:szCs w:val="20"/>
        </w:rPr>
        <w:t xml:space="preserve"> </w:t>
      </w:r>
      <w:r>
        <w:rPr>
          <w:sz w:val="20"/>
          <w:szCs w:val="20"/>
          <w:u w:val="single" w:color="auto"/>
        </w:rPr>
        <w:t xml:space="preserve">         </w:t>
      </w:r>
      <w:r>
        <w:rPr>
          <w:spacing w:val="-10"/>
          <w:sz w:val="20"/>
          <w:szCs w:val="20"/>
        </w:rPr>
        <w:t xml:space="preserve"> </w:t>
      </w:r>
      <w:r>
        <w:rPr>
          <w:spacing w:val="19"/>
          <w:sz w:val="20"/>
          <w:szCs w:val="20"/>
        </w:rPr>
        <w:t>(联合体名称)联合体，共同参加</w:t>
      </w:r>
      <w:r>
        <w:rPr>
          <w:sz w:val="20"/>
          <w:szCs w:val="20"/>
        </w:rPr>
        <w:t xml:space="preserve"> </w:t>
      </w:r>
      <w:r>
        <w:rPr>
          <w:sz w:val="20"/>
          <w:szCs w:val="20"/>
        </w:rPr>
        <w:tab/>
      </w:r>
      <w:r>
        <w:rPr>
          <w:spacing w:val="17"/>
          <w:sz w:val="20"/>
          <w:szCs w:val="20"/>
        </w:rPr>
        <w:t>(招标人名称)(以下简称招标人)</w:t>
      </w:r>
      <w:r>
        <w:rPr>
          <w:spacing w:val="-39"/>
          <w:sz w:val="20"/>
          <w:szCs w:val="20"/>
        </w:rPr>
        <w:t xml:space="preserve"> </w:t>
      </w:r>
      <w:r>
        <w:rPr>
          <w:spacing w:val="6"/>
          <w:sz w:val="20"/>
          <w:szCs w:val="20"/>
          <w:u w:val="single" w:color="auto"/>
        </w:rPr>
        <w:t xml:space="preserve">        </w:t>
      </w:r>
      <w:r>
        <w:rPr>
          <w:spacing w:val="17"/>
          <w:sz w:val="20"/>
          <w:szCs w:val="20"/>
        </w:rPr>
        <w:t xml:space="preserve"> (项目名称)</w:t>
      </w:r>
      <w:r>
        <w:rPr>
          <w:spacing w:val="-32"/>
          <w:sz w:val="20"/>
          <w:szCs w:val="20"/>
        </w:rPr>
        <w:t xml:space="preserve"> </w:t>
      </w:r>
      <w:r>
        <w:rPr>
          <w:spacing w:val="6"/>
          <w:sz w:val="20"/>
          <w:szCs w:val="20"/>
          <w:u w:val="single" w:color="auto"/>
        </w:rPr>
        <w:t xml:space="preserve">      </w:t>
      </w:r>
      <w:r>
        <w:rPr>
          <w:spacing w:val="-16"/>
          <w:sz w:val="20"/>
          <w:szCs w:val="20"/>
        </w:rPr>
        <w:t xml:space="preserve"> </w:t>
      </w:r>
      <w:r>
        <w:rPr>
          <w:spacing w:val="17"/>
          <w:sz w:val="20"/>
          <w:szCs w:val="20"/>
        </w:rPr>
        <w:t>(标段名称)(以下简称本工程)</w:t>
      </w:r>
      <w:r>
        <w:rPr>
          <w:sz w:val="20"/>
          <w:szCs w:val="20"/>
        </w:rPr>
        <w:t xml:space="preserve"> </w:t>
      </w:r>
      <w:r>
        <w:rPr>
          <w:spacing w:val="9"/>
          <w:sz w:val="20"/>
          <w:szCs w:val="20"/>
        </w:rPr>
        <w:t>的施工投标并争取赢得本工程施工承包合同(以下简称合同</w:t>
      </w:r>
      <w:r>
        <w:rPr>
          <w:spacing w:val="8"/>
          <w:sz w:val="20"/>
          <w:szCs w:val="20"/>
        </w:rPr>
        <w:t>)。现就联合体投标事宜订立如下协议：</w:t>
      </w:r>
    </w:p>
    <w:p w14:paraId="6E0D398B">
      <w:pPr>
        <w:pStyle w:val="2"/>
        <w:spacing w:before="46" w:line="219" w:lineRule="auto"/>
        <w:ind w:left="409"/>
        <w:rPr>
          <w:sz w:val="20"/>
          <w:szCs w:val="20"/>
        </w:rPr>
      </w:pPr>
      <w:r>
        <w:rPr>
          <w:spacing w:val="10"/>
          <w:sz w:val="20"/>
          <w:szCs w:val="20"/>
        </w:rPr>
        <w:t>1.</w:t>
      </w:r>
      <w:r>
        <w:rPr>
          <w:spacing w:val="-67"/>
          <w:sz w:val="20"/>
          <w:szCs w:val="20"/>
        </w:rPr>
        <w:t xml:space="preserve"> </w:t>
      </w:r>
      <w:r>
        <w:rPr>
          <w:spacing w:val="10"/>
          <w:sz w:val="20"/>
          <w:szCs w:val="20"/>
          <w:u w:val="single" w:color="auto"/>
        </w:rPr>
        <w:t xml:space="preserve">         </w:t>
      </w:r>
      <w:r>
        <w:rPr>
          <w:spacing w:val="10"/>
          <w:sz w:val="20"/>
          <w:szCs w:val="20"/>
        </w:rPr>
        <w:t xml:space="preserve"> (某成员单位名称)为</w:t>
      </w:r>
      <w:r>
        <w:rPr>
          <w:spacing w:val="5"/>
          <w:sz w:val="20"/>
          <w:szCs w:val="20"/>
          <w:u w:val="single" w:color="auto"/>
        </w:rPr>
        <w:t xml:space="preserve">               </w:t>
      </w:r>
      <w:r>
        <w:rPr>
          <w:spacing w:val="-16"/>
          <w:sz w:val="20"/>
          <w:szCs w:val="20"/>
        </w:rPr>
        <w:t xml:space="preserve"> </w:t>
      </w:r>
      <w:r>
        <w:rPr>
          <w:spacing w:val="10"/>
          <w:sz w:val="20"/>
          <w:szCs w:val="20"/>
        </w:rPr>
        <w:t>(联合体名称)</w:t>
      </w:r>
      <w:r>
        <w:rPr>
          <w:spacing w:val="9"/>
          <w:sz w:val="20"/>
          <w:szCs w:val="20"/>
        </w:rPr>
        <w:t>牵头人。</w:t>
      </w:r>
    </w:p>
    <w:p w14:paraId="59C896D3">
      <w:pPr>
        <w:pStyle w:val="2"/>
        <w:spacing w:before="132" w:line="313" w:lineRule="auto"/>
        <w:ind w:right="70" w:firstLine="409"/>
        <w:rPr>
          <w:sz w:val="20"/>
          <w:szCs w:val="20"/>
        </w:rPr>
      </w:pPr>
      <w:r>
        <w:rPr>
          <w:spacing w:val="9"/>
          <w:sz w:val="20"/>
          <w:szCs w:val="20"/>
        </w:rPr>
        <w:t>2. 在本工程投标阶段，联合体牵头人合法代表联合体各成员负责本工程投标文件编制活动，</w:t>
      </w:r>
      <w:r>
        <w:rPr>
          <w:spacing w:val="11"/>
          <w:sz w:val="20"/>
          <w:szCs w:val="20"/>
        </w:rPr>
        <w:t xml:space="preserve"> </w:t>
      </w:r>
      <w:r>
        <w:rPr>
          <w:spacing w:val="12"/>
          <w:sz w:val="20"/>
          <w:szCs w:val="20"/>
        </w:rPr>
        <w:t>代表联合体提交和接收相关的资料、信息及指示，并处理与投标和中标有关的一切事务；联合体</w:t>
      </w:r>
      <w:r>
        <w:rPr>
          <w:spacing w:val="3"/>
          <w:sz w:val="20"/>
          <w:szCs w:val="20"/>
        </w:rPr>
        <w:t xml:space="preserve"> </w:t>
      </w:r>
      <w:r>
        <w:rPr>
          <w:spacing w:val="9"/>
          <w:sz w:val="20"/>
          <w:szCs w:val="20"/>
        </w:rPr>
        <w:t>中标后，联合体牵头人负责合同订立和合同实施阶段的主办、组织和协调工作。</w:t>
      </w:r>
    </w:p>
    <w:p w14:paraId="43DB4E0D">
      <w:pPr>
        <w:pStyle w:val="2"/>
        <w:spacing w:before="185" w:line="313" w:lineRule="auto"/>
        <w:ind w:right="64" w:firstLine="409"/>
        <w:rPr>
          <w:sz w:val="20"/>
          <w:szCs w:val="20"/>
        </w:rPr>
      </w:pPr>
      <w:r>
        <w:rPr>
          <w:spacing w:val="9"/>
          <w:sz w:val="20"/>
          <w:szCs w:val="20"/>
        </w:rPr>
        <w:t>3. 联合体将严格按照招标文件的各项要求，递交投标文件，履行投标义务和中标后的合同，</w:t>
      </w:r>
      <w:r>
        <w:rPr>
          <w:spacing w:val="11"/>
          <w:sz w:val="20"/>
          <w:szCs w:val="20"/>
        </w:rPr>
        <w:t xml:space="preserve"> </w:t>
      </w:r>
      <w:r>
        <w:rPr>
          <w:spacing w:val="12"/>
          <w:sz w:val="20"/>
          <w:szCs w:val="20"/>
        </w:rPr>
        <w:t>共同承担合同规定的一切义务和责任，联合体各成员单位按照内部职责的部分，承担各自所负的</w:t>
      </w:r>
      <w:r>
        <w:rPr>
          <w:spacing w:val="10"/>
          <w:sz w:val="20"/>
          <w:szCs w:val="20"/>
        </w:rPr>
        <w:t xml:space="preserve"> </w:t>
      </w:r>
      <w:r>
        <w:rPr>
          <w:spacing w:val="7"/>
          <w:sz w:val="20"/>
          <w:szCs w:val="20"/>
        </w:rPr>
        <w:t>责任和风险，并向招标人承担连带责任。</w:t>
      </w:r>
    </w:p>
    <w:p w14:paraId="22E1FFBD">
      <w:pPr>
        <w:pStyle w:val="2"/>
        <w:spacing w:before="132" w:line="219" w:lineRule="auto"/>
        <w:ind w:left="409"/>
        <w:rPr>
          <w:sz w:val="20"/>
          <w:szCs w:val="20"/>
        </w:rPr>
      </w:pPr>
      <w:r>
        <w:rPr>
          <w:spacing w:val="3"/>
          <w:sz w:val="20"/>
          <w:szCs w:val="20"/>
        </w:rPr>
        <w:t>4. 联合体各成员单位内部的职责分工如下：</w:t>
      </w:r>
      <w:r>
        <w:rPr>
          <w:spacing w:val="36"/>
          <w:sz w:val="20"/>
          <w:szCs w:val="20"/>
        </w:rPr>
        <w:t xml:space="preserve"> </w:t>
      </w:r>
      <w:r>
        <w:rPr>
          <w:sz w:val="20"/>
          <w:szCs w:val="20"/>
          <w:u w:val="single" w:color="auto"/>
        </w:rPr>
        <w:t xml:space="preserve">                                       </w:t>
      </w:r>
    </w:p>
    <w:p w14:paraId="53B0B184">
      <w:pPr>
        <w:pStyle w:val="2"/>
        <w:tabs>
          <w:tab w:val="left" w:pos="8209"/>
        </w:tabs>
        <w:spacing w:before="183" w:line="303" w:lineRule="auto"/>
        <w:ind w:right="63"/>
        <w:rPr>
          <w:sz w:val="20"/>
          <w:szCs w:val="20"/>
        </w:rPr>
      </w:pPr>
      <w:r>
        <w:rPr>
          <w:sz w:val="20"/>
          <w:szCs w:val="20"/>
          <w:u w:val="single" w:color="auto"/>
        </w:rPr>
        <w:tab/>
      </w:r>
      <w:r>
        <w:rPr>
          <w:spacing w:val="-88"/>
          <w:sz w:val="20"/>
          <w:szCs w:val="20"/>
        </w:rPr>
        <w:t xml:space="preserve"> </w:t>
      </w:r>
      <w:r>
        <w:rPr>
          <w:spacing w:val="-16"/>
          <w:sz w:val="20"/>
          <w:szCs w:val="20"/>
        </w:rPr>
        <w:t>。</w:t>
      </w:r>
      <w:r>
        <w:rPr>
          <w:spacing w:val="-42"/>
          <w:sz w:val="20"/>
          <w:szCs w:val="20"/>
        </w:rPr>
        <w:t xml:space="preserve"> </w:t>
      </w:r>
      <w:r>
        <w:rPr>
          <w:spacing w:val="-16"/>
          <w:sz w:val="20"/>
          <w:szCs w:val="20"/>
        </w:rPr>
        <w:t>按 照</w:t>
      </w:r>
      <w:r>
        <w:rPr>
          <w:sz w:val="20"/>
          <w:szCs w:val="20"/>
        </w:rPr>
        <w:t xml:space="preserve"> </w:t>
      </w:r>
      <w:r>
        <w:rPr>
          <w:spacing w:val="4"/>
          <w:sz w:val="20"/>
          <w:szCs w:val="20"/>
        </w:rPr>
        <w:t>本条上述分工，联合体成员单位各自所承担的合同工作量比例</w:t>
      </w:r>
      <w:r>
        <w:rPr>
          <w:spacing w:val="3"/>
          <w:sz w:val="20"/>
          <w:szCs w:val="20"/>
        </w:rPr>
        <w:t xml:space="preserve">如下： </w:t>
      </w:r>
      <w:r>
        <w:rPr>
          <w:spacing w:val="3"/>
          <w:sz w:val="20"/>
          <w:szCs w:val="20"/>
          <w:u w:val="single" w:color="auto"/>
        </w:rPr>
        <w:t xml:space="preserve">                          </w:t>
      </w:r>
    </w:p>
    <w:p w14:paraId="3901C389">
      <w:pPr>
        <w:spacing w:line="245" w:lineRule="auto"/>
        <w:rPr>
          <w:rFonts w:ascii="Arial"/>
          <w:sz w:val="21"/>
        </w:rPr>
      </w:pPr>
    </w:p>
    <w:p w14:paraId="085EE3B9">
      <w:pPr>
        <w:tabs>
          <w:tab w:val="left" w:pos="8629"/>
        </w:tabs>
        <w:spacing w:before="14" w:line="188" w:lineRule="auto"/>
        <w:rPr>
          <w:rFonts w:ascii="Times New Roman" w:hAnsi="Times New Roman" w:eastAsia="Times New Roman" w:cs="Times New Roman"/>
          <w:sz w:val="5"/>
          <w:szCs w:val="5"/>
        </w:rPr>
      </w:pPr>
      <w:r>
        <w:rPr>
          <w:rFonts w:ascii="Times New Roman" w:hAnsi="Times New Roman" w:eastAsia="Times New Roman" w:cs="Times New Roman"/>
          <w:sz w:val="5"/>
          <w:szCs w:val="5"/>
          <w:u w:val="single" w:color="auto"/>
        </w:rPr>
        <w:tab/>
      </w:r>
      <w:r>
        <w:rPr>
          <w:rFonts w:ascii="Times New Roman" w:hAnsi="Times New Roman" w:eastAsia="Times New Roman" w:cs="Times New Roman"/>
          <w:spacing w:val="8"/>
          <w:w w:val="103"/>
          <w:sz w:val="5"/>
          <w:szCs w:val="5"/>
        </w:rPr>
        <w:t xml:space="preserve"> </w:t>
      </w:r>
      <w:r>
        <w:rPr>
          <w:rFonts w:ascii="Times New Roman" w:hAnsi="Times New Roman" w:eastAsia="Times New Roman" w:cs="Times New Roman"/>
          <w:sz w:val="5"/>
          <w:szCs w:val="5"/>
        </w:rPr>
        <w:t>0</w:t>
      </w:r>
    </w:p>
    <w:p w14:paraId="4F075E40">
      <w:pPr>
        <w:pStyle w:val="2"/>
        <w:spacing w:before="218" w:line="219" w:lineRule="auto"/>
        <w:ind w:left="409"/>
        <w:rPr>
          <w:sz w:val="20"/>
          <w:szCs w:val="20"/>
        </w:rPr>
      </w:pPr>
      <w:r>
        <w:rPr>
          <w:spacing w:val="9"/>
          <w:sz w:val="20"/>
          <w:szCs w:val="20"/>
        </w:rPr>
        <w:t>5. 投标工作和联合体在中标后工程实施过程中的有关费用按各自承担的工作量分摊。</w:t>
      </w:r>
    </w:p>
    <w:p w14:paraId="03420DF1">
      <w:pPr>
        <w:pStyle w:val="2"/>
        <w:spacing w:before="152" w:line="219" w:lineRule="auto"/>
        <w:ind w:left="409"/>
        <w:rPr>
          <w:sz w:val="20"/>
          <w:szCs w:val="20"/>
        </w:rPr>
      </w:pPr>
      <w:r>
        <w:rPr>
          <w:spacing w:val="9"/>
          <w:sz w:val="20"/>
          <w:szCs w:val="20"/>
        </w:rPr>
        <w:t>6. 联合体中标后，本联合体协议是合同的附件，对联合体各成员单位有合同约束力。</w:t>
      </w:r>
    </w:p>
    <w:p w14:paraId="5CB80DFC">
      <w:pPr>
        <w:pStyle w:val="2"/>
        <w:spacing w:before="152" w:line="219" w:lineRule="auto"/>
        <w:ind w:left="409"/>
        <w:rPr>
          <w:sz w:val="20"/>
          <w:szCs w:val="20"/>
        </w:rPr>
      </w:pPr>
      <w:r>
        <w:rPr>
          <w:spacing w:val="10"/>
          <w:sz w:val="20"/>
          <w:szCs w:val="20"/>
        </w:rPr>
        <w:t>7. 本协议书自签署之日起生效，联合体未中标或者中标合</w:t>
      </w:r>
      <w:r>
        <w:rPr>
          <w:spacing w:val="9"/>
          <w:sz w:val="20"/>
          <w:szCs w:val="20"/>
        </w:rPr>
        <w:t>同履行完毕后自动失效。</w:t>
      </w:r>
    </w:p>
    <w:p w14:paraId="5DC3C05D">
      <w:pPr>
        <w:pStyle w:val="2"/>
        <w:spacing w:before="153" w:line="219" w:lineRule="auto"/>
        <w:ind w:left="409"/>
        <w:rPr>
          <w:sz w:val="20"/>
          <w:szCs w:val="20"/>
        </w:rPr>
      </w:pPr>
      <w:r>
        <w:rPr>
          <w:spacing w:val="8"/>
          <w:sz w:val="20"/>
          <w:szCs w:val="20"/>
        </w:rPr>
        <w:t>8. 本协议书一式</w:t>
      </w:r>
      <w:r>
        <w:rPr>
          <w:spacing w:val="-89"/>
          <w:sz w:val="20"/>
          <w:szCs w:val="20"/>
        </w:rPr>
        <w:t xml:space="preserve"> </w:t>
      </w:r>
      <w:r>
        <w:rPr>
          <w:spacing w:val="5"/>
          <w:sz w:val="20"/>
          <w:szCs w:val="20"/>
          <w:u w:val="single" w:color="auto"/>
        </w:rPr>
        <w:t xml:space="preserve">            </w:t>
      </w:r>
      <w:r>
        <w:rPr>
          <w:spacing w:val="-70"/>
          <w:sz w:val="20"/>
          <w:szCs w:val="20"/>
        </w:rPr>
        <w:t xml:space="preserve"> </w:t>
      </w:r>
      <w:r>
        <w:rPr>
          <w:spacing w:val="8"/>
          <w:sz w:val="20"/>
          <w:szCs w:val="20"/>
        </w:rPr>
        <w:t>份，联合体成员和招标人各执一份。</w:t>
      </w:r>
    </w:p>
    <w:p w14:paraId="7D39CD47">
      <w:pPr>
        <w:spacing w:line="283" w:lineRule="auto"/>
        <w:rPr>
          <w:rFonts w:ascii="Arial"/>
          <w:sz w:val="21"/>
        </w:rPr>
      </w:pPr>
    </w:p>
    <w:p w14:paraId="5F279AA4">
      <w:pPr>
        <w:spacing w:line="283" w:lineRule="auto"/>
        <w:rPr>
          <w:rFonts w:ascii="Arial"/>
          <w:sz w:val="21"/>
        </w:rPr>
      </w:pPr>
    </w:p>
    <w:p w14:paraId="11D840CE">
      <w:pPr>
        <w:spacing w:line="284" w:lineRule="auto"/>
        <w:rPr>
          <w:rFonts w:ascii="Arial"/>
          <w:sz w:val="21"/>
        </w:rPr>
      </w:pPr>
    </w:p>
    <w:p w14:paraId="6AB91286">
      <w:pPr>
        <w:pStyle w:val="2"/>
        <w:spacing w:before="69" w:line="219" w:lineRule="auto"/>
        <w:ind w:left="1779"/>
        <w:rPr>
          <w:sz w:val="21"/>
          <w:szCs w:val="21"/>
        </w:rPr>
      </w:pPr>
      <w:r>
        <w:rPr>
          <w:spacing w:val="6"/>
          <w:position w:val="-1"/>
          <w:sz w:val="20"/>
          <w:szCs w:val="20"/>
        </w:rPr>
        <w:t>牵头人名称：</w:t>
      </w:r>
      <w:r>
        <w:rPr>
          <w:spacing w:val="-90"/>
          <w:position w:val="-1"/>
          <w:sz w:val="20"/>
          <w:szCs w:val="20"/>
        </w:rPr>
        <w:t xml:space="preserve"> </w:t>
      </w:r>
      <w:r>
        <w:rPr>
          <w:spacing w:val="6"/>
          <w:position w:val="-1"/>
          <w:sz w:val="20"/>
          <w:szCs w:val="20"/>
          <w:u w:val="single" w:color="auto"/>
        </w:rPr>
        <w:t xml:space="preserve">                                 </w:t>
      </w:r>
      <w:r>
        <w:rPr>
          <w:spacing w:val="5"/>
          <w:position w:val="-1"/>
          <w:sz w:val="20"/>
          <w:szCs w:val="20"/>
          <w:u w:val="single" w:color="auto"/>
        </w:rPr>
        <w:t xml:space="preserve">   </w:t>
      </w:r>
      <w:r>
        <w:rPr>
          <w:spacing w:val="5"/>
          <w:position w:val="-1"/>
          <w:sz w:val="20"/>
          <w:szCs w:val="20"/>
        </w:rPr>
        <w:t xml:space="preserve"> </w:t>
      </w:r>
      <w:r>
        <w:rPr>
          <w:spacing w:val="5"/>
          <w:position w:val="1"/>
          <w:sz w:val="21"/>
          <w:szCs w:val="21"/>
        </w:rPr>
        <w:t>(盖单位章)</w:t>
      </w:r>
    </w:p>
    <w:p w14:paraId="198934EA">
      <w:pPr>
        <w:pStyle w:val="2"/>
        <w:spacing w:before="133" w:line="229" w:lineRule="auto"/>
        <w:ind w:left="1779"/>
        <w:rPr>
          <w:sz w:val="20"/>
          <w:szCs w:val="20"/>
        </w:rPr>
      </w:pPr>
      <w:r>
        <w:rPr>
          <w:spacing w:val="5"/>
          <w:position w:val="-1"/>
          <w:sz w:val="20"/>
          <w:szCs w:val="20"/>
        </w:rPr>
        <w:t>法定代表人：</w:t>
      </w:r>
      <w:r>
        <w:rPr>
          <w:spacing w:val="5"/>
          <w:position w:val="-1"/>
          <w:sz w:val="20"/>
          <w:szCs w:val="20"/>
          <w:u w:val="single" w:color="auto"/>
        </w:rPr>
        <w:t xml:space="preserve">                            </w:t>
      </w:r>
      <w:r>
        <w:rPr>
          <w:spacing w:val="4"/>
          <w:position w:val="-1"/>
          <w:sz w:val="20"/>
          <w:szCs w:val="20"/>
          <w:u w:val="single" w:color="auto"/>
        </w:rPr>
        <w:t xml:space="preserve">             </w:t>
      </w:r>
      <w:r>
        <w:rPr>
          <w:spacing w:val="4"/>
          <w:position w:val="-1"/>
          <w:sz w:val="20"/>
          <w:szCs w:val="20"/>
        </w:rPr>
        <w:t xml:space="preserve"> </w:t>
      </w:r>
      <w:r>
        <w:rPr>
          <w:spacing w:val="4"/>
          <w:position w:val="2"/>
          <w:sz w:val="20"/>
          <w:szCs w:val="20"/>
        </w:rPr>
        <w:t>(签字)</w:t>
      </w:r>
    </w:p>
    <w:p w14:paraId="4E758034">
      <w:pPr>
        <w:spacing w:line="229" w:lineRule="auto"/>
        <w:rPr>
          <w:sz w:val="20"/>
          <w:szCs w:val="20"/>
        </w:rPr>
        <w:sectPr>
          <w:footerReference r:id="rId363" w:type="default"/>
          <w:pgSz w:w="11910" w:h="16840"/>
          <w:pgMar w:top="400" w:right="1470" w:bottom="1147" w:left="1460" w:header="0" w:footer="1021" w:gutter="0"/>
          <w:cols w:space="720" w:num="1"/>
        </w:sectPr>
      </w:pPr>
    </w:p>
    <w:p w14:paraId="72DC3E73">
      <w:pPr>
        <w:spacing w:line="269" w:lineRule="auto"/>
        <w:rPr>
          <w:rFonts w:ascii="Arial"/>
          <w:sz w:val="21"/>
        </w:rPr>
      </w:pPr>
    </w:p>
    <w:p w14:paraId="4CF03738">
      <w:pPr>
        <w:spacing w:line="269" w:lineRule="auto"/>
        <w:rPr>
          <w:rFonts w:ascii="Arial"/>
          <w:sz w:val="21"/>
        </w:rPr>
      </w:pPr>
    </w:p>
    <w:p w14:paraId="6425FC9E">
      <w:pPr>
        <w:spacing w:line="269" w:lineRule="auto"/>
        <w:rPr>
          <w:rFonts w:ascii="Arial"/>
          <w:sz w:val="21"/>
        </w:rPr>
      </w:pPr>
    </w:p>
    <w:p w14:paraId="10C76EFB">
      <w:pPr>
        <w:spacing w:line="269" w:lineRule="auto"/>
        <w:rPr>
          <w:rFonts w:ascii="Arial"/>
          <w:sz w:val="21"/>
        </w:rPr>
      </w:pPr>
    </w:p>
    <w:p w14:paraId="79016432">
      <w:pPr>
        <w:spacing w:line="269" w:lineRule="auto"/>
        <w:rPr>
          <w:rFonts w:ascii="Arial"/>
          <w:sz w:val="21"/>
        </w:rPr>
      </w:pPr>
    </w:p>
    <w:p w14:paraId="069E6A9F">
      <w:pPr>
        <w:pStyle w:val="2"/>
        <w:spacing w:before="74" w:line="223" w:lineRule="auto"/>
        <w:ind w:left="1769"/>
        <w:rPr>
          <w:sz w:val="21"/>
          <w:szCs w:val="21"/>
        </w:rPr>
      </w:pPr>
      <w:r>
        <w:rPr>
          <w:spacing w:val="1"/>
          <w:sz w:val="23"/>
          <w:szCs w:val="23"/>
        </w:rPr>
        <w:t>成员二名称：</w:t>
      </w:r>
      <w:r>
        <w:rPr>
          <w:spacing w:val="1"/>
          <w:sz w:val="23"/>
          <w:szCs w:val="23"/>
          <w:u w:val="single" w:color="auto"/>
        </w:rPr>
        <w:t xml:space="preserve">             </w:t>
      </w:r>
      <w:r>
        <w:rPr>
          <w:sz w:val="23"/>
          <w:szCs w:val="23"/>
          <w:u w:val="single" w:color="auto"/>
        </w:rPr>
        <w:t xml:space="preserve">                   </w:t>
      </w:r>
      <w:r>
        <w:rPr>
          <w:sz w:val="23"/>
          <w:szCs w:val="23"/>
        </w:rPr>
        <w:t xml:space="preserve"> </w:t>
      </w:r>
      <w:r>
        <w:rPr>
          <w:position w:val="1"/>
          <w:sz w:val="21"/>
          <w:szCs w:val="21"/>
        </w:rPr>
        <w:t>(盖单位章)</w:t>
      </w:r>
    </w:p>
    <w:p w14:paraId="4955D7B1">
      <w:pPr>
        <w:pStyle w:val="2"/>
        <w:spacing w:before="122" w:line="220" w:lineRule="auto"/>
        <w:ind w:left="1779"/>
        <w:rPr>
          <w:sz w:val="21"/>
          <w:szCs w:val="21"/>
        </w:rPr>
      </w:pPr>
      <w:r>
        <w:rPr>
          <w:spacing w:val="2"/>
          <w:sz w:val="23"/>
          <w:szCs w:val="23"/>
        </w:rPr>
        <w:t>法定代表人：</w:t>
      </w:r>
      <w:r>
        <w:rPr>
          <w:spacing w:val="2"/>
          <w:sz w:val="23"/>
          <w:szCs w:val="23"/>
          <w:u w:val="single" w:color="auto"/>
        </w:rPr>
        <w:t xml:space="preserve">                               </w:t>
      </w:r>
      <w:r>
        <w:rPr>
          <w:spacing w:val="1"/>
          <w:sz w:val="23"/>
          <w:szCs w:val="23"/>
          <w:u w:val="single" w:color="auto"/>
        </w:rPr>
        <w:t xml:space="preserve">     </w:t>
      </w:r>
      <w:r>
        <w:rPr>
          <w:spacing w:val="2"/>
          <w:sz w:val="23"/>
          <w:szCs w:val="23"/>
        </w:rPr>
        <w:t xml:space="preserve"> </w:t>
      </w:r>
      <w:r>
        <w:rPr>
          <w:spacing w:val="2"/>
          <w:position w:val="1"/>
          <w:sz w:val="21"/>
          <w:szCs w:val="21"/>
        </w:rPr>
        <w:t>(签字)</w:t>
      </w:r>
    </w:p>
    <w:p w14:paraId="5D912B80">
      <w:pPr>
        <w:spacing w:before="197" w:line="50" w:lineRule="exact"/>
        <w:ind w:firstLine="2099"/>
      </w:pPr>
      <w:r>
        <w:rPr>
          <w:position w:val="-1"/>
        </w:rPr>
        <w:drawing>
          <wp:inline distT="0" distB="0" distL="0" distR="0">
            <wp:extent cx="266065" cy="31750"/>
            <wp:effectExtent l="0" t="0" r="0" b="0"/>
            <wp:docPr id="278" name="IM 278"/>
            <wp:cNvGraphicFramePr/>
            <a:graphic xmlns:a="http://schemas.openxmlformats.org/drawingml/2006/main">
              <a:graphicData uri="http://schemas.openxmlformats.org/drawingml/2006/picture">
                <pic:pic xmlns:pic="http://schemas.openxmlformats.org/drawingml/2006/picture">
                  <pic:nvPicPr>
                    <pic:cNvPr id="278" name="IM 278"/>
                    <pic:cNvPicPr/>
                  </pic:nvPicPr>
                  <pic:blipFill>
                    <a:blip r:embed="rId522"/>
                    <a:stretch>
                      <a:fillRect/>
                    </a:stretch>
                  </pic:blipFill>
                  <pic:spPr>
                    <a:xfrm>
                      <a:off x="0" y="0"/>
                      <a:ext cx="266666" cy="31759"/>
                    </a:xfrm>
                    <a:prstGeom prst="rect">
                      <a:avLst/>
                    </a:prstGeom>
                  </pic:spPr>
                </pic:pic>
              </a:graphicData>
            </a:graphic>
          </wp:inline>
        </w:drawing>
      </w:r>
    </w:p>
    <w:p w14:paraId="6C92C6FE">
      <w:pPr>
        <w:pStyle w:val="2"/>
        <w:tabs>
          <w:tab w:val="left" w:pos="5430"/>
        </w:tabs>
        <w:spacing w:before="260" w:line="223" w:lineRule="auto"/>
        <w:ind w:left="4559"/>
        <w:rPr>
          <w:sz w:val="21"/>
          <w:szCs w:val="21"/>
        </w:rPr>
      </w:pPr>
      <w:r>
        <w:rPr>
          <w:rFonts w:ascii="黑体" w:hAnsi="黑体" w:eastAsia="黑体" w:cs="黑体"/>
          <w:sz w:val="23"/>
          <w:szCs w:val="23"/>
          <w:u w:val="single" w:color="auto"/>
        </w:rPr>
        <w:tab/>
      </w:r>
      <w:r>
        <w:rPr>
          <w:rFonts w:ascii="黑体" w:hAnsi="黑体" w:eastAsia="黑体" w:cs="黑体"/>
          <w:spacing w:val="-33"/>
          <w:sz w:val="23"/>
          <w:szCs w:val="23"/>
          <w:u w:val="single" w:color="auto"/>
        </w:rPr>
        <w:t xml:space="preserve">年           </w:t>
      </w:r>
      <w:r>
        <w:rPr>
          <w:spacing w:val="-33"/>
          <w:sz w:val="21"/>
          <w:szCs w:val="21"/>
        </w:rPr>
        <w:t>月</w:t>
      </w:r>
      <w:r>
        <w:rPr>
          <w:spacing w:val="6"/>
          <w:sz w:val="21"/>
          <w:szCs w:val="21"/>
          <w:u w:val="single" w:color="auto"/>
        </w:rPr>
        <w:t xml:space="preserve">        </w:t>
      </w:r>
      <w:r>
        <w:rPr>
          <w:spacing w:val="-33"/>
          <w:sz w:val="21"/>
          <w:szCs w:val="21"/>
          <w:u w:val="single" w:color="auto"/>
        </w:rPr>
        <w:t>日</w:t>
      </w:r>
    </w:p>
    <w:p w14:paraId="68E8D16C">
      <w:pPr>
        <w:spacing w:line="246" w:lineRule="auto"/>
        <w:rPr>
          <w:rFonts w:ascii="Arial"/>
          <w:sz w:val="21"/>
        </w:rPr>
      </w:pPr>
    </w:p>
    <w:p w14:paraId="51C54843">
      <w:pPr>
        <w:spacing w:line="246" w:lineRule="auto"/>
        <w:rPr>
          <w:rFonts w:ascii="Arial"/>
          <w:sz w:val="21"/>
        </w:rPr>
      </w:pPr>
    </w:p>
    <w:p w14:paraId="1288A5FD">
      <w:pPr>
        <w:spacing w:line="247" w:lineRule="auto"/>
        <w:rPr>
          <w:rFonts w:ascii="Arial"/>
          <w:sz w:val="21"/>
        </w:rPr>
      </w:pPr>
    </w:p>
    <w:p w14:paraId="4EBA5D88">
      <w:pPr>
        <w:spacing w:line="247" w:lineRule="auto"/>
        <w:rPr>
          <w:rFonts w:ascii="Arial"/>
          <w:sz w:val="21"/>
        </w:rPr>
      </w:pPr>
    </w:p>
    <w:p w14:paraId="5ED20DAA">
      <w:pPr>
        <w:spacing w:line="247" w:lineRule="auto"/>
        <w:rPr>
          <w:rFonts w:ascii="Arial"/>
          <w:sz w:val="21"/>
        </w:rPr>
      </w:pPr>
    </w:p>
    <w:p w14:paraId="15A70698">
      <w:pPr>
        <w:pStyle w:val="2"/>
        <w:spacing w:before="68" w:line="219" w:lineRule="auto"/>
        <w:rPr>
          <w:sz w:val="21"/>
          <w:szCs w:val="21"/>
        </w:rPr>
      </w:pPr>
      <w:r>
        <w:rPr>
          <w:sz w:val="21"/>
          <w:szCs w:val="21"/>
        </w:rPr>
        <w:t>备注：1.本协议书由委托代理人签字的，应附法定代表人签字</w:t>
      </w:r>
      <w:r>
        <w:rPr>
          <w:spacing w:val="-1"/>
          <w:sz w:val="21"/>
          <w:szCs w:val="21"/>
        </w:rPr>
        <w:t>的授权委托书。</w:t>
      </w:r>
    </w:p>
    <w:p w14:paraId="738DDC5C">
      <w:pPr>
        <w:pStyle w:val="2"/>
        <w:spacing w:before="141" w:line="219" w:lineRule="auto"/>
        <w:ind w:left="619"/>
        <w:rPr>
          <w:sz w:val="21"/>
          <w:szCs w:val="21"/>
        </w:rPr>
      </w:pPr>
      <w:r>
        <w:rPr>
          <w:sz w:val="21"/>
          <w:szCs w:val="21"/>
        </w:rPr>
        <w:t>2.投标人未采用联合体投标的，投标文件中不需联合体协议书，也无须盖单位章和签字。</w:t>
      </w:r>
    </w:p>
    <w:p w14:paraId="3B38AFF4">
      <w:pPr>
        <w:pStyle w:val="2"/>
        <w:spacing w:before="144" w:line="330" w:lineRule="auto"/>
        <w:ind w:left="838" w:hanging="219"/>
        <w:rPr>
          <w:sz w:val="21"/>
          <w:szCs w:val="21"/>
        </w:rPr>
      </w:pPr>
      <w:r>
        <w:rPr>
          <w:spacing w:val="2"/>
          <w:sz w:val="21"/>
          <w:szCs w:val="21"/>
        </w:rPr>
        <w:t>3.政府采购工程部分预留专门面向中小企业采购的项目，招标人要求大型企业与中小微企</w:t>
      </w:r>
      <w:r>
        <w:rPr>
          <w:spacing w:val="3"/>
          <w:sz w:val="21"/>
          <w:szCs w:val="21"/>
        </w:rPr>
        <w:t xml:space="preserve">  </w:t>
      </w:r>
      <w:r>
        <w:rPr>
          <w:spacing w:val="2"/>
          <w:sz w:val="21"/>
          <w:szCs w:val="21"/>
        </w:rPr>
        <w:t xml:space="preserve">业组成联合体形式投标，且联合体中的中小企业承担的部分达到一定比例的，联合体协  </w:t>
      </w:r>
      <w:r>
        <w:rPr>
          <w:spacing w:val="5"/>
          <w:sz w:val="21"/>
          <w:szCs w:val="21"/>
        </w:rPr>
        <w:t>议书第4条中应当按照第二章投标人须知附录二“政府采购工程预留工作及金</w:t>
      </w:r>
      <w:r>
        <w:rPr>
          <w:spacing w:val="4"/>
          <w:sz w:val="21"/>
          <w:szCs w:val="21"/>
        </w:rPr>
        <w:t>额”的范</w:t>
      </w:r>
      <w:r>
        <w:rPr>
          <w:sz w:val="21"/>
          <w:szCs w:val="21"/>
        </w:rPr>
        <w:t xml:space="preserve">  </w:t>
      </w:r>
      <w:r>
        <w:rPr>
          <w:spacing w:val="-1"/>
          <w:sz w:val="21"/>
          <w:szCs w:val="21"/>
        </w:rPr>
        <w:t>围，明确联合体各方承担的合同工作内容、合同金额及合同金额与项目合同金额的占比。</w:t>
      </w:r>
      <w:r>
        <w:rPr>
          <w:spacing w:val="3"/>
          <w:sz w:val="21"/>
          <w:szCs w:val="21"/>
        </w:rPr>
        <w:t xml:space="preserve"> </w:t>
      </w:r>
      <w:r>
        <w:rPr>
          <w:spacing w:val="2"/>
          <w:sz w:val="21"/>
          <w:szCs w:val="21"/>
        </w:rPr>
        <w:t>同时，声明组成联合体的中小企业与联合体内其他企业之间是否存在直接控股、管理关</w:t>
      </w:r>
      <w:r>
        <w:rPr>
          <w:spacing w:val="1"/>
          <w:sz w:val="21"/>
          <w:szCs w:val="21"/>
        </w:rPr>
        <w:t xml:space="preserve">  </w:t>
      </w:r>
      <w:r>
        <w:rPr>
          <w:spacing w:val="-4"/>
          <w:sz w:val="21"/>
          <w:szCs w:val="21"/>
        </w:rPr>
        <w:t>系。</w:t>
      </w:r>
    </w:p>
    <w:p w14:paraId="0D4ED627">
      <w:pPr>
        <w:pStyle w:val="2"/>
        <w:spacing w:before="147" w:line="325" w:lineRule="auto"/>
        <w:ind w:left="838" w:right="86" w:hanging="219"/>
        <w:rPr>
          <w:sz w:val="21"/>
          <w:szCs w:val="21"/>
        </w:rPr>
      </w:pPr>
      <w:r>
        <w:rPr>
          <w:spacing w:val="2"/>
          <w:sz w:val="21"/>
          <w:szCs w:val="21"/>
        </w:rPr>
        <w:t>4.政府采购工程未预留份额专门面向中小企业采购的项目，招标人接受大中型企业与小微</w:t>
      </w:r>
      <w:r>
        <w:rPr>
          <w:spacing w:val="7"/>
          <w:sz w:val="21"/>
          <w:szCs w:val="21"/>
        </w:rPr>
        <w:t xml:space="preserve"> </w:t>
      </w:r>
      <w:r>
        <w:rPr>
          <w:spacing w:val="2"/>
          <w:sz w:val="21"/>
          <w:szCs w:val="21"/>
        </w:rPr>
        <w:t xml:space="preserve">企业组成联合体形式投标，且联合体中的小微企业承担的部分达到一定比例可享受价格 </w:t>
      </w:r>
      <w:r>
        <w:rPr>
          <w:spacing w:val="5"/>
          <w:sz w:val="21"/>
          <w:szCs w:val="21"/>
        </w:rPr>
        <w:t>扣除或增加价格分优惠政策的，联合体协议书第4条中应当明确联合体各方承担的合同</w:t>
      </w:r>
      <w:r>
        <w:rPr>
          <w:spacing w:val="3"/>
          <w:sz w:val="21"/>
          <w:szCs w:val="21"/>
        </w:rPr>
        <w:t xml:space="preserve"> </w:t>
      </w:r>
      <w:r>
        <w:rPr>
          <w:spacing w:val="2"/>
          <w:sz w:val="21"/>
          <w:szCs w:val="21"/>
        </w:rPr>
        <w:t>工作内容、合同金额及合同金额与项目合同金额的占比。同时，声明组成联合体的小微</w:t>
      </w:r>
      <w:r>
        <w:rPr>
          <w:spacing w:val="1"/>
          <w:sz w:val="21"/>
          <w:szCs w:val="21"/>
        </w:rPr>
        <w:t xml:space="preserve"> </w:t>
      </w:r>
      <w:r>
        <w:rPr>
          <w:spacing w:val="-2"/>
          <w:sz w:val="21"/>
          <w:szCs w:val="21"/>
        </w:rPr>
        <w:t>企业与联合体内其他企业是否存在直接控股、管理关系。</w:t>
      </w:r>
    </w:p>
    <w:p w14:paraId="48EDC06A">
      <w:pPr>
        <w:spacing w:line="325" w:lineRule="auto"/>
        <w:rPr>
          <w:sz w:val="21"/>
          <w:szCs w:val="21"/>
        </w:rPr>
        <w:sectPr>
          <w:footerReference r:id="rId364" w:type="default"/>
          <w:pgSz w:w="11910" w:h="16840"/>
          <w:pgMar w:top="400" w:right="1444" w:bottom="1147" w:left="1470" w:header="0" w:footer="1021" w:gutter="0"/>
          <w:cols w:space="720" w:num="1"/>
        </w:sectPr>
      </w:pPr>
    </w:p>
    <w:p w14:paraId="2D610CC9">
      <w:pPr>
        <w:spacing w:line="253" w:lineRule="auto"/>
        <w:rPr>
          <w:rFonts w:ascii="Arial"/>
          <w:sz w:val="21"/>
        </w:rPr>
      </w:pPr>
    </w:p>
    <w:p w14:paraId="6EE46A32">
      <w:pPr>
        <w:spacing w:line="253" w:lineRule="auto"/>
        <w:rPr>
          <w:rFonts w:ascii="Arial"/>
          <w:sz w:val="21"/>
        </w:rPr>
      </w:pPr>
    </w:p>
    <w:p w14:paraId="4DC1B6A2">
      <w:pPr>
        <w:spacing w:line="253" w:lineRule="auto"/>
        <w:rPr>
          <w:rFonts w:ascii="Arial"/>
          <w:sz w:val="21"/>
        </w:rPr>
      </w:pPr>
    </w:p>
    <w:p w14:paraId="7913E5F5">
      <w:pPr>
        <w:spacing w:line="253" w:lineRule="auto"/>
        <w:rPr>
          <w:rFonts w:ascii="Arial"/>
          <w:sz w:val="21"/>
        </w:rPr>
      </w:pPr>
    </w:p>
    <w:p w14:paraId="24E97F3B">
      <w:pPr>
        <w:spacing w:line="253" w:lineRule="auto"/>
        <w:rPr>
          <w:rFonts w:ascii="Arial"/>
          <w:sz w:val="21"/>
        </w:rPr>
      </w:pPr>
    </w:p>
    <w:p w14:paraId="0767DEFF">
      <w:pPr>
        <w:spacing w:line="253" w:lineRule="auto"/>
        <w:rPr>
          <w:rFonts w:ascii="Arial"/>
          <w:sz w:val="21"/>
        </w:rPr>
      </w:pPr>
    </w:p>
    <w:p w14:paraId="403B38E3">
      <w:pPr>
        <w:spacing w:line="254" w:lineRule="auto"/>
        <w:rPr>
          <w:rFonts w:ascii="Arial"/>
          <w:sz w:val="21"/>
        </w:rPr>
      </w:pPr>
    </w:p>
    <w:p w14:paraId="7CFC25E7">
      <w:pPr>
        <w:spacing w:before="95" w:line="222" w:lineRule="auto"/>
        <w:ind w:left="3304"/>
        <w:rPr>
          <w:rFonts w:ascii="黑体" w:hAnsi="黑体" w:eastAsia="黑体" w:cs="黑体"/>
          <w:sz w:val="29"/>
          <w:szCs w:val="29"/>
        </w:rPr>
      </w:pPr>
      <w:r>
        <w:rPr>
          <w:rFonts w:ascii="黑体" w:hAnsi="黑体" w:eastAsia="黑体" w:cs="黑体"/>
          <w:b/>
          <w:bCs/>
          <w:spacing w:val="-7"/>
          <w:sz w:val="29"/>
          <w:szCs w:val="29"/>
        </w:rPr>
        <w:t>五、拟分包计划表</w:t>
      </w:r>
    </w:p>
    <w:p w14:paraId="3F95D5DF">
      <w:pPr>
        <w:spacing w:before="196"/>
      </w:pPr>
    </w:p>
    <w:tbl>
      <w:tblPr>
        <w:tblStyle w:val="5"/>
        <w:tblW w:w="8490" w:type="dxa"/>
        <w:tblInd w:w="1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4"/>
        <w:gridCol w:w="1848"/>
        <w:gridCol w:w="749"/>
        <w:gridCol w:w="929"/>
        <w:gridCol w:w="1129"/>
        <w:gridCol w:w="1099"/>
        <w:gridCol w:w="1198"/>
        <w:gridCol w:w="974"/>
      </w:tblGrid>
      <w:tr w14:paraId="3AA503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564" w:type="dxa"/>
            <w:vMerge w:val="restart"/>
            <w:tcBorders>
              <w:bottom w:val="nil"/>
            </w:tcBorders>
            <w:textDirection w:val="tbRlV"/>
            <w:vAlign w:val="top"/>
          </w:tcPr>
          <w:p w14:paraId="3A5F9F3D">
            <w:pPr>
              <w:pStyle w:val="6"/>
              <w:spacing w:before="201" w:line="199" w:lineRule="auto"/>
              <w:ind w:left="174"/>
              <w:rPr>
                <w:sz w:val="20"/>
                <w:szCs w:val="20"/>
              </w:rPr>
            </w:pPr>
            <w:r>
              <w:rPr>
                <w:sz w:val="20"/>
                <w:szCs w:val="20"/>
              </w:rPr>
              <w:t>序</w:t>
            </w:r>
            <w:r>
              <w:rPr>
                <w:spacing w:val="55"/>
                <w:sz w:val="20"/>
                <w:szCs w:val="20"/>
              </w:rPr>
              <w:t xml:space="preserve"> </w:t>
            </w:r>
            <w:r>
              <w:rPr>
                <w:sz w:val="20"/>
                <w:szCs w:val="20"/>
              </w:rPr>
              <w:t>号</w:t>
            </w:r>
          </w:p>
        </w:tc>
        <w:tc>
          <w:tcPr>
            <w:tcW w:w="1848" w:type="dxa"/>
            <w:vMerge w:val="restart"/>
            <w:tcBorders>
              <w:bottom w:val="nil"/>
            </w:tcBorders>
            <w:vAlign w:val="top"/>
          </w:tcPr>
          <w:p w14:paraId="2B656FEA">
            <w:pPr>
              <w:pStyle w:val="6"/>
              <w:spacing w:before="221" w:line="235" w:lineRule="auto"/>
              <w:ind w:left="410" w:right="27" w:hanging="300"/>
              <w:rPr>
                <w:sz w:val="20"/>
                <w:szCs w:val="20"/>
              </w:rPr>
            </w:pPr>
            <w:r>
              <w:rPr>
                <w:spacing w:val="12"/>
                <w:sz w:val="20"/>
                <w:szCs w:val="20"/>
              </w:rPr>
              <w:t>拟分包项目名称、</w:t>
            </w:r>
            <w:r>
              <w:rPr>
                <w:spacing w:val="2"/>
                <w:sz w:val="20"/>
                <w:szCs w:val="20"/>
              </w:rPr>
              <w:t xml:space="preserve"> </w:t>
            </w:r>
            <w:r>
              <w:rPr>
                <w:spacing w:val="4"/>
                <w:sz w:val="20"/>
                <w:szCs w:val="20"/>
              </w:rPr>
              <w:t>范围及理由</w:t>
            </w:r>
          </w:p>
        </w:tc>
        <w:tc>
          <w:tcPr>
            <w:tcW w:w="5104" w:type="dxa"/>
            <w:gridSpan w:val="5"/>
            <w:vAlign w:val="top"/>
          </w:tcPr>
          <w:p w14:paraId="20E1FBEB">
            <w:pPr>
              <w:pStyle w:val="6"/>
              <w:spacing w:before="122" w:line="219" w:lineRule="auto"/>
              <w:ind w:left="2013"/>
              <w:rPr>
                <w:sz w:val="20"/>
                <w:szCs w:val="20"/>
              </w:rPr>
            </w:pPr>
            <w:r>
              <w:rPr>
                <w:spacing w:val="-2"/>
                <w:sz w:val="20"/>
                <w:szCs w:val="20"/>
              </w:rPr>
              <w:t>拟选分包人</w:t>
            </w:r>
          </w:p>
        </w:tc>
        <w:tc>
          <w:tcPr>
            <w:tcW w:w="974" w:type="dxa"/>
            <w:vMerge w:val="restart"/>
            <w:tcBorders>
              <w:bottom w:val="nil"/>
            </w:tcBorders>
            <w:vAlign w:val="top"/>
          </w:tcPr>
          <w:p w14:paraId="405727D4">
            <w:pPr>
              <w:spacing w:line="297" w:lineRule="auto"/>
              <w:rPr>
                <w:rFonts w:ascii="Arial"/>
                <w:sz w:val="21"/>
              </w:rPr>
            </w:pPr>
          </w:p>
          <w:p w14:paraId="6CCDCE50">
            <w:pPr>
              <w:pStyle w:val="6"/>
              <w:spacing w:before="65" w:line="221" w:lineRule="auto"/>
              <w:ind w:left="288"/>
              <w:rPr>
                <w:sz w:val="20"/>
                <w:szCs w:val="20"/>
              </w:rPr>
            </w:pPr>
            <w:r>
              <w:rPr>
                <w:spacing w:val="5"/>
                <w:sz w:val="20"/>
                <w:szCs w:val="20"/>
              </w:rPr>
              <w:t>备注</w:t>
            </w:r>
          </w:p>
        </w:tc>
      </w:tr>
      <w:tr w14:paraId="03F91E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564" w:type="dxa"/>
            <w:vMerge w:val="continue"/>
            <w:tcBorders>
              <w:top w:val="nil"/>
            </w:tcBorders>
            <w:textDirection w:val="tbRlV"/>
            <w:vAlign w:val="top"/>
          </w:tcPr>
          <w:p w14:paraId="489E1042">
            <w:pPr>
              <w:rPr>
                <w:rFonts w:ascii="Arial"/>
                <w:sz w:val="21"/>
              </w:rPr>
            </w:pPr>
          </w:p>
        </w:tc>
        <w:tc>
          <w:tcPr>
            <w:tcW w:w="1848" w:type="dxa"/>
            <w:vMerge w:val="continue"/>
            <w:tcBorders>
              <w:top w:val="nil"/>
            </w:tcBorders>
            <w:vAlign w:val="top"/>
          </w:tcPr>
          <w:p w14:paraId="74972AA5">
            <w:pPr>
              <w:rPr>
                <w:rFonts w:ascii="Arial"/>
                <w:sz w:val="21"/>
              </w:rPr>
            </w:pPr>
          </w:p>
        </w:tc>
        <w:tc>
          <w:tcPr>
            <w:tcW w:w="1678" w:type="dxa"/>
            <w:gridSpan w:val="2"/>
            <w:vAlign w:val="top"/>
          </w:tcPr>
          <w:p w14:paraId="73A66895">
            <w:pPr>
              <w:pStyle w:val="6"/>
              <w:spacing w:before="137" w:line="219" w:lineRule="auto"/>
              <w:ind w:left="103"/>
              <w:rPr>
                <w:sz w:val="20"/>
                <w:szCs w:val="20"/>
              </w:rPr>
            </w:pPr>
            <w:r>
              <w:rPr>
                <w:spacing w:val="-1"/>
                <w:sz w:val="20"/>
                <w:szCs w:val="20"/>
              </w:rPr>
              <w:t>拟选分包人名称</w:t>
            </w:r>
          </w:p>
        </w:tc>
        <w:tc>
          <w:tcPr>
            <w:tcW w:w="1129" w:type="dxa"/>
            <w:vAlign w:val="top"/>
          </w:tcPr>
          <w:p w14:paraId="59B9ACF5">
            <w:pPr>
              <w:pStyle w:val="6"/>
              <w:spacing w:before="139" w:line="221" w:lineRule="auto"/>
              <w:ind w:left="164"/>
              <w:rPr>
                <w:sz w:val="20"/>
                <w:szCs w:val="20"/>
              </w:rPr>
            </w:pPr>
            <w:r>
              <w:rPr>
                <w:spacing w:val="4"/>
                <w:sz w:val="20"/>
                <w:szCs w:val="20"/>
              </w:rPr>
              <w:t>注册地点</w:t>
            </w:r>
          </w:p>
        </w:tc>
        <w:tc>
          <w:tcPr>
            <w:tcW w:w="1099" w:type="dxa"/>
            <w:vAlign w:val="top"/>
          </w:tcPr>
          <w:p w14:paraId="6CD283FA">
            <w:pPr>
              <w:pStyle w:val="6"/>
              <w:spacing w:before="138" w:line="220" w:lineRule="auto"/>
              <w:ind w:left="155"/>
              <w:rPr>
                <w:sz w:val="20"/>
                <w:szCs w:val="20"/>
              </w:rPr>
            </w:pPr>
            <w:r>
              <w:rPr>
                <w:spacing w:val="5"/>
                <w:sz w:val="20"/>
                <w:szCs w:val="20"/>
              </w:rPr>
              <w:t>企业资质</w:t>
            </w:r>
          </w:p>
        </w:tc>
        <w:tc>
          <w:tcPr>
            <w:tcW w:w="1198" w:type="dxa"/>
            <w:vAlign w:val="top"/>
          </w:tcPr>
          <w:p w14:paraId="142DC4E5">
            <w:pPr>
              <w:pStyle w:val="6"/>
              <w:spacing w:before="138" w:line="220" w:lineRule="auto"/>
              <w:ind w:left="187"/>
              <w:rPr>
                <w:sz w:val="20"/>
                <w:szCs w:val="20"/>
              </w:rPr>
            </w:pPr>
            <w:r>
              <w:rPr>
                <w:spacing w:val="-2"/>
                <w:sz w:val="20"/>
                <w:szCs w:val="20"/>
              </w:rPr>
              <w:t>有关业绩</w:t>
            </w:r>
          </w:p>
        </w:tc>
        <w:tc>
          <w:tcPr>
            <w:tcW w:w="974" w:type="dxa"/>
            <w:vMerge w:val="continue"/>
            <w:tcBorders>
              <w:top w:val="nil"/>
            </w:tcBorders>
            <w:vAlign w:val="top"/>
          </w:tcPr>
          <w:p w14:paraId="4A1D2897">
            <w:pPr>
              <w:rPr>
                <w:rFonts w:ascii="Arial"/>
                <w:sz w:val="21"/>
              </w:rPr>
            </w:pPr>
          </w:p>
        </w:tc>
      </w:tr>
      <w:tr w14:paraId="65AF06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564" w:type="dxa"/>
            <w:vMerge w:val="restart"/>
            <w:tcBorders>
              <w:bottom w:val="nil"/>
            </w:tcBorders>
            <w:vAlign w:val="top"/>
          </w:tcPr>
          <w:p w14:paraId="6A6B051A">
            <w:pPr>
              <w:rPr>
                <w:rFonts w:ascii="Arial"/>
                <w:sz w:val="21"/>
              </w:rPr>
            </w:pPr>
          </w:p>
        </w:tc>
        <w:tc>
          <w:tcPr>
            <w:tcW w:w="1848" w:type="dxa"/>
            <w:vMerge w:val="restart"/>
            <w:tcBorders>
              <w:bottom w:val="nil"/>
            </w:tcBorders>
            <w:vAlign w:val="top"/>
          </w:tcPr>
          <w:p w14:paraId="6057D9FF">
            <w:pPr>
              <w:rPr>
                <w:rFonts w:ascii="Arial"/>
                <w:sz w:val="21"/>
              </w:rPr>
            </w:pPr>
          </w:p>
        </w:tc>
        <w:tc>
          <w:tcPr>
            <w:tcW w:w="749" w:type="dxa"/>
            <w:vAlign w:val="top"/>
          </w:tcPr>
          <w:p w14:paraId="143FC129">
            <w:pPr>
              <w:pStyle w:val="6"/>
              <w:spacing w:before="149" w:line="241" w:lineRule="auto"/>
              <w:ind w:left="313"/>
              <w:rPr>
                <w:sz w:val="20"/>
                <w:szCs w:val="20"/>
              </w:rPr>
            </w:pPr>
            <w:r>
              <w:rPr>
                <w:sz w:val="20"/>
                <w:szCs w:val="20"/>
              </w:rPr>
              <w:t>1</w:t>
            </w:r>
          </w:p>
        </w:tc>
        <w:tc>
          <w:tcPr>
            <w:tcW w:w="929" w:type="dxa"/>
            <w:vAlign w:val="top"/>
          </w:tcPr>
          <w:p w14:paraId="564CDD65">
            <w:pPr>
              <w:rPr>
                <w:rFonts w:ascii="Arial"/>
                <w:sz w:val="21"/>
              </w:rPr>
            </w:pPr>
          </w:p>
        </w:tc>
        <w:tc>
          <w:tcPr>
            <w:tcW w:w="1129" w:type="dxa"/>
            <w:vAlign w:val="top"/>
          </w:tcPr>
          <w:p w14:paraId="1DE4287D">
            <w:pPr>
              <w:rPr>
                <w:rFonts w:ascii="Arial"/>
                <w:sz w:val="21"/>
              </w:rPr>
            </w:pPr>
          </w:p>
        </w:tc>
        <w:tc>
          <w:tcPr>
            <w:tcW w:w="1099" w:type="dxa"/>
            <w:vAlign w:val="top"/>
          </w:tcPr>
          <w:p w14:paraId="52DD2FF7">
            <w:pPr>
              <w:rPr>
                <w:rFonts w:ascii="Arial"/>
                <w:sz w:val="21"/>
              </w:rPr>
            </w:pPr>
          </w:p>
        </w:tc>
        <w:tc>
          <w:tcPr>
            <w:tcW w:w="1198" w:type="dxa"/>
            <w:vAlign w:val="top"/>
          </w:tcPr>
          <w:p w14:paraId="0367D303">
            <w:pPr>
              <w:rPr>
                <w:rFonts w:ascii="Arial"/>
                <w:sz w:val="21"/>
              </w:rPr>
            </w:pPr>
          </w:p>
        </w:tc>
        <w:tc>
          <w:tcPr>
            <w:tcW w:w="974" w:type="dxa"/>
            <w:vAlign w:val="top"/>
          </w:tcPr>
          <w:p w14:paraId="0F2739FF">
            <w:pPr>
              <w:rPr>
                <w:rFonts w:ascii="Arial"/>
                <w:sz w:val="21"/>
              </w:rPr>
            </w:pPr>
          </w:p>
        </w:tc>
      </w:tr>
      <w:tr w14:paraId="0B6E9F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9" w:hRule="atLeast"/>
        </w:trPr>
        <w:tc>
          <w:tcPr>
            <w:tcW w:w="564" w:type="dxa"/>
            <w:vMerge w:val="continue"/>
            <w:tcBorders>
              <w:top w:val="nil"/>
              <w:bottom w:val="nil"/>
            </w:tcBorders>
            <w:vAlign w:val="top"/>
          </w:tcPr>
          <w:p w14:paraId="10B40124">
            <w:pPr>
              <w:rPr>
                <w:rFonts w:ascii="Arial"/>
                <w:sz w:val="21"/>
              </w:rPr>
            </w:pPr>
          </w:p>
        </w:tc>
        <w:tc>
          <w:tcPr>
            <w:tcW w:w="1848" w:type="dxa"/>
            <w:vMerge w:val="continue"/>
            <w:tcBorders>
              <w:top w:val="nil"/>
              <w:bottom w:val="nil"/>
            </w:tcBorders>
            <w:vAlign w:val="top"/>
          </w:tcPr>
          <w:p w14:paraId="3130083E">
            <w:pPr>
              <w:rPr>
                <w:rFonts w:ascii="Arial"/>
                <w:sz w:val="21"/>
              </w:rPr>
            </w:pPr>
          </w:p>
        </w:tc>
        <w:tc>
          <w:tcPr>
            <w:tcW w:w="749" w:type="dxa"/>
            <w:vAlign w:val="top"/>
          </w:tcPr>
          <w:p w14:paraId="736060F0">
            <w:pPr>
              <w:pStyle w:val="6"/>
              <w:spacing w:before="140" w:line="241" w:lineRule="auto"/>
              <w:ind w:left="313"/>
              <w:rPr>
                <w:sz w:val="20"/>
                <w:szCs w:val="20"/>
              </w:rPr>
            </w:pPr>
            <w:r>
              <w:rPr>
                <w:sz w:val="20"/>
                <w:szCs w:val="20"/>
              </w:rPr>
              <w:t>2</w:t>
            </w:r>
          </w:p>
        </w:tc>
        <w:tc>
          <w:tcPr>
            <w:tcW w:w="929" w:type="dxa"/>
            <w:vAlign w:val="top"/>
          </w:tcPr>
          <w:p w14:paraId="7D6274E6">
            <w:pPr>
              <w:rPr>
                <w:rFonts w:ascii="Arial"/>
                <w:sz w:val="21"/>
              </w:rPr>
            </w:pPr>
          </w:p>
        </w:tc>
        <w:tc>
          <w:tcPr>
            <w:tcW w:w="1129" w:type="dxa"/>
            <w:vAlign w:val="top"/>
          </w:tcPr>
          <w:p w14:paraId="5303EF29">
            <w:pPr>
              <w:rPr>
                <w:rFonts w:ascii="Arial"/>
                <w:sz w:val="21"/>
              </w:rPr>
            </w:pPr>
          </w:p>
        </w:tc>
        <w:tc>
          <w:tcPr>
            <w:tcW w:w="1099" w:type="dxa"/>
            <w:vAlign w:val="top"/>
          </w:tcPr>
          <w:p w14:paraId="4100FDFD">
            <w:pPr>
              <w:rPr>
                <w:rFonts w:ascii="Arial"/>
                <w:sz w:val="21"/>
              </w:rPr>
            </w:pPr>
          </w:p>
        </w:tc>
        <w:tc>
          <w:tcPr>
            <w:tcW w:w="1198" w:type="dxa"/>
            <w:vAlign w:val="top"/>
          </w:tcPr>
          <w:p w14:paraId="5A16D594">
            <w:pPr>
              <w:rPr>
                <w:rFonts w:ascii="Arial"/>
                <w:sz w:val="21"/>
              </w:rPr>
            </w:pPr>
          </w:p>
        </w:tc>
        <w:tc>
          <w:tcPr>
            <w:tcW w:w="974" w:type="dxa"/>
            <w:vAlign w:val="top"/>
          </w:tcPr>
          <w:p w14:paraId="34747D3A">
            <w:pPr>
              <w:rPr>
                <w:rFonts w:ascii="Arial"/>
                <w:sz w:val="21"/>
              </w:rPr>
            </w:pPr>
          </w:p>
        </w:tc>
      </w:tr>
      <w:tr w14:paraId="7BE78A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564" w:type="dxa"/>
            <w:vMerge w:val="continue"/>
            <w:tcBorders>
              <w:top w:val="nil"/>
            </w:tcBorders>
            <w:vAlign w:val="top"/>
          </w:tcPr>
          <w:p w14:paraId="24456A71">
            <w:pPr>
              <w:rPr>
                <w:rFonts w:ascii="Arial"/>
                <w:sz w:val="21"/>
              </w:rPr>
            </w:pPr>
          </w:p>
        </w:tc>
        <w:tc>
          <w:tcPr>
            <w:tcW w:w="1848" w:type="dxa"/>
            <w:vMerge w:val="continue"/>
            <w:tcBorders>
              <w:top w:val="nil"/>
            </w:tcBorders>
            <w:vAlign w:val="top"/>
          </w:tcPr>
          <w:p w14:paraId="04BC9DAB">
            <w:pPr>
              <w:rPr>
                <w:rFonts w:ascii="Arial"/>
                <w:sz w:val="21"/>
              </w:rPr>
            </w:pPr>
          </w:p>
        </w:tc>
        <w:tc>
          <w:tcPr>
            <w:tcW w:w="749" w:type="dxa"/>
            <w:vAlign w:val="top"/>
          </w:tcPr>
          <w:p w14:paraId="55FA98E1">
            <w:pPr>
              <w:pStyle w:val="6"/>
              <w:spacing w:before="150"/>
              <w:ind w:left="313"/>
              <w:rPr>
                <w:sz w:val="20"/>
                <w:szCs w:val="20"/>
              </w:rPr>
            </w:pPr>
            <w:r>
              <w:rPr>
                <w:sz w:val="20"/>
                <w:szCs w:val="20"/>
              </w:rPr>
              <w:t>3</w:t>
            </w:r>
          </w:p>
        </w:tc>
        <w:tc>
          <w:tcPr>
            <w:tcW w:w="929" w:type="dxa"/>
            <w:vAlign w:val="top"/>
          </w:tcPr>
          <w:p w14:paraId="1183A79C">
            <w:pPr>
              <w:rPr>
                <w:rFonts w:ascii="Arial"/>
                <w:sz w:val="21"/>
              </w:rPr>
            </w:pPr>
          </w:p>
        </w:tc>
        <w:tc>
          <w:tcPr>
            <w:tcW w:w="1129" w:type="dxa"/>
            <w:vAlign w:val="top"/>
          </w:tcPr>
          <w:p w14:paraId="5A68639B">
            <w:pPr>
              <w:rPr>
                <w:rFonts w:ascii="Arial"/>
                <w:sz w:val="21"/>
              </w:rPr>
            </w:pPr>
          </w:p>
        </w:tc>
        <w:tc>
          <w:tcPr>
            <w:tcW w:w="1099" w:type="dxa"/>
            <w:vAlign w:val="top"/>
          </w:tcPr>
          <w:p w14:paraId="26B306DC">
            <w:pPr>
              <w:rPr>
                <w:rFonts w:ascii="Arial"/>
                <w:sz w:val="21"/>
              </w:rPr>
            </w:pPr>
          </w:p>
        </w:tc>
        <w:tc>
          <w:tcPr>
            <w:tcW w:w="1198" w:type="dxa"/>
            <w:vAlign w:val="top"/>
          </w:tcPr>
          <w:p w14:paraId="06A6E4B5">
            <w:pPr>
              <w:rPr>
                <w:rFonts w:ascii="Arial"/>
                <w:sz w:val="21"/>
              </w:rPr>
            </w:pPr>
          </w:p>
        </w:tc>
        <w:tc>
          <w:tcPr>
            <w:tcW w:w="974" w:type="dxa"/>
            <w:vAlign w:val="top"/>
          </w:tcPr>
          <w:p w14:paraId="62B3BF3E">
            <w:pPr>
              <w:rPr>
                <w:rFonts w:ascii="Arial"/>
                <w:sz w:val="21"/>
              </w:rPr>
            </w:pPr>
          </w:p>
        </w:tc>
      </w:tr>
      <w:tr w14:paraId="67DC24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564" w:type="dxa"/>
            <w:vMerge w:val="restart"/>
            <w:tcBorders>
              <w:bottom w:val="nil"/>
            </w:tcBorders>
            <w:vAlign w:val="top"/>
          </w:tcPr>
          <w:p w14:paraId="00D4243E">
            <w:pPr>
              <w:rPr>
                <w:rFonts w:ascii="Arial"/>
                <w:sz w:val="21"/>
              </w:rPr>
            </w:pPr>
          </w:p>
        </w:tc>
        <w:tc>
          <w:tcPr>
            <w:tcW w:w="1848" w:type="dxa"/>
            <w:vMerge w:val="restart"/>
            <w:tcBorders>
              <w:bottom w:val="nil"/>
            </w:tcBorders>
            <w:vAlign w:val="top"/>
          </w:tcPr>
          <w:p w14:paraId="02A308BB">
            <w:pPr>
              <w:rPr>
                <w:rFonts w:ascii="Arial"/>
                <w:sz w:val="21"/>
              </w:rPr>
            </w:pPr>
          </w:p>
        </w:tc>
        <w:tc>
          <w:tcPr>
            <w:tcW w:w="749" w:type="dxa"/>
            <w:vAlign w:val="top"/>
          </w:tcPr>
          <w:p w14:paraId="16C4C73D">
            <w:pPr>
              <w:pStyle w:val="6"/>
              <w:spacing w:before="152" w:line="241" w:lineRule="auto"/>
              <w:ind w:left="313"/>
              <w:rPr>
                <w:sz w:val="20"/>
                <w:szCs w:val="20"/>
              </w:rPr>
            </w:pPr>
            <w:r>
              <w:rPr>
                <w:sz w:val="20"/>
                <w:szCs w:val="20"/>
              </w:rPr>
              <w:t>1</w:t>
            </w:r>
          </w:p>
        </w:tc>
        <w:tc>
          <w:tcPr>
            <w:tcW w:w="929" w:type="dxa"/>
            <w:vAlign w:val="top"/>
          </w:tcPr>
          <w:p w14:paraId="6EDDA837">
            <w:pPr>
              <w:rPr>
                <w:rFonts w:ascii="Arial"/>
                <w:sz w:val="21"/>
              </w:rPr>
            </w:pPr>
          </w:p>
        </w:tc>
        <w:tc>
          <w:tcPr>
            <w:tcW w:w="1129" w:type="dxa"/>
            <w:vAlign w:val="top"/>
          </w:tcPr>
          <w:p w14:paraId="5A709A34">
            <w:pPr>
              <w:rPr>
                <w:rFonts w:ascii="Arial"/>
                <w:sz w:val="21"/>
              </w:rPr>
            </w:pPr>
          </w:p>
        </w:tc>
        <w:tc>
          <w:tcPr>
            <w:tcW w:w="1099" w:type="dxa"/>
            <w:vAlign w:val="top"/>
          </w:tcPr>
          <w:p w14:paraId="43994711">
            <w:pPr>
              <w:rPr>
                <w:rFonts w:ascii="Arial"/>
                <w:sz w:val="21"/>
              </w:rPr>
            </w:pPr>
          </w:p>
        </w:tc>
        <w:tc>
          <w:tcPr>
            <w:tcW w:w="1198" w:type="dxa"/>
            <w:vAlign w:val="top"/>
          </w:tcPr>
          <w:p w14:paraId="479B8B99">
            <w:pPr>
              <w:rPr>
                <w:rFonts w:ascii="Arial"/>
                <w:sz w:val="21"/>
              </w:rPr>
            </w:pPr>
          </w:p>
        </w:tc>
        <w:tc>
          <w:tcPr>
            <w:tcW w:w="974" w:type="dxa"/>
            <w:vAlign w:val="top"/>
          </w:tcPr>
          <w:p w14:paraId="3F7580E5">
            <w:pPr>
              <w:rPr>
                <w:rFonts w:ascii="Arial"/>
                <w:sz w:val="21"/>
              </w:rPr>
            </w:pPr>
          </w:p>
        </w:tc>
      </w:tr>
      <w:tr w14:paraId="246C13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564" w:type="dxa"/>
            <w:vMerge w:val="continue"/>
            <w:tcBorders>
              <w:top w:val="nil"/>
              <w:bottom w:val="nil"/>
            </w:tcBorders>
            <w:vAlign w:val="top"/>
          </w:tcPr>
          <w:p w14:paraId="4E6DBFE5">
            <w:pPr>
              <w:rPr>
                <w:rFonts w:ascii="Arial"/>
                <w:sz w:val="21"/>
              </w:rPr>
            </w:pPr>
          </w:p>
        </w:tc>
        <w:tc>
          <w:tcPr>
            <w:tcW w:w="1848" w:type="dxa"/>
            <w:vMerge w:val="continue"/>
            <w:tcBorders>
              <w:top w:val="nil"/>
              <w:bottom w:val="nil"/>
            </w:tcBorders>
            <w:vAlign w:val="top"/>
          </w:tcPr>
          <w:p w14:paraId="5FFB9039">
            <w:pPr>
              <w:rPr>
                <w:rFonts w:ascii="Arial"/>
                <w:sz w:val="21"/>
              </w:rPr>
            </w:pPr>
          </w:p>
        </w:tc>
        <w:tc>
          <w:tcPr>
            <w:tcW w:w="749" w:type="dxa"/>
            <w:vAlign w:val="top"/>
          </w:tcPr>
          <w:p w14:paraId="3CCA8618">
            <w:pPr>
              <w:pStyle w:val="6"/>
              <w:spacing w:before="152" w:line="241" w:lineRule="auto"/>
              <w:ind w:left="313"/>
              <w:rPr>
                <w:sz w:val="20"/>
                <w:szCs w:val="20"/>
              </w:rPr>
            </w:pPr>
            <w:r>
              <w:rPr>
                <w:sz w:val="20"/>
                <w:szCs w:val="20"/>
              </w:rPr>
              <w:t>2</w:t>
            </w:r>
          </w:p>
        </w:tc>
        <w:tc>
          <w:tcPr>
            <w:tcW w:w="929" w:type="dxa"/>
            <w:vAlign w:val="top"/>
          </w:tcPr>
          <w:p w14:paraId="44E92230">
            <w:pPr>
              <w:rPr>
                <w:rFonts w:ascii="Arial"/>
                <w:sz w:val="21"/>
              </w:rPr>
            </w:pPr>
          </w:p>
        </w:tc>
        <w:tc>
          <w:tcPr>
            <w:tcW w:w="1129" w:type="dxa"/>
            <w:vAlign w:val="top"/>
          </w:tcPr>
          <w:p w14:paraId="49868797">
            <w:pPr>
              <w:rPr>
                <w:rFonts w:ascii="Arial"/>
                <w:sz w:val="21"/>
              </w:rPr>
            </w:pPr>
          </w:p>
        </w:tc>
        <w:tc>
          <w:tcPr>
            <w:tcW w:w="1099" w:type="dxa"/>
            <w:vAlign w:val="top"/>
          </w:tcPr>
          <w:p w14:paraId="2B4B50A8">
            <w:pPr>
              <w:rPr>
                <w:rFonts w:ascii="Arial"/>
                <w:sz w:val="21"/>
              </w:rPr>
            </w:pPr>
          </w:p>
        </w:tc>
        <w:tc>
          <w:tcPr>
            <w:tcW w:w="1198" w:type="dxa"/>
            <w:vAlign w:val="top"/>
          </w:tcPr>
          <w:p w14:paraId="615F7E81">
            <w:pPr>
              <w:rPr>
                <w:rFonts w:ascii="Arial"/>
                <w:sz w:val="21"/>
              </w:rPr>
            </w:pPr>
          </w:p>
        </w:tc>
        <w:tc>
          <w:tcPr>
            <w:tcW w:w="974" w:type="dxa"/>
            <w:vAlign w:val="top"/>
          </w:tcPr>
          <w:p w14:paraId="234FB7E5">
            <w:pPr>
              <w:rPr>
                <w:rFonts w:ascii="Arial"/>
                <w:sz w:val="21"/>
              </w:rPr>
            </w:pPr>
          </w:p>
        </w:tc>
      </w:tr>
      <w:tr w14:paraId="512FD4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564" w:type="dxa"/>
            <w:vMerge w:val="continue"/>
            <w:tcBorders>
              <w:top w:val="nil"/>
            </w:tcBorders>
            <w:vAlign w:val="top"/>
          </w:tcPr>
          <w:p w14:paraId="3ECBF4BC">
            <w:pPr>
              <w:rPr>
                <w:rFonts w:ascii="Arial"/>
                <w:sz w:val="21"/>
              </w:rPr>
            </w:pPr>
          </w:p>
        </w:tc>
        <w:tc>
          <w:tcPr>
            <w:tcW w:w="1848" w:type="dxa"/>
            <w:vMerge w:val="continue"/>
            <w:tcBorders>
              <w:top w:val="nil"/>
            </w:tcBorders>
            <w:vAlign w:val="top"/>
          </w:tcPr>
          <w:p w14:paraId="4D60C28A">
            <w:pPr>
              <w:rPr>
                <w:rFonts w:ascii="Arial"/>
                <w:sz w:val="21"/>
              </w:rPr>
            </w:pPr>
          </w:p>
        </w:tc>
        <w:tc>
          <w:tcPr>
            <w:tcW w:w="749" w:type="dxa"/>
            <w:vAlign w:val="top"/>
          </w:tcPr>
          <w:p w14:paraId="156C8610">
            <w:pPr>
              <w:pStyle w:val="6"/>
              <w:spacing w:before="152"/>
              <w:ind w:left="313"/>
              <w:rPr>
                <w:sz w:val="20"/>
                <w:szCs w:val="20"/>
              </w:rPr>
            </w:pPr>
            <w:r>
              <w:rPr>
                <w:sz w:val="20"/>
                <w:szCs w:val="20"/>
              </w:rPr>
              <w:t>3</w:t>
            </w:r>
          </w:p>
        </w:tc>
        <w:tc>
          <w:tcPr>
            <w:tcW w:w="929" w:type="dxa"/>
            <w:vAlign w:val="top"/>
          </w:tcPr>
          <w:p w14:paraId="2F2A8873">
            <w:pPr>
              <w:rPr>
                <w:rFonts w:ascii="Arial"/>
                <w:sz w:val="21"/>
              </w:rPr>
            </w:pPr>
          </w:p>
        </w:tc>
        <w:tc>
          <w:tcPr>
            <w:tcW w:w="1129" w:type="dxa"/>
            <w:vAlign w:val="top"/>
          </w:tcPr>
          <w:p w14:paraId="58C07935">
            <w:pPr>
              <w:rPr>
                <w:rFonts w:ascii="Arial"/>
                <w:sz w:val="21"/>
              </w:rPr>
            </w:pPr>
          </w:p>
        </w:tc>
        <w:tc>
          <w:tcPr>
            <w:tcW w:w="1099" w:type="dxa"/>
            <w:vAlign w:val="top"/>
          </w:tcPr>
          <w:p w14:paraId="0B4ACBA4">
            <w:pPr>
              <w:rPr>
                <w:rFonts w:ascii="Arial"/>
                <w:sz w:val="21"/>
              </w:rPr>
            </w:pPr>
          </w:p>
        </w:tc>
        <w:tc>
          <w:tcPr>
            <w:tcW w:w="1198" w:type="dxa"/>
            <w:vAlign w:val="top"/>
          </w:tcPr>
          <w:p w14:paraId="1752BEDA">
            <w:pPr>
              <w:rPr>
                <w:rFonts w:ascii="Arial"/>
                <w:sz w:val="21"/>
              </w:rPr>
            </w:pPr>
          </w:p>
        </w:tc>
        <w:tc>
          <w:tcPr>
            <w:tcW w:w="974" w:type="dxa"/>
            <w:vAlign w:val="top"/>
          </w:tcPr>
          <w:p w14:paraId="227AAEFB">
            <w:pPr>
              <w:rPr>
                <w:rFonts w:ascii="Arial"/>
                <w:sz w:val="21"/>
              </w:rPr>
            </w:pPr>
          </w:p>
        </w:tc>
      </w:tr>
      <w:tr w14:paraId="67E234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564" w:type="dxa"/>
            <w:vMerge w:val="restart"/>
            <w:tcBorders>
              <w:bottom w:val="nil"/>
            </w:tcBorders>
            <w:vAlign w:val="top"/>
          </w:tcPr>
          <w:p w14:paraId="28FA43BD">
            <w:pPr>
              <w:rPr>
                <w:rFonts w:ascii="Arial"/>
                <w:sz w:val="21"/>
              </w:rPr>
            </w:pPr>
          </w:p>
        </w:tc>
        <w:tc>
          <w:tcPr>
            <w:tcW w:w="1848" w:type="dxa"/>
            <w:vMerge w:val="restart"/>
            <w:tcBorders>
              <w:bottom w:val="nil"/>
            </w:tcBorders>
            <w:vAlign w:val="top"/>
          </w:tcPr>
          <w:p w14:paraId="5DBEF351">
            <w:pPr>
              <w:rPr>
                <w:rFonts w:ascii="Arial"/>
                <w:sz w:val="21"/>
              </w:rPr>
            </w:pPr>
          </w:p>
        </w:tc>
        <w:tc>
          <w:tcPr>
            <w:tcW w:w="749" w:type="dxa"/>
            <w:vAlign w:val="top"/>
          </w:tcPr>
          <w:p w14:paraId="6FD37D99">
            <w:pPr>
              <w:pStyle w:val="6"/>
              <w:spacing w:before="153" w:line="241" w:lineRule="auto"/>
              <w:ind w:left="313"/>
              <w:rPr>
                <w:sz w:val="20"/>
                <w:szCs w:val="20"/>
              </w:rPr>
            </w:pPr>
            <w:r>
              <w:rPr>
                <w:sz w:val="20"/>
                <w:szCs w:val="20"/>
              </w:rPr>
              <w:t>1</w:t>
            </w:r>
          </w:p>
        </w:tc>
        <w:tc>
          <w:tcPr>
            <w:tcW w:w="929" w:type="dxa"/>
            <w:vAlign w:val="top"/>
          </w:tcPr>
          <w:p w14:paraId="6D0D4E68">
            <w:pPr>
              <w:rPr>
                <w:rFonts w:ascii="Arial"/>
                <w:sz w:val="21"/>
              </w:rPr>
            </w:pPr>
          </w:p>
        </w:tc>
        <w:tc>
          <w:tcPr>
            <w:tcW w:w="1129" w:type="dxa"/>
            <w:vAlign w:val="top"/>
          </w:tcPr>
          <w:p w14:paraId="3851E047">
            <w:pPr>
              <w:rPr>
                <w:rFonts w:ascii="Arial"/>
                <w:sz w:val="21"/>
              </w:rPr>
            </w:pPr>
          </w:p>
        </w:tc>
        <w:tc>
          <w:tcPr>
            <w:tcW w:w="1099" w:type="dxa"/>
            <w:vAlign w:val="top"/>
          </w:tcPr>
          <w:p w14:paraId="4648880C">
            <w:pPr>
              <w:rPr>
                <w:rFonts w:ascii="Arial"/>
                <w:sz w:val="21"/>
              </w:rPr>
            </w:pPr>
          </w:p>
        </w:tc>
        <w:tc>
          <w:tcPr>
            <w:tcW w:w="1198" w:type="dxa"/>
            <w:vAlign w:val="top"/>
          </w:tcPr>
          <w:p w14:paraId="28527CF1">
            <w:pPr>
              <w:rPr>
                <w:rFonts w:ascii="Arial"/>
                <w:sz w:val="21"/>
              </w:rPr>
            </w:pPr>
          </w:p>
        </w:tc>
        <w:tc>
          <w:tcPr>
            <w:tcW w:w="974" w:type="dxa"/>
            <w:vAlign w:val="top"/>
          </w:tcPr>
          <w:p w14:paraId="6AEE7732">
            <w:pPr>
              <w:rPr>
                <w:rFonts w:ascii="Arial"/>
                <w:sz w:val="21"/>
              </w:rPr>
            </w:pPr>
          </w:p>
        </w:tc>
      </w:tr>
      <w:tr w14:paraId="0C0FC4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564" w:type="dxa"/>
            <w:vMerge w:val="continue"/>
            <w:tcBorders>
              <w:top w:val="nil"/>
              <w:bottom w:val="nil"/>
            </w:tcBorders>
            <w:vAlign w:val="top"/>
          </w:tcPr>
          <w:p w14:paraId="2F391E38">
            <w:pPr>
              <w:rPr>
                <w:rFonts w:ascii="Arial"/>
                <w:sz w:val="21"/>
              </w:rPr>
            </w:pPr>
          </w:p>
        </w:tc>
        <w:tc>
          <w:tcPr>
            <w:tcW w:w="1848" w:type="dxa"/>
            <w:vMerge w:val="continue"/>
            <w:tcBorders>
              <w:top w:val="nil"/>
              <w:bottom w:val="nil"/>
            </w:tcBorders>
            <w:vAlign w:val="top"/>
          </w:tcPr>
          <w:p w14:paraId="125D96B0">
            <w:pPr>
              <w:rPr>
                <w:rFonts w:ascii="Arial"/>
                <w:sz w:val="21"/>
              </w:rPr>
            </w:pPr>
          </w:p>
        </w:tc>
        <w:tc>
          <w:tcPr>
            <w:tcW w:w="749" w:type="dxa"/>
            <w:vAlign w:val="top"/>
          </w:tcPr>
          <w:p w14:paraId="2FE38E5C">
            <w:pPr>
              <w:pStyle w:val="6"/>
              <w:spacing w:before="164" w:line="241" w:lineRule="auto"/>
              <w:ind w:left="313"/>
              <w:rPr>
                <w:sz w:val="20"/>
                <w:szCs w:val="20"/>
              </w:rPr>
            </w:pPr>
            <w:r>
              <w:rPr>
                <w:sz w:val="20"/>
                <w:szCs w:val="20"/>
              </w:rPr>
              <w:t>2</w:t>
            </w:r>
          </w:p>
        </w:tc>
        <w:tc>
          <w:tcPr>
            <w:tcW w:w="929" w:type="dxa"/>
            <w:vAlign w:val="top"/>
          </w:tcPr>
          <w:p w14:paraId="7466B430">
            <w:pPr>
              <w:rPr>
                <w:rFonts w:ascii="Arial"/>
                <w:sz w:val="21"/>
              </w:rPr>
            </w:pPr>
          </w:p>
        </w:tc>
        <w:tc>
          <w:tcPr>
            <w:tcW w:w="1129" w:type="dxa"/>
            <w:vAlign w:val="top"/>
          </w:tcPr>
          <w:p w14:paraId="77C18D76">
            <w:pPr>
              <w:rPr>
                <w:rFonts w:ascii="Arial"/>
                <w:sz w:val="21"/>
              </w:rPr>
            </w:pPr>
          </w:p>
        </w:tc>
        <w:tc>
          <w:tcPr>
            <w:tcW w:w="1099" w:type="dxa"/>
            <w:vAlign w:val="top"/>
          </w:tcPr>
          <w:p w14:paraId="43DE99F1">
            <w:pPr>
              <w:rPr>
                <w:rFonts w:ascii="Arial"/>
                <w:sz w:val="21"/>
              </w:rPr>
            </w:pPr>
          </w:p>
        </w:tc>
        <w:tc>
          <w:tcPr>
            <w:tcW w:w="1198" w:type="dxa"/>
            <w:vAlign w:val="top"/>
          </w:tcPr>
          <w:p w14:paraId="125C19FC">
            <w:pPr>
              <w:rPr>
                <w:rFonts w:ascii="Arial"/>
                <w:sz w:val="21"/>
              </w:rPr>
            </w:pPr>
          </w:p>
        </w:tc>
        <w:tc>
          <w:tcPr>
            <w:tcW w:w="974" w:type="dxa"/>
            <w:vAlign w:val="top"/>
          </w:tcPr>
          <w:p w14:paraId="4F8BBBFE">
            <w:pPr>
              <w:rPr>
                <w:rFonts w:ascii="Arial"/>
                <w:sz w:val="21"/>
              </w:rPr>
            </w:pPr>
          </w:p>
        </w:tc>
      </w:tr>
      <w:tr w14:paraId="49FF0D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564" w:type="dxa"/>
            <w:vMerge w:val="continue"/>
            <w:tcBorders>
              <w:top w:val="nil"/>
            </w:tcBorders>
            <w:vAlign w:val="top"/>
          </w:tcPr>
          <w:p w14:paraId="50F025AD">
            <w:pPr>
              <w:rPr>
                <w:rFonts w:ascii="Arial"/>
                <w:sz w:val="21"/>
              </w:rPr>
            </w:pPr>
          </w:p>
        </w:tc>
        <w:tc>
          <w:tcPr>
            <w:tcW w:w="1848" w:type="dxa"/>
            <w:vMerge w:val="continue"/>
            <w:tcBorders>
              <w:top w:val="nil"/>
            </w:tcBorders>
            <w:vAlign w:val="top"/>
          </w:tcPr>
          <w:p w14:paraId="3D36A08C">
            <w:pPr>
              <w:rPr>
                <w:rFonts w:ascii="Arial"/>
                <w:sz w:val="21"/>
              </w:rPr>
            </w:pPr>
          </w:p>
        </w:tc>
        <w:tc>
          <w:tcPr>
            <w:tcW w:w="749" w:type="dxa"/>
            <w:vAlign w:val="top"/>
          </w:tcPr>
          <w:p w14:paraId="3754296D">
            <w:pPr>
              <w:pStyle w:val="6"/>
              <w:spacing w:before="154"/>
              <w:ind w:left="313"/>
              <w:rPr>
                <w:sz w:val="20"/>
                <w:szCs w:val="20"/>
              </w:rPr>
            </w:pPr>
            <w:r>
              <w:rPr>
                <w:sz w:val="20"/>
                <w:szCs w:val="20"/>
              </w:rPr>
              <w:t>3</w:t>
            </w:r>
          </w:p>
        </w:tc>
        <w:tc>
          <w:tcPr>
            <w:tcW w:w="929" w:type="dxa"/>
            <w:vAlign w:val="top"/>
          </w:tcPr>
          <w:p w14:paraId="42BB0B6E">
            <w:pPr>
              <w:rPr>
                <w:rFonts w:ascii="Arial"/>
                <w:sz w:val="21"/>
              </w:rPr>
            </w:pPr>
          </w:p>
        </w:tc>
        <w:tc>
          <w:tcPr>
            <w:tcW w:w="1129" w:type="dxa"/>
            <w:vAlign w:val="top"/>
          </w:tcPr>
          <w:p w14:paraId="2EE12D46">
            <w:pPr>
              <w:rPr>
                <w:rFonts w:ascii="Arial"/>
                <w:sz w:val="21"/>
              </w:rPr>
            </w:pPr>
          </w:p>
        </w:tc>
        <w:tc>
          <w:tcPr>
            <w:tcW w:w="1099" w:type="dxa"/>
            <w:vAlign w:val="top"/>
          </w:tcPr>
          <w:p w14:paraId="61D2A3A5">
            <w:pPr>
              <w:rPr>
                <w:rFonts w:ascii="Arial"/>
                <w:sz w:val="21"/>
              </w:rPr>
            </w:pPr>
          </w:p>
        </w:tc>
        <w:tc>
          <w:tcPr>
            <w:tcW w:w="1198" w:type="dxa"/>
            <w:vAlign w:val="top"/>
          </w:tcPr>
          <w:p w14:paraId="761177FB">
            <w:pPr>
              <w:rPr>
                <w:rFonts w:ascii="Arial"/>
                <w:sz w:val="21"/>
              </w:rPr>
            </w:pPr>
          </w:p>
        </w:tc>
        <w:tc>
          <w:tcPr>
            <w:tcW w:w="974" w:type="dxa"/>
            <w:vAlign w:val="top"/>
          </w:tcPr>
          <w:p w14:paraId="585BF556">
            <w:pPr>
              <w:rPr>
                <w:rFonts w:ascii="Arial"/>
                <w:sz w:val="21"/>
              </w:rPr>
            </w:pPr>
          </w:p>
        </w:tc>
      </w:tr>
      <w:tr w14:paraId="7E5D66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564" w:type="dxa"/>
            <w:vMerge w:val="restart"/>
            <w:tcBorders>
              <w:bottom w:val="nil"/>
            </w:tcBorders>
            <w:vAlign w:val="top"/>
          </w:tcPr>
          <w:p w14:paraId="346BCD64">
            <w:pPr>
              <w:rPr>
                <w:rFonts w:ascii="Arial"/>
                <w:sz w:val="21"/>
              </w:rPr>
            </w:pPr>
          </w:p>
        </w:tc>
        <w:tc>
          <w:tcPr>
            <w:tcW w:w="1848" w:type="dxa"/>
            <w:vMerge w:val="restart"/>
            <w:tcBorders>
              <w:bottom w:val="nil"/>
            </w:tcBorders>
            <w:vAlign w:val="top"/>
          </w:tcPr>
          <w:p w14:paraId="544DDF4B">
            <w:pPr>
              <w:rPr>
                <w:rFonts w:ascii="Arial"/>
                <w:sz w:val="21"/>
              </w:rPr>
            </w:pPr>
          </w:p>
        </w:tc>
        <w:tc>
          <w:tcPr>
            <w:tcW w:w="749" w:type="dxa"/>
            <w:vAlign w:val="top"/>
          </w:tcPr>
          <w:p w14:paraId="76C882FD">
            <w:pPr>
              <w:pStyle w:val="6"/>
              <w:spacing w:before="156" w:line="241" w:lineRule="auto"/>
              <w:ind w:left="313"/>
              <w:rPr>
                <w:sz w:val="20"/>
                <w:szCs w:val="20"/>
              </w:rPr>
            </w:pPr>
            <w:r>
              <w:rPr>
                <w:sz w:val="20"/>
                <w:szCs w:val="20"/>
              </w:rPr>
              <w:t>1</w:t>
            </w:r>
          </w:p>
        </w:tc>
        <w:tc>
          <w:tcPr>
            <w:tcW w:w="929" w:type="dxa"/>
            <w:vAlign w:val="top"/>
          </w:tcPr>
          <w:p w14:paraId="238BA92B">
            <w:pPr>
              <w:rPr>
                <w:rFonts w:ascii="Arial"/>
                <w:sz w:val="21"/>
              </w:rPr>
            </w:pPr>
          </w:p>
        </w:tc>
        <w:tc>
          <w:tcPr>
            <w:tcW w:w="1129" w:type="dxa"/>
            <w:vAlign w:val="top"/>
          </w:tcPr>
          <w:p w14:paraId="62139776">
            <w:pPr>
              <w:rPr>
                <w:rFonts w:ascii="Arial"/>
                <w:sz w:val="21"/>
              </w:rPr>
            </w:pPr>
          </w:p>
        </w:tc>
        <w:tc>
          <w:tcPr>
            <w:tcW w:w="1099" w:type="dxa"/>
            <w:vAlign w:val="top"/>
          </w:tcPr>
          <w:p w14:paraId="2BA8CB4E">
            <w:pPr>
              <w:rPr>
                <w:rFonts w:ascii="Arial"/>
                <w:sz w:val="21"/>
              </w:rPr>
            </w:pPr>
          </w:p>
        </w:tc>
        <w:tc>
          <w:tcPr>
            <w:tcW w:w="1198" w:type="dxa"/>
            <w:vAlign w:val="top"/>
          </w:tcPr>
          <w:p w14:paraId="5E164353">
            <w:pPr>
              <w:rPr>
                <w:rFonts w:ascii="Arial"/>
                <w:sz w:val="21"/>
              </w:rPr>
            </w:pPr>
          </w:p>
        </w:tc>
        <w:tc>
          <w:tcPr>
            <w:tcW w:w="974" w:type="dxa"/>
            <w:vAlign w:val="top"/>
          </w:tcPr>
          <w:p w14:paraId="7CF8743F">
            <w:pPr>
              <w:rPr>
                <w:rFonts w:ascii="Arial"/>
                <w:sz w:val="21"/>
              </w:rPr>
            </w:pPr>
          </w:p>
        </w:tc>
      </w:tr>
      <w:tr w14:paraId="085D12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564" w:type="dxa"/>
            <w:vMerge w:val="continue"/>
            <w:tcBorders>
              <w:top w:val="nil"/>
              <w:bottom w:val="nil"/>
            </w:tcBorders>
            <w:vAlign w:val="top"/>
          </w:tcPr>
          <w:p w14:paraId="3B7FCF72">
            <w:pPr>
              <w:rPr>
                <w:rFonts w:ascii="Arial"/>
                <w:sz w:val="21"/>
              </w:rPr>
            </w:pPr>
          </w:p>
        </w:tc>
        <w:tc>
          <w:tcPr>
            <w:tcW w:w="1848" w:type="dxa"/>
            <w:vMerge w:val="continue"/>
            <w:tcBorders>
              <w:top w:val="nil"/>
              <w:bottom w:val="nil"/>
            </w:tcBorders>
            <w:vAlign w:val="top"/>
          </w:tcPr>
          <w:p w14:paraId="27EA6209">
            <w:pPr>
              <w:rPr>
                <w:rFonts w:ascii="Arial"/>
                <w:sz w:val="21"/>
              </w:rPr>
            </w:pPr>
          </w:p>
        </w:tc>
        <w:tc>
          <w:tcPr>
            <w:tcW w:w="749" w:type="dxa"/>
            <w:vAlign w:val="top"/>
          </w:tcPr>
          <w:p w14:paraId="64410CE5">
            <w:pPr>
              <w:pStyle w:val="6"/>
              <w:spacing w:before="157" w:line="241" w:lineRule="auto"/>
              <w:ind w:left="313"/>
              <w:rPr>
                <w:sz w:val="20"/>
                <w:szCs w:val="20"/>
              </w:rPr>
            </w:pPr>
            <w:r>
              <w:rPr>
                <w:sz w:val="20"/>
                <w:szCs w:val="20"/>
              </w:rPr>
              <w:t>2</w:t>
            </w:r>
          </w:p>
        </w:tc>
        <w:tc>
          <w:tcPr>
            <w:tcW w:w="929" w:type="dxa"/>
            <w:vAlign w:val="top"/>
          </w:tcPr>
          <w:p w14:paraId="42B71B34">
            <w:pPr>
              <w:rPr>
                <w:rFonts w:ascii="Arial"/>
                <w:sz w:val="21"/>
              </w:rPr>
            </w:pPr>
          </w:p>
        </w:tc>
        <w:tc>
          <w:tcPr>
            <w:tcW w:w="1129" w:type="dxa"/>
            <w:vAlign w:val="top"/>
          </w:tcPr>
          <w:p w14:paraId="42F7CF5E">
            <w:pPr>
              <w:rPr>
                <w:rFonts w:ascii="Arial"/>
                <w:sz w:val="21"/>
              </w:rPr>
            </w:pPr>
          </w:p>
        </w:tc>
        <w:tc>
          <w:tcPr>
            <w:tcW w:w="1099" w:type="dxa"/>
            <w:vAlign w:val="top"/>
          </w:tcPr>
          <w:p w14:paraId="0822BDE1">
            <w:pPr>
              <w:rPr>
                <w:rFonts w:ascii="Arial"/>
                <w:sz w:val="21"/>
              </w:rPr>
            </w:pPr>
          </w:p>
        </w:tc>
        <w:tc>
          <w:tcPr>
            <w:tcW w:w="1198" w:type="dxa"/>
            <w:vAlign w:val="top"/>
          </w:tcPr>
          <w:p w14:paraId="5C24E616">
            <w:pPr>
              <w:rPr>
                <w:rFonts w:ascii="Arial"/>
                <w:sz w:val="21"/>
              </w:rPr>
            </w:pPr>
          </w:p>
        </w:tc>
        <w:tc>
          <w:tcPr>
            <w:tcW w:w="974" w:type="dxa"/>
            <w:vAlign w:val="top"/>
          </w:tcPr>
          <w:p w14:paraId="7D0162ED">
            <w:pPr>
              <w:rPr>
                <w:rFonts w:ascii="Arial"/>
                <w:sz w:val="21"/>
              </w:rPr>
            </w:pPr>
          </w:p>
        </w:tc>
      </w:tr>
      <w:tr w14:paraId="64184E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4" w:hRule="atLeast"/>
        </w:trPr>
        <w:tc>
          <w:tcPr>
            <w:tcW w:w="564" w:type="dxa"/>
            <w:vMerge w:val="continue"/>
            <w:tcBorders>
              <w:top w:val="nil"/>
            </w:tcBorders>
            <w:vAlign w:val="top"/>
          </w:tcPr>
          <w:p w14:paraId="4EF35EFE">
            <w:pPr>
              <w:rPr>
                <w:rFonts w:ascii="Arial"/>
                <w:sz w:val="21"/>
              </w:rPr>
            </w:pPr>
          </w:p>
        </w:tc>
        <w:tc>
          <w:tcPr>
            <w:tcW w:w="1848" w:type="dxa"/>
            <w:vMerge w:val="continue"/>
            <w:tcBorders>
              <w:top w:val="nil"/>
            </w:tcBorders>
            <w:vAlign w:val="top"/>
          </w:tcPr>
          <w:p w14:paraId="2CB64C1B">
            <w:pPr>
              <w:rPr>
                <w:rFonts w:ascii="Arial"/>
                <w:sz w:val="21"/>
              </w:rPr>
            </w:pPr>
          </w:p>
        </w:tc>
        <w:tc>
          <w:tcPr>
            <w:tcW w:w="749" w:type="dxa"/>
            <w:vAlign w:val="top"/>
          </w:tcPr>
          <w:p w14:paraId="7CFE8DF5">
            <w:pPr>
              <w:pStyle w:val="6"/>
              <w:spacing w:before="146"/>
              <w:ind w:left="313"/>
              <w:rPr>
                <w:sz w:val="20"/>
                <w:szCs w:val="20"/>
              </w:rPr>
            </w:pPr>
            <w:r>
              <w:rPr>
                <w:sz w:val="20"/>
                <w:szCs w:val="20"/>
              </w:rPr>
              <w:t>3</w:t>
            </w:r>
          </w:p>
        </w:tc>
        <w:tc>
          <w:tcPr>
            <w:tcW w:w="929" w:type="dxa"/>
            <w:vAlign w:val="top"/>
          </w:tcPr>
          <w:p w14:paraId="4A104836">
            <w:pPr>
              <w:rPr>
                <w:rFonts w:ascii="Arial"/>
                <w:sz w:val="21"/>
              </w:rPr>
            </w:pPr>
          </w:p>
        </w:tc>
        <w:tc>
          <w:tcPr>
            <w:tcW w:w="1129" w:type="dxa"/>
            <w:vAlign w:val="top"/>
          </w:tcPr>
          <w:p w14:paraId="3A6511AB">
            <w:pPr>
              <w:rPr>
                <w:rFonts w:ascii="Arial"/>
                <w:sz w:val="21"/>
              </w:rPr>
            </w:pPr>
          </w:p>
        </w:tc>
        <w:tc>
          <w:tcPr>
            <w:tcW w:w="1099" w:type="dxa"/>
            <w:vAlign w:val="top"/>
          </w:tcPr>
          <w:p w14:paraId="0F5C43BB">
            <w:pPr>
              <w:rPr>
                <w:rFonts w:ascii="Arial"/>
                <w:sz w:val="21"/>
              </w:rPr>
            </w:pPr>
          </w:p>
        </w:tc>
        <w:tc>
          <w:tcPr>
            <w:tcW w:w="1198" w:type="dxa"/>
            <w:vAlign w:val="top"/>
          </w:tcPr>
          <w:p w14:paraId="794DF7BA">
            <w:pPr>
              <w:rPr>
                <w:rFonts w:ascii="Arial"/>
                <w:sz w:val="21"/>
              </w:rPr>
            </w:pPr>
          </w:p>
        </w:tc>
        <w:tc>
          <w:tcPr>
            <w:tcW w:w="974" w:type="dxa"/>
            <w:vAlign w:val="top"/>
          </w:tcPr>
          <w:p w14:paraId="0F2F339A">
            <w:pPr>
              <w:rPr>
                <w:rFonts w:ascii="Arial"/>
                <w:sz w:val="21"/>
              </w:rPr>
            </w:pPr>
          </w:p>
        </w:tc>
      </w:tr>
    </w:tbl>
    <w:p w14:paraId="62DB2A05">
      <w:pPr>
        <w:spacing w:line="246" w:lineRule="auto"/>
        <w:rPr>
          <w:rFonts w:ascii="Arial"/>
          <w:sz w:val="21"/>
        </w:rPr>
      </w:pPr>
    </w:p>
    <w:p w14:paraId="0C5C6497">
      <w:pPr>
        <w:spacing w:line="246" w:lineRule="auto"/>
        <w:rPr>
          <w:rFonts w:ascii="Arial"/>
          <w:sz w:val="21"/>
        </w:rPr>
      </w:pPr>
    </w:p>
    <w:p w14:paraId="780C7E7E">
      <w:pPr>
        <w:spacing w:line="246" w:lineRule="auto"/>
        <w:rPr>
          <w:rFonts w:ascii="Arial"/>
          <w:sz w:val="21"/>
        </w:rPr>
      </w:pPr>
    </w:p>
    <w:p w14:paraId="2EDA879A">
      <w:pPr>
        <w:spacing w:line="246" w:lineRule="auto"/>
        <w:rPr>
          <w:rFonts w:ascii="Arial"/>
          <w:sz w:val="21"/>
        </w:rPr>
      </w:pPr>
    </w:p>
    <w:p w14:paraId="7E8FB04A">
      <w:pPr>
        <w:spacing w:before="75" w:line="231" w:lineRule="auto"/>
        <w:ind w:left="5139"/>
        <w:rPr>
          <w:rFonts w:ascii="黑体" w:hAnsi="黑体" w:eastAsia="黑体" w:cs="黑体"/>
          <w:sz w:val="21"/>
          <w:szCs w:val="21"/>
        </w:rPr>
      </w:pPr>
      <w:r>
        <w:rPr>
          <w:rFonts w:ascii="黑体" w:hAnsi="黑体" w:eastAsia="黑体" w:cs="黑体"/>
          <w:spacing w:val="-16"/>
          <w:sz w:val="21"/>
          <w:szCs w:val="21"/>
        </w:rPr>
        <w:t>日</w:t>
      </w:r>
      <w:r>
        <w:rPr>
          <w:rFonts w:ascii="黑体" w:hAnsi="黑体" w:eastAsia="黑体" w:cs="黑体"/>
          <w:spacing w:val="-33"/>
          <w:sz w:val="21"/>
          <w:szCs w:val="21"/>
        </w:rPr>
        <w:t xml:space="preserve"> </w:t>
      </w:r>
      <w:r>
        <w:rPr>
          <w:rFonts w:ascii="黑体" w:hAnsi="黑体" w:eastAsia="黑体" w:cs="黑体"/>
          <w:spacing w:val="-16"/>
          <w:sz w:val="21"/>
          <w:szCs w:val="21"/>
        </w:rPr>
        <w:t>期</w:t>
      </w:r>
      <w:r>
        <w:rPr>
          <w:rFonts w:ascii="黑体" w:hAnsi="黑体" w:eastAsia="黑体" w:cs="黑体"/>
          <w:spacing w:val="-43"/>
          <w:sz w:val="21"/>
          <w:szCs w:val="21"/>
        </w:rPr>
        <w:t xml:space="preserve"> </w:t>
      </w:r>
      <w:r>
        <w:rPr>
          <w:rFonts w:ascii="黑体" w:hAnsi="黑体" w:eastAsia="黑体" w:cs="黑体"/>
          <w:spacing w:val="-16"/>
          <w:sz w:val="21"/>
          <w:szCs w:val="21"/>
        </w:rPr>
        <w:t xml:space="preserve">： </w:t>
      </w:r>
      <w:r>
        <w:rPr>
          <w:rFonts w:ascii="黑体" w:hAnsi="黑体" w:eastAsia="黑体" w:cs="黑体"/>
          <w:spacing w:val="17"/>
          <w:sz w:val="21"/>
          <w:szCs w:val="21"/>
          <w:u w:val="single" w:color="auto"/>
        </w:rPr>
        <w:t xml:space="preserve">     </w:t>
      </w:r>
      <w:r>
        <w:rPr>
          <w:rFonts w:ascii="黑体" w:hAnsi="黑体" w:eastAsia="黑体" w:cs="黑体"/>
          <w:spacing w:val="-16"/>
          <w:position w:val="-1"/>
          <w:sz w:val="23"/>
          <w:szCs w:val="23"/>
        </w:rPr>
        <w:t>年</w:t>
      </w:r>
      <w:r>
        <w:rPr>
          <w:rFonts w:ascii="黑体" w:hAnsi="黑体" w:eastAsia="黑体" w:cs="黑体"/>
          <w:spacing w:val="1"/>
          <w:position w:val="-1"/>
          <w:sz w:val="23"/>
          <w:szCs w:val="23"/>
          <w:u w:val="single" w:color="auto"/>
        </w:rPr>
        <w:t xml:space="preserve">     </w:t>
      </w:r>
      <w:r>
        <w:rPr>
          <w:rFonts w:ascii="黑体" w:hAnsi="黑体" w:eastAsia="黑体" w:cs="黑体"/>
          <w:spacing w:val="-16"/>
          <w:sz w:val="20"/>
          <w:szCs w:val="20"/>
        </w:rPr>
        <w:t>月</w:t>
      </w:r>
      <w:r>
        <w:rPr>
          <w:rFonts w:ascii="黑体" w:hAnsi="黑体" w:eastAsia="黑体" w:cs="黑体"/>
          <w:spacing w:val="2"/>
          <w:sz w:val="20"/>
          <w:szCs w:val="20"/>
          <w:u w:val="single" w:color="auto"/>
        </w:rPr>
        <w:t xml:space="preserve">      </w:t>
      </w:r>
      <w:r>
        <w:rPr>
          <w:rFonts w:ascii="黑体" w:hAnsi="黑体" w:eastAsia="黑体" w:cs="黑体"/>
          <w:spacing w:val="-16"/>
          <w:position w:val="1"/>
          <w:sz w:val="21"/>
          <w:szCs w:val="21"/>
        </w:rPr>
        <w:t>日</w:t>
      </w:r>
    </w:p>
    <w:p w14:paraId="67FE0F2A">
      <w:pPr>
        <w:spacing w:line="263" w:lineRule="auto"/>
        <w:rPr>
          <w:rFonts w:ascii="Arial"/>
          <w:sz w:val="21"/>
        </w:rPr>
      </w:pPr>
    </w:p>
    <w:p w14:paraId="2A24F36B">
      <w:pPr>
        <w:spacing w:line="264" w:lineRule="auto"/>
        <w:rPr>
          <w:rFonts w:ascii="Arial"/>
          <w:sz w:val="21"/>
        </w:rPr>
      </w:pPr>
    </w:p>
    <w:p w14:paraId="305C9703">
      <w:pPr>
        <w:pStyle w:val="2"/>
        <w:spacing w:before="68" w:line="219" w:lineRule="auto"/>
        <w:ind w:left="19"/>
        <w:rPr>
          <w:sz w:val="21"/>
          <w:szCs w:val="21"/>
        </w:rPr>
      </w:pPr>
      <w:r>
        <w:rPr>
          <w:spacing w:val="-3"/>
          <w:sz w:val="21"/>
          <w:szCs w:val="21"/>
        </w:rPr>
        <w:t>备注：1.本表适用于非政府采购工程。</w:t>
      </w:r>
    </w:p>
    <w:p w14:paraId="453B9FEC">
      <w:pPr>
        <w:pStyle w:val="2"/>
        <w:spacing w:before="41" w:line="219" w:lineRule="auto"/>
        <w:rPr>
          <w:sz w:val="21"/>
          <w:szCs w:val="21"/>
        </w:rPr>
      </w:pPr>
      <w:r>
        <w:rPr>
          <w:spacing w:val="-1"/>
          <w:sz w:val="21"/>
          <w:szCs w:val="21"/>
        </w:rPr>
        <w:t>2.本表所列分包仅限于承包人自行施工范围内的非主体、非关键工程。</w:t>
      </w:r>
    </w:p>
    <w:p w14:paraId="27551637">
      <w:pPr>
        <w:spacing w:line="219" w:lineRule="auto"/>
        <w:rPr>
          <w:sz w:val="21"/>
          <w:szCs w:val="21"/>
        </w:rPr>
        <w:sectPr>
          <w:footerReference r:id="rId365" w:type="default"/>
          <w:pgSz w:w="11910" w:h="16840"/>
          <w:pgMar w:top="400" w:right="1754" w:bottom="1147" w:left="1470" w:header="0" w:footer="1021" w:gutter="0"/>
          <w:cols w:space="720" w:num="1"/>
        </w:sectPr>
      </w:pPr>
    </w:p>
    <w:p w14:paraId="0B2B70CF">
      <w:pPr>
        <w:spacing w:line="254" w:lineRule="auto"/>
        <w:rPr>
          <w:rFonts w:ascii="Arial"/>
          <w:sz w:val="21"/>
        </w:rPr>
      </w:pPr>
    </w:p>
    <w:p w14:paraId="464291C5">
      <w:pPr>
        <w:spacing w:line="254" w:lineRule="auto"/>
        <w:rPr>
          <w:rFonts w:ascii="Arial"/>
          <w:sz w:val="21"/>
        </w:rPr>
      </w:pPr>
    </w:p>
    <w:p w14:paraId="1F448A2A">
      <w:pPr>
        <w:spacing w:line="255" w:lineRule="auto"/>
        <w:rPr>
          <w:rFonts w:ascii="Arial"/>
          <w:sz w:val="21"/>
        </w:rPr>
      </w:pPr>
    </w:p>
    <w:p w14:paraId="3A1CEED8">
      <w:pPr>
        <w:spacing w:line="255" w:lineRule="auto"/>
        <w:rPr>
          <w:rFonts w:ascii="Arial"/>
          <w:sz w:val="21"/>
        </w:rPr>
      </w:pPr>
    </w:p>
    <w:p w14:paraId="445F39D0">
      <w:pPr>
        <w:spacing w:line="255" w:lineRule="auto"/>
        <w:rPr>
          <w:rFonts w:ascii="Arial"/>
          <w:sz w:val="21"/>
        </w:rPr>
      </w:pPr>
    </w:p>
    <w:p w14:paraId="63328C3A">
      <w:pPr>
        <w:spacing w:line="255" w:lineRule="auto"/>
        <w:rPr>
          <w:rFonts w:ascii="Arial"/>
          <w:sz w:val="21"/>
        </w:rPr>
      </w:pPr>
    </w:p>
    <w:p w14:paraId="2E1C5A3C">
      <w:pPr>
        <w:spacing w:line="255" w:lineRule="auto"/>
        <w:rPr>
          <w:rFonts w:ascii="Arial"/>
          <w:sz w:val="21"/>
        </w:rPr>
      </w:pPr>
    </w:p>
    <w:p w14:paraId="3D345F71">
      <w:pPr>
        <w:spacing w:before="91" w:line="222" w:lineRule="auto"/>
        <w:ind w:left="3269"/>
        <w:rPr>
          <w:rFonts w:ascii="黑体" w:hAnsi="黑体" w:eastAsia="黑体" w:cs="黑体"/>
          <w:sz w:val="28"/>
          <w:szCs w:val="28"/>
        </w:rPr>
      </w:pPr>
      <w:r>
        <w:rPr>
          <w:rFonts w:ascii="黑体" w:hAnsi="黑体" w:eastAsia="黑体" w:cs="黑体"/>
          <w:b/>
          <w:bCs/>
          <w:spacing w:val="-3"/>
          <w:sz w:val="28"/>
          <w:szCs w:val="28"/>
        </w:rPr>
        <w:t>六、分包意向协议书</w:t>
      </w:r>
    </w:p>
    <w:p w14:paraId="49F65758">
      <w:pPr>
        <w:spacing w:line="274" w:lineRule="auto"/>
        <w:rPr>
          <w:rFonts w:ascii="Arial"/>
          <w:sz w:val="21"/>
        </w:rPr>
      </w:pPr>
    </w:p>
    <w:p w14:paraId="2363FBE2">
      <w:pPr>
        <w:spacing w:line="274" w:lineRule="auto"/>
        <w:rPr>
          <w:rFonts w:ascii="Arial"/>
          <w:sz w:val="21"/>
        </w:rPr>
      </w:pPr>
    </w:p>
    <w:p w14:paraId="487292B7">
      <w:pPr>
        <w:pStyle w:val="2"/>
        <w:spacing w:before="65" w:line="230" w:lineRule="auto"/>
        <w:ind w:left="484"/>
        <w:rPr>
          <w:sz w:val="20"/>
          <w:szCs w:val="20"/>
        </w:rPr>
      </w:pPr>
      <w:r>
        <w:rPr>
          <w:spacing w:val="6"/>
          <w:sz w:val="20"/>
          <w:szCs w:val="20"/>
        </w:rPr>
        <w:t>甲方：</w:t>
      </w:r>
      <w:r>
        <w:rPr>
          <w:spacing w:val="-38"/>
          <w:sz w:val="20"/>
          <w:szCs w:val="20"/>
        </w:rPr>
        <w:t xml:space="preserve"> </w:t>
      </w:r>
      <w:r>
        <w:rPr>
          <w:spacing w:val="6"/>
          <w:sz w:val="20"/>
          <w:szCs w:val="20"/>
          <w:u w:val="single" w:color="auto"/>
        </w:rPr>
        <w:t xml:space="preserve">              </w:t>
      </w:r>
      <w:r>
        <w:rPr>
          <w:spacing w:val="6"/>
          <w:sz w:val="20"/>
          <w:szCs w:val="20"/>
        </w:rPr>
        <w:t xml:space="preserve"> (投标人名称)</w:t>
      </w:r>
    </w:p>
    <w:p w14:paraId="24DDACAC">
      <w:pPr>
        <w:pStyle w:val="2"/>
        <w:spacing w:before="141" w:line="221" w:lineRule="auto"/>
        <w:ind w:left="516"/>
        <w:rPr>
          <w:sz w:val="20"/>
          <w:szCs w:val="20"/>
        </w:rPr>
      </w:pPr>
      <w:r>
        <w:rPr>
          <w:i/>
          <w:iCs/>
          <w:spacing w:val="4"/>
          <w:sz w:val="21"/>
          <w:szCs w:val="21"/>
        </w:rPr>
        <w:t>乙方：</w:t>
      </w:r>
      <w:r>
        <w:rPr>
          <w:spacing w:val="-53"/>
          <w:sz w:val="21"/>
          <w:szCs w:val="21"/>
        </w:rPr>
        <w:t xml:space="preserve"> </w:t>
      </w:r>
      <w:r>
        <w:rPr>
          <w:sz w:val="21"/>
          <w:szCs w:val="21"/>
          <w:u w:val="single" w:color="auto"/>
        </w:rPr>
        <w:t xml:space="preserve">              </w:t>
      </w:r>
      <w:r>
        <w:rPr>
          <w:spacing w:val="4"/>
          <w:sz w:val="21"/>
          <w:szCs w:val="21"/>
        </w:rPr>
        <w:t xml:space="preserve"> </w:t>
      </w:r>
      <w:r>
        <w:rPr>
          <w:spacing w:val="4"/>
          <w:sz w:val="20"/>
          <w:szCs w:val="20"/>
        </w:rPr>
        <w:t>(接受分包合同企业名称)</w:t>
      </w:r>
    </w:p>
    <w:p w14:paraId="359B7532">
      <w:pPr>
        <w:pStyle w:val="2"/>
        <w:spacing w:before="138" w:line="214" w:lineRule="auto"/>
        <w:ind w:left="518"/>
        <w:rPr>
          <w:sz w:val="20"/>
          <w:szCs w:val="20"/>
        </w:rPr>
      </w:pPr>
      <w:r>
        <w:rPr>
          <w:i/>
          <w:iCs/>
          <w:spacing w:val="-4"/>
          <w:position w:val="-1"/>
          <w:sz w:val="23"/>
          <w:szCs w:val="23"/>
        </w:rPr>
        <w:t>乙方：</w:t>
      </w:r>
      <w:r>
        <w:rPr>
          <w:spacing w:val="-4"/>
          <w:position w:val="-1"/>
          <w:sz w:val="23"/>
          <w:szCs w:val="23"/>
          <w:u w:val="single" w:color="auto"/>
        </w:rPr>
        <w:t xml:space="preserve">              </w:t>
      </w:r>
      <w:r>
        <w:rPr>
          <w:spacing w:val="30"/>
          <w:position w:val="-1"/>
          <w:sz w:val="23"/>
          <w:szCs w:val="23"/>
        </w:rPr>
        <w:t xml:space="preserve"> </w:t>
      </w:r>
      <w:r>
        <w:rPr>
          <w:spacing w:val="-4"/>
          <w:sz w:val="20"/>
          <w:szCs w:val="20"/>
        </w:rPr>
        <w:t>(接受分包合同企业名称)</w:t>
      </w:r>
    </w:p>
    <w:p w14:paraId="44E8B74B">
      <w:pPr>
        <w:spacing w:line="453" w:lineRule="auto"/>
        <w:rPr>
          <w:rFonts w:ascii="Arial"/>
          <w:sz w:val="21"/>
        </w:rPr>
      </w:pPr>
    </w:p>
    <w:p w14:paraId="547CA7A1">
      <w:pPr>
        <w:pStyle w:val="2"/>
        <w:spacing w:before="65" w:line="352" w:lineRule="auto"/>
        <w:ind w:left="75" w:right="46" w:firstLine="409"/>
        <w:jc w:val="both"/>
        <w:rPr>
          <w:sz w:val="20"/>
          <w:szCs w:val="20"/>
        </w:rPr>
      </w:pPr>
      <w:r>
        <w:rPr>
          <w:spacing w:val="13"/>
          <w:sz w:val="20"/>
          <w:szCs w:val="20"/>
        </w:rPr>
        <w:t>鉴于甲方参加</w:t>
      </w:r>
      <w:r>
        <w:rPr>
          <w:spacing w:val="-69"/>
          <w:sz w:val="20"/>
          <w:szCs w:val="20"/>
        </w:rPr>
        <w:t xml:space="preserve"> </w:t>
      </w:r>
      <w:r>
        <w:rPr>
          <w:spacing w:val="6"/>
          <w:sz w:val="20"/>
          <w:szCs w:val="20"/>
          <w:u w:val="single" w:color="auto"/>
        </w:rPr>
        <w:t xml:space="preserve">               </w:t>
      </w:r>
      <w:r>
        <w:rPr>
          <w:spacing w:val="13"/>
          <w:sz w:val="20"/>
          <w:szCs w:val="20"/>
        </w:rPr>
        <w:t xml:space="preserve"> (招标人名称)(以下简称招标人或发包人)</w:t>
      </w:r>
      <w:r>
        <w:rPr>
          <w:spacing w:val="46"/>
          <w:sz w:val="20"/>
          <w:szCs w:val="20"/>
        </w:rPr>
        <w:t xml:space="preserve"> </w:t>
      </w:r>
      <w:r>
        <w:rPr>
          <w:spacing w:val="7"/>
          <w:sz w:val="20"/>
          <w:szCs w:val="20"/>
          <w:u w:val="single" w:color="auto"/>
        </w:rPr>
        <w:t xml:space="preserve">        </w:t>
      </w:r>
      <w:r>
        <w:rPr>
          <w:spacing w:val="-16"/>
          <w:sz w:val="20"/>
          <w:szCs w:val="20"/>
        </w:rPr>
        <w:t xml:space="preserve"> </w:t>
      </w:r>
      <w:r>
        <w:rPr>
          <w:spacing w:val="13"/>
          <w:sz w:val="20"/>
          <w:szCs w:val="20"/>
        </w:rPr>
        <w:t>(项目</w:t>
      </w:r>
      <w:r>
        <w:rPr>
          <w:sz w:val="20"/>
          <w:szCs w:val="20"/>
        </w:rPr>
        <w:t xml:space="preserve"> </w:t>
      </w:r>
      <w:r>
        <w:rPr>
          <w:spacing w:val="16"/>
          <w:sz w:val="20"/>
          <w:szCs w:val="20"/>
        </w:rPr>
        <w:t>名 称 )</w:t>
      </w:r>
      <w:r>
        <w:rPr>
          <w:spacing w:val="16"/>
          <w:sz w:val="20"/>
          <w:szCs w:val="20"/>
          <w:u w:val="single" w:color="auto"/>
        </w:rPr>
        <w:t xml:space="preserve">     </w:t>
      </w:r>
      <w:r>
        <w:rPr>
          <w:sz w:val="20"/>
          <w:szCs w:val="20"/>
        </w:rPr>
        <w:t xml:space="preserve"> </w:t>
      </w:r>
      <w:r>
        <w:rPr>
          <w:spacing w:val="16"/>
          <w:sz w:val="20"/>
          <w:szCs w:val="20"/>
        </w:rPr>
        <w:t>(标段名称)(以下简称本工程)的施工投标并争取赢得本工程施工承包合同(以下</w:t>
      </w:r>
      <w:r>
        <w:rPr>
          <w:sz w:val="20"/>
          <w:szCs w:val="20"/>
        </w:rPr>
        <w:t xml:space="preserve"> </w:t>
      </w:r>
      <w:r>
        <w:rPr>
          <w:spacing w:val="10"/>
          <w:sz w:val="20"/>
          <w:szCs w:val="20"/>
        </w:rPr>
        <w:t>简称合同)。在遵守《建筑法》《招标投标法》</w:t>
      </w:r>
      <w:r>
        <w:rPr>
          <w:spacing w:val="9"/>
          <w:sz w:val="20"/>
          <w:szCs w:val="20"/>
        </w:rPr>
        <w:t>及其相关的法律法规规章的前提下，经甲乙双方友</w:t>
      </w:r>
      <w:r>
        <w:rPr>
          <w:sz w:val="20"/>
          <w:szCs w:val="20"/>
        </w:rPr>
        <w:t xml:space="preserve"> </w:t>
      </w:r>
      <w:r>
        <w:rPr>
          <w:spacing w:val="7"/>
          <w:sz w:val="20"/>
          <w:szCs w:val="20"/>
        </w:rPr>
        <w:t>好协商订立如下分包意向协议：</w:t>
      </w:r>
    </w:p>
    <w:p w14:paraId="31F2E2C5">
      <w:pPr>
        <w:pStyle w:val="2"/>
        <w:spacing w:before="65" w:line="285" w:lineRule="auto"/>
        <w:ind w:left="75" w:right="118" w:firstLine="409"/>
        <w:rPr>
          <w:sz w:val="20"/>
          <w:szCs w:val="20"/>
        </w:rPr>
      </w:pPr>
      <w:r>
        <w:rPr>
          <w:spacing w:val="9"/>
          <w:sz w:val="20"/>
          <w:szCs w:val="20"/>
        </w:rPr>
        <w:t>1. 在本工程的投标阶段，甲方负责本工程投标文件编制活动，并处理与投</w:t>
      </w:r>
      <w:r>
        <w:rPr>
          <w:spacing w:val="8"/>
          <w:sz w:val="20"/>
          <w:szCs w:val="20"/>
        </w:rPr>
        <w:t>标和中标有关的一</w:t>
      </w:r>
      <w:r>
        <w:rPr>
          <w:sz w:val="20"/>
          <w:szCs w:val="20"/>
        </w:rPr>
        <w:t xml:space="preserve"> </w:t>
      </w:r>
      <w:r>
        <w:rPr>
          <w:spacing w:val="9"/>
          <w:sz w:val="20"/>
          <w:szCs w:val="20"/>
        </w:rPr>
        <w:t>切事务。中标后，甲方负责合同订立和合同实施、组织和协调工作。</w:t>
      </w:r>
    </w:p>
    <w:p w14:paraId="2D67D238">
      <w:pPr>
        <w:pStyle w:val="2"/>
        <w:spacing w:before="143" w:line="312" w:lineRule="auto"/>
        <w:ind w:left="75" w:firstLine="409"/>
        <w:rPr>
          <w:sz w:val="20"/>
          <w:szCs w:val="20"/>
        </w:rPr>
      </w:pPr>
      <w:r>
        <w:rPr>
          <w:spacing w:val="9"/>
          <w:sz w:val="20"/>
          <w:szCs w:val="20"/>
        </w:rPr>
        <w:t>2.</w:t>
      </w:r>
      <w:r>
        <w:rPr>
          <w:spacing w:val="40"/>
          <w:sz w:val="20"/>
          <w:szCs w:val="20"/>
        </w:rPr>
        <w:t xml:space="preserve"> </w:t>
      </w:r>
      <w:r>
        <w:rPr>
          <w:spacing w:val="9"/>
          <w:sz w:val="20"/>
          <w:szCs w:val="20"/>
        </w:rPr>
        <w:t>乙方按照甲方的要求提供分包工作投标所需的相关资料，包括但</w:t>
      </w:r>
      <w:r>
        <w:rPr>
          <w:spacing w:val="8"/>
          <w:sz w:val="20"/>
          <w:szCs w:val="20"/>
        </w:rPr>
        <w:t>不限于资质、资格、分包</w:t>
      </w:r>
      <w:r>
        <w:rPr>
          <w:sz w:val="20"/>
          <w:szCs w:val="20"/>
        </w:rPr>
        <w:t xml:space="preserve">  </w:t>
      </w:r>
      <w:r>
        <w:rPr>
          <w:spacing w:val="9"/>
          <w:sz w:val="20"/>
          <w:szCs w:val="20"/>
        </w:rPr>
        <w:t>工作报价、技术文件、经营状况等资料，并对所提供资料的真实性负责。甲方为此提供便利条件，</w:t>
      </w:r>
      <w:r>
        <w:rPr>
          <w:spacing w:val="11"/>
          <w:sz w:val="20"/>
          <w:szCs w:val="20"/>
        </w:rPr>
        <w:t xml:space="preserve"> </w:t>
      </w:r>
      <w:r>
        <w:rPr>
          <w:spacing w:val="9"/>
          <w:sz w:val="20"/>
          <w:szCs w:val="20"/>
        </w:rPr>
        <w:t>未经乙方同意，甲方不得擅自降低乙方提供的分包工作报价。</w:t>
      </w:r>
    </w:p>
    <w:p w14:paraId="50D2E12D">
      <w:pPr>
        <w:pStyle w:val="2"/>
        <w:spacing w:before="195" w:line="307" w:lineRule="auto"/>
        <w:ind w:left="75" w:right="88" w:firstLine="409"/>
        <w:rPr>
          <w:sz w:val="20"/>
          <w:szCs w:val="20"/>
        </w:rPr>
      </w:pPr>
      <w:r>
        <w:rPr>
          <w:spacing w:val="10"/>
          <w:sz w:val="20"/>
          <w:szCs w:val="20"/>
        </w:rPr>
        <w:t>3. 甲方承诺中标后，就本协议约定的分包工作</w:t>
      </w:r>
      <w:r>
        <w:rPr>
          <w:spacing w:val="9"/>
          <w:sz w:val="20"/>
          <w:szCs w:val="20"/>
        </w:rPr>
        <w:t>以分包合同的形式交由乙方承担；乙方承诺按</w:t>
      </w:r>
      <w:r>
        <w:rPr>
          <w:sz w:val="20"/>
          <w:szCs w:val="20"/>
        </w:rPr>
        <w:t xml:space="preserve"> </w:t>
      </w:r>
      <w:r>
        <w:rPr>
          <w:spacing w:val="16"/>
          <w:sz w:val="20"/>
          <w:szCs w:val="20"/>
        </w:rPr>
        <w:t>照分包合同的约定履行责任和义务并对甲方负责。甲方和乙方就分包工作对招标人(发包人)承</w:t>
      </w:r>
      <w:r>
        <w:rPr>
          <w:spacing w:val="6"/>
          <w:sz w:val="20"/>
          <w:szCs w:val="20"/>
        </w:rPr>
        <w:t xml:space="preserve"> </w:t>
      </w:r>
      <w:r>
        <w:rPr>
          <w:spacing w:val="4"/>
          <w:sz w:val="20"/>
          <w:szCs w:val="20"/>
        </w:rPr>
        <w:t>担连带责任。</w:t>
      </w:r>
    </w:p>
    <w:p w14:paraId="2587B4E4">
      <w:pPr>
        <w:pStyle w:val="2"/>
        <w:spacing w:before="162" w:line="219" w:lineRule="auto"/>
        <w:ind w:left="484"/>
        <w:rPr>
          <w:sz w:val="20"/>
          <w:szCs w:val="20"/>
        </w:rPr>
      </w:pPr>
      <w:r>
        <w:rPr>
          <w:spacing w:val="8"/>
          <w:sz w:val="20"/>
          <w:szCs w:val="20"/>
        </w:rPr>
        <w:t>4.</w:t>
      </w:r>
      <w:r>
        <w:rPr>
          <w:spacing w:val="37"/>
          <w:sz w:val="20"/>
          <w:szCs w:val="20"/>
        </w:rPr>
        <w:t xml:space="preserve"> </w:t>
      </w:r>
      <w:r>
        <w:rPr>
          <w:spacing w:val="8"/>
          <w:sz w:val="20"/>
          <w:szCs w:val="20"/>
        </w:rPr>
        <w:t>甲方拟分包给乙方的工作、分包合同金额、分包合同金额</w:t>
      </w:r>
      <w:r>
        <w:rPr>
          <w:spacing w:val="7"/>
          <w:sz w:val="20"/>
          <w:szCs w:val="20"/>
        </w:rPr>
        <w:t>占比如下：</w:t>
      </w:r>
    </w:p>
    <w:p w14:paraId="675795E8">
      <w:pPr>
        <w:spacing w:before="159"/>
      </w:pPr>
    </w:p>
    <w:tbl>
      <w:tblPr>
        <w:tblStyle w:val="5"/>
        <w:tblW w:w="903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4"/>
        <w:gridCol w:w="1608"/>
        <w:gridCol w:w="1708"/>
        <w:gridCol w:w="1159"/>
        <w:gridCol w:w="1169"/>
        <w:gridCol w:w="1418"/>
        <w:gridCol w:w="1404"/>
      </w:tblGrid>
      <w:tr w14:paraId="65D2C5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atLeast"/>
        </w:trPr>
        <w:tc>
          <w:tcPr>
            <w:tcW w:w="564" w:type="dxa"/>
            <w:textDirection w:val="tbRlV"/>
            <w:vAlign w:val="top"/>
          </w:tcPr>
          <w:p w14:paraId="17F39DEB">
            <w:pPr>
              <w:pStyle w:val="6"/>
              <w:spacing w:before="201" w:line="199" w:lineRule="auto"/>
              <w:ind w:left="184"/>
            </w:pPr>
            <w:r>
              <w:t>序号</w:t>
            </w:r>
          </w:p>
        </w:tc>
        <w:tc>
          <w:tcPr>
            <w:tcW w:w="1608" w:type="dxa"/>
            <w:vAlign w:val="top"/>
          </w:tcPr>
          <w:p w14:paraId="5BB56373">
            <w:pPr>
              <w:pStyle w:val="6"/>
              <w:spacing w:before="163" w:line="260" w:lineRule="auto"/>
              <w:ind w:left="369" w:right="158" w:hanging="209"/>
            </w:pPr>
            <w:r>
              <w:rPr>
                <w:spacing w:val="3"/>
              </w:rPr>
              <w:t>接受分包合同</w:t>
            </w:r>
            <w:r>
              <w:t xml:space="preserve"> </w:t>
            </w:r>
            <w:r>
              <w:rPr>
                <w:spacing w:val="2"/>
              </w:rPr>
              <w:t>企业名称</w:t>
            </w:r>
          </w:p>
        </w:tc>
        <w:tc>
          <w:tcPr>
            <w:tcW w:w="1708" w:type="dxa"/>
            <w:vAlign w:val="top"/>
          </w:tcPr>
          <w:p w14:paraId="3708F1D3">
            <w:pPr>
              <w:pStyle w:val="6"/>
              <w:spacing w:before="164" w:line="220" w:lineRule="auto"/>
              <w:ind w:left="422"/>
            </w:pPr>
            <w:r>
              <w:rPr>
                <w:spacing w:val="4"/>
              </w:rPr>
              <w:t>分包合同</w:t>
            </w:r>
          </w:p>
          <w:p w14:paraId="38AEDBE8">
            <w:pPr>
              <w:pStyle w:val="6"/>
              <w:spacing w:before="39" w:line="219" w:lineRule="auto"/>
              <w:ind w:left="212"/>
            </w:pPr>
            <w:r>
              <w:rPr>
                <w:spacing w:val="1"/>
              </w:rPr>
              <w:t>工作内容名称</w:t>
            </w:r>
          </w:p>
        </w:tc>
        <w:tc>
          <w:tcPr>
            <w:tcW w:w="1159" w:type="dxa"/>
            <w:vAlign w:val="top"/>
          </w:tcPr>
          <w:p w14:paraId="6B25AADA">
            <w:pPr>
              <w:pStyle w:val="6"/>
              <w:spacing w:before="44" w:line="220" w:lineRule="auto"/>
              <w:ind w:left="154"/>
            </w:pPr>
            <w:r>
              <w:rPr>
                <w:spacing w:val="4"/>
              </w:rPr>
              <w:t>分包合同</w:t>
            </w:r>
          </w:p>
          <w:p w14:paraId="39209D82">
            <w:pPr>
              <w:pStyle w:val="6"/>
              <w:spacing w:before="19" w:line="219" w:lineRule="auto"/>
              <w:ind w:left="364"/>
            </w:pPr>
            <w:r>
              <w:rPr>
                <w:spacing w:val="-3"/>
              </w:rPr>
              <w:t>金额</w:t>
            </w:r>
          </w:p>
          <w:p w14:paraId="77D0ED75">
            <w:pPr>
              <w:pStyle w:val="6"/>
              <w:spacing w:before="11" w:line="201" w:lineRule="auto"/>
              <w:ind w:left="255"/>
            </w:pPr>
            <w:r>
              <w:rPr>
                <w:spacing w:val="11"/>
              </w:rPr>
              <w:t>(万元)</w:t>
            </w:r>
          </w:p>
        </w:tc>
        <w:tc>
          <w:tcPr>
            <w:tcW w:w="1169" w:type="dxa"/>
            <w:vAlign w:val="top"/>
          </w:tcPr>
          <w:p w14:paraId="48036BBC">
            <w:pPr>
              <w:pStyle w:val="6"/>
              <w:spacing w:before="44" w:line="220" w:lineRule="auto"/>
              <w:ind w:left="156"/>
            </w:pPr>
            <w:r>
              <w:rPr>
                <w:spacing w:val="4"/>
              </w:rPr>
              <w:t>分包合同</w:t>
            </w:r>
          </w:p>
          <w:p w14:paraId="2C99DC39">
            <w:pPr>
              <w:pStyle w:val="6"/>
              <w:spacing w:before="9" w:line="219" w:lineRule="auto"/>
              <w:ind w:left="156"/>
            </w:pPr>
            <w:r>
              <w:rPr>
                <w:spacing w:val="3"/>
              </w:rPr>
              <w:t>金额占比</w:t>
            </w:r>
          </w:p>
          <w:p w14:paraId="4C54EEBA">
            <w:pPr>
              <w:pStyle w:val="6"/>
              <w:spacing w:before="44" w:line="181" w:lineRule="auto"/>
              <w:ind w:left="416"/>
            </w:pPr>
            <w:r>
              <w:rPr>
                <w:spacing w:val="-11"/>
              </w:rPr>
              <w:t>(%)</w:t>
            </w:r>
          </w:p>
        </w:tc>
        <w:tc>
          <w:tcPr>
            <w:tcW w:w="1418" w:type="dxa"/>
            <w:vAlign w:val="top"/>
          </w:tcPr>
          <w:p w14:paraId="66E461CD">
            <w:pPr>
              <w:pStyle w:val="6"/>
              <w:spacing w:before="42" w:line="223" w:lineRule="auto"/>
              <w:ind w:left="176" w:right="165"/>
              <w:jc w:val="right"/>
            </w:pPr>
            <w:r>
              <w:rPr>
                <w:spacing w:val="-2"/>
              </w:rPr>
              <w:t>满足分包工</w:t>
            </w:r>
            <w:r>
              <w:t xml:space="preserve"> </w:t>
            </w:r>
            <w:r>
              <w:rPr>
                <w:spacing w:val="3"/>
              </w:rPr>
              <w:t>作的企业资</w:t>
            </w:r>
            <w:r>
              <w:t xml:space="preserve"> </w:t>
            </w:r>
            <w:r>
              <w:rPr>
                <w:spacing w:val="9"/>
              </w:rPr>
              <w:t>质(如需)</w:t>
            </w:r>
          </w:p>
        </w:tc>
        <w:tc>
          <w:tcPr>
            <w:tcW w:w="1404" w:type="dxa"/>
            <w:vAlign w:val="top"/>
          </w:tcPr>
          <w:p w14:paraId="199BF927">
            <w:pPr>
              <w:pStyle w:val="6"/>
              <w:spacing w:before="304" w:line="221" w:lineRule="auto"/>
              <w:ind w:left="499"/>
            </w:pPr>
            <w:r>
              <w:rPr>
                <w:spacing w:val="5"/>
              </w:rPr>
              <w:t>备注</w:t>
            </w:r>
          </w:p>
        </w:tc>
      </w:tr>
      <w:tr w14:paraId="3EDF97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564" w:type="dxa"/>
            <w:vAlign w:val="top"/>
          </w:tcPr>
          <w:p w14:paraId="272AA5D8">
            <w:pPr>
              <w:rPr>
                <w:rFonts w:ascii="Arial"/>
                <w:sz w:val="21"/>
              </w:rPr>
            </w:pPr>
          </w:p>
        </w:tc>
        <w:tc>
          <w:tcPr>
            <w:tcW w:w="1608" w:type="dxa"/>
            <w:vAlign w:val="top"/>
          </w:tcPr>
          <w:p w14:paraId="63DAD47E">
            <w:pPr>
              <w:rPr>
                <w:rFonts w:ascii="Arial"/>
                <w:sz w:val="21"/>
              </w:rPr>
            </w:pPr>
          </w:p>
        </w:tc>
        <w:tc>
          <w:tcPr>
            <w:tcW w:w="1708" w:type="dxa"/>
            <w:vAlign w:val="top"/>
          </w:tcPr>
          <w:p w14:paraId="58AD40D2">
            <w:pPr>
              <w:rPr>
                <w:rFonts w:ascii="Arial"/>
                <w:sz w:val="21"/>
              </w:rPr>
            </w:pPr>
          </w:p>
        </w:tc>
        <w:tc>
          <w:tcPr>
            <w:tcW w:w="1159" w:type="dxa"/>
            <w:vAlign w:val="top"/>
          </w:tcPr>
          <w:p w14:paraId="0FBC4EFE">
            <w:pPr>
              <w:rPr>
                <w:rFonts w:ascii="Arial"/>
                <w:sz w:val="21"/>
              </w:rPr>
            </w:pPr>
          </w:p>
        </w:tc>
        <w:tc>
          <w:tcPr>
            <w:tcW w:w="1169" w:type="dxa"/>
            <w:vAlign w:val="top"/>
          </w:tcPr>
          <w:p w14:paraId="01E6E343">
            <w:pPr>
              <w:rPr>
                <w:rFonts w:ascii="Arial"/>
                <w:sz w:val="21"/>
              </w:rPr>
            </w:pPr>
          </w:p>
        </w:tc>
        <w:tc>
          <w:tcPr>
            <w:tcW w:w="1418" w:type="dxa"/>
            <w:vAlign w:val="top"/>
          </w:tcPr>
          <w:p w14:paraId="101EECC2">
            <w:pPr>
              <w:rPr>
                <w:rFonts w:ascii="Arial"/>
                <w:sz w:val="21"/>
              </w:rPr>
            </w:pPr>
          </w:p>
        </w:tc>
        <w:tc>
          <w:tcPr>
            <w:tcW w:w="1404" w:type="dxa"/>
            <w:vAlign w:val="top"/>
          </w:tcPr>
          <w:p w14:paraId="32D0CC14">
            <w:pPr>
              <w:rPr>
                <w:rFonts w:ascii="Arial"/>
                <w:sz w:val="21"/>
              </w:rPr>
            </w:pPr>
          </w:p>
        </w:tc>
      </w:tr>
      <w:tr w14:paraId="2D0B5B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564" w:type="dxa"/>
            <w:vAlign w:val="top"/>
          </w:tcPr>
          <w:p w14:paraId="190C6018">
            <w:pPr>
              <w:rPr>
                <w:rFonts w:ascii="Arial"/>
                <w:sz w:val="21"/>
              </w:rPr>
            </w:pPr>
          </w:p>
        </w:tc>
        <w:tc>
          <w:tcPr>
            <w:tcW w:w="1608" w:type="dxa"/>
            <w:vAlign w:val="top"/>
          </w:tcPr>
          <w:p w14:paraId="2B8EA2D8">
            <w:pPr>
              <w:rPr>
                <w:rFonts w:ascii="Arial"/>
                <w:sz w:val="21"/>
              </w:rPr>
            </w:pPr>
          </w:p>
        </w:tc>
        <w:tc>
          <w:tcPr>
            <w:tcW w:w="1708" w:type="dxa"/>
            <w:vAlign w:val="top"/>
          </w:tcPr>
          <w:p w14:paraId="7250C533">
            <w:pPr>
              <w:rPr>
                <w:rFonts w:ascii="Arial"/>
                <w:sz w:val="21"/>
              </w:rPr>
            </w:pPr>
          </w:p>
        </w:tc>
        <w:tc>
          <w:tcPr>
            <w:tcW w:w="1159" w:type="dxa"/>
            <w:vAlign w:val="top"/>
          </w:tcPr>
          <w:p w14:paraId="667201DC">
            <w:pPr>
              <w:rPr>
                <w:rFonts w:ascii="Arial"/>
                <w:sz w:val="21"/>
              </w:rPr>
            </w:pPr>
          </w:p>
        </w:tc>
        <w:tc>
          <w:tcPr>
            <w:tcW w:w="1169" w:type="dxa"/>
            <w:vAlign w:val="top"/>
          </w:tcPr>
          <w:p w14:paraId="6A3D87B1">
            <w:pPr>
              <w:rPr>
                <w:rFonts w:ascii="Arial"/>
                <w:sz w:val="21"/>
              </w:rPr>
            </w:pPr>
          </w:p>
        </w:tc>
        <w:tc>
          <w:tcPr>
            <w:tcW w:w="1418" w:type="dxa"/>
            <w:vAlign w:val="top"/>
          </w:tcPr>
          <w:p w14:paraId="28AD2ED6">
            <w:pPr>
              <w:rPr>
                <w:rFonts w:ascii="Arial"/>
                <w:sz w:val="21"/>
              </w:rPr>
            </w:pPr>
          </w:p>
        </w:tc>
        <w:tc>
          <w:tcPr>
            <w:tcW w:w="1404" w:type="dxa"/>
            <w:vAlign w:val="top"/>
          </w:tcPr>
          <w:p w14:paraId="7444E57A">
            <w:pPr>
              <w:rPr>
                <w:rFonts w:ascii="Arial"/>
                <w:sz w:val="21"/>
              </w:rPr>
            </w:pPr>
          </w:p>
        </w:tc>
      </w:tr>
      <w:tr w14:paraId="44C98C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564" w:type="dxa"/>
            <w:vAlign w:val="top"/>
          </w:tcPr>
          <w:p w14:paraId="00628779">
            <w:pPr>
              <w:rPr>
                <w:rFonts w:ascii="Arial"/>
                <w:sz w:val="21"/>
              </w:rPr>
            </w:pPr>
          </w:p>
        </w:tc>
        <w:tc>
          <w:tcPr>
            <w:tcW w:w="1608" w:type="dxa"/>
            <w:vAlign w:val="top"/>
          </w:tcPr>
          <w:p w14:paraId="2E71489D">
            <w:pPr>
              <w:rPr>
                <w:rFonts w:ascii="Arial"/>
                <w:sz w:val="21"/>
              </w:rPr>
            </w:pPr>
          </w:p>
        </w:tc>
        <w:tc>
          <w:tcPr>
            <w:tcW w:w="1708" w:type="dxa"/>
            <w:vAlign w:val="top"/>
          </w:tcPr>
          <w:p w14:paraId="259590FF">
            <w:pPr>
              <w:rPr>
                <w:rFonts w:ascii="Arial"/>
                <w:sz w:val="21"/>
              </w:rPr>
            </w:pPr>
          </w:p>
        </w:tc>
        <w:tc>
          <w:tcPr>
            <w:tcW w:w="1159" w:type="dxa"/>
            <w:vAlign w:val="top"/>
          </w:tcPr>
          <w:p w14:paraId="1E7EFC54">
            <w:pPr>
              <w:rPr>
                <w:rFonts w:ascii="Arial"/>
                <w:sz w:val="21"/>
              </w:rPr>
            </w:pPr>
          </w:p>
        </w:tc>
        <w:tc>
          <w:tcPr>
            <w:tcW w:w="1169" w:type="dxa"/>
            <w:vAlign w:val="top"/>
          </w:tcPr>
          <w:p w14:paraId="65EBB820">
            <w:pPr>
              <w:rPr>
                <w:rFonts w:ascii="Arial"/>
                <w:sz w:val="21"/>
              </w:rPr>
            </w:pPr>
          </w:p>
        </w:tc>
        <w:tc>
          <w:tcPr>
            <w:tcW w:w="1418" w:type="dxa"/>
            <w:vAlign w:val="top"/>
          </w:tcPr>
          <w:p w14:paraId="4C7D761D">
            <w:pPr>
              <w:rPr>
                <w:rFonts w:ascii="Arial"/>
                <w:sz w:val="21"/>
              </w:rPr>
            </w:pPr>
          </w:p>
        </w:tc>
        <w:tc>
          <w:tcPr>
            <w:tcW w:w="1404" w:type="dxa"/>
            <w:vAlign w:val="top"/>
          </w:tcPr>
          <w:p w14:paraId="6F54C869">
            <w:pPr>
              <w:rPr>
                <w:rFonts w:ascii="Arial"/>
                <w:sz w:val="21"/>
              </w:rPr>
            </w:pPr>
          </w:p>
        </w:tc>
      </w:tr>
      <w:tr w14:paraId="0A1991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8" w:hRule="atLeast"/>
        </w:trPr>
        <w:tc>
          <w:tcPr>
            <w:tcW w:w="564" w:type="dxa"/>
            <w:vAlign w:val="top"/>
          </w:tcPr>
          <w:p w14:paraId="0E27A838">
            <w:pPr>
              <w:rPr>
                <w:rFonts w:ascii="Arial"/>
                <w:sz w:val="21"/>
              </w:rPr>
            </w:pPr>
          </w:p>
        </w:tc>
        <w:tc>
          <w:tcPr>
            <w:tcW w:w="1608" w:type="dxa"/>
            <w:vAlign w:val="top"/>
          </w:tcPr>
          <w:p w14:paraId="7F75968E">
            <w:pPr>
              <w:rPr>
                <w:rFonts w:ascii="Arial"/>
                <w:sz w:val="21"/>
              </w:rPr>
            </w:pPr>
          </w:p>
        </w:tc>
        <w:tc>
          <w:tcPr>
            <w:tcW w:w="1708" w:type="dxa"/>
            <w:vAlign w:val="top"/>
          </w:tcPr>
          <w:p w14:paraId="2B046863">
            <w:pPr>
              <w:rPr>
                <w:rFonts w:ascii="Arial"/>
                <w:sz w:val="21"/>
              </w:rPr>
            </w:pPr>
          </w:p>
        </w:tc>
        <w:tc>
          <w:tcPr>
            <w:tcW w:w="1159" w:type="dxa"/>
            <w:vAlign w:val="top"/>
          </w:tcPr>
          <w:p w14:paraId="4FC531EC">
            <w:pPr>
              <w:rPr>
                <w:rFonts w:ascii="Arial"/>
                <w:sz w:val="21"/>
              </w:rPr>
            </w:pPr>
          </w:p>
        </w:tc>
        <w:tc>
          <w:tcPr>
            <w:tcW w:w="1169" w:type="dxa"/>
            <w:vAlign w:val="top"/>
          </w:tcPr>
          <w:p w14:paraId="0984568C">
            <w:pPr>
              <w:rPr>
                <w:rFonts w:ascii="Arial"/>
                <w:sz w:val="21"/>
              </w:rPr>
            </w:pPr>
          </w:p>
        </w:tc>
        <w:tc>
          <w:tcPr>
            <w:tcW w:w="1418" w:type="dxa"/>
            <w:vAlign w:val="top"/>
          </w:tcPr>
          <w:p w14:paraId="5CB1C600">
            <w:pPr>
              <w:rPr>
                <w:rFonts w:ascii="Arial"/>
                <w:sz w:val="21"/>
              </w:rPr>
            </w:pPr>
          </w:p>
        </w:tc>
        <w:tc>
          <w:tcPr>
            <w:tcW w:w="1404" w:type="dxa"/>
            <w:vAlign w:val="top"/>
          </w:tcPr>
          <w:p w14:paraId="29E8EF91">
            <w:pPr>
              <w:rPr>
                <w:rFonts w:ascii="Arial"/>
                <w:sz w:val="21"/>
              </w:rPr>
            </w:pPr>
          </w:p>
        </w:tc>
      </w:tr>
      <w:tr w14:paraId="4A6BCE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564" w:type="dxa"/>
            <w:vAlign w:val="top"/>
          </w:tcPr>
          <w:p w14:paraId="4BF5AEAE">
            <w:pPr>
              <w:rPr>
                <w:rFonts w:ascii="Arial"/>
                <w:sz w:val="21"/>
              </w:rPr>
            </w:pPr>
          </w:p>
        </w:tc>
        <w:tc>
          <w:tcPr>
            <w:tcW w:w="1608" w:type="dxa"/>
            <w:vAlign w:val="top"/>
          </w:tcPr>
          <w:p w14:paraId="478713BB">
            <w:pPr>
              <w:rPr>
                <w:rFonts w:ascii="Arial"/>
                <w:sz w:val="21"/>
              </w:rPr>
            </w:pPr>
          </w:p>
        </w:tc>
        <w:tc>
          <w:tcPr>
            <w:tcW w:w="1708" w:type="dxa"/>
            <w:vAlign w:val="top"/>
          </w:tcPr>
          <w:p w14:paraId="46049B8F">
            <w:pPr>
              <w:rPr>
                <w:rFonts w:ascii="Arial"/>
                <w:sz w:val="21"/>
              </w:rPr>
            </w:pPr>
          </w:p>
        </w:tc>
        <w:tc>
          <w:tcPr>
            <w:tcW w:w="1159" w:type="dxa"/>
            <w:vAlign w:val="top"/>
          </w:tcPr>
          <w:p w14:paraId="46E13E1C">
            <w:pPr>
              <w:rPr>
                <w:rFonts w:ascii="Arial"/>
                <w:sz w:val="21"/>
              </w:rPr>
            </w:pPr>
          </w:p>
        </w:tc>
        <w:tc>
          <w:tcPr>
            <w:tcW w:w="1169" w:type="dxa"/>
            <w:vAlign w:val="top"/>
          </w:tcPr>
          <w:p w14:paraId="0368EFA9">
            <w:pPr>
              <w:rPr>
                <w:rFonts w:ascii="Arial"/>
                <w:sz w:val="21"/>
              </w:rPr>
            </w:pPr>
          </w:p>
        </w:tc>
        <w:tc>
          <w:tcPr>
            <w:tcW w:w="1418" w:type="dxa"/>
            <w:vAlign w:val="top"/>
          </w:tcPr>
          <w:p w14:paraId="772C775C">
            <w:pPr>
              <w:rPr>
                <w:rFonts w:ascii="Arial"/>
                <w:sz w:val="21"/>
              </w:rPr>
            </w:pPr>
          </w:p>
        </w:tc>
        <w:tc>
          <w:tcPr>
            <w:tcW w:w="1404" w:type="dxa"/>
            <w:vAlign w:val="top"/>
          </w:tcPr>
          <w:p w14:paraId="7DC430BD">
            <w:pPr>
              <w:rPr>
                <w:rFonts w:ascii="Arial"/>
                <w:sz w:val="21"/>
              </w:rPr>
            </w:pPr>
          </w:p>
        </w:tc>
      </w:tr>
      <w:tr w14:paraId="07C0C6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564" w:type="dxa"/>
            <w:vAlign w:val="top"/>
          </w:tcPr>
          <w:p w14:paraId="44AB27FB">
            <w:pPr>
              <w:rPr>
                <w:rFonts w:ascii="Arial"/>
                <w:sz w:val="21"/>
              </w:rPr>
            </w:pPr>
          </w:p>
        </w:tc>
        <w:tc>
          <w:tcPr>
            <w:tcW w:w="3316" w:type="dxa"/>
            <w:gridSpan w:val="2"/>
            <w:vAlign w:val="top"/>
          </w:tcPr>
          <w:p w14:paraId="4D30F48E">
            <w:pPr>
              <w:pStyle w:val="6"/>
              <w:spacing w:before="127" w:line="221" w:lineRule="auto"/>
              <w:ind w:left="1440"/>
            </w:pPr>
            <w:r>
              <w:rPr>
                <w:spacing w:val="-3"/>
              </w:rPr>
              <w:t>合计</w:t>
            </w:r>
          </w:p>
        </w:tc>
        <w:tc>
          <w:tcPr>
            <w:tcW w:w="1159" w:type="dxa"/>
            <w:vAlign w:val="top"/>
          </w:tcPr>
          <w:p w14:paraId="15760413">
            <w:pPr>
              <w:rPr>
                <w:rFonts w:ascii="Arial"/>
                <w:sz w:val="21"/>
              </w:rPr>
            </w:pPr>
          </w:p>
        </w:tc>
        <w:tc>
          <w:tcPr>
            <w:tcW w:w="1169" w:type="dxa"/>
            <w:vAlign w:val="top"/>
          </w:tcPr>
          <w:p w14:paraId="620A3FAD">
            <w:pPr>
              <w:rPr>
                <w:rFonts w:ascii="Arial"/>
                <w:sz w:val="21"/>
              </w:rPr>
            </w:pPr>
          </w:p>
        </w:tc>
        <w:tc>
          <w:tcPr>
            <w:tcW w:w="1418" w:type="dxa"/>
            <w:vAlign w:val="top"/>
          </w:tcPr>
          <w:p w14:paraId="3AABAB3C">
            <w:pPr>
              <w:rPr>
                <w:rFonts w:ascii="Arial"/>
                <w:sz w:val="21"/>
              </w:rPr>
            </w:pPr>
          </w:p>
        </w:tc>
        <w:tc>
          <w:tcPr>
            <w:tcW w:w="1404" w:type="dxa"/>
            <w:vAlign w:val="top"/>
          </w:tcPr>
          <w:p w14:paraId="661ACBCA">
            <w:pPr>
              <w:rPr>
                <w:rFonts w:ascii="Arial"/>
                <w:sz w:val="21"/>
              </w:rPr>
            </w:pPr>
          </w:p>
        </w:tc>
      </w:tr>
      <w:tr w14:paraId="2E8634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3" w:hRule="atLeast"/>
        </w:trPr>
        <w:tc>
          <w:tcPr>
            <w:tcW w:w="564" w:type="dxa"/>
            <w:vAlign w:val="top"/>
          </w:tcPr>
          <w:p w14:paraId="0B69840A">
            <w:pPr>
              <w:rPr>
                <w:rFonts w:ascii="Arial"/>
                <w:sz w:val="21"/>
              </w:rPr>
            </w:pPr>
          </w:p>
        </w:tc>
        <w:tc>
          <w:tcPr>
            <w:tcW w:w="3316" w:type="dxa"/>
            <w:gridSpan w:val="2"/>
            <w:vAlign w:val="top"/>
          </w:tcPr>
          <w:p w14:paraId="7C84B940">
            <w:pPr>
              <w:pStyle w:val="6"/>
              <w:spacing w:before="136" w:line="219" w:lineRule="auto"/>
              <w:ind w:left="601"/>
            </w:pPr>
            <w:r>
              <w:rPr>
                <w:spacing w:val="4"/>
              </w:rPr>
              <w:t>本项目合同金额(万元)</w:t>
            </w:r>
          </w:p>
        </w:tc>
        <w:tc>
          <w:tcPr>
            <w:tcW w:w="2328" w:type="dxa"/>
            <w:gridSpan w:val="2"/>
            <w:vAlign w:val="top"/>
          </w:tcPr>
          <w:p w14:paraId="62FE3A65">
            <w:pPr>
              <w:rPr>
                <w:rFonts w:ascii="Arial"/>
                <w:sz w:val="21"/>
              </w:rPr>
            </w:pPr>
          </w:p>
        </w:tc>
        <w:tc>
          <w:tcPr>
            <w:tcW w:w="2822" w:type="dxa"/>
            <w:gridSpan w:val="2"/>
            <w:vAlign w:val="top"/>
          </w:tcPr>
          <w:p w14:paraId="236E6993">
            <w:pPr>
              <w:rPr>
                <w:rFonts w:ascii="Arial"/>
                <w:sz w:val="21"/>
              </w:rPr>
            </w:pPr>
          </w:p>
        </w:tc>
      </w:tr>
    </w:tbl>
    <w:p w14:paraId="41957E9B">
      <w:pPr>
        <w:pStyle w:val="2"/>
        <w:spacing w:before="152" w:line="372" w:lineRule="auto"/>
        <w:ind w:left="75" w:right="51" w:firstLine="409"/>
        <w:rPr>
          <w:sz w:val="20"/>
          <w:szCs w:val="20"/>
        </w:rPr>
      </w:pPr>
      <w:r>
        <w:rPr>
          <w:spacing w:val="25"/>
          <w:sz w:val="20"/>
          <w:szCs w:val="20"/>
        </w:rPr>
        <w:t>5. 本协议中接受分包合同的中小(小微)企业(乙方)与分包</w:t>
      </w:r>
      <w:r>
        <w:rPr>
          <w:spacing w:val="24"/>
          <w:sz w:val="20"/>
          <w:szCs w:val="20"/>
        </w:rPr>
        <w:t>企业(甲方)之间不存在直接</w:t>
      </w:r>
      <w:r>
        <w:rPr>
          <w:sz w:val="20"/>
          <w:szCs w:val="20"/>
        </w:rPr>
        <w:t xml:space="preserve"> </w:t>
      </w:r>
      <w:r>
        <w:rPr>
          <w:spacing w:val="6"/>
          <w:sz w:val="20"/>
          <w:szCs w:val="20"/>
        </w:rPr>
        <w:t>控股、管理关系。</w:t>
      </w:r>
    </w:p>
    <w:p w14:paraId="6F05666C">
      <w:pPr>
        <w:spacing w:line="372" w:lineRule="auto"/>
        <w:rPr>
          <w:sz w:val="20"/>
          <w:szCs w:val="20"/>
        </w:rPr>
        <w:sectPr>
          <w:footerReference r:id="rId366" w:type="default"/>
          <w:pgSz w:w="11910" w:h="16840"/>
          <w:pgMar w:top="400" w:right="1450" w:bottom="1147" w:left="1385" w:header="0" w:footer="1021" w:gutter="0"/>
          <w:cols w:space="720" w:num="1"/>
        </w:sectPr>
      </w:pPr>
    </w:p>
    <w:p w14:paraId="50D3CBEB">
      <w:pPr>
        <w:spacing w:line="270" w:lineRule="auto"/>
        <w:rPr>
          <w:rFonts w:ascii="Arial"/>
          <w:sz w:val="21"/>
        </w:rPr>
      </w:pPr>
    </w:p>
    <w:p w14:paraId="6A48EF17">
      <w:pPr>
        <w:spacing w:line="270" w:lineRule="auto"/>
        <w:rPr>
          <w:rFonts w:ascii="Arial"/>
          <w:sz w:val="21"/>
        </w:rPr>
      </w:pPr>
    </w:p>
    <w:p w14:paraId="0DB655D6">
      <w:pPr>
        <w:spacing w:line="270" w:lineRule="auto"/>
        <w:rPr>
          <w:rFonts w:ascii="Arial"/>
          <w:sz w:val="21"/>
        </w:rPr>
      </w:pPr>
    </w:p>
    <w:p w14:paraId="040A28C3">
      <w:pPr>
        <w:spacing w:line="270" w:lineRule="auto"/>
        <w:rPr>
          <w:rFonts w:ascii="Arial"/>
          <w:sz w:val="21"/>
        </w:rPr>
      </w:pPr>
    </w:p>
    <w:p w14:paraId="263805D9">
      <w:pPr>
        <w:spacing w:line="270" w:lineRule="auto"/>
        <w:rPr>
          <w:rFonts w:ascii="Arial"/>
          <w:sz w:val="21"/>
        </w:rPr>
      </w:pPr>
    </w:p>
    <w:p w14:paraId="2A869904">
      <w:pPr>
        <w:pStyle w:val="2"/>
        <w:spacing w:before="69" w:line="219" w:lineRule="auto"/>
        <w:ind w:left="419"/>
        <w:rPr>
          <w:sz w:val="21"/>
          <w:szCs w:val="21"/>
        </w:rPr>
      </w:pPr>
      <w:r>
        <w:rPr>
          <w:sz w:val="21"/>
          <w:szCs w:val="21"/>
        </w:rPr>
        <w:t>6. 中标后，本协议是合同的组成部分，对</w:t>
      </w:r>
      <w:r>
        <w:rPr>
          <w:spacing w:val="-1"/>
          <w:sz w:val="21"/>
          <w:szCs w:val="21"/>
        </w:rPr>
        <w:t>甲乙双方有合同约束力。</w:t>
      </w:r>
    </w:p>
    <w:p w14:paraId="2AFDF716">
      <w:pPr>
        <w:pStyle w:val="2"/>
        <w:spacing w:before="150" w:line="290" w:lineRule="auto"/>
        <w:ind w:left="419" w:right="1466"/>
        <w:rPr>
          <w:sz w:val="21"/>
          <w:szCs w:val="21"/>
        </w:rPr>
      </w:pPr>
      <w:r>
        <w:rPr>
          <w:sz w:val="21"/>
          <w:szCs w:val="21"/>
        </w:rPr>
        <w:t xml:space="preserve">7. 本协议书自签署之日起生效，未中标或者中标合同履行完毕后自动失效。 </w:t>
      </w:r>
      <w:r>
        <w:rPr>
          <w:spacing w:val="-2"/>
          <w:sz w:val="21"/>
          <w:szCs w:val="21"/>
        </w:rPr>
        <w:t>8. 本协议书一式</w:t>
      </w:r>
      <w:r>
        <w:rPr>
          <w:spacing w:val="-81"/>
          <w:sz w:val="21"/>
          <w:szCs w:val="21"/>
        </w:rPr>
        <w:t xml:space="preserve"> </w:t>
      </w:r>
      <w:r>
        <w:rPr>
          <w:spacing w:val="-2"/>
          <w:sz w:val="21"/>
          <w:szCs w:val="21"/>
          <w:u w:val="single" w:color="auto"/>
        </w:rPr>
        <w:t xml:space="preserve">      </w:t>
      </w:r>
      <w:r>
        <w:rPr>
          <w:spacing w:val="-2"/>
          <w:sz w:val="21"/>
          <w:szCs w:val="21"/>
        </w:rPr>
        <w:t>份，甲方和乙方各执一份。</w:t>
      </w:r>
    </w:p>
    <w:p w14:paraId="02C1FE11">
      <w:pPr>
        <w:spacing w:before="223"/>
      </w:pPr>
    </w:p>
    <w:p w14:paraId="058FC485">
      <w:pPr>
        <w:sectPr>
          <w:footerReference r:id="rId367" w:type="default"/>
          <w:pgSz w:w="11910" w:h="16840"/>
          <w:pgMar w:top="400" w:right="1528" w:bottom="1147" w:left="1460" w:header="0" w:footer="1021" w:gutter="0"/>
          <w:cols w:equalWidth="0" w:num="1">
            <w:col w:w="8922"/>
          </w:cols>
        </w:sectPr>
      </w:pPr>
    </w:p>
    <w:p w14:paraId="3A13FE14">
      <w:pPr>
        <w:pStyle w:val="2"/>
        <w:spacing w:before="46" w:line="231" w:lineRule="auto"/>
        <w:ind w:left="419"/>
        <w:rPr>
          <w:sz w:val="21"/>
          <w:szCs w:val="21"/>
        </w:rPr>
      </w:pPr>
      <w:r>
        <w:rPr>
          <w:spacing w:val="4"/>
          <w:position w:val="-1"/>
          <w:sz w:val="21"/>
          <w:szCs w:val="21"/>
        </w:rPr>
        <w:t>甲  方：</w:t>
      </w:r>
      <w:r>
        <w:rPr>
          <w:position w:val="-1"/>
          <w:sz w:val="21"/>
          <w:szCs w:val="21"/>
          <w:u w:val="single" w:color="auto"/>
        </w:rPr>
        <w:t xml:space="preserve">                 </w:t>
      </w:r>
      <w:r>
        <w:rPr>
          <w:spacing w:val="4"/>
          <w:position w:val="-1"/>
          <w:sz w:val="21"/>
          <w:szCs w:val="21"/>
        </w:rPr>
        <w:t xml:space="preserve"> </w:t>
      </w:r>
      <w:r>
        <w:rPr>
          <w:spacing w:val="4"/>
          <w:sz w:val="21"/>
          <w:szCs w:val="21"/>
        </w:rPr>
        <w:t>(盖单位章)</w:t>
      </w:r>
    </w:p>
    <w:p w14:paraId="5B4F8A89">
      <w:pPr>
        <w:spacing w:line="446" w:lineRule="auto"/>
        <w:rPr>
          <w:rFonts w:ascii="Arial"/>
          <w:sz w:val="21"/>
        </w:rPr>
      </w:pPr>
    </w:p>
    <w:p w14:paraId="6C23C03B">
      <w:pPr>
        <w:pStyle w:val="2"/>
        <w:spacing w:before="68" w:line="224" w:lineRule="auto"/>
        <w:ind w:left="419"/>
        <w:rPr>
          <w:sz w:val="21"/>
          <w:szCs w:val="21"/>
        </w:rPr>
      </w:pPr>
      <w:r>
        <w:rPr>
          <w:spacing w:val="-3"/>
          <w:sz w:val="21"/>
          <w:szCs w:val="21"/>
        </w:rPr>
        <w:t>法定代表人或其委托人：_</w:t>
      </w:r>
      <w:r>
        <w:rPr>
          <w:spacing w:val="-83"/>
          <w:sz w:val="21"/>
          <w:szCs w:val="21"/>
        </w:rPr>
        <w:t xml:space="preserve"> </w:t>
      </w:r>
      <w:r>
        <w:rPr>
          <w:spacing w:val="-3"/>
          <w:sz w:val="21"/>
          <w:szCs w:val="21"/>
          <w:u w:val="single" w:color="auto"/>
        </w:rPr>
        <w:t xml:space="preserve">       </w:t>
      </w:r>
      <w:r>
        <w:rPr>
          <w:spacing w:val="-3"/>
          <w:sz w:val="21"/>
          <w:szCs w:val="21"/>
        </w:rPr>
        <w:t xml:space="preserve"> </w:t>
      </w:r>
      <w:r>
        <w:rPr>
          <w:spacing w:val="-3"/>
          <w:position w:val="1"/>
          <w:sz w:val="21"/>
          <w:szCs w:val="21"/>
        </w:rPr>
        <w:t>(签字)</w:t>
      </w:r>
    </w:p>
    <w:p w14:paraId="78CF9973">
      <w:pPr>
        <w:spacing w:line="14" w:lineRule="exact"/>
      </w:pPr>
    </w:p>
    <w:p w14:paraId="1075B23B">
      <w:pPr>
        <w:spacing w:line="14" w:lineRule="auto"/>
        <w:rPr>
          <w:rFonts w:ascii="Arial"/>
          <w:sz w:val="2"/>
        </w:rPr>
      </w:pPr>
      <w:r>
        <w:rPr>
          <w:rFonts w:ascii="Arial" w:hAnsi="Arial" w:eastAsia="Arial" w:cs="Arial"/>
          <w:sz w:val="2"/>
          <w:szCs w:val="2"/>
        </w:rPr>
        <w:br w:type="column"/>
      </w:r>
    </w:p>
    <w:p w14:paraId="2624364D">
      <w:pPr>
        <w:pStyle w:val="2"/>
        <w:spacing w:before="45" w:line="213" w:lineRule="auto"/>
        <w:ind w:left="22"/>
        <w:rPr>
          <w:sz w:val="21"/>
          <w:szCs w:val="21"/>
        </w:rPr>
      </w:pPr>
      <w:r>
        <w:rPr>
          <w:i/>
          <w:iCs/>
          <w:spacing w:val="-4"/>
          <w:sz w:val="22"/>
          <w:szCs w:val="22"/>
        </w:rPr>
        <w:t>乙</w:t>
      </w:r>
      <w:r>
        <w:rPr>
          <w:spacing w:val="19"/>
          <w:sz w:val="22"/>
          <w:szCs w:val="22"/>
        </w:rPr>
        <w:t xml:space="preserve">  </w:t>
      </w:r>
      <w:r>
        <w:rPr>
          <w:i/>
          <w:iCs/>
          <w:spacing w:val="-4"/>
          <w:sz w:val="22"/>
          <w:szCs w:val="22"/>
        </w:rPr>
        <w:t>方：</w:t>
      </w:r>
      <w:r>
        <w:rPr>
          <w:spacing w:val="-4"/>
          <w:sz w:val="22"/>
          <w:szCs w:val="22"/>
          <w:u w:val="single" w:color="auto"/>
        </w:rPr>
        <w:t xml:space="preserve">               </w:t>
      </w:r>
      <w:r>
        <w:rPr>
          <w:spacing w:val="-40"/>
          <w:sz w:val="22"/>
          <w:szCs w:val="22"/>
        </w:rPr>
        <w:t xml:space="preserve"> </w:t>
      </w:r>
      <w:r>
        <w:rPr>
          <w:spacing w:val="-4"/>
          <w:sz w:val="21"/>
          <w:szCs w:val="21"/>
        </w:rPr>
        <w:t>(盖单位章)</w:t>
      </w:r>
    </w:p>
    <w:p w14:paraId="60BE5314">
      <w:pPr>
        <w:spacing w:line="465" w:lineRule="auto"/>
        <w:rPr>
          <w:rFonts w:ascii="Arial"/>
          <w:sz w:val="21"/>
        </w:rPr>
      </w:pPr>
    </w:p>
    <w:p w14:paraId="39B9831E">
      <w:pPr>
        <w:pStyle w:val="2"/>
        <w:spacing w:before="68" w:line="228" w:lineRule="auto"/>
        <w:rPr>
          <w:sz w:val="21"/>
          <w:szCs w:val="21"/>
        </w:rPr>
      </w:pPr>
      <w:r>
        <w:rPr>
          <w:spacing w:val="1"/>
          <w:sz w:val="21"/>
          <w:szCs w:val="21"/>
        </w:rPr>
        <w:t>法定代表人或其委托人：</w:t>
      </w:r>
      <w:r>
        <w:rPr>
          <w:spacing w:val="10"/>
          <w:sz w:val="21"/>
          <w:szCs w:val="21"/>
          <w:u w:val="single" w:color="auto"/>
        </w:rPr>
        <w:t xml:space="preserve">      </w:t>
      </w:r>
      <w:r>
        <w:rPr>
          <w:spacing w:val="-26"/>
          <w:sz w:val="21"/>
          <w:szCs w:val="21"/>
        </w:rPr>
        <w:t xml:space="preserve"> </w:t>
      </w:r>
      <w:r>
        <w:rPr>
          <w:spacing w:val="1"/>
          <w:sz w:val="21"/>
          <w:szCs w:val="21"/>
        </w:rPr>
        <w:t>(签字)</w:t>
      </w:r>
    </w:p>
    <w:p w14:paraId="31C74E46">
      <w:pPr>
        <w:spacing w:line="228" w:lineRule="auto"/>
        <w:rPr>
          <w:sz w:val="21"/>
          <w:szCs w:val="21"/>
        </w:rPr>
        <w:sectPr>
          <w:type w:val="continuous"/>
          <w:pgSz w:w="11910" w:h="16840"/>
          <w:pgMar w:top="400" w:right="1528" w:bottom="1147" w:left="1460" w:header="0" w:footer="1021" w:gutter="0"/>
          <w:cols w:equalWidth="0" w:num="2">
            <w:col w:w="4740" w:space="100"/>
            <w:col w:w="4082"/>
          </w:cols>
        </w:sectPr>
      </w:pPr>
    </w:p>
    <w:p w14:paraId="38E3D0B3">
      <w:pPr>
        <w:spacing w:line="446" w:lineRule="auto"/>
        <w:rPr>
          <w:rFonts w:ascii="Arial"/>
          <w:sz w:val="21"/>
        </w:rPr>
      </w:pPr>
    </w:p>
    <w:p w14:paraId="23A455AC">
      <w:pPr>
        <w:pStyle w:val="2"/>
        <w:spacing w:before="72" w:line="231" w:lineRule="auto"/>
        <w:ind w:left="4862"/>
        <w:rPr>
          <w:sz w:val="21"/>
          <w:szCs w:val="21"/>
        </w:rPr>
      </w:pPr>
      <w:r>
        <w:rPr>
          <w:i/>
          <w:iCs/>
          <w:spacing w:val="-6"/>
          <w:position w:val="-1"/>
          <w:sz w:val="22"/>
          <w:szCs w:val="22"/>
        </w:rPr>
        <w:t>乙</w:t>
      </w:r>
      <w:r>
        <w:rPr>
          <w:spacing w:val="21"/>
          <w:position w:val="-1"/>
          <w:sz w:val="22"/>
          <w:szCs w:val="22"/>
        </w:rPr>
        <w:t xml:space="preserve">  </w:t>
      </w:r>
      <w:r>
        <w:rPr>
          <w:i/>
          <w:iCs/>
          <w:spacing w:val="-6"/>
          <w:position w:val="-1"/>
          <w:sz w:val="22"/>
          <w:szCs w:val="22"/>
        </w:rPr>
        <w:t>方：</w:t>
      </w:r>
      <w:r>
        <w:rPr>
          <w:spacing w:val="2"/>
          <w:position w:val="-1"/>
          <w:sz w:val="22"/>
          <w:szCs w:val="22"/>
          <w:u w:val="single" w:color="auto"/>
        </w:rPr>
        <w:t xml:space="preserve">               </w:t>
      </w:r>
      <w:r>
        <w:rPr>
          <w:spacing w:val="-6"/>
          <w:position w:val="-1"/>
          <w:sz w:val="22"/>
          <w:szCs w:val="22"/>
        </w:rPr>
        <w:t xml:space="preserve"> </w:t>
      </w:r>
      <w:r>
        <w:rPr>
          <w:spacing w:val="-6"/>
          <w:sz w:val="21"/>
          <w:szCs w:val="21"/>
        </w:rPr>
        <w:t>(盖单位章)</w:t>
      </w:r>
    </w:p>
    <w:p w14:paraId="6A0F3A92">
      <w:pPr>
        <w:spacing w:line="434" w:lineRule="auto"/>
        <w:rPr>
          <w:rFonts w:ascii="Arial"/>
          <w:sz w:val="21"/>
        </w:rPr>
      </w:pPr>
    </w:p>
    <w:p w14:paraId="71B582DA">
      <w:pPr>
        <w:pStyle w:val="2"/>
        <w:spacing w:before="68" w:line="228" w:lineRule="auto"/>
        <w:ind w:left="4839"/>
        <w:rPr>
          <w:sz w:val="21"/>
          <w:szCs w:val="21"/>
        </w:rPr>
      </w:pPr>
      <w:r>
        <w:rPr>
          <w:spacing w:val="1"/>
          <w:sz w:val="21"/>
          <w:szCs w:val="21"/>
        </w:rPr>
        <w:t>法定代表人或其委托人：</w:t>
      </w:r>
      <w:r>
        <w:rPr>
          <w:spacing w:val="10"/>
          <w:sz w:val="21"/>
          <w:szCs w:val="21"/>
          <w:u w:val="single" w:color="auto"/>
        </w:rPr>
        <w:t xml:space="preserve">      </w:t>
      </w:r>
      <w:r>
        <w:rPr>
          <w:spacing w:val="-26"/>
          <w:sz w:val="21"/>
          <w:szCs w:val="21"/>
        </w:rPr>
        <w:t xml:space="preserve"> </w:t>
      </w:r>
      <w:r>
        <w:rPr>
          <w:spacing w:val="1"/>
          <w:sz w:val="21"/>
          <w:szCs w:val="21"/>
        </w:rPr>
        <w:t>(签字)</w:t>
      </w:r>
    </w:p>
    <w:p w14:paraId="1DC31A62">
      <w:pPr>
        <w:spacing w:line="461" w:lineRule="auto"/>
        <w:rPr>
          <w:rFonts w:ascii="Arial"/>
          <w:sz w:val="21"/>
        </w:rPr>
      </w:pPr>
    </w:p>
    <w:p w14:paraId="1F3E1BD5">
      <w:pPr>
        <w:pStyle w:val="2"/>
        <w:spacing w:before="69" w:line="233" w:lineRule="auto"/>
        <w:ind w:left="5389"/>
        <w:rPr>
          <w:sz w:val="21"/>
          <w:szCs w:val="21"/>
        </w:rPr>
      </w:pPr>
      <w:r>
        <w:rPr>
          <w:rFonts w:ascii="黑体" w:hAnsi="黑体" w:eastAsia="黑体" w:cs="黑体"/>
          <w:spacing w:val="-20"/>
          <w:position w:val="-2"/>
          <w:sz w:val="17"/>
          <w:szCs w:val="17"/>
        </w:rPr>
        <w:t>日</w:t>
      </w:r>
      <w:r>
        <w:rPr>
          <w:rFonts w:ascii="黑体" w:hAnsi="黑体" w:eastAsia="黑体" w:cs="黑体"/>
          <w:spacing w:val="-13"/>
          <w:position w:val="-2"/>
          <w:sz w:val="17"/>
          <w:szCs w:val="17"/>
        </w:rPr>
        <w:t xml:space="preserve"> </w:t>
      </w:r>
      <w:r>
        <w:rPr>
          <w:rFonts w:ascii="黑体" w:hAnsi="黑体" w:eastAsia="黑体" w:cs="黑体"/>
          <w:spacing w:val="-20"/>
          <w:position w:val="-2"/>
          <w:sz w:val="17"/>
          <w:szCs w:val="17"/>
        </w:rPr>
        <w:t>期 ：</w:t>
      </w:r>
      <w:r>
        <w:rPr>
          <w:rFonts w:ascii="黑体" w:hAnsi="黑体" w:eastAsia="黑体" w:cs="黑体"/>
          <w:spacing w:val="-20"/>
          <w:position w:val="-2"/>
          <w:sz w:val="17"/>
          <w:szCs w:val="17"/>
          <w:u w:val="single" w:color="auto"/>
        </w:rPr>
        <w:t xml:space="preserve">         </w:t>
      </w:r>
      <w:r>
        <w:rPr>
          <w:rFonts w:ascii="黑体" w:hAnsi="黑体" w:eastAsia="黑体" w:cs="黑体"/>
          <w:spacing w:val="-85"/>
          <w:position w:val="-2"/>
          <w:sz w:val="17"/>
          <w:szCs w:val="17"/>
        </w:rPr>
        <w:t xml:space="preserve"> </w:t>
      </w:r>
      <w:r>
        <w:rPr>
          <w:spacing w:val="-20"/>
          <w:position w:val="1"/>
          <w:sz w:val="21"/>
          <w:szCs w:val="21"/>
        </w:rPr>
        <w:t>年</w:t>
      </w:r>
      <w:r>
        <w:rPr>
          <w:spacing w:val="10"/>
          <w:position w:val="1"/>
          <w:sz w:val="21"/>
          <w:szCs w:val="21"/>
          <w:u w:val="single" w:color="auto"/>
        </w:rPr>
        <w:t xml:space="preserve">    </w:t>
      </w:r>
      <w:r>
        <w:rPr>
          <w:spacing w:val="-20"/>
          <w:position w:val="1"/>
          <w:sz w:val="21"/>
          <w:szCs w:val="21"/>
        </w:rPr>
        <w:t>月</w:t>
      </w:r>
      <w:r>
        <w:rPr>
          <w:spacing w:val="-20"/>
          <w:position w:val="1"/>
          <w:sz w:val="21"/>
          <w:szCs w:val="21"/>
          <w:u w:val="single" w:color="auto"/>
        </w:rPr>
        <w:t xml:space="preserve">     </w:t>
      </w:r>
      <w:r>
        <w:rPr>
          <w:spacing w:val="-81"/>
          <w:position w:val="1"/>
          <w:sz w:val="21"/>
          <w:szCs w:val="21"/>
        </w:rPr>
        <w:t xml:space="preserve"> </w:t>
      </w:r>
      <w:r>
        <w:rPr>
          <w:spacing w:val="-20"/>
          <w:position w:val="1"/>
          <w:sz w:val="21"/>
          <w:szCs w:val="21"/>
        </w:rPr>
        <w:t>日</w:t>
      </w:r>
    </w:p>
    <w:p w14:paraId="5EDCFBC9">
      <w:pPr>
        <w:spacing w:line="293" w:lineRule="auto"/>
        <w:rPr>
          <w:rFonts w:ascii="Arial"/>
          <w:sz w:val="21"/>
        </w:rPr>
      </w:pPr>
    </w:p>
    <w:p w14:paraId="11BA949C">
      <w:pPr>
        <w:spacing w:line="293" w:lineRule="auto"/>
        <w:rPr>
          <w:rFonts w:ascii="Arial"/>
          <w:sz w:val="21"/>
        </w:rPr>
      </w:pPr>
    </w:p>
    <w:p w14:paraId="495A362D">
      <w:pPr>
        <w:spacing w:line="294" w:lineRule="auto"/>
        <w:rPr>
          <w:rFonts w:ascii="Arial"/>
          <w:sz w:val="21"/>
        </w:rPr>
      </w:pPr>
    </w:p>
    <w:p w14:paraId="613CF038">
      <w:pPr>
        <w:pStyle w:val="2"/>
        <w:spacing w:before="69" w:line="356" w:lineRule="auto"/>
        <w:ind w:left="840" w:right="46" w:hanging="840"/>
        <w:rPr>
          <w:sz w:val="21"/>
          <w:szCs w:val="21"/>
        </w:rPr>
      </w:pPr>
      <w:r>
        <w:rPr>
          <w:spacing w:val="1"/>
          <w:sz w:val="21"/>
          <w:szCs w:val="21"/>
        </w:rPr>
        <w:t>备注：1.本分包意向协议书适用于政府采购工程，可以分开签署。协议书由委托代理人签字的，</w:t>
      </w:r>
      <w:r>
        <w:rPr>
          <w:spacing w:val="11"/>
          <w:sz w:val="21"/>
          <w:szCs w:val="21"/>
        </w:rPr>
        <w:t xml:space="preserve"> </w:t>
      </w:r>
      <w:r>
        <w:rPr>
          <w:spacing w:val="-3"/>
          <w:sz w:val="21"/>
          <w:szCs w:val="21"/>
        </w:rPr>
        <w:t>应附法定代表人签字的授权委托书。</w:t>
      </w:r>
    </w:p>
    <w:p w14:paraId="102AC80F">
      <w:pPr>
        <w:pStyle w:val="2"/>
        <w:spacing w:before="1" w:line="280" w:lineRule="auto"/>
        <w:ind w:left="839" w:hanging="220"/>
        <w:rPr>
          <w:sz w:val="21"/>
          <w:szCs w:val="21"/>
        </w:rPr>
      </w:pPr>
      <w:r>
        <w:rPr>
          <w:spacing w:val="8"/>
          <w:sz w:val="21"/>
          <w:szCs w:val="21"/>
        </w:rPr>
        <w:t>2.政府采购工程投标人未采用向中小(小微)企业分包的形式参加投标的，投标文件中不</w:t>
      </w:r>
      <w:r>
        <w:rPr>
          <w:sz w:val="21"/>
          <w:szCs w:val="21"/>
        </w:rPr>
        <w:t xml:space="preserve"> </w:t>
      </w:r>
      <w:r>
        <w:rPr>
          <w:spacing w:val="-2"/>
          <w:sz w:val="21"/>
          <w:szCs w:val="21"/>
        </w:rPr>
        <w:t>需分包意向协议书，也无须盖单位章和签字。</w:t>
      </w:r>
    </w:p>
    <w:p w14:paraId="04FBE245">
      <w:pPr>
        <w:pStyle w:val="2"/>
        <w:spacing w:before="153" w:line="325" w:lineRule="auto"/>
        <w:ind w:left="839" w:right="21" w:hanging="220"/>
        <w:rPr>
          <w:sz w:val="21"/>
          <w:szCs w:val="21"/>
        </w:rPr>
      </w:pPr>
      <w:r>
        <w:rPr>
          <w:spacing w:val="2"/>
          <w:sz w:val="21"/>
          <w:szCs w:val="21"/>
        </w:rPr>
        <w:t>3.政府采购工程部分预留专门面向中小企业采购的项目，招标人要求大企业向中小企业分</w:t>
      </w:r>
      <w:r>
        <w:rPr>
          <w:spacing w:val="7"/>
          <w:sz w:val="21"/>
          <w:szCs w:val="21"/>
        </w:rPr>
        <w:t xml:space="preserve"> </w:t>
      </w:r>
      <w:r>
        <w:rPr>
          <w:spacing w:val="2"/>
          <w:sz w:val="21"/>
          <w:szCs w:val="21"/>
        </w:rPr>
        <w:t>包的形式参加投标，且接受分包的中小企业承担的部分达到一定比例的，分包意向协议 书应当按照第二章投标人须知附录二“政府采购工程预留工作及金额”的范围，明确接</w:t>
      </w:r>
      <w:r>
        <w:rPr>
          <w:sz w:val="21"/>
          <w:szCs w:val="21"/>
        </w:rPr>
        <w:t xml:space="preserve"> </w:t>
      </w:r>
      <w:r>
        <w:rPr>
          <w:spacing w:val="2"/>
          <w:sz w:val="21"/>
          <w:szCs w:val="21"/>
        </w:rPr>
        <w:t>受分包的中小企业承担的合同工作内容、合同金额及合同金额与项目合同金额的</w:t>
      </w:r>
      <w:r>
        <w:rPr>
          <w:spacing w:val="1"/>
          <w:sz w:val="21"/>
          <w:szCs w:val="21"/>
        </w:rPr>
        <w:t>占比。</w:t>
      </w:r>
      <w:r>
        <w:rPr>
          <w:sz w:val="21"/>
          <w:szCs w:val="21"/>
        </w:rPr>
        <w:t xml:space="preserve"> </w:t>
      </w:r>
      <w:r>
        <w:rPr>
          <w:spacing w:val="-1"/>
          <w:sz w:val="21"/>
          <w:szCs w:val="21"/>
        </w:rPr>
        <w:t>同时，声明接受分包的中小企业与分包企业之间是否存在直接控股、管理关系。</w:t>
      </w:r>
    </w:p>
    <w:p w14:paraId="6FB520FD">
      <w:pPr>
        <w:pStyle w:val="2"/>
        <w:spacing w:before="172" w:line="318" w:lineRule="auto"/>
        <w:ind w:left="839" w:right="8" w:hanging="220"/>
        <w:rPr>
          <w:sz w:val="21"/>
          <w:szCs w:val="21"/>
        </w:rPr>
      </w:pPr>
      <w:r>
        <w:rPr>
          <w:spacing w:val="2"/>
          <w:sz w:val="21"/>
          <w:szCs w:val="21"/>
        </w:rPr>
        <w:t>4.政府采购工程未预留份额专门面向中小企业采购的项目，招标人允许大中型企业以向一</w:t>
      </w:r>
      <w:r>
        <w:rPr>
          <w:spacing w:val="10"/>
          <w:sz w:val="21"/>
          <w:szCs w:val="21"/>
        </w:rPr>
        <w:t xml:space="preserve"> </w:t>
      </w:r>
      <w:r>
        <w:rPr>
          <w:spacing w:val="2"/>
          <w:sz w:val="21"/>
          <w:szCs w:val="21"/>
        </w:rPr>
        <w:t>家或者多家小微企业分包的形式参加投标，且接受分包的小微企业承担的部分达到一定</w:t>
      </w:r>
      <w:r>
        <w:rPr>
          <w:spacing w:val="7"/>
          <w:sz w:val="21"/>
          <w:szCs w:val="21"/>
        </w:rPr>
        <w:t xml:space="preserve"> </w:t>
      </w:r>
      <w:r>
        <w:rPr>
          <w:spacing w:val="2"/>
          <w:sz w:val="21"/>
          <w:szCs w:val="21"/>
        </w:rPr>
        <w:t>比例可享受价格扣除或增加价格分优惠政策的，分包意向协议书应当明确接受分包的小</w:t>
      </w:r>
      <w:r>
        <w:rPr>
          <w:spacing w:val="10"/>
          <w:sz w:val="21"/>
          <w:szCs w:val="21"/>
        </w:rPr>
        <w:t xml:space="preserve"> </w:t>
      </w:r>
      <w:r>
        <w:rPr>
          <w:spacing w:val="2"/>
          <w:sz w:val="21"/>
          <w:szCs w:val="21"/>
        </w:rPr>
        <w:t>微企业承担的合同工作内容、合同金额及合同金额与项目合同金额的占比。同时，声明</w:t>
      </w:r>
      <w:r>
        <w:rPr>
          <w:spacing w:val="16"/>
          <w:sz w:val="21"/>
          <w:szCs w:val="21"/>
        </w:rPr>
        <w:t xml:space="preserve"> </w:t>
      </w:r>
      <w:r>
        <w:rPr>
          <w:spacing w:val="-1"/>
          <w:sz w:val="21"/>
          <w:szCs w:val="21"/>
        </w:rPr>
        <w:t>接受分包的小微企业与分包企业之间是否存在直接控股、管理关系。</w:t>
      </w:r>
    </w:p>
    <w:p w14:paraId="60F7EAB6">
      <w:pPr>
        <w:pStyle w:val="2"/>
        <w:spacing w:before="160" w:line="296" w:lineRule="auto"/>
        <w:ind w:left="839" w:right="17" w:hanging="220"/>
        <w:rPr>
          <w:sz w:val="21"/>
          <w:szCs w:val="21"/>
        </w:rPr>
      </w:pPr>
      <w:r>
        <w:rPr>
          <w:spacing w:val="8"/>
          <w:sz w:val="21"/>
          <w:szCs w:val="21"/>
        </w:rPr>
        <w:t>5.分包意向协议书后附接受分包的中小(小微)</w:t>
      </w:r>
      <w:r>
        <w:rPr>
          <w:spacing w:val="7"/>
          <w:sz w:val="21"/>
          <w:szCs w:val="21"/>
        </w:rPr>
        <w:t>企业，能够承担分包工作所需的有效的营</w:t>
      </w:r>
      <w:r>
        <w:rPr>
          <w:sz w:val="21"/>
          <w:szCs w:val="21"/>
        </w:rPr>
        <w:t xml:space="preserve"> </w:t>
      </w:r>
      <w:r>
        <w:rPr>
          <w:spacing w:val="7"/>
          <w:sz w:val="21"/>
          <w:szCs w:val="21"/>
        </w:rPr>
        <w:t>业执照、企业资质证书(如需)、安全生产许可证(如需)、项目负责人资格证件的扫描</w:t>
      </w:r>
      <w:r>
        <w:rPr>
          <w:spacing w:val="17"/>
          <w:sz w:val="21"/>
          <w:szCs w:val="21"/>
        </w:rPr>
        <w:t xml:space="preserve"> </w:t>
      </w:r>
      <w:r>
        <w:rPr>
          <w:spacing w:val="-10"/>
          <w:sz w:val="21"/>
          <w:szCs w:val="21"/>
        </w:rPr>
        <w:t>件。</w:t>
      </w:r>
    </w:p>
    <w:p w14:paraId="18934427">
      <w:pPr>
        <w:spacing w:line="296" w:lineRule="auto"/>
        <w:rPr>
          <w:sz w:val="21"/>
          <w:szCs w:val="21"/>
        </w:rPr>
        <w:sectPr>
          <w:type w:val="continuous"/>
          <w:pgSz w:w="11910" w:h="16840"/>
          <w:pgMar w:top="400" w:right="1528" w:bottom="1147" w:left="1460" w:header="0" w:footer="1021" w:gutter="0"/>
          <w:cols w:equalWidth="0" w:num="1">
            <w:col w:w="8922"/>
          </w:cols>
        </w:sectPr>
      </w:pPr>
    </w:p>
    <w:p w14:paraId="291997D9">
      <w:pPr>
        <w:spacing w:line="254" w:lineRule="auto"/>
        <w:rPr>
          <w:rFonts w:ascii="Arial"/>
          <w:sz w:val="21"/>
        </w:rPr>
      </w:pPr>
    </w:p>
    <w:p w14:paraId="53F11363">
      <w:pPr>
        <w:spacing w:line="254" w:lineRule="auto"/>
        <w:rPr>
          <w:rFonts w:ascii="Arial"/>
          <w:sz w:val="21"/>
        </w:rPr>
      </w:pPr>
    </w:p>
    <w:p w14:paraId="4D88E9D9">
      <w:pPr>
        <w:spacing w:line="255" w:lineRule="auto"/>
        <w:rPr>
          <w:rFonts w:ascii="Arial"/>
          <w:sz w:val="21"/>
        </w:rPr>
      </w:pPr>
    </w:p>
    <w:p w14:paraId="57D2420A">
      <w:pPr>
        <w:spacing w:line="255" w:lineRule="auto"/>
        <w:rPr>
          <w:rFonts w:ascii="Arial"/>
          <w:sz w:val="21"/>
        </w:rPr>
      </w:pPr>
    </w:p>
    <w:p w14:paraId="5904BA6D">
      <w:pPr>
        <w:spacing w:line="255" w:lineRule="auto"/>
        <w:rPr>
          <w:rFonts w:ascii="Arial"/>
          <w:sz w:val="21"/>
        </w:rPr>
      </w:pPr>
    </w:p>
    <w:p w14:paraId="43FDA081">
      <w:pPr>
        <w:spacing w:line="255" w:lineRule="auto"/>
        <w:rPr>
          <w:rFonts w:ascii="Arial"/>
          <w:sz w:val="21"/>
        </w:rPr>
      </w:pPr>
    </w:p>
    <w:p w14:paraId="05B8F3EF">
      <w:pPr>
        <w:spacing w:line="255" w:lineRule="auto"/>
        <w:rPr>
          <w:rFonts w:ascii="Arial"/>
          <w:sz w:val="21"/>
        </w:rPr>
      </w:pPr>
    </w:p>
    <w:p w14:paraId="7047AA80">
      <w:pPr>
        <w:spacing w:before="91" w:line="221" w:lineRule="auto"/>
        <w:ind w:left="3203"/>
        <w:rPr>
          <w:rFonts w:ascii="黑体" w:hAnsi="黑体" w:eastAsia="黑体" w:cs="黑体"/>
          <w:sz w:val="28"/>
          <w:szCs w:val="28"/>
        </w:rPr>
      </w:pPr>
      <w:r>
        <w:rPr>
          <w:rFonts w:ascii="黑体" w:hAnsi="黑体" w:eastAsia="黑体" w:cs="黑体"/>
          <w:b/>
          <w:bCs/>
          <w:spacing w:val="-1"/>
          <w:sz w:val="28"/>
          <w:szCs w:val="28"/>
        </w:rPr>
        <w:t>七、中小企业声明函</w:t>
      </w:r>
    </w:p>
    <w:p w14:paraId="13DF1E74">
      <w:pPr>
        <w:pStyle w:val="2"/>
        <w:tabs>
          <w:tab w:val="left" w:pos="2218"/>
        </w:tabs>
        <w:spacing w:before="119" w:line="220" w:lineRule="auto"/>
        <w:rPr>
          <w:sz w:val="21"/>
          <w:szCs w:val="21"/>
        </w:rPr>
      </w:pPr>
      <w:r>
        <w:rPr>
          <w:sz w:val="21"/>
          <w:szCs w:val="21"/>
          <w:u w:val="single" w:color="auto"/>
        </w:rPr>
        <w:tab/>
      </w:r>
      <w:r>
        <w:rPr>
          <w:spacing w:val="6"/>
          <w:sz w:val="21"/>
          <w:szCs w:val="21"/>
        </w:rPr>
        <w:t xml:space="preserve"> </w:t>
      </w:r>
      <w:r>
        <w:rPr>
          <w:spacing w:val="2"/>
          <w:sz w:val="21"/>
          <w:szCs w:val="21"/>
        </w:rPr>
        <w:t>(招标人名称):</w:t>
      </w:r>
    </w:p>
    <w:p w14:paraId="7A027988">
      <w:pPr>
        <w:pStyle w:val="2"/>
        <w:spacing w:before="149" w:line="344" w:lineRule="auto"/>
        <w:ind w:right="82" w:firstLine="419"/>
        <w:jc w:val="both"/>
        <w:rPr>
          <w:sz w:val="21"/>
          <w:szCs w:val="21"/>
        </w:rPr>
      </w:pPr>
      <w:r>
        <w:rPr>
          <w:spacing w:val="9"/>
          <w:sz w:val="21"/>
          <w:szCs w:val="21"/>
        </w:rPr>
        <w:t>本公司(联合体)郑重声明，根据《政府采购促进中小企业发展管理办法》(财库(2020)46</w:t>
      </w:r>
      <w:r>
        <w:rPr>
          <w:spacing w:val="8"/>
          <w:sz w:val="21"/>
          <w:szCs w:val="21"/>
        </w:rPr>
        <w:t xml:space="preserve"> </w:t>
      </w:r>
      <w:r>
        <w:rPr>
          <w:spacing w:val="15"/>
          <w:sz w:val="21"/>
          <w:szCs w:val="21"/>
        </w:rPr>
        <w:t>号)的规定，本公司(联合体)参加</w:t>
      </w:r>
      <w:r>
        <w:rPr>
          <w:spacing w:val="-71"/>
          <w:sz w:val="21"/>
          <w:szCs w:val="21"/>
        </w:rPr>
        <w:t xml:space="preserve"> </w:t>
      </w:r>
      <w:r>
        <w:rPr>
          <w:spacing w:val="3"/>
          <w:sz w:val="21"/>
          <w:szCs w:val="21"/>
          <w:u w:val="single" w:color="auto"/>
        </w:rPr>
        <w:t xml:space="preserve">      </w:t>
      </w:r>
      <w:r>
        <w:rPr>
          <w:spacing w:val="15"/>
          <w:sz w:val="21"/>
          <w:szCs w:val="21"/>
        </w:rPr>
        <w:t xml:space="preserve"> (招标人名称)的</w:t>
      </w:r>
      <w:r>
        <w:rPr>
          <w:spacing w:val="-99"/>
          <w:sz w:val="21"/>
          <w:szCs w:val="21"/>
        </w:rPr>
        <w:t xml:space="preserve"> </w:t>
      </w:r>
      <w:r>
        <w:rPr>
          <w:sz w:val="21"/>
          <w:szCs w:val="21"/>
          <w:u w:val="single" w:color="auto"/>
        </w:rPr>
        <w:t xml:space="preserve">       </w:t>
      </w:r>
      <w:r>
        <w:rPr>
          <w:spacing w:val="-10"/>
          <w:sz w:val="21"/>
          <w:szCs w:val="21"/>
        </w:rPr>
        <w:t xml:space="preserve"> </w:t>
      </w:r>
      <w:r>
        <w:rPr>
          <w:spacing w:val="15"/>
          <w:sz w:val="21"/>
          <w:szCs w:val="21"/>
        </w:rPr>
        <w:t>(项目名称)</w:t>
      </w:r>
      <w:r>
        <w:rPr>
          <w:spacing w:val="-71"/>
          <w:sz w:val="21"/>
          <w:szCs w:val="21"/>
        </w:rPr>
        <w:t xml:space="preserve"> </w:t>
      </w:r>
      <w:r>
        <w:rPr>
          <w:spacing w:val="17"/>
          <w:sz w:val="21"/>
          <w:szCs w:val="21"/>
          <w:u w:val="single" w:color="auto"/>
        </w:rPr>
        <w:t xml:space="preserve">     </w:t>
      </w:r>
      <w:r>
        <w:rPr>
          <w:spacing w:val="-45"/>
          <w:sz w:val="21"/>
          <w:szCs w:val="21"/>
        </w:rPr>
        <w:t xml:space="preserve"> </w:t>
      </w:r>
      <w:r>
        <w:rPr>
          <w:spacing w:val="15"/>
          <w:sz w:val="21"/>
          <w:szCs w:val="21"/>
        </w:rPr>
        <w:t>(标段</w:t>
      </w:r>
      <w:r>
        <w:rPr>
          <w:sz w:val="21"/>
          <w:szCs w:val="21"/>
        </w:rPr>
        <w:t xml:space="preserve"> </w:t>
      </w:r>
      <w:r>
        <w:rPr>
          <w:spacing w:val="6"/>
          <w:sz w:val="21"/>
          <w:szCs w:val="21"/>
        </w:rPr>
        <w:t>名称)(以下简称本工程)施工招标投标活动，本工程招标范围内的</w:t>
      </w:r>
      <w:r>
        <w:rPr>
          <w:spacing w:val="-90"/>
          <w:sz w:val="21"/>
          <w:szCs w:val="21"/>
        </w:rPr>
        <w:t xml:space="preserve"> </w:t>
      </w:r>
      <w:r>
        <w:rPr>
          <w:spacing w:val="6"/>
          <w:sz w:val="21"/>
          <w:szCs w:val="21"/>
          <w:u w:val="single" w:color="auto"/>
        </w:rPr>
        <w:t xml:space="preserve">  全 部 / 部 分  </w:t>
      </w:r>
      <w:r>
        <w:rPr>
          <w:spacing w:val="-85"/>
          <w:sz w:val="21"/>
          <w:szCs w:val="21"/>
        </w:rPr>
        <w:t xml:space="preserve"> </w:t>
      </w:r>
      <w:r>
        <w:rPr>
          <w:spacing w:val="6"/>
          <w:sz w:val="21"/>
          <w:szCs w:val="21"/>
        </w:rPr>
        <w:t>内容为符</w:t>
      </w:r>
      <w:r>
        <w:rPr>
          <w:sz w:val="21"/>
          <w:szCs w:val="21"/>
        </w:rPr>
        <w:t xml:space="preserve"> </w:t>
      </w:r>
      <w:r>
        <w:rPr>
          <w:spacing w:val="5"/>
          <w:sz w:val="21"/>
          <w:szCs w:val="21"/>
        </w:rPr>
        <w:t>合政策要求的中小企业承建(承接)。相关企业(含联合体中的中小企业、签订分包意向协议的中</w:t>
      </w:r>
      <w:r>
        <w:rPr>
          <w:spacing w:val="11"/>
          <w:sz w:val="21"/>
          <w:szCs w:val="21"/>
        </w:rPr>
        <w:t xml:space="preserve"> </w:t>
      </w:r>
      <w:r>
        <w:rPr>
          <w:spacing w:val="4"/>
          <w:sz w:val="21"/>
          <w:szCs w:val="21"/>
        </w:rPr>
        <w:t>小企业)的具体情况如下：</w:t>
      </w:r>
    </w:p>
    <w:p w14:paraId="1E41E7B5">
      <w:pPr>
        <w:pStyle w:val="2"/>
        <w:tabs>
          <w:tab w:val="left" w:pos="128"/>
        </w:tabs>
        <w:spacing w:before="28" w:line="303" w:lineRule="auto"/>
        <w:ind w:right="78" w:firstLine="419"/>
        <w:rPr>
          <w:sz w:val="21"/>
          <w:szCs w:val="21"/>
        </w:rPr>
      </w:pPr>
      <w:r>
        <w:rPr>
          <w:rFonts w:ascii="Times New Roman" w:hAnsi="Times New Roman" w:eastAsia="Times New Roman" w:cs="Times New Roman"/>
          <w:spacing w:val="4"/>
          <w:sz w:val="21"/>
          <w:szCs w:val="21"/>
        </w:rPr>
        <w:t>1.</w:t>
      </w:r>
      <w:r>
        <w:rPr>
          <w:rFonts w:ascii="Times New Roman" w:hAnsi="Times New Roman" w:eastAsia="Times New Roman" w:cs="Times New Roman"/>
          <w:spacing w:val="25"/>
          <w:sz w:val="21"/>
          <w:szCs w:val="21"/>
        </w:rPr>
        <w:t xml:space="preserve"> </w:t>
      </w:r>
      <w:r>
        <w:rPr>
          <w:rFonts w:ascii="Times New Roman" w:hAnsi="Times New Roman" w:eastAsia="Times New Roman" w:cs="Times New Roman"/>
          <w:spacing w:val="4"/>
          <w:sz w:val="21"/>
          <w:szCs w:val="21"/>
          <w:u w:val="single" w:color="auto"/>
        </w:rPr>
        <w:t xml:space="preserve">                 </w:t>
      </w:r>
      <w:r>
        <w:rPr>
          <w:rFonts w:ascii="Times New Roman" w:hAnsi="Times New Roman" w:eastAsia="Times New Roman" w:cs="Times New Roman"/>
          <w:spacing w:val="4"/>
          <w:sz w:val="21"/>
          <w:szCs w:val="21"/>
        </w:rPr>
        <w:t xml:space="preserve">  </w:t>
      </w:r>
      <w:r>
        <w:rPr>
          <w:spacing w:val="4"/>
          <w:sz w:val="21"/>
          <w:szCs w:val="21"/>
        </w:rPr>
        <w:t>(工作内容名称)</w:t>
      </w:r>
      <w:r>
        <w:rPr>
          <w:spacing w:val="59"/>
          <w:sz w:val="21"/>
          <w:szCs w:val="21"/>
        </w:rPr>
        <w:t xml:space="preserve"> </w:t>
      </w:r>
      <w:r>
        <w:rPr>
          <w:spacing w:val="4"/>
          <w:sz w:val="21"/>
          <w:szCs w:val="21"/>
        </w:rPr>
        <w:t>,</w:t>
      </w:r>
      <w:r>
        <w:rPr>
          <w:spacing w:val="-36"/>
          <w:sz w:val="21"/>
          <w:szCs w:val="21"/>
        </w:rPr>
        <w:t xml:space="preserve"> </w:t>
      </w:r>
      <w:r>
        <w:rPr>
          <w:spacing w:val="4"/>
          <w:sz w:val="21"/>
          <w:szCs w:val="21"/>
        </w:rPr>
        <w:t>属</w:t>
      </w:r>
      <w:r>
        <w:rPr>
          <w:spacing w:val="-34"/>
          <w:sz w:val="21"/>
          <w:szCs w:val="21"/>
        </w:rPr>
        <w:t xml:space="preserve"> </w:t>
      </w:r>
      <w:r>
        <w:rPr>
          <w:spacing w:val="4"/>
          <w:sz w:val="21"/>
          <w:szCs w:val="21"/>
        </w:rPr>
        <w:t>于</w:t>
      </w:r>
      <w:r>
        <w:rPr>
          <w:spacing w:val="-97"/>
          <w:sz w:val="21"/>
          <w:szCs w:val="21"/>
        </w:rPr>
        <w:t xml:space="preserve"> </w:t>
      </w:r>
      <w:r>
        <w:rPr>
          <w:spacing w:val="4"/>
          <w:sz w:val="21"/>
          <w:szCs w:val="21"/>
          <w:u w:val="single" w:color="auto"/>
        </w:rPr>
        <w:t xml:space="preserve">             </w:t>
      </w:r>
      <w:r>
        <w:rPr>
          <w:spacing w:val="4"/>
          <w:sz w:val="21"/>
          <w:szCs w:val="21"/>
        </w:rPr>
        <w:t xml:space="preserve"> (招标文件中明确</w:t>
      </w:r>
      <w:r>
        <w:rPr>
          <w:spacing w:val="3"/>
          <w:sz w:val="21"/>
          <w:szCs w:val="21"/>
        </w:rPr>
        <w:t>的所属行业);承建</w:t>
      </w:r>
      <w:r>
        <w:rPr>
          <w:sz w:val="21"/>
          <w:szCs w:val="21"/>
        </w:rPr>
        <w:t xml:space="preserve"> </w:t>
      </w:r>
      <w:r>
        <w:rPr>
          <w:sz w:val="21"/>
          <w:szCs w:val="21"/>
        </w:rPr>
        <w:tab/>
      </w:r>
      <w:r>
        <w:rPr>
          <w:spacing w:val="10"/>
          <w:sz w:val="21"/>
          <w:szCs w:val="21"/>
        </w:rPr>
        <w:t>(承接)企业为</w:t>
      </w:r>
      <w:r>
        <w:rPr>
          <w:spacing w:val="10"/>
          <w:sz w:val="21"/>
          <w:szCs w:val="21"/>
          <w:u w:val="single" w:color="auto"/>
        </w:rPr>
        <w:t xml:space="preserve">             </w:t>
      </w:r>
      <w:r>
        <w:rPr>
          <w:spacing w:val="10"/>
          <w:sz w:val="21"/>
          <w:szCs w:val="21"/>
        </w:rPr>
        <w:t xml:space="preserve"> (企业名称),从业人员</w:t>
      </w:r>
      <w:r>
        <w:rPr>
          <w:spacing w:val="10"/>
          <w:sz w:val="21"/>
          <w:szCs w:val="21"/>
          <w:u w:val="single" w:color="auto"/>
        </w:rPr>
        <w:t xml:space="preserve">    </w:t>
      </w:r>
      <w:r>
        <w:rPr>
          <w:spacing w:val="-19"/>
          <w:sz w:val="21"/>
          <w:szCs w:val="21"/>
        </w:rPr>
        <w:t xml:space="preserve"> </w:t>
      </w:r>
      <w:r>
        <w:rPr>
          <w:spacing w:val="10"/>
          <w:sz w:val="21"/>
          <w:szCs w:val="21"/>
        </w:rPr>
        <w:t>人，营业收入为</w:t>
      </w:r>
      <w:r>
        <w:rPr>
          <w:spacing w:val="10"/>
          <w:sz w:val="21"/>
          <w:szCs w:val="21"/>
          <w:u w:val="single" w:color="auto"/>
        </w:rPr>
        <w:t xml:space="preserve">       </w:t>
      </w:r>
      <w:r>
        <w:rPr>
          <w:spacing w:val="10"/>
          <w:sz w:val="21"/>
          <w:szCs w:val="21"/>
        </w:rPr>
        <w:t>万元，资</w:t>
      </w:r>
      <w:r>
        <w:rPr>
          <w:sz w:val="21"/>
          <w:szCs w:val="21"/>
        </w:rPr>
        <w:t xml:space="preserve"> </w:t>
      </w:r>
      <w:r>
        <w:rPr>
          <w:spacing w:val="19"/>
          <w:sz w:val="21"/>
          <w:szCs w:val="21"/>
        </w:rPr>
        <w:t>产总额为</w:t>
      </w:r>
      <w:r>
        <w:rPr>
          <w:spacing w:val="-81"/>
          <w:sz w:val="21"/>
          <w:szCs w:val="21"/>
        </w:rPr>
        <w:t xml:space="preserve"> </w:t>
      </w:r>
      <w:r>
        <w:rPr>
          <w:sz w:val="21"/>
          <w:szCs w:val="21"/>
          <w:u w:val="single" w:color="auto"/>
        </w:rPr>
        <w:t xml:space="preserve">         </w:t>
      </w:r>
      <w:r>
        <w:rPr>
          <w:spacing w:val="-90"/>
          <w:sz w:val="21"/>
          <w:szCs w:val="21"/>
        </w:rPr>
        <w:t xml:space="preserve"> </w:t>
      </w:r>
      <w:r>
        <w:rPr>
          <w:spacing w:val="19"/>
          <w:sz w:val="21"/>
          <w:szCs w:val="21"/>
        </w:rPr>
        <w:t>万元，属于</w:t>
      </w:r>
      <w:r>
        <w:rPr>
          <w:spacing w:val="61"/>
          <w:sz w:val="21"/>
          <w:szCs w:val="21"/>
          <w:u w:val="single" w:color="auto"/>
        </w:rPr>
        <w:t xml:space="preserve"> </w:t>
      </w:r>
      <w:r>
        <w:rPr>
          <w:spacing w:val="19"/>
          <w:sz w:val="21"/>
          <w:szCs w:val="21"/>
          <w:u w:val="single" w:color="auto"/>
        </w:rPr>
        <w:t>中型企业/小型企业/微型企业</w:t>
      </w:r>
      <w:r>
        <w:rPr>
          <w:spacing w:val="19"/>
          <w:sz w:val="21"/>
          <w:szCs w:val="21"/>
        </w:rPr>
        <w:t>；</w:t>
      </w:r>
    </w:p>
    <w:p w14:paraId="43500C25">
      <w:pPr>
        <w:pStyle w:val="2"/>
        <w:tabs>
          <w:tab w:val="left" w:pos="128"/>
        </w:tabs>
        <w:spacing w:before="145" w:line="303" w:lineRule="auto"/>
        <w:ind w:right="58" w:firstLine="419"/>
        <w:rPr>
          <w:sz w:val="21"/>
          <w:szCs w:val="21"/>
        </w:rPr>
      </w:pPr>
      <w:r>
        <w:rPr>
          <w:rFonts w:ascii="Times New Roman" w:hAnsi="Times New Roman" w:eastAsia="Times New Roman" w:cs="Times New Roman"/>
          <w:spacing w:val="12"/>
          <w:sz w:val="21"/>
          <w:szCs w:val="21"/>
        </w:rPr>
        <w:t xml:space="preserve">2. </w:t>
      </w:r>
      <w:r>
        <w:rPr>
          <w:rFonts w:ascii="Times New Roman" w:hAnsi="Times New Roman" w:eastAsia="Times New Roman" w:cs="Times New Roman"/>
          <w:spacing w:val="12"/>
          <w:sz w:val="21"/>
          <w:szCs w:val="21"/>
          <w:u w:val="single" w:color="auto"/>
        </w:rPr>
        <w:t xml:space="preserve">                </w:t>
      </w:r>
      <w:r>
        <w:rPr>
          <w:rFonts w:ascii="Times New Roman" w:hAnsi="Times New Roman" w:eastAsia="Times New Roman" w:cs="Times New Roman"/>
          <w:spacing w:val="12"/>
          <w:sz w:val="21"/>
          <w:szCs w:val="21"/>
        </w:rPr>
        <w:t xml:space="preserve">  </w:t>
      </w:r>
      <w:r>
        <w:rPr>
          <w:spacing w:val="12"/>
          <w:sz w:val="21"/>
          <w:szCs w:val="21"/>
        </w:rPr>
        <w:t>(工作内容名</w:t>
      </w:r>
      <w:r>
        <w:rPr>
          <w:spacing w:val="11"/>
          <w:sz w:val="21"/>
          <w:szCs w:val="21"/>
        </w:rPr>
        <w:t>称),属于</w:t>
      </w:r>
      <w:r>
        <w:rPr>
          <w:spacing w:val="-77"/>
          <w:sz w:val="21"/>
          <w:szCs w:val="21"/>
        </w:rPr>
        <w:t xml:space="preserve"> </w:t>
      </w:r>
      <w:r>
        <w:rPr>
          <w:spacing w:val="11"/>
          <w:sz w:val="21"/>
          <w:szCs w:val="21"/>
          <w:u w:val="single" w:color="auto"/>
        </w:rPr>
        <w:t xml:space="preserve">            </w:t>
      </w:r>
      <w:r>
        <w:rPr>
          <w:spacing w:val="11"/>
          <w:sz w:val="21"/>
          <w:szCs w:val="21"/>
        </w:rPr>
        <w:t xml:space="preserve"> (招标文件中明确的所属行业);承建</w:t>
      </w:r>
      <w:r>
        <w:rPr>
          <w:sz w:val="21"/>
          <w:szCs w:val="21"/>
        </w:rPr>
        <w:t xml:space="preserve"> </w:t>
      </w:r>
      <w:r>
        <w:rPr>
          <w:sz w:val="21"/>
          <w:szCs w:val="21"/>
        </w:rPr>
        <w:tab/>
      </w:r>
      <w:r>
        <w:rPr>
          <w:spacing w:val="12"/>
          <w:sz w:val="21"/>
          <w:szCs w:val="21"/>
        </w:rPr>
        <w:t>(承接)企业为</w:t>
      </w:r>
      <w:r>
        <w:rPr>
          <w:spacing w:val="12"/>
          <w:sz w:val="21"/>
          <w:szCs w:val="21"/>
          <w:u w:val="single" w:color="auto"/>
        </w:rPr>
        <w:t xml:space="preserve">             </w:t>
      </w:r>
      <w:r>
        <w:rPr>
          <w:sz w:val="21"/>
          <w:szCs w:val="21"/>
        </w:rPr>
        <w:t xml:space="preserve"> </w:t>
      </w:r>
      <w:r>
        <w:rPr>
          <w:spacing w:val="12"/>
          <w:sz w:val="21"/>
          <w:szCs w:val="21"/>
        </w:rPr>
        <w:t>(企业名称),从业人员</w:t>
      </w:r>
      <w:r>
        <w:rPr>
          <w:spacing w:val="12"/>
          <w:sz w:val="21"/>
          <w:szCs w:val="21"/>
          <w:u w:val="single" w:color="auto"/>
        </w:rPr>
        <w:t xml:space="preserve">    </w:t>
      </w:r>
      <w:r>
        <w:rPr>
          <w:spacing w:val="-35"/>
          <w:sz w:val="21"/>
          <w:szCs w:val="21"/>
        </w:rPr>
        <w:t xml:space="preserve"> </w:t>
      </w:r>
      <w:r>
        <w:rPr>
          <w:spacing w:val="12"/>
          <w:sz w:val="21"/>
          <w:szCs w:val="21"/>
        </w:rPr>
        <w:t>人，营业收入为</w:t>
      </w:r>
      <w:r>
        <w:rPr>
          <w:sz w:val="21"/>
          <w:szCs w:val="21"/>
          <w:u w:val="single" w:color="auto"/>
        </w:rPr>
        <w:t xml:space="preserve">       </w:t>
      </w:r>
      <w:r>
        <w:rPr>
          <w:spacing w:val="-81"/>
          <w:sz w:val="21"/>
          <w:szCs w:val="21"/>
        </w:rPr>
        <w:t xml:space="preserve"> </w:t>
      </w:r>
      <w:r>
        <w:rPr>
          <w:spacing w:val="12"/>
          <w:sz w:val="21"/>
          <w:szCs w:val="21"/>
        </w:rPr>
        <w:t>万元，资</w:t>
      </w:r>
      <w:r>
        <w:rPr>
          <w:sz w:val="21"/>
          <w:szCs w:val="21"/>
        </w:rPr>
        <w:t xml:space="preserve"> </w:t>
      </w:r>
      <w:r>
        <w:rPr>
          <w:spacing w:val="19"/>
          <w:sz w:val="21"/>
          <w:szCs w:val="21"/>
        </w:rPr>
        <w:t>产总额为</w:t>
      </w:r>
      <w:r>
        <w:rPr>
          <w:spacing w:val="-81"/>
          <w:sz w:val="21"/>
          <w:szCs w:val="21"/>
        </w:rPr>
        <w:t xml:space="preserve"> </w:t>
      </w:r>
      <w:r>
        <w:rPr>
          <w:sz w:val="21"/>
          <w:szCs w:val="21"/>
          <w:u w:val="single" w:color="auto"/>
        </w:rPr>
        <w:t xml:space="preserve">         </w:t>
      </w:r>
      <w:r>
        <w:rPr>
          <w:spacing w:val="-90"/>
          <w:sz w:val="21"/>
          <w:szCs w:val="21"/>
        </w:rPr>
        <w:t xml:space="preserve"> </w:t>
      </w:r>
      <w:r>
        <w:rPr>
          <w:spacing w:val="19"/>
          <w:sz w:val="21"/>
          <w:szCs w:val="21"/>
        </w:rPr>
        <w:t>万元，属于</w:t>
      </w:r>
      <w:r>
        <w:rPr>
          <w:spacing w:val="61"/>
          <w:sz w:val="21"/>
          <w:szCs w:val="21"/>
          <w:u w:val="single" w:color="auto"/>
        </w:rPr>
        <w:t xml:space="preserve"> </w:t>
      </w:r>
      <w:r>
        <w:rPr>
          <w:spacing w:val="19"/>
          <w:sz w:val="21"/>
          <w:szCs w:val="21"/>
          <w:u w:val="single" w:color="auto"/>
        </w:rPr>
        <w:t>中型企业/小型企业/微型企业</w:t>
      </w:r>
      <w:r>
        <w:rPr>
          <w:spacing w:val="19"/>
          <w:sz w:val="21"/>
          <w:szCs w:val="21"/>
        </w:rPr>
        <w:t>；</w:t>
      </w:r>
    </w:p>
    <w:p w14:paraId="0BB5AA9A">
      <w:pPr>
        <w:spacing w:before="222" w:line="50" w:lineRule="exact"/>
        <w:ind w:firstLine="439"/>
      </w:pPr>
      <w:r>
        <w:rPr>
          <w:position w:val="-1"/>
        </w:rPr>
        <w:drawing>
          <wp:inline distT="0" distB="0" distL="0" distR="0">
            <wp:extent cx="260350" cy="31750"/>
            <wp:effectExtent l="0" t="0" r="0" b="0"/>
            <wp:docPr id="280" name="IM 280"/>
            <wp:cNvGraphicFramePr/>
            <a:graphic xmlns:a="http://schemas.openxmlformats.org/drawingml/2006/main">
              <a:graphicData uri="http://schemas.openxmlformats.org/drawingml/2006/picture">
                <pic:pic xmlns:pic="http://schemas.openxmlformats.org/drawingml/2006/picture">
                  <pic:nvPicPr>
                    <pic:cNvPr id="280" name="IM 280"/>
                    <pic:cNvPicPr/>
                  </pic:nvPicPr>
                  <pic:blipFill>
                    <a:blip r:embed="rId523"/>
                    <a:stretch>
                      <a:fillRect/>
                    </a:stretch>
                  </pic:blipFill>
                  <pic:spPr>
                    <a:xfrm>
                      <a:off x="0" y="0"/>
                      <a:ext cx="260388" cy="31759"/>
                    </a:xfrm>
                    <a:prstGeom prst="rect">
                      <a:avLst/>
                    </a:prstGeom>
                  </pic:spPr>
                </pic:pic>
              </a:graphicData>
            </a:graphic>
          </wp:inline>
        </w:drawing>
      </w:r>
    </w:p>
    <w:p w14:paraId="6C7C6DC2">
      <w:pPr>
        <w:pStyle w:val="2"/>
        <w:spacing w:before="257" w:line="343" w:lineRule="auto"/>
        <w:ind w:right="117" w:firstLine="419"/>
        <w:rPr>
          <w:sz w:val="21"/>
          <w:szCs w:val="21"/>
        </w:rPr>
      </w:pPr>
      <w:r>
        <w:rPr>
          <w:spacing w:val="2"/>
          <w:sz w:val="21"/>
          <w:szCs w:val="21"/>
        </w:rPr>
        <w:t>以上企业，不属于大企业的分支机构，不存在控股股东为大企业的情形，也不存在与大企业</w:t>
      </w:r>
      <w:r>
        <w:rPr>
          <w:spacing w:val="6"/>
          <w:sz w:val="21"/>
          <w:szCs w:val="21"/>
        </w:rPr>
        <w:t xml:space="preserve"> </w:t>
      </w:r>
      <w:r>
        <w:rPr>
          <w:spacing w:val="-2"/>
          <w:sz w:val="21"/>
          <w:szCs w:val="21"/>
        </w:rPr>
        <w:t>的负责人为同一人的情形。</w:t>
      </w:r>
    </w:p>
    <w:p w14:paraId="3E169893">
      <w:pPr>
        <w:pStyle w:val="2"/>
        <w:spacing w:before="1" w:line="218" w:lineRule="auto"/>
        <w:ind w:left="419"/>
        <w:rPr>
          <w:sz w:val="21"/>
          <w:szCs w:val="21"/>
        </w:rPr>
      </w:pPr>
      <w:r>
        <w:rPr>
          <w:spacing w:val="-1"/>
          <w:sz w:val="21"/>
          <w:szCs w:val="21"/>
        </w:rPr>
        <w:t>本企业对上述声明内容的真实性负责。如有虚假，将依法承担相应责任。</w:t>
      </w:r>
    </w:p>
    <w:p w14:paraId="376DAF5B">
      <w:pPr>
        <w:spacing w:line="294" w:lineRule="auto"/>
        <w:rPr>
          <w:rFonts w:ascii="Arial"/>
          <w:sz w:val="21"/>
        </w:rPr>
      </w:pPr>
    </w:p>
    <w:p w14:paraId="7B303935">
      <w:pPr>
        <w:spacing w:line="295" w:lineRule="auto"/>
        <w:rPr>
          <w:rFonts w:ascii="Arial"/>
          <w:sz w:val="21"/>
        </w:rPr>
      </w:pPr>
    </w:p>
    <w:p w14:paraId="21BFA322">
      <w:pPr>
        <w:pStyle w:val="2"/>
        <w:spacing w:before="68" w:line="221" w:lineRule="auto"/>
        <w:ind w:left="3589"/>
        <w:rPr>
          <w:sz w:val="20"/>
          <w:szCs w:val="20"/>
        </w:rPr>
      </w:pPr>
      <w:r>
        <w:rPr>
          <w:spacing w:val="8"/>
          <w:sz w:val="21"/>
          <w:szCs w:val="21"/>
        </w:rPr>
        <w:t>投标人：</w:t>
      </w:r>
      <w:r>
        <w:rPr>
          <w:sz w:val="21"/>
          <w:szCs w:val="21"/>
          <w:u w:val="single" w:color="auto"/>
        </w:rPr>
        <w:t xml:space="preserve">                </w:t>
      </w:r>
      <w:r>
        <w:rPr>
          <w:spacing w:val="8"/>
          <w:sz w:val="21"/>
          <w:szCs w:val="21"/>
        </w:rPr>
        <w:t xml:space="preserve"> </w:t>
      </w:r>
      <w:r>
        <w:rPr>
          <w:spacing w:val="8"/>
          <w:sz w:val="20"/>
          <w:szCs w:val="20"/>
        </w:rPr>
        <w:t>(盖单位章)</w:t>
      </w:r>
    </w:p>
    <w:p w14:paraId="29003CBC">
      <w:pPr>
        <w:pStyle w:val="2"/>
        <w:spacing w:before="166" w:line="224" w:lineRule="auto"/>
        <w:ind w:left="3619"/>
        <w:rPr>
          <w:sz w:val="21"/>
          <w:szCs w:val="21"/>
        </w:rPr>
      </w:pPr>
      <w:r>
        <w:rPr>
          <w:spacing w:val="-13"/>
          <w:sz w:val="21"/>
          <w:szCs w:val="21"/>
        </w:rPr>
        <w:t>日</w:t>
      </w:r>
      <w:r>
        <w:rPr>
          <w:spacing w:val="3"/>
          <w:sz w:val="21"/>
          <w:szCs w:val="21"/>
        </w:rPr>
        <w:t xml:space="preserve">  </w:t>
      </w:r>
      <w:r>
        <w:rPr>
          <w:spacing w:val="-13"/>
          <w:sz w:val="21"/>
          <w:szCs w:val="21"/>
        </w:rPr>
        <w:t>期：</w:t>
      </w:r>
      <w:r>
        <w:rPr>
          <w:spacing w:val="7"/>
          <w:sz w:val="21"/>
          <w:szCs w:val="21"/>
          <w:u w:val="single" w:color="auto"/>
        </w:rPr>
        <w:t xml:space="preserve">    </w:t>
      </w:r>
      <w:r>
        <w:rPr>
          <w:spacing w:val="-13"/>
          <w:sz w:val="20"/>
          <w:szCs w:val="20"/>
        </w:rPr>
        <w:t>年</w:t>
      </w:r>
      <w:r>
        <w:rPr>
          <w:spacing w:val="-94"/>
          <w:sz w:val="20"/>
          <w:szCs w:val="20"/>
        </w:rPr>
        <w:t xml:space="preserve"> </w:t>
      </w:r>
      <w:r>
        <w:rPr>
          <w:spacing w:val="-13"/>
          <w:sz w:val="20"/>
          <w:szCs w:val="20"/>
          <w:u w:val="single" w:color="auto"/>
        </w:rPr>
        <w:t xml:space="preserve">     </w:t>
      </w:r>
      <w:r>
        <w:rPr>
          <w:spacing w:val="-13"/>
          <w:sz w:val="19"/>
          <w:szCs w:val="19"/>
        </w:rPr>
        <w:t>月</w:t>
      </w:r>
      <w:r>
        <w:rPr>
          <w:spacing w:val="23"/>
          <w:sz w:val="19"/>
          <w:szCs w:val="19"/>
          <w:u w:val="single" w:color="auto"/>
        </w:rPr>
        <w:t xml:space="preserve">    </w:t>
      </w:r>
      <w:r>
        <w:rPr>
          <w:spacing w:val="-13"/>
          <w:sz w:val="21"/>
          <w:szCs w:val="21"/>
        </w:rPr>
        <w:t>日</w:t>
      </w:r>
    </w:p>
    <w:p w14:paraId="28053892">
      <w:pPr>
        <w:spacing w:line="262" w:lineRule="auto"/>
        <w:rPr>
          <w:rFonts w:ascii="Arial"/>
          <w:sz w:val="21"/>
        </w:rPr>
      </w:pPr>
    </w:p>
    <w:p w14:paraId="2728A40A">
      <w:pPr>
        <w:spacing w:line="263" w:lineRule="auto"/>
        <w:rPr>
          <w:rFonts w:ascii="Arial"/>
          <w:sz w:val="21"/>
        </w:rPr>
      </w:pPr>
    </w:p>
    <w:p w14:paraId="786EE372">
      <w:pPr>
        <w:pStyle w:val="2"/>
        <w:spacing w:before="68" w:line="345" w:lineRule="auto"/>
        <w:ind w:left="850" w:right="87" w:hanging="850"/>
        <w:rPr>
          <w:sz w:val="21"/>
          <w:szCs w:val="21"/>
        </w:rPr>
      </w:pPr>
      <w:r>
        <w:rPr>
          <w:spacing w:val="2"/>
          <w:sz w:val="21"/>
          <w:szCs w:val="21"/>
        </w:rPr>
        <w:t>备注：1.政府采购工程的投标人应当如实提供中小企业声明函，中小微企业划型按照《中小企业</w:t>
      </w:r>
      <w:r>
        <w:rPr>
          <w:sz w:val="21"/>
          <w:szCs w:val="21"/>
        </w:rPr>
        <w:t xml:space="preserve"> </w:t>
      </w:r>
      <w:r>
        <w:rPr>
          <w:spacing w:val="5"/>
          <w:sz w:val="21"/>
          <w:szCs w:val="21"/>
        </w:rPr>
        <w:t>划型标准规定》(工信部联企业〔2011〕300号)执行，非政府采购工程的无需提供中小</w:t>
      </w:r>
      <w:r>
        <w:rPr>
          <w:spacing w:val="1"/>
          <w:sz w:val="21"/>
          <w:szCs w:val="21"/>
        </w:rPr>
        <w:t xml:space="preserve"> </w:t>
      </w:r>
      <w:r>
        <w:rPr>
          <w:spacing w:val="-6"/>
          <w:sz w:val="21"/>
          <w:szCs w:val="21"/>
        </w:rPr>
        <w:t>企业声明函。</w:t>
      </w:r>
    </w:p>
    <w:p w14:paraId="47ACB6C2">
      <w:pPr>
        <w:pStyle w:val="2"/>
        <w:spacing w:before="28" w:line="352" w:lineRule="auto"/>
        <w:ind w:left="849" w:hanging="220"/>
        <w:rPr>
          <w:sz w:val="21"/>
          <w:szCs w:val="21"/>
        </w:rPr>
      </w:pPr>
      <w:r>
        <w:rPr>
          <w:spacing w:val="3"/>
          <w:sz w:val="21"/>
          <w:szCs w:val="21"/>
        </w:rPr>
        <w:t>2.从业人员、营业收入、资产总额填报上一年度数据，无上一年度</w:t>
      </w:r>
      <w:r>
        <w:rPr>
          <w:spacing w:val="2"/>
          <w:sz w:val="21"/>
          <w:szCs w:val="21"/>
        </w:rPr>
        <w:t>数据的新成立企业可不</w:t>
      </w:r>
      <w:r>
        <w:rPr>
          <w:sz w:val="21"/>
          <w:szCs w:val="21"/>
        </w:rPr>
        <w:t xml:space="preserve">  </w:t>
      </w:r>
      <w:r>
        <w:rPr>
          <w:spacing w:val="6"/>
          <w:sz w:val="21"/>
          <w:szCs w:val="21"/>
        </w:rPr>
        <w:t>填报。投标截止日如在6月30日以前，则上一年度数据是指上</w:t>
      </w:r>
      <w:r>
        <w:rPr>
          <w:spacing w:val="5"/>
          <w:sz w:val="21"/>
          <w:szCs w:val="21"/>
        </w:rPr>
        <w:t>上个年度的数据，例如投</w:t>
      </w:r>
      <w:r>
        <w:rPr>
          <w:sz w:val="21"/>
          <w:szCs w:val="21"/>
        </w:rPr>
        <w:t xml:space="preserve"> </w:t>
      </w:r>
      <w:r>
        <w:rPr>
          <w:spacing w:val="10"/>
          <w:sz w:val="21"/>
          <w:szCs w:val="21"/>
        </w:rPr>
        <w:t>标截止日为2014年6月30日，上一年度数据是指2012年度的数据。如投标</w:t>
      </w:r>
      <w:r>
        <w:rPr>
          <w:spacing w:val="9"/>
          <w:sz w:val="21"/>
          <w:szCs w:val="21"/>
        </w:rPr>
        <w:t>截止日如在</w:t>
      </w:r>
      <w:r>
        <w:rPr>
          <w:sz w:val="21"/>
          <w:szCs w:val="21"/>
        </w:rPr>
        <w:t xml:space="preserve">  </w:t>
      </w:r>
      <w:r>
        <w:rPr>
          <w:spacing w:val="7"/>
          <w:sz w:val="21"/>
          <w:szCs w:val="21"/>
        </w:rPr>
        <w:t>6月30日以后，则上一年度数据是指上个年度数据，例如投标截止日为2014年7月1日，</w:t>
      </w:r>
      <w:r>
        <w:rPr>
          <w:spacing w:val="4"/>
          <w:sz w:val="21"/>
          <w:szCs w:val="21"/>
        </w:rPr>
        <w:t xml:space="preserve"> </w:t>
      </w:r>
      <w:r>
        <w:rPr>
          <w:spacing w:val="5"/>
          <w:sz w:val="21"/>
          <w:szCs w:val="21"/>
        </w:rPr>
        <w:t>上一年度数据是2013年度的数据。</w:t>
      </w:r>
    </w:p>
    <w:p w14:paraId="21DCA49E">
      <w:pPr>
        <w:spacing w:line="352" w:lineRule="auto"/>
        <w:rPr>
          <w:sz w:val="21"/>
          <w:szCs w:val="21"/>
        </w:rPr>
        <w:sectPr>
          <w:footerReference r:id="rId368" w:type="default"/>
          <w:pgSz w:w="11910" w:h="16840"/>
          <w:pgMar w:top="400" w:right="1434" w:bottom="1147" w:left="1450" w:header="0" w:footer="1021" w:gutter="0"/>
          <w:cols w:space="720" w:num="1"/>
        </w:sectPr>
      </w:pPr>
    </w:p>
    <w:p w14:paraId="0A5654DC">
      <w:pPr>
        <w:rPr>
          <w:rFonts w:ascii="Arial"/>
          <w:sz w:val="21"/>
        </w:rPr>
      </w:pPr>
    </w:p>
    <w:p w14:paraId="6390ABCA">
      <w:pPr>
        <w:rPr>
          <w:rFonts w:ascii="Arial" w:hAnsi="Arial" w:eastAsia="Arial" w:cs="Arial"/>
          <w:sz w:val="21"/>
          <w:szCs w:val="21"/>
        </w:rPr>
        <w:sectPr>
          <w:footerReference r:id="rId369" w:type="default"/>
          <w:pgSz w:w="11910" w:h="16840"/>
          <w:pgMar w:top="1" w:right="1786" w:bottom="1147" w:left="1786" w:header="0" w:footer="1021" w:gutter="0"/>
          <w:cols w:space="720" w:num="1"/>
        </w:sectPr>
      </w:pPr>
    </w:p>
    <w:p w14:paraId="0A0FD6BD">
      <w:pPr>
        <w:spacing w:line="249" w:lineRule="auto"/>
        <w:rPr>
          <w:rFonts w:ascii="Arial"/>
          <w:sz w:val="21"/>
        </w:rPr>
      </w:pPr>
    </w:p>
    <w:p w14:paraId="62DF0E2A">
      <w:pPr>
        <w:spacing w:line="249" w:lineRule="auto"/>
        <w:rPr>
          <w:rFonts w:ascii="Arial"/>
          <w:sz w:val="21"/>
        </w:rPr>
      </w:pPr>
    </w:p>
    <w:p w14:paraId="343CF79B">
      <w:pPr>
        <w:spacing w:line="249" w:lineRule="auto"/>
        <w:rPr>
          <w:rFonts w:ascii="Arial"/>
          <w:sz w:val="21"/>
        </w:rPr>
      </w:pPr>
    </w:p>
    <w:p w14:paraId="0C79911D">
      <w:pPr>
        <w:spacing w:line="249" w:lineRule="auto"/>
        <w:rPr>
          <w:rFonts w:ascii="Arial"/>
          <w:sz w:val="21"/>
        </w:rPr>
      </w:pPr>
    </w:p>
    <w:p w14:paraId="34E5223E">
      <w:pPr>
        <w:spacing w:line="249" w:lineRule="auto"/>
        <w:rPr>
          <w:rFonts w:ascii="Arial"/>
          <w:sz w:val="21"/>
        </w:rPr>
      </w:pPr>
    </w:p>
    <w:p w14:paraId="31AD5167">
      <w:pPr>
        <w:spacing w:line="249" w:lineRule="auto"/>
        <w:rPr>
          <w:rFonts w:ascii="Arial"/>
          <w:sz w:val="21"/>
        </w:rPr>
      </w:pPr>
    </w:p>
    <w:p w14:paraId="6D583DF0">
      <w:pPr>
        <w:spacing w:line="249" w:lineRule="auto"/>
        <w:rPr>
          <w:rFonts w:ascii="Arial"/>
          <w:sz w:val="21"/>
        </w:rPr>
      </w:pPr>
    </w:p>
    <w:p w14:paraId="4BC8C592">
      <w:pPr>
        <w:spacing w:before="91" w:line="222" w:lineRule="auto"/>
        <w:ind w:left="3628"/>
        <w:rPr>
          <w:rFonts w:ascii="黑体" w:hAnsi="黑体" w:eastAsia="黑体" w:cs="黑体"/>
          <w:sz w:val="28"/>
          <w:szCs w:val="28"/>
        </w:rPr>
      </w:pPr>
      <w:r>
        <w:rPr>
          <w:rFonts w:ascii="黑体" w:hAnsi="黑体" w:eastAsia="黑体" w:cs="黑体"/>
          <w:b/>
          <w:bCs/>
          <w:spacing w:val="1"/>
          <w:sz w:val="28"/>
          <w:szCs w:val="28"/>
        </w:rPr>
        <w:t>八、项目管理机构</w:t>
      </w:r>
    </w:p>
    <w:p w14:paraId="44698869">
      <w:pPr>
        <w:pStyle w:val="2"/>
        <w:spacing w:before="314" w:line="206" w:lineRule="auto"/>
        <w:ind w:left="3209"/>
        <w:rPr>
          <w:sz w:val="29"/>
          <w:szCs w:val="29"/>
        </w:rPr>
      </w:pPr>
      <w:r>
        <w:rPr>
          <w:b/>
          <w:bCs/>
          <w:spacing w:val="-3"/>
          <w:sz w:val="29"/>
          <w:szCs w:val="29"/>
        </w:rPr>
        <w:t>(一)项目管理机构主要人员表</w:t>
      </w:r>
    </w:p>
    <w:tbl>
      <w:tblPr>
        <w:tblStyle w:val="5"/>
        <w:tblW w:w="987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34"/>
        <w:gridCol w:w="849"/>
        <w:gridCol w:w="559"/>
        <w:gridCol w:w="360"/>
        <w:gridCol w:w="509"/>
        <w:gridCol w:w="499"/>
        <w:gridCol w:w="849"/>
        <w:gridCol w:w="380"/>
        <w:gridCol w:w="400"/>
        <w:gridCol w:w="370"/>
        <w:gridCol w:w="370"/>
        <w:gridCol w:w="869"/>
        <w:gridCol w:w="440"/>
        <w:gridCol w:w="749"/>
        <w:gridCol w:w="749"/>
        <w:gridCol w:w="759"/>
        <w:gridCol w:w="634"/>
      </w:tblGrid>
      <w:tr w14:paraId="167220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0" w:hRule="atLeast"/>
        </w:trPr>
        <w:tc>
          <w:tcPr>
            <w:tcW w:w="534" w:type="dxa"/>
            <w:vMerge w:val="restart"/>
            <w:tcBorders>
              <w:bottom w:val="nil"/>
            </w:tcBorders>
            <w:vAlign w:val="top"/>
          </w:tcPr>
          <w:p w14:paraId="7EEAD5BF">
            <w:pPr>
              <w:spacing w:line="318" w:lineRule="auto"/>
              <w:rPr>
                <w:rFonts w:ascii="Arial"/>
                <w:sz w:val="21"/>
              </w:rPr>
            </w:pPr>
          </w:p>
          <w:p w14:paraId="0AB25723">
            <w:pPr>
              <w:spacing w:line="319" w:lineRule="auto"/>
              <w:rPr>
                <w:rFonts w:ascii="Arial"/>
                <w:sz w:val="21"/>
              </w:rPr>
            </w:pPr>
          </w:p>
          <w:p w14:paraId="29AB1C19">
            <w:pPr>
              <w:pStyle w:val="6"/>
              <w:spacing w:before="68" w:line="221" w:lineRule="auto"/>
              <w:ind w:left="44"/>
            </w:pPr>
            <w:r>
              <w:rPr>
                <w:spacing w:val="6"/>
              </w:rPr>
              <w:t>序号</w:t>
            </w:r>
          </w:p>
        </w:tc>
        <w:tc>
          <w:tcPr>
            <w:tcW w:w="849" w:type="dxa"/>
            <w:vMerge w:val="restart"/>
            <w:tcBorders>
              <w:bottom w:val="nil"/>
            </w:tcBorders>
            <w:vAlign w:val="top"/>
          </w:tcPr>
          <w:p w14:paraId="741993B0">
            <w:pPr>
              <w:spacing w:line="318" w:lineRule="auto"/>
              <w:rPr>
                <w:rFonts w:ascii="Arial"/>
                <w:sz w:val="21"/>
              </w:rPr>
            </w:pPr>
          </w:p>
          <w:p w14:paraId="192F67F7">
            <w:pPr>
              <w:spacing w:line="319" w:lineRule="auto"/>
              <w:rPr>
                <w:rFonts w:ascii="Arial"/>
                <w:sz w:val="21"/>
              </w:rPr>
            </w:pPr>
          </w:p>
          <w:p w14:paraId="73658E72">
            <w:pPr>
              <w:pStyle w:val="6"/>
              <w:spacing w:before="68" w:line="220" w:lineRule="auto"/>
              <w:ind w:left="230"/>
            </w:pPr>
            <w:r>
              <w:rPr>
                <w:spacing w:val="4"/>
              </w:rPr>
              <w:t>岗位</w:t>
            </w:r>
          </w:p>
        </w:tc>
        <w:tc>
          <w:tcPr>
            <w:tcW w:w="559" w:type="dxa"/>
            <w:vMerge w:val="restart"/>
            <w:tcBorders>
              <w:bottom w:val="nil"/>
            </w:tcBorders>
            <w:vAlign w:val="top"/>
          </w:tcPr>
          <w:p w14:paraId="25E0FE6D">
            <w:pPr>
              <w:spacing w:line="318" w:lineRule="auto"/>
              <w:rPr>
                <w:rFonts w:ascii="Arial"/>
                <w:sz w:val="21"/>
              </w:rPr>
            </w:pPr>
          </w:p>
          <w:p w14:paraId="3E8E665A">
            <w:pPr>
              <w:spacing w:line="318" w:lineRule="auto"/>
              <w:rPr>
                <w:rFonts w:ascii="Arial"/>
                <w:sz w:val="21"/>
              </w:rPr>
            </w:pPr>
          </w:p>
          <w:p w14:paraId="3C07CF60">
            <w:pPr>
              <w:pStyle w:val="6"/>
              <w:spacing w:before="68" w:line="219" w:lineRule="auto"/>
              <w:ind w:left="61"/>
            </w:pPr>
            <w:r>
              <w:rPr>
                <w:spacing w:val="13"/>
              </w:rPr>
              <w:t>姓名</w:t>
            </w:r>
          </w:p>
        </w:tc>
        <w:tc>
          <w:tcPr>
            <w:tcW w:w="360" w:type="dxa"/>
            <w:vMerge w:val="restart"/>
            <w:tcBorders>
              <w:bottom w:val="nil"/>
            </w:tcBorders>
            <w:textDirection w:val="tbRlV"/>
            <w:vAlign w:val="top"/>
          </w:tcPr>
          <w:p w14:paraId="1443581E">
            <w:pPr>
              <w:pStyle w:val="6"/>
              <w:spacing w:before="85" w:line="199" w:lineRule="auto"/>
              <w:ind w:left="589"/>
            </w:pPr>
            <w:r>
              <w:t>性别</w:t>
            </w:r>
          </w:p>
        </w:tc>
        <w:tc>
          <w:tcPr>
            <w:tcW w:w="509" w:type="dxa"/>
            <w:vMerge w:val="restart"/>
            <w:tcBorders>
              <w:bottom w:val="nil"/>
            </w:tcBorders>
            <w:vAlign w:val="top"/>
          </w:tcPr>
          <w:p w14:paraId="0B3008DA">
            <w:pPr>
              <w:spacing w:line="318" w:lineRule="auto"/>
              <w:rPr>
                <w:rFonts w:ascii="Arial"/>
                <w:sz w:val="21"/>
              </w:rPr>
            </w:pPr>
          </w:p>
          <w:p w14:paraId="66BB6C59">
            <w:pPr>
              <w:spacing w:line="318" w:lineRule="auto"/>
              <w:rPr>
                <w:rFonts w:ascii="Arial"/>
                <w:sz w:val="21"/>
              </w:rPr>
            </w:pPr>
          </w:p>
          <w:p w14:paraId="5709BF82">
            <w:pPr>
              <w:pStyle w:val="6"/>
              <w:spacing w:before="68" w:line="219" w:lineRule="auto"/>
              <w:ind w:left="32"/>
            </w:pPr>
            <w:r>
              <w:rPr>
                <w:spacing w:val="-3"/>
              </w:rPr>
              <w:t>年龄</w:t>
            </w:r>
          </w:p>
        </w:tc>
        <w:tc>
          <w:tcPr>
            <w:tcW w:w="499" w:type="dxa"/>
            <w:vMerge w:val="restart"/>
            <w:tcBorders>
              <w:bottom w:val="nil"/>
            </w:tcBorders>
            <w:vAlign w:val="top"/>
          </w:tcPr>
          <w:p w14:paraId="22B9C3EA">
            <w:pPr>
              <w:spacing w:line="318" w:lineRule="auto"/>
              <w:rPr>
                <w:rFonts w:ascii="Arial"/>
                <w:sz w:val="21"/>
              </w:rPr>
            </w:pPr>
          </w:p>
          <w:p w14:paraId="44E504AD">
            <w:pPr>
              <w:spacing w:line="319" w:lineRule="auto"/>
              <w:rPr>
                <w:rFonts w:ascii="Arial"/>
                <w:sz w:val="21"/>
              </w:rPr>
            </w:pPr>
          </w:p>
          <w:p w14:paraId="5D26C4E5">
            <w:pPr>
              <w:pStyle w:val="6"/>
              <w:spacing w:before="68" w:line="221" w:lineRule="auto"/>
              <w:ind w:left="33"/>
            </w:pPr>
            <w:r>
              <w:rPr>
                <w:spacing w:val="6"/>
              </w:rPr>
              <w:t>学历</w:t>
            </w:r>
          </w:p>
        </w:tc>
        <w:tc>
          <w:tcPr>
            <w:tcW w:w="849" w:type="dxa"/>
            <w:vMerge w:val="restart"/>
            <w:tcBorders>
              <w:bottom w:val="nil"/>
            </w:tcBorders>
            <w:vAlign w:val="top"/>
          </w:tcPr>
          <w:p w14:paraId="7539C567">
            <w:pPr>
              <w:spacing w:line="318" w:lineRule="auto"/>
              <w:rPr>
                <w:rFonts w:ascii="Arial"/>
                <w:sz w:val="21"/>
              </w:rPr>
            </w:pPr>
          </w:p>
          <w:p w14:paraId="405A6C4A">
            <w:pPr>
              <w:spacing w:line="319" w:lineRule="auto"/>
              <w:rPr>
                <w:rFonts w:ascii="Arial"/>
                <w:sz w:val="21"/>
              </w:rPr>
            </w:pPr>
          </w:p>
          <w:p w14:paraId="17D11297">
            <w:pPr>
              <w:pStyle w:val="6"/>
              <w:spacing w:before="68" w:line="220" w:lineRule="auto"/>
              <w:ind w:left="225"/>
            </w:pPr>
            <w:r>
              <w:rPr>
                <w:spacing w:val="-3"/>
              </w:rPr>
              <w:t>专业</w:t>
            </w:r>
          </w:p>
        </w:tc>
        <w:tc>
          <w:tcPr>
            <w:tcW w:w="380" w:type="dxa"/>
            <w:vMerge w:val="restart"/>
            <w:tcBorders>
              <w:bottom w:val="nil"/>
            </w:tcBorders>
            <w:textDirection w:val="tbRlV"/>
            <w:vAlign w:val="top"/>
          </w:tcPr>
          <w:p w14:paraId="1C7CFEC3">
            <w:pPr>
              <w:pStyle w:val="6"/>
              <w:spacing w:before="91" w:line="202" w:lineRule="auto"/>
              <w:jc w:val="right"/>
            </w:pPr>
            <w:r>
              <w:rPr>
                <w:spacing w:val="-3"/>
              </w:rPr>
              <w:t>专</w:t>
            </w:r>
            <w:r>
              <w:rPr>
                <w:spacing w:val="-26"/>
              </w:rPr>
              <w:t xml:space="preserve"> </w:t>
            </w:r>
            <w:r>
              <w:rPr>
                <w:spacing w:val="-3"/>
              </w:rPr>
              <w:t>业</w:t>
            </w:r>
            <w:r>
              <w:rPr>
                <w:spacing w:val="-31"/>
              </w:rPr>
              <w:t xml:space="preserve"> </w:t>
            </w:r>
            <w:r>
              <w:rPr>
                <w:spacing w:val="-3"/>
              </w:rPr>
              <w:t>工</w:t>
            </w:r>
            <w:r>
              <w:rPr>
                <w:spacing w:val="-31"/>
              </w:rPr>
              <w:t xml:space="preserve"> </w:t>
            </w:r>
            <w:r>
              <w:rPr>
                <w:spacing w:val="-3"/>
              </w:rPr>
              <w:t>作</w:t>
            </w:r>
            <w:r>
              <w:rPr>
                <w:spacing w:val="-31"/>
              </w:rPr>
              <w:t xml:space="preserve"> </w:t>
            </w:r>
            <w:r>
              <w:rPr>
                <w:spacing w:val="-3"/>
              </w:rPr>
              <w:t>年</w:t>
            </w:r>
            <w:r>
              <w:rPr>
                <w:spacing w:val="-30"/>
              </w:rPr>
              <w:t xml:space="preserve"> </w:t>
            </w:r>
            <w:r>
              <w:rPr>
                <w:spacing w:val="-3"/>
              </w:rPr>
              <w:t>限</w:t>
            </w:r>
          </w:p>
        </w:tc>
        <w:tc>
          <w:tcPr>
            <w:tcW w:w="1140" w:type="dxa"/>
            <w:gridSpan w:val="3"/>
            <w:vAlign w:val="top"/>
          </w:tcPr>
          <w:p w14:paraId="42A546BB">
            <w:pPr>
              <w:pStyle w:val="6"/>
              <w:spacing w:before="68" w:line="219" w:lineRule="auto"/>
              <w:ind w:left="35"/>
            </w:pPr>
            <w:r>
              <w:rPr>
                <w:spacing w:val="2"/>
              </w:rPr>
              <w:t>专业技术职</w:t>
            </w:r>
          </w:p>
          <w:p w14:paraId="634B7F12">
            <w:pPr>
              <w:pStyle w:val="6"/>
              <w:spacing w:before="23" w:line="221" w:lineRule="auto"/>
              <w:ind w:left="455"/>
            </w:pPr>
            <w:r>
              <w:t>称</w:t>
            </w:r>
          </w:p>
        </w:tc>
        <w:tc>
          <w:tcPr>
            <w:tcW w:w="2807" w:type="dxa"/>
            <w:gridSpan w:val="4"/>
            <w:vAlign w:val="top"/>
          </w:tcPr>
          <w:p w14:paraId="32A992D0">
            <w:pPr>
              <w:pStyle w:val="6"/>
              <w:spacing w:before="268" w:line="219" w:lineRule="auto"/>
              <w:ind w:left="475"/>
            </w:pPr>
            <w:r>
              <w:rPr>
                <w:spacing w:val="2"/>
              </w:rPr>
              <w:t>执业或职业资格证明</w:t>
            </w:r>
          </w:p>
        </w:tc>
        <w:tc>
          <w:tcPr>
            <w:tcW w:w="759" w:type="dxa"/>
            <w:vMerge w:val="restart"/>
            <w:tcBorders>
              <w:bottom w:val="nil"/>
            </w:tcBorders>
            <w:vAlign w:val="top"/>
          </w:tcPr>
          <w:p w14:paraId="062A1479">
            <w:pPr>
              <w:spacing w:line="243" w:lineRule="auto"/>
              <w:rPr>
                <w:rFonts w:ascii="Arial"/>
                <w:sz w:val="21"/>
              </w:rPr>
            </w:pPr>
          </w:p>
          <w:p w14:paraId="14093A78">
            <w:pPr>
              <w:spacing w:line="243" w:lineRule="auto"/>
              <w:rPr>
                <w:rFonts w:ascii="Arial"/>
                <w:sz w:val="21"/>
              </w:rPr>
            </w:pPr>
          </w:p>
          <w:p w14:paraId="3D7D6360">
            <w:pPr>
              <w:pStyle w:val="6"/>
              <w:spacing w:before="68" w:line="219" w:lineRule="auto"/>
              <w:ind w:left="88"/>
            </w:pPr>
            <w:r>
              <w:rPr>
                <w:spacing w:val="-3"/>
              </w:rPr>
              <w:t>社会保</w:t>
            </w:r>
          </w:p>
          <w:p w14:paraId="12CA1151">
            <w:pPr>
              <w:pStyle w:val="6"/>
              <w:spacing w:before="172" w:line="220" w:lineRule="auto"/>
              <w:ind w:left="298"/>
            </w:pPr>
            <w:r>
              <w:t>险</w:t>
            </w:r>
          </w:p>
        </w:tc>
        <w:tc>
          <w:tcPr>
            <w:tcW w:w="634" w:type="dxa"/>
            <w:vMerge w:val="restart"/>
            <w:tcBorders>
              <w:bottom w:val="nil"/>
            </w:tcBorders>
            <w:vAlign w:val="top"/>
          </w:tcPr>
          <w:p w14:paraId="63D20F0D">
            <w:pPr>
              <w:spacing w:line="277" w:lineRule="auto"/>
              <w:rPr>
                <w:rFonts w:ascii="Arial"/>
                <w:sz w:val="21"/>
              </w:rPr>
            </w:pPr>
          </w:p>
          <w:p w14:paraId="55BA90E9">
            <w:pPr>
              <w:pStyle w:val="6"/>
              <w:spacing w:before="69" w:line="367" w:lineRule="auto"/>
              <w:ind w:left="79" w:hanging="60"/>
            </w:pPr>
            <w:r>
              <w:rPr>
                <w:spacing w:val="-24"/>
              </w:rPr>
              <w:t>执业</w:t>
            </w:r>
            <w:r>
              <w:rPr>
                <w:spacing w:val="-60"/>
              </w:rPr>
              <w:t xml:space="preserve"> </w:t>
            </w:r>
            <w:r>
              <w:rPr>
                <w:spacing w:val="-24"/>
              </w:rPr>
              <w:t>、</w:t>
            </w:r>
            <w:r>
              <w:t xml:space="preserve"> </w:t>
            </w:r>
            <w:r>
              <w:rPr>
                <w:spacing w:val="-14"/>
                <w:w w:val="90"/>
              </w:rPr>
              <w:t>职业</w:t>
            </w:r>
            <w:r>
              <w:t xml:space="preserve">   </w:t>
            </w:r>
            <w:r>
              <w:rPr>
                <w:spacing w:val="-11"/>
              </w:rPr>
              <w:t>单位</w:t>
            </w:r>
          </w:p>
        </w:tc>
      </w:tr>
      <w:tr w14:paraId="0A69A2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9" w:hRule="atLeast"/>
        </w:trPr>
        <w:tc>
          <w:tcPr>
            <w:tcW w:w="534" w:type="dxa"/>
            <w:vMerge w:val="continue"/>
            <w:tcBorders>
              <w:top w:val="nil"/>
            </w:tcBorders>
            <w:vAlign w:val="top"/>
          </w:tcPr>
          <w:p w14:paraId="4CAFFC91">
            <w:pPr>
              <w:rPr>
                <w:rFonts w:ascii="Arial"/>
                <w:sz w:val="21"/>
              </w:rPr>
            </w:pPr>
          </w:p>
        </w:tc>
        <w:tc>
          <w:tcPr>
            <w:tcW w:w="849" w:type="dxa"/>
            <w:vMerge w:val="continue"/>
            <w:tcBorders>
              <w:top w:val="nil"/>
            </w:tcBorders>
            <w:vAlign w:val="top"/>
          </w:tcPr>
          <w:p w14:paraId="135624BB">
            <w:pPr>
              <w:rPr>
                <w:rFonts w:ascii="Arial"/>
                <w:sz w:val="21"/>
              </w:rPr>
            </w:pPr>
          </w:p>
        </w:tc>
        <w:tc>
          <w:tcPr>
            <w:tcW w:w="559" w:type="dxa"/>
            <w:vMerge w:val="continue"/>
            <w:tcBorders>
              <w:top w:val="nil"/>
            </w:tcBorders>
            <w:vAlign w:val="top"/>
          </w:tcPr>
          <w:p w14:paraId="614CB4DE">
            <w:pPr>
              <w:rPr>
                <w:rFonts w:ascii="Arial"/>
                <w:sz w:val="21"/>
              </w:rPr>
            </w:pPr>
          </w:p>
        </w:tc>
        <w:tc>
          <w:tcPr>
            <w:tcW w:w="360" w:type="dxa"/>
            <w:vMerge w:val="continue"/>
            <w:tcBorders>
              <w:top w:val="nil"/>
            </w:tcBorders>
            <w:textDirection w:val="tbRlV"/>
            <w:vAlign w:val="top"/>
          </w:tcPr>
          <w:p w14:paraId="6B79E8C8">
            <w:pPr>
              <w:rPr>
                <w:rFonts w:ascii="Arial"/>
                <w:sz w:val="21"/>
              </w:rPr>
            </w:pPr>
          </w:p>
        </w:tc>
        <w:tc>
          <w:tcPr>
            <w:tcW w:w="509" w:type="dxa"/>
            <w:vMerge w:val="continue"/>
            <w:tcBorders>
              <w:top w:val="nil"/>
            </w:tcBorders>
            <w:vAlign w:val="top"/>
          </w:tcPr>
          <w:p w14:paraId="444326A1">
            <w:pPr>
              <w:rPr>
                <w:rFonts w:ascii="Arial"/>
                <w:sz w:val="21"/>
              </w:rPr>
            </w:pPr>
          </w:p>
        </w:tc>
        <w:tc>
          <w:tcPr>
            <w:tcW w:w="499" w:type="dxa"/>
            <w:vMerge w:val="continue"/>
            <w:tcBorders>
              <w:top w:val="nil"/>
            </w:tcBorders>
            <w:vAlign w:val="top"/>
          </w:tcPr>
          <w:p w14:paraId="2A851CA6">
            <w:pPr>
              <w:rPr>
                <w:rFonts w:ascii="Arial"/>
                <w:sz w:val="21"/>
              </w:rPr>
            </w:pPr>
          </w:p>
        </w:tc>
        <w:tc>
          <w:tcPr>
            <w:tcW w:w="849" w:type="dxa"/>
            <w:vMerge w:val="continue"/>
            <w:tcBorders>
              <w:top w:val="nil"/>
            </w:tcBorders>
            <w:vAlign w:val="top"/>
          </w:tcPr>
          <w:p w14:paraId="15987B6D">
            <w:pPr>
              <w:rPr>
                <w:rFonts w:ascii="Arial"/>
                <w:sz w:val="21"/>
              </w:rPr>
            </w:pPr>
          </w:p>
        </w:tc>
        <w:tc>
          <w:tcPr>
            <w:tcW w:w="380" w:type="dxa"/>
            <w:vMerge w:val="continue"/>
            <w:tcBorders>
              <w:top w:val="nil"/>
            </w:tcBorders>
            <w:textDirection w:val="tbRlV"/>
            <w:vAlign w:val="top"/>
          </w:tcPr>
          <w:p w14:paraId="3E5C44DF">
            <w:pPr>
              <w:rPr>
                <w:rFonts w:ascii="Arial"/>
                <w:sz w:val="21"/>
              </w:rPr>
            </w:pPr>
          </w:p>
        </w:tc>
        <w:tc>
          <w:tcPr>
            <w:tcW w:w="400" w:type="dxa"/>
            <w:textDirection w:val="tbRlV"/>
            <w:vAlign w:val="top"/>
          </w:tcPr>
          <w:p w14:paraId="76444CAA">
            <w:pPr>
              <w:pStyle w:val="6"/>
              <w:spacing w:before="105" w:line="201" w:lineRule="auto"/>
              <w:ind w:left="270"/>
            </w:pPr>
            <w:r>
              <w:t>初级</w:t>
            </w:r>
          </w:p>
        </w:tc>
        <w:tc>
          <w:tcPr>
            <w:tcW w:w="370" w:type="dxa"/>
            <w:textDirection w:val="tbRlV"/>
            <w:vAlign w:val="top"/>
          </w:tcPr>
          <w:p w14:paraId="64A5F892">
            <w:pPr>
              <w:pStyle w:val="6"/>
              <w:spacing w:before="106" w:line="195" w:lineRule="auto"/>
              <w:ind w:left="269"/>
            </w:pPr>
            <w:r>
              <w:t>中级</w:t>
            </w:r>
          </w:p>
        </w:tc>
        <w:tc>
          <w:tcPr>
            <w:tcW w:w="370" w:type="dxa"/>
            <w:textDirection w:val="tbRlV"/>
            <w:vAlign w:val="top"/>
          </w:tcPr>
          <w:p w14:paraId="63BD6A9D">
            <w:pPr>
              <w:pStyle w:val="6"/>
              <w:spacing w:before="103" w:line="197" w:lineRule="auto"/>
              <w:ind w:left="270"/>
            </w:pPr>
            <w:r>
              <w:t>高级</w:t>
            </w:r>
          </w:p>
        </w:tc>
        <w:tc>
          <w:tcPr>
            <w:tcW w:w="869" w:type="dxa"/>
            <w:vAlign w:val="top"/>
          </w:tcPr>
          <w:p w14:paraId="0F63CDCC">
            <w:pPr>
              <w:spacing w:line="327" w:lineRule="auto"/>
              <w:rPr>
                <w:rFonts w:ascii="Arial"/>
                <w:sz w:val="21"/>
              </w:rPr>
            </w:pPr>
          </w:p>
          <w:p w14:paraId="0F4B460F">
            <w:pPr>
              <w:pStyle w:val="6"/>
              <w:spacing w:before="68" w:line="219" w:lineRule="auto"/>
              <w:ind w:left="16"/>
            </w:pPr>
            <w:r>
              <w:rPr>
                <w:spacing w:val="-2"/>
              </w:rPr>
              <w:t>证书名称</w:t>
            </w:r>
          </w:p>
        </w:tc>
        <w:tc>
          <w:tcPr>
            <w:tcW w:w="440" w:type="dxa"/>
            <w:vAlign w:val="top"/>
          </w:tcPr>
          <w:p w14:paraId="223E0574">
            <w:pPr>
              <w:spacing w:line="328" w:lineRule="auto"/>
              <w:rPr>
                <w:rFonts w:ascii="Arial"/>
                <w:sz w:val="21"/>
              </w:rPr>
            </w:pPr>
          </w:p>
          <w:p w14:paraId="65559161">
            <w:pPr>
              <w:pStyle w:val="6"/>
              <w:spacing w:before="69" w:line="220" w:lineRule="auto"/>
              <w:jc w:val="right"/>
            </w:pPr>
            <w:r>
              <w:rPr>
                <w:spacing w:val="-4"/>
              </w:rPr>
              <w:t>级别</w:t>
            </w:r>
          </w:p>
        </w:tc>
        <w:tc>
          <w:tcPr>
            <w:tcW w:w="749" w:type="dxa"/>
            <w:vAlign w:val="top"/>
          </w:tcPr>
          <w:p w14:paraId="1297644A">
            <w:pPr>
              <w:spacing w:line="329" w:lineRule="auto"/>
              <w:rPr>
                <w:rFonts w:ascii="Arial"/>
                <w:sz w:val="21"/>
              </w:rPr>
            </w:pPr>
          </w:p>
          <w:p w14:paraId="4AD40C97">
            <w:pPr>
              <w:pStyle w:val="6"/>
              <w:spacing w:before="68" w:line="221" w:lineRule="auto"/>
              <w:ind w:left="166"/>
            </w:pPr>
            <w:r>
              <w:rPr>
                <w:spacing w:val="6"/>
              </w:rPr>
              <w:t>证号</w:t>
            </w:r>
          </w:p>
        </w:tc>
        <w:tc>
          <w:tcPr>
            <w:tcW w:w="749" w:type="dxa"/>
            <w:vAlign w:val="top"/>
          </w:tcPr>
          <w:p w14:paraId="02E31199">
            <w:pPr>
              <w:spacing w:line="328" w:lineRule="auto"/>
              <w:rPr>
                <w:rFonts w:ascii="Arial"/>
                <w:sz w:val="21"/>
              </w:rPr>
            </w:pPr>
          </w:p>
          <w:p w14:paraId="31C796A6">
            <w:pPr>
              <w:pStyle w:val="6"/>
              <w:spacing w:before="69" w:line="220" w:lineRule="auto"/>
              <w:ind w:left="177"/>
            </w:pPr>
            <w:r>
              <w:rPr>
                <w:spacing w:val="-3"/>
              </w:rPr>
              <w:t>专业</w:t>
            </w:r>
          </w:p>
        </w:tc>
        <w:tc>
          <w:tcPr>
            <w:tcW w:w="759" w:type="dxa"/>
            <w:vMerge w:val="continue"/>
            <w:tcBorders>
              <w:top w:val="nil"/>
            </w:tcBorders>
            <w:vAlign w:val="top"/>
          </w:tcPr>
          <w:p w14:paraId="441E1222">
            <w:pPr>
              <w:rPr>
                <w:rFonts w:ascii="Arial"/>
                <w:sz w:val="21"/>
              </w:rPr>
            </w:pPr>
          </w:p>
        </w:tc>
        <w:tc>
          <w:tcPr>
            <w:tcW w:w="634" w:type="dxa"/>
            <w:vMerge w:val="continue"/>
            <w:tcBorders>
              <w:top w:val="nil"/>
            </w:tcBorders>
            <w:vAlign w:val="top"/>
          </w:tcPr>
          <w:p w14:paraId="5860544B">
            <w:pPr>
              <w:rPr>
                <w:rFonts w:ascii="Arial"/>
                <w:sz w:val="21"/>
              </w:rPr>
            </w:pPr>
          </w:p>
        </w:tc>
      </w:tr>
      <w:tr w14:paraId="2A5E2C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9" w:hRule="atLeast"/>
        </w:trPr>
        <w:tc>
          <w:tcPr>
            <w:tcW w:w="534" w:type="dxa"/>
            <w:vAlign w:val="top"/>
          </w:tcPr>
          <w:p w14:paraId="11F9D864">
            <w:pPr>
              <w:pStyle w:val="6"/>
              <w:spacing w:before="260" w:line="241" w:lineRule="auto"/>
              <w:ind w:left="204"/>
            </w:pPr>
            <w:r>
              <w:t>1</w:t>
            </w:r>
          </w:p>
        </w:tc>
        <w:tc>
          <w:tcPr>
            <w:tcW w:w="849" w:type="dxa"/>
            <w:vAlign w:val="top"/>
          </w:tcPr>
          <w:p w14:paraId="46DD09F8">
            <w:pPr>
              <w:rPr>
                <w:rFonts w:ascii="Arial"/>
                <w:sz w:val="21"/>
              </w:rPr>
            </w:pPr>
          </w:p>
        </w:tc>
        <w:tc>
          <w:tcPr>
            <w:tcW w:w="559" w:type="dxa"/>
            <w:vAlign w:val="top"/>
          </w:tcPr>
          <w:p w14:paraId="0D139D1D">
            <w:pPr>
              <w:rPr>
                <w:rFonts w:ascii="Arial"/>
                <w:sz w:val="21"/>
              </w:rPr>
            </w:pPr>
          </w:p>
        </w:tc>
        <w:tc>
          <w:tcPr>
            <w:tcW w:w="360" w:type="dxa"/>
            <w:vAlign w:val="top"/>
          </w:tcPr>
          <w:p w14:paraId="7E7257D3">
            <w:pPr>
              <w:rPr>
                <w:rFonts w:ascii="Arial"/>
                <w:sz w:val="21"/>
              </w:rPr>
            </w:pPr>
          </w:p>
        </w:tc>
        <w:tc>
          <w:tcPr>
            <w:tcW w:w="509" w:type="dxa"/>
            <w:vAlign w:val="top"/>
          </w:tcPr>
          <w:p w14:paraId="484EF230">
            <w:pPr>
              <w:rPr>
                <w:rFonts w:ascii="Arial"/>
                <w:sz w:val="21"/>
              </w:rPr>
            </w:pPr>
          </w:p>
        </w:tc>
        <w:tc>
          <w:tcPr>
            <w:tcW w:w="499" w:type="dxa"/>
            <w:vAlign w:val="top"/>
          </w:tcPr>
          <w:p w14:paraId="09EB4950">
            <w:pPr>
              <w:rPr>
                <w:rFonts w:ascii="Arial"/>
                <w:sz w:val="21"/>
              </w:rPr>
            </w:pPr>
          </w:p>
        </w:tc>
        <w:tc>
          <w:tcPr>
            <w:tcW w:w="849" w:type="dxa"/>
            <w:vAlign w:val="top"/>
          </w:tcPr>
          <w:p w14:paraId="2FCA2513">
            <w:pPr>
              <w:rPr>
                <w:rFonts w:ascii="Arial"/>
                <w:sz w:val="21"/>
              </w:rPr>
            </w:pPr>
          </w:p>
        </w:tc>
        <w:tc>
          <w:tcPr>
            <w:tcW w:w="380" w:type="dxa"/>
            <w:vAlign w:val="top"/>
          </w:tcPr>
          <w:p w14:paraId="2275E417">
            <w:pPr>
              <w:rPr>
                <w:rFonts w:ascii="Arial"/>
                <w:sz w:val="21"/>
              </w:rPr>
            </w:pPr>
          </w:p>
        </w:tc>
        <w:tc>
          <w:tcPr>
            <w:tcW w:w="400" w:type="dxa"/>
            <w:vAlign w:val="top"/>
          </w:tcPr>
          <w:p w14:paraId="021CBA8F">
            <w:pPr>
              <w:rPr>
                <w:rFonts w:ascii="Arial"/>
                <w:sz w:val="21"/>
              </w:rPr>
            </w:pPr>
          </w:p>
        </w:tc>
        <w:tc>
          <w:tcPr>
            <w:tcW w:w="370" w:type="dxa"/>
            <w:vAlign w:val="top"/>
          </w:tcPr>
          <w:p w14:paraId="0D3BDC1F">
            <w:pPr>
              <w:rPr>
                <w:rFonts w:ascii="Arial"/>
                <w:sz w:val="21"/>
              </w:rPr>
            </w:pPr>
          </w:p>
        </w:tc>
        <w:tc>
          <w:tcPr>
            <w:tcW w:w="370" w:type="dxa"/>
            <w:vAlign w:val="top"/>
          </w:tcPr>
          <w:p w14:paraId="12A9740F">
            <w:pPr>
              <w:rPr>
                <w:rFonts w:ascii="Arial"/>
                <w:sz w:val="21"/>
              </w:rPr>
            </w:pPr>
          </w:p>
        </w:tc>
        <w:tc>
          <w:tcPr>
            <w:tcW w:w="869" w:type="dxa"/>
            <w:vAlign w:val="top"/>
          </w:tcPr>
          <w:p w14:paraId="4983E209">
            <w:pPr>
              <w:rPr>
                <w:rFonts w:ascii="Arial"/>
                <w:sz w:val="21"/>
              </w:rPr>
            </w:pPr>
          </w:p>
        </w:tc>
        <w:tc>
          <w:tcPr>
            <w:tcW w:w="440" w:type="dxa"/>
            <w:vAlign w:val="top"/>
          </w:tcPr>
          <w:p w14:paraId="6C75FEFC">
            <w:pPr>
              <w:rPr>
                <w:rFonts w:ascii="Arial"/>
                <w:sz w:val="21"/>
              </w:rPr>
            </w:pPr>
          </w:p>
        </w:tc>
        <w:tc>
          <w:tcPr>
            <w:tcW w:w="749" w:type="dxa"/>
            <w:vAlign w:val="top"/>
          </w:tcPr>
          <w:p w14:paraId="552893FB">
            <w:pPr>
              <w:rPr>
                <w:rFonts w:ascii="Arial"/>
                <w:sz w:val="21"/>
              </w:rPr>
            </w:pPr>
          </w:p>
        </w:tc>
        <w:tc>
          <w:tcPr>
            <w:tcW w:w="749" w:type="dxa"/>
            <w:vAlign w:val="top"/>
          </w:tcPr>
          <w:p w14:paraId="52BCEE80">
            <w:pPr>
              <w:rPr>
                <w:rFonts w:ascii="Arial"/>
                <w:sz w:val="21"/>
              </w:rPr>
            </w:pPr>
          </w:p>
        </w:tc>
        <w:tc>
          <w:tcPr>
            <w:tcW w:w="759" w:type="dxa"/>
            <w:vAlign w:val="top"/>
          </w:tcPr>
          <w:p w14:paraId="10694827">
            <w:pPr>
              <w:rPr>
                <w:rFonts w:ascii="Arial"/>
                <w:sz w:val="21"/>
              </w:rPr>
            </w:pPr>
          </w:p>
        </w:tc>
        <w:tc>
          <w:tcPr>
            <w:tcW w:w="634" w:type="dxa"/>
            <w:vAlign w:val="top"/>
          </w:tcPr>
          <w:p w14:paraId="6E5ECE7B">
            <w:pPr>
              <w:rPr>
                <w:rFonts w:ascii="Arial"/>
                <w:sz w:val="21"/>
              </w:rPr>
            </w:pPr>
          </w:p>
        </w:tc>
      </w:tr>
      <w:tr w14:paraId="4303DC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9" w:hRule="atLeast"/>
        </w:trPr>
        <w:tc>
          <w:tcPr>
            <w:tcW w:w="534" w:type="dxa"/>
            <w:vAlign w:val="top"/>
          </w:tcPr>
          <w:p w14:paraId="072F6784">
            <w:pPr>
              <w:pStyle w:val="6"/>
              <w:spacing w:before="241" w:line="241" w:lineRule="auto"/>
              <w:ind w:left="204"/>
            </w:pPr>
            <w:r>
              <w:t>2</w:t>
            </w:r>
          </w:p>
        </w:tc>
        <w:tc>
          <w:tcPr>
            <w:tcW w:w="849" w:type="dxa"/>
            <w:vAlign w:val="top"/>
          </w:tcPr>
          <w:p w14:paraId="15A444D7">
            <w:pPr>
              <w:rPr>
                <w:rFonts w:ascii="Arial"/>
                <w:sz w:val="21"/>
              </w:rPr>
            </w:pPr>
          </w:p>
        </w:tc>
        <w:tc>
          <w:tcPr>
            <w:tcW w:w="559" w:type="dxa"/>
            <w:vAlign w:val="top"/>
          </w:tcPr>
          <w:p w14:paraId="28B7A136">
            <w:pPr>
              <w:rPr>
                <w:rFonts w:ascii="Arial"/>
                <w:sz w:val="21"/>
              </w:rPr>
            </w:pPr>
          </w:p>
        </w:tc>
        <w:tc>
          <w:tcPr>
            <w:tcW w:w="360" w:type="dxa"/>
            <w:vAlign w:val="top"/>
          </w:tcPr>
          <w:p w14:paraId="193CA170">
            <w:pPr>
              <w:rPr>
                <w:rFonts w:ascii="Arial"/>
                <w:sz w:val="21"/>
              </w:rPr>
            </w:pPr>
          </w:p>
        </w:tc>
        <w:tc>
          <w:tcPr>
            <w:tcW w:w="509" w:type="dxa"/>
            <w:vAlign w:val="top"/>
          </w:tcPr>
          <w:p w14:paraId="16D985FE">
            <w:pPr>
              <w:rPr>
                <w:rFonts w:ascii="Arial"/>
                <w:sz w:val="21"/>
              </w:rPr>
            </w:pPr>
          </w:p>
        </w:tc>
        <w:tc>
          <w:tcPr>
            <w:tcW w:w="499" w:type="dxa"/>
            <w:vAlign w:val="top"/>
          </w:tcPr>
          <w:p w14:paraId="6873DE1C">
            <w:pPr>
              <w:rPr>
                <w:rFonts w:ascii="Arial"/>
                <w:sz w:val="21"/>
              </w:rPr>
            </w:pPr>
          </w:p>
        </w:tc>
        <w:tc>
          <w:tcPr>
            <w:tcW w:w="849" w:type="dxa"/>
            <w:vAlign w:val="top"/>
          </w:tcPr>
          <w:p w14:paraId="628D44D1">
            <w:pPr>
              <w:rPr>
                <w:rFonts w:ascii="Arial"/>
                <w:sz w:val="21"/>
              </w:rPr>
            </w:pPr>
          </w:p>
        </w:tc>
        <w:tc>
          <w:tcPr>
            <w:tcW w:w="380" w:type="dxa"/>
            <w:vAlign w:val="top"/>
          </w:tcPr>
          <w:p w14:paraId="5C225A68">
            <w:pPr>
              <w:rPr>
                <w:rFonts w:ascii="Arial"/>
                <w:sz w:val="21"/>
              </w:rPr>
            </w:pPr>
          </w:p>
        </w:tc>
        <w:tc>
          <w:tcPr>
            <w:tcW w:w="400" w:type="dxa"/>
            <w:vAlign w:val="top"/>
          </w:tcPr>
          <w:p w14:paraId="60714F50">
            <w:pPr>
              <w:rPr>
                <w:rFonts w:ascii="Arial"/>
                <w:sz w:val="21"/>
              </w:rPr>
            </w:pPr>
          </w:p>
        </w:tc>
        <w:tc>
          <w:tcPr>
            <w:tcW w:w="370" w:type="dxa"/>
            <w:vAlign w:val="top"/>
          </w:tcPr>
          <w:p w14:paraId="3E71281C">
            <w:pPr>
              <w:rPr>
                <w:rFonts w:ascii="Arial"/>
                <w:sz w:val="21"/>
              </w:rPr>
            </w:pPr>
          </w:p>
        </w:tc>
        <w:tc>
          <w:tcPr>
            <w:tcW w:w="370" w:type="dxa"/>
            <w:vAlign w:val="top"/>
          </w:tcPr>
          <w:p w14:paraId="1E276BB4">
            <w:pPr>
              <w:rPr>
                <w:rFonts w:ascii="Arial"/>
                <w:sz w:val="21"/>
              </w:rPr>
            </w:pPr>
          </w:p>
        </w:tc>
        <w:tc>
          <w:tcPr>
            <w:tcW w:w="869" w:type="dxa"/>
            <w:vAlign w:val="top"/>
          </w:tcPr>
          <w:p w14:paraId="0921967F">
            <w:pPr>
              <w:rPr>
                <w:rFonts w:ascii="Arial"/>
                <w:sz w:val="21"/>
              </w:rPr>
            </w:pPr>
          </w:p>
        </w:tc>
        <w:tc>
          <w:tcPr>
            <w:tcW w:w="440" w:type="dxa"/>
            <w:vAlign w:val="top"/>
          </w:tcPr>
          <w:p w14:paraId="62C0CCA1">
            <w:pPr>
              <w:rPr>
                <w:rFonts w:ascii="Arial"/>
                <w:sz w:val="21"/>
              </w:rPr>
            </w:pPr>
          </w:p>
        </w:tc>
        <w:tc>
          <w:tcPr>
            <w:tcW w:w="749" w:type="dxa"/>
            <w:vAlign w:val="top"/>
          </w:tcPr>
          <w:p w14:paraId="205F469E">
            <w:pPr>
              <w:rPr>
                <w:rFonts w:ascii="Arial"/>
                <w:sz w:val="21"/>
              </w:rPr>
            </w:pPr>
          </w:p>
        </w:tc>
        <w:tc>
          <w:tcPr>
            <w:tcW w:w="749" w:type="dxa"/>
            <w:vAlign w:val="top"/>
          </w:tcPr>
          <w:p w14:paraId="328BE326">
            <w:pPr>
              <w:rPr>
                <w:rFonts w:ascii="Arial"/>
                <w:sz w:val="21"/>
              </w:rPr>
            </w:pPr>
          </w:p>
        </w:tc>
        <w:tc>
          <w:tcPr>
            <w:tcW w:w="759" w:type="dxa"/>
            <w:vAlign w:val="top"/>
          </w:tcPr>
          <w:p w14:paraId="021035AF">
            <w:pPr>
              <w:rPr>
                <w:rFonts w:ascii="Arial"/>
                <w:sz w:val="21"/>
              </w:rPr>
            </w:pPr>
          </w:p>
        </w:tc>
        <w:tc>
          <w:tcPr>
            <w:tcW w:w="634" w:type="dxa"/>
            <w:vAlign w:val="top"/>
          </w:tcPr>
          <w:p w14:paraId="2E3D6BF3">
            <w:pPr>
              <w:rPr>
                <w:rFonts w:ascii="Arial"/>
                <w:sz w:val="21"/>
              </w:rPr>
            </w:pPr>
          </w:p>
        </w:tc>
      </w:tr>
      <w:tr w14:paraId="227605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9" w:hRule="atLeast"/>
        </w:trPr>
        <w:tc>
          <w:tcPr>
            <w:tcW w:w="534" w:type="dxa"/>
            <w:vAlign w:val="top"/>
          </w:tcPr>
          <w:p w14:paraId="360F8A2F">
            <w:pPr>
              <w:pStyle w:val="6"/>
              <w:spacing w:before="272"/>
              <w:ind w:left="204"/>
            </w:pPr>
            <w:r>
              <w:t>3</w:t>
            </w:r>
          </w:p>
        </w:tc>
        <w:tc>
          <w:tcPr>
            <w:tcW w:w="849" w:type="dxa"/>
            <w:vAlign w:val="top"/>
          </w:tcPr>
          <w:p w14:paraId="01A9CDDB">
            <w:pPr>
              <w:rPr>
                <w:rFonts w:ascii="Arial"/>
                <w:sz w:val="21"/>
              </w:rPr>
            </w:pPr>
          </w:p>
        </w:tc>
        <w:tc>
          <w:tcPr>
            <w:tcW w:w="559" w:type="dxa"/>
            <w:vAlign w:val="top"/>
          </w:tcPr>
          <w:p w14:paraId="1D53FA5B">
            <w:pPr>
              <w:rPr>
                <w:rFonts w:ascii="Arial"/>
                <w:sz w:val="21"/>
              </w:rPr>
            </w:pPr>
          </w:p>
        </w:tc>
        <w:tc>
          <w:tcPr>
            <w:tcW w:w="360" w:type="dxa"/>
            <w:vAlign w:val="top"/>
          </w:tcPr>
          <w:p w14:paraId="4B92101A">
            <w:pPr>
              <w:rPr>
                <w:rFonts w:ascii="Arial"/>
                <w:sz w:val="21"/>
              </w:rPr>
            </w:pPr>
          </w:p>
        </w:tc>
        <w:tc>
          <w:tcPr>
            <w:tcW w:w="509" w:type="dxa"/>
            <w:vAlign w:val="top"/>
          </w:tcPr>
          <w:p w14:paraId="20A36044">
            <w:pPr>
              <w:rPr>
                <w:rFonts w:ascii="Arial"/>
                <w:sz w:val="21"/>
              </w:rPr>
            </w:pPr>
          </w:p>
        </w:tc>
        <w:tc>
          <w:tcPr>
            <w:tcW w:w="499" w:type="dxa"/>
            <w:vAlign w:val="top"/>
          </w:tcPr>
          <w:p w14:paraId="7AF65B38">
            <w:pPr>
              <w:rPr>
                <w:rFonts w:ascii="Arial"/>
                <w:sz w:val="21"/>
              </w:rPr>
            </w:pPr>
          </w:p>
        </w:tc>
        <w:tc>
          <w:tcPr>
            <w:tcW w:w="849" w:type="dxa"/>
            <w:vAlign w:val="top"/>
          </w:tcPr>
          <w:p w14:paraId="290FDDCE">
            <w:pPr>
              <w:rPr>
                <w:rFonts w:ascii="Arial"/>
                <w:sz w:val="21"/>
              </w:rPr>
            </w:pPr>
          </w:p>
        </w:tc>
        <w:tc>
          <w:tcPr>
            <w:tcW w:w="380" w:type="dxa"/>
            <w:vAlign w:val="top"/>
          </w:tcPr>
          <w:p w14:paraId="0EC91BE4">
            <w:pPr>
              <w:rPr>
                <w:rFonts w:ascii="Arial"/>
                <w:sz w:val="21"/>
              </w:rPr>
            </w:pPr>
          </w:p>
        </w:tc>
        <w:tc>
          <w:tcPr>
            <w:tcW w:w="400" w:type="dxa"/>
            <w:vAlign w:val="top"/>
          </w:tcPr>
          <w:p w14:paraId="34456B7A">
            <w:pPr>
              <w:rPr>
                <w:rFonts w:ascii="Arial"/>
                <w:sz w:val="21"/>
              </w:rPr>
            </w:pPr>
          </w:p>
        </w:tc>
        <w:tc>
          <w:tcPr>
            <w:tcW w:w="370" w:type="dxa"/>
            <w:vAlign w:val="top"/>
          </w:tcPr>
          <w:p w14:paraId="674C161B">
            <w:pPr>
              <w:rPr>
                <w:rFonts w:ascii="Arial"/>
                <w:sz w:val="21"/>
              </w:rPr>
            </w:pPr>
          </w:p>
        </w:tc>
        <w:tc>
          <w:tcPr>
            <w:tcW w:w="370" w:type="dxa"/>
            <w:vAlign w:val="top"/>
          </w:tcPr>
          <w:p w14:paraId="592295C0">
            <w:pPr>
              <w:rPr>
                <w:rFonts w:ascii="Arial"/>
                <w:sz w:val="21"/>
              </w:rPr>
            </w:pPr>
          </w:p>
        </w:tc>
        <w:tc>
          <w:tcPr>
            <w:tcW w:w="869" w:type="dxa"/>
            <w:vAlign w:val="top"/>
          </w:tcPr>
          <w:p w14:paraId="7C82D9A7">
            <w:pPr>
              <w:rPr>
                <w:rFonts w:ascii="Arial"/>
                <w:sz w:val="21"/>
              </w:rPr>
            </w:pPr>
          </w:p>
        </w:tc>
        <w:tc>
          <w:tcPr>
            <w:tcW w:w="440" w:type="dxa"/>
            <w:vAlign w:val="top"/>
          </w:tcPr>
          <w:p w14:paraId="66C028A2">
            <w:pPr>
              <w:rPr>
                <w:rFonts w:ascii="Arial"/>
                <w:sz w:val="21"/>
              </w:rPr>
            </w:pPr>
          </w:p>
        </w:tc>
        <w:tc>
          <w:tcPr>
            <w:tcW w:w="749" w:type="dxa"/>
            <w:vAlign w:val="top"/>
          </w:tcPr>
          <w:p w14:paraId="6DDFC107">
            <w:pPr>
              <w:rPr>
                <w:rFonts w:ascii="Arial"/>
                <w:sz w:val="21"/>
              </w:rPr>
            </w:pPr>
          </w:p>
        </w:tc>
        <w:tc>
          <w:tcPr>
            <w:tcW w:w="749" w:type="dxa"/>
            <w:vAlign w:val="top"/>
          </w:tcPr>
          <w:p w14:paraId="177A9558">
            <w:pPr>
              <w:rPr>
                <w:rFonts w:ascii="Arial"/>
                <w:sz w:val="21"/>
              </w:rPr>
            </w:pPr>
          </w:p>
        </w:tc>
        <w:tc>
          <w:tcPr>
            <w:tcW w:w="759" w:type="dxa"/>
            <w:vAlign w:val="top"/>
          </w:tcPr>
          <w:p w14:paraId="300ADE93">
            <w:pPr>
              <w:rPr>
                <w:rFonts w:ascii="Arial"/>
                <w:sz w:val="21"/>
              </w:rPr>
            </w:pPr>
          </w:p>
        </w:tc>
        <w:tc>
          <w:tcPr>
            <w:tcW w:w="634" w:type="dxa"/>
            <w:vAlign w:val="top"/>
          </w:tcPr>
          <w:p w14:paraId="03014E60">
            <w:pPr>
              <w:rPr>
                <w:rFonts w:ascii="Arial"/>
                <w:sz w:val="21"/>
              </w:rPr>
            </w:pPr>
          </w:p>
        </w:tc>
      </w:tr>
      <w:tr w14:paraId="58C498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9" w:hRule="atLeast"/>
        </w:trPr>
        <w:tc>
          <w:tcPr>
            <w:tcW w:w="534" w:type="dxa"/>
            <w:vAlign w:val="top"/>
          </w:tcPr>
          <w:p w14:paraId="775C1511">
            <w:pPr>
              <w:pStyle w:val="6"/>
              <w:spacing w:before="243" w:line="241" w:lineRule="auto"/>
              <w:ind w:left="204"/>
            </w:pPr>
            <w:r>
              <w:t>4</w:t>
            </w:r>
          </w:p>
        </w:tc>
        <w:tc>
          <w:tcPr>
            <w:tcW w:w="849" w:type="dxa"/>
            <w:vAlign w:val="top"/>
          </w:tcPr>
          <w:p w14:paraId="4EFD46B6">
            <w:pPr>
              <w:rPr>
                <w:rFonts w:ascii="Arial"/>
                <w:sz w:val="21"/>
              </w:rPr>
            </w:pPr>
          </w:p>
        </w:tc>
        <w:tc>
          <w:tcPr>
            <w:tcW w:w="559" w:type="dxa"/>
            <w:vAlign w:val="top"/>
          </w:tcPr>
          <w:p w14:paraId="2397B656">
            <w:pPr>
              <w:rPr>
                <w:rFonts w:ascii="Arial"/>
                <w:sz w:val="21"/>
              </w:rPr>
            </w:pPr>
          </w:p>
        </w:tc>
        <w:tc>
          <w:tcPr>
            <w:tcW w:w="360" w:type="dxa"/>
            <w:vAlign w:val="top"/>
          </w:tcPr>
          <w:p w14:paraId="74F36D99">
            <w:pPr>
              <w:rPr>
                <w:rFonts w:ascii="Arial"/>
                <w:sz w:val="21"/>
              </w:rPr>
            </w:pPr>
          </w:p>
        </w:tc>
        <w:tc>
          <w:tcPr>
            <w:tcW w:w="509" w:type="dxa"/>
            <w:vAlign w:val="top"/>
          </w:tcPr>
          <w:p w14:paraId="5182DCA9">
            <w:pPr>
              <w:rPr>
                <w:rFonts w:ascii="Arial"/>
                <w:sz w:val="21"/>
              </w:rPr>
            </w:pPr>
          </w:p>
        </w:tc>
        <w:tc>
          <w:tcPr>
            <w:tcW w:w="499" w:type="dxa"/>
            <w:vAlign w:val="top"/>
          </w:tcPr>
          <w:p w14:paraId="7030E669">
            <w:pPr>
              <w:rPr>
                <w:rFonts w:ascii="Arial"/>
                <w:sz w:val="21"/>
              </w:rPr>
            </w:pPr>
          </w:p>
        </w:tc>
        <w:tc>
          <w:tcPr>
            <w:tcW w:w="849" w:type="dxa"/>
            <w:vAlign w:val="top"/>
          </w:tcPr>
          <w:p w14:paraId="24AC65C5">
            <w:pPr>
              <w:rPr>
                <w:rFonts w:ascii="Arial"/>
                <w:sz w:val="21"/>
              </w:rPr>
            </w:pPr>
          </w:p>
        </w:tc>
        <w:tc>
          <w:tcPr>
            <w:tcW w:w="380" w:type="dxa"/>
            <w:vAlign w:val="top"/>
          </w:tcPr>
          <w:p w14:paraId="34E350FB">
            <w:pPr>
              <w:rPr>
                <w:rFonts w:ascii="Arial"/>
                <w:sz w:val="21"/>
              </w:rPr>
            </w:pPr>
          </w:p>
        </w:tc>
        <w:tc>
          <w:tcPr>
            <w:tcW w:w="400" w:type="dxa"/>
            <w:vAlign w:val="top"/>
          </w:tcPr>
          <w:p w14:paraId="235849D9">
            <w:pPr>
              <w:rPr>
                <w:rFonts w:ascii="Arial"/>
                <w:sz w:val="21"/>
              </w:rPr>
            </w:pPr>
          </w:p>
        </w:tc>
        <w:tc>
          <w:tcPr>
            <w:tcW w:w="370" w:type="dxa"/>
            <w:vAlign w:val="top"/>
          </w:tcPr>
          <w:p w14:paraId="3EA20FD1">
            <w:pPr>
              <w:rPr>
                <w:rFonts w:ascii="Arial"/>
                <w:sz w:val="21"/>
              </w:rPr>
            </w:pPr>
          </w:p>
        </w:tc>
        <w:tc>
          <w:tcPr>
            <w:tcW w:w="370" w:type="dxa"/>
            <w:vAlign w:val="top"/>
          </w:tcPr>
          <w:p w14:paraId="3710029A">
            <w:pPr>
              <w:rPr>
                <w:rFonts w:ascii="Arial"/>
                <w:sz w:val="21"/>
              </w:rPr>
            </w:pPr>
          </w:p>
        </w:tc>
        <w:tc>
          <w:tcPr>
            <w:tcW w:w="869" w:type="dxa"/>
            <w:vAlign w:val="top"/>
          </w:tcPr>
          <w:p w14:paraId="7406925F">
            <w:pPr>
              <w:rPr>
                <w:rFonts w:ascii="Arial"/>
                <w:sz w:val="21"/>
              </w:rPr>
            </w:pPr>
          </w:p>
        </w:tc>
        <w:tc>
          <w:tcPr>
            <w:tcW w:w="440" w:type="dxa"/>
            <w:vAlign w:val="top"/>
          </w:tcPr>
          <w:p w14:paraId="2A483677">
            <w:pPr>
              <w:rPr>
                <w:rFonts w:ascii="Arial"/>
                <w:sz w:val="21"/>
              </w:rPr>
            </w:pPr>
          </w:p>
        </w:tc>
        <w:tc>
          <w:tcPr>
            <w:tcW w:w="749" w:type="dxa"/>
            <w:vAlign w:val="top"/>
          </w:tcPr>
          <w:p w14:paraId="03F56757">
            <w:pPr>
              <w:rPr>
                <w:rFonts w:ascii="Arial"/>
                <w:sz w:val="21"/>
              </w:rPr>
            </w:pPr>
          </w:p>
        </w:tc>
        <w:tc>
          <w:tcPr>
            <w:tcW w:w="749" w:type="dxa"/>
            <w:vAlign w:val="top"/>
          </w:tcPr>
          <w:p w14:paraId="2EA0BE42">
            <w:pPr>
              <w:rPr>
                <w:rFonts w:ascii="Arial"/>
                <w:sz w:val="21"/>
              </w:rPr>
            </w:pPr>
          </w:p>
        </w:tc>
        <w:tc>
          <w:tcPr>
            <w:tcW w:w="759" w:type="dxa"/>
            <w:vAlign w:val="top"/>
          </w:tcPr>
          <w:p w14:paraId="75E95047">
            <w:pPr>
              <w:rPr>
                <w:rFonts w:ascii="Arial"/>
                <w:sz w:val="21"/>
              </w:rPr>
            </w:pPr>
          </w:p>
        </w:tc>
        <w:tc>
          <w:tcPr>
            <w:tcW w:w="634" w:type="dxa"/>
            <w:vAlign w:val="top"/>
          </w:tcPr>
          <w:p w14:paraId="1E99352F">
            <w:pPr>
              <w:rPr>
                <w:rFonts w:ascii="Arial"/>
                <w:sz w:val="21"/>
              </w:rPr>
            </w:pPr>
          </w:p>
        </w:tc>
      </w:tr>
      <w:tr w14:paraId="66149E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9" w:hRule="atLeast"/>
        </w:trPr>
        <w:tc>
          <w:tcPr>
            <w:tcW w:w="534" w:type="dxa"/>
            <w:vAlign w:val="top"/>
          </w:tcPr>
          <w:p w14:paraId="3A8D2B5E">
            <w:pPr>
              <w:pStyle w:val="6"/>
              <w:spacing w:before="254"/>
              <w:ind w:left="204"/>
            </w:pPr>
            <w:r>
              <w:t>5</w:t>
            </w:r>
          </w:p>
        </w:tc>
        <w:tc>
          <w:tcPr>
            <w:tcW w:w="849" w:type="dxa"/>
            <w:vAlign w:val="top"/>
          </w:tcPr>
          <w:p w14:paraId="78E45580">
            <w:pPr>
              <w:rPr>
                <w:rFonts w:ascii="Arial"/>
                <w:sz w:val="21"/>
              </w:rPr>
            </w:pPr>
          </w:p>
        </w:tc>
        <w:tc>
          <w:tcPr>
            <w:tcW w:w="559" w:type="dxa"/>
            <w:vAlign w:val="top"/>
          </w:tcPr>
          <w:p w14:paraId="21B7455B">
            <w:pPr>
              <w:rPr>
                <w:rFonts w:ascii="Arial"/>
                <w:sz w:val="21"/>
              </w:rPr>
            </w:pPr>
          </w:p>
        </w:tc>
        <w:tc>
          <w:tcPr>
            <w:tcW w:w="360" w:type="dxa"/>
            <w:vAlign w:val="top"/>
          </w:tcPr>
          <w:p w14:paraId="42538330">
            <w:pPr>
              <w:rPr>
                <w:rFonts w:ascii="Arial"/>
                <w:sz w:val="21"/>
              </w:rPr>
            </w:pPr>
          </w:p>
        </w:tc>
        <w:tc>
          <w:tcPr>
            <w:tcW w:w="509" w:type="dxa"/>
            <w:vAlign w:val="top"/>
          </w:tcPr>
          <w:p w14:paraId="03E56E30">
            <w:pPr>
              <w:rPr>
                <w:rFonts w:ascii="Arial"/>
                <w:sz w:val="21"/>
              </w:rPr>
            </w:pPr>
          </w:p>
        </w:tc>
        <w:tc>
          <w:tcPr>
            <w:tcW w:w="499" w:type="dxa"/>
            <w:vAlign w:val="top"/>
          </w:tcPr>
          <w:p w14:paraId="168ABA2C">
            <w:pPr>
              <w:rPr>
                <w:rFonts w:ascii="Arial"/>
                <w:sz w:val="21"/>
              </w:rPr>
            </w:pPr>
          </w:p>
        </w:tc>
        <w:tc>
          <w:tcPr>
            <w:tcW w:w="849" w:type="dxa"/>
            <w:vAlign w:val="top"/>
          </w:tcPr>
          <w:p w14:paraId="6D31EFA7">
            <w:pPr>
              <w:rPr>
                <w:rFonts w:ascii="Arial"/>
                <w:sz w:val="21"/>
              </w:rPr>
            </w:pPr>
          </w:p>
        </w:tc>
        <w:tc>
          <w:tcPr>
            <w:tcW w:w="380" w:type="dxa"/>
            <w:vAlign w:val="top"/>
          </w:tcPr>
          <w:p w14:paraId="2764B2F0">
            <w:pPr>
              <w:rPr>
                <w:rFonts w:ascii="Arial"/>
                <w:sz w:val="21"/>
              </w:rPr>
            </w:pPr>
          </w:p>
        </w:tc>
        <w:tc>
          <w:tcPr>
            <w:tcW w:w="400" w:type="dxa"/>
            <w:vAlign w:val="top"/>
          </w:tcPr>
          <w:p w14:paraId="5F259311">
            <w:pPr>
              <w:rPr>
                <w:rFonts w:ascii="Arial"/>
                <w:sz w:val="21"/>
              </w:rPr>
            </w:pPr>
          </w:p>
        </w:tc>
        <w:tc>
          <w:tcPr>
            <w:tcW w:w="370" w:type="dxa"/>
            <w:vAlign w:val="top"/>
          </w:tcPr>
          <w:p w14:paraId="5C8C7320">
            <w:pPr>
              <w:rPr>
                <w:rFonts w:ascii="Arial"/>
                <w:sz w:val="21"/>
              </w:rPr>
            </w:pPr>
          </w:p>
        </w:tc>
        <w:tc>
          <w:tcPr>
            <w:tcW w:w="370" w:type="dxa"/>
            <w:vAlign w:val="top"/>
          </w:tcPr>
          <w:p w14:paraId="650172CF">
            <w:pPr>
              <w:rPr>
                <w:rFonts w:ascii="Arial"/>
                <w:sz w:val="21"/>
              </w:rPr>
            </w:pPr>
          </w:p>
        </w:tc>
        <w:tc>
          <w:tcPr>
            <w:tcW w:w="869" w:type="dxa"/>
            <w:vAlign w:val="top"/>
          </w:tcPr>
          <w:p w14:paraId="7DC6DEC1">
            <w:pPr>
              <w:rPr>
                <w:rFonts w:ascii="Arial"/>
                <w:sz w:val="21"/>
              </w:rPr>
            </w:pPr>
          </w:p>
        </w:tc>
        <w:tc>
          <w:tcPr>
            <w:tcW w:w="440" w:type="dxa"/>
            <w:vAlign w:val="top"/>
          </w:tcPr>
          <w:p w14:paraId="0973C3AF">
            <w:pPr>
              <w:rPr>
                <w:rFonts w:ascii="Arial"/>
                <w:sz w:val="21"/>
              </w:rPr>
            </w:pPr>
          </w:p>
        </w:tc>
        <w:tc>
          <w:tcPr>
            <w:tcW w:w="749" w:type="dxa"/>
            <w:vAlign w:val="top"/>
          </w:tcPr>
          <w:p w14:paraId="117AD212">
            <w:pPr>
              <w:rPr>
                <w:rFonts w:ascii="Arial"/>
                <w:sz w:val="21"/>
              </w:rPr>
            </w:pPr>
          </w:p>
        </w:tc>
        <w:tc>
          <w:tcPr>
            <w:tcW w:w="749" w:type="dxa"/>
            <w:vAlign w:val="top"/>
          </w:tcPr>
          <w:p w14:paraId="2D32C8F1">
            <w:pPr>
              <w:rPr>
                <w:rFonts w:ascii="Arial"/>
                <w:sz w:val="21"/>
              </w:rPr>
            </w:pPr>
          </w:p>
        </w:tc>
        <w:tc>
          <w:tcPr>
            <w:tcW w:w="759" w:type="dxa"/>
            <w:vAlign w:val="top"/>
          </w:tcPr>
          <w:p w14:paraId="329E96CE">
            <w:pPr>
              <w:rPr>
                <w:rFonts w:ascii="Arial"/>
                <w:sz w:val="21"/>
              </w:rPr>
            </w:pPr>
          </w:p>
        </w:tc>
        <w:tc>
          <w:tcPr>
            <w:tcW w:w="634" w:type="dxa"/>
            <w:vAlign w:val="top"/>
          </w:tcPr>
          <w:p w14:paraId="35E88548">
            <w:pPr>
              <w:rPr>
                <w:rFonts w:ascii="Arial"/>
                <w:sz w:val="21"/>
              </w:rPr>
            </w:pPr>
          </w:p>
        </w:tc>
      </w:tr>
      <w:tr w14:paraId="2C2EAE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9" w:hRule="atLeast"/>
        </w:trPr>
        <w:tc>
          <w:tcPr>
            <w:tcW w:w="534" w:type="dxa"/>
            <w:vAlign w:val="top"/>
          </w:tcPr>
          <w:p w14:paraId="6CBD0A23">
            <w:pPr>
              <w:pStyle w:val="6"/>
              <w:spacing w:before="265"/>
              <w:ind w:left="204"/>
            </w:pPr>
            <w:r>
              <w:t>6</w:t>
            </w:r>
          </w:p>
        </w:tc>
        <w:tc>
          <w:tcPr>
            <w:tcW w:w="849" w:type="dxa"/>
            <w:vAlign w:val="top"/>
          </w:tcPr>
          <w:p w14:paraId="79FABE0F">
            <w:pPr>
              <w:rPr>
                <w:rFonts w:ascii="Arial"/>
                <w:sz w:val="21"/>
              </w:rPr>
            </w:pPr>
          </w:p>
        </w:tc>
        <w:tc>
          <w:tcPr>
            <w:tcW w:w="559" w:type="dxa"/>
            <w:vAlign w:val="top"/>
          </w:tcPr>
          <w:p w14:paraId="2CFEB00B">
            <w:pPr>
              <w:rPr>
                <w:rFonts w:ascii="Arial"/>
                <w:sz w:val="21"/>
              </w:rPr>
            </w:pPr>
          </w:p>
        </w:tc>
        <w:tc>
          <w:tcPr>
            <w:tcW w:w="360" w:type="dxa"/>
            <w:vAlign w:val="top"/>
          </w:tcPr>
          <w:p w14:paraId="1D8DA17A">
            <w:pPr>
              <w:rPr>
                <w:rFonts w:ascii="Arial"/>
                <w:sz w:val="21"/>
              </w:rPr>
            </w:pPr>
          </w:p>
        </w:tc>
        <w:tc>
          <w:tcPr>
            <w:tcW w:w="509" w:type="dxa"/>
            <w:vAlign w:val="top"/>
          </w:tcPr>
          <w:p w14:paraId="338065E2">
            <w:pPr>
              <w:rPr>
                <w:rFonts w:ascii="Arial"/>
                <w:sz w:val="21"/>
              </w:rPr>
            </w:pPr>
          </w:p>
        </w:tc>
        <w:tc>
          <w:tcPr>
            <w:tcW w:w="499" w:type="dxa"/>
            <w:vAlign w:val="top"/>
          </w:tcPr>
          <w:p w14:paraId="1B6C091A">
            <w:pPr>
              <w:rPr>
                <w:rFonts w:ascii="Arial"/>
                <w:sz w:val="21"/>
              </w:rPr>
            </w:pPr>
          </w:p>
        </w:tc>
        <w:tc>
          <w:tcPr>
            <w:tcW w:w="849" w:type="dxa"/>
            <w:vAlign w:val="top"/>
          </w:tcPr>
          <w:p w14:paraId="38F35943">
            <w:pPr>
              <w:rPr>
                <w:rFonts w:ascii="Arial"/>
                <w:sz w:val="21"/>
              </w:rPr>
            </w:pPr>
          </w:p>
        </w:tc>
        <w:tc>
          <w:tcPr>
            <w:tcW w:w="380" w:type="dxa"/>
            <w:vAlign w:val="top"/>
          </w:tcPr>
          <w:p w14:paraId="65068C48">
            <w:pPr>
              <w:rPr>
                <w:rFonts w:ascii="Arial"/>
                <w:sz w:val="21"/>
              </w:rPr>
            </w:pPr>
          </w:p>
        </w:tc>
        <w:tc>
          <w:tcPr>
            <w:tcW w:w="400" w:type="dxa"/>
            <w:vAlign w:val="top"/>
          </w:tcPr>
          <w:p w14:paraId="58C96857">
            <w:pPr>
              <w:rPr>
                <w:rFonts w:ascii="Arial"/>
                <w:sz w:val="21"/>
              </w:rPr>
            </w:pPr>
          </w:p>
        </w:tc>
        <w:tc>
          <w:tcPr>
            <w:tcW w:w="370" w:type="dxa"/>
            <w:vAlign w:val="top"/>
          </w:tcPr>
          <w:p w14:paraId="70D2F4CB">
            <w:pPr>
              <w:rPr>
                <w:rFonts w:ascii="Arial"/>
                <w:sz w:val="21"/>
              </w:rPr>
            </w:pPr>
          </w:p>
        </w:tc>
        <w:tc>
          <w:tcPr>
            <w:tcW w:w="370" w:type="dxa"/>
            <w:vAlign w:val="top"/>
          </w:tcPr>
          <w:p w14:paraId="14ACAE34">
            <w:pPr>
              <w:rPr>
                <w:rFonts w:ascii="Arial"/>
                <w:sz w:val="21"/>
              </w:rPr>
            </w:pPr>
          </w:p>
        </w:tc>
        <w:tc>
          <w:tcPr>
            <w:tcW w:w="869" w:type="dxa"/>
            <w:vAlign w:val="top"/>
          </w:tcPr>
          <w:p w14:paraId="1F013B9D">
            <w:pPr>
              <w:rPr>
                <w:rFonts w:ascii="Arial"/>
                <w:sz w:val="21"/>
              </w:rPr>
            </w:pPr>
          </w:p>
        </w:tc>
        <w:tc>
          <w:tcPr>
            <w:tcW w:w="440" w:type="dxa"/>
            <w:vAlign w:val="top"/>
          </w:tcPr>
          <w:p w14:paraId="1F2D6A55">
            <w:pPr>
              <w:rPr>
                <w:rFonts w:ascii="Arial"/>
                <w:sz w:val="21"/>
              </w:rPr>
            </w:pPr>
          </w:p>
        </w:tc>
        <w:tc>
          <w:tcPr>
            <w:tcW w:w="749" w:type="dxa"/>
            <w:vAlign w:val="top"/>
          </w:tcPr>
          <w:p w14:paraId="1929D26B">
            <w:pPr>
              <w:rPr>
                <w:rFonts w:ascii="Arial"/>
                <w:sz w:val="21"/>
              </w:rPr>
            </w:pPr>
          </w:p>
        </w:tc>
        <w:tc>
          <w:tcPr>
            <w:tcW w:w="749" w:type="dxa"/>
            <w:vAlign w:val="top"/>
          </w:tcPr>
          <w:p w14:paraId="32E4EEFC">
            <w:pPr>
              <w:rPr>
                <w:rFonts w:ascii="Arial"/>
                <w:sz w:val="21"/>
              </w:rPr>
            </w:pPr>
          </w:p>
        </w:tc>
        <w:tc>
          <w:tcPr>
            <w:tcW w:w="759" w:type="dxa"/>
            <w:vAlign w:val="top"/>
          </w:tcPr>
          <w:p w14:paraId="4E472B87">
            <w:pPr>
              <w:rPr>
                <w:rFonts w:ascii="Arial"/>
                <w:sz w:val="21"/>
              </w:rPr>
            </w:pPr>
          </w:p>
        </w:tc>
        <w:tc>
          <w:tcPr>
            <w:tcW w:w="634" w:type="dxa"/>
            <w:vAlign w:val="top"/>
          </w:tcPr>
          <w:p w14:paraId="0D527BC0">
            <w:pPr>
              <w:rPr>
                <w:rFonts w:ascii="Arial"/>
                <w:sz w:val="21"/>
              </w:rPr>
            </w:pPr>
          </w:p>
        </w:tc>
      </w:tr>
      <w:tr w14:paraId="598FF9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0" w:hRule="atLeast"/>
        </w:trPr>
        <w:tc>
          <w:tcPr>
            <w:tcW w:w="534" w:type="dxa"/>
            <w:vAlign w:val="top"/>
          </w:tcPr>
          <w:p w14:paraId="3FFC1AEF">
            <w:pPr>
              <w:pStyle w:val="6"/>
              <w:spacing w:before="256"/>
              <w:ind w:left="204"/>
            </w:pPr>
            <w:r>
              <w:t>7</w:t>
            </w:r>
          </w:p>
        </w:tc>
        <w:tc>
          <w:tcPr>
            <w:tcW w:w="849" w:type="dxa"/>
            <w:vAlign w:val="top"/>
          </w:tcPr>
          <w:p w14:paraId="7A5BD86D">
            <w:pPr>
              <w:rPr>
                <w:rFonts w:ascii="Arial"/>
                <w:sz w:val="21"/>
              </w:rPr>
            </w:pPr>
          </w:p>
        </w:tc>
        <w:tc>
          <w:tcPr>
            <w:tcW w:w="559" w:type="dxa"/>
            <w:vAlign w:val="top"/>
          </w:tcPr>
          <w:p w14:paraId="0F139AED">
            <w:pPr>
              <w:rPr>
                <w:rFonts w:ascii="Arial"/>
                <w:sz w:val="21"/>
              </w:rPr>
            </w:pPr>
          </w:p>
        </w:tc>
        <w:tc>
          <w:tcPr>
            <w:tcW w:w="360" w:type="dxa"/>
            <w:vAlign w:val="top"/>
          </w:tcPr>
          <w:p w14:paraId="73235E63">
            <w:pPr>
              <w:rPr>
                <w:rFonts w:ascii="Arial"/>
                <w:sz w:val="21"/>
              </w:rPr>
            </w:pPr>
          </w:p>
        </w:tc>
        <w:tc>
          <w:tcPr>
            <w:tcW w:w="509" w:type="dxa"/>
            <w:vAlign w:val="top"/>
          </w:tcPr>
          <w:p w14:paraId="62ADCE09">
            <w:pPr>
              <w:rPr>
                <w:rFonts w:ascii="Arial"/>
                <w:sz w:val="21"/>
              </w:rPr>
            </w:pPr>
          </w:p>
        </w:tc>
        <w:tc>
          <w:tcPr>
            <w:tcW w:w="499" w:type="dxa"/>
            <w:vAlign w:val="top"/>
          </w:tcPr>
          <w:p w14:paraId="12E991A0">
            <w:pPr>
              <w:rPr>
                <w:rFonts w:ascii="Arial"/>
                <w:sz w:val="21"/>
              </w:rPr>
            </w:pPr>
          </w:p>
        </w:tc>
        <w:tc>
          <w:tcPr>
            <w:tcW w:w="849" w:type="dxa"/>
            <w:vAlign w:val="top"/>
          </w:tcPr>
          <w:p w14:paraId="37EEAC71">
            <w:pPr>
              <w:rPr>
                <w:rFonts w:ascii="Arial"/>
                <w:sz w:val="21"/>
              </w:rPr>
            </w:pPr>
          </w:p>
        </w:tc>
        <w:tc>
          <w:tcPr>
            <w:tcW w:w="380" w:type="dxa"/>
            <w:vAlign w:val="top"/>
          </w:tcPr>
          <w:p w14:paraId="76675103">
            <w:pPr>
              <w:rPr>
                <w:rFonts w:ascii="Arial"/>
                <w:sz w:val="21"/>
              </w:rPr>
            </w:pPr>
          </w:p>
        </w:tc>
        <w:tc>
          <w:tcPr>
            <w:tcW w:w="400" w:type="dxa"/>
            <w:vAlign w:val="top"/>
          </w:tcPr>
          <w:p w14:paraId="1A3D0205">
            <w:pPr>
              <w:rPr>
                <w:rFonts w:ascii="Arial"/>
                <w:sz w:val="21"/>
              </w:rPr>
            </w:pPr>
          </w:p>
        </w:tc>
        <w:tc>
          <w:tcPr>
            <w:tcW w:w="370" w:type="dxa"/>
            <w:vAlign w:val="top"/>
          </w:tcPr>
          <w:p w14:paraId="09EFA404">
            <w:pPr>
              <w:rPr>
                <w:rFonts w:ascii="Arial"/>
                <w:sz w:val="21"/>
              </w:rPr>
            </w:pPr>
          </w:p>
        </w:tc>
        <w:tc>
          <w:tcPr>
            <w:tcW w:w="370" w:type="dxa"/>
            <w:vAlign w:val="top"/>
          </w:tcPr>
          <w:p w14:paraId="4C23F8C6">
            <w:pPr>
              <w:rPr>
                <w:rFonts w:ascii="Arial"/>
                <w:sz w:val="21"/>
              </w:rPr>
            </w:pPr>
          </w:p>
        </w:tc>
        <w:tc>
          <w:tcPr>
            <w:tcW w:w="869" w:type="dxa"/>
            <w:vAlign w:val="top"/>
          </w:tcPr>
          <w:p w14:paraId="326F09AF">
            <w:pPr>
              <w:rPr>
                <w:rFonts w:ascii="Arial"/>
                <w:sz w:val="21"/>
              </w:rPr>
            </w:pPr>
          </w:p>
        </w:tc>
        <w:tc>
          <w:tcPr>
            <w:tcW w:w="440" w:type="dxa"/>
            <w:vAlign w:val="top"/>
          </w:tcPr>
          <w:p w14:paraId="131FB9F1">
            <w:pPr>
              <w:rPr>
                <w:rFonts w:ascii="Arial"/>
                <w:sz w:val="21"/>
              </w:rPr>
            </w:pPr>
          </w:p>
        </w:tc>
        <w:tc>
          <w:tcPr>
            <w:tcW w:w="749" w:type="dxa"/>
            <w:vAlign w:val="top"/>
          </w:tcPr>
          <w:p w14:paraId="35FCC845">
            <w:pPr>
              <w:rPr>
                <w:rFonts w:ascii="Arial"/>
                <w:sz w:val="21"/>
              </w:rPr>
            </w:pPr>
          </w:p>
        </w:tc>
        <w:tc>
          <w:tcPr>
            <w:tcW w:w="749" w:type="dxa"/>
            <w:vAlign w:val="top"/>
          </w:tcPr>
          <w:p w14:paraId="6622292F">
            <w:pPr>
              <w:rPr>
                <w:rFonts w:ascii="Arial"/>
                <w:sz w:val="21"/>
              </w:rPr>
            </w:pPr>
          </w:p>
        </w:tc>
        <w:tc>
          <w:tcPr>
            <w:tcW w:w="759" w:type="dxa"/>
            <w:vAlign w:val="top"/>
          </w:tcPr>
          <w:p w14:paraId="4A5474BE">
            <w:pPr>
              <w:rPr>
                <w:rFonts w:ascii="Arial"/>
                <w:sz w:val="21"/>
              </w:rPr>
            </w:pPr>
          </w:p>
        </w:tc>
        <w:tc>
          <w:tcPr>
            <w:tcW w:w="634" w:type="dxa"/>
            <w:vAlign w:val="top"/>
          </w:tcPr>
          <w:p w14:paraId="1C0C5B23">
            <w:pPr>
              <w:rPr>
                <w:rFonts w:ascii="Arial"/>
                <w:sz w:val="21"/>
              </w:rPr>
            </w:pPr>
          </w:p>
        </w:tc>
      </w:tr>
      <w:tr w14:paraId="2B47AB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9" w:hRule="atLeast"/>
        </w:trPr>
        <w:tc>
          <w:tcPr>
            <w:tcW w:w="534" w:type="dxa"/>
            <w:vAlign w:val="top"/>
          </w:tcPr>
          <w:p w14:paraId="377841C4">
            <w:pPr>
              <w:pStyle w:val="6"/>
              <w:spacing w:before="266"/>
              <w:ind w:left="204"/>
            </w:pPr>
            <w:r>
              <w:t>8</w:t>
            </w:r>
          </w:p>
        </w:tc>
        <w:tc>
          <w:tcPr>
            <w:tcW w:w="849" w:type="dxa"/>
            <w:vAlign w:val="top"/>
          </w:tcPr>
          <w:p w14:paraId="42888BBE">
            <w:pPr>
              <w:rPr>
                <w:rFonts w:ascii="Arial"/>
                <w:sz w:val="21"/>
              </w:rPr>
            </w:pPr>
          </w:p>
        </w:tc>
        <w:tc>
          <w:tcPr>
            <w:tcW w:w="559" w:type="dxa"/>
            <w:vAlign w:val="top"/>
          </w:tcPr>
          <w:p w14:paraId="66DE3AAE">
            <w:pPr>
              <w:rPr>
                <w:rFonts w:ascii="Arial"/>
                <w:sz w:val="21"/>
              </w:rPr>
            </w:pPr>
          </w:p>
        </w:tc>
        <w:tc>
          <w:tcPr>
            <w:tcW w:w="360" w:type="dxa"/>
            <w:vAlign w:val="top"/>
          </w:tcPr>
          <w:p w14:paraId="238BCCD0">
            <w:pPr>
              <w:rPr>
                <w:rFonts w:ascii="Arial"/>
                <w:sz w:val="21"/>
              </w:rPr>
            </w:pPr>
          </w:p>
        </w:tc>
        <w:tc>
          <w:tcPr>
            <w:tcW w:w="509" w:type="dxa"/>
            <w:vAlign w:val="top"/>
          </w:tcPr>
          <w:p w14:paraId="55F3F405">
            <w:pPr>
              <w:rPr>
                <w:rFonts w:ascii="Arial"/>
                <w:sz w:val="21"/>
              </w:rPr>
            </w:pPr>
          </w:p>
        </w:tc>
        <w:tc>
          <w:tcPr>
            <w:tcW w:w="499" w:type="dxa"/>
            <w:vAlign w:val="top"/>
          </w:tcPr>
          <w:p w14:paraId="52064F99">
            <w:pPr>
              <w:rPr>
                <w:rFonts w:ascii="Arial"/>
                <w:sz w:val="21"/>
              </w:rPr>
            </w:pPr>
          </w:p>
        </w:tc>
        <w:tc>
          <w:tcPr>
            <w:tcW w:w="849" w:type="dxa"/>
            <w:vAlign w:val="top"/>
          </w:tcPr>
          <w:p w14:paraId="4706A503">
            <w:pPr>
              <w:rPr>
                <w:rFonts w:ascii="Arial"/>
                <w:sz w:val="21"/>
              </w:rPr>
            </w:pPr>
          </w:p>
        </w:tc>
        <w:tc>
          <w:tcPr>
            <w:tcW w:w="380" w:type="dxa"/>
            <w:vAlign w:val="top"/>
          </w:tcPr>
          <w:p w14:paraId="057A01A3">
            <w:pPr>
              <w:rPr>
                <w:rFonts w:ascii="Arial"/>
                <w:sz w:val="21"/>
              </w:rPr>
            </w:pPr>
          </w:p>
        </w:tc>
        <w:tc>
          <w:tcPr>
            <w:tcW w:w="400" w:type="dxa"/>
            <w:vAlign w:val="top"/>
          </w:tcPr>
          <w:p w14:paraId="268D86F3">
            <w:pPr>
              <w:rPr>
                <w:rFonts w:ascii="Arial"/>
                <w:sz w:val="21"/>
              </w:rPr>
            </w:pPr>
          </w:p>
        </w:tc>
        <w:tc>
          <w:tcPr>
            <w:tcW w:w="370" w:type="dxa"/>
            <w:vAlign w:val="top"/>
          </w:tcPr>
          <w:p w14:paraId="27CCD244">
            <w:pPr>
              <w:rPr>
                <w:rFonts w:ascii="Arial"/>
                <w:sz w:val="21"/>
              </w:rPr>
            </w:pPr>
          </w:p>
        </w:tc>
        <w:tc>
          <w:tcPr>
            <w:tcW w:w="370" w:type="dxa"/>
            <w:vAlign w:val="top"/>
          </w:tcPr>
          <w:p w14:paraId="43302EBF">
            <w:pPr>
              <w:rPr>
                <w:rFonts w:ascii="Arial"/>
                <w:sz w:val="21"/>
              </w:rPr>
            </w:pPr>
          </w:p>
        </w:tc>
        <w:tc>
          <w:tcPr>
            <w:tcW w:w="869" w:type="dxa"/>
            <w:vAlign w:val="top"/>
          </w:tcPr>
          <w:p w14:paraId="2382A056">
            <w:pPr>
              <w:rPr>
                <w:rFonts w:ascii="Arial"/>
                <w:sz w:val="21"/>
              </w:rPr>
            </w:pPr>
          </w:p>
        </w:tc>
        <w:tc>
          <w:tcPr>
            <w:tcW w:w="440" w:type="dxa"/>
            <w:vAlign w:val="top"/>
          </w:tcPr>
          <w:p w14:paraId="5B966DEB">
            <w:pPr>
              <w:rPr>
                <w:rFonts w:ascii="Arial"/>
                <w:sz w:val="21"/>
              </w:rPr>
            </w:pPr>
          </w:p>
        </w:tc>
        <w:tc>
          <w:tcPr>
            <w:tcW w:w="749" w:type="dxa"/>
            <w:vAlign w:val="top"/>
          </w:tcPr>
          <w:p w14:paraId="4E1E47B1">
            <w:pPr>
              <w:rPr>
                <w:rFonts w:ascii="Arial"/>
                <w:sz w:val="21"/>
              </w:rPr>
            </w:pPr>
          </w:p>
        </w:tc>
        <w:tc>
          <w:tcPr>
            <w:tcW w:w="749" w:type="dxa"/>
            <w:vAlign w:val="top"/>
          </w:tcPr>
          <w:p w14:paraId="718DB0C9">
            <w:pPr>
              <w:rPr>
                <w:rFonts w:ascii="Arial"/>
                <w:sz w:val="21"/>
              </w:rPr>
            </w:pPr>
          </w:p>
        </w:tc>
        <w:tc>
          <w:tcPr>
            <w:tcW w:w="759" w:type="dxa"/>
            <w:vAlign w:val="top"/>
          </w:tcPr>
          <w:p w14:paraId="5FFEF869">
            <w:pPr>
              <w:rPr>
                <w:rFonts w:ascii="Arial"/>
                <w:sz w:val="21"/>
              </w:rPr>
            </w:pPr>
          </w:p>
        </w:tc>
        <w:tc>
          <w:tcPr>
            <w:tcW w:w="634" w:type="dxa"/>
            <w:vAlign w:val="top"/>
          </w:tcPr>
          <w:p w14:paraId="121BDFAF">
            <w:pPr>
              <w:rPr>
                <w:rFonts w:ascii="Arial"/>
                <w:sz w:val="21"/>
              </w:rPr>
            </w:pPr>
          </w:p>
        </w:tc>
      </w:tr>
      <w:tr w14:paraId="2E28E8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9" w:hRule="atLeast"/>
        </w:trPr>
        <w:tc>
          <w:tcPr>
            <w:tcW w:w="534" w:type="dxa"/>
            <w:vAlign w:val="top"/>
          </w:tcPr>
          <w:p w14:paraId="3822D7C3">
            <w:pPr>
              <w:pStyle w:val="6"/>
              <w:spacing w:before="256"/>
              <w:ind w:left="204"/>
            </w:pPr>
            <w:r>
              <w:t>9</w:t>
            </w:r>
          </w:p>
        </w:tc>
        <w:tc>
          <w:tcPr>
            <w:tcW w:w="849" w:type="dxa"/>
            <w:vAlign w:val="top"/>
          </w:tcPr>
          <w:p w14:paraId="0B1DAE49">
            <w:pPr>
              <w:rPr>
                <w:rFonts w:ascii="Arial"/>
                <w:sz w:val="21"/>
              </w:rPr>
            </w:pPr>
          </w:p>
        </w:tc>
        <w:tc>
          <w:tcPr>
            <w:tcW w:w="559" w:type="dxa"/>
            <w:vAlign w:val="top"/>
          </w:tcPr>
          <w:p w14:paraId="3CD748EB">
            <w:pPr>
              <w:rPr>
                <w:rFonts w:ascii="Arial"/>
                <w:sz w:val="21"/>
              </w:rPr>
            </w:pPr>
          </w:p>
        </w:tc>
        <w:tc>
          <w:tcPr>
            <w:tcW w:w="360" w:type="dxa"/>
            <w:vAlign w:val="top"/>
          </w:tcPr>
          <w:p w14:paraId="1C3BB583">
            <w:pPr>
              <w:rPr>
                <w:rFonts w:ascii="Arial"/>
                <w:sz w:val="21"/>
              </w:rPr>
            </w:pPr>
          </w:p>
        </w:tc>
        <w:tc>
          <w:tcPr>
            <w:tcW w:w="509" w:type="dxa"/>
            <w:vAlign w:val="top"/>
          </w:tcPr>
          <w:p w14:paraId="4C0DB4E0">
            <w:pPr>
              <w:rPr>
                <w:rFonts w:ascii="Arial"/>
                <w:sz w:val="21"/>
              </w:rPr>
            </w:pPr>
          </w:p>
        </w:tc>
        <w:tc>
          <w:tcPr>
            <w:tcW w:w="499" w:type="dxa"/>
            <w:vAlign w:val="top"/>
          </w:tcPr>
          <w:p w14:paraId="67A5EE54">
            <w:pPr>
              <w:rPr>
                <w:rFonts w:ascii="Arial"/>
                <w:sz w:val="21"/>
              </w:rPr>
            </w:pPr>
          </w:p>
        </w:tc>
        <w:tc>
          <w:tcPr>
            <w:tcW w:w="849" w:type="dxa"/>
            <w:vAlign w:val="top"/>
          </w:tcPr>
          <w:p w14:paraId="452E400A">
            <w:pPr>
              <w:rPr>
                <w:rFonts w:ascii="Arial"/>
                <w:sz w:val="21"/>
              </w:rPr>
            </w:pPr>
          </w:p>
        </w:tc>
        <w:tc>
          <w:tcPr>
            <w:tcW w:w="380" w:type="dxa"/>
            <w:vAlign w:val="top"/>
          </w:tcPr>
          <w:p w14:paraId="120DC975">
            <w:pPr>
              <w:rPr>
                <w:rFonts w:ascii="Arial"/>
                <w:sz w:val="21"/>
              </w:rPr>
            </w:pPr>
          </w:p>
        </w:tc>
        <w:tc>
          <w:tcPr>
            <w:tcW w:w="400" w:type="dxa"/>
            <w:vAlign w:val="top"/>
          </w:tcPr>
          <w:p w14:paraId="77A374A8">
            <w:pPr>
              <w:rPr>
                <w:rFonts w:ascii="Arial"/>
                <w:sz w:val="21"/>
              </w:rPr>
            </w:pPr>
          </w:p>
        </w:tc>
        <w:tc>
          <w:tcPr>
            <w:tcW w:w="370" w:type="dxa"/>
            <w:vAlign w:val="top"/>
          </w:tcPr>
          <w:p w14:paraId="64D7E2B5">
            <w:pPr>
              <w:rPr>
                <w:rFonts w:ascii="Arial"/>
                <w:sz w:val="21"/>
              </w:rPr>
            </w:pPr>
          </w:p>
        </w:tc>
        <w:tc>
          <w:tcPr>
            <w:tcW w:w="370" w:type="dxa"/>
            <w:vAlign w:val="top"/>
          </w:tcPr>
          <w:p w14:paraId="396E6A22">
            <w:pPr>
              <w:rPr>
                <w:rFonts w:ascii="Arial"/>
                <w:sz w:val="21"/>
              </w:rPr>
            </w:pPr>
          </w:p>
        </w:tc>
        <w:tc>
          <w:tcPr>
            <w:tcW w:w="869" w:type="dxa"/>
            <w:vAlign w:val="top"/>
          </w:tcPr>
          <w:p w14:paraId="05C4233C">
            <w:pPr>
              <w:rPr>
                <w:rFonts w:ascii="Arial"/>
                <w:sz w:val="21"/>
              </w:rPr>
            </w:pPr>
          </w:p>
        </w:tc>
        <w:tc>
          <w:tcPr>
            <w:tcW w:w="440" w:type="dxa"/>
            <w:vAlign w:val="top"/>
          </w:tcPr>
          <w:p w14:paraId="468E3085">
            <w:pPr>
              <w:rPr>
                <w:rFonts w:ascii="Arial"/>
                <w:sz w:val="21"/>
              </w:rPr>
            </w:pPr>
          </w:p>
        </w:tc>
        <w:tc>
          <w:tcPr>
            <w:tcW w:w="749" w:type="dxa"/>
            <w:vAlign w:val="top"/>
          </w:tcPr>
          <w:p w14:paraId="4BCA8CDE">
            <w:pPr>
              <w:rPr>
                <w:rFonts w:ascii="Arial"/>
                <w:sz w:val="21"/>
              </w:rPr>
            </w:pPr>
          </w:p>
        </w:tc>
        <w:tc>
          <w:tcPr>
            <w:tcW w:w="749" w:type="dxa"/>
            <w:vAlign w:val="top"/>
          </w:tcPr>
          <w:p w14:paraId="4C6E593B">
            <w:pPr>
              <w:rPr>
                <w:rFonts w:ascii="Arial"/>
                <w:sz w:val="21"/>
              </w:rPr>
            </w:pPr>
          </w:p>
        </w:tc>
        <w:tc>
          <w:tcPr>
            <w:tcW w:w="759" w:type="dxa"/>
            <w:vAlign w:val="top"/>
          </w:tcPr>
          <w:p w14:paraId="5E8FFF21">
            <w:pPr>
              <w:rPr>
                <w:rFonts w:ascii="Arial"/>
                <w:sz w:val="21"/>
              </w:rPr>
            </w:pPr>
          </w:p>
        </w:tc>
        <w:tc>
          <w:tcPr>
            <w:tcW w:w="634" w:type="dxa"/>
            <w:vAlign w:val="top"/>
          </w:tcPr>
          <w:p w14:paraId="2DEA246A">
            <w:pPr>
              <w:rPr>
                <w:rFonts w:ascii="Arial"/>
                <w:sz w:val="21"/>
              </w:rPr>
            </w:pPr>
          </w:p>
        </w:tc>
      </w:tr>
      <w:tr w14:paraId="08F500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4" w:hRule="atLeast"/>
        </w:trPr>
        <w:tc>
          <w:tcPr>
            <w:tcW w:w="534" w:type="dxa"/>
            <w:vAlign w:val="top"/>
          </w:tcPr>
          <w:p w14:paraId="341D8330">
            <w:pPr>
              <w:pStyle w:val="6"/>
              <w:spacing w:before="248" w:line="331" w:lineRule="exact"/>
              <w:ind w:left="154"/>
            </w:pPr>
            <w:r>
              <w:rPr>
                <w:position w:val="2"/>
              </w:rPr>
              <w:t>…</w:t>
            </w:r>
          </w:p>
        </w:tc>
        <w:tc>
          <w:tcPr>
            <w:tcW w:w="849" w:type="dxa"/>
            <w:vAlign w:val="top"/>
          </w:tcPr>
          <w:p w14:paraId="5E8B15AA">
            <w:pPr>
              <w:rPr>
                <w:rFonts w:ascii="Arial"/>
                <w:sz w:val="21"/>
              </w:rPr>
            </w:pPr>
          </w:p>
        </w:tc>
        <w:tc>
          <w:tcPr>
            <w:tcW w:w="559" w:type="dxa"/>
            <w:vAlign w:val="top"/>
          </w:tcPr>
          <w:p w14:paraId="004A538B">
            <w:pPr>
              <w:rPr>
                <w:rFonts w:ascii="Arial"/>
                <w:sz w:val="21"/>
              </w:rPr>
            </w:pPr>
          </w:p>
        </w:tc>
        <w:tc>
          <w:tcPr>
            <w:tcW w:w="360" w:type="dxa"/>
            <w:vAlign w:val="top"/>
          </w:tcPr>
          <w:p w14:paraId="2E788F32">
            <w:pPr>
              <w:rPr>
                <w:rFonts w:ascii="Arial"/>
                <w:sz w:val="21"/>
              </w:rPr>
            </w:pPr>
          </w:p>
        </w:tc>
        <w:tc>
          <w:tcPr>
            <w:tcW w:w="509" w:type="dxa"/>
            <w:vAlign w:val="top"/>
          </w:tcPr>
          <w:p w14:paraId="003E10DC">
            <w:pPr>
              <w:rPr>
                <w:rFonts w:ascii="Arial"/>
                <w:sz w:val="21"/>
              </w:rPr>
            </w:pPr>
          </w:p>
        </w:tc>
        <w:tc>
          <w:tcPr>
            <w:tcW w:w="499" w:type="dxa"/>
            <w:vAlign w:val="top"/>
          </w:tcPr>
          <w:p w14:paraId="5C96D063">
            <w:pPr>
              <w:rPr>
                <w:rFonts w:ascii="Arial"/>
                <w:sz w:val="21"/>
              </w:rPr>
            </w:pPr>
          </w:p>
        </w:tc>
        <w:tc>
          <w:tcPr>
            <w:tcW w:w="849" w:type="dxa"/>
            <w:vAlign w:val="top"/>
          </w:tcPr>
          <w:p w14:paraId="096C2627">
            <w:pPr>
              <w:rPr>
                <w:rFonts w:ascii="Arial"/>
                <w:sz w:val="21"/>
              </w:rPr>
            </w:pPr>
          </w:p>
        </w:tc>
        <w:tc>
          <w:tcPr>
            <w:tcW w:w="380" w:type="dxa"/>
            <w:vAlign w:val="top"/>
          </w:tcPr>
          <w:p w14:paraId="4B075991">
            <w:pPr>
              <w:rPr>
                <w:rFonts w:ascii="Arial"/>
                <w:sz w:val="21"/>
              </w:rPr>
            </w:pPr>
          </w:p>
        </w:tc>
        <w:tc>
          <w:tcPr>
            <w:tcW w:w="400" w:type="dxa"/>
            <w:vAlign w:val="top"/>
          </w:tcPr>
          <w:p w14:paraId="499EA5DA">
            <w:pPr>
              <w:rPr>
                <w:rFonts w:ascii="Arial"/>
                <w:sz w:val="21"/>
              </w:rPr>
            </w:pPr>
          </w:p>
        </w:tc>
        <w:tc>
          <w:tcPr>
            <w:tcW w:w="370" w:type="dxa"/>
            <w:vAlign w:val="top"/>
          </w:tcPr>
          <w:p w14:paraId="14AC2A08">
            <w:pPr>
              <w:rPr>
                <w:rFonts w:ascii="Arial"/>
                <w:sz w:val="21"/>
              </w:rPr>
            </w:pPr>
          </w:p>
        </w:tc>
        <w:tc>
          <w:tcPr>
            <w:tcW w:w="370" w:type="dxa"/>
            <w:vAlign w:val="top"/>
          </w:tcPr>
          <w:p w14:paraId="53DA9BCD">
            <w:pPr>
              <w:rPr>
                <w:rFonts w:ascii="Arial"/>
                <w:sz w:val="21"/>
              </w:rPr>
            </w:pPr>
          </w:p>
        </w:tc>
        <w:tc>
          <w:tcPr>
            <w:tcW w:w="869" w:type="dxa"/>
            <w:vAlign w:val="top"/>
          </w:tcPr>
          <w:p w14:paraId="0D8ECBC7">
            <w:pPr>
              <w:rPr>
                <w:rFonts w:ascii="Arial"/>
                <w:sz w:val="21"/>
              </w:rPr>
            </w:pPr>
          </w:p>
        </w:tc>
        <w:tc>
          <w:tcPr>
            <w:tcW w:w="440" w:type="dxa"/>
            <w:vAlign w:val="top"/>
          </w:tcPr>
          <w:p w14:paraId="18A281F1">
            <w:pPr>
              <w:rPr>
                <w:rFonts w:ascii="Arial"/>
                <w:sz w:val="21"/>
              </w:rPr>
            </w:pPr>
          </w:p>
        </w:tc>
        <w:tc>
          <w:tcPr>
            <w:tcW w:w="749" w:type="dxa"/>
            <w:vAlign w:val="top"/>
          </w:tcPr>
          <w:p w14:paraId="3E4B3765">
            <w:pPr>
              <w:rPr>
                <w:rFonts w:ascii="Arial"/>
                <w:sz w:val="21"/>
              </w:rPr>
            </w:pPr>
          </w:p>
        </w:tc>
        <w:tc>
          <w:tcPr>
            <w:tcW w:w="749" w:type="dxa"/>
            <w:vAlign w:val="top"/>
          </w:tcPr>
          <w:p w14:paraId="245CD6D2">
            <w:pPr>
              <w:rPr>
                <w:rFonts w:ascii="Arial"/>
                <w:sz w:val="21"/>
              </w:rPr>
            </w:pPr>
          </w:p>
        </w:tc>
        <w:tc>
          <w:tcPr>
            <w:tcW w:w="759" w:type="dxa"/>
            <w:vAlign w:val="top"/>
          </w:tcPr>
          <w:p w14:paraId="3A255890">
            <w:pPr>
              <w:rPr>
                <w:rFonts w:ascii="Arial"/>
                <w:sz w:val="21"/>
              </w:rPr>
            </w:pPr>
          </w:p>
        </w:tc>
        <w:tc>
          <w:tcPr>
            <w:tcW w:w="634" w:type="dxa"/>
            <w:vAlign w:val="top"/>
          </w:tcPr>
          <w:p w14:paraId="1D8F839C">
            <w:pPr>
              <w:rPr>
                <w:rFonts w:ascii="Arial"/>
                <w:sz w:val="21"/>
              </w:rPr>
            </w:pPr>
          </w:p>
        </w:tc>
      </w:tr>
    </w:tbl>
    <w:p w14:paraId="47B61F41">
      <w:pPr>
        <w:pStyle w:val="2"/>
        <w:spacing w:before="182" w:line="219" w:lineRule="auto"/>
        <w:ind w:left="305"/>
        <w:rPr>
          <w:sz w:val="21"/>
          <w:szCs w:val="21"/>
        </w:rPr>
      </w:pPr>
      <w:r>
        <w:rPr>
          <w:spacing w:val="-1"/>
          <w:sz w:val="21"/>
          <w:szCs w:val="21"/>
        </w:rPr>
        <w:t>备注：1.执业、职业单位指拟投入的项目管理机构人员目前是否在投标人处注册执业或岗位登记。</w:t>
      </w:r>
    </w:p>
    <w:p w14:paraId="5339B8C9">
      <w:pPr>
        <w:pStyle w:val="2"/>
        <w:spacing w:before="139" w:line="353" w:lineRule="auto"/>
        <w:ind w:left="914" w:right="681"/>
        <w:jc w:val="both"/>
        <w:rPr>
          <w:sz w:val="21"/>
          <w:szCs w:val="21"/>
        </w:rPr>
      </w:pPr>
      <w:r>
        <w:rPr>
          <w:spacing w:val="-1"/>
          <w:sz w:val="21"/>
          <w:szCs w:val="21"/>
        </w:rPr>
        <w:t>2. 附项目管理机构主要人员社会保险证明的扫描件。社会保险证明是指社会统筹保险基金</w:t>
      </w:r>
      <w:r>
        <w:rPr>
          <w:spacing w:val="10"/>
          <w:sz w:val="21"/>
          <w:szCs w:val="21"/>
        </w:rPr>
        <w:t xml:space="preserve"> </w:t>
      </w:r>
      <w:r>
        <w:rPr>
          <w:spacing w:val="3"/>
          <w:sz w:val="21"/>
          <w:szCs w:val="21"/>
        </w:rPr>
        <w:t>管理部门出具的基本养老保险对账单或加盖社会统筹保</w:t>
      </w:r>
      <w:r>
        <w:rPr>
          <w:spacing w:val="2"/>
          <w:sz w:val="21"/>
          <w:szCs w:val="21"/>
        </w:rPr>
        <w:t>险基金管理部门公章的单位缴费明</w:t>
      </w:r>
      <w:r>
        <w:rPr>
          <w:sz w:val="21"/>
          <w:szCs w:val="21"/>
        </w:rPr>
        <w:t xml:space="preserve"> </w:t>
      </w:r>
      <w:r>
        <w:rPr>
          <w:spacing w:val="5"/>
          <w:sz w:val="21"/>
          <w:szCs w:val="21"/>
        </w:rPr>
        <w:t>细，以及企业缴费凭证(社会保险缴费发票或银行转账凭证等证明);社会保险证明应至少</w:t>
      </w:r>
      <w:r>
        <w:rPr>
          <w:spacing w:val="2"/>
          <w:sz w:val="21"/>
          <w:szCs w:val="21"/>
        </w:rPr>
        <w:t xml:space="preserve"> 体现以下内容：缴纳保险单位名称、人员姓名、社会保障号、险种、缴费期限等。社会保</w:t>
      </w:r>
      <w:r>
        <w:rPr>
          <w:spacing w:val="8"/>
          <w:sz w:val="21"/>
          <w:szCs w:val="21"/>
        </w:rPr>
        <w:t xml:space="preserve"> </w:t>
      </w:r>
      <w:r>
        <w:rPr>
          <w:spacing w:val="-1"/>
          <w:sz w:val="21"/>
          <w:szCs w:val="21"/>
        </w:rPr>
        <w:t>险证明中缴费单位应与投标单位一致。</w:t>
      </w:r>
    </w:p>
    <w:p w14:paraId="4FA18E91">
      <w:pPr>
        <w:spacing w:line="353" w:lineRule="auto"/>
        <w:rPr>
          <w:sz w:val="21"/>
          <w:szCs w:val="21"/>
        </w:rPr>
        <w:sectPr>
          <w:footerReference r:id="rId370" w:type="default"/>
          <w:pgSz w:w="11910" w:h="16840"/>
          <w:pgMar w:top="400" w:right="855" w:bottom="1147" w:left="1165" w:header="0" w:footer="1021" w:gutter="0"/>
          <w:cols w:space="720" w:num="1"/>
        </w:sectPr>
      </w:pPr>
    </w:p>
    <w:p w14:paraId="14BFDCC1">
      <w:pPr>
        <w:spacing w:line="270" w:lineRule="auto"/>
        <w:rPr>
          <w:rFonts w:ascii="Arial"/>
          <w:sz w:val="21"/>
        </w:rPr>
      </w:pPr>
    </w:p>
    <w:p w14:paraId="5972E5BC">
      <w:pPr>
        <w:spacing w:line="270" w:lineRule="auto"/>
        <w:rPr>
          <w:rFonts w:ascii="Arial"/>
          <w:sz w:val="21"/>
        </w:rPr>
      </w:pPr>
    </w:p>
    <w:p w14:paraId="718687CC">
      <w:pPr>
        <w:spacing w:line="270" w:lineRule="auto"/>
        <w:rPr>
          <w:rFonts w:ascii="Arial"/>
          <w:sz w:val="21"/>
        </w:rPr>
      </w:pPr>
    </w:p>
    <w:p w14:paraId="04BE59B5">
      <w:pPr>
        <w:spacing w:line="270" w:lineRule="auto"/>
        <w:rPr>
          <w:rFonts w:ascii="Arial"/>
          <w:sz w:val="21"/>
        </w:rPr>
      </w:pPr>
    </w:p>
    <w:p w14:paraId="02608665">
      <w:pPr>
        <w:spacing w:line="270" w:lineRule="auto"/>
        <w:rPr>
          <w:rFonts w:ascii="Arial"/>
          <w:sz w:val="21"/>
        </w:rPr>
      </w:pPr>
    </w:p>
    <w:p w14:paraId="51949BD0">
      <w:pPr>
        <w:spacing w:line="271" w:lineRule="auto"/>
        <w:rPr>
          <w:rFonts w:ascii="Arial"/>
          <w:sz w:val="21"/>
        </w:rPr>
      </w:pPr>
    </w:p>
    <w:p w14:paraId="6A3FAE62">
      <w:pPr>
        <w:spacing w:before="94" w:line="222" w:lineRule="auto"/>
        <w:ind w:left="3499"/>
        <w:rPr>
          <w:rFonts w:ascii="黑体" w:hAnsi="黑体" w:eastAsia="黑体" w:cs="黑体"/>
          <w:sz w:val="29"/>
          <w:szCs w:val="29"/>
        </w:rPr>
      </w:pPr>
      <w:r>
        <w:rPr>
          <w:rFonts w:ascii="黑体" w:hAnsi="黑体" w:eastAsia="黑体" w:cs="黑体"/>
          <w:b/>
          <w:bCs/>
          <w:spacing w:val="3"/>
          <w:sz w:val="29"/>
          <w:szCs w:val="29"/>
        </w:rPr>
        <w:t>(二)项目经理简历表</w:t>
      </w:r>
    </w:p>
    <w:p w14:paraId="4FC04B13">
      <w:pPr>
        <w:spacing w:before="158"/>
      </w:pPr>
    </w:p>
    <w:tbl>
      <w:tblPr>
        <w:tblStyle w:val="5"/>
        <w:tblW w:w="880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94"/>
        <w:gridCol w:w="1049"/>
        <w:gridCol w:w="1119"/>
        <w:gridCol w:w="1278"/>
        <w:gridCol w:w="2127"/>
        <w:gridCol w:w="2142"/>
      </w:tblGrid>
      <w:tr w14:paraId="4C8F27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4" w:hRule="atLeast"/>
        </w:trPr>
        <w:tc>
          <w:tcPr>
            <w:tcW w:w="1094" w:type="dxa"/>
            <w:vAlign w:val="top"/>
          </w:tcPr>
          <w:p w14:paraId="3392DD91">
            <w:pPr>
              <w:pStyle w:val="6"/>
              <w:spacing w:before="123" w:line="219" w:lineRule="auto"/>
              <w:ind w:left="104"/>
            </w:pPr>
            <w:r>
              <w:rPr>
                <w:spacing w:val="-5"/>
              </w:rPr>
              <w:t>姓</w:t>
            </w:r>
            <w:r>
              <w:rPr>
                <w:spacing w:val="41"/>
              </w:rPr>
              <w:t xml:space="preserve"> </w:t>
            </w:r>
            <w:r>
              <w:rPr>
                <w:spacing w:val="-5"/>
              </w:rPr>
              <w:t>名</w:t>
            </w:r>
          </w:p>
        </w:tc>
        <w:tc>
          <w:tcPr>
            <w:tcW w:w="1049" w:type="dxa"/>
            <w:vAlign w:val="top"/>
          </w:tcPr>
          <w:p w14:paraId="36A1E2A2">
            <w:pPr>
              <w:rPr>
                <w:rFonts w:ascii="Arial"/>
                <w:sz w:val="21"/>
              </w:rPr>
            </w:pPr>
          </w:p>
        </w:tc>
        <w:tc>
          <w:tcPr>
            <w:tcW w:w="1119" w:type="dxa"/>
            <w:vAlign w:val="top"/>
          </w:tcPr>
          <w:p w14:paraId="07BF022B">
            <w:pPr>
              <w:pStyle w:val="6"/>
              <w:spacing w:before="123" w:line="219" w:lineRule="auto"/>
              <w:ind w:left="281"/>
            </w:pPr>
            <w:r>
              <w:rPr>
                <w:spacing w:val="-5"/>
              </w:rPr>
              <w:t>年</w:t>
            </w:r>
            <w:r>
              <w:rPr>
                <w:spacing w:val="29"/>
              </w:rPr>
              <w:t xml:space="preserve"> </w:t>
            </w:r>
            <w:r>
              <w:rPr>
                <w:spacing w:val="-5"/>
              </w:rPr>
              <w:t>龄</w:t>
            </w:r>
          </w:p>
        </w:tc>
        <w:tc>
          <w:tcPr>
            <w:tcW w:w="1278" w:type="dxa"/>
            <w:vAlign w:val="top"/>
          </w:tcPr>
          <w:p w14:paraId="040E61A0">
            <w:pPr>
              <w:rPr>
                <w:rFonts w:ascii="Arial"/>
                <w:sz w:val="21"/>
              </w:rPr>
            </w:pPr>
          </w:p>
        </w:tc>
        <w:tc>
          <w:tcPr>
            <w:tcW w:w="2127" w:type="dxa"/>
            <w:vAlign w:val="top"/>
          </w:tcPr>
          <w:p w14:paraId="71A1D5CE">
            <w:pPr>
              <w:pStyle w:val="6"/>
              <w:spacing w:before="124" w:line="221" w:lineRule="auto"/>
              <w:ind w:left="844"/>
            </w:pPr>
            <w:r>
              <w:rPr>
                <w:spacing w:val="6"/>
              </w:rPr>
              <w:t>学历</w:t>
            </w:r>
          </w:p>
        </w:tc>
        <w:tc>
          <w:tcPr>
            <w:tcW w:w="2142" w:type="dxa"/>
            <w:vAlign w:val="top"/>
          </w:tcPr>
          <w:p w14:paraId="5F6784DB">
            <w:pPr>
              <w:rPr>
                <w:rFonts w:ascii="Arial"/>
                <w:sz w:val="21"/>
              </w:rPr>
            </w:pPr>
          </w:p>
        </w:tc>
      </w:tr>
      <w:tr w14:paraId="005FE1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1094" w:type="dxa"/>
            <w:vAlign w:val="top"/>
          </w:tcPr>
          <w:p w14:paraId="7F54A7A7">
            <w:pPr>
              <w:pStyle w:val="6"/>
              <w:spacing w:before="132" w:line="221" w:lineRule="auto"/>
              <w:ind w:left="214"/>
            </w:pPr>
            <w:r>
              <w:rPr>
                <w:spacing w:val="-5"/>
              </w:rPr>
              <w:t>职</w:t>
            </w:r>
            <w:r>
              <w:rPr>
                <w:spacing w:val="18"/>
              </w:rPr>
              <w:t xml:space="preserve">  </w:t>
            </w:r>
            <w:r>
              <w:rPr>
                <w:spacing w:val="-5"/>
              </w:rPr>
              <w:t>称</w:t>
            </w:r>
          </w:p>
        </w:tc>
        <w:tc>
          <w:tcPr>
            <w:tcW w:w="1049" w:type="dxa"/>
            <w:vAlign w:val="top"/>
          </w:tcPr>
          <w:p w14:paraId="2E4C32C8">
            <w:pPr>
              <w:rPr>
                <w:rFonts w:ascii="Arial"/>
                <w:sz w:val="21"/>
              </w:rPr>
            </w:pPr>
          </w:p>
        </w:tc>
        <w:tc>
          <w:tcPr>
            <w:tcW w:w="1119" w:type="dxa"/>
            <w:vAlign w:val="top"/>
          </w:tcPr>
          <w:p w14:paraId="79BCF6FB">
            <w:pPr>
              <w:pStyle w:val="6"/>
              <w:spacing w:before="129" w:line="219" w:lineRule="auto"/>
              <w:ind w:left="281"/>
            </w:pPr>
            <w:r>
              <w:rPr>
                <w:spacing w:val="-5"/>
              </w:rPr>
              <w:t>职</w:t>
            </w:r>
            <w:r>
              <w:rPr>
                <w:spacing w:val="33"/>
              </w:rPr>
              <w:t xml:space="preserve"> </w:t>
            </w:r>
            <w:r>
              <w:rPr>
                <w:spacing w:val="-5"/>
              </w:rPr>
              <w:t>务</w:t>
            </w:r>
          </w:p>
        </w:tc>
        <w:tc>
          <w:tcPr>
            <w:tcW w:w="1278" w:type="dxa"/>
            <w:vAlign w:val="top"/>
          </w:tcPr>
          <w:p w14:paraId="2991FBFE">
            <w:pPr>
              <w:rPr>
                <w:rFonts w:ascii="Arial"/>
                <w:sz w:val="21"/>
              </w:rPr>
            </w:pPr>
          </w:p>
        </w:tc>
        <w:tc>
          <w:tcPr>
            <w:tcW w:w="2127" w:type="dxa"/>
            <w:vAlign w:val="top"/>
          </w:tcPr>
          <w:p w14:paraId="048C119A">
            <w:pPr>
              <w:pStyle w:val="6"/>
              <w:spacing w:before="128" w:line="219" w:lineRule="auto"/>
              <w:ind w:left="324"/>
            </w:pPr>
            <w:r>
              <w:rPr>
                <w:spacing w:val="-2"/>
              </w:rPr>
              <w:t>拟在本工程任职</w:t>
            </w:r>
          </w:p>
        </w:tc>
        <w:tc>
          <w:tcPr>
            <w:tcW w:w="2142" w:type="dxa"/>
            <w:vAlign w:val="top"/>
          </w:tcPr>
          <w:p w14:paraId="0A0C1A01">
            <w:pPr>
              <w:pStyle w:val="6"/>
              <w:spacing w:before="130" w:line="220" w:lineRule="auto"/>
              <w:ind w:left="648"/>
            </w:pPr>
            <w:r>
              <w:rPr>
                <w:spacing w:val="-3"/>
              </w:rPr>
              <w:t>项目经理</w:t>
            </w:r>
          </w:p>
        </w:tc>
      </w:tr>
      <w:tr w14:paraId="752B89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3262" w:type="dxa"/>
            <w:gridSpan w:val="3"/>
            <w:vAlign w:val="top"/>
          </w:tcPr>
          <w:p w14:paraId="052869EE">
            <w:pPr>
              <w:pStyle w:val="6"/>
              <w:spacing w:before="119" w:line="219" w:lineRule="auto"/>
              <w:ind w:left="464"/>
            </w:pPr>
            <w:r>
              <w:rPr>
                <w:spacing w:val="1"/>
              </w:rPr>
              <w:t>注册建造师执业资格等级</w:t>
            </w:r>
          </w:p>
        </w:tc>
        <w:tc>
          <w:tcPr>
            <w:tcW w:w="1278" w:type="dxa"/>
            <w:vAlign w:val="top"/>
          </w:tcPr>
          <w:p w14:paraId="1A790174">
            <w:pPr>
              <w:pStyle w:val="6"/>
              <w:spacing w:before="122" w:line="221" w:lineRule="auto"/>
              <w:ind w:left="852"/>
            </w:pPr>
            <w:r>
              <w:t>级</w:t>
            </w:r>
          </w:p>
        </w:tc>
        <w:tc>
          <w:tcPr>
            <w:tcW w:w="2127" w:type="dxa"/>
            <w:vAlign w:val="top"/>
          </w:tcPr>
          <w:p w14:paraId="4C8D6D10">
            <w:pPr>
              <w:pStyle w:val="6"/>
              <w:spacing w:before="119" w:line="219" w:lineRule="auto"/>
              <w:ind w:left="534"/>
            </w:pPr>
            <w:r>
              <w:rPr>
                <w:spacing w:val="-2"/>
              </w:rPr>
              <w:t>建造师专业</w:t>
            </w:r>
          </w:p>
        </w:tc>
        <w:tc>
          <w:tcPr>
            <w:tcW w:w="2142" w:type="dxa"/>
            <w:vAlign w:val="top"/>
          </w:tcPr>
          <w:p w14:paraId="225BA75A">
            <w:pPr>
              <w:rPr>
                <w:rFonts w:ascii="Arial"/>
                <w:sz w:val="21"/>
              </w:rPr>
            </w:pPr>
          </w:p>
        </w:tc>
      </w:tr>
      <w:tr w14:paraId="39D10F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3262" w:type="dxa"/>
            <w:gridSpan w:val="3"/>
            <w:vAlign w:val="top"/>
          </w:tcPr>
          <w:p w14:paraId="265E1B11">
            <w:pPr>
              <w:pStyle w:val="6"/>
              <w:spacing w:before="128" w:line="219" w:lineRule="auto"/>
              <w:ind w:left="575"/>
            </w:pPr>
            <w:r>
              <w:rPr>
                <w:spacing w:val="1"/>
              </w:rPr>
              <w:t>安全生产考核合格证书</w:t>
            </w:r>
          </w:p>
        </w:tc>
        <w:tc>
          <w:tcPr>
            <w:tcW w:w="5547" w:type="dxa"/>
            <w:gridSpan w:val="3"/>
            <w:vAlign w:val="top"/>
          </w:tcPr>
          <w:p w14:paraId="79FBEA5A">
            <w:pPr>
              <w:rPr>
                <w:rFonts w:ascii="Arial"/>
                <w:sz w:val="21"/>
              </w:rPr>
            </w:pPr>
          </w:p>
        </w:tc>
      </w:tr>
      <w:tr w14:paraId="6868F5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1094" w:type="dxa"/>
            <w:vAlign w:val="top"/>
          </w:tcPr>
          <w:p w14:paraId="413D2974">
            <w:pPr>
              <w:pStyle w:val="6"/>
              <w:spacing w:before="119" w:line="219" w:lineRule="auto"/>
              <w:ind w:left="114"/>
            </w:pPr>
            <w:r>
              <w:rPr>
                <w:spacing w:val="2"/>
              </w:rPr>
              <w:t>毕业学校</w:t>
            </w:r>
          </w:p>
        </w:tc>
        <w:tc>
          <w:tcPr>
            <w:tcW w:w="7715" w:type="dxa"/>
            <w:gridSpan w:val="5"/>
            <w:vAlign w:val="top"/>
          </w:tcPr>
          <w:p w14:paraId="3CB365DE">
            <w:pPr>
              <w:pStyle w:val="6"/>
              <w:spacing w:before="129" w:line="220" w:lineRule="auto"/>
              <w:ind w:left="950"/>
            </w:pPr>
            <w:r>
              <w:rPr>
                <w:spacing w:val="2"/>
              </w:rPr>
              <w:t>年毕业于</w:t>
            </w:r>
            <w:r>
              <w:rPr>
                <w:spacing w:val="5"/>
              </w:rPr>
              <w:t xml:space="preserve">                 </w:t>
            </w:r>
            <w:r>
              <w:rPr>
                <w:spacing w:val="2"/>
              </w:rPr>
              <w:t>学校</w:t>
            </w:r>
            <w:r>
              <w:rPr>
                <w:spacing w:val="8"/>
              </w:rPr>
              <w:t xml:space="preserve">           </w:t>
            </w:r>
            <w:r>
              <w:rPr>
                <w:spacing w:val="2"/>
              </w:rPr>
              <w:t>专业</w:t>
            </w:r>
          </w:p>
        </w:tc>
      </w:tr>
      <w:tr w14:paraId="36CB13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8809" w:type="dxa"/>
            <w:gridSpan w:val="6"/>
            <w:vAlign w:val="top"/>
          </w:tcPr>
          <w:p w14:paraId="10993183">
            <w:pPr>
              <w:pStyle w:val="6"/>
              <w:spacing w:before="131" w:line="220" w:lineRule="auto"/>
              <w:ind w:left="3785"/>
            </w:pPr>
            <w:r>
              <w:rPr>
                <w:spacing w:val="2"/>
              </w:rPr>
              <w:t>主要工作经历</w:t>
            </w:r>
          </w:p>
        </w:tc>
      </w:tr>
      <w:tr w14:paraId="073306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1094" w:type="dxa"/>
            <w:vAlign w:val="top"/>
          </w:tcPr>
          <w:p w14:paraId="30BCA4C7">
            <w:pPr>
              <w:pStyle w:val="6"/>
              <w:spacing w:before="133" w:line="221" w:lineRule="auto"/>
              <w:ind w:left="275"/>
            </w:pPr>
            <w:r>
              <w:rPr>
                <w:spacing w:val="-10"/>
              </w:rPr>
              <w:t>时</w:t>
            </w:r>
            <w:r>
              <w:rPr>
                <w:spacing w:val="59"/>
              </w:rPr>
              <w:t xml:space="preserve"> </w:t>
            </w:r>
            <w:r>
              <w:rPr>
                <w:spacing w:val="-10"/>
              </w:rPr>
              <w:t>间</w:t>
            </w:r>
          </w:p>
        </w:tc>
        <w:tc>
          <w:tcPr>
            <w:tcW w:w="3446" w:type="dxa"/>
            <w:gridSpan w:val="3"/>
            <w:vAlign w:val="top"/>
          </w:tcPr>
          <w:p w14:paraId="47A7785C">
            <w:pPr>
              <w:pStyle w:val="6"/>
              <w:spacing w:before="130" w:line="219" w:lineRule="auto"/>
              <w:ind w:left="690"/>
            </w:pPr>
            <w:r>
              <w:rPr>
                <w:spacing w:val="1"/>
              </w:rPr>
              <w:t>参加过的类似项目名称</w:t>
            </w:r>
          </w:p>
        </w:tc>
        <w:tc>
          <w:tcPr>
            <w:tcW w:w="2127" w:type="dxa"/>
            <w:vAlign w:val="top"/>
          </w:tcPr>
          <w:p w14:paraId="10B5F521">
            <w:pPr>
              <w:pStyle w:val="6"/>
              <w:spacing w:before="130" w:line="219" w:lineRule="auto"/>
              <w:ind w:left="424"/>
            </w:pPr>
            <w:r>
              <w:rPr>
                <w:spacing w:val="3"/>
              </w:rPr>
              <w:t>工程概况说明</w:t>
            </w:r>
          </w:p>
        </w:tc>
        <w:tc>
          <w:tcPr>
            <w:tcW w:w="2142" w:type="dxa"/>
            <w:vAlign w:val="top"/>
          </w:tcPr>
          <w:p w14:paraId="61C8D232">
            <w:pPr>
              <w:pStyle w:val="6"/>
              <w:spacing w:before="131" w:line="220" w:lineRule="auto"/>
              <w:ind w:left="227"/>
            </w:pPr>
            <w:r>
              <w:rPr>
                <w:spacing w:val="-2"/>
              </w:rPr>
              <w:t>发包人及联系电话</w:t>
            </w:r>
          </w:p>
        </w:tc>
      </w:tr>
      <w:tr w14:paraId="4D0A5E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9" w:hRule="atLeast"/>
        </w:trPr>
        <w:tc>
          <w:tcPr>
            <w:tcW w:w="1094" w:type="dxa"/>
            <w:vAlign w:val="top"/>
          </w:tcPr>
          <w:p w14:paraId="5B26A003">
            <w:pPr>
              <w:rPr>
                <w:rFonts w:ascii="Arial"/>
                <w:sz w:val="21"/>
              </w:rPr>
            </w:pPr>
          </w:p>
        </w:tc>
        <w:tc>
          <w:tcPr>
            <w:tcW w:w="3446" w:type="dxa"/>
            <w:gridSpan w:val="3"/>
            <w:vAlign w:val="top"/>
          </w:tcPr>
          <w:p w14:paraId="39DD0E3E">
            <w:pPr>
              <w:rPr>
                <w:rFonts w:ascii="Arial"/>
                <w:sz w:val="21"/>
              </w:rPr>
            </w:pPr>
          </w:p>
        </w:tc>
        <w:tc>
          <w:tcPr>
            <w:tcW w:w="2127" w:type="dxa"/>
            <w:vAlign w:val="top"/>
          </w:tcPr>
          <w:p w14:paraId="09D830E1">
            <w:pPr>
              <w:rPr>
                <w:rFonts w:ascii="Arial"/>
                <w:sz w:val="21"/>
              </w:rPr>
            </w:pPr>
          </w:p>
        </w:tc>
        <w:tc>
          <w:tcPr>
            <w:tcW w:w="2142" w:type="dxa"/>
            <w:vAlign w:val="top"/>
          </w:tcPr>
          <w:p w14:paraId="4763BC10">
            <w:pPr>
              <w:rPr>
                <w:rFonts w:ascii="Arial"/>
                <w:sz w:val="21"/>
              </w:rPr>
            </w:pPr>
          </w:p>
        </w:tc>
      </w:tr>
      <w:tr w14:paraId="58D7F0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9" w:hRule="atLeast"/>
        </w:trPr>
        <w:tc>
          <w:tcPr>
            <w:tcW w:w="1094" w:type="dxa"/>
            <w:vAlign w:val="top"/>
          </w:tcPr>
          <w:p w14:paraId="6E402E69">
            <w:pPr>
              <w:rPr>
                <w:rFonts w:ascii="Arial"/>
                <w:sz w:val="21"/>
              </w:rPr>
            </w:pPr>
          </w:p>
        </w:tc>
        <w:tc>
          <w:tcPr>
            <w:tcW w:w="3446" w:type="dxa"/>
            <w:gridSpan w:val="3"/>
            <w:vAlign w:val="top"/>
          </w:tcPr>
          <w:p w14:paraId="6EE7A720">
            <w:pPr>
              <w:rPr>
                <w:rFonts w:ascii="Arial"/>
                <w:sz w:val="21"/>
              </w:rPr>
            </w:pPr>
          </w:p>
        </w:tc>
        <w:tc>
          <w:tcPr>
            <w:tcW w:w="2127" w:type="dxa"/>
            <w:vAlign w:val="top"/>
          </w:tcPr>
          <w:p w14:paraId="2220C7C3">
            <w:pPr>
              <w:rPr>
                <w:rFonts w:ascii="Arial"/>
                <w:sz w:val="21"/>
              </w:rPr>
            </w:pPr>
          </w:p>
        </w:tc>
        <w:tc>
          <w:tcPr>
            <w:tcW w:w="2142" w:type="dxa"/>
            <w:vAlign w:val="top"/>
          </w:tcPr>
          <w:p w14:paraId="0869636E">
            <w:pPr>
              <w:rPr>
                <w:rFonts w:ascii="Arial"/>
                <w:sz w:val="21"/>
              </w:rPr>
            </w:pPr>
          </w:p>
        </w:tc>
      </w:tr>
      <w:tr w14:paraId="588D96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atLeast"/>
        </w:trPr>
        <w:tc>
          <w:tcPr>
            <w:tcW w:w="1094" w:type="dxa"/>
            <w:vAlign w:val="top"/>
          </w:tcPr>
          <w:p w14:paraId="5CBDB942">
            <w:pPr>
              <w:rPr>
                <w:rFonts w:ascii="Arial"/>
                <w:sz w:val="21"/>
              </w:rPr>
            </w:pPr>
          </w:p>
        </w:tc>
        <w:tc>
          <w:tcPr>
            <w:tcW w:w="3446" w:type="dxa"/>
            <w:gridSpan w:val="3"/>
            <w:vAlign w:val="top"/>
          </w:tcPr>
          <w:p w14:paraId="6B278036">
            <w:pPr>
              <w:rPr>
                <w:rFonts w:ascii="Arial"/>
                <w:sz w:val="21"/>
              </w:rPr>
            </w:pPr>
          </w:p>
        </w:tc>
        <w:tc>
          <w:tcPr>
            <w:tcW w:w="2127" w:type="dxa"/>
            <w:vAlign w:val="top"/>
          </w:tcPr>
          <w:p w14:paraId="7A39B1E9">
            <w:pPr>
              <w:rPr>
                <w:rFonts w:ascii="Arial"/>
                <w:sz w:val="21"/>
              </w:rPr>
            </w:pPr>
          </w:p>
        </w:tc>
        <w:tc>
          <w:tcPr>
            <w:tcW w:w="2142" w:type="dxa"/>
            <w:vAlign w:val="top"/>
          </w:tcPr>
          <w:p w14:paraId="7D7AA74B">
            <w:pPr>
              <w:rPr>
                <w:rFonts w:ascii="Arial"/>
                <w:sz w:val="21"/>
              </w:rPr>
            </w:pPr>
          </w:p>
        </w:tc>
      </w:tr>
      <w:tr w14:paraId="4BB671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atLeast"/>
        </w:trPr>
        <w:tc>
          <w:tcPr>
            <w:tcW w:w="1094" w:type="dxa"/>
            <w:vAlign w:val="top"/>
          </w:tcPr>
          <w:p w14:paraId="1147B9C0">
            <w:pPr>
              <w:rPr>
                <w:rFonts w:ascii="Arial"/>
                <w:sz w:val="21"/>
              </w:rPr>
            </w:pPr>
          </w:p>
        </w:tc>
        <w:tc>
          <w:tcPr>
            <w:tcW w:w="3446" w:type="dxa"/>
            <w:gridSpan w:val="3"/>
            <w:vAlign w:val="top"/>
          </w:tcPr>
          <w:p w14:paraId="670D625B">
            <w:pPr>
              <w:rPr>
                <w:rFonts w:ascii="Arial"/>
                <w:sz w:val="21"/>
              </w:rPr>
            </w:pPr>
          </w:p>
        </w:tc>
        <w:tc>
          <w:tcPr>
            <w:tcW w:w="2127" w:type="dxa"/>
            <w:vAlign w:val="top"/>
          </w:tcPr>
          <w:p w14:paraId="5464C2A2">
            <w:pPr>
              <w:rPr>
                <w:rFonts w:ascii="Arial"/>
                <w:sz w:val="21"/>
              </w:rPr>
            </w:pPr>
          </w:p>
        </w:tc>
        <w:tc>
          <w:tcPr>
            <w:tcW w:w="2142" w:type="dxa"/>
            <w:vAlign w:val="top"/>
          </w:tcPr>
          <w:p w14:paraId="1308CA81">
            <w:pPr>
              <w:rPr>
                <w:rFonts w:ascii="Arial"/>
                <w:sz w:val="21"/>
              </w:rPr>
            </w:pPr>
          </w:p>
        </w:tc>
      </w:tr>
      <w:tr w14:paraId="40A9FB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9" w:hRule="atLeast"/>
        </w:trPr>
        <w:tc>
          <w:tcPr>
            <w:tcW w:w="1094" w:type="dxa"/>
            <w:vAlign w:val="top"/>
          </w:tcPr>
          <w:p w14:paraId="663458E8">
            <w:pPr>
              <w:rPr>
                <w:rFonts w:ascii="Arial"/>
                <w:sz w:val="21"/>
              </w:rPr>
            </w:pPr>
          </w:p>
        </w:tc>
        <w:tc>
          <w:tcPr>
            <w:tcW w:w="3446" w:type="dxa"/>
            <w:gridSpan w:val="3"/>
            <w:vAlign w:val="top"/>
          </w:tcPr>
          <w:p w14:paraId="62ED4900">
            <w:pPr>
              <w:rPr>
                <w:rFonts w:ascii="Arial"/>
                <w:sz w:val="21"/>
              </w:rPr>
            </w:pPr>
          </w:p>
        </w:tc>
        <w:tc>
          <w:tcPr>
            <w:tcW w:w="2127" w:type="dxa"/>
            <w:vAlign w:val="top"/>
          </w:tcPr>
          <w:p w14:paraId="41CE85FA">
            <w:pPr>
              <w:rPr>
                <w:rFonts w:ascii="Arial"/>
                <w:sz w:val="21"/>
              </w:rPr>
            </w:pPr>
          </w:p>
        </w:tc>
        <w:tc>
          <w:tcPr>
            <w:tcW w:w="2142" w:type="dxa"/>
            <w:vAlign w:val="top"/>
          </w:tcPr>
          <w:p w14:paraId="02A94E55">
            <w:pPr>
              <w:rPr>
                <w:rFonts w:ascii="Arial"/>
                <w:sz w:val="21"/>
              </w:rPr>
            </w:pPr>
          </w:p>
        </w:tc>
      </w:tr>
      <w:tr w14:paraId="00E846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9" w:hRule="atLeast"/>
        </w:trPr>
        <w:tc>
          <w:tcPr>
            <w:tcW w:w="1094" w:type="dxa"/>
            <w:vAlign w:val="top"/>
          </w:tcPr>
          <w:p w14:paraId="450B5492">
            <w:pPr>
              <w:rPr>
                <w:rFonts w:ascii="Arial"/>
                <w:sz w:val="21"/>
              </w:rPr>
            </w:pPr>
          </w:p>
        </w:tc>
        <w:tc>
          <w:tcPr>
            <w:tcW w:w="3446" w:type="dxa"/>
            <w:gridSpan w:val="3"/>
            <w:vAlign w:val="top"/>
          </w:tcPr>
          <w:p w14:paraId="0B1400CC">
            <w:pPr>
              <w:rPr>
                <w:rFonts w:ascii="Arial"/>
                <w:sz w:val="21"/>
              </w:rPr>
            </w:pPr>
          </w:p>
        </w:tc>
        <w:tc>
          <w:tcPr>
            <w:tcW w:w="2127" w:type="dxa"/>
            <w:vAlign w:val="top"/>
          </w:tcPr>
          <w:p w14:paraId="0436575A">
            <w:pPr>
              <w:rPr>
                <w:rFonts w:ascii="Arial"/>
                <w:sz w:val="21"/>
              </w:rPr>
            </w:pPr>
          </w:p>
        </w:tc>
        <w:tc>
          <w:tcPr>
            <w:tcW w:w="2142" w:type="dxa"/>
            <w:vAlign w:val="top"/>
          </w:tcPr>
          <w:p w14:paraId="073DFE4A">
            <w:pPr>
              <w:rPr>
                <w:rFonts w:ascii="Arial"/>
                <w:sz w:val="21"/>
              </w:rPr>
            </w:pPr>
          </w:p>
        </w:tc>
      </w:tr>
      <w:tr w14:paraId="342B73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atLeast"/>
        </w:trPr>
        <w:tc>
          <w:tcPr>
            <w:tcW w:w="1094" w:type="dxa"/>
            <w:vAlign w:val="top"/>
          </w:tcPr>
          <w:p w14:paraId="2F47DD0A">
            <w:pPr>
              <w:rPr>
                <w:rFonts w:ascii="Arial"/>
                <w:sz w:val="21"/>
              </w:rPr>
            </w:pPr>
          </w:p>
        </w:tc>
        <w:tc>
          <w:tcPr>
            <w:tcW w:w="3446" w:type="dxa"/>
            <w:gridSpan w:val="3"/>
            <w:vAlign w:val="top"/>
          </w:tcPr>
          <w:p w14:paraId="57E8AC4A">
            <w:pPr>
              <w:rPr>
                <w:rFonts w:ascii="Arial"/>
                <w:sz w:val="21"/>
              </w:rPr>
            </w:pPr>
          </w:p>
        </w:tc>
        <w:tc>
          <w:tcPr>
            <w:tcW w:w="2127" w:type="dxa"/>
            <w:vAlign w:val="top"/>
          </w:tcPr>
          <w:p w14:paraId="20975A00">
            <w:pPr>
              <w:rPr>
                <w:rFonts w:ascii="Arial"/>
                <w:sz w:val="21"/>
              </w:rPr>
            </w:pPr>
          </w:p>
        </w:tc>
        <w:tc>
          <w:tcPr>
            <w:tcW w:w="2142" w:type="dxa"/>
            <w:vAlign w:val="top"/>
          </w:tcPr>
          <w:p w14:paraId="1C1019D5">
            <w:pPr>
              <w:rPr>
                <w:rFonts w:ascii="Arial"/>
                <w:sz w:val="21"/>
              </w:rPr>
            </w:pPr>
          </w:p>
        </w:tc>
      </w:tr>
      <w:tr w14:paraId="3C4797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atLeast"/>
        </w:trPr>
        <w:tc>
          <w:tcPr>
            <w:tcW w:w="1094" w:type="dxa"/>
            <w:vAlign w:val="top"/>
          </w:tcPr>
          <w:p w14:paraId="5CCD3B52">
            <w:pPr>
              <w:rPr>
                <w:rFonts w:ascii="Arial"/>
                <w:sz w:val="21"/>
              </w:rPr>
            </w:pPr>
          </w:p>
        </w:tc>
        <w:tc>
          <w:tcPr>
            <w:tcW w:w="3446" w:type="dxa"/>
            <w:gridSpan w:val="3"/>
            <w:vAlign w:val="top"/>
          </w:tcPr>
          <w:p w14:paraId="45014571">
            <w:pPr>
              <w:rPr>
                <w:rFonts w:ascii="Arial"/>
                <w:sz w:val="21"/>
              </w:rPr>
            </w:pPr>
          </w:p>
        </w:tc>
        <w:tc>
          <w:tcPr>
            <w:tcW w:w="2127" w:type="dxa"/>
            <w:vAlign w:val="top"/>
          </w:tcPr>
          <w:p w14:paraId="2EB8E5A1">
            <w:pPr>
              <w:rPr>
                <w:rFonts w:ascii="Arial"/>
                <w:sz w:val="21"/>
              </w:rPr>
            </w:pPr>
          </w:p>
        </w:tc>
        <w:tc>
          <w:tcPr>
            <w:tcW w:w="2142" w:type="dxa"/>
            <w:vAlign w:val="top"/>
          </w:tcPr>
          <w:p w14:paraId="00A1E0FD">
            <w:pPr>
              <w:rPr>
                <w:rFonts w:ascii="Arial"/>
                <w:sz w:val="21"/>
              </w:rPr>
            </w:pPr>
          </w:p>
        </w:tc>
      </w:tr>
      <w:tr w14:paraId="7D4082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1094" w:type="dxa"/>
            <w:vAlign w:val="top"/>
          </w:tcPr>
          <w:p w14:paraId="306C37CE">
            <w:pPr>
              <w:rPr>
                <w:rFonts w:ascii="Arial"/>
                <w:sz w:val="21"/>
              </w:rPr>
            </w:pPr>
          </w:p>
        </w:tc>
        <w:tc>
          <w:tcPr>
            <w:tcW w:w="3446" w:type="dxa"/>
            <w:gridSpan w:val="3"/>
            <w:vAlign w:val="top"/>
          </w:tcPr>
          <w:p w14:paraId="62245319">
            <w:pPr>
              <w:rPr>
                <w:rFonts w:ascii="Arial"/>
                <w:sz w:val="21"/>
              </w:rPr>
            </w:pPr>
          </w:p>
        </w:tc>
        <w:tc>
          <w:tcPr>
            <w:tcW w:w="2127" w:type="dxa"/>
            <w:vAlign w:val="top"/>
          </w:tcPr>
          <w:p w14:paraId="28FEB7A8">
            <w:pPr>
              <w:rPr>
                <w:rFonts w:ascii="Arial"/>
                <w:sz w:val="21"/>
              </w:rPr>
            </w:pPr>
          </w:p>
        </w:tc>
        <w:tc>
          <w:tcPr>
            <w:tcW w:w="2142" w:type="dxa"/>
            <w:vAlign w:val="top"/>
          </w:tcPr>
          <w:p w14:paraId="78865C71">
            <w:pPr>
              <w:rPr>
                <w:rFonts w:ascii="Arial"/>
                <w:sz w:val="21"/>
              </w:rPr>
            </w:pPr>
          </w:p>
        </w:tc>
      </w:tr>
    </w:tbl>
    <w:p w14:paraId="194E7629">
      <w:pPr>
        <w:spacing w:line="328" w:lineRule="auto"/>
        <w:rPr>
          <w:rFonts w:ascii="Arial"/>
          <w:sz w:val="21"/>
        </w:rPr>
      </w:pPr>
    </w:p>
    <w:p w14:paraId="6D8D6974">
      <w:pPr>
        <w:spacing w:line="328" w:lineRule="auto"/>
        <w:rPr>
          <w:rFonts w:ascii="Arial"/>
          <w:sz w:val="21"/>
        </w:rPr>
      </w:pPr>
    </w:p>
    <w:p w14:paraId="19D36603">
      <w:pPr>
        <w:pStyle w:val="2"/>
        <w:spacing w:before="68" w:line="287" w:lineRule="auto"/>
        <w:ind w:left="954" w:hanging="919"/>
        <w:rPr>
          <w:sz w:val="21"/>
          <w:szCs w:val="21"/>
        </w:rPr>
      </w:pPr>
      <w:r>
        <w:rPr>
          <w:spacing w:val="1"/>
          <w:sz w:val="21"/>
          <w:szCs w:val="21"/>
        </w:rPr>
        <w:t>备注：1.项目经理应附建造师资格证书、注册证书、安全生产考核合格证书</w:t>
      </w:r>
      <w:r>
        <w:rPr>
          <w:spacing w:val="-23"/>
          <w:sz w:val="21"/>
          <w:szCs w:val="21"/>
        </w:rPr>
        <w:t xml:space="preserve"> </w:t>
      </w:r>
      <w:r>
        <w:rPr>
          <w:rFonts w:ascii="Times New Roman" w:hAnsi="Times New Roman" w:eastAsia="Times New Roman" w:cs="Times New Roman"/>
          <w:spacing w:val="1"/>
          <w:sz w:val="21"/>
          <w:szCs w:val="21"/>
        </w:rPr>
        <w:t xml:space="preserve">(B </w:t>
      </w:r>
      <w:r>
        <w:rPr>
          <w:spacing w:val="1"/>
          <w:sz w:val="21"/>
          <w:szCs w:val="21"/>
        </w:rPr>
        <w:t>证)、职称证书、</w:t>
      </w:r>
      <w:r>
        <w:rPr>
          <w:sz w:val="21"/>
          <w:szCs w:val="21"/>
        </w:rPr>
        <w:t xml:space="preserve"> </w:t>
      </w:r>
      <w:r>
        <w:rPr>
          <w:spacing w:val="-5"/>
          <w:sz w:val="21"/>
          <w:szCs w:val="21"/>
        </w:rPr>
        <w:t>学历证书扫描件。</w:t>
      </w:r>
    </w:p>
    <w:p w14:paraId="4C94C25A">
      <w:pPr>
        <w:pStyle w:val="2"/>
        <w:spacing w:before="12" w:line="282" w:lineRule="auto"/>
        <w:ind w:left="954" w:right="13" w:hanging="310"/>
        <w:rPr>
          <w:sz w:val="21"/>
          <w:szCs w:val="21"/>
        </w:rPr>
      </w:pPr>
      <w:r>
        <w:rPr>
          <w:spacing w:val="5"/>
          <w:sz w:val="21"/>
          <w:szCs w:val="21"/>
        </w:rPr>
        <w:t>2. 类似项目限于以项目经理身份参与的项</w:t>
      </w:r>
      <w:r>
        <w:rPr>
          <w:spacing w:val="4"/>
          <w:sz w:val="21"/>
          <w:szCs w:val="21"/>
        </w:rPr>
        <w:t>目。须附中标通知书(如有)、合同协议书、施</w:t>
      </w:r>
      <w:r>
        <w:rPr>
          <w:sz w:val="21"/>
          <w:szCs w:val="21"/>
        </w:rPr>
        <w:t xml:space="preserve"> </w:t>
      </w:r>
      <w:r>
        <w:rPr>
          <w:spacing w:val="11"/>
          <w:sz w:val="21"/>
          <w:szCs w:val="21"/>
        </w:rPr>
        <w:t>工许可证(如有)、工程接收证书或工程竣工</w:t>
      </w:r>
      <w:r>
        <w:rPr>
          <w:spacing w:val="10"/>
          <w:sz w:val="21"/>
          <w:szCs w:val="21"/>
        </w:rPr>
        <w:t>验收证书(工程竣工验收备案证)的扫描</w:t>
      </w:r>
      <w:r>
        <w:rPr>
          <w:sz w:val="21"/>
          <w:szCs w:val="21"/>
        </w:rPr>
        <w:t xml:space="preserve"> </w:t>
      </w:r>
      <w:r>
        <w:rPr>
          <w:spacing w:val="5"/>
          <w:sz w:val="21"/>
          <w:szCs w:val="21"/>
        </w:rPr>
        <w:t>件，上述证明材料不足以反映“类似项目”的工程特征指标时，还应当提供其他技术</w:t>
      </w:r>
      <w:r>
        <w:rPr>
          <w:spacing w:val="3"/>
          <w:sz w:val="21"/>
          <w:szCs w:val="21"/>
        </w:rPr>
        <w:t xml:space="preserve"> </w:t>
      </w:r>
      <w:r>
        <w:rPr>
          <w:sz w:val="21"/>
          <w:szCs w:val="21"/>
        </w:rPr>
        <w:t>资料的扫描件予以证明。招标发包的工程应</w:t>
      </w:r>
      <w:r>
        <w:rPr>
          <w:spacing w:val="-1"/>
          <w:sz w:val="21"/>
          <w:szCs w:val="21"/>
        </w:rPr>
        <w:t>附中标通知书，工程总承包发包、施工总承</w:t>
      </w:r>
    </w:p>
    <w:p w14:paraId="56051918">
      <w:pPr>
        <w:spacing w:line="282" w:lineRule="auto"/>
        <w:rPr>
          <w:sz w:val="21"/>
          <w:szCs w:val="21"/>
        </w:rPr>
        <w:sectPr>
          <w:footerReference r:id="rId371" w:type="default"/>
          <w:pgSz w:w="11910" w:h="16840"/>
          <w:pgMar w:top="400" w:right="1533" w:bottom="1147" w:left="1445" w:header="0" w:footer="1021" w:gutter="0"/>
          <w:cols w:space="720" w:num="1"/>
        </w:sectPr>
      </w:pPr>
    </w:p>
    <w:p w14:paraId="14B5E5BE">
      <w:pPr>
        <w:spacing w:line="260" w:lineRule="auto"/>
        <w:rPr>
          <w:rFonts w:ascii="Arial"/>
          <w:sz w:val="21"/>
        </w:rPr>
      </w:pPr>
    </w:p>
    <w:p w14:paraId="56CF5858">
      <w:pPr>
        <w:spacing w:line="260" w:lineRule="auto"/>
        <w:rPr>
          <w:rFonts w:ascii="Arial"/>
          <w:sz w:val="21"/>
        </w:rPr>
      </w:pPr>
    </w:p>
    <w:p w14:paraId="7FADAC1C">
      <w:pPr>
        <w:spacing w:line="260" w:lineRule="auto"/>
        <w:rPr>
          <w:rFonts w:ascii="Arial"/>
          <w:sz w:val="21"/>
        </w:rPr>
      </w:pPr>
    </w:p>
    <w:p w14:paraId="4A825FF8">
      <w:pPr>
        <w:spacing w:line="260" w:lineRule="auto"/>
        <w:rPr>
          <w:rFonts w:ascii="Arial"/>
          <w:sz w:val="21"/>
        </w:rPr>
      </w:pPr>
    </w:p>
    <w:p w14:paraId="7C344213">
      <w:pPr>
        <w:spacing w:line="261" w:lineRule="auto"/>
        <w:rPr>
          <w:rFonts w:ascii="Arial"/>
          <w:sz w:val="21"/>
        </w:rPr>
      </w:pPr>
    </w:p>
    <w:p w14:paraId="7E2AE1BB">
      <w:pPr>
        <w:pStyle w:val="2"/>
        <w:spacing w:before="65" w:line="219" w:lineRule="auto"/>
        <w:ind w:left="626"/>
        <w:rPr>
          <w:sz w:val="20"/>
          <w:szCs w:val="20"/>
        </w:rPr>
      </w:pPr>
      <w:r>
        <w:rPr>
          <w:b/>
          <w:bCs/>
          <w:spacing w:val="6"/>
          <w:sz w:val="20"/>
          <w:szCs w:val="20"/>
        </w:rPr>
        <w:t>包发包、独立发包的施工专业承包应附施工许可证。</w:t>
      </w:r>
    </w:p>
    <w:p w14:paraId="6567632E">
      <w:pPr>
        <w:spacing w:line="219" w:lineRule="auto"/>
        <w:rPr>
          <w:sz w:val="20"/>
          <w:szCs w:val="20"/>
        </w:rPr>
        <w:sectPr>
          <w:footerReference r:id="rId372" w:type="default"/>
          <w:pgSz w:w="11910" w:h="16840"/>
          <w:pgMar w:top="400" w:right="1786" w:bottom="1147" w:left="1786" w:header="0" w:footer="1021" w:gutter="0"/>
          <w:cols w:space="720" w:num="1"/>
        </w:sectPr>
      </w:pPr>
    </w:p>
    <w:p w14:paraId="0255CA55">
      <w:pPr>
        <w:spacing w:line="265" w:lineRule="auto"/>
        <w:rPr>
          <w:rFonts w:ascii="Arial"/>
          <w:sz w:val="21"/>
        </w:rPr>
      </w:pPr>
    </w:p>
    <w:p w14:paraId="154923AB">
      <w:pPr>
        <w:spacing w:line="265" w:lineRule="auto"/>
        <w:rPr>
          <w:rFonts w:ascii="Arial"/>
          <w:sz w:val="21"/>
        </w:rPr>
      </w:pPr>
    </w:p>
    <w:p w14:paraId="09F9C281">
      <w:pPr>
        <w:spacing w:line="265" w:lineRule="auto"/>
        <w:rPr>
          <w:rFonts w:ascii="Arial"/>
          <w:sz w:val="21"/>
        </w:rPr>
      </w:pPr>
    </w:p>
    <w:p w14:paraId="34C97675">
      <w:pPr>
        <w:spacing w:line="265" w:lineRule="auto"/>
        <w:rPr>
          <w:rFonts w:ascii="Arial"/>
          <w:sz w:val="21"/>
        </w:rPr>
      </w:pPr>
    </w:p>
    <w:p w14:paraId="59E7202A">
      <w:pPr>
        <w:spacing w:line="266" w:lineRule="auto"/>
        <w:rPr>
          <w:rFonts w:ascii="Arial"/>
          <w:sz w:val="21"/>
        </w:rPr>
      </w:pPr>
    </w:p>
    <w:p w14:paraId="122129ED">
      <w:pPr>
        <w:spacing w:line="266" w:lineRule="auto"/>
        <w:rPr>
          <w:rFonts w:ascii="Arial"/>
          <w:sz w:val="21"/>
        </w:rPr>
      </w:pPr>
    </w:p>
    <w:p w14:paraId="7F0808E1">
      <w:pPr>
        <w:pStyle w:val="2"/>
        <w:spacing w:before="94" w:line="203" w:lineRule="auto"/>
        <w:ind w:left="3044"/>
        <w:rPr>
          <w:sz w:val="29"/>
          <w:szCs w:val="29"/>
        </w:rPr>
      </w:pPr>
      <w:r>
        <w:rPr>
          <w:b/>
          <w:bCs/>
          <w:spacing w:val="-3"/>
          <w:sz w:val="29"/>
          <w:szCs w:val="29"/>
        </w:rPr>
        <w:t>(三)技术负责人简历表</w:t>
      </w:r>
    </w:p>
    <w:tbl>
      <w:tblPr>
        <w:tblStyle w:val="5"/>
        <w:tblW w:w="8309" w:type="dxa"/>
        <w:tblInd w:w="26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082"/>
        <w:gridCol w:w="2077"/>
        <w:gridCol w:w="2078"/>
        <w:gridCol w:w="2072"/>
      </w:tblGrid>
      <w:tr w14:paraId="2CC95E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4" w:hRule="atLeast"/>
        </w:trPr>
        <w:tc>
          <w:tcPr>
            <w:tcW w:w="2082" w:type="dxa"/>
            <w:vAlign w:val="top"/>
          </w:tcPr>
          <w:p w14:paraId="28C0CE88">
            <w:pPr>
              <w:pStyle w:val="6"/>
              <w:spacing w:before="242" w:line="219" w:lineRule="auto"/>
              <w:ind w:left="294"/>
            </w:pPr>
            <w:r>
              <w:rPr>
                <w:spacing w:val="-2"/>
              </w:rPr>
              <w:t>拟在本工程任职</w:t>
            </w:r>
          </w:p>
        </w:tc>
        <w:tc>
          <w:tcPr>
            <w:tcW w:w="6227" w:type="dxa"/>
            <w:gridSpan w:val="3"/>
            <w:vAlign w:val="top"/>
          </w:tcPr>
          <w:p w14:paraId="2348823C">
            <w:pPr>
              <w:pStyle w:val="6"/>
              <w:spacing w:before="243" w:line="219" w:lineRule="auto"/>
              <w:ind w:left="2582"/>
            </w:pPr>
            <w:r>
              <w:rPr>
                <w:spacing w:val="-2"/>
              </w:rPr>
              <w:t>技术负责人</w:t>
            </w:r>
          </w:p>
        </w:tc>
      </w:tr>
      <w:tr w14:paraId="590DA3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atLeast"/>
        </w:trPr>
        <w:tc>
          <w:tcPr>
            <w:tcW w:w="2082" w:type="dxa"/>
            <w:vAlign w:val="top"/>
          </w:tcPr>
          <w:p w14:paraId="21F5DD83">
            <w:pPr>
              <w:pStyle w:val="6"/>
              <w:spacing w:before="239" w:line="219" w:lineRule="auto"/>
              <w:ind w:left="825"/>
            </w:pPr>
            <w:r>
              <w:rPr>
                <w:spacing w:val="13"/>
              </w:rPr>
              <w:t>姓名</w:t>
            </w:r>
          </w:p>
        </w:tc>
        <w:tc>
          <w:tcPr>
            <w:tcW w:w="2077" w:type="dxa"/>
            <w:vAlign w:val="top"/>
          </w:tcPr>
          <w:p w14:paraId="52AAD6D8">
            <w:pPr>
              <w:rPr>
                <w:rFonts w:ascii="Arial"/>
                <w:sz w:val="21"/>
              </w:rPr>
            </w:pPr>
          </w:p>
        </w:tc>
        <w:tc>
          <w:tcPr>
            <w:tcW w:w="2078" w:type="dxa"/>
            <w:vAlign w:val="top"/>
          </w:tcPr>
          <w:p w14:paraId="5F9535BA">
            <w:pPr>
              <w:pStyle w:val="6"/>
              <w:spacing w:before="239" w:line="219" w:lineRule="auto"/>
              <w:ind w:left="825"/>
            </w:pPr>
            <w:r>
              <w:rPr>
                <w:spacing w:val="-3"/>
              </w:rPr>
              <w:t>年龄</w:t>
            </w:r>
          </w:p>
        </w:tc>
        <w:tc>
          <w:tcPr>
            <w:tcW w:w="2072" w:type="dxa"/>
            <w:vAlign w:val="top"/>
          </w:tcPr>
          <w:p w14:paraId="56FE1F8E">
            <w:pPr>
              <w:rPr>
                <w:rFonts w:ascii="Arial"/>
                <w:sz w:val="21"/>
              </w:rPr>
            </w:pPr>
          </w:p>
        </w:tc>
      </w:tr>
      <w:tr w14:paraId="221ABA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9" w:hRule="atLeast"/>
        </w:trPr>
        <w:tc>
          <w:tcPr>
            <w:tcW w:w="2082" w:type="dxa"/>
            <w:vAlign w:val="top"/>
          </w:tcPr>
          <w:p w14:paraId="6A5A9FF0">
            <w:pPr>
              <w:pStyle w:val="6"/>
              <w:spacing w:before="231" w:line="220" w:lineRule="auto"/>
              <w:ind w:left="825"/>
            </w:pPr>
            <w:r>
              <w:rPr>
                <w:spacing w:val="8"/>
              </w:rPr>
              <w:t>性别</w:t>
            </w:r>
          </w:p>
        </w:tc>
        <w:tc>
          <w:tcPr>
            <w:tcW w:w="2077" w:type="dxa"/>
            <w:vAlign w:val="top"/>
          </w:tcPr>
          <w:p w14:paraId="713E0F12">
            <w:pPr>
              <w:rPr>
                <w:rFonts w:ascii="Arial"/>
                <w:sz w:val="21"/>
              </w:rPr>
            </w:pPr>
          </w:p>
        </w:tc>
        <w:tc>
          <w:tcPr>
            <w:tcW w:w="2078" w:type="dxa"/>
            <w:vAlign w:val="top"/>
          </w:tcPr>
          <w:p w14:paraId="5D65A97B">
            <w:pPr>
              <w:pStyle w:val="6"/>
              <w:spacing w:before="230" w:line="219" w:lineRule="auto"/>
              <w:ind w:left="615"/>
            </w:pPr>
            <w:r>
              <w:rPr>
                <w:spacing w:val="2"/>
              </w:rPr>
              <w:t>毕业院校</w:t>
            </w:r>
          </w:p>
        </w:tc>
        <w:tc>
          <w:tcPr>
            <w:tcW w:w="2072" w:type="dxa"/>
            <w:vAlign w:val="top"/>
          </w:tcPr>
          <w:p w14:paraId="5CF4CC4F">
            <w:pPr>
              <w:rPr>
                <w:rFonts w:ascii="Arial"/>
                <w:sz w:val="21"/>
              </w:rPr>
            </w:pPr>
          </w:p>
        </w:tc>
      </w:tr>
      <w:tr w14:paraId="268F2D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9" w:hRule="atLeast"/>
        </w:trPr>
        <w:tc>
          <w:tcPr>
            <w:tcW w:w="2082" w:type="dxa"/>
            <w:vAlign w:val="top"/>
          </w:tcPr>
          <w:p w14:paraId="5BD15E83">
            <w:pPr>
              <w:pStyle w:val="6"/>
              <w:spacing w:before="242" w:line="221" w:lineRule="auto"/>
              <w:ind w:left="825"/>
            </w:pPr>
            <w:r>
              <w:rPr>
                <w:spacing w:val="6"/>
              </w:rPr>
              <w:t>学历</w:t>
            </w:r>
          </w:p>
        </w:tc>
        <w:tc>
          <w:tcPr>
            <w:tcW w:w="2077" w:type="dxa"/>
            <w:vAlign w:val="top"/>
          </w:tcPr>
          <w:p w14:paraId="1EDF13E1">
            <w:pPr>
              <w:rPr>
                <w:rFonts w:ascii="Arial"/>
                <w:sz w:val="21"/>
              </w:rPr>
            </w:pPr>
          </w:p>
        </w:tc>
        <w:tc>
          <w:tcPr>
            <w:tcW w:w="2078" w:type="dxa"/>
            <w:vAlign w:val="top"/>
          </w:tcPr>
          <w:p w14:paraId="5D7DCB97">
            <w:pPr>
              <w:pStyle w:val="6"/>
              <w:spacing w:before="241" w:line="219" w:lineRule="auto"/>
              <w:ind w:left="615"/>
            </w:pPr>
            <w:r>
              <w:rPr>
                <w:spacing w:val="5"/>
              </w:rPr>
              <w:t>毕业时间</w:t>
            </w:r>
          </w:p>
        </w:tc>
        <w:tc>
          <w:tcPr>
            <w:tcW w:w="2072" w:type="dxa"/>
            <w:vAlign w:val="top"/>
          </w:tcPr>
          <w:p w14:paraId="2A3704BF">
            <w:pPr>
              <w:rPr>
                <w:rFonts w:ascii="Arial"/>
                <w:sz w:val="21"/>
              </w:rPr>
            </w:pPr>
          </w:p>
        </w:tc>
      </w:tr>
      <w:tr w14:paraId="4530D4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9" w:hRule="atLeast"/>
        </w:trPr>
        <w:tc>
          <w:tcPr>
            <w:tcW w:w="2082" w:type="dxa"/>
            <w:vAlign w:val="top"/>
          </w:tcPr>
          <w:p w14:paraId="53E66B9E">
            <w:pPr>
              <w:pStyle w:val="6"/>
              <w:spacing w:before="233" w:line="220" w:lineRule="auto"/>
              <w:ind w:left="825"/>
            </w:pPr>
            <w:r>
              <w:rPr>
                <w:spacing w:val="-3"/>
              </w:rPr>
              <w:t>专业</w:t>
            </w:r>
          </w:p>
        </w:tc>
        <w:tc>
          <w:tcPr>
            <w:tcW w:w="6227" w:type="dxa"/>
            <w:gridSpan w:val="3"/>
            <w:vAlign w:val="top"/>
          </w:tcPr>
          <w:p w14:paraId="39DF9327">
            <w:pPr>
              <w:rPr>
                <w:rFonts w:ascii="Arial"/>
                <w:sz w:val="21"/>
              </w:rPr>
            </w:pPr>
          </w:p>
        </w:tc>
      </w:tr>
      <w:tr w14:paraId="79837F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2082" w:type="dxa"/>
            <w:vAlign w:val="top"/>
          </w:tcPr>
          <w:p w14:paraId="1A58523E">
            <w:pPr>
              <w:pStyle w:val="6"/>
              <w:spacing w:before="243" w:line="219" w:lineRule="auto"/>
              <w:ind w:left="344"/>
            </w:pPr>
            <w:r>
              <w:rPr>
                <w:spacing w:val="2"/>
              </w:rPr>
              <w:t>执业/岗位资格</w:t>
            </w:r>
          </w:p>
        </w:tc>
        <w:tc>
          <w:tcPr>
            <w:tcW w:w="2077" w:type="dxa"/>
            <w:vAlign w:val="top"/>
          </w:tcPr>
          <w:p w14:paraId="780580E0">
            <w:pPr>
              <w:rPr>
                <w:rFonts w:ascii="Arial"/>
                <w:sz w:val="21"/>
              </w:rPr>
            </w:pPr>
          </w:p>
        </w:tc>
        <w:tc>
          <w:tcPr>
            <w:tcW w:w="2078" w:type="dxa"/>
            <w:vAlign w:val="top"/>
          </w:tcPr>
          <w:p w14:paraId="58F5E76C">
            <w:pPr>
              <w:pStyle w:val="6"/>
              <w:spacing w:before="246" w:line="221" w:lineRule="auto"/>
              <w:ind w:left="825"/>
            </w:pPr>
            <w:r>
              <w:rPr>
                <w:spacing w:val="-3"/>
              </w:rPr>
              <w:t>职称</w:t>
            </w:r>
          </w:p>
        </w:tc>
        <w:tc>
          <w:tcPr>
            <w:tcW w:w="2072" w:type="dxa"/>
            <w:vAlign w:val="top"/>
          </w:tcPr>
          <w:p w14:paraId="7774A189">
            <w:pPr>
              <w:rPr>
                <w:rFonts w:ascii="Arial"/>
                <w:sz w:val="21"/>
              </w:rPr>
            </w:pPr>
          </w:p>
        </w:tc>
      </w:tr>
      <w:tr w14:paraId="0E0616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9" w:hRule="atLeast"/>
        </w:trPr>
        <w:tc>
          <w:tcPr>
            <w:tcW w:w="2082" w:type="dxa"/>
            <w:vAlign w:val="top"/>
          </w:tcPr>
          <w:p w14:paraId="23AC19BE">
            <w:pPr>
              <w:pStyle w:val="6"/>
              <w:spacing w:before="242" w:line="219" w:lineRule="auto"/>
              <w:ind w:left="134"/>
            </w:pPr>
            <w:r>
              <w:rPr>
                <w:spacing w:val="2"/>
              </w:rPr>
              <w:t>执业/岗位证书编号</w:t>
            </w:r>
          </w:p>
        </w:tc>
        <w:tc>
          <w:tcPr>
            <w:tcW w:w="2077" w:type="dxa"/>
            <w:vAlign w:val="top"/>
          </w:tcPr>
          <w:p w14:paraId="2C3300BD">
            <w:pPr>
              <w:rPr>
                <w:rFonts w:ascii="Arial"/>
                <w:sz w:val="21"/>
              </w:rPr>
            </w:pPr>
          </w:p>
        </w:tc>
        <w:tc>
          <w:tcPr>
            <w:tcW w:w="2078" w:type="dxa"/>
            <w:vAlign w:val="top"/>
          </w:tcPr>
          <w:p w14:paraId="4946C76F">
            <w:pPr>
              <w:pStyle w:val="6"/>
              <w:spacing w:before="243" w:line="219" w:lineRule="auto"/>
              <w:ind w:left="405"/>
            </w:pPr>
            <w:r>
              <w:rPr>
                <w:spacing w:val="1"/>
              </w:rPr>
              <w:t>专业工作年限</w:t>
            </w:r>
          </w:p>
        </w:tc>
        <w:tc>
          <w:tcPr>
            <w:tcW w:w="2072" w:type="dxa"/>
            <w:vAlign w:val="top"/>
          </w:tcPr>
          <w:p w14:paraId="511AF5D0">
            <w:pPr>
              <w:rPr>
                <w:rFonts w:ascii="Arial"/>
                <w:sz w:val="21"/>
              </w:rPr>
            </w:pPr>
          </w:p>
        </w:tc>
      </w:tr>
      <w:tr w14:paraId="715F9A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30" w:hRule="atLeast"/>
        </w:trPr>
        <w:tc>
          <w:tcPr>
            <w:tcW w:w="2082" w:type="dxa"/>
            <w:vAlign w:val="top"/>
          </w:tcPr>
          <w:p w14:paraId="3C918811">
            <w:pPr>
              <w:spacing w:line="256" w:lineRule="auto"/>
              <w:rPr>
                <w:rFonts w:ascii="Arial"/>
                <w:sz w:val="21"/>
              </w:rPr>
            </w:pPr>
          </w:p>
          <w:p w14:paraId="3010D3B8">
            <w:pPr>
              <w:spacing w:line="256" w:lineRule="auto"/>
              <w:rPr>
                <w:rFonts w:ascii="Arial"/>
                <w:sz w:val="21"/>
              </w:rPr>
            </w:pPr>
          </w:p>
          <w:p w14:paraId="7309B513">
            <w:pPr>
              <w:spacing w:line="256" w:lineRule="auto"/>
              <w:rPr>
                <w:rFonts w:ascii="Arial"/>
                <w:sz w:val="21"/>
              </w:rPr>
            </w:pPr>
          </w:p>
          <w:p w14:paraId="54C2CC0B">
            <w:pPr>
              <w:spacing w:line="256" w:lineRule="auto"/>
              <w:rPr>
                <w:rFonts w:ascii="Arial"/>
                <w:sz w:val="21"/>
              </w:rPr>
            </w:pPr>
          </w:p>
          <w:p w14:paraId="7F8FD804">
            <w:pPr>
              <w:spacing w:line="256" w:lineRule="auto"/>
              <w:rPr>
                <w:rFonts w:ascii="Arial"/>
                <w:sz w:val="21"/>
              </w:rPr>
            </w:pPr>
          </w:p>
          <w:p w14:paraId="2C90B904">
            <w:pPr>
              <w:spacing w:line="256" w:lineRule="auto"/>
              <w:rPr>
                <w:rFonts w:ascii="Arial"/>
                <w:sz w:val="21"/>
              </w:rPr>
            </w:pPr>
          </w:p>
          <w:p w14:paraId="3F313025">
            <w:pPr>
              <w:spacing w:line="256" w:lineRule="auto"/>
              <w:rPr>
                <w:rFonts w:ascii="Arial"/>
                <w:sz w:val="21"/>
              </w:rPr>
            </w:pPr>
          </w:p>
          <w:p w14:paraId="17451FB9">
            <w:pPr>
              <w:spacing w:line="256" w:lineRule="auto"/>
              <w:rPr>
                <w:rFonts w:ascii="Arial"/>
                <w:sz w:val="21"/>
              </w:rPr>
            </w:pPr>
          </w:p>
          <w:p w14:paraId="3A3F8334">
            <w:pPr>
              <w:spacing w:line="256" w:lineRule="auto"/>
              <w:rPr>
                <w:rFonts w:ascii="Arial"/>
                <w:sz w:val="21"/>
              </w:rPr>
            </w:pPr>
          </w:p>
          <w:p w14:paraId="1108A2A8">
            <w:pPr>
              <w:spacing w:line="257" w:lineRule="auto"/>
              <w:rPr>
                <w:rFonts w:ascii="Arial"/>
                <w:sz w:val="21"/>
              </w:rPr>
            </w:pPr>
          </w:p>
          <w:p w14:paraId="083F2656">
            <w:pPr>
              <w:pStyle w:val="6"/>
              <w:spacing w:before="68" w:line="243" w:lineRule="auto"/>
              <w:ind w:left="923" w:right="206" w:hanging="729"/>
            </w:pPr>
            <w:r>
              <w:rPr>
                <w:spacing w:val="-2"/>
              </w:rPr>
              <w:t>主要工作业绩及经</w:t>
            </w:r>
            <w:r>
              <w:rPr>
                <w:spacing w:val="5"/>
              </w:rPr>
              <w:t xml:space="preserve"> </w:t>
            </w:r>
            <w:r>
              <w:t>历</w:t>
            </w:r>
          </w:p>
        </w:tc>
        <w:tc>
          <w:tcPr>
            <w:tcW w:w="6227" w:type="dxa"/>
            <w:gridSpan w:val="3"/>
            <w:vAlign w:val="top"/>
          </w:tcPr>
          <w:p w14:paraId="1DC74B31">
            <w:pPr>
              <w:rPr>
                <w:rFonts w:ascii="Arial"/>
                <w:sz w:val="21"/>
              </w:rPr>
            </w:pPr>
          </w:p>
        </w:tc>
      </w:tr>
    </w:tbl>
    <w:p w14:paraId="581EA044">
      <w:pPr>
        <w:pStyle w:val="2"/>
        <w:spacing w:before="111" w:line="330" w:lineRule="auto"/>
        <w:ind w:firstLine="10"/>
        <w:rPr>
          <w:sz w:val="18"/>
          <w:szCs w:val="18"/>
        </w:rPr>
      </w:pPr>
      <w:r>
        <w:rPr>
          <w:spacing w:val="29"/>
          <w:sz w:val="18"/>
          <w:szCs w:val="18"/>
        </w:rPr>
        <w:t>备注：1</w:t>
      </w:r>
      <w:r>
        <w:rPr>
          <w:spacing w:val="-41"/>
          <w:sz w:val="18"/>
          <w:szCs w:val="18"/>
        </w:rPr>
        <w:t xml:space="preserve"> </w:t>
      </w:r>
      <w:r>
        <w:rPr>
          <w:spacing w:val="29"/>
          <w:sz w:val="18"/>
          <w:szCs w:val="18"/>
        </w:rPr>
        <w:t>.</w:t>
      </w:r>
      <w:r>
        <w:rPr>
          <w:spacing w:val="-50"/>
          <w:sz w:val="18"/>
          <w:szCs w:val="18"/>
        </w:rPr>
        <w:t xml:space="preserve"> </w:t>
      </w:r>
      <w:r>
        <w:rPr>
          <w:spacing w:val="29"/>
          <w:sz w:val="18"/>
          <w:szCs w:val="18"/>
        </w:rPr>
        <w:t>技术负责人应附学历证明、职称证、劳动合同、养老保险证明、专业工作年限证明等其</w:t>
      </w:r>
      <w:r>
        <w:rPr>
          <w:sz w:val="18"/>
          <w:szCs w:val="18"/>
        </w:rPr>
        <w:t xml:space="preserve"> </w:t>
      </w:r>
      <w:r>
        <w:rPr>
          <w:spacing w:val="19"/>
          <w:sz w:val="18"/>
          <w:szCs w:val="18"/>
        </w:rPr>
        <w:t>他材料。</w:t>
      </w:r>
    </w:p>
    <w:p w14:paraId="7E34DC9C">
      <w:pPr>
        <w:spacing w:line="330" w:lineRule="auto"/>
        <w:rPr>
          <w:sz w:val="18"/>
          <w:szCs w:val="18"/>
        </w:rPr>
        <w:sectPr>
          <w:footerReference r:id="rId373" w:type="default"/>
          <w:pgSz w:w="11910" w:h="16840"/>
          <w:pgMar w:top="400" w:right="1532" w:bottom="1147" w:left="1470" w:header="0" w:footer="1021" w:gutter="0"/>
          <w:cols w:space="720" w:num="1"/>
        </w:sectPr>
      </w:pPr>
    </w:p>
    <w:p w14:paraId="317D499D">
      <w:pPr>
        <w:spacing w:line="268" w:lineRule="auto"/>
        <w:rPr>
          <w:rFonts w:ascii="Arial"/>
          <w:sz w:val="21"/>
        </w:rPr>
      </w:pPr>
    </w:p>
    <w:p w14:paraId="34114328">
      <w:pPr>
        <w:spacing w:line="269" w:lineRule="auto"/>
        <w:rPr>
          <w:rFonts w:ascii="Arial"/>
          <w:sz w:val="21"/>
        </w:rPr>
      </w:pPr>
    </w:p>
    <w:p w14:paraId="4BF5C333">
      <w:pPr>
        <w:spacing w:line="269" w:lineRule="auto"/>
        <w:rPr>
          <w:rFonts w:ascii="Arial"/>
          <w:sz w:val="21"/>
        </w:rPr>
      </w:pPr>
    </w:p>
    <w:p w14:paraId="7E5C8CF5">
      <w:pPr>
        <w:spacing w:line="269" w:lineRule="auto"/>
        <w:rPr>
          <w:rFonts w:ascii="Arial"/>
          <w:sz w:val="21"/>
        </w:rPr>
      </w:pPr>
    </w:p>
    <w:p w14:paraId="45FD2C0D">
      <w:pPr>
        <w:spacing w:line="269" w:lineRule="auto"/>
        <w:rPr>
          <w:rFonts w:ascii="Arial"/>
          <w:sz w:val="21"/>
        </w:rPr>
      </w:pPr>
    </w:p>
    <w:p w14:paraId="4848E55E">
      <w:pPr>
        <w:spacing w:line="269" w:lineRule="auto"/>
        <w:rPr>
          <w:rFonts w:ascii="Arial"/>
          <w:sz w:val="21"/>
        </w:rPr>
      </w:pPr>
    </w:p>
    <w:p w14:paraId="6B4DC0AE">
      <w:pPr>
        <w:spacing w:before="94" w:line="222" w:lineRule="auto"/>
        <w:ind w:left="4064"/>
        <w:rPr>
          <w:rFonts w:ascii="黑体" w:hAnsi="黑体" w:eastAsia="黑体" w:cs="黑体"/>
          <w:sz w:val="29"/>
          <w:szCs w:val="29"/>
        </w:rPr>
      </w:pPr>
      <w:r>
        <w:rPr>
          <w:rFonts w:ascii="黑体" w:hAnsi="黑体" w:eastAsia="黑体" w:cs="黑体"/>
          <w:b/>
          <w:bCs/>
          <w:spacing w:val="13"/>
          <w:sz w:val="29"/>
          <w:szCs w:val="29"/>
        </w:rPr>
        <w:t>(四)承诺书</w:t>
      </w:r>
    </w:p>
    <w:p w14:paraId="3A857F56">
      <w:pPr>
        <w:pStyle w:val="2"/>
        <w:tabs>
          <w:tab w:val="left" w:pos="2258"/>
        </w:tabs>
        <w:spacing w:before="302" w:line="220" w:lineRule="auto"/>
        <w:rPr>
          <w:sz w:val="20"/>
          <w:szCs w:val="20"/>
        </w:rPr>
      </w:pPr>
      <w:r>
        <w:rPr>
          <w:sz w:val="20"/>
          <w:szCs w:val="20"/>
          <w:u w:val="single" w:color="auto"/>
        </w:rPr>
        <w:tab/>
      </w:r>
      <w:r>
        <w:rPr>
          <w:spacing w:val="-14"/>
          <w:sz w:val="20"/>
          <w:szCs w:val="20"/>
        </w:rPr>
        <w:t xml:space="preserve"> </w:t>
      </w:r>
      <w:r>
        <w:rPr>
          <w:spacing w:val="8"/>
          <w:sz w:val="20"/>
          <w:szCs w:val="20"/>
        </w:rPr>
        <w:t>(招标人名称):</w:t>
      </w:r>
    </w:p>
    <w:p w14:paraId="513414FD">
      <w:pPr>
        <w:pStyle w:val="2"/>
        <w:spacing w:before="210" w:line="399" w:lineRule="auto"/>
        <w:ind w:right="55" w:firstLine="439"/>
        <w:jc w:val="both"/>
        <w:rPr>
          <w:sz w:val="20"/>
          <w:szCs w:val="20"/>
        </w:rPr>
      </w:pPr>
      <w:r>
        <w:rPr>
          <w:spacing w:val="1"/>
          <w:sz w:val="20"/>
          <w:szCs w:val="20"/>
        </w:rPr>
        <w:t>我方在此声明，我方拟派往</w:t>
      </w:r>
      <w:r>
        <w:rPr>
          <w:spacing w:val="-70"/>
          <w:sz w:val="20"/>
          <w:szCs w:val="20"/>
        </w:rPr>
        <w:t xml:space="preserve"> </w:t>
      </w:r>
      <w:r>
        <w:rPr>
          <w:sz w:val="20"/>
          <w:szCs w:val="20"/>
          <w:u w:val="single" w:color="auto"/>
        </w:rPr>
        <w:t xml:space="preserve">                   </w:t>
      </w:r>
      <w:r>
        <w:rPr>
          <w:spacing w:val="1"/>
          <w:sz w:val="20"/>
          <w:szCs w:val="20"/>
        </w:rPr>
        <w:t xml:space="preserve"> (</w:t>
      </w:r>
      <w:r>
        <w:rPr>
          <w:spacing w:val="-42"/>
          <w:sz w:val="20"/>
          <w:szCs w:val="20"/>
        </w:rPr>
        <w:t xml:space="preserve"> </w:t>
      </w:r>
      <w:r>
        <w:rPr>
          <w:spacing w:val="1"/>
          <w:sz w:val="20"/>
          <w:szCs w:val="20"/>
        </w:rPr>
        <w:t>项 目</w:t>
      </w:r>
      <w:r>
        <w:rPr>
          <w:spacing w:val="-42"/>
          <w:sz w:val="20"/>
          <w:szCs w:val="20"/>
        </w:rPr>
        <w:t xml:space="preserve"> </w:t>
      </w:r>
      <w:r>
        <w:rPr>
          <w:spacing w:val="1"/>
          <w:sz w:val="20"/>
          <w:szCs w:val="20"/>
        </w:rPr>
        <w:t>名</w:t>
      </w:r>
      <w:r>
        <w:rPr>
          <w:spacing w:val="-46"/>
          <w:sz w:val="20"/>
          <w:szCs w:val="20"/>
        </w:rPr>
        <w:t xml:space="preserve"> </w:t>
      </w:r>
      <w:r>
        <w:rPr>
          <w:spacing w:val="1"/>
          <w:sz w:val="20"/>
          <w:szCs w:val="20"/>
        </w:rPr>
        <w:t>称</w:t>
      </w:r>
      <w:r>
        <w:rPr>
          <w:spacing w:val="-44"/>
          <w:sz w:val="20"/>
          <w:szCs w:val="20"/>
        </w:rPr>
        <w:t xml:space="preserve"> </w:t>
      </w:r>
      <w:r>
        <w:rPr>
          <w:spacing w:val="1"/>
          <w:sz w:val="20"/>
          <w:szCs w:val="20"/>
        </w:rPr>
        <w:t>)</w:t>
      </w:r>
      <w:r>
        <w:rPr>
          <w:sz w:val="20"/>
          <w:szCs w:val="20"/>
          <w:u w:val="single" w:color="auto"/>
        </w:rPr>
        <w:t xml:space="preserve">         </w:t>
      </w:r>
      <w:r>
        <w:rPr>
          <w:spacing w:val="36"/>
          <w:sz w:val="20"/>
          <w:szCs w:val="20"/>
        </w:rPr>
        <w:t xml:space="preserve"> </w:t>
      </w:r>
      <w:r>
        <w:rPr>
          <w:spacing w:val="1"/>
          <w:sz w:val="20"/>
          <w:szCs w:val="20"/>
        </w:rPr>
        <w:t>(</w:t>
      </w:r>
      <w:r>
        <w:rPr>
          <w:sz w:val="20"/>
          <w:szCs w:val="20"/>
        </w:rPr>
        <w:t xml:space="preserve">标段名称)(以下简 </w:t>
      </w:r>
      <w:r>
        <w:rPr>
          <w:spacing w:val="22"/>
          <w:sz w:val="20"/>
          <w:szCs w:val="20"/>
        </w:rPr>
        <w:t>称“本工程”)的项目经理</w:t>
      </w:r>
      <w:r>
        <w:rPr>
          <w:spacing w:val="-87"/>
          <w:sz w:val="20"/>
          <w:szCs w:val="20"/>
        </w:rPr>
        <w:t xml:space="preserve"> </w:t>
      </w:r>
      <w:r>
        <w:rPr>
          <w:spacing w:val="7"/>
          <w:sz w:val="20"/>
          <w:szCs w:val="20"/>
          <w:u w:val="single" w:color="auto"/>
        </w:rPr>
        <w:t xml:space="preserve">         </w:t>
      </w:r>
      <w:r>
        <w:rPr>
          <w:spacing w:val="13"/>
          <w:sz w:val="20"/>
          <w:szCs w:val="20"/>
        </w:rPr>
        <w:t xml:space="preserve">  </w:t>
      </w:r>
      <w:r>
        <w:rPr>
          <w:spacing w:val="22"/>
          <w:sz w:val="20"/>
          <w:szCs w:val="20"/>
        </w:rPr>
        <w:t>(项目经理姓名)现阶段(投标截止时间之前)没有担其</w:t>
      </w:r>
      <w:r>
        <w:rPr>
          <w:spacing w:val="1"/>
          <w:sz w:val="20"/>
          <w:szCs w:val="20"/>
        </w:rPr>
        <w:t xml:space="preserve"> </w:t>
      </w:r>
      <w:r>
        <w:rPr>
          <w:spacing w:val="7"/>
          <w:sz w:val="20"/>
          <w:szCs w:val="20"/>
        </w:rPr>
        <w:t>他在施建设工程项目的项目经理。</w:t>
      </w:r>
    </w:p>
    <w:p w14:paraId="46210AA3">
      <w:pPr>
        <w:pStyle w:val="2"/>
        <w:spacing w:before="22" w:line="398" w:lineRule="auto"/>
        <w:ind w:firstLine="439"/>
        <w:jc w:val="both"/>
        <w:rPr>
          <w:sz w:val="20"/>
          <w:szCs w:val="20"/>
        </w:rPr>
      </w:pPr>
      <w:r>
        <w:rPr>
          <w:spacing w:val="12"/>
          <w:sz w:val="20"/>
          <w:szCs w:val="20"/>
        </w:rPr>
        <w:t>根据《注册建造师执业管理办法(试行)》第九条规定“注册建造师不得同时担任两个及以上</w:t>
      </w:r>
      <w:r>
        <w:rPr>
          <w:spacing w:val="16"/>
          <w:sz w:val="20"/>
          <w:szCs w:val="20"/>
        </w:rPr>
        <w:t xml:space="preserve"> </w:t>
      </w:r>
      <w:r>
        <w:rPr>
          <w:spacing w:val="7"/>
          <w:sz w:val="20"/>
          <w:szCs w:val="20"/>
        </w:rPr>
        <w:t>建设工程施工项目负责人”,第十条规定“注册建造师担任施工项目负责人期间原则上不得更换”。</w:t>
      </w:r>
      <w:r>
        <w:rPr>
          <w:sz w:val="20"/>
          <w:szCs w:val="20"/>
        </w:rPr>
        <w:t xml:space="preserve"> </w:t>
      </w:r>
      <w:r>
        <w:rPr>
          <w:spacing w:val="8"/>
          <w:sz w:val="20"/>
          <w:szCs w:val="20"/>
        </w:rPr>
        <w:t>我方拟派项目经理的能够参加本工程的投标是基于以下理由：</w:t>
      </w:r>
    </w:p>
    <w:p w14:paraId="071D54E6">
      <w:pPr>
        <w:pStyle w:val="2"/>
        <w:spacing w:before="6" w:line="219" w:lineRule="auto"/>
        <w:ind w:left="560"/>
        <w:rPr>
          <w:sz w:val="20"/>
          <w:szCs w:val="20"/>
        </w:rPr>
      </w:pPr>
      <w:r>
        <w:rPr>
          <w:spacing w:val="11"/>
          <w:sz w:val="20"/>
          <w:szCs w:val="20"/>
        </w:rPr>
        <w:t>□  拟派项目经理存在《注册建造师执业管理办法(试行)》第</w:t>
      </w:r>
      <w:r>
        <w:rPr>
          <w:spacing w:val="10"/>
          <w:sz w:val="20"/>
          <w:szCs w:val="20"/>
        </w:rPr>
        <w:t>九条规定的下列情形：</w:t>
      </w:r>
    </w:p>
    <w:p w14:paraId="33277E5F">
      <w:pPr>
        <w:pStyle w:val="2"/>
        <w:spacing w:before="205" w:line="220" w:lineRule="auto"/>
        <w:ind w:left="959"/>
        <w:rPr>
          <w:sz w:val="20"/>
          <w:szCs w:val="20"/>
        </w:rPr>
      </w:pPr>
      <w:r>
        <w:rPr>
          <w:spacing w:val="6"/>
          <w:sz w:val="20"/>
          <w:szCs w:val="20"/>
        </w:rPr>
        <w:t>□同一工程相邻分段发包或分期施工的；</w:t>
      </w:r>
    </w:p>
    <w:p w14:paraId="360D2C75">
      <w:pPr>
        <w:pStyle w:val="2"/>
        <w:spacing w:before="191" w:line="219" w:lineRule="auto"/>
        <w:ind w:left="959"/>
        <w:rPr>
          <w:sz w:val="20"/>
          <w:szCs w:val="20"/>
        </w:rPr>
      </w:pPr>
      <w:r>
        <w:rPr>
          <w:spacing w:val="5"/>
          <w:sz w:val="20"/>
          <w:szCs w:val="20"/>
        </w:rPr>
        <w:t>□合同约定的工程验收合格的；</w:t>
      </w:r>
    </w:p>
    <w:p w14:paraId="1D371B4F">
      <w:pPr>
        <w:pStyle w:val="2"/>
        <w:spacing w:before="210" w:line="216" w:lineRule="auto"/>
        <w:ind w:left="959"/>
        <w:rPr>
          <w:sz w:val="20"/>
          <w:szCs w:val="20"/>
        </w:rPr>
      </w:pPr>
      <w:r>
        <w:rPr>
          <w:spacing w:val="18"/>
          <w:sz w:val="20"/>
          <w:szCs w:val="20"/>
        </w:rPr>
        <w:t>□因非承包方原因致使工程项目停工超过120天(含),经建设单位同意的。</w:t>
      </w:r>
    </w:p>
    <w:p w14:paraId="40C24DBF">
      <w:pPr>
        <w:pStyle w:val="2"/>
        <w:spacing w:before="197" w:line="314" w:lineRule="auto"/>
        <w:ind w:right="91" w:firstLine="570"/>
        <w:rPr>
          <w:sz w:val="20"/>
          <w:szCs w:val="20"/>
        </w:rPr>
      </w:pPr>
      <w:r>
        <w:rPr>
          <w:spacing w:val="9"/>
          <w:sz w:val="20"/>
          <w:szCs w:val="20"/>
        </w:rPr>
        <w:t>□  拟派项目经理担任其他施工项目负责</w:t>
      </w:r>
      <w:r>
        <w:rPr>
          <w:spacing w:val="8"/>
          <w:sz w:val="20"/>
          <w:szCs w:val="20"/>
        </w:rPr>
        <w:t>人期间因下列原因进行了更换，并办理书面交接手</w:t>
      </w:r>
      <w:r>
        <w:rPr>
          <w:sz w:val="20"/>
          <w:szCs w:val="20"/>
        </w:rPr>
        <w:t xml:space="preserve"> </w:t>
      </w:r>
      <w:r>
        <w:rPr>
          <w:spacing w:val="-8"/>
          <w:sz w:val="20"/>
          <w:szCs w:val="20"/>
        </w:rPr>
        <w:t>续：</w:t>
      </w:r>
    </w:p>
    <w:p w14:paraId="4F4B7B9E">
      <w:pPr>
        <w:pStyle w:val="2"/>
        <w:spacing w:before="221" w:line="219" w:lineRule="auto"/>
        <w:ind w:left="959"/>
        <w:rPr>
          <w:sz w:val="20"/>
          <w:szCs w:val="20"/>
        </w:rPr>
      </w:pPr>
      <w:r>
        <w:rPr>
          <w:spacing w:val="7"/>
          <w:sz w:val="20"/>
          <w:szCs w:val="20"/>
        </w:rPr>
        <w:t>□发包方与注册建造师受聘企业已解除承包合同的；</w:t>
      </w:r>
    </w:p>
    <w:p w14:paraId="11148FB5">
      <w:pPr>
        <w:pStyle w:val="2"/>
        <w:spacing w:before="193" w:line="219" w:lineRule="auto"/>
        <w:ind w:left="959"/>
        <w:rPr>
          <w:sz w:val="20"/>
          <w:szCs w:val="20"/>
        </w:rPr>
      </w:pPr>
      <w:r>
        <w:rPr>
          <w:spacing w:val="5"/>
          <w:sz w:val="20"/>
          <w:szCs w:val="20"/>
        </w:rPr>
        <w:t>□发包方同意更换项目负责人的；</w:t>
      </w:r>
    </w:p>
    <w:p w14:paraId="544FC7BC">
      <w:pPr>
        <w:pStyle w:val="2"/>
        <w:spacing w:before="203" w:line="219" w:lineRule="auto"/>
        <w:ind w:left="959"/>
        <w:rPr>
          <w:sz w:val="20"/>
          <w:szCs w:val="20"/>
        </w:rPr>
      </w:pPr>
      <w:r>
        <w:rPr>
          <w:spacing w:val="8"/>
          <w:sz w:val="20"/>
          <w:szCs w:val="20"/>
        </w:rPr>
        <w:t>□因不可抗力等特殊情况必须更换项目负责人的。</w:t>
      </w:r>
    </w:p>
    <w:p w14:paraId="14B47A9F">
      <w:pPr>
        <w:spacing w:line="311" w:lineRule="auto"/>
        <w:rPr>
          <w:rFonts w:ascii="Arial"/>
          <w:sz w:val="21"/>
        </w:rPr>
      </w:pPr>
    </w:p>
    <w:p w14:paraId="6D31F0A7">
      <w:pPr>
        <w:pStyle w:val="2"/>
        <w:tabs>
          <w:tab w:val="left" w:pos="6260"/>
        </w:tabs>
        <w:spacing w:before="20" w:line="239" w:lineRule="auto"/>
        <w:ind w:left="830"/>
        <w:rPr>
          <w:sz w:val="6"/>
          <w:szCs w:val="6"/>
        </w:rPr>
      </w:pPr>
      <w:r>
        <w:rPr>
          <w:sz w:val="6"/>
          <w:szCs w:val="6"/>
          <w:u w:val="single" w:color="auto"/>
        </w:rPr>
        <w:tab/>
      </w:r>
      <w:r>
        <w:rPr>
          <w:spacing w:val="14"/>
          <w:w w:val="103"/>
          <w:sz w:val="6"/>
          <w:szCs w:val="6"/>
        </w:rPr>
        <w:t xml:space="preserve">  </w:t>
      </w:r>
      <w:r>
        <w:rPr>
          <w:sz w:val="6"/>
          <w:szCs w:val="6"/>
        </w:rPr>
        <w:t>□</w:t>
      </w:r>
    </w:p>
    <w:p w14:paraId="2012EDD6">
      <w:pPr>
        <w:pStyle w:val="2"/>
        <w:spacing w:before="232" w:line="219" w:lineRule="auto"/>
        <w:ind w:left="439"/>
        <w:rPr>
          <w:sz w:val="20"/>
          <w:szCs w:val="20"/>
        </w:rPr>
      </w:pPr>
      <w:r>
        <w:rPr>
          <w:spacing w:val="9"/>
          <w:sz w:val="20"/>
          <w:szCs w:val="20"/>
        </w:rPr>
        <w:t>我方保证上述信息的真实性和准确性，并承担相应的法律责任。</w:t>
      </w:r>
    </w:p>
    <w:p w14:paraId="745461C0">
      <w:pPr>
        <w:pStyle w:val="2"/>
        <w:spacing w:before="193" w:line="219" w:lineRule="auto"/>
        <w:ind w:left="439"/>
        <w:rPr>
          <w:sz w:val="20"/>
          <w:szCs w:val="20"/>
        </w:rPr>
      </w:pPr>
      <w:r>
        <w:rPr>
          <w:spacing w:val="9"/>
          <w:sz w:val="20"/>
          <w:szCs w:val="20"/>
        </w:rPr>
        <w:t>特此承诺</w:t>
      </w:r>
    </w:p>
    <w:p w14:paraId="749BEAB8">
      <w:pPr>
        <w:spacing w:line="341" w:lineRule="auto"/>
        <w:rPr>
          <w:rFonts w:ascii="Arial"/>
          <w:sz w:val="21"/>
        </w:rPr>
      </w:pPr>
    </w:p>
    <w:p w14:paraId="347074C5">
      <w:pPr>
        <w:spacing w:line="341" w:lineRule="auto"/>
        <w:rPr>
          <w:rFonts w:ascii="Arial"/>
          <w:sz w:val="21"/>
        </w:rPr>
      </w:pPr>
    </w:p>
    <w:p w14:paraId="140C554E">
      <w:pPr>
        <w:pStyle w:val="2"/>
        <w:spacing w:before="65" w:line="300" w:lineRule="auto"/>
        <w:ind w:left="959" w:right="50" w:hanging="959"/>
        <w:rPr>
          <w:sz w:val="20"/>
          <w:szCs w:val="20"/>
        </w:rPr>
      </w:pPr>
      <w:r>
        <w:rPr>
          <w:spacing w:val="8"/>
          <w:sz w:val="20"/>
          <w:szCs w:val="20"/>
        </w:rPr>
        <w:t>备注：1.投标人应当根据“承诺书”的格式，如实说明拟派项目经理能够参加本工程投标的理由，</w:t>
      </w:r>
      <w:r>
        <w:rPr>
          <w:spacing w:val="6"/>
          <w:sz w:val="20"/>
          <w:szCs w:val="20"/>
        </w:rPr>
        <w:t xml:space="preserve"> </w:t>
      </w:r>
      <w:r>
        <w:rPr>
          <w:spacing w:val="7"/>
          <w:sz w:val="20"/>
          <w:szCs w:val="20"/>
        </w:rPr>
        <w:t>并附相关证明材料的扫描件。</w:t>
      </w:r>
    </w:p>
    <w:p w14:paraId="066F04C0">
      <w:pPr>
        <w:pStyle w:val="2"/>
        <w:spacing w:before="1" w:line="218" w:lineRule="auto"/>
        <w:ind w:left="649"/>
        <w:rPr>
          <w:sz w:val="20"/>
          <w:szCs w:val="20"/>
        </w:rPr>
      </w:pPr>
      <w:r>
        <w:rPr>
          <w:spacing w:val="9"/>
          <w:sz w:val="20"/>
          <w:szCs w:val="20"/>
        </w:rPr>
        <w:t>2. 投标人“承诺书”的实质内容应当与格式规定的实质内容一致。</w:t>
      </w:r>
    </w:p>
    <w:p w14:paraId="15147CCE">
      <w:pPr>
        <w:spacing w:line="218" w:lineRule="auto"/>
        <w:rPr>
          <w:sz w:val="20"/>
          <w:szCs w:val="20"/>
        </w:rPr>
        <w:sectPr>
          <w:footerReference r:id="rId374" w:type="default"/>
          <w:pgSz w:w="11910" w:h="16840"/>
          <w:pgMar w:top="400" w:right="1459" w:bottom="1147" w:left="1440" w:header="0" w:footer="1021" w:gutter="0"/>
          <w:cols w:space="720" w:num="1"/>
        </w:sectPr>
      </w:pPr>
    </w:p>
    <w:p w14:paraId="3F305C64">
      <w:pPr>
        <w:spacing w:line="270" w:lineRule="auto"/>
        <w:rPr>
          <w:rFonts w:ascii="Arial"/>
          <w:sz w:val="21"/>
        </w:rPr>
      </w:pPr>
    </w:p>
    <w:p w14:paraId="6F069100">
      <w:pPr>
        <w:spacing w:line="270" w:lineRule="auto"/>
        <w:rPr>
          <w:rFonts w:ascii="Arial"/>
          <w:sz w:val="21"/>
        </w:rPr>
      </w:pPr>
    </w:p>
    <w:p w14:paraId="14EFDC4E">
      <w:pPr>
        <w:spacing w:line="270" w:lineRule="auto"/>
        <w:rPr>
          <w:rFonts w:ascii="Arial"/>
          <w:sz w:val="21"/>
        </w:rPr>
      </w:pPr>
    </w:p>
    <w:p w14:paraId="5E099387">
      <w:pPr>
        <w:spacing w:line="270" w:lineRule="auto"/>
        <w:rPr>
          <w:rFonts w:ascii="Arial"/>
          <w:sz w:val="21"/>
        </w:rPr>
      </w:pPr>
    </w:p>
    <w:p w14:paraId="05C67225">
      <w:pPr>
        <w:spacing w:line="270" w:lineRule="auto"/>
        <w:rPr>
          <w:rFonts w:ascii="Arial"/>
          <w:sz w:val="21"/>
        </w:rPr>
      </w:pPr>
    </w:p>
    <w:p w14:paraId="7E21CDEF">
      <w:pPr>
        <w:spacing w:line="270" w:lineRule="auto"/>
        <w:rPr>
          <w:rFonts w:ascii="Arial"/>
          <w:sz w:val="21"/>
        </w:rPr>
      </w:pPr>
    </w:p>
    <w:p w14:paraId="41DC2F1E">
      <w:pPr>
        <w:spacing w:before="95" w:line="221" w:lineRule="auto"/>
        <w:ind w:left="2769"/>
        <w:rPr>
          <w:rFonts w:ascii="黑体" w:hAnsi="黑体" w:eastAsia="黑体" w:cs="黑体"/>
          <w:sz w:val="29"/>
          <w:szCs w:val="29"/>
        </w:rPr>
      </w:pPr>
      <w:r>
        <w:rPr>
          <w:rFonts w:ascii="黑体" w:hAnsi="黑体" w:eastAsia="黑体" w:cs="黑体"/>
          <w:b/>
          <w:bCs/>
          <w:spacing w:val="-3"/>
          <w:sz w:val="29"/>
          <w:szCs w:val="29"/>
        </w:rPr>
        <w:t>(五)其他主要项目管理人员简历表</w:t>
      </w:r>
    </w:p>
    <w:p w14:paraId="224C62E1">
      <w:pPr>
        <w:spacing w:line="222" w:lineRule="exact"/>
      </w:pPr>
    </w:p>
    <w:tbl>
      <w:tblPr>
        <w:tblStyle w:val="5"/>
        <w:tblW w:w="890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363"/>
        <w:gridCol w:w="2876"/>
        <w:gridCol w:w="1798"/>
        <w:gridCol w:w="2872"/>
      </w:tblGrid>
      <w:tr w14:paraId="294A87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4" w:hRule="atLeast"/>
        </w:trPr>
        <w:tc>
          <w:tcPr>
            <w:tcW w:w="1363" w:type="dxa"/>
            <w:vAlign w:val="top"/>
          </w:tcPr>
          <w:p w14:paraId="2FAE3F3C">
            <w:pPr>
              <w:spacing w:line="298" w:lineRule="auto"/>
              <w:rPr>
                <w:rFonts w:ascii="Arial"/>
                <w:sz w:val="21"/>
              </w:rPr>
            </w:pPr>
          </w:p>
          <w:p w14:paraId="204E6EDE">
            <w:pPr>
              <w:pStyle w:val="6"/>
              <w:spacing w:before="75" w:line="220" w:lineRule="auto"/>
              <w:ind w:left="95"/>
              <w:rPr>
                <w:sz w:val="23"/>
                <w:szCs w:val="23"/>
              </w:rPr>
            </w:pPr>
            <w:r>
              <w:rPr>
                <w:spacing w:val="2"/>
                <w:sz w:val="23"/>
                <w:szCs w:val="23"/>
              </w:rPr>
              <w:t>岗位名称</w:t>
            </w:r>
          </w:p>
        </w:tc>
        <w:tc>
          <w:tcPr>
            <w:tcW w:w="7546" w:type="dxa"/>
            <w:gridSpan w:val="3"/>
            <w:vAlign w:val="top"/>
          </w:tcPr>
          <w:p w14:paraId="62015765">
            <w:pPr>
              <w:rPr>
                <w:rFonts w:ascii="Arial"/>
                <w:sz w:val="21"/>
              </w:rPr>
            </w:pPr>
          </w:p>
        </w:tc>
      </w:tr>
      <w:tr w14:paraId="35A49B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9" w:hRule="atLeast"/>
        </w:trPr>
        <w:tc>
          <w:tcPr>
            <w:tcW w:w="1363" w:type="dxa"/>
            <w:vAlign w:val="top"/>
          </w:tcPr>
          <w:p w14:paraId="320DD314">
            <w:pPr>
              <w:pStyle w:val="6"/>
              <w:spacing w:before="220" w:line="219" w:lineRule="auto"/>
              <w:ind w:left="95"/>
              <w:rPr>
                <w:sz w:val="23"/>
                <w:szCs w:val="23"/>
              </w:rPr>
            </w:pPr>
            <w:r>
              <w:rPr>
                <w:spacing w:val="-5"/>
                <w:sz w:val="23"/>
                <w:szCs w:val="23"/>
              </w:rPr>
              <w:t>姓</w:t>
            </w:r>
            <w:r>
              <w:rPr>
                <w:spacing w:val="25"/>
                <w:sz w:val="23"/>
                <w:szCs w:val="23"/>
              </w:rPr>
              <w:t xml:space="preserve">  </w:t>
            </w:r>
            <w:r>
              <w:rPr>
                <w:spacing w:val="-5"/>
                <w:sz w:val="23"/>
                <w:szCs w:val="23"/>
              </w:rPr>
              <w:t>名</w:t>
            </w:r>
          </w:p>
        </w:tc>
        <w:tc>
          <w:tcPr>
            <w:tcW w:w="2876" w:type="dxa"/>
            <w:vAlign w:val="top"/>
          </w:tcPr>
          <w:p w14:paraId="20D64CBF">
            <w:pPr>
              <w:rPr>
                <w:rFonts w:ascii="Arial"/>
                <w:sz w:val="21"/>
              </w:rPr>
            </w:pPr>
          </w:p>
        </w:tc>
        <w:tc>
          <w:tcPr>
            <w:tcW w:w="1798" w:type="dxa"/>
            <w:vAlign w:val="top"/>
          </w:tcPr>
          <w:p w14:paraId="53D53BDF">
            <w:pPr>
              <w:pStyle w:val="6"/>
              <w:spacing w:before="220" w:line="219" w:lineRule="auto"/>
              <w:ind w:left="116"/>
              <w:rPr>
                <w:sz w:val="23"/>
                <w:szCs w:val="23"/>
              </w:rPr>
            </w:pPr>
            <w:r>
              <w:rPr>
                <w:spacing w:val="-5"/>
                <w:sz w:val="23"/>
                <w:szCs w:val="23"/>
              </w:rPr>
              <w:t>年</w:t>
            </w:r>
            <w:r>
              <w:rPr>
                <w:spacing w:val="4"/>
                <w:sz w:val="23"/>
                <w:szCs w:val="23"/>
              </w:rPr>
              <w:t xml:space="preserve">  </w:t>
            </w:r>
            <w:r>
              <w:rPr>
                <w:spacing w:val="-5"/>
                <w:sz w:val="23"/>
                <w:szCs w:val="23"/>
              </w:rPr>
              <w:t>龄</w:t>
            </w:r>
          </w:p>
        </w:tc>
        <w:tc>
          <w:tcPr>
            <w:tcW w:w="2872" w:type="dxa"/>
            <w:vAlign w:val="top"/>
          </w:tcPr>
          <w:p w14:paraId="029EB625">
            <w:pPr>
              <w:rPr>
                <w:rFonts w:ascii="Arial"/>
                <w:sz w:val="21"/>
              </w:rPr>
            </w:pPr>
          </w:p>
        </w:tc>
      </w:tr>
      <w:tr w14:paraId="17BCC0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0" w:hRule="atLeast"/>
        </w:trPr>
        <w:tc>
          <w:tcPr>
            <w:tcW w:w="1363" w:type="dxa"/>
            <w:vAlign w:val="top"/>
          </w:tcPr>
          <w:p w14:paraId="39CE9029">
            <w:pPr>
              <w:pStyle w:val="6"/>
              <w:spacing w:before="212" w:line="220" w:lineRule="auto"/>
              <w:ind w:left="95"/>
              <w:rPr>
                <w:sz w:val="23"/>
                <w:szCs w:val="23"/>
              </w:rPr>
            </w:pPr>
            <w:r>
              <w:rPr>
                <w:spacing w:val="-6"/>
                <w:sz w:val="23"/>
                <w:szCs w:val="23"/>
              </w:rPr>
              <w:t>性</w:t>
            </w:r>
            <w:r>
              <w:rPr>
                <w:spacing w:val="15"/>
                <w:sz w:val="23"/>
                <w:szCs w:val="23"/>
              </w:rPr>
              <w:t xml:space="preserve">   </w:t>
            </w:r>
            <w:r>
              <w:rPr>
                <w:spacing w:val="-6"/>
                <w:sz w:val="23"/>
                <w:szCs w:val="23"/>
              </w:rPr>
              <w:t>别</w:t>
            </w:r>
          </w:p>
        </w:tc>
        <w:tc>
          <w:tcPr>
            <w:tcW w:w="2876" w:type="dxa"/>
            <w:vAlign w:val="top"/>
          </w:tcPr>
          <w:p w14:paraId="6B584DF3">
            <w:pPr>
              <w:rPr>
                <w:rFonts w:ascii="Arial"/>
                <w:sz w:val="21"/>
              </w:rPr>
            </w:pPr>
          </w:p>
        </w:tc>
        <w:tc>
          <w:tcPr>
            <w:tcW w:w="1798" w:type="dxa"/>
            <w:vAlign w:val="top"/>
          </w:tcPr>
          <w:p w14:paraId="2718D1AD">
            <w:pPr>
              <w:pStyle w:val="6"/>
              <w:spacing w:before="211" w:line="219" w:lineRule="auto"/>
              <w:ind w:left="116"/>
              <w:rPr>
                <w:sz w:val="23"/>
                <w:szCs w:val="23"/>
              </w:rPr>
            </w:pPr>
            <w:r>
              <w:rPr>
                <w:spacing w:val="2"/>
                <w:sz w:val="23"/>
                <w:szCs w:val="23"/>
              </w:rPr>
              <w:t>毕业学校</w:t>
            </w:r>
          </w:p>
        </w:tc>
        <w:tc>
          <w:tcPr>
            <w:tcW w:w="2872" w:type="dxa"/>
            <w:vAlign w:val="top"/>
          </w:tcPr>
          <w:p w14:paraId="5076567F">
            <w:pPr>
              <w:rPr>
                <w:rFonts w:ascii="Arial"/>
                <w:sz w:val="21"/>
              </w:rPr>
            </w:pPr>
          </w:p>
        </w:tc>
      </w:tr>
      <w:tr w14:paraId="1E22E1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0" w:hRule="atLeast"/>
        </w:trPr>
        <w:tc>
          <w:tcPr>
            <w:tcW w:w="1363" w:type="dxa"/>
            <w:vAlign w:val="top"/>
          </w:tcPr>
          <w:p w14:paraId="2EBDBF10">
            <w:pPr>
              <w:pStyle w:val="6"/>
              <w:spacing w:before="222" w:line="220" w:lineRule="auto"/>
              <w:ind w:left="95"/>
              <w:rPr>
                <w:sz w:val="23"/>
                <w:szCs w:val="23"/>
              </w:rPr>
            </w:pPr>
            <w:r>
              <w:rPr>
                <w:spacing w:val="1"/>
                <w:sz w:val="23"/>
                <w:szCs w:val="23"/>
              </w:rPr>
              <w:t>学历和专业</w:t>
            </w:r>
          </w:p>
        </w:tc>
        <w:tc>
          <w:tcPr>
            <w:tcW w:w="2876" w:type="dxa"/>
            <w:vAlign w:val="top"/>
          </w:tcPr>
          <w:p w14:paraId="33C0E438">
            <w:pPr>
              <w:rPr>
                <w:rFonts w:ascii="Arial"/>
                <w:sz w:val="21"/>
              </w:rPr>
            </w:pPr>
          </w:p>
        </w:tc>
        <w:tc>
          <w:tcPr>
            <w:tcW w:w="1798" w:type="dxa"/>
            <w:vAlign w:val="top"/>
          </w:tcPr>
          <w:p w14:paraId="715502FA">
            <w:pPr>
              <w:pStyle w:val="6"/>
              <w:spacing w:before="221" w:line="219" w:lineRule="auto"/>
              <w:ind w:left="116"/>
              <w:rPr>
                <w:sz w:val="23"/>
                <w:szCs w:val="23"/>
              </w:rPr>
            </w:pPr>
            <w:r>
              <w:rPr>
                <w:spacing w:val="5"/>
                <w:sz w:val="23"/>
                <w:szCs w:val="23"/>
              </w:rPr>
              <w:t>毕业时间</w:t>
            </w:r>
          </w:p>
        </w:tc>
        <w:tc>
          <w:tcPr>
            <w:tcW w:w="2872" w:type="dxa"/>
            <w:vAlign w:val="top"/>
          </w:tcPr>
          <w:p w14:paraId="77E86757">
            <w:pPr>
              <w:rPr>
                <w:rFonts w:ascii="Arial"/>
                <w:sz w:val="21"/>
              </w:rPr>
            </w:pPr>
          </w:p>
        </w:tc>
      </w:tr>
      <w:tr w14:paraId="0D7F82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9" w:hRule="atLeast"/>
        </w:trPr>
        <w:tc>
          <w:tcPr>
            <w:tcW w:w="1363" w:type="dxa"/>
            <w:vAlign w:val="top"/>
          </w:tcPr>
          <w:p w14:paraId="488D539B">
            <w:pPr>
              <w:pStyle w:val="6"/>
              <w:spacing w:before="111" w:line="210" w:lineRule="auto"/>
              <w:ind w:left="95" w:right="208"/>
              <w:rPr>
                <w:sz w:val="23"/>
                <w:szCs w:val="23"/>
              </w:rPr>
            </w:pPr>
            <w:r>
              <w:rPr>
                <w:spacing w:val="2"/>
                <w:sz w:val="23"/>
                <w:szCs w:val="23"/>
              </w:rPr>
              <w:t xml:space="preserve">执业/岗位 </w:t>
            </w:r>
            <w:r>
              <w:rPr>
                <w:spacing w:val="4"/>
                <w:sz w:val="23"/>
                <w:szCs w:val="23"/>
              </w:rPr>
              <w:t>资格</w:t>
            </w:r>
          </w:p>
        </w:tc>
        <w:tc>
          <w:tcPr>
            <w:tcW w:w="2876" w:type="dxa"/>
            <w:vAlign w:val="top"/>
          </w:tcPr>
          <w:p w14:paraId="118CCD20">
            <w:pPr>
              <w:rPr>
                <w:rFonts w:ascii="Arial"/>
                <w:sz w:val="21"/>
              </w:rPr>
            </w:pPr>
          </w:p>
        </w:tc>
        <w:tc>
          <w:tcPr>
            <w:tcW w:w="1798" w:type="dxa"/>
            <w:vAlign w:val="top"/>
          </w:tcPr>
          <w:p w14:paraId="42DFD63E">
            <w:pPr>
              <w:pStyle w:val="6"/>
              <w:spacing w:before="222" w:line="220" w:lineRule="auto"/>
              <w:ind w:left="116"/>
              <w:rPr>
                <w:sz w:val="23"/>
                <w:szCs w:val="23"/>
              </w:rPr>
            </w:pPr>
            <w:r>
              <w:rPr>
                <w:spacing w:val="2"/>
                <w:sz w:val="23"/>
                <w:szCs w:val="23"/>
              </w:rPr>
              <w:t>专业职称</w:t>
            </w:r>
          </w:p>
        </w:tc>
        <w:tc>
          <w:tcPr>
            <w:tcW w:w="2872" w:type="dxa"/>
            <w:vAlign w:val="top"/>
          </w:tcPr>
          <w:p w14:paraId="7D22A4DB">
            <w:pPr>
              <w:rPr>
                <w:rFonts w:ascii="Arial"/>
                <w:sz w:val="21"/>
              </w:rPr>
            </w:pPr>
          </w:p>
        </w:tc>
      </w:tr>
      <w:tr w14:paraId="47CF4C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9" w:hRule="atLeast"/>
        </w:trPr>
        <w:tc>
          <w:tcPr>
            <w:tcW w:w="1363" w:type="dxa"/>
            <w:vAlign w:val="top"/>
          </w:tcPr>
          <w:p w14:paraId="0637C8A8">
            <w:pPr>
              <w:pStyle w:val="6"/>
              <w:spacing w:before="71" w:line="226" w:lineRule="auto"/>
              <w:ind w:left="95" w:right="208"/>
              <w:rPr>
                <w:sz w:val="23"/>
                <w:szCs w:val="23"/>
              </w:rPr>
            </w:pPr>
            <w:r>
              <w:rPr>
                <w:spacing w:val="2"/>
                <w:sz w:val="23"/>
                <w:szCs w:val="23"/>
              </w:rPr>
              <w:t xml:space="preserve">执业/岗位 </w:t>
            </w:r>
            <w:r>
              <w:rPr>
                <w:spacing w:val="3"/>
                <w:sz w:val="23"/>
                <w:szCs w:val="23"/>
              </w:rPr>
              <w:t>证书编号</w:t>
            </w:r>
          </w:p>
        </w:tc>
        <w:tc>
          <w:tcPr>
            <w:tcW w:w="2876" w:type="dxa"/>
            <w:vAlign w:val="top"/>
          </w:tcPr>
          <w:p w14:paraId="21336CDE">
            <w:pPr>
              <w:rPr>
                <w:rFonts w:ascii="Arial"/>
                <w:sz w:val="21"/>
              </w:rPr>
            </w:pPr>
          </w:p>
        </w:tc>
        <w:tc>
          <w:tcPr>
            <w:tcW w:w="1798" w:type="dxa"/>
            <w:vAlign w:val="top"/>
          </w:tcPr>
          <w:p w14:paraId="7F999E2E">
            <w:pPr>
              <w:pStyle w:val="6"/>
              <w:spacing w:before="212" w:line="219" w:lineRule="auto"/>
              <w:ind w:left="116"/>
              <w:rPr>
                <w:sz w:val="23"/>
                <w:szCs w:val="23"/>
              </w:rPr>
            </w:pPr>
            <w:r>
              <w:rPr>
                <w:spacing w:val="2"/>
                <w:sz w:val="23"/>
                <w:szCs w:val="23"/>
              </w:rPr>
              <w:t>专业工作年限</w:t>
            </w:r>
          </w:p>
        </w:tc>
        <w:tc>
          <w:tcPr>
            <w:tcW w:w="2872" w:type="dxa"/>
            <w:vAlign w:val="top"/>
          </w:tcPr>
          <w:p w14:paraId="3D13C31F">
            <w:pPr>
              <w:rPr>
                <w:rFonts w:ascii="Arial"/>
                <w:sz w:val="21"/>
              </w:rPr>
            </w:pPr>
          </w:p>
        </w:tc>
      </w:tr>
      <w:tr w14:paraId="4FDE3B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99" w:hRule="atLeast"/>
        </w:trPr>
        <w:tc>
          <w:tcPr>
            <w:tcW w:w="1363" w:type="dxa"/>
            <w:textDirection w:val="tbRlV"/>
            <w:vAlign w:val="top"/>
          </w:tcPr>
          <w:p w14:paraId="58232065">
            <w:pPr>
              <w:spacing w:line="242" w:lineRule="auto"/>
              <w:rPr>
                <w:rFonts w:ascii="Arial"/>
                <w:sz w:val="21"/>
              </w:rPr>
            </w:pPr>
          </w:p>
          <w:p w14:paraId="747C0170">
            <w:pPr>
              <w:spacing w:line="242" w:lineRule="auto"/>
              <w:rPr>
                <w:rFonts w:ascii="Arial"/>
                <w:sz w:val="21"/>
              </w:rPr>
            </w:pPr>
          </w:p>
          <w:p w14:paraId="5A0E4E8F">
            <w:pPr>
              <w:spacing w:line="242" w:lineRule="auto"/>
              <w:rPr>
                <w:rFonts w:ascii="Arial"/>
                <w:sz w:val="21"/>
              </w:rPr>
            </w:pPr>
          </w:p>
          <w:p w14:paraId="3004A3BB">
            <w:pPr>
              <w:pStyle w:val="6"/>
              <w:spacing w:before="77" w:line="202" w:lineRule="auto"/>
              <w:ind w:left="847"/>
              <w:rPr>
                <w:sz w:val="23"/>
                <w:szCs w:val="23"/>
              </w:rPr>
            </w:pPr>
            <w:r>
              <w:rPr>
                <w:spacing w:val="1"/>
                <w:sz w:val="23"/>
                <w:szCs w:val="23"/>
              </w:rPr>
              <w:t>主要工作业绩及担任的主要工作</w:t>
            </w:r>
          </w:p>
        </w:tc>
        <w:tc>
          <w:tcPr>
            <w:tcW w:w="7546" w:type="dxa"/>
            <w:gridSpan w:val="3"/>
            <w:vAlign w:val="top"/>
          </w:tcPr>
          <w:p w14:paraId="0A0B274B">
            <w:pPr>
              <w:rPr>
                <w:rFonts w:ascii="Arial"/>
                <w:sz w:val="21"/>
              </w:rPr>
            </w:pPr>
          </w:p>
        </w:tc>
      </w:tr>
    </w:tbl>
    <w:p w14:paraId="4FC9EAE8">
      <w:pPr>
        <w:pStyle w:val="2"/>
        <w:spacing w:before="44" w:line="239" w:lineRule="auto"/>
        <w:ind w:left="115" w:firstLine="10"/>
        <w:jc w:val="both"/>
        <w:rPr>
          <w:sz w:val="21"/>
          <w:szCs w:val="21"/>
        </w:rPr>
      </w:pPr>
      <w:r>
        <w:rPr>
          <w:sz w:val="21"/>
          <w:szCs w:val="21"/>
        </w:rPr>
        <w:t>备注：其他主要项目管理人员指项目副经理(如有)、项目技术负责人、施工管理、质量管理、安</w:t>
      </w:r>
      <w:r>
        <w:rPr>
          <w:spacing w:val="5"/>
          <w:sz w:val="21"/>
          <w:szCs w:val="21"/>
        </w:rPr>
        <w:t xml:space="preserve">  </w:t>
      </w:r>
      <w:r>
        <w:rPr>
          <w:spacing w:val="2"/>
          <w:sz w:val="21"/>
          <w:szCs w:val="21"/>
        </w:rPr>
        <w:t>全管理及资格条件要求的其他岗位人员。其中项目副经理(如有)、项目技术负责人应附资</w:t>
      </w:r>
      <w:r>
        <w:rPr>
          <w:spacing w:val="1"/>
          <w:sz w:val="21"/>
          <w:szCs w:val="21"/>
        </w:rPr>
        <w:t>格证书</w:t>
      </w:r>
      <w:r>
        <w:rPr>
          <w:sz w:val="21"/>
          <w:szCs w:val="21"/>
        </w:rPr>
        <w:t xml:space="preserve">  </w:t>
      </w:r>
      <w:r>
        <w:rPr>
          <w:spacing w:val="4"/>
          <w:sz w:val="21"/>
          <w:szCs w:val="21"/>
        </w:rPr>
        <w:t>(如有)、注册证书(如有)、职称证书、学历证书的扫描件，主要业绩须附合同协议书的扫描件；</w:t>
      </w:r>
      <w:r>
        <w:rPr>
          <w:spacing w:val="17"/>
          <w:sz w:val="21"/>
          <w:szCs w:val="21"/>
        </w:rPr>
        <w:t xml:space="preserve"> </w:t>
      </w:r>
      <w:r>
        <w:rPr>
          <w:spacing w:val="2"/>
          <w:sz w:val="21"/>
          <w:szCs w:val="21"/>
        </w:rPr>
        <w:t>安全管理人员应附有效的安全生产考核合格证书</w:t>
      </w:r>
      <w:r>
        <w:rPr>
          <w:spacing w:val="-57"/>
          <w:sz w:val="21"/>
          <w:szCs w:val="21"/>
        </w:rPr>
        <w:t xml:space="preserve"> </w:t>
      </w:r>
      <w:r>
        <w:rPr>
          <w:rFonts w:ascii="Times New Roman" w:hAnsi="Times New Roman" w:eastAsia="Times New Roman" w:cs="Times New Roman"/>
          <w:spacing w:val="2"/>
          <w:sz w:val="21"/>
          <w:szCs w:val="21"/>
        </w:rPr>
        <w:t>(C</w:t>
      </w:r>
      <w:r>
        <w:rPr>
          <w:rFonts w:ascii="Times New Roman" w:hAnsi="Times New Roman" w:eastAsia="Times New Roman" w:cs="Times New Roman"/>
          <w:spacing w:val="36"/>
          <w:sz w:val="21"/>
          <w:szCs w:val="21"/>
        </w:rPr>
        <w:t xml:space="preserve"> </w:t>
      </w:r>
      <w:r>
        <w:rPr>
          <w:spacing w:val="2"/>
          <w:sz w:val="21"/>
          <w:szCs w:val="21"/>
        </w:rPr>
        <w:t>证)的扫描件；施工管理、质量管理及资格条</w:t>
      </w:r>
      <w:r>
        <w:rPr>
          <w:sz w:val="21"/>
          <w:szCs w:val="21"/>
        </w:rPr>
        <w:t xml:space="preserve"> </w:t>
      </w:r>
      <w:r>
        <w:rPr>
          <w:spacing w:val="-1"/>
          <w:sz w:val="21"/>
          <w:szCs w:val="21"/>
        </w:rPr>
        <w:t>件要求的其他岗位人员应附岗位培训考核合格证书的扫描件。</w:t>
      </w:r>
    </w:p>
    <w:p w14:paraId="0FF53C08">
      <w:pPr>
        <w:spacing w:line="239" w:lineRule="auto"/>
        <w:rPr>
          <w:sz w:val="21"/>
          <w:szCs w:val="21"/>
        </w:rPr>
        <w:sectPr>
          <w:footerReference r:id="rId375" w:type="default"/>
          <w:pgSz w:w="11910" w:h="16840"/>
          <w:pgMar w:top="400" w:right="1435" w:bottom="1147" w:left="1344" w:header="0" w:footer="1021" w:gutter="0"/>
          <w:cols w:space="720" w:num="1"/>
        </w:sectPr>
      </w:pPr>
    </w:p>
    <w:p w14:paraId="0FD6F75A">
      <w:pPr>
        <w:rPr>
          <w:rFonts w:ascii="Arial"/>
          <w:sz w:val="21"/>
        </w:rPr>
      </w:pPr>
    </w:p>
    <w:p w14:paraId="75814786">
      <w:pPr>
        <w:rPr>
          <w:rFonts w:ascii="Arial" w:hAnsi="Arial" w:eastAsia="Arial" w:cs="Arial"/>
          <w:sz w:val="21"/>
          <w:szCs w:val="21"/>
        </w:rPr>
        <w:sectPr>
          <w:footerReference r:id="rId376" w:type="default"/>
          <w:pgSz w:w="11910" w:h="16840"/>
          <w:pgMar w:top="1" w:right="1786" w:bottom="1147" w:left="1786" w:header="0" w:footer="1021" w:gutter="0"/>
          <w:cols w:space="720" w:num="1"/>
        </w:sectPr>
      </w:pPr>
    </w:p>
    <w:p w14:paraId="5F400478">
      <w:pPr>
        <w:spacing w:line="247" w:lineRule="auto"/>
        <w:rPr>
          <w:rFonts w:ascii="Arial"/>
          <w:sz w:val="21"/>
        </w:rPr>
      </w:pPr>
    </w:p>
    <w:p w14:paraId="56307FA6">
      <w:pPr>
        <w:spacing w:line="247" w:lineRule="auto"/>
        <w:rPr>
          <w:rFonts w:ascii="Arial"/>
          <w:sz w:val="21"/>
        </w:rPr>
      </w:pPr>
    </w:p>
    <w:p w14:paraId="707A5481">
      <w:pPr>
        <w:spacing w:line="247" w:lineRule="auto"/>
        <w:rPr>
          <w:rFonts w:ascii="Arial"/>
          <w:sz w:val="21"/>
        </w:rPr>
      </w:pPr>
    </w:p>
    <w:p w14:paraId="61811E17">
      <w:pPr>
        <w:spacing w:line="247" w:lineRule="auto"/>
        <w:rPr>
          <w:rFonts w:ascii="Arial"/>
          <w:sz w:val="21"/>
        </w:rPr>
      </w:pPr>
    </w:p>
    <w:p w14:paraId="5113830E">
      <w:pPr>
        <w:spacing w:line="247" w:lineRule="auto"/>
        <w:rPr>
          <w:rFonts w:ascii="Arial"/>
          <w:sz w:val="21"/>
        </w:rPr>
      </w:pPr>
    </w:p>
    <w:p w14:paraId="74112231">
      <w:pPr>
        <w:spacing w:line="247" w:lineRule="auto"/>
        <w:rPr>
          <w:rFonts w:ascii="Arial"/>
          <w:sz w:val="21"/>
        </w:rPr>
      </w:pPr>
    </w:p>
    <w:p w14:paraId="58D8DA47">
      <w:pPr>
        <w:spacing w:line="248" w:lineRule="auto"/>
        <w:rPr>
          <w:rFonts w:ascii="Arial"/>
          <w:sz w:val="21"/>
        </w:rPr>
      </w:pPr>
    </w:p>
    <w:p w14:paraId="589CF569">
      <w:pPr>
        <w:pStyle w:val="2"/>
        <w:spacing w:before="94" w:line="265" w:lineRule="auto"/>
        <w:ind w:left="3313" w:right="3263"/>
        <w:jc w:val="both"/>
        <w:rPr>
          <w:sz w:val="24"/>
          <w:szCs w:val="24"/>
        </w:rPr>
      </w:pPr>
      <w:r>
        <w:rPr>
          <w:rFonts w:ascii="黑体" w:hAnsi="黑体" w:eastAsia="黑体" w:cs="黑体"/>
          <w:b/>
          <w:bCs/>
          <w:spacing w:val="-8"/>
          <w:sz w:val="29"/>
          <w:szCs w:val="29"/>
        </w:rPr>
        <w:t>九、资格审查资料</w:t>
      </w:r>
      <w:r>
        <w:rPr>
          <w:rFonts w:ascii="黑体" w:hAnsi="黑体" w:eastAsia="黑体" w:cs="黑体"/>
          <w:spacing w:val="1"/>
          <w:sz w:val="29"/>
          <w:szCs w:val="29"/>
        </w:rPr>
        <w:t xml:space="preserve"> </w:t>
      </w:r>
      <w:r>
        <w:rPr>
          <w:rFonts w:ascii="黑体" w:hAnsi="黑体" w:eastAsia="黑体" w:cs="黑体"/>
          <w:b/>
          <w:bCs/>
          <w:spacing w:val="6"/>
        </w:rPr>
        <w:t>(一)投标人基本情况</w:t>
      </w:r>
      <w:r>
        <w:rPr>
          <w:rFonts w:ascii="黑体" w:hAnsi="黑体" w:eastAsia="黑体" w:cs="黑体"/>
          <w:spacing w:val="5"/>
        </w:rPr>
        <w:t xml:space="preserve"> </w:t>
      </w:r>
      <w:r>
        <w:rPr>
          <w:b/>
          <w:bCs/>
          <w:spacing w:val="-3"/>
          <w:sz w:val="24"/>
          <w:szCs w:val="24"/>
        </w:rPr>
        <w:t>1-1投标人基本情况表</w:t>
      </w:r>
    </w:p>
    <w:tbl>
      <w:tblPr>
        <w:tblStyle w:val="5"/>
        <w:tblW w:w="8690" w:type="dxa"/>
        <w:tblInd w:w="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83"/>
        <w:gridCol w:w="899"/>
        <w:gridCol w:w="1378"/>
        <w:gridCol w:w="1089"/>
        <w:gridCol w:w="1269"/>
        <w:gridCol w:w="340"/>
        <w:gridCol w:w="909"/>
        <w:gridCol w:w="1323"/>
      </w:tblGrid>
      <w:tr w14:paraId="67A551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5" w:hRule="atLeast"/>
        </w:trPr>
        <w:tc>
          <w:tcPr>
            <w:tcW w:w="1483" w:type="dxa"/>
            <w:vAlign w:val="top"/>
          </w:tcPr>
          <w:p w14:paraId="1F43F093">
            <w:pPr>
              <w:pStyle w:val="6"/>
              <w:spacing w:before="184" w:line="220" w:lineRule="auto"/>
              <w:ind w:left="204"/>
            </w:pPr>
            <w:r>
              <w:rPr>
                <w:spacing w:val="2"/>
              </w:rPr>
              <w:t>投标人名称</w:t>
            </w:r>
          </w:p>
        </w:tc>
        <w:tc>
          <w:tcPr>
            <w:tcW w:w="7207" w:type="dxa"/>
            <w:gridSpan w:val="7"/>
            <w:vAlign w:val="top"/>
          </w:tcPr>
          <w:p w14:paraId="3BA8D833">
            <w:pPr>
              <w:rPr>
                <w:rFonts w:ascii="Arial"/>
                <w:sz w:val="21"/>
              </w:rPr>
            </w:pPr>
          </w:p>
        </w:tc>
      </w:tr>
      <w:tr w14:paraId="720971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1483" w:type="dxa"/>
            <w:vAlign w:val="top"/>
          </w:tcPr>
          <w:p w14:paraId="5B3D4791">
            <w:pPr>
              <w:pStyle w:val="6"/>
              <w:spacing w:before="169" w:line="221" w:lineRule="auto"/>
              <w:ind w:left="315"/>
            </w:pPr>
            <w:r>
              <w:rPr>
                <w:spacing w:val="-2"/>
              </w:rPr>
              <w:t>注册地址</w:t>
            </w:r>
          </w:p>
        </w:tc>
        <w:tc>
          <w:tcPr>
            <w:tcW w:w="3366" w:type="dxa"/>
            <w:gridSpan w:val="3"/>
            <w:vAlign w:val="top"/>
          </w:tcPr>
          <w:p w14:paraId="27BE3DE4">
            <w:pPr>
              <w:rPr>
                <w:rFonts w:ascii="Arial"/>
                <w:sz w:val="21"/>
              </w:rPr>
            </w:pPr>
          </w:p>
        </w:tc>
        <w:tc>
          <w:tcPr>
            <w:tcW w:w="1269" w:type="dxa"/>
            <w:vAlign w:val="top"/>
          </w:tcPr>
          <w:p w14:paraId="5BD9C905">
            <w:pPr>
              <w:pStyle w:val="6"/>
              <w:spacing w:before="168" w:line="219" w:lineRule="auto"/>
              <w:ind w:left="206"/>
            </w:pPr>
            <w:r>
              <w:rPr>
                <w:spacing w:val="2"/>
              </w:rPr>
              <w:t>邮政编码</w:t>
            </w:r>
          </w:p>
        </w:tc>
        <w:tc>
          <w:tcPr>
            <w:tcW w:w="2572" w:type="dxa"/>
            <w:gridSpan w:val="3"/>
            <w:vAlign w:val="top"/>
          </w:tcPr>
          <w:p w14:paraId="1DDFE758">
            <w:pPr>
              <w:rPr>
                <w:rFonts w:ascii="Arial"/>
                <w:sz w:val="21"/>
              </w:rPr>
            </w:pPr>
          </w:p>
        </w:tc>
      </w:tr>
      <w:tr w14:paraId="79617D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0" w:hRule="atLeast"/>
        </w:trPr>
        <w:tc>
          <w:tcPr>
            <w:tcW w:w="1483" w:type="dxa"/>
            <w:vMerge w:val="restart"/>
            <w:tcBorders>
              <w:bottom w:val="nil"/>
            </w:tcBorders>
            <w:vAlign w:val="top"/>
          </w:tcPr>
          <w:p w14:paraId="3729DD4A">
            <w:pPr>
              <w:spacing w:line="410" w:lineRule="auto"/>
              <w:rPr>
                <w:rFonts w:ascii="Arial"/>
                <w:sz w:val="21"/>
              </w:rPr>
            </w:pPr>
          </w:p>
          <w:p w14:paraId="4AC45C51">
            <w:pPr>
              <w:pStyle w:val="6"/>
              <w:spacing w:before="68" w:line="221" w:lineRule="auto"/>
              <w:ind w:left="315"/>
            </w:pPr>
            <w:r>
              <w:rPr>
                <w:spacing w:val="-2"/>
              </w:rPr>
              <w:t>联系方式</w:t>
            </w:r>
          </w:p>
        </w:tc>
        <w:tc>
          <w:tcPr>
            <w:tcW w:w="899" w:type="dxa"/>
            <w:vAlign w:val="top"/>
          </w:tcPr>
          <w:p w14:paraId="06738261">
            <w:pPr>
              <w:pStyle w:val="6"/>
              <w:spacing w:before="192" w:line="221" w:lineRule="auto"/>
              <w:ind w:left="121"/>
            </w:pPr>
            <w:r>
              <w:rPr>
                <w:spacing w:val="-3"/>
              </w:rPr>
              <w:t>联系人</w:t>
            </w:r>
          </w:p>
        </w:tc>
        <w:tc>
          <w:tcPr>
            <w:tcW w:w="2467" w:type="dxa"/>
            <w:gridSpan w:val="2"/>
            <w:vAlign w:val="top"/>
          </w:tcPr>
          <w:p w14:paraId="3A459440">
            <w:pPr>
              <w:rPr>
                <w:rFonts w:ascii="Arial"/>
                <w:sz w:val="21"/>
              </w:rPr>
            </w:pPr>
          </w:p>
        </w:tc>
        <w:tc>
          <w:tcPr>
            <w:tcW w:w="1269" w:type="dxa"/>
            <w:vAlign w:val="top"/>
          </w:tcPr>
          <w:p w14:paraId="196AD58E">
            <w:pPr>
              <w:pStyle w:val="6"/>
              <w:spacing w:before="192" w:line="221" w:lineRule="auto"/>
              <w:ind w:left="366"/>
            </w:pPr>
            <w:r>
              <w:rPr>
                <w:spacing w:val="-17"/>
              </w:rPr>
              <w:t>电</w:t>
            </w:r>
            <w:r>
              <w:rPr>
                <w:spacing w:val="44"/>
              </w:rPr>
              <w:t xml:space="preserve"> </w:t>
            </w:r>
            <w:r>
              <w:rPr>
                <w:spacing w:val="-17"/>
              </w:rPr>
              <w:t>话</w:t>
            </w:r>
          </w:p>
        </w:tc>
        <w:tc>
          <w:tcPr>
            <w:tcW w:w="2572" w:type="dxa"/>
            <w:gridSpan w:val="3"/>
            <w:vAlign w:val="top"/>
          </w:tcPr>
          <w:p w14:paraId="5C333451">
            <w:pPr>
              <w:rPr>
                <w:rFonts w:ascii="Arial"/>
                <w:sz w:val="21"/>
              </w:rPr>
            </w:pPr>
          </w:p>
        </w:tc>
      </w:tr>
      <w:tr w14:paraId="6354ED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1483" w:type="dxa"/>
            <w:vMerge w:val="continue"/>
            <w:tcBorders>
              <w:top w:val="nil"/>
            </w:tcBorders>
            <w:vAlign w:val="top"/>
          </w:tcPr>
          <w:p w14:paraId="4BAF1A3A">
            <w:pPr>
              <w:rPr>
                <w:rFonts w:ascii="Arial"/>
                <w:sz w:val="21"/>
              </w:rPr>
            </w:pPr>
          </w:p>
        </w:tc>
        <w:tc>
          <w:tcPr>
            <w:tcW w:w="899" w:type="dxa"/>
            <w:vAlign w:val="top"/>
          </w:tcPr>
          <w:p w14:paraId="407121CC">
            <w:pPr>
              <w:pStyle w:val="6"/>
              <w:spacing w:before="178" w:line="219" w:lineRule="auto"/>
              <w:ind w:left="121"/>
            </w:pPr>
            <w:r>
              <w:rPr>
                <w:spacing w:val="-4"/>
              </w:rPr>
              <w:t>传</w:t>
            </w:r>
            <w:r>
              <w:rPr>
                <w:spacing w:val="18"/>
              </w:rPr>
              <w:t xml:space="preserve">  </w:t>
            </w:r>
            <w:r>
              <w:rPr>
                <w:spacing w:val="-4"/>
              </w:rPr>
              <w:t>真</w:t>
            </w:r>
          </w:p>
        </w:tc>
        <w:tc>
          <w:tcPr>
            <w:tcW w:w="2467" w:type="dxa"/>
            <w:gridSpan w:val="2"/>
            <w:vAlign w:val="top"/>
          </w:tcPr>
          <w:p w14:paraId="53335CA1">
            <w:pPr>
              <w:rPr>
                <w:rFonts w:ascii="Arial"/>
                <w:sz w:val="21"/>
              </w:rPr>
            </w:pPr>
          </w:p>
        </w:tc>
        <w:tc>
          <w:tcPr>
            <w:tcW w:w="1269" w:type="dxa"/>
            <w:vAlign w:val="top"/>
          </w:tcPr>
          <w:p w14:paraId="0CDEAEB4">
            <w:pPr>
              <w:pStyle w:val="6"/>
              <w:spacing w:before="185" w:line="224" w:lineRule="auto"/>
              <w:ind w:left="306"/>
            </w:pPr>
            <w:r>
              <w:rPr>
                <w:spacing w:val="-13"/>
              </w:rPr>
              <w:t>网</w:t>
            </w:r>
            <w:r>
              <w:rPr>
                <w:spacing w:val="26"/>
              </w:rPr>
              <w:t xml:space="preserve">  </w:t>
            </w:r>
            <w:r>
              <w:rPr>
                <w:spacing w:val="-13"/>
              </w:rPr>
              <w:t>址</w:t>
            </w:r>
          </w:p>
        </w:tc>
        <w:tc>
          <w:tcPr>
            <w:tcW w:w="2572" w:type="dxa"/>
            <w:gridSpan w:val="3"/>
            <w:vAlign w:val="top"/>
          </w:tcPr>
          <w:p w14:paraId="411D0EAB">
            <w:pPr>
              <w:rPr>
                <w:rFonts w:ascii="Arial"/>
                <w:sz w:val="21"/>
              </w:rPr>
            </w:pPr>
          </w:p>
        </w:tc>
      </w:tr>
      <w:tr w14:paraId="795B9A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1483" w:type="dxa"/>
            <w:vAlign w:val="top"/>
          </w:tcPr>
          <w:p w14:paraId="575FC392">
            <w:pPr>
              <w:pStyle w:val="6"/>
              <w:spacing w:before="191" w:line="220" w:lineRule="auto"/>
              <w:ind w:left="315"/>
            </w:pPr>
            <w:r>
              <w:rPr>
                <w:spacing w:val="3"/>
              </w:rPr>
              <w:t>组织结构</w:t>
            </w:r>
          </w:p>
        </w:tc>
        <w:tc>
          <w:tcPr>
            <w:tcW w:w="7207" w:type="dxa"/>
            <w:gridSpan w:val="7"/>
            <w:vAlign w:val="top"/>
          </w:tcPr>
          <w:p w14:paraId="3FFF7354">
            <w:pPr>
              <w:rPr>
                <w:rFonts w:ascii="Arial"/>
                <w:sz w:val="21"/>
              </w:rPr>
            </w:pPr>
          </w:p>
        </w:tc>
      </w:tr>
      <w:tr w14:paraId="207670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9" w:hRule="atLeast"/>
        </w:trPr>
        <w:tc>
          <w:tcPr>
            <w:tcW w:w="1483" w:type="dxa"/>
            <w:vAlign w:val="top"/>
          </w:tcPr>
          <w:p w14:paraId="7858F1FA">
            <w:pPr>
              <w:pStyle w:val="6"/>
              <w:spacing w:before="171" w:line="219" w:lineRule="auto"/>
              <w:ind w:left="204"/>
            </w:pPr>
            <w:r>
              <w:rPr>
                <w:spacing w:val="-2"/>
              </w:rPr>
              <w:t>法定代表人</w:t>
            </w:r>
          </w:p>
        </w:tc>
        <w:tc>
          <w:tcPr>
            <w:tcW w:w="899" w:type="dxa"/>
            <w:vAlign w:val="top"/>
          </w:tcPr>
          <w:p w14:paraId="75C2B2CA">
            <w:pPr>
              <w:pStyle w:val="6"/>
              <w:spacing w:before="171" w:line="219" w:lineRule="auto"/>
              <w:ind w:left="232"/>
            </w:pPr>
            <w:r>
              <w:rPr>
                <w:spacing w:val="13"/>
              </w:rPr>
              <w:t>姓名</w:t>
            </w:r>
          </w:p>
        </w:tc>
        <w:tc>
          <w:tcPr>
            <w:tcW w:w="1378" w:type="dxa"/>
            <w:vAlign w:val="top"/>
          </w:tcPr>
          <w:p w14:paraId="45519EDF">
            <w:pPr>
              <w:rPr>
                <w:rFonts w:ascii="Arial"/>
                <w:sz w:val="21"/>
              </w:rPr>
            </w:pPr>
          </w:p>
        </w:tc>
        <w:tc>
          <w:tcPr>
            <w:tcW w:w="1089" w:type="dxa"/>
            <w:vAlign w:val="top"/>
          </w:tcPr>
          <w:p w14:paraId="287F2D96">
            <w:pPr>
              <w:pStyle w:val="6"/>
              <w:spacing w:before="171" w:line="219" w:lineRule="auto"/>
              <w:ind w:left="115"/>
            </w:pPr>
            <w:r>
              <w:rPr>
                <w:spacing w:val="-2"/>
              </w:rPr>
              <w:t>技术职称</w:t>
            </w:r>
          </w:p>
        </w:tc>
        <w:tc>
          <w:tcPr>
            <w:tcW w:w="1609" w:type="dxa"/>
            <w:gridSpan w:val="2"/>
            <w:vAlign w:val="top"/>
          </w:tcPr>
          <w:p w14:paraId="7440E4ED">
            <w:pPr>
              <w:rPr>
                <w:rFonts w:ascii="Arial"/>
                <w:sz w:val="21"/>
              </w:rPr>
            </w:pPr>
          </w:p>
        </w:tc>
        <w:tc>
          <w:tcPr>
            <w:tcW w:w="909" w:type="dxa"/>
            <w:vAlign w:val="top"/>
          </w:tcPr>
          <w:p w14:paraId="6C7FAAB3">
            <w:pPr>
              <w:pStyle w:val="6"/>
              <w:spacing w:before="174" w:line="221" w:lineRule="auto"/>
              <w:ind w:left="276"/>
            </w:pPr>
            <w:r>
              <w:rPr>
                <w:spacing w:val="4"/>
              </w:rPr>
              <w:t>电话</w:t>
            </w:r>
          </w:p>
        </w:tc>
        <w:tc>
          <w:tcPr>
            <w:tcW w:w="1323" w:type="dxa"/>
            <w:vAlign w:val="top"/>
          </w:tcPr>
          <w:p w14:paraId="48A36CE4">
            <w:pPr>
              <w:rPr>
                <w:rFonts w:ascii="Arial"/>
                <w:sz w:val="21"/>
              </w:rPr>
            </w:pPr>
          </w:p>
        </w:tc>
      </w:tr>
      <w:tr w14:paraId="1D4FC4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9" w:hRule="atLeast"/>
        </w:trPr>
        <w:tc>
          <w:tcPr>
            <w:tcW w:w="1483" w:type="dxa"/>
            <w:vAlign w:val="top"/>
          </w:tcPr>
          <w:p w14:paraId="45B5A598">
            <w:pPr>
              <w:pStyle w:val="6"/>
              <w:spacing w:before="193" w:line="221" w:lineRule="auto"/>
              <w:ind w:left="315"/>
            </w:pPr>
            <w:r>
              <w:rPr>
                <w:spacing w:val="5"/>
              </w:rPr>
              <w:t>成立时间</w:t>
            </w:r>
          </w:p>
        </w:tc>
        <w:tc>
          <w:tcPr>
            <w:tcW w:w="2277" w:type="dxa"/>
            <w:gridSpan w:val="2"/>
            <w:vAlign w:val="top"/>
          </w:tcPr>
          <w:p w14:paraId="2D604E75">
            <w:pPr>
              <w:rPr>
                <w:rFonts w:ascii="Arial"/>
                <w:sz w:val="21"/>
              </w:rPr>
            </w:pPr>
          </w:p>
        </w:tc>
        <w:tc>
          <w:tcPr>
            <w:tcW w:w="4930" w:type="dxa"/>
            <w:gridSpan w:val="5"/>
            <w:vAlign w:val="top"/>
          </w:tcPr>
          <w:p w14:paraId="71EE8EF8">
            <w:pPr>
              <w:pStyle w:val="6"/>
              <w:spacing w:before="192" w:line="219" w:lineRule="auto"/>
              <w:ind w:left="1854"/>
            </w:pPr>
            <w:r>
              <w:rPr>
                <w:spacing w:val="-1"/>
              </w:rPr>
              <w:t>员工总人数：</w:t>
            </w:r>
          </w:p>
        </w:tc>
      </w:tr>
      <w:tr w14:paraId="233941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1483" w:type="dxa"/>
            <w:vAlign w:val="top"/>
          </w:tcPr>
          <w:p w14:paraId="22EFAC95">
            <w:pPr>
              <w:pStyle w:val="6"/>
              <w:spacing w:before="173" w:line="219" w:lineRule="auto"/>
              <w:ind w:left="105"/>
            </w:pPr>
            <w:r>
              <w:rPr>
                <w:spacing w:val="2"/>
              </w:rPr>
              <w:t>企业资质等级</w:t>
            </w:r>
          </w:p>
        </w:tc>
        <w:tc>
          <w:tcPr>
            <w:tcW w:w="2277" w:type="dxa"/>
            <w:gridSpan w:val="2"/>
            <w:vAlign w:val="top"/>
          </w:tcPr>
          <w:p w14:paraId="4EA1B220">
            <w:pPr>
              <w:rPr>
                <w:rFonts w:ascii="Arial"/>
                <w:sz w:val="21"/>
              </w:rPr>
            </w:pPr>
          </w:p>
        </w:tc>
        <w:tc>
          <w:tcPr>
            <w:tcW w:w="1089" w:type="dxa"/>
            <w:vMerge w:val="restart"/>
            <w:tcBorders>
              <w:bottom w:val="nil"/>
            </w:tcBorders>
            <w:vAlign w:val="top"/>
          </w:tcPr>
          <w:p w14:paraId="318989D8">
            <w:pPr>
              <w:spacing w:line="251" w:lineRule="auto"/>
              <w:rPr>
                <w:rFonts w:ascii="Arial"/>
                <w:sz w:val="21"/>
              </w:rPr>
            </w:pPr>
          </w:p>
          <w:p w14:paraId="6A493644">
            <w:pPr>
              <w:spacing w:line="251" w:lineRule="auto"/>
              <w:rPr>
                <w:rFonts w:ascii="Arial"/>
                <w:sz w:val="21"/>
              </w:rPr>
            </w:pPr>
          </w:p>
          <w:p w14:paraId="0E27F9A2">
            <w:pPr>
              <w:spacing w:line="252" w:lineRule="auto"/>
              <w:rPr>
                <w:rFonts w:ascii="Arial"/>
                <w:sz w:val="21"/>
              </w:rPr>
            </w:pPr>
          </w:p>
          <w:p w14:paraId="6E083AF1">
            <w:pPr>
              <w:spacing w:line="252" w:lineRule="auto"/>
              <w:rPr>
                <w:rFonts w:ascii="Arial"/>
                <w:sz w:val="21"/>
              </w:rPr>
            </w:pPr>
          </w:p>
          <w:p w14:paraId="31647F47">
            <w:pPr>
              <w:spacing w:line="252" w:lineRule="auto"/>
              <w:rPr>
                <w:rFonts w:ascii="Arial"/>
                <w:sz w:val="21"/>
              </w:rPr>
            </w:pPr>
          </w:p>
          <w:p w14:paraId="2BB5BDEC">
            <w:pPr>
              <w:pStyle w:val="6"/>
              <w:spacing w:before="68" w:line="220" w:lineRule="auto"/>
              <w:ind w:left="325"/>
            </w:pPr>
            <w:r>
              <w:rPr>
                <w:spacing w:val="11"/>
              </w:rPr>
              <w:t>其中</w:t>
            </w:r>
          </w:p>
        </w:tc>
        <w:tc>
          <w:tcPr>
            <w:tcW w:w="1609" w:type="dxa"/>
            <w:gridSpan w:val="2"/>
            <w:vAlign w:val="top"/>
          </w:tcPr>
          <w:p w14:paraId="3A7EB681">
            <w:pPr>
              <w:pStyle w:val="6"/>
              <w:spacing w:before="173" w:line="219" w:lineRule="auto"/>
              <w:ind w:left="275"/>
            </w:pPr>
            <w:r>
              <w:rPr>
                <w:spacing w:val="-2"/>
              </w:rPr>
              <w:t>注册建造师</w:t>
            </w:r>
          </w:p>
        </w:tc>
        <w:tc>
          <w:tcPr>
            <w:tcW w:w="2232" w:type="dxa"/>
            <w:gridSpan w:val="2"/>
            <w:vAlign w:val="top"/>
          </w:tcPr>
          <w:p w14:paraId="41D05BF9">
            <w:pPr>
              <w:rPr>
                <w:rFonts w:ascii="Arial"/>
                <w:sz w:val="21"/>
              </w:rPr>
            </w:pPr>
          </w:p>
        </w:tc>
      </w:tr>
      <w:tr w14:paraId="6CEBF3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9" w:hRule="atLeast"/>
        </w:trPr>
        <w:tc>
          <w:tcPr>
            <w:tcW w:w="1483" w:type="dxa"/>
            <w:vAlign w:val="top"/>
          </w:tcPr>
          <w:p w14:paraId="27B0523C">
            <w:pPr>
              <w:pStyle w:val="6"/>
              <w:spacing w:before="41" w:line="223" w:lineRule="auto"/>
              <w:ind w:left="155" w:right="82" w:hanging="50"/>
            </w:pPr>
            <w:r>
              <w:rPr>
                <w:spacing w:val="4"/>
              </w:rPr>
              <w:t>统一社会信用</w:t>
            </w:r>
            <w:r>
              <w:t xml:space="preserve"> </w:t>
            </w:r>
            <w:r>
              <w:rPr>
                <w:spacing w:val="-2"/>
              </w:rPr>
              <w:t>代码/注册码</w:t>
            </w:r>
          </w:p>
        </w:tc>
        <w:tc>
          <w:tcPr>
            <w:tcW w:w="2277" w:type="dxa"/>
            <w:gridSpan w:val="2"/>
            <w:vAlign w:val="top"/>
          </w:tcPr>
          <w:p w14:paraId="58BACB24">
            <w:pPr>
              <w:rPr>
                <w:rFonts w:ascii="Arial"/>
                <w:sz w:val="21"/>
              </w:rPr>
            </w:pPr>
          </w:p>
        </w:tc>
        <w:tc>
          <w:tcPr>
            <w:tcW w:w="1089" w:type="dxa"/>
            <w:vMerge w:val="continue"/>
            <w:tcBorders>
              <w:top w:val="nil"/>
              <w:bottom w:val="nil"/>
            </w:tcBorders>
            <w:vAlign w:val="top"/>
          </w:tcPr>
          <w:p w14:paraId="35FC3558">
            <w:pPr>
              <w:rPr>
                <w:rFonts w:ascii="Arial"/>
                <w:sz w:val="21"/>
              </w:rPr>
            </w:pPr>
          </w:p>
        </w:tc>
        <w:tc>
          <w:tcPr>
            <w:tcW w:w="1609" w:type="dxa"/>
            <w:gridSpan w:val="2"/>
            <w:vAlign w:val="top"/>
          </w:tcPr>
          <w:p w14:paraId="34059AA9">
            <w:pPr>
              <w:pStyle w:val="6"/>
              <w:spacing w:before="183" w:line="219" w:lineRule="auto"/>
              <w:ind w:left="166"/>
            </w:pPr>
            <w:r>
              <w:rPr>
                <w:spacing w:val="4"/>
              </w:rPr>
              <w:t>高级职称人员</w:t>
            </w:r>
          </w:p>
        </w:tc>
        <w:tc>
          <w:tcPr>
            <w:tcW w:w="2232" w:type="dxa"/>
            <w:gridSpan w:val="2"/>
            <w:vAlign w:val="top"/>
          </w:tcPr>
          <w:p w14:paraId="1D1AC4B6">
            <w:pPr>
              <w:rPr>
                <w:rFonts w:ascii="Arial"/>
                <w:sz w:val="21"/>
              </w:rPr>
            </w:pPr>
          </w:p>
        </w:tc>
      </w:tr>
      <w:tr w14:paraId="35C143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1483" w:type="dxa"/>
            <w:vAlign w:val="top"/>
          </w:tcPr>
          <w:p w14:paraId="1F086F31">
            <w:pPr>
              <w:pStyle w:val="6"/>
              <w:spacing w:before="195" w:line="221" w:lineRule="auto"/>
              <w:ind w:left="315"/>
            </w:pPr>
            <w:r>
              <w:rPr>
                <w:spacing w:val="-2"/>
              </w:rPr>
              <w:t>注册资金</w:t>
            </w:r>
          </w:p>
        </w:tc>
        <w:tc>
          <w:tcPr>
            <w:tcW w:w="2277" w:type="dxa"/>
            <w:gridSpan w:val="2"/>
            <w:vAlign w:val="top"/>
          </w:tcPr>
          <w:p w14:paraId="5978D599">
            <w:pPr>
              <w:rPr>
                <w:rFonts w:ascii="Arial"/>
                <w:sz w:val="21"/>
              </w:rPr>
            </w:pPr>
          </w:p>
        </w:tc>
        <w:tc>
          <w:tcPr>
            <w:tcW w:w="1089" w:type="dxa"/>
            <w:vMerge w:val="continue"/>
            <w:tcBorders>
              <w:top w:val="nil"/>
              <w:bottom w:val="nil"/>
            </w:tcBorders>
            <w:vAlign w:val="top"/>
          </w:tcPr>
          <w:p w14:paraId="6ED17C6D">
            <w:pPr>
              <w:rPr>
                <w:rFonts w:ascii="Arial"/>
                <w:sz w:val="21"/>
              </w:rPr>
            </w:pPr>
          </w:p>
        </w:tc>
        <w:tc>
          <w:tcPr>
            <w:tcW w:w="1609" w:type="dxa"/>
            <w:gridSpan w:val="2"/>
            <w:vAlign w:val="top"/>
          </w:tcPr>
          <w:p w14:paraId="056DCCCB">
            <w:pPr>
              <w:pStyle w:val="6"/>
              <w:spacing w:before="195" w:line="220" w:lineRule="auto"/>
              <w:ind w:left="166"/>
            </w:pPr>
            <w:r>
              <w:rPr>
                <w:spacing w:val="4"/>
              </w:rPr>
              <w:t>中级职称人员</w:t>
            </w:r>
          </w:p>
        </w:tc>
        <w:tc>
          <w:tcPr>
            <w:tcW w:w="2232" w:type="dxa"/>
            <w:gridSpan w:val="2"/>
            <w:vAlign w:val="top"/>
          </w:tcPr>
          <w:p w14:paraId="483B919B">
            <w:pPr>
              <w:rPr>
                <w:rFonts w:ascii="Arial"/>
                <w:sz w:val="21"/>
              </w:rPr>
            </w:pPr>
          </w:p>
        </w:tc>
      </w:tr>
      <w:tr w14:paraId="40501E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1483" w:type="dxa"/>
            <w:vAlign w:val="top"/>
          </w:tcPr>
          <w:p w14:paraId="67D33E46">
            <w:pPr>
              <w:pStyle w:val="6"/>
              <w:spacing w:before="35" w:line="230" w:lineRule="auto"/>
              <w:ind w:left="315" w:right="289"/>
            </w:pPr>
            <w:r>
              <w:rPr>
                <w:spacing w:val="7"/>
              </w:rPr>
              <w:t>基本帐户</w:t>
            </w:r>
            <w:r>
              <w:t xml:space="preserve"> </w:t>
            </w:r>
            <w:r>
              <w:rPr>
                <w:spacing w:val="-2"/>
              </w:rPr>
              <w:t>开户银行</w:t>
            </w:r>
          </w:p>
        </w:tc>
        <w:tc>
          <w:tcPr>
            <w:tcW w:w="2277" w:type="dxa"/>
            <w:gridSpan w:val="2"/>
            <w:vAlign w:val="top"/>
          </w:tcPr>
          <w:p w14:paraId="3E92112D">
            <w:pPr>
              <w:rPr>
                <w:rFonts w:ascii="Arial"/>
                <w:sz w:val="21"/>
              </w:rPr>
            </w:pPr>
          </w:p>
        </w:tc>
        <w:tc>
          <w:tcPr>
            <w:tcW w:w="1089" w:type="dxa"/>
            <w:vMerge w:val="continue"/>
            <w:tcBorders>
              <w:top w:val="nil"/>
              <w:bottom w:val="nil"/>
            </w:tcBorders>
            <w:vAlign w:val="top"/>
          </w:tcPr>
          <w:p w14:paraId="251191F0">
            <w:pPr>
              <w:rPr>
                <w:rFonts w:ascii="Arial"/>
                <w:sz w:val="21"/>
              </w:rPr>
            </w:pPr>
          </w:p>
        </w:tc>
        <w:tc>
          <w:tcPr>
            <w:tcW w:w="1609" w:type="dxa"/>
            <w:gridSpan w:val="2"/>
            <w:vAlign w:val="top"/>
          </w:tcPr>
          <w:p w14:paraId="3FAAA06B">
            <w:pPr>
              <w:pStyle w:val="6"/>
              <w:spacing w:before="186" w:line="221" w:lineRule="auto"/>
              <w:ind w:left="166"/>
            </w:pPr>
            <w:r>
              <w:rPr>
                <w:spacing w:val="4"/>
              </w:rPr>
              <w:t>初级职称人员</w:t>
            </w:r>
          </w:p>
        </w:tc>
        <w:tc>
          <w:tcPr>
            <w:tcW w:w="2232" w:type="dxa"/>
            <w:gridSpan w:val="2"/>
            <w:vAlign w:val="top"/>
          </w:tcPr>
          <w:p w14:paraId="1CC812AC">
            <w:pPr>
              <w:rPr>
                <w:rFonts w:ascii="Arial"/>
                <w:sz w:val="21"/>
              </w:rPr>
            </w:pPr>
          </w:p>
        </w:tc>
      </w:tr>
      <w:tr w14:paraId="7C7B8A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0" w:hRule="atLeast"/>
        </w:trPr>
        <w:tc>
          <w:tcPr>
            <w:tcW w:w="1483" w:type="dxa"/>
            <w:vAlign w:val="top"/>
          </w:tcPr>
          <w:p w14:paraId="30175F92">
            <w:pPr>
              <w:pStyle w:val="6"/>
              <w:spacing w:before="45" w:line="219" w:lineRule="auto"/>
              <w:ind w:left="315"/>
            </w:pPr>
            <w:r>
              <w:rPr>
                <w:spacing w:val="7"/>
              </w:rPr>
              <w:t>基本帐户</w:t>
            </w:r>
          </w:p>
          <w:p w14:paraId="390D6075">
            <w:pPr>
              <w:pStyle w:val="6"/>
              <w:spacing w:before="13" w:line="213" w:lineRule="auto"/>
              <w:ind w:left="524"/>
            </w:pPr>
            <w:r>
              <w:rPr>
                <w:spacing w:val="6"/>
              </w:rPr>
              <w:t>账号</w:t>
            </w:r>
          </w:p>
        </w:tc>
        <w:tc>
          <w:tcPr>
            <w:tcW w:w="2277" w:type="dxa"/>
            <w:gridSpan w:val="2"/>
            <w:vAlign w:val="top"/>
          </w:tcPr>
          <w:p w14:paraId="5EEE48AB">
            <w:pPr>
              <w:rPr>
                <w:rFonts w:ascii="Arial"/>
                <w:sz w:val="21"/>
              </w:rPr>
            </w:pPr>
          </w:p>
        </w:tc>
        <w:tc>
          <w:tcPr>
            <w:tcW w:w="1089" w:type="dxa"/>
            <w:vMerge w:val="continue"/>
            <w:tcBorders>
              <w:top w:val="nil"/>
            </w:tcBorders>
            <w:vAlign w:val="top"/>
          </w:tcPr>
          <w:p w14:paraId="00421E8F">
            <w:pPr>
              <w:rPr>
                <w:rFonts w:ascii="Arial"/>
                <w:sz w:val="21"/>
              </w:rPr>
            </w:pPr>
          </w:p>
        </w:tc>
        <w:tc>
          <w:tcPr>
            <w:tcW w:w="1609" w:type="dxa"/>
            <w:gridSpan w:val="2"/>
            <w:vAlign w:val="top"/>
          </w:tcPr>
          <w:p w14:paraId="672B1C4A">
            <w:pPr>
              <w:pStyle w:val="6"/>
              <w:spacing w:before="187" w:line="221" w:lineRule="auto"/>
              <w:ind w:left="535"/>
            </w:pPr>
            <w:r>
              <w:rPr>
                <w:spacing w:val="-5"/>
              </w:rPr>
              <w:t>技</w:t>
            </w:r>
            <w:r>
              <w:rPr>
                <w:spacing w:val="10"/>
              </w:rPr>
              <w:t xml:space="preserve"> </w:t>
            </w:r>
            <w:r>
              <w:rPr>
                <w:spacing w:val="-5"/>
              </w:rPr>
              <w:t>工</w:t>
            </w:r>
          </w:p>
        </w:tc>
        <w:tc>
          <w:tcPr>
            <w:tcW w:w="2232" w:type="dxa"/>
            <w:gridSpan w:val="2"/>
            <w:vAlign w:val="top"/>
          </w:tcPr>
          <w:p w14:paraId="69332536">
            <w:pPr>
              <w:rPr>
                <w:rFonts w:ascii="Arial"/>
                <w:sz w:val="21"/>
              </w:rPr>
            </w:pPr>
          </w:p>
        </w:tc>
      </w:tr>
      <w:tr w14:paraId="23E141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49" w:hRule="atLeast"/>
        </w:trPr>
        <w:tc>
          <w:tcPr>
            <w:tcW w:w="1483" w:type="dxa"/>
            <w:vAlign w:val="top"/>
          </w:tcPr>
          <w:p w14:paraId="7BE04836">
            <w:pPr>
              <w:spacing w:line="277" w:lineRule="auto"/>
              <w:rPr>
                <w:rFonts w:ascii="Arial"/>
                <w:sz w:val="21"/>
              </w:rPr>
            </w:pPr>
          </w:p>
          <w:p w14:paraId="3609D77F">
            <w:pPr>
              <w:spacing w:line="278" w:lineRule="auto"/>
              <w:rPr>
                <w:rFonts w:ascii="Arial"/>
                <w:sz w:val="21"/>
              </w:rPr>
            </w:pPr>
          </w:p>
          <w:p w14:paraId="7E593E54">
            <w:pPr>
              <w:pStyle w:val="6"/>
              <w:spacing w:before="68" w:line="220" w:lineRule="auto"/>
              <w:ind w:left="315"/>
            </w:pPr>
            <w:r>
              <w:rPr>
                <w:spacing w:val="4"/>
              </w:rPr>
              <w:t>经营范围</w:t>
            </w:r>
          </w:p>
        </w:tc>
        <w:tc>
          <w:tcPr>
            <w:tcW w:w="7207" w:type="dxa"/>
            <w:gridSpan w:val="7"/>
            <w:vAlign w:val="top"/>
          </w:tcPr>
          <w:p w14:paraId="3C7EADD1">
            <w:pPr>
              <w:rPr>
                <w:rFonts w:ascii="Arial"/>
                <w:sz w:val="21"/>
              </w:rPr>
            </w:pPr>
          </w:p>
        </w:tc>
      </w:tr>
      <w:tr w14:paraId="0A43DA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atLeast"/>
        </w:trPr>
        <w:tc>
          <w:tcPr>
            <w:tcW w:w="1483" w:type="dxa"/>
            <w:vAlign w:val="top"/>
          </w:tcPr>
          <w:p w14:paraId="6B141C27">
            <w:pPr>
              <w:pStyle w:val="6"/>
              <w:spacing w:before="178" w:line="221" w:lineRule="auto"/>
              <w:ind w:left="524"/>
            </w:pPr>
            <w:r>
              <w:rPr>
                <w:spacing w:val="5"/>
              </w:rPr>
              <w:t>备注</w:t>
            </w:r>
          </w:p>
        </w:tc>
        <w:tc>
          <w:tcPr>
            <w:tcW w:w="7207" w:type="dxa"/>
            <w:gridSpan w:val="7"/>
            <w:vAlign w:val="top"/>
          </w:tcPr>
          <w:p w14:paraId="3BCB3C9E">
            <w:pPr>
              <w:rPr>
                <w:rFonts w:ascii="Arial"/>
                <w:sz w:val="21"/>
              </w:rPr>
            </w:pPr>
          </w:p>
        </w:tc>
      </w:tr>
    </w:tbl>
    <w:p w14:paraId="5894D175">
      <w:pPr>
        <w:pStyle w:val="2"/>
        <w:spacing w:before="162" w:line="219" w:lineRule="auto"/>
        <w:jc w:val="right"/>
        <w:rPr>
          <w:sz w:val="21"/>
          <w:szCs w:val="21"/>
        </w:rPr>
      </w:pPr>
      <w:r>
        <w:rPr>
          <w:spacing w:val="2"/>
          <w:sz w:val="21"/>
          <w:szCs w:val="21"/>
        </w:rPr>
        <w:t>备注：1.本表后应附企业法人营业执照、企业资质证书、安全生产许可证、基</w:t>
      </w:r>
      <w:r>
        <w:rPr>
          <w:spacing w:val="1"/>
          <w:sz w:val="21"/>
          <w:szCs w:val="21"/>
        </w:rPr>
        <w:t>本账户开户许可证</w:t>
      </w:r>
    </w:p>
    <w:p w14:paraId="4A16C5C5">
      <w:pPr>
        <w:pStyle w:val="2"/>
        <w:spacing w:before="170" w:line="219" w:lineRule="auto"/>
        <w:ind w:left="99"/>
        <w:rPr>
          <w:sz w:val="21"/>
          <w:szCs w:val="21"/>
        </w:rPr>
      </w:pPr>
      <w:r>
        <w:rPr>
          <w:spacing w:val="5"/>
          <w:sz w:val="21"/>
          <w:szCs w:val="21"/>
        </w:rPr>
        <w:t>(基本存款账户信息)等材料的扫描件。</w:t>
      </w:r>
    </w:p>
    <w:p w14:paraId="47CC6891">
      <w:pPr>
        <w:pStyle w:val="2"/>
        <w:spacing w:before="32" w:line="220" w:lineRule="auto"/>
        <w:rPr>
          <w:sz w:val="21"/>
          <w:szCs w:val="21"/>
        </w:rPr>
      </w:pPr>
      <w:r>
        <w:rPr>
          <w:spacing w:val="-1"/>
          <w:sz w:val="21"/>
          <w:szCs w:val="21"/>
        </w:rPr>
        <w:t>2. 联合体投标的，联合体各成员应分别填写。</w:t>
      </w:r>
    </w:p>
    <w:p w14:paraId="5CC07D9C">
      <w:pPr>
        <w:spacing w:line="220" w:lineRule="auto"/>
        <w:rPr>
          <w:sz w:val="21"/>
          <w:szCs w:val="21"/>
        </w:rPr>
        <w:sectPr>
          <w:footerReference r:id="rId377" w:type="default"/>
          <w:pgSz w:w="11910" w:h="16840"/>
          <w:pgMar w:top="400" w:right="1530" w:bottom="1147" w:left="1460" w:header="0" w:footer="1021" w:gutter="0"/>
          <w:cols w:space="720" w:num="1"/>
        </w:sectPr>
      </w:pPr>
    </w:p>
    <w:p w14:paraId="37FB74B6">
      <w:pPr>
        <w:spacing w:line="267" w:lineRule="auto"/>
        <w:rPr>
          <w:rFonts w:ascii="Arial"/>
          <w:sz w:val="21"/>
        </w:rPr>
      </w:pPr>
    </w:p>
    <w:p w14:paraId="35743D6E">
      <w:pPr>
        <w:spacing w:line="267" w:lineRule="auto"/>
        <w:rPr>
          <w:rFonts w:ascii="Arial"/>
          <w:sz w:val="21"/>
        </w:rPr>
      </w:pPr>
    </w:p>
    <w:p w14:paraId="12270230">
      <w:pPr>
        <w:spacing w:line="267" w:lineRule="auto"/>
        <w:rPr>
          <w:rFonts w:ascii="Arial"/>
          <w:sz w:val="21"/>
        </w:rPr>
      </w:pPr>
    </w:p>
    <w:p w14:paraId="6ED525D5">
      <w:pPr>
        <w:spacing w:line="267" w:lineRule="auto"/>
        <w:rPr>
          <w:rFonts w:ascii="Arial"/>
          <w:sz w:val="21"/>
        </w:rPr>
      </w:pPr>
    </w:p>
    <w:p w14:paraId="72C8AEBC">
      <w:pPr>
        <w:spacing w:line="268" w:lineRule="auto"/>
        <w:rPr>
          <w:rFonts w:ascii="Arial"/>
          <w:sz w:val="21"/>
        </w:rPr>
      </w:pPr>
    </w:p>
    <w:p w14:paraId="480E5BED">
      <w:pPr>
        <w:spacing w:line="268" w:lineRule="auto"/>
        <w:rPr>
          <w:rFonts w:ascii="Arial"/>
          <w:sz w:val="21"/>
        </w:rPr>
      </w:pPr>
    </w:p>
    <w:p w14:paraId="4D3EB2A0">
      <w:pPr>
        <w:pStyle w:val="2"/>
        <w:spacing w:before="72" w:line="219" w:lineRule="auto"/>
        <w:ind w:left="3173"/>
        <w:rPr>
          <w:sz w:val="22"/>
          <w:szCs w:val="22"/>
        </w:rPr>
      </w:pPr>
      <w:r>
        <w:rPr>
          <w:b/>
          <w:bCs/>
          <w:spacing w:val="-2"/>
          <w:sz w:val="22"/>
          <w:szCs w:val="22"/>
        </w:rPr>
        <w:t>1-2企业认证体系信息表</w:t>
      </w:r>
    </w:p>
    <w:p w14:paraId="7E379690">
      <w:pPr>
        <w:spacing w:line="82" w:lineRule="auto"/>
        <w:rPr>
          <w:rFonts w:ascii="Arial"/>
          <w:sz w:val="2"/>
        </w:rPr>
      </w:pPr>
    </w:p>
    <w:tbl>
      <w:tblPr>
        <w:tblStyle w:val="5"/>
        <w:tblW w:w="8309" w:type="dxa"/>
        <w:tblInd w:w="2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82"/>
        <w:gridCol w:w="1668"/>
        <w:gridCol w:w="1688"/>
        <w:gridCol w:w="1648"/>
        <w:gridCol w:w="1623"/>
      </w:tblGrid>
      <w:tr w14:paraId="1C9F4D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3" w:hRule="atLeast"/>
        </w:trPr>
        <w:tc>
          <w:tcPr>
            <w:tcW w:w="1682" w:type="dxa"/>
            <w:vAlign w:val="top"/>
          </w:tcPr>
          <w:p w14:paraId="1F91B17E">
            <w:pPr>
              <w:pStyle w:val="6"/>
              <w:spacing w:before="184" w:line="221" w:lineRule="auto"/>
              <w:ind w:left="624"/>
            </w:pPr>
            <w:r>
              <w:rPr>
                <w:spacing w:val="6"/>
              </w:rPr>
              <w:t>序号</w:t>
            </w:r>
          </w:p>
        </w:tc>
        <w:tc>
          <w:tcPr>
            <w:tcW w:w="1668" w:type="dxa"/>
            <w:vAlign w:val="top"/>
          </w:tcPr>
          <w:p w14:paraId="637C954D">
            <w:pPr>
              <w:pStyle w:val="6"/>
              <w:spacing w:before="182" w:line="219" w:lineRule="auto"/>
              <w:ind w:left="412"/>
            </w:pPr>
            <w:r>
              <w:rPr>
                <w:spacing w:val="3"/>
              </w:rPr>
              <w:t>证书等级</w:t>
            </w:r>
          </w:p>
        </w:tc>
        <w:tc>
          <w:tcPr>
            <w:tcW w:w="1688" w:type="dxa"/>
            <w:vAlign w:val="top"/>
          </w:tcPr>
          <w:p w14:paraId="13CEFD7B">
            <w:pPr>
              <w:pStyle w:val="6"/>
              <w:spacing w:before="182" w:line="219" w:lineRule="auto"/>
              <w:ind w:left="414"/>
            </w:pPr>
            <w:r>
              <w:rPr>
                <w:spacing w:val="3"/>
              </w:rPr>
              <w:t>证书编号</w:t>
            </w:r>
          </w:p>
        </w:tc>
        <w:tc>
          <w:tcPr>
            <w:tcW w:w="1648" w:type="dxa"/>
            <w:vAlign w:val="top"/>
          </w:tcPr>
          <w:p w14:paraId="569F4738">
            <w:pPr>
              <w:pStyle w:val="6"/>
              <w:spacing w:before="184" w:line="220" w:lineRule="auto"/>
              <w:ind w:left="396"/>
            </w:pPr>
            <w:r>
              <w:rPr>
                <w:spacing w:val="3"/>
              </w:rPr>
              <w:t>发证日期</w:t>
            </w:r>
          </w:p>
        </w:tc>
        <w:tc>
          <w:tcPr>
            <w:tcW w:w="1623" w:type="dxa"/>
            <w:vAlign w:val="top"/>
          </w:tcPr>
          <w:p w14:paraId="5902BF5B">
            <w:pPr>
              <w:pStyle w:val="6"/>
              <w:spacing w:before="184" w:line="220" w:lineRule="auto"/>
              <w:ind w:left="408"/>
            </w:pPr>
            <w:r>
              <w:rPr>
                <w:spacing w:val="-2"/>
              </w:rPr>
              <w:t>有效期至</w:t>
            </w:r>
          </w:p>
        </w:tc>
      </w:tr>
      <w:tr w14:paraId="5C4B39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8" w:hRule="atLeast"/>
        </w:trPr>
        <w:tc>
          <w:tcPr>
            <w:tcW w:w="1682" w:type="dxa"/>
            <w:vAlign w:val="top"/>
          </w:tcPr>
          <w:p w14:paraId="5AB5306F">
            <w:pPr>
              <w:rPr>
                <w:rFonts w:ascii="Arial"/>
                <w:sz w:val="21"/>
              </w:rPr>
            </w:pPr>
          </w:p>
        </w:tc>
        <w:tc>
          <w:tcPr>
            <w:tcW w:w="1668" w:type="dxa"/>
            <w:vAlign w:val="top"/>
          </w:tcPr>
          <w:p w14:paraId="03DB7EEC">
            <w:pPr>
              <w:rPr>
                <w:rFonts w:ascii="Arial"/>
                <w:sz w:val="21"/>
              </w:rPr>
            </w:pPr>
          </w:p>
        </w:tc>
        <w:tc>
          <w:tcPr>
            <w:tcW w:w="1688" w:type="dxa"/>
            <w:vAlign w:val="top"/>
          </w:tcPr>
          <w:p w14:paraId="34016823">
            <w:pPr>
              <w:rPr>
                <w:rFonts w:ascii="Arial"/>
                <w:sz w:val="21"/>
              </w:rPr>
            </w:pPr>
          </w:p>
        </w:tc>
        <w:tc>
          <w:tcPr>
            <w:tcW w:w="1648" w:type="dxa"/>
            <w:vAlign w:val="top"/>
          </w:tcPr>
          <w:p w14:paraId="5F614E4D">
            <w:pPr>
              <w:rPr>
                <w:rFonts w:ascii="Arial"/>
                <w:sz w:val="21"/>
              </w:rPr>
            </w:pPr>
          </w:p>
        </w:tc>
        <w:tc>
          <w:tcPr>
            <w:tcW w:w="1623" w:type="dxa"/>
            <w:vAlign w:val="top"/>
          </w:tcPr>
          <w:p w14:paraId="3C44CB24">
            <w:pPr>
              <w:rPr>
                <w:rFonts w:ascii="Arial"/>
                <w:sz w:val="21"/>
              </w:rPr>
            </w:pPr>
          </w:p>
        </w:tc>
      </w:tr>
      <w:tr w14:paraId="0745CA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8" w:hRule="atLeast"/>
        </w:trPr>
        <w:tc>
          <w:tcPr>
            <w:tcW w:w="1682" w:type="dxa"/>
            <w:vAlign w:val="top"/>
          </w:tcPr>
          <w:p w14:paraId="3CEE4A6C">
            <w:pPr>
              <w:rPr>
                <w:rFonts w:ascii="Arial"/>
                <w:sz w:val="21"/>
              </w:rPr>
            </w:pPr>
          </w:p>
        </w:tc>
        <w:tc>
          <w:tcPr>
            <w:tcW w:w="1668" w:type="dxa"/>
            <w:vAlign w:val="top"/>
          </w:tcPr>
          <w:p w14:paraId="79A607F6">
            <w:pPr>
              <w:rPr>
                <w:rFonts w:ascii="Arial"/>
                <w:sz w:val="21"/>
              </w:rPr>
            </w:pPr>
          </w:p>
        </w:tc>
        <w:tc>
          <w:tcPr>
            <w:tcW w:w="1688" w:type="dxa"/>
            <w:vAlign w:val="top"/>
          </w:tcPr>
          <w:p w14:paraId="23D896B0">
            <w:pPr>
              <w:rPr>
                <w:rFonts w:ascii="Arial"/>
                <w:sz w:val="21"/>
              </w:rPr>
            </w:pPr>
          </w:p>
        </w:tc>
        <w:tc>
          <w:tcPr>
            <w:tcW w:w="1648" w:type="dxa"/>
            <w:vAlign w:val="top"/>
          </w:tcPr>
          <w:p w14:paraId="41D3FE8B">
            <w:pPr>
              <w:rPr>
                <w:rFonts w:ascii="Arial"/>
                <w:sz w:val="21"/>
              </w:rPr>
            </w:pPr>
          </w:p>
        </w:tc>
        <w:tc>
          <w:tcPr>
            <w:tcW w:w="1623" w:type="dxa"/>
            <w:vAlign w:val="top"/>
          </w:tcPr>
          <w:p w14:paraId="54454849">
            <w:pPr>
              <w:rPr>
                <w:rFonts w:ascii="Arial"/>
                <w:sz w:val="21"/>
              </w:rPr>
            </w:pPr>
          </w:p>
        </w:tc>
      </w:tr>
      <w:tr w14:paraId="385C21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8" w:hRule="atLeast"/>
        </w:trPr>
        <w:tc>
          <w:tcPr>
            <w:tcW w:w="1682" w:type="dxa"/>
            <w:vAlign w:val="top"/>
          </w:tcPr>
          <w:p w14:paraId="07373A24">
            <w:pPr>
              <w:rPr>
                <w:rFonts w:ascii="Arial"/>
                <w:sz w:val="21"/>
              </w:rPr>
            </w:pPr>
          </w:p>
        </w:tc>
        <w:tc>
          <w:tcPr>
            <w:tcW w:w="1668" w:type="dxa"/>
            <w:vAlign w:val="top"/>
          </w:tcPr>
          <w:p w14:paraId="7556D462">
            <w:pPr>
              <w:rPr>
                <w:rFonts w:ascii="Arial"/>
                <w:sz w:val="21"/>
              </w:rPr>
            </w:pPr>
          </w:p>
        </w:tc>
        <w:tc>
          <w:tcPr>
            <w:tcW w:w="1688" w:type="dxa"/>
            <w:vAlign w:val="top"/>
          </w:tcPr>
          <w:p w14:paraId="17879E3F">
            <w:pPr>
              <w:rPr>
                <w:rFonts w:ascii="Arial"/>
                <w:sz w:val="21"/>
              </w:rPr>
            </w:pPr>
          </w:p>
        </w:tc>
        <w:tc>
          <w:tcPr>
            <w:tcW w:w="1648" w:type="dxa"/>
            <w:vAlign w:val="top"/>
          </w:tcPr>
          <w:p w14:paraId="5ED2AF48">
            <w:pPr>
              <w:rPr>
                <w:rFonts w:ascii="Arial"/>
                <w:sz w:val="21"/>
              </w:rPr>
            </w:pPr>
          </w:p>
        </w:tc>
        <w:tc>
          <w:tcPr>
            <w:tcW w:w="1623" w:type="dxa"/>
            <w:vAlign w:val="top"/>
          </w:tcPr>
          <w:p w14:paraId="27AD0EB6">
            <w:pPr>
              <w:rPr>
                <w:rFonts w:ascii="Arial"/>
                <w:sz w:val="21"/>
              </w:rPr>
            </w:pPr>
          </w:p>
        </w:tc>
      </w:tr>
      <w:tr w14:paraId="49A490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2" w:hRule="atLeast"/>
        </w:trPr>
        <w:tc>
          <w:tcPr>
            <w:tcW w:w="1682" w:type="dxa"/>
            <w:vAlign w:val="top"/>
          </w:tcPr>
          <w:p w14:paraId="33D7E689">
            <w:pPr>
              <w:rPr>
                <w:rFonts w:ascii="Arial"/>
                <w:sz w:val="21"/>
              </w:rPr>
            </w:pPr>
          </w:p>
        </w:tc>
        <w:tc>
          <w:tcPr>
            <w:tcW w:w="1668" w:type="dxa"/>
            <w:vAlign w:val="top"/>
          </w:tcPr>
          <w:p w14:paraId="776A62A6">
            <w:pPr>
              <w:rPr>
                <w:rFonts w:ascii="Arial"/>
                <w:sz w:val="21"/>
              </w:rPr>
            </w:pPr>
          </w:p>
        </w:tc>
        <w:tc>
          <w:tcPr>
            <w:tcW w:w="1688" w:type="dxa"/>
            <w:vAlign w:val="top"/>
          </w:tcPr>
          <w:p w14:paraId="78311D4C">
            <w:pPr>
              <w:rPr>
                <w:rFonts w:ascii="Arial"/>
                <w:sz w:val="21"/>
              </w:rPr>
            </w:pPr>
          </w:p>
        </w:tc>
        <w:tc>
          <w:tcPr>
            <w:tcW w:w="1648" w:type="dxa"/>
            <w:vAlign w:val="top"/>
          </w:tcPr>
          <w:p w14:paraId="008A02EA">
            <w:pPr>
              <w:rPr>
                <w:rFonts w:ascii="Arial"/>
                <w:sz w:val="21"/>
              </w:rPr>
            </w:pPr>
          </w:p>
        </w:tc>
        <w:tc>
          <w:tcPr>
            <w:tcW w:w="1623" w:type="dxa"/>
            <w:vAlign w:val="top"/>
          </w:tcPr>
          <w:p w14:paraId="400A83B3">
            <w:pPr>
              <w:rPr>
                <w:rFonts w:ascii="Arial"/>
                <w:sz w:val="21"/>
              </w:rPr>
            </w:pPr>
          </w:p>
        </w:tc>
      </w:tr>
    </w:tbl>
    <w:p w14:paraId="521F72F3">
      <w:pPr>
        <w:pStyle w:val="2"/>
        <w:spacing w:before="42" w:line="219" w:lineRule="auto"/>
        <w:rPr>
          <w:sz w:val="22"/>
          <w:szCs w:val="22"/>
        </w:rPr>
      </w:pPr>
      <w:r>
        <w:rPr>
          <w:sz w:val="22"/>
          <w:szCs w:val="22"/>
        </w:rPr>
        <w:t>备注：1.本表后应附企业质量、环境、职业健康安全管理体系认证证书等材料的扫描</w:t>
      </w:r>
      <w:r>
        <w:rPr>
          <w:spacing w:val="-1"/>
          <w:sz w:val="22"/>
          <w:szCs w:val="22"/>
        </w:rPr>
        <w:t>件。</w:t>
      </w:r>
    </w:p>
    <w:p w14:paraId="07328016">
      <w:pPr>
        <w:spacing w:line="219" w:lineRule="auto"/>
        <w:rPr>
          <w:sz w:val="22"/>
          <w:szCs w:val="22"/>
        </w:rPr>
        <w:sectPr>
          <w:footerReference r:id="rId378" w:type="default"/>
          <w:pgSz w:w="11910" w:h="16840"/>
          <w:pgMar w:top="400" w:right="1786" w:bottom="1147" w:left="1470" w:header="0" w:footer="1021" w:gutter="0"/>
          <w:cols w:space="720" w:num="1"/>
        </w:sectPr>
      </w:pPr>
    </w:p>
    <w:p w14:paraId="440CFF99">
      <w:pPr>
        <w:spacing w:line="279" w:lineRule="auto"/>
        <w:rPr>
          <w:rFonts w:ascii="Arial"/>
          <w:sz w:val="21"/>
        </w:rPr>
      </w:pPr>
    </w:p>
    <w:p w14:paraId="12A19BC8">
      <w:pPr>
        <w:spacing w:line="279" w:lineRule="auto"/>
        <w:rPr>
          <w:rFonts w:ascii="Arial"/>
          <w:sz w:val="21"/>
        </w:rPr>
      </w:pPr>
    </w:p>
    <w:p w14:paraId="1CFE2C57">
      <w:pPr>
        <w:spacing w:line="279" w:lineRule="auto"/>
        <w:rPr>
          <w:rFonts w:ascii="Arial"/>
          <w:sz w:val="21"/>
        </w:rPr>
      </w:pPr>
    </w:p>
    <w:p w14:paraId="0FCE8FF1">
      <w:pPr>
        <w:spacing w:line="279" w:lineRule="auto"/>
        <w:rPr>
          <w:rFonts w:ascii="Arial"/>
          <w:sz w:val="21"/>
        </w:rPr>
      </w:pPr>
    </w:p>
    <w:p w14:paraId="7FED8B9C">
      <w:pPr>
        <w:spacing w:line="279" w:lineRule="auto"/>
        <w:rPr>
          <w:rFonts w:ascii="Arial"/>
          <w:sz w:val="21"/>
        </w:rPr>
      </w:pPr>
    </w:p>
    <w:p w14:paraId="04A93B99">
      <w:pPr>
        <w:spacing w:line="280" w:lineRule="auto"/>
        <w:rPr>
          <w:rFonts w:ascii="Arial"/>
          <w:sz w:val="21"/>
        </w:rPr>
      </w:pPr>
    </w:p>
    <w:p w14:paraId="1962D700">
      <w:pPr>
        <w:spacing w:before="78" w:line="221" w:lineRule="auto"/>
        <w:ind w:left="3478"/>
        <w:rPr>
          <w:rFonts w:ascii="黑体" w:hAnsi="黑体" w:eastAsia="黑体" w:cs="黑体"/>
          <w:sz w:val="24"/>
          <w:szCs w:val="24"/>
        </w:rPr>
      </w:pPr>
      <w:r>
        <w:rPr>
          <w:rFonts w:ascii="黑体" w:hAnsi="黑体" w:eastAsia="黑体" w:cs="黑体"/>
          <w:b/>
          <w:bCs/>
          <w:spacing w:val="-1"/>
          <w:sz w:val="24"/>
          <w:szCs w:val="24"/>
        </w:rPr>
        <w:t>1-3关联单位情况说明</w:t>
      </w:r>
    </w:p>
    <w:p w14:paraId="69A40B81">
      <w:pPr>
        <w:spacing w:before="21"/>
      </w:pPr>
    </w:p>
    <w:tbl>
      <w:tblPr>
        <w:tblStyle w:val="5"/>
        <w:tblW w:w="9240" w:type="dxa"/>
        <w:tblInd w:w="5"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0" w:type="dxa"/>
          <w:bottom w:w="0" w:type="dxa"/>
          <w:right w:w="0" w:type="dxa"/>
        </w:tblCellMar>
      </w:tblPr>
      <w:tblGrid>
        <w:gridCol w:w="9240"/>
      </w:tblGrid>
      <w:tr w14:paraId="45DA7054">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8389" w:hRule="atLeast"/>
        </w:trPr>
        <w:tc>
          <w:tcPr>
            <w:tcW w:w="9240" w:type="dxa"/>
            <w:vAlign w:val="top"/>
          </w:tcPr>
          <w:p w14:paraId="6EC6ED9F">
            <w:pPr>
              <w:spacing w:line="322" w:lineRule="auto"/>
              <w:rPr>
                <w:rFonts w:ascii="Arial"/>
                <w:sz w:val="21"/>
              </w:rPr>
            </w:pPr>
          </w:p>
          <w:p w14:paraId="5E082014">
            <w:pPr>
              <w:pStyle w:val="6"/>
              <w:spacing w:before="68" w:line="219" w:lineRule="auto"/>
              <w:ind w:left="15"/>
            </w:pPr>
            <w:r>
              <w:t>单位负责人与本单位负责人为同一人的单位：</w:t>
            </w:r>
          </w:p>
          <w:p w14:paraId="75ADD72C">
            <w:pPr>
              <w:spacing w:line="262" w:lineRule="auto"/>
              <w:rPr>
                <w:rFonts w:ascii="Arial"/>
                <w:sz w:val="21"/>
              </w:rPr>
            </w:pPr>
          </w:p>
          <w:p w14:paraId="7D5F46C9">
            <w:pPr>
              <w:spacing w:line="262" w:lineRule="auto"/>
              <w:rPr>
                <w:rFonts w:ascii="Arial"/>
                <w:sz w:val="21"/>
              </w:rPr>
            </w:pPr>
          </w:p>
          <w:p w14:paraId="257FBA11">
            <w:pPr>
              <w:spacing w:line="262" w:lineRule="auto"/>
              <w:rPr>
                <w:rFonts w:ascii="Arial"/>
                <w:sz w:val="21"/>
              </w:rPr>
            </w:pPr>
          </w:p>
          <w:p w14:paraId="6273D9F4">
            <w:pPr>
              <w:spacing w:line="262" w:lineRule="auto"/>
              <w:rPr>
                <w:rFonts w:ascii="Arial"/>
                <w:sz w:val="21"/>
              </w:rPr>
            </w:pPr>
          </w:p>
          <w:p w14:paraId="02EBCF78">
            <w:pPr>
              <w:spacing w:line="262" w:lineRule="auto"/>
              <w:rPr>
                <w:rFonts w:ascii="Arial"/>
                <w:sz w:val="21"/>
              </w:rPr>
            </w:pPr>
          </w:p>
          <w:p w14:paraId="65C2FAE7">
            <w:pPr>
              <w:spacing w:line="262" w:lineRule="auto"/>
              <w:rPr>
                <w:rFonts w:ascii="Arial"/>
                <w:sz w:val="21"/>
              </w:rPr>
            </w:pPr>
          </w:p>
          <w:p w14:paraId="198E63FC">
            <w:pPr>
              <w:pStyle w:val="6"/>
              <w:spacing w:before="69" w:line="219" w:lineRule="auto"/>
              <w:ind w:left="15"/>
            </w:pPr>
            <w:r>
              <w:t>与本单位存在控股与被控股关系的单位：</w:t>
            </w:r>
          </w:p>
          <w:p w14:paraId="455E4B52">
            <w:pPr>
              <w:spacing w:line="242" w:lineRule="auto"/>
              <w:rPr>
                <w:rFonts w:ascii="Arial"/>
                <w:sz w:val="21"/>
              </w:rPr>
            </w:pPr>
          </w:p>
          <w:p w14:paraId="72BA0A8C">
            <w:pPr>
              <w:spacing w:line="242" w:lineRule="auto"/>
              <w:rPr>
                <w:rFonts w:ascii="Arial"/>
                <w:sz w:val="21"/>
              </w:rPr>
            </w:pPr>
          </w:p>
          <w:p w14:paraId="7FD595DC">
            <w:pPr>
              <w:spacing w:line="242" w:lineRule="auto"/>
              <w:rPr>
                <w:rFonts w:ascii="Arial"/>
                <w:sz w:val="21"/>
              </w:rPr>
            </w:pPr>
          </w:p>
          <w:p w14:paraId="04EF2971">
            <w:pPr>
              <w:spacing w:line="243" w:lineRule="auto"/>
              <w:rPr>
                <w:rFonts w:ascii="Arial"/>
                <w:sz w:val="21"/>
              </w:rPr>
            </w:pPr>
          </w:p>
          <w:p w14:paraId="66B1FBE1">
            <w:pPr>
              <w:spacing w:line="243" w:lineRule="auto"/>
              <w:rPr>
                <w:rFonts w:ascii="Arial"/>
                <w:sz w:val="21"/>
              </w:rPr>
            </w:pPr>
          </w:p>
          <w:p w14:paraId="1B452BCF">
            <w:pPr>
              <w:spacing w:line="243" w:lineRule="auto"/>
              <w:rPr>
                <w:rFonts w:ascii="Arial"/>
                <w:sz w:val="21"/>
              </w:rPr>
            </w:pPr>
          </w:p>
          <w:p w14:paraId="0D549DA2">
            <w:pPr>
              <w:spacing w:line="243" w:lineRule="auto"/>
              <w:rPr>
                <w:rFonts w:ascii="Arial"/>
                <w:sz w:val="21"/>
              </w:rPr>
            </w:pPr>
          </w:p>
          <w:p w14:paraId="47DE05C1">
            <w:pPr>
              <w:spacing w:line="243" w:lineRule="auto"/>
              <w:rPr>
                <w:rFonts w:ascii="Arial"/>
                <w:sz w:val="21"/>
              </w:rPr>
            </w:pPr>
          </w:p>
          <w:p w14:paraId="01678926">
            <w:pPr>
              <w:spacing w:line="243" w:lineRule="auto"/>
              <w:rPr>
                <w:rFonts w:ascii="Arial"/>
                <w:sz w:val="21"/>
              </w:rPr>
            </w:pPr>
          </w:p>
          <w:p w14:paraId="63961323">
            <w:pPr>
              <w:spacing w:line="243" w:lineRule="auto"/>
              <w:rPr>
                <w:rFonts w:ascii="Arial"/>
                <w:sz w:val="21"/>
              </w:rPr>
            </w:pPr>
          </w:p>
          <w:p w14:paraId="7FB4F3F3">
            <w:pPr>
              <w:pStyle w:val="6"/>
              <w:spacing w:before="68" w:line="219" w:lineRule="auto"/>
              <w:ind w:left="15"/>
            </w:pPr>
            <w:r>
              <w:t>与本单位存在管理与被管理关系的单位：</w:t>
            </w:r>
          </w:p>
        </w:tc>
      </w:tr>
    </w:tbl>
    <w:p w14:paraId="0C636AC0">
      <w:pPr>
        <w:spacing w:line="254" w:lineRule="auto"/>
        <w:rPr>
          <w:rFonts w:ascii="Arial"/>
          <w:sz w:val="21"/>
        </w:rPr>
      </w:pPr>
    </w:p>
    <w:p w14:paraId="02D90968">
      <w:pPr>
        <w:pStyle w:val="2"/>
        <w:spacing w:before="68" w:line="219" w:lineRule="auto"/>
        <w:ind w:left="194"/>
        <w:rPr>
          <w:sz w:val="21"/>
          <w:szCs w:val="21"/>
        </w:rPr>
      </w:pPr>
      <w:r>
        <w:rPr>
          <w:spacing w:val="-1"/>
          <w:sz w:val="21"/>
          <w:szCs w:val="21"/>
        </w:rPr>
        <w:t>备注：1.投标人应当如实披露相关关联单位的情况。没有相关关联单位的明确填“无”。</w:t>
      </w:r>
    </w:p>
    <w:p w14:paraId="16FB5C5C">
      <w:pPr>
        <w:pStyle w:val="2"/>
        <w:spacing w:before="11" w:line="220" w:lineRule="auto"/>
        <w:ind w:left="165"/>
        <w:rPr>
          <w:sz w:val="21"/>
          <w:szCs w:val="21"/>
        </w:rPr>
      </w:pPr>
      <w:r>
        <w:rPr>
          <w:spacing w:val="-1"/>
          <w:sz w:val="21"/>
          <w:szCs w:val="21"/>
        </w:rPr>
        <w:t>2. 联合体投标的，联合体各成员应分别填写。</w:t>
      </w:r>
    </w:p>
    <w:p w14:paraId="253851D3">
      <w:pPr>
        <w:spacing w:line="220" w:lineRule="auto"/>
        <w:rPr>
          <w:sz w:val="21"/>
          <w:szCs w:val="21"/>
        </w:rPr>
        <w:sectPr>
          <w:footerReference r:id="rId379" w:type="default"/>
          <w:pgSz w:w="11910" w:h="16840"/>
          <w:pgMar w:top="400" w:right="1365" w:bottom="1147" w:left="1294" w:header="0" w:footer="1021" w:gutter="0"/>
          <w:cols w:space="720" w:num="1"/>
        </w:sectPr>
      </w:pPr>
    </w:p>
    <w:p w14:paraId="09BD9C40">
      <w:pPr>
        <w:spacing w:line="277" w:lineRule="auto"/>
        <w:rPr>
          <w:rFonts w:ascii="Arial"/>
          <w:sz w:val="21"/>
        </w:rPr>
      </w:pPr>
    </w:p>
    <w:p w14:paraId="4E95DC3A">
      <w:pPr>
        <w:spacing w:line="277" w:lineRule="auto"/>
        <w:rPr>
          <w:rFonts w:ascii="Arial"/>
          <w:sz w:val="21"/>
        </w:rPr>
      </w:pPr>
    </w:p>
    <w:p w14:paraId="0DF3AB62">
      <w:pPr>
        <w:spacing w:line="277" w:lineRule="auto"/>
        <w:rPr>
          <w:rFonts w:ascii="Arial"/>
          <w:sz w:val="21"/>
        </w:rPr>
      </w:pPr>
    </w:p>
    <w:p w14:paraId="66B08614">
      <w:pPr>
        <w:spacing w:line="277" w:lineRule="auto"/>
        <w:rPr>
          <w:rFonts w:ascii="Arial"/>
          <w:sz w:val="21"/>
        </w:rPr>
      </w:pPr>
    </w:p>
    <w:p w14:paraId="2382C3C9">
      <w:pPr>
        <w:spacing w:line="277" w:lineRule="auto"/>
        <w:rPr>
          <w:rFonts w:ascii="Arial"/>
          <w:sz w:val="21"/>
        </w:rPr>
      </w:pPr>
    </w:p>
    <w:p w14:paraId="4E655B36">
      <w:pPr>
        <w:spacing w:line="278" w:lineRule="auto"/>
        <w:rPr>
          <w:rFonts w:ascii="Arial"/>
          <w:sz w:val="21"/>
        </w:rPr>
      </w:pPr>
    </w:p>
    <w:p w14:paraId="6DF4A662">
      <w:pPr>
        <w:pStyle w:val="2"/>
        <w:spacing w:before="81" w:line="222" w:lineRule="auto"/>
        <w:ind w:left="3318"/>
        <w:rPr>
          <w:rFonts w:ascii="黑体" w:hAnsi="黑体" w:eastAsia="黑体" w:cs="黑体"/>
        </w:rPr>
      </w:pPr>
      <w:r>
        <w:rPr>
          <w:b/>
          <w:bCs/>
          <w:spacing w:val="-14"/>
        </w:rPr>
        <w:t>1-4</w:t>
      </w:r>
      <w:r>
        <w:rPr>
          <w:spacing w:val="-14"/>
        </w:rPr>
        <w:t xml:space="preserve"> </w:t>
      </w:r>
      <w:r>
        <w:rPr>
          <w:rFonts w:ascii="黑体" w:hAnsi="黑体" w:eastAsia="黑体" w:cs="黑体"/>
          <w:b/>
          <w:bCs/>
          <w:spacing w:val="-14"/>
        </w:rPr>
        <w:t>建筑业企业信息登记</w:t>
      </w:r>
    </w:p>
    <w:p w14:paraId="2CB8DE07">
      <w:pPr>
        <w:spacing w:before="37"/>
      </w:pPr>
    </w:p>
    <w:tbl>
      <w:tblPr>
        <w:tblStyle w:val="5"/>
        <w:tblW w:w="9240" w:type="dxa"/>
        <w:tblInd w:w="5"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0" w:type="dxa"/>
          <w:bottom w:w="0" w:type="dxa"/>
          <w:right w:w="0" w:type="dxa"/>
        </w:tblCellMar>
      </w:tblPr>
      <w:tblGrid>
        <w:gridCol w:w="9240"/>
      </w:tblGrid>
      <w:tr w14:paraId="41A9ED55">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8389" w:hRule="atLeast"/>
        </w:trPr>
        <w:tc>
          <w:tcPr>
            <w:tcW w:w="9240" w:type="dxa"/>
            <w:vAlign w:val="top"/>
          </w:tcPr>
          <w:p w14:paraId="6633AD86">
            <w:pPr>
              <w:rPr>
                <w:rFonts w:ascii="Arial"/>
                <w:sz w:val="21"/>
              </w:rPr>
            </w:pPr>
          </w:p>
        </w:tc>
      </w:tr>
    </w:tbl>
    <w:p w14:paraId="08C491C0">
      <w:pPr>
        <w:spacing w:line="261" w:lineRule="auto"/>
        <w:rPr>
          <w:rFonts w:ascii="Arial"/>
          <w:sz w:val="21"/>
        </w:rPr>
      </w:pPr>
    </w:p>
    <w:p w14:paraId="0E380740">
      <w:pPr>
        <w:spacing w:line="262" w:lineRule="auto"/>
        <w:rPr>
          <w:rFonts w:ascii="Arial"/>
          <w:sz w:val="21"/>
        </w:rPr>
      </w:pPr>
    </w:p>
    <w:p w14:paraId="5CD1520F">
      <w:pPr>
        <w:pStyle w:val="2"/>
        <w:spacing w:before="65" w:line="249" w:lineRule="auto"/>
        <w:ind w:left="1094" w:right="173" w:hanging="909"/>
        <w:rPr>
          <w:sz w:val="20"/>
          <w:szCs w:val="20"/>
        </w:rPr>
      </w:pPr>
      <w:r>
        <w:rPr>
          <w:spacing w:val="10"/>
          <w:sz w:val="20"/>
          <w:szCs w:val="20"/>
        </w:rPr>
        <w:t>备注：1.根据湖北省住房和城乡建设厅</w:t>
      </w:r>
      <w:r>
        <w:rPr>
          <w:spacing w:val="4"/>
          <w:sz w:val="20"/>
          <w:szCs w:val="20"/>
        </w:rPr>
        <w:t xml:space="preserve">  </w:t>
      </w:r>
      <w:r>
        <w:rPr>
          <w:spacing w:val="10"/>
          <w:sz w:val="20"/>
          <w:szCs w:val="20"/>
        </w:rPr>
        <w:t>《关于</w:t>
      </w:r>
      <w:r>
        <w:rPr>
          <w:spacing w:val="9"/>
          <w:sz w:val="20"/>
          <w:szCs w:val="20"/>
        </w:rPr>
        <w:t>推动全省建筑市场统一开放的通知》</w:t>
      </w:r>
      <w:r>
        <w:rPr>
          <w:spacing w:val="30"/>
          <w:sz w:val="20"/>
          <w:szCs w:val="20"/>
        </w:rPr>
        <w:t xml:space="preserve">   </w:t>
      </w:r>
      <w:r>
        <w:rPr>
          <w:spacing w:val="9"/>
          <w:sz w:val="20"/>
          <w:szCs w:val="20"/>
        </w:rPr>
        <w:t>(鄂建文</w:t>
      </w:r>
      <w:r>
        <w:rPr>
          <w:spacing w:val="1"/>
          <w:sz w:val="20"/>
          <w:szCs w:val="20"/>
        </w:rPr>
        <w:t xml:space="preserve"> </w:t>
      </w:r>
      <w:r>
        <w:rPr>
          <w:spacing w:val="12"/>
          <w:sz w:val="20"/>
          <w:szCs w:val="20"/>
        </w:rPr>
        <w:t>〔2015〕83号)的规定，“省内外建筑企业在各市州区域</w:t>
      </w:r>
      <w:r>
        <w:rPr>
          <w:spacing w:val="11"/>
          <w:sz w:val="20"/>
          <w:szCs w:val="20"/>
        </w:rPr>
        <w:t>流动，统一实行一体化平台登</w:t>
      </w:r>
      <w:r>
        <w:rPr>
          <w:sz w:val="20"/>
          <w:szCs w:val="20"/>
        </w:rPr>
        <w:t xml:space="preserve"> </w:t>
      </w:r>
      <w:r>
        <w:rPr>
          <w:spacing w:val="23"/>
          <w:sz w:val="20"/>
          <w:szCs w:val="20"/>
        </w:rPr>
        <w:t>记管理”。投标人应当在“湖北省建筑市场监督与诚信一体化</w:t>
      </w:r>
      <w:r>
        <w:rPr>
          <w:spacing w:val="22"/>
          <w:sz w:val="20"/>
          <w:szCs w:val="20"/>
        </w:rPr>
        <w:t>工作平台”(网址：</w:t>
      </w:r>
      <w:r>
        <w:rPr>
          <w:sz w:val="20"/>
          <w:szCs w:val="20"/>
        </w:rPr>
        <w:t xml:space="preserve"> </w:t>
      </w:r>
      <w:r>
        <w:fldChar w:fldCharType="begin"/>
      </w:r>
      <w:r>
        <w:instrText xml:space="preserve"> HYPERLINK "http://jg.hbcic.net.cn/web/" </w:instrText>
      </w:r>
      <w:r>
        <w:fldChar w:fldCharType="separate"/>
      </w:r>
      <w:r>
        <w:rPr>
          <w:rFonts w:ascii="Times New Roman" w:hAnsi="Times New Roman" w:eastAsia="Times New Roman" w:cs="Times New Roman"/>
          <w:sz w:val="20"/>
          <w:szCs w:val="20"/>
        </w:rPr>
        <w:t>http</w:t>
      </w:r>
      <w:r>
        <w:rPr>
          <w:rFonts w:ascii="Times New Roman" w:hAnsi="Times New Roman" w:eastAsia="Times New Roman" w:cs="Times New Roman"/>
          <w:spacing w:val="8"/>
          <w:sz w:val="20"/>
          <w:szCs w:val="20"/>
        </w:rPr>
        <w:t>://</w:t>
      </w:r>
      <w:r>
        <w:rPr>
          <w:rFonts w:ascii="Times New Roman" w:hAnsi="Times New Roman" w:eastAsia="Times New Roman" w:cs="Times New Roman"/>
          <w:sz w:val="20"/>
          <w:szCs w:val="20"/>
        </w:rPr>
        <w:t>jg</w:t>
      </w:r>
      <w:r>
        <w:rPr>
          <w:rFonts w:ascii="Times New Roman" w:hAnsi="Times New Roman" w:eastAsia="Times New Roman" w:cs="Times New Roman"/>
          <w:spacing w:val="8"/>
          <w:sz w:val="20"/>
          <w:szCs w:val="20"/>
        </w:rPr>
        <w:t>.</w:t>
      </w:r>
      <w:r>
        <w:rPr>
          <w:rFonts w:ascii="Times New Roman" w:hAnsi="Times New Roman" w:eastAsia="Times New Roman" w:cs="Times New Roman"/>
          <w:sz w:val="20"/>
          <w:szCs w:val="20"/>
        </w:rPr>
        <w:t>hbcic</w:t>
      </w:r>
      <w:r>
        <w:rPr>
          <w:rFonts w:ascii="Times New Roman" w:hAnsi="Times New Roman" w:eastAsia="Times New Roman" w:cs="Times New Roman"/>
          <w:spacing w:val="8"/>
          <w:sz w:val="20"/>
          <w:szCs w:val="20"/>
        </w:rPr>
        <w:t>.</w:t>
      </w:r>
      <w:r>
        <w:rPr>
          <w:rFonts w:ascii="Times New Roman" w:hAnsi="Times New Roman" w:eastAsia="Times New Roman" w:cs="Times New Roman"/>
          <w:sz w:val="20"/>
          <w:szCs w:val="20"/>
        </w:rPr>
        <w:t>net</w:t>
      </w:r>
      <w:r>
        <w:rPr>
          <w:rFonts w:ascii="Times New Roman" w:hAnsi="Times New Roman" w:eastAsia="Times New Roman" w:cs="Times New Roman"/>
          <w:spacing w:val="8"/>
          <w:sz w:val="20"/>
          <w:szCs w:val="20"/>
        </w:rPr>
        <w:t>.</w:t>
      </w:r>
      <w:r>
        <w:rPr>
          <w:rFonts w:ascii="Times New Roman" w:hAnsi="Times New Roman" w:eastAsia="Times New Roman" w:cs="Times New Roman"/>
          <w:sz w:val="20"/>
          <w:szCs w:val="20"/>
        </w:rPr>
        <w:t>cn</w:t>
      </w:r>
      <w:r>
        <w:rPr>
          <w:rFonts w:ascii="Times New Roman" w:hAnsi="Times New Roman" w:eastAsia="Times New Roman" w:cs="Times New Roman"/>
          <w:spacing w:val="8"/>
          <w:sz w:val="20"/>
          <w:szCs w:val="20"/>
        </w:rPr>
        <w:t>/</w:t>
      </w:r>
      <w:r>
        <w:rPr>
          <w:rFonts w:ascii="Times New Roman" w:hAnsi="Times New Roman" w:eastAsia="Times New Roman" w:cs="Times New Roman"/>
          <w:sz w:val="20"/>
          <w:szCs w:val="20"/>
        </w:rPr>
        <w:t>web</w:t>
      </w:r>
      <w:r>
        <w:rPr>
          <w:rFonts w:ascii="Times New Roman" w:hAnsi="Times New Roman" w:eastAsia="Times New Roman" w:cs="Times New Roman"/>
          <w:spacing w:val="8"/>
          <w:sz w:val="20"/>
          <w:szCs w:val="20"/>
        </w:rPr>
        <w:t>/</w:t>
      </w:r>
      <w:r>
        <w:rPr>
          <w:rFonts w:ascii="Times New Roman" w:hAnsi="Times New Roman" w:eastAsia="Times New Roman" w:cs="Times New Roman"/>
          <w:spacing w:val="8"/>
          <w:sz w:val="20"/>
          <w:szCs w:val="20"/>
        </w:rPr>
        <w:fldChar w:fldCharType="end"/>
      </w:r>
      <w:r>
        <w:rPr>
          <w:rFonts w:ascii="Times New Roman" w:hAnsi="Times New Roman" w:eastAsia="Times New Roman" w:cs="Times New Roman"/>
          <w:spacing w:val="8"/>
          <w:sz w:val="20"/>
          <w:szCs w:val="20"/>
        </w:rPr>
        <w:t xml:space="preserve">)      </w:t>
      </w:r>
      <w:r>
        <w:rPr>
          <w:spacing w:val="8"/>
          <w:sz w:val="20"/>
          <w:szCs w:val="20"/>
        </w:rPr>
        <w:t>进行企业基本信息和人员信息登记，</w:t>
      </w:r>
      <w:r>
        <w:rPr>
          <w:spacing w:val="7"/>
          <w:sz w:val="20"/>
          <w:szCs w:val="20"/>
        </w:rPr>
        <w:t>并将带二维码的名称为</w:t>
      </w:r>
      <w:r>
        <w:rPr>
          <w:sz w:val="20"/>
          <w:szCs w:val="20"/>
        </w:rPr>
        <w:t xml:space="preserve"> </w:t>
      </w:r>
      <w:r>
        <w:rPr>
          <w:spacing w:val="10"/>
          <w:sz w:val="20"/>
          <w:szCs w:val="20"/>
        </w:rPr>
        <w:t>“建筑业企业在鄂投标信息登记表”的扫描件附在本表中。</w:t>
      </w:r>
    </w:p>
    <w:p w14:paraId="0798A225">
      <w:pPr>
        <w:pStyle w:val="2"/>
        <w:spacing w:before="31" w:line="242" w:lineRule="auto"/>
        <w:ind w:left="1105" w:right="48"/>
        <w:rPr>
          <w:sz w:val="20"/>
          <w:szCs w:val="20"/>
        </w:rPr>
      </w:pPr>
      <w:r>
        <w:rPr>
          <w:spacing w:val="11"/>
          <w:sz w:val="20"/>
          <w:szCs w:val="20"/>
        </w:rPr>
        <w:t>投标文件“项目管理机构主要人员表” 中的项目经理、项目技术负责人、施工管理、</w:t>
      </w:r>
      <w:r>
        <w:rPr>
          <w:spacing w:val="5"/>
          <w:sz w:val="20"/>
          <w:szCs w:val="20"/>
        </w:rPr>
        <w:t xml:space="preserve">  </w:t>
      </w:r>
      <w:r>
        <w:rPr>
          <w:spacing w:val="13"/>
          <w:sz w:val="20"/>
          <w:szCs w:val="20"/>
        </w:rPr>
        <w:t>质量管理、安全管理人员的姓名和岗位信息应当与“建筑业企业在鄂投标信息登记表”</w:t>
      </w:r>
      <w:r>
        <w:rPr>
          <w:spacing w:val="1"/>
          <w:sz w:val="20"/>
          <w:szCs w:val="20"/>
        </w:rPr>
        <w:t xml:space="preserve"> </w:t>
      </w:r>
      <w:r>
        <w:rPr>
          <w:spacing w:val="5"/>
          <w:sz w:val="20"/>
          <w:szCs w:val="20"/>
        </w:rPr>
        <w:t>中的信息一致。</w:t>
      </w:r>
    </w:p>
    <w:p w14:paraId="3BE92225">
      <w:pPr>
        <w:pStyle w:val="2"/>
        <w:spacing w:before="4" w:line="219" w:lineRule="auto"/>
        <w:ind w:left="905"/>
        <w:rPr>
          <w:sz w:val="20"/>
          <w:szCs w:val="20"/>
        </w:rPr>
      </w:pPr>
      <w:r>
        <w:rPr>
          <w:spacing w:val="9"/>
          <w:sz w:val="20"/>
          <w:szCs w:val="20"/>
        </w:rPr>
        <w:t>2.</w:t>
      </w:r>
      <w:r>
        <w:rPr>
          <w:spacing w:val="-19"/>
          <w:sz w:val="20"/>
          <w:szCs w:val="20"/>
        </w:rPr>
        <w:t xml:space="preserve"> </w:t>
      </w:r>
      <w:r>
        <w:rPr>
          <w:spacing w:val="9"/>
          <w:sz w:val="20"/>
          <w:szCs w:val="20"/>
        </w:rPr>
        <w:t>联合体投标的，联合体各成员均应附“建筑业企业在鄂投标</w:t>
      </w:r>
      <w:r>
        <w:rPr>
          <w:spacing w:val="8"/>
          <w:sz w:val="20"/>
          <w:szCs w:val="20"/>
        </w:rPr>
        <w:t>信息登记表”。</w:t>
      </w:r>
    </w:p>
    <w:p w14:paraId="068DD269">
      <w:pPr>
        <w:pStyle w:val="2"/>
        <w:spacing w:before="33" w:line="219" w:lineRule="auto"/>
        <w:ind w:left="905"/>
        <w:rPr>
          <w:sz w:val="20"/>
          <w:szCs w:val="20"/>
        </w:rPr>
      </w:pPr>
      <w:r>
        <w:rPr>
          <w:spacing w:val="9"/>
          <w:sz w:val="20"/>
          <w:szCs w:val="20"/>
        </w:rPr>
        <w:t>3.</w:t>
      </w:r>
      <w:r>
        <w:rPr>
          <w:spacing w:val="-39"/>
          <w:sz w:val="20"/>
          <w:szCs w:val="20"/>
        </w:rPr>
        <w:t xml:space="preserve"> </w:t>
      </w:r>
      <w:r>
        <w:rPr>
          <w:spacing w:val="9"/>
          <w:sz w:val="20"/>
          <w:szCs w:val="20"/>
        </w:rPr>
        <w:t>不具备建筑业企业资质证书的企业无需在该一体化平</w:t>
      </w:r>
      <w:r>
        <w:rPr>
          <w:spacing w:val="8"/>
          <w:sz w:val="20"/>
          <w:szCs w:val="20"/>
        </w:rPr>
        <w:t>台登记。</w:t>
      </w:r>
    </w:p>
    <w:p w14:paraId="25C6B33E">
      <w:pPr>
        <w:spacing w:line="219" w:lineRule="auto"/>
        <w:rPr>
          <w:sz w:val="20"/>
          <w:szCs w:val="20"/>
        </w:rPr>
        <w:sectPr>
          <w:footerReference r:id="rId380" w:type="default"/>
          <w:pgSz w:w="11910" w:h="16840"/>
          <w:pgMar w:top="400" w:right="1365" w:bottom="1147" w:left="1294" w:header="0" w:footer="1021" w:gutter="0"/>
          <w:cols w:space="720" w:num="1"/>
        </w:sectPr>
      </w:pPr>
    </w:p>
    <w:p w14:paraId="384F358E">
      <w:pPr>
        <w:spacing w:line="279" w:lineRule="auto"/>
        <w:rPr>
          <w:rFonts w:ascii="Arial"/>
          <w:sz w:val="21"/>
        </w:rPr>
      </w:pPr>
    </w:p>
    <w:p w14:paraId="5F44CB5B">
      <w:pPr>
        <w:spacing w:line="279" w:lineRule="auto"/>
        <w:rPr>
          <w:rFonts w:ascii="Arial"/>
          <w:sz w:val="21"/>
        </w:rPr>
      </w:pPr>
    </w:p>
    <w:p w14:paraId="20ACFC50">
      <w:pPr>
        <w:spacing w:line="279" w:lineRule="auto"/>
        <w:rPr>
          <w:rFonts w:ascii="Arial"/>
          <w:sz w:val="21"/>
        </w:rPr>
      </w:pPr>
    </w:p>
    <w:p w14:paraId="0801B93E">
      <w:pPr>
        <w:spacing w:line="279" w:lineRule="auto"/>
        <w:rPr>
          <w:rFonts w:ascii="Arial"/>
          <w:sz w:val="21"/>
        </w:rPr>
      </w:pPr>
    </w:p>
    <w:p w14:paraId="7F579FC9">
      <w:pPr>
        <w:spacing w:line="279" w:lineRule="auto"/>
        <w:rPr>
          <w:rFonts w:ascii="Arial"/>
          <w:sz w:val="21"/>
        </w:rPr>
      </w:pPr>
    </w:p>
    <w:p w14:paraId="3FC000DE">
      <w:pPr>
        <w:spacing w:line="280" w:lineRule="auto"/>
        <w:rPr>
          <w:rFonts w:ascii="Arial"/>
          <w:sz w:val="21"/>
        </w:rPr>
      </w:pPr>
    </w:p>
    <w:p w14:paraId="3437402B">
      <w:pPr>
        <w:spacing w:before="78" w:line="221" w:lineRule="auto"/>
        <w:ind w:left="2276"/>
        <w:rPr>
          <w:rFonts w:ascii="黑体" w:hAnsi="黑体" w:eastAsia="黑体" w:cs="黑体"/>
          <w:sz w:val="24"/>
          <w:szCs w:val="24"/>
        </w:rPr>
      </w:pPr>
      <w:r>
        <w:rPr>
          <w:rFonts w:ascii="黑体" w:hAnsi="黑体" w:eastAsia="黑体" w:cs="黑体"/>
          <w:b/>
          <w:bCs/>
          <w:spacing w:val="-2"/>
          <w:sz w:val="24"/>
          <w:szCs w:val="24"/>
        </w:rPr>
        <w:t>1-5项目管理机构主要人员及简历表</w:t>
      </w:r>
    </w:p>
    <w:p w14:paraId="1561A0E2">
      <w:pPr>
        <w:spacing w:line="246" w:lineRule="auto"/>
        <w:rPr>
          <w:rFonts w:ascii="Arial"/>
          <w:sz w:val="21"/>
        </w:rPr>
      </w:pPr>
    </w:p>
    <w:p w14:paraId="57095B61">
      <w:pPr>
        <w:spacing w:line="247" w:lineRule="auto"/>
        <w:rPr>
          <w:rFonts w:ascii="Arial"/>
          <w:sz w:val="21"/>
        </w:rPr>
      </w:pPr>
    </w:p>
    <w:p w14:paraId="28714A59">
      <w:pPr>
        <w:pStyle w:val="2"/>
        <w:spacing w:before="65" w:line="221" w:lineRule="auto"/>
        <w:ind w:left="306"/>
        <w:rPr>
          <w:sz w:val="20"/>
          <w:szCs w:val="20"/>
        </w:rPr>
      </w:pPr>
      <w:r>
        <w:rPr>
          <w:rFonts w:ascii="黑体" w:hAnsi="黑体" w:eastAsia="黑体" w:cs="黑体"/>
          <w:b/>
          <w:bCs/>
          <w:spacing w:val="8"/>
          <w:sz w:val="20"/>
          <w:szCs w:val="20"/>
        </w:rPr>
        <w:t>说明</w:t>
      </w:r>
      <w:r>
        <w:rPr>
          <w:b/>
          <w:bCs/>
          <w:spacing w:val="8"/>
          <w:sz w:val="20"/>
          <w:szCs w:val="20"/>
        </w:rPr>
        <w:t>：</w:t>
      </w:r>
      <w:r>
        <w:rPr>
          <w:rFonts w:ascii="Times New Roman" w:hAnsi="Times New Roman" w:eastAsia="Times New Roman" w:cs="Times New Roman"/>
          <w:spacing w:val="8"/>
          <w:sz w:val="20"/>
          <w:szCs w:val="20"/>
        </w:rPr>
        <w:t>“</w:t>
      </w:r>
      <w:r>
        <w:rPr>
          <w:rFonts w:ascii="Times New Roman" w:hAnsi="Times New Roman" w:eastAsia="Times New Roman" w:cs="Times New Roman"/>
          <w:spacing w:val="-17"/>
          <w:sz w:val="20"/>
          <w:szCs w:val="20"/>
        </w:rPr>
        <w:t xml:space="preserve"> </w:t>
      </w:r>
      <w:r>
        <w:rPr>
          <w:spacing w:val="8"/>
          <w:sz w:val="20"/>
          <w:szCs w:val="20"/>
        </w:rPr>
        <w:t>项目管理机构主要人员及简历表”同本章第八节。</w:t>
      </w:r>
    </w:p>
    <w:p w14:paraId="0EEBE7A6">
      <w:pPr>
        <w:spacing w:line="221" w:lineRule="auto"/>
        <w:rPr>
          <w:sz w:val="20"/>
          <w:szCs w:val="20"/>
        </w:rPr>
        <w:sectPr>
          <w:footerReference r:id="rId381" w:type="default"/>
          <w:pgSz w:w="11910" w:h="16840"/>
          <w:pgMar w:top="400" w:right="1786" w:bottom="1147" w:left="1786" w:header="0" w:footer="1021" w:gutter="0"/>
          <w:cols w:space="720" w:num="1"/>
        </w:sectPr>
      </w:pPr>
    </w:p>
    <w:p w14:paraId="0A5E1025">
      <w:pPr>
        <w:spacing w:line="279" w:lineRule="auto"/>
        <w:rPr>
          <w:rFonts w:ascii="Arial"/>
          <w:sz w:val="21"/>
        </w:rPr>
      </w:pPr>
    </w:p>
    <w:p w14:paraId="49BC0AA4">
      <w:pPr>
        <w:spacing w:line="279" w:lineRule="auto"/>
        <w:rPr>
          <w:rFonts w:ascii="Arial"/>
          <w:sz w:val="21"/>
        </w:rPr>
      </w:pPr>
    </w:p>
    <w:p w14:paraId="328F1B05">
      <w:pPr>
        <w:spacing w:line="279" w:lineRule="auto"/>
        <w:rPr>
          <w:rFonts w:ascii="Arial"/>
          <w:sz w:val="21"/>
        </w:rPr>
      </w:pPr>
    </w:p>
    <w:p w14:paraId="3AE98BAC">
      <w:pPr>
        <w:spacing w:line="279" w:lineRule="auto"/>
        <w:rPr>
          <w:rFonts w:ascii="Arial"/>
          <w:sz w:val="21"/>
        </w:rPr>
      </w:pPr>
    </w:p>
    <w:p w14:paraId="71D76346">
      <w:pPr>
        <w:spacing w:line="280" w:lineRule="auto"/>
        <w:rPr>
          <w:rFonts w:ascii="Arial"/>
          <w:sz w:val="21"/>
        </w:rPr>
      </w:pPr>
    </w:p>
    <w:p w14:paraId="7BE0EABA">
      <w:pPr>
        <w:spacing w:line="280" w:lineRule="auto"/>
        <w:rPr>
          <w:rFonts w:ascii="Arial"/>
          <w:sz w:val="21"/>
        </w:rPr>
      </w:pPr>
    </w:p>
    <w:p w14:paraId="0DBE8402">
      <w:pPr>
        <w:spacing w:before="78" w:line="222" w:lineRule="auto"/>
        <w:ind w:left="2718"/>
        <w:rPr>
          <w:rFonts w:ascii="黑体" w:hAnsi="黑体" w:eastAsia="黑体" w:cs="黑体"/>
          <w:sz w:val="24"/>
          <w:szCs w:val="24"/>
        </w:rPr>
      </w:pPr>
      <w:r>
        <w:rPr>
          <w:rFonts w:ascii="黑体" w:hAnsi="黑体" w:eastAsia="黑体" w:cs="黑体"/>
          <w:b/>
          <w:bCs/>
          <w:spacing w:val="-2"/>
          <w:sz w:val="24"/>
          <w:szCs w:val="24"/>
        </w:rPr>
        <w:t>1-6拟投入主要施工机械设备情况表</w:t>
      </w:r>
    </w:p>
    <w:p w14:paraId="68BA6067">
      <w:pPr>
        <w:spacing w:before="170"/>
      </w:pPr>
    </w:p>
    <w:tbl>
      <w:tblPr>
        <w:tblStyle w:val="5"/>
        <w:tblW w:w="911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313"/>
        <w:gridCol w:w="1298"/>
        <w:gridCol w:w="1289"/>
        <w:gridCol w:w="1299"/>
        <w:gridCol w:w="1318"/>
        <w:gridCol w:w="1289"/>
        <w:gridCol w:w="1313"/>
      </w:tblGrid>
      <w:tr w14:paraId="643EFF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3" w:hRule="atLeast"/>
        </w:trPr>
        <w:tc>
          <w:tcPr>
            <w:tcW w:w="1313" w:type="dxa"/>
            <w:vAlign w:val="top"/>
          </w:tcPr>
          <w:p w14:paraId="6722AB8C">
            <w:pPr>
              <w:pStyle w:val="6"/>
              <w:spacing w:before="101" w:line="251" w:lineRule="auto"/>
              <w:ind w:left="544" w:right="100" w:hanging="419"/>
            </w:pPr>
            <w:r>
              <w:rPr>
                <w:spacing w:val="5"/>
              </w:rPr>
              <w:t>机械设备名</w:t>
            </w:r>
            <w:r>
              <w:rPr>
                <w:spacing w:val="1"/>
              </w:rPr>
              <w:t xml:space="preserve"> </w:t>
            </w:r>
            <w:r>
              <w:t>称</w:t>
            </w:r>
          </w:p>
        </w:tc>
        <w:tc>
          <w:tcPr>
            <w:tcW w:w="1298" w:type="dxa"/>
            <w:vAlign w:val="top"/>
          </w:tcPr>
          <w:p w14:paraId="42406772">
            <w:pPr>
              <w:pStyle w:val="6"/>
              <w:spacing w:before="243" w:line="219" w:lineRule="auto"/>
              <w:ind w:left="211"/>
            </w:pPr>
            <w:r>
              <w:rPr>
                <w:spacing w:val="2"/>
              </w:rPr>
              <w:t>型号规格</w:t>
            </w:r>
          </w:p>
        </w:tc>
        <w:tc>
          <w:tcPr>
            <w:tcW w:w="1289" w:type="dxa"/>
            <w:vAlign w:val="top"/>
          </w:tcPr>
          <w:p w14:paraId="7DD66D1B">
            <w:pPr>
              <w:pStyle w:val="6"/>
              <w:spacing w:before="243" w:line="219" w:lineRule="auto"/>
              <w:ind w:left="343"/>
            </w:pPr>
            <w:r>
              <w:rPr>
                <w:spacing w:val="-5"/>
              </w:rPr>
              <w:t>数</w:t>
            </w:r>
            <w:r>
              <w:rPr>
                <w:spacing w:val="8"/>
              </w:rPr>
              <w:t xml:space="preserve"> </w:t>
            </w:r>
            <w:r>
              <w:rPr>
                <w:spacing w:val="-5"/>
              </w:rPr>
              <w:t>量</w:t>
            </w:r>
          </w:p>
        </w:tc>
        <w:tc>
          <w:tcPr>
            <w:tcW w:w="1299" w:type="dxa"/>
            <w:vAlign w:val="top"/>
          </w:tcPr>
          <w:p w14:paraId="2ABEFA2A">
            <w:pPr>
              <w:pStyle w:val="6"/>
              <w:spacing w:before="243" w:line="219" w:lineRule="auto"/>
              <w:ind w:left="265"/>
            </w:pPr>
            <w:r>
              <w:rPr>
                <w:spacing w:val="2"/>
              </w:rPr>
              <w:t>目前状况</w:t>
            </w:r>
          </w:p>
        </w:tc>
        <w:tc>
          <w:tcPr>
            <w:tcW w:w="1318" w:type="dxa"/>
            <w:vAlign w:val="top"/>
          </w:tcPr>
          <w:p w14:paraId="2D00AF21">
            <w:pPr>
              <w:pStyle w:val="6"/>
              <w:spacing w:before="243" w:line="219" w:lineRule="auto"/>
              <w:ind w:left="355"/>
            </w:pPr>
            <w:r>
              <w:rPr>
                <w:spacing w:val="-5"/>
              </w:rPr>
              <w:t>来</w:t>
            </w:r>
            <w:r>
              <w:rPr>
                <w:spacing w:val="7"/>
              </w:rPr>
              <w:t xml:space="preserve"> </w:t>
            </w:r>
            <w:r>
              <w:rPr>
                <w:spacing w:val="-5"/>
              </w:rPr>
              <w:t>源</w:t>
            </w:r>
          </w:p>
        </w:tc>
        <w:tc>
          <w:tcPr>
            <w:tcW w:w="1289" w:type="dxa"/>
            <w:vAlign w:val="top"/>
          </w:tcPr>
          <w:p w14:paraId="6B6626AC">
            <w:pPr>
              <w:pStyle w:val="6"/>
              <w:spacing w:before="244" w:line="220" w:lineRule="auto"/>
              <w:ind w:left="137"/>
            </w:pPr>
            <w:r>
              <w:rPr>
                <w:spacing w:val="3"/>
              </w:rPr>
              <w:t>现停放地点</w:t>
            </w:r>
          </w:p>
        </w:tc>
        <w:tc>
          <w:tcPr>
            <w:tcW w:w="1313" w:type="dxa"/>
            <w:vAlign w:val="top"/>
          </w:tcPr>
          <w:p w14:paraId="4EFCA9FA">
            <w:pPr>
              <w:pStyle w:val="6"/>
              <w:spacing w:before="244" w:line="221" w:lineRule="auto"/>
              <w:ind w:left="349"/>
            </w:pPr>
            <w:r>
              <w:rPr>
                <w:spacing w:val="-6"/>
              </w:rPr>
              <w:t>备</w:t>
            </w:r>
            <w:r>
              <w:rPr>
                <w:spacing w:val="8"/>
              </w:rPr>
              <w:t xml:space="preserve"> </w:t>
            </w:r>
            <w:r>
              <w:rPr>
                <w:spacing w:val="-6"/>
              </w:rPr>
              <w:t>注</w:t>
            </w:r>
          </w:p>
        </w:tc>
      </w:tr>
      <w:tr w14:paraId="7FF80E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9" w:hRule="atLeast"/>
        </w:trPr>
        <w:tc>
          <w:tcPr>
            <w:tcW w:w="1313" w:type="dxa"/>
            <w:vAlign w:val="top"/>
          </w:tcPr>
          <w:p w14:paraId="55F427A2">
            <w:pPr>
              <w:rPr>
                <w:rFonts w:ascii="Arial"/>
                <w:sz w:val="21"/>
              </w:rPr>
            </w:pPr>
          </w:p>
        </w:tc>
        <w:tc>
          <w:tcPr>
            <w:tcW w:w="1298" w:type="dxa"/>
            <w:vAlign w:val="top"/>
          </w:tcPr>
          <w:p w14:paraId="54825628">
            <w:pPr>
              <w:rPr>
                <w:rFonts w:ascii="Arial"/>
                <w:sz w:val="21"/>
              </w:rPr>
            </w:pPr>
          </w:p>
        </w:tc>
        <w:tc>
          <w:tcPr>
            <w:tcW w:w="1289" w:type="dxa"/>
            <w:vAlign w:val="top"/>
          </w:tcPr>
          <w:p w14:paraId="2709503F">
            <w:pPr>
              <w:rPr>
                <w:rFonts w:ascii="Arial"/>
                <w:sz w:val="21"/>
              </w:rPr>
            </w:pPr>
          </w:p>
        </w:tc>
        <w:tc>
          <w:tcPr>
            <w:tcW w:w="1299" w:type="dxa"/>
            <w:vAlign w:val="top"/>
          </w:tcPr>
          <w:p w14:paraId="7E8600CB">
            <w:pPr>
              <w:rPr>
                <w:rFonts w:ascii="Arial"/>
                <w:sz w:val="21"/>
              </w:rPr>
            </w:pPr>
          </w:p>
        </w:tc>
        <w:tc>
          <w:tcPr>
            <w:tcW w:w="1318" w:type="dxa"/>
            <w:vAlign w:val="top"/>
          </w:tcPr>
          <w:p w14:paraId="09BA729E">
            <w:pPr>
              <w:rPr>
                <w:rFonts w:ascii="Arial"/>
                <w:sz w:val="21"/>
              </w:rPr>
            </w:pPr>
          </w:p>
        </w:tc>
        <w:tc>
          <w:tcPr>
            <w:tcW w:w="1289" w:type="dxa"/>
            <w:vAlign w:val="top"/>
          </w:tcPr>
          <w:p w14:paraId="48AA3533">
            <w:pPr>
              <w:rPr>
                <w:rFonts w:ascii="Arial"/>
                <w:sz w:val="21"/>
              </w:rPr>
            </w:pPr>
          </w:p>
        </w:tc>
        <w:tc>
          <w:tcPr>
            <w:tcW w:w="1313" w:type="dxa"/>
            <w:vAlign w:val="top"/>
          </w:tcPr>
          <w:p w14:paraId="3EAB7B9B">
            <w:pPr>
              <w:rPr>
                <w:rFonts w:ascii="Arial"/>
                <w:sz w:val="21"/>
              </w:rPr>
            </w:pPr>
          </w:p>
        </w:tc>
      </w:tr>
      <w:tr w14:paraId="6E51A6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69" w:hRule="atLeast"/>
        </w:trPr>
        <w:tc>
          <w:tcPr>
            <w:tcW w:w="1313" w:type="dxa"/>
            <w:vAlign w:val="top"/>
          </w:tcPr>
          <w:p w14:paraId="30AEDD78">
            <w:pPr>
              <w:rPr>
                <w:rFonts w:ascii="Arial"/>
                <w:sz w:val="21"/>
              </w:rPr>
            </w:pPr>
          </w:p>
        </w:tc>
        <w:tc>
          <w:tcPr>
            <w:tcW w:w="1298" w:type="dxa"/>
            <w:vAlign w:val="top"/>
          </w:tcPr>
          <w:p w14:paraId="2EA23E51">
            <w:pPr>
              <w:rPr>
                <w:rFonts w:ascii="Arial"/>
                <w:sz w:val="21"/>
              </w:rPr>
            </w:pPr>
          </w:p>
        </w:tc>
        <w:tc>
          <w:tcPr>
            <w:tcW w:w="1289" w:type="dxa"/>
            <w:vAlign w:val="top"/>
          </w:tcPr>
          <w:p w14:paraId="2CB22F32">
            <w:pPr>
              <w:rPr>
                <w:rFonts w:ascii="Arial"/>
                <w:sz w:val="21"/>
              </w:rPr>
            </w:pPr>
          </w:p>
        </w:tc>
        <w:tc>
          <w:tcPr>
            <w:tcW w:w="1299" w:type="dxa"/>
            <w:vAlign w:val="top"/>
          </w:tcPr>
          <w:p w14:paraId="6901DBD4">
            <w:pPr>
              <w:rPr>
                <w:rFonts w:ascii="Arial"/>
                <w:sz w:val="21"/>
              </w:rPr>
            </w:pPr>
          </w:p>
        </w:tc>
        <w:tc>
          <w:tcPr>
            <w:tcW w:w="1318" w:type="dxa"/>
            <w:vAlign w:val="top"/>
          </w:tcPr>
          <w:p w14:paraId="77B078BA">
            <w:pPr>
              <w:rPr>
                <w:rFonts w:ascii="Arial"/>
                <w:sz w:val="21"/>
              </w:rPr>
            </w:pPr>
          </w:p>
        </w:tc>
        <w:tc>
          <w:tcPr>
            <w:tcW w:w="1289" w:type="dxa"/>
            <w:vAlign w:val="top"/>
          </w:tcPr>
          <w:p w14:paraId="460348D9">
            <w:pPr>
              <w:rPr>
                <w:rFonts w:ascii="Arial"/>
                <w:sz w:val="21"/>
              </w:rPr>
            </w:pPr>
          </w:p>
        </w:tc>
        <w:tc>
          <w:tcPr>
            <w:tcW w:w="1313" w:type="dxa"/>
            <w:vAlign w:val="top"/>
          </w:tcPr>
          <w:p w14:paraId="2428EC82">
            <w:pPr>
              <w:rPr>
                <w:rFonts w:ascii="Arial"/>
                <w:sz w:val="21"/>
              </w:rPr>
            </w:pPr>
          </w:p>
        </w:tc>
      </w:tr>
      <w:tr w14:paraId="367FBF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9" w:hRule="atLeast"/>
        </w:trPr>
        <w:tc>
          <w:tcPr>
            <w:tcW w:w="1313" w:type="dxa"/>
            <w:vAlign w:val="top"/>
          </w:tcPr>
          <w:p w14:paraId="707173D9">
            <w:pPr>
              <w:rPr>
                <w:rFonts w:ascii="Arial"/>
                <w:sz w:val="21"/>
              </w:rPr>
            </w:pPr>
          </w:p>
        </w:tc>
        <w:tc>
          <w:tcPr>
            <w:tcW w:w="1298" w:type="dxa"/>
            <w:vAlign w:val="top"/>
          </w:tcPr>
          <w:p w14:paraId="6A38DD6B">
            <w:pPr>
              <w:rPr>
                <w:rFonts w:ascii="Arial"/>
                <w:sz w:val="21"/>
              </w:rPr>
            </w:pPr>
          </w:p>
        </w:tc>
        <w:tc>
          <w:tcPr>
            <w:tcW w:w="1289" w:type="dxa"/>
            <w:vAlign w:val="top"/>
          </w:tcPr>
          <w:p w14:paraId="4F7F6064">
            <w:pPr>
              <w:rPr>
                <w:rFonts w:ascii="Arial"/>
                <w:sz w:val="21"/>
              </w:rPr>
            </w:pPr>
          </w:p>
        </w:tc>
        <w:tc>
          <w:tcPr>
            <w:tcW w:w="1299" w:type="dxa"/>
            <w:vAlign w:val="top"/>
          </w:tcPr>
          <w:p w14:paraId="19F54F59">
            <w:pPr>
              <w:rPr>
                <w:rFonts w:ascii="Arial"/>
                <w:sz w:val="21"/>
              </w:rPr>
            </w:pPr>
          </w:p>
        </w:tc>
        <w:tc>
          <w:tcPr>
            <w:tcW w:w="1318" w:type="dxa"/>
            <w:vAlign w:val="top"/>
          </w:tcPr>
          <w:p w14:paraId="324A63A3">
            <w:pPr>
              <w:rPr>
                <w:rFonts w:ascii="Arial"/>
                <w:sz w:val="21"/>
              </w:rPr>
            </w:pPr>
          </w:p>
        </w:tc>
        <w:tc>
          <w:tcPr>
            <w:tcW w:w="1289" w:type="dxa"/>
            <w:vAlign w:val="top"/>
          </w:tcPr>
          <w:p w14:paraId="4B0A8B17">
            <w:pPr>
              <w:rPr>
                <w:rFonts w:ascii="Arial"/>
                <w:sz w:val="21"/>
              </w:rPr>
            </w:pPr>
          </w:p>
        </w:tc>
        <w:tc>
          <w:tcPr>
            <w:tcW w:w="1313" w:type="dxa"/>
            <w:vAlign w:val="top"/>
          </w:tcPr>
          <w:p w14:paraId="271A5242">
            <w:pPr>
              <w:rPr>
                <w:rFonts w:ascii="Arial"/>
                <w:sz w:val="21"/>
              </w:rPr>
            </w:pPr>
          </w:p>
        </w:tc>
      </w:tr>
      <w:tr w14:paraId="7B24EC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9" w:hRule="atLeast"/>
        </w:trPr>
        <w:tc>
          <w:tcPr>
            <w:tcW w:w="1313" w:type="dxa"/>
            <w:vAlign w:val="top"/>
          </w:tcPr>
          <w:p w14:paraId="198F44AF">
            <w:pPr>
              <w:rPr>
                <w:rFonts w:ascii="Arial"/>
                <w:sz w:val="21"/>
              </w:rPr>
            </w:pPr>
          </w:p>
        </w:tc>
        <w:tc>
          <w:tcPr>
            <w:tcW w:w="1298" w:type="dxa"/>
            <w:vAlign w:val="top"/>
          </w:tcPr>
          <w:p w14:paraId="7ABCA92C">
            <w:pPr>
              <w:rPr>
                <w:rFonts w:ascii="Arial"/>
                <w:sz w:val="21"/>
              </w:rPr>
            </w:pPr>
          </w:p>
        </w:tc>
        <w:tc>
          <w:tcPr>
            <w:tcW w:w="1289" w:type="dxa"/>
            <w:vAlign w:val="top"/>
          </w:tcPr>
          <w:p w14:paraId="1EC18FBC">
            <w:pPr>
              <w:rPr>
                <w:rFonts w:ascii="Arial"/>
                <w:sz w:val="21"/>
              </w:rPr>
            </w:pPr>
          </w:p>
        </w:tc>
        <w:tc>
          <w:tcPr>
            <w:tcW w:w="1299" w:type="dxa"/>
            <w:vAlign w:val="top"/>
          </w:tcPr>
          <w:p w14:paraId="64CCEB6E">
            <w:pPr>
              <w:rPr>
                <w:rFonts w:ascii="Arial"/>
                <w:sz w:val="21"/>
              </w:rPr>
            </w:pPr>
          </w:p>
        </w:tc>
        <w:tc>
          <w:tcPr>
            <w:tcW w:w="1318" w:type="dxa"/>
            <w:vAlign w:val="top"/>
          </w:tcPr>
          <w:p w14:paraId="34CF7F43">
            <w:pPr>
              <w:rPr>
                <w:rFonts w:ascii="Arial"/>
                <w:sz w:val="21"/>
              </w:rPr>
            </w:pPr>
          </w:p>
        </w:tc>
        <w:tc>
          <w:tcPr>
            <w:tcW w:w="1289" w:type="dxa"/>
            <w:vAlign w:val="top"/>
          </w:tcPr>
          <w:p w14:paraId="111CAFB2">
            <w:pPr>
              <w:rPr>
                <w:rFonts w:ascii="Arial"/>
                <w:sz w:val="21"/>
              </w:rPr>
            </w:pPr>
          </w:p>
        </w:tc>
        <w:tc>
          <w:tcPr>
            <w:tcW w:w="1313" w:type="dxa"/>
            <w:vAlign w:val="top"/>
          </w:tcPr>
          <w:p w14:paraId="153EDDE4">
            <w:pPr>
              <w:rPr>
                <w:rFonts w:ascii="Arial"/>
                <w:sz w:val="21"/>
              </w:rPr>
            </w:pPr>
          </w:p>
        </w:tc>
      </w:tr>
      <w:tr w14:paraId="4CF655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8" w:hRule="atLeast"/>
        </w:trPr>
        <w:tc>
          <w:tcPr>
            <w:tcW w:w="1313" w:type="dxa"/>
            <w:vAlign w:val="top"/>
          </w:tcPr>
          <w:p w14:paraId="0D8256A3">
            <w:pPr>
              <w:rPr>
                <w:rFonts w:ascii="Arial"/>
                <w:sz w:val="21"/>
              </w:rPr>
            </w:pPr>
          </w:p>
        </w:tc>
        <w:tc>
          <w:tcPr>
            <w:tcW w:w="1298" w:type="dxa"/>
            <w:vAlign w:val="top"/>
          </w:tcPr>
          <w:p w14:paraId="3864FB26">
            <w:pPr>
              <w:rPr>
                <w:rFonts w:ascii="Arial"/>
                <w:sz w:val="21"/>
              </w:rPr>
            </w:pPr>
          </w:p>
        </w:tc>
        <w:tc>
          <w:tcPr>
            <w:tcW w:w="1289" w:type="dxa"/>
            <w:vAlign w:val="top"/>
          </w:tcPr>
          <w:p w14:paraId="500BA183">
            <w:pPr>
              <w:rPr>
                <w:rFonts w:ascii="Arial"/>
                <w:sz w:val="21"/>
              </w:rPr>
            </w:pPr>
          </w:p>
        </w:tc>
        <w:tc>
          <w:tcPr>
            <w:tcW w:w="1299" w:type="dxa"/>
            <w:vAlign w:val="top"/>
          </w:tcPr>
          <w:p w14:paraId="321DE2C4">
            <w:pPr>
              <w:rPr>
                <w:rFonts w:ascii="Arial"/>
                <w:sz w:val="21"/>
              </w:rPr>
            </w:pPr>
          </w:p>
        </w:tc>
        <w:tc>
          <w:tcPr>
            <w:tcW w:w="1318" w:type="dxa"/>
            <w:vAlign w:val="top"/>
          </w:tcPr>
          <w:p w14:paraId="372E3CC2">
            <w:pPr>
              <w:rPr>
                <w:rFonts w:ascii="Arial"/>
                <w:sz w:val="21"/>
              </w:rPr>
            </w:pPr>
          </w:p>
        </w:tc>
        <w:tc>
          <w:tcPr>
            <w:tcW w:w="1289" w:type="dxa"/>
            <w:vAlign w:val="top"/>
          </w:tcPr>
          <w:p w14:paraId="339A1EC4">
            <w:pPr>
              <w:rPr>
                <w:rFonts w:ascii="Arial"/>
                <w:sz w:val="21"/>
              </w:rPr>
            </w:pPr>
          </w:p>
        </w:tc>
        <w:tc>
          <w:tcPr>
            <w:tcW w:w="1313" w:type="dxa"/>
            <w:vAlign w:val="top"/>
          </w:tcPr>
          <w:p w14:paraId="7EF014F0">
            <w:pPr>
              <w:rPr>
                <w:rFonts w:ascii="Arial"/>
                <w:sz w:val="21"/>
              </w:rPr>
            </w:pPr>
          </w:p>
        </w:tc>
      </w:tr>
      <w:tr w14:paraId="47A3CF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9" w:hRule="atLeast"/>
        </w:trPr>
        <w:tc>
          <w:tcPr>
            <w:tcW w:w="1313" w:type="dxa"/>
            <w:vAlign w:val="top"/>
          </w:tcPr>
          <w:p w14:paraId="0F1AEB05">
            <w:pPr>
              <w:rPr>
                <w:rFonts w:ascii="Arial"/>
                <w:sz w:val="21"/>
              </w:rPr>
            </w:pPr>
          </w:p>
        </w:tc>
        <w:tc>
          <w:tcPr>
            <w:tcW w:w="1298" w:type="dxa"/>
            <w:vAlign w:val="top"/>
          </w:tcPr>
          <w:p w14:paraId="0C99201B">
            <w:pPr>
              <w:rPr>
                <w:rFonts w:ascii="Arial"/>
                <w:sz w:val="21"/>
              </w:rPr>
            </w:pPr>
          </w:p>
        </w:tc>
        <w:tc>
          <w:tcPr>
            <w:tcW w:w="1289" w:type="dxa"/>
            <w:vAlign w:val="top"/>
          </w:tcPr>
          <w:p w14:paraId="3606E8CC">
            <w:pPr>
              <w:rPr>
                <w:rFonts w:ascii="Arial"/>
                <w:sz w:val="21"/>
              </w:rPr>
            </w:pPr>
          </w:p>
        </w:tc>
        <w:tc>
          <w:tcPr>
            <w:tcW w:w="1299" w:type="dxa"/>
            <w:vAlign w:val="top"/>
          </w:tcPr>
          <w:p w14:paraId="04CE7D30">
            <w:pPr>
              <w:rPr>
                <w:rFonts w:ascii="Arial"/>
                <w:sz w:val="21"/>
              </w:rPr>
            </w:pPr>
          </w:p>
        </w:tc>
        <w:tc>
          <w:tcPr>
            <w:tcW w:w="1318" w:type="dxa"/>
            <w:vAlign w:val="top"/>
          </w:tcPr>
          <w:p w14:paraId="2CA4283F">
            <w:pPr>
              <w:rPr>
                <w:rFonts w:ascii="Arial"/>
                <w:sz w:val="21"/>
              </w:rPr>
            </w:pPr>
          </w:p>
        </w:tc>
        <w:tc>
          <w:tcPr>
            <w:tcW w:w="1289" w:type="dxa"/>
            <w:vAlign w:val="top"/>
          </w:tcPr>
          <w:p w14:paraId="0231E58D">
            <w:pPr>
              <w:rPr>
                <w:rFonts w:ascii="Arial"/>
                <w:sz w:val="21"/>
              </w:rPr>
            </w:pPr>
          </w:p>
        </w:tc>
        <w:tc>
          <w:tcPr>
            <w:tcW w:w="1313" w:type="dxa"/>
            <w:vAlign w:val="top"/>
          </w:tcPr>
          <w:p w14:paraId="2197CF31">
            <w:pPr>
              <w:rPr>
                <w:rFonts w:ascii="Arial"/>
                <w:sz w:val="21"/>
              </w:rPr>
            </w:pPr>
          </w:p>
        </w:tc>
      </w:tr>
      <w:tr w14:paraId="1FE99B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9" w:hRule="atLeast"/>
        </w:trPr>
        <w:tc>
          <w:tcPr>
            <w:tcW w:w="1313" w:type="dxa"/>
            <w:vAlign w:val="top"/>
          </w:tcPr>
          <w:p w14:paraId="7EAE758A">
            <w:pPr>
              <w:rPr>
                <w:rFonts w:ascii="Arial"/>
                <w:sz w:val="21"/>
              </w:rPr>
            </w:pPr>
          </w:p>
        </w:tc>
        <w:tc>
          <w:tcPr>
            <w:tcW w:w="1298" w:type="dxa"/>
            <w:vAlign w:val="top"/>
          </w:tcPr>
          <w:p w14:paraId="1559341E">
            <w:pPr>
              <w:rPr>
                <w:rFonts w:ascii="Arial"/>
                <w:sz w:val="21"/>
              </w:rPr>
            </w:pPr>
          </w:p>
        </w:tc>
        <w:tc>
          <w:tcPr>
            <w:tcW w:w="1289" w:type="dxa"/>
            <w:vAlign w:val="top"/>
          </w:tcPr>
          <w:p w14:paraId="519C8BAF">
            <w:pPr>
              <w:rPr>
                <w:rFonts w:ascii="Arial"/>
                <w:sz w:val="21"/>
              </w:rPr>
            </w:pPr>
          </w:p>
        </w:tc>
        <w:tc>
          <w:tcPr>
            <w:tcW w:w="1299" w:type="dxa"/>
            <w:vAlign w:val="top"/>
          </w:tcPr>
          <w:p w14:paraId="342DE932">
            <w:pPr>
              <w:rPr>
                <w:rFonts w:ascii="Arial"/>
                <w:sz w:val="21"/>
              </w:rPr>
            </w:pPr>
          </w:p>
        </w:tc>
        <w:tc>
          <w:tcPr>
            <w:tcW w:w="1318" w:type="dxa"/>
            <w:vAlign w:val="top"/>
          </w:tcPr>
          <w:p w14:paraId="4DACCA82">
            <w:pPr>
              <w:rPr>
                <w:rFonts w:ascii="Arial"/>
                <w:sz w:val="21"/>
              </w:rPr>
            </w:pPr>
          </w:p>
        </w:tc>
        <w:tc>
          <w:tcPr>
            <w:tcW w:w="1289" w:type="dxa"/>
            <w:vAlign w:val="top"/>
          </w:tcPr>
          <w:p w14:paraId="02AD59C2">
            <w:pPr>
              <w:rPr>
                <w:rFonts w:ascii="Arial"/>
                <w:sz w:val="21"/>
              </w:rPr>
            </w:pPr>
          </w:p>
        </w:tc>
        <w:tc>
          <w:tcPr>
            <w:tcW w:w="1313" w:type="dxa"/>
            <w:vAlign w:val="top"/>
          </w:tcPr>
          <w:p w14:paraId="5AC54AC5">
            <w:pPr>
              <w:rPr>
                <w:rFonts w:ascii="Arial"/>
                <w:sz w:val="21"/>
              </w:rPr>
            </w:pPr>
          </w:p>
        </w:tc>
      </w:tr>
      <w:tr w14:paraId="1E6CDD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4" w:hRule="atLeast"/>
        </w:trPr>
        <w:tc>
          <w:tcPr>
            <w:tcW w:w="1313" w:type="dxa"/>
            <w:vAlign w:val="top"/>
          </w:tcPr>
          <w:p w14:paraId="2B11F181">
            <w:pPr>
              <w:rPr>
                <w:rFonts w:ascii="Arial"/>
                <w:sz w:val="21"/>
              </w:rPr>
            </w:pPr>
          </w:p>
        </w:tc>
        <w:tc>
          <w:tcPr>
            <w:tcW w:w="1298" w:type="dxa"/>
            <w:vAlign w:val="top"/>
          </w:tcPr>
          <w:p w14:paraId="3649607F">
            <w:pPr>
              <w:rPr>
                <w:rFonts w:ascii="Arial"/>
                <w:sz w:val="21"/>
              </w:rPr>
            </w:pPr>
          </w:p>
        </w:tc>
        <w:tc>
          <w:tcPr>
            <w:tcW w:w="1289" w:type="dxa"/>
            <w:vAlign w:val="top"/>
          </w:tcPr>
          <w:p w14:paraId="7FCFF232">
            <w:pPr>
              <w:rPr>
                <w:rFonts w:ascii="Arial"/>
                <w:sz w:val="21"/>
              </w:rPr>
            </w:pPr>
          </w:p>
        </w:tc>
        <w:tc>
          <w:tcPr>
            <w:tcW w:w="1299" w:type="dxa"/>
            <w:vAlign w:val="top"/>
          </w:tcPr>
          <w:p w14:paraId="5E159E3F">
            <w:pPr>
              <w:rPr>
                <w:rFonts w:ascii="Arial"/>
                <w:sz w:val="21"/>
              </w:rPr>
            </w:pPr>
          </w:p>
        </w:tc>
        <w:tc>
          <w:tcPr>
            <w:tcW w:w="1318" w:type="dxa"/>
            <w:vAlign w:val="top"/>
          </w:tcPr>
          <w:p w14:paraId="3420D490">
            <w:pPr>
              <w:rPr>
                <w:rFonts w:ascii="Arial"/>
                <w:sz w:val="21"/>
              </w:rPr>
            </w:pPr>
          </w:p>
        </w:tc>
        <w:tc>
          <w:tcPr>
            <w:tcW w:w="1289" w:type="dxa"/>
            <w:vAlign w:val="top"/>
          </w:tcPr>
          <w:p w14:paraId="040E5071">
            <w:pPr>
              <w:rPr>
                <w:rFonts w:ascii="Arial"/>
                <w:sz w:val="21"/>
              </w:rPr>
            </w:pPr>
          </w:p>
        </w:tc>
        <w:tc>
          <w:tcPr>
            <w:tcW w:w="1313" w:type="dxa"/>
            <w:vAlign w:val="top"/>
          </w:tcPr>
          <w:p w14:paraId="7D7918A4">
            <w:pPr>
              <w:rPr>
                <w:rFonts w:ascii="Arial"/>
                <w:sz w:val="21"/>
              </w:rPr>
            </w:pPr>
          </w:p>
        </w:tc>
      </w:tr>
    </w:tbl>
    <w:p w14:paraId="7C94179C">
      <w:pPr>
        <w:pStyle w:val="2"/>
        <w:spacing w:before="163" w:line="219" w:lineRule="auto"/>
        <w:jc w:val="right"/>
        <w:rPr>
          <w:sz w:val="21"/>
          <w:szCs w:val="21"/>
        </w:rPr>
      </w:pPr>
      <w:r>
        <w:rPr>
          <w:sz w:val="21"/>
          <w:szCs w:val="21"/>
        </w:rPr>
        <w:t>备注：“目前状况”应说明已使用年限、是否完好以及目前是否正在使用，“来源”</w:t>
      </w:r>
      <w:r>
        <w:rPr>
          <w:spacing w:val="-1"/>
          <w:sz w:val="21"/>
          <w:szCs w:val="21"/>
        </w:rPr>
        <w:t>分为“自有”</w:t>
      </w:r>
    </w:p>
    <w:p w14:paraId="1F2AC24C">
      <w:pPr>
        <w:pStyle w:val="2"/>
        <w:spacing w:before="138" w:line="344" w:lineRule="auto"/>
        <w:ind w:left="754" w:right="118"/>
        <w:rPr>
          <w:sz w:val="21"/>
          <w:szCs w:val="21"/>
        </w:rPr>
      </w:pPr>
      <w:r>
        <w:rPr>
          <w:spacing w:val="2"/>
          <w:sz w:val="21"/>
          <w:szCs w:val="21"/>
        </w:rPr>
        <w:t>和“市场租赁”两种情况，正在使用中的设备应在“备</w:t>
      </w:r>
      <w:r>
        <w:rPr>
          <w:spacing w:val="1"/>
          <w:sz w:val="21"/>
          <w:szCs w:val="21"/>
        </w:rPr>
        <w:t>注”中注明何时能够投入本项目。</w:t>
      </w:r>
      <w:r>
        <w:rPr>
          <w:sz w:val="21"/>
          <w:szCs w:val="21"/>
        </w:rPr>
        <w:t xml:space="preserve"> </w:t>
      </w:r>
      <w:r>
        <w:rPr>
          <w:spacing w:val="7"/>
          <w:sz w:val="21"/>
          <w:szCs w:val="21"/>
        </w:rPr>
        <w:t>本招标项目(标段)投标人资质条件、能力和信誉中要求的主要施工机械设备，投标人应</w:t>
      </w:r>
      <w:r>
        <w:rPr>
          <w:spacing w:val="14"/>
          <w:sz w:val="21"/>
          <w:szCs w:val="21"/>
        </w:rPr>
        <w:t xml:space="preserve"> </w:t>
      </w:r>
      <w:r>
        <w:rPr>
          <w:spacing w:val="2"/>
          <w:sz w:val="21"/>
          <w:szCs w:val="21"/>
        </w:rPr>
        <w:t>提供相关证明材料，如自有设备的原始发票扫描件、折旧政策、停放地点和使用状况等的</w:t>
      </w:r>
      <w:r>
        <w:rPr>
          <w:spacing w:val="7"/>
          <w:sz w:val="21"/>
          <w:szCs w:val="21"/>
        </w:rPr>
        <w:t xml:space="preserve"> </w:t>
      </w:r>
      <w:r>
        <w:rPr>
          <w:spacing w:val="-1"/>
          <w:sz w:val="21"/>
          <w:szCs w:val="21"/>
        </w:rPr>
        <w:t>说明文件，租赁设备的租赁意向书或带条件</w:t>
      </w:r>
      <w:r>
        <w:rPr>
          <w:spacing w:val="-2"/>
          <w:sz w:val="21"/>
          <w:szCs w:val="21"/>
        </w:rPr>
        <w:t>生效的租赁合同扫描件。</w:t>
      </w:r>
    </w:p>
    <w:p w14:paraId="01E82507">
      <w:pPr>
        <w:spacing w:line="344" w:lineRule="auto"/>
        <w:rPr>
          <w:sz w:val="21"/>
          <w:szCs w:val="21"/>
        </w:rPr>
        <w:sectPr>
          <w:footerReference r:id="rId382" w:type="default"/>
          <w:pgSz w:w="11910" w:h="16840"/>
          <w:pgMar w:top="400" w:right="1414" w:bottom="1147" w:left="1344" w:header="0" w:footer="1021" w:gutter="0"/>
          <w:cols w:space="720" w:num="1"/>
        </w:sectPr>
      </w:pPr>
    </w:p>
    <w:p w14:paraId="1BAD2E68">
      <w:pPr>
        <w:spacing w:line="277" w:lineRule="auto"/>
        <w:rPr>
          <w:rFonts w:ascii="Arial"/>
          <w:sz w:val="21"/>
        </w:rPr>
      </w:pPr>
    </w:p>
    <w:p w14:paraId="05A29853">
      <w:pPr>
        <w:spacing w:line="277" w:lineRule="auto"/>
        <w:rPr>
          <w:rFonts w:ascii="Arial"/>
          <w:sz w:val="21"/>
        </w:rPr>
      </w:pPr>
    </w:p>
    <w:p w14:paraId="41F8AAB7">
      <w:pPr>
        <w:spacing w:line="277" w:lineRule="auto"/>
        <w:rPr>
          <w:rFonts w:ascii="Arial"/>
          <w:sz w:val="21"/>
        </w:rPr>
      </w:pPr>
    </w:p>
    <w:p w14:paraId="7ED408EF">
      <w:pPr>
        <w:spacing w:line="277" w:lineRule="auto"/>
        <w:rPr>
          <w:rFonts w:ascii="Arial"/>
          <w:sz w:val="21"/>
        </w:rPr>
      </w:pPr>
    </w:p>
    <w:p w14:paraId="6E19FD96">
      <w:pPr>
        <w:spacing w:line="277" w:lineRule="auto"/>
        <w:rPr>
          <w:rFonts w:ascii="Arial"/>
          <w:sz w:val="21"/>
        </w:rPr>
      </w:pPr>
    </w:p>
    <w:p w14:paraId="6C05FD80">
      <w:pPr>
        <w:spacing w:line="278" w:lineRule="auto"/>
        <w:rPr>
          <w:rFonts w:ascii="Arial"/>
          <w:sz w:val="21"/>
        </w:rPr>
      </w:pPr>
    </w:p>
    <w:p w14:paraId="15BFFB44">
      <w:pPr>
        <w:pStyle w:val="2"/>
        <w:spacing w:before="82" w:line="262" w:lineRule="auto"/>
        <w:ind w:left="3318" w:right="3251" w:firstLine="80"/>
      </w:pPr>
      <w:r>
        <w:rPr>
          <w:rFonts w:ascii="黑体" w:hAnsi="黑体" w:eastAsia="黑体" w:cs="黑体"/>
          <w:b/>
          <w:bCs/>
          <w:spacing w:val="12"/>
        </w:rPr>
        <w:t>(二)近3年财务状况</w:t>
      </w:r>
      <w:r>
        <w:rPr>
          <w:rFonts w:ascii="黑体" w:hAnsi="黑体" w:eastAsia="黑体" w:cs="黑体"/>
        </w:rPr>
        <w:t xml:space="preserve"> </w:t>
      </w:r>
      <w:r>
        <w:rPr>
          <w:b/>
          <w:bCs/>
          <w:spacing w:val="-4"/>
        </w:rPr>
        <w:t>2-1近3年财务状况表</w:t>
      </w:r>
    </w:p>
    <w:tbl>
      <w:tblPr>
        <w:tblStyle w:val="5"/>
        <w:tblW w:w="889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923"/>
        <w:gridCol w:w="809"/>
        <w:gridCol w:w="1538"/>
        <w:gridCol w:w="1558"/>
        <w:gridCol w:w="1518"/>
        <w:gridCol w:w="1553"/>
      </w:tblGrid>
      <w:tr w14:paraId="25D538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4" w:hRule="atLeast"/>
        </w:trPr>
        <w:tc>
          <w:tcPr>
            <w:tcW w:w="1923" w:type="dxa"/>
            <w:vAlign w:val="top"/>
          </w:tcPr>
          <w:p w14:paraId="71620D94">
            <w:pPr>
              <w:pStyle w:val="6"/>
              <w:spacing w:before="157" w:line="221" w:lineRule="auto"/>
              <w:ind w:left="754"/>
              <w:rPr>
                <w:sz w:val="23"/>
                <w:szCs w:val="23"/>
              </w:rPr>
            </w:pPr>
            <w:r>
              <w:rPr>
                <w:spacing w:val="5"/>
                <w:sz w:val="23"/>
                <w:szCs w:val="23"/>
              </w:rPr>
              <w:t>名称</w:t>
            </w:r>
          </w:p>
        </w:tc>
        <w:tc>
          <w:tcPr>
            <w:tcW w:w="809" w:type="dxa"/>
            <w:vAlign w:val="top"/>
          </w:tcPr>
          <w:p w14:paraId="0381A601">
            <w:pPr>
              <w:pStyle w:val="6"/>
              <w:spacing w:before="155" w:line="220" w:lineRule="auto"/>
              <w:ind w:left="161"/>
              <w:rPr>
                <w:sz w:val="23"/>
                <w:szCs w:val="23"/>
              </w:rPr>
            </w:pPr>
            <w:r>
              <w:rPr>
                <w:spacing w:val="-3"/>
                <w:sz w:val="23"/>
                <w:szCs w:val="23"/>
              </w:rPr>
              <w:t>单位</w:t>
            </w:r>
          </w:p>
        </w:tc>
        <w:tc>
          <w:tcPr>
            <w:tcW w:w="1538" w:type="dxa"/>
            <w:vAlign w:val="top"/>
          </w:tcPr>
          <w:p w14:paraId="4C6FCA6B">
            <w:pPr>
              <w:pStyle w:val="6"/>
              <w:tabs>
                <w:tab w:val="left" w:pos="771"/>
              </w:tabs>
              <w:spacing w:before="154" w:line="219" w:lineRule="auto"/>
              <w:ind w:left="432"/>
              <w:rPr>
                <w:sz w:val="23"/>
                <w:szCs w:val="23"/>
              </w:rPr>
            </w:pPr>
            <w:r>
              <w:rPr>
                <w:sz w:val="23"/>
                <w:szCs w:val="23"/>
                <w:u w:val="single" w:color="auto"/>
              </w:rPr>
              <w:tab/>
            </w:r>
            <w:r>
              <w:rPr>
                <w:sz w:val="23"/>
                <w:szCs w:val="23"/>
              </w:rPr>
              <w:t>年</w:t>
            </w:r>
          </w:p>
        </w:tc>
        <w:tc>
          <w:tcPr>
            <w:tcW w:w="1558" w:type="dxa"/>
            <w:vAlign w:val="top"/>
          </w:tcPr>
          <w:p w14:paraId="5DBBA2CD">
            <w:pPr>
              <w:pStyle w:val="6"/>
              <w:tabs>
                <w:tab w:val="left" w:pos="774"/>
              </w:tabs>
              <w:spacing w:before="154" w:line="219" w:lineRule="auto"/>
              <w:ind w:left="434"/>
              <w:rPr>
                <w:sz w:val="23"/>
                <w:szCs w:val="23"/>
              </w:rPr>
            </w:pPr>
            <w:r>
              <w:rPr>
                <w:sz w:val="23"/>
                <w:szCs w:val="23"/>
                <w:u w:val="single" w:color="auto"/>
              </w:rPr>
              <w:tab/>
            </w:r>
            <w:r>
              <w:rPr>
                <w:sz w:val="23"/>
                <w:szCs w:val="23"/>
              </w:rPr>
              <w:t>年</w:t>
            </w:r>
          </w:p>
        </w:tc>
        <w:tc>
          <w:tcPr>
            <w:tcW w:w="1518" w:type="dxa"/>
            <w:vAlign w:val="top"/>
          </w:tcPr>
          <w:p w14:paraId="158F06C5">
            <w:pPr>
              <w:pStyle w:val="6"/>
              <w:tabs>
                <w:tab w:val="left" w:pos="905"/>
              </w:tabs>
              <w:spacing w:before="154" w:line="219" w:lineRule="auto"/>
              <w:ind w:left="326"/>
              <w:rPr>
                <w:sz w:val="23"/>
                <w:szCs w:val="23"/>
              </w:rPr>
            </w:pPr>
            <w:r>
              <w:rPr>
                <w:sz w:val="23"/>
                <w:szCs w:val="23"/>
                <w:u w:val="single" w:color="auto"/>
              </w:rPr>
              <w:tab/>
            </w:r>
            <w:r>
              <w:rPr>
                <w:sz w:val="23"/>
                <w:szCs w:val="23"/>
              </w:rPr>
              <w:t>年</w:t>
            </w:r>
          </w:p>
        </w:tc>
        <w:tc>
          <w:tcPr>
            <w:tcW w:w="1553" w:type="dxa"/>
            <w:vAlign w:val="top"/>
          </w:tcPr>
          <w:p w14:paraId="38E064BD">
            <w:pPr>
              <w:pStyle w:val="6"/>
              <w:spacing w:before="154" w:line="219" w:lineRule="auto"/>
              <w:ind w:left="138"/>
              <w:rPr>
                <w:sz w:val="23"/>
                <w:szCs w:val="23"/>
              </w:rPr>
            </w:pPr>
            <w:r>
              <w:rPr>
                <w:spacing w:val="-2"/>
                <w:sz w:val="23"/>
                <w:szCs w:val="23"/>
              </w:rPr>
              <w:t>近3年平均值</w:t>
            </w:r>
          </w:p>
        </w:tc>
      </w:tr>
      <w:tr w14:paraId="11C060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0" w:hRule="atLeast"/>
        </w:trPr>
        <w:tc>
          <w:tcPr>
            <w:tcW w:w="1923" w:type="dxa"/>
            <w:vAlign w:val="top"/>
          </w:tcPr>
          <w:p w14:paraId="0EC586AB">
            <w:pPr>
              <w:pStyle w:val="6"/>
              <w:spacing w:before="131" w:line="221" w:lineRule="auto"/>
              <w:ind w:left="104"/>
              <w:rPr>
                <w:sz w:val="23"/>
                <w:szCs w:val="23"/>
              </w:rPr>
            </w:pPr>
            <w:r>
              <w:rPr>
                <w:spacing w:val="2"/>
                <w:sz w:val="23"/>
                <w:szCs w:val="23"/>
              </w:rPr>
              <w:t>一.注册资金</w:t>
            </w:r>
          </w:p>
        </w:tc>
        <w:tc>
          <w:tcPr>
            <w:tcW w:w="809" w:type="dxa"/>
            <w:vAlign w:val="top"/>
          </w:tcPr>
          <w:p w14:paraId="225050DC">
            <w:pPr>
              <w:pStyle w:val="6"/>
              <w:spacing w:before="131" w:line="220" w:lineRule="auto"/>
              <w:ind w:left="161"/>
              <w:rPr>
                <w:sz w:val="23"/>
                <w:szCs w:val="23"/>
              </w:rPr>
            </w:pPr>
            <w:r>
              <w:rPr>
                <w:spacing w:val="4"/>
                <w:sz w:val="23"/>
                <w:szCs w:val="23"/>
              </w:rPr>
              <w:t>万元</w:t>
            </w:r>
          </w:p>
        </w:tc>
        <w:tc>
          <w:tcPr>
            <w:tcW w:w="1538" w:type="dxa"/>
            <w:vAlign w:val="top"/>
          </w:tcPr>
          <w:p w14:paraId="4CED2372">
            <w:pPr>
              <w:rPr>
                <w:rFonts w:ascii="Arial"/>
                <w:sz w:val="21"/>
              </w:rPr>
            </w:pPr>
          </w:p>
        </w:tc>
        <w:tc>
          <w:tcPr>
            <w:tcW w:w="1558" w:type="dxa"/>
            <w:vAlign w:val="top"/>
          </w:tcPr>
          <w:p w14:paraId="7D525AE3">
            <w:pPr>
              <w:rPr>
                <w:rFonts w:ascii="Arial"/>
                <w:sz w:val="21"/>
              </w:rPr>
            </w:pPr>
          </w:p>
        </w:tc>
        <w:tc>
          <w:tcPr>
            <w:tcW w:w="1518" w:type="dxa"/>
            <w:vAlign w:val="top"/>
          </w:tcPr>
          <w:p w14:paraId="2905086A">
            <w:pPr>
              <w:rPr>
                <w:rFonts w:ascii="Arial"/>
                <w:sz w:val="21"/>
              </w:rPr>
            </w:pPr>
          </w:p>
        </w:tc>
        <w:tc>
          <w:tcPr>
            <w:tcW w:w="1553" w:type="dxa"/>
            <w:vAlign w:val="top"/>
          </w:tcPr>
          <w:p w14:paraId="04F17CA1">
            <w:pPr>
              <w:pStyle w:val="6"/>
              <w:spacing w:before="241" w:line="47" w:lineRule="exact"/>
              <w:ind w:left="738"/>
              <w:rPr>
                <w:sz w:val="6"/>
                <w:szCs w:val="6"/>
              </w:rPr>
            </w:pPr>
            <w:r>
              <w:rPr>
                <w:position w:val="-1"/>
                <w:sz w:val="6"/>
                <w:szCs w:val="6"/>
              </w:rPr>
              <w:t>一</w:t>
            </w:r>
          </w:p>
        </w:tc>
      </w:tr>
      <w:tr w14:paraId="6DF216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9" w:hRule="atLeast"/>
        </w:trPr>
        <w:tc>
          <w:tcPr>
            <w:tcW w:w="1923" w:type="dxa"/>
            <w:vAlign w:val="top"/>
          </w:tcPr>
          <w:p w14:paraId="295713E4">
            <w:pPr>
              <w:pStyle w:val="6"/>
              <w:spacing w:before="150" w:line="219" w:lineRule="auto"/>
              <w:ind w:left="104"/>
              <w:rPr>
                <w:sz w:val="23"/>
                <w:szCs w:val="23"/>
              </w:rPr>
            </w:pPr>
            <w:r>
              <w:rPr>
                <w:spacing w:val="3"/>
                <w:sz w:val="23"/>
                <w:szCs w:val="23"/>
              </w:rPr>
              <w:t>二.净资产</w:t>
            </w:r>
          </w:p>
        </w:tc>
        <w:tc>
          <w:tcPr>
            <w:tcW w:w="809" w:type="dxa"/>
            <w:vAlign w:val="top"/>
          </w:tcPr>
          <w:p w14:paraId="20B25B72">
            <w:pPr>
              <w:pStyle w:val="6"/>
              <w:spacing w:before="151" w:line="220" w:lineRule="auto"/>
              <w:ind w:left="161"/>
              <w:rPr>
                <w:sz w:val="23"/>
                <w:szCs w:val="23"/>
              </w:rPr>
            </w:pPr>
            <w:r>
              <w:rPr>
                <w:spacing w:val="4"/>
                <w:sz w:val="23"/>
                <w:szCs w:val="23"/>
              </w:rPr>
              <w:t>万元</w:t>
            </w:r>
          </w:p>
        </w:tc>
        <w:tc>
          <w:tcPr>
            <w:tcW w:w="1538" w:type="dxa"/>
            <w:vAlign w:val="top"/>
          </w:tcPr>
          <w:p w14:paraId="61E70970">
            <w:pPr>
              <w:rPr>
                <w:rFonts w:ascii="Arial"/>
                <w:sz w:val="21"/>
              </w:rPr>
            </w:pPr>
          </w:p>
        </w:tc>
        <w:tc>
          <w:tcPr>
            <w:tcW w:w="1558" w:type="dxa"/>
            <w:vAlign w:val="top"/>
          </w:tcPr>
          <w:p w14:paraId="696C8D42">
            <w:pPr>
              <w:rPr>
                <w:rFonts w:ascii="Arial"/>
                <w:sz w:val="21"/>
              </w:rPr>
            </w:pPr>
          </w:p>
        </w:tc>
        <w:tc>
          <w:tcPr>
            <w:tcW w:w="1518" w:type="dxa"/>
            <w:vAlign w:val="top"/>
          </w:tcPr>
          <w:p w14:paraId="4ECDA409">
            <w:pPr>
              <w:rPr>
                <w:rFonts w:ascii="Arial"/>
                <w:sz w:val="21"/>
              </w:rPr>
            </w:pPr>
          </w:p>
        </w:tc>
        <w:tc>
          <w:tcPr>
            <w:tcW w:w="1553" w:type="dxa"/>
            <w:vAlign w:val="top"/>
          </w:tcPr>
          <w:p w14:paraId="4E49551C">
            <w:pPr>
              <w:pStyle w:val="6"/>
              <w:spacing w:before="251" w:line="47" w:lineRule="exact"/>
              <w:ind w:left="738"/>
              <w:rPr>
                <w:sz w:val="6"/>
                <w:szCs w:val="6"/>
              </w:rPr>
            </w:pPr>
            <w:r>
              <w:rPr>
                <w:position w:val="-1"/>
                <w:sz w:val="6"/>
                <w:szCs w:val="6"/>
              </w:rPr>
              <w:t>一</w:t>
            </w:r>
          </w:p>
        </w:tc>
      </w:tr>
      <w:tr w14:paraId="6BAB2C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1923" w:type="dxa"/>
            <w:vAlign w:val="top"/>
          </w:tcPr>
          <w:p w14:paraId="67E9A610">
            <w:pPr>
              <w:pStyle w:val="6"/>
              <w:spacing w:before="141" w:line="219" w:lineRule="auto"/>
              <w:ind w:left="104"/>
              <w:rPr>
                <w:sz w:val="23"/>
                <w:szCs w:val="23"/>
              </w:rPr>
            </w:pPr>
            <w:r>
              <w:rPr>
                <w:spacing w:val="3"/>
                <w:sz w:val="23"/>
                <w:szCs w:val="23"/>
              </w:rPr>
              <w:t>三.总资产</w:t>
            </w:r>
          </w:p>
        </w:tc>
        <w:tc>
          <w:tcPr>
            <w:tcW w:w="809" w:type="dxa"/>
            <w:vAlign w:val="top"/>
          </w:tcPr>
          <w:p w14:paraId="507AE0EE">
            <w:pPr>
              <w:pStyle w:val="6"/>
              <w:spacing w:before="142" w:line="220" w:lineRule="auto"/>
              <w:ind w:left="161"/>
              <w:rPr>
                <w:sz w:val="23"/>
                <w:szCs w:val="23"/>
              </w:rPr>
            </w:pPr>
            <w:r>
              <w:rPr>
                <w:spacing w:val="4"/>
                <w:sz w:val="23"/>
                <w:szCs w:val="23"/>
              </w:rPr>
              <w:t>万元</w:t>
            </w:r>
          </w:p>
        </w:tc>
        <w:tc>
          <w:tcPr>
            <w:tcW w:w="1538" w:type="dxa"/>
            <w:vAlign w:val="top"/>
          </w:tcPr>
          <w:p w14:paraId="598275BD">
            <w:pPr>
              <w:rPr>
                <w:rFonts w:ascii="Arial"/>
                <w:sz w:val="21"/>
              </w:rPr>
            </w:pPr>
          </w:p>
        </w:tc>
        <w:tc>
          <w:tcPr>
            <w:tcW w:w="1558" w:type="dxa"/>
            <w:vAlign w:val="top"/>
          </w:tcPr>
          <w:p w14:paraId="5FA22115">
            <w:pPr>
              <w:rPr>
                <w:rFonts w:ascii="Arial"/>
                <w:sz w:val="21"/>
              </w:rPr>
            </w:pPr>
          </w:p>
        </w:tc>
        <w:tc>
          <w:tcPr>
            <w:tcW w:w="1518" w:type="dxa"/>
            <w:vAlign w:val="top"/>
          </w:tcPr>
          <w:p w14:paraId="60A6BB99">
            <w:pPr>
              <w:rPr>
                <w:rFonts w:ascii="Arial"/>
                <w:sz w:val="21"/>
              </w:rPr>
            </w:pPr>
          </w:p>
        </w:tc>
        <w:tc>
          <w:tcPr>
            <w:tcW w:w="1553" w:type="dxa"/>
            <w:vAlign w:val="top"/>
          </w:tcPr>
          <w:p w14:paraId="752AB51B">
            <w:pPr>
              <w:rPr>
                <w:rFonts w:ascii="Arial"/>
                <w:sz w:val="21"/>
              </w:rPr>
            </w:pPr>
          </w:p>
        </w:tc>
      </w:tr>
      <w:tr w14:paraId="48ECCA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9" w:hRule="atLeast"/>
        </w:trPr>
        <w:tc>
          <w:tcPr>
            <w:tcW w:w="1923" w:type="dxa"/>
            <w:vAlign w:val="top"/>
          </w:tcPr>
          <w:p w14:paraId="7A0E6388">
            <w:pPr>
              <w:pStyle w:val="6"/>
              <w:spacing w:before="141" w:line="219" w:lineRule="auto"/>
              <w:ind w:left="104"/>
              <w:rPr>
                <w:sz w:val="23"/>
                <w:szCs w:val="23"/>
              </w:rPr>
            </w:pPr>
            <w:r>
              <w:rPr>
                <w:spacing w:val="3"/>
                <w:sz w:val="23"/>
                <w:szCs w:val="23"/>
              </w:rPr>
              <w:t>四.固定资产</w:t>
            </w:r>
          </w:p>
        </w:tc>
        <w:tc>
          <w:tcPr>
            <w:tcW w:w="809" w:type="dxa"/>
            <w:vAlign w:val="top"/>
          </w:tcPr>
          <w:p w14:paraId="5674A0B3">
            <w:pPr>
              <w:pStyle w:val="6"/>
              <w:spacing w:before="142" w:line="220" w:lineRule="auto"/>
              <w:ind w:left="161"/>
              <w:rPr>
                <w:sz w:val="23"/>
                <w:szCs w:val="23"/>
              </w:rPr>
            </w:pPr>
            <w:r>
              <w:rPr>
                <w:spacing w:val="4"/>
                <w:sz w:val="23"/>
                <w:szCs w:val="23"/>
              </w:rPr>
              <w:t>万元</w:t>
            </w:r>
          </w:p>
        </w:tc>
        <w:tc>
          <w:tcPr>
            <w:tcW w:w="1538" w:type="dxa"/>
            <w:vAlign w:val="top"/>
          </w:tcPr>
          <w:p w14:paraId="1971F9DE">
            <w:pPr>
              <w:rPr>
                <w:rFonts w:ascii="Arial"/>
                <w:sz w:val="21"/>
              </w:rPr>
            </w:pPr>
          </w:p>
        </w:tc>
        <w:tc>
          <w:tcPr>
            <w:tcW w:w="1558" w:type="dxa"/>
            <w:vAlign w:val="top"/>
          </w:tcPr>
          <w:p w14:paraId="35402BD8">
            <w:pPr>
              <w:rPr>
                <w:rFonts w:ascii="Arial"/>
                <w:sz w:val="21"/>
              </w:rPr>
            </w:pPr>
          </w:p>
        </w:tc>
        <w:tc>
          <w:tcPr>
            <w:tcW w:w="1518" w:type="dxa"/>
            <w:vAlign w:val="top"/>
          </w:tcPr>
          <w:p w14:paraId="3E1A521E">
            <w:pPr>
              <w:rPr>
                <w:rFonts w:ascii="Arial"/>
                <w:sz w:val="21"/>
              </w:rPr>
            </w:pPr>
          </w:p>
        </w:tc>
        <w:tc>
          <w:tcPr>
            <w:tcW w:w="1553" w:type="dxa"/>
            <w:vAlign w:val="top"/>
          </w:tcPr>
          <w:p w14:paraId="74989854">
            <w:pPr>
              <w:pStyle w:val="6"/>
              <w:spacing w:before="242" w:line="47" w:lineRule="exact"/>
              <w:ind w:left="738"/>
              <w:rPr>
                <w:sz w:val="6"/>
                <w:szCs w:val="6"/>
              </w:rPr>
            </w:pPr>
            <w:r>
              <w:rPr>
                <w:position w:val="-1"/>
                <w:sz w:val="6"/>
                <w:szCs w:val="6"/>
              </w:rPr>
              <w:t>一</w:t>
            </w:r>
          </w:p>
        </w:tc>
      </w:tr>
      <w:tr w14:paraId="07BFD7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1923" w:type="dxa"/>
            <w:vAlign w:val="top"/>
          </w:tcPr>
          <w:p w14:paraId="75D7A889">
            <w:pPr>
              <w:pStyle w:val="6"/>
              <w:spacing w:before="142" w:line="219" w:lineRule="auto"/>
              <w:ind w:left="104"/>
              <w:rPr>
                <w:sz w:val="23"/>
                <w:szCs w:val="23"/>
              </w:rPr>
            </w:pPr>
            <w:r>
              <w:rPr>
                <w:spacing w:val="3"/>
                <w:sz w:val="23"/>
                <w:szCs w:val="23"/>
              </w:rPr>
              <w:t>五.流动资产</w:t>
            </w:r>
          </w:p>
        </w:tc>
        <w:tc>
          <w:tcPr>
            <w:tcW w:w="809" w:type="dxa"/>
            <w:vAlign w:val="top"/>
          </w:tcPr>
          <w:p w14:paraId="1251425A">
            <w:pPr>
              <w:pStyle w:val="6"/>
              <w:spacing w:before="143" w:line="220" w:lineRule="auto"/>
              <w:ind w:left="161"/>
              <w:rPr>
                <w:sz w:val="23"/>
                <w:szCs w:val="23"/>
              </w:rPr>
            </w:pPr>
            <w:r>
              <w:rPr>
                <w:spacing w:val="4"/>
                <w:sz w:val="23"/>
                <w:szCs w:val="23"/>
              </w:rPr>
              <w:t>万元</w:t>
            </w:r>
          </w:p>
        </w:tc>
        <w:tc>
          <w:tcPr>
            <w:tcW w:w="1538" w:type="dxa"/>
            <w:vAlign w:val="top"/>
          </w:tcPr>
          <w:p w14:paraId="5DB38311">
            <w:pPr>
              <w:rPr>
                <w:rFonts w:ascii="Arial"/>
                <w:sz w:val="21"/>
              </w:rPr>
            </w:pPr>
          </w:p>
        </w:tc>
        <w:tc>
          <w:tcPr>
            <w:tcW w:w="1558" w:type="dxa"/>
            <w:vAlign w:val="top"/>
          </w:tcPr>
          <w:p w14:paraId="7575E8F9">
            <w:pPr>
              <w:rPr>
                <w:rFonts w:ascii="Arial"/>
                <w:sz w:val="21"/>
              </w:rPr>
            </w:pPr>
          </w:p>
        </w:tc>
        <w:tc>
          <w:tcPr>
            <w:tcW w:w="1518" w:type="dxa"/>
            <w:vAlign w:val="top"/>
          </w:tcPr>
          <w:p w14:paraId="72F5A6CB">
            <w:pPr>
              <w:rPr>
                <w:rFonts w:ascii="Arial"/>
                <w:sz w:val="21"/>
              </w:rPr>
            </w:pPr>
          </w:p>
        </w:tc>
        <w:tc>
          <w:tcPr>
            <w:tcW w:w="1553" w:type="dxa"/>
            <w:vAlign w:val="top"/>
          </w:tcPr>
          <w:p w14:paraId="69D1E91F">
            <w:pPr>
              <w:rPr>
                <w:rFonts w:ascii="Arial"/>
                <w:sz w:val="21"/>
              </w:rPr>
            </w:pPr>
          </w:p>
        </w:tc>
      </w:tr>
      <w:tr w14:paraId="785906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9" w:hRule="atLeast"/>
        </w:trPr>
        <w:tc>
          <w:tcPr>
            <w:tcW w:w="1923" w:type="dxa"/>
            <w:vAlign w:val="top"/>
          </w:tcPr>
          <w:p w14:paraId="5C6395D9">
            <w:pPr>
              <w:pStyle w:val="6"/>
              <w:spacing w:before="152" w:line="219" w:lineRule="auto"/>
              <w:ind w:left="104"/>
              <w:rPr>
                <w:sz w:val="23"/>
                <w:szCs w:val="23"/>
              </w:rPr>
            </w:pPr>
            <w:r>
              <w:rPr>
                <w:spacing w:val="2"/>
                <w:sz w:val="23"/>
                <w:szCs w:val="23"/>
              </w:rPr>
              <w:t>六.流动负债</w:t>
            </w:r>
          </w:p>
        </w:tc>
        <w:tc>
          <w:tcPr>
            <w:tcW w:w="809" w:type="dxa"/>
            <w:vAlign w:val="top"/>
          </w:tcPr>
          <w:p w14:paraId="79B017C9">
            <w:pPr>
              <w:pStyle w:val="6"/>
              <w:spacing w:before="153" w:line="220" w:lineRule="auto"/>
              <w:ind w:left="161"/>
              <w:rPr>
                <w:sz w:val="23"/>
                <w:szCs w:val="23"/>
              </w:rPr>
            </w:pPr>
            <w:r>
              <w:rPr>
                <w:spacing w:val="4"/>
                <w:sz w:val="23"/>
                <w:szCs w:val="23"/>
              </w:rPr>
              <w:t>万元</w:t>
            </w:r>
          </w:p>
        </w:tc>
        <w:tc>
          <w:tcPr>
            <w:tcW w:w="1538" w:type="dxa"/>
            <w:vAlign w:val="top"/>
          </w:tcPr>
          <w:p w14:paraId="1EF14A96">
            <w:pPr>
              <w:rPr>
                <w:rFonts w:ascii="Arial"/>
                <w:sz w:val="21"/>
              </w:rPr>
            </w:pPr>
          </w:p>
        </w:tc>
        <w:tc>
          <w:tcPr>
            <w:tcW w:w="1558" w:type="dxa"/>
            <w:vAlign w:val="top"/>
          </w:tcPr>
          <w:p w14:paraId="0AC9B093">
            <w:pPr>
              <w:rPr>
                <w:rFonts w:ascii="Arial"/>
                <w:sz w:val="21"/>
              </w:rPr>
            </w:pPr>
          </w:p>
        </w:tc>
        <w:tc>
          <w:tcPr>
            <w:tcW w:w="1518" w:type="dxa"/>
            <w:vAlign w:val="top"/>
          </w:tcPr>
          <w:p w14:paraId="69DDD3E2">
            <w:pPr>
              <w:rPr>
                <w:rFonts w:ascii="Arial"/>
                <w:sz w:val="21"/>
              </w:rPr>
            </w:pPr>
          </w:p>
        </w:tc>
        <w:tc>
          <w:tcPr>
            <w:tcW w:w="1553" w:type="dxa"/>
            <w:vAlign w:val="top"/>
          </w:tcPr>
          <w:p w14:paraId="157C3A0F">
            <w:pPr>
              <w:rPr>
                <w:rFonts w:ascii="Arial"/>
                <w:sz w:val="21"/>
              </w:rPr>
            </w:pPr>
          </w:p>
        </w:tc>
      </w:tr>
      <w:tr w14:paraId="6DA208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0" w:hRule="atLeast"/>
        </w:trPr>
        <w:tc>
          <w:tcPr>
            <w:tcW w:w="1923" w:type="dxa"/>
            <w:vAlign w:val="top"/>
          </w:tcPr>
          <w:p w14:paraId="24A85F26">
            <w:pPr>
              <w:pStyle w:val="6"/>
              <w:spacing w:before="143" w:line="219" w:lineRule="auto"/>
              <w:ind w:left="104"/>
              <w:rPr>
                <w:sz w:val="23"/>
                <w:szCs w:val="23"/>
              </w:rPr>
            </w:pPr>
            <w:r>
              <w:rPr>
                <w:spacing w:val="2"/>
                <w:sz w:val="23"/>
                <w:szCs w:val="23"/>
              </w:rPr>
              <w:t>七.负债合计</w:t>
            </w:r>
          </w:p>
        </w:tc>
        <w:tc>
          <w:tcPr>
            <w:tcW w:w="809" w:type="dxa"/>
            <w:vAlign w:val="top"/>
          </w:tcPr>
          <w:p w14:paraId="6BA0603C">
            <w:pPr>
              <w:pStyle w:val="6"/>
              <w:spacing w:before="144" w:line="220" w:lineRule="auto"/>
              <w:ind w:left="161"/>
              <w:rPr>
                <w:sz w:val="23"/>
                <w:szCs w:val="23"/>
              </w:rPr>
            </w:pPr>
            <w:r>
              <w:rPr>
                <w:spacing w:val="4"/>
                <w:sz w:val="23"/>
                <w:szCs w:val="23"/>
              </w:rPr>
              <w:t>万元</w:t>
            </w:r>
          </w:p>
        </w:tc>
        <w:tc>
          <w:tcPr>
            <w:tcW w:w="1538" w:type="dxa"/>
            <w:vAlign w:val="top"/>
          </w:tcPr>
          <w:p w14:paraId="5CF97C8C">
            <w:pPr>
              <w:rPr>
                <w:rFonts w:ascii="Arial"/>
                <w:sz w:val="21"/>
              </w:rPr>
            </w:pPr>
          </w:p>
        </w:tc>
        <w:tc>
          <w:tcPr>
            <w:tcW w:w="1558" w:type="dxa"/>
            <w:vAlign w:val="top"/>
          </w:tcPr>
          <w:p w14:paraId="6067397E">
            <w:pPr>
              <w:rPr>
                <w:rFonts w:ascii="Arial"/>
                <w:sz w:val="21"/>
              </w:rPr>
            </w:pPr>
          </w:p>
        </w:tc>
        <w:tc>
          <w:tcPr>
            <w:tcW w:w="1518" w:type="dxa"/>
            <w:vAlign w:val="top"/>
          </w:tcPr>
          <w:p w14:paraId="57581197">
            <w:pPr>
              <w:rPr>
                <w:rFonts w:ascii="Arial"/>
                <w:sz w:val="21"/>
              </w:rPr>
            </w:pPr>
          </w:p>
        </w:tc>
        <w:tc>
          <w:tcPr>
            <w:tcW w:w="1553" w:type="dxa"/>
            <w:vAlign w:val="top"/>
          </w:tcPr>
          <w:p w14:paraId="639BD805">
            <w:pPr>
              <w:rPr>
                <w:rFonts w:ascii="Arial"/>
                <w:sz w:val="21"/>
              </w:rPr>
            </w:pPr>
          </w:p>
        </w:tc>
      </w:tr>
      <w:tr w14:paraId="6EBE9E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9" w:hRule="atLeast"/>
        </w:trPr>
        <w:tc>
          <w:tcPr>
            <w:tcW w:w="1923" w:type="dxa"/>
            <w:vAlign w:val="top"/>
          </w:tcPr>
          <w:p w14:paraId="039ED1A9">
            <w:pPr>
              <w:pStyle w:val="6"/>
              <w:spacing w:before="153" w:line="219" w:lineRule="auto"/>
              <w:ind w:left="104"/>
              <w:rPr>
                <w:sz w:val="23"/>
                <w:szCs w:val="23"/>
              </w:rPr>
            </w:pPr>
            <w:r>
              <w:rPr>
                <w:spacing w:val="2"/>
                <w:sz w:val="23"/>
                <w:szCs w:val="23"/>
              </w:rPr>
              <w:t>八.营业收入</w:t>
            </w:r>
          </w:p>
        </w:tc>
        <w:tc>
          <w:tcPr>
            <w:tcW w:w="809" w:type="dxa"/>
            <w:vAlign w:val="top"/>
          </w:tcPr>
          <w:p w14:paraId="4A673DCE">
            <w:pPr>
              <w:pStyle w:val="6"/>
              <w:spacing w:before="154" w:line="220" w:lineRule="auto"/>
              <w:ind w:left="161"/>
              <w:rPr>
                <w:sz w:val="23"/>
                <w:szCs w:val="23"/>
              </w:rPr>
            </w:pPr>
            <w:r>
              <w:rPr>
                <w:spacing w:val="4"/>
                <w:sz w:val="23"/>
                <w:szCs w:val="23"/>
              </w:rPr>
              <w:t>万元</w:t>
            </w:r>
          </w:p>
        </w:tc>
        <w:tc>
          <w:tcPr>
            <w:tcW w:w="1538" w:type="dxa"/>
            <w:vAlign w:val="top"/>
          </w:tcPr>
          <w:p w14:paraId="63F5AA55">
            <w:pPr>
              <w:rPr>
                <w:rFonts w:ascii="Arial"/>
                <w:sz w:val="21"/>
              </w:rPr>
            </w:pPr>
          </w:p>
        </w:tc>
        <w:tc>
          <w:tcPr>
            <w:tcW w:w="1558" w:type="dxa"/>
            <w:vAlign w:val="top"/>
          </w:tcPr>
          <w:p w14:paraId="15AE968A">
            <w:pPr>
              <w:rPr>
                <w:rFonts w:ascii="Arial"/>
                <w:sz w:val="21"/>
              </w:rPr>
            </w:pPr>
          </w:p>
        </w:tc>
        <w:tc>
          <w:tcPr>
            <w:tcW w:w="1518" w:type="dxa"/>
            <w:vAlign w:val="top"/>
          </w:tcPr>
          <w:p w14:paraId="299903C7">
            <w:pPr>
              <w:rPr>
                <w:rFonts w:ascii="Arial"/>
                <w:sz w:val="21"/>
              </w:rPr>
            </w:pPr>
          </w:p>
        </w:tc>
        <w:tc>
          <w:tcPr>
            <w:tcW w:w="1553" w:type="dxa"/>
            <w:vAlign w:val="top"/>
          </w:tcPr>
          <w:p w14:paraId="6F91CC6B">
            <w:pPr>
              <w:rPr>
                <w:rFonts w:ascii="Arial"/>
                <w:sz w:val="21"/>
              </w:rPr>
            </w:pPr>
          </w:p>
        </w:tc>
      </w:tr>
      <w:tr w14:paraId="6379AC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atLeast"/>
        </w:trPr>
        <w:tc>
          <w:tcPr>
            <w:tcW w:w="1923" w:type="dxa"/>
            <w:vAlign w:val="top"/>
          </w:tcPr>
          <w:p w14:paraId="31FFA046">
            <w:pPr>
              <w:pStyle w:val="6"/>
              <w:spacing w:before="145" w:line="220" w:lineRule="auto"/>
              <w:ind w:left="104"/>
              <w:rPr>
                <w:sz w:val="23"/>
                <w:szCs w:val="23"/>
              </w:rPr>
            </w:pPr>
            <w:r>
              <w:rPr>
                <w:spacing w:val="4"/>
                <w:sz w:val="23"/>
                <w:szCs w:val="23"/>
              </w:rPr>
              <w:t>九.净利润</w:t>
            </w:r>
          </w:p>
        </w:tc>
        <w:tc>
          <w:tcPr>
            <w:tcW w:w="809" w:type="dxa"/>
            <w:vAlign w:val="top"/>
          </w:tcPr>
          <w:p w14:paraId="7ABB612C">
            <w:pPr>
              <w:pStyle w:val="6"/>
              <w:spacing w:before="145" w:line="220" w:lineRule="auto"/>
              <w:ind w:left="161"/>
              <w:rPr>
                <w:sz w:val="23"/>
                <w:szCs w:val="23"/>
              </w:rPr>
            </w:pPr>
            <w:r>
              <w:rPr>
                <w:spacing w:val="4"/>
                <w:sz w:val="23"/>
                <w:szCs w:val="23"/>
              </w:rPr>
              <w:t>万元</w:t>
            </w:r>
          </w:p>
        </w:tc>
        <w:tc>
          <w:tcPr>
            <w:tcW w:w="1538" w:type="dxa"/>
            <w:vAlign w:val="top"/>
          </w:tcPr>
          <w:p w14:paraId="546FD7FF">
            <w:pPr>
              <w:rPr>
                <w:rFonts w:ascii="Arial"/>
                <w:sz w:val="21"/>
              </w:rPr>
            </w:pPr>
          </w:p>
        </w:tc>
        <w:tc>
          <w:tcPr>
            <w:tcW w:w="1558" w:type="dxa"/>
            <w:vAlign w:val="top"/>
          </w:tcPr>
          <w:p w14:paraId="0BEC9A5E">
            <w:pPr>
              <w:rPr>
                <w:rFonts w:ascii="Arial"/>
                <w:sz w:val="21"/>
              </w:rPr>
            </w:pPr>
          </w:p>
        </w:tc>
        <w:tc>
          <w:tcPr>
            <w:tcW w:w="1518" w:type="dxa"/>
            <w:vAlign w:val="top"/>
          </w:tcPr>
          <w:p w14:paraId="598E692B">
            <w:pPr>
              <w:rPr>
                <w:rFonts w:ascii="Arial"/>
                <w:sz w:val="21"/>
              </w:rPr>
            </w:pPr>
          </w:p>
        </w:tc>
        <w:tc>
          <w:tcPr>
            <w:tcW w:w="1553" w:type="dxa"/>
            <w:vAlign w:val="top"/>
          </w:tcPr>
          <w:p w14:paraId="5DBFDE78">
            <w:pPr>
              <w:pStyle w:val="6"/>
              <w:spacing w:before="255" w:line="47" w:lineRule="exact"/>
              <w:ind w:left="738"/>
              <w:rPr>
                <w:sz w:val="6"/>
                <w:szCs w:val="6"/>
              </w:rPr>
            </w:pPr>
            <w:r>
              <w:rPr>
                <w:position w:val="-1"/>
                <w:sz w:val="6"/>
                <w:szCs w:val="6"/>
              </w:rPr>
              <w:t>一</w:t>
            </w:r>
          </w:p>
        </w:tc>
      </w:tr>
      <w:tr w14:paraId="1FC503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0" w:hRule="atLeast"/>
        </w:trPr>
        <w:tc>
          <w:tcPr>
            <w:tcW w:w="1923" w:type="dxa"/>
            <w:vAlign w:val="top"/>
          </w:tcPr>
          <w:p w14:paraId="3DA31DCE">
            <w:pPr>
              <w:pStyle w:val="6"/>
              <w:spacing w:before="145" w:line="219" w:lineRule="auto"/>
              <w:ind w:left="104"/>
              <w:rPr>
                <w:sz w:val="23"/>
                <w:szCs w:val="23"/>
              </w:rPr>
            </w:pPr>
            <w:r>
              <w:rPr>
                <w:spacing w:val="1"/>
                <w:sz w:val="23"/>
                <w:szCs w:val="23"/>
              </w:rPr>
              <w:t>十.现金流量净额</w:t>
            </w:r>
          </w:p>
        </w:tc>
        <w:tc>
          <w:tcPr>
            <w:tcW w:w="809" w:type="dxa"/>
            <w:vAlign w:val="top"/>
          </w:tcPr>
          <w:p w14:paraId="704DF73C">
            <w:pPr>
              <w:pStyle w:val="6"/>
              <w:spacing w:before="146" w:line="220" w:lineRule="auto"/>
              <w:ind w:left="161"/>
              <w:rPr>
                <w:sz w:val="23"/>
                <w:szCs w:val="23"/>
              </w:rPr>
            </w:pPr>
            <w:r>
              <w:rPr>
                <w:spacing w:val="4"/>
                <w:sz w:val="23"/>
                <w:szCs w:val="23"/>
              </w:rPr>
              <w:t>万元</w:t>
            </w:r>
          </w:p>
        </w:tc>
        <w:tc>
          <w:tcPr>
            <w:tcW w:w="1538" w:type="dxa"/>
            <w:vAlign w:val="top"/>
          </w:tcPr>
          <w:p w14:paraId="19BD053E">
            <w:pPr>
              <w:rPr>
                <w:rFonts w:ascii="Arial"/>
                <w:sz w:val="21"/>
              </w:rPr>
            </w:pPr>
          </w:p>
        </w:tc>
        <w:tc>
          <w:tcPr>
            <w:tcW w:w="1558" w:type="dxa"/>
            <w:vAlign w:val="top"/>
          </w:tcPr>
          <w:p w14:paraId="108AE44C">
            <w:pPr>
              <w:rPr>
                <w:rFonts w:ascii="Arial"/>
                <w:sz w:val="21"/>
              </w:rPr>
            </w:pPr>
          </w:p>
        </w:tc>
        <w:tc>
          <w:tcPr>
            <w:tcW w:w="1518" w:type="dxa"/>
            <w:vAlign w:val="top"/>
          </w:tcPr>
          <w:p w14:paraId="00562CC8">
            <w:pPr>
              <w:rPr>
                <w:rFonts w:ascii="Arial"/>
                <w:sz w:val="21"/>
              </w:rPr>
            </w:pPr>
          </w:p>
        </w:tc>
        <w:tc>
          <w:tcPr>
            <w:tcW w:w="1553" w:type="dxa"/>
            <w:vAlign w:val="top"/>
          </w:tcPr>
          <w:p w14:paraId="6C000443">
            <w:pPr>
              <w:pStyle w:val="6"/>
              <w:spacing w:before="246" w:line="47" w:lineRule="exact"/>
              <w:ind w:left="738"/>
              <w:rPr>
                <w:sz w:val="6"/>
                <w:szCs w:val="6"/>
              </w:rPr>
            </w:pPr>
            <w:r>
              <w:rPr>
                <w:position w:val="-1"/>
                <w:sz w:val="6"/>
                <w:szCs w:val="6"/>
              </w:rPr>
              <w:t>一</w:t>
            </w:r>
          </w:p>
        </w:tc>
      </w:tr>
      <w:tr w14:paraId="4438E7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9" w:hRule="atLeast"/>
        </w:trPr>
        <w:tc>
          <w:tcPr>
            <w:tcW w:w="1923" w:type="dxa"/>
            <w:vAlign w:val="top"/>
          </w:tcPr>
          <w:p w14:paraId="165C42C0">
            <w:pPr>
              <w:pStyle w:val="6"/>
              <w:spacing w:before="35" w:line="206" w:lineRule="auto"/>
              <w:ind w:left="104" w:right="72"/>
              <w:rPr>
                <w:sz w:val="23"/>
                <w:szCs w:val="23"/>
              </w:rPr>
            </w:pPr>
            <w:r>
              <w:rPr>
                <w:spacing w:val="1"/>
                <w:sz w:val="23"/>
                <w:szCs w:val="23"/>
              </w:rPr>
              <w:t xml:space="preserve">十一.主要财务指 </w:t>
            </w:r>
            <w:r>
              <w:rPr>
                <w:sz w:val="23"/>
                <w:szCs w:val="23"/>
              </w:rPr>
              <w:t>标</w:t>
            </w:r>
          </w:p>
        </w:tc>
        <w:tc>
          <w:tcPr>
            <w:tcW w:w="809" w:type="dxa"/>
            <w:vAlign w:val="top"/>
          </w:tcPr>
          <w:p w14:paraId="28C9BF8B">
            <w:pPr>
              <w:rPr>
                <w:rFonts w:ascii="Arial"/>
                <w:sz w:val="21"/>
              </w:rPr>
            </w:pPr>
          </w:p>
        </w:tc>
        <w:tc>
          <w:tcPr>
            <w:tcW w:w="1538" w:type="dxa"/>
            <w:vAlign w:val="top"/>
          </w:tcPr>
          <w:p w14:paraId="26DADE3E">
            <w:pPr>
              <w:rPr>
                <w:rFonts w:ascii="Arial"/>
                <w:sz w:val="21"/>
              </w:rPr>
            </w:pPr>
          </w:p>
        </w:tc>
        <w:tc>
          <w:tcPr>
            <w:tcW w:w="1558" w:type="dxa"/>
            <w:vAlign w:val="top"/>
          </w:tcPr>
          <w:p w14:paraId="0E1CAB61">
            <w:pPr>
              <w:rPr>
                <w:rFonts w:ascii="Arial"/>
                <w:sz w:val="21"/>
              </w:rPr>
            </w:pPr>
          </w:p>
        </w:tc>
        <w:tc>
          <w:tcPr>
            <w:tcW w:w="1518" w:type="dxa"/>
            <w:vAlign w:val="top"/>
          </w:tcPr>
          <w:p w14:paraId="498B3CCC">
            <w:pPr>
              <w:rPr>
                <w:rFonts w:ascii="Arial"/>
                <w:sz w:val="21"/>
              </w:rPr>
            </w:pPr>
          </w:p>
        </w:tc>
        <w:tc>
          <w:tcPr>
            <w:tcW w:w="1553" w:type="dxa"/>
            <w:vAlign w:val="top"/>
          </w:tcPr>
          <w:p w14:paraId="3F4DE066">
            <w:pPr>
              <w:spacing w:line="255" w:lineRule="auto"/>
              <w:rPr>
                <w:rFonts w:ascii="Arial"/>
                <w:sz w:val="21"/>
              </w:rPr>
            </w:pPr>
          </w:p>
          <w:p w14:paraId="761EAABC">
            <w:pPr>
              <w:pStyle w:val="6"/>
              <w:spacing w:before="20" w:line="46" w:lineRule="exact"/>
              <w:ind w:left="738"/>
              <w:rPr>
                <w:sz w:val="6"/>
                <w:szCs w:val="6"/>
              </w:rPr>
            </w:pPr>
            <w:r>
              <w:rPr>
                <w:position w:val="-1"/>
                <w:sz w:val="6"/>
                <w:szCs w:val="6"/>
              </w:rPr>
              <w:t>一</w:t>
            </w:r>
          </w:p>
        </w:tc>
      </w:tr>
      <w:tr w14:paraId="4BF1ED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1923" w:type="dxa"/>
            <w:vAlign w:val="top"/>
          </w:tcPr>
          <w:p w14:paraId="5D5F6B97">
            <w:pPr>
              <w:pStyle w:val="6"/>
              <w:spacing w:before="136" w:line="219" w:lineRule="auto"/>
              <w:ind w:left="104"/>
              <w:rPr>
                <w:sz w:val="23"/>
                <w:szCs w:val="23"/>
              </w:rPr>
            </w:pPr>
            <w:r>
              <w:rPr>
                <w:spacing w:val="1"/>
                <w:sz w:val="23"/>
                <w:szCs w:val="23"/>
              </w:rPr>
              <w:t>1.净资产收益率</w:t>
            </w:r>
          </w:p>
        </w:tc>
        <w:tc>
          <w:tcPr>
            <w:tcW w:w="809" w:type="dxa"/>
            <w:vAlign w:val="top"/>
          </w:tcPr>
          <w:p w14:paraId="27CB5EE6">
            <w:pPr>
              <w:pStyle w:val="6"/>
              <w:spacing w:before="158"/>
              <w:ind w:left="331"/>
              <w:rPr>
                <w:sz w:val="23"/>
                <w:szCs w:val="23"/>
              </w:rPr>
            </w:pPr>
            <w:r>
              <w:rPr>
                <w:sz w:val="23"/>
                <w:szCs w:val="23"/>
              </w:rPr>
              <w:t>%</w:t>
            </w:r>
          </w:p>
        </w:tc>
        <w:tc>
          <w:tcPr>
            <w:tcW w:w="1538" w:type="dxa"/>
            <w:vAlign w:val="top"/>
          </w:tcPr>
          <w:p w14:paraId="5E165651">
            <w:pPr>
              <w:rPr>
                <w:rFonts w:ascii="Arial"/>
                <w:sz w:val="21"/>
              </w:rPr>
            </w:pPr>
          </w:p>
        </w:tc>
        <w:tc>
          <w:tcPr>
            <w:tcW w:w="1558" w:type="dxa"/>
            <w:vAlign w:val="top"/>
          </w:tcPr>
          <w:p w14:paraId="0465F3C7">
            <w:pPr>
              <w:rPr>
                <w:rFonts w:ascii="Arial"/>
                <w:sz w:val="21"/>
              </w:rPr>
            </w:pPr>
          </w:p>
        </w:tc>
        <w:tc>
          <w:tcPr>
            <w:tcW w:w="1518" w:type="dxa"/>
            <w:vAlign w:val="top"/>
          </w:tcPr>
          <w:p w14:paraId="129FD43A">
            <w:pPr>
              <w:rPr>
                <w:rFonts w:ascii="Arial"/>
                <w:sz w:val="21"/>
              </w:rPr>
            </w:pPr>
          </w:p>
        </w:tc>
        <w:tc>
          <w:tcPr>
            <w:tcW w:w="1553" w:type="dxa"/>
            <w:vAlign w:val="top"/>
          </w:tcPr>
          <w:p w14:paraId="42EDCD47">
            <w:pPr>
              <w:rPr>
                <w:rFonts w:ascii="Arial"/>
                <w:sz w:val="21"/>
              </w:rPr>
            </w:pPr>
          </w:p>
        </w:tc>
      </w:tr>
      <w:tr w14:paraId="46917B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9" w:hRule="atLeast"/>
        </w:trPr>
        <w:tc>
          <w:tcPr>
            <w:tcW w:w="1923" w:type="dxa"/>
            <w:vAlign w:val="top"/>
          </w:tcPr>
          <w:p w14:paraId="61DCEDC3">
            <w:pPr>
              <w:pStyle w:val="6"/>
              <w:spacing w:before="167" w:line="219" w:lineRule="auto"/>
              <w:ind w:left="104"/>
              <w:rPr>
                <w:sz w:val="23"/>
                <w:szCs w:val="23"/>
              </w:rPr>
            </w:pPr>
            <w:r>
              <w:rPr>
                <w:spacing w:val="1"/>
                <w:sz w:val="23"/>
                <w:szCs w:val="23"/>
              </w:rPr>
              <w:t>2.总资产报酬率</w:t>
            </w:r>
          </w:p>
        </w:tc>
        <w:tc>
          <w:tcPr>
            <w:tcW w:w="809" w:type="dxa"/>
            <w:vAlign w:val="top"/>
          </w:tcPr>
          <w:p w14:paraId="5CAC1BC3">
            <w:pPr>
              <w:pStyle w:val="6"/>
              <w:spacing w:before="189"/>
              <w:ind w:left="331"/>
              <w:rPr>
                <w:sz w:val="23"/>
                <w:szCs w:val="23"/>
              </w:rPr>
            </w:pPr>
            <w:r>
              <w:rPr>
                <w:sz w:val="23"/>
                <w:szCs w:val="23"/>
              </w:rPr>
              <w:t>%</w:t>
            </w:r>
          </w:p>
        </w:tc>
        <w:tc>
          <w:tcPr>
            <w:tcW w:w="1538" w:type="dxa"/>
            <w:vAlign w:val="top"/>
          </w:tcPr>
          <w:p w14:paraId="15D8E387">
            <w:pPr>
              <w:rPr>
                <w:rFonts w:ascii="Arial"/>
                <w:sz w:val="21"/>
              </w:rPr>
            </w:pPr>
          </w:p>
        </w:tc>
        <w:tc>
          <w:tcPr>
            <w:tcW w:w="1558" w:type="dxa"/>
            <w:vAlign w:val="top"/>
          </w:tcPr>
          <w:p w14:paraId="48AB8D3E">
            <w:pPr>
              <w:rPr>
                <w:rFonts w:ascii="Arial"/>
                <w:sz w:val="21"/>
              </w:rPr>
            </w:pPr>
          </w:p>
        </w:tc>
        <w:tc>
          <w:tcPr>
            <w:tcW w:w="1518" w:type="dxa"/>
            <w:vAlign w:val="top"/>
          </w:tcPr>
          <w:p w14:paraId="3BEDB0A8">
            <w:pPr>
              <w:rPr>
                <w:rFonts w:ascii="Arial"/>
                <w:sz w:val="21"/>
              </w:rPr>
            </w:pPr>
          </w:p>
        </w:tc>
        <w:tc>
          <w:tcPr>
            <w:tcW w:w="1553" w:type="dxa"/>
            <w:vAlign w:val="top"/>
          </w:tcPr>
          <w:p w14:paraId="52633CF1">
            <w:pPr>
              <w:rPr>
                <w:rFonts w:ascii="Arial"/>
                <w:sz w:val="21"/>
              </w:rPr>
            </w:pPr>
          </w:p>
        </w:tc>
      </w:tr>
      <w:tr w14:paraId="197266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0" w:hRule="atLeast"/>
        </w:trPr>
        <w:tc>
          <w:tcPr>
            <w:tcW w:w="1923" w:type="dxa"/>
            <w:vAlign w:val="top"/>
          </w:tcPr>
          <w:p w14:paraId="4EC232DC">
            <w:pPr>
              <w:pStyle w:val="6"/>
              <w:spacing w:before="138" w:line="219" w:lineRule="auto"/>
              <w:jc w:val="right"/>
              <w:rPr>
                <w:sz w:val="23"/>
                <w:szCs w:val="23"/>
              </w:rPr>
            </w:pPr>
            <w:r>
              <w:rPr>
                <w:spacing w:val="-4"/>
                <w:sz w:val="23"/>
                <w:szCs w:val="23"/>
              </w:rPr>
              <w:t>3.主营业务利润率</w:t>
            </w:r>
          </w:p>
        </w:tc>
        <w:tc>
          <w:tcPr>
            <w:tcW w:w="809" w:type="dxa"/>
            <w:vAlign w:val="top"/>
          </w:tcPr>
          <w:p w14:paraId="65179DF0">
            <w:pPr>
              <w:pStyle w:val="6"/>
              <w:spacing w:before="160"/>
              <w:ind w:left="331"/>
              <w:rPr>
                <w:sz w:val="23"/>
                <w:szCs w:val="23"/>
              </w:rPr>
            </w:pPr>
            <w:r>
              <w:rPr>
                <w:sz w:val="23"/>
                <w:szCs w:val="23"/>
              </w:rPr>
              <w:t>%</w:t>
            </w:r>
          </w:p>
        </w:tc>
        <w:tc>
          <w:tcPr>
            <w:tcW w:w="1538" w:type="dxa"/>
            <w:vAlign w:val="top"/>
          </w:tcPr>
          <w:p w14:paraId="34E5C07E">
            <w:pPr>
              <w:rPr>
                <w:rFonts w:ascii="Arial"/>
                <w:sz w:val="21"/>
              </w:rPr>
            </w:pPr>
          </w:p>
        </w:tc>
        <w:tc>
          <w:tcPr>
            <w:tcW w:w="1558" w:type="dxa"/>
            <w:vAlign w:val="top"/>
          </w:tcPr>
          <w:p w14:paraId="36F720A2">
            <w:pPr>
              <w:rPr>
                <w:rFonts w:ascii="Arial"/>
                <w:sz w:val="21"/>
              </w:rPr>
            </w:pPr>
          </w:p>
        </w:tc>
        <w:tc>
          <w:tcPr>
            <w:tcW w:w="1518" w:type="dxa"/>
            <w:vAlign w:val="top"/>
          </w:tcPr>
          <w:p w14:paraId="0276FD25">
            <w:pPr>
              <w:rPr>
                <w:rFonts w:ascii="Arial"/>
                <w:sz w:val="21"/>
              </w:rPr>
            </w:pPr>
          </w:p>
        </w:tc>
        <w:tc>
          <w:tcPr>
            <w:tcW w:w="1553" w:type="dxa"/>
            <w:vAlign w:val="top"/>
          </w:tcPr>
          <w:p w14:paraId="21B03F3F">
            <w:pPr>
              <w:pStyle w:val="6"/>
              <w:spacing w:before="249" w:line="47" w:lineRule="exact"/>
              <w:ind w:left="738"/>
              <w:rPr>
                <w:sz w:val="6"/>
                <w:szCs w:val="6"/>
              </w:rPr>
            </w:pPr>
            <w:r>
              <w:rPr>
                <w:position w:val="-1"/>
                <w:sz w:val="6"/>
                <w:szCs w:val="6"/>
              </w:rPr>
              <w:t>一</w:t>
            </w:r>
          </w:p>
        </w:tc>
      </w:tr>
      <w:tr w14:paraId="5FEFDD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9" w:hRule="atLeast"/>
        </w:trPr>
        <w:tc>
          <w:tcPr>
            <w:tcW w:w="1923" w:type="dxa"/>
            <w:vAlign w:val="top"/>
          </w:tcPr>
          <w:p w14:paraId="7CAFDB9C">
            <w:pPr>
              <w:pStyle w:val="6"/>
              <w:spacing w:before="158" w:line="219" w:lineRule="auto"/>
              <w:ind w:left="104"/>
              <w:rPr>
                <w:sz w:val="23"/>
                <w:szCs w:val="23"/>
              </w:rPr>
            </w:pPr>
            <w:r>
              <w:rPr>
                <w:spacing w:val="-1"/>
                <w:sz w:val="23"/>
                <w:szCs w:val="23"/>
              </w:rPr>
              <w:t>4.资产负债率</w:t>
            </w:r>
          </w:p>
        </w:tc>
        <w:tc>
          <w:tcPr>
            <w:tcW w:w="809" w:type="dxa"/>
            <w:vAlign w:val="top"/>
          </w:tcPr>
          <w:p w14:paraId="6F21B164">
            <w:pPr>
              <w:pStyle w:val="6"/>
              <w:spacing w:before="180"/>
              <w:ind w:left="331"/>
              <w:rPr>
                <w:sz w:val="23"/>
                <w:szCs w:val="23"/>
              </w:rPr>
            </w:pPr>
            <w:r>
              <w:rPr>
                <w:sz w:val="23"/>
                <w:szCs w:val="23"/>
              </w:rPr>
              <w:t>%</w:t>
            </w:r>
          </w:p>
        </w:tc>
        <w:tc>
          <w:tcPr>
            <w:tcW w:w="1538" w:type="dxa"/>
            <w:vAlign w:val="top"/>
          </w:tcPr>
          <w:p w14:paraId="58F9D8C2">
            <w:pPr>
              <w:rPr>
                <w:rFonts w:ascii="Arial"/>
                <w:sz w:val="21"/>
              </w:rPr>
            </w:pPr>
          </w:p>
        </w:tc>
        <w:tc>
          <w:tcPr>
            <w:tcW w:w="1558" w:type="dxa"/>
            <w:vAlign w:val="top"/>
          </w:tcPr>
          <w:p w14:paraId="61FB22CB">
            <w:pPr>
              <w:rPr>
                <w:rFonts w:ascii="Arial"/>
                <w:sz w:val="21"/>
              </w:rPr>
            </w:pPr>
          </w:p>
        </w:tc>
        <w:tc>
          <w:tcPr>
            <w:tcW w:w="1518" w:type="dxa"/>
            <w:vAlign w:val="top"/>
          </w:tcPr>
          <w:p w14:paraId="029CCC78">
            <w:pPr>
              <w:rPr>
                <w:rFonts w:ascii="Arial"/>
                <w:sz w:val="21"/>
              </w:rPr>
            </w:pPr>
          </w:p>
        </w:tc>
        <w:tc>
          <w:tcPr>
            <w:tcW w:w="1553" w:type="dxa"/>
            <w:vAlign w:val="top"/>
          </w:tcPr>
          <w:p w14:paraId="43956B75">
            <w:pPr>
              <w:rPr>
                <w:rFonts w:ascii="Arial"/>
                <w:sz w:val="21"/>
              </w:rPr>
            </w:pPr>
          </w:p>
        </w:tc>
      </w:tr>
      <w:tr w14:paraId="1A122E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1923" w:type="dxa"/>
            <w:vAlign w:val="top"/>
          </w:tcPr>
          <w:p w14:paraId="11388581">
            <w:pPr>
              <w:pStyle w:val="6"/>
              <w:spacing w:before="149" w:line="219" w:lineRule="auto"/>
              <w:ind w:left="104"/>
              <w:rPr>
                <w:sz w:val="23"/>
                <w:szCs w:val="23"/>
              </w:rPr>
            </w:pPr>
            <w:r>
              <w:rPr>
                <w:spacing w:val="1"/>
                <w:sz w:val="23"/>
                <w:szCs w:val="23"/>
              </w:rPr>
              <w:t>5.流动比率</w:t>
            </w:r>
          </w:p>
        </w:tc>
        <w:tc>
          <w:tcPr>
            <w:tcW w:w="809" w:type="dxa"/>
            <w:vAlign w:val="top"/>
          </w:tcPr>
          <w:p w14:paraId="53BF85B0">
            <w:pPr>
              <w:pStyle w:val="6"/>
              <w:spacing w:before="171"/>
              <w:ind w:left="331"/>
              <w:rPr>
                <w:sz w:val="23"/>
                <w:szCs w:val="23"/>
              </w:rPr>
            </w:pPr>
            <w:r>
              <w:rPr>
                <w:sz w:val="23"/>
                <w:szCs w:val="23"/>
              </w:rPr>
              <w:t>%</w:t>
            </w:r>
          </w:p>
        </w:tc>
        <w:tc>
          <w:tcPr>
            <w:tcW w:w="1538" w:type="dxa"/>
            <w:vAlign w:val="top"/>
          </w:tcPr>
          <w:p w14:paraId="015B75D3">
            <w:pPr>
              <w:rPr>
                <w:rFonts w:ascii="Arial"/>
                <w:sz w:val="21"/>
              </w:rPr>
            </w:pPr>
          </w:p>
        </w:tc>
        <w:tc>
          <w:tcPr>
            <w:tcW w:w="1558" w:type="dxa"/>
            <w:vAlign w:val="top"/>
          </w:tcPr>
          <w:p w14:paraId="46DC62F9">
            <w:pPr>
              <w:rPr>
                <w:rFonts w:ascii="Arial"/>
                <w:sz w:val="21"/>
              </w:rPr>
            </w:pPr>
          </w:p>
        </w:tc>
        <w:tc>
          <w:tcPr>
            <w:tcW w:w="1518" w:type="dxa"/>
            <w:vAlign w:val="top"/>
          </w:tcPr>
          <w:p w14:paraId="3DDBFF9C">
            <w:pPr>
              <w:rPr>
                <w:rFonts w:ascii="Arial"/>
                <w:sz w:val="21"/>
              </w:rPr>
            </w:pPr>
          </w:p>
        </w:tc>
        <w:tc>
          <w:tcPr>
            <w:tcW w:w="1553" w:type="dxa"/>
            <w:vAlign w:val="top"/>
          </w:tcPr>
          <w:p w14:paraId="36415471">
            <w:pPr>
              <w:rPr>
                <w:rFonts w:ascii="Arial"/>
                <w:sz w:val="21"/>
              </w:rPr>
            </w:pPr>
          </w:p>
        </w:tc>
      </w:tr>
      <w:tr w14:paraId="505124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trPr>
        <w:tc>
          <w:tcPr>
            <w:tcW w:w="1923" w:type="dxa"/>
            <w:vAlign w:val="top"/>
          </w:tcPr>
          <w:p w14:paraId="5C3132B5">
            <w:pPr>
              <w:pStyle w:val="6"/>
              <w:spacing w:before="139" w:line="219" w:lineRule="auto"/>
              <w:ind w:left="104"/>
              <w:rPr>
                <w:sz w:val="23"/>
                <w:szCs w:val="23"/>
              </w:rPr>
            </w:pPr>
            <w:r>
              <w:rPr>
                <w:spacing w:val="1"/>
                <w:sz w:val="23"/>
                <w:szCs w:val="23"/>
              </w:rPr>
              <w:t>6.速动比率</w:t>
            </w:r>
          </w:p>
        </w:tc>
        <w:tc>
          <w:tcPr>
            <w:tcW w:w="809" w:type="dxa"/>
            <w:vAlign w:val="top"/>
          </w:tcPr>
          <w:p w14:paraId="50D8EF64">
            <w:pPr>
              <w:pStyle w:val="6"/>
              <w:spacing w:before="161"/>
              <w:ind w:left="331"/>
              <w:rPr>
                <w:sz w:val="23"/>
                <w:szCs w:val="23"/>
              </w:rPr>
            </w:pPr>
            <w:r>
              <w:rPr>
                <w:sz w:val="23"/>
                <w:szCs w:val="23"/>
              </w:rPr>
              <w:t>%</w:t>
            </w:r>
          </w:p>
        </w:tc>
        <w:tc>
          <w:tcPr>
            <w:tcW w:w="1538" w:type="dxa"/>
            <w:vAlign w:val="top"/>
          </w:tcPr>
          <w:p w14:paraId="67B18F5D">
            <w:pPr>
              <w:rPr>
                <w:rFonts w:ascii="Arial"/>
                <w:sz w:val="21"/>
              </w:rPr>
            </w:pPr>
          </w:p>
        </w:tc>
        <w:tc>
          <w:tcPr>
            <w:tcW w:w="1558" w:type="dxa"/>
            <w:vAlign w:val="top"/>
          </w:tcPr>
          <w:p w14:paraId="56F34543">
            <w:pPr>
              <w:rPr>
                <w:rFonts w:ascii="Arial"/>
                <w:sz w:val="21"/>
              </w:rPr>
            </w:pPr>
          </w:p>
        </w:tc>
        <w:tc>
          <w:tcPr>
            <w:tcW w:w="1518" w:type="dxa"/>
            <w:vAlign w:val="top"/>
          </w:tcPr>
          <w:p w14:paraId="4C6975B7">
            <w:pPr>
              <w:rPr>
                <w:rFonts w:ascii="Arial"/>
                <w:sz w:val="21"/>
              </w:rPr>
            </w:pPr>
          </w:p>
        </w:tc>
        <w:tc>
          <w:tcPr>
            <w:tcW w:w="1553" w:type="dxa"/>
            <w:vAlign w:val="top"/>
          </w:tcPr>
          <w:p w14:paraId="0445CA51">
            <w:pPr>
              <w:rPr>
                <w:rFonts w:ascii="Arial"/>
                <w:sz w:val="21"/>
              </w:rPr>
            </w:pPr>
          </w:p>
        </w:tc>
      </w:tr>
    </w:tbl>
    <w:p w14:paraId="0694F716">
      <w:pPr>
        <w:pStyle w:val="2"/>
        <w:spacing w:before="68" w:line="293" w:lineRule="auto"/>
        <w:ind w:left="954" w:right="13" w:hanging="936"/>
        <w:rPr>
          <w:sz w:val="21"/>
          <w:szCs w:val="21"/>
        </w:rPr>
      </w:pPr>
      <w:r>
        <w:rPr>
          <w:rFonts w:ascii="黑体" w:hAnsi="黑体" w:eastAsia="黑体" w:cs="黑体"/>
          <w:b/>
          <w:bCs/>
          <w:spacing w:val="4"/>
          <w:sz w:val="21"/>
          <w:szCs w:val="21"/>
        </w:rPr>
        <w:t>备注</w:t>
      </w:r>
      <w:r>
        <w:rPr>
          <w:b/>
          <w:bCs/>
          <w:spacing w:val="4"/>
          <w:sz w:val="21"/>
          <w:szCs w:val="21"/>
        </w:rPr>
        <w:t>：</w:t>
      </w:r>
      <w:r>
        <w:rPr>
          <w:spacing w:val="4"/>
          <w:sz w:val="21"/>
          <w:szCs w:val="21"/>
        </w:rPr>
        <w:t>1.本表后应附近3年经会计师事务所或审计机构审计的财务会计报表，包括资产负</w:t>
      </w:r>
      <w:r>
        <w:rPr>
          <w:spacing w:val="3"/>
          <w:sz w:val="21"/>
          <w:szCs w:val="21"/>
        </w:rPr>
        <w:t>债表、</w:t>
      </w:r>
      <w:r>
        <w:rPr>
          <w:sz w:val="21"/>
          <w:szCs w:val="21"/>
        </w:rPr>
        <w:t xml:space="preserve"> </w:t>
      </w:r>
      <w:r>
        <w:rPr>
          <w:spacing w:val="-1"/>
          <w:sz w:val="21"/>
          <w:szCs w:val="21"/>
        </w:rPr>
        <w:t>现金流量表、利润表和财务情况说明书的扫描件。</w:t>
      </w:r>
    </w:p>
    <w:p w14:paraId="74B73BC2">
      <w:pPr>
        <w:pStyle w:val="2"/>
        <w:spacing w:before="57" w:line="308" w:lineRule="auto"/>
        <w:ind w:left="954" w:right="9"/>
        <w:rPr>
          <w:sz w:val="21"/>
          <w:szCs w:val="21"/>
        </w:rPr>
      </w:pPr>
      <w:r>
        <w:rPr>
          <w:spacing w:val="13"/>
          <w:sz w:val="21"/>
          <w:szCs w:val="21"/>
        </w:rPr>
        <w:t>投标截止日如在6月30日以前，则近3年是指上上个年度往前推算的3年，例如投标</w:t>
      </w:r>
      <w:r>
        <w:rPr>
          <w:spacing w:val="8"/>
          <w:sz w:val="21"/>
          <w:szCs w:val="21"/>
        </w:rPr>
        <w:t xml:space="preserve"> </w:t>
      </w:r>
      <w:r>
        <w:rPr>
          <w:spacing w:val="17"/>
          <w:sz w:val="21"/>
          <w:szCs w:val="21"/>
        </w:rPr>
        <w:t>截止日为2014年5月30日，近3年是指2010年度、2</w:t>
      </w:r>
      <w:r>
        <w:rPr>
          <w:spacing w:val="16"/>
          <w:sz w:val="21"/>
          <w:szCs w:val="21"/>
        </w:rPr>
        <w:t>011年度、2012年度。</w:t>
      </w:r>
    </w:p>
    <w:p w14:paraId="45624FAD">
      <w:pPr>
        <w:pStyle w:val="2"/>
        <w:spacing w:before="1" w:line="298" w:lineRule="auto"/>
        <w:ind w:left="954"/>
        <w:rPr>
          <w:sz w:val="21"/>
          <w:szCs w:val="21"/>
        </w:rPr>
      </w:pPr>
      <w:r>
        <w:rPr>
          <w:spacing w:val="2"/>
          <w:sz w:val="21"/>
          <w:szCs w:val="21"/>
        </w:rPr>
        <w:t>投标截止日如在6月30日以后，则近3年是指上个年度往前推算的3年，例如投标截止日</w:t>
      </w:r>
      <w:r>
        <w:rPr>
          <w:spacing w:val="12"/>
          <w:sz w:val="21"/>
          <w:szCs w:val="21"/>
        </w:rPr>
        <w:t xml:space="preserve"> </w:t>
      </w:r>
      <w:r>
        <w:rPr>
          <w:spacing w:val="-1"/>
          <w:sz w:val="21"/>
          <w:szCs w:val="21"/>
        </w:rPr>
        <w:t>为2014年7月1日，近3年是指2011年度、2012年度、2013年度。</w:t>
      </w:r>
    </w:p>
    <w:p w14:paraId="543B041C">
      <w:pPr>
        <w:pStyle w:val="2"/>
        <w:spacing w:before="1" w:line="292" w:lineRule="auto"/>
        <w:ind w:left="954" w:right="17" w:hanging="320"/>
        <w:rPr>
          <w:sz w:val="21"/>
          <w:szCs w:val="21"/>
        </w:rPr>
      </w:pPr>
      <w:r>
        <w:rPr>
          <w:spacing w:val="-1"/>
          <w:sz w:val="21"/>
          <w:szCs w:val="21"/>
        </w:rPr>
        <w:t>2. 本表所列数据必须与本表各附件中的数据相一致。如果有不一致之处，以不利于投标人</w:t>
      </w:r>
      <w:r>
        <w:rPr>
          <w:spacing w:val="15"/>
          <w:sz w:val="21"/>
          <w:szCs w:val="21"/>
        </w:rPr>
        <w:t xml:space="preserve"> </w:t>
      </w:r>
      <w:r>
        <w:rPr>
          <w:spacing w:val="-4"/>
          <w:sz w:val="21"/>
          <w:szCs w:val="21"/>
        </w:rPr>
        <w:t>的数据为准。</w:t>
      </w:r>
    </w:p>
    <w:p w14:paraId="302719B6">
      <w:pPr>
        <w:spacing w:line="292" w:lineRule="auto"/>
        <w:rPr>
          <w:sz w:val="21"/>
          <w:szCs w:val="21"/>
        </w:rPr>
        <w:sectPr>
          <w:footerReference r:id="rId383" w:type="default"/>
          <w:pgSz w:w="11910" w:h="16840"/>
          <w:pgMar w:top="400" w:right="1541" w:bottom="1147" w:left="1445" w:header="0" w:footer="1021" w:gutter="0"/>
          <w:cols w:space="720" w:num="1"/>
        </w:sectPr>
      </w:pPr>
    </w:p>
    <w:p w14:paraId="7932DA5B">
      <w:pPr>
        <w:spacing w:line="248" w:lineRule="auto"/>
        <w:rPr>
          <w:rFonts w:ascii="Arial"/>
          <w:sz w:val="21"/>
        </w:rPr>
      </w:pPr>
    </w:p>
    <w:p w14:paraId="32614DC3">
      <w:pPr>
        <w:spacing w:line="248" w:lineRule="auto"/>
        <w:rPr>
          <w:rFonts w:ascii="Arial"/>
          <w:sz w:val="21"/>
        </w:rPr>
      </w:pPr>
    </w:p>
    <w:p w14:paraId="09496019">
      <w:pPr>
        <w:spacing w:line="248" w:lineRule="auto"/>
        <w:rPr>
          <w:rFonts w:ascii="Arial"/>
          <w:sz w:val="21"/>
        </w:rPr>
      </w:pPr>
    </w:p>
    <w:p w14:paraId="6EE31F79">
      <w:pPr>
        <w:spacing w:line="248" w:lineRule="auto"/>
        <w:rPr>
          <w:rFonts w:ascii="Arial"/>
          <w:sz w:val="21"/>
        </w:rPr>
      </w:pPr>
    </w:p>
    <w:p w14:paraId="66F3A40A">
      <w:pPr>
        <w:spacing w:line="248" w:lineRule="auto"/>
        <w:rPr>
          <w:rFonts w:ascii="Arial"/>
          <w:sz w:val="21"/>
        </w:rPr>
      </w:pPr>
    </w:p>
    <w:p w14:paraId="0951B5F4">
      <w:pPr>
        <w:pStyle w:val="2"/>
        <w:spacing w:before="68" w:line="220" w:lineRule="auto"/>
        <w:ind w:left="306"/>
        <w:rPr>
          <w:sz w:val="21"/>
          <w:szCs w:val="21"/>
        </w:rPr>
      </w:pPr>
      <w:r>
        <w:rPr>
          <w:b/>
          <w:bCs/>
          <w:spacing w:val="-3"/>
          <w:sz w:val="21"/>
          <w:szCs w:val="21"/>
        </w:rPr>
        <w:t>3.</w:t>
      </w:r>
      <w:r>
        <w:rPr>
          <w:spacing w:val="-3"/>
          <w:sz w:val="21"/>
          <w:szCs w:val="21"/>
        </w:rPr>
        <w:t xml:space="preserve"> </w:t>
      </w:r>
      <w:r>
        <w:rPr>
          <w:b/>
          <w:bCs/>
          <w:spacing w:val="-3"/>
          <w:sz w:val="21"/>
          <w:szCs w:val="21"/>
        </w:rPr>
        <w:t>联合体投标的，联合体各成员应分别填写。</w:t>
      </w:r>
    </w:p>
    <w:p w14:paraId="0DDBB300">
      <w:pPr>
        <w:spacing w:line="220" w:lineRule="auto"/>
        <w:rPr>
          <w:sz w:val="21"/>
          <w:szCs w:val="21"/>
        </w:rPr>
        <w:sectPr>
          <w:footerReference r:id="rId384" w:type="default"/>
          <w:pgSz w:w="11910" w:h="16840"/>
          <w:pgMar w:top="400" w:right="1786" w:bottom="1147" w:left="1786" w:header="0" w:footer="1021" w:gutter="0"/>
          <w:cols w:space="720" w:num="1"/>
        </w:sectPr>
      </w:pPr>
    </w:p>
    <w:p w14:paraId="0DA58705">
      <w:pPr>
        <w:spacing w:line="247" w:lineRule="auto"/>
        <w:rPr>
          <w:rFonts w:ascii="Arial"/>
          <w:sz w:val="21"/>
        </w:rPr>
      </w:pPr>
    </w:p>
    <w:p w14:paraId="0A27B54C">
      <w:pPr>
        <w:spacing w:line="247" w:lineRule="auto"/>
        <w:rPr>
          <w:rFonts w:ascii="Arial"/>
          <w:sz w:val="21"/>
        </w:rPr>
      </w:pPr>
    </w:p>
    <w:p w14:paraId="18FC5E7D">
      <w:pPr>
        <w:spacing w:line="248" w:lineRule="auto"/>
        <w:rPr>
          <w:rFonts w:ascii="Arial"/>
          <w:sz w:val="21"/>
        </w:rPr>
      </w:pPr>
    </w:p>
    <w:p w14:paraId="723879A0">
      <w:pPr>
        <w:spacing w:line="248" w:lineRule="auto"/>
        <w:rPr>
          <w:rFonts w:ascii="Arial"/>
          <w:sz w:val="21"/>
        </w:rPr>
      </w:pPr>
    </w:p>
    <w:p w14:paraId="7650FEC8">
      <w:pPr>
        <w:spacing w:line="248" w:lineRule="auto"/>
        <w:rPr>
          <w:rFonts w:ascii="Arial"/>
          <w:sz w:val="21"/>
        </w:rPr>
      </w:pPr>
    </w:p>
    <w:p w14:paraId="0AD3C8DC">
      <w:pPr>
        <w:spacing w:line="248" w:lineRule="auto"/>
        <w:rPr>
          <w:rFonts w:ascii="Arial"/>
          <w:sz w:val="21"/>
        </w:rPr>
      </w:pPr>
    </w:p>
    <w:p w14:paraId="706855AE">
      <w:pPr>
        <w:spacing w:line="248" w:lineRule="auto"/>
        <w:rPr>
          <w:rFonts w:ascii="Arial"/>
          <w:sz w:val="21"/>
        </w:rPr>
      </w:pPr>
    </w:p>
    <w:p w14:paraId="10D6B7AF">
      <w:pPr>
        <w:spacing w:before="69" w:line="221" w:lineRule="auto"/>
        <w:ind w:left="2862"/>
        <w:rPr>
          <w:rFonts w:ascii="黑体" w:hAnsi="黑体" w:eastAsia="黑体" w:cs="黑体"/>
          <w:sz w:val="21"/>
          <w:szCs w:val="21"/>
        </w:rPr>
      </w:pPr>
      <w:r>
        <w:rPr>
          <w:rFonts w:ascii="黑体" w:hAnsi="黑体" w:eastAsia="黑体" w:cs="黑体"/>
          <w:b/>
          <w:bCs/>
          <w:spacing w:val="20"/>
          <w:sz w:val="21"/>
          <w:szCs w:val="21"/>
        </w:rPr>
        <w:t>2-2拟投入的流动资金函(格式)</w:t>
      </w:r>
    </w:p>
    <w:p w14:paraId="7B523DC9">
      <w:pPr>
        <w:spacing w:line="453" w:lineRule="auto"/>
        <w:rPr>
          <w:rFonts w:ascii="Arial"/>
          <w:sz w:val="21"/>
        </w:rPr>
      </w:pPr>
    </w:p>
    <w:p w14:paraId="557F7E1B">
      <w:pPr>
        <w:pStyle w:val="2"/>
        <w:tabs>
          <w:tab w:val="left" w:pos="1688"/>
        </w:tabs>
        <w:spacing w:before="68" w:line="220" w:lineRule="auto"/>
        <w:rPr>
          <w:sz w:val="21"/>
          <w:szCs w:val="21"/>
        </w:rPr>
      </w:pPr>
      <w:r>
        <w:rPr>
          <w:sz w:val="21"/>
          <w:szCs w:val="21"/>
          <w:u w:val="single" w:color="auto"/>
        </w:rPr>
        <w:tab/>
      </w:r>
      <w:r>
        <w:rPr>
          <w:spacing w:val="-82"/>
          <w:sz w:val="21"/>
          <w:szCs w:val="21"/>
        </w:rPr>
        <w:t xml:space="preserve"> </w:t>
      </w:r>
      <w:r>
        <w:rPr>
          <w:spacing w:val="-3"/>
          <w:sz w:val="21"/>
          <w:szCs w:val="21"/>
        </w:rPr>
        <w:t>(招标人名称):</w:t>
      </w:r>
    </w:p>
    <w:p w14:paraId="1F40098F">
      <w:pPr>
        <w:pStyle w:val="2"/>
        <w:spacing w:before="168" w:line="341" w:lineRule="auto"/>
        <w:ind w:right="61" w:firstLine="439"/>
        <w:rPr>
          <w:sz w:val="21"/>
          <w:szCs w:val="21"/>
        </w:rPr>
      </w:pPr>
      <w:r>
        <w:rPr>
          <w:sz w:val="21"/>
          <w:szCs w:val="21"/>
        </w:rPr>
        <w:t>我方拟投入</w:t>
      </w:r>
      <w:r>
        <w:rPr>
          <w:sz w:val="21"/>
          <w:szCs w:val="21"/>
          <w:u w:val="single" w:color="auto"/>
        </w:rPr>
        <w:t xml:space="preserve">            </w:t>
      </w:r>
      <w:r>
        <w:rPr>
          <w:spacing w:val="-80"/>
          <w:sz w:val="21"/>
          <w:szCs w:val="21"/>
        </w:rPr>
        <w:t xml:space="preserve"> </w:t>
      </w:r>
      <w:r>
        <w:rPr>
          <w:sz w:val="21"/>
          <w:szCs w:val="21"/>
        </w:rPr>
        <w:t>(项目名称)</w:t>
      </w:r>
      <w:r>
        <w:rPr>
          <w:sz w:val="21"/>
          <w:szCs w:val="21"/>
          <w:u w:val="single" w:color="auto"/>
        </w:rPr>
        <w:t xml:space="preserve">          </w:t>
      </w:r>
      <w:r>
        <w:rPr>
          <w:spacing w:val="-95"/>
          <w:sz w:val="21"/>
          <w:szCs w:val="21"/>
        </w:rPr>
        <w:t xml:space="preserve"> </w:t>
      </w:r>
      <w:r>
        <w:rPr>
          <w:sz w:val="21"/>
          <w:szCs w:val="21"/>
        </w:rPr>
        <w:t>(标段名称)的流动资金为</w:t>
      </w:r>
      <w:r>
        <w:rPr>
          <w:sz w:val="21"/>
          <w:szCs w:val="21"/>
          <w:u w:val="single" w:color="auto"/>
        </w:rPr>
        <w:t xml:space="preserve">        </w:t>
      </w:r>
      <w:r>
        <w:rPr>
          <w:sz w:val="21"/>
          <w:szCs w:val="21"/>
        </w:rPr>
        <w:t xml:space="preserve">万元，资 </w:t>
      </w:r>
      <w:r>
        <w:rPr>
          <w:spacing w:val="-2"/>
          <w:sz w:val="21"/>
          <w:szCs w:val="21"/>
        </w:rPr>
        <w:t>金来源于</w:t>
      </w:r>
      <w:r>
        <w:rPr>
          <w:spacing w:val="-85"/>
          <w:sz w:val="21"/>
          <w:szCs w:val="21"/>
        </w:rPr>
        <w:t xml:space="preserve"> </w:t>
      </w:r>
      <w:r>
        <w:rPr>
          <w:sz w:val="21"/>
          <w:szCs w:val="21"/>
          <w:u w:val="single" w:color="auto"/>
        </w:rPr>
        <w:t xml:space="preserve">               </w:t>
      </w:r>
      <w:r>
        <w:rPr>
          <w:spacing w:val="-100"/>
          <w:sz w:val="21"/>
          <w:szCs w:val="21"/>
        </w:rPr>
        <w:t xml:space="preserve"> </w:t>
      </w:r>
      <w:r>
        <w:rPr>
          <w:spacing w:val="-2"/>
          <w:sz w:val="21"/>
          <w:szCs w:val="21"/>
        </w:rPr>
        <w:t>,资金来源证明文件附后。</w:t>
      </w:r>
    </w:p>
    <w:p w14:paraId="0CE1671A">
      <w:pPr>
        <w:pStyle w:val="2"/>
        <w:spacing w:before="3" w:line="223" w:lineRule="auto"/>
        <w:ind w:left="429"/>
        <w:rPr>
          <w:sz w:val="17"/>
          <w:szCs w:val="17"/>
        </w:rPr>
      </w:pPr>
      <w:r>
        <w:rPr>
          <w:spacing w:val="-1"/>
          <w:sz w:val="21"/>
          <w:szCs w:val="21"/>
        </w:rPr>
        <w:t>我方可使用的银行授信余额和银行存款共计</w:t>
      </w:r>
      <w:r>
        <w:rPr>
          <w:spacing w:val="-1"/>
          <w:sz w:val="21"/>
          <w:szCs w:val="21"/>
          <w:u w:val="single" w:color="auto"/>
        </w:rPr>
        <w:t xml:space="preserve">            </w:t>
      </w:r>
      <w:r>
        <w:rPr>
          <w:spacing w:val="-81"/>
          <w:sz w:val="21"/>
          <w:szCs w:val="21"/>
        </w:rPr>
        <w:t xml:space="preserve"> </w:t>
      </w:r>
      <w:r>
        <w:rPr>
          <w:spacing w:val="-1"/>
          <w:position w:val="-3"/>
          <w:sz w:val="17"/>
          <w:szCs w:val="17"/>
        </w:rPr>
        <w:t>万</w:t>
      </w:r>
      <w:r>
        <w:rPr>
          <w:spacing w:val="-22"/>
          <w:position w:val="-3"/>
          <w:sz w:val="17"/>
          <w:szCs w:val="17"/>
        </w:rPr>
        <w:t xml:space="preserve"> </w:t>
      </w:r>
      <w:r>
        <w:rPr>
          <w:spacing w:val="-1"/>
          <w:position w:val="-3"/>
          <w:sz w:val="17"/>
          <w:szCs w:val="17"/>
        </w:rPr>
        <w:t>元</w:t>
      </w:r>
      <w:r>
        <w:rPr>
          <w:spacing w:val="-30"/>
          <w:position w:val="-3"/>
          <w:sz w:val="17"/>
          <w:szCs w:val="17"/>
        </w:rPr>
        <w:t xml:space="preserve"> </w:t>
      </w:r>
      <w:r>
        <w:rPr>
          <w:spacing w:val="-1"/>
          <w:position w:val="-3"/>
          <w:sz w:val="17"/>
          <w:szCs w:val="17"/>
        </w:rPr>
        <w:t>。</w:t>
      </w:r>
    </w:p>
    <w:p w14:paraId="7C332E59">
      <w:pPr>
        <w:spacing w:line="285" w:lineRule="auto"/>
        <w:rPr>
          <w:rFonts w:ascii="Arial"/>
          <w:sz w:val="21"/>
        </w:rPr>
      </w:pPr>
    </w:p>
    <w:p w14:paraId="4F0AC716">
      <w:pPr>
        <w:spacing w:line="285" w:lineRule="auto"/>
        <w:rPr>
          <w:rFonts w:ascii="Arial"/>
          <w:sz w:val="21"/>
        </w:rPr>
      </w:pPr>
    </w:p>
    <w:p w14:paraId="337D8F50">
      <w:pPr>
        <w:spacing w:line="286" w:lineRule="auto"/>
        <w:rPr>
          <w:rFonts w:ascii="Arial"/>
          <w:sz w:val="21"/>
        </w:rPr>
      </w:pPr>
    </w:p>
    <w:p w14:paraId="2C93ED42">
      <w:pPr>
        <w:pStyle w:val="2"/>
        <w:tabs>
          <w:tab w:val="left" w:pos="6839"/>
        </w:tabs>
        <w:spacing w:before="75" w:line="332" w:lineRule="auto"/>
        <w:ind w:left="5748" w:right="507" w:hanging="909"/>
        <w:rPr>
          <w:sz w:val="21"/>
          <w:szCs w:val="21"/>
        </w:rPr>
      </w:pPr>
      <w:r>
        <w:rPr>
          <w:rFonts w:ascii="黑体" w:hAnsi="黑体" w:eastAsia="黑体" w:cs="黑体"/>
          <w:spacing w:val="-10"/>
          <w:position w:val="-1"/>
          <w:sz w:val="23"/>
          <w:szCs w:val="23"/>
        </w:rPr>
        <w:t>投标人：</w:t>
      </w:r>
      <w:r>
        <w:rPr>
          <w:rFonts w:ascii="黑体" w:hAnsi="黑体" w:eastAsia="黑体" w:cs="黑体"/>
          <w:spacing w:val="5"/>
          <w:position w:val="-1"/>
          <w:sz w:val="23"/>
          <w:szCs w:val="23"/>
          <w:u w:val="single" w:color="auto"/>
        </w:rPr>
        <w:t xml:space="preserve">              </w:t>
      </w:r>
      <w:r>
        <w:rPr>
          <w:rFonts w:ascii="黑体" w:hAnsi="黑体" w:eastAsia="黑体" w:cs="黑体"/>
          <w:spacing w:val="-77"/>
          <w:position w:val="-1"/>
          <w:sz w:val="23"/>
          <w:szCs w:val="23"/>
        </w:rPr>
        <w:t xml:space="preserve"> </w:t>
      </w:r>
      <w:r>
        <w:rPr>
          <w:rFonts w:ascii="黑体" w:hAnsi="黑体" w:eastAsia="黑体" w:cs="黑体"/>
          <w:spacing w:val="-10"/>
          <w:sz w:val="21"/>
          <w:szCs w:val="21"/>
        </w:rPr>
        <w:t>(盖单位章)</w:t>
      </w:r>
      <w:r>
        <w:rPr>
          <w:rFonts w:ascii="黑体" w:hAnsi="黑体" w:eastAsia="黑体" w:cs="黑体"/>
          <w:sz w:val="21"/>
          <w:szCs w:val="21"/>
        </w:rPr>
        <w:t xml:space="preserve"> </w:t>
      </w:r>
      <w:r>
        <w:rPr>
          <w:sz w:val="21"/>
          <w:szCs w:val="21"/>
          <w:u w:val="single" w:color="auto"/>
        </w:rPr>
        <w:tab/>
      </w:r>
      <w:r>
        <w:rPr>
          <w:spacing w:val="-8"/>
          <w:sz w:val="21"/>
          <w:szCs w:val="21"/>
        </w:rPr>
        <w:t>年</w:t>
      </w:r>
      <w:r>
        <w:rPr>
          <w:spacing w:val="2"/>
          <w:sz w:val="21"/>
          <w:szCs w:val="21"/>
          <w:u w:val="single" w:color="auto"/>
        </w:rPr>
        <w:t xml:space="preserve">    </w:t>
      </w:r>
      <w:r>
        <w:rPr>
          <w:spacing w:val="-8"/>
          <w:sz w:val="21"/>
          <w:szCs w:val="21"/>
        </w:rPr>
        <w:t>月</w:t>
      </w:r>
      <w:r>
        <w:rPr>
          <w:spacing w:val="11"/>
          <w:sz w:val="21"/>
          <w:szCs w:val="21"/>
          <w:u w:val="single" w:color="auto"/>
        </w:rPr>
        <w:t xml:space="preserve">    </w:t>
      </w:r>
      <w:r>
        <w:rPr>
          <w:spacing w:val="-8"/>
          <w:sz w:val="21"/>
          <w:szCs w:val="21"/>
        </w:rPr>
        <w:t>日</w:t>
      </w:r>
    </w:p>
    <w:p w14:paraId="23DAEBD4">
      <w:pPr>
        <w:spacing w:line="244" w:lineRule="auto"/>
        <w:rPr>
          <w:rFonts w:ascii="Arial"/>
          <w:sz w:val="21"/>
        </w:rPr>
      </w:pPr>
    </w:p>
    <w:p w14:paraId="6C315448">
      <w:pPr>
        <w:spacing w:line="244" w:lineRule="auto"/>
        <w:rPr>
          <w:rFonts w:ascii="Arial"/>
          <w:sz w:val="21"/>
        </w:rPr>
      </w:pPr>
    </w:p>
    <w:p w14:paraId="3B6A1216">
      <w:pPr>
        <w:spacing w:line="244" w:lineRule="auto"/>
        <w:rPr>
          <w:rFonts w:ascii="Arial"/>
          <w:sz w:val="21"/>
        </w:rPr>
      </w:pPr>
    </w:p>
    <w:p w14:paraId="5A68868A">
      <w:pPr>
        <w:spacing w:line="244" w:lineRule="auto"/>
        <w:rPr>
          <w:rFonts w:ascii="Arial"/>
          <w:sz w:val="21"/>
        </w:rPr>
      </w:pPr>
    </w:p>
    <w:p w14:paraId="00BB4AB5">
      <w:pPr>
        <w:spacing w:line="244" w:lineRule="auto"/>
        <w:rPr>
          <w:rFonts w:ascii="Arial"/>
          <w:sz w:val="21"/>
        </w:rPr>
      </w:pPr>
    </w:p>
    <w:p w14:paraId="27614C31">
      <w:pPr>
        <w:spacing w:line="244" w:lineRule="auto"/>
        <w:rPr>
          <w:rFonts w:ascii="Arial"/>
          <w:sz w:val="21"/>
        </w:rPr>
      </w:pPr>
    </w:p>
    <w:p w14:paraId="058B773A">
      <w:pPr>
        <w:spacing w:line="244" w:lineRule="auto"/>
        <w:rPr>
          <w:rFonts w:ascii="Arial"/>
          <w:sz w:val="21"/>
        </w:rPr>
      </w:pPr>
    </w:p>
    <w:p w14:paraId="106B8DBB">
      <w:pPr>
        <w:spacing w:line="244" w:lineRule="auto"/>
        <w:rPr>
          <w:rFonts w:ascii="Arial"/>
          <w:sz w:val="21"/>
        </w:rPr>
      </w:pPr>
    </w:p>
    <w:p w14:paraId="1640F971">
      <w:pPr>
        <w:spacing w:line="245" w:lineRule="auto"/>
        <w:rPr>
          <w:rFonts w:ascii="Arial"/>
          <w:sz w:val="21"/>
        </w:rPr>
      </w:pPr>
    </w:p>
    <w:p w14:paraId="3BA01A48">
      <w:pPr>
        <w:spacing w:line="245" w:lineRule="auto"/>
        <w:rPr>
          <w:rFonts w:ascii="Arial"/>
          <w:sz w:val="21"/>
        </w:rPr>
      </w:pPr>
    </w:p>
    <w:p w14:paraId="7AE5FB3A">
      <w:pPr>
        <w:spacing w:line="245" w:lineRule="auto"/>
        <w:rPr>
          <w:rFonts w:ascii="Arial"/>
          <w:sz w:val="21"/>
        </w:rPr>
      </w:pPr>
    </w:p>
    <w:p w14:paraId="581A367A">
      <w:pPr>
        <w:spacing w:line="245" w:lineRule="auto"/>
        <w:rPr>
          <w:rFonts w:ascii="Arial"/>
          <w:sz w:val="21"/>
        </w:rPr>
      </w:pPr>
    </w:p>
    <w:p w14:paraId="0A03FE08">
      <w:pPr>
        <w:spacing w:line="245" w:lineRule="auto"/>
        <w:rPr>
          <w:rFonts w:ascii="Arial"/>
          <w:sz w:val="21"/>
        </w:rPr>
      </w:pPr>
    </w:p>
    <w:p w14:paraId="1062DB17">
      <w:pPr>
        <w:spacing w:line="245" w:lineRule="auto"/>
        <w:rPr>
          <w:rFonts w:ascii="Arial"/>
          <w:sz w:val="21"/>
        </w:rPr>
      </w:pPr>
    </w:p>
    <w:p w14:paraId="1E129501">
      <w:pPr>
        <w:pStyle w:val="2"/>
        <w:spacing w:before="69" w:line="222" w:lineRule="auto"/>
        <w:ind w:left="939" w:right="51" w:hanging="939"/>
        <w:rPr>
          <w:sz w:val="21"/>
          <w:szCs w:val="21"/>
        </w:rPr>
      </w:pPr>
      <w:r>
        <w:rPr>
          <w:spacing w:val="2"/>
          <w:sz w:val="21"/>
          <w:szCs w:val="21"/>
        </w:rPr>
        <w:t>备注：1.如招标人为避免投标人中标后因流动资</w:t>
      </w:r>
      <w:r>
        <w:rPr>
          <w:spacing w:val="1"/>
          <w:sz w:val="21"/>
          <w:szCs w:val="21"/>
        </w:rPr>
        <w:t>金不足影响工程施工，而要求投标人具有一定的</w:t>
      </w:r>
      <w:r>
        <w:rPr>
          <w:sz w:val="21"/>
          <w:szCs w:val="21"/>
        </w:rPr>
        <w:t xml:space="preserve"> </w:t>
      </w:r>
      <w:r>
        <w:rPr>
          <w:spacing w:val="-1"/>
          <w:sz w:val="21"/>
          <w:szCs w:val="21"/>
        </w:rPr>
        <w:t>流动资金的，投标人应当填写此表。</w:t>
      </w:r>
    </w:p>
    <w:p w14:paraId="478A74BA">
      <w:pPr>
        <w:pStyle w:val="2"/>
        <w:spacing w:before="22" w:line="229" w:lineRule="auto"/>
        <w:ind w:left="939" w:hanging="320"/>
        <w:rPr>
          <w:sz w:val="21"/>
          <w:szCs w:val="21"/>
        </w:rPr>
      </w:pPr>
      <w:r>
        <w:rPr>
          <w:spacing w:val="1"/>
          <w:sz w:val="21"/>
          <w:szCs w:val="21"/>
        </w:rPr>
        <w:t>2. 资金来源填写银行存款、银行信贷或其它</w:t>
      </w:r>
      <w:r>
        <w:rPr>
          <w:sz w:val="21"/>
          <w:szCs w:val="21"/>
        </w:rPr>
        <w:t xml:space="preserve">形式，如银行授信总额度、本年度可使用的银 </w:t>
      </w:r>
      <w:r>
        <w:rPr>
          <w:spacing w:val="-6"/>
          <w:sz w:val="21"/>
          <w:szCs w:val="21"/>
        </w:rPr>
        <w:t>行授信余额等。</w:t>
      </w:r>
    </w:p>
    <w:p w14:paraId="7AF25F7F">
      <w:pPr>
        <w:pStyle w:val="2"/>
        <w:spacing w:before="20" w:line="233" w:lineRule="auto"/>
        <w:ind w:left="939" w:right="46" w:hanging="320"/>
        <w:rPr>
          <w:sz w:val="21"/>
          <w:szCs w:val="21"/>
        </w:rPr>
      </w:pPr>
      <w:r>
        <w:rPr>
          <w:spacing w:val="-1"/>
          <w:sz w:val="21"/>
          <w:szCs w:val="21"/>
        </w:rPr>
        <w:t>3. 本表后附相关资金来源证明文件扫描件，银行存款证明、银行信贷证明应采用相关银行</w:t>
      </w:r>
      <w:r>
        <w:rPr>
          <w:spacing w:val="15"/>
          <w:sz w:val="21"/>
          <w:szCs w:val="21"/>
        </w:rPr>
        <w:t xml:space="preserve"> </w:t>
      </w:r>
      <w:r>
        <w:rPr>
          <w:spacing w:val="-4"/>
          <w:sz w:val="21"/>
          <w:szCs w:val="21"/>
        </w:rPr>
        <w:t>出具的格式。</w:t>
      </w:r>
    </w:p>
    <w:p w14:paraId="6598F041">
      <w:pPr>
        <w:pStyle w:val="2"/>
        <w:spacing w:before="111" w:line="219" w:lineRule="auto"/>
        <w:ind w:left="619"/>
        <w:rPr>
          <w:sz w:val="21"/>
          <w:szCs w:val="21"/>
        </w:rPr>
      </w:pPr>
      <w:r>
        <w:rPr>
          <w:rFonts w:ascii="Times New Roman" w:hAnsi="Times New Roman" w:eastAsia="Times New Roman" w:cs="Times New Roman"/>
          <w:spacing w:val="-2"/>
          <w:sz w:val="21"/>
          <w:szCs w:val="21"/>
        </w:rPr>
        <w:t>4.</w:t>
      </w:r>
      <w:r>
        <w:rPr>
          <w:rFonts w:ascii="Times New Roman" w:hAnsi="Times New Roman" w:eastAsia="Times New Roman" w:cs="Times New Roman"/>
          <w:spacing w:val="24"/>
          <w:w w:val="101"/>
          <w:sz w:val="21"/>
          <w:szCs w:val="21"/>
        </w:rPr>
        <w:t xml:space="preserve">  </w:t>
      </w:r>
      <w:r>
        <w:rPr>
          <w:spacing w:val="-2"/>
          <w:sz w:val="21"/>
          <w:szCs w:val="21"/>
        </w:rPr>
        <w:t>招标人也可根据招标项目具体情况要求说明是否拥有有效期内的银行</w:t>
      </w:r>
      <w:r>
        <w:rPr>
          <w:rFonts w:ascii="Times New Roman" w:hAnsi="Times New Roman" w:eastAsia="Times New Roman" w:cs="Times New Roman"/>
          <w:spacing w:val="-2"/>
          <w:sz w:val="21"/>
          <w:szCs w:val="21"/>
        </w:rPr>
        <w:t xml:space="preserve">AAA </w:t>
      </w:r>
      <w:r>
        <w:rPr>
          <w:spacing w:val="-2"/>
          <w:sz w:val="21"/>
          <w:szCs w:val="21"/>
        </w:rPr>
        <w:t>资信证明。</w:t>
      </w:r>
    </w:p>
    <w:p w14:paraId="29CC3207">
      <w:pPr>
        <w:spacing w:line="219" w:lineRule="auto"/>
        <w:rPr>
          <w:sz w:val="21"/>
          <w:szCs w:val="21"/>
        </w:rPr>
        <w:sectPr>
          <w:footerReference r:id="rId385" w:type="default"/>
          <w:pgSz w:w="11910" w:h="16840"/>
          <w:pgMar w:top="400" w:right="1512" w:bottom="1147" w:left="1460" w:header="0" w:footer="1021" w:gutter="0"/>
          <w:cols w:space="720" w:num="1"/>
        </w:sectPr>
      </w:pPr>
    </w:p>
    <w:p w14:paraId="60391489">
      <w:pPr>
        <w:spacing w:line="265" w:lineRule="auto"/>
        <w:rPr>
          <w:rFonts w:ascii="Arial"/>
          <w:sz w:val="21"/>
        </w:rPr>
      </w:pPr>
    </w:p>
    <w:p w14:paraId="67F2D747">
      <w:pPr>
        <w:spacing w:line="265" w:lineRule="auto"/>
        <w:rPr>
          <w:rFonts w:ascii="Arial"/>
          <w:sz w:val="21"/>
        </w:rPr>
      </w:pPr>
    </w:p>
    <w:p w14:paraId="325792DD">
      <w:pPr>
        <w:spacing w:line="266" w:lineRule="auto"/>
        <w:rPr>
          <w:rFonts w:ascii="Arial"/>
          <w:sz w:val="21"/>
        </w:rPr>
      </w:pPr>
    </w:p>
    <w:p w14:paraId="0EE6A0DB">
      <w:pPr>
        <w:spacing w:line="266" w:lineRule="auto"/>
        <w:rPr>
          <w:rFonts w:ascii="Arial"/>
          <w:sz w:val="21"/>
        </w:rPr>
      </w:pPr>
    </w:p>
    <w:p w14:paraId="1E44FA54">
      <w:pPr>
        <w:spacing w:line="266" w:lineRule="auto"/>
        <w:rPr>
          <w:rFonts w:ascii="Arial"/>
          <w:sz w:val="21"/>
        </w:rPr>
      </w:pPr>
    </w:p>
    <w:p w14:paraId="3FD40F06">
      <w:pPr>
        <w:spacing w:line="266" w:lineRule="auto"/>
        <w:rPr>
          <w:rFonts w:ascii="Arial"/>
          <w:sz w:val="21"/>
        </w:rPr>
      </w:pPr>
    </w:p>
    <w:p w14:paraId="3F29DFC3">
      <w:pPr>
        <w:spacing w:before="91" w:line="221" w:lineRule="auto"/>
        <w:ind w:left="2167"/>
        <w:rPr>
          <w:rFonts w:ascii="黑体" w:hAnsi="黑体" w:eastAsia="黑体" w:cs="黑体"/>
          <w:sz w:val="28"/>
          <w:szCs w:val="28"/>
        </w:rPr>
      </w:pPr>
      <w:r>
        <w:rPr>
          <w:rFonts w:ascii="黑体" w:hAnsi="黑体" w:eastAsia="黑体" w:cs="黑体"/>
          <w:b/>
          <w:bCs/>
          <w:spacing w:val="-1"/>
          <w:sz w:val="28"/>
          <w:szCs w:val="28"/>
        </w:rPr>
        <w:t>拟投入的流动资金来源证明文件</w:t>
      </w:r>
    </w:p>
    <w:p w14:paraId="4D0C59A5">
      <w:pPr>
        <w:spacing w:line="221" w:lineRule="auto"/>
        <w:rPr>
          <w:rFonts w:ascii="黑体" w:hAnsi="黑体" w:eastAsia="黑体" w:cs="黑体"/>
          <w:sz w:val="28"/>
          <w:szCs w:val="28"/>
        </w:rPr>
        <w:sectPr>
          <w:footerReference r:id="rId386" w:type="default"/>
          <w:pgSz w:w="11910" w:h="16840"/>
          <w:pgMar w:top="400" w:right="1786" w:bottom="1147" w:left="1786" w:header="0" w:footer="1021" w:gutter="0"/>
          <w:cols w:space="720" w:num="1"/>
        </w:sectPr>
      </w:pPr>
    </w:p>
    <w:p w14:paraId="0A093B16">
      <w:pPr>
        <w:spacing w:line="277" w:lineRule="auto"/>
        <w:rPr>
          <w:rFonts w:ascii="Arial"/>
          <w:sz w:val="21"/>
        </w:rPr>
      </w:pPr>
    </w:p>
    <w:p w14:paraId="6B7B6937">
      <w:pPr>
        <w:spacing w:line="277" w:lineRule="auto"/>
        <w:rPr>
          <w:rFonts w:ascii="Arial"/>
          <w:sz w:val="21"/>
        </w:rPr>
      </w:pPr>
    </w:p>
    <w:p w14:paraId="422FE584">
      <w:pPr>
        <w:spacing w:line="277" w:lineRule="auto"/>
        <w:rPr>
          <w:rFonts w:ascii="Arial"/>
          <w:sz w:val="21"/>
        </w:rPr>
      </w:pPr>
    </w:p>
    <w:p w14:paraId="566C643D">
      <w:pPr>
        <w:spacing w:line="277" w:lineRule="auto"/>
        <w:rPr>
          <w:rFonts w:ascii="Arial"/>
          <w:sz w:val="21"/>
        </w:rPr>
      </w:pPr>
    </w:p>
    <w:p w14:paraId="2C6AE748">
      <w:pPr>
        <w:spacing w:line="277" w:lineRule="auto"/>
        <w:rPr>
          <w:rFonts w:ascii="Arial"/>
          <w:sz w:val="21"/>
        </w:rPr>
      </w:pPr>
    </w:p>
    <w:p w14:paraId="0B3209BB">
      <w:pPr>
        <w:spacing w:line="278" w:lineRule="auto"/>
        <w:rPr>
          <w:rFonts w:ascii="Arial"/>
          <w:sz w:val="21"/>
        </w:rPr>
      </w:pPr>
    </w:p>
    <w:p w14:paraId="49AE2890">
      <w:pPr>
        <w:spacing w:before="81" w:line="221" w:lineRule="auto"/>
        <w:ind w:left="2618"/>
        <w:rPr>
          <w:rFonts w:ascii="黑体" w:hAnsi="黑体" w:eastAsia="黑体" w:cs="黑体"/>
          <w:sz w:val="25"/>
          <w:szCs w:val="25"/>
        </w:rPr>
      </w:pPr>
      <w:r>
        <w:rPr>
          <w:rFonts w:ascii="黑体" w:hAnsi="黑体" w:eastAsia="黑体" w:cs="黑体"/>
          <w:b/>
          <w:bCs/>
          <w:spacing w:val="3"/>
          <w:sz w:val="25"/>
          <w:szCs w:val="25"/>
        </w:rPr>
        <w:t>(三)近5年完成的类似项目情况</w:t>
      </w:r>
    </w:p>
    <w:p w14:paraId="71944A1B">
      <w:pPr>
        <w:spacing w:line="456" w:lineRule="auto"/>
        <w:rPr>
          <w:rFonts w:ascii="Arial"/>
          <w:sz w:val="21"/>
        </w:rPr>
      </w:pPr>
    </w:p>
    <w:p w14:paraId="59C15484">
      <w:pPr>
        <w:spacing w:before="81" w:line="221" w:lineRule="auto"/>
        <w:ind w:left="2508"/>
        <w:rPr>
          <w:rFonts w:ascii="黑体" w:hAnsi="黑体" w:eastAsia="黑体" w:cs="黑体"/>
          <w:sz w:val="25"/>
          <w:szCs w:val="25"/>
        </w:rPr>
      </w:pPr>
      <w:r>
        <w:rPr>
          <w:rFonts w:ascii="黑体" w:hAnsi="黑体" w:eastAsia="黑体" w:cs="黑体"/>
          <w:b/>
          <w:bCs/>
          <w:sz w:val="25"/>
          <w:szCs w:val="25"/>
        </w:rPr>
        <w:t>3-1近5年完成的类似项目汇总表</w:t>
      </w:r>
    </w:p>
    <w:p w14:paraId="6BFC8481">
      <w:pPr>
        <w:spacing w:before="209"/>
      </w:pPr>
    </w:p>
    <w:tbl>
      <w:tblPr>
        <w:tblStyle w:val="5"/>
        <w:tblW w:w="883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44"/>
        <w:gridCol w:w="1838"/>
        <w:gridCol w:w="1398"/>
        <w:gridCol w:w="1079"/>
        <w:gridCol w:w="1108"/>
        <w:gridCol w:w="1788"/>
        <w:gridCol w:w="1084"/>
      </w:tblGrid>
      <w:tr w14:paraId="6F3172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4" w:hRule="atLeast"/>
        </w:trPr>
        <w:tc>
          <w:tcPr>
            <w:tcW w:w="544" w:type="dxa"/>
            <w:textDirection w:val="tbRlV"/>
            <w:vAlign w:val="top"/>
          </w:tcPr>
          <w:p w14:paraId="760E6416">
            <w:pPr>
              <w:pStyle w:val="6"/>
              <w:spacing w:before="181" w:line="199" w:lineRule="auto"/>
              <w:ind w:left="54"/>
            </w:pPr>
            <w:r>
              <w:t>序</w:t>
            </w:r>
            <w:r>
              <w:rPr>
                <w:spacing w:val="23"/>
              </w:rPr>
              <w:t xml:space="preserve">  </w:t>
            </w:r>
            <w:r>
              <w:t>号</w:t>
            </w:r>
          </w:p>
        </w:tc>
        <w:tc>
          <w:tcPr>
            <w:tcW w:w="1838" w:type="dxa"/>
            <w:vAlign w:val="top"/>
          </w:tcPr>
          <w:p w14:paraId="7D3816C7">
            <w:pPr>
              <w:pStyle w:val="6"/>
              <w:spacing w:before="134" w:line="220" w:lineRule="auto"/>
              <w:ind w:left="500"/>
            </w:pPr>
            <w:r>
              <w:rPr>
                <w:spacing w:val="2"/>
              </w:rPr>
              <w:t>项目名称</w:t>
            </w:r>
          </w:p>
        </w:tc>
        <w:tc>
          <w:tcPr>
            <w:tcW w:w="1398" w:type="dxa"/>
            <w:vAlign w:val="top"/>
          </w:tcPr>
          <w:p w14:paraId="57B88A2E">
            <w:pPr>
              <w:pStyle w:val="6"/>
              <w:spacing w:before="134" w:line="220" w:lineRule="auto"/>
              <w:ind w:left="182"/>
            </w:pPr>
            <w:r>
              <w:rPr>
                <w:spacing w:val="2"/>
              </w:rPr>
              <w:t>发包人名称</w:t>
            </w:r>
          </w:p>
        </w:tc>
        <w:tc>
          <w:tcPr>
            <w:tcW w:w="1079" w:type="dxa"/>
            <w:vAlign w:val="top"/>
          </w:tcPr>
          <w:p w14:paraId="3BBA1E04">
            <w:pPr>
              <w:pStyle w:val="6"/>
              <w:spacing w:before="143" w:line="219" w:lineRule="auto"/>
              <w:ind w:left="125"/>
            </w:pPr>
            <w:r>
              <w:rPr>
                <w:spacing w:val="-3"/>
              </w:rPr>
              <w:t>工程规模</w:t>
            </w:r>
          </w:p>
        </w:tc>
        <w:tc>
          <w:tcPr>
            <w:tcW w:w="1108" w:type="dxa"/>
            <w:vAlign w:val="top"/>
          </w:tcPr>
          <w:p w14:paraId="4AC850CD">
            <w:pPr>
              <w:pStyle w:val="6"/>
              <w:spacing w:before="141" w:line="218" w:lineRule="auto"/>
              <w:ind w:left="126"/>
            </w:pPr>
            <w:r>
              <w:rPr>
                <w:spacing w:val="-2"/>
              </w:rPr>
              <w:t>合同价格</w:t>
            </w:r>
          </w:p>
          <w:p w14:paraId="05AB85FB">
            <w:pPr>
              <w:pStyle w:val="6"/>
              <w:spacing w:before="164" w:line="202" w:lineRule="auto"/>
              <w:ind w:left="235"/>
            </w:pPr>
            <w:r>
              <w:rPr>
                <w:spacing w:val="11"/>
              </w:rPr>
              <w:t>(万元)</w:t>
            </w:r>
          </w:p>
        </w:tc>
        <w:tc>
          <w:tcPr>
            <w:tcW w:w="1788" w:type="dxa"/>
            <w:vAlign w:val="top"/>
          </w:tcPr>
          <w:p w14:paraId="5FF74247">
            <w:pPr>
              <w:pStyle w:val="6"/>
              <w:spacing w:before="143" w:line="219" w:lineRule="auto"/>
              <w:ind w:left="268"/>
            </w:pPr>
            <w:r>
              <w:rPr>
                <w:spacing w:val="2"/>
              </w:rPr>
              <w:t>开、竣工日期</w:t>
            </w:r>
          </w:p>
        </w:tc>
        <w:tc>
          <w:tcPr>
            <w:tcW w:w="1084" w:type="dxa"/>
            <w:vAlign w:val="top"/>
          </w:tcPr>
          <w:p w14:paraId="2DD5025A">
            <w:pPr>
              <w:pStyle w:val="6"/>
              <w:spacing w:before="144" w:line="220" w:lineRule="auto"/>
              <w:ind w:left="120"/>
            </w:pPr>
            <w:r>
              <w:rPr>
                <w:spacing w:val="-3"/>
              </w:rPr>
              <w:t>项目经理</w:t>
            </w:r>
          </w:p>
        </w:tc>
      </w:tr>
      <w:tr w14:paraId="3B2166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0" w:hRule="atLeast"/>
        </w:trPr>
        <w:tc>
          <w:tcPr>
            <w:tcW w:w="544" w:type="dxa"/>
            <w:vAlign w:val="top"/>
          </w:tcPr>
          <w:p w14:paraId="26D613A4">
            <w:pPr>
              <w:rPr>
                <w:rFonts w:ascii="Arial"/>
                <w:sz w:val="21"/>
              </w:rPr>
            </w:pPr>
          </w:p>
        </w:tc>
        <w:tc>
          <w:tcPr>
            <w:tcW w:w="1838" w:type="dxa"/>
            <w:vAlign w:val="top"/>
          </w:tcPr>
          <w:p w14:paraId="63F3D26A">
            <w:pPr>
              <w:rPr>
                <w:rFonts w:ascii="Arial"/>
                <w:sz w:val="21"/>
              </w:rPr>
            </w:pPr>
          </w:p>
        </w:tc>
        <w:tc>
          <w:tcPr>
            <w:tcW w:w="1398" w:type="dxa"/>
            <w:vAlign w:val="top"/>
          </w:tcPr>
          <w:p w14:paraId="0E2F8D71">
            <w:pPr>
              <w:rPr>
                <w:rFonts w:ascii="Arial"/>
                <w:sz w:val="21"/>
              </w:rPr>
            </w:pPr>
          </w:p>
        </w:tc>
        <w:tc>
          <w:tcPr>
            <w:tcW w:w="1079" w:type="dxa"/>
            <w:vAlign w:val="top"/>
          </w:tcPr>
          <w:p w14:paraId="10C0FE3F">
            <w:pPr>
              <w:rPr>
                <w:rFonts w:ascii="Arial"/>
                <w:sz w:val="21"/>
              </w:rPr>
            </w:pPr>
          </w:p>
        </w:tc>
        <w:tc>
          <w:tcPr>
            <w:tcW w:w="1108" w:type="dxa"/>
            <w:vAlign w:val="top"/>
          </w:tcPr>
          <w:p w14:paraId="03A8F68B">
            <w:pPr>
              <w:rPr>
                <w:rFonts w:ascii="Arial"/>
                <w:sz w:val="21"/>
              </w:rPr>
            </w:pPr>
          </w:p>
        </w:tc>
        <w:tc>
          <w:tcPr>
            <w:tcW w:w="1788" w:type="dxa"/>
            <w:vAlign w:val="top"/>
          </w:tcPr>
          <w:p w14:paraId="48057387">
            <w:pPr>
              <w:rPr>
                <w:rFonts w:ascii="Arial"/>
                <w:sz w:val="21"/>
              </w:rPr>
            </w:pPr>
          </w:p>
        </w:tc>
        <w:tc>
          <w:tcPr>
            <w:tcW w:w="1084" w:type="dxa"/>
            <w:vAlign w:val="top"/>
          </w:tcPr>
          <w:p w14:paraId="097C0463">
            <w:pPr>
              <w:rPr>
                <w:rFonts w:ascii="Arial"/>
                <w:sz w:val="21"/>
              </w:rPr>
            </w:pPr>
          </w:p>
        </w:tc>
      </w:tr>
      <w:tr w14:paraId="66A16D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9" w:hRule="atLeast"/>
        </w:trPr>
        <w:tc>
          <w:tcPr>
            <w:tcW w:w="544" w:type="dxa"/>
            <w:vAlign w:val="top"/>
          </w:tcPr>
          <w:p w14:paraId="53BB9777">
            <w:pPr>
              <w:rPr>
                <w:rFonts w:ascii="Arial"/>
                <w:sz w:val="21"/>
              </w:rPr>
            </w:pPr>
          </w:p>
        </w:tc>
        <w:tc>
          <w:tcPr>
            <w:tcW w:w="1838" w:type="dxa"/>
            <w:vAlign w:val="top"/>
          </w:tcPr>
          <w:p w14:paraId="354DE75D">
            <w:pPr>
              <w:rPr>
                <w:rFonts w:ascii="Arial"/>
                <w:sz w:val="21"/>
              </w:rPr>
            </w:pPr>
          </w:p>
        </w:tc>
        <w:tc>
          <w:tcPr>
            <w:tcW w:w="1398" w:type="dxa"/>
            <w:vAlign w:val="top"/>
          </w:tcPr>
          <w:p w14:paraId="3661D082">
            <w:pPr>
              <w:rPr>
                <w:rFonts w:ascii="Arial"/>
                <w:sz w:val="21"/>
              </w:rPr>
            </w:pPr>
          </w:p>
        </w:tc>
        <w:tc>
          <w:tcPr>
            <w:tcW w:w="1079" w:type="dxa"/>
            <w:vAlign w:val="top"/>
          </w:tcPr>
          <w:p w14:paraId="2300ED82">
            <w:pPr>
              <w:rPr>
                <w:rFonts w:ascii="Arial"/>
                <w:sz w:val="21"/>
              </w:rPr>
            </w:pPr>
          </w:p>
        </w:tc>
        <w:tc>
          <w:tcPr>
            <w:tcW w:w="1108" w:type="dxa"/>
            <w:vAlign w:val="top"/>
          </w:tcPr>
          <w:p w14:paraId="134CF873">
            <w:pPr>
              <w:rPr>
                <w:rFonts w:ascii="Arial"/>
                <w:sz w:val="21"/>
              </w:rPr>
            </w:pPr>
          </w:p>
        </w:tc>
        <w:tc>
          <w:tcPr>
            <w:tcW w:w="1788" w:type="dxa"/>
            <w:vAlign w:val="top"/>
          </w:tcPr>
          <w:p w14:paraId="4DADCBD8">
            <w:pPr>
              <w:rPr>
                <w:rFonts w:ascii="Arial"/>
                <w:sz w:val="21"/>
              </w:rPr>
            </w:pPr>
          </w:p>
        </w:tc>
        <w:tc>
          <w:tcPr>
            <w:tcW w:w="1084" w:type="dxa"/>
            <w:vAlign w:val="top"/>
          </w:tcPr>
          <w:p w14:paraId="2F133137">
            <w:pPr>
              <w:rPr>
                <w:rFonts w:ascii="Arial"/>
                <w:sz w:val="21"/>
              </w:rPr>
            </w:pPr>
          </w:p>
        </w:tc>
      </w:tr>
      <w:tr w14:paraId="31738C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544" w:type="dxa"/>
            <w:vAlign w:val="top"/>
          </w:tcPr>
          <w:p w14:paraId="3A8820AC">
            <w:pPr>
              <w:rPr>
                <w:rFonts w:ascii="Arial"/>
                <w:sz w:val="21"/>
              </w:rPr>
            </w:pPr>
          </w:p>
        </w:tc>
        <w:tc>
          <w:tcPr>
            <w:tcW w:w="1838" w:type="dxa"/>
            <w:vAlign w:val="top"/>
          </w:tcPr>
          <w:p w14:paraId="10515AB2">
            <w:pPr>
              <w:rPr>
                <w:rFonts w:ascii="Arial"/>
                <w:sz w:val="21"/>
              </w:rPr>
            </w:pPr>
          </w:p>
        </w:tc>
        <w:tc>
          <w:tcPr>
            <w:tcW w:w="1398" w:type="dxa"/>
            <w:vAlign w:val="top"/>
          </w:tcPr>
          <w:p w14:paraId="68E902F6">
            <w:pPr>
              <w:rPr>
                <w:rFonts w:ascii="Arial"/>
                <w:sz w:val="21"/>
              </w:rPr>
            </w:pPr>
          </w:p>
        </w:tc>
        <w:tc>
          <w:tcPr>
            <w:tcW w:w="1079" w:type="dxa"/>
            <w:vAlign w:val="top"/>
          </w:tcPr>
          <w:p w14:paraId="51A70037">
            <w:pPr>
              <w:rPr>
                <w:rFonts w:ascii="Arial"/>
                <w:sz w:val="21"/>
              </w:rPr>
            </w:pPr>
          </w:p>
        </w:tc>
        <w:tc>
          <w:tcPr>
            <w:tcW w:w="1108" w:type="dxa"/>
            <w:vAlign w:val="top"/>
          </w:tcPr>
          <w:p w14:paraId="0A39B309">
            <w:pPr>
              <w:rPr>
                <w:rFonts w:ascii="Arial"/>
                <w:sz w:val="21"/>
              </w:rPr>
            </w:pPr>
          </w:p>
        </w:tc>
        <w:tc>
          <w:tcPr>
            <w:tcW w:w="1788" w:type="dxa"/>
            <w:vAlign w:val="top"/>
          </w:tcPr>
          <w:p w14:paraId="2C103CC8">
            <w:pPr>
              <w:rPr>
                <w:rFonts w:ascii="Arial"/>
                <w:sz w:val="21"/>
              </w:rPr>
            </w:pPr>
          </w:p>
        </w:tc>
        <w:tc>
          <w:tcPr>
            <w:tcW w:w="1084" w:type="dxa"/>
            <w:vAlign w:val="top"/>
          </w:tcPr>
          <w:p w14:paraId="44B93134">
            <w:pPr>
              <w:rPr>
                <w:rFonts w:ascii="Arial"/>
                <w:sz w:val="21"/>
              </w:rPr>
            </w:pPr>
          </w:p>
        </w:tc>
      </w:tr>
      <w:tr w14:paraId="391031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9" w:hRule="atLeast"/>
        </w:trPr>
        <w:tc>
          <w:tcPr>
            <w:tcW w:w="544" w:type="dxa"/>
            <w:vAlign w:val="top"/>
          </w:tcPr>
          <w:p w14:paraId="19E163FF">
            <w:pPr>
              <w:rPr>
                <w:rFonts w:ascii="Arial"/>
                <w:sz w:val="21"/>
              </w:rPr>
            </w:pPr>
          </w:p>
        </w:tc>
        <w:tc>
          <w:tcPr>
            <w:tcW w:w="1838" w:type="dxa"/>
            <w:vAlign w:val="top"/>
          </w:tcPr>
          <w:p w14:paraId="2661D42E">
            <w:pPr>
              <w:rPr>
                <w:rFonts w:ascii="Arial"/>
                <w:sz w:val="21"/>
              </w:rPr>
            </w:pPr>
          </w:p>
        </w:tc>
        <w:tc>
          <w:tcPr>
            <w:tcW w:w="1398" w:type="dxa"/>
            <w:vAlign w:val="top"/>
          </w:tcPr>
          <w:p w14:paraId="2B02E4B2">
            <w:pPr>
              <w:rPr>
                <w:rFonts w:ascii="Arial"/>
                <w:sz w:val="21"/>
              </w:rPr>
            </w:pPr>
          </w:p>
        </w:tc>
        <w:tc>
          <w:tcPr>
            <w:tcW w:w="1079" w:type="dxa"/>
            <w:vAlign w:val="top"/>
          </w:tcPr>
          <w:p w14:paraId="48EE085B">
            <w:pPr>
              <w:rPr>
                <w:rFonts w:ascii="Arial"/>
                <w:sz w:val="21"/>
              </w:rPr>
            </w:pPr>
          </w:p>
        </w:tc>
        <w:tc>
          <w:tcPr>
            <w:tcW w:w="1108" w:type="dxa"/>
            <w:vAlign w:val="top"/>
          </w:tcPr>
          <w:p w14:paraId="36DD237D">
            <w:pPr>
              <w:rPr>
                <w:rFonts w:ascii="Arial"/>
                <w:sz w:val="21"/>
              </w:rPr>
            </w:pPr>
          </w:p>
        </w:tc>
        <w:tc>
          <w:tcPr>
            <w:tcW w:w="1788" w:type="dxa"/>
            <w:vAlign w:val="top"/>
          </w:tcPr>
          <w:p w14:paraId="09CF1349">
            <w:pPr>
              <w:rPr>
                <w:rFonts w:ascii="Arial"/>
                <w:sz w:val="21"/>
              </w:rPr>
            </w:pPr>
          </w:p>
        </w:tc>
        <w:tc>
          <w:tcPr>
            <w:tcW w:w="1084" w:type="dxa"/>
            <w:vAlign w:val="top"/>
          </w:tcPr>
          <w:p w14:paraId="181964C2">
            <w:pPr>
              <w:rPr>
                <w:rFonts w:ascii="Arial"/>
                <w:sz w:val="21"/>
              </w:rPr>
            </w:pPr>
          </w:p>
        </w:tc>
      </w:tr>
      <w:tr w14:paraId="13E895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9" w:hRule="atLeast"/>
        </w:trPr>
        <w:tc>
          <w:tcPr>
            <w:tcW w:w="544" w:type="dxa"/>
            <w:vAlign w:val="top"/>
          </w:tcPr>
          <w:p w14:paraId="4DA9EF08">
            <w:pPr>
              <w:rPr>
                <w:rFonts w:ascii="Arial"/>
                <w:sz w:val="21"/>
              </w:rPr>
            </w:pPr>
          </w:p>
        </w:tc>
        <w:tc>
          <w:tcPr>
            <w:tcW w:w="1838" w:type="dxa"/>
            <w:vAlign w:val="top"/>
          </w:tcPr>
          <w:p w14:paraId="49403BCA">
            <w:pPr>
              <w:rPr>
                <w:rFonts w:ascii="Arial"/>
                <w:sz w:val="21"/>
              </w:rPr>
            </w:pPr>
          </w:p>
        </w:tc>
        <w:tc>
          <w:tcPr>
            <w:tcW w:w="1398" w:type="dxa"/>
            <w:vAlign w:val="top"/>
          </w:tcPr>
          <w:p w14:paraId="4E2B442B">
            <w:pPr>
              <w:rPr>
                <w:rFonts w:ascii="Arial"/>
                <w:sz w:val="21"/>
              </w:rPr>
            </w:pPr>
          </w:p>
        </w:tc>
        <w:tc>
          <w:tcPr>
            <w:tcW w:w="1079" w:type="dxa"/>
            <w:vAlign w:val="top"/>
          </w:tcPr>
          <w:p w14:paraId="40EBCB0B">
            <w:pPr>
              <w:rPr>
                <w:rFonts w:ascii="Arial"/>
                <w:sz w:val="21"/>
              </w:rPr>
            </w:pPr>
          </w:p>
        </w:tc>
        <w:tc>
          <w:tcPr>
            <w:tcW w:w="1108" w:type="dxa"/>
            <w:vAlign w:val="top"/>
          </w:tcPr>
          <w:p w14:paraId="2442069E">
            <w:pPr>
              <w:rPr>
                <w:rFonts w:ascii="Arial"/>
                <w:sz w:val="21"/>
              </w:rPr>
            </w:pPr>
          </w:p>
        </w:tc>
        <w:tc>
          <w:tcPr>
            <w:tcW w:w="1788" w:type="dxa"/>
            <w:vAlign w:val="top"/>
          </w:tcPr>
          <w:p w14:paraId="2654BFE9">
            <w:pPr>
              <w:rPr>
                <w:rFonts w:ascii="Arial"/>
                <w:sz w:val="21"/>
              </w:rPr>
            </w:pPr>
          </w:p>
        </w:tc>
        <w:tc>
          <w:tcPr>
            <w:tcW w:w="1084" w:type="dxa"/>
            <w:vAlign w:val="top"/>
          </w:tcPr>
          <w:p w14:paraId="3B2946B0">
            <w:pPr>
              <w:rPr>
                <w:rFonts w:ascii="Arial"/>
                <w:sz w:val="21"/>
              </w:rPr>
            </w:pPr>
          </w:p>
        </w:tc>
      </w:tr>
      <w:tr w14:paraId="28722C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atLeast"/>
        </w:trPr>
        <w:tc>
          <w:tcPr>
            <w:tcW w:w="544" w:type="dxa"/>
            <w:vAlign w:val="top"/>
          </w:tcPr>
          <w:p w14:paraId="1FCE84D3">
            <w:pPr>
              <w:rPr>
                <w:rFonts w:ascii="Arial"/>
                <w:sz w:val="21"/>
              </w:rPr>
            </w:pPr>
          </w:p>
        </w:tc>
        <w:tc>
          <w:tcPr>
            <w:tcW w:w="1838" w:type="dxa"/>
            <w:vAlign w:val="top"/>
          </w:tcPr>
          <w:p w14:paraId="6918880E">
            <w:pPr>
              <w:rPr>
                <w:rFonts w:ascii="Arial"/>
                <w:sz w:val="21"/>
              </w:rPr>
            </w:pPr>
          </w:p>
        </w:tc>
        <w:tc>
          <w:tcPr>
            <w:tcW w:w="1398" w:type="dxa"/>
            <w:vAlign w:val="top"/>
          </w:tcPr>
          <w:p w14:paraId="11A84FDF">
            <w:pPr>
              <w:rPr>
                <w:rFonts w:ascii="Arial"/>
                <w:sz w:val="21"/>
              </w:rPr>
            </w:pPr>
          </w:p>
        </w:tc>
        <w:tc>
          <w:tcPr>
            <w:tcW w:w="1079" w:type="dxa"/>
            <w:vAlign w:val="top"/>
          </w:tcPr>
          <w:p w14:paraId="21AE2F21">
            <w:pPr>
              <w:rPr>
                <w:rFonts w:ascii="Arial"/>
                <w:sz w:val="21"/>
              </w:rPr>
            </w:pPr>
          </w:p>
        </w:tc>
        <w:tc>
          <w:tcPr>
            <w:tcW w:w="1108" w:type="dxa"/>
            <w:vAlign w:val="top"/>
          </w:tcPr>
          <w:p w14:paraId="5CE2DCCA">
            <w:pPr>
              <w:rPr>
                <w:rFonts w:ascii="Arial"/>
                <w:sz w:val="21"/>
              </w:rPr>
            </w:pPr>
          </w:p>
        </w:tc>
        <w:tc>
          <w:tcPr>
            <w:tcW w:w="1788" w:type="dxa"/>
            <w:vAlign w:val="top"/>
          </w:tcPr>
          <w:p w14:paraId="14B1734E">
            <w:pPr>
              <w:rPr>
                <w:rFonts w:ascii="Arial"/>
                <w:sz w:val="21"/>
              </w:rPr>
            </w:pPr>
          </w:p>
        </w:tc>
        <w:tc>
          <w:tcPr>
            <w:tcW w:w="1084" w:type="dxa"/>
            <w:vAlign w:val="top"/>
          </w:tcPr>
          <w:p w14:paraId="6B82B3C6">
            <w:pPr>
              <w:rPr>
                <w:rFonts w:ascii="Arial"/>
                <w:sz w:val="21"/>
              </w:rPr>
            </w:pPr>
          </w:p>
        </w:tc>
      </w:tr>
      <w:tr w14:paraId="03C618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0" w:hRule="atLeast"/>
        </w:trPr>
        <w:tc>
          <w:tcPr>
            <w:tcW w:w="544" w:type="dxa"/>
            <w:vAlign w:val="top"/>
          </w:tcPr>
          <w:p w14:paraId="45F97DA8">
            <w:pPr>
              <w:rPr>
                <w:rFonts w:ascii="Arial"/>
                <w:sz w:val="21"/>
              </w:rPr>
            </w:pPr>
          </w:p>
        </w:tc>
        <w:tc>
          <w:tcPr>
            <w:tcW w:w="1838" w:type="dxa"/>
            <w:vAlign w:val="top"/>
          </w:tcPr>
          <w:p w14:paraId="29C62B06">
            <w:pPr>
              <w:rPr>
                <w:rFonts w:ascii="Arial"/>
                <w:sz w:val="21"/>
              </w:rPr>
            </w:pPr>
          </w:p>
        </w:tc>
        <w:tc>
          <w:tcPr>
            <w:tcW w:w="1398" w:type="dxa"/>
            <w:vAlign w:val="top"/>
          </w:tcPr>
          <w:p w14:paraId="4B80F373">
            <w:pPr>
              <w:rPr>
                <w:rFonts w:ascii="Arial"/>
                <w:sz w:val="21"/>
              </w:rPr>
            </w:pPr>
          </w:p>
        </w:tc>
        <w:tc>
          <w:tcPr>
            <w:tcW w:w="1079" w:type="dxa"/>
            <w:vAlign w:val="top"/>
          </w:tcPr>
          <w:p w14:paraId="70CAFEC0">
            <w:pPr>
              <w:rPr>
                <w:rFonts w:ascii="Arial"/>
                <w:sz w:val="21"/>
              </w:rPr>
            </w:pPr>
          </w:p>
        </w:tc>
        <w:tc>
          <w:tcPr>
            <w:tcW w:w="1108" w:type="dxa"/>
            <w:vAlign w:val="top"/>
          </w:tcPr>
          <w:p w14:paraId="1ED201EA">
            <w:pPr>
              <w:rPr>
                <w:rFonts w:ascii="Arial"/>
                <w:sz w:val="21"/>
              </w:rPr>
            </w:pPr>
          </w:p>
        </w:tc>
        <w:tc>
          <w:tcPr>
            <w:tcW w:w="1788" w:type="dxa"/>
            <w:vAlign w:val="top"/>
          </w:tcPr>
          <w:p w14:paraId="4F99C8CC">
            <w:pPr>
              <w:rPr>
                <w:rFonts w:ascii="Arial"/>
                <w:sz w:val="21"/>
              </w:rPr>
            </w:pPr>
          </w:p>
        </w:tc>
        <w:tc>
          <w:tcPr>
            <w:tcW w:w="1084" w:type="dxa"/>
            <w:vAlign w:val="top"/>
          </w:tcPr>
          <w:p w14:paraId="45211861">
            <w:pPr>
              <w:rPr>
                <w:rFonts w:ascii="Arial"/>
                <w:sz w:val="21"/>
              </w:rPr>
            </w:pPr>
          </w:p>
        </w:tc>
      </w:tr>
      <w:tr w14:paraId="5B33DE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9" w:hRule="atLeast"/>
        </w:trPr>
        <w:tc>
          <w:tcPr>
            <w:tcW w:w="544" w:type="dxa"/>
            <w:vAlign w:val="top"/>
          </w:tcPr>
          <w:p w14:paraId="3A7A9526">
            <w:pPr>
              <w:rPr>
                <w:rFonts w:ascii="Arial"/>
                <w:sz w:val="21"/>
              </w:rPr>
            </w:pPr>
          </w:p>
        </w:tc>
        <w:tc>
          <w:tcPr>
            <w:tcW w:w="1838" w:type="dxa"/>
            <w:vAlign w:val="top"/>
          </w:tcPr>
          <w:p w14:paraId="2A0049FC">
            <w:pPr>
              <w:rPr>
                <w:rFonts w:ascii="Arial"/>
                <w:sz w:val="21"/>
              </w:rPr>
            </w:pPr>
          </w:p>
        </w:tc>
        <w:tc>
          <w:tcPr>
            <w:tcW w:w="1398" w:type="dxa"/>
            <w:vAlign w:val="top"/>
          </w:tcPr>
          <w:p w14:paraId="1B778892">
            <w:pPr>
              <w:rPr>
                <w:rFonts w:ascii="Arial"/>
                <w:sz w:val="21"/>
              </w:rPr>
            </w:pPr>
          </w:p>
        </w:tc>
        <w:tc>
          <w:tcPr>
            <w:tcW w:w="1079" w:type="dxa"/>
            <w:vAlign w:val="top"/>
          </w:tcPr>
          <w:p w14:paraId="530537F5">
            <w:pPr>
              <w:rPr>
                <w:rFonts w:ascii="Arial"/>
                <w:sz w:val="21"/>
              </w:rPr>
            </w:pPr>
          </w:p>
        </w:tc>
        <w:tc>
          <w:tcPr>
            <w:tcW w:w="1108" w:type="dxa"/>
            <w:vAlign w:val="top"/>
          </w:tcPr>
          <w:p w14:paraId="1411A807">
            <w:pPr>
              <w:rPr>
                <w:rFonts w:ascii="Arial"/>
                <w:sz w:val="21"/>
              </w:rPr>
            </w:pPr>
          </w:p>
        </w:tc>
        <w:tc>
          <w:tcPr>
            <w:tcW w:w="1788" w:type="dxa"/>
            <w:vAlign w:val="top"/>
          </w:tcPr>
          <w:p w14:paraId="48E32548">
            <w:pPr>
              <w:rPr>
                <w:rFonts w:ascii="Arial"/>
                <w:sz w:val="21"/>
              </w:rPr>
            </w:pPr>
          </w:p>
        </w:tc>
        <w:tc>
          <w:tcPr>
            <w:tcW w:w="1084" w:type="dxa"/>
            <w:vAlign w:val="top"/>
          </w:tcPr>
          <w:p w14:paraId="763CFCF4">
            <w:pPr>
              <w:rPr>
                <w:rFonts w:ascii="Arial"/>
                <w:sz w:val="21"/>
              </w:rPr>
            </w:pPr>
          </w:p>
        </w:tc>
      </w:tr>
      <w:tr w14:paraId="5CA301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544" w:type="dxa"/>
            <w:vAlign w:val="top"/>
          </w:tcPr>
          <w:p w14:paraId="44C15016">
            <w:pPr>
              <w:rPr>
                <w:rFonts w:ascii="Arial"/>
                <w:sz w:val="21"/>
              </w:rPr>
            </w:pPr>
          </w:p>
        </w:tc>
        <w:tc>
          <w:tcPr>
            <w:tcW w:w="1838" w:type="dxa"/>
            <w:vAlign w:val="top"/>
          </w:tcPr>
          <w:p w14:paraId="14E3F7D5">
            <w:pPr>
              <w:rPr>
                <w:rFonts w:ascii="Arial"/>
                <w:sz w:val="21"/>
              </w:rPr>
            </w:pPr>
          </w:p>
        </w:tc>
        <w:tc>
          <w:tcPr>
            <w:tcW w:w="1398" w:type="dxa"/>
            <w:vAlign w:val="top"/>
          </w:tcPr>
          <w:p w14:paraId="3BFAB706">
            <w:pPr>
              <w:rPr>
                <w:rFonts w:ascii="Arial"/>
                <w:sz w:val="21"/>
              </w:rPr>
            </w:pPr>
          </w:p>
        </w:tc>
        <w:tc>
          <w:tcPr>
            <w:tcW w:w="1079" w:type="dxa"/>
            <w:vAlign w:val="top"/>
          </w:tcPr>
          <w:p w14:paraId="2CF4545B">
            <w:pPr>
              <w:rPr>
                <w:rFonts w:ascii="Arial"/>
                <w:sz w:val="21"/>
              </w:rPr>
            </w:pPr>
          </w:p>
        </w:tc>
        <w:tc>
          <w:tcPr>
            <w:tcW w:w="1108" w:type="dxa"/>
            <w:vAlign w:val="top"/>
          </w:tcPr>
          <w:p w14:paraId="09529EC6">
            <w:pPr>
              <w:rPr>
                <w:rFonts w:ascii="Arial"/>
                <w:sz w:val="21"/>
              </w:rPr>
            </w:pPr>
          </w:p>
        </w:tc>
        <w:tc>
          <w:tcPr>
            <w:tcW w:w="1788" w:type="dxa"/>
            <w:vAlign w:val="top"/>
          </w:tcPr>
          <w:p w14:paraId="6AADB2BC">
            <w:pPr>
              <w:rPr>
                <w:rFonts w:ascii="Arial"/>
                <w:sz w:val="21"/>
              </w:rPr>
            </w:pPr>
          </w:p>
        </w:tc>
        <w:tc>
          <w:tcPr>
            <w:tcW w:w="1084" w:type="dxa"/>
            <w:vAlign w:val="top"/>
          </w:tcPr>
          <w:p w14:paraId="1969F429">
            <w:pPr>
              <w:rPr>
                <w:rFonts w:ascii="Arial"/>
                <w:sz w:val="21"/>
              </w:rPr>
            </w:pPr>
          </w:p>
        </w:tc>
      </w:tr>
      <w:tr w14:paraId="17024D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9" w:hRule="atLeast"/>
        </w:trPr>
        <w:tc>
          <w:tcPr>
            <w:tcW w:w="544" w:type="dxa"/>
            <w:vAlign w:val="top"/>
          </w:tcPr>
          <w:p w14:paraId="0FA6EA16">
            <w:pPr>
              <w:rPr>
                <w:rFonts w:ascii="Arial"/>
                <w:sz w:val="21"/>
              </w:rPr>
            </w:pPr>
          </w:p>
        </w:tc>
        <w:tc>
          <w:tcPr>
            <w:tcW w:w="1838" w:type="dxa"/>
            <w:vAlign w:val="top"/>
          </w:tcPr>
          <w:p w14:paraId="1D6CCAC0">
            <w:pPr>
              <w:rPr>
                <w:rFonts w:ascii="Arial"/>
                <w:sz w:val="21"/>
              </w:rPr>
            </w:pPr>
          </w:p>
        </w:tc>
        <w:tc>
          <w:tcPr>
            <w:tcW w:w="1398" w:type="dxa"/>
            <w:vAlign w:val="top"/>
          </w:tcPr>
          <w:p w14:paraId="2031F25C">
            <w:pPr>
              <w:rPr>
                <w:rFonts w:ascii="Arial"/>
                <w:sz w:val="21"/>
              </w:rPr>
            </w:pPr>
          </w:p>
        </w:tc>
        <w:tc>
          <w:tcPr>
            <w:tcW w:w="1079" w:type="dxa"/>
            <w:vAlign w:val="top"/>
          </w:tcPr>
          <w:p w14:paraId="3426EF1E">
            <w:pPr>
              <w:rPr>
                <w:rFonts w:ascii="Arial"/>
                <w:sz w:val="21"/>
              </w:rPr>
            </w:pPr>
          </w:p>
        </w:tc>
        <w:tc>
          <w:tcPr>
            <w:tcW w:w="1108" w:type="dxa"/>
            <w:vAlign w:val="top"/>
          </w:tcPr>
          <w:p w14:paraId="36EB178C">
            <w:pPr>
              <w:rPr>
                <w:rFonts w:ascii="Arial"/>
                <w:sz w:val="21"/>
              </w:rPr>
            </w:pPr>
          </w:p>
        </w:tc>
        <w:tc>
          <w:tcPr>
            <w:tcW w:w="1788" w:type="dxa"/>
            <w:vAlign w:val="top"/>
          </w:tcPr>
          <w:p w14:paraId="167612A0">
            <w:pPr>
              <w:rPr>
                <w:rFonts w:ascii="Arial"/>
                <w:sz w:val="21"/>
              </w:rPr>
            </w:pPr>
          </w:p>
        </w:tc>
        <w:tc>
          <w:tcPr>
            <w:tcW w:w="1084" w:type="dxa"/>
            <w:vAlign w:val="top"/>
          </w:tcPr>
          <w:p w14:paraId="56B54AA1">
            <w:pPr>
              <w:rPr>
                <w:rFonts w:ascii="Arial"/>
                <w:sz w:val="21"/>
              </w:rPr>
            </w:pPr>
          </w:p>
        </w:tc>
      </w:tr>
      <w:tr w14:paraId="1B2137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544" w:type="dxa"/>
            <w:vAlign w:val="top"/>
          </w:tcPr>
          <w:p w14:paraId="6E15E7DA">
            <w:pPr>
              <w:rPr>
                <w:rFonts w:ascii="Arial"/>
                <w:sz w:val="21"/>
              </w:rPr>
            </w:pPr>
          </w:p>
        </w:tc>
        <w:tc>
          <w:tcPr>
            <w:tcW w:w="1838" w:type="dxa"/>
            <w:vAlign w:val="top"/>
          </w:tcPr>
          <w:p w14:paraId="2457BEB3">
            <w:pPr>
              <w:rPr>
                <w:rFonts w:ascii="Arial"/>
                <w:sz w:val="21"/>
              </w:rPr>
            </w:pPr>
          </w:p>
        </w:tc>
        <w:tc>
          <w:tcPr>
            <w:tcW w:w="1398" w:type="dxa"/>
            <w:vAlign w:val="top"/>
          </w:tcPr>
          <w:p w14:paraId="3906179A">
            <w:pPr>
              <w:rPr>
                <w:rFonts w:ascii="Arial"/>
                <w:sz w:val="21"/>
              </w:rPr>
            </w:pPr>
          </w:p>
        </w:tc>
        <w:tc>
          <w:tcPr>
            <w:tcW w:w="1079" w:type="dxa"/>
            <w:vAlign w:val="top"/>
          </w:tcPr>
          <w:p w14:paraId="38F8CDF4">
            <w:pPr>
              <w:rPr>
                <w:rFonts w:ascii="Arial"/>
                <w:sz w:val="21"/>
              </w:rPr>
            </w:pPr>
          </w:p>
        </w:tc>
        <w:tc>
          <w:tcPr>
            <w:tcW w:w="1108" w:type="dxa"/>
            <w:vAlign w:val="top"/>
          </w:tcPr>
          <w:p w14:paraId="23F2BE0A">
            <w:pPr>
              <w:rPr>
                <w:rFonts w:ascii="Arial"/>
                <w:sz w:val="21"/>
              </w:rPr>
            </w:pPr>
          </w:p>
        </w:tc>
        <w:tc>
          <w:tcPr>
            <w:tcW w:w="1788" w:type="dxa"/>
            <w:vAlign w:val="top"/>
          </w:tcPr>
          <w:p w14:paraId="0F8895C3">
            <w:pPr>
              <w:rPr>
                <w:rFonts w:ascii="Arial"/>
                <w:sz w:val="21"/>
              </w:rPr>
            </w:pPr>
          </w:p>
        </w:tc>
        <w:tc>
          <w:tcPr>
            <w:tcW w:w="1084" w:type="dxa"/>
            <w:vAlign w:val="top"/>
          </w:tcPr>
          <w:p w14:paraId="1387EBAC">
            <w:pPr>
              <w:rPr>
                <w:rFonts w:ascii="Arial"/>
                <w:sz w:val="21"/>
              </w:rPr>
            </w:pPr>
          </w:p>
        </w:tc>
      </w:tr>
      <w:tr w14:paraId="2E6CF6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544" w:type="dxa"/>
            <w:vAlign w:val="top"/>
          </w:tcPr>
          <w:p w14:paraId="090962B5">
            <w:pPr>
              <w:rPr>
                <w:rFonts w:ascii="Arial"/>
                <w:sz w:val="21"/>
              </w:rPr>
            </w:pPr>
          </w:p>
        </w:tc>
        <w:tc>
          <w:tcPr>
            <w:tcW w:w="1838" w:type="dxa"/>
            <w:vAlign w:val="top"/>
          </w:tcPr>
          <w:p w14:paraId="07D8CFC7">
            <w:pPr>
              <w:rPr>
                <w:rFonts w:ascii="Arial"/>
                <w:sz w:val="21"/>
              </w:rPr>
            </w:pPr>
          </w:p>
        </w:tc>
        <w:tc>
          <w:tcPr>
            <w:tcW w:w="1398" w:type="dxa"/>
            <w:vAlign w:val="top"/>
          </w:tcPr>
          <w:p w14:paraId="379616F0">
            <w:pPr>
              <w:rPr>
                <w:rFonts w:ascii="Arial"/>
                <w:sz w:val="21"/>
              </w:rPr>
            </w:pPr>
          </w:p>
        </w:tc>
        <w:tc>
          <w:tcPr>
            <w:tcW w:w="1079" w:type="dxa"/>
            <w:vAlign w:val="top"/>
          </w:tcPr>
          <w:p w14:paraId="27EB603E">
            <w:pPr>
              <w:rPr>
                <w:rFonts w:ascii="Arial"/>
                <w:sz w:val="21"/>
              </w:rPr>
            </w:pPr>
          </w:p>
        </w:tc>
        <w:tc>
          <w:tcPr>
            <w:tcW w:w="1108" w:type="dxa"/>
            <w:vAlign w:val="top"/>
          </w:tcPr>
          <w:p w14:paraId="660598A6">
            <w:pPr>
              <w:rPr>
                <w:rFonts w:ascii="Arial"/>
                <w:sz w:val="21"/>
              </w:rPr>
            </w:pPr>
          </w:p>
        </w:tc>
        <w:tc>
          <w:tcPr>
            <w:tcW w:w="1788" w:type="dxa"/>
            <w:vAlign w:val="top"/>
          </w:tcPr>
          <w:p w14:paraId="2E8B3BFA">
            <w:pPr>
              <w:rPr>
                <w:rFonts w:ascii="Arial"/>
                <w:sz w:val="21"/>
              </w:rPr>
            </w:pPr>
          </w:p>
        </w:tc>
        <w:tc>
          <w:tcPr>
            <w:tcW w:w="1084" w:type="dxa"/>
            <w:vAlign w:val="top"/>
          </w:tcPr>
          <w:p w14:paraId="0632F287">
            <w:pPr>
              <w:rPr>
                <w:rFonts w:ascii="Arial"/>
                <w:sz w:val="21"/>
              </w:rPr>
            </w:pPr>
          </w:p>
        </w:tc>
      </w:tr>
      <w:tr w14:paraId="6A03E1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9" w:hRule="atLeast"/>
        </w:trPr>
        <w:tc>
          <w:tcPr>
            <w:tcW w:w="544" w:type="dxa"/>
            <w:vAlign w:val="top"/>
          </w:tcPr>
          <w:p w14:paraId="199177F5">
            <w:pPr>
              <w:rPr>
                <w:rFonts w:ascii="Arial"/>
                <w:sz w:val="21"/>
              </w:rPr>
            </w:pPr>
          </w:p>
        </w:tc>
        <w:tc>
          <w:tcPr>
            <w:tcW w:w="1838" w:type="dxa"/>
            <w:vAlign w:val="top"/>
          </w:tcPr>
          <w:p w14:paraId="2FD42D38">
            <w:pPr>
              <w:rPr>
                <w:rFonts w:ascii="Arial"/>
                <w:sz w:val="21"/>
              </w:rPr>
            </w:pPr>
          </w:p>
        </w:tc>
        <w:tc>
          <w:tcPr>
            <w:tcW w:w="1398" w:type="dxa"/>
            <w:vAlign w:val="top"/>
          </w:tcPr>
          <w:p w14:paraId="7B6C3DDC">
            <w:pPr>
              <w:rPr>
                <w:rFonts w:ascii="Arial"/>
                <w:sz w:val="21"/>
              </w:rPr>
            </w:pPr>
          </w:p>
        </w:tc>
        <w:tc>
          <w:tcPr>
            <w:tcW w:w="1079" w:type="dxa"/>
            <w:vAlign w:val="top"/>
          </w:tcPr>
          <w:p w14:paraId="543E29D4">
            <w:pPr>
              <w:rPr>
                <w:rFonts w:ascii="Arial"/>
                <w:sz w:val="21"/>
              </w:rPr>
            </w:pPr>
          </w:p>
        </w:tc>
        <w:tc>
          <w:tcPr>
            <w:tcW w:w="1108" w:type="dxa"/>
            <w:vAlign w:val="top"/>
          </w:tcPr>
          <w:p w14:paraId="1FAB8CDB">
            <w:pPr>
              <w:rPr>
                <w:rFonts w:ascii="Arial"/>
                <w:sz w:val="21"/>
              </w:rPr>
            </w:pPr>
          </w:p>
        </w:tc>
        <w:tc>
          <w:tcPr>
            <w:tcW w:w="1788" w:type="dxa"/>
            <w:vAlign w:val="top"/>
          </w:tcPr>
          <w:p w14:paraId="49D188F1">
            <w:pPr>
              <w:rPr>
                <w:rFonts w:ascii="Arial"/>
                <w:sz w:val="21"/>
              </w:rPr>
            </w:pPr>
          </w:p>
        </w:tc>
        <w:tc>
          <w:tcPr>
            <w:tcW w:w="1084" w:type="dxa"/>
            <w:vAlign w:val="top"/>
          </w:tcPr>
          <w:p w14:paraId="7B23D725">
            <w:pPr>
              <w:rPr>
                <w:rFonts w:ascii="Arial"/>
                <w:sz w:val="21"/>
              </w:rPr>
            </w:pPr>
          </w:p>
        </w:tc>
      </w:tr>
      <w:tr w14:paraId="4C0491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9" w:hRule="atLeast"/>
        </w:trPr>
        <w:tc>
          <w:tcPr>
            <w:tcW w:w="544" w:type="dxa"/>
            <w:vAlign w:val="top"/>
          </w:tcPr>
          <w:p w14:paraId="13C99265">
            <w:pPr>
              <w:rPr>
                <w:rFonts w:ascii="Arial"/>
                <w:sz w:val="21"/>
              </w:rPr>
            </w:pPr>
          </w:p>
        </w:tc>
        <w:tc>
          <w:tcPr>
            <w:tcW w:w="1838" w:type="dxa"/>
            <w:vAlign w:val="top"/>
          </w:tcPr>
          <w:p w14:paraId="76A75999">
            <w:pPr>
              <w:rPr>
                <w:rFonts w:ascii="Arial"/>
                <w:sz w:val="21"/>
              </w:rPr>
            </w:pPr>
          </w:p>
        </w:tc>
        <w:tc>
          <w:tcPr>
            <w:tcW w:w="1398" w:type="dxa"/>
            <w:vAlign w:val="top"/>
          </w:tcPr>
          <w:p w14:paraId="74F742E7">
            <w:pPr>
              <w:rPr>
                <w:rFonts w:ascii="Arial"/>
                <w:sz w:val="21"/>
              </w:rPr>
            </w:pPr>
          </w:p>
        </w:tc>
        <w:tc>
          <w:tcPr>
            <w:tcW w:w="1079" w:type="dxa"/>
            <w:vAlign w:val="top"/>
          </w:tcPr>
          <w:p w14:paraId="63B01E30">
            <w:pPr>
              <w:rPr>
                <w:rFonts w:ascii="Arial"/>
                <w:sz w:val="21"/>
              </w:rPr>
            </w:pPr>
          </w:p>
        </w:tc>
        <w:tc>
          <w:tcPr>
            <w:tcW w:w="1108" w:type="dxa"/>
            <w:vAlign w:val="top"/>
          </w:tcPr>
          <w:p w14:paraId="1D77AB13">
            <w:pPr>
              <w:rPr>
                <w:rFonts w:ascii="Arial"/>
                <w:sz w:val="21"/>
              </w:rPr>
            </w:pPr>
          </w:p>
        </w:tc>
        <w:tc>
          <w:tcPr>
            <w:tcW w:w="1788" w:type="dxa"/>
            <w:vAlign w:val="top"/>
          </w:tcPr>
          <w:p w14:paraId="7D99BB14">
            <w:pPr>
              <w:rPr>
                <w:rFonts w:ascii="Arial"/>
                <w:sz w:val="21"/>
              </w:rPr>
            </w:pPr>
          </w:p>
        </w:tc>
        <w:tc>
          <w:tcPr>
            <w:tcW w:w="1084" w:type="dxa"/>
            <w:vAlign w:val="top"/>
          </w:tcPr>
          <w:p w14:paraId="480241E5">
            <w:pPr>
              <w:rPr>
                <w:rFonts w:ascii="Arial"/>
                <w:sz w:val="21"/>
              </w:rPr>
            </w:pPr>
          </w:p>
        </w:tc>
      </w:tr>
      <w:tr w14:paraId="5AD539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atLeast"/>
        </w:trPr>
        <w:tc>
          <w:tcPr>
            <w:tcW w:w="544" w:type="dxa"/>
            <w:vAlign w:val="top"/>
          </w:tcPr>
          <w:p w14:paraId="3E3D6626">
            <w:pPr>
              <w:rPr>
                <w:rFonts w:ascii="Arial"/>
                <w:sz w:val="21"/>
              </w:rPr>
            </w:pPr>
          </w:p>
        </w:tc>
        <w:tc>
          <w:tcPr>
            <w:tcW w:w="1838" w:type="dxa"/>
            <w:vAlign w:val="top"/>
          </w:tcPr>
          <w:p w14:paraId="3D6A1713">
            <w:pPr>
              <w:rPr>
                <w:rFonts w:ascii="Arial"/>
                <w:sz w:val="21"/>
              </w:rPr>
            </w:pPr>
          </w:p>
        </w:tc>
        <w:tc>
          <w:tcPr>
            <w:tcW w:w="1398" w:type="dxa"/>
            <w:vAlign w:val="top"/>
          </w:tcPr>
          <w:p w14:paraId="5AD1CC70">
            <w:pPr>
              <w:rPr>
                <w:rFonts w:ascii="Arial"/>
                <w:sz w:val="21"/>
              </w:rPr>
            </w:pPr>
          </w:p>
        </w:tc>
        <w:tc>
          <w:tcPr>
            <w:tcW w:w="1079" w:type="dxa"/>
            <w:vAlign w:val="top"/>
          </w:tcPr>
          <w:p w14:paraId="56C148E0">
            <w:pPr>
              <w:rPr>
                <w:rFonts w:ascii="Arial"/>
                <w:sz w:val="21"/>
              </w:rPr>
            </w:pPr>
          </w:p>
        </w:tc>
        <w:tc>
          <w:tcPr>
            <w:tcW w:w="1108" w:type="dxa"/>
            <w:vAlign w:val="top"/>
          </w:tcPr>
          <w:p w14:paraId="4EEBCBFD">
            <w:pPr>
              <w:rPr>
                <w:rFonts w:ascii="Arial"/>
                <w:sz w:val="21"/>
              </w:rPr>
            </w:pPr>
          </w:p>
        </w:tc>
        <w:tc>
          <w:tcPr>
            <w:tcW w:w="1788" w:type="dxa"/>
            <w:vAlign w:val="top"/>
          </w:tcPr>
          <w:p w14:paraId="5D063425">
            <w:pPr>
              <w:rPr>
                <w:rFonts w:ascii="Arial"/>
                <w:sz w:val="21"/>
              </w:rPr>
            </w:pPr>
          </w:p>
        </w:tc>
        <w:tc>
          <w:tcPr>
            <w:tcW w:w="1084" w:type="dxa"/>
            <w:vAlign w:val="top"/>
          </w:tcPr>
          <w:p w14:paraId="4A76A34A">
            <w:pPr>
              <w:rPr>
                <w:rFonts w:ascii="Arial"/>
                <w:sz w:val="21"/>
              </w:rPr>
            </w:pPr>
          </w:p>
        </w:tc>
      </w:tr>
      <w:tr w14:paraId="14B307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trPr>
        <w:tc>
          <w:tcPr>
            <w:tcW w:w="544" w:type="dxa"/>
            <w:vAlign w:val="top"/>
          </w:tcPr>
          <w:p w14:paraId="506172D3">
            <w:pPr>
              <w:rPr>
                <w:rFonts w:ascii="Arial"/>
                <w:sz w:val="21"/>
              </w:rPr>
            </w:pPr>
          </w:p>
        </w:tc>
        <w:tc>
          <w:tcPr>
            <w:tcW w:w="1838" w:type="dxa"/>
            <w:vAlign w:val="top"/>
          </w:tcPr>
          <w:p w14:paraId="33E4C115">
            <w:pPr>
              <w:rPr>
                <w:rFonts w:ascii="Arial"/>
                <w:sz w:val="21"/>
              </w:rPr>
            </w:pPr>
          </w:p>
        </w:tc>
        <w:tc>
          <w:tcPr>
            <w:tcW w:w="1398" w:type="dxa"/>
            <w:vAlign w:val="top"/>
          </w:tcPr>
          <w:p w14:paraId="728F6D30">
            <w:pPr>
              <w:rPr>
                <w:rFonts w:ascii="Arial"/>
                <w:sz w:val="21"/>
              </w:rPr>
            </w:pPr>
          </w:p>
        </w:tc>
        <w:tc>
          <w:tcPr>
            <w:tcW w:w="1079" w:type="dxa"/>
            <w:vAlign w:val="top"/>
          </w:tcPr>
          <w:p w14:paraId="15979CF9">
            <w:pPr>
              <w:rPr>
                <w:rFonts w:ascii="Arial"/>
                <w:sz w:val="21"/>
              </w:rPr>
            </w:pPr>
          </w:p>
        </w:tc>
        <w:tc>
          <w:tcPr>
            <w:tcW w:w="1108" w:type="dxa"/>
            <w:vAlign w:val="top"/>
          </w:tcPr>
          <w:p w14:paraId="55E00BE4">
            <w:pPr>
              <w:rPr>
                <w:rFonts w:ascii="Arial"/>
                <w:sz w:val="21"/>
              </w:rPr>
            </w:pPr>
          </w:p>
        </w:tc>
        <w:tc>
          <w:tcPr>
            <w:tcW w:w="1788" w:type="dxa"/>
            <w:vAlign w:val="top"/>
          </w:tcPr>
          <w:p w14:paraId="32610F50">
            <w:pPr>
              <w:rPr>
                <w:rFonts w:ascii="Arial"/>
                <w:sz w:val="21"/>
              </w:rPr>
            </w:pPr>
          </w:p>
        </w:tc>
        <w:tc>
          <w:tcPr>
            <w:tcW w:w="1084" w:type="dxa"/>
            <w:vAlign w:val="top"/>
          </w:tcPr>
          <w:p w14:paraId="20EDE160">
            <w:pPr>
              <w:rPr>
                <w:rFonts w:ascii="Arial"/>
                <w:sz w:val="21"/>
              </w:rPr>
            </w:pPr>
          </w:p>
        </w:tc>
      </w:tr>
    </w:tbl>
    <w:p w14:paraId="57CAA5E5">
      <w:pPr>
        <w:rPr>
          <w:rFonts w:ascii="Arial"/>
          <w:sz w:val="21"/>
        </w:rPr>
      </w:pPr>
    </w:p>
    <w:p w14:paraId="06CCA8B8">
      <w:pPr>
        <w:rPr>
          <w:rFonts w:ascii="Arial" w:hAnsi="Arial" w:eastAsia="Arial" w:cs="Arial"/>
          <w:sz w:val="21"/>
          <w:szCs w:val="21"/>
        </w:rPr>
        <w:sectPr>
          <w:footerReference r:id="rId387" w:type="default"/>
          <w:pgSz w:w="11910" w:h="16840"/>
          <w:pgMar w:top="400" w:right="1435" w:bottom="1147" w:left="1625" w:header="0" w:footer="1021" w:gutter="0"/>
          <w:cols w:space="720" w:num="1"/>
        </w:sectPr>
      </w:pPr>
    </w:p>
    <w:p w14:paraId="4549F6B8">
      <w:pPr>
        <w:spacing w:line="241" w:lineRule="auto"/>
        <w:rPr>
          <w:rFonts w:ascii="Arial"/>
          <w:sz w:val="21"/>
        </w:rPr>
      </w:pPr>
    </w:p>
    <w:p w14:paraId="199B51BC">
      <w:pPr>
        <w:spacing w:line="241" w:lineRule="auto"/>
        <w:rPr>
          <w:rFonts w:ascii="Arial"/>
          <w:sz w:val="21"/>
        </w:rPr>
      </w:pPr>
    </w:p>
    <w:p w14:paraId="04DACC76">
      <w:pPr>
        <w:spacing w:line="241" w:lineRule="auto"/>
        <w:rPr>
          <w:rFonts w:ascii="Arial"/>
          <w:sz w:val="21"/>
        </w:rPr>
      </w:pPr>
    </w:p>
    <w:p w14:paraId="25D2699E">
      <w:pPr>
        <w:spacing w:line="242" w:lineRule="auto"/>
        <w:rPr>
          <w:rFonts w:ascii="Arial"/>
          <w:sz w:val="21"/>
        </w:rPr>
      </w:pPr>
    </w:p>
    <w:p w14:paraId="788E6F39">
      <w:pPr>
        <w:spacing w:line="242" w:lineRule="auto"/>
        <w:rPr>
          <w:rFonts w:ascii="Arial"/>
          <w:sz w:val="21"/>
        </w:rPr>
      </w:pPr>
    </w:p>
    <w:p w14:paraId="5EF5A4A3">
      <w:pPr>
        <w:spacing w:line="242" w:lineRule="auto"/>
        <w:rPr>
          <w:rFonts w:ascii="Arial"/>
          <w:sz w:val="21"/>
        </w:rPr>
      </w:pPr>
    </w:p>
    <w:p w14:paraId="35470950">
      <w:pPr>
        <w:spacing w:line="242" w:lineRule="auto"/>
        <w:rPr>
          <w:rFonts w:ascii="Arial"/>
          <w:sz w:val="21"/>
        </w:rPr>
      </w:pPr>
    </w:p>
    <w:p w14:paraId="2904CBFA">
      <w:pPr>
        <w:pStyle w:val="2"/>
        <w:spacing w:before="74" w:line="219" w:lineRule="auto"/>
        <w:ind w:left="2663"/>
        <w:rPr>
          <w:sz w:val="23"/>
          <w:szCs w:val="23"/>
        </w:rPr>
      </w:pPr>
      <w:r>
        <w:rPr>
          <w:b/>
          <w:bCs/>
          <w:spacing w:val="-4"/>
          <w:sz w:val="23"/>
          <w:szCs w:val="23"/>
        </w:rPr>
        <w:t>3-2近5年完成的类似项目情况表</w:t>
      </w:r>
    </w:p>
    <w:p w14:paraId="2C92B1A5">
      <w:pPr>
        <w:spacing w:line="60" w:lineRule="auto"/>
        <w:rPr>
          <w:rFonts w:ascii="Arial"/>
          <w:sz w:val="2"/>
        </w:rPr>
      </w:pPr>
    </w:p>
    <w:tbl>
      <w:tblPr>
        <w:tblStyle w:val="5"/>
        <w:tblW w:w="8490" w:type="dxa"/>
        <w:tblInd w:w="16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22"/>
        <w:gridCol w:w="6068"/>
      </w:tblGrid>
      <w:tr w14:paraId="4602D0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2422" w:type="dxa"/>
            <w:vAlign w:val="top"/>
          </w:tcPr>
          <w:p w14:paraId="0D9CFFA6">
            <w:pPr>
              <w:pStyle w:val="6"/>
              <w:spacing w:before="214" w:line="220" w:lineRule="auto"/>
              <w:ind w:left="784"/>
            </w:pPr>
            <w:r>
              <w:rPr>
                <w:spacing w:val="2"/>
              </w:rPr>
              <w:t>项目名称</w:t>
            </w:r>
          </w:p>
        </w:tc>
        <w:tc>
          <w:tcPr>
            <w:tcW w:w="6068" w:type="dxa"/>
            <w:vAlign w:val="top"/>
          </w:tcPr>
          <w:p w14:paraId="72D22B42">
            <w:pPr>
              <w:rPr>
                <w:rFonts w:ascii="Arial"/>
                <w:sz w:val="21"/>
              </w:rPr>
            </w:pPr>
          </w:p>
        </w:tc>
      </w:tr>
      <w:tr w14:paraId="41C918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2422" w:type="dxa"/>
            <w:vAlign w:val="top"/>
          </w:tcPr>
          <w:p w14:paraId="6EBEBCE2">
            <w:pPr>
              <w:pStyle w:val="6"/>
              <w:spacing w:before="210" w:line="220" w:lineRule="auto"/>
              <w:ind w:left="674"/>
            </w:pPr>
            <w:r>
              <w:rPr>
                <w:spacing w:val="-2"/>
              </w:rPr>
              <w:t>项目所在地</w:t>
            </w:r>
          </w:p>
        </w:tc>
        <w:tc>
          <w:tcPr>
            <w:tcW w:w="6068" w:type="dxa"/>
            <w:vAlign w:val="top"/>
          </w:tcPr>
          <w:p w14:paraId="060E0D7A">
            <w:pPr>
              <w:rPr>
                <w:rFonts w:ascii="Arial"/>
                <w:sz w:val="21"/>
              </w:rPr>
            </w:pPr>
          </w:p>
        </w:tc>
      </w:tr>
      <w:tr w14:paraId="6D652E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trPr>
        <w:tc>
          <w:tcPr>
            <w:tcW w:w="2422" w:type="dxa"/>
            <w:vAlign w:val="top"/>
          </w:tcPr>
          <w:p w14:paraId="416044CA">
            <w:pPr>
              <w:pStyle w:val="6"/>
              <w:spacing w:before="211" w:line="220" w:lineRule="auto"/>
              <w:ind w:left="674"/>
            </w:pPr>
            <w:r>
              <w:rPr>
                <w:spacing w:val="2"/>
              </w:rPr>
              <w:t>发包人名称</w:t>
            </w:r>
          </w:p>
        </w:tc>
        <w:tc>
          <w:tcPr>
            <w:tcW w:w="6068" w:type="dxa"/>
            <w:vAlign w:val="top"/>
          </w:tcPr>
          <w:p w14:paraId="2A65743A">
            <w:pPr>
              <w:rPr>
                <w:rFonts w:ascii="Arial"/>
                <w:sz w:val="21"/>
              </w:rPr>
            </w:pPr>
          </w:p>
        </w:tc>
      </w:tr>
      <w:tr w14:paraId="210C29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2422" w:type="dxa"/>
            <w:vAlign w:val="top"/>
          </w:tcPr>
          <w:p w14:paraId="7EECD6C4">
            <w:pPr>
              <w:pStyle w:val="6"/>
              <w:spacing w:before="211" w:line="220" w:lineRule="auto"/>
              <w:ind w:left="674"/>
            </w:pPr>
            <w:r>
              <w:rPr>
                <w:spacing w:val="1"/>
              </w:rPr>
              <w:t>发包人地址</w:t>
            </w:r>
          </w:p>
        </w:tc>
        <w:tc>
          <w:tcPr>
            <w:tcW w:w="6068" w:type="dxa"/>
            <w:vAlign w:val="top"/>
          </w:tcPr>
          <w:p w14:paraId="4C4F0E40">
            <w:pPr>
              <w:rPr>
                <w:rFonts w:ascii="Arial"/>
                <w:sz w:val="21"/>
              </w:rPr>
            </w:pPr>
          </w:p>
        </w:tc>
      </w:tr>
      <w:tr w14:paraId="2F3785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9" w:hRule="atLeast"/>
        </w:trPr>
        <w:tc>
          <w:tcPr>
            <w:tcW w:w="2422" w:type="dxa"/>
            <w:vAlign w:val="top"/>
          </w:tcPr>
          <w:p w14:paraId="242C9094">
            <w:pPr>
              <w:pStyle w:val="6"/>
              <w:spacing w:before="212" w:line="220" w:lineRule="auto"/>
              <w:ind w:left="254"/>
            </w:pPr>
            <w:r>
              <w:rPr>
                <w:spacing w:val="-2"/>
              </w:rPr>
              <w:t>发包人联系人及电话</w:t>
            </w:r>
          </w:p>
        </w:tc>
        <w:tc>
          <w:tcPr>
            <w:tcW w:w="6068" w:type="dxa"/>
            <w:vAlign w:val="top"/>
          </w:tcPr>
          <w:p w14:paraId="7313F7B4">
            <w:pPr>
              <w:rPr>
                <w:rFonts w:ascii="Arial"/>
                <w:sz w:val="21"/>
              </w:rPr>
            </w:pPr>
          </w:p>
        </w:tc>
      </w:tr>
      <w:tr w14:paraId="5DBF10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2422" w:type="dxa"/>
            <w:vAlign w:val="top"/>
          </w:tcPr>
          <w:p w14:paraId="504B0702">
            <w:pPr>
              <w:pStyle w:val="6"/>
              <w:spacing w:before="210" w:line="218" w:lineRule="auto"/>
              <w:ind w:left="784"/>
            </w:pPr>
            <w:r>
              <w:rPr>
                <w:spacing w:val="-2"/>
              </w:rPr>
              <w:t>合同价格</w:t>
            </w:r>
          </w:p>
        </w:tc>
        <w:tc>
          <w:tcPr>
            <w:tcW w:w="6068" w:type="dxa"/>
            <w:vAlign w:val="top"/>
          </w:tcPr>
          <w:p w14:paraId="1D0CA611">
            <w:pPr>
              <w:rPr>
                <w:rFonts w:ascii="Arial"/>
                <w:sz w:val="21"/>
              </w:rPr>
            </w:pPr>
          </w:p>
        </w:tc>
      </w:tr>
      <w:tr w14:paraId="11F0D9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trPr>
        <w:tc>
          <w:tcPr>
            <w:tcW w:w="2422" w:type="dxa"/>
            <w:vAlign w:val="top"/>
          </w:tcPr>
          <w:p w14:paraId="501DC0C4">
            <w:pPr>
              <w:pStyle w:val="6"/>
              <w:spacing w:before="214" w:line="220" w:lineRule="auto"/>
              <w:ind w:left="784"/>
            </w:pPr>
            <w:r>
              <w:rPr>
                <w:spacing w:val="3"/>
              </w:rPr>
              <w:t>开工日期</w:t>
            </w:r>
          </w:p>
        </w:tc>
        <w:tc>
          <w:tcPr>
            <w:tcW w:w="6068" w:type="dxa"/>
            <w:vAlign w:val="top"/>
          </w:tcPr>
          <w:p w14:paraId="1A4FEB36">
            <w:pPr>
              <w:rPr>
                <w:rFonts w:ascii="Arial"/>
                <w:sz w:val="21"/>
              </w:rPr>
            </w:pPr>
          </w:p>
        </w:tc>
      </w:tr>
      <w:tr w14:paraId="343D8C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2422" w:type="dxa"/>
            <w:vAlign w:val="top"/>
          </w:tcPr>
          <w:p w14:paraId="32EC0561">
            <w:pPr>
              <w:pStyle w:val="6"/>
              <w:spacing w:before="213" w:line="219" w:lineRule="auto"/>
              <w:ind w:left="784"/>
            </w:pPr>
            <w:r>
              <w:rPr>
                <w:spacing w:val="3"/>
              </w:rPr>
              <w:t>竣工日期</w:t>
            </w:r>
          </w:p>
        </w:tc>
        <w:tc>
          <w:tcPr>
            <w:tcW w:w="6068" w:type="dxa"/>
            <w:vAlign w:val="top"/>
          </w:tcPr>
          <w:p w14:paraId="184A5833">
            <w:pPr>
              <w:rPr>
                <w:rFonts w:ascii="Arial"/>
                <w:sz w:val="21"/>
              </w:rPr>
            </w:pPr>
          </w:p>
        </w:tc>
      </w:tr>
      <w:tr w14:paraId="6B9729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9" w:hRule="atLeast"/>
        </w:trPr>
        <w:tc>
          <w:tcPr>
            <w:tcW w:w="2422" w:type="dxa"/>
            <w:vAlign w:val="top"/>
          </w:tcPr>
          <w:p w14:paraId="650749F3">
            <w:pPr>
              <w:pStyle w:val="6"/>
              <w:spacing w:before="214" w:line="219" w:lineRule="auto"/>
              <w:ind w:left="674"/>
            </w:pPr>
            <w:r>
              <w:rPr>
                <w:spacing w:val="2"/>
              </w:rPr>
              <w:t>承担的工作</w:t>
            </w:r>
          </w:p>
        </w:tc>
        <w:tc>
          <w:tcPr>
            <w:tcW w:w="6068" w:type="dxa"/>
            <w:vAlign w:val="top"/>
          </w:tcPr>
          <w:p w14:paraId="646A6B46">
            <w:pPr>
              <w:rPr>
                <w:rFonts w:ascii="Arial"/>
                <w:sz w:val="21"/>
              </w:rPr>
            </w:pPr>
          </w:p>
        </w:tc>
      </w:tr>
      <w:tr w14:paraId="6F4A8C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trPr>
        <w:tc>
          <w:tcPr>
            <w:tcW w:w="2422" w:type="dxa"/>
            <w:vAlign w:val="top"/>
          </w:tcPr>
          <w:p w14:paraId="3813B948">
            <w:pPr>
              <w:pStyle w:val="6"/>
              <w:spacing w:before="216" w:line="220" w:lineRule="auto"/>
              <w:ind w:left="784"/>
            </w:pPr>
            <w:r>
              <w:rPr>
                <w:spacing w:val="-3"/>
              </w:rPr>
              <w:t>工程质量</w:t>
            </w:r>
          </w:p>
        </w:tc>
        <w:tc>
          <w:tcPr>
            <w:tcW w:w="6068" w:type="dxa"/>
            <w:vAlign w:val="top"/>
          </w:tcPr>
          <w:p w14:paraId="0FA89CD8">
            <w:pPr>
              <w:rPr>
                <w:rFonts w:ascii="Arial"/>
                <w:sz w:val="21"/>
              </w:rPr>
            </w:pPr>
          </w:p>
        </w:tc>
      </w:tr>
      <w:tr w14:paraId="5F558C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9" w:hRule="atLeast"/>
        </w:trPr>
        <w:tc>
          <w:tcPr>
            <w:tcW w:w="2422" w:type="dxa"/>
            <w:vAlign w:val="top"/>
          </w:tcPr>
          <w:p w14:paraId="1FF6A1DC">
            <w:pPr>
              <w:pStyle w:val="6"/>
              <w:spacing w:before="216" w:line="220" w:lineRule="auto"/>
              <w:ind w:left="784"/>
            </w:pPr>
            <w:r>
              <w:rPr>
                <w:spacing w:val="-3"/>
              </w:rPr>
              <w:t>项目经理</w:t>
            </w:r>
          </w:p>
        </w:tc>
        <w:tc>
          <w:tcPr>
            <w:tcW w:w="6068" w:type="dxa"/>
            <w:vAlign w:val="top"/>
          </w:tcPr>
          <w:p w14:paraId="065F56BF">
            <w:pPr>
              <w:rPr>
                <w:rFonts w:ascii="Arial"/>
                <w:sz w:val="21"/>
              </w:rPr>
            </w:pPr>
          </w:p>
        </w:tc>
      </w:tr>
      <w:tr w14:paraId="112A62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2422" w:type="dxa"/>
            <w:vAlign w:val="top"/>
          </w:tcPr>
          <w:p w14:paraId="0E2955F6">
            <w:pPr>
              <w:pStyle w:val="6"/>
              <w:spacing w:before="216" w:line="219" w:lineRule="auto"/>
              <w:ind w:left="674"/>
            </w:pPr>
            <w:r>
              <w:rPr>
                <w:spacing w:val="-2"/>
              </w:rPr>
              <w:t>技术负责人</w:t>
            </w:r>
          </w:p>
        </w:tc>
        <w:tc>
          <w:tcPr>
            <w:tcW w:w="6068" w:type="dxa"/>
            <w:vAlign w:val="top"/>
          </w:tcPr>
          <w:p w14:paraId="035EE70D">
            <w:pPr>
              <w:rPr>
                <w:rFonts w:ascii="Arial"/>
                <w:sz w:val="21"/>
              </w:rPr>
            </w:pPr>
          </w:p>
        </w:tc>
      </w:tr>
      <w:tr w14:paraId="52D3DC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trPr>
        <w:tc>
          <w:tcPr>
            <w:tcW w:w="2422" w:type="dxa"/>
            <w:vAlign w:val="top"/>
          </w:tcPr>
          <w:p w14:paraId="454D7804">
            <w:pPr>
              <w:pStyle w:val="6"/>
              <w:spacing w:before="217" w:line="219" w:lineRule="auto"/>
              <w:ind w:left="254"/>
            </w:pPr>
            <w:r>
              <w:t>总监理工程师及电话</w:t>
            </w:r>
          </w:p>
        </w:tc>
        <w:tc>
          <w:tcPr>
            <w:tcW w:w="6068" w:type="dxa"/>
            <w:vAlign w:val="top"/>
          </w:tcPr>
          <w:p w14:paraId="56C2EE19">
            <w:pPr>
              <w:rPr>
                <w:rFonts w:ascii="Arial"/>
                <w:sz w:val="21"/>
              </w:rPr>
            </w:pPr>
          </w:p>
        </w:tc>
      </w:tr>
      <w:tr w14:paraId="2B5E86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9" w:hRule="atLeast"/>
        </w:trPr>
        <w:tc>
          <w:tcPr>
            <w:tcW w:w="2422" w:type="dxa"/>
            <w:vAlign w:val="top"/>
          </w:tcPr>
          <w:p w14:paraId="2C700E43">
            <w:pPr>
              <w:pStyle w:val="6"/>
              <w:spacing w:before="308" w:line="220" w:lineRule="auto"/>
              <w:ind w:left="784"/>
            </w:pPr>
            <w:r>
              <w:rPr>
                <w:spacing w:val="-3"/>
              </w:rPr>
              <w:t>项目描述</w:t>
            </w:r>
          </w:p>
        </w:tc>
        <w:tc>
          <w:tcPr>
            <w:tcW w:w="6068" w:type="dxa"/>
            <w:vAlign w:val="top"/>
          </w:tcPr>
          <w:p w14:paraId="0140D9AE">
            <w:pPr>
              <w:rPr>
                <w:rFonts w:ascii="Arial"/>
                <w:sz w:val="21"/>
              </w:rPr>
            </w:pPr>
          </w:p>
        </w:tc>
      </w:tr>
      <w:tr w14:paraId="733BE2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4" w:hRule="atLeast"/>
        </w:trPr>
        <w:tc>
          <w:tcPr>
            <w:tcW w:w="2422" w:type="dxa"/>
            <w:vAlign w:val="top"/>
          </w:tcPr>
          <w:p w14:paraId="15E92743">
            <w:pPr>
              <w:pStyle w:val="6"/>
              <w:spacing w:before="209" w:line="221" w:lineRule="auto"/>
              <w:ind w:left="994"/>
            </w:pPr>
            <w:r>
              <w:rPr>
                <w:spacing w:val="5"/>
              </w:rPr>
              <w:t>备注</w:t>
            </w:r>
          </w:p>
        </w:tc>
        <w:tc>
          <w:tcPr>
            <w:tcW w:w="6068" w:type="dxa"/>
            <w:vAlign w:val="top"/>
          </w:tcPr>
          <w:p w14:paraId="2E328A8F">
            <w:pPr>
              <w:rPr>
                <w:rFonts w:ascii="Arial"/>
                <w:sz w:val="21"/>
              </w:rPr>
            </w:pPr>
          </w:p>
        </w:tc>
      </w:tr>
    </w:tbl>
    <w:p w14:paraId="0CE3D2F0">
      <w:pPr>
        <w:pStyle w:val="2"/>
        <w:spacing w:before="43" w:line="209" w:lineRule="auto"/>
        <w:rPr>
          <w:sz w:val="23"/>
          <w:szCs w:val="23"/>
        </w:rPr>
      </w:pPr>
      <w:r>
        <w:rPr>
          <w:sz w:val="23"/>
          <w:szCs w:val="23"/>
        </w:rPr>
        <w:t>备注：1.</w:t>
      </w:r>
      <w:r>
        <w:rPr>
          <w:spacing w:val="-86"/>
          <w:sz w:val="23"/>
          <w:szCs w:val="23"/>
        </w:rPr>
        <w:t xml:space="preserve"> </w:t>
      </w:r>
      <w:r>
        <w:rPr>
          <w:sz w:val="23"/>
          <w:szCs w:val="23"/>
        </w:rPr>
        <w:t>“类似项目”见投标人须知前附表</w:t>
      </w:r>
      <w:r>
        <w:rPr>
          <w:spacing w:val="-1"/>
          <w:sz w:val="23"/>
          <w:szCs w:val="23"/>
        </w:rPr>
        <w:t>第3.5.1项。</w:t>
      </w:r>
    </w:p>
    <w:p w14:paraId="0E1A1AC9">
      <w:pPr>
        <w:pStyle w:val="2"/>
        <w:spacing w:before="1" w:line="232" w:lineRule="auto"/>
        <w:ind w:left="929" w:right="223" w:hanging="330"/>
        <w:rPr>
          <w:sz w:val="21"/>
          <w:szCs w:val="21"/>
        </w:rPr>
      </w:pPr>
      <w:r>
        <w:rPr>
          <w:spacing w:val="17"/>
          <w:sz w:val="21"/>
          <w:szCs w:val="21"/>
        </w:rPr>
        <w:t>2. 近5年是指从投标截止日往前推算5年，例如投标截止日为2014年3月5日，则近5</w:t>
      </w:r>
      <w:r>
        <w:rPr>
          <w:spacing w:val="18"/>
          <w:sz w:val="21"/>
          <w:szCs w:val="21"/>
        </w:rPr>
        <w:t xml:space="preserve"> </w:t>
      </w:r>
      <w:r>
        <w:rPr>
          <w:spacing w:val="28"/>
          <w:sz w:val="21"/>
          <w:szCs w:val="21"/>
        </w:rPr>
        <w:t>年是指2009年3月5日至2014年3月4日。</w:t>
      </w:r>
    </w:p>
    <w:p w14:paraId="3133AD83">
      <w:pPr>
        <w:pStyle w:val="2"/>
        <w:spacing w:before="7" w:line="234" w:lineRule="auto"/>
        <w:ind w:left="929" w:hanging="330"/>
        <w:rPr>
          <w:sz w:val="21"/>
          <w:szCs w:val="21"/>
        </w:rPr>
      </w:pPr>
      <w:r>
        <w:rPr>
          <w:spacing w:val="6"/>
          <w:sz w:val="21"/>
          <w:szCs w:val="21"/>
        </w:rPr>
        <w:t>3. 本表后附中标通知书(如有)、合同协议</w:t>
      </w:r>
      <w:r>
        <w:rPr>
          <w:spacing w:val="5"/>
          <w:sz w:val="21"/>
          <w:szCs w:val="21"/>
        </w:rPr>
        <w:t>书、施工许可证(如有)、工程接收证书或工程</w:t>
      </w:r>
      <w:r>
        <w:rPr>
          <w:sz w:val="21"/>
          <w:szCs w:val="21"/>
        </w:rPr>
        <w:t xml:space="preserve">   </w:t>
      </w:r>
      <w:r>
        <w:rPr>
          <w:spacing w:val="5"/>
          <w:sz w:val="21"/>
          <w:szCs w:val="21"/>
        </w:rPr>
        <w:t>竣工验收证书(工程竣工验收备案证)的扫描件，上述证明材料不足以反映“类似项目”</w:t>
      </w:r>
      <w:r>
        <w:rPr>
          <w:spacing w:val="10"/>
          <w:sz w:val="21"/>
          <w:szCs w:val="21"/>
        </w:rPr>
        <w:t xml:space="preserve"> </w:t>
      </w:r>
      <w:r>
        <w:rPr>
          <w:spacing w:val="-1"/>
          <w:sz w:val="21"/>
          <w:szCs w:val="21"/>
        </w:rPr>
        <w:t>的工程特征指标时，还应当提供其他技术资料的扫描件予以证明。招标发包的工程应附</w:t>
      </w:r>
      <w:r>
        <w:rPr>
          <w:spacing w:val="3"/>
          <w:sz w:val="21"/>
          <w:szCs w:val="21"/>
        </w:rPr>
        <w:t xml:space="preserve">   </w:t>
      </w:r>
      <w:r>
        <w:rPr>
          <w:spacing w:val="-1"/>
          <w:sz w:val="21"/>
          <w:szCs w:val="21"/>
        </w:rPr>
        <w:t>中标通知书，工程总承包发包、施工总承包发包、独立发包的施工专业承包应附施工许</w:t>
      </w:r>
      <w:r>
        <w:rPr>
          <w:spacing w:val="3"/>
          <w:sz w:val="21"/>
          <w:szCs w:val="21"/>
        </w:rPr>
        <w:t xml:space="preserve">   </w:t>
      </w:r>
      <w:r>
        <w:rPr>
          <w:spacing w:val="5"/>
          <w:sz w:val="21"/>
          <w:szCs w:val="21"/>
        </w:rPr>
        <w:t>可证。以工程接收证书或工程竣工验收证书(工程竣工验收备案证)时间为准。</w:t>
      </w:r>
    </w:p>
    <w:p w14:paraId="48430036">
      <w:pPr>
        <w:pStyle w:val="2"/>
        <w:spacing w:before="62" w:line="219" w:lineRule="auto"/>
        <w:ind w:left="599"/>
        <w:rPr>
          <w:sz w:val="21"/>
          <w:szCs w:val="21"/>
        </w:rPr>
      </w:pPr>
      <w:r>
        <w:rPr>
          <w:spacing w:val="-1"/>
          <w:sz w:val="21"/>
          <w:szCs w:val="21"/>
        </w:rPr>
        <w:t>4. 每张表格只填写一个项目，并标明序号。</w:t>
      </w:r>
    </w:p>
    <w:p w14:paraId="79B29B3C">
      <w:pPr>
        <w:spacing w:line="219" w:lineRule="auto"/>
        <w:rPr>
          <w:sz w:val="21"/>
          <w:szCs w:val="21"/>
        </w:rPr>
        <w:sectPr>
          <w:footerReference r:id="rId388" w:type="default"/>
          <w:pgSz w:w="11910" w:h="16840"/>
          <w:pgMar w:top="400" w:right="1313" w:bottom="1147" w:left="1480" w:header="0" w:footer="1021" w:gutter="0"/>
          <w:cols w:space="720" w:num="1"/>
        </w:sectPr>
      </w:pPr>
    </w:p>
    <w:p w14:paraId="52EB93CE">
      <w:pPr>
        <w:spacing w:line="277" w:lineRule="auto"/>
        <w:rPr>
          <w:rFonts w:ascii="Arial"/>
          <w:sz w:val="21"/>
        </w:rPr>
      </w:pPr>
    </w:p>
    <w:p w14:paraId="704AC52E">
      <w:pPr>
        <w:spacing w:line="277" w:lineRule="auto"/>
        <w:rPr>
          <w:rFonts w:ascii="Arial"/>
          <w:sz w:val="21"/>
        </w:rPr>
      </w:pPr>
    </w:p>
    <w:p w14:paraId="3FDAF653">
      <w:pPr>
        <w:spacing w:line="277" w:lineRule="auto"/>
        <w:rPr>
          <w:rFonts w:ascii="Arial"/>
          <w:sz w:val="21"/>
        </w:rPr>
      </w:pPr>
    </w:p>
    <w:p w14:paraId="34340B15">
      <w:pPr>
        <w:spacing w:line="277" w:lineRule="auto"/>
        <w:rPr>
          <w:rFonts w:ascii="Arial"/>
          <w:sz w:val="21"/>
        </w:rPr>
      </w:pPr>
    </w:p>
    <w:p w14:paraId="0912FE77">
      <w:pPr>
        <w:spacing w:line="277" w:lineRule="auto"/>
        <w:rPr>
          <w:rFonts w:ascii="Arial"/>
          <w:sz w:val="21"/>
        </w:rPr>
      </w:pPr>
    </w:p>
    <w:p w14:paraId="5777EAE7">
      <w:pPr>
        <w:spacing w:line="277" w:lineRule="auto"/>
        <w:rPr>
          <w:rFonts w:ascii="Arial"/>
          <w:sz w:val="21"/>
        </w:rPr>
      </w:pPr>
    </w:p>
    <w:p w14:paraId="6C2ECAB7">
      <w:pPr>
        <w:pStyle w:val="2"/>
        <w:spacing w:before="81" w:line="264" w:lineRule="auto"/>
        <w:ind w:left="2268" w:right="2528" w:firstLine="110"/>
        <w:rPr>
          <w:sz w:val="24"/>
          <w:szCs w:val="24"/>
        </w:rPr>
      </w:pPr>
      <w:r>
        <w:rPr>
          <w:rFonts w:ascii="黑体" w:hAnsi="黑体" w:eastAsia="黑体" w:cs="黑体"/>
          <w:b/>
          <w:bCs/>
          <w:spacing w:val="-6"/>
        </w:rPr>
        <w:t>(四)正在施工的和新承接的项目情况</w:t>
      </w:r>
      <w:r>
        <w:rPr>
          <w:rFonts w:ascii="黑体" w:hAnsi="黑体" w:eastAsia="黑体" w:cs="黑体"/>
        </w:rPr>
        <w:t xml:space="preserve"> </w:t>
      </w:r>
      <w:r>
        <w:rPr>
          <w:b/>
          <w:bCs/>
          <w:spacing w:val="-3"/>
          <w:sz w:val="24"/>
          <w:szCs w:val="24"/>
        </w:rPr>
        <w:t>4-1正在施工的和新承接的项目汇总表</w:t>
      </w:r>
    </w:p>
    <w:tbl>
      <w:tblPr>
        <w:tblStyle w:val="5"/>
        <w:tblW w:w="883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44"/>
        <w:gridCol w:w="1848"/>
        <w:gridCol w:w="1388"/>
        <w:gridCol w:w="1079"/>
        <w:gridCol w:w="1108"/>
        <w:gridCol w:w="1798"/>
        <w:gridCol w:w="1074"/>
      </w:tblGrid>
      <w:tr w14:paraId="2838C9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4" w:hRule="atLeast"/>
        </w:trPr>
        <w:tc>
          <w:tcPr>
            <w:tcW w:w="544" w:type="dxa"/>
            <w:textDirection w:val="tbRlV"/>
            <w:vAlign w:val="top"/>
          </w:tcPr>
          <w:p w14:paraId="11332862">
            <w:pPr>
              <w:pStyle w:val="6"/>
              <w:spacing w:before="181" w:line="199" w:lineRule="auto"/>
              <w:ind w:left="64"/>
            </w:pPr>
            <w:r>
              <w:t>序</w:t>
            </w:r>
            <w:r>
              <w:rPr>
                <w:spacing w:val="13"/>
              </w:rPr>
              <w:t xml:space="preserve">  </w:t>
            </w:r>
            <w:r>
              <w:t>号</w:t>
            </w:r>
          </w:p>
        </w:tc>
        <w:tc>
          <w:tcPr>
            <w:tcW w:w="1848" w:type="dxa"/>
            <w:vAlign w:val="top"/>
          </w:tcPr>
          <w:p w14:paraId="4AB20B19">
            <w:pPr>
              <w:pStyle w:val="6"/>
              <w:spacing w:before="154" w:line="220" w:lineRule="auto"/>
              <w:ind w:left="500"/>
            </w:pPr>
            <w:r>
              <w:rPr>
                <w:spacing w:val="2"/>
              </w:rPr>
              <w:t>项目名称</w:t>
            </w:r>
          </w:p>
        </w:tc>
        <w:tc>
          <w:tcPr>
            <w:tcW w:w="1388" w:type="dxa"/>
            <w:vAlign w:val="top"/>
          </w:tcPr>
          <w:p w14:paraId="0B2DFF97">
            <w:pPr>
              <w:pStyle w:val="6"/>
              <w:spacing w:before="154" w:line="220" w:lineRule="auto"/>
              <w:ind w:left="172"/>
            </w:pPr>
            <w:r>
              <w:rPr>
                <w:spacing w:val="2"/>
              </w:rPr>
              <w:t>发包人名称</w:t>
            </w:r>
          </w:p>
        </w:tc>
        <w:tc>
          <w:tcPr>
            <w:tcW w:w="1079" w:type="dxa"/>
            <w:vAlign w:val="top"/>
          </w:tcPr>
          <w:p w14:paraId="3827D5DC">
            <w:pPr>
              <w:pStyle w:val="6"/>
              <w:spacing w:before="153" w:line="219" w:lineRule="auto"/>
              <w:ind w:left="115"/>
            </w:pPr>
            <w:r>
              <w:rPr>
                <w:spacing w:val="-3"/>
              </w:rPr>
              <w:t>工程规模</w:t>
            </w:r>
          </w:p>
        </w:tc>
        <w:tc>
          <w:tcPr>
            <w:tcW w:w="1108" w:type="dxa"/>
            <w:vAlign w:val="top"/>
          </w:tcPr>
          <w:p w14:paraId="2CD4A019">
            <w:pPr>
              <w:pStyle w:val="6"/>
              <w:spacing w:before="151" w:line="218" w:lineRule="auto"/>
              <w:ind w:left="126"/>
            </w:pPr>
            <w:r>
              <w:rPr>
                <w:spacing w:val="-2"/>
              </w:rPr>
              <w:t>合同价格</w:t>
            </w:r>
          </w:p>
          <w:p w14:paraId="7534BC06">
            <w:pPr>
              <w:pStyle w:val="6"/>
              <w:spacing w:before="154" w:line="211" w:lineRule="auto"/>
              <w:ind w:left="235"/>
            </w:pPr>
            <w:r>
              <w:rPr>
                <w:spacing w:val="11"/>
              </w:rPr>
              <w:t>(万元)</w:t>
            </w:r>
          </w:p>
        </w:tc>
        <w:tc>
          <w:tcPr>
            <w:tcW w:w="1798" w:type="dxa"/>
            <w:vAlign w:val="top"/>
          </w:tcPr>
          <w:p w14:paraId="48D4EA86">
            <w:pPr>
              <w:pStyle w:val="6"/>
              <w:spacing w:before="152" w:line="282" w:lineRule="auto"/>
              <w:ind w:left="577" w:right="378" w:hanging="209"/>
            </w:pPr>
            <w:r>
              <w:rPr>
                <w:spacing w:val="-2"/>
              </w:rPr>
              <w:t>计划开、竣</w:t>
            </w:r>
            <w:r>
              <w:t xml:space="preserve"> </w:t>
            </w:r>
            <w:r>
              <w:rPr>
                <w:spacing w:val="4"/>
              </w:rPr>
              <w:t>工日期</w:t>
            </w:r>
          </w:p>
        </w:tc>
        <w:tc>
          <w:tcPr>
            <w:tcW w:w="1074" w:type="dxa"/>
            <w:vAlign w:val="top"/>
          </w:tcPr>
          <w:p w14:paraId="143D8632">
            <w:pPr>
              <w:pStyle w:val="6"/>
              <w:spacing w:before="154" w:line="220" w:lineRule="auto"/>
              <w:ind w:left="130"/>
            </w:pPr>
            <w:r>
              <w:rPr>
                <w:spacing w:val="-3"/>
              </w:rPr>
              <w:t>项目经理</w:t>
            </w:r>
          </w:p>
        </w:tc>
      </w:tr>
      <w:tr w14:paraId="2063F9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544" w:type="dxa"/>
            <w:vAlign w:val="top"/>
          </w:tcPr>
          <w:p w14:paraId="12D1DE0A">
            <w:pPr>
              <w:rPr>
                <w:rFonts w:ascii="Arial"/>
                <w:sz w:val="21"/>
              </w:rPr>
            </w:pPr>
          </w:p>
        </w:tc>
        <w:tc>
          <w:tcPr>
            <w:tcW w:w="1848" w:type="dxa"/>
            <w:vAlign w:val="top"/>
          </w:tcPr>
          <w:p w14:paraId="3B270AAC">
            <w:pPr>
              <w:rPr>
                <w:rFonts w:ascii="Arial"/>
                <w:sz w:val="21"/>
              </w:rPr>
            </w:pPr>
          </w:p>
        </w:tc>
        <w:tc>
          <w:tcPr>
            <w:tcW w:w="1388" w:type="dxa"/>
            <w:vAlign w:val="top"/>
          </w:tcPr>
          <w:p w14:paraId="4E06DB4A">
            <w:pPr>
              <w:rPr>
                <w:rFonts w:ascii="Arial"/>
                <w:sz w:val="21"/>
              </w:rPr>
            </w:pPr>
          </w:p>
        </w:tc>
        <w:tc>
          <w:tcPr>
            <w:tcW w:w="1079" w:type="dxa"/>
            <w:vAlign w:val="top"/>
          </w:tcPr>
          <w:p w14:paraId="3836CDA2">
            <w:pPr>
              <w:rPr>
                <w:rFonts w:ascii="Arial"/>
                <w:sz w:val="21"/>
              </w:rPr>
            </w:pPr>
          </w:p>
        </w:tc>
        <w:tc>
          <w:tcPr>
            <w:tcW w:w="1108" w:type="dxa"/>
            <w:vAlign w:val="top"/>
          </w:tcPr>
          <w:p w14:paraId="41202E7D">
            <w:pPr>
              <w:rPr>
                <w:rFonts w:ascii="Arial"/>
                <w:sz w:val="21"/>
              </w:rPr>
            </w:pPr>
          </w:p>
        </w:tc>
        <w:tc>
          <w:tcPr>
            <w:tcW w:w="1798" w:type="dxa"/>
            <w:vAlign w:val="top"/>
          </w:tcPr>
          <w:p w14:paraId="26578C38">
            <w:pPr>
              <w:rPr>
                <w:rFonts w:ascii="Arial"/>
                <w:sz w:val="21"/>
              </w:rPr>
            </w:pPr>
          </w:p>
        </w:tc>
        <w:tc>
          <w:tcPr>
            <w:tcW w:w="1074" w:type="dxa"/>
            <w:vAlign w:val="top"/>
          </w:tcPr>
          <w:p w14:paraId="454CD686">
            <w:pPr>
              <w:rPr>
                <w:rFonts w:ascii="Arial"/>
                <w:sz w:val="21"/>
              </w:rPr>
            </w:pPr>
          </w:p>
        </w:tc>
      </w:tr>
      <w:tr w14:paraId="366DE2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9" w:hRule="atLeast"/>
        </w:trPr>
        <w:tc>
          <w:tcPr>
            <w:tcW w:w="544" w:type="dxa"/>
            <w:vAlign w:val="top"/>
          </w:tcPr>
          <w:p w14:paraId="522A01D6">
            <w:pPr>
              <w:rPr>
                <w:rFonts w:ascii="Arial"/>
                <w:sz w:val="21"/>
              </w:rPr>
            </w:pPr>
          </w:p>
        </w:tc>
        <w:tc>
          <w:tcPr>
            <w:tcW w:w="1848" w:type="dxa"/>
            <w:vAlign w:val="top"/>
          </w:tcPr>
          <w:p w14:paraId="6A900417">
            <w:pPr>
              <w:rPr>
                <w:rFonts w:ascii="Arial"/>
                <w:sz w:val="21"/>
              </w:rPr>
            </w:pPr>
          </w:p>
        </w:tc>
        <w:tc>
          <w:tcPr>
            <w:tcW w:w="1388" w:type="dxa"/>
            <w:vAlign w:val="top"/>
          </w:tcPr>
          <w:p w14:paraId="02907645">
            <w:pPr>
              <w:rPr>
                <w:rFonts w:ascii="Arial"/>
                <w:sz w:val="21"/>
              </w:rPr>
            </w:pPr>
          </w:p>
        </w:tc>
        <w:tc>
          <w:tcPr>
            <w:tcW w:w="1079" w:type="dxa"/>
            <w:vAlign w:val="top"/>
          </w:tcPr>
          <w:p w14:paraId="65141500">
            <w:pPr>
              <w:rPr>
                <w:rFonts w:ascii="Arial"/>
                <w:sz w:val="21"/>
              </w:rPr>
            </w:pPr>
          </w:p>
        </w:tc>
        <w:tc>
          <w:tcPr>
            <w:tcW w:w="1108" w:type="dxa"/>
            <w:vAlign w:val="top"/>
          </w:tcPr>
          <w:p w14:paraId="70466901">
            <w:pPr>
              <w:rPr>
                <w:rFonts w:ascii="Arial"/>
                <w:sz w:val="21"/>
              </w:rPr>
            </w:pPr>
          </w:p>
        </w:tc>
        <w:tc>
          <w:tcPr>
            <w:tcW w:w="1798" w:type="dxa"/>
            <w:vAlign w:val="top"/>
          </w:tcPr>
          <w:p w14:paraId="3CFE532A">
            <w:pPr>
              <w:rPr>
                <w:rFonts w:ascii="Arial"/>
                <w:sz w:val="21"/>
              </w:rPr>
            </w:pPr>
          </w:p>
        </w:tc>
        <w:tc>
          <w:tcPr>
            <w:tcW w:w="1074" w:type="dxa"/>
            <w:vAlign w:val="top"/>
          </w:tcPr>
          <w:p w14:paraId="0768284E">
            <w:pPr>
              <w:rPr>
                <w:rFonts w:ascii="Arial"/>
                <w:sz w:val="21"/>
              </w:rPr>
            </w:pPr>
          </w:p>
        </w:tc>
      </w:tr>
      <w:tr w14:paraId="1CE423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0" w:hRule="atLeast"/>
        </w:trPr>
        <w:tc>
          <w:tcPr>
            <w:tcW w:w="544" w:type="dxa"/>
            <w:vAlign w:val="top"/>
          </w:tcPr>
          <w:p w14:paraId="01C85FDC">
            <w:pPr>
              <w:rPr>
                <w:rFonts w:ascii="Arial"/>
                <w:sz w:val="21"/>
              </w:rPr>
            </w:pPr>
          </w:p>
        </w:tc>
        <w:tc>
          <w:tcPr>
            <w:tcW w:w="1848" w:type="dxa"/>
            <w:vAlign w:val="top"/>
          </w:tcPr>
          <w:p w14:paraId="220F3232">
            <w:pPr>
              <w:rPr>
                <w:rFonts w:ascii="Arial"/>
                <w:sz w:val="21"/>
              </w:rPr>
            </w:pPr>
          </w:p>
        </w:tc>
        <w:tc>
          <w:tcPr>
            <w:tcW w:w="1388" w:type="dxa"/>
            <w:vAlign w:val="top"/>
          </w:tcPr>
          <w:p w14:paraId="66F7BEEF">
            <w:pPr>
              <w:rPr>
                <w:rFonts w:ascii="Arial"/>
                <w:sz w:val="21"/>
              </w:rPr>
            </w:pPr>
          </w:p>
        </w:tc>
        <w:tc>
          <w:tcPr>
            <w:tcW w:w="1079" w:type="dxa"/>
            <w:vAlign w:val="top"/>
          </w:tcPr>
          <w:p w14:paraId="7A50CEAC">
            <w:pPr>
              <w:rPr>
                <w:rFonts w:ascii="Arial"/>
                <w:sz w:val="21"/>
              </w:rPr>
            </w:pPr>
          </w:p>
        </w:tc>
        <w:tc>
          <w:tcPr>
            <w:tcW w:w="1108" w:type="dxa"/>
            <w:vAlign w:val="top"/>
          </w:tcPr>
          <w:p w14:paraId="1B0F9BAB">
            <w:pPr>
              <w:rPr>
                <w:rFonts w:ascii="Arial"/>
                <w:sz w:val="21"/>
              </w:rPr>
            </w:pPr>
          </w:p>
        </w:tc>
        <w:tc>
          <w:tcPr>
            <w:tcW w:w="1798" w:type="dxa"/>
            <w:vAlign w:val="top"/>
          </w:tcPr>
          <w:p w14:paraId="18C58AEB">
            <w:pPr>
              <w:rPr>
                <w:rFonts w:ascii="Arial"/>
                <w:sz w:val="21"/>
              </w:rPr>
            </w:pPr>
          </w:p>
        </w:tc>
        <w:tc>
          <w:tcPr>
            <w:tcW w:w="1074" w:type="dxa"/>
            <w:vAlign w:val="top"/>
          </w:tcPr>
          <w:p w14:paraId="0600986B">
            <w:pPr>
              <w:rPr>
                <w:rFonts w:ascii="Arial"/>
                <w:sz w:val="21"/>
              </w:rPr>
            </w:pPr>
          </w:p>
        </w:tc>
      </w:tr>
      <w:tr w14:paraId="2653D99E">
        <w:tblPrEx>
          <w:tblCellMar>
            <w:top w:w="0" w:type="dxa"/>
            <w:left w:w="0" w:type="dxa"/>
            <w:bottom w:w="0" w:type="dxa"/>
            <w:right w:w="0" w:type="dxa"/>
          </w:tblCellMar>
        </w:tblPrEx>
        <w:trPr>
          <w:trHeight w:val="519" w:hRule="atLeast"/>
        </w:trPr>
        <w:tc>
          <w:tcPr>
            <w:tcW w:w="544" w:type="dxa"/>
            <w:vAlign w:val="top"/>
          </w:tcPr>
          <w:p w14:paraId="37E95421">
            <w:pPr>
              <w:rPr>
                <w:rFonts w:ascii="Arial"/>
                <w:sz w:val="21"/>
              </w:rPr>
            </w:pPr>
          </w:p>
        </w:tc>
        <w:tc>
          <w:tcPr>
            <w:tcW w:w="1848" w:type="dxa"/>
            <w:vAlign w:val="top"/>
          </w:tcPr>
          <w:p w14:paraId="45157914">
            <w:pPr>
              <w:rPr>
                <w:rFonts w:ascii="Arial"/>
                <w:sz w:val="21"/>
              </w:rPr>
            </w:pPr>
          </w:p>
        </w:tc>
        <w:tc>
          <w:tcPr>
            <w:tcW w:w="1388" w:type="dxa"/>
            <w:vAlign w:val="top"/>
          </w:tcPr>
          <w:p w14:paraId="36BF5726">
            <w:pPr>
              <w:rPr>
                <w:rFonts w:ascii="Arial"/>
                <w:sz w:val="21"/>
              </w:rPr>
            </w:pPr>
          </w:p>
        </w:tc>
        <w:tc>
          <w:tcPr>
            <w:tcW w:w="1079" w:type="dxa"/>
            <w:vAlign w:val="top"/>
          </w:tcPr>
          <w:p w14:paraId="3A11F69A">
            <w:pPr>
              <w:rPr>
                <w:rFonts w:ascii="Arial"/>
                <w:sz w:val="21"/>
              </w:rPr>
            </w:pPr>
          </w:p>
        </w:tc>
        <w:tc>
          <w:tcPr>
            <w:tcW w:w="1108" w:type="dxa"/>
            <w:vAlign w:val="top"/>
          </w:tcPr>
          <w:p w14:paraId="0D868752">
            <w:pPr>
              <w:rPr>
                <w:rFonts w:ascii="Arial"/>
                <w:sz w:val="21"/>
              </w:rPr>
            </w:pPr>
          </w:p>
        </w:tc>
        <w:tc>
          <w:tcPr>
            <w:tcW w:w="1798" w:type="dxa"/>
            <w:vAlign w:val="top"/>
          </w:tcPr>
          <w:p w14:paraId="0CD5B569">
            <w:pPr>
              <w:rPr>
                <w:rFonts w:ascii="Arial"/>
                <w:sz w:val="21"/>
              </w:rPr>
            </w:pPr>
          </w:p>
        </w:tc>
        <w:tc>
          <w:tcPr>
            <w:tcW w:w="1074" w:type="dxa"/>
            <w:vAlign w:val="top"/>
          </w:tcPr>
          <w:p w14:paraId="498A3A47">
            <w:pPr>
              <w:rPr>
                <w:rFonts w:ascii="Arial"/>
                <w:sz w:val="21"/>
              </w:rPr>
            </w:pPr>
          </w:p>
        </w:tc>
      </w:tr>
      <w:tr w14:paraId="4F137D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9" w:hRule="atLeast"/>
        </w:trPr>
        <w:tc>
          <w:tcPr>
            <w:tcW w:w="544" w:type="dxa"/>
            <w:vAlign w:val="top"/>
          </w:tcPr>
          <w:p w14:paraId="28CD8495">
            <w:pPr>
              <w:rPr>
                <w:rFonts w:ascii="Arial"/>
                <w:sz w:val="21"/>
              </w:rPr>
            </w:pPr>
          </w:p>
        </w:tc>
        <w:tc>
          <w:tcPr>
            <w:tcW w:w="1848" w:type="dxa"/>
            <w:vAlign w:val="top"/>
          </w:tcPr>
          <w:p w14:paraId="522DE7B4">
            <w:pPr>
              <w:rPr>
                <w:rFonts w:ascii="Arial"/>
                <w:sz w:val="21"/>
              </w:rPr>
            </w:pPr>
          </w:p>
        </w:tc>
        <w:tc>
          <w:tcPr>
            <w:tcW w:w="1388" w:type="dxa"/>
            <w:vAlign w:val="top"/>
          </w:tcPr>
          <w:p w14:paraId="260C6CD0">
            <w:pPr>
              <w:rPr>
                <w:rFonts w:ascii="Arial"/>
                <w:sz w:val="21"/>
              </w:rPr>
            </w:pPr>
          </w:p>
        </w:tc>
        <w:tc>
          <w:tcPr>
            <w:tcW w:w="1079" w:type="dxa"/>
            <w:vAlign w:val="top"/>
          </w:tcPr>
          <w:p w14:paraId="7946D148">
            <w:pPr>
              <w:rPr>
                <w:rFonts w:ascii="Arial"/>
                <w:sz w:val="21"/>
              </w:rPr>
            </w:pPr>
          </w:p>
        </w:tc>
        <w:tc>
          <w:tcPr>
            <w:tcW w:w="1108" w:type="dxa"/>
            <w:vAlign w:val="top"/>
          </w:tcPr>
          <w:p w14:paraId="4F5BC109">
            <w:pPr>
              <w:rPr>
                <w:rFonts w:ascii="Arial"/>
                <w:sz w:val="21"/>
              </w:rPr>
            </w:pPr>
          </w:p>
        </w:tc>
        <w:tc>
          <w:tcPr>
            <w:tcW w:w="1798" w:type="dxa"/>
            <w:vAlign w:val="top"/>
          </w:tcPr>
          <w:p w14:paraId="72B3E08B">
            <w:pPr>
              <w:rPr>
                <w:rFonts w:ascii="Arial"/>
                <w:sz w:val="21"/>
              </w:rPr>
            </w:pPr>
          </w:p>
        </w:tc>
        <w:tc>
          <w:tcPr>
            <w:tcW w:w="1074" w:type="dxa"/>
            <w:vAlign w:val="top"/>
          </w:tcPr>
          <w:p w14:paraId="06BDD3AE">
            <w:pPr>
              <w:rPr>
                <w:rFonts w:ascii="Arial"/>
                <w:sz w:val="21"/>
              </w:rPr>
            </w:pPr>
          </w:p>
        </w:tc>
      </w:tr>
      <w:tr w14:paraId="12A5EE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544" w:type="dxa"/>
            <w:vAlign w:val="top"/>
          </w:tcPr>
          <w:p w14:paraId="516DD20A">
            <w:pPr>
              <w:rPr>
                <w:rFonts w:ascii="Arial"/>
                <w:sz w:val="21"/>
              </w:rPr>
            </w:pPr>
          </w:p>
        </w:tc>
        <w:tc>
          <w:tcPr>
            <w:tcW w:w="1848" w:type="dxa"/>
            <w:vAlign w:val="top"/>
          </w:tcPr>
          <w:p w14:paraId="3A713D06">
            <w:pPr>
              <w:rPr>
                <w:rFonts w:ascii="Arial"/>
                <w:sz w:val="21"/>
              </w:rPr>
            </w:pPr>
          </w:p>
        </w:tc>
        <w:tc>
          <w:tcPr>
            <w:tcW w:w="1388" w:type="dxa"/>
            <w:vAlign w:val="top"/>
          </w:tcPr>
          <w:p w14:paraId="0FAEDCC2">
            <w:pPr>
              <w:rPr>
                <w:rFonts w:ascii="Arial"/>
                <w:sz w:val="21"/>
              </w:rPr>
            </w:pPr>
          </w:p>
        </w:tc>
        <w:tc>
          <w:tcPr>
            <w:tcW w:w="1079" w:type="dxa"/>
            <w:vAlign w:val="top"/>
          </w:tcPr>
          <w:p w14:paraId="14568D8D">
            <w:pPr>
              <w:rPr>
                <w:rFonts w:ascii="Arial"/>
                <w:sz w:val="21"/>
              </w:rPr>
            </w:pPr>
          </w:p>
        </w:tc>
        <w:tc>
          <w:tcPr>
            <w:tcW w:w="1108" w:type="dxa"/>
            <w:vAlign w:val="top"/>
          </w:tcPr>
          <w:p w14:paraId="2F4234AF">
            <w:pPr>
              <w:rPr>
                <w:rFonts w:ascii="Arial"/>
                <w:sz w:val="21"/>
              </w:rPr>
            </w:pPr>
          </w:p>
        </w:tc>
        <w:tc>
          <w:tcPr>
            <w:tcW w:w="1798" w:type="dxa"/>
            <w:vAlign w:val="top"/>
          </w:tcPr>
          <w:p w14:paraId="2604A076">
            <w:pPr>
              <w:rPr>
                <w:rFonts w:ascii="Arial"/>
                <w:sz w:val="21"/>
              </w:rPr>
            </w:pPr>
          </w:p>
        </w:tc>
        <w:tc>
          <w:tcPr>
            <w:tcW w:w="1074" w:type="dxa"/>
            <w:vAlign w:val="top"/>
          </w:tcPr>
          <w:p w14:paraId="197C929F">
            <w:pPr>
              <w:rPr>
                <w:rFonts w:ascii="Arial"/>
                <w:sz w:val="21"/>
              </w:rPr>
            </w:pPr>
          </w:p>
        </w:tc>
      </w:tr>
      <w:tr w14:paraId="0CDA67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9" w:hRule="atLeast"/>
        </w:trPr>
        <w:tc>
          <w:tcPr>
            <w:tcW w:w="544" w:type="dxa"/>
            <w:vAlign w:val="top"/>
          </w:tcPr>
          <w:p w14:paraId="5B91BCE7">
            <w:pPr>
              <w:rPr>
                <w:rFonts w:ascii="Arial"/>
                <w:sz w:val="21"/>
              </w:rPr>
            </w:pPr>
          </w:p>
        </w:tc>
        <w:tc>
          <w:tcPr>
            <w:tcW w:w="1848" w:type="dxa"/>
            <w:vAlign w:val="top"/>
          </w:tcPr>
          <w:p w14:paraId="35853157">
            <w:pPr>
              <w:rPr>
                <w:rFonts w:ascii="Arial"/>
                <w:sz w:val="21"/>
              </w:rPr>
            </w:pPr>
          </w:p>
        </w:tc>
        <w:tc>
          <w:tcPr>
            <w:tcW w:w="1388" w:type="dxa"/>
            <w:vAlign w:val="top"/>
          </w:tcPr>
          <w:p w14:paraId="5CB04FC8">
            <w:pPr>
              <w:rPr>
                <w:rFonts w:ascii="Arial"/>
                <w:sz w:val="21"/>
              </w:rPr>
            </w:pPr>
          </w:p>
        </w:tc>
        <w:tc>
          <w:tcPr>
            <w:tcW w:w="1079" w:type="dxa"/>
            <w:vAlign w:val="top"/>
          </w:tcPr>
          <w:p w14:paraId="2DD4E2BD">
            <w:pPr>
              <w:rPr>
                <w:rFonts w:ascii="Arial"/>
                <w:sz w:val="21"/>
              </w:rPr>
            </w:pPr>
          </w:p>
        </w:tc>
        <w:tc>
          <w:tcPr>
            <w:tcW w:w="1108" w:type="dxa"/>
            <w:vAlign w:val="top"/>
          </w:tcPr>
          <w:p w14:paraId="402DFC1E">
            <w:pPr>
              <w:rPr>
                <w:rFonts w:ascii="Arial"/>
                <w:sz w:val="21"/>
              </w:rPr>
            </w:pPr>
          </w:p>
        </w:tc>
        <w:tc>
          <w:tcPr>
            <w:tcW w:w="1798" w:type="dxa"/>
            <w:vAlign w:val="top"/>
          </w:tcPr>
          <w:p w14:paraId="075B690E">
            <w:pPr>
              <w:rPr>
                <w:rFonts w:ascii="Arial"/>
                <w:sz w:val="21"/>
              </w:rPr>
            </w:pPr>
          </w:p>
        </w:tc>
        <w:tc>
          <w:tcPr>
            <w:tcW w:w="1074" w:type="dxa"/>
            <w:vAlign w:val="top"/>
          </w:tcPr>
          <w:p w14:paraId="54EB9848">
            <w:pPr>
              <w:rPr>
                <w:rFonts w:ascii="Arial"/>
                <w:sz w:val="21"/>
              </w:rPr>
            </w:pPr>
          </w:p>
        </w:tc>
      </w:tr>
      <w:tr w14:paraId="3A8971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9" w:hRule="atLeast"/>
        </w:trPr>
        <w:tc>
          <w:tcPr>
            <w:tcW w:w="544" w:type="dxa"/>
            <w:vAlign w:val="top"/>
          </w:tcPr>
          <w:p w14:paraId="1E332264">
            <w:pPr>
              <w:rPr>
                <w:rFonts w:ascii="Arial"/>
                <w:sz w:val="21"/>
              </w:rPr>
            </w:pPr>
          </w:p>
        </w:tc>
        <w:tc>
          <w:tcPr>
            <w:tcW w:w="1848" w:type="dxa"/>
            <w:vAlign w:val="top"/>
          </w:tcPr>
          <w:p w14:paraId="532E8910">
            <w:pPr>
              <w:rPr>
                <w:rFonts w:ascii="Arial"/>
                <w:sz w:val="21"/>
              </w:rPr>
            </w:pPr>
          </w:p>
        </w:tc>
        <w:tc>
          <w:tcPr>
            <w:tcW w:w="1388" w:type="dxa"/>
            <w:vAlign w:val="top"/>
          </w:tcPr>
          <w:p w14:paraId="01E51257">
            <w:pPr>
              <w:rPr>
                <w:rFonts w:ascii="Arial"/>
                <w:sz w:val="21"/>
              </w:rPr>
            </w:pPr>
          </w:p>
        </w:tc>
        <w:tc>
          <w:tcPr>
            <w:tcW w:w="1079" w:type="dxa"/>
            <w:vAlign w:val="top"/>
          </w:tcPr>
          <w:p w14:paraId="66055786">
            <w:pPr>
              <w:rPr>
                <w:rFonts w:ascii="Arial"/>
                <w:sz w:val="21"/>
              </w:rPr>
            </w:pPr>
          </w:p>
        </w:tc>
        <w:tc>
          <w:tcPr>
            <w:tcW w:w="1108" w:type="dxa"/>
            <w:vAlign w:val="top"/>
          </w:tcPr>
          <w:p w14:paraId="673F10E0">
            <w:pPr>
              <w:rPr>
                <w:rFonts w:ascii="Arial"/>
                <w:sz w:val="21"/>
              </w:rPr>
            </w:pPr>
          </w:p>
        </w:tc>
        <w:tc>
          <w:tcPr>
            <w:tcW w:w="1798" w:type="dxa"/>
            <w:vAlign w:val="top"/>
          </w:tcPr>
          <w:p w14:paraId="5EEA01FE">
            <w:pPr>
              <w:rPr>
                <w:rFonts w:ascii="Arial"/>
                <w:sz w:val="21"/>
              </w:rPr>
            </w:pPr>
          </w:p>
        </w:tc>
        <w:tc>
          <w:tcPr>
            <w:tcW w:w="1074" w:type="dxa"/>
            <w:vAlign w:val="top"/>
          </w:tcPr>
          <w:p w14:paraId="4A64E853">
            <w:pPr>
              <w:rPr>
                <w:rFonts w:ascii="Arial"/>
                <w:sz w:val="21"/>
              </w:rPr>
            </w:pPr>
          </w:p>
        </w:tc>
      </w:tr>
      <w:tr w14:paraId="3FFA49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544" w:type="dxa"/>
            <w:vAlign w:val="top"/>
          </w:tcPr>
          <w:p w14:paraId="552379A9">
            <w:pPr>
              <w:rPr>
                <w:rFonts w:ascii="Arial"/>
                <w:sz w:val="21"/>
              </w:rPr>
            </w:pPr>
          </w:p>
        </w:tc>
        <w:tc>
          <w:tcPr>
            <w:tcW w:w="1848" w:type="dxa"/>
            <w:vAlign w:val="top"/>
          </w:tcPr>
          <w:p w14:paraId="3C738B7E">
            <w:pPr>
              <w:rPr>
                <w:rFonts w:ascii="Arial"/>
                <w:sz w:val="21"/>
              </w:rPr>
            </w:pPr>
          </w:p>
        </w:tc>
        <w:tc>
          <w:tcPr>
            <w:tcW w:w="1388" w:type="dxa"/>
            <w:vAlign w:val="top"/>
          </w:tcPr>
          <w:p w14:paraId="34C87806">
            <w:pPr>
              <w:rPr>
                <w:rFonts w:ascii="Arial"/>
                <w:sz w:val="21"/>
              </w:rPr>
            </w:pPr>
          </w:p>
        </w:tc>
        <w:tc>
          <w:tcPr>
            <w:tcW w:w="1079" w:type="dxa"/>
            <w:vAlign w:val="top"/>
          </w:tcPr>
          <w:p w14:paraId="714CEE29">
            <w:pPr>
              <w:rPr>
                <w:rFonts w:ascii="Arial"/>
                <w:sz w:val="21"/>
              </w:rPr>
            </w:pPr>
          </w:p>
        </w:tc>
        <w:tc>
          <w:tcPr>
            <w:tcW w:w="1108" w:type="dxa"/>
            <w:vAlign w:val="top"/>
          </w:tcPr>
          <w:p w14:paraId="1D0039C0">
            <w:pPr>
              <w:rPr>
                <w:rFonts w:ascii="Arial"/>
                <w:sz w:val="21"/>
              </w:rPr>
            </w:pPr>
          </w:p>
        </w:tc>
        <w:tc>
          <w:tcPr>
            <w:tcW w:w="1798" w:type="dxa"/>
            <w:vAlign w:val="top"/>
          </w:tcPr>
          <w:p w14:paraId="49FAB00E">
            <w:pPr>
              <w:rPr>
                <w:rFonts w:ascii="Arial"/>
                <w:sz w:val="21"/>
              </w:rPr>
            </w:pPr>
          </w:p>
        </w:tc>
        <w:tc>
          <w:tcPr>
            <w:tcW w:w="1074" w:type="dxa"/>
            <w:vAlign w:val="top"/>
          </w:tcPr>
          <w:p w14:paraId="03D62752">
            <w:pPr>
              <w:rPr>
                <w:rFonts w:ascii="Arial"/>
                <w:sz w:val="21"/>
              </w:rPr>
            </w:pPr>
          </w:p>
        </w:tc>
      </w:tr>
      <w:tr w14:paraId="2F03E1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9" w:hRule="atLeast"/>
        </w:trPr>
        <w:tc>
          <w:tcPr>
            <w:tcW w:w="544" w:type="dxa"/>
            <w:vAlign w:val="top"/>
          </w:tcPr>
          <w:p w14:paraId="659FF331">
            <w:pPr>
              <w:rPr>
                <w:rFonts w:ascii="Arial"/>
                <w:sz w:val="21"/>
              </w:rPr>
            </w:pPr>
          </w:p>
        </w:tc>
        <w:tc>
          <w:tcPr>
            <w:tcW w:w="1848" w:type="dxa"/>
            <w:vAlign w:val="top"/>
          </w:tcPr>
          <w:p w14:paraId="74A884A7">
            <w:pPr>
              <w:rPr>
                <w:rFonts w:ascii="Arial"/>
                <w:sz w:val="21"/>
              </w:rPr>
            </w:pPr>
          </w:p>
        </w:tc>
        <w:tc>
          <w:tcPr>
            <w:tcW w:w="1388" w:type="dxa"/>
            <w:vAlign w:val="top"/>
          </w:tcPr>
          <w:p w14:paraId="3B5A27A3">
            <w:pPr>
              <w:rPr>
                <w:rFonts w:ascii="Arial"/>
                <w:sz w:val="21"/>
              </w:rPr>
            </w:pPr>
          </w:p>
        </w:tc>
        <w:tc>
          <w:tcPr>
            <w:tcW w:w="1079" w:type="dxa"/>
            <w:vAlign w:val="top"/>
          </w:tcPr>
          <w:p w14:paraId="3879C874">
            <w:pPr>
              <w:rPr>
                <w:rFonts w:ascii="Arial"/>
                <w:sz w:val="21"/>
              </w:rPr>
            </w:pPr>
          </w:p>
        </w:tc>
        <w:tc>
          <w:tcPr>
            <w:tcW w:w="1108" w:type="dxa"/>
            <w:vAlign w:val="top"/>
          </w:tcPr>
          <w:p w14:paraId="3ED6F1EA">
            <w:pPr>
              <w:rPr>
                <w:rFonts w:ascii="Arial"/>
                <w:sz w:val="21"/>
              </w:rPr>
            </w:pPr>
          </w:p>
        </w:tc>
        <w:tc>
          <w:tcPr>
            <w:tcW w:w="1798" w:type="dxa"/>
            <w:vAlign w:val="top"/>
          </w:tcPr>
          <w:p w14:paraId="5F90C7E0">
            <w:pPr>
              <w:rPr>
                <w:rFonts w:ascii="Arial"/>
                <w:sz w:val="21"/>
              </w:rPr>
            </w:pPr>
          </w:p>
        </w:tc>
        <w:tc>
          <w:tcPr>
            <w:tcW w:w="1074" w:type="dxa"/>
            <w:vAlign w:val="top"/>
          </w:tcPr>
          <w:p w14:paraId="2B27B4D2">
            <w:pPr>
              <w:rPr>
                <w:rFonts w:ascii="Arial"/>
                <w:sz w:val="21"/>
              </w:rPr>
            </w:pPr>
          </w:p>
        </w:tc>
      </w:tr>
      <w:tr w14:paraId="29FF47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0" w:hRule="atLeast"/>
        </w:trPr>
        <w:tc>
          <w:tcPr>
            <w:tcW w:w="544" w:type="dxa"/>
            <w:vAlign w:val="top"/>
          </w:tcPr>
          <w:p w14:paraId="2FD64B14">
            <w:pPr>
              <w:rPr>
                <w:rFonts w:ascii="Arial"/>
                <w:sz w:val="21"/>
              </w:rPr>
            </w:pPr>
          </w:p>
        </w:tc>
        <w:tc>
          <w:tcPr>
            <w:tcW w:w="1848" w:type="dxa"/>
            <w:vAlign w:val="top"/>
          </w:tcPr>
          <w:p w14:paraId="5E8AEBA9">
            <w:pPr>
              <w:rPr>
                <w:rFonts w:ascii="Arial"/>
                <w:sz w:val="21"/>
              </w:rPr>
            </w:pPr>
          </w:p>
        </w:tc>
        <w:tc>
          <w:tcPr>
            <w:tcW w:w="1388" w:type="dxa"/>
            <w:vAlign w:val="top"/>
          </w:tcPr>
          <w:p w14:paraId="6252CC70">
            <w:pPr>
              <w:rPr>
                <w:rFonts w:ascii="Arial"/>
                <w:sz w:val="21"/>
              </w:rPr>
            </w:pPr>
          </w:p>
        </w:tc>
        <w:tc>
          <w:tcPr>
            <w:tcW w:w="1079" w:type="dxa"/>
            <w:vAlign w:val="top"/>
          </w:tcPr>
          <w:p w14:paraId="3E995ACB">
            <w:pPr>
              <w:rPr>
                <w:rFonts w:ascii="Arial"/>
                <w:sz w:val="21"/>
              </w:rPr>
            </w:pPr>
          </w:p>
        </w:tc>
        <w:tc>
          <w:tcPr>
            <w:tcW w:w="1108" w:type="dxa"/>
            <w:vAlign w:val="top"/>
          </w:tcPr>
          <w:p w14:paraId="215D297E">
            <w:pPr>
              <w:rPr>
                <w:rFonts w:ascii="Arial"/>
                <w:sz w:val="21"/>
              </w:rPr>
            </w:pPr>
          </w:p>
        </w:tc>
        <w:tc>
          <w:tcPr>
            <w:tcW w:w="1798" w:type="dxa"/>
            <w:vAlign w:val="top"/>
          </w:tcPr>
          <w:p w14:paraId="4C0314E4">
            <w:pPr>
              <w:rPr>
                <w:rFonts w:ascii="Arial"/>
                <w:sz w:val="21"/>
              </w:rPr>
            </w:pPr>
          </w:p>
        </w:tc>
        <w:tc>
          <w:tcPr>
            <w:tcW w:w="1074" w:type="dxa"/>
            <w:vAlign w:val="top"/>
          </w:tcPr>
          <w:p w14:paraId="1521FB6F">
            <w:pPr>
              <w:rPr>
                <w:rFonts w:ascii="Arial"/>
                <w:sz w:val="21"/>
              </w:rPr>
            </w:pPr>
          </w:p>
        </w:tc>
      </w:tr>
      <w:tr w14:paraId="0A39B7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9" w:hRule="atLeast"/>
        </w:trPr>
        <w:tc>
          <w:tcPr>
            <w:tcW w:w="544" w:type="dxa"/>
            <w:vAlign w:val="top"/>
          </w:tcPr>
          <w:p w14:paraId="5D41ED20">
            <w:pPr>
              <w:rPr>
                <w:rFonts w:ascii="Arial"/>
                <w:sz w:val="21"/>
              </w:rPr>
            </w:pPr>
          </w:p>
        </w:tc>
        <w:tc>
          <w:tcPr>
            <w:tcW w:w="1848" w:type="dxa"/>
            <w:vAlign w:val="top"/>
          </w:tcPr>
          <w:p w14:paraId="075A9CEE">
            <w:pPr>
              <w:rPr>
                <w:rFonts w:ascii="Arial"/>
                <w:sz w:val="21"/>
              </w:rPr>
            </w:pPr>
          </w:p>
        </w:tc>
        <w:tc>
          <w:tcPr>
            <w:tcW w:w="1388" w:type="dxa"/>
            <w:vAlign w:val="top"/>
          </w:tcPr>
          <w:p w14:paraId="09A90A1D">
            <w:pPr>
              <w:rPr>
                <w:rFonts w:ascii="Arial"/>
                <w:sz w:val="21"/>
              </w:rPr>
            </w:pPr>
          </w:p>
        </w:tc>
        <w:tc>
          <w:tcPr>
            <w:tcW w:w="1079" w:type="dxa"/>
            <w:vAlign w:val="top"/>
          </w:tcPr>
          <w:p w14:paraId="799E40BA">
            <w:pPr>
              <w:rPr>
                <w:rFonts w:ascii="Arial"/>
                <w:sz w:val="21"/>
              </w:rPr>
            </w:pPr>
          </w:p>
        </w:tc>
        <w:tc>
          <w:tcPr>
            <w:tcW w:w="1108" w:type="dxa"/>
            <w:vAlign w:val="top"/>
          </w:tcPr>
          <w:p w14:paraId="4BC9A9C0">
            <w:pPr>
              <w:rPr>
                <w:rFonts w:ascii="Arial"/>
                <w:sz w:val="21"/>
              </w:rPr>
            </w:pPr>
          </w:p>
        </w:tc>
        <w:tc>
          <w:tcPr>
            <w:tcW w:w="1798" w:type="dxa"/>
            <w:vAlign w:val="top"/>
          </w:tcPr>
          <w:p w14:paraId="2FB63BC6">
            <w:pPr>
              <w:rPr>
                <w:rFonts w:ascii="Arial"/>
                <w:sz w:val="21"/>
              </w:rPr>
            </w:pPr>
          </w:p>
        </w:tc>
        <w:tc>
          <w:tcPr>
            <w:tcW w:w="1074" w:type="dxa"/>
            <w:vAlign w:val="top"/>
          </w:tcPr>
          <w:p w14:paraId="55F15C5B">
            <w:pPr>
              <w:rPr>
                <w:rFonts w:ascii="Arial"/>
                <w:sz w:val="21"/>
              </w:rPr>
            </w:pPr>
          </w:p>
        </w:tc>
      </w:tr>
      <w:tr w14:paraId="575000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9" w:hRule="atLeast"/>
        </w:trPr>
        <w:tc>
          <w:tcPr>
            <w:tcW w:w="544" w:type="dxa"/>
            <w:vAlign w:val="top"/>
          </w:tcPr>
          <w:p w14:paraId="314EACD8">
            <w:pPr>
              <w:rPr>
                <w:rFonts w:ascii="Arial"/>
                <w:sz w:val="21"/>
              </w:rPr>
            </w:pPr>
          </w:p>
        </w:tc>
        <w:tc>
          <w:tcPr>
            <w:tcW w:w="1848" w:type="dxa"/>
            <w:vAlign w:val="top"/>
          </w:tcPr>
          <w:p w14:paraId="166F3338">
            <w:pPr>
              <w:rPr>
                <w:rFonts w:ascii="Arial"/>
                <w:sz w:val="21"/>
              </w:rPr>
            </w:pPr>
          </w:p>
        </w:tc>
        <w:tc>
          <w:tcPr>
            <w:tcW w:w="1388" w:type="dxa"/>
            <w:vAlign w:val="top"/>
          </w:tcPr>
          <w:p w14:paraId="3738C65A">
            <w:pPr>
              <w:rPr>
                <w:rFonts w:ascii="Arial"/>
                <w:sz w:val="21"/>
              </w:rPr>
            </w:pPr>
          </w:p>
        </w:tc>
        <w:tc>
          <w:tcPr>
            <w:tcW w:w="1079" w:type="dxa"/>
            <w:vAlign w:val="top"/>
          </w:tcPr>
          <w:p w14:paraId="3D5C57BD">
            <w:pPr>
              <w:rPr>
                <w:rFonts w:ascii="Arial"/>
                <w:sz w:val="21"/>
              </w:rPr>
            </w:pPr>
          </w:p>
        </w:tc>
        <w:tc>
          <w:tcPr>
            <w:tcW w:w="1108" w:type="dxa"/>
            <w:vAlign w:val="top"/>
          </w:tcPr>
          <w:p w14:paraId="4F67C52B">
            <w:pPr>
              <w:rPr>
                <w:rFonts w:ascii="Arial"/>
                <w:sz w:val="21"/>
              </w:rPr>
            </w:pPr>
          </w:p>
        </w:tc>
        <w:tc>
          <w:tcPr>
            <w:tcW w:w="1798" w:type="dxa"/>
            <w:vAlign w:val="top"/>
          </w:tcPr>
          <w:p w14:paraId="10AE77A8">
            <w:pPr>
              <w:rPr>
                <w:rFonts w:ascii="Arial"/>
                <w:sz w:val="21"/>
              </w:rPr>
            </w:pPr>
          </w:p>
        </w:tc>
        <w:tc>
          <w:tcPr>
            <w:tcW w:w="1074" w:type="dxa"/>
            <w:vAlign w:val="top"/>
          </w:tcPr>
          <w:p w14:paraId="4DB10BC6">
            <w:pPr>
              <w:rPr>
                <w:rFonts w:ascii="Arial"/>
                <w:sz w:val="21"/>
              </w:rPr>
            </w:pPr>
          </w:p>
        </w:tc>
      </w:tr>
      <w:tr w14:paraId="51F9C7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0" w:hRule="atLeast"/>
        </w:trPr>
        <w:tc>
          <w:tcPr>
            <w:tcW w:w="544" w:type="dxa"/>
            <w:vAlign w:val="top"/>
          </w:tcPr>
          <w:p w14:paraId="6130B2C6">
            <w:pPr>
              <w:rPr>
                <w:rFonts w:ascii="Arial"/>
                <w:sz w:val="21"/>
              </w:rPr>
            </w:pPr>
          </w:p>
        </w:tc>
        <w:tc>
          <w:tcPr>
            <w:tcW w:w="1848" w:type="dxa"/>
            <w:vAlign w:val="top"/>
          </w:tcPr>
          <w:p w14:paraId="25C7813E">
            <w:pPr>
              <w:rPr>
                <w:rFonts w:ascii="Arial"/>
                <w:sz w:val="21"/>
              </w:rPr>
            </w:pPr>
          </w:p>
        </w:tc>
        <w:tc>
          <w:tcPr>
            <w:tcW w:w="1388" w:type="dxa"/>
            <w:vAlign w:val="top"/>
          </w:tcPr>
          <w:p w14:paraId="01ED659C">
            <w:pPr>
              <w:rPr>
                <w:rFonts w:ascii="Arial"/>
                <w:sz w:val="21"/>
              </w:rPr>
            </w:pPr>
          </w:p>
        </w:tc>
        <w:tc>
          <w:tcPr>
            <w:tcW w:w="1079" w:type="dxa"/>
            <w:vAlign w:val="top"/>
          </w:tcPr>
          <w:p w14:paraId="0BB117F9">
            <w:pPr>
              <w:rPr>
                <w:rFonts w:ascii="Arial"/>
                <w:sz w:val="21"/>
              </w:rPr>
            </w:pPr>
          </w:p>
        </w:tc>
        <w:tc>
          <w:tcPr>
            <w:tcW w:w="1108" w:type="dxa"/>
            <w:vAlign w:val="top"/>
          </w:tcPr>
          <w:p w14:paraId="7518FF13">
            <w:pPr>
              <w:rPr>
                <w:rFonts w:ascii="Arial"/>
                <w:sz w:val="21"/>
              </w:rPr>
            </w:pPr>
          </w:p>
        </w:tc>
        <w:tc>
          <w:tcPr>
            <w:tcW w:w="1798" w:type="dxa"/>
            <w:vAlign w:val="top"/>
          </w:tcPr>
          <w:p w14:paraId="52C7E545">
            <w:pPr>
              <w:rPr>
                <w:rFonts w:ascii="Arial"/>
                <w:sz w:val="21"/>
              </w:rPr>
            </w:pPr>
          </w:p>
        </w:tc>
        <w:tc>
          <w:tcPr>
            <w:tcW w:w="1074" w:type="dxa"/>
            <w:vAlign w:val="top"/>
          </w:tcPr>
          <w:p w14:paraId="0EB0EA9D">
            <w:pPr>
              <w:rPr>
                <w:rFonts w:ascii="Arial"/>
                <w:sz w:val="21"/>
              </w:rPr>
            </w:pPr>
          </w:p>
        </w:tc>
      </w:tr>
      <w:tr w14:paraId="7086B1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9" w:hRule="atLeast"/>
        </w:trPr>
        <w:tc>
          <w:tcPr>
            <w:tcW w:w="544" w:type="dxa"/>
            <w:vAlign w:val="top"/>
          </w:tcPr>
          <w:p w14:paraId="57FA9D61">
            <w:pPr>
              <w:rPr>
                <w:rFonts w:ascii="Arial"/>
                <w:sz w:val="21"/>
              </w:rPr>
            </w:pPr>
          </w:p>
        </w:tc>
        <w:tc>
          <w:tcPr>
            <w:tcW w:w="1848" w:type="dxa"/>
            <w:vAlign w:val="top"/>
          </w:tcPr>
          <w:p w14:paraId="17363CA3">
            <w:pPr>
              <w:rPr>
                <w:rFonts w:ascii="Arial"/>
                <w:sz w:val="21"/>
              </w:rPr>
            </w:pPr>
          </w:p>
        </w:tc>
        <w:tc>
          <w:tcPr>
            <w:tcW w:w="1388" w:type="dxa"/>
            <w:vAlign w:val="top"/>
          </w:tcPr>
          <w:p w14:paraId="1C29B94F">
            <w:pPr>
              <w:rPr>
                <w:rFonts w:ascii="Arial"/>
                <w:sz w:val="21"/>
              </w:rPr>
            </w:pPr>
          </w:p>
        </w:tc>
        <w:tc>
          <w:tcPr>
            <w:tcW w:w="1079" w:type="dxa"/>
            <w:vAlign w:val="top"/>
          </w:tcPr>
          <w:p w14:paraId="61DE13F2">
            <w:pPr>
              <w:rPr>
                <w:rFonts w:ascii="Arial"/>
                <w:sz w:val="21"/>
              </w:rPr>
            </w:pPr>
          </w:p>
        </w:tc>
        <w:tc>
          <w:tcPr>
            <w:tcW w:w="1108" w:type="dxa"/>
            <w:vAlign w:val="top"/>
          </w:tcPr>
          <w:p w14:paraId="74A90AFA">
            <w:pPr>
              <w:rPr>
                <w:rFonts w:ascii="Arial"/>
                <w:sz w:val="21"/>
              </w:rPr>
            </w:pPr>
          </w:p>
        </w:tc>
        <w:tc>
          <w:tcPr>
            <w:tcW w:w="1798" w:type="dxa"/>
            <w:vAlign w:val="top"/>
          </w:tcPr>
          <w:p w14:paraId="516E7054">
            <w:pPr>
              <w:rPr>
                <w:rFonts w:ascii="Arial"/>
                <w:sz w:val="21"/>
              </w:rPr>
            </w:pPr>
          </w:p>
        </w:tc>
        <w:tc>
          <w:tcPr>
            <w:tcW w:w="1074" w:type="dxa"/>
            <w:vAlign w:val="top"/>
          </w:tcPr>
          <w:p w14:paraId="4965E493">
            <w:pPr>
              <w:rPr>
                <w:rFonts w:ascii="Arial"/>
                <w:sz w:val="21"/>
              </w:rPr>
            </w:pPr>
          </w:p>
        </w:tc>
      </w:tr>
      <w:tr w14:paraId="76C652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trPr>
        <w:tc>
          <w:tcPr>
            <w:tcW w:w="544" w:type="dxa"/>
            <w:vAlign w:val="top"/>
          </w:tcPr>
          <w:p w14:paraId="173D75C9">
            <w:pPr>
              <w:rPr>
                <w:rFonts w:ascii="Arial"/>
                <w:sz w:val="21"/>
              </w:rPr>
            </w:pPr>
          </w:p>
        </w:tc>
        <w:tc>
          <w:tcPr>
            <w:tcW w:w="1848" w:type="dxa"/>
            <w:vAlign w:val="top"/>
          </w:tcPr>
          <w:p w14:paraId="2D5161E6">
            <w:pPr>
              <w:rPr>
                <w:rFonts w:ascii="Arial"/>
                <w:sz w:val="21"/>
              </w:rPr>
            </w:pPr>
          </w:p>
        </w:tc>
        <w:tc>
          <w:tcPr>
            <w:tcW w:w="1388" w:type="dxa"/>
            <w:vAlign w:val="top"/>
          </w:tcPr>
          <w:p w14:paraId="3FBE2E33">
            <w:pPr>
              <w:rPr>
                <w:rFonts w:ascii="Arial"/>
                <w:sz w:val="21"/>
              </w:rPr>
            </w:pPr>
          </w:p>
        </w:tc>
        <w:tc>
          <w:tcPr>
            <w:tcW w:w="1079" w:type="dxa"/>
            <w:vAlign w:val="top"/>
          </w:tcPr>
          <w:p w14:paraId="3C11284E">
            <w:pPr>
              <w:rPr>
                <w:rFonts w:ascii="Arial"/>
                <w:sz w:val="21"/>
              </w:rPr>
            </w:pPr>
          </w:p>
        </w:tc>
        <w:tc>
          <w:tcPr>
            <w:tcW w:w="1108" w:type="dxa"/>
            <w:vAlign w:val="top"/>
          </w:tcPr>
          <w:p w14:paraId="7D6FCE84">
            <w:pPr>
              <w:rPr>
                <w:rFonts w:ascii="Arial"/>
                <w:sz w:val="21"/>
              </w:rPr>
            </w:pPr>
          </w:p>
        </w:tc>
        <w:tc>
          <w:tcPr>
            <w:tcW w:w="1798" w:type="dxa"/>
            <w:vAlign w:val="top"/>
          </w:tcPr>
          <w:p w14:paraId="4DF7234A">
            <w:pPr>
              <w:rPr>
                <w:rFonts w:ascii="Arial"/>
                <w:sz w:val="21"/>
              </w:rPr>
            </w:pPr>
          </w:p>
        </w:tc>
        <w:tc>
          <w:tcPr>
            <w:tcW w:w="1074" w:type="dxa"/>
            <w:vAlign w:val="top"/>
          </w:tcPr>
          <w:p w14:paraId="7DFE15ED">
            <w:pPr>
              <w:rPr>
                <w:rFonts w:ascii="Arial"/>
                <w:sz w:val="21"/>
              </w:rPr>
            </w:pPr>
          </w:p>
        </w:tc>
      </w:tr>
    </w:tbl>
    <w:p w14:paraId="6AAA1CBE">
      <w:pPr>
        <w:rPr>
          <w:rFonts w:ascii="Arial"/>
          <w:sz w:val="21"/>
        </w:rPr>
      </w:pPr>
    </w:p>
    <w:p w14:paraId="1E4B6081">
      <w:pPr>
        <w:rPr>
          <w:rFonts w:ascii="Arial" w:hAnsi="Arial" w:eastAsia="Arial" w:cs="Arial"/>
          <w:sz w:val="21"/>
          <w:szCs w:val="21"/>
        </w:rPr>
        <w:sectPr>
          <w:footerReference r:id="rId389" w:type="default"/>
          <w:pgSz w:w="11910" w:h="16840"/>
          <w:pgMar w:top="400" w:right="1435" w:bottom="1147" w:left="1625" w:header="0" w:footer="1021" w:gutter="0"/>
          <w:cols w:space="720" w:num="1"/>
        </w:sectPr>
      </w:pPr>
    </w:p>
    <w:p w14:paraId="53F13BEF">
      <w:pPr>
        <w:spacing w:line="279" w:lineRule="auto"/>
        <w:rPr>
          <w:rFonts w:ascii="Arial"/>
          <w:sz w:val="21"/>
        </w:rPr>
      </w:pPr>
    </w:p>
    <w:p w14:paraId="0AF408AE">
      <w:pPr>
        <w:spacing w:line="279" w:lineRule="auto"/>
        <w:rPr>
          <w:rFonts w:ascii="Arial"/>
          <w:sz w:val="21"/>
        </w:rPr>
      </w:pPr>
    </w:p>
    <w:p w14:paraId="5BF6822C">
      <w:pPr>
        <w:spacing w:line="280" w:lineRule="auto"/>
        <w:rPr>
          <w:rFonts w:ascii="Arial"/>
          <w:sz w:val="21"/>
        </w:rPr>
      </w:pPr>
    </w:p>
    <w:p w14:paraId="2CF822DB">
      <w:pPr>
        <w:spacing w:line="280" w:lineRule="auto"/>
        <w:rPr>
          <w:rFonts w:ascii="Arial"/>
          <w:sz w:val="21"/>
        </w:rPr>
      </w:pPr>
    </w:p>
    <w:p w14:paraId="3AEB38A6">
      <w:pPr>
        <w:spacing w:line="280" w:lineRule="auto"/>
        <w:rPr>
          <w:rFonts w:ascii="Arial"/>
          <w:sz w:val="21"/>
        </w:rPr>
      </w:pPr>
    </w:p>
    <w:p w14:paraId="17A90711">
      <w:pPr>
        <w:spacing w:line="280" w:lineRule="auto"/>
        <w:rPr>
          <w:rFonts w:ascii="Arial"/>
          <w:sz w:val="21"/>
        </w:rPr>
      </w:pPr>
    </w:p>
    <w:p w14:paraId="7CA3BD1B">
      <w:pPr>
        <w:pStyle w:val="2"/>
        <w:spacing w:before="78" w:line="214" w:lineRule="auto"/>
        <w:ind w:left="2433"/>
        <w:rPr>
          <w:sz w:val="24"/>
          <w:szCs w:val="24"/>
        </w:rPr>
      </w:pPr>
      <w:r>
        <w:rPr>
          <w:b/>
          <w:bCs/>
          <w:spacing w:val="-3"/>
          <w:sz w:val="24"/>
          <w:szCs w:val="24"/>
        </w:rPr>
        <w:t>4-2正在施工的和新承接的项目情况表</w:t>
      </w:r>
    </w:p>
    <w:tbl>
      <w:tblPr>
        <w:tblStyle w:val="5"/>
        <w:tblW w:w="8480" w:type="dxa"/>
        <w:tblInd w:w="1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12"/>
        <w:gridCol w:w="6068"/>
      </w:tblGrid>
      <w:tr w14:paraId="5C2C02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4" w:hRule="atLeast"/>
        </w:trPr>
        <w:tc>
          <w:tcPr>
            <w:tcW w:w="2412" w:type="dxa"/>
            <w:vAlign w:val="top"/>
          </w:tcPr>
          <w:p w14:paraId="12307903">
            <w:pPr>
              <w:pStyle w:val="6"/>
              <w:spacing w:before="224" w:line="220" w:lineRule="auto"/>
              <w:ind w:left="774"/>
            </w:pPr>
            <w:r>
              <w:rPr>
                <w:spacing w:val="2"/>
              </w:rPr>
              <w:t>项目名称</w:t>
            </w:r>
          </w:p>
        </w:tc>
        <w:tc>
          <w:tcPr>
            <w:tcW w:w="6068" w:type="dxa"/>
            <w:vAlign w:val="top"/>
          </w:tcPr>
          <w:p w14:paraId="65E97A0C">
            <w:pPr>
              <w:rPr>
                <w:rFonts w:ascii="Arial"/>
                <w:sz w:val="21"/>
              </w:rPr>
            </w:pPr>
          </w:p>
        </w:tc>
      </w:tr>
      <w:tr w14:paraId="72C235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0" w:hRule="atLeast"/>
        </w:trPr>
        <w:tc>
          <w:tcPr>
            <w:tcW w:w="2412" w:type="dxa"/>
            <w:vAlign w:val="top"/>
          </w:tcPr>
          <w:p w14:paraId="2C653E04">
            <w:pPr>
              <w:pStyle w:val="6"/>
              <w:spacing w:before="200" w:line="220" w:lineRule="auto"/>
              <w:ind w:left="674"/>
            </w:pPr>
            <w:r>
              <w:rPr>
                <w:spacing w:val="-2"/>
              </w:rPr>
              <w:t>项目所在地</w:t>
            </w:r>
          </w:p>
        </w:tc>
        <w:tc>
          <w:tcPr>
            <w:tcW w:w="6068" w:type="dxa"/>
            <w:vAlign w:val="top"/>
          </w:tcPr>
          <w:p w14:paraId="35EEF24D">
            <w:pPr>
              <w:rPr>
                <w:rFonts w:ascii="Arial"/>
                <w:sz w:val="21"/>
              </w:rPr>
            </w:pPr>
          </w:p>
        </w:tc>
      </w:tr>
      <w:tr w14:paraId="3559A7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trPr>
        <w:tc>
          <w:tcPr>
            <w:tcW w:w="2412" w:type="dxa"/>
            <w:vAlign w:val="top"/>
          </w:tcPr>
          <w:p w14:paraId="4EDFFD4B">
            <w:pPr>
              <w:pStyle w:val="6"/>
              <w:spacing w:before="200" w:line="220" w:lineRule="auto"/>
              <w:ind w:left="674"/>
            </w:pPr>
            <w:r>
              <w:rPr>
                <w:spacing w:val="2"/>
              </w:rPr>
              <w:t>发包人名称</w:t>
            </w:r>
          </w:p>
        </w:tc>
        <w:tc>
          <w:tcPr>
            <w:tcW w:w="6068" w:type="dxa"/>
            <w:vAlign w:val="top"/>
          </w:tcPr>
          <w:p w14:paraId="55EA0B55">
            <w:pPr>
              <w:rPr>
                <w:rFonts w:ascii="Arial"/>
                <w:sz w:val="21"/>
              </w:rPr>
            </w:pPr>
          </w:p>
        </w:tc>
      </w:tr>
      <w:tr w14:paraId="38D95D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2412" w:type="dxa"/>
            <w:vAlign w:val="top"/>
          </w:tcPr>
          <w:p w14:paraId="796BBC64">
            <w:pPr>
              <w:pStyle w:val="6"/>
              <w:spacing w:before="211" w:line="220" w:lineRule="auto"/>
              <w:ind w:left="674"/>
            </w:pPr>
            <w:r>
              <w:rPr>
                <w:spacing w:val="1"/>
              </w:rPr>
              <w:t>发包人地址</w:t>
            </w:r>
          </w:p>
        </w:tc>
        <w:tc>
          <w:tcPr>
            <w:tcW w:w="6068" w:type="dxa"/>
            <w:vAlign w:val="top"/>
          </w:tcPr>
          <w:p w14:paraId="7D628966">
            <w:pPr>
              <w:rPr>
                <w:rFonts w:ascii="Arial"/>
                <w:sz w:val="21"/>
              </w:rPr>
            </w:pPr>
          </w:p>
        </w:tc>
      </w:tr>
      <w:tr w14:paraId="6DE4BB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0" w:hRule="atLeast"/>
        </w:trPr>
        <w:tc>
          <w:tcPr>
            <w:tcW w:w="2412" w:type="dxa"/>
            <w:vAlign w:val="top"/>
          </w:tcPr>
          <w:p w14:paraId="6B286B90">
            <w:pPr>
              <w:pStyle w:val="6"/>
              <w:spacing w:before="222" w:line="220" w:lineRule="auto"/>
              <w:ind w:left="674"/>
            </w:pPr>
            <w:r>
              <w:rPr>
                <w:spacing w:val="-2"/>
              </w:rPr>
              <w:t>发包人电话</w:t>
            </w:r>
          </w:p>
        </w:tc>
        <w:tc>
          <w:tcPr>
            <w:tcW w:w="6068" w:type="dxa"/>
            <w:vAlign w:val="top"/>
          </w:tcPr>
          <w:p w14:paraId="66AFD1E0">
            <w:pPr>
              <w:rPr>
                <w:rFonts w:ascii="Arial"/>
                <w:sz w:val="21"/>
              </w:rPr>
            </w:pPr>
          </w:p>
        </w:tc>
      </w:tr>
      <w:tr w14:paraId="7E1586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2412" w:type="dxa"/>
            <w:vAlign w:val="top"/>
          </w:tcPr>
          <w:p w14:paraId="67A0FC3D">
            <w:pPr>
              <w:pStyle w:val="6"/>
              <w:spacing w:before="209" w:line="218" w:lineRule="auto"/>
              <w:ind w:left="674"/>
            </w:pPr>
            <w:r>
              <w:rPr>
                <w:spacing w:val="-2"/>
              </w:rPr>
              <w:t>签约合同价</w:t>
            </w:r>
          </w:p>
        </w:tc>
        <w:tc>
          <w:tcPr>
            <w:tcW w:w="6068" w:type="dxa"/>
            <w:vAlign w:val="top"/>
          </w:tcPr>
          <w:p w14:paraId="0B309856">
            <w:pPr>
              <w:rPr>
                <w:rFonts w:ascii="Arial"/>
                <w:sz w:val="21"/>
              </w:rPr>
            </w:pPr>
          </w:p>
        </w:tc>
      </w:tr>
      <w:tr w14:paraId="230A07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trPr>
        <w:tc>
          <w:tcPr>
            <w:tcW w:w="2412" w:type="dxa"/>
            <w:vAlign w:val="top"/>
          </w:tcPr>
          <w:p w14:paraId="7083F545">
            <w:pPr>
              <w:pStyle w:val="6"/>
              <w:spacing w:before="213" w:line="220" w:lineRule="auto"/>
              <w:ind w:left="774"/>
            </w:pPr>
            <w:r>
              <w:rPr>
                <w:spacing w:val="3"/>
              </w:rPr>
              <w:t>开工日期</w:t>
            </w:r>
          </w:p>
        </w:tc>
        <w:tc>
          <w:tcPr>
            <w:tcW w:w="6068" w:type="dxa"/>
            <w:vAlign w:val="top"/>
          </w:tcPr>
          <w:p w14:paraId="0D02BCAF">
            <w:pPr>
              <w:rPr>
                <w:rFonts w:ascii="Arial"/>
                <w:sz w:val="21"/>
              </w:rPr>
            </w:pPr>
          </w:p>
        </w:tc>
      </w:tr>
      <w:tr w14:paraId="1CFF75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trPr>
        <w:tc>
          <w:tcPr>
            <w:tcW w:w="2412" w:type="dxa"/>
            <w:vAlign w:val="top"/>
          </w:tcPr>
          <w:p w14:paraId="65150D35">
            <w:pPr>
              <w:pStyle w:val="6"/>
              <w:spacing w:before="212" w:line="219" w:lineRule="auto"/>
              <w:ind w:left="565"/>
            </w:pPr>
            <w:r>
              <w:rPr>
                <w:spacing w:val="2"/>
              </w:rPr>
              <w:t>计划竣工日期</w:t>
            </w:r>
          </w:p>
        </w:tc>
        <w:tc>
          <w:tcPr>
            <w:tcW w:w="6068" w:type="dxa"/>
            <w:vAlign w:val="top"/>
          </w:tcPr>
          <w:p w14:paraId="38EAA15F">
            <w:pPr>
              <w:rPr>
                <w:rFonts w:ascii="Arial"/>
                <w:sz w:val="21"/>
              </w:rPr>
            </w:pPr>
          </w:p>
        </w:tc>
      </w:tr>
      <w:tr w14:paraId="6B6556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9" w:hRule="atLeast"/>
        </w:trPr>
        <w:tc>
          <w:tcPr>
            <w:tcW w:w="2412" w:type="dxa"/>
            <w:vAlign w:val="top"/>
          </w:tcPr>
          <w:p w14:paraId="2C18C590">
            <w:pPr>
              <w:pStyle w:val="6"/>
              <w:spacing w:before="222" w:line="219" w:lineRule="auto"/>
              <w:ind w:left="674"/>
            </w:pPr>
            <w:r>
              <w:rPr>
                <w:spacing w:val="2"/>
              </w:rPr>
              <w:t>承担的工作</w:t>
            </w:r>
          </w:p>
        </w:tc>
        <w:tc>
          <w:tcPr>
            <w:tcW w:w="6068" w:type="dxa"/>
            <w:vAlign w:val="top"/>
          </w:tcPr>
          <w:p w14:paraId="42E58F95">
            <w:pPr>
              <w:rPr>
                <w:rFonts w:ascii="Arial"/>
                <w:sz w:val="21"/>
              </w:rPr>
            </w:pPr>
          </w:p>
        </w:tc>
      </w:tr>
      <w:tr w14:paraId="182075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2412" w:type="dxa"/>
            <w:vAlign w:val="top"/>
          </w:tcPr>
          <w:p w14:paraId="02846D5D">
            <w:pPr>
              <w:pStyle w:val="6"/>
              <w:spacing w:before="214" w:line="220" w:lineRule="auto"/>
              <w:ind w:left="774"/>
            </w:pPr>
            <w:r>
              <w:rPr>
                <w:spacing w:val="-3"/>
              </w:rPr>
              <w:t>工程质量</w:t>
            </w:r>
          </w:p>
        </w:tc>
        <w:tc>
          <w:tcPr>
            <w:tcW w:w="6068" w:type="dxa"/>
            <w:vAlign w:val="top"/>
          </w:tcPr>
          <w:p w14:paraId="744C1997">
            <w:pPr>
              <w:rPr>
                <w:rFonts w:ascii="Arial"/>
                <w:sz w:val="21"/>
              </w:rPr>
            </w:pPr>
          </w:p>
        </w:tc>
      </w:tr>
      <w:tr w14:paraId="55CE93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2412" w:type="dxa"/>
            <w:vAlign w:val="top"/>
          </w:tcPr>
          <w:p w14:paraId="23D6AB2F">
            <w:pPr>
              <w:pStyle w:val="6"/>
              <w:spacing w:before="215" w:line="220" w:lineRule="auto"/>
              <w:ind w:left="774"/>
            </w:pPr>
            <w:r>
              <w:rPr>
                <w:spacing w:val="-3"/>
              </w:rPr>
              <w:t>项目经理</w:t>
            </w:r>
          </w:p>
        </w:tc>
        <w:tc>
          <w:tcPr>
            <w:tcW w:w="6068" w:type="dxa"/>
            <w:vAlign w:val="top"/>
          </w:tcPr>
          <w:p w14:paraId="663D2DAD">
            <w:pPr>
              <w:rPr>
                <w:rFonts w:ascii="Arial"/>
                <w:sz w:val="21"/>
              </w:rPr>
            </w:pPr>
          </w:p>
        </w:tc>
      </w:tr>
      <w:tr w14:paraId="7C3908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2412" w:type="dxa"/>
            <w:vAlign w:val="top"/>
          </w:tcPr>
          <w:p w14:paraId="23E5333C">
            <w:pPr>
              <w:pStyle w:val="6"/>
              <w:spacing w:before="215" w:line="219" w:lineRule="auto"/>
              <w:ind w:left="674"/>
            </w:pPr>
            <w:r>
              <w:rPr>
                <w:spacing w:val="-2"/>
              </w:rPr>
              <w:t>技术负责人</w:t>
            </w:r>
          </w:p>
        </w:tc>
        <w:tc>
          <w:tcPr>
            <w:tcW w:w="6068" w:type="dxa"/>
            <w:vAlign w:val="top"/>
          </w:tcPr>
          <w:p w14:paraId="02279F66">
            <w:pPr>
              <w:rPr>
                <w:rFonts w:ascii="Arial"/>
                <w:sz w:val="21"/>
              </w:rPr>
            </w:pPr>
          </w:p>
        </w:tc>
      </w:tr>
      <w:tr w14:paraId="7C1932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2412" w:type="dxa"/>
            <w:vAlign w:val="top"/>
          </w:tcPr>
          <w:p w14:paraId="3E83F3B9">
            <w:pPr>
              <w:pStyle w:val="6"/>
              <w:spacing w:before="216" w:line="219" w:lineRule="auto"/>
              <w:ind w:left="254"/>
            </w:pPr>
            <w:r>
              <w:t>总监理工程师及电话</w:t>
            </w:r>
          </w:p>
        </w:tc>
        <w:tc>
          <w:tcPr>
            <w:tcW w:w="6068" w:type="dxa"/>
            <w:vAlign w:val="top"/>
          </w:tcPr>
          <w:p w14:paraId="3B6D88E3">
            <w:pPr>
              <w:rPr>
                <w:rFonts w:ascii="Arial"/>
                <w:sz w:val="21"/>
              </w:rPr>
            </w:pPr>
          </w:p>
        </w:tc>
      </w:tr>
      <w:tr w14:paraId="135998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09" w:hRule="atLeast"/>
        </w:trPr>
        <w:tc>
          <w:tcPr>
            <w:tcW w:w="2412" w:type="dxa"/>
            <w:vAlign w:val="top"/>
          </w:tcPr>
          <w:p w14:paraId="7EB99795">
            <w:pPr>
              <w:spacing w:line="342" w:lineRule="auto"/>
              <w:rPr>
                <w:rFonts w:ascii="Arial"/>
                <w:sz w:val="21"/>
              </w:rPr>
            </w:pPr>
          </w:p>
          <w:p w14:paraId="25CD2927">
            <w:pPr>
              <w:spacing w:line="343" w:lineRule="auto"/>
              <w:rPr>
                <w:rFonts w:ascii="Arial"/>
                <w:sz w:val="21"/>
              </w:rPr>
            </w:pPr>
          </w:p>
          <w:p w14:paraId="7279A743">
            <w:pPr>
              <w:pStyle w:val="6"/>
              <w:spacing w:before="69" w:line="220" w:lineRule="auto"/>
              <w:ind w:left="774"/>
            </w:pPr>
            <w:r>
              <w:rPr>
                <w:spacing w:val="-3"/>
              </w:rPr>
              <w:t>项目描述</w:t>
            </w:r>
          </w:p>
        </w:tc>
        <w:tc>
          <w:tcPr>
            <w:tcW w:w="6068" w:type="dxa"/>
            <w:vAlign w:val="top"/>
          </w:tcPr>
          <w:p w14:paraId="4EB3F63B">
            <w:pPr>
              <w:rPr>
                <w:rFonts w:ascii="Arial"/>
                <w:sz w:val="21"/>
              </w:rPr>
            </w:pPr>
          </w:p>
        </w:tc>
      </w:tr>
      <w:tr w14:paraId="1B4DEE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2412" w:type="dxa"/>
            <w:vAlign w:val="top"/>
          </w:tcPr>
          <w:p w14:paraId="63C10CA4">
            <w:pPr>
              <w:pStyle w:val="6"/>
              <w:spacing w:before="219" w:line="221" w:lineRule="auto"/>
              <w:ind w:left="984"/>
            </w:pPr>
            <w:r>
              <w:rPr>
                <w:spacing w:val="5"/>
              </w:rPr>
              <w:t>备注</w:t>
            </w:r>
          </w:p>
        </w:tc>
        <w:tc>
          <w:tcPr>
            <w:tcW w:w="6068" w:type="dxa"/>
            <w:vAlign w:val="top"/>
          </w:tcPr>
          <w:p w14:paraId="15AB06F5">
            <w:pPr>
              <w:rPr>
                <w:rFonts w:ascii="Arial"/>
                <w:sz w:val="21"/>
              </w:rPr>
            </w:pPr>
          </w:p>
        </w:tc>
      </w:tr>
    </w:tbl>
    <w:p w14:paraId="3571F73A">
      <w:pPr>
        <w:spacing w:line="246" w:lineRule="auto"/>
        <w:rPr>
          <w:rFonts w:ascii="Arial"/>
          <w:sz w:val="21"/>
        </w:rPr>
      </w:pPr>
    </w:p>
    <w:p w14:paraId="33DE0B24">
      <w:pPr>
        <w:spacing w:line="247" w:lineRule="auto"/>
        <w:rPr>
          <w:rFonts w:ascii="Arial"/>
          <w:sz w:val="21"/>
        </w:rPr>
      </w:pPr>
    </w:p>
    <w:p w14:paraId="2FB0AF09">
      <w:pPr>
        <w:pStyle w:val="2"/>
        <w:spacing w:before="68" w:line="238" w:lineRule="auto"/>
        <w:ind w:left="639" w:hanging="639"/>
        <w:rPr>
          <w:sz w:val="21"/>
          <w:szCs w:val="21"/>
        </w:rPr>
      </w:pPr>
      <w:r>
        <w:rPr>
          <w:spacing w:val="8"/>
          <w:sz w:val="21"/>
          <w:szCs w:val="21"/>
        </w:rPr>
        <w:t>备注：本表后附中标通知书(如有)、合同协议书、施工许可证(如有)的扫描件。</w:t>
      </w:r>
      <w:r>
        <w:rPr>
          <w:spacing w:val="7"/>
          <w:sz w:val="21"/>
          <w:szCs w:val="21"/>
        </w:rPr>
        <w:t>其中招标发包</w:t>
      </w:r>
      <w:r>
        <w:rPr>
          <w:sz w:val="21"/>
          <w:szCs w:val="21"/>
        </w:rPr>
        <w:t xml:space="preserve"> </w:t>
      </w:r>
      <w:r>
        <w:rPr>
          <w:spacing w:val="2"/>
          <w:sz w:val="21"/>
          <w:szCs w:val="21"/>
        </w:rPr>
        <w:t>的工程应附中标通知书，工程总承包发包、施工总承包发包、独立发包的施工专业承包正</w:t>
      </w:r>
      <w:r>
        <w:rPr>
          <w:spacing w:val="13"/>
          <w:sz w:val="21"/>
          <w:szCs w:val="21"/>
        </w:rPr>
        <w:t xml:space="preserve"> </w:t>
      </w:r>
      <w:r>
        <w:rPr>
          <w:spacing w:val="-1"/>
          <w:sz w:val="21"/>
          <w:szCs w:val="21"/>
        </w:rPr>
        <w:t>在施工的应附施工许可证。每张表格只填写一个项目，并标明序号。</w:t>
      </w:r>
    </w:p>
    <w:p w14:paraId="3C7D2C70">
      <w:pPr>
        <w:spacing w:line="238" w:lineRule="auto"/>
        <w:rPr>
          <w:sz w:val="21"/>
          <w:szCs w:val="21"/>
        </w:rPr>
        <w:sectPr>
          <w:footerReference r:id="rId390" w:type="default"/>
          <w:pgSz w:w="11910" w:h="16840"/>
          <w:pgMar w:top="400" w:right="1500" w:bottom="1147" w:left="1460" w:header="0" w:footer="1021" w:gutter="0"/>
          <w:cols w:space="720" w:num="1"/>
        </w:sectPr>
      </w:pPr>
    </w:p>
    <w:p w14:paraId="2EB0AD8E">
      <w:pPr>
        <w:spacing w:line="245" w:lineRule="auto"/>
        <w:rPr>
          <w:rFonts w:ascii="Arial"/>
          <w:sz w:val="21"/>
        </w:rPr>
      </w:pPr>
    </w:p>
    <w:p w14:paraId="4F64BA7D">
      <w:pPr>
        <w:spacing w:line="245" w:lineRule="auto"/>
        <w:rPr>
          <w:rFonts w:ascii="Arial"/>
          <w:sz w:val="21"/>
        </w:rPr>
      </w:pPr>
    </w:p>
    <w:p w14:paraId="07A27A7C">
      <w:pPr>
        <w:spacing w:line="245" w:lineRule="auto"/>
        <w:rPr>
          <w:rFonts w:ascii="Arial"/>
          <w:sz w:val="21"/>
        </w:rPr>
      </w:pPr>
    </w:p>
    <w:p w14:paraId="2364F990">
      <w:pPr>
        <w:spacing w:line="245" w:lineRule="auto"/>
        <w:rPr>
          <w:rFonts w:ascii="Arial"/>
          <w:sz w:val="21"/>
        </w:rPr>
      </w:pPr>
    </w:p>
    <w:p w14:paraId="349A74E5">
      <w:pPr>
        <w:spacing w:line="245" w:lineRule="auto"/>
        <w:rPr>
          <w:rFonts w:ascii="Arial"/>
          <w:sz w:val="21"/>
        </w:rPr>
      </w:pPr>
    </w:p>
    <w:p w14:paraId="1A45FE07">
      <w:pPr>
        <w:spacing w:line="245" w:lineRule="auto"/>
        <w:rPr>
          <w:rFonts w:ascii="Arial"/>
          <w:sz w:val="21"/>
        </w:rPr>
      </w:pPr>
    </w:p>
    <w:p w14:paraId="31A42F6A">
      <w:pPr>
        <w:spacing w:line="246" w:lineRule="auto"/>
        <w:rPr>
          <w:rFonts w:ascii="Arial"/>
          <w:sz w:val="21"/>
        </w:rPr>
      </w:pPr>
    </w:p>
    <w:p w14:paraId="57EFB2B6">
      <w:pPr>
        <w:spacing w:before="69" w:line="222" w:lineRule="auto"/>
        <w:ind w:left="3543"/>
        <w:rPr>
          <w:rFonts w:ascii="黑体" w:hAnsi="黑体" w:eastAsia="黑体" w:cs="黑体"/>
          <w:sz w:val="21"/>
          <w:szCs w:val="21"/>
        </w:rPr>
      </w:pPr>
      <w:r>
        <w:rPr>
          <w:rFonts w:ascii="黑体" w:hAnsi="黑体" w:eastAsia="黑体" w:cs="黑体"/>
          <w:b/>
          <w:bCs/>
          <w:spacing w:val="-15"/>
          <w:sz w:val="21"/>
          <w:szCs w:val="21"/>
        </w:rPr>
        <w:t>(</w:t>
      </w:r>
      <w:r>
        <w:rPr>
          <w:rFonts w:ascii="黑体" w:hAnsi="黑体" w:eastAsia="黑体" w:cs="黑体"/>
          <w:spacing w:val="-38"/>
          <w:sz w:val="21"/>
          <w:szCs w:val="21"/>
        </w:rPr>
        <w:t xml:space="preserve"> </w:t>
      </w:r>
      <w:r>
        <w:rPr>
          <w:rFonts w:ascii="黑体" w:hAnsi="黑体" w:eastAsia="黑体" w:cs="黑体"/>
          <w:b/>
          <w:bCs/>
          <w:spacing w:val="-15"/>
          <w:sz w:val="21"/>
          <w:szCs w:val="21"/>
        </w:rPr>
        <w:t>五</w:t>
      </w:r>
      <w:r>
        <w:rPr>
          <w:rFonts w:ascii="黑体" w:hAnsi="黑体" w:eastAsia="黑体" w:cs="黑体"/>
          <w:spacing w:val="-50"/>
          <w:sz w:val="21"/>
          <w:szCs w:val="21"/>
        </w:rPr>
        <w:t xml:space="preserve"> </w:t>
      </w:r>
      <w:r>
        <w:rPr>
          <w:rFonts w:ascii="黑体" w:hAnsi="黑体" w:eastAsia="黑体" w:cs="黑体"/>
          <w:b/>
          <w:bCs/>
          <w:spacing w:val="-15"/>
          <w:sz w:val="21"/>
          <w:szCs w:val="21"/>
        </w:rPr>
        <w:t>)</w:t>
      </w:r>
      <w:r>
        <w:rPr>
          <w:rFonts w:ascii="黑体" w:hAnsi="黑体" w:eastAsia="黑体" w:cs="黑体"/>
          <w:spacing w:val="-49"/>
          <w:sz w:val="21"/>
          <w:szCs w:val="21"/>
        </w:rPr>
        <w:t xml:space="preserve"> </w:t>
      </w:r>
      <w:r>
        <w:rPr>
          <w:rFonts w:ascii="黑体" w:hAnsi="黑体" w:eastAsia="黑体" w:cs="黑体"/>
          <w:b/>
          <w:bCs/>
          <w:spacing w:val="-15"/>
          <w:sz w:val="21"/>
          <w:szCs w:val="21"/>
        </w:rPr>
        <w:t>企</w:t>
      </w:r>
      <w:r>
        <w:rPr>
          <w:rFonts w:ascii="黑体" w:hAnsi="黑体" w:eastAsia="黑体" w:cs="黑体"/>
          <w:spacing w:val="-44"/>
          <w:sz w:val="21"/>
          <w:szCs w:val="21"/>
        </w:rPr>
        <w:t xml:space="preserve"> </w:t>
      </w:r>
      <w:r>
        <w:rPr>
          <w:rFonts w:ascii="黑体" w:hAnsi="黑体" w:eastAsia="黑体" w:cs="黑体"/>
          <w:b/>
          <w:bCs/>
          <w:spacing w:val="-15"/>
          <w:sz w:val="21"/>
          <w:szCs w:val="21"/>
        </w:rPr>
        <w:t>业</w:t>
      </w:r>
      <w:r>
        <w:rPr>
          <w:rFonts w:ascii="黑体" w:hAnsi="黑体" w:eastAsia="黑体" w:cs="黑体"/>
          <w:spacing w:val="-47"/>
          <w:sz w:val="21"/>
          <w:szCs w:val="21"/>
        </w:rPr>
        <w:t xml:space="preserve"> </w:t>
      </w:r>
      <w:r>
        <w:rPr>
          <w:rFonts w:ascii="黑体" w:hAnsi="黑体" w:eastAsia="黑体" w:cs="黑体"/>
          <w:b/>
          <w:bCs/>
          <w:spacing w:val="-15"/>
          <w:sz w:val="21"/>
          <w:szCs w:val="21"/>
        </w:rPr>
        <w:t>信</w:t>
      </w:r>
      <w:r>
        <w:rPr>
          <w:rFonts w:ascii="黑体" w:hAnsi="黑体" w:eastAsia="黑体" w:cs="黑体"/>
          <w:spacing w:val="-44"/>
          <w:sz w:val="21"/>
          <w:szCs w:val="21"/>
        </w:rPr>
        <w:t xml:space="preserve"> </w:t>
      </w:r>
      <w:r>
        <w:rPr>
          <w:rFonts w:ascii="黑体" w:hAnsi="黑体" w:eastAsia="黑体" w:cs="黑体"/>
          <w:b/>
          <w:bCs/>
          <w:spacing w:val="-15"/>
          <w:sz w:val="21"/>
          <w:szCs w:val="21"/>
        </w:rPr>
        <w:t>誉</w:t>
      </w:r>
      <w:r>
        <w:rPr>
          <w:rFonts w:ascii="黑体" w:hAnsi="黑体" w:eastAsia="黑体" w:cs="黑体"/>
          <w:spacing w:val="-47"/>
          <w:sz w:val="21"/>
          <w:szCs w:val="21"/>
        </w:rPr>
        <w:t xml:space="preserve"> </w:t>
      </w:r>
      <w:r>
        <w:rPr>
          <w:rFonts w:ascii="黑体" w:hAnsi="黑体" w:eastAsia="黑体" w:cs="黑体"/>
          <w:b/>
          <w:bCs/>
          <w:spacing w:val="-15"/>
          <w:sz w:val="21"/>
          <w:szCs w:val="21"/>
        </w:rPr>
        <w:t>情</w:t>
      </w:r>
      <w:r>
        <w:rPr>
          <w:rFonts w:ascii="黑体" w:hAnsi="黑体" w:eastAsia="黑体" w:cs="黑体"/>
          <w:spacing w:val="-45"/>
          <w:sz w:val="21"/>
          <w:szCs w:val="21"/>
        </w:rPr>
        <w:t xml:space="preserve"> </w:t>
      </w:r>
      <w:r>
        <w:rPr>
          <w:rFonts w:ascii="黑体" w:hAnsi="黑体" w:eastAsia="黑体" w:cs="黑体"/>
          <w:b/>
          <w:bCs/>
          <w:spacing w:val="-15"/>
          <w:sz w:val="21"/>
          <w:szCs w:val="21"/>
        </w:rPr>
        <w:t>况</w:t>
      </w:r>
    </w:p>
    <w:p w14:paraId="483D4054">
      <w:pPr>
        <w:spacing w:line="346" w:lineRule="auto"/>
        <w:rPr>
          <w:rFonts w:ascii="Arial"/>
          <w:sz w:val="21"/>
        </w:rPr>
      </w:pPr>
    </w:p>
    <w:p w14:paraId="47189881">
      <w:pPr>
        <w:spacing w:line="346" w:lineRule="auto"/>
        <w:rPr>
          <w:rFonts w:ascii="Arial"/>
          <w:sz w:val="21"/>
        </w:rPr>
      </w:pPr>
    </w:p>
    <w:p w14:paraId="56CDC19F">
      <w:pPr>
        <w:spacing w:before="69" w:line="221" w:lineRule="auto"/>
        <w:ind w:left="3592"/>
        <w:rPr>
          <w:rFonts w:ascii="黑体" w:hAnsi="黑体" w:eastAsia="黑体" w:cs="黑体"/>
          <w:sz w:val="21"/>
          <w:szCs w:val="21"/>
        </w:rPr>
      </w:pPr>
      <w:r>
        <w:rPr>
          <w:rFonts w:ascii="黑体" w:hAnsi="黑体" w:eastAsia="黑体" w:cs="黑体"/>
          <w:b/>
          <w:bCs/>
          <w:spacing w:val="18"/>
          <w:sz w:val="21"/>
          <w:szCs w:val="21"/>
        </w:rPr>
        <w:t>5-</w:t>
      </w:r>
      <w:r>
        <w:rPr>
          <w:rFonts w:ascii="黑体" w:hAnsi="黑体" w:eastAsia="黑体" w:cs="黑体"/>
          <w:spacing w:val="-49"/>
          <w:sz w:val="21"/>
          <w:szCs w:val="21"/>
        </w:rPr>
        <w:t xml:space="preserve"> </w:t>
      </w:r>
      <w:r>
        <w:rPr>
          <w:rFonts w:ascii="黑体" w:hAnsi="黑体" w:eastAsia="黑体" w:cs="黑体"/>
          <w:b/>
          <w:bCs/>
          <w:spacing w:val="18"/>
          <w:sz w:val="21"/>
          <w:szCs w:val="21"/>
        </w:rPr>
        <w:t>1企业信誉声明</w:t>
      </w:r>
    </w:p>
    <w:p w14:paraId="6E3A3ECC">
      <w:pPr>
        <w:spacing w:line="254" w:lineRule="auto"/>
        <w:rPr>
          <w:rFonts w:ascii="Arial"/>
          <w:sz w:val="21"/>
        </w:rPr>
      </w:pPr>
    </w:p>
    <w:p w14:paraId="759135EC">
      <w:pPr>
        <w:pStyle w:val="2"/>
        <w:tabs>
          <w:tab w:val="left" w:pos="2268"/>
        </w:tabs>
        <w:spacing w:before="68" w:line="220" w:lineRule="auto"/>
        <w:rPr>
          <w:sz w:val="21"/>
          <w:szCs w:val="21"/>
        </w:rPr>
      </w:pPr>
      <w:r>
        <w:rPr>
          <w:sz w:val="21"/>
          <w:szCs w:val="21"/>
          <w:u w:val="single" w:color="auto"/>
        </w:rPr>
        <w:tab/>
      </w:r>
      <w:r>
        <w:rPr>
          <w:spacing w:val="-14"/>
          <w:sz w:val="21"/>
          <w:szCs w:val="21"/>
        </w:rPr>
        <w:t xml:space="preserve"> </w:t>
      </w:r>
      <w:r>
        <w:rPr>
          <w:spacing w:val="2"/>
          <w:sz w:val="21"/>
          <w:szCs w:val="21"/>
        </w:rPr>
        <w:t>(招标人名称):</w:t>
      </w:r>
    </w:p>
    <w:p w14:paraId="4382C62D">
      <w:pPr>
        <w:spacing w:line="387" w:lineRule="auto"/>
        <w:rPr>
          <w:rFonts w:ascii="Arial"/>
          <w:sz w:val="21"/>
        </w:rPr>
      </w:pPr>
    </w:p>
    <w:p w14:paraId="43EEC7C3">
      <w:pPr>
        <w:pStyle w:val="2"/>
        <w:spacing w:before="68" w:line="365" w:lineRule="auto"/>
        <w:ind w:left="40" w:right="248" w:firstLine="409"/>
        <w:rPr>
          <w:sz w:val="21"/>
          <w:szCs w:val="21"/>
        </w:rPr>
      </w:pPr>
      <w:r>
        <w:rPr>
          <w:spacing w:val="2"/>
          <w:sz w:val="21"/>
          <w:szCs w:val="21"/>
        </w:rPr>
        <w:t>我方在此声明，截止本招标项目投标截止时间，我方处于正常</w:t>
      </w:r>
      <w:r>
        <w:rPr>
          <w:spacing w:val="1"/>
          <w:sz w:val="21"/>
          <w:szCs w:val="21"/>
        </w:rPr>
        <w:t>的经营状态，不存在下列任何</w:t>
      </w:r>
      <w:r>
        <w:rPr>
          <w:sz w:val="21"/>
          <w:szCs w:val="21"/>
        </w:rPr>
        <w:t xml:space="preserve"> </w:t>
      </w:r>
      <w:r>
        <w:rPr>
          <w:spacing w:val="-7"/>
          <w:sz w:val="21"/>
          <w:szCs w:val="21"/>
        </w:rPr>
        <w:t>一种情形。</w:t>
      </w:r>
    </w:p>
    <w:p w14:paraId="7E134C80">
      <w:pPr>
        <w:pStyle w:val="2"/>
        <w:spacing w:line="218" w:lineRule="auto"/>
        <w:ind w:left="449"/>
        <w:rPr>
          <w:sz w:val="21"/>
          <w:szCs w:val="21"/>
        </w:rPr>
      </w:pPr>
      <w:r>
        <w:rPr>
          <w:spacing w:val="-7"/>
          <w:sz w:val="21"/>
          <w:szCs w:val="21"/>
        </w:rPr>
        <w:t>1.被依法暂停或取消投标资格；</w:t>
      </w:r>
    </w:p>
    <w:p w14:paraId="16B086EF">
      <w:pPr>
        <w:pStyle w:val="2"/>
        <w:spacing w:before="131" w:line="219" w:lineRule="auto"/>
        <w:ind w:left="449"/>
        <w:rPr>
          <w:sz w:val="21"/>
          <w:szCs w:val="21"/>
        </w:rPr>
      </w:pPr>
      <w:r>
        <w:rPr>
          <w:spacing w:val="-2"/>
          <w:sz w:val="21"/>
          <w:szCs w:val="21"/>
        </w:rPr>
        <w:t>2.被责令停产停业、暂扣或者吊销许可证、暂扣或</w:t>
      </w:r>
      <w:r>
        <w:rPr>
          <w:spacing w:val="-3"/>
          <w:sz w:val="21"/>
          <w:szCs w:val="21"/>
        </w:rPr>
        <w:t>者吊销执照；</w:t>
      </w:r>
    </w:p>
    <w:p w14:paraId="60742C8C">
      <w:pPr>
        <w:pStyle w:val="2"/>
        <w:spacing w:before="150" w:line="218" w:lineRule="auto"/>
        <w:ind w:left="449"/>
        <w:rPr>
          <w:sz w:val="21"/>
          <w:szCs w:val="21"/>
        </w:rPr>
      </w:pPr>
      <w:r>
        <w:rPr>
          <w:spacing w:val="-2"/>
          <w:sz w:val="21"/>
          <w:szCs w:val="21"/>
        </w:rPr>
        <w:t>3.进入清算程序，或被宣告破产，或其他丧失履约能力的</w:t>
      </w:r>
      <w:r>
        <w:rPr>
          <w:spacing w:val="-3"/>
          <w:sz w:val="21"/>
          <w:szCs w:val="21"/>
        </w:rPr>
        <w:t>情形；</w:t>
      </w:r>
    </w:p>
    <w:p w14:paraId="4FB29617">
      <w:pPr>
        <w:pStyle w:val="2"/>
        <w:spacing w:before="174" w:line="219" w:lineRule="auto"/>
        <w:ind w:left="449"/>
        <w:rPr>
          <w:sz w:val="21"/>
          <w:szCs w:val="21"/>
        </w:rPr>
      </w:pPr>
      <w:r>
        <w:rPr>
          <w:spacing w:val="-5"/>
          <w:sz w:val="21"/>
          <w:szCs w:val="21"/>
        </w:rPr>
        <w:t>4.在最近三年内发生重大工程质量问题；</w:t>
      </w:r>
    </w:p>
    <w:p w14:paraId="7BFCFE34">
      <w:pPr>
        <w:pStyle w:val="2"/>
        <w:spacing w:before="143" w:line="214" w:lineRule="auto"/>
        <w:ind w:left="449"/>
        <w:rPr>
          <w:sz w:val="21"/>
          <w:szCs w:val="21"/>
        </w:rPr>
      </w:pPr>
      <w:r>
        <w:rPr>
          <w:spacing w:val="-3"/>
          <w:sz w:val="21"/>
          <w:szCs w:val="21"/>
        </w:rPr>
        <w:t>5.在“国家企业信用信息公示系统”(</w:t>
      </w:r>
      <w:r>
        <w:fldChar w:fldCharType="begin"/>
      </w:r>
      <w:r>
        <w:instrText xml:space="preserve"> HYPERLINK "https://www.gsxt.gov.cn" </w:instrText>
      </w:r>
      <w:r>
        <w:fldChar w:fldCharType="separate"/>
      </w:r>
      <w:r>
        <w:rPr>
          <w:spacing w:val="-3"/>
          <w:sz w:val="21"/>
          <w:szCs w:val="21"/>
        </w:rPr>
        <w:t>www.gsxt.gov.cn</w:t>
      </w:r>
      <w:r>
        <w:rPr>
          <w:spacing w:val="-3"/>
          <w:sz w:val="21"/>
          <w:szCs w:val="21"/>
        </w:rPr>
        <w:fldChar w:fldCharType="end"/>
      </w:r>
      <w:r>
        <w:rPr>
          <w:spacing w:val="-3"/>
          <w:sz w:val="21"/>
          <w:szCs w:val="21"/>
        </w:rPr>
        <w:t>)</w:t>
      </w:r>
      <w:r>
        <w:rPr>
          <w:spacing w:val="49"/>
          <w:sz w:val="21"/>
          <w:szCs w:val="21"/>
        </w:rPr>
        <w:t xml:space="preserve"> </w:t>
      </w:r>
      <w:r>
        <w:rPr>
          <w:spacing w:val="-3"/>
          <w:sz w:val="21"/>
          <w:szCs w:val="21"/>
        </w:rPr>
        <w:t>被列入严重违法失信企业名单；</w:t>
      </w:r>
    </w:p>
    <w:p w14:paraId="783FF70B">
      <w:pPr>
        <w:pStyle w:val="2"/>
        <w:spacing w:before="157" w:line="279" w:lineRule="auto"/>
        <w:ind w:left="149" w:firstLine="300"/>
        <w:rPr>
          <w:sz w:val="21"/>
          <w:szCs w:val="21"/>
        </w:rPr>
      </w:pPr>
      <w:r>
        <w:rPr>
          <w:spacing w:val="-6"/>
          <w:sz w:val="21"/>
          <w:szCs w:val="21"/>
        </w:rPr>
        <w:t>6.在</w:t>
      </w:r>
      <w:r>
        <w:rPr>
          <w:spacing w:val="-27"/>
          <w:sz w:val="21"/>
          <w:szCs w:val="21"/>
        </w:rPr>
        <w:t xml:space="preserve"> </w:t>
      </w:r>
      <w:r>
        <w:rPr>
          <w:spacing w:val="-6"/>
          <w:sz w:val="21"/>
          <w:szCs w:val="21"/>
        </w:rPr>
        <w:t>“</w:t>
      </w:r>
      <w:r>
        <w:rPr>
          <w:spacing w:val="-29"/>
          <w:sz w:val="21"/>
          <w:szCs w:val="21"/>
        </w:rPr>
        <w:t xml:space="preserve"> </w:t>
      </w:r>
      <w:r>
        <w:rPr>
          <w:spacing w:val="-6"/>
          <w:sz w:val="21"/>
          <w:szCs w:val="21"/>
        </w:rPr>
        <w:t>信</w:t>
      </w:r>
      <w:r>
        <w:rPr>
          <w:spacing w:val="-28"/>
          <w:sz w:val="21"/>
          <w:szCs w:val="21"/>
        </w:rPr>
        <w:t xml:space="preserve"> </w:t>
      </w:r>
      <w:r>
        <w:rPr>
          <w:spacing w:val="-6"/>
          <w:sz w:val="21"/>
          <w:szCs w:val="21"/>
        </w:rPr>
        <w:t>用 中 国 ”</w:t>
      </w:r>
      <w:r>
        <w:rPr>
          <w:spacing w:val="-41"/>
          <w:sz w:val="21"/>
          <w:szCs w:val="21"/>
        </w:rPr>
        <w:t xml:space="preserve"> </w:t>
      </w:r>
      <w:r>
        <w:rPr>
          <w:spacing w:val="-6"/>
          <w:sz w:val="21"/>
          <w:szCs w:val="21"/>
        </w:rPr>
        <w:t>网</w:t>
      </w:r>
      <w:r>
        <w:rPr>
          <w:spacing w:val="-28"/>
          <w:sz w:val="21"/>
          <w:szCs w:val="21"/>
        </w:rPr>
        <w:t xml:space="preserve"> </w:t>
      </w:r>
      <w:r>
        <w:rPr>
          <w:spacing w:val="-6"/>
          <w:sz w:val="21"/>
          <w:szCs w:val="21"/>
        </w:rPr>
        <w:t>站</w:t>
      </w:r>
      <w:r>
        <w:rPr>
          <w:spacing w:val="43"/>
          <w:sz w:val="21"/>
          <w:szCs w:val="21"/>
        </w:rPr>
        <w:t xml:space="preserve"> </w:t>
      </w:r>
      <w:r>
        <w:rPr>
          <w:spacing w:val="-6"/>
          <w:sz w:val="21"/>
          <w:szCs w:val="21"/>
        </w:rPr>
        <w:t>(</w:t>
      </w:r>
      <w:r>
        <w:fldChar w:fldCharType="begin"/>
      </w:r>
      <w:r>
        <w:instrText xml:space="preserve"> HYPERLINK "https://www.creditchina.gov.cn" </w:instrText>
      </w:r>
      <w:r>
        <w:fldChar w:fldCharType="separate"/>
      </w:r>
      <w:r>
        <w:rPr>
          <w:spacing w:val="-6"/>
          <w:sz w:val="21"/>
          <w:szCs w:val="21"/>
        </w:rPr>
        <w:t>www.creditchina.gov.cn</w:t>
      </w:r>
      <w:r>
        <w:rPr>
          <w:spacing w:val="-6"/>
          <w:sz w:val="21"/>
          <w:szCs w:val="21"/>
        </w:rPr>
        <w:fldChar w:fldCharType="end"/>
      </w:r>
      <w:r>
        <w:rPr>
          <w:spacing w:val="-6"/>
          <w:sz w:val="21"/>
          <w:szCs w:val="21"/>
        </w:rPr>
        <w:t>) 或</w:t>
      </w:r>
      <w:r>
        <w:rPr>
          <w:spacing w:val="-36"/>
          <w:sz w:val="21"/>
          <w:szCs w:val="21"/>
        </w:rPr>
        <w:t xml:space="preserve"> </w:t>
      </w:r>
      <w:r>
        <w:rPr>
          <w:spacing w:val="-6"/>
          <w:sz w:val="21"/>
          <w:szCs w:val="21"/>
        </w:rPr>
        <w:t>“ 中 国</w:t>
      </w:r>
      <w:r>
        <w:rPr>
          <w:spacing w:val="-29"/>
          <w:sz w:val="21"/>
          <w:szCs w:val="21"/>
        </w:rPr>
        <w:t xml:space="preserve"> </w:t>
      </w:r>
      <w:r>
        <w:rPr>
          <w:spacing w:val="-6"/>
          <w:sz w:val="21"/>
          <w:szCs w:val="21"/>
        </w:rPr>
        <w:t>执</w:t>
      </w:r>
      <w:r>
        <w:rPr>
          <w:spacing w:val="-25"/>
          <w:sz w:val="21"/>
          <w:szCs w:val="21"/>
        </w:rPr>
        <w:t xml:space="preserve"> </w:t>
      </w:r>
      <w:r>
        <w:rPr>
          <w:spacing w:val="-6"/>
          <w:sz w:val="21"/>
          <w:szCs w:val="21"/>
        </w:rPr>
        <w:t>行</w:t>
      </w:r>
      <w:r>
        <w:rPr>
          <w:spacing w:val="-28"/>
          <w:sz w:val="21"/>
          <w:szCs w:val="21"/>
        </w:rPr>
        <w:t xml:space="preserve"> </w:t>
      </w:r>
      <w:r>
        <w:rPr>
          <w:spacing w:val="-6"/>
          <w:sz w:val="21"/>
          <w:szCs w:val="21"/>
        </w:rPr>
        <w:t>信</w:t>
      </w:r>
      <w:r>
        <w:rPr>
          <w:spacing w:val="-20"/>
          <w:sz w:val="21"/>
          <w:szCs w:val="21"/>
        </w:rPr>
        <w:t xml:space="preserve"> </w:t>
      </w:r>
      <w:r>
        <w:rPr>
          <w:spacing w:val="-6"/>
          <w:sz w:val="21"/>
          <w:szCs w:val="21"/>
        </w:rPr>
        <w:t>息</w:t>
      </w:r>
      <w:r>
        <w:rPr>
          <w:spacing w:val="-22"/>
          <w:sz w:val="21"/>
          <w:szCs w:val="21"/>
        </w:rPr>
        <w:t xml:space="preserve"> </w:t>
      </w:r>
      <w:r>
        <w:rPr>
          <w:spacing w:val="-6"/>
          <w:sz w:val="21"/>
          <w:szCs w:val="21"/>
        </w:rPr>
        <w:t>公</w:t>
      </w:r>
      <w:r>
        <w:rPr>
          <w:spacing w:val="-27"/>
          <w:sz w:val="21"/>
          <w:szCs w:val="21"/>
        </w:rPr>
        <w:t xml:space="preserve"> </w:t>
      </w:r>
      <w:r>
        <w:rPr>
          <w:spacing w:val="-6"/>
          <w:sz w:val="21"/>
          <w:szCs w:val="21"/>
        </w:rPr>
        <w:t>开 网</w:t>
      </w:r>
      <w:r>
        <w:rPr>
          <w:spacing w:val="-9"/>
          <w:sz w:val="21"/>
          <w:szCs w:val="21"/>
        </w:rPr>
        <w:t xml:space="preserve"> </w:t>
      </w:r>
      <w:r>
        <w:rPr>
          <w:spacing w:val="-6"/>
          <w:sz w:val="21"/>
          <w:szCs w:val="21"/>
        </w:rPr>
        <w:t>”</w:t>
      </w:r>
      <w:r>
        <w:rPr>
          <w:sz w:val="21"/>
          <w:szCs w:val="21"/>
        </w:rPr>
        <w:t xml:space="preserve"> </w:t>
      </w:r>
      <w:r>
        <w:rPr>
          <w:rFonts w:ascii="Times New Roman" w:hAnsi="Times New Roman" w:eastAsia="Times New Roman" w:cs="Times New Roman"/>
          <w:spacing w:val="-1"/>
          <w:sz w:val="21"/>
          <w:szCs w:val="21"/>
        </w:rPr>
        <w:t>(</w:t>
      </w:r>
      <w:r>
        <w:fldChar w:fldCharType="begin"/>
      </w:r>
      <w:r>
        <w:instrText xml:space="preserve"> HYPERLINK "http://zxgk.court.gov.cn/shixin/" </w:instrText>
      </w:r>
      <w:r>
        <w:fldChar w:fldCharType="separate"/>
      </w:r>
      <w:r>
        <w:rPr>
          <w:rFonts w:ascii="Times New Roman" w:hAnsi="Times New Roman" w:eastAsia="Times New Roman" w:cs="Times New Roman"/>
          <w:spacing w:val="-1"/>
          <w:sz w:val="21"/>
          <w:szCs w:val="21"/>
        </w:rPr>
        <w:t>http://zxgk.court.gov.cn/shixin/</w:t>
      </w:r>
      <w:r>
        <w:rPr>
          <w:rFonts w:ascii="Times New Roman" w:hAnsi="Times New Roman" w:eastAsia="Times New Roman" w:cs="Times New Roman"/>
          <w:spacing w:val="-1"/>
          <w:sz w:val="21"/>
          <w:szCs w:val="21"/>
        </w:rPr>
        <w:fldChar w:fldCharType="end"/>
      </w:r>
      <w:r>
        <w:rPr>
          <w:rFonts w:ascii="Times New Roman" w:hAnsi="Times New Roman" w:eastAsia="Times New Roman" w:cs="Times New Roman"/>
          <w:spacing w:val="-1"/>
          <w:sz w:val="21"/>
          <w:szCs w:val="21"/>
        </w:rPr>
        <w:t xml:space="preserve">)    </w:t>
      </w:r>
      <w:r>
        <w:rPr>
          <w:spacing w:val="-1"/>
          <w:sz w:val="21"/>
          <w:szCs w:val="21"/>
        </w:rPr>
        <w:t>被列入失信被执行人名单；</w:t>
      </w:r>
    </w:p>
    <w:p w14:paraId="2CC19AAD">
      <w:pPr>
        <w:pStyle w:val="2"/>
        <w:spacing w:before="151" w:line="219" w:lineRule="auto"/>
        <w:ind w:left="449"/>
        <w:rPr>
          <w:sz w:val="21"/>
          <w:szCs w:val="21"/>
        </w:rPr>
      </w:pPr>
      <w:r>
        <w:rPr>
          <w:spacing w:val="-2"/>
          <w:sz w:val="21"/>
          <w:szCs w:val="21"/>
        </w:rPr>
        <w:t>7.在近三年内投标人或其法定代表人、拟委任的项目经理有行贿犯罪行为；</w:t>
      </w:r>
    </w:p>
    <w:p w14:paraId="2400FE21">
      <w:pPr>
        <w:pStyle w:val="2"/>
        <w:spacing w:before="201" w:line="219" w:lineRule="auto"/>
        <w:ind w:left="449"/>
        <w:rPr>
          <w:sz w:val="21"/>
          <w:szCs w:val="21"/>
        </w:rPr>
      </w:pPr>
      <w:r>
        <w:rPr>
          <w:spacing w:val="4"/>
          <w:sz w:val="21"/>
          <w:szCs w:val="21"/>
        </w:rPr>
        <w:t>8.法律法规或投标人须知前附表第1.4.3(19)目规定的其他情形。</w:t>
      </w:r>
    </w:p>
    <w:p w14:paraId="7097E020">
      <w:pPr>
        <w:pStyle w:val="2"/>
        <w:spacing w:before="192" w:line="219" w:lineRule="auto"/>
        <w:ind w:left="449"/>
        <w:rPr>
          <w:sz w:val="21"/>
          <w:szCs w:val="21"/>
        </w:rPr>
      </w:pPr>
      <w:r>
        <w:rPr>
          <w:spacing w:val="-1"/>
          <w:sz w:val="21"/>
          <w:szCs w:val="21"/>
        </w:rPr>
        <w:t>我方对上述声明的真实性和准确性负责，并承担相应的法律责任。</w:t>
      </w:r>
    </w:p>
    <w:p w14:paraId="0D40AC01">
      <w:pPr>
        <w:spacing w:line="279" w:lineRule="auto"/>
        <w:rPr>
          <w:rFonts w:ascii="Arial"/>
          <w:sz w:val="21"/>
        </w:rPr>
      </w:pPr>
    </w:p>
    <w:p w14:paraId="7F9EF850">
      <w:pPr>
        <w:spacing w:line="279" w:lineRule="auto"/>
        <w:rPr>
          <w:rFonts w:ascii="Arial"/>
          <w:sz w:val="21"/>
        </w:rPr>
      </w:pPr>
    </w:p>
    <w:p w14:paraId="725A5411">
      <w:pPr>
        <w:pStyle w:val="2"/>
        <w:spacing w:before="69" w:line="230" w:lineRule="auto"/>
        <w:ind w:left="4039"/>
        <w:rPr>
          <w:sz w:val="21"/>
          <w:szCs w:val="21"/>
        </w:rPr>
      </w:pPr>
      <w:r>
        <w:rPr>
          <w:spacing w:val="3"/>
          <w:position w:val="-2"/>
          <w:sz w:val="21"/>
          <w:szCs w:val="21"/>
        </w:rPr>
        <w:t>投标人：</w:t>
      </w:r>
      <w:r>
        <w:rPr>
          <w:position w:val="-2"/>
          <w:sz w:val="21"/>
          <w:szCs w:val="21"/>
          <w:u w:val="single" w:color="auto"/>
        </w:rPr>
        <w:t xml:space="preserve">                      </w:t>
      </w:r>
      <w:r>
        <w:rPr>
          <w:spacing w:val="3"/>
          <w:position w:val="-2"/>
          <w:sz w:val="21"/>
          <w:szCs w:val="21"/>
        </w:rPr>
        <w:t xml:space="preserve"> </w:t>
      </w:r>
      <w:r>
        <w:rPr>
          <w:spacing w:val="3"/>
          <w:position w:val="1"/>
          <w:sz w:val="21"/>
          <w:szCs w:val="21"/>
        </w:rPr>
        <w:t>(盖单位章)</w:t>
      </w:r>
    </w:p>
    <w:p w14:paraId="4CFAE82A">
      <w:pPr>
        <w:pStyle w:val="2"/>
        <w:spacing w:before="149" w:line="228" w:lineRule="auto"/>
        <w:ind w:left="4039"/>
        <w:rPr>
          <w:sz w:val="21"/>
          <w:szCs w:val="21"/>
        </w:rPr>
      </w:pPr>
      <w:r>
        <w:rPr>
          <w:spacing w:val="3"/>
          <w:sz w:val="21"/>
          <w:szCs w:val="21"/>
        </w:rPr>
        <w:t>法定代表人：</w:t>
      </w:r>
      <w:r>
        <w:rPr>
          <w:sz w:val="21"/>
          <w:szCs w:val="21"/>
          <w:u w:val="single" w:color="auto"/>
        </w:rPr>
        <w:t xml:space="preserve">                      </w:t>
      </w:r>
      <w:r>
        <w:rPr>
          <w:spacing w:val="3"/>
          <w:sz w:val="21"/>
          <w:szCs w:val="21"/>
        </w:rPr>
        <w:t xml:space="preserve"> </w:t>
      </w:r>
      <w:r>
        <w:rPr>
          <w:spacing w:val="3"/>
          <w:position w:val="1"/>
          <w:sz w:val="21"/>
          <w:szCs w:val="21"/>
        </w:rPr>
        <w:t>(签字)</w:t>
      </w:r>
    </w:p>
    <w:p w14:paraId="4596A214">
      <w:pPr>
        <w:spacing w:line="353" w:lineRule="auto"/>
        <w:rPr>
          <w:rFonts w:ascii="Arial"/>
          <w:sz w:val="21"/>
        </w:rPr>
      </w:pPr>
    </w:p>
    <w:p w14:paraId="101CDBFA">
      <w:pPr>
        <w:tabs>
          <w:tab w:val="left" w:pos="6159"/>
        </w:tabs>
        <w:spacing w:before="68" w:line="233" w:lineRule="auto"/>
        <w:ind w:left="5269"/>
        <w:rPr>
          <w:rFonts w:ascii="黑体" w:hAnsi="黑体" w:eastAsia="黑体" w:cs="黑体"/>
          <w:sz w:val="21"/>
          <w:szCs w:val="21"/>
        </w:rPr>
      </w:pPr>
      <w:r>
        <w:rPr>
          <w:rFonts w:ascii="黑体" w:hAnsi="黑体" w:eastAsia="黑体" w:cs="黑体"/>
          <w:sz w:val="21"/>
          <w:szCs w:val="21"/>
          <w:u w:val="single" w:color="auto"/>
        </w:rPr>
        <w:tab/>
      </w:r>
      <w:r>
        <w:rPr>
          <w:rFonts w:ascii="黑体" w:hAnsi="黑体" w:eastAsia="黑体" w:cs="黑体"/>
          <w:spacing w:val="-24"/>
          <w:sz w:val="21"/>
          <w:szCs w:val="21"/>
        </w:rPr>
        <w:t xml:space="preserve"> </w:t>
      </w:r>
      <w:r>
        <w:rPr>
          <w:rFonts w:ascii="黑体" w:hAnsi="黑体" w:eastAsia="黑体" w:cs="黑体"/>
          <w:spacing w:val="-5"/>
          <w:sz w:val="21"/>
          <w:szCs w:val="21"/>
        </w:rPr>
        <w:t>年</w:t>
      </w:r>
      <w:r>
        <w:rPr>
          <w:rFonts w:ascii="黑体" w:hAnsi="黑体" w:eastAsia="黑体" w:cs="黑体"/>
          <w:spacing w:val="-26"/>
          <w:sz w:val="21"/>
          <w:szCs w:val="21"/>
        </w:rPr>
        <w:t xml:space="preserve"> </w:t>
      </w:r>
      <w:r>
        <w:rPr>
          <w:rFonts w:ascii="黑体" w:hAnsi="黑体" w:eastAsia="黑体" w:cs="黑体"/>
          <w:spacing w:val="12"/>
          <w:sz w:val="21"/>
          <w:szCs w:val="21"/>
          <w:u w:val="single" w:color="auto"/>
        </w:rPr>
        <w:t xml:space="preserve">     </w:t>
      </w:r>
      <w:r>
        <w:rPr>
          <w:rFonts w:ascii="黑体" w:hAnsi="黑体" w:eastAsia="黑体" w:cs="黑体"/>
          <w:spacing w:val="-21"/>
          <w:sz w:val="21"/>
          <w:szCs w:val="21"/>
        </w:rPr>
        <w:t xml:space="preserve"> </w:t>
      </w:r>
      <w:r>
        <w:rPr>
          <w:rFonts w:ascii="黑体" w:hAnsi="黑体" w:eastAsia="黑体" w:cs="黑体"/>
          <w:spacing w:val="-5"/>
          <w:position w:val="-1"/>
          <w:sz w:val="20"/>
          <w:szCs w:val="20"/>
        </w:rPr>
        <w:t xml:space="preserve">月 </w:t>
      </w:r>
      <w:r>
        <w:rPr>
          <w:rFonts w:ascii="黑体" w:hAnsi="黑体" w:eastAsia="黑体" w:cs="黑体"/>
          <w:spacing w:val="-5"/>
          <w:position w:val="-1"/>
          <w:sz w:val="20"/>
          <w:szCs w:val="20"/>
          <w:u w:val="single" w:color="auto"/>
        </w:rPr>
        <w:t xml:space="preserve">      </w:t>
      </w:r>
      <w:r>
        <w:rPr>
          <w:rFonts w:ascii="黑体" w:hAnsi="黑体" w:eastAsia="黑体" w:cs="黑体"/>
          <w:spacing w:val="21"/>
          <w:position w:val="-1"/>
          <w:sz w:val="20"/>
          <w:szCs w:val="20"/>
        </w:rPr>
        <w:t xml:space="preserve"> </w:t>
      </w:r>
      <w:r>
        <w:rPr>
          <w:rFonts w:ascii="黑体" w:hAnsi="黑体" w:eastAsia="黑体" w:cs="黑体"/>
          <w:spacing w:val="-5"/>
          <w:sz w:val="21"/>
          <w:szCs w:val="21"/>
        </w:rPr>
        <w:t>日</w:t>
      </w:r>
    </w:p>
    <w:p w14:paraId="17A2EB8B">
      <w:pPr>
        <w:spacing w:line="384" w:lineRule="auto"/>
        <w:rPr>
          <w:rFonts w:ascii="Arial"/>
          <w:sz w:val="21"/>
        </w:rPr>
      </w:pPr>
    </w:p>
    <w:p w14:paraId="7BFEDE84">
      <w:pPr>
        <w:pStyle w:val="2"/>
        <w:spacing w:before="69" w:line="246" w:lineRule="auto"/>
        <w:ind w:left="870" w:right="197" w:hanging="830"/>
        <w:rPr>
          <w:sz w:val="21"/>
          <w:szCs w:val="21"/>
        </w:rPr>
      </w:pPr>
      <w:r>
        <w:rPr>
          <w:spacing w:val="7"/>
          <w:sz w:val="21"/>
          <w:szCs w:val="21"/>
        </w:rPr>
        <w:t>备注：1.投标人应针对第二章“投标人须知”第1.4.1项和第1.4.3项</w:t>
      </w:r>
      <w:r>
        <w:rPr>
          <w:spacing w:val="6"/>
          <w:sz w:val="21"/>
          <w:szCs w:val="21"/>
        </w:rPr>
        <w:t>的要求，在此对其信誉情</w:t>
      </w:r>
      <w:r>
        <w:rPr>
          <w:sz w:val="21"/>
          <w:szCs w:val="21"/>
        </w:rPr>
        <w:t xml:space="preserve"> </w:t>
      </w:r>
      <w:r>
        <w:rPr>
          <w:spacing w:val="-3"/>
          <w:sz w:val="21"/>
          <w:szCs w:val="21"/>
        </w:rPr>
        <w:t>况做出说明。如上格式文件所示。</w:t>
      </w:r>
    </w:p>
    <w:p w14:paraId="7DD88E8C">
      <w:pPr>
        <w:pStyle w:val="2"/>
        <w:spacing w:before="1" w:line="219" w:lineRule="auto"/>
        <w:ind w:left="659"/>
        <w:rPr>
          <w:sz w:val="21"/>
          <w:szCs w:val="21"/>
        </w:rPr>
      </w:pPr>
      <w:r>
        <w:rPr>
          <w:sz w:val="21"/>
          <w:szCs w:val="21"/>
        </w:rPr>
        <w:t>2.联合体投标的，联合体各成员单位均应按要</w:t>
      </w:r>
      <w:r>
        <w:rPr>
          <w:spacing w:val="-1"/>
          <w:sz w:val="21"/>
          <w:szCs w:val="21"/>
        </w:rPr>
        <w:t>求做出说明。</w:t>
      </w:r>
    </w:p>
    <w:p w14:paraId="4A290F8C">
      <w:pPr>
        <w:pStyle w:val="2"/>
        <w:spacing w:before="60" w:line="255" w:lineRule="auto"/>
        <w:ind w:left="869" w:right="197" w:hanging="210"/>
        <w:rPr>
          <w:sz w:val="21"/>
          <w:szCs w:val="21"/>
        </w:rPr>
      </w:pPr>
      <w:r>
        <w:rPr>
          <w:spacing w:val="13"/>
          <w:sz w:val="21"/>
          <w:szCs w:val="21"/>
        </w:rPr>
        <w:t>3.近三年是指从投标截止日往前推算3年，例如投标截止日为2014年2</w:t>
      </w:r>
      <w:r>
        <w:rPr>
          <w:spacing w:val="12"/>
          <w:sz w:val="21"/>
          <w:szCs w:val="21"/>
        </w:rPr>
        <w:t>月1日，则近3年</w:t>
      </w:r>
      <w:r>
        <w:rPr>
          <w:sz w:val="21"/>
          <w:szCs w:val="21"/>
        </w:rPr>
        <w:t xml:space="preserve"> </w:t>
      </w:r>
      <w:r>
        <w:rPr>
          <w:spacing w:val="29"/>
          <w:sz w:val="21"/>
          <w:szCs w:val="21"/>
        </w:rPr>
        <w:t>是指2011年2月1日至2014年1月31日。</w:t>
      </w:r>
    </w:p>
    <w:p w14:paraId="56D18D60">
      <w:pPr>
        <w:pStyle w:val="2"/>
        <w:spacing w:before="28" w:line="231" w:lineRule="auto"/>
        <w:ind w:left="869" w:right="227" w:hanging="210"/>
        <w:rPr>
          <w:sz w:val="21"/>
          <w:szCs w:val="21"/>
        </w:rPr>
      </w:pPr>
      <w:r>
        <w:rPr>
          <w:spacing w:val="7"/>
          <w:sz w:val="21"/>
          <w:szCs w:val="21"/>
        </w:rPr>
        <w:t>4.招标人和评标委员会在评标过程中，应对各投标人(包括联合体各成员单位)的严重违</w:t>
      </w:r>
      <w:r>
        <w:rPr>
          <w:spacing w:val="18"/>
          <w:sz w:val="21"/>
          <w:szCs w:val="21"/>
        </w:rPr>
        <w:t xml:space="preserve"> </w:t>
      </w:r>
      <w:r>
        <w:rPr>
          <w:spacing w:val="2"/>
          <w:sz w:val="21"/>
          <w:szCs w:val="21"/>
        </w:rPr>
        <w:t>法失信企业、失信被执行人、行贿犯罪行为等情况进行查询，并将查询结果“截图”附</w:t>
      </w:r>
      <w:r>
        <w:rPr>
          <w:spacing w:val="11"/>
          <w:sz w:val="21"/>
          <w:szCs w:val="21"/>
        </w:rPr>
        <w:t xml:space="preserve"> </w:t>
      </w:r>
      <w:r>
        <w:rPr>
          <w:spacing w:val="-5"/>
          <w:sz w:val="21"/>
          <w:szCs w:val="21"/>
        </w:rPr>
        <w:t>在评标报告中。</w:t>
      </w:r>
    </w:p>
    <w:p w14:paraId="275D8CCC">
      <w:pPr>
        <w:spacing w:line="231" w:lineRule="auto"/>
        <w:rPr>
          <w:sz w:val="21"/>
          <w:szCs w:val="21"/>
        </w:rPr>
        <w:sectPr>
          <w:footerReference r:id="rId391" w:type="default"/>
          <w:pgSz w:w="11910" w:h="16840"/>
          <w:pgMar w:top="400" w:right="1323" w:bottom="1147" w:left="1420" w:header="0" w:footer="1021" w:gutter="0"/>
          <w:cols w:space="720" w:num="1"/>
        </w:sectPr>
      </w:pPr>
    </w:p>
    <w:p w14:paraId="644A35A1">
      <w:pPr>
        <w:rPr>
          <w:rFonts w:ascii="Arial"/>
          <w:sz w:val="21"/>
        </w:rPr>
      </w:pPr>
    </w:p>
    <w:p w14:paraId="77E03D4D">
      <w:pPr>
        <w:rPr>
          <w:rFonts w:ascii="Arial"/>
          <w:sz w:val="21"/>
        </w:rPr>
      </w:pPr>
    </w:p>
    <w:p w14:paraId="7AEF4204">
      <w:pPr>
        <w:rPr>
          <w:rFonts w:ascii="Arial"/>
          <w:sz w:val="21"/>
        </w:rPr>
      </w:pPr>
    </w:p>
    <w:p w14:paraId="29C4F090">
      <w:pPr>
        <w:spacing w:line="241" w:lineRule="auto"/>
        <w:rPr>
          <w:rFonts w:ascii="Arial"/>
          <w:sz w:val="21"/>
        </w:rPr>
      </w:pPr>
    </w:p>
    <w:p w14:paraId="3B8D4CE4">
      <w:pPr>
        <w:spacing w:line="241" w:lineRule="auto"/>
        <w:rPr>
          <w:rFonts w:ascii="Arial"/>
          <w:sz w:val="21"/>
        </w:rPr>
      </w:pPr>
    </w:p>
    <w:p w14:paraId="401B0926">
      <w:pPr>
        <w:spacing w:line="241" w:lineRule="auto"/>
        <w:rPr>
          <w:rFonts w:ascii="Arial"/>
          <w:sz w:val="21"/>
        </w:rPr>
      </w:pPr>
    </w:p>
    <w:p w14:paraId="37D8A089">
      <w:pPr>
        <w:spacing w:line="241" w:lineRule="auto"/>
        <w:rPr>
          <w:rFonts w:ascii="Arial"/>
          <w:sz w:val="21"/>
        </w:rPr>
      </w:pPr>
    </w:p>
    <w:p w14:paraId="332AC02E">
      <w:pPr>
        <w:pStyle w:val="2"/>
        <w:spacing w:before="81" w:line="206" w:lineRule="auto"/>
        <w:ind w:left="2788"/>
      </w:pPr>
      <w:r>
        <w:rPr>
          <w:b/>
          <w:bCs/>
          <w:spacing w:val="-4"/>
        </w:rPr>
        <w:t>5-2近3年发生的诉讼和仲裁情况</w:t>
      </w:r>
    </w:p>
    <w:tbl>
      <w:tblPr>
        <w:tblStyle w:val="5"/>
        <w:tblW w:w="871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34"/>
        <w:gridCol w:w="979"/>
        <w:gridCol w:w="1258"/>
        <w:gridCol w:w="3586"/>
        <w:gridCol w:w="1953"/>
      </w:tblGrid>
      <w:tr w14:paraId="580D5B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4" w:hRule="atLeast"/>
        </w:trPr>
        <w:tc>
          <w:tcPr>
            <w:tcW w:w="934" w:type="dxa"/>
            <w:vAlign w:val="top"/>
          </w:tcPr>
          <w:p w14:paraId="158D7864">
            <w:pPr>
              <w:pStyle w:val="6"/>
              <w:spacing w:before="243" w:line="219" w:lineRule="auto"/>
              <w:ind w:left="244"/>
            </w:pPr>
            <w:r>
              <w:rPr>
                <w:spacing w:val="8"/>
              </w:rPr>
              <w:t>类别</w:t>
            </w:r>
          </w:p>
        </w:tc>
        <w:tc>
          <w:tcPr>
            <w:tcW w:w="979" w:type="dxa"/>
            <w:vAlign w:val="top"/>
          </w:tcPr>
          <w:p w14:paraId="2259E6C8">
            <w:pPr>
              <w:pStyle w:val="6"/>
              <w:spacing w:before="244" w:line="221" w:lineRule="auto"/>
              <w:ind w:left="261"/>
            </w:pPr>
            <w:r>
              <w:rPr>
                <w:spacing w:val="6"/>
              </w:rPr>
              <w:t>序号</w:t>
            </w:r>
          </w:p>
        </w:tc>
        <w:tc>
          <w:tcPr>
            <w:tcW w:w="1258" w:type="dxa"/>
            <w:vAlign w:val="top"/>
          </w:tcPr>
          <w:p w14:paraId="585C1DB2">
            <w:pPr>
              <w:pStyle w:val="6"/>
              <w:spacing w:before="244" w:line="220" w:lineRule="auto"/>
              <w:ind w:left="211"/>
            </w:pPr>
            <w:r>
              <w:rPr>
                <w:spacing w:val="5"/>
              </w:rPr>
              <w:t>发生时间</w:t>
            </w:r>
          </w:p>
        </w:tc>
        <w:tc>
          <w:tcPr>
            <w:tcW w:w="3586" w:type="dxa"/>
            <w:vAlign w:val="top"/>
          </w:tcPr>
          <w:p w14:paraId="05F82C42">
            <w:pPr>
              <w:pStyle w:val="6"/>
              <w:spacing w:before="242" w:line="219" w:lineRule="auto"/>
              <w:ind w:left="1383"/>
            </w:pPr>
            <w:r>
              <w:rPr>
                <w:spacing w:val="3"/>
              </w:rPr>
              <w:t>情况简介</w:t>
            </w:r>
          </w:p>
        </w:tc>
        <w:tc>
          <w:tcPr>
            <w:tcW w:w="1953" w:type="dxa"/>
            <w:vAlign w:val="top"/>
          </w:tcPr>
          <w:p w14:paraId="3332BF35">
            <w:pPr>
              <w:pStyle w:val="6"/>
              <w:spacing w:before="242" w:line="219" w:lineRule="auto"/>
              <w:ind w:left="368"/>
            </w:pPr>
            <w:r>
              <w:rPr>
                <w:spacing w:val="6"/>
              </w:rPr>
              <w:t>证明材料索引</w:t>
            </w:r>
          </w:p>
        </w:tc>
      </w:tr>
      <w:tr w14:paraId="23B305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58" w:hRule="atLeast"/>
        </w:trPr>
        <w:tc>
          <w:tcPr>
            <w:tcW w:w="934" w:type="dxa"/>
            <w:vMerge w:val="restart"/>
            <w:tcBorders>
              <w:bottom w:val="nil"/>
            </w:tcBorders>
            <w:textDirection w:val="tbRlV"/>
            <w:vAlign w:val="top"/>
          </w:tcPr>
          <w:p w14:paraId="7F6C3567">
            <w:pPr>
              <w:spacing w:line="288" w:lineRule="auto"/>
              <w:rPr>
                <w:rFonts w:ascii="Arial"/>
                <w:sz w:val="21"/>
              </w:rPr>
            </w:pPr>
          </w:p>
          <w:p w14:paraId="05EE4287">
            <w:pPr>
              <w:pStyle w:val="6"/>
              <w:spacing w:before="70" w:line="202" w:lineRule="auto"/>
              <w:ind w:left="1620"/>
            </w:pPr>
            <w:r>
              <w:t>诉讼情况</w:t>
            </w:r>
          </w:p>
        </w:tc>
        <w:tc>
          <w:tcPr>
            <w:tcW w:w="979" w:type="dxa"/>
            <w:vAlign w:val="top"/>
          </w:tcPr>
          <w:p w14:paraId="562D00B3">
            <w:pPr>
              <w:rPr>
                <w:rFonts w:ascii="Arial"/>
                <w:sz w:val="21"/>
              </w:rPr>
            </w:pPr>
          </w:p>
        </w:tc>
        <w:tc>
          <w:tcPr>
            <w:tcW w:w="1258" w:type="dxa"/>
            <w:vAlign w:val="top"/>
          </w:tcPr>
          <w:p w14:paraId="3E2B62E4">
            <w:pPr>
              <w:rPr>
                <w:rFonts w:ascii="Arial"/>
                <w:sz w:val="21"/>
              </w:rPr>
            </w:pPr>
          </w:p>
        </w:tc>
        <w:tc>
          <w:tcPr>
            <w:tcW w:w="3586" w:type="dxa"/>
            <w:vAlign w:val="top"/>
          </w:tcPr>
          <w:p w14:paraId="032CE3E7">
            <w:pPr>
              <w:rPr>
                <w:rFonts w:ascii="Arial"/>
                <w:sz w:val="21"/>
              </w:rPr>
            </w:pPr>
          </w:p>
        </w:tc>
        <w:tc>
          <w:tcPr>
            <w:tcW w:w="1953" w:type="dxa"/>
            <w:vAlign w:val="top"/>
          </w:tcPr>
          <w:p w14:paraId="249F8202">
            <w:pPr>
              <w:rPr>
                <w:rFonts w:ascii="Arial"/>
                <w:sz w:val="21"/>
              </w:rPr>
            </w:pPr>
          </w:p>
        </w:tc>
      </w:tr>
      <w:tr w14:paraId="1B676D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69" w:hRule="atLeast"/>
        </w:trPr>
        <w:tc>
          <w:tcPr>
            <w:tcW w:w="934" w:type="dxa"/>
            <w:vMerge w:val="continue"/>
            <w:tcBorders>
              <w:top w:val="nil"/>
              <w:bottom w:val="nil"/>
            </w:tcBorders>
            <w:textDirection w:val="tbRlV"/>
            <w:vAlign w:val="top"/>
          </w:tcPr>
          <w:p w14:paraId="7528BA22">
            <w:pPr>
              <w:rPr>
                <w:rFonts w:ascii="Arial"/>
                <w:sz w:val="21"/>
              </w:rPr>
            </w:pPr>
          </w:p>
        </w:tc>
        <w:tc>
          <w:tcPr>
            <w:tcW w:w="979" w:type="dxa"/>
            <w:vAlign w:val="top"/>
          </w:tcPr>
          <w:p w14:paraId="47A908CB">
            <w:pPr>
              <w:rPr>
                <w:rFonts w:ascii="Arial"/>
                <w:sz w:val="21"/>
              </w:rPr>
            </w:pPr>
          </w:p>
        </w:tc>
        <w:tc>
          <w:tcPr>
            <w:tcW w:w="1258" w:type="dxa"/>
            <w:vAlign w:val="top"/>
          </w:tcPr>
          <w:p w14:paraId="6B02DDF5">
            <w:pPr>
              <w:rPr>
                <w:rFonts w:ascii="Arial"/>
                <w:sz w:val="21"/>
              </w:rPr>
            </w:pPr>
          </w:p>
        </w:tc>
        <w:tc>
          <w:tcPr>
            <w:tcW w:w="3586" w:type="dxa"/>
            <w:vAlign w:val="top"/>
          </w:tcPr>
          <w:p w14:paraId="418DF278">
            <w:pPr>
              <w:rPr>
                <w:rFonts w:ascii="Arial"/>
                <w:sz w:val="21"/>
              </w:rPr>
            </w:pPr>
          </w:p>
        </w:tc>
        <w:tc>
          <w:tcPr>
            <w:tcW w:w="1953" w:type="dxa"/>
            <w:vAlign w:val="top"/>
          </w:tcPr>
          <w:p w14:paraId="5E4E3E44">
            <w:pPr>
              <w:rPr>
                <w:rFonts w:ascii="Arial"/>
                <w:sz w:val="21"/>
              </w:rPr>
            </w:pPr>
          </w:p>
        </w:tc>
      </w:tr>
      <w:tr w14:paraId="1A2D1F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58" w:hRule="atLeast"/>
        </w:trPr>
        <w:tc>
          <w:tcPr>
            <w:tcW w:w="934" w:type="dxa"/>
            <w:vMerge w:val="continue"/>
            <w:tcBorders>
              <w:top w:val="nil"/>
            </w:tcBorders>
            <w:textDirection w:val="tbRlV"/>
            <w:vAlign w:val="top"/>
          </w:tcPr>
          <w:p w14:paraId="26B9FBEB">
            <w:pPr>
              <w:rPr>
                <w:rFonts w:ascii="Arial"/>
                <w:sz w:val="21"/>
              </w:rPr>
            </w:pPr>
          </w:p>
        </w:tc>
        <w:tc>
          <w:tcPr>
            <w:tcW w:w="979" w:type="dxa"/>
            <w:vAlign w:val="top"/>
          </w:tcPr>
          <w:p w14:paraId="0CEF236B">
            <w:pPr>
              <w:rPr>
                <w:rFonts w:ascii="Arial"/>
                <w:sz w:val="21"/>
              </w:rPr>
            </w:pPr>
          </w:p>
        </w:tc>
        <w:tc>
          <w:tcPr>
            <w:tcW w:w="1258" w:type="dxa"/>
            <w:vAlign w:val="top"/>
          </w:tcPr>
          <w:p w14:paraId="20E3BF78">
            <w:pPr>
              <w:rPr>
                <w:rFonts w:ascii="Arial"/>
                <w:sz w:val="21"/>
              </w:rPr>
            </w:pPr>
          </w:p>
        </w:tc>
        <w:tc>
          <w:tcPr>
            <w:tcW w:w="3586" w:type="dxa"/>
            <w:vAlign w:val="top"/>
          </w:tcPr>
          <w:p w14:paraId="68FC4882">
            <w:pPr>
              <w:rPr>
                <w:rFonts w:ascii="Arial"/>
                <w:sz w:val="21"/>
              </w:rPr>
            </w:pPr>
          </w:p>
        </w:tc>
        <w:tc>
          <w:tcPr>
            <w:tcW w:w="1953" w:type="dxa"/>
            <w:vAlign w:val="top"/>
          </w:tcPr>
          <w:p w14:paraId="094C9EAB">
            <w:pPr>
              <w:rPr>
                <w:rFonts w:ascii="Arial"/>
                <w:sz w:val="21"/>
              </w:rPr>
            </w:pPr>
          </w:p>
        </w:tc>
      </w:tr>
      <w:tr w14:paraId="6234DD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39" w:hRule="atLeast"/>
        </w:trPr>
        <w:tc>
          <w:tcPr>
            <w:tcW w:w="934" w:type="dxa"/>
            <w:vMerge w:val="restart"/>
            <w:tcBorders>
              <w:bottom w:val="nil"/>
            </w:tcBorders>
            <w:textDirection w:val="tbRlV"/>
            <w:vAlign w:val="top"/>
          </w:tcPr>
          <w:p w14:paraId="4F6D8568">
            <w:pPr>
              <w:spacing w:line="288" w:lineRule="auto"/>
              <w:rPr>
                <w:rFonts w:ascii="Arial"/>
                <w:sz w:val="21"/>
              </w:rPr>
            </w:pPr>
          </w:p>
          <w:p w14:paraId="7A717BCD">
            <w:pPr>
              <w:pStyle w:val="6"/>
              <w:spacing w:before="70" w:line="201" w:lineRule="auto"/>
              <w:ind w:left="1615"/>
            </w:pPr>
            <w:r>
              <w:t>仲裁情况</w:t>
            </w:r>
          </w:p>
        </w:tc>
        <w:tc>
          <w:tcPr>
            <w:tcW w:w="979" w:type="dxa"/>
            <w:vAlign w:val="top"/>
          </w:tcPr>
          <w:p w14:paraId="6646EED6">
            <w:pPr>
              <w:rPr>
                <w:rFonts w:ascii="Arial"/>
                <w:sz w:val="21"/>
              </w:rPr>
            </w:pPr>
          </w:p>
        </w:tc>
        <w:tc>
          <w:tcPr>
            <w:tcW w:w="1258" w:type="dxa"/>
            <w:vAlign w:val="top"/>
          </w:tcPr>
          <w:p w14:paraId="21514E9A">
            <w:pPr>
              <w:rPr>
                <w:rFonts w:ascii="Arial"/>
                <w:sz w:val="21"/>
              </w:rPr>
            </w:pPr>
          </w:p>
        </w:tc>
        <w:tc>
          <w:tcPr>
            <w:tcW w:w="3586" w:type="dxa"/>
            <w:vAlign w:val="top"/>
          </w:tcPr>
          <w:p w14:paraId="1D67C52A">
            <w:pPr>
              <w:rPr>
                <w:rFonts w:ascii="Arial"/>
                <w:sz w:val="21"/>
              </w:rPr>
            </w:pPr>
          </w:p>
        </w:tc>
        <w:tc>
          <w:tcPr>
            <w:tcW w:w="1953" w:type="dxa"/>
            <w:vAlign w:val="top"/>
          </w:tcPr>
          <w:p w14:paraId="3BB057E0">
            <w:pPr>
              <w:rPr>
                <w:rFonts w:ascii="Arial"/>
                <w:sz w:val="21"/>
              </w:rPr>
            </w:pPr>
          </w:p>
        </w:tc>
      </w:tr>
      <w:tr w14:paraId="0894F1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8" w:hRule="atLeast"/>
        </w:trPr>
        <w:tc>
          <w:tcPr>
            <w:tcW w:w="934" w:type="dxa"/>
            <w:vMerge w:val="continue"/>
            <w:tcBorders>
              <w:top w:val="nil"/>
              <w:bottom w:val="nil"/>
            </w:tcBorders>
            <w:textDirection w:val="tbRlV"/>
            <w:vAlign w:val="top"/>
          </w:tcPr>
          <w:p w14:paraId="0319E997">
            <w:pPr>
              <w:rPr>
                <w:rFonts w:ascii="Arial"/>
                <w:sz w:val="21"/>
              </w:rPr>
            </w:pPr>
          </w:p>
        </w:tc>
        <w:tc>
          <w:tcPr>
            <w:tcW w:w="979" w:type="dxa"/>
            <w:vAlign w:val="top"/>
          </w:tcPr>
          <w:p w14:paraId="09C2A802">
            <w:pPr>
              <w:rPr>
                <w:rFonts w:ascii="Arial"/>
                <w:sz w:val="21"/>
              </w:rPr>
            </w:pPr>
          </w:p>
        </w:tc>
        <w:tc>
          <w:tcPr>
            <w:tcW w:w="1258" w:type="dxa"/>
            <w:vAlign w:val="top"/>
          </w:tcPr>
          <w:p w14:paraId="0D64B309">
            <w:pPr>
              <w:rPr>
                <w:rFonts w:ascii="Arial"/>
                <w:sz w:val="21"/>
              </w:rPr>
            </w:pPr>
          </w:p>
        </w:tc>
        <w:tc>
          <w:tcPr>
            <w:tcW w:w="3586" w:type="dxa"/>
            <w:vAlign w:val="top"/>
          </w:tcPr>
          <w:p w14:paraId="6FB66477">
            <w:pPr>
              <w:rPr>
                <w:rFonts w:ascii="Arial"/>
                <w:sz w:val="21"/>
              </w:rPr>
            </w:pPr>
          </w:p>
        </w:tc>
        <w:tc>
          <w:tcPr>
            <w:tcW w:w="1953" w:type="dxa"/>
            <w:vAlign w:val="top"/>
          </w:tcPr>
          <w:p w14:paraId="4A7F53B9">
            <w:pPr>
              <w:rPr>
                <w:rFonts w:ascii="Arial"/>
                <w:sz w:val="21"/>
              </w:rPr>
            </w:pPr>
          </w:p>
        </w:tc>
      </w:tr>
      <w:tr w14:paraId="51E37F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53" w:hRule="atLeast"/>
        </w:trPr>
        <w:tc>
          <w:tcPr>
            <w:tcW w:w="934" w:type="dxa"/>
            <w:vMerge w:val="continue"/>
            <w:tcBorders>
              <w:top w:val="nil"/>
            </w:tcBorders>
            <w:textDirection w:val="tbRlV"/>
            <w:vAlign w:val="top"/>
          </w:tcPr>
          <w:p w14:paraId="5D5B8AC0">
            <w:pPr>
              <w:rPr>
                <w:rFonts w:ascii="Arial"/>
                <w:sz w:val="21"/>
              </w:rPr>
            </w:pPr>
          </w:p>
        </w:tc>
        <w:tc>
          <w:tcPr>
            <w:tcW w:w="979" w:type="dxa"/>
            <w:vAlign w:val="top"/>
          </w:tcPr>
          <w:p w14:paraId="77EA6B1F">
            <w:pPr>
              <w:rPr>
                <w:rFonts w:ascii="Arial"/>
                <w:sz w:val="21"/>
              </w:rPr>
            </w:pPr>
          </w:p>
        </w:tc>
        <w:tc>
          <w:tcPr>
            <w:tcW w:w="1258" w:type="dxa"/>
            <w:vAlign w:val="top"/>
          </w:tcPr>
          <w:p w14:paraId="4D68C3ED">
            <w:pPr>
              <w:rPr>
                <w:rFonts w:ascii="Arial"/>
                <w:sz w:val="21"/>
              </w:rPr>
            </w:pPr>
          </w:p>
        </w:tc>
        <w:tc>
          <w:tcPr>
            <w:tcW w:w="3586" w:type="dxa"/>
            <w:vAlign w:val="top"/>
          </w:tcPr>
          <w:p w14:paraId="0EB537D8">
            <w:pPr>
              <w:rPr>
                <w:rFonts w:ascii="Arial"/>
                <w:sz w:val="21"/>
              </w:rPr>
            </w:pPr>
          </w:p>
        </w:tc>
        <w:tc>
          <w:tcPr>
            <w:tcW w:w="1953" w:type="dxa"/>
            <w:vAlign w:val="top"/>
          </w:tcPr>
          <w:p w14:paraId="4A123639">
            <w:pPr>
              <w:rPr>
                <w:rFonts w:ascii="Arial"/>
                <w:sz w:val="21"/>
              </w:rPr>
            </w:pPr>
          </w:p>
        </w:tc>
      </w:tr>
    </w:tbl>
    <w:p w14:paraId="222ED529">
      <w:pPr>
        <w:pStyle w:val="2"/>
        <w:spacing w:before="133" w:line="356" w:lineRule="auto"/>
        <w:ind w:left="964" w:right="42" w:hanging="829"/>
        <w:rPr>
          <w:sz w:val="21"/>
          <w:szCs w:val="21"/>
        </w:rPr>
      </w:pPr>
      <w:r>
        <w:rPr>
          <w:spacing w:val="4"/>
          <w:sz w:val="21"/>
          <w:szCs w:val="21"/>
        </w:rPr>
        <w:t>备注：1.招标文件将近3年发生的诉讼和仲裁情况作为资格条件或评分项的，投标人应当如实填</w:t>
      </w:r>
      <w:r>
        <w:rPr>
          <w:spacing w:val="1"/>
          <w:sz w:val="21"/>
          <w:szCs w:val="21"/>
        </w:rPr>
        <w:t xml:space="preserve"> </w:t>
      </w:r>
      <w:r>
        <w:rPr>
          <w:spacing w:val="-6"/>
          <w:sz w:val="21"/>
          <w:szCs w:val="21"/>
        </w:rPr>
        <w:t>报相关情况。</w:t>
      </w:r>
    </w:p>
    <w:p w14:paraId="29C5B398">
      <w:pPr>
        <w:pStyle w:val="2"/>
        <w:spacing w:before="1" w:line="285" w:lineRule="auto"/>
        <w:ind w:left="963" w:hanging="219"/>
        <w:rPr>
          <w:sz w:val="21"/>
          <w:szCs w:val="21"/>
        </w:rPr>
      </w:pPr>
      <w:r>
        <w:rPr>
          <w:spacing w:val="20"/>
          <w:sz w:val="21"/>
          <w:szCs w:val="21"/>
        </w:rPr>
        <w:t>2.</w:t>
      </w:r>
      <w:r>
        <w:rPr>
          <w:spacing w:val="-44"/>
          <w:sz w:val="21"/>
          <w:szCs w:val="21"/>
        </w:rPr>
        <w:t xml:space="preserve"> </w:t>
      </w:r>
      <w:r>
        <w:rPr>
          <w:spacing w:val="20"/>
          <w:sz w:val="21"/>
          <w:szCs w:val="21"/>
        </w:rPr>
        <w:t>近3年是指从投标截止日往前推算的3年，如投标截止日</w:t>
      </w:r>
      <w:r>
        <w:rPr>
          <w:spacing w:val="19"/>
          <w:sz w:val="21"/>
          <w:szCs w:val="21"/>
        </w:rPr>
        <w:t>为2014年3月5日，则近3</w:t>
      </w:r>
      <w:r>
        <w:rPr>
          <w:sz w:val="21"/>
          <w:szCs w:val="21"/>
        </w:rPr>
        <w:t xml:space="preserve"> </w:t>
      </w:r>
      <w:r>
        <w:rPr>
          <w:spacing w:val="28"/>
          <w:sz w:val="21"/>
          <w:szCs w:val="21"/>
        </w:rPr>
        <w:t>年是指2011年3月5日至2014年3月4日。</w:t>
      </w:r>
    </w:p>
    <w:p w14:paraId="3179AFFD">
      <w:pPr>
        <w:pStyle w:val="2"/>
        <w:spacing w:before="171" w:line="301" w:lineRule="auto"/>
        <w:ind w:left="963" w:right="38" w:hanging="209"/>
        <w:rPr>
          <w:sz w:val="21"/>
          <w:szCs w:val="21"/>
        </w:rPr>
      </w:pPr>
      <w:r>
        <w:rPr>
          <w:spacing w:val="3"/>
          <w:sz w:val="21"/>
          <w:szCs w:val="21"/>
        </w:rPr>
        <w:t>3.</w:t>
      </w:r>
      <w:r>
        <w:rPr>
          <w:spacing w:val="-42"/>
          <w:sz w:val="21"/>
          <w:szCs w:val="21"/>
        </w:rPr>
        <w:t xml:space="preserve"> </w:t>
      </w:r>
      <w:r>
        <w:rPr>
          <w:spacing w:val="3"/>
          <w:sz w:val="21"/>
          <w:szCs w:val="21"/>
        </w:rPr>
        <w:t>近3年发生的诉讼和仲裁情况仅限于申请人败诉的，且与签订或履行施工承包合同有关</w:t>
      </w:r>
      <w:r>
        <w:rPr>
          <w:sz w:val="21"/>
          <w:szCs w:val="21"/>
        </w:rPr>
        <w:t xml:space="preserve"> </w:t>
      </w:r>
      <w:r>
        <w:rPr>
          <w:spacing w:val="2"/>
          <w:sz w:val="21"/>
          <w:szCs w:val="21"/>
        </w:rPr>
        <w:t>的案件，不包括调解结案以及未终审判决的诉讼或未裁决的仲裁。附法院或仲裁机构作</w:t>
      </w:r>
      <w:r>
        <w:rPr>
          <w:spacing w:val="7"/>
          <w:sz w:val="21"/>
          <w:szCs w:val="21"/>
        </w:rPr>
        <w:t xml:space="preserve"> </w:t>
      </w:r>
      <w:r>
        <w:rPr>
          <w:spacing w:val="-1"/>
          <w:sz w:val="21"/>
          <w:szCs w:val="21"/>
        </w:rPr>
        <w:t>出的判决或裁决等有关法律文书的扫描件。以仲裁裁决或判决书的制发时间为准。</w:t>
      </w:r>
    </w:p>
    <w:p w14:paraId="1F241544">
      <w:pPr>
        <w:spacing w:line="301" w:lineRule="auto"/>
        <w:rPr>
          <w:sz w:val="21"/>
          <w:szCs w:val="21"/>
        </w:rPr>
        <w:sectPr>
          <w:footerReference r:id="rId392" w:type="default"/>
          <w:pgSz w:w="11910" w:h="16840"/>
          <w:pgMar w:top="400" w:right="1497" w:bottom="1147" w:left="1344" w:header="0" w:footer="1021" w:gutter="0"/>
          <w:cols w:space="720" w:num="1"/>
        </w:sectPr>
      </w:pPr>
    </w:p>
    <w:p w14:paraId="19A48BA1">
      <w:pPr>
        <w:rPr>
          <w:rFonts w:ascii="Arial"/>
          <w:sz w:val="21"/>
        </w:rPr>
      </w:pPr>
    </w:p>
    <w:p w14:paraId="42580F04">
      <w:pPr>
        <w:rPr>
          <w:rFonts w:ascii="Arial"/>
          <w:sz w:val="21"/>
        </w:rPr>
      </w:pPr>
    </w:p>
    <w:p w14:paraId="1771DC1C">
      <w:pPr>
        <w:rPr>
          <w:rFonts w:ascii="Arial"/>
          <w:sz w:val="21"/>
        </w:rPr>
      </w:pPr>
    </w:p>
    <w:p w14:paraId="7CB31297">
      <w:pPr>
        <w:spacing w:line="241" w:lineRule="auto"/>
        <w:rPr>
          <w:rFonts w:ascii="Arial"/>
          <w:sz w:val="21"/>
        </w:rPr>
      </w:pPr>
    </w:p>
    <w:p w14:paraId="51FEB4E6">
      <w:pPr>
        <w:spacing w:line="241" w:lineRule="auto"/>
        <w:rPr>
          <w:rFonts w:ascii="Arial"/>
          <w:sz w:val="21"/>
        </w:rPr>
      </w:pPr>
    </w:p>
    <w:p w14:paraId="07462D10">
      <w:pPr>
        <w:spacing w:line="241" w:lineRule="auto"/>
        <w:rPr>
          <w:rFonts w:ascii="Arial"/>
          <w:sz w:val="21"/>
        </w:rPr>
      </w:pPr>
    </w:p>
    <w:p w14:paraId="2DA7E39A">
      <w:pPr>
        <w:spacing w:line="241" w:lineRule="auto"/>
        <w:rPr>
          <w:rFonts w:ascii="Arial"/>
          <w:sz w:val="21"/>
        </w:rPr>
      </w:pPr>
    </w:p>
    <w:p w14:paraId="2EE46148">
      <w:pPr>
        <w:pStyle w:val="2"/>
        <w:spacing w:before="81" w:line="206" w:lineRule="auto"/>
        <w:ind w:left="2798"/>
      </w:pPr>
      <w:r>
        <w:rPr>
          <w:b/>
          <w:bCs/>
          <w:spacing w:val="-4"/>
        </w:rPr>
        <w:t>5-3近5年投标人工程获奖情况表</w:t>
      </w:r>
    </w:p>
    <w:tbl>
      <w:tblPr>
        <w:tblStyle w:val="5"/>
        <w:tblW w:w="910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4"/>
        <w:gridCol w:w="2187"/>
        <w:gridCol w:w="1638"/>
        <w:gridCol w:w="1318"/>
        <w:gridCol w:w="1309"/>
        <w:gridCol w:w="1963"/>
      </w:tblGrid>
      <w:tr w14:paraId="15E6D1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4" w:hRule="atLeast"/>
        </w:trPr>
        <w:tc>
          <w:tcPr>
            <w:tcW w:w="694" w:type="dxa"/>
            <w:vAlign w:val="top"/>
          </w:tcPr>
          <w:p w14:paraId="665E1028">
            <w:pPr>
              <w:pStyle w:val="6"/>
              <w:spacing w:before="195" w:line="221" w:lineRule="auto"/>
              <w:ind w:left="135"/>
              <w:rPr>
                <w:sz w:val="22"/>
                <w:szCs w:val="22"/>
              </w:rPr>
            </w:pPr>
            <w:r>
              <w:rPr>
                <w:spacing w:val="6"/>
                <w:sz w:val="22"/>
                <w:szCs w:val="22"/>
              </w:rPr>
              <w:t>序号</w:t>
            </w:r>
          </w:p>
        </w:tc>
        <w:tc>
          <w:tcPr>
            <w:tcW w:w="2187" w:type="dxa"/>
            <w:vAlign w:val="top"/>
          </w:tcPr>
          <w:p w14:paraId="0F1F4817">
            <w:pPr>
              <w:pStyle w:val="6"/>
              <w:spacing w:before="194" w:line="220" w:lineRule="auto"/>
              <w:ind w:left="681"/>
              <w:rPr>
                <w:sz w:val="22"/>
                <w:szCs w:val="22"/>
              </w:rPr>
            </w:pPr>
            <w:r>
              <w:rPr>
                <w:spacing w:val="2"/>
                <w:sz w:val="22"/>
                <w:szCs w:val="22"/>
              </w:rPr>
              <w:t>项目名称</w:t>
            </w:r>
          </w:p>
        </w:tc>
        <w:tc>
          <w:tcPr>
            <w:tcW w:w="1638" w:type="dxa"/>
            <w:vAlign w:val="top"/>
          </w:tcPr>
          <w:p w14:paraId="3797C8B2">
            <w:pPr>
              <w:pStyle w:val="6"/>
              <w:spacing w:before="194" w:line="219" w:lineRule="auto"/>
              <w:ind w:left="424"/>
              <w:rPr>
                <w:sz w:val="22"/>
                <w:szCs w:val="22"/>
              </w:rPr>
            </w:pPr>
            <w:r>
              <w:rPr>
                <w:spacing w:val="2"/>
                <w:sz w:val="22"/>
                <w:szCs w:val="22"/>
              </w:rPr>
              <w:t>获奖名称</w:t>
            </w:r>
          </w:p>
        </w:tc>
        <w:tc>
          <w:tcPr>
            <w:tcW w:w="1318" w:type="dxa"/>
            <w:vAlign w:val="top"/>
          </w:tcPr>
          <w:p w14:paraId="29FB8221">
            <w:pPr>
              <w:pStyle w:val="6"/>
              <w:spacing w:before="194" w:line="219" w:lineRule="auto"/>
              <w:ind w:left="255"/>
              <w:rPr>
                <w:sz w:val="22"/>
                <w:szCs w:val="22"/>
              </w:rPr>
            </w:pPr>
            <w:r>
              <w:rPr>
                <w:spacing w:val="4"/>
                <w:sz w:val="22"/>
                <w:szCs w:val="22"/>
              </w:rPr>
              <w:t>获奖类别</w:t>
            </w:r>
          </w:p>
        </w:tc>
        <w:tc>
          <w:tcPr>
            <w:tcW w:w="1309" w:type="dxa"/>
            <w:vAlign w:val="top"/>
          </w:tcPr>
          <w:p w14:paraId="16FD95BA">
            <w:pPr>
              <w:pStyle w:val="6"/>
              <w:spacing w:before="194" w:line="219" w:lineRule="auto"/>
              <w:ind w:left="238"/>
              <w:rPr>
                <w:sz w:val="22"/>
                <w:szCs w:val="22"/>
              </w:rPr>
            </w:pPr>
            <w:r>
              <w:rPr>
                <w:spacing w:val="3"/>
                <w:sz w:val="22"/>
                <w:szCs w:val="22"/>
              </w:rPr>
              <w:t>获奖日期</w:t>
            </w:r>
          </w:p>
        </w:tc>
        <w:tc>
          <w:tcPr>
            <w:tcW w:w="1963" w:type="dxa"/>
            <w:vAlign w:val="top"/>
          </w:tcPr>
          <w:p w14:paraId="26E072F0">
            <w:pPr>
              <w:pStyle w:val="6"/>
              <w:spacing w:before="194" w:line="220" w:lineRule="auto"/>
              <w:ind w:left="569"/>
              <w:rPr>
                <w:sz w:val="22"/>
                <w:szCs w:val="22"/>
              </w:rPr>
            </w:pPr>
            <w:r>
              <w:rPr>
                <w:spacing w:val="-2"/>
                <w:sz w:val="22"/>
                <w:szCs w:val="22"/>
              </w:rPr>
              <w:t>颁奖单位</w:t>
            </w:r>
          </w:p>
        </w:tc>
      </w:tr>
      <w:tr w14:paraId="69C148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9" w:hRule="atLeast"/>
        </w:trPr>
        <w:tc>
          <w:tcPr>
            <w:tcW w:w="694" w:type="dxa"/>
            <w:vAlign w:val="top"/>
          </w:tcPr>
          <w:p w14:paraId="44450C68">
            <w:pPr>
              <w:rPr>
                <w:rFonts w:ascii="Arial"/>
                <w:sz w:val="21"/>
              </w:rPr>
            </w:pPr>
          </w:p>
        </w:tc>
        <w:tc>
          <w:tcPr>
            <w:tcW w:w="2187" w:type="dxa"/>
            <w:vAlign w:val="top"/>
          </w:tcPr>
          <w:p w14:paraId="42497AB9">
            <w:pPr>
              <w:rPr>
                <w:rFonts w:ascii="Arial"/>
                <w:sz w:val="21"/>
              </w:rPr>
            </w:pPr>
          </w:p>
        </w:tc>
        <w:tc>
          <w:tcPr>
            <w:tcW w:w="1638" w:type="dxa"/>
            <w:vAlign w:val="top"/>
          </w:tcPr>
          <w:p w14:paraId="26BF28F7">
            <w:pPr>
              <w:rPr>
                <w:rFonts w:ascii="Arial"/>
                <w:sz w:val="21"/>
              </w:rPr>
            </w:pPr>
          </w:p>
        </w:tc>
        <w:tc>
          <w:tcPr>
            <w:tcW w:w="1318" w:type="dxa"/>
            <w:vAlign w:val="top"/>
          </w:tcPr>
          <w:p w14:paraId="61192740">
            <w:pPr>
              <w:rPr>
                <w:rFonts w:ascii="Arial"/>
                <w:sz w:val="21"/>
              </w:rPr>
            </w:pPr>
          </w:p>
        </w:tc>
        <w:tc>
          <w:tcPr>
            <w:tcW w:w="1309" w:type="dxa"/>
            <w:vAlign w:val="top"/>
          </w:tcPr>
          <w:p w14:paraId="2F1AA906">
            <w:pPr>
              <w:rPr>
                <w:rFonts w:ascii="Arial"/>
                <w:sz w:val="21"/>
              </w:rPr>
            </w:pPr>
          </w:p>
        </w:tc>
        <w:tc>
          <w:tcPr>
            <w:tcW w:w="1963" w:type="dxa"/>
            <w:vAlign w:val="top"/>
          </w:tcPr>
          <w:p w14:paraId="293E1992">
            <w:pPr>
              <w:rPr>
                <w:rFonts w:ascii="Arial"/>
                <w:sz w:val="21"/>
              </w:rPr>
            </w:pPr>
          </w:p>
        </w:tc>
      </w:tr>
      <w:tr w14:paraId="36E9FB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0" w:hRule="atLeast"/>
        </w:trPr>
        <w:tc>
          <w:tcPr>
            <w:tcW w:w="694" w:type="dxa"/>
            <w:vAlign w:val="top"/>
          </w:tcPr>
          <w:p w14:paraId="6AFDA36E">
            <w:pPr>
              <w:rPr>
                <w:rFonts w:ascii="Arial"/>
                <w:sz w:val="21"/>
              </w:rPr>
            </w:pPr>
          </w:p>
        </w:tc>
        <w:tc>
          <w:tcPr>
            <w:tcW w:w="2187" w:type="dxa"/>
            <w:vAlign w:val="top"/>
          </w:tcPr>
          <w:p w14:paraId="7EF073D8">
            <w:pPr>
              <w:rPr>
                <w:rFonts w:ascii="Arial"/>
                <w:sz w:val="21"/>
              </w:rPr>
            </w:pPr>
          </w:p>
        </w:tc>
        <w:tc>
          <w:tcPr>
            <w:tcW w:w="1638" w:type="dxa"/>
            <w:vAlign w:val="top"/>
          </w:tcPr>
          <w:p w14:paraId="3F1924ED">
            <w:pPr>
              <w:rPr>
                <w:rFonts w:ascii="Arial"/>
                <w:sz w:val="21"/>
              </w:rPr>
            </w:pPr>
          </w:p>
        </w:tc>
        <w:tc>
          <w:tcPr>
            <w:tcW w:w="1318" w:type="dxa"/>
            <w:vAlign w:val="top"/>
          </w:tcPr>
          <w:p w14:paraId="07FEA13D">
            <w:pPr>
              <w:rPr>
                <w:rFonts w:ascii="Arial"/>
                <w:sz w:val="21"/>
              </w:rPr>
            </w:pPr>
          </w:p>
        </w:tc>
        <w:tc>
          <w:tcPr>
            <w:tcW w:w="1309" w:type="dxa"/>
            <w:vAlign w:val="top"/>
          </w:tcPr>
          <w:p w14:paraId="64154308">
            <w:pPr>
              <w:rPr>
                <w:rFonts w:ascii="Arial"/>
                <w:sz w:val="21"/>
              </w:rPr>
            </w:pPr>
          </w:p>
        </w:tc>
        <w:tc>
          <w:tcPr>
            <w:tcW w:w="1963" w:type="dxa"/>
            <w:vAlign w:val="top"/>
          </w:tcPr>
          <w:p w14:paraId="3D52FCF6">
            <w:pPr>
              <w:rPr>
                <w:rFonts w:ascii="Arial"/>
                <w:sz w:val="21"/>
              </w:rPr>
            </w:pPr>
          </w:p>
        </w:tc>
      </w:tr>
      <w:tr w14:paraId="0EC3DF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9" w:hRule="atLeast"/>
        </w:trPr>
        <w:tc>
          <w:tcPr>
            <w:tcW w:w="694" w:type="dxa"/>
            <w:vAlign w:val="top"/>
          </w:tcPr>
          <w:p w14:paraId="095062D6">
            <w:pPr>
              <w:rPr>
                <w:rFonts w:ascii="Arial"/>
                <w:sz w:val="21"/>
              </w:rPr>
            </w:pPr>
          </w:p>
        </w:tc>
        <w:tc>
          <w:tcPr>
            <w:tcW w:w="2187" w:type="dxa"/>
            <w:vAlign w:val="top"/>
          </w:tcPr>
          <w:p w14:paraId="3873990E">
            <w:pPr>
              <w:rPr>
                <w:rFonts w:ascii="Arial"/>
                <w:sz w:val="21"/>
              </w:rPr>
            </w:pPr>
          </w:p>
        </w:tc>
        <w:tc>
          <w:tcPr>
            <w:tcW w:w="1638" w:type="dxa"/>
            <w:vAlign w:val="top"/>
          </w:tcPr>
          <w:p w14:paraId="7D06C6EF">
            <w:pPr>
              <w:rPr>
                <w:rFonts w:ascii="Arial"/>
                <w:sz w:val="21"/>
              </w:rPr>
            </w:pPr>
          </w:p>
        </w:tc>
        <w:tc>
          <w:tcPr>
            <w:tcW w:w="1318" w:type="dxa"/>
            <w:vAlign w:val="top"/>
          </w:tcPr>
          <w:p w14:paraId="4C0FFE07">
            <w:pPr>
              <w:rPr>
                <w:rFonts w:ascii="Arial"/>
                <w:sz w:val="21"/>
              </w:rPr>
            </w:pPr>
          </w:p>
        </w:tc>
        <w:tc>
          <w:tcPr>
            <w:tcW w:w="1309" w:type="dxa"/>
            <w:vAlign w:val="top"/>
          </w:tcPr>
          <w:p w14:paraId="3542B82D">
            <w:pPr>
              <w:rPr>
                <w:rFonts w:ascii="Arial"/>
                <w:sz w:val="21"/>
              </w:rPr>
            </w:pPr>
          </w:p>
        </w:tc>
        <w:tc>
          <w:tcPr>
            <w:tcW w:w="1963" w:type="dxa"/>
            <w:vAlign w:val="top"/>
          </w:tcPr>
          <w:p w14:paraId="6F42D060">
            <w:pPr>
              <w:rPr>
                <w:rFonts w:ascii="Arial"/>
                <w:sz w:val="21"/>
              </w:rPr>
            </w:pPr>
          </w:p>
        </w:tc>
      </w:tr>
      <w:tr w14:paraId="2CF82F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694" w:type="dxa"/>
            <w:vAlign w:val="top"/>
          </w:tcPr>
          <w:p w14:paraId="63A40E90">
            <w:pPr>
              <w:rPr>
                <w:rFonts w:ascii="Arial"/>
                <w:sz w:val="21"/>
              </w:rPr>
            </w:pPr>
          </w:p>
        </w:tc>
        <w:tc>
          <w:tcPr>
            <w:tcW w:w="2187" w:type="dxa"/>
            <w:vAlign w:val="top"/>
          </w:tcPr>
          <w:p w14:paraId="3C417441">
            <w:pPr>
              <w:rPr>
                <w:rFonts w:ascii="Arial"/>
                <w:sz w:val="21"/>
              </w:rPr>
            </w:pPr>
          </w:p>
        </w:tc>
        <w:tc>
          <w:tcPr>
            <w:tcW w:w="1638" w:type="dxa"/>
            <w:vAlign w:val="top"/>
          </w:tcPr>
          <w:p w14:paraId="19CF9841">
            <w:pPr>
              <w:rPr>
                <w:rFonts w:ascii="Arial"/>
                <w:sz w:val="21"/>
              </w:rPr>
            </w:pPr>
          </w:p>
        </w:tc>
        <w:tc>
          <w:tcPr>
            <w:tcW w:w="1318" w:type="dxa"/>
            <w:vAlign w:val="top"/>
          </w:tcPr>
          <w:p w14:paraId="0FB6F92D">
            <w:pPr>
              <w:rPr>
                <w:rFonts w:ascii="Arial"/>
                <w:sz w:val="21"/>
              </w:rPr>
            </w:pPr>
          </w:p>
        </w:tc>
        <w:tc>
          <w:tcPr>
            <w:tcW w:w="1309" w:type="dxa"/>
            <w:vAlign w:val="top"/>
          </w:tcPr>
          <w:p w14:paraId="62294526">
            <w:pPr>
              <w:rPr>
                <w:rFonts w:ascii="Arial"/>
                <w:sz w:val="21"/>
              </w:rPr>
            </w:pPr>
          </w:p>
        </w:tc>
        <w:tc>
          <w:tcPr>
            <w:tcW w:w="1963" w:type="dxa"/>
            <w:vAlign w:val="top"/>
          </w:tcPr>
          <w:p w14:paraId="0E8DB3A3">
            <w:pPr>
              <w:rPr>
                <w:rFonts w:ascii="Arial"/>
                <w:sz w:val="21"/>
              </w:rPr>
            </w:pPr>
          </w:p>
        </w:tc>
      </w:tr>
      <w:tr w14:paraId="64435D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trPr>
        <w:tc>
          <w:tcPr>
            <w:tcW w:w="694" w:type="dxa"/>
            <w:vAlign w:val="top"/>
          </w:tcPr>
          <w:p w14:paraId="06C9A207">
            <w:pPr>
              <w:rPr>
                <w:rFonts w:ascii="Arial"/>
                <w:sz w:val="21"/>
              </w:rPr>
            </w:pPr>
          </w:p>
        </w:tc>
        <w:tc>
          <w:tcPr>
            <w:tcW w:w="2187" w:type="dxa"/>
            <w:vAlign w:val="top"/>
          </w:tcPr>
          <w:p w14:paraId="4A6A30FD">
            <w:pPr>
              <w:rPr>
                <w:rFonts w:ascii="Arial"/>
                <w:sz w:val="21"/>
              </w:rPr>
            </w:pPr>
          </w:p>
        </w:tc>
        <w:tc>
          <w:tcPr>
            <w:tcW w:w="1638" w:type="dxa"/>
            <w:vAlign w:val="top"/>
          </w:tcPr>
          <w:p w14:paraId="33506E42">
            <w:pPr>
              <w:rPr>
                <w:rFonts w:ascii="Arial"/>
                <w:sz w:val="21"/>
              </w:rPr>
            </w:pPr>
          </w:p>
        </w:tc>
        <w:tc>
          <w:tcPr>
            <w:tcW w:w="1318" w:type="dxa"/>
            <w:vAlign w:val="top"/>
          </w:tcPr>
          <w:p w14:paraId="0C9FB5CA">
            <w:pPr>
              <w:rPr>
                <w:rFonts w:ascii="Arial"/>
                <w:sz w:val="21"/>
              </w:rPr>
            </w:pPr>
          </w:p>
        </w:tc>
        <w:tc>
          <w:tcPr>
            <w:tcW w:w="1309" w:type="dxa"/>
            <w:vAlign w:val="top"/>
          </w:tcPr>
          <w:p w14:paraId="3DC10114">
            <w:pPr>
              <w:rPr>
                <w:rFonts w:ascii="Arial"/>
                <w:sz w:val="21"/>
              </w:rPr>
            </w:pPr>
          </w:p>
        </w:tc>
        <w:tc>
          <w:tcPr>
            <w:tcW w:w="1963" w:type="dxa"/>
            <w:vAlign w:val="top"/>
          </w:tcPr>
          <w:p w14:paraId="5E6A5855">
            <w:pPr>
              <w:rPr>
                <w:rFonts w:ascii="Arial"/>
                <w:sz w:val="21"/>
              </w:rPr>
            </w:pPr>
          </w:p>
        </w:tc>
      </w:tr>
      <w:tr w14:paraId="40B87B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9" w:hRule="atLeast"/>
        </w:trPr>
        <w:tc>
          <w:tcPr>
            <w:tcW w:w="694" w:type="dxa"/>
            <w:vAlign w:val="top"/>
          </w:tcPr>
          <w:p w14:paraId="380DD843">
            <w:pPr>
              <w:rPr>
                <w:rFonts w:ascii="Arial"/>
                <w:sz w:val="21"/>
              </w:rPr>
            </w:pPr>
          </w:p>
        </w:tc>
        <w:tc>
          <w:tcPr>
            <w:tcW w:w="2187" w:type="dxa"/>
            <w:vAlign w:val="top"/>
          </w:tcPr>
          <w:p w14:paraId="07FF6ABF">
            <w:pPr>
              <w:rPr>
                <w:rFonts w:ascii="Arial"/>
                <w:sz w:val="21"/>
              </w:rPr>
            </w:pPr>
          </w:p>
        </w:tc>
        <w:tc>
          <w:tcPr>
            <w:tcW w:w="1638" w:type="dxa"/>
            <w:vAlign w:val="top"/>
          </w:tcPr>
          <w:p w14:paraId="139B35BC">
            <w:pPr>
              <w:rPr>
                <w:rFonts w:ascii="Arial"/>
                <w:sz w:val="21"/>
              </w:rPr>
            </w:pPr>
          </w:p>
        </w:tc>
        <w:tc>
          <w:tcPr>
            <w:tcW w:w="1318" w:type="dxa"/>
            <w:vAlign w:val="top"/>
          </w:tcPr>
          <w:p w14:paraId="30FBE2FF">
            <w:pPr>
              <w:rPr>
                <w:rFonts w:ascii="Arial"/>
                <w:sz w:val="21"/>
              </w:rPr>
            </w:pPr>
          </w:p>
        </w:tc>
        <w:tc>
          <w:tcPr>
            <w:tcW w:w="1309" w:type="dxa"/>
            <w:vAlign w:val="top"/>
          </w:tcPr>
          <w:p w14:paraId="7FEEF58E">
            <w:pPr>
              <w:rPr>
                <w:rFonts w:ascii="Arial"/>
                <w:sz w:val="21"/>
              </w:rPr>
            </w:pPr>
          </w:p>
        </w:tc>
        <w:tc>
          <w:tcPr>
            <w:tcW w:w="1963" w:type="dxa"/>
            <w:vAlign w:val="top"/>
          </w:tcPr>
          <w:p w14:paraId="59A5CEAC">
            <w:pPr>
              <w:rPr>
                <w:rFonts w:ascii="Arial"/>
                <w:sz w:val="21"/>
              </w:rPr>
            </w:pPr>
          </w:p>
        </w:tc>
      </w:tr>
      <w:tr w14:paraId="56E0DE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0" w:hRule="atLeast"/>
        </w:trPr>
        <w:tc>
          <w:tcPr>
            <w:tcW w:w="694" w:type="dxa"/>
            <w:vAlign w:val="top"/>
          </w:tcPr>
          <w:p w14:paraId="4A68F197">
            <w:pPr>
              <w:rPr>
                <w:rFonts w:ascii="Arial"/>
                <w:sz w:val="21"/>
              </w:rPr>
            </w:pPr>
          </w:p>
        </w:tc>
        <w:tc>
          <w:tcPr>
            <w:tcW w:w="2187" w:type="dxa"/>
            <w:vAlign w:val="top"/>
          </w:tcPr>
          <w:p w14:paraId="3F5348A7">
            <w:pPr>
              <w:rPr>
                <w:rFonts w:ascii="Arial"/>
                <w:sz w:val="21"/>
              </w:rPr>
            </w:pPr>
          </w:p>
        </w:tc>
        <w:tc>
          <w:tcPr>
            <w:tcW w:w="1638" w:type="dxa"/>
            <w:vAlign w:val="top"/>
          </w:tcPr>
          <w:p w14:paraId="51250BB5">
            <w:pPr>
              <w:rPr>
                <w:rFonts w:ascii="Arial"/>
                <w:sz w:val="21"/>
              </w:rPr>
            </w:pPr>
          </w:p>
        </w:tc>
        <w:tc>
          <w:tcPr>
            <w:tcW w:w="1318" w:type="dxa"/>
            <w:vAlign w:val="top"/>
          </w:tcPr>
          <w:p w14:paraId="40579D5D">
            <w:pPr>
              <w:rPr>
                <w:rFonts w:ascii="Arial"/>
                <w:sz w:val="21"/>
              </w:rPr>
            </w:pPr>
          </w:p>
        </w:tc>
        <w:tc>
          <w:tcPr>
            <w:tcW w:w="1309" w:type="dxa"/>
            <w:vAlign w:val="top"/>
          </w:tcPr>
          <w:p w14:paraId="47601032">
            <w:pPr>
              <w:rPr>
                <w:rFonts w:ascii="Arial"/>
                <w:sz w:val="21"/>
              </w:rPr>
            </w:pPr>
          </w:p>
        </w:tc>
        <w:tc>
          <w:tcPr>
            <w:tcW w:w="1963" w:type="dxa"/>
            <w:vAlign w:val="top"/>
          </w:tcPr>
          <w:p w14:paraId="7F3CFD76">
            <w:pPr>
              <w:rPr>
                <w:rFonts w:ascii="Arial"/>
                <w:sz w:val="21"/>
              </w:rPr>
            </w:pPr>
          </w:p>
        </w:tc>
      </w:tr>
      <w:tr w14:paraId="34655E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9" w:hRule="atLeast"/>
        </w:trPr>
        <w:tc>
          <w:tcPr>
            <w:tcW w:w="694" w:type="dxa"/>
            <w:vAlign w:val="top"/>
          </w:tcPr>
          <w:p w14:paraId="290E03C6">
            <w:pPr>
              <w:rPr>
                <w:rFonts w:ascii="Arial"/>
                <w:sz w:val="21"/>
              </w:rPr>
            </w:pPr>
          </w:p>
        </w:tc>
        <w:tc>
          <w:tcPr>
            <w:tcW w:w="2187" w:type="dxa"/>
            <w:vAlign w:val="top"/>
          </w:tcPr>
          <w:p w14:paraId="792EAD5C">
            <w:pPr>
              <w:rPr>
                <w:rFonts w:ascii="Arial"/>
                <w:sz w:val="21"/>
              </w:rPr>
            </w:pPr>
          </w:p>
        </w:tc>
        <w:tc>
          <w:tcPr>
            <w:tcW w:w="1638" w:type="dxa"/>
            <w:vAlign w:val="top"/>
          </w:tcPr>
          <w:p w14:paraId="0B87EAEB">
            <w:pPr>
              <w:rPr>
                <w:rFonts w:ascii="Arial"/>
                <w:sz w:val="21"/>
              </w:rPr>
            </w:pPr>
          </w:p>
        </w:tc>
        <w:tc>
          <w:tcPr>
            <w:tcW w:w="1318" w:type="dxa"/>
            <w:vAlign w:val="top"/>
          </w:tcPr>
          <w:p w14:paraId="004EDF07">
            <w:pPr>
              <w:rPr>
                <w:rFonts w:ascii="Arial"/>
                <w:sz w:val="21"/>
              </w:rPr>
            </w:pPr>
          </w:p>
        </w:tc>
        <w:tc>
          <w:tcPr>
            <w:tcW w:w="1309" w:type="dxa"/>
            <w:vAlign w:val="top"/>
          </w:tcPr>
          <w:p w14:paraId="14F81CAA">
            <w:pPr>
              <w:rPr>
                <w:rFonts w:ascii="Arial"/>
                <w:sz w:val="21"/>
              </w:rPr>
            </w:pPr>
          </w:p>
        </w:tc>
        <w:tc>
          <w:tcPr>
            <w:tcW w:w="1963" w:type="dxa"/>
            <w:vAlign w:val="top"/>
          </w:tcPr>
          <w:p w14:paraId="5919DE68">
            <w:pPr>
              <w:rPr>
                <w:rFonts w:ascii="Arial"/>
                <w:sz w:val="21"/>
              </w:rPr>
            </w:pPr>
          </w:p>
        </w:tc>
      </w:tr>
      <w:tr w14:paraId="73D92E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9" w:hRule="atLeast"/>
        </w:trPr>
        <w:tc>
          <w:tcPr>
            <w:tcW w:w="694" w:type="dxa"/>
            <w:vAlign w:val="top"/>
          </w:tcPr>
          <w:p w14:paraId="411B6515">
            <w:pPr>
              <w:rPr>
                <w:rFonts w:ascii="Arial"/>
                <w:sz w:val="21"/>
              </w:rPr>
            </w:pPr>
          </w:p>
        </w:tc>
        <w:tc>
          <w:tcPr>
            <w:tcW w:w="2187" w:type="dxa"/>
            <w:vAlign w:val="top"/>
          </w:tcPr>
          <w:p w14:paraId="1891D111">
            <w:pPr>
              <w:rPr>
                <w:rFonts w:ascii="Arial"/>
                <w:sz w:val="21"/>
              </w:rPr>
            </w:pPr>
          </w:p>
        </w:tc>
        <w:tc>
          <w:tcPr>
            <w:tcW w:w="1638" w:type="dxa"/>
            <w:vAlign w:val="top"/>
          </w:tcPr>
          <w:p w14:paraId="50075007">
            <w:pPr>
              <w:rPr>
                <w:rFonts w:ascii="Arial"/>
                <w:sz w:val="21"/>
              </w:rPr>
            </w:pPr>
          </w:p>
        </w:tc>
        <w:tc>
          <w:tcPr>
            <w:tcW w:w="1318" w:type="dxa"/>
            <w:vAlign w:val="top"/>
          </w:tcPr>
          <w:p w14:paraId="11509335">
            <w:pPr>
              <w:rPr>
                <w:rFonts w:ascii="Arial"/>
                <w:sz w:val="21"/>
              </w:rPr>
            </w:pPr>
          </w:p>
        </w:tc>
        <w:tc>
          <w:tcPr>
            <w:tcW w:w="1309" w:type="dxa"/>
            <w:vAlign w:val="top"/>
          </w:tcPr>
          <w:p w14:paraId="15BB7D3C">
            <w:pPr>
              <w:rPr>
                <w:rFonts w:ascii="Arial"/>
                <w:sz w:val="21"/>
              </w:rPr>
            </w:pPr>
          </w:p>
        </w:tc>
        <w:tc>
          <w:tcPr>
            <w:tcW w:w="1963" w:type="dxa"/>
            <w:vAlign w:val="top"/>
          </w:tcPr>
          <w:p w14:paraId="34E9E19B">
            <w:pPr>
              <w:rPr>
                <w:rFonts w:ascii="Arial"/>
                <w:sz w:val="21"/>
              </w:rPr>
            </w:pPr>
          </w:p>
        </w:tc>
      </w:tr>
      <w:tr w14:paraId="087655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0" w:hRule="atLeast"/>
        </w:trPr>
        <w:tc>
          <w:tcPr>
            <w:tcW w:w="694" w:type="dxa"/>
            <w:vAlign w:val="top"/>
          </w:tcPr>
          <w:p w14:paraId="11DCCA6E">
            <w:pPr>
              <w:rPr>
                <w:rFonts w:ascii="Arial"/>
                <w:sz w:val="21"/>
              </w:rPr>
            </w:pPr>
          </w:p>
        </w:tc>
        <w:tc>
          <w:tcPr>
            <w:tcW w:w="2187" w:type="dxa"/>
            <w:vAlign w:val="top"/>
          </w:tcPr>
          <w:p w14:paraId="11AED93D">
            <w:pPr>
              <w:rPr>
                <w:rFonts w:ascii="Arial"/>
                <w:sz w:val="21"/>
              </w:rPr>
            </w:pPr>
          </w:p>
        </w:tc>
        <w:tc>
          <w:tcPr>
            <w:tcW w:w="1638" w:type="dxa"/>
            <w:vAlign w:val="top"/>
          </w:tcPr>
          <w:p w14:paraId="5FACA19B">
            <w:pPr>
              <w:rPr>
                <w:rFonts w:ascii="Arial"/>
                <w:sz w:val="21"/>
              </w:rPr>
            </w:pPr>
          </w:p>
        </w:tc>
        <w:tc>
          <w:tcPr>
            <w:tcW w:w="1318" w:type="dxa"/>
            <w:vAlign w:val="top"/>
          </w:tcPr>
          <w:p w14:paraId="7F227773">
            <w:pPr>
              <w:rPr>
                <w:rFonts w:ascii="Arial"/>
                <w:sz w:val="21"/>
              </w:rPr>
            </w:pPr>
          </w:p>
        </w:tc>
        <w:tc>
          <w:tcPr>
            <w:tcW w:w="1309" w:type="dxa"/>
            <w:vAlign w:val="top"/>
          </w:tcPr>
          <w:p w14:paraId="2F3F6F8E">
            <w:pPr>
              <w:rPr>
                <w:rFonts w:ascii="Arial"/>
                <w:sz w:val="21"/>
              </w:rPr>
            </w:pPr>
          </w:p>
        </w:tc>
        <w:tc>
          <w:tcPr>
            <w:tcW w:w="1963" w:type="dxa"/>
            <w:vAlign w:val="top"/>
          </w:tcPr>
          <w:p w14:paraId="462D0DC1">
            <w:pPr>
              <w:rPr>
                <w:rFonts w:ascii="Arial"/>
                <w:sz w:val="21"/>
              </w:rPr>
            </w:pPr>
          </w:p>
        </w:tc>
      </w:tr>
      <w:tr w14:paraId="35D764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9" w:hRule="atLeast"/>
        </w:trPr>
        <w:tc>
          <w:tcPr>
            <w:tcW w:w="694" w:type="dxa"/>
            <w:vAlign w:val="top"/>
          </w:tcPr>
          <w:p w14:paraId="444A6EBC">
            <w:pPr>
              <w:rPr>
                <w:rFonts w:ascii="Arial"/>
                <w:sz w:val="21"/>
              </w:rPr>
            </w:pPr>
          </w:p>
        </w:tc>
        <w:tc>
          <w:tcPr>
            <w:tcW w:w="2187" w:type="dxa"/>
            <w:vAlign w:val="top"/>
          </w:tcPr>
          <w:p w14:paraId="242491B7">
            <w:pPr>
              <w:rPr>
                <w:rFonts w:ascii="Arial"/>
                <w:sz w:val="21"/>
              </w:rPr>
            </w:pPr>
          </w:p>
        </w:tc>
        <w:tc>
          <w:tcPr>
            <w:tcW w:w="1638" w:type="dxa"/>
            <w:vAlign w:val="top"/>
          </w:tcPr>
          <w:p w14:paraId="1B770129">
            <w:pPr>
              <w:rPr>
                <w:rFonts w:ascii="Arial"/>
                <w:sz w:val="21"/>
              </w:rPr>
            </w:pPr>
          </w:p>
        </w:tc>
        <w:tc>
          <w:tcPr>
            <w:tcW w:w="1318" w:type="dxa"/>
            <w:vAlign w:val="top"/>
          </w:tcPr>
          <w:p w14:paraId="6E1DF418">
            <w:pPr>
              <w:rPr>
                <w:rFonts w:ascii="Arial"/>
                <w:sz w:val="21"/>
              </w:rPr>
            </w:pPr>
          </w:p>
        </w:tc>
        <w:tc>
          <w:tcPr>
            <w:tcW w:w="1309" w:type="dxa"/>
            <w:vAlign w:val="top"/>
          </w:tcPr>
          <w:p w14:paraId="3A154E64">
            <w:pPr>
              <w:rPr>
                <w:rFonts w:ascii="Arial"/>
                <w:sz w:val="21"/>
              </w:rPr>
            </w:pPr>
          </w:p>
        </w:tc>
        <w:tc>
          <w:tcPr>
            <w:tcW w:w="1963" w:type="dxa"/>
            <w:vAlign w:val="top"/>
          </w:tcPr>
          <w:p w14:paraId="705E3D76">
            <w:pPr>
              <w:rPr>
                <w:rFonts w:ascii="Arial"/>
                <w:sz w:val="21"/>
              </w:rPr>
            </w:pPr>
          </w:p>
        </w:tc>
      </w:tr>
      <w:tr w14:paraId="738C6E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0" w:hRule="atLeast"/>
        </w:trPr>
        <w:tc>
          <w:tcPr>
            <w:tcW w:w="694" w:type="dxa"/>
            <w:vAlign w:val="top"/>
          </w:tcPr>
          <w:p w14:paraId="5FD89ABF">
            <w:pPr>
              <w:rPr>
                <w:rFonts w:ascii="Arial"/>
                <w:sz w:val="21"/>
              </w:rPr>
            </w:pPr>
          </w:p>
        </w:tc>
        <w:tc>
          <w:tcPr>
            <w:tcW w:w="2187" w:type="dxa"/>
            <w:vAlign w:val="top"/>
          </w:tcPr>
          <w:p w14:paraId="541F005F">
            <w:pPr>
              <w:rPr>
                <w:rFonts w:ascii="Arial"/>
                <w:sz w:val="21"/>
              </w:rPr>
            </w:pPr>
          </w:p>
        </w:tc>
        <w:tc>
          <w:tcPr>
            <w:tcW w:w="1638" w:type="dxa"/>
            <w:vAlign w:val="top"/>
          </w:tcPr>
          <w:p w14:paraId="0B1A5971">
            <w:pPr>
              <w:rPr>
                <w:rFonts w:ascii="Arial"/>
                <w:sz w:val="21"/>
              </w:rPr>
            </w:pPr>
          </w:p>
        </w:tc>
        <w:tc>
          <w:tcPr>
            <w:tcW w:w="1318" w:type="dxa"/>
            <w:vAlign w:val="top"/>
          </w:tcPr>
          <w:p w14:paraId="0795BE1E">
            <w:pPr>
              <w:rPr>
                <w:rFonts w:ascii="Arial"/>
                <w:sz w:val="21"/>
              </w:rPr>
            </w:pPr>
          </w:p>
        </w:tc>
        <w:tc>
          <w:tcPr>
            <w:tcW w:w="1309" w:type="dxa"/>
            <w:vAlign w:val="top"/>
          </w:tcPr>
          <w:p w14:paraId="7BC89A3D">
            <w:pPr>
              <w:rPr>
                <w:rFonts w:ascii="Arial"/>
                <w:sz w:val="21"/>
              </w:rPr>
            </w:pPr>
          </w:p>
        </w:tc>
        <w:tc>
          <w:tcPr>
            <w:tcW w:w="1963" w:type="dxa"/>
            <w:vAlign w:val="top"/>
          </w:tcPr>
          <w:p w14:paraId="0029E50F">
            <w:pPr>
              <w:rPr>
                <w:rFonts w:ascii="Arial"/>
                <w:sz w:val="21"/>
              </w:rPr>
            </w:pPr>
          </w:p>
        </w:tc>
      </w:tr>
      <w:tr w14:paraId="577F4F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4" w:hRule="atLeast"/>
        </w:trPr>
        <w:tc>
          <w:tcPr>
            <w:tcW w:w="694" w:type="dxa"/>
            <w:vAlign w:val="top"/>
          </w:tcPr>
          <w:p w14:paraId="2839F531">
            <w:pPr>
              <w:rPr>
                <w:rFonts w:ascii="Arial"/>
                <w:sz w:val="21"/>
              </w:rPr>
            </w:pPr>
          </w:p>
        </w:tc>
        <w:tc>
          <w:tcPr>
            <w:tcW w:w="2187" w:type="dxa"/>
            <w:vAlign w:val="top"/>
          </w:tcPr>
          <w:p w14:paraId="4EF649BA">
            <w:pPr>
              <w:rPr>
                <w:rFonts w:ascii="Arial"/>
                <w:sz w:val="21"/>
              </w:rPr>
            </w:pPr>
          </w:p>
        </w:tc>
        <w:tc>
          <w:tcPr>
            <w:tcW w:w="1638" w:type="dxa"/>
            <w:vAlign w:val="top"/>
          </w:tcPr>
          <w:p w14:paraId="113F2BBB">
            <w:pPr>
              <w:rPr>
                <w:rFonts w:ascii="Arial"/>
                <w:sz w:val="21"/>
              </w:rPr>
            </w:pPr>
          </w:p>
        </w:tc>
        <w:tc>
          <w:tcPr>
            <w:tcW w:w="1318" w:type="dxa"/>
            <w:vAlign w:val="top"/>
          </w:tcPr>
          <w:p w14:paraId="4F75B7B2">
            <w:pPr>
              <w:rPr>
                <w:rFonts w:ascii="Arial"/>
                <w:sz w:val="21"/>
              </w:rPr>
            </w:pPr>
          </w:p>
        </w:tc>
        <w:tc>
          <w:tcPr>
            <w:tcW w:w="1309" w:type="dxa"/>
            <w:vAlign w:val="top"/>
          </w:tcPr>
          <w:p w14:paraId="2182714C">
            <w:pPr>
              <w:rPr>
                <w:rFonts w:ascii="Arial"/>
                <w:sz w:val="21"/>
              </w:rPr>
            </w:pPr>
          </w:p>
        </w:tc>
        <w:tc>
          <w:tcPr>
            <w:tcW w:w="1963" w:type="dxa"/>
            <w:vAlign w:val="top"/>
          </w:tcPr>
          <w:p w14:paraId="303FF0F3">
            <w:pPr>
              <w:rPr>
                <w:rFonts w:ascii="Arial"/>
                <w:sz w:val="21"/>
              </w:rPr>
            </w:pPr>
          </w:p>
        </w:tc>
      </w:tr>
    </w:tbl>
    <w:p w14:paraId="5CD233B7">
      <w:pPr>
        <w:pStyle w:val="2"/>
        <w:spacing w:before="152" w:line="354" w:lineRule="auto"/>
        <w:ind w:left="125" w:right="51" w:firstLine="10"/>
        <w:rPr>
          <w:sz w:val="21"/>
          <w:szCs w:val="21"/>
        </w:rPr>
      </w:pPr>
      <w:r>
        <w:rPr>
          <w:spacing w:val="19"/>
          <w:sz w:val="21"/>
          <w:szCs w:val="21"/>
        </w:rPr>
        <w:t>备注：1.近5年是指从投标截止日往前推算的5年，如投标截止日为2014年3月5日，则近5</w:t>
      </w:r>
      <w:r>
        <w:rPr>
          <w:spacing w:val="11"/>
          <w:sz w:val="21"/>
          <w:szCs w:val="21"/>
        </w:rPr>
        <w:t xml:space="preserve"> </w:t>
      </w:r>
      <w:r>
        <w:rPr>
          <w:spacing w:val="29"/>
          <w:sz w:val="21"/>
          <w:szCs w:val="21"/>
        </w:rPr>
        <w:t>年是指2009年3月5日至2014年3月4日。</w:t>
      </w:r>
    </w:p>
    <w:p w14:paraId="4F94BD18">
      <w:pPr>
        <w:pStyle w:val="2"/>
        <w:spacing w:before="16" w:line="318" w:lineRule="auto"/>
        <w:ind w:left="964" w:right="2" w:hanging="200"/>
        <w:rPr>
          <w:sz w:val="21"/>
          <w:szCs w:val="21"/>
        </w:rPr>
      </w:pPr>
      <w:r>
        <w:rPr>
          <w:spacing w:val="6"/>
          <w:sz w:val="21"/>
          <w:szCs w:val="21"/>
        </w:rPr>
        <w:t>2.</w:t>
      </w:r>
      <w:r>
        <w:rPr>
          <w:spacing w:val="-45"/>
          <w:sz w:val="21"/>
          <w:szCs w:val="21"/>
        </w:rPr>
        <w:t xml:space="preserve"> </w:t>
      </w:r>
      <w:r>
        <w:rPr>
          <w:spacing w:val="6"/>
          <w:sz w:val="21"/>
          <w:szCs w:val="21"/>
        </w:rPr>
        <w:t>本表后应附中标通知书(如有)、合同协议书、施工</w:t>
      </w:r>
      <w:r>
        <w:rPr>
          <w:spacing w:val="5"/>
          <w:sz w:val="21"/>
          <w:szCs w:val="21"/>
        </w:rPr>
        <w:t>许可证(如有)、工程接收证书或工</w:t>
      </w:r>
      <w:r>
        <w:rPr>
          <w:sz w:val="21"/>
          <w:szCs w:val="21"/>
        </w:rPr>
        <w:t xml:space="preserve"> </w:t>
      </w:r>
      <w:r>
        <w:rPr>
          <w:spacing w:val="-1"/>
          <w:sz w:val="21"/>
          <w:szCs w:val="21"/>
        </w:rPr>
        <w:t>程竣工验收证书(工程竣工验收备案证)、表彰文件、获奖证书及其他证明材料等扫描件。</w:t>
      </w:r>
      <w:r>
        <w:rPr>
          <w:spacing w:val="1"/>
          <w:sz w:val="21"/>
          <w:szCs w:val="21"/>
        </w:rPr>
        <w:t xml:space="preserve"> </w:t>
      </w:r>
      <w:r>
        <w:rPr>
          <w:spacing w:val="2"/>
          <w:sz w:val="21"/>
          <w:szCs w:val="21"/>
        </w:rPr>
        <w:t>招标发包的工程应附中标通知书，工程总承包发包、施工总承包发包、独立发包的施工</w:t>
      </w:r>
      <w:r>
        <w:rPr>
          <w:spacing w:val="14"/>
          <w:sz w:val="21"/>
          <w:szCs w:val="21"/>
        </w:rPr>
        <w:t xml:space="preserve"> </w:t>
      </w:r>
      <w:r>
        <w:rPr>
          <w:spacing w:val="-1"/>
          <w:sz w:val="21"/>
          <w:szCs w:val="21"/>
        </w:rPr>
        <w:t>专业承包应附施工许可证。以表彰文件、获奖</w:t>
      </w:r>
      <w:r>
        <w:rPr>
          <w:spacing w:val="-2"/>
          <w:sz w:val="21"/>
          <w:szCs w:val="21"/>
        </w:rPr>
        <w:t>证书的颁发时间为准。</w:t>
      </w:r>
    </w:p>
    <w:p w14:paraId="43DC36C3">
      <w:pPr>
        <w:pStyle w:val="2"/>
        <w:spacing w:before="140" w:line="219" w:lineRule="auto"/>
        <w:ind w:left="764"/>
        <w:rPr>
          <w:sz w:val="21"/>
          <w:szCs w:val="21"/>
        </w:rPr>
      </w:pPr>
      <w:r>
        <w:rPr>
          <w:spacing w:val="-1"/>
          <w:sz w:val="21"/>
          <w:szCs w:val="21"/>
        </w:rPr>
        <w:t>3.</w:t>
      </w:r>
      <w:r>
        <w:rPr>
          <w:spacing w:val="-31"/>
          <w:sz w:val="21"/>
          <w:szCs w:val="21"/>
        </w:rPr>
        <w:t xml:space="preserve"> </w:t>
      </w:r>
      <w:r>
        <w:rPr>
          <w:spacing w:val="-1"/>
          <w:sz w:val="21"/>
          <w:szCs w:val="21"/>
        </w:rPr>
        <w:t>颁奖单位应当是国家机关或民政部门注册登记的合法颁奖单位。</w:t>
      </w:r>
    </w:p>
    <w:p w14:paraId="36EEB6BE">
      <w:pPr>
        <w:spacing w:line="219" w:lineRule="auto"/>
        <w:rPr>
          <w:sz w:val="21"/>
          <w:szCs w:val="21"/>
        </w:rPr>
        <w:sectPr>
          <w:footerReference r:id="rId393" w:type="default"/>
          <w:pgSz w:w="11910" w:h="16840"/>
          <w:pgMar w:top="400" w:right="1455" w:bottom="1147" w:left="1334" w:header="0" w:footer="1021" w:gutter="0"/>
          <w:cols w:space="720" w:num="1"/>
        </w:sectPr>
      </w:pPr>
    </w:p>
    <w:p w14:paraId="2EA31DB6">
      <w:pPr>
        <w:rPr>
          <w:rFonts w:ascii="Arial"/>
          <w:sz w:val="21"/>
        </w:rPr>
      </w:pPr>
    </w:p>
    <w:p w14:paraId="3B92FDC1">
      <w:pPr>
        <w:rPr>
          <w:rFonts w:ascii="Arial"/>
          <w:sz w:val="21"/>
        </w:rPr>
      </w:pPr>
    </w:p>
    <w:p w14:paraId="70662DD8">
      <w:pPr>
        <w:rPr>
          <w:rFonts w:ascii="Arial"/>
          <w:sz w:val="21"/>
        </w:rPr>
      </w:pPr>
    </w:p>
    <w:p w14:paraId="49C59463">
      <w:pPr>
        <w:spacing w:line="241" w:lineRule="auto"/>
        <w:rPr>
          <w:rFonts w:ascii="Arial"/>
          <w:sz w:val="21"/>
        </w:rPr>
      </w:pPr>
    </w:p>
    <w:p w14:paraId="6BE40CBC">
      <w:pPr>
        <w:spacing w:line="241" w:lineRule="auto"/>
        <w:rPr>
          <w:rFonts w:ascii="Arial"/>
          <w:sz w:val="21"/>
        </w:rPr>
      </w:pPr>
    </w:p>
    <w:p w14:paraId="4ADAEABF">
      <w:pPr>
        <w:spacing w:line="241" w:lineRule="auto"/>
        <w:rPr>
          <w:rFonts w:ascii="Arial"/>
          <w:sz w:val="21"/>
        </w:rPr>
      </w:pPr>
    </w:p>
    <w:p w14:paraId="1BF6EB36">
      <w:pPr>
        <w:spacing w:line="241" w:lineRule="auto"/>
        <w:rPr>
          <w:rFonts w:ascii="Arial"/>
          <w:sz w:val="21"/>
        </w:rPr>
      </w:pPr>
    </w:p>
    <w:p w14:paraId="02741C32">
      <w:pPr>
        <w:pStyle w:val="2"/>
        <w:spacing w:before="81" w:line="206" w:lineRule="auto"/>
        <w:ind w:left="2678"/>
      </w:pPr>
      <w:r>
        <w:rPr>
          <w:b/>
          <w:bCs/>
          <w:spacing w:val="-4"/>
        </w:rPr>
        <w:t>5-4近5年项目经理工程获奖情况表</w:t>
      </w:r>
    </w:p>
    <w:tbl>
      <w:tblPr>
        <w:tblStyle w:val="5"/>
        <w:tblW w:w="910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4"/>
        <w:gridCol w:w="2187"/>
        <w:gridCol w:w="1638"/>
        <w:gridCol w:w="1318"/>
        <w:gridCol w:w="1309"/>
        <w:gridCol w:w="1963"/>
      </w:tblGrid>
      <w:tr w14:paraId="39A6DA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4" w:hRule="atLeast"/>
        </w:trPr>
        <w:tc>
          <w:tcPr>
            <w:tcW w:w="694" w:type="dxa"/>
            <w:vAlign w:val="top"/>
          </w:tcPr>
          <w:p w14:paraId="716903A3">
            <w:pPr>
              <w:pStyle w:val="6"/>
              <w:spacing w:before="195" w:line="221" w:lineRule="auto"/>
              <w:ind w:left="135"/>
              <w:rPr>
                <w:sz w:val="22"/>
                <w:szCs w:val="22"/>
              </w:rPr>
            </w:pPr>
            <w:r>
              <w:rPr>
                <w:spacing w:val="6"/>
                <w:sz w:val="22"/>
                <w:szCs w:val="22"/>
              </w:rPr>
              <w:t>序号</w:t>
            </w:r>
          </w:p>
        </w:tc>
        <w:tc>
          <w:tcPr>
            <w:tcW w:w="2187" w:type="dxa"/>
            <w:vAlign w:val="top"/>
          </w:tcPr>
          <w:p w14:paraId="286604A2">
            <w:pPr>
              <w:pStyle w:val="6"/>
              <w:spacing w:before="194" w:line="220" w:lineRule="auto"/>
              <w:ind w:left="681"/>
              <w:rPr>
                <w:sz w:val="22"/>
                <w:szCs w:val="22"/>
              </w:rPr>
            </w:pPr>
            <w:r>
              <w:rPr>
                <w:spacing w:val="2"/>
                <w:sz w:val="22"/>
                <w:szCs w:val="22"/>
              </w:rPr>
              <w:t>项目名称</w:t>
            </w:r>
          </w:p>
        </w:tc>
        <w:tc>
          <w:tcPr>
            <w:tcW w:w="1638" w:type="dxa"/>
            <w:vAlign w:val="top"/>
          </w:tcPr>
          <w:p w14:paraId="4014544B">
            <w:pPr>
              <w:pStyle w:val="6"/>
              <w:spacing w:before="194" w:line="219" w:lineRule="auto"/>
              <w:ind w:left="424"/>
              <w:rPr>
                <w:sz w:val="22"/>
                <w:szCs w:val="22"/>
              </w:rPr>
            </w:pPr>
            <w:r>
              <w:rPr>
                <w:spacing w:val="2"/>
                <w:sz w:val="22"/>
                <w:szCs w:val="22"/>
              </w:rPr>
              <w:t>获奖名称</w:t>
            </w:r>
          </w:p>
        </w:tc>
        <w:tc>
          <w:tcPr>
            <w:tcW w:w="1318" w:type="dxa"/>
            <w:vAlign w:val="top"/>
          </w:tcPr>
          <w:p w14:paraId="2DE09C9C">
            <w:pPr>
              <w:pStyle w:val="6"/>
              <w:spacing w:before="194" w:line="219" w:lineRule="auto"/>
              <w:ind w:left="255"/>
              <w:rPr>
                <w:sz w:val="22"/>
                <w:szCs w:val="22"/>
              </w:rPr>
            </w:pPr>
            <w:r>
              <w:rPr>
                <w:spacing w:val="4"/>
                <w:sz w:val="22"/>
                <w:szCs w:val="22"/>
              </w:rPr>
              <w:t>获奖类别</w:t>
            </w:r>
          </w:p>
        </w:tc>
        <w:tc>
          <w:tcPr>
            <w:tcW w:w="1309" w:type="dxa"/>
            <w:vAlign w:val="top"/>
          </w:tcPr>
          <w:p w14:paraId="7A812386">
            <w:pPr>
              <w:pStyle w:val="6"/>
              <w:spacing w:before="194" w:line="219" w:lineRule="auto"/>
              <w:ind w:left="238"/>
              <w:rPr>
                <w:sz w:val="22"/>
                <w:szCs w:val="22"/>
              </w:rPr>
            </w:pPr>
            <w:r>
              <w:rPr>
                <w:spacing w:val="3"/>
                <w:sz w:val="22"/>
                <w:szCs w:val="22"/>
              </w:rPr>
              <w:t>获奖日期</w:t>
            </w:r>
          </w:p>
        </w:tc>
        <w:tc>
          <w:tcPr>
            <w:tcW w:w="1963" w:type="dxa"/>
            <w:vAlign w:val="top"/>
          </w:tcPr>
          <w:p w14:paraId="386B22C0">
            <w:pPr>
              <w:pStyle w:val="6"/>
              <w:spacing w:before="194" w:line="220" w:lineRule="auto"/>
              <w:ind w:left="569"/>
              <w:rPr>
                <w:sz w:val="22"/>
                <w:szCs w:val="22"/>
              </w:rPr>
            </w:pPr>
            <w:r>
              <w:rPr>
                <w:spacing w:val="-2"/>
                <w:sz w:val="22"/>
                <w:szCs w:val="22"/>
              </w:rPr>
              <w:t>颁奖单位</w:t>
            </w:r>
          </w:p>
        </w:tc>
      </w:tr>
      <w:tr w14:paraId="0A3473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9" w:hRule="atLeast"/>
        </w:trPr>
        <w:tc>
          <w:tcPr>
            <w:tcW w:w="694" w:type="dxa"/>
            <w:vAlign w:val="top"/>
          </w:tcPr>
          <w:p w14:paraId="6311241E">
            <w:pPr>
              <w:rPr>
                <w:rFonts w:ascii="Arial"/>
                <w:sz w:val="21"/>
              </w:rPr>
            </w:pPr>
          </w:p>
        </w:tc>
        <w:tc>
          <w:tcPr>
            <w:tcW w:w="2187" w:type="dxa"/>
            <w:vAlign w:val="top"/>
          </w:tcPr>
          <w:p w14:paraId="2D04A8A9">
            <w:pPr>
              <w:rPr>
                <w:rFonts w:ascii="Arial"/>
                <w:sz w:val="21"/>
              </w:rPr>
            </w:pPr>
          </w:p>
        </w:tc>
        <w:tc>
          <w:tcPr>
            <w:tcW w:w="1638" w:type="dxa"/>
            <w:vAlign w:val="top"/>
          </w:tcPr>
          <w:p w14:paraId="39EBD31A">
            <w:pPr>
              <w:rPr>
                <w:rFonts w:ascii="Arial"/>
                <w:sz w:val="21"/>
              </w:rPr>
            </w:pPr>
          </w:p>
        </w:tc>
        <w:tc>
          <w:tcPr>
            <w:tcW w:w="1318" w:type="dxa"/>
            <w:vAlign w:val="top"/>
          </w:tcPr>
          <w:p w14:paraId="10D5F58B">
            <w:pPr>
              <w:rPr>
                <w:rFonts w:ascii="Arial"/>
                <w:sz w:val="21"/>
              </w:rPr>
            </w:pPr>
          </w:p>
        </w:tc>
        <w:tc>
          <w:tcPr>
            <w:tcW w:w="1309" w:type="dxa"/>
            <w:vAlign w:val="top"/>
          </w:tcPr>
          <w:p w14:paraId="6207B064">
            <w:pPr>
              <w:rPr>
                <w:rFonts w:ascii="Arial"/>
                <w:sz w:val="21"/>
              </w:rPr>
            </w:pPr>
          </w:p>
        </w:tc>
        <w:tc>
          <w:tcPr>
            <w:tcW w:w="1963" w:type="dxa"/>
            <w:vAlign w:val="top"/>
          </w:tcPr>
          <w:p w14:paraId="0B85C6CF">
            <w:pPr>
              <w:rPr>
                <w:rFonts w:ascii="Arial"/>
                <w:sz w:val="21"/>
              </w:rPr>
            </w:pPr>
          </w:p>
        </w:tc>
      </w:tr>
      <w:tr w14:paraId="6BBBF7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0" w:hRule="atLeast"/>
        </w:trPr>
        <w:tc>
          <w:tcPr>
            <w:tcW w:w="694" w:type="dxa"/>
            <w:vAlign w:val="top"/>
          </w:tcPr>
          <w:p w14:paraId="3079E96E">
            <w:pPr>
              <w:rPr>
                <w:rFonts w:ascii="Arial"/>
                <w:sz w:val="21"/>
              </w:rPr>
            </w:pPr>
          </w:p>
        </w:tc>
        <w:tc>
          <w:tcPr>
            <w:tcW w:w="2187" w:type="dxa"/>
            <w:vAlign w:val="top"/>
          </w:tcPr>
          <w:p w14:paraId="213B4876">
            <w:pPr>
              <w:rPr>
                <w:rFonts w:ascii="Arial"/>
                <w:sz w:val="21"/>
              </w:rPr>
            </w:pPr>
          </w:p>
        </w:tc>
        <w:tc>
          <w:tcPr>
            <w:tcW w:w="1638" w:type="dxa"/>
            <w:vAlign w:val="top"/>
          </w:tcPr>
          <w:p w14:paraId="1775FA90">
            <w:pPr>
              <w:rPr>
                <w:rFonts w:ascii="Arial"/>
                <w:sz w:val="21"/>
              </w:rPr>
            </w:pPr>
          </w:p>
        </w:tc>
        <w:tc>
          <w:tcPr>
            <w:tcW w:w="1318" w:type="dxa"/>
            <w:vAlign w:val="top"/>
          </w:tcPr>
          <w:p w14:paraId="696B1782">
            <w:pPr>
              <w:rPr>
                <w:rFonts w:ascii="Arial"/>
                <w:sz w:val="21"/>
              </w:rPr>
            </w:pPr>
          </w:p>
        </w:tc>
        <w:tc>
          <w:tcPr>
            <w:tcW w:w="1309" w:type="dxa"/>
            <w:vAlign w:val="top"/>
          </w:tcPr>
          <w:p w14:paraId="337E0560">
            <w:pPr>
              <w:rPr>
                <w:rFonts w:ascii="Arial"/>
                <w:sz w:val="21"/>
              </w:rPr>
            </w:pPr>
          </w:p>
        </w:tc>
        <w:tc>
          <w:tcPr>
            <w:tcW w:w="1963" w:type="dxa"/>
            <w:vAlign w:val="top"/>
          </w:tcPr>
          <w:p w14:paraId="13AC9ABB">
            <w:pPr>
              <w:rPr>
                <w:rFonts w:ascii="Arial"/>
                <w:sz w:val="21"/>
              </w:rPr>
            </w:pPr>
          </w:p>
        </w:tc>
      </w:tr>
      <w:tr w14:paraId="09A237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9" w:hRule="atLeast"/>
        </w:trPr>
        <w:tc>
          <w:tcPr>
            <w:tcW w:w="694" w:type="dxa"/>
            <w:vAlign w:val="top"/>
          </w:tcPr>
          <w:p w14:paraId="0E291F62">
            <w:pPr>
              <w:rPr>
                <w:rFonts w:ascii="Arial"/>
                <w:sz w:val="21"/>
              </w:rPr>
            </w:pPr>
          </w:p>
        </w:tc>
        <w:tc>
          <w:tcPr>
            <w:tcW w:w="2187" w:type="dxa"/>
            <w:vAlign w:val="top"/>
          </w:tcPr>
          <w:p w14:paraId="3EDE1153">
            <w:pPr>
              <w:rPr>
                <w:rFonts w:ascii="Arial"/>
                <w:sz w:val="21"/>
              </w:rPr>
            </w:pPr>
          </w:p>
        </w:tc>
        <w:tc>
          <w:tcPr>
            <w:tcW w:w="1638" w:type="dxa"/>
            <w:vAlign w:val="top"/>
          </w:tcPr>
          <w:p w14:paraId="408CBC3F">
            <w:pPr>
              <w:rPr>
                <w:rFonts w:ascii="Arial"/>
                <w:sz w:val="21"/>
              </w:rPr>
            </w:pPr>
          </w:p>
        </w:tc>
        <w:tc>
          <w:tcPr>
            <w:tcW w:w="1318" w:type="dxa"/>
            <w:vAlign w:val="top"/>
          </w:tcPr>
          <w:p w14:paraId="72752CAB">
            <w:pPr>
              <w:rPr>
                <w:rFonts w:ascii="Arial"/>
                <w:sz w:val="21"/>
              </w:rPr>
            </w:pPr>
          </w:p>
        </w:tc>
        <w:tc>
          <w:tcPr>
            <w:tcW w:w="1309" w:type="dxa"/>
            <w:vAlign w:val="top"/>
          </w:tcPr>
          <w:p w14:paraId="596986C0">
            <w:pPr>
              <w:rPr>
                <w:rFonts w:ascii="Arial"/>
                <w:sz w:val="21"/>
              </w:rPr>
            </w:pPr>
          </w:p>
        </w:tc>
        <w:tc>
          <w:tcPr>
            <w:tcW w:w="1963" w:type="dxa"/>
            <w:vAlign w:val="top"/>
          </w:tcPr>
          <w:p w14:paraId="0D54F182">
            <w:pPr>
              <w:rPr>
                <w:rFonts w:ascii="Arial"/>
                <w:sz w:val="21"/>
              </w:rPr>
            </w:pPr>
          </w:p>
        </w:tc>
      </w:tr>
      <w:tr w14:paraId="784B08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694" w:type="dxa"/>
            <w:vAlign w:val="top"/>
          </w:tcPr>
          <w:p w14:paraId="4358E76C">
            <w:pPr>
              <w:rPr>
                <w:rFonts w:ascii="Arial"/>
                <w:sz w:val="21"/>
              </w:rPr>
            </w:pPr>
          </w:p>
        </w:tc>
        <w:tc>
          <w:tcPr>
            <w:tcW w:w="2187" w:type="dxa"/>
            <w:vAlign w:val="top"/>
          </w:tcPr>
          <w:p w14:paraId="5DB6FA17">
            <w:pPr>
              <w:rPr>
                <w:rFonts w:ascii="Arial"/>
                <w:sz w:val="21"/>
              </w:rPr>
            </w:pPr>
          </w:p>
        </w:tc>
        <w:tc>
          <w:tcPr>
            <w:tcW w:w="1638" w:type="dxa"/>
            <w:vAlign w:val="top"/>
          </w:tcPr>
          <w:p w14:paraId="0C937F5F">
            <w:pPr>
              <w:rPr>
                <w:rFonts w:ascii="Arial"/>
                <w:sz w:val="21"/>
              </w:rPr>
            </w:pPr>
          </w:p>
        </w:tc>
        <w:tc>
          <w:tcPr>
            <w:tcW w:w="1318" w:type="dxa"/>
            <w:vAlign w:val="top"/>
          </w:tcPr>
          <w:p w14:paraId="600CD82D">
            <w:pPr>
              <w:rPr>
                <w:rFonts w:ascii="Arial"/>
                <w:sz w:val="21"/>
              </w:rPr>
            </w:pPr>
          </w:p>
        </w:tc>
        <w:tc>
          <w:tcPr>
            <w:tcW w:w="1309" w:type="dxa"/>
            <w:vAlign w:val="top"/>
          </w:tcPr>
          <w:p w14:paraId="483FF074">
            <w:pPr>
              <w:rPr>
                <w:rFonts w:ascii="Arial"/>
                <w:sz w:val="21"/>
              </w:rPr>
            </w:pPr>
          </w:p>
        </w:tc>
        <w:tc>
          <w:tcPr>
            <w:tcW w:w="1963" w:type="dxa"/>
            <w:vAlign w:val="top"/>
          </w:tcPr>
          <w:p w14:paraId="1C008647">
            <w:pPr>
              <w:rPr>
                <w:rFonts w:ascii="Arial"/>
                <w:sz w:val="21"/>
              </w:rPr>
            </w:pPr>
          </w:p>
        </w:tc>
      </w:tr>
      <w:tr w14:paraId="3D3D48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trPr>
        <w:tc>
          <w:tcPr>
            <w:tcW w:w="694" w:type="dxa"/>
            <w:vAlign w:val="top"/>
          </w:tcPr>
          <w:p w14:paraId="0C6E6B15">
            <w:pPr>
              <w:rPr>
                <w:rFonts w:ascii="Arial"/>
                <w:sz w:val="21"/>
              </w:rPr>
            </w:pPr>
          </w:p>
        </w:tc>
        <w:tc>
          <w:tcPr>
            <w:tcW w:w="2187" w:type="dxa"/>
            <w:vAlign w:val="top"/>
          </w:tcPr>
          <w:p w14:paraId="5F0224F5">
            <w:pPr>
              <w:rPr>
                <w:rFonts w:ascii="Arial"/>
                <w:sz w:val="21"/>
              </w:rPr>
            </w:pPr>
          </w:p>
        </w:tc>
        <w:tc>
          <w:tcPr>
            <w:tcW w:w="1638" w:type="dxa"/>
            <w:vAlign w:val="top"/>
          </w:tcPr>
          <w:p w14:paraId="00B4CA45">
            <w:pPr>
              <w:rPr>
                <w:rFonts w:ascii="Arial"/>
                <w:sz w:val="21"/>
              </w:rPr>
            </w:pPr>
          </w:p>
        </w:tc>
        <w:tc>
          <w:tcPr>
            <w:tcW w:w="1318" w:type="dxa"/>
            <w:vAlign w:val="top"/>
          </w:tcPr>
          <w:p w14:paraId="7AAE81C3">
            <w:pPr>
              <w:rPr>
                <w:rFonts w:ascii="Arial"/>
                <w:sz w:val="21"/>
              </w:rPr>
            </w:pPr>
          </w:p>
        </w:tc>
        <w:tc>
          <w:tcPr>
            <w:tcW w:w="1309" w:type="dxa"/>
            <w:vAlign w:val="top"/>
          </w:tcPr>
          <w:p w14:paraId="32AF897F">
            <w:pPr>
              <w:rPr>
                <w:rFonts w:ascii="Arial"/>
                <w:sz w:val="21"/>
              </w:rPr>
            </w:pPr>
          </w:p>
        </w:tc>
        <w:tc>
          <w:tcPr>
            <w:tcW w:w="1963" w:type="dxa"/>
            <w:vAlign w:val="top"/>
          </w:tcPr>
          <w:p w14:paraId="48F8A069">
            <w:pPr>
              <w:rPr>
                <w:rFonts w:ascii="Arial"/>
                <w:sz w:val="21"/>
              </w:rPr>
            </w:pPr>
          </w:p>
        </w:tc>
      </w:tr>
      <w:tr w14:paraId="6E75B0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9" w:hRule="atLeast"/>
        </w:trPr>
        <w:tc>
          <w:tcPr>
            <w:tcW w:w="694" w:type="dxa"/>
            <w:vAlign w:val="top"/>
          </w:tcPr>
          <w:p w14:paraId="13947DED">
            <w:pPr>
              <w:rPr>
                <w:rFonts w:ascii="Arial"/>
                <w:sz w:val="21"/>
              </w:rPr>
            </w:pPr>
          </w:p>
        </w:tc>
        <w:tc>
          <w:tcPr>
            <w:tcW w:w="2187" w:type="dxa"/>
            <w:vAlign w:val="top"/>
          </w:tcPr>
          <w:p w14:paraId="6FA40A96">
            <w:pPr>
              <w:rPr>
                <w:rFonts w:ascii="Arial"/>
                <w:sz w:val="21"/>
              </w:rPr>
            </w:pPr>
          </w:p>
        </w:tc>
        <w:tc>
          <w:tcPr>
            <w:tcW w:w="1638" w:type="dxa"/>
            <w:vAlign w:val="top"/>
          </w:tcPr>
          <w:p w14:paraId="00148893">
            <w:pPr>
              <w:rPr>
                <w:rFonts w:ascii="Arial"/>
                <w:sz w:val="21"/>
              </w:rPr>
            </w:pPr>
          </w:p>
        </w:tc>
        <w:tc>
          <w:tcPr>
            <w:tcW w:w="1318" w:type="dxa"/>
            <w:vAlign w:val="top"/>
          </w:tcPr>
          <w:p w14:paraId="1B229786">
            <w:pPr>
              <w:rPr>
                <w:rFonts w:ascii="Arial"/>
                <w:sz w:val="21"/>
              </w:rPr>
            </w:pPr>
          </w:p>
        </w:tc>
        <w:tc>
          <w:tcPr>
            <w:tcW w:w="1309" w:type="dxa"/>
            <w:vAlign w:val="top"/>
          </w:tcPr>
          <w:p w14:paraId="19967A78">
            <w:pPr>
              <w:rPr>
                <w:rFonts w:ascii="Arial"/>
                <w:sz w:val="21"/>
              </w:rPr>
            </w:pPr>
          </w:p>
        </w:tc>
        <w:tc>
          <w:tcPr>
            <w:tcW w:w="1963" w:type="dxa"/>
            <w:vAlign w:val="top"/>
          </w:tcPr>
          <w:p w14:paraId="6E09C572">
            <w:pPr>
              <w:rPr>
                <w:rFonts w:ascii="Arial"/>
                <w:sz w:val="21"/>
              </w:rPr>
            </w:pPr>
          </w:p>
        </w:tc>
      </w:tr>
      <w:tr w14:paraId="50671F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0" w:hRule="atLeast"/>
        </w:trPr>
        <w:tc>
          <w:tcPr>
            <w:tcW w:w="694" w:type="dxa"/>
            <w:vAlign w:val="top"/>
          </w:tcPr>
          <w:p w14:paraId="548CF358">
            <w:pPr>
              <w:rPr>
                <w:rFonts w:ascii="Arial"/>
                <w:sz w:val="21"/>
              </w:rPr>
            </w:pPr>
          </w:p>
        </w:tc>
        <w:tc>
          <w:tcPr>
            <w:tcW w:w="2187" w:type="dxa"/>
            <w:vAlign w:val="top"/>
          </w:tcPr>
          <w:p w14:paraId="0C5C3EF0">
            <w:pPr>
              <w:rPr>
                <w:rFonts w:ascii="Arial"/>
                <w:sz w:val="21"/>
              </w:rPr>
            </w:pPr>
          </w:p>
        </w:tc>
        <w:tc>
          <w:tcPr>
            <w:tcW w:w="1638" w:type="dxa"/>
            <w:vAlign w:val="top"/>
          </w:tcPr>
          <w:p w14:paraId="0FD9A0AF">
            <w:pPr>
              <w:rPr>
                <w:rFonts w:ascii="Arial"/>
                <w:sz w:val="21"/>
              </w:rPr>
            </w:pPr>
          </w:p>
        </w:tc>
        <w:tc>
          <w:tcPr>
            <w:tcW w:w="1318" w:type="dxa"/>
            <w:vAlign w:val="top"/>
          </w:tcPr>
          <w:p w14:paraId="38FC5690">
            <w:pPr>
              <w:rPr>
                <w:rFonts w:ascii="Arial"/>
                <w:sz w:val="21"/>
              </w:rPr>
            </w:pPr>
          </w:p>
        </w:tc>
        <w:tc>
          <w:tcPr>
            <w:tcW w:w="1309" w:type="dxa"/>
            <w:vAlign w:val="top"/>
          </w:tcPr>
          <w:p w14:paraId="5481A7DF">
            <w:pPr>
              <w:rPr>
                <w:rFonts w:ascii="Arial"/>
                <w:sz w:val="21"/>
              </w:rPr>
            </w:pPr>
          </w:p>
        </w:tc>
        <w:tc>
          <w:tcPr>
            <w:tcW w:w="1963" w:type="dxa"/>
            <w:vAlign w:val="top"/>
          </w:tcPr>
          <w:p w14:paraId="3DE32195">
            <w:pPr>
              <w:rPr>
                <w:rFonts w:ascii="Arial"/>
                <w:sz w:val="21"/>
              </w:rPr>
            </w:pPr>
          </w:p>
        </w:tc>
      </w:tr>
      <w:tr w14:paraId="391E01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9" w:hRule="atLeast"/>
        </w:trPr>
        <w:tc>
          <w:tcPr>
            <w:tcW w:w="694" w:type="dxa"/>
            <w:vAlign w:val="top"/>
          </w:tcPr>
          <w:p w14:paraId="7D816831">
            <w:pPr>
              <w:rPr>
                <w:rFonts w:ascii="Arial"/>
                <w:sz w:val="21"/>
              </w:rPr>
            </w:pPr>
          </w:p>
        </w:tc>
        <w:tc>
          <w:tcPr>
            <w:tcW w:w="2187" w:type="dxa"/>
            <w:vAlign w:val="top"/>
          </w:tcPr>
          <w:p w14:paraId="07315832">
            <w:pPr>
              <w:rPr>
                <w:rFonts w:ascii="Arial"/>
                <w:sz w:val="21"/>
              </w:rPr>
            </w:pPr>
          </w:p>
        </w:tc>
        <w:tc>
          <w:tcPr>
            <w:tcW w:w="1638" w:type="dxa"/>
            <w:vAlign w:val="top"/>
          </w:tcPr>
          <w:p w14:paraId="20F6FC3E">
            <w:pPr>
              <w:rPr>
                <w:rFonts w:ascii="Arial"/>
                <w:sz w:val="21"/>
              </w:rPr>
            </w:pPr>
          </w:p>
        </w:tc>
        <w:tc>
          <w:tcPr>
            <w:tcW w:w="1318" w:type="dxa"/>
            <w:vAlign w:val="top"/>
          </w:tcPr>
          <w:p w14:paraId="71B48692">
            <w:pPr>
              <w:rPr>
                <w:rFonts w:ascii="Arial"/>
                <w:sz w:val="21"/>
              </w:rPr>
            </w:pPr>
          </w:p>
        </w:tc>
        <w:tc>
          <w:tcPr>
            <w:tcW w:w="1309" w:type="dxa"/>
            <w:vAlign w:val="top"/>
          </w:tcPr>
          <w:p w14:paraId="587E25F0">
            <w:pPr>
              <w:rPr>
                <w:rFonts w:ascii="Arial"/>
                <w:sz w:val="21"/>
              </w:rPr>
            </w:pPr>
          </w:p>
        </w:tc>
        <w:tc>
          <w:tcPr>
            <w:tcW w:w="1963" w:type="dxa"/>
            <w:vAlign w:val="top"/>
          </w:tcPr>
          <w:p w14:paraId="11775A79">
            <w:pPr>
              <w:rPr>
                <w:rFonts w:ascii="Arial"/>
                <w:sz w:val="21"/>
              </w:rPr>
            </w:pPr>
          </w:p>
        </w:tc>
      </w:tr>
      <w:tr w14:paraId="79AA98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9" w:hRule="atLeast"/>
        </w:trPr>
        <w:tc>
          <w:tcPr>
            <w:tcW w:w="694" w:type="dxa"/>
            <w:vAlign w:val="top"/>
          </w:tcPr>
          <w:p w14:paraId="7A1E9598">
            <w:pPr>
              <w:rPr>
                <w:rFonts w:ascii="Arial"/>
                <w:sz w:val="21"/>
              </w:rPr>
            </w:pPr>
          </w:p>
        </w:tc>
        <w:tc>
          <w:tcPr>
            <w:tcW w:w="2187" w:type="dxa"/>
            <w:vAlign w:val="top"/>
          </w:tcPr>
          <w:p w14:paraId="30DC9B5B">
            <w:pPr>
              <w:rPr>
                <w:rFonts w:ascii="Arial"/>
                <w:sz w:val="21"/>
              </w:rPr>
            </w:pPr>
          </w:p>
        </w:tc>
        <w:tc>
          <w:tcPr>
            <w:tcW w:w="1638" w:type="dxa"/>
            <w:vAlign w:val="top"/>
          </w:tcPr>
          <w:p w14:paraId="321A2CCA">
            <w:pPr>
              <w:rPr>
                <w:rFonts w:ascii="Arial"/>
                <w:sz w:val="21"/>
              </w:rPr>
            </w:pPr>
          </w:p>
        </w:tc>
        <w:tc>
          <w:tcPr>
            <w:tcW w:w="1318" w:type="dxa"/>
            <w:vAlign w:val="top"/>
          </w:tcPr>
          <w:p w14:paraId="46BF6D79">
            <w:pPr>
              <w:rPr>
                <w:rFonts w:ascii="Arial"/>
                <w:sz w:val="21"/>
              </w:rPr>
            </w:pPr>
          </w:p>
        </w:tc>
        <w:tc>
          <w:tcPr>
            <w:tcW w:w="1309" w:type="dxa"/>
            <w:vAlign w:val="top"/>
          </w:tcPr>
          <w:p w14:paraId="297A0C7E">
            <w:pPr>
              <w:rPr>
                <w:rFonts w:ascii="Arial"/>
                <w:sz w:val="21"/>
              </w:rPr>
            </w:pPr>
          </w:p>
        </w:tc>
        <w:tc>
          <w:tcPr>
            <w:tcW w:w="1963" w:type="dxa"/>
            <w:vAlign w:val="top"/>
          </w:tcPr>
          <w:p w14:paraId="494ECF63">
            <w:pPr>
              <w:rPr>
                <w:rFonts w:ascii="Arial"/>
                <w:sz w:val="21"/>
              </w:rPr>
            </w:pPr>
          </w:p>
        </w:tc>
      </w:tr>
      <w:tr w14:paraId="6D9CD8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0" w:hRule="atLeast"/>
        </w:trPr>
        <w:tc>
          <w:tcPr>
            <w:tcW w:w="694" w:type="dxa"/>
            <w:vAlign w:val="top"/>
          </w:tcPr>
          <w:p w14:paraId="6EA52804">
            <w:pPr>
              <w:rPr>
                <w:rFonts w:ascii="Arial"/>
                <w:sz w:val="21"/>
              </w:rPr>
            </w:pPr>
          </w:p>
        </w:tc>
        <w:tc>
          <w:tcPr>
            <w:tcW w:w="2187" w:type="dxa"/>
            <w:vAlign w:val="top"/>
          </w:tcPr>
          <w:p w14:paraId="1545999D">
            <w:pPr>
              <w:rPr>
                <w:rFonts w:ascii="Arial"/>
                <w:sz w:val="21"/>
              </w:rPr>
            </w:pPr>
          </w:p>
        </w:tc>
        <w:tc>
          <w:tcPr>
            <w:tcW w:w="1638" w:type="dxa"/>
            <w:vAlign w:val="top"/>
          </w:tcPr>
          <w:p w14:paraId="5F9F95D6">
            <w:pPr>
              <w:rPr>
                <w:rFonts w:ascii="Arial"/>
                <w:sz w:val="21"/>
              </w:rPr>
            </w:pPr>
          </w:p>
        </w:tc>
        <w:tc>
          <w:tcPr>
            <w:tcW w:w="1318" w:type="dxa"/>
            <w:vAlign w:val="top"/>
          </w:tcPr>
          <w:p w14:paraId="0E563242">
            <w:pPr>
              <w:rPr>
                <w:rFonts w:ascii="Arial"/>
                <w:sz w:val="21"/>
              </w:rPr>
            </w:pPr>
          </w:p>
        </w:tc>
        <w:tc>
          <w:tcPr>
            <w:tcW w:w="1309" w:type="dxa"/>
            <w:vAlign w:val="top"/>
          </w:tcPr>
          <w:p w14:paraId="21953089">
            <w:pPr>
              <w:rPr>
                <w:rFonts w:ascii="Arial"/>
                <w:sz w:val="21"/>
              </w:rPr>
            </w:pPr>
          </w:p>
        </w:tc>
        <w:tc>
          <w:tcPr>
            <w:tcW w:w="1963" w:type="dxa"/>
            <w:vAlign w:val="top"/>
          </w:tcPr>
          <w:p w14:paraId="70B0668A">
            <w:pPr>
              <w:rPr>
                <w:rFonts w:ascii="Arial"/>
                <w:sz w:val="21"/>
              </w:rPr>
            </w:pPr>
          </w:p>
        </w:tc>
      </w:tr>
      <w:tr w14:paraId="09AD69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9" w:hRule="atLeast"/>
        </w:trPr>
        <w:tc>
          <w:tcPr>
            <w:tcW w:w="694" w:type="dxa"/>
            <w:vAlign w:val="top"/>
          </w:tcPr>
          <w:p w14:paraId="5B282268">
            <w:pPr>
              <w:rPr>
                <w:rFonts w:ascii="Arial"/>
                <w:sz w:val="21"/>
              </w:rPr>
            </w:pPr>
          </w:p>
        </w:tc>
        <w:tc>
          <w:tcPr>
            <w:tcW w:w="2187" w:type="dxa"/>
            <w:vAlign w:val="top"/>
          </w:tcPr>
          <w:p w14:paraId="30241AC5">
            <w:pPr>
              <w:rPr>
                <w:rFonts w:ascii="Arial"/>
                <w:sz w:val="21"/>
              </w:rPr>
            </w:pPr>
          </w:p>
        </w:tc>
        <w:tc>
          <w:tcPr>
            <w:tcW w:w="1638" w:type="dxa"/>
            <w:vAlign w:val="top"/>
          </w:tcPr>
          <w:p w14:paraId="13BE3B67">
            <w:pPr>
              <w:rPr>
                <w:rFonts w:ascii="Arial"/>
                <w:sz w:val="21"/>
              </w:rPr>
            </w:pPr>
          </w:p>
        </w:tc>
        <w:tc>
          <w:tcPr>
            <w:tcW w:w="1318" w:type="dxa"/>
            <w:vAlign w:val="top"/>
          </w:tcPr>
          <w:p w14:paraId="12E0F9C9">
            <w:pPr>
              <w:rPr>
                <w:rFonts w:ascii="Arial"/>
                <w:sz w:val="21"/>
              </w:rPr>
            </w:pPr>
          </w:p>
        </w:tc>
        <w:tc>
          <w:tcPr>
            <w:tcW w:w="1309" w:type="dxa"/>
            <w:vAlign w:val="top"/>
          </w:tcPr>
          <w:p w14:paraId="086221D7">
            <w:pPr>
              <w:rPr>
                <w:rFonts w:ascii="Arial"/>
                <w:sz w:val="21"/>
              </w:rPr>
            </w:pPr>
          </w:p>
        </w:tc>
        <w:tc>
          <w:tcPr>
            <w:tcW w:w="1963" w:type="dxa"/>
            <w:vAlign w:val="top"/>
          </w:tcPr>
          <w:p w14:paraId="13B486D9">
            <w:pPr>
              <w:rPr>
                <w:rFonts w:ascii="Arial"/>
                <w:sz w:val="21"/>
              </w:rPr>
            </w:pPr>
          </w:p>
        </w:tc>
      </w:tr>
      <w:tr w14:paraId="5DBD79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0" w:hRule="atLeast"/>
        </w:trPr>
        <w:tc>
          <w:tcPr>
            <w:tcW w:w="694" w:type="dxa"/>
            <w:vAlign w:val="top"/>
          </w:tcPr>
          <w:p w14:paraId="2C00F308">
            <w:pPr>
              <w:rPr>
                <w:rFonts w:ascii="Arial"/>
                <w:sz w:val="21"/>
              </w:rPr>
            </w:pPr>
          </w:p>
        </w:tc>
        <w:tc>
          <w:tcPr>
            <w:tcW w:w="2187" w:type="dxa"/>
            <w:vAlign w:val="top"/>
          </w:tcPr>
          <w:p w14:paraId="6365153C">
            <w:pPr>
              <w:rPr>
                <w:rFonts w:ascii="Arial"/>
                <w:sz w:val="21"/>
              </w:rPr>
            </w:pPr>
          </w:p>
        </w:tc>
        <w:tc>
          <w:tcPr>
            <w:tcW w:w="1638" w:type="dxa"/>
            <w:vAlign w:val="top"/>
          </w:tcPr>
          <w:p w14:paraId="562EEEA9">
            <w:pPr>
              <w:rPr>
                <w:rFonts w:ascii="Arial"/>
                <w:sz w:val="21"/>
              </w:rPr>
            </w:pPr>
          </w:p>
        </w:tc>
        <w:tc>
          <w:tcPr>
            <w:tcW w:w="1318" w:type="dxa"/>
            <w:vAlign w:val="top"/>
          </w:tcPr>
          <w:p w14:paraId="16BC78E3">
            <w:pPr>
              <w:rPr>
                <w:rFonts w:ascii="Arial"/>
                <w:sz w:val="21"/>
              </w:rPr>
            </w:pPr>
          </w:p>
        </w:tc>
        <w:tc>
          <w:tcPr>
            <w:tcW w:w="1309" w:type="dxa"/>
            <w:vAlign w:val="top"/>
          </w:tcPr>
          <w:p w14:paraId="42EC7319">
            <w:pPr>
              <w:rPr>
                <w:rFonts w:ascii="Arial"/>
                <w:sz w:val="21"/>
              </w:rPr>
            </w:pPr>
          </w:p>
        </w:tc>
        <w:tc>
          <w:tcPr>
            <w:tcW w:w="1963" w:type="dxa"/>
            <w:vAlign w:val="top"/>
          </w:tcPr>
          <w:p w14:paraId="284726B6">
            <w:pPr>
              <w:rPr>
                <w:rFonts w:ascii="Arial"/>
                <w:sz w:val="21"/>
              </w:rPr>
            </w:pPr>
          </w:p>
        </w:tc>
      </w:tr>
      <w:tr w14:paraId="3368F8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4" w:hRule="atLeast"/>
        </w:trPr>
        <w:tc>
          <w:tcPr>
            <w:tcW w:w="694" w:type="dxa"/>
            <w:vAlign w:val="top"/>
          </w:tcPr>
          <w:p w14:paraId="4C122B2D">
            <w:pPr>
              <w:rPr>
                <w:rFonts w:ascii="Arial"/>
                <w:sz w:val="21"/>
              </w:rPr>
            </w:pPr>
          </w:p>
        </w:tc>
        <w:tc>
          <w:tcPr>
            <w:tcW w:w="2187" w:type="dxa"/>
            <w:vAlign w:val="top"/>
          </w:tcPr>
          <w:p w14:paraId="2CCB3B29">
            <w:pPr>
              <w:rPr>
                <w:rFonts w:ascii="Arial"/>
                <w:sz w:val="21"/>
              </w:rPr>
            </w:pPr>
          </w:p>
        </w:tc>
        <w:tc>
          <w:tcPr>
            <w:tcW w:w="1638" w:type="dxa"/>
            <w:vAlign w:val="top"/>
          </w:tcPr>
          <w:p w14:paraId="7B9ED8B4">
            <w:pPr>
              <w:rPr>
                <w:rFonts w:ascii="Arial"/>
                <w:sz w:val="21"/>
              </w:rPr>
            </w:pPr>
          </w:p>
        </w:tc>
        <w:tc>
          <w:tcPr>
            <w:tcW w:w="1318" w:type="dxa"/>
            <w:vAlign w:val="top"/>
          </w:tcPr>
          <w:p w14:paraId="78182719">
            <w:pPr>
              <w:rPr>
                <w:rFonts w:ascii="Arial"/>
                <w:sz w:val="21"/>
              </w:rPr>
            </w:pPr>
          </w:p>
        </w:tc>
        <w:tc>
          <w:tcPr>
            <w:tcW w:w="1309" w:type="dxa"/>
            <w:vAlign w:val="top"/>
          </w:tcPr>
          <w:p w14:paraId="1B5A2ACA">
            <w:pPr>
              <w:rPr>
                <w:rFonts w:ascii="Arial"/>
                <w:sz w:val="21"/>
              </w:rPr>
            </w:pPr>
          </w:p>
        </w:tc>
        <w:tc>
          <w:tcPr>
            <w:tcW w:w="1963" w:type="dxa"/>
            <w:vAlign w:val="top"/>
          </w:tcPr>
          <w:p w14:paraId="7AFBA8D0">
            <w:pPr>
              <w:rPr>
                <w:rFonts w:ascii="Arial"/>
                <w:sz w:val="21"/>
              </w:rPr>
            </w:pPr>
          </w:p>
        </w:tc>
      </w:tr>
    </w:tbl>
    <w:p w14:paraId="27579DDB">
      <w:pPr>
        <w:spacing w:line="432" w:lineRule="auto"/>
        <w:rPr>
          <w:rFonts w:ascii="Arial"/>
          <w:sz w:val="21"/>
        </w:rPr>
      </w:pPr>
    </w:p>
    <w:p w14:paraId="0F54D74A">
      <w:pPr>
        <w:pStyle w:val="2"/>
        <w:spacing w:before="68" w:line="347" w:lineRule="auto"/>
        <w:ind w:left="965" w:right="42" w:hanging="830"/>
        <w:rPr>
          <w:sz w:val="21"/>
          <w:szCs w:val="21"/>
        </w:rPr>
      </w:pPr>
      <w:r>
        <w:rPr>
          <w:spacing w:val="20"/>
          <w:sz w:val="21"/>
          <w:szCs w:val="21"/>
        </w:rPr>
        <w:t>备注：1.近5年是指从投标截止日往前推算</w:t>
      </w:r>
      <w:r>
        <w:rPr>
          <w:spacing w:val="19"/>
          <w:sz w:val="21"/>
          <w:szCs w:val="21"/>
        </w:rPr>
        <w:t>的5年，如投标截止日为2014年3月5日，则近5</w:t>
      </w:r>
      <w:r>
        <w:rPr>
          <w:sz w:val="21"/>
          <w:szCs w:val="21"/>
        </w:rPr>
        <w:t xml:space="preserve"> </w:t>
      </w:r>
      <w:r>
        <w:rPr>
          <w:spacing w:val="29"/>
          <w:sz w:val="21"/>
          <w:szCs w:val="21"/>
        </w:rPr>
        <w:t>年是指2009年3月5日至2014年3</w:t>
      </w:r>
      <w:r>
        <w:rPr>
          <w:spacing w:val="28"/>
          <w:sz w:val="21"/>
          <w:szCs w:val="21"/>
        </w:rPr>
        <w:t>月4日。</w:t>
      </w:r>
    </w:p>
    <w:p w14:paraId="4518575B">
      <w:pPr>
        <w:pStyle w:val="2"/>
        <w:spacing w:before="1" w:line="318" w:lineRule="auto"/>
        <w:ind w:left="964" w:right="67" w:hanging="200"/>
        <w:rPr>
          <w:sz w:val="21"/>
          <w:szCs w:val="21"/>
        </w:rPr>
      </w:pPr>
      <w:r>
        <w:rPr>
          <w:spacing w:val="2"/>
          <w:sz w:val="21"/>
          <w:szCs w:val="21"/>
        </w:rPr>
        <w:t>2.本表后应附中标通知书(如有)、合同协议书、施工许可证(如有)、工程接收证书或工程</w:t>
      </w:r>
      <w:r>
        <w:rPr>
          <w:spacing w:val="12"/>
          <w:sz w:val="21"/>
          <w:szCs w:val="21"/>
        </w:rPr>
        <w:t xml:space="preserve"> </w:t>
      </w:r>
      <w:r>
        <w:rPr>
          <w:spacing w:val="3"/>
          <w:sz w:val="21"/>
          <w:szCs w:val="21"/>
        </w:rPr>
        <w:t>竣工验收证书(工程竣工验收备案证)、表彰文件、获奖</w:t>
      </w:r>
      <w:r>
        <w:rPr>
          <w:spacing w:val="2"/>
          <w:sz w:val="21"/>
          <w:szCs w:val="21"/>
        </w:rPr>
        <w:t>证书及其他证明材料等扫描件。</w:t>
      </w:r>
      <w:r>
        <w:rPr>
          <w:sz w:val="21"/>
          <w:szCs w:val="21"/>
        </w:rPr>
        <w:t xml:space="preserve"> </w:t>
      </w:r>
      <w:r>
        <w:rPr>
          <w:spacing w:val="2"/>
          <w:sz w:val="21"/>
          <w:szCs w:val="21"/>
        </w:rPr>
        <w:t>招标发包的工程应附中标通知书，工程总承包发包、施工总承包发包、独立发包的施工</w:t>
      </w:r>
      <w:r>
        <w:rPr>
          <w:spacing w:val="14"/>
          <w:sz w:val="21"/>
          <w:szCs w:val="21"/>
        </w:rPr>
        <w:t xml:space="preserve"> </w:t>
      </w:r>
      <w:r>
        <w:rPr>
          <w:spacing w:val="-1"/>
          <w:sz w:val="21"/>
          <w:szCs w:val="21"/>
        </w:rPr>
        <w:t>专业承包应附施工许可证。以表彰文件、获奖</w:t>
      </w:r>
      <w:r>
        <w:rPr>
          <w:spacing w:val="-2"/>
          <w:sz w:val="21"/>
          <w:szCs w:val="21"/>
        </w:rPr>
        <w:t>证书的颁发时间为准。</w:t>
      </w:r>
    </w:p>
    <w:p w14:paraId="771C36DF">
      <w:pPr>
        <w:pStyle w:val="2"/>
        <w:spacing w:before="181" w:line="219" w:lineRule="auto"/>
        <w:ind w:left="764"/>
        <w:rPr>
          <w:sz w:val="21"/>
          <w:szCs w:val="21"/>
        </w:rPr>
      </w:pPr>
      <w:r>
        <w:rPr>
          <w:spacing w:val="-1"/>
          <w:sz w:val="21"/>
          <w:szCs w:val="21"/>
        </w:rPr>
        <w:t>3.</w:t>
      </w:r>
      <w:r>
        <w:rPr>
          <w:spacing w:val="-31"/>
          <w:sz w:val="21"/>
          <w:szCs w:val="21"/>
        </w:rPr>
        <w:t xml:space="preserve"> </w:t>
      </w:r>
      <w:r>
        <w:rPr>
          <w:spacing w:val="-1"/>
          <w:sz w:val="21"/>
          <w:szCs w:val="21"/>
        </w:rPr>
        <w:t>颁奖单位应当是国家机关或民政部门注册登记的合法颁奖单位。</w:t>
      </w:r>
    </w:p>
    <w:p w14:paraId="54E2B24F">
      <w:pPr>
        <w:spacing w:line="219" w:lineRule="auto"/>
        <w:rPr>
          <w:sz w:val="21"/>
          <w:szCs w:val="21"/>
        </w:rPr>
        <w:sectPr>
          <w:footerReference r:id="rId394" w:type="default"/>
          <w:pgSz w:w="11910" w:h="16840"/>
          <w:pgMar w:top="400" w:right="1455" w:bottom="1147" w:left="1334" w:header="0" w:footer="1021" w:gutter="0"/>
          <w:cols w:space="720" w:num="1"/>
        </w:sectPr>
      </w:pPr>
    </w:p>
    <w:p w14:paraId="5CA91529">
      <w:pPr>
        <w:rPr>
          <w:rFonts w:ascii="Arial"/>
          <w:sz w:val="21"/>
        </w:rPr>
      </w:pPr>
    </w:p>
    <w:p w14:paraId="44179C2C">
      <w:pPr>
        <w:rPr>
          <w:rFonts w:ascii="Arial"/>
          <w:sz w:val="21"/>
        </w:rPr>
      </w:pPr>
    </w:p>
    <w:p w14:paraId="14D6AFB1">
      <w:pPr>
        <w:rPr>
          <w:rFonts w:ascii="Arial"/>
          <w:sz w:val="21"/>
        </w:rPr>
      </w:pPr>
    </w:p>
    <w:p w14:paraId="03454483">
      <w:pPr>
        <w:spacing w:line="241" w:lineRule="auto"/>
        <w:rPr>
          <w:rFonts w:ascii="Arial"/>
          <w:sz w:val="21"/>
        </w:rPr>
      </w:pPr>
    </w:p>
    <w:p w14:paraId="42ED1CA2">
      <w:pPr>
        <w:spacing w:line="241" w:lineRule="auto"/>
        <w:rPr>
          <w:rFonts w:ascii="Arial"/>
          <w:sz w:val="21"/>
        </w:rPr>
      </w:pPr>
    </w:p>
    <w:p w14:paraId="72356452">
      <w:pPr>
        <w:spacing w:line="241" w:lineRule="auto"/>
        <w:rPr>
          <w:rFonts w:ascii="Arial"/>
          <w:sz w:val="21"/>
        </w:rPr>
      </w:pPr>
    </w:p>
    <w:p w14:paraId="4AACC743">
      <w:pPr>
        <w:spacing w:line="241" w:lineRule="auto"/>
        <w:rPr>
          <w:rFonts w:ascii="Arial"/>
          <w:sz w:val="21"/>
        </w:rPr>
      </w:pPr>
    </w:p>
    <w:p w14:paraId="552F0ACA">
      <w:pPr>
        <w:pStyle w:val="2"/>
        <w:spacing w:before="81" w:line="206" w:lineRule="auto"/>
        <w:ind w:left="2798"/>
      </w:pPr>
      <w:r>
        <w:rPr>
          <w:b/>
          <w:bCs/>
          <w:spacing w:val="-4"/>
        </w:rPr>
        <w:t>5-5近5年项目经理获表彰情况表</w:t>
      </w:r>
    </w:p>
    <w:tbl>
      <w:tblPr>
        <w:tblStyle w:val="5"/>
        <w:tblW w:w="910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4"/>
        <w:gridCol w:w="3056"/>
        <w:gridCol w:w="1588"/>
        <w:gridCol w:w="1588"/>
        <w:gridCol w:w="2193"/>
      </w:tblGrid>
      <w:tr w14:paraId="4472DC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4" w:hRule="atLeast"/>
        </w:trPr>
        <w:tc>
          <w:tcPr>
            <w:tcW w:w="684" w:type="dxa"/>
            <w:vAlign w:val="top"/>
          </w:tcPr>
          <w:p w14:paraId="3653B490">
            <w:pPr>
              <w:pStyle w:val="6"/>
              <w:spacing w:before="195" w:line="221" w:lineRule="auto"/>
              <w:ind w:left="115"/>
              <w:rPr>
                <w:sz w:val="22"/>
                <w:szCs w:val="22"/>
              </w:rPr>
            </w:pPr>
            <w:r>
              <w:rPr>
                <w:spacing w:val="6"/>
                <w:sz w:val="22"/>
                <w:szCs w:val="22"/>
              </w:rPr>
              <w:t>序号</w:t>
            </w:r>
          </w:p>
        </w:tc>
        <w:tc>
          <w:tcPr>
            <w:tcW w:w="3056" w:type="dxa"/>
            <w:vAlign w:val="top"/>
          </w:tcPr>
          <w:p w14:paraId="29B35646">
            <w:pPr>
              <w:pStyle w:val="6"/>
              <w:spacing w:before="194" w:line="219" w:lineRule="auto"/>
              <w:ind w:left="1120"/>
              <w:rPr>
                <w:sz w:val="22"/>
                <w:szCs w:val="22"/>
              </w:rPr>
            </w:pPr>
            <w:r>
              <w:rPr>
                <w:spacing w:val="2"/>
                <w:sz w:val="22"/>
                <w:szCs w:val="22"/>
              </w:rPr>
              <w:t>获奖名称</w:t>
            </w:r>
          </w:p>
        </w:tc>
        <w:tc>
          <w:tcPr>
            <w:tcW w:w="1588" w:type="dxa"/>
            <w:vAlign w:val="top"/>
          </w:tcPr>
          <w:p w14:paraId="29489D33">
            <w:pPr>
              <w:pStyle w:val="6"/>
              <w:spacing w:before="194" w:line="219" w:lineRule="auto"/>
              <w:ind w:left="385"/>
              <w:rPr>
                <w:sz w:val="22"/>
                <w:szCs w:val="22"/>
              </w:rPr>
            </w:pPr>
            <w:r>
              <w:rPr>
                <w:spacing w:val="4"/>
                <w:sz w:val="22"/>
                <w:szCs w:val="22"/>
              </w:rPr>
              <w:t>获奖类别</w:t>
            </w:r>
          </w:p>
        </w:tc>
        <w:tc>
          <w:tcPr>
            <w:tcW w:w="1588" w:type="dxa"/>
            <w:vAlign w:val="top"/>
          </w:tcPr>
          <w:p w14:paraId="666A3A4D">
            <w:pPr>
              <w:pStyle w:val="6"/>
              <w:spacing w:before="194" w:line="219" w:lineRule="auto"/>
              <w:ind w:left="387"/>
              <w:rPr>
                <w:sz w:val="22"/>
                <w:szCs w:val="22"/>
              </w:rPr>
            </w:pPr>
            <w:r>
              <w:rPr>
                <w:spacing w:val="3"/>
                <w:sz w:val="22"/>
                <w:szCs w:val="22"/>
              </w:rPr>
              <w:t>获奖日期</w:t>
            </w:r>
          </w:p>
        </w:tc>
        <w:tc>
          <w:tcPr>
            <w:tcW w:w="2193" w:type="dxa"/>
            <w:vAlign w:val="top"/>
          </w:tcPr>
          <w:p w14:paraId="0555AD1E">
            <w:pPr>
              <w:pStyle w:val="6"/>
              <w:spacing w:before="194" w:line="220" w:lineRule="auto"/>
              <w:ind w:left="669"/>
              <w:rPr>
                <w:sz w:val="22"/>
                <w:szCs w:val="22"/>
              </w:rPr>
            </w:pPr>
            <w:r>
              <w:rPr>
                <w:spacing w:val="-2"/>
                <w:sz w:val="22"/>
                <w:szCs w:val="22"/>
              </w:rPr>
              <w:t>颁奖单位</w:t>
            </w:r>
          </w:p>
        </w:tc>
      </w:tr>
      <w:tr w14:paraId="142F39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9" w:hRule="atLeast"/>
        </w:trPr>
        <w:tc>
          <w:tcPr>
            <w:tcW w:w="684" w:type="dxa"/>
            <w:vAlign w:val="top"/>
          </w:tcPr>
          <w:p w14:paraId="03E00B25">
            <w:pPr>
              <w:rPr>
                <w:rFonts w:ascii="Arial"/>
                <w:sz w:val="21"/>
              </w:rPr>
            </w:pPr>
          </w:p>
        </w:tc>
        <w:tc>
          <w:tcPr>
            <w:tcW w:w="3056" w:type="dxa"/>
            <w:vAlign w:val="top"/>
          </w:tcPr>
          <w:p w14:paraId="40079946">
            <w:pPr>
              <w:rPr>
                <w:rFonts w:ascii="Arial"/>
                <w:sz w:val="21"/>
              </w:rPr>
            </w:pPr>
          </w:p>
        </w:tc>
        <w:tc>
          <w:tcPr>
            <w:tcW w:w="1588" w:type="dxa"/>
            <w:vAlign w:val="top"/>
          </w:tcPr>
          <w:p w14:paraId="75BB6A6F">
            <w:pPr>
              <w:rPr>
                <w:rFonts w:ascii="Arial"/>
                <w:sz w:val="21"/>
              </w:rPr>
            </w:pPr>
          </w:p>
        </w:tc>
        <w:tc>
          <w:tcPr>
            <w:tcW w:w="1588" w:type="dxa"/>
            <w:vAlign w:val="top"/>
          </w:tcPr>
          <w:p w14:paraId="428FBE08">
            <w:pPr>
              <w:rPr>
                <w:rFonts w:ascii="Arial"/>
                <w:sz w:val="21"/>
              </w:rPr>
            </w:pPr>
          </w:p>
        </w:tc>
        <w:tc>
          <w:tcPr>
            <w:tcW w:w="2193" w:type="dxa"/>
            <w:vAlign w:val="top"/>
          </w:tcPr>
          <w:p w14:paraId="45266757">
            <w:pPr>
              <w:rPr>
                <w:rFonts w:ascii="Arial"/>
                <w:sz w:val="21"/>
              </w:rPr>
            </w:pPr>
          </w:p>
        </w:tc>
      </w:tr>
      <w:tr w14:paraId="0C868A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trPr>
        <w:tc>
          <w:tcPr>
            <w:tcW w:w="684" w:type="dxa"/>
            <w:vAlign w:val="top"/>
          </w:tcPr>
          <w:p w14:paraId="7833EDBD">
            <w:pPr>
              <w:rPr>
                <w:rFonts w:ascii="Arial"/>
                <w:sz w:val="21"/>
              </w:rPr>
            </w:pPr>
          </w:p>
        </w:tc>
        <w:tc>
          <w:tcPr>
            <w:tcW w:w="3056" w:type="dxa"/>
            <w:vAlign w:val="top"/>
          </w:tcPr>
          <w:p w14:paraId="29F23FF4">
            <w:pPr>
              <w:rPr>
                <w:rFonts w:ascii="Arial"/>
                <w:sz w:val="21"/>
              </w:rPr>
            </w:pPr>
          </w:p>
        </w:tc>
        <w:tc>
          <w:tcPr>
            <w:tcW w:w="1588" w:type="dxa"/>
            <w:vAlign w:val="top"/>
          </w:tcPr>
          <w:p w14:paraId="081E6B53">
            <w:pPr>
              <w:rPr>
                <w:rFonts w:ascii="Arial"/>
                <w:sz w:val="21"/>
              </w:rPr>
            </w:pPr>
          </w:p>
        </w:tc>
        <w:tc>
          <w:tcPr>
            <w:tcW w:w="1588" w:type="dxa"/>
            <w:vAlign w:val="top"/>
          </w:tcPr>
          <w:p w14:paraId="0059BF75">
            <w:pPr>
              <w:rPr>
                <w:rFonts w:ascii="Arial"/>
                <w:sz w:val="21"/>
              </w:rPr>
            </w:pPr>
          </w:p>
        </w:tc>
        <w:tc>
          <w:tcPr>
            <w:tcW w:w="2193" w:type="dxa"/>
            <w:vAlign w:val="top"/>
          </w:tcPr>
          <w:p w14:paraId="251FA426">
            <w:pPr>
              <w:rPr>
                <w:rFonts w:ascii="Arial"/>
                <w:sz w:val="21"/>
              </w:rPr>
            </w:pPr>
          </w:p>
        </w:tc>
      </w:tr>
      <w:tr w14:paraId="234B4B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9" w:hRule="atLeast"/>
        </w:trPr>
        <w:tc>
          <w:tcPr>
            <w:tcW w:w="684" w:type="dxa"/>
            <w:vAlign w:val="top"/>
          </w:tcPr>
          <w:p w14:paraId="4DCE74ED">
            <w:pPr>
              <w:rPr>
                <w:rFonts w:ascii="Arial"/>
                <w:sz w:val="21"/>
              </w:rPr>
            </w:pPr>
          </w:p>
        </w:tc>
        <w:tc>
          <w:tcPr>
            <w:tcW w:w="3056" w:type="dxa"/>
            <w:vAlign w:val="top"/>
          </w:tcPr>
          <w:p w14:paraId="721A9F92">
            <w:pPr>
              <w:rPr>
                <w:rFonts w:ascii="Arial"/>
                <w:sz w:val="21"/>
              </w:rPr>
            </w:pPr>
          </w:p>
        </w:tc>
        <w:tc>
          <w:tcPr>
            <w:tcW w:w="1588" w:type="dxa"/>
            <w:vAlign w:val="top"/>
          </w:tcPr>
          <w:p w14:paraId="49BF42DC">
            <w:pPr>
              <w:rPr>
                <w:rFonts w:ascii="Arial"/>
                <w:sz w:val="21"/>
              </w:rPr>
            </w:pPr>
          </w:p>
        </w:tc>
        <w:tc>
          <w:tcPr>
            <w:tcW w:w="1588" w:type="dxa"/>
            <w:vAlign w:val="top"/>
          </w:tcPr>
          <w:p w14:paraId="020E5E7E">
            <w:pPr>
              <w:rPr>
                <w:rFonts w:ascii="Arial"/>
                <w:sz w:val="21"/>
              </w:rPr>
            </w:pPr>
          </w:p>
        </w:tc>
        <w:tc>
          <w:tcPr>
            <w:tcW w:w="2193" w:type="dxa"/>
            <w:vAlign w:val="top"/>
          </w:tcPr>
          <w:p w14:paraId="2289C205">
            <w:pPr>
              <w:rPr>
                <w:rFonts w:ascii="Arial"/>
                <w:sz w:val="21"/>
              </w:rPr>
            </w:pPr>
          </w:p>
        </w:tc>
      </w:tr>
      <w:tr w14:paraId="52D8DB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trPr>
        <w:tc>
          <w:tcPr>
            <w:tcW w:w="684" w:type="dxa"/>
            <w:vAlign w:val="top"/>
          </w:tcPr>
          <w:p w14:paraId="04EEA6E7">
            <w:pPr>
              <w:rPr>
                <w:rFonts w:ascii="Arial"/>
                <w:sz w:val="21"/>
              </w:rPr>
            </w:pPr>
          </w:p>
        </w:tc>
        <w:tc>
          <w:tcPr>
            <w:tcW w:w="3056" w:type="dxa"/>
            <w:vAlign w:val="top"/>
          </w:tcPr>
          <w:p w14:paraId="64C41867">
            <w:pPr>
              <w:rPr>
                <w:rFonts w:ascii="Arial"/>
                <w:sz w:val="21"/>
              </w:rPr>
            </w:pPr>
          </w:p>
        </w:tc>
        <w:tc>
          <w:tcPr>
            <w:tcW w:w="1588" w:type="dxa"/>
            <w:vAlign w:val="top"/>
          </w:tcPr>
          <w:p w14:paraId="4B206F75">
            <w:pPr>
              <w:rPr>
                <w:rFonts w:ascii="Arial"/>
                <w:sz w:val="21"/>
              </w:rPr>
            </w:pPr>
          </w:p>
        </w:tc>
        <w:tc>
          <w:tcPr>
            <w:tcW w:w="1588" w:type="dxa"/>
            <w:vAlign w:val="top"/>
          </w:tcPr>
          <w:p w14:paraId="5257232E">
            <w:pPr>
              <w:rPr>
                <w:rFonts w:ascii="Arial"/>
                <w:sz w:val="21"/>
              </w:rPr>
            </w:pPr>
          </w:p>
        </w:tc>
        <w:tc>
          <w:tcPr>
            <w:tcW w:w="2193" w:type="dxa"/>
            <w:vAlign w:val="top"/>
          </w:tcPr>
          <w:p w14:paraId="46A7A6C3">
            <w:pPr>
              <w:rPr>
                <w:rFonts w:ascii="Arial"/>
                <w:sz w:val="21"/>
              </w:rPr>
            </w:pPr>
          </w:p>
        </w:tc>
      </w:tr>
      <w:tr w14:paraId="5EE639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9" w:hRule="atLeast"/>
        </w:trPr>
        <w:tc>
          <w:tcPr>
            <w:tcW w:w="684" w:type="dxa"/>
            <w:vAlign w:val="top"/>
          </w:tcPr>
          <w:p w14:paraId="6901230D">
            <w:pPr>
              <w:rPr>
                <w:rFonts w:ascii="Arial"/>
                <w:sz w:val="21"/>
              </w:rPr>
            </w:pPr>
          </w:p>
        </w:tc>
        <w:tc>
          <w:tcPr>
            <w:tcW w:w="3056" w:type="dxa"/>
            <w:vAlign w:val="top"/>
          </w:tcPr>
          <w:p w14:paraId="7FB44676">
            <w:pPr>
              <w:rPr>
                <w:rFonts w:ascii="Arial"/>
                <w:sz w:val="21"/>
              </w:rPr>
            </w:pPr>
          </w:p>
        </w:tc>
        <w:tc>
          <w:tcPr>
            <w:tcW w:w="1588" w:type="dxa"/>
            <w:vAlign w:val="top"/>
          </w:tcPr>
          <w:p w14:paraId="222BF397">
            <w:pPr>
              <w:rPr>
                <w:rFonts w:ascii="Arial"/>
                <w:sz w:val="21"/>
              </w:rPr>
            </w:pPr>
          </w:p>
        </w:tc>
        <w:tc>
          <w:tcPr>
            <w:tcW w:w="1588" w:type="dxa"/>
            <w:vAlign w:val="top"/>
          </w:tcPr>
          <w:p w14:paraId="736F93E5">
            <w:pPr>
              <w:rPr>
                <w:rFonts w:ascii="Arial"/>
                <w:sz w:val="21"/>
              </w:rPr>
            </w:pPr>
          </w:p>
        </w:tc>
        <w:tc>
          <w:tcPr>
            <w:tcW w:w="2193" w:type="dxa"/>
            <w:vAlign w:val="top"/>
          </w:tcPr>
          <w:p w14:paraId="07F2B45B">
            <w:pPr>
              <w:rPr>
                <w:rFonts w:ascii="Arial"/>
                <w:sz w:val="21"/>
              </w:rPr>
            </w:pPr>
          </w:p>
        </w:tc>
      </w:tr>
      <w:tr w14:paraId="70DA68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9" w:hRule="atLeast"/>
        </w:trPr>
        <w:tc>
          <w:tcPr>
            <w:tcW w:w="684" w:type="dxa"/>
            <w:vAlign w:val="top"/>
          </w:tcPr>
          <w:p w14:paraId="1D30BB4F">
            <w:pPr>
              <w:rPr>
                <w:rFonts w:ascii="Arial"/>
                <w:sz w:val="21"/>
              </w:rPr>
            </w:pPr>
          </w:p>
        </w:tc>
        <w:tc>
          <w:tcPr>
            <w:tcW w:w="3056" w:type="dxa"/>
            <w:vAlign w:val="top"/>
          </w:tcPr>
          <w:p w14:paraId="24886433">
            <w:pPr>
              <w:rPr>
                <w:rFonts w:ascii="Arial"/>
                <w:sz w:val="21"/>
              </w:rPr>
            </w:pPr>
          </w:p>
        </w:tc>
        <w:tc>
          <w:tcPr>
            <w:tcW w:w="1588" w:type="dxa"/>
            <w:vAlign w:val="top"/>
          </w:tcPr>
          <w:p w14:paraId="76F609EC">
            <w:pPr>
              <w:rPr>
                <w:rFonts w:ascii="Arial"/>
                <w:sz w:val="21"/>
              </w:rPr>
            </w:pPr>
          </w:p>
        </w:tc>
        <w:tc>
          <w:tcPr>
            <w:tcW w:w="1588" w:type="dxa"/>
            <w:vAlign w:val="top"/>
          </w:tcPr>
          <w:p w14:paraId="1E3B9F96">
            <w:pPr>
              <w:rPr>
                <w:rFonts w:ascii="Arial"/>
                <w:sz w:val="21"/>
              </w:rPr>
            </w:pPr>
          </w:p>
        </w:tc>
        <w:tc>
          <w:tcPr>
            <w:tcW w:w="2193" w:type="dxa"/>
            <w:vAlign w:val="top"/>
          </w:tcPr>
          <w:p w14:paraId="7E54C90B">
            <w:pPr>
              <w:rPr>
                <w:rFonts w:ascii="Arial"/>
                <w:sz w:val="21"/>
              </w:rPr>
            </w:pPr>
          </w:p>
        </w:tc>
      </w:tr>
      <w:tr w14:paraId="465D75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trPr>
        <w:tc>
          <w:tcPr>
            <w:tcW w:w="684" w:type="dxa"/>
            <w:vAlign w:val="top"/>
          </w:tcPr>
          <w:p w14:paraId="2440635F">
            <w:pPr>
              <w:rPr>
                <w:rFonts w:ascii="Arial"/>
                <w:sz w:val="21"/>
              </w:rPr>
            </w:pPr>
          </w:p>
        </w:tc>
        <w:tc>
          <w:tcPr>
            <w:tcW w:w="3056" w:type="dxa"/>
            <w:vAlign w:val="top"/>
          </w:tcPr>
          <w:p w14:paraId="4D94BFA5">
            <w:pPr>
              <w:rPr>
                <w:rFonts w:ascii="Arial"/>
                <w:sz w:val="21"/>
              </w:rPr>
            </w:pPr>
          </w:p>
        </w:tc>
        <w:tc>
          <w:tcPr>
            <w:tcW w:w="1588" w:type="dxa"/>
            <w:vAlign w:val="top"/>
          </w:tcPr>
          <w:p w14:paraId="256E9906">
            <w:pPr>
              <w:rPr>
                <w:rFonts w:ascii="Arial"/>
                <w:sz w:val="21"/>
              </w:rPr>
            </w:pPr>
          </w:p>
        </w:tc>
        <w:tc>
          <w:tcPr>
            <w:tcW w:w="1588" w:type="dxa"/>
            <w:vAlign w:val="top"/>
          </w:tcPr>
          <w:p w14:paraId="2BEF9548">
            <w:pPr>
              <w:rPr>
                <w:rFonts w:ascii="Arial"/>
                <w:sz w:val="21"/>
              </w:rPr>
            </w:pPr>
          </w:p>
        </w:tc>
        <w:tc>
          <w:tcPr>
            <w:tcW w:w="2193" w:type="dxa"/>
            <w:vAlign w:val="top"/>
          </w:tcPr>
          <w:p w14:paraId="555E1C2C">
            <w:pPr>
              <w:rPr>
                <w:rFonts w:ascii="Arial"/>
                <w:sz w:val="21"/>
              </w:rPr>
            </w:pPr>
          </w:p>
        </w:tc>
      </w:tr>
      <w:tr w14:paraId="121B4E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9" w:hRule="atLeast"/>
        </w:trPr>
        <w:tc>
          <w:tcPr>
            <w:tcW w:w="684" w:type="dxa"/>
            <w:vAlign w:val="top"/>
          </w:tcPr>
          <w:p w14:paraId="7F68A408">
            <w:pPr>
              <w:rPr>
                <w:rFonts w:ascii="Arial"/>
                <w:sz w:val="21"/>
              </w:rPr>
            </w:pPr>
          </w:p>
        </w:tc>
        <w:tc>
          <w:tcPr>
            <w:tcW w:w="3056" w:type="dxa"/>
            <w:vAlign w:val="top"/>
          </w:tcPr>
          <w:p w14:paraId="79ED40F1">
            <w:pPr>
              <w:rPr>
                <w:rFonts w:ascii="Arial"/>
                <w:sz w:val="21"/>
              </w:rPr>
            </w:pPr>
          </w:p>
        </w:tc>
        <w:tc>
          <w:tcPr>
            <w:tcW w:w="1588" w:type="dxa"/>
            <w:vAlign w:val="top"/>
          </w:tcPr>
          <w:p w14:paraId="1E74A0F7">
            <w:pPr>
              <w:rPr>
                <w:rFonts w:ascii="Arial"/>
                <w:sz w:val="21"/>
              </w:rPr>
            </w:pPr>
          </w:p>
        </w:tc>
        <w:tc>
          <w:tcPr>
            <w:tcW w:w="1588" w:type="dxa"/>
            <w:vAlign w:val="top"/>
          </w:tcPr>
          <w:p w14:paraId="4BC7FE06">
            <w:pPr>
              <w:rPr>
                <w:rFonts w:ascii="Arial"/>
                <w:sz w:val="21"/>
              </w:rPr>
            </w:pPr>
          </w:p>
        </w:tc>
        <w:tc>
          <w:tcPr>
            <w:tcW w:w="2193" w:type="dxa"/>
            <w:vAlign w:val="top"/>
          </w:tcPr>
          <w:p w14:paraId="447A2B57">
            <w:pPr>
              <w:rPr>
                <w:rFonts w:ascii="Arial"/>
                <w:sz w:val="21"/>
              </w:rPr>
            </w:pPr>
          </w:p>
        </w:tc>
      </w:tr>
      <w:tr w14:paraId="643102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4" w:hRule="atLeast"/>
        </w:trPr>
        <w:tc>
          <w:tcPr>
            <w:tcW w:w="684" w:type="dxa"/>
            <w:vAlign w:val="top"/>
          </w:tcPr>
          <w:p w14:paraId="03534C98">
            <w:pPr>
              <w:rPr>
                <w:rFonts w:ascii="Arial"/>
                <w:sz w:val="21"/>
              </w:rPr>
            </w:pPr>
          </w:p>
        </w:tc>
        <w:tc>
          <w:tcPr>
            <w:tcW w:w="3056" w:type="dxa"/>
            <w:vAlign w:val="top"/>
          </w:tcPr>
          <w:p w14:paraId="2FA8121C">
            <w:pPr>
              <w:rPr>
                <w:rFonts w:ascii="Arial"/>
                <w:sz w:val="21"/>
              </w:rPr>
            </w:pPr>
          </w:p>
        </w:tc>
        <w:tc>
          <w:tcPr>
            <w:tcW w:w="1588" w:type="dxa"/>
            <w:vAlign w:val="top"/>
          </w:tcPr>
          <w:p w14:paraId="041EA4A0">
            <w:pPr>
              <w:rPr>
                <w:rFonts w:ascii="Arial"/>
                <w:sz w:val="21"/>
              </w:rPr>
            </w:pPr>
          </w:p>
        </w:tc>
        <w:tc>
          <w:tcPr>
            <w:tcW w:w="1588" w:type="dxa"/>
            <w:vAlign w:val="top"/>
          </w:tcPr>
          <w:p w14:paraId="2DAD743E">
            <w:pPr>
              <w:rPr>
                <w:rFonts w:ascii="Arial"/>
                <w:sz w:val="21"/>
              </w:rPr>
            </w:pPr>
          </w:p>
        </w:tc>
        <w:tc>
          <w:tcPr>
            <w:tcW w:w="2193" w:type="dxa"/>
            <w:vAlign w:val="top"/>
          </w:tcPr>
          <w:p w14:paraId="69907A48">
            <w:pPr>
              <w:rPr>
                <w:rFonts w:ascii="Arial"/>
                <w:sz w:val="21"/>
              </w:rPr>
            </w:pPr>
          </w:p>
        </w:tc>
      </w:tr>
    </w:tbl>
    <w:p w14:paraId="084C3CB0">
      <w:pPr>
        <w:spacing w:line="265" w:lineRule="auto"/>
        <w:rPr>
          <w:rFonts w:ascii="Arial"/>
          <w:sz w:val="21"/>
        </w:rPr>
      </w:pPr>
    </w:p>
    <w:p w14:paraId="5021D397">
      <w:pPr>
        <w:spacing w:line="266" w:lineRule="auto"/>
        <w:rPr>
          <w:rFonts w:ascii="Arial"/>
          <w:sz w:val="21"/>
        </w:rPr>
      </w:pPr>
    </w:p>
    <w:p w14:paraId="20ACC5C6">
      <w:pPr>
        <w:pStyle w:val="2"/>
        <w:spacing w:before="68" w:line="354" w:lineRule="auto"/>
        <w:ind w:left="984" w:right="41" w:hanging="849"/>
        <w:rPr>
          <w:sz w:val="21"/>
          <w:szCs w:val="21"/>
        </w:rPr>
      </w:pPr>
      <w:r>
        <w:rPr>
          <w:spacing w:val="18"/>
          <w:sz w:val="21"/>
          <w:szCs w:val="21"/>
        </w:rPr>
        <w:t>备注：1.近5年是指从投标截止日往前推算的5</w:t>
      </w:r>
      <w:r>
        <w:rPr>
          <w:spacing w:val="17"/>
          <w:sz w:val="21"/>
          <w:szCs w:val="21"/>
        </w:rPr>
        <w:t>年，如投标截止日为2014年3月5</w:t>
      </w:r>
      <w:r>
        <w:rPr>
          <w:spacing w:val="-18"/>
          <w:sz w:val="21"/>
          <w:szCs w:val="21"/>
        </w:rPr>
        <w:t xml:space="preserve"> </w:t>
      </w:r>
      <w:r>
        <w:rPr>
          <w:spacing w:val="17"/>
          <w:sz w:val="21"/>
          <w:szCs w:val="21"/>
        </w:rPr>
        <w:t>日，则近5</w:t>
      </w:r>
      <w:r>
        <w:rPr>
          <w:sz w:val="21"/>
          <w:szCs w:val="21"/>
        </w:rPr>
        <w:t xml:space="preserve"> </w:t>
      </w:r>
      <w:r>
        <w:rPr>
          <w:spacing w:val="29"/>
          <w:sz w:val="21"/>
          <w:szCs w:val="21"/>
        </w:rPr>
        <w:t>年是指2009年3月5日至2014年3</w:t>
      </w:r>
      <w:r>
        <w:rPr>
          <w:spacing w:val="28"/>
          <w:sz w:val="21"/>
          <w:szCs w:val="21"/>
        </w:rPr>
        <w:t>月4日。</w:t>
      </w:r>
    </w:p>
    <w:p w14:paraId="28D6064A">
      <w:pPr>
        <w:pStyle w:val="2"/>
        <w:spacing w:before="14" w:line="219" w:lineRule="auto"/>
        <w:ind w:left="754"/>
        <w:rPr>
          <w:sz w:val="21"/>
          <w:szCs w:val="21"/>
        </w:rPr>
      </w:pPr>
      <w:r>
        <w:rPr>
          <w:spacing w:val="-1"/>
          <w:sz w:val="21"/>
          <w:szCs w:val="21"/>
        </w:rPr>
        <w:t>2.本表后应附表彰文件、获奖证书的扫描件。以表彰文件、获奖证书的颁发时间</w:t>
      </w:r>
      <w:r>
        <w:rPr>
          <w:spacing w:val="-2"/>
          <w:sz w:val="21"/>
          <w:szCs w:val="21"/>
        </w:rPr>
        <w:t>为准。</w:t>
      </w:r>
    </w:p>
    <w:p w14:paraId="6645ABA2">
      <w:pPr>
        <w:pStyle w:val="2"/>
        <w:spacing w:before="140" w:line="219" w:lineRule="auto"/>
        <w:ind w:left="764"/>
        <w:rPr>
          <w:sz w:val="21"/>
          <w:szCs w:val="21"/>
        </w:rPr>
      </w:pPr>
      <w:r>
        <w:rPr>
          <w:spacing w:val="-1"/>
          <w:sz w:val="21"/>
          <w:szCs w:val="21"/>
        </w:rPr>
        <w:t>3.</w:t>
      </w:r>
      <w:r>
        <w:rPr>
          <w:spacing w:val="-31"/>
          <w:sz w:val="21"/>
          <w:szCs w:val="21"/>
        </w:rPr>
        <w:t xml:space="preserve"> </w:t>
      </w:r>
      <w:r>
        <w:rPr>
          <w:spacing w:val="-1"/>
          <w:sz w:val="21"/>
          <w:szCs w:val="21"/>
        </w:rPr>
        <w:t>颁奖单位应当是国家机关或民政部门注册登记的合法颁奖单位。</w:t>
      </w:r>
    </w:p>
    <w:p w14:paraId="7AC9400E">
      <w:pPr>
        <w:spacing w:line="219" w:lineRule="auto"/>
        <w:rPr>
          <w:sz w:val="21"/>
          <w:szCs w:val="21"/>
        </w:rPr>
        <w:sectPr>
          <w:footerReference r:id="rId395" w:type="default"/>
          <w:pgSz w:w="11910" w:h="16840"/>
          <w:pgMar w:top="400" w:right="1455" w:bottom="1147" w:left="1334" w:header="0" w:footer="1021" w:gutter="0"/>
          <w:cols w:space="720" w:num="1"/>
        </w:sectPr>
      </w:pPr>
    </w:p>
    <w:p w14:paraId="09A62ED8">
      <w:pPr>
        <w:spacing w:line="254" w:lineRule="auto"/>
        <w:rPr>
          <w:rFonts w:ascii="Arial"/>
          <w:sz w:val="21"/>
        </w:rPr>
      </w:pPr>
    </w:p>
    <w:p w14:paraId="0CFBF2E9">
      <w:pPr>
        <w:spacing w:line="254" w:lineRule="auto"/>
        <w:rPr>
          <w:rFonts w:ascii="Arial"/>
          <w:sz w:val="21"/>
        </w:rPr>
      </w:pPr>
    </w:p>
    <w:p w14:paraId="167FD4C6">
      <w:pPr>
        <w:spacing w:line="255" w:lineRule="auto"/>
        <w:rPr>
          <w:rFonts w:ascii="Arial"/>
          <w:sz w:val="21"/>
        </w:rPr>
      </w:pPr>
    </w:p>
    <w:p w14:paraId="0080CE5F">
      <w:pPr>
        <w:spacing w:line="255" w:lineRule="auto"/>
        <w:rPr>
          <w:rFonts w:ascii="Arial"/>
          <w:sz w:val="21"/>
        </w:rPr>
      </w:pPr>
    </w:p>
    <w:p w14:paraId="01A5FD2A">
      <w:pPr>
        <w:spacing w:line="255" w:lineRule="auto"/>
        <w:rPr>
          <w:rFonts w:ascii="Arial"/>
          <w:sz w:val="21"/>
        </w:rPr>
      </w:pPr>
    </w:p>
    <w:p w14:paraId="448452C6">
      <w:pPr>
        <w:spacing w:line="255" w:lineRule="auto"/>
        <w:rPr>
          <w:rFonts w:ascii="Arial"/>
          <w:sz w:val="21"/>
        </w:rPr>
      </w:pPr>
    </w:p>
    <w:p w14:paraId="26590883">
      <w:pPr>
        <w:spacing w:line="255" w:lineRule="auto"/>
        <w:rPr>
          <w:rFonts w:ascii="Arial"/>
          <w:sz w:val="21"/>
        </w:rPr>
      </w:pPr>
    </w:p>
    <w:p w14:paraId="0B358D1F">
      <w:pPr>
        <w:spacing w:before="91" w:line="222" w:lineRule="auto"/>
        <w:ind w:left="3043"/>
        <w:rPr>
          <w:rFonts w:ascii="黑体" w:hAnsi="黑体" w:eastAsia="黑体" w:cs="黑体"/>
          <w:sz w:val="28"/>
          <w:szCs w:val="28"/>
        </w:rPr>
      </w:pPr>
      <w:r>
        <w:rPr>
          <w:rFonts w:ascii="黑体" w:hAnsi="黑体" w:eastAsia="黑体" w:cs="黑体"/>
          <w:b/>
          <w:bCs/>
          <w:spacing w:val="-2"/>
          <w:sz w:val="28"/>
          <w:szCs w:val="28"/>
        </w:rPr>
        <w:t>十、已标价工程量清单</w:t>
      </w:r>
    </w:p>
    <w:p w14:paraId="46903AC7">
      <w:pPr>
        <w:spacing w:line="275" w:lineRule="auto"/>
        <w:rPr>
          <w:rFonts w:ascii="Arial"/>
          <w:sz w:val="21"/>
        </w:rPr>
      </w:pPr>
    </w:p>
    <w:p w14:paraId="1877C923">
      <w:pPr>
        <w:spacing w:line="276" w:lineRule="auto"/>
        <w:rPr>
          <w:rFonts w:ascii="Arial"/>
          <w:sz w:val="21"/>
        </w:rPr>
      </w:pPr>
    </w:p>
    <w:p w14:paraId="64154EB9">
      <w:pPr>
        <w:pStyle w:val="2"/>
        <w:spacing w:before="68" w:line="417" w:lineRule="auto"/>
        <w:ind w:right="246"/>
        <w:jc w:val="both"/>
        <w:rPr>
          <w:sz w:val="17"/>
          <w:szCs w:val="17"/>
        </w:rPr>
      </w:pPr>
      <w:r>
        <w:rPr>
          <w:rFonts w:ascii="黑体" w:hAnsi="黑体" w:eastAsia="黑体" w:cs="黑体"/>
          <w:sz w:val="21"/>
          <w:szCs w:val="21"/>
        </w:rPr>
        <w:t>说明</w:t>
      </w:r>
      <w:r>
        <w:rPr>
          <w:sz w:val="21"/>
          <w:szCs w:val="21"/>
        </w:rPr>
        <w:t>：已标价工程量清单按第五章“工程量清单”中的相关清单表格式填写。构成合同文件</w:t>
      </w:r>
      <w:r>
        <w:rPr>
          <w:spacing w:val="8"/>
          <w:sz w:val="21"/>
          <w:szCs w:val="21"/>
        </w:rPr>
        <w:t xml:space="preserve"> </w:t>
      </w:r>
      <w:r>
        <w:rPr>
          <w:sz w:val="21"/>
          <w:szCs w:val="21"/>
        </w:rPr>
        <w:t>的已标价工程量清单包括第五章“工程量清单”有关工程量清单、投标报价以及其他说明的</w:t>
      </w:r>
      <w:r>
        <w:rPr>
          <w:spacing w:val="15"/>
          <w:sz w:val="21"/>
          <w:szCs w:val="21"/>
        </w:rPr>
        <w:t xml:space="preserve"> </w:t>
      </w:r>
      <w:r>
        <w:rPr>
          <w:spacing w:val="-12"/>
          <w:sz w:val="17"/>
          <w:szCs w:val="17"/>
        </w:rPr>
        <w:t>内</w:t>
      </w:r>
      <w:r>
        <w:rPr>
          <w:spacing w:val="-18"/>
          <w:sz w:val="17"/>
          <w:szCs w:val="17"/>
        </w:rPr>
        <w:t xml:space="preserve"> </w:t>
      </w:r>
      <w:r>
        <w:rPr>
          <w:spacing w:val="-12"/>
          <w:sz w:val="17"/>
          <w:szCs w:val="17"/>
        </w:rPr>
        <w:t>容</w:t>
      </w:r>
      <w:r>
        <w:rPr>
          <w:spacing w:val="-27"/>
          <w:sz w:val="17"/>
          <w:szCs w:val="17"/>
        </w:rPr>
        <w:t xml:space="preserve"> </w:t>
      </w:r>
      <w:r>
        <w:rPr>
          <w:spacing w:val="-12"/>
          <w:sz w:val="17"/>
          <w:szCs w:val="17"/>
        </w:rPr>
        <w:t>。</w:t>
      </w:r>
    </w:p>
    <w:p w14:paraId="457051AA">
      <w:pPr>
        <w:spacing w:line="417" w:lineRule="auto"/>
        <w:rPr>
          <w:sz w:val="17"/>
          <w:szCs w:val="17"/>
        </w:rPr>
        <w:sectPr>
          <w:footerReference r:id="rId396" w:type="default"/>
          <w:pgSz w:w="11910" w:h="16840"/>
          <w:pgMar w:top="400" w:right="1786" w:bottom="1147" w:left="1460" w:header="0" w:footer="1021" w:gutter="0"/>
          <w:cols w:space="720" w:num="1"/>
        </w:sectPr>
      </w:pPr>
    </w:p>
    <w:p w14:paraId="5FC81249">
      <w:pPr>
        <w:spacing w:line="253" w:lineRule="auto"/>
        <w:rPr>
          <w:rFonts w:ascii="Arial"/>
          <w:sz w:val="21"/>
        </w:rPr>
      </w:pPr>
    </w:p>
    <w:p w14:paraId="46221C34">
      <w:pPr>
        <w:spacing w:line="253" w:lineRule="auto"/>
        <w:rPr>
          <w:rFonts w:ascii="Arial"/>
          <w:sz w:val="21"/>
        </w:rPr>
      </w:pPr>
    </w:p>
    <w:p w14:paraId="14DF6646">
      <w:pPr>
        <w:spacing w:line="253" w:lineRule="auto"/>
        <w:rPr>
          <w:rFonts w:ascii="Arial"/>
          <w:sz w:val="21"/>
        </w:rPr>
      </w:pPr>
    </w:p>
    <w:p w14:paraId="7348308C">
      <w:pPr>
        <w:spacing w:line="253" w:lineRule="auto"/>
        <w:rPr>
          <w:rFonts w:ascii="Arial"/>
          <w:sz w:val="21"/>
        </w:rPr>
      </w:pPr>
    </w:p>
    <w:p w14:paraId="18DCD556">
      <w:pPr>
        <w:spacing w:line="254" w:lineRule="auto"/>
        <w:rPr>
          <w:rFonts w:ascii="Arial"/>
          <w:sz w:val="21"/>
        </w:rPr>
      </w:pPr>
    </w:p>
    <w:p w14:paraId="103F5608">
      <w:pPr>
        <w:spacing w:before="91" w:line="222" w:lineRule="auto"/>
        <w:rPr>
          <w:rFonts w:ascii="黑体" w:hAnsi="黑体" w:eastAsia="黑体" w:cs="黑体"/>
          <w:sz w:val="28"/>
          <w:szCs w:val="28"/>
        </w:rPr>
      </w:pPr>
      <w:r>
        <w:rPr>
          <w:rFonts w:ascii="黑体" w:hAnsi="黑体" w:eastAsia="黑体" w:cs="黑体"/>
          <w:b/>
          <w:bCs/>
          <w:spacing w:val="-24"/>
          <w:sz w:val="28"/>
          <w:szCs w:val="28"/>
        </w:rPr>
        <w:t>已标价工程量清单(投标总价)封面</w:t>
      </w:r>
    </w:p>
    <w:p w14:paraId="43D9CB1D">
      <w:pPr>
        <w:spacing w:line="241" w:lineRule="auto"/>
        <w:rPr>
          <w:rFonts w:ascii="Arial"/>
          <w:sz w:val="21"/>
        </w:rPr>
      </w:pPr>
    </w:p>
    <w:p w14:paraId="1C6B4E52">
      <w:pPr>
        <w:spacing w:line="241" w:lineRule="auto"/>
        <w:rPr>
          <w:rFonts w:ascii="Arial"/>
          <w:sz w:val="21"/>
        </w:rPr>
      </w:pPr>
    </w:p>
    <w:p w14:paraId="72911681">
      <w:pPr>
        <w:spacing w:line="241" w:lineRule="auto"/>
        <w:rPr>
          <w:rFonts w:ascii="Arial"/>
          <w:sz w:val="21"/>
        </w:rPr>
      </w:pPr>
    </w:p>
    <w:p w14:paraId="25337B6A">
      <w:pPr>
        <w:spacing w:line="242" w:lineRule="auto"/>
        <w:rPr>
          <w:rFonts w:ascii="Arial"/>
          <w:sz w:val="21"/>
        </w:rPr>
      </w:pPr>
    </w:p>
    <w:p w14:paraId="57894B52">
      <w:pPr>
        <w:spacing w:line="242" w:lineRule="auto"/>
        <w:rPr>
          <w:rFonts w:ascii="Arial"/>
          <w:sz w:val="21"/>
        </w:rPr>
      </w:pPr>
    </w:p>
    <w:p w14:paraId="6C923349">
      <w:pPr>
        <w:spacing w:line="242" w:lineRule="auto"/>
        <w:rPr>
          <w:rFonts w:ascii="Arial"/>
          <w:sz w:val="21"/>
        </w:rPr>
      </w:pPr>
    </w:p>
    <w:p w14:paraId="35C29141">
      <w:pPr>
        <w:spacing w:line="242" w:lineRule="auto"/>
        <w:rPr>
          <w:rFonts w:ascii="Arial"/>
          <w:sz w:val="21"/>
        </w:rPr>
      </w:pPr>
    </w:p>
    <w:p w14:paraId="096332A5">
      <w:pPr>
        <w:spacing w:line="242" w:lineRule="auto"/>
        <w:rPr>
          <w:rFonts w:ascii="Arial"/>
          <w:sz w:val="21"/>
        </w:rPr>
      </w:pPr>
    </w:p>
    <w:p w14:paraId="57492E3E">
      <w:pPr>
        <w:spacing w:line="242" w:lineRule="auto"/>
        <w:rPr>
          <w:rFonts w:ascii="Arial"/>
          <w:sz w:val="21"/>
        </w:rPr>
      </w:pPr>
    </w:p>
    <w:p w14:paraId="0EB0C104">
      <w:pPr>
        <w:spacing w:line="242" w:lineRule="auto"/>
        <w:rPr>
          <w:rFonts w:ascii="Arial"/>
          <w:sz w:val="21"/>
        </w:rPr>
      </w:pPr>
    </w:p>
    <w:p w14:paraId="722DD309">
      <w:pPr>
        <w:spacing w:before="91" w:line="222" w:lineRule="auto"/>
        <w:ind w:left="2400"/>
        <w:rPr>
          <w:rFonts w:ascii="黑体" w:hAnsi="黑体" w:eastAsia="黑体" w:cs="黑体"/>
          <w:sz w:val="28"/>
          <w:szCs w:val="28"/>
        </w:rPr>
      </w:pPr>
      <w:r>
        <w:drawing>
          <wp:anchor distT="0" distB="0" distL="0" distR="0" simplePos="0" relativeHeight="251760640" behindDoc="0" locked="0" layoutInCell="1" allowOverlap="1">
            <wp:simplePos x="0" y="0"/>
            <wp:positionH relativeFrom="column">
              <wp:posOffset>588010</wp:posOffset>
            </wp:positionH>
            <wp:positionV relativeFrom="paragraph">
              <wp:posOffset>155575</wp:posOffset>
            </wp:positionV>
            <wp:extent cx="838200" cy="6350"/>
            <wp:effectExtent l="0" t="0" r="0" b="0"/>
            <wp:wrapNone/>
            <wp:docPr id="282" name="IM 282"/>
            <wp:cNvGraphicFramePr/>
            <a:graphic xmlns:a="http://schemas.openxmlformats.org/drawingml/2006/main">
              <a:graphicData uri="http://schemas.openxmlformats.org/drawingml/2006/picture">
                <pic:pic xmlns:pic="http://schemas.openxmlformats.org/drawingml/2006/picture">
                  <pic:nvPicPr>
                    <pic:cNvPr id="282" name="IM 282"/>
                    <pic:cNvPicPr/>
                  </pic:nvPicPr>
                  <pic:blipFill>
                    <a:blip r:embed="rId524"/>
                    <a:stretch>
                      <a:fillRect/>
                    </a:stretch>
                  </pic:blipFill>
                  <pic:spPr>
                    <a:xfrm>
                      <a:off x="0" y="0"/>
                      <a:ext cx="838190" cy="6350"/>
                    </a:xfrm>
                    <a:prstGeom prst="rect">
                      <a:avLst/>
                    </a:prstGeom>
                  </pic:spPr>
                </pic:pic>
              </a:graphicData>
            </a:graphic>
          </wp:anchor>
        </w:drawing>
      </w:r>
      <w:r>
        <w:rPr>
          <w:rFonts w:ascii="黑体" w:hAnsi="黑体" w:eastAsia="黑体" w:cs="黑体"/>
          <w:b/>
          <w:bCs/>
          <w:spacing w:val="-22"/>
          <w:sz w:val="28"/>
          <w:szCs w:val="28"/>
        </w:rPr>
        <w:t>(</w:t>
      </w:r>
      <w:r>
        <w:rPr>
          <w:rFonts w:ascii="黑体" w:hAnsi="黑体" w:eastAsia="黑体" w:cs="黑体"/>
          <w:spacing w:val="-57"/>
          <w:sz w:val="28"/>
          <w:szCs w:val="28"/>
        </w:rPr>
        <w:t xml:space="preserve"> </w:t>
      </w:r>
      <w:r>
        <w:rPr>
          <w:rFonts w:ascii="黑体" w:hAnsi="黑体" w:eastAsia="黑体" w:cs="黑体"/>
          <w:b/>
          <w:bCs/>
          <w:spacing w:val="-22"/>
          <w:sz w:val="28"/>
          <w:szCs w:val="28"/>
        </w:rPr>
        <w:t>项</w:t>
      </w:r>
      <w:r>
        <w:rPr>
          <w:rFonts w:ascii="黑体" w:hAnsi="黑体" w:eastAsia="黑体" w:cs="黑体"/>
          <w:spacing w:val="-22"/>
          <w:sz w:val="28"/>
          <w:szCs w:val="28"/>
        </w:rPr>
        <w:t xml:space="preserve"> </w:t>
      </w:r>
      <w:r>
        <w:rPr>
          <w:rFonts w:ascii="黑体" w:hAnsi="黑体" w:eastAsia="黑体" w:cs="黑体"/>
          <w:b/>
          <w:bCs/>
          <w:spacing w:val="-22"/>
          <w:sz w:val="28"/>
          <w:szCs w:val="28"/>
        </w:rPr>
        <w:t>目</w:t>
      </w:r>
      <w:r>
        <w:rPr>
          <w:rFonts w:ascii="黑体" w:hAnsi="黑体" w:eastAsia="黑体" w:cs="黑体"/>
          <w:spacing w:val="-60"/>
          <w:sz w:val="28"/>
          <w:szCs w:val="28"/>
        </w:rPr>
        <w:t xml:space="preserve"> </w:t>
      </w:r>
      <w:r>
        <w:rPr>
          <w:rFonts w:ascii="黑体" w:hAnsi="黑体" w:eastAsia="黑体" w:cs="黑体"/>
          <w:b/>
          <w:bCs/>
          <w:spacing w:val="-22"/>
          <w:sz w:val="28"/>
          <w:szCs w:val="28"/>
        </w:rPr>
        <w:t>名</w:t>
      </w:r>
      <w:r>
        <w:rPr>
          <w:rFonts w:ascii="黑体" w:hAnsi="黑体" w:eastAsia="黑体" w:cs="黑体"/>
          <w:spacing w:val="-63"/>
          <w:sz w:val="28"/>
          <w:szCs w:val="28"/>
        </w:rPr>
        <w:t xml:space="preserve"> </w:t>
      </w:r>
      <w:r>
        <w:rPr>
          <w:rFonts w:ascii="黑体" w:hAnsi="黑体" w:eastAsia="黑体" w:cs="黑体"/>
          <w:b/>
          <w:bCs/>
          <w:spacing w:val="-22"/>
          <w:sz w:val="28"/>
          <w:szCs w:val="28"/>
        </w:rPr>
        <w:t>称</w:t>
      </w:r>
      <w:r>
        <w:rPr>
          <w:rFonts w:ascii="黑体" w:hAnsi="黑体" w:eastAsia="黑体" w:cs="黑体"/>
          <w:spacing w:val="-67"/>
          <w:sz w:val="28"/>
          <w:szCs w:val="28"/>
        </w:rPr>
        <w:t xml:space="preserve"> </w:t>
      </w:r>
      <w:r>
        <w:rPr>
          <w:rFonts w:ascii="黑体" w:hAnsi="黑体" w:eastAsia="黑体" w:cs="黑体"/>
          <w:b/>
          <w:bCs/>
          <w:spacing w:val="-22"/>
          <w:sz w:val="28"/>
          <w:szCs w:val="28"/>
        </w:rPr>
        <w:t>)</w:t>
      </w:r>
      <w:r>
        <w:rPr>
          <w:rFonts w:ascii="黑体" w:hAnsi="黑体" w:eastAsia="黑体" w:cs="黑体"/>
          <w:spacing w:val="-33"/>
          <w:sz w:val="28"/>
          <w:szCs w:val="28"/>
        </w:rPr>
        <w:t xml:space="preserve"> </w:t>
      </w:r>
      <w:r>
        <w:rPr>
          <w:rFonts w:ascii="黑体" w:hAnsi="黑体" w:eastAsia="黑体" w:cs="黑体"/>
          <w:spacing w:val="14"/>
          <w:sz w:val="28"/>
          <w:szCs w:val="28"/>
          <w:u w:val="single" w:color="auto"/>
        </w:rPr>
        <w:t xml:space="preserve">     </w:t>
      </w:r>
      <w:r>
        <w:rPr>
          <w:rFonts w:ascii="黑体" w:hAnsi="黑体" w:eastAsia="黑体" w:cs="黑体"/>
          <w:spacing w:val="34"/>
          <w:sz w:val="28"/>
          <w:szCs w:val="28"/>
        </w:rPr>
        <w:t xml:space="preserve"> </w:t>
      </w:r>
      <w:r>
        <w:rPr>
          <w:rFonts w:ascii="黑体" w:hAnsi="黑体" w:eastAsia="黑体" w:cs="黑体"/>
          <w:b/>
          <w:bCs/>
          <w:spacing w:val="-22"/>
          <w:sz w:val="28"/>
          <w:szCs w:val="28"/>
        </w:rPr>
        <w:t>(</w:t>
      </w:r>
      <w:r>
        <w:rPr>
          <w:rFonts w:ascii="黑体" w:hAnsi="黑体" w:eastAsia="黑体" w:cs="黑体"/>
          <w:spacing w:val="-69"/>
          <w:sz w:val="28"/>
          <w:szCs w:val="28"/>
        </w:rPr>
        <w:t xml:space="preserve"> </w:t>
      </w:r>
      <w:r>
        <w:rPr>
          <w:rFonts w:ascii="黑体" w:hAnsi="黑体" w:eastAsia="黑体" w:cs="黑体"/>
          <w:b/>
          <w:bCs/>
          <w:spacing w:val="-22"/>
          <w:sz w:val="28"/>
          <w:szCs w:val="28"/>
        </w:rPr>
        <w:t>标</w:t>
      </w:r>
      <w:r>
        <w:rPr>
          <w:rFonts w:ascii="黑体" w:hAnsi="黑体" w:eastAsia="黑体" w:cs="黑体"/>
          <w:spacing w:val="-64"/>
          <w:sz w:val="28"/>
          <w:szCs w:val="28"/>
        </w:rPr>
        <w:t xml:space="preserve"> </w:t>
      </w:r>
      <w:r>
        <w:rPr>
          <w:rFonts w:ascii="黑体" w:hAnsi="黑体" w:eastAsia="黑体" w:cs="黑体"/>
          <w:b/>
          <w:bCs/>
          <w:spacing w:val="-22"/>
          <w:sz w:val="28"/>
          <w:szCs w:val="28"/>
        </w:rPr>
        <w:t>段</w:t>
      </w:r>
      <w:r>
        <w:rPr>
          <w:rFonts w:ascii="黑体" w:hAnsi="黑体" w:eastAsia="黑体" w:cs="黑体"/>
          <w:spacing w:val="-62"/>
          <w:sz w:val="28"/>
          <w:szCs w:val="28"/>
        </w:rPr>
        <w:t xml:space="preserve"> </w:t>
      </w:r>
      <w:r>
        <w:rPr>
          <w:rFonts w:ascii="黑体" w:hAnsi="黑体" w:eastAsia="黑体" w:cs="黑体"/>
          <w:b/>
          <w:bCs/>
          <w:spacing w:val="-22"/>
          <w:sz w:val="28"/>
          <w:szCs w:val="28"/>
        </w:rPr>
        <w:t>名</w:t>
      </w:r>
      <w:r>
        <w:rPr>
          <w:rFonts w:ascii="黑体" w:hAnsi="黑体" w:eastAsia="黑体" w:cs="黑体"/>
          <w:spacing w:val="-64"/>
          <w:sz w:val="28"/>
          <w:szCs w:val="28"/>
        </w:rPr>
        <w:t xml:space="preserve"> </w:t>
      </w:r>
      <w:r>
        <w:rPr>
          <w:rFonts w:ascii="黑体" w:hAnsi="黑体" w:eastAsia="黑体" w:cs="黑体"/>
          <w:b/>
          <w:bCs/>
          <w:spacing w:val="-22"/>
          <w:sz w:val="28"/>
          <w:szCs w:val="28"/>
        </w:rPr>
        <w:t>称</w:t>
      </w:r>
      <w:r>
        <w:rPr>
          <w:rFonts w:ascii="黑体" w:hAnsi="黑体" w:eastAsia="黑体" w:cs="黑体"/>
          <w:spacing w:val="-69"/>
          <w:sz w:val="28"/>
          <w:szCs w:val="28"/>
        </w:rPr>
        <w:t xml:space="preserve"> </w:t>
      </w:r>
      <w:r>
        <w:rPr>
          <w:rFonts w:ascii="黑体" w:hAnsi="黑体" w:eastAsia="黑体" w:cs="黑体"/>
          <w:b/>
          <w:bCs/>
          <w:spacing w:val="-22"/>
          <w:sz w:val="28"/>
          <w:szCs w:val="28"/>
        </w:rPr>
        <w:t>)</w:t>
      </w:r>
      <w:r>
        <w:rPr>
          <w:rFonts w:ascii="黑体" w:hAnsi="黑体" w:eastAsia="黑体" w:cs="黑体"/>
          <w:spacing w:val="-67"/>
          <w:sz w:val="28"/>
          <w:szCs w:val="28"/>
        </w:rPr>
        <w:t xml:space="preserve"> </w:t>
      </w:r>
      <w:r>
        <w:rPr>
          <w:rFonts w:ascii="黑体" w:hAnsi="黑体" w:eastAsia="黑体" w:cs="黑体"/>
          <w:b/>
          <w:bCs/>
          <w:spacing w:val="-22"/>
          <w:sz w:val="28"/>
          <w:szCs w:val="28"/>
        </w:rPr>
        <w:t>施</w:t>
      </w:r>
      <w:r>
        <w:rPr>
          <w:rFonts w:ascii="黑体" w:hAnsi="黑体" w:eastAsia="黑体" w:cs="黑体"/>
          <w:spacing w:val="-63"/>
          <w:sz w:val="28"/>
          <w:szCs w:val="28"/>
        </w:rPr>
        <w:t xml:space="preserve"> </w:t>
      </w:r>
      <w:r>
        <w:rPr>
          <w:rFonts w:ascii="黑体" w:hAnsi="黑体" w:eastAsia="黑体" w:cs="黑体"/>
          <w:b/>
          <w:bCs/>
          <w:spacing w:val="-22"/>
          <w:sz w:val="28"/>
          <w:szCs w:val="28"/>
        </w:rPr>
        <w:t>工</w:t>
      </w:r>
      <w:r>
        <w:rPr>
          <w:rFonts w:ascii="黑体" w:hAnsi="黑体" w:eastAsia="黑体" w:cs="黑体"/>
          <w:spacing w:val="-65"/>
          <w:sz w:val="28"/>
          <w:szCs w:val="28"/>
        </w:rPr>
        <w:t xml:space="preserve"> </w:t>
      </w:r>
      <w:r>
        <w:rPr>
          <w:rFonts w:ascii="黑体" w:hAnsi="黑体" w:eastAsia="黑体" w:cs="黑体"/>
          <w:b/>
          <w:bCs/>
          <w:spacing w:val="-22"/>
          <w:sz w:val="28"/>
          <w:szCs w:val="28"/>
        </w:rPr>
        <w:t>招</w:t>
      </w:r>
      <w:r>
        <w:rPr>
          <w:rFonts w:ascii="黑体" w:hAnsi="黑体" w:eastAsia="黑体" w:cs="黑体"/>
          <w:spacing w:val="-69"/>
          <w:sz w:val="28"/>
          <w:szCs w:val="28"/>
        </w:rPr>
        <w:t xml:space="preserve"> </w:t>
      </w:r>
      <w:r>
        <w:rPr>
          <w:rFonts w:ascii="黑体" w:hAnsi="黑体" w:eastAsia="黑体" w:cs="黑体"/>
          <w:b/>
          <w:bCs/>
          <w:spacing w:val="-22"/>
          <w:sz w:val="28"/>
          <w:szCs w:val="28"/>
        </w:rPr>
        <w:t>标</w:t>
      </w:r>
    </w:p>
    <w:p w14:paraId="5C0DAF6F">
      <w:pPr>
        <w:spacing w:line="275" w:lineRule="auto"/>
        <w:rPr>
          <w:rFonts w:ascii="Arial"/>
          <w:sz w:val="21"/>
        </w:rPr>
      </w:pPr>
    </w:p>
    <w:p w14:paraId="09F3BC3D">
      <w:pPr>
        <w:spacing w:before="139" w:line="222" w:lineRule="auto"/>
        <w:ind w:left="2682"/>
        <w:rPr>
          <w:rFonts w:ascii="黑体" w:hAnsi="黑体" w:eastAsia="黑体" w:cs="黑体"/>
          <w:sz w:val="43"/>
          <w:szCs w:val="43"/>
        </w:rPr>
      </w:pPr>
      <w:r>
        <w:rPr>
          <w:rFonts w:ascii="黑体" w:hAnsi="黑体" w:eastAsia="黑体" w:cs="黑体"/>
          <w:b/>
          <w:bCs/>
          <w:spacing w:val="2"/>
          <w:sz w:val="43"/>
          <w:szCs w:val="43"/>
        </w:rPr>
        <w:t>已标价工程量清单</w:t>
      </w:r>
    </w:p>
    <w:p w14:paraId="7C1C6CC7">
      <w:pPr>
        <w:spacing w:line="241" w:lineRule="auto"/>
        <w:rPr>
          <w:rFonts w:ascii="Arial"/>
          <w:sz w:val="21"/>
        </w:rPr>
      </w:pPr>
    </w:p>
    <w:p w14:paraId="7CA6EBFA">
      <w:pPr>
        <w:spacing w:before="140" w:line="222" w:lineRule="auto"/>
        <w:ind w:left="3342"/>
        <w:rPr>
          <w:rFonts w:ascii="黑体" w:hAnsi="黑体" w:eastAsia="黑体" w:cs="黑体"/>
          <w:sz w:val="43"/>
          <w:szCs w:val="43"/>
        </w:rPr>
      </w:pPr>
      <w:r>
        <w:rPr>
          <w:rFonts w:ascii="黑体" w:hAnsi="黑体" w:eastAsia="黑体" w:cs="黑体"/>
          <w:b/>
          <w:bCs/>
          <w:spacing w:val="15"/>
          <w:sz w:val="43"/>
          <w:szCs w:val="43"/>
        </w:rPr>
        <w:t>(投标总价)</w:t>
      </w:r>
    </w:p>
    <w:p w14:paraId="65C04244">
      <w:pPr>
        <w:spacing w:line="250" w:lineRule="auto"/>
        <w:rPr>
          <w:rFonts w:ascii="Arial"/>
          <w:sz w:val="21"/>
        </w:rPr>
      </w:pPr>
    </w:p>
    <w:p w14:paraId="65E1CCE6">
      <w:pPr>
        <w:spacing w:line="250" w:lineRule="auto"/>
        <w:rPr>
          <w:rFonts w:ascii="Arial"/>
          <w:sz w:val="21"/>
        </w:rPr>
      </w:pPr>
    </w:p>
    <w:p w14:paraId="09C91FBE">
      <w:pPr>
        <w:spacing w:line="250" w:lineRule="auto"/>
        <w:rPr>
          <w:rFonts w:ascii="Arial"/>
          <w:sz w:val="21"/>
        </w:rPr>
      </w:pPr>
    </w:p>
    <w:p w14:paraId="00692B29">
      <w:pPr>
        <w:spacing w:line="250" w:lineRule="auto"/>
        <w:rPr>
          <w:rFonts w:ascii="Arial"/>
          <w:sz w:val="21"/>
        </w:rPr>
      </w:pPr>
    </w:p>
    <w:p w14:paraId="685DC2A7">
      <w:pPr>
        <w:spacing w:line="250" w:lineRule="auto"/>
        <w:rPr>
          <w:rFonts w:ascii="Arial"/>
          <w:sz w:val="21"/>
        </w:rPr>
      </w:pPr>
    </w:p>
    <w:p w14:paraId="61F53552">
      <w:pPr>
        <w:spacing w:line="250" w:lineRule="auto"/>
        <w:rPr>
          <w:rFonts w:ascii="Arial"/>
          <w:sz w:val="21"/>
        </w:rPr>
      </w:pPr>
    </w:p>
    <w:p w14:paraId="01E81F77">
      <w:pPr>
        <w:spacing w:line="250" w:lineRule="auto"/>
        <w:rPr>
          <w:rFonts w:ascii="Arial"/>
          <w:sz w:val="21"/>
        </w:rPr>
      </w:pPr>
    </w:p>
    <w:p w14:paraId="636B6474">
      <w:pPr>
        <w:spacing w:line="250" w:lineRule="auto"/>
        <w:rPr>
          <w:rFonts w:ascii="Arial"/>
          <w:sz w:val="21"/>
        </w:rPr>
      </w:pPr>
    </w:p>
    <w:p w14:paraId="514E2DB6">
      <w:pPr>
        <w:spacing w:line="251" w:lineRule="auto"/>
        <w:rPr>
          <w:rFonts w:ascii="Arial"/>
          <w:sz w:val="21"/>
        </w:rPr>
      </w:pPr>
    </w:p>
    <w:p w14:paraId="374FD379">
      <w:pPr>
        <w:pStyle w:val="2"/>
        <w:spacing w:before="91" w:line="185" w:lineRule="auto"/>
        <w:ind w:left="2376"/>
        <w:rPr>
          <w:sz w:val="28"/>
          <w:szCs w:val="28"/>
        </w:rPr>
      </w:pPr>
      <w:r>
        <w:rPr>
          <w:spacing w:val="-19"/>
          <w:sz w:val="28"/>
          <w:szCs w:val="28"/>
        </w:rPr>
        <w:t>投</w:t>
      </w:r>
      <w:r>
        <w:rPr>
          <w:spacing w:val="-24"/>
          <w:sz w:val="28"/>
          <w:szCs w:val="28"/>
        </w:rPr>
        <w:t xml:space="preserve"> </w:t>
      </w:r>
      <w:r>
        <w:rPr>
          <w:spacing w:val="-19"/>
          <w:sz w:val="28"/>
          <w:szCs w:val="28"/>
        </w:rPr>
        <w:t>标</w:t>
      </w:r>
      <w:r>
        <w:rPr>
          <w:spacing w:val="-24"/>
          <w:sz w:val="28"/>
          <w:szCs w:val="28"/>
        </w:rPr>
        <w:t xml:space="preserve"> </w:t>
      </w:r>
      <w:r>
        <w:rPr>
          <w:spacing w:val="-19"/>
          <w:sz w:val="28"/>
          <w:szCs w:val="28"/>
        </w:rPr>
        <w:t>人</w:t>
      </w:r>
      <w:r>
        <w:rPr>
          <w:spacing w:val="-37"/>
          <w:sz w:val="28"/>
          <w:szCs w:val="28"/>
        </w:rPr>
        <w:t xml:space="preserve"> </w:t>
      </w:r>
      <w:r>
        <w:rPr>
          <w:spacing w:val="-19"/>
          <w:sz w:val="28"/>
          <w:szCs w:val="28"/>
        </w:rPr>
        <w:t>：</w:t>
      </w:r>
      <w:r>
        <w:rPr>
          <w:sz w:val="28"/>
          <w:szCs w:val="28"/>
          <w:u w:val="single" w:color="auto"/>
        </w:rPr>
        <w:t xml:space="preserve">                             </w:t>
      </w:r>
    </w:p>
    <w:p w14:paraId="2AFCBF7C">
      <w:pPr>
        <w:pStyle w:val="2"/>
        <w:spacing w:before="17" w:line="219" w:lineRule="auto"/>
        <w:ind w:left="4776"/>
        <w:rPr>
          <w:sz w:val="28"/>
          <w:szCs w:val="28"/>
        </w:rPr>
      </w:pPr>
      <w:r>
        <w:rPr>
          <w:spacing w:val="1"/>
          <w:sz w:val="28"/>
          <w:szCs w:val="28"/>
        </w:rPr>
        <w:t>(单位盖章)</w:t>
      </w:r>
    </w:p>
    <w:p w14:paraId="582E65C8">
      <w:pPr>
        <w:spacing w:line="475" w:lineRule="auto"/>
        <w:rPr>
          <w:rFonts w:ascii="Arial"/>
          <w:sz w:val="21"/>
        </w:rPr>
      </w:pPr>
    </w:p>
    <w:p w14:paraId="1F82C6B5">
      <w:pPr>
        <w:pStyle w:val="2"/>
        <w:spacing w:before="92" w:line="219" w:lineRule="auto"/>
        <w:ind w:left="2326"/>
        <w:rPr>
          <w:sz w:val="28"/>
          <w:szCs w:val="28"/>
        </w:rPr>
      </w:pPr>
      <w:r>
        <w:rPr>
          <w:spacing w:val="-4"/>
          <w:sz w:val="28"/>
          <w:szCs w:val="28"/>
        </w:rPr>
        <w:t>编制时间：</w:t>
      </w:r>
      <w:r>
        <w:rPr>
          <w:spacing w:val="101"/>
          <w:sz w:val="28"/>
          <w:szCs w:val="28"/>
        </w:rPr>
        <w:t xml:space="preserve"> </w:t>
      </w:r>
      <w:r>
        <w:rPr>
          <w:spacing w:val="7"/>
          <w:sz w:val="28"/>
          <w:szCs w:val="28"/>
          <w:u w:val="single" w:color="auto"/>
        </w:rPr>
        <w:t xml:space="preserve">         </w:t>
      </w:r>
      <w:r>
        <w:rPr>
          <w:spacing w:val="-113"/>
          <w:sz w:val="28"/>
          <w:szCs w:val="28"/>
        </w:rPr>
        <w:t xml:space="preserve"> </w:t>
      </w:r>
      <w:r>
        <w:rPr>
          <w:spacing w:val="-4"/>
          <w:sz w:val="28"/>
          <w:szCs w:val="28"/>
        </w:rPr>
        <w:t>年</w:t>
      </w:r>
      <w:r>
        <w:rPr>
          <w:spacing w:val="-108"/>
          <w:sz w:val="28"/>
          <w:szCs w:val="28"/>
        </w:rPr>
        <w:t xml:space="preserve"> </w:t>
      </w:r>
      <w:r>
        <w:rPr>
          <w:spacing w:val="35"/>
          <w:sz w:val="28"/>
          <w:szCs w:val="28"/>
          <w:u w:val="single" w:color="auto"/>
        </w:rPr>
        <w:t xml:space="preserve">    </w:t>
      </w:r>
      <w:r>
        <w:rPr>
          <w:spacing w:val="-120"/>
          <w:sz w:val="28"/>
          <w:szCs w:val="28"/>
        </w:rPr>
        <w:t xml:space="preserve"> </w:t>
      </w:r>
      <w:r>
        <w:rPr>
          <w:spacing w:val="-4"/>
          <w:sz w:val="28"/>
          <w:szCs w:val="28"/>
        </w:rPr>
        <w:t>月</w:t>
      </w:r>
      <w:r>
        <w:rPr>
          <w:spacing w:val="24"/>
          <w:sz w:val="28"/>
          <w:szCs w:val="28"/>
          <w:u w:val="single" w:color="auto"/>
        </w:rPr>
        <w:t xml:space="preserve">    </w:t>
      </w:r>
      <w:r>
        <w:rPr>
          <w:spacing w:val="-98"/>
          <w:sz w:val="28"/>
          <w:szCs w:val="28"/>
        </w:rPr>
        <w:t xml:space="preserve"> </w:t>
      </w:r>
      <w:r>
        <w:rPr>
          <w:spacing w:val="-4"/>
          <w:sz w:val="28"/>
          <w:szCs w:val="28"/>
        </w:rPr>
        <w:t>日</w:t>
      </w:r>
    </w:p>
    <w:p w14:paraId="383EA52D">
      <w:pPr>
        <w:spacing w:line="219" w:lineRule="auto"/>
        <w:rPr>
          <w:sz w:val="28"/>
          <w:szCs w:val="28"/>
        </w:rPr>
        <w:sectPr>
          <w:footerReference r:id="rId397" w:type="default"/>
          <w:pgSz w:w="11910" w:h="16840"/>
          <w:pgMar w:top="400" w:right="1786" w:bottom="1147" w:left="1483" w:header="0" w:footer="1021" w:gutter="0"/>
          <w:cols w:space="720" w:num="1"/>
        </w:sectPr>
      </w:pPr>
    </w:p>
    <w:p w14:paraId="39AF578D">
      <w:pPr>
        <w:spacing w:line="269" w:lineRule="auto"/>
        <w:rPr>
          <w:rFonts w:ascii="Arial"/>
          <w:sz w:val="21"/>
        </w:rPr>
      </w:pPr>
    </w:p>
    <w:p w14:paraId="57ADF896">
      <w:pPr>
        <w:spacing w:line="269" w:lineRule="auto"/>
        <w:rPr>
          <w:rFonts w:ascii="Arial"/>
          <w:sz w:val="21"/>
        </w:rPr>
      </w:pPr>
    </w:p>
    <w:p w14:paraId="19D0F085">
      <w:pPr>
        <w:spacing w:line="269" w:lineRule="auto"/>
        <w:rPr>
          <w:rFonts w:ascii="Arial"/>
          <w:sz w:val="21"/>
        </w:rPr>
      </w:pPr>
    </w:p>
    <w:p w14:paraId="6627453C">
      <w:pPr>
        <w:spacing w:line="270" w:lineRule="auto"/>
        <w:rPr>
          <w:rFonts w:ascii="Arial"/>
          <w:sz w:val="21"/>
        </w:rPr>
      </w:pPr>
    </w:p>
    <w:p w14:paraId="1529B267">
      <w:pPr>
        <w:spacing w:line="270" w:lineRule="auto"/>
        <w:rPr>
          <w:rFonts w:ascii="Arial"/>
          <w:sz w:val="21"/>
        </w:rPr>
      </w:pPr>
    </w:p>
    <w:p w14:paraId="69C0CF7F">
      <w:pPr>
        <w:spacing w:before="69" w:line="222" w:lineRule="auto"/>
        <w:rPr>
          <w:rFonts w:ascii="黑体" w:hAnsi="黑体" w:eastAsia="黑体" w:cs="黑体"/>
          <w:sz w:val="21"/>
          <w:szCs w:val="21"/>
        </w:rPr>
      </w:pPr>
      <w:r>
        <w:rPr>
          <w:rFonts w:ascii="黑体" w:hAnsi="黑体" w:eastAsia="黑体" w:cs="黑体"/>
          <w:b/>
          <w:bCs/>
          <w:spacing w:val="27"/>
          <w:sz w:val="21"/>
          <w:szCs w:val="21"/>
        </w:rPr>
        <w:t>投标总价扉页</w:t>
      </w:r>
    </w:p>
    <w:p w14:paraId="786B74DD">
      <w:pPr>
        <w:spacing w:line="389" w:lineRule="auto"/>
        <w:rPr>
          <w:rFonts w:ascii="Arial"/>
          <w:sz w:val="21"/>
        </w:rPr>
      </w:pPr>
    </w:p>
    <w:p w14:paraId="6EE5926C">
      <w:pPr>
        <w:tabs>
          <w:tab w:val="left" w:pos="2126"/>
        </w:tabs>
        <w:spacing w:before="97" w:line="408" w:lineRule="auto"/>
        <w:ind w:left="4080" w:right="1281" w:hanging="3214"/>
        <w:rPr>
          <w:rFonts w:ascii="黑体" w:hAnsi="黑体" w:eastAsia="黑体" w:cs="黑体"/>
          <w:sz w:val="30"/>
          <w:szCs w:val="30"/>
        </w:rPr>
      </w:pPr>
      <w:r>
        <w:rPr>
          <w:rFonts w:ascii="黑体" w:hAnsi="黑体" w:eastAsia="黑体" w:cs="黑体"/>
          <w:sz w:val="30"/>
          <w:szCs w:val="30"/>
          <w:u w:val="single" w:color="auto"/>
        </w:rPr>
        <w:tab/>
      </w:r>
      <w:r>
        <w:rPr>
          <w:rFonts w:ascii="黑体" w:hAnsi="黑体" w:eastAsia="黑体" w:cs="黑体"/>
          <w:spacing w:val="9"/>
          <w:sz w:val="30"/>
          <w:szCs w:val="30"/>
        </w:rPr>
        <w:t xml:space="preserve"> </w:t>
      </w:r>
      <w:r>
        <w:rPr>
          <w:rFonts w:ascii="黑体" w:hAnsi="黑体" w:eastAsia="黑体" w:cs="黑体"/>
          <w:b/>
          <w:bCs/>
          <w:spacing w:val="4"/>
          <w:sz w:val="30"/>
          <w:szCs w:val="30"/>
        </w:rPr>
        <w:t>(项目名称)</w:t>
      </w:r>
      <w:r>
        <w:rPr>
          <w:rFonts w:ascii="黑体" w:hAnsi="黑体" w:eastAsia="黑体" w:cs="黑体"/>
          <w:spacing w:val="-57"/>
          <w:sz w:val="30"/>
          <w:szCs w:val="30"/>
        </w:rPr>
        <w:t xml:space="preserve"> </w:t>
      </w:r>
      <w:r>
        <w:rPr>
          <w:rFonts w:ascii="黑体" w:hAnsi="黑体" w:eastAsia="黑体" w:cs="黑体"/>
          <w:spacing w:val="4"/>
          <w:sz w:val="30"/>
          <w:szCs w:val="30"/>
          <w:u w:val="single" w:color="auto"/>
        </w:rPr>
        <w:t xml:space="preserve">      </w:t>
      </w:r>
      <w:r>
        <w:rPr>
          <w:rFonts w:ascii="黑体" w:hAnsi="黑体" w:eastAsia="黑体" w:cs="黑体"/>
          <w:spacing w:val="4"/>
          <w:sz w:val="30"/>
          <w:szCs w:val="30"/>
        </w:rPr>
        <w:t xml:space="preserve"> </w:t>
      </w:r>
      <w:r>
        <w:rPr>
          <w:rFonts w:ascii="黑体" w:hAnsi="黑体" w:eastAsia="黑体" w:cs="黑体"/>
          <w:b/>
          <w:bCs/>
          <w:spacing w:val="4"/>
          <w:sz w:val="30"/>
          <w:szCs w:val="30"/>
        </w:rPr>
        <w:t>(标段名称)施工招标</w:t>
      </w:r>
      <w:r>
        <w:rPr>
          <w:rFonts w:ascii="黑体" w:hAnsi="黑体" w:eastAsia="黑体" w:cs="黑体"/>
          <w:sz w:val="30"/>
          <w:szCs w:val="30"/>
        </w:rPr>
        <w:t xml:space="preserve"> </w:t>
      </w:r>
      <w:r>
        <w:rPr>
          <w:rFonts w:ascii="黑体" w:hAnsi="黑体" w:eastAsia="黑体" w:cs="黑体"/>
          <w:b/>
          <w:bCs/>
          <w:spacing w:val="45"/>
          <w:sz w:val="30"/>
          <w:szCs w:val="30"/>
        </w:rPr>
        <w:t>投标总价</w:t>
      </w:r>
    </w:p>
    <w:p w14:paraId="096B790B">
      <w:pPr>
        <w:spacing w:line="396" w:lineRule="auto"/>
        <w:rPr>
          <w:rFonts w:ascii="Arial"/>
          <w:sz w:val="21"/>
        </w:rPr>
      </w:pPr>
    </w:p>
    <w:p w14:paraId="2A8CAE0B">
      <w:pPr>
        <w:pStyle w:val="2"/>
        <w:spacing w:before="68" w:line="220" w:lineRule="auto"/>
        <w:ind w:left="406"/>
        <w:rPr>
          <w:sz w:val="21"/>
          <w:szCs w:val="21"/>
        </w:rPr>
      </w:pPr>
      <w:r>
        <w:rPr>
          <w:spacing w:val="-13"/>
          <w:sz w:val="21"/>
          <w:szCs w:val="21"/>
        </w:rPr>
        <w:t>招</w:t>
      </w:r>
      <w:r>
        <w:rPr>
          <w:spacing w:val="-22"/>
          <w:sz w:val="21"/>
          <w:szCs w:val="21"/>
        </w:rPr>
        <w:t xml:space="preserve"> </w:t>
      </w:r>
      <w:r>
        <w:rPr>
          <w:spacing w:val="-13"/>
          <w:sz w:val="21"/>
          <w:szCs w:val="21"/>
        </w:rPr>
        <w:t>标</w:t>
      </w:r>
      <w:r>
        <w:rPr>
          <w:spacing w:val="-22"/>
          <w:sz w:val="21"/>
          <w:szCs w:val="21"/>
        </w:rPr>
        <w:t xml:space="preserve"> </w:t>
      </w:r>
      <w:r>
        <w:rPr>
          <w:spacing w:val="-13"/>
          <w:sz w:val="21"/>
          <w:szCs w:val="21"/>
        </w:rPr>
        <w:t>人</w:t>
      </w:r>
      <w:r>
        <w:rPr>
          <w:spacing w:val="-31"/>
          <w:sz w:val="21"/>
          <w:szCs w:val="21"/>
        </w:rPr>
        <w:t xml:space="preserve"> </w:t>
      </w:r>
      <w:r>
        <w:rPr>
          <w:spacing w:val="-13"/>
          <w:sz w:val="21"/>
          <w:szCs w:val="21"/>
        </w:rPr>
        <w:t>：</w:t>
      </w:r>
      <w:r>
        <w:rPr>
          <w:sz w:val="21"/>
          <w:szCs w:val="21"/>
          <w:u w:val="single" w:color="auto"/>
        </w:rPr>
        <w:t xml:space="preserve">                                                                </w:t>
      </w:r>
    </w:p>
    <w:p w14:paraId="1D49903C">
      <w:pPr>
        <w:spacing w:line="289" w:lineRule="auto"/>
        <w:rPr>
          <w:rFonts w:ascii="Arial"/>
          <w:sz w:val="21"/>
        </w:rPr>
      </w:pPr>
    </w:p>
    <w:p w14:paraId="71EF7CB3">
      <w:pPr>
        <w:pStyle w:val="2"/>
        <w:spacing w:before="69" w:line="220" w:lineRule="auto"/>
        <w:ind w:left="406"/>
        <w:rPr>
          <w:sz w:val="21"/>
          <w:szCs w:val="21"/>
        </w:rPr>
      </w:pPr>
      <w:r>
        <w:rPr>
          <w:spacing w:val="-1"/>
          <w:sz w:val="21"/>
          <w:szCs w:val="21"/>
        </w:rPr>
        <w:t>工程名称：</w:t>
      </w:r>
      <w:r>
        <w:rPr>
          <w:sz w:val="21"/>
          <w:szCs w:val="21"/>
          <w:u w:val="single" w:color="auto"/>
        </w:rPr>
        <w:t xml:space="preserve">                                                                </w:t>
      </w:r>
    </w:p>
    <w:p w14:paraId="4EA10FE4">
      <w:pPr>
        <w:spacing w:line="287" w:lineRule="auto"/>
        <w:rPr>
          <w:rFonts w:ascii="Arial"/>
          <w:sz w:val="21"/>
        </w:rPr>
      </w:pPr>
    </w:p>
    <w:p w14:paraId="1FBAB56D">
      <w:pPr>
        <w:pStyle w:val="2"/>
        <w:spacing w:before="68" w:line="218" w:lineRule="auto"/>
        <w:ind w:left="406"/>
        <w:rPr>
          <w:sz w:val="21"/>
          <w:szCs w:val="21"/>
        </w:rPr>
      </w:pPr>
      <w:r>
        <w:rPr>
          <w:spacing w:val="7"/>
          <w:sz w:val="21"/>
          <w:szCs w:val="21"/>
        </w:rPr>
        <w:t>投标总价(小写):</w:t>
      </w:r>
      <w:r>
        <w:rPr>
          <w:spacing w:val="29"/>
          <w:sz w:val="21"/>
          <w:szCs w:val="21"/>
        </w:rPr>
        <w:t xml:space="preserve"> </w:t>
      </w:r>
      <w:r>
        <w:rPr>
          <w:spacing w:val="2"/>
          <w:sz w:val="21"/>
          <w:szCs w:val="21"/>
          <w:u w:val="single" w:color="auto"/>
        </w:rPr>
        <w:t xml:space="preserve">                                  </w:t>
      </w:r>
      <w:r>
        <w:rPr>
          <w:spacing w:val="1"/>
          <w:sz w:val="21"/>
          <w:szCs w:val="21"/>
          <w:u w:val="single" w:color="auto"/>
        </w:rPr>
        <w:t xml:space="preserve">                 </w:t>
      </w:r>
      <w:r>
        <w:rPr>
          <w:spacing w:val="7"/>
          <w:sz w:val="21"/>
          <w:szCs w:val="21"/>
          <w:u w:val="single" w:color="auto"/>
        </w:rPr>
        <w:t>元</w:t>
      </w:r>
      <w:r>
        <w:rPr>
          <w:sz w:val="21"/>
          <w:szCs w:val="21"/>
          <w:u w:val="single" w:color="auto"/>
        </w:rPr>
        <w:t xml:space="preserve">   </w:t>
      </w:r>
    </w:p>
    <w:p w14:paraId="743D2AE2">
      <w:pPr>
        <w:spacing w:line="294" w:lineRule="auto"/>
        <w:rPr>
          <w:rFonts w:ascii="Arial"/>
          <w:sz w:val="21"/>
        </w:rPr>
      </w:pPr>
    </w:p>
    <w:p w14:paraId="57F4F80D">
      <w:pPr>
        <w:pStyle w:val="2"/>
        <w:spacing w:before="68" w:line="220" w:lineRule="auto"/>
        <w:ind w:left="1296"/>
        <w:rPr>
          <w:sz w:val="21"/>
          <w:szCs w:val="21"/>
        </w:rPr>
      </w:pPr>
      <w:r>
        <w:rPr>
          <w:spacing w:val="-20"/>
          <w:sz w:val="21"/>
          <w:szCs w:val="21"/>
        </w:rPr>
        <w:t>( 大</w:t>
      </w:r>
      <w:r>
        <w:rPr>
          <w:spacing w:val="1"/>
          <w:sz w:val="21"/>
          <w:szCs w:val="21"/>
        </w:rPr>
        <w:t xml:space="preserve"> </w:t>
      </w:r>
      <w:r>
        <w:rPr>
          <w:spacing w:val="-20"/>
          <w:sz w:val="21"/>
          <w:szCs w:val="21"/>
        </w:rPr>
        <w:t>写</w:t>
      </w:r>
      <w:r>
        <w:rPr>
          <w:spacing w:val="-7"/>
          <w:sz w:val="21"/>
          <w:szCs w:val="21"/>
        </w:rPr>
        <w:t xml:space="preserve"> </w:t>
      </w:r>
      <w:r>
        <w:rPr>
          <w:spacing w:val="-20"/>
          <w:sz w:val="21"/>
          <w:szCs w:val="21"/>
        </w:rPr>
        <w:t>)</w:t>
      </w:r>
      <w:r>
        <w:rPr>
          <w:spacing w:val="22"/>
          <w:sz w:val="21"/>
          <w:szCs w:val="21"/>
        </w:rPr>
        <w:t xml:space="preserve"> </w:t>
      </w:r>
      <w:r>
        <w:rPr>
          <w:spacing w:val="-20"/>
          <w:sz w:val="21"/>
          <w:szCs w:val="21"/>
        </w:rPr>
        <w:t>:</w:t>
      </w:r>
      <w:r>
        <w:rPr>
          <w:spacing w:val="1"/>
          <w:sz w:val="21"/>
          <w:szCs w:val="21"/>
          <w:u w:val="single" w:color="auto"/>
        </w:rPr>
        <w:t xml:space="preserve">                                                    </w:t>
      </w:r>
      <w:r>
        <w:rPr>
          <w:spacing w:val="-20"/>
          <w:sz w:val="21"/>
          <w:szCs w:val="21"/>
          <w:u w:val="single" w:color="auto"/>
        </w:rPr>
        <w:t>元</w:t>
      </w:r>
      <w:r>
        <w:rPr>
          <w:spacing w:val="4"/>
          <w:sz w:val="21"/>
          <w:szCs w:val="21"/>
          <w:u w:val="single" w:color="auto"/>
        </w:rPr>
        <w:t xml:space="preserve">   </w:t>
      </w:r>
    </w:p>
    <w:p w14:paraId="547C65A2">
      <w:pPr>
        <w:spacing w:line="289" w:lineRule="auto"/>
        <w:rPr>
          <w:rFonts w:ascii="Arial"/>
          <w:sz w:val="21"/>
        </w:rPr>
      </w:pPr>
    </w:p>
    <w:p w14:paraId="0C115B23">
      <w:pPr>
        <w:pStyle w:val="2"/>
        <w:spacing w:before="69" w:line="220" w:lineRule="auto"/>
        <w:ind w:left="406"/>
        <w:rPr>
          <w:sz w:val="21"/>
          <w:szCs w:val="21"/>
        </w:rPr>
      </w:pPr>
      <w:r>
        <w:rPr>
          <w:spacing w:val="-14"/>
          <w:sz w:val="21"/>
          <w:szCs w:val="21"/>
        </w:rPr>
        <w:t>投</w:t>
      </w:r>
      <w:r>
        <w:rPr>
          <w:spacing w:val="-20"/>
          <w:sz w:val="21"/>
          <w:szCs w:val="21"/>
        </w:rPr>
        <w:t xml:space="preserve"> </w:t>
      </w:r>
      <w:r>
        <w:rPr>
          <w:spacing w:val="-14"/>
          <w:sz w:val="21"/>
          <w:szCs w:val="21"/>
        </w:rPr>
        <w:t>标</w:t>
      </w:r>
      <w:r>
        <w:rPr>
          <w:spacing w:val="-20"/>
          <w:sz w:val="21"/>
          <w:szCs w:val="21"/>
        </w:rPr>
        <w:t xml:space="preserve"> </w:t>
      </w:r>
      <w:r>
        <w:rPr>
          <w:spacing w:val="-14"/>
          <w:sz w:val="21"/>
          <w:szCs w:val="21"/>
        </w:rPr>
        <w:t>人</w:t>
      </w:r>
      <w:r>
        <w:rPr>
          <w:spacing w:val="-31"/>
          <w:sz w:val="21"/>
          <w:szCs w:val="21"/>
        </w:rPr>
        <w:t xml:space="preserve"> </w:t>
      </w:r>
      <w:r>
        <w:rPr>
          <w:spacing w:val="-14"/>
          <w:sz w:val="21"/>
          <w:szCs w:val="21"/>
        </w:rPr>
        <w:t>：</w:t>
      </w:r>
      <w:r>
        <w:rPr>
          <w:sz w:val="21"/>
          <w:szCs w:val="21"/>
          <w:u w:val="single" w:color="auto"/>
        </w:rPr>
        <w:t xml:space="preserve">                                                                </w:t>
      </w:r>
    </w:p>
    <w:p w14:paraId="62074360">
      <w:pPr>
        <w:pStyle w:val="2"/>
        <w:spacing w:before="68" w:line="219" w:lineRule="auto"/>
        <w:ind w:left="4226"/>
        <w:rPr>
          <w:sz w:val="21"/>
          <w:szCs w:val="21"/>
        </w:rPr>
      </w:pPr>
      <w:r>
        <w:rPr>
          <w:spacing w:val="-4"/>
          <w:sz w:val="21"/>
          <w:szCs w:val="21"/>
        </w:rPr>
        <w:t>(单位盖章)</w:t>
      </w:r>
    </w:p>
    <w:p w14:paraId="12862867">
      <w:pPr>
        <w:pStyle w:val="2"/>
        <w:spacing w:before="262" w:line="219" w:lineRule="auto"/>
        <w:ind w:left="406"/>
        <w:rPr>
          <w:sz w:val="21"/>
          <w:szCs w:val="21"/>
        </w:rPr>
      </w:pPr>
      <w:r>
        <w:rPr>
          <w:spacing w:val="-2"/>
          <w:sz w:val="21"/>
          <w:szCs w:val="21"/>
        </w:rPr>
        <w:t>法定代表人</w:t>
      </w:r>
    </w:p>
    <w:p w14:paraId="3292FD03">
      <w:pPr>
        <w:pStyle w:val="2"/>
        <w:spacing w:before="261" w:line="219" w:lineRule="auto"/>
        <w:ind w:left="406"/>
        <w:rPr>
          <w:sz w:val="21"/>
          <w:szCs w:val="21"/>
        </w:rPr>
      </w:pPr>
      <w:r>
        <w:rPr>
          <w:spacing w:val="1"/>
          <w:sz w:val="21"/>
          <w:szCs w:val="21"/>
        </w:rPr>
        <w:t>或其授权人：</w:t>
      </w:r>
      <w:r>
        <w:rPr>
          <w:spacing w:val="1"/>
          <w:sz w:val="21"/>
          <w:szCs w:val="21"/>
          <w:u w:val="single" w:color="auto"/>
        </w:rPr>
        <w:t xml:space="preserve">                  </w:t>
      </w:r>
      <w:r>
        <w:rPr>
          <w:sz w:val="21"/>
          <w:szCs w:val="21"/>
          <w:u w:val="single" w:color="auto"/>
        </w:rPr>
        <w:t xml:space="preserve">                                           </w:t>
      </w:r>
    </w:p>
    <w:p w14:paraId="6C34E471">
      <w:pPr>
        <w:pStyle w:val="2"/>
        <w:spacing w:before="81" w:line="219" w:lineRule="auto"/>
        <w:ind w:left="4436"/>
        <w:rPr>
          <w:sz w:val="21"/>
          <w:szCs w:val="21"/>
        </w:rPr>
      </w:pPr>
      <w:r>
        <w:rPr>
          <w:spacing w:val="-3"/>
          <w:sz w:val="21"/>
          <w:szCs w:val="21"/>
        </w:rPr>
        <w:t>(签字)</w:t>
      </w:r>
    </w:p>
    <w:p w14:paraId="41C44ECE">
      <w:pPr>
        <w:spacing w:line="250" w:lineRule="auto"/>
        <w:rPr>
          <w:rFonts w:ascii="Arial"/>
          <w:sz w:val="21"/>
        </w:rPr>
      </w:pPr>
    </w:p>
    <w:p w14:paraId="19B2BC02">
      <w:pPr>
        <w:pStyle w:val="2"/>
        <w:spacing w:before="69" w:line="219" w:lineRule="auto"/>
        <w:ind w:left="406"/>
        <w:rPr>
          <w:sz w:val="21"/>
          <w:szCs w:val="21"/>
        </w:rPr>
      </w:pPr>
      <w:r>
        <w:rPr>
          <w:spacing w:val="-3"/>
          <w:sz w:val="21"/>
          <w:szCs w:val="21"/>
        </w:rPr>
        <w:t>编制人：</w:t>
      </w:r>
      <w:r>
        <w:rPr>
          <w:sz w:val="21"/>
          <w:szCs w:val="21"/>
          <w:u w:val="single" w:color="auto"/>
        </w:rPr>
        <w:t xml:space="preserve">                                                                  </w:t>
      </w:r>
    </w:p>
    <w:p w14:paraId="140EDA4C">
      <w:pPr>
        <w:spacing w:line="249" w:lineRule="auto"/>
        <w:rPr>
          <w:rFonts w:ascii="Arial"/>
          <w:sz w:val="21"/>
        </w:rPr>
      </w:pPr>
    </w:p>
    <w:p w14:paraId="47356AB1">
      <w:pPr>
        <w:pStyle w:val="2"/>
        <w:spacing w:before="69" w:line="218" w:lineRule="auto"/>
        <w:ind w:left="3596"/>
        <w:rPr>
          <w:sz w:val="21"/>
          <w:szCs w:val="21"/>
        </w:rPr>
      </w:pPr>
      <w:r>
        <w:rPr>
          <w:spacing w:val="-2"/>
          <w:sz w:val="21"/>
          <w:szCs w:val="21"/>
        </w:rPr>
        <w:t>(造价人员签字盖专用章)</w:t>
      </w:r>
    </w:p>
    <w:p w14:paraId="2A57F979">
      <w:pPr>
        <w:spacing w:line="281" w:lineRule="auto"/>
        <w:rPr>
          <w:rFonts w:ascii="Arial"/>
          <w:sz w:val="21"/>
        </w:rPr>
      </w:pPr>
    </w:p>
    <w:p w14:paraId="556ACEE0">
      <w:pPr>
        <w:spacing w:line="281" w:lineRule="auto"/>
        <w:rPr>
          <w:rFonts w:ascii="Arial"/>
          <w:sz w:val="21"/>
        </w:rPr>
      </w:pPr>
    </w:p>
    <w:p w14:paraId="051122AA">
      <w:pPr>
        <w:pStyle w:val="2"/>
        <w:spacing w:before="68" w:line="219" w:lineRule="auto"/>
        <w:ind w:left="406"/>
        <w:rPr>
          <w:sz w:val="21"/>
          <w:szCs w:val="21"/>
        </w:rPr>
      </w:pPr>
      <w:r>
        <w:rPr>
          <w:spacing w:val="-5"/>
          <w:sz w:val="21"/>
          <w:szCs w:val="21"/>
        </w:rPr>
        <w:t>编制时间：</w:t>
      </w:r>
      <w:r>
        <w:rPr>
          <w:sz w:val="21"/>
          <w:szCs w:val="21"/>
        </w:rPr>
        <w:t xml:space="preserve">                        </w:t>
      </w:r>
      <w:r>
        <w:rPr>
          <w:spacing w:val="-5"/>
          <w:sz w:val="21"/>
          <w:szCs w:val="21"/>
        </w:rPr>
        <w:t>年</w:t>
      </w:r>
      <w:r>
        <w:rPr>
          <w:spacing w:val="5"/>
          <w:sz w:val="21"/>
          <w:szCs w:val="21"/>
        </w:rPr>
        <w:t xml:space="preserve">      </w:t>
      </w:r>
      <w:r>
        <w:rPr>
          <w:spacing w:val="-5"/>
          <w:sz w:val="21"/>
          <w:szCs w:val="21"/>
        </w:rPr>
        <w:t>月</w:t>
      </w:r>
      <w:r>
        <w:rPr>
          <w:spacing w:val="8"/>
          <w:sz w:val="21"/>
          <w:szCs w:val="21"/>
        </w:rPr>
        <w:t xml:space="preserve">      </w:t>
      </w:r>
      <w:r>
        <w:rPr>
          <w:spacing w:val="-5"/>
          <w:sz w:val="21"/>
          <w:szCs w:val="21"/>
        </w:rPr>
        <w:t>日</w:t>
      </w:r>
    </w:p>
    <w:p w14:paraId="27B0BFC6">
      <w:pPr>
        <w:spacing w:line="288" w:lineRule="auto"/>
        <w:rPr>
          <w:rFonts w:ascii="Arial"/>
          <w:sz w:val="21"/>
        </w:rPr>
      </w:pPr>
    </w:p>
    <w:p w14:paraId="1FAF13EE">
      <w:pPr>
        <w:spacing w:line="289" w:lineRule="auto"/>
        <w:rPr>
          <w:rFonts w:ascii="Arial"/>
          <w:sz w:val="21"/>
        </w:rPr>
      </w:pPr>
    </w:p>
    <w:p w14:paraId="17B2FD10">
      <w:pPr>
        <w:pStyle w:val="2"/>
        <w:spacing w:before="69" w:line="218" w:lineRule="auto"/>
        <w:ind w:left="406"/>
        <w:rPr>
          <w:sz w:val="21"/>
          <w:szCs w:val="21"/>
        </w:rPr>
      </w:pPr>
      <w:r>
        <w:rPr>
          <w:spacing w:val="3"/>
          <w:sz w:val="21"/>
          <w:szCs w:val="21"/>
        </w:rPr>
        <w:t>备注：1.投标总价可按四舍五入精确到元。</w:t>
      </w:r>
    </w:p>
    <w:p w14:paraId="766951F6">
      <w:pPr>
        <w:pStyle w:val="2"/>
        <w:spacing w:before="141" w:line="264" w:lineRule="auto"/>
        <w:ind w:left="1366" w:right="1" w:hanging="340"/>
        <w:rPr>
          <w:sz w:val="21"/>
          <w:szCs w:val="21"/>
        </w:rPr>
      </w:pPr>
      <w:r>
        <w:rPr>
          <w:spacing w:val="1"/>
          <w:sz w:val="21"/>
          <w:szCs w:val="21"/>
        </w:rPr>
        <w:t>2. 因“电子交易平台”未要求造价人员办理</w:t>
      </w:r>
      <w:r>
        <w:rPr>
          <w:spacing w:val="-52"/>
          <w:sz w:val="21"/>
          <w:szCs w:val="21"/>
        </w:rPr>
        <w:t xml:space="preserve"> </w:t>
      </w:r>
      <w:r>
        <w:rPr>
          <w:sz w:val="21"/>
          <w:szCs w:val="21"/>
        </w:rPr>
        <w:t>CA</w:t>
      </w:r>
      <w:r>
        <w:rPr>
          <w:spacing w:val="-39"/>
          <w:sz w:val="21"/>
          <w:szCs w:val="21"/>
        </w:rPr>
        <w:t xml:space="preserve"> </w:t>
      </w:r>
      <w:r>
        <w:rPr>
          <w:spacing w:val="1"/>
          <w:sz w:val="21"/>
          <w:szCs w:val="21"/>
        </w:rPr>
        <w:t>数字证书，“造价</w:t>
      </w:r>
      <w:r>
        <w:rPr>
          <w:sz w:val="21"/>
          <w:szCs w:val="21"/>
        </w:rPr>
        <w:t xml:space="preserve">人员签字盖专用章” </w:t>
      </w:r>
      <w:r>
        <w:rPr>
          <w:spacing w:val="-4"/>
          <w:sz w:val="21"/>
          <w:szCs w:val="21"/>
        </w:rPr>
        <w:t>处暂无需签字和盖专用章。</w:t>
      </w:r>
    </w:p>
    <w:p w14:paraId="39C0EE32">
      <w:pPr>
        <w:pStyle w:val="2"/>
        <w:spacing w:before="141" w:line="277" w:lineRule="auto"/>
        <w:ind w:left="1366" w:hanging="330"/>
        <w:rPr>
          <w:sz w:val="21"/>
          <w:szCs w:val="21"/>
        </w:rPr>
      </w:pPr>
      <w:r>
        <w:rPr>
          <w:spacing w:val="4"/>
          <w:sz w:val="21"/>
          <w:szCs w:val="21"/>
        </w:rPr>
        <w:t>3. 已标价工程量清单的内容和制作按第五章“工</w:t>
      </w:r>
      <w:r>
        <w:rPr>
          <w:spacing w:val="3"/>
          <w:sz w:val="21"/>
          <w:szCs w:val="21"/>
        </w:rPr>
        <w:t>程量清单”和第二章“投标人须知”</w:t>
      </w:r>
      <w:r>
        <w:rPr>
          <w:sz w:val="21"/>
          <w:szCs w:val="21"/>
        </w:rPr>
        <w:t xml:space="preserve"> </w:t>
      </w:r>
      <w:r>
        <w:rPr>
          <w:spacing w:val="12"/>
          <w:sz w:val="21"/>
          <w:szCs w:val="21"/>
        </w:rPr>
        <w:t>第3.7.3(4)目的要求填报和制作。</w:t>
      </w:r>
    </w:p>
    <w:p w14:paraId="64653D5D">
      <w:pPr>
        <w:spacing w:line="277" w:lineRule="auto"/>
        <w:rPr>
          <w:sz w:val="21"/>
          <w:szCs w:val="21"/>
        </w:rPr>
        <w:sectPr>
          <w:footerReference r:id="rId398" w:type="default"/>
          <w:pgSz w:w="11910" w:h="16840"/>
          <w:pgMar w:top="400" w:right="1383" w:bottom="1147" w:left="1473" w:header="0" w:footer="1021" w:gutter="0"/>
          <w:cols w:space="720" w:num="1"/>
        </w:sectPr>
      </w:pPr>
    </w:p>
    <w:p w14:paraId="0D2C896E">
      <w:pPr>
        <w:spacing w:line="254" w:lineRule="auto"/>
        <w:rPr>
          <w:rFonts w:ascii="Arial"/>
          <w:sz w:val="21"/>
        </w:rPr>
      </w:pPr>
    </w:p>
    <w:p w14:paraId="442D432C">
      <w:pPr>
        <w:spacing w:line="254" w:lineRule="auto"/>
        <w:rPr>
          <w:rFonts w:ascii="Arial"/>
          <w:sz w:val="21"/>
        </w:rPr>
      </w:pPr>
    </w:p>
    <w:p w14:paraId="0A2FE320">
      <w:pPr>
        <w:spacing w:line="255" w:lineRule="auto"/>
        <w:rPr>
          <w:rFonts w:ascii="Arial"/>
          <w:sz w:val="21"/>
        </w:rPr>
      </w:pPr>
    </w:p>
    <w:p w14:paraId="04C1EC23">
      <w:pPr>
        <w:spacing w:line="255" w:lineRule="auto"/>
        <w:rPr>
          <w:rFonts w:ascii="Arial"/>
          <w:sz w:val="21"/>
        </w:rPr>
      </w:pPr>
    </w:p>
    <w:p w14:paraId="19A3A676">
      <w:pPr>
        <w:spacing w:line="255" w:lineRule="auto"/>
        <w:rPr>
          <w:rFonts w:ascii="Arial"/>
          <w:sz w:val="21"/>
        </w:rPr>
      </w:pPr>
    </w:p>
    <w:p w14:paraId="6EC9865C">
      <w:pPr>
        <w:spacing w:line="255" w:lineRule="auto"/>
        <w:rPr>
          <w:rFonts w:ascii="Arial"/>
          <w:sz w:val="21"/>
        </w:rPr>
      </w:pPr>
    </w:p>
    <w:p w14:paraId="39411DC1">
      <w:pPr>
        <w:spacing w:line="255" w:lineRule="auto"/>
        <w:rPr>
          <w:rFonts w:ascii="Arial"/>
          <w:sz w:val="21"/>
        </w:rPr>
      </w:pPr>
    </w:p>
    <w:p w14:paraId="669C6C58">
      <w:pPr>
        <w:spacing w:before="91" w:line="222" w:lineRule="auto"/>
        <w:ind w:left="3173"/>
        <w:rPr>
          <w:rFonts w:ascii="黑体" w:hAnsi="黑体" w:eastAsia="黑体" w:cs="黑体"/>
          <w:sz w:val="28"/>
          <w:szCs w:val="28"/>
        </w:rPr>
      </w:pPr>
      <w:r>
        <w:rPr>
          <w:rFonts w:ascii="黑体" w:hAnsi="黑体" w:eastAsia="黑体" w:cs="黑体"/>
          <w:b/>
          <w:bCs/>
          <w:spacing w:val="-2"/>
          <w:sz w:val="28"/>
          <w:szCs w:val="28"/>
        </w:rPr>
        <w:t>十一、施工组织设计</w:t>
      </w:r>
    </w:p>
    <w:p w14:paraId="2CE60B46">
      <w:pPr>
        <w:pStyle w:val="2"/>
        <w:spacing w:before="145" w:line="367" w:lineRule="auto"/>
        <w:ind w:right="75" w:firstLine="409"/>
        <w:jc w:val="both"/>
        <w:rPr>
          <w:sz w:val="21"/>
          <w:szCs w:val="21"/>
        </w:rPr>
      </w:pPr>
      <w:r>
        <w:rPr>
          <w:sz w:val="21"/>
          <w:szCs w:val="21"/>
        </w:rPr>
        <w:t>1. 投标人应根据招标文件和对现场的勘察情况，采用文字并结合图表形式</w:t>
      </w:r>
      <w:r>
        <w:rPr>
          <w:spacing w:val="-1"/>
          <w:sz w:val="21"/>
          <w:szCs w:val="21"/>
        </w:rPr>
        <w:t>，按照中华人民共</w:t>
      </w:r>
      <w:r>
        <w:rPr>
          <w:sz w:val="21"/>
          <w:szCs w:val="21"/>
        </w:rPr>
        <w:t xml:space="preserve"> 和国国家标准《建筑施工组织设计规范》</w:t>
      </w:r>
      <w:r>
        <w:rPr>
          <w:rFonts w:ascii="Times New Roman" w:hAnsi="Times New Roman" w:eastAsia="Times New Roman" w:cs="Times New Roman"/>
          <w:sz w:val="21"/>
          <w:szCs w:val="21"/>
        </w:rPr>
        <w:t>(GB/T505</w:t>
      </w:r>
      <w:r>
        <w:rPr>
          <w:rFonts w:ascii="Times New Roman" w:hAnsi="Times New Roman" w:eastAsia="Times New Roman" w:cs="Times New Roman"/>
          <w:spacing w:val="-1"/>
          <w:sz w:val="21"/>
          <w:szCs w:val="21"/>
        </w:rPr>
        <w:t xml:space="preserve">02-2009)   </w:t>
      </w:r>
      <w:r>
        <w:rPr>
          <w:spacing w:val="-1"/>
          <w:sz w:val="21"/>
          <w:szCs w:val="21"/>
        </w:rPr>
        <w:t>的要求编制本工程的施工组织设计，</w:t>
      </w:r>
      <w:r>
        <w:rPr>
          <w:sz w:val="21"/>
          <w:szCs w:val="21"/>
        </w:rPr>
        <w:t xml:space="preserve"> </w:t>
      </w:r>
      <w:r>
        <w:rPr>
          <w:spacing w:val="-8"/>
          <w:sz w:val="21"/>
          <w:szCs w:val="21"/>
        </w:rPr>
        <w:t>其要点如下：</w:t>
      </w:r>
    </w:p>
    <w:p w14:paraId="441594C7">
      <w:pPr>
        <w:pStyle w:val="2"/>
        <w:spacing w:before="5" w:line="219" w:lineRule="auto"/>
        <w:ind w:left="509"/>
        <w:rPr>
          <w:sz w:val="21"/>
          <w:szCs w:val="21"/>
        </w:rPr>
      </w:pPr>
      <w:r>
        <w:rPr>
          <w:spacing w:val="1"/>
          <w:sz w:val="21"/>
          <w:szCs w:val="21"/>
        </w:rPr>
        <w:t>(1)</w:t>
      </w:r>
      <w:r>
        <w:rPr>
          <w:spacing w:val="29"/>
          <w:sz w:val="21"/>
          <w:szCs w:val="21"/>
        </w:rPr>
        <w:t xml:space="preserve"> </w:t>
      </w:r>
      <w:r>
        <w:rPr>
          <w:b/>
          <w:bCs/>
          <w:spacing w:val="1"/>
          <w:sz w:val="21"/>
          <w:szCs w:val="21"/>
        </w:rPr>
        <w:t>工程概况</w:t>
      </w:r>
    </w:p>
    <w:p w14:paraId="0D20DCAC">
      <w:pPr>
        <w:pStyle w:val="2"/>
        <w:spacing w:before="172" w:line="219" w:lineRule="auto"/>
        <w:ind w:left="909"/>
        <w:rPr>
          <w:sz w:val="21"/>
          <w:szCs w:val="21"/>
        </w:rPr>
      </w:pPr>
      <w:r>
        <w:rPr>
          <w:spacing w:val="-1"/>
          <w:sz w:val="21"/>
          <w:szCs w:val="21"/>
        </w:rPr>
        <w:t>包括工程主要情况、各专业设计简介、工程施工条件等；</w:t>
      </w:r>
    </w:p>
    <w:p w14:paraId="6E281E93">
      <w:pPr>
        <w:pStyle w:val="2"/>
        <w:spacing w:before="169" w:line="219" w:lineRule="auto"/>
        <w:ind w:left="509"/>
        <w:rPr>
          <w:sz w:val="21"/>
          <w:szCs w:val="21"/>
        </w:rPr>
      </w:pPr>
      <w:r>
        <w:rPr>
          <w:spacing w:val="1"/>
          <w:sz w:val="21"/>
          <w:szCs w:val="21"/>
        </w:rPr>
        <w:t>(2)</w:t>
      </w:r>
      <w:r>
        <w:rPr>
          <w:spacing w:val="31"/>
          <w:sz w:val="21"/>
          <w:szCs w:val="21"/>
        </w:rPr>
        <w:t xml:space="preserve"> </w:t>
      </w:r>
      <w:r>
        <w:rPr>
          <w:b/>
          <w:bCs/>
          <w:spacing w:val="1"/>
          <w:sz w:val="21"/>
          <w:szCs w:val="21"/>
        </w:rPr>
        <w:t>施工部署</w:t>
      </w:r>
    </w:p>
    <w:p w14:paraId="3AAA81EE">
      <w:pPr>
        <w:pStyle w:val="2"/>
        <w:spacing w:before="172" w:line="371" w:lineRule="auto"/>
        <w:ind w:left="909" w:right="109"/>
        <w:jc w:val="both"/>
        <w:rPr>
          <w:sz w:val="21"/>
          <w:szCs w:val="21"/>
        </w:rPr>
      </w:pPr>
      <w:r>
        <w:rPr>
          <w:spacing w:val="-1"/>
          <w:sz w:val="21"/>
          <w:szCs w:val="21"/>
        </w:rPr>
        <w:t>包括工程施工目标、主要施工内容及其进度安排、施工流水段划分、施工的重点和难点</w:t>
      </w:r>
      <w:r>
        <w:rPr>
          <w:spacing w:val="5"/>
          <w:sz w:val="21"/>
          <w:szCs w:val="21"/>
        </w:rPr>
        <w:t xml:space="preserve"> </w:t>
      </w:r>
      <w:r>
        <w:rPr>
          <w:sz w:val="21"/>
          <w:szCs w:val="21"/>
        </w:rPr>
        <w:t>分析、工程管理的组织机构形式、项目经理部的</w:t>
      </w:r>
      <w:r>
        <w:rPr>
          <w:spacing w:val="-1"/>
          <w:sz w:val="21"/>
          <w:szCs w:val="21"/>
        </w:rPr>
        <w:t>工作岗位设置及其职责划分、新技术、</w:t>
      </w:r>
      <w:r>
        <w:rPr>
          <w:sz w:val="21"/>
          <w:szCs w:val="21"/>
        </w:rPr>
        <w:t xml:space="preserve"> </w:t>
      </w:r>
      <w:r>
        <w:rPr>
          <w:spacing w:val="4"/>
          <w:sz w:val="21"/>
          <w:szCs w:val="21"/>
        </w:rPr>
        <w:t>新工艺部署及其技术和管理要求(如有)、主要分包工程施工单位的选择要求及管理方</w:t>
      </w:r>
      <w:r>
        <w:rPr>
          <w:spacing w:val="15"/>
          <w:sz w:val="21"/>
          <w:szCs w:val="21"/>
        </w:rPr>
        <w:t xml:space="preserve"> </w:t>
      </w:r>
      <w:r>
        <w:rPr>
          <w:spacing w:val="18"/>
          <w:sz w:val="21"/>
          <w:szCs w:val="21"/>
        </w:rPr>
        <w:t>式(如有);</w:t>
      </w:r>
    </w:p>
    <w:p w14:paraId="73611D99">
      <w:pPr>
        <w:pStyle w:val="2"/>
        <w:spacing w:before="1" w:line="220" w:lineRule="auto"/>
        <w:ind w:left="509"/>
        <w:rPr>
          <w:sz w:val="21"/>
          <w:szCs w:val="21"/>
        </w:rPr>
      </w:pPr>
      <w:r>
        <w:rPr>
          <w:spacing w:val="-1"/>
          <w:sz w:val="21"/>
          <w:szCs w:val="21"/>
        </w:rPr>
        <w:t>(3)</w:t>
      </w:r>
      <w:r>
        <w:rPr>
          <w:spacing w:val="38"/>
          <w:sz w:val="21"/>
          <w:szCs w:val="21"/>
        </w:rPr>
        <w:t xml:space="preserve"> </w:t>
      </w:r>
      <w:r>
        <w:rPr>
          <w:b/>
          <w:bCs/>
          <w:spacing w:val="-1"/>
          <w:sz w:val="21"/>
          <w:szCs w:val="21"/>
        </w:rPr>
        <w:t>施工进度计划</w:t>
      </w:r>
    </w:p>
    <w:p w14:paraId="10A05673">
      <w:pPr>
        <w:pStyle w:val="2"/>
        <w:spacing w:before="162" w:line="373" w:lineRule="auto"/>
        <w:ind w:left="909" w:right="104"/>
        <w:rPr>
          <w:sz w:val="21"/>
          <w:szCs w:val="21"/>
        </w:rPr>
      </w:pPr>
      <w:r>
        <w:rPr>
          <w:sz w:val="21"/>
          <w:szCs w:val="21"/>
        </w:rPr>
        <w:t>可采用网络图或横道图表示，并附必要说明，对于规模较大或</w:t>
      </w:r>
      <w:r>
        <w:rPr>
          <w:spacing w:val="-1"/>
          <w:sz w:val="21"/>
          <w:szCs w:val="21"/>
        </w:rPr>
        <w:t>较复杂的工程，宜采用网</w:t>
      </w:r>
      <w:r>
        <w:rPr>
          <w:sz w:val="21"/>
          <w:szCs w:val="21"/>
        </w:rPr>
        <w:t xml:space="preserve"> </w:t>
      </w:r>
      <w:r>
        <w:rPr>
          <w:spacing w:val="-10"/>
          <w:sz w:val="21"/>
          <w:szCs w:val="21"/>
        </w:rPr>
        <w:t>络图表示；</w:t>
      </w:r>
    </w:p>
    <w:p w14:paraId="4238D19B">
      <w:pPr>
        <w:pStyle w:val="2"/>
        <w:spacing w:before="1" w:line="220" w:lineRule="auto"/>
        <w:ind w:left="509"/>
        <w:rPr>
          <w:sz w:val="21"/>
          <w:szCs w:val="21"/>
        </w:rPr>
      </w:pPr>
      <w:r>
        <w:rPr>
          <w:spacing w:val="5"/>
          <w:sz w:val="21"/>
          <w:szCs w:val="21"/>
        </w:rPr>
        <w:t>(4</w:t>
      </w:r>
      <w:r>
        <w:rPr>
          <w:spacing w:val="-46"/>
          <w:sz w:val="21"/>
          <w:szCs w:val="21"/>
        </w:rPr>
        <w:t xml:space="preserve"> </w:t>
      </w:r>
      <w:r>
        <w:rPr>
          <w:b/>
          <w:bCs/>
          <w:spacing w:val="5"/>
          <w:sz w:val="21"/>
          <w:szCs w:val="21"/>
        </w:rPr>
        <w:t>)施工准备与资源配置计划</w:t>
      </w:r>
    </w:p>
    <w:p w14:paraId="2B7536EC">
      <w:pPr>
        <w:pStyle w:val="2"/>
        <w:spacing w:before="159" w:line="371" w:lineRule="auto"/>
        <w:ind w:left="909" w:right="102"/>
        <w:rPr>
          <w:sz w:val="21"/>
          <w:szCs w:val="21"/>
        </w:rPr>
      </w:pPr>
      <w:r>
        <w:rPr>
          <w:sz w:val="21"/>
          <w:szCs w:val="21"/>
        </w:rPr>
        <w:t>施工准备包括技术准备、现场准备和资金准备；资源配置计划包括</w:t>
      </w:r>
      <w:r>
        <w:rPr>
          <w:spacing w:val="-1"/>
          <w:sz w:val="21"/>
          <w:szCs w:val="21"/>
        </w:rPr>
        <w:t>劳动力配置计划、主</w:t>
      </w:r>
      <w:r>
        <w:rPr>
          <w:sz w:val="21"/>
          <w:szCs w:val="21"/>
        </w:rPr>
        <w:t xml:space="preserve"> </w:t>
      </w:r>
      <w:r>
        <w:rPr>
          <w:spacing w:val="-1"/>
          <w:sz w:val="21"/>
          <w:szCs w:val="21"/>
        </w:rPr>
        <w:t>要工程材料和设备配置计划、主要周转材料和施工机具配</w:t>
      </w:r>
      <w:r>
        <w:rPr>
          <w:spacing w:val="-2"/>
          <w:sz w:val="21"/>
          <w:szCs w:val="21"/>
        </w:rPr>
        <w:t>置计划等；</w:t>
      </w:r>
    </w:p>
    <w:p w14:paraId="2017101B">
      <w:pPr>
        <w:pStyle w:val="2"/>
        <w:spacing w:before="5" w:line="220" w:lineRule="auto"/>
        <w:ind w:left="509"/>
        <w:rPr>
          <w:sz w:val="21"/>
          <w:szCs w:val="21"/>
        </w:rPr>
      </w:pPr>
      <w:r>
        <w:rPr>
          <w:spacing w:val="7"/>
          <w:sz w:val="21"/>
          <w:szCs w:val="21"/>
        </w:rPr>
        <w:t>(5</w:t>
      </w:r>
      <w:r>
        <w:rPr>
          <w:spacing w:val="-42"/>
          <w:sz w:val="21"/>
          <w:szCs w:val="21"/>
        </w:rPr>
        <w:t xml:space="preserve"> </w:t>
      </w:r>
      <w:r>
        <w:rPr>
          <w:b/>
          <w:bCs/>
          <w:spacing w:val="7"/>
          <w:sz w:val="21"/>
          <w:szCs w:val="21"/>
        </w:rPr>
        <w:t>)主要施工方案</w:t>
      </w:r>
    </w:p>
    <w:p w14:paraId="33971DCA">
      <w:pPr>
        <w:pStyle w:val="2"/>
        <w:spacing w:before="161" w:line="371" w:lineRule="auto"/>
        <w:ind w:left="909" w:right="73"/>
        <w:jc w:val="both"/>
        <w:rPr>
          <w:sz w:val="21"/>
          <w:szCs w:val="21"/>
        </w:rPr>
      </w:pPr>
      <w:r>
        <w:rPr>
          <w:spacing w:val="1"/>
          <w:sz w:val="21"/>
          <w:szCs w:val="21"/>
        </w:rPr>
        <w:t>对主要分部、分项工程制定施工方案；对脚手</w:t>
      </w:r>
      <w:r>
        <w:rPr>
          <w:sz w:val="21"/>
          <w:szCs w:val="21"/>
        </w:rPr>
        <w:t>架工程、起重吊装工程、临时用水用电工 程、季节性施工等专项工程所采用的施工方案进行必要的验算和说</w:t>
      </w:r>
      <w:r>
        <w:rPr>
          <w:spacing w:val="-1"/>
          <w:sz w:val="21"/>
          <w:szCs w:val="21"/>
        </w:rPr>
        <w:t>明；对易发生质量通</w:t>
      </w:r>
      <w:r>
        <w:rPr>
          <w:sz w:val="21"/>
          <w:szCs w:val="21"/>
        </w:rPr>
        <w:t xml:space="preserve"> </w:t>
      </w:r>
      <w:r>
        <w:rPr>
          <w:spacing w:val="5"/>
          <w:sz w:val="21"/>
          <w:szCs w:val="21"/>
        </w:rPr>
        <w:t>病、易出现安全问题、施工难度大、技术含量高的分项工程(工序)等做出重点说明；</w:t>
      </w:r>
    </w:p>
    <w:p w14:paraId="06001395">
      <w:pPr>
        <w:pStyle w:val="2"/>
        <w:spacing w:before="11" w:line="219" w:lineRule="auto"/>
        <w:ind w:left="509"/>
        <w:rPr>
          <w:sz w:val="21"/>
          <w:szCs w:val="21"/>
        </w:rPr>
      </w:pPr>
      <w:r>
        <w:rPr>
          <w:spacing w:val="7"/>
          <w:sz w:val="21"/>
          <w:szCs w:val="21"/>
        </w:rPr>
        <w:t>(</w:t>
      </w:r>
      <w:r>
        <w:rPr>
          <w:spacing w:val="-56"/>
          <w:sz w:val="21"/>
          <w:szCs w:val="21"/>
        </w:rPr>
        <w:t xml:space="preserve"> </w:t>
      </w:r>
      <w:r>
        <w:rPr>
          <w:b/>
          <w:bCs/>
          <w:spacing w:val="7"/>
          <w:sz w:val="21"/>
          <w:szCs w:val="21"/>
        </w:rPr>
        <w:t>6)施工现场平面布置</w:t>
      </w:r>
    </w:p>
    <w:p w14:paraId="3C7715F9">
      <w:pPr>
        <w:pStyle w:val="2"/>
        <w:spacing w:before="155" w:line="369" w:lineRule="auto"/>
        <w:ind w:left="909" w:right="19" w:hanging="20"/>
        <w:rPr>
          <w:sz w:val="21"/>
          <w:szCs w:val="21"/>
        </w:rPr>
      </w:pPr>
      <w:r>
        <w:rPr>
          <w:spacing w:val="-3"/>
          <w:sz w:val="21"/>
          <w:szCs w:val="21"/>
        </w:rPr>
        <w:t>按不同施工阶段绘制施工现场平面布置图并附文字说明，说明施工场地状况；拟建建(构)</w:t>
      </w:r>
      <w:r>
        <w:rPr>
          <w:spacing w:val="4"/>
          <w:sz w:val="21"/>
          <w:szCs w:val="21"/>
        </w:rPr>
        <w:t xml:space="preserve"> </w:t>
      </w:r>
      <w:r>
        <w:rPr>
          <w:sz w:val="21"/>
          <w:szCs w:val="21"/>
        </w:rPr>
        <w:t>筑物的位置轮廓、尺寸、层数；加工设施、存储设</w:t>
      </w:r>
      <w:r>
        <w:rPr>
          <w:spacing w:val="-1"/>
          <w:sz w:val="21"/>
          <w:szCs w:val="21"/>
        </w:rPr>
        <w:t>施、办公和生活用房的位置和面积；</w:t>
      </w:r>
    </w:p>
    <w:p w14:paraId="33C97AA6">
      <w:pPr>
        <w:pStyle w:val="2"/>
        <w:spacing w:before="2" w:line="371" w:lineRule="auto"/>
        <w:ind w:left="889"/>
        <w:rPr>
          <w:sz w:val="21"/>
          <w:szCs w:val="21"/>
        </w:rPr>
      </w:pPr>
      <w:r>
        <w:rPr>
          <w:spacing w:val="1"/>
          <w:sz w:val="21"/>
          <w:szCs w:val="21"/>
        </w:rPr>
        <w:t>布置垂直运输设施、供电设施、供水、供热设施、排水排污设施和临时施工道路；必备</w:t>
      </w:r>
      <w:r>
        <w:rPr>
          <w:sz w:val="21"/>
          <w:szCs w:val="21"/>
        </w:rPr>
        <w:t xml:space="preserve"> </w:t>
      </w:r>
      <w:r>
        <w:rPr>
          <w:spacing w:val="3"/>
          <w:sz w:val="21"/>
          <w:szCs w:val="21"/>
        </w:rPr>
        <w:t>的安全、消防、保卫和环境保护设施；相邻的地上地下既有建(构)筑物及相关</w:t>
      </w:r>
      <w:r>
        <w:rPr>
          <w:spacing w:val="2"/>
          <w:sz w:val="21"/>
          <w:szCs w:val="21"/>
        </w:rPr>
        <w:t>环境等；</w:t>
      </w:r>
    </w:p>
    <w:p w14:paraId="44E05589">
      <w:pPr>
        <w:pStyle w:val="2"/>
        <w:spacing w:before="12" w:line="219" w:lineRule="auto"/>
        <w:ind w:left="509"/>
        <w:rPr>
          <w:sz w:val="21"/>
          <w:szCs w:val="21"/>
        </w:rPr>
      </w:pPr>
      <w:r>
        <w:rPr>
          <w:spacing w:val="-2"/>
          <w:sz w:val="21"/>
          <w:szCs w:val="21"/>
        </w:rPr>
        <w:t>(7)</w:t>
      </w:r>
      <w:r>
        <w:rPr>
          <w:spacing w:val="55"/>
          <w:sz w:val="21"/>
          <w:szCs w:val="21"/>
        </w:rPr>
        <w:t xml:space="preserve"> </w:t>
      </w:r>
      <w:r>
        <w:rPr>
          <w:b/>
          <w:bCs/>
          <w:spacing w:val="-2"/>
          <w:sz w:val="21"/>
          <w:szCs w:val="21"/>
        </w:rPr>
        <w:t>主要施工管理计划</w:t>
      </w:r>
    </w:p>
    <w:p w14:paraId="43DC9872">
      <w:pPr>
        <w:pStyle w:val="2"/>
        <w:spacing w:before="153" w:line="370" w:lineRule="auto"/>
        <w:ind w:left="909" w:right="75"/>
        <w:jc w:val="both"/>
        <w:rPr>
          <w:sz w:val="21"/>
          <w:szCs w:val="21"/>
        </w:rPr>
      </w:pPr>
      <w:r>
        <w:rPr>
          <w:sz w:val="21"/>
          <w:szCs w:val="21"/>
        </w:rPr>
        <w:t>包括进度管理计划、质量管理计划、安全管理计划、环境管理计划、成本管理计划和其</w:t>
      </w:r>
      <w:r>
        <w:rPr>
          <w:spacing w:val="18"/>
          <w:sz w:val="21"/>
          <w:szCs w:val="21"/>
        </w:rPr>
        <w:t xml:space="preserve"> </w:t>
      </w:r>
      <w:r>
        <w:rPr>
          <w:sz w:val="21"/>
          <w:szCs w:val="21"/>
        </w:rPr>
        <w:t>他管理计划，其中其他管理计划宜包括治安保卫管理计划、合同</w:t>
      </w:r>
      <w:r>
        <w:rPr>
          <w:spacing w:val="-1"/>
          <w:sz w:val="21"/>
          <w:szCs w:val="21"/>
        </w:rPr>
        <w:t>管理计划，组织协调管</w:t>
      </w:r>
      <w:r>
        <w:rPr>
          <w:sz w:val="21"/>
          <w:szCs w:val="21"/>
        </w:rPr>
        <w:t xml:space="preserve"> 理计划、创优质工程管理计划、成品保护管理计划、质量保修管理计划、对施工现场人</w:t>
      </w:r>
      <w:r>
        <w:rPr>
          <w:spacing w:val="17"/>
          <w:sz w:val="21"/>
          <w:szCs w:val="21"/>
        </w:rPr>
        <w:t xml:space="preserve"> </w:t>
      </w:r>
      <w:r>
        <w:rPr>
          <w:spacing w:val="-3"/>
          <w:sz w:val="21"/>
          <w:szCs w:val="21"/>
        </w:rPr>
        <w:t>力资源、施工机具、材料设备等管理计划。</w:t>
      </w:r>
    </w:p>
    <w:p w14:paraId="136D809E">
      <w:pPr>
        <w:spacing w:line="370" w:lineRule="auto"/>
        <w:rPr>
          <w:sz w:val="21"/>
          <w:szCs w:val="21"/>
        </w:rPr>
        <w:sectPr>
          <w:footerReference r:id="rId399" w:type="default"/>
          <w:pgSz w:w="11910" w:h="16840"/>
          <w:pgMar w:top="400" w:right="1455" w:bottom="1147" w:left="1470" w:header="0" w:footer="1021" w:gutter="0"/>
          <w:cols w:space="720" w:num="1"/>
        </w:sectPr>
      </w:pPr>
    </w:p>
    <w:p w14:paraId="6B9AFF73">
      <w:pPr>
        <w:spacing w:line="276" w:lineRule="auto"/>
        <w:rPr>
          <w:rFonts w:ascii="Arial"/>
          <w:sz w:val="21"/>
        </w:rPr>
      </w:pPr>
    </w:p>
    <w:p w14:paraId="61762CD8">
      <w:pPr>
        <w:spacing w:line="276" w:lineRule="auto"/>
        <w:rPr>
          <w:rFonts w:ascii="Arial"/>
          <w:sz w:val="21"/>
        </w:rPr>
      </w:pPr>
    </w:p>
    <w:p w14:paraId="57B9C58B">
      <w:pPr>
        <w:spacing w:line="276" w:lineRule="auto"/>
        <w:rPr>
          <w:rFonts w:ascii="Arial"/>
          <w:sz w:val="21"/>
        </w:rPr>
      </w:pPr>
    </w:p>
    <w:p w14:paraId="101466D1">
      <w:pPr>
        <w:spacing w:line="276" w:lineRule="auto"/>
        <w:rPr>
          <w:rFonts w:ascii="Arial"/>
          <w:sz w:val="21"/>
        </w:rPr>
      </w:pPr>
    </w:p>
    <w:p w14:paraId="3B8F80BA">
      <w:pPr>
        <w:spacing w:line="277" w:lineRule="auto"/>
        <w:rPr>
          <w:rFonts w:ascii="Arial"/>
          <w:sz w:val="21"/>
        </w:rPr>
      </w:pPr>
    </w:p>
    <w:p w14:paraId="256ED2A0">
      <w:pPr>
        <w:pStyle w:val="2"/>
        <w:spacing w:before="68" w:line="362" w:lineRule="auto"/>
        <w:ind w:firstLine="409"/>
        <w:rPr>
          <w:sz w:val="21"/>
          <w:szCs w:val="21"/>
        </w:rPr>
      </w:pPr>
      <w:r>
        <w:rPr>
          <w:spacing w:val="-1"/>
          <w:sz w:val="21"/>
          <w:szCs w:val="21"/>
        </w:rPr>
        <w:t>2. 施工组织设计除采用文字表述外可附下列图表，图表及格式要求附后。下述表格应按照章</w:t>
      </w:r>
      <w:r>
        <w:rPr>
          <w:spacing w:val="8"/>
          <w:sz w:val="21"/>
          <w:szCs w:val="21"/>
        </w:rPr>
        <w:t xml:space="preserve"> </w:t>
      </w:r>
      <w:r>
        <w:rPr>
          <w:spacing w:val="-1"/>
          <w:sz w:val="21"/>
          <w:szCs w:val="21"/>
        </w:rPr>
        <w:t>节内容，严格按给定的格式附在相应的章节中。</w:t>
      </w:r>
    </w:p>
    <w:p w14:paraId="5C6B2F53">
      <w:pPr>
        <w:pStyle w:val="2"/>
        <w:spacing w:before="15" w:line="219" w:lineRule="auto"/>
        <w:ind w:left="409"/>
        <w:rPr>
          <w:sz w:val="21"/>
          <w:szCs w:val="21"/>
        </w:rPr>
      </w:pPr>
      <w:r>
        <w:rPr>
          <w:spacing w:val="5"/>
          <w:sz w:val="21"/>
          <w:szCs w:val="21"/>
        </w:rPr>
        <w:t>附表一 拟投入本工程的主要施工设备表</w:t>
      </w:r>
    </w:p>
    <w:p w14:paraId="4676516C">
      <w:pPr>
        <w:pStyle w:val="2"/>
        <w:spacing w:before="170" w:line="219" w:lineRule="auto"/>
        <w:ind w:left="409"/>
        <w:rPr>
          <w:sz w:val="21"/>
          <w:szCs w:val="21"/>
        </w:rPr>
      </w:pPr>
      <w:r>
        <w:rPr>
          <w:spacing w:val="5"/>
          <w:sz w:val="21"/>
          <w:szCs w:val="21"/>
        </w:rPr>
        <w:t>附表二 拟配备本工程的试验和检测仪器设备表</w:t>
      </w:r>
    </w:p>
    <w:p w14:paraId="79C40CE9">
      <w:pPr>
        <w:pStyle w:val="2"/>
        <w:spacing w:before="171" w:line="219" w:lineRule="auto"/>
        <w:ind w:left="409"/>
        <w:rPr>
          <w:sz w:val="21"/>
          <w:szCs w:val="21"/>
        </w:rPr>
      </w:pPr>
      <w:r>
        <w:rPr>
          <w:spacing w:val="6"/>
          <w:sz w:val="21"/>
          <w:szCs w:val="21"/>
        </w:rPr>
        <w:t>附表三</w:t>
      </w:r>
      <w:r>
        <w:rPr>
          <w:spacing w:val="39"/>
          <w:sz w:val="21"/>
          <w:szCs w:val="21"/>
        </w:rPr>
        <w:t xml:space="preserve"> </w:t>
      </w:r>
      <w:r>
        <w:rPr>
          <w:spacing w:val="6"/>
          <w:sz w:val="21"/>
          <w:szCs w:val="21"/>
        </w:rPr>
        <w:t>劳动力计划表</w:t>
      </w:r>
    </w:p>
    <w:p w14:paraId="498313E8">
      <w:pPr>
        <w:pStyle w:val="2"/>
        <w:spacing w:before="150" w:line="219" w:lineRule="auto"/>
        <w:ind w:left="409"/>
        <w:rPr>
          <w:sz w:val="21"/>
          <w:szCs w:val="21"/>
        </w:rPr>
      </w:pPr>
      <w:r>
        <w:rPr>
          <w:spacing w:val="-2"/>
          <w:sz w:val="21"/>
          <w:szCs w:val="21"/>
        </w:rPr>
        <w:t>附表四  计划开、竣工日期和施工进度网络图</w:t>
      </w:r>
    </w:p>
    <w:p w14:paraId="5BFB23AC">
      <w:pPr>
        <w:pStyle w:val="2"/>
        <w:spacing w:before="181" w:line="219" w:lineRule="auto"/>
        <w:ind w:left="409"/>
        <w:rPr>
          <w:sz w:val="21"/>
          <w:szCs w:val="21"/>
        </w:rPr>
      </w:pPr>
      <w:r>
        <w:rPr>
          <w:spacing w:val="7"/>
          <w:sz w:val="21"/>
          <w:szCs w:val="21"/>
        </w:rPr>
        <w:t>附表五</w:t>
      </w:r>
      <w:r>
        <w:rPr>
          <w:spacing w:val="39"/>
          <w:sz w:val="21"/>
          <w:szCs w:val="21"/>
        </w:rPr>
        <w:t xml:space="preserve"> </w:t>
      </w:r>
      <w:r>
        <w:rPr>
          <w:spacing w:val="7"/>
          <w:sz w:val="21"/>
          <w:szCs w:val="21"/>
        </w:rPr>
        <w:t>施工总平面图</w:t>
      </w:r>
    </w:p>
    <w:p w14:paraId="1AF59197">
      <w:pPr>
        <w:pStyle w:val="2"/>
        <w:spacing w:before="181" w:line="219" w:lineRule="auto"/>
        <w:ind w:left="409"/>
        <w:rPr>
          <w:sz w:val="21"/>
          <w:szCs w:val="21"/>
        </w:rPr>
      </w:pPr>
      <w:r>
        <w:rPr>
          <w:spacing w:val="1"/>
          <w:sz w:val="21"/>
          <w:szCs w:val="21"/>
        </w:rPr>
        <w:t>附表六</w:t>
      </w:r>
      <w:r>
        <w:rPr>
          <w:spacing w:val="95"/>
          <w:sz w:val="21"/>
          <w:szCs w:val="21"/>
        </w:rPr>
        <w:t xml:space="preserve"> </w:t>
      </w:r>
      <w:r>
        <w:rPr>
          <w:spacing w:val="1"/>
          <w:sz w:val="21"/>
          <w:szCs w:val="21"/>
        </w:rPr>
        <w:t>临时用地表</w:t>
      </w:r>
    </w:p>
    <w:p w14:paraId="746EC911">
      <w:pPr>
        <w:spacing w:line="219" w:lineRule="auto"/>
        <w:rPr>
          <w:sz w:val="21"/>
          <w:szCs w:val="21"/>
        </w:rPr>
        <w:sectPr>
          <w:footerReference r:id="rId400" w:type="default"/>
          <w:pgSz w:w="11910" w:h="16840"/>
          <w:pgMar w:top="400" w:right="1557" w:bottom="1147" w:left="1470" w:header="0" w:footer="1021" w:gutter="0"/>
          <w:cols w:space="720" w:num="1"/>
        </w:sectPr>
      </w:pPr>
    </w:p>
    <w:p w14:paraId="56647898">
      <w:pPr>
        <w:spacing w:line="261" w:lineRule="auto"/>
        <w:rPr>
          <w:rFonts w:ascii="Arial"/>
          <w:sz w:val="21"/>
        </w:rPr>
      </w:pPr>
    </w:p>
    <w:p w14:paraId="10C982CB">
      <w:pPr>
        <w:spacing w:line="261" w:lineRule="auto"/>
        <w:rPr>
          <w:rFonts w:ascii="Arial"/>
          <w:sz w:val="21"/>
        </w:rPr>
      </w:pPr>
    </w:p>
    <w:p w14:paraId="48A41E63">
      <w:pPr>
        <w:spacing w:line="262" w:lineRule="auto"/>
        <w:rPr>
          <w:rFonts w:ascii="Arial"/>
          <w:sz w:val="21"/>
        </w:rPr>
      </w:pPr>
    </w:p>
    <w:p w14:paraId="2608010C">
      <w:pPr>
        <w:spacing w:line="262" w:lineRule="auto"/>
        <w:rPr>
          <w:rFonts w:ascii="Arial"/>
          <w:sz w:val="21"/>
        </w:rPr>
      </w:pPr>
    </w:p>
    <w:p w14:paraId="15254186">
      <w:pPr>
        <w:spacing w:line="262" w:lineRule="auto"/>
        <w:rPr>
          <w:rFonts w:ascii="Arial"/>
          <w:sz w:val="21"/>
        </w:rPr>
      </w:pPr>
    </w:p>
    <w:p w14:paraId="7AAAD22E">
      <w:pPr>
        <w:pStyle w:val="2"/>
        <w:spacing w:before="78" w:line="219" w:lineRule="auto"/>
        <w:ind w:left="38"/>
        <w:rPr>
          <w:sz w:val="24"/>
          <w:szCs w:val="24"/>
        </w:rPr>
      </w:pPr>
      <w:r>
        <w:rPr>
          <w:b/>
          <w:bCs/>
          <w:spacing w:val="-3"/>
          <w:sz w:val="24"/>
          <w:szCs w:val="24"/>
        </w:rPr>
        <w:t>附表一：拟投入本工程的主要施工设备表</w:t>
      </w:r>
    </w:p>
    <w:p w14:paraId="35D7D038">
      <w:pPr>
        <w:spacing w:line="15" w:lineRule="exact"/>
      </w:pPr>
    </w:p>
    <w:tbl>
      <w:tblPr>
        <w:tblStyle w:val="5"/>
        <w:tblW w:w="851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54"/>
        <w:gridCol w:w="1079"/>
        <w:gridCol w:w="649"/>
        <w:gridCol w:w="1029"/>
        <w:gridCol w:w="709"/>
        <w:gridCol w:w="699"/>
        <w:gridCol w:w="1178"/>
        <w:gridCol w:w="879"/>
        <w:gridCol w:w="859"/>
        <w:gridCol w:w="784"/>
      </w:tblGrid>
      <w:tr w14:paraId="732071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654" w:type="dxa"/>
            <w:vAlign w:val="top"/>
          </w:tcPr>
          <w:p w14:paraId="3B912C0C">
            <w:pPr>
              <w:pStyle w:val="6"/>
              <w:spacing w:before="214" w:line="221" w:lineRule="auto"/>
              <w:ind w:left="114"/>
            </w:pPr>
            <w:r>
              <w:rPr>
                <w:spacing w:val="6"/>
              </w:rPr>
              <w:t>序号</w:t>
            </w:r>
          </w:p>
        </w:tc>
        <w:tc>
          <w:tcPr>
            <w:tcW w:w="1079" w:type="dxa"/>
            <w:vAlign w:val="top"/>
          </w:tcPr>
          <w:p w14:paraId="42D2EC37">
            <w:pPr>
              <w:pStyle w:val="6"/>
              <w:spacing w:before="214" w:line="221" w:lineRule="auto"/>
              <w:ind w:left="120"/>
            </w:pPr>
            <w:r>
              <w:rPr>
                <w:spacing w:val="2"/>
              </w:rPr>
              <w:t>设备名称</w:t>
            </w:r>
          </w:p>
        </w:tc>
        <w:tc>
          <w:tcPr>
            <w:tcW w:w="649" w:type="dxa"/>
            <w:vAlign w:val="top"/>
          </w:tcPr>
          <w:p w14:paraId="64BC7979">
            <w:pPr>
              <w:pStyle w:val="6"/>
              <w:spacing w:before="65" w:line="238" w:lineRule="auto"/>
              <w:ind w:left="101" w:right="104"/>
            </w:pPr>
            <w:r>
              <w:rPr>
                <w:spacing w:val="6"/>
              </w:rPr>
              <w:t>型号</w:t>
            </w:r>
            <w:r>
              <w:t xml:space="preserve"> </w:t>
            </w:r>
            <w:r>
              <w:rPr>
                <w:spacing w:val="-3"/>
              </w:rPr>
              <w:t>规格</w:t>
            </w:r>
          </w:p>
        </w:tc>
        <w:tc>
          <w:tcPr>
            <w:tcW w:w="1029" w:type="dxa"/>
            <w:vAlign w:val="top"/>
          </w:tcPr>
          <w:p w14:paraId="02EFBA5D">
            <w:pPr>
              <w:pStyle w:val="6"/>
              <w:spacing w:before="213" w:line="219" w:lineRule="auto"/>
              <w:ind w:left="222"/>
            </w:pPr>
            <w:r>
              <w:rPr>
                <w:spacing w:val="-5"/>
              </w:rPr>
              <w:t>数</w:t>
            </w:r>
            <w:r>
              <w:rPr>
                <w:spacing w:val="8"/>
              </w:rPr>
              <w:t xml:space="preserve"> </w:t>
            </w:r>
            <w:r>
              <w:rPr>
                <w:spacing w:val="-5"/>
              </w:rPr>
              <w:t>量</w:t>
            </w:r>
          </w:p>
        </w:tc>
        <w:tc>
          <w:tcPr>
            <w:tcW w:w="709" w:type="dxa"/>
            <w:vAlign w:val="top"/>
          </w:tcPr>
          <w:p w14:paraId="2DD53BA9">
            <w:pPr>
              <w:pStyle w:val="6"/>
              <w:spacing w:before="64" w:line="221" w:lineRule="auto"/>
              <w:ind w:left="134" w:right="127"/>
            </w:pPr>
            <w:r>
              <w:rPr>
                <w:spacing w:val="8"/>
              </w:rPr>
              <w:t>国别</w:t>
            </w:r>
            <w:r>
              <w:t xml:space="preserve"> </w:t>
            </w:r>
            <w:r>
              <w:rPr>
                <w:spacing w:val="-3"/>
              </w:rPr>
              <w:t>产地</w:t>
            </w:r>
          </w:p>
        </w:tc>
        <w:tc>
          <w:tcPr>
            <w:tcW w:w="699" w:type="dxa"/>
            <w:vAlign w:val="top"/>
          </w:tcPr>
          <w:p w14:paraId="0A796E3C">
            <w:pPr>
              <w:pStyle w:val="6"/>
              <w:spacing w:before="54" w:line="220" w:lineRule="auto"/>
              <w:ind w:left="134"/>
            </w:pPr>
            <w:r>
              <w:rPr>
                <w:spacing w:val="-3"/>
              </w:rPr>
              <w:t>制造</w:t>
            </w:r>
          </w:p>
          <w:p w14:paraId="570E30E5">
            <w:pPr>
              <w:pStyle w:val="6"/>
              <w:spacing w:before="29" w:line="219" w:lineRule="auto"/>
              <w:ind w:left="134"/>
            </w:pPr>
            <w:r>
              <w:rPr>
                <w:spacing w:val="-3"/>
              </w:rPr>
              <w:t>年份</w:t>
            </w:r>
          </w:p>
        </w:tc>
        <w:tc>
          <w:tcPr>
            <w:tcW w:w="1178" w:type="dxa"/>
            <w:vAlign w:val="top"/>
          </w:tcPr>
          <w:p w14:paraId="52E46DD8">
            <w:pPr>
              <w:pStyle w:val="6"/>
              <w:spacing w:before="53" w:line="219" w:lineRule="auto"/>
              <w:ind w:left="165"/>
            </w:pPr>
            <w:r>
              <w:rPr>
                <w:spacing w:val="-2"/>
              </w:rPr>
              <w:t>额定功率</w:t>
            </w:r>
          </w:p>
          <w:p w14:paraId="3B405639">
            <w:pPr>
              <w:pStyle w:val="6"/>
              <w:spacing w:before="24" w:line="222" w:lineRule="auto"/>
              <w:ind w:left="375"/>
            </w:pPr>
            <w:r>
              <w:rPr>
                <w:spacing w:val="-9"/>
              </w:rPr>
              <w:t>(KW)</w:t>
            </w:r>
          </w:p>
        </w:tc>
        <w:tc>
          <w:tcPr>
            <w:tcW w:w="879" w:type="dxa"/>
            <w:vAlign w:val="top"/>
          </w:tcPr>
          <w:p w14:paraId="1C7F998A">
            <w:pPr>
              <w:pStyle w:val="6"/>
              <w:spacing w:before="53" w:line="219" w:lineRule="auto"/>
              <w:ind w:left="228"/>
            </w:pPr>
            <w:r>
              <w:rPr>
                <w:spacing w:val="6"/>
              </w:rPr>
              <w:t>生产</w:t>
            </w:r>
          </w:p>
          <w:p w14:paraId="72E50C2B">
            <w:pPr>
              <w:pStyle w:val="6"/>
              <w:spacing w:before="30" w:line="219" w:lineRule="auto"/>
              <w:ind w:left="228"/>
            </w:pPr>
            <w:r>
              <w:rPr>
                <w:spacing w:val="8"/>
              </w:rPr>
              <w:t>能力</w:t>
            </w:r>
          </w:p>
        </w:tc>
        <w:tc>
          <w:tcPr>
            <w:tcW w:w="859" w:type="dxa"/>
            <w:vAlign w:val="top"/>
          </w:tcPr>
          <w:p w14:paraId="79511301">
            <w:pPr>
              <w:pStyle w:val="6"/>
              <w:spacing w:before="54" w:line="221" w:lineRule="auto"/>
              <w:ind w:left="108"/>
            </w:pPr>
            <w:r>
              <w:rPr>
                <w:spacing w:val="-3"/>
              </w:rPr>
              <w:t>用于施</w:t>
            </w:r>
          </w:p>
          <w:p w14:paraId="1BC18D0B">
            <w:pPr>
              <w:pStyle w:val="6"/>
              <w:spacing w:before="27" w:line="219" w:lineRule="auto"/>
              <w:ind w:left="108"/>
            </w:pPr>
            <w:r>
              <w:rPr>
                <w:spacing w:val="-3"/>
              </w:rPr>
              <w:t>工部位</w:t>
            </w:r>
          </w:p>
        </w:tc>
        <w:tc>
          <w:tcPr>
            <w:tcW w:w="784" w:type="dxa"/>
            <w:vAlign w:val="top"/>
          </w:tcPr>
          <w:p w14:paraId="308D4B25">
            <w:pPr>
              <w:pStyle w:val="6"/>
              <w:spacing w:before="214" w:line="221" w:lineRule="auto"/>
              <w:ind w:left="199"/>
            </w:pPr>
            <w:r>
              <w:rPr>
                <w:spacing w:val="5"/>
              </w:rPr>
              <w:t>备注</w:t>
            </w:r>
          </w:p>
        </w:tc>
      </w:tr>
      <w:tr w14:paraId="08EDDC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trPr>
        <w:tc>
          <w:tcPr>
            <w:tcW w:w="654" w:type="dxa"/>
            <w:vAlign w:val="top"/>
          </w:tcPr>
          <w:p w14:paraId="39E605C9">
            <w:pPr>
              <w:rPr>
                <w:rFonts w:ascii="Arial"/>
                <w:sz w:val="21"/>
              </w:rPr>
            </w:pPr>
          </w:p>
        </w:tc>
        <w:tc>
          <w:tcPr>
            <w:tcW w:w="1079" w:type="dxa"/>
            <w:vAlign w:val="top"/>
          </w:tcPr>
          <w:p w14:paraId="7AFBD0C2">
            <w:pPr>
              <w:rPr>
                <w:rFonts w:ascii="Arial"/>
                <w:sz w:val="21"/>
              </w:rPr>
            </w:pPr>
          </w:p>
        </w:tc>
        <w:tc>
          <w:tcPr>
            <w:tcW w:w="649" w:type="dxa"/>
            <w:vAlign w:val="top"/>
          </w:tcPr>
          <w:p w14:paraId="0F235148">
            <w:pPr>
              <w:rPr>
                <w:rFonts w:ascii="Arial"/>
                <w:sz w:val="21"/>
              </w:rPr>
            </w:pPr>
          </w:p>
        </w:tc>
        <w:tc>
          <w:tcPr>
            <w:tcW w:w="1029" w:type="dxa"/>
            <w:vAlign w:val="top"/>
          </w:tcPr>
          <w:p w14:paraId="29BB9E46">
            <w:pPr>
              <w:rPr>
                <w:rFonts w:ascii="Arial"/>
                <w:sz w:val="21"/>
              </w:rPr>
            </w:pPr>
          </w:p>
        </w:tc>
        <w:tc>
          <w:tcPr>
            <w:tcW w:w="709" w:type="dxa"/>
            <w:vAlign w:val="top"/>
          </w:tcPr>
          <w:p w14:paraId="0CD5BE42">
            <w:pPr>
              <w:rPr>
                <w:rFonts w:ascii="Arial"/>
                <w:sz w:val="21"/>
              </w:rPr>
            </w:pPr>
          </w:p>
        </w:tc>
        <w:tc>
          <w:tcPr>
            <w:tcW w:w="699" w:type="dxa"/>
            <w:vAlign w:val="top"/>
          </w:tcPr>
          <w:p w14:paraId="5D426348">
            <w:pPr>
              <w:rPr>
                <w:rFonts w:ascii="Arial"/>
                <w:sz w:val="21"/>
              </w:rPr>
            </w:pPr>
          </w:p>
        </w:tc>
        <w:tc>
          <w:tcPr>
            <w:tcW w:w="1178" w:type="dxa"/>
            <w:vAlign w:val="top"/>
          </w:tcPr>
          <w:p w14:paraId="23EC24BF">
            <w:pPr>
              <w:rPr>
                <w:rFonts w:ascii="Arial"/>
                <w:sz w:val="21"/>
              </w:rPr>
            </w:pPr>
          </w:p>
        </w:tc>
        <w:tc>
          <w:tcPr>
            <w:tcW w:w="879" w:type="dxa"/>
            <w:vAlign w:val="top"/>
          </w:tcPr>
          <w:p w14:paraId="38D1E5C5">
            <w:pPr>
              <w:rPr>
                <w:rFonts w:ascii="Arial"/>
                <w:sz w:val="21"/>
              </w:rPr>
            </w:pPr>
          </w:p>
        </w:tc>
        <w:tc>
          <w:tcPr>
            <w:tcW w:w="859" w:type="dxa"/>
            <w:vAlign w:val="top"/>
          </w:tcPr>
          <w:p w14:paraId="3F56242E">
            <w:pPr>
              <w:rPr>
                <w:rFonts w:ascii="Arial"/>
                <w:sz w:val="21"/>
              </w:rPr>
            </w:pPr>
          </w:p>
        </w:tc>
        <w:tc>
          <w:tcPr>
            <w:tcW w:w="784" w:type="dxa"/>
            <w:vAlign w:val="top"/>
          </w:tcPr>
          <w:p w14:paraId="623B227F">
            <w:pPr>
              <w:rPr>
                <w:rFonts w:ascii="Arial"/>
                <w:sz w:val="21"/>
              </w:rPr>
            </w:pPr>
          </w:p>
        </w:tc>
      </w:tr>
      <w:tr w14:paraId="46A79E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trPr>
        <w:tc>
          <w:tcPr>
            <w:tcW w:w="654" w:type="dxa"/>
            <w:vAlign w:val="top"/>
          </w:tcPr>
          <w:p w14:paraId="097FD995">
            <w:pPr>
              <w:rPr>
                <w:rFonts w:ascii="Arial"/>
                <w:sz w:val="21"/>
              </w:rPr>
            </w:pPr>
          </w:p>
        </w:tc>
        <w:tc>
          <w:tcPr>
            <w:tcW w:w="1079" w:type="dxa"/>
            <w:vAlign w:val="top"/>
          </w:tcPr>
          <w:p w14:paraId="4E9F1990">
            <w:pPr>
              <w:rPr>
                <w:rFonts w:ascii="Arial"/>
                <w:sz w:val="21"/>
              </w:rPr>
            </w:pPr>
          </w:p>
        </w:tc>
        <w:tc>
          <w:tcPr>
            <w:tcW w:w="649" w:type="dxa"/>
            <w:vAlign w:val="top"/>
          </w:tcPr>
          <w:p w14:paraId="049BBF42">
            <w:pPr>
              <w:rPr>
                <w:rFonts w:ascii="Arial"/>
                <w:sz w:val="21"/>
              </w:rPr>
            </w:pPr>
          </w:p>
        </w:tc>
        <w:tc>
          <w:tcPr>
            <w:tcW w:w="1029" w:type="dxa"/>
            <w:vAlign w:val="top"/>
          </w:tcPr>
          <w:p w14:paraId="2FF8A8F2">
            <w:pPr>
              <w:rPr>
                <w:rFonts w:ascii="Arial"/>
                <w:sz w:val="21"/>
              </w:rPr>
            </w:pPr>
          </w:p>
        </w:tc>
        <w:tc>
          <w:tcPr>
            <w:tcW w:w="709" w:type="dxa"/>
            <w:vAlign w:val="top"/>
          </w:tcPr>
          <w:p w14:paraId="1A950F13">
            <w:pPr>
              <w:rPr>
                <w:rFonts w:ascii="Arial"/>
                <w:sz w:val="21"/>
              </w:rPr>
            </w:pPr>
          </w:p>
        </w:tc>
        <w:tc>
          <w:tcPr>
            <w:tcW w:w="699" w:type="dxa"/>
            <w:vAlign w:val="top"/>
          </w:tcPr>
          <w:p w14:paraId="63A797C0">
            <w:pPr>
              <w:rPr>
                <w:rFonts w:ascii="Arial"/>
                <w:sz w:val="21"/>
              </w:rPr>
            </w:pPr>
          </w:p>
        </w:tc>
        <w:tc>
          <w:tcPr>
            <w:tcW w:w="1178" w:type="dxa"/>
            <w:vAlign w:val="top"/>
          </w:tcPr>
          <w:p w14:paraId="3A86AD2D">
            <w:pPr>
              <w:rPr>
                <w:rFonts w:ascii="Arial"/>
                <w:sz w:val="21"/>
              </w:rPr>
            </w:pPr>
          </w:p>
        </w:tc>
        <w:tc>
          <w:tcPr>
            <w:tcW w:w="879" w:type="dxa"/>
            <w:vAlign w:val="top"/>
          </w:tcPr>
          <w:p w14:paraId="3B45E87F">
            <w:pPr>
              <w:rPr>
                <w:rFonts w:ascii="Arial"/>
                <w:sz w:val="21"/>
              </w:rPr>
            </w:pPr>
          </w:p>
        </w:tc>
        <w:tc>
          <w:tcPr>
            <w:tcW w:w="859" w:type="dxa"/>
            <w:vAlign w:val="top"/>
          </w:tcPr>
          <w:p w14:paraId="31E28121">
            <w:pPr>
              <w:rPr>
                <w:rFonts w:ascii="Arial"/>
                <w:sz w:val="21"/>
              </w:rPr>
            </w:pPr>
          </w:p>
        </w:tc>
        <w:tc>
          <w:tcPr>
            <w:tcW w:w="784" w:type="dxa"/>
            <w:vAlign w:val="top"/>
          </w:tcPr>
          <w:p w14:paraId="13C7A8B4">
            <w:pPr>
              <w:rPr>
                <w:rFonts w:ascii="Arial"/>
                <w:sz w:val="21"/>
              </w:rPr>
            </w:pPr>
          </w:p>
        </w:tc>
      </w:tr>
      <w:tr w14:paraId="14CBBD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0" w:hRule="atLeast"/>
        </w:trPr>
        <w:tc>
          <w:tcPr>
            <w:tcW w:w="654" w:type="dxa"/>
            <w:vAlign w:val="top"/>
          </w:tcPr>
          <w:p w14:paraId="61ED65FF">
            <w:pPr>
              <w:rPr>
                <w:rFonts w:ascii="Arial"/>
                <w:sz w:val="21"/>
              </w:rPr>
            </w:pPr>
          </w:p>
        </w:tc>
        <w:tc>
          <w:tcPr>
            <w:tcW w:w="1079" w:type="dxa"/>
            <w:vAlign w:val="top"/>
          </w:tcPr>
          <w:p w14:paraId="3BB7622D">
            <w:pPr>
              <w:rPr>
                <w:rFonts w:ascii="Arial"/>
                <w:sz w:val="21"/>
              </w:rPr>
            </w:pPr>
          </w:p>
        </w:tc>
        <w:tc>
          <w:tcPr>
            <w:tcW w:w="649" w:type="dxa"/>
            <w:vAlign w:val="top"/>
          </w:tcPr>
          <w:p w14:paraId="49CD86EE">
            <w:pPr>
              <w:rPr>
                <w:rFonts w:ascii="Arial"/>
                <w:sz w:val="21"/>
              </w:rPr>
            </w:pPr>
          </w:p>
        </w:tc>
        <w:tc>
          <w:tcPr>
            <w:tcW w:w="1029" w:type="dxa"/>
            <w:vAlign w:val="top"/>
          </w:tcPr>
          <w:p w14:paraId="5CE7D8D3">
            <w:pPr>
              <w:rPr>
                <w:rFonts w:ascii="Arial"/>
                <w:sz w:val="21"/>
              </w:rPr>
            </w:pPr>
          </w:p>
        </w:tc>
        <w:tc>
          <w:tcPr>
            <w:tcW w:w="709" w:type="dxa"/>
            <w:vAlign w:val="top"/>
          </w:tcPr>
          <w:p w14:paraId="64BACF8A">
            <w:pPr>
              <w:rPr>
                <w:rFonts w:ascii="Arial"/>
                <w:sz w:val="21"/>
              </w:rPr>
            </w:pPr>
          </w:p>
        </w:tc>
        <w:tc>
          <w:tcPr>
            <w:tcW w:w="699" w:type="dxa"/>
            <w:vAlign w:val="top"/>
          </w:tcPr>
          <w:p w14:paraId="1819FC65">
            <w:pPr>
              <w:rPr>
                <w:rFonts w:ascii="Arial"/>
                <w:sz w:val="21"/>
              </w:rPr>
            </w:pPr>
          </w:p>
        </w:tc>
        <w:tc>
          <w:tcPr>
            <w:tcW w:w="1178" w:type="dxa"/>
            <w:vAlign w:val="top"/>
          </w:tcPr>
          <w:p w14:paraId="1D5AE989">
            <w:pPr>
              <w:rPr>
                <w:rFonts w:ascii="Arial"/>
                <w:sz w:val="21"/>
              </w:rPr>
            </w:pPr>
          </w:p>
        </w:tc>
        <w:tc>
          <w:tcPr>
            <w:tcW w:w="879" w:type="dxa"/>
            <w:vAlign w:val="top"/>
          </w:tcPr>
          <w:p w14:paraId="57C6F61A">
            <w:pPr>
              <w:rPr>
                <w:rFonts w:ascii="Arial"/>
                <w:sz w:val="21"/>
              </w:rPr>
            </w:pPr>
          </w:p>
        </w:tc>
        <w:tc>
          <w:tcPr>
            <w:tcW w:w="859" w:type="dxa"/>
            <w:vAlign w:val="top"/>
          </w:tcPr>
          <w:p w14:paraId="3BA6962C">
            <w:pPr>
              <w:rPr>
                <w:rFonts w:ascii="Arial"/>
                <w:sz w:val="21"/>
              </w:rPr>
            </w:pPr>
          </w:p>
        </w:tc>
        <w:tc>
          <w:tcPr>
            <w:tcW w:w="784" w:type="dxa"/>
            <w:vAlign w:val="top"/>
          </w:tcPr>
          <w:p w14:paraId="50826095">
            <w:pPr>
              <w:rPr>
                <w:rFonts w:ascii="Arial"/>
                <w:sz w:val="21"/>
              </w:rPr>
            </w:pPr>
          </w:p>
        </w:tc>
      </w:tr>
      <w:tr w14:paraId="5793C1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trPr>
        <w:tc>
          <w:tcPr>
            <w:tcW w:w="654" w:type="dxa"/>
            <w:vAlign w:val="top"/>
          </w:tcPr>
          <w:p w14:paraId="442A446D">
            <w:pPr>
              <w:rPr>
                <w:rFonts w:ascii="Arial"/>
                <w:sz w:val="21"/>
              </w:rPr>
            </w:pPr>
          </w:p>
        </w:tc>
        <w:tc>
          <w:tcPr>
            <w:tcW w:w="1079" w:type="dxa"/>
            <w:vAlign w:val="top"/>
          </w:tcPr>
          <w:p w14:paraId="162B6BAE">
            <w:pPr>
              <w:rPr>
                <w:rFonts w:ascii="Arial"/>
                <w:sz w:val="21"/>
              </w:rPr>
            </w:pPr>
          </w:p>
        </w:tc>
        <w:tc>
          <w:tcPr>
            <w:tcW w:w="649" w:type="dxa"/>
            <w:vAlign w:val="top"/>
          </w:tcPr>
          <w:p w14:paraId="6A0CFA4B">
            <w:pPr>
              <w:rPr>
                <w:rFonts w:ascii="Arial"/>
                <w:sz w:val="21"/>
              </w:rPr>
            </w:pPr>
          </w:p>
        </w:tc>
        <w:tc>
          <w:tcPr>
            <w:tcW w:w="1029" w:type="dxa"/>
            <w:vAlign w:val="top"/>
          </w:tcPr>
          <w:p w14:paraId="252B63C4">
            <w:pPr>
              <w:rPr>
                <w:rFonts w:ascii="Arial"/>
                <w:sz w:val="21"/>
              </w:rPr>
            </w:pPr>
          </w:p>
        </w:tc>
        <w:tc>
          <w:tcPr>
            <w:tcW w:w="709" w:type="dxa"/>
            <w:vAlign w:val="top"/>
          </w:tcPr>
          <w:p w14:paraId="215445E1">
            <w:pPr>
              <w:rPr>
                <w:rFonts w:ascii="Arial"/>
                <w:sz w:val="21"/>
              </w:rPr>
            </w:pPr>
          </w:p>
        </w:tc>
        <w:tc>
          <w:tcPr>
            <w:tcW w:w="699" w:type="dxa"/>
            <w:vAlign w:val="top"/>
          </w:tcPr>
          <w:p w14:paraId="56EDAAE7">
            <w:pPr>
              <w:rPr>
                <w:rFonts w:ascii="Arial"/>
                <w:sz w:val="21"/>
              </w:rPr>
            </w:pPr>
          </w:p>
        </w:tc>
        <w:tc>
          <w:tcPr>
            <w:tcW w:w="1178" w:type="dxa"/>
            <w:vAlign w:val="top"/>
          </w:tcPr>
          <w:p w14:paraId="23F1A64A">
            <w:pPr>
              <w:rPr>
                <w:rFonts w:ascii="Arial"/>
                <w:sz w:val="21"/>
              </w:rPr>
            </w:pPr>
          </w:p>
        </w:tc>
        <w:tc>
          <w:tcPr>
            <w:tcW w:w="879" w:type="dxa"/>
            <w:vAlign w:val="top"/>
          </w:tcPr>
          <w:p w14:paraId="58E08528">
            <w:pPr>
              <w:rPr>
                <w:rFonts w:ascii="Arial"/>
                <w:sz w:val="21"/>
              </w:rPr>
            </w:pPr>
          </w:p>
        </w:tc>
        <w:tc>
          <w:tcPr>
            <w:tcW w:w="859" w:type="dxa"/>
            <w:vAlign w:val="top"/>
          </w:tcPr>
          <w:p w14:paraId="71F8E2C0">
            <w:pPr>
              <w:rPr>
                <w:rFonts w:ascii="Arial"/>
                <w:sz w:val="21"/>
              </w:rPr>
            </w:pPr>
          </w:p>
        </w:tc>
        <w:tc>
          <w:tcPr>
            <w:tcW w:w="784" w:type="dxa"/>
            <w:vAlign w:val="top"/>
          </w:tcPr>
          <w:p w14:paraId="3065925C">
            <w:pPr>
              <w:rPr>
                <w:rFonts w:ascii="Arial"/>
                <w:sz w:val="21"/>
              </w:rPr>
            </w:pPr>
          </w:p>
        </w:tc>
      </w:tr>
      <w:tr w14:paraId="3D371C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29" w:hRule="atLeast"/>
        </w:trPr>
        <w:tc>
          <w:tcPr>
            <w:tcW w:w="654" w:type="dxa"/>
            <w:vAlign w:val="top"/>
          </w:tcPr>
          <w:p w14:paraId="4E2FD6D3">
            <w:pPr>
              <w:rPr>
                <w:rFonts w:ascii="Arial"/>
                <w:sz w:val="21"/>
              </w:rPr>
            </w:pPr>
          </w:p>
        </w:tc>
        <w:tc>
          <w:tcPr>
            <w:tcW w:w="1079" w:type="dxa"/>
            <w:vAlign w:val="top"/>
          </w:tcPr>
          <w:p w14:paraId="4B05C72F">
            <w:pPr>
              <w:rPr>
                <w:rFonts w:ascii="Arial"/>
                <w:sz w:val="21"/>
              </w:rPr>
            </w:pPr>
          </w:p>
        </w:tc>
        <w:tc>
          <w:tcPr>
            <w:tcW w:w="649" w:type="dxa"/>
            <w:vAlign w:val="top"/>
          </w:tcPr>
          <w:p w14:paraId="545A0D84">
            <w:pPr>
              <w:rPr>
                <w:rFonts w:ascii="Arial"/>
                <w:sz w:val="21"/>
              </w:rPr>
            </w:pPr>
          </w:p>
        </w:tc>
        <w:tc>
          <w:tcPr>
            <w:tcW w:w="1029" w:type="dxa"/>
            <w:vAlign w:val="top"/>
          </w:tcPr>
          <w:p w14:paraId="06C46379">
            <w:pPr>
              <w:rPr>
                <w:rFonts w:ascii="Arial"/>
                <w:sz w:val="21"/>
              </w:rPr>
            </w:pPr>
          </w:p>
        </w:tc>
        <w:tc>
          <w:tcPr>
            <w:tcW w:w="709" w:type="dxa"/>
            <w:vAlign w:val="top"/>
          </w:tcPr>
          <w:p w14:paraId="7B94CC5B">
            <w:pPr>
              <w:rPr>
                <w:rFonts w:ascii="Arial"/>
                <w:sz w:val="21"/>
              </w:rPr>
            </w:pPr>
          </w:p>
        </w:tc>
        <w:tc>
          <w:tcPr>
            <w:tcW w:w="699" w:type="dxa"/>
            <w:vAlign w:val="top"/>
          </w:tcPr>
          <w:p w14:paraId="41399930">
            <w:pPr>
              <w:rPr>
                <w:rFonts w:ascii="Arial"/>
                <w:sz w:val="21"/>
              </w:rPr>
            </w:pPr>
          </w:p>
        </w:tc>
        <w:tc>
          <w:tcPr>
            <w:tcW w:w="1178" w:type="dxa"/>
            <w:vAlign w:val="top"/>
          </w:tcPr>
          <w:p w14:paraId="057EB938">
            <w:pPr>
              <w:rPr>
                <w:rFonts w:ascii="Arial"/>
                <w:sz w:val="21"/>
              </w:rPr>
            </w:pPr>
          </w:p>
        </w:tc>
        <w:tc>
          <w:tcPr>
            <w:tcW w:w="879" w:type="dxa"/>
            <w:vAlign w:val="top"/>
          </w:tcPr>
          <w:p w14:paraId="0C24431B">
            <w:pPr>
              <w:rPr>
                <w:rFonts w:ascii="Arial"/>
                <w:sz w:val="21"/>
              </w:rPr>
            </w:pPr>
          </w:p>
        </w:tc>
        <w:tc>
          <w:tcPr>
            <w:tcW w:w="859" w:type="dxa"/>
            <w:vAlign w:val="top"/>
          </w:tcPr>
          <w:p w14:paraId="2EC4C1AC">
            <w:pPr>
              <w:rPr>
                <w:rFonts w:ascii="Arial"/>
                <w:sz w:val="21"/>
              </w:rPr>
            </w:pPr>
          </w:p>
        </w:tc>
        <w:tc>
          <w:tcPr>
            <w:tcW w:w="784" w:type="dxa"/>
            <w:vAlign w:val="top"/>
          </w:tcPr>
          <w:p w14:paraId="72FA0C00">
            <w:pPr>
              <w:rPr>
                <w:rFonts w:ascii="Arial"/>
                <w:sz w:val="21"/>
              </w:rPr>
            </w:pPr>
          </w:p>
        </w:tc>
      </w:tr>
      <w:tr w14:paraId="48FCB3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trPr>
        <w:tc>
          <w:tcPr>
            <w:tcW w:w="654" w:type="dxa"/>
            <w:vAlign w:val="top"/>
          </w:tcPr>
          <w:p w14:paraId="1DBF68D3">
            <w:pPr>
              <w:rPr>
                <w:rFonts w:ascii="Arial"/>
                <w:sz w:val="21"/>
              </w:rPr>
            </w:pPr>
          </w:p>
        </w:tc>
        <w:tc>
          <w:tcPr>
            <w:tcW w:w="1079" w:type="dxa"/>
            <w:vAlign w:val="top"/>
          </w:tcPr>
          <w:p w14:paraId="35627EB9">
            <w:pPr>
              <w:rPr>
                <w:rFonts w:ascii="Arial"/>
                <w:sz w:val="21"/>
              </w:rPr>
            </w:pPr>
          </w:p>
        </w:tc>
        <w:tc>
          <w:tcPr>
            <w:tcW w:w="649" w:type="dxa"/>
            <w:vAlign w:val="top"/>
          </w:tcPr>
          <w:p w14:paraId="31C94B51">
            <w:pPr>
              <w:rPr>
                <w:rFonts w:ascii="Arial"/>
                <w:sz w:val="21"/>
              </w:rPr>
            </w:pPr>
          </w:p>
        </w:tc>
        <w:tc>
          <w:tcPr>
            <w:tcW w:w="1029" w:type="dxa"/>
            <w:vAlign w:val="top"/>
          </w:tcPr>
          <w:p w14:paraId="5FB6EAB8">
            <w:pPr>
              <w:rPr>
                <w:rFonts w:ascii="Arial"/>
                <w:sz w:val="21"/>
              </w:rPr>
            </w:pPr>
          </w:p>
        </w:tc>
        <w:tc>
          <w:tcPr>
            <w:tcW w:w="709" w:type="dxa"/>
            <w:vAlign w:val="top"/>
          </w:tcPr>
          <w:p w14:paraId="0FF9FEC2">
            <w:pPr>
              <w:rPr>
                <w:rFonts w:ascii="Arial"/>
                <w:sz w:val="21"/>
              </w:rPr>
            </w:pPr>
          </w:p>
        </w:tc>
        <w:tc>
          <w:tcPr>
            <w:tcW w:w="699" w:type="dxa"/>
            <w:vAlign w:val="top"/>
          </w:tcPr>
          <w:p w14:paraId="56D614B7">
            <w:pPr>
              <w:rPr>
                <w:rFonts w:ascii="Arial"/>
                <w:sz w:val="21"/>
              </w:rPr>
            </w:pPr>
          </w:p>
        </w:tc>
        <w:tc>
          <w:tcPr>
            <w:tcW w:w="1178" w:type="dxa"/>
            <w:vAlign w:val="top"/>
          </w:tcPr>
          <w:p w14:paraId="5D92C2A4">
            <w:pPr>
              <w:rPr>
                <w:rFonts w:ascii="Arial"/>
                <w:sz w:val="21"/>
              </w:rPr>
            </w:pPr>
          </w:p>
        </w:tc>
        <w:tc>
          <w:tcPr>
            <w:tcW w:w="879" w:type="dxa"/>
            <w:vAlign w:val="top"/>
          </w:tcPr>
          <w:p w14:paraId="74C4013B">
            <w:pPr>
              <w:rPr>
                <w:rFonts w:ascii="Arial"/>
                <w:sz w:val="21"/>
              </w:rPr>
            </w:pPr>
          </w:p>
        </w:tc>
        <w:tc>
          <w:tcPr>
            <w:tcW w:w="859" w:type="dxa"/>
            <w:vAlign w:val="top"/>
          </w:tcPr>
          <w:p w14:paraId="0F18D31A">
            <w:pPr>
              <w:rPr>
                <w:rFonts w:ascii="Arial"/>
                <w:sz w:val="21"/>
              </w:rPr>
            </w:pPr>
          </w:p>
        </w:tc>
        <w:tc>
          <w:tcPr>
            <w:tcW w:w="784" w:type="dxa"/>
            <w:vAlign w:val="top"/>
          </w:tcPr>
          <w:p w14:paraId="7EA03986">
            <w:pPr>
              <w:rPr>
                <w:rFonts w:ascii="Arial"/>
                <w:sz w:val="21"/>
              </w:rPr>
            </w:pPr>
          </w:p>
        </w:tc>
      </w:tr>
      <w:tr w14:paraId="06F95F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9" w:hRule="atLeast"/>
        </w:trPr>
        <w:tc>
          <w:tcPr>
            <w:tcW w:w="654" w:type="dxa"/>
            <w:vAlign w:val="top"/>
          </w:tcPr>
          <w:p w14:paraId="69961D66">
            <w:pPr>
              <w:rPr>
                <w:rFonts w:ascii="Arial"/>
                <w:sz w:val="21"/>
              </w:rPr>
            </w:pPr>
          </w:p>
        </w:tc>
        <w:tc>
          <w:tcPr>
            <w:tcW w:w="1079" w:type="dxa"/>
            <w:vAlign w:val="top"/>
          </w:tcPr>
          <w:p w14:paraId="4D657BC7">
            <w:pPr>
              <w:rPr>
                <w:rFonts w:ascii="Arial"/>
                <w:sz w:val="21"/>
              </w:rPr>
            </w:pPr>
          </w:p>
        </w:tc>
        <w:tc>
          <w:tcPr>
            <w:tcW w:w="649" w:type="dxa"/>
            <w:vAlign w:val="top"/>
          </w:tcPr>
          <w:p w14:paraId="430C9E6B">
            <w:pPr>
              <w:rPr>
                <w:rFonts w:ascii="Arial"/>
                <w:sz w:val="21"/>
              </w:rPr>
            </w:pPr>
          </w:p>
        </w:tc>
        <w:tc>
          <w:tcPr>
            <w:tcW w:w="1029" w:type="dxa"/>
            <w:vAlign w:val="top"/>
          </w:tcPr>
          <w:p w14:paraId="70ECE0EF">
            <w:pPr>
              <w:rPr>
                <w:rFonts w:ascii="Arial"/>
                <w:sz w:val="21"/>
              </w:rPr>
            </w:pPr>
          </w:p>
        </w:tc>
        <w:tc>
          <w:tcPr>
            <w:tcW w:w="709" w:type="dxa"/>
            <w:vAlign w:val="top"/>
          </w:tcPr>
          <w:p w14:paraId="17B244D2">
            <w:pPr>
              <w:rPr>
                <w:rFonts w:ascii="Arial"/>
                <w:sz w:val="21"/>
              </w:rPr>
            </w:pPr>
          </w:p>
        </w:tc>
        <w:tc>
          <w:tcPr>
            <w:tcW w:w="699" w:type="dxa"/>
            <w:vAlign w:val="top"/>
          </w:tcPr>
          <w:p w14:paraId="349F3A08">
            <w:pPr>
              <w:rPr>
                <w:rFonts w:ascii="Arial"/>
                <w:sz w:val="21"/>
              </w:rPr>
            </w:pPr>
          </w:p>
        </w:tc>
        <w:tc>
          <w:tcPr>
            <w:tcW w:w="1178" w:type="dxa"/>
            <w:vAlign w:val="top"/>
          </w:tcPr>
          <w:p w14:paraId="7E34EE81">
            <w:pPr>
              <w:rPr>
                <w:rFonts w:ascii="Arial"/>
                <w:sz w:val="21"/>
              </w:rPr>
            </w:pPr>
          </w:p>
        </w:tc>
        <w:tc>
          <w:tcPr>
            <w:tcW w:w="879" w:type="dxa"/>
            <w:vAlign w:val="top"/>
          </w:tcPr>
          <w:p w14:paraId="729FA894">
            <w:pPr>
              <w:rPr>
                <w:rFonts w:ascii="Arial"/>
                <w:sz w:val="21"/>
              </w:rPr>
            </w:pPr>
          </w:p>
        </w:tc>
        <w:tc>
          <w:tcPr>
            <w:tcW w:w="859" w:type="dxa"/>
            <w:vAlign w:val="top"/>
          </w:tcPr>
          <w:p w14:paraId="71AAB550">
            <w:pPr>
              <w:rPr>
                <w:rFonts w:ascii="Arial"/>
                <w:sz w:val="21"/>
              </w:rPr>
            </w:pPr>
          </w:p>
        </w:tc>
        <w:tc>
          <w:tcPr>
            <w:tcW w:w="784" w:type="dxa"/>
            <w:vAlign w:val="top"/>
          </w:tcPr>
          <w:p w14:paraId="775C326E">
            <w:pPr>
              <w:rPr>
                <w:rFonts w:ascii="Arial"/>
                <w:sz w:val="21"/>
              </w:rPr>
            </w:pPr>
          </w:p>
        </w:tc>
      </w:tr>
      <w:tr w14:paraId="6EC128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trPr>
        <w:tc>
          <w:tcPr>
            <w:tcW w:w="654" w:type="dxa"/>
            <w:vAlign w:val="top"/>
          </w:tcPr>
          <w:p w14:paraId="1B15A822">
            <w:pPr>
              <w:rPr>
                <w:rFonts w:ascii="Arial"/>
                <w:sz w:val="21"/>
              </w:rPr>
            </w:pPr>
          </w:p>
        </w:tc>
        <w:tc>
          <w:tcPr>
            <w:tcW w:w="1079" w:type="dxa"/>
            <w:vAlign w:val="top"/>
          </w:tcPr>
          <w:p w14:paraId="235FAE79">
            <w:pPr>
              <w:rPr>
                <w:rFonts w:ascii="Arial"/>
                <w:sz w:val="21"/>
              </w:rPr>
            </w:pPr>
          </w:p>
        </w:tc>
        <w:tc>
          <w:tcPr>
            <w:tcW w:w="649" w:type="dxa"/>
            <w:vAlign w:val="top"/>
          </w:tcPr>
          <w:p w14:paraId="39F0D8F9">
            <w:pPr>
              <w:rPr>
                <w:rFonts w:ascii="Arial"/>
                <w:sz w:val="21"/>
              </w:rPr>
            </w:pPr>
          </w:p>
        </w:tc>
        <w:tc>
          <w:tcPr>
            <w:tcW w:w="1029" w:type="dxa"/>
            <w:vAlign w:val="top"/>
          </w:tcPr>
          <w:p w14:paraId="4F8E06C0">
            <w:pPr>
              <w:rPr>
                <w:rFonts w:ascii="Arial"/>
                <w:sz w:val="21"/>
              </w:rPr>
            </w:pPr>
          </w:p>
        </w:tc>
        <w:tc>
          <w:tcPr>
            <w:tcW w:w="709" w:type="dxa"/>
            <w:vAlign w:val="top"/>
          </w:tcPr>
          <w:p w14:paraId="54E61E6B">
            <w:pPr>
              <w:rPr>
                <w:rFonts w:ascii="Arial"/>
                <w:sz w:val="21"/>
              </w:rPr>
            </w:pPr>
          </w:p>
        </w:tc>
        <w:tc>
          <w:tcPr>
            <w:tcW w:w="699" w:type="dxa"/>
            <w:vAlign w:val="top"/>
          </w:tcPr>
          <w:p w14:paraId="17DE9DAE">
            <w:pPr>
              <w:rPr>
                <w:rFonts w:ascii="Arial"/>
                <w:sz w:val="21"/>
              </w:rPr>
            </w:pPr>
          </w:p>
        </w:tc>
        <w:tc>
          <w:tcPr>
            <w:tcW w:w="1178" w:type="dxa"/>
            <w:vAlign w:val="top"/>
          </w:tcPr>
          <w:p w14:paraId="675721D7">
            <w:pPr>
              <w:rPr>
                <w:rFonts w:ascii="Arial"/>
                <w:sz w:val="21"/>
              </w:rPr>
            </w:pPr>
          </w:p>
        </w:tc>
        <w:tc>
          <w:tcPr>
            <w:tcW w:w="879" w:type="dxa"/>
            <w:vAlign w:val="top"/>
          </w:tcPr>
          <w:p w14:paraId="23841B6E">
            <w:pPr>
              <w:rPr>
                <w:rFonts w:ascii="Arial"/>
                <w:sz w:val="21"/>
              </w:rPr>
            </w:pPr>
          </w:p>
        </w:tc>
        <w:tc>
          <w:tcPr>
            <w:tcW w:w="859" w:type="dxa"/>
            <w:vAlign w:val="top"/>
          </w:tcPr>
          <w:p w14:paraId="03370456">
            <w:pPr>
              <w:rPr>
                <w:rFonts w:ascii="Arial"/>
                <w:sz w:val="21"/>
              </w:rPr>
            </w:pPr>
          </w:p>
        </w:tc>
        <w:tc>
          <w:tcPr>
            <w:tcW w:w="784" w:type="dxa"/>
            <w:vAlign w:val="top"/>
          </w:tcPr>
          <w:p w14:paraId="2F408BF1">
            <w:pPr>
              <w:rPr>
                <w:rFonts w:ascii="Arial"/>
                <w:sz w:val="21"/>
              </w:rPr>
            </w:pPr>
          </w:p>
        </w:tc>
      </w:tr>
      <w:tr w14:paraId="5ED2D3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trPr>
        <w:tc>
          <w:tcPr>
            <w:tcW w:w="654" w:type="dxa"/>
            <w:vAlign w:val="top"/>
          </w:tcPr>
          <w:p w14:paraId="0B8DC57C">
            <w:pPr>
              <w:rPr>
                <w:rFonts w:ascii="Arial"/>
                <w:sz w:val="21"/>
              </w:rPr>
            </w:pPr>
          </w:p>
        </w:tc>
        <w:tc>
          <w:tcPr>
            <w:tcW w:w="1079" w:type="dxa"/>
            <w:vAlign w:val="top"/>
          </w:tcPr>
          <w:p w14:paraId="13C31FE1">
            <w:pPr>
              <w:rPr>
                <w:rFonts w:ascii="Arial"/>
                <w:sz w:val="21"/>
              </w:rPr>
            </w:pPr>
          </w:p>
        </w:tc>
        <w:tc>
          <w:tcPr>
            <w:tcW w:w="649" w:type="dxa"/>
            <w:vAlign w:val="top"/>
          </w:tcPr>
          <w:p w14:paraId="6994E5A8">
            <w:pPr>
              <w:rPr>
                <w:rFonts w:ascii="Arial"/>
                <w:sz w:val="21"/>
              </w:rPr>
            </w:pPr>
          </w:p>
        </w:tc>
        <w:tc>
          <w:tcPr>
            <w:tcW w:w="1029" w:type="dxa"/>
            <w:vAlign w:val="top"/>
          </w:tcPr>
          <w:p w14:paraId="7748C427">
            <w:pPr>
              <w:rPr>
                <w:rFonts w:ascii="Arial"/>
                <w:sz w:val="21"/>
              </w:rPr>
            </w:pPr>
          </w:p>
        </w:tc>
        <w:tc>
          <w:tcPr>
            <w:tcW w:w="709" w:type="dxa"/>
            <w:vAlign w:val="top"/>
          </w:tcPr>
          <w:p w14:paraId="6BA8BB73">
            <w:pPr>
              <w:rPr>
                <w:rFonts w:ascii="Arial"/>
                <w:sz w:val="21"/>
              </w:rPr>
            </w:pPr>
          </w:p>
        </w:tc>
        <w:tc>
          <w:tcPr>
            <w:tcW w:w="699" w:type="dxa"/>
            <w:vAlign w:val="top"/>
          </w:tcPr>
          <w:p w14:paraId="69167986">
            <w:pPr>
              <w:rPr>
                <w:rFonts w:ascii="Arial"/>
                <w:sz w:val="21"/>
              </w:rPr>
            </w:pPr>
          </w:p>
        </w:tc>
        <w:tc>
          <w:tcPr>
            <w:tcW w:w="1178" w:type="dxa"/>
            <w:vAlign w:val="top"/>
          </w:tcPr>
          <w:p w14:paraId="040C9202">
            <w:pPr>
              <w:rPr>
                <w:rFonts w:ascii="Arial"/>
                <w:sz w:val="21"/>
              </w:rPr>
            </w:pPr>
          </w:p>
        </w:tc>
        <w:tc>
          <w:tcPr>
            <w:tcW w:w="879" w:type="dxa"/>
            <w:vAlign w:val="top"/>
          </w:tcPr>
          <w:p w14:paraId="620EBB56">
            <w:pPr>
              <w:rPr>
                <w:rFonts w:ascii="Arial"/>
                <w:sz w:val="21"/>
              </w:rPr>
            </w:pPr>
          </w:p>
        </w:tc>
        <w:tc>
          <w:tcPr>
            <w:tcW w:w="859" w:type="dxa"/>
            <w:vAlign w:val="top"/>
          </w:tcPr>
          <w:p w14:paraId="6951F16A">
            <w:pPr>
              <w:rPr>
                <w:rFonts w:ascii="Arial"/>
                <w:sz w:val="21"/>
              </w:rPr>
            </w:pPr>
          </w:p>
        </w:tc>
        <w:tc>
          <w:tcPr>
            <w:tcW w:w="784" w:type="dxa"/>
            <w:vAlign w:val="top"/>
          </w:tcPr>
          <w:p w14:paraId="390C6A07">
            <w:pPr>
              <w:rPr>
                <w:rFonts w:ascii="Arial"/>
                <w:sz w:val="21"/>
              </w:rPr>
            </w:pPr>
          </w:p>
        </w:tc>
      </w:tr>
      <w:tr w14:paraId="17B7A1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trPr>
        <w:tc>
          <w:tcPr>
            <w:tcW w:w="654" w:type="dxa"/>
            <w:vAlign w:val="top"/>
          </w:tcPr>
          <w:p w14:paraId="2D694540">
            <w:pPr>
              <w:rPr>
                <w:rFonts w:ascii="Arial"/>
                <w:sz w:val="21"/>
              </w:rPr>
            </w:pPr>
          </w:p>
        </w:tc>
        <w:tc>
          <w:tcPr>
            <w:tcW w:w="1079" w:type="dxa"/>
            <w:vAlign w:val="top"/>
          </w:tcPr>
          <w:p w14:paraId="1964F074">
            <w:pPr>
              <w:rPr>
                <w:rFonts w:ascii="Arial"/>
                <w:sz w:val="21"/>
              </w:rPr>
            </w:pPr>
          </w:p>
        </w:tc>
        <w:tc>
          <w:tcPr>
            <w:tcW w:w="649" w:type="dxa"/>
            <w:vAlign w:val="top"/>
          </w:tcPr>
          <w:p w14:paraId="0EC9BC1E">
            <w:pPr>
              <w:rPr>
                <w:rFonts w:ascii="Arial"/>
                <w:sz w:val="21"/>
              </w:rPr>
            </w:pPr>
          </w:p>
        </w:tc>
        <w:tc>
          <w:tcPr>
            <w:tcW w:w="1029" w:type="dxa"/>
            <w:vAlign w:val="top"/>
          </w:tcPr>
          <w:p w14:paraId="433FB273">
            <w:pPr>
              <w:rPr>
                <w:rFonts w:ascii="Arial"/>
                <w:sz w:val="21"/>
              </w:rPr>
            </w:pPr>
          </w:p>
        </w:tc>
        <w:tc>
          <w:tcPr>
            <w:tcW w:w="709" w:type="dxa"/>
            <w:vAlign w:val="top"/>
          </w:tcPr>
          <w:p w14:paraId="7DC0DC6B">
            <w:pPr>
              <w:rPr>
                <w:rFonts w:ascii="Arial"/>
                <w:sz w:val="21"/>
              </w:rPr>
            </w:pPr>
          </w:p>
        </w:tc>
        <w:tc>
          <w:tcPr>
            <w:tcW w:w="699" w:type="dxa"/>
            <w:vAlign w:val="top"/>
          </w:tcPr>
          <w:p w14:paraId="6CDBEFEF">
            <w:pPr>
              <w:rPr>
                <w:rFonts w:ascii="Arial"/>
                <w:sz w:val="21"/>
              </w:rPr>
            </w:pPr>
          </w:p>
        </w:tc>
        <w:tc>
          <w:tcPr>
            <w:tcW w:w="1178" w:type="dxa"/>
            <w:vAlign w:val="top"/>
          </w:tcPr>
          <w:p w14:paraId="364E3DCC">
            <w:pPr>
              <w:rPr>
                <w:rFonts w:ascii="Arial"/>
                <w:sz w:val="21"/>
              </w:rPr>
            </w:pPr>
          </w:p>
        </w:tc>
        <w:tc>
          <w:tcPr>
            <w:tcW w:w="879" w:type="dxa"/>
            <w:vAlign w:val="top"/>
          </w:tcPr>
          <w:p w14:paraId="772A5BD2">
            <w:pPr>
              <w:rPr>
                <w:rFonts w:ascii="Arial"/>
                <w:sz w:val="21"/>
              </w:rPr>
            </w:pPr>
          </w:p>
        </w:tc>
        <w:tc>
          <w:tcPr>
            <w:tcW w:w="859" w:type="dxa"/>
            <w:vAlign w:val="top"/>
          </w:tcPr>
          <w:p w14:paraId="5370FC86">
            <w:pPr>
              <w:rPr>
                <w:rFonts w:ascii="Arial"/>
                <w:sz w:val="21"/>
              </w:rPr>
            </w:pPr>
          </w:p>
        </w:tc>
        <w:tc>
          <w:tcPr>
            <w:tcW w:w="784" w:type="dxa"/>
            <w:vAlign w:val="top"/>
          </w:tcPr>
          <w:p w14:paraId="60B8497C">
            <w:pPr>
              <w:rPr>
                <w:rFonts w:ascii="Arial"/>
                <w:sz w:val="21"/>
              </w:rPr>
            </w:pPr>
          </w:p>
        </w:tc>
      </w:tr>
      <w:tr w14:paraId="0F6FA2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654" w:type="dxa"/>
            <w:vAlign w:val="top"/>
          </w:tcPr>
          <w:p w14:paraId="3DF9ECC4">
            <w:pPr>
              <w:rPr>
                <w:rFonts w:ascii="Arial"/>
                <w:sz w:val="21"/>
              </w:rPr>
            </w:pPr>
          </w:p>
        </w:tc>
        <w:tc>
          <w:tcPr>
            <w:tcW w:w="1079" w:type="dxa"/>
            <w:vAlign w:val="top"/>
          </w:tcPr>
          <w:p w14:paraId="1F09D591">
            <w:pPr>
              <w:rPr>
                <w:rFonts w:ascii="Arial"/>
                <w:sz w:val="21"/>
              </w:rPr>
            </w:pPr>
          </w:p>
        </w:tc>
        <w:tc>
          <w:tcPr>
            <w:tcW w:w="649" w:type="dxa"/>
            <w:vAlign w:val="top"/>
          </w:tcPr>
          <w:p w14:paraId="5700C3BF">
            <w:pPr>
              <w:rPr>
                <w:rFonts w:ascii="Arial"/>
                <w:sz w:val="21"/>
              </w:rPr>
            </w:pPr>
          </w:p>
        </w:tc>
        <w:tc>
          <w:tcPr>
            <w:tcW w:w="1029" w:type="dxa"/>
            <w:vAlign w:val="top"/>
          </w:tcPr>
          <w:p w14:paraId="61CBF426">
            <w:pPr>
              <w:rPr>
                <w:rFonts w:ascii="Arial"/>
                <w:sz w:val="21"/>
              </w:rPr>
            </w:pPr>
          </w:p>
        </w:tc>
        <w:tc>
          <w:tcPr>
            <w:tcW w:w="709" w:type="dxa"/>
            <w:vAlign w:val="top"/>
          </w:tcPr>
          <w:p w14:paraId="2E3A5D00">
            <w:pPr>
              <w:rPr>
                <w:rFonts w:ascii="Arial"/>
                <w:sz w:val="21"/>
              </w:rPr>
            </w:pPr>
          </w:p>
        </w:tc>
        <w:tc>
          <w:tcPr>
            <w:tcW w:w="699" w:type="dxa"/>
            <w:vAlign w:val="top"/>
          </w:tcPr>
          <w:p w14:paraId="64C52EA5">
            <w:pPr>
              <w:rPr>
                <w:rFonts w:ascii="Arial"/>
                <w:sz w:val="21"/>
              </w:rPr>
            </w:pPr>
          </w:p>
        </w:tc>
        <w:tc>
          <w:tcPr>
            <w:tcW w:w="1178" w:type="dxa"/>
            <w:vAlign w:val="top"/>
          </w:tcPr>
          <w:p w14:paraId="4F304750">
            <w:pPr>
              <w:rPr>
                <w:rFonts w:ascii="Arial"/>
                <w:sz w:val="21"/>
              </w:rPr>
            </w:pPr>
          </w:p>
        </w:tc>
        <w:tc>
          <w:tcPr>
            <w:tcW w:w="879" w:type="dxa"/>
            <w:vAlign w:val="top"/>
          </w:tcPr>
          <w:p w14:paraId="23D87400">
            <w:pPr>
              <w:rPr>
                <w:rFonts w:ascii="Arial"/>
                <w:sz w:val="21"/>
              </w:rPr>
            </w:pPr>
          </w:p>
        </w:tc>
        <w:tc>
          <w:tcPr>
            <w:tcW w:w="859" w:type="dxa"/>
            <w:vAlign w:val="top"/>
          </w:tcPr>
          <w:p w14:paraId="2544A229">
            <w:pPr>
              <w:rPr>
                <w:rFonts w:ascii="Arial"/>
                <w:sz w:val="21"/>
              </w:rPr>
            </w:pPr>
          </w:p>
        </w:tc>
        <w:tc>
          <w:tcPr>
            <w:tcW w:w="784" w:type="dxa"/>
            <w:vAlign w:val="top"/>
          </w:tcPr>
          <w:p w14:paraId="465110CE">
            <w:pPr>
              <w:rPr>
                <w:rFonts w:ascii="Arial"/>
                <w:sz w:val="21"/>
              </w:rPr>
            </w:pPr>
          </w:p>
        </w:tc>
      </w:tr>
      <w:tr w14:paraId="1C75D4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0" w:hRule="atLeast"/>
        </w:trPr>
        <w:tc>
          <w:tcPr>
            <w:tcW w:w="654" w:type="dxa"/>
            <w:vAlign w:val="top"/>
          </w:tcPr>
          <w:p w14:paraId="159659FF">
            <w:pPr>
              <w:rPr>
                <w:rFonts w:ascii="Arial"/>
                <w:sz w:val="21"/>
              </w:rPr>
            </w:pPr>
          </w:p>
        </w:tc>
        <w:tc>
          <w:tcPr>
            <w:tcW w:w="1079" w:type="dxa"/>
            <w:vAlign w:val="top"/>
          </w:tcPr>
          <w:p w14:paraId="1F29AFAB">
            <w:pPr>
              <w:rPr>
                <w:rFonts w:ascii="Arial"/>
                <w:sz w:val="21"/>
              </w:rPr>
            </w:pPr>
          </w:p>
        </w:tc>
        <w:tc>
          <w:tcPr>
            <w:tcW w:w="649" w:type="dxa"/>
            <w:vAlign w:val="top"/>
          </w:tcPr>
          <w:p w14:paraId="332D23E1">
            <w:pPr>
              <w:rPr>
                <w:rFonts w:ascii="Arial"/>
                <w:sz w:val="21"/>
              </w:rPr>
            </w:pPr>
          </w:p>
        </w:tc>
        <w:tc>
          <w:tcPr>
            <w:tcW w:w="1029" w:type="dxa"/>
            <w:vAlign w:val="top"/>
          </w:tcPr>
          <w:p w14:paraId="1C54AFC0">
            <w:pPr>
              <w:rPr>
                <w:rFonts w:ascii="Arial"/>
                <w:sz w:val="21"/>
              </w:rPr>
            </w:pPr>
          </w:p>
        </w:tc>
        <w:tc>
          <w:tcPr>
            <w:tcW w:w="709" w:type="dxa"/>
            <w:vAlign w:val="top"/>
          </w:tcPr>
          <w:p w14:paraId="4A49CAB4">
            <w:pPr>
              <w:rPr>
                <w:rFonts w:ascii="Arial"/>
                <w:sz w:val="21"/>
              </w:rPr>
            </w:pPr>
          </w:p>
        </w:tc>
        <w:tc>
          <w:tcPr>
            <w:tcW w:w="699" w:type="dxa"/>
            <w:vAlign w:val="top"/>
          </w:tcPr>
          <w:p w14:paraId="4B8043EF">
            <w:pPr>
              <w:rPr>
                <w:rFonts w:ascii="Arial"/>
                <w:sz w:val="21"/>
              </w:rPr>
            </w:pPr>
          </w:p>
        </w:tc>
        <w:tc>
          <w:tcPr>
            <w:tcW w:w="1178" w:type="dxa"/>
            <w:vAlign w:val="top"/>
          </w:tcPr>
          <w:p w14:paraId="2940EE98">
            <w:pPr>
              <w:rPr>
                <w:rFonts w:ascii="Arial"/>
                <w:sz w:val="21"/>
              </w:rPr>
            </w:pPr>
          </w:p>
        </w:tc>
        <w:tc>
          <w:tcPr>
            <w:tcW w:w="879" w:type="dxa"/>
            <w:vAlign w:val="top"/>
          </w:tcPr>
          <w:p w14:paraId="7D29D3B1">
            <w:pPr>
              <w:rPr>
                <w:rFonts w:ascii="Arial"/>
                <w:sz w:val="21"/>
              </w:rPr>
            </w:pPr>
          </w:p>
        </w:tc>
        <w:tc>
          <w:tcPr>
            <w:tcW w:w="859" w:type="dxa"/>
            <w:vAlign w:val="top"/>
          </w:tcPr>
          <w:p w14:paraId="4C6941AE">
            <w:pPr>
              <w:rPr>
                <w:rFonts w:ascii="Arial"/>
                <w:sz w:val="21"/>
              </w:rPr>
            </w:pPr>
          </w:p>
        </w:tc>
        <w:tc>
          <w:tcPr>
            <w:tcW w:w="784" w:type="dxa"/>
            <w:vAlign w:val="top"/>
          </w:tcPr>
          <w:p w14:paraId="19FE00AC">
            <w:pPr>
              <w:rPr>
                <w:rFonts w:ascii="Arial"/>
                <w:sz w:val="21"/>
              </w:rPr>
            </w:pPr>
          </w:p>
        </w:tc>
      </w:tr>
      <w:tr w14:paraId="058212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9" w:hRule="atLeast"/>
        </w:trPr>
        <w:tc>
          <w:tcPr>
            <w:tcW w:w="654" w:type="dxa"/>
            <w:vAlign w:val="top"/>
          </w:tcPr>
          <w:p w14:paraId="23BFBA9C">
            <w:pPr>
              <w:rPr>
                <w:rFonts w:ascii="Arial"/>
                <w:sz w:val="21"/>
              </w:rPr>
            </w:pPr>
          </w:p>
        </w:tc>
        <w:tc>
          <w:tcPr>
            <w:tcW w:w="1079" w:type="dxa"/>
            <w:vAlign w:val="top"/>
          </w:tcPr>
          <w:p w14:paraId="58D80EBE">
            <w:pPr>
              <w:rPr>
                <w:rFonts w:ascii="Arial"/>
                <w:sz w:val="21"/>
              </w:rPr>
            </w:pPr>
          </w:p>
        </w:tc>
        <w:tc>
          <w:tcPr>
            <w:tcW w:w="649" w:type="dxa"/>
            <w:vAlign w:val="top"/>
          </w:tcPr>
          <w:p w14:paraId="04BEAAEA">
            <w:pPr>
              <w:rPr>
                <w:rFonts w:ascii="Arial"/>
                <w:sz w:val="21"/>
              </w:rPr>
            </w:pPr>
          </w:p>
        </w:tc>
        <w:tc>
          <w:tcPr>
            <w:tcW w:w="1029" w:type="dxa"/>
            <w:vAlign w:val="top"/>
          </w:tcPr>
          <w:p w14:paraId="4D68B1EF">
            <w:pPr>
              <w:rPr>
                <w:rFonts w:ascii="Arial"/>
                <w:sz w:val="21"/>
              </w:rPr>
            </w:pPr>
          </w:p>
        </w:tc>
        <w:tc>
          <w:tcPr>
            <w:tcW w:w="709" w:type="dxa"/>
            <w:vAlign w:val="top"/>
          </w:tcPr>
          <w:p w14:paraId="458B29E6">
            <w:pPr>
              <w:rPr>
                <w:rFonts w:ascii="Arial"/>
                <w:sz w:val="21"/>
              </w:rPr>
            </w:pPr>
          </w:p>
        </w:tc>
        <w:tc>
          <w:tcPr>
            <w:tcW w:w="699" w:type="dxa"/>
            <w:vAlign w:val="top"/>
          </w:tcPr>
          <w:p w14:paraId="51721769">
            <w:pPr>
              <w:rPr>
                <w:rFonts w:ascii="Arial"/>
                <w:sz w:val="21"/>
              </w:rPr>
            </w:pPr>
          </w:p>
        </w:tc>
        <w:tc>
          <w:tcPr>
            <w:tcW w:w="1178" w:type="dxa"/>
            <w:vAlign w:val="top"/>
          </w:tcPr>
          <w:p w14:paraId="4D81ECFA">
            <w:pPr>
              <w:rPr>
                <w:rFonts w:ascii="Arial"/>
                <w:sz w:val="21"/>
              </w:rPr>
            </w:pPr>
          </w:p>
        </w:tc>
        <w:tc>
          <w:tcPr>
            <w:tcW w:w="879" w:type="dxa"/>
            <w:vAlign w:val="top"/>
          </w:tcPr>
          <w:p w14:paraId="3B9765C9">
            <w:pPr>
              <w:rPr>
                <w:rFonts w:ascii="Arial"/>
                <w:sz w:val="21"/>
              </w:rPr>
            </w:pPr>
          </w:p>
        </w:tc>
        <w:tc>
          <w:tcPr>
            <w:tcW w:w="859" w:type="dxa"/>
            <w:vAlign w:val="top"/>
          </w:tcPr>
          <w:p w14:paraId="5C524CB3">
            <w:pPr>
              <w:rPr>
                <w:rFonts w:ascii="Arial"/>
                <w:sz w:val="21"/>
              </w:rPr>
            </w:pPr>
          </w:p>
        </w:tc>
        <w:tc>
          <w:tcPr>
            <w:tcW w:w="784" w:type="dxa"/>
            <w:vAlign w:val="top"/>
          </w:tcPr>
          <w:p w14:paraId="364D2853">
            <w:pPr>
              <w:rPr>
                <w:rFonts w:ascii="Arial"/>
                <w:sz w:val="21"/>
              </w:rPr>
            </w:pPr>
          </w:p>
        </w:tc>
      </w:tr>
      <w:tr w14:paraId="1F66EC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0" w:hRule="atLeast"/>
        </w:trPr>
        <w:tc>
          <w:tcPr>
            <w:tcW w:w="654" w:type="dxa"/>
            <w:vAlign w:val="top"/>
          </w:tcPr>
          <w:p w14:paraId="52C31A1E">
            <w:pPr>
              <w:rPr>
                <w:rFonts w:ascii="Arial"/>
                <w:sz w:val="21"/>
              </w:rPr>
            </w:pPr>
          </w:p>
        </w:tc>
        <w:tc>
          <w:tcPr>
            <w:tcW w:w="1079" w:type="dxa"/>
            <w:vAlign w:val="top"/>
          </w:tcPr>
          <w:p w14:paraId="20F68865">
            <w:pPr>
              <w:rPr>
                <w:rFonts w:ascii="Arial"/>
                <w:sz w:val="21"/>
              </w:rPr>
            </w:pPr>
          </w:p>
        </w:tc>
        <w:tc>
          <w:tcPr>
            <w:tcW w:w="649" w:type="dxa"/>
            <w:vAlign w:val="top"/>
          </w:tcPr>
          <w:p w14:paraId="2D7B7394">
            <w:pPr>
              <w:rPr>
                <w:rFonts w:ascii="Arial"/>
                <w:sz w:val="21"/>
              </w:rPr>
            </w:pPr>
          </w:p>
        </w:tc>
        <w:tc>
          <w:tcPr>
            <w:tcW w:w="1029" w:type="dxa"/>
            <w:vAlign w:val="top"/>
          </w:tcPr>
          <w:p w14:paraId="686844E0">
            <w:pPr>
              <w:rPr>
                <w:rFonts w:ascii="Arial"/>
                <w:sz w:val="21"/>
              </w:rPr>
            </w:pPr>
          </w:p>
        </w:tc>
        <w:tc>
          <w:tcPr>
            <w:tcW w:w="709" w:type="dxa"/>
            <w:vAlign w:val="top"/>
          </w:tcPr>
          <w:p w14:paraId="32ACDCF7">
            <w:pPr>
              <w:rPr>
                <w:rFonts w:ascii="Arial"/>
                <w:sz w:val="21"/>
              </w:rPr>
            </w:pPr>
          </w:p>
        </w:tc>
        <w:tc>
          <w:tcPr>
            <w:tcW w:w="699" w:type="dxa"/>
            <w:vAlign w:val="top"/>
          </w:tcPr>
          <w:p w14:paraId="31CB74AE">
            <w:pPr>
              <w:rPr>
                <w:rFonts w:ascii="Arial"/>
                <w:sz w:val="21"/>
              </w:rPr>
            </w:pPr>
          </w:p>
        </w:tc>
        <w:tc>
          <w:tcPr>
            <w:tcW w:w="1178" w:type="dxa"/>
            <w:vAlign w:val="top"/>
          </w:tcPr>
          <w:p w14:paraId="42D6F8BC">
            <w:pPr>
              <w:rPr>
                <w:rFonts w:ascii="Arial"/>
                <w:sz w:val="21"/>
              </w:rPr>
            </w:pPr>
          </w:p>
        </w:tc>
        <w:tc>
          <w:tcPr>
            <w:tcW w:w="879" w:type="dxa"/>
            <w:vAlign w:val="top"/>
          </w:tcPr>
          <w:p w14:paraId="7873354D">
            <w:pPr>
              <w:rPr>
                <w:rFonts w:ascii="Arial"/>
                <w:sz w:val="21"/>
              </w:rPr>
            </w:pPr>
          </w:p>
        </w:tc>
        <w:tc>
          <w:tcPr>
            <w:tcW w:w="859" w:type="dxa"/>
            <w:vAlign w:val="top"/>
          </w:tcPr>
          <w:p w14:paraId="27B6EDAA">
            <w:pPr>
              <w:rPr>
                <w:rFonts w:ascii="Arial"/>
                <w:sz w:val="21"/>
              </w:rPr>
            </w:pPr>
          </w:p>
        </w:tc>
        <w:tc>
          <w:tcPr>
            <w:tcW w:w="784" w:type="dxa"/>
            <w:vAlign w:val="top"/>
          </w:tcPr>
          <w:p w14:paraId="06F58FEF">
            <w:pPr>
              <w:rPr>
                <w:rFonts w:ascii="Arial"/>
                <w:sz w:val="21"/>
              </w:rPr>
            </w:pPr>
          </w:p>
        </w:tc>
      </w:tr>
      <w:tr w14:paraId="4E95C7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trPr>
        <w:tc>
          <w:tcPr>
            <w:tcW w:w="654" w:type="dxa"/>
            <w:vAlign w:val="top"/>
          </w:tcPr>
          <w:p w14:paraId="149F6B42">
            <w:pPr>
              <w:rPr>
                <w:rFonts w:ascii="Arial"/>
                <w:sz w:val="21"/>
              </w:rPr>
            </w:pPr>
          </w:p>
        </w:tc>
        <w:tc>
          <w:tcPr>
            <w:tcW w:w="1079" w:type="dxa"/>
            <w:vAlign w:val="top"/>
          </w:tcPr>
          <w:p w14:paraId="1A162E93">
            <w:pPr>
              <w:rPr>
                <w:rFonts w:ascii="Arial"/>
                <w:sz w:val="21"/>
              </w:rPr>
            </w:pPr>
          </w:p>
        </w:tc>
        <w:tc>
          <w:tcPr>
            <w:tcW w:w="649" w:type="dxa"/>
            <w:vAlign w:val="top"/>
          </w:tcPr>
          <w:p w14:paraId="136048A7">
            <w:pPr>
              <w:rPr>
                <w:rFonts w:ascii="Arial"/>
                <w:sz w:val="21"/>
              </w:rPr>
            </w:pPr>
          </w:p>
        </w:tc>
        <w:tc>
          <w:tcPr>
            <w:tcW w:w="1029" w:type="dxa"/>
            <w:vAlign w:val="top"/>
          </w:tcPr>
          <w:p w14:paraId="3C440B61">
            <w:pPr>
              <w:rPr>
                <w:rFonts w:ascii="Arial"/>
                <w:sz w:val="21"/>
              </w:rPr>
            </w:pPr>
          </w:p>
        </w:tc>
        <w:tc>
          <w:tcPr>
            <w:tcW w:w="709" w:type="dxa"/>
            <w:vAlign w:val="top"/>
          </w:tcPr>
          <w:p w14:paraId="7CEF78F0">
            <w:pPr>
              <w:rPr>
                <w:rFonts w:ascii="Arial"/>
                <w:sz w:val="21"/>
              </w:rPr>
            </w:pPr>
          </w:p>
        </w:tc>
        <w:tc>
          <w:tcPr>
            <w:tcW w:w="699" w:type="dxa"/>
            <w:vAlign w:val="top"/>
          </w:tcPr>
          <w:p w14:paraId="51535B78">
            <w:pPr>
              <w:rPr>
                <w:rFonts w:ascii="Arial"/>
                <w:sz w:val="21"/>
              </w:rPr>
            </w:pPr>
          </w:p>
        </w:tc>
        <w:tc>
          <w:tcPr>
            <w:tcW w:w="1178" w:type="dxa"/>
            <w:vAlign w:val="top"/>
          </w:tcPr>
          <w:p w14:paraId="7E989BED">
            <w:pPr>
              <w:rPr>
                <w:rFonts w:ascii="Arial"/>
                <w:sz w:val="21"/>
              </w:rPr>
            </w:pPr>
          </w:p>
        </w:tc>
        <w:tc>
          <w:tcPr>
            <w:tcW w:w="879" w:type="dxa"/>
            <w:vAlign w:val="top"/>
          </w:tcPr>
          <w:p w14:paraId="1F05B2BD">
            <w:pPr>
              <w:rPr>
                <w:rFonts w:ascii="Arial"/>
                <w:sz w:val="21"/>
              </w:rPr>
            </w:pPr>
          </w:p>
        </w:tc>
        <w:tc>
          <w:tcPr>
            <w:tcW w:w="859" w:type="dxa"/>
            <w:vAlign w:val="top"/>
          </w:tcPr>
          <w:p w14:paraId="509EFBA7">
            <w:pPr>
              <w:rPr>
                <w:rFonts w:ascii="Arial"/>
                <w:sz w:val="21"/>
              </w:rPr>
            </w:pPr>
          </w:p>
        </w:tc>
        <w:tc>
          <w:tcPr>
            <w:tcW w:w="784" w:type="dxa"/>
            <w:vAlign w:val="top"/>
          </w:tcPr>
          <w:p w14:paraId="796E5BE6">
            <w:pPr>
              <w:rPr>
                <w:rFonts w:ascii="Arial"/>
                <w:sz w:val="21"/>
              </w:rPr>
            </w:pPr>
          </w:p>
        </w:tc>
      </w:tr>
      <w:tr w14:paraId="542F71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trPr>
        <w:tc>
          <w:tcPr>
            <w:tcW w:w="654" w:type="dxa"/>
            <w:vAlign w:val="top"/>
          </w:tcPr>
          <w:p w14:paraId="092D49EF">
            <w:pPr>
              <w:rPr>
                <w:rFonts w:ascii="Arial"/>
                <w:sz w:val="21"/>
              </w:rPr>
            </w:pPr>
          </w:p>
        </w:tc>
        <w:tc>
          <w:tcPr>
            <w:tcW w:w="1079" w:type="dxa"/>
            <w:vAlign w:val="top"/>
          </w:tcPr>
          <w:p w14:paraId="573BDE51">
            <w:pPr>
              <w:rPr>
                <w:rFonts w:ascii="Arial"/>
                <w:sz w:val="21"/>
              </w:rPr>
            </w:pPr>
          </w:p>
        </w:tc>
        <w:tc>
          <w:tcPr>
            <w:tcW w:w="649" w:type="dxa"/>
            <w:vAlign w:val="top"/>
          </w:tcPr>
          <w:p w14:paraId="6C7933CA">
            <w:pPr>
              <w:rPr>
                <w:rFonts w:ascii="Arial"/>
                <w:sz w:val="21"/>
              </w:rPr>
            </w:pPr>
          </w:p>
        </w:tc>
        <w:tc>
          <w:tcPr>
            <w:tcW w:w="1029" w:type="dxa"/>
            <w:vAlign w:val="top"/>
          </w:tcPr>
          <w:p w14:paraId="5A3D5B9A">
            <w:pPr>
              <w:rPr>
                <w:rFonts w:ascii="Arial"/>
                <w:sz w:val="21"/>
              </w:rPr>
            </w:pPr>
          </w:p>
        </w:tc>
        <w:tc>
          <w:tcPr>
            <w:tcW w:w="709" w:type="dxa"/>
            <w:vAlign w:val="top"/>
          </w:tcPr>
          <w:p w14:paraId="08BEA5D5">
            <w:pPr>
              <w:rPr>
                <w:rFonts w:ascii="Arial"/>
                <w:sz w:val="21"/>
              </w:rPr>
            </w:pPr>
          </w:p>
        </w:tc>
        <w:tc>
          <w:tcPr>
            <w:tcW w:w="699" w:type="dxa"/>
            <w:vAlign w:val="top"/>
          </w:tcPr>
          <w:p w14:paraId="7517598C">
            <w:pPr>
              <w:rPr>
                <w:rFonts w:ascii="Arial"/>
                <w:sz w:val="21"/>
              </w:rPr>
            </w:pPr>
          </w:p>
        </w:tc>
        <w:tc>
          <w:tcPr>
            <w:tcW w:w="1178" w:type="dxa"/>
            <w:vAlign w:val="top"/>
          </w:tcPr>
          <w:p w14:paraId="23066CCB">
            <w:pPr>
              <w:rPr>
                <w:rFonts w:ascii="Arial"/>
                <w:sz w:val="21"/>
              </w:rPr>
            </w:pPr>
          </w:p>
        </w:tc>
        <w:tc>
          <w:tcPr>
            <w:tcW w:w="879" w:type="dxa"/>
            <w:vAlign w:val="top"/>
          </w:tcPr>
          <w:p w14:paraId="0CC0ADE3">
            <w:pPr>
              <w:rPr>
                <w:rFonts w:ascii="Arial"/>
                <w:sz w:val="21"/>
              </w:rPr>
            </w:pPr>
          </w:p>
        </w:tc>
        <w:tc>
          <w:tcPr>
            <w:tcW w:w="859" w:type="dxa"/>
            <w:vAlign w:val="top"/>
          </w:tcPr>
          <w:p w14:paraId="05D02FC3">
            <w:pPr>
              <w:rPr>
                <w:rFonts w:ascii="Arial"/>
                <w:sz w:val="21"/>
              </w:rPr>
            </w:pPr>
          </w:p>
        </w:tc>
        <w:tc>
          <w:tcPr>
            <w:tcW w:w="784" w:type="dxa"/>
            <w:vAlign w:val="top"/>
          </w:tcPr>
          <w:p w14:paraId="5B6B654A">
            <w:pPr>
              <w:rPr>
                <w:rFonts w:ascii="Arial"/>
                <w:sz w:val="21"/>
              </w:rPr>
            </w:pPr>
          </w:p>
        </w:tc>
      </w:tr>
      <w:tr w14:paraId="289DFA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9" w:hRule="atLeast"/>
        </w:trPr>
        <w:tc>
          <w:tcPr>
            <w:tcW w:w="654" w:type="dxa"/>
            <w:vAlign w:val="top"/>
          </w:tcPr>
          <w:p w14:paraId="6008E5C8">
            <w:pPr>
              <w:rPr>
                <w:rFonts w:ascii="Arial"/>
                <w:sz w:val="21"/>
              </w:rPr>
            </w:pPr>
          </w:p>
        </w:tc>
        <w:tc>
          <w:tcPr>
            <w:tcW w:w="1079" w:type="dxa"/>
            <w:vAlign w:val="top"/>
          </w:tcPr>
          <w:p w14:paraId="65796F9E">
            <w:pPr>
              <w:rPr>
                <w:rFonts w:ascii="Arial"/>
                <w:sz w:val="21"/>
              </w:rPr>
            </w:pPr>
          </w:p>
        </w:tc>
        <w:tc>
          <w:tcPr>
            <w:tcW w:w="649" w:type="dxa"/>
            <w:vAlign w:val="top"/>
          </w:tcPr>
          <w:p w14:paraId="77A5CA48">
            <w:pPr>
              <w:rPr>
                <w:rFonts w:ascii="Arial"/>
                <w:sz w:val="21"/>
              </w:rPr>
            </w:pPr>
          </w:p>
        </w:tc>
        <w:tc>
          <w:tcPr>
            <w:tcW w:w="1029" w:type="dxa"/>
            <w:vAlign w:val="top"/>
          </w:tcPr>
          <w:p w14:paraId="23EBA333">
            <w:pPr>
              <w:rPr>
                <w:rFonts w:ascii="Arial"/>
                <w:sz w:val="21"/>
              </w:rPr>
            </w:pPr>
          </w:p>
        </w:tc>
        <w:tc>
          <w:tcPr>
            <w:tcW w:w="709" w:type="dxa"/>
            <w:vAlign w:val="top"/>
          </w:tcPr>
          <w:p w14:paraId="48EE5357">
            <w:pPr>
              <w:rPr>
                <w:rFonts w:ascii="Arial"/>
                <w:sz w:val="21"/>
              </w:rPr>
            </w:pPr>
          </w:p>
        </w:tc>
        <w:tc>
          <w:tcPr>
            <w:tcW w:w="699" w:type="dxa"/>
            <w:vAlign w:val="top"/>
          </w:tcPr>
          <w:p w14:paraId="6C3CAD32">
            <w:pPr>
              <w:rPr>
                <w:rFonts w:ascii="Arial"/>
                <w:sz w:val="21"/>
              </w:rPr>
            </w:pPr>
          </w:p>
        </w:tc>
        <w:tc>
          <w:tcPr>
            <w:tcW w:w="1178" w:type="dxa"/>
            <w:vAlign w:val="top"/>
          </w:tcPr>
          <w:p w14:paraId="1BDC3F52">
            <w:pPr>
              <w:rPr>
                <w:rFonts w:ascii="Arial"/>
                <w:sz w:val="21"/>
              </w:rPr>
            </w:pPr>
          </w:p>
        </w:tc>
        <w:tc>
          <w:tcPr>
            <w:tcW w:w="879" w:type="dxa"/>
            <w:vAlign w:val="top"/>
          </w:tcPr>
          <w:p w14:paraId="57FE8C4B">
            <w:pPr>
              <w:rPr>
                <w:rFonts w:ascii="Arial"/>
                <w:sz w:val="21"/>
              </w:rPr>
            </w:pPr>
          </w:p>
        </w:tc>
        <w:tc>
          <w:tcPr>
            <w:tcW w:w="859" w:type="dxa"/>
            <w:vAlign w:val="top"/>
          </w:tcPr>
          <w:p w14:paraId="5FF9BF0C">
            <w:pPr>
              <w:rPr>
                <w:rFonts w:ascii="Arial"/>
                <w:sz w:val="21"/>
              </w:rPr>
            </w:pPr>
          </w:p>
        </w:tc>
        <w:tc>
          <w:tcPr>
            <w:tcW w:w="784" w:type="dxa"/>
            <w:vAlign w:val="top"/>
          </w:tcPr>
          <w:p w14:paraId="785C4FE8">
            <w:pPr>
              <w:rPr>
                <w:rFonts w:ascii="Arial"/>
                <w:sz w:val="21"/>
              </w:rPr>
            </w:pPr>
          </w:p>
        </w:tc>
      </w:tr>
      <w:tr w14:paraId="009767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trPr>
        <w:tc>
          <w:tcPr>
            <w:tcW w:w="654" w:type="dxa"/>
            <w:vAlign w:val="top"/>
          </w:tcPr>
          <w:p w14:paraId="3F2D6D84">
            <w:pPr>
              <w:rPr>
                <w:rFonts w:ascii="Arial"/>
                <w:sz w:val="21"/>
              </w:rPr>
            </w:pPr>
          </w:p>
        </w:tc>
        <w:tc>
          <w:tcPr>
            <w:tcW w:w="1079" w:type="dxa"/>
            <w:vAlign w:val="top"/>
          </w:tcPr>
          <w:p w14:paraId="5616AAF9">
            <w:pPr>
              <w:rPr>
                <w:rFonts w:ascii="Arial"/>
                <w:sz w:val="21"/>
              </w:rPr>
            </w:pPr>
          </w:p>
        </w:tc>
        <w:tc>
          <w:tcPr>
            <w:tcW w:w="649" w:type="dxa"/>
            <w:vAlign w:val="top"/>
          </w:tcPr>
          <w:p w14:paraId="44A71B2C">
            <w:pPr>
              <w:rPr>
                <w:rFonts w:ascii="Arial"/>
                <w:sz w:val="21"/>
              </w:rPr>
            </w:pPr>
          </w:p>
        </w:tc>
        <w:tc>
          <w:tcPr>
            <w:tcW w:w="1029" w:type="dxa"/>
            <w:vAlign w:val="top"/>
          </w:tcPr>
          <w:p w14:paraId="7A80248C">
            <w:pPr>
              <w:rPr>
                <w:rFonts w:ascii="Arial"/>
                <w:sz w:val="21"/>
              </w:rPr>
            </w:pPr>
          </w:p>
        </w:tc>
        <w:tc>
          <w:tcPr>
            <w:tcW w:w="709" w:type="dxa"/>
            <w:vAlign w:val="top"/>
          </w:tcPr>
          <w:p w14:paraId="475A585D">
            <w:pPr>
              <w:rPr>
                <w:rFonts w:ascii="Arial"/>
                <w:sz w:val="21"/>
              </w:rPr>
            </w:pPr>
          </w:p>
        </w:tc>
        <w:tc>
          <w:tcPr>
            <w:tcW w:w="699" w:type="dxa"/>
            <w:vAlign w:val="top"/>
          </w:tcPr>
          <w:p w14:paraId="1DBA18C2">
            <w:pPr>
              <w:rPr>
                <w:rFonts w:ascii="Arial"/>
                <w:sz w:val="21"/>
              </w:rPr>
            </w:pPr>
          </w:p>
        </w:tc>
        <w:tc>
          <w:tcPr>
            <w:tcW w:w="1178" w:type="dxa"/>
            <w:vAlign w:val="top"/>
          </w:tcPr>
          <w:p w14:paraId="4A42CFDE">
            <w:pPr>
              <w:rPr>
                <w:rFonts w:ascii="Arial"/>
                <w:sz w:val="21"/>
              </w:rPr>
            </w:pPr>
          </w:p>
        </w:tc>
        <w:tc>
          <w:tcPr>
            <w:tcW w:w="879" w:type="dxa"/>
            <w:vAlign w:val="top"/>
          </w:tcPr>
          <w:p w14:paraId="7E5D10DE">
            <w:pPr>
              <w:rPr>
                <w:rFonts w:ascii="Arial"/>
                <w:sz w:val="21"/>
              </w:rPr>
            </w:pPr>
          </w:p>
        </w:tc>
        <w:tc>
          <w:tcPr>
            <w:tcW w:w="859" w:type="dxa"/>
            <w:vAlign w:val="top"/>
          </w:tcPr>
          <w:p w14:paraId="5E06E3C4">
            <w:pPr>
              <w:rPr>
                <w:rFonts w:ascii="Arial"/>
                <w:sz w:val="21"/>
              </w:rPr>
            </w:pPr>
          </w:p>
        </w:tc>
        <w:tc>
          <w:tcPr>
            <w:tcW w:w="784" w:type="dxa"/>
            <w:vAlign w:val="top"/>
          </w:tcPr>
          <w:p w14:paraId="4B563A60">
            <w:pPr>
              <w:rPr>
                <w:rFonts w:ascii="Arial"/>
                <w:sz w:val="21"/>
              </w:rPr>
            </w:pPr>
          </w:p>
        </w:tc>
      </w:tr>
      <w:tr w14:paraId="6032C3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trPr>
        <w:tc>
          <w:tcPr>
            <w:tcW w:w="654" w:type="dxa"/>
            <w:vAlign w:val="top"/>
          </w:tcPr>
          <w:p w14:paraId="04A2C18A">
            <w:pPr>
              <w:rPr>
                <w:rFonts w:ascii="Arial"/>
                <w:sz w:val="21"/>
              </w:rPr>
            </w:pPr>
          </w:p>
        </w:tc>
        <w:tc>
          <w:tcPr>
            <w:tcW w:w="1079" w:type="dxa"/>
            <w:vAlign w:val="top"/>
          </w:tcPr>
          <w:p w14:paraId="6CA4A73C">
            <w:pPr>
              <w:rPr>
                <w:rFonts w:ascii="Arial"/>
                <w:sz w:val="21"/>
              </w:rPr>
            </w:pPr>
          </w:p>
        </w:tc>
        <w:tc>
          <w:tcPr>
            <w:tcW w:w="649" w:type="dxa"/>
            <w:vAlign w:val="top"/>
          </w:tcPr>
          <w:p w14:paraId="2F854294">
            <w:pPr>
              <w:rPr>
                <w:rFonts w:ascii="Arial"/>
                <w:sz w:val="21"/>
              </w:rPr>
            </w:pPr>
          </w:p>
        </w:tc>
        <w:tc>
          <w:tcPr>
            <w:tcW w:w="1029" w:type="dxa"/>
            <w:vAlign w:val="top"/>
          </w:tcPr>
          <w:p w14:paraId="20E5C436">
            <w:pPr>
              <w:rPr>
                <w:rFonts w:ascii="Arial"/>
                <w:sz w:val="21"/>
              </w:rPr>
            </w:pPr>
          </w:p>
        </w:tc>
        <w:tc>
          <w:tcPr>
            <w:tcW w:w="709" w:type="dxa"/>
            <w:vAlign w:val="top"/>
          </w:tcPr>
          <w:p w14:paraId="67C1C5CC">
            <w:pPr>
              <w:rPr>
                <w:rFonts w:ascii="Arial"/>
                <w:sz w:val="21"/>
              </w:rPr>
            </w:pPr>
          </w:p>
        </w:tc>
        <w:tc>
          <w:tcPr>
            <w:tcW w:w="699" w:type="dxa"/>
            <w:vAlign w:val="top"/>
          </w:tcPr>
          <w:p w14:paraId="48BB7574">
            <w:pPr>
              <w:rPr>
                <w:rFonts w:ascii="Arial"/>
                <w:sz w:val="21"/>
              </w:rPr>
            </w:pPr>
          </w:p>
        </w:tc>
        <w:tc>
          <w:tcPr>
            <w:tcW w:w="1178" w:type="dxa"/>
            <w:vAlign w:val="top"/>
          </w:tcPr>
          <w:p w14:paraId="0942EC71">
            <w:pPr>
              <w:rPr>
                <w:rFonts w:ascii="Arial"/>
                <w:sz w:val="21"/>
              </w:rPr>
            </w:pPr>
          </w:p>
        </w:tc>
        <w:tc>
          <w:tcPr>
            <w:tcW w:w="879" w:type="dxa"/>
            <w:vAlign w:val="top"/>
          </w:tcPr>
          <w:p w14:paraId="5BCC7B3C">
            <w:pPr>
              <w:rPr>
                <w:rFonts w:ascii="Arial"/>
                <w:sz w:val="21"/>
              </w:rPr>
            </w:pPr>
          </w:p>
        </w:tc>
        <w:tc>
          <w:tcPr>
            <w:tcW w:w="859" w:type="dxa"/>
            <w:vAlign w:val="top"/>
          </w:tcPr>
          <w:p w14:paraId="307F408A">
            <w:pPr>
              <w:rPr>
                <w:rFonts w:ascii="Arial"/>
                <w:sz w:val="21"/>
              </w:rPr>
            </w:pPr>
          </w:p>
        </w:tc>
        <w:tc>
          <w:tcPr>
            <w:tcW w:w="784" w:type="dxa"/>
            <w:vAlign w:val="top"/>
          </w:tcPr>
          <w:p w14:paraId="26B4DBEA">
            <w:pPr>
              <w:rPr>
                <w:rFonts w:ascii="Arial"/>
                <w:sz w:val="21"/>
              </w:rPr>
            </w:pPr>
          </w:p>
        </w:tc>
      </w:tr>
      <w:tr w14:paraId="2239BF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0" w:hRule="atLeast"/>
        </w:trPr>
        <w:tc>
          <w:tcPr>
            <w:tcW w:w="654" w:type="dxa"/>
            <w:vAlign w:val="top"/>
          </w:tcPr>
          <w:p w14:paraId="7AE3CD91">
            <w:pPr>
              <w:rPr>
                <w:rFonts w:ascii="Arial"/>
                <w:sz w:val="21"/>
              </w:rPr>
            </w:pPr>
          </w:p>
        </w:tc>
        <w:tc>
          <w:tcPr>
            <w:tcW w:w="1079" w:type="dxa"/>
            <w:vAlign w:val="top"/>
          </w:tcPr>
          <w:p w14:paraId="1315B8FD">
            <w:pPr>
              <w:rPr>
                <w:rFonts w:ascii="Arial"/>
                <w:sz w:val="21"/>
              </w:rPr>
            </w:pPr>
          </w:p>
        </w:tc>
        <w:tc>
          <w:tcPr>
            <w:tcW w:w="649" w:type="dxa"/>
            <w:vAlign w:val="top"/>
          </w:tcPr>
          <w:p w14:paraId="228C6EF9">
            <w:pPr>
              <w:rPr>
                <w:rFonts w:ascii="Arial"/>
                <w:sz w:val="21"/>
              </w:rPr>
            </w:pPr>
          </w:p>
        </w:tc>
        <w:tc>
          <w:tcPr>
            <w:tcW w:w="1029" w:type="dxa"/>
            <w:vAlign w:val="top"/>
          </w:tcPr>
          <w:p w14:paraId="7174B229">
            <w:pPr>
              <w:rPr>
                <w:rFonts w:ascii="Arial"/>
                <w:sz w:val="21"/>
              </w:rPr>
            </w:pPr>
          </w:p>
        </w:tc>
        <w:tc>
          <w:tcPr>
            <w:tcW w:w="709" w:type="dxa"/>
            <w:vAlign w:val="top"/>
          </w:tcPr>
          <w:p w14:paraId="684887AD">
            <w:pPr>
              <w:rPr>
                <w:rFonts w:ascii="Arial"/>
                <w:sz w:val="21"/>
              </w:rPr>
            </w:pPr>
          </w:p>
        </w:tc>
        <w:tc>
          <w:tcPr>
            <w:tcW w:w="699" w:type="dxa"/>
            <w:vAlign w:val="top"/>
          </w:tcPr>
          <w:p w14:paraId="06ACC2C7">
            <w:pPr>
              <w:rPr>
                <w:rFonts w:ascii="Arial"/>
                <w:sz w:val="21"/>
              </w:rPr>
            </w:pPr>
          </w:p>
        </w:tc>
        <w:tc>
          <w:tcPr>
            <w:tcW w:w="1178" w:type="dxa"/>
            <w:vAlign w:val="top"/>
          </w:tcPr>
          <w:p w14:paraId="0E931860">
            <w:pPr>
              <w:rPr>
                <w:rFonts w:ascii="Arial"/>
                <w:sz w:val="21"/>
              </w:rPr>
            </w:pPr>
          </w:p>
        </w:tc>
        <w:tc>
          <w:tcPr>
            <w:tcW w:w="879" w:type="dxa"/>
            <w:vAlign w:val="top"/>
          </w:tcPr>
          <w:p w14:paraId="4187F6A3">
            <w:pPr>
              <w:rPr>
                <w:rFonts w:ascii="Arial"/>
                <w:sz w:val="21"/>
              </w:rPr>
            </w:pPr>
          </w:p>
        </w:tc>
        <w:tc>
          <w:tcPr>
            <w:tcW w:w="859" w:type="dxa"/>
            <w:vAlign w:val="top"/>
          </w:tcPr>
          <w:p w14:paraId="702A7B38">
            <w:pPr>
              <w:rPr>
                <w:rFonts w:ascii="Arial"/>
                <w:sz w:val="21"/>
              </w:rPr>
            </w:pPr>
          </w:p>
        </w:tc>
        <w:tc>
          <w:tcPr>
            <w:tcW w:w="784" w:type="dxa"/>
            <w:vAlign w:val="top"/>
          </w:tcPr>
          <w:p w14:paraId="39597557">
            <w:pPr>
              <w:rPr>
                <w:rFonts w:ascii="Arial"/>
                <w:sz w:val="21"/>
              </w:rPr>
            </w:pPr>
          </w:p>
        </w:tc>
      </w:tr>
      <w:tr w14:paraId="4D4E78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trPr>
        <w:tc>
          <w:tcPr>
            <w:tcW w:w="654" w:type="dxa"/>
            <w:vAlign w:val="top"/>
          </w:tcPr>
          <w:p w14:paraId="27381505">
            <w:pPr>
              <w:rPr>
                <w:rFonts w:ascii="Arial"/>
                <w:sz w:val="21"/>
              </w:rPr>
            </w:pPr>
          </w:p>
        </w:tc>
        <w:tc>
          <w:tcPr>
            <w:tcW w:w="1079" w:type="dxa"/>
            <w:vAlign w:val="top"/>
          </w:tcPr>
          <w:p w14:paraId="5A5824B0">
            <w:pPr>
              <w:rPr>
                <w:rFonts w:ascii="Arial"/>
                <w:sz w:val="21"/>
              </w:rPr>
            </w:pPr>
          </w:p>
        </w:tc>
        <w:tc>
          <w:tcPr>
            <w:tcW w:w="649" w:type="dxa"/>
            <w:vAlign w:val="top"/>
          </w:tcPr>
          <w:p w14:paraId="3F35FAF1">
            <w:pPr>
              <w:rPr>
                <w:rFonts w:ascii="Arial"/>
                <w:sz w:val="21"/>
              </w:rPr>
            </w:pPr>
          </w:p>
        </w:tc>
        <w:tc>
          <w:tcPr>
            <w:tcW w:w="1029" w:type="dxa"/>
            <w:vAlign w:val="top"/>
          </w:tcPr>
          <w:p w14:paraId="6F9B3221">
            <w:pPr>
              <w:rPr>
                <w:rFonts w:ascii="Arial"/>
                <w:sz w:val="21"/>
              </w:rPr>
            </w:pPr>
          </w:p>
        </w:tc>
        <w:tc>
          <w:tcPr>
            <w:tcW w:w="709" w:type="dxa"/>
            <w:vAlign w:val="top"/>
          </w:tcPr>
          <w:p w14:paraId="5E34F2EA">
            <w:pPr>
              <w:rPr>
                <w:rFonts w:ascii="Arial"/>
                <w:sz w:val="21"/>
              </w:rPr>
            </w:pPr>
          </w:p>
        </w:tc>
        <w:tc>
          <w:tcPr>
            <w:tcW w:w="699" w:type="dxa"/>
            <w:vAlign w:val="top"/>
          </w:tcPr>
          <w:p w14:paraId="55D48C40">
            <w:pPr>
              <w:rPr>
                <w:rFonts w:ascii="Arial"/>
                <w:sz w:val="21"/>
              </w:rPr>
            </w:pPr>
          </w:p>
        </w:tc>
        <w:tc>
          <w:tcPr>
            <w:tcW w:w="1178" w:type="dxa"/>
            <w:vAlign w:val="top"/>
          </w:tcPr>
          <w:p w14:paraId="785F1BDD">
            <w:pPr>
              <w:rPr>
                <w:rFonts w:ascii="Arial"/>
                <w:sz w:val="21"/>
              </w:rPr>
            </w:pPr>
          </w:p>
        </w:tc>
        <w:tc>
          <w:tcPr>
            <w:tcW w:w="879" w:type="dxa"/>
            <w:vAlign w:val="top"/>
          </w:tcPr>
          <w:p w14:paraId="7EAC93A4">
            <w:pPr>
              <w:rPr>
                <w:rFonts w:ascii="Arial"/>
                <w:sz w:val="21"/>
              </w:rPr>
            </w:pPr>
          </w:p>
        </w:tc>
        <w:tc>
          <w:tcPr>
            <w:tcW w:w="859" w:type="dxa"/>
            <w:vAlign w:val="top"/>
          </w:tcPr>
          <w:p w14:paraId="6E23B644">
            <w:pPr>
              <w:rPr>
                <w:rFonts w:ascii="Arial"/>
                <w:sz w:val="21"/>
              </w:rPr>
            </w:pPr>
          </w:p>
        </w:tc>
        <w:tc>
          <w:tcPr>
            <w:tcW w:w="784" w:type="dxa"/>
            <w:vAlign w:val="top"/>
          </w:tcPr>
          <w:p w14:paraId="41A4D285">
            <w:pPr>
              <w:rPr>
                <w:rFonts w:ascii="Arial"/>
                <w:sz w:val="21"/>
              </w:rPr>
            </w:pPr>
          </w:p>
        </w:tc>
      </w:tr>
      <w:tr w14:paraId="6CF0E5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9" w:hRule="atLeast"/>
        </w:trPr>
        <w:tc>
          <w:tcPr>
            <w:tcW w:w="654" w:type="dxa"/>
            <w:vAlign w:val="top"/>
          </w:tcPr>
          <w:p w14:paraId="5282CA9E">
            <w:pPr>
              <w:rPr>
                <w:rFonts w:ascii="Arial"/>
                <w:sz w:val="21"/>
              </w:rPr>
            </w:pPr>
          </w:p>
        </w:tc>
        <w:tc>
          <w:tcPr>
            <w:tcW w:w="1079" w:type="dxa"/>
            <w:vAlign w:val="top"/>
          </w:tcPr>
          <w:p w14:paraId="6F88A517">
            <w:pPr>
              <w:rPr>
                <w:rFonts w:ascii="Arial"/>
                <w:sz w:val="21"/>
              </w:rPr>
            </w:pPr>
          </w:p>
        </w:tc>
        <w:tc>
          <w:tcPr>
            <w:tcW w:w="649" w:type="dxa"/>
            <w:vAlign w:val="top"/>
          </w:tcPr>
          <w:p w14:paraId="28AF811B">
            <w:pPr>
              <w:rPr>
                <w:rFonts w:ascii="Arial"/>
                <w:sz w:val="21"/>
              </w:rPr>
            </w:pPr>
          </w:p>
        </w:tc>
        <w:tc>
          <w:tcPr>
            <w:tcW w:w="1029" w:type="dxa"/>
            <w:vAlign w:val="top"/>
          </w:tcPr>
          <w:p w14:paraId="733229F3">
            <w:pPr>
              <w:rPr>
                <w:rFonts w:ascii="Arial"/>
                <w:sz w:val="21"/>
              </w:rPr>
            </w:pPr>
          </w:p>
        </w:tc>
        <w:tc>
          <w:tcPr>
            <w:tcW w:w="709" w:type="dxa"/>
            <w:vAlign w:val="top"/>
          </w:tcPr>
          <w:p w14:paraId="48EA7519">
            <w:pPr>
              <w:rPr>
                <w:rFonts w:ascii="Arial"/>
                <w:sz w:val="21"/>
              </w:rPr>
            </w:pPr>
          </w:p>
        </w:tc>
        <w:tc>
          <w:tcPr>
            <w:tcW w:w="699" w:type="dxa"/>
            <w:vAlign w:val="top"/>
          </w:tcPr>
          <w:p w14:paraId="495F959E">
            <w:pPr>
              <w:rPr>
                <w:rFonts w:ascii="Arial"/>
                <w:sz w:val="21"/>
              </w:rPr>
            </w:pPr>
          </w:p>
        </w:tc>
        <w:tc>
          <w:tcPr>
            <w:tcW w:w="1178" w:type="dxa"/>
            <w:vAlign w:val="top"/>
          </w:tcPr>
          <w:p w14:paraId="06AA1C2B">
            <w:pPr>
              <w:rPr>
                <w:rFonts w:ascii="Arial"/>
                <w:sz w:val="21"/>
              </w:rPr>
            </w:pPr>
          </w:p>
        </w:tc>
        <w:tc>
          <w:tcPr>
            <w:tcW w:w="879" w:type="dxa"/>
            <w:vAlign w:val="top"/>
          </w:tcPr>
          <w:p w14:paraId="01AEE694">
            <w:pPr>
              <w:rPr>
                <w:rFonts w:ascii="Arial"/>
                <w:sz w:val="21"/>
              </w:rPr>
            </w:pPr>
          </w:p>
        </w:tc>
        <w:tc>
          <w:tcPr>
            <w:tcW w:w="859" w:type="dxa"/>
            <w:vAlign w:val="top"/>
          </w:tcPr>
          <w:p w14:paraId="7FF2234D">
            <w:pPr>
              <w:rPr>
                <w:rFonts w:ascii="Arial"/>
                <w:sz w:val="21"/>
              </w:rPr>
            </w:pPr>
          </w:p>
        </w:tc>
        <w:tc>
          <w:tcPr>
            <w:tcW w:w="784" w:type="dxa"/>
            <w:vAlign w:val="top"/>
          </w:tcPr>
          <w:p w14:paraId="5B935707">
            <w:pPr>
              <w:rPr>
                <w:rFonts w:ascii="Arial"/>
                <w:sz w:val="21"/>
              </w:rPr>
            </w:pPr>
          </w:p>
        </w:tc>
      </w:tr>
      <w:tr w14:paraId="42C20A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654" w:type="dxa"/>
            <w:vAlign w:val="top"/>
          </w:tcPr>
          <w:p w14:paraId="0E607EA0">
            <w:pPr>
              <w:rPr>
                <w:rFonts w:ascii="Arial"/>
                <w:sz w:val="21"/>
              </w:rPr>
            </w:pPr>
          </w:p>
        </w:tc>
        <w:tc>
          <w:tcPr>
            <w:tcW w:w="1079" w:type="dxa"/>
            <w:vAlign w:val="top"/>
          </w:tcPr>
          <w:p w14:paraId="7F7A55B3">
            <w:pPr>
              <w:rPr>
                <w:rFonts w:ascii="Arial"/>
                <w:sz w:val="21"/>
              </w:rPr>
            </w:pPr>
          </w:p>
        </w:tc>
        <w:tc>
          <w:tcPr>
            <w:tcW w:w="649" w:type="dxa"/>
            <w:vAlign w:val="top"/>
          </w:tcPr>
          <w:p w14:paraId="1F5CF8E1">
            <w:pPr>
              <w:rPr>
                <w:rFonts w:ascii="Arial"/>
                <w:sz w:val="21"/>
              </w:rPr>
            </w:pPr>
          </w:p>
        </w:tc>
        <w:tc>
          <w:tcPr>
            <w:tcW w:w="1029" w:type="dxa"/>
            <w:vAlign w:val="top"/>
          </w:tcPr>
          <w:p w14:paraId="10825928">
            <w:pPr>
              <w:rPr>
                <w:rFonts w:ascii="Arial"/>
                <w:sz w:val="21"/>
              </w:rPr>
            </w:pPr>
          </w:p>
        </w:tc>
        <w:tc>
          <w:tcPr>
            <w:tcW w:w="709" w:type="dxa"/>
            <w:vAlign w:val="top"/>
          </w:tcPr>
          <w:p w14:paraId="36209E27">
            <w:pPr>
              <w:rPr>
                <w:rFonts w:ascii="Arial"/>
                <w:sz w:val="21"/>
              </w:rPr>
            </w:pPr>
          </w:p>
        </w:tc>
        <w:tc>
          <w:tcPr>
            <w:tcW w:w="699" w:type="dxa"/>
            <w:vAlign w:val="top"/>
          </w:tcPr>
          <w:p w14:paraId="0CC67BC1">
            <w:pPr>
              <w:rPr>
                <w:rFonts w:ascii="Arial"/>
                <w:sz w:val="21"/>
              </w:rPr>
            </w:pPr>
          </w:p>
        </w:tc>
        <w:tc>
          <w:tcPr>
            <w:tcW w:w="1178" w:type="dxa"/>
            <w:vAlign w:val="top"/>
          </w:tcPr>
          <w:p w14:paraId="49DAB3C9">
            <w:pPr>
              <w:rPr>
                <w:rFonts w:ascii="Arial"/>
                <w:sz w:val="21"/>
              </w:rPr>
            </w:pPr>
          </w:p>
        </w:tc>
        <w:tc>
          <w:tcPr>
            <w:tcW w:w="879" w:type="dxa"/>
            <w:vAlign w:val="top"/>
          </w:tcPr>
          <w:p w14:paraId="0695A738">
            <w:pPr>
              <w:rPr>
                <w:rFonts w:ascii="Arial"/>
                <w:sz w:val="21"/>
              </w:rPr>
            </w:pPr>
          </w:p>
        </w:tc>
        <w:tc>
          <w:tcPr>
            <w:tcW w:w="859" w:type="dxa"/>
            <w:vAlign w:val="top"/>
          </w:tcPr>
          <w:p w14:paraId="69ED6210">
            <w:pPr>
              <w:rPr>
                <w:rFonts w:ascii="Arial"/>
                <w:sz w:val="21"/>
              </w:rPr>
            </w:pPr>
          </w:p>
        </w:tc>
        <w:tc>
          <w:tcPr>
            <w:tcW w:w="784" w:type="dxa"/>
            <w:vAlign w:val="top"/>
          </w:tcPr>
          <w:p w14:paraId="44784896">
            <w:pPr>
              <w:rPr>
                <w:rFonts w:ascii="Arial"/>
                <w:sz w:val="21"/>
              </w:rPr>
            </w:pPr>
          </w:p>
        </w:tc>
      </w:tr>
    </w:tbl>
    <w:p w14:paraId="75FB1FC6">
      <w:pPr>
        <w:rPr>
          <w:rFonts w:ascii="Arial"/>
          <w:sz w:val="21"/>
        </w:rPr>
      </w:pPr>
    </w:p>
    <w:p w14:paraId="22143A4C">
      <w:pPr>
        <w:rPr>
          <w:rFonts w:ascii="Arial" w:hAnsi="Arial" w:eastAsia="Arial" w:cs="Arial"/>
          <w:sz w:val="21"/>
          <w:szCs w:val="21"/>
        </w:rPr>
        <w:sectPr>
          <w:footerReference r:id="rId401" w:type="default"/>
          <w:pgSz w:w="11910" w:h="16840"/>
          <w:pgMar w:top="400" w:right="1786" w:bottom="1147" w:left="1435" w:header="0" w:footer="1021" w:gutter="0"/>
          <w:cols w:space="720" w:num="1"/>
        </w:sectPr>
      </w:pPr>
    </w:p>
    <w:p w14:paraId="56CBD546">
      <w:pPr>
        <w:spacing w:line="261" w:lineRule="auto"/>
        <w:rPr>
          <w:rFonts w:ascii="Arial"/>
          <w:sz w:val="21"/>
        </w:rPr>
      </w:pPr>
    </w:p>
    <w:p w14:paraId="42379766">
      <w:pPr>
        <w:spacing w:line="261" w:lineRule="auto"/>
        <w:rPr>
          <w:rFonts w:ascii="Arial"/>
          <w:sz w:val="21"/>
        </w:rPr>
      </w:pPr>
    </w:p>
    <w:p w14:paraId="6C2B8260">
      <w:pPr>
        <w:spacing w:line="262" w:lineRule="auto"/>
        <w:rPr>
          <w:rFonts w:ascii="Arial"/>
          <w:sz w:val="21"/>
        </w:rPr>
      </w:pPr>
    </w:p>
    <w:p w14:paraId="25E3E767">
      <w:pPr>
        <w:spacing w:line="262" w:lineRule="auto"/>
        <w:rPr>
          <w:rFonts w:ascii="Arial"/>
          <w:sz w:val="21"/>
        </w:rPr>
      </w:pPr>
    </w:p>
    <w:p w14:paraId="09281F7C">
      <w:pPr>
        <w:spacing w:line="262" w:lineRule="auto"/>
        <w:rPr>
          <w:rFonts w:ascii="Arial"/>
          <w:sz w:val="21"/>
        </w:rPr>
      </w:pPr>
    </w:p>
    <w:p w14:paraId="29EE832A">
      <w:pPr>
        <w:pStyle w:val="2"/>
        <w:spacing w:before="78" w:line="219" w:lineRule="auto"/>
        <w:ind w:left="38"/>
        <w:rPr>
          <w:sz w:val="24"/>
          <w:szCs w:val="24"/>
        </w:rPr>
      </w:pPr>
      <w:r>
        <w:rPr>
          <w:b/>
          <w:bCs/>
          <w:spacing w:val="-3"/>
          <w:sz w:val="24"/>
          <w:szCs w:val="24"/>
        </w:rPr>
        <w:t>附表二：拟配备本工程的试验和检测仪器设备表</w:t>
      </w:r>
    </w:p>
    <w:p w14:paraId="73C2B2D8">
      <w:pPr>
        <w:spacing w:line="15" w:lineRule="exact"/>
      </w:pPr>
    </w:p>
    <w:tbl>
      <w:tblPr>
        <w:tblStyle w:val="5"/>
        <w:tblW w:w="851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54"/>
        <w:gridCol w:w="1079"/>
        <w:gridCol w:w="649"/>
        <w:gridCol w:w="1029"/>
        <w:gridCol w:w="709"/>
        <w:gridCol w:w="699"/>
        <w:gridCol w:w="1178"/>
        <w:gridCol w:w="1648"/>
        <w:gridCol w:w="874"/>
      </w:tblGrid>
      <w:tr w14:paraId="47E0C3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654" w:type="dxa"/>
            <w:vAlign w:val="top"/>
          </w:tcPr>
          <w:p w14:paraId="7D0DAB43">
            <w:pPr>
              <w:pStyle w:val="6"/>
              <w:spacing w:before="205" w:line="221" w:lineRule="auto"/>
              <w:ind w:left="114"/>
              <w:rPr>
                <w:sz w:val="22"/>
                <w:szCs w:val="22"/>
              </w:rPr>
            </w:pPr>
            <w:r>
              <w:rPr>
                <w:spacing w:val="6"/>
                <w:sz w:val="22"/>
                <w:szCs w:val="22"/>
              </w:rPr>
              <w:t>序号</w:t>
            </w:r>
          </w:p>
        </w:tc>
        <w:tc>
          <w:tcPr>
            <w:tcW w:w="1079" w:type="dxa"/>
            <w:vAlign w:val="top"/>
          </w:tcPr>
          <w:p w14:paraId="571F07E0">
            <w:pPr>
              <w:pStyle w:val="6"/>
              <w:spacing w:before="53" w:line="235" w:lineRule="auto"/>
              <w:ind w:left="140" w:right="107" w:hanging="50"/>
              <w:rPr>
                <w:sz w:val="22"/>
                <w:szCs w:val="22"/>
              </w:rPr>
            </w:pPr>
            <w:r>
              <w:rPr>
                <w:spacing w:val="-3"/>
                <w:sz w:val="22"/>
                <w:szCs w:val="22"/>
              </w:rPr>
              <w:t>仪器设备</w:t>
            </w:r>
            <w:r>
              <w:rPr>
                <w:spacing w:val="1"/>
                <w:sz w:val="22"/>
                <w:szCs w:val="22"/>
              </w:rPr>
              <w:t xml:space="preserve"> </w:t>
            </w:r>
            <w:r>
              <w:rPr>
                <w:spacing w:val="-6"/>
                <w:sz w:val="22"/>
                <w:szCs w:val="22"/>
              </w:rPr>
              <w:t>名</w:t>
            </w:r>
            <w:r>
              <w:rPr>
                <w:spacing w:val="10"/>
                <w:sz w:val="22"/>
                <w:szCs w:val="22"/>
              </w:rPr>
              <w:t xml:space="preserve">   </w:t>
            </w:r>
            <w:r>
              <w:rPr>
                <w:spacing w:val="-6"/>
                <w:sz w:val="22"/>
                <w:szCs w:val="22"/>
              </w:rPr>
              <w:t>称</w:t>
            </w:r>
          </w:p>
        </w:tc>
        <w:tc>
          <w:tcPr>
            <w:tcW w:w="649" w:type="dxa"/>
            <w:vAlign w:val="top"/>
          </w:tcPr>
          <w:p w14:paraId="2968FA11">
            <w:pPr>
              <w:pStyle w:val="6"/>
              <w:spacing w:before="65" w:line="227" w:lineRule="auto"/>
              <w:ind w:left="91" w:right="93"/>
              <w:rPr>
                <w:sz w:val="22"/>
                <w:szCs w:val="22"/>
              </w:rPr>
            </w:pPr>
            <w:r>
              <w:rPr>
                <w:spacing w:val="6"/>
                <w:sz w:val="22"/>
                <w:szCs w:val="22"/>
              </w:rPr>
              <w:t>型号</w:t>
            </w:r>
            <w:r>
              <w:rPr>
                <w:sz w:val="22"/>
                <w:szCs w:val="22"/>
              </w:rPr>
              <w:t xml:space="preserve"> </w:t>
            </w:r>
            <w:r>
              <w:rPr>
                <w:spacing w:val="-3"/>
                <w:sz w:val="22"/>
                <w:szCs w:val="22"/>
              </w:rPr>
              <w:t>规格</w:t>
            </w:r>
          </w:p>
        </w:tc>
        <w:tc>
          <w:tcPr>
            <w:tcW w:w="1029" w:type="dxa"/>
            <w:vAlign w:val="top"/>
          </w:tcPr>
          <w:p w14:paraId="76782FB4">
            <w:pPr>
              <w:pStyle w:val="6"/>
              <w:spacing w:before="204" w:line="219" w:lineRule="auto"/>
              <w:ind w:left="222"/>
              <w:rPr>
                <w:sz w:val="22"/>
                <w:szCs w:val="22"/>
              </w:rPr>
            </w:pPr>
            <w:r>
              <w:rPr>
                <w:spacing w:val="-6"/>
                <w:sz w:val="22"/>
                <w:szCs w:val="22"/>
              </w:rPr>
              <w:t>数</w:t>
            </w:r>
            <w:r>
              <w:rPr>
                <w:spacing w:val="9"/>
                <w:sz w:val="22"/>
                <w:szCs w:val="22"/>
              </w:rPr>
              <w:t xml:space="preserve"> </w:t>
            </w:r>
            <w:r>
              <w:rPr>
                <w:spacing w:val="-6"/>
                <w:sz w:val="22"/>
                <w:szCs w:val="22"/>
              </w:rPr>
              <w:t>量</w:t>
            </w:r>
          </w:p>
        </w:tc>
        <w:tc>
          <w:tcPr>
            <w:tcW w:w="709" w:type="dxa"/>
            <w:vAlign w:val="top"/>
          </w:tcPr>
          <w:p w14:paraId="73A64B69">
            <w:pPr>
              <w:pStyle w:val="6"/>
              <w:spacing w:before="65" w:line="214" w:lineRule="auto"/>
              <w:ind w:left="124" w:right="116"/>
              <w:rPr>
                <w:sz w:val="22"/>
                <w:szCs w:val="22"/>
              </w:rPr>
            </w:pPr>
            <w:r>
              <w:rPr>
                <w:spacing w:val="9"/>
                <w:sz w:val="22"/>
                <w:szCs w:val="22"/>
              </w:rPr>
              <w:t>国别</w:t>
            </w:r>
            <w:r>
              <w:rPr>
                <w:sz w:val="22"/>
                <w:szCs w:val="22"/>
              </w:rPr>
              <w:t xml:space="preserve"> </w:t>
            </w:r>
            <w:r>
              <w:rPr>
                <w:spacing w:val="-3"/>
                <w:sz w:val="22"/>
                <w:szCs w:val="22"/>
              </w:rPr>
              <w:t>产地</w:t>
            </w:r>
          </w:p>
        </w:tc>
        <w:tc>
          <w:tcPr>
            <w:tcW w:w="699" w:type="dxa"/>
            <w:vAlign w:val="top"/>
          </w:tcPr>
          <w:p w14:paraId="3CF84CB3">
            <w:pPr>
              <w:pStyle w:val="6"/>
              <w:spacing w:before="54" w:line="220" w:lineRule="auto"/>
              <w:ind w:left="124"/>
              <w:rPr>
                <w:sz w:val="22"/>
                <w:szCs w:val="22"/>
              </w:rPr>
            </w:pPr>
            <w:r>
              <w:rPr>
                <w:spacing w:val="-3"/>
                <w:sz w:val="22"/>
                <w:szCs w:val="22"/>
              </w:rPr>
              <w:t>制造</w:t>
            </w:r>
          </w:p>
          <w:p w14:paraId="7417403F">
            <w:pPr>
              <w:pStyle w:val="6"/>
              <w:spacing w:before="17" w:line="219" w:lineRule="auto"/>
              <w:ind w:left="124"/>
              <w:rPr>
                <w:sz w:val="22"/>
                <w:szCs w:val="22"/>
              </w:rPr>
            </w:pPr>
            <w:r>
              <w:rPr>
                <w:spacing w:val="-3"/>
                <w:sz w:val="22"/>
                <w:szCs w:val="22"/>
              </w:rPr>
              <w:t>年份</w:t>
            </w:r>
          </w:p>
        </w:tc>
        <w:tc>
          <w:tcPr>
            <w:tcW w:w="1178" w:type="dxa"/>
            <w:vAlign w:val="top"/>
          </w:tcPr>
          <w:p w14:paraId="5CDFD877">
            <w:pPr>
              <w:pStyle w:val="6"/>
              <w:spacing w:before="53" w:line="235" w:lineRule="auto"/>
              <w:ind w:left="195" w:right="118" w:hanging="50"/>
              <w:rPr>
                <w:sz w:val="22"/>
                <w:szCs w:val="22"/>
              </w:rPr>
            </w:pPr>
            <w:r>
              <w:rPr>
                <w:spacing w:val="6"/>
                <w:sz w:val="22"/>
                <w:szCs w:val="22"/>
              </w:rPr>
              <w:t>已使用台</w:t>
            </w:r>
            <w:r>
              <w:rPr>
                <w:sz w:val="22"/>
                <w:szCs w:val="22"/>
              </w:rPr>
              <w:t xml:space="preserve"> </w:t>
            </w:r>
            <w:r>
              <w:rPr>
                <w:spacing w:val="-10"/>
                <w:sz w:val="22"/>
                <w:szCs w:val="22"/>
              </w:rPr>
              <w:t>时</w:t>
            </w:r>
            <w:r>
              <w:rPr>
                <w:spacing w:val="12"/>
                <w:sz w:val="22"/>
                <w:szCs w:val="22"/>
              </w:rPr>
              <w:t xml:space="preserve">   </w:t>
            </w:r>
            <w:r>
              <w:rPr>
                <w:spacing w:val="-10"/>
                <w:sz w:val="22"/>
                <w:szCs w:val="22"/>
              </w:rPr>
              <w:t>数</w:t>
            </w:r>
          </w:p>
        </w:tc>
        <w:tc>
          <w:tcPr>
            <w:tcW w:w="1648" w:type="dxa"/>
            <w:vAlign w:val="top"/>
          </w:tcPr>
          <w:p w14:paraId="5D2296EA">
            <w:pPr>
              <w:pStyle w:val="6"/>
              <w:spacing w:before="205" w:line="221" w:lineRule="auto"/>
              <w:ind w:left="528"/>
              <w:rPr>
                <w:sz w:val="22"/>
                <w:szCs w:val="22"/>
              </w:rPr>
            </w:pPr>
            <w:r>
              <w:rPr>
                <w:spacing w:val="-6"/>
                <w:sz w:val="22"/>
                <w:szCs w:val="22"/>
              </w:rPr>
              <w:t>用</w:t>
            </w:r>
            <w:r>
              <w:rPr>
                <w:spacing w:val="29"/>
                <w:sz w:val="22"/>
                <w:szCs w:val="22"/>
              </w:rPr>
              <w:t xml:space="preserve"> </w:t>
            </w:r>
            <w:r>
              <w:rPr>
                <w:spacing w:val="-6"/>
                <w:sz w:val="22"/>
                <w:szCs w:val="22"/>
              </w:rPr>
              <w:t>途</w:t>
            </w:r>
          </w:p>
        </w:tc>
        <w:tc>
          <w:tcPr>
            <w:tcW w:w="874" w:type="dxa"/>
            <w:vAlign w:val="top"/>
          </w:tcPr>
          <w:p w14:paraId="4396EA69">
            <w:pPr>
              <w:pStyle w:val="6"/>
              <w:spacing w:before="205" w:line="221" w:lineRule="auto"/>
              <w:ind w:left="249"/>
              <w:rPr>
                <w:sz w:val="22"/>
                <w:szCs w:val="22"/>
              </w:rPr>
            </w:pPr>
            <w:r>
              <w:rPr>
                <w:spacing w:val="5"/>
                <w:sz w:val="22"/>
                <w:szCs w:val="22"/>
              </w:rPr>
              <w:t>备注</w:t>
            </w:r>
          </w:p>
        </w:tc>
      </w:tr>
      <w:tr w14:paraId="11CBC2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trPr>
        <w:tc>
          <w:tcPr>
            <w:tcW w:w="654" w:type="dxa"/>
            <w:vAlign w:val="top"/>
          </w:tcPr>
          <w:p w14:paraId="29E9D5B0">
            <w:pPr>
              <w:rPr>
                <w:rFonts w:ascii="Arial"/>
                <w:sz w:val="21"/>
              </w:rPr>
            </w:pPr>
          </w:p>
        </w:tc>
        <w:tc>
          <w:tcPr>
            <w:tcW w:w="1079" w:type="dxa"/>
            <w:vAlign w:val="top"/>
          </w:tcPr>
          <w:p w14:paraId="21EA35A0">
            <w:pPr>
              <w:rPr>
                <w:rFonts w:ascii="Arial"/>
                <w:sz w:val="21"/>
              </w:rPr>
            </w:pPr>
          </w:p>
        </w:tc>
        <w:tc>
          <w:tcPr>
            <w:tcW w:w="649" w:type="dxa"/>
            <w:vAlign w:val="top"/>
          </w:tcPr>
          <w:p w14:paraId="5BC85864">
            <w:pPr>
              <w:rPr>
                <w:rFonts w:ascii="Arial"/>
                <w:sz w:val="21"/>
              </w:rPr>
            </w:pPr>
          </w:p>
        </w:tc>
        <w:tc>
          <w:tcPr>
            <w:tcW w:w="1029" w:type="dxa"/>
            <w:vAlign w:val="top"/>
          </w:tcPr>
          <w:p w14:paraId="27C0DC28">
            <w:pPr>
              <w:rPr>
                <w:rFonts w:ascii="Arial"/>
                <w:sz w:val="21"/>
              </w:rPr>
            </w:pPr>
          </w:p>
        </w:tc>
        <w:tc>
          <w:tcPr>
            <w:tcW w:w="709" w:type="dxa"/>
            <w:vAlign w:val="top"/>
          </w:tcPr>
          <w:p w14:paraId="2D038EE4">
            <w:pPr>
              <w:rPr>
                <w:rFonts w:ascii="Arial"/>
                <w:sz w:val="21"/>
              </w:rPr>
            </w:pPr>
          </w:p>
        </w:tc>
        <w:tc>
          <w:tcPr>
            <w:tcW w:w="699" w:type="dxa"/>
            <w:vAlign w:val="top"/>
          </w:tcPr>
          <w:p w14:paraId="1AC0E64F">
            <w:pPr>
              <w:rPr>
                <w:rFonts w:ascii="Arial"/>
                <w:sz w:val="21"/>
              </w:rPr>
            </w:pPr>
          </w:p>
        </w:tc>
        <w:tc>
          <w:tcPr>
            <w:tcW w:w="1178" w:type="dxa"/>
            <w:vAlign w:val="top"/>
          </w:tcPr>
          <w:p w14:paraId="265FCDE1">
            <w:pPr>
              <w:rPr>
                <w:rFonts w:ascii="Arial"/>
                <w:sz w:val="21"/>
              </w:rPr>
            </w:pPr>
          </w:p>
        </w:tc>
        <w:tc>
          <w:tcPr>
            <w:tcW w:w="1648" w:type="dxa"/>
            <w:vAlign w:val="top"/>
          </w:tcPr>
          <w:p w14:paraId="6452A3BE">
            <w:pPr>
              <w:rPr>
                <w:rFonts w:ascii="Arial"/>
                <w:sz w:val="21"/>
              </w:rPr>
            </w:pPr>
          </w:p>
        </w:tc>
        <w:tc>
          <w:tcPr>
            <w:tcW w:w="874" w:type="dxa"/>
            <w:vAlign w:val="top"/>
          </w:tcPr>
          <w:p w14:paraId="779E0C77">
            <w:pPr>
              <w:rPr>
                <w:rFonts w:ascii="Arial"/>
                <w:sz w:val="21"/>
              </w:rPr>
            </w:pPr>
          </w:p>
        </w:tc>
      </w:tr>
      <w:tr w14:paraId="7F3168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trPr>
        <w:tc>
          <w:tcPr>
            <w:tcW w:w="654" w:type="dxa"/>
            <w:vAlign w:val="top"/>
          </w:tcPr>
          <w:p w14:paraId="7979A40F">
            <w:pPr>
              <w:rPr>
                <w:rFonts w:ascii="Arial"/>
                <w:sz w:val="21"/>
              </w:rPr>
            </w:pPr>
          </w:p>
        </w:tc>
        <w:tc>
          <w:tcPr>
            <w:tcW w:w="1079" w:type="dxa"/>
            <w:vAlign w:val="top"/>
          </w:tcPr>
          <w:p w14:paraId="0360C402">
            <w:pPr>
              <w:rPr>
                <w:rFonts w:ascii="Arial"/>
                <w:sz w:val="21"/>
              </w:rPr>
            </w:pPr>
          </w:p>
        </w:tc>
        <w:tc>
          <w:tcPr>
            <w:tcW w:w="649" w:type="dxa"/>
            <w:vAlign w:val="top"/>
          </w:tcPr>
          <w:p w14:paraId="608677B2">
            <w:pPr>
              <w:rPr>
                <w:rFonts w:ascii="Arial"/>
                <w:sz w:val="21"/>
              </w:rPr>
            </w:pPr>
          </w:p>
        </w:tc>
        <w:tc>
          <w:tcPr>
            <w:tcW w:w="1029" w:type="dxa"/>
            <w:vAlign w:val="top"/>
          </w:tcPr>
          <w:p w14:paraId="22E1404E">
            <w:pPr>
              <w:rPr>
                <w:rFonts w:ascii="Arial"/>
                <w:sz w:val="21"/>
              </w:rPr>
            </w:pPr>
          </w:p>
        </w:tc>
        <w:tc>
          <w:tcPr>
            <w:tcW w:w="709" w:type="dxa"/>
            <w:vAlign w:val="top"/>
          </w:tcPr>
          <w:p w14:paraId="6DE2380D">
            <w:pPr>
              <w:rPr>
                <w:rFonts w:ascii="Arial"/>
                <w:sz w:val="21"/>
              </w:rPr>
            </w:pPr>
          </w:p>
        </w:tc>
        <w:tc>
          <w:tcPr>
            <w:tcW w:w="699" w:type="dxa"/>
            <w:vAlign w:val="top"/>
          </w:tcPr>
          <w:p w14:paraId="75BFD426">
            <w:pPr>
              <w:rPr>
                <w:rFonts w:ascii="Arial"/>
                <w:sz w:val="21"/>
              </w:rPr>
            </w:pPr>
          </w:p>
        </w:tc>
        <w:tc>
          <w:tcPr>
            <w:tcW w:w="1178" w:type="dxa"/>
            <w:vAlign w:val="top"/>
          </w:tcPr>
          <w:p w14:paraId="0E3FB6AE">
            <w:pPr>
              <w:rPr>
                <w:rFonts w:ascii="Arial"/>
                <w:sz w:val="21"/>
              </w:rPr>
            </w:pPr>
          </w:p>
        </w:tc>
        <w:tc>
          <w:tcPr>
            <w:tcW w:w="1648" w:type="dxa"/>
            <w:vAlign w:val="top"/>
          </w:tcPr>
          <w:p w14:paraId="3F11CB29">
            <w:pPr>
              <w:rPr>
                <w:rFonts w:ascii="Arial"/>
                <w:sz w:val="21"/>
              </w:rPr>
            </w:pPr>
          </w:p>
        </w:tc>
        <w:tc>
          <w:tcPr>
            <w:tcW w:w="874" w:type="dxa"/>
            <w:vAlign w:val="top"/>
          </w:tcPr>
          <w:p w14:paraId="2FA51A73">
            <w:pPr>
              <w:rPr>
                <w:rFonts w:ascii="Arial"/>
                <w:sz w:val="21"/>
              </w:rPr>
            </w:pPr>
          </w:p>
        </w:tc>
      </w:tr>
      <w:tr w14:paraId="7A8FA1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0" w:hRule="atLeast"/>
        </w:trPr>
        <w:tc>
          <w:tcPr>
            <w:tcW w:w="654" w:type="dxa"/>
            <w:vAlign w:val="top"/>
          </w:tcPr>
          <w:p w14:paraId="6636E3FF">
            <w:pPr>
              <w:rPr>
                <w:rFonts w:ascii="Arial"/>
                <w:sz w:val="21"/>
              </w:rPr>
            </w:pPr>
          </w:p>
        </w:tc>
        <w:tc>
          <w:tcPr>
            <w:tcW w:w="1079" w:type="dxa"/>
            <w:vAlign w:val="top"/>
          </w:tcPr>
          <w:p w14:paraId="0C270F78">
            <w:pPr>
              <w:rPr>
                <w:rFonts w:ascii="Arial"/>
                <w:sz w:val="21"/>
              </w:rPr>
            </w:pPr>
          </w:p>
        </w:tc>
        <w:tc>
          <w:tcPr>
            <w:tcW w:w="649" w:type="dxa"/>
            <w:vAlign w:val="top"/>
          </w:tcPr>
          <w:p w14:paraId="7364CC11">
            <w:pPr>
              <w:rPr>
                <w:rFonts w:ascii="Arial"/>
                <w:sz w:val="21"/>
              </w:rPr>
            </w:pPr>
          </w:p>
        </w:tc>
        <w:tc>
          <w:tcPr>
            <w:tcW w:w="1029" w:type="dxa"/>
            <w:vAlign w:val="top"/>
          </w:tcPr>
          <w:p w14:paraId="103FD9BE">
            <w:pPr>
              <w:rPr>
                <w:rFonts w:ascii="Arial"/>
                <w:sz w:val="21"/>
              </w:rPr>
            </w:pPr>
          </w:p>
        </w:tc>
        <w:tc>
          <w:tcPr>
            <w:tcW w:w="709" w:type="dxa"/>
            <w:vAlign w:val="top"/>
          </w:tcPr>
          <w:p w14:paraId="54876FC1">
            <w:pPr>
              <w:rPr>
                <w:rFonts w:ascii="Arial"/>
                <w:sz w:val="21"/>
              </w:rPr>
            </w:pPr>
          </w:p>
        </w:tc>
        <w:tc>
          <w:tcPr>
            <w:tcW w:w="699" w:type="dxa"/>
            <w:vAlign w:val="top"/>
          </w:tcPr>
          <w:p w14:paraId="6CBC6E03">
            <w:pPr>
              <w:rPr>
                <w:rFonts w:ascii="Arial"/>
                <w:sz w:val="21"/>
              </w:rPr>
            </w:pPr>
          </w:p>
        </w:tc>
        <w:tc>
          <w:tcPr>
            <w:tcW w:w="1178" w:type="dxa"/>
            <w:vAlign w:val="top"/>
          </w:tcPr>
          <w:p w14:paraId="7669FC16">
            <w:pPr>
              <w:rPr>
                <w:rFonts w:ascii="Arial"/>
                <w:sz w:val="21"/>
              </w:rPr>
            </w:pPr>
          </w:p>
        </w:tc>
        <w:tc>
          <w:tcPr>
            <w:tcW w:w="1648" w:type="dxa"/>
            <w:vAlign w:val="top"/>
          </w:tcPr>
          <w:p w14:paraId="2C553C64">
            <w:pPr>
              <w:rPr>
                <w:rFonts w:ascii="Arial"/>
                <w:sz w:val="21"/>
              </w:rPr>
            </w:pPr>
          </w:p>
        </w:tc>
        <w:tc>
          <w:tcPr>
            <w:tcW w:w="874" w:type="dxa"/>
            <w:vAlign w:val="top"/>
          </w:tcPr>
          <w:p w14:paraId="6B0CA9F3">
            <w:pPr>
              <w:rPr>
                <w:rFonts w:ascii="Arial"/>
                <w:sz w:val="21"/>
              </w:rPr>
            </w:pPr>
          </w:p>
        </w:tc>
      </w:tr>
      <w:tr w14:paraId="2E8C9E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trPr>
        <w:tc>
          <w:tcPr>
            <w:tcW w:w="654" w:type="dxa"/>
            <w:vAlign w:val="top"/>
          </w:tcPr>
          <w:p w14:paraId="2F36CB6E">
            <w:pPr>
              <w:rPr>
                <w:rFonts w:ascii="Arial"/>
                <w:sz w:val="21"/>
              </w:rPr>
            </w:pPr>
          </w:p>
        </w:tc>
        <w:tc>
          <w:tcPr>
            <w:tcW w:w="1079" w:type="dxa"/>
            <w:vAlign w:val="top"/>
          </w:tcPr>
          <w:p w14:paraId="48C18DE5">
            <w:pPr>
              <w:rPr>
                <w:rFonts w:ascii="Arial"/>
                <w:sz w:val="21"/>
              </w:rPr>
            </w:pPr>
          </w:p>
        </w:tc>
        <w:tc>
          <w:tcPr>
            <w:tcW w:w="649" w:type="dxa"/>
            <w:vAlign w:val="top"/>
          </w:tcPr>
          <w:p w14:paraId="5DD1EEF4">
            <w:pPr>
              <w:rPr>
                <w:rFonts w:ascii="Arial"/>
                <w:sz w:val="21"/>
              </w:rPr>
            </w:pPr>
          </w:p>
        </w:tc>
        <w:tc>
          <w:tcPr>
            <w:tcW w:w="1029" w:type="dxa"/>
            <w:vAlign w:val="top"/>
          </w:tcPr>
          <w:p w14:paraId="0B3FA2E7">
            <w:pPr>
              <w:rPr>
                <w:rFonts w:ascii="Arial"/>
                <w:sz w:val="21"/>
              </w:rPr>
            </w:pPr>
          </w:p>
        </w:tc>
        <w:tc>
          <w:tcPr>
            <w:tcW w:w="709" w:type="dxa"/>
            <w:vAlign w:val="top"/>
          </w:tcPr>
          <w:p w14:paraId="4C2F823E">
            <w:pPr>
              <w:rPr>
                <w:rFonts w:ascii="Arial"/>
                <w:sz w:val="21"/>
              </w:rPr>
            </w:pPr>
          </w:p>
        </w:tc>
        <w:tc>
          <w:tcPr>
            <w:tcW w:w="699" w:type="dxa"/>
            <w:vAlign w:val="top"/>
          </w:tcPr>
          <w:p w14:paraId="79E0C407">
            <w:pPr>
              <w:rPr>
                <w:rFonts w:ascii="Arial"/>
                <w:sz w:val="21"/>
              </w:rPr>
            </w:pPr>
          </w:p>
        </w:tc>
        <w:tc>
          <w:tcPr>
            <w:tcW w:w="1178" w:type="dxa"/>
            <w:vAlign w:val="top"/>
          </w:tcPr>
          <w:p w14:paraId="38F62BDA">
            <w:pPr>
              <w:rPr>
                <w:rFonts w:ascii="Arial"/>
                <w:sz w:val="21"/>
              </w:rPr>
            </w:pPr>
          </w:p>
        </w:tc>
        <w:tc>
          <w:tcPr>
            <w:tcW w:w="1648" w:type="dxa"/>
            <w:vAlign w:val="top"/>
          </w:tcPr>
          <w:p w14:paraId="03FCB2D2">
            <w:pPr>
              <w:rPr>
                <w:rFonts w:ascii="Arial"/>
                <w:sz w:val="21"/>
              </w:rPr>
            </w:pPr>
          </w:p>
        </w:tc>
        <w:tc>
          <w:tcPr>
            <w:tcW w:w="874" w:type="dxa"/>
            <w:vAlign w:val="top"/>
          </w:tcPr>
          <w:p w14:paraId="08EC398A">
            <w:pPr>
              <w:rPr>
                <w:rFonts w:ascii="Arial"/>
                <w:sz w:val="21"/>
              </w:rPr>
            </w:pPr>
          </w:p>
        </w:tc>
      </w:tr>
      <w:tr w14:paraId="3CC30E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9" w:hRule="atLeast"/>
        </w:trPr>
        <w:tc>
          <w:tcPr>
            <w:tcW w:w="654" w:type="dxa"/>
            <w:vAlign w:val="top"/>
          </w:tcPr>
          <w:p w14:paraId="5E010137">
            <w:pPr>
              <w:rPr>
                <w:rFonts w:ascii="Arial"/>
                <w:sz w:val="21"/>
              </w:rPr>
            </w:pPr>
          </w:p>
        </w:tc>
        <w:tc>
          <w:tcPr>
            <w:tcW w:w="1079" w:type="dxa"/>
            <w:vAlign w:val="top"/>
          </w:tcPr>
          <w:p w14:paraId="408C4C7D">
            <w:pPr>
              <w:rPr>
                <w:rFonts w:ascii="Arial"/>
                <w:sz w:val="21"/>
              </w:rPr>
            </w:pPr>
          </w:p>
        </w:tc>
        <w:tc>
          <w:tcPr>
            <w:tcW w:w="649" w:type="dxa"/>
            <w:vAlign w:val="top"/>
          </w:tcPr>
          <w:p w14:paraId="19AD045E">
            <w:pPr>
              <w:rPr>
                <w:rFonts w:ascii="Arial"/>
                <w:sz w:val="21"/>
              </w:rPr>
            </w:pPr>
          </w:p>
        </w:tc>
        <w:tc>
          <w:tcPr>
            <w:tcW w:w="1029" w:type="dxa"/>
            <w:vAlign w:val="top"/>
          </w:tcPr>
          <w:p w14:paraId="23F4C25B">
            <w:pPr>
              <w:rPr>
                <w:rFonts w:ascii="Arial"/>
                <w:sz w:val="21"/>
              </w:rPr>
            </w:pPr>
          </w:p>
        </w:tc>
        <w:tc>
          <w:tcPr>
            <w:tcW w:w="709" w:type="dxa"/>
            <w:vAlign w:val="top"/>
          </w:tcPr>
          <w:p w14:paraId="4A59D748">
            <w:pPr>
              <w:rPr>
                <w:rFonts w:ascii="Arial"/>
                <w:sz w:val="21"/>
              </w:rPr>
            </w:pPr>
          </w:p>
        </w:tc>
        <w:tc>
          <w:tcPr>
            <w:tcW w:w="699" w:type="dxa"/>
            <w:vAlign w:val="top"/>
          </w:tcPr>
          <w:p w14:paraId="443C9B86">
            <w:pPr>
              <w:rPr>
                <w:rFonts w:ascii="Arial"/>
                <w:sz w:val="21"/>
              </w:rPr>
            </w:pPr>
          </w:p>
        </w:tc>
        <w:tc>
          <w:tcPr>
            <w:tcW w:w="1178" w:type="dxa"/>
            <w:vAlign w:val="top"/>
          </w:tcPr>
          <w:p w14:paraId="0F1F0ECB">
            <w:pPr>
              <w:rPr>
                <w:rFonts w:ascii="Arial"/>
                <w:sz w:val="21"/>
              </w:rPr>
            </w:pPr>
          </w:p>
        </w:tc>
        <w:tc>
          <w:tcPr>
            <w:tcW w:w="1648" w:type="dxa"/>
            <w:vAlign w:val="top"/>
          </w:tcPr>
          <w:p w14:paraId="2FFFF237">
            <w:pPr>
              <w:rPr>
                <w:rFonts w:ascii="Arial"/>
                <w:sz w:val="21"/>
              </w:rPr>
            </w:pPr>
          </w:p>
        </w:tc>
        <w:tc>
          <w:tcPr>
            <w:tcW w:w="874" w:type="dxa"/>
            <w:vAlign w:val="top"/>
          </w:tcPr>
          <w:p w14:paraId="0948324C">
            <w:pPr>
              <w:rPr>
                <w:rFonts w:ascii="Arial"/>
                <w:sz w:val="21"/>
              </w:rPr>
            </w:pPr>
          </w:p>
        </w:tc>
      </w:tr>
      <w:tr w14:paraId="0FBD15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trPr>
        <w:tc>
          <w:tcPr>
            <w:tcW w:w="654" w:type="dxa"/>
            <w:vAlign w:val="top"/>
          </w:tcPr>
          <w:p w14:paraId="502F2170">
            <w:pPr>
              <w:rPr>
                <w:rFonts w:ascii="Arial"/>
                <w:sz w:val="21"/>
              </w:rPr>
            </w:pPr>
          </w:p>
        </w:tc>
        <w:tc>
          <w:tcPr>
            <w:tcW w:w="1079" w:type="dxa"/>
            <w:vAlign w:val="top"/>
          </w:tcPr>
          <w:p w14:paraId="31B75F6C">
            <w:pPr>
              <w:rPr>
                <w:rFonts w:ascii="Arial"/>
                <w:sz w:val="21"/>
              </w:rPr>
            </w:pPr>
          </w:p>
        </w:tc>
        <w:tc>
          <w:tcPr>
            <w:tcW w:w="649" w:type="dxa"/>
            <w:vAlign w:val="top"/>
          </w:tcPr>
          <w:p w14:paraId="4C8AEFD7">
            <w:pPr>
              <w:rPr>
                <w:rFonts w:ascii="Arial"/>
                <w:sz w:val="21"/>
              </w:rPr>
            </w:pPr>
          </w:p>
        </w:tc>
        <w:tc>
          <w:tcPr>
            <w:tcW w:w="1029" w:type="dxa"/>
            <w:vAlign w:val="top"/>
          </w:tcPr>
          <w:p w14:paraId="4048ECC2">
            <w:pPr>
              <w:rPr>
                <w:rFonts w:ascii="Arial"/>
                <w:sz w:val="21"/>
              </w:rPr>
            </w:pPr>
          </w:p>
        </w:tc>
        <w:tc>
          <w:tcPr>
            <w:tcW w:w="709" w:type="dxa"/>
            <w:vAlign w:val="top"/>
          </w:tcPr>
          <w:p w14:paraId="34546B25">
            <w:pPr>
              <w:rPr>
                <w:rFonts w:ascii="Arial"/>
                <w:sz w:val="21"/>
              </w:rPr>
            </w:pPr>
          </w:p>
        </w:tc>
        <w:tc>
          <w:tcPr>
            <w:tcW w:w="699" w:type="dxa"/>
            <w:vAlign w:val="top"/>
          </w:tcPr>
          <w:p w14:paraId="48803CB0">
            <w:pPr>
              <w:rPr>
                <w:rFonts w:ascii="Arial"/>
                <w:sz w:val="21"/>
              </w:rPr>
            </w:pPr>
          </w:p>
        </w:tc>
        <w:tc>
          <w:tcPr>
            <w:tcW w:w="1178" w:type="dxa"/>
            <w:vAlign w:val="top"/>
          </w:tcPr>
          <w:p w14:paraId="7A35CF7B">
            <w:pPr>
              <w:rPr>
                <w:rFonts w:ascii="Arial"/>
                <w:sz w:val="21"/>
              </w:rPr>
            </w:pPr>
          </w:p>
        </w:tc>
        <w:tc>
          <w:tcPr>
            <w:tcW w:w="1648" w:type="dxa"/>
            <w:vAlign w:val="top"/>
          </w:tcPr>
          <w:p w14:paraId="432E1662">
            <w:pPr>
              <w:rPr>
                <w:rFonts w:ascii="Arial"/>
                <w:sz w:val="21"/>
              </w:rPr>
            </w:pPr>
          </w:p>
        </w:tc>
        <w:tc>
          <w:tcPr>
            <w:tcW w:w="874" w:type="dxa"/>
            <w:vAlign w:val="top"/>
          </w:tcPr>
          <w:p w14:paraId="13F55DF5">
            <w:pPr>
              <w:rPr>
                <w:rFonts w:ascii="Arial"/>
                <w:sz w:val="21"/>
              </w:rPr>
            </w:pPr>
          </w:p>
        </w:tc>
      </w:tr>
      <w:tr w14:paraId="55E7A8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9" w:hRule="atLeast"/>
        </w:trPr>
        <w:tc>
          <w:tcPr>
            <w:tcW w:w="654" w:type="dxa"/>
            <w:vAlign w:val="top"/>
          </w:tcPr>
          <w:p w14:paraId="6C2A2998">
            <w:pPr>
              <w:rPr>
                <w:rFonts w:ascii="Arial"/>
                <w:sz w:val="21"/>
              </w:rPr>
            </w:pPr>
          </w:p>
        </w:tc>
        <w:tc>
          <w:tcPr>
            <w:tcW w:w="1079" w:type="dxa"/>
            <w:vAlign w:val="top"/>
          </w:tcPr>
          <w:p w14:paraId="4D534544">
            <w:pPr>
              <w:rPr>
                <w:rFonts w:ascii="Arial"/>
                <w:sz w:val="21"/>
              </w:rPr>
            </w:pPr>
          </w:p>
        </w:tc>
        <w:tc>
          <w:tcPr>
            <w:tcW w:w="649" w:type="dxa"/>
            <w:vAlign w:val="top"/>
          </w:tcPr>
          <w:p w14:paraId="10C650FF">
            <w:pPr>
              <w:rPr>
                <w:rFonts w:ascii="Arial"/>
                <w:sz w:val="21"/>
              </w:rPr>
            </w:pPr>
          </w:p>
        </w:tc>
        <w:tc>
          <w:tcPr>
            <w:tcW w:w="1029" w:type="dxa"/>
            <w:vAlign w:val="top"/>
          </w:tcPr>
          <w:p w14:paraId="6D4B17E9">
            <w:pPr>
              <w:rPr>
                <w:rFonts w:ascii="Arial"/>
                <w:sz w:val="21"/>
              </w:rPr>
            </w:pPr>
          </w:p>
        </w:tc>
        <w:tc>
          <w:tcPr>
            <w:tcW w:w="709" w:type="dxa"/>
            <w:vAlign w:val="top"/>
          </w:tcPr>
          <w:p w14:paraId="7D8451C1">
            <w:pPr>
              <w:rPr>
                <w:rFonts w:ascii="Arial"/>
                <w:sz w:val="21"/>
              </w:rPr>
            </w:pPr>
          </w:p>
        </w:tc>
        <w:tc>
          <w:tcPr>
            <w:tcW w:w="699" w:type="dxa"/>
            <w:vAlign w:val="top"/>
          </w:tcPr>
          <w:p w14:paraId="30D252AE">
            <w:pPr>
              <w:rPr>
                <w:rFonts w:ascii="Arial"/>
                <w:sz w:val="21"/>
              </w:rPr>
            </w:pPr>
          </w:p>
        </w:tc>
        <w:tc>
          <w:tcPr>
            <w:tcW w:w="1178" w:type="dxa"/>
            <w:vAlign w:val="top"/>
          </w:tcPr>
          <w:p w14:paraId="7FF9C731">
            <w:pPr>
              <w:rPr>
                <w:rFonts w:ascii="Arial"/>
                <w:sz w:val="21"/>
              </w:rPr>
            </w:pPr>
          </w:p>
        </w:tc>
        <w:tc>
          <w:tcPr>
            <w:tcW w:w="1648" w:type="dxa"/>
            <w:vAlign w:val="top"/>
          </w:tcPr>
          <w:p w14:paraId="76276081">
            <w:pPr>
              <w:rPr>
                <w:rFonts w:ascii="Arial"/>
                <w:sz w:val="21"/>
              </w:rPr>
            </w:pPr>
          </w:p>
        </w:tc>
        <w:tc>
          <w:tcPr>
            <w:tcW w:w="874" w:type="dxa"/>
            <w:vAlign w:val="top"/>
          </w:tcPr>
          <w:p w14:paraId="72562EAF">
            <w:pPr>
              <w:rPr>
                <w:rFonts w:ascii="Arial"/>
                <w:sz w:val="21"/>
              </w:rPr>
            </w:pPr>
          </w:p>
        </w:tc>
      </w:tr>
      <w:tr w14:paraId="09606E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trPr>
        <w:tc>
          <w:tcPr>
            <w:tcW w:w="654" w:type="dxa"/>
            <w:vAlign w:val="top"/>
          </w:tcPr>
          <w:p w14:paraId="53045B8B">
            <w:pPr>
              <w:rPr>
                <w:rFonts w:ascii="Arial"/>
                <w:sz w:val="21"/>
              </w:rPr>
            </w:pPr>
          </w:p>
        </w:tc>
        <w:tc>
          <w:tcPr>
            <w:tcW w:w="1079" w:type="dxa"/>
            <w:vAlign w:val="top"/>
          </w:tcPr>
          <w:p w14:paraId="30BD0B1D">
            <w:pPr>
              <w:rPr>
                <w:rFonts w:ascii="Arial"/>
                <w:sz w:val="21"/>
              </w:rPr>
            </w:pPr>
          </w:p>
        </w:tc>
        <w:tc>
          <w:tcPr>
            <w:tcW w:w="649" w:type="dxa"/>
            <w:vAlign w:val="top"/>
          </w:tcPr>
          <w:p w14:paraId="13D9C7FB">
            <w:pPr>
              <w:rPr>
                <w:rFonts w:ascii="Arial"/>
                <w:sz w:val="21"/>
              </w:rPr>
            </w:pPr>
          </w:p>
        </w:tc>
        <w:tc>
          <w:tcPr>
            <w:tcW w:w="1029" w:type="dxa"/>
            <w:vAlign w:val="top"/>
          </w:tcPr>
          <w:p w14:paraId="0918D449">
            <w:pPr>
              <w:rPr>
                <w:rFonts w:ascii="Arial"/>
                <w:sz w:val="21"/>
              </w:rPr>
            </w:pPr>
          </w:p>
        </w:tc>
        <w:tc>
          <w:tcPr>
            <w:tcW w:w="709" w:type="dxa"/>
            <w:vAlign w:val="top"/>
          </w:tcPr>
          <w:p w14:paraId="3212A32E">
            <w:pPr>
              <w:rPr>
                <w:rFonts w:ascii="Arial"/>
                <w:sz w:val="21"/>
              </w:rPr>
            </w:pPr>
          </w:p>
        </w:tc>
        <w:tc>
          <w:tcPr>
            <w:tcW w:w="699" w:type="dxa"/>
            <w:vAlign w:val="top"/>
          </w:tcPr>
          <w:p w14:paraId="2EC4D0DA">
            <w:pPr>
              <w:rPr>
                <w:rFonts w:ascii="Arial"/>
                <w:sz w:val="21"/>
              </w:rPr>
            </w:pPr>
          </w:p>
        </w:tc>
        <w:tc>
          <w:tcPr>
            <w:tcW w:w="1178" w:type="dxa"/>
            <w:vAlign w:val="top"/>
          </w:tcPr>
          <w:p w14:paraId="2BB206B4">
            <w:pPr>
              <w:rPr>
                <w:rFonts w:ascii="Arial"/>
                <w:sz w:val="21"/>
              </w:rPr>
            </w:pPr>
          </w:p>
        </w:tc>
        <w:tc>
          <w:tcPr>
            <w:tcW w:w="1648" w:type="dxa"/>
            <w:vAlign w:val="top"/>
          </w:tcPr>
          <w:p w14:paraId="3E664360">
            <w:pPr>
              <w:rPr>
                <w:rFonts w:ascii="Arial"/>
                <w:sz w:val="21"/>
              </w:rPr>
            </w:pPr>
          </w:p>
        </w:tc>
        <w:tc>
          <w:tcPr>
            <w:tcW w:w="874" w:type="dxa"/>
            <w:vAlign w:val="top"/>
          </w:tcPr>
          <w:p w14:paraId="61316D5F">
            <w:pPr>
              <w:rPr>
                <w:rFonts w:ascii="Arial"/>
                <w:sz w:val="21"/>
              </w:rPr>
            </w:pPr>
          </w:p>
        </w:tc>
      </w:tr>
      <w:tr w14:paraId="0A79A8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trPr>
        <w:tc>
          <w:tcPr>
            <w:tcW w:w="654" w:type="dxa"/>
            <w:vAlign w:val="top"/>
          </w:tcPr>
          <w:p w14:paraId="2301CF7A">
            <w:pPr>
              <w:rPr>
                <w:rFonts w:ascii="Arial"/>
                <w:sz w:val="21"/>
              </w:rPr>
            </w:pPr>
          </w:p>
        </w:tc>
        <w:tc>
          <w:tcPr>
            <w:tcW w:w="1079" w:type="dxa"/>
            <w:vAlign w:val="top"/>
          </w:tcPr>
          <w:p w14:paraId="4FDC8D45">
            <w:pPr>
              <w:rPr>
                <w:rFonts w:ascii="Arial"/>
                <w:sz w:val="21"/>
              </w:rPr>
            </w:pPr>
          </w:p>
        </w:tc>
        <w:tc>
          <w:tcPr>
            <w:tcW w:w="649" w:type="dxa"/>
            <w:vAlign w:val="top"/>
          </w:tcPr>
          <w:p w14:paraId="57DEAE74">
            <w:pPr>
              <w:rPr>
                <w:rFonts w:ascii="Arial"/>
                <w:sz w:val="21"/>
              </w:rPr>
            </w:pPr>
          </w:p>
        </w:tc>
        <w:tc>
          <w:tcPr>
            <w:tcW w:w="1029" w:type="dxa"/>
            <w:vAlign w:val="top"/>
          </w:tcPr>
          <w:p w14:paraId="56368B89">
            <w:pPr>
              <w:rPr>
                <w:rFonts w:ascii="Arial"/>
                <w:sz w:val="21"/>
              </w:rPr>
            </w:pPr>
          </w:p>
        </w:tc>
        <w:tc>
          <w:tcPr>
            <w:tcW w:w="709" w:type="dxa"/>
            <w:vAlign w:val="top"/>
          </w:tcPr>
          <w:p w14:paraId="13318CD6">
            <w:pPr>
              <w:rPr>
                <w:rFonts w:ascii="Arial"/>
                <w:sz w:val="21"/>
              </w:rPr>
            </w:pPr>
          </w:p>
        </w:tc>
        <w:tc>
          <w:tcPr>
            <w:tcW w:w="699" w:type="dxa"/>
            <w:vAlign w:val="top"/>
          </w:tcPr>
          <w:p w14:paraId="45A9E2F9">
            <w:pPr>
              <w:rPr>
                <w:rFonts w:ascii="Arial"/>
                <w:sz w:val="21"/>
              </w:rPr>
            </w:pPr>
          </w:p>
        </w:tc>
        <w:tc>
          <w:tcPr>
            <w:tcW w:w="1178" w:type="dxa"/>
            <w:vAlign w:val="top"/>
          </w:tcPr>
          <w:p w14:paraId="4E0CBACE">
            <w:pPr>
              <w:rPr>
                <w:rFonts w:ascii="Arial"/>
                <w:sz w:val="21"/>
              </w:rPr>
            </w:pPr>
          </w:p>
        </w:tc>
        <w:tc>
          <w:tcPr>
            <w:tcW w:w="1648" w:type="dxa"/>
            <w:vAlign w:val="top"/>
          </w:tcPr>
          <w:p w14:paraId="70D2E589">
            <w:pPr>
              <w:rPr>
                <w:rFonts w:ascii="Arial"/>
                <w:sz w:val="21"/>
              </w:rPr>
            </w:pPr>
          </w:p>
        </w:tc>
        <w:tc>
          <w:tcPr>
            <w:tcW w:w="874" w:type="dxa"/>
            <w:vAlign w:val="top"/>
          </w:tcPr>
          <w:p w14:paraId="1BE9E70D">
            <w:pPr>
              <w:rPr>
                <w:rFonts w:ascii="Arial"/>
                <w:sz w:val="21"/>
              </w:rPr>
            </w:pPr>
          </w:p>
        </w:tc>
      </w:tr>
      <w:tr w14:paraId="36D80C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trPr>
        <w:tc>
          <w:tcPr>
            <w:tcW w:w="654" w:type="dxa"/>
            <w:vAlign w:val="top"/>
          </w:tcPr>
          <w:p w14:paraId="7CF6D012">
            <w:pPr>
              <w:rPr>
                <w:rFonts w:ascii="Arial"/>
                <w:sz w:val="21"/>
              </w:rPr>
            </w:pPr>
          </w:p>
        </w:tc>
        <w:tc>
          <w:tcPr>
            <w:tcW w:w="1079" w:type="dxa"/>
            <w:vAlign w:val="top"/>
          </w:tcPr>
          <w:p w14:paraId="43220C14">
            <w:pPr>
              <w:rPr>
                <w:rFonts w:ascii="Arial"/>
                <w:sz w:val="21"/>
              </w:rPr>
            </w:pPr>
          </w:p>
        </w:tc>
        <w:tc>
          <w:tcPr>
            <w:tcW w:w="649" w:type="dxa"/>
            <w:vAlign w:val="top"/>
          </w:tcPr>
          <w:p w14:paraId="574A3B4F">
            <w:pPr>
              <w:rPr>
                <w:rFonts w:ascii="Arial"/>
                <w:sz w:val="21"/>
              </w:rPr>
            </w:pPr>
          </w:p>
        </w:tc>
        <w:tc>
          <w:tcPr>
            <w:tcW w:w="1029" w:type="dxa"/>
            <w:vAlign w:val="top"/>
          </w:tcPr>
          <w:p w14:paraId="08A6F2C8">
            <w:pPr>
              <w:rPr>
                <w:rFonts w:ascii="Arial"/>
                <w:sz w:val="21"/>
              </w:rPr>
            </w:pPr>
          </w:p>
        </w:tc>
        <w:tc>
          <w:tcPr>
            <w:tcW w:w="709" w:type="dxa"/>
            <w:vAlign w:val="top"/>
          </w:tcPr>
          <w:p w14:paraId="62F82086">
            <w:pPr>
              <w:rPr>
                <w:rFonts w:ascii="Arial"/>
                <w:sz w:val="21"/>
              </w:rPr>
            </w:pPr>
          </w:p>
        </w:tc>
        <w:tc>
          <w:tcPr>
            <w:tcW w:w="699" w:type="dxa"/>
            <w:vAlign w:val="top"/>
          </w:tcPr>
          <w:p w14:paraId="5ED1F422">
            <w:pPr>
              <w:rPr>
                <w:rFonts w:ascii="Arial"/>
                <w:sz w:val="21"/>
              </w:rPr>
            </w:pPr>
          </w:p>
        </w:tc>
        <w:tc>
          <w:tcPr>
            <w:tcW w:w="1178" w:type="dxa"/>
            <w:vAlign w:val="top"/>
          </w:tcPr>
          <w:p w14:paraId="78248BCB">
            <w:pPr>
              <w:rPr>
                <w:rFonts w:ascii="Arial"/>
                <w:sz w:val="21"/>
              </w:rPr>
            </w:pPr>
          </w:p>
        </w:tc>
        <w:tc>
          <w:tcPr>
            <w:tcW w:w="1648" w:type="dxa"/>
            <w:vAlign w:val="top"/>
          </w:tcPr>
          <w:p w14:paraId="0DC33F03">
            <w:pPr>
              <w:rPr>
                <w:rFonts w:ascii="Arial"/>
                <w:sz w:val="21"/>
              </w:rPr>
            </w:pPr>
          </w:p>
        </w:tc>
        <w:tc>
          <w:tcPr>
            <w:tcW w:w="874" w:type="dxa"/>
            <w:vAlign w:val="top"/>
          </w:tcPr>
          <w:p w14:paraId="6F63FFC4">
            <w:pPr>
              <w:rPr>
                <w:rFonts w:ascii="Arial"/>
                <w:sz w:val="21"/>
              </w:rPr>
            </w:pPr>
          </w:p>
        </w:tc>
      </w:tr>
      <w:tr w14:paraId="44CBA0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654" w:type="dxa"/>
            <w:vAlign w:val="top"/>
          </w:tcPr>
          <w:p w14:paraId="35F808E8">
            <w:pPr>
              <w:rPr>
                <w:rFonts w:ascii="Arial"/>
                <w:sz w:val="21"/>
              </w:rPr>
            </w:pPr>
          </w:p>
        </w:tc>
        <w:tc>
          <w:tcPr>
            <w:tcW w:w="1079" w:type="dxa"/>
            <w:vAlign w:val="top"/>
          </w:tcPr>
          <w:p w14:paraId="60A15AD3">
            <w:pPr>
              <w:rPr>
                <w:rFonts w:ascii="Arial"/>
                <w:sz w:val="21"/>
              </w:rPr>
            </w:pPr>
          </w:p>
        </w:tc>
        <w:tc>
          <w:tcPr>
            <w:tcW w:w="649" w:type="dxa"/>
            <w:vAlign w:val="top"/>
          </w:tcPr>
          <w:p w14:paraId="1A3E099E">
            <w:pPr>
              <w:rPr>
                <w:rFonts w:ascii="Arial"/>
                <w:sz w:val="21"/>
              </w:rPr>
            </w:pPr>
          </w:p>
        </w:tc>
        <w:tc>
          <w:tcPr>
            <w:tcW w:w="1029" w:type="dxa"/>
            <w:vAlign w:val="top"/>
          </w:tcPr>
          <w:p w14:paraId="54A2BD2C">
            <w:pPr>
              <w:rPr>
                <w:rFonts w:ascii="Arial"/>
                <w:sz w:val="21"/>
              </w:rPr>
            </w:pPr>
          </w:p>
        </w:tc>
        <w:tc>
          <w:tcPr>
            <w:tcW w:w="709" w:type="dxa"/>
            <w:vAlign w:val="top"/>
          </w:tcPr>
          <w:p w14:paraId="48E6328B">
            <w:pPr>
              <w:rPr>
                <w:rFonts w:ascii="Arial"/>
                <w:sz w:val="21"/>
              </w:rPr>
            </w:pPr>
          </w:p>
        </w:tc>
        <w:tc>
          <w:tcPr>
            <w:tcW w:w="699" w:type="dxa"/>
            <w:vAlign w:val="top"/>
          </w:tcPr>
          <w:p w14:paraId="65CFA032">
            <w:pPr>
              <w:rPr>
                <w:rFonts w:ascii="Arial"/>
                <w:sz w:val="21"/>
              </w:rPr>
            </w:pPr>
          </w:p>
        </w:tc>
        <w:tc>
          <w:tcPr>
            <w:tcW w:w="1178" w:type="dxa"/>
            <w:vAlign w:val="top"/>
          </w:tcPr>
          <w:p w14:paraId="32F9B200">
            <w:pPr>
              <w:rPr>
                <w:rFonts w:ascii="Arial"/>
                <w:sz w:val="21"/>
              </w:rPr>
            </w:pPr>
          </w:p>
        </w:tc>
        <w:tc>
          <w:tcPr>
            <w:tcW w:w="1648" w:type="dxa"/>
            <w:vAlign w:val="top"/>
          </w:tcPr>
          <w:p w14:paraId="3979EA67">
            <w:pPr>
              <w:rPr>
                <w:rFonts w:ascii="Arial"/>
                <w:sz w:val="21"/>
              </w:rPr>
            </w:pPr>
          </w:p>
        </w:tc>
        <w:tc>
          <w:tcPr>
            <w:tcW w:w="874" w:type="dxa"/>
            <w:vAlign w:val="top"/>
          </w:tcPr>
          <w:p w14:paraId="41D12322">
            <w:pPr>
              <w:rPr>
                <w:rFonts w:ascii="Arial"/>
                <w:sz w:val="21"/>
              </w:rPr>
            </w:pPr>
          </w:p>
        </w:tc>
      </w:tr>
      <w:tr w14:paraId="1D061E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0" w:hRule="atLeast"/>
        </w:trPr>
        <w:tc>
          <w:tcPr>
            <w:tcW w:w="654" w:type="dxa"/>
            <w:vAlign w:val="top"/>
          </w:tcPr>
          <w:p w14:paraId="62214197">
            <w:pPr>
              <w:rPr>
                <w:rFonts w:ascii="Arial"/>
                <w:sz w:val="21"/>
              </w:rPr>
            </w:pPr>
          </w:p>
        </w:tc>
        <w:tc>
          <w:tcPr>
            <w:tcW w:w="1079" w:type="dxa"/>
            <w:vAlign w:val="top"/>
          </w:tcPr>
          <w:p w14:paraId="72F54E0F">
            <w:pPr>
              <w:rPr>
                <w:rFonts w:ascii="Arial"/>
                <w:sz w:val="21"/>
              </w:rPr>
            </w:pPr>
          </w:p>
        </w:tc>
        <w:tc>
          <w:tcPr>
            <w:tcW w:w="649" w:type="dxa"/>
            <w:vAlign w:val="top"/>
          </w:tcPr>
          <w:p w14:paraId="26DD472F">
            <w:pPr>
              <w:rPr>
                <w:rFonts w:ascii="Arial"/>
                <w:sz w:val="21"/>
              </w:rPr>
            </w:pPr>
          </w:p>
        </w:tc>
        <w:tc>
          <w:tcPr>
            <w:tcW w:w="1029" w:type="dxa"/>
            <w:vAlign w:val="top"/>
          </w:tcPr>
          <w:p w14:paraId="25B54F1D">
            <w:pPr>
              <w:rPr>
                <w:rFonts w:ascii="Arial"/>
                <w:sz w:val="21"/>
              </w:rPr>
            </w:pPr>
          </w:p>
        </w:tc>
        <w:tc>
          <w:tcPr>
            <w:tcW w:w="709" w:type="dxa"/>
            <w:vAlign w:val="top"/>
          </w:tcPr>
          <w:p w14:paraId="5C857532">
            <w:pPr>
              <w:rPr>
                <w:rFonts w:ascii="Arial"/>
                <w:sz w:val="21"/>
              </w:rPr>
            </w:pPr>
          </w:p>
        </w:tc>
        <w:tc>
          <w:tcPr>
            <w:tcW w:w="699" w:type="dxa"/>
            <w:vAlign w:val="top"/>
          </w:tcPr>
          <w:p w14:paraId="6198F9BC">
            <w:pPr>
              <w:rPr>
                <w:rFonts w:ascii="Arial"/>
                <w:sz w:val="21"/>
              </w:rPr>
            </w:pPr>
          </w:p>
        </w:tc>
        <w:tc>
          <w:tcPr>
            <w:tcW w:w="1178" w:type="dxa"/>
            <w:vAlign w:val="top"/>
          </w:tcPr>
          <w:p w14:paraId="186402EE">
            <w:pPr>
              <w:rPr>
                <w:rFonts w:ascii="Arial"/>
                <w:sz w:val="21"/>
              </w:rPr>
            </w:pPr>
          </w:p>
        </w:tc>
        <w:tc>
          <w:tcPr>
            <w:tcW w:w="1648" w:type="dxa"/>
            <w:vAlign w:val="top"/>
          </w:tcPr>
          <w:p w14:paraId="00711FB0">
            <w:pPr>
              <w:rPr>
                <w:rFonts w:ascii="Arial"/>
                <w:sz w:val="21"/>
              </w:rPr>
            </w:pPr>
          </w:p>
        </w:tc>
        <w:tc>
          <w:tcPr>
            <w:tcW w:w="874" w:type="dxa"/>
            <w:vAlign w:val="top"/>
          </w:tcPr>
          <w:p w14:paraId="7221B433">
            <w:pPr>
              <w:rPr>
                <w:rFonts w:ascii="Arial"/>
                <w:sz w:val="21"/>
              </w:rPr>
            </w:pPr>
          </w:p>
        </w:tc>
      </w:tr>
      <w:tr w14:paraId="0056E7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9" w:hRule="atLeast"/>
        </w:trPr>
        <w:tc>
          <w:tcPr>
            <w:tcW w:w="654" w:type="dxa"/>
            <w:vAlign w:val="top"/>
          </w:tcPr>
          <w:p w14:paraId="3FEAA3FD">
            <w:pPr>
              <w:rPr>
                <w:rFonts w:ascii="Arial"/>
                <w:sz w:val="21"/>
              </w:rPr>
            </w:pPr>
          </w:p>
        </w:tc>
        <w:tc>
          <w:tcPr>
            <w:tcW w:w="1079" w:type="dxa"/>
            <w:vAlign w:val="top"/>
          </w:tcPr>
          <w:p w14:paraId="5C2785BA">
            <w:pPr>
              <w:rPr>
                <w:rFonts w:ascii="Arial"/>
                <w:sz w:val="21"/>
              </w:rPr>
            </w:pPr>
          </w:p>
        </w:tc>
        <w:tc>
          <w:tcPr>
            <w:tcW w:w="649" w:type="dxa"/>
            <w:vAlign w:val="top"/>
          </w:tcPr>
          <w:p w14:paraId="5A6A852E">
            <w:pPr>
              <w:rPr>
                <w:rFonts w:ascii="Arial"/>
                <w:sz w:val="21"/>
              </w:rPr>
            </w:pPr>
          </w:p>
        </w:tc>
        <w:tc>
          <w:tcPr>
            <w:tcW w:w="1029" w:type="dxa"/>
            <w:vAlign w:val="top"/>
          </w:tcPr>
          <w:p w14:paraId="06309CDA">
            <w:pPr>
              <w:rPr>
                <w:rFonts w:ascii="Arial"/>
                <w:sz w:val="21"/>
              </w:rPr>
            </w:pPr>
          </w:p>
        </w:tc>
        <w:tc>
          <w:tcPr>
            <w:tcW w:w="709" w:type="dxa"/>
            <w:vAlign w:val="top"/>
          </w:tcPr>
          <w:p w14:paraId="5629A4CB">
            <w:pPr>
              <w:rPr>
                <w:rFonts w:ascii="Arial"/>
                <w:sz w:val="21"/>
              </w:rPr>
            </w:pPr>
          </w:p>
        </w:tc>
        <w:tc>
          <w:tcPr>
            <w:tcW w:w="699" w:type="dxa"/>
            <w:vAlign w:val="top"/>
          </w:tcPr>
          <w:p w14:paraId="3CE3A111">
            <w:pPr>
              <w:rPr>
                <w:rFonts w:ascii="Arial"/>
                <w:sz w:val="21"/>
              </w:rPr>
            </w:pPr>
          </w:p>
        </w:tc>
        <w:tc>
          <w:tcPr>
            <w:tcW w:w="1178" w:type="dxa"/>
            <w:vAlign w:val="top"/>
          </w:tcPr>
          <w:p w14:paraId="7ED0A6AA">
            <w:pPr>
              <w:rPr>
                <w:rFonts w:ascii="Arial"/>
                <w:sz w:val="21"/>
              </w:rPr>
            </w:pPr>
          </w:p>
        </w:tc>
        <w:tc>
          <w:tcPr>
            <w:tcW w:w="1648" w:type="dxa"/>
            <w:vAlign w:val="top"/>
          </w:tcPr>
          <w:p w14:paraId="58032410">
            <w:pPr>
              <w:rPr>
                <w:rFonts w:ascii="Arial"/>
                <w:sz w:val="21"/>
              </w:rPr>
            </w:pPr>
          </w:p>
        </w:tc>
        <w:tc>
          <w:tcPr>
            <w:tcW w:w="874" w:type="dxa"/>
            <w:vAlign w:val="top"/>
          </w:tcPr>
          <w:p w14:paraId="338CA317">
            <w:pPr>
              <w:rPr>
                <w:rFonts w:ascii="Arial"/>
                <w:sz w:val="21"/>
              </w:rPr>
            </w:pPr>
          </w:p>
        </w:tc>
      </w:tr>
      <w:tr w14:paraId="6F0883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0" w:hRule="atLeast"/>
        </w:trPr>
        <w:tc>
          <w:tcPr>
            <w:tcW w:w="654" w:type="dxa"/>
            <w:vAlign w:val="top"/>
          </w:tcPr>
          <w:p w14:paraId="67B0D28F">
            <w:pPr>
              <w:rPr>
                <w:rFonts w:ascii="Arial"/>
                <w:sz w:val="21"/>
              </w:rPr>
            </w:pPr>
          </w:p>
        </w:tc>
        <w:tc>
          <w:tcPr>
            <w:tcW w:w="1079" w:type="dxa"/>
            <w:vAlign w:val="top"/>
          </w:tcPr>
          <w:p w14:paraId="602A5EE1">
            <w:pPr>
              <w:rPr>
                <w:rFonts w:ascii="Arial"/>
                <w:sz w:val="21"/>
              </w:rPr>
            </w:pPr>
          </w:p>
        </w:tc>
        <w:tc>
          <w:tcPr>
            <w:tcW w:w="649" w:type="dxa"/>
            <w:vAlign w:val="top"/>
          </w:tcPr>
          <w:p w14:paraId="07039709">
            <w:pPr>
              <w:rPr>
                <w:rFonts w:ascii="Arial"/>
                <w:sz w:val="21"/>
              </w:rPr>
            </w:pPr>
          </w:p>
        </w:tc>
        <w:tc>
          <w:tcPr>
            <w:tcW w:w="1029" w:type="dxa"/>
            <w:vAlign w:val="top"/>
          </w:tcPr>
          <w:p w14:paraId="6EB60352">
            <w:pPr>
              <w:rPr>
                <w:rFonts w:ascii="Arial"/>
                <w:sz w:val="21"/>
              </w:rPr>
            </w:pPr>
          </w:p>
        </w:tc>
        <w:tc>
          <w:tcPr>
            <w:tcW w:w="709" w:type="dxa"/>
            <w:vAlign w:val="top"/>
          </w:tcPr>
          <w:p w14:paraId="27B5D524">
            <w:pPr>
              <w:rPr>
                <w:rFonts w:ascii="Arial"/>
                <w:sz w:val="21"/>
              </w:rPr>
            </w:pPr>
          </w:p>
        </w:tc>
        <w:tc>
          <w:tcPr>
            <w:tcW w:w="699" w:type="dxa"/>
            <w:vAlign w:val="top"/>
          </w:tcPr>
          <w:p w14:paraId="3677B7DF">
            <w:pPr>
              <w:rPr>
                <w:rFonts w:ascii="Arial"/>
                <w:sz w:val="21"/>
              </w:rPr>
            </w:pPr>
          </w:p>
        </w:tc>
        <w:tc>
          <w:tcPr>
            <w:tcW w:w="1178" w:type="dxa"/>
            <w:vAlign w:val="top"/>
          </w:tcPr>
          <w:p w14:paraId="445BE113">
            <w:pPr>
              <w:rPr>
                <w:rFonts w:ascii="Arial"/>
                <w:sz w:val="21"/>
              </w:rPr>
            </w:pPr>
          </w:p>
        </w:tc>
        <w:tc>
          <w:tcPr>
            <w:tcW w:w="1648" w:type="dxa"/>
            <w:vAlign w:val="top"/>
          </w:tcPr>
          <w:p w14:paraId="3336AB9F">
            <w:pPr>
              <w:rPr>
                <w:rFonts w:ascii="Arial"/>
                <w:sz w:val="21"/>
              </w:rPr>
            </w:pPr>
          </w:p>
        </w:tc>
        <w:tc>
          <w:tcPr>
            <w:tcW w:w="874" w:type="dxa"/>
            <w:vAlign w:val="top"/>
          </w:tcPr>
          <w:p w14:paraId="4F05F211">
            <w:pPr>
              <w:rPr>
                <w:rFonts w:ascii="Arial"/>
                <w:sz w:val="21"/>
              </w:rPr>
            </w:pPr>
          </w:p>
        </w:tc>
      </w:tr>
      <w:tr w14:paraId="2905CA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trPr>
        <w:tc>
          <w:tcPr>
            <w:tcW w:w="654" w:type="dxa"/>
            <w:vAlign w:val="top"/>
          </w:tcPr>
          <w:p w14:paraId="396DBB09">
            <w:pPr>
              <w:rPr>
                <w:rFonts w:ascii="Arial"/>
                <w:sz w:val="21"/>
              </w:rPr>
            </w:pPr>
          </w:p>
        </w:tc>
        <w:tc>
          <w:tcPr>
            <w:tcW w:w="1079" w:type="dxa"/>
            <w:vAlign w:val="top"/>
          </w:tcPr>
          <w:p w14:paraId="3004CCD0">
            <w:pPr>
              <w:rPr>
                <w:rFonts w:ascii="Arial"/>
                <w:sz w:val="21"/>
              </w:rPr>
            </w:pPr>
          </w:p>
        </w:tc>
        <w:tc>
          <w:tcPr>
            <w:tcW w:w="649" w:type="dxa"/>
            <w:vAlign w:val="top"/>
          </w:tcPr>
          <w:p w14:paraId="18C45CC9">
            <w:pPr>
              <w:rPr>
                <w:rFonts w:ascii="Arial"/>
                <w:sz w:val="21"/>
              </w:rPr>
            </w:pPr>
          </w:p>
        </w:tc>
        <w:tc>
          <w:tcPr>
            <w:tcW w:w="1029" w:type="dxa"/>
            <w:vAlign w:val="top"/>
          </w:tcPr>
          <w:p w14:paraId="053DEC2C">
            <w:pPr>
              <w:rPr>
                <w:rFonts w:ascii="Arial"/>
                <w:sz w:val="21"/>
              </w:rPr>
            </w:pPr>
          </w:p>
        </w:tc>
        <w:tc>
          <w:tcPr>
            <w:tcW w:w="709" w:type="dxa"/>
            <w:vAlign w:val="top"/>
          </w:tcPr>
          <w:p w14:paraId="4025341F">
            <w:pPr>
              <w:rPr>
                <w:rFonts w:ascii="Arial"/>
                <w:sz w:val="21"/>
              </w:rPr>
            </w:pPr>
          </w:p>
        </w:tc>
        <w:tc>
          <w:tcPr>
            <w:tcW w:w="699" w:type="dxa"/>
            <w:vAlign w:val="top"/>
          </w:tcPr>
          <w:p w14:paraId="4D09FD76">
            <w:pPr>
              <w:rPr>
                <w:rFonts w:ascii="Arial"/>
                <w:sz w:val="21"/>
              </w:rPr>
            </w:pPr>
          </w:p>
        </w:tc>
        <w:tc>
          <w:tcPr>
            <w:tcW w:w="1178" w:type="dxa"/>
            <w:vAlign w:val="top"/>
          </w:tcPr>
          <w:p w14:paraId="565F0ABC">
            <w:pPr>
              <w:rPr>
                <w:rFonts w:ascii="Arial"/>
                <w:sz w:val="21"/>
              </w:rPr>
            </w:pPr>
          </w:p>
        </w:tc>
        <w:tc>
          <w:tcPr>
            <w:tcW w:w="1648" w:type="dxa"/>
            <w:vAlign w:val="top"/>
          </w:tcPr>
          <w:p w14:paraId="3CFE6482">
            <w:pPr>
              <w:rPr>
                <w:rFonts w:ascii="Arial"/>
                <w:sz w:val="21"/>
              </w:rPr>
            </w:pPr>
          </w:p>
        </w:tc>
        <w:tc>
          <w:tcPr>
            <w:tcW w:w="874" w:type="dxa"/>
            <w:vAlign w:val="top"/>
          </w:tcPr>
          <w:p w14:paraId="1A61899D">
            <w:pPr>
              <w:rPr>
                <w:rFonts w:ascii="Arial"/>
                <w:sz w:val="21"/>
              </w:rPr>
            </w:pPr>
          </w:p>
        </w:tc>
      </w:tr>
      <w:tr w14:paraId="018803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trPr>
        <w:tc>
          <w:tcPr>
            <w:tcW w:w="654" w:type="dxa"/>
            <w:vAlign w:val="top"/>
          </w:tcPr>
          <w:p w14:paraId="6F23BBEF">
            <w:pPr>
              <w:rPr>
                <w:rFonts w:ascii="Arial"/>
                <w:sz w:val="21"/>
              </w:rPr>
            </w:pPr>
          </w:p>
        </w:tc>
        <w:tc>
          <w:tcPr>
            <w:tcW w:w="1079" w:type="dxa"/>
            <w:vAlign w:val="top"/>
          </w:tcPr>
          <w:p w14:paraId="749149C6">
            <w:pPr>
              <w:rPr>
                <w:rFonts w:ascii="Arial"/>
                <w:sz w:val="21"/>
              </w:rPr>
            </w:pPr>
          </w:p>
        </w:tc>
        <w:tc>
          <w:tcPr>
            <w:tcW w:w="649" w:type="dxa"/>
            <w:vAlign w:val="top"/>
          </w:tcPr>
          <w:p w14:paraId="36E7572D">
            <w:pPr>
              <w:rPr>
                <w:rFonts w:ascii="Arial"/>
                <w:sz w:val="21"/>
              </w:rPr>
            </w:pPr>
          </w:p>
        </w:tc>
        <w:tc>
          <w:tcPr>
            <w:tcW w:w="1029" w:type="dxa"/>
            <w:vAlign w:val="top"/>
          </w:tcPr>
          <w:p w14:paraId="1FBCA2DA">
            <w:pPr>
              <w:rPr>
                <w:rFonts w:ascii="Arial"/>
                <w:sz w:val="21"/>
              </w:rPr>
            </w:pPr>
          </w:p>
        </w:tc>
        <w:tc>
          <w:tcPr>
            <w:tcW w:w="709" w:type="dxa"/>
            <w:vAlign w:val="top"/>
          </w:tcPr>
          <w:p w14:paraId="6E0BC6DD">
            <w:pPr>
              <w:rPr>
                <w:rFonts w:ascii="Arial"/>
                <w:sz w:val="21"/>
              </w:rPr>
            </w:pPr>
          </w:p>
        </w:tc>
        <w:tc>
          <w:tcPr>
            <w:tcW w:w="699" w:type="dxa"/>
            <w:vAlign w:val="top"/>
          </w:tcPr>
          <w:p w14:paraId="63DF2DBF">
            <w:pPr>
              <w:rPr>
                <w:rFonts w:ascii="Arial"/>
                <w:sz w:val="21"/>
              </w:rPr>
            </w:pPr>
          </w:p>
        </w:tc>
        <w:tc>
          <w:tcPr>
            <w:tcW w:w="1178" w:type="dxa"/>
            <w:vAlign w:val="top"/>
          </w:tcPr>
          <w:p w14:paraId="00716743">
            <w:pPr>
              <w:rPr>
                <w:rFonts w:ascii="Arial"/>
                <w:sz w:val="21"/>
              </w:rPr>
            </w:pPr>
          </w:p>
        </w:tc>
        <w:tc>
          <w:tcPr>
            <w:tcW w:w="1648" w:type="dxa"/>
            <w:vAlign w:val="top"/>
          </w:tcPr>
          <w:p w14:paraId="74863089">
            <w:pPr>
              <w:rPr>
                <w:rFonts w:ascii="Arial"/>
                <w:sz w:val="21"/>
              </w:rPr>
            </w:pPr>
          </w:p>
        </w:tc>
        <w:tc>
          <w:tcPr>
            <w:tcW w:w="874" w:type="dxa"/>
            <w:vAlign w:val="top"/>
          </w:tcPr>
          <w:p w14:paraId="6C314DA5">
            <w:pPr>
              <w:rPr>
                <w:rFonts w:ascii="Arial"/>
                <w:sz w:val="21"/>
              </w:rPr>
            </w:pPr>
          </w:p>
        </w:tc>
      </w:tr>
      <w:tr w14:paraId="17221B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9" w:hRule="atLeast"/>
        </w:trPr>
        <w:tc>
          <w:tcPr>
            <w:tcW w:w="654" w:type="dxa"/>
            <w:vAlign w:val="top"/>
          </w:tcPr>
          <w:p w14:paraId="6D6D8675">
            <w:pPr>
              <w:rPr>
                <w:rFonts w:ascii="Arial"/>
                <w:sz w:val="21"/>
              </w:rPr>
            </w:pPr>
          </w:p>
        </w:tc>
        <w:tc>
          <w:tcPr>
            <w:tcW w:w="1079" w:type="dxa"/>
            <w:vAlign w:val="top"/>
          </w:tcPr>
          <w:p w14:paraId="4B7003AD">
            <w:pPr>
              <w:rPr>
                <w:rFonts w:ascii="Arial"/>
                <w:sz w:val="21"/>
              </w:rPr>
            </w:pPr>
          </w:p>
        </w:tc>
        <w:tc>
          <w:tcPr>
            <w:tcW w:w="649" w:type="dxa"/>
            <w:vAlign w:val="top"/>
          </w:tcPr>
          <w:p w14:paraId="7FF04518">
            <w:pPr>
              <w:rPr>
                <w:rFonts w:ascii="Arial"/>
                <w:sz w:val="21"/>
              </w:rPr>
            </w:pPr>
          </w:p>
        </w:tc>
        <w:tc>
          <w:tcPr>
            <w:tcW w:w="1029" w:type="dxa"/>
            <w:vAlign w:val="top"/>
          </w:tcPr>
          <w:p w14:paraId="487C0E34">
            <w:pPr>
              <w:rPr>
                <w:rFonts w:ascii="Arial"/>
                <w:sz w:val="21"/>
              </w:rPr>
            </w:pPr>
          </w:p>
        </w:tc>
        <w:tc>
          <w:tcPr>
            <w:tcW w:w="709" w:type="dxa"/>
            <w:vAlign w:val="top"/>
          </w:tcPr>
          <w:p w14:paraId="767FC8AB">
            <w:pPr>
              <w:rPr>
                <w:rFonts w:ascii="Arial"/>
                <w:sz w:val="21"/>
              </w:rPr>
            </w:pPr>
          </w:p>
        </w:tc>
        <w:tc>
          <w:tcPr>
            <w:tcW w:w="699" w:type="dxa"/>
            <w:vAlign w:val="top"/>
          </w:tcPr>
          <w:p w14:paraId="0966D4D1">
            <w:pPr>
              <w:rPr>
                <w:rFonts w:ascii="Arial"/>
                <w:sz w:val="21"/>
              </w:rPr>
            </w:pPr>
          </w:p>
        </w:tc>
        <w:tc>
          <w:tcPr>
            <w:tcW w:w="1178" w:type="dxa"/>
            <w:vAlign w:val="top"/>
          </w:tcPr>
          <w:p w14:paraId="2B895FC2">
            <w:pPr>
              <w:rPr>
                <w:rFonts w:ascii="Arial"/>
                <w:sz w:val="21"/>
              </w:rPr>
            </w:pPr>
          </w:p>
        </w:tc>
        <w:tc>
          <w:tcPr>
            <w:tcW w:w="1648" w:type="dxa"/>
            <w:vAlign w:val="top"/>
          </w:tcPr>
          <w:p w14:paraId="59C55018">
            <w:pPr>
              <w:rPr>
                <w:rFonts w:ascii="Arial"/>
                <w:sz w:val="21"/>
              </w:rPr>
            </w:pPr>
          </w:p>
        </w:tc>
        <w:tc>
          <w:tcPr>
            <w:tcW w:w="874" w:type="dxa"/>
            <w:vAlign w:val="top"/>
          </w:tcPr>
          <w:p w14:paraId="40383BAF">
            <w:pPr>
              <w:rPr>
                <w:rFonts w:ascii="Arial"/>
                <w:sz w:val="21"/>
              </w:rPr>
            </w:pPr>
          </w:p>
        </w:tc>
      </w:tr>
      <w:tr w14:paraId="1A2B1C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trPr>
        <w:tc>
          <w:tcPr>
            <w:tcW w:w="654" w:type="dxa"/>
            <w:vAlign w:val="top"/>
          </w:tcPr>
          <w:p w14:paraId="02EF4289">
            <w:pPr>
              <w:rPr>
                <w:rFonts w:ascii="Arial"/>
                <w:sz w:val="21"/>
              </w:rPr>
            </w:pPr>
          </w:p>
        </w:tc>
        <w:tc>
          <w:tcPr>
            <w:tcW w:w="1079" w:type="dxa"/>
            <w:vAlign w:val="top"/>
          </w:tcPr>
          <w:p w14:paraId="4C704E2B">
            <w:pPr>
              <w:rPr>
                <w:rFonts w:ascii="Arial"/>
                <w:sz w:val="21"/>
              </w:rPr>
            </w:pPr>
          </w:p>
        </w:tc>
        <w:tc>
          <w:tcPr>
            <w:tcW w:w="649" w:type="dxa"/>
            <w:vAlign w:val="top"/>
          </w:tcPr>
          <w:p w14:paraId="2B1F1666">
            <w:pPr>
              <w:rPr>
                <w:rFonts w:ascii="Arial"/>
                <w:sz w:val="21"/>
              </w:rPr>
            </w:pPr>
          </w:p>
        </w:tc>
        <w:tc>
          <w:tcPr>
            <w:tcW w:w="1029" w:type="dxa"/>
            <w:vAlign w:val="top"/>
          </w:tcPr>
          <w:p w14:paraId="61B8A10D">
            <w:pPr>
              <w:rPr>
                <w:rFonts w:ascii="Arial"/>
                <w:sz w:val="21"/>
              </w:rPr>
            </w:pPr>
          </w:p>
        </w:tc>
        <w:tc>
          <w:tcPr>
            <w:tcW w:w="709" w:type="dxa"/>
            <w:vAlign w:val="top"/>
          </w:tcPr>
          <w:p w14:paraId="22C34530">
            <w:pPr>
              <w:rPr>
                <w:rFonts w:ascii="Arial"/>
                <w:sz w:val="21"/>
              </w:rPr>
            </w:pPr>
          </w:p>
        </w:tc>
        <w:tc>
          <w:tcPr>
            <w:tcW w:w="699" w:type="dxa"/>
            <w:vAlign w:val="top"/>
          </w:tcPr>
          <w:p w14:paraId="07B4DFDB">
            <w:pPr>
              <w:rPr>
                <w:rFonts w:ascii="Arial"/>
                <w:sz w:val="21"/>
              </w:rPr>
            </w:pPr>
          </w:p>
        </w:tc>
        <w:tc>
          <w:tcPr>
            <w:tcW w:w="1178" w:type="dxa"/>
            <w:vAlign w:val="top"/>
          </w:tcPr>
          <w:p w14:paraId="1805EDDA">
            <w:pPr>
              <w:rPr>
                <w:rFonts w:ascii="Arial"/>
                <w:sz w:val="21"/>
              </w:rPr>
            </w:pPr>
          </w:p>
        </w:tc>
        <w:tc>
          <w:tcPr>
            <w:tcW w:w="1648" w:type="dxa"/>
            <w:vAlign w:val="top"/>
          </w:tcPr>
          <w:p w14:paraId="14DDB1CD">
            <w:pPr>
              <w:rPr>
                <w:rFonts w:ascii="Arial"/>
                <w:sz w:val="21"/>
              </w:rPr>
            </w:pPr>
          </w:p>
        </w:tc>
        <w:tc>
          <w:tcPr>
            <w:tcW w:w="874" w:type="dxa"/>
            <w:vAlign w:val="top"/>
          </w:tcPr>
          <w:p w14:paraId="4C0E0A50">
            <w:pPr>
              <w:rPr>
                <w:rFonts w:ascii="Arial"/>
                <w:sz w:val="21"/>
              </w:rPr>
            </w:pPr>
          </w:p>
        </w:tc>
      </w:tr>
      <w:tr w14:paraId="6D7784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trPr>
        <w:tc>
          <w:tcPr>
            <w:tcW w:w="654" w:type="dxa"/>
            <w:vAlign w:val="top"/>
          </w:tcPr>
          <w:p w14:paraId="5F6DAC38">
            <w:pPr>
              <w:rPr>
                <w:rFonts w:ascii="Arial"/>
                <w:sz w:val="21"/>
              </w:rPr>
            </w:pPr>
          </w:p>
        </w:tc>
        <w:tc>
          <w:tcPr>
            <w:tcW w:w="1079" w:type="dxa"/>
            <w:vAlign w:val="top"/>
          </w:tcPr>
          <w:p w14:paraId="1248C719">
            <w:pPr>
              <w:rPr>
                <w:rFonts w:ascii="Arial"/>
                <w:sz w:val="21"/>
              </w:rPr>
            </w:pPr>
          </w:p>
        </w:tc>
        <w:tc>
          <w:tcPr>
            <w:tcW w:w="649" w:type="dxa"/>
            <w:vAlign w:val="top"/>
          </w:tcPr>
          <w:p w14:paraId="08F3A5AD">
            <w:pPr>
              <w:rPr>
                <w:rFonts w:ascii="Arial"/>
                <w:sz w:val="21"/>
              </w:rPr>
            </w:pPr>
          </w:p>
        </w:tc>
        <w:tc>
          <w:tcPr>
            <w:tcW w:w="1029" w:type="dxa"/>
            <w:vAlign w:val="top"/>
          </w:tcPr>
          <w:p w14:paraId="3D354252">
            <w:pPr>
              <w:rPr>
                <w:rFonts w:ascii="Arial"/>
                <w:sz w:val="21"/>
              </w:rPr>
            </w:pPr>
          </w:p>
        </w:tc>
        <w:tc>
          <w:tcPr>
            <w:tcW w:w="709" w:type="dxa"/>
            <w:vAlign w:val="top"/>
          </w:tcPr>
          <w:p w14:paraId="712A729F">
            <w:pPr>
              <w:rPr>
                <w:rFonts w:ascii="Arial"/>
                <w:sz w:val="21"/>
              </w:rPr>
            </w:pPr>
          </w:p>
        </w:tc>
        <w:tc>
          <w:tcPr>
            <w:tcW w:w="699" w:type="dxa"/>
            <w:vAlign w:val="top"/>
          </w:tcPr>
          <w:p w14:paraId="44D20F64">
            <w:pPr>
              <w:rPr>
                <w:rFonts w:ascii="Arial"/>
                <w:sz w:val="21"/>
              </w:rPr>
            </w:pPr>
          </w:p>
        </w:tc>
        <w:tc>
          <w:tcPr>
            <w:tcW w:w="1178" w:type="dxa"/>
            <w:vAlign w:val="top"/>
          </w:tcPr>
          <w:p w14:paraId="22844455">
            <w:pPr>
              <w:rPr>
                <w:rFonts w:ascii="Arial"/>
                <w:sz w:val="21"/>
              </w:rPr>
            </w:pPr>
          </w:p>
        </w:tc>
        <w:tc>
          <w:tcPr>
            <w:tcW w:w="1648" w:type="dxa"/>
            <w:vAlign w:val="top"/>
          </w:tcPr>
          <w:p w14:paraId="3928C973">
            <w:pPr>
              <w:rPr>
                <w:rFonts w:ascii="Arial"/>
                <w:sz w:val="21"/>
              </w:rPr>
            </w:pPr>
          </w:p>
        </w:tc>
        <w:tc>
          <w:tcPr>
            <w:tcW w:w="874" w:type="dxa"/>
            <w:vAlign w:val="top"/>
          </w:tcPr>
          <w:p w14:paraId="5B1AE172">
            <w:pPr>
              <w:rPr>
                <w:rFonts w:ascii="Arial"/>
                <w:sz w:val="21"/>
              </w:rPr>
            </w:pPr>
          </w:p>
        </w:tc>
      </w:tr>
      <w:tr w14:paraId="7078C8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0" w:hRule="atLeast"/>
        </w:trPr>
        <w:tc>
          <w:tcPr>
            <w:tcW w:w="654" w:type="dxa"/>
            <w:vAlign w:val="top"/>
          </w:tcPr>
          <w:p w14:paraId="51219CDF">
            <w:pPr>
              <w:rPr>
                <w:rFonts w:ascii="Arial"/>
                <w:sz w:val="21"/>
              </w:rPr>
            </w:pPr>
          </w:p>
        </w:tc>
        <w:tc>
          <w:tcPr>
            <w:tcW w:w="1079" w:type="dxa"/>
            <w:vAlign w:val="top"/>
          </w:tcPr>
          <w:p w14:paraId="3A811C42">
            <w:pPr>
              <w:rPr>
                <w:rFonts w:ascii="Arial"/>
                <w:sz w:val="21"/>
              </w:rPr>
            </w:pPr>
          </w:p>
        </w:tc>
        <w:tc>
          <w:tcPr>
            <w:tcW w:w="649" w:type="dxa"/>
            <w:vAlign w:val="top"/>
          </w:tcPr>
          <w:p w14:paraId="76CFE1BC">
            <w:pPr>
              <w:rPr>
                <w:rFonts w:ascii="Arial"/>
                <w:sz w:val="21"/>
              </w:rPr>
            </w:pPr>
          </w:p>
        </w:tc>
        <w:tc>
          <w:tcPr>
            <w:tcW w:w="1029" w:type="dxa"/>
            <w:vAlign w:val="top"/>
          </w:tcPr>
          <w:p w14:paraId="2D957AE9">
            <w:pPr>
              <w:rPr>
                <w:rFonts w:ascii="Arial"/>
                <w:sz w:val="21"/>
              </w:rPr>
            </w:pPr>
          </w:p>
        </w:tc>
        <w:tc>
          <w:tcPr>
            <w:tcW w:w="709" w:type="dxa"/>
            <w:vAlign w:val="top"/>
          </w:tcPr>
          <w:p w14:paraId="52BDC7B4">
            <w:pPr>
              <w:rPr>
                <w:rFonts w:ascii="Arial"/>
                <w:sz w:val="21"/>
              </w:rPr>
            </w:pPr>
          </w:p>
        </w:tc>
        <w:tc>
          <w:tcPr>
            <w:tcW w:w="699" w:type="dxa"/>
            <w:vAlign w:val="top"/>
          </w:tcPr>
          <w:p w14:paraId="096933B9">
            <w:pPr>
              <w:rPr>
                <w:rFonts w:ascii="Arial"/>
                <w:sz w:val="21"/>
              </w:rPr>
            </w:pPr>
          </w:p>
        </w:tc>
        <w:tc>
          <w:tcPr>
            <w:tcW w:w="1178" w:type="dxa"/>
            <w:vAlign w:val="top"/>
          </w:tcPr>
          <w:p w14:paraId="7CF84D44">
            <w:pPr>
              <w:rPr>
                <w:rFonts w:ascii="Arial"/>
                <w:sz w:val="21"/>
              </w:rPr>
            </w:pPr>
          </w:p>
        </w:tc>
        <w:tc>
          <w:tcPr>
            <w:tcW w:w="1648" w:type="dxa"/>
            <w:vAlign w:val="top"/>
          </w:tcPr>
          <w:p w14:paraId="180AD8D0">
            <w:pPr>
              <w:rPr>
                <w:rFonts w:ascii="Arial"/>
                <w:sz w:val="21"/>
              </w:rPr>
            </w:pPr>
          </w:p>
        </w:tc>
        <w:tc>
          <w:tcPr>
            <w:tcW w:w="874" w:type="dxa"/>
            <w:vAlign w:val="top"/>
          </w:tcPr>
          <w:p w14:paraId="477752BD">
            <w:pPr>
              <w:rPr>
                <w:rFonts w:ascii="Arial"/>
                <w:sz w:val="21"/>
              </w:rPr>
            </w:pPr>
          </w:p>
        </w:tc>
      </w:tr>
      <w:tr w14:paraId="124FB8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trPr>
        <w:tc>
          <w:tcPr>
            <w:tcW w:w="654" w:type="dxa"/>
            <w:vAlign w:val="top"/>
          </w:tcPr>
          <w:p w14:paraId="530A57CB">
            <w:pPr>
              <w:rPr>
                <w:rFonts w:ascii="Arial"/>
                <w:sz w:val="21"/>
              </w:rPr>
            </w:pPr>
          </w:p>
        </w:tc>
        <w:tc>
          <w:tcPr>
            <w:tcW w:w="1079" w:type="dxa"/>
            <w:vAlign w:val="top"/>
          </w:tcPr>
          <w:p w14:paraId="19E87B10">
            <w:pPr>
              <w:rPr>
                <w:rFonts w:ascii="Arial"/>
                <w:sz w:val="21"/>
              </w:rPr>
            </w:pPr>
          </w:p>
        </w:tc>
        <w:tc>
          <w:tcPr>
            <w:tcW w:w="649" w:type="dxa"/>
            <w:vAlign w:val="top"/>
          </w:tcPr>
          <w:p w14:paraId="3D7DF701">
            <w:pPr>
              <w:rPr>
                <w:rFonts w:ascii="Arial"/>
                <w:sz w:val="21"/>
              </w:rPr>
            </w:pPr>
          </w:p>
        </w:tc>
        <w:tc>
          <w:tcPr>
            <w:tcW w:w="1029" w:type="dxa"/>
            <w:vAlign w:val="top"/>
          </w:tcPr>
          <w:p w14:paraId="78F5CDDC">
            <w:pPr>
              <w:rPr>
                <w:rFonts w:ascii="Arial"/>
                <w:sz w:val="21"/>
              </w:rPr>
            </w:pPr>
          </w:p>
        </w:tc>
        <w:tc>
          <w:tcPr>
            <w:tcW w:w="709" w:type="dxa"/>
            <w:vAlign w:val="top"/>
          </w:tcPr>
          <w:p w14:paraId="4D6CD403">
            <w:pPr>
              <w:rPr>
                <w:rFonts w:ascii="Arial"/>
                <w:sz w:val="21"/>
              </w:rPr>
            </w:pPr>
          </w:p>
        </w:tc>
        <w:tc>
          <w:tcPr>
            <w:tcW w:w="699" w:type="dxa"/>
            <w:vAlign w:val="top"/>
          </w:tcPr>
          <w:p w14:paraId="24366ACA">
            <w:pPr>
              <w:rPr>
                <w:rFonts w:ascii="Arial"/>
                <w:sz w:val="21"/>
              </w:rPr>
            </w:pPr>
          </w:p>
        </w:tc>
        <w:tc>
          <w:tcPr>
            <w:tcW w:w="1178" w:type="dxa"/>
            <w:vAlign w:val="top"/>
          </w:tcPr>
          <w:p w14:paraId="4A87999F">
            <w:pPr>
              <w:rPr>
                <w:rFonts w:ascii="Arial"/>
                <w:sz w:val="21"/>
              </w:rPr>
            </w:pPr>
          </w:p>
        </w:tc>
        <w:tc>
          <w:tcPr>
            <w:tcW w:w="1648" w:type="dxa"/>
            <w:vAlign w:val="top"/>
          </w:tcPr>
          <w:p w14:paraId="307333A5">
            <w:pPr>
              <w:rPr>
                <w:rFonts w:ascii="Arial"/>
                <w:sz w:val="21"/>
              </w:rPr>
            </w:pPr>
          </w:p>
        </w:tc>
        <w:tc>
          <w:tcPr>
            <w:tcW w:w="874" w:type="dxa"/>
            <w:vAlign w:val="top"/>
          </w:tcPr>
          <w:p w14:paraId="3ABE928F">
            <w:pPr>
              <w:rPr>
                <w:rFonts w:ascii="Arial"/>
                <w:sz w:val="21"/>
              </w:rPr>
            </w:pPr>
          </w:p>
        </w:tc>
      </w:tr>
      <w:tr w14:paraId="4A5D5E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9" w:hRule="atLeast"/>
        </w:trPr>
        <w:tc>
          <w:tcPr>
            <w:tcW w:w="654" w:type="dxa"/>
            <w:vAlign w:val="top"/>
          </w:tcPr>
          <w:p w14:paraId="7EA0E176">
            <w:pPr>
              <w:rPr>
                <w:rFonts w:ascii="Arial"/>
                <w:sz w:val="21"/>
              </w:rPr>
            </w:pPr>
          </w:p>
        </w:tc>
        <w:tc>
          <w:tcPr>
            <w:tcW w:w="1079" w:type="dxa"/>
            <w:vAlign w:val="top"/>
          </w:tcPr>
          <w:p w14:paraId="6761F088">
            <w:pPr>
              <w:rPr>
                <w:rFonts w:ascii="Arial"/>
                <w:sz w:val="21"/>
              </w:rPr>
            </w:pPr>
          </w:p>
        </w:tc>
        <w:tc>
          <w:tcPr>
            <w:tcW w:w="649" w:type="dxa"/>
            <w:vAlign w:val="top"/>
          </w:tcPr>
          <w:p w14:paraId="60181609">
            <w:pPr>
              <w:rPr>
                <w:rFonts w:ascii="Arial"/>
                <w:sz w:val="21"/>
              </w:rPr>
            </w:pPr>
          </w:p>
        </w:tc>
        <w:tc>
          <w:tcPr>
            <w:tcW w:w="1029" w:type="dxa"/>
            <w:vAlign w:val="top"/>
          </w:tcPr>
          <w:p w14:paraId="467D4E27">
            <w:pPr>
              <w:rPr>
                <w:rFonts w:ascii="Arial"/>
                <w:sz w:val="21"/>
              </w:rPr>
            </w:pPr>
          </w:p>
        </w:tc>
        <w:tc>
          <w:tcPr>
            <w:tcW w:w="709" w:type="dxa"/>
            <w:vAlign w:val="top"/>
          </w:tcPr>
          <w:p w14:paraId="18D17726">
            <w:pPr>
              <w:rPr>
                <w:rFonts w:ascii="Arial"/>
                <w:sz w:val="21"/>
              </w:rPr>
            </w:pPr>
          </w:p>
        </w:tc>
        <w:tc>
          <w:tcPr>
            <w:tcW w:w="699" w:type="dxa"/>
            <w:vAlign w:val="top"/>
          </w:tcPr>
          <w:p w14:paraId="7BBBE156">
            <w:pPr>
              <w:rPr>
                <w:rFonts w:ascii="Arial"/>
                <w:sz w:val="21"/>
              </w:rPr>
            </w:pPr>
          </w:p>
        </w:tc>
        <w:tc>
          <w:tcPr>
            <w:tcW w:w="1178" w:type="dxa"/>
            <w:vAlign w:val="top"/>
          </w:tcPr>
          <w:p w14:paraId="56C6CC46">
            <w:pPr>
              <w:rPr>
                <w:rFonts w:ascii="Arial"/>
                <w:sz w:val="21"/>
              </w:rPr>
            </w:pPr>
          </w:p>
        </w:tc>
        <w:tc>
          <w:tcPr>
            <w:tcW w:w="1648" w:type="dxa"/>
            <w:vAlign w:val="top"/>
          </w:tcPr>
          <w:p w14:paraId="6F083676">
            <w:pPr>
              <w:rPr>
                <w:rFonts w:ascii="Arial"/>
                <w:sz w:val="21"/>
              </w:rPr>
            </w:pPr>
          </w:p>
        </w:tc>
        <w:tc>
          <w:tcPr>
            <w:tcW w:w="874" w:type="dxa"/>
            <w:vAlign w:val="top"/>
          </w:tcPr>
          <w:p w14:paraId="171B1CBB">
            <w:pPr>
              <w:rPr>
                <w:rFonts w:ascii="Arial"/>
                <w:sz w:val="21"/>
              </w:rPr>
            </w:pPr>
          </w:p>
        </w:tc>
      </w:tr>
      <w:tr w14:paraId="3AFFBD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654" w:type="dxa"/>
            <w:vAlign w:val="top"/>
          </w:tcPr>
          <w:p w14:paraId="07A1CB6A">
            <w:pPr>
              <w:rPr>
                <w:rFonts w:ascii="Arial"/>
                <w:sz w:val="21"/>
              </w:rPr>
            </w:pPr>
          </w:p>
        </w:tc>
        <w:tc>
          <w:tcPr>
            <w:tcW w:w="1079" w:type="dxa"/>
            <w:vAlign w:val="top"/>
          </w:tcPr>
          <w:p w14:paraId="12E3CE68">
            <w:pPr>
              <w:rPr>
                <w:rFonts w:ascii="Arial"/>
                <w:sz w:val="21"/>
              </w:rPr>
            </w:pPr>
          </w:p>
        </w:tc>
        <w:tc>
          <w:tcPr>
            <w:tcW w:w="649" w:type="dxa"/>
            <w:vAlign w:val="top"/>
          </w:tcPr>
          <w:p w14:paraId="43FDF109">
            <w:pPr>
              <w:rPr>
                <w:rFonts w:ascii="Arial"/>
                <w:sz w:val="21"/>
              </w:rPr>
            </w:pPr>
          </w:p>
        </w:tc>
        <w:tc>
          <w:tcPr>
            <w:tcW w:w="1029" w:type="dxa"/>
            <w:vAlign w:val="top"/>
          </w:tcPr>
          <w:p w14:paraId="7B94DA3A">
            <w:pPr>
              <w:rPr>
                <w:rFonts w:ascii="Arial"/>
                <w:sz w:val="21"/>
              </w:rPr>
            </w:pPr>
          </w:p>
        </w:tc>
        <w:tc>
          <w:tcPr>
            <w:tcW w:w="709" w:type="dxa"/>
            <w:vAlign w:val="top"/>
          </w:tcPr>
          <w:p w14:paraId="1817B67E">
            <w:pPr>
              <w:rPr>
                <w:rFonts w:ascii="Arial"/>
                <w:sz w:val="21"/>
              </w:rPr>
            </w:pPr>
          </w:p>
        </w:tc>
        <w:tc>
          <w:tcPr>
            <w:tcW w:w="699" w:type="dxa"/>
            <w:vAlign w:val="top"/>
          </w:tcPr>
          <w:p w14:paraId="4AB76230">
            <w:pPr>
              <w:rPr>
                <w:rFonts w:ascii="Arial"/>
                <w:sz w:val="21"/>
              </w:rPr>
            </w:pPr>
          </w:p>
        </w:tc>
        <w:tc>
          <w:tcPr>
            <w:tcW w:w="1178" w:type="dxa"/>
            <w:vAlign w:val="top"/>
          </w:tcPr>
          <w:p w14:paraId="16F5A26D">
            <w:pPr>
              <w:rPr>
                <w:rFonts w:ascii="Arial"/>
                <w:sz w:val="21"/>
              </w:rPr>
            </w:pPr>
          </w:p>
        </w:tc>
        <w:tc>
          <w:tcPr>
            <w:tcW w:w="1648" w:type="dxa"/>
            <w:vAlign w:val="top"/>
          </w:tcPr>
          <w:p w14:paraId="7BB620F1">
            <w:pPr>
              <w:rPr>
                <w:rFonts w:ascii="Arial"/>
                <w:sz w:val="21"/>
              </w:rPr>
            </w:pPr>
          </w:p>
        </w:tc>
        <w:tc>
          <w:tcPr>
            <w:tcW w:w="874" w:type="dxa"/>
            <w:vAlign w:val="top"/>
          </w:tcPr>
          <w:p w14:paraId="269F101D">
            <w:pPr>
              <w:rPr>
                <w:rFonts w:ascii="Arial"/>
                <w:sz w:val="21"/>
              </w:rPr>
            </w:pPr>
          </w:p>
        </w:tc>
      </w:tr>
    </w:tbl>
    <w:p w14:paraId="696D66F3">
      <w:pPr>
        <w:rPr>
          <w:rFonts w:ascii="Arial"/>
          <w:sz w:val="21"/>
        </w:rPr>
      </w:pPr>
    </w:p>
    <w:p w14:paraId="115985AF">
      <w:pPr>
        <w:rPr>
          <w:rFonts w:ascii="Arial" w:hAnsi="Arial" w:eastAsia="Arial" w:cs="Arial"/>
          <w:sz w:val="21"/>
          <w:szCs w:val="21"/>
        </w:rPr>
        <w:sectPr>
          <w:footerReference r:id="rId402" w:type="default"/>
          <w:pgSz w:w="11910" w:h="16840"/>
          <w:pgMar w:top="400" w:right="1786" w:bottom="1147" w:left="1435" w:header="0" w:footer="1021" w:gutter="0"/>
          <w:cols w:space="720" w:num="1"/>
        </w:sectPr>
      </w:pPr>
    </w:p>
    <w:p w14:paraId="0751CC6E">
      <w:pPr>
        <w:spacing w:line="261" w:lineRule="auto"/>
        <w:rPr>
          <w:rFonts w:ascii="Arial"/>
          <w:sz w:val="21"/>
        </w:rPr>
      </w:pPr>
    </w:p>
    <w:p w14:paraId="56EB90A6">
      <w:pPr>
        <w:spacing w:line="261" w:lineRule="auto"/>
        <w:rPr>
          <w:rFonts w:ascii="Arial"/>
          <w:sz w:val="21"/>
        </w:rPr>
      </w:pPr>
    </w:p>
    <w:p w14:paraId="22A4974A">
      <w:pPr>
        <w:spacing w:line="262" w:lineRule="auto"/>
        <w:rPr>
          <w:rFonts w:ascii="Arial"/>
          <w:sz w:val="21"/>
        </w:rPr>
      </w:pPr>
    </w:p>
    <w:p w14:paraId="665FFFEB">
      <w:pPr>
        <w:spacing w:line="262" w:lineRule="auto"/>
        <w:rPr>
          <w:rFonts w:ascii="Arial"/>
          <w:sz w:val="21"/>
        </w:rPr>
      </w:pPr>
    </w:p>
    <w:p w14:paraId="103CEA22">
      <w:pPr>
        <w:spacing w:line="262" w:lineRule="auto"/>
        <w:rPr>
          <w:rFonts w:ascii="Arial"/>
          <w:sz w:val="21"/>
        </w:rPr>
      </w:pPr>
    </w:p>
    <w:p w14:paraId="6F1269B4">
      <w:pPr>
        <w:spacing w:before="78" w:line="222" w:lineRule="auto"/>
        <w:ind w:left="18"/>
        <w:rPr>
          <w:rFonts w:ascii="黑体" w:hAnsi="黑体" w:eastAsia="黑体" w:cs="黑体"/>
          <w:sz w:val="24"/>
          <w:szCs w:val="24"/>
        </w:rPr>
      </w:pPr>
      <w:r>
        <w:rPr>
          <w:rFonts w:ascii="黑体" w:hAnsi="黑体" w:eastAsia="黑体" w:cs="黑体"/>
          <w:b/>
          <w:bCs/>
          <w:spacing w:val="-5"/>
          <w:sz w:val="24"/>
          <w:szCs w:val="24"/>
        </w:rPr>
        <w:t>附表三：劳动力计划表</w:t>
      </w:r>
    </w:p>
    <w:p w14:paraId="3442DC14">
      <w:pPr>
        <w:pStyle w:val="2"/>
        <w:spacing w:before="162" w:line="220" w:lineRule="auto"/>
        <w:ind w:left="7767"/>
        <w:rPr>
          <w:sz w:val="21"/>
          <w:szCs w:val="21"/>
        </w:rPr>
      </w:pPr>
      <w:r>
        <w:rPr>
          <w:b/>
          <w:bCs/>
          <w:spacing w:val="-5"/>
          <w:sz w:val="21"/>
          <w:szCs w:val="21"/>
        </w:rPr>
        <w:t>单位：人</w:t>
      </w:r>
    </w:p>
    <w:p w14:paraId="1B6E3CF4">
      <w:pPr>
        <w:spacing w:line="28" w:lineRule="exact"/>
      </w:pPr>
    </w:p>
    <w:tbl>
      <w:tblPr>
        <w:tblStyle w:val="5"/>
        <w:tblW w:w="849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14"/>
        <w:gridCol w:w="1418"/>
        <w:gridCol w:w="1059"/>
        <w:gridCol w:w="1068"/>
        <w:gridCol w:w="1059"/>
        <w:gridCol w:w="1059"/>
        <w:gridCol w:w="1059"/>
        <w:gridCol w:w="1063"/>
      </w:tblGrid>
      <w:tr w14:paraId="0BC948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4" w:hRule="atLeast"/>
        </w:trPr>
        <w:tc>
          <w:tcPr>
            <w:tcW w:w="714" w:type="dxa"/>
            <w:vAlign w:val="top"/>
          </w:tcPr>
          <w:p w14:paraId="28E65554">
            <w:pPr>
              <w:pStyle w:val="6"/>
              <w:spacing w:before="204" w:line="220" w:lineRule="auto"/>
              <w:ind w:left="124"/>
            </w:pPr>
            <w:r>
              <w:rPr>
                <w:spacing w:val="7"/>
              </w:rPr>
              <w:t>工种</w:t>
            </w:r>
          </w:p>
        </w:tc>
        <w:tc>
          <w:tcPr>
            <w:tcW w:w="7785" w:type="dxa"/>
            <w:gridSpan w:val="7"/>
            <w:vAlign w:val="top"/>
          </w:tcPr>
          <w:p w14:paraId="02CBF107">
            <w:pPr>
              <w:pStyle w:val="6"/>
              <w:spacing w:before="203" w:line="219" w:lineRule="auto"/>
              <w:ind w:left="2440"/>
            </w:pPr>
            <w:r>
              <w:rPr>
                <w:spacing w:val="-1"/>
              </w:rPr>
              <w:t>按工程施工阶段投入劳动力情况</w:t>
            </w:r>
          </w:p>
        </w:tc>
      </w:tr>
      <w:tr w14:paraId="05D2BE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trPr>
        <w:tc>
          <w:tcPr>
            <w:tcW w:w="714" w:type="dxa"/>
            <w:vAlign w:val="top"/>
          </w:tcPr>
          <w:p w14:paraId="1464DE3B">
            <w:pPr>
              <w:rPr>
                <w:rFonts w:ascii="Arial"/>
                <w:sz w:val="21"/>
              </w:rPr>
            </w:pPr>
          </w:p>
        </w:tc>
        <w:tc>
          <w:tcPr>
            <w:tcW w:w="1418" w:type="dxa"/>
            <w:vAlign w:val="top"/>
          </w:tcPr>
          <w:p w14:paraId="25DCF645">
            <w:pPr>
              <w:rPr>
                <w:rFonts w:ascii="Arial"/>
                <w:sz w:val="21"/>
              </w:rPr>
            </w:pPr>
          </w:p>
        </w:tc>
        <w:tc>
          <w:tcPr>
            <w:tcW w:w="1059" w:type="dxa"/>
            <w:vAlign w:val="top"/>
          </w:tcPr>
          <w:p w14:paraId="0F31584F">
            <w:pPr>
              <w:rPr>
                <w:rFonts w:ascii="Arial"/>
                <w:sz w:val="21"/>
              </w:rPr>
            </w:pPr>
          </w:p>
        </w:tc>
        <w:tc>
          <w:tcPr>
            <w:tcW w:w="1068" w:type="dxa"/>
            <w:vAlign w:val="top"/>
          </w:tcPr>
          <w:p w14:paraId="617A681D">
            <w:pPr>
              <w:rPr>
                <w:rFonts w:ascii="Arial"/>
                <w:sz w:val="21"/>
              </w:rPr>
            </w:pPr>
          </w:p>
        </w:tc>
        <w:tc>
          <w:tcPr>
            <w:tcW w:w="1059" w:type="dxa"/>
            <w:vAlign w:val="top"/>
          </w:tcPr>
          <w:p w14:paraId="201F908D">
            <w:pPr>
              <w:rPr>
                <w:rFonts w:ascii="Arial"/>
                <w:sz w:val="21"/>
              </w:rPr>
            </w:pPr>
          </w:p>
        </w:tc>
        <w:tc>
          <w:tcPr>
            <w:tcW w:w="1059" w:type="dxa"/>
            <w:vAlign w:val="top"/>
          </w:tcPr>
          <w:p w14:paraId="646A6AEE">
            <w:pPr>
              <w:rPr>
                <w:rFonts w:ascii="Arial"/>
                <w:sz w:val="21"/>
              </w:rPr>
            </w:pPr>
          </w:p>
        </w:tc>
        <w:tc>
          <w:tcPr>
            <w:tcW w:w="1059" w:type="dxa"/>
            <w:vAlign w:val="top"/>
          </w:tcPr>
          <w:p w14:paraId="34146A90">
            <w:pPr>
              <w:rPr>
                <w:rFonts w:ascii="Arial"/>
                <w:sz w:val="21"/>
              </w:rPr>
            </w:pPr>
          </w:p>
        </w:tc>
        <w:tc>
          <w:tcPr>
            <w:tcW w:w="1063" w:type="dxa"/>
            <w:vAlign w:val="top"/>
          </w:tcPr>
          <w:p w14:paraId="441EED7B">
            <w:pPr>
              <w:rPr>
                <w:rFonts w:ascii="Arial"/>
                <w:sz w:val="21"/>
              </w:rPr>
            </w:pPr>
          </w:p>
        </w:tc>
      </w:tr>
      <w:tr w14:paraId="451364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714" w:type="dxa"/>
            <w:vAlign w:val="top"/>
          </w:tcPr>
          <w:p w14:paraId="3EBB9E4A">
            <w:pPr>
              <w:rPr>
                <w:rFonts w:ascii="Arial"/>
                <w:sz w:val="21"/>
              </w:rPr>
            </w:pPr>
          </w:p>
        </w:tc>
        <w:tc>
          <w:tcPr>
            <w:tcW w:w="1418" w:type="dxa"/>
            <w:vAlign w:val="top"/>
          </w:tcPr>
          <w:p w14:paraId="6BFD007C">
            <w:pPr>
              <w:rPr>
                <w:rFonts w:ascii="Arial"/>
                <w:sz w:val="21"/>
              </w:rPr>
            </w:pPr>
          </w:p>
        </w:tc>
        <w:tc>
          <w:tcPr>
            <w:tcW w:w="1059" w:type="dxa"/>
            <w:vAlign w:val="top"/>
          </w:tcPr>
          <w:p w14:paraId="0BB0A5C2">
            <w:pPr>
              <w:rPr>
                <w:rFonts w:ascii="Arial"/>
                <w:sz w:val="21"/>
              </w:rPr>
            </w:pPr>
          </w:p>
        </w:tc>
        <w:tc>
          <w:tcPr>
            <w:tcW w:w="1068" w:type="dxa"/>
            <w:vAlign w:val="top"/>
          </w:tcPr>
          <w:p w14:paraId="14C1D030">
            <w:pPr>
              <w:rPr>
                <w:rFonts w:ascii="Arial"/>
                <w:sz w:val="21"/>
              </w:rPr>
            </w:pPr>
          </w:p>
        </w:tc>
        <w:tc>
          <w:tcPr>
            <w:tcW w:w="1059" w:type="dxa"/>
            <w:vAlign w:val="top"/>
          </w:tcPr>
          <w:p w14:paraId="2A19BDA2">
            <w:pPr>
              <w:rPr>
                <w:rFonts w:ascii="Arial"/>
                <w:sz w:val="21"/>
              </w:rPr>
            </w:pPr>
          </w:p>
        </w:tc>
        <w:tc>
          <w:tcPr>
            <w:tcW w:w="1059" w:type="dxa"/>
            <w:vAlign w:val="top"/>
          </w:tcPr>
          <w:p w14:paraId="53AEFAE5">
            <w:pPr>
              <w:rPr>
                <w:rFonts w:ascii="Arial"/>
                <w:sz w:val="21"/>
              </w:rPr>
            </w:pPr>
          </w:p>
        </w:tc>
        <w:tc>
          <w:tcPr>
            <w:tcW w:w="1059" w:type="dxa"/>
            <w:vAlign w:val="top"/>
          </w:tcPr>
          <w:p w14:paraId="51EA7B7A">
            <w:pPr>
              <w:rPr>
                <w:rFonts w:ascii="Arial"/>
                <w:sz w:val="21"/>
              </w:rPr>
            </w:pPr>
          </w:p>
        </w:tc>
        <w:tc>
          <w:tcPr>
            <w:tcW w:w="1063" w:type="dxa"/>
            <w:vAlign w:val="top"/>
          </w:tcPr>
          <w:p w14:paraId="67BAE8BB">
            <w:pPr>
              <w:rPr>
                <w:rFonts w:ascii="Arial"/>
                <w:sz w:val="21"/>
              </w:rPr>
            </w:pPr>
          </w:p>
        </w:tc>
      </w:tr>
      <w:tr w14:paraId="1C2A47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714" w:type="dxa"/>
            <w:vAlign w:val="top"/>
          </w:tcPr>
          <w:p w14:paraId="087E88F2">
            <w:pPr>
              <w:rPr>
                <w:rFonts w:ascii="Arial"/>
                <w:sz w:val="21"/>
              </w:rPr>
            </w:pPr>
          </w:p>
        </w:tc>
        <w:tc>
          <w:tcPr>
            <w:tcW w:w="1418" w:type="dxa"/>
            <w:vAlign w:val="top"/>
          </w:tcPr>
          <w:p w14:paraId="0132437B">
            <w:pPr>
              <w:rPr>
                <w:rFonts w:ascii="Arial"/>
                <w:sz w:val="21"/>
              </w:rPr>
            </w:pPr>
          </w:p>
        </w:tc>
        <w:tc>
          <w:tcPr>
            <w:tcW w:w="1059" w:type="dxa"/>
            <w:vAlign w:val="top"/>
          </w:tcPr>
          <w:p w14:paraId="3355EF7C">
            <w:pPr>
              <w:rPr>
                <w:rFonts w:ascii="Arial"/>
                <w:sz w:val="21"/>
              </w:rPr>
            </w:pPr>
          </w:p>
        </w:tc>
        <w:tc>
          <w:tcPr>
            <w:tcW w:w="1068" w:type="dxa"/>
            <w:vAlign w:val="top"/>
          </w:tcPr>
          <w:p w14:paraId="698F1BDB">
            <w:pPr>
              <w:rPr>
                <w:rFonts w:ascii="Arial"/>
                <w:sz w:val="21"/>
              </w:rPr>
            </w:pPr>
          </w:p>
        </w:tc>
        <w:tc>
          <w:tcPr>
            <w:tcW w:w="1059" w:type="dxa"/>
            <w:vAlign w:val="top"/>
          </w:tcPr>
          <w:p w14:paraId="4D88DD68">
            <w:pPr>
              <w:rPr>
                <w:rFonts w:ascii="Arial"/>
                <w:sz w:val="21"/>
              </w:rPr>
            </w:pPr>
          </w:p>
        </w:tc>
        <w:tc>
          <w:tcPr>
            <w:tcW w:w="1059" w:type="dxa"/>
            <w:vAlign w:val="top"/>
          </w:tcPr>
          <w:p w14:paraId="5AC32BF0">
            <w:pPr>
              <w:rPr>
                <w:rFonts w:ascii="Arial"/>
                <w:sz w:val="21"/>
              </w:rPr>
            </w:pPr>
          </w:p>
        </w:tc>
        <w:tc>
          <w:tcPr>
            <w:tcW w:w="1059" w:type="dxa"/>
            <w:vAlign w:val="top"/>
          </w:tcPr>
          <w:p w14:paraId="157E4629">
            <w:pPr>
              <w:rPr>
                <w:rFonts w:ascii="Arial"/>
                <w:sz w:val="21"/>
              </w:rPr>
            </w:pPr>
          </w:p>
        </w:tc>
        <w:tc>
          <w:tcPr>
            <w:tcW w:w="1063" w:type="dxa"/>
            <w:vAlign w:val="top"/>
          </w:tcPr>
          <w:p w14:paraId="3EE1D76B">
            <w:pPr>
              <w:rPr>
                <w:rFonts w:ascii="Arial"/>
                <w:sz w:val="21"/>
              </w:rPr>
            </w:pPr>
          </w:p>
        </w:tc>
      </w:tr>
      <w:tr w14:paraId="35141E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714" w:type="dxa"/>
            <w:vAlign w:val="top"/>
          </w:tcPr>
          <w:p w14:paraId="73626614">
            <w:pPr>
              <w:rPr>
                <w:rFonts w:ascii="Arial"/>
                <w:sz w:val="21"/>
              </w:rPr>
            </w:pPr>
          </w:p>
        </w:tc>
        <w:tc>
          <w:tcPr>
            <w:tcW w:w="1418" w:type="dxa"/>
            <w:vAlign w:val="top"/>
          </w:tcPr>
          <w:p w14:paraId="722FCC95">
            <w:pPr>
              <w:rPr>
                <w:rFonts w:ascii="Arial"/>
                <w:sz w:val="21"/>
              </w:rPr>
            </w:pPr>
          </w:p>
        </w:tc>
        <w:tc>
          <w:tcPr>
            <w:tcW w:w="1059" w:type="dxa"/>
            <w:vAlign w:val="top"/>
          </w:tcPr>
          <w:p w14:paraId="1E984512">
            <w:pPr>
              <w:rPr>
                <w:rFonts w:ascii="Arial"/>
                <w:sz w:val="21"/>
              </w:rPr>
            </w:pPr>
          </w:p>
        </w:tc>
        <w:tc>
          <w:tcPr>
            <w:tcW w:w="1068" w:type="dxa"/>
            <w:vAlign w:val="top"/>
          </w:tcPr>
          <w:p w14:paraId="3BDF8632">
            <w:pPr>
              <w:rPr>
                <w:rFonts w:ascii="Arial"/>
                <w:sz w:val="21"/>
              </w:rPr>
            </w:pPr>
          </w:p>
        </w:tc>
        <w:tc>
          <w:tcPr>
            <w:tcW w:w="1059" w:type="dxa"/>
            <w:vAlign w:val="top"/>
          </w:tcPr>
          <w:p w14:paraId="66F48453">
            <w:pPr>
              <w:rPr>
                <w:rFonts w:ascii="Arial"/>
                <w:sz w:val="21"/>
              </w:rPr>
            </w:pPr>
          </w:p>
        </w:tc>
        <w:tc>
          <w:tcPr>
            <w:tcW w:w="1059" w:type="dxa"/>
            <w:vAlign w:val="top"/>
          </w:tcPr>
          <w:p w14:paraId="2D995992">
            <w:pPr>
              <w:rPr>
                <w:rFonts w:ascii="Arial"/>
                <w:sz w:val="21"/>
              </w:rPr>
            </w:pPr>
          </w:p>
        </w:tc>
        <w:tc>
          <w:tcPr>
            <w:tcW w:w="1059" w:type="dxa"/>
            <w:vAlign w:val="top"/>
          </w:tcPr>
          <w:p w14:paraId="5F9E2F15">
            <w:pPr>
              <w:rPr>
                <w:rFonts w:ascii="Arial"/>
                <w:sz w:val="21"/>
              </w:rPr>
            </w:pPr>
          </w:p>
        </w:tc>
        <w:tc>
          <w:tcPr>
            <w:tcW w:w="1063" w:type="dxa"/>
            <w:vAlign w:val="top"/>
          </w:tcPr>
          <w:p w14:paraId="1BD1BC71">
            <w:pPr>
              <w:rPr>
                <w:rFonts w:ascii="Arial"/>
                <w:sz w:val="21"/>
              </w:rPr>
            </w:pPr>
          </w:p>
        </w:tc>
      </w:tr>
      <w:tr w14:paraId="5587C3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714" w:type="dxa"/>
            <w:vAlign w:val="top"/>
          </w:tcPr>
          <w:p w14:paraId="06235B49">
            <w:pPr>
              <w:rPr>
                <w:rFonts w:ascii="Arial"/>
                <w:sz w:val="21"/>
              </w:rPr>
            </w:pPr>
          </w:p>
        </w:tc>
        <w:tc>
          <w:tcPr>
            <w:tcW w:w="1418" w:type="dxa"/>
            <w:vAlign w:val="top"/>
          </w:tcPr>
          <w:p w14:paraId="6029D5F3">
            <w:pPr>
              <w:rPr>
                <w:rFonts w:ascii="Arial"/>
                <w:sz w:val="21"/>
              </w:rPr>
            </w:pPr>
          </w:p>
        </w:tc>
        <w:tc>
          <w:tcPr>
            <w:tcW w:w="1059" w:type="dxa"/>
            <w:vAlign w:val="top"/>
          </w:tcPr>
          <w:p w14:paraId="1126CEC2">
            <w:pPr>
              <w:rPr>
                <w:rFonts w:ascii="Arial"/>
                <w:sz w:val="21"/>
              </w:rPr>
            </w:pPr>
          </w:p>
        </w:tc>
        <w:tc>
          <w:tcPr>
            <w:tcW w:w="1068" w:type="dxa"/>
            <w:vAlign w:val="top"/>
          </w:tcPr>
          <w:p w14:paraId="25BECDF9">
            <w:pPr>
              <w:rPr>
                <w:rFonts w:ascii="Arial"/>
                <w:sz w:val="21"/>
              </w:rPr>
            </w:pPr>
          </w:p>
        </w:tc>
        <w:tc>
          <w:tcPr>
            <w:tcW w:w="1059" w:type="dxa"/>
            <w:vAlign w:val="top"/>
          </w:tcPr>
          <w:p w14:paraId="7BBC0D19">
            <w:pPr>
              <w:rPr>
                <w:rFonts w:ascii="Arial"/>
                <w:sz w:val="21"/>
              </w:rPr>
            </w:pPr>
          </w:p>
        </w:tc>
        <w:tc>
          <w:tcPr>
            <w:tcW w:w="1059" w:type="dxa"/>
            <w:vAlign w:val="top"/>
          </w:tcPr>
          <w:p w14:paraId="76B69DFA">
            <w:pPr>
              <w:rPr>
                <w:rFonts w:ascii="Arial"/>
                <w:sz w:val="21"/>
              </w:rPr>
            </w:pPr>
          </w:p>
        </w:tc>
        <w:tc>
          <w:tcPr>
            <w:tcW w:w="1059" w:type="dxa"/>
            <w:vAlign w:val="top"/>
          </w:tcPr>
          <w:p w14:paraId="7955F77E">
            <w:pPr>
              <w:rPr>
                <w:rFonts w:ascii="Arial"/>
                <w:sz w:val="21"/>
              </w:rPr>
            </w:pPr>
          </w:p>
        </w:tc>
        <w:tc>
          <w:tcPr>
            <w:tcW w:w="1063" w:type="dxa"/>
            <w:vAlign w:val="top"/>
          </w:tcPr>
          <w:p w14:paraId="48EB33C8">
            <w:pPr>
              <w:rPr>
                <w:rFonts w:ascii="Arial"/>
                <w:sz w:val="21"/>
              </w:rPr>
            </w:pPr>
          </w:p>
        </w:tc>
      </w:tr>
      <w:tr w14:paraId="1F956693">
        <w:tblPrEx>
          <w:tblCellMar>
            <w:top w:w="0" w:type="dxa"/>
            <w:left w:w="0" w:type="dxa"/>
            <w:bottom w:w="0" w:type="dxa"/>
            <w:right w:w="0" w:type="dxa"/>
          </w:tblCellMar>
        </w:tblPrEx>
        <w:trPr>
          <w:trHeight w:val="439" w:hRule="atLeast"/>
        </w:trPr>
        <w:tc>
          <w:tcPr>
            <w:tcW w:w="714" w:type="dxa"/>
            <w:vAlign w:val="top"/>
          </w:tcPr>
          <w:p w14:paraId="2811E162">
            <w:pPr>
              <w:rPr>
                <w:rFonts w:ascii="Arial"/>
                <w:sz w:val="21"/>
              </w:rPr>
            </w:pPr>
          </w:p>
        </w:tc>
        <w:tc>
          <w:tcPr>
            <w:tcW w:w="1418" w:type="dxa"/>
            <w:vAlign w:val="top"/>
          </w:tcPr>
          <w:p w14:paraId="6F24830A">
            <w:pPr>
              <w:rPr>
                <w:rFonts w:ascii="Arial"/>
                <w:sz w:val="21"/>
              </w:rPr>
            </w:pPr>
          </w:p>
        </w:tc>
        <w:tc>
          <w:tcPr>
            <w:tcW w:w="1059" w:type="dxa"/>
            <w:vAlign w:val="top"/>
          </w:tcPr>
          <w:p w14:paraId="1F72403E">
            <w:pPr>
              <w:rPr>
                <w:rFonts w:ascii="Arial"/>
                <w:sz w:val="21"/>
              </w:rPr>
            </w:pPr>
          </w:p>
        </w:tc>
        <w:tc>
          <w:tcPr>
            <w:tcW w:w="1068" w:type="dxa"/>
            <w:vAlign w:val="top"/>
          </w:tcPr>
          <w:p w14:paraId="3AC65490">
            <w:pPr>
              <w:rPr>
                <w:rFonts w:ascii="Arial"/>
                <w:sz w:val="21"/>
              </w:rPr>
            </w:pPr>
          </w:p>
        </w:tc>
        <w:tc>
          <w:tcPr>
            <w:tcW w:w="1059" w:type="dxa"/>
            <w:vAlign w:val="top"/>
          </w:tcPr>
          <w:p w14:paraId="67D4671D">
            <w:pPr>
              <w:rPr>
                <w:rFonts w:ascii="Arial"/>
                <w:sz w:val="21"/>
              </w:rPr>
            </w:pPr>
          </w:p>
        </w:tc>
        <w:tc>
          <w:tcPr>
            <w:tcW w:w="1059" w:type="dxa"/>
            <w:vAlign w:val="top"/>
          </w:tcPr>
          <w:p w14:paraId="1879C075">
            <w:pPr>
              <w:rPr>
                <w:rFonts w:ascii="Arial"/>
                <w:sz w:val="21"/>
              </w:rPr>
            </w:pPr>
          </w:p>
        </w:tc>
        <w:tc>
          <w:tcPr>
            <w:tcW w:w="1059" w:type="dxa"/>
            <w:vAlign w:val="top"/>
          </w:tcPr>
          <w:p w14:paraId="05B27AB4">
            <w:pPr>
              <w:rPr>
                <w:rFonts w:ascii="Arial"/>
                <w:sz w:val="21"/>
              </w:rPr>
            </w:pPr>
          </w:p>
        </w:tc>
        <w:tc>
          <w:tcPr>
            <w:tcW w:w="1063" w:type="dxa"/>
            <w:vAlign w:val="top"/>
          </w:tcPr>
          <w:p w14:paraId="182BF586">
            <w:pPr>
              <w:rPr>
                <w:rFonts w:ascii="Arial"/>
                <w:sz w:val="21"/>
              </w:rPr>
            </w:pPr>
          </w:p>
        </w:tc>
      </w:tr>
      <w:tr w14:paraId="14C7DB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9" w:hRule="atLeast"/>
        </w:trPr>
        <w:tc>
          <w:tcPr>
            <w:tcW w:w="714" w:type="dxa"/>
            <w:vAlign w:val="top"/>
          </w:tcPr>
          <w:p w14:paraId="4797EF07">
            <w:pPr>
              <w:rPr>
                <w:rFonts w:ascii="Arial"/>
                <w:sz w:val="21"/>
              </w:rPr>
            </w:pPr>
          </w:p>
        </w:tc>
        <w:tc>
          <w:tcPr>
            <w:tcW w:w="1418" w:type="dxa"/>
            <w:vAlign w:val="top"/>
          </w:tcPr>
          <w:p w14:paraId="52FF66BC">
            <w:pPr>
              <w:rPr>
                <w:rFonts w:ascii="Arial"/>
                <w:sz w:val="21"/>
              </w:rPr>
            </w:pPr>
          </w:p>
        </w:tc>
        <w:tc>
          <w:tcPr>
            <w:tcW w:w="1059" w:type="dxa"/>
            <w:vAlign w:val="top"/>
          </w:tcPr>
          <w:p w14:paraId="1A856595">
            <w:pPr>
              <w:rPr>
                <w:rFonts w:ascii="Arial"/>
                <w:sz w:val="21"/>
              </w:rPr>
            </w:pPr>
          </w:p>
        </w:tc>
        <w:tc>
          <w:tcPr>
            <w:tcW w:w="1068" w:type="dxa"/>
            <w:vAlign w:val="top"/>
          </w:tcPr>
          <w:p w14:paraId="324261E9">
            <w:pPr>
              <w:rPr>
                <w:rFonts w:ascii="Arial"/>
                <w:sz w:val="21"/>
              </w:rPr>
            </w:pPr>
          </w:p>
        </w:tc>
        <w:tc>
          <w:tcPr>
            <w:tcW w:w="1059" w:type="dxa"/>
            <w:vAlign w:val="top"/>
          </w:tcPr>
          <w:p w14:paraId="0032AB50">
            <w:pPr>
              <w:rPr>
                <w:rFonts w:ascii="Arial"/>
                <w:sz w:val="21"/>
              </w:rPr>
            </w:pPr>
          </w:p>
        </w:tc>
        <w:tc>
          <w:tcPr>
            <w:tcW w:w="1059" w:type="dxa"/>
            <w:vAlign w:val="top"/>
          </w:tcPr>
          <w:p w14:paraId="05CFB1E9">
            <w:pPr>
              <w:rPr>
                <w:rFonts w:ascii="Arial"/>
                <w:sz w:val="21"/>
              </w:rPr>
            </w:pPr>
          </w:p>
        </w:tc>
        <w:tc>
          <w:tcPr>
            <w:tcW w:w="1059" w:type="dxa"/>
            <w:vAlign w:val="top"/>
          </w:tcPr>
          <w:p w14:paraId="3D5D52FA">
            <w:pPr>
              <w:rPr>
                <w:rFonts w:ascii="Arial"/>
                <w:sz w:val="21"/>
              </w:rPr>
            </w:pPr>
          </w:p>
        </w:tc>
        <w:tc>
          <w:tcPr>
            <w:tcW w:w="1063" w:type="dxa"/>
            <w:vAlign w:val="top"/>
          </w:tcPr>
          <w:p w14:paraId="337A313D">
            <w:pPr>
              <w:rPr>
                <w:rFonts w:ascii="Arial"/>
                <w:sz w:val="21"/>
              </w:rPr>
            </w:pPr>
          </w:p>
        </w:tc>
      </w:tr>
      <w:tr w14:paraId="18E674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0" w:hRule="atLeast"/>
        </w:trPr>
        <w:tc>
          <w:tcPr>
            <w:tcW w:w="714" w:type="dxa"/>
            <w:vAlign w:val="top"/>
          </w:tcPr>
          <w:p w14:paraId="32E4D019">
            <w:pPr>
              <w:rPr>
                <w:rFonts w:ascii="Arial"/>
                <w:sz w:val="21"/>
              </w:rPr>
            </w:pPr>
          </w:p>
        </w:tc>
        <w:tc>
          <w:tcPr>
            <w:tcW w:w="1418" w:type="dxa"/>
            <w:vAlign w:val="top"/>
          </w:tcPr>
          <w:p w14:paraId="43A787F7">
            <w:pPr>
              <w:rPr>
                <w:rFonts w:ascii="Arial"/>
                <w:sz w:val="21"/>
              </w:rPr>
            </w:pPr>
          </w:p>
        </w:tc>
        <w:tc>
          <w:tcPr>
            <w:tcW w:w="1059" w:type="dxa"/>
            <w:vAlign w:val="top"/>
          </w:tcPr>
          <w:p w14:paraId="53B12E47">
            <w:pPr>
              <w:rPr>
                <w:rFonts w:ascii="Arial"/>
                <w:sz w:val="21"/>
              </w:rPr>
            </w:pPr>
          </w:p>
        </w:tc>
        <w:tc>
          <w:tcPr>
            <w:tcW w:w="1068" w:type="dxa"/>
            <w:vAlign w:val="top"/>
          </w:tcPr>
          <w:p w14:paraId="33768439">
            <w:pPr>
              <w:rPr>
                <w:rFonts w:ascii="Arial"/>
                <w:sz w:val="21"/>
              </w:rPr>
            </w:pPr>
          </w:p>
        </w:tc>
        <w:tc>
          <w:tcPr>
            <w:tcW w:w="1059" w:type="dxa"/>
            <w:vAlign w:val="top"/>
          </w:tcPr>
          <w:p w14:paraId="5E770AD8">
            <w:pPr>
              <w:rPr>
                <w:rFonts w:ascii="Arial"/>
                <w:sz w:val="21"/>
              </w:rPr>
            </w:pPr>
          </w:p>
        </w:tc>
        <w:tc>
          <w:tcPr>
            <w:tcW w:w="1059" w:type="dxa"/>
            <w:vAlign w:val="top"/>
          </w:tcPr>
          <w:p w14:paraId="18DAF86E">
            <w:pPr>
              <w:rPr>
                <w:rFonts w:ascii="Arial"/>
                <w:sz w:val="21"/>
              </w:rPr>
            </w:pPr>
          </w:p>
        </w:tc>
        <w:tc>
          <w:tcPr>
            <w:tcW w:w="1059" w:type="dxa"/>
            <w:vAlign w:val="top"/>
          </w:tcPr>
          <w:p w14:paraId="1E2C2172">
            <w:pPr>
              <w:rPr>
                <w:rFonts w:ascii="Arial"/>
                <w:sz w:val="21"/>
              </w:rPr>
            </w:pPr>
          </w:p>
        </w:tc>
        <w:tc>
          <w:tcPr>
            <w:tcW w:w="1063" w:type="dxa"/>
            <w:vAlign w:val="top"/>
          </w:tcPr>
          <w:p w14:paraId="300126A6">
            <w:pPr>
              <w:rPr>
                <w:rFonts w:ascii="Arial"/>
                <w:sz w:val="21"/>
              </w:rPr>
            </w:pPr>
          </w:p>
        </w:tc>
      </w:tr>
      <w:tr w14:paraId="3193E6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714" w:type="dxa"/>
            <w:vAlign w:val="top"/>
          </w:tcPr>
          <w:p w14:paraId="06127B62">
            <w:pPr>
              <w:rPr>
                <w:rFonts w:ascii="Arial"/>
                <w:sz w:val="21"/>
              </w:rPr>
            </w:pPr>
          </w:p>
        </w:tc>
        <w:tc>
          <w:tcPr>
            <w:tcW w:w="1418" w:type="dxa"/>
            <w:vAlign w:val="top"/>
          </w:tcPr>
          <w:p w14:paraId="4632C34A">
            <w:pPr>
              <w:rPr>
                <w:rFonts w:ascii="Arial"/>
                <w:sz w:val="21"/>
              </w:rPr>
            </w:pPr>
          </w:p>
        </w:tc>
        <w:tc>
          <w:tcPr>
            <w:tcW w:w="1059" w:type="dxa"/>
            <w:vAlign w:val="top"/>
          </w:tcPr>
          <w:p w14:paraId="66C8B368">
            <w:pPr>
              <w:rPr>
                <w:rFonts w:ascii="Arial"/>
                <w:sz w:val="21"/>
              </w:rPr>
            </w:pPr>
          </w:p>
        </w:tc>
        <w:tc>
          <w:tcPr>
            <w:tcW w:w="1068" w:type="dxa"/>
            <w:vAlign w:val="top"/>
          </w:tcPr>
          <w:p w14:paraId="50E35E60">
            <w:pPr>
              <w:rPr>
                <w:rFonts w:ascii="Arial"/>
                <w:sz w:val="21"/>
              </w:rPr>
            </w:pPr>
          </w:p>
        </w:tc>
        <w:tc>
          <w:tcPr>
            <w:tcW w:w="1059" w:type="dxa"/>
            <w:vAlign w:val="top"/>
          </w:tcPr>
          <w:p w14:paraId="46D4DE97">
            <w:pPr>
              <w:rPr>
                <w:rFonts w:ascii="Arial"/>
                <w:sz w:val="21"/>
              </w:rPr>
            </w:pPr>
          </w:p>
        </w:tc>
        <w:tc>
          <w:tcPr>
            <w:tcW w:w="1059" w:type="dxa"/>
            <w:vAlign w:val="top"/>
          </w:tcPr>
          <w:p w14:paraId="2F41BCFA">
            <w:pPr>
              <w:rPr>
                <w:rFonts w:ascii="Arial"/>
                <w:sz w:val="21"/>
              </w:rPr>
            </w:pPr>
          </w:p>
        </w:tc>
        <w:tc>
          <w:tcPr>
            <w:tcW w:w="1059" w:type="dxa"/>
            <w:vAlign w:val="top"/>
          </w:tcPr>
          <w:p w14:paraId="43552A77">
            <w:pPr>
              <w:rPr>
                <w:rFonts w:ascii="Arial"/>
                <w:sz w:val="21"/>
              </w:rPr>
            </w:pPr>
          </w:p>
        </w:tc>
        <w:tc>
          <w:tcPr>
            <w:tcW w:w="1063" w:type="dxa"/>
            <w:vAlign w:val="top"/>
          </w:tcPr>
          <w:p w14:paraId="19657E1A">
            <w:pPr>
              <w:rPr>
                <w:rFonts w:ascii="Arial"/>
                <w:sz w:val="21"/>
              </w:rPr>
            </w:pPr>
          </w:p>
        </w:tc>
      </w:tr>
      <w:tr w14:paraId="71FD73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trPr>
        <w:tc>
          <w:tcPr>
            <w:tcW w:w="714" w:type="dxa"/>
            <w:vAlign w:val="top"/>
          </w:tcPr>
          <w:p w14:paraId="31F46632">
            <w:pPr>
              <w:rPr>
                <w:rFonts w:ascii="Arial"/>
                <w:sz w:val="21"/>
              </w:rPr>
            </w:pPr>
          </w:p>
        </w:tc>
        <w:tc>
          <w:tcPr>
            <w:tcW w:w="1418" w:type="dxa"/>
            <w:vAlign w:val="top"/>
          </w:tcPr>
          <w:p w14:paraId="0ABA4B43">
            <w:pPr>
              <w:rPr>
                <w:rFonts w:ascii="Arial"/>
                <w:sz w:val="21"/>
              </w:rPr>
            </w:pPr>
          </w:p>
        </w:tc>
        <w:tc>
          <w:tcPr>
            <w:tcW w:w="1059" w:type="dxa"/>
            <w:vAlign w:val="top"/>
          </w:tcPr>
          <w:p w14:paraId="1364C49B">
            <w:pPr>
              <w:rPr>
                <w:rFonts w:ascii="Arial"/>
                <w:sz w:val="21"/>
              </w:rPr>
            </w:pPr>
          </w:p>
        </w:tc>
        <w:tc>
          <w:tcPr>
            <w:tcW w:w="1068" w:type="dxa"/>
            <w:vAlign w:val="top"/>
          </w:tcPr>
          <w:p w14:paraId="52AEAA4D">
            <w:pPr>
              <w:rPr>
                <w:rFonts w:ascii="Arial"/>
                <w:sz w:val="21"/>
              </w:rPr>
            </w:pPr>
          </w:p>
        </w:tc>
        <w:tc>
          <w:tcPr>
            <w:tcW w:w="1059" w:type="dxa"/>
            <w:vAlign w:val="top"/>
          </w:tcPr>
          <w:p w14:paraId="335F52F5">
            <w:pPr>
              <w:rPr>
                <w:rFonts w:ascii="Arial"/>
                <w:sz w:val="21"/>
              </w:rPr>
            </w:pPr>
          </w:p>
        </w:tc>
        <w:tc>
          <w:tcPr>
            <w:tcW w:w="1059" w:type="dxa"/>
            <w:vAlign w:val="top"/>
          </w:tcPr>
          <w:p w14:paraId="66D5DEB1">
            <w:pPr>
              <w:rPr>
                <w:rFonts w:ascii="Arial"/>
                <w:sz w:val="21"/>
              </w:rPr>
            </w:pPr>
          </w:p>
        </w:tc>
        <w:tc>
          <w:tcPr>
            <w:tcW w:w="1059" w:type="dxa"/>
            <w:vAlign w:val="top"/>
          </w:tcPr>
          <w:p w14:paraId="26BE40BF">
            <w:pPr>
              <w:rPr>
                <w:rFonts w:ascii="Arial"/>
                <w:sz w:val="21"/>
              </w:rPr>
            </w:pPr>
          </w:p>
        </w:tc>
        <w:tc>
          <w:tcPr>
            <w:tcW w:w="1063" w:type="dxa"/>
            <w:vAlign w:val="top"/>
          </w:tcPr>
          <w:p w14:paraId="26121EA8">
            <w:pPr>
              <w:rPr>
                <w:rFonts w:ascii="Arial"/>
                <w:sz w:val="21"/>
              </w:rPr>
            </w:pPr>
          </w:p>
        </w:tc>
      </w:tr>
      <w:tr w14:paraId="4C48EC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714" w:type="dxa"/>
            <w:vAlign w:val="top"/>
          </w:tcPr>
          <w:p w14:paraId="6DBFC803">
            <w:pPr>
              <w:rPr>
                <w:rFonts w:ascii="Arial"/>
                <w:sz w:val="21"/>
              </w:rPr>
            </w:pPr>
          </w:p>
        </w:tc>
        <w:tc>
          <w:tcPr>
            <w:tcW w:w="1418" w:type="dxa"/>
            <w:vAlign w:val="top"/>
          </w:tcPr>
          <w:p w14:paraId="3C630565">
            <w:pPr>
              <w:rPr>
                <w:rFonts w:ascii="Arial"/>
                <w:sz w:val="21"/>
              </w:rPr>
            </w:pPr>
          </w:p>
        </w:tc>
        <w:tc>
          <w:tcPr>
            <w:tcW w:w="1059" w:type="dxa"/>
            <w:vAlign w:val="top"/>
          </w:tcPr>
          <w:p w14:paraId="46A771B4">
            <w:pPr>
              <w:rPr>
                <w:rFonts w:ascii="Arial"/>
                <w:sz w:val="21"/>
              </w:rPr>
            </w:pPr>
          </w:p>
        </w:tc>
        <w:tc>
          <w:tcPr>
            <w:tcW w:w="1068" w:type="dxa"/>
            <w:vAlign w:val="top"/>
          </w:tcPr>
          <w:p w14:paraId="36574D48">
            <w:pPr>
              <w:rPr>
                <w:rFonts w:ascii="Arial"/>
                <w:sz w:val="21"/>
              </w:rPr>
            </w:pPr>
          </w:p>
        </w:tc>
        <w:tc>
          <w:tcPr>
            <w:tcW w:w="1059" w:type="dxa"/>
            <w:vAlign w:val="top"/>
          </w:tcPr>
          <w:p w14:paraId="17A2F61E">
            <w:pPr>
              <w:rPr>
                <w:rFonts w:ascii="Arial"/>
                <w:sz w:val="21"/>
              </w:rPr>
            </w:pPr>
          </w:p>
        </w:tc>
        <w:tc>
          <w:tcPr>
            <w:tcW w:w="1059" w:type="dxa"/>
            <w:vAlign w:val="top"/>
          </w:tcPr>
          <w:p w14:paraId="42F9C4CB">
            <w:pPr>
              <w:rPr>
                <w:rFonts w:ascii="Arial"/>
                <w:sz w:val="21"/>
              </w:rPr>
            </w:pPr>
          </w:p>
        </w:tc>
        <w:tc>
          <w:tcPr>
            <w:tcW w:w="1059" w:type="dxa"/>
            <w:vAlign w:val="top"/>
          </w:tcPr>
          <w:p w14:paraId="1B9DEB4D">
            <w:pPr>
              <w:rPr>
                <w:rFonts w:ascii="Arial"/>
                <w:sz w:val="21"/>
              </w:rPr>
            </w:pPr>
          </w:p>
        </w:tc>
        <w:tc>
          <w:tcPr>
            <w:tcW w:w="1063" w:type="dxa"/>
            <w:vAlign w:val="top"/>
          </w:tcPr>
          <w:p w14:paraId="3EF9E0E0">
            <w:pPr>
              <w:rPr>
                <w:rFonts w:ascii="Arial"/>
                <w:sz w:val="21"/>
              </w:rPr>
            </w:pPr>
          </w:p>
        </w:tc>
      </w:tr>
      <w:tr w14:paraId="1EB44F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714" w:type="dxa"/>
            <w:vAlign w:val="top"/>
          </w:tcPr>
          <w:p w14:paraId="1E9D35EC">
            <w:pPr>
              <w:rPr>
                <w:rFonts w:ascii="Arial"/>
                <w:sz w:val="21"/>
              </w:rPr>
            </w:pPr>
          </w:p>
        </w:tc>
        <w:tc>
          <w:tcPr>
            <w:tcW w:w="1418" w:type="dxa"/>
            <w:vAlign w:val="top"/>
          </w:tcPr>
          <w:p w14:paraId="2F7E6D90">
            <w:pPr>
              <w:rPr>
                <w:rFonts w:ascii="Arial"/>
                <w:sz w:val="21"/>
              </w:rPr>
            </w:pPr>
          </w:p>
        </w:tc>
        <w:tc>
          <w:tcPr>
            <w:tcW w:w="1059" w:type="dxa"/>
            <w:vAlign w:val="top"/>
          </w:tcPr>
          <w:p w14:paraId="228D1DE2">
            <w:pPr>
              <w:rPr>
                <w:rFonts w:ascii="Arial"/>
                <w:sz w:val="21"/>
              </w:rPr>
            </w:pPr>
          </w:p>
        </w:tc>
        <w:tc>
          <w:tcPr>
            <w:tcW w:w="1068" w:type="dxa"/>
            <w:vAlign w:val="top"/>
          </w:tcPr>
          <w:p w14:paraId="1D0E4BEA">
            <w:pPr>
              <w:rPr>
                <w:rFonts w:ascii="Arial"/>
                <w:sz w:val="21"/>
              </w:rPr>
            </w:pPr>
          </w:p>
        </w:tc>
        <w:tc>
          <w:tcPr>
            <w:tcW w:w="1059" w:type="dxa"/>
            <w:vAlign w:val="top"/>
          </w:tcPr>
          <w:p w14:paraId="2A8C1F62">
            <w:pPr>
              <w:rPr>
                <w:rFonts w:ascii="Arial"/>
                <w:sz w:val="21"/>
              </w:rPr>
            </w:pPr>
          </w:p>
        </w:tc>
        <w:tc>
          <w:tcPr>
            <w:tcW w:w="1059" w:type="dxa"/>
            <w:vAlign w:val="top"/>
          </w:tcPr>
          <w:p w14:paraId="624399E8">
            <w:pPr>
              <w:rPr>
                <w:rFonts w:ascii="Arial"/>
                <w:sz w:val="21"/>
              </w:rPr>
            </w:pPr>
          </w:p>
        </w:tc>
        <w:tc>
          <w:tcPr>
            <w:tcW w:w="1059" w:type="dxa"/>
            <w:vAlign w:val="top"/>
          </w:tcPr>
          <w:p w14:paraId="5C1DD4C6">
            <w:pPr>
              <w:rPr>
                <w:rFonts w:ascii="Arial"/>
                <w:sz w:val="21"/>
              </w:rPr>
            </w:pPr>
          </w:p>
        </w:tc>
        <w:tc>
          <w:tcPr>
            <w:tcW w:w="1063" w:type="dxa"/>
            <w:vAlign w:val="top"/>
          </w:tcPr>
          <w:p w14:paraId="48B5358B">
            <w:pPr>
              <w:rPr>
                <w:rFonts w:ascii="Arial"/>
                <w:sz w:val="21"/>
              </w:rPr>
            </w:pPr>
          </w:p>
        </w:tc>
      </w:tr>
      <w:tr w14:paraId="183807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0" w:hRule="atLeast"/>
        </w:trPr>
        <w:tc>
          <w:tcPr>
            <w:tcW w:w="714" w:type="dxa"/>
            <w:vAlign w:val="top"/>
          </w:tcPr>
          <w:p w14:paraId="5AAE2EA2">
            <w:pPr>
              <w:rPr>
                <w:rFonts w:ascii="Arial"/>
                <w:sz w:val="21"/>
              </w:rPr>
            </w:pPr>
          </w:p>
        </w:tc>
        <w:tc>
          <w:tcPr>
            <w:tcW w:w="1418" w:type="dxa"/>
            <w:vAlign w:val="top"/>
          </w:tcPr>
          <w:p w14:paraId="02AE5EA2">
            <w:pPr>
              <w:rPr>
                <w:rFonts w:ascii="Arial"/>
                <w:sz w:val="21"/>
              </w:rPr>
            </w:pPr>
          </w:p>
        </w:tc>
        <w:tc>
          <w:tcPr>
            <w:tcW w:w="1059" w:type="dxa"/>
            <w:vAlign w:val="top"/>
          </w:tcPr>
          <w:p w14:paraId="2A578385">
            <w:pPr>
              <w:rPr>
                <w:rFonts w:ascii="Arial"/>
                <w:sz w:val="21"/>
              </w:rPr>
            </w:pPr>
          </w:p>
        </w:tc>
        <w:tc>
          <w:tcPr>
            <w:tcW w:w="1068" w:type="dxa"/>
            <w:vAlign w:val="top"/>
          </w:tcPr>
          <w:p w14:paraId="4D9F557D">
            <w:pPr>
              <w:rPr>
                <w:rFonts w:ascii="Arial"/>
                <w:sz w:val="21"/>
              </w:rPr>
            </w:pPr>
          </w:p>
        </w:tc>
        <w:tc>
          <w:tcPr>
            <w:tcW w:w="1059" w:type="dxa"/>
            <w:vAlign w:val="top"/>
          </w:tcPr>
          <w:p w14:paraId="04910B52">
            <w:pPr>
              <w:rPr>
                <w:rFonts w:ascii="Arial"/>
                <w:sz w:val="21"/>
              </w:rPr>
            </w:pPr>
          </w:p>
        </w:tc>
        <w:tc>
          <w:tcPr>
            <w:tcW w:w="1059" w:type="dxa"/>
            <w:vAlign w:val="top"/>
          </w:tcPr>
          <w:p w14:paraId="51B9CE4A">
            <w:pPr>
              <w:rPr>
                <w:rFonts w:ascii="Arial"/>
                <w:sz w:val="21"/>
              </w:rPr>
            </w:pPr>
          </w:p>
        </w:tc>
        <w:tc>
          <w:tcPr>
            <w:tcW w:w="1059" w:type="dxa"/>
            <w:vAlign w:val="top"/>
          </w:tcPr>
          <w:p w14:paraId="09B62D6F">
            <w:pPr>
              <w:rPr>
                <w:rFonts w:ascii="Arial"/>
                <w:sz w:val="21"/>
              </w:rPr>
            </w:pPr>
          </w:p>
        </w:tc>
        <w:tc>
          <w:tcPr>
            <w:tcW w:w="1063" w:type="dxa"/>
            <w:vAlign w:val="top"/>
          </w:tcPr>
          <w:p w14:paraId="674FD706">
            <w:pPr>
              <w:rPr>
                <w:rFonts w:ascii="Arial"/>
                <w:sz w:val="21"/>
              </w:rPr>
            </w:pPr>
          </w:p>
        </w:tc>
      </w:tr>
      <w:tr w14:paraId="5F9AB4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714" w:type="dxa"/>
            <w:vAlign w:val="top"/>
          </w:tcPr>
          <w:p w14:paraId="4DDF186C">
            <w:pPr>
              <w:rPr>
                <w:rFonts w:ascii="Arial"/>
                <w:sz w:val="21"/>
              </w:rPr>
            </w:pPr>
          </w:p>
        </w:tc>
        <w:tc>
          <w:tcPr>
            <w:tcW w:w="1418" w:type="dxa"/>
            <w:vAlign w:val="top"/>
          </w:tcPr>
          <w:p w14:paraId="0E505D16">
            <w:pPr>
              <w:rPr>
                <w:rFonts w:ascii="Arial"/>
                <w:sz w:val="21"/>
              </w:rPr>
            </w:pPr>
          </w:p>
        </w:tc>
        <w:tc>
          <w:tcPr>
            <w:tcW w:w="1059" w:type="dxa"/>
            <w:vAlign w:val="top"/>
          </w:tcPr>
          <w:p w14:paraId="37BFC9E9">
            <w:pPr>
              <w:rPr>
                <w:rFonts w:ascii="Arial"/>
                <w:sz w:val="21"/>
              </w:rPr>
            </w:pPr>
          </w:p>
        </w:tc>
        <w:tc>
          <w:tcPr>
            <w:tcW w:w="1068" w:type="dxa"/>
            <w:vAlign w:val="top"/>
          </w:tcPr>
          <w:p w14:paraId="005BB914">
            <w:pPr>
              <w:rPr>
                <w:rFonts w:ascii="Arial"/>
                <w:sz w:val="21"/>
              </w:rPr>
            </w:pPr>
          </w:p>
        </w:tc>
        <w:tc>
          <w:tcPr>
            <w:tcW w:w="1059" w:type="dxa"/>
            <w:vAlign w:val="top"/>
          </w:tcPr>
          <w:p w14:paraId="7D2A7AC3">
            <w:pPr>
              <w:rPr>
                <w:rFonts w:ascii="Arial"/>
                <w:sz w:val="21"/>
              </w:rPr>
            </w:pPr>
          </w:p>
        </w:tc>
        <w:tc>
          <w:tcPr>
            <w:tcW w:w="1059" w:type="dxa"/>
            <w:vAlign w:val="top"/>
          </w:tcPr>
          <w:p w14:paraId="38F78084">
            <w:pPr>
              <w:rPr>
                <w:rFonts w:ascii="Arial"/>
                <w:sz w:val="21"/>
              </w:rPr>
            </w:pPr>
          </w:p>
        </w:tc>
        <w:tc>
          <w:tcPr>
            <w:tcW w:w="1059" w:type="dxa"/>
            <w:vAlign w:val="top"/>
          </w:tcPr>
          <w:p w14:paraId="42D21269">
            <w:pPr>
              <w:rPr>
                <w:rFonts w:ascii="Arial"/>
                <w:sz w:val="21"/>
              </w:rPr>
            </w:pPr>
          </w:p>
        </w:tc>
        <w:tc>
          <w:tcPr>
            <w:tcW w:w="1063" w:type="dxa"/>
            <w:vAlign w:val="top"/>
          </w:tcPr>
          <w:p w14:paraId="11514A2C">
            <w:pPr>
              <w:rPr>
                <w:rFonts w:ascii="Arial"/>
                <w:sz w:val="21"/>
              </w:rPr>
            </w:pPr>
          </w:p>
        </w:tc>
      </w:tr>
      <w:tr w14:paraId="4A2D3C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9" w:hRule="atLeast"/>
        </w:trPr>
        <w:tc>
          <w:tcPr>
            <w:tcW w:w="714" w:type="dxa"/>
            <w:vAlign w:val="top"/>
          </w:tcPr>
          <w:p w14:paraId="535D2514">
            <w:pPr>
              <w:rPr>
                <w:rFonts w:ascii="Arial"/>
                <w:sz w:val="21"/>
              </w:rPr>
            </w:pPr>
          </w:p>
        </w:tc>
        <w:tc>
          <w:tcPr>
            <w:tcW w:w="1418" w:type="dxa"/>
            <w:vAlign w:val="top"/>
          </w:tcPr>
          <w:p w14:paraId="0DBF584E">
            <w:pPr>
              <w:rPr>
                <w:rFonts w:ascii="Arial"/>
                <w:sz w:val="21"/>
              </w:rPr>
            </w:pPr>
          </w:p>
        </w:tc>
        <w:tc>
          <w:tcPr>
            <w:tcW w:w="1059" w:type="dxa"/>
            <w:vAlign w:val="top"/>
          </w:tcPr>
          <w:p w14:paraId="5360AF53">
            <w:pPr>
              <w:rPr>
                <w:rFonts w:ascii="Arial"/>
                <w:sz w:val="21"/>
              </w:rPr>
            </w:pPr>
          </w:p>
        </w:tc>
        <w:tc>
          <w:tcPr>
            <w:tcW w:w="1068" w:type="dxa"/>
            <w:vAlign w:val="top"/>
          </w:tcPr>
          <w:p w14:paraId="14BD4267">
            <w:pPr>
              <w:rPr>
                <w:rFonts w:ascii="Arial"/>
                <w:sz w:val="21"/>
              </w:rPr>
            </w:pPr>
          </w:p>
        </w:tc>
        <w:tc>
          <w:tcPr>
            <w:tcW w:w="1059" w:type="dxa"/>
            <w:vAlign w:val="top"/>
          </w:tcPr>
          <w:p w14:paraId="6B94C2BC">
            <w:pPr>
              <w:rPr>
                <w:rFonts w:ascii="Arial"/>
                <w:sz w:val="21"/>
              </w:rPr>
            </w:pPr>
          </w:p>
        </w:tc>
        <w:tc>
          <w:tcPr>
            <w:tcW w:w="1059" w:type="dxa"/>
            <w:vAlign w:val="top"/>
          </w:tcPr>
          <w:p w14:paraId="399C6F5A">
            <w:pPr>
              <w:rPr>
                <w:rFonts w:ascii="Arial"/>
                <w:sz w:val="21"/>
              </w:rPr>
            </w:pPr>
          </w:p>
        </w:tc>
        <w:tc>
          <w:tcPr>
            <w:tcW w:w="1059" w:type="dxa"/>
            <w:vAlign w:val="top"/>
          </w:tcPr>
          <w:p w14:paraId="190FAEAC">
            <w:pPr>
              <w:rPr>
                <w:rFonts w:ascii="Arial"/>
                <w:sz w:val="21"/>
              </w:rPr>
            </w:pPr>
          </w:p>
        </w:tc>
        <w:tc>
          <w:tcPr>
            <w:tcW w:w="1063" w:type="dxa"/>
            <w:vAlign w:val="top"/>
          </w:tcPr>
          <w:p w14:paraId="42BED2F3">
            <w:pPr>
              <w:rPr>
                <w:rFonts w:ascii="Arial"/>
                <w:sz w:val="21"/>
              </w:rPr>
            </w:pPr>
          </w:p>
        </w:tc>
      </w:tr>
      <w:tr w14:paraId="4B46F2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714" w:type="dxa"/>
            <w:vAlign w:val="top"/>
          </w:tcPr>
          <w:p w14:paraId="167EAEE5">
            <w:pPr>
              <w:rPr>
                <w:rFonts w:ascii="Arial"/>
                <w:sz w:val="21"/>
              </w:rPr>
            </w:pPr>
          </w:p>
        </w:tc>
        <w:tc>
          <w:tcPr>
            <w:tcW w:w="1418" w:type="dxa"/>
            <w:vAlign w:val="top"/>
          </w:tcPr>
          <w:p w14:paraId="770F4D9C">
            <w:pPr>
              <w:rPr>
                <w:rFonts w:ascii="Arial"/>
                <w:sz w:val="21"/>
              </w:rPr>
            </w:pPr>
          </w:p>
        </w:tc>
        <w:tc>
          <w:tcPr>
            <w:tcW w:w="1059" w:type="dxa"/>
            <w:vAlign w:val="top"/>
          </w:tcPr>
          <w:p w14:paraId="2AF8530C">
            <w:pPr>
              <w:rPr>
                <w:rFonts w:ascii="Arial"/>
                <w:sz w:val="21"/>
              </w:rPr>
            </w:pPr>
          </w:p>
        </w:tc>
        <w:tc>
          <w:tcPr>
            <w:tcW w:w="1068" w:type="dxa"/>
            <w:vAlign w:val="top"/>
          </w:tcPr>
          <w:p w14:paraId="22A46780">
            <w:pPr>
              <w:rPr>
                <w:rFonts w:ascii="Arial"/>
                <w:sz w:val="21"/>
              </w:rPr>
            </w:pPr>
          </w:p>
        </w:tc>
        <w:tc>
          <w:tcPr>
            <w:tcW w:w="1059" w:type="dxa"/>
            <w:vAlign w:val="top"/>
          </w:tcPr>
          <w:p w14:paraId="688248C4">
            <w:pPr>
              <w:rPr>
                <w:rFonts w:ascii="Arial"/>
                <w:sz w:val="21"/>
              </w:rPr>
            </w:pPr>
          </w:p>
        </w:tc>
        <w:tc>
          <w:tcPr>
            <w:tcW w:w="1059" w:type="dxa"/>
            <w:vAlign w:val="top"/>
          </w:tcPr>
          <w:p w14:paraId="7EA24636">
            <w:pPr>
              <w:rPr>
                <w:rFonts w:ascii="Arial"/>
                <w:sz w:val="21"/>
              </w:rPr>
            </w:pPr>
          </w:p>
        </w:tc>
        <w:tc>
          <w:tcPr>
            <w:tcW w:w="1059" w:type="dxa"/>
            <w:vAlign w:val="top"/>
          </w:tcPr>
          <w:p w14:paraId="67B6E070">
            <w:pPr>
              <w:rPr>
                <w:rFonts w:ascii="Arial"/>
                <w:sz w:val="21"/>
              </w:rPr>
            </w:pPr>
          </w:p>
        </w:tc>
        <w:tc>
          <w:tcPr>
            <w:tcW w:w="1063" w:type="dxa"/>
            <w:vAlign w:val="top"/>
          </w:tcPr>
          <w:p w14:paraId="5AC2158A">
            <w:pPr>
              <w:rPr>
                <w:rFonts w:ascii="Arial"/>
                <w:sz w:val="21"/>
              </w:rPr>
            </w:pPr>
          </w:p>
        </w:tc>
      </w:tr>
      <w:tr w14:paraId="43B4EF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9" w:hRule="atLeast"/>
        </w:trPr>
        <w:tc>
          <w:tcPr>
            <w:tcW w:w="714" w:type="dxa"/>
            <w:vAlign w:val="top"/>
          </w:tcPr>
          <w:p w14:paraId="2173D5A3">
            <w:pPr>
              <w:rPr>
                <w:rFonts w:ascii="Arial"/>
                <w:sz w:val="21"/>
              </w:rPr>
            </w:pPr>
          </w:p>
        </w:tc>
        <w:tc>
          <w:tcPr>
            <w:tcW w:w="1418" w:type="dxa"/>
            <w:vAlign w:val="top"/>
          </w:tcPr>
          <w:p w14:paraId="680160AB">
            <w:pPr>
              <w:rPr>
                <w:rFonts w:ascii="Arial"/>
                <w:sz w:val="21"/>
              </w:rPr>
            </w:pPr>
          </w:p>
        </w:tc>
        <w:tc>
          <w:tcPr>
            <w:tcW w:w="1059" w:type="dxa"/>
            <w:vAlign w:val="top"/>
          </w:tcPr>
          <w:p w14:paraId="080DE7C5">
            <w:pPr>
              <w:rPr>
                <w:rFonts w:ascii="Arial"/>
                <w:sz w:val="21"/>
              </w:rPr>
            </w:pPr>
          </w:p>
        </w:tc>
        <w:tc>
          <w:tcPr>
            <w:tcW w:w="1068" w:type="dxa"/>
            <w:vAlign w:val="top"/>
          </w:tcPr>
          <w:p w14:paraId="1CCD99B9">
            <w:pPr>
              <w:rPr>
                <w:rFonts w:ascii="Arial"/>
                <w:sz w:val="21"/>
              </w:rPr>
            </w:pPr>
          </w:p>
        </w:tc>
        <w:tc>
          <w:tcPr>
            <w:tcW w:w="1059" w:type="dxa"/>
            <w:vAlign w:val="top"/>
          </w:tcPr>
          <w:p w14:paraId="2837A28F">
            <w:pPr>
              <w:rPr>
                <w:rFonts w:ascii="Arial"/>
                <w:sz w:val="21"/>
              </w:rPr>
            </w:pPr>
          </w:p>
        </w:tc>
        <w:tc>
          <w:tcPr>
            <w:tcW w:w="1059" w:type="dxa"/>
            <w:vAlign w:val="top"/>
          </w:tcPr>
          <w:p w14:paraId="5BE48787">
            <w:pPr>
              <w:rPr>
                <w:rFonts w:ascii="Arial"/>
                <w:sz w:val="21"/>
              </w:rPr>
            </w:pPr>
          </w:p>
        </w:tc>
        <w:tc>
          <w:tcPr>
            <w:tcW w:w="1059" w:type="dxa"/>
            <w:vAlign w:val="top"/>
          </w:tcPr>
          <w:p w14:paraId="29C4DDDF">
            <w:pPr>
              <w:rPr>
                <w:rFonts w:ascii="Arial"/>
                <w:sz w:val="21"/>
              </w:rPr>
            </w:pPr>
          </w:p>
        </w:tc>
        <w:tc>
          <w:tcPr>
            <w:tcW w:w="1063" w:type="dxa"/>
            <w:vAlign w:val="top"/>
          </w:tcPr>
          <w:p w14:paraId="01E044B1">
            <w:pPr>
              <w:rPr>
                <w:rFonts w:ascii="Arial"/>
                <w:sz w:val="21"/>
              </w:rPr>
            </w:pPr>
          </w:p>
        </w:tc>
      </w:tr>
      <w:tr w14:paraId="68CD0A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0" w:hRule="atLeast"/>
        </w:trPr>
        <w:tc>
          <w:tcPr>
            <w:tcW w:w="714" w:type="dxa"/>
            <w:vAlign w:val="top"/>
          </w:tcPr>
          <w:p w14:paraId="64603FD4">
            <w:pPr>
              <w:rPr>
                <w:rFonts w:ascii="Arial"/>
                <w:sz w:val="21"/>
              </w:rPr>
            </w:pPr>
          </w:p>
        </w:tc>
        <w:tc>
          <w:tcPr>
            <w:tcW w:w="1418" w:type="dxa"/>
            <w:vAlign w:val="top"/>
          </w:tcPr>
          <w:p w14:paraId="3B695AD0">
            <w:pPr>
              <w:rPr>
                <w:rFonts w:ascii="Arial"/>
                <w:sz w:val="21"/>
              </w:rPr>
            </w:pPr>
          </w:p>
        </w:tc>
        <w:tc>
          <w:tcPr>
            <w:tcW w:w="1059" w:type="dxa"/>
            <w:vAlign w:val="top"/>
          </w:tcPr>
          <w:p w14:paraId="2F8B8869">
            <w:pPr>
              <w:rPr>
                <w:rFonts w:ascii="Arial"/>
                <w:sz w:val="21"/>
              </w:rPr>
            </w:pPr>
          </w:p>
        </w:tc>
        <w:tc>
          <w:tcPr>
            <w:tcW w:w="1068" w:type="dxa"/>
            <w:vAlign w:val="top"/>
          </w:tcPr>
          <w:p w14:paraId="4E90FB5E">
            <w:pPr>
              <w:rPr>
                <w:rFonts w:ascii="Arial"/>
                <w:sz w:val="21"/>
              </w:rPr>
            </w:pPr>
          </w:p>
        </w:tc>
        <w:tc>
          <w:tcPr>
            <w:tcW w:w="1059" w:type="dxa"/>
            <w:vAlign w:val="top"/>
          </w:tcPr>
          <w:p w14:paraId="3CE1D43E">
            <w:pPr>
              <w:rPr>
                <w:rFonts w:ascii="Arial"/>
                <w:sz w:val="21"/>
              </w:rPr>
            </w:pPr>
          </w:p>
        </w:tc>
        <w:tc>
          <w:tcPr>
            <w:tcW w:w="1059" w:type="dxa"/>
            <w:vAlign w:val="top"/>
          </w:tcPr>
          <w:p w14:paraId="0B9838CE">
            <w:pPr>
              <w:rPr>
                <w:rFonts w:ascii="Arial"/>
                <w:sz w:val="21"/>
              </w:rPr>
            </w:pPr>
          </w:p>
        </w:tc>
        <w:tc>
          <w:tcPr>
            <w:tcW w:w="1059" w:type="dxa"/>
            <w:vAlign w:val="top"/>
          </w:tcPr>
          <w:p w14:paraId="4D67694C">
            <w:pPr>
              <w:rPr>
                <w:rFonts w:ascii="Arial"/>
                <w:sz w:val="21"/>
              </w:rPr>
            </w:pPr>
          </w:p>
        </w:tc>
        <w:tc>
          <w:tcPr>
            <w:tcW w:w="1063" w:type="dxa"/>
            <w:vAlign w:val="top"/>
          </w:tcPr>
          <w:p w14:paraId="4676963F">
            <w:pPr>
              <w:rPr>
                <w:rFonts w:ascii="Arial"/>
                <w:sz w:val="21"/>
              </w:rPr>
            </w:pPr>
          </w:p>
        </w:tc>
      </w:tr>
      <w:tr w14:paraId="09B703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9" w:hRule="atLeast"/>
        </w:trPr>
        <w:tc>
          <w:tcPr>
            <w:tcW w:w="714" w:type="dxa"/>
            <w:vAlign w:val="top"/>
          </w:tcPr>
          <w:p w14:paraId="5EADA2FF">
            <w:pPr>
              <w:rPr>
                <w:rFonts w:ascii="Arial"/>
                <w:sz w:val="21"/>
              </w:rPr>
            </w:pPr>
          </w:p>
        </w:tc>
        <w:tc>
          <w:tcPr>
            <w:tcW w:w="1418" w:type="dxa"/>
            <w:vAlign w:val="top"/>
          </w:tcPr>
          <w:p w14:paraId="7C2A4908">
            <w:pPr>
              <w:rPr>
                <w:rFonts w:ascii="Arial"/>
                <w:sz w:val="21"/>
              </w:rPr>
            </w:pPr>
          </w:p>
        </w:tc>
        <w:tc>
          <w:tcPr>
            <w:tcW w:w="1059" w:type="dxa"/>
            <w:vAlign w:val="top"/>
          </w:tcPr>
          <w:p w14:paraId="050D426E">
            <w:pPr>
              <w:rPr>
                <w:rFonts w:ascii="Arial"/>
                <w:sz w:val="21"/>
              </w:rPr>
            </w:pPr>
          </w:p>
        </w:tc>
        <w:tc>
          <w:tcPr>
            <w:tcW w:w="1068" w:type="dxa"/>
            <w:vAlign w:val="top"/>
          </w:tcPr>
          <w:p w14:paraId="46F2FA05">
            <w:pPr>
              <w:rPr>
                <w:rFonts w:ascii="Arial"/>
                <w:sz w:val="21"/>
              </w:rPr>
            </w:pPr>
          </w:p>
        </w:tc>
        <w:tc>
          <w:tcPr>
            <w:tcW w:w="1059" w:type="dxa"/>
            <w:vAlign w:val="top"/>
          </w:tcPr>
          <w:p w14:paraId="2213C541">
            <w:pPr>
              <w:rPr>
                <w:rFonts w:ascii="Arial"/>
                <w:sz w:val="21"/>
              </w:rPr>
            </w:pPr>
          </w:p>
        </w:tc>
        <w:tc>
          <w:tcPr>
            <w:tcW w:w="1059" w:type="dxa"/>
            <w:vAlign w:val="top"/>
          </w:tcPr>
          <w:p w14:paraId="4EEEEA72">
            <w:pPr>
              <w:rPr>
                <w:rFonts w:ascii="Arial"/>
                <w:sz w:val="21"/>
              </w:rPr>
            </w:pPr>
          </w:p>
        </w:tc>
        <w:tc>
          <w:tcPr>
            <w:tcW w:w="1059" w:type="dxa"/>
            <w:vAlign w:val="top"/>
          </w:tcPr>
          <w:p w14:paraId="70AE7ABF">
            <w:pPr>
              <w:rPr>
                <w:rFonts w:ascii="Arial"/>
                <w:sz w:val="21"/>
              </w:rPr>
            </w:pPr>
          </w:p>
        </w:tc>
        <w:tc>
          <w:tcPr>
            <w:tcW w:w="1063" w:type="dxa"/>
            <w:vAlign w:val="top"/>
          </w:tcPr>
          <w:p w14:paraId="5652073A">
            <w:pPr>
              <w:rPr>
                <w:rFonts w:ascii="Arial"/>
                <w:sz w:val="21"/>
              </w:rPr>
            </w:pPr>
          </w:p>
        </w:tc>
      </w:tr>
      <w:tr w14:paraId="101242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0" w:hRule="atLeast"/>
        </w:trPr>
        <w:tc>
          <w:tcPr>
            <w:tcW w:w="714" w:type="dxa"/>
            <w:vAlign w:val="top"/>
          </w:tcPr>
          <w:p w14:paraId="45C2B43B">
            <w:pPr>
              <w:rPr>
                <w:rFonts w:ascii="Arial"/>
                <w:sz w:val="21"/>
              </w:rPr>
            </w:pPr>
          </w:p>
        </w:tc>
        <w:tc>
          <w:tcPr>
            <w:tcW w:w="1418" w:type="dxa"/>
            <w:vAlign w:val="top"/>
          </w:tcPr>
          <w:p w14:paraId="223F4647">
            <w:pPr>
              <w:rPr>
                <w:rFonts w:ascii="Arial"/>
                <w:sz w:val="21"/>
              </w:rPr>
            </w:pPr>
          </w:p>
        </w:tc>
        <w:tc>
          <w:tcPr>
            <w:tcW w:w="1059" w:type="dxa"/>
            <w:vAlign w:val="top"/>
          </w:tcPr>
          <w:p w14:paraId="69694D3C">
            <w:pPr>
              <w:rPr>
                <w:rFonts w:ascii="Arial"/>
                <w:sz w:val="21"/>
              </w:rPr>
            </w:pPr>
          </w:p>
        </w:tc>
        <w:tc>
          <w:tcPr>
            <w:tcW w:w="1068" w:type="dxa"/>
            <w:vAlign w:val="top"/>
          </w:tcPr>
          <w:p w14:paraId="601EC094">
            <w:pPr>
              <w:rPr>
                <w:rFonts w:ascii="Arial"/>
                <w:sz w:val="21"/>
              </w:rPr>
            </w:pPr>
          </w:p>
        </w:tc>
        <w:tc>
          <w:tcPr>
            <w:tcW w:w="1059" w:type="dxa"/>
            <w:vAlign w:val="top"/>
          </w:tcPr>
          <w:p w14:paraId="06FDEDE0">
            <w:pPr>
              <w:rPr>
                <w:rFonts w:ascii="Arial"/>
                <w:sz w:val="21"/>
              </w:rPr>
            </w:pPr>
          </w:p>
        </w:tc>
        <w:tc>
          <w:tcPr>
            <w:tcW w:w="1059" w:type="dxa"/>
            <w:vAlign w:val="top"/>
          </w:tcPr>
          <w:p w14:paraId="4FADE13D">
            <w:pPr>
              <w:rPr>
                <w:rFonts w:ascii="Arial"/>
                <w:sz w:val="21"/>
              </w:rPr>
            </w:pPr>
          </w:p>
        </w:tc>
        <w:tc>
          <w:tcPr>
            <w:tcW w:w="1059" w:type="dxa"/>
            <w:vAlign w:val="top"/>
          </w:tcPr>
          <w:p w14:paraId="3E551CAB">
            <w:pPr>
              <w:rPr>
                <w:rFonts w:ascii="Arial"/>
                <w:sz w:val="21"/>
              </w:rPr>
            </w:pPr>
          </w:p>
        </w:tc>
        <w:tc>
          <w:tcPr>
            <w:tcW w:w="1063" w:type="dxa"/>
            <w:vAlign w:val="top"/>
          </w:tcPr>
          <w:p w14:paraId="7F4F6798">
            <w:pPr>
              <w:rPr>
                <w:rFonts w:ascii="Arial"/>
                <w:sz w:val="21"/>
              </w:rPr>
            </w:pPr>
          </w:p>
        </w:tc>
      </w:tr>
      <w:tr w14:paraId="5D5695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9" w:hRule="atLeast"/>
        </w:trPr>
        <w:tc>
          <w:tcPr>
            <w:tcW w:w="714" w:type="dxa"/>
            <w:vAlign w:val="top"/>
          </w:tcPr>
          <w:p w14:paraId="2B51F30A">
            <w:pPr>
              <w:rPr>
                <w:rFonts w:ascii="Arial"/>
                <w:sz w:val="21"/>
              </w:rPr>
            </w:pPr>
          </w:p>
        </w:tc>
        <w:tc>
          <w:tcPr>
            <w:tcW w:w="1418" w:type="dxa"/>
            <w:vAlign w:val="top"/>
          </w:tcPr>
          <w:p w14:paraId="4B7810D4">
            <w:pPr>
              <w:rPr>
                <w:rFonts w:ascii="Arial"/>
                <w:sz w:val="21"/>
              </w:rPr>
            </w:pPr>
          </w:p>
        </w:tc>
        <w:tc>
          <w:tcPr>
            <w:tcW w:w="1059" w:type="dxa"/>
            <w:vAlign w:val="top"/>
          </w:tcPr>
          <w:p w14:paraId="318CCE54">
            <w:pPr>
              <w:rPr>
                <w:rFonts w:ascii="Arial"/>
                <w:sz w:val="21"/>
              </w:rPr>
            </w:pPr>
          </w:p>
        </w:tc>
        <w:tc>
          <w:tcPr>
            <w:tcW w:w="1068" w:type="dxa"/>
            <w:vAlign w:val="top"/>
          </w:tcPr>
          <w:p w14:paraId="6A89F1A0">
            <w:pPr>
              <w:rPr>
                <w:rFonts w:ascii="Arial"/>
                <w:sz w:val="21"/>
              </w:rPr>
            </w:pPr>
          </w:p>
        </w:tc>
        <w:tc>
          <w:tcPr>
            <w:tcW w:w="1059" w:type="dxa"/>
            <w:vAlign w:val="top"/>
          </w:tcPr>
          <w:p w14:paraId="52185472">
            <w:pPr>
              <w:rPr>
                <w:rFonts w:ascii="Arial"/>
                <w:sz w:val="21"/>
              </w:rPr>
            </w:pPr>
          </w:p>
        </w:tc>
        <w:tc>
          <w:tcPr>
            <w:tcW w:w="1059" w:type="dxa"/>
            <w:vAlign w:val="top"/>
          </w:tcPr>
          <w:p w14:paraId="7134000E">
            <w:pPr>
              <w:rPr>
                <w:rFonts w:ascii="Arial"/>
                <w:sz w:val="21"/>
              </w:rPr>
            </w:pPr>
          </w:p>
        </w:tc>
        <w:tc>
          <w:tcPr>
            <w:tcW w:w="1059" w:type="dxa"/>
            <w:vAlign w:val="top"/>
          </w:tcPr>
          <w:p w14:paraId="6827FBF5">
            <w:pPr>
              <w:rPr>
                <w:rFonts w:ascii="Arial"/>
                <w:sz w:val="21"/>
              </w:rPr>
            </w:pPr>
          </w:p>
        </w:tc>
        <w:tc>
          <w:tcPr>
            <w:tcW w:w="1063" w:type="dxa"/>
            <w:vAlign w:val="top"/>
          </w:tcPr>
          <w:p w14:paraId="4DBCCD48">
            <w:pPr>
              <w:rPr>
                <w:rFonts w:ascii="Arial"/>
                <w:sz w:val="21"/>
              </w:rPr>
            </w:pPr>
          </w:p>
        </w:tc>
      </w:tr>
      <w:tr w14:paraId="5121FE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714" w:type="dxa"/>
            <w:vAlign w:val="top"/>
          </w:tcPr>
          <w:p w14:paraId="05D8A328">
            <w:pPr>
              <w:rPr>
                <w:rFonts w:ascii="Arial"/>
                <w:sz w:val="21"/>
              </w:rPr>
            </w:pPr>
          </w:p>
        </w:tc>
        <w:tc>
          <w:tcPr>
            <w:tcW w:w="1418" w:type="dxa"/>
            <w:vAlign w:val="top"/>
          </w:tcPr>
          <w:p w14:paraId="4DA96B10">
            <w:pPr>
              <w:rPr>
                <w:rFonts w:ascii="Arial"/>
                <w:sz w:val="21"/>
              </w:rPr>
            </w:pPr>
          </w:p>
        </w:tc>
        <w:tc>
          <w:tcPr>
            <w:tcW w:w="1059" w:type="dxa"/>
            <w:vAlign w:val="top"/>
          </w:tcPr>
          <w:p w14:paraId="33A05EB7">
            <w:pPr>
              <w:rPr>
                <w:rFonts w:ascii="Arial"/>
                <w:sz w:val="21"/>
              </w:rPr>
            </w:pPr>
          </w:p>
        </w:tc>
        <w:tc>
          <w:tcPr>
            <w:tcW w:w="1068" w:type="dxa"/>
            <w:vAlign w:val="top"/>
          </w:tcPr>
          <w:p w14:paraId="156DC728">
            <w:pPr>
              <w:rPr>
                <w:rFonts w:ascii="Arial"/>
                <w:sz w:val="21"/>
              </w:rPr>
            </w:pPr>
          </w:p>
        </w:tc>
        <w:tc>
          <w:tcPr>
            <w:tcW w:w="1059" w:type="dxa"/>
            <w:vAlign w:val="top"/>
          </w:tcPr>
          <w:p w14:paraId="330F1FA1">
            <w:pPr>
              <w:rPr>
                <w:rFonts w:ascii="Arial"/>
                <w:sz w:val="21"/>
              </w:rPr>
            </w:pPr>
          </w:p>
        </w:tc>
        <w:tc>
          <w:tcPr>
            <w:tcW w:w="1059" w:type="dxa"/>
            <w:vAlign w:val="top"/>
          </w:tcPr>
          <w:p w14:paraId="49394BF9">
            <w:pPr>
              <w:rPr>
                <w:rFonts w:ascii="Arial"/>
                <w:sz w:val="21"/>
              </w:rPr>
            </w:pPr>
          </w:p>
        </w:tc>
        <w:tc>
          <w:tcPr>
            <w:tcW w:w="1059" w:type="dxa"/>
            <w:vAlign w:val="top"/>
          </w:tcPr>
          <w:p w14:paraId="1739AA71">
            <w:pPr>
              <w:rPr>
                <w:rFonts w:ascii="Arial"/>
                <w:sz w:val="21"/>
              </w:rPr>
            </w:pPr>
          </w:p>
        </w:tc>
        <w:tc>
          <w:tcPr>
            <w:tcW w:w="1063" w:type="dxa"/>
            <w:vAlign w:val="top"/>
          </w:tcPr>
          <w:p w14:paraId="72759E0D">
            <w:pPr>
              <w:rPr>
                <w:rFonts w:ascii="Arial"/>
                <w:sz w:val="21"/>
              </w:rPr>
            </w:pPr>
          </w:p>
        </w:tc>
      </w:tr>
      <w:tr w14:paraId="1F7C71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9" w:hRule="atLeast"/>
        </w:trPr>
        <w:tc>
          <w:tcPr>
            <w:tcW w:w="714" w:type="dxa"/>
            <w:vAlign w:val="top"/>
          </w:tcPr>
          <w:p w14:paraId="68AAF60F">
            <w:pPr>
              <w:rPr>
                <w:rFonts w:ascii="Arial"/>
                <w:sz w:val="21"/>
              </w:rPr>
            </w:pPr>
          </w:p>
        </w:tc>
        <w:tc>
          <w:tcPr>
            <w:tcW w:w="1418" w:type="dxa"/>
            <w:vAlign w:val="top"/>
          </w:tcPr>
          <w:p w14:paraId="0C6C4195">
            <w:pPr>
              <w:rPr>
                <w:rFonts w:ascii="Arial"/>
                <w:sz w:val="21"/>
              </w:rPr>
            </w:pPr>
          </w:p>
        </w:tc>
        <w:tc>
          <w:tcPr>
            <w:tcW w:w="1059" w:type="dxa"/>
            <w:vAlign w:val="top"/>
          </w:tcPr>
          <w:p w14:paraId="7F62956D">
            <w:pPr>
              <w:rPr>
                <w:rFonts w:ascii="Arial"/>
                <w:sz w:val="21"/>
              </w:rPr>
            </w:pPr>
          </w:p>
        </w:tc>
        <w:tc>
          <w:tcPr>
            <w:tcW w:w="1068" w:type="dxa"/>
            <w:vAlign w:val="top"/>
          </w:tcPr>
          <w:p w14:paraId="72629F3E">
            <w:pPr>
              <w:rPr>
                <w:rFonts w:ascii="Arial"/>
                <w:sz w:val="21"/>
              </w:rPr>
            </w:pPr>
          </w:p>
        </w:tc>
        <w:tc>
          <w:tcPr>
            <w:tcW w:w="1059" w:type="dxa"/>
            <w:vAlign w:val="top"/>
          </w:tcPr>
          <w:p w14:paraId="52FF3F0E">
            <w:pPr>
              <w:rPr>
                <w:rFonts w:ascii="Arial"/>
                <w:sz w:val="21"/>
              </w:rPr>
            </w:pPr>
          </w:p>
        </w:tc>
        <w:tc>
          <w:tcPr>
            <w:tcW w:w="1059" w:type="dxa"/>
            <w:vAlign w:val="top"/>
          </w:tcPr>
          <w:p w14:paraId="384557E6">
            <w:pPr>
              <w:rPr>
                <w:rFonts w:ascii="Arial"/>
                <w:sz w:val="21"/>
              </w:rPr>
            </w:pPr>
          </w:p>
        </w:tc>
        <w:tc>
          <w:tcPr>
            <w:tcW w:w="1059" w:type="dxa"/>
            <w:vAlign w:val="top"/>
          </w:tcPr>
          <w:p w14:paraId="6E84AC18">
            <w:pPr>
              <w:rPr>
                <w:rFonts w:ascii="Arial"/>
                <w:sz w:val="21"/>
              </w:rPr>
            </w:pPr>
          </w:p>
        </w:tc>
        <w:tc>
          <w:tcPr>
            <w:tcW w:w="1063" w:type="dxa"/>
            <w:vAlign w:val="top"/>
          </w:tcPr>
          <w:p w14:paraId="23212469">
            <w:pPr>
              <w:rPr>
                <w:rFonts w:ascii="Arial"/>
                <w:sz w:val="21"/>
              </w:rPr>
            </w:pPr>
          </w:p>
        </w:tc>
      </w:tr>
      <w:tr w14:paraId="5FF1FC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0" w:hRule="atLeast"/>
        </w:trPr>
        <w:tc>
          <w:tcPr>
            <w:tcW w:w="714" w:type="dxa"/>
            <w:vAlign w:val="top"/>
          </w:tcPr>
          <w:p w14:paraId="6A9FC8E2">
            <w:pPr>
              <w:rPr>
                <w:rFonts w:ascii="Arial"/>
                <w:sz w:val="21"/>
              </w:rPr>
            </w:pPr>
          </w:p>
        </w:tc>
        <w:tc>
          <w:tcPr>
            <w:tcW w:w="1418" w:type="dxa"/>
            <w:vAlign w:val="top"/>
          </w:tcPr>
          <w:p w14:paraId="390EB382">
            <w:pPr>
              <w:rPr>
                <w:rFonts w:ascii="Arial"/>
                <w:sz w:val="21"/>
              </w:rPr>
            </w:pPr>
          </w:p>
        </w:tc>
        <w:tc>
          <w:tcPr>
            <w:tcW w:w="1059" w:type="dxa"/>
            <w:vAlign w:val="top"/>
          </w:tcPr>
          <w:p w14:paraId="75419126">
            <w:pPr>
              <w:rPr>
                <w:rFonts w:ascii="Arial"/>
                <w:sz w:val="21"/>
              </w:rPr>
            </w:pPr>
          </w:p>
        </w:tc>
        <w:tc>
          <w:tcPr>
            <w:tcW w:w="1068" w:type="dxa"/>
            <w:vAlign w:val="top"/>
          </w:tcPr>
          <w:p w14:paraId="21D75C5D">
            <w:pPr>
              <w:rPr>
                <w:rFonts w:ascii="Arial"/>
                <w:sz w:val="21"/>
              </w:rPr>
            </w:pPr>
          </w:p>
        </w:tc>
        <w:tc>
          <w:tcPr>
            <w:tcW w:w="1059" w:type="dxa"/>
            <w:vAlign w:val="top"/>
          </w:tcPr>
          <w:p w14:paraId="07C47CFA">
            <w:pPr>
              <w:rPr>
                <w:rFonts w:ascii="Arial"/>
                <w:sz w:val="21"/>
              </w:rPr>
            </w:pPr>
          </w:p>
        </w:tc>
        <w:tc>
          <w:tcPr>
            <w:tcW w:w="1059" w:type="dxa"/>
            <w:vAlign w:val="top"/>
          </w:tcPr>
          <w:p w14:paraId="1A329C15">
            <w:pPr>
              <w:rPr>
                <w:rFonts w:ascii="Arial"/>
                <w:sz w:val="21"/>
              </w:rPr>
            </w:pPr>
          </w:p>
        </w:tc>
        <w:tc>
          <w:tcPr>
            <w:tcW w:w="1059" w:type="dxa"/>
            <w:vAlign w:val="top"/>
          </w:tcPr>
          <w:p w14:paraId="49BD9310">
            <w:pPr>
              <w:rPr>
                <w:rFonts w:ascii="Arial"/>
                <w:sz w:val="21"/>
              </w:rPr>
            </w:pPr>
          </w:p>
        </w:tc>
        <w:tc>
          <w:tcPr>
            <w:tcW w:w="1063" w:type="dxa"/>
            <w:vAlign w:val="top"/>
          </w:tcPr>
          <w:p w14:paraId="518E8F2B">
            <w:pPr>
              <w:rPr>
                <w:rFonts w:ascii="Arial"/>
                <w:sz w:val="21"/>
              </w:rPr>
            </w:pPr>
          </w:p>
        </w:tc>
      </w:tr>
      <w:tr w14:paraId="72394E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714" w:type="dxa"/>
            <w:vAlign w:val="top"/>
          </w:tcPr>
          <w:p w14:paraId="1A82A473">
            <w:pPr>
              <w:rPr>
                <w:rFonts w:ascii="Arial"/>
                <w:sz w:val="21"/>
              </w:rPr>
            </w:pPr>
          </w:p>
        </w:tc>
        <w:tc>
          <w:tcPr>
            <w:tcW w:w="1418" w:type="dxa"/>
            <w:vAlign w:val="top"/>
          </w:tcPr>
          <w:p w14:paraId="3FC2BC8D">
            <w:pPr>
              <w:rPr>
                <w:rFonts w:ascii="Arial"/>
                <w:sz w:val="21"/>
              </w:rPr>
            </w:pPr>
          </w:p>
        </w:tc>
        <w:tc>
          <w:tcPr>
            <w:tcW w:w="1059" w:type="dxa"/>
            <w:vAlign w:val="top"/>
          </w:tcPr>
          <w:p w14:paraId="2CA362B4">
            <w:pPr>
              <w:rPr>
                <w:rFonts w:ascii="Arial"/>
                <w:sz w:val="21"/>
              </w:rPr>
            </w:pPr>
          </w:p>
        </w:tc>
        <w:tc>
          <w:tcPr>
            <w:tcW w:w="1068" w:type="dxa"/>
            <w:vAlign w:val="top"/>
          </w:tcPr>
          <w:p w14:paraId="57031C6C">
            <w:pPr>
              <w:rPr>
                <w:rFonts w:ascii="Arial"/>
                <w:sz w:val="21"/>
              </w:rPr>
            </w:pPr>
          </w:p>
        </w:tc>
        <w:tc>
          <w:tcPr>
            <w:tcW w:w="1059" w:type="dxa"/>
            <w:vAlign w:val="top"/>
          </w:tcPr>
          <w:p w14:paraId="442BCA8B">
            <w:pPr>
              <w:rPr>
                <w:rFonts w:ascii="Arial"/>
                <w:sz w:val="21"/>
              </w:rPr>
            </w:pPr>
          </w:p>
        </w:tc>
        <w:tc>
          <w:tcPr>
            <w:tcW w:w="1059" w:type="dxa"/>
            <w:vAlign w:val="top"/>
          </w:tcPr>
          <w:p w14:paraId="5F23FA79">
            <w:pPr>
              <w:rPr>
                <w:rFonts w:ascii="Arial"/>
                <w:sz w:val="21"/>
              </w:rPr>
            </w:pPr>
          </w:p>
        </w:tc>
        <w:tc>
          <w:tcPr>
            <w:tcW w:w="1059" w:type="dxa"/>
            <w:vAlign w:val="top"/>
          </w:tcPr>
          <w:p w14:paraId="48A16E20">
            <w:pPr>
              <w:rPr>
                <w:rFonts w:ascii="Arial"/>
                <w:sz w:val="21"/>
              </w:rPr>
            </w:pPr>
          </w:p>
        </w:tc>
        <w:tc>
          <w:tcPr>
            <w:tcW w:w="1063" w:type="dxa"/>
            <w:vAlign w:val="top"/>
          </w:tcPr>
          <w:p w14:paraId="264E3485">
            <w:pPr>
              <w:rPr>
                <w:rFonts w:ascii="Arial"/>
                <w:sz w:val="21"/>
              </w:rPr>
            </w:pPr>
          </w:p>
        </w:tc>
      </w:tr>
    </w:tbl>
    <w:p w14:paraId="6B598EE0">
      <w:pPr>
        <w:rPr>
          <w:rFonts w:ascii="Arial"/>
          <w:sz w:val="21"/>
        </w:rPr>
      </w:pPr>
    </w:p>
    <w:p w14:paraId="72641BB9">
      <w:pPr>
        <w:rPr>
          <w:rFonts w:ascii="Arial" w:hAnsi="Arial" w:eastAsia="Arial" w:cs="Arial"/>
          <w:sz w:val="21"/>
          <w:szCs w:val="21"/>
        </w:rPr>
        <w:sectPr>
          <w:footerReference r:id="rId403" w:type="default"/>
          <w:pgSz w:w="11910" w:h="16840"/>
          <w:pgMar w:top="400" w:right="1786" w:bottom="1147" w:left="1455" w:header="0" w:footer="1021" w:gutter="0"/>
          <w:cols w:space="720" w:num="1"/>
        </w:sectPr>
      </w:pPr>
    </w:p>
    <w:p w14:paraId="2E026D40">
      <w:pPr>
        <w:spacing w:line="271" w:lineRule="auto"/>
        <w:rPr>
          <w:rFonts w:ascii="Arial"/>
          <w:sz w:val="21"/>
        </w:rPr>
      </w:pPr>
    </w:p>
    <w:p w14:paraId="30D3E4E4">
      <w:pPr>
        <w:spacing w:line="271" w:lineRule="auto"/>
        <w:rPr>
          <w:rFonts w:ascii="Arial"/>
          <w:sz w:val="21"/>
        </w:rPr>
      </w:pPr>
    </w:p>
    <w:p w14:paraId="38BF882A">
      <w:pPr>
        <w:spacing w:line="271" w:lineRule="auto"/>
        <w:rPr>
          <w:rFonts w:ascii="Arial"/>
          <w:sz w:val="21"/>
        </w:rPr>
      </w:pPr>
    </w:p>
    <w:p w14:paraId="116BDA9E">
      <w:pPr>
        <w:spacing w:line="272" w:lineRule="auto"/>
        <w:rPr>
          <w:rFonts w:ascii="Arial"/>
          <w:sz w:val="21"/>
        </w:rPr>
      </w:pPr>
    </w:p>
    <w:p w14:paraId="7484D55E">
      <w:pPr>
        <w:spacing w:line="272" w:lineRule="auto"/>
        <w:rPr>
          <w:rFonts w:ascii="Arial"/>
          <w:sz w:val="21"/>
        </w:rPr>
      </w:pPr>
    </w:p>
    <w:p w14:paraId="6EAB0054">
      <w:pPr>
        <w:spacing w:before="68" w:line="221" w:lineRule="auto"/>
        <w:ind w:left="13"/>
        <w:rPr>
          <w:rFonts w:ascii="黑体" w:hAnsi="黑体" w:eastAsia="黑体" w:cs="黑体"/>
          <w:sz w:val="21"/>
          <w:szCs w:val="21"/>
        </w:rPr>
      </w:pPr>
      <w:r>
        <w:rPr>
          <w:rFonts w:ascii="黑体" w:hAnsi="黑体" w:eastAsia="黑体" w:cs="黑体"/>
          <w:b/>
          <w:bCs/>
          <w:spacing w:val="27"/>
          <w:sz w:val="21"/>
          <w:szCs w:val="21"/>
        </w:rPr>
        <w:t>附表四：计划开、竣工日期和施工进度网络图</w:t>
      </w:r>
    </w:p>
    <w:p w14:paraId="347ED7AE">
      <w:pPr>
        <w:pStyle w:val="2"/>
        <w:spacing w:before="182" w:line="290" w:lineRule="auto"/>
        <w:ind w:firstLine="429"/>
        <w:rPr>
          <w:sz w:val="21"/>
          <w:szCs w:val="21"/>
        </w:rPr>
      </w:pPr>
      <w:r>
        <w:rPr>
          <w:spacing w:val="-1"/>
          <w:sz w:val="21"/>
          <w:szCs w:val="21"/>
        </w:rPr>
        <w:t>1. 投标人应递交施工进度网络图或施工进度表，说明按招标文件要求的计划工期进行施工的</w:t>
      </w:r>
      <w:r>
        <w:rPr>
          <w:spacing w:val="5"/>
          <w:sz w:val="21"/>
          <w:szCs w:val="21"/>
        </w:rPr>
        <w:t xml:space="preserve"> </w:t>
      </w:r>
      <w:r>
        <w:rPr>
          <w:spacing w:val="-6"/>
          <w:sz w:val="21"/>
          <w:szCs w:val="21"/>
        </w:rPr>
        <w:t>各个关键日期。</w:t>
      </w:r>
    </w:p>
    <w:p w14:paraId="250E3857">
      <w:pPr>
        <w:pStyle w:val="2"/>
        <w:spacing w:before="179" w:line="219" w:lineRule="auto"/>
        <w:ind w:left="429"/>
        <w:rPr>
          <w:sz w:val="21"/>
          <w:szCs w:val="21"/>
        </w:rPr>
      </w:pPr>
      <w:r>
        <w:rPr>
          <w:spacing w:val="8"/>
          <w:sz w:val="21"/>
          <w:szCs w:val="21"/>
        </w:rPr>
        <w:t>2. 施工进度表可采用网络图和(或)横道图表示。</w:t>
      </w:r>
    </w:p>
    <w:p w14:paraId="104F572D">
      <w:pPr>
        <w:spacing w:line="219" w:lineRule="auto"/>
        <w:rPr>
          <w:sz w:val="21"/>
          <w:szCs w:val="21"/>
        </w:rPr>
        <w:sectPr>
          <w:footerReference r:id="rId404" w:type="default"/>
          <w:pgSz w:w="11910" w:h="16840"/>
          <w:pgMar w:top="400" w:right="1550" w:bottom="1147" w:left="1460" w:header="0" w:footer="1021" w:gutter="0"/>
          <w:cols w:space="720" w:num="1"/>
        </w:sectPr>
      </w:pPr>
    </w:p>
    <w:p w14:paraId="7745589D">
      <w:pPr>
        <w:spacing w:line="264" w:lineRule="auto"/>
        <w:rPr>
          <w:rFonts w:ascii="Arial"/>
          <w:sz w:val="21"/>
        </w:rPr>
      </w:pPr>
    </w:p>
    <w:p w14:paraId="2C5076F2">
      <w:pPr>
        <w:spacing w:line="264" w:lineRule="auto"/>
        <w:rPr>
          <w:rFonts w:ascii="Arial"/>
          <w:sz w:val="21"/>
        </w:rPr>
      </w:pPr>
    </w:p>
    <w:p w14:paraId="2FBEE7D3">
      <w:pPr>
        <w:spacing w:line="264" w:lineRule="auto"/>
        <w:rPr>
          <w:rFonts w:ascii="Arial"/>
          <w:sz w:val="21"/>
        </w:rPr>
      </w:pPr>
    </w:p>
    <w:p w14:paraId="00266326">
      <w:pPr>
        <w:spacing w:line="264" w:lineRule="auto"/>
        <w:rPr>
          <w:rFonts w:ascii="Arial"/>
          <w:sz w:val="21"/>
        </w:rPr>
      </w:pPr>
    </w:p>
    <w:p w14:paraId="1A2F6F27">
      <w:pPr>
        <w:spacing w:line="264" w:lineRule="auto"/>
        <w:rPr>
          <w:rFonts w:ascii="Arial"/>
          <w:sz w:val="21"/>
        </w:rPr>
      </w:pPr>
    </w:p>
    <w:p w14:paraId="6BE34A1C">
      <w:pPr>
        <w:spacing w:before="78" w:line="222" w:lineRule="auto"/>
        <w:ind w:left="13"/>
        <w:rPr>
          <w:rFonts w:ascii="黑体" w:hAnsi="黑体" w:eastAsia="黑体" w:cs="黑体"/>
          <w:sz w:val="24"/>
          <w:szCs w:val="24"/>
        </w:rPr>
      </w:pPr>
      <w:r>
        <w:rPr>
          <w:rFonts w:ascii="黑体" w:hAnsi="黑体" w:eastAsia="黑体" w:cs="黑体"/>
          <w:b/>
          <w:bCs/>
          <w:spacing w:val="-2"/>
          <w:sz w:val="24"/>
          <w:szCs w:val="24"/>
        </w:rPr>
        <w:t>附表五：施工总平面图</w:t>
      </w:r>
    </w:p>
    <w:p w14:paraId="678F84F0">
      <w:pPr>
        <w:pStyle w:val="2"/>
        <w:spacing w:before="162" w:line="371" w:lineRule="auto"/>
        <w:ind w:firstLine="409"/>
        <w:rPr>
          <w:sz w:val="21"/>
          <w:szCs w:val="21"/>
        </w:rPr>
      </w:pPr>
      <w:r>
        <w:rPr>
          <w:spacing w:val="-1"/>
          <w:sz w:val="21"/>
          <w:szCs w:val="21"/>
        </w:rPr>
        <w:t>投标人应递交一份施工总平面图，绘出现场临时设施布置图表并附文字说明，说明临时设</w:t>
      </w:r>
      <w:r>
        <w:rPr>
          <w:spacing w:val="-2"/>
          <w:sz w:val="21"/>
          <w:szCs w:val="21"/>
        </w:rPr>
        <w:t>施、</w:t>
      </w:r>
      <w:r>
        <w:rPr>
          <w:sz w:val="21"/>
          <w:szCs w:val="21"/>
        </w:rPr>
        <w:t xml:space="preserve"> 加工车间、现场办公、设备及仓储、供电、供水、卫生、生活、道路、消防等设施的情况和布置。</w:t>
      </w:r>
    </w:p>
    <w:p w14:paraId="6F1CD3CA">
      <w:pPr>
        <w:spacing w:line="371" w:lineRule="auto"/>
        <w:rPr>
          <w:sz w:val="21"/>
          <w:szCs w:val="21"/>
        </w:rPr>
        <w:sectPr>
          <w:footerReference r:id="rId405" w:type="default"/>
          <w:pgSz w:w="11910" w:h="16840"/>
          <w:pgMar w:top="400" w:right="1404" w:bottom="1147" w:left="1460" w:header="0" w:footer="1021" w:gutter="0"/>
          <w:cols w:space="720" w:num="1"/>
        </w:sectPr>
      </w:pPr>
    </w:p>
    <w:p w14:paraId="6994B46F">
      <w:pPr>
        <w:spacing w:line="263" w:lineRule="auto"/>
        <w:rPr>
          <w:rFonts w:ascii="Arial"/>
          <w:sz w:val="21"/>
        </w:rPr>
      </w:pPr>
    </w:p>
    <w:p w14:paraId="2DC0CA18">
      <w:pPr>
        <w:spacing w:line="263" w:lineRule="auto"/>
        <w:rPr>
          <w:rFonts w:ascii="Arial"/>
          <w:sz w:val="21"/>
        </w:rPr>
      </w:pPr>
    </w:p>
    <w:p w14:paraId="025ECCBC">
      <w:pPr>
        <w:spacing w:line="264" w:lineRule="auto"/>
        <w:rPr>
          <w:rFonts w:ascii="Arial"/>
          <w:sz w:val="21"/>
        </w:rPr>
      </w:pPr>
    </w:p>
    <w:p w14:paraId="3FE521E3">
      <w:pPr>
        <w:spacing w:line="264" w:lineRule="auto"/>
        <w:rPr>
          <w:rFonts w:ascii="Arial"/>
          <w:sz w:val="21"/>
        </w:rPr>
      </w:pPr>
    </w:p>
    <w:p w14:paraId="3E70C977">
      <w:pPr>
        <w:spacing w:line="264" w:lineRule="auto"/>
        <w:rPr>
          <w:rFonts w:ascii="Arial"/>
          <w:sz w:val="21"/>
        </w:rPr>
      </w:pPr>
    </w:p>
    <w:p w14:paraId="4CDFA7AF">
      <w:pPr>
        <w:pStyle w:val="2"/>
        <w:spacing w:before="78" w:line="219" w:lineRule="auto"/>
        <w:ind w:left="28"/>
        <w:rPr>
          <w:sz w:val="24"/>
          <w:szCs w:val="24"/>
        </w:rPr>
      </w:pPr>
      <w:r>
        <w:rPr>
          <w:b/>
          <w:bCs/>
          <w:spacing w:val="-3"/>
          <w:sz w:val="24"/>
          <w:szCs w:val="24"/>
        </w:rPr>
        <w:t>附表六：临时用地表</w:t>
      </w:r>
    </w:p>
    <w:p w14:paraId="235A021D">
      <w:pPr>
        <w:spacing w:line="15" w:lineRule="exact"/>
      </w:pPr>
    </w:p>
    <w:tbl>
      <w:tblPr>
        <w:tblStyle w:val="5"/>
        <w:tblW w:w="849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262"/>
        <w:gridCol w:w="2078"/>
        <w:gridCol w:w="2077"/>
        <w:gridCol w:w="2082"/>
      </w:tblGrid>
      <w:tr w14:paraId="3FDF2F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4" w:hRule="atLeast"/>
        </w:trPr>
        <w:tc>
          <w:tcPr>
            <w:tcW w:w="2262" w:type="dxa"/>
            <w:vAlign w:val="top"/>
          </w:tcPr>
          <w:p w14:paraId="46AED99B">
            <w:pPr>
              <w:pStyle w:val="6"/>
              <w:spacing w:before="85" w:line="221" w:lineRule="auto"/>
              <w:ind w:left="804"/>
              <w:rPr>
                <w:sz w:val="23"/>
                <w:szCs w:val="23"/>
              </w:rPr>
            </w:pPr>
            <w:r>
              <w:rPr>
                <w:spacing w:val="-6"/>
                <w:sz w:val="23"/>
                <w:szCs w:val="23"/>
              </w:rPr>
              <w:t>用</w:t>
            </w:r>
            <w:r>
              <w:rPr>
                <w:spacing w:val="9"/>
                <w:sz w:val="23"/>
                <w:szCs w:val="23"/>
              </w:rPr>
              <w:t xml:space="preserve"> </w:t>
            </w:r>
            <w:r>
              <w:rPr>
                <w:spacing w:val="-6"/>
                <w:sz w:val="23"/>
                <w:szCs w:val="23"/>
              </w:rPr>
              <w:t>途</w:t>
            </w:r>
          </w:p>
        </w:tc>
        <w:tc>
          <w:tcPr>
            <w:tcW w:w="2078" w:type="dxa"/>
            <w:vAlign w:val="top"/>
          </w:tcPr>
          <w:p w14:paraId="63A80415">
            <w:pPr>
              <w:pStyle w:val="6"/>
              <w:spacing w:before="84" w:line="219" w:lineRule="auto"/>
              <w:ind w:left="272"/>
              <w:rPr>
                <w:sz w:val="23"/>
                <w:szCs w:val="23"/>
              </w:rPr>
            </w:pPr>
            <w:r>
              <w:rPr>
                <w:spacing w:val="7"/>
                <w:sz w:val="23"/>
                <w:szCs w:val="23"/>
              </w:rPr>
              <w:t>面积(平方米)</w:t>
            </w:r>
          </w:p>
        </w:tc>
        <w:tc>
          <w:tcPr>
            <w:tcW w:w="2077" w:type="dxa"/>
            <w:vAlign w:val="top"/>
          </w:tcPr>
          <w:p w14:paraId="135B2080">
            <w:pPr>
              <w:pStyle w:val="6"/>
              <w:spacing w:before="85" w:line="221" w:lineRule="auto"/>
              <w:ind w:left="714"/>
              <w:rPr>
                <w:sz w:val="23"/>
                <w:szCs w:val="23"/>
              </w:rPr>
            </w:pPr>
            <w:r>
              <w:rPr>
                <w:spacing w:val="-5"/>
                <w:sz w:val="23"/>
                <w:szCs w:val="23"/>
              </w:rPr>
              <w:t>位</w:t>
            </w:r>
            <w:r>
              <w:rPr>
                <w:spacing w:val="7"/>
                <w:sz w:val="23"/>
                <w:szCs w:val="23"/>
              </w:rPr>
              <w:t xml:space="preserve"> </w:t>
            </w:r>
            <w:r>
              <w:rPr>
                <w:spacing w:val="-5"/>
                <w:sz w:val="23"/>
                <w:szCs w:val="23"/>
              </w:rPr>
              <w:t>置</w:t>
            </w:r>
          </w:p>
        </w:tc>
        <w:tc>
          <w:tcPr>
            <w:tcW w:w="2082" w:type="dxa"/>
            <w:vAlign w:val="top"/>
          </w:tcPr>
          <w:p w14:paraId="299BF776">
            <w:pPr>
              <w:pStyle w:val="6"/>
              <w:spacing w:before="85" w:line="220" w:lineRule="auto"/>
              <w:ind w:left="657"/>
              <w:rPr>
                <w:sz w:val="23"/>
                <w:szCs w:val="23"/>
              </w:rPr>
            </w:pPr>
            <w:r>
              <w:rPr>
                <w:spacing w:val="5"/>
                <w:sz w:val="23"/>
                <w:szCs w:val="23"/>
              </w:rPr>
              <w:t>需用时间</w:t>
            </w:r>
          </w:p>
        </w:tc>
      </w:tr>
      <w:tr w14:paraId="1455D2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2262" w:type="dxa"/>
            <w:vAlign w:val="top"/>
          </w:tcPr>
          <w:p w14:paraId="3D481DEB">
            <w:pPr>
              <w:rPr>
                <w:rFonts w:ascii="Arial"/>
                <w:sz w:val="21"/>
              </w:rPr>
            </w:pPr>
          </w:p>
        </w:tc>
        <w:tc>
          <w:tcPr>
            <w:tcW w:w="2078" w:type="dxa"/>
            <w:vAlign w:val="top"/>
          </w:tcPr>
          <w:p w14:paraId="12BDB73D">
            <w:pPr>
              <w:rPr>
                <w:rFonts w:ascii="Arial"/>
                <w:sz w:val="21"/>
              </w:rPr>
            </w:pPr>
          </w:p>
        </w:tc>
        <w:tc>
          <w:tcPr>
            <w:tcW w:w="2077" w:type="dxa"/>
            <w:vAlign w:val="top"/>
          </w:tcPr>
          <w:p w14:paraId="36D90646">
            <w:pPr>
              <w:rPr>
                <w:rFonts w:ascii="Arial"/>
                <w:sz w:val="21"/>
              </w:rPr>
            </w:pPr>
          </w:p>
        </w:tc>
        <w:tc>
          <w:tcPr>
            <w:tcW w:w="2082" w:type="dxa"/>
            <w:vAlign w:val="top"/>
          </w:tcPr>
          <w:p w14:paraId="310F4065">
            <w:pPr>
              <w:rPr>
                <w:rFonts w:ascii="Arial"/>
                <w:sz w:val="21"/>
              </w:rPr>
            </w:pPr>
          </w:p>
        </w:tc>
      </w:tr>
      <w:tr w14:paraId="14FD62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2262" w:type="dxa"/>
            <w:vAlign w:val="top"/>
          </w:tcPr>
          <w:p w14:paraId="29342B32">
            <w:pPr>
              <w:rPr>
                <w:rFonts w:ascii="Arial"/>
                <w:sz w:val="21"/>
              </w:rPr>
            </w:pPr>
          </w:p>
        </w:tc>
        <w:tc>
          <w:tcPr>
            <w:tcW w:w="2078" w:type="dxa"/>
            <w:vAlign w:val="top"/>
          </w:tcPr>
          <w:p w14:paraId="69617B0C">
            <w:pPr>
              <w:rPr>
                <w:rFonts w:ascii="Arial"/>
                <w:sz w:val="21"/>
              </w:rPr>
            </w:pPr>
          </w:p>
        </w:tc>
        <w:tc>
          <w:tcPr>
            <w:tcW w:w="2077" w:type="dxa"/>
            <w:vAlign w:val="top"/>
          </w:tcPr>
          <w:p w14:paraId="5BC5C8C5">
            <w:pPr>
              <w:rPr>
                <w:rFonts w:ascii="Arial"/>
                <w:sz w:val="21"/>
              </w:rPr>
            </w:pPr>
          </w:p>
        </w:tc>
        <w:tc>
          <w:tcPr>
            <w:tcW w:w="2082" w:type="dxa"/>
            <w:vAlign w:val="top"/>
          </w:tcPr>
          <w:p w14:paraId="144E9F32">
            <w:pPr>
              <w:rPr>
                <w:rFonts w:ascii="Arial"/>
                <w:sz w:val="21"/>
              </w:rPr>
            </w:pPr>
          </w:p>
        </w:tc>
      </w:tr>
      <w:tr w14:paraId="5CB919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9" w:hRule="atLeast"/>
        </w:trPr>
        <w:tc>
          <w:tcPr>
            <w:tcW w:w="2262" w:type="dxa"/>
            <w:vAlign w:val="top"/>
          </w:tcPr>
          <w:p w14:paraId="5331DECE">
            <w:pPr>
              <w:rPr>
                <w:rFonts w:ascii="Arial"/>
                <w:sz w:val="21"/>
              </w:rPr>
            </w:pPr>
          </w:p>
        </w:tc>
        <w:tc>
          <w:tcPr>
            <w:tcW w:w="2078" w:type="dxa"/>
            <w:vAlign w:val="top"/>
          </w:tcPr>
          <w:p w14:paraId="3DD7683D">
            <w:pPr>
              <w:rPr>
                <w:rFonts w:ascii="Arial"/>
                <w:sz w:val="21"/>
              </w:rPr>
            </w:pPr>
          </w:p>
        </w:tc>
        <w:tc>
          <w:tcPr>
            <w:tcW w:w="2077" w:type="dxa"/>
            <w:vAlign w:val="top"/>
          </w:tcPr>
          <w:p w14:paraId="2E31533F">
            <w:pPr>
              <w:rPr>
                <w:rFonts w:ascii="Arial"/>
                <w:sz w:val="21"/>
              </w:rPr>
            </w:pPr>
          </w:p>
        </w:tc>
        <w:tc>
          <w:tcPr>
            <w:tcW w:w="2082" w:type="dxa"/>
            <w:vAlign w:val="top"/>
          </w:tcPr>
          <w:p w14:paraId="337EF5F0">
            <w:pPr>
              <w:rPr>
                <w:rFonts w:ascii="Arial"/>
                <w:sz w:val="21"/>
              </w:rPr>
            </w:pPr>
          </w:p>
        </w:tc>
      </w:tr>
      <w:tr w14:paraId="0B4234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2262" w:type="dxa"/>
            <w:vAlign w:val="top"/>
          </w:tcPr>
          <w:p w14:paraId="1A61CA2D">
            <w:pPr>
              <w:rPr>
                <w:rFonts w:ascii="Arial"/>
                <w:sz w:val="21"/>
              </w:rPr>
            </w:pPr>
          </w:p>
        </w:tc>
        <w:tc>
          <w:tcPr>
            <w:tcW w:w="2078" w:type="dxa"/>
            <w:vAlign w:val="top"/>
          </w:tcPr>
          <w:p w14:paraId="0BFEEFF9">
            <w:pPr>
              <w:rPr>
                <w:rFonts w:ascii="Arial"/>
                <w:sz w:val="21"/>
              </w:rPr>
            </w:pPr>
          </w:p>
        </w:tc>
        <w:tc>
          <w:tcPr>
            <w:tcW w:w="2077" w:type="dxa"/>
            <w:vAlign w:val="top"/>
          </w:tcPr>
          <w:p w14:paraId="5ECC4D2B">
            <w:pPr>
              <w:rPr>
                <w:rFonts w:ascii="Arial"/>
                <w:sz w:val="21"/>
              </w:rPr>
            </w:pPr>
          </w:p>
        </w:tc>
        <w:tc>
          <w:tcPr>
            <w:tcW w:w="2082" w:type="dxa"/>
            <w:vAlign w:val="top"/>
          </w:tcPr>
          <w:p w14:paraId="5898C902">
            <w:pPr>
              <w:rPr>
                <w:rFonts w:ascii="Arial"/>
                <w:sz w:val="21"/>
              </w:rPr>
            </w:pPr>
          </w:p>
        </w:tc>
      </w:tr>
      <w:tr w14:paraId="1D4E93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2262" w:type="dxa"/>
            <w:vAlign w:val="top"/>
          </w:tcPr>
          <w:p w14:paraId="4502A516">
            <w:pPr>
              <w:rPr>
                <w:rFonts w:ascii="Arial"/>
                <w:sz w:val="21"/>
              </w:rPr>
            </w:pPr>
          </w:p>
        </w:tc>
        <w:tc>
          <w:tcPr>
            <w:tcW w:w="2078" w:type="dxa"/>
            <w:vAlign w:val="top"/>
          </w:tcPr>
          <w:p w14:paraId="3E8E059A">
            <w:pPr>
              <w:rPr>
                <w:rFonts w:ascii="Arial"/>
                <w:sz w:val="21"/>
              </w:rPr>
            </w:pPr>
          </w:p>
        </w:tc>
        <w:tc>
          <w:tcPr>
            <w:tcW w:w="2077" w:type="dxa"/>
            <w:vAlign w:val="top"/>
          </w:tcPr>
          <w:p w14:paraId="29379046">
            <w:pPr>
              <w:rPr>
                <w:rFonts w:ascii="Arial"/>
                <w:sz w:val="21"/>
              </w:rPr>
            </w:pPr>
          </w:p>
        </w:tc>
        <w:tc>
          <w:tcPr>
            <w:tcW w:w="2082" w:type="dxa"/>
            <w:vAlign w:val="top"/>
          </w:tcPr>
          <w:p w14:paraId="3ABC3B6B">
            <w:pPr>
              <w:rPr>
                <w:rFonts w:ascii="Arial"/>
                <w:sz w:val="21"/>
              </w:rPr>
            </w:pPr>
          </w:p>
        </w:tc>
      </w:tr>
      <w:tr w14:paraId="6A642E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2262" w:type="dxa"/>
            <w:vAlign w:val="top"/>
          </w:tcPr>
          <w:p w14:paraId="305F9822">
            <w:pPr>
              <w:rPr>
                <w:rFonts w:ascii="Arial"/>
                <w:sz w:val="21"/>
              </w:rPr>
            </w:pPr>
          </w:p>
        </w:tc>
        <w:tc>
          <w:tcPr>
            <w:tcW w:w="2078" w:type="dxa"/>
            <w:vAlign w:val="top"/>
          </w:tcPr>
          <w:p w14:paraId="4CC51730">
            <w:pPr>
              <w:rPr>
                <w:rFonts w:ascii="Arial"/>
                <w:sz w:val="21"/>
              </w:rPr>
            </w:pPr>
          </w:p>
        </w:tc>
        <w:tc>
          <w:tcPr>
            <w:tcW w:w="2077" w:type="dxa"/>
            <w:vAlign w:val="top"/>
          </w:tcPr>
          <w:p w14:paraId="3CBA0BCE">
            <w:pPr>
              <w:rPr>
                <w:rFonts w:ascii="Arial"/>
                <w:sz w:val="21"/>
              </w:rPr>
            </w:pPr>
          </w:p>
        </w:tc>
        <w:tc>
          <w:tcPr>
            <w:tcW w:w="2082" w:type="dxa"/>
            <w:vAlign w:val="top"/>
          </w:tcPr>
          <w:p w14:paraId="5B033EB0">
            <w:pPr>
              <w:rPr>
                <w:rFonts w:ascii="Arial"/>
                <w:sz w:val="21"/>
              </w:rPr>
            </w:pPr>
          </w:p>
        </w:tc>
      </w:tr>
      <w:tr w14:paraId="573B9D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trPr>
        <w:tc>
          <w:tcPr>
            <w:tcW w:w="2262" w:type="dxa"/>
            <w:vAlign w:val="top"/>
          </w:tcPr>
          <w:p w14:paraId="5FD6A1B0">
            <w:pPr>
              <w:rPr>
                <w:rFonts w:ascii="Arial"/>
                <w:sz w:val="21"/>
              </w:rPr>
            </w:pPr>
          </w:p>
        </w:tc>
        <w:tc>
          <w:tcPr>
            <w:tcW w:w="2078" w:type="dxa"/>
            <w:vAlign w:val="top"/>
          </w:tcPr>
          <w:p w14:paraId="799D4AE4">
            <w:pPr>
              <w:rPr>
                <w:rFonts w:ascii="Arial"/>
                <w:sz w:val="21"/>
              </w:rPr>
            </w:pPr>
          </w:p>
        </w:tc>
        <w:tc>
          <w:tcPr>
            <w:tcW w:w="2077" w:type="dxa"/>
            <w:vAlign w:val="top"/>
          </w:tcPr>
          <w:p w14:paraId="112CD779">
            <w:pPr>
              <w:rPr>
                <w:rFonts w:ascii="Arial"/>
                <w:sz w:val="21"/>
              </w:rPr>
            </w:pPr>
          </w:p>
        </w:tc>
        <w:tc>
          <w:tcPr>
            <w:tcW w:w="2082" w:type="dxa"/>
            <w:vAlign w:val="top"/>
          </w:tcPr>
          <w:p w14:paraId="6D1CF698">
            <w:pPr>
              <w:rPr>
                <w:rFonts w:ascii="Arial"/>
                <w:sz w:val="21"/>
              </w:rPr>
            </w:pPr>
          </w:p>
        </w:tc>
      </w:tr>
      <w:tr w14:paraId="0A6EF3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2262" w:type="dxa"/>
            <w:vAlign w:val="top"/>
          </w:tcPr>
          <w:p w14:paraId="15135505">
            <w:pPr>
              <w:rPr>
                <w:rFonts w:ascii="Arial"/>
                <w:sz w:val="21"/>
              </w:rPr>
            </w:pPr>
          </w:p>
        </w:tc>
        <w:tc>
          <w:tcPr>
            <w:tcW w:w="2078" w:type="dxa"/>
            <w:vAlign w:val="top"/>
          </w:tcPr>
          <w:p w14:paraId="684DBE9C">
            <w:pPr>
              <w:rPr>
                <w:rFonts w:ascii="Arial"/>
                <w:sz w:val="21"/>
              </w:rPr>
            </w:pPr>
          </w:p>
        </w:tc>
        <w:tc>
          <w:tcPr>
            <w:tcW w:w="2077" w:type="dxa"/>
            <w:vAlign w:val="top"/>
          </w:tcPr>
          <w:p w14:paraId="243DD702">
            <w:pPr>
              <w:rPr>
                <w:rFonts w:ascii="Arial"/>
                <w:sz w:val="21"/>
              </w:rPr>
            </w:pPr>
          </w:p>
        </w:tc>
        <w:tc>
          <w:tcPr>
            <w:tcW w:w="2082" w:type="dxa"/>
            <w:vAlign w:val="top"/>
          </w:tcPr>
          <w:p w14:paraId="3B20E14B">
            <w:pPr>
              <w:rPr>
                <w:rFonts w:ascii="Arial"/>
                <w:sz w:val="21"/>
              </w:rPr>
            </w:pPr>
          </w:p>
        </w:tc>
      </w:tr>
      <w:tr w14:paraId="414E1B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9" w:hRule="atLeast"/>
        </w:trPr>
        <w:tc>
          <w:tcPr>
            <w:tcW w:w="2262" w:type="dxa"/>
            <w:vAlign w:val="top"/>
          </w:tcPr>
          <w:p w14:paraId="501FD590">
            <w:pPr>
              <w:rPr>
                <w:rFonts w:ascii="Arial"/>
                <w:sz w:val="21"/>
              </w:rPr>
            </w:pPr>
          </w:p>
        </w:tc>
        <w:tc>
          <w:tcPr>
            <w:tcW w:w="2078" w:type="dxa"/>
            <w:vAlign w:val="top"/>
          </w:tcPr>
          <w:p w14:paraId="156E205D">
            <w:pPr>
              <w:rPr>
                <w:rFonts w:ascii="Arial"/>
                <w:sz w:val="21"/>
              </w:rPr>
            </w:pPr>
          </w:p>
        </w:tc>
        <w:tc>
          <w:tcPr>
            <w:tcW w:w="2077" w:type="dxa"/>
            <w:vAlign w:val="top"/>
          </w:tcPr>
          <w:p w14:paraId="48670862">
            <w:pPr>
              <w:rPr>
                <w:rFonts w:ascii="Arial"/>
                <w:sz w:val="21"/>
              </w:rPr>
            </w:pPr>
          </w:p>
        </w:tc>
        <w:tc>
          <w:tcPr>
            <w:tcW w:w="2082" w:type="dxa"/>
            <w:vAlign w:val="top"/>
          </w:tcPr>
          <w:p w14:paraId="382ECEF2">
            <w:pPr>
              <w:rPr>
                <w:rFonts w:ascii="Arial"/>
                <w:sz w:val="21"/>
              </w:rPr>
            </w:pPr>
          </w:p>
        </w:tc>
      </w:tr>
      <w:tr w14:paraId="3EC080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2262" w:type="dxa"/>
            <w:vAlign w:val="top"/>
          </w:tcPr>
          <w:p w14:paraId="00A4BC0E">
            <w:pPr>
              <w:rPr>
                <w:rFonts w:ascii="Arial"/>
                <w:sz w:val="21"/>
              </w:rPr>
            </w:pPr>
          </w:p>
        </w:tc>
        <w:tc>
          <w:tcPr>
            <w:tcW w:w="2078" w:type="dxa"/>
            <w:vAlign w:val="top"/>
          </w:tcPr>
          <w:p w14:paraId="64680DDC">
            <w:pPr>
              <w:rPr>
                <w:rFonts w:ascii="Arial"/>
                <w:sz w:val="21"/>
              </w:rPr>
            </w:pPr>
          </w:p>
        </w:tc>
        <w:tc>
          <w:tcPr>
            <w:tcW w:w="2077" w:type="dxa"/>
            <w:vAlign w:val="top"/>
          </w:tcPr>
          <w:p w14:paraId="610FA823">
            <w:pPr>
              <w:rPr>
                <w:rFonts w:ascii="Arial"/>
                <w:sz w:val="21"/>
              </w:rPr>
            </w:pPr>
          </w:p>
        </w:tc>
        <w:tc>
          <w:tcPr>
            <w:tcW w:w="2082" w:type="dxa"/>
            <w:vAlign w:val="top"/>
          </w:tcPr>
          <w:p w14:paraId="78377AE2">
            <w:pPr>
              <w:rPr>
                <w:rFonts w:ascii="Arial"/>
                <w:sz w:val="21"/>
              </w:rPr>
            </w:pPr>
          </w:p>
        </w:tc>
      </w:tr>
      <w:tr w14:paraId="2C984B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2262" w:type="dxa"/>
            <w:vAlign w:val="top"/>
          </w:tcPr>
          <w:p w14:paraId="4400D96D">
            <w:pPr>
              <w:rPr>
                <w:rFonts w:ascii="Arial"/>
                <w:sz w:val="21"/>
              </w:rPr>
            </w:pPr>
          </w:p>
        </w:tc>
        <w:tc>
          <w:tcPr>
            <w:tcW w:w="2078" w:type="dxa"/>
            <w:vAlign w:val="top"/>
          </w:tcPr>
          <w:p w14:paraId="0D0508F7">
            <w:pPr>
              <w:rPr>
                <w:rFonts w:ascii="Arial"/>
                <w:sz w:val="21"/>
              </w:rPr>
            </w:pPr>
          </w:p>
        </w:tc>
        <w:tc>
          <w:tcPr>
            <w:tcW w:w="2077" w:type="dxa"/>
            <w:vAlign w:val="top"/>
          </w:tcPr>
          <w:p w14:paraId="7FEB50F4">
            <w:pPr>
              <w:rPr>
                <w:rFonts w:ascii="Arial"/>
                <w:sz w:val="21"/>
              </w:rPr>
            </w:pPr>
          </w:p>
        </w:tc>
        <w:tc>
          <w:tcPr>
            <w:tcW w:w="2082" w:type="dxa"/>
            <w:vAlign w:val="top"/>
          </w:tcPr>
          <w:p w14:paraId="444DE13A">
            <w:pPr>
              <w:rPr>
                <w:rFonts w:ascii="Arial"/>
                <w:sz w:val="21"/>
              </w:rPr>
            </w:pPr>
          </w:p>
        </w:tc>
      </w:tr>
      <w:tr w14:paraId="364FB1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trPr>
        <w:tc>
          <w:tcPr>
            <w:tcW w:w="2262" w:type="dxa"/>
            <w:vAlign w:val="top"/>
          </w:tcPr>
          <w:p w14:paraId="62128702">
            <w:pPr>
              <w:rPr>
                <w:rFonts w:ascii="Arial"/>
                <w:sz w:val="21"/>
              </w:rPr>
            </w:pPr>
          </w:p>
        </w:tc>
        <w:tc>
          <w:tcPr>
            <w:tcW w:w="2078" w:type="dxa"/>
            <w:vAlign w:val="top"/>
          </w:tcPr>
          <w:p w14:paraId="700DC924">
            <w:pPr>
              <w:rPr>
                <w:rFonts w:ascii="Arial"/>
                <w:sz w:val="21"/>
              </w:rPr>
            </w:pPr>
          </w:p>
        </w:tc>
        <w:tc>
          <w:tcPr>
            <w:tcW w:w="2077" w:type="dxa"/>
            <w:vAlign w:val="top"/>
          </w:tcPr>
          <w:p w14:paraId="505868A7">
            <w:pPr>
              <w:rPr>
                <w:rFonts w:ascii="Arial"/>
                <w:sz w:val="21"/>
              </w:rPr>
            </w:pPr>
          </w:p>
        </w:tc>
        <w:tc>
          <w:tcPr>
            <w:tcW w:w="2082" w:type="dxa"/>
            <w:vAlign w:val="top"/>
          </w:tcPr>
          <w:p w14:paraId="40135167">
            <w:pPr>
              <w:rPr>
                <w:rFonts w:ascii="Arial"/>
                <w:sz w:val="21"/>
              </w:rPr>
            </w:pPr>
          </w:p>
        </w:tc>
      </w:tr>
      <w:tr w14:paraId="7E8E9A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2262" w:type="dxa"/>
            <w:vAlign w:val="top"/>
          </w:tcPr>
          <w:p w14:paraId="18C3C550">
            <w:pPr>
              <w:rPr>
                <w:rFonts w:ascii="Arial"/>
                <w:sz w:val="21"/>
              </w:rPr>
            </w:pPr>
          </w:p>
        </w:tc>
        <w:tc>
          <w:tcPr>
            <w:tcW w:w="2078" w:type="dxa"/>
            <w:vAlign w:val="top"/>
          </w:tcPr>
          <w:p w14:paraId="60201FC1">
            <w:pPr>
              <w:rPr>
                <w:rFonts w:ascii="Arial"/>
                <w:sz w:val="21"/>
              </w:rPr>
            </w:pPr>
          </w:p>
        </w:tc>
        <w:tc>
          <w:tcPr>
            <w:tcW w:w="2077" w:type="dxa"/>
            <w:vAlign w:val="top"/>
          </w:tcPr>
          <w:p w14:paraId="59317FAE">
            <w:pPr>
              <w:rPr>
                <w:rFonts w:ascii="Arial"/>
                <w:sz w:val="21"/>
              </w:rPr>
            </w:pPr>
          </w:p>
        </w:tc>
        <w:tc>
          <w:tcPr>
            <w:tcW w:w="2082" w:type="dxa"/>
            <w:vAlign w:val="top"/>
          </w:tcPr>
          <w:p w14:paraId="1561ABAD">
            <w:pPr>
              <w:rPr>
                <w:rFonts w:ascii="Arial"/>
                <w:sz w:val="21"/>
              </w:rPr>
            </w:pPr>
          </w:p>
        </w:tc>
      </w:tr>
      <w:tr w14:paraId="0006D1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2262" w:type="dxa"/>
            <w:vAlign w:val="top"/>
          </w:tcPr>
          <w:p w14:paraId="3A879D9A">
            <w:pPr>
              <w:rPr>
                <w:rFonts w:ascii="Arial"/>
                <w:sz w:val="21"/>
              </w:rPr>
            </w:pPr>
          </w:p>
        </w:tc>
        <w:tc>
          <w:tcPr>
            <w:tcW w:w="2078" w:type="dxa"/>
            <w:vAlign w:val="top"/>
          </w:tcPr>
          <w:p w14:paraId="1BC00A21">
            <w:pPr>
              <w:rPr>
                <w:rFonts w:ascii="Arial"/>
                <w:sz w:val="21"/>
              </w:rPr>
            </w:pPr>
          </w:p>
        </w:tc>
        <w:tc>
          <w:tcPr>
            <w:tcW w:w="2077" w:type="dxa"/>
            <w:vAlign w:val="top"/>
          </w:tcPr>
          <w:p w14:paraId="026CFCC4">
            <w:pPr>
              <w:rPr>
                <w:rFonts w:ascii="Arial"/>
                <w:sz w:val="21"/>
              </w:rPr>
            </w:pPr>
          </w:p>
        </w:tc>
        <w:tc>
          <w:tcPr>
            <w:tcW w:w="2082" w:type="dxa"/>
            <w:vAlign w:val="top"/>
          </w:tcPr>
          <w:p w14:paraId="429F72D4">
            <w:pPr>
              <w:rPr>
                <w:rFonts w:ascii="Arial"/>
                <w:sz w:val="21"/>
              </w:rPr>
            </w:pPr>
          </w:p>
        </w:tc>
      </w:tr>
      <w:tr w14:paraId="595DE4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trPr>
        <w:tc>
          <w:tcPr>
            <w:tcW w:w="2262" w:type="dxa"/>
            <w:vAlign w:val="top"/>
          </w:tcPr>
          <w:p w14:paraId="1859AB50">
            <w:pPr>
              <w:rPr>
                <w:rFonts w:ascii="Arial"/>
                <w:sz w:val="21"/>
              </w:rPr>
            </w:pPr>
          </w:p>
        </w:tc>
        <w:tc>
          <w:tcPr>
            <w:tcW w:w="2078" w:type="dxa"/>
            <w:vAlign w:val="top"/>
          </w:tcPr>
          <w:p w14:paraId="35D7B200">
            <w:pPr>
              <w:rPr>
                <w:rFonts w:ascii="Arial"/>
                <w:sz w:val="21"/>
              </w:rPr>
            </w:pPr>
          </w:p>
        </w:tc>
        <w:tc>
          <w:tcPr>
            <w:tcW w:w="2077" w:type="dxa"/>
            <w:vAlign w:val="top"/>
          </w:tcPr>
          <w:p w14:paraId="483D9109">
            <w:pPr>
              <w:rPr>
                <w:rFonts w:ascii="Arial"/>
                <w:sz w:val="21"/>
              </w:rPr>
            </w:pPr>
          </w:p>
        </w:tc>
        <w:tc>
          <w:tcPr>
            <w:tcW w:w="2082" w:type="dxa"/>
            <w:vAlign w:val="top"/>
          </w:tcPr>
          <w:p w14:paraId="7653CE0B">
            <w:pPr>
              <w:rPr>
                <w:rFonts w:ascii="Arial"/>
                <w:sz w:val="21"/>
              </w:rPr>
            </w:pPr>
          </w:p>
        </w:tc>
      </w:tr>
      <w:tr w14:paraId="68E0CF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9" w:hRule="atLeast"/>
        </w:trPr>
        <w:tc>
          <w:tcPr>
            <w:tcW w:w="2262" w:type="dxa"/>
            <w:vAlign w:val="top"/>
          </w:tcPr>
          <w:p w14:paraId="4864FB65">
            <w:pPr>
              <w:rPr>
                <w:rFonts w:ascii="Arial"/>
                <w:sz w:val="21"/>
              </w:rPr>
            </w:pPr>
          </w:p>
        </w:tc>
        <w:tc>
          <w:tcPr>
            <w:tcW w:w="2078" w:type="dxa"/>
            <w:vAlign w:val="top"/>
          </w:tcPr>
          <w:p w14:paraId="6F2DA7B4">
            <w:pPr>
              <w:rPr>
                <w:rFonts w:ascii="Arial"/>
                <w:sz w:val="21"/>
              </w:rPr>
            </w:pPr>
          </w:p>
        </w:tc>
        <w:tc>
          <w:tcPr>
            <w:tcW w:w="2077" w:type="dxa"/>
            <w:vAlign w:val="top"/>
          </w:tcPr>
          <w:p w14:paraId="2D3A3F95">
            <w:pPr>
              <w:rPr>
                <w:rFonts w:ascii="Arial"/>
                <w:sz w:val="21"/>
              </w:rPr>
            </w:pPr>
          </w:p>
        </w:tc>
        <w:tc>
          <w:tcPr>
            <w:tcW w:w="2082" w:type="dxa"/>
            <w:vAlign w:val="top"/>
          </w:tcPr>
          <w:p w14:paraId="247E6E8B">
            <w:pPr>
              <w:rPr>
                <w:rFonts w:ascii="Arial"/>
                <w:sz w:val="21"/>
              </w:rPr>
            </w:pPr>
          </w:p>
        </w:tc>
      </w:tr>
      <w:tr w14:paraId="64E48F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trPr>
        <w:tc>
          <w:tcPr>
            <w:tcW w:w="2262" w:type="dxa"/>
            <w:vAlign w:val="top"/>
          </w:tcPr>
          <w:p w14:paraId="60B3E75C">
            <w:pPr>
              <w:rPr>
                <w:rFonts w:ascii="Arial"/>
                <w:sz w:val="21"/>
              </w:rPr>
            </w:pPr>
          </w:p>
        </w:tc>
        <w:tc>
          <w:tcPr>
            <w:tcW w:w="2078" w:type="dxa"/>
            <w:vAlign w:val="top"/>
          </w:tcPr>
          <w:p w14:paraId="17835EBA">
            <w:pPr>
              <w:rPr>
                <w:rFonts w:ascii="Arial"/>
                <w:sz w:val="21"/>
              </w:rPr>
            </w:pPr>
          </w:p>
        </w:tc>
        <w:tc>
          <w:tcPr>
            <w:tcW w:w="2077" w:type="dxa"/>
            <w:vAlign w:val="top"/>
          </w:tcPr>
          <w:p w14:paraId="70F311C7">
            <w:pPr>
              <w:rPr>
                <w:rFonts w:ascii="Arial"/>
                <w:sz w:val="21"/>
              </w:rPr>
            </w:pPr>
          </w:p>
        </w:tc>
        <w:tc>
          <w:tcPr>
            <w:tcW w:w="2082" w:type="dxa"/>
            <w:vAlign w:val="top"/>
          </w:tcPr>
          <w:p w14:paraId="0898CECD">
            <w:pPr>
              <w:rPr>
                <w:rFonts w:ascii="Arial"/>
                <w:sz w:val="21"/>
              </w:rPr>
            </w:pPr>
          </w:p>
        </w:tc>
      </w:tr>
      <w:tr w14:paraId="54AC44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9" w:hRule="atLeast"/>
        </w:trPr>
        <w:tc>
          <w:tcPr>
            <w:tcW w:w="2262" w:type="dxa"/>
            <w:vAlign w:val="top"/>
          </w:tcPr>
          <w:p w14:paraId="47AEF6BC">
            <w:pPr>
              <w:rPr>
                <w:rFonts w:ascii="Arial"/>
                <w:sz w:val="21"/>
              </w:rPr>
            </w:pPr>
          </w:p>
        </w:tc>
        <w:tc>
          <w:tcPr>
            <w:tcW w:w="2078" w:type="dxa"/>
            <w:vAlign w:val="top"/>
          </w:tcPr>
          <w:p w14:paraId="752EE598">
            <w:pPr>
              <w:rPr>
                <w:rFonts w:ascii="Arial"/>
                <w:sz w:val="21"/>
              </w:rPr>
            </w:pPr>
          </w:p>
        </w:tc>
        <w:tc>
          <w:tcPr>
            <w:tcW w:w="2077" w:type="dxa"/>
            <w:vAlign w:val="top"/>
          </w:tcPr>
          <w:p w14:paraId="2ADD3958">
            <w:pPr>
              <w:rPr>
                <w:rFonts w:ascii="Arial"/>
                <w:sz w:val="21"/>
              </w:rPr>
            </w:pPr>
          </w:p>
        </w:tc>
        <w:tc>
          <w:tcPr>
            <w:tcW w:w="2082" w:type="dxa"/>
            <w:vAlign w:val="top"/>
          </w:tcPr>
          <w:p w14:paraId="532872E7">
            <w:pPr>
              <w:rPr>
                <w:rFonts w:ascii="Arial"/>
                <w:sz w:val="21"/>
              </w:rPr>
            </w:pPr>
          </w:p>
        </w:tc>
      </w:tr>
      <w:tr w14:paraId="65A713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2262" w:type="dxa"/>
            <w:vAlign w:val="top"/>
          </w:tcPr>
          <w:p w14:paraId="38ACFB15">
            <w:pPr>
              <w:rPr>
                <w:rFonts w:ascii="Arial"/>
                <w:sz w:val="21"/>
              </w:rPr>
            </w:pPr>
          </w:p>
        </w:tc>
        <w:tc>
          <w:tcPr>
            <w:tcW w:w="2078" w:type="dxa"/>
            <w:vAlign w:val="top"/>
          </w:tcPr>
          <w:p w14:paraId="3BE8BC25">
            <w:pPr>
              <w:rPr>
                <w:rFonts w:ascii="Arial"/>
                <w:sz w:val="21"/>
              </w:rPr>
            </w:pPr>
          </w:p>
        </w:tc>
        <w:tc>
          <w:tcPr>
            <w:tcW w:w="2077" w:type="dxa"/>
            <w:vAlign w:val="top"/>
          </w:tcPr>
          <w:p w14:paraId="3FE00EB3">
            <w:pPr>
              <w:rPr>
                <w:rFonts w:ascii="Arial"/>
                <w:sz w:val="21"/>
              </w:rPr>
            </w:pPr>
          </w:p>
        </w:tc>
        <w:tc>
          <w:tcPr>
            <w:tcW w:w="2082" w:type="dxa"/>
            <w:vAlign w:val="top"/>
          </w:tcPr>
          <w:p w14:paraId="6BA0F3A0">
            <w:pPr>
              <w:rPr>
                <w:rFonts w:ascii="Arial"/>
                <w:sz w:val="21"/>
              </w:rPr>
            </w:pPr>
          </w:p>
        </w:tc>
      </w:tr>
      <w:tr w14:paraId="75796D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2262" w:type="dxa"/>
            <w:vAlign w:val="top"/>
          </w:tcPr>
          <w:p w14:paraId="0FF0967C">
            <w:pPr>
              <w:rPr>
                <w:rFonts w:ascii="Arial"/>
                <w:sz w:val="21"/>
              </w:rPr>
            </w:pPr>
          </w:p>
        </w:tc>
        <w:tc>
          <w:tcPr>
            <w:tcW w:w="2078" w:type="dxa"/>
            <w:vAlign w:val="top"/>
          </w:tcPr>
          <w:p w14:paraId="5F94E77D">
            <w:pPr>
              <w:rPr>
                <w:rFonts w:ascii="Arial"/>
                <w:sz w:val="21"/>
              </w:rPr>
            </w:pPr>
          </w:p>
        </w:tc>
        <w:tc>
          <w:tcPr>
            <w:tcW w:w="2077" w:type="dxa"/>
            <w:vAlign w:val="top"/>
          </w:tcPr>
          <w:p w14:paraId="1EEA45AD">
            <w:pPr>
              <w:rPr>
                <w:rFonts w:ascii="Arial"/>
                <w:sz w:val="21"/>
              </w:rPr>
            </w:pPr>
          </w:p>
        </w:tc>
        <w:tc>
          <w:tcPr>
            <w:tcW w:w="2082" w:type="dxa"/>
            <w:vAlign w:val="top"/>
          </w:tcPr>
          <w:p w14:paraId="22D2E120">
            <w:pPr>
              <w:rPr>
                <w:rFonts w:ascii="Arial"/>
                <w:sz w:val="21"/>
              </w:rPr>
            </w:pPr>
          </w:p>
        </w:tc>
      </w:tr>
      <w:tr w14:paraId="501617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trPr>
        <w:tc>
          <w:tcPr>
            <w:tcW w:w="2262" w:type="dxa"/>
            <w:vAlign w:val="top"/>
          </w:tcPr>
          <w:p w14:paraId="28914095">
            <w:pPr>
              <w:rPr>
                <w:rFonts w:ascii="Arial"/>
                <w:sz w:val="21"/>
              </w:rPr>
            </w:pPr>
          </w:p>
        </w:tc>
        <w:tc>
          <w:tcPr>
            <w:tcW w:w="2078" w:type="dxa"/>
            <w:vAlign w:val="top"/>
          </w:tcPr>
          <w:p w14:paraId="47CCA987">
            <w:pPr>
              <w:rPr>
                <w:rFonts w:ascii="Arial"/>
                <w:sz w:val="21"/>
              </w:rPr>
            </w:pPr>
          </w:p>
        </w:tc>
        <w:tc>
          <w:tcPr>
            <w:tcW w:w="2077" w:type="dxa"/>
            <w:vAlign w:val="top"/>
          </w:tcPr>
          <w:p w14:paraId="0E473024">
            <w:pPr>
              <w:rPr>
                <w:rFonts w:ascii="Arial"/>
                <w:sz w:val="21"/>
              </w:rPr>
            </w:pPr>
          </w:p>
        </w:tc>
        <w:tc>
          <w:tcPr>
            <w:tcW w:w="2082" w:type="dxa"/>
            <w:vAlign w:val="top"/>
          </w:tcPr>
          <w:p w14:paraId="1374482B">
            <w:pPr>
              <w:rPr>
                <w:rFonts w:ascii="Arial"/>
                <w:sz w:val="21"/>
              </w:rPr>
            </w:pPr>
          </w:p>
        </w:tc>
      </w:tr>
      <w:tr w14:paraId="68AA4E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trPr>
        <w:tc>
          <w:tcPr>
            <w:tcW w:w="2262" w:type="dxa"/>
            <w:vAlign w:val="top"/>
          </w:tcPr>
          <w:p w14:paraId="48DF3BDE">
            <w:pPr>
              <w:rPr>
                <w:rFonts w:ascii="Arial"/>
                <w:sz w:val="21"/>
              </w:rPr>
            </w:pPr>
          </w:p>
        </w:tc>
        <w:tc>
          <w:tcPr>
            <w:tcW w:w="2078" w:type="dxa"/>
            <w:vAlign w:val="top"/>
          </w:tcPr>
          <w:p w14:paraId="52BDAD37">
            <w:pPr>
              <w:rPr>
                <w:rFonts w:ascii="Arial"/>
                <w:sz w:val="21"/>
              </w:rPr>
            </w:pPr>
          </w:p>
        </w:tc>
        <w:tc>
          <w:tcPr>
            <w:tcW w:w="2077" w:type="dxa"/>
            <w:vAlign w:val="top"/>
          </w:tcPr>
          <w:p w14:paraId="05D26BA8">
            <w:pPr>
              <w:rPr>
                <w:rFonts w:ascii="Arial"/>
                <w:sz w:val="21"/>
              </w:rPr>
            </w:pPr>
          </w:p>
        </w:tc>
        <w:tc>
          <w:tcPr>
            <w:tcW w:w="2082" w:type="dxa"/>
            <w:vAlign w:val="top"/>
          </w:tcPr>
          <w:p w14:paraId="59501834">
            <w:pPr>
              <w:rPr>
                <w:rFonts w:ascii="Arial"/>
                <w:sz w:val="21"/>
              </w:rPr>
            </w:pPr>
          </w:p>
        </w:tc>
      </w:tr>
      <w:tr w14:paraId="444F1F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9" w:hRule="atLeast"/>
        </w:trPr>
        <w:tc>
          <w:tcPr>
            <w:tcW w:w="2262" w:type="dxa"/>
            <w:vAlign w:val="top"/>
          </w:tcPr>
          <w:p w14:paraId="239F09D5">
            <w:pPr>
              <w:rPr>
                <w:rFonts w:ascii="Arial"/>
                <w:sz w:val="21"/>
              </w:rPr>
            </w:pPr>
          </w:p>
        </w:tc>
        <w:tc>
          <w:tcPr>
            <w:tcW w:w="2078" w:type="dxa"/>
            <w:vAlign w:val="top"/>
          </w:tcPr>
          <w:p w14:paraId="32429EDE">
            <w:pPr>
              <w:rPr>
                <w:rFonts w:ascii="Arial"/>
                <w:sz w:val="21"/>
              </w:rPr>
            </w:pPr>
          </w:p>
        </w:tc>
        <w:tc>
          <w:tcPr>
            <w:tcW w:w="2077" w:type="dxa"/>
            <w:vAlign w:val="top"/>
          </w:tcPr>
          <w:p w14:paraId="31B8ABB5">
            <w:pPr>
              <w:rPr>
                <w:rFonts w:ascii="Arial"/>
                <w:sz w:val="21"/>
              </w:rPr>
            </w:pPr>
          </w:p>
        </w:tc>
        <w:tc>
          <w:tcPr>
            <w:tcW w:w="2082" w:type="dxa"/>
            <w:vAlign w:val="top"/>
          </w:tcPr>
          <w:p w14:paraId="63A83EE9">
            <w:pPr>
              <w:rPr>
                <w:rFonts w:ascii="Arial"/>
                <w:sz w:val="21"/>
              </w:rPr>
            </w:pPr>
          </w:p>
        </w:tc>
      </w:tr>
      <w:tr w14:paraId="0B09CA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2262" w:type="dxa"/>
            <w:vAlign w:val="top"/>
          </w:tcPr>
          <w:p w14:paraId="0D25445A">
            <w:pPr>
              <w:rPr>
                <w:rFonts w:ascii="Arial"/>
                <w:sz w:val="21"/>
              </w:rPr>
            </w:pPr>
          </w:p>
        </w:tc>
        <w:tc>
          <w:tcPr>
            <w:tcW w:w="2078" w:type="dxa"/>
            <w:vAlign w:val="top"/>
          </w:tcPr>
          <w:p w14:paraId="3925606A">
            <w:pPr>
              <w:rPr>
                <w:rFonts w:ascii="Arial"/>
                <w:sz w:val="21"/>
              </w:rPr>
            </w:pPr>
          </w:p>
        </w:tc>
        <w:tc>
          <w:tcPr>
            <w:tcW w:w="2077" w:type="dxa"/>
            <w:vAlign w:val="top"/>
          </w:tcPr>
          <w:p w14:paraId="634791B2">
            <w:pPr>
              <w:rPr>
                <w:rFonts w:ascii="Arial"/>
                <w:sz w:val="21"/>
              </w:rPr>
            </w:pPr>
          </w:p>
        </w:tc>
        <w:tc>
          <w:tcPr>
            <w:tcW w:w="2082" w:type="dxa"/>
            <w:vAlign w:val="top"/>
          </w:tcPr>
          <w:p w14:paraId="0BFEC849">
            <w:pPr>
              <w:rPr>
                <w:rFonts w:ascii="Arial"/>
                <w:sz w:val="21"/>
              </w:rPr>
            </w:pPr>
          </w:p>
        </w:tc>
      </w:tr>
      <w:tr w14:paraId="1CDEC0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trPr>
        <w:tc>
          <w:tcPr>
            <w:tcW w:w="2262" w:type="dxa"/>
            <w:vAlign w:val="top"/>
          </w:tcPr>
          <w:p w14:paraId="56F0E079">
            <w:pPr>
              <w:rPr>
                <w:rFonts w:ascii="Arial"/>
                <w:sz w:val="21"/>
              </w:rPr>
            </w:pPr>
          </w:p>
        </w:tc>
        <w:tc>
          <w:tcPr>
            <w:tcW w:w="2078" w:type="dxa"/>
            <w:vAlign w:val="top"/>
          </w:tcPr>
          <w:p w14:paraId="363DF154">
            <w:pPr>
              <w:rPr>
                <w:rFonts w:ascii="Arial"/>
                <w:sz w:val="21"/>
              </w:rPr>
            </w:pPr>
          </w:p>
        </w:tc>
        <w:tc>
          <w:tcPr>
            <w:tcW w:w="2077" w:type="dxa"/>
            <w:vAlign w:val="top"/>
          </w:tcPr>
          <w:p w14:paraId="5B725EF3">
            <w:pPr>
              <w:rPr>
                <w:rFonts w:ascii="Arial"/>
                <w:sz w:val="21"/>
              </w:rPr>
            </w:pPr>
          </w:p>
        </w:tc>
        <w:tc>
          <w:tcPr>
            <w:tcW w:w="2082" w:type="dxa"/>
            <w:vAlign w:val="top"/>
          </w:tcPr>
          <w:p w14:paraId="2EC08E48">
            <w:pPr>
              <w:rPr>
                <w:rFonts w:ascii="Arial"/>
                <w:sz w:val="21"/>
              </w:rPr>
            </w:pPr>
          </w:p>
        </w:tc>
      </w:tr>
      <w:tr w14:paraId="59B988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2262" w:type="dxa"/>
            <w:vAlign w:val="top"/>
          </w:tcPr>
          <w:p w14:paraId="69FD7CAA">
            <w:pPr>
              <w:rPr>
                <w:rFonts w:ascii="Arial"/>
                <w:sz w:val="21"/>
              </w:rPr>
            </w:pPr>
          </w:p>
        </w:tc>
        <w:tc>
          <w:tcPr>
            <w:tcW w:w="2078" w:type="dxa"/>
            <w:vAlign w:val="top"/>
          </w:tcPr>
          <w:p w14:paraId="6BCE2990">
            <w:pPr>
              <w:rPr>
                <w:rFonts w:ascii="Arial"/>
                <w:sz w:val="21"/>
              </w:rPr>
            </w:pPr>
          </w:p>
        </w:tc>
        <w:tc>
          <w:tcPr>
            <w:tcW w:w="2077" w:type="dxa"/>
            <w:vAlign w:val="top"/>
          </w:tcPr>
          <w:p w14:paraId="643E1CFD">
            <w:pPr>
              <w:rPr>
                <w:rFonts w:ascii="Arial"/>
                <w:sz w:val="21"/>
              </w:rPr>
            </w:pPr>
          </w:p>
        </w:tc>
        <w:tc>
          <w:tcPr>
            <w:tcW w:w="2082" w:type="dxa"/>
            <w:vAlign w:val="top"/>
          </w:tcPr>
          <w:p w14:paraId="4F42880D">
            <w:pPr>
              <w:rPr>
                <w:rFonts w:ascii="Arial"/>
                <w:sz w:val="21"/>
              </w:rPr>
            </w:pPr>
          </w:p>
        </w:tc>
      </w:tr>
      <w:tr w14:paraId="0A3403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2262" w:type="dxa"/>
            <w:vAlign w:val="top"/>
          </w:tcPr>
          <w:p w14:paraId="2CA15FA8">
            <w:pPr>
              <w:rPr>
                <w:rFonts w:ascii="Arial"/>
                <w:sz w:val="21"/>
              </w:rPr>
            </w:pPr>
          </w:p>
        </w:tc>
        <w:tc>
          <w:tcPr>
            <w:tcW w:w="2078" w:type="dxa"/>
            <w:vAlign w:val="top"/>
          </w:tcPr>
          <w:p w14:paraId="0010ECAF">
            <w:pPr>
              <w:rPr>
                <w:rFonts w:ascii="Arial"/>
                <w:sz w:val="21"/>
              </w:rPr>
            </w:pPr>
          </w:p>
        </w:tc>
        <w:tc>
          <w:tcPr>
            <w:tcW w:w="2077" w:type="dxa"/>
            <w:vAlign w:val="top"/>
          </w:tcPr>
          <w:p w14:paraId="3CD77638">
            <w:pPr>
              <w:rPr>
                <w:rFonts w:ascii="Arial"/>
                <w:sz w:val="21"/>
              </w:rPr>
            </w:pPr>
          </w:p>
        </w:tc>
        <w:tc>
          <w:tcPr>
            <w:tcW w:w="2082" w:type="dxa"/>
            <w:vAlign w:val="top"/>
          </w:tcPr>
          <w:p w14:paraId="4B90AF34">
            <w:pPr>
              <w:rPr>
                <w:rFonts w:ascii="Arial"/>
                <w:sz w:val="21"/>
              </w:rPr>
            </w:pPr>
          </w:p>
        </w:tc>
      </w:tr>
      <w:tr w14:paraId="4F28D7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2262" w:type="dxa"/>
            <w:vAlign w:val="top"/>
          </w:tcPr>
          <w:p w14:paraId="0D056A62">
            <w:pPr>
              <w:rPr>
                <w:rFonts w:ascii="Arial"/>
                <w:sz w:val="21"/>
              </w:rPr>
            </w:pPr>
          </w:p>
        </w:tc>
        <w:tc>
          <w:tcPr>
            <w:tcW w:w="2078" w:type="dxa"/>
            <w:vAlign w:val="top"/>
          </w:tcPr>
          <w:p w14:paraId="771CA5ED">
            <w:pPr>
              <w:rPr>
                <w:rFonts w:ascii="Arial"/>
                <w:sz w:val="21"/>
              </w:rPr>
            </w:pPr>
          </w:p>
        </w:tc>
        <w:tc>
          <w:tcPr>
            <w:tcW w:w="2077" w:type="dxa"/>
            <w:vAlign w:val="top"/>
          </w:tcPr>
          <w:p w14:paraId="68295F0D">
            <w:pPr>
              <w:rPr>
                <w:rFonts w:ascii="Arial"/>
                <w:sz w:val="21"/>
              </w:rPr>
            </w:pPr>
          </w:p>
        </w:tc>
        <w:tc>
          <w:tcPr>
            <w:tcW w:w="2082" w:type="dxa"/>
            <w:vAlign w:val="top"/>
          </w:tcPr>
          <w:p w14:paraId="5D591C52">
            <w:pPr>
              <w:rPr>
                <w:rFonts w:ascii="Arial"/>
                <w:sz w:val="21"/>
              </w:rPr>
            </w:pPr>
          </w:p>
        </w:tc>
      </w:tr>
    </w:tbl>
    <w:p w14:paraId="05F38292">
      <w:pPr>
        <w:rPr>
          <w:rFonts w:ascii="Arial"/>
          <w:sz w:val="21"/>
        </w:rPr>
      </w:pPr>
    </w:p>
    <w:p w14:paraId="37E0AD19">
      <w:pPr>
        <w:rPr>
          <w:rFonts w:ascii="Arial" w:hAnsi="Arial" w:eastAsia="Arial" w:cs="Arial"/>
          <w:sz w:val="21"/>
          <w:szCs w:val="21"/>
        </w:rPr>
        <w:sectPr>
          <w:footerReference r:id="rId406" w:type="default"/>
          <w:pgSz w:w="11910" w:h="16840"/>
          <w:pgMar w:top="400" w:right="1786" w:bottom="1147" w:left="1445" w:header="0" w:footer="1021" w:gutter="0"/>
          <w:cols w:space="720" w:num="1"/>
        </w:sectPr>
      </w:pPr>
    </w:p>
    <w:p w14:paraId="0DD8D5F4">
      <w:pPr>
        <w:rPr>
          <w:rFonts w:ascii="Arial"/>
          <w:sz w:val="21"/>
        </w:rPr>
      </w:pPr>
    </w:p>
    <w:sectPr>
      <w:footerReference r:id="rId407" w:type="default"/>
      <w:pgSz w:w="11910" w:h="16840"/>
      <w:pgMar w:top="1" w:right="1786" w:bottom="1147" w:left="1786" w:header="0" w:footer="1021"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S Gothic">
    <w:panose1 w:val="020B0609070205080204"/>
    <w:charset w:val="86"/>
    <w:family w:val="auto"/>
    <w:pitch w:val="default"/>
    <w:sig w:usb0="E00002FF" w:usb1="6AC7FDFB" w:usb2="08000012" w:usb3="00000000" w:csb0="4002009F" w:csb1="DFD7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C6E961">
    <w:pPr>
      <w:spacing w:line="177" w:lineRule="auto"/>
      <w:ind w:left="4113"/>
      <w:rPr>
        <w:rFonts w:ascii="Times New Roman" w:hAnsi="Times New Roman" w:eastAsia="Times New Roman" w:cs="Times New Roman"/>
        <w:sz w:val="25"/>
        <w:szCs w:val="25"/>
      </w:rPr>
    </w:pPr>
    <w:r>
      <w:rPr>
        <w:rFonts w:ascii="Times New Roman" w:hAnsi="Times New Roman" w:eastAsia="Times New Roman" w:cs="Times New Roman"/>
        <w:sz w:val="25"/>
        <w:szCs w:val="25"/>
      </w:rPr>
      <w:t>I</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28F4CC">
    <w:pPr>
      <w:spacing w:line="175" w:lineRule="auto"/>
      <w:ind w:left="4053"/>
      <w:rPr>
        <w:rFonts w:ascii="Times New Roman" w:hAnsi="Times New Roman" w:eastAsia="Times New Roman" w:cs="Times New Roman"/>
        <w:sz w:val="21"/>
        <w:szCs w:val="21"/>
      </w:rPr>
    </w:pPr>
    <w:r>
      <w:rPr>
        <w:rFonts w:ascii="Times New Roman" w:hAnsi="Times New Roman" w:eastAsia="Times New Roman" w:cs="Times New Roman"/>
        <w:spacing w:val="-2"/>
        <w:sz w:val="21"/>
        <w:szCs w:val="21"/>
      </w:rPr>
      <w:t>II</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9E894D">
    <w:pPr>
      <w:spacing w:line="174" w:lineRule="auto"/>
      <w:ind w:left="4003"/>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III</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3DF3A3">
    <w:pPr>
      <w:spacing w:line="175" w:lineRule="auto"/>
      <w:ind w:left="4063"/>
      <w:rPr>
        <w:rFonts w:ascii="Times New Roman" w:hAnsi="Times New Roman" w:eastAsia="Times New Roman" w:cs="Times New Roman"/>
        <w:sz w:val="21"/>
        <w:szCs w:val="21"/>
      </w:rPr>
    </w:pPr>
    <w:r>
      <w:rPr>
        <w:rFonts w:ascii="Times New Roman" w:hAnsi="Times New Roman" w:eastAsia="Times New Roman" w:cs="Times New Roman"/>
        <w:spacing w:val="-1"/>
        <w:sz w:val="21"/>
        <w:szCs w:val="21"/>
      </w:rPr>
      <w:t>IV</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307BD1">
    <w:pPr>
      <w:spacing w:line="175" w:lineRule="auto"/>
      <w:ind w:left="4093"/>
      <w:rPr>
        <w:rFonts w:ascii="Times New Roman" w:hAnsi="Times New Roman" w:eastAsia="Times New Roman" w:cs="Times New Roman"/>
        <w:sz w:val="21"/>
        <w:szCs w:val="21"/>
      </w:rPr>
    </w:pPr>
    <w:r>
      <w:rPr>
        <w:rFonts w:ascii="Times New Roman" w:hAnsi="Times New Roman" w:eastAsia="Times New Roman" w:cs="Times New Roman"/>
        <w:sz w:val="21"/>
        <w:szCs w:val="21"/>
      </w:rPr>
      <w:t>V</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BF3402">
    <w:pPr>
      <w:spacing w:line="175" w:lineRule="auto"/>
      <w:ind w:left="4056"/>
      <w:rPr>
        <w:rFonts w:ascii="Times New Roman" w:hAnsi="Times New Roman" w:eastAsia="Times New Roman" w:cs="Times New Roman"/>
        <w:sz w:val="21"/>
        <w:szCs w:val="21"/>
      </w:rPr>
    </w:pPr>
    <w:r>
      <w:rPr>
        <w:rFonts w:ascii="Times New Roman" w:hAnsi="Times New Roman" w:eastAsia="Times New Roman" w:cs="Times New Roman"/>
        <w:spacing w:val="-1"/>
        <w:sz w:val="21"/>
        <w:szCs w:val="21"/>
      </w:rPr>
      <w:t>VI</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7AEAD8">
    <w:pPr>
      <w:spacing w:line="172" w:lineRule="auto"/>
      <w:ind w:left="4073"/>
      <w:rPr>
        <w:rFonts w:ascii="Times New Roman" w:hAnsi="Times New Roman" w:eastAsia="Times New Roman" w:cs="Times New Roman"/>
        <w:sz w:val="16"/>
        <w:szCs w:val="16"/>
      </w:rPr>
    </w:pPr>
    <w:r>
      <w:rPr>
        <w:rFonts w:ascii="Times New Roman" w:hAnsi="Times New Roman" w:eastAsia="Times New Roman" w:cs="Times New Roman"/>
        <w:sz w:val="16"/>
        <w:szCs w:val="16"/>
      </w:rPr>
      <w:t>7</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8EB68C">
    <w:pPr>
      <w:spacing w:line="174" w:lineRule="auto"/>
      <w:ind w:left="4349"/>
      <w:rPr>
        <w:rFonts w:ascii="Times New Roman" w:hAnsi="Times New Roman" w:eastAsia="Times New Roman" w:cs="Times New Roman"/>
        <w:sz w:val="15"/>
        <w:szCs w:val="15"/>
      </w:rPr>
    </w:pPr>
    <w:r>
      <w:rPr>
        <w:rFonts w:ascii="Times New Roman" w:hAnsi="Times New Roman" w:eastAsia="Times New Roman" w:cs="Times New Roman"/>
        <w:b/>
        <w:bCs/>
        <w:spacing w:val="-3"/>
        <w:sz w:val="15"/>
        <w:szCs w:val="15"/>
      </w:rPr>
      <w:t>10</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311CC6">
    <w:pPr>
      <w:spacing w:line="175" w:lineRule="auto"/>
      <w:ind w:left="4033"/>
      <w:rPr>
        <w:rFonts w:ascii="Times New Roman" w:hAnsi="Times New Roman" w:eastAsia="Times New Roman" w:cs="Times New Roman"/>
        <w:sz w:val="16"/>
        <w:szCs w:val="16"/>
      </w:rPr>
    </w:pPr>
    <w:r>
      <w:rPr>
        <w:rFonts w:ascii="Times New Roman" w:hAnsi="Times New Roman" w:eastAsia="Times New Roman" w:cs="Times New Roman"/>
        <w:spacing w:val="-5"/>
        <w:sz w:val="16"/>
        <w:szCs w:val="16"/>
      </w:rPr>
      <w:t>12</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7C08FF">
    <w:pPr>
      <w:spacing w:line="175" w:lineRule="auto"/>
      <w:ind w:left="4374"/>
      <w:rPr>
        <w:rFonts w:ascii="Times New Roman" w:hAnsi="Times New Roman" w:eastAsia="Times New Roman" w:cs="Times New Roman"/>
        <w:sz w:val="16"/>
        <w:szCs w:val="16"/>
      </w:rPr>
    </w:pPr>
    <w:r>
      <w:rPr>
        <w:rFonts w:ascii="Times New Roman" w:hAnsi="Times New Roman" w:eastAsia="Times New Roman" w:cs="Times New Roman"/>
        <w:spacing w:val="-5"/>
        <w:sz w:val="16"/>
        <w:szCs w:val="16"/>
      </w:rPr>
      <w:t>13</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72AC29">
    <w:pPr>
      <w:spacing w:line="174" w:lineRule="auto"/>
      <w:ind w:left="4374"/>
      <w:rPr>
        <w:rFonts w:ascii="Times New Roman" w:hAnsi="Times New Roman" w:eastAsia="Times New Roman" w:cs="Times New Roman"/>
        <w:sz w:val="15"/>
        <w:szCs w:val="15"/>
      </w:rPr>
    </w:pPr>
    <w:r>
      <w:rPr>
        <w:rFonts w:ascii="Times New Roman" w:hAnsi="Times New Roman" w:eastAsia="Times New Roman" w:cs="Times New Roman"/>
        <w:b/>
        <w:bCs/>
        <w:spacing w:val="-3"/>
        <w:sz w:val="15"/>
        <w:szCs w:val="15"/>
      </w:rPr>
      <w:t>18</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57491B">
    <w:pPr>
      <w:spacing w:line="175" w:lineRule="auto"/>
      <w:ind w:left="4384"/>
      <w:rPr>
        <w:rFonts w:ascii="Times New Roman" w:hAnsi="Times New Roman" w:eastAsia="Times New Roman" w:cs="Times New Roman"/>
        <w:sz w:val="16"/>
        <w:szCs w:val="16"/>
      </w:rPr>
    </w:pPr>
    <w:r>
      <w:rPr>
        <w:rFonts w:ascii="Times New Roman" w:hAnsi="Times New Roman" w:eastAsia="Times New Roman" w:cs="Times New Roman"/>
        <w:spacing w:val="-5"/>
        <w:sz w:val="16"/>
        <w:szCs w:val="16"/>
      </w:rPr>
      <w:t>19</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F4D207">
    <w:pPr>
      <w:spacing w:line="175" w:lineRule="auto"/>
      <w:ind w:left="4365"/>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20</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3AA215">
    <w:pPr>
      <w:spacing w:line="176" w:lineRule="auto"/>
      <w:ind w:left="4375"/>
      <w:rPr>
        <w:rFonts w:ascii="Times New Roman" w:hAnsi="Times New Roman" w:eastAsia="Times New Roman" w:cs="Times New Roman"/>
        <w:sz w:val="17"/>
        <w:szCs w:val="17"/>
      </w:rPr>
    </w:pPr>
    <w:r>
      <w:rPr>
        <w:rFonts w:ascii="Times New Roman" w:hAnsi="Times New Roman" w:eastAsia="Times New Roman" w:cs="Times New Roman"/>
        <w:spacing w:val="-1"/>
        <w:sz w:val="17"/>
        <w:szCs w:val="17"/>
      </w:rPr>
      <w:t>21</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EA365F">
    <w:pPr>
      <w:spacing w:line="175" w:lineRule="auto"/>
      <w:ind w:left="4329"/>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22</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AAF78A">
    <w:pPr>
      <w:spacing w:line="175" w:lineRule="auto"/>
      <w:ind w:left="4359"/>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23</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D93705">
    <w:pPr>
      <w:spacing w:line="177" w:lineRule="auto"/>
      <w:ind w:left="4350"/>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24</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A019D7">
    <w:pPr>
      <w:spacing w:line="175" w:lineRule="auto"/>
      <w:ind w:left="4340"/>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25</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3E5330">
    <w:pPr>
      <w:spacing w:line="175" w:lineRule="auto"/>
      <w:ind w:left="4350"/>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26</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4A495F">
    <w:pPr>
      <w:spacing w:line="175" w:lineRule="auto"/>
      <w:ind w:left="4329"/>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27</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26544B">
    <w:pPr>
      <w:spacing w:line="175" w:lineRule="auto"/>
      <w:ind w:left="4350"/>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28</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FC60A4">
    <w:pPr>
      <w:spacing w:line="175" w:lineRule="auto"/>
      <w:ind w:left="4350"/>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29</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4007EE">
    <w:pPr>
      <w:spacing w:line="175" w:lineRule="auto"/>
      <w:ind w:left="4369"/>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30</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A4544F">
    <w:pPr>
      <w:spacing w:line="177" w:lineRule="auto"/>
      <w:ind w:left="4370"/>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31</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28D90">
    <w:pPr>
      <w:spacing w:line="177" w:lineRule="auto"/>
      <w:ind w:left="4369"/>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32</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94EEC5">
    <w:pPr>
      <w:spacing w:line="175" w:lineRule="auto"/>
      <w:ind w:left="4354"/>
      <w:rPr>
        <w:rFonts w:ascii="Times New Roman" w:hAnsi="Times New Roman" w:eastAsia="Times New Roman" w:cs="Times New Roman"/>
        <w:sz w:val="17"/>
        <w:szCs w:val="17"/>
      </w:rPr>
    </w:pPr>
    <w:r>
      <w:rPr>
        <w:rFonts w:ascii="Times New Roman" w:hAnsi="Times New Roman" w:eastAsia="Times New Roman" w:cs="Times New Roman"/>
        <w:spacing w:val="-2"/>
        <w:sz w:val="17"/>
        <w:szCs w:val="17"/>
      </w:rPr>
      <w:t>33</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3EAD28">
    <w:pPr>
      <w:spacing w:line="175" w:lineRule="auto"/>
      <w:ind w:left="4359"/>
      <w:rPr>
        <w:rFonts w:ascii="Times New Roman" w:hAnsi="Times New Roman" w:eastAsia="Times New Roman" w:cs="Times New Roman"/>
        <w:sz w:val="17"/>
        <w:szCs w:val="17"/>
      </w:rPr>
    </w:pPr>
    <w:r>
      <w:rPr>
        <w:rFonts w:ascii="Times New Roman" w:hAnsi="Times New Roman" w:eastAsia="Times New Roman" w:cs="Times New Roman"/>
        <w:b/>
        <w:bCs/>
        <w:spacing w:val="-1"/>
        <w:sz w:val="17"/>
        <w:szCs w:val="17"/>
      </w:rPr>
      <w:t>34</w: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B2F87E">
    <w:pPr>
      <w:spacing w:line="175" w:lineRule="auto"/>
      <w:ind w:left="4484"/>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35</w: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7D0F21">
    <w:pPr>
      <w:spacing w:line="175" w:lineRule="auto"/>
      <w:ind w:left="4474"/>
      <w:rPr>
        <w:rFonts w:ascii="Times New Roman" w:hAnsi="Times New Roman" w:eastAsia="Times New Roman" w:cs="Times New Roman"/>
        <w:sz w:val="16"/>
        <w:szCs w:val="16"/>
      </w:rPr>
    </w:pPr>
    <w:r>
      <w:rPr>
        <w:rFonts w:ascii="Times New Roman" w:hAnsi="Times New Roman" w:eastAsia="Times New Roman" w:cs="Times New Roman"/>
        <w:b/>
        <w:bCs/>
        <w:spacing w:val="-1"/>
        <w:sz w:val="16"/>
        <w:szCs w:val="16"/>
      </w:rPr>
      <w:t>36</w: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8CD39C">
    <w:pPr>
      <w:spacing w:line="175" w:lineRule="auto"/>
      <w:ind w:left="4033"/>
      <w:rPr>
        <w:rFonts w:ascii="Times New Roman" w:hAnsi="Times New Roman" w:eastAsia="Times New Roman" w:cs="Times New Roman"/>
        <w:sz w:val="17"/>
        <w:szCs w:val="17"/>
      </w:rPr>
    </w:pPr>
    <w:r>
      <w:rPr>
        <w:rFonts w:ascii="Times New Roman" w:hAnsi="Times New Roman" w:eastAsia="Times New Roman" w:cs="Times New Roman"/>
        <w:b/>
        <w:bCs/>
        <w:spacing w:val="-1"/>
        <w:sz w:val="17"/>
        <w:szCs w:val="17"/>
      </w:rPr>
      <w:t>37</w: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730B76">
    <w:pPr>
      <w:spacing w:line="175" w:lineRule="auto"/>
      <w:ind w:left="4339"/>
      <w:rPr>
        <w:rFonts w:ascii="Times New Roman" w:hAnsi="Times New Roman" w:eastAsia="Times New Roman" w:cs="Times New Roman"/>
        <w:sz w:val="16"/>
        <w:szCs w:val="16"/>
      </w:rPr>
    </w:pPr>
    <w:r>
      <w:rPr>
        <w:rFonts w:ascii="Times New Roman" w:hAnsi="Times New Roman" w:eastAsia="Times New Roman" w:cs="Times New Roman"/>
        <w:b/>
        <w:bCs/>
        <w:spacing w:val="-1"/>
        <w:sz w:val="16"/>
        <w:szCs w:val="16"/>
      </w:rPr>
      <w:t>38</w: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F67F9F">
    <w:pPr>
      <w:spacing w:line="175" w:lineRule="auto"/>
      <w:ind w:left="4339"/>
      <w:rPr>
        <w:rFonts w:ascii="Times New Roman" w:hAnsi="Times New Roman" w:eastAsia="Times New Roman" w:cs="Times New Roman"/>
        <w:sz w:val="16"/>
        <w:szCs w:val="16"/>
      </w:rPr>
    </w:pPr>
    <w:r>
      <w:rPr>
        <w:rFonts w:ascii="Times New Roman" w:hAnsi="Times New Roman" w:eastAsia="Times New Roman" w:cs="Times New Roman"/>
        <w:b/>
        <w:bCs/>
        <w:spacing w:val="-1"/>
        <w:sz w:val="16"/>
        <w:szCs w:val="16"/>
      </w:rPr>
      <w:t>39</w: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89341B">
    <w:pPr>
      <w:pStyle w:val="2"/>
      <w:spacing w:line="229" w:lineRule="auto"/>
      <w:ind w:left="4350"/>
      <w:rPr>
        <w:sz w:val="19"/>
        <w:szCs w:val="19"/>
      </w:rPr>
    </w:pPr>
    <w:r>
      <w:rPr>
        <w:spacing w:val="-2"/>
        <w:sz w:val="19"/>
        <w:szCs w:val="19"/>
      </w:rPr>
      <w:t>40</w: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2C3E5C">
    <w:pPr>
      <w:pStyle w:val="2"/>
      <w:spacing w:line="231" w:lineRule="auto"/>
      <w:ind w:left="4350"/>
      <w:rPr>
        <w:sz w:val="20"/>
        <w:szCs w:val="20"/>
      </w:rPr>
    </w:pPr>
    <w:r>
      <w:rPr>
        <w:spacing w:val="-2"/>
        <w:sz w:val="20"/>
        <w:szCs w:val="20"/>
      </w:rPr>
      <w:t>41</w: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2D716D">
    <w:pPr>
      <w:pStyle w:val="2"/>
      <w:spacing w:line="232" w:lineRule="auto"/>
      <w:ind w:left="4350"/>
      <w:rPr>
        <w:sz w:val="21"/>
        <w:szCs w:val="21"/>
      </w:rPr>
    </w:pPr>
    <w:r>
      <w:rPr>
        <w:spacing w:val="-2"/>
        <w:sz w:val="21"/>
        <w:szCs w:val="21"/>
      </w:rPr>
      <w:t>42</w: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A0FF76">
    <w:pPr>
      <w:spacing w:line="175" w:lineRule="auto"/>
      <w:ind w:left="4445"/>
      <w:rPr>
        <w:rFonts w:ascii="Times New Roman" w:hAnsi="Times New Roman" w:eastAsia="Times New Roman" w:cs="Times New Roman"/>
        <w:sz w:val="17"/>
        <w:szCs w:val="17"/>
      </w:rPr>
    </w:pPr>
    <w:r>
      <w:rPr>
        <w:rFonts w:ascii="Times New Roman" w:hAnsi="Times New Roman" w:eastAsia="Times New Roman" w:cs="Times New Roman"/>
        <w:spacing w:val="-1"/>
        <w:sz w:val="17"/>
        <w:szCs w:val="17"/>
      </w:rPr>
      <w:t>43</w: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37095D">
    <w:pPr>
      <w:spacing w:line="177" w:lineRule="auto"/>
      <w:ind w:left="4395"/>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44</w: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E991AD">
    <w:pPr>
      <w:spacing w:line="175" w:lineRule="auto"/>
      <w:ind w:left="4360"/>
      <w:rPr>
        <w:rFonts w:ascii="Times New Roman" w:hAnsi="Times New Roman" w:eastAsia="Times New Roman" w:cs="Times New Roman"/>
        <w:sz w:val="17"/>
        <w:szCs w:val="17"/>
      </w:rPr>
    </w:pPr>
    <w:r>
      <w:rPr>
        <w:rFonts w:ascii="Times New Roman" w:hAnsi="Times New Roman" w:eastAsia="Times New Roman" w:cs="Times New Roman"/>
        <w:spacing w:val="-1"/>
        <w:sz w:val="17"/>
        <w:szCs w:val="17"/>
      </w:rPr>
      <w:t>45</w: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7A7363">
    <w:pPr>
      <w:spacing w:line="177" w:lineRule="auto"/>
      <w:ind w:left="4297"/>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46</w:t>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829BFE">
    <w:pPr>
      <w:spacing w:line="177" w:lineRule="auto"/>
      <w:ind w:left="4350"/>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47</w:t>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FA5268">
    <w:pPr>
      <w:pStyle w:val="2"/>
      <w:spacing w:line="230" w:lineRule="auto"/>
      <w:ind w:left="4350"/>
      <w:rPr>
        <w:sz w:val="20"/>
        <w:szCs w:val="20"/>
      </w:rPr>
    </w:pPr>
    <w:r>
      <w:rPr>
        <w:spacing w:val="-2"/>
        <w:sz w:val="20"/>
        <w:szCs w:val="20"/>
      </w:rPr>
      <w:t>48</w:t>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A46FAD">
    <w:pPr>
      <w:spacing w:line="177" w:lineRule="auto"/>
      <w:ind w:left="4350"/>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49</w:t>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C84F97">
    <w:pPr>
      <w:spacing w:line="175" w:lineRule="auto"/>
      <w:ind w:left="4359"/>
      <w:rPr>
        <w:rFonts w:ascii="Times New Roman" w:hAnsi="Times New Roman" w:eastAsia="Times New Roman" w:cs="Times New Roman"/>
        <w:sz w:val="16"/>
        <w:szCs w:val="16"/>
      </w:rPr>
    </w:pPr>
    <w:r>
      <w:rPr>
        <w:rFonts w:ascii="Times New Roman" w:hAnsi="Times New Roman" w:eastAsia="Times New Roman" w:cs="Times New Roman"/>
        <w:b/>
        <w:bCs/>
        <w:spacing w:val="-2"/>
        <w:sz w:val="16"/>
        <w:szCs w:val="16"/>
      </w:rPr>
      <w:t>50</w:t>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D26908">
    <w:pPr>
      <w:spacing w:line="175" w:lineRule="auto"/>
      <w:ind w:left="4370"/>
      <w:rPr>
        <w:rFonts w:ascii="Times New Roman" w:hAnsi="Times New Roman" w:eastAsia="Times New Roman" w:cs="Times New Roman"/>
        <w:sz w:val="17"/>
        <w:szCs w:val="17"/>
      </w:rPr>
    </w:pPr>
    <w:r>
      <w:rPr>
        <w:rFonts w:ascii="Times New Roman" w:hAnsi="Times New Roman" w:eastAsia="Times New Roman" w:cs="Times New Roman"/>
        <w:b/>
        <w:bCs/>
        <w:spacing w:val="-2"/>
        <w:sz w:val="17"/>
        <w:szCs w:val="17"/>
      </w:rPr>
      <w:t>51</w:t>
    </w: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45C2D4">
    <w:pPr>
      <w:spacing w:line="177" w:lineRule="auto"/>
      <w:ind w:left="4369"/>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52</w:t>
    </w: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B05ED8">
    <w:pPr>
      <w:spacing w:line="175" w:lineRule="auto"/>
      <w:ind w:left="4033"/>
      <w:rPr>
        <w:rFonts w:ascii="Times New Roman" w:hAnsi="Times New Roman" w:eastAsia="Times New Roman" w:cs="Times New Roman"/>
        <w:sz w:val="17"/>
        <w:szCs w:val="17"/>
      </w:rPr>
    </w:pPr>
    <w:r>
      <w:rPr>
        <w:rFonts w:ascii="Times New Roman" w:hAnsi="Times New Roman" w:eastAsia="Times New Roman" w:cs="Times New Roman"/>
        <w:b/>
        <w:bCs/>
        <w:spacing w:val="-2"/>
        <w:sz w:val="17"/>
        <w:szCs w:val="17"/>
      </w:rPr>
      <w:t>53</w:t>
    </w: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0BA95E">
    <w:pPr>
      <w:spacing w:line="175" w:lineRule="auto"/>
      <w:ind w:left="4374"/>
      <w:rPr>
        <w:rFonts w:ascii="Times New Roman" w:hAnsi="Times New Roman" w:eastAsia="Times New Roman" w:cs="Times New Roman"/>
        <w:sz w:val="17"/>
        <w:szCs w:val="17"/>
      </w:rPr>
    </w:pPr>
    <w:r>
      <w:rPr>
        <w:rFonts w:ascii="Times New Roman" w:hAnsi="Times New Roman" w:eastAsia="Times New Roman" w:cs="Times New Roman"/>
        <w:spacing w:val="-3"/>
        <w:sz w:val="17"/>
        <w:szCs w:val="17"/>
      </w:rPr>
      <w:t>54</w:t>
    </w:r>
  </w:p>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6C58F3">
    <w:pPr>
      <w:spacing w:line="172" w:lineRule="auto"/>
      <w:ind w:left="4374"/>
      <w:rPr>
        <w:rFonts w:ascii="Times New Roman" w:hAnsi="Times New Roman" w:eastAsia="Times New Roman" w:cs="Times New Roman"/>
        <w:sz w:val="16"/>
        <w:szCs w:val="16"/>
      </w:rPr>
    </w:pPr>
    <w:r>
      <w:rPr>
        <w:rFonts w:ascii="Times New Roman" w:hAnsi="Times New Roman" w:eastAsia="Times New Roman" w:cs="Times New Roman"/>
        <w:b/>
        <w:bCs/>
        <w:spacing w:val="-2"/>
        <w:sz w:val="16"/>
        <w:szCs w:val="16"/>
      </w:rPr>
      <w:t>55</w:t>
    </w:r>
  </w:p>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6A7ED0">
    <w:pPr>
      <w:spacing w:line="175" w:lineRule="auto"/>
      <w:ind w:left="4384"/>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56</w:t>
    </w:r>
  </w:p>
</w:ftr>
</file>

<file path=word/footer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80E87A">
    <w:pPr>
      <w:spacing w:line="172" w:lineRule="auto"/>
      <w:ind w:left="4384"/>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57</w:t>
    </w:r>
  </w:p>
</w:ftr>
</file>

<file path=word/footer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4DF218">
    <w:pPr>
      <w:spacing w:line="175" w:lineRule="auto"/>
      <w:ind w:left="4384"/>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58</w:t>
    </w:r>
  </w:p>
</w:ftr>
</file>

<file path=word/footer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08D09C">
    <w:pPr>
      <w:spacing w:line="175" w:lineRule="auto"/>
      <w:ind w:left="4350"/>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60</w:t>
    </w:r>
  </w:p>
</w:ftr>
</file>

<file path=word/footer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5ECEE9">
    <w:pPr>
      <w:spacing w:line="175" w:lineRule="auto"/>
      <w:ind w:left="4340"/>
      <w:rPr>
        <w:rFonts w:ascii="Times New Roman" w:hAnsi="Times New Roman" w:eastAsia="Times New Roman" w:cs="Times New Roman"/>
        <w:sz w:val="17"/>
        <w:szCs w:val="17"/>
      </w:rPr>
    </w:pPr>
    <w:r>
      <w:rPr>
        <w:rFonts w:ascii="Times New Roman" w:hAnsi="Times New Roman" w:eastAsia="Times New Roman" w:cs="Times New Roman"/>
        <w:spacing w:val="-2"/>
        <w:sz w:val="17"/>
        <w:szCs w:val="17"/>
      </w:rPr>
      <w:t>61</w:t>
    </w:r>
  </w:p>
</w:ftr>
</file>

<file path=word/footer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1498A0">
    <w:pPr>
      <w:spacing w:line="175" w:lineRule="auto"/>
      <w:ind w:left="4345"/>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62</w:t>
    </w:r>
  </w:p>
</w:ftr>
</file>

<file path=word/footer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C1EC16">
    <w:pPr>
      <w:spacing w:line="175" w:lineRule="auto"/>
      <w:ind w:left="4360"/>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63</w:t>
    </w:r>
  </w:p>
</w:ftr>
</file>

<file path=word/footer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5E379A">
    <w:pPr>
      <w:spacing w:line="175" w:lineRule="auto"/>
      <w:ind w:left="4350"/>
      <w:rPr>
        <w:rFonts w:ascii="Times New Roman" w:hAnsi="Times New Roman" w:eastAsia="Times New Roman" w:cs="Times New Roman"/>
        <w:sz w:val="17"/>
        <w:szCs w:val="17"/>
      </w:rPr>
    </w:pPr>
    <w:r>
      <w:rPr>
        <w:rFonts w:ascii="Times New Roman" w:hAnsi="Times New Roman" w:eastAsia="Times New Roman" w:cs="Times New Roman"/>
        <w:spacing w:val="-2"/>
        <w:sz w:val="17"/>
        <w:szCs w:val="17"/>
      </w:rPr>
      <w:t>64</w:t>
    </w:r>
  </w:p>
</w:ftr>
</file>

<file path=word/footer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5F6C0">
    <w:pPr>
      <w:spacing w:line="175" w:lineRule="auto"/>
      <w:ind w:left="4340"/>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65</w:t>
    </w:r>
  </w:p>
</w:ftr>
</file>

<file path=word/footer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888F4A">
    <w:pPr>
      <w:spacing w:line="175" w:lineRule="auto"/>
      <w:ind w:left="4350"/>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66</w:t>
    </w:r>
  </w:p>
</w:ftr>
</file>

<file path=word/footer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F7C77F">
    <w:pPr>
      <w:spacing w:line="175" w:lineRule="auto"/>
      <w:ind w:left="4350"/>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67</w:t>
    </w:r>
  </w:p>
</w:ftr>
</file>

<file path=word/footer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BA9488">
    <w:pPr>
      <w:spacing w:line="175" w:lineRule="auto"/>
      <w:ind w:left="4329"/>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68</w:t>
    </w:r>
  </w:p>
</w:ftr>
</file>

<file path=word/footer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E862EF">
    <w:pPr>
      <w:spacing w:line="175" w:lineRule="auto"/>
      <w:ind w:left="4350"/>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69</w:t>
    </w:r>
  </w:p>
</w:ftr>
</file>

<file path=word/footer6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742CBF">
    <w:pPr>
      <w:spacing w:line="175" w:lineRule="auto"/>
      <w:ind w:left="4359"/>
      <w:rPr>
        <w:rFonts w:ascii="Times New Roman" w:hAnsi="Times New Roman" w:eastAsia="Times New Roman" w:cs="Times New Roman"/>
        <w:sz w:val="16"/>
        <w:szCs w:val="16"/>
      </w:rPr>
    </w:pPr>
    <w:r>
      <w:rPr>
        <w:rFonts w:ascii="Times New Roman" w:hAnsi="Times New Roman" w:eastAsia="Times New Roman" w:cs="Times New Roman"/>
        <w:b/>
        <w:bCs/>
        <w:spacing w:val="-2"/>
        <w:sz w:val="16"/>
        <w:szCs w:val="16"/>
      </w:rPr>
      <w:t>70</w:t>
    </w:r>
  </w:p>
</w:ftr>
</file>

<file path=word/footer6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3A5F54">
    <w:pPr>
      <w:spacing w:line="177" w:lineRule="auto"/>
      <w:ind w:left="4350"/>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71</w:t>
    </w:r>
  </w:p>
</w:ftr>
</file>

<file path=word/footer6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74FD1E">
    <w:pPr>
      <w:spacing w:line="175" w:lineRule="auto"/>
      <w:ind w:left="4359"/>
      <w:rPr>
        <w:rFonts w:ascii="Times New Roman" w:hAnsi="Times New Roman" w:eastAsia="Times New Roman" w:cs="Times New Roman"/>
        <w:sz w:val="16"/>
        <w:szCs w:val="16"/>
      </w:rPr>
    </w:pPr>
    <w:r>
      <w:rPr>
        <w:rFonts w:ascii="Times New Roman" w:hAnsi="Times New Roman" w:eastAsia="Times New Roman" w:cs="Times New Roman"/>
        <w:b/>
        <w:bCs/>
        <w:spacing w:val="-2"/>
        <w:sz w:val="16"/>
        <w:szCs w:val="16"/>
      </w:rPr>
      <w:t>72</w:t>
    </w:r>
  </w:p>
</w:ftr>
</file>

<file path=word/footer6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CEC2B3">
    <w:pPr>
      <w:spacing w:line="175" w:lineRule="auto"/>
      <w:ind w:left="4359"/>
      <w:rPr>
        <w:rFonts w:ascii="Times New Roman" w:hAnsi="Times New Roman" w:eastAsia="Times New Roman" w:cs="Times New Roman"/>
        <w:sz w:val="16"/>
        <w:szCs w:val="16"/>
      </w:rPr>
    </w:pPr>
    <w:r>
      <w:rPr>
        <w:rFonts w:ascii="Times New Roman" w:hAnsi="Times New Roman" w:eastAsia="Times New Roman" w:cs="Times New Roman"/>
        <w:b/>
        <w:bCs/>
        <w:spacing w:val="-2"/>
        <w:sz w:val="16"/>
        <w:szCs w:val="16"/>
      </w:rPr>
      <w:t>73</w:t>
    </w:r>
  </w:p>
</w:ftr>
</file>

<file path=word/footer6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8810FB">
    <w:pPr>
      <w:spacing w:line="175" w:lineRule="auto"/>
      <w:ind w:left="4369"/>
      <w:rPr>
        <w:rFonts w:ascii="Times New Roman" w:hAnsi="Times New Roman" w:eastAsia="Times New Roman" w:cs="Times New Roman"/>
        <w:sz w:val="17"/>
        <w:szCs w:val="17"/>
      </w:rPr>
    </w:pPr>
    <w:r>
      <w:rPr>
        <w:rFonts w:ascii="Times New Roman" w:hAnsi="Times New Roman" w:eastAsia="Times New Roman" w:cs="Times New Roman"/>
        <w:spacing w:val="-2"/>
        <w:sz w:val="17"/>
        <w:szCs w:val="17"/>
      </w:rPr>
      <w:t>74</w:t>
    </w:r>
  </w:p>
</w:ftr>
</file>

<file path=word/footer6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4ED78A">
    <w:pPr>
      <w:spacing w:line="172" w:lineRule="auto"/>
      <w:ind w:left="4359"/>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75</w:t>
    </w:r>
  </w:p>
</w:ftr>
</file>

<file path=word/footer6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84BFAC">
    <w:pPr>
      <w:spacing w:line="175" w:lineRule="auto"/>
      <w:ind w:left="4349"/>
      <w:rPr>
        <w:rFonts w:ascii="Times New Roman" w:hAnsi="Times New Roman" w:eastAsia="Times New Roman" w:cs="Times New Roman"/>
        <w:sz w:val="16"/>
        <w:szCs w:val="16"/>
      </w:rPr>
    </w:pPr>
    <w:r>
      <w:rPr>
        <w:rFonts w:ascii="Times New Roman" w:hAnsi="Times New Roman" w:eastAsia="Times New Roman" w:cs="Times New Roman"/>
        <w:b/>
        <w:bCs/>
        <w:spacing w:val="-2"/>
        <w:sz w:val="16"/>
        <w:szCs w:val="16"/>
      </w:rPr>
      <w:t>76</w:t>
    </w:r>
  </w:p>
</w:ftr>
</file>

<file path=word/footer6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268682">
    <w:pPr>
      <w:spacing w:line="172" w:lineRule="auto"/>
      <w:ind w:left="6795"/>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77</w:t>
    </w:r>
  </w:p>
</w:ftr>
</file>

<file path=word/footer7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D897C9">
    <w:pPr>
      <w:spacing w:line="175" w:lineRule="auto"/>
      <w:ind w:left="4369"/>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78</w:t>
    </w:r>
  </w:p>
</w:ftr>
</file>

<file path=word/footer7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A1D1CC">
    <w:pPr>
      <w:spacing w:line="175" w:lineRule="auto"/>
      <w:ind w:left="4464"/>
      <w:rPr>
        <w:rFonts w:ascii="Times New Roman" w:hAnsi="Times New Roman" w:eastAsia="Times New Roman" w:cs="Times New Roman"/>
        <w:sz w:val="16"/>
        <w:szCs w:val="16"/>
      </w:rPr>
    </w:pPr>
    <w:r>
      <w:rPr>
        <w:rFonts w:ascii="Times New Roman" w:hAnsi="Times New Roman" w:eastAsia="Times New Roman" w:cs="Times New Roman"/>
        <w:b/>
        <w:bCs/>
        <w:spacing w:val="-2"/>
        <w:sz w:val="16"/>
        <w:szCs w:val="16"/>
      </w:rPr>
      <w:t>79</w:t>
    </w:r>
  </w:p>
</w:ftr>
</file>

<file path=word/footer7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248664">
    <w:pPr>
      <w:spacing w:line="175" w:lineRule="auto"/>
      <w:ind w:left="6775"/>
      <w:rPr>
        <w:rFonts w:ascii="Times New Roman" w:hAnsi="Times New Roman" w:eastAsia="Times New Roman" w:cs="Times New Roman"/>
        <w:sz w:val="16"/>
        <w:szCs w:val="16"/>
      </w:rPr>
    </w:pPr>
    <w:r>
      <w:rPr>
        <w:rFonts w:ascii="Times New Roman" w:hAnsi="Times New Roman" w:eastAsia="Times New Roman" w:cs="Times New Roman"/>
        <w:spacing w:val="-3"/>
        <w:sz w:val="16"/>
        <w:szCs w:val="16"/>
      </w:rPr>
      <w:t>80</w:t>
    </w:r>
  </w:p>
</w:ftr>
</file>

<file path=word/footer7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D55190">
    <w:pPr>
      <w:spacing w:line="177" w:lineRule="auto"/>
      <w:ind w:left="6785"/>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81</w:t>
    </w:r>
  </w:p>
</w:ftr>
</file>

<file path=word/footer7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EDA8A7">
    <w:pPr>
      <w:spacing w:line="175" w:lineRule="auto"/>
      <w:ind w:left="6785"/>
      <w:rPr>
        <w:rFonts w:ascii="Times New Roman" w:hAnsi="Times New Roman" w:eastAsia="Times New Roman" w:cs="Times New Roman"/>
        <w:sz w:val="17"/>
        <w:szCs w:val="17"/>
      </w:rPr>
    </w:pPr>
    <w:r>
      <w:rPr>
        <w:rFonts w:ascii="Times New Roman" w:hAnsi="Times New Roman" w:eastAsia="Times New Roman" w:cs="Times New Roman"/>
        <w:spacing w:val="-3"/>
        <w:sz w:val="17"/>
        <w:szCs w:val="17"/>
      </w:rPr>
      <w:t>82</w:t>
    </w:r>
  </w:p>
</w:ftr>
</file>

<file path=word/footer7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30043D">
    <w:pPr>
      <w:spacing w:line="175" w:lineRule="auto"/>
      <w:ind w:left="6784"/>
      <w:rPr>
        <w:rFonts w:ascii="Times New Roman" w:hAnsi="Times New Roman" w:eastAsia="Times New Roman" w:cs="Times New Roman"/>
        <w:sz w:val="17"/>
        <w:szCs w:val="17"/>
      </w:rPr>
    </w:pPr>
    <w:r>
      <w:rPr>
        <w:rFonts w:ascii="Times New Roman" w:hAnsi="Times New Roman" w:eastAsia="Times New Roman" w:cs="Times New Roman"/>
        <w:spacing w:val="-3"/>
        <w:sz w:val="17"/>
        <w:szCs w:val="17"/>
      </w:rPr>
      <w:t>83</w:t>
    </w:r>
  </w:p>
</w:ftr>
</file>

<file path=word/footer7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445E09">
    <w:pPr>
      <w:spacing w:line="175" w:lineRule="auto"/>
      <w:ind w:left="6784"/>
      <w:rPr>
        <w:rFonts w:ascii="Times New Roman" w:hAnsi="Times New Roman" w:eastAsia="Times New Roman" w:cs="Times New Roman"/>
        <w:sz w:val="17"/>
        <w:szCs w:val="17"/>
      </w:rPr>
    </w:pPr>
    <w:r>
      <w:rPr>
        <w:rFonts w:ascii="Times New Roman" w:hAnsi="Times New Roman" w:eastAsia="Times New Roman" w:cs="Times New Roman"/>
        <w:spacing w:val="-3"/>
        <w:sz w:val="17"/>
        <w:szCs w:val="17"/>
      </w:rPr>
      <w:t>84</w:t>
    </w:r>
  </w:p>
</w:ftr>
</file>

<file path=word/footer7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BA1A77">
    <w:pPr>
      <w:spacing w:line="175" w:lineRule="auto"/>
      <w:ind w:left="6784"/>
      <w:rPr>
        <w:rFonts w:ascii="Times New Roman" w:hAnsi="Times New Roman" w:eastAsia="Times New Roman" w:cs="Times New Roman"/>
        <w:sz w:val="17"/>
        <w:szCs w:val="17"/>
      </w:rPr>
    </w:pPr>
    <w:r>
      <w:rPr>
        <w:rFonts w:ascii="Times New Roman" w:hAnsi="Times New Roman" w:eastAsia="Times New Roman" w:cs="Times New Roman"/>
        <w:spacing w:val="-3"/>
        <w:sz w:val="17"/>
        <w:szCs w:val="17"/>
      </w:rPr>
      <w:t>85</w:t>
    </w:r>
  </w:p>
</w:ftr>
</file>

<file path=word/footer7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336D0F">
    <w:pPr>
      <w:spacing w:line="175" w:lineRule="auto"/>
      <w:ind w:left="6784"/>
      <w:rPr>
        <w:rFonts w:ascii="Times New Roman" w:hAnsi="Times New Roman" w:eastAsia="Times New Roman" w:cs="Times New Roman"/>
        <w:sz w:val="16"/>
        <w:szCs w:val="16"/>
      </w:rPr>
    </w:pPr>
    <w:r>
      <w:rPr>
        <w:rFonts w:ascii="Times New Roman" w:hAnsi="Times New Roman" w:eastAsia="Times New Roman" w:cs="Times New Roman"/>
        <w:b/>
        <w:bCs/>
        <w:spacing w:val="-2"/>
        <w:sz w:val="16"/>
        <w:szCs w:val="16"/>
      </w:rPr>
      <w:t>86</w:t>
    </w:r>
  </w:p>
</w:ftr>
</file>

<file path=word/footer7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EEF303">
    <w:pPr>
      <w:spacing w:line="177" w:lineRule="auto"/>
      <w:ind w:left="6784"/>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87</w:t>
    </w:r>
  </w:p>
</w:ftr>
</file>

<file path=word/footer8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1C2782">
    <w:pPr>
      <w:spacing w:line="174" w:lineRule="auto"/>
      <w:ind w:left="6784"/>
      <w:rPr>
        <w:rFonts w:ascii="Times New Roman" w:hAnsi="Times New Roman" w:eastAsia="Times New Roman" w:cs="Times New Roman"/>
        <w:sz w:val="16"/>
        <w:szCs w:val="16"/>
      </w:rPr>
    </w:pPr>
    <w:r>
      <w:rPr>
        <w:rFonts w:ascii="Times New Roman" w:hAnsi="Times New Roman" w:eastAsia="Times New Roman" w:cs="Times New Roman"/>
        <w:b/>
        <w:bCs/>
        <w:spacing w:val="-2"/>
        <w:sz w:val="16"/>
        <w:szCs w:val="16"/>
      </w:rPr>
      <w:t>88</w:t>
    </w:r>
  </w:p>
</w:ftr>
</file>

<file path=word/footer8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820215">
    <w:pPr>
      <w:spacing w:line="175" w:lineRule="auto"/>
      <w:ind w:left="6775"/>
      <w:rPr>
        <w:rFonts w:ascii="Times New Roman" w:hAnsi="Times New Roman" w:eastAsia="Times New Roman" w:cs="Times New Roman"/>
        <w:sz w:val="16"/>
        <w:szCs w:val="16"/>
      </w:rPr>
    </w:pPr>
    <w:r>
      <w:rPr>
        <w:rFonts w:ascii="Times New Roman" w:hAnsi="Times New Roman" w:eastAsia="Times New Roman" w:cs="Times New Roman"/>
        <w:spacing w:val="-3"/>
        <w:sz w:val="16"/>
        <w:szCs w:val="16"/>
      </w:rPr>
      <w:t>89</w:t>
    </w:r>
  </w:p>
</w:ftr>
</file>

<file path=word/footer8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6803B1">
    <w:pPr>
      <w:spacing w:line="175" w:lineRule="auto"/>
      <w:ind w:left="6784"/>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90</w:t>
    </w:r>
  </w:p>
</w:ftr>
</file>

<file path=word/footer8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227AED">
    <w:pPr>
      <w:spacing w:line="175" w:lineRule="auto"/>
      <w:ind w:left="6785"/>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91</w:t>
    </w:r>
  </w:p>
</w:ftr>
</file>

<file path=word/footer8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11846B">
    <w:pPr>
      <w:spacing w:line="175" w:lineRule="auto"/>
      <w:ind w:left="6785"/>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92</w:t>
    </w:r>
  </w:p>
</w:ftr>
</file>

<file path=word/footer8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2E65C">
    <w:pPr>
      <w:spacing w:line="175" w:lineRule="auto"/>
      <w:ind w:left="6784"/>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93</w:t>
    </w:r>
  </w:p>
</w:ftr>
</file>

<file path=word/footer8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3AC2CC">
    <w:pPr>
      <w:spacing w:line="175" w:lineRule="auto"/>
      <w:ind w:left="6914"/>
      <w:rPr>
        <w:rFonts w:ascii="Times New Roman" w:hAnsi="Times New Roman" w:eastAsia="Times New Roman" w:cs="Times New Roman"/>
        <w:sz w:val="16"/>
        <w:szCs w:val="16"/>
      </w:rPr>
    </w:pPr>
    <w:r>
      <w:rPr>
        <w:rFonts w:ascii="Times New Roman" w:hAnsi="Times New Roman" w:eastAsia="Times New Roman" w:cs="Times New Roman"/>
        <w:b/>
        <w:bCs/>
        <w:spacing w:val="-2"/>
        <w:sz w:val="16"/>
        <w:szCs w:val="16"/>
      </w:rPr>
      <w:t>94</w:t>
    </w:r>
  </w:p>
</w:ftr>
</file>

<file path=word/footer8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DBC2FC">
    <w:pPr>
      <w:spacing w:line="175" w:lineRule="auto"/>
      <w:ind w:left="6784"/>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95</w:t>
    </w:r>
  </w:p>
</w:ftr>
</file>

<file path=word/footer8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227AE4">
    <w:pPr>
      <w:spacing w:line="174" w:lineRule="auto"/>
      <w:ind w:left="6784"/>
      <w:rPr>
        <w:rFonts w:ascii="Times New Roman" w:hAnsi="Times New Roman" w:eastAsia="Times New Roman" w:cs="Times New Roman"/>
        <w:sz w:val="15"/>
        <w:szCs w:val="15"/>
      </w:rPr>
    </w:pPr>
    <w:r>
      <w:rPr>
        <w:rFonts w:ascii="Times New Roman" w:hAnsi="Times New Roman" w:eastAsia="Times New Roman" w:cs="Times New Roman"/>
        <w:b/>
        <w:bCs/>
        <w:spacing w:val="-2"/>
        <w:sz w:val="15"/>
        <w:szCs w:val="15"/>
      </w:rPr>
      <w:t>96</w:t>
    </w:r>
  </w:p>
</w:ftr>
</file>

<file path=word/footer8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DC5A52">
    <w:pPr>
      <w:spacing w:line="175" w:lineRule="auto"/>
      <w:ind w:left="6784"/>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97</w:t>
    </w:r>
  </w:p>
</w:ftr>
</file>

<file path=word/footer9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1DB58C">
    <w:pPr>
      <w:spacing w:line="174" w:lineRule="auto"/>
      <w:ind w:left="4474"/>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98</w:t>
    </w:r>
  </w:p>
</w:ftr>
</file>

<file path=word/footer9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C0E232">
    <w:pPr>
      <w:spacing w:line="174" w:lineRule="auto"/>
      <w:ind w:left="4369"/>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99</w:t>
    </w:r>
  </w:p>
</w:ftr>
</file>

<file path=word/footer9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4BB33E">
    <w:pPr>
      <w:spacing w:line="173" w:lineRule="auto"/>
      <w:ind w:left="4329"/>
      <w:rPr>
        <w:rFonts w:ascii="Times New Roman" w:hAnsi="Times New Roman" w:eastAsia="Times New Roman" w:cs="Times New Roman"/>
        <w:sz w:val="14"/>
        <w:szCs w:val="14"/>
      </w:rPr>
    </w:pPr>
    <w:r>
      <w:rPr>
        <w:rFonts w:ascii="Times New Roman" w:hAnsi="Times New Roman" w:eastAsia="Times New Roman" w:cs="Times New Roman"/>
        <w:b/>
        <w:bCs/>
        <w:spacing w:val="-3"/>
        <w:sz w:val="14"/>
        <w:szCs w:val="14"/>
      </w:rPr>
      <w:t>100</w:t>
    </w:r>
  </w:p>
</w:ftr>
</file>

<file path=word/footer9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B660F8">
    <w:pPr>
      <w:spacing w:line="174" w:lineRule="auto"/>
      <w:ind w:left="4319"/>
      <w:rPr>
        <w:rFonts w:ascii="Times New Roman" w:hAnsi="Times New Roman" w:eastAsia="Times New Roman" w:cs="Times New Roman"/>
        <w:sz w:val="15"/>
        <w:szCs w:val="15"/>
      </w:rPr>
    </w:pPr>
    <w:r>
      <w:rPr>
        <w:rFonts w:ascii="Times New Roman" w:hAnsi="Times New Roman" w:eastAsia="Times New Roman" w:cs="Times New Roman"/>
        <w:spacing w:val="-4"/>
        <w:sz w:val="15"/>
        <w:szCs w:val="15"/>
      </w:rPr>
      <w:t>101</w:t>
    </w:r>
  </w:p>
</w:ftr>
</file>

<file path=word/footer9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6C2B3A">
    <w:pPr>
      <w:spacing w:line="174" w:lineRule="auto"/>
      <w:ind w:left="4329"/>
      <w:rPr>
        <w:rFonts w:ascii="Times New Roman" w:hAnsi="Times New Roman" w:eastAsia="Times New Roman" w:cs="Times New Roman"/>
        <w:sz w:val="15"/>
        <w:szCs w:val="15"/>
      </w:rPr>
    </w:pPr>
    <w:r>
      <w:rPr>
        <w:rFonts w:ascii="Times New Roman" w:hAnsi="Times New Roman" w:eastAsia="Times New Roman" w:cs="Times New Roman"/>
        <w:b/>
        <w:bCs/>
        <w:spacing w:val="-3"/>
        <w:sz w:val="15"/>
        <w:szCs w:val="15"/>
      </w:rPr>
      <w:t>102</w:t>
    </w:r>
  </w:p>
</w:ftr>
</file>

<file path=word/footer9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E320AD">
    <w:pPr>
      <w:spacing w:line="174" w:lineRule="auto"/>
      <w:ind w:left="4329"/>
      <w:rPr>
        <w:rFonts w:ascii="Times New Roman" w:hAnsi="Times New Roman" w:eastAsia="Times New Roman" w:cs="Times New Roman"/>
        <w:sz w:val="15"/>
        <w:szCs w:val="15"/>
      </w:rPr>
    </w:pPr>
    <w:r>
      <w:rPr>
        <w:rFonts w:ascii="Times New Roman" w:hAnsi="Times New Roman" w:eastAsia="Times New Roman" w:cs="Times New Roman"/>
        <w:b/>
        <w:bCs/>
        <w:spacing w:val="-3"/>
        <w:sz w:val="15"/>
        <w:szCs w:val="15"/>
      </w:rPr>
      <w:t>103</w:t>
    </w:r>
  </w:p>
</w:ftr>
</file>

<file path=word/footer9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B2199E">
    <w:pPr>
      <w:spacing w:line="174" w:lineRule="auto"/>
      <w:ind w:left="4329"/>
      <w:rPr>
        <w:rFonts w:ascii="Times New Roman" w:hAnsi="Times New Roman" w:eastAsia="Times New Roman" w:cs="Times New Roman"/>
        <w:sz w:val="15"/>
        <w:szCs w:val="15"/>
      </w:rPr>
    </w:pPr>
    <w:r>
      <w:rPr>
        <w:rFonts w:ascii="Times New Roman" w:hAnsi="Times New Roman" w:eastAsia="Times New Roman" w:cs="Times New Roman"/>
        <w:b/>
        <w:bCs/>
        <w:spacing w:val="-3"/>
        <w:sz w:val="15"/>
        <w:szCs w:val="15"/>
      </w:rPr>
      <w:t>104</w:t>
    </w:r>
  </w:p>
</w:ftr>
</file>

<file path=word/footer9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691D76">
    <w:pPr>
      <w:spacing w:line="174" w:lineRule="auto"/>
      <w:ind w:left="4340"/>
      <w:rPr>
        <w:rFonts w:ascii="Times New Roman" w:hAnsi="Times New Roman" w:eastAsia="Times New Roman" w:cs="Times New Roman"/>
        <w:sz w:val="15"/>
        <w:szCs w:val="15"/>
      </w:rPr>
    </w:pPr>
    <w:r>
      <w:rPr>
        <w:rFonts w:ascii="Times New Roman" w:hAnsi="Times New Roman" w:eastAsia="Times New Roman" w:cs="Times New Roman"/>
        <w:spacing w:val="-4"/>
        <w:sz w:val="15"/>
        <w:szCs w:val="15"/>
      </w:rPr>
      <w:t>105</w:t>
    </w:r>
  </w:p>
</w:ftr>
</file>

<file path=word/footer9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887A22">
    <w:pPr>
      <w:spacing w:line="174" w:lineRule="auto"/>
      <w:ind w:left="4345"/>
      <w:rPr>
        <w:rFonts w:ascii="Times New Roman" w:hAnsi="Times New Roman" w:eastAsia="Times New Roman" w:cs="Times New Roman"/>
        <w:sz w:val="15"/>
        <w:szCs w:val="15"/>
      </w:rPr>
    </w:pPr>
    <w:r>
      <w:rPr>
        <w:rFonts w:ascii="Times New Roman" w:hAnsi="Times New Roman" w:eastAsia="Times New Roman" w:cs="Times New Roman"/>
        <w:spacing w:val="-4"/>
        <w:sz w:val="15"/>
        <w:szCs w:val="15"/>
      </w:rPr>
      <w:t>106</w:t>
    </w:r>
  </w:p>
</w:ftr>
</file>

<file path=word/footer9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E43A27">
    <w:pPr>
      <w:spacing w:line="173" w:lineRule="auto"/>
      <w:ind w:left="6775"/>
      <w:rPr>
        <w:rFonts w:ascii="Times New Roman" w:hAnsi="Times New Roman" w:eastAsia="Times New Roman" w:cs="Times New Roman"/>
        <w:sz w:val="14"/>
        <w:szCs w:val="14"/>
      </w:rPr>
    </w:pPr>
    <w:r>
      <w:rPr>
        <w:rFonts w:ascii="Times New Roman" w:hAnsi="Times New Roman" w:eastAsia="Times New Roman" w:cs="Times New Roman"/>
        <w:b/>
        <w:bCs/>
        <w:spacing w:val="-3"/>
        <w:sz w:val="14"/>
        <w:szCs w:val="14"/>
      </w:rPr>
      <w:t>107</w:t>
    </w:r>
  </w:p>
</w:ftr>
</file>

<file path=word/footer10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C18AA9">
    <w:pPr>
      <w:spacing w:line="174" w:lineRule="auto"/>
      <w:ind w:left="4445"/>
      <w:rPr>
        <w:rFonts w:ascii="Times New Roman" w:hAnsi="Times New Roman" w:eastAsia="Times New Roman" w:cs="Times New Roman"/>
        <w:sz w:val="15"/>
        <w:szCs w:val="15"/>
      </w:rPr>
    </w:pPr>
    <w:r>
      <w:rPr>
        <w:rFonts w:ascii="Times New Roman" w:hAnsi="Times New Roman" w:eastAsia="Times New Roman" w:cs="Times New Roman"/>
        <w:b/>
        <w:bCs/>
        <w:spacing w:val="-3"/>
        <w:sz w:val="15"/>
        <w:szCs w:val="15"/>
      </w:rPr>
      <w:t>108</w:t>
    </w:r>
  </w:p>
</w:ftr>
</file>

<file path=word/footer10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F2664A">
    <w:pPr>
      <w:spacing w:line="173" w:lineRule="auto"/>
      <w:ind w:left="4435"/>
      <w:rPr>
        <w:rFonts w:ascii="Times New Roman" w:hAnsi="Times New Roman" w:eastAsia="Times New Roman" w:cs="Times New Roman"/>
        <w:sz w:val="14"/>
        <w:szCs w:val="14"/>
      </w:rPr>
    </w:pPr>
    <w:r>
      <w:rPr>
        <w:rFonts w:ascii="Times New Roman" w:hAnsi="Times New Roman" w:eastAsia="Times New Roman" w:cs="Times New Roman"/>
        <w:b/>
        <w:bCs/>
        <w:spacing w:val="-3"/>
        <w:sz w:val="14"/>
        <w:szCs w:val="14"/>
      </w:rPr>
      <w:t>109</w:t>
    </w:r>
  </w:p>
</w:ftr>
</file>

<file path=word/footer10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40326A">
    <w:pPr>
      <w:spacing w:line="174" w:lineRule="auto"/>
      <w:ind w:left="4435"/>
      <w:rPr>
        <w:rFonts w:ascii="Times New Roman" w:hAnsi="Times New Roman" w:eastAsia="Times New Roman" w:cs="Times New Roman"/>
        <w:sz w:val="15"/>
        <w:szCs w:val="15"/>
      </w:rPr>
    </w:pPr>
    <w:r>
      <w:rPr>
        <w:rFonts w:ascii="Times New Roman" w:hAnsi="Times New Roman" w:eastAsia="Times New Roman" w:cs="Times New Roman"/>
        <w:b/>
        <w:bCs/>
        <w:spacing w:val="-3"/>
        <w:sz w:val="15"/>
        <w:szCs w:val="15"/>
      </w:rPr>
      <w:t>110</w:t>
    </w:r>
  </w:p>
</w:ftr>
</file>

<file path=word/footer10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9DCB36">
    <w:pPr>
      <w:spacing w:line="173" w:lineRule="auto"/>
      <w:ind w:left="4425"/>
      <w:rPr>
        <w:rFonts w:ascii="Times New Roman" w:hAnsi="Times New Roman" w:eastAsia="Times New Roman" w:cs="Times New Roman"/>
        <w:sz w:val="14"/>
        <w:szCs w:val="14"/>
      </w:rPr>
    </w:pPr>
    <w:r>
      <w:rPr>
        <w:rFonts w:ascii="Times New Roman" w:hAnsi="Times New Roman" w:eastAsia="Times New Roman" w:cs="Times New Roman"/>
        <w:b/>
        <w:bCs/>
        <w:spacing w:val="-3"/>
        <w:sz w:val="14"/>
        <w:szCs w:val="14"/>
      </w:rPr>
      <w:t>111</w:t>
    </w:r>
  </w:p>
</w:ftr>
</file>

<file path=word/footer10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1D562E">
    <w:pPr>
      <w:spacing w:line="173" w:lineRule="auto"/>
      <w:ind w:left="4003"/>
      <w:rPr>
        <w:rFonts w:ascii="Times New Roman" w:hAnsi="Times New Roman" w:eastAsia="Times New Roman" w:cs="Times New Roman"/>
        <w:sz w:val="14"/>
        <w:szCs w:val="14"/>
      </w:rPr>
    </w:pPr>
    <w:r>
      <w:rPr>
        <w:rFonts w:ascii="Times New Roman" w:hAnsi="Times New Roman" w:eastAsia="Times New Roman" w:cs="Times New Roman"/>
        <w:b/>
        <w:bCs/>
        <w:spacing w:val="-3"/>
        <w:sz w:val="14"/>
        <w:szCs w:val="14"/>
      </w:rPr>
      <w:t>112</w:t>
    </w:r>
  </w:p>
</w:ftr>
</file>

<file path=word/footer10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41CE36">
    <w:pPr>
      <w:spacing w:line="174" w:lineRule="auto"/>
      <w:ind w:left="4309"/>
      <w:rPr>
        <w:rFonts w:ascii="Times New Roman" w:hAnsi="Times New Roman" w:eastAsia="Times New Roman" w:cs="Times New Roman"/>
        <w:sz w:val="15"/>
        <w:szCs w:val="15"/>
      </w:rPr>
    </w:pPr>
    <w:r>
      <w:rPr>
        <w:rFonts w:ascii="Times New Roman" w:hAnsi="Times New Roman" w:eastAsia="Times New Roman" w:cs="Times New Roman"/>
        <w:b/>
        <w:bCs/>
        <w:spacing w:val="-3"/>
        <w:sz w:val="15"/>
        <w:szCs w:val="15"/>
      </w:rPr>
      <w:t>113</w:t>
    </w:r>
  </w:p>
</w:ftr>
</file>

<file path=word/footer10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5E6A27">
    <w:pPr>
      <w:spacing w:line="173" w:lineRule="auto"/>
      <w:ind w:left="4003"/>
      <w:rPr>
        <w:rFonts w:ascii="Times New Roman" w:hAnsi="Times New Roman" w:eastAsia="Times New Roman" w:cs="Times New Roman"/>
        <w:sz w:val="14"/>
        <w:szCs w:val="14"/>
      </w:rPr>
    </w:pPr>
    <w:r>
      <w:rPr>
        <w:rFonts w:ascii="Times New Roman" w:hAnsi="Times New Roman" w:eastAsia="Times New Roman" w:cs="Times New Roman"/>
        <w:spacing w:val="-4"/>
        <w:sz w:val="14"/>
        <w:szCs w:val="14"/>
      </w:rPr>
      <w:t>114</w:t>
    </w:r>
  </w:p>
</w:ftr>
</file>

<file path=word/footer10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9F5EDF">
    <w:pPr>
      <w:spacing w:line="174" w:lineRule="auto"/>
      <w:ind w:left="4329"/>
      <w:rPr>
        <w:rFonts w:ascii="Times New Roman" w:hAnsi="Times New Roman" w:eastAsia="Times New Roman" w:cs="Times New Roman"/>
        <w:sz w:val="15"/>
        <w:szCs w:val="15"/>
      </w:rPr>
    </w:pPr>
    <w:r>
      <w:rPr>
        <w:rFonts w:ascii="Times New Roman" w:hAnsi="Times New Roman" w:eastAsia="Times New Roman" w:cs="Times New Roman"/>
        <w:spacing w:val="-4"/>
        <w:sz w:val="15"/>
        <w:szCs w:val="15"/>
      </w:rPr>
      <w:t>115</w:t>
    </w:r>
  </w:p>
</w:ftr>
</file>

<file path=word/footer10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1C5FC4">
    <w:pPr>
      <w:spacing w:line="174" w:lineRule="auto"/>
      <w:ind w:left="4329"/>
      <w:rPr>
        <w:rFonts w:ascii="Times New Roman" w:hAnsi="Times New Roman" w:eastAsia="Times New Roman" w:cs="Times New Roman"/>
        <w:sz w:val="15"/>
        <w:szCs w:val="15"/>
      </w:rPr>
    </w:pPr>
    <w:r>
      <w:rPr>
        <w:rFonts w:ascii="Times New Roman" w:hAnsi="Times New Roman" w:eastAsia="Times New Roman" w:cs="Times New Roman"/>
        <w:spacing w:val="-4"/>
        <w:sz w:val="15"/>
        <w:szCs w:val="15"/>
      </w:rPr>
      <w:t>116</w:t>
    </w:r>
  </w:p>
</w:ftr>
</file>

<file path=word/footer10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EB0366">
    <w:pPr>
      <w:spacing w:line="174" w:lineRule="auto"/>
      <w:ind w:left="4329"/>
      <w:rPr>
        <w:rFonts w:ascii="Times New Roman" w:hAnsi="Times New Roman" w:eastAsia="Times New Roman" w:cs="Times New Roman"/>
        <w:sz w:val="15"/>
        <w:szCs w:val="15"/>
      </w:rPr>
    </w:pPr>
    <w:r>
      <w:rPr>
        <w:rFonts w:ascii="Times New Roman" w:hAnsi="Times New Roman" w:eastAsia="Times New Roman" w:cs="Times New Roman"/>
        <w:spacing w:val="-4"/>
        <w:sz w:val="15"/>
        <w:szCs w:val="15"/>
      </w:rPr>
      <w:t>117</w:t>
    </w:r>
  </w:p>
</w:ftr>
</file>

<file path=word/footer1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121C03">
    <w:pPr>
      <w:spacing w:line="174" w:lineRule="auto"/>
      <w:ind w:left="4340"/>
      <w:rPr>
        <w:rFonts w:ascii="Times New Roman" w:hAnsi="Times New Roman" w:eastAsia="Times New Roman" w:cs="Times New Roman"/>
        <w:sz w:val="15"/>
        <w:szCs w:val="15"/>
      </w:rPr>
    </w:pPr>
    <w:r>
      <w:rPr>
        <w:rFonts w:ascii="Times New Roman" w:hAnsi="Times New Roman" w:eastAsia="Times New Roman" w:cs="Times New Roman"/>
        <w:spacing w:val="-4"/>
        <w:sz w:val="15"/>
        <w:szCs w:val="15"/>
      </w:rPr>
      <w:t>118</w:t>
    </w:r>
  </w:p>
</w:ftr>
</file>

<file path=word/footer1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D01D5B">
    <w:pPr>
      <w:spacing w:line="173" w:lineRule="auto"/>
      <w:ind w:left="4340"/>
      <w:rPr>
        <w:rFonts w:ascii="Times New Roman" w:hAnsi="Times New Roman" w:eastAsia="Times New Roman" w:cs="Times New Roman"/>
        <w:sz w:val="14"/>
        <w:szCs w:val="14"/>
      </w:rPr>
    </w:pPr>
    <w:r>
      <w:rPr>
        <w:rFonts w:ascii="Times New Roman" w:hAnsi="Times New Roman" w:eastAsia="Times New Roman" w:cs="Times New Roman"/>
        <w:spacing w:val="-4"/>
        <w:sz w:val="14"/>
        <w:szCs w:val="14"/>
      </w:rPr>
      <w:t>119</w:t>
    </w:r>
  </w:p>
</w:ftr>
</file>

<file path=word/footer1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A3F1F9">
    <w:pPr>
      <w:spacing w:line="174" w:lineRule="auto"/>
      <w:ind w:left="4340"/>
      <w:rPr>
        <w:rFonts w:ascii="Times New Roman" w:hAnsi="Times New Roman" w:eastAsia="Times New Roman" w:cs="Times New Roman"/>
        <w:sz w:val="15"/>
        <w:szCs w:val="15"/>
      </w:rPr>
    </w:pPr>
    <w:r>
      <w:rPr>
        <w:rFonts w:ascii="Times New Roman" w:hAnsi="Times New Roman" w:eastAsia="Times New Roman" w:cs="Times New Roman"/>
        <w:spacing w:val="-4"/>
        <w:sz w:val="15"/>
        <w:szCs w:val="15"/>
      </w:rPr>
      <w:t>120</w:t>
    </w:r>
  </w:p>
</w:ftr>
</file>

<file path=word/footer1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B6CD34">
    <w:pPr>
      <w:spacing w:line="173" w:lineRule="auto"/>
      <w:ind w:left="4340"/>
      <w:rPr>
        <w:rFonts w:ascii="Times New Roman" w:hAnsi="Times New Roman" w:eastAsia="Times New Roman" w:cs="Times New Roman"/>
        <w:sz w:val="14"/>
        <w:szCs w:val="14"/>
      </w:rPr>
    </w:pPr>
    <w:r>
      <w:rPr>
        <w:rFonts w:ascii="Times New Roman" w:hAnsi="Times New Roman" w:eastAsia="Times New Roman" w:cs="Times New Roman"/>
        <w:spacing w:val="-4"/>
        <w:sz w:val="14"/>
        <w:szCs w:val="14"/>
      </w:rPr>
      <w:t>121</w:t>
    </w:r>
  </w:p>
</w:ftr>
</file>

<file path=word/footer1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60410">
    <w:pPr>
      <w:spacing w:line="173" w:lineRule="auto"/>
      <w:ind w:left="4340"/>
      <w:rPr>
        <w:rFonts w:ascii="Times New Roman" w:hAnsi="Times New Roman" w:eastAsia="Times New Roman" w:cs="Times New Roman"/>
        <w:sz w:val="14"/>
        <w:szCs w:val="14"/>
      </w:rPr>
    </w:pPr>
    <w:r>
      <w:rPr>
        <w:rFonts w:ascii="Times New Roman" w:hAnsi="Times New Roman" w:eastAsia="Times New Roman" w:cs="Times New Roman"/>
        <w:spacing w:val="-4"/>
        <w:sz w:val="14"/>
        <w:szCs w:val="14"/>
      </w:rPr>
      <w:t>122</w:t>
    </w:r>
  </w:p>
</w:ftr>
</file>

<file path=word/footer1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D06E6D">
    <w:pPr>
      <w:spacing w:line="174" w:lineRule="auto"/>
      <w:ind w:left="4329"/>
      <w:rPr>
        <w:rFonts w:ascii="Times New Roman" w:hAnsi="Times New Roman" w:eastAsia="Times New Roman" w:cs="Times New Roman"/>
        <w:sz w:val="15"/>
        <w:szCs w:val="15"/>
      </w:rPr>
    </w:pPr>
    <w:r>
      <w:rPr>
        <w:rFonts w:ascii="Times New Roman" w:hAnsi="Times New Roman" w:eastAsia="Times New Roman" w:cs="Times New Roman"/>
        <w:spacing w:val="-4"/>
        <w:sz w:val="15"/>
        <w:szCs w:val="15"/>
      </w:rPr>
      <w:t>123</w:t>
    </w:r>
  </w:p>
</w:ftr>
</file>

<file path=word/footer1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253B77">
    <w:pPr>
      <w:spacing w:line="173" w:lineRule="auto"/>
      <w:ind w:left="4329"/>
      <w:rPr>
        <w:rFonts w:ascii="Times New Roman" w:hAnsi="Times New Roman" w:eastAsia="Times New Roman" w:cs="Times New Roman"/>
        <w:sz w:val="14"/>
        <w:szCs w:val="14"/>
      </w:rPr>
    </w:pPr>
    <w:r>
      <w:rPr>
        <w:rFonts w:ascii="Times New Roman" w:hAnsi="Times New Roman" w:eastAsia="Times New Roman" w:cs="Times New Roman"/>
        <w:spacing w:val="-4"/>
        <w:sz w:val="14"/>
        <w:szCs w:val="14"/>
      </w:rPr>
      <w:t>124</w:t>
    </w:r>
  </w:p>
</w:ftr>
</file>

<file path=word/footer1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E32C6D">
    <w:pPr>
      <w:spacing w:line="174" w:lineRule="auto"/>
      <w:ind w:left="4329"/>
      <w:rPr>
        <w:rFonts w:ascii="Times New Roman" w:hAnsi="Times New Roman" w:eastAsia="Times New Roman" w:cs="Times New Roman"/>
        <w:sz w:val="15"/>
        <w:szCs w:val="15"/>
      </w:rPr>
    </w:pPr>
    <w:r>
      <w:rPr>
        <w:rFonts w:ascii="Times New Roman" w:hAnsi="Times New Roman" w:eastAsia="Times New Roman" w:cs="Times New Roman"/>
        <w:spacing w:val="-4"/>
        <w:sz w:val="15"/>
        <w:szCs w:val="15"/>
      </w:rPr>
      <w:t>125</w:t>
    </w:r>
  </w:p>
</w:ftr>
</file>

<file path=word/footer1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0585E9">
    <w:pPr>
      <w:spacing w:line="174" w:lineRule="auto"/>
      <w:ind w:left="4340"/>
      <w:rPr>
        <w:rFonts w:ascii="Times New Roman" w:hAnsi="Times New Roman" w:eastAsia="Times New Roman" w:cs="Times New Roman"/>
        <w:sz w:val="15"/>
        <w:szCs w:val="15"/>
      </w:rPr>
    </w:pPr>
    <w:r>
      <w:rPr>
        <w:rFonts w:ascii="Times New Roman" w:hAnsi="Times New Roman" w:eastAsia="Times New Roman" w:cs="Times New Roman"/>
        <w:spacing w:val="-4"/>
        <w:sz w:val="15"/>
        <w:szCs w:val="15"/>
      </w:rPr>
      <w:t>126</w:t>
    </w:r>
  </w:p>
</w:ftr>
</file>

<file path=word/footer1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69E244">
    <w:pPr>
      <w:spacing w:line="174" w:lineRule="auto"/>
      <w:ind w:left="4340"/>
      <w:rPr>
        <w:rFonts w:ascii="Times New Roman" w:hAnsi="Times New Roman" w:eastAsia="Times New Roman" w:cs="Times New Roman"/>
        <w:sz w:val="15"/>
        <w:szCs w:val="15"/>
      </w:rPr>
    </w:pPr>
    <w:r>
      <w:rPr>
        <w:rFonts w:ascii="Times New Roman" w:hAnsi="Times New Roman" w:eastAsia="Times New Roman" w:cs="Times New Roman"/>
        <w:spacing w:val="-4"/>
        <w:sz w:val="15"/>
        <w:szCs w:val="15"/>
      </w:rPr>
      <w:t>127</w:t>
    </w:r>
  </w:p>
</w:ftr>
</file>

<file path=word/footer1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2927D2">
    <w:pPr>
      <w:spacing w:line="174" w:lineRule="auto"/>
      <w:ind w:left="4340"/>
      <w:rPr>
        <w:rFonts w:ascii="Times New Roman" w:hAnsi="Times New Roman" w:eastAsia="Times New Roman" w:cs="Times New Roman"/>
        <w:sz w:val="15"/>
        <w:szCs w:val="15"/>
      </w:rPr>
    </w:pPr>
    <w:r>
      <w:rPr>
        <w:rFonts w:ascii="Times New Roman" w:hAnsi="Times New Roman" w:eastAsia="Times New Roman" w:cs="Times New Roman"/>
        <w:spacing w:val="-4"/>
        <w:sz w:val="15"/>
        <w:szCs w:val="15"/>
      </w:rPr>
      <w:t>128</w:t>
    </w:r>
  </w:p>
</w:ftr>
</file>

<file path=word/footer1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037239">
    <w:pPr>
      <w:spacing w:line="173" w:lineRule="auto"/>
      <w:ind w:left="4329"/>
      <w:rPr>
        <w:rFonts w:ascii="Times New Roman" w:hAnsi="Times New Roman" w:eastAsia="Times New Roman" w:cs="Times New Roman"/>
        <w:sz w:val="14"/>
        <w:szCs w:val="14"/>
      </w:rPr>
    </w:pPr>
    <w:r>
      <w:rPr>
        <w:rFonts w:ascii="Times New Roman" w:hAnsi="Times New Roman" w:eastAsia="Times New Roman" w:cs="Times New Roman"/>
        <w:spacing w:val="-4"/>
        <w:sz w:val="14"/>
        <w:szCs w:val="14"/>
      </w:rPr>
      <w:t>129</w:t>
    </w:r>
  </w:p>
</w:ftr>
</file>

<file path=word/footer1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18A704">
    <w:pPr>
      <w:spacing w:line="174" w:lineRule="auto"/>
      <w:ind w:left="4329"/>
      <w:rPr>
        <w:rFonts w:ascii="Times New Roman" w:hAnsi="Times New Roman" w:eastAsia="Times New Roman" w:cs="Times New Roman"/>
        <w:sz w:val="15"/>
        <w:szCs w:val="15"/>
      </w:rPr>
    </w:pPr>
    <w:r>
      <w:rPr>
        <w:rFonts w:ascii="Times New Roman" w:hAnsi="Times New Roman" w:eastAsia="Times New Roman" w:cs="Times New Roman"/>
        <w:spacing w:val="-4"/>
        <w:sz w:val="15"/>
        <w:szCs w:val="15"/>
      </w:rPr>
      <w:t>130</w:t>
    </w:r>
  </w:p>
</w:ftr>
</file>

<file path=word/footer1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CCCDC5">
    <w:pPr>
      <w:spacing w:line="174" w:lineRule="auto"/>
      <w:ind w:left="4350"/>
      <w:rPr>
        <w:rFonts w:ascii="Times New Roman" w:hAnsi="Times New Roman" w:eastAsia="Times New Roman" w:cs="Times New Roman"/>
        <w:sz w:val="15"/>
        <w:szCs w:val="15"/>
      </w:rPr>
    </w:pPr>
    <w:r>
      <w:rPr>
        <w:rFonts w:ascii="Times New Roman" w:hAnsi="Times New Roman" w:eastAsia="Times New Roman" w:cs="Times New Roman"/>
        <w:spacing w:val="-4"/>
        <w:sz w:val="15"/>
        <w:szCs w:val="15"/>
      </w:rPr>
      <w:t>131</w:t>
    </w:r>
  </w:p>
</w:ftr>
</file>

<file path=word/footer1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52B23A">
    <w:pPr>
      <w:spacing w:line="174" w:lineRule="auto"/>
      <w:ind w:left="4329"/>
      <w:rPr>
        <w:rFonts w:ascii="Times New Roman" w:hAnsi="Times New Roman" w:eastAsia="Times New Roman" w:cs="Times New Roman"/>
        <w:sz w:val="15"/>
        <w:szCs w:val="15"/>
      </w:rPr>
    </w:pPr>
    <w:r>
      <w:rPr>
        <w:rFonts w:ascii="Times New Roman" w:hAnsi="Times New Roman" w:eastAsia="Times New Roman" w:cs="Times New Roman"/>
        <w:spacing w:val="-4"/>
        <w:sz w:val="15"/>
        <w:szCs w:val="15"/>
      </w:rPr>
      <w:t>132</w:t>
    </w:r>
  </w:p>
</w:ftr>
</file>

<file path=word/footer1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EAA7D7">
    <w:pPr>
      <w:spacing w:line="174" w:lineRule="auto"/>
      <w:ind w:left="4340"/>
      <w:rPr>
        <w:rFonts w:ascii="Times New Roman" w:hAnsi="Times New Roman" w:eastAsia="Times New Roman" w:cs="Times New Roman"/>
        <w:sz w:val="15"/>
        <w:szCs w:val="15"/>
      </w:rPr>
    </w:pPr>
    <w:r>
      <w:rPr>
        <w:rFonts w:ascii="Times New Roman" w:hAnsi="Times New Roman" w:eastAsia="Times New Roman" w:cs="Times New Roman"/>
        <w:spacing w:val="-4"/>
        <w:sz w:val="15"/>
        <w:szCs w:val="15"/>
      </w:rPr>
      <w:t>133</w:t>
    </w:r>
  </w:p>
</w:ftr>
</file>

<file path=word/footer1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B842F">
    <w:pPr>
      <w:spacing w:line="174" w:lineRule="auto"/>
      <w:ind w:left="4340"/>
      <w:rPr>
        <w:rFonts w:ascii="Times New Roman" w:hAnsi="Times New Roman" w:eastAsia="Times New Roman" w:cs="Times New Roman"/>
        <w:sz w:val="15"/>
        <w:szCs w:val="15"/>
      </w:rPr>
    </w:pPr>
    <w:r>
      <w:rPr>
        <w:rFonts w:ascii="Times New Roman" w:hAnsi="Times New Roman" w:eastAsia="Times New Roman" w:cs="Times New Roman"/>
        <w:spacing w:val="-4"/>
        <w:sz w:val="15"/>
        <w:szCs w:val="15"/>
      </w:rPr>
      <w:t>134</w:t>
    </w:r>
  </w:p>
</w:ftr>
</file>

<file path=word/footer1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A6B90C">
    <w:pPr>
      <w:pStyle w:val="2"/>
      <w:spacing w:line="230" w:lineRule="auto"/>
      <w:ind w:left="4329"/>
      <w:rPr>
        <w:sz w:val="20"/>
        <w:szCs w:val="20"/>
      </w:rPr>
    </w:pPr>
    <w:r>
      <w:rPr>
        <w:spacing w:val="-6"/>
        <w:sz w:val="20"/>
        <w:szCs w:val="20"/>
      </w:rPr>
      <w:t>135</w:t>
    </w:r>
  </w:p>
</w:ftr>
</file>

<file path=word/footer1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2C6D5B">
    <w:pPr>
      <w:spacing w:line="174" w:lineRule="auto"/>
      <w:ind w:left="4329"/>
      <w:rPr>
        <w:rFonts w:ascii="Times New Roman" w:hAnsi="Times New Roman" w:eastAsia="Times New Roman" w:cs="Times New Roman"/>
        <w:sz w:val="15"/>
        <w:szCs w:val="15"/>
      </w:rPr>
    </w:pPr>
    <w:r>
      <w:rPr>
        <w:rFonts w:ascii="Times New Roman" w:hAnsi="Times New Roman" w:eastAsia="Times New Roman" w:cs="Times New Roman"/>
        <w:spacing w:val="-4"/>
        <w:sz w:val="15"/>
        <w:szCs w:val="15"/>
      </w:rPr>
      <w:t>136</w:t>
    </w:r>
  </w:p>
</w:ftr>
</file>

<file path=word/footer1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261D47">
    <w:pPr>
      <w:spacing w:line="174" w:lineRule="auto"/>
      <w:ind w:left="4340"/>
      <w:rPr>
        <w:rFonts w:ascii="Times New Roman" w:hAnsi="Times New Roman" w:eastAsia="Times New Roman" w:cs="Times New Roman"/>
        <w:sz w:val="15"/>
        <w:szCs w:val="15"/>
      </w:rPr>
    </w:pPr>
    <w:r>
      <w:rPr>
        <w:rFonts w:ascii="Times New Roman" w:hAnsi="Times New Roman" w:eastAsia="Times New Roman" w:cs="Times New Roman"/>
        <w:spacing w:val="-4"/>
        <w:sz w:val="15"/>
        <w:szCs w:val="15"/>
      </w:rPr>
      <w:t>137</w:t>
    </w:r>
  </w:p>
</w:ftr>
</file>

<file path=word/footer1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BCB9E0">
    <w:pPr>
      <w:spacing w:line="174" w:lineRule="auto"/>
      <w:ind w:left="4340"/>
      <w:rPr>
        <w:rFonts w:ascii="Times New Roman" w:hAnsi="Times New Roman" w:eastAsia="Times New Roman" w:cs="Times New Roman"/>
        <w:sz w:val="15"/>
        <w:szCs w:val="15"/>
      </w:rPr>
    </w:pPr>
    <w:r>
      <w:rPr>
        <w:rFonts w:ascii="Times New Roman" w:hAnsi="Times New Roman" w:eastAsia="Times New Roman" w:cs="Times New Roman"/>
        <w:spacing w:val="-4"/>
        <w:sz w:val="15"/>
        <w:szCs w:val="15"/>
      </w:rPr>
      <w:t>138</w:t>
    </w:r>
  </w:p>
</w:ftr>
</file>

<file path=word/footer1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804471">
    <w:pPr>
      <w:spacing w:line="174" w:lineRule="auto"/>
      <w:ind w:left="4329"/>
      <w:rPr>
        <w:rFonts w:ascii="Times New Roman" w:hAnsi="Times New Roman" w:eastAsia="Times New Roman" w:cs="Times New Roman"/>
        <w:sz w:val="15"/>
        <w:szCs w:val="15"/>
      </w:rPr>
    </w:pPr>
    <w:r>
      <w:rPr>
        <w:rFonts w:ascii="Times New Roman" w:hAnsi="Times New Roman" w:eastAsia="Times New Roman" w:cs="Times New Roman"/>
        <w:spacing w:val="-4"/>
        <w:sz w:val="15"/>
        <w:szCs w:val="15"/>
      </w:rPr>
      <w:t>139</w:t>
    </w:r>
  </w:p>
</w:ftr>
</file>

<file path=word/footer1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49DF0A">
    <w:pPr>
      <w:spacing w:line="174" w:lineRule="auto"/>
      <w:ind w:left="4329"/>
      <w:rPr>
        <w:rFonts w:ascii="Times New Roman" w:hAnsi="Times New Roman" w:eastAsia="Times New Roman" w:cs="Times New Roman"/>
        <w:sz w:val="15"/>
        <w:szCs w:val="15"/>
      </w:rPr>
    </w:pPr>
    <w:r>
      <w:rPr>
        <w:rFonts w:ascii="Times New Roman" w:hAnsi="Times New Roman" w:eastAsia="Times New Roman" w:cs="Times New Roman"/>
        <w:spacing w:val="-4"/>
        <w:sz w:val="15"/>
        <w:szCs w:val="15"/>
      </w:rPr>
      <w:t>140</w:t>
    </w:r>
  </w:p>
</w:ftr>
</file>

<file path=word/footer1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D620B4">
    <w:pPr>
      <w:spacing w:line="173" w:lineRule="auto"/>
      <w:ind w:left="4319"/>
      <w:rPr>
        <w:rFonts w:ascii="Times New Roman" w:hAnsi="Times New Roman" w:eastAsia="Times New Roman" w:cs="Times New Roman"/>
        <w:sz w:val="14"/>
        <w:szCs w:val="14"/>
      </w:rPr>
    </w:pPr>
    <w:r>
      <w:rPr>
        <w:rFonts w:ascii="Times New Roman" w:hAnsi="Times New Roman" w:eastAsia="Times New Roman" w:cs="Times New Roman"/>
        <w:spacing w:val="-4"/>
        <w:sz w:val="14"/>
        <w:szCs w:val="14"/>
      </w:rPr>
      <w:t>141</w:t>
    </w:r>
  </w:p>
</w:ftr>
</file>

<file path=word/footer1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ABBFE9">
    <w:pPr>
      <w:spacing w:line="173" w:lineRule="auto"/>
      <w:ind w:left="4329"/>
      <w:rPr>
        <w:rFonts w:ascii="Times New Roman" w:hAnsi="Times New Roman" w:eastAsia="Times New Roman" w:cs="Times New Roman"/>
        <w:sz w:val="14"/>
        <w:szCs w:val="14"/>
      </w:rPr>
    </w:pPr>
    <w:r>
      <w:rPr>
        <w:rFonts w:ascii="Times New Roman" w:hAnsi="Times New Roman" w:eastAsia="Times New Roman" w:cs="Times New Roman"/>
        <w:spacing w:val="-4"/>
        <w:sz w:val="14"/>
        <w:szCs w:val="14"/>
      </w:rPr>
      <w:t>142</w:t>
    </w:r>
  </w:p>
</w:ftr>
</file>

<file path=word/footer1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EB4B86">
    <w:pPr>
      <w:spacing w:line="174" w:lineRule="auto"/>
      <w:ind w:left="4340"/>
      <w:rPr>
        <w:rFonts w:ascii="Times New Roman" w:hAnsi="Times New Roman" w:eastAsia="Times New Roman" w:cs="Times New Roman"/>
        <w:sz w:val="15"/>
        <w:szCs w:val="15"/>
      </w:rPr>
    </w:pPr>
    <w:r>
      <w:rPr>
        <w:rFonts w:ascii="Times New Roman" w:hAnsi="Times New Roman" w:eastAsia="Times New Roman" w:cs="Times New Roman"/>
        <w:spacing w:val="-4"/>
        <w:sz w:val="15"/>
        <w:szCs w:val="15"/>
      </w:rPr>
      <w:t>143</w:t>
    </w:r>
  </w:p>
</w:ftr>
</file>

<file path=word/footer1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EE9779">
    <w:pPr>
      <w:spacing w:line="173" w:lineRule="auto"/>
      <w:ind w:left="4340"/>
      <w:rPr>
        <w:rFonts w:ascii="Times New Roman" w:hAnsi="Times New Roman" w:eastAsia="Times New Roman" w:cs="Times New Roman"/>
        <w:sz w:val="14"/>
        <w:szCs w:val="14"/>
      </w:rPr>
    </w:pPr>
    <w:r>
      <w:rPr>
        <w:rFonts w:ascii="Times New Roman" w:hAnsi="Times New Roman" w:eastAsia="Times New Roman" w:cs="Times New Roman"/>
        <w:spacing w:val="-4"/>
        <w:sz w:val="14"/>
        <w:szCs w:val="14"/>
      </w:rPr>
      <w:t>144</w:t>
    </w:r>
  </w:p>
</w:ftr>
</file>

<file path=word/footer1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CAC0A0">
    <w:pPr>
      <w:spacing w:line="174" w:lineRule="auto"/>
      <w:ind w:left="4340"/>
      <w:rPr>
        <w:rFonts w:ascii="Times New Roman" w:hAnsi="Times New Roman" w:eastAsia="Times New Roman" w:cs="Times New Roman"/>
        <w:sz w:val="15"/>
        <w:szCs w:val="15"/>
      </w:rPr>
    </w:pPr>
    <w:r>
      <w:rPr>
        <w:rFonts w:ascii="Times New Roman" w:hAnsi="Times New Roman" w:eastAsia="Times New Roman" w:cs="Times New Roman"/>
        <w:spacing w:val="-4"/>
        <w:sz w:val="15"/>
        <w:szCs w:val="15"/>
      </w:rPr>
      <w:t>145</w:t>
    </w:r>
  </w:p>
</w:ftr>
</file>

<file path=word/footer1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C8EFC7">
    <w:pPr>
      <w:spacing w:line="174" w:lineRule="auto"/>
      <w:ind w:left="4340"/>
      <w:rPr>
        <w:rFonts w:ascii="Times New Roman" w:hAnsi="Times New Roman" w:eastAsia="Times New Roman" w:cs="Times New Roman"/>
        <w:sz w:val="15"/>
        <w:szCs w:val="15"/>
      </w:rPr>
    </w:pPr>
    <w:r>
      <w:rPr>
        <w:rFonts w:ascii="Times New Roman" w:hAnsi="Times New Roman" w:eastAsia="Times New Roman" w:cs="Times New Roman"/>
        <w:spacing w:val="-4"/>
        <w:sz w:val="15"/>
        <w:szCs w:val="15"/>
      </w:rPr>
      <w:t>146</w:t>
    </w:r>
  </w:p>
</w:ftr>
</file>

<file path=word/footer1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CA7CF0">
    <w:pPr>
      <w:spacing w:line="174" w:lineRule="auto"/>
      <w:ind w:left="4340"/>
      <w:rPr>
        <w:rFonts w:ascii="Times New Roman" w:hAnsi="Times New Roman" w:eastAsia="Times New Roman" w:cs="Times New Roman"/>
        <w:sz w:val="15"/>
        <w:szCs w:val="15"/>
      </w:rPr>
    </w:pPr>
    <w:r>
      <w:rPr>
        <w:rFonts w:ascii="Times New Roman" w:hAnsi="Times New Roman" w:eastAsia="Times New Roman" w:cs="Times New Roman"/>
        <w:spacing w:val="-4"/>
        <w:sz w:val="15"/>
        <w:szCs w:val="15"/>
      </w:rPr>
      <w:t>147</w:t>
    </w:r>
  </w:p>
</w:ftr>
</file>

<file path=word/footer1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98AAF4">
    <w:pPr>
      <w:spacing w:line="174" w:lineRule="auto"/>
      <w:ind w:left="4340"/>
      <w:rPr>
        <w:rFonts w:ascii="Times New Roman" w:hAnsi="Times New Roman" w:eastAsia="Times New Roman" w:cs="Times New Roman"/>
        <w:sz w:val="15"/>
        <w:szCs w:val="15"/>
      </w:rPr>
    </w:pPr>
    <w:r>
      <w:rPr>
        <w:rFonts w:ascii="Times New Roman" w:hAnsi="Times New Roman" w:eastAsia="Times New Roman" w:cs="Times New Roman"/>
        <w:spacing w:val="-4"/>
        <w:sz w:val="15"/>
        <w:szCs w:val="15"/>
      </w:rPr>
      <w:t>148</w:t>
    </w:r>
  </w:p>
</w:ftr>
</file>

<file path=word/footer1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C183B4">
    <w:pPr>
      <w:spacing w:line="173" w:lineRule="auto"/>
      <w:ind w:left="4340"/>
      <w:rPr>
        <w:rFonts w:ascii="Times New Roman" w:hAnsi="Times New Roman" w:eastAsia="Times New Roman" w:cs="Times New Roman"/>
        <w:sz w:val="14"/>
        <w:szCs w:val="14"/>
      </w:rPr>
    </w:pPr>
    <w:r>
      <w:rPr>
        <w:rFonts w:ascii="Times New Roman" w:hAnsi="Times New Roman" w:eastAsia="Times New Roman" w:cs="Times New Roman"/>
        <w:spacing w:val="-4"/>
        <w:sz w:val="14"/>
        <w:szCs w:val="14"/>
      </w:rPr>
      <w:t>149</w:t>
    </w:r>
  </w:p>
</w:ftr>
</file>

<file path=word/footer1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04887F">
    <w:pPr>
      <w:spacing w:line="174" w:lineRule="auto"/>
      <w:ind w:left="4340"/>
      <w:rPr>
        <w:rFonts w:ascii="Times New Roman" w:hAnsi="Times New Roman" w:eastAsia="Times New Roman" w:cs="Times New Roman"/>
        <w:sz w:val="15"/>
        <w:szCs w:val="15"/>
      </w:rPr>
    </w:pPr>
    <w:r>
      <w:rPr>
        <w:rFonts w:ascii="Times New Roman" w:hAnsi="Times New Roman" w:eastAsia="Times New Roman" w:cs="Times New Roman"/>
        <w:b/>
        <w:bCs/>
        <w:spacing w:val="-3"/>
        <w:sz w:val="15"/>
        <w:szCs w:val="15"/>
      </w:rPr>
      <w:t>150</w:t>
    </w:r>
  </w:p>
</w:ftr>
</file>

<file path=word/footer1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95DBB2">
    <w:pPr>
      <w:spacing w:line="174" w:lineRule="auto"/>
      <w:ind w:left="3993"/>
      <w:rPr>
        <w:rFonts w:ascii="Times New Roman" w:hAnsi="Times New Roman" w:eastAsia="Times New Roman" w:cs="Times New Roman"/>
        <w:sz w:val="15"/>
        <w:szCs w:val="15"/>
      </w:rPr>
    </w:pPr>
    <w:r>
      <w:rPr>
        <w:rFonts w:ascii="Times New Roman" w:hAnsi="Times New Roman" w:eastAsia="Times New Roman" w:cs="Times New Roman"/>
        <w:b/>
        <w:bCs/>
        <w:spacing w:val="-3"/>
        <w:sz w:val="15"/>
        <w:szCs w:val="15"/>
      </w:rPr>
      <w:t>151</w:t>
    </w:r>
  </w:p>
</w:ftr>
</file>

<file path=word/footer1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9969AC">
    <w:pPr>
      <w:spacing w:line="174" w:lineRule="auto"/>
      <w:ind w:left="4329"/>
      <w:rPr>
        <w:rFonts w:ascii="Times New Roman" w:hAnsi="Times New Roman" w:eastAsia="Times New Roman" w:cs="Times New Roman"/>
        <w:sz w:val="15"/>
        <w:szCs w:val="15"/>
      </w:rPr>
    </w:pPr>
    <w:r>
      <w:rPr>
        <w:rFonts w:ascii="Times New Roman" w:hAnsi="Times New Roman" w:eastAsia="Times New Roman" w:cs="Times New Roman"/>
        <w:spacing w:val="-4"/>
        <w:sz w:val="15"/>
        <w:szCs w:val="15"/>
      </w:rPr>
      <w:t>152</w:t>
    </w:r>
  </w:p>
</w:ftr>
</file>

<file path=word/footer1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2B9ECB">
    <w:pPr>
      <w:spacing w:line="173" w:lineRule="auto"/>
      <w:ind w:left="4340"/>
      <w:rPr>
        <w:rFonts w:ascii="Times New Roman" w:hAnsi="Times New Roman" w:eastAsia="Times New Roman" w:cs="Times New Roman"/>
        <w:sz w:val="14"/>
        <w:szCs w:val="14"/>
      </w:rPr>
    </w:pPr>
    <w:r>
      <w:rPr>
        <w:rFonts w:ascii="Times New Roman" w:hAnsi="Times New Roman" w:eastAsia="Times New Roman" w:cs="Times New Roman"/>
        <w:spacing w:val="-4"/>
        <w:sz w:val="14"/>
        <w:szCs w:val="14"/>
      </w:rPr>
      <w:t>153</w:t>
    </w:r>
  </w:p>
</w:ftr>
</file>

<file path=word/footer1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9EB5CB">
    <w:pPr>
      <w:spacing w:line="174" w:lineRule="auto"/>
      <w:ind w:left="4360"/>
      <w:rPr>
        <w:rFonts w:ascii="Times New Roman" w:hAnsi="Times New Roman" w:eastAsia="Times New Roman" w:cs="Times New Roman"/>
        <w:sz w:val="15"/>
        <w:szCs w:val="15"/>
      </w:rPr>
    </w:pPr>
    <w:r>
      <w:rPr>
        <w:rFonts w:ascii="Times New Roman" w:hAnsi="Times New Roman" w:eastAsia="Times New Roman" w:cs="Times New Roman"/>
        <w:spacing w:val="-4"/>
        <w:sz w:val="15"/>
        <w:szCs w:val="15"/>
      </w:rPr>
      <w:t>154</w:t>
    </w:r>
  </w:p>
</w:ftr>
</file>

<file path=word/footer1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1F268A">
    <w:pPr>
      <w:spacing w:line="174" w:lineRule="auto"/>
      <w:ind w:left="4340"/>
      <w:rPr>
        <w:rFonts w:ascii="Times New Roman" w:hAnsi="Times New Roman" w:eastAsia="Times New Roman" w:cs="Times New Roman"/>
        <w:sz w:val="15"/>
        <w:szCs w:val="15"/>
      </w:rPr>
    </w:pPr>
    <w:r>
      <w:rPr>
        <w:rFonts w:ascii="Times New Roman" w:hAnsi="Times New Roman" w:eastAsia="Times New Roman" w:cs="Times New Roman"/>
        <w:spacing w:val="-4"/>
        <w:sz w:val="15"/>
        <w:szCs w:val="15"/>
      </w:rPr>
      <w:t>155</w:t>
    </w:r>
  </w:p>
</w:ftr>
</file>

<file path=word/footer1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2FE500">
    <w:pPr>
      <w:spacing w:line="174" w:lineRule="auto"/>
      <w:ind w:left="4350"/>
      <w:rPr>
        <w:rFonts w:ascii="Times New Roman" w:hAnsi="Times New Roman" w:eastAsia="Times New Roman" w:cs="Times New Roman"/>
        <w:sz w:val="15"/>
        <w:szCs w:val="15"/>
      </w:rPr>
    </w:pPr>
    <w:r>
      <w:rPr>
        <w:rFonts w:ascii="Times New Roman" w:hAnsi="Times New Roman" w:eastAsia="Times New Roman" w:cs="Times New Roman"/>
        <w:spacing w:val="-4"/>
        <w:sz w:val="15"/>
        <w:szCs w:val="15"/>
      </w:rPr>
      <w:t>156</w:t>
    </w:r>
  </w:p>
</w:ftr>
</file>

<file path=word/footer1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9E7ACF">
    <w:pPr>
      <w:spacing w:line="174" w:lineRule="auto"/>
      <w:ind w:left="4350"/>
      <w:rPr>
        <w:rFonts w:ascii="Times New Roman" w:hAnsi="Times New Roman" w:eastAsia="Times New Roman" w:cs="Times New Roman"/>
        <w:sz w:val="15"/>
        <w:szCs w:val="15"/>
      </w:rPr>
    </w:pPr>
    <w:r>
      <w:rPr>
        <w:rFonts w:ascii="Times New Roman" w:hAnsi="Times New Roman" w:eastAsia="Times New Roman" w:cs="Times New Roman"/>
        <w:spacing w:val="-4"/>
        <w:sz w:val="15"/>
        <w:szCs w:val="15"/>
      </w:rPr>
      <w:t>157</w:t>
    </w:r>
  </w:p>
</w:ftr>
</file>

<file path=word/footer1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1B5BC1">
    <w:pPr>
      <w:spacing w:line="174" w:lineRule="auto"/>
      <w:ind w:left="4340"/>
      <w:rPr>
        <w:rFonts w:ascii="Times New Roman" w:hAnsi="Times New Roman" w:eastAsia="Times New Roman" w:cs="Times New Roman"/>
        <w:sz w:val="15"/>
        <w:szCs w:val="15"/>
      </w:rPr>
    </w:pPr>
    <w:r>
      <w:rPr>
        <w:rFonts w:ascii="Times New Roman" w:hAnsi="Times New Roman" w:eastAsia="Times New Roman" w:cs="Times New Roman"/>
        <w:spacing w:val="-4"/>
        <w:sz w:val="15"/>
        <w:szCs w:val="15"/>
      </w:rPr>
      <w:t>158</w:t>
    </w:r>
  </w:p>
</w:ftr>
</file>

<file path=word/footer1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107C8B">
    <w:pPr>
      <w:spacing w:line="174" w:lineRule="auto"/>
      <w:ind w:left="4330"/>
      <w:rPr>
        <w:rFonts w:ascii="Times New Roman" w:hAnsi="Times New Roman" w:eastAsia="Times New Roman" w:cs="Times New Roman"/>
        <w:sz w:val="15"/>
        <w:szCs w:val="15"/>
      </w:rPr>
    </w:pPr>
    <w:r>
      <w:rPr>
        <w:rFonts w:ascii="Times New Roman" w:hAnsi="Times New Roman" w:eastAsia="Times New Roman" w:cs="Times New Roman"/>
        <w:spacing w:val="-4"/>
        <w:sz w:val="15"/>
        <w:szCs w:val="15"/>
      </w:rPr>
      <w:t>159</w:t>
    </w:r>
  </w:p>
</w:ftr>
</file>

<file path=word/footer1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6FCF93">
    <w:pPr>
      <w:spacing w:line="174" w:lineRule="auto"/>
      <w:ind w:left="4360"/>
      <w:rPr>
        <w:rFonts w:ascii="Times New Roman" w:hAnsi="Times New Roman" w:eastAsia="Times New Roman" w:cs="Times New Roman"/>
        <w:sz w:val="15"/>
        <w:szCs w:val="15"/>
      </w:rPr>
    </w:pPr>
    <w:r>
      <w:rPr>
        <w:rFonts w:ascii="Times New Roman" w:hAnsi="Times New Roman" w:eastAsia="Times New Roman" w:cs="Times New Roman"/>
        <w:spacing w:val="-4"/>
        <w:sz w:val="15"/>
        <w:szCs w:val="15"/>
      </w:rPr>
      <w:t>160</w:t>
    </w:r>
  </w:p>
</w:ftr>
</file>

<file path=word/footer1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46AC4">
    <w:pPr>
      <w:spacing w:line="174" w:lineRule="auto"/>
      <w:ind w:left="4340"/>
      <w:rPr>
        <w:rFonts w:ascii="Times New Roman" w:hAnsi="Times New Roman" w:eastAsia="Times New Roman" w:cs="Times New Roman"/>
        <w:sz w:val="15"/>
        <w:szCs w:val="15"/>
      </w:rPr>
    </w:pPr>
    <w:r>
      <w:rPr>
        <w:rFonts w:ascii="Times New Roman" w:hAnsi="Times New Roman" w:eastAsia="Times New Roman" w:cs="Times New Roman"/>
        <w:spacing w:val="-4"/>
        <w:sz w:val="15"/>
        <w:szCs w:val="15"/>
      </w:rPr>
      <w:t>161</w:t>
    </w:r>
  </w:p>
</w:ftr>
</file>

<file path=word/footer1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A26F52">
    <w:pPr>
      <w:spacing w:line="174" w:lineRule="auto"/>
      <w:ind w:left="4360"/>
      <w:rPr>
        <w:rFonts w:ascii="Times New Roman" w:hAnsi="Times New Roman" w:eastAsia="Times New Roman" w:cs="Times New Roman"/>
        <w:sz w:val="15"/>
        <w:szCs w:val="15"/>
      </w:rPr>
    </w:pPr>
    <w:r>
      <w:rPr>
        <w:rFonts w:ascii="Times New Roman" w:hAnsi="Times New Roman" w:eastAsia="Times New Roman" w:cs="Times New Roman"/>
        <w:spacing w:val="-4"/>
        <w:sz w:val="15"/>
        <w:szCs w:val="15"/>
      </w:rPr>
      <w:t>162</w:t>
    </w:r>
  </w:p>
</w:ftr>
</file>

<file path=word/footer1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DD4481">
    <w:pPr>
      <w:spacing w:line="174" w:lineRule="auto"/>
      <w:ind w:left="4350"/>
      <w:rPr>
        <w:rFonts w:ascii="Times New Roman" w:hAnsi="Times New Roman" w:eastAsia="Times New Roman" w:cs="Times New Roman"/>
        <w:sz w:val="15"/>
        <w:szCs w:val="15"/>
      </w:rPr>
    </w:pPr>
    <w:r>
      <w:rPr>
        <w:rFonts w:ascii="Times New Roman" w:hAnsi="Times New Roman" w:eastAsia="Times New Roman" w:cs="Times New Roman"/>
        <w:spacing w:val="-4"/>
        <w:sz w:val="15"/>
        <w:szCs w:val="15"/>
      </w:rPr>
      <w:t>163</w:t>
    </w:r>
  </w:p>
</w:ftr>
</file>

<file path=word/footer1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1D60FD">
    <w:pPr>
      <w:spacing w:line="174" w:lineRule="auto"/>
      <w:ind w:left="4330"/>
      <w:rPr>
        <w:rFonts w:ascii="Times New Roman" w:hAnsi="Times New Roman" w:eastAsia="Times New Roman" w:cs="Times New Roman"/>
        <w:sz w:val="15"/>
        <w:szCs w:val="15"/>
      </w:rPr>
    </w:pPr>
    <w:r>
      <w:rPr>
        <w:rFonts w:ascii="Times New Roman" w:hAnsi="Times New Roman" w:eastAsia="Times New Roman" w:cs="Times New Roman"/>
        <w:b/>
        <w:bCs/>
        <w:spacing w:val="-3"/>
        <w:sz w:val="15"/>
        <w:szCs w:val="15"/>
      </w:rPr>
      <w:t>164</w:t>
    </w:r>
  </w:p>
</w:ftr>
</file>

<file path=word/footer1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4A19E5">
    <w:pPr>
      <w:spacing w:line="174" w:lineRule="auto"/>
      <w:ind w:left="4340"/>
      <w:rPr>
        <w:rFonts w:ascii="Times New Roman" w:hAnsi="Times New Roman" w:eastAsia="Times New Roman" w:cs="Times New Roman"/>
        <w:sz w:val="15"/>
        <w:szCs w:val="15"/>
      </w:rPr>
    </w:pPr>
    <w:r>
      <w:rPr>
        <w:rFonts w:ascii="Times New Roman" w:hAnsi="Times New Roman" w:eastAsia="Times New Roman" w:cs="Times New Roman"/>
        <w:spacing w:val="-4"/>
        <w:sz w:val="15"/>
        <w:szCs w:val="15"/>
      </w:rPr>
      <w:t>165</w:t>
    </w:r>
  </w:p>
</w:ftr>
</file>

<file path=word/footer1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D754C4">
    <w:pPr>
      <w:spacing w:line="174" w:lineRule="auto"/>
      <w:ind w:left="4329"/>
      <w:rPr>
        <w:rFonts w:ascii="Times New Roman" w:hAnsi="Times New Roman" w:eastAsia="Times New Roman" w:cs="Times New Roman"/>
        <w:sz w:val="15"/>
        <w:szCs w:val="15"/>
      </w:rPr>
    </w:pPr>
    <w:r>
      <w:rPr>
        <w:rFonts w:ascii="Times New Roman" w:hAnsi="Times New Roman" w:eastAsia="Times New Roman" w:cs="Times New Roman"/>
        <w:spacing w:val="-4"/>
        <w:sz w:val="15"/>
        <w:szCs w:val="15"/>
      </w:rPr>
      <w:t>166</w:t>
    </w:r>
  </w:p>
</w:ftr>
</file>

<file path=word/footer1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175E7D">
    <w:pPr>
      <w:spacing w:line="174" w:lineRule="auto"/>
      <w:ind w:left="4360"/>
      <w:rPr>
        <w:rFonts w:ascii="Times New Roman" w:hAnsi="Times New Roman" w:eastAsia="Times New Roman" w:cs="Times New Roman"/>
        <w:sz w:val="15"/>
        <w:szCs w:val="15"/>
      </w:rPr>
    </w:pPr>
    <w:r>
      <w:rPr>
        <w:rFonts w:ascii="Times New Roman" w:hAnsi="Times New Roman" w:eastAsia="Times New Roman" w:cs="Times New Roman"/>
        <w:spacing w:val="-4"/>
        <w:sz w:val="15"/>
        <w:szCs w:val="15"/>
      </w:rPr>
      <w:t>167</w:t>
    </w:r>
  </w:p>
</w:ftr>
</file>

<file path=word/footer1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220033">
    <w:pPr>
      <w:spacing w:line="174" w:lineRule="auto"/>
      <w:ind w:left="4340"/>
      <w:rPr>
        <w:rFonts w:ascii="Times New Roman" w:hAnsi="Times New Roman" w:eastAsia="Times New Roman" w:cs="Times New Roman"/>
        <w:sz w:val="15"/>
        <w:szCs w:val="15"/>
      </w:rPr>
    </w:pPr>
    <w:r>
      <w:rPr>
        <w:rFonts w:ascii="Times New Roman" w:hAnsi="Times New Roman" w:eastAsia="Times New Roman" w:cs="Times New Roman"/>
        <w:spacing w:val="-4"/>
        <w:sz w:val="15"/>
        <w:szCs w:val="15"/>
      </w:rPr>
      <w:t>168</w:t>
    </w:r>
  </w:p>
</w:ftr>
</file>

<file path=word/footer1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B654F5">
    <w:pPr>
      <w:spacing w:line="174" w:lineRule="auto"/>
      <w:ind w:left="4330"/>
      <w:rPr>
        <w:rFonts w:ascii="Times New Roman" w:hAnsi="Times New Roman" w:eastAsia="Times New Roman" w:cs="Times New Roman"/>
        <w:sz w:val="15"/>
        <w:szCs w:val="15"/>
      </w:rPr>
    </w:pPr>
    <w:r>
      <w:rPr>
        <w:rFonts w:ascii="Times New Roman" w:hAnsi="Times New Roman" w:eastAsia="Times New Roman" w:cs="Times New Roman"/>
        <w:spacing w:val="-4"/>
        <w:sz w:val="15"/>
        <w:szCs w:val="15"/>
      </w:rPr>
      <w:t>169</w:t>
    </w:r>
  </w:p>
</w:ftr>
</file>

<file path=word/footer16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E2C3B4">
    <w:pPr>
      <w:spacing w:line="174" w:lineRule="auto"/>
      <w:ind w:left="4350"/>
      <w:rPr>
        <w:rFonts w:ascii="Times New Roman" w:hAnsi="Times New Roman" w:eastAsia="Times New Roman" w:cs="Times New Roman"/>
        <w:sz w:val="15"/>
        <w:szCs w:val="15"/>
      </w:rPr>
    </w:pPr>
    <w:r>
      <w:rPr>
        <w:rFonts w:ascii="Times New Roman" w:hAnsi="Times New Roman" w:eastAsia="Times New Roman" w:cs="Times New Roman"/>
        <w:spacing w:val="-4"/>
        <w:sz w:val="15"/>
        <w:szCs w:val="15"/>
      </w:rPr>
      <w:t>170</w:t>
    </w:r>
  </w:p>
</w:ftr>
</file>

<file path=word/footer16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E2D6B6">
    <w:pPr>
      <w:spacing w:line="174" w:lineRule="auto"/>
      <w:ind w:left="4350"/>
      <w:rPr>
        <w:rFonts w:ascii="Times New Roman" w:hAnsi="Times New Roman" w:eastAsia="Times New Roman" w:cs="Times New Roman"/>
        <w:sz w:val="15"/>
        <w:szCs w:val="15"/>
      </w:rPr>
    </w:pPr>
    <w:r>
      <w:rPr>
        <w:rFonts w:ascii="Times New Roman" w:hAnsi="Times New Roman" w:eastAsia="Times New Roman" w:cs="Times New Roman"/>
        <w:spacing w:val="-4"/>
        <w:sz w:val="15"/>
        <w:szCs w:val="15"/>
      </w:rPr>
      <w:t>171</w:t>
    </w:r>
  </w:p>
</w:ftr>
</file>

<file path=word/footer16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A17FFF">
    <w:pPr>
      <w:spacing w:line="174" w:lineRule="auto"/>
      <w:ind w:left="4003"/>
      <w:rPr>
        <w:rFonts w:ascii="Times New Roman" w:hAnsi="Times New Roman" w:eastAsia="Times New Roman" w:cs="Times New Roman"/>
        <w:sz w:val="15"/>
        <w:szCs w:val="15"/>
      </w:rPr>
    </w:pPr>
    <w:r>
      <w:rPr>
        <w:rFonts w:ascii="Times New Roman" w:hAnsi="Times New Roman" w:eastAsia="Times New Roman" w:cs="Times New Roman"/>
        <w:b/>
        <w:bCs/>
        <w:spacing w:val="-3"/>
        <w:sz w:val="15"/>
        <w:szCs w:val="15"/>
      </w:rPr>
      <w:t>172</w:t>
    </w:r>
  </w:p>
</w:ftr>
</file>

<file path=word/footer16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E2D215">
    <w:pPr>
      <w:spacing w:line="174" w:lineRule="auto"/>
      <w:ind w:left="4003"/>
      <w:rPr>
        <w:rFonts w:ascii="Times New Roman" w:hAnsi="Times New Roman" w:eastAsia="Times New Roman" w:cs="Times New Roman"/>
        <w:sz w:val="15"/>
        <w:szCs w:val="15"/>
      </w:rPr>
    </w:pPr>
    <w:r>
      <w:rPr>
        <w:rFonts w:ascii="Times New Roman" w:hAnsi="Times New Roman" w:eastAsia="Times New Roman" w:cs="Times New Roman"/>
        <w:b/>
        <w:bCs/>
        <w:spacing w:val="-3"/>
        <w:sz w:val="15"/>
        <w:szCs w:val="15"/>
      </w:rPr>
      <w:t>173</w:t>
    </w:r>
  </w:p>
</w:ftr>
</file>

<file path=word/footer16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30739B">
    <w:pPr>
      <w:spacing w:line="174" w:lineRule="auto"/>
      <w:ind w:left="4360"/>
      <w:rPr>
        <w:rFonts w:ascii="Times New Roman" w:hAnsi="Times New Roman" w:eastAsia="Times New Roman" w:cs="Times New Roman"/>
        <w:sz w:val="15"/>
        <w:szCs w:val="15"/>
      </w:rPr>
    </w:pPr>
    <w:r>
      <w:rPr>
        <w:rFonts w:ascii="Times New Roman" w:hAnsi="Times New Roman" w:eastAsia="Times New Roman" w:cs="Times New Roman"/>
        <w:spacing w:val="-4"/>
        <w:sz w:val="15"/>
        <w:szCs w:val="15"/>
      </w:rPr>
      <w:t>174</w:t>
    </w:r>
  </w:p>
</w:ftr>
</file>

<file path=word/footer16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4915CF">
    <w:pPr>
      <w:spacing w:line="174" w:lineRule="auto"/>
      <w:ind w:left="4330"/>
      <w:rPr>
        <w:rFonts w:ascii="Times New Roman" w:hAnsi="Times New Roman" w:eastAsia="Times New Roman" w:cs="Times New Roman"/>
        <w:sz w:val="15"/>
        <w:szCs w:val="15"/>
      </w:rPr>
    </w:pPr>
    <w:r>
      <w:rPr>
        <w:rFonts w:ascii="Times New Roman" w:hAnsi="Times New Roman" w:eastAsia="Times New Roman" w:cs="Times New Roman"/>
        <w:spacing w:val="-4"/>
        <w:sz w:val="15"/>
        <w:szCs w:val="15"/>
      </w:rPr>
      <w:t>175</w:t>
    </w:r>
  </w:p>
</w:ftr>
</file>

<file path=word/footer16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3FEFFD">
    <w:pPr>
      <w:spacing w:line="174" w:lineRule="auto"/>
      <w:ind w:left="4340"/>
      <w:rPr>
        <w:rFonts w:ascii="Times New Roman" w:hAnsi="Times New Roman" w:eastAsia="Times New Roman" w:cs="Times New Roman"/>
        <w:sz w:val="15"/>
        <w:szCs w:val="15"/>
      </w:rPr>
    </w:pPr>
    <w:r>
      <w:rPr>
        <w:rFonts w:ascii="Times New Roman" w:hAnsi="Times New Roman" w:eastAsia="Times New Roman" w:cs="Times New Roman"/>
        <w:spacing w:val="-4"/>
        <w:sz w:val="15"/>
        <w:szCs w:val="15"/>
      </w:rPr>
      <w:t>176</w:t>
    </w:r>
  </w:p>
</w:ftr>
</file>

<file path=word/footer16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BDE906">
    <w:pPr>
      <w:spacing w:line="177" w:lineRule="auto"/>
      <w:ind w:left="4340"/>
      <w:rPr>
        <w:rFonts w:ascii="Times New Roman" w:hAnsi="Times New Roman" w:eastAsia="Times New Roman" w:cs="Times New Roman"/>
        <w:sz w:val="19"/>
        <w:szCs w:val="19"/>
      </w:rPr>
    </w:pPr>
    <w:r>
      <w:rPr>
        <w:rFonts w:ascii="Times New Roman" w:hAnsi="Times New Roman" w:eastAsia="Times New Roman" w:cs="Times New Roman"/>
        <w:spacing w:val="-5"/>
        <w:sz w:val="19"/>
        <w:szCs w:val="19"/>
      </w:rPr>
      <w:t>177</w:t>
    </w:r>
  </w:p>
</w:ftr>
</file>

<file path=word/footer17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FE6ABB">
    <w:pPr>
      <w:spacing w:line="174" w:lineRule="auto"/>
      <w:ind w:left="4330"/>
      <w:rPr>
        <w:rFonts w:ascii="Times New Roman" w:hAnsi="Times New Roman" w:eastAsia="Times New Roman" w:cs="Times New Roman"/>
        <w:sz w:val="15"/>
        <w:szCs w:val="15"/>
      </w:rPr>
    </w:pPr>
    <w:r>
      <w:rPr>
        <w:rFonts w:ascii="Times New Roman" w:hAnsi="Times New Roman" w:eastAsia="Times New Roman" w:cs="Times New Roman"/>
        <w:b/>
        <w:bCs/>
        <w:spacing w:val="-3"/>
        <w:sz w:val="15"/>
        <w:szCs w:val="15"/>
      </w:rPr>
      <w:t>178</w:t>
    </w:r>
  </w:p>
</w:ftr>
</file>

<file path=word/footer17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F9F293">
    <w:pPr>
      <w:spacing w:line="173" w:lineRule="auto"/>
      <w:ind w:left="4340"/>
      <w:rPr>
        <w:rFonts w:ascii="Times New Roman" w:hAnsi="Times New Roman" w:eastAsia="Times New Roman" w:cs="Times New Roman"/>
        <w:sz w:val="14"/>
        <w:szCs w:val="14"/>
      </w:rPr>
    </w:pPr>
    <w:r>
      <w:rPr>
        <w:rFonts w:ascii="Times New Roman" w:hAnsi="Times New Roman" w:eastAsia="Times New Roman" w:cs="Times New Roman"/>
        <w:spacing w:val="-4"/>
        <w:sz w:val="14"/>
        <w:szCs w:val="14"/>
      </w:rPr>
      <w:t>179</w:t>
    </w:r>
  </w:p>
</w:ftr>
</file>

<file path=word/footer17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AFECF0">
    <w:pPr>
      <w:spacing w:line="174" w:lineRule="auto"/>
      <w:ind w:left="4319"/>
      <w:rPr>
        <w:rFonts w:ascii="Times New Roman" w:hAnsi="Times New Roman" w:eastAsia="Times New Roman" w:cs="Times New Roman"/>
        <w:sz w:val="15"/>
        <w:szCs w:val="15"/>
      </w:rPr>
    </w:pPr>
    <w:r>
      <w:rPr>
        <w:rFonts w:ascii="Times New Roman" w:hAnsi="Times New Roman" w:eastAsia="Times New Roman" w:cs="Times New Roman"/>
        <w:b/>
        <w:bCs/>
        <w:spacing w:val="-3"/>
        <w:sz w:val="15"/>
        <w:szCs w:val="15"/>
      </w:rPr>
      <w:t>180</w:t>
    </w:r>
  </w:p>
</w:ftr>
</file>

<file path=word/footer17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856BCE">
    <w:pPr>
      <w:spacing w:line="174" w:lineRule="auto"/>
      <w:ind w:left="4360"/>
      <w:rPr>
        <w:rFonts w:ascii="Times New Roman" w:hAnsi="Times New Roman" w:eastAsia="Times New Roman" w:cs="Times New Roman"/>
        <w:sz w:val="15"/>
        <w:szCs w:val="15"/>
      </w:rPr>
    </w:pPr>
    <w:r>
      <w:rPr>
        <w:rFonts w:ascii="Times New Roman" w:hAnsi="Times New Roman" w:eastAsia="Times New Roman" w:cs="Times New Roman"/>
        <w:spacing w:val="-4"/>
        <w:sz w:val="15"/>
        <w:szCs w:val="15"/>
      </w:rPr>
      <w:t>181</w:t>
    </w:r>
  </w:p>
</w:ftr>
</file>

<file path=word/footer17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AC9669">
    <w:pPr>
      <w:spacing w:line="176" w:lineRule="auto"/>
      <w:ind w:left="4350"/>
      <w:rPr>
        <w:rFonts w:ascii="Times New Roman" w:hAnsi="Times New Roman" w:eastAsia="Times New Roman" w:cs="Times New Roman"/>
        <w:sz w:val="18"/>
        <w:szCs w:val="18"/>
      </w:rPr>
    </w:pPr>
    <w:r>
      <w:rPr>
        <w:rFonts w:ascii="Times New Roman" w:hAnsi="Times New Roman" w:eastAsia="Times New Roman" w:cs="Times New Roman"/>
        <w:b/>
        <w:bCs/>
        <w:spacing w:val="-3"/>
        <w:sz w:val="18"/>
        <w:szCs w:val="18"/>
      </w:rPr>
      <w:t>182</w:t>
    </w:r>
  </w:p>
</w:ftr>
</file>

<file path=word/footer17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6E6BA5">
    <w:pPr>
      <w:spacing w:line="174" w:lineRule="auto"/>
      <w:ind w:left="4329"/>
      <w:rPr>
        <w:rFonts w:ascii="Times New Roman" w:hAnsi="Times New Roman" w:eastAsia="Times New Roman" w:cs="Times New Roman"/>
        <w:sz w:val="15"/>
        <w:szCs w:val="15"/>
      </w:rPr>
    </w:pPr>
    <w:r>
      <w:rPr>
        <w:rFonts w:ascii="Times New Roman" w:hAnsi="Times New Roman" w:eastAsia="Times New Roman" w:cs="Times New Roman"/>
        <w:spacing w:val="-4"/>
        <w:sz w:val="15"/>
        <w:szCs w:val="15"/>
      </w:rPr>
      <w:t>183</w:t>
    </w:r>
  </w:p>
</w:ftr>
</file>

<file path=word/footer17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F322A3">
    <w:pPr>
      <w:spacing w:line="176" w:lineRule="auto"/>
      <w:ind w:left="4003"/>
      <w:rPr>
        <w:rFonts w:ascii="Times New Roman" w:hAnsi="Times New Roman" w:eastAsia="Times New Roman" w:cs="Times New Roman"/>
        <w:sz w:val="18"/>
        <w:szCs w:val="18"/>
      </w:rPr>
    </w:pPr>
    <w:r>
      <w:rPr>
        <w:rFonts w:ascii="Times New Roman" w:hAnsi="Times New Roman" w:eastAsia="Times New Roman" w:cs="Times New Roman"/>
        <w:b/>
        <w:bCs/>
        <w:spacing w:val="-3"/>
        <w:sz w:val="18"/>
        <w:szCs w:val="18"/>
      </w:rPr>
      <w:t>184</w:t>
    </w:r>
  </w:p>
</w:ftr>
</file>

<file path=word/footer17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FC8417">
    <w:pPr>
      <w:spacing w:line="174" w:lineRule="auto"/>
      <w:ind w:left="4329"/>
      <w:rPr>
        <w:rFonts w:ascii="Times New Roman" w:hAnsi="Times New Roman" w:eastAsia="Times New Roman" w:cs="Times New Roman"/>
        <w:sz w:val="15"/>
        <w:szCs w:val="15"/>
      </w:rPr>
    </w:pPr>
    <w:r>
      <w:rPr>
        <w:rFonts w:ascii="Times New Roman" w:hAnsi="Times New Roman" w:eastAsia="Times New Roman" w:cs="Times New Roman"/>
        <w:b/>
        <w:bCs/>
        <w:spacing w:val="-3"/>
        <w:sz w:val="15"/>
        <w:szCs w:val="15"/>
      </w:rPr>
      <w:t>185</w:t>
    </w:r>
  </w:p>
</w:ftr>
</file>

<file path=word/footer17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B7BF71">
    <w:pPr>
      <w:spacing w:line="174" w:lineRule="auto"/>
      <w:ind w:left="4003"/>
      <w:rPr>
        <w:rFonts w:ascii="Times New Roman" w:hAnsi="Times New Roman" w:eastAsia="Times New Roman" w:cs="Times New Roman"/>
        <w:sz w:val="15"/>
        <w:szCs w:val="15"/>
      </w:rPr>
    </w:pPr>
    <w:r>
      <w:rPr>
        <w:rFonts w:ascii="Times New Roman" w:hAnsi="Times New Roman" w:eastAsia="Times New Roman" w:cs="Times New Roman"/>
        <w:b/>
        <w:bCs/>
        <w:spacing w:val="-3"/>
        <w:sz w:val="15"/>
        <w:szCs w:val="15"/>
      </w:rPr>
      <w:t>186</w:t>
    </w:r>
  </w:p>
</w:ftr>
</file>

<file path=word/footer17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F7B366">
    <w:pPr>
      <w:spacing w:line="176" w:lineRule="auto"/>
      <w:ind w:left="4340"/>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187</w:t>
    </w:r>
  </w:p>
</w:ftr>
</file>

<file path=word/footer18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EF4F1D">
    <w:pPr>
      <w:spacing w:line="174" w:lineRule="auto"/>
      <w:ind w:left="4340"/>
      <w:rPr>
        <w:rFonts w:ascii="Times New Roman" w:hAnsi="Times New Roman" w:eastAsia="Times New Roman" w:cs="Times New Roman"/>
        <w:sz w:val="15"/>
        <w:szCs w:val="15"/>
      </w:rPr>
    </w:pPr>
    <w:r>
      <w:rPr>
        <w:rFonts w:ascii="Times New Roman" w:hAnsi="Times New Roman" w:eastAsia="Times New Roman" w:cs="Times New Roman"/>
        <w:spacing w:val="-4"/>
        <w:sz w:val="15"/>
        <w:szCs w:val="15"/>
      </w:rPr>
      <w:t>188</w:t>
    </w:r>
  </w:p>
</w:ftr>
</file>

<file path=word/footer18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F271C5">
    <w:pPr>
      <w:spacing w:line="174" w:lineRule="auto"/>
      <w:ind w:left="4337"/>
      <w:rPr>
        <w:rFonts w:ascii="Times New Roman" w:hAnsi="Times New Roman" w:eastAsia="Times New Roman" w:cs="Times New Roman"/>
        <w:sz w:val="15"/>
        <w:szCs w:val="15"/>
      </w:rPr>
    </w:pPr>
    <w:r>
      <w:rPr>
        <w:rFonts w:ascii="Times New Roman" w:hAnsi="Times New Roman" w:eastAsia="Times New Roman" w:cs="Times New Roman"/>
        <w:b/>
        <w:bCs/>
        <w:spacing w:val="-3"/>
        <w:sz w:val="15"/>
        <w:szCs w:val="15"/>
      </w:rPr>
      <w:t>189</w:t>
    </w:r>
  </w:p>
</w:ftr>
</file>

<file path=word/footer18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E32CD3">
    <w:pPr>
      <w:spacing w:line="174" w:lineRule="auto"/>
      <w:ind w:left="4003"/>
      <w:rPr>
        <w:rFonts w:ascii="Times New Roman" w:hAnsi="Times New Roman" w:eastAsia="Times New Roman" w:cs="Times New Roman"/>
        <w:sz w:val="15"/>
        <w:szCs w:val="15"/>
      </w:rPr>
    </w:pPr>
    <w:r>
      <w:rPr>
        <w:rFonts w:ascii="Times New Roman" w:hAnsi="Times New Roman" w:eastAsia="Times New Roman" w:cs="Times New Roman"/>
        <w:b/>
        <w:bCs/>
        <w:spacing w:val="-3"/>
        <w:sz w:val="15"/>
        <w:szCs w:val="15"/>
      </w:rPr>
      <w:t>190</w:t>
    </w:r>
  </w:p>
</w:ftr>
</file>

<file path=word/footer18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F367B7">
    <w:pPr>
      <w:spacing w:line="173" w:lineRule="auto"/>
      <w:ind w:left="4319"/>
      <w:rPr>
        <w:rFonts w:ascii="Times New Roman" w:hAnsi="Times New Roman" w:eastAsia="Times New Roman" w:cs="Times New Roman"/>
        <w:sz w:val="14"/>
        <w:szCs w:val="14"/>
      </w:rPr>
    </w:pPr>
    <w:r>
      <w:rPr>
        <w:rFonts w:ascii="Times New Roman" w:hAnsi="Times New Roman" w:eastAsia="Times New Roman" w:cs="Times New Roman"/>
        <w:spacing w:val="-4"/>
        <w:sz w:val="14"/>
        <w:szCs w:val="14"/>
      </w:rPr>
      <w:t>191</w:t>
    </w:r>
  </w:p>
</w:ftr>
</file>

<file path=word/footer18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D675CD">
    <w:pPr>
      <w:spacing w:line="173" w:lineRule="auto"/>
      <w:ind w:left="4340"/>
      <w:rPr>
        <w:rFonts w:ascii="Times New Roman" w:hAnsi="Times New Roman" w:eastAsia="Times New Roman" w:cs="Times New Roman"/>
        <w:sz w:val="14"/>
        <w:szCs w:val="14"/>
      </w:rPr>
    </w:pPr>
    <w:r>
      <w:rPr>
        <w:rFonts w:ascii="Times New Roman" w:hAnsi="Times New Roman" w:eastAsia="Times New Roman" w:cs="Times New Roman"/>
        <w:spacing w:val="-4"/>
        <w:sz w:val="14"/>
        <w:szCs w:val="14"/>
      </w:rPr>
      <w:t>192</w:t>
    </w:r>
  </w:p>
</w:ftr>
</file>

<file path=word/footer18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3057F6">
    <w:pPr>
      <w:spacing w:line="174" w:lineRule="auto"/>
      <w:ind w:left="4329"/>
      <w:rPr>
        <w:rFonts w:ascii="Times New Roman" w:hAnsi="Times New Roman" w:eastAsia="Times New Roman" w:cs="Times New Roman"/>
        <w:sz w:val="15"/>
        <w:szCs w:val="15"/>
      </w:rPr>
    </w:pPr>
    <w:r>
      <w:rPr>
        <w:rFonts w:ascii="Times New Roman" w:hAnsi="Times New Roman" w:eastAsia="Times New Roman" w:cs="Times New Roman"/>
        <w:spacing w:val="-4"/>
        <w:sz w:val="15"/>
        <w:szCs w:val="15"/>
      </w:rPr>
      <w:t>193</w:t>
    </w:r>
  </w:p>
</w:ftr>
</file>

<file path=word/footer18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09FC98">
    <w:pPr>
      <w:spacing w:line="173" w:lineRule="auto"/>
      <w:ind w:left="4329"/>
      <w:rPr>
        <w:rFonts w:ascii="Times New Roman" w:hAnsi="Times New Roman" w:eastAsia="Times New Roman" w:cs="Times New Roman"/>
        <w:sz w:val="14"/>
        <w:szCs w:val="14"/>
      </w:rPr>
    </w:pPr>
    <w:r>
      <w:rPr>
        <w:rFonts w:ascii="Times New Roman" w:hAnsi="Times New Roman" w:eastAsia="Times New Roman" w:cs="Times New Roman"/>
        <w:spacing w:val="-4"/>
        <w:sz w:val="14"/>
        <w:szCs w:val="14"/>
      </w:rPr>
      <w:t>194</w:t>
    </w:r>
  </w:p>
</w:ftr>
</file>

<file path=word/footer18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19B778">
    <w:pPr>
      <w:spacing w:line="174" w:lineRule="auto"/>
      <w:ind w:left="4329"/>
      <w:rPr>
        <w:rFonts w:ascii="Times New Roman" w:hAnsi="Times New Roman" w:eastAsia="Times New Roman" w:cs="Times New Roman"/>
        <w:sz w:val="15"/>
        <w:szCs w:val="15"/>
      </w:rPr>
    </w:pPr>
    <w:r>
      <w:rPr>
        <w:rFonts w:ascii="Times New Roman" w:hAnsi="Times New Roman" w:eastAsia="Times New Roman" w:cs="Times New Roman"/>
        <w:spacing w:val="-4"/>
        <w:sz w:val="15"/>
        <w:szCs w:val="15"/>
      </w:rPr>
      <w:t>195</w:t>
    </w:r>
  </w:p>
</w:ftr>
</file>

<file path=word/footer18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563ED8">
    <w:pPr>
      <w:spacing w:line="173" w:lineRule="auto"/>
      <w:ind w:left="4329"/>
      <w:rPr>
        <w:rFonts w:ascii="Times New Roman" w:hAnsi="Times New Roman" w:eastAsia="Times New Roman" w:cs="Times New Roman"/>
        <w:sz w:val="14"/>
        <w:szCs w:val="14"/>
      </w:rPr>
    </w:pPr>
    <w:r>
      <w:rPr>
        <w:rFonts w:ascii="Times New Roman" w:hAnsi="Times New Roman" w:eastAsia="Times New Roman" w:cs="Times New Roman"/>
        <w:spacing w:val="-4"/>
        <w:sz w:val="14"/>
        <w:szCs w:val="14"/>
      </w:rPr>
      <w:t>196</w:t>
    </w:r>
  </w:p>
</w:ftr>
</file>

<file path=word/footer18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0F498E">
    <w:pPr>
      <w:spacing w:line="174" w:lineRule="auto"/>
      <w:ind w:left="4340"/>
      <w:rPr>
        <w:rFonts w:ascii="Times New Roman" w:hAnsi="Times New Roman" w:eastAsia="Times New Roman" w:cs="Times New Roman"/>
        <w:sz w:val="15"/>
        <w:szCs w:val="15"/>
      </w:rPr>
    </w:pPr>
    <w:r>
      <w:rPr>
        <w:rFonts w:ascii="Times New Roman" w:hAnsi="Times New Roman" w:eastAsia="Times New Roman" w:cs="Times New Roman"/>
        <w:spacing w:val="-4"/>
        <w:sz w:val="15"/>
        <w:szCs w:val="15"/>
      </w:rPr>
      <w:t>197</w:t>
    </w:r>
  </w:p>
</w:ftr>
</file>

<file path=word/footer19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57B58A">
    <w:pPr>
      <w:spacing w:line="174" w:lineRule="auto"/>
      <w:ind w:left="4340"/>
      <w:rPr>
        <w:rFonts w:ascii="Times New Roman" w:hAnsi="Times New Roman" w:eastAsia="Times New Roman" w:cs="Times New Roman"/>
        <w:sz w:val="15"/>
        <w:szCs w:val="15"/>
      </w:rPr>
    </w:pPr>
    <w:r>
      <w:rPr>
        <w:rFonts w:ascii="Times New Roman" w:hAnsi="Times New Roman" w:eastAsia="Times New Roman" w:cs="Times New Roman"/>
        <w:spacing w:val="-4"/>
        <w:sz w:val="15"/>
        <w:szCs w:val="15"/>
      </w:rPr>
      <w:t>198</w:t>
    </w:r>
  </w:p>
</w:ftr>
</file>

<file path=word/footer19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76754B">
    <w:pPr>
      <w:spacing w:line="173" w:lineRule="auto"/>
      <w:ind w:left="4350"/>
      <w:rPr>
        <w:rFonts w:ascii="Times New Roman" w:hAnsi="Times New Roman" w:eastAsia="Times New Roman" w:cs="Times New Roman"/>
        <w:sz w:val="14"/>
        <w:szCs w:val="14"/>
      </w:rPr>
    </w:pPr>
    <w:r>
      <w:rPr>
        <w:rFonts w:ascii="Times New Roman" w:hAnsi="Times New Roman" w:eastAsia="Times New Roman" w:cs="Times New Roman"/>
        <w:spacing w:val="-4"/>
        <w:sz w:val="14"/>
        <w:szCs w:val="14"/>
      </w:rPr>
      <w:t>199</w:t>
    </w:r>
  </w:p>
</w:ftr>
</file>

<file path=word/footer19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B01C23">
    <w:pPr>
      <w:spacing w:line="174" w:lineRule="auto"/>
      <w:ind w:left="4309"/>
      <w:rPr>
        <w:rFonts w:ascii="Times New Roman" w:hAnsi="Times New Roman" w:eastAsia="Times New Roman" w:cs="Times New Roman"/>
        <w:sz w:val="15"/>
        <w:szCs w:val="15"/>
      </w:rPr>
    </w:pPr>
    <w:r>
      <w:rPr>
        <w:rFonts w:ascii="Times New Roman" w:hAnsi="Times New Roman" w:eastAsia="Times New Roman" w:cs="Times New Roman"/>
        <w:spacing w:val="-1"/>
        <w:sz w:val="15"/>
        <w:szCs w:val="15"/>
      </w:rPr>
      <w:t>200</w:t>
    </w:r>
  </w:p>
</w:ftr>
</file>

<file path=word/footer19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4E5446">
    <w:pPr>
      <w:spacing w:line="174" w:lineRule="auto"/>
      <w:ind w:left="4329"/>
      <w:rPr>
        <w:rFonts w:ascii="Times New Roman" w:hAnsi="Times New Roman" w:eastAsia="Times New Roman" w:cs="Times New Roman"/>
        <w:sz w:val="15"/>
        <w:szCs w:val="15"/>
      </w:rPr>
    </w:pPr>
    <w:r>
      <w:rPr>
        <w:rFonts w:ascii="Times New Roman" w:hAnsi="Times New Roman" w:eastAsia="Times New Roman" w:cs="Times New Roman"/>
        <w:spacing w:val="-1"/>
        <w:sz w:val="15"/>
        <w:szCs w:val="15"/>
      </w:rPr>
      <w:t>201</w:t>
    </w:r>
  </w:p>
</w:ftr>
</file>

<file path=word/footer19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DE866D">
    <w:pPr>
      <w:spacing w:line="174" w:lineRule="auto"/>
      <w:ind w:left="4319"/>
      <w:rPr>
        <w:rFonts w:ascii="Times New Roman" w:hAnsi="Times New Roman" w:eastAsia="Times New Roman" w:cs="Times New Roman"/>
        <w:sz w:val="15"/>
        <w:szCs w:val="15"/>
      </w:rPr>
    </w:pPr>
    <w:r>
      <w:rPr>
        <w:rFonts w:ascii="Times New Roman" w:hAnsi="Times New Roman" w:eastAsia="Times New Roman" w:cs="Times New Roman"/>
        <w:spacing w:val="-1"/>
        <w:sz w:val="15"/>
        <w:szCs w:val="15"/>
      </w:rPr>
      <w:t>202</w:t>
    </w:r>
  </w:p>
</w:ftr>
</file>

<file path=word/footer19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C40ADA">
    <w:pPr>
      <w:spacing w:line="174" w:lineRule="auto"/>
      <w:ind w:left="4329"/>
      <w:rPr>
        <w:rFonts w:ascii="Times New Roman" w:hAnsi="Times New Roman" w:eastAsia="Times New Roman" w:cs="Times New Roman"/>
        <w:sz w:val="15"/>
        <w:szCs w:val="15"/>
      </w:rPr>
    </w:pPr>
    <w:r>
      <w:rPr>
        <w:rFonts w:ascii="Times New Roman" w:hAnsi="Times New Roman" w:eastAsia="Times New Roman" w:cs="Times New Roman"/>
        <w:spacing w:val="-1"/>
        <w:sz w:val="15"/>
        <w:szCs w:val="15"/>
      </w:rPr>
      <w:t>203</w:t>
    </w:r>
  </w:p>
</w:ftr>
</file>

<file path=word/footer19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AEECFD">
    <w:pPr>
      <w:spacing w:line="174" w:lineRule="auto"/>
      <w:ind w:left="4340"/>
      <w:rPr>
        <w:rFonts w:ascii="Times New Roman" w:hAnsi="Times New Roman" w:eastAsia="Times New Roman" w:cs="Times New Roman"/>
        <w:sz w:val="15"/>
        <w:szCs w:val="15"/>
      </w:rPr>
    </w:pPr>
    <w:r>
      <w:rPr>
        <w:rFonts w:ascii="Times New Roman" w:hAnsi="Times New Roman" w:eastAsia="Times New Roman" w:cs="Times New Roman"/>
        <w:b/>
        <w:bCs/>
        <w:spacing w:val="-1"/>
        <w:sz w:val="15"/>
        <w:szCs w:val="15"/>
      </w:rPr>
      <w:t>204</w:t>
    </w:r>
  </w:p>
</w:ftr>
</file>

<file path=word/footer19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DCF067">
    <w:pPr>
      <w:spacing w:line="174" w:lineRule="auto"/>
      <w:ind w:left="4319"/>
      <w:rPr>
        <w:rFonts w:ascii="Times New Roman" w:hAnsi="Times New Roman" w:eastAsia="Times New Roman" w:cs="Times New Roman"/>
        <w:sz w:val="15"/>
        <w:szCs w:val="15"/>
      </w:rPr>
    </w:pPr>
    <w:r>
      <w:rPr>
        <w:rFonts w:ascii="Times New Roman" w:hAnsi="Times New Roman" w:eastAsia="Times New Roman" w:cs="Times New Roman"/>
        <w:spacing w:val="-1"/>
        <w:sz w:val="15"/>
        <w:szCs w:val="15"/>
      </w:rPr>
      <w:t>205</w:t>
    </w:r>
  </w:p>
</w:ftr>
</file>

<file path=word/footer19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76A28A">
    <w:pPr>
      <w:spacing w:line="174" w:lineRule="auto"/>
      <w:ind w:left="4309"/>
      <w:rPr>
        <w:rFonts w:ascii="Times New Roman" w:hAnsi="Times New Roman" w:eastAsia="Times New Roman" w:cs="Times New Roman"/>
        <w:sz w:val="15"/>
        <w:szCs w:val="15"/>
      </w:rPr>
    </w:pPr>
    <w:r>
      <w:rPr>
        <w:rFonts w:ascii="Times New Roman" w:hAnsi="Times New Roman" w:eastAsia="Times New Roman" w:cs="Times New Roman"/>
        <w:spacing w:val="-1"/>
        <w:sz w:val="15"/>
        <w:szCs w:val="15"/>
      </w:rPr>
      <w:t>206</w:t>
    </w:r>
  </w:p>
</w:ftr>
</file>

<file path=word/footer19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E2DC3B">
    <w:pPr>
      <w:spacing w:line="174" w:lineRule="auto"/>
      <w:ind w:left="4329"/>
      <w:rPr>
        <w:rFonts w:ascii="Times New Roman" w:hAnsi="Times New Roman" w:eastAsia="Times New Roman" w:cs="Times New Roman"/>
        <w:sz w:val="15"/>
        <w:szCs w:val="15"/>
      </w:rPr>
    </w:pPr>
    <w:r>
      <w:rPr>
        <w:rFonts w:ascii="Times New Roman" w:hAnsi="Times New Roman" w:eastAsia="Times New Roman" w:cs="Times New Roman"/>
        <w:spacing w:val="-1"/>
        <w:sz w:val="15"/>
        <w:szCs w:val="15"/>
      </w:rPr>
      <w:t>207</w:t>
    </w:r>
  </w:p>
</w:ftr>
</file>

<file path=word/footer20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E35C60">
    <w:pPr>
      <w:spacing w:line="174" w:lineRule="auto"/>
      <w:ind w:left="4319"/>
      <w:rPr>
        <w:rFonts w:ascii="Times New Roman" w:hAnsi="Times New Roman" w:eastAsia="Times New Roman" w:cs="Times New Roman"/>
        <w:sz w:val="15"/>
        <w:szCs w:val="15"/>
      </w:rPr>
    </w:pPr>
    <w:r>
      <w:rPr>
        <w:rFonts w:ascii="Times New Roman" w:hAnsi="Times New Roman" w:eastAsia="Times New Roman" w:cs="Times New Roman"/>
        <w:spacing w:val="-1"/>
        <w:sz w:val="15"/>
        <w:szCs w:val="15"/>
      </w:rPr>
      <w:t>208</w:t>
    </w:r>
  </w:p>
</w:ftr>
</file>

<file path=word/footer20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65B258">
    <w:pPr>
      <w:spacing w:line="174" w:lineRule="auto"/>
      <w:ind w:left="4319"/>
      <w:rPr>
        <w:rFonts w:ascii="Times New Roman" w:hAnsi="Times New Roman" w:eastAsia="Times New Roman" w:cs="Times New Roman"/>
        <w:sz w:val="15"/>
        <w:szCs w:val="15"/>
      </w:rPr>
    </w:pPr>
    <w:r>
      <w:rPr>
        <w:rFonts w:ascii="Times New Roman" w:hAnsi="Times New Roman" w:eastAsia="Times New Roman" w:cs="Times New Roman"/>
        <w:spacing w:val="-1"/>
        <w:sz w:val="15"/>
        <w:szCs w:val="15"/>
      </w:rPr>
      <w:t>209</w:t>
    </w:r>
  </w:p>
</w:ftr>
</file>

<file path=word/footer20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A8C87A">
    <w:pPr>
      <w:spacing w:line="174" w:lineRule="auto"/>
      <w:ind w:left="4319"/>
      <w:rPr>
        <w:rFonts w:ascii="Times New Roman" w:hAnsi="Times New Roman" w:eastAsia="Times New Roman" w:cs="Times New Roman"/>
        <w:sz w:val="15"/>
        <w:szCs w:val="15"/>
      </w:rPr>
    </w:pPr>
    <w:r>
      <w:rPr>
        <w:rFonts w:ascii="Times New Roman" w:hAnsi="Times New Roman" w:eastAsia="Times New Roman" w:cs="Times New Roman"/>
        <w:spacing w:val="-1"/>
        <w:sz w:val="15"/>
        <w:szCs w:val="15"/>
      </w:rPr>
      <w:t>210</w:t>
    </w:r>
  </w:p>
</w:ftr>
</file>

<file path=word/footer20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D50587">
    <w:pPr>
      <w:spacing w:line="173" w:lineRule="auto"/>
      <w:ind w:left="4319"/>
      <w:rPr>
        <w:rFonts w:ascii="Times New Roman" w:hAnsi="Times New Roman" w:eastAsia="Times New Roman" w:cs="Times New Roman"/>
        <w:sz w:val="14"/>
        <w:szCs w:val="14"/>
      </w:rPr>
    </w:pPr>
    <w:r>
      <w:rPr>
        <w:rFonts w:ascii="Times New Roman" w:hAnsi="Times New Roman" w:eastAsia="Times New Roman" w:cs="Times New Roman"/>
        <w:spacing w:val="-1"/>
        <w:sz w:val="14"/>
        <w:szCs w:val="14"/>
      </w:rPr>
      <w:t>211</w:t>
    </w:r>
  </w:p>
</w:ftr>
</file>

<file path=word/footer20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585214">
    <w:pPr>
      <w:spacing w:line="173" w:lineRule="auto"/>
      <w:ind w:left="4309"/>
      <w:rPr>
        <w:rFonts w:ascii="Times New Roman" w:hAnsi="Times New Roman" w:eastAsia="Times New Roman" w:cs="Times New Roman"/>
        <w:sz w:val="14"/>
        <w:szCs w:val="14"/>
      </w:rPr>
    </w:pPr>
    <w:r>
      <w:rPr>
        <w:rFonts w:ascii="Times New Roman" w:hAnsi="Times New Roman" w:eastAsia="Times New Roman" w:cs="Times New Roman"/>
        <w:spacing w:val="-1"/>
        <w:sz w:val="14"/>
        <w:szCs w:val="14"/>
      </w:rPr>
      <w:t>212</w:t>
    </w:r>
  </w:p>
</w:ftr>
</file>

<file path=word/footer20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42BC80">
    <w:pPr>
      <w:spacing w:line="174" w:lineRule="auto"/>
      <w:ind w:left="4319"/>
      <w:rPr>
        <w:rFonts w:ascii="Times New Roman" w:hAnsi="Times New Roman" w:eastAsia="Times New Roman" w:cs="Times New Roman"/>
        <w:sz w:val="15"/>
        <w:szCs w:val="15"/>
      </w:rPr>
    </w:pPr>
    <w:r>
      <w:rPr>
        <w:rFonts w:ascii="Times New Roman" w:hAnsi="Times New Roman" w:eastAsia="Times New Roman" w:cs="Times New Roman"/>
        <w:b/>
        <w:bCs/>
        <w:spacing w:val="-1"/>
        <w:sz w:val="15"/>
        <w:szCs w:val="15"/>
      </w:rPr>
      <w:t>213</w:t>
    </w:r>
  </w:p>
</w:ftr>
</file>

<file path=word/footer20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470F95">
    <w:pPr>
      <w:spacing w:line="173" w:lineRule="auto"/>
      <w:ind w:left="4319"/>
      <w:rPr>
        <w:rFonts w:ascii="Times New Roman" w:hAnsi="Times New Roman" w:eastAsia="Times New Roman" w:cs="Times New Roman"/>
        <w:sz w:val="14"/>
        <w:szCs w:val="14"/>
      </w:rPr>
    </w:pPr>
    <w:r>
      <w:rPr>
        <w:rFonts w:ascii="Times New Roman" w:hAnsi="Times New Roman" w:eastAsia="Times New Roman" w:cs="Times New Roman"/>
        <w:spacing w:val="-1"/>
        <w:sz w:val="14"/>
        <w:szCs w:val="14"/>
      </w:rPr>
      <w:t>214</w:t>
    </w:r>
  </w:p>
</w:ftr>
</file>

<file path=word/footer20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224F75">
    <w:pPr>
      <w:spacing w:line="174" w:lineRule="auto"/>
      <w:ind w:left="4309"/>
      <w:rPr>
        <w:rFonts w:ascii="Times New Roman" w:hAnsi="Times New Roman" w:eastAsia="Times New Roman" w:cs="Times New Roman"/>
        <w:sz w:val="15"/>
        <w:szCs w:val="15"/>
      </w:rPr>
    </w:pPr>
    <w:r>
      <w:rPr>
        <w:rFonts w:ascii="Times New Roman" w:hAnsi="Times New Roman" w:eastAsia="Times New Roman" w:cs="Times New Roman"/>
        <w:spacing w:val="-1"/>
        <w:sz w:val="15"/>
        <w:szCs w:val="15"/>
      </w:rPr>
      <w:t>215</w:t>
    </w:r>
  </w:p>
</w:ftr>
</file>

<file path=word/footer20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1CA5BC">
    <w:pPr>
      <w:spacing w:line="174" w:lineRule="auto"/>
      <w:ind w:left="4309"/>
      <w:rPr>
        <w:rFonts w:ascii="Times New Roman" w:hAnsi="Times New Roman" w:eastAsia="Times New Roman" w:cs="Times New Roman"/>
        <w:sz w:val="15"/>
        <w:szCs w:val="15"/>
      </w:rPr>
    </w:pPr>
    <w:r>
      <w:rPr>
        <w:rFonts w:ascii="Times New Roman" w:hAnsi="Times New Roman" w:eastAsia="Times New Roman" w:cs="Times New Roman"/>
        <w:spacing w:val="-1"/>
        <w:sz w:val="15"/>
        <w:szCs w:val="15"/>
      </w:rPr>
      <w:t>216</w:t>
    </w:r>
  </w:p>
</w:ftr>
</file>

<file path=word/footer20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AFB299">
    <w:pPr>
      <w:spacing w:line="174" w:lineRule="auto"/>
      <w:ind w:left="4309"/>
      <w:rPr>
        <w:rFonts w:ascii="Times New Roman" w:hAnsi="Times New Roman" w:eastAsia="Times New Roman" w:cs="Times New Roman"/>
        <w:sz w:val="15"/>
        <w:szCs w:val="15"/>
      </w:rPr>
    </w:pPr>
    <w:r>
      <w:rPr>
        <w:rFonts w:ascii="Times New Roman" w:hAnsi="Times New Roman" w:eastAsia="Times New Roman" w:cs="Times New Roman"/>
        <w:spacing w:val="-1"/>
        <w:sz w:val="15"/>
        <w:szCs w:val="15"/>
      </w:rPr>
      <w:t>217</w:t>
    </w:r>
  </w:p>
</w:ftr>
</file>

<file path=word/footer2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7A51ED">
    <w:pPr>
      <w:spacing w:line="174" w:lineRule="auto"/>
      <w:ind w:left="4309"/>
      <w:rPr>
        <w:rFonts w:ascii="Times New Roman" w:hAnsi="Times New Roman" w:eastAsia="Times New Roman" w:cs="Times New Roman"/>
        <w:sz w:val="15"/>
        <w:szCs w:val="15"/>
      </w:rPr>
    </w:pPr>
    <w:r>
      <w:rPr>
        <w:rFonts w:ascii="Times New Roman" w:hAnsi="Times New Roman" w:eastAsia="Times New Roman" w:cs="Times New Roman"/>
        <w:spacing w:val="-1"/>
        <w:sz w:val="15"/>
        <w:szCs w:val="15"/>
      </w:rPr>
      <w:t>218</w:t>
    </w:r>
  </w:p>
</w:ftr>
</file>

<file path=word/footer2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1DBEE5">
    <w:pPr>
      <w:spacing w:line="174" w:lineRule="auto"/>
      <w:ind w:left="4319"/>
      <w:rPr>
        <w:rFonts w:ascii="Times New Roman" w:hAnsi="Times New Roman" w:eastAsia="Times New Roman" w:cs="Times New Roman"/>
        <w:sz w:val="15"/>
        <w:szCs w:val="15"/>
      </w:rPr>
    </w:pPr>
    <w:r>
      <w:rPr>
        <w:rFonts w:ascii="Times New Roman" w:hAnsi="Times New Roman" w:eastAsia="Times New Roman" w:cs="Times New Roman"/>
        <w:b/>
        <w:bCs/>
        <w:spacing w:val="-1"/>
        <w:sz w:val="15"/>
        <w:szCs w:val="15"/>
      </w:rPr>
      <w:t>219</w:t>
    </w:r>
  </w:p>
</w:ftr>
</file>

<file path=word/footer2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7DE01F">
    <w:pPr>
      <w:pStyle w:val="2"/>
      <w:spacing w:line="230" w:lineRule="auto"/>
      <w:ind w:left="4329"/>
      <w:rPr>
        <w:sz w:val="21"/>
        <w:szCs w:val="21"/>
      </w:rPr>
    </w:pPr>
    <w:r>
      <w:rPr>
        <w:spacing w:val="-3"/>
        <w:sz w:val="21"/>
        <w:szCs w:val="21"/>
      </w:rPr>
      <w:t>220</w:t>
    </w:r>
  </w:p>
</w:ftr>
</file>

<file path=word/footer2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620778">
    <w:pPr>
      <w:spacing w:line="173" w:lineRule="auto"/>
      <w:ind w:left="4329"/>
      <w:rPr>
        <w:rFonts w:ascii="Times New Roman" w:hAnsi="Times New Roman" w:eastAsia="Times New Roman" w:cs="Times New Roman"/>
        <w:sz w:val="14"/>
        <w:szCs w:val="14"/>
      </w:rPr>
    </w:pPr>
    <w:r>
      <w:rPr>
        <w:rFonts w:ascii="Times New Roman" w:hAnsi="Times New Roman" w:eastAsia="Times New Roman" w:cs="Times New Roman"/>
        <w:b/>
        <w:bCs/>
        <w:spacing w:val="-1"/>
        <w:sz w:val="14"/>
        <w:szCs w:val="14"/>
      </w:rPr>
      <w:t>221</w:t>
    </w:r>
  </w:p>
</w:ftr>
</file>

<file path=word/footer2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469707">
    <w:pPr>
      <w:spacing w:line="173" w:lineRule="auto"/>
      <w:ind w:left="4319"/>
      <w:rPr>
        <w:rFonts w:ascii="Times New Roman" w:hAnsi="Times New Roman" w:eastAsia="Times New Roman" w:cs="Times New Roman"/>
        <w:sz w:val="14"/>
        <w:szCs w:val="14"/>
      </w:rPr>
    </w:pPr>
    <w:r>
      <w:rPr>
        <w:rFonts w:ascii="Times New Roman" w:hAnsi="Times New Roman" w:eastAsia="Times New Roman" w:cs="Times New Roman"/>
        <w:spacing w:val="-1"/>
        <w:sz w:val="14"/>
        <w:szCs w:val="14"/>
      </w:rPr>
      <w:t>222</w:t>
    </w:r>
  </w:p>
</w:ftr>
</file>

<file path=word/footer2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76CFD0">
    <w:pPr>
      <w:spacing w:line="174" w:lineRule="auto"/>
      <w:ind w:left="4319"/>
      <w:rPr>
        <w:rFonts w:ascii="Times New Roman" w:hAnsi="Times New Roman" w:eastAsia="Times New Roman" w:cs="Times New Roman"/>
        <w:sz w:val="15"/>
        <w:szCs w:val="15"/>
      </w:rPr>
    </w:pPr>
    <w:r>
      <w:rPr>
        <w:rFonts w:ascii="Times New Roman" w:hAnsi="Times New Roman" w:eastAsia="Times New Roman" w:cs="Times New Roman"/>
        <w:spacing w:val="-1"/>
        <w:sz w:val="15"/>
        <w:szCs w:val="15"/>
      </w:rPr>
      <w:t>223</w:t>
    </w:r>
  </w:p>
</w:ftr>
</file>

<file path=word/footer2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0CBD81">
    <w:pPr>
      <w:spacing w:line="173" w:lineRule="auto"/>
      <w:ind w:left="4309"/>
      <w:rPr>
        <w:rFonts w:ascii="Times New Roman" w:hAnsi="Times New Roman" w:eastAsia="Times New Roman" w:cs="Times New Roman"/>
        <w:sz w:val="14"/>
        <w:szCs w:val="14"/>
      </w:rPr>
    </w:pPr>
    <w:r>
      <w:rPr>
        <w:rFonts w:ascii="Times New Roman" w:hAnsi="Times New Roman" w:eastAsia="Times New Roman" w:cs="Times New Roman"/>
        <w:spacing w:val="-1"/>
        <w:sz w:val="14"/>
        <w:szCs w:val="14"/>
      </w:rPr>
      <w:t>224</w:t>
    </w:r>
  </w:p>
</w:ftr>
</file>

<file path=word/footer2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47017F">
    <w:pPr>
      <w:spacing w:line="174" w:lineRule="auto"/>
      <w:ind w:left="4319"/>
      <w:rPr>
        <w:rFonts w:ascii="Times New Roman" w:hAnsi="Times New Roman" w:eastAsia="Times New Roman" w:cs="Times New Roman"/>
        <w:sz w:val="15"/>
        <w:szCs w:val="15"/>
      </w:rPr>
    </w:pPr>
    <w:r>
      <w:rPr>
        <w:rFonts w:ascii="Times New Roman" w:hAnsi="Times New Roman" w:eastAsia="Times New Roman" w:cs="Times New Roman"/>
        <w:spacing w:val="-1"/>
        <w:sz w:val="15"/>
        <w:szCs w:val="15"/>
      </w:rPr>
      <w:t>225</w:t>
    </w:r>
  </w:p>
</w:ftr>
</file>

<file path=word/footer2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E700A0">
    <w:pPr>
      <w:spacing w:line="174" w:lineRule="auto"/>
      <w:ind w:left="4309"/>
      <w:rPr>
        <w:rFonts w:ascii="Times New Roman" w:hAnsi="Times New Roman" w:eastAsia="Times New Roman" w:cs="Times New Roman"/>
        <w:sz w:val="15"/>
        <w:szCs w:val="15"/>
      </w:rPr>
    </w:pPr>
    <w:r>
      <w:rPr>
        <w:rFonts w:ascii="Times New Roman" w:hAnsi="Times New Roman" w:eastAsia="Times New Roman" w:cs="Times New Roman"/>
        <w:spacing w:val="-1"/>
        <w:sz w:val="15"/>
        <w:szCs w:val="15"/>
      </w:rPr>
      <w:t>226</w:t>
    </w:r>
  </w:p>
</w:ftr>
</file>

<file path=word/footer2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1CAC0A">
    <w:pPr>
      <w:spacing w:line="174" w:lineRule="auto"/>
      <w:ind w:left="4309"/>
      <w:rPr>
        <w:rFonts w:ascii="Times New Roman" w:hAnsi="Times New Roman" w:eastAsia="Times New Roman" w:cs="Times New Roman"/>
        <w:sz w:val="15"/>
        <w:szCs w:val="15"/>
      </w:rPr>
    </w:pPr>
    <w:r>
      <w:rPr>
        <w:rFonts w:ascii="Times New Roman" w:hAnsi="Times New Roman" w:eastAsia="Times New Roman" w:cs="Times New Roman"/>
        <w:spacing w:val="-1"/>
        <w:sz w:val="15"/>
        <w:szCs w:val="15"/>
      </w:rPr>
      <w:t>227</w:t>
    </w:r>
  </w:p>
</w:ftr>
</file>

<file path=word/footer2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EF2A23">
    <w:pPr>
      <w:spacing w:line="174" w:lineRule="auto"/>
      <w:ind w:left="4299"/>
      <w:rPr>
        <w:rFonts w:ascii="Times New Roman" w:hAnsi="Times New Roman" w:eastAsia="Times New Roman" w:cs="Times New Roman"/>
        <w:sz w:val="15"/>
        <w:szCs w:val="15"/>
      </w:rPr>
    </w:pPr>
    <w:r>
      <w:rPr>
        <w:rFonts w:ascii="Times New Roman" w:hAnsi="Times New Roman" w:eastAsia="Times New Roman" w:cs="Times New Roman"/>
        <w:spacing w:val="-1"/>
        <w:sz w:val="15"/>
        <w:szCs w:val="15"/>
      </w:rPr>
      <w:t>228</w:t>
    </w:r>
  </w:p>
</w:ftr>
</file>

<file path=word/footer2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340DBF">
    <w:pPr>
      <w:spacing w:line="174" w:lineRule="auto"/>
      <w:ind w:left="4309"/>
      <w:rPr>
        <w:rFonts w:ascii="Times New Roman" w:hAnsi="Times New Roman" w:eastAsia="Times New Roman" w:cs="Times New Roman"/>
        <w:sz w:val="15"/>
        <w:szCs w:val="15"/>
      </w:rPr>
    </w:pPr>
    <w:r>
      <w:rPr>
        <w:rFonts w:ascii="Times New Roman" w:hAnsi="Times New Roman" w:eastAsia="Times New Roman" w:cs="Times New Roman"/>
        <w:spacing w:val="-1"/>
        <w:sz w:val="15"/>
        <w:szCs w:val="15"/>
      </w:rPr>
      <w:t>229</w:t>
    </w:r>
  </w:p>
</w:ftr>
</file>

<file path=word/footer2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4B9577">
    <w:pPr>
      <w:spacing w:line="174" w:lineRule="auto"/>
      <w:ind w:left="4319"/>
      <w:rPr>
        <w:rFonts w:ascii="Times New Roman" w:hAnsi="Times New Roman" w:eastAsia="Times New Roman" w:cs="Times New Roman"/>
        <w:sz w:val="15"/>
        <w:szCs w:val="15"/>
      </w:rPr>
    </w:pPr>
    <w:r>
      <w:rPr>
        <w:rFonts w:ascii="Times New Roman" w:hAnsi="Times New Roman" w:eastAsia="Times New Roman" w:cs="Times New Roman"/>
        <w:spacing w:val="-1"/>
        <w:sz w:val="15"/>
        <w:szCs w:val="15"/>
      </w:rPr>
      <w:t>230</w:t>
    </w:r>
  </w:p>
</w:ftr>
</file>

<file path=word/footer2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9E56B0">
    <w:pPr>
      <w:spacing w:line="174" w:lineRule="auto"/>
      <w:ind w:left="4319"/>
      <w:rPr>
        <w:rFonts w:ascii="Times New Roman" w:hAnsi="Times New Roman" w:eastAsia="Times New Roman" w:cs="Times New Roman"/>
        <w:sz w:val="15"/>
        <w:szCs w:val="15"/>
      </w:rPr>
    </w:pPr>
    <w:r>
      <w:rPr>
        <w:rFonts w:ascii="Times New Roman" w:hAnsi="Times New Roman" w:eastAsia="Times New Roman" w:cs="Times New Roman"/>
        <w:spacing w:val="-1"/>
        <w:sz w:val="15"/>
        <w:szCs w:val="15"/>
      </w:rPr>
      <w:t>231</w:t>
    </w:r>
  </w:p>
</w:ftr>
</file>

<file path=word/footer2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BC68D9">
    <w:pPr>
      <w:spacing w:line="174" w:lineRule="auto"/>
      <w:ind w:left="4330"/>
      <w:rPr>
        <w:rFonts w:ascii="Times New Roman" w:hAnsi="Times New Roman" w:eastAsia="Times New Roman" w:cs="Times New Roman"/>
        <w:sz w:val="15"/>
        <w:szCs w:val="15"/>
      </w:rPr>
    </w:pPr>
    <w:r>
      <w:rPr>
        <w:rFonts w:ascii="Times New Roman" w:hAnsi="Times New Roman" w:eastAsia="Times New Roman" w:cs="Times New Roman"/>
        <w:b/>
        <w:bCs/>
        <w:spacing w:val="-1"/>
        <w:sz w:val="15"/>
        <w:szCs w:val="15"/>
      </w:rPr>
      <w:t>232</w:t>
    </w:r>
  </w:p>
</w:ftr>
</file>

<file path=word/footer2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048B73">
    <w:pPr>
      <w:spacing w:line="174" w:lineRule="auto"/>
      <w:ind w:left="4340"/>
      <w:rPr>
        <w:rFonts w:ascii="Times New Roman" w:hAnsi="Times New Roman" w:eastAsia="Times New Roman" w:cs="Times New Roman"/>
        <w:sz w:val="15"/>
        <w:szCs w:val="15"/>
      </w:rPr>
    </w:pPr>
    <w:r>
      <w:rPr>
        <w:rFonts w:ascii="Times New Roman" w:hAnsi="Times New Roman" w:eastAsia="Times New Roman" w:cs="Times New Roman"/>
        <w:spacing w:val="-1"/>
        <w:sz w:val="15"/>
        <w:szCs w:val="15"/>
      </w:rPr>
      <w:t>233</w:t>
    </w:r>
  </w:p>
</w:ftr>
</file>

<file path=word/footer2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86055B">
    <w:pPr>
      <w:spacing w:line="174" w:lineRule="auto"/>
      <w:ind w:left="4329"/>
      <w:rPr>
        <w:rFonts w:ascii="Times New Roman" w:hAnsi="Times New Roman" w:eastAsia="Times New Roman" w:cs="Times New Roman"/>
        <w:sz w:val="15"/>
        <w:szCs w:val="15"/>
      </w:rPr>
    </w:pPr>
    <w:r>
      <w:rPr>
        <w:rFonts w:ascii="Times New Roman" w:hAnsi="Times New Roman" w:eastAsia="Times New Roman" w:cs="Times New Roman"/>
        <w:spacing w:val="-1"/>
        <w:sz w:val="15"/>
        <w:szCs w:val="15"/>
      </w:rPr>
      <w:t>234</w:t>
    </w:r>
  </w:p>
</w:ftr>
</file>

<file path=word/footer2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EDE511">
    <w:pPr>
      <w:spacing w:line="174" w:lineRule="auto"/>
      <w:ind w:left="4319"/>
      <w:rPr>
        <w:rFonts w:ascii="Times New Roman" w:hAnsi="Times New Roman" w:eastAsia="Times New Roman" w:cs="Times New Roman"/>
        <w:sz w:val="15"/>
        <w:szCs w:val="15"/>
      </w:rPr>
    </w:pPr>
    <w:r>
      <w:rPr>
        <w:rFonts w:ascii="Times New Roman" w:hAnsi="Times New Roman" w:eastAsia="Times New Roman" w:cs="Times New Roman"/>
        <w:spacing w:val="-1"/>
        <w:sz w:val="15"/>
        <w:szCs w:val="15"/>
      </w:rPr>
      <w:t>235</w:t>
    </w:r>
  </w:p>
</w:ftr>
</file>

<file path=word/footer2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4CF18B">
    <w:pPr>
      <w:spacing w:line="174" w:lineRule="auto"/>
      <w:ind w:left="4309"/>
      <w:rPr>
        <w:rFonts w:ascii="Times New Roman" w:hAnsi="Times New Roman" w:eastAsia="Times New Roman" w:cs="Times New Roman"/>
        <w:sz w:val="15"/>
        <w:szCs w:val="15"/>
      </w:rPr>
    </w:pPr>
    <w:r>
      <w:rPr>
        <w:rFonts w:ascii="Times New Roman" w:hAnsi="Times New Roman" w:eastAsia="Times New Roman" w:cs="Times New Roman"/>
        <w:spacing w:val="-1"/>
        <w:sz w:val="15"/>
        <w:szCs w:val="15"/>
      </w:rPr>
      <w:t>236</w:t>
    </w:r>
  </w:p>
</w:ftr>
</file>

<file path=word/footer2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79EC21">
    <w:pPr>
      <w:spacing w:line="174" w:lineRule="auto"/>
      <w:ind w:left="4309"/>
      <w:rPr>
        <w:rFonts w:ascii="Times New Roman" w:hAnsi="Times New Roman" w:eastAsia="Times New Roman" w:cs="Times New Roman"/>
        <w:sz w:val="15"/>
        <w:szCs w:val="15"/>
      </w:rPr>
    </w:pPr>
    <w:r>
      <w:rPr>
        <w:rFonts w:ascii="Times New Roman" w:hAnsi="Times New Roman" w:eastAsia="Times New Roman" w:cs="Times New Roman"/>
        <w:spacing w:val="-1"/>
        <w:sz w:val="15"/>
        <w:szCs w:val="15"/>
      </w:rPr>
      <w:t>237</w:t>
    </w:r>
  </w:p>
</w:ftr>
</file>

<file path=word/footer2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9691B7">
    <w:pPr>
      <w:spacing w:line="174" w:lineRule="auto"/>
      <w:ind w:left="4309"/>
      <w:rPr>
        <w:rFonts w:ascii="Times New Roman" w:hAnsi="Times New Roman" w:eastAsia="Times New Roman" w:cs="Times New Roman"/>
        <w:sz w:val="15"/>
        <w:szCs w:val="15"/>
      </w:rPr>
    </w:pPr>
    <w:r>
      <w:rPr>
        <w:rFonts w:ascii="Times New Roman" w:hAnsi="Times New Roman" w:eastAsia="Times New Roman" w:cs="Times New Roman"/>
        <w:spacing w:val="-1"/>
        <w:sz w:val="15"/>
        <w:szCs w:val="15"/>
      </w:rPr>
      <w:t>238</w:t>
    </w:r>
  </w:p>
</w:ftr>
</file>

<file path=word/footer2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C7B9D2">
    <w:pPr>
      <w:spacing w:line="174" w:lineRule="auto"/>
      <w:ind w:left="4319"/>
      <w:rPr>
        <w:rFonts w:ascii="Times New Roman" w:hAnsi="Times New Roman" w:eastAsia="Times New Roman" w:cs="Times New Roman"/>
        <w:sz w:val="15"/>
        <w:szCs w:val="15"/>
      </w:rPr>
    </w:pPr>
    <w:r>
      <w:rPr>
        <w:rFonts w:ascii="Times New Roman" w:hAnsi="Times New Roman" w:eastAsia="Times New Roman" w:cs="Times New Roman"/>
        <w:spacing w:val="-1"/>
        <w:sz w:val="15"/>
        <w:szCs w:val="15"/>
      </w:rPr>
      <w:t>239</w:t>
    </w:r>
  </w:p>
</w:ftr>
</file>

<file path=word/footer2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E00EEB">
    <w:pPr>
      <w:spacing w:line="174" w:lineRule="auto"/>
      <w:ind w:left="4319"/>
      <w:rPr>
        <w:rFonts w:ascii="Times New Roman" w:hAnsi="Times New Roman" w:eastAsia="Times New Roman" w:cs="Times New Roman"/>
        <w:sz w:val="15"/>
        <w:szCs w:val="15"/>
      </w:rPr>
    </w:pPr>
    <w:r>
      <w:rPr>
        <w:rFonts w:ascii="Times New Roman" w:hAnsi="Times New Roman" w:eastAsia="Times New Roman" w:cs="Times New Roman"/>
        <w:spacing w:val="-1"/>
        <w:sz w:val="15"/>
        <w:szCs w:val="15"/>
      </w:rPr>
      <w:t>240</w:t>
    </w:r>
  </w:p>
</w:ftr>
</file>

<file path=word/footer2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78B442">
    <w:pPr>
      <w:spacing w:line="173" w:lineRule="auto"/>
      <w:ind w:left="3993"/>
      <w:rPr>
        <w:rFonts w:ascii="Times New Roman" w:hAnsi="Times New Roman" w:eastAsia="Times New Roman" w:cs="Times New Roman"/>
        <w:sz w:val="14"/>
        <w:szCs w:val="14"/>
      </w:rPr>
    </w:pPr>
    <w:r>
      <w:rPr>
        <w:rFonts w:ascii="Times New Roman" w:hAnsi="Times New Roman" w:eastAsia="Times New Roman" w:cs="Times New Roman"/>
        <w:b/>
        <w:bCs/>
        <w:spacing w:val="-1"/>
        <w:sz w:val="14"/>
        <w:szCs w:val="14"/>
      </w:rPr>
      <w:t>241</w:t>
    </w:r>
  </w:p>
</w:ftr>
</file>

<file path=word/footer2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C41232">
    <w:pPr>
      <w:spacing w:line="169" w:lineRule="auto"/>
      <w:ind w:left="4306"/>
      <w:rPr>
        <w:rFonts w:ascii="Times New Roman" w:hAnsi="Times New Roman" w:eastAsia="Times New Roman" w:cs="Times New Roman"/>
        <w:sz w:val="11"/>
        <w:szCs w:val="11"/>
      </w:rPr>
    </w:pPr>
    <w:r>
      <w:rPr>
        <w:rFonts w:ascii="Times New Roman" w:hAnsi="Times New Roman" w:eastAsia="Times New Roman" w:cs="Times New Roman"/>
        <w:spacing w:val="-1"/>
        <w:sz w:val="11"/>
        <w:szCs w:val="11"/>
      </w:rPr>
      <w:t>242</w:t>
    </w:r>
  </w:p>
</w:ftr>
</file>

<file path=word/footer2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776AAE">
    <w:pPr>
      <w:spacing w:line="173" w:lineRule="auto"/>
      <w:ind w:left="4340"/>
      <w:rPr>
        <w:rFonts w:ascii="Times New Roman" w:hAnsi="Times New Roman" w:eastAsia="Times New Roman" w:cs="Times New Roman"/>
        <w:sz w:val="14"/>
        <w:szCs w:val="14"/>
      </w:rPr>
    </w:pPr>
    <w:r>
      <w:rPr>
        <w:rFonts w:ascii="Times New Roman" w:hAnsi="Times New Roman" w:eastAsia="Times New Roman" w:cs="Times New Roman"/>
        <w:spacing w:val="-1"/>
        <w:sz w:val="14"/>
        <w:szCs w:val="14"/>
      </w:rPr>
      <w:t>243</w:t>
    </w:r>
  </w:p>
</w:ftr>
</file>

<file path=word/footer2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ABE23D">
    <w:pPr>
      <w:spacing w:line="173" w:lineRule="auto"/>
      <w:ind w:left="4309"/>
      <w:rPr>
        <w:rFonts w:ascii="Times New Roman" w:hAnsi="Times New Roman" w:eastAsia="Times New Roman" w:cs="Times New Roman"/>
        <w:sz w:val="14"/>
        <w:szCs w:val="14"/>
      </w:rPr>
    </w:pPr>
    <w:r>
      <w:rPr>
        <w:rFonts w:ascii="Times New Roman" w:hAnsi="Times New Roman" w:eastAsia="Times New Roman" w:cs="Times New Roman"/>
        <w:spacing w:val="-1"/>
        <w:sz w:val="14"/>
        <w:szCs w:val="14"/>
      </w:rPr>
      <w:t>244</w:t>
    </w:r>
  </w:p>
</w:ftr>
</file>

<file path=word/footer2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D8849B">
    <w:pPr>
      <w:spacing w:line="174" w:lineRule="auto"/>
      <w:ind w:left="4317"/>
      <w:rPr>
        <w:rFonts w:ascii="Times New Roman" w:hAnsi="Times New Roman" w:eastAsia="Times New Roman" w:cs="Times New Roman"/>
        <w:sz w:val="15"/>
        <w:szCs w:val="15"/>
      </w:rPr>
    </w:pPr>
    <w:r>
      <w:rPr>
        <w:rFonts w:ascii="Times New Roman" w:hAnsi="Times New Roman" w:eastAsia="Times New Roman" w:cs="Times New Roman"/>
        <w:spacing w:val="-1"/>
        <w:sz w:val="15"/>
        <w:szCs w:val="15"/>
      </w:rPr>
      <w:t>245</w:t>
    </w:r>
  </w:p>
</w:ftr>
</file>

<file path=word/footer2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2A2DD3">
    <w:pPr>
      <w:spacing w:line="173" w:lineRule="auto"/>
      <w:ind w:left="4306"/>
      <w:rPr>
        <w:rFonts w:ascii="Times New Roman" w:hAnsi="Times New Roman" w:eastAsia="Times New Roman" w:cs="Times New Roman"/>
        <w:sz w:val="14"/>
        <w:szCs w:val="14"/>
      </w:rPr>
    </w:pPr>
    <w:r>
      <w:rPr>
        <w:rFonts w:ascii="Times New Roman" w:hAnsi="Times New Roman" w:eastAsia="Times New Roman" w:cs="Times New Roman"/>
        <w:spacing w:val="-1"/>
        <w:sz w:val="14"/>
        <w:szCs w:val="14"/>
      </w:rPr>
      <w:t>246</w:t>
    </w:r>
  </w:p>
</w:ftr>
</file>

<file path=word/footer2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713CFF">
    <w:pPr>
      <w:spacing w:line="174" w:lineRule="auto"/>
      <w:ind w:left="4316"/>
      <w:rPr>
        <w:rFonts w:ascii="Times New Roman" w:hAnsi="Times New Roman" w:eastAsia="Times New Roman" w:cs="Times New Roman"/>
        <w:sz w:val="15"/>
        <w:szCs w:val="15"/>
      </w:rPr>
    </w:pPr>
    <w:r>
      <w:rPr>
        <w:rFonts w:ascii="Times New Roman" w:hAnsi="Times New Roman" w:eastAsia="Times New Roman" w:cs="Times New Roman"/>
        <w:spacing w:val="-1"/>
        <w:sz w:val="15"/>
        <w:szCs w:val="15"/>
      </w:rPr>
      <w:t>247</w:t>
    </w:r>
  </w:p>
</w:ftr>
</file>

<file path=word/footer2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1A8CA1">
    <w:pPr>
      <w:spacing w:line="173" w:lineRule="auto"/>
      <w:ind w:left="4327"/>
      <w:rPr>
        <w:rFonts w:ascii="Times New Roman" w:hAnsi="Times New Roman" w:eastAsia="Times New Roman" w:cs="Times New Roman"/>
        <w:sz w:val="14"/>
        <w:szCs w:val="14"/>
      </w:rPr>
    </w:pPr>
    <w:r>
      <w:rPr>
        <w:rFonts w:ascii="Times New Roman" w:hAnsi="Times New Roman" w:eastAsia="Times New Roman" w:cs="Times New Roman"/>
        <w:spacing w:val="-1"/>
        <w:sz w:val="14"/>
        <w:szCs w:val="14"/>
      </w:rPr>
      <w:t>248</w:t>
    </w:r>
  </w:p>
</w:ftr>
</file>

<file path=word/footer2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10108E">
    <w:pPr>
      <w:spacing w:line="174" w:lineRule="auto"/>
      <w:ind w:left="4317"/>
      <w:rPr>
        <w:rFonts w:ascii="Times New Roman" w:hAnsi="Times New Roman" w:eastAsia="Times New Roman" w:cs="Times New Roman"/>
        <w:sz w:val="15"/>
        <w:szCs w:val="15"/>
      </w:rPr>
    </w:pPr>
    <w:r>
      <w:rPr>
        <w:rFonts w:ascii="Times New Roman" w:hAnsi="Times New Roman" w:eastAsia="Times New Roman" w:cs="Times New Roman"/>
        <w:spacing w:val="-1"/>
        <w:sz w:val="15"/>
        <w:szCs w:val="15"/>
      </w:rPr>
      <w:t>249</w:t>
    </w:r>
  </w:p>
</w:ftr>
</file>

<file path=word/footer2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3701C0">
    <w:pPr>
      <w:spacing w:line="172" w:lineRule="auto"/>
      <w:ind w:left="4319"/>
      <w:rPr>
        <w:rFonts w:ascii="Times New Roman" w:hAnsi="Times New Roman" w:eastAsia="Times New Roman" w:cs="Times New Roman"/>
        <w:sz w:val="13"/>
        <w:szCs w:val="13"/>
      </w:rPr>
    </w:pPr>
    <w:r>
      <w:rPr>
        <w:rFonts w:ascii="Times New Roman" w:hAnsi="Times New Roman" w:eastAsia="Times New Roman" w:cs="Times New Roman"/>
        <w:spacing w:val="-1"/>
        <w:sz w:val="13"/>
        <w:szCs w:val="13"/>
      </w:rPr>
      <w:t>250</w:t>
    </w:r>
  </w:p>
</w:ftr>
</file>

<file path=word/footer2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00F466">
    <w:pPr>
      <w:spacing w:line="174" w:lineRule="auto"/>
      <w:ind w:left="4316"/>
      <w:rPr>
        <w:rFonts w:ascii="Times New Roman" w:hAnsi="Times New Roman" w:eastAsia="Times New Roman" w:cs="Times New Roman"/>
        <w:sz w:val="15"/>
        <w:szCs w:val="15"/>
      </w:rPr>
    </w:pPr>
    <w:r>
      <w:rPr>
        <w:rFonts w:ascii="Times New Roman" w:hAnsi="Times New Roman" w:eastAsia="Times New Roman" w:cs="Times New Roman"/>
        <w:spacing w:val="-1"/>
        <w:sz w:val="15"/>
        <w:szCs w:val="15"/>
      </w:rPr>
      <w:t>251</w:t>
    </w:r>
  </w:p>
</w:ftr>
</file>

<file path=word/footer2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77F92D">
    <w:pPr>
      <w:spacing w:line="173" w:lineRule="auto"/>
      <w:ind w:left="4319"/>
      <w:rPr>
        <w:rFonts w:ascii="Times New Roman" w:hAnsi="Times New Roman" w:eastAsia="Times New Roman" w:cs="Times New Roman"/>
        <w:sz w:val="14"/>
        <w:szCs w:val="14"/>
      </w:rPr>
    </w:pPr>
    <w:r>
      <w:rPr>
        <w:rFonts w:ascii="Times New Roman" w:hAnsi="Times New Roman" w:eastAsia="Times New Roman" w:cs="Times New Roman"/>
        <w:spacing w:val="-1"/>
        <w:sz w:val="14"/>
        <w:szCs w:val="14"/>
      </w:rPr>
      <w:t>252</w:t>
    </w:r>
  </w:p>
</w:ftr>
</file>

<file path=word/footer2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434459">
    <w:pPr>
      <w:spacing w:line="174" w:lineRule="auto"/>
      <w:ind w:left="4309"/>
      <w:rPr>
        <w:rFonts w:ascii="Times New Roman" w:hAnsi="Times New Roman" w:eastAsia="Times New Roman" w:cs="Times New Roman"/>
        <w:sz w:val="15"/>
        <w:szCs w:val="15"/>
      </w:rPr>
    </w:pPr>
    <w:r>
      <w:rPr>
        <w:rFonts w:ascii="Times New Roman" w:hAnsi="Times New Roman" w:eastAsia="Times New Roman" w:cs="Times New Roman"/>
        <w:spacing w:val="-1"/>
        <w:sz w:val="15"/>
        <w:szCs w:val="15"/>
      </w:rPr>
      <w:t>253</w:t>
    </w:r>
  </w:p>
</w:ftr>
</file>

<file path=word/footer2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2B3BD2">
    <w:pPr>
      <w:spacing w:line="174" w:lineRule="auto"/>
      <w:ind w:left="4309"/>
      <w:rPr>
        <w:rFonts w:ascii="Times New Roman" w:hAnsi="Times New Roman" w:eastAsia="Times New Roman" w:cs="Times New Roman"/>
        <w:sz w:val="15"/>
        <w:szCs w:val="15"/>
      </w:rPr>
    </w:pPr>
    <w:r>
      <w:rPr>
        <w:rFonts w:ascii="Times New Roman" w:hAnsi="Times New Roman" w:eastAsia="Times New Roman" w:cs="Times New Roman"/>
        <w:spacing w:val="-1"/>
        <w:sz w:val="15"/>
        <w:szCs w:val="15"/>
      </w:rPr>
      <w:t>254</w:t>
    </w:r>
  </w:p>
</w:ftr>
</file>

<file path=word/footer2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49A4EA">
    <w:pPr>
      <w:spacing w:line="175" w:lineRule="auto"/>
      <w:ind w:left="4306"/>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255</w:t>
    </w:r>
  </w:p>
</w:ftr>
</file>

<file path=word/footer2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BD1C8F">
    <w:pPr>
      <w:spacing w:line="174" w:lineRule="auto"/>
      <w:ind w:left="4309"/>
      <w:rPr>
        <w:rFonts w:ascii="Times New Roman" w:hAnsi="Times New Roman" w:eastAsia="Times New Roman" w:cs="Times New Roman"/>
        <w:sz w:val="15"/>
        <w:szCs w:val="15"/>
      </w:rPr>
    </w:pPr>
    <w:r>
      <w:rPr>
        <w:rFonts w:ascii="Times New Roman" w:hAnsi="Times New Roman" w:eastAsia="Times New Roman" w:cs="Times New Roman"/>
        <w:spacing w:val="-1"/>
        <w:sz w:val="15"/>
        <w:szCs w:val="15"/>
      </w:rPr>
      <w:t>256</w:t>
    </w:r>
  </w:p>
</w:ftr>
</file>

<file path=word/footer2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E3CCCA">
    <w:pPr>
      <w:spacing w:line="174" w:lineRule="auto"/>
      <w:ind w:left="4309"/>
      <w:rPr>
        <w:rFonts w:ascii="Times New Roman" w:hAnsi="Times New Roman" w:eastAsia="Times New Roman" w:cs="Times New Roman"/>
        <w:sz w:val="15"/>
        <w:szCs w:val="15"/>
      </w:rPr>
    </w:pPr>
    <w:r>
      <w:rPr>
        <w:rFonts w:ascii="Times New Roman" w:hAnsi="Times New Roman" w:eastAsia="Times New Roman" w:cs="Times New Roman"/>
        <w:spacing w:val="-1"/>
        <w:sz w:val="15"/>
        <w:szCs w:val="15"/>
      </w:rPr>
      <w:t>257</w:t>
    </w:r>
  </w:p>
</w:ftr>
</file>

<file path=word/footer2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3064FC">
    <w:pPr>
      <w:spacing w:line="174" w:lineRule="auto"/>
      <w:ind w:left="4309"/>
      <w:rPr>
        <w:rFonts w:ascii="Times New Roman" w:hAnsi="Times New Roman" w:eastAsia="Times New Roman" w:cs="Times New Roman"/>
        <w:sz w:val="15"/>
        <w:szCs w:val="15"/>
      </w:rPr>
    </w:pPr>
    <w:r>
      <w:rPr>
        <w:rFonts w:ascii="Times New Roman" w:hAnsi="Times New Roman" w:eastAsia="Times New Roman" w:cs="Times New Roman"/>
        <w:spacing w:val="-1"/>
        <w:sz w:val="15"/>
        <w:szCs w:val="15"/>
      </w:rPr>
      <w:t>258</w:t>
    </w:r>
  </w:p>
</w:ftr>
</file>

<file path=word/footer2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C64851">
    <w:pPr>
      <w:spacing w:line="174" w:lineRule="auto"/>
      <w:ind w:left="4317"/>
      <w:rPr>
        <w:rFonts w:ascii="Times New Roman" w:hAnsi="Times New Roman" w:eastAsia="Times New Roman" w:cs="Times New Roman"/>
        <w:sz w:val="15"/>
        <w:szCs w:val="15"/>
      </w:rPr>
    </w:pPr>
    <w:r>
      <w:rPr>
        <w:rFonts w:ascii="Times New Roman" w:hAnsi="Times New Roman" w:eastAsia="Times New Roman" w:cs="Times New Roman"/>
        <w:b/>
        <w:bCs/>
        <w:spacing w:val="-1"/>
        <w:sz w:val="15"/>
        <w:szCs w:val="15"/>
      </w:rPr>
      <w:t>259</w:t>
    </w:r>
  </w:p>
</w:ftr>
</file>

<file path=word/footer2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B02FEF">
    <w:pPr>
      <w:spacing w:line="174" w:lineRule="auto"/>
      <w:ind w:left="4305"/>
      <w:rPr>
        <w:rFonts w:ascii="Times New Roman" w:hAnsi="Times New Roman" w:eastAsia="Times New Roman" w:cs="Times New Roman"/>
        <w:sz w:val="15"/>
        <w:szCs w:val="15"/>
      </w:rPr>
    </w:pPr>
    <w:r>
      <w:rPr>
        <w:rFonts w:ascii="Times New Roman" w:hAnsi="Times New Roman" w:eastAsia="Times New Roman" w:cs="Times New Roman"/>
        <w:b/>
        <w:bCs/>
        <w:spacing w:val="-1"/>
        <w:sz w:val="15"/>
        <w:szCs w:val="15"/>
      </w:rPr>
      <w:t>260</w:t>
    </w:r>
  </w:p>
</w:ftr>
</file>

<file path=word/footer2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4528E4">
    <w:pPr>
      <w:spacing w:line="174" w:lineRule="auto"/>
      <w:ind w:left="4735"/>
      <w:rPr>
        <w:rFonts w:ascii="Times New Roman" w:hAnsi="Times New Roman" w:eastAsia="Times New Roman" w:cs="Times New Roman"/>
        <w:sz w:val="15"/>
        <w:szCs w:val="15"/>
      </w:rPr>
    </w:pPr>
    <w:r>
      <w:rPr>
        <w:rFonts w:ascii="Times New Roman" w:hAnsi="Times New Roman" w:eastAsia="Times New Roman" w:cs="Times New Roman"/>
        <w:b/>
        <w:bCs/>
        <w:spacing w:val="-1"/>
        <w:sz w:val="15"/>
        <w:szCs w:val="15"/>
      </w:rPr>
      <w:t>261</w:t>
    </w:r>
  </w:p>
</w:ftr>
</file>

<file path=word/footer2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B67B07">
    <w:pPr>
      <w:spacing w:line="172" w:lineRule="auto"/>
      <w:ind w:left="4759"/>
      <w:rPr>
        <w:rFonts w:ascii="Times New Roman" w:hAnsi="Times New Roman" w:eastAsia="Times New Roman" w:cs="Times New Roman"/>
        <w:sz w:val="13"/>
        <w:szCs w:val="13"/>
      </w:rPr>
    </w:pPr>
    <w:r>
      <w:rPr>
        <w:rFonts w:ascii="Times New Roman" w:hAnsi="Times New Roman" w:eastAsia="Times New Roman" w:cs="Times New Roman"/>
        <w:spacing w:val="-1"/>
        <w:sz w:val="13"/>
        <w:szCs w:val="13"/>
      </w:rPr>
      <w:t>261</w:t>
    </w:r>
  </w:p>
</w:ftr>
</file>

<file path=word/footer2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9B556B">
    <w:pPr>
      <w:spacing w:line="174" w:lineRule="auto"/>
      <w:ind w:left="4340"/>
      <w:rPr>
        <w:rFonts w:ascii="Times New Roman" w:hAnsi="Times New Roman" w:eastAsia="Times New Roman" w:cs="Times New Roman"/>
        <w:sz w:val="15"/>
        <w:szCs w:val="15"/>
      </w:rPr>
    </w:pPr>
    <w:r>
      <w:rPr>
        <w:rFonts w:ascii="Times New Roman" w:hAnsi="Times New Roman" w:eastAsia="Times New Roman" w:cs="Times New Roman"/>
        <w:spacing w:val="-1"/>
        <w:sz w:val="15"/>
        <w:szCs w:val="15"/>
      </w:rPr>
      <w:t>263</w:t>
    </w:r>
  </w:p>
</w:ftr>
</file>

<file path=word/footer2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90C435">
    <w:pPr>
      <w:spacing w:line="174" w:lineRule="auto"/>
      <w:ind w:left="4340"/>
      <w:rPr>
        <w:rFonts w:ascii="Times New Roman" w:hAnsi="Times New Roman" w:eastAsia="Times New Roman" w:cs="Times New Roman"/>
        <w:sz w:val="15"/>
        <w:szCs w:val="15"/>
      </w:rPr>
    </w:pPr>
    <w:r>
      <w:rPr>
        <w:rFonts w:ascii="Times New Roman" w:hAnsi="Times New Roman" w:eastAsia="Times New Roman" w:cs="Times New Roman"/>
        <w:b/>
        <w:bCs/>
        <w:spacing w:val="-1"/>
        <w:sz w:val="15"/>
        <w:szCs w:val="15"/>
      </w:rPr>
      <w:t>264</w:t>
    </w:r>
  </w:p>
</w:ftr>
</file>

<file path=word/footer2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D8AC89">
    <w:pPr>
      <w:spacing w:line="174" w:lineRule="auto"/>
      <w:ind w:left="4375"/>
      <w:rPr>
        <w:rFonts w:ascii="Times New Roman" w:hAnsi="Times New Roman" w:eastAsia="Times New Roman" w:cs="Times New Roman"/>
        <w:sz w:val="15"/>
        <w:szCs w:val="15"/>
      </w:rPr>
    </w:pPr>
    <w:r>
      <w:rPr>
        <w:rFonts w:ascii="Times New Roman" w:hAnsi="Times New Roman" w:eastAsia="Times New Roman" w:cs="Times New Roman"/>
        <w:b/>
        <w:bCs/>
        <w:spacing w:val="-1"/>
        <w:sz w:val="15"/>
        <w:szCs w:val="15"/>
      </w:rPr>
      <w:t>265</w:t>
    </w:r>
  </w:p>
</w:ftr>
</file>

<file path=word/footer2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B36C06">
    <w:pPr>
      <w:spacing w:line="174" w:lineRule="auto"/>
      <w:ind w:left="4355"/>
      <w:rPr>
        <w:rFonts w:ascii="Times New Roman" w:hAnsi="Times New Roman" w:eastAsia="Times New Roman" w:cs="Times New Roman"/>
        <w:sz w:val="15"/>
        <w:szCs w:val="15"/>
      </w:rPr>
    </w:pPr>
    <w:r>
      <w:rPr>
        <w:rFonts w:ascii="Times New Roman" w:hAnsi="Times New Roman" w:eastAsia="Times New Roman" w:cs="Times New Roman"/>
        <w:b/>
        <w:bCs/>
        <w:spacing w:val="-1"/>
        <w:sz w:val="15"/>
        <w:szCs w:val="15"/>
      </w:rPr>
      <w:t>266</w:t>
    </w:r>
  </w:p>
</w:ftr>
</file>

<file path=word/footer2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66CE47">
    <w:pPr>
      <w:spacing w:line="174" w:lineRule="auto"/>
      <w:ind w:left="4765"/>
      <w:rPr>
        <w:rFonts w:ascii="Times New Roman" w:hAnsi="Times New Roman" w:eastAsia="Times New Roman" w:cs="Times New Roman"/>
        <w:sz w:val="15"/>
        <w:szCs w:val="15"/>
      </w:rPr>
    </w:pPr>
    <w:r>
      <w:rPr>
        <w:rFonts w:ascii="Times New Roman" w:hAnsi="Times New Roman" w:eastAsia="Times New Roman" w:cs="Times New Roman"/>
        <w:b/>
        <w:bCs/>
        <w:spacing w:val="-1"/>
        <w:sz w:val="15"/>
        <w:szCs w:val="15"/>
      </w:rPr>
      <w:t>267</w:t>
    </w:r>
  </w:p>
</w:ftr>
</file>

<file path=word/footer2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D59227">
    <w:pPr>
      <w:spacing w:line="174" w:lineRule="auto"/>
      <w:ind w:left="4765"/>
      <w:rPr>
        <w:rFonts w:ascii="Times New Roman" w:hAnsi="Times New Roman" w:eastAsia="Times New Roman" w:cs="Times New Roman"/>
        <w:sz w:val="15"/>
        <w:szCs w:val="15"/>
      </w:rPr>
    </w:pPr>
    <w:r>
      <w:rPr>
        <w:rFonts w:ascii="Times New Roman" w:hAnsi="Times New Roman" w:eastAsia="Times New Roman" w:cs="Times New Roman"/>
        <w:b/>
        <w:bCs/>
        <w:spacing w:val="-1"/>
        <w:sz w:val="15"/>
        <w:szCs w:val="15"/>
      </w:rPr>
      <w:t>268</w:t>
    </w:r>
  </w:p>
</w:ftr>
</file>

<file path=word/footer2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1BAE52">
    <w:pPr>
      <w:spacing w:line="176" w:lineRule="auto"/>
      <w:ind w:left="4330"/>
      <w:rPr>
        <w:rFonts w:ascii="Times New Roman" w:hAnsi="Times New Roman" w:eastAsia="Times New Roman" w:cs="Times New Roman"/>
        <w:sz w:val="18"/>
        <w:szCs w:val="18"/>
      </w:rPr>
    </w:pPr>
    <w:r>
      <w:rPr>
        <w:rFonts w:ascii="Times New Roman" w:hAnsi="Times New Roman" w:eastAsia="Times New Roman" w:cs="Times New Roman"/>
        <w:b/>
        <w:bCs/>
        <w:spacing w:val="-1"/>
        <w:sz w:val="18"/>
        <w:szCs w:val="18"/>
      </w:rPr>
      <w:t>269</w:t>
    </w:r>
  </w:p>
</w:ftr>
</file>

<file path=word/footer26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A3868B">
    <w:pPr>
      <w:spacing w:line="174" w:lineRule="auto"/>
      <w:ind w:left="4329"/>
      <w:rPr>
        <w:rFonts w:ascii="Times New Roman" w:hAnsi="Times New Roman" w:eastAsia="Times New Roman" w:cs="Times New Roman"/>
        <w:sz w:val="15"/>
        <w:szCs w:val="15"/>
      </w:rPr>
    </w:pPr>
    <w:r>
      <w:rPr>
        <w:rFonts w:ascii="Times New Roman" w:hAnsi="Times New Roman" w:eastAsia="Times New Roman" w:cs="Times New Roman"/>
        <w:b/>
        <w:bCs/>
        <w:spacing w:val="-1"/>
        <w:sz w:val="15"/>
        <w:szCs w:val="15"/>
      </w:rPr>
      <w:t>270</w:t>
    </w:r>
  </w:p>
</w:ftr>
</file>

<file path=word/footer26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3CD88D">
    <w:pPr>
      <w:spacing w:line="174" w:lineRule="auto"/>
      <w:ind w:left="4340"/>
      <w:rPr>
        <w:rFonts w:ascii="Times New Roman" w:hAnsi="Times New Roman" w:eastAsia="Times New Roman" w:cs="Times New Roman"/>
        <w:sz w:val="15"/>
        <w:szCs w:val="15"/>
      </w:rPr>
    </w:pPr>
    <w:r>
      <w:rPr>
        <w:rFonts w:ascii="Times New Roman" w:hAnsi="Times New Roman" w:eastAsia="Times New Roman" w:cs="Times New Roman"/>
        <w:spacing w:val="-1"/>
        <w:sz w:val="15"/>
        <w:szCs w:val="15"/>
      </w:rPr>
      <w:t>271</w:t>
    </w:r>
  </w:p>
</w:ftr>
</file>

<file path=word/footer26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380CEC">
    <w:pPr>
      <w:spacing w:line="174" w:lineRule="auto"/>
      <w:ind w:left="4309"/>
      <w:rPr>
        <w:rFonts w:ascii="Times New Roman" w:hAnsi="Times New Roman" w:eastAsia="Times New Roman" w:cs="Times New Roman"/>
        <w:sz w:val="15"/>
        <w:szCs w:val="15"/>
      </w:rPr>
    </w:pPr>
    <w:r>
      <w:rPr>
        <w:rFonts w:ascii="Times New Roman" w:hAnsi="Times New Roman" w:eastAsia="Times New Roman" w:cs="Times New Roman"/>
        <w:spacing w:val="-1"/>
        <w:sz w:val="15"/>
        <w:szCs w:val="15"/>
      </w:rPr>
      <w:t>272</w:t>
    </w:r>
  </w:p>
</w:ftr>
</file>

<file path=word/footer26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FAA61E">
    <w:pPr>
      <w:spacing w:line="174" w:lineRule="auto"/>
      <w:ind w:left="4435"/>
      <w:rPr>
        <w:rFonts w:ascii="Times New Roman" w:hAnsi="Times New Roman" w:eastAsia="Times New Roman" w:cs="Times New Roman"/>
        <w:sz w:val="15"/>
        <w:szCs w:val="15"/>
      </w:rPr>
    </w:pPr>
    <w:r>
      <w:rPr>
        <w:rFonts w:ascii="Times New Roman" w:hAnsi="Times New Roman" w:eastAsia="Times New Roman" w:cs="Times New Roman"/>
        <w:b/>
        <w:bCs/>
        <w:spacing w:val="-1"/>
        <w:sz w:val="15"/>
        <w:szCs w:val="15"/>
      </w:rPr>
      <w:t>273</w:t>
    </w:r>
  </w:p>
</w:ftr>
</file>

<file path=word/footer26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3D0001">
    <w:pPr>
      <w:spacing w:line="174" w:lineRule="auto"/>
      <w:ind w:left="4435"/>
      <w:rPr>
        <w:rFonts w:ascii="Times New Roman" w:hAnsi="Times New Roman" w:eastAsia="Times New Roman" w:cs="Times New Roman"/>
        <w:sz w:val="15"/>
        <w:szCs w:val="15"/>
      </w:rPr>
    </w:pPr>
    <w:r>
      <w:rPr>
        <w:rFonts w:ascii="Times New Roman" w:hAnsi="Times New Roman" w:eastAsia="Times New Roman" w:cs="Times New Roman"/>
        <w:spacing w:val="-1"/>
        <w:sz w:val="15"/>
        <w:szCs w:val="15"/>
      </w:rPr>
      <w:t>274</w:t>
    </w:r>
  </w:p>
</w:ftr>
</file>

<file path=word/footer26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4370FA">
    <w:pPr>
      <w:spacing w:line="174" w:lineRule="auto"/>
      <w:ind w:left="4335"/>
      <w:rPr>
        <w:rFonts w:ascii="Times New Roman" w:hAnsi="Times New Roman" w:eastAsia="Times New Roman" w:cs="Times New Roman"/>
        <w:sz w:val="15"/>
        <w:szCs w:val="15"/>
      </w:rPr>
    </w:pPr>
    <w:r>
      <w:rPr>
        <w:rFonts w:ascii="Times New Roman" w:hAnsi="Times New Roman" w:eastAsia="Times New Roman" w:cs="Times New Roman"/>
        <w:spacing w:val="-1"/>
        <w:sz w:val="15"/>
        <w:szCs w:val="15"/>
      </w:rPr>
      <w:t>275</w:t>
    </w:r>
  </w:p>
</w:ftr>
</file>

<file path=word/footer26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B364E3">
    <w:pPr>
      <w:spacing w:line="174" w:lineRule="auto"/>
      <w:ind w:left="3983"/>
      <w:rPr>
        <w:rFonts w:ascii="Times New Roman" w:hAnsi="Times New Roman" w:eastAsia="Times New Roman" w:cs="Times New Roman"/>
        <w:sz w:val="15"/>
        <w:szCs w:val="15"/>
      </w:rPr>
    </w:pPr>
    <w:r>
      <w:rPr>
        <w:rFonts w:ascii="Times New Roman" w:hAnsi="Times New Roman" w:eastAsia="Times New Roman" w:cs="Times New Roman"/>
        <w:b/>
        <w:bCs/>
        <w:spacing w:val="-1"/>
        <w:sz w:val="15"/>
        <w:szCs w:val="15"/>
      </w:rPr>
      <w:t>276</w:t>
    </w:r>
  </w:p>
</w:ftr>
</file>

<file path=word/footer26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0D6071">
    <w:pPr>
      <w:spacing w:line="174" w:lineRule="auto"/>
      <w:ind w:left="4309"/>
      <w:rPr>
        <w:rFonts w:ascii="Times New Roman" w:hAnsi="Times New Roman" w:eastAsia="Times New Roman" w:cs="Times New Roman"/>
        <w:sz w:val="15"/>
        <w:szCs w:val="15"/>
      </w:rPr>
    </w:pPr>
    <w:r>
      <w:rPr>
        <w:rFonts w:ascii="Times New Roman" w:hAnsi="Times New Roman" w:eastAsia="Times New Roman" w:cs="Times New Roman"/>
        <w:spacing w:val="-1"/>
        <w:sz w:val="15"/>
        <w:szCs w:val="15"/>
      </w:rPr>
      <w:t>277</w:t>
    </w:r>
  </w:p>
</w:ftr>
</file>

<file path=word/footer27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C3385F">
    <w:pPr>
      <w:spacing w:line="174" w:lineRule="auto"/>
      <w:ind w:left="4319"/>
      <w:rPr>
        <w:rFonts w:ascii="Times New Roman" w:hAnsi="Times New Roman" w:eastAsia="Times New Roman" w:cs="Times New Roman"/>
        <w:sz w:val="15"/>
        <w:szCs w:val="15"/>
      </w:rPr>
    </w:pPr>
    <w:r>
      <w:rPr>
        <w:rFonts w:ascii="Times New Roman" w:hAnsi="Times New Roman" w:eastAsia="Times New Roman" w:cs="Times New Roman"/>
        <w:spacing w:val="-1"/>
        <w:sz w:val="15"/>
        <w:szCs w:val="15"/>
      </w:rPr>
      <w:t>278</w:t>
    </w:r>
  </w:p>
</w:ftr>
</file>

<file path=word/footer27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EEF12A">
    <w:pPr>
      <w:spacing w:line="174" w:lineRule="auto"/>
      <w:ind w:left="4319"/>
      <w:rPr>
        <w:rFonts w:ascii="Times New Roman" w:hAnsi="Times New Roman" w:eastAsia="Times New Roman" w:cs="Times New Roman"/>
        <w:sz w:val="15"/>
        <w:szCs w:val="15"/>
      </w:rPr>
    </w:pPr>
    <w:r>
      <w:rPr>
        <w:rFonts w:ascii="Times New Roman" w:hAnsi="Times New Roman" w:eastAsia="Times New Roman" w:cs="Times New Roman"/>
        <w:b/>
        <w:bCs/>
        <w:spacing w:val="-1"/>
        <w:sz w:val="15"/>
        <w:szCs w:val="15"/>
      </w:rPr>
      <w:t>279</w:t>
    </w:r>
  </w:p>
</w:ftr>
</file>

<file path=word/footer27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47273D">
    <w:pPr>
      <w:spacing w:line="174" w:lineRule="auto"/>
      <w:ind w:left="4319"/>
      <w:rPr>
        <w:rFonts w:ascii="Times New Roman" w:hAnsi="Times New Roman" w:eastAsia="Times New Roman" w:cs="Times New Roman"/>
        <w:sz w:val="15"/>
        <w:szCs w:val="15"/>
      </w:rPr>
    </w:pPr>
    <w:r>
      <w:rPr>
        <w:rFonts w:ascii="Times New Roman" w:hAnsi="Times New Roman" w:eastAsia="Times New Roman" w:cs="Times New Roman"/>
        <w:spacing w:val="-1"/>
        <w:sz w:val="15"/>
        <w:szCs w:val="15"/>
      </w:rPr>
      <w:t>280</w:t>
    </w:r>
  </w:p>
</w:ftr>
</file>

<file path=word/footer27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522AEB">
    <w:pPr>
      <w:spacing w:line="174" w:lineRule="auto"/>
      <w:ind w:left="4340"/>
      <w:rPr>
        <w:rFonts w:ascii="Times New Roman" w:hAnsi="Times New Roman" w:eastAsia="Times New Roman" w:cs="Times New Roman"/>
        <w:sz w:val="15"/>
        <w:szCs w:val="15"/>
      </w:rPr>
    </w:pPr>
    <w:r>
      <w:rPr>
        <w:rFonts w:ascii="Times New Roman" w:hAnsi="Times New Roman" w:eastAsia="Times New Roman" w:cs="Times New Roman"/>
        <w:spacing w:val="-1"/>
        <w:sz w:val="15"/>
        <w:szCs w:val="15"/>
      </w:rPr>
      <w:t>281</w:t>
    </w:r>
  </w:p>
</w:ftr>
</file>

<file path=word/footer27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8C6F5A">
    <w:pPr>
      <w:spacing w:line="174" w:lineRule="auto"/>
      <w:ind w:left="4326"/>
      <w:rPr>
        <w:rFonts w:ascii="Times New Roman" w:hAnsi="Times New Roman" w:eastAsia="Times New Roman" w:cs="Times New Roman"/>
        <w:sz w:val="15"/>
        <w:szCs w:val="15"/>
      </w:rPr>
    </w:pPr>
    <w:r>
      <w:rPr>
        <w:rFonts w:ascii="Times New Roman" w:hAnsi="Times New Roman" w:eastAsia="Times New Roman" w:cs="Times New Roman"/>
        <w:b/>
        <w:bCs/>
        <w:spacing w:val="-1"/>
        <w:sz w:val="15"/>
        <w:szCs w:val="15"/>
      </w:rPr>
      <w:t>282</w:t>
    </w:r>
  </w:p>
</w:ftr>
</file>

<file path=word/footer27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927B38">
    <w:pPr>
      <w:spacing w:line="174" w:lineRule="auto"/>
      <w:ind w:left="3983"/>
      <w:rPr>
        <w:rFonts w:ascii="Times New Roman" w:hAnsi="Times New Roman" w:eastAsia="Times New Roman" w:cs="Times New Roman"/>
        <w:sz w:val="15"/>
        <w:szCs w:val="15"/>
      </w:rPr>
    </w:pPr>
    <w:r>
      <w:rPr>
        <w:rFonts w:ascii="Times New Roman" w:hAnsi="Times New Roman" w:eastAsia="Times New Roman" w:cs="Times New Roman"/>
        <w:b/>
        <w:bCs/>
        <w:spacing w:val="-1"/>
        <w:sz w:val="15"/>
        <w:szCs w:val="15"/>
      </w:rPr>
      <w:t>283</w:t>
    </w:r>
  </w:p>
</w:ftr>
</file>

<file path=word/footer27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637DF5">
    <w:pPr>
      <w:spacing w:line="174" w:lineRule="auto"/>
      <w:ind w:left="4319"/>
      <w:rPr>
        <w:rFonts w:ascii="Times New Roman" w:hAnsi="Times New Roman" w:eastAsia="Times New Roman" w:cs="Times New Roman"/>
        <w:sz w:val="15"/>
        <w:szCs w:val="15"/>
      </w:rPr>
    </w:pPr>
    <w:r>
      <w:rPr>
        <w:rFonts w:ascii="Times New Roman" w:hAnsi="Times New Roman" w:eastAsia="Times New Roman" w:cs="Times New Roman"/>
        <w:b/>
        <w:bCs/>
        <w:spacing w:val="-1"/>
        <w:sz w:val="15"/>
        <w:szCs w:val="15"/>
      </w:rPr>
      <w:t>284</w:t>
    </w:r>
  </w:p>
</w:ftr>
</file>

<file path=word/footer27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57F1E2">
    <w:pPr>
      <w:spacing w:line="174" w:lineRule="auto"/>
      <w:ind w:left="3983"/>
      <w:rPr>
        <w:rFonts w:ascii="Times New Roman" w:hAnsi="Times New Roman" w:eastAsia="Times New Roman" w:cs="Times New Roman"/>
        <w:sz w:val="15"/>
        <w:szCs w:val="15"/>
      </w:rPr>
    </w:pPr>
    <w:r>
      <w:rPr>
        <w:rFonts w:ascii="Times New Roman" w:hAnsi="Times New Roman" w:eastAsia="Times New Roman" w:cs="Times New Roman"/>
        <w:b/>
        <w:bCs/>
        <w:spacing w:val="-1"/>
        <w:sz w:val="15"/>
        <w:szCs w:val="15"/>
      </w:rPr>
      <w:t>285</w:t>
    </w:r>
  </w:p>
</w:ftr>
</file>

<file path=word/footer27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B61F47">
    <w:pPr>
      <w:spacing w:line="174" w:lineRule="auto"/>
      <w:ind w:left="3983"/>
      <w:rPr>
        <w:rFonts w:ascii="Times New Roman" w:hAnsi="Times New Roman" w:eastAsia="Times New Roman" w:cs="Times New Roman"/>
        <w:sz w:val="15"/>
        <w:szCs w:val="15"/>
      </w:rPr>
    </w:pPr>
    <w:r>
      <w:rPr>
        <w:rFonts w:ascii="Times New Roman" w:hAnsi="Times New Roman" w:eastAsia="Times New Roman" w:cs="Times New Roman"/>
        <w:b/>
        <w:bCs/>
        <w:spacing w:val="-1"/>
        <w:sz w:val="15"/>
        <w:szCs w:val="15"/>
      </w:rPr>
      <w:t>286</w:t>
    </w:r>
  </w:p>
</w:ftr>
</file>

<file path=word/footer27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9C42D5">
    <w:pPr>
      <w:spacing w:line="174" w:lineRule="auto"/>
      <w:ind w:left="4309"/>
      <w:rPr>
        <w:rFonts w:ascii="Times New Roman" w:hAnsi="Times New Roman" w:eastAsia="Times New Roman" w:cs="Times New Roman"/>
        <w:sz w:val="15"/>
        <w:szCs w:val="15"/>
      </w:rPr>
    </w:pPr>
    <w:r>
      <w:rPr>
        <w:rFonts w:ascii="Times New Roman" w:hAnsi="Times New Roman" w:eastAsia="Times New Roman" w:cs="Times New Roman"/>
        <w:b/>
        <w:bCs/>
        <w:spacing w:val="-1"/>
        <w:sz w:val="15"/>
        <w:szCs w:val="15"/>
      </w:rPr>
      <w:t>287</w:t>
    </w:r>
  </w:p>
</w:ftr>
</file>

<file path=word/footer28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A89695">
    <w:pPr>
      <w:spacing w:line="174" w:lineRule="auto"/>
      <w:ind w:left="4309"/>
      <w:rPr>
        <w:rFonts w:ascii="Times New Roman" w:hAnsi="Times New Roman" w:eastAsia="Times New Roman" w:cs="Times New Roman"/>
        <w:sz w:val="15"/>
        <w:szCs w:val="15"/>
      </w:rPr>
    </w:pPr>
    <w:r>
      <w:rPr>
        <w:rFonts w:ascii="Times New Roman" w:hAnsi="Times New Roman" w:eastAsia="Times New Roman" w:cs="Times New Roman"/>
        <w:spacing w:val="-1"/>
        <w:sz w:val="15"/>
        <w:szCs w:val="15"/>
      </w:rPr>
      <w:t>288</w:t>
    </w:r>
  </w:p>
</w:ftr>
</file>

<file path=word/footer28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46DD5A">
    <w:pPr>
      <w:spacing w:line="174" w:lineRule="auto"/>
      <w:ind w:left="4309"/>
      <w:rPr>
        <w:rFonts w:ascii="Times New Roman" w:hAnsi="Times New Roman" w:eastAsia="Times New Roman" w:cs="Times New Roman"/>
        <w:sz w:val="15"/>
        <w:szCs w:val="15"/>
      </w:rPr>
    </w:pPr>
    <w:r>
      <w:rPr>
        <w:rFonts w:ascii="Times New Roman" w:hAnsi="Times New Roman" w:eastAsia="Times New Roman" w:cs="Times New Roman"/>
        <w:spacing w:val="-1"/>
        <w:sz w:val="15"/>
        <w:szCs w:val="15"/>
      </w:rPr>
      <w:t>289</w:t>
    </w:r>
  </w:p>
</w:ftr>
</file>

<file path=word/footer28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9EFF44">
    <w:pPr>
      <w:spacing w:line="174" w:lineRule="auto"/>
      <w:ind w:left="4415"/>
      <w:rPr>
        <w:rFonts w:ascii="Times New Roman" w:hAnsi="Times New Roman" w:eastAsia="Times New Roman" w:cs="Times New Roman"/>
        <w:sz w:val="15"/>
        <w:szCs w:val="15"/>
      </w:rPr>
    </w:pPr>
    <w:r>
      <w:rPr>
        <w:rFonts w:ascii="Times New Roman" w:hAnsi="Times New Roman" w:eastAsia="Times New Roman" w:cs="Times New Roman"/>
        <w:spacing w:val="-1"/>
        <w:sz w:val="15"/>
        <w:szCs w:val="15"/>
      </w:rPr>
      <w:t>290</w:t>
    </w:r>
  </w:p>
</w:ftr>
</file>

<file path=word/footer28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87A47D">
    <w:pPr>
      <w:spacing w:line="174" w:lineRule="auto"/>
      <w:ind w:left="4425"/>
      <w:rPr>
        <w:rFonts w:ascii="Times New Roman" w:hAnsi="Times New Roman" w:eastAsia="Times New Roman" w:cs="Times New Roman"/>
        <w:sz w:val="15"/>
        <w:szCs w:val="15"/>
      </w:rPr>
    </w:pPr>
    <w:r>
      <w:rPr>
        <w:rFonts w:ascii="Times New Roman" w:hAnsi="Times New Roman" w:eastAsia="Times New Roman" w:cs="Times New Roman"/>
        <w:b/>
        <w:bCs/>
        <w:spacing w:val="-1"/>
        <w:sz w:val="15"/>
        <w:szCs w:val="15"/>
      </w:rPr>
      <w:t>291</w:t>
    </w:r>
  </w:p>
</w:ftr>
</file>

<file path=word/footer28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ED753A">
    <w:pPr>
      <w:spacing w:line="174" w:lineRule="auto"/>
      <w:ind w:left="4309"/>
      <w:rPr>
        <w:rFonts w:ascii="Times New Roman" w:hAnsi="Times New Roman" w:eastAsia="Times New Roman" w:cs="Times New Roman"/>
        <w:sz w:val="15"/>
        <w:szCs w:val="15"/>
      </w:rPr>
    </w:pPr>
    <w:r>
      <w:rPr>
        <w:rFonts w:ascii="Times New Roman" w:hAnsi="Times New Roman" w:eastAsia="Times New Roman" w:cs="Times New Roman"/>
        <w:b/>
        <w:bCs/>
        <w:spacing w:val="-1"/>
        <w:sz w:val="15"/>
        <w:szCs w:val="15"/>
      </w:rPr>
      <w:t>292</w:t>
    </w:r>
  </w:p>
</w:ftr>
</file>

<file path=word/footer28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19E70F">
    <w:pPr>
      <w:spacing w:line="174" w:lineRule="auto"/>
      <w:ind w:left="4324"/>
      <w:rPr>
        <w:rFonts w:ascii="Times New Roman" w:hAnsi="Times New Roman" w:eastAsia="Times New Roman" w:cs="Times New Roman"/>
        <w:sz w:val="15"/>
        <w:szCs w:val="15"/>
      </w:rPr>
    </w:pPr>
    <w:r>
      <w:rPr>
        <w:rFonts w:ascii="Times New Roman" w:hAnsi="Times New Roman" w:eastAsia="Times New Roman" w:cs="Times New Roman"/>
        <w:spacing w:val="-1"/>
        <w:sz w:val="15"/>
        <w:szCs w:val="15"/>
      </w:rPr>
      <w:t>293</w:t>
    </w:r>
  </w:p>
</w:ftr>
</file>

<file path=word/footer28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142288">
    <w:pPr>
      <w:spacing w:line="174" w:lineRule="auto"/>
      <w:ind w:left="4309"/>
      <w:rPr>
        <w:rFonts w:ascii="Times New Roman" w:hAnsi="Times New Roman" w:eastAsia="Times New Roman" w:cs="Times New Roman"/>
        <w:sz w:val="15"/>
        <w:szCs w:val="15"/>
      </w:rPr>
    </w:pPr>
    <w:r>
      <w:rPr>
        <w:rFonts w:ascii="Times New Roman" w:hAnsi="Times New Roman" w:eastAsia="Times New Roman" w:cs="Times New Roman"/>
        <w:b/>
        <w:bCs/>
        <w:spacing w:val="-1"/>
        <w:sz w:val="15"/>
        <w:szCs w:val="15"/>
      </w:rPr>
      <w:t>294</w:t>
    </w:r>
  </w:p>
</w:ftr>
</file>

<file path=word/footer28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2BB95B">
    <w:pPr>
      <w:spacing w:line="174" w:lineRule="auto"/>
      <w:ind w:left="4309"/>
      <w:rPr>
        <w:rFonts w:ascii="Times New Roman" w:hAnsi="Times New Roman" w:eastAsia="Times New Roman" w:cs="Times New Roman"/>
        <w:sz w:val="15"/>
        <w:szCs w:val="15"/>
      </w:rPr>
    </w:pPr>
    <w:r>
      <w:rPr>
        <w:rFonts w:ascii="Times New Roman" w:hAnsi="Times New Roman" w:eastAsia="Times New Roman" w:cs="Times New Roman"/>
        <w:b/>
        <w:bCs/>
        <w:spacing w:val="-1"/>
        <w:sz w:val="15"/>
        <w:szCs w:val="15"/>
      </w:rPr>
      <w:t>295</w:t>
    </w:r>
  </w:p>
</w:ftr>
</file>

<file path=word/footer28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486DBC">
    <w:pPr>
      <w:spacing w:line="174" w:lineRule="auto"/>
      <w:ind w:left="4319"/>
      <w:rPr>
        <w:rFonts w:ascii="Times New Roman" w:hAnsi="Times New Roman" w:eastAsia="Times New Roman" w:cs="Times New Roman"/>
        <w:sz w:val="15"/>
        <w:szCs w:val="15"/>
      </w:rPr>
    </w:pPr>
    <w:r>
      <w:rPr>
        <w:rFonts w:ascii="Times New Roman" w:hAnsi="Times New Roman" w:eastAsia="Times New Roman" w:cs="Times New Roman"/>
        <w:b/>
        <w:bCs/>
        <w:spacing w:val="-1"/>
        <w:sz w:val="15"/>
        <w:szCs w:val="15"/>
      </w:rPr>
      <w:t>296</w:t>
    </w:r>
  </w:p>
</w:ftr>
</file>

<file path=word/footer28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EE7953">
    <w:pPr>
      <w:spacing w:line="174" w:lineRule="auto"/>
      <w:ind w:left="4319"/>
      <w:rPr>
        <w:rFonts w:ascii="Times New Roman" w:hAnsi="Times New Roman" w:eastAsia="Times New Roman" w:cs="Times New Roman"/>
        <w:sz w:val="15"/>
        <w:szCs w:val="15"/>
      </w:rPr>
    </w:pPr>
    <w:r>
      <w:rPr>
        <w:rFonts w:ascii="Times New Roman" w:hAnsi="Times New Roman" w:eastAsia="Times New Roman" w:cs="Times New Roman"/>
        <w:b/>
        <w:bCs/>
        <w:spacing w:val="-1"/>
        <w:sz w:val="15"/>
        <w:szCs w:val="15"/>
      </w:rPr>
      <w:t>297</w:t>
    </w:r>
  </w:p>
</w:ftr>
</file>

<file path=word/footer29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E69FD">
    <w:pPr>
      <w:spacing w:line="174" w:lineRule="auto"/>
      <w:ind w:left="4309"/>
      <w:rPr>
        <w:rFonts w:ascii="Times New Roman" w:hAnsi="Times New Roman" w:eastAsia="Times New Roman" w:cs="Times New Roman"/>
        <w:sz w:val="15"/>
        <w:szCs w:val="15"/>
      </w:rPr>
    </w:pPr>
    <w:r>
      <w:rPr>
        <w:rFonts w:ascii="Times New Roman" w:hAnsi="Times New Roman" w:eastAsia="Times New Roman" w:cs="Times New Roman"/>
        <w:b/>
        <w:bCs/>
        <w:spacing w:val="-1"/>
        <w:sz w:val="15"/>
        <w:szCs w:val="15"/>
      </w:rPr>
      <w:t>298</w:t>
    </w:r>
  </w:p>
</w:ftr>
</file>

<file path=word/footer29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0BFBAE">
    <w:pPr>
      <w:spacing w:line="173" w:lineRule="auto"/>
      <w:ind w:left="4309"/>
      <w:rPr>
        <w:rFonts w:ascii="Times New Roman" w:hAnsi="Times New Roman" w:eastAsia="Times New Roman" w:cs="Times New Roman"/>
        <w:sz w:val="14"/>
        <w:szCs w:val="14"/>
      </w:rPr>
    </w:pPr>
    <w:r>
      <w:rPr>
        <w:rFonts w:ascii="Times New Roman" w:hAnsi="Times New Roman" w:eastAsia="Times New Roman" w:cs="Times New Roman"/>
        <w:spacing w:val="-1"/>
        <w:sz w:val="14"/>
        <w:szCs w:val="14"/>
      </w:rPr>
      <w:t>299</w:t>
    </w:r>
  </w:p>
</w:ftr>
</file>

<file path=word/footer29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3AE3E0">
    <w:pPr>
      <w:spacing w:line="174" w:lineRule="auto"/>
      <w:ind w:left="4319"/>
      <w:rPr>
        <w:rFonts w:ascii="Times New Roman" w:hAnsi="Times New Roman" w:eastAsia="Times New Roman" w:cs="Times New Roman"/>
        <w:sz w:val="15"/>
        <w:szCs w:val="15"/>
      </w:rPr>
    </w:pPr>
    <w:r>
      <w:rPr>
        <w:rFonts w:ascii="Times New Roman" w:hAnsi="Times New Roman" w:eastAsia="Times New Roman" w:cs="Times New Roman"/>
        <w:b/>
        <w:bCs/>
        <w:spacing w:val="-1"/>
        <w:sz w:val="15"/>
        <w:szCs w:val="15"/>
      </w:rPr>
      <w:t>300</w:t>
    </w:r>
  </w:p>
</w:ftr>
</file>

<file path=word/footer29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532C95">
    <w:pPr>
      <w:spacing w:line="174" w:lineRule="auto"/>
      <w:ind w:left="4329"/>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301</w:t>
    </w:r>
  </w:p>
</w:ftr>
</file>

<file path=word/footer29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42F9FD">
    <w:pPr>
      <w:spacing w:line="174" w:lineRule="auto"/>
      <w:ind w:left="4319"/>
      <w:rPr>
        <w:rFonts w:ascii="Times New Roman" w:hAnsi="Times New Roman" w:eastAsia="Times New Roman" w:cs="Times New Roman"/>
        <w:sz w:val="15"/>
        <w:szCs w:val="15"/>
      </w:rPr>
    </w:pPr>
    <w:r>
      <w:rPr>
        <w:rFonts w:ascii="Times New Roman" w:hAnsi="Times New Roman" w:eastAsia="Times New Roman" w:cs="Times New Roman"/>
        <w:b/>
        <w:bCs/>
        <w:spacing w:val="-1"/>
        <w:sz w:val="15"/>
        <w:szCs w:val="15"/>
      </w:rPr>
      <w:t>302</w:t>
    </w:r>
  </w:p>
</w:ftr>
</file>

<file path=word/footer29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52601D">
    <w:pPr>
      <w:spacing w:line="173" w:lineRule="auto"/>
      <w:ind w:left="4415"/>
      <w:rPr>
        <w:rFonts w:ascii="Times New Roman" w:hAnsi="Times New Roman" w:eastAsia="Times New Roman" w:cs="Times New Roman"/>
        <w:sz w:val="14"/>
        <w:szCs w:val="14"/>
      </w:rPr>
    </w:pPr>
    <w:r>
      <w:rPr>
        <w:rFonts w:ascii="Times New Roman" w:hAnsi="Times New Roman" w:eastAsia="Times New Roman" w:cs="Times New Roman"/>
        <w:spacing w:val="-2"/>
        <w:sz w:val="14"/>
        <w:szCs w:val="14"/>
      </w:rPr>
      <w:t>303</w:t>
    </w:r>
  </w:p>
</w:ftr>
</file>

<file path=word/footer29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BA59AF">
    <w:pPr>
      <w:spacing w:line="173" w:lineRule="auto"/>
      <w:ind w:left="4435"/>
      <w:rPr>
        <w:rFonts w:ascii="Times New Roman" w:hAnsi="Times New Roman" w:eastAsia="Times New Roman" w:cs="Times New Roman"/>
        <w:sz w:val="14"/>
        <w:szCs w:val="14"/>
      </w:rPr>
    </w:pPr>
    <w:r>
      <w:rPr>
        <w:rFonts w:ascii="Times New Roman" w:hAnsi="Times New Roman" w:eastAsia="Times New Roman" w:cs="Times New Roman"/>
        <w:spacing w:val="-2"/>
        <w:sz w:val="14"/>
        <w:szCs w:val="14"/>
      </w:rPr>
      <w:t>304</w:t>
    </w:r>
  </w:p>
</w:ftr>
</file>

<file path=word/footer29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93EAC8">
    <w:pPr>
      <w:spacing w:line="173" w:lineRule="auto"/>
      <w:ind w:left="4425"/>
      <w:rPr>
        <w:rFonts w:ascii="Times New Roman" w:hAnsi="Times New Roman" w:eastAsia="Times New Roman" w:cs="Times New Roman"/>
        <w:sz w:val="14"/>
        <w:szCs w:val="14"/>
      </w:rPr>
    </w:pPr>
    <w:r>
      <w:rPr>
        <w:rFonts w:ascii="Times New Roman" w:hAnsi="Times New Roman" w:eastAsia="Times New Roman" w:cs="Times New Roman"/>
        <w:b/>
        <w:bCs/>
        <w:spacing w:val="-1"/>
        <w:sz w:val="14"/>
        <w:szCs w:val="14"/>
      </w:rPr>
      <w:t>305</w:t>
    </w:r>
  </w:p>
</w:ftr>
</file>

<file path=word/footer29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7B44BF">
    <w:pPr>
      <w:spacing w:line="173" w:lineRule="auto"/>
      <w:ind w:left="4003"/>
      <w:rPr>
        <w:rFonts w:ascii="Times New Roman" w:hAnsi="Times New Roman" w:eastAsia="Times New Roman" w:cs="Times New Roman"/>
        <w:sz w:val="14"/>
        <w:szCs w:val="14"/>
      </w:rPr>
    </w:pPr>
    <w:r>
      <w:rPr>
        <w:rFonts w:ascii="Times New Roman" w:hAnsi="Times New Roman" w:eastAsia="Times New Roman" w:cs="Times New Roman"/>
        <w:b/>
        <w:bCs/>
        <w:spacing w:val="-1"/>
        <w:sz w:val="14"/>
        <w:szCs w:val="14"/>
      </w:rPr>
      <w:t>306</w:t>
    </w:r>
  </w:p>
</w:ftr>
</file>

<file path=word/footer29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BA8694">
    <w:pPr>
      <w:spacing w:line="173" w:lineRule="auto"/>
      <w:ind w:left="3983"/>
      <w:rPr>
        <w:rFonts w:ascii="Times New Roman" w:hAnsi="Times New Roman" w:eastAsia="Times New Roman" w:cs="Times New Roman"/>
        <w:sz w:val="14"/>
        <w:szCs w:val="14"/>
      </w:rPr>
    </w:pPr>
    <w:r>
      <w:rPr>
        <w:rFonts w:ascii="Times New Roman" w:hAnsi="Times New Roman" w:eastAsia="Times New Roman" w:cs="Times New Roman"/>
        <w:b/>
        <w:bCs/>
        <w:spacing w:val="-1"/>
        <w:sz w:val="14"/>
        <w:szCs w:val="14"/>
      </w:rPr>
      <w:t>307</w:t>
    </w:r>
  </w:p>
</w:ftr>
</file>

<file path=word/footer30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D2122A">
    <w:pPr>
      <w:spacing w:line="173" w:lineRule="auto"/>
      <w:ind w:left="4435"/>
      <w:rPr>
        <w:rFonts w:ascii="Times New Roman" w:hAnsi="Times New Roman" w:eastAsia="Times New Roman" w:cs="Times New Roman"/>
        <w:sz w:val="14"/>
        <w:szCs w:val="14"/>
      </w:rPr>
    </w:pPr>
    <w:r>
      <w:rPr>
        <w:rFonts w:ascii="Times New Roman" w:hAnsi="Times New Roman" w:eastAsia="Times New Roman" w:cs="Times New Roman"/>
        <w:b/>
        <w:bCs/>
        <w:spacing w:val="-1"/>
        <w:sz w:val="14"/>
        <w:szCs w:val="14"/>
      </w:rPr>
      <w:t>308</w:t>
    </w:r>
  </w:p>
</w:ftr>
</file>

<file path=word/footer30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0425D5">
    <w:pPr>
      <w:spacing w:line="173" w:lineRule="auto"/>
      <w:ind w:left="4316"/>
      <w:rPr>
        <w:rFonts w:ascii="Times New Roman" w:hAnsi="Times New Roman" w:eastAsia="Times New Roman" w:cs="Times New Roman"/>
        <w:sz w:val="14"/>
        <w:szCs w:val="14"/>
      </w:rPr>
    </w:pPr>
    <w:r>
      <w:rPr>
        <w:rFonts w:ascii="Times New Roman" w:hAnsi="Times New Roman" w:eastAsia="Times New Roman" w:cs="Times New Roman"/>
        <w:b/>
        <w:bCs/>
        <w:spacing w:val="-1"/>
        <w:sz w:val="14"/>
        <w:szCs w:val="14"/>
      </w:rPr>
      <w:t>309</w:t>
    </w:r>
  </w:p>
</w:ftr>
</file>

<file path=word/footer30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E637A1">
    <w:pPr>
      <w:spacing w:line="173" w:lineRule="auto"/>
      <w:ind w:left="4003"/>
      <w:rPr>
        <w:rFonts w:ascii="Times New Roman" w:hAnsi="Times New Roman" w:eastAsia="Times New Roman" w:cs="Times New Roman"/>
        <w:sz w:val="14"/>
        <w:szCs w:val="14"/>
      </w:rPr>
    </w:pPr>
    <w:r>
      <w:rPr>
        <w:rFonts w:ascii="Times New Roman" w:hAnsi="Times New Roman" w:eastAsia="Times New Roman" w:cs="Times New Roman"/>
        <w:b/>
        <w:bCs/>
        <w:spacing w:val="-1"/>
        <w:sz w:val="14"/>
        <w:szCs w:val="14"/>
      </w:rPr>
      <w:t>310</w:t>
    </w:r>
  </w:p>
</w:ftr>
</file>

<file path=word/footer30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63A153">
    <w:pPr>
      <w:spacing w:line="173" w:lineRule="auto"/>
      <w:ind w:left="3993"/>
      <w:rPr>
        <w:rFonts w:ascii="Times New Roman" w:hAnsi="Times New Roman" w:eastAsia="Times New Roman" w:cs="Times New Roman"/>
        <w:sz w:val="14"/>
        <w:szCs w:val="14"/>
      </w:rPr>
    </w:pPr>
    <w:r>
      <w:rPr>
        <w:rFonts w:ascii="Times New Roman" w:hAnsi="Times New Roman" w:eastAsia="Times New Roman" w:cs="Times New Roman"/>
        <w:b/>
        <w:bCs/>
        <w:spacing w:val="-1"/>
        <w:sz w:val="14"/>
        <w:szCs w:val="14"/>
      </w:rPr>
      <w:t>311</w:t>
    </w:r>
  </w:p>
</w:ftr>
</file>

<file path=word/footer30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D326F2">
    <w:pPr>
      <w:spacing w:line="173" w:lineRule="auto"/>
      <w:ind w:left="4309"/>
      <w:rPr>
        <w:rFonts w:ascii="Times New Roman" w:hAnsi="Times New Roman" w:eastAsia="Times New Roman" w:cs="Times New Roman"/>
        <w:sz w:val="14"/>
        <w:szCs w:val="14"/>
      </w:rPr>
    </w:pPr>
    <w:r>
      <w:rPr>
        <w:rFonts w:ascii="Times New Roman" w:hAnsi="Times New Roman" w:eastAsia="Times New Roman" w:cs="Times New Roman"/>
        <w:spacing w:val="-2"/>
        <w:sz w:val="14"/>
        <w:szCs w:val="14"/>
      </w:rPr>
      <w:t>312</w:t>
    </w:r>
  </w:p>
</w:ftr>
</file>

<file path=word/footer30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6A160E">
    <w:pPr>
      <w:spacing w:line="173" w:lineRule="auto"/>
      <w:ind w:left="4319"/>
      <w:rPr>
        <w:rFonts w:ascii="Times New Roman" w:hAnsi="Times New Roman" w:eastAsia="Times New Roman" w:cs="Times New Roman"/>
        <w:sz w:val="14"/>
        <w:szCs w:val="14"/>
      </w:rPr>
    </w:pPr>
    <w:r>
      <w:rPr>
        <w:rFonts w:ascii="Times New Roman" w:hAnsi="Times New Roman" w:eastAsia="Times New Roman" w:cs="Times New Roman"/>
        <w:spacing w:val="-2"/>
        <w:sz w:val="14"/>
        <w:szCs w:val="14"/>
      </w:rPr>
      <w:t>313</w:t>
    </w:r>
  </w:p>
</w:ftr>
</file>

<file path=word/footer30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7FD287">
    <w:pPr>
      <w:spacing w:line="172" w:lineRule="auto"/>
      <w:ind w:left="4319"/>
      <w:rPr>
        <w:rFonts w:ascii="Times New Roman" w:hAnsi="Times New Roman" w:eastAsia="Times New Roman" w:cs="Times New Roman"/>
        <w:sz w:val="13"/>
        <w:szCs w:val="13"/>
      </w:rPr>
    </w:pPr>
    <w:r>
      <w:rPr>
        <w:rFonts w:ascii="Times New Roman" w:hAnsi="Times New Roman" w:eastAsia="Times New Roman" w:cs="Times New Roman"/>
        <w:spacing w:val="-2"/>
        <w:sz w:val="13"/>
        <w:szCs w:val="13"/>
      </w:rPr>
      <w:t>314</w:t>
    </w:r>
  </w:p>
</w:ftr>
</file>

<file path=word/footer30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6EDCC5">
    <w:pPr>
      <w:spacing w:line="173" w:lineRule="auto"/>
      <w:ind w:left="4329"/>
      <w:rPr>
        <w:rFonts w:ascii="Times New Roman" w:hAnsi="Times New Roman" w:eastAsia="Times New Roman" w:cs="Times New Roman"/>
        <w:sz w:val="14"/>
        <w:szCs w:val="14"/>
      </w:rPr>
    </w:pPr>
    <w:r>
      <w:rPr>
        <w:rFonts w:ascii="Times New Roman" w:hAnsi="Times New Roman" w:eastAsia="Times New Roman" w:cs="Times New Roman"/>
        <w:b/>
        <w:bCs/>
        <w:spacing w:val="-1"/>
        <w:sz w:val="14"/>
        <w:szCs w:val="14"/>
      </w:rPr>
      <w:t>315</w:t>
    </w:r>
  </w:p>
</w:ftr>
</file>

<file path=word/footer30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081A82">
    <w:pPr>
      <w:spacing w:line="173" w:lineRule="auto"/>
      <w:ind w:left="4309"/>
      <w:rPr>
        <w:rFonts w:ascii="Times New Roman" w:hAnsi="Times New Roman" w:eastAsia="Times New Roman" w:cs="Times New Roman"/>
        <w:sz w:val="14"/>
        <w:szCs w:val="14"/>
      </w:rPr>
    </w:pPr>
    <w:r>
      <w:rPr>
        <w:rFonts w:ascii="Times New Roman" w:hAnsi="Times New Roman" w:eastAsia="Times New Roman" w:cs="Times New Roman"/>
        <w:b/>
        <w:bCs/>
        <w:spacing w:val="-1"/>
        <w:sz w:val="14"/>
        <w:szCs w:val="14"/>
      </w:rPr>
      <w:t>316</w:t>
    </w:r>
  </w:p>
</w:ftr>
</file>

<file path=word/footer30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B39287">
    <w:pPr>
      <w:spacing w:line="173" w:lineRule="auto"/>
      <w:ind w:left="4319"/>
      <w:rPr>
        <w:rFonts w:ascii="Times New Roman" w:hAnsi="Times New Roman" w:eastAsia="Times New Roman" w:cs="Times New Roman"/>
        <w:sz w:val="14"/>
        <w:szCs w:val="14"/>
      </w:rPr>
    </w:pPr>
    <w:r>
      <w:rPr>
        <w:rFonts w:ascii="Times New Roman" w:hAnsi="Times New Roman" w:eastAsia="Times New Roman" w:cs="Times New Roman"/>
        <w:b/>
        <w:bCs/>
        <w:spacing w:val="-1"/>
        <w:sz w:val="14"/>
        <w:szCs w:val="14"/>
      </w:rPr>
      <w:t>317</w:t>
    </w:r>
  </w:p>
</w:ftr>
</file>

<file path=word/footer3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D3BF09">
    <w:pPr>
      <w:spacing w:line="173" w:lineRule="auto"/>
      <w:ind w:left="4319"/>
      <w:rPr>
        <w:rFonts w:ascii="Times New Roman" w:hAnsi="Times New Roman" w:eastAsia="Times New Roman" w:cs="Times New Roman"/>
        <w:sz w:val="14"/>
        <w:szCs w:val="14"/>
      </w:rPr>
    </w:pPr>
    <w:r>
      <w:rPr>
        <w:rFonts w:ascii="Times New Roman" w:hAnsi="Times New Roman" w:eastAsia="Times New Roman" w:cs="Times New Roman"/>
        <w:b/>
        <w:bCs/>
        <w:spacing w:val="-1"/>
        <w:sz w:val="14"/>
        <w:szCs w:val="14"/>
      </w:rPr>
      <w:t>318</w:t>
    </w:r>
  </w:p>
</w:ftr>
</file>

<file path=word/footer3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2655CA">
    <w:pPr>
      <w:spacing w:line="173" w:lineRule="auto"/>
      <w:ind w:left="4319"/>
      <w:rPr>
        <w:rFonts w:ascii="Times New Roman" w:hAnsi="Times New Roman" w:eastAsia="Times New Roman" w:cs="Times New Roman"/>
        <w:sz w:val="14"/>
        <w:szCs w:val="14"/>
      </w:rPr>
    </w:pPr>
    <w:r>
      <w:rPr>
        <w:rFonts w:ascii="Times New Roman" w:hAnsi="Times New Roman" w:eastAsia="Times New Roman" w:cs="Times New Roman"/>
        <w:b/>
        <w:bCs/>
        <w:spacing w:val="-1"/>
        <w:sz w:val="14"/>
        <w:szCs w:val="14"/>
      </w:rPr>
      <w:t>319</w:t>
    </w:r>
  </w:p>
</w:ftr>
</file>

<file path=word/footer3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F20281">
    <w:pPr>
      <w:spacing w:line="173" w:lineRule="auto"/>
      <w:ind w:left="4319"/>
      <w:rPr>
        <w:rFonts w:ascii="Times New Roman" w:hAnsi="Times New Roman" w:eastAsia="Times New Roman" w:cs="Times New Roman"/>
        <w:sz w:val="14"/>
        <w:szCs w:val="14"/>
      </w:rPr>
    </w:pPr>
    <w:r>
      <w:rPr>
        <w:rFonts w:ascii="Times New Roman" w:hAnsi="Times New Roman" w:eastAsia="Times New Roman" w:cs="Times New Roman"/>
        <w:spacing w:val="-2"/>
        <w:sz w:val="14"/>
        <w:szCs w:val="14"/>
      </w:rPr>
      <w:t>320</w:t>
    </w:r>
  </w:p>
</w:ftr>
</file>

<file path=word/footer3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000D6F">
    <w:pPr>
      <w:spacing w:line="173" w:lineRule="auto"/>
      <w:ind w:left="4329"/>
      <w:rPr>
        <w:rFonts w:ascii="Times New Roman" w:hAnsi="Times New Roman" w:eastAsia="Times New Roman" w:cs="Times New Roman"/>
        <w:sz w:val="14"/>
        <w:szCs w:val="14"/>
      </w:rPr>
    </w:pPr>
    <w:r>
      <w:rPr>
        <w:rFonts w:ascii="Times New Roman" w:hAnsi="Times New Roman" w:eastAsia="Times New Roman" w:cs="Times New Roman"/>
        <w:b/>
        <w:bCs/>
        <w:spacing w:val="-1"/>
        <w:sz w:val="14"/>
        <w:szCs w:val="14"/>
      </w:rPr>
      <w:t>321</w:t>
    </w:r>
  </w:p>
</w:ftr>
</file>

<file path=word/footer3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3520E7">
    <w:pPr>
      <w:spacing w:line="173" w:lineRule="auto"/>
      <w:ind w:left="4319"/>
      <w:rPr>
        <w:rFonts w:ascii="Times New Roman" w:hAnsi="Times New Roman" w:eastAsia="Times New Roman" w:cs="Times New Roman"/>
        <w:sz w:val="14"/>
        <w:szCs w:val="14"/>
      </w:rPr>
    </w:pPr>
    <w:r>
      <w:rPr>
        <w:rFonts w:ascii="Times New Roman" w:hAnsi="Times New Roman" w:eastAsia="Times New Roman" w:cs="Times New Roman"/>
        <w:spacing w:val="-2"/>
        <w:sz w:val="14"/>
        <w:szCs w:val="14"/>
      </w:rPr>
      <w:t>322</w:t>
    </w:r>
  </w:p>
</w:ftr>
</file>

<file path=word/footer3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50ABFA">
    <w:pPr>
      <w:spacing w:line="173" w:lineRule="auto"/>
      <w:ind w:left="4309"/>
      <w:rPr>
        <w:rFonts w:ascii="Times New Roman" w:hAnsi="Times New Roman" w:eastAsia="Times New Roman" w:cs="Times New Roman"/>
        <w:sz w:val="14"/>
        <w:szCs w:val="14"/>
      </w:rPr>
    </w:pPr>
    <w:r>
      <w:rPr>
        <w:rFonts w:ascii="Times New Roman" w:hAnsi="Times New Roman" w:eastAsia="Times New Roman" w:cs="Times New Roman"/>
        <w:spacing w:val="-2"/>
        <w:sz w:val="14"/>
        <w:szCs w:val="14"/>
      </w:rPr>
      <w:t>323</w:t>
    </w:r>
  </w:p>
</w:ftr>
</file>

<file path=word/footer3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1B7AB7">
    <w:pPr>
      <w:spacing w:line="173" w:lineRule="auto"/>
      <w:ind w:left="4319"/>
      <w:rPr>
        <w:rFonts w:ascii="Times New Roman" w:hAnsi="Times New Roman" w:eastAsia="Times New Roman" w:cs="Times New Roman"/>
        <w:sz w:val="14"/>
        <w:szCs w:val="14"/>
      </w:rPr>
    </w:pPr>
    <w:r>
      <w:rPr>
        <w:rFonts w:ascii="Times New Roman" w:hAnsi="Times New Roman" w:eastAsia="Times New Roman" w:cs="Times New Roman"/>
        <w:b/>
        <w:bCs/>
        <w:spacing w:val="-1"/>
        <w:sz w:val="14"/>
        <w:szCs w:val="14"/>
      </w:rPr>
      <w:t>324</w:t>
    </w:r>
  </w:p>
</w:ftr>
</file>

<file path=word/footer3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7EC0BE">
    <w:pPr>
      <w:spacing w:line="173" w:lineRule="auto"/>
      <w:ind w:left="4319"/>
      <w:rPr>
        <w:rFonts w:ascii="Times New Roman" w:hAnsi="Times New Roman" w:eastAsia="Times New Roman" w:cs="Times New Roman"/>
        <w:sz w:val="14"/>
        <w:szCs w:val="14"/>
      </w:rPr>
    </w:pPr>
    <w:r>
      <w:rPr>
        <w:rFonts w:ascii="Times New Roman" w:hAnsi="Times New Roman" w:eastAsia="Times New Roman" w:cs="Times New Roman"/>
        <w:spacing w:val="-2"/>
        <w:sz w:val="14"/>
        <w:szCs w:val="14"/>
      </w:rPr>
      <w:t>325</w:t>
    </w:r>
  </w:p>
</w:ftr>
</file>

<file path=word/footer3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DC668E">
    <w:pPr>
      <w:spacing w:line="173" w:lineRule="auto"/>
      <w:ind w:left="4329"/>
      <w:rPr>
        <w:rFonts w:ascii="Times New Roman" w:hAnsi="Times New Roman" w:eastAsia="Times New Roman" w:cs="Times New Roman"/>
        <w:sz w:val="14"/>
        <w:szCs w:val="14"/>
      </w:rPr>
    </w:pPr>
    <w:r>
      <w:rPr>
        <w:rFonts w:ascii="Times New Roman" w:hAnsi="Times New Roman" w:eastAsia="Times New Roman" w:cs="Times New Roman"/>
        <w:b/>
        <w:bCs/>
        <w:spacing w:val="-1"/>
        <w:sz w:val="14"/>
        <w:szCs w:val="14"/>
      </w:rPr>
      <w:t>326</w:t>
    </w:r>
  </w:p>
</w:ftr>
</file>

<file path=word/footer3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ECD56E">
    <w:pPr>
      <w:spacing w:line="173" w:lineRule="auto"/>
      <w:ind w:left="4309"/>
      <w:rPr>
        <w:rFonts w:ascii="Times New Roman" w:hAnsi="Times New Roman" w:eastAsia="Times New Roman" w:cs="Times New Roman"/>
        <w:sz w:val="14"/>
        <w:szCs w:val="14"/>
      </w:rPr>
    </w:pPr>
    <w:r>
      <w:rPr>
        <w:rFonts w:ascii="Times New Roman" w:hAnsi="Times New Roman" w:eastAsia="Times New Roman" w:cs="Times New Roman"/>
        <w:b/>
        <w:bCs/>
        <w:spacing w:val="-1"/>
        <w:sz w:val="14"/>
        <w:szCs w:val="14"/>
      </w:rPr>
      <w:t>327</w:t>
    </w:r>
  </w:p>
</w:ftr>
</file>

<file path=word/footer3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F5248F">
    <w:pPr>
      <w:spacing w:line="173" w:lineRule="auto"/>
      <w:ind w:left="4309"/>
      <w:rPr>
        <w:rFonts w:ascii="Times New Roman" w:hAnsi="Times New Roman" w:eastAsia="Times New Roman" w:cs="Times New Roman"/>
        <w:sz w:val="14"/>
        <w:szCs w:val="14"/>
      </w:rPr>
    </w:pPr>
    <w:r>
      <w:rPr>
        <w:rFonts w:ascii="Times New Roman" w:hAnsi="Times New Roman" w:eastAsia="Times New Roman" w:cs="Times New Roman"/>
        <w:b/>
        <w:bCs/>
        <w:spacing w:val="-1"/>
        <w:sz w:val="14"/>
        <w:szCs w:val="14"/>
      </w:rPr>
      <w:t>328</w:t>
    </w:r>
  </w:p>
</w:ftr>
</file>

<file path=word/footer3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FDED33">
    <w:pPr>
      <w:spacing w:line="173" w:lineRule="auto"/>
      <w:ind w:left="4309"/>
      <w:rPr>
        <w:rFonts w:ascii="Times New Roman" w:hAnsi="Times New Roman" w:eastAsia="Times New Roman" w:cs="Times New Roman"/>
        <w:sz w:val="14"/>
        <w:szCs w:val="14"/>
      </w:rPr>
    </w:pPr>
    <w:r>
      <w:rPr>
        <w:rFonts w:ascii="Times New Roman" w:hAnsi="Times New Roman" w:eastAsia="Times New Roman" w:cs="Times New Roman"/>
        <w:spacing w:val="-2"/>
        <w:sz w:val="14"/>
        <w:szCs w:val="14"/>
      </w:rPr>
      <w:t>329</w:t>
    </w:r>
  </w:p>
</w:ftr>
</file>

<file path=word/footer3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9235C1">
    <w:pPr>
      <w:spacing w:line="173" w:lineRule="auto"/>
      <w:ind w:left="4309"/>
      <w:rPr>
        <w:rFonts w:ascii="Times New Roman" w:hAnsi="Times New Roman" w:eastAsia="Times New Roman" w:cs="Times New Roman"/>
        <w:sz w:val="14"/>
        <w:szCs w:val="14"/>
      </w:rPr>
    </w:pPr>
    <w:r>
      <w:rPr>
        <w:rFonts w:ascii="Times New Roman" w:hAnsi="Times New Roman" w:eastAsia="Times New Roman" w:cs="Times New Roman"/>
        <w:b/>
        <w:bCs/>
        <w:spacing w:val="-1"/>
        <w:sz w:val="14"/>
        <w:szCs w:val="14"/>
      </w:rPr>
      <w:t>330</w:t>
    </w:r>
  </w:p>
</w:ftr>
</file>

<file path=word/footer3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70BF79">
    <w:pPr>
      <w:spacing w:line="173" w:lineRule="auto"/>
      <w:ind w:left="4319"/>
      <w:rPr>
        <w:rFonts w:ascii="Times New Roman" w:hAnsi="Times New Roman" w:eastAsia="Times New Roman" w:cs="Times New Roman"/>
        <w:sz w:val="14"/>
        <w:szCs w:val="14"/>
      </w:rPr>
    </w:pPr>
    <w:r>
      <w:rPr>
        <w:rFonts w:ascii="Times New Roman" w:hAnsi="Times New Roman" w:eastAsia="Times New Roman" w:cs="Times New Roman"/>
        <w:spacing w:val="-2"/>
        <w:sz w:val="14"/>
        <w:szCs w:val="14"/>
      </w:rPr>
      <w:t>331</w:t>
    </w:r>
  </w:p>
</w:ftr>
</file>

<file path=word/footer3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9F573D">
    <w:pPr>
      <w:spacing w:line="172" w:lineRule="auto"/>
      <w:ind w:left="4309"/>
      <w:rPr>
        <w:rFonts w:ascii="Times New Roman" w:hAnsi="Times New Roman" w:eastAsia="Times New Roman" w:cs="Times New Roman"/>
        <w:sz w:val="13"/>
        <w:szCs w:val="13"/>
      </w:rPr>
    </w:pPr>
    <w:r>
      <w:rPr>
        <w:rFonts w:ascii="Times New Roman" w:hAnsi="Times New Roman" w:eastAsia="Times New Roman" w:cs="Times New Roman"/>
        <w:spacing w:val="-2"/>
        <w:sz w:val="13"/>
        <w:szCs w:val="13"/>
      </w:rPr>
      <w:t>332</w:t>
    </w:r>
  </w:p>
</w:ftr>
</file>

<file path=word/footer3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B6E702">
    <w:pPr>
      <w:spacing w:line="172" w:lineRule="auto"/>
      <w:ind w:left="4299"/>
      <w:rPr>
        <w:rFonts w:ascii="Times New Roman" w:hAnsi="Times New Roman" w:eastAsia="Times New Roman" w:cs="Times New Roman"/>
        <w:sz w:val="13"/>
        <w:szCs w:val="13"/>
      </w:rPr>
    </w:pPr>
    <w:r>
      <w:rPr>
        <w:rFonts w:ascii="Times New Roman" w:hAnsi="Times New Roman" w:eastAsia="Times New Roman" w:cs="Times New Roman"/>
        <w:b/>
        <w:bCs/>
        <w:spacing w:val="-1"/>
        <w:sz w:val="13"/>
        <w:szCs w:val="13"/>
      </w:rPr>
      <w:t>333</w:t>
    </w:r>
  </w:p>
</w:ftr>
</file>

<file path=word/footer3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ACC10F">
    <w:pPr>
      <w:spacing w:line="173" w:lineRule="auto"/>
      <w:ind w:left="4425"/>
      <w:rPr>
        <w:rFonts w:ascii="Times New Roman" w:hAnsi="Times New Roman" w:eastAsia="Times New Roman" w:cs="Times New Roman"/>
        <w:sz w:val="14"/>
        <w:szCs w:val="14"/>
      </w:rPr>
    </w:pPr>
    <w:r>
      <w:rPr>
        <w:rFonts w:ascii="Times New Roman" w:hAnsi="Times New Roman" w:eastAsia="Times New Roman" w:cs="Times New Roman"/>
        <w:spacing w:val="-2"/>
        <w:sz w:val="14"/>
        <w:szCs w:val="14"/>
      </w:rPr>
      <w:t>334</w:t>
    </w:r>
  </w:p>
</w:ftr>
</file>

<file path=word/footer3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E18C1F">
    <w:pPr>
      <w:spacing w:line="173" w:lineRule="auto"/>
      <w:ind w:left="4316"/>
      <w:rPr>
        <w:rFonts w:ascii="Times New Roman" w:hAnsi="Times New Roman" w:eastAsia="Times New Roman" w:cs="Times New Roman"/>
        <w:sz w:val="14"/>
        <w:szCs w:val="14"/>
      </w:rPr>
    </w:pPr>
    <w:r>
      <w:rPr>
        <w:rFonts w:ascii="Times New Roman" w:hAnsi="Times New Roman" w:eastAsia="Times New Roman" w:cs="Times New Roman"/>
        <w:b/>
        <w:bCs/>
        <w:spacing w:val="-1"/>
        <w:sz w:val="14"/>
        <w:szCs w:val="14"/>
      </w:rPr>
      <w:t>335</w:t>
    </w:r>
  </w:p>
</w:ftr>
</file>

<file path=word/footer3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C2E98A">
    <w:pPr>
      <w:spacing w:line="173" w:lineRule="auto"/>
      <w:ind w:left="4309"/>
      <w:rPr>
        <w:rFonts w:ascii="Times New Roman" w:hAnsi="Times New Roman" w:eastAsia="Times New Roman" w:cs="Times New Roman"/>
        <w:sz w:val="14"/>
        <w:szCs w:val="14"/>
      </w:rPr>
    </w:pPr>
    <w:r>
      <w:rPr>
        <w:rFonts w:ascii="Times New Roman" w:hAnsi="Times New Roman" w:eastAsia="Times New Roman" w:cs="Times New Roman"/>
        <w:b/>
        <w:bCs/>
        <w:spacing w:val="-1"/>
        <w:sz w:val="14"/>
        <w:szCs w:val="14"/>
      </w:rPr>
      <w:t>336</w:t>
    </w:r>
  </w:p>
</w:ftr>
</file>

<file path=word/footer3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C4BC38">
    <w:pPr>
      <w:spacing w:line="173" w:lineRule="auto"/>
      <w:ind w:left="4299"/>
      <w:rPr>
        <w:rFonts w:ascii="Times New Roman" w:hAnsi="Times New Roman" w:eastAsia="Times New Roman" w:cs="Times New Roman"/>
        <w:sz w:val="14"/>
        <w:szCs w:val="14"/>
      </w:rPr>
    </w:pPr>
    <w:r>
      <w:rPr>
        <w:rFonts w:ascii="Times New Roman" w:hAnsi="Times New Roman" w:eastAsia="Times New Roman" w:cs="Times New Roman"/>
        <w:b/>
        <w:bCs/>
        <w:spacing w:val="-1"/>
        <w:sz w:val="14"/>
        <w:szCs w:val="14"/>
      </w:rPr>
      <w:t>337</w:t>
    </w:r>
  </w:p>
</w:ftr>
</file>

<file path=word/footer3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81E6FE">
    <w:pPr>
      <w:spacing w:line="173" w:lineRule="auto"/>
      <w:ind w:left="4003"/>
      <w:rPr>
        <w:rFonts w:ascii="Times New Roman" w:hAnsi="Times New Roman" w:eastAsia="Times New Roman" w:cs="Times New Roman"/>
        <w:sz w:val="14"/>
        <w:szCs w:val="14"/>
      </w:rPr>
    </w:pPr>
    <w:r>
      <w:rPr>
        <w:rFonts w:ascii="Times New Roman" w:hAnsi="Times New Roman" w:eastAsia="Times New Roman" w:cs="Times New Roman"/>
        <w:b/>
        <w:bCs/>
        <w:spacing w:val="-1"/>
        <w:sz w:val="14"/>
        <w:szCs w:val="14"/>
      </w:rPr>
      <w:t>338</w:t>
    </w:r>
  </w:p>
</w:ftr>
</file>

<file path=word/footer3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C2EDB9">
    <w:pPr>
      <w:spacing w:line="173" w:lineRule="auto"/>
      <w:ind w:left="3983"/>
      <w:rPr>
        <w:rFonts w:ascii="Times New Roman" w:hAnsi="Times New Roman" w:eastAsia="Times New Roman" w:cs="Times New Roman"/>
        <w:sz w:val="14"/>
        <w:szCs w:val="14"/>
      </w:rPr>
    </w:pPr>
    <w:r>
      <w:rPr>
        <w:rFonts w:ascii="Times New Roman" w:hAnsi="Times New Roman" w:eastAsia="Times New Roman" w:cs="Times New Roman"/>
        <w:b/>
        <w:bCs/>
        <w:spacing w:val="-1"/>
        <w:sz w:val="14"/>
        <w:szCs w:val="14"/>
      </w:rPr>
      <w:t>339</w:t>
    </w:r>
  </w:p>
</w:ftr>
</file>

<file path=word/footer3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F4206F">
    <w:pPr>
      <w:spacing w:line="173" w:lineRule="auto"/>
      <w:ind w:left="3983"/>
      <w:rPr>
        <w:rFonts w:ascii="Times New Roman" w:hAnsi="Times New Roman" w:eastAsia="Times New Roman" w:cs="Times New Roman"/>
        <w:sz w:val="14"/>
        <w:szCs w:val="14"/>
      </w:rPr>
    </w:pPr>
    <w:r>
      <w:rPr>
        <w:rFonts w:ascii="Times New Roman" w:hAnsi="Times New Roman" w:eastAsia="Times New Roman" w:cs="Times New Roman"/>
        <w:b/>
        <w:bCs/>
        <w:spacing w:val="-1"/>
        <w:sz w:val="14"/>
        <w:szCs w:val="14"/>
      </w:rPr>
      <w:t>340</w:t>
    </w:r>
  </w:p>
</w:ftr>
</file>

<file path=word/footer3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06AD95">
    <w:pPr>
      <w:spacing w:line="173" w:lineRule="auto"/>
      <w:ind w:left="4329"/>
      <w:rPr>
        <w:rFonts w:ascii="Times New Roman" w:hAnsi="Times New Roman" w:eastAsia="Times New Roman" w:cs="Times New Roman"/>
        <w:sz w:val="14"/>
        <w:szCs w:val="14"/>
      </w:rPr>
    </w:pPr>
    <w:r>
      <w:rPr>
        <w:rFonts w:ascii="Times New Roman" w:hAnsi="Times New Roman" w:eastAsia="Times New Roman" w:cs="Times New Roman"/>
        <w:b/>
        <w:bCs/>
        <w:spacing w:val="-1"/>
        <w:sz w:val="14"/>
        <w:szCs w:val="14"/>
      </w:rPr>
      <w:t>341</w:t>
    </w:r>
  </w:p>
</w:ftr>
</file>

<file path=word/footer3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2F3A37">
    <w:pPr>
      <w:spacing w:line="173" w:lineRule="auto"/>
      <w:ind w:left="4330"/>
      <w:rPr>
        <w:rFonts w:ascii="Times New Roman" w:hAnsi="Times New Roman" w:eastAsia="Times New Roman" w:cs="Times New Roman"/>
        <w:sz w:val="14"/>
        <w:szCs w:val="14"/>
      </w:rPr>
    </w:pPr>
    <w:r>
      <w:rPr>
        <w:rFonts w:ascii="Times New Roman" w:hAnsi="Times New Roman" w:eastAsia="Times New Roman" w:cs="Times New Roman"/>
        <w:spacing w:val="-2"/>
        <w:sz w:val="14"/>
        <w:szCs w:val="14"/>
      </w:rPr>
      <w:t>342</w:t>
    </w:r>
  </w:p>
</w:ftr>
</file>

<file path=word/footer3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FE3DB7">
    <w:pPr>
      <w:spacing w:line="173" w:lineRule="auto"/>
      <w:ind w:left="4309"/>
      <w:rPr>
        <w:rFonts w:ascii="Times New Roman" w:hAnsi="Times New Roman" w:eastAsia="Times New Roman" w:cs="Times New Roman"/>
        <w:sz w:val="14"/>
        <w:szCs w:val="14"/>
      </w:rPr>
    </w:pPr>
    <w:r>
      <w:rPr>
        <w:rFonts w:ascii="Times New Roman" w:hAnsi="Times New Roman" w:eastAsia="Times New Roman" w:cs="Times New Roman"/>
        <w:b/>
        <w:bCs/>
        <w:spacing w:val="-1"/>
        <w:sz w:val="14"/>
        <w:szCs w:val="14"/>
      </w:rPr>
      <w:t>343</w:t>
    </w:r>
  </w:p>
</w:ftr>
</file>

<file path=word/footer3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FE1D0C">
    <w:pPr>
      <w:spacing w:line="173" w:lineRule="auto"/>
      <w:ind w:left="4335"/>
      <w:rPr>
        <w:rFonts w:ascii="Times New Roman" w:hAnsi="Times New Roman" w:eastAsia="Times New Roman" w:cs="Times New Roman"/>
        <w:sz w:val="14"/>
        <w:szCs w:val="14"/>
      </w:rPr>
    </w:pPr>
    <w:r>
      <w:rPr>
        <w:rFonts w:ascii="Times New Roman" w:hAnsi="Times New Roman" w:eastAsia="Times New Roman" w:cs="Times New Roman"/>
        <w:spacing w:val="-2"/>
        <w:sz w:val="14"/>
        <w:szCs w:val="14"/>
      </w:rPr>
      <w:t>344</w:t>
    </w:r>
  </w:p>
</w:ftr>
</file>

<file path=word/footer3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94C1A7">
    <w:pPr>
      <w:spacing w:line="173" w:lineRule="auto"/>
      <w:ind w:left="4324"/>
      <w:rPr>
        <w:rFonts w:ascii="Times New Roman" w:hAnsi="Times New Roman" w:eastAsia="Times New Roman" w:cs="Times New Roman"/>
        <w:sz w:val="14"/>
        <w:szCs w:val="14"/>
      </w:rPr>
    </w:pPr>
    <w:r>
      <w:rPr>
        <w:rFonts w:ascii="Times New Roman" w:hAnsi="Times New Roman" w:eastAsia="Times New Roman" w:cs="Times New Roman"/>
        <w:b/>
        <w:bCs/>
        <w:spacing w:val="-1"/>
        <w:sz w:val="14"/>
        <w:szCs w:val="14"/>
      </w:rPr>
      <w:t>345</w:t>
    </w:r>
  </w:p>
</w:ftr>
</file>

<file path=word/footer3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F34DCF">
    <w:pPr>
      <w:spacing w:line="173" w:lineRule="auto"/>
      <w:ind w:left="4324"/>
      <w:rPr>
        <w:rFonts w:ascii="Times New Roman" w:hAnsi="Times New Roman" w:eastAsia="Times New Roman" w:cs="Times New Roman"/>
        <w:sz w:val="14"/>
        <w:szCs w:val="14"/>
      </w:rPr>
    </w:pPr>
    <w:r>
      <w:rPr>
        <w:rFonts w:ascii="Times New Roman" w:hAnsi="Times New Roman" w:eastAsia="Times New Roman" w:cs="Times New Roman"/>
        <w:b/>
        <w:bCs/>
        <w:spacing w:val="-1"/>
        <w:sz w:val="14"/>
        <w:szCs w:val="14"/>
      </w:rPr>
      <w:t>346</w:t>
    </w:r>
  </w:p>
</w:ftr>
</file>

<file path=word/footer3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7B0469">
    <w:pPr>
      <w:spacing w:line="173" w:lineRule="auto"/>
      <w:ind w:left="4309"/>
      <w:rPr>
        <w:rFonts w:ascii="Times New Roman" w:hAnsi="Times New Roman" w:eastAsia="Times New Roman" w:cs="Times New Roman"/>
        <w:sz w:val="14"/>
        <w:szCs w:val="14"/>
      </w:rPr>
    </w:pPr>
    <w:r>
      <w:rPr>
        <w:rFonts w:ascii="Times New Roman" w:hAnsi="Times New Roman" w:eastAsia="Times New Roman" w:cs="Times New Roman"/>
        <w:b/>
        <w:bCs/>
        <w:spacing w:val="-1"/>
        <w:sz w:val="14"/>
        <w:szCs w:val="14"/>
      </w:rPr>
      <w:t>347</w:t>
    </w:r>
  </w:p>
</w:ftr>
</file>

<file path=word/footer3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391102">
    <w:pPr>
      <w:spacing w:line="173" w:lineRule="auto"/>
      <w:ind w:left="4329"/>
      <w:rPr>
        <w:rFonts w:ascii="Times New Roman" w:hAnsi="Times New Roman" w:eastAsia="Times New Roman" w:cs="Times New Roman"/>
        <w:sz w:val="14"/>
        <w:szCs w:val="14"/>
      </w:rPr>
    </w:pPr>
    <w:r>
      <w:rPr>
        <w:rFonts w:ascii="Times New Roman" w:hAnsi="Times New Roman" w:eastAsia="Times New Roman" w:cs="Times New Roman"/>
        <w:b/>
        <w:bCs/>
        <w:spacing w:val="-1"/>
        <w:sz w:val="14"/>
        <w:szCs w:val="14"/>
      </w:rPr>
      <w:t>348</w:t>
    </w:r>
  </w:p>
</w:ftr>
</file>

<file path=word/footer3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64B08D">
    <w:pPr>
      <w:spacing w:line="173" w:lineRule="auto"/>
      <w:ind w:left="4309"/>
      <w:rPr>
        <w:rFonts w:ascii="Times New Roman" w:hAnsi="Times New Roman" w:eastAsia="Times New Roman" w:cs="Times New Roman"/>
        <w:sz w:val="14"/>
        <w:szCs w:val="14"/>
      </w:rPr>
    </w:pPr>
    <w:r>
      <w:rPr>
        <w:rFonts w:ascii="Times New Roman" w:hAnsi="Times New Roman" w:eastAsia="Times New Roman" w:cs="Times New Roman"/>
        <w:spacing w:val="-2"/>
        <w:sz w:val="14"/>
        <w:szCs w:val="14"/>
      </w:rPr>
      <w:t>349</w:t>
    </w:r>
  </w:p>
</w:ftr>
</file>

<file path=word/footer3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0A8896">
    <w:pPr>
      <w:spacing w:line="173" w:lineRule="auto"/>
      <w:ind w:left="4299"/>
      <w:rPr>
        <w:rFonts w:ascii="Times New Roman" w:hAnsi="Times New Roman" w:eastAsia="Times New Roman" w:cs="Times New Roman"/>
        <w:sz w:val="14"/>
        <w:szCs w:val="14"/>
      </w:rPr>
    </w:pPr>
    <w:r>
      <w:rPr>
        <w:rFonts w:ascii="Times New Roman" w:hAnsi="Times New Roman" w:eastAsia="Times New Roman" w:cs="Times New Roman"/>
        <w:b/>
        <w:bCs/>
        <w:spacing w:val="-1"/>
        <w:sz w:val="14"/>
        <w:szCs w:val="14"/>
      </w:rPr>
      <w:t>350</w:t>
    </w:r>
  </w:p>
</w:ftr>
</file>

<file path=word/footer3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54E6C0">
    <w:pPr>
      <w:spacing w:line="173" w:lineRule="auto"/>
      <w:ind w:left="4309"/>
      <w:rPr>
        <w:rFonts w:ascii="Times New Roman" w:hAnsi="Times New Roman" w:eastAsia="Times New Roman" w:cs="Times New Roman"/>
        <w:sz w:val="14"/>
        <w:szCs w:val="14"/>
      </w:rPr>
    </w:pPr>
    <w:r>
      <w:rPr>
        <w:rFonts w:ascii="Times New Roman" w:hAnsi="Times New Roman" w:eastAsia="Times New Roman" w:cs="Times New Roman"/>
        <w:b/>
        <w:bCs/>
        <w:spacing w:val="-1"/>
        <w:sz w:val="14"/>
        <w:szCs w:val="14"/>
      </w:rPr>
      <w:t>351</w:t>
    </w:r>
  </w:p>
</w:ftr>
</file>

<file path=word/footer3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A10FE7">
    <w:pPr>
      <w:spacing w:line="173" w:lineRule="auto"/>
      <w:ind w:left="4385"/>
      <w:rPr>
        <w:rFonts w:ascii="Times New Roman" w:hAnsi="Times New Roman" w:eastAsia="Times New Roman" w:cs="Times New Roman"/>
        <w:sz w:val="14"/>
        <w:szCs w:val="14"/>
      </w:rPr>
    </w:pPr>
    <w:r>
      <w:rPr>
        <w:rFonts w:ascii="Times New Roman" w:hAnsi="Times New Roman" w:eastAsia="Times New Roman" w:cs="Times New Roman"/>
        <w:spacing w:val="-2"/>
        <w:sz w:val="14"/>
        <w:szCs w:val="14"/>
      </w:rPr>
      <w:t>352</w:t>
    </w:r>
  </w:p>
</w:ftr>
</file>

<file path=word/footer3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05B798">
    <w:pPr>
      <w:spacing w:line="173" w:lineRule="auto"/>
      <w:ind w:left="4309"/>
      <w:rPr>
        <w:rFonts w:ascii="Times New Roman" w:hAnsi="Times New Roman" w:eastAsia="Times New Roman" w:cs="Times New Roman"/>
        <w:sz w:val="14"/>
        <w:szCs w:val="14"/>
      </w:rPr>
    </w:pPr>
    <w:r>
      <w:rPr>
        <w:rFonts w:ascii="Times New Roman" w:hAnsi="Times New Roman" w:eastAsia="Times New Roman" w:cs="Times New Roman"/>
        <w:b/>
        <w:bCs/>
        <w:spacing w:val="-1"/>
        <w:sz w:val="14"/>
        <w:szCs w:val="14"/>
      </w:rPr>
      <w:t>353</w:t>
    </w:r>
  </w:p>
</w:ftr>
</file>

<file path=word/footer3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602D09">
    <w:pPr>
      <w:spacing w:line="173" w:lineRule="auto"/>
      <w:ind w:left="4319"/>
      <w:rPr>
        <w:rFonts w:ascii="Times New Roman" w:hAnsi="Times New Roman" w:eastAsia="Times New Roman" w:cs="Times New Roman"/>
        <w:sz w:val="14"/>
        <w:szCs w:val="14"/>
      </w:rPr>
    </w:pPr>
    <w:r>
      <w:rPr>
        <w:rFonts w:ascii="Times New Roman" w:hAnsi="Times New Roman" w:eastAsia="Times New Roman" w:cs="Times New Roman"/>
        <w:b/>
        <w:bCs/>
        <w:spacing w:val="-1"/>
        <w:sz w:val="14"/>
        <w:szCs w:val="14"/>
      </w:rPr>
      <w:t>354</w:t>
    </w:r>
  </w:p>
</w:ftr>
</file>

<file path=word/footer3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79B057">
    <w:pPr>
      <w:spacing w:line="173" w:lineRule="auto"/>
      <w:ind w:left="4003"/>
      <w:rPr>
        <w:rFonts w:ascii="Times New Roman" w:hAnsi="Times New Roman" w:eastAsia="Times New Roman" w:cs="Times New Roman"/>
        <w:sz w:val="14"/>
        <w:szCs w:val="14"/>
      </w:rPr>
    </w:pPr>
    <w:r>
      <w:rPr>
        <w:rFonts w:ascii="Times New Roman" w:hAnsi="Times New Roman" w:eastAsia="Times New Roman" w:cs="Times New Roman"/>
        <w:b/>
        <w:bCs/>
        <w:spacing w:val="-1"/>
        <w:sz w:val="14"/>
        <w:szCs w:val="14"/>
      </w:rPr>
      <w:t>355</w:t>
    </w:r>
  </w:p>
</w:ftr>
</file>

<file path=word/footer3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3B58A0">
    <w:pPr>
      <w:spacing w:line="173" w:lineRule="auto"/>
      <w:ind w:left="4604"/>
      <w:rPr>
        <w:rFonts w:ascii="Times New Roman" w:hAnsi="Times New Roman" w:eastAsia="Times New Roman" w:cs="Times New Roman"/>
        <w:sz w:val="14"/>
        <w:szCs w:val="14"/>
      </w:rPr>
    </w:pPr>
    <w:r>
      <w:rPr>
        <w:rFonts w:ascii="Times New Roman" w:hAnsi="Times New Roman" w:eastAsia="Times New Roman" w:cs="Times New Roman"/>
        <w:b/>
        <w:bCs/>
        <w:spacing w:val="-1"/>
        <w:sz w:val="14"/>
        <w:szCs w:val="14"/>
      </w:rPr>
      <w:t>356</w:t>
    </w:r>
  </w:p>
</w:ftr>
</file>

<file path=word/footer3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ED9D1B">
    <w:pPr>
      <w:spacing w:line="173" w:lineRule="auto"/>
      <w:ind w:left="4324"/>
      <w:rPr>
        <w:rFonts w:ascii="Times New Roman" w:hAnsi="Times New Roman" w:eastAsia="Times New Roman" w:cs="Times New Roman"/>
        <w:sz w:val="14"/>
        <w:szCs w:val="14"/>
      </w:rPr>
    </w:pPr>
    <w:r>
      <w:rPr>
        <w:rFonts w:ascii="Times New Roman" w:hAnsi="Times New Roman" w:eastAsia="Times New Roman" w:cs="Times New Roman"/>
        <w:b/>
        <w:bCs/>
        <w:spacing w:val="-1"/>
        <w:sz w:val="14"/>
        <w:szCs w:val="14"/>
      </w:rPr>
      <w:t>357</w:t>
    </w:r>
  </w:p>
</w:ftr>
</file>

<file path=word/footer3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7F8F95">
    <w:pPr>
      <w:spacing w:line="173" w:lineRule="auto"/>
      <w:ind w:left="3983"/>
      <w:rPr>
        <w:rFonts w:ascii="Times New Roman" w:hAnsi="Times New Roman" w:eastAsia="Times New Roman" w:cs="Times New Roman"/>
        <w:sz w:val="14"/>
        <w:szCs w:val="14"/>
      </w:rPr>
    </w:pPr>
    <w:r>
      <w:rPr>
        <w:rFonts w:ascii="Times New Roman" w:hAnsi="Times New Roman" w:eastAsia="Times New Roman" w:cs="Times New Roman"/>
        <w:b/>
        <w:bCs/>
        <w:spacing w:val="-1"/>
        <w:sz w:val="14"/>
        <w:szCs w:val="14"/>
      </w:rPr>
      <w:t>358</w:t>
    </w:r>
  </w:p>
</w:ftr>
</file>

<file path=word/footer3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114DA">
    <w:pPr>
      <w:spacing w:line="173" w:lineRule="auto"/>
      <w:ind w:left="4299"/>
      <w:rPr>
        <w:rFonts w:ascii="Times New Roman" w:hAnsi="Times New Roman" w:eastAsia="Times New Roman" w:cs="Times New Roman"/>
        <w:sz w:val="14"/>
        <w:szCs w:val="14"/>
      </w:rPr>
    </w:pPr>
    <w:r>
      <w:rPr>
        <w:rFonts w:ascii="Times New Roman" w:hAnsi="Times New Roman" w:eastAsia="Times New Roman" w:cs="Times New Roman"/>
        <w:b/>
        <w:bCs/>
        <w:spacing w:val="-1"/>
        <w:sz w:val="14"/>
        <w:szCs w:val="14"/>
      </w:rPr>
      <w:t>359</w:t>
    </w:r>
  </w:p>
</w:ftr>
</file>

<file path=word/footer3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136F6C">
    <w:pPr>
      <w:spacing w:line="173" w:lineRule="auto"/>
      <w:ind w:left="4350"/>
      <w:rPr>
        <w:rFonts w:ascii="Times New Roman" w:hAnsi="Times New Roman" w:eastAsia="Times New Roman" w:cs="Times New Roman"/>
        <w:sz w:val="14"/>
        <w:szCs w:val="14"/>
      </w:rPr>
    </w:pPr>
    <w:r>
      <w:rPr>
        <w:rFonts w:ascii="Times New Roman" w:hAnsi="Times New Roman" w:eastAsia="Times New Roman" w:cs="Times New Roman"/>
        <w:b/>
        <w:bCs/>
        <w:spacing w:val="-1"/>
        <w:sz w:val="14"/>
        <w:szCs w:val="14"/>
      </w:rPr>
      <w:t>360</w:t>
    </w:r>
  </w:p>
</w:ftr>
</file>

<file path=word/footer3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774A17">
    <w:pPr>
      <w:spacing w:line="173" w:lineRule="auto"/>
      <w:ind w:left="4435"/>
      <w:rPr>
        <w:rFonts w:ascii="Times New Roman" w:hAnsi="Times New Roman" w:eastAsia="Times New Roman" w:cs="Times New Roman"/>
        <w:sz w:val="14"/>
        <w:szCs w:val="14"/>
      </w:rPr>
    </w:pPr>
    <w:r>
      <w:rPr>
        <w:rFonts w:ascii="Times New Roman" w:hAnsi="Times New Roman" w:eastAsia="Times New Roman" w:cs="Times New Roman"/>
        <w:b/>
        <w:bCs/>
        <w:spacing w:val="-1"/>
        <w:sz w:val="14"/>
        <w:szCs w:val="14"/>
      </w:rPr>
      <w:t>361</w:t>
    </w:r>
  </w:p>
</w:ftr>
</file>

<file path=word/footer3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3AB325">
    <w:pPr>
      <w:spacing w:line="173" w:lineRule="auto"/>
      <w:ind w:left="4003"/>
      <w:rPr>
        <w:rFonts w:ascii="Times New Roman" w:hAnsi="Times New Roman" w:eastAsia="Times New Roman" w:cs="Times New Roman"/>
        <w:sz w:val="14"/>
        <w:szCs w:val="14"/>
      </w:rPr>
    </w:pPr>
    <w:r>
      <w:rPr>
        <w:rFonts w:ascii="Times New Roman" w:hAnsi="Times New Roman" w:eastAsia="Times New Roman" w:cs="Times New Roman"/>
        <w:b/>
        <w:bCs/>
        <w:spacing w:val="-1"/>
        <w:sz w:val="14"/>
        <w:szCs w:val="14"/>
      </w:rPr>
      <w:t>362</w:t>
    </w:r>
  </w:p>
</w:ftr>
</file>

<file path=word/footer3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49CFB2">
    <w:pPr>
      <w:spacing w:line="173" w:lineRule="auto"/>
      <w:ind w:left="4309"/>
      <w:rPr>
        <w:rFonts w:ascii="Times New Roman" w:hAnsi="Times New Roman" w:eastAsia="Times New Roman" w:cs="Times New Roman"/>
        <w:sz w:val="14"/>
        <w:szCs w:val="14"/>
      </w:rPr>
    </w:pPr>
    <w:r>
      <w:rPr>
        <w:rFonts w:ascii="Times New Roman" w:hAnsi="Times New Roman" w:eastAsia="Times New Roman" w:cs="Times New Roman"/>
        <w:b/>
        <w:bCs/>
        <w:spacing w:val="-1"/>
        <w:sz w:val="14"/>
        <w:szCs w:val="14"/>
      </w:rPr>
      <w:t>363</w:t>
    </w:r>
  </w:p>
</w:ftr>
</file>

<file path=word/footer3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76847A">
    <w:pPr>
      <w:spacing w:line="173" w:lineRule="auto"/>
      <w:ind w:left="4299"/>
      <w:rPr>
        <w:rFonts w:ascii="Times New Roman" w:hAnsi="Times New Roman" w:eastAsia="Times New Roman" w:cs="Times New Roman"/>
        <w:sz w:val="14"/>
        <w:szCs w:val="14"/>
      </w:rPr>
    </w:pPr>
    <w:r>
      <w:rPr>
        <w:rFonts w:ascii="Times New Roman" w:hAnsi="Times New Roman" w:eastAsia="Times New Roman" w:cs="Times New Roman"/>
        <w:b/>
        <w:bCs/>
        <w:spacing w:val="-1"/>
        <w:sz w:val="14"/>
        <w:szCs w:val="14"/>
      </w:rPr>
      <w:t>364</w:t>
    </w:r>
  </w:p>
</w:ftr>
</file>

<file path=word/footer3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17A86D">
    <w:pPr>
      <w:spacing w:line="173" w:lineRule="auto"/>
      <w:ind w:left="4475"/>
      <w:rPr>
        <w:rFonts w:ascii="Times New Roman" w:hAnsi="Times New Roman" w:eastAsia="Times New Roman" w:cs="Times New Roman"/>
        <w:sz w:val="14"/>
        <w:szCs w:val="14"/>
      </w:rPr>
    </w:pPr>
    <w:r>
      <w:rPr>
        <w:rFonts w:ascii="Times New Roman" w:hAnsi="Times New Roman" w:eastAsia="Times New Roman" w:cs="Times New Roman"/>
        <w:b/>
        <w:bCs/>
        <w:spacing w:val="-1"/>
        <w:sz w:val="14"/>
        <w:szCs w:val="14"/>
      </w:rPr>
      <w:t>365</w:t>
    </w:r>
  </w:p>
</w:ftr>
</file>

<file path=word/footer3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A99821">
    <w:pPr>
      <w:spacing w:line="173" w:lineRule="auto"/>
      <w:ind w:left="4475"/>
      <w:rPr>
        <w:rFonts w:ascii="Times New Roman" w:hAnsi="Times New Roman" w:eastAsia="Times New Roman" w:cs="Times New Roman"/>
        <w:sz w:val="14"/>
        <w:szCs w:val="14"/>
      </w:rPr>
    </w:pPr>
    <w:r>
      <w:rPr>
        <w:rFonts w:ascii="Times New Roman" w:hAnsi="Times New Roman" w:eastAsia="Times New Roman" w:cs="Times New Roman"/>
        <w:b/>
        <w:bCs/>
        <w:spacing w:val="-1"/>
        <w:sz w:val="14"/>
        <w:szCs w:val="14"/>
      </w:rPr>
      <w:t>366</w:t>
    </w:r>
  </w:p>
</w:ftr>
</file>

<file path=word/footer3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D61E8A">
    <w:pPr>
      <w:spacing w:line="173" w:lineRule="auto"/>
      <w:ind w:left="3983"/>
      <w:rPr>
        <w:rFonts w:ascii="Times New Roman" w:hAnsi="Times New Roman" w:eastAsia="Times New Roman" w:cs="Times New Roman"/>
        <w:sz w:val="14"/>
        <w:szCs w:val="14"/>
      </w:rPr>
    </w:pPr>
    <w:r>
      <w:rPr>
        <w:rFonts w:ascii="Times New Roman" w:hAnsi="Times New Roman" w:eastAsia="Times New Roman" w:cs="Times New Roman"/>
        <w:b/>
        <w:bCs/>
        <w:spacing w:val="-1"/>
        <w:sz w:val="14"/>
        <w:szCs w:val="14"/>
      </w:rPr>
      <w:t>367</w:t>
    </w:r>
  </w:p>
</w:ftr>
</file>

<file path=word/footer3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F86959">
    <w:pPr>
      <w:spacing w:line="173" w:lineRule="auto"/>
      <w:ind w:left="4425"/>
      <w:rPr>
        <w:rFonts w:ascii="Times New Roman" w:hAnsi="Times New Roman" w:eastAsia="Times New Roman" w:cs="Times New Roman"/>
        <w:sz w:val="14"/>
        <w:szCs w:val="14"/>
      </w:rPr>
    </w:pPr>
    <w:r>
      <w:rPr>
        <w:rFonts w:ascii="Times New Roman" w:hAnsi="Times New Roman" w:eastAsia="Times New Roman" w:cs="Times New Roman"/>
        <w:b/>
        <w:bCs/>
        <w:spacing w:val="-1"/>
        <w:sz w:val="14"/>
        <w:szCs w:val="14"/>
      </w:rPr>
      <w:t>368</w:t>
    </w:r>
  </w:p>
</w:ftr>
</file>

<file path=word/footer3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A788F8">
    <w:pPr>
      <w:spacing w:line="173" w:lineRule="auto"/>
      <w:ind w:left="4345"/>
      <w:rPr>
        <w:rFonts w:ascii="Times New Roman" w:hAnsi="Times New Roman" w:eastAsia="Times New Roman" w:cs="Times New Roman"/>
        <w:sz w:val="14"/>
        <w:szCs w:val="14"/>
      </w:rPr>
    </w:pPr>
    <w:r>
      <w:rPr>
        <w:rFonts w:ascii="Times New Roman" w:hAnsi="Times New Roman" w:eastAsia="Times New Roman" w:cs="Times New Roman"/>
        <w:spacing w:val="-2"/>
        <w:sz w:val="14"/>
        <w:szCs w:val="14"/>
      </w:rPr>
      <w:t>369</w:t>
    </w:r>
  </w:p>
</w:ftr>
</file>

<file path=word/footer36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819EB9">
    <w:pPr>
      <w:spacing w:line="173" w:lineRule="auto"/>
      <w:ind w:left="4003"/>
      <w:rPr>
        <w:rFonts w:ascii="Times New Roman" w:hAnsi="Times New Roman" w:eastAsia="Times New Roman" w:cs="Times New Roman"/>
        <w:sz w:val="14"/>
        <w:szCs w:val="14"/>
      </w:rPr>
    </w:pPr>
    <w:r>
      <w:rPr>
        <w:rFonts w:ascii="Times New Roman" w:hAnsi="Times New Roman" w:eastAsia="Times New Roman" w:cs="Times New Roman"/>
        <w:b/>
        <w:bCs/>
        <w:spacing w:val="-1"/>
        <w:sz w:val="14"/>
        <w:szCs w:val="14"/>
      </w:rPr>
      <w:t>370</w:t>
    </w:r>
  </w:p>
</w:ftr>
</file>

<file path=word/footer36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0DF2B8">
    <w:pPr>
      <w:spacing w:line="173" w:lineRule="auto"/>
      <w:ind w:left="4319"/>
      <w:rPr>
        <w:rFonts w:ascii="Times New Roman" w:hAnsi="Times New Roman" w:eastAsia="Times New Roman" w:cs="Times New Roman"/>
        <w:sz w:val="14"/>
        <w:szCs w:val="14"/>
      </w:rPr>
    </w:pPr>
    <w:r>
      <w:rPr>
        <w:rFonts w:ascii="Times New Roman" w:hAnsi="Times New Roman" w:eastAsia="Times New Roman" w:cs="Times New Roman"/>
        <w:b/>
        <w:bCs/>
        <w:spacing w:val="-1"/>
        <w:sz w:val="14"/>
        <w:szCs w:val="14"/>
      </w:rPr>
      <w:t>371</w:t>
    </w:r>
  </w:p>
</w:ftr>
</file>

<file path=word/footer36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F0332F">
    <w:pPr>
      <w:spacing w:line="173" w:lineRule="auto"/>
      <w:ind w:left="3983"/>
      <w:rPr>
        <w:rFonts w:ascii="Times New Roman" w:hAnsi="Times New Roman" w:eastAsia="Times New Roman" w:cs="Times New Roman"/>
        <w:sz w:val="14"/>
        <w:szCs w:val="14"/>
      </w:rPr>
    </w:pPr>
    <w:r>
      <w:rPr>
        <w:rFonts w:ascii="Times New Roman" w:hAnsi="Times New Roman" w:eastAsia="Times New Roman" w:cs="Times New Roman"/>
        <w:b/>
        <w:bCs/>
        <w:spacing w:val="-1"/>
        <w:sz w:val="14"/>
        <w:szCs w:val="14"/>
      </w:rPr>
      <w:t>372</w:t>
    </w:r>
  </w:p>
</w:ftr>
</file>

<file path=word/footer36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B6DBDD">
    <w:pPr>
      <w:spacing w:line="173" w:lineRule="auto"/>
      <w:ind w:left="4145"/>
      <w:rPr>
        <w:rFonts w:ascii="Times New Roman" w:hAnsi="Times New Roman" w:eastAsia="Times New Roman" w:cs="Times New Roman"/>
        <w:sz w:val="14"/>
        <w:szCs w:val="14"/>
      </w:rPr>
    </w:pPr>
    <w:r>
      <w:rPr>
        <w:rFonts w:ascii="Times New Roman" w:hAnsi="Times New Roman" w:eastAsia="Times New Roman" w:cs="Times New Roman"/>
        <w:b/>
        <w:bCs/>
        <w:spacing w:val="-1"/>
        <w:sz w:val="14"/>
        <w:szCs w:val="14"/>
      </w:rPr>
      <w:t>373</w:t>
    </w:r>
  </w:p>
</w:ftr>
</file>

<file path=word/footer36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DAAA25">
    <w:pPr>
      <w:spacing w:line="173" w:lineRule="auto"/>
      <w:ind w:left="4289"/>
      <w:rPr>
        <w:rFonts w:ascii="Times New Roman" w:hAnsi="Times New Roman" w:eastAsia="Times New Roman" w:cs="Times New Roman"/>
        <w:sz w:val="14"/>
        <w:szCs w:val="14"/>
      </w:rPr>
    </w:pPr>
    <w:r>
      <w:rPr>
        <w:rFonts w:ascii="Times New Roman" w:hAnsi="Times New Roman" w:eastAsia="Times New Roman" w:cs="Times New Roman"/>
        <w:spacing w:val="-2"/>
        <w:sz w:val="14"/>
        <w:szCs w:val="14"/>
      </w:rPr>
      <w:t>374</w:t>
    </w:r>
  </w:p>
</w:ftr>
</file>

<file path=word/footer36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59C3CD">
    <w:pPr>
      <w:spacing w:line="173" w:lineRule="auto"/>
      <w:ind w:left="4145"/>
      <w:rPr>
        <w:rFonts w:ascii="Times New Roman" w:hAnsi="Times New Roman" w:eastAsia="Times New Roman" w:cs="Times New Roman"/>
        <w:sz w:val="14"/>
        <w:szCs w:val="14"/>
      </w:rPr>
    </w:pPr>
    <w:r>
      <w:rPr>
        <w:rFonts w:ascii="Times New Roman" w:hAnsi="Times New Roman" w:eastAsia="Times New Roman" w:cs="Times New Roman"/>
        <w:b/>
        <w:bCs/>
        <w:spacing w:val="-1"/>
        <w:sz w:val="14"/>
        <w:szCs w:val="14"/>
      </w:rPr>
      <w:t>375</w:t>
    </w:r>
  </w:p>
</w:ftr>
</file>

<file path=word/footer36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F25ED6">
    <w:pPr>
      <w:spacing w:line="173" w:lineRule="auto"/>
      <w:ind w:left="4309"/>
      <w:rPr>
        <w:rFonts w:ascii="Times New Roman" w:hAnsi="Times New Roman" w:eastAsia="Times New Roman" w:cs="Times New Roman"/>
        <w:sz w:val="14"/>
        <w:szCs w:val="14"/>
      </w:rPr>
    </w:pPr>
    <w:r>
      <w:rPr>
        <w:rFonts w:ascii="Times New Roman" w:hAnsi="Times New Roman" w:eastAsia="Times New Roman" w:cs="Times New Roman"/>
        <w:b/>
        <w:bCs/>
        <w:spacing w:val="-1"/>
        <w:sz w:val="14"/>
        <w:szCs w:val="14"/>
      </w:rPr>
      <w:t>376</w:t>
    </w:r>
  </w:p>
</w:ftr>
</file>

<file path=word/footer36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85BD78">
    <w:pPr>
      <w:spacing w:line="173" w:lineRule="auto"/>
      <w:ind w:left="4350"/>
      <w:rPr>
        <w:rFonts w:ascii="Times New Roman" w:hAnsi="Times New Roman" w:eastAsia="Times New Roman" w:cs="Times New Roman"/>
        <w:sz w:val="14"/>
        <w:szCs w:val="14"/>
      </w:rPr>
    </w:pPr>
    <w:r>
      <w:rPr>
        <w:rFonts w:ascii="Times New Roman" w:hAnsi="Times New Roman" w:eastAsia="Times New Roman" w:cs="Times New Roman"/>
        <w:b/>
        <w:bCs/>
        <w:spacing w:val="-1"/>
        <w:sz w:val="14"/>
        <w:szCs w:val="14"/>
      </w:rPr>
      <w:t>377</w:t>
    </w:r>
  </w:p>
</w:ftr>
</file>

<file path=word/footer37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304C94">
    <w:pPr>
      <w:spacing w:line="173" w:lineRule="auto"/>
      <w:ind w:left="4425"/>
      <w:rPr>
        <w:rFonts w:ascii="Times New Roman" w:hAnsi="Times New Roman" w:eastAsia="Times New Roman" w:cs="Times New Roman"/>
        <w:sz w:val="14"/>
        <w:szCs w:val="14"/>
      </w:rPr>
    </w:pPr>
    <w:r>
      <w:rPr>
        <w:rFonts w:ascii="Times New Roman" w:hAnsi="Times New Roman" w:eastAsia="Times New Roman" w:cs="Times New Roman"/>
        <w:b/>
        <w:bCs/>
        <w:spacing w:val="-1"/>
        <w:sz w:val="14"/>
        <w:szCs w:val="14"/>
      </w:rPr>
      <w:t>378</w:t>
    </w:r>
  </w:p>
</w:ftr>
</file>

<file path=word/footer37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D43D44">
    <w:pPr>
      <w:spacing w:line="173" w:lineRule="auto"/>
      <w:ind w:left="4455"/>
      <w:rPr>
        <w:rFonts w:ascii="Times New Roman" w:hAnsi="Times New Roman" w:eastAsia="Times New Roman" w:cs="Times New Roman"/>
        <w:sz w:val="14"/>
        <w:szCs w:val="14"/>
      </w:rPr>
    </w:pPr>
    <w:r>
      <w:rPr>
        <w:rFonts w:ascii="Times New Roman" w:hAnsi="Times New Roman" w:eastAsia="Times New Roman" w:cs="Times New Roman"/>
        <w:b/>
        <w:bCs/>
        <w:spacing w:val="-1"/>
        <w:sz w:val="14"/>
        <w:szCs w:val="14"/>
      </w:rPr>
      <w:t>379</w:t>
    </w:r>
  </w:p>
</w:ftr>
</file>

<file path=word/footer37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8AD052">
    <w:pPr>
      <w:spacing w:line="173" w:lineRule="auto"/>
      <w:ind w:left="4455"/>
      <w:rPr>
        <w:rFonts w:ascii="Times New Roman" w:hAnsi="Times New Roman" w:eastAsia="Times New Roman" w:cs="Times New Roman"/>
        <w:sz w:val="14"/>
        <w:szCs w:val="14"/>
      </w:rPr>
    </w:pPr>
    <w:r>
      <w:rPr>
        <w:rFonts w:ascii="Times New Roman" w:hAnsi="Times New Roman" w:eastAsia="Times New Roman" w:cs="Times New Roman"/>
        <w:b/>
        <w:bCs/>
        <w:spacing w:val="-1"/>
        <w:sz w:val="14"/>
        <w:szCs w:val="14"/>
      </w:rPr>
      <w:t>380</w:t>
    </w:r>
  </w:p>
</w:ftr>
</file>

<file path=word/footer37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EB4092">
    <w:pPr>
      <w:spacing w:line="173" w:lineRule="auto"/>
      <w:ind w:left="4445"/>
      <w:rPr>
        <w:rFonts w:ascii="Times New Roman" w:hAnsi="Times New Roman" w:eastAsia="Times New Roman" w:cs="Times New Roman"/>
        <w:sz w:val="14"/>
        <w:szCs w:val="14"/>
      </w:rPr>
    </w:pPr>
    <w:r>
      <w:rPr>
        <w:rFonts w:ascii="Times New Roman" w:hAnsi="Times New Roman" w:eastAsia="Times New Roman" w:cs="Times New Roman"/>
        <w:b/>
        <w:bCs/>
        <w:spacing w:val="-1"/>
        <w:sz w:val="14"/>
        <w:szCs w:val="14"/>
      </w:rPr>
      <w:t>381</w:t>
    </w:r>
  </w:p>
</w:ftr>
</file>

<file path=word/footer37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6A7552">
    <w:pPr>
      <w:spacing w:line="173" w:lineRule="auto"/>
      <w:ind w:left="4309"/>
      <w:rPr>
        <w:rFonts w:ascii="Times New Roman" w:hAnsi="Times New Roman" w:eastAsia="Times New Roman" w:cs="Times New Roman"/>
        <w:sz w:val="14"/>
        <w:szCs w:val="14"/>
      </w:rPr>
    </w:pPr>
    <w:r>
      <w:rPr>
        <w:rFonts w:ascii="Times New Roman" w:hAnsi="Times New Roman" w:eastAsia="Times New Roman" w:cs="Times New Roman"/>
        <w:b/>
        <w:bCs/>
        <w:spacing w:val="-1"/>
        <w:sz w:val="14"/>
        <w:szCs w:val="14"/>
      </w:rPr>
      <w:t>382</w:t>
    </w:r>
  </w:p>
</w:ftr>
</file>

<file path=word/footer37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1FB7A6">
    <w:pPr>
      <w:spacing w:line="173" w:lineRule="auto"/>
      <w:ind w:left="4286"/>
      <w:rPr>
        <w:rFonts w:ascii="Times New Roman" w:hAnsi="Times New Roman" w:eastAsia="Times New Roman" w:cs="Times New Roman"/>
        <w:sz w:val="14"/>
        <w:szCs w:val="14"/>
      </w:rPr>
    </w:pPr>
    <w:r>
      <w:rPr>
        <w:rFonts w:ascii="Times New Roman" w:hAnsi="Times New Roman" w:eastAsia="Times New Roman" w:cs="Times New Roman"/>
        <w:b/>
        <w:bCs/>
        <w:spacing w:val="-1"/>
        <w:sz w:val="14"/>
        <w:szCs w:val="14"/>
      </w:rPr>
      <w:t>383</w:t>
    </w:r>
  </w:p>
</w:ftr>
</file>

<file path=word/footer37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1D612B">
    <w:pPr>
      <w:spacing w:line="173" w:lineRule="auto"/>
      <w:ind w:left="4296"/>
      <w:rPr>
        <w:rFonts w:ascii="Times New Roman" w:hAnsi="Times New Roman" w:eastAsia="Times New Roman" w:cs="Times New Roman"/>
        <w:sz w:val="14"/>
        <w:szCs w:val="14"/>
      </w:rPr>
    </w:pPr>
    <w:r>
      <w:rPr>
        <w:rFonts w:ascii="Times New Roman" w:hAnsi="Times New Roman" w:eastAsia="Times New Roman" w:cs="Times New Roman"/>
        <w:b/>
        <w:bCs/>
        <w:spacing w:val="-1"/>
        <w:sz w:val="14"/>
        <w:szCs w:val="14"/>
      </w:rPr>
      <w:t>384</w:t>
    </w:r>
  </w:p>
</w:ftr>
</file>

<file path=word/footer37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E7A861">
    <w:pPr>
      <w:spacing w:line="173" w:lineRule="auto"/>
      <w:ind w:left="4319"/>
      <w:rPr>
        <w:rFonts w:ascii="Times New Roman" w:hAnsi="Times New Roman" w:eastAsia="Times New Roman" w:cs="Times New Roman"/>
        <w:sz w:val="14"/>
        <w:szCs w:val="14"/>
      </w:rPr>
    </w:pPr>
    <w:r>
      <w:rPr>
        <w:rFonts w:ascii="Times New Roman" w:hAnsi="Times New Roman" w:eastAsia="Times New Roman" w:cs="Times New Roman"/>
        <w:b/>
        <w:bCs/>
        <w:spacing w:val="-1"/>
        <w:sz w:val="14"/>
        <w:szCs w:val="14"/>
      </w:rPr>
      <w:t>385</w:t>
    </w:r>
  </w:p>
</w:ftr>
</file>

<file path=word/footer37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BF0F5A">
    <w:pPr>
      <w:spacing w:line="173" w:lineRule="auto"/>
      <w:ind w:left="4299"/>
      <w:rPr>
        <w:rFonts w:ascii="Times New Roman" w:hAnsi="Times New Roman" w:eastAsia="Times New Roman" w:cs="Times New Roman"/>
        <w:sz w:val="14"/>
        <w:szCs w:val="14"/>
      </w:rPr>
    </w:pPr>
    <w:r>
      <w:rPr>
        <w:rFonts w:ascii="Times New Roman" w:hAnsi="Times New Roman" w:eastAsia="Times New Roman" w:cs="Times New Roman"/>
        <w:b/>
        <w:bCs/>
        <w:spacing w:val="-1"/>
        <w:sz w:val="14"/>
        <w:szCs w:val="14"/>
      </w:rPr>
      <w:t>386</w:t>
    </w:r>
  </w:p>
</w:ftr>
</file>

<file path=word/footer37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17015">
    <w:pPr>
      <w:spacing w:line="173" w:lineRule="auto"/>
      <w:ind w:left="4334"/>
      <w:rPr>
        <w:rFonts w:ascii="Times New Roman" w:hAnsi="Times New Roman" w:eastAsia="Times New Roman" w:cs="Times New Roman"/>
        <w:sz w:val="14"/>
        <w:szCs w:val="14"/>
      </w:rPr>
    </w:pPr>
    <w:r>
      <w:rPr>
        <w:rFonts w:ascii="Times New Roman" w:hAnsi="Times New Roman" w:eastAsia="Times New Roman" w:cs="Times New Roman"/>
        <w:b/>
        <w:bCs/>
        <w:spacing w:val="-1"/>
        <w:sz w:val="14"/>
        <w:szCs w:val="14"/>
      </w:rPr>
      <w:t>387</w:t>
    </w:r>
  </w:p>
</w:ftr>
</file>

<file path=word/footer38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4BE90C">
    <w:pPr>
      <w:spacing w:line="173" w:lineRule="auto"/>
      <w:ind w:left="4334"/>
      <w:rPr>
        <w:rFonts w:ascii="Times New Roman" w:hAnsi="Times New Roman" w:eastAsia="Times New Roman" w:cs="Times New Roman"/>
        <w:sz w:val="14"/>
        <w:szCs w:val="14"/>
      </w:rPr>
    </w:pPr>
    <w:r>
      <w:rPr>
        <w:rFonts w:ascii="Times New Roman" w:hAnsi="Times New Roman" w:eastAsia="Times New Roman" w:cs="Times New Roman"/>
        <w:b/>
        <w:bCs/>
        <w:spacing w:val="-1"/>
        <w:sz w:val="14"/>
        <w:szCs w:val="14"/>
      </w:rPr>
      <w:t>388</w:t>
    </w:r>
  </w:p>
</w:ftr>
</file>

<file path=word/footer38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587270">
    <w:pPr>
      <w:spacing w:line="173" w:lineRule="auto"/>
      <w:ind w:left="4314"/>
      <w:rPr>
        <w:rFonts w:ascii="Times New Roman" w:hAnsi="Times New Roman" w:eastAsia="Times New Roman" w:cs="Times New Roman"/>
        <w:sz w:val="14"/>
        <w:szCs w:val="14"/>
      </w:rPr>
    </w:pPr>
    <w:r>
      <w:rPr>
        <w:rFonts w:ascii="Times New Roman" w:hAnsi="Times New Roman" w:eastAsia="Times New Roman" w:cs="Times New Roman"/>
        <w:b/>
        <w:bCs/>
        <w:spacing w:val="-1"/>
        <w:sz w:val="14"/>
        <w:szCs w:val="14"/>
      </w:rPr>
      <w:t>389</w:t>
    </w:r>
  </w:p>
</w:ftr>
</file>

<file path=word/footer38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AF0ECE">
    <w:pPr>
      <w:spacing w:line="173" w:lineRule="auto"/>
      <w:ind w:left="4309"/>
      <w:rPr>
        <w:rFonts w:ascii="Times New Roman" w:hAnsi="Times New Roman" w:eastAsia="Times New Roman" w:cs="Times New Roman"/>
        <w:sz w:val="14"/>
        <w:szCs w:val="14"/>
      </w:rPr>
    </w:pPr>
    <w:r>
      <w:rPr>
        <w:rFonts w:ascii="Times New Roman" w:hAnsi="Times New Roman" w:eastAsia="Times New Roman" w:cs="Times New Roman"/>
        <w:b/>
        <w:bCs/>
        <w:spacing w:val="-1"/>
        <w:sz w:val="14"/>
        <w:szCs w:val="14"/>
      </w:rPr>
      <w:t>390</w:t>
    </w:r>
  </w:p>
</w:ftr>
</file>

<file path=word/footer38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C64263">
    <w:pPr>
      <w:spacing w:line="173" w:lineRule="auto"/>
      <w:ind w:left="4319"/>
      <w:rPr>
        <w:rFonts w:ascii="Times New Roman" w:hAnsi="Times New Roman" w:eastAsia="Times New Roman" w:cs="Times New Roman"/>
        <w:sz w:val="14"/>
        <w:szCs w:val="14"/>
      </w:rPr>
    </w:pPr>
    <w:r>
      <w:rPr>
        <w:rFonts w:ascii="Times New Roman" w:hAnsi="Times New Roman" w:eastAsia="Times New Roman" w:cs="Times New Roman"/>
        <w:b/>
        <w:bCs/>
        <w:spacing w:val="-1"/>
        <w:sz w:val="14"/>
        <w:szCs w:val="14"/>
      </w:rPr>
      <w:t>391</w:t>
    </w:r>
  </w:p>
</w:ftr>
</file>

<file path=word/footer38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EFB313">
    <w:pPr>
      <w:spacing w:line="173" w:lineRule="auto"/>
      <w:ind w:left="4324"/>
      <w:rPr>
        <w:rFonts w:ascii="Times New Roman" w:hAnsi="Times New Roman" w:eastAsia="Times New Roman" w:cs="Times New Roman"/>
        <w:sz w:val="14"/>
        <w:szCs w:val="14"/>
      </w:rPr>
    </w:pPr>
    <w:r>
      <w:rPr>
        <w:rFonts w:ascii="Times New Roman" w:hAnsi="Times New Roman" w:eastAsia="Times New Roman" w:cs="Times New Roman"/>
        <w:b/>
        <w:bCs/>
        <w:spacing w:val="-1"/>
        <w:sz w:val="14"/>
        <w:szCs w:val="14"/>
      </w:rPr>
      <w:t>392</w:t>
    </w:r>
  </w:p>
</w:ftr>
</file>

<file path=word/footer38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70CD34">
    <w:pPr>
      <w:spacing w:line="173" w:lineRule="auto"/>
      <w:ind w:left="4003"/>
      <w:rPr>
        <w:rFonts w:ascii="Times New Roman" w:hAnsi="Times New Roman" w:eastAsia="Times New Roman" w:cs="Times New Roman"/>
        <w:sz w:val="14"/>
        <w:szCs w:val="14"/>
      </w:rPr>
    </w:pPr>
    <w:r>
      <w:rPr>
        <w:rFonts w:ascii="Times New Roman" w:hAnsi="Times New Roman" w:eastAsia="Times New Roman" w:cs="Times New Roman"/>
        <w:b/>
        <w:bCs/>
        <w:spacing w:val="-1"/>
        <w:sz w:val="14"/>
        <w:szCs w:val="14"/>
      </w:rPr>
      <w:t>393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3AF645">
    <w:pPr>
      <w:spacing w:before="64" w:line="222" w:lineRule="auto"/>
      <w:ind w:left="558"/>
      <w:rPr>
        <w:rFonts w:ascii="黑体" w:hAnsi="黑体" w:eastAsia="黑体" w:cs="黑体"/>
        <w:sz w:val="25"/>
        <w:szCs w:val="25"/>
      </w:rPr>
    </w:pPr>
    <w:r>
      <w:rPr>
        <w:rFonts w:ascii="黑体" w:hAnsi="黑体" w:eastAsia="黑体" w:cs="黑体"/>
        <w:b/>
        <w:bCs/>
        <w:sz w:val="25"/>
        <w:szCs w:val="25"/>
      </w:rPr>
      <w:t>附表</w:t>
    </w:r>
    <w:r>
      <w:rPr>
        <w:rFonts w:ascii="Times New Roman" w:hAnsi="Times New Roman" w:eastAsia="Times New Roman" w:cs="Times New Roman"/>
        <w:b/>
        <w:bCs/>
        <w:sz w:val="25"/>
        <w:szCs w:val="25"/>
      </w:rPr>
      <w:t xml:space="preserve">A-13:  </w:t>
    </w:r>
    <w:r>
      <w:rPr>
        <w:rFonts w:ascii="黑体" w:hAnsi="黑体" w:eastAsia="黑体" w:cs="黑体"/>
        <w:b/>
        <w:bCs/>
        <w:sz w:val="25"/>
        <w:szCs w:val="25"/>
      </w:rPr>
      <w:t>评标结果汇总表</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763836">
    <w:pPr>
      <w:spacing w:line="14" w:lineRule="auto"/>
      <w:rPr>
        <w:rFonts w:ascii="Arial"/>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CDCF92">
    <w:pPr>
      <w:spacing w:line="105" w:lineRule="auto"/>
      <w:rPr>
        <w:rFonts w:ascii="Arial"/>
        <w:sz w:val="2"/>
      </w:rPr>
    </w:pPr>
    <w:r>
      <w:drawing>
        <wp:anchor distT="0" distB="0" distL="0" distR="0" simplePos="0" relativeHeight="251659264" behindDoc="0" locked="0" layoutInCell="0" allowOverlap="1">
          <wp:simplePos x="0" y="0"/>
          <wp:positionH relativeFrom="page">
            <wp:posOffset>914400</wp:posOffset>
          </wp:positionH>
          <wp:positionV relativeFrom="page">
            <wp:posOffset>1244600</wp:posOffset>
          </wp:positionV>
          <wp:extent cx="5302250" cy="12700"/>
          <wp:effectExtent l="0" t="0" r="0" b="0"/>
          <wp:wrapNone/>
          <wp:docPr id="62" name="IM 62"/>
          <wp:cNvGraphicFramePr/>
          <a:graphic xmlns:a="http://schemas.openxmlformats.org/drawingml/2006/main">
            <a:graphicData uri="http://schemas.openxmlformats.org/drawingml/2006/picture">
              <pic:pic xmlns:pic="http://schemas.openxmlformats.org/drawingml/2006/picture">
                <pic:nvPicPr>
                  <pic:cNvPr id="62" name="IM 62"/>
                  <pic:cNvPicPr/>
                </pic:nvPicPr>
                <pic:blipFill>
                  <a:blip r:embed="rId1"/>
                  <a:stretch>
                    <a:fillRect/>
                  </a:stretch>
                </pic:blipFill>
                <pic:spPr>
                  <a:xfrm>
                    <a:off x="0" y="0"/>
                    <a:ext cx="5302238" cy="12725"/>
                  </a:xfrm>
                  <a:prstGeom prst="rect">
                    <a:avLst/>
                  </a:prstGeom>
                </pic:spPr>
              </pic:pic>
            </a:graphicData>
          </a:graphic>
        </wp:anchor>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CFE0DA">
    <w:pPr>
      <w:spacing w:line="14" w:lineRule="auto"/>
      <w:rPr>
        <w:rFonts w:ascii="Arial"/>
        <w:sz w:val="2"/>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FED37B">
    <w:pPr>
      <w:pStyle w:val="2"/>
      <w:spacing w:before="18" w:line="208" w:lineRule="auto"/>
      <w:ind w:right="10"/>
      <w:jc w:val="right"/>
      <w:rPr>
        <w:sz w:val="7"/>
        <w:szCs w:val="7"/>
      </w:rPr>
    </w:pPr>
    <w:r>
      <w:drawing>
        <wp:anchor distT="0" distB="0" distL="0" distR="0" simplePos="0" relativeHeight="251660288" behindDoc="0" locked="0" layoutInCell="0" allowOverlap="1">
          <wp:simplePos x="0" y="0"/>
          <wp:positionH relativeFrom="page">
            <wp:posOffset>1186815</wp:posOffset>
          </wp:positionH>
          <wp:positionV relativeFrom="page">
            <wp:posOffset>1278255</wp:posOffset>
          </wp:positionV>
          <wp:extent cx="5276850" cy="6350"/>
          <wp:effectExtent l="0" t="0" r="0" b="0"/>
          <wp:wrapNone/>
          <wp:docPr id="82" name="IM 82"/>
          <wp:cNvGraphicFramePr/>
          <a:graphic xmlns:a="http://schemas.openxmlformats.org/drawingml/2006/main">
            <a:graphicData uri="http://schemas.openxmlformats.org/drawingml/2006/picture">
              <pic:pic xmlns:pic="http://schemas.openxmlformats.org/drawingml/2006/picture">
                <pic:nvPicPr>
                  <pic:cNvPr id="82" name="IM 82"/>
                  <pic:cNvPicPr/>
                </pic:nvPicPr>
                <pic:blipFill>
                  <a:blip r:embed="rId1"/>
                  <a:stretch>
                    <a:fillRect/>
                  </a:stretch>
                </pic:blipFill>
                <pic:spPr>
                  <a:xfrm>
                    <a:off x="0" y="0"/>
                    <a:ext cx="5276827" cy="6350"/>
                  </a:xfrm>
                  <a:prstGeom prst="rect">
                    <a:avLst/>
                  </a:prstGeom>
                </pic:spPr>
              </pic:pic>
            </a:graphicData>
          </a:graphic>
        </wp:anchor>
      </w:drawing>
    </w:r>
    <w:r>
      <w:rPr>
        <w:sz w:val="7"/>
        <w:szCs w:val="7"/>
      </w:rPr>
      <w:t>□</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FB9EE4">
    <w:pPr>
      <w:spacing w:before="42" w:line="55" w:lineRule="exact"/>
      <w:ind w:left="8526"/>
      <w:rPr>
        <w:rFonts w:ascii="Times New Roman" w:hAnsi="Times New Roman" w:eastAsia="Times New Roman" w:cs="Times New Roman"/>
        <w:sz w:val="8"/>
        <w:szCs w:val="8"/>
      </w:rPr>
    </w:pPr>
    <w:r>
      <w:drawing>
        <wp:anchor distT="0" distB="0" distL="0" distR="0" simplePos="0" relativeHeight="251661312" behindDoc="0" locked="0" layoutInCell="0" allowOverlap="1">
          <wp:simplePos x="0" y="0"/>
          <wp:positionH relativeFrom="page">
            <wp:posOffset>1193165</wp:posOffset>
          </wp:positionH>
          <wp:positionV relativeFrom="page">
            <wp:posOffset>1282700</wp:posOffset>
          </wp:positionV>
          <wp:extent cx="5143500" cy="6350"/>
          <wp:effectExtent l="0" t="0" r="0" b="0"/>
          <wp:wrapNone/>
          <wp:docPr id="92" name="IM 92"/>
          <wp:cNvGraphicFramePr/>
          <a:graphic xmlns:a="http://schemas.openxmlformats.org/drawingml/2006/main">
            <a:graphicData uri="http://schemas.openxmlformats.org/drawingml/2006/picture">
              <pic:pic xmlns:pic="http://schemas.openxmlformats.org/drawingml/2006/picture">
                <pic:nvPicPr>
                  <pic:cNvPr id="92" name="IM 92"/>
                  <pic:cNvPicPr/>
                </pic:nvPicPr>
                <pic:blipFill>
                  <a:blip r:embed="rId1"/>
                  <a:stretch>
                    <a:fillRect/>
                  </a:stretch>
                </pic:blipFill>
                <pic:spPr>
                  <a:xfrm>
                    <a:off x="0" y="0"/>
                    <a:ext cx="5143494" cy="6350"/>
                  </a:xfrm>
                  <a:prstGeom prst="rect">
                    <a:avLst/>
                  </a:prstGeom>
                </pic:spPr>
              </pic:pic>
            </a:graphicData>
          </a:graphic>
        </wp:anchor>
      </w:drawing>
    </w:r>
    <w:r>
      <w:rPr>
        <w:rFonts w:ascii="Times New Roman" w:hAnsi="Times New Roman" w:eastAsia="Times New Roman" w:cs="Times New Roman"/>
        <w:sz w:val="8"/>
        <w:szCs w:val="8"/>
      </w:rPr>
      <w:t>n</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638A2B">
    <w:pPr>
      <w:pStyle w:val="2"/>
      <w:spacing w:before="21" w:line="237" w:lineRule="auto"/>
      <w:ind w:left="8526"/>
      <w:rPr>
        <w:sz w:val="8"/>
        <w:szCs w:val="8"/>
      </w:rPr>
    </w:pPr>
    <w:r>
      <w:drawing>
        <wp:anchor distT="0" distB="0" distL="0" distR="0" simplePos="0" relativeHeight="251662336" behindDoc="0" locked="0" layoutInCell="0" allowOverlap="1">
          <wp:simplePos x="0" y="0"/>
          <wp:positionH relativeFrom="page">
            <wp:posOffset>1199515</wp:posOffset>
          </wp:positionH>
          <wp:positionV relativeFrom="page">
            <wp:posOffset>1294765</wp:posOffset>
          </wp:positionV>
          <wp:extent cx="5143500" cy="6350"/>
          <wp:effectExtent l="0" t="0" r="0" b="0"/>
          <wp:wrapNone/>
          <wp:docPr id="106" name="IM 106"/>
          <wp:cNvGraphicFramePr/>
          <a:graphic xmlns:a="http://schemas.openxmlformats.org/drawingml/2006/main">
            <a:graphicData uri="http://schemas.openxmlformats.org/drawingml/2006/picture">
              <pic:pic xmlns:pic="http://schemas.openxmlformats.org/drawingml/2006/picture">
                <pic:nvPicPr>
                  <pic:cNvPr id="106" name="IM 106"/>
                  <pic:cNvPicPr/>
                </pic:nvPicPr>
                <pic:blipFill>
                  <a:blip r:embed="rId1"/>
                  <a:stretch>
                    <a:fillRect/>
                  </a:stretch>
                </pic:blipFill>
                <pic:spPr>
                  <a:xfrm>
                    <a:off x="0" y="0"/>
                    <a:ext cx="5143494" cy="6350"/>
                  </a:xfrm>
                  <a:prstGeom prst="rect">
                    <a:avLst/>
                  </a:prstGeom>
                </pic:spPr>
              </pic:pic>
            </a:graphicData>
          </a:graphic>
        </wp:anchor>
      </w:drawing>
    </w:r>
    <w:r>
      <w:rPr>
        <w:sz w:val="8"/>
        <w:szCs w:val="8"/>
      </w:rPr>
      <w:t>口</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025074">
    <w:pPr>
      <w:spacing w:line="14" w:lineRule="auto"/>
      <w:rPr>
        <w:rFonts w:ascii="Arial"/>
        <w:sz w:val="2"/>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5AAD0E">
    <w:pPr>
      <w:pStyle w:val="2"/>
      <w:spacing w:before="16" w:line="203" w:lineRule="auto"/>
      <w:ind w:left="8426"/>
      <w:rPr>
        <w:sz w:val="6"/>
        <w:szCs w:val="6"/>
      </w:rPr>
    </w:pPr>
    <w:r>
      <w:drawing>
        <wp:anchor distT="0" distB="0" distL="0" distR="0" simplePos="0" relativeHeight="251663360" behindDoc="0" locked="0" layoutInCell="0" allowOverlap="1">
          <wp:simplePos x="0" y="0"/>
          <wp:positionH relativeFrom="page">
            <wp:posOffset>1193165</wp:posOffset>
          </wp:positionH>
          <wp:positionV relativeFrom="page">
            <wp:posOffset>1276985</wp:posOffset>
          </wp:positionV>
          <wp:extent cx="5080000" cy="6350"/>
          <wp:effectExtent l="0" t="0" r="0" b="0"/>
          <wp:wrapNone/>
          <wp:docPr id="118" name="IM 118"/>
          <wp:cNvGraphicFramePr/>
          <a:graphic xmlns:a="http://schemas.openxmlformats.org/drawingml/2006/main">
            <a:graphicData uri="http://schemas.openxmlformats.org/drawingml/2006/picture">
              <pic:pic xmlns:pic="http://schemas.openxmlformats.org/drawingml/2006/picture">
                <pic:nvPicPr>
                  <pic:cNvPr id="118" name="IM 118"/>
                  <pic:cNvPicPr/>
                </pic:nvPicPr>
                <pic:blipFill>
                  <a:blip r:embed="rId1"/>
                  <a:stretch>
                    <a:fillRect/>
                  </a:stretch>
                </pic:blipFill>
                <pic:spPr>
                  <a:xfrm>
                    <a:off x="0" y="0"/>
                    <a:ext cx="5079966" cy="6350"/>
                  </a:xfrm>
                  <a:prstGeom prst="rect">
                    <a:avLst/>
                  </a:prstGeom>
                </pic:spPr>
              </pic:pic>
            </a:graphicData>
          </a:graphic>
        </wp:anchor>
      </w:drawing>
    </w:r>
    <w:r>
      <w:rPr>
        <w:sz w:val="6"/>
        <w:szCs w:val="6"/>
      </w:rPr>
      <w:t>◎</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D306A2">
    <w:pPr>
      <w:spacing w:line="14" w:lineRule="auto"/>
      <w:rPr>
        <w:rFonts w:ascii="Arial"/>
        <w:sz w:val="2"/>
      </w:rP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B40362">
    <w:pPr>
      <w:spacing w:before="39" w:line="157" w:lineRule="auto"/>
      <w:ind w:left="8529"/>
      <w:rPr>
        <w:rFonts w:ascii="Arial" w:hAnsi="Arial" w:eastAsia="Arial" w:cs="Arial"/>
        <w:sz w:val="8"/>
        <w:szCs w:val="8"/>
      </w:rPr>
    </w:pPr>
    <w:r>
      <w:drawing>
        <wp:anchor distT="0" distB="0" distL="0" distR="0" simplePos="0" relativeHeight="251664384" behindDoc="0" locked="0" layoutInCell="0" allowOverlap="1">
          <wp:simplePos x="0" y="0"/>
          <wp:positionH relativeFrom="page">
            <wp:posOffset>1257300</wp:posOffset>
          </wp:positionH>
          <wp:positionV relativeFrom="page">
            <wp:posOffset>1276350</wp:posOffset>
          </wp:positionV>
          <wp:extent cx="5080000" cy="6350"/>
          <wp:effectExtent l="0" t="0" r="0" b="0"/>
          <wp:wrapNone/>
          <wp:docPr id="178" name="IM 178"/>
          <wp:cNvGraphicFramePr/>
          <a:graphic xmlns:a="http://schemas.openxmlformats.org/drawingml/2006/main">
            <a:graphicData uri="http://schemas.openxmlformats.org/drawingml/2006/picture">
              <pic:pic xmlns:pic="http://schemas.openxmlformats.org/drawingml/2006/picture">
                <pic:nvPicPr>
                  <pic:cNvPr id="178" name="IM 178"/>
                  <pic:cNvPicPr/>
                </pic:nvPicPr>
                <pic:blipFill>
                  <a:blip r:embed="rId1"/>
                  <a:stretch>
                    <a:fillRect/>
                  </a:stretch>
                </pic:blipFill>
                <pic:spPr>
                  <a:xfrm>
                    <a:off x="0" y="0"/>
                    <a:ext cx="5079966" cy="6350"/>
                  </a:xfrm>
                  <a:prstGeom prst="rect">
                    <a:avLst/>
                  </a:prstGeom>
                </pic:spPr>
              </pic:pic>
            </a:graphicData>
          </a:graphic>
        </wp:anchor>
      </w:drawing>
    </w:r>
    <w:r>
      <w:rPr>
        <w:rFonts w:ascii="Arial" w:hAnsi="Arial" w:eastAsia="Arial" w:cs="Arial"/>
        <w:sz w:val="8"/>
        <w:szCs w:val="8"/>
      </w:rPr>
      <w:t>n</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050CBA">
    <w:pPr>
      <w:spacing w:line="14" w:lineRule="auto"/>
      <w:rPr>
        <w:rFonts w:ascii="Arial"/>
        <w:sz w:val="2"/>
      </w:rP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5ABF4F">
    <w:pPr>
      <w:pStyle w:val="2"/>
      <w:spacing w:before="69" w:line="222" w:lineRule="auto"/>
      <w:ind w:left="433"/>
    </w:pPr>
    <w:r>
      <w:rPr>
        <w:b/>
        <w:bCs/>
        <w:spacing w:val="2"/>
      </w:rPr>
      <w:t>附件1:承包人承揽工程项目一览表</w: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F7D201">
    <w:pPr>
      <w:spacing w:line="14" w:lineRule="auto"/>
      <w:rPr>
        <w:rFonts w:ascii="Arial"/>
        <w:sz w:val="2"/>
      </w:rP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8C9948">
    <w:pPr>
      <w:pStyle w:val="2"/>
      <w:spacing w:before="66" w:line="219" w:lineRule="auto"/>
      <w:ind w:left="468"/>
    </w:pPr>
    <w:r>
      <w:rPr>
        <w:b/>
        <w:bCs/>
        <w:spacing w:val="-3"/>
      </w:rPr>
      <w:t>附件7:分包人主要施工管理人员表</w: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7EF1D">
    <w:pPr>
      <w:spacing w:line="14" w:lineRule="auto"/>
      <w:rPr>
        <w:rFonts w:ascii="Arial"/>
        <w:sz w:val="2"/>
      </w:rP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24F6AC">
    <w:pPr>
      <w:spacing w:line="64" w:lineRule="exact"/>
      <w:ind w:firstLine="939"/>
    </w:pPr>
    <w:r>
      <w:rPr>
        <w:position w:val="-1"/>
      </w:rPr>
      <w:drawing>
        <wp:inline distT="0" distB="0" distL="0" distR="0">
          <wp:extent cx="4670425" cy="40640"/>
          <wp:effectExtent l="0" t="0" r="0" b="0"/>
          <wp:docPr id="252" name="IM 252"/>
          <wp:cNvGraphicFramePr/>
          <a:graphic xmlns:a="http://schemas.openxmlformats.org/drawingml/2006/main">
            <a:graphicData uri="http://schemas.openxmlformats.org/drawingml/2006/picture">
              <pic:pic xmlns:pic="http://schemas.openxmlformats.org/drawingml/2006/picture">
                <pic:nvPicPr>
                  <pic:cNvPr id="252" name="IM 252"/>
                  <pic:cNvPicPr/>
                </pic:nvPicPr>
                <pic:blipFill>
                  <a:blip r:embed="rId1"/>
                  <a:stretch>
                    <a:fillRect/>
                  </a:stretch>
                </pic:blipFill>
                <pic:spPr>
                  <a:xfrm>
                    <a:off x="0" y="0"/>
                    <a:ext cx="4670437" cy="41236"/>
                  </a:xfrm>
                  <a:prstGeom prst="rect">
                    <a:avLst/>
                  </a:prstGeom>
                </pic:spPr>
              </pic:pic>
            </a:graphicData>
          </a:graphic>
        </wp:inline>
      </w:drawing>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E617D5">
    <w:pPr>
      <w:spacing w:line="14" w:lineRule="auto"/>
      <w:rPr>
        <w:rFonts w:ascii="Arial"/>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000000"/>
    <w:rsid w:val="0113400C"/>
    <w:rsid w:val="01164FA2"/>
    <w:rsid w:val="014C6B51"/>
    <w:rsid w:val="020B1211"/>
    <w:rsid w:val="02497534"/>
    <w:rsid w:val="02A8425B"/>
    <w:rsid w:val="032A0D9E"/>
    <w:rsid w:val="034827CA"/>
    <w:rsid w:val="043D6D35"/>
    <w:rsid w:val="05251297"/>
    <w:rsid w:val="052E044D"/>
    <w:rsid w:val="073B6AEB"/>
    <w:rsid w:val="073E53F0"/>
    <w:rsid w:val="07541528"/>
    <w:rsid w:val="07B02D9F"/>
    <w:rsid w:val="07E80C89"/>
    <w:rsid w:val="089B4E78"/>
    <w:rsid w:val="08A22B86"/>
    <w:rsid w:val="08BC4744"/>
    <w:rsid w:val="09290B6C"/>
    <w:rsid w:val="09572537"/>
    <w:rsid w:val="099A4E73"/>
    <w:rsid w:val="0C81466F"/>
    <w:rsid w:val="10D767FD"/>
    <w:rsid w:val="11691059"/>
    <w:rsid w:val="11B342BC"/>
    <w:rsid w:val="11E66910"/>
    <w:rsid w:val="12CE6F6F"/>
    <w:rsid w:val="13816F52"/>
    <w:rsid w:val="13A10F7E"/>
    <w:rsid w:val="13A24DF5"/>
    <w:rsid w:val="14F055ED"/>
    <w:rsid w:val="162E71AF"/>
    <w:rsid w:val="16E304D0"/>
    <w:rsid w:val="170F3B91"/>
    <w:rsid w:val="17A9055F"/>
    <w:rsid w:val="18396FA2"/>
    <w:rsid w:val="190A4F4F"/>
    <w:rsid w:val="1BEF4851"/>
    <w:rsid w:val="1C19367C"/>
    <w:rsid w:val="1C8841F7"/>
    <w:rsid w:val="1F413615"/>
    <w:rsid w:val="1FC03A66"/>
    <w:rsid w:val="200E29B5"/>
    <w:rsid w:val="209C39D5"/>
    <w:rsid w:val="217A4BBD"/>
    <w:rsid w:val="22A77C33"/>
    <w:rsid w:val="22CF5D6C"/>
    <w:rsid w:val="244A4D1A"/>
    <w:rsid w:val="24B413C5"/>
    <w:rsid w:val="26396DF4"/>
    <w:rsid w:val="26C708A4"/>
    <w:rsid w:val="29763EBB"/>
    <w:rsid w:val="2B9E53BE"/>
    <w:rsid w:val="2BF75854"/>
    <w:rsid w:val="2C2D48A8"/>
    <w:rsid w:val="2C302A48"/>
    <w:rsid w:val="2E942EF4"/>
    <w:rsid w:val="2FA56339"/>
    <w:rsid w:val="309A4AC4"/>
    <w:rsid w:val="30A95819"/>
    <w:rsid w:val="337F22B1"/>
    <w:rsid w:val="351D3D85"/>
    <w:rsid w:val="35636AF0"/>
    <w:rsid w:val="357C3ACE"/>
    <w:rsid w:val="361D5769"/>
    <w:rsid w:val="38285DE8"/>
    <w:rsid w:val="3AD33AB3"/>
    <w:rsid w:val="3AD81B72"/>
    <w:rsid w:val="3AE570F3"/>
    <w:rsid w:val="3B345984"/>
    <w:rsid w:val="3C574020"/>
    <w:rsid w:val="3CC3387E"/>
    <w:rsid w:val="3D0C2BC9"/>
    <w:rsid w:val="3E916A5A"/>
    <w:rsid w:val="3EBC5F44"/>
    <w:rsid w:val="3EEF0540"/>
    <w:rsid w:val="4050500F"/>
    <w:rsid w:val="411653AB"/>
    <w:rsid w:val="41B4100C"/>
    <w:rsid w:val="41C21F3C"/>
    <w:rsid w:val="41CE3BF4"/>
    <w:rsid w:val="42FF4289"/>
    <w:rsid w:val="43F17986"/>
    <w:rsid w:val="44C10460"/>
    <w:rsid w:val="45155EC7"/>
    <w:rsid w:val="454F5544"/>
    <w:rsid w:val="46790DCF"/>
    <w:rsid w:val="47421A9E"/>
    <w:rsid w:val="47ED38C0"/>
    <w:rsid w:val="495C6E3B"/>
    <w:rsid w:val="4A183041"/>
    <w:rsid w:val="4A6F4C2B"/>
    <w:rsid w:val="4ABE6B29"/>
    <w:rsid w:val="4B3E553B"/>
    <w:rsid w:val="4E3445AC"/>
    <w:rsid w:val="50154213"/>
    <w:rsid w:val="504F0E3F"/>
    <w:rsid w:val="5270414C"/>
    <w:rsid w:val="53D23513"/>
    <w:rsid w:val="53D920BE"/>
    <w:rsid w:val="54413194"/>
    <w:rsid w:val="544773A1"/>
    <w:rsid w:val="55911EF9"/>
    <w:rsid w:val="55A82D9F"/>
    <w:rsid w:val="56313415"/>
    <w:rsid w:val="56476F17"/>
    <w:rsid w:val="56C97471"/>
    <w:rsid w:val="590B3D84"/>
    <w:rsid w:val="59EA607C"/>
    <w:rsid w:val="5B727442"/>
    <w:rsid w:val="5D0B44D7"/>
    <w:rsid w:val="5E3439B2"/>
    <w:rsid w:val="5F0F2F6B"/>
    <w:rsid w:val="5F926F9A"/>
    <w:rsid w:val="60714E01"/>
    <w:rsid w:val="60CB1F87"/>
    <w:rsid w:val="62C307D4"/>
    <w:rsid w:val="63944FF3"/>
    <w:rsid w:val="63B35731"/>
    <w:rsid w:val="63FC70D8"/>
    <w:rsid w:val="63FF220F"/>
    <w:rsid w:val="6559142E"/>
    <w:rsid w:val="65DA71C8"/>
    <w:rsid w:val="66356753"/>
    <w:rsid w:val="670342D9"/>
    <w:rsid w:val="6732696D"/>
    <w:rsid w:val="694925C8"/>
    <w:rsid w:val="694B7A09"/>
    <w:rsid w:val="69D1339F"/>
    <w:rsid w:val="6A086E7E"/>
    <w:rsid w:val="6A58767F"/>
    <w:rsid w:val="6A720EF8"/>
    <w:rsid w:val="6AF26E82"/>
    <w:rsid w:val="6B6B6D0D"/>
    <w:rsid w:val="6B9165C0"/>
    <w:rsid w:val="6CE7569A"/>
    <w:rsid w:val="6D0A1128"/>
    <w:rsid w:val="6D2A0812"/>
    <w:rsid w:val="6D387F88"/>
    <w:rsid w:val="6F7B35A7"/>
    <w:rsid w:val="6FD31524"/>
    <w:rsid w:val="703F39D0"/>
    <w:rsid w:val="72824C4C"/>
    <w:rsid w:val="73BB6668"/>
    <w:rsid w:val="746A3BEA"/>
    <w:rsid w:val="74EC2236"/>
    <w:rsid w:val="75874D60"/>
    <w:rsid w:val="75AE3EE0"/>
    <w:rsid w:val="779B2CD1"/>
    <w:rsid w:val="78C22732"/>
    <w:rsid w:val="78C91298"/>
    <w:rsid w:val="79532E9E"/>
    <w:rsid w:val="79FB5695"/>
    <w:rsid w:val="7A3A460E"/>
    <w:rsid w:val="7A822E22"/>
    <w:rsid w:val="7B827CE5"/>
    <w:rsid w:val="7BFD775F"/>
    <w:rsid w:val="7C3C1F2E"/>
    <w:rsid w:val="7C8F2021"/>
    <w:rsid w:val="7DF32D12"/>
    <w:rsid w:val="7F1D372C"/>
    <w:rsid w:val="7F73701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宋体" w:hAnsi="宋体" w:eastAsia="宋体" w:cs="宋体"/>
      <w:sz w:val="25"/>
      <w:szCs w:val="25"/>
      <w:lang w:val="en-US" w:eastAsia="en-US" w:bidi="ar-SA"/>
    </w:rPr>
  </w:style>
  <w:style w:type="table" w:customStyle="1" w:styleId="5">
    <w:name w:val="Table Normal"/>
    <w:semiHidden/>
    <w:unhideWhenUsed/>
    <w:qFormat/>
    <w:uiPriority w:val="0"/>
    <w:tblPr>
      <w:tblCellMar>
        <w:top w:w="0" w:type="dxa"/>
        <w:left w:w="0" w:type="dxa"/>
        <w:bottom w:w="0" w:type="dxa"/>
        <w:right w:w="0" w:type="dxa"/>
      </w:tblCellMar>
    </w:tblPr>
  </w:style>
  <w:style w:type="paragraph" w:customStyle="1" w:styleId="6">
    <w:name w:val="Table Text"/>
    <w:basedOn w:val="1"/>
    <w:semiHidden/>
    <w:qFormat/>
    <w:uiPriority w:val="0"/>
    <w:rPr>
      <w:rFonts w:ascii="宋体" w:hAnsi="宋体" w:eastAsia="宋体" w:cs="宋体"/>
      <w:sz w:val="21"/>
      <w:szCs w:val="21"/>
      <w:lang w:val="en-US" w:eastAsia="en-US" w:bidi="ar-SA"/>
    </w:rPr>
  </w:style>
</w:styles>
</file>

<file path=word/_rels/document.xml.rels><?xml version="1.0" encoding="UTF-8" standalone="yes"?>
<Relationships xmlns="http://schemas.openxmlformats.org/package/2006/relationships"><Relationship Id="rId99" Type="http://schemas.openxmlformats.org/officeDocument/2006/relationships/footer" Target="footer93.xml"/><Relationship Id="rId98" Type="http://schemas.openxmlformats.org/officeDocument/2006/relationships/footer" Target="footer92.xml"/><Relationship Id="rId97" Type="http://schemas.openxmlformats.org/officeDocument/2006/relationships/footer" Target="footer91.xml"/><Relationship Id="rId96" Type="http://schemas.openxmlformats.org/officeDocument/2006/relationships/footer" Target="footer90.xml"/><Relationship Id="rId95" Type="http://schemas.openxmlformats.org/officeDocument/2006/relationships/footer" Target="footer89.xml"/><Relationship Id="rId94" Type="http://schemas.openxmlformats.org/officeDocument/2006/relationships/header" Target="header2.xml"/><Relationship Id="rId93" Type="http://schemas.openxmlformats.org/officeDocument/2006/relationships/footer" Target="footer88.xml"/><Relationship Id="rId92" Type="http://schemas.openxmlformats.org/officeDocument/2006/relationships/header" Target="header1.xml"/><Relationship Id="rId91" Type="http://schemas.openxmlformats.org/officeDocument/2006/relationships/footer" Target="footer87.xml"/><Relationship Id="rId90" Type="http://schemas.openxmlformats.org/officeDocument/2006/relationships/footer" Target="footer86.xml"/><Relationship Id="rId9" Type="http://schemas.openxmlformats.org/officeDocument/2006/relationships/footer" Target="footer5.xml"/><Relationship Id="rId89" Type="http://schemas.openxmlformats.org/officeDocument/2006/relationships/footer" Target="footer85.xml"/><Relationship Id="rId88" Type="http://schemas.openxmlformats.org/officeDocument/2006/relationships/footer" Target="footer84.xml"/><Relationship Id="rId87" Type="http://schemas.openxmlformats.org/officeDocument/2006/relationships/footer" Target="footer83.xml"/><Relationship Id="rId86" Type="http://schemas.openxmlformats.org/officeDocument/2006/relationships/footer" Target="footer82.xml"/><Relationship Id="rId85" Type="http://schemas.openxmlformats.org/officeDocument/2006/relationships/footer" Target="footer81.xml"/><Relationship Id="rId84" Type="http://schemas.openxmlformats.org/officeDocument/2006/relationships/footer" Target="footer80.xml"/><Relationship Id="rId83" Type="http://schemas.openxmlformats.org/officeDocument/2006/relationships/footer" Target="footer79.xml"/><Relationship Id="rId82" Type="http://schemas.openxmlformats.org/officeDocument/2006/relationships/footer" Target="footer78.xml"/><Relationship Id="rId81" Type="http://schemas.openxmlformats.org/officeDocument/2006/relationships/footer" Target="footer77.xml"/><Relationship Id="rId80" Type="http://schemas.openxmlformats.org/officeDocument/2006/relationships/footer" Target="footer76.xml"/><Relationship Id="rId8" Type="http://schemas.openxmlformats.org/officeDocument/2006/relationships/footer" Target="footer4.xml"/><Relationship Id="rId79" Type="http://schemas.openxmlformats.org/officeDocument/2006/relationships/footer" Target="footer75.xml"/><Relationship Id="rId78" Type="http://schemas.openxmlformats.org/officeDocument/2006/relationships/footer" Target="footer74.xml"/><Relationship Id="rId77" Type="http://schemas.openxmlformats.org/officeDocument/2006/relationships/footer" Target="footer73.xml"/><Relationship Id="rId76" Type="http://schemas.openxmlformats.org/officeDocument/2006/relationships/footer" Target="footer72.xml"/><Relationship Id="rId75" Type="http://schemas.openxmlformats.org/officeDocument/2006/relationships/footer" Target="footer71.xml"/><Relationship Id="rId74" Type="http://schemas.openxmlformats.org/officeDocument/2006/relationships/footer" Target="footer70.xml"/><Relationship Id="rId73" Type="http://schemas.openxmlformats.org/officeDocument/2006/relationships/footer" Target="footer69.xml"/><Relationship Id="rId72" Type="http://schemas.openxmlformats.org/officeDocument/2006/relationships/footer" Target="footer68.xml"/><Relationship Id="rId71" Type="http://schemas.openxmlformats.org/officeDocument/2006/relationships/footer" Target="footer67.xml"/><Relationship Id="rId70" Type="http://schemas.openxmlformats.org/officeDocument/2006/relationships/footer" Target="footer66.xml"/><Relationship Id="rId7" Type="http://schemas.openxmlformats.org/officeDocument/2006/relationships/footer" Target="footer3.xml"/><Relationship Id="rId69" Type="http://schemas.openxmlformats.org/officeDocument/2006/relationships/footer" Target="footer65.xml"/><Relationship Id="rId68" Type="http://schemas.openxmlformats.org/officeDocument/2006/relationships/footer" Target="footer64.xml"/><Relationship Id="rId67" Type="http://schemas.openxmlformats.org/officeDocument/2006/relationships/footer" Target="footer63.xml"/><Relationship Id="rId66" Type="http://schemas.openxmlformats.org/officeDocument/2006/relationships/footer" Target="footer62.xml"/><Relationship Id="rId65" Type="http://schemas.openxmlformats.org/officeDocument/2006/relationships/footer" Target="footer61.xml"/><Relationship Id="rId64" Type="http://schemas.openxmlformats.org/officeDocument/2006/relationships/footer" Target="footer60.xml"/><Relationship Id="rId63" Type="http://schemas.openxmlformats.org/officeDocument/2006/relationships/footer" Target="footer59.xml"/><Relationship Id="rId62" Type="http://schemas.openxmlformats.org/officeDocument/2006/relationships/footer" Target="footer58.xml"/><Relationship Id="rId61" Type="http://schemas.openxmlformats.org/officeDocument/2006/relationships/footer" Target="footer57.xml"/><Relationship Id="rId60" Type="http://schemas.openxmlformats.org/officeDocument/2006/relationships/footer" Target="footer56.xml"/><Relationship Id="rId6" Type="http://schemas.openxmlformats.org/officeDocument/2006/relationships/footer" Target="footer2.xml"/><Relationship Id="rId59" Type="http://schemas.openxmlformats.org/officeDocument/2006/relationships/footer" Target="footer55.xml"/><Relationship Id="rId58" Type="http://schemas.openxmlformats.org/officeDocument/2006/relationships/footer" Target="footer54.xml"/><Relationship Id="rId57" Type="http://schemas.openxmlformats.org/officeDocument/2006/relationships/footer" Target="footer53.xml"/><Relationship Id="rId56" Type="http://schemas.openxmlformats.org/officeDocument/2006/relationships/footer" Target="footer52.xml"/><Relationship Id="rId55" Type="http://schemas.openxmlformats.org/officeDocument/2006/relationships/footer" Target="footer51.xml"/><Relationship Id="rId54" Type="http://schemas.openxmlformats.org/officeDocument/2006/relationships/footer" Target="footer50.xml"/><Relationship Id="rId53" Type="http://schemas.openxmlformats.org/officeDocument/2006/relationships/footer" Target="footer49.xml"/><Relationship Id="rId526" Type="http://schemas.openxmlformats.org/officeDocument/2006/relationships/fontTable" Target="fontTable.xml"/><Relationship Id="rId525" Type="http://schemas.openxmlformats.org/officeDocument/2006/relationships/customXml" Target="../customXml/item1.xml"/><Relationship Id="rId524" Type="http://schemas.openxmlformats.org/officeDocument/2006/relationships/image" Target="media/image121.jpeg"/><Relationship Id="rId523" Type="http://schemas.openxmlformats.org/officeDocument/2006/relationships/image" Target="media/image120.jpeg"/><Relationship Id="rId522" Type="http://schemas.openxmlformats.org/officeDocument/2006/relationships/image" Target="media/image119.jpeg"/><Relationship Id="rId521" Type="http://schemas.openxmlformats.org/officeDocument/2006/relationships/image" Target="media/image118.jpeg"/><Relationship Id="rId520" Type="http://schemas.openxmlformats.org/officeDocument/2006/relationships/image" Target="media/image117.jpeg"/><Relationship Id="rId52" Type="http://schemas.openxmlformats.org/officeDocument/2006/relationships/footer" Target="footer48.xml"/><Relationship Id="rId519" Type="http://schemas.openxmlformats.org/officeDocument/2006/relationships/image" Target="media/image116.png"/><Relationship Id="rId518" Type="http://schemas.openxmlformats.org/officeDocument/2006/relationships/image" Target="media/image115.png"/><Relationship Id="rId517" Type="http://schemas.openxmlformats.org/officeDocument/2006/relationships/image" Target="media/image114.png"/><Relationship Id="rId516" Type="http://schemas.openxmlformats.org/officeDocument/2006/relationships/image" Target="media/image113.png"/><Relationship Id="rId515" Type="http://schemas.openxmlformats.org/officeDocument/2006/relationships/image" Target="media/image112.png"/><Relationship Id="rId514" Type="http://schemas.openxmlformats.org/officeDocument/2006/relationships/image" Target="media/image111.png"/><Relationship Id="rId513" Type="http://schemas.openxmlformats.org/officeDocument/2006/relationships/image" Target="media/image110.png"/><Relationship Id="rId512" Type="http://schemas.openxmlformats.org/officeDocument/2006/relationships/image" Target="media/image109.jpeg"/><Relationship Id="rId511" Type="http://schemas.openxmlformats.org/officeDocument/2006/relationships/image" Target="media/image108.jpeg"/><Relationship Id="rId510" Type="http://schemas.openxmlformats.org/officeDocument/2006/relationships/image" Target="media/image107.png"/><Relationship Id="rId51" Type="http://schemas.openxmlformats.org/officeDocument/2006/relationships/footer" Target="footer47.xml"/><Relationship Id="rId509" Type="http://schemas.openxmlformats.org/officeDocument/2006/relationships/image" Target="media/image106.png"/><Relationship Id="rId508" Type="http://schemas.openxmlformats.org/officeDocument/2006/relationships/image" Target="media/image105.png"/><Relationship Id="rId507" Type="http://schemas.openxmlformats.org/officeDocument/2006/relationships/image" Target="media/image104.png"/><Relationship Id="rId506" Type="http://schemas.openxmlformats.org/officeDocument/2006/relationships/image" Target="media/image103.png"/><Relationship Id="rId505" Type="http://schemas.openxmlformats.org/officeDocument/2006/relationships/image" Target="media/image102.jpeg"/><Relationship Id="rId504" Type="http://schemas.openxmlformats.org/officeDocument/2006/relationships/image" Target="media/image101.png"/><Relationship Id="rId503" Type="http://schemas.openxmlformats.org/officeDocument/2006/relationships/image" Target="media/image100.png"/><Relationship Id="rId502" Type="http://schemas.openxmlformats.org/officeDocument/2006/relationships/image" Target="media/image99.png"/><Relationship Id="rId501" Type="http://schemas.openxmlformats.org/officeDocument/2006/relationships/image" Target="media/image98.jpeg"/><Relationship Id="rId500" Type="http://schemas.openxmlformats.org/officeDocument/2006/relationships/image" Target="media/image97.png"/><Relationship Id="rId50" Type="http://schemas.openxmlformats.org/officeDocument/2006/relationships/footer" Target="footer46.xml"/><Relationship Id="rId5" Type="http://schemas.openxmlformats.org/officeDocument/2006/relationships/footer" Target="footer1.xml"/><Relationship Id="rId499" Type="http://schemas.openxmlformats.org/officeDocument/2006/relationships/image" Target="media/image96.png"/><Relationship Id="rId498" Type="http://schemas.openxmlformats.org/officeDocument/2006/relationships/image" Target="media/image95.png"/><Relationship Id="rId497" Type="http://schemas.openxmlformats.org/officeDocument/2006/relationships/image" Target="media/image94.jpeg"/><Relationship Id="rId496" Type="http://schemas.openxmlformats.org/officeDocument/2006/relationships/image" Target="media/image93.jpeg"/><Relationship Id="rId495" Type="http://schemas.openxmlformats.org/officeDocument/2006/relationships/image" Target="media/image92.png"/><Relationship Id="rId494" Type="http://schemas.openxmlformats.org/officeDocument/2006/relationships/image" Target="media/image91.png"/><Relationship Id="rId493" Type="http://schemas.openxmlformats.org/officeDocument/2006/relationships/image" Target="media/image90.png"/><Relationship Id="rId492" Type="http://schemas.openxmlformats.org/officeDocument/2006/relationships/image" Target="media/image89.png"/><Relationship Id="rId491" Type="http://schemas.openxmlformats.org/officeDocument/2006/relationships/image" Target="media/image88.jpeg"/><Relationship Id="rId490" Type="http://schemas.openxmlformats.org/officeDocument/2006/relationships/image" Target="media/image87.png"/><Relationship Id="rId49" Type="http://schemas.openxmlformats.org/officeDocument/2006/relationships/footer" Target="footer45.xml"/><Relationship Id="rId489" Type="http://schemas.openxmlformats.org/officeDocument/2006/relationships/image" Target="media/image86.jpeg"/><Relationship Id="rId488" Type="http://schemas.openxmlformats.org/officeDocument/2006/relationships/image" Target="media/image85.jpeg"/><Relationship Id="rId487" Type="http://schemas.openxmlformats.org/officeDocument/2006/relationships/image" Target="media/image84.png"/><Relationship Id="rId486" Type="http://schemas.openxmlformats.org/officeDocument/2006/relationships/image" Target="media/image83.png"/><Relationship Id="rId485" Type="http://schemas.openxmlformats.org/officeDocument/2006/relationships/image" Target="media/image82.jpeg"/><Relationship Id="rId484" Type="http://schemas.openxmlformats.org/officeDocument/2006/relationships/image" Target="media/image81.png"/><Relationship Id="rId483" Type="http://schemas.openxmlformats.org/officeDocument/2006/relationships/image" Target="media/image80.jpeg"/><Relationship Id="rId482" Type="http://schemas.openxmlformats.org/officeDocument/2006/relationships/image" Target="media/image79.png"/><Relationship Id="rId481" Type="http://schemas.openxmlformats.org/officeDocument/2006/relationships/image" Target="media/image78.png"/><Relationship Id="rId480" Type="http://schemas.openxmlformats.org/officeDocument/2006/relationships/image" Target="media/image77.png"/><Relationship Id="rId48" Type="http://schemas.openxmlformats.org/officeDocument/2006/relationships/footer" Target="footer44.xml"/><Relationship Id="rId479" Type="http://schemas.openxmlformats.org/officeDocument/2006/relationships/image" Target="media/image76.png"/><Relationship Id="rId478" Type="http://schemas.openxmlformats.org/officeDocument/2006/relationships/image" Target="media/image75.png"/><Relationship Id="rId477" Type="http://schemas.openxmlformats.org/officeDocument/2006/relationships/image" Target="media/image74.jpeg"/><Relationship Id="rId476" Type="http://schemas.openxmlformats.org/officeDocument/2006/relationships/image" Target="media/image73.jpeg"/><Relationship Id="rId475" Type="http://schemas.openxmlformats.org/officeDocument/2006/relationships/image" Target="media/image72.jpeg"/><Relationship Id="rId474" Type="http://schemas.openxmlformats.org/officeDocument/2006/relationships/image" Target="media/image71.jpeg"/><Relationship Id="rId473" Type="http://schemas.openxmlformats.org/officeDocument/2006/relationships/image" Target="media/image70.png"/><Relationship Id="rId472" Type="http://schemas.openxmlformats.org/officeDocument/2006/relationships/image" Target="media/image69.png"/><Relationship Id="rId471" Type="http://schemas.openxmlformats.org/officeDocument/2006/relationships/image" Target="media/image68.png"/><Relationship Id="rId470" Type="http://schemas.openxmlformats.org/officeDocument/2006/relationships/image" Target="media/image67.jpeg"/><Relationship Id="rId47" Type="http://schemas.openxmlformats.org/officeDocument/2006/relationships/footer" Target="footer43.xml"/><Relationship Id="rId469" Type="http://schemas.openxmlformats.org/officeDocument/2006/relationships/image" Target="media/image66.png"/><Relationship Id="rId468" Type="http://schemas.openxmlformats.org/officeDocument/2006/relationships/image" Target="media/image65.jpeg"/><Relationship Id="rId467" Type="http://schemas.openxmlformats.org/officeDocument/2006/relationships/image" Target="media/image64.png"/><Relationship Id="rId466" Type="http://schemas.openxmlformats.org/officeDocument/2006/relationships/image" Target="media/image63.jpeg"/><Relationship Id="rId465" Type="http://schemas.openxmlformats.org/officeDocument/2006/relationships/image" Target="media/image62.jpeg"/><Relationship Id="rId464" Type="http://schemas.openxmlformats.org/officeDocument/2006/relationships/image" Target="media/image61.png"/><Relationship Id="rId463" Type="http://schemas.openxmlformats.org/officeDocument/2006/relationships/image" Target="media/image60.png"/><Relationship Id="rId462" Type="http://schemas.openxmlformats.org/officeDocument/2006/relationships/image" Target="media/image59.png"/><Relationship Id="rId461" Type="http://schemas.openxmlformats.org/officeDocument/2006/relationships/image" Target="media/image58.png"/><Relationship Id="rId460" Type="http://schemas.openxmlformats.org/officeDocument/2006/relationships/image" Target="media/image57.png"/><Relationship Id="rId46" Type="http://schemas.openxmlformats.org/officeDocument/2006/relationships/footer" Target="footer42.xml"/><Relationship Id="rId459" Type="http://schemas.openxmlformats.org/officeDocument/2006/relationships/image" Target="media/image5.jpeg"/><Relationship Id="rId458" Type="http://schemas.openxmlformats.org/officeDocument/2006/relationships/image" Target="media/image56.png"/><Relationship Id="rId457" Type="http://schemas.openxmlformats.org/officeDocument/2006/relationships/image" Target="media/image55.jpeg"/><Relationship Id="rId456" Type="http://schemas.openxmlformats.org/officeDocument/2006/relationships/image" Target="media/image54.jpeg"/><Relationship Id="rId455" Type="http://schemas.openxmlformats.org/officeDocument/2006/relationships/image" Target="media/image53.jpeg"/><Relationship Id="rId454" Type="http://schemas.openxmlformats.org/officeDocument/2006/relationships/image" Target="media/image52.png"/><Relationship Id="rId453" Type="http://schemas.openxmlformats.org/officeDocument/2006/relationships/image" Target="media/image51.png"/><Relationship Id="rId452" Type="http://schemas.openxmlformats.org/officeDocument/2006/relationships/image" Target="media/image50.png"/><Relationship Id="rId451" Type="http://schemas.openxmlformats.org/officeDocument/2006/relationships/image" Target="media/image49.png"/><Relationship Id="rId450" Type="http://schemas.openxmlformats.org/officeDocument/2006/relationships/image" Target="media/image48.png"/><Relationship Id="rId45" Type="http://schemas.openxmlformats.org/officeDocument/2006/relationships/footer" Target="footer41.xml"/><Relationship Id="rId449" Type="http://schemas.openxmlformats.org/officeDocument/2006/relationships/image" Target="media/image47.png"/><Relationship Id="rId448" Type="http://schemas.openxmlformats.org/officeDocument/2006/relationships/image" Target="media/image46.jpeg"/><Relationship Id="rId447" Type="http://schemas.openxmlformats.org/officeDocument/2006/relationships/image" Target="media/image45.jpeg"/><Relationship Id="rId446" Type="http://schemas.openxmlformats.org/officeDocument/2006/relationships/image" Target="media/image3.jpeg"/><Relationship Id="rId445" Type="http://schemas.openxmlformats.org/officeDocument/2006/relationships/image" Target="media/image44.png"/><Relationship Id="rId444" Type="http://schemas.openxmlformats.org/officeDocument/2006/relationships/image" Target="media/image43.jpeg"/><Relationship Id="rId443" Type="http://schemas.openxmlformats.org/officeDocument/2006/relationships/image" Target="media/image42.png"/><Relationship Id="rId442" Type="http://schemas.openxmlformats.org/officeDocument/2006/relationships/image" Target="media/image41.jpeg"/><Relationship Id="rId441" Type="http://schemas.openxmlformats.org/officeDocument/2006/relationships/image" Target="media/image40.png"/><Relationship Id="rId440" Type="http://schemas.openxmlformats.org/officeDocument/2006/relationships/image" Target="media/image39.png"/><Relationship Id="rId44" Type="http://schemas.openxmlformats.org/officeDocument/2006/relationships/footer" Target="footer40.xml"/><Relationship Id="rId439" Type="http://schemas.openxmlformats.org/officeDocument/2006/relationships/image" Target="media/image38.jpeg"/><Relationship Id="rId438" Type="http://schemas.openxmlformats.org/officeDocument/2006/relationships/image" Target="media/image37.jpeg"/><Relationship Id="rId437" Type="http://schemas.openxmlformats.org/officeDocument/2006/relationships/image" Target="media/image36.jpeg"/><Relationship Id="rId436" Type="http://schemas.openxmlformats.org/officeDocument/2006/relationships/image" Target="media/image35.png"/><Relationship Id="rId435" Type="http://schemas.openxmlformats.org/officeDocument/2006/relationships/image" Target="media/image34.jpeg"/><Relationship Id="rId434" Type="http://schemas.openxmlformats.org/officeDocument/2006/relationships/image" Target="media/image33.jpeg"/><Relationship Id="rId433" Type="http://schemas.openxmlformats.org/officeDocument/2006/relationships/image" Target="media/image32.jpeg"/><Relationship Id="rId432" Type="http://schemas.openxmlformats.org/officeDocument/2006/relationships/image" Target="media/image31.png"/><Relationship Id="rId431" Type="http://schemas.openxmlformats.org/officeDocument/2006/relationships/image" Target="media/image30.png"/><Relationship Id="rId430" Type="http://schemas.openxmlformats.org/officeDocument/2006/relationships/image" Target="media/image29.jpeg"/><Relationship Id="rId43" Type="http://schemas.openxmlformats.org/officeDocument/2006/relationships/footer" Target="footer39.xml"/><Relationship Id="rId429" Type="http://schemas.openxmlformats.org/officeDocument/2006/relationships/image" Target="media/image28.jpeg"/><Relationship Id="rId428" Type="http://schemas.openxmlformats.org/officeDocument/2006/relationships/image" Target="media/image27.jpeg"/><Relationship Id="rId427" Type="http://schemas.openxmlformats.org/officeDocument/2006/relationships/image" Target="media/image26.png"/><Relationship Id="rId426" Type="http://schemas.openxmlformats.org/officeDocument/2006/relationships/image" Target="media/image25.jpeg"/><Relationship Id="rId425" Type="http://schemas.openxmlformats.org/officeDocument/2006/relationships/image" Target="media/image24.png"/><Relationship Id="rId424" Type="http://schemas.openxmlformats.org/officeDocument/2006/relationships/image" Target="media/image23.png"/><Relationship Id="rId423" Type="http://schemas.openxmlformats.org/officeDocument/2006/relationships/image" Target="media/image22.png"/><Relationship Id="rId422" Type="http://schemas.openxmlformats.org/officeDocument/2006/relationships/image" Target="media/image21.png"/><Relationship Id="rId421" Type="http://schemas.openxmlformats.org/officeDocument/2006/relationships/image" Target="media/image20.png"/><Relationship Id="rId420" Type="http://schemas.openxmlformats.org/officeDocument/2006/relationships/image" Target="media/image19.png"/><Relationship Id="rId42" Type="http://schemas.openxmlformats.org/officeDocument/2006/relationships/footer" Target="footer38.xml"/><Relationship Id="rId419" Type="http://schemas.openxmlformats.org/officeDocument/2006/relationships/image" Target="media/image18.png"/><Relationship Id="rId418" Type="http://schemas.openxmlformats.org/officeDocument/2006/relationships/image" Target="media/image17.jpeg"/><Relationship Id="rId417" Type="http://schemas.openxmlformats.org/officeDocument/2006/relationships/image" Target="media/image16.jpeg"/><Relationship Id="rId416" Type="http://schemas.openxmlformats.org/officeDocument/2006/relationships/image" Target="media/image15.png"/><Relationship Id="rId415" Type="http://schemas.openxmlformats.org/officeDocument/2006/relationships/image" Target="media/image14.jpeg"/><Relationship Id="rId414" Type="http://schemas.openxmlformats.org/officeDocument/2006/relationships/image" Target="media/image13.jpeg"/><Relationship Id="rId413" Type="http://schemas.openxmlformats.org/officeDocument/2006/relationships/image" Target="media/image12.png"/><Relationship Id="rId412" Type="http://schemas.openxmlformats.org/officeDocument/2006/relationships/image" Target="media/image11.jpeg"/><Relationship Id="rId411" Type="http://schemas.openxmlformats.org/officeDocument/2006/relationships/image" Target="media/image10.png"/><Relationship Id="rId410" Type="http://schemas.openxmlformats.org/officeDocument/2006/relationships/image" Target="media/image9.jpeg"/><Relationship Id="rId41" Type="http://schemas.openxmlformats.org/officeDocument/2006/relationships/footer" Target="footer37.xml"/><Relationship Id="rId409" Type="http://schemas.openxmlformats.org/officeDocument/2006/relationships/image" Target="media/image8.jpeg"/><Relationship Id="rId408" Type="http://schemas.openxmlformats.org/officeDocument/2006/relationships/theme" Target="theme/theme1.xml"/><Relationship Id="rId407" Type="http://schemas.openxmlformats.org/officeDocument/2006/relationships/footer" Target="footer385.xml"/><Relationship Id="rId406" Type="http://schemas.openxmlformats.org/officeDocument/2006/relationships/footer" Target="footer384.xml"/><Relationship Id="rId405" Type="http://schemas.openxmlformats.org/officeDocument/2006/relationships/footer" Target="footer383.xml"/><Relationship Id="rId404" Type="http://schemas.openxmlformats.org/officeDocument/2006/relationships/footer" Target="footer382.xml"/><Relationship Id="rId403" Type="http://schemas.openxmlformats.org/officeDocument/2006/relationships/footer" Target="footer381.xml"/><Relationship Id="rId402" Type="http://schemas.openxmlformats.org/officeDocument/2006/relationships/footer" Target="footer380.xml"/><Relationship Id="rId401" Type="http://schemas.openxmlformats.org/officeDocument/2006/relationships/footer" Target="footer379.xml"/><Relationship Id="rId400" Type="http://schemas.openxmlformats.org/officeDocument/2006/relationships/footer" Target="footer378.xml"/><Relationship Id="rId40" Type="http://schemas.openxmlformats.org/officeDocument/2006/relationships/footer" Target="footer36.xml"/><Relationship Id="rId4" Type="http://schemas.openxmlformats.org/officeDocument/2006/relationships/endnotes" Target="endnotes.xml"/><Relationship Id="rId399" Type="http://schemas.openxmlformats.org/officeDocument/2006/relationships/footer" Target="footer377.xml"/><Relationship Id="rId398" Type="http://schemas.openxmlformats.org/officeDocument/2006/relationships/footer" Target="footer376.xml"/><Relationship Id="rId397" Type="http://schemas.openxmlformats.org/officeDocument/2006/relationships/footer" Target="footer375.xml"/><Relationship Id="rId396" Type="http://schemas.openxmlformats.org/officeDocument/2006/relationships/footer" Target="footer374.xml"/><Relationship Id="rId395" Type="http://schemas.openxmlformats.org/officeDocument/2006/relationships/footer" Target="footer373.xml"/><Relationship Id="rId394" Type="http://schemas.openxmlformats.org/officeDocument/2006/relationships/footer" Target="footer372.xml"/><Relationship Id="rId393" Type="http://schemas.openxmlformats.org/officeDocument/2006/relationships/footer" Target="footer371.xml"/><Relationship Id="rId392" Type="http://schemas.openxmlformats.org/officeDocument/2006/relationships/footer" Target="footer370.xml"/><Relationship Id="rId391" Type="http://schemas.openxmlformats.org/officeDocument/2006/relationships/footer" Target="footer369.xml"/><Relationship Id="rId390" Type="http://schemas.openxmlformats.org/officeDocument/2006/relationships/footer" Target="footer368.xml"/><Relationship Id="rId39" Type="http://schemas.openxmlformats.org/officeDocument/2006/relationships/footer" Target="footer35.xml"/><Relationship Id="rId389" Type="http://schemas.openxmlformats.org/officeDocument/2006/relationships/footer" Target="footer367.xml"/><Relationship Id="rId388" Type="http://schemas.openxmlformats.org/officeDocument/2006/relationships/footer" Target="footer366.xml"/><Relationship Id="rId387" Type="http://schemas.openxmlformats.org/officeDocument/2006/relationships/footer" Target="footer365.xml"/><Relationship Id="rId386" Type="http://schemas.openxmlformats.org/officeDocument/2006/relationships/footer" Target="footer364.xml"/><Relationship Id="rId385" Type="http://schemas.openxmlformats.org/officeDocument/2006/relationships/footer" Target="footer363.xml"/><Relationship Id="rId384" Type="http://schemas.openxmlformats.org/officeDocument/2006/relationships/footer" Target="footer362.xml"/><Relationship Id="rId383" Type="http://schemas.openxmlformats.org/officeDocument/2006/relationships/footer" Target="footer361.xml"/><Relationship Id="rId382" Type="http://schemas.openxmlformats.org/officeDocument/2006/relationships/footer" Target="footer360.xml"/><Relationship Id="rId381" Type="http://schemas.openxmlformats.org/officeDocument/2006/relationships/footer" Target="footer359.xml"/><Relationship Id="rId380" Type="http://schemas.openxmlformats.org/officeDocument/2006/relationships/footer" Target="footer358.xml"/><Relationship Id="rId38" Type="http://schemas.openxmlformats.org/officeDocument/2006/relationships/footer" Target="footer34.xml"/><Relationship Id="rId379" Type="http://schemas.openxmlformats.org/officeDocument/2006/relationships/footer" Target="footer357.xml"/><Relationship Id="rId378" Type="http://schemas.openxmlformats.org/officeDocument/2006/relationships/footer" Target="footer356.xml"/><Relationship Id="rId377" Type="http://schemas.openxmlformats.org/officeDocument/2006/relationships/footer" Target="footer355.xml"/><Relationship Id="rId376" Type="http://schemas.openxmlformats.org/officeDocument/2006/relationships/footer" Target="footer354.xml"/><Relationship Id="rId375" Type="http://schemas.openxmlformats.org/officeDocument/2006/relationships/footer" Target="footer353.xml"/><Relationship Id="rId374" Type="http://schemas.openxmlformats.org/officeDocument/2006/relationships/footer" Target="footer352.xml"/><Relationship Id="rId373" Type="http://schemas.openxmlformats.org/officeDocument/2006/relationships/footer" Target="footer351.xml"/><Relationship Id="rId372" Type="http://schemas.openxmlformats.org/officeDocument/2006/relationships/footer" Target="footer350.xml"/><Relationship Id="rId371" Type="http://schemas.openxmlformats.org/officeDocument/2006/relationships/footer" Target="footer349.xml"/><Relationship Id="rId370" Type="http://schemas.openxmlformats.org/officeDocument/2006/relationships/footer" Target="footer348.xml"/><Relationship Id="rId37" Type="http://schemas.openxmlformats.org/officeDocument/2006/relationships/footer" Target="footer33.xml"/><Relationship Id="rId369" Type="http://schemas.openxmlformats.org/officeDocument/2006/relationships/footer" Target="footer347.xml"/><Relationship Id="rId368" Type="http://schemas.openxmlformats.org/officeDocument/2006/relationships/footer" Target="footer346.xml"/><Relationship Id="rId367" Type="http://schemas.openxmlformats.org/officeDocument/2006/relationships/footer" Target="footer345.xml"/><Relationship Id="rId366" Type="http://schemas.openxmlformats.org/officeDocument/2006/relationships/footer" Target="footer344.xml"/><Relationship Id="rId365" Type="http://schemas.openxmlformats.org/officeDocument/2006/relationships/footer" Target="footer343.xml"/><Relationship Id="rId364" Type="http://schemas.openxmlformats.org/officeDocument/2006/relationships/footer" Target="footer342.xml"/><Relationship Id="rId363" Type="http://schemas.openxmlformats.org/officeDocument/2006/relationships/footer" Target="footer341.xml"/><Relationship Id="rId362" Type="http://schemas.openxmlformats.org/officeDocument/2006/relationships/footer" Target="footer340.xml"/><Relationship Id="rId361" Type="http://schemas.openxmlformats.org/officeDocument/2006/relationships/footer" Target="footer339.xml"/><Relationship Id="rId360" Type="http://schemas.openxmlformats.org/officeDocument/2006/relationships/footer" Target="footer338.xml"/><Relationship Id="rId36" Type="http://schemas.openxmlformats.org/officeDocument/2006/relationships/footer" Target="footer32.xml"/><Relationship Id="rId359" Type="http://schemas.openxmlformats.org/officeDocument/2006/relationships/footer" Target="footer337.xml"/><Relationship Id="rId358" Type="http://schemas.openxmlformats.org/officeDocument/2006/relationships/footer" Target="footer336.xml"/><Relationship Id="rId357" Type="http://schemas.openxmlformats.org/officeDocument/2006/relationships/footer" Target="footer335.xml"/><Relationship Id="rId356" Type="http://schemas.openxmlformats.org/officeDocument/2006/relationships/footer" Target="footer334.xml"/><Relationship Id="rId355" Type="http://schemas.openxmlformats.org/officeDocument/2006/relationships/footer" Target="footer333.xml"/><Relationship Id="rId354" Type="http://schemas.openxmlformats.org/officeDocument/2006/relationships/footer" Target="footer332.xml"/><Relationship Id="rId353" Type="http://schemas.openxmlformats.org/officeDocument/2006/relationships/footer" Target="footer331.xml"/><Relationship Id="rId352" Type="http://schemas.openxmlformats.org/officeDocument/2006/relationships/footer" Target="footer330.xml"/><Relationship Id="rId351" Type="http://schemas.openxmlformats.org/officeDocument/2006/relationships/footer" Target="footer329.xml"/><Relationship Id="rId350" Type="http://schemas.openxmlformats.org/officeDocument/2006/relationships/footer" Target="footer328.xml"/><Relationship Id="rId35" Type="http://schemas.openxmlformats.org/officeDocument/2006/relationships/footer" Target="footer31.xml"/><Relationship Id="rId349" Type="http://schemas.openxmlformats.org/officeDocument/2006/relationships/footer" Target="footer327.xml"/><Relationship Id="rId348" Type="http://schemas.openxmlformats.org/officeDocument/2006/relationships/footer" Target="footer326.xml"/><Relationship Id="rId347" Type="http://schemas.openxmlformats.org/officeDocument/2006/relationships/footer" Target="footer325.xml"/><Relationship Id="rId346" Type="http://schemas.openxmlformats.org/officeDocument/2006/relationships/footer" Target="footer324.xml"/><Relationship Id="rId345" Type="http://schemas.openxmlformats.org/officeDocument/2006/relationships/footer" Target="footer323.xml"/><Relationship Id="rId344" Type="http://schemas.openxmlformats.org/officeDocument/2006/relationships/footer" Target="footer322.xml"/><Relationship Id="rId343" Type="http://schemas.openxmlformats.org/officeDocument/2006/relationships/footer" Target="footer321.xml"/><Relationship Id="rId342" Type="http://schemas.openxmlformats.org/officeDocument/2006/relationships/footer" Target="footer320.xml"/><Relationship Id="rId341" Type="http://schemas.openxmlformats.org/officeDocument/2006/relationships/footer" Target="footer319.xml"/><Relationship Id="rId340" Type="http://schemas.openxmlformats.org/officeDocument/2006/relationships/header" Target="header18.xml"/><Relationship Id="rId34" Type="http://schemas.openxmlformats.org/officeDocument/2006/relationships/footer" Target="footer30.xml"/><Relationship Id="rId339" Type="http://schemas.openxmlformats.org/officeDocument/2006/relationships/footer" Target="footer318.xml"/><Relationship Id="rId338" Type="http://schemas.openxmlformats.org/officeDocument/2006/relationships/header" Target="header17.xml"/><Relationship Id="rId337" Type="http://schemas.openxmlformats.org/officeDocument/2006/relationships/footer" Target="footer317.xml"/><Relationship Id="rId336" Type="http://schemas.openxmlformats.org/officeDocument/2006/relationships/footer" Target="footer316.xml"/><Relationship Id="rId335" Type="http://schemas.openxmlformats.org/officeDocument/2006/relationships/footer" Target="footer315.xml"/><Relationship Id="rId334" Type="http://schemas.openxmlformats.org/officeDocument/2006/relationships/footer" Target="footer314.xml"/><Relationship Id="rId333" Type="http://schemas.openxmlformats.org/officeDocument/2006/relationships/footer" Target="footer313.xml"/><Relationship Id="rId332" Type="http://schemas.openxmlformats.org/officeDocument/2006/relationships/footer" Target="footer312.xml"/><Relationship Id="rId331" Type="http://schemas.openxmlformats.org/officeDocument/2006/relationships/footer" Target="footer311.xml"/><Relationship Id="rId330" Type="http://schemas.openxmlformats.org/officeDocument/2006/relationships/footer" Target="footer310.xml"/><Relationship Id="rId33" Type="http://schemas.openxmlformats.org/officeDocument/2006/relationships/footer" Target="footer29.xml"/><Relationship Id="rId329" Type="http://schemas.openxmlformats.org/officeDocument/2006/relationships/footer" Target="footer309.xml"/><Relationship Id="rId328" Type="http://schemas.openxmlformats.org/officeDocument/2006/relationships/footer" Target="footer308.xml"/><Relationship Id="rId327" Type="http://schemas.openxmlformats.org/officeDocument/2006/relationships/footer" Target="footer307.xml"/><Relationship Id="rId326" Type="http://schemas.openxmlformats.org/officeDocument/2006/relationships/footer" Target="footer306.xml"/><Relationship Id="rId325" Type="http://schemas.openxmlformats.org/officeDocument/2006/relationships/footer" Target="footer305.xml"/><Relationship Id="rId324" Type="http://schemas.openxmlformats.org/officeDocument/2006/relationships/footer" Target="footer304.xml"/><Relationship Id="rId323" Type="http://schemas.openxmlformats.org/officeDocument/2006/relationships/footer" Target="footer303.xml"/><Relationship Id="rId322" Type="http://schemas.openxmlformats.org/officeDocument/2006/relationships/footer" Target="footer302.xml"/><Relationship Id="rId321" Type="http://schemas.openxmlformats.org/officeDocument/2006/relationships/footer" Target="footer301.xml"/><Relationship Id="rId320" Type="http://schemas.openxmlformats.org/officeDocument/2006/relationships/footer" Target="footer300.xml"/><Relationship Id="rId32" Type="http://schemas.openxmlformats.org/officeDocument/2006/relationships/footer" Target="footer28.xml"/><Relationship Id="rId319" Type="http://schemas.openxmlformats.org/officeDocument/2006/relationships/footer" Target="footer299.xml"/><Relationship Id="rId318" Type="http://schemas.openxmlformats.org/officeDocument/2006/relationships/footer" Target="footer298.xml"/><Relationship Id="rId317" Type="http://schemas.openxmlformats.org/officeDocument/2006/relationships/footer" Target="footer297.xml"/><Relationship Id="rId316" Type="http://schemas.openxmlformats.org/officeDocument/2006/relationships/footer" Target="footer296.xml"/><Relationship Id="rId315" Type="http://schemas.openxmlformats.org/officeDocument/2006/relationships/footer" Target="footer295.xml"/><Relationship Id="rId314" Type="http://schemas.openxmlformats.org/officeDocument/2006/relationships/footer" Target="footer294.xml"/><Relationship Id="rId313" Type="http://schemas.openxmlformats.org/officeDocument/2006/relationships/footer" Target="footer293.xml"/><Relationship Id="rId312" Type="http://schemas.openxmlformats.org/officeDocument/2006/relationships/footer" Target="footer292.xml"/><Relationship Id="rId311" Type="http://schemas.openxmlformats.org/officeDocument/2006/relationships/footer" Target="footer291.xml"/><Relationship Id="rId310" Type="http://schemas.openxmlformats.org/officeDocument/2006/relationships/footer" Target="footer290.xml"/><Relationship Id="rId31" Type="http://schemas.openxmlformats.org/officeDocument/2006/relationships/footer" Target="footer27.xml"/><Relationship Id="rId309" Type="http://schemas.openxmlformats.org/officeDocument/2006/relationships/footer" Target="footer289.xml"/><Relationship Id="rId308" Type="http://schemas.openxmlformats.org/officeDocument/2006/relationships/footer" Target="footer288.xml"/><Relationship Id="rId307" Type="http://schemas.openxmlformats.org/officeDocument/2006/relationships/footer" Target="footer287.xml"/><Relationship Id="rId306" Type="http://schemas.openxmlformats.org/officeDocument/2006/relationships/footer" Target="footer286.xml"/><Relationship Id="rId305" Type="http://schemas.openxmlformats.org/officeDocument/2006/relationships/footer" Target="footer285.xml"/><Relationship Id="rId304" Type="http://schemas.openxmlformats.org/officeDocument/2006/relationships/footer" Target="footer284.xml"/><Relationship Id="rId303" Type="http://schemas.openxmlformats.org/officeDocument/2006/relationships/footer" Target="footer283.xml"/><Relationship Id="rId302" Type="http://schemas.openxmlformats.org/officeDocument/2006/relationships/footer" Target="footer282.xml"/><Relationship Id="rId301" Type="http://schemas.openxmlformats.org/officeDocument/2006/relationships/footer" Target="footer281.xml"/><Relationship Id="rId300" Type="http://schemas.openxmlformats.org/officeDocument/2006/relationships/footer" Target="footer280.xml"/><Relationship Id="rId30" Type="http://schemas.openxmlformats.org/officeDocument/2006/relationships/footer" Target="footer26.xml"/><Relationship Id="rId3" Type="http://schemas.openxmlformats.org/officeDocument/2006/relationships/footnotes" Target="footnotes.xml"/><Relationship Id="rId299" Type="http://schemas.openxmlformats.org/officeDocument/2006/relationships/footer" Target="footer279.xml"/><Relationship Id="rId298" Type="http://schemas.openxmlformats.org/officeDocument/2006/relationships/footer" Target="footer278.xml"/><Relationship Id="rId297" Type="http://schemas.openxmlformats.org/officeDocument/2006/relationships/footer" Target="footer277.xml"/><Relationship Id="rId296" Type="http://schemas.openxmlformats.org/officeDocument/2006/relationships/footer" Target="footer276.xml"/><Relationship Id="rId295" Type="http://schemas.openxmlformats.org/officeDocument/2006/relationships/footer" Target="footer275.xml"/><Relationship Id="rId294" Type="http://schemas.openxmlformats.org/officeDocument/2006/relationships/footer" Target="footer274.xml"/><Relationship Id="rId293" Type="http://schemas.openxmlformats.org/officeDocument/2006/relationships/footer" Target="footer273.xml"/><Relationship Id="rId292" Type="http://schemas.openxmlformats.org/officeDocument/2006/relationships/footer" Target="footer272.xml"/><Relationship Id="rId291" Type="http://schemas.openxmlformats.org/officeDocument/2006/relationships/footer" Target="footer271.xml"/><Relationship Id="rId290" Type="http://schemas.openxmlformats.org/officeDocument/2006/relationships/footer" Target="footer270.xml"/><Relationship Id="rId29" Type="http://schemas.openxmlformats.org/officeDocument/2006/relationships/footer" Target="footer25.xml"/><Relationship Id="rId289" Type="http://schemas.openxmlformats.org/officeDocument/2006/relationships/footer" Target="footer269.xml"/><Relationship Id="rId288" Type="http://schemas.openxmlformats.org/officeDocument/2006/relationships/footer" Target="footer268.xml"/><Relationship Id="rId287" Type="http://schemas.openxmlformats.org/officeDocument/2006/relationships/footer" Target="footer267.xml"/><Relationship Id="rId286" Type="http://schemas.openxmlformats.org/officeDocument/2006/relationships/footer" Target="footer266.xml"/><Relationship Id="rId285" Type="http://schemas.openxmlformats.org/officeDocument/2006/relationships/footer" Target="footer265.xml"/><Relationship Id="rId284" Type="http://schemas.openxmlformats.org/officeDocument/2006/relationships/footer" Target="footer264.xml"/><Relationship Id="rId283" Type="http://schemas.openxmlformats.org/officeDocument/2006/relationships/footer" Target="footer263.xml"/><Relationship Id="rId282" Type="http://schemas.openxmlformats.org/officeDocument/2006/relationships/footer" Target="footer262.xml"/><Relationship Id="rId281" Type="http://schemas.openxmlformats.org/officeDocument/2006/relationships/footer" Target="footer261.xml"/><Relationship Id="rId280" Type="http://schemas.openxmlformats.org/officeDocument/2006/relationships/header" Target="header16.xml"/><Relationship Id="rId28" Type="http://schemas.openxmlformats.org/officeDocument/2006/relationships/footer" Target="footer24.xml"/><Relationship Id="rId279" Type="http://schemas.openxmlformats.org/officeDocument/2006/relationships/footer" Target="footer260.xml"/><Relationship Id="rId278" Type="http://schemas.openxmlformats.org/officeDocument/2006/relationships/header" Target="header15.xml"/><Relationship Id="rId277" Type="http://schemas.openxmlformats.org/officeDocument/2006/relationships/footer" Target="footer259.xml"/><Relationship Id="rId276" Type="http://schemas.openxmlformats.org/officeDocument/2006/relationships/footer" Target="footer258.xml"/><Relationship Id="rId275" Type="http://schemas.openxmlformats.org/officeDocument/2006/relationships/footer" Target="footer257.xml"/><Relationship Id="rId274" Type="http://schemas.openxmlformats.org/officeDocument/2006/relationships/footer" Target="footer256.xml"/><Relationship Id="rId273" Type="http://schemas.openxmlformats.org/officeDocument/2006/relationships/footer" Target="footer255.xml"/><Relationship Id="rId272" Type="http://schemas.openxmlformats.org/officeDocument/2006/relationships/header" Target="header14.xml"/><Relationship Id="rId271" Type="http://schemas.openxmlformats.org/officeDocument/2006/relationships/footer" Target="footer254.xml"/><Relationship Id="rId270" Type="http://schemas.openxmlformats.org/officeDocument/2006/relationships/header" Target="header13.xml"/><Relationship Id="rId27" Type="http://schemas.openxmlformats.org/officeDocument/2006/relationships/footer" Target="footer23.xml"/><Relationship Id="rId269" Type="http://schemas.openxmlformats.org/officeDocument/2006/relationships/footer" Target="footer253.xml"/><Relationship Id="rId268" Type="http://schemas.openxmlformats.org/officeDocument/2006/relationships/footer" Target="footer252.xml"/><Relationship Id="rId267" Type="http://schemas.openxmlformats.org/officeDocument/2006/relationships/footer" Target="footer251.xml"/><Relationship Id="rId266" Type="http://schemas.openxmlformats.org/officeDocument/2006/relationships/header" Target="header12.xml"/><Relationship Id="rId265" Type="http://schemas.openxmlformats.org/officeDocument/2006/relationships/footer" Target="footer250.xml"/><Relationship Id="rId264" Type="http://schemas.openxmlformats.org/officeDocument/2006/relationships/header" Target="header11.xml"/><Relationship Id="rId263" Type="http://schemas.openxmlformats.org/officeDocument/2006/relationships/footer" Target="footer249.xml"/><Relationship Id="rId262" Type="http://schemas.openxmlformats.org/officeDocument/2006/relationships/footer" Target="footer248.xml"/><Relationship Id="rId261" Type="http://schemas.openxmlformats.org/officeDocument/2006/relationships/footer" Target="footer247.xml"/><Relationship Id="rId260" Type="http://schemas.openxmlformats.org/officeDocument/2006/relationships/footer" Target="footer246.xml"/><Relationship Id="rId26" Type="http://schemas.openxmlformats.org/officeDocument/2006/relationships/footer" Target="footer22.xml"/><Relationship Id="rId259" Type="http://schemas.openxmlformats.org/officeDocument/2006/relationships/footer" Target="footer245.xml"/><Relationship Id="rId258" Type="http://schemas.openxmlformats.org/officeDocument/2006/relationships/footer" Target="footer244.xml"/><Relationship Id="rId257" Type="http://schemas.openxmlformats.org/officeDocument/2006/relationships/footer" Target="footer243.xml"/><Relationship Id="rId256" Type="http://schemas.openxmlformats.org/officeDocument/2006/relationships/footer" Target="footer242.xml"/><Relationship Id="rId255" Type="http://schemas.openxmlformats.org/officeDocument/2006/relationships/header" Target="header10.xml"/><Relationship Id="rId254" Type="http://schemas.openxmlformats.org/officeDocument/2006/relationships/footer" Target="footer241.xml"/><Relationship Id="rId253" Type="http://schemas.openxmlformats.org/officeDocument/2006/relationships/header" Target="header9.xml"/><Relationship Id="rId252" Type="http://schemas.openxmlformats.org/officeDocument/2006/relationships/footer" Target="footer240.xml"/><Relationship Id="rId251" Type="http://schemas.openxmlformats.org/officeDocument/2006/relationships/header" Target="header8.xml"/><Relationship Id="rId250" Type="http://schemas.openxmlformats.org/officeDocument/2006/relationships/footer" Target="footer239.xml"/><Relationship Id="rId25" Type="http://schemas.openxmlformats.org/officeDocument/2006/relationships/footer" Target="footer21.xml"/><Relationship Id="rId249" Type="http://schemas.openxmlformats.org/officeDocument/2006/relationships/header" Target="header7.xml"/><Relationship Id="rId248" Type="http://schemas.openxmlformats.org/officeDocument/2006/relationships/footer" Target="footer238.xml"/><Relationship Id="rId247" Type="http://schemas.openxmlformats.org/officeDocument/2006/relationships/header" Target="header6.xml"/><Relationship Id="rId246" Type="http://schemas.openxmlformats.org/officeDocument/2006/relationships/footer" Target="footer237.xml"/><Relationship Id="rId245" Type="http://schemas.openxmlformats.org/officeDocument/2006/relationships/header" Target="header5.xml"/><Relationship Id="rId244" Type="http://schemas.openxmlformats.org/officeDocument/2006/relationships/footer" Target="footer236.xml"/><Relationship Id="rId243" Type="http://schemas.openxmlformats.org/officeDocument/2006/relationships/footer" Target="footer235.xml"/><Relationship Id="rId242" Type="http://schemas.openxmlformats.org/officeDocument/2006/relationships/footer" Target="footer234.xml"/><Relationship Id="rId241" Type="http://schemas.openxmlformats.org/officeDocument/2006/relationships/footer" Target="footer233.xml"/><Relationship Id="rId240" Type="http://schemas.openxmlformats.org/officeDocument/2006/relationships/footer" Target="footer232.xml"/><Relationship Id="rId24" Type="http://schemas.openxmlformats.org/officeDocument/2006/relationships/footer" Target="footer20.xml"/><Relationship Id="rId239" Type="http://schemas.openxmlformats.org/officeDocument/2006/relationships/footer" Target="footer231.xml"/><Relationship Id="rId238" Type="http://schemas.openxmlformats.org/officeDocument/2006/relationships/footer" Target="footer230.xml"/><Relationship Id="rId237" Type="http://schemas.openxmlformats.org/officeDocument/2006/relationships/footer" Target="footer229.xml"/><Relationship Id="rId236" Type="http://schemas.openxmlformats.org/officeDocument/2006/relationships/footer" Target="footer228.xml"/><Relationship Id="rId235" Type="http://schemas.openxmlformats.org/officeDocument/2006/relationships/footer" Target="footer227.xml"/><Relationship Id="rId234" Type="http://schemas.openxmlformats.org/officeDocument/2006/relationships/footer" Target="footer226.xml"/><Relationship Id="rId233" Type="http://schemas.openxmlformats.org/officeDocument/2006/relationships/footer" Target="footer225.xml"/><Relationship Id="rId232" Type="http://schemas.openxmlformats.org/officeDocument/2006/relationships/footer" Target="footer224.xml"/><Relationship Id="rId231" Type="http://schemas.openxmlformats.org/officeDocument/2006/relationships/footer" Target="footer223.xml"/><Relationship Id="rId230" Type="http://schemas.openxmlformats.org/officeDocument/2006/relationships/footer" Target="footer222.xml"/><Relationship Id="rId23" Type="http://schemas.openxmlformats.org/officeDocument/2006/relationships/footer" Target="footer19.xml"/><Relationship Id="rId229" Type="http://schemas.openxmlformats.org/officeDocument/2006/relationships/footer" Target="footer221.xml"/><Relationship Id="rId228" Type="http://schemas.openxmlformats.org/officeDocument/2006/relationships/footer" Target="footer220.xml"/><Relationship Id="rId227" Type="http://schemas.openxmlformats.org/officeDocument/2006/relationships/footer" Target="footer219.xml"/><Relationship Id="rId226" Type="http://schemas.openxmlformats.org/officeDocument/2006/relationships/footer" Target="footer218.xml"/><Relationship Id="rId225" Type="http://schemas.openxmlformats.org/officeDocument/2006/relationships/footer" Target="footer217.xml"/><Relationship Id="rId224" Type="http://schemas.openxmlformats.org/officeDocument/2006/relationships/footer" Target="footer216.xml"/><Relationship Id="rId223" Type="http://schemas.openxmlformats.org/officeDocument/2006/relationships/footer" Target="footer215.xml"/><Relationship Id="rId222" Type="http://schemas.openxmlformats.org/officeDocument/2006/relationships/footer" Target="footer214.xml"/><Relationship Id="rId221" Type="http://schemas.openxmlformats.org/officeDocument/2006/relationships/footer" Target="footer213.xml"/><Relationship Id="rId220" Type="http://schemas.openxmlformats.org/officeDocument/2006/relationships/footer" Target="footer212.xml"/><Relationship Id="rId22" Type="http://schemas.openxmlformats.org/officeDocument/2006/relationships/footer" Target="footer18.xml"/><Relationship Id="rId219" Type="http://schemas.openxmlformats.org/officeDocument/2006/relationships/footer" Target="footer211.xml"/><Relationship Id="rId218" Type="http://schemas.openxmlformats.org/officeDocument/2006/relationships/footer" Target="footer210.xml"/><Relationship Id="rId217" Type="http://schemas.openxmlformats.org/officeDocument/2006/relationships/footer" Target="footer209.xml"/><Relationship Id="rId216" Type="http://schemas.openxmlformats.org/officeDocument/2006/relationships/footer" Target="footer208.xml"/><Relationship Id="rId215" Type="http://schemas.openxmlformats.org/officeDocument/2006/relationships/footer" Target="footer207.xml"/><Relationship Id="rId214" Type="http://schemas.openxmlformats.org/officeDocument/2006/relationships/footer" Target="footer206.xml"/><Relationship Id="rId213" Type="http://schemas.openxmlformats.org/officeDocument/2006/relationships/footer" Target="footer205.xml"/><Relationship Id="rId212" Type="http://schemas.openxmlformats.org/officeDocument/2006/relationships/footer" Target="footer204.xml"/><Relationship Id="rId211" Type="http://schemas.openxmlformats.org/officeDocument/2006/relationships/footer" Target="footer203.xml"/><Relationship Id="rId210" Type="http://schemas.openxmlformats.org/officeDocument/2006/relationships/footer" Target="footer202.xml"/><Relationship Id="rId21" Type="http://schemas.openxmlformats.org/officeDocument/2006/relationships/footer" Target="footer17.xml"/><Relationship Id="rId209" Type="http://schemas.openxmlformats.org/officeDocument/2006/relationships/footer" Target="footer201.xml"/><Relationship Id="rId208" Type="http://schemas.openxmlformats.org/officeDocument/2006/relationships/footer" Target="footer200.xml"/><Relationship Id="rId207" Type="http://schemas.openxmlformats.org/officeDocument/2006/relationships/footer" Target="footer199.xml"/><Relationship Id="rId206" Type="http://schemas.openxmlformats.org/officeDocument/2006/relationships/footer" Target="footer198.xml"/><Relationship Id="rId205" Type="http://schemas.openxmlformats.org/officeDocument/2006/relationships/footer" Target="footer197.xml"/><Relationship Id="rId204" Type="http://schemas.openxmlformats.org/officeDocument/2006/relationships/footer" Target="footer196.xml"/><Relationship Id="rId203" Type="http://schemas.openxmlformats.org/officeDocument/2006/relationships/footer" Target="footer195.xml"/><Relationship Id="rId202" Type="http://schemas.openxmlformats.org/officeDocument/2006/relationships/footer" Target="footer194.xml"/><Relationship Id="rId201" Type="http://schemas.openxmlformats.org/officeDocument/2006/relationships/footer" Target="footer193.xml"/><Relationship Id="rId200" Type="http://schemas.openxmlformats.org/officeDocument/2006/relationships/footer" Target="footer192.xml"/><Relationship Id="rId20" Type="http://schemas.openxmlformats.org/officeDocument/2006/relationships/footer" Target="footer16.xml"/><Relationship Id="rId2" Type="http://schemas.openxmlformats.org/officeDocument/2006/relationships/settings" Target="settings.xml"/><Relationship Id="rId199" Type="http://schemas.openxmlformats.org/officeDocument/2006/relationships/footer" Target="footer191.xml"/><Relationship Id="rId198" Type="http://schemas.openxmlformats.org/officeDocument/2006/relationships/footer" Target="footer190.xml"/><Relationship Id="rId197" Type="http://schemas.openxmlformats.org/officeDocument/2006/relationships/footer" Target="footer189.xml"/><Relationship Id="rId196" Type="http://schemas.openxmlformats.org/officeDocument/2006/relationships/footer" Target="footer188.xml"/><Relationship Id="rId195" Type="http://schemas.openxmlformats.org/officeDocument/2006/relationships/footer" Target="footer187.xml"/><Relationship Id="rId194" Type="http://schemas.openxmlformats.org/officeDocument/2006/relationships/footer" Target="footer186.xml"/><Relationship Id="rId193" Type="http://schemas.openxmlformats.org/officeDocument/2006/relationships/footer" Target="footer185.xml"/><Relationship Id="rId192" Type="http://schemas.openxmlformats.org/officeDocument/2006/relationships/footer" Target="footer184.xml"/><Relationship Id="rId191" Type="http://schemas.openxmlformats.org/officeDocument/2006/relationships/footer" Target="footer183.xml"/><Relationship Id="rId190" Type="http://schemas.openxmlformats.org/officeDocument/2006/relationships/footer" Target="footer182.xml"/><Relationship Id="rId19" Type="http://schemas.openxmlformats.org/officeDocument/2006/relationships/footer" Target="footer15.xml"/><Relationship Id="rId189" Type="http://schemas.openxmlformats.org/officeDocument/2006/relationships/footer" Target="footer181.xml"/><Relationship Id="rId188" Type="http://schemas.openxmlformats.org/officeDocument/2006/relationships/footer" Target="footer180.xml"/><Relationship Id="rId187" Type="http://schemas.openxmlformats.org/officeDocument/2006/relationships/footer" Target="footer179.xml"/><Relationship Id="rId186" Type="http://schemas.openxmlformats.org/officeDocument/2006/relationships/footer" Target="footer178.xml"/><Relationship Id="rId185" Type="http://schemas.openxmlformats.org/officeDocument/2006/relationships/footer" Target="footer177.xml"/><Relationship Id="rId184" Type="http://schemas.openxmlformats.org/officeDocument/2006/relationships/footer" Target="footer176.xml"/><Relationship Id="rId183" Type="http://schemas.openxmlformats.org/officeDocument/2006/relationships/footer" Target="footer175.xml"/><Relationship Id="rId182" Type="http://schemas.openxmlformats.org/officeDocument/2006/relationships/header" Target="header4.xml"/><Relationship Id="rId181" Type="http://schemas.openxmlformats.org/officeDocument/2006/relationships/footer" Target="footer174.xml"/><Relationship Id="rId180" Type="http://schemas.openxmlformats.org/officeDocument/2006/relationships/header" Target="header3.xml"/><Relationship Id="rId18" Type="http://schemas.openxmlformats.org/officeDocument/2006/relationships/footer" Target="footer14.xml"/><Relationship Id="rId179" Type="http://schemas.openxmlformats.org/officeDocument/2006/relationships/footer" Target="footer173.xml"/><Relationship Id="rId178" Type="http://schemas.openxmlformats.org/officeDocument/2006/relationships/footer" Target="footer172.xml"/><Relationship Id="rId177" Type="http://schemas.openxmlformats.org/officeDocument/2006/relationships/footer" Target="footer171.xml"/><Relationship Id="rId176" Type="http://schemas.openxmlformats.org/officeDocument/2006/relationships/footer" Target="footer170.xml"/><Relationship Id="rId175" Type="http://schemas.openxmlformats.org/officeDocument/2006/relationships/footer" Target="footer169.xml"/><Relationship Id="rId174" Type="http://schemas.openxmlformats.org/officeDocument/2006/relationships/footer" Target="footer168.xml"/><Relationship Id="rId173" Type="http://schemas.openxmlformats.org/officeDocument/2006/relationships/footer" Target="footer167.xml"/><Relationship Id="rId172" Type="http://schemas.openxmlformats.org/officeDocument/2006/relationships/footer" Target="footer166.xml"/><Relationship Id="rId171" Type="http://schemas.openxmlformats.org/officeDocument/2006/relationships/footer" Target="footer165.xml"/><Relationship Id="rId170" Type="http://schemas.openxmlformats.org/officeDocument/2006/relationships/footer" Target="footer164.xml"/><Relationship Id="rId17" Type="http://schemas.openxmlformats.org/officeDocument/2006/relationships/footer" Target="footer13.xml"/><Relationship Id="rId169" Type="http://schemas.openxmlformats.org/officeDocument/2006/relationships/footer" Target="footer163.xml"/><Relationship Id="rId168" Type="http://schemas.openxmlformats.org/officeDocument/2006/relationships/footer" Target="footer162.xml"/><Relationship Id="rId167" Type="http://schemas.openxmlformats.org/officeDocument/2006/relationships/footer" Target="footer161.xml"/><Relationship Id="rId166" Type="http://schemas.openxmlformats.org/officeDocument/2006/relationships/footer" Target="footer160.xml"/><Relationship Id="rId165" Type="http://schemas.openxmlformats.org/officeDocument/2006/relationships/footer" Target="footer159.xml"/><Relationship Id="rId164" Type="http://schemas.openxmlformats.org/officeDocument/2006/relationships/footer" Target="footer158.xml"/><Relationship Id="rId163" Type="http://schemas.openxmlformats.org/officeDocument/2006/relationships/footer" Target="footer157.xml"/><Relationship Id="rId162" Type="http://schemas.openxmlformats.org/officeDocument/2006/relationships/footer" Target="footer156.xml"/><Relationship Id="rId161" Type="http://schemas.openxmlformats.org/officeDocument/2006/relationships/footer" Target="footer155.xml"/><Relationship Id="rId160" Type="http://schemas.openxmlformats.org/officeDocument/2006/relationships/footer" Target="footer154.xml"/><Relationship Id="rId16" Type="http://schemas.openxmlformats.org/officeDocument/2006/relationships/footer" Target="footer12.xml"/><Relationship Id="rId159" Type="http://schemas.openxmlformats.org/officeDocument/2006/relationships/footer" Target="footer153.xml"/><Relationship Id="rId158" Type="http://schemas.openxmlformats.org/officeDocument/2006/relationships/footer" Target="footer152.xml"/><Relationship Id="rId157" Type="http://schemas.openxmlformats.org/officeDocument/2006/relationships/footer" Target="footer151.xml"/><Relationship Id="rId156" Type="http://schemas.openxmlformats.org/officeDocument/2006/relationships/footer" Target="footer150.xml"/><Relationship Id="rId155" Type="http://schemas.openxmlformats.org/officeDocument/2006/relationships/footer" Target="footer149.xml"/><Relationship Id="rId154" Type="http://schemas.openxmlformats.org/officeDocument/2006/relationships/footer" Target="footer148.xml"/><Relationship Id="rId153" Type="http://schemas.openxmlformats.org/officeDocument/2006/relationships/footer" Target="footer147.xml"/><Relationship Id="rId152" Type="http://schemas.openxmlformats.org/officeDocument/2006/relationships/footer" Target="footer146.xml"/><Relationship Id="rId151" Type="http://schemas.openxmlformats.org/officeDocument/2006/relationships/footer" Target="footer145.xml"/><Relationship Id="rId150" Type="http://schemas.openxmlformats.org/officeDocument/2006/relationships/footer" Target="footer144.xml"/><Relationship Id="rId15" Type="http://schemas.openxmlformats.org/officeDocument/2006/relationships/footer" Target="footer11.xml"/><Relationship Id="rId149" Type="http://schemas.openxmlformats.org/officeDocument/2006/relationships/footer" Target="footer143.xml"/><Relationship Id="rId148" Type="http://schemas.openxmlformats.org/officeDocument/2006/relationships/footer" Target="footer142.xml"/><Relationship Id="rId147" Type="http://schemas.openxmlformats.org/officeDocument/2006/relationships/footer" Target="footer141.xml"/><Relationship Id="rId146" Type="http://schemas.openxmlformats.org/officeDocument/2006/relationships/footer" Target="footer140.xml"/><Relationship Id="rId145" Type="http://schemas.openxmlformats.org/officeDocument/2006/relationships/footer" Target="footer139.xml"/><Relationship Id="rId144" Type="http://schemas.openxmlformats.org/officeDocument/2006/relationships/footer" Target="footer138.xml"/><Relationship Id="rId143" Type="http://schemas.openxmlformats.org/officeDocument/2006/relationships/footer" Target="footer137.xml"/><Relationship Id="rId142" Type="http://schemas.openxmlformats.org/officeDocument/2006/relationships/footer" Target="footer136.xml"/><Relationship Id="rId141" Type="http://schemas.openxmlformats.org/officeDocument/2006/relationships/footer" Target="footer135.xml"/><Relationship Id="rId140" Type="http://schemas.openxmlformats.org/officeDocument/2006/relationships/footer" Target="footer134.xml"/><Relationship Id="rId14" Type="http://schemas.openxmlformats.org/officeDocument/2006/relationships/footer" Target="footer10.xml"/><Relationship Id="rId139" Type="http://schemas.openxmlformats.org/officeDocument/2006/relationships/footer" Target="footer133.xml"/><Relationship Id="rId138" Type="http://schemas.openxmlformats.org/officeDocument/2006/relationships/footer" Target="footer132.xml"/><Relationship Id="rId137" Type="http://schemas.openxmlformats.org/officeDocument/2006/relationships/footer" Target="footer131.xml"/><Relationship Id="rId136" Type="http://schemas.openxmlformats.org/officeDocument/2006/relationships/footer" Target="footer130.xml"/><Relationship Id="rId135" Type="http://schemas.openxmlformats.org/officeDocument/2006/relationships/footer" Target="footer129.xml"/><Relationship Id="rId134" Type="http://schemas.openxmlformats.org/officeDocument/2006/relationships/footer" Target="footer128.xml"/><Relationship Id="rId133" Type="http://schemas.openxmlformats.org/officeDocument/2006/relationships/footer" Target="footer127.xml"/><Relationship Id="rId132" Type="http://schemas.openxmlformats.org/officeDocument/2006/relationships/footer" Target="footer126.xml"/><Relationship Id="rId131" Type="http://schemas.openxmlformats.org/officeDocument/2006/relationships/footer" Target="footer125.xml"/><Relationship Id="rId130" Type="http://schemas.openxmlformats.org/officeDocument/2006/relationships/footer" Target="footer124.xml"/><Relationship Id="rId13" Type="http://schemas.openxmlformats.org/officeDocument/2006/relationships/footer" Target="footer9.xml"/><Relationship Id="rId129" Type="http://schemas.openxmlformats.org/officeDocument/2006/relationships/footer" Target="footer123.xml"/><Relationship Id="rId128" Type="http://schemas.openxmlformats.org/officeDocument/2006/relationships/footer" Target="footer122.xml"/><Relationship Id="rId127" Type="http://schemas.openxmlformats.org/officeDocument/2006/relationships/footer" Target="footer121.xml"/><Relationship Id="rId126" Type="http://schemas.openxmlformats.org/officeDocument/2006/relationships/footer" Target="footer120.xml"/><Relationship Id="rId125" Type="http://schemas.openxmlformats.org/officeDocument/2006/relationships/footer" Target="footer119.xml"/><Relationship Id="rId124" Type="http://schemas.openxmlformats.org/officeDocument/2006/relationships/footer" Target="footer118.xml"/><Relationship Id="rId123" Type="http://schemas.openxmlformats.org/officeDocument/2006/relationships/footer" Target="footer117.xml"/><Relationship Id="rId122" Type="http://schemas.openxmlformats.org/officeDocument/2006/relationships/footer" Target="footer116.xml"/><Relationship Id="rId121" Type="http://schemas.openxmlformats.org/officeDocument/2006/relationships/footer" Target="footer115.xml"/><Relationship Id="rId120" Type="http://schemas.openxmlformats.org/officeDocument/2006/relationships/footer" Target="footer114.xml"/><Relationship Id="rId12" Type="http://schemas.openxmlformats.org/officeDocument/2006/relationships/footer" Target="footer8.xml"/><Relationship Id="rId119" Type="http://schemas.openxmlformats.org/officeDocument/2006/relationships/footer" Target="footer113.xml"/><Relationship Id="rId118" Type="http://schemas.openxmlformats.org/officeDocument/2006/relationships/footer" Target="footer112.xml"/><Relationship Id="rId117" Type="http://schemas.openxmlformats.org/officeDocument/2006/relationships/footer" Target="footer111.xml"/><Relationship Id="rId116" Type="http://schemas.openxmlformats.org/officeDocument/2006/relationships/footer" Target="footer110.xml"/><Relationship Id="rId115" Type="http://schemas.openxmlformats.org/officeDocument/2006/relationships/footer" Target="footer109.xml"/><Relationship Id="rId114" Type="http://schemas.openxmlformats.org/officeDocument/2006/relationships/footer" Target="footer108.xml"/><Relationship Id="rId113" Type="http://schemas.openxmlformats.org/officeDocument/2006/relationships/footer" Target="footer107.xml"/><Relationship Id="rId112" Type="http://schemas.openxmlformats.org/officeDocument/2006/relationships/footer" Target="footer106.xml"/><Relationship Id="rId111" Type="http://schemas.openxmlformats.org/officeDocument/2006/relationships/footer" Target="footer105.xml"/><Relationship Id="rId110" Type="http://schemas.openxmlformats.org/officeDocument/2006/relationships/footer" Target="footer104.xml"/><Relationship Id="rId11" Type="http://schemas.openxmlformats.org/officeDocument/2006/relationships/footer" Target="footer7.xml"/><Relationship Id="rId109" Type="http://schemas.openxmlformats.org/officeDocument/2006/relationships/footer" Target="footer103.xml"/><Relationship Id="rId108" Type="http://schemas.openxmlformats.org/officeDocument/2006/relationships/footer" Target="footer102.xml"/><Relationship Id="rId107" Type="http://schemas.openxmlformats.org/officeDocument/2006/relationships/footer" Target="footer101.xml"/><Relationship Id="rId106" Type="http://schemas.openxmlformats.org/officeDocument/2006/relationships/footer" Target="footer100.xml"/><Relationship Id="rId105" Type="http://schemas.openxmlformats.org/officeDocument/2006/relationships/footer" Target="footer99.xml"/><Relationship Id="rId104" Type="http://schemas.openxmlformats.org/officeDocument/2006/relationships/footer" Target="footer98.xml"/><Relationship Id="rId103" Type="http://schemas.openxmlformats.org/officeDocument/2006/relationships/footer" Target="footer97.xml"/><Relationship Id="rId102" Type="http://schemas.openxmlformats.org/officeDocument/2006/relationships/footer" Target="footer96.xml"/><Relationship Id="rId101" Type="http://schemas.openxmlformats.org/officeDocument/2006/relationships/footer" Target="footer95.xml"/><Relationship Id="rId100" Type="http://schemas.openxmlformats.org/officeDocument/2006/relationships/footer" Target="footer94.xml"/><Relationship Id="rId10" Type="http://schemas.openxmlformats.org/officeDocument/2006/relationships/footer" Target="footer6.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2.jpeg"/></Relationships>
</file>

<file path=word/_rels/header6.xml.rels><?xml version="1.0" encoding="UTF-8" standalone="yes"?>
<Relationships xmlns="http://schemas.openxmlformats.org/package/2006/relationships"><Relationship Id="rId1" Type="http://schemas.openxmlformats.org/officeDocument/2006/relationships/image" Target="media/image3.jpeg"/></Relationships>
</file>

<file path=word/_rels/header7.xml.rels><?xml version="1.0" encoding="UTF-8" standalone="yes"?>
<Relationships xmlns="http://schemas.openxmlformats.org/package/2006/relationships"><Relationship Id="rId1" Type="http://schemas.openxmlformats.org/officeDocument/2006/relationships/image" Target="media/image4.png"/></Relationships>
</file>

<file path=word/_rels/header9.xml.rels><?xml version="1.0" encoding="UTF-8" standalone="yes"?>
<Relationships xmlns="http://schemas.openxmlformats.org/package/2006/relationships"><Relationship Id="rId1" Type="http://schemas.openxmlformats.org/officeDocument/2006/relationships/image" Target="media/image5.jpeg"/></Relationships>
</file>

<file path=word/_rels/header11.xml.rels><?xml version="1.0" encoding="UTF-8" standalone="yes"?>
<Relationships xmlns="http://schemas.openxmlformats.org/package/2006/relationships"><Relationship Id="rId1" Type="http://schemas.openxmlformats.org/officeDocument/2006/relationships/image" Target="media/image6.jpeg"/></Relationships>
</file>

<file path=word/_rels/header17.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Info spid="_x0000_s1028"/>
    <customShpInfo spid="_x0000_s1029"/>
    <customShpInfo spid="_x0000_s1030"/>
    <customShpInfo spid="_x0000_s1031"/>
    <customShpInfo spid="_x0000_s1032"/>
    <customShpInfo spid="_x0000_s1033"/>
    <customShpInfo spid="_x0000_s1034"/>
    <customShpInfo spid="_x0000_s1035"/>
    <customShpInfo spid="_x0000_s1036"/>
    <customShpInfo spid="_x0000_s1037"/>
    <customShpInfo spid="_x0000_s1038"/>
    <customShpInfo spid="_x0000_s1039"/>
    <customShpInfo spid="_x0000_s1040"/>
    <customShpInfo spid="_x0000_s104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392</Pages>
  <Words>4254</Words>
  <Characters>5243</Characters>
  <TotalTime>9</TotalTime>
  <ScaleCrop>false</ScaleCrop>
  <LinksUpToDate>false</LinksUpToDate>
  <CharactersWithSpaces>6627</CharactersWithSpaces>
  <Application>WPS Office_12.1.0.26895_F1E327BC-269C-435d-A152-05C5408002CA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2025-09-25T08:11:00Z</dcterms:created>
  <dc:creator>Administrator</dc:creator>
  <cp:lastModifiedBy>Administrator</cp:lastModifiedBy>
  <cp:lastPrinted>2026-04-30T02:34:00Z</cp:lastPrinted>
  <dcterms:modified xsi:type="dcterms:W3CDTF">2026-06-25T09:53:02Z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wqlLaW5nc29mdCBQREYgdG8gV1BTIDExMEI</vt:lpwstr>
  </property>
  <property fmtid="{D5CDD505-2E9C-101B-9397-08002B2CF9AE}" pid="3" name="Created">
    <vt:filetime>2025-09-25T08:12:19Z</vt:filetime>
  </property>
  <property fmtid="{D5CDD505-2E9C-101B-9397-08002B2CF9AE}" pid="4" name="UsrData">
    <vt:lpwstr>68d488885212d1001f2337a8wl</vt:lpwstr>
  </property>
  <property fmtid="{D5CDD505-2E9C-101B-9397-08002B2CF9AE}" pid="5" name="KSOTemplateDocerSaveRecord">
    <vt:lpwstr>eyJoZGlkIjoiMTNmYmFiMmQ3ZTE5YjljYjViZTMyMGQ1Y2Q0MzU5YmEiLCJ1c2VySWQiOiI0MjU3MTA4NDQifQ==</vt:lpwstr>
  </property>
  <property fmtid="{D5CDD505-2E9C-101B-9397-08002B2CF9AE}" pid="6" name="KSOProductBuildVer">
    <vt:lpwstr>2052-12.1.0.26895</vt:lpwstr>
  </property>
  <property fmtid="{D5CDD505-2E9C-101B-9397-08002B2CF9AE}" pid="7" name="ICV">
    <vt:lpwstr>52FC8B09447D4B6B9C8E3FF2EEFD2DE3_13</vt:lpwstr>
  </property>
</Properties>
</file>